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E763" w14:textId="74C8B6C2" w:rsidR="0017177A" w:rsidRPr="005E4BEA" w:rsidRDefault="0017177A" w:rsidP="005A0BA9">
      <w:pPr>
        <w:spacing w:line="276" w:lineRule="auto"/>
        <w:jc w:val="both"/>
        <w:rPr>
          <w:rFonts w:cs="Arial"/>
          <w:b/>
          <w:bCs/>
          <w:szCs w:val="20"/>
        </w:rPr>
      </w:pPr>
      <w:r w:rsidRPr="005E4BEA">
        <w:rPr>
          <w:rFonts w:cs="Arial"/>
          <w:b/>
          <w:bCs/>
          <w:szCs w:val="20"/>
        </w:rPr>
        <w:t xml:space="preserve">OBRAZLOŽITEV: </w:t>
      </w:r>
    </w:p>
    <w:p w14:paraId="2E1B187E" w14:textId="77777777" w:rsidR="0017177A" w:rsidRPr="005E4BEA" w:rsidRDefault="0017177A" w:rsidP="005A0BA9">
      <w:pPr>
        <w:spacing w:line="276" w:lineRule="auto"/>
        <w:jc w:val="both"/>
        <w:rPr>
          <w:rFonts w:cs="Arial"/>
          <w:b/>
          <w:bCs/>
          <w:szCs w:val="20"/>
        </w:rPr>
      </w:pPr>
    </w:p>
    <w:p w14:paraId="2DD79197" w14:textId="3F3BCB40" w:rsidR="0017177A" w:rsidRPr="005E4BEA" w:rsidRDefault="0017177A" w:rsidP="005A0BA9">
      <w:pPr>
        <w:spacing w:line="276" w:lineRule="auto"/>
        <w:jc w:val="both"/>
        <w:rPr>
          <w:rFonts w:cs="Arial"/>
          <w:szCs w:val="20"/>
        </w:rPr>
      </w:pPr>
      <w:r w:rsidRPr="005E4BEA">
        <w:rPr>
          <w:rFonts w:cs="Arial"/>
          <w:szCs w:val="20"/>
        </w:rPr>
        <w:t xml:space="preserve">V skladu z določbami 63. člena Zakona o zdravstvenem varstvu in zdravstvenem zavarovanju (Uradni list RS, št. 72/06 - uradno prečiščeno besedilo, 114/06 - ZUTPG, 91/07, 76/08, 62/10 – ZUPJS, 87/11, 40/11 – ZUJF, 21/13 – ZUTD-A, 91/13, 99/13 – </w:t>
      </w:r>
      <w:proofErr w:type="spellStart"/>
      <w:r w:rsidRPr="005E4BEA">
        <w:rPr>
          <w:rFonts w:cs="Arial"/>
          <w:szCs w:val="20"/>
        </w:rPr>
        <w:t>ZSVarPre</w:t>
      </w:r>
      <w:proofErr w:type="spellEnd"/>
      <w:r w:rsidRPr="005E4BEA">
        <w:rPr>
          <w:rFonts w:cs="Arial"/>
          <w:szCs w:val="20"/>
        </w:rPr>
        <w:t xml:space="preserve">-C, 111/13 – ZMEPIZ-1, 95/14 – ZUJF-C, 47/15 – ZZSDT, 61/17 – ZUPŠ, 64/17 – ZZDej-K, 36/19 in 189/20 - ZFRO) sprejemajo Ministrstvo za zdravje, Zavod za zdravstveno zavarovanje Slovenije, Združenje zdravstvenih zavodov Slovenije, Zdravniška zbornica Slovenije, Lekarniška zbornica Slovenije, Skupnost slovenskih naravnih zdravilišč, Skupnost socialnih zavodov Slovenije in Skupnost organizacij za usposabljanje Slovenije (v nadaljevanju: partnerji) izhodišča za obseg programov zdravstvenih storitev, kadrovske in materialne zmogljivosti, obseg sredstev ter izhodišča za vrednotenje programov in določanje cen zdravstvenih storitev. Ta izhodišča so določena v vsakoletnem Splošnem dogovoru. </w:t>
      </w:r>
    </w:p>
    <w:p w14:paraId="73F12FB6" w14:textId="77777777" w:rsidR="0017177A" w:rsidRPr="005E4BEA" w:rsidRDefault="0017177A" w:rsidP="005A0BA9">
      <w:pPr>
        <w:spacing w:line="276" w:lineRule="auto"/>
        <w:jc w:val="both"/>
        <w:rPr>
          <w:rFonts w:cs="Arial"/>
          <w:szCs w:val="20"/>
        </w:rPr>
      </w:pPr>
    </w:p>
    <w:p w14:paraId="41F9126A" w14:textId="5E91CFDB" w:rsidR="0017177A" w:rsidRPr="005E4BEA" w:rsidRDefault="0017177A" w:rsidP="005A0BA9">
      <w:pPr>
        <w:spacing w:line="276" w:lineRule="auto"/>
        <w:jc w:val="both"/>
        <w:rPr>
          <w:rFonts w:cs="Arial"/>
          <w:szCs w:val="20"/>
        </w:rPr>
      </w:pPr>
      <w:r w:rsidRPr="005E4BEA">
        <w:rPr>
          <w:rFonts w:cs="Arial"/>
          <w:szCs w:val="20"/>
        </w:rPr>
        <w:t xml:space="preserve">Postopek sprejema </w:t>
      </w:r>
      <w:bookmarkStart w:id="0" w:name="_Hlk86127485"/>
      <w:r w:rsidR="00CC68A2" w:rsidRPr="005E4BEA">
        <w:rPr>
          <w:rFonts w:cs="Arial"/>
          <w:szCs w:val="20"/>
        </w:rPr>
        <w:t xml:space="preserve">Aneksa št. 1 k </w:t>
      </w:r>
      <w:r w:rsidRPr="005E4BEA">
        <w:rPr>
          <w:rFonts w:cs="Arial"/>
          <w:szCs w:val="20"/>
        </w:rPr>
        <w:t>Splošne</w:t>
      </w:r>
      <w:r w:rsidR="00CC68A2" w:rsidRPr="005E4BEA">
        <w:rPr>
          <w:rFonts w:cs="Arial"/>
          <w:szCs w:val="20"/>
        </w:rPr>
        <w:t>mu</w:t>
      </w:r>
      <w:r w:rsidRPr="005E4BEA">
        <w:rPr>
          <w:rFonts w:cs="Arial"/>
          <w:szCs w:val="20"/>
        </w:rPr>
        <w:t xml:space="preserve"> dogovor</w:t>
      </w:r>
      <w:r w:rsidR="00CC68A2" w:rsidRPr="005E4BEA">
        <w:rPr>
          <w:rFonts w:cs="Arial"/>
          <w:szCs w:val="20"/>
        </w:rPr>
        <w:t>u</w:t>
      </w:r>
      <w:r w:rsidRPr="005E4BEA">
        <w:rPr>
          <w:rFonts w:cs="Arial"/>
          <w:szCs w:val="20"/>
        </w:rPr>
        <w:t xml:space="preserve"> za pogodbeno leto 202</w:t>
      </w:r>
      <w:r w:rsidR="00FE461F" w:rsidRPr="005E4BEA">
        <w:rPr>
          <w:rFonts w:cs="Arial"/>
          <w:szCs w:val="20"/>
        </w:rPr>
        <w:t>2</w:t>
      </w:r>
      <w:r w:rsidRPr="005E4BEA">
        <w:rPr>
          <w:rFonts w:cs="Arial"/>
          <w:szCs w:val="20"/>
        </w:rPr>
        <w:t xml:space="preserve"> </w:t>
      </w:r>
      <w:bookmarkEnd w:id="0"/>
      <w:r w:rsidRPr="005E4BEA">
        <w:rPr>
          <w:rFonts w:cs="Arial"/>
          <w:szCs w:val="20"/>
        </w:rPr>
        <w:t>ne predvideva javne razprave, v katero so vključene nevladne organizacije oziroma predstavniki zainteresirane javnosti. Prav tako ne vključuje občin oziroma združenja občin.</w:t>
      </w:r>
    </w:p>
    <w:p w14:paraId="1B7D388E" w14:textId="77777777" w:rsidR="0017177A" w:rsidRPr="005E4BEA" w:rsidRDefault="0017177A" w:rsidP="005A0BA9">
      <w:pPr>
        <w:spacing w:line="276" w:lineRule="auto"/>
        <w:jc w:val="both"/>
        <w:rPr>
          <w:rFonts w:cs="Arial"/>
          <w:szCs w:val="20"/>
        </w:rPr>
      </w:pPr>
    </w:p>
    <w:p w14:paraId="64F3BFC2" w14:textId="0D8040F7" w:rsidR="00CC68A2" w:rsidRPr="005E4BEA" w:rsidRDefault="0017177A" w:rsidP="005A0BA9">
      <w:pPr>
        <w:spacing w:line="276" w:lineRule="auto"/>
        <w:jc w:val="both"/>
        <w:rPr>
          <w:rFonts w:cs="Arial"/>
          <w:szCs w:val="20"/>
        </w:rPr>
      </w:pPr>
      <w:r w:rsidRPr="005E4BEA">
        <w:rPr>
          <w:rFonts w:cs="Arial"/>
          <w:szCs w:val="20"/>
        </w:rPr>
        <w:t xml:space="preserve">V zvezi s sprejemanjem </w:t>
      </w:r>
      <w:r w:rsidR="00CC68A2" w:rsidRPr="005E4BEA">
        <w:rPr>
          <w:rFonts w:cs="Arial"/>
          <w:szCs w:val="20"/>
        </w:rPr>
        <w:t>Aneksa št. 1 k Splošnemu dogovoru za pogodbeno leto 202</w:t>
      </w:r>
      <w:r w:rsidR="00FE461F" w:rsidRPr="005E4BEA">
        <w:rPr>
          <w:rFonts w:cs="Arial"/>
          <w:szCs w:val="20"/>
        </w:rPr>
        <w:t>2</w:t>
      </w:r>
      <w:r w:rsidR="00CC68A2" w:rsidRPr="005E4BEA">
        <w:rPr>
          <w:rFonts w:cs="Arial"/>
          <w:szCs w:val="20"/>
        </w:rPr>
        <w:t xml:space="preserve"> </w:t>
      </w:r>
      <w:r w:rsidRPr="005E4BEA">
        <w:rPr>
          <w:rFonts w:cs="Arial"/>
          <w:szCs w:val="20"/>
        </w:rPr>
        <w:t xml:space="preserve">so partnerji posredovali sporna vprašanja, o katerih je odločala arbitraža. </w:t>
      </w:r>
      <w:r w:rsidR="00CC68A2" w:rsidRPr="005E4BEA">
        <w:rPr>
          <w:rFonts w:cs="Arial"/>
          <w:szCs w:val="20"/>
        </w:rPr>
        <w:t>V</w:t>
      </w:r>
      <w:r w:rsidR="00CC68A2" w:rsidRPr="005E4BEA">
        <w:rPr>
          <w:rFonts w:cs="Arial"/>
          <w:iCs/>
          <w:szCs w:val="20"/>
          <w:lang w:eastAsia="sl-SI"/>
        </w:rPr>
        <w:t xml:space="preserve"> okviru arbitraže je bilo posredovanih 1</w:t>
      </w:r>
      <w:r w:rsidR="00DC37BC" w:rsidRPr="005E4BEA">
        <w:rPr>
          <w:rFonts w:cs="Arial"/>
          <w:iCs/>
          <w:szCs w:val="20"/>
          <w:lang w:eastAsia="sl-SI"/>
        </w:rPr>
        <w:t>76</w:t>
      </w:r>
      <w:r w:rsidR="00CC68A2" w:rsidRPr="005E4BEA">
        <w:rPr>
          <w:rFonts w:cs="Arial"/>
          <w:iCs/>
          <w:szCs w:val="20"/>
          <w:lang w:eastAsia="sl-SI"/>
        </w:rPr>
        <w:t xml:space="preserve"> spornih vprašanj, pri čemer je bilo doseženo soglasje za </w:t>
      </w:r>
      <w:r w:rsidR="00DC37BC" w:rsidRPr="005E4BEA">
        <w:rPr>
          <w:rFonts w:cs="Arial"/>
          <w:iCs/>
          <w:szCs w:val="20"/>
          <w:lang w:eastAsia="sl-SI"/>
        </w:rPr>
        <w:t>12</w:t>
      </w:r>
      <w:r w:rsidR="00CC68A2" w:rsidRPr="005E4BEA">
        <w:rPr>
          <w:rFonts w:cs="Arial"/>
          <w:iCs/>
          <w:szCs w:val="20"/>
          <w:lang w:eastAsia="sl-SI"/>
        </w:rPr>
        <w:t xml:space="preserve"> sporn</w:t>
      </w:r>
      <w:r w:rsidR="00DC37BC" w:rsidRPr="005E4BEA">
        <w:rPr>
          <w:rFonts w:cs="Arial"/>
          <w:iCs/>
          <w:szCs w:val="20"/>
          <w:lang w:eastAsia="sl-SI"/>
        </w:rPr>
        <w:t xml:space="preserve">ih </w:t>
      </w:r>
      <w:r w:rsidR="00CC68A2" w:rsidRPr="005E4BEA">
        <w:rPr>
          <w:rFonts w:cs="Arial"/>
          <w:iCs/>
          <w:szCs w:val="20"/>
          <w:lang w:eastAsia="sl-SI"/>
        </w:rPr>
        <w:t xml:space="preserve">vprašanj, </w:t>
      </w:r>
      <w:r w:rsidR="00DC37BC" w:rsidRPr="005E4BEA">
        <w:rPr>
          <w:rFonts w:cs="Arial"/>
          <w:iCs/>
          <w:szCs w:val="20"/>
          <w:lang w:eastAsia="sl-SI"/>
        </w:rPr>
        <w:t>3</w:t>
      </w:r>
      <w:r w:rsidR="00CC68A2" w:rsidRPr="005E4BEA">
        <w:rPr>
          <w:rFonts w:cs="Arial"/>
          <w:iCs/>
          <w:szCs w:val="20"/>
          <w:lang w:eastAsia="sl-SI"/>
        </w:rPr>
        <w:t xml:space="preserve"> sporn</w:t>
      </w:r>
      <w:r w:rsidR="00DC37BC" w:rsidRPr="005E4BEA">
        <w:rPr>
          <w:rFonts w:cs="Arial"/>
          <w:iCs/>
          <w:szCs w:val="20"/>
          <w:lang w:eastAsia="sl-SI"/>
        </w:rPr>
        <w:t>a</w:t>
      </w:r>
      <w:r w:rsidR="00CC68A2" w:rsidRPr="005E4BEA">
        <w:rPr>
          <w:rFonts w:cs="Arial"/>
          <w:iCs/>
          <w:szCs w:val="20"/>
          <w:lang w:eastAsia="sl-SI"/>
        </w:rPr>
        <w:t xml:space="preserve"> vprašanj</w:t>
      </w:r>
      <w:r w:rsidR="00DC37BC" w:rsidRPr="005E4BEA">
        <w:rPr>
          <w:rFonts w:cs="Arial"/>
          <w:iCs/>
          <w:szCs w:val="20"/>
          <w:lang w:eastAsia="sl-SI"/>
        </w:rPr>
        <w:t>a</w:t>
      </w:r>
      <w:r w:rsidR="00CC68A2" w:rsidRPr="005E4BEA">
        <w:rPr>
          <w:rFonts w:cs="Arial"/>
          <w:iCs/>
          <w:szCs w:val="20"/>
          <w:lang w:eastAsia="sl-SI"/>
        </w:rPr>
        <w:t xml:space="preserve"> pa s</w:t>
      </w:r>
      <w:r w:rsidR="00DC37BC" w:rsidRPr="005E4BEA">
        <w:rPr>
          <w:rFonts w:cs="Arial"/>
          <w:iCs/>
          <w:szCs w:val="20"/>
          <w:lang w:eastAsia="sl-SI"/>
        </w:rPr>
        <w:t>o</w:t>
      </w:r>
      <w:r w:rsidR="00CC68A2" w:rsidRPr="005E4BEA">
        <w:rPr>
          <w:rFonts w:cs="Arial"/>
          <w:iCs/>
          <w:szCs w:val="20"/>
          <w:lang w:eastAsia="sl-SI"/>
        </w:rPr>
        <w:t xml:space="preserve"> bil</w:t>
      </w:r>
      <w:r w:rsidR="00DC37BC" w:rsidRPr="005E4BEA">
        <w:rPr>
          <w:rFonts w:cs="Arial"/>
          <w:iCs/>
          <w:szCs w:val="20"/>
          <w:lang w:eastAsia="sl-SI"/>
        </w:rPr>
        <w:t>a</w:t>
      </w:r>
      <w:r w:rsidR="00CC68A2" w:rsidRPr="005E4BEA">
        <w:rPr>
          <w:rFonts w:cs="Arial"/>
          <w:iCs/>
          <w:szCs w:val="20"/>
          <w:lang w:eastAsia="sl-SI"/>
        </w:rPr>
        <w:t xml:space="preserve"> umaknjen</w:t>
      </w:r>
      <w:r w:rsidR="00956FF8" w:rsidRPr="005E4BEA">
        <w:rPr>
          <w:rFonts w:cs="Arial"/>
          <w:iCs/>
          <w:szCs w:val="20"/>
          <w:lang w:eastAsia="sl-SI"/>
        </w:rPr>
        <w:t>a.</w:t>
      </w:r>
      <w:r w:rsidR="00CC68A2" w:rsidRPr="005E4BEA">
        <w:rPr>
          <w:rFonts w:cs="Arial"/>
          <w:iCs/>
          <w:szCs w:val="20"/>
          <w:lang w:eastAsia="sl-SI"/>
        </w:rPr>
        <w:t xml:space="preserve"> 1</w:t>
      </w:r>
      <w:r w:rsidR="00DC37BC" w:rsidRPr="005E4BEA">
        <w:rPr>
          <w:rFonts w:cs="Arial"/>
          <w:iCs/>
          <w:szCs w:val="20"/>
          <w:lang w:eastAsia="sl-SI"/>
        </w:rPr>
        <w:t>6</w:t>
      </w:r>
      <w:r w:rsidR="00CC68A2" w:rsidRPr="005E4BEA">
        <w:rPr>
          <w:rFonts w:cs="Arial"/>
          <w:iCs/>
          <w:szCs w:val="20"/>
          <w:lang w:eastAsia="sl-SI"/>
        </w:rPr>
        <w:t>1 spornih vprašanj, glede katerih soglasje ni bilo doseženo, je navedenih v nadaljevanju gradiva in se posredujejo v obravnavo Vladi Republike Slovenije. Sporna vprašanja, ki jih bo potrdila Vlada Republike Slovenije, se vključijo v Splošni dogovor za pogodbeno leto 202</w:t>
      </w:r>
      <w:r w:rsidR="00FE461F" w:rsidRPr="005E4BEA">
        <w:rPr>
          <w:rFonts w:cs="Arial"/>
          <w:iCs/>
          <w:szCs w:val="20"/>
          <w:lang w:eastAsia="sl-SI"/>
        </w:rPr>
        <w:t>2</w:t>
      </w:r>
      <w:r w:rsidR="00CC68A2" w:rsidRPr="005E4BEA">
        <w:rPr>
          <w:rFonts w:cs="Arial"/>
          <w:szCs w:val="20"/>
        </w:rPr>
        <w:t>.</w:t>
      </w:r>
    </w:p>
    <w:p w14:paraId="722D7674" w14:textId="77777777" w:rsidR="002B0E6F" w:rsidRPr="005E4BEA" w:rsidRDefault="002B0E6F" w:rsidP="005A0BA9">
      <w:pPr>
        <w:spacing w:line="276" w:lineRule="auto"/>
        <w:jc w:val="both"/>
        <w:rPr>
          <w:rFonts w:cs="Arial"/>
          <w:szCs w:val="20"/>
        </w:rPr>
      </w:pPr>
    </w:p>
    <w:p w14:paraId="3D6AE800" w14:textId="45068D46" w:rsidR="00FE461F" w:rsidRPr="005E4BEA" w:rsidRDefault="002B0E6F" w:rsidP="00F356C9">
      <w:pPr>
        <w:pStyle w:val="Naslov2"/>
        <w:numPr>
          <w:ilvl w:val="0"/>
          <w:numId w:val="79"/>
        </w:numPr>
        <w:ind w:left="0" w:firstLine="0"/>
        <w:rPr>
          <w:rFonts w:ascii="Arial" w:eastAsia="Arial Narrow" w:hAnsi="Arial" w:cs="Arial"/>
          <w:sz w:val="20"/>
        </w:rPr>
      </w:pPr>
      <w:bookmarkStart w:id="1" w:name="_Hlk83737925"/>
      <w:r w:rsidRPr="005E4BEA">
        <w:rPr>
          <w:rFonts w:ascii="Arial" w:eastAsia="Arial Narrow" w:hAnsi="Arial" w:cs="Arial"/>
          <w:sz w:val="20"/>
        </w:rPr>
        <w:t>SPORNO VPRAŠANJE (1)</w:t>
      </w:r>
      <w:bookmarkEnd w:id="1"/>
    </w:p>
    <w:p w14:paraId="4B65D922" w14:textId="1D47CB50" w:rsidR="002B0E6F" w:rsidRPr="005E4BEA" w:rsidRDefault="002B0E6F" w:rsidP="002B0E6F">
      <w:pPr>
        <w:spacing w:line="0" w:lineRule="atLeast"/>
        <w:ind w:left="360"/>
        <w:contextualSpacing/>
        <w:jc w:val="both"/>
        <w:rPr>
          <w:rFonts w:eastAsia="Arial Narrow" w:cs="Arial"/>
          <w:b/>
          <w:szCs w:val="20"/>
        </w:rPr>
      </w:pPr>
    </w:p>
    <w:p w14:paraId="14EEDF56" w14:textId="77777777" w:rsidR="002B0E6F" w:rsidRPr="005E4BEA" w:rsidRDefault="002B0E6F" w:rsidP="002B0E6F">
      <w:pPr>
        <w:spacing w:line="0" w:lineRule="atLeast"/>
        <w:jc w:val="both"/>
        <w:rPr>
          <w:rFonts w:eastAsia="Arial Narrow" w:cs="Arial"/>
          <w:szCs w:val="20"/>
        </w:rPr>
      </w:pPr>
      <w:r w:rsidRPr="005E4BEA">
        <w:rPr>
          <w:rFonts w:eastAsia="Arial Narrow" w:cs="Arial"/>
          <w:b/>
          <w:szCs w:val="20"/>
        </w:rPr>
        <w:t>Zdravniška zbornica Slovenije</w:t>
      </w:r>
      <w:r w:rsidRPr="005E4BEA">
        <w:rPr>
          <w:rFonts w:eastAsia="Arial Narrow" w:cs="Arial"/>
          <w:szCs w:val="20"/>
        </w:rPr>
        <w:t xml:space="preserve"> predlaga, da se v 2. členu doda nov tretji odstavek, ki se glasi:</w:t>
      </w:r>
    </w:p>
    <w:p w14:paraId="234156C3" w14:textId="77777777" w:rsidR="002B0E6F" w:rsidRPr="005E4BEA" w:rsidRDefault="002B0E6F" w:rsidP="00FE461F">
      <w:pPr>
        <w:spacing w:line="240" w:lineRule="auto"/>
        <w:jc w:val="both"/>
        <w:rPr>
          <w:rFonts w:eastAsia="Arial Narrow" w:cs="Arial"/>
          <w:b/>
          <w:szCs w:val="20"/>
        </w:rPr>
      </w:pPr>
    </w:p>
    <w:p w14:paraId="14C78C78" w14:textId="6897D132" w:rsidR="00FE461F" w:rsidRPr="005E4BEA" w:rsidRDefault="00FE461F" w:rsidP="00FE461F">
      <w:pPr>
        <w:spacing w:line="240" w:lineRule="auto"/>
        <w:jc w:val="both"/>
        <w:rPr>
          <w:rFonts w:eastAsiaTheme="minorHAnsi" w:cs="Arial"/>
          <w:szCs w:val="20"/>
          <w:lang w:eastAsia="sl-SI"/>
        </w:rPr>
      </w:pPr>
      <w:r w:rsidRPr="005E4BEA">
        <w:rPr>
          <w:rFonts w:eastAsiaTheme="minorHAnsi" w:cs="Arial"/>
          <w:szCs w:val="20"/>
          <w:lang w:eastAsia="sl-SI"/>
        </w:rPr>
        <w:t xml:space="preserve"> » (3) Oblikuje se nova Priloga VIII - Obračunski modeli zdravstvenih storitev, ki vsebuje besedilo od 1. do 31. člena in besedilo vseh prilog Sklepa o načrtovanju, beleženju in obračunavanju zdravstvenih storitev. Partnerji se dogovorijo, da bodo vse spremembe obračunskih modelov zdravstvenih storitev urejali v Dogovoru. « </w:t>
      </w:r>
    </w:p>
    <w:p w14:paraId="4664A67E" w14:textId="77777777" w:rsidR="00FE461F" w:rsidRPr="005E4BEA" w:rsidRDefault="00FE461F" w:rsidP="00FE461F">
      <w:pPr>
        <w:spacing w:line="240" w:lineRule="auto"/>
        <w:jc w:val="both"/>
        <w:rPr>
          <w:rFonts w:eastAsiaTheme="minorHAnsi" w:cs="Arial"/>
          <w:i/>
          <w:iCs/>
          <w:szCs w:val="20"/>
          <w:lang w:eastAsia="sl-SI"/>
        </w:rPr>
      </w:pPr>
    </w:p>
    <w:p w14:paraId="1E5413E1" w14:textId="77777777" w:rsidR="00FE461F" w:rsidRPr="005E4BEA" w:rsidRDefault="00FE461F" w:rsidP="00FE461F">
      <w:pPr>
        <w:spacing w:before="180" w:after="60" w:line="240" w:lineRule="auto"/>
        <w:rPr>
          <w:rFonts w:cs="Arial"/>
          <w:b/>
          <w:bCs/>
          <w:i/>
          <w:iCs/>
          <w:color w:val="808080" w:themeColor="background1" w:themeShade="80"/>
          <w:szCs w:val="20"/>
          <w:u w:val="single"/>
          <w:lang w:eastAsia="sl-SI"/>
        </w:rPr>
      </w:pPr>
      <w:r w:rsidRPr="005E4BEA">
        <w:rPr>
          <w:rFonts w:cs="Arial"/>
          <w:b/>
          <w:bCs/>
          <w:i/>
          <w:iCs/>
          <w:color w:val="808080" w:themeColor="background1" w:themeShade="80"/>
          <w:szCs w:val="20"/>
          <w:u w:val="single"/>
          <w:lang w:eastAsia="sl-SI"/>
        </w:rPr>
        <w:t>Obrazložitev:</w:t>
      </w:r>
    </w:p>
    <w:p w14:paraId="1A8B6BF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Pravna podlaga za urejanje (pogodbenih) odnosov med ZZZS-jem in izvajalci zdravstvenih storitev je opredeljena v III. poglavju Zakona o zdravstvenem varstvu in zdravstvenem zavarovanju, ki določa, da se vsa izhodišča za opredeljevanje pogodbenih razmerij med ZZZS-jem in izvajalci, določajo v Splošnem dogovoru. S tem v zvezi zakon v prvem odstavku 63. člena določa:</w:t>
      </w:r>
    </w:p>
    <w:p w14:paraId="71BAAD2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Zavod, pristojne zbornice, združenja zdravstvenih zavodov in drugih zavodov ter organizacij, ki opravljajo zdravstveno dejavnost, ter ministrstvo, pristojno za zdravstvo, se za vsako leto dogovorijo o programu storitev obveznega zdravstvenega zavarovanja, opredelijo zmogljivosti, potrebne za njegovo izvajanje in določijo obseg sredstev. </w:t>
      </w:r>
      <w:r w:rsidRPr="005E4BEA">
        <w:rPr>
          <w:rFonts w:eastAsiaTheme="minorHAnsi" w:cs="Arial"/>
          <w:b/>
          <w:bCs/>
          <w:i/>
          <w:iCs/>
          <w:color w:val="808080" w:themeColor="background1" w:themeShade="80"/>
          <w:szCs w:val="20"/>
          <w:u w:val="single"/>
        </w:rPr>
        <w:t>Na tej osnovi določijo izhodišča za izvajanje programov in za oblikovanje cen programov</w:t>
      </w:r>
      <w:r w:rsidRPr="005E4BEA">
        <w:rPr>
          <w:rFonts w:eastAsiaTheme="minorHAnsi" w:cs="Arial"/>
          <w:i/>
          <w:iCs/>
          <w:color w:val="808080" w:themeColor="background1" w:themeShade="80"/>
          <w:szCs w:val="20"/>
          <w:u w:val="single"/>
        </w:rPr>
        <w:t xml:space="preserve"> </w:t>
      </w:r>
      <w:r w:rsidRPr="005E4BEA">
        <w:rPr>
          <w:rFonts w:eastAsiaTheme="minorHAnsi" w:cs="Arial"/>
          <w:i/>
          <w:iCs/>
          <w:color w:val="808080" w:themeColor="background1" w:themeShade="80"/>
          <w:szCs w:val="20"/>
        </w:rPr>
        <w:t xml:space="preserve">oziroma storitev ter druge podlage za sklepanje pogodb z zdravstvenimi zavodi, drugimi zavodi in organizacijami, ki opravljajo zdravstveno dejavnost ter zasebnimi zdravstvenimi delavci. </w:t>
      </w:r>
    </w:p>
    <w:p w14:paraId="2191FF7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Med izhodišča za izvajanje programov sodijo nedvomno ti. obračunski modeli zdravstvenih storitev, s katerimi se določa način beleženja izvedenih storitev in zlasti število točk (uteži) za vsako posamično storitev. Navedene obračunske modele trenutno sprejema Upravni odbor </w:t>
      </w:r>
      <w:r w:rsidRPr="005E4BEA">
        <w:rPr>
          <w:rFonts w:eastAsiaTheme="minorHAnsi" w:cs="Arial"/>
          <w:i/>
          <w:iCs/>
          <w:color w:val="808080" w:themeColor="background1" w:themeShade="80"/>
          <w:szCs w:val="20"/>
        </w:rPr>
        <w:lastRenderedPageBreak/>
        <w:t xml:space="preserve">ZZZS-ja, in sicer s Sklepom o načrtovanju, beleženju in obračunavanju zdravstvenih storitev (kar ni zajeto v tem sklepu, se evidentira po »Zeleni knjigi«). S spreminjanjem obračunskih modelov (sprememba števila točk oz. sprememba uteži za določeno storitev), se spreminjajo količine izvedenih storitev pri dogovorjenem obsegu programa – nižje število točk (manjša utež) zahteva več opravljenih storitev pri istem obsegu sredstev, in obratno. </w:t>
      </w:r>
    </w:p>
    <w:p w14:paraId="7901947F"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Trenutno se s Splošnim dogovorom določa le cene programov (skupna vrednost programa), ne določa pa se (razen v posameznih primerih) obračunskih modelov, torej števila (količino) storitev, ki morajo biti za dani obseg sredstev izvedene. Navedeno ne bi bilo sporno, če bi bili obračunski modeli (število točk / vrednost uteži) konstantni (npr. določeni z zakonom) ali če bi obračunske modele določala neodvisna institucija, ki iz naslova Splošnega dogovora nima nobenih pravic ali obveznosti. Vsekakor pa je sporno, da obračunske modele enostransko določa Upravni odbor ZZZS-ja, kot ena izmed strank Splošnega dogovora, saj je takšno »dogovarjanje« le še navidezno. </w:t>
      </w:r>
    </w:p>
    <w:p w14:paraId="4CAAD568"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Obračunski modeli (dogovorjene količine) in dogovorjene cene skupaj tvorijo predmet pogodbene obveznosti, glede katerega morajo (pogodbeni!) partnerji vsako leto doseči soglasje – s tem (ali s sklepom vlade, ki nadomešča soglasje) je Splošni dogovor (pogodba!) sklenjen. Navedeno je izraženo v zgoraj podčrtani določbi prvega odstavka 63. člena Zakona o zdravstvenem varstvu in zdravstvenem zavarovanju, ki pravi, da partnerji vsako leto določajo izhodišča za izvajanje programov in cene programov.</w:t>
      </w:r>
    </w:p>
    <w:p w14:paraId="50C9C7A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Nekateri obračunski modeli so že vključeni v Splošni dogovor, npr. Seznam SPP z utežmi v prilogi BOL II/b-2a. Pri tem ni bila podana nikakršna utemeljitev, zakaj naj bi se določeni obračunski modeli sprejemali v Splošnem dogovoru, druge pa naj bi še naprej enostransko določal Upravni odbor ZZZS-ja. Menimo, da se s sprejemom predlagane dopolnitve odpravlja očitna neskladnost med 63. členom Zakona o zdravstvenem varstvu in zdravstvenem zavarovanju in trenutno prakso ZZZS-ja, ki s Sklepi (upravnega odbora) o načrtovanju, beleženju in obračunavanju zdravstvenih storitev, enostransko določa vsebino, ki je z zakonom opredeljena kot (pogodbeni) predmet Splošnega dogovora. </w:t>
      </w:r>
    </w:p>
    <w:p w14:paraId="67FC44F3"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53EE19D5" w14:textId="39E98934" w:rsidR="00FE461F" w:rsidRPr="005E4BEA" w:rsidRDefault="00FE461F" w:rsidP="00FE461F">
      <w:pPr>
        <w:spacing w:line="240" w:lineRule="auto"/>
        <w:jc w:val="both"/>
        <w:rPr>
          <w:rFonts w:eastAsiaTheme="minorHAnsi" w:cs="Arial"/>
          <w:color w:val="808080" w:themeColor="background1" w:themeShade="80"/>
          <w:szCs w:val="20"/>
        </w:rPr>
      </w:pPr>
      <w:r w:rsidRPr="005E4BEA">
        <w:rPr>
          <w:rFonts w:eastAsiaTheme="minorHAnsi" w:cs="Arial"/>
          <w:i/>
          <w:iCs/>
          <w:color w:val="808080" w:themeColor="background1" w:themeShade="80"/>
          <w:szCs w:val="20"/>
        </w:rPr>
        <w:t>Finančni učinki: ni finančnih učinkov</w:t>
      </w:r>
      <w:r w:rsidRPr="005E4BEA">
        <w:rPr>
          <w:rFonts w:eastAsiaTheme="minorHAnsi" w:cs="Arial"/>
          <w:color w:val="808080" w:themeColor="background1" w:themeShade="80"/>
          <w:szCs w:val="20"/>
        </w:rPr>
        <w:t xml:space="preserve"> </w:t>
      </w:r>
    </w:p>
    <w:p w14:paraId="361AE3AB" w14:textId="77777777" w:rsidR="002B0E6F" w:rsidRPr="005E4BEA" w:rsidRDefault="002B0E6F" w:rsidP="002B0E6F">
      <w:pPr>
        <w:spacing w:line="0" w:lineRule="atLeast"/>
        <w:jc w:val="both"/>
        <w:rPr>
          <w:rFonts w:eastAsia="Arial Narrow" w:cs="Arial"/>
          <w:color w:val="A6A6A6" w:themeColor="background1" w:themeShade="A6"/>
          <w:szCs w:val="20"/>
          <w:lang w:eastAsia="sl-SI"/>
        </w:rPr>
      </w:pPr>
    </w:p>
    <w:p w14:paraId="09B85A14" w14:textId="77777777" w:rsidR="0087323F" w:rsidRPr="005E4BEA" w:rsidRDefault="002B0E6F" w:rsidP="002B0E6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 </w:t>
      </w:r>
      <w:r w:rsidR="0087323F" w:rsidRPr="005E4BEA">
        <w:rPr>
          <w:rFonts w:eastAsia="Arial Narrow" w:cs="Arial"/>
          <w:szCs w:val="20"/>
        </w:rPr>
        <w:t xml:space="preserve">Stališče na predlog ZZS je bilo že večkrat podano nazadnje pri </w:t>
      </w:r>
      <w:proofErr w:type="spellStart"/>
      <w:r w:rsidR="0087323F" w:rsidRPr="005E4BEA">
        <w:rPr>
          <w:rFonts w:eastAsia="Arial Narrow" w:cs="Arial"/>
          <w:szCs w:val="20"/>
        </w:rPr>
        <w:t>obravniavi</w:t>
      </w:r>
      <w:proofErr w:type="spellEnd"/>
      <w:r w:rsidR="0087323F" w:rsidRPr="005E4BEA">
        <w:rPr>
          <w:rFonts w:eastAsia="Arial Narrow" w:cs="Arial"/>
          <w:szCs w:val="20"/>
        </w:rPr>
        <w:t xml:space="preserve"> spornih vprašanj za Aneks št. 1 k SD2021. </w:t>
      </w:r>
    </w:p>
    <w:p w14:paraId="278212CD" w14:textId="77777777" w:rsidR="0087323F" w:rsidRPr="005E4BEA" w:rsidRDefault="0087323F" w:rsidP="002B0E6F">
      <w:pPr>
        <w:autoSpaceDE w:val="0"/>
        <w:autoSpaceDN w:val="0"/>
        <w:adjustRightInd w:val="0"/>
        <w:spacing w:line="0" w:lineRule="atLeast"/>
        <w:jc w:val="both"/>
        <w:rPr>
          <w:rFonts w:eastAsia="Arial Narrow" w:cs="Arial"/>
          <w:szCs w:val="20"/>
        </w:rPr>
      </w:pPr>
    </w:p>
    <w:p w14:paraId="183CF34E" w14:textId="564C7FD4" w:rsidR="002B0E6F" w:rsidRPr="005E4BEA" w:rsidRDefault="002B0E6F" w:rsidP="002B0E6F">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 člen Splošnega dogovora za pogodbeno leto 2022 ne spremeni.</w:t>
      </w:r>
    </w:p>
    <w:p w14:paraId="4745E558" w14:textId="4FD0CA19" w:rsidR="002B0E6F" w:rsidRPr="005E4BEA" w:rsidRDefault="002B0E6F" w:rsidP="00FE461F">
      <w:pPr>
        <w:spacing w:line="240" w:lineRule="auto"/>
        <w:jc w:val="both"/>
        <w:rPr>
          <w:rFonts w:eastAsiaTheme="minorHAnsi" w:cs="Arial"/>
          <w:color w:val="808080" w:themeColor="background1" w:themeShade="80"/>
          <w:szCs w:val="20"/>
        </w:rPr>
      </w:pPr>
    </w:p>
    <w:p w14:paraId="09CCC047" w14:textId="5E44F931" w:rsidR="002B0E6F" w:rsidRPr="005E4BEA" w:rsidRDefault="002B0E6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w:t>
      </w:r>
    </w:p>
    <w:p w14:paraId="72FF932E" w14:textId="77777777" w:rsidR="002B0E6F" w:rsidRPr="005E4BEA" w:rsidRDefault="002B0E6F" w:rsidP="00FE461F">
      <w:pPr>
        <w:spacing w:line="240" w:lineRule="auto"/>
        <w:jc w:val="both"/>
        <w:rPr>
          <w:rFonts w:eastAsiaTheme="minorHAnsi" w:cs="Arial"/>
          <w:color w:val="808080" w:themeColor="background1" w:themeShade="80"/>
          <w:szCs w:val="20"/>
        </w:rPr>
      </w:pPr>
    </w:p>
    <w:p w14:paraId="6DED652E" w14:textId="26438135" w:rsidR="00FE461F" w:rsidRPr="005E4BEA" w:rsidRDefault="002B0E6F" w:rsidP="002B0E6F">
      <w:pPr>
        <w:spacing w:line="0" w:lineRule="atLeast"/>
        <w:jc w:val="both"/>
        <w:rPr>
          <w:rFonts w:eastAsiaTheme="minorHAnsi" w:cs="Arial"/>
          <w:b/>
          <w:bCs/>
          <w:i/>
          <w:iCs/>
          <w:szCs w:val="20"/>
        </w:rPr>
      </w:pPr>
      <w:r w:rsidRPr="005E4BEA">
        <w:rPr>
          <w:rFonts w:eastAsia="Arial Narrow" w:cs="Arial"/>
          <w:b/>
          <w:szCs w:val="20"/>
        </w:rPr>
        <w:t>Zdravniška zbornica Slovenije</w:t>
      </w:r>
      <w:r w:rsidRPr="005E4BEA">
        <w:rPr>
          <w:rFonts w:eastAsia="Arial Narrow" w:cs="Arial"/>
          <w:szCs w:val="20"/>
        </w:rPr>
        <w:t xml:space="preserve"> predlaga, da se v 2. členu doda nov četrti odstavek, ki se glasi:</w:t>
      </w:r>
    </w:p>
    <w:p w14:paraId="474F9670" w14:textId="77777777" w:rsidR="00FE461F" w:rsidRPr="005E4BEA" w:rsidRDefault="00FE461F" w:rsidP="00FE461F">
      <w:pPr>
        <w:tabs>
          <w:tab w:val="left" w:pos="708"/>
        </w:tabs>
        <w:spacing w:before="120" w:after="180" w:line="240" w:lineRule="auto"/>
        <w:jc w:val="both"/>
        <w:rPr>
          <w:rFonts w:eastAsiaTheme="minorHAnsi" w:cs="Arial"/>
          <w:szCs w:val="20"/>
        </w:rPr>
      </w:pPr>
      <w:r w:rsidRPr="005E4BEA">
        <w:rPr>
          <w:rFonts w:eastAsiaTheme="minorHAnsi" w:cs="Arial"/>
          <w:szCs w:val="20"/>
        </w:rPr>
        <w:t xml:space="preserve">»(1) Posamezna določba splošnega dogovora glede vprašanj na področjih notranje organizacije, delovnih razmerij, </w:t>
      </w:r>
      <w:proofErr w:type="spellStart"/>
      <w:r w:rsidRPr="005E4BEA">
        <w:rPr>
          <w:rFonts w:eastAsiaTheme="minorHAnsi" w:cs="Arial"/>
          <w:szCs w:val="20"/>
        </w:rPr>
        <w:t>ordinacijskega</w:t>
      </w:r>
      <w:proofErr w:type="spellEnd"/>
      <w:r w:rsidRPr="005E4BEA">
        <w:rPr>
          <w:rFonts w:eastAsiaTheme="minorHAnsi" w:cs="Arial"/>
          <w:szCs w:val="20"/>
        </w:rPr>
        <w:t xml:space="preserve"> časa in sorodnih področjih partnerjev ne zavezuje, če bi njeno izvrševanje pomenilo kršitev zakonov ali kolektivnih pogodb.«</w:t>
      </w:r>
    </w:p>
    <w:p w14:paraId="534B22EC"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 xml:space="preserve">Obrazložitev: </w:t>
      </w:r>
    </w:p>
    <w:p w14:paraId="0487A89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Določbe splošnega dogovora ne smejo siliti izvajalcev, da kršijo veljavno zakonodajo ali kolektivne pogodbe (npr. glede razporejanja delovnega časa, malice, obveznih odmorov za delo, preseganja obremenitev in nadur). Mednarodne konvencije na področju dela, zakona o delovnih razmerjih in o javnih uslužbencih ter vse kolektivne pogodbe vsebujejo precej določb, ki jih delodajalci morajo upoštevati. Splošni dogovor ne more zavezovati izvajalcev k organizaciji dela, s katero bi kršili temeljne pravice delavcev v javnih zavodih ali pri zasebnikih. </w:t>
      </w:r>
    </w:p>
    <w:p w14:paraId="635AFE5F"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34DD5CBA" w14:textId="06C086F1"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Finančni učinki: ni finančnih učinkov </w:t>
      </w:r>
    </w:p>
    <w:p w14:paraId="23057B9F" w14:textId="2464371A" w:rsidR="002B0E6F" w:rsidRPr="005E4BEA" w:rsidRDefault="002B0E6F" w:rsidP="00FE461F">
      <w:pPr>
        <w:spacing w:line="240" w:lineRule="auto"/>
        <w:jc w:val="both"/>
        <w:rPr>
          <w:rFonts w:eastAsiaTheme="minorHAnsi" w:cs="Arial"/>
          <w:i/>
          <w:iCs/>
          <w:color w:val="808080" w:themeColor="background1" w:themeShade="80"/>
          <w:szCs w:val="20"/>
        </w:rPr>
      </w:pPr>
    </w:p>
    <w:p w14:paraId="7886C220" w14:textId="77777777" w:rsidR="002B0E6F" w:rsidRPr="005E4BEA" w:rsidRDefault="002B0E6F" w:rsidP="002B0E6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4D2363E" w14:textId="77777777" w:rsidR="002B0E6F" w:rsidRPr="005E4BEA" w:rsidRDefault="002B0E6F" w:rsidP="002B0E6F">
      <w:pPr>
        <w:spacing w:line="0" w:lineRule="atLeast"/>
        <w:jc w:val="both"/>
        <w:rPr>
          <w:rFonts w:eastAsia="Arial Narrow" w:cs="Arial"/>
          <w:szCs w:val="20"/>
          <w:lang w:eastAsia="sl-SI"/>
        </w:rPr>
      </w:pPr>
    </w:p>
    <w:p w14:paraId="6F77C2A9" w14:textId="625EDD22" w:rsidR="002B0E6F" w:rsidRPr="005E4BEA" w:rsidRDefault="002B0E6F" w:rsidP="002B0E6F">
      <w:pPr>
        <w:spacing w:line="0" w:lineRule="atLeast"/>
        <w:jc w:val="both"/>
        <w:rPr>
          <w:rFonts w:eastAsia="Arial Narrow" w:cs="Arial"/>
          <w:szCs w:val="20"/>
        </w:rPr>
      </w:pPr>
      <w:r w:rsidRPr="005E4BEA">
        <w:rPr>
          <w:rFonts w:eastAsia="Arial Narrow" w:cs="Arial"/>
          <w:b/>
          <w:szCs w:val="20"/>
        </w:rPr>
        <w:lastRenderedPageBreak/>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 člen Splošnega dogovora za pogodbeno leto 2022 ne spremeni.</w:t>
      </w:r>
    </w:p>
    <w:p w14:paraId="6073BAF0" w14:textId="77777777" w:rsidR="002B0E6F" w:rsidRPr="005E4BEA" w:rsidRDefault="002B0E6F" w:rsidP="002B0E6F">
      <w:pPr>
        <w:spacing w:line="0" w:lineRule="atLeast"/>
        <w:jc w:val="both"/>
        <w:rPr>
          <w:rFonts w:eastAsia="Arial Narrow" w:cs="Arial"/>
          <w:szCs w:val="20"/>
        </w:rPr>
      </w:pPr>
    </w:p>
    <w:p w14:paraId="6F150E39" w14:textId="7B2153DF" w:rsidR="00C13E13" w:rsidRPr="005E4BEA" w:rsidRDefault="00C13E1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w:t>
      </w:r>
    </w:p>
    <w:p w14:paraId="489B88FF" w14:textId="77777777" w:rsidR="00C13E13" w:rsidRPr="005E4BEA" w:rsidRDefault="00C13E13" w:rsidP="00C13E13">
      <w:pPr>
        <w:spacing w:line="0" w:lineRule="atLeast"/>
        <w:ind w:left="360"/>
        <w:contextualSpacing/>
        <w:jc w:val="both"/>
        <w:rPr>
          <w:rFonts w:eastAsia="Arial Narrow" w:cs="Arial"/>
          <w:b/>
          <w:szCs w:val="20"/>
        </w:rPr>
      </w:pPr>
    </w:p>
    <w:p w14:paraId="4180A001" w14:textId="1DD9C820" w:rsidR="00FE461F" w:rsidRPr="005E4BEA" w:rsidRDefault="00C13E13" w:rsidP="00FE461F">
      <w:pPr>
        <w:spacing w:line="240" w:lineRule="auto"/>
        <w:jc w:val="both"/>
        <w:rPr>
          <w:rFonts w:cs="Arial"/>
          <w:bCs/>
          <w:szCs w:val="20"/>
        </w:rPr>
      </w:pPr>
      <w:r w:rsidRPr="005E4BEA">
        <w:rPr>
          <w:rFonts w:eastAsia="Arial Narrow" w:cs="Arial"/>
          <w:b/>
          <w:szCs w:val="20"/>
        </w:rPr>
        <w:t xml:space="preserve">Zavod za zdravstveno zavarovanje Slovenije </w:t>
      </w:r>
      <w:r w:rsidRPr="005E4BEA">
        <w:rPr>
          <w:rFonts w:eastAsia="Arial Narrow" w:cs="Arial"/>
          <w:bCs/>
          <w:szCs w:val="20"/>
        </w:rPr>
        <w:t xml:space="preserve">predlaga, da se v 3. členu </w:t>
      </w:r>
      <w:r w:rsidR="00FE461F" w:rsidRPr="005E4BEA">
        <w:rPr>
          <w:rFonts w:cs="Arial"/>
          <w:bCs/>
          <w:szCs w:val="20"/>
        </w:rPr>
        <w:t>v (1) odstavku v točki 5. 1. v drugi alineji se v tabeli briše pulmologija.</w:t>
      </w:r>
    </w:p>
    <w:p w14:paraId="7E872BE3" w14:textId="77777777" w:rsidR="00FE461F" w:rsidRPr="005E4BEA" w:rsidRDefault="00FE461F" w:rsidP="00FE461F">
      <w:pPr>
        <w:spacing w:line="240" w:lineRule="exact"/>
        <w:jc w:val="both"/>
        <w:rPr>
          <w:rFonts w:cs="Arial"/>
          <w:szCs w:val="20"/>
        </w:rPr>
      </w:pPr>
    </w:p>
    <w:p w14:paraId="22ABA864" w14:textId="77777777" w:rsidR="00FE461F" w:rsidRPr="005E4BEA" w:rsidRDefault="00FE461F" w:rsidP="00FE461F">
      <w:pPr>
        <w:spacing w:line="240" w:lineRule="auto"/>
        <w:jc w:val="both"/>
        <w:rPr>
          <w:rFonts w:cs="Arial"/>
          <w:b/>
          <w:bCs/>
          <w:szCs w:val="20"/>
        </w:rPr>
      </w:pPr>
      <w:r w:rsidRPr="005E4BEA">
        <w:rPr>
          <w:rFonts w:cs="Arial"/>
          <w:b/>
          <w:bCs/>
          <w:szCs w:val="20"/>
        </w:rPr>
        <w:t>V 16. členu:</w:t>
      </w:r>
    </w:p>
    <w:p w14:paraId="2E67C0CC" w14:textId="77777777" w:rsidR="00FE461F" w:rsidRPr="005E4BEA" w:rsidRDefault="00FE461F" w:rsidP="00FE461F">
      <w:pPr>
        <w:spacing w:line="120" w:lineRule="auto"/>
        <w:jc w:val="both"/>
        <w:rPr>
          <w:rFonts w:cs="Arial"/>
          <w:b/>
          <w:bCs/>
          <w:szCs w:val="20"/>
        </w:rPr>
      </w:pPr>
    </w:p>
    <w:p w14:paraId="5D5C1BFD" w14:textId="77777777" w:rsidR="00FE461F" w:rsidRPr="005E4BEA" w:rsidRDefault="00FE461F" w:rsidP="00FE461F">
      <w:pPr>
        <w:spacing w:line="240" w:lineRule="auto"/>
        <w:ind w:left="284" w:hanging="284"/>
        <w:jc w:val="both"/>
        <w:rPr>
          <w:rFonts w:cs="Arial"/>
          <w:b/>
          <w:bCs/>
          <w:szCs w:val="20"/>
        </w:rPr>
      </w:pPr>
      <w:r w:rsidRPr="005E4BEA">
        <w:rPr>
          <w:rFonts w:cs="Arial"/>
          <w:b/>
          <w:bCs/>
          <w:szCs w:val="20"/>
        </w:rPr>
        <w:t>- v (1) odstavku se na koncu doda nova 27. točka, ki se glasi:</w:t>
      </w:r>
    </w:p>
    <w:p w14:paraId="31AA967F" w14:textId="77777777" w:rsidR="00FE461F" w:rsidRPr="005E4BEA" w:rsidRDefault="00FE461F" w:rsidP="00FE461F">
      <w:pPr>
        <w:spacing w:line="60" w:lineRule="exact"/>
        <w:jc w:val="both"/>
        <w:rPr>
          <w:rFonts w:cs="Arial"/>
          <w:szCs w:val="20"/>
        </w:rPr>
      </w:pPr>
    </w:p>
    <w:p w14:paraId="785C5AF4" w14:textId="77777777" w:rsidR="00FE461F" w:rsidRPr="005E4BEA" w:rsidRDefault="00FE461F" w:rsidP="00FE461F">
      <w:pPr>
        <w:spacing w:line="240" w:lineRule="auto"/>
        <w:ind w:left="142"/>
        <w:jc w:val="both"/>
        <w:rPr>
          <w:rFonts w:cs="Arial"/>
          <w:szCs w:val="20"/>
        </w:rPr>
      </w:pPr>
      <w:r w:rsidRPr="005E4BEA">
        <w:rPr>
          <w:rFonts w:cs="Arial"/>
          <w:szCs w:val="20"/>
        </w:rPr>
        <w:t xml:space="preserve">»27. V specialistični </w:t>
      </w:r>
      <w:proofErr w:type="spellStart"/>
      <w:r w:rsidRPr="005E4BEA">
        <w:rPr>
          <w:rFonts w:cs="Arial"/>
          <w:szCs w:val="20"/>
        </w:rPr>
        <w:t>zunajbolnišnični</w:t>
      </w:r>
      <w:proofErr w:type="spellEnd"/>
      <w:r w:rsidRPr="005E4BEA">
        <w:rPr>
          <w:rFonts w:cs="Arial"/>
          <w:szCs w:val="20"/>
        </w:rPr>
        <w:t xml:space="preserve"> dejavnosti </w:t>
      </w:r>
      <w:proofErr w:type="spellStart"/>
      <w:r w:rsidRPr="005E4BEA">
        <w:rPr>
          <w:rFonts w:cs="Arial"/>
          <w:szCs w:val="20"/>
        </w:rPr>
        <w:t>pnevmologije</w:t>
      </w:r>
      <w:proofErr w:type="spellEnd"/>
      <w:r w:rsidRPr="005E4BEA">
        <w:rPr>
          <w:rFonts w:cs="Arial"/>
          <w:szCs w:val="20"/>
        </w:rPr>
        <w:t xml:space="preserve"> (229 239): alergeni za podkožno </w:t>
      </w:r>
      <w:proofErr w:type="spellStart"/>
      <w:r w:rsidRPr="005E4BEA">
        <w:rPr>
          <w:rFonts w:cs="Arial"/>
          <w:szCs w:val="20"/>
        </w:rPr>
        <w:t>imunoterapijo</w:t>
      </w:r>
      <w:proofErr w:type="spellEnd"/>
      <w:r w:rsidRPr="005E4BEA">
        <w:rPr>
          <w:rFonts w:cs="Arial"/>
          <w:szCs w:val="20"/>
        </w:rPr>
        <w:t>.«</w:t>
      </w:r>
    </w:p>
    <w:p w14:paraId="0A1A3429" w14:textId="77777777" w:rsidR="00FE461F" w:rsidRPr="005E4BEA" w:rsidRDefault="00FE461F" w:rsidP="00FE461F">
      <w:pPr>
        <w:spacing w:line="120" w:lineRule="auto"/>
        <w:jc w:val="both"/>
        <w:rPr>
          <w:rFonts w:cs="Arial"/>
          <w:szCs w:val="20"/>
        </w:rPr>
      </w:pPr>
    </w:p>
    <w:p w14:paraId="2A4FC391" w14:textId="77777777" w:rsidR="00FE461F" w:rsidRPr="005E4BEA" w:rsidRDefault="00FE461F" w:rsidP="00FE461F">
      <w:pPr>
        <w:spacing w:line="240" w:lineRule="auto"/>
        <w:ind w:left="284" w:hanging="284"/>
        <w:jc w:val="both"/>
        <w:rPr>
          <w:rFonts w:cs="Arial"/>
          <w:b/>
          <w:bCs/>
          <w:szCs w:val="20"/>
        </w:rPr>
      </w:pPr>
      <w:r w:rsidRPr="005E4BEA">
        <w:rPr>
          <w:rFonts w:cs="Arial"/>
          <w:b/>
          <w:bCs/>
          <w:szCs w:val="20"/>
        </w:rPr>
        <w:t>- v (6) odstavku v prvem stavku se za besedo »otorinolaringologija« doda beseda »</w:t>
      </w:r>
      <w:proofErr w:type="spellStart"/>
      <w:r w:rsidRPr="005E4BEA">
        <w:rPr>
          <w:rFonts w:cs="Arial"/>
          <w:b/>
          <w:bCs/>
          <w:szCs w:val="20"/>
        </w:rPr>
        <w:t>pnevmologija</w:t>
      </w:r>
      <w:proofErr w:type="spellEnd"/>
      <w:r w:rsidRPr="005E4BEA">
        <w:rPr>
          <w:rFonts w:cs="Arial"/>
          <w:b/>
          <w:bCs/>
          <w:szCs w:val="20"/>
        </w:rPr>
        <w:t>«, v tabeli se »pulmologija« preimenuje v »</w:t>
      </w:r>
      <w:proofErr w:type="spellStart"/>
      <w:r w:rsidRPr="005E4BEA">
        <w:rPr>
          <w:rFonts w:cs="Arial"/>
          <w:b/>
          <w:bCs/>
          <w:szCs w:val="20"/>
        </w:rPr>
        <w:t>pnevmologija</w:t>
      </w:r>
      <w:proofErr w:type="spellEnd"/>
      <w:r w:rsidRPr="005E4BEA">
        <w:rPr>
          <w:rFonts w:cs="Arial"/>
          <w:b/>
          <w:bCs/>
          <w:szCs w:val="20"/>
        </w:rPr>
        <w:t>«, odstotek pa se poveča iz 10,46 na 16,14.</w:t>
      </w:r>
    </w:p>
    <w:p w14:paraId="510E4DC4" w14:textId="77777777" w:rsidR="00FE461F" w:rsidRPr="005E4BEA" w:rsidRDefault="00FE461F" w:rsidP="00FE461F">
      <w:pPr>
        <w:spacing w:line="240" w:lineRule="auto"/>
        <w:ind w:left="284" w:hanging="284"/>
        <w:jc w:val="both"/>
        <w:rPr>
          <w:rFonts w:cs="Arial"/>
          <w:b/>
          <w:bCs/>
          <w:szCs w:val="20"/>
        </w:rPr>
      </w:pPr>
    </w:p>
    <w:p w14:paraId="2CCA4BF8" w14:textId="77777777" w:rsidR="00FE461F" w:rsidRPr="005E4BEA" w:rsidRDefault="00FE461F" w:rsidP="00FE461F">
      <w:pPr>
        <w:spacing w:line="240" w:lineRule="auto"/>
        <w:ind w:left="284" w:hanging="284"/>
        <w:jc w:val="both"/>
        <w:rPr>
          <w:rFonts w:cs="Arial"/>
          <w:b/>
          <w:bCs/>
          <w:szCs w:val="20"/>
        </w:rPr>
      </w:pPr>
    </w:p>
    <w:p w14:paraId="67D134EB" w14:textId="77777777" w:rsidR="00FE461F" w:rsidRPr="005E4BEA" w:rsidRDefault="00FE461F" w:rsidP="00FE461F">
      <w:pPr>
        <w:spacing w:line="240" w:lineRule="auto"/>
        <w:jc w:val="both"/>
        <w:rPr>
          <w:rFonts w:cs="Arial"/>
          <w:b/>
          <w:bCs/>
          <w:szCs w:val="20"/>
        </w:rPr>
      </w:pPr>
      <w:r w:rsidRPr="005E4BEA">
        <w:rPr>
          <w:rFonts w:cs="Arial"/>
          <w:b/>
          <w:bCs/>
          <w:szCs w:val="20"/>
        </w:rPr>
        <w:t>V 24. členu:</w:t>
      </w:r>
    </w:p>
    <w:p w14:paraId="5FE814AE" w14:textId="77777777" w:rsidR="00FE461F" w:rsidRPr="005E4BEA" w:rsidRDefault="00FE461F" w:rsidP="00FE461F">
      <w:pPr>
        <w:spacing w:before="120" w:after="120" w:line="240" w:lineRule="auto"/>
        <w:ind w:left="284" w:hanging="284"/>
        <w:jc w:val="both"/>
        <w:rPr>
          <w:rFonts w:cs="Arial"/>
          <w:b/>
          <w:bCs/>
          <w:szCs w:val="20"/>
        </w:rPr>
      </w:pPr>
      <w:r w:rsidRPr="005E4BEA">
        <w:rPr>
          <w:rFonts w:cs="Arial"/>
          <w:b/>
          <w:bCs/>
          <w:szCs w:val="20"/>
        </w:rPr>
        <w:t xml:space="preserve"> - v (5) odstavku se dodata novi točki, ki se glasita:</w:t>
      </w:r>
    </w:p>
    <w:tbl>
      <w:tblPr>
        <w:tblStyle w:val="Tabelamrea114"/>
        <w:tblW w:w="8835" w:type="dxa"/>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4326"/>
        <w:gridCol w:w="851"/>
        <w:gridCol w:w="992"/>
        <w:gridCol w:w="1278"/>
        <w:gridCol w:w="1388"/>
      </w:tblGrid>
      <w:tr w:rsidR="00FE461F" w:rsidRPr="005E4BEA" w14:paraId="5BD1FB56" w14:textId="77777777" w:rsidTr="0016774B">
        <w:trPr>
          <w:jc w:val="center"/>
        </w:trPr>
        <w:tc>
          <w:tcPr>
            <w:tcW w:w="4326" w:type="dxa"/>
            <w:shd w:val="clear" w:color="auto" w:fill="auto"/>
            <w:vAlign w:val="center"/>
          </w:tcPr>
          <w:p w14:paraId="656E33F8" w14:textId="77777777" w:rsidR="00FE461F" w:rsidRPr="005E4BEA" w:rsidRDefault="00FE461F" w:rsidP="00FE461F">
            <w:pPr>
              <w:spacing w:line="240" w:lineRule="auto"/>
              <w:ind w:left="-31"/>
              <w:jc w:val="both"/>
              <w:rPr>
                <w:rFonts w:cs="Arial"/>
                <w:spacing w:val="20"/>
                <w:sz w:val="20"/>
                <w:szCs w:val="20"/>
              </w:rPr>
            </w:pPr>
            <w:r w:rsidRPr="005E4BEA">
              <w:rPr>
                <w:rFonts w:cs="Arial"/>
                <w:spacing w:val="20"/>
                <w:sz w:val="20"/>
                <w:szCs w:val="20"/>
              </w:rPr>
              <w:t>Program</w:t>
            </w:r>
          </w:p>
        </w:tc>
        <w:tc>
          <w:tcPr>
            <w:tcW w:w="851" w:type="dxa"/>
            <w:shd w:val="clear" w:color="auto" w:fill="auto"/>
            <w:vAlign w:val="center"/>
          </w:tcPr>
          <w:p w14:paraId="4FCCAC5A" w14:textId="77777777" w:rsidR="00FE461F" w:rsidRPr="005E4BEA" w:rsidRDefault="00FE461F" w:rsidP="00FE461F">
            <w:pPr>
              <w:spacing w:line="240" w:lineRule="auto"/>
              <w:ind w:left="-21"/>
              <w:jc w:val="both"/>
              <w:rPr>
                <w:rFonts w:cs="Arial"/>
                <w:sz w:val="20"/>
                <w:szCs w:val="20"/>
              </w:rPr>
            </w:pPr>
            <w:r w:rsidRPr="005E4BEA">
              <w:rPr>
                <w:rFonts w:cs="Arial"/>
                <w:sz w:val="20"/>
                <w:szCs w:val="20"/>
              </w:rPr>
              <w:t>Izvajalec</w:t>
            </w:r>
          </w:p>
        </w:tc>
        <w:tc>
          <w:tcPr>
            <w:tcW w:w="992" w:type="dxa"/>
            <w:shd w:val="clear" w:color="auto" w:fill="auto"/>
            <w:vAlign w:val="center"/>
          </w:tcPr>
          <w:p w14:paraId="79FCCAD0" w14:textId="77777777" w:rsidR="00FE461F" w:rsidRPr="005E4BEA" w:rsidRDefault="00FE461F" w:rsidP="00FE461F">
            <w:pPr>
              <w:spacing w:line="240" w:lineRule="auto"/>
              <w:jc w:val="both"/>
              <w:rPr>
                <w:rFonts w:cs="Arial"/>
                <w:sz w:val="20"/>
                <w:szCs w:val="20"/>
              </w:rPr>
            </w:pPr>
            <w:r w:rsidRPr="005E4BEA">
              <w:rPr>
                <w:rFonts w:cs="Arial"/>
                <w:sz w:val="20"/>
                <w:szCs w:val="20"/>
              </w:rPr>
              <w:t>Obseg programa</w:t>
            </w:r>
          </w:p>
        </w:tc>
        <w:tc>
          <w:tcPr>
            <w:tcW w:w="1278" w:type="dxa"/>
            <w:shd w:val="clear" w:color="auto" w:fill="auto"/>
            <w:vAlign w:val="center"/>
          </w:tcPr>
          <w:p w14:paraId="71FD90C2" w14:textId="77777777" w:rsidR="00FE461F" w:rsidRPr="005E4BEA" w:rsidRDefault="00FE461F" w:rsidP="00FE461F">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letna raven</w:t>
            </w:r>
            <w:r w:rsidRPr="005E4BEA">
              <w:rPr>
                <w:rFonts w:cs="Arial"/>
                <w:sz w:val="20"/>
                <w:szCs w:val="20"/>
              </w:rPr>
              <w:br/>
              <w:t>(v EUR)</w:t>
            </w:r>
          </w:p>
        </w:tc>
        <w:tc>
          <w:tcPr>
            <w:tcW w:w="1388" w:type="dxa"/>
            <w:shd w:val="clear" w:color="auto" w:fill="auto"/>
            <w:vAlign w:val="center"/>
          </w:tcPr>
          <w:p w14:paraId="27A764C7" w14:textId="77777777" w:rsidR="00FE461F" w:rsidRPr="005E4BEA" w:rsidRDefault="00FE461F" w:rsidP="00FE461F">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1.1.-31.12.2022</w:t>
            </w:r>
            <w:r w:rsidRPr="005E4BEA">
              <w:rPr>
                <w:rFonts w:cs="Arial"/>
                <w:sz w:val="20"/>
                <w:szCs w:val="20"/>
              </w:rPr>
              <w:br/>
              <w:t>(v EUR)</w:t>
            </w:r>
          </w:p>
        </w:tc>
      </w:tr>
      <w:tr w:rsidR="00FE461F" w:rsidRPr="005E4BEA" w14:paraId="6F49731D" w14:textId="77777777" w:rsidTr="0016774B">
        <w:trPr>
          <w:trHeight w:val="454"/>
          <w:jc w:val="center"/>
        </w:trPr>
        <w:tc>
          <w:tcPr>
            <w:tcW w:w="4326" w:type="dxa"/>
            <w:vAlign w:val="center"/>
          </w:tcPr>
          <w:p w14:paraId="21A3F24D" w14:textId="77777777" w:rsidR="00FE461F" w:rsidRPr="005E4BEA" w:rsidRDefault="00FE461F" w:rsidP="00FE461F">
            <w:pPr>
              <w:spacing w:line="240" w:lineRule="auto"/>
              <w:ind w:left="-31"/>
              <w:rPr>
                <w:rFonts w:cs="Arial"/>
                <w:sz w:val="20"/>
                <w:szCs w:val="20"/>
              </w:rPr>
            </w:pPr>
            <w:r w:rsidRPr="005E4BEA">
              <w:rPr>
                <w:rFonts w:cs="Arial"/>
                <w:sz w:val="20"/>
                <w:szCs w:val="20"/>
              </w:rPr>
              <w:t xml:space="preserve">Specialistična </w:t>
            </w:r>
            <w:proofErr w:type="spellStart"/>
            <w:r w:rsidRPr="005E4BEA">
              <w:rPr>
                <w:rFonts w:cs="Arial"/>
                <w:sz w:val="20"/>
                <w:szCs w:val="20"/>
              </w:rPr>
              <w:t>zunajbolnišnična</w:t>
            </w:r>
            <w:proofErr w:type="spellEnd"/>
            <w:r w:rsidRPr="005E4BEA">
              <w:rPr>
                <w:rFonts w:cs="Arial"/>
                <w:sz w:val="20"/>
                <w:szCs w:val="20"/>
              </w:rPr>
              <w:t xml:space="preserve"> dejavnost </w:t>
            </w:r>
            <w:proofErr w:type="spellStart"/>
            <w:r w:rsidRPr="005E4BEA">
              <w:rPr>
                <w:rFonts w:cs="Arial"/>
                <w:sz w:val="20"/>
                <w:szCs w:val="20"/>
              </w:rPr>
              <w:t>pnevmologije</w:t>
            </w:r>
            <w:proofErr w:type="spellEnd"/>
            <w:r w:rsidRPr="005E4BEA">
              <w:rPr>
                <w:rFonts w:cs="Arial"/>
                <w:sz w:val="20"/>
                <w:szCs w:val="20"/>
              </w:rPr>
              <w:t xml:space="preserve"> – alergeni za podkožno </w:t>
            </w:r>
            <w:proofErr w:type="spellStart"/>
            <w:r w:rsidRPr="005E4BEA">
              <w:rPr>
                <w:rFonts w:cs="Arial"/>
                <w:sz w:val="20"/>
                <w:szCs w:val="20"/>
              </w:rPr>
              <w:t>imunoterapijo</w:t>
            </w:r>
            <w:proofErr w:type="spellEnd"/>
            <w:r w:rsidRPr="005E4BEA">
              <w:rPr>
                <w:rFonts w:cs="Arial"/>
                <w:sz w:val="20"/>
                <w:szCs w:val="20"/>
              </w:rPr>
              <w:t xml:space="preserve"> – cenejši, dražji</w:t>
            </w:r>
          </w:p>
          <w:p w14:paraId="29934892" w14:textId="77777777" w:rsidR="00FE461F" w:rsidRPr="005E4BEA" w:rsidRDefault="00FE461F" w:rsidP="00FE461F">
            <w:pPr>
              <w:spacing w:line="240" w:lineRule="auto"/>
              <w:ind w:left="-31"/>
              <w:rPr>
                <w:rFonts w:cs="Arial"/>
                <w:sz w:val="20"/>
                <w:szCs w:val="20"/>
              </w:rPr>
            </w:pPr>
            <w:r w:rsidRPr="005E4BEA">
              <w:rPr>
                <w:rFonts w:cs="Arial"/>
                <w:sz w:val="20"/>
                <w:szCs w:val="20"/>
              </w:rPr>
              <w:t>Od 1. 1. 2023</w:t>
            </w:r>
          </w:p>
        </w:tc>
        <w:tc>
          <w:tcPr>
            <w:tcW w:w="851" w:type="dxa"/>
            <w:vAlign w:val="center"/>
          </w:tcPr>
          <w:p w14:paraId="1253BF4A" w14:textId="77777777" w:rsidR="00FE461F" w:rsidRPr="005E4BEA" w:rsidRDefault="00FE461F" w:rsidP="00FE461F">
            <w:pPr>
              <w:spacing w:line="240" w:lineRule="auto"/>
              <w:ind w:left="284"/>
              <w:jc w:val="both"/>
              <w:rPr>
                <w:rFonts w:cs="Arial"/>
                <w:sz w:val="20"/>
                <w:szCs w:val="20"/>
              </w:rPr>
            </w:pPr>
          </w:p>
        </w:tc>
        <w:tc>
          <w:tcPr>
            <w:tcW w:w="992" w:type="dxa"/>
            <w:vAlign w:val="center"/>
          </w:tcPr>
          <w:p w14:paraId="31DE40D7" w14:textId="77777777" w:rsidR="00FE461F" w:rsidRPr="005E4BEA" w:rsidRDefault="00FE461F" w:rsidP="00FE461F">
            <w:pPr>
              <w:spacing w:line="240" w:lineRule="auto"/>
              <w:ind w:left="284"/>
              <w:jc w:val="both"/>
              <w:rPr>
                <w:rFonts w:cs="Arial"/>
                <w:sz w:val="20"/>
                <w:szCs w:val="20"/>
              </w:rPr>
            </w:pPr>
          </w:p>
        </w:tc>
        <w:tc>
          <w:tcPr>
            <w:tcW w:w="1278" w:type="dxa"/>
            <w:vAlign w:val="center"/>
          </w:tcPr>
          <w:p w14:paraId="366A5278" w14:textId="77777777" w:rsidR="00FE461F" w:rsidRPr="005E4BEA" w:rsidRDefault="00FE461F" w:rsidP="00FE461F">
            <w:pPr>
              <w:spacing w:line="240" w:lineRule="auto"/>
              <w:ind w:left="-24"/>
              <w:jc w:val="right"/>
              <w:rPr>
                <w:rFonts w:cs="Arial"/>
                <w:sz w:val="20"/>
                <w:szCs w:val="20"/>
              </w:rPr>
            </w:pPr>
            <w:r w:rsidRPr="005E4BEA">
              <w:rPr>
                <w:rFonts w:cs="Arial"/>
                <w:sz w:val="20"/>
                <w:szCs w:val="20"/>
              </w:rPr>
              <w:t>690.000</w:t>
            </w:r>
          </w:p>
        </w:tc>
        <w:tc>
          <w:tcPr>
            <w:tcW w:w="1388" w:type="dxa"/>
            <w:vAlign w:val="center"/>
          </w:tcPr>
          <w:p w14:paraId="27EAA1AF" w14:textId="77777777" w:rsidR="00FE461F" w:rsidRPr="005E4BEA" w:rsidRDefault="00FE461F" w:rsidP="00FE461F">
            <w:pPr>
              <w:spacing w:line="240" w:lineRule="auto"/>
              <w:ind w:left="284"/>
              <w:jc w:val="both"/>
              <w:rPr>
                <w:rFonts w:cs="Arial"/>
                <w:strike/>
                <w:sz w:val="20"/>
                <w:szCs w:val="20"/>
              </w:rPr>
            </w:pPr>
          </w:p>
        </w:tc>
      </w:tr>
      <w:tr w:rsidR="00FE461F" w:rsidRPr="005E4BEA" w14:paraId="642C8D39" w14:textId="77777777" w:rsidTr="0016774B">
        <w:trPr>
          <w:trHeight w:val="454"/>
          <w:jc w:val="center"/>
        </w:trPr>
        <w:tc>
          <w:tcPr>
            <w:tcW w:w="4326" w:type="dxa"/>
            <w:vAlign w:val="center"/>
          </w:tcPr>
          <w:p w14:paraId="6FD216BE" w14:textId="77777777" w:rsidR="00FE461F" w:rsidRPr="005E4BEA" w:rsidRDefault="00FE461F" w:rsidP="00FE461F">
            <w:pPr>
              <w:spacing w:line="240" w:lineRule="auto"/>
              <w:ind w:left="-31"/>
              <w:rPr>
                <w:rFonts w:cs="Arial"/>
                <w:sz w:val="20"/>
                <w:szCs w:val="20"/>
              </w:rPr>
            </w:pPr>
            <w:bookmarkStart w:id="2" w:name="_Hlk102983200"/>
            <w:r w:rsidRPr="005E4BEA">
              <w:rPr>
                <w:rFonts w:cs="Arial"/>
                <w:sz w:val="20"/>
                <w:szCs w:val="20"/>
              </w:rPr>
              <w:t xml:space="preserve">Specialistična </w:t>
            </w:r>
            <w:proofErr w:type="spellStart"/>
            <w:r w:rsidRPr="005E4BEA">
              <w:rPr>
                <w:rFonts w:cs="Arial"/>
                <w:sz w:val="20"/>
                <w:szCs w:val="20"/>
              </w:rPr>
              <w:t>zunajbolnišnična</w:t>
            </w:r>
            <w:proofErr w:type="spellEnd"/>
            <w:r w:rsidRPr="005E4BEA">
              <w:rPr>
                <w:rFonts w:cs="Arial"/>
                <w:sz w:val="20"/>
                <w:szCs w:val="20"/>
              </w:rPr>
              <w:t xml:space="preserve"> dejavnost </w:t>
            </w:r>
            <w:proofErr w:type="spellStart"/>
            <w:r w:rsidRPr="005E4BEA">
              <w:rPr>
                <w:rFonts w:cs="Arial"/>
                <w:sz w:val="20"/>
                <w:szCs w:val="20"/>
              </w:rPr>
              <w:t>pnevmologije</w:t>
            </w:r>
            <w:proofErr w:type="spellEnd"/>
            <w:r w:rsidRPr="005E4BEA">
              <w:rPr>
                <w:rFonts w:cs="Arial"/>
                <w:sz w:val="20"/>
                <w:szCs w:val="20"/>
              </w:rPr>
              <w:t xml:space="preserve"> </w:t>
            </w:r>
            <w:bookmarkEnd w:id="2"/>
            <w:r w:rsidRPr="005E4BEA">
              <w:rPr>
                <w:rFonts w:cs="Arial"/>
                <w:sz w:val="20"/>
                <w:szCs w:val="20"/>
              </w:rPr>
              <w:t>– nov model plačevanja</w:t>
            </w:r>
          </w:p>
          <w:p w14:paraId="69BF76EC" w14:textId="77777777" w:rsidR="00FE461F" w:rsidRPr="005E4BEA" w:rsidRDefault="00FE461F" w:rsidP="00FE461F">
            <w:pPr>
              <w:spacing w:line="240" w:lineRule="auto"/>
              <w:ind w:left="-31"/>
              <w:rPr>
                <w:rFonts w:cs="Arial"/>
                <w:sz w:val="20"/>
                <w:szCs w:val="20"/>
              </w:rPr>
            </w:pPr>
            <w:r w:rsidRPr="005E4BEA">
              <w:rPr>
                <w:rFonts w:cs="Arial"/>
                <w:sz w:val="20"/>
                <w:szCs w:val="20"/>
              </w:rPr>
              <w:t>Od 1. 1. 2023</w:t>
            </w:r>
          </w:p>
        </w:tc>
        <w:tc>
          <w:tcPr>
            <w:tcW w:w="851" w:type="dxa"/>
            <w:vAlign w:val="center"/>
          </w:tcPr>
          <w:p w14:paraId="71423E55" w14:textId="77777777" w:rsidR="00FE461F" w:rsidRPr="005E4BEA" w:rsidRDefault="00FE461F" w:rsidP="00FE461F">
            <w:pPr>
              <w:spacing w:line="240" w:lineRule="auto"/>
              <w:ind w:left="284"/>
              <w:jc w:val="both"/>
              <w:rPr>
                <w:rFonts w:cs="Arial"/>
                <w:sz w:val="20"/>
                <w:szCs w:val="20"/>
              </w:rPr>
            </w:pPr>
          </w:p>
        </w:tc>
        <w:tc>
          <w:tcPr>
            <w:tcW w:w="992" w:type="dxa"/>
            <w:vAlign w:val="center"/>
          </w:tcPr>
          <w:p w14:paraId="155E33B9" w14:textId="77777777" w:rsidR="00FE461F" w:rsidRPr="005E4BEA" w:rsidRDefault="00FE461F" w:rsidP="00FE461F">
            <w:pPr>
              <w:spacing w:line="240" w:lineRule="auto"/>
              <w:ind w:left="284"/>
              <w:jc w:val="both"/>
              <w:rPr>
                <w:rFonts w:cs="Arial"/>
                <w:sz w:val="20"/>
                <w:szCs w:val="20"/>
              </w:rPr>
            </w:pPr>
          </w:p>
        </w:tc>
        <w:tc>
          <w:tcPr>
            <w:tcW w:w="1278" w:type="dxa"/>
            <w:vAlign w:val="center"/>
          </w:tcPr>
          <w:p w14:paraId="59F308F6" w14:textId="77777777" w:rsidR="00FE461F" w:rsidRPr="005E4BEA" w:rsidRDefault="00FE461F" w:rsidP="00FE461F">
            <w:pPr>
              <w:spacing w:line="240" w:lineRule="auto"/>
              <w:ind w:left="-24"/>
              <w:jc w:val="right"/>
              <w:rPr>
                <w:rFonts w:cs="Arial"/>
                <w:sz w:val="20"/>
                <w:szCs w:val="20"/>
              </w:rPr>
            </w:pPr>
            <w:r w:rsidRPr="005E4BEA">
              <w:rPr>
                <w:rFonts w:cs="Arial"/>
                <w:sz w:val="20"/>
                <w:szCs w:val="20"/>
              </w:rPr>
              <w:t>1.543.860</w:t>
            </w:r>
          </w:p>
        </w:tc>
        <w:tc>
          <w:tcPr>
            <w:tcW w:w="1388" w:type="dxa"/>
            <w:vAlign w:val="center"/>
          </w:tcPr>
          <w:p w14:paraId="5BABAD84" w14:textId="77777777" w:rsidR="00FE461F" w:rsidRPr="005E4BEA" w:rsidRDefault="00FE461F" w:rsidP="00FE461F">
            <w:pPr>
              <w:spacing w:line="240" w:lineRule="auto"/>
              <w:ind w:left="284"/>
              <w:jc w:val="both"/>
              <w:rPr>
                <w:rFonts w:cs="Arial"/>
                <w:strike/>
                <w:sz w:val="20"/>
                <w:szCs w:val="20"/>
              </w:rPr>
            </w:pPr>
          </w:p>
        </w:tc>
      </w:tr>
    </w:tbl>
    <w:p w14:paraId="1C32AF9B" w14:textId="77777777" w:rsidR="00FE461F" w:rsidRPr="005E4BEA" w:rsidRDefault="00FE461F" w:rsidP="00FE461F">
      <w:pPr>
        <w:spacing w:line="240" w:lineRule="auto"/>
        <w:ind w:left="284"/>
        <w:jc w:val="both"/>
        <w:rPr>
          <w:rFonts w:cs="Arial"/>
          <w:szCs w:val="20"/>
        </w:rPr>
      </w:pPr>
    </w:p>
    <w:p w14:paraId="5F87965D" w14:textId="77777777" w:rsidR="00FE461F" w:rsidRPr="005E4BEA" w:rsidRDefault="00FE461F" w:rsidP="00FE461F">
      <w:pPr>
        <w:spacing w:after="120" w:line="240" w:lineRule="auto"/>
        <w:ind w:left="284" w:hanging="284"/>
        <w:jc w:val="both"/>
        <w:rPr>
          <w:rFonts w:cs="Arial"/>
          <w:b/>
          <w:bCs/>
          <w:szCs w:val="20"/>
        </w:rPr>
      </w:pPr>
      <w:r w:rsidRPr="005E4BEA">
        <w:rPr>
          <w:rFonts w:cs="Arial"/>
          <w:b/>
          <w:bCs/>
          <w:szCs w:val="20"/>
        </w:rPr>
        <w:t>- v (6) odstavku se doda nova točka, ki se glasi:</w:t>
      </w:r>
    </w:p>
    <w:tbl>
      <w:tblPr>
        <w:tblStyle w:val="Tabelamrea114"/>
        <w:tblW w:w="8863" w:type="dxa"/>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4326"/>
        <w:gridCol w:w="851"/>
        <w:gridCol w:w="992"/>
        <w:gridCol w:w="1276"/>
        <w:gridCol w:w="1418"/>
      </w:tblGrid>
      <w:tr w:rsidR="00FE461F" w:rsidRPr="005E4BEA" w14:paraId="1609D274" w14:textId="77777777" w:rsidTr="0016774B">
        <w:trPr>
          <w:jc w:val="center"/>
        </w:trPr>
        <w:tc>
          <w:tcPr>
            <w:tcW w:w="4326" w:type="dxa"/>
            <w:shd w:val="clear" w:color="auto" w:fill="auto"/>
            <w:vAlign w:val="center"/>
          </w:tcPr>
          <w:p w14:paraId="6FA04B71" w14:textId="77777777" w:rsidR="00FE461F" w:rsidRPr="005E4BEA" w:rsidRDefault="00FE461F" w:rsidP="00FE461F">
            <w:pPr>
              <w:spacing w:line="240" w:lineRule="auto"/>
              <w:jc w:val="both"/>
              <w:rPr>
                <w:rFonts w:cs="Arial"/>
                <w:sz w:val="20"/>
                <w:szCs w:val="20"/>
              </w:rPr>
            </w:pPr>
            <w:r w:rsidRPr="005E4BEA">
              <w:rPr>
                <w:rFonts w:cs="Arial"/>
                <w:spacing w:val="20"/>
                <w:sz w:val="20"/>
                <w:szCs w:val="20"/>
              </w:rPr>
              <w:t>Program</w:t>
            </w:r>
          </w:p>
        </w:tc>
        <w:tc>
          <w:tcPr>
            <w:tcW w:w="851" w:type="dxa"/>
            <w:shd w:val="clear" w:color="auto" w:fill="auto"/>
            <w:vAlign w:val="center"/>
          </w:tcPr>
          <w:p w14:paraId="737B3033" w14:textId="77777777" w:rsidR="00FE461F" w:rsidRPr="005E4BEA" w:rsidRDefault="00FE461F" w:rsidP="00FE461F">
            <w:pPr>
              <w:spacing w:line="240" w:lineRule="auto"/>
              <w:ind w:left="-21"/>
              <w:jc w:val="both"/>
              <w:rPr>
                <w:rFonts w:cs="Arial"/>
                <w:sz w:val="20"/>
                <w:szCs w:val="20"/>
              </w:rPr>
            </w:pPr>
            <w:r w:rsidRPr="005E4BEA">
              <w:rPr>
                <w:rFonts w:cs="Arial"/>
                <w:sz w:val="20"/>
                <w:szCs w:val="20"/>
              </w:rPr>
              <w:t>Izvajalec</w:t>
            </w:r>
          </w:p>
        </w:tc>
        <w:tc>
          <w:tcPr>
            <w:tcW w:w="992" w:type="dxa"/>
            <w:shd w:val="clear" w:color="auto" w:fill="auto"/>
            <w:vAlign w:val="center"/>
          </w:tcPr>
          <w:p w14:paraId="57F501FF" w14:textId="77777777" w:rsidR="00FE461F" w:rsidRPr="005E4BEA" w:rsidRDefault="00FE461F" w:rsidP="00FE461F">
            <w:pPr>
              <w:spacing w:line="240" w:lineRule="auto"/>
              <w:jc w:val="both"/>
              <w:rPr>
                <w:rFonts w:cs="Arial"/>
                <w:sz w:val="20"/>
                <w:szCs w:val="20"/>
              </w:rPr>
            </w:pPr>
            <w:r w:rsidRPr="005E4BEA">
              <w:rPr>
                <w:rFonts w:cs="Arial"/>
                <w:sz w:val="20"/>
                <w:szCs w:val="20"/>
              </w:rPr>
              <w:t>Obseg programa</w:t>
            </w:r>
          </w:p>
        </w:tc>
        <w:tc>
          <w:tcPr>
            <w:tcW w:w="1276" w:type="dxa"/>
            <w:shd w:val="clear" w:color="auto" w:fill="auto"/>
            <w:vAlign w:val="center"/>
          </w:tcPr>
          <w:p w14:paraId="6D5A7C02" w14:textId="77777777" w:rsidR="00FE461F" w:rsidRPr="005E4BEA" w:rsidRDefault="00FE461F" w:rsidP="00FE461F">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letna raven</w:t>
            </w:r>
            <w:r w:rsidRPr="005E4BEA">
              <w:rPr>
                <w:rFonts w:cs="Arial"/>
                <w:sz w:val="20"/>
                <w:szCs w:val="20"/>
              </w:rPr>
              <w:br/>
              <w:t>(v EUR)</w:t>
            </w:r>
          </w:p>
        </w:tc>
        <w:tc>
          <w:tcPr>
            <w:tcW w:w="1418" w:type="dxa"/>
            <w:shd w:val="clear" w:color="auto" w:fill="auto"/>
            <w:vAlign w:val="center"/>
          </w:tcPr>
          <w:p w14:paraId="435459E7" w14:textId="77777777" w:rsidR="00FE461F" w:rsidRPr="005E4BEA" w:rsidRDefault="00FE461F" w:rsidP="00FE461F">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1.1.-31.12.2022</w:t>
            </w:r>
            <w:r w:rsidRPr="005E4BEA">
              <w:rPr>
                <w:rFonts w:cs="Arial"/>
                <w:sz w:val="20"/>
                <w:szCs w:val="20"/>
              </w:rPr>
              <w:br/>
              <w:t>(v EUR)</w:t>
            </w:r>
          </w:p>
        </w:tc>
      </w:tr>
      <w:tr w:rsidR="00FE461F" w:rsidRPr="005E4BEA" w14:paraId="6A952D79" w14:textId="77777777" w:rsidTr="0016774B">
        <w:trPr>
          <w:trHeight w:val="454"/>
          <w:jc w:val="center"/>
        </w:trPr>
        <w:tc>
          <w:tcPr>
            <w:tcW w:w="4326" w:type="dxa"/>
            <w:vAlign w:val="center"/>
          </w:tcPr>
          <w:p w14:paraId="11DB7653" w14:textId="77777777" w:rsidR="00FE461F" w:rsidRPr="005E4BEA" w:rsidRDefault="00FE461F" w:rsidP="00FE461F">
            <w:pPr>
              <w:spacing w:line="240" w:lineRule="auto"/>
              <w:rPr>
                <w:rFonts w:cs="Arial"/>
                <w:sz w:val="20"/>
                <w:szCs w:val="20"/>
              </w:rPr>
            </w:pPr>
            <w:r w:rsidRPr="005E4BEA">
              <w:rPr>
                <w:rFonts w:cs="Arial"/>
                <w:sz w:val="20"/>
                <w:szCs w:val="20"/>
              </w:rPr>
              <w:t xml:space="preserve">Specialistična </w:t>
            </w:r>
            <w:proofErr w:type="spellStart"/>
            <w:r w:rsidRPr="005E4BEA">
              <w:rPr>
                <w:rFonts w:cs="Arial"/>
                <w:sz w:val="20"/>
                <w:szCs w:val="20"/>
              </w:rPr>
              <w:t>zunajbolnišnična</w:t>
            </w:r>
            <w:proofErr w:type="spellEnd"/>
            <w:r w:rsidRPr="005E4BEA">
              <w:rPr>
                <w:rFonts w:cs="Arial"/>
                <w:sz w:val="20"/>
                <w:szCs w:val="20"/>
              </w:rPr>
              <w:t xml:space="preserve"> dejavnost </w:t>
            </w:r>
            <w:proofErr w:type="spellStart"/>
            <w:r w:rsidRPr="005E4BEA">
              <w:rPr>
                <w:rFonts w:cs="Arial"/>
                <w:sz w:val="20"/>
                <w:szCs w:val="20"/>
              </w:rPr>
              <w:t>pnevmologije</w:t>
            </w:r>
            <w:proofErr w:type="spellEnd"/>
            <w:r w:rsidRPr="005E4BEA">
              <w:rPr>
                <w:rFonts w:cs="Arial"/>
                <w:sz w:val="20"/>
                <w:szCs w:val="20"/>
              </w:rPr>
              <w:t xml:space="preserve"> – dodatni timi v javni zdravstveni mreži*</w:t>
            </w:r>
          </w:p>
          <w:p w14:paraId="2B56FAE3" w14:textId="77777777" w:rsidR="00FE461F" w:rsidRPr="005E4BEA" w:rsidRDefault="00FE461F" w:rsidP="00FE461F">
            <w:pPr>
              <w:spacing w:line="240" w:lineRule="auto"/>
              <w:jc w:val="both"/>
              <w:rPr>
                <w:rFonts w:cs="Arial"/>
                <w:sz w:val="20"/>
                <w:szCs w:val="20"/>
              </w:rPr>
            </w:pPr>
            <w:r w:rsidRPr="005E4BEA">
              <w:rPr>
                <w:rFonts w:cs="Arial"/>
                <w:sz w:val="20"/>
                <w:szCs w:val="20"/>
              </w:rPr>
              <w:t>Od 1. 1. 2023</w:t>
            </w:r>
          </w:p>
        </w:tc>
        <w:tc>
          <w:tcPr>
            <w:tcW w:w="851" w:type="dxa"/>
            <w:vAlign w:val="center"/>
          </w:tcPr>
          <w:p w14:paraId="42E39ACD" w14:textId="77777777" w:rsidR="00FE461F" w:rsidRPr="005E4BEA" w:rsidRDefault="00FE461F" w:rsidP="00FE461F">
            <w:pPr>
              <w:spacing w:line="240" w:lineRule="auto"/>
              <w:jc w:val="both"/>
              <w:rPr>
                <w:rFonts w:cs="Arial"/>
                <w:sz w:val="20"/>
                <w:szCs w:val="20"/>
              </w:rPr>
            </w:pPr>
          </w:p>
        </w:tc>
        <w:tc>
          <w:tcPr>
            <w:tcW w:w="992" w:type="dxa"/>
            <w:vAlign w:val="center"/>
          </w:tcPr>
          <w:p w14:paraId="30B67720" w14:textId="77777777" w:rsidR="00FE461F" w:rsidRPr="005E4BEA" w:rsidRDefault="00FE461F" w:rsidP="00FE461F">
            <w:pPr>
              <w:spacing w:line="240" w:lineRule="auto"/>
              <w:jc w:val="both"/>
              <w:rPr>
                <w:rFonts w:cs="Arial"/>
                <w:sz w:val="20"/>
                <w:szCs w:val="20"/>
              </w:rPr>
            </w:pPr>
            <w:r w:rsidRPr="005E4BEA">
              <w:rPr>
                <w:rFonts w:cs="Arial"/>
                <w:sz w:val="20"/>
                <w:szCs w:val="20"/>
              </w:rPr>
              <w:t>6 timov</w:t>
            </w:r>
          </w:p>
        </w:tc>
        <w:tc>
          <w:tcPr>
            <w:tcW w:w="1276" w:type="dxa"/>
            <w:vAlign w:val="center"/>
          </w:tcPr>
          <w:p w14:paraId="6304D97E" w14:textId="77777777" w:rsidR="00FE461F" w:rsidRPr="005E4BEA" w:rsidRDefault="00FE461F" w:rsidP="00FE461F">
            <w:pPr>
              <w:spacing w:line="240" w:lineRule="auto"/>
              <w:jc w:val="right"/>
              <w:rPr>
                <w:rFonts w:cs="Arial"/>
                <w:sz w:val="20"/>
                <w:szCs w:val="20"/>
              </w:rPr>
            </w:pPr>
            <w:r w:rsidRPr="005E4BEA">
              <w:rPr>
                <w:rFonts w:cs="Arial"/>
                <w:sz w:val="20"/>
                <w:szCs w:val="20"/>
              </w:rPr>
              <w:t>1.353.985</w:t>
            </w:r>
          </w:p>
        </w:tc>
        <w:tc>
          <w:tcPr>
            <w:tcW w:w="1418" w:type="dxa"/>
            <w:vAlign w:val="center"/>
          </w:tcPr>
          <w:p w14:paraId="4C18B2EE" w14:textId="77777777" w:rsidR="00FE461F" w:rsidRPr="005E4BEA" w:rsidRDefault="00FE461F" w:rsidP="00FE461F">
            <w:pPr>
              <w:spacing w:line="240" w:lineRule="auto"/>
              <w:jc w:val="right"/>
              <w:rPr>
                <w:rFonts w:cs="Arial"/>
                <w:sz w:val="20"/>
                <w:szCs w:val="20"/>
              </w:rPr>
            </w:pPr>
          </w:p>
        </w:tc>
      </w:tr>
    </w:tbl>
    <w:p w14:paraId="77FE7310" w14:textId="77777777" w:rsidR="00FE461F" w:rsidRPr="005E4BEA" w:rsidRDefault="00FE461F" w:rsidP="00FE461F">
      <w:pPr>
        <w:spacing w:line="120" w:lineRule="auto"/>
        <w:ind w:left="284"/>
        <w:jc w:val="both"/>
        <w:rPr>
          <w:rFonts w:cs="Arial"/>
          <w:szCs w:val="20"/>
        </w:rPr>
      </w:pPr>
    </w:p>
    <w:p w14:paraId="77913388" w14:textId="77777777" w:rsidR="00FE461F" w:rsidRPr="005E4BEA" w:rsidRDefault="00FE461F" w:rsidP="00FE461F">
      <w:pPr>
        <w:spacing w:line="240" w:lineRule="auto"/>
        <w:ind w:left="284"/>
        <w:jc w:val="both"/>
        <w:rPr>
          <w:rFonts w:cs="Arial"/>
          <w:szCs w:val="20"/>
        </w:rPr>
      </w:pPr>
      <w:r w:rsidRPr="005E4BEA">
        <w:rPr>
          <w:rFonts w:cs="Arial"/>
          <w:szCs w:val="20"/>
        </w:rPr>
        <w:t>*Širitev mreže na predlog Zavoda določi Ministrstvo za zdravje.</w:t>
      </w:r>
    </w:p>
    <w:p w14:paraId="1872D907" w14:textId="77777777" w:rsidR="00FE461F" w:rsidRPr="005E4BEA" w:rsidRDefault="00FE461F" w:rsidP="00FE461F">
      <w:pPr>
        <w:spacing w:line="240" w:lineRule="auto"/>
        <w:jc w:val="both"/>
        <w:rPr>
          <w:rFonts w:cs="Arial"/>
          <w:b/>
          <w:bCs/>
          <w:szCs w:val="20"/>
        </w:rPr>
      </w:pPr>
    </w:p>
    <w:p w14:paraId="08FC9552" w14:textId="77777777" w:rsidR="00FE461F" w:rsidRPr="005E4BEA" w:rsidRDefault="00FE461F" w:rsidP="00FE461F">
      <w:pPr>
        <w:spacing w:line="240" w:lineRule="auto"/>
        <w:jc w:val="both"/>
        <w:rPr>
          <w:rFonts w:cs="Arial"/>
          <w:b/>
          <w:bCs/>
          <w:szCs w:val="20"/>
        </w:rPr>
      </w:pPr>
    </w:p>
    <w:p w14:paraId="5CF931F8"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I se brišejo kalkulacije 229 239 Z0030 </w:t>
      </w:r>
      <w:proofErr w:type="spellStart"/>
      <w:r w:rsidRPr="005E4BEA">
        <w:rPr>
          <w:rFonts w:cs="Arial"/>
          <w:b/>
          <w:bCs/>
          <w:szCs w:val="20"/>
        </w:rPr>
        <w:t>Spec</w:t>
      </w:r>
      <w:proofErr w:type="spellEnd"/>
      <w:r w:rsidRPr="005E4BEA">
        <w:rPr>
          <w:rFonts w:cs="Arial"/>
          <w:b/>
          <w:bCs/>
          <w:szCs w:val="20"/>
        </w:rPr>
        <w:t xml:space="preserve"> Pulmologija brez RTG, Pulmologija z RTG in Pulmologija z RTG za bolnišnice.</w:t>
      </w:r>
    </w:p>
    <w:p w14:paraId="5EFEE65C" w14:textId="77777777" w:rsidR="00FE461F" w:rsidRPr="005E4BEA" w:rsidRDefault="00FE461F" w:rsidP="00FE461F">
      <w:pPr>
        <w:spacing w:line="240" w:lineRule="auto"/>
        <w:jc w:val="both"/>
        <w:rPr>
          <w:rFonts w:cs="Arial"/>
          <w:b/>
          <w:bCs/>
          <w:szCs w:val="20"/>
        </w:rPr>
      </w:pPr>
    </w:p>
    <w:p w14:paraId="73D84D82" w14:textId="77777777" w:rsidR="00FE461F" w:rsidRPr="005E4BEA" w:rsidRDefault="00FE461F" w:rsidP="00FE461F">
      <w:pPr>
        <w:spacing w:line="240" w:lineRule="auto"/>
        <w:jc w:val="both"/>
        <w:rPr>
          <w:rFonts w:cs="Arial"/>
          <w:b/>
          <w:bCs/>
          <w:szCs w:val="20"/>
        </w:rPr>
      </w:pPr>
    </w:p>
    <w:p w14:paraId="4C225841" w14:textId="77777777" w:rsidR="00FE461F" w:rsidRPr="005E4BEA" w:rsidRDefault="00FE461F" w:rsidP="00FE461F">
      <w:pPr>
        <w:spacing w:line="240" w:lineRule="auto"/>
        <w:jc w:val="both"/>
        <w:rPr>
          <w:rFonts w:cs="Arial"/>
          <w:szCs w:val="20"/>
        </w:rPr>
      </w:pPr>
      <w:r w:rsidRPr="005E4BEA">
        <w:rPr>
          <w:rFonts w:cs="Arial"/>
          <w:b/>
          <w:bCs/>
          <w:szCs w:val="20"/>
        </w:rPr>
        <w:t xml:space="preserve">V Prilogi I/a </w:t>
      </w:r>
      <w:r w:rsidRPr="005E4BEA">
        <w:rPr>
          <w:rFonts w:cs="Arial"/>
          <w:szCs w:val="20"/>
        </w:rPr>
        <w:t>(Kalkulacije za diagnostične, terapevtske in rehabilitacijske postopke v bolnišnicah – funkcionalna diagnostika)</w:t>
      </w:r>
      <w:r w:rsidRPr="005E4BEA">
        <w:rPr>
          <w:rFonts w:cs="Arial"/>
          <w:b/>
          <w:bCs/>
          <w:szCs w:val="20"/>
        </w:rPr>
        <w:t xml:space="preserve"> se v kalkulaciji </w:t>
      </w:r>
      <w:proofErr w:type="spellStart"/>
      <w:r w:rsidRPr="005E4BEA">
        <w:rPr>
          <w:rFonts w:cs="Arial"/>
          <w:b/>
          <w:bCs/>
          <w:szCs w:val="20"/>
        </w:rPr>
        <w:t>Cikloergometrija</w:t>
      </w:r>
      <w:proofErr w:type="spellEnd"/>
      <w:r w:rsidRPr="005E4BEA">
        <w:rPr>
          <w:rFonts w:cs="Arial"/>
          <w:b/>
          <w:bCs/>
          <w:szCs w:val="20"/>
        </w:rPr>
        <w:t>, spirometrija v opombi briše »in/ali 229 239 pulmologija«.</w:t>
      </w:r>
    </w:p>
    <w:p w14:paraId="5CA0A255" w14:textId="77777777" w:rsidR="00FE461F" w:rsidRPr="005E4BEA" w:rsidRDefault="00FE461F" w:rsidP="00FE461F">
      <w:pPr>
        <w:spacing w:line="240" w:lineRule="exact"/>
        <w:jc w:val="both"/>
        <w:rPr>
          <w:rFonts w:cs="Arial"/>
          <w:szCs w:val="20"/>
        </w:rPr>
      </w:pPr>
    </w:p>
    <w:p w14:paraId="1980863A" w14:textId="77777777" w:rsidR="00FE461F" w:rsidRPr="005E4BEA" w:rsidRDefault="00FE461F" w:rsidP="00FE461F">
      <w:pPr>
        <w:spacing w:line="240" w:lineRule="exact"/>
        <w:jc w:val="both"/>
        <w:rPr>
          <w:rFonts w:cs="Arial"/>
          <w:szCs w:val="20"/>
        </w:rPr>
      </w:pPr>
    </w:p>
    <w:p w14:paraId="72AA0F65" w14:textId="77777777" w:rsidR="00FE461F" w:rsidRPr="005E4BEA" w:rsidRDefault="00FE461F" w:rsidP="00FE461F">
      <w:pPr>
        <w:spacing w:line="240" w:lineRule="auto"/>
        <w:jc w:val="both"/>
        <w:rPr>
          <w:rFonts w:cs="Arial"/>
          <w:b/>
          <w:bCs/>
          <w:szCs w:val="20"/>
        </w:rPr>
      </w:pPr>
      <w:r w:rsidRPr="005E4BEA">
        <w:rPr>
          <w:rFonts w:cs="Arial"/>
          <w:b/>
          <w:bCs/>
          <w:szCs w:val="20"/>
        </w:rPr>
        <w:lastRenderedPageBreak/>
        <w:t>V Prilogi I/b se doda besedilo, ki se glasi:</w:t>
      </w:r>
    </w:p>
    <w:p w14:paraId="011D9BF8" w14:textId="77777777" w:rsidR="00FE461F" w:rsidRPr="005E4BEA" w:rsidRDefault="00FE461F" w:rsidP="00FE461F">
      <w:pPr>
        <w:spacing w:line="120" w:lineRule="auto"/>
        <w:jc w:val="both"/>
        <w:rPr>
          <w:rFonts w:cs="Arial"/>
          <w:szCs w:val="20"/>
        </w:rPr>
      </w:pPr>
    </w:p>
    <w:p w14:paraId="67F51963" w14:textId="77777777" w:rsidR="00FE461F" w:rsidRPr="005E4BEA" w:rsidRDefault="00FE461F" w:rsidP="00FE461F">
      <w:pPr>
        <w:spacing w:line="240" w:lineRule="auto"/>
        <w:jc w:val="both"/>
        <w:rPr>
          <w:rFonts w:cs="Arial"/>
          <w:szCs w:val="20"/>
        </w:rPr>
      </w:pPr>
      <w:proofErr w:type="spellStart"/>
      <w:r w:rsidRPr="005E4BEA">
        <w:rPr>
          <w:rFonts w:cs="Arial"/>
          <w:szCs w:val="20"/>
        </w:rPr>
        <w:t>Pnevmološke</w:t>
      </w:r>
      <w:proofErr w:type="spellEnd"/>
      <w:r w:rsidRPr="005E4BEA">
        <w:rPr>
          <w:rFonts w:cs="Arial"/>
          <w:szCs w:val="20"/>
        </w:rPr>
        <w:t xml:space="preserve"> storitve v spec. </w:t>
      </w:r>
      <w:proofErr w:type="spellStart"/>
      <w:r w:rsidRPr="005E4BEA">
        <w:rPr>
          <w:rFonts w:cs="Arial"/>
          <w:szCs w:val="20"/>
        </w:rPr>
        <w:t>zunajb</w:t>
      </w:r>
      <w:proofErr w:type="spellEnd"/>
      <w:r w:rsidRPr="005E4BEA">
        <w:rPr>
          <w:rFonts w:cs="Arial"/>
          <w:szCs w:val="20"/>
        </w:rPr>
        <w:t xml:space="preserve">. dejavnosti (7.600 storitev, od tega 1.200 celotnih pregledov ali </w:t>
      </w:r>
      <w:proofErr w:type="spellStart"/>
      <w:r w:rsidRPr="005E4BEA">
        <w:rPr>
          <w:rFonts w:cs="Arial"/>
          <w:szCs w:val="20"/>
        </w:rPr>
        <w:t>subspecialističnih</w:t>
      </w:r>
      <w:proofErr w:type="spellEnd"/>
      <w:r w:rsidRPr="005E4BEA">
        <w:rPr>
          <w:rFonts w:cs="Arial"/>
          <w:szCs w:val="20"/>
        </w:rPr>
        <w:t xml:space="preserve"> pregledov = 1 tim; 225.664,18 EUR; plan na polletni ravni znaša 50 % letnega plana).</w:t>
      </w:r>
    </w:p>
    <w:p w14:paraId="40DBCFD2" w14:textId="77777777" w:rsidR="00FE461F" w:rsidRPr="005E4BEA" w:rsidRDefault="00FE461F" w:rsidP="00FE461F">
      <w:pPr>
        <w:spacing w:line="120" w:lineRule="auto"/>
        <w:jc w:val="both"/>
        <w:rPr>
          <w:rFonts w:cs="Arial"/>
          <w:szCs w:val="20"/>
        </w:rPr>
      </w:pPr>
    </w:p>
    <w:tbl>
      <w:tblPr>
        <w:tblW w:w="807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CellMar>
          <w:left w:w="70" w:type="dxa"/>
          <w:right w:w="70" w:type="dxa"/>
        </w:tblCellMar>
        <w:tblLook w:val="04A0" w:firstRow="1" w:lastRow="0" w:firstColumn="1" w:lastColumn="0" w:noHBand="0" w:noVBand="1"/>
      </w:tblPr>
      <w:tblGrid>
        <w:gridCol w:w="704"/>
        <w:gridCol w:w="851"/>
        <w:gridCol w:w="850"/>
        <w:gridCol w:w="4394"/>
        <w:gridCol w:w="1276"/>
      </w:tblGrid>
      <w:tr w:rsidR="00FE461F" w:rsidRPr="005E4BEA" w14:paraId="6A41D39F" w14:textId="77777777" w:rsidTr="0016774B">
        <w:trPr>
          <w:trHeight w:val="290"/>
          <w:tblHeader/>
        </w:trPr>
        <w:tc>
          <w:tcPr>
            <w:tcW w:w="704" w:type="dxa"/>
            <w:shd w:val="clear" w:color="auto" w:fill="auto"/>
            <w:noWrap/>
            <w:vAlign w:val="center"/>
            <w:hideMark/>
          </w:tcPr>
          <w:p w14:paraId="4BC07CF6" w14:textId="77777777" w:rsidR="00FE461F" w:rsidRPr="005E4BEA" w:rsidRDefault="00FE461F" w:rsidP="00FE461F">
            <w:pPr>
              <w:spacing w:line="240" w:lineRule="auto"/>
              <w:jc w:val="both"/>
              <w:rPr>
                <w:rFonts w:cs="Arial"/>
                <w:b/>
                <w:bCs/>
                <w:szCs w:val="20"/>
              </w:rPr>
            </w:pPr>
            <w:r w:rsidRPr="005E4BEA">
              <w:rPr>
                <w:rFonts w:cs="Arial"/>
                <w:b/>
                <w:bCs/>
                <w:szCs w:val="20"/>
              </w:rPr>
              <w:t>Vrsta</w:t>
            </w:r>
          </w:p>
        </w:tc>
        <w:tc>
          <w:tcPr>
            <w:tcW w:w="851" w:type="dxa"/>
            <w:vAlign w:val="center"/>
          </w:tcPr>
          <w:p w14:paraId="3286C2C2" w14:textId="77777777" w:rsidR="00FE461F" w:rsidRPr="005E4BEA" w:rsidRDefault="00FE461F" w:rsidP="00FE461F">
            <w:pPr>
              <w:spacing w:line="240" w:lineRule="auto"/>
              <w:jc w:val="both"/>
              <w:rPr>
                <w:rFonts w:cs="Arial"/>
                <w:b/>
                <w:bCs/>
                <w:szCs w:val="20"/>
              </w:rPr>
            </w:pPr>
            <w:r w:rsidRPr="005E4BEA">
              <w:rPr>
                <w:rFonts w:cs="Arial"/>
                <w:b/>
                <w:bCs/>
                <w:szCs w:val="20"/>
              </w:rPr>
              <w:t>Podvrsta</w:t>
            </w:r>
          </w:p>
        </w:tc>
        <w:tc>
          <w:tcPr>
            <w:tcW w:w="850" w:type="dxa"/>
            <w:tcBorders>
              <w:bottom w:val="single" w:sz="4" w:space="0" w:color="8496B0" w:themeColor="text2" w:themeTint="99"/>
            </w:tcBorders>
            <w:shd w:val="clear" w:color="auto" w:fill="auto"/>
            <w:noWrap/>
            <w:vAlign w:val="center"/>
            <w:hideMark/>
          </w:tcPr>
          <w:p w14:paraId="76EA5AB3" w14:textId="77777777" w:rsidR="00FE461F" w:rsidRPr="005E4BEA" w:rsidRDefault="00FE461F" w:rsidP="00FE461F">
            <w:pPr>
              <w:spacing w:line="240" w:lineRule="auto"/>
              <w:jc w:val="both"/>
              <w:rPr>
                <w:rFonts w:cs="Arial"/>
                <w:b/>
                <w:bCs/>
                <w:szCs w:val="20"/>
              </w:rPr>
            </w:pPr>
            <w:r w:rsidRPr="005E4BEA">
              <w:rPr>
                <w:rFonts w:cs="Arial"/>
                <w:b/>
                <w:bCs/>
                <w:szCs w:val="20"/>
              </w:rPr>
              <w:t>Storitev</w:t>
            </w:r>
          </w:p>
        </w:tc>
        <w:tc>
          <w:tcPr>
            <w:tcW w:w="4394" w:type="dxa"/>
            <w:tcBorders>
              <w:bottom w:val="single" w:sz="4" w:space="0" w:color="8496B0" w:themeColor="text2" w:themeTint="99"/>
            </w:tcBorders>
            <w:shd w:val="clear" w:color="auto" w:fill="auto"/>
            <w:noWrap/>
            <w:vAlign w:val="center"/>
            <w:hideMark/>
          </w:tcPr>
          <w:p w14:paraId="17A67725" w14:textId="77777777" w:rsidR="00FE461F" w:rsidRPr="005E4BEA" w:rsidRDefault="00FE461F" w:rsidP="00FE461F">
            <w:pPr>
              <w:spacing w:line="240" w:lineRule="auto"/>
              <w:jc w:val="both"/>
              <w:rPr>
                <w:rFonts w:cs="Arial"/>
                <w:b/>
                <w:bCs/>
                <w:szCs w:val="20"/>
              </w:rPr>
            </w:pPr>
            <w:r w:rsidRPr="005E4BEA">
              <w:rPr>
                <w:rFonts w:cs="Arial"/>
                <w:b/>
                <w:bCs/>
                <w:szCs w:val="20"/>
              </w:rPr>
              <w:t>Kratek opis</w:t>
            </w:r>
          </w:p>
        </w:tc>
        <w:tc>
          <w:tcPr>
            <w:tcW w:w="1276" w:type="dxa"/>
            <w:tcBorders>
              <w:bottom w:val="single" w:sz="4" w:space="0" w:color="8496B0" w:themeColor="text2" w:themeTint="99"/>
            </w:tcBorders>
            <w:shd w:val="clear" w:color="auto" w:fill="auto"/>
            <w:noWrap/>
            <w:vAlign w:val="center"/>
            <w:hideMark/>
          </w:tcPr>
          <w:p w14:paraId="6835927E" w14:textId="77777777" w:rsidR="00FE461F" w:rsidRPr="005E4BEA" w:rsidRDefault="00FE461F" w:rsidP="00FE461F">
            <w:pPr>
              <w:spacing w:line="240" w:lineRule="auto"/>
              <w:jc w:val="right"/>
              <w:rPr>
                <w:rFonts w:cs="Arial"/>
                <w:b/>
                <w:bCs/>
                <w:szCs w:val="20"/>
              </w:rPr>
            </w:pPr>
            <w:r w:rsidRPr="005E4BEA">
              <w:rPr>
                <w:rFonts w:cs="Arial"/>
                <w:b/>
                <w:bCs/>
                <w:szCs w:val="20"/>
              </w:rPr>
              <w:t>Cena v EUR</w:t>
            </w:r>
          </w:p>
        </w:tc>
      </w:tr>
      <w:tr w:rsidR="00FE461F" w:rsidRPr="005E4BEA" w14:paraId="2B8E0134" w14:textId="77777777" w:rsidTr="0016774B">
        <w:trPr>
          <w:trHeight w:val="20"/>
        </w:trPr>
        <w:tc>
          <w:tcPr>
            <w:tcW w:w="704" w:type="dxa"/>
            <w:shd w:val="clear" w:color="auto" w:fill="auto"/>
            <w:noWrap/>
            <w:vAlign w:val="center"/>
          </w:tcPr>
          <w:p w14:paraId="7A607185"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vAlign w:val="center"/>
          </w:tcPr>
          <w:p w14:paraId="60EFF7B2"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0FE5595" w14:textId="77777777" w:rsidR="00FE461F" w:rsidRPr="005E4BEA" w:rsidRDefault="00FE461F" w:rsidP="00FE461F">
            <w:pPr>
              <w:spacing w:line="240" w:lineRule="auto"/>
              <w:jc w:val="both"/>
              <w:rPr>
                <w:rFonts w:cs="Arial"/>
                <w:szCs w:val="20"/>
              </w:rPr>
            </w:pPr>
            <w:r w:rsidRPr="005E4BEA">
              <w:rPr>
                <w:rFonts w:cs="Arial"/>
                <w:szCs w:val="20"/>
              </w:rPr>
              <w:t>PUL001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82620E0" w14:textId="77777777" w:rsidR="00FE461F" w:rsidRPr="005E4BEA" w:rsidRDefault="00FE461F" w:rsidP="00FE461F">
            <w:pPr>
              <w:spacing w:line="240" w:lineRule="auto"/>
              <w:jc w:val="both"/>
              <w:rPr>
                <w:rFonts w:cs="Arial"/>
                <w:szCs w:val="20"/>
              </w:rPr>
            </w:pPr>
            <w:r w:rsidRPr="005E4BEA">
              <w:rPr>
                <w:rFonts w:cs="Arial"/>
                <w:szCs w:val="20"/>
              </w:rPr>
              <w:t>Celotni pregled</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9C81302" w14:textId="77777777" w:rsidR="00FE461F" w:rsidRPr="005E4BEA" w:rsidRDefault="00FE461F" w:rsidP="00FE461F">
            <w:pPr>
              <w:spacing w:line="240" w:lineRule="auto"/>
              <w:jc w:val="right"/>
              <w:rPr>
                <w:rFonts w:cs="Arial"/>
                <w:szCs w:val="20"/>
              </w:rPr>
            </w:pPr>
            <w:r w:rsidRPr="005E4BEA">
              <w:rPr>
                <w:rFonts w:cs="Arial"/>
                <w:szCs w:val="20"/>
              </w:rPr>
              <w:t>42,06</w:t>
            </w:r>
          </w:p>
        </w:tc>
      </w:tr>
      <w:tr w:rsidR="00FE461F" w:rsidRPr="005E4BEA" w14:paraId="5A1E4E5A" w14:textId="77777777" w:rsidTr="0016774B">
        <w:trPr>
          <w:trHeight w:val="20"/>
        </w:trPr>
        <w:tc>
          <w:tcPr>
            <w:tcW w:w="704" w:type="dxa"/>
            <w:shd w:val="clear" w:color="auto" w:fill="auto"/>
            <w:noWrap/>
          </w:tcPr>
          <w:p w14:paraId="01D0FAB1"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492E00C3"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4E015FB" w14:textId="77777777" w:rsidR="00FE461F" w:rsidRPr="005E4BEA" w:rsidRDefault="00FE461F" w:rsidP="00FE461F">
            <w:pPr>
              <w:spacing w:line="240" w:lineRule="auto"/>
              <w:jc w:val="both"/>
              <w:rPr>
                <w:rFonts w:cs="Arial"/>
                <w:szCs w:val="20"/>
              </w:rPr>
            </w:pPr>
            <w:r w:rsidRPr="005E4BEA">
              <w:rPr>
                <w:rFonts w:cs="Arial"/>
                <w:szCs w:val="20"/>
              </w:rPr>
              <w:t>PUL002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3B80033" w14:textId="77777777" w:rsidR="00FE461F" w:rsidRPr="005E4BEA" w:rsidRDefault="00FE461F" w:rsidP="00FE461F">
            <w:pPr>
              <w:spacing w:line="240" w:lineRule="auto"/>
              <w:jc w:val="both"/>
              <w:rPr>
                <w:rFonts w:cs="Arial"/>
                <w:szCs w:val="20"/>
              </w:rPr>
            </w:pPr>
            <w:r w:rsidRPr="005E4BEA">
              <w:rPr>
                <w:rFonts w:cs="Arial"/>
                <w:szCs w:val="20"/>
              </w:rPr>
              <w:t>Delni pregled</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4EC58FA" w14:textId="77777777" w:rsidR="00FE461F" w:rsidRPr="005E4BEA" w:rsidRDefault="00FE461F" w:rsidP="00FE461F">
            <w:pPr>
              <w:spacing w:line="240" w:lineRule="auto"/>
              <w:jc w:val="right"/>
              <w:rPr>
                <w:rFonts w:cs="Arial"/>
                <w:szCs w:val="20"/>
              </w:rPr>
            </w:pPr>
            <w:r w:rsidRPr="005E4BEA">
              <w:rPr>
                <w:rFonts w:cs="Arial"/>
                <w:szCs w:val="20"/>
              </w:rPr>
              <w:t>25,35</w:t>
            </w:r>
          </w:p>
        </w:tc>
      </w:tr>
      <w:tr w:rsidR="00FE461F" w:rsidRPr="005E4BEA" w14:paraId="09C77C7E" w14:textId="77777777" w:rsidTr="0016774B">
        <w:trPr>
          <w:trHeight w:val="20"/>
        </w:trPr>
        <w:tc>
          <w:tcPr>
            <w:tcW w:w="704" w:type="dxa"/>
            <w:shd w:val="clear" w:color="auto" w:fill="auto"/>
            <w:noWrap/>
          </w:tcPr>
          <w:p w14:paraId="57B0C33D"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333ECE42"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B7B7E51" w14:textId="77777777" w:rsidR="00FE461F" w:rsidRPr="005E4BEA" w:rsidRDefault="00FE461F" w:rsidP="00FE461F">
            <w:pPr>
              <w:spacing w:line="240" w:lineRule="auto"/>
              <w:jc w:val="both"/>
              <w:rPr>
                <w:rFonts w:cs="Arial"/>
                <w:szCs w:val="20"/>
              </w:rPr>
            </w:pPr>
            <w:r w:rsidRPr="005E4BEA">
              <w:rPr>
                <w:rFonts w:cs="Arial"/>
                <w:szCs w:val="20"/>
              </w:rPr>
              <w:t>PUL003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BA98FB7" w14:textId="77777777" w:rsidR="00FE461F" w:rsidRPr="005E4BEA" w:rsidRDefault="00FE461F" w:rsidP="00FE461F">
            <w:pPr>
              <w:spacing w:line="240" w:lineRule="auto"/>
              <w:jc w:val="both"/>
              <w:rPr>
                <w:rFonts w:cs="Arial"/>
                <w:szCs w:val="20"/>
              </w:rPr>
            </w:pPr>
            <w:r w:rsidRPr="005E4BEA">
              <w:rPr>
                <w:rFonts w:cs="Arial"/>
                <w:szCs w:val="20"/>
              </w:rPr>
              <w:t>Kratki pregled in triaža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2FB325A" w14:textId="77777777" w:rsidR="00FE461F" w:rsidRPr="005E4BEA" w:rsidRDefault="00FE461F" w:rsidP="00FE461F">
            <w:pPr>
              <w:spacing w:line="240" w:lineRule="auto"/>
              <w:jc w:val="right"/>
              <w:rPr>
                <w:rFonts w:cs="Arial"/>
                <w:szCs w:val="20"/>
              </w:rPr>
            </w:pPr>
            <w:r w:rsidRPr="005E4BEA">
              <w:rPr>
                <w:rFonts w:cs="Arial"/>
                <w:szCs w:val="20"/>
              </w:rPr>
              <w:t>9,92</w:t>
            </w:r>
          </w:p>
        </w:tc>
      </w:tr>
      <w:tr w:rsidR="00FE461F" w:rsidRPr="005E4BEA" w14:paraId="358A5D49" w14:textId="77777777" w:rsidTr="0016774B">
        <w:trPr>
          <w:trHeight w:val="20"/>
        </w:trPr>
        <w:tc>
          <w:tcPr>
            <w:tcW w:w="704" w:type="dxa"/>
            <w:shd w:val="clear" w:color="auto" w:fill="auto"/>
            <w:noWrap/>
          </w:tcPr>
          <w:p w14:paraId="44FFA06D"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1DBA4759"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E4FDB54" w14:textId="77777777" w:rsidR="00FE461F" w:rsidRPr="005E4BEA" w:rsidRDefault="00FE461F" w:rsidP="00FE461F">
            <w:pPr>
              <w:spacing w:line="240" w:lineRule="auto"/>
              <w:jc w:val="both"/>
              <w:rPr>
                <w:rFonts w:cs="Arial"/>
                <w:szCs w:val="20"/>
              </w:rPr>
            </w:pPr>
            <w:r w:rsidRPr="005E4BEA">
              <w:rPr>
                <w:rFonts w:cs="Arial"/>
                <w:szCs w:val="20"/>
              </w:rPr>
              <w:t>PUL004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89DEF9F" w14:textId="77777777" w:rsidR="00FE461F" w:rsidRPr="005E4BEA" w:rsidRDefault="00FE461F" w:rsidP="00FE461F">
            <w:pPr>
              <w:spacing w:line="240" w:lineRule="auto"/>
              <w:jc w:val="both"/>
              <w:rPr>
                <w:rFonts w:cs="Arial"/>
                <w:szCs w:val="20"/>
              </w:rPr>
            </w:pPr>
            <w:proofErr w:type="spellStart"/>
            <w:r w:rsidRPr="005E4BEA">
              <w:rPr>
                <w:rFonts w:cs="Arial"/>
                <w:szCs w:val="20"/>
              </w:rPr>
              <w:t>Subspecialistični</w:t>
            </w:r>
            <w:proofErr w:type="spellEnd"/>
            <w:r w:rsidRPr="005E4BEA">
              <w:rPr>
                <w:rFonts w:cs="Arial"/>
                <w:szCs w:val="20"/>
              </w:rPr>
              <w:t xml:space="preserve"> pregled</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DFE72E3" w14:textId="77777777" w:rsidR="00FE461F" w:rsidRPr="005E4BEA" w:rsidRDefault="00FE461F" w:rsidP="00FE461F">
            <w:pPr>
              <w:spacing w:line="240" w:lineRule="auto"/>
              <w:jc w:val="right"/>
              <w:rPr>
                <w:rFonts w:cs="Arial"/>
                <w:szCs w:val="20"/>
              </w:rPr>
            </w:pPr>
            <w:r w:rsidRPr="005E4BEA">
              <w:rPr>
                <w:rFonts w:cs="Arial"/>
                <w:szCs w:val="20"/>
              </w:rPr>
              <w:t>52,51</w:t>
            </w:r>
          </w:p>
        </w:tc>
      </w:tr>
      <w:tr w:rsidR="00FE461F" w:rsidRPr="005E4BEA" w14:paraId="184BA31D" w14:textId="77777777" w:rsidTr="0016774B">
        <w:trPr>
          <w:trHeight w:val="20"/>
        </w:trPr>
        <w:tc>
          <w:tcPr>
            <w:tcW w:w="704" w:type="dxa"/>
            <w:shd w:val="clear" w:color="auto" w:fill="auto"/>
            <w:noWrap/>
          </w:tcPr>
          <w:p w14:paraId="182985CD"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BFEB981"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461F4DE6" w14:textId="77777777" w:rsidR="00FE461F" w:rsidRPr="005E4BEA" w:rsidRDefault="00FE461F" w:rsidP="00FE461F">
            <w:pPr>
              <w:spacing w:line="240" w:lineRule="auto"/>
              <w:jc w:val="both"/>
              <w:rPr>
                <w:rFonts w:cs="Arial"/>
                <w:szCs w:val="20"/>
              </w:rPr>
            </w:pPr>
            <w:r w:rsidRPr="005E4BEA">
              <w:rPr>
                <w:rFonts w:cs="Arial"/>
                <w:szCs w:val="20"/>
              </w:rPr>
              <w:t>PUL005</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9FC47B2" w14:textId="77777777" w:rsidR="00FE461F" w:rsidRPr="005E4BEA" w:rsidRDefault="00FE461F" w:rsidP="00FE461F">
            <w:pPr>
              <w:spacing w:line="240" w:lineRule="auto"/>
              <w:jc w:val="both"/>
              <w:rPr>
                <w:rFonts w:cs="Arial"/>
                <w:szCs w:val="20"/>
              </w:rPr>
            </w:pPr>
            <w:r w:rsidRPr="005E4BEA">
              <w:rPr>
                <w:rFonts w:cs="Arial"/>
                <w:szCs w:val="20"/>
              </w:rPr>
              <w:t>Obravnava bolnika - DMS</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E575B05" w14:textId="77777777" w:rsidR="00FE461F" w:rsidRPr="005E4BEA" w:rsidRDefault="00FE461F" w:rsidP="00FE461F">
            <w:pPr>
              <w:spacing w:line="240" w:lineRule="auto"/>
              <w:jc w:val="right"/>
              <w:rPr>
                <w:rFonts w:cs="Arial"/>
                <w:szCs w:val="20"/>
              </w:rPr>
            </w:pPr>
            <w:r w:rsidRPr="005E4BEA">
              <w:rPr>
                <w:rFonts w:cs="Arial"/>
                <w:szCs w:val="20"/>
              </w:rPr>
              <w:t>18,81</w:t>
            </w:r>
          </w:p>
        </w:tc>
      </w:tr>
      <w:tr w:rsidR="00FE461F" w:rsidRPr="005E4BEA" w14:paraId="72F9ED84" w14:textId="77777777" w:rsidTr="0016774B">
        <w:trPr>
          <w:trHeight w:val="20"/>
        </w:trPr>
        <w:tc>
          <w:tcPr>
            <w:tcW w:w="704" w:type="dxa"/>
            <w:shd w:val="clear" w:color="auto" w:fill="auto"/>
            <w:noWrap/>
          </w:tcPr>
          <w:p w14:paraId="28BD5046"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1BD64E0"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9D397E0" w14:textId="77777777" w:rsidR="00FE461F" w:rsidRPr="005E4BEA" w:rsidRDefault="00FE461F" w:rsidP="00FE461F">
            <w:pPr>
              <w:spacing w:line="240" w:lineRule="auto"/>
              <w:jc w:val="both"/>
              <w:rPr>
                <w:rFonts w:cs="Arial"/>
                <w:szCs w:val="20"/>
              </w:rPr>
            </w:pPr>
            <w:r w:rsidRPr="005E4BEA">
              <w:rPr>
                <w:rFonts w:cs="Arial"/>
                <w:szCs w:val="20"/>
              </w:rPr>
              <w:t>PUL006</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576568D" w14:textId="77777777" w:rsidR="00FE461F" w:rsidRPr="005E4BEA" w:rsidRDefault="00FE461F" w:rsidP="00FE461F">
            <w:pPr>
              <w:spacing w:line="240" w:lineRule="auto"/>
              <w:jc w:val="both"/>
              <w:rPr>
                <w:rFonts w:cs="Arial"/>
                <w:szCs w:val="20"/>
              </w:rPr>
            </w:pPr>
            <w:r w:rsidRPr="005E4BEA">
              <w:rPr>
                <w:rFonts w:cs="Arial"/>
                <w:szCs w:val="20"/>
              </w:rPr>
              <w:t>Posvet na daljavo - krajši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7E33876" w14:textId="77777777" w:rsidR="00FE461F" w:rsidRPr="005E4BEA" w:rsidRDefault="00FE461F" w:rsidP="00FE461F">
            <w:pPr>
              <w:spacing w:line="240" w:lineRule="auto"/>
              <w:jc w:val="right"/>
              <w:rPr>
                <w:rFonts w:cs="Arial"/>
                <w:szCs w:val="20"/>
              </w:rPr>
            </w:pPr>
            <w:r w:rsidRPr="005E4BEA">
              <w:rPr>
                <w:rFonts w:cs="Arial"/>
                <w:szCs w:val="20"/>
              </w:rPr>
              <w:t>7,18</w:t>
            </w:r>
          </w:p>
        </w:tc>
      </w:tr>
      <w:tr w:rsidR="00FE461F" w:rsidRPr="005E4BEA" w14:paraId="15E5F5CC" w14:textId="77777777" w:rsidTr="0016774B">
        <w:trPr>
          <w:trHeight w:val="20"/>
        </w:trPr>
        <w:tc>
          <w:tcPr>
            <w:tcW w:w="704" w:type="dxa"/>
            <w:shd w:val="clear" w:color="auto" w:fill="auto"/>
            <w:noWrap/>
          </w:tcPr>
          <w:p w14:paraId="7919DB4F"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FFF575D"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31C779C1" w14:textId="77777777" w:rsidR="00FE461F" w:rsidRPr="005E4BEA" w:rsidRDefault="00FE461F" w:rsidP="00FE461F">
            <w:pPr>
              <w:spacing w:line="240" w:lineRule="auto"/>
              <w:jc w:val="both"/>
              <w:rPr>
                <w:rFonts w:cs="Arial"/>
                <w:szCs w:val="20"/>
              </w:rPr>
            </w:pPr>
            <w:r w:rsidRPr="005E4BEA">
              <w:rPr>
                <w:rFonts w:cs="Arial"/>
                <w:szCs w:val="20"/>
              </w:rPr>
              <w:t>PUL007</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C96BB67" w14:textId="77777777" w:rsidR="00FE461F" w:rsidRPr="005E4BEA" w:rsidRDefault="00FE461F" w:rsidP="00FE461F">
            <w:pPr>
              <w:spacing w:line="240" w:lineRule="auto"/>
              <w:jc w:val="both"/>
              <w:rPr>
                <w:rFonts w:cs="Arial"/>
                <w:szCs w:val="20"/>
              </w:rPr>
            </w:pPr>
            <w:r w:rsidRPr="005E4BEA">
              <w:rPr>
                <w:rFonts w:cs="Arial"/>
                <w:szCs w:val="20"/>
              </w:rPr>
              <w:t>Posvet na daljavo - daljši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DA03389" w14:textId="77777777" w:rsidR="00FE461F" w:rsidRPr="005E4BEA" w:rsidRDefault="00FE461F" w:rsidP="00FE461F">
            <w:pPr>
              <w:spacing w:line="240" w:lineRule="auto"/>
              <w:jc w:val="right"/>
              <w:rPr>
                <w:rFonts w:cs="Arial"/>
                <w:szCs w:val="20"/>
              </w:rPr>
            </w:pPr>
            <w:r w:rsidRPr="005E4BEA">
              <w:rPr>
                <w:rFonts w:cs="Arial"/>
                <w:szCs w:val="20"/>
              </w:rPr>
              <w:t>14,30</w:t>
            </w:r>
          </w:p>
        </w:tc>
      </w:tr>
      <w:tr w:rsidR="00FE461F" w:rsidRPr="005E4BEA" w14:paraId="63959AAA" w14:textId="77777777" w:rsidTr="0016774B">
        <w:trPr>
          <w:trHeight w:val="20"/>
        </w:trPr>
        <w:tc>
          <w:tcPr>
            <w:tcW w:w="704" w:type="dxa"/>
            <w:shd w:val="clear" w:color="auto" w:fill="auto"/>
            <w:noWrap/>
          </w:tcPr>
          <w:p w14:paraId="32136395"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CE0281E"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E6FCA56" w14:textId="77777777" w:rsidR="00FE461F" w:rsidRPr="005E4BEA" w:rsidRDefault="00FE461F" w:rsidP="00FE461F">
            <w:pPr>
              <w:spacing w:line="240" w:lineRule="auto"/>
              <w:jc w:val="both"/>
              <w:rPr>
                <w:rFonts w:cs="Arial"/>
                <w:szCs w:val="20"/>
              </w:rPr>
            </w:pPr>
            <w:r w:rsidRPr="005E4BEA">
              <w:rPr>
                <w:rFonts w:cs="Arial"/>
                <w:szCs w:val="20"/>
              </w:rPr>
              <w:t>PUL008</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1B20B01" w14:textId="77777777" w:rsidR="00FE461F" w:rsidRPr="005E4BEA" w:rsidRDefault="00FE461F" w:rsidP="00FE461F">
            <w:pPr>
              <w:spacing w:line="240" w:lineRule="auto"/>
              <w:jc w:val="both"/>
              <w:rPr>
                <w:rFonts w:cs="Arial"/>
                <w:szCs w:val="20"/>
              </w:rPr>
            </w:pPr>
            <w:r w:rsidRPr="005E4BEA">
              <w:rPr>
                <w:rFonts w:cs="Arial"/>
                <w:szCs w:val="20"/>
              </w:rPr>
              <w:t>Obravnava bolnika na domu</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65CDCF5" w14:textId="77777777" w:rsidR="00FE461F" w:rsidRPr="005E4BEA" w:rsidRDefault="00FE461F" w:rsidP="00FE461F">
            <w:pPr>
              <w:spacing w:line="240" w:lineRule="auto"/>
              <w:jc w:val="right"/>
              <w:rPr>
                <w:rFonts w:cs="Arial"/>
                <w:szCs w:val="20"/>
              </w:rPr>
            </w:pPr>
            <w:r w:rsidRPr="005E4BEA">
              <w:rPr>
                <w:rFonts w:cs="Arial"/>
                <w:szCs w:val="20"/>
              </w:rPr>
              <w:t>60,85</w:t>
            </w:r>
          </w:p>
        </w:tc>
      </w:tr>
      <w:tr w:rsidR="00FE461F" w:rsidRPr="005E4BEA" w14:paraId="79BCB9B7" w14:textId="77777777" w:rsidTr="0016774B">
        <w:trPr>
          <w:trHeight w:val="20"/>
        </w:trPr>
        <w:tc>
          <w:tcPr>
            <w:tcW w:w="704" w:type="dxa"/>
            <w:shd w:val="clear" w:color="auto" w:fill="auto"/>
            <w:noWrap/>
          </w:tcPr>
          <w:p w14:paraId="7D5B48BE"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32028AD3"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tcPr>
          <w:p w14:paraId="2694866A" w14:textId="77777777" w:rsidR="00FE461F" w:rsidRPr="005E4BEA" w:rsidRDefault="00FE461F" w:rsidP="00FE461F">
            <w:pPr>
              <w:spacing w:line="240" w:lineRule="auto"/>
              <w:jc w:val="both"/>
              <w:rPr>
                <w:rFonts w:cs="Arial"/>
                <w:szCs w:val="20"/>
              </w:rPr>
            </w:pPr>
            <w:r w:rsidRPr="005E4BEA">
              <w:rPr>
                <w:rFonts w:cs="Arial"/>
                <w:szCs w:val="20"/>
              </w:rPr>
              <w:t>PUL009</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tcPr>
          <w:p w14:paraId="2AF5481B" w14:textId="77777777" w:rsidR="00FE461F" w:rsidRPr="005E4BEA" w:rsidRDefault="00FE461F" w:rsidP="00FE461F">
            <w:pPr>
              <w:spacing w:line="240" w:lineRule="auto"/>
              <w:jc w:val="both"/>
              <w:rPr>
                <w:rFonts w:cs="Arial"/>
                <w:szCs w:val="20"/>
              </w:rPr>
            </w:pPr>
            <w:r w:rsidRPr="005E4BEA">
              <w:rPr>
                <w:rFonts w:cs="Arial"/>
                <w:szCs w:val="20"/>
              </w:rPr>
              <w:t xml:space="preserve">Triaža </w:t>
            </w:r>
            <w:proofErr w:type="spellStart"/>
            <w:r w:rsidRPr="005E4BEA">
              <w:rPr>
                <w:rFonts w:cs="Arial"/>
                <w:szCs w:val="20"/>
              </w:rPr>
              <w:t>nenujnih</w:t>
            </w:r>
            <w:proofErr w:type="spellEnd"/>
            <w:r w:rsidRPr="005E4BEA">
              <w:rPr>
                <w:rFonts w:cs="Arial"/>
                <w:szCs w:val="20"/>
              </w:rPr>
              <w:t xml:space="preserve"> napotnic</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tcPr>
          <w:p w14:paraId="1EDC051C" w14:textId="77777777" w:rsidR="00FE461F" w:rsidRPr="005E4BEA" w:rsidRDefault="00FE461F" w:rsidP="00FE461F">
            <w:pPr>
              <w:spacing w:line="240" w:lineRule="auto"/>
              <w:jc w:val="right"/>
              <w:rPr>
                <w:rFonts w:cs="Arial"/>
                <w:szCs w:val="20"/>
              </w:rPr>
            </w:pPr>
            <w:r w:rsidRPr="005E4BEA">
              <w:rPr>
                <w:rFonts w:cs="Arial"/>
                <w:szCs w:val="20"/>
              </w:rPr>
              <w:t>5,24</w:t>
            </w:r>
          </w:p>
        </w:tc>
      </w:tr>
      <w:tr w:rsidR="00FE461F" w:rsidRPr="005E4BEA" w14:paraId="29690FD0" w14:textId="77777777" w:rsidTr="0016774B">
        <w:trPr>
          <w:trHeight w:val="20"/>
        </w:trPr>
        <w:tc>
          <w:tcPr>
            <w:tcW w:w="704" w:type="dxa"/>
            <w:shd w:val="clear" w:color="auto" w:fill="auto"/>
            <w:noWrap/>
          </w:tcPr>
          <w:p w14:paraId="582DAAAC"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AF978CD"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F9C3506" w14:textId="77777777" w:rsidR="00FE461F" w:rsidRPr="005E4BEA" w:rsidRDefault="00FE461F" w:rsidP="00FE461F">
            <w:pPr>
              <w:spacing w:line="240" w:lineRule="auto"/>
              <w:jc w:val="both"/>
              <w:rPr>
                <w:rFonts w:cs="Arial"/>
                <w:szCs w:val="20"/>
              </w:rPr>
            </w:pPr>
            <w:r w:rsidRPr="005E4BEA">
              <w:rPr>
                <w:rFonts w:cs="Arial"/>
                <w:szCs w:val="20"/>
              </w:rPr>
              <w:t>PUL010</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6AB1E64" w14:textId="77777777" w:rsidR="00FE461F" w:rsidRPr="005E4BEA" w:rsidRDefault="00FE461F" w:rsidP="00FE461F">
            <w:pPr>
              <w:spacing w:line="240" w:lineRule="auto"/>
              <w:jc w:val="both"/>
              <w:rPr>
                <w:rFonts w:cs="Arial"/>
                <w:szCs w:val="20"/>
              </w:rPr>
            </w:pPr>
            <w:r w:rsidRPr="005E4BEA">
              <w:rPr>
                <w:rFonts w:cs="Arial"/>
                <w:szCs w:val="20"/>
              </w:rPr>
              <w:t>Nespecifični bronhialni provokacijski test</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DB9BBDF" w14:textId="77777777" w:rsidR="00FE461F" w:rsidRPr="005E4BEA" w:rsidRDefault="00FE461F" w:rsidP="00FE461F">
            <w:pPr>
              <w:spacing w:line="240" w:lineRule="auto"/>
              <w:jc w:val="right"/>
              <w:rPr>
                <w:rFonts w:cs="Arial"/>
                <w:szCs w:val="20"/>
              </w:rPr>
            </w:pPr>
            <w:r w:rsidRPr="005E4BEA">
              <w:rPr>
                <w:rFonts w:cs="Arial"/>
                <w:szCs w:val="20"/>
              </w:rPr>
              <w:t>109,38</w:t>
            </w:r>
          </w:p>
        </w:tc>
      </w:tr>
      <w:tr w:rsidR="00FE461F" w:rsidRPr="005E4BEA" w14:paraId="177F2E3E" w14:textId="77777777" w:rsidTr="0016774B">
        <w:trPr>
          <w:trHeight w:val="20"/>
        </w:trPr>
        <w:tc>
          <w:tcPr>
            <w:tcW w:w="704" w:type="dxa"/>
            <w:shd w:val="clear" w:color="auto" w:fill="auto"/>
            <w:noWrap/>
          </w:tcPr>
          <w:p w14:paraId="3E906213"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440F3FA1"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808DD54" w14:textId="77777777" w:rsidR="00FE461F" w:rsidRPr="005E4BEA" w:rsidRDefault="00FE461F" w:rsidP="00FE461F">
            <w:pPr>
              <w:spacing w:line="240" w:lineRule="auto"/>
              <w:jc w:val="both"/>
              <w:rPr>
                <w:rFonts w:cs="Arial"/>
                <w:szCs w:val="20"/>
              </w:rPr>
            </w:pPr>
            <w:r w:rsidRPr="005E4BEA">
              <w:rPr>
                <w:rFonts w:cs="Arial"/>
                <w:szCs w:val="20"/>
              </w:rPr>
              <w:t>PUL011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71FB130" w14:textId="77777777" w:rsidR="00FE461F" w:rsidRPr="005E4BEA" w:rsidRDefault="00FE461F" w:rsidP="00FE461F">
            <w:pPr>
              <w:spacing w:line="240" w:lineRule="auto"/>
              <w:jc w:val="both"/>
              <w:rPr>
                <w:rFonts w:cs="Arial"/>
                <w:szCs w:val="20"/>
              </w:rPr>
            </w:pPr>
            <w:r w:rsidRPr="005E4BEA">
              <w:rPr>
                <w:rFonts w:cs="Arial"/>
                <w:szCs w:val="20"/>
              </w:rPr>
              <w:t xml:space="preserve">Specifični bronhialni provokacijski test </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5DD57D5" w14:textId="77777777" w:rsidR="00FE461F" w:rsidRPr="005E4BEA" w:rsidRDefault="00FE461F" w:rsidP="00FE461F">
            <w:pPr>
              <w:spacing w:line="240" w:lineRule="auto"/>
              <w:jc w:val="right"/>
              <w:rPr>
                <w:rFonts w:cs="Arial"/>
                <w:szCs w:val="20"/>
              </w:rPr>
            </w:pPr>
            <w:r w:rsidRPr="005E4BEA">
              <w:rPr>
                <w:rFonts w:cs="Arial"/>
                <w:szCs w:val="20"/>
              </w:rPr>
              <w:t>79,04</w:t>
            </w:r>
          </w:p>
        </w:tc>
      </w:tr>
      <w:tr w:rsidR="00FE461F" w:rsidRPr="005E4BEA" w14:paraId="637846B1" w14:textId="77777777" w:rsidTr="0016774B">
        <w:trPr>
          <w:trHeight w:val="20"/>
        </w:trPr>
        <w:tc>
          <w:tcPr>
            <w:tcW w:w="704" w:type="dxa"/>
            <w:shd w:val="clear" w:color="auto" w:fill="auto"/>
            <w:noWrap/>
          </w:tcPr>
          <w:p w14:paraId="051DCC48"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3328BC5"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528E573" w14:textId="77777777" w:rsidR="00FE461F" w:rsidRPr="005E4BEA" w:rsidRDefault="00FE461F" w:rsidP="00FE461F">
            <w:pPr>
              <w:spacing w:line="240" w:lineRule="auto"/>
              <w:jc w:val="both"/>
              <w:rPr>
                <w:rFonts w:cs="Arial"/>
                <w:szCs w:val="20"/>
              </w:rPr>
            </w:pPr>
            <w:r w:rsidRPr="005E4BEA">
              <w:rPr>
                <w:rFonts w:cs="Arial"/>
                <w:szCs w:val="20"/>
              </w:rPr>
              <w:t>PUL012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CF7414C" w14:textId="77777777" w:rsidR="00FE461F" w:rsidRPr="005E4BEA" w:rsidRDefault="00FE461F" w:rsidP="00FE461F">
            <w:pPr>
              <w:spacing w:line="240" w:lineRule="auto"/>
              <w:jc w:val="both"/>
              <w:rPr>
                <w:rFonts w:cs="Arial"/>
                <w:szCs w:val="20"/>
              </w:rPr>
            </w:pPr>
            <w:proofErr w:type="spellStart"/>
            <w:r w:rsidRPr="005E4BEA">
              <w:rPr>
                <w:rFonts w:cs="Arial"/>
                <w:szCs w:val="20"/>
              </w:rPr>
              <w:t>Bronhodilatacijski</w:t>
            </w:r>
            <w:proofErr w:type="spellEnd"/>
            <w:r w:rsidRPr="005E4BEA">
              <w:rPr>
                <w:rFonts w:cs="Arial"/>
                <w:szCs w:val="20"/>
              </w:rPr>
              <w:t xml:space="preserve"> test</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490D641" w14:textId="77777777" w:rsidR="00FE461F" w:rsidRPr="005E4BEA" w:rsidRDefault="00FE461F" w:rsidP="00FE461F">
            <w:pPr>
              <w:spacing w:line="240" w:lineRule="auto"/>
              <w:jc w:val="right"/>
              <w:rPr>
                <w:rFonts w:cs="Arial"/>
                <w:szCs w:val="20"/>
              </w:rPr>
            </w:pPr>
            <w:r w:rsidRPr="005E4BEA">
              <w:rPr>
                <w:rFonts w:cs="Arial"/>
                <w:szCs w:val="20"/>
              </w:rPr>
              <w:t>49,91</w:t>
            </w:r>
          </w:p>
        </w:tc>
      </w:tr>
      <w:tr w:rsidR="00FE461F" w:rsidRPr="005E4BEA" w14:paraId="34942C30" w14:textId="77777777" w:rsidTr="0016774B">
        <w:trPr>
          <w:trHeight w:val="20"/>
        </w:trPr>
        <w:tc>
          <w:tcPr>
            <w:tcW w:w="704" w:type="dxa"/>
            <w:shd w:val="clear" w:color="auto" w:fill="auto"/>
            <w:noWrap/>
          </w:tcPr>
          <w:p w14:paraId="183CCE4B"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FC2CC7D"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F2BCEEC" w14:textId="77777777" w:rsidR="00FE461F" w:rsidRPr="005E4BEA" w:rsidRDefault="00FE461F" w:rsidP="00FE461F">
            <w:pPr>
              <w:spacing w:line="240" w:lineRule="auto"/>
              <w:jc w:val="both"/>
              <w:rPr>
                <w:rFonts w:cs="Arial"/>
                <w:szCs w:val="20"/>
              </w:rPr>
            </w:pPr>
            <w:r w:rsidRPr="005E4BEA">
              <w:rPr>
                <w:rFonts w:cs="Arial"/>
                <w:szCs w:val="20"/>
              </w:rPr>
              <w:t>PUL013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EAE02C8" w14:textId="77777777" w:rsidR="00FE461F" w:rsidRPr="005E4BEA" w:rsidRDefault="00FE461F" w:rsidP="00FE461F">
            <w:pPr>
              <w:spacing w:line="240" w:lineRule="auto"/>
              <w:jc w:val="both"/>
              <w:rPr>
                <w:rFonts w:cs="Arial"/>
                <w:szCs w:val="20"/>
              </w:rPr>
            </w:pPr>
            <w:r w:rsidRPr="005E4BEA">
              <w:rPr>
                <w:rFonts w:cs="Arial"/>
                <w:szCs w:val="20"/>
              </w:rPr>
              <w:t>Kožni vbodni ali intradermalni testi alergije</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4ADA4B3" w14:textId="77777777" w:rsidR="00FE461F" w:rsidRPr="005E4BEA" w:rsidRDefault="00FE461F" w:rsidP="00FE461F">
            <w:pPr>
              <w:spacing w:line="240" w:lineRule="auto"/>
              <w:jc w:val="right"/>
              <w:rPr>
                <w:rFonts w:cs="Arial"/>
                <w:szCs w:val="20"/>
              </w:rPr>
            </w:pPr>
            <w:r w:rsidRPr="005E4BEA">
              <w:rPr>
                <w:rFonts w:cs="Arial"/>
                <w:szCs w:val="20"/>
              </w:rPr>
              <w:t>45,35</w:t>
            </w:r>
          </w:p>
        </w:tc>
      </w:tr>
      <w:tr w:rsidR="00FE461F" w:rsidRPr="005E4BEA" w14:paraId="2BF89EC3" w14:textId="77777777" w:rsidTr="0016774B">
        <w:trPr>
          <w:trHeight w:val="20"/>
        </w:trPr>
        <w:tc>
          <w:tcPr>
            <w:tcW w:w="704" w:type="dxa"/>
            <w:shd w:val="clear" w:color="auto" w:fill="auto"/>
            <w:noWrap/>
          </w:tcPr>
          <w:p w14:paraId="336FFA04"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9D7375A"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07377FA" w14:textId="77777777" w:rsidR="00FE461F" w:rsidRPr="005E4BEA" w:rsidRDefault="00FE461F" w:rsidP="00FE461F">
            <w:pPr>
              <w:spacing w:line="240" w:lineRule="auto"/>
              <w:jc w:val="both"/>
              <w:rPr>
                <w:rFonts w:cs="Arial"/>
                <w:szCs w:val="20"/>
              </w:rPr>
            </w:pPr>
            <w:r w:rsidRPr="005E4BEA">
              <w:rPr>
                <w:rFonts w:cs="Arial"/>
                <w:szCs w:val="20"/>
              </w:rPr>
              <w:t>PUL014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8CE6418" w14:textId="77777777" w:rsidR="00FE461F" w:rsidRPr="005E4BEA" w:rsidRDefault="00FE461F" w:rsidP="00FE461F">
            <w:pPr>
              <w:spacing w:line="240" w:lineRule="auto"/>
              <w:jc w:val="both"/>
              <w:rPr>
                <w:rFonts w:cs="Arial"/>
                <w:szCs w:val="20"/>
              </w:rPr>
            </w:pPr>
            <w:r w:rsidRPr="005E4BEA">
              <w:rPr>
                <w:rFonts w:cs="Arial"/>
                <w:szCs w:val="20"/>
              </w:rPr>
              <w:t>Krivulja pretok/volumen</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0E2E85A" w14:textId="77777777" w:rsidR="00FE461F" w:rsidRPr="005E4BEA" w:rsidRDefault="00FE461F" w:rsidP="00FE461F">
            <w:pPr>
              <w:spacing w:line="240" w:lineRule="auto"/>
              <w:jc w:val="right"/>
              <w:rPr>
                <w:rFonts w:cs="Arial"/>
                <w:szCs w:val="20"/>
              </w:rPr>
            </w:pPr>
            <w:r w:rsidRPr="005E4BEA">
              <w:rPr>
                <w:rFonts w:cs="Arial"/>
                <w:szCs w:val="20"/>
              </w:rPr>
              <w:t>28,07</w:t>
            </w:r>
          </w:p>
        </w:tc>
      </w:tr>
      <w:tr w:rsidR="00FE461F" w:rsidRPr="005E4BEA" w14:paraId="72551416" w14:textId="77777777" w:rsidTr="0016774B">
        <w:trPr>
          <w:trHeight w:val="20"/>
        </w:trPr>
        <w:tc>
          <w:tcPr>
            <w:tcW w:w="704" w:type="dxa"/>
            <w:shd w:val="clear" w:color="auto" w:fill="auto"/>
            <w:noWrap/>
          </w:tcPr>
          <w:p w14:paraId="7BEF5F0D"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91E691D"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EB34CE3" w14:textId="77777777" w:rsidR="00FE461F" w:rsidRPr="005E4BEA" w:rsidRDefault="00FE461F" w:rsidP="00FE461F">
            <w:pPr>
              <w:spacing w:line="240" w:lineRule="auto"/>
              <w:jc w:val="both"/>
              <w:rPr>
                <w:rFonts w:cs="Arial"/>
                <w:szCs w:val="20"/>
              </w:rPr>
            </w:pPr>
            <w:r w:rsidRPr="005E4BEA">
              <w:rPr>
                <w:rFonts w:cs="Arial"/>
                <w:szCs w:val="20"/>
              </w:rPr>
              <w:t>PUL015</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F9961A8" w14:textId="77777777" w:rsidR="00FE461F" w:rsidRPr="005E4BEA" w:rsidRDefault="00FE461F" w:rsidP="00FE461F">
            <w:pPr>
              <w:spacing w:line="240" w:lineRule="auto"/>
              <w:jc w:val="both"/>
              <w:rPr>
                <w:rFonts w:cs="Arial"/>
                <w:szCs w:val="20"/>
              </w:rPr>
            </w:pPr>
            <w:r w:rsidRPr="005E4BEA">
              <w:rPr>
                <w:rFonts w:cs="Arial"/>
                <w:szCs w:val="20"/>
              </w:rPr>
              <w:t>Rezidualni volumen</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A441E8F" w14:textId="77777777" w:rsidR="00FE461F" w:rsidRPr="005E4BEA" w:rsidRDefault="00FE461F" w:rsidP="00FE461F">
            <w:pPr>
              <w:spacing w:line="240" w:lineRule="auto"/>
              <w:jc w:val="right"/>
              <w:rPr>
                <w:rFonts w:cs="Arial"/>
                <w:szCs w:val="20"/>
              </w:rPr>
            </w:pPr>
            <w:r w:rsidRPr="005E4BEA">
              <w:rPr>
                <w:rFonts w:cs="Arial"/>
                <w:szCs w:val="20"/>
              </w:rPr>
              <w:t>21,56</w:t>
            </w:r>
          </w:p>
        </w:tc>
      </w:tr>
      <w:tr w:rsidR="00FE461F" w:rsidRPr="005E4BEA" w14:paraId="6B1E035C" w14:textId="77777777" w:rsidTr="0016774B">
        <w:trPr>
          <w:trHeight w:val="20"/>
        </w:trPr>
        <w:tc>
          <w:tcPr>
            <w:tcW w:w="704" w:type="dxa"/>
            <w:shd w:val="clear" w:color="auto" w:fill="auto"/>
            <w:noWrap/>
          </w:tcPr>
          <w:p w14:paraId="44F07C6A"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58E1C20D"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7DE5ADD" w14:textId="77777777" w:rsidR="00FE461F" w:rsidRPr="005E4BEA" w:rsidRDefault="00FE461F" w:rsidP="00FE461F">
            <w:pPr>
              <w:spacing w:line="240" w:lineRule="auto"/>
              <w:jc w:val="both"/>
              <w:rPr>
                <w:rFonts w:cs="Arial"/>
                <w:szCs w:val="20"/>
              </w:rPr>
            </w:pPr>
            <w:r w:rsidRPr="005E4BEA">
              <w:rPr>
                <w:rFonts w:cs="Arial"/>
                <w:szCs w:val="20"/>
              </w:rPr>
              <w:t>PUL016</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850D0F0" w14:textId="77777777" w:rsidR="00FE461F" w:rsidRPr="005E4BEA" w:rsidRDefault="00FE461F" w:rsidP="00FE461F">
            <w:pPr>
              <w:spacing w:line="240" w:lineRule="auto"/>
              <w:jc w:val="both"/>
              <w:rPr>
                <w:rFonts w:cs="Arial"/>
                <w:szCs w:val="20"/>
              </w:rPr>
            </w:pPr>
            <w:r w:rsidRPr="005E4BEA">
              <w:rPr>
                <w:rFonts w:cs="Arial"/>
                <w:szCs w:val="20"/>
              </w:rPr>
              <w:t xml:space="preserve">Telesna </w:t>
            </w:r>
            <w:proofErr w:type="spellStart"/>
            <w:r w:rsidRPr="005E4BEA">
              <w:rPr>
                <w:rFonts w:cs="Arial"/>
                <w:szCs w:val="20"/>
              </w:rPr>
              <w:t>pletizmografija</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F6C5C4F" w14:textId="77777777" w:rsidR="00FE461F" w:rsidRPr="005E4BEA" w:rsidRDefault="00FE461F" w:rsidP="00FE461F">
            <w:pPr>
              <w:spacing w:line="240" w:lineRule="auto"/>
              <w:jc w:val="right"/>
              <w:rPr>
                <w:rFonts w:cs="Arial"/>
                <w:szCs w:val="20"/>
              </w:rPr>
            </w:pPr>
            <w:r w:rsidRPr="005E4BEA">
              <w:rPr>
                <w:rFonts w:cs="Arial"/>
                <w:szCs w:val="20"/>
              </w:rPr>
              <w:t>27,90</w:t>
            </w:r>
          </w:p>
        </w:tc>
      </w:tr>
      <w:tr w:rsidR="00FE461F" w:rsidRPr="005E4BEA" w14:paraId="583E26A8" w14:textId="77777777" w:rsidTr="0016774B">
        <w:trPr>
          <w:trHeight w:val="20"/>
        </w:trPr>
        <w:tc>
          <w:tcPr>
            <w:tcW w:w="704" w:type="dxa"/>
            <w:shd w:val="clear" w:color="auto" w:fill="auto"/>
            <w:noWrap/>
          </w:tcPr>
          <w:p w14:paraId="7973D741"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C15DC1C"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DAA15FC" w14:textId="77777777" w:rsidR="00FE461F" w:rsidRPr="005E4BEA" w:rsidRDefault="00FE461F" w:rsidP="00FE461F">
            <w:pPr>
              <w:spacing w:line="240" w:lineRule="auto"/>
              <w:jc w:val="both"/>
              <w:rPr>
                <w:rFonts w:cs="Arial"/>
                <w:szCs w:val="20"/>
              </w:rPr>
            </w:pPr>
            <w:r w:rsidRPr="005E4BEA">
              <w:rPr>
                <w:rFonts w:cs="Arial"/>
                <w:szCs w:val="20"/>
              </w:rPr>
              <w:t>PUL017</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11A291C" w14:textId="77777777" w:rsidR="00FE461F" w:rsidRPr="005E4BEA" w:rsidRDefault="00FE461F" w:rsidP="00FE461F">
            <w:pPr>
              <w:spacing w:line="240" w:lineRule="auto"/>
              <w:jc w:val="both"/>
              <w:rPr>
                <w:rFonts w:cs="Arial"/>
                <w:szCs w:val="20"/>
              </w:rPr>
            </w:pPr>
            <w:r w:rsidRPr="005E4BEA">
              <w:rPr>
                <w:rFonts w:cs="Arial"/>
                <w:szCs w:val="20"/>
              </w:rPr>
              <w:t>Titracija nadtlaka v zgornjih dihalnih poteh</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3A7D25F" w14:textId="77777777" w:rsidR="00FE461F" w:rsidRPr="005E4BEA" w:rsidRDefault="00FE461F" w:rsidP="00FE461F">
            <w:pPr>
              <w:spacing w:line="240" w:lineRule="auto"/>
              <w:jc w:val="right"/>
              <w:rPr>
                <w:rFonts w:cs="Arial"/>
                <w:szCs w:val="20"/>
              </w:rPr>
            </w:pPr>
            <w:r w:rsidRPr="005E4BEA">
              <w:rPr>
                <w:rFonts w:cs="Arial"/>
                <w:szCs w:val="20"/>
              </w:rPr>
              <w:t>182,12</w:t>
            </w:r>
          </w:p>
        </w:tc>
      </w:tr>
      <w:tr w:rsidR="00FE461F" w:rsidRPr="005E4BEA" w14:paraId="0A8BA5A5" w14:textId="77777777" w:rsidTr="0016774B">
        <w:trPr>
          <w:trHeight w:val="20"/>
        </w:trPr>
        <w:tc>
          <w:tcPr>
            <w:tcW w:w="704" w:type="dxa"/>
            <w:shd w:val="clear" w:color="auto" w:fill="auto"/>
            <w:noWrap/>
          </w:tcPr>
          <w:p w14:paraId="635DD1F2"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14C25BB"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150313B" w14:textId="77777777" w:rsidR="00FE461F" w:rsidRPr="005E4BEA" w:rsidRDefault="00FE461F" w:rsidP="00FE461F">
            <w:pPr>
              <w:spacing w:line="240" w:lineRule="auto"/>
              <w:jc w:val="both"/>
              <w:rPr>
                <w:rFonts w:cs="Arial"/>
                <w:szCs w:val="20"/>
              </w:rPr>
            </w:pPr>
            <w:r w:rsidRPr="005E4BEA">
              <w:rPr>
                <w:rFonts w:cs="Arial"/>
                <w:szCs w:val="20"/>
              </w:rPr>
              <w:t>PUL018</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C7D640B" w14:textId="77777777" w:rsidR="00FE461F" w:rsidRPr="005E4BEA" w:rsidRDefault="00FE461F" w:rsidP="00FE461F">
            <w:pPr>
              <w:spacing w:line="240" w:lineRule="auto"/>
              <w:jc w:val="both"/>
              <w:rPr>
                <w:rFonts w:cs="Arial"/>
                <w:szCs w:val="20"/>
              </w:rPr>
            </w:pPr>
            <w:r w:rsidRPr="005E4BEA">
              <w:rPr>
                <w:rFonts w:cs="Arial"/>
                <w:szCs w:val="20"/>
              </w:rPr>
              <w:t>Difuzijska kapaciteta pljuč</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174025D" w14:textId="77777777" w:rsidR="00FE461F" w:rsidRPr="005E4BEA" w:rsidRDefault="00FE461F" w:rsidP="00FE461F">
            <w:pPr>
              <w:spacing w:line="240" w:lineRule="auto"/>
              <w:jc w:val="right"/>
              <w:rPr>
                <w:rFonts w:cs="Arial"/>
                <w:szCs w:val="20"/>
              </w:rPr>
            </w:pPr>
            <w:r w:rsidRPr="005E4BEA">
              <w:rPr>
                <w:rFonts w:cs="Arial"/>
                <w:szCs w:val="20"/>
              </w:rPr>
              <w:t>30,86</w:t>
            </w:r>
          </w:p>
        </w:tc>
      </w:tr>
      <w:tr w:rsidR="00FE461F" w:rsidRPr="005E4BEA" w14:paraId="032A6434" w14:textId="77777777" w:rsidTr="0016774B">
        <w:trPr>
          <w:trHeight w:val="20"/>
        </w:trPr>
        <w:tc>
          <w:tcPr>
            <w:tcW w:w="704" w:type="dxa"/>
            <w:shd w:val="clear" w:color="auto" w:fill="auto"/>
            <w:noWrap/>
          </w:tcPr>
          <w:p w14:paraId="2A5E6829"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2CEAFBC"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4E3873AC" w14:textId="77777777" w:rsidR="00FE461F" w:rsidRPr="005E4BEA" w:rsidRDefault="00FE461F" w:rsidP="00FE461F">
            <w:pPr>
              <w:spacing w:line="240" w:lineRule="auto"/>
              <w:jc w:val="both"/>
              <w:rPr>
                <w:rFonts w:cs="Arial"/>
                <w:szCs w:val="20"/>
              </w:rPr>
            </w:pPr>
            <w:r w:rsidRPr="005E4BEA">
              <w:rPr>
                <w:rFonts w:cs="Arial"/>
                <w:szCs w:val="20"/>
              </w:rPr>
              <w:t>PUL019</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6BA660D" w14:textId="77777777" w:rsidR="00FE461F" w:rsidRPr="005E4BEA" w:rsidRDefault="00FE461F" w:rsidP="00FE461F">
            <w:pPr>
              <w:spacing w:line="240" w:lineRule="auto"/>
              <w:jc w:val="both"/>
              <w:rPr>
                <w:rFonts w:cs="Arial"/>
                <w:szCs w:val="20"/>
              </w:rPr>
            </w:pPr>
            <w:proofErr w:type="spellStart"/>
            <w:r w:rsidRPr="005E4BEA">
              <w:rPr>
                <w:rFonts w:cs="Arial"/>
                <w:szCs w:val="20"/>
              </w:rPr>
              <w:t>Ergospirometrija</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7E9E607" w14:textId="77777777" w:rsidR="00FE461F" w:rsidRPr="005E4BEA" w:rsidRDefault="00FE461F" w:rsidP="00FE461F">
            <w:pPr>
              <w:spacing w:line="240" w:lineRule="auto"/>
              <w:jc w:val="right"/>
              <w:rPr>
                <w:rFonts w:cs="Arial"/>
                <w:szCs w:val="20"/>
              </w:rPr>
            </w:pPr>
            <w:r w:rsidRPr="005E4BEA">
              <w:rPr>
                <w:rFonts w:cs="Arial"/>
                <w:szCs w:val="20"/>
              </w:rPr>
              <w:t>149,59</w:t>
            </w:r>
          </w:p>
        </w:tc>
      </w:tr>
      <w:tr w:rsidR="00FE461F" w:rsidRPr="005E4BEA" w14:paraId="29B020F8" w14:textId="77777777" w:rsidTr="0016774B">
        <w:trPr>
          <w:trHeight w:val="20"/>
        </w:trPr>
        <w:tc>
          <w:tcPr>
            <w:tcW w:w="704" w:type="dxa"/>
            <w:shd w:val="clear" w:color="auto" w:fill="auto"/>
            <w:noWrap/>
          </w:tcPr>
          <w:p w14:paraId="0C52C136"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5DCAEF70"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4D507CB6" w14:textId="77777777" w:rsidR="00FE461F" w:rsidRPr="005E4BEA" w:rsidRDefault="00FE461F" w:rsidP="00FE461F">
            <w:pPr>
              <w:spacing w:line="240" w:lineRule="auto"/>
              <w:jc w:val="both"/>
              <w:rPr>
                <w:rFonts w:cs="Arial"/>
                <w:szCs w:val="20"/>
              </w:rPr>
            </w:pPr>
            <w:r w:rsidRPr="005E4BEA">
              <w:rPr>
                <w:rFonts w:cs="Arial"/>
                <w:szCs w:val="20"/>
              </w:rPr>
              <w:t>PUL020</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3CD254A" w14:textId="77777777" w:rsidR="00FE461F" w:rsidRPr="005E4BEA" w:rsidRDefault="00FE461F" w:rsidP="00FE461F">
            <w:pPr>
              <w:spacing w:line="240" w:lineRule="auto"/>
              <w:jc w:val="both"/>
              <w:rPr>
                <w:rFonts w:cs="Arial"/>
                <w:szCs w:val="20"/>
              </w:rPr>
            </w:pPr>
            <w:proofErr w:type="spellStart"/>
            <w:r w:rsidRPr="005E4BEA">
              <w:rPr>
                <w:rFonts w:cs="Arial"/>
                <w:szCs w:val="20"/>
              </w:rPr>
              <w:t>Cikloergometrija</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01C5330" w14:textId="77777777" w:rsidR="00FE461F" w:rsidRPr="005E4BEA" w:rsidRDefault="00FE461F" w:rsidP="00FE461F">
            <w:pPr>
              <w:spacing w:line="240" w:lineRule="auto"/>
              <w:jc w:val="right"/>
              <w:rPr>
                <w:rFonts w:cs="Arial"/>
                <w:szCs w:val="20"/>
              </w:rPr>
            </w:pPr>
            <w:r w:rsidRPr="005E4BEA">
              <w:rPr>
                <w:rFonts w:cs="Arial"/>
                <w:szCs w:val="20"/>
              </w:rPr>
              <w:t>77,73</w:t>
            </w:r>
          </w:p>
        </w:tc>
      </w:tr>
      <w:tr w:rsidR="00FE461F" w:rsidRPr="005E4BEA" w14:paraId="0A0B3D81" w14:textId="77777777" w:rsidTr="0016774B">
        <w:trPr>
          <w:trHeight w:val="20"/>
        </w:trPr>
        <w:tc>
          <w:tcPr>
            <w:tcW w:w="704" w:type="dxa"/>
            <w:shd w:val="clear" w:color="auto" w:fill="auto"/>
            <w:noWrap/>
          </w:tcPr>
          <w:p w14:paraId="64ED9D56"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AB9E4E1"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88E5027" w14:textId="77777777" w:rsidR="00FE461F" w:rsidRPr="005E4BEA" w:rsidRDefault="00FE461F" w:rsidP="00FE461F">
            <w:pPr>
              <w:spacing w:line="240" w:lineRule="auto"/>
              <w:jc w:val="both"/>
              <w:rPr>
                <w:rFonts w:cs="Arial"/>
                <w:szCs w:val="20"/>
              </w:rPr>
            </w:pPr>
            <w:r w:rsidRPr="005E4BEA">
              <w:rPr>
                <w:rFonts w:cs="Arial"/>
                <w:szCs w:val="20"/>
              </w:rPr>
              <w:t>PUL021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6A5956D" w14:textId="77777777" w:rsidR="00FE461F" w:rsidRPr="005E4BEA" w:rsidRDefault="00FE461F" w:rsidP="00FE461F">
            <w:pPr>
              <w:spacing w:line="240" w:lineRule="auto"/>
              <w:jc w:val="both"/>
              <w:rPr>
                <w:rFonts w:cs="Arial"/>
                <w:szCs w:val="20"/>
              </w:rPr>
            </w:pPr>
            <w:r w:rsidRPr="005E4BEA">
              <w:rPr>
                <w:rFonts w:cs="Arial"/>
                <w:szCs w:val="20"/>
              </w:rPr>
              <w:t>Endoskopija zgornjih dihal</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9624559" w14:textId="77777777" w:rsidR="00FE461F" w:rsidRPr="005E4BEA" w:rsidRDefault="00FE461F" w:rsidP="00FE461F">
            <w:pPr>
              <w:spacing w:line="240" w:lineRule="auto"/>
              <w:jc w:val="right"/>
              <w:rPr>
                <w:rFonts w:cs="Arial"/>
                <w:szCs w:val="20"/>
              </w:rPr>
            </w:pPr>
            <w:r w:rsidRPr="005E4BEA">
              <w:rPr>
                <w:rFonts w:cs="Arial"/>
                <w:szCs w:val="20"/>
              </w:rPr>
              <w:t>33,73</w:t>
            </w:r>
          </w:p>
        </w:tc>
      </w:tr>
      <w:tr w:rsidR="00FE461F" w:rsidRPr="005E4BEA" w14:paraId="28C91DCB" w14:textId="77777777" w:rsidTr="0016774B">
        <w:trPr>
          <w:trHeight w:val="20"/>
        </w:trPr>
        <w:tc>
          <w:tcPr>
            <w:tcW w:w="704" w:type="dxa"/>
            <w:shd w:val="clear" w:color="auto" w:fill="auto"/>
            <w:noWrap/>
          </w:tcPr>
          <w:p w14:paraId="6C432CFE"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6821EFC7"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8F88785" w14:textId="77777777" w:rsidR="00FE461F" w:rsidRPr="005E4BEA" w:rsidRDefault="00FE461F" w:rsidP="00FE461F">
            <w:pPr>
              <w:spacing w:line="240" w:lineRule="auto"/>
              <w:jc w:val="both"/>
              <w:rPr>
                <w:rFonts w:cs="Arial"/>
                <w:szCs w:val="20"/>
              </w:rPr>
            </w:pPr>
            <w:r w:rsidRPr="005E4BEA">
              <w:rPr>
                <w:rFonts w:cs="Arial"/>
                <w:szCs w:val="20"/>
              </w:rPr>
              <w:t>PUL022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173FE89" w14:textId="77777777" w:rsidR="00FE461F" w:rsidRPr="005E4BEA" w:rsidRDefault="00FE461F" w:rsidP="00FE461F">
            <w:pPr>
              <w:spacing w:line="240" w:lineRule="auto"/>
              <w:jc w:val="both"/>
              <w:rPr>
                <w:rFonts w:cs="Arial"/>
                <w:szCs w:val="20"/>
              </w:rPr>
            </w:pPr>
            <w:r w:rsidRPr="005E4BEA">
              <w:rPr>
                <w:rFonts w:cs="Arial"/>
                <w:szCs w:val="20"/>
              </w:rPr>
              <w:t>Test 6 minutne hoje</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9F8CC7A" w14:textId="77777777" w:rsidR="00FE461F" w:rsidRPr="005E4BEA" w:rsidRDefault="00FE461F" w:rsidP="00FE461F">
            <w:pPr>
              <w:spacing w:line="240" w:lineRule="auto"/>
              <w:jc w:val="right"/>
              <w:rPr>
                <w:rFonts w:cs="Arial"/>
                <w:szCs w:val="20"/>
              </w:rPr>
            </w:pPr>
            <w:r w:rsidRPr="005E4BEA">
              <w:rPr>
                <w:rFonts w:cs="Arial"/>
                <w:szCs w:val="20"/>
              </w:rPr>
              <w:t>11,35</w:t>
            </w:r>
          </w:p>
        </w:tc>
      </w:tr>
      <w:tr w:rsidR="00FE461F" w:rsidRPr="005E4BEA" w14:paraId="6E470764" w14:textId="77777777" w:rsidTr="0016774B">
        <w:trPr>
          <w:trHeight w:val="20"/>
        </w:trPr>
        <w:tc>
          <w:tcPr>
            <w:tcW w:w="704" w:type="dxa"/>
            <w:shd w:val="clear" w:color="auto" w:fill="auto"/>
            <w:noWrap/>
          </w:tcPr>
          <w:p w14:paraId="4688B46F"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57EEF4D"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1AF22CE" w14:textId="77777777" w:rsidR="00FE461F" w:rsidRPr="005E4BEA" w:rsidRDefault="00FE461F" w:rsidP="00FE461F">
            <w:pPr>
              <w:spacing w:line="240" w:lineRule="auto"/>
              <w:jc w:val="both"/>
              <w:rPr>
                <w:rFonts w:cs="Arial"/>
                <w:szCs w:val="20"/>
              </w:rPr>
            </w:pPr>
            <w:r w:rsidRPr="005E4BEA">
              <w:rPr>
                <w:rFonts w:cs="Arial"/>
                <w:szCs w:val="20"/>
              </w:rPr>
              <w:t>PUL023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6D71DC3" w14:textId="77777777" w:rsidR="00FE461F" w:rsidRPr="005E4BEA" w:rsidRDefault="00FE461F" w:rsidP="00FE461F">
            <w:pPr>
              <w:spacing w:line="240" w:lineRule="auto"/>
              <w:jc w:val="both"/>
              <w:rPr>
                <w:rFonts w:cs="Arial"/>
                <w:szCs w:val="20"/>
              </w:rPr>
            </w:pPr>
            <w:r w:rsidRPr="005E4BEA">
              <w:rPr>
                <w:rFonts w:cs="Arial"/>
                <w:szCs w:val="20"/>
              </w:rPr>
              <w:t>Test vstajanja s stola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59DB574" w14:textId="77777777" w:rsidR="00FE461F" w:rsidRPr="005E4BEA" w:rsidRDefault="00FE461F" w:rsidP="00FE461F">
            <w:pPr>
              <w:spacing w:line="240" w:lineRule="auto"/>
              <w:jc w:val="right"/>
              <w:rPr>
                <w:rFonts w:cs="Arial"/>
                <w:szCs w:val="20"/>
              </w:rPr>
            </w:pPr>
            <w:r w:rsidRPr="005E4BEA">
              <w:rPr>
                <w:rFonts w:cs="Arial"/>
                <w:szCs w:val="20"/>
              </w:rPr>
              <w:t>11,35</w:t>
            </w:r>
          </w:p>
        </w:tc>
      </w:tr>
      <w:tr w:rsidR="00FE461F" w:rsidRPr="005E4BEA" w14:paraId="6B99D998" w14:textId="77777777" w:rsidTr="0016774B">
        <w:trPr>
          <w:trHeight w:val="20"/>
        </w:trPr>
        <w:tc>
          <w:tcPr>
            <w:tcW w:w="704" w:type="dxa"/>
            <w:shd w:val="clear" w:color="auto" w:fill="auto"/>
            <w:noWrap/>
          </w:tcPr>
          <w:p w14:paraId="35F388E1"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5AD6FBD3"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487B090" w14:textId="77777777" w:rsidR="00FE461F" w:rsidRPr="005E4BEA" w:rsidRDefault="00FE461F" w:rsidP="00FE461F">
            <w:pPr>
              <w:spacing w:line="240" w:lineRule="auto"/>
              <w:jc w:val="both"/>
              <w:rPr>
                <w:rFonts w:cs="Arial"/>
                <w:szCs w:val="20"/>
              </w:rPr>
            </w:pPr>
            <w:r w:rsidRPr="005E4BEA">
              <w:rPr>
                <w:rFonts w:cs="Arial"/>
                <w:szCs w:val="20"/>
              </w:rPr>
              <w:t>PUL024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48D2ECC" w14:textId="77777777" w:rsidR="00FE461F" w:rsidRPr="005E4BEA" w:rsidRDefault="00FE461F" w:rsidP="00FE461F">
            <w:pPr>
              <w:spacing w:line="240" w:lineRule="auto"/>
              <w:jc w:val="both"/>
              <w:rPr>
                <w:rFonts w:cs="Arial"/>
                <w:szCs w:val="20"/>
              </w:rPr>
            </w:pPr>
            <w:r w:rsidRPr="005E4BEA">
              <w:rPr>
                <w:rFonts w:cs="Arial"/>
                <w:szCs w:val="20"/>
              </w:rPr>
              <w:t>Slikanje prsnih organov v dveh smereh</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7492194" w14:textId="77777777" w:rsidR="00FE461F" w:rsidRPr="005E4BEA" w:rsidRDefault="00FE461F" w:rsidP="00FE461F">
            <w:pPr>
              <w:spacing w:line="240" w:lineRule="auto"/>
              <w:jc w:val="right"/>
              <w:rPr>
                <w:rFonts w:cs="Arial"/>
                <w:szCs w:val="20"/>
              </w:rPr>
            </w:pPr>
            <w:r w:rsidRPr="005E4BEA">
              <w:rPr>
                <w:rFonts w:cs="Arial"/>
                <w:szCs w:val="20"/>
              </w:rPr>
              <w:t>23,59</w:t>
            </w:r>
          </w:p>
        </w:tc>
      </w:tr>
      <w:tr w:rsidR="00FE461F" w:rsidRPr="005E4BEA" w14:paraId="419E72AB" w14:textId="77777777" w:rsidTr="0016774B">
        <w:trPr>
          <w:trHeight w:val="20"/>
        </w:trPr>
        <w:tc>
          <w:tcPr>
            <w:tcW w:w="704" w:type="dxa"/>
            <w:shd w:val="clear" w:color="auto" w:fill="auto"/>
            <w:noWrap/>
          </w:tcPr>
          <w:p w14:paraId="083D8A38" w14:textId="77777777" w:rsidR="00FE461F" w:rsidRPr="005E4BEA" w:rsidRDefault="00FE461F" w:rsidP="00FE461F">
            <w:pPr>
              <w:spacing w:line="240" w:lineRule="auto"/>
              <w:jc w:val="both"/>
              <w:rPr>
                <w:rFonts w:cs="Arial"/>
                <w:szCs w:val="20"/>
              </w:rPr>
            </w:pPr>
            <w:r w:rsidRPr="005E4BEA">
              <w:rPr>
                <w:rFonts w:cs="Arial"/>
                <w:szCs w:val="20"/>
              </w:rPr>
              <w:lastRenderedPageBreak/>
              <w:t>229</w:t>
            </w:r>
          </w:p>
        </w:tc>
        <w:tc>
          <w:tcPr>
            <w:tcW w:w="851" w:type="dxa"/>
          </w:tcPr>
          <w:p w14:paraId="3BEC2C55"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E6D963D" w14:textId="77777777" w:rsidR="00FE461F" w:rsidRPr="005E4BEA" w:rsidRDefault="00FE461F" w:rsidP="00FE461F">
            <w:pPr>
              <w:spacing w:line="240" w:lineRule="auto"/>
              <w:jc w:val="both"/>
              <w:rPr>
                <w:rFonts w:cs="Arial"/>
                <w:szCs w:val="20"/>
              </w:rPr>
            </w:pPr>
            <w:r w:rsidRPr="005E4BEA">
              <w:rPr>
                <w:rFonts w:cs="Arial"/>
                <w:szCs w:val="20"/>
              </w:rPr>
              <w:t>PUL025</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D29886F" w14:textId="77777777" w:rsidR="00FE461F" w:rsidRPr="005E4BEA" w:rsidRDefault="00FE461F" w:rsidP="00FE461F">
            <w:pPr>
              <w:spacing w:line="240" w:lineRule="auto"/>
              <w:jc w:val="both"/>
              <w:rPr>
                <w:rFonts w:cs="Arial"/>
                <w:szCs w:val="20"/>
              </w:rPr>
            </w:pPr>
            <w:r w:rsidRPr="005E4BEA">
              <w:rPr>
                <w:rFonts w:cs="Arial"/>
                <w:szCs w:val="20"/>
              </w:rPr>
              <w:t>Slikanje prsnih organov v eni smeri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D640847" w14:textId="77777777" w:rsidR="00FE461F" w:rsidRPr="005E4BEA" w:rsidRDefault="00FE461F" w:rsidP="00FE461F">
            <w:pPr>
              <w:spacing w:line="240" w:lineRule="auto"/>
              <w:jc w:val="right"/>
              <w:rPr>
                <w:rFonts w:cs="Arial"/>
                <w:szCs w:val="20"/>
              </w:rPr>
            </w:pPr>
            <w:r w:rsidRPr="005E4BEA">
              <w:rPr>
                <w:rFonts w:cs="Arial"/>
                <w:szCs w:val="20"/>
              </w:rPr>
              <w:t>21,56</w:t>
            </w:r>
          </w:p>
        </w:tc>
      </w:tr>
      <w:tr w:rsidR="00FE461F" w:rsidRPr="005E4BEA" w14:paraId="57753FE2" w14:textId="77777777" w:rsidTr="0016774B">
        <w:trPr>
          <w:trHeight w:val="20"/>
        </w:trPr>
        <w:tc>
          <w:tcPr>
            <w:tcW w:w="704" w:type="dxa"/>
            <w:shd w:val="clear" w:color="auto" w:fill="auto"/>
            <w:noWrap/>
          </w:tcPr>
          <w:p w14:paraId="76A1F305"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3DF4EC0C"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8104B1E" w14:textId="77777777" w:rsidR="00FE461F" w:rsidRPr="005E4BEA" w:rsidRDefault="00FE461F" w:rsidP="00FE461F">
            <w:pPr>
              <w:spacing w:line="240" w:lineRule="auto"/>
              <w:jc w:val="both"/>
              <w:rPr>
                <w:rFonts w:cs="Arial"/>
                <w:szCs w:val="20"/>
              </w:rPr>
            </w:pPr>
            <w:r w:rsidRPr="005E4BEA">
              <w:rPr>
                <w:rFonts w:cs="Arial"/>
                <w:szCs w:val="20"/>
              </w:rPr>
              <w:t>PUL026</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41EB809" w14:textId="77777777" w:rsidR="00FE461F" w:rsidRPr="005E4BEA" w:rsidRDefault="00FE461F" w:rsidP="00FE461F">
            <w:pPr>
              <w:spacing w:line="240" w:lineRule="auto"/>
              <w:jc w:val="both"/>
              <w:rPr>
                <w:rFonts w:cs="Arial"/>
                <w:szCs w:val="20"/>
              </w:rPr>
            </w:pPr>
            <w:r w:rsidRPr="005E4BEA">
              <w:rPr>
                <w:rFonts w:cs="Arial"/>
                <w:szCs w:val="20"/>
              </w:rPr>
              <w:t>UZ prsnega koša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986E7BE" w14:textId="77777777" w:rsidR="00FE461F" w:rsidRPr="005E4BEA" w:rsidRDefault="00FE461F" w:rsidP="00FE461F">
            <w:pPr>
              <w:spacing w:line="240" w:lineRule="auto"/>
              <w:jc w:val="right"/>
              <w:rPr>
                <w:rFonts w:cs="Arial"/>
                <w:szCs w:val="20"/>
              </w:rPr>
            </w:pPr>
            <w:r w:rsidRPr="005E4BEA">
              <w:rPr>
                <w:rFonts w:cs="Arial"/>
                <w:szCs w:val="20"/>
              </w:rPr>
              <w:t>29,05</w:t>
            </w:r>
          </w:p>
        </w:tc>
      </w:tr>
      <w:tr w:rsidR="00FE461F" w:rsidRPr="005E4BEA" w14:paraId="338AE700" w14:textId="77777777" w:rsidTr="0016774B">
        <w:trPr>
          <w:trHeight w:val="20"/>
        </w:trPr>
        <w:tc>
          <w:tcPr>
            <w:tcW w:w="704" w:type="dxa"/>
            <w:shd w:val="clear" w:color="auto" w:fill="auto"/>
            <w:noWrap/>
          </w:tcPr>
          <w:p w14:paraId="4820B577"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9DE7371"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5FF8E64" w14:textId="77777777" w:rsidR="00FE461F" w:rsidRPr="005E4BEA" w:rsidRDefault="00FE461F" w:rsidP="00FE461F">
            <w:pPr>
              <w:spacing w:line="240" w:lineRule="auto"/>
              <w:jc w:val="both"/>
              <w:rPr>
                <w:rFonts w:cs="Arial"/>
                <w:szCs w:val="20"/>
              </w:rPr>
            </w:pPr>
            <w:r w:rsidRPr="005E4BEA">
              <w:rPr>
                <w:rFonts w:cs="Arial"/>
                <w:szCs w:val="20"/>
              </w:rPr>
              <w:t>PUL027</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8067216" w14:textId="77777777" w:rsidR="00FE461F" w:rsidRPr="005E4BEA" w:rsidRDefault="00FE461F" w:rsidP="00FE461F">
            <w:pPr>
              <w:spacing w:line="240" w:lineRule="auto"/>
              <w:jc w:val="both"/>
              <w:rPr>
                <w:rFonts w:cs="Arial"/>
                <w:szCs w:val="20"/>
              </w:rPr>
            </w:pPr>
            <w:proofErr w:type="spellStart"/>
            <w:r w:rsidRPr="005E4BEA">
              <w:rPr>
                <w:rFonts w:cs="Arial"/>
                <w:szCs w:val="20"/>
              </w:rPr>
              <w:t>Obposteljni</w:t>
            </w:r>
            <w:proofErr w:type="spellEnd"/>
            <w:r w:rsidRPr="005E4BEA">
              <w:rPr>
                <w:rFonts w:cs="Arial"/>
                <w:szCs w:val="20"/>
              </w:rPr>
              <w:t xml:space="preserve"> UZ srca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A539514" w14:textId="77777777" w:rsidR="00FE461F" w:rsidRPr="005E4BEA" w:rsidRDefault="00FE461F" w:rsidP="00FE461F">
            <w:pPr>
              <w:spacing w:line="240" w:lineRule="auto"/>
              <w:jc w:val="right"/>
              <w:rPr>
                <w:rFonts w:cs="Arial"/>
                <w:szCs w:val="20"/>
              </w:rPr>
            </w:pPr>
            <w:r w:rsidRPr="005E4BEA">
              <w:rPr>
                <w:rFonts w:cs="Arial"/>
                <w:szCs w:val="20"/>
              </w:rPr>
              <w:t>27,78</w:t>
            </w:r>
          </w:p>
        </w:tc>
      </w:tr>
      <w:tr w:rsidR="00FE461F" w:rsidRPr="005E4BEA" w14:paraId="008F9DE8" w14:textId="77777777" w:rsidTr="0016774B">
        <w:trPr>
          <w:trHeight w:val="20"/>
        </w:trPr>
        <w:tc>
          <w:tcPr>
            <w:tcW w:w="704" w:type="dxa"/>
            <w:shd w:val="clear" w:color="auto" w:fill="auto"/>
            <w:noWrap/>
          </w:tcPr>
          <w:p w14:paraId="72CCB075"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319A60F5"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A865293" w14:textId="77777777" w:rsidR="00FE461F" w:rsidRPr="005E4BEA" w:rsidRDefault="00FE461F" w:rsidP="00FE461F">
            <w:pPr>
              <w:spacing w:line="240" w:lineRule="auto"/>
              <w:jc w:val="both"/>
              <w:rPr>
                <w:rFonts w:cs="Arial"/>
                <w:szCs w:val="20"/>
              </w:rPr>
            </w:pPr>
            <w:r w:rsidRPr="005E4BEA">
              <w:rPr>
                <w:rFonts w:cs="Arial"/>
                <w:szCs w:val="20"/>
              </w:rPr>
              <w:t>PUL028</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E1A9463" w14:textId="77777777" w:rsidR="00FE461F" w:rsidRPr="005E4BEA" w:rsidRDefault="00FE461F" w:rsidP="00FE461F">
            <w:pPr>
              <w:spacing w:line="240" w:lineRule="auto"/>
              <w:jc w:val="both"/>
              <w:rPr>
                <w:rFonts w:cs="Arial"/>
                <w:szCs w:val="20"/>
              </w:rPr>
            </w:pPr>
            <w:r w:rsidRPr="005E4BEA">
              <w:rPr>
                <w:rFonts w:cs="Arial"/>
                <w:szCs w:val="20"/>
              </w:rPr>
              <w:t>UZ srca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CBB82A4" w14:textId="77777777" w:rsidR="00FE461F" w:rsidRPr="005E4BEA" w:rsidRDefault="00FE461F" w:rsidP="00FE461F">
            <w:pPr>
              <w:spacing w:line="240" w:lineRule="auto"/>
              <w:jc w:val="right"/>
              <w:rPr>
                <w:rFonts w:cs="Arial"/>
                <w:szCs w:val="20"/>
              </w:rPr>
            </w:pPr>
            <w:r w:rsidRPr="005E4BEA">
              <w:rPr>
                <w:rFonts w:cs="Arial"/>
                <w:szCs w:val="20"/>
              </w:rPr>
              <w:t>81,44</w:t>
            </w:r>
          </w:p>
        </w:tc>
      </w:tr>
      <w:tr w:rsidR="00FE461F" w:rsidRPr="005E4BEA" w14:paraId="5B708523" w14:textId="77777777" w:rsidTr="0016774B">
        <w:trPr>
          <w:trHeight w:val="20"/>
        </w:trPr>
        <w:tc>
          <w:tcPr>
            <w:tcW w:w="704" w:type="dxa"/>
            <w:shd w:val="clear" w:color="auto" w:fill="auto"/>
            <w:noWrap/>
          </w:tcPr>
          <w:p w14:paraId="20A975F8"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01F76C6"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21C5A70" w14:textId="77777777" w:rsidR="00FE461F" w:rsidRPr="005E4BEA" w:rsidRDefault="00FE461F" w:rsidP="00FE461F">
            <w:pPr>
              <w:spacing w:line="240" w:lineRule="auto"/>
              <w:jc w:val="both"/>
              <w:rPr>
                <w:rFonts w:cs="Arial"/>
                <w:szCs w:val="20"/>
              </w:rPr>
            </w:pPr>
            <w:r w:rsidRPr="005E4BEA">
              <w:rPr>
                <w:rFonts w:cs="Arial"/>
                <w:szCs w:val="20"/>
              </w:rPr>
              <w:t>PUL029</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4C66E57" w14:textId="77777777" w:rsidR="00FE461F" w:rsidRPr="005E4BEA" w:rsidRDefault="00FE461F" w:rsidP="00FE461F">
            <w:pPr>
              <w:spacing w:line="240" w:lineRule="auto"/>
              <w:jc w:val="both"/>
              <w:rPr>
                <w:rFonts w:cs="Arial"/>
                <w:szCs w:val="20"/>
              </w:rPr>
            </w:pPr>
            <w:r w:rsidRPr="005E4BEA">
              <w:rPr>
                <w:rFonts w:cs="Arial"/>
                <w:szCs w:val="20"/>
              </w:rPr>
              <w:t>Doppler ven</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B83D434" w14:textId="77777777" w:rsidR="00FE461F" w:rsidRPr="005E4BEA" w:rsidRDefault="00FE461F" w:rsidP="00FE461F">
            <w:pPr>
              <w:spacing w:line="240" w:lineRule="auto"/>
              <w:jc w:val="right"/>
              <w:rPr>
                <w:rFonts w:cs="Arial"/>
                <w:szCs w:val="20"/>
              </w:rPr>
            </w:pPr>
            <w:r w:rsidRPr="005E4BEA">
              <w:rPr>
                <w:rFonts w:cs="Arial"/>
                <w:szCs w:val="20"/>
              </w:rPr>
              <w:t>66,18</w:t>
            </w:r>
          </w:p>
        </w:tc>
      </w:tr>
      <w:tr w:rsidR="00FE461F" w:rsidRPr="005E4BEA" w14:paraId="7091E923" w14:textId="77777777" w:rsidTr="0016774B">
        <w:trPr>
          <w:trHeight w:val="20"/>
        </w:trPr>
        <w:tc>
          <w:tcPr>
            <w:tcW w:w="704" w:type="dxa"/>
            <w:shd w:val="clear" w:color="auto" w:fill="auto"/>
            <w:noWrap/>
          </w:tcPr>
          <w:p w14:paraId="06B07D0A"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3BB99CA2"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ABACEF0" w14:textId="77777777" w:rsidR="00FE461F" w:rsidRPr="005E4BEA" w:rsidRDefault="00FE461F" w:rsidP="00FE461F">
            <w:pPr>
              <w:spacing w:line="240" w:lineRule="auto"/>
              <w:jc w:val="both"/>
              <w:rPr>
                <w:rFonts w:cs="Arial"/>
                <w:szCs w:val="20"/>
              </w:rPr>
            </w:pPr>
            <w:r w:rsidRPr="005E4BEA">
              <w:rPr>
                <w:rFonts w:cs="Arial"/>
                <w:szCs w:val="20"/>
              </w:rPr>
              <w:t>PUL030</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BA1B018" w14:textId="77777777" w:rsidR="00FE461F" w:rsidRPr="005E4BEA" w:rsidRDefault="00FE461F" w:rsidP="00FE461F">
            <w:pPr>
              <w:spacing w:line="240" w:lineRule="auto"/>
              <w:jc w:val="both"/>
              <w:rPr>
                <w:rFonts w:cs="Arial"/>
                <w:szCs w:val="20"/>
              </w:rPr>
            </w:pPr>
            <w:r w:rsidRPr="005E4BEA">
              <w:rPr>
                <w:rFonts w:cs="Arial"/>
                <w:szCs w:val="20"/>
              </w:rPr>
              <w:t>Cepljenje - posamična aplik. vakcine</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4ED5992" w14:textId="77777777" w:rsidR="00FE461F" w:rsidRPr="005E4BEA" w:rsidRDefault="00FE461F" w:rsidP="00FE461F">
            <w:pPr>
              <w:spacing w:line="240" w:lineRule="auto"/>
              <w:jc w:val="right"/>
              <w:rPr>
                <w:rFonts w:cs="Arial"/>
                <w:szCs w:val="20"/>
              </w:rPr>
            </w:pPr>
            <w:r w:rsidRPr="005E4BEA">
              <w:rPr>
                <w:rFonts w:cs="Arial"/>
                <w:szCs w:val="20"/>
              </w:rPr>
              <w:t>7,97</w:t>
            </w:r>
          </w:p>
        </w:tc>
      </w:tr>
      <w:tr w:rsidR="00FE461F" w:rsidRPr="005E4BEA" w14:paraId="589B2CBB" w14:textId="77777777" w:rsidTr="0016774B">
        <w:trPr>
          <w:trHeight w:val="20"/>
        </w:trPr>
        <w:tc>
          <w:tcPr>
            <w:tcW w:w="704" w:type="dxa"/>
            <w:shd w:val="clear" w:color="auto" w:fill="auto"/>
            <w:noWrap/>
          </w:tcPr>
          <w:p w14:paraId="28A9DF46"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17E74824"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EC73A0A" w14:textId="77777777" w:rsidR="00FE461F" w:rsidRPr="005E4BEA" w:rsidRDefault="00FE461F" w:rsidP="00FE461F">
            <w:pPr>
              <w:spacing w:line="240" w:lineRule="auto"/>
              <w:jc w:val="both"/>
              <w:rPr>
                <w:rFonts w:cs="Arial"/>
                <w:szCs w:val="20"/>
              </w:rPr>
            </w:pPr>
            <w:r w:rsidRPr="005E4BEA">
              <w:rPr>
                <w:rFonts w:cs="Arial"/>
                <w:szCs w:val="20"/>
              </w:rPr>
              <w:t>PUL031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C0A4482" w14:textId="77777777" w:rsidR="00FE461F" w:rsidRPr="005E4BEA" w:rsidRDefault="00FE461F" w:rsidP="00FE461F">
            <w:pPr>
              <w:spacing w:line="240" w:lineRule="auto"/>
              <w:jc w:val="both"/>
              <w:rPr>
                <w:rFonts w:cs="Arial"/>
                <w:szCs w:val="20"/>
              </w:rPr>
            </w:pPr>
            <w:proofErr w:type="spellStart"/>
            <w:r w:rsidRPr="005E4BEA">
              <w:rPr>
                <w:rFonts w:cs="Arial"/>
                <w:szCs w:val="20"/>
              </w:rPr>
              <w:t>Krpični</w:t>
            </w:r>
            <w:proofErr w:type="spellEnd"/>
            <w:r w:rsidRPr="005E4BEA">
              <w:rPr>
                <w:rFonts w:cs="Arial"/>
                <w:szCs w:val="20"/>
              </w:rPr>
              <w:t xml:space="preserve"> testi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0F315E2" w14:textId="77777777" w:rsidR="00FE461F" w:rsidRPr="005E4BEA" w:rsidRDefault="00FE461F" w:rsidP="00FE461F">
            <w:pPr>
              <w:spacing w:line="240" w:lineRule="auto"/>
              <w:jc w:val="right"/>
              <w:rPr>
                <w:rFonts w:cs="Arial"/>
                <w:szCs w:val="20"/>
              </w:rPr>
            </w:pPr>
            <w:r w:rsidRPr="005E4BEA">
              <w:rPr>
                <w:rFonts w:cs="Arial"/>
                <w:szCs w:val="20"/>
              </w:rPr>
              <w:t>54,91</w:t>
            </w:r>
          </w:p>
        </w:tc>
      </w:tr>
      <w:tr w:rsidR="00FE461F" w:rsidRPr="005E4BEA" w14:paraId="261724F3" w14:textId="77777777" w:rsidTr="0016774B">
        <w:trPr>
          <w:trHeight w:val="20"/>
        </w:trPr>
        <w:tc>
          <w:tcPr>
            <w:tcW w:w="704" w:type="dxa"/>
            <w:shd w:val="clear" w:color="auto" w:fill="auto"/>
            <w:noWrap/>
          </w:tcPr>
          <w:p w14:paraId="540FF386"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2FE439C"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F7468AC" w14:textId="77777777" w:rsidR="00FE461F" w:rsidRPr="005E4BEA" w:rsidRDefault="00FE461F" w:rsidP="00FE461F">
            <w:pPr>
              <w:spacing w:line="240" w:lineRule="auto"/>
              <w:jc w:val="both"/>
              <w:rPr>
                <w:rFonts w:cs="Arial"/>
                <w:szCs w:val="20"/>
              </w:rPr>
            </w:pPr>
            <w:r w:rsidRPr="005E4BEA">
              <w:rPr>
                <w:rFonts w:cs="Arial"/>
                <w:szCs w:val="20"/>
              </w:rPr>
              <w:t>PUL032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FE086BF" w14:textId="77777777" w:rsidR="00FE461F" w:rsidRPr="005E4BEA" w:rsidRDefault="00FE461F" w:rsidP="00FE461F">
            <w:pPr>
              <w:spacing w:line="240" w:lineRule="auto"/>
              <w:jc w:val="both"/>
              <w:rPr>
                <w:rFonts w:cs="Arial"/>
                <w:szCs w:val="20"/>
              </w:rPr>
            </w:pPr>
            <w:r w:rsidRPr="005E4BEA">
              <w:rPr>
                <w:rFonts w:cs="Arial"/>
                <w:szCs w:val="20"/>
              </w:rPr>
              <w:t>Ambulantna rehabilitacija kroničnih pljučnih bolnikov</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39E2C52" w14:textId="77777777" w:rsidR="00FE461F" w:rsidRPr="005E4BEA" w:rsidRDefault="00FE461F" w:rsidP="00FE461F">
            <w:pPr>
              <w:spacing w:line="240" w:lineRule="auto"/>
              <w:jc w:val="right"/>
              <w:rPr>
                <w:rFonts w:cs="Arial"/>
                <w:szCs w:val="20"/>
              </w:rPr>
            </w:pPr>
            <w:r w:rsidRPr="005E4BEA">
              <w:rPr>
                <w:rFonts w:cs="Arial"/>
                <w:szCs w:val="20"/>
              </w:rPr>
              <w:t>55,67</w:t>
            </w:r>
          </w:p>
        </w:tc>
      </w:tr>
      <w:tr w:rsidR="00FE461F" w:rsidRPr="005E4BEA" w14:paraId="0B2E39F0" w14:textId="77777777" w:rsidTr="0016774B">
        <w:trPr>
          <w:trHeight w:val="20"/>
        </w:trPr>
        <w:tc>
          <w:tcPr>
            <w:tcW w:w="704" w:type="dxa"/>
            <w:shd w:val="clear" w:color="auto" w:fill="auto"/>
            <w:noWrap/>
          </w:tcPr>
          <w:p w14:paraId="60F14BFA"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3FC9D86"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D33E024" w14:textId="77777777" w:rsidR="00FE461F" w:rsidRPr="005E4BEA" w:rsidRDefault="00FE461F" w:rsidP="00FE461F">
            <w:pPr>
              <w:spacing w:line="240" w:lineRule="auto"/>
              <w:jc w:val="both"/>
              <w:rPr>
                <w:rFonts w:cs="Arial"/>
                <w:szCs w:val="20"/>
              </w:rPr>
            </w:pPr>
            <w:r w:rsidRPr="005E4BEA">
              <w:rPr>
                <w:rFonts w:cs="Arial"/>
                <w:szCs w:val="20"/>
              </w:rPr>
              <w:t>PUL033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A2AA357" w14:textId="77777777" w:rsidR="00FE461F" w:rsidRPr="005E4BEA" w:rsidRDefault="00FE461F" w:rsidP="00FE461F">
            <w:pPr>
              <w:spacing w:line="240" w:lineRule="auto"/>
              <w:jc w:val="both"/>
              <w:rPr>
                <w:rFonts w:cs="Arial"/>
                <w:szCs w:val="20"/>
              </w:rPr>
            </w:pPr>
            <w:proofErr w:type="spellStart"/>
            <w:r w:rsidRPr="005E4BEA">
              <w:rPr>
                <w:rFonts w:cs="Arial"/>
                <w:szCs w:val="20"/>
              </w:rPr>
              <w:t>Poligrafija</w:t>
            </w:r>
            <w:proofErr w:type="spellEnd"/>
            <w:r w:rsidRPr="005E4BEA">
              <w:rPr>
                <w:rFonts w:cs="Arial"/>
                <w:szCs w:val="20"/>
              </w:rPr>
              <w:t xml:space="preserve"> spanja na domu</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0C9076A" w14:textId="77777777" w:rsidR="00FE461F" w:rsidRPr="005E4BEA" w:rsidRDefault="00FE461F" w:rsidP="00FE461F">
            <w:pPr>
              <w:spacing w:line="240" w:lineRule="auto"/>
              <w:jc w:val="right"/>
              <w:rPr>
                <w:rFonts w:cs="Arial"/>
                <w:szCs w:val="20"/>
              </w:rPr>
            </w:pPr>
            <w:r w:rsidRPr="005E4BEA">
              <w:rPr>
                <w:rFonts w:cs="Arial"/>
                <w:szCs w:val="20"/>
              </w:rPr>
              <w:t>135,92</w:t>
            </w:r>
          </w:p>
        </w:tc>
      </w:tr>
      <w:tr w:rsidR="00FE461F" w:rsidRPr="005E4BEA" w14:paraId="4B0AF44A" w14:textId="77777777" w:rsidTr="0016774B">
        <w:trPr>
          <w:trHeight w:val="20"/>
        </w:trPr>
        <w:tc>
          <w:tcPr>
            <w:tcW w:w="704" w:type="dxa"/>
            <w:shd w:val="clear" w:color="auto" w:fill="auto"/>
            <w:noWrap/>
          </w:tcPr>
          <w:p w14:paraId="07716A28"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25023C53"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1D1140B" w14:textId="77777777" w:rsidR="00FE461F" w:rsidRPr="005E4BEA" w:rsidRDefault="00FE461F" w:rsidP="00FE461F">
            <w:pPr>
              <w:spacing w:line="240" w:lineRule="auto"/>
              <w:jc w:val="both"/>
              <w:rPr>
                <w:rFonts w:cs="Arial"/>
                <w:szCs w:val="20"/>
              </w:rPr>
            </w:pPr>
            <w:r w:rsidRPr="005E4BEA">
              <w:rPr>
                <w:rFonts w:cs="Arial"/>
                <w:szCs w:val="20"/>
              </w:rPr>
              <w:t>PUL034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CFAC64F" w14:textId="77777777" w:rsidR="00FE461F" w:rsidRPr="005E4BEA" w:rsidRDefault="00FE461F" w:rsidP="00FE461F">
            <w:pPr>
              <w:spacing w:line="240" w:lineRule="auto"/>
              <w:jc w:val="both"/>
              <w:rPr>
                <w:rFonts w:cs="Arial"/>
                <w:szCs w:val="20"/>
              </w:rPr>
            </w:pPr>
            <w:r w:rsidRPr="005E4BEA">
              <w:rPr>
                <w:rFonts w:cs="Arial"/>
                <w:szCs w:val="20"/>
              </w:rPr>
              <w:t>Meritev NO v izdihanem zraku</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B969626" w14:textId="77777777" w:rsidR="00FE461F" w:rsidRPr="005E4BEA" w:rsidRDefault="00FE461F" w:rsidP="00FE461F">
            <w:pPr>
              <w:spacing w:line="240" w:lineRule="auto"/>
              <w:jc w:val="right"/>
              <w:rPr>
                <w:rFonts w:cs="Arial"/>
                <w:szCs w:val="20"/>
              </w:rPr>
            </w:pPr>
            <w:r w:rsidRPr="005E4BEA">
              <w:rPr>
                <w:rFonts w:cs="Arial"/>
                <w:szCs w:val="20"/>
              </w:rPr>
              <w:t>22,43</w:t>
            </w:r>
          </w:p>
        </w:tc>
      </w:tr>
      <w:tr w:rsidR="00FE461F" w:rsidRPr="005E4BEA" w14:paraId="7061DD27" w14:textId="77777777" w:rsidTr="0016774B">
        <w:trPr>
          <w:trHeight w:val="20"/>
        </w:trPr>
        <w:tc>
          <w:tcPr>
            <w:tcW w:w="704" w:type="dxa"/>
            <w:shd w:val="clear" w:color="auto" w:fill="auto"/>
            <w:noWrap/>
          </w:tcPr>
          <w:p w14:paraId="7E4A9578"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0E550D97"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FF70A08" w14:textId="77777777" w:rsidR="00FE461F" w:rsidRPr="005E4BEA" w:rsidRDefault="00FE461F" w:rsidP="00FE461F">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348CD3D" w14:textId="77777777" w:rsidR="00FE461F" w:rsidRPr="005E4BEA" w:rsidRDefault="00FE461F" w:rsidP="00FE461F">
            <w:pPr>
              <w:spacing w:line="240" w:lineRule="auto"/>
              <w:jc w:val="both"/>
              <w:rPr>
                <w:rFonts w:cs="Arial"/>
                <w:szCs w:val="20"/>
              </w:rPr>
            </w:pPr>
            <w:r w:rsidRPr="005E4BEA">
              <w:rPr>
                <w:rFonts w:cs="Arial"/>
                <w:szCs w:val="20"/>
              </w:rPr>
              <w:t>Diagnostična obravnava težavnega poteka bolezni dihal</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AF69293" w14:textId="77777777" w:rsidR="00FE461F" w:rsidRPr="005E4BEA" w:rsidRDefault="00FE461F" w:rsidP="00FE461F">
            <w:pPr>
              <w:spacing w:line="240" w:lineRule="auto"/>
              <w:jc w:val="right"/>
              <w:rPr>
                <w:rFonts w:cs="Arial"/>
                <w:szCs w:val="20"/>
              </w:rPr>
            </w:pPr>
            <w:r w:rsidRPr="005E4BEA">
              <w:rPr>
                <w:rFonts w:cs="Arial"/>
                <w:szCs w:val="20"/>
              </w:rPr>
              <w:t>1.307,90</w:t>
            </w:r>
          </w:p>
        </w:tc>
      </w:tr>
      <w:tr w:rsidR="00FE461F" w:rsidRPr="005E4BEA" w14:paraId="010C4335" w14:textId="77777777" w:rsidTr="0016774B">
        <w:trPr>
          <w:trHeight w:val="20"/>
        </w:trPr>
        <w:tc>
          <w:tcPr>
            <w:tcW w:w="704" w:type="dxa"/>
            <w:shd w:val="clear" w:color="auto" w:fill="auto"/>
            <w:noWrap/>
          </w:tcPr>
          <w:p w14:paraId="756E1381"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1AEF4343"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7F41D81" w14:textId="77777777" w:rsidR="00FE461F" w:rsidRPr="005E4BEA" w:rsidRDefault="00FE461F" w:rsidP="00FE461F">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B1CD899" w14:textId="77777777" w:rsidR="00FE461F" w:rsidRPr="005E4BEA" w:rsidRDefault="00FE461F" w:rsidP="00FE461F">
            <w:pPr>
              <w:spacing w:line="240" w:lineRule="auto"/>
              <w:jc w:val="both"/>
              <w:rPr>
                <w:rFonts w:cs="Arial"/>
                <w:szCs w:val="20"/>
              </w:rPr>
            </w:pPr>
            <w:r w:rsidRPr="005E4BEA">
              <w:rPr>
                <w:rFonts w:cs="Arial"/>
                <w:szCs w:val="20"/>
              </w:rPr>
              <w:t>Obravnava bolnikov po presaditvi pljuč</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CAE2D4A" w14:textId="77777777" w:rsidR="00FE461F" w:rsidRPr="005E4BEA" w:rsidRDefault="00FE461F" w:rsidP="00FE461F">
            <w:pPr>
              <w:spacing w:line="240" w:lineRule="auto"/>
              <w:jc w:val="right"/>
              <w:rPr>
                <w:rFonts w:cs="Arial"/>
                <w:szCs w:val="20"/>
              </w:rPr>
            </w:pPr>
            <w:r w:rsidRPr="005E4BEA">
              <w:rPr>
                <w:rFonts w:cs="Arial"/>
                <w:szCs w:val="20"/>
              </w:rPr>
              <w:t>357,65</w:t>
            </w:r>
          </w:p>
        </w:tc>
      </w:tr>
      <w:tr w:rsidR="00FE461F" w:rsidRPr="005E4BEA" w14:paraId="1F982CE6" w14:textId="77777777" w:rsidTr="0016774B">
        <w:trPr>
          <w:trHeight w:val="20"/>
        </w:trPr>
        <w:tc>
          <w:tcPr>
            <w:tcW w:w="704" w:type="dxa"/>
            <w:shd w:val="clear" w:color="auto" w:fill="auto"/>
            <w:noWrap/>
          </w:tcPr>
          <w:p w14:paraId="4E7AFB21"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5F0107A4"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458EFE09" w14:textId="77777777" w:rsidR="00FE461F" w:rsidRPr="005E4BEA" w:rsidRDefault="00FE461F" w:rsidP="00FE461F">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9B488D9" w14:textId="77777777" w:rsidR="00FE461F" w:rsidRPr="005E4BEA" w:rsidRDefault="00FE461F" w:rsidP="00FE461F">
            <w:pPr>
              <w:spacing w:line="240" w:lineRule="auto"/>
              <w:jc w:val="both"/>
              <w:rPr>
                <w:rFonts w:cs="Arial"/>
                <w:szCs w:val="20"/>
              </w:rPr>
            </w:pPr>
            <w:r w:rsidRPr="005E4BEA">
              <w:rPr>
                <w:rFonts w:cs="Arial"/>
                <w:szCs w:val="20"/>
              </w:rPr>
              <w:t xml:space="preserve">Letni pregled bolnika s cistično </w:t>
            </w:r>
            <w:proofErr w:type="spellStart"/>
            <w:r w:rsidRPr="005E4BEA">
              <w:rPr>
                <w:rFonts w:cs="Arial"/>
                <w:szCs w:val="20"/>
              </w:rPr>
              <w:t>fibrozo</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DF29DB0" w14:textId="77777777" w:rsidR="00FE461F" w:rsidRPr="005E4BEA" w:rsidRDefault="00FE461F" w:rsidP="00FE461F">
            <w:pPr>
              <w:spacing w:line="240" w:lineRule="auto"/>
              <w:jc w:val="right"/>
              <w:rPr>
                <w:rFonts w:cs="Arial"/>
                <w:szCs w:val="20"/>
              </w:rPr>
            </w:pPr>
            <w:r w:rsidRPr="005E4BEA">
              <w:rPr>
                <w:rFonts w:cs="Arial"/>
                <w:szCs w:val="20"/>
              </w:rPr>
              <w:t>2.077,80</w:t>
            </w:r>
          </w:p>
        </w:tc>
      </w:tr>
      <w:tr w:rsidR="00FE461F" w:rsidRPr="005E4BEA" w14:paraId="59AB2792" w14:textId="77777777" w:rsidTr="0016774B">
        <w:trPr>
          <w:trHeight w:val="20"/>
        </w:trPr>
        <w:tc>
          <w:tcPr>
            <w:tcW w:w="704" w:type="dxa"/>
            <w:shd w:val="clear" w:color="auto" w:fill="auto"/>
            <w:noWrap/>
          </w:tcPr>
          <w:p w14:paraId="2BFF43BB" w14:textId="77777777" w:rsidR="00FE461F" w:rsidRPr="005E4BEA" w:rsidRDefault="00FE461F" w:rsidP="00FE461F">
            <w:pPr>
              <w:spacing w:line="240" w:lineRule="auto"/>
              <w:jc w:val="both"/>
              <w:rPr>
                <w:rFonts w:cs="Arial"/>
                <w:szCs w:val="20"/>
              </w:rPr>
            </w:pPr>
            <w:r w:rsidRPr="005E4BEA">
              <w:rPr>
                <w:rFonts w:cs="Arial"/>
                <w:szCs w:val="20"/>
              </w:rPr>
              <w:t>229</w:t>
            </w:r>
          </w:p>
        </w:tc>
        <w:tc>
          <w:tcPr>
            <w:tcW w:w="851" w:type="dxa"/>
          </w:tcPr>
          <w:p w14:paraId="7AD61E0B" w14:textId="77777777" w:rsidR="00FE461F" w:rsidRPr="005E4BEA" w:rsidRDefault="00FE461F" w:rsidP="00FE461F">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34B8648" w14:textId="77777777" w:rsidR="00FE461F" w:rsidRPr="005E4BEA" w:rsidRDefault="00FE461F" w:rsidP="00FE461F">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36B3C6C" w14:textId="77777777" w:rsidR="00FE461F" w:rsidRPr="005E4BEA" w:rsidRDefault="00FE461F" w:rsidP="00FE461F">
            <w:pPr>
              <w:spacing w:line="240" w:lineRule="auto"/>
              <w:jc w:val="both"/>
              <w:rPr>
                <w:rFonts w:cs="Arial"/>
                <w:szCs w:val="20"/>
              </w:rPr>
            </w:pPr>
            <w:r w:rsidRPr="005E4BEA">
              <w:rPr>
                <w:rFonts w:cs="Arial"/>
                <w:szCs w:val="20"/>
              </w:rPr>
              <w:t xml:space="preserve">Kontrolni pregled bolnika s cistično </w:t>
            </w:r>
            <w:proofErr w:type="spellStart"/>
            <w:r w:rsidRPr="005E4BEA">
              <w:rPr>
                <w:rFonts w:cs="Arial"/>
                <w:szCs w:val="20"/>
              </w:rPr>
              <w:t>fibrozo</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3F99A8F" w14:textId="77777777" w:rsidR="00FE461F" w:rsidRPr="005E4BEA" w:rsidRDefault="00FE461F" w:rsidP="00FE461F">
            <w:pPr>
              <w:spacing w:line="240" w:lineRule="auto"/>
              <w:jc w:val="right"/>
              <w:rPr>
                <w:rFonts w:cs="Arial"/>
                <w:szCs w:val="20"/>
              </w:rPr>
            </w:pPr>
            <w:r w:rsidRPr="005E4BEA">
              <w:rPr>
                <w:rFonts w:cs="Arial"/>
                <w:szCs w:val="20"/>
              </w:rPr>
              <w:t>470,92</w:t>
            </w:r>
          </w:p>
        </w:tc>
      </w:tr>
    </w:tbl>
    <w:p w14:paraId="1619EF79" w14:textId="77777777" w:rsidR="00FE461F" w:rsidRPr="005E4BEA" w:rsidRDefault="00FE461F" w:rsidP="00FE461F">
      <w:pPr>
        <w:spacing w:line="240" w:lineRule="auto"/>
        <w:jc w:val="both"/>
        <w:rPr>
          <w:rFonts w:cs="Arial"/>
          <w:szCs w:val="20"/>
        </w:rPr>
      </w:pPr>
    </w:p>
    <w:p w14:paraId="7C04A9DA" w14:textId="77777777" w:rsidR="00FE461F" w:rsidRPr="005E4BEA" w:rsidRDefault="00FE461F" w:rsidP="00FE461F">
      <w:pPr>
        <w:spacing w:line="240" w:lineRule="auto"/>
        <w:jc w:val="both"/>
        <w:rPr>
          <w:rFonts w:cs="Arial"/>
          <w:szCs w:val="20"/>
        </w:rPr>
      </w:pPr>
    </w:p>
    <w:p w14:paraId="59F5198A" w14:textId="77777777" w:rsidR="00FE461F" w:rsidRPr="005E4BEA" w:rsidRDefault="00FE461F" w:rsidP="00FE461F">
      <w:pPr>
        <w:spacing w:line="240" w:lineRule="exact"/>
        <w:jc w:val="both"/>
        <w:rPr>
          <w:rFonts w:cs="Arial"/>
          <w:b/>
          <w:szCs w:val="20"/>
        </w:rPr>
      </w:pPr>
      <w:r w:rsidRPr="005E4BEA">
        <w:rPr>
          <w:rFonts w:cs="Arial"/>
          <w:b/>
          <w:szCs w:val="20"/>
        </w:rPr>
        <w:t>V Prilogi I/d se dodata novi točki, ki se glasita:</w:t>
      </w:r>
    </w:p>
    <w:p w14:paraId="2AE19B06" w14:textId="77777777" w:rsidR="00FE461F" w:rsidRPr="005E4BEA" w:rsidRDefault="00FE461F" w:rsidP="00FE461F">
      <w:pPr>
        <w:spacing w:line="240" w:lineRule="auto"/>
        <w:jc w:val="both"/>
        <w:rPr>
          <w:rFonts w:cs="Arial"/>
          <w:szCs w:val="20"/>
        </w:rPr>
      </w:pPr>
    </w:p>
    <w:tbl>
      <w:tblPr>
        <w:tblW w:w="9100" w:type="dxa"/>
        <w:tblInd w:w="55" w:type="dxa"/>
        <w:tblCellMar>
          <w:left w:w="70" w:type="dxa"/>
          <w:right w:w="70" w:type="dxa"/>
        </w:tblCellMar>
        <w:tblLook w:val="04A0" w:firstRow="1" w:lastRow="0" w:firstColumn="1" w:lastColumn="0" w:noHBand="0" w:noVBand="1"/>
      </w:tblPr>
      <w:tblGrid>
        <w:gridCol w:w="1149"/>
        <w:gridCol w:w="851"/>
        <w:gridCol w:w="4543"/>
        <w:gridCol w:w="989"/>
        <w:gridCol w:w="1568"/>
      </w:tblGrid>
      <w:tr w:rsidR="00FE461F" w:rsidRPr="005E4BEA" w14:paraId="24A7288C" w14:textId="77777777" w:rsidTr="0016774B">
        <w:trPr>
          <w:trHeight w:hRule="exact" w:val="794"/>
        </w:trPr>
        <w:tc>
          <w:tcPr>
            <w:tcW w:w="1149"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2C05117E" w14:textId="77777777" w:rsidR="00FE461F" w:rsidRPr="005E4BEA" w:rsidRDefault="00FE461F" w:rsidP="00FE461F">
            <w:pPr>
              <w:spacing w:line="240" w:lineRule="exact"/>
              <w:rPr>
                <w:rFonts w:cs="Arial"/>
                <w:szCs w:val="20"/>
              </w:rPr>
            </w:pPr>
            <w:r w:rsidRPr="005E4BEA">
              <w:rPr>
                <w:rFonts w:cs="Arial"/>
                <w:szCs w:val="20"/>
              </w:rPr>
              <w:t>16. člen (odstavek) točka</w:t>
            </w:r>
          </w:p>
        </w:tc>
        <w:tc>
          <w:tcPr>
            <w:tcW w:w="851" w:type="dxa"/>
            <w:tcBorders>
              <w:top w:val="single" w:sz="4" w:space="0" w:color="538DD5"/>
              <w:left w:val="nil"/>
              <w:bottom w:val="single" w:sz="4" w:space="0" w:color="538DD5"/>
              <w:right w:val="single" w:sz="4" w:space="0" w:color="538DD5"/>
            </w:tcBorders>
            <w:shd w:val="clear" w:color="auto" w:fill="auto"/>
            <w:vAlign w:val="center"/>
            <w:hideMark/>
          </w:tcPr>
          <w:p w14:paraId="597CE038" w14:textId="77777777" w:rsidR="00FE461F" w:rsidRPr="005E4BEA" w:rsidRDefault="00FE461F" w:rsidP="00FE461F">
            <w:pPr>
              <w:spacing w:line="240" w:lineRule="exact"/>
              <w:jc w:val="both"/>
              <w:rPr>
                <w:rFonts w:cs="Arial"/>
                <w:szCs w:val="20"/>
              </w:rPr>
            </w:pPr>
            <w:r w:rsidRPr="005E4BEA">
              <w:rPr>
                <w:rFonts w:cs="Arial"/>
                <w:szCs w:val="20"/>
              </w:rPr>
              <w:t>Šifra po šifrantu 15.28</w:t>
            </w:r>
          </w:p>
        </w:tc>
        <w:tc>
          <w:tcPr>
            <w:tcW w:w="4543" w:type="dxa"/>
            <w:tcBorders>
              <w:top w:val="single" w:sz="4" w:space="0" w:color="538DD5"/>
              <w:left w:val="single" w:sz="4" w:space="0" w:color="538DD5"/>
              <w:bottom w:val="single" w:sz="4" w:space="0" w:color="538DD5"/>
              <w:right w:val="single" w:sz="4" w:space="0" w:color="538DD5"/>
            </w:tcBorders>
            <w:vAlign w:val="center"/>
            <w:hideMark/>
          </w:tcPr>
          <w:p w14:paraId="26B2AF32" w14:textId="77777777" w:rsidR="00FE461F" w:rsidRPr="005E4BEA" w:rsidRDefault="00FE461F" w:rsidP="00FE461F">
            <w:pPr>
              <w:spacing w:line="240" w:lineRule="exact"/>
              <w:jc w:val="both"/>
              <w:rPr>
                <w:rFonts w:cs="Arial"/>
                <w:szCs w:val="20"/>
              </w:rPr>
            </w:pPr>
            <w:r w:rsidRPr="005E4BEA">
              <w:rPr>
                <w:rFonts w:cs="Arial"/>
                <w:szCs w:val="20"/>
              </w:rPr>
              <w:t>Ločeno zaračunljivi material in preiskave</w:t>
            </w:r>
          </w:p>
        </w:tc>
        <w:tc>
          <w:tcPr>
            <w:tcW w:w="989" w:type="dxa"/>
            <w:tcBorders>
              <w:top w:val="single" w:sz="4" w:space="0" w:color="538DD5"/>
              <w:left w:val="nil"/>
              <w:bottom w:val="single" w:sz="4" w:space="0" w:color="538DD5"/>
              <w:right w:val="single" w:sz="4" w:space="0" w:color="538DD5"/>
            </w:tcBorders>
            <w:shd w:val="clear" w:color="auto" w:fill="auto"/>
            <w:hideMark/>
          </w:tcPr>
          <w:p w14:paraId="2FF7C564" w14:textId="77777777" w:rsidR="00FE461F" w:rsidRPr="005E4BEA" w:rsidRDefault="00FE461F" w:rsidP="00FE461F">
            <w:pPr>
              <w:spacing w:line="240" w:lineRule="exact"/>
              <w:jc w:val="center"/>
              <w:rPr>
                <w:rFonts w:cs="Arial"/>
                <w:szCs w:val="20"/>
              </w:rPr>
            </w:pPr>
            <w:r w:rsidRPr="005E4BEA">
              <w:rPr>
                <w:rFonts w:cs="Arial"/>
                <w:szCs w:val="20"/>
              </w:rPr>
              <w:t>Merska enota</w:t>
            </w:r>
          </w:p>
        </w:tc>
        <w:tc>
          <w:tcPr>
            <w:tcW w:w="1568" w:type="dxa"/>
            <w:tcBorders>
              <w:top w:val="single" w:sz="4" w:space="0" w:color="538DD5"/>
              <w:left w:val="nil"/>
              <w:bottom w:val="single" w:sz="4" w:space="0" w:color="538DD5"/>
              <w:right w:val="single" w:sz="4" w:space="0" w:color="538DD5"/>
            </w:tcBorders>
            <w:shd w:val="clear" w:color="auto" w:fill="auto"/>
            <w:vAlign w:val="center"/>
            <w:hideMark/>
          </w:tcPr>
          <w:p w14:paraId="4F5C57F5" w14:textId="77777777" w:rsidR="00FE461F" w:rsidRPr="005E4BEA" w:rsidRDefault="00FE461F" w:rsidP="00FE461F">
            <w:pPr>
              <w:spacing w:line="240" w:lineRule="exact"/>
              <w:jc w:val="right"/>
              <w:rPr>
                <w:rFonts w:cs="Arial"/>
                <w:szCs w:val="20"/>
              </w:rPr>
            </w:pPr>
            <w:r w:rsidRPr="005E4BEA">
              <w:rPr>
                <w:rFonts w:cs="Arial"/>
                <w:szCs w:val="20"/>
              </w:rPr>
              <w:t xml:space="preserve">Tekoča cena za mersko enoto </w:t>
            </w:r>
            <w:r w:rsidRPr="005E4BEA">
              <w:rPr>
                <w:rFonts w:cs="Arial"/>
                <w:szCs w:val="20"/>
              </w:rPr>
              <w:br/>
              <w:t>(v EUR)</w:t>
            </w:r>
          </w:p>
        </w:tc>
      </w:tr>
      <w:tr w:rsidR="00FE461F" w:rsidRPr="005E4BEA" w14:paraId="56DF41D7" w14:textId="77777777" w:rsidTr="0016774B">
        <w:trPr>
          <w:trHeight w:hRule="exact" w:val="454"/>
        </w:trPr>
        <w:tc>
          <w:tcPr>
            <w:tcW w:w="1149" w:type="dxa"/>
            <w:tcBorders>
              <w:top w:val="single" w:sz="4" w:space="0" w:color="538DD5"/>
              <w:left w:val="single" w:sz="4" w:space="0" w:color="538DD5"/>
              <w:bottom w:val="single" w:sz="4" w:space="0" w:color="538DD5"/>
              <w:right w:val="nil"/>
            </w:tcBorders>
            <w:shd w:val="clear" w:color="auto" w:fill="auto"/>
            <w:vAlign w:val="center"/>
          </w:tcPr>
          <w:p w14:paraId="3BCB54D5" w14:textId="77777777" w:rsidR="00FE461F" w:rsidRPr="005E4BEA" w:rsidRDefault="00FE461F" w:rsidP="00FE461F">
            <w:pPr>
              <w:spacing w:line="240" w:lineRule="auto"/>
              <w:jc w:val="both"/>
              <w:rPr>
                <w:rFonts w:cs="Arial"/>
                <w:szCs w:val="20"/>
              </w:rPr>
            </w:pPr>
            <w:r w:rsidRPr="005E4BEA">
              <w:rPr>
                <w:rFonts w:cs="Arial"/>
                <w:szCs w:val="20"/>
              </w:rPr>
              <w:t>(1) točka 26</w:t>
            </w:r>
          </w:p>
        </w:tc>
        <w:tc>
          <w:tcPr>
            <w:tcW w:w="851" w:type="dxa"/>
            <w:tcBorders>
              <w:top w:val="single" w:sz="4" w:space="0" w:color="538DD5"/>
              <w:left w:val="single" w:sz="4" w:space="0" w:color="538DD5"/>
              <w:bottom w:val="single" w:sz="4" w:space="0" w:color="538DD5"/>
              <w:right w:val="single" w:sz="4" w:space="0" w:color="538DD5"/>
            </w:tcBorders>
            <w:shd w:val="clear" w:color="auto" w:fill="auto"/>
            <w:vAlign w:val="center"/>
          </w:tcPr>
          <w:p w14:paraId="02823E48" w14:textId="77777777" w:rsidR="00FE461F" w:rsidRPr="005E4BEA" w:rsidRDefault="00FE461F" w:rsidP="00FE461F">
            <w:pPr>
              <w:spacing w:line="240" w:lineRule="auto"/>
              <w:jc w:val="both"/>
              <w:rPr>
                <w:rFonts w:cs="Arial"/>
                <w:szCs w:val="20"/>
              </w:rPr>
            </w:pPr>
            <w:r w:rsidRPr="005E4BEA">
              <w:rPr>
                <w:rFonts w:cs="Arial"/>
                <w:szCs w:val="20"/>
              </w:rPr>
              <w:t>Q0319</w:t>
            </w:r>
          </w:p>
        </w:tc>
        <w:tc>
          <w:tcPr>
            <w:tcW w:w="4543" w:type="dxa"/>
            <w:tcBorders>
              <w:top w:val="single" w:sz="4" w:space="0" w:color="538DD5"/>
              <w:left w:val="nil"/>
              <w:bottom w:val="single" w:sz="4" w:space="0" w:color="538DD5"/>
              <w:right w:val="single" w:sz="4" w:space="0" w:color="538DD5"/>
            </w:tcBorders>
            <w:shd w:val="clear" w:color="auto" w:fill="auto"/>
            <w:vAlign w:val="center"/>
          </w:tcPr>
          <w:p w14:paraId="599C0DE5" w14:textId="77777777" w:rsidR="00FE461F" w:rsidRPr="005E4BEA" w:rsidRDefault="00FE461F" w:rsidP="00FE461F">
            <w:pPr>
              <w:spacing w:line="240" w:lineRule="auto"/>
              <w:ind w:left="1"/>
              <w:jc w:val="both"/>
              <w:rPr>
                <w:rFonts w:cs="Arial"/>
                <w:szCs w:val="20"/>
              </w:rPr>
            </w:pPr>
            <w:r w:rsidRPr="005E4BEA">
              <w:rPr>
                <w:rFonts w:cs="Arial"/>
                <w:szCs w:val="20"/>
              </w:rPr>
              <w:t xml:space="preserve">Alergeni za podkožno </w:t>
            </w:r>
            <w:proofErr w:type="spellStart"/>
            <w:r w:rsidRPr="005E4BEA">
              <w:rPr>
                <w:rFonts w:cs="Arial"/>
                <w:szCs w:val="20"/>
              </w:rPr>
              <w:t>imunoterapijo</w:t>
            </w:r>
            <w:proofErr w:type="spellEnd"/>
            <w:r w:rsidRPr="005E4BEA">
              <w:rPr>
                <w:rFonts w:cs="Arial"/>
                <w:szCs w:val="20"/>
              </w:rPr>
              <w:t xml:space="preserve"> – cenejši (</w:t>
            </w:r>
            <w:proofErr w:type="spellStart"/>
            <w:r w:rsidRPr="005E4BEA">
              <w:rPr>
                <w:rFonts w:cs="Arial"/>
                <w:szCs w:val="20"/>
              </w:rPr>
              <w:t>purethal</w:t>
            </w:r>
            <w:proofErr w:type="spellEnd"/>
            <w:r w:rsidRPr="005E4BEA">
              <w:rPr>
                <w:rFonts w:cs="Arial"/>
                <w:szCs w:val="20"/>
              </w:rPr>
              <w:t xml:space="preserve">, </w:t>
            </w:r>
            <w:proofErr w:type="spellStart"/>
            <w:r w:rsidRPr="005E4BEA">
              <w:rPr>
                <w:rFonts w:cs="Arial"/>
                <w:szCs w:val="20"/>
              </w:rPr>
              <w:t>venomenthal</w:t>
            </w:r>
            <w:proofErr w:type="spellEnd"/>
            <w:r w:rsidRPr="005E4BEA">
              <w:rPr>
                <w:rFonts w:cs="Arial"/>
                <w:szCs w:val="20"/>
              </w:rPr>
              <w:t xml:space="preserve">, </w:t>
            </w:r>
            <w:proofErr w:type="spellStart"/>
            <w:r w:rsidRPr="005E4BEA">
              <w:rPr>
                <w:rFonts w:cs="Arial"/>
                <w:szCs w:val="20"/>
              </w:rPr>
              <w:t>alutard</w:t>
            </w:r>
            <w:proofErr w:type="spellEnd"/>
            <w:r w:rsidRPr="005E4BEA">
              <w:rPr>
                <w:rFonts w:cs="Arial"/>
                <w:szCs w:val="20"/>
              </w:rPr>
              <w:t xml:space="preserve"> uvajanje)</w:t>
            </w:r>
          </w:p>
        </w:tc>
        <w:tc>
          <w:tcPr>
            <w:tcW w:w="989" w:type="dxa"/>
            <w:tcBorders>
              <w:top w:val="single" w:sz="4" w:space="0" w:color="538DD5"/>
              <w:left w:val="nil"/>
              <w:bottom w:val="single" w:sz="4" w:space="0" w:color="538DD5"/>
              <w:right w:val="single" w:sz="4" w:space="0" w:color="538DD5"/>
            </w:tcBorders>
            <w:shd w:val="clear" w:color="auto" w:fill="auto"/>
            <w:vAlign w:val="center"/>
          </w:tcPr>
          <w:p w14:paraId="52CDFDCF" w14:textId="77777777" w:rsidR="00FE461F" w:rsidRPr="005E4BEA" w:rsidRDefault="00FE461F" w:rsidP="00FE461F">
            <w:pPr>
              <w:spacing w:line="240" w:lineRule="auto"/>
              <w:jc w:val="center"/>
              <w:rPr>
                <w:rFonts w:cs="Arial"/>
                <w:szCs w:val="20"/>
              </w:rPr>
            </w:pPr>
            <w:r w:rsidRPr="005E4BEA">
              <w:rPr>
                <w:rFonts w:cs="Arial"/>
                <w:szCs w:val="20"/>
              </w:rPr>
              <w:t>aplikacija</w:t>
            </w:r>
          </w:p>
        </w:tc>
        <w:tc>
          <w:tcPr>
            <w:tcW w:w="1568" w:type="dxa"/>
            <w:tcBorders>
              <w:top w:val="single" w:sz="4" w:space="0" w:color="538DD5"/>
              <w:left w:val="nil"/>
              <w:bottom w:val="single" w:sz="4" w:space="0" w:color="538DD5"/>
              <w:right w:val="single" w:sz="4" w:space="0" w:color="538DD5"/>
            </w:tcBorders>
            <w:shd w:val="clear" w:color="auto" w:fill="auto"/>
            <w:vAlign w:val="center"/>
          </w:tcPr>
          <w:p w14:paraId="438EC318" w14:textId="77777777" w:rsidR="00FE461F" w:rsidRPr="005E4BEA" w:rsidRDefault="00FE461F" w:rsidP="00FE461F">
            <w:pPr>
              <w:spacing w:line="240" w:lineRule="auto"/>
              <w:jc w:val="right"/>
              <w:rPr>
                <w:rFonts w:cs="Arial"/>
                <w:szCs w:val="20"/>
              </w:rPr>
            </w:pPr>
            <w:r w:rsidRPr="005E4BEA">
              <w:rPr>
                <w:rFonts w:cs="Arial"/>
                <w:szCs w:val="20"/>
              </w:rPr>
              <w:t>40,00</w:t>
            </w:r>
          </w:p>
        </w:tc>
      </w:tr>
      <w:tr w:rsidR="00FE461F" w:rsidRPr="005E4BEA" w14:paraId="3957174D" w14:textId="77777777" w:rsidTr="0016774B">
        <w:trPr>
          <w:trHeight w:hRule="exact" w:val="454"/>
        </w:trPr>
        <w:tc>
          <w:tcPr>
            <w:tcW w:w="1149" w:type="dxa"/>
            <w:tcBorders>
              <w:top w:val="single" w:sz="4" w:space="0" w:color="538DD5"/>
              <w:left w:val="single" w:sz="4" w:space="0" w:color="538DD5"/>
              <w:bottom w:val="single" w:sz="4" w:space="0" w:color="538DD5"/>
              <w:right w:val="nil"/>
            </w:tcBorders>
            <w:shd w:val="clear" w:color="auto" w:fill="auto"/>
            <w:vAlign w:val="center"/>
          </w:tcPr>
          <w:p w14:paraId="4DEDB1F1" w14:textId="77777777" w:rsidR="00FE461F" w:rsidRPr="005E4BEA" w:rsidRDefault="00FE461F" w:rsidP="00FE461F">
            <w:pPr>
              <w:spacing w:line="240" w:lineRule="auto"/>
              <w:jc w:val="both"/>
              <w:rPr>
                <w:rFonts w:cs="Arial"/>
                <w:szCs w:val="20"/>
              </w:rPr>
            </w:pPr>
            <w:r w:rsidRPr="005E4BEA">
              <w:rPr>
                <w:rFonts w:cs="Arial"/>
                <w:szCs w:val="20"/>
              </w:rPr>
              <w:t>(1) točka 26</w:t>
            </w:r>
          </w:p>
        </w:tc>
        <w:tc>
          <w:tcPr>
            <w:tcW w:w="851" w:type="dxa"/>
            <w:tcBorders>
              <w:top w:val="single" w:sz="4" w:space="0" w:color="538DD5"/>
              <w:left w:val="single" w:sz="4" w:space="0" w:color="538DD5"/>
              <w:bottom w:val="single" w:sz="4" w:space="0" w:color="538DD5"/>
              <w:right w:val="single" w:sz="4" w:space="0" w:color="538DD5"/>
            </w:tcBorders>
            <w:shd w:val="clear" w:color="auto" w:fill="auto"/>
            <w:vAlign w:val="center"/>
          </w:tcPr>
          <w:p w14:paraId="32D0466A" w14:textId="77777777" w:rsidR="00FE461F" w:rsidRPr="005E4BEA" w:rsidRDefault="00FE461F" w:rsidP="00FE461F">
            <w:pPr>
              <w:spacing w:line="240" w:lineRule="auto"/>
              <w:jc w:val="both"/>
              <w:rPr>
                <w:rFonts w:cs="Arial"/>
                <w:szCs w:val="20"/>
              </w:rPr>
            </w:pPr>
            <w:r w:rsidRPr="005E4BEA">
              <w:rPr>
                <w:rFonts w:cs="Arial"/>
                <w:szCs w:val="20"/>
              </w:rPr>
              <w:t>Q0320</w:t>
            </w:r>
          </w:p>
        </w:tc>
        <w:tc>
          <w:tcPr>
            <w:tcW w:w="4543" w:type="dxa"/>
            <w:tcBorders>
              <w:top w:val="single" w:sz="4" w:space="0" w:color="538DD5"/>
              <w:left w:val="nil"/>
              <w:bottom w:val="single" w:sz="4" w:space="0" w:color="538DD5"/>
              <w:right w:val="single" w:sz="4" w:space="0" w:color="538DD5"/>
            </w:tcBorders>
            <w:shd w:val="clear" w:color="auto" w:fill="auto"/>
            <w:vAlign w:val="center"/>
          </w:tcPr>
          <w:p w14:paraId="7B2A1E81" w14:textId="77777777" w:rsidR="00FE461F" w:rsidRPr="005E4BEA" w:rsidRDefault="00FE461F" w:rsidP="00FE461F">
            <w:pPr>
              <w:spacing w:line="240" w:lineRule="auto"/>
              <w:ind w:left="1"/>
              <w:jc w:val="both"/>
              <w:rPr>
                <w:rFonts w:cs="Arial"/>
                <w:szCs w:val="20"/>
              </w:rPr>
            </w:pPr>
            <w:r w:rsidRPr="005E4BEA">
              <w:rPr>
                <w:rFonts w:cs="Arial"/>
                <w:szCs w:val="20"/>
              </w:rPr>
              <w:t xml:space="preserve">Alergeni za podkožno </w:t>
            </w:r>
            <w:proofErr w:type="spellStart"/>
            <w:r w:rsidRPr="005E4BEA">
              <w:rPr>
                <w:rFonts w:cs="Arial"/>
                <w:szCs w:val="20"/>
              </w:rPr>
              <w:t>imunoterapijo</w:t>
            </w:r>
            <w:proofErr w:type="spellEnd"/>
            <w:r w:rsidRPr="005E4BEA">
              <w:rPr>
                <w:rFonts w:cs="Arial"/>
                <w:szCs w:val="20"/>
              </w:rPr>
              <w:t xml:space="preserve"> – dražji (</w:t>
            </w:r>
            <w:proofErr w:type="spellStart"/>
            <w:r w:rsidRPr="005E4BEA">
              <w:rPr>
                <w:rFonts w:cs="Arial"/>
                <w:szCs w:val="20"/>
              </w:rPr>
              <w:t>alutard</w:t>
            </w:r>
            <w:proofErr w:type="spellEnd"/>
            <w:r w:rsidRPr="005E4BEA">
              <w:rPr>
                <w:rFonts w:cs="Arial"/>
                <w:szCs w:val="20"/>
              </w:rPr>
              <w:t xml:space="preserve"> vzdrževanje)</w:t>
            </w:r>
          </w:p>
        </w:tc>
        <w:tc>
          <w:tcPr>
            <w:tcW w:w="989" w:type="dxa"/>
            <w:tcBorders>
              <w:top w:val="single" w:sz="4" w:space="0" w:color="538DD5"/>
              <w:left w:val="nil"/>
              <w:bottom w:val="single" w:sz="4" w:space="0" w:color="538DD5"/>
              <w:right w:val="single" w:sz="4" w:space="0" w:color="538DD5"/>
            </w:tcBorders>
            <w:shd w:val="clear" w:color="auto" w:fill="auto"/>
            <w:vAlign w:val="center"/>
          </w:tcPr>
          <w:p w14:paraId="19E13E71" w14:textId="77777777" w:rsidR="00FE461F" w:rsidRPr="005E4BEA" w:rsidRDefault="00FE461F" w:rsidP="00FE461F">
            <w:pPr>
              <w:spacing w:line="240" w:lineRule="auto"/>
              <w:jc w:val="center"/>
              <w:rPr>
                <w:rFonts w:cs="Arial"/>
                <w:szCs w:val="20"/>
              </w:rPr>
            </w:pPr>
            <w:r w:rsidRPr="005E4BEA">
              <w:rPr>
                <w:rFonts w:cs="Arial"/>
                <w:szCs w:val="20"/>
              </w:rPr>
              <w:t>aplikacija</w:t>
            </w:r>
          </w:p>
        </w:tc>
        <w:tc>
          <w:tcPr>
            <w:tcW w:w="1568" w:type="dxa"/>
            <w:tcBorders>
              <w:top w:val="single" w:sz="4" w:space="0" w:color="538DD5"/>
              <w:left w:val="nil"/>
              <w:bottom w:val="single" w:sz="4" w:space="0" w:color="538DD5"/>
              <w:right w:val="single" w:sz="4" w:space="0" w:color="538DD5"/>
            </w:tcBorders>
            <w:shd w:val="clear" w:color="auto" w:fill="auto"/>
            <w:vAlign w:val="center"/>
          </w:tcPr>
          <w:p w14:paraId="71252706" w14:textId="77777777" w:rsidR="00FE461F" w:rsidRPr="005E4BEA" w:rsidRDefault="00FE461F" w:rsidP="00FE461F">
            <w:pPr>
              <w:spacing w:line="240" w:lineRule="auto"/>
              <w:jc w:val="right"/>
              <w:rPr>
                <w:rFonts w:cs="Arial"/>
                <w:szCs w:val="20"/>
              </w:rPr>
            </w:pPr>
            <w:r w:rsidRPr="005E4BEA">
              <w:rPr>
                <w:rFonts w:cs="Arial"/>
                <w:szCs w:val="20"/>
              </w:rPr>
              <w:t>100,00</w:t>
            </w:r>
          </w:p>
        </w:tc>
      </w:tr>
    </w:tbl>
    <w:p w14:paraId="5D25C434" w14:textId="77777777" w:rsidR="00FE461F" w:rsidRPr="005E4BEA" w:rsidRDefault="00FE461F" w:rsidP="00FE461F">
      <w:pPr>
        <w:spacing w:line="240" w:lineRule="auto"/>
        <w:jc w:val="both"/>
        <w:rPr>
          <w:rFonts w:cs="Arial"/>
          <w:b/>
          <w:bCs/>
          <w:szCs w:val="20"/>
        </w:rPr>
      </w:pPr>
    </w:p>
    <w:p w14:paraId="0CE4F9ED" w14:textId="77777777" w:rsidR="00FE461F" w:rsidRPr="005E4BEA" w:rsidRDefault="00FE461F" w:rsidP="00FE461F">
      <w:pPr>
        <w:spacing w:line="240" w:lineRule="auto"/>
        <w:jc w:val="both"/>
        <w:rPr>
          <w:rFonts w:cs="Arial"/>
          <w:b/>
          <w:bCs/>
          <w:szCs w:val="20"/>
        </w:rPr>
      </w:pPr>
    </w:p>
    <w:p w14:paraId="4754B650" w14:textId="77777777" w:rsidR="00FE461F" w:rsidRPr="005E4BEA" w:rsidRDefault="00FE461F" w:rsidP="00FE461F">
      <w:pPr>
        <w:spacing w:line="240" w:lineRule="auto"/>
        <w:jc w:val="both"/>
        <w:rPr>
          <w:rFonts w:cs="Arial"/>
          <w:b/>
          <w:bCs/>
          <w:szCs w:val="20"/>
        </w:rPr>
      </w:pPr>
      <w:r w:rsidRPr="005E4BEA">
        <w:rPr>
          <w:rFonts w:cs="Arial"/>
          <w:b/>
          <w:bCs/>
          <w:szCs w:val="20"/>
        </w:rPr>
        <w:t>V Prilogi III v (2) odstavku v 3. točki se doda nova alineja, ki se glasi:</w:t>
      </w:r>
    </w:p>
    <w:p w14:paraId="17E30444" w14:textId="77777777" w:rsidR="00FE461F" w:rsidRPr="005E4BEA" w:rsidRDefault="00FE461F" w:rsidP="00FE461F">
      <w:pPr>
        <w:spacing w:line="120" w:lineRule="auto"/>
        <w:jc w:val="both"/>
        <w:rPr>
          <w:rFonts w:cs="Arial"/>
          <w:szCs w:val="20"/>
        </w:rPr>
      </w:pPr>
    </w:p>
    <w:p w14:paraId="7B275913" w14:textId="77777777" w:rsidR="00FE461F" w:rsidRPr="005E4BEA" w:rsidRDefault="00FE461F" w:rsidP="00FE461F">
      <w:pPr>
        <w:spacing w:line="240" w:lineRule="auto"/>
        <w:jc w:val="both"/>
        <w:rPr>
          <w:rFonts w:cs="Arial"/>
          <w:szCs w:val="20"/>
        </w:rPr>
      </w:pPr>
      <w:r w:rsidRPr="005E4BEA">
        <w:rPr>
          <w:rFonts w:cs="Arial"/>
          <w:szCs w:val="20"/>
        </w:rPr>
        <w:t xml:space="preserve">»- diagnostična obravnava težavnega poteka bolezni dihal, obravnava bolnikov po presaditvi pljuč, letni pregled bolnika s cistično </w:t>
      </w:r>
      <w:proofErr w:type="spellStart"/>
      <w:r w:rsidRPr="005E4BEA">
        <w:rPr>
          <w:rFonts w:cs="Arial"/>
          <w:szCs w:val="20"/>
        </w:rPr>
        <w:t>fibrozo</w:t>
      </w:r>
      <w:proofErr w:type="spellEnd"/>
      <w:r w:rsidRPr="005E4BEA">
        <w:rPr>
          <w:rFonts w:cs="Arial"/>
          <w:szCs w:val="20"/>
        </w:rPr>
        <w:t xml:space="preserve">, kontrolni pregled bolnika s cistično </w:t>
      </w:r>
      <w:proofErr w:type="spellStart"/>
      <w:r w:rsidRPr="005E4BEA">
        <w:rPr>
          <w:rFonts w:cs="Arial"/>
          <w:szCs w:val="20"/>
        </w:rPr>
        <w:t>fibrozo</w:t>
      </w:r>
      <w:proofErr w:type="spellEnd"/>
      <w:r w:rsidRPr="005E4BEA">
        <w:rPr>
          <w:rFonts w:cs="Arial"/>
          <w:szCs w:val="20"/>
        </w:rPr>
        <w:t xml:space="preserve"> v dejavnosti pulmologija 229 239«</w:t>
      </w:r>
    </w:p>
    <w:p w14:paraId="2F912CD5" w14:textId="77777777" w:rsidR="00FE461F" w:rsidRPr="005E4BEA" w:rsidRDefault="00FE461F" w:rsidP="00FE461F">
      <w:pPr>
        <w:spacing w:line="240" w:lineRule="auto"/>
        <w:jc w:val="both"/>
        <w:rPr>
          <w:rFonts w:cs="Arial"/>
          <w:b/>
          <w:bCs/>
          <w:szCs w:val="20"/>
        </w:rPr>
      </w:pPr>
    </w:p>
    <w:p w14:paraId="6F71B5D4" w14:textId="77777777" w:rsidR="00FE461F" w:rsidRPr="005E4BEA" w:rsidRDefault="00FE461F" w:rsidP="00FE461F">
      <w:pPr>
        <w:spacing w:line="240" w:lineRule="auto"/>
        <w:jc w:val="both"/>
        <w:rPr>
          <w:rFonts w:cs="Arial"/>
          <w:b/>
          <w:bCs/>
          <w:szCs w:val="20"/>
        </w:rPr>
      </w:pPr>
    </w:p>
    <w:p w14:paraId="785966AC"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III/b </w:t>
      </w:r>
    </w:p>
    <w:p w14:paraId="18C4BA9D" w14:textId="77777777" w:rsidR="00FE461F" w:rsidRPr="005E4BEA" w:rsidRDefault="00FE461F" w:rsidP="00FE461F">
      <w:pPr>
        <w:spacing w:line="120" w:lineRule="auto"/>
        <w:jc w:val="both"/>
        <w:rPr>
          <w:rFonts w:cs="Arial"/>
          <w:szCs w:val="20"/>
        </w:rPr>
      </w:pPr>
    </w:p>
    <w:p w14:paraId="4E37E2B0" w14:textId="77777777" w:rsidR="00FE461F" w:rsidRPr="005E4BEA" w:rsidRDefault="00FE461F" w:rsidP="00F356C9">
      <w:pPr>
        <w:numPr>
          <w:ilvl w:val="0"/>
          <w:numId w:val="48"/>
        </w:numPr>
        <w:spacing w:line="240" w:lineRule="auto"/>
        <w:ind w:left="283" w:hanging="283"/>
        <w:contextualSpacing/>
        <w:jc w:val="both"/>
        <w:rPr>
          <w:rFonts w:cs="Arial"/>
          <w:b/>
          <w:bCs/>
          <w:szCs w:val="20"/>
        </w:rPr>
      </w:pPr>
      <w:r w:rsidRPr="005E4BEA">
        <w:rPr>
          <w:rFonts w:cs="Arial"/>
          <w:b/>
          <w:bCs/>
          <w:szCs w:val="20"/>
        </w:rPr>
        <w:t>v 2. točki v prvi alineji se iz tabele briše »229 239 pulmologija«</w:t>
      </w:r>
    </w:p>
    <w:p w14:paraId="510068FB" w14:textId="77777777" w:rsidR="00FE461F" w:rsidRPr="005E4BEA" w:rsidRDefault="00FE461F" w:rsidP="00FE461F">
      <w:pPr>
        <w:spacing w:line="240" w:lineRule="auto"/>
        <w:jc w:val="both"/>
        <w:rPr>
          <w:rFonts w:cs="Arial"/>
          <w:b/>
          <w:bCs/>
          <w:szCs w:val="20"/>
        </w:rPr>
      </w:pPr>
    </w:p>
    <w:p w14:paraId="17C8465E" w14:textId="77777777" w:rsidR="00FE461F" w:rsidRPr="005E4BEA" w:rsidRDefault="00FE461F" w:rsidP="00F356C9">
      <w:pPr>
        <w:numPr>
          <w:ilvl w:val="0"/>
          <w:numId w:val="48"/>
        </w:numPr>
        <w:spacing w:line="240" w:lineRule="auto"/>
        <w:ind w:left="283" w:hanging="283"/>
        <w:contextualSpacing/>
        <w:jc w:val="both"/>
        <w:rPr>
          <w:rFonts w:cs="Arial"/>
          <w:b/>
          <w:bCs/>
          <w:szCs w:val="20"/>
        </w:rPr>
      </w:pPr>
      <w:r w:rsidRPr="005E4BEA">
        <w:rPr>
          <w:rFonts w:cs="Arial"/>
          <w:b/>
          <w:bCs/>
          <w:szCs w:val="20"/>
        </w:rPr>
        <w:t>se doda nova 8. točka, ki se glasi:</w:t>
      </w:r>
    </w:p>
    <w:p w14:paraId="79404E2D" w14:textId="77777777" w:rsidR="00FE461F" w:rsidRPr="005E4BEA" w:rsidRDefault="00FE461F" w:rsidP="00FE461F">
      <w:pPr>
        <w:spacing w:line="240" w:lineRule="auto"/>
        <w:ind w:firstLine="284"/>
        <w:jc w:val="both"/>
        <w:rPr>
          <w:rFonts w:eastAsiaTheme="minorHAnsi" w:cs="Arial"/>
          <w:szCs w:val="20"/>
        </w:rPr>
      </w:pPr>
      <w:r w:rsidRPr="005E4BEA">
        <w:rPr>
          <w:rFonts w:eastAsiaTheme="minorHAnsi" w:cs="Arial"/>
          <w:szCs w:val="20"/>
        </w:rPr>
        <w:t>»8. Pulmologija</w:t>
      </w:r>
    </w:p>
    <w:p w14:paraId="3303FFDF" w14:textId="77777777" w:rsidR="00FE461F" w:rsidRPr="005E4BEA" w:rsidRDefault="00FE461F" w:rsidP="00FE461F">
      <w:pPr>
        <w:spacing w:line="240" w:lineRule="auto"/>
        <w:jc w:val="both"/>
        <w:rPr>
          <w:rFonts w:eastAsiaTheme="minorHAnsi" w:cs="Arial"/>
          <w:szCs w:val="20"/>
        </w:rPr>
      </w:pPr>
    </w:p>
    <w:p w14:paraId="3B7BDAAA" w14:textId="77777777" w:rsidR="00FE461F" w:rsidRPr="005E4BEA" w:rsidRDefault="00FE461F" w:rsidP="00FE461F">
      <w:pPr>
        <w:autoSpaceDE w:val="0"/>
        <w:autoSpaceDN w:val="0"/>
        <w:adjustRightInd w:val="0"/>
        <w:spacing w:after="60" w:line="240" w:lineRule="auto"/>
        <w:ind w:left="284"/>
        <w:jc w:val="both"/>
        <w:rPr>
          <w:rFonts w:cs="Arial"/>
          <w:szCs w:val="20"/>
        </w:rPr>
      </w:pPr>
      <w:r w:rsidRPr="005E4BEA">
        <w:rPr>
          <w:rFonts w:cs="Arial"/>
          <w:szCs w:val="20"/>
        </w:rPr>
        <w:t>(1) Plačilo realiziranega programa izvajalca se pri končnem letnem obračunu za obdobje koledarskega leta opredeli na naslednji način:</w:t>
      </w:r>
    </w:p>
    <w:p w14:paraId="19807EA2" w14:textId="77777777" w:rsidR="00FE461F" w:rsidRPr="005E4BEA" w:rsidRDefault="00FE461F" w:rsidP="00FE461F">
      <w:pPr>
        <w:autoSpaceDE w:val="0"/>
        <w:autoSpaceDN w:val="0"/>
        <w:adjustRightInd w:val="0"/>
        <w:spacing w:after="120" w:line="240" w:lineRule="auto"/>
        <w:ind w:left="992" w:hanging="284"/>
        <w:jc w:val="both"/>
        <w:rPr>
          <w:rFonts w:cs="Arial"/>
          <w:szCs w:val="20"/>
        </w:rPr>
      </w:pPr>
      <w:r w:rsidRPr="005E4BEA">
        <w:rPr>
          <w:rFonts w:cs="Arial"/>
          <w:szCs w:val="20"/>
        </w:rPr>
        <w:lastRenderedPageBreak/>
        <w:t>a.) Realizirana vrednost programa izvajalca (v nadaljevanju: RV) se izračuna na podlagi števila realiziranih storitev in cen storitev, ki so določene v Prilogi I/b.</w:t>
      </w:r>
    </w:p>
    <w:p w14:paraId="7186BC47" w14:textId="77777777" w:rsidR="00FE461F" w:rsidRPr="005E4BEA" w:rsidRDefault="00FE461F" w:rsidP="00FE461F">
      <w:pPr>
        <w:spacing w:after="60" w:line="240" w:lineRule="auto"/>
        <w:ind w:left="708"/>
        <w:jc w:val="both"/>
        <w:rPr>
          <w:rFonts w:eastAsia="Arial Narrow" w:cs="Arial"/>
          <w:szCs w:val="20"/>
        </w:rPr>
      </w:pPr>
      <w:r w:rsidRPr="005E4BEA">
        <w:rPr>
          <w:rFonts w:eastAsia="Arial Narrow" w:cs="Arial"/>
          <w:szCs w:val="20"/>
        </w:rPr>
        <w:t xml:space="preserve">b.) Izvajalcu se prizna </w:t>
      </w:r>
      <w:r w:rsidRPr="005E4BEA">
        <w:rPr>
          <w:rFonts w:eastAsia="Arial Narrow" w:cs="Arial"/>
          <w:b/>
          <w:bCs/>
          <w:szCs w:val="20"/>
        </w:rPr>
        <w:t>celotna pogodbena vrednost programa</w:t>
      </w:r>
      <w:r w:rsidRPr="005E4BEA">
        <w:rPr>
          <w:rFonts w:eastAsia="Arial Narrow" w:cs="Arial"/>
          <w:szCs w:val="20"/>
        </w:rPr>
        <w:t>, ko izpolni enega od pogojev, in sicer:</w:t>
      </w:r>
    </w:p>
    <w:p w14:paraId="58F1EF2B" w14:textId="77777777" w:rsidR="00FE461F" w:rsidRPr="005E4BEA" w:rsidRDefault="00FE461F" w:rsidP="00F356C9">
      <w:pPr>
        <w:numPr>
          <w:ilvl w:val="0"/>
          <w:numId w:val="47"/>
        </w:numPr>
        <w:spacing w:after="120" w:line="240" w:lineRule="auto"/>
        <w:ind w:left="1135" w:hanging="284"/>
        <w:jc w:val="both"/>
        <w:rPr>
          <w:rFonts w:cs="Arial"/>
          <w:szCs w:val="20"/>
        </w:rPr>
      </w:pPr>
      <w:r w:rsidRPr="005E4BEA">
        <w:rPr>
          <w:rFonts w:cs="Arial"/>
          <w:szCs w:val="20"/>
        </w:rPr>
        <w:t xml:space="preserve">v celoti izvede ali preseže načrtovani obseg programa in tudi načrtovano število celotnih pregledov ali </w:t>
      </w:r>
      <w:proofErr w:type="spellStart"/>
      <w:r w:rsidRPr="005E4BEA">
        <w:rPr>
          <w:rFonts w:cs="Arial"/>
          <w:szCs w:val="20"/>
        </w:rPr>
        <w:t>subspecialističnih</w:t>
      </w:r>
      <w:proofErr w:type="spellEnd"/>
      <w:r w:rsidRPr="005E4BEA">
        <w:rPr>
          <w:rFonts w:cs="Arial"/>
          <w:szCs w:val="20"/>
        </w:rPr>
        <w:t xml:space="preserve"> pregledov;</w:t>
      </w:r>
    </w:p>
    <w:p w14:paraId="54713CBB" w14:textId="77777777" w:rsidR="00FE461F" w:rsidRPr="005E4BEA" w:rsidRDefault="00FE461F" w:rsidP="00F356C9">
      <w:pPr>
        <w:numPr>
          <w:ilvl w:val="0"/>
          <w:numId w:val="47"/>
        </w:numPr>
        <w:spacing w:after="120" w:line="240" w:lineRule="auto"/>
        <w:ind w:left="1135" w:hanging="284"/>
        <w:jc w:val="both"/>
        <w:rPr>
          <w:rFonts w:cs="Arial"/>
          <w:szCs w:val="20"/>
        </w:rPr>
      </w:pPr>
      <w:r w:rsidRPr="005E4BEA">
        <w:rPr>
          <w:rFonts w:cs="Arial"/>
          <w:szCs w:val="20"/>
        </w:rPr>
        <w:t xml:space="preserve">ali izvede vsaj 85 % načrtovanega obsega programa in tudi vsaj 100 % načrtovanega števila celotnih pregledov ali </w:t>
      </w:r>
      <w:proofErr w:type="spellStart"/>
      <w:r w:rsidRPr="005E4BEA">
        <w:rPr>
          <w:rFonts w:cs="Arial"/>
          <w:szCs w:val="20"/>
        </w:rPr>
        <w:t>subspecialističnih</w:t>
      </w:r>
      <w:proofErr w:type="spellEnd"/>
      <w:r w:rsidRPr="005E4BEA">
        <w:rPr>
          <w:rFonts w:cs="Arial"/>
          <w:szCs w:val="20"/>
        </w:rPr>
        <w:t xml:space="preserve"> pregledov.</w:t>
      </w:r>
    </w:p>
    <w:p w14:paraId="1733B24B" w14:textId="77777777" w:rsidR="00FE461F" w:rsidRPr="005E4BEA" w:rsidRDefault="00FE461F" w:rsidP="00FE461F">
      <w:pPr>
        <w:spacing w:after="60" w:line="240" w:lineRule="auto"/>
        <w:ind w:left="708"/>
        <w:jc w:val="both"/>
        <w:rPr>
          <w:rFonts w:eastAsia="Arial Narrow" w:cs="Arial"/>
          <w:szCs w:val="20"/>
        </w:rPr>
      </w:pPr>
      <w:r w:rsidRPr="005E4BEA">
        <w:rPr>
          <w:rFonts w:eastAsia="Arial Narrow" w:cs="Arial"/>
          <w:szCs w:val="20"/>
        </w:rPr>
        <w:t xml:space="preserve">c.) V nasprotnem primeru se izvajalcu izračuna </w:t>
      </w:r>
      <w:r w:rsidRPr="005E4BEA">
        <w:rPr>
          <w:rFonts w:eastAsia="Arial Narrow" w:cs="Arial"/>
          <w:b/>
          <w:bCs/>
          <w:szCs w:val="20"/>
        </w:rPr>
        <w:t>priznana vrednost programa</w:t>
      </w:r>
      <w:r w:rsidRPr="005E4BEA">
        <w:rPr>
          <w:rFonts w:eastAsia="Arial Narrow" w:cs="Arial"/>
          <w:szCs w:val="20"/>
        </w:rPr>
        <w:t>, in sicer:</w:t>
      </w:r>
    </w:p>
    <w:p w14:paraId="354BB15A" w14:textId="77777777" w:rsidR="00FE461F" w:rsidRPr="005E4BEA" w:rsidRDefault="00FE461F" w:rsidP="00F356C9">
      <w:pPr>
        <w:numPr>
          <w:ilvl w:val="0"/>
          <w:numId w:val="47"/>
        </w:numPr>
        <w:spacing w:after="120" w:line="240" w:lineRule="auto"/>
        <w:ind w:left="1135" w:hanging="284"/>
        <w:jc w:val="both"/>
        <w:rPr>
          <w:rFonts w:cs="Arial"/>
          <w:szCs w:val="20"/>
        </w:rPr>
      </w:pPr>
      <w:r w:rsidRPr="005E4BEA">
        <w:rPr>
          <w:rFonts w:cs="Arial"/>
          <w:szCs w:val="20"/>
        </w:rPr>
        <w:t xml:space="preserve">Kadar izvede oziroma preseže načrtovani obseg programa, ne izvede pa načrtovanega števila celotnih pregledov ali </w:t>
      </w:r>
      <w:proofErr w:type="spellStart"/>
      <w:r w:rsidRPr="005E4BEA">
        <w:rPr>
          <w:rFonts w:cs="Arial"/>
          <w:szCs w:val="20"/>
        </w:rPr>
        <w:t>subspecialističnih</w:t>
      </w:r>
      <w:proofErr w:type="spellEnd"/>
      <w:r w:rsidRPr="005E4BEA">
        <w:rPr>
          <w:rFonts w:cs="Arial"/>
          <w:szCs w:val="20"/>
        </w:rPr>
        <w:t xml:space="preserve"> pregledov, se mu prizna RV največ do pogodbene vrednosti in nato zmanjša za odstotek nedoseganja načrtovanega števila celotnih pregledov ali </w:t>
      </w:r>
      <w:proofErr w:type="spellStart"/>
      <w:r w:rsidRPr="005E4BEA">
        <w:rPr>
          <w:rFonts w:cs="Arial"/>
          <w:szCs w:val="20"/>
        </w:rPr>
        <w:t>subspecialističnih</w:t>
      </w:r>
      <w:proofErr w:type="spellEnd"/>
      <w:r w:rsidRPr="005E4BEA">
        <w:rPr>
          <w:rFonts w:cs="Arial"/>
          <w:szCs w:val="20"/>
        </w:rPr>
        <w:t xml:space="preserve"> pregledov</w:t>
      </w:r>
    </w:p>
    <w:p w14:paraId="33DF95D3" w14:textId="77777777" w:rsidR="00FE461F" w:rsidRPr="005E4BEA" w:rsidRDefault="00FE461F" w:rsidP="00F356C9">
      <w:pPr>
        <w:numPr>
          <w:ilvl w:val="0"/>
          <w:numId w:val="47"/>
        </w:numPr>
        <w:spacing w:after="120" w:line="240" w:lineRule="auto"/>
        <w:ind w:left="1135" w:hanging="284"/>
        <w:jc w:val="both"/>
        <w:rPr>
          <w:rFonts w:cs="Arial"/>
          <w:szCs w:val="20"/>
        </w:rPr>
      </w:pPr>
      <w:r w:rsidRPr="005E4BEA">
        <w:rPr>
          <w:rFonts w:cs="Arial"/>
          <w:szCs w:val="20"/>
        </w:rPr>
        <w:t xml:space="preserve">Kadar ne izvede načrtovanega obsega programa, se mu prizna RV največ do pogodbene vrednosti, zmanjšane za odstotek nedoseganja načrtovanega obsega programa. Če pri tem tudi ne izvede načrtovanega števila celotnih pregledov ali </w:t>
      </w:r>
      <w:proofErr w:type="spellStart"/>
      <w:r w:rsidRPr="005E4BEA">
        <w:rPr>
          <w:rFonts w:cs="Arial"/>
          <w:szCs w:val="20"/>
        </w:rPr>
        <w:t>subspecialističnih</w:t>
      </w:r>
      <w:proofErr w:type="spellEnd"/>
      <w:r w:rsidRPr="005E4BEA">
        <w:rPr>
          <w:rFonts w:cs="Arial"/>
          <w:szCs w:val="20"/>
        </w:rPr>
        <w:t xml:space="preserve"> pregledov, se priznana vrednost iz te alineje dodatno zmanjša za odstotek nedoseganja načrtovanega števila celotnih pregledov ali </w:t>
      </w:r>
      <w:proofErr w:type="spellStart"/>
      <w:r w:rsidRPr="005E4BEA">
        <w:rPr>
          <w:rFonts w:cs="Arial"/>
          <w:szCs w:val="20"/>
        </w:rPr>
        <w:t>subspecialističnih</w:t>
      </w:r>
      <w:proofErr w:type="spellEnd"/>
      <w:r w:rsidRPr="005E4BEA">
        <w:rPr>
          <w:rFonts w:cs="Arial"/>
          <w:szCs w:val="20"/>
        </w:rPr>
        <w:t xml:space="preserve"> pregledov.«</w:t>
      </w:r>
    </w:p>
    <w:p w14:paraId="2383881C" w14:textId="77777777" w:rsidR="00FE461F" w:rsidRPr="005E4BEA" w:rsidRDefault="00FE461F" w:rsidP="00FE461F">
      <w:pPr>
        <w:spacing w:line="240" w:lineRule="auto"/>
        <w:jc w:val="both"/>
        <w:rPr>
          <w:rFonts w:eastAsia="Arial Narrow" w:cs="Arial"/>
          <w:b/>
          <w:bCs/>
          <w:szCs w:val="20"/>
        </w:rPr>
      </w:pPr>
    </w:p>
    <w:p w14:paraId="08096674" w14:textId="77777777" w:rsidR="00FE461F" w:rsidRPr="005E4BEA" w:rsidRDefault="00FE461F" w:rsidP="00FE461F">
      <w:pPr>
        <w:spacing w:line="240" w:lineRule="auto"/>
        <w:jc w:val="both"/>
        <w:rPr>
          <w:rFonts w:eastAsia="Arial Narrow" w:cs="Arial"/>
          <w:b/>
          <w:bCs/>
          <w:szCs w:val="20"/>
        </w:rPr>
      </w:pPr>
      <w:r w:rsidRPr="005E4BEA">
        <w:rPr>
          <w:rFonts w:eastAsia="Arial Narrow" w:cs="Arial"/>
          <w:b/>
          <w:bCs/>
          <w:szCs w:val="20"/>
        </w:rPr>
        <w:t>V Prilogi BOL-1 se doda nova 11. točka, ki se glasi:</w:t>
      </w:r>
    </w:p>
    <w:p w14:paraId="6BAC202B" w14:textId="77777777" w:rsidR="00FE461F" w:rsidRPr="005E4BEA" w:rsidRDefault="00FE461F" w:rsidP="00FE461F">
      <w:pPr>
        <w:spacing w:after="120" w:line="240" w:lineRule="auto"/>
        <w:jc w:val="both"/>
        <w:rPr>
          <w:rFonts w:eastAsia="Arial Narrow" w:cs="Arial"/>
          <w:szCs w:val="20"/>
        </w:rPr>
      </w:pPr>
      <w:r w:rsidRPr="005E4BEA">
        <w:rPr>
          <w:rFonts w:eastAsia="Arial Narrow" w:cs="Arial"/>
          <w:szCs w:val="20"/>
        </w:rPr>
        <w:t xml:space="preserve">»11. </w:t>
      </w:r>
      <w:r w:rsidRPr="005E4BEA">
        <w:rPr>
          <w:rFonts w:cs="Arial"/>
          <w:szCs w:val="20"/>
        </w:rPr>
        <w:t xml:space="preserve">Model plačevanja specialističnih </w:t>
      </w:r>
      <w:proofErr w:type="spellStart"/>
      <w:r w:rsidRPr="005E4BEA">
        <w:rPr>
          <w:rFonts w:cs="Arial"/>
          <w:szCs w:val="20"/>
        </w:rPr>
        <w:t>zunajbolnišničnih</w:t>
      </w:r>
      <w:proofErr w:type="spellEnd"/>
      <w:r w:rsidRPr="005E4BEA">
        <w:rPr>
          <w:rFonts w:cs="Arial"/>
          <w:szCs w:val="20"/>
        </w:rPr>
        <w:t xml:space="preserve"> </w:t>
      </w:r>
      <w:proofErr w:type="spellStart"/>
      <w:r w:rsidRPr="005E4BEA">
        <w:rPr>
          <w:rFonts w:cs="Arial"/>
          <w:szCs w:val="20"/>
        </w:rPr>
        <w:t>pnevmoloških</w:t>
      </w:r>
      <w:proofErr w:type="spellEnd"/>
      <w:r w:rsidRPr="005E4BEA">
        <w:rPr>
          <w:rFonts w:cs="Arial"/>
          <w:szCs w:val="20"/>
        </w:rPr>
        <w:t xml:space="preserve"> storitev</w:t>
      </w:r>
    </w:p>
    <w:p w14:paraId="455AFC05" w14:textId="77777777" w:rsidR="00FE461F" w:rsidRPr="005E4BEA" w:rsidRDefault="00FE461F" w:rsidP="00FE461F">
      <w:pPr>
        <w:spacing w:after="120" w:line="240" w:lineRule="auto"/>
        <w:jc w:val="both"/>
        <w:rPr>
          <w:rFonts w:eastAsia="Arial Narrow" w:cs="Arial"/>
          <w:szCs w:val="20"/>
        </w:rPr>
      </w:pPr>
      <w:r w:rsidRPr="005E4BEA">
        <w:rPr>
          <w:rFonts w:eastAsia="Arial Narrow" w:cs="Arial"/>
          <w:szCs w:val="20"/>
        </w:rPr>
        <w:t>(1) Plačevanje storitev temelji na klasifikaciji in cenah storitev iz Priloge I/b.</w:t>
      </w:r>
    </w:p>
    <w:p w14:paraId="4E8322F5" w14:textId="77777777" w:rsidR="00FE461F" w:rsidRPr="005E4BEA" w:rsidRDefault="00FE461F" w:rsidP="00FE461F">
      <w:pPr>
        <w:spacing w:after="120" w:line="240" w:lineRule="auto"/>
        <w:jc w:val="both"/>
        <w:rPr>
          <w:rFonts w:eastAsia="Arial Narrow" w:cs="Arial"/>
          <w:szCs w:val="20"/>
        </w:rPr>
      </w:pPr>
      <w:r w:rsidRPr="005E4BEA">
        <w:rPr>
          <w:rFonts w:eastAsia="Arial Narrow" w:cs="Arial"/>
          <w:szCs w:val="20"/>
        </w:rPr>
        <w:t xml:space="preserve">(2) Izvajalec evidentira in obračuna storitve po opravljeni celoviti storitvi, ki vključuje tudi izdajo izvida. </w:t>
      </w:r>
    </w:p>
    <w:p w14:paraId="17E0F45D" w14:textId="77777777" w:rsidR="00FE461F" w:rsidRPr="005E4BEA" w:rsidRDefault="00FE461F" w:rsidP="00FE461F">
      <w:pPr>
        <w:spacing w:after="120" w:line="240" w:lineRule="auto"/>
        <w:jc w:val="both"/>
        <w:rPr>
          <w:rFonts w:eastAsia="Arial Narrow" w:cs="Arial"/>
          <w:szCs w:val="20"/>
        </w:rPr>
      </w:pPr>
      <w:r w:rsidRPr="005E4BEA">
        <w:rPr>
          <w:rFonts w:eastAsia="Arial Narrow" w:cs="Arial"/>
          <w:szCs w:val="20"/>
        </w:rPr>
        <w:t xml:space="preserve">(3) Če izvajalec evidentira in obračuna storitev ''PUL001 Celotni pregled'' pregledane osebe ne sme napotiti k drugemu specialistu-pulmologu ali internistu razen v primeru </w:t>
      </w:r>
      <w:proofErr w:type="spellStart"/>
      <w:r w:rsidRPr="005E4BEA">
        <w:rPr>
          <w:rFonts w:eastAsia="Arial Narrow" w:cs="Arial"/>
          <w:szCs w:val="20"/>
        </w:rPr>
        <w:t>subspecialističnih</w:t>
      </w:r>
      <w:proofErr w:type="spellEnd"/>
      <w:r w:rsidRPr="005E4BEA">
        <w:rPr>
          <w:rFonts w:eastAsia="Arial Narrow" w:cs="Arial"/>
          <w:szCs w:val="20"/>
        </w:rPr>
        <w:t xml:space="preserve"> storitev ali za storitve, ki jih smejo izvajati le določeni izvajalci. Če pregledana oseba potrebuje rentgensko slikanje, mora le-to izvajalec, ki ne razpolaga z rentgenskim aparatom, zagotoviti po sistemu naročnik-plačnik v roku 3 delovnih dni.</w:t>
      </w:r>
    </w:p>
    <w:p w14:paraId="2C0B41B8" w14:textId="77777777" w:rsidR="00FE461F" w:rsidRPr="005E4BEA" w:rsidRDefault="00FE461F" w:rsidP="00FE461F">
      <w:pPr>
        <w:spacing w:line="240" w:lineRule="auto"/>
        <w:jc w:val="both"/>
        <w:rPr>
          <w:rFonts w:eastAsia="Arial Narrow" w:cs="Arial"/>
          <w:szCs w:val="20"/>
        </w:rPr>
      </w:pPr>
      <w:r w:rsidRPr="005E4BEA">
        <w:rPr>
          <w:rFonts w:eastAsia="Arial Narrow" w:cs="Arial"/>
          <w:szCs w:val="20"/>
        </w:rPr>
        <w:t>(4)</w:t>
      </w:r>
      <w:r w:rsidRPr="005E4BEA">
        <w:rPr>
          <w:rFonts w:cs="Arial"/>
          <w:szCs w:val="20"/>
        </w:rPr>
        <w:t xml:space="preserve"> </w:t>
      </w:r>
      <w:r w:rsidRPr="005E4BEA">
        <w:rPr>
          <w:rFonts w:eastAsia="Arial Narrow" w:cs="Arial"/>
          <w:szCs w:val="20"/>
        </w:rPr>
        <w:t>V primeru, da je ob triažiranju napotnic razvidno, da izvajalec zavarovani osebi ne bo mogel izvesti storitve, na katero je napotena zavarovana oseba, mora izvajalec zavarovano osebo obvestiti in je ne sme uvrstiti na seznam čakajočih.«</w:t>
      </w:r>
    </w:p>
    <w:p w14:paraId="46E4F095" w14:textId="77777777" w:rsidR="00FE461F" w:rsidRPr="005E4BEA" w:rsidRDefault="00FE461F" w:rsidP="00FE461F">
      <w:pPr>
        <w:spacing w:line="240" w:lineRule="exact"/>
        <w:jc w:val="both"/>
        <w:rPr>
          <w:rFonts w:cs="Arial"/>
          <w:szCs w:val="20"/>
        </w:rPr>
      </w:pPr>
    </w:p>
    <w:p w14:paraId="57EE5B92" w14:textId="77777777" w:rsidR="00FE461F" w:rsidRPr="005E4BEA" w:rsidRDefault="00FE461F" w:rsidP="00FE461F">
      <w:pPr>
        <w:spacing w:after="60" w:line="240" w:lineRule="exact"/>
        <w:jc w:val="both"/>
        <w:rPr>
          <w:rFonts w:cs="Arial"/>
          <w:strike/>
          <w:szCs w:val="20"/>
        </w:rPr>
      </w:pPr>
      <w:r w:rsidRPr="005E4BEA">
        <w:rPr>
          <w:rFonts w:cs="Arial"/>
          <w:szCs w:val="20"/>
        </w:rPr>
        <w:t>Spremembe veljajo od 1. 1. 2023 naprej.</w:t>
      </w:r>
    </w:p>
    <w:p w14:paraId="6E3BC8E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6973018"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711CCB0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je na podlagi sodelovanja z delovno skupino ekspertov, imenovano s strani RSK internističnih strok ter na podlagi sodelovanja z delovno skupino, imenovano s strani Združenja pnevmologov Slovenije, pripravil nov seznam storitev v specialistični </w:t>
      </w:r>
      <w:proofErr w:type="spellStart"/>
      <w:r w:rsidRPr="005E4BEA">
        <w:rPr>
          <w:rFonts w:eastAsiaTheme="minorHAnsi" w:cs="Arial"/>
          <w:i/>
          <w:color w:val="808080" w:themeColor="background1" w:themeShade="80"/>
          <w:szCs w:val="20"/>
        </w:rPr>
        <w:t>zunajbolnišnični</w:t>
      </w:r>
      <w:proofErr w:type="spellEnd"/>
      <w:r w:rsidRPr="005E4BEA">
        <w:rPr>
          <w:rFonts w:eastAsiaTheme="minorHAnsi" w:cs="Arial"/>
          <w:i/>
          <w:color w:val="808080" w:themeColor="background1" w:themeShade="80"/>
          <w:szCs w:val="20"/>
        </w:rPr>
        <w:t xml:space="preserve"> dejavnosti </w:t>
      </w:r>
      <w:proofErr w:type="spellStart"/>
      <w:r w:rsidRPr="005E4BEA">
        <w:rPr>
          <w:rFonts w:eastAsiaTheme="minorHAnsi" w:cs="Arial"/>
          <w:i/>
          <w:color w:val="808080" w:themeColor="background1" w:themeShade="80"/>
          <w:szCs w:val="20"/>
        </w:rPr>
        <w:t>pnevmologije</w:t>
      </w:r>
      <w:proofErr w:type="spellEnd"/>
      <w:r w:rsidRPr="005E4BEA">
        <w:rPr>
          <w:rFonts w:eastAsiaTheme="minorHAnsi" w:cs="Arial"/>
          <w:i/>
          <w:color w:val="808080" w:themeColor="background1" w:themeShade="80"/>
          <w:szCs w:val="20"/>
        </w:rPr>
        <w:t xml:space="preserve">. </w:t>
      </w:r>
    </w:p>
    <w:p w14:paraId="78A5C23A"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A19207D"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Osnovni sklop predstavljajo štiri storitve: celotni pregled, delni pregled, kratki pregled in </w:t>
      </w:r>
      <w:proofErr w:type="spellStart"/>
      <w:r w:rsidRPr="005E4BEA">
        <w:rPr>
          <w:rFonts w:eastAsiaTheme="minorHAnsi" w:cs="Arial"/>
          <w:i/>
          <w:color w:val="808080" w:themeColor="background1" w:themeShade="80"/>
          <w:szCs w:val="20"/>
        </w:rPr>
        <w:t>subspecialistični</w:t>
      </w:r>
      <w:proofErr w:type="spellEnd"/>
      <w:r w:rsidRPr="005E4BEA">
        <w:rPr>
          <w:rFonts w:eastAsiaTheme="minorHAnsi" w:cs="Arial"/>
          <w:i/>
          <w:color w:val="808080" w:themeColor="background1" w:themeShade="80"/>
          <w:szCs w:val="20"/>
        </w:rPr>
        <w:t xml:space="preserve"> pregled. Poleg teh pregledov lahko izvajalci evidentirajo in obračunajo še 34 specifičnih storitev, od katerih se 4 plačujejo po realizaciji (diagnostična obravnava težavnega poteka bolezni dihal, obravnava bolnikov po presaditvi pljuč, letni pregled bolnika s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kontrolni pregled bolnika s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Vsebina storitev povzema vsebino medicinskega dela </w:t>
      </w:r>
      <w:proofErr w:type="spellStart"/>
      <w:r w:rsidRPr="005E4BEA">
        <w:rPr>
          <w:rFonts w:eastAsiaTheme="minorHAnsi" w:cs="Arial"/>
          <w:i/>
          <w:color w:val="808080" w:themeColor="background1" w:themeShade="80"/>
          <w:szCs w:val="20"/>
        </w:rPr>
        <w:t>pnevmološke</w:t>
      </w:r>
      <w:proofErr w:type="spellEnd"/>
      <w:r w:rsidRPr="005E4BEA">
        <w:rPr>
          <w:rFonts w:eastAsiaTheme="minorHAnsi" w:cs="Arial"/>
          <w:i/>
          <w:color w:val="808080" w:themeColor="background1" w:themeShade="80"/>
          <w:szCs w:val="20"/>
        </w:rPr>
        <w:t xml:space="preserve"> ambulante. Če veljavna medicinska doktrina in organizacijski proces dopuščata, se bolniku za zagotovitev celovite obravnave opravi ob enem obisku več storitev.</w:t>
      </w:r>
    </w:p>
    <w:p w14:paraId="010000C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82B847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lastRenderedPageBreak/>
        <w:t>Cene storitev vključujejo stroške dela, materialne stroške in amortizacijo ter so opredeljene na podlagi stroškov izvajalcev in dodatnih analiz.</w:t>
      </w:r>
    </w:p>
    <w:p w14:paraId="388510A9"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Obseg programa se načrtuje v številu storitev (so sedaj v točkah). Načrtovani obseg programa za 1 tim znaša 7.600 storitev na letni ravni, od tega 1.200 celotnih pregledov ali </w:t>
      </w:r>
      <w:proofErr w:type="spellStart"/>
      <w:r w:rsidRPr="005E4BEA">
        <w:rPr>
          <w:rFonts w:eastAsiaTheme="minorHAnsi" w:cs="Arial"/>
          <w:i/>
          <w:color w:val="808080" w:themeColor="background1" w:themeShade="80"/>
          <w:szCs w:val="20"/>
        </w:rPr>
        <w:t>subspecialističnih</w:t>
      </w:r>
      <w:proofErr w:type="spellEnd"/>
      <w:r w:rsidRPr="005E4BEA">
        <w:rPr>
          <w:rFonts w:eastAsiaTheme="minorHAnsi" w:cs="Arial"/>
          <w:i/>
          <w:color w:val="808080" w:themeColor="background1" w:themeShade="80"/>
          <w:szCs w:val="20"/>
        </w:rPr>
        <w:t xml:space="preserve"> pregledov. Pogodbena vrednost programa za 1 tim znaša 225.664,18 evrov na letni ravni. </w:t>
      </w:r>
    </w:p>
    <w:p w14:paraId="63DD038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0DD2D9B" w14:textId="77777777" w:rsidR="00FE461F" w:rsidRPr="005E4BEA" w:rsidRDefault="00FE461F" w:rsidP="00FE461F">
      <w:pPr>
        <w:spacing w:line="240" w:lineRule="auto"/>
        <w:jc w:val="both"/>
        <w:rPr>
          <w:rFonts w:eastAsia="Calibri" w:cs="Arial"/>
          <w:i/>
          <w:color w:val="808080" w:themeColor="background1" w:themeShade="80"/>
          <w:szCs w:val="20"/>
        </w:rPr>
      </w:pPr>
      <w:bookmarkStart w:id="3" w:name="_Hlk102983096"/>
      <w:r w:rsidRPr="005E4BEA">
        <w:rPr>
          <w:rFonts w:eastAsiaTheme="minorHAnsi" w:cs="Arial"/>
          <w:i/>
          <w:color w:val="808080" w:themeColor="background1" w:themeShade="80"/>
          <w:szCs w:val="20"/>
        </w:rPr>
        <w:t>Zavod z novim modelom plačevanja izvajalce stimulira k skrajševanju čakalnih dob in števila čakajočih za prve preglede, in sicer s plačilom celotne pogodbene</w:t>
      </w:r>
      <w:r w:rsidRPr="005E4BEA">
        <w:rPr>
          <w:rFonts w:eastAsiaTheme="minorHAnsi" w:cs="Arial"/>
          <w:bCs/>
          <w:i/>
          <w:color w:val="808080" w:themeColor="background1" w:themeShade="80"/>
          <w:szCs w:val="20"/>
        </w:rPr>
        <w:t xml:space="preserve"> vrednosti programa na letni ravni za 85 % realiziran načrtovani obseg programa, pri čemer</w:t>
      </w:r>
      <w:r w:rsidRPr="005E4BEA">
        <w:rPr>
          <w:rFonts w:eastAsia="Calibri" w:cs="Arial"/>
          <w:i/>
          <w:color w:val="808080" w:themeColor="background1" w:themeShade="80"/>
          <w:szCs w:val="20"/>
        </w:rPr>
        <w:t xml:space="preserve"> mora izvajalec v celoti realizirati načrtovano število celotnih pregledov ali </w:t>
      </w:r>
      <w:proofErr w:type="spellStart"/>
      <w:r w:rsidRPr="005E4BEA">
        <w:rPr>
          <w:rFonts w:eastAsia="Calibri" w:cs="Arial"/>
          <w:i/>
          <w:color w:val="808080" w:themeColor="background1" w:themeShade="80"/>
          <w:szCs w:val="20"/>
        </w:rPr>
        <w:t>subspecialističnih</w:t>
      </w:r>
      <w:proofErr w:type="spellEnd"/>
      <w:r w:rsidRPr="005E4BEA">
        <w:rPr>
          <w:rFonts w:eastAsia="Calibri" w:cs="Arial"/>
          <w:i/>
          <w:color w:val="808080" w:themeColor="background1" w:themeShade="80"/>
          <w:szCs w:val="20"/>
        </w:rPr>
        <w:t xml:space="preserve"> pregledov</w:t>
      </w:r>
      <w:bookmarkEnd w:id="3"/>
      <w:r w:rsidRPr="005E4BEA">
        <w:rPr>
          <w:rFonts w:eastAsia="Calibri" w:cs="Arial"/>
          <w:i/>
          <w:color w:val="808080" w:themeColor="background1" w:themeShade="80"/>
          <w:szCs w:val="20"/>
        </w:rPr>
        <w:t xml:space="preserve">. </w:t>
      </w:r>
    </w:p>
    <w:p w14:paraId="302B6BCD" w14:textId="77777777" w:rsidR="00FE461F" w:rsidRPr="005E4BEA" w:rsidRDefault="00FE461F" w:rsidP="00FE461F">
      <w:pPr>
        <w:spacing w:line="240" w:lineRule="auto"/>
        <w:jc w:val="both"/>
        <w:rPr>
          <w:rFonts w:eastAsia="Calibri" w:cs="Arial"/>
          <w:i/>
          <w:color w:val="808080" w:themeColor="background1" w:themeShade="80"/>
          <w:szCs w:val="20"/>
        </w:rPr>
      </w:pPr>
      <w:r w:rsidRPr="005E4BEA">
        <w:rPr>
          <w:rFonts w:eastAsia="Calibri" w:cs="Arial"/>
          <w:i/>
          <w:color w:val="808080" w:themeColor="background1" w:themeShade="80"/>
          <w:szCs w:val="20"/>
        </w:rPr>
        <w:t>Zavod predlaga, da se nov model uvede s 1. 1. 2023.</w:t>
      </w:r>
    </w:p>
    <w:p w14:paraId="0CD35ECF" w14:textId="77777777" w:rsidR="00FE461F" w:rsidRPr="005E4BEA" w:rsidRDefault="00FE461F" w:rsidP="00FE461F">
      <w:pPr>
        <w:spacing w:line="240" w:lineRule="auto"/>
        <w:jc w:val="both"/>
        <w:rPr>
          <w:rFonts w:eastAsiaTheme="minorHAnsi" w:cs="Arial"/>
          <w:bCs/>
          <w:i/>
          <w:color w:val="808080" w:themeColor="background1" w:themeShade="80"/>
          <w:szCs w:val="20"/>
        </w:rPr>
      </w:pPr>
    </w:p>
    <w:p w14:paraId="23E8DBAE" w14:textId="77777777" w:rsidR="00FE461F" w:rsidRPr="005E4BEA" w:rsidRDefault="00FE461F" w:rsidP="00FE461F">
      <w:pPr>
        <w:spacing w:line="240" w:lineRule="auto"/>
        <w:jc w:val="both"/>
        <w:rPr>
          <w:rFonts w:eastAsiaTheme="minorHAnsi" w:cs="Arial"/>
          <w:bCs/>
          <w:i/>
          <w:color w:val="808080" w:themeColor="background1" w:themeShade="80"/>
          <w:szCs w:val="20"/>
        </w:rPr>
      </w:pPr>
      <w:r w:rsidRPr="005E4BEA">
        <w:rPr>
          <w:rFonts w:eastAsiaTheme="minorHAnsi" w:cs="Arial"/>
          <w:bCs/>
          <w:i/>
          <w:color w:val="808080" w:themeColor="background1" w:themeShade="80"/>
          <w:szCs w:val="20"/>
        </w:rPr>
        <w:t>Finančne posledice v okviru novega modela plačevanja na letni ravni so naslednje:</w:t>
      </w:r>
    </w:p>
    <w:p w14:paraId="374069B2" w14:textId="77777777" w:rsidR="00FE461F" w:rsidRPr="005E4BEA" w:rsidRDefault="00FE461F" w:rsidP="00FE461F">
      <w:pPr>
        <w:spacing w:line="240" w:lineRule="auto"/>
        <w:jc w:val="both"/>
        <w:rPr>
          <w:rFonts w:eastAsiaTheme="minorHAnsi" w:cs="Arial"/>
          <w:bCs/>
          <w:i/>
          <w:color w:val="808080" w:themeColor="background1" w:themeShade="80"/>
          <w:szCs w:val="20"/>
        </w:rPr>
      </w:pPr>
      <w:r w:rsidRPr="005E4BEA">
        <w:rPr>
          <w:rFonts w:eastAsiaTheme="minorHAnsi" w:cs="Arial"/>
          <w:bCs/>
          <w:i/>
          <w:color w:val="808080" w:themeColor="background1" w:themeShade="80"/>
          <w:szCs w:val="20"/>
        </w:rPr>
        <w:t>- boljše vrednotenje storitev v višini 1.543.860,50 evrov (za 11,9 %),</w:t>
      </w:r>
    </w:p>
    <w:p w14:paraId="3D239014" w14:textId="77777777" w:rsidR="00FE461F" w:rsidRPr="005E4BEA" w:rsidRDefault="00FE461F" w:rsidP="00FE461F">
      <w:pPr>
        <w:spacing w:line="240" w:lineRule="auto"/>
        <w:jc w:val="both"/>
        <w:rPr>
          <w:rFonts w:eastAsiaTheme="minorHAnsi" w:cs="Arial"/>
          <w:bCs/>
          <w:i/>
          <w:color w:val="808080" w:themeColor="background1" w:themeShade="80"/>
          <w:szCs w:val="20"/>
        </w:rPr>
      </w:pPr>
      <w:r w:rsidRPr="005E4BEA">
        <w:rPr>
          <w:rFonts w:eastAsiaTheme="minorHAnsi" w:cs="Arial"/>
          <w:bCs/>
          <w:i/>
          <w:color w:val="808080" w:themeColor="background1" w:themeShade="80"/>
          <w:szCs w:val="20"/>
        </w:rPr>
        <w:t xml:space="preserve">- </w:t>
      </w:r>
      <w:bookmarkStart w:id="4" w:name="_Hlk102983461"/>
      <w:r w:rsidRPr="005E4BEA">
        <w:rPr>
          <w:rFonts w:eastAsiaTheme="minorHAnsi" w:cs="Arial"/>
          <w:bCs/>
          <w:i/>
          <w:color w:val="808080" w:themeColor="background1" w:themeShade="80"/>
          <w:szCs w:val="20"/>
        </w:rPr>
        <w:t xml:space="preserve">dodatno plačilo alergenov za podkožno </w:t>
      </w:r>
      <w:proofErr w:type="spellStart"/>
      <w:r w:rsidRPr="005E4BEA">
        <w:rPr>
          <w:rFonts w:eastAsiaTheme="minorHAnsi" w:cs="Arial"/>
          <w:bCs/>
          <w:i/>
          <w:color w:val="808080" w:themeColor="background1" w:themeShade="80"/>
          <w:szCs w:val="20"/>
        </w:rPr>
        <w:t>imunoterapijo</w:t>
      </w:r>
      <w:proofErr w:type="spellEnd"/>
      <w:r w:rsidRPr="005E4BEA">
        <w:rPr>
          <w:rFonts w:eastAsiaTheme="minorHAnsi" w:cs="Arial"/>
          <w:bCs/>
          <w:i/>
          <w:color w:val="808080" w:themeColor="background1" w:themeShade="80"/>
          <w:szCs w:val="20"/>
        </w:rPr>
        <w:t xml:space="preserve"> v višini </w:t>
      </w:r>
      <w:bookmarkEnd w:id="4"/>
      <w:r w:rsidRPr="005E4BEA">
        <w:rPr>
          <w:rFonts w:eastAsiaTheme="minorHAnsi" w:cs="Arial"/>
          <w:bCs/>
          <w:i/>
          <w:color w:val="808080" w:themeColor="background1" w:themeShade="80"/>
          <w:szCs w:val="20"/>
        </w:rPr>
        <w:t>690.000,00 evrov,</w:t>
      </w:r>
    </w:p>
    <w:p w14:paraId="185B34DF" w14:textId="77777777" w:rsidR="00FE461F" w:rsidRPr="005E4BEA" w:rsidRDefault="00FE461F" w:rsidP="00FE461F">
      <w:pPr>
        <w:spacing w:line="240" w:lineRule="auto"/>
        <w:jc w:val="both"/>
        <w:rPr>
          <w:rFonts w:eastAsiaTheme="minorHAnsi" w:cs="Arial"/>
          <w:bCs/>
          <w:i/>
          <w:color w:val="808080" w:themeColor="background1" w:themeShade="80"/>
          <w:szCs w:val="20"/>
        </w:rPr>
      </w:pPr>
      <w:r w:rsidRPr="005E4BEA">
        <w:rPr>
          <w:rFonts w:eastAsiaTheme="minorHAnsi" w:cs="Arial"/>
          <w:bCs/>
          <w:i/>
          <w:color w:val="808080" w:themeColor="background1" w:themeShade="80"/>
          <w:szCs w:val="20"/>
        </w:rPr>
        <w:t>- predlog širitve javne zdravstvene mreže za 6 timov v višini 1.353.985,10 evrov.</w:t>
      </w:r>
    </w:p>
    <w:p w14:paraId="7E080E2C" w14:textId="77777777" w:rsidR="00FE461F" w:rsidRPr="005E4BEA" w:rsidRDefault="00FE461F" w:rsidP="00FE461F">
      <w:pPr>
        <w:spacing w:line="120" w:lineRule="auto"/>
        <w:jc w:val="both"/>
        <w:rPr>
          <w:rFonts w:cs="Arial"/>
          <w:bCs/>
          <w:szCs w:val="20"/>
        </w:rPr>
      </w:pPr>
    </w:p>
    <w:tbl>
      <w:tblPr>
        <w:tblStyle w:val="Tabelamrea113"/>
        <w:tblW w:w="0" w:type="auto"/>
        <w:tblInd w:w="5" w:type="dxa"/>
        <w:tblLook w:val="04A0" w:firstRow="1" w:lastRow="0" w:firstColumn="1" w:lastColumn="0" w:noHBand="0" w:noVBand="1"/>
      </w:tblPr>
      <w:tblGrid>
        <w:gridCol w:w="1555"/>
        <w:gridCol w:w="1417"/>
        <w:gridCol w:w="1985"/>
      </w:tblGrid>
      <w:tr w:rsidR="00FE461F" w:rsidRPr="005E4BEA" w14:paraId="6A8EB317" w14:textId="77777777" w:rsidTr="0016774B">
        <w:tc>
          <w:tcPr>
            <w:tcW w:w="1555" w:type="dxa"/>
            <w:tcBorders>
              <w:top w:val="nil"/>
              <w:left w:val="nil"/>
              <w:bottom w:val="single" w:sz="4" w:space="0" w:color="8496B0" w:themeColor="text2" w:themeTint="99"/>
              <w:right w:val="single" w:sz="4" w:space="0" w:color="8496B0" w:themeColor="text2" w:themeTint="99"/>
            </w:tcBorders>
          </w:tcPr>
          <w:p w14:paraId="1614B2E9"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p>
        </w:tc>
        <w:tc>
          <w:tcPr>
            <w:tcW w:w="1417" w:type="dxa"/>
            <w:tcBorders>
              <w:top w:val="single" w:sz="4" w:space="0" w:color="8496B0" w:themeColor="text2" w:themeTint="99"/>
              <w:left w:val="single" w:sz="4" w:space="0" w:color="8496B0" w:themeColor="text2" w:themeTint="99"/>
              <w:bottom w:val="single" w:sz="4" w:space="0" w:color="0070C0"/>
              <w:right w:val="single" w:sz="4" w:space="0" w:color="8496B0" w:themeColor="text2" w:themeTint="99"/>
            </w:tcBorders>
          </w:tcPr>
          <w:p w14:paraId="3320511D"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r w:rsidRPr="005E4BEA">
              <w:rPr>
                <w:rFonts w:cs="Arial"/>
                <w:bCs/>
                <w:color w:val="808080" w:themeColor="background1" w:themeShade="80"/>
                <w:sz w:val="20"/>
                <w:szCs w:val="20"/>
              </w:rPr>
              <w:t>Letna raven</w:t>
            </w:r>
          </w:p>
        </w:tc>
        <w:tc>
          <w:tcPr>
            <w:tcW w:w="1985" w:type="dxa"/>
            <w:tcBorders>
              <w:top w:val="single" w:sz="4" w:space="0" w:color="8496B0" w:themeColor="text2" w:themeTint="99"/>
              <w:left w:val="single" w:sz="4" w:space="0" w:color="8496B0" w:themeColor="text2" w:themeTint="99"/>
              <w:bottom w:val="single" w:sz="4" w:space="0" w:color="0070C0"/>
              <w:right w:val="single" w:sz="4" w:space="0" w:color="8496B0" w:themeColor="text2" w:themeTint="99"/>
            </w:tcBorders>
          </w:tcPr>
          <w:p w14:paraId="79D48F69"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r w:rsidRPr="005E4BEA">
              <w:rPr>
                <w:rFonts w:cs="Arial"/>
                <w:bCs/>
                <w:color w:val="808080" w:themeColor="background1" w:themeShade="80"/>
                <w:sz w:val="20"/>
                <w:szCs w:val="20"/>
              </w:rPr>
              <w:t>1. 1. – 31. 12. 2022</w:t>
            </w:r>
          </w:p>
        </w:tc>
      </w:tr>
      <w:tr w:rsidR="00FE461F" w:rsidRPr="005E4BEA" w14:paraId="45B4A616" w14:textId="77777777" w:rsidTr="0016774B">
        <w:tc>
          <w:tcPr>
            <w:tcW w:w="1555" w:type="dxa"/>
            <w:tcBorders>
              <w:top w:val="single" w:sz="4" w:space="0" w:color="8496B0" w:themeColor="text2" w:themeTint="99"/>
              <w:left w:val="single" w:sz="4" w:space="0" w:color="8496B0" w:themeColor="text2" w:themeTint="99"/>
              <w:bottom w:val="single" w:sz="4" w:space="0" w:color="8496B0" w:themeColor="text2" w:themeTint="99"/>
              <w:right w:val="single" w:sz="4" w:space="0" w:color="0070C0"/>
            </w:tcBorders>
          </w:tcPr>
          <w:p w14:paraId="7F79749C"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r w:rsidRPr="005E4BEA">
              <w:rPr>
                <w:rFonts w:cs="Arial"/>
                <w:bCs/>
                <w:color w:val="808080" w:themeColor="background1" w:themeShade="80"/>
                <w:sz w:val="20"/>
                <w:szCs w:val="20"/>
              </w:rPr>
              <w:t>Vrednost skupaj</w:t>
            </w:r>
          </w:p>
        </w:tc>
        <w:tc>
          <w:tcPr>
            <w:tcW w:w="1417" w:type="dxa"/>
            <w:tcBorders>
              <w:top w:val="single" w:sz="4" w:space="0" w:color="0070C0"/>
              <w:left w:val="nil"/>
              <w:bottom w:val="single" w:sz="4" w:space="0" w:color="0070C0"/>
              <w:right w:val="single" w:sz="4" w:space="0" w:color="0070C0"/>
            </w:tcBorders>
            <w:shd w:val="clear" w:color="auto" w:fill="auto"/>
            <w:vAlign w:val="bottom"/>
          </w:tcPr>
          <w:p w14:paraId="717B7D27"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r w:rsidRPr="005E4BEA">
              <w:rPr>
                <w:rFonts w:cs="Arial"/>
                <w:color w:val="808080" w:themeColor="background1" w:themeShade="80"/>
                <w:sz w:val="20"/>
                <w:szCs w:val="20"/>
              </w:rPr>
              <w:t>3.587.845,60</w:t>
            </w:r>
          </w:p>
        </w:tc>
        <w:tc>
          <w:tcPr>
            <w:tcW w:w="1985" w:type="dxa"/>
            <w:tcBorders>
              <w:top w:val="single" w:sz="4" w:space="0" w:color="0070C0"/>
              <w:left w:val="single" w:sz="4" w:space="0" w:color="0070C0"/>
              <w:bottom w:val="single" w:sz="4" w:space="0" w:color="0070C0"/>
              <w:right w:val="single" w:sz="4" w:space="0" w:color="0070C0"/>
            </w:tcBorders>
            <w:shd w:val="clear" w:color="auto" w:fill="auto"/>
            <w:vAlign w:val="bottom"/>
          </w:tcPr>
          <w:p w14:paraId="297D445E"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p>
        </w:tc>
      </w:tr>
      <w:tr w:rsidR="00FE461F" w:rsidRPr="005E4BEA" w14:paraId="26808995" w14:textId="77777777" w:rsidTr="0016774B">
        <w:tc>
          <w:tcPr>
            <w:tcW w:w="1555" w:type="dxa"/>
            <w:tcBorders>
              <w:top w:val="single" w:sz="4" w:space="0" w:color="8496B0" w:themeColor="text2" w:themeTint="99"/>
              <w:left w:val="single" w:sz="4" w:space="0" w:color="8496B0" w:themeColor="text2" w:themeTint="99"/>
              <w:bottom w:val="single" w:sz="4" w:space="0" w:color="8496B0" w:themeColor="text2" w:themeTint="99"/>
              <w:right w:val="single" w:sz="4" w:space="0" w:color="0070C0"/>
            </w:tcBorders>
          </w:tcPr>
          <w:p w14:paraId="3E546EF6"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r w:rsidRPr="005E4BEA">
              <w:rPr>
                <w:rFonts w:cs="Arial"/>
                <w:bCs/>
                <w:color w:val="808080" w:themeColor="background1" w:themeShade="80"/>
                <w:sz w:val="20"/>
                <w:szCs w:val="20"/>
              </w:rPr>
              <w:t>Vrednost OZZ</w:t>
            </w:r>
          </w:p>
        </w:tc>
        <w:tc>
          <w:tcPr>
            <w:tcW w:w="1417" w:type="dxa"/>
            <w:tcBorders>
              <w:top w:val="single" w:sz="4" w:space="0" w:color="0070C0"/>
              <w:left w:val="nil"/>
              <w:bottom w:val="single" w:sz="4" w:space="0" w:color="0070C0"/>
              <w:right w:val="single" w:sz="4" w:space="0" w:color="0070C0"/>
            </w:tcBorders>
            <w:shd w:val="clear" w:color="auto" w:fill="auto"/>
            <w:vAlign w:val="bottom"/>
          </w:tcPr>
          <w:p w14:paraId="4831AC75"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r w:rsidRPr="005E4BEA">
              <w:rPr>
                <w:rFonts w:cs="Arial"/>
                <w:color w:val="808080" w:themeColor="background1" w:themeShade="80"/>
                <w:sz w:val="20"/>
                <w:szCs w:val="20"/>
              </w:rPr>
              <w:t>2.870.276,48</w:t>
            </w:r>
          </w:p>
        </w:tc>
        <w:tc>
          <w:tcPr>
            <w:tcW w:w="1985" w:type="dxa"/>
            <w:tcBorders>
              <w:top w:val="single" w:sz="4" w:space="0" w:color="0070C0"/>
              <w:left w:val="single" w:sz="4" w:space="0" w:color="0070C0"/>
              <w:bottom w:val="single" w:sz="4" w:space="0" w:color="0070C0"/>
              <w:right w:val="single" w:sz="4" w:space="0" w:color="0070C0"/>
            </w:tcBorders>
            <w:shd w:val="clear" w:color="auto" w:fill="auto"/>
            <w:vAlign w:val="bottom"/>
          </w:tcPr>
          <w:p w14:paraId="34B1DD38" w14:textId="77777777" w:rsidR="00FE461F" w:rsidRPr="005E4BEA" w:rsidRDefault="00FE461F" w:rsidP="00FE461F">
            <w:pPr>
              <w:overflowPunct w:val="0"/>
              <w:autoSpaceDE w:val="0"/>
              <w:autoSpaceDN w:val="0"/>
              <w:adjustRightInd w:val="0"/>
              <w:spacing w:line="312" w:lineRule="auto"/>
              <w:textAlignment w:val="baseline"/>
              <w:rPr>
                <w:rFonts w:cs="Arial"/>
                <w:bCs/>
                <w:color w:val="808080" w:themeColor="background1" w:themeShade="80"/>
                <w:sz w:val="20"/>
                <w:szCs w:val="20"/>
              </w:rPr>
            </w:pPr>
          </w:p>
        </w:tc>
      </w:tr>
    </w:tbl>
    <w:p w14:paraId="2C2AE39C" w14:textId="77777777" w:rsidR="00FE461F" w:rsidRPr="005E4BEA" w:rsidRDefault="00FE461F" w:rsidP="00FE461F">
      <w:pPr>
        <w:spacing w:line="240" w:lineRule="auto"/>
        <w:rPr>
          <w:rFonts w:cs="Arial"/>
          <w:szCs w:val="20"/>
        </w:rPr>
      </w:pPr>
    </w:p>
    <w:p w14:paraId="046AA048" w14:textId="51AAFFD6" w:rsidR="00FE461F" w:rsidRPr="005E4BEA" w:rsidRDefault="00FE461F" w:rsidP="00FE461F">
      <w:pPr>
        <w:spacing w:line="240" w:lineRule="auto"/>
        <w:rPr>
          <w:rFonts w:cs="Arial"/>
          <w:szCs w:val="20"/>
        </w:rPr>
      </w:pPr>
    </w:p>
    <w:p w14:paraId="28258943" w14:textId="430FA4FC" w:rsidR="00C13E13" w:rsidRPr="005E4BEA" w:rsidRDefault="00C13E13" w:rsidP="00FE461F">
      <w:pPr>
        <w:spacing w:line="240" w:lineRule="auto"/>
        <w:rPr>
          <w:rFonts w:cs="Arial"/>
          <w:szCs w:val="20"/>
        </w:rPr>
      </w:pPr>
    </w:p>
    <w:p w14:paraId="37A84C29" w14:textId="7A08FF90" w:rsidR="00C13E13" w:rsidRPr="005E4BEA" w:rsidRDefault="00C13E13" w:rsidP="00C13E1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strinja.</w:t>
      </w:r>
    </w:p>
    <w:p w14:paraId="4E7E7FAF" w14:textId="77777777" w:rsidR="00C13E13" w:rsidRPr="005E4BEA" w:rsidRDefault="00C13E13" w:rsidP="00C13E13">
      <w:pPr>
        <w:spacing w:line="0" w:lineRule="atLeast"/>
        <w:jc w:val="both"/>
        <w:rPr>
          <w:rFonts w:eastAsia="Arial Narrow" w:cs="Arial"/>
          <w:szCs w:val="20"/>
          <w:lang w:eastAsia="sl-SI"/>
        </w:rPr>
      </w:pPr>
    </w:p>
    <w:p w14:paraId="576016D5" w14:textId="363A5E8B" w:rsidR="00422091" w:rsidRPr="005E4BEA" w:rsidRDefault="00C13E13" w:rsidP="00422091">
      <w:pPr>
        <w:spacing w:line="240" w:lineRule="auto"/>
        <w:jc w:val="both"/>
        <w:rPr>
          <w:rFonts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5" w:name="_Hlk102378745"/>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w:t>
      </w:r>
      <w:proofErr w:type="spellStart"/>
      <w:r w:rsidR="00422091" w:rsidRPr="005E4BEA">
        <w:rPr>
          <w:rFonts w:eastAsia="Arial Narrow" w:cs="Arial"/>
          <w:bCs/>
          <w:szCs w:val="20"/>
        </w:rPr>
        <w:t>se</w:t>
      </w:r>
      <w:proofErr w:type="spellEnd"/>
      <w:r w:rsidR="00422091" w:rsidRPr="005E4BEA">
        <w:rPr>
          <w:rFonts w:eastAsia="Arial Narrow" w:cs="Arial"/>
          <w:bCs/>
          <w:szCs w:val="20"/>
        </w:rPr>
        <w:t xml:space="preserve"> v 3. členu </w:t>
      </w:r>
      <w:r w:rsidR="00422091" w:rsidRPr="005E4BEA">
        <w:rPr>
          <w:rFonts w:cs="Arial"/>
          <w:bCs/>
          <w:szCs w:val="20"/>
        </w:rPr>
        <w:t>v prvem odstavku v točki 5. 1. v drugi alineji v tabeli briše beseda »pulmologija«.</w:t>
      </w:r>
    </w:p>
    <w:p w14:paraId="1C58DF52" w14:textId="77777777" w:rsidR="00422091" w:rsidRPr="005E4BEA" w:rsidRDefault="00422091" w:rsidP="00422091">
      <w:pPr>
        <w:spacing w:line="240" w:lineRule="exact"/>
        <w:jc w:val="both"/>
        <w:rPr>
          <w:rFonts w:cs="Arial"/>
          <w:szCs w:val="20"/>
        </w:rPr>
      </w:pPr>
    </w:p>
    <w:p w14:paraId="187BFC85" w14:textId="77777777" w:rsidR="00422091" w:rsidRPr="005E4BEA" w:rsidRDefault="00422091" w:rsidP="00422091">
      <w:pPr>
        <w:spacing w:line="240" w:lineRule="auto"/>
        <w:jc w:val="both"/>
        <w:rPr>
          <w:rFonts w:cs="Arial"/>
          <w:b/>
          <w:bCs/>
          <w:szCs w:val="20"/>
        </w:rPr>
      </w:pPr>
      <w:r w:rsidRPr="005E4BEA">
        <w:rPr>
          <w:rFonts w:cs="Arial"/>
          <w:b/>
          <w:bCs/>
          <w:szCs w:val="20"/>
        </w:rPr>
        <w:t>V 16. členu:</w:t>
      </w:r>
    </w:p>
    <w:p w14:paraId="679348D7" w14:textId="77777777" w:rsidR="00422091" w:rsidRPr="005E4BEA" w:rsidRDefault="00422091" w:rsidP="00422091">
      <w:pPr>
        <w:spacing w:line="120" w:lineRule="auto"/>
        <w:jc w:val="both"/>
        <w:rPr>
          <w:rFonts w:cs="Arial"/>
          <w:b/>
          <w:bCs/>
          <w:szCs w:val="20"/>
        </w:rPr>
      </w:pPr>
    </w:p>
    <w:p w14:paraId="185E47BC" w14:textId="748D5954" w:rsidR="00422091" w:rsidRPr="005E4BEA" w:rsidRDefault="00422091" w:rsidP="00422091">
      <w:pPr>
        <w:spacing w:line="240" w:lineRule="auto"/>
        <w:ind w:left="284" w:hanging="284"/>
        <w:jc w:val="both"/>
        <w:rPr>
          <w:rFonts w:cs="Arial"/>
          <w:b/>
          <w:bCs/>
          <w:szCs w:val="20"/>
        </w:rPr>
      </w:pPr>
      <w:r w:rsidRPr="005E4BEA">
        <w:rPr>
          <w:rFonts w:cs="Arial"/>
          <w:b/>
          <w:bCs/>
          <w:szCs w:val="20"/>
        </w:rPr>
        <w:t>- v prvem odstavku se za 26. točko doda nova 27. točka, ki se glasi:</w:t>
      </w:r>
    </w:p>
    <w:p w14:paraId="73F2B2C9" w14:textId="77777777" w:rsidR="00422091" w:rsidRPr="005E4BEA" w:rsidRDefault="00422091" w:rsidP="00422091">
      <w:pPr>
        <w:spacing w:line="60" w:lineRule="exact"/>
        <w:jc w:val="both"/>
        <w:rPr>
          <w:rFonts w:cs="Arial"/>
          <w:szCs w:val="20"/>
        </w:rPr>
      </w:pPr>
    </w:p>
    <w:p w14:paraId="40C1D1C4" w14:textId="77777777" w:rsidR="00422091" w:rsidRPr="005E4BEA" w:rsidRDefault="00422091" w:rsidP="00422091">
      <w:pPr>
        <w:spacing w:line="240" w:lineRule="auto"/>
        <w:ind w:left="142"/>
        <w:jc w:val="both"/>
        <w:rPr>
          <w:rFonts w:cs="Arial"/>
          <w:szCs w:val="20"/>
        </w:rPr>
      </w:pPr>
      <w:r w:rsidRPr="005E4BEA">
        <w:rPr>
          <w:rFonts w:cs="Arial"/>
          <w:szCs w:val="20"/>
        </w:rPr>
        <w:t xml:space="preserve">»27. V specialistični </w:t>
      </w:r>
      <w:proofErr w:type="spellStart"/>
      <w:r w:rsidRPr="005E4BEA">
        <w:rPr>
          <w:rFonts w:cs="Arial"/>
          <w:szCs w:val="20"/>
        </w:rPr>
        <w:t>zunajbolnišnični</w:t>
      </w:r>
      <w:proofErr w:type="spellEnd"/>
      <w:r w:rsidRPr="005E4BEA">
        <w:rPr>
          <w:rFonts w:cs="Arial"/>
          <w:szCs w:val="20"/>
        </w:rPr>
        <w:t xml:space="preserve"> dejavnosti </w:t>
      </w:r>
      <w:proofErr w:type="spellStart"/>
      <w:r w:rsidRPr="005E4BEA">
        <w:rPr>
          <w:rFonts w:cs="Arial"/>
          <w:szCs w:val="20"/>
        </w:rPr>
        <w:t>pnevmologije</w:t>
      </w:r>
      <w:proofErr w:type="spellEnd"/>
      <w:r w:rsidRPr="005E4BEA">
        <w:rPr>
          <w:rFonts w:cs="Arial"/>
          <w:szCs w:val="20"/>
        </w:rPr>
        <w:t xml:space="preserve"> (229 239): alergeni za podkožno </w:t>
      </w:r>
      <w:proofErr w:type="spellStart"/>
      <w:r w:rsidRPr="005E4BEA">
        <w:rPr>
          <w:rFonts w:cs="Arial"/>
          <w:szCs w:val="20"/>
        </w:rPr>
        <w:t>imunoterapijo</w:t>
      </w:r>
      <w:proofErr w:type="spellEnd"/>
      <w:r w:rsidRPr="005E4BEA">
        <w:rPr>
          <w:rFonts w:cs="Arial"/>
          <w:szCs w:val="20"/>
        </w:rPr>
        <w:t>.«</w:t>
      </w:r>
    </w:p>
    <w:p w14:paraId="669912B5" w14:textId="77777777" w:rsidR="00422091" w:rsidRPr="005E4BEA" w:rsidRDefault="00422091" w:rsidP="00422091">
      <w:pPr>
        <w:spacing w:line="120" w:lineRule="auto"/>
        <w:jc w:val="both"/>
        <w:rPr>
          <w:rFonts w:cs="Arial"/>
          <w:szCs w:val="20"/>
        </w:rPr>
      </w:pPr>
    </w:p>
    <w:p w14:paraId="196FA709" w14:textId="67785374" w:rsidR="00422091" w:rsidRPr="005E4BEA" w:rsidRDefault="00422091" w:rsidP="00422091">
      <w:pPr>
        <w:spacing w:line="240" w:lineRule="auto"/>
        <w:ind w:left="284" w:hanging="284"/>
        <w:jc w:val="both"/>
        <w:rPr>
          <w:rFonts w:cs="Arial"/>
          <w:b/>
          <w:bCs/>
          <w:szCs w:val="20"/>
        </w:rPr>
      </w:pPr>
      <w:r w:rsidRPr="005E4BEA">
        <w:rPr>
          <w:rFonts w:cs="Arial"/>
          <w:b/>
          <w:bCs/>
          <w:szCs w:val="20"/>
        </w:rPr>
        <w:t>- v šestem odstavku v prvem stavku se za besedo »otorinolaringologija« doda beseda »</w:t>
      </w:r>
      <w:proofErr w:type="spellStart"/>
      <w:r w:rsidRPr="005E4BEA">
        <w:rPr>
          <w:rFonts w:cs="Arial"/>
          <w:b/>
          <w:bCs/>
          <w:szCs w:val="20"/>
        </w:rPr>
        <w:t>pnevmologija</w:t>
      </w:r>
      <w:proofErr w:type="spellEnd"/>
      <w:r w:rsidRPr="005E4BEA">
        <w:rPr>
          <w:rFonts w:cs="Arial"/>
          <w:b/>
          <w:bCs/>
          <w:szCs w:val="20"/>
        </w:rPr>
        <w:t>«, v tabeli se »pulmologija« preimenuje v »</w:t>
      </w:r>
      <w:proofErr w:type="spellStart"/>
      <w:r w:rsidRPr="005E4BEA">
        <w:rPr>
          <w:rFonts w:cs="Arial"/>
          <w:b/>
          <w:bCs/>
          <w:szCs w:val="20"/>
        </w:rPr>
        <w:t>pnevmologija</w:t>
      </w:r>
      <w:proofErr w:type="spellEnd"/>
      <w:r w:rsidRPr="005E4BEA">
        <w:rPr>
          <w:rFonts w:cs="Arial"/>
          <w:b/>
          <w:bCs/>
          <w:szCs w:val="20"/>
        </w:rPr>
        <w:t>«, odstotek pa se poveča iz 10,46 na 16,14.</w:t>
      </w:r>
    </w:p>
    <w:p w14:paraId="6B67D2B8" w14:textId="77777777" w:rsidR="00422091" w:rsidRPr="005E4BEA" w:rsidRDefault="00422091" w:rsidP="00422091">
      <w:pPr>
        <w:spacing w:line="240" w:lineRule="auto"/>
        <w:ind w:left="284" w:hanging="284"/>
        <w:jc w:val="both"/>
        <w:rPr>
          <w:rFonts w:cs="Arial"/>
          <w:b/>
          <w:bCs/>
          <w:szCs w:val="20"/>
        </w:rPr>
      </w:pPr>
    </w:p>
    <w:p w14:paraId="090BBD81" w14:textId="77777777" w:rsidR="00422091" w:rsidRPr="005E4BEA" w:rsidRDefault="00422091" w:rsidP="00422091">
      <w:pPr>
        <w:spacing w:line="240" w:lineRule="auto"/>
        <w:ind w:left="284" w:hanging="284"/>
        <w:jc w:val="both"/>
        <w:rPr>
          <w:rFonts w:cs="Arial"/>
          <w:b/>
          <w:bCs/>
          <w:szCs w:val="20"/>
        </w:rPr>
      </w:pPr>
    </w:p>
    <w:p w14:paraId="2271BDA1" w14:textId="77777777" w:rsidR="00422091" w:rsidRPr="005E4BEA" w:rsidRDefault="00422091" w:rsidP="00422091">
      <w:pPr>
        <w:spacing w:line="240" w:lineRule="auto"/>
        <w:jc w:val="both"/>
        <w:rPr>
          <w:rFonts w:cs="Arial"/>
          <w:b/>
          <w:bCs/>
          <w:szCs w:val="20"/>
        </w:rPr>
      </w:pPr>
      <w:r w:rsidRPr="005E4BEA">
        <w:rPr>
          <w:rFonts w:cs="Arial"/>
          <w:b/>
          <w:bCs/>
          <w:szCs w:val="20"/>
        </w:rPr>
        <w:t>V 24. členu:</w:t>
      </w:r>
    </w:p>
    <w:p w14:paraId="00849312" w14:textId="21F72DD3" w:rsidR="00422091" w:rsidRPr="005E4BEA" w:rsidRDefault="00422091" w:rsidP="00422091">
      <w:pPr>
        <w:spacing w:before="120" w:after="120" w:line="240" w:lineRule="auto"/>
        <w:ind w:left="284" w:hanging="284"/>
        <w:jc w:val="both"/>
        <w:rPr>
          <w:rFonts w:cs="Arial"/>
          <w:b/>
          <w:bCs/>
          <w:szCs w:val="20"/>
        </w:rPr>
      </w:pPr>
      <w:r w:rsidRPr="005E4BEA">
        <w:rPr>
          <w:rFonts w:cs="Arial"/>
          <w:b/>
          <w:bCs/>
          <w:szCs w:val="20"/>
        </w:rPr>
        <w:t xml:space="preserve"> - v petem odstavku se dodata novi točki, ki se glasita:</w:t>
      </w:r>
    </w:p>
    <w:tbl>
      <w:tblPr>
        <w:tblStyle w:val="Tabelamrea114"/>
        <w:tblW w:w="8835" w:type="dxa"/>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4326"/>
        <w:gridCol w:w="851"/>
        <w:gridCol w:w="992"/>
        <w:gridCol w:w="1278"/>
        <w:gridCol w:w="1388"/>
      </w:tblGrid>
      <w:tr w:rsidR="00422091" w:rsidRPr="005E4BEA" w14:paraId="6F709928" w14:textId="77777777" w:rsidTr="006F2C89">
        <w:trPr>
          <w:jc w:val="center"/>
        </w:trPr>
        <w:tc>
          <w:tcPr>
            <w:tcW w:w="4326" w:type="dxa"/>
            <w:shd w:val="clear" w:color="auto" w:fill="auto"/>
            <w:vAlign w:val="center"/>
          </w:tcPr>
          <w:p w14:paraId="790ADB3F" w14:textId="77777777" w:rsidR="00422091" w:rsidRPr="005E4BEA" w:rsidRDefault="00422091" w:rsidP="006F2C89">
            <w:pPr>
              <w:spacing w:line="240" w:lineRule="auto"/>
              <w:ind w:left="-31"/>
              <w:jc w:val="both"/>
              <w:rPr>
                <w:rFonts w:cs="Arial"/>
                <w:spacing w:val="20"/>
                <w:sz w:val="20"/>
                <w:szCs w:val="20"/>
              </w:rPr>
            </w:pPr>
            <w:r w:rsidRPr="005E4BEA">
              <w:rPr>
                <w:rFonts w:cs="Arial"/>
                <w:spacing w:val="20"/>
                <w:sz w:val="20"/>
                <w:szCs w:val="20"/>
              </w:rPr>
              <w:t>Program</w:t>
            </w:r>
          </w:p>
        </w:tc>
        <w:tc>
          <w:tcPr>
            <w:tcW w:w="851" w:type="dxa"/>
            <w:shd w:val="clear" w:color="auto" w:fill="auto"/>
            <w:vAlign w:val="center"/>
          </w:tcPr>
          <w:p w14:paraId="308A0B8E" w14:textId="77777777" w:rsidR="00422091" w:rsidRPr="005E4BEA" w:rsidRDefault="00422091" w:rsidP="006F2C89">
            <w:pPr>
              <w:spacing w:line="240" w:lineRule="auto"/>
              <w:ind w:left="-21"/>
              <w:jc w:val="both"/>
              <w:rPr>
                <w:rFonts w:cs="Arial"/>
                <w:sz w:val="20"/>
                <w:szCs w:val="20"/>
              </w:rPr>
            </w:pPr>
            <w:r w:rsidRPr="005E4BEA">
              <w:rPr>
                <w:rFonts w:cs="Arial"/>
                <w:sz w:val="20"/>
                <w:szCs w:val="20"/>
              </w:rPr>
              <w:t>Izvajalec</w:t>
            </w:r>
          </w:p>
        </w:tc>
        <w:tc>
          <w:tcPr>
            <w:tcW w:w="992" w:type="dxa"/>
            <w:shd w:val="clear" w:color="auto" w:fill="auto"/>
            <w:vAlign w:val="center"/>
          </w:tcPr>
          <w:p w14:paraId="3AEA1BC8" w14:textId="77777777" w:rsidR="00422091" w:rsidRPr="005E4BEA" w:rsidRDefault="00422091" w:rsidP="006F2C89">
            <w:pPr>
              <w:spacing w:line="240" w:lineRule="auto"/>
              <w:jc w:val="both"/>
              <w:rPr>
                <w:rFonts w:cs="Arial"/>
                <w:sz w:val="20"/>
                <w:szCs w:val="20"/>
              </w:rPr>
            </w:pPr>
            <w:r w:rsidRPr="005E4BEA">
              <w:rPr>
                <w:rFonts w:cs="Arial"/>
                <w:sz w:val="20"/>
                <w:szCs w:val="20"/>
              </w:rPr>
              <w:t>Obseg programa</w:t>
            </w:r>
          </w:p>
        </w:tc>
        <w:tc>
          <w:tcPr>
            <w:tcW w:w="1278" w:type="dxa"/>
            <w:shd w:val="clear" w:color="auto" w:fill="auto"/>
            <w:vAlign w:val="center"/>
          </w:tcPr>
          <w:p w14:paraId="42388F4A" w14:textId="77777777" w:rsidR="00422091" w:rsidRPr="005E4BEA" w:rsidRDefault="00422091" w:rsidP="006F2C89">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letna raven</w:t>
            </w:r>
            <w:r w:rsidRPr="005E4BEA">
              <w:rPr>
                <w:rFonts w:cs="Arial"/>
                <w:sz w:val="20"/>
                <w:szCs w:val="20"/>
              </w:rPr>
              <w:br/>
              <w:t>(v EUR)</w:t>
            </w:r>
          </w:p>
        </w:tc>
        <w:tc>
          <w:tcPr>
            <w:tcW w:w="1388" w:type="dxa"/>
            <w:shd w:val="clear" w:color="auto" w:fill="auto"/>
            <w:vAlign w:val="center"/>
          </w:tcPr>
          <w:p w14:paraId="0EDDD63D" w14:textId="77777777" w:rsidR="00422091" w:rsidRPr="005E4BEA" w:rsidRDefault="00422091" w:rsidP="006F2C89">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1.1.-31.12.2022</w:t>
            </w:r>
            <w:r w:rsidRPr="005E4BEA">
              <w:rPr>
                <w:rFonts w:cs="Arial"/>
                <w:sz w:val="20"/>
                <w:szCs w:val="20"/>
              </w:rPr>
              <w:br/>
              <w:t>(v EUR)</w:t>
            </w:r>
          </w:p>
        </w:tc>
      </w:tr>
      <w:tr w:rsidR="00422091" w:rsidRPr="005E4BEA" w14:paraId="3920C312" w14:textId="77777777" w:rsidTr="006F2C89">
        <w:trPr>
          <w:trHeight w:val="454"/>
          <w:jc w:val="center"/>
        </w:trPr>
        <w:tc>
          <w:tcPr>
            <w:tcW w:w="4326" w:type="dxa"/>
            <w:vAlign w:val="center"/>
          </w:tcPr>
          <w:p w14:paraId="4DB079CF" w14:textId="77777777" w:rsidR="00422091" w:rsidRPr="005E4BEA" w:rsidRDefault="00422091" w:rsidP="006F2C89">
            <w:pPr>
              <w:spacing w:line="240" w:lineRule="auto"/>
              <w:ind w:left="-31"/>
              <w:rPr>
                <w:rFonts w:cs="Arial"/>
                <w:sz w:val="20"/>
                <w:szCs w:val="20"/>
              </w:rPr>
            </w:pPr>
            <w:r w:rsidRPr="005E4BEA">
              <w:rPr>
                <w:rFonts w:cs="Arial"/>
                <w:sz w:val="20"/>
                <w:szCs w:val="20"/>
              </w:rPr>
              <w:t xml:space="preserve">Specialistična </w:t>
            </w:r>
            <w:proofErr w:type="spellStart"/>
            <w:r w:rsidRPr="005E4BEA">
              <w:rPr>
                <w:rFonts w:cs="Arial"/>
                <w:sz w:val="20"/>
                <w:szCs w:val="20"/>
              </w:rPr>
              <w:t>zunajbolnišnična</w:t>
            </w:r>
            <w:proofErr w:type="spellEnd"/>
            <w:r w:rsidRPr="005E4BEA">
              <w:rPr>
                <w:rFonts w:cs="Arial"/>
                <w:sz w:val="20"/>
                <w:szCs w:val="20"/>
              </w:rPr>
              <w:t xml:space="preserve"> dejavnost </w:t>
            </w:r>
            <w:proofErr w:type="spellStart"/>
            <w:r w:rsidRPr="005E4BEA">
              <w:rPr>
                <w:rFonts w:cs="Arial"/>
                <w:sz w:val="20"/>
                <w:szCs w:val="20"/>
              </w:rPr>
              <w:t>pnevmologije</w:t>
            </w:r>
            <w:proofErr w:type="spellEnd"/>
            <w:r w:rsidRPr="005E4BEA">
              <w:rPr>
                <w:rFonts w:cs="Arial"/>
                <w:sz w:val="20"/>
                <w:szCs w:val="20"/>
              </w:rPr>
              <w:t xml:space="preserve"> – alergeni za podkožno </w:t>
            </w:r>
            <w:proofErr w:type="spellStart"/>
            <w:r w:rsidRPr="005E4BEA">
              <w:rPr>
                <w:rFonts w:cs="Arial"/>
                <w:sz w:val="20"/>
                <w:szCs w:val="20"/>
              </w:rPr>
              <w:t>imunoterapijo</w:t>
            </w:r>
            <w:proofErr w:type="spellEnd"/>
            <w:r w:rsidRPr="005E4BEA">
              <w:rPr>
                <w:rFonts w:cs="Arial"/>
                <w:sz w:val="20"/>
                <w:szCs w:val="20"/>
              </w:rPr>
              <w:t xml:space="preserve"> – cenejši, dražji</w:t>
            </w:r>
          </w:p>
          <w:p w14:paraId="063DD1CB" w14:textId="77777777" w:rsidR="00422091" w:rsidRPr="005E4BEA" w:rsidRDefault="00422091" w:rsidP="006F2C89">
            <w:pPr>
              <w:spacing w:line="240" w:lineRule="auto"/>
              <w:ind w:left="-31"/>
              <w:rPr>
                <w:rFonts w:cs="Arial"/>
                <w:sz w:val="20"/>
                <w:szCs w:val="20"/>
              </w:rPr>
            </w:pPr>
            <w:r w:rsidRPr="005E4BEA">
              <w:rPr>
                <w:rFonts w:cs="Arial"/>
                <w:sz w:val="20"/>
                <w:szCs w:val="20"/>
              </w:rPr>
              <w:t>Od 1. 1. 2023</w:t>
            </w:r>
          </w:p>
        </w:tc>
        <w:tc>
          <w:tcPr>
            <w:tcW w:w="851" w:type="dxa"/>
            <w:vAlign w:val="center"/>
          </w:tcPr>
          <w:p w14:paraId="0CA61930" w14:textId="77777777" w:rsidR="00422091" w:rsidRPr="005E4BEA" w:rsidRDefault="00422091" w:rsidP="006F2C89">
            <w:pPr>
              <w:spacing w:line="240" w:lineRule="auto"/>
              <w:ind w:left="284"/>
              <w:jc w:val="both"/>
              <w:rPr>
                <w:rFonts w:cs="Arial"/>
                <w:sz w:val="20"/>
                <w:szCs w:val="20"/>
              </w:rPr>
            </w:pPr>
          </w:p>
        </w:tc>
        <w:tc>
          <w:tcPr>
            <w:tcW w:w="992" w:type="dxa"/>
            <w:vAlign w:val="center"/>
          </w:tcPr>
          <w:p w14:paraId="5B210201" w14:textId="77777777" w:rsidR="00422091" w:rsidRPr="005E4BEA" w:rsidRDefault="00422091" w:rsidP="006F2C89">
            <w:pPr>
              <w:spacing w:line="240" w:lineRule="auto"/>
              <w:ind w:left="284"/>
              <w:jc w:val="both"/>
              <w:rPr>
                <w:rFonts w:cs="Arial"/>
                <w:sz w:val="20"/>
                <w:szCs w:val="20"/>
              </w:rPr>
            </w:pPr>
          </w:p>
        </w:tc>
        <w:tc>
          <w:tcPr>
            <w:tcW w:w="1278" w:type="dxa"/>
            <w:vAlign w:val="center"/>
          </w:tcPr>
          <w:p w14:paraId="1C56C9B7" w14:textId="77777777" w:rsidR="00422091" w:rsidRPr="005E4BEA" w:rsidRDefault="00422091" w:rsidP="006F2C89">
            <w:pPr>
              <w:spacing w:line="240" w:lineRule="auto"/>
              <w:ind w:left="-24"/>
              <w:jc w:val="right"/>
              <w:rPr>
                <w:rFonts w:cs="Arial"/>
                <w:sz w:val="20"/>
                <w:szCs w:val="20"/>
              </w:rPr>
            </w:pPr>
            <w:r w:rsidRPr="005E4BEA">
              <w:rPr>
                <w:rFonts w:cs="Arial"/>
                <w:sz w:val="20"/>
                <w:szCs w:val="20"/>
              </w:rPr>
              <w:t>690.000</w:t>
            </w:r>
          </w:p>
        </w:tc>
        <w:tc>
          <w:tcPr>
            <w:tcW w:w="1388" w:type="dxa"/>
            <w:vAlign w:val="center"/>
          </w:tcPr>
          <w:p w14:paraId="488533CB" w14:textId="77777777" w:rsidR="00422091" w:rsidRPr="005E4BEA" w:rsidRDefault="00422091" w:rsidP="006F2C89">
            <w:pPr>
              <w:spacing w:line="240" w:lineRule="auto"/>
              <w:ind w:left="284"/>
              <w:jc w:val="both"/>
              <w:rPr>
                <w:rFonts w:cs="Arial"/>
                <w:strike/>
                <w:sz w:val="20"/>
                <w:szCs w:val="20"/>
              </w:rPr>
            </w:pPr>
          </w:p>
        </w:tc>
      </w:tr>
      <w:tr w:rsidR="00422091" w:rsidRPr="005E4BEA" w14:paraId="3CFC767A" w14:textId="77777777" w:rsidTr="006F2C89">
        <w:trPr>
          <w:trHeight w:val="454"/>
          <w:jc w:val="center"/>
        </w:trPr>
        <w:tc>
          <w:tcPr>
            <w:tcW w:w="4326" w:type="dxa"/>
            <w:vAlign w:val="center"/>
          </w:tcPr>
          <w:p w14:paraId="38E85897" w14:textId="77777777" w:rsidR="00422091" w:rsidRPr="005E4BEA" w:rsidRDefault="00422091" w:rsidP="006F2C89">
            <w:pPr>
              <w:spacing w:line="240" w:lineRule="auto"/>
              <w:ind w:left="-31"/>
              <w:rPr>
                <w:rFonts w:cs="Arial"/>
                <w:sz w:val="20"/>
                <w:szCs w:val="20"/>
              </w:rPr>
            </w:pPr>
            <w:r w:rsidRPr="005E4BEA">
              <w:rPr>
                <w:rFonts w:cs="Arial"/>
                <w:sz w:val="20"/>
                <w:szCs w:val="20"/>
              </w:rPr>
              <w:t xml:space="preserve">Specialistična </w:t>
            </w:r>
            <w:proofErr w:type="spellStart"/>
            <w:r w:rsidRPr="005E4BEA">
              <w:rPr>
                <w:rFonts w:cs="Arial"/>
                <w:sz w:val="20"/>
                <w:szCs w:val="20"/>
              </w:rPr>
              <w:t>zunajbolnišnična</w:t>
            </w:r>
            <w:proofErr w:type="spellEnd"/>
            <w:r w:rsidRPr="005E4BEA">
              <w:rPr>
                <w:rFonts w:cs="Arial"/>
                <w:sz w:val="20"/>
                <w:szCs w:val="20"/>
              </w:rPr>
              <w:t xml:space="preserve"> dejavnost </w:t>
            </w:r>
            <w:proofErr w:type="spellStart"/>
            <w:r w:rsidRPr="005E4BEA">
              <w:rPr>
                <w:rFonts w:cs="Arial"/>
                <w:sz w:val="20"/>
                <w:szCs w:val="20"/>
              </w:rPr>
              <w:t>pnevmologije</w:t>
            </w:r>
            <w:proofErr w:type="spellEnd"/>
            <w:r w:rsidRPr="005E4BEA">
              <w:rPr>
                <w:rFonts w:cs="Arial"/>
                <w:sz w:val="20"/>
                <w:szCs w:val="20"/>
              </w:rPr>
              <w:t xml:space="preserve"> – nov model plačevanja</w:t>
            </w:r>
          </w:p>
          <w:p w14:paraId="449B6488" w14:textId="77777777" w:rsidR="00422091" w:rsidRPr="005E4BEA" w:rsidRDefault="00422091" w:rsidP="006F2C89">
            <w:pPr>
              <w:spacing w:line="240" w:lineRule="auto"/>
              <w:ind w:left="-31"/>
              <w:rPr>
                <w:rFonts w:cs="Arial"/>
                <w:sz w:val="20"/>
                <w:szCs w:val="20"/>
              </w:rPr>
            </w:pPr>
            <w:r w:rsidRPr="005E4BEA">
              <w:rPr>
                <w:rFonts w:cs="Arial"/>
                <w:sz w:val="20"/>
                <w:szCs w:val="20"/>
              </w:rPr>
              <w:t>Od 1. 1. 2023</w:t>
            </w:r>
          </w:p>
        </w:tc>
        <w:tc>
          <w:tcPr>
            <w:tcW w:w="851" w:type="dxa"/>
            <w:vAlign w:val="center"/>
          </w:tcPr>
          <w:p w14:paraId="186CA0C8" w14:textId="77777777" w:rsidR="00422091" w:rsidRPr="005E4BEA" w:rsidRDefault="00422091" w:rsidP="006F2C89">
            <w:pPr>
              <w:spacing w:line="240" w:lineRule="auto"/>
              <w:ind w:left="284"/>
              <w:jc w:val="both"/>
              <w:rPr>
                <w:rFonts w:cs="Arial"/>
                <w:sz w:val="20"/>
                <w:szCs w:val="20"/>
              </w:rPr>
            </w:pPr>
          </w:p>
        </w:tc>
        <w:tc>
          <w:tcPr>
            <w:tcW w:w="992" w:type="dxa"/>
            <w:vAlign w:val="center"/>
          </w:tcPr>
          <w:p w14:paraId="1A60D74D" w14:textId="77777777" w:rsidR="00422091" w:rsidRPr="005E4BEA" w:rsidRDefault="00422091" w:rsidP="006F2C89">
            <w:pPr>
              <w:spacing w:line="240" w:lineRule="auto"/>
              <w:ind w:left="284"/>
              <w:jc w:val="both"/>
              <w:rPr>
                <w:rFonts w:cs="Arial"/>
                <w:sz w:val="20"/>
                <w:szCs w:val="20"/>
              </w:rPr>
            </w:pPr>
          </w:p>
        </w:tc>
        <w:tc>
          <w:tcPr>
            <w:tcW w:w="1278" w:type="dxa"/>
            <w:vAlign w:val="center"/>
          </w:tcPr>
          <w:p w14:paraId="103052C2" w14:textId="77777777" w:rsidR="00422091" w:rsidRPr="005E4BEA" w:rsidRDefault="00422091" w:rsidP="006F2C89">
            <w:pPr>
              <w:spacing w:line="240" w:lineRule="auto"/>
              <w:ind w:left="-24"/>
              <w:jc w:val="right"/>
              <w:rPr>
                <w:rFonts w:cs="Arial"/>
                <w:sz w:val="20"/>
                <w:szCs w:val="20"/>
              </w:rPr>
            </w:pPr>
            <w:r w:rsidRPr="005E4BEA">
              <w:rPr>
                <w:rFonts w:cs="Arial"/>
                <w:sz w:val="20"/>
                <w:szCs w:val="20"/>
              </w:rPr>
              <w:t>1.543.860</w:t>
            </w:r>
          </w:p>
        </w:tc>
        <w:tc>
          <w:tcPr>
            <w:tcW w:w="1388" w:type="dxa"/>
            <w:vAlign w:val="center"/>
          </w:tcPr>
          <w:p w14:paraId="28E38F48" w14:textId="77777777" w:rsidR="00422091" w:rsidRPr="005E4BEA" w:rsidRDefault="00422091" w:rsidP="006F2C89">
            <w:pPr>
              <w:spacing w:line="240" w:lineRule="auto"/>
              <w:ind w:left="284"/>
              <w:jc w:val="both"/>
              <w:rPr>
                <w:rFonts w:cs="Arial"/>
                <w:strike/>
                <w:sz w:val="20"/>
                <w:szCs w:val="20"/>
              </w:rPr>
            </w:pPr>
          </w:p>
        </w:tc>
      </w:tr>
    </w:tbl>
    <w:p w14:paraId="3C59FE70" w14:textId="77777777" w:rsidR="00422091" w:rsidRPr="005E4BEA" w:rsidRDefault="00422091" w:rsidP="00422091">
      <w:pPr>
        <w:spacing w:line="240" w:lineRule="auto"/>
        <w:ind w:left="284"/>
        <w:jc w:val="both"/>
        <w:rPr>
          <w:rFonts w:cs="Arial"/>
          <w:szCs w:val="20"/>
        </w:rPr>
      </w:pPr>
    </w:p>
    <w:p w14:paraId="6382D98A" w14:textId="0F83527A" w:rsidR="00422091" w:rsidRPr="005E4BEA" w:rsidRDefault="00422091" w:rsidP="00422091">
      <w:pPr>
        <w:spacing w:after="120" w:line="240" w:lineRule="auto"/>
        <w:ind w:left="284" w:hanging="284"/>
        <w:jc w:val="both"/>
        <w:rPr>
          <w:rFonts w:cs="Arial"/>
          <w:b/>
          <w:bCs/>
          <w:szCs w:val="20"/>
        </w:rPr>
      </w:pPr>
      <w:r w:rsidRPr="005E4BEA">
        <w:rPr>
          <w:rFonts w:cs="Arial"/>
          <w:b/>
          <w:bCs/>
          <w:szCs w:val="20"/>
        </w:rPr>
        <w:t>- v šestem odstavku se doda nova točka, ki se glasi:</w:t>
      </w:r>
    </w:p>
    <w:tbl>
      <w:tblPr>
        <w:tblStyle w:val="Tabelamrea114"/>
        <w:tblW w:w="8863" w:type="dxa"/>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4326"/>
        <w:gridCol w:w="851"/>
        <w:gridCol w:w="992"/>
        <w:gridCol w:w="1276"/>
        <w:gridCol w:w="1418"/>
      </w:tblGrid>
      <w:tr w:rsidR="00422091" w:rsidRPr="005E4BEA" w14:paraId="7A792E68" w14:textId="77777777" w:rsidTr="006F2C89">
        <w:trPr>
          <w:jc w:val="center"/>
        </w:trPr>
        <w:tc>
          <w:tcPr>
            <w:tcW w:w="4326" w:type="dxa"/>
            <w:shd w:val="clear" w:color="auto" w:fill="auto"/>
            <w:vAlign w:val="center"/>
          </w:tcPr>
          <w:p w14:paraId="2DE06E95" w14:textId="77777777" w:rsidR="00422091" w:rsidRPr="005E4BEA" w:rsidRDefault="00422091" w:rsidP="006F2C89">
            <w:pPr>
              <w:spacing w:line="240" w:lineRule="auto"/>
              <w:jc w:val="both"/>
              <w:rPr>
                <w:rFonts w:cs="Arial"/>
                <w:sz w:val="20"/>
                <w:szCs w:val="20"/>
              </w:rPr>
            </w:pPr>
            <w:r w:rsidRPr="005E4BEA">
              <w:rPr>
                <w:rFonts w:cs="Arial"/>
                <w:spacing w:val="20"/>
                <w:sz w:val="20"/>
                <w:szCs w:val="20"/>
              </w:rPr>
              <w:lastRenderedPageBreak/>
              <w:t>Program</w:t>
            </w:r>
          </w:p>
        </w:tc>
        <w:tc>
          <w:tcPr>
            <w:tcW w:w="851" w:type="dxa"/>
            <w:shd w:val="clear" w:color="auto" w:fill="auto"/>
            <w:vAlign w:val="center"/>
          </w:tcPr>
          <w:p w14:paraId="15FF0FBD" w14:textId="77777777" w:rsidR="00422091" w:rsidRPr="005E4BEA" w:rsidRDefault="00422091" w:rsidP="006F2C89">
            <w:pPr>
              <w:spacing w:line="240" w:lineRule="auto"/>
              <w:ind w:left="-21"/>
              <w:jc w:val="both"/>
              <w:rPr>
                <w:rFonts w:cs="Arial"/>
                <w:sz w:val="20"/>
                <w:szCs w:val="20"/>
              </w:rPr>
            </w:pPr>
            <w:r w:rsidRPr="005E4BEA">
              <w:rPr>
                <w:rFonts w:cs="Arial"/>
                <w:sz w:val="20"/>
                <w:szCs w:val="20"/>
              </w:rPr>
              <w:t>Izvajalec</w:t>
            </w:r>
          </w:p>
        </w:tc>
        <w:tc>
          <w:tcPr>
            <w:tcW w:w="992" w:type="dxa"/>
            <w:shd w:val="clear" w:color="auto" w:fill="auto"/>
            <w:vAlign w:val="center"/>
          </w:tcPr>
          <w:p w14:paraId="750B95AE" w14:textId="77777777" w:rsidR="00422091" w:rsidRPr="005E4BEA" w:rsidRDefault="00422091" w:rsidP="006F2C89">
            <w:pPr>
              <w:spacing w:line="240" w:lineRule="auto"/>
              <w:jc w:val="both"/>
              <w:rPr>
                <w:rFonts w:cs="Arial"/>
                <w:sz w:val="20"/>
                <w:szCs w:val="20"/>
              </w:rPr>
            </w:pPr>
            <w:r w:rsidRPr="005E4BEA">
              <w:rPr>
                <w:rFonts w:cs="Arial"/>
                <w:sz w:val="20"/>
                <w:szCs w:val="20"/>
              </w:rPr>
              <w:t>Obseg programa</w:t>
            </w:r>
          </w:p>
        </w:tc>
        <w:tc>
          <w:tcPr>
            <w:tcW w:w="1276" w:type="dxa"/>
            <w:shd w:val="clear" w:color="auto" w:fill="auto"/>
            <w:vAlign w:val="center"/>
          </w:tcPr>
          <w:p w14:paraId="587A341D" w14:textId="77777777" w:rsidR="00422091" w:rsidRPr="005E4BEA" w:rsidRDefault="00422091" w:rsidP="006F2C89">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letna raven</w:t>
            </w:r>
            <w:r w:rsidRPr="005E4BEA">
              <w:rPr>
                <w:rFonts w:cs="Arial"/>
                <w:sz w:val="20"/>
                <w:szCs w:val="20"/>
              </w:rPr>
              <w:br/>
              <w:t>(v EUR)</w:t>
            </w:r>
          </w:p>
        </w:tc>
        <w:tc>
          <w:tcPr>
            <w:tcW w:w="1418" w:type="dxa"/>
            <w:shd w:val="clear" w:color="auto" w:fill="auto"/>
            <w:vAlign w:val="center"/>
          </w:tcPr>
          <w:p w14:paraId="632E18C5" w14:textId="77777777" w:rsidR="00422091" w:rsidRPr="005E4BEA" w:rsidRDefault="00422091" w:rsidP="006F2C89">
            <w:pPr>
              <w:spacing w:line="240" w:lineRule="auto"/>
              <w:jc w:val="right"/>
              <w:rPr>
                <w:rFonts w:cs="Arial"/>
                <w:sz w:val="20"/>
                <w:szCs w:val="20"/>
              </w:rPr>
            </w:pPr>
            <w:proofErr w:type="spellStart"/>
            <w:r w:rsidRPr="005E4BEA">
              <w:rPr>
                <w:rFonts w:cs="Arial"/>
                <w:sz w:val="20"/>
                <w:szCs w:val="20"/>
              </w:rPr>
              <w:t>Dod</w:t>
            </w:r>
            <w:proofErr w:type="spellEnd"/>
            <w:r w:rsidRPr="005E4BEA">
              <w:rPr>
                <w:rFonts w:cs="Arial"/>
                <w:sz w:val="20"/>
                <w:szCs w:val="20"/>
              </w:rPr>
              <w:t>. sred.</w:t>
            </w:r>
            <w:r w:rsidRPr="005E4BEA">
              <w:rPr>
                <w:rFonts w:cs="Arial"/>
                <w:sz w:val="20"/>
                <w:szCs w:val="20"/>
              </w:rPr>
              <w:br/>
              <w:t>1.1.-31.12.2022</w:t>
            </w:r>
            <w:r w:rsidRPr="005E4BEA">
              <w:rPr>
                <w:rFonts w:cs="Arial"/>
                <w:sz w:val="20"/>
                <w:szCs w:val="20"/>
              </w:rPr>
              <w:br/>
              <w:t>(v EUR)</w:t>
            </w:r>
          </w:p>
        </w:tc>
      </w:tr>
      <w:tr w:rsidR="00422091" w:rsidRPr="005E4BEA" w14:paraId="5A913D20" w14:textId="77777777" w:rsidTr="006F2C89">
        <w:trPr>
          <w:trHeight w:val="454"/>
          <w:jc w:val="center"/>
        </w:trPr>
        <w:tc>
          <w:tcPr>
            <w:tcW w:w="4326" w:type="dxa"/>
            <w:vAlign w:val="center"/>
          </w:tcPr>
          <w:p w14:paraId="15F63AC1" w14:textId="77777777" w:rsidR="00422091" w:rsidRPr="005E4BEA" w:rsidRDefault="00422091" w:rsidP="006F2C89">
            <w:pPr>
              <w:spacing w:line="240" w:lineRule="auto"/>
              <w:rPr>
                <w:rFonts w:cs="Arial"/>
                <w:sz w:val="20"/>
                <w:szCs w:val="20"/>
              </w:rPr>
            </w:pPr>
            <w:r w:rsidRPr="005E4BEA">
              <w:rPr>
                <w:rFonts w:cs="Arial"/>
                <w:sz w:val="20"/>
                <w:szCs w:val="20"/>
              </w:rPr>
              <w:t xml:space="preserve">Specialistična </w:t>
            </w:r>
            <w:proofErr w:type="spellStart"/>
            <w:r w:rsidRPr="005E4BEA">
              <w:rPr>
                <w:rFonts w:cs="Arial"/>
                <w:sz w:val="20"/>
                <w:szCs w:val="20"/>
              </w:rPr>
              <w:t>zunajbolnišnična</w:t>
            </w:r>
            <w:proofErr w:type="spellEnd"/>
            <w:r w:rsidRPr="005E4BEA">
              <w:rPr>
                <w:rFonts w:cs="Arial"/>
                <w:sz w:val="20"/>
                <w:szCs w:val="20"/>
              </w:rPr>
              <w:t xml:space="preserve"> dejavnost </w:t>
            </w:r>
            <w:proofErr w:type="spellStart"/>
            <w:r w:rsidRPr="005E4BEA">
              <w:rPr>
                <w:rFonts w:cs="Arial"/>
                <w:sz w:val="20"/>
                <w:szCs w:val="20"/>
              </w:rPr>
              <w:t>pnevmologije</w:t>
            </w:r>
            <w:proofErr w:type="spellEnd"/>
            <w:r w:rsidRPr="005E4BEA">
              <w:rPr>
                <w:rFonts w:cs="Arial"/>
                <w:sz w:val="20"/>
                <w:szCs w:val="20"/>
              </w:rPr>
              <w:t xml:space="preserve"> – dodatni timi v javni zdravstveni mreži*</w:t>
            </w:r>
          </w:p>
          <w:p w14:paraId="2238B20A" w14:textId="77777777" w:rsidR="00422091" w:rsidRPr="005E4BEA" w:rsidRDefault="00422091" w:rsidP="006F2C89">
            <w:pPr>
              <w:spacing w:line="240" w:lineRule="auto"/>
              <w:jc w:val="both"/>
              <w:rPr>
                <w:rFonts w:cs="Arial"/>
                <w:sz w:val="20"/>
                <w:szCs w:val="20"/>
              </w:rPr>
            </w:pPr>
            <w:r w:rsidRPr="005E4BEA">
              <w:rPr>
                <w:rFonts w:cs="Arial"/>
                <w:sz w:val="20"/>
                <w:szCs w:val="20"/>
              </w:rPr>
              <w:t>Od 1. 1. 2023</w:t>
            </w:r>
          </w:p>
        </w:tc>
        <w:tc>
          <w:tcPr>
            <w:tcW w:w="851" w:type="dxa"/>
            <w:vAlign w:val="center"/>
          </w:tcPr>
          <w:p w14:paraId="7412FEC0" w14:textId="77777777" w:rsidR="00422091" w:rsidRPr="005E4BEA" w:rsidRDefault="00422091" w:rsidP="006F2C89">
            <w:pPr>
              <w:spacing w:line="240" w:lineRule="auto"/>
              <w:jc w:val="both"/>
              <w:rPr>
                <w:rFonts w:cs="Arial"/>
                <w:sz w:val="20"/>
                <w:szCs w:val="20"/>
              </w:rPr>
            </w:pPr>
          </w:p>
        </w:tc>
        <w:tc>
          <w:tcPr>
            <w:tcW w:w="992" w:type="dxa"/>
            <w:vAlign w:val="center"/>
          </w:tcPr>
          <w:p w14:paraId="17C3F2C7" w14:textId="77777777" w:rsidR="00422091" w:rsidRPr="005E4BEA" w:rsidRDefault="00422091" w:rsidP="006F2C89">
            <w:pPr>
              <w:spacing w:line="240" w:lineRule="auto"/>
              <w:jc w:val="both"/>
              <w:rPr>
                <w:rFonts w:cs="Arial"/>
                <w:sz w:val="20"/>
                <w:szCs w:val="20"/>
              </w:rPr>
            </w:pPr>
            <w:r w:rsidRPr="005E4BEA">
              <w:rPr>
                <w:rFonts w:cs="Arial"/>
                <w:sz w:val="20"/>
                <w:szCs w:val="20"/>
              </w:rPr>
              <w:t>6 timov</w:t>
            </w:r>
          </w:p>
        </w:tc>
        <w:tc>
          <w:tcPr>
            <w:tcW w:w="1276" w:type="dxa"/>
            <w:vAlign w:val="center"/>
          </w:tcPr>
          <w:p w14:paraId="53458CD7" w14:textId="77777777" w:rsidR="00422091" w:rsidRPr="005E4BEA" w:rsidRDefault="00422091" w:rsidP="006F2C89">
            <w:pPr>
              <w:spacing w:line="240" w:lineRule="auto"/>
              <w:jc w:val="right"/>
              <w:rPr>
                <w:rFonts w:cs="Arial"/>
                <w:sz w:val="20"/>
                <w:szCs w:val="20"/>
              </w:rPr>
            </w:pPr>
            <w:r w:rsidRPr="005E4BEA">
              <w:rPr>
                <w:rFonts w:cs="Arial"/>
                <w:sz w:val="20"/>
                <w:szCs w:val="20"/>
              </w:rPr>
              <w:t>1.353.985</w:t>
            </w:r>
          </w:p>
        </w:tc>
        <w:tc>
          <w:tcPr>
            <w:tcW w:w="1418" w:type="dxa"/>
            <w:vAlign w:val="center"/>
          </w:tcPr>
          <w:p w14:paraId="2E38F810" w14:textId="77777777" w:rsidR="00422091" w:rsidRPr="005E4BEA" w:rsidRDefault="00422091" w:rsidP="006F2C89">
            <w:pPr>
              <w:spacing w:line="240" w:lineRule="auto"/>
              <w:jc w:val="right"/>
              <w:rPr>
                <w:rFonts w:cs="Arial"/>
                <w:sz w:val="20"/>
                <w:szCs w:val="20"/>
              </w:rPr>
            </w:pPr>
          </w:p>
        </w:tc>
      </w:tr>
    </w:tbl>
    <w:p w14:paraId="10E2E120" w14:textId="77777777" w:rsidR="00422091" w:rsidRPr="005E4BEA" w:rsidRDefault="00422091" w:rsidP="00422091">
      <w:pPr>
        <w:spacing w:line="120" w:lineRule="auto"/>
        <w:ind w:left="284"/>
        <w:jc w:val="both"/>
        <w:rPr>
          <w:rFonts w:cs="Arial"/>
          <w:szCs w:val="20"/>
        </w:rPr>
      </w:pPr>
    </w:p>
    <w:p w14:paraId="6AE33CB3" w14:textId="77777777" w:rsidR="00422091" w:rsidRPr="005E4BEA" w:rsidRDefault="00422091" w:rsidP="00422091">
      <w:pPr>
        <w:spacing w:line="240" w:lineRule="auto"/>
        <w:ind w:left="284"/>
        <w:jc w:val="both"/>
        <w:rPr>
          <w:rFonts w:cs="Arial"/>
          <w:szCs w:val="20"/>
        </w:rPr>
      </w:pPr>
      <w:r w:rsidRPr="005E4BEA">
        <w:rPr>
          <w:rFonts w:cs="Arial"/>
          <w:szCs w:val="20"/>
        </w:rPr>
        <w:t>*Širitev mreže na predlog Zavoda določi Ministrstvo za zdravje.</w:t>
      </w:r>
    </w:p>
    <w:p w14:paraId="2A9C8216" w14:textId="77777777" w:rsidR="00422091" w:rsidRPr="005E4BEA" w:rsidRDefault="00422091" w:rsidP="00422091">
      <w:pPr>
        <w:spacing w:line="240" w:lineRule="auto"/>
        <w:jc w:val="both"/>
        <w:rPr>
          <w:rFonts w:cs="Arial"/>
          <w:b/>
          <w:bCs/>
          <w:szCs w:val="20"/>
        </w:rPr>
      </w:pPr>
    </w:p>
    <w:p w14:paraId="51373E90" w14:textId="77777777" w:rsidR="00422091" w:rsidRPr="005E4BEA" w:rsidRDefault="00422091" w:rsidP="00422091">
      <w:pPr>
        <w:spacing w:line="240" w:lineRule="auto"/>
        <w:jc w:val="both"/>
        <w:rPr>
          <w:rFonts w:cs="Arial"/>
          <w:b/>
          <w:bCs/>
          <w:szCs w:val="20"/>
        </w:rPr>
      </w:pPr>
    </w:p>
    <w:p w14:paraId="4F67F979" w14:textId="77777777" w:rsidR="00422091" w:rsidRPr="005E4BEA" w:rsidRDefault="00422091" w:rsidP="00422091">
      <w:pPr>
        <w:spacing w:line="240" w:lineRule="auto"/>
        <w:jc w:val="both"/>
        <w:rPr>
          <w:rFonts w:cs="Arial"/>
          <w:b/>
          <w:bCs/>
          <w:szCs w:val="20"/>
        </w:rPr>
      </w:pPr>
      <w:r w:rsidRPr="005E4BEA">
        <w:rPr>
          <w:rFonts w:cs="Arial"/>
          <w:b/>
          <w:bCs/>
          <w:szCs w:val="20"/>
        </w:rPr>
        <w:t xml:space="preserve">V Prilogi I se brišejo kalkulacije 229 239 Z0030 </w:t>
      </w:r>
      <w:proofErr w:type="spellStart"/>
      <w:r w:rsidRPr="005E4BEA">
        <w:rPr>
          <w:rFonts w:cs="Arial"/>
          <w:b/>
          <w:bCs/>
          <w:szCs w:val="20"/>
        </w:rPr>
        <w:t>Spec</w:t>
      </w:r>
      <w:proofErr w:type="spellEnd"/>
      <w:r w:rsidRPr="005E4BEA">
        <w:rPr>
          <w:rFonts w:cs="Arial"/>
          <w:b/>
          <w:bCs/>
          <w:szCs w:val="20"/>
        </w:rPr>
        <w:t xml:space="preserve"> Pulmologija brez RTG, Pulmologija z RTG in Pulmologija z RTG za bolnišnice.</w:t>
      </w:r>
    </w:p>
    <w:p w14:paraId="62DA64A8" w14:textId="77777777" w:rsidR="00422091" w:rsidRPr="005E4BEA" w:rsidRDefault="00422091" w:rsidP="00422091">
      <w:pPr>
        <w:spacing w:line="240" w:lineRule="auto"/>
        <w:jc w:val="both"/>
        <w:rPr>
          <w:rFonts w:cs="Arial"/>
          <w:b/>
          <w:bCs/>
          <w:szCs w:val="20"/>
        </w:rPr>
      </w:pPr>
    </w:p>
    <w:p w14:paraId="6F5468BB" w14:textId="77777777" w:rsidR="00422091" w:rsidRPr="005E4BEA" w:rsidRDefault="00422091" w:rsidP="00422091">
      <w:pPr>
        <w:spacing w:line="240" w:lineRule="auto"/>
        <w:jc w:val="both"/>
        <w:rPr>
          <w:rFonts w:cs="Arial"/>
          <w:b/>
          <w:bCs/>
          <w:szCs w:val="20"/>
        </w:rPr>
      </w:pPr>
    </w:p>
    <w:p w14:paraId="1442B6C3" w14:textId="77777777" w:rsidR="00422091" w:rsidRPr="005E4BEA" w:rsidRDefault="00422091" w:rsidP="00422091">
      <w:pPr>
        <w:spacing w:line="240" w:lineRule="auto"/>
        <w:jc w:val="both"/>
        <w:rPr>
          <w:rFonts w:cs="Arial"/>
          <w:szCs w:val="20"/>
        </w:rPr>
      </w:pPr>
      <w:r w:rsidRPr="005E4BEA">
        <w:rPr>
          <w:rFonts w:cs="Arial"/>
          <w:b/>
          <w:bCs/>
          <w:szCs w:val="20"/>
        </w:rPr>
        <w:t xml:space="preserve">V Prilogi I/a </w:t>
      </w:r>
      <w:r w:rsidRPr="005E4BEA">
        <w:rPr>
          <w:rFonts w:cs="Arial"/>
          <w:szCs w:val="20"/>
        </w:rPr>
        <w:t>(Kalkulacije za diagnostične, terapevtske in rehabilitacijske postopke v bolnišnicah – funkcionalna diagnostika)</w:t>
      </w:r>
      <w:r w:rsidRPr="005E4BEA">
        <w:rPr>
          <w:rFonts w:cs="Arial"/>
          <w:b/>
          <w:bCs/>
          <w:szCs w:val="20"/>
        </w:rPr>
        <w:t xml:space="preserve"> se v kalkulaciji </w:t>
      </w:r>
      <w:proofErr w:type="spellStart"/>
      <w:r w:rsidRPr="005E4BEA">
        <w:rPr>
          <w:rFonts w:cs="Arial"/>
          <w:b/>
          <w:bCs/>
          <w:szCs w:val="20"/>
        </w:rPr>
        <w:t>Cikloergometrija</w:t>
      </w:r>
      <w:proofErr w:type="spellEnd"/>
      <w:r w:rsidRPr="005E4BEA">
        <w:rPr>
          <w:rFonts w:cs="Arial"/>
          <w:b/>
          <w:bCs/>
          <w:szCs w:val="20"/>
        </w:rPr>
        <w:t>, spirometrija v opombi briše »in/ali 229 239 pulmologija«.</w:t>
      </w:r>
    </w:p>
    <w:p w14:paraId="5E6A0ECF" w14:textId="77777777" w:rsidR="00422091" w:rsidRPr="005E4BEA" w:rsidRDefault="00422091" w:rsidP="00422091">
      <w:pPr>
        <w:spacing w:line="240" w:lineRule="exact"/>
        <w:jc w:val="both"/>
        <w:rPr>
          <w:rFonts w:cs="Arial"/>
          <w:szCs w:val="20"/>
        </w:rPr>
      </w:pPr>
    </w:p>
    <w:p w14:paraId="25C70F57" w14:textId="77777777" w:rsidR="00422091" w:rsidRPr="005E4BEA" w:rsidRDefault="00422091" w:rsidP="00422091">
      <w:pPr>
        <w:spacing w:line="240" w:lineRule="exact"/>
        <w:jc w:val="both"/>
        <w:rPr>
          <w:rFonts w:cs="Arial"/>
          <w:szCs w:val="20"/>
        </w:rPr>
      </w:pPr>
    </w:p>
    <w:p w14:paraId="60A444E9" w14:textId="77777777" w:rsidR="00422091" w:rsidRPr="005E4BEA" w:rsidRDefault="00422091" w:rsidP="00422091">
      <w:pPr>
        <w:spacing w:line="240" w:lineRule="auto"/>
        <w:jc w:val="both"/>
        <w:rPr>
          <w:rFonts w:cs="Arial"/>
          <w:b/>
          <w:bCs/>
          <w:szCs w:val="20"/>
        </w:rPr>
      </w:pPr>
      <w:r w:rsidRPr="005E4BEA">
        <w:rPr>
          <w:rFonts w:cs="Arial"/>
          <w:b/>
          <w:bCs/>
          <w:szCs w:val="20"/>
        </w:rPr>
        <w:t>V Prilogi I/b se doda besedilo, ki se glasi:</w:t>
      </w:r>
    </w:p>
    <w:p w14:paraId="18F4835A" w14:textId="77777777" w:rsidR="00422091" w:rsidRPr="005E4BEA" w:rsidRDefault="00422091" w:rsidP="00422091">
      <w:pPr>
        <w:spacing w:line="120" w:lineRule="auto"/>
        <w:jc w:val="both"/>
        <w:rPr>
          <w:rFonts w:cs="Arial"/>
          <w:szCs w:val="20"/>
        </w:rPr>
      </w:pPr>
    </w:p>
    <w:p w14:paraId="775FCBF7" w14:textId="77777777" w:rsidR="00422091" w:rsidRPr="005E4BEA" w:rsidRDefault="00422091" w:rsidP="00422091">
      <w:pPr>
        <w:spacing w:line="240" w:lineRule="auto"/>
        <w:jc w:val="both"/>
        <w:rPr>
          <w:rFonts w:cs="Arial"/>
          <w:szCs w:val="20"/>
        </w:rPr>
      </w:pPr>
      <w:proofErr w:type="spellStart"/>
      <w:r w:rsidRPr="005E4BEA">
        <w:rPr>
          <w:rFonts w:cs="Arial"/>
          <w:szCs w:val="20"/>
        </w:rPr>
        <w:t>Pnevmološke</w:t>
      </w:r>
      <w:proofErr w:type="spellEnd"/>
      <w:r w:rsidRPr="005E4BEA">
        <w:rPr>
          <w:rFonts w:cs="Arial"/>
          <w:szCs w:val="20"/>
        </w:rPr>
        <w:t xml:space="preserve"> storitve v spec. </w:t>
      </w:r>
      <w:proofErr w:type="spellStart"/>
      <w:r w:rsidRPr="005E4BEA">
        <w:rPr>
          <w:rFonts w:cs="Arial"/>
          <w:szCs w:val="20"/>
        </w:rPr>
        <w:t>zunajb</w:t>
      </w:r>
      <w:proofErr w:type="spellEnd"/>
      <w:r w:rsidRPr="005E4BEA">
        <w:rPr>
          <w:rFonts w:cs="Arial"/>
          <w:szCs w:val="20"/>
        </w:rPr>
        <w:t xml:space="preserve">. dejavnosti (7.600 storitev, od tega 1.200 celotnih pregledov ali </w:t>
      </w:r>
      <w:proofErr w:type="spellStart"/>
      <w:r w:rsidRPr="005E4BEA">
        <w:rPr>
          <w:rFonts w:cs="Arial"/>
          <w:szCs w:val="20"/>
        </w:rPr>
        <w:t>subspecialističnih</w:t>
      </w:r>
      <w:proofErr w:type="spellEnd"/>
      <w:r w:rsidRPr="005E4BEA">
        <w:rPr>
          <w:rFonts w:cs="Arial"/>
          <w:szCs w:val="20"/>
        </w:rPr>
        <w:t xml:space="preserve"> pregledov = 1 tim; 225.664,18 EUR; plan na polletni ravni znaša 50 % letnega plana).</w:t>
      </w:r>
    </w:p>
    <w:p w14:paraId="3120AC61" w14:textId="77777777" w:rsidR="00422091" w:rsidRPr="005E4BEA" w:rsidRDefault="00422091" w:rsidP="00422091">
      <w:pPr>
        <w:spacing w:line="120" w:lineRule="auto"/>
        <w:jc w:val="both"/>
        <w:rPr>
          <w:rFonts w:cs="Arial"/>
          <w:szCs w:val="20"/>
        </w:rPr>
      </w:pPr>
    </w:p>
    <w:tbl>
      <w:tblPr>
        <w:tblW w:w="807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CellMar>
          <w:left w:w="70" w:type="dxa"/>
          <w:right w:w="70" w:type="dxa"/>
        </w:tblCellMar>
        <w:tblLook w:val="04A0" w:firstRow="1" w:lastRow="0" w:firstColumn="1" w:lastColumn="0" w:noHBand="0" w:noVBand="1"/>
      </w:tblPr>
      <w:tblGrid>
        <w:gridCol w:w="704"/>
        <w:gridCol w:w="851"/>
        <w:gridCol w:w="850"/>
        <w:gridCol w:w="4394"/>
        <w:gridCol w:w="1276"/>
      </w:tblGrid>
      <w:tr w:rsidR="00422091" w:rsidRPr="005E4BEA" w14:paraId="29F9D8E9" w14:textId="77777777" w:rsidTr="006F2C89">
        <w:trPr>
          <w:trHeight w:val="290"/>
          <w:tblHeader/>
        </w:trPr>
        <w:tc>
          <w:tcPr>
            <w:tcW w:w="704" w:type="dxa"/>
            <w:shd w:val="clear" w:color="auto" w:fill="auto"/>
            <w:noWrap/>
            <w:vAlign w:val="center"/>
            <w:hideMark/>
          </w:tcPr>
          <w:p w14:paraId="4D81E393" w14:textId="77777777" w:rsidR="00422091" w:rsidRPr="005E4BEA" w:rsidRDefault="00422091" w:rsidP="006F2C89">
            <w:pPr>
              <w:spacing w:line="240" w:lineRule="auto"/>
              <w:jc w:val="both"/>
              <w:rPr>
                <w:rFonts w:cs="Arial"/>
                <w:b/>
                <w:bCs/>
                <w:szCs w:val="20"/>
              </w:rPr>
            </w:pPr>
            <w:r w:rsidRPr="005E4BEA">
              <w:rPr>
                <w:rFonts w:cs="Arial"/>
                <w:b/>
                <w:bCs/>
                <w:szCs w:val="20"/>
              </w:rPr>
              <w:t>Vrsta</w:t>
            </w:r>
          </w:p>
        </w:tc>
        <w:tc>
          <w:tcPr>
            <w:tcW w:w="851" w:type="dxa"/>
            <w:vAlign w:val="center"/>
          </w:tcPr>
          <w:p w14:paraId="0B044C2E" w14:textId="77777777" w:rsidR="00422091" w:rsidRPr="005E4BEA" w:rsidRDefault="00422091" w:rsidP="006F2C89">
            <w:pPr>
              <w:spacing w:line="240" w:lineRule="auto"/>
              <w:jc w:val="both"/>
              <w:rPr>
                <w:rFonts w:cs="Arial"/>
                <w:b/>
                <w:bCs/>
                <w:szCs w:val="20"/>
              </w:rPr>
            </w:pPr>
            <w:r w:rsidRPr="005E4BEA">
              <w:rPr>
                <w:rFonts w:cs="Arial"/>
                <w:b/>
                <w:bCs/>
                <w:szCs w:val="20"/>
              </w:rPr>
              <w:t>Podvrsta</w:t>
            </w:r>
          </w:p>
        </w:tc>
        <w:tc>
          <w:tcPr>
            <w:tcW w:w="850" w:type="dxa"/>
            <w:tcBorders>
              <w:bottom w:val="single" w:sz="4" w:space="0" w:color="8496B0" w:themeColor="text2" w:themeTint="99"/>
            </w:tcBorders>
            <w:shd w:val="clear" w:color="auto" w:fill="auto"/>
            <w:noWrap/>
            <w:vAlign w:val="center"/>
            <w:hideMark/>
          </w:tcPr>
          <w:p w14:paraId="3EEB4904" w14:textId="77777777" w:rsidR="00422091" w:rsidRPr="005E4BEA" w:rsidRDefault="00422091" w:rsidP="006F2C89">
            <w:pPr>
              <w:spacing w:line="240" w:lineRule="auto"/>
              <w:jc w:val="both"/>
              <w:rPr>
                <w:rFonts w:cs="Arial"/>
                <w:b/>
                <w:bCs/>
                <w:szCs w:val="20"/>
              </w:rPr>
            </w:pPr>
            <w:r w:rsidRPr="005E4BEA">
              <w:rPr>
                <w:rFonts w:cs="Arial"/>
                <w:b/>
                <w:bCs/>
                <w:szCs w:val="20"/>
              </w:rPr>
              <w:t>Storitev</w:t>
            </w:r>
          </w:p>
        </w:tc>
        <w:tc>
          <w:tcPr>
            <w:tcW w:w="4394" w:type="dxa"/>
            <w:tcBorders>
              <w:bottom w:val="single" w:sz="4" w:space="0" w:color="8496B0" w:themeColor="text2" w:themeTint="99"/>
            </w:tcBorders>
            <w:shd w:val="clear" w:color="auto" w:fill="auto"/>
            <w:noWrap/>
            <w:vAlign w:val="center"/>
            <w:hideMark/>
          </w:tcPr>
          <w:p w14:paraId="635D0328" w14:textId="77777777" w:rsidR="00422091" w:rsidRPr="005E4BEA" w:rsidRDefault="00422091" w:rsidP="006F2C89">
            <w:pPr>
              <w:spacing w:line="240" w:lineRule="auto"/>
              <w:jc w:val="both"/>
              <w:rPr>
                <w:rFonts w:cs="Arial"/>
                <w:b/>
                <w:bCs/>
                <w:szCs w:val="20"/>
              </w:rPr>
            </w:pPr>
            <w:r w:rsidRPr="005E4BEA">
              <w:rPr>
                <w:rFonts w:cs="Arial"/>
                <w:b/>
                <w:bCs/>
                <w:szCs w:val="20"/>
              </w:rPr>
              <w:t>Kratek opis</w:t>
            </w:r>
          </w:p>
        </w:tc>
        <w:tc>
          <w:tcPr>
            <w:tcW w:w="1276" w:type="dxa"/>
            <w:tcBorders>
              <w:bottom w:val="single" w:sz="4" w:space="0" w:color="8496B0" w:themeColor="text2" w:themeTint="99"/>
            </w:tcBorders>
            <w:shd w:val="clear" w:color="auto" w:fill="auto"/>
            <w:noWrap/>
            <w:vAlign w:val="center"/>
            <w:hideMark/>
          </w:tcPr>
          <w:p w14:paraId="024EF42B" w14:textId="77777777" w:rsidR="00422091" w:rsidRPr="005E4BEA" w:rsidRDefault="00422091" w:rsidP="006F2C89">
            <w:pPr>
              <w:spacing w:line="240" w:lineRule="auto"/>
              <w:jc w:val="right"/>
              <w:rPr>
                <w:rFonts w:cs="Arial"/>
                <w:b/>
                <w:bCs/>
                <w:szCs w:val="20"/>
              </w:rPr>
            </w:pPr>
            <w:r w:rsidRPr="005E4BEA">
              <w:rPr>
                <w:rFonts w:cs="Arial"/>
                <w:b/>
                <w:bCs/>
                <w:szCs w:val="20"/>
              </w:rPr>
              <w:t>Cena v EUR</w:t>
            </w:r>
          </w:p>
        </w:tc>
      </w:tr>
      <w:tr w:rsidR="00422091" w:rsidRPr="005E4BEA" w14:paraId="06E7B282" w14:textId="77777777" w:rsidTr="006F2C89">
        <w:trPr>
          <w:trHeight w:val="20"/>
        </w:trPr>
        <w:tc>
          <w:tcPr>
            <w:tcW w:w="704" w:type="dxa"/>
            <w:shd w:val="clear" w:color="auto" w:fill="auto"/>
            <w:noWrap/>
            <w:vAlign w:val="center"/>
          </w:tcPr>
          <w:p w14:paraId="71031A77"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vAlign w:val="center"/>
          </w:tcPr>
          <w:p w14:paraId="1F1B4470"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41D443E" w14:textId="77777777" w:rsidR="00422091" w:rsidRPr="005E4BEA" w:rsidRDefault="00422091" w:rsidP="006F2C89">
            <w:pPr>
              <w:spacing w:line="240" w:lineRule="auto"/>
              <w:jc w:val="both"/>
              <w:rPr>
                <w:rFonts w:cs="Arial"/>
                <w:szCs w:val="20"/>
              </w:rPr>
            </w:pPr>
            <w:r w:rsidRPr="005E4BEA">
              <w:rPr>
                <w:rFonts w:cs="Arial"/>
                <w:szCs w:val="20"/>
              </w:rPr>
              <w:t>PUL001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1CFEA46" w14:textId="77777777" w:rsidR="00422091" w:rsidRPr="005E4BEA" w:rsidRDefault="00422091" w:rsidP="006F2C89">
            <w:pPr>
              <w:spacing w:line="240" w:lineRule="auto"/>
              <w:jc w:val="both"/>
              <w:rPr>
                <w:rFonts w:cs="Arial"/>
                <w:szCs w:val="20"/>
              </w:rPr>
            </w:pPr>
            <w:r w:rsidRPr="005E4BEA">
              <w:rPr>
                <w:rFonts w:cs="Arial"/>
                <w:szCs w:val="20"/>
              </w:rPr>
              <w:t>Celotni pregled</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05B3AB3" w14:textId="77777777" w:rsidR="00422091" w:rsidRPr="005E4BEA" w:rsidRDefault="00422091" w:rsidP="006F2C89">
            <w:pPr>
              <w:spacing w:line="240" w:lineRule="auto"/>
              <w:jc w:val="right"/>
              <w:rPr>
                <w:rFonts w:cs="Arial"/>
                <w:szCs w:val="20"/>
              </w:rPr>
            </w:pPr>
            <w:r w:rsidRPr="005E4BEA">
              <w:rPr>
                <w:rFonts w:cs="Arial"/>
                <w:szCs w:val="20"/>
              </w:rPr>
              <w:t>42,06</w:t>
            </w:r>
          </w:p>
        </w:tc>
      </w:tr>
      <w:tr w:rsidR="00422091" w:rsidRPr="005E4BEA" w14:paraId="1127BDA9" w14:textId="77777777" w:rsidTr="006F2C89">
        <w:trPr>
          <w:trHeight w:val="20"/>
        </w:trPr>
        <w:tc>
          <w:tcPr>
            <w:tcW w:w="704" w:type="dxa"/>
            <w:shd w:val="clear" w:color="auto" w:fill="auto"/>
            <w:noWrap/>
          </w:tcPr>
          <w:p w14:paraId="01B7D1AA"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03F30F39"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E9BB47C" w14:textId="77777777" w:rsidR="00422091" w:rsidRPr="005E4BEA" w:rsidRDefault="00422091" w:rsidP="006F2C89">
            <w:pPr>
              <w:spacing w:line="240" w:lineRule="auto"/>
              <w:jc w:val="both"/>
              <w:rPr>
                <w:rFonts w:cs="Arial"/>
                <w:szCs w:val="20"/>
              </w:rPr>
            </w:pPr>
            <w:r w:rsidRPr="005E4BEA">
              <w:rPr>
                <w:rFonts w:cs="Arial"/>
                <w:szCs w:val="20"/>
              </w:rPr>
              <w:t>PUL002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667BB0C" w14:textId="77777777" w:rsidR="00422091" w:rsidRPr="005E4BEA" w:rsidRDefault="00422091" w:rsidP="006F2C89">
            <w:pPr>
              <w:spacing w:line="240" w:lineRule="auto"/>
              <w:jc w:val="both"/>
              <w:rPr>
                <w:rFonts w:cs="Arial"/>
                <w:szCs w:val="20"/>
              </w:rPr>
            </w:pPr>
            <w:r w:rsidRPr="005E4BEA">
              <w:rPr>
                <w:rFonts w:cs="Arial"/>
                <w:szCs w:val="20"/>
              </w:rPr>
              <w:t>Delni pregled</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47FAD49" w14:textId="77777777" w:rsidR="00422091" w:rsidRPr="005E4BEA" w:rsidRDefault="00422091" w:rsidP="006F2C89">
            <w:pPr>
              <w:spacing w:line="240" w:lineRule="auto"/>
              <w:jc w:val="right"/>
              <w:rPr>
                <w:rFonts w:cs="Arial"/>
                <w:szCs w:val="20"/>
              </w:rPr>
            </w:pPr>
            <w:r w:rsidRPr="005E4BEA">
              <w:rPr>
                <w:rFonts w:cs="Arial"/>
                <w:szCs w:val="20"/>
              </w:rPr>
              <w:t>25,35</w:t>
            </w:r>
          </w:p>
        </w:tc>
      </w:tr>
      <w:tr w:rsidR="00422091" w:rsidRPr="005E4BEA" w14:paraId="6BF29C55" w14:textId="77777777" w:rsidTr="006F2C89">
        <w:trPr>
          <w:trHeight w:val="20"/>
        </w:trPr>
        <w:tc>
          <w:tcPr>
            <w:tcW w:w="704" w:type="dxa"/>
            <w:shd w:val="clear" w:color="auto" w:fill="auto"/>
            <w:noWrap/>
          </w:tcPr>
          <w:p w14:paraId="3CA3C4B3"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1BDEBBA"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E094392" w14:textId="77777777" w:rsidR="00422091" w:rsidRPr="005E4BEA" w:rsidRDefault="00422091" w:rsidP="006F2C89">
            <w:pPr>
              <w:spacing w:line="240" w:lineRule="auto"/>
              <w:jc w:val="both"/>
              <w:rPr>
                <w:rFonts w:cs="Arial"/>
                <w:szCs w:val="20"/>
              </w:rPr>
            </w:pPr>
            <w:r w:rsidRPr="005E4BEA">
              <w:rPr>
                <w:rFonts w:cs="Arial"/>
                <w:szCs w:val="20"/>
              </w:rPr>
              <w:t>PUL003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471FB66" w14:textId="77777777" w:rsidR="00422091" w:rsidRPr="005E4BEA" w:rsidRDefault="00422091" w:rsidP="006F2C89">
            <w:pPr>
              <w:spacing w:line="240" w:lineRule="auto"/>
              <w:jc w:val="both"/>
              <w:rPr>
                <w:rFonts w:cs="Arial"/>
                <w:szCs w:val="20"/>
              </w:rPr>
            </w:pPr>
            <w:r w:rsidRPr="005E4BEA">
              <w:rPr>
                <w:rFonts w:cs="Arial"/>
                <w:szCs w:val="20"/>
              </w:rPr>
              <w:t>Kratki pregled in triaža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3C65D36" w14:textId="77777777" w:rsidR="00422091" w:rsidRPr="005E4BEA" w:rsidRDefault="00422091" w:rsidP="006F2C89">
            <w:pPr>
              <w:spacing w:line="240" w:lineRule="auto"/>
              <w:jc w:val="right"/>
              <w:rPr>
                <w:rFonts w:cs="Arial"/>
                <w:szCs w:val="20"/>
              </w:rPr>
            </w:pPr>
            <w:r w:rsidRPr="005E4BEA">
              <w:rPr>
                <w:rFonts w:cs="Arial"/>
                <w:szCs w:val="20"/>
              </w:rPr>
              <w:t>9,92</w:t>
            </w:r>
          </w:p>
        </w:tc>
      </w:tr>
      <w:tr w:rsidR="00422091" w:rsidRPr="005E4BEA" w14:paraId="42398F95" w14:textId="77777777" w:rsidTr="006F2C89">
        <w:trPr>
          <w:trHeight w:val="20"/>
        </w:trPr>
        <w:tc>
          <w:tcPr>
            <w:tcW w:w="704" w:type="dxa"/>
            <w:shd w:val="clear" w:color="auto" w:fill="auto"/>
            <w:noWrap/>
          </w:tcPr>
          <w:p w14:paraId="5564602A"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06CA0BB2"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02F5660" w14:textId="77777777" w:rsidR="00422091" w:rsidRPr="005E4BEA" w:rsidRDefault="00422091" w:rsidP="006F2C89">
            <w:pPr>
              <w:spacing w:line="240" w:lineRule="auto"/>
              <w:jc w:val="both"/>
              <w:rPr>
                <w:rFonts w:cs="Arial"/>
                <w:szCs w:val="20"/>
              </w:rPr>
            </w:pPr>
            <w:r w:rsidRPr="005E4BEA">
              <w:rPr>
                <w:rFonts w:cs="Arial"/>
                <w:szCs w:val="20"/>
              </w:rPr>
              <w:t>PUL004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31168E3" w14:textId="77777777" w:rsidR="00422091" w:rsidRPr="005E4BEA" w:rsidRDefault="00422091" w:rsidP="006F2C89">
            <w:pPr>
              <w:spacing w:line="240" w:lineRule="auto"/>
              <w:jc w:val="both"/>
              <w:rPr>
                <w:rFonts w:cs="Arial"/>
                <w:szCs w:val="20"/>
              </w:rPr>
            </w:pPr>
            <w:proofErr w:type="spellStart"/>
            <w:r w:rsidRPr="005E4BEA">
              <w:rPr>
                <w:rFonts w:cs="Arial"/>
                <w:szCs w:val="20"/>
              </w:rPr>
              <w:t>Subspecialistični</w:t>
            </w:r>
            <w:proofErr w:type="spellEnd"/>
            <w:r w:rsidRPr="005E4BEA">
              <w:rPr>
                <w:rFonts w:cs="Arial"/>
                <w:szCs w:val="20"/>
              </w:rPr>
              <w:t xml:space="preserve"> pregled</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DF16EEE" w14:textId="77777777" w:rsidR="00422091" w:rsidRPr="005E4BEA" w:rsidRDefault="00422091" w:rsidP="006F2C89">
            <w:pPr>
              <w:spacing w:line="240" w:lineRule="auto"/>
              <w:jc w:val="right"/>
              <w:rPr>
                <w:rFonts w:cs="Arial"/>
                <w:szCs w:val="20"/>
              </w:rPr>
            </w:pPr>
            <w:r w:rsidRPr="005E4BEA">
              <w:rPr>
                <w:rFonts w:cs="Arial"/>
                <w:szCs w:val="20"/>
              </w:rPr>
              <w:t>52,51</w:t>
            </w:r>
          </w:p>
        </w:tc>
      </w:tr>
      <w:tr w:rsidR="00422091" w:rsidRPr="005E4BEA" w14:paraId="1A76F1E9" w14:textId="77777777" w:rsidTr="006F2C89">
        <w:trPr>
          <w:trHeight w:val="20"/>
        </w:trPr>
        <w:tc>
          <w:tcPr>
            <w:tcW w:w="704" w:type="dxa"/>
            <w:shd w:val="clear" w:color="auto" w:fill="auto"/>
            <w:noWrap/>
          </w:tcPr>
          <w:p w14:paraId="35461FEB"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5E435D93"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969BD1F" w14:textId="77777777" w:rsidR="00422091" w:rsidRPr="005E4BEA" w:rsidRDefault="00422091" w:rsidP="006F2C89">
            <w:pPr>
              <w:spacing w:line="240" w:lineRule="auto"/>
              <w:jc w:val="both"/>
              <w:rPr>
                <w:rFonts w:cs="Arial"/>
                <w:szCs w:val="20"/>
              </w:rPr>
            </w:pPr>
            <w:r w:rsidRPr="005E4BEA">
              <w:rPr>
                <w:rFonts w:cs="Arial"/>
                <w:szCs w:val="20"/>
              </w:rPr>
              <w:t>PUL005</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8893D9B" w14:textId="77777777" w:rsidR="00422091" w:rsidRPr="005E4BEA" w:rsidRDefault="00422091" w:rsidP="006F2C89">
            <w:pPr>
              <w:spacing w:line="240" w:lineRule="auto"/>
              <w:jc w:val="both"/>
              <w:rPr>
                <w:rFonts w:cs="Arial"/>
                <w:szCs w:val="20"/>
              </w:rPr>
            </w:pPr>
            <w:r w:rsidRPr="005E4BEA">
              <w:rPr>
                <w:rFonts w:cs="Arial"/>
                <w:szCs w:val="20"/>
              </w:rPr>
              <w:t>Obravnava bolnika - DMS</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40D3A00" w14:textId="77777777" w:rsidR="00422091" w:rsidRPr="005E4BEA" w:rsidRDefault="00422091" w:rsidP="006F2C89">
            <w:pPr>
              <w:spacing w:line="240" w:lineRule="auto"/>
              <w:jc w:val="right"/>
              <w:rPr>
                <w:rFonts w:cs="Arial"/>
                <w:szCs w:val="20"/>
              </w:rPr>
            </w:pPr>
            <w:r w:rsidRPr="005E4BEA">
              <w:rPr>
                <w:rFonts w:cs="Arial"/>
                <w:szCs w:val="20"/>
              </w:rPr>
              <w:t>18,81</w:t>
            </w:r>
          </w:p>
        </w:tc>
      </w:tr>
      <w:tr w:rsidR="00422091" w:rsidRPr="005E4BEA" w14:paraId="1B98F6A5" w14:textId="77777777" w:rsidTr="006F2C89">
        <w:trPr>
          <w:trHeight w:val="20"/>
        </w:trPr>
        <w:tc>
          <w:tcPr>
            <w:tcW w:w="704" w:type="dxa"/>
            <w:shd w:val="clear" w:color="auto" w:fill="auto"/>
            <w:noWrap/>
          </w:tcPr>
          <w:p w14:paraId="602B3E4D"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601F4D3"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441A2F39" w14:textId="77777777" w:rsidR="00422091" w:rsidRPr="005E4BEA" w:rsidRDefault="00422091" w:rsidP="006F2C89">
            <w:pPr>
              <w:spacing w:line="240" w:lineRule="auto"/>
              <w:jc w:val="both"/>
              <w:rPr>
                <w:rFonts w:cs="Arial"/>
                <w:szCs w:val="20"/>
              </w:rPr>
            </w:pPr>
            <w:r w:rsidRPr="005E4BEA">
              <w:rPr>
                <w:rFonts w:cs="Arial"/>
                <w:szCs w:val="20"/>
              </w:rPr>
              <w:t>PUL006</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B927F30" w14:textId="77777777" w:rsidR="00422091" w:rsidRPr="005E4BEA" w:rsidRDefault="00422091" w:rsidP="006F2C89">
            <w:pPr>
              <w:spacing w:line="240" w:lineRule="auto"/>
              <w:jc w:val="both"/>
              <w:rPr>
                <w:rFonts w:cs="Arial"/>
                <w:szCs w:val="20"/>
              </w:rPr>
            </w:pPr>
            <w:r w:rsidRPr="005E4BEA">
              <w:rPr>
                <w:rFonts w:cs="Arial"/>
                <w:szCs w:val="20"/>
              </w:rPr>
              <w:t>Posvet na daljavo - krajši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E263A56" w14:textId="77777777" w:rsidR="00422091" w:rsidRPr="005E4BEA" w:rsidRDefault="00422091" w:rsidP="006F2C89">
            <w:pPr>
              <w:spacing w:line="240" w:lineRule="auto"/>
              <w:jc w:val="right"/>
              <w:rPr>
                <w:rFonts w:cs="Arial"/>
                <w:szCs w:val="20"/>
              </w:rPr>
            </w:pPr>
            <w:r w:rsidRPr="005E4BEA">
              <w:rPr>
                <w:rFonts w:cs="Arial"/>
                <w:szCs w:val="20"/>
              </w:rPr>
              <w:t>7,18</w:t>
            </w:r>
          </w:p>
        </w:tc>
      </w:tr>
      <w:tr w:rsidR="00422091" w:rsidRPr="005E4BEA" w14:paraId="7B1BE5C1" w14:textId="77777777" w:rsidTr="006F2C89">
        <w:trPr>
          <w:trHeight w:val="20"/>
        </w:trPr>
        <w:tc>
          <w:tcPr>
            <w:tcW w:w="704" w:type="dxa"/>
            <w:shd w:val="clear" w:color="auto" w:fill="auto"/>
            <w:noWrap/>
          </w:tcPr>
          <w:p w14:paraId="563AE617"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2C99EB81"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7EC83F7" w14:textId="77777777" w:rsidR="00422091" w:rsidRPr="005E4BEA" w:rsidRDefault="00422091" w:rsidP="006F2C89">
            <w:pPr>
              <w:spacing w:line="240" w:lineRule="auto"/>
              <w:jc w:val="both"/>
              <w:rPr>
                <w:rFonts w:cs="Arial"/>
                <w:szCs w:val="20"/>
              </w:rPr>
            </w:pPr>
            <w:r w:rsidRPr="005E4BEA">
              <w:rPr>
                <w:rFonts w:cs="Arial"/>
                <w:szCs w:val="20"/>
              </w:rPr>
              <w:t>PUL007</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78F54E0" w14:textId="77777777" w:rsidR="00422091" w:rsidRPr="005E4BEA" w:rsidRDefault="00422091" w:rsidP="006F2C89">
            <w:pPr>
              <w:spacing w:line="240" w:lineRule="auto"/>
              <w:jc w:val="both"/>
              <w:rPr>
                <w:rFonts w:cs="Arial"/>
                <w:szCs w:val="20"/>
              </w:rPr>
            </w:pPr>
            <w:r w:rsidRPr="005E4BEA">
              <w:rPr>
                <w:rFonts w:cs="Arial"/>
                <w:szCs w:val="20"/>
              </w:rPr>
              <w:t>Posvet na daljavo - daljši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0B7ED6B" w14:textId="77777777" w:rsidR="00422091" w:rsidRPr="005E4BEA" w:rsidRDefault="00422091" w:rsidP="006F2C89">
            <w:pPr>
              <w:spacing w:line="240" w:lineRule="auto"/>
              <w:jc w:val="right"/>
              <w:rPr>
                <w:rFonts w:cs="Arial"/>
                <w:szCs w:val="20"/>
              </w:rPr>
            </w:pPr>
            <w:r w:rsidRPr="005E4BEA">
              <w:rPr>
                <w:rFonts w:cs="Arial"/>
                <w:szCs w:val="20"/>
              </w:rPr>
              <w:t>14,30</w:t>
            </w:r>
          </w:p>
        </w:tc>
      </w:tr>
      <w:tr w:rsidR="00422091" w:rsidRPr="005E4BEA" w14:paraId="66CDB755" w14:textId="77777777" w:rsidTr="006F2C89">
        <w:trPr>
          <w:trHeight w:val="20"/>
        </w:trPr>
        <w:tc>
          <w:tcPr>
            <w:tcW w:w="704" w:type="dxa"/>
            <w:shd w:val="clear" w:color="auto" w:fill="auto"/>
            <w:noWrap/>
          </w:tcPr>
          <w:p w14:paraId="784A0CAE"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4BD55AE2"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30C6AB0" w14:textId="77777777" w:rsidR="00422091" w:rsidRPr="005E4BEA" w:rsidRDefault="00422091" w:rsidP="006F2C89">
            <w:pPr>
              <w:spacing w:line="240" w:lineRule="auto"/>
              <w:jc w:val="both"/>
              <w:rPr>
                <w:rFonts w:cs="Arial"/>
                <w:szCs w:val="20"/>
              </w:rPr>
            </w:pPr>
            <w:r w:rsidRPr="005E4BEA">
              <w:rPr>
                <w:rFonts w:cs="Arial"/>
                <w:szCs w:val="20"/>
              </w:rPr>
              <w:t>PUL008</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E65D2EF" w14:textId="77777777" w:rsidR="00422091" w:rsidRPr="005E4BEA" w:rsidRDefault="00422091" w:rsidP="006F2C89">
            <w:pPr>
              <w:spacing w:line="240" w:lineRule="auto"/>
              <w:jc w:val="both"/>
              <w:rPr>
                <w:rFonts w:cs="Arial"/>
                <w:szCs w:val="20"/>
              </w:rPr>
            </w:pPr>
            <w:r w:rsidRPr="005E4BEA">
              <w:rPr>
                <w:rFonts w:cs="Arial"/>
                <w:szCs w:val="20"/>
              </w:rPr>
              <w:t>Obravnava bolnika na domu</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359CB01" w14:textId="77777777" w:rsidR="00422091" w:rsidRPr="005E4BEA" w:rsidRDefault="00422091" w:rsidP="006F2C89">
            <w:pPr>
              <w:spacing w:line="240" w:lineRule="auto"/>
              <w:jc w:val="right"/>
              <w:rPr>
                <w:rFonts w:cs="Arial"/>
                <w:szCs w:val="20"/>
              </w:rPr>
            </w:pPr>
            <w:r w:rsidRPr="005E4BEA">
              <w:rPr>
                <w:rFonts w:cs="Arial"/>
                <w:szCs w:val="20"/>
              </w:rPr>
              <w:t>60,85</w:t>
            </w:r>
          </w:p>
        </w:tc>
      </w:tr>
      <w:tr w:rsidR="00422091" w:rsidRPr="005E4BEA" w14:paraId="2BC6242F" w14:textId="77777777" w:rsidTr="006F2C89">
        <w:trPr>
          <w:trHeight w:val="20"/>
        </w:trPr>
        <w:tc>
          <w:tcPr>
            <w:tcW w:w="704" w:type="dxa"/>
            <w:shd w:val="clear" w:color="auto" w:fill="auto"/>
            <w:noWrap/>
          </w:tcPr>
          <w:p w14:paraId="7CFF2D23"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6473A22E"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tcPr>
          <w:p w14:paraId="4321B253" w14:textId="77777777" w:rsidR="00422091" w:rsidRPr="005E4BEA" w:rsidRDefault="00422091" w:rsidP="006F2C89">
            <w:pPr>
              <w:spacing w:line="240" w:lineRule="auto"/>
              <w:jc w:val="both"/>
              <w:rPr>
                <w:rFonts w:cs="Arial"/>
                <w:szCs w:val="20"/>
              </w:rPr>
            </w:pPr>
            <w:r w:rsidRPr="005E4BEA">
              <w:rPr>
                <w:rFonts w:cs="Arial"/>
                <w:szCs w:val="20"/>
              </w:rPr>
              <w:t>PUL009</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tcPr>
          <w:p w14:paraId="7EC2FE67" w14:textId="77777777" w:rsidR="00422091" w:rsidRPr="005E4BEA" w:rsidRDefault="00422091" w:rsidP="006F2C89">
            <w:pPr>
              <w:spacing w:line="240" w:lineRule="auto"/>
              <w:jc w:val="both"/>
              <w:rPr>
                <w:rFonts w:cs="Arial"/>
                <w:szCs w:val="20"/>
              </w:rPr>
            </w:pPr>
            <w:r w:rsidRPr="005E4BEA">
              <w:rPr>
                <w:rFonts w:cs="Arial"/>
                <w:szCs w:val="20"/>
              </w:rPr>
              <w:t xml:space="preserve">Triaža </w:t>
            </w:r>
            <w:proofErr w:type="spellStart"/>
            <w:r w:rsidRPr="005E4BEA">
              <w:rPr>
                <w:rFonts w:cs="Arial"/>
                <w:szCs w:val="20"/>
              </w:rPr>
              <w:t>nenujnih</w:t>
            </w:r>
            <w:proofErr w:type="spellEnd"/>
            <w:r w:rsidRPr="005E4BEA">
              <w:rPr>
                <w:rFonts w:cs="Arial"/>
                <w:szCs w:val="20"/>
              </w:rPr>
              <w:t xml:space="preserve"> napotnic</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tcPr>
          <w:p w14:paraId="19A6B6F9" w14:textId="77777777" w:rsidR="00422091" w:rsidRPr="005E4BEA" w:rsidRDefault="00422091" w:rsidP="006F2C89">
            <w:pPr>
              <w:spacing w:line="240" w:lineRule="auto"/>
              <w:jc w:val="right"/>
              <w:rPr>
                <w:rFonts w:cs="Arial"/>
                <w:szCs w:val="20"/>
              </w:rPr>
            </w:pPr>
            <w:r w:rsidRPr="005E4BEA">
              <w:rPr>
                <w:rFonts w:cs="Arial"/>
                <w:szCs w:val="20"/>
              </w:rPr>
              <w:t>5,24</w:t>
            </w:r>
          </w:p>
        </w:tc>
      </w:tr>
      <w:tr w:rsidR="00422091" w:rsidRPr="005E4BEA" w14:paraId="72A45D7E" w14:textId="77777777" w:rsidTr="006F2C89">
        <w:trPr>
          <w:trHeight w:val="20"/>
        </w:trPr>
        <w:tc>
          <w:tcPr>
            <w:tcW w:w="704" w:type="dxa"/>
            <w:shd w:val="clear" w:color="auto" w:fill="auto"/>
            <w:noWrap/>
          </w:tcPr>
          <w:p w14:paraId="6B66DB9D"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64040D3F"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A7D036E" w14:textId="77777777" w:rsidR="00422091" w:rsidRPr="005E4BEA" w:rsidRDefault="00422091" w:rsidP="006F2C89">
            <w:pPr>
              <w:spacing w:line="240" w:lineRule="auto"/>
              <w:jc w:val="both"/>
              <w:rPr>
                <w:rFonts w:cs="Arial"/>
                <w:szCs w:val="20"/>
              </w:rPr>
            </w:pPr>
            <w:r w:rsidRPr="005E4BEA">
              <w:rPr>
                <w:rFonts w:cs="Arial"/>
                <w:szCs w:val="20"/>
              </w:rPr>
              <w:t>PUL010</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8F948C2" w14:textId="77777777" w:rsidR="00422091" w:rsidRPr="005E4BEA" w:rsidRDefault="00422091" w:rsidP="006F2C89">
            <w:pPr>
              <w:spacing w:line="240" w:lineRule="auto"/>
              <w:jc w:val="both"/>
              <w:rPr>
                <w:rFonts w:cs="Arial"/>
                <w:szCs w:val="20"/>
              </w:rPr>
            </w:pPr>
            <w:r w:rsidRPr="005E4BEA">
              <w:rPr>
                <w:rFonts w:cs="Arial"/>
                <w:szCs w:val="20"/>
              </w:rPr>
              <w:t>Nespecifični bronhialni provokacijski test</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E69245B" w14:textId="77777777" w:rsidR="00422091" w:rsidRPr="005E4BEA" w:rsidRDefault="00422091" w:rsidP="006F2C89">
            <w:pPr>
              <w:spacing w:line="240" w:lineRule="auto"/>
              <w:jc w:val="right"/>
              <w:rPr>
                <w:rFonts w:cs="Arial"/>
                <w:szCs w:val="20"/>
              </w:rPr>
            </w:pPr>
            <w:r w:rsidRPr="005E4BEA">
              <w:rPr>
                <w:rFonts w:cs="Arial"/>
                <w:szCs w:val="20"/>
              </w:rPr>
              <w:t>109,38</w:t>
            </w:r>
          </w:p>
        </w:tc>
      </w:tr>
      <w:tr w:rsidR="00422091" w:rsidRPr="005E4BEA" w14:paraId="2E0FF888" w14:textId="77777777" w:rsidTr="006F2C89">
        <w:trPr>
          <w:trHeight w:val="20"/>
        </w:trPr>
        <w:tc>
          <w:tcPr>
            <w:tcW w:w="704" w:type="dxa"/>
            <w:shd w:val="clear" w:color="auto" w:fill="auto"/>
            <w:noWrap/>
          </w:tcPr>
          <w:p w14:paraId="26A3B1F2"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0EE5E76"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3AAD500" w14:textId="77777777" w:rsidR="00422091" w:rsidRPr="005E4BEA" w:rsidRDefault="00422091" w:rsidP="006F2C89">
            <w:pPr>
              <w:spacing w:line="240" w:lineRule="auto"/>
              <w:jc w:val="both"/>
              <w:rPr>
                <w:rFonts w:cs="Arial"/>
                <w:szCs w:val="20"/>
              </w:rPr>
            </w:pPr>
            <w:r w:rsidRPr="005E4BEA">
              <w:rPr>
                <w:rFonts w:cs="Arial"/>
                <w:szCs w:val="20"/>
              </w:rPr>
              <w:t>PUL011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BBA057D" w14:textId="77777777" w:rsidR="00422091" w:rsidRPr="005E4BEA" w:rsidRDefault="00422091" w:rsidP="006F2C89">
            <w:pPr>
              <w:spacing w:line="240" w:lineRule="auto"/>
              <w:jc w:val="both"/>
              <w:rPr>
                <w:rFonts w:cs="Arial"/>
                <w:szCs w:val="20"/>
              </w:rPr>
            </w:pPr>
            <w:r w:rsidRPr="005E4BEA">
              <w:rPr>
                <w:rFonts w:cs="Arial"/>
                <w:szCs w:val="20"/>
              </w:rPr>
              <w:t xml:space="preserve">Specifični bronhialni provokacijski test </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A7177DC" w14:textId="77777777" w:rsidR="00422091" w:rsidRPr="005E4BEA" w:rsidRDefault="00422091" w:rsidP="006F2C89">
            <w:pPr>
              <w:spacing w:line="240" w:lineRule="auto"/>
              <w:jc w:val="right"/>
              <w:rPr>
                <w:rFonts w:cs="Arial"/>
                <w:szCs w:val="20"/>
              </w:rPr>
            </w:pPr>
            <w:r w:rsidRPr="005E4BEA">
              <w:rPr>
                <w:rFonts w:cs="Arial"/>
                <w:szCs w:val="20"/>
              </w:rPr>
              <w:t>79,04</w:t>
            </w:r>
          </w:p>
        </w:tc>
      </w:tr>
      <w:tr w:rsidR="00422091" w:rsidRPr="005E4BEA" w14:paraId="6B31ED87" w14:textId="77777777" w:rsidTr="006F2C89">
        <w:trPr>
          <w:trHeight w:val="20"/>
        </w:trPr>
        <w:tc>
          <w:tcPr>
            <w:tcW w:w="704" w:type="dxa"/>
            <w:shd w:val="clear" w:color="auto" w:fill="auto"/>
            <w:noWrap/>
          </w:tcPr>
          <w:p w14:paraId="35BE496E"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6013DA80"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4B23CA9" w14:textId="77777777" w:rsidR="00422091" w:rsidRPr="005E4BEA" w:rsidRDefault="00422091" w:rsidP="006F2C89">
            <w:pPr>
              <w:spacing w:line="240" w:lineRule="auto"/>
              <w:jc w:val="both"/>
              <w:rPr>
                <w:rFonts w:cs="Arial"/>
                <w:szCs w:val="20"/>
              </w:rPr>
            </w:pPr>
            <w:r w:rsidRPr="005E4BEA">
              <w:rPr>
                <w:rFonts w:cs="Arial"/>
                <w:szCs w:val="20"/>
              </w:rPr>
              <w:t>PUL012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4CE0944" w14:textId="77777777" w:rsidR="00422091" w:rsidRPr="005E4BEA" w:rsidRDefault="00422091" w:rsidP="006F2C89">
            <w:pPr>
              <w:spacing w:line="240" w:lineRule="auto"/>
              <w:jc w:val="both"/>
              <w:rPr>
                <w:rFonts w:cs="Arial"/>
                <w:szCs w:val="20"/>
              </w:rPr>
            </w:pPr>
            <w:proofErr w:type="spellStart"/>
            <w:r w:rsidRPr="005E4BEA">
              <w:rPr>
                <w:rFonts w:cs="Arial"/>
                <w:szCs w:val="20"/>
              </w:rPr>
              <w:t>Bronhodilatacijski</w:t>
            </w:r>
            <w:proofErr w:type="spellEnd"/>
            <w:r w:rsidRPr="005E4BEA">
              <w:rPr>
                <w:rFonts w:cs="Arial"/>
                <w:szCs w:val="20"/>
              </w:rPr>
              <w:t xml:space="preserve"> test</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F4668DF" w14:textId="77777777" w:rsidR="00422091" w:rsidRPr="005E4BEA" w:rsidRDefault="00422091" w:rsidP="006F2C89">
            <w:pPr>
              <w:spacing w:line="240" w:lineRule="auto"/>
              <w:jc w:val="right"/>
              <w:rPr>
                <w:rFonts w:cs="Arial"/>
                <w:szCs w:val="20"/>
              </w:rPr>
            </w:pPr>
            <w:r w:rsidRPr="005E4BEA">
              <w:rPr>
                <w:rFonts w:cs="Arial"/>
                <w:szCs w:val="20"/>
              </w:rPr>
              <w:t>49,91</w:t>
            </w:r>
          </w:p>
        </w:tc>
      </w:tr>
      <w:tr w:rsidR="00422091" w:rsidRPr="005E4BEA" w14:paraId="3ED9B8FE" w14:textId="77777777" w:rsidTr="006F2C89">
        <w:trPr>
          <w:trHeight w:val="20"/>
        </w:trPr>
        <w:tc>
          <w:tcPr>
            <w:tcW w:w="704" w:type="dxa"/>
            <w:shd w:val="clear" w:color="auto" w:fill="auto"/>
            <w:noWrap/>
          </w:tcPr>
          <w:p w14:paraId="75724EEC"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3D4AAFBE"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544D72C" w14:textId="77777777" w:rsidR="00422091" w:rsidRPr="005E4BEA" w:rsidRDefault="00422091" w:rsidP="006F2C89">
            <w:pPr>
              <w:spacing w:line="240" w:lineRule="auto"/>
              <w:jc w:val="both"/>
              <w:rPr>
                <w:rFonts w:cs="Arial"/>
                <w:szCs w:val="20"/>
              </w:rPr>
            </w:pPr>
            <w:r w:rsidRPr="005E4BEA">
              <w:rPr>
                <w:rFonts w:cs="Arial"/>
                <w:szCs w:val="20"/>
              </w:rPr>
              <w:t>PUL013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CFFBA4D" w14:textId="77777777" w:rsidR="00422091" w:rsidRPr="005E4BEA" w:rsidRDefault="00422091" w:rsidP="006F2C89">
            <w:pPr>
              <w:spacing w:line="240" w:lineRule="auto"/>
              <w:jc w:val="both"/>
              <w:rPr>
                <w:rFonts w:cs="Arial"/>
                <w:szCs w:val="20"/>
              </w:rPr>
            </w:pPr>
            <w:r w:rsidRPr="005E4BEA">
              <w:rPr>
                <w:rFonts w:cs="Arial"/>
                <w:szCs w:val="20"/>
              </w:rPr>
              <w:t>Kožni vbodni ali intradermalni testi alergije</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99B1DFA" w14:textId="77777777" w:rsidR="00422091" w:rsidRPr="005E4BEA" w:rsidRDefault="00422091" w:rsidP="006F2C89">
            <w:pPr>
              <w:spacing w:line="240" w:lineRule="auto"/>
              <w:jc w:val="right"/>
              <w:rPr>
                <w:rFonts w:cs="Arial"/>
                <w:szCs w:val="20"/>
              </w:rPr>
            </w:pPr>
            <w:r w:rsidRPr="005E4BEA">
              <w:rPr>
                <w:rFonts w:cs="Arial"/>
                <w:szCs w:val="20"/>
              </w:rPr>
              <w:t>45,35</w:t>
            </w:r>
          </w:p>
        </w:tc>
      </w:tr>
      <w:tr w:rsidR="00422091" w:rsidRPr="005E4BEA" w14:paraId="716B3646" w14:textId="77777777" w:rsidTr="006F2C89">
        <w:trPr>
          <w:trHeight w:val="20"/>
        </w:trPr>
        <w:tc>
          <w:tcPr>
            <w:tcW w:w="704" w:type="dxa"/>
            <w:shd w:val="clear" w:color="auto" w:fill="auto"/>
            <w:noWrap/>
          </w:tcPr>
          <w:p w14:paraId="419AB274"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66BCDF3C"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6CCEB7E" w14:textId="77777777" w:rsidR="00422091" w:rsidRPr="005E4BEA" w:rsidRDefault="00422091" w:rsidP="006F2C89">
            <w:pPr>
              <w:spacing w:line="240" w:lineRule="auto"/>
              <w:jc w:val="both"/>
              <w:rPr>
                <w:rFonts w:cs="Arial"/>
                <w:szCs w:val="20"/>
              </w:rPr>
            </w:pPr>
            <w:r w:rsidRPr="005E4BEA">
              <w:rPr>
                <w:rFonts w:cs="Arial"/>
                <w:szCs w:val="20"/>
              </w:rPr>
              <w:t>PUL014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E7333CA" w14:textId="77777777" w:rsidR="00422091" w:rsidRPr="005E4BEA" w:rsidRDefault="00422091" w:rsidP="006F2C89">
            <w:pPr>
              <w:spacing w:line="240" w:lineRule="auto"/>
              <w:jc w:val="both"/>
              <w:rPr>
                <w:rFonts w:cs="Arial"/>
                <w:szCs w:val="20"/>
              </w:rPr>
            </w:pPr>
            <w:r w:rsidRPr="005E4BEA">
              <w:rPr>
                <w:rFonts w:cs="Arial"/>
                <w:szCs w:val="20"/>
              </w:rPr>
              <w:t>Krivulja pretok/volumen</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4969F55" w14:textId="77777777" w:rsidR="00422091" w:rsidRPr="005E4BEA" w:rsidRDefault="00422091" w:rsidP="006F2C89">
            <w:pPr>
              <w:spacing w:line="240" w:lineRule="auto"/>
              <w:jc w:val="right"/>
              <w:rPr>
                <w:rFonts w:cs="Arial"/>
                <w:szCs w:val="20"/>
              </w:rPr>
            </w:pPr>
            <w:r w:rsidRPr="005E4BEA">
              <w:rPr>
                <w:rFonts w:cs="Arial"/>
                <w:szCs w:val="20"/>
              </w:rPr>
              <w:t>28,07</w:t>
            </w:r>
          </w:p>
        </w:tc>
      </w:tr>
      <w:tr w:rsidR="00422091" w:rsidRPr="005E4BEA" w14:paraId="521619AD" w14:textId="77777777" w:rsidTr="006F2C89">
        <w:trPr>
          <w:trHeight w:val="20"/>
        </w:trPr>
        <w:tc>
          <w:tcPr>
            <w:tcW w:w="704" w:type="dxa"/>
            <w:shd w:val="clear" w:color="auto" w:fill="auto"/>
            <w:noWrap/>
          </w:tcPr>
          <w:p w14:paraId="390E16B0" w14:textId="77777777" w:rsidR="00422091" w:rsidRPr="005E4BEA" w:rsidRDefault="00422091" w:rsidP="006F2C89">
            <w:pPr>
              <w:spacing w:line="240" w:lineRule="auto"/>
              <w:jc w:val="both"/>
              <w:rPr>
                <w:rFonts w:cs="Arial"/>
                <w:szCs w:val="20"/>
              </w:rPr>
            </w:pPr>
            <w:r w:rsidRPr="005E4BEA">
              <w:rPr>
                <w:rFonts w:cs="Arial"/>
                <w:szCs w:val="20"/>
              </w:rPr>
              <w:lastRenderedPageBreak/>
              <w:t>229</w:t>
            </w:r>
          </w:p>
        </w:tc>
        <w:tc>
          <w:tcPr>
            <w:tcW w:w="851" w:type="dxa"/>
          </w:tcPr>
          <w:p w14:paraId="6C893022"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6086C27" w14:textId="77777777" w:rsidR="00422091" w:rsidRPr="005E4BEA" w:rsidRDefault="00422091" w:rsidP="006F2C89">
            <w:pPr>
              <w:spacing w:line="240" w:lineRule="auto"/>
              <w:jc w:val="both"/>
              <w:rPr>
                <w:rFonts w:cs="Arial"/>
                <w:szCs w:val="20"/>
              </w:rPr>
            </w:pPr>
            <w:r w:rsidRPr="005E4BEA">
              <w:rPr>
                <w:rFonts w:cs="Arial"/>
                <w:szCs w:val="20"/>
              </w:rPr>
              <w:t>PUL015</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C2A1245" w14:textId="77777777" w:rsidR="00422091" w:rsidRPr="005E4BEA" w:rsidRDefault="00422091" w:rsidP="006F2C89">
            <w:pPr>
              <w:spacing w:line="240" w:lineRule="auto"/>
              <w:jc w:val="both"/>
              <w:rPr>
                <w:rFonts w:cs="Arial"/>
                <w:szCs w:val="20"/>
              </w:rPr>
            </w:pPr>
            <w:r w:rsidRPr="005E4BEA">
              <w:rPr>
                <w:rFonts w:cs="Arial"/>
                <w:szCs w:val="20"/>
              </w:rPr>
              <w:t>Rezidualni volumen</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50BD5CF" w14:textId="77777777" w:rsidR="00422091" w:rsidRPr="005E4BEA" w:rsidRDefault="00422091" w:rsidP="006F2C89">
            <w:pPr>
              <w:spacing w:line="240" w:lineRule="auto"/>
              <w:jc w:val="right"/>
              <w:rPr>
                <w:rFonts w:cs="Arial"/>
                <w:szCs w:val="20"/>
              </w:rPr>
            </w:pPr>
            <w:r w:rsidRPr="005E4BEA">
              <w:rPr>
                <w:rFonts w:cs="Arial"/>
                <w:szCs w:val="20"/>
              </w:rPr>
              <w:t>21,56</w:t>
            </w:r>
          </w:p>
        </w:tc>
      </w:tr>
      <w:tr w:rsidR="00422091" w:rsidRPr="005E4BEA" w14:paraId="57BBFA02" w14:textId="77777777" w:rsidTr="006F2C89">
        <w:trPr>
          <w:trHeight w:val="20"/>
        </w:trPr>
        <w:tc>
          <w:tcPr>
            <w:tcW w:w="704" w:type="dxa"/>
            <w:shd w:val="clear" w:color="auto" w:fill="auto"/>
            <w:noWrap/>
          </w:tcPr>
          <w:p w14:paraId="34E3D385"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23366EB5"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A41E3FA" w14:textId="77777777" w:rsidR="00422091" w:rsidRPr="005E4BEA" w:rsidRDefault="00422091" w:rsidP="006F2C89">
            <w:pPr>
              <w:spacing w:line="240" w:lineRule="auto"/>
              <w:jc w:val="both"/>
              <w:rPr>
                <w:rFonts w:cs="Arial"/>
                <w:szCs w:val="20"/>
              </w:rPr>
            </w:pPr>
            <w:r w:rsidRPr="005E4BEA">
              <w:rPr>
                <w:rFonts w:cs="Arial"/>
                <w:szCs w:val="20"/>
              </w:rPr>
              <w:t>PUL016</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CD3DFF0" w14:textId="77777777" w:rsidR="00422091" w:rsidRPr="005E4BEA" w:rsidRDefault="00422091" w:rsidP="006F2C89">
            <w:pPr>
              <w:spacing w:line="240" w:lineRule="auto"/>
              <w:jc w:val="both"/>
              <w:rPr>
                <w:rFonts w:cs="Arial"/>
                <w:szCs w:val="20"/>
              </w:rPr>
            </w:pPr>
            <w:r w:rsidRPr="005E4BEA">
              <w:rPr>
                <w:rFonts w:cs="Arial"/>
                <w:szCs w:val="20"/>
              </w:rPr>
              <w:t xml:space="preserve">Telesna </w:t>
            </w:r>
            <w:proofErr w:type="spellStart"/>
            <w:r w:rsidRPr="005E4BEA">
              <w:rPr>
                <w:rFonts w:cs="Arial"/>
                <w:szCs w:val="20"/>
              </w:rPr>
              <w:t>pletizmografija</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742C63D" w14:textId="77777777" w:rsidR="00422091" w:rsidRPr="005E4BEA" w:rsidRDefault="00422091" w:rsidP="006F2C89">
            <w:pPr>
              <w:spacing w:line="240" w:lineRule="auto"/>
              <w:jc w:val="right"/>
              <w:rPr>
                <w:rFonts w:cs="Arial"/>
                <w:szCs w:val="20"/>
              </w:rPr>
            </w:pPr>
            <w:r w:rsidRPr="005E4BEA">
              <w:rPr>
                <w:rFonts w:cs="Arial"/>
                <w:szCs w:val="20"/>
              </w:rPr>
              <w:t>27,90</w:t>
            </w:r>
          </w:p>
        </w:tc>
      </w:tr>
      <w:tr w:rsidR="00422091" w:rsidRPr="005E4BEA" w14:paraId="01E1F6F2" w14:textId="77777777" w:rsidTr="006F2C89">
        <w:trPr>
          <w:trHeight w:val="20"/>
        </w:trPr>
        <w:tc>
          <w:tcPr>
            <w:tcW w:w="704" w:type="dxa"/>
            <w:shd w:val="clear" w:color="auto" w:fill="auto"/>
            <w:noWrap/>
          </w:tcPr>
          <w:p w14:paraId="617315A3"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1711F22C"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684414D" w14:textId="77777777" w:rsidR="00422091" w:rsidRPr="005E4BEA" w:rsidRDefault="00422091" w:rsidP="006F2C89">
            <w:pPr>
              <w:spacing w:line="240" w:lineRule="auto"/>
              <w:jc w:val="both"/>
              <w:rPr>
                <w:rFonts w:cs="Arial"/>
                <w:szCs w:val="20"/>
              </w:rPr>
            </w:pPr>
            <w:r w:rsidRPr="005E4BEA">
              <w:rPr>
                <w:rFonts w:cs="Arial"/>
                <w:szCs w:val="20"/>
              </w:rPr>
              <w:t>PUL017</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AC9ED1B" w14:textId="77777777" w:rsidR="00422091" w:rsidRPr="005E4BEA" w:rsidRDefault="00422091" w:rsidP="006F2C89">
            <w:pPr>
              <w:spacing w:line="240" w:lineRule="auto"/>
              <w:jc w:val="both"/>
              <w:rPr>
                <w:rFonts w:cs="Arial"/>
                <w:szCs w:val="20"/>
              </w:rPr>
            </w:pPr>
            <w:r w:rsidRPr="005E4BEA">
              <w:rPr>
                <w:rFonts w:cs="Arial"/>
                <w:szCs w:val="20"/>
              </w:rPr>
              <w:t>Titracija nadtlaka v zgornjih dihalnih poteh</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F99FF3F" w14:textId="77777777" w:rsidR="00422091" w:rsidRPr="005E4BEA" w:rsidRDefault="00422091" w:rsidP="006F2C89">
            <w:pPr>
              <w:spacing w:line="240" w:lineRule="auto"/>
              <w:jc w:val="right"/>
              <w:rPr>
                <w:rFonts w:cs="Arial"/>
                <w:szCs w:val="20"/>
              </w:rPr>
            </w:pPr>
            <w:r w:rsidRPr="005E4BEA">
              <w:rPr>
                <w:rFonts w:cs="Arial"/>
                <w:szCs w:val="20"/>
              </w:rPr>
              <w:t>182,12</w:t>
            </w:r>
          </w:p>
        </w:tc>
      </w:tr>
      <w:tr w:rsidR="00422091" w:rsidRPr="005E4BEA" w14:paraId="4DF84657" w14:textId="77777777" w:rsidTr="006F2C89">
        <w:trPr>
          <w:trHeight w:val="20"/>
        </w:trPr>
        <w:tc>
          <w:tcPr>
            <w:tcW w:w="704" w:type="dxa"/>
            <w:shd w:val="clear" w:color="auto" w:fill="auto"/>
            <w:noWrap/>
          </w:tcPr>
          <w:p w14:paraId="54CB5A7C"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185B2636"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BD5A3F4" w14:textId="77777777" w:rsidR="00422091" w:rsidRPr="005E4BEA" w:rsidRDefault="00422091" w:rsidP="006F2C89">
            <w:pPr>
              <w:spacing w:line="240" w:lineRule="auto"/>
              <w:jc w:val="both"/>
              <w:rPr>
                <w:rFonts w:cs="Arial"/>
                <w:szCs w:val="20"/>
              </w:rPr>
            </w:pPr>
            <w:r w:rsidRPr="005E4BEA">
              <w:rPr>
                <w:rFonts w:cs="Arial"/>
                <w:szCs w:val="20"/>
              </w:rPr>
              <w:t>PUL018</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DFFCCA3" w14:textId="77777777" w:rsidR="00422091" w:rsidRPr="005E4BEA" w:rsidRDefault="00422091" w:rsidP="006F2C89">
            <w:pPr>
              <w:spacing w:line="240" w:lineRule="auto"/>
              <w:jc w:val="both"/>
              <w:rPr>
                <w:rFonts w:cs="Arial"/>
                <w:szCs w:val="20"/>
              </w:rPr>
            </w:pPr>
            <w:r w:rsidRPr="005E4BEA">
              <w:rPr>
                <w:rFonts w:cs="Arial"/>
                <w:szCs w:val="20"/>
              </w:rPr>
              <w:t>Difuzijska kapaciteta pljuč</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95A72F0" w14:textId="77777777" w:rsidR="00422091" w:rsidRPr="005E4BEA" w:rsidRDefault="00422091" w:rsidP="006F2C89">
            <w:pPr>
              <w:spacing w:line="240" w:lineRule="auto"/>
              <w:jc w:val="right"/>
              <w:rPr>
                <w:rFonts w:cs="Arial"/>
                <w:szCs w:val="20"/>
              </w:rPr>
            </w:pPr>
            <w:r w:rsidRPr="005E4BEA">
              <w:rPr>
                <w:rFonts w:cs="Arial"/>
                <w:szCs w:val="20"/>
              </w:rPr>
              <w:t>30,86</w:t>
            </w:r>
          </w:p>
        </w:tc>
      </w:tr>
      <w:tr w:rsidR="00422091" w:rsidRPr="005E4BEA" w14:paraId="50E6D340" w14:textId="77777777" w:rsidTr="006F2C89">
        <w:trPr>
          <w:trHeight w:val="20"/>
        </w:trPr>
        <w:tc>
          <w:tcPr>
            <w:tcW w:w="704" w:type="dxa"/>
            <w:shd w:val="clear" w:color="auto" w:fill="auto"/>
            <w:noWrap/>
          </w:tcPr>
          <w:p w14:paraId="48AF59B0"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0A1085DD"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36EC295B" w14:textId="77777777" w:rsidR="00422091" w:rsidRPr="005E4BEA" w:rsidRDefault="00422091" w:rsidP="006F2C89">
            <w:pPr>
              <w:spacing w:line="240" w:lineRule="auto"/>
              <w:jc w:val="both"/>
              <w:rPr>
                <w:rFonts w:cs="Arial"/>
                <w:szCs w:val="20"/>
              </w:rPr>
            </w:pPr>
            <w:r w:rsidRPr="005E4BEA">
              <w:rPr>
                <w:rFonts w:cs="Arial"/>
                <w:szCs w:val="20"/>
              </w:rPr>
              <w:t>PUL019</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CFB5922" w14:textId="77777777" w:rsidR="00422091" w:rsidRPr="005E4BEA" w:rsidRDefault="00422091" w:rsidP="006F2C89">
            <w:pPr>
              <w:spacing w:line="240" w:lineRule="auto"/>
              <w:jc w:val="both"/>
              <w:rPr>
                <w:rFonts w:cs="Arial"/>
                <w:szCs w:val="20"/>
              </w:rPr>
            </w:pPr>
            <w:proofErr w:type="spellStart"/>
            <w:r w:rsidRPr="005E4BEA">
              <w:rPr>
                <w:rFonts w:cs="Arial"/>
                <w:szCs w:val="20"/>
              </w:rPr>
              <w:t>Ergospirometrija</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197355B" w14:textId="77777777" w:rsidR="00422091" w:rsidRPr="005E4BEA" w:rsidRDefault="00422091" w:rsidP="006F2C89">
            <w:pPr>
              <w:spacing w:line="240" w:lineRule="auto"/>
              <w:jc w:val="right"/>
              <w:rPr>
                <w:rFonts w:cs="Arial"/>
                <w:szCs w:val="20"/>
              </w:rPr>
            </w:pPr>
            <w:r w:rsidRPr="005E4BEA">
              <w:rPr>
                <w:rFonts w:cs="Arial"/>
                <w:szCs w:val="20"/>
              </w:rPr>
              <w:t>149,59</w:t>
            </w:r>
          </w:p>
        </w:tc>
      </w:tr>
      <w:tr w:rsidR="00422091" w:rsidRPr="005E4BEA" w14:paraId="033E5FBB" w14:textId="77777777" w:rsidTr="006F2C89">
        <w:trPr>
          <w:trHeight w:val="20"/>
        </w:trPr>
        <w:tc>
          <w:tcPr>
            <w:tcW w:w="704" w:type="dxa"/>
            <w:shd w:val="clear" w:color="auto" w:fill="auto"/>
            <w:noWrap/>
          </w:tcPr>
          <w:p w14:paraId="42432D5E"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2630574D"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791EAE2" w14:textId="77777777" w:rsidR="00422091" w:rsidRPr="005E4BEA" w:rsidRDefault="00422091" w:rsidP="006F2C89">
            <w:pPr>
              <w:spacing w:line="240" w:lineRule="auto"/>
              <w:jc w:val="both"/>
              <w:rPr>
                <w:rFonts w:cs="Arial"/>
                <w:szCs w:val="20"/>
              </w:rPr>
            </w:pPr>
            <w:r w:rsidRPr="005E4BEA">
              <w:rPr>
                <w:rFonts w:cs="Arial"/>
                <w:szCs w:val="20"/>
              </w:rPr>
              <w:t>PUL020</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3ECA5A3" w14:textId="77777777" w:rsidR="00422091" w:rsidRPr="005E4BEA" w:rsidRDefault="00422091" w:rsidP="006F2C89">
            <w:pPr>
              <w:spacing w:line="240" w:lineRule="auto"/>
              <w:jc w:val="both"/>
              <w:rPr>
                <w:rFonts w:cs="Arial"/>
                <w:szCs w:val="20"/>
              </w:rPr>
            </w:pPr>
            <w:proofErr w:type="spellStart"/>
            <w:r w:rsidRPr="005E4BEA">
              <w:rPr>
                <w:rFonts w:cs="Arial"/>
                <w:szCs w:val="20"/>
              </w:rPr>
              <w:t>Cikloergometrija</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89B2745" w14:textId="77777777" w:rsidR="00422091" w:rsidRPr="005E4BEA" w:rsidRDefault="00422091" w:rsidP="006F2C89">
            <w:pPr>
              <w:spacing w:line="240" w:lineRule="auto"/>
              <w:jc w:val="right"/>
              <w:rPr>
                <w:rFonts w:cs="Arial"/>
                <w:szCs w:val="20"/>
              </w:rPr>
            </w:pPr>
            <w:r w:rsidRPr="005E4BEA">
              <w:rPr>
                <w:rFonts w:cs="Arial"/>
                <w:szCs w:val="20"/>
              </w:rPr>
              <w:t>77,73</w:t>
            </w:r>
          </w:p>
        </w:tc>
      </w:tr>
      <w:tr w:rsidR="00422091" w:rsidRPr="005E4BEA" w14:paraId="238DDA14" w14:textId="77777777" w:rsidTr="006F2C89">
        <w:trPr>
          <w:trHeight w:val="20"/>
        </w:trPr>
        <w:tc>
          <w:tcPr>
            <w:tcW w:w="704" w:type="dxa"/>
            <w:shd w:val="clear" w:color="auto" w:fill="auto"/>
            <w:noWrap/>
          </w:tcPr>
          <w:p w14:paraId="0AEB3E5C"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DC41674"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69E5877" w14:textId="77777777" w:rsidR="00422091" w:rsidRPr="005E4BEA" w:rsidRDefault="00422091" w:rsidP="006F2C89">
            <w:pPr>
              <w:spacing w:line="240" w:lineRule="auto"/>
              <w:jc w:val="both"/>
              <w:rPr>
                <w:rFonts w:cs="Arial"/>
                <w:szCs w:val="20"/>
              </w:rPr>
            </w:pPr>
            <w:r w:rsidRPr="005E4BEA">
              <w:rPr>
                <w:rFonts w:cs="Arial"/>
                <w:szCs w:val="20"/>
              </w:rPr>
              <w:t>PUL021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3B4B35B" w14:textId="77777777" w:rsidR="00422091" w:rsidRPr="005E4BEA" w:rsidRDefault="00422091" w:rsidP="006F2C89">
            <w:pPr>
              <w:spacing w:line="240" w:lineRule="auto"/>
              <w:jc w:val="both"/>
              <w:rPr>
                <w:rFonts w:cs="Arial"/>
                <w:szCs w:val="20"/>
              </w:rPr>
            </w:pPr>
            <w:r w:rsidRPr="005E4BEA">
              <w:rPr>
                <w:rFonts w:cs="Arial"/>
                <w:szCs w:val="20"/>
              </w:rPr>
              <w:t>Endoskopija zgornjih dihal</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6519A01" w14:textId="77777777" w:rsidR="00422091" w:rsidRPr="005E4BEA" w:rsidRDefault="00422091" w:rsidP="006F2C89">
            <w:pPr>
              <w:spacing w:line="240" w:lineRule="auto"/>
              <w:jc w:val="right"/>
              <w:rPr>
                <w:rFonts w:cs="Arial"/>
                <w:szCs w:val="20"/>
              </w:rPr>
            </w:pPr>
            <w:r w:rsidRPr="005E4BEA">
              <w:rPr>
                <w:rFonts w:cs="Arial"/>
                <w:szCs w:val="20"/>
              </w:rPr>
              <w:t>33,73</w:t>
            </w:r>
          </w:p>
        </w:tc>
      </w:tr>
      <w:tr w:rsidR="00422091" w:rsidRPr="005E4BEA" w14:paraId="6E643D96" w14:textId="77777777" w:rsidTr="006F2C89">
        <w:trPr>
          <w:trHeight w:val="20"/>
        </w:trPr>
        <w:tc>
          <w:tcPr>
            <w:tcW w:w="704" w:type="dxa"/>
            <w:shd w:val="clear" w:color="auto" w:fill="auto"/>
            <w:noWrap/>
          </w:tcPr>
          <w:p w14:paraId="13F3F035"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1052EAE9"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80AB553" w14:textId="77777777" w:rsidR="00422091" w:rsidRPr="005E4BEA" w:rsidRDefault="00422091" w:rsidP="006F2C89">
            <w:pPr>
              <w:spacing w:line="240" w:lineRule="auto"/>
              <w:jc w:val="both"/>
              <w:rPr>
                <w:rFonts w:cs="Arial"/>
                <w:szCs w:val="20"/>
              </w:rPr>
            </w:pPr>
            <w:r w:rsidRPr="005E4BEA">
              <w:rPr>
                <w:rFonts w:cs="Arial"/>
                <w:szCs w:val="20"/>
              </w:rPr>
              <w:t>PUL022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DDB1256" w14:textId="77777777" w:rsidR="00422091" w:rsidRPr="005E4BEA" w:rsidRDefault="00422091" w:rsidP="006F2C89">
            <w:pPr>
              <w:spacing w:line="240" w:lineRule="auto"/>
              <w:jc w:val="both"/>
              <w:rPr>
                <w:rFonts w:cs="Arial"/>
                <w:szCs w:val="20"/>
              </w:rPr>
            </w:pPr>
            <w:r w:rsidRPr="005E4BEA">
              <w:rPr>
                <w:rFonts w:cs="Arial"/>
                <w:szCs w:val="20"/>
              </w:rPr>
              <w:t>Test 6 minutne hoje</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85B3745" w14:textId="77777777" w:rsidR="00422091" w:rsidRPr="005E4BEA" w:rsidRDefault="00422091" w:rsidP="006F2C89">
            <w:pPr>
              <w:spacing w:line="240" w:lineRule="auto"/>
              <w:jc w:val="right"/>
              <w:rPr>
                <w:rFonts w:cs="Arial"/>
                <w:szCs w:val="20"/>
              </w:rPr>
            </w:pPr>
            <w:r w:rsidRPr="005E4BEA">
              <w:rPr>
                <w:rFonts w:cs="Arial"/>
                <w:szCs w:val="20"/>
              </w:rPr>
              <w:t>11,35</w:t>
            </w:r>
          </w:p>
        </w:tc>
      </w:tr>
      <w:tr w:rsidR="00422091" w:rsidRPr="005E4BEA" w14:paraId="0B32A518" w14:textId="77777777" w:rsidTr="006F2C89">
        <w:trPr>
          <w:trHeight w:val="20"/>
        </w:trPr>
        <w:tc>
          <w:tcPr>
            <w:tcW w:w="704" w:type="dxa"/>
            <w:shd w:val="clear" w:color="auto" w:fill="auto"/>
            <w:noWrap/>
          </w:tcPr>
          <w:p w14:paraId="169B966F"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69E6EC60"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B0706B9" w14:textId="77777777" w:rsidR="00422091" w:rsidRPr="005E4BEA" w:rsidRDefault="00422091" w:rsidP="006F2C89">
            <w:pPr>
              <w:spacing w:line="240" w:lineRule="auto"/>
              <w:jc w:val="both"/>
              <w:rPr>
                <w:rFonts w:cs="Arial"/>
                <w:szCs w:val="20"/>
              </w:rPr>
            </w:pPr>
            <w:r w:rsidRPr="005E4BEA">
              <w:rPr>
                <w:rFonts w:cs="Arial"/>
                <w:szCs w:val="20"/>
              </w:rPr>
              <w:t>PUL023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799DDF8" w14:textId="77777777" w:rsidR="00422091" w:rsidRPr="005E4BEA" w:rsidRDefault="00422091" w:rsidP="006F2C89">
            <w:pPr>
              <w:spacing w:line="240" w:lineRule="auto"/>
              <w:jc w:val="both"/>
              <w:rPr>
                <w:rFonts w:cs="Arial"/>
                <w:szCs w:val="20"/>
              </w:rPr>
            </w:pPr>
            <w:r w:rsidRPr="005E4BEA">
              <w:rPr>
                <w:rFonts w:cs="Arial"/>
                <w:szCs w:val="20"/>
              </w:rPr>
              <w:t>Test vstajanja s stola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4E5491D" w14:textId="77777777" w:rsidR="00422091" w:rsidRPr="005E4BEA" w:rsidRDefault="00422091" w:rsidP="006F2C89">
            <w:pPr>
              <w:spacing w:line="240" w:lineRule="auto"/>
              <w:jc w:val="right"/>
              <w:rPr>
                <w:rFonts w:cs="Arial"/>
                <w:szCs w:val="20"/>
              </w:rPr>
            </w:pPr>
            <w:r w:rsidRPr="005E4BEA">
              <w:rPr>
                <w:rFonts w:cs="Arial"/>
                <w:szCs w:val="20"/>
              </w:rPr>
              <w:t>11,35</w:t>
            </w:r>
          </w:p>
        </w:tc>
      </w:tr>
      <w:tr w:rsidR="00422091" w:rsidRPr="005E4BEA" w14:paraId="6DDDCB15" w14:textId="77777777" w:rsidTr="006F2C89">
        <w:trPr>
          <w:trHeight w:val="20"/>
        </w:trPr>
        <w:tc>
          <w:tcPr>
            <w:tcW w:w="704" w:type="dxa"/>
            <w:shd w:val="clear" w:color="auto" w:fill="auto"/>
            <w:noWrap/>
          </w:tcPr>
          <w:p w14:paraId="30F44F1B"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278B79EE"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CD15F00" w14:textId="77777777" w:rsidR="00422091" w:rsidRPr="005E4BEA" w:rsidRDefault="00422091" w:rsidP="006F2C89">
            <w:pPr>
              <w:spacing w:line="240" w:lineRule="auto"/>
              <w:jc w:val="both"/>
              <w:rPr>
                <w:rFonts w:cs="Arial"/>
                <w:szCs w:val="20"/>
              </w:rPr>
            </w:pPr>
            <w:r w:rsidRPr="005E4BEA">
              <w:rPr>
                <w:rFonts w:cs="Arial"/>
                <w:szCs w:val="20"/>
              </w:rPr>
              <w:t>PUL024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7365E09" w14:textId="77777777" w:rsidR="00422091" w:rsidRPr="005E4BEA" w:rsidRDefault="00422091" w:rsidP="006F2C89">
            <w:pPr>
              <w:spacing w:line="240" w:lineRule="auto"/>
              <w:jc w:val="both"/>
              <w:rPr>
                <w:rFonts w:cs="Arial"/>
                <w:szCs w:val="20"/>
              </w:rPr>
            </w:pPr>
            <w:r w:rsidRPr="005E4BEA">
              <w:rPr>
                <w:rFonts w:cs="Arial"/>
                <w:szCs w:val="20"/>
              </w:rPr>
              <w:t>Slikanje prsnih organov v dveh smereh</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BC273B4" w14:textId="77777777" w:rsidR="00422091" w:rsidRPr="005E4BEA" w:rsidRDefault="00422091" w:rsidP="006F2C89">
            <w:pPr>
              <w:spacing w:line="240" w:lineRule="auto"/>
              <w:jc w:val="right"/>
              <w:rPr>
                <w:rFonts w:cs="Arial"/>
                <w:szCs w:val="20"/>
              </w:rPr>
            </w:pPr>
            <w:r w:rsidRPr="005E4BEA">
              <w:rPr>
                <w:rFonts w:cs="Arial"/>
                <w:szCs w:val="20"/>
              </w:rPr>
              <w:t>23,59</w:t>
            </w:r>
          </w:p>
        </w:tc>
      </w:tr>
      <w:tr w:rsidR="00422091" w:rsidRPr="005E4BEA" w14:paraId="639AD731" w14:textId="77777777" w:rsidTr="006F2C89">
        <w:trPr>
          <w:trHeight w:val="20"/>
        </w:trPr>
        <w:tc>
          <w:tcPr>
            <w:tcW w:w="704" w:type="dxa"/>
            <w:shd w:val="clear" w:color="auto" w:fill="auto"/>
            <w:noWrap/>
          </w:tcPr>
          <w:p w14:paraId="70C4C6DB"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480DC4DB"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345E4CB" w14:textId="77777777" w:rsidR="00422091" w:rsidRPr="005E4BEA" w:rsidRDefault="00422091" w:rsidP="006F2C89">
            <w:pPr>
              <w:spacing w:line="240" w:lineRule="auto"/>
              <w:jc w:val="both"/>
              <w:rPr>
                <w:rFonts w:cs="Arial"/>
                <w:szCs w:val="20"/>
              </w:rPr>
            </w:pPr>
            <w:r w:rsidRPr="005E4BEA">
              <w:rPr>
                <w:rFonts w:cs="Arial"/>
                <w:szCs w:val="20"/>
              </w:rPr>
              <w:t>PUL025</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3B67146A" w14:textId="77777777" w:rsidR="00422091" w:rsidRPr="005E4BEA" w:rsidRDefault="00422091" w:rsidP="006F2C89">
            <w:pPr>
              <w:spacing w:line="240" w:lineRule="auto"/>
              <w:jc w:val="both"/>
              <w:rPr>
                <w:rFonts w:cs="Arial"/>
                <w:szCs w:val="20"/>
              </w:rPr>
            </w:pPr>
            <w:r w:rsidRPr="005E4BEA">
              <w:rPr>
                <w:rFonts w:cs="Arial"/>
                <w:szCs w:val="20"/>
              </w:rPr>
              <w:t>Slikanje prsnih organov v eni smeri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C870A16" w14:textId="77777777" w:rsidR="00422091" w:rsidRPr="005E4BEA" w:rsidRDefault="00422091" w:rsidP="006F2C89">
            <w:pPr>
              <w:spacing w:line="240" w:lineRule="auto"/>
              <w:jc w:val="right"/>
              <w:rPr>
                <w:rFonts w:cs="Arial"/>
                <w:szCs w:val="20"/>
              </w:rPr>
            </w:pPr>
            <w:r w:rsidRPr="005E4BEA">
              <w:rPr>
                <w:rFonts w:cs="Arial"/>
                <w:szCs w:val="20"/>
              </w:rPr>
              <w:t>21,56</w:t>
            </w:r>
          </w:p>
        </w:tc>
      </w:tr>
      <w:tr w:rsidR="00422091" w:rsidRPr="005E4BEA" w14:paraId="45947BB6" w14:textId="77777777" w:rsidTr="006F2C89">
        <w:trPr>
          <w:trHeight w:val="20"/>
        </w:trPr>
        <w:tc>
          <w:tcPr>
            <w:tcW w:w="704" w:type="dxa"/>
            <w:shd w:val="clear" w:color="auto" w:fill="auto"/>
            <w:noWrap/>
          </w:tcPr>
          <w:p w14:paraId="463E4D8A"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5F317FB2"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8FCC455" w14:textId="77777777" w:rsidR="00422091" w:rsidRPr="005E4BEA" w:rsidRDefault="00422091" w:rsidP="006F2C89">
            <w:pPr>
              <w:spacing w:line="240" w:lineRule="auto"/>
              <w:jc w:val="both"/>
              <w:rPr>
                <w:rFonts w:cs="Arial"/>
                <w:szCs w:val="20"/>
              </w:rPr>
            </w:pPr>
            <w:r w:rsidRPr="005E4BEA">
              <w:rPr>
                <w:rFonts w:cs="Arial"/>
                <w:szCs w:val="20"/>
              </w:rPr>
              <w:t>PUL026</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4049D3C" w14:textId="77777777" w:rsidR="00422091" w:rsidRPr="005E4BEA" w:rsidRDefault="00422091" w:rsidP="006F2C89">
            <w:pPr>
              <w:spacing w:line="240" w:lineRule="auto"/>
              <w:jc w:val="both"/>
              <w:rPr>
                <w:rFonts w:cs="Arial"/>
                <w:szCs w:val="20"/>
              </w:rPr>
            </w:pPr>
            <w:r w:rsidRPr="005E4BEA">
              <w:rPr>
                <w:rFonts w:cs="Arial"/>
                <w:szCs w:val="20"/>
              </w:rPr>
              <w:t>UZ prsnega koša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010F505" w14:textId="77777777" w:rsidR="00422091" w:rsidRPr="005E4BEA" w:rsidRDefault="00422091" w:rsidP="006F2C89">
            <w:pPr>
              <w:spacing w:line="240" w:lineRule="auto"/>
              <w:jc w:val="right"/>
              <w:rPr>
                <w:rFonts w:cs="Arial"/>
                <w:szCs w:val="20"/>
              </w:rPr>
            </w:pPr>
            <w:r w:rsidRPr="005E4BEA">
              <w:rPr>
                <w:rFonts w:cs="Arial"/>
                <w:szCs w:val="20"/>
              </w:rPr>
              <w:t>29,05</w:t>
            </w:r>
          </w:p>
        </w:tc>
      </w:tr>
      <w:tr w:rsidR="00422091" w:rsidRPr="005E4BEA" w14:paraId="4C130CE7" w14:textId="77777777" w:rsidTr="006F2C89">
        <w:trPr>
          <w:trHeight w:val="20"/>
        </w:trPr>
        <w:tc>
          <w:tcPr>
            <w:tcW w:w="704" w:type="dxa"/>
            <w:shd w:val="clear" w:color="auto" w:fill="auto"/>
            <w:noWrap/>
          </w:tcPr>
          <w:p w14:paraId="6C5AC61D"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16F2DEF"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51421D23" w14:textId="77777777" w:rsidR="00422091" w:rsidRPr="005E4BEA" w:rsidRDefault="00422091" w:rsidP="006F2C89">
            <w:pPr>
              <w:spacing w:line="240" w:lineRule="auto"/>
              <w:jc w:val="both"/>
              <w:rPr>
                <w:rFonts w:cs="Arial"/>
                <w:szCs w:val="20"/>
              </w:rPr>
            </w:pPr>
            <w:r w:rsidRPr="005E4BEA">
              <w:rPr>
                <w:rFonts w:cs="Arial"/>
                <w:szCs w:val="20"/>
              </w:rPr>
              <w:t>PUL027</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064B688" w14:textId="77777777" w:rsidR="00422091" w:rsidRPr="005E4BEA" w:rsidRDefault="00422091" w:rsidP="006F2C89">
            <w:pPr>
              <w:spacing w:line="240" w:lineRule="auto"/>
              <w:jc w:val="both"/>
              <w:rPr>
                <w:rFonts w:cs="Arial"/>
                <w:szCs w:val="20"/>
              </w:rPr>
            </w:pPr>
            <w:proofErr w:type="spellStart"/>
            <w:r w:rsidRPr="005E4BEA">
              <w:rPr>
                <w:rFonts w:cs="Arial"/>
                <w:szCs w:val="20"/>
              </w:rPr>
              <w:t>Obposteljni</w:t>
            </w:r>
            <w:proofErr w:type="spellEnd"/>
            <w:r w:rsidRPr="005E4BEA">
              <w:rPr>
                <w:rFonts w:cs="Arial"/>
                <w:szCs w:val="20"/>
              </w:rPr>
              <w:t xml:space="preserve"> UZ srca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2BB720B" w14:textId="77777777" w:rsidR="00422091" w:rsidRPr="005E4BEA" w:rsidRDefault="00422091" w:rsidP="006F2C89">
            <w:pPr>
              <w:spacing w:line="240" w:lineRule="auto"/>
              <w:jc w:val="right"/>
              <w:rPr>
                <w:rFonts w:cs="Arial"/>
                <w:szCs w:val="20"/>
              </w:rPr>
            </w:pPr>
            <w:r w:rsidRPr="005E4BEA">
              <w:rPr>
                <w:rFonts w:cs="Arial"/>
                <w:szCs w:val="20"/>
              </w:rPr>
              <w:t>27,78</w:t>
            </w:r>
          </w:p>
        </w:tc>
      </w:tr>
      <w:tr w:rsidR="00422091" w:rsidRPr="005E4BEA" w14:paraId="7DC7066D" w14:textId="77777777" w:rsidTr="006F2C89">
        <w:trPr>
          <w:trHeight w:val="20"/>
        </w:trPr>
        <w:tc>
          <w:tcPr>
            <w:tcW w:w="704" w:type="dxa"/>
            <w:shd w:val="clear" w:color="auto" w:fill="auto"/>
            <w:noWrap/>
          </w:tcPr>
          <w:p w14:paraId="11E2CBE5"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44B4B8BA"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41F9BAC" w14:textId="77777777" w:rsidR="00422091" w:rsidRPr="005E4BEA" w:rsidRDefault="00422091" w:rsidP="006F2C89">
            <w:pPr>
              <w:spacing w:line="240" w:lineRule="auto"/>
              <w:jc w:val="both"/>
              <w:rPr>
                <w:rFonts w:cs="Arial"/>
                <w:szCs w:val="20"/>
              </w:rPr>
            </w:pPr>
            <w:r w:rsidRPr="005E4BEA">
              <w:rPr>
                <w:rFonts w:cs="Arial"/>
                <w:szCs w:val="20"/>
              </w:rPr>
              <w:t>PUL028</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BA4091A" w14:textId="77777777" w:rsidR="00422091" w:rsidRPr="005E4BEA" w:rsidRDefault="00422091" w:rsidP="006F2C89">
            <w:pPr>
              <w:spacing w:line="240" w:lineRule="auto"/>
              <w:jc w:val="both"/>
              <w:rPr>
                <w:rFonts w:cs="Arial"/>
                <w:szCs w:val="20"/>
              </w:rPr>
            </w:pPr>
            <w:r w:rsidRPr="005E4BEA">
              <w:rPr>
                <w:rFonts w:cs="Arial"/>
                <w:szCs w:val="20"/>
              </w:rPr>
              <w:t>UZ srca</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EFDE856" w14:textId="77777777" w:rsidR="00422091" w:rsidRPr="005E4BEA" w:rsidRDefault="00422091" w:rsidP="006F2C89">
            <w:pPr>
              <w:spacing w:line="240" w:lineRule="auto"/>
              <w:jc w:val="right"/>
              <w:rPr>
                <w:rFonts w:cs="Arial"/>
                <w:szCs w:val="20"/>
              </w:rPr>
            </w:pPr>
            <w:r w:rsidRPr="005E4BEA">
              <w:rPr>
                <w:rFonts w:cs="Arial"/>
                <w:szCs w:val="20"/>
              </w:rPr>
              <w:t>81,44</w:t>
            </w:r>
          </w:p>
        </w:tc>
      </w:tr>
      <w:tr w:rsidR="00422091" w:rsidRPr="005E4BEA" w14:paraId="0C4EEE03" w14:textId="77777777" w:rsidTr="006F2C89">
        <w:trPr>
          <w:trHeight w:val="20"/>
        </w:trPr>
        <w:tc>
          <w:tcPr>
            <w:tcW w:w="704" w:type="dxa"/>
            <w:shd w:val="clear" w:color="auto" w:fill="auto"/>
            <w:noWrap/>
          </w:tcPr>
          <w:p w14:paraId="574E85F9"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A767D64"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EB560A9" w14:textId="77777777" w:rsidR="00422091" w:rsidRPr="005E4BEA" w:rsidRDefault="00422091" w:rsidP="006F2C89">
            <w:pPr>
              <w:spacing w:line="240" w:lineRule="auto"/>
              <w:jc w:val="both"/>
              <w:rPr>
                <w:rFonts w:cs="Arial"/>
                <w:szCs w:val="20"/>
              </w:rPr>
            </w:pPr>
            <w:r w:rsidRPr="005E4BEA">
              <w:rPr>
                <w:rFonts w:cs="Arial"/>
                <w:szCs w:val="20"/>
              </w:rPr>
              <w:t>PUL029</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F4A0CA1" w14:textId="77777777" w:rsidR="00422091" w:rsidRPr="005E4BEA" w:rsidRDefault="00422091" w:rsidP="006F2C89">
            <w:pPr>
              <w:spacing w:line="240" w:lineRule="auto"/>
              <w:jc w:val="both"/>
              <w:rPr>
                <w:rFonts w:cs="Arial"/>
                <w:szCs w:val="20"/>
              </w:rPr>
            </w:pPr>
            <w:r w:rsidRPr="005E4BEA">
              <w:rPr>
                <w:rFonts w:cs="Arial"/>
                <w:szCs w:val="20"/>
              </w:rPr>
              <w:t>Doppler ven</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56D38981" w14:textId="77777777" w:rsidR="00422091" w:rsidRPr="005E4BEA" w:rsidRDefault="00422091" w:rsidP="006F2C89">
            <w:pPr>
              <w:spacing w:line="240" w:lineRule="auto"/>
              <w:jc w:val="right"/>
              <w:rPr>
                <w:rFonts w:cs="Arial"/>
                <w:szCs w:val="20"/>
              </w:rPr>
            </w:pPr>
            <w:r w:rsidRPr="005E4BEA">
              <w:rPr>
                <w:rFonts w:cs="Arial"/>
                <w:szCs w:val="20"/>
              </w:rPr>
              <w:t>66,18</w:t>
            </w:r>
          </w:p>
        </w:tc>
      </w:tr>
      <w:tr w:rsidR="00422091" w:rsidRPr="005E4BEA" w14:paraId="07E60917" w14:textId="77777777" w:rsidTr="006F2C89">
        <w:trPr>
          <w:trHeight w:val="20"/>
        </w:trPr>
        <w:tc>
          <w:tcPr>
            <w:tcW w:w="704" w:type="dxa"/>
            <w:shd w:val="clear" w:color="auto" w:fill="auto"/>
            <w:noWrap/>
          </w:tcPr>
          <w:p w14:paraId="4B0D9BE4"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64225982"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4D0CEB5" w14:textId="77777777" w:rsidR="00422091" w:rsidRPr="005E4BEA" w:rsidRDefault="00422091" w:rsidP="006F2C89">
            <w:pPr>
              <w:spacing w:line="240" w:lineRule="auto"/>
              <w:jc w:val="both"/>
              <w:rPr>
                <w:rFonts w:cs="Arial"/>
                <w:szCs w:val="20"/>
              </w:rPr>
            </w:pPr>
            <w:r w:rsidRPr="005E4BEA">
              <w:rPr>
                <w:rFonts w:cs="Arial"/>
                <w:szCs w:val="20"/>
              </w:rPr>
              <w:t>PUL030</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996C09C" w14:textId="77777777" w:rsidR="00422091" w:rsidRPr="005E4BEA" w:rsidRDefault="00422091" w:rsidP="006F2C89">
            <w:pPr>
              <w:spacing w:line="240" w:lineRule="auto"/>
              <w:jc w:val="both"/>
              <w:rPr>
                <w:rFonts w:cs="Arial"/>
                <w:szCs w:val="20"/>
              </w:rPr>
            </w:pPr>
            <w:r w:rsidRPr="005E4BEA">
              <w:rPr>
                <w:rFonts w:cs="Arial"/>
                <w:szCs w:val="20"/>
              </w:rPr>
              <w:t>Cepljenje - posamična aplik. vakcine</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767E5C2" w14:textId="77777777" w:rsidR="00422091" w:rsidRPr="005E4BEA" w:rsidRDefault="00422091" w:rsidP="006F2C89">
            <w:pPr>
              <w:spacing w:line="240" w:lineRule="auto"/>
              <w:jc w:val="right"/>
              <w:rPr>
                <w:rFonts w:cs="Arial"/>
                <w:szCs w:val="20"/>
              </w:rPr>
            </w:pPr>
            <w:r w:rsidRPr="005E4BEA">
              <w:rPr>
                <w:rFonts w:cs="Arial"/>
                <w:szCs w:val="20"/>
              </w:rPr>
              <w:t>7,97</w:t>
            </w:r>
          </w:p>
        </w:tc>
      </w:tr>
      <w:tr w:rsidR="00422091" w:rsidRPr="005E4BEA" w14:paraId="60500B73" w14:textId="77777777" w:rsidTr="006F2C89">
        <w:trPr>
          <w:trHeight w:val="20"/>
        </w:trPr>
        <w:tc>
          <w:tcPr>
            <w:tcW w:w="704" w:type="dxa"/>
            <w:shd w:val="clear" w:color="auto" w:fill="auto"/>
            <w:noWrap/>
          </w:tcPr>
          <w:p w14:paraId="1EF76105"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1351AFFF"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3FD97F70" w14:textId="77777777" w:rsidR="00422091" w:rsidRPr="005E4BEA" w:rsidRDefault="00422091" w:rsidP="006F2C89">
            <w:pPr>
              <w:spacing w:line="240" w:lineRule="auto"/>
              <w:jc w:val="both"/>
              <w:rPr>
                <w:rFonts w:cs="Arial"/>
                <w:szCs w:val="20"/>
              </w:rPr>
            </w:pPr>
            <w:r w:rsidRPr="005E4BEA">
              <w:rPr>
                <w:rFonts w:cs="Arial"/>
                <w:szCs w:val="20"/>
              </w:rPr>
              <w:t>PUL031</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5FAAF33" w14:textId="77777777" w:rsidR="00422091" w:rsidRPr="005E4BEA" w:rsidRDefault="00422091" w:rsidP="006F2C89">
            <w:pPr>
              <w:spacing w:line="240" w:lineRule="auto"/>
              <w:jc w:val="both"/>
              <w:rPr>
                <w:rFonts w:cs="Arial"/>
                <w:szCs w:val="20"/>
              </w:rPr>
            </w:pPr>
            <w:proofErr w:type="spellStart"/>
            <w:r w:rsidRPr="005E4BEA">
              <w:rPr>
                <w:rFonts w:cs="Arial"/>
                <w:szCs w:val="20"/>
              </w:rPr>
              <w:t>Krpični</w:t>
            </w:r>
            <w:proofErr w:type="spellEnd"/>
            <w:r w:rsidRPr="005E4BEA">
              <w:rPr>
                <w:rFonts w:cs="Arial"/>
                <w:szCs w:val="20"/>
              </w:rPr>
              <w:t xml:space="preserve"> testi</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D200441" w14:textId="77777777" w:rsidR="00422091" w:rsidRPr="005E4BEA" w:rsidRDefault="00422091" w:rsidP="006F2C89">
            <w:pPr>
              <w:spacing w:line="240" w:lineRule="auto"/>
              <w:jc w:val="right"/>
              <w:rPr>
                <w:rFonts w:cs="Arial"/>
                <w:szCs w:val="20"/>
              </w:rPr>
            </w:pPr>
            <w:r w:rsidRPr="005E4BEA">
              <w:rPr>
                <w:rFonts w:cs="Arial"/>
                <w:szCs w:val="20"/>
              </w:rPr>
              <w:t>54,91</w:t>
            </w:r>
          </w:p>
        </w:tc>
      </w:tr>
      <w:tr w:rsidR="00422091" w:rsidRPr="005E4BEA" w14:paraId="0382B6DB" w14:textId="77777777" w:rsidTr="006F2C89">
        <w:trPr>
          <w:trHeight w:val="20"/>
        </w:trPr>
        <w:tc>
          <w:tcPr>
            <w:tcW w:w="704" w:type="dxa"/>
            <w:shd w:val="clear" w:color="auto" w:fill="auto"/>
            <w:noWrap/>
          </w:tcPr>
          <w:p w14:paraId="79D432CF"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5CAE2EF3"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214C14F1" w14:textId="77777777" w:rsidR="00422091" w:rsidRPr="005E4BEA" w:rsidRDefault="00422091" w:rsidP="006F2C89">
            <w:pPr>
              <w:spacing w:line="240" w:lineRule="auto"/>
              <w:jc w:val="both"/>
              <w:rPr>
                <w:rFonts w:cs="Arial"/>
                <w:szCs w:val="20"/>
              </w:rPr>
            </w:pPr>
            <w:r w:rsidRPr="005E4BEA">
              <w:rPr>
                <w:rFonts w:cs="Arial"/>
                <w:szCs w:val="20"/>
              </w:rPr>
              <w:t>PUL032</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ECC3445" w14:textId="77777777" w:rsidR="00422091" w:rsidRPr="005E4BEA" w:rsidRDefault="00422091" w:rsidP="006F2C89">
            <w:pPr>
              <w:spacing w:line="240" w:lineRule="auto"/>
              <w:jc w:val="both"/>
              <w:rPr>
                <w:rFonts w:cs="Arial"/>
                <w:szCs w:val="20"/>
              </w:rPr>
            </w:pPr>
            <w:r w:rsidRPr="005E4BEA">
              <w:rPr>
                <w:rFonts w:cs="Arial"/>
                <w:szCs w:val="20"/>
              </w:rPr>
              <w:t>Ambulantna rehabilitacija kroničnih pljučnih bolnikov</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AFE2948" w14:textId="77777777" w:rsidR="00422091" w:rsidRPr="005E4BEA" w:rsidRDefault="00422091" w:rsidP="006F2C89">
            <w:pPr>
              <w:spacing w:line="240" w:lineRule="auto"/>
              <w:jc w:val="right"/>
              <w:rPr>
                <w:rFonts w:cs="Arial"/>
                <w:szCs w:val="20"/>
              </w:rPr>
            </w:pPr>
            <w:r w:rsidRPr="005E4BEA">
              <w:rPr>
                <w:rFonts w:cs="Arial"/>
                <w:szCs w:val="20"/>
              </w:rPr>
              <w:t>55,67</w:t>
            </w:r>
          </w:p>
        </w:tc>
      </w:tr>
      <w:tr w:rsidR="00422091" w:rsidRPr="005E4BEA" w14:paraId="795E3A94" w14:textId="77777777" w:rsidTr="006F2C89">
        <w:trPr>
          <w:trHeight w:val="20"/>
        </w:trPr>
        <w:tc>
          <w:tcPr>
            <w:tcW w:w="704" w:type="dxa"/>
            <w:shd w:val="clear" w:color="auto" w:fill="auto"/>
            <w:noWrap/>
          </w:tcPr>
          <w:p w14:paraId="48ADA13C"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480F650C"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11A44691" w14:textId="77777777" w:rsidR="00422091" w:rsidRPr="005E4BEA" w:rsidRDefault="00422091" w:rsidP="006F2C89">
            <w:pPr>
              <w:spacing w:line="240" w:lineRule="auto"/>
              <w:jc w:val="both"/>
              <w:rPr>
                <w:rFonts w:cs="Arial"/>
                <w:szCs w:val="20"/>
              </w:rPr>
            </w:pPr>
            <w:r w:rsidRPr="005E4BEA">
              <w:rPr>
                <w:rFonts w:cs="Arial"/>
                <w:szCs w:val="20"/>
              </w:rPr>
              <w:t>PUL033</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633EDE8" w14:textId="77777777" w:rsidR="00422091" w:rsidRPr="005E4BEA" w:rsidRDefault="00422091" w:rsidP="006F2C89">
            <w:pPr>
              <w:spacing w:line="240" w:lineRule="auto"/>
              <w:jc w:val="both"/>
              <w:rPr>
                <w:rFonts w:cs="Arial"/>
                <w:szCs w:val="20"/>
              </w:rPr>
            </w:pPr>
            <w:proofErr w:type="spellStart"/>
            <w:r w:rsidRPr="005E4BEA">
              <w:rPr>
                <w:rFonts w:cs="Arial"/>
                <w:szCs w:val="20"/>
              </w:rPr>
              <w:t>Poligrafija</w:t>
            </w:r>
            <w:proofErr w:type="spellEnd"/>
            <w:r w:rsidRPr="005E4BEA">
              <w:rPr>
                <w:rFonts w:cs="Arial"/>
                <w:szCs w:val="20"/>
              </w:rPr>
              <w:t xml:space="preserve"> spanja na domu</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713AD730" w14:textId="77777777" w:rsidR="00422091" w:rsidRPr="005E4BEA" w:rsidRDefault="00422091" w:rsidP="006F2C89">
            <w:pPr>
              <w:spacing w:line="240" w:lineRule="auto"/>
              <w:jc w:val="right"/>
              <w:rPr>
                <w:rFonts w:cs="Arial"/>
                <w:szCs w:val="20"/>
              </w:rPr>
            </w:pPr>
            <w:r w:rsidRPr="005E4BEA">
              <w:rPr>
                <w:rFonts w:cs="Arial"/>
                <w:szCs w:val="20"/>
              </w:rPr>
              <w:t>135,92</w:t>
            </w:r>
          </w:p>
        </w:tc>
      </w:tr>
      <w:tr w:rsidR="00422091" w:rsidRPr="005E4BEA" w14:paraId="5E691C17" w14:textId="77777777" w:rsidTr="006F2C89">
        <w:trPr>
          <w:trHeight w:val="20"/>
        </w:trPr>
        <w:tc>
          <w:tcPr>
            <w:tcW w:w="704" w:type="dxa"/>
            <w:shd w:val="clear" w:color="auto" w:fill="auto"/>
            <w:noWrap/>
          </w:tcPr>
          <w:p w14:paraId="2EFA4092"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518BDDCE"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DC90D96" w14:textId="77777777" w:rsidR="00422091" w:rsidRPr="005E4BEA" w:rsidRDefault="00422091" w:rsidP="006F2C89">
            <w:pPr>
              <w:spacing w:line="240" w:lineRule="auto"/>
              <w:jc w:val="both"/>
              <w:rPr>
                <w:rFonts w:cs="Arial"/>
                <w:szCs w:val="20"/>
              </w:rPr>
            </w:pPr>
            <w:r w:rsidRPr="005E4BEA">
              <w:rPr>
                <w:rFonts w:cs="Arial"/>
                <w:szCs w:val="20"/>
              </w:rPr>
              <w:t>PUL034</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51B26F5" w14:textId="77777777" w:rsidR="00422091" w:rsidRPr="005E4BEA" w:rsidRDefault="00422091" w:rsidP="006F2C89">
            <w:pPr>
              <w:spacing w:line="240" w:lineRule="auto"/>
              <w:jc w:val="both"/>
              <w:rPr>
                <w:rFonts w:cs="Arial"/>
                <w:szCs w:val="20"/>
              </w:rPr>
            </w:pPr>
            <w:r w:rsidRPr="005E4BEA">
              <w:rPr>
                <w:rFonts w:cs="Arial"/>
                <w:szCs w:val="20"/>
              </w:rPr>
              <w:t>Meritev NO v izdihanem zraku</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DB25B66" w14:textId="77777777" w:rsidR="00422091" w:rsidRPr="005E4BEA" w:rsidRDefault="00422091" w:rsidP="006F2C89">
            <w:pPr>
              <w:spacing w:line="240" w:lineRule="auto"/>
              <w:jc w:val="right"/>
              <w:rPr>
                <w:rFonts w:cs="Arial"/>
                <w:szCs w:val="20"/>
              </w:rPr>
            </w:pPr>
            <w:r w:rsidRPr="005E4BEA">
              <w:rPr>
                <w:rFonts w:cs="Arial"/>
                <w:szCs w:val="20"/>
              </w:rPr>
              <w:t>22,43</w:t>
            </w:r>
          </w:p>
        </w:tc>
      </w:tr>
      <w:tr w:rsidR="00422091" w:rsidRPr="005E4BEA" w14:paraId="20AA8796" w14:textId="77777777" w:rsidTr="006F2C89">
        <w:trPr>
          <w:trHeight w:val="20"/>
        </w:trPr>
        <w:tc>
          <w:tcPr>
            <w:tcW w:w="704" w:type="dxa"/>
            <w:shd w:val="clear" w:color="auto" w:fill="auto"/>
            <w:noWrap/>
          </w:tcPr>
          <w:p w14:paraId="01677580"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9136C7D"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7935F211" w14:textId="77777777" w:rsidR="00422091" w:rsidRPr="005E4BEA" w:rsidRDefault="00422091" w:rsidP="006F2C89">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59468E5" w14:textId="77777777" w:rsidR="00422091" w:rsidRPr="005E4BEA" w:rsidRDefault="00422091" w:rsidP="006F2C89">
            <w:pPr>
              <w:spacing w:line="240" w:lineRule="auto"/>
              <w:jc w:val="both"/>
              <w:rPr>
                <w:rFonts w:cs="Arial"/>
                <w:szCs w:val="20"/>
              </w:rPr>
            </w:pPr>
            <w:r w:rsidRPr="005E4BEA">
              <w:rPr>
                <w:rFonts w:cs="Arial"/>
                <w:szCs w:val="20"/>
              </w:rPr>
              <w:t>Diagnostična obravnava težavnega poteka bolezni dihal</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4988D043" w14:textId="77777777" w:rsidR="00422091" w:rsidRPr="005E4BEA" w:rsidRDefault="00422091" w:rsidP="006F2C89">
            <w:pPr>
              <w:spacing w:line="240" w:lineRule="auto"/>
              <w:jc w:val="right"/>
              <w:rPr>
                <w:rFonts w:cs="Arial"/>
                <w:szCs w:val="20"/>
              </w:rPr>
            </w:pPr>
            <w:r w:rsidRPr="005E4BEA">
              <w:rPr>
                <w:rFonts w:cs="Arial"/>
                <w:szCs w:val="20"/>
              </w:rPr>
              <w:t>1.307,90</w:t>
            </w:r>
          </w:p>
        </w:tc>
      </w:tr>
      <w:tr w:rsidR="00422091" w:rsidRPr="005E4BEA" w14:paraId="530892A2" w14:textId="77777777" w:rsidTr="006F2C89">
        <w:trPr>
          <w:trHeight w:val="20"/>
        </w:trPr>
        <w:tc>
          <w:tcPr>
            <w:tcW w:w="704" w:type="dxa"/>
            <w:shd w:val="clear" w:color="auto" w:fill="auto"/>
            <w:noWrap/>
          </w:tcPr>
          <w:p w14:paraId="492058E3"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8FEDCAB"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4649503" w14:textId="77777777" w:rsidR="00422091" w:rsidRPr="005E4BEA" w:rsidRDefault="00422091" w:rsidP="006F2C89">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1B58EE7" w14:textId="77777777" w:rsidR="00422091" w:rsidRPr="005E4BEA" w:rsidRDefault="00422091" w:rsidP="006F2C89">
            <w:pPr>
              <w:spacing w:line="240" w:lineRule="auto"/>
              <w:jc w:val="both"/>
              <w:rPr>
                <w:rFonts w:cs="Arial"/>
                <w:szCs w:val="20"/>
              </w:rPr>
            </w:pPr>
            <w:r w:rsidRPr="005E4BEA">
              <w:rPr>
                <w:rFonts w:cs="Arial"/>
                <w:szCs w:val="20"/>
              </w:rPr>
              <w:t>Obravnava bolnikov po presaditvi pljuč</w:t>
            </w:r>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2D37DC3B" w14:textId="77777777" w:rsidR="00422091" w:rsidRPr="005E4BEA" w:rsidRDefault="00422091" w:rsidP="006F2C89">
            <w:pPr>
              <w:spacing w:line="240" w:lineRule="auto"/>
              <w:jc w:val="right"/>
              <w:rPr>
                <w:rFonts w:cs="Arial"/>
                <w:szCs w:val="20"/>
              </w:rPr>
            </w:pPr>
            <w:r w:rsidRPr="005E4BEA">
              <w:rPr>
                <w:rFonts w:cs="Arial"/>
                <w:szCs w:val="20"/>
              </w:rPr>
              <w:t>357,65</w:t>
            </w:r>
          </w:p>
        </w:tc>
      </w:tr>
      <w:tr w:rsidR="00422091" w:rsidRPr="005E4BEA" w14:paraId="40376B4F" w14:textId="77777777" w:rsidTr="006F2C89">
        <w:trPr>
          <w:trHeight w:val="20"/>
        </w:trPr>
        <w:tc>
          <w:tcPr>
            <w:tcW w:w="704" w:type="dxa"/>
            <w:shd w:val="clear" w:color="auto" w:fill="auto"/>
            <w:noWrap/>
          </w:tcPr>
          <w:p w14:paraId="0AEE4179"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715272A8"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03057D9D" w14:textId="77777777" w:rsidR="00422091" w:rsidRPr="005E4BEA" w:rsidRDefault="00422091" w:rsidP="006F2C89">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4B096C7" w14:textId="77777777" w:rsidR="00422091" w:rsidRPr="005E4BEA" w:rsidRDefault="00422091" w:rsidP="006F2C89">
            <w:pPr>
              <w:spacing w:line="240" w:lineRule="auto"/>
              <w:jc w:val="both"/>
              <w:rPr>
                <w:rFonts w:cs="Arial"/>
                <w:szCs w:val="20"/>
              </w:rPr>
            </w:pPr>
            <w:r w:rsidRPr="005E4BEA">
              <w:rPr>
                <w:rFonts w:cs="Arial"/>
                <w:szCs w:val="20"/>
              </w:rPr>
              <w:t xml:space="preserve">Letni pregled bolnika s cistično </w:t>
            </w:r>
            <w:proofErr w:type="spellStart"/>
            <w:r w:rsidRPr="005E4BEA">
              <w:rPr>
                <w:rFonts w:cs="Arial"/>
                <w:szCs w:val="20"/>
              </w:rPr>
              <w:t>fibrozo</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05950041" w14:textId="77777777" w:rsidR="00422091" w:rsidRPr="005E4BEA" w:rsidRDefault="00422091" w:rsidP="006F2C89">
            <w:pPr>
              <w:spacing w:line="240" w:lineRule="auto"/>
              <w:jc w:val="right"/>
              <w:rPr>
                <w:rFonts w:cs="Arial"/>
                <w:szCs w:val="20"/>
              </w:rPr>
            </w:pPr>
            <w:r w:rsidRPr="005E4BEA">
              <w:rPr>
                <w:rFonts w:cs="Arial"/>
                <w:szCs w:val="20"/>
              </w:rPr>
              <w:t>2.077,80</w:t>
            </w:r>
          </w:p>
        </w:tc>
      </w:tr>
      <w:tr w:rsidR="00422091" w:rsidRPr="005E4BEA" w14:paraId="1E467A81" w14:textId="77777777" w:rsidTr="006F2C89">
        <w:trPr>
          <w:trHeight w:val="20"/>
        </w:trPr>
        <w:tc>
          <w:tcPr>
            <w:tcW w:w="704" w:type="dxa"/>
            <w:shd w:val="clear" w:color="auto" w:fill="auto"/>
            <w:noWrap/>
          </w:tcPr>
          <w:p w14:paraId="291C9F01" w14:textId="77777777" w:rsidR="00422091" w:rsidRPr="005E4BEA" w:rsidRDefault="00422091" w:rsidP="006F2C89">
            <w:pPr>
              <w:spacing w:line="240" w:lineRule="auto"/>
              <w:jc w:val="both"/>
              <w:rPr>
                <w:rFonts w:cs="Arial"/>
                <w:szCs w:val="20"/>
              </w:rPr>
            </w:pPr>
            <w:r w:rsidRPr="005E4BEA">
              <w:rPr>
                <w:rFonts w:cs="Arial"/>
                <w:szCs w:val="20"/>
              </w:rPr>
              <w:t>229</w:t>
            </w:r>
          </w:p>
        </w:tc>
        <w:tc>
          <w:tcPr>
            <w:tcW w:w="851" w:type="dxa"/>
          </w:tcPr>
          <w:p w14:paraId="4A0CAC20" w14:textId="77777777" w:rsidR="00422091" w:rsidRPr="005E4BEA" w:rsidRDefault="00422091" w:rsidP="006F2C89">
            <w:pPr>
              <w:spacing w:line="240" w:lineRule="auto"/>
              <w:jc w:val="both"/>
              <w:rPr>
                <w:rFonts w:cs="Arial"/>
                <w:szCs w:val="20"/>
              </w:rPr>
            </w:pPr>
            <w:r w:rsidRPr="005E4BEA">
              <w:rPr>
                <w:rFonts w:cs="Arial"/>
                <w:szCs w:val="20"/>
              </w:rPr>
              <w:t>239</w:t>
            </w:r>
          </w:p>
        </w:tc>
        <w:tc>
          <w:tcPr>
            <w:tcW w:w="850" w:type="dxa"/>
            <w:tcBorders>
              <w:top w:val="single" w:sz="4" w:space="0" w:color="8496B0" w:themeColor="text2" w:themeTint="99"/>
              <w:left w:val="nil"/>
              <w:bottom w:val="single" w:sz="4" w:space="0" w:color="8496B0" w:themeColor="text2" w:themeTint="99"/>
              <w:right w:val="single" w:sz="4" w:space="0" w:color="8496B0" w:themeColor="text2" w:themeTint="99"/>
            </w:tcBorders>
            <w:shd w:val="clear" w:color="auto" w:fill="auto"/>
            <w:noWrap/>
            <w:vAlign w:val="bottom"/>
          </w:tcPr>
          <w:p w14:paraId="63341B65" w14:textId="77777777" w:rsidR="00422091" w:rsidRPr="005E4BEA" w:rsidRDefault="00422091" w:rsidP="006F2C89">
            <w:pPr>
              <w:spacing w:line="240" w:lineRule="auto"/>
              <w:jc w:val="both"/>
              <w:rPr>
                <w:rFonts w:cs="Arial"/>
                <w:szCs w:val="20"/>
              </w:rPr>
            </w:pPr>
            <w:r w:rsidRPr="005E4BEA">
              <w:rPr>
                <w:rFonts w:cs="Arial"/>
                <w:szCs w:val="20"/>
              </w:rPr>
              <w:t>E</w:t>
            </w:r>
          </w:p>
        </w:tc>
        <w:tc>
          <w:tcPr>
            <w:tcW w:w="439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610BCE60" w14:textId="77777777" w:rsidR="00422091" w:rsidRPr="005E4BEA" w:rsidRDefault="00422091" w:rsidP="006F2C89">
            <w:pPr>
              <w:spacing w:line="240" w:lineRule="auto"/>
              <w:jc w:val="both"/>
              <w:rPr>
                <w:rFonts w:cs="Arial"/>
                <w:szCs w:val="20"/>
              </w:rPr>
            </w:pPr>
            <w:r w:rsidRPr="005E4BEA">
              <w:rPr>
                <w:rFonts w:cs="Arial"/>
                <w:szCs w:val="20"/>
              </w:rPr>
              <w:t xml:space="preserve">Kontrolni pregled bolnika s cistično </w:t>
            </w:r>
            <w:proofErr w:type="spellStart"/>
            <w:r w:rsidRPr="005E4BEA">
              <w:rPr>
                <w:rFonts w:cs="Arial"/>
                <w:szCs w:val="20"/>
              </w:rPr>
              <w:t>fibrozo</w:t>
            </w:r>
            <w:proofErr w:type="spellEnd"/>
          </w:p>
        </w:tc>
        <w:tc>
          <w:tcPr>
            <w:tcW w:w="1276"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bottom"/>
          </w:tcPr>
          <w:p w14:paraId="1CF92D2B" w14:textId="77777777" w:rsidR="00422091" w:rsidRPr="005E4BEA" w:rsidRDefault="00422091" w:rsidP="006F2C89">
            <w:pPr>
              <w:spacing w:line="240" w:lineRule="auto"/>
              <w:jc w:val="right"/>
              <w:rPr>
                <w:rFonts w:cs="Arial"/>
                <w:szCs w:val="20"/>
              </w:rPr>
            </w:pPr>
            <w:r w:rsidRPr="005E4BEA">
              <w:rPr>
                <w:rFonts w:cs="Arial"/>
                <w:szCs w:val="20"/>
              </w:rPr>
              <w:t>470,92</w:t>
            </w:r>
          </w:p>
        </w:tc>
      </w:tr>
    </w:tbl>
    <w:p w14:paraId="10D65CF7" w14:textId="77777777" w:rsidR="00422091" w:rsidRPr="005E4BEA" w:rsidRDefault="00422091" w:rsidP="00422091">
      <w:pPr>
        <w:spacing w:line="240" w:lineRule="auto"/>
        <w:jc w:val="both"/>
        <w:rPr>
          <w:rFonts w:cs="Arial"/>
          <w:szCs w:val="20"/>
        </w:rPr>
      </w:pPr>
    </w:p>
    <w:p w14:paraId="0AB928C1" w14:textId="77777777" w:rsidR="00422091" w:rsidRPr="005E4BEA" w:rsidRDefault="00422091" w:rsidP="00422091">
      <w:pPr>
        <w:spacing w:line="240" w:lineRule="auto"/>
        <w:jc w:val="both"/>
        <w:rPr>
          <w:rFonts w:cs="Arial"/>
          <w:szCs w:val="20"/>
        </w:rPr>
      </w:pPr>
    </w:p>
    <w:p w14:paraId="7C5D305A" w14:textId="77777777" w:rsidR="00422091" w:rsidRPr="005E4BEA" w:rsidRDefault="00422091" w:rsidP="00422091">
      <w:pPr>
        <w:spacing w:line="240" w:lineRule="exact"/>
        <w:jc w:val="both"/>
        <w:rPr>
          <w:rFonts w:cs="Arial"/>
          <w:b/>
          <w:szCs w:val="20"/>
        </w:rPr>
      </w:pPr>
      <w:r w:rsidRPr="005E4BEA">
        <w:rPr>
          <w:rFonts w:cs="Arial"/>
          <w:b/>
          <w:szCs w:val="20"/>
        </w:rPr>
        <w:t>V Prilogi I/d se dodata novi točki, ki se glasita:</w:t>
      </w:r>
    </w:p>
    <w:p w14:paraId="1E14EE66" w14:textId="77777777" w:rsidR="00422091" w:rsidRPr="005E4BEA" w:rsidRDefault="00422091" w:rsidP="00422091">
      <w:pPr>
        <w:spacing w:line="240" w:lineRule="auto"/>
        <w:jc w:val="both"/>
        <w:rPr>
          <w:rFonts w:cs="Arial"/>
          <w:szCs w:val="20"/>
        </w:rPr>
      </w:pPr>
    </w:p>
    <w:tbl>
      <w:tblPr>
        <w:tblW w:w="9100" w:type="dxa"/>
        <w:tblInd w:w="55" w:type="dxa"/>
        <w:tblCellMar>
          <w:left w:w="70" w:type="dxa"/>
          <w:right w:w="70" w:type="dxa"/>
        </w:tblCellMar>
        <w:tblLook w:val="04A0" w:firstRow="1" w:lastRow="0" w:firstColumn="1" w:lastColumn="0" w:noHBand="0" w:noVBand="1"/>
      </w:tblPr>
      <w:tblGrid>
        <w:gridCol w:w="1149"/>
        <w:gridCol w:w="851"/>
        <w:gridCol w:w="4543"/>
        <w:gridCol w:w="989"/>
        <w:gridCol w:w="1568"/>
      </w:tblGrid>
      <w:tr w:rsidR="00422091" w:rsidRPr="005E4BEA" w14:paraId="5DDC50B3" w14:textId="77777777" w:rsidTr="006F2C89">
        <w:trPr>
          <w:trHeight w:hRule="exact" w:val="794"/>
        </w:trPr>
        <w:tc>
          <w:tcPr>
            <w:tcW w:w="1149" w:type="dxa"/>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240A82B8" w14:textId="77777777" w:rsidR="00422091" w:rsidRPr="005E4BEA" w:rsidRDefault="00422091" w:rsidP="006F2C89">
            <w:pPr>
              <w:spacing w:line="240" w:lineRule="exact"/>
              <w:rPr>
                <w:rFonts w:cs="Arial"/>
                <w:szCs w:val="20"/>
              </w:rPr>
            </w:pPr>
            <w:r w:rsidRPr="005E4BEA">
              <w:rPr>
                <w:rFonts w:cs="Arial"/>
                <w:szCs w:val="20"/>
              </w:rPr>
              <w:t>16. člen (odstavek) točka</w:t>
            </w:r>
          </w:p>
        </w:tc>
        <w:tc>
          <w:tcPr>
            <w:tcW w:w="851" w:type="dxa"/>
            <w:tcBorders>
              <w:top w:val="single" w:sz="4" w:space="0" w:color="538DD5"/>
              <w:left w:val="nil"/>
              <w:bottom w:val="single" w:sz="4" w:space="0" w:color="538DD5"/>
              <w:right w:val="single" w:sz="4" w:space="0" w:color="538DD5"/>
            </w:tcBorders>
            <w:shd w:val="clear" w:color="auto" w:fill="auto"/>
            <w:vAlign w:val="center"/>
            <w:hideMark/>
          </w:tcPr>
          <w:p w14:paraId="42458125" w14:textId="77777777" w:rsidR="00422091" w:rsidRPr="005E4BEA" w:rsidRDefault="00422091" w:rsidP="006F2C89">
            <w:pPr>
              <w:spacing w:line="240" w:lineRule="exact"/>
              <w:jc w:val="both"/>
              <w:rPr>
                <w:rFonts w:cs="Arial"/>
                <w:szCs w:val="20"/>
              </w:rPr>
            </w:pPr>
            <w:r w:rsidRPr="005E4BEA">
              <w:rPr>
                <w:rFonts w:cs="Arial"/>
                <w:szCs w:val="20"/>
              </w:rPr>
              <w:t>Šifra po šifrantu 15.28</w:t>
            </w:r>
          </w:p>
        </w:tc>
        <w:tc>
          <w:tcPr>
            <w:tcW w:w="4543" w:type="dxa"/>
            <w:tcBorders>
              <w:top w:val="single" w:sz="4" w:space="0" w:color="538DD5"/>
              <w:left w:val="single" w:sz="4" w:space="0" w:color="538DD5"/>
              <w:bottom w:val="single" w:sz="4" w:space="0" w:color="538DD5"/>
              <w:right w:val="single" w:sz="4" w:space="0" w:color="538DD5"/>
            </w:tcBorders>
            <w:vAlign w:val="center"/>
            <w:hideMark/>
          </w:tcPr>
          <w:p w14:paraId="7F783A09" w14:textId="77777777" w:rsidR="00422091" w:rsidRPr="005E4BEA" w:rsidRDefault="00422091" w:rsidP="006F2C89">
            <w:pPr>
              <w:spacing w:line="240" w:lineRule="exact"/>
              <w:jc w:val="both"/>
              <w:rPr>
                <w:rFonts w:cs="Arial"/>
                <w:szCs w:val="20"/>
              </w:rPr>
            </w:pPr>
            <w:r w:rsidRPr="005E4BEA">
              <w:rPr>
                <w:rFonts w:cs="Arial"/>
                <w:szCs w:val="20"/>
              </w:rPr>
              <w:t>Ločeno zaračunljivi material in preiskave</w:t>
            </w:r>
          </w:p>
        </w:tc>
        <w:tc>
          <w:tcPr>
            <w:tcW w:w="989" w:type="dxa"/>
            <w:tcBorders>
              <w:top w:val="single" w:sz="4" w:space="0" w:color="538DD5"/>
              <w:left w:val="nil"/>
              <w:bottom w:val="single" w:sz="4" w:space="0" w:color="538DD5"/>
              <w:right w:val="single" w:sz="4" w:space="0" w:color="538DD5"/>
            </w:tcBorders>
            <w:shd w:val="clear" w:color="auto" w:fill="auto"/>
            <w:hideMark/>
          </w:tcPr>
          <w:p w14:paraId="4257640E" w14:textId="77777777" w:rsidR="00422091" w:rsidRPr="005E4BEA" w:rsidRDefault="00422091" w:rsidP="006F2C89">
            <w:pPr>
              <w:spacing w:line="240" w:lineRule="exact"/>
              <w:jc w:val="center"/>
              <w:rPr>
                <w:rFonts w:cs="Arial"/>
                <w:szCs w:val="20"/>
              </w:rPr>
            </w:pPr>
            <w:r w:rsidRPr="005E4BEA">
              <w:rPr>
                <w:rFonts w:cs="Arial"/>
                <w:szCs w:val="20"/>
              </w:rPr>
              <w:t>Merska enota</w:t>
            </w:r>
          </w:p>
        </w:tc>
        <w:tc>
          <w:tcPr>
            <w:tcW w:w="1568" w:type="dxa"/>
            <w:tcBorders>
              <w:top w:val="single" w:sz="4" w:space="0" w:color="538DD5"/>
              <w:left w:val="nil"/>
              <w:bottom w:val="single" w:sz="4" w:space="0" w:color="538DD5"/>
              <w:right w:val="single" w:sz="4" w:space="0" w:color="538DD5"/>
            </w:tcBorders>
            <w:shd w:val="clear" w:color="auto" w:fill="auto"/>
            <w:vAlign w:val="center"/>
            <w:hideMark/>
          </w:tcPr>
          <w:p w14:paraId="2DA63F6F" w14:textId="77777777" w:rsidR="00422091" w:rsidRPr="005E4BEA" w:rsidRDefault="00422091" w:rsidP="006F2C89">
            <w:pPr>
              <w:spacing w:line="240" w:lineRule="exact"/>
              <w:jc w:val="right"/>
              <w:rPr>
                <w:rFonts w:cs="Arial"/>
                <w:szCs w:val="20"/>
              </w:rPr>
            </w:pPr>
            <w:r w:rsidRPr="005E4BEA">
              <w:rPr>
                <w:rFonts w:cs="Arial"/>
                <w:szCs w:val="20"/>
              </w:rPr>
              <w:t xml:space="preserve">Tekoča cena za mersko enoto </w:t>
            </w:r>
            <w:r w:rsidRPr="005E4BEA">
              <w:rPr>
                <w:rFonts w:cs="Arial"/>
                <w:szCs w:val="20"/>
              </w:rPr>
              <w:br/>
              <w:t>(v EUR)</w:t>
            </w:r>
          </w:p>
        </w:tc>
      </w:tr>
      <w:tr w:rsidR="00422091" w:rsidRPr="005E4BEA" w14:paraId="01D7958B" w14:textId="77777777" w:rsidTr="006F2C89">
        <w:trPr>
          <w:trHeight w:hRule="exact" w:val="454"/>
        </w:trPr>
        <w:tc>
          <w:tcPr>
            <w:tcW w:w="1149" w:type="dxa"/>
            <w:tcBorders>
              <w:top w:val="single" w:sz="4" w:space="0" w:color="538DD5"/>
              <w:left w:val="single" w:sz="4" w:space="0" w:color="538DD5"/>
              <w:bottom w:val="single" w:sz="4" w:space="0" w:color="538DD5"/>
              <w:right w:val="nil"/>
            </w:tcBorders>
            <w:shd w:val="clear" w:color="auto" w:fill="auto"/>
            <w:vAlign w:val="center"/>
          </w:tcPr>
          <w:p w14:paraId="6810D8E3" w14:textId="77777777" w:rsidR="00422091" w:rsidRPr="005E4BEA" w:rsidRDefault="00422091" w:rsidP="006F2C89">
            <w:pPr>
              <w:spacing w:line="240" w:lineRule="auto"/>
              <w:jc w:val="both"/>
              <w:rPr>
                <w:rFonts w:cs="Arial"/>
                <w:szCs w:val="20"/>
              </w:rPr>
            </w:pPr>
            <w:r w:rsidRPr="005E4BEA">
              <w:rPr>
                <w:rFonts w:cs="Arial"/>
                <w:szCs w:val="20"/>
              </w:rPr>
              <w:t>(1) točka 26</w:t>
            </w:r>
          </w:p>
        </w:tc>
        <w:tc>
          <w:tcPr>
            <w:tcW w:w="851" w:type="dxa"/>
            <w:tcBorders>
              <w:top w:val="single" w:sz="4" w:space="0" w:color="538DD5"/>
              <w:left w:val="single" w:sz="4" w:space="0" w:color="538DD5"/>
              <w:bottom w:val="single" w:sz="4" w:space="0" w:color="538DD5"/>
              <w:right w:val="single" w:sz="4" w:space="0" w:color="538DD5"/>
            </w:tcBorders>
            <w:shd w:val="clear" w:color="auto" w:fill="auto"/>
            <w:vAlign w:val="center"/>
          </w:tcPr>
          <w:p w14:paraId="695D71F3" w14:textId="77777777" w:rsidR="00422091" w:rsidRPr="005E4BEA" w:rsidRDefault="00422091" w:rsidP="006F2C89">
            <w:pPr>
              <w:spacing w:line="240" w:lineRule="auto"/>
              <w:jc w:val="both"/>
              <w:rPr>
                <w:rFonts w:cs="Arial"/>
                <w:szCs w:val="20"/>
              </w:rPr>
            </w:pPr>
            <w:r w:rsidRPr="005E4BEA">
              <w:rPr>
                <w:rFonts w:cs="Arial"/>
                <w:szCs w:val="20"/>
              </w:rPr>
              <w:t>Q0319</w:t>
            </w:r>
          </w:p>
        </w:tc>
        <w:tc>
          <w:tcPr>
            <w:tcW w:w="4543" w:type="dxa"/>
            <w:tcBorders>
              <w:top w:val="single" w:sz="4" w:space="0" w:color="538DD5"/>
              <w:left w:val="nil"/>
              <w:bottom w:val="single" w:sz="4" w:space="0" w:color="538DD5"/>
              <w:right w:val="single" w:sz="4" w:space="0" w:color="538DD5"/>
            </w:tcBorders>
            <w:shd w:val="clear" w:color="auto" w:fill="auto"/>
            <w:vAlign w:val="center"/>
          </w:tcPr>
          <w:p w14:paraId="40E97049" w14:textId="77777777" w:rsidR="00422091" w:rsidRPr="005E4BEA" w:rsidRDefault="00422091" w:rsidP="006F2C89">
            <w:pPr>
              <w:spacing w:line="240" w:lineRule="auto"/>
              <w:ind w:left="1"/>
              <w:jc w:val="both"/>
              <w:rPr>
                <w:rFonts w:cs="Arial"/>
                <w:szCs w:val="20"/>
              </w:rPr>
            </w:pPr>
            <w:r w:rsidRPr="005E4BEA">
              <w:rPr>
                <w:rFonts w:cs="Arial"/>
                <w:szCs w:val="20"/>
              </w:rPr>
              <w:t xml:space="preserve">Alergeni za podkožno </w:t>
            </w:r>
            <w:proofErr w:type="spellStart"/>
            <w:r w:rsidRPr="005E4BEA">
              <w:rPr>
                <w:rFonts w:cs="Arial"/>
                <w:szCs w:val="20"/>
              </w:rPr>
              <w:t>imunoterapijo</w:t>
            </w:r>
            <w:proofErr w:type="spellEnd"/>
            <w:r w:rsidRPr="005E4BEA">
              <w:rPr>
                <w:rFonts w:cs="Arial"/>
                <w:szCs w:val="20"/>
              </w:rPr>
              <w:t xml:space="preserve"> – cenejši (</w:t>
            </w:r>
            <w:proofErr w:type="spellStart"/>
            <w:r w:rsidRPr="005E4BEA">
              <w:rPr>
                <w:rFonts w:cs="Arial"/>
                <w:szCs w:val="20"/>
              </w:rPr>
              <w:t>purethal</w:t>
            </w:r>
            <w:proofErr w:type="spellEnd"/>
            <w:r w:rsidRPr="005E4BEA">
              <w:rPr>
                <w:rFonts w:cs="Arial"/>
                <w:szCs w:val="20"/>
              </w:rPr>
              <w:t xml:space="preserve">, </w:t>
            </w:r>
            <w:proofErr w:type="spellStart"/>
            <w:r w:rsidRPr="005E4BEA">
              <w:rPr>
                <w:rFonts w:cs="Arial"/>
                <w:szCs w:val="20"/>
              </w:rPr>
              <w:t>venomenthal</w:t>
            </w:r>
            <w:proofErr w:type="spellEnd"/>
            <w:r w:rsidRPr="005E4BEA">
              <w:rPr>
                <w:rFonts w:cs="Arial"/>
                <w:szCs w:val="20"/>
              </w:rPr>
              <w:t xml:space="preserve">, </w:t>
            </w:r>
            <w:proofErr w:type="spellStart"/>
            <w:r w:rsidRPr="005E4BEA">
              <w:rPr>
                <w:rFonts w:cs="Arial"/>
                <w:szCs w:val="20"/>
              </w:rPr>
              <w:t>alutard</w:t>
            </w:r>
            <w:proofErr w:type="spellEnd"/>
            <w:r w:rsidRPr="005E4BEA">
              <w:rPr>
                <w:rFonts w:cs="Arial"/>
                <w:szCs w:val="20"/>
              </w:rPr>
              <w:t xml:space="preserve"> uvajanje)</w:t>
            </w:r>
          </w:p>
        </w:tc>
        <w:tc>
          <w:tcPr>
            <w:tcW w:w="989" w:type="dxa"/>
            <w:tcBorders>
              <w:top w:val="single" w:sz="4" w:space="0" w:color="538DD5"/>
              <w:left w:val="nil"/>
              <w:bottom w:val="single" w:sz="4" w:space="0" w:color="538DD5"/>
              <w:right w:val="single" w:sz="4" w:space="0" w:color="538DD5"/>
            </w:tcBorders>
            <w:shd w:val="clear" w:color="auto" w:fill="auto"/>
            <w:vAlign w:val="center"/>
          </w:tcPr>
          <w:p w14:paraId="568587C5" w14:textId="77777777" w:rsidR="00422091" w:rsidRPr="005E4BEA" w:rsidRDefault="00422091" w:rsidP="006F2C89">
            <w:pPr>
              <w:spacing w:line="240" w:lineRule="auto"/>
              <w:jc w:val="center"/>
              <w:rPr>
                <w:rFonts w:cs="Arial"/>
                <w:szCs w:val="20"/>
              </w:rPr>
            </w:pPr>
            <w:r w:rsidRPr="005E4BEA">
              <w:rPr>
                <w:rFonts w:cs="Arial"/>
                <w:szCs w:val="20"/>
              </w:rPr>
              <w:t>aplikacija</w:t>
            </w:r>
          </w:p>
        </w:tc>
        <w:tc>
          <w:tcPr>
            <w:tcW w:w="1568" w:type="dxa"/>
            <w:tcBorders>
              <w:top w:val="single" w:sz="4" w:space="0" w:color="538DD5"/>
              <w:left w:val="nil"/>
              <w:bottom w:val="single" w:sz="4" w:space="0" w:color="538DD5"/>
              <w:right w:val="single" w:sz="4" w:space="0" w:color="538DD5"/>
            </w:tcBorders>
            <w:shd w:val="clear" w:color="auto" w:fill="auto"/>
            <w:vAlign w:val="center"/>
          </w:tcPr>
          <w:p w14:paraId="5BB675F1" w14:textId="77777777" w:rsidR="00422091" w:rsidRPr="005E4BEA" w:rsidRDefault="00422091" w:rsidP="006F2C89">
            <w:pPr>
              <w:spacing w:line="240" w:lineRule="auto"/>
              <w:jc w:val="right"/>
              <w:rPr>
                <w:rFonts w:cs="Arial"/>
                <w:szCs w:val="20"/>
              </w:rPr>
            </w:pPr>
            <w:r w:rsidRPr="005E4BEA">
              <w:rPr>
                <w:rFonts w:cs="Arial"/>
                <w:szCs w:val="20"/>
              </w:rPr>
              <w:t>40,00</w:t>
            </w:r>
          </w:p>
        </w:tc>
      </w:tr>
      <w:tr w:rsidR="00422091" w:rsidRPr="005E4BEA" w14:paraId="22AF3459" w14:textId="77777777" w:rsidTr="006F2C89">
        <w:trPr>
          <w:trHeight w:hRule="exact" w:val="454"/>
        </w:trPr>
        <w:tc>
          <w:tcPr>
            <w:tcW w:w="1149" w:type="dxa"/>
            <w:tcBorders>
              <w:top w:val="single" w:sz="4" w:space="0" w:color="538DD5"/>
              <w:left w:val="single" w:sz="4" w:space="0" w:color="538DD5"/>
              <w:bottom w:val="single" w:sz="4" w:space="0" w:color="538DD5"/>
              <w:right w:val="nil"/>
            </w:tcBorders>
            <w:shd w:val="clear" w:color="auto" w:fill="auto"/>
            <w:vAlign w:val="center"/>
          </w:tcPr>
          <w:p w14:paraId="469093B1" w14:textId="77777777" w:rsidR="00422091" w:rsidRPr="005E4BEA" w:rsidRDefault="00422091" w:rsidP="006F2C89">
            <w:pPr>
              <w:spacing w:line="240" w:lineRule="auto"/>
              <w:jc w:val="both"/>
              <w:rPr>
                <w:rFonts w:cs="Arial"/>
                <w:szCs w:val="20"/>
              </w:rPr>
            </w:pPr>
            <w:r w:rsidRPr="005E4BEA">
              <w:rPr>
                <w:rFonts w:cs="Arial"/>
                <w:szCs w:val="20"/>
              </w:rPr>
              <w:lastRenderedPageBreak/>
              <w:t>(1) točka 26</w:t>
            </w:r>
          </w:p>
        </w:tc>
        <w:tc>
          <w:tcPr>
            <w:tcW w:w="851" w:type="dxa"/>
            <w:tcBorders>
              <w:top w:val="single" w:sz="4" w:space="0" w:color="538DD5"/>
              <w:left w:val="single" w:sz="4" w:space="0" w:color="538DD5"/>
              <w:bottom w:val="single" w:sz="4" w:space="0" w:color="538DD5"/>
              <w:right w:val="single" w:sz="4" w:space="0" w:color="538DD5"/>
            </w:tcBorders>
            <w:shd w:val="clear" w:color="auto" w:fill="auto"/>
            <w:vAlign w:val="center"/>
          </w:tcPr>
          <w:p w14:paraId="337ECEDC" w14:textId="77777777" w:rsidR="00422091" w:rsidRPr="005E4BEA" w:rsidRDefault="00422091" w:rsidP="006F2C89">
            <w:pPr>
              <w:spacing w:line="240" w:lineRule="auto"/>
              <w:jc w:val="both"/>
              <w:rPr>
                <w:rFonts w:cs="Arial"/>
                <w:szCs w:val="20"/>
              </w:rPr>
            </w:pPr>
            <w:r w:rsidRPr="005E4BEA">
              <w:rPr>
                <w:rFonts w:cs="Arial"/>
                <w:szCs w:val="20"/>
              </w:rPr>
              <w:t>Q0320</w:t>
            </w:r>
          </w:p>
        </w:tc>
        <w:tc>
          <w:tcPr>
            <w:tcW w:w="4543" w:type="dxa"/>
            <w:tcBorders>
              <w:top w:val="single" w:sz="4" w:space="0" w:color="538DD5"/>
              <w:left w:val="nil"/>
              <w:bottom w:val="single" w:sz="4" w:space="0" w:color="538DD5"/>
              <w:right w:val="single" w:sz="4" w:space="0" w:color="538DD5"/>
            </w:tcBorders>
            <w:shd w:val="clear" w:color="auto" w:fill="auto"/>
            <w:vAlign w:val="center"/>
          </w:tcPr>
          <w:p w14:paraId="22D2AB6F" w14:textId="77777777" w:rsidR="00422091" w:rsidRPr="005E4BEA" w:rsidRDefault="00422091" w:rsidP="006F2C89">
            <w:pPr>
              <w:spacing w:line="240" w:lineRule="auto"/>
              <w:ind w:left="1"/>
              <w:jc w:val="both"/>
              <w:rPr>
                <w:rFonts w:cs="Arial"/>
                <w:szCs w:val="20"/>
              </w:rPr>
            </w:pPr>
            <w:r w:rsidRPr="005E4BEA">
              <w:rPr>
                <w:rFonts w:cs="Arial"/>
                <w:szCs w:val="20"/>
              </w:rPr>
              <w:t xml:space="preserve">Alergeni za podkožno </w:t>
            </w:r>
            <w:proofErr w:type="spellStart"/>
            <w:r w:rsidRPr="005E4BEA">
              <w:rPr>
                <w:rFonts w:cs="Arial"/>
                <w:szCs w:val="20"/>
              </w:rPr>
              <w:t>imunoterapijo</w:t>
            </w:r>
            <w:proofErr w:type="spellEnd"/>
            <w:r w:rsidRPr="005E4BEA">
              <w:rPr>
                <w:rFonts w:cs="Arial"/>
                <w:szCs w:val="20"/>
              </w:rPr>
              <w:t xml:space="preserve"> – dražji (</w:t>
            </w:r>
            <w:proofErr w:type="spellStart"/>
            <w:r w:rsidRPr="005E4BEA">
              <w:rPr>
                <w:rFonts w:cs="Arial"/>
                <w:szCs w:val="20"/>
              </w:rPr>
              <w:t>alutard</w:t>
            </w:r>
            <w:proofErr w:type="spellEnd"/>
            <w:r w:rsidRPr="005E4BEA">
              <w:rPr>
                <w:rFonts w:cs="Arial"/>
                <w:szCs w:val="20"/>
              </w:rPr>
              <w:t xml:space="preserve"> vzdrževanje)</w:t>
            </w:r>
          </w:p>
        </w:tc>
        <w:tc>
          <w:tcPr>
            <w:tcW w:w="989" w:type="dxa"/>
            <w:tcBorders>
              <w:top w:val="single" w:sz="4" w:space="0" w:color="538DD5"/>
              <w:left w:val="nil"/>
              <w:bottom w:val="single" w:sz="4" w:space="0" w:color="538DD5"/>
              <w:right w:val="single" w:sz="4" w:space="0" w:color="538DD5"/>
            </w:tcBorders>
            <w:shd w:val="clear" w:color="auto" w:fill="auto"/>
            <w:vAlign w:val="center"/>
          </w:tcPr>
          <w:p w14:paraId="07078F2E" w14:textId="77777777" w:rsidR="00422091" w:rsidRPr="005E4BEA" w:rsidRDefault="00422091" w:rsidP="006F2C89">
            <w:pPr>
              <w:spacing w:line="240" w:lineRule="auto"/>
              <w:jc w:val="center"/>
              <w:rPr>
                <w:rFonts w:cs="Arial"/>
                <w:szCs w:val="20"/>
              </w:rPr>
            </w:pPr>
            <w:r w:rsidRPr="005E4BEA">
              <w:rPr>
                <w:rFonts w:cs="Arial"/>
                <w:szCs w:val="20"/>
              </w:rPr>
              <w:t>aplikacija</w:t>
            </w:r>
          </w:p>
        </w:tc>
        <w:tc>
          <w:tcPr>
            <w:tcW w:w="1568" w:type="dxa"/>
            <w:tcBorders>
              <w:top w:val="single" w:sz="4" w:space="0" w:color="538DD5"/>
              <w:left w:val="nil"/>
              <w:bottom w:val="single" w:sz="4" w:space="0" w:color="538DD5"/>
              <w:right w:val="single" w:sz="4" w:space="0" w:color="538DD5"/>
            </w:tcBorders>
            <w:shd w:val="clear" w:color="auto" w:fill="auto"/>
            <w:vAlign w:val="center"/>
          </w:tcPr>
          <w:p w14:paraId="480C809F" w14:textId="77777777" w:rsidR="00422091" w:rsidRPr="005E4BEA" w:rsidRDefault="00422091" w:rsidP="006F2C89">
            <w:pPr>
              <w:spacing w:line="240" w:lineRule="auto"/>
              <w:jc w:val="right"/>
              <w:rPr>
                <w:rFonts w:cs="Arial"/>
                <w:szCs w:val="20"/>
              </w:rPr>
            </w:pPr>
            <w:r w:rsidRPr="005E4BEA">
              <w:rPr>
                <w:rFonts w:cs="Arial"/>
                <w:szCs w:val="20"/>
              </w:rPr>
              <w:t>100,00</w:t>
            </w:r>
          </w:p>
        </w:tc>
      </w:tr>
    </w:tbl>
    <w:p w14:paraId="3677F2FB" w14:textId="77777777" w:rsidR="00422091" w:rsidRPr="005E4BEA" w:rsidRDefault="00422091" w:rsidP="00422091">
      <w:pPr>
        <w:spacing w:line="240" w:lineRule="auto"/>
        <w:jc w:val="both"/>
        <w:rPr>
          <w:rFonts w:cs="Arial"/>
          <w:b/>
          <w:bCs/>
          <w:szCs w:val="20"/>
        </w:rPr>
      </w:pPr>
    </w:p>
    <w:p w14:paraId="32B146F3" w14:textId="77777777" w:rsidR="00422091" w:rsidRPr="005E4BEA" w:rsidRDefault="00422091" w:rsidP="00422091">
      <w:pPr>
        <w:spacing w:line="240" w:lineRule="auto"/>
        <w:jc w:val="both"/>
        <w:rPr>
          <w:rFonts w:cs="Arial"/>
          <w:b/>
          <w:bCs/>
          <w:szCs w:val="20"/>
        </w:rPr>
      </w:pPr>
    </w:p>
    <w:p w14:paraId="55FBA1DB" w14:textId="71D01CB9" w:rsidR="00422091" w:rsidRPr="005E4BEA" w:rsidRDefault="00422091" w:rsidP="00422091">
      <w:pPr>
        <w:spacing w:line="240" w:lineRule="auto"/>
        <w:jc w:val="both"/>
        <w:rPr>
          <w:rFonts w:cs="Arial"/>
          <w:b/>
          <w:bCs/>
          <w:szCs w:val="20"/>
        </w:rPr>
      </w:pPr>
      <w:r w:rsidRPr="005E4BEA">
        <w:rPr>
          <w:rFonts w:cs="Arial"/>
          <w:b/>
          <w:bCs/>
          <w:szCs w:val="20"/>
        </w:rPr>
        <w:t xml:space="preserve">V Prilogi III v </w:t>
      </w:r>
      <w:r w:rsidR="00465E97" w:rsidRPr="005E4BEA">
        <w:rPr>
          <w:rFonts w:cs="Arial"/>
          <w:b/>
          <w:bCs/>
          <w:szCs w:val="20"/>
        </w:rPr>
        <w:t xml:space="preserve">drugem </w:t>
      </w:r>
      <w:r w:rsidRPr="005E4BEA">
        <w:rPr>
          <w:rFonts w:cs="Arial"/>
          <w:b/>
          <w:bCs/>
          <w:szCs w:val="20"/>
        </w:rPr>
        <w:t>odstavku v 3. točki se doda nova alineja, ki se glasi:</w:t>
      </w:r>
    </w:p>
    <w:p w14:paraId="317D36A3" w14:textId="77777777" w:rsidR="00422091" w:rsidRPr="005E4BEA" w:rsidRDefault="00422091" w:rsidP="00422091">
      <w:pPr>
        <w:spacing w:line="120" w:lineRule="auto"/>
        <w:jc w:val="both"/>
        <w:rPr>
          <w:rFonts w:cs="Arial"/>
          <w:szCs w:val="20"/>
        </w:rPr>
      </w:pPr>
    </w:p>
    <w:p w14:paraId="2BA5CA28" w14:textId="77777777" w:rsidR="00422091" w:rsidRPr="005E4BEA" w:rsidRDefault="00422091" w:rsidP="00422091">
      <w:pPr>
        <w:spacing w:line="240" w:lineRule="auto"/>
        <w:jc w:val="both"/>
        <w:rPr>
          <w:rFonts w:cs="Arial"/>
          <w:szCs w:val="20"/>
        </w:rPr>
      </w:pPr>
      <w:r w:rsidRPr="005E4BEA">
        <w:rPr>
          <w:rFonts w:cs="Arial"/>
          <w:szCs w:val="20"/>
        </w:rPr>
        <w:t xml:space="preserve">»- diagnostična obravnava težavnega poteka bolezni dihal, obravnava bolnikov po presaditvi pljuč, letni pregled bolnika s cistično </w:t>
      </w:r>
      <w:proofErr w:type="spellStart"/>
      <w:r w:rsidRPr="005E4BEA">
        <w:rPr>
          <w:rFonts w:cs="Arial"/>
          <w:szCs w:val="20"/>
        </w:rPr>
        <w:t>fibrozo</w:t>
      </w:r>
      <w:proofErr w:type="spellEnd"/>
      <w:r w:rsidRPr="005E4BEA">
        <w:rPr>
          <w:rFonts w:cs="Arial"/>
          <w:szCs w:val="20"/>
        </w:rPr>
        <w:t xml:space="preserve">, kontrolni pregled bolnika s cistično </w:t>
      </w:r>
      <w:proofErr w:type="spellStart"/>
      <w:r w:rsidRPr="005E4BEA">
        <w:rPr>
          <w:rFonts w:cs="Arial"/>
          <w:szCs w:val="20"/>
        </w:rPr>
        <w:t>fibrozo</w:t>
      </w:r>
      <w:proofErr w:type="spellEnd"/>
      <w:r w:rsidRPr="005E4BEA">
        <w:rPr>
          <w:rFonts w:cs="Arial"/>
          <w:szCs w:val="20"/>
        </w:rPr>
        <w:t xml:space="preserve"> v dejavnosti pulmologija 229 239«</w:t>
      </w:r>
    </w:p>
    <w:p w14:paraId="12492A30" w14:textId="77777777" w:rsidR="00422091" w:rsidRPr="005E4BEA" w:rsidRDefault="00422091" w:rsidP="00422091">
      <w:pPr>
        <w:spacing w:line="240" w:lineRule="auto"/>
        <w:jc w:val="both"/>
        <w:rPr>
          <w:rFonts w:cs="Arial"/>
          <w:b/>
          <w:bCs/>
          <w:szCs w:val="20"/>
        </w:rPr>
      </w:pPr>
    </w:p>
    <w:p w14:paraId="1BE43C1F" w14:textId="77777777" w:rsidR="00422091" w:rsidRPr="005E4BEA" w:rsidRDefault="00422091" w:rsidP="00422091">
      <w:pPr>
        <w:spacing w:line="240" w:lineRule="auto"/>
        <w:jc w:val="both"/>
        <w:rPr>
          <w:rFonts w:cs="Arial"/>
          <w:b/>
          <w:bCs/>
          <w:szCs w:val="20"/>
        </w:rPr>
      </w:pPr>
    </w:p>
    <w:p w14:paraId="1DE32C15" w14:textId="77777777" w:rsidR="00422091" w:rsidRPr="005E4BEA" w:rsidRDefault="00422091" w:rsidP="00422091">
      <w:pPr>
        <w:spacing w:line="240" w:lineRule="auto"/>
        <w:jc w:val="both"/>
        <w:rPr>
          <w:rFonts w:cs="Arial"/>
          <w:b/>
          <w:bCs/>
          <w:szCs w:val="20"/>
        </w:rPr>
      </w:pPr>
      <w:r w:rsidRPr="005E4BEA">
        <w:rPr>
          <w:rFonts w:cs="Arial"/>
          <w:b/>
          <w:bCs/>
          <w:szCs w:val="20"/>
        </w:rPr>
        <w:t xml:space="preserve">V Prilogi III/b </w:t>
      </w:r>
    </w:p>
    <w:p w14:paraId="2F1EEBA9" w14:textId="77777777" w:rsidR="00422091" w:rsidRPr="005E4BEA" w:rsidRDefault="00422091" w:rsidP="00422091">
      <w:pPr>
        <w:spacing w:line="120" w:lineRule="auto"/>
        <w:jc w:val="both"/>
        <w:rPr>
          <w:rFonts w:cs="Arial"/>
          <w:szCs w:val="20"/>
        </w:rPr>
      </w:pPr>
    </w:p>
    <w:p w14:paraId="5043778D" w14:textId="77777777" w:rsidR="00422091" w:rsidRPr="005E4BEA" w:rsidRDefault="00422091" w:rsidP="00F356C9">
      <w:pPr>
        <w:numPr>
          <w:ilvl w:val="0"/>
          <w:numId w:val="48"/>
        </w:numPr>
        <w:spacing w:line="240" w:lineRule="auto"/>
        <w:ind w:left="283" w:hanging="283"/>
        <w:contextualSpacing/>
        <w:jc w:val="both"/>
        <w:rPr>
          <w:rFonts w:cs="Arial"/>
          <w:b/>
          <w:bCs/>
          <w:szCs w:val="20"/>
        </w:rPr>
      </w:pPr>
      <w:r w:rsidRPr="005E4BEA">
        <w:rPr>
          <w:rFonts w:cs="Arial"/>
          <w:b/>
          <w:bCs/>
          <w:szCs w:val="20"/>
        </w:rPr>
        <w:t>v 2. točki v prvi alineji se iz tabele briše »229 239 pulmologija«</w:t>
      </w:r>
    </w:p>
    <w:p w14:paraId="474E4F2A" w14:textId="77777777" w:rsidR="00422091" w:rsidRPr="005E4BEA" w:rsidRDefault="00422091" w:rsidP="00422091">
      <w:pPr>
        <w:spacing w:line="240" w:lineRule="auto"/>
        <w:jc w:val="both"/>
        <w:rPr>
          <w:rFonts w:cs="Arial"/>
          <w:b/>
          <w:bCs/>
          <w:szCs w:val="20"/>
        </w:rPr>
      </w:pPr>
    </w:p>
    <w:p w14:paraId="223FCA2A" w14:textId="77777777" w:rsidR="00422091" w:rsidRPr="005E4BEA" w:rsidRDefault="00422091" w:rsidP="00F356C9">
      <w:pPr>
        <w:numPr>
          <w:ilvl w:val="0"/>
          <w:numId w:val="48"/>
        </w:numPr>
        <w:spacing w:line="240" w:lineRule="auto"/>
        <w:ind w:left="283" w:hanging="283"/>
        <w:contextualSpacing/>
        <w:jc w:val="both"/>
        <w:rPr>
          <w:rFonts w:cs="Arial"/>
          <w:b/>
          <w:bCs/>
          <w:szCs w:val="20"/>
        </w:rPr>
      </w:pPr>
      <w:r w:rsidRPr="005E4BEA">
        <w:rPr>
          <w:rFonts w:cs="Arial"/>
          <w:b/>
          <w:bCs/>
          <w:szCs w:val="20"/>
        </w:rPr>
        <w:t>se doda nova 8. točka, ki se glasi:</w:t>
      </w:r>
    </w:p>
    <w:p w14:paraId="043B60D0" w14:textId="77777777" w:rsidR="00422091" w:rsidRPr="005E4BEA" w:rsidRDefault="00422091" w:rsidP="00422091">
      <w:pPr>
        <w:spacing w:line="240" w:lineRule="auto"/>
        <w:ind w:firstLine="284"/>
        <w:jc w:val="both"/>
        <w:rPr>
          <w:rFonts w:eastAsiaTheme="minorHAnsi" w:cs="Arial"/>
          <w:szCs w:val="20"/>
        </w:rPr>
      </w:pPr>
      <w:r w:rsidRPr="005E4BEA">
        <w:rPr>
          <w:rFonts w:eastAsiaTheme="minorHAnsi" w:cs="Arial"/>
          <w:szCs w:val="20"/>
        </w:rPr>
        <w:t>»8. Pulmologija</w:t>
      </w:r>
    </w:p>
    <w:p w14:paraId="74FDBDD6" w14:textId="77777777" w:rsidR="00422091" w:rsidRPr="005E4BEA" w:rsidRDefault="00422091" w:rsidP="00422091">
      <w:pPr>
        <w:spacing w:line="240" w:lineRule="auto"/>
        <w:jc w:val="both"/>
        <w:rPr>
          <w:rFonts w:eastAsiaTheme="minorHAnsi" w:cs="Arial"/>
          <w:szCs w:val="20"/>
        </w:rPr>
      </w:pPr>
    </w:p>
    <w:p w14:paraId="4568B660" w14:textId="77777777" w:rsidR="00422091" w:rsidRPr="005E4BEA" w:rsidRDefault="00422091" w:rsidP="00422091">
      <w:pPr>
        <w:autoSpaceDE w:val="0"/>
        <w:autoSpaceDN w:val="0"/>
        <w:adjustRightInd w:val="0"/>
        <w:spacing w:after="60" w:line="240" w:lineRule="auto"/>
        <w:ind w:left="284"/>
        <w:jc w:val="both"/>
        <w:rPr>
          <w:rFonts w:cs="Arial"/>
          <w:szCs w:val="20"/>
        </w:rPr>
      </w:pPr>
      <w:r w:rsidRPr="005E4BEA">
        <w:rPr>
          <w:rFonts w:cs="Arial"/>
          <w:szCs w:val="20"/>
        </w:rPr>
        <w:t>(1) Plačilo realiziranega programa izvajalca se pri končnem letnem obračunu za obdobje koledarskega leta opredeli na naslednji način:</w:t>
      </w:r>
    </w:p>
    <w:p w14:paraId="5D294FA0" w14:textId="77777777" w:rsidR="00422091" w:rsidRPr="005E4BEA" w:rsidRDefault="00422091" w:rsidP="00422091">
      <w:pPr>
        <w:autoSpaceDE w:val="0"/>
        <w:autoSpaceDN w:val="0"/>
        <w:adjustRightInd w:val="0"/>
        <w:spacing w:after="120" w:line="240" w:lineRule="auto"/>
        <w:ind w:left="992" w:hanging="284"/>
        <w:jc w:val="both"/>
        <w:rPr>
          <w:rFonts w:cs="Arial"/>
          <w:szCs w:val="20"/>
        </w:rPr>
      </w:pPr>
      <w:r w:rsidRPr="005E4BEA">
        <w:rPr>
          <w:rFonts w:cs="Arial"/>
          <w:szCs w:val="20"/>
        </w:rPr>
        <w:t>a.) Realizirana vrednost programa izvajalca (v nadaljevanju: RV) se izračuna na podlagi števila realiziranih storitev in cen storitev, ki so določene v Prilogi I/b.</w:t>
      </w:r>
    </w:p>
    <w:p w14:paraId="14E0834C" w14:textId="77777777" w:rsidR="00422091" w:rsidRPr="005E4BEA" w:rsidRDefault="00422091" w:rsidP="00422091">
      <w:pPr>
        <w:spacing w:after="60" w:line="240" w:lineRule="auto"/>
        <w:ind w:left="708"/>
        <w:jc w:val="both"/>
        <w:rPr>
          <w:rFonts w:eastAsia="Arial Narrow" w:cs="Arial"/>
          <w:szCs w:val="20"/>
        </w:rPr>
      </w:pPr>
      <w:r w:rsidRPr="005E4BEA">
        <w:rPr>
          <w:rFonts w:eastAsia="Arial Narrow" w:cs="Arial"/>
          <w:szCs w:val="20"/>
        </w:rPr>
        <w:t xml:space="preserve">b.) Izvajalcu se prizna </w:t>
      </w:r>
      <w:r w:rsidRPr="005E4BEA">
        <w:rPr>
          <w:rFonts w:eastAsia="Arial Narrow" w:cs="Arial"/>
          <w:b/>
          <w:bCs/>
          <w:szCs w:val="20"/>
        </w:rPr>
        <w:t>celotna pogodbena vrednost programa</w:t>
      </w:r>
      <w:r w:rsidRPr="005E4BEA">
        <w:rPr>
          <w:rFonts w:eastAsia="Arial Narrow" w:cs="Arial"/>
          <w:szCs w:val="20"/>
        </w:rPr>
        <w:t>, ko izpolni enega od pogojev, in sicer:</w:t>
      </w:r>
    </w:p>
    <w:p w14:paraId="0419A9BE" w14:textId="77777777" w:rsidR="00422091" w:rsidRPr="005E4BEA" w:rsidRDefault="00422091" w:rsidP="00F356C9">
      <w:pPr>
        <w:numPr>
          <w:ilvl w:val="0"/>
          <w:numId w:val="47"/>
        </w:numPr>
        <w:spacing w:after="120" w:line="240" w:lineRule="auto"/>
        <w:ind w:left="1135" w:hanging="284"/>
        <w:jc w:val="both"/>
        <w:rPr>
          <w:rFonts w:cs="Arial"/>
          <w:szCs w:val="20"/>
        </w:rPr>
      </w:pPr>
      <w:r w:rsidRPr="005E4BEA">
        <w:rPr>
          <w:rFonts w:cs="Arial"/>
          <w:szCs w:val="20"/>
        </w:rPr>
        <w:t xml:space="preserve">v celoti izvede ali preseže načrtovani obseg programa in tudi načrtovano število celotnih pregledov ali </w:t>
      </w:r>
      <w:proofErr w:type="spellStart"/>
      <w:r w:rsidRPr="005E4BEA">
        <w:rPr>
          <w:rFonts w:cs="Arial"/>
          <w:szCs w:val="20"/>
        </w:rPr>
        <w:t>subspecialističnih</w:t>
      </w:r>
      <w:proofErr w:type="spellEnd"/>
      <w:r w:rsidRPr="005E4BEA">
        <w:rPr>
          <w:rFonts w:cs="Arial"/>
          <w:szCs w:val="20"/>
        </w:rPr>
        <w:t xml:space="preserve"> pregledov;</w:t>
      </w:r>
    </w:p>
    <w:p w14:paraId="67919B2A" w14:textId="77777777" w:rsidR="00422091" w:rsidRPr="005E4BEA" w:rsidRDefault="00422091" w:rsidP="00F356C9">
      <w:pPr>
        <w:numPr>
          <w:ilvl w:val="0"/>
          <w:numId w:val="47"/>
        </w:numPr>
        <w:spacing w:after="120" w:line="240" w:lineRule="auto"/>
        <w:ind w:left="1135" w:hanging="284"/>
        <w:jc w:val="both"/>
        <w:rPr>
          <w:rFonts w:cs="Arial"/>
          <w:szCs w:val="20"/>
        </w:rPr>
      </w:pPr>
      <w:r w:rsidRPr="005E4BEA">
        <w:rPr>
          <w:rFonts w:cs="Arial"/>
          <w:szCs w:val="20"/>
        </w:rPr>
        <w:t xml:space="preserve">ali izvede vsaj 85 % načrtovanega obsega programa in tudi vsaj 100 % načrtovanega števila celotnih pregledov ali </w:t>
      </w:r>
      <w:proofErr w:type="spellStart"/>
      <w:r w:rsidRPr="005E4BEA">
        <w:rPr>
          <w:rFonts w:cs="Arial"/>
          <w:szCs w:val="20"/>
        </w:rPr>
        <w:t>subspecialističnih</w:t>
      </w:r>
      <w:proofErr w:type="spellEnd"/>
      <w:r w:rsidRPr="005E4BEA">
        <w:rPr>
          <w:rFonts w:cs="Arial"/>
          <w:szCs w:val="20"/>
        </w:rPr>
        <w:t xml:space="preserve"> pregledov.</w:t>
      </w:r>
    </w:p>
    <w:p w14:paraId="57FA7C7D" w14:textId="77777777" w:rsidR="00422091" w:rsidRPr="005E4BEA" w:rsidRDefault="00422091" w:rsidP="00422091">
      <w:pPr>
        <w:spacing w:after="60" w:line="240" w:lineRule="auto"/>
        <w:ind w:left="708"/>
        <w:jc w:val="both"/>
        <w:rPr>
          <w:rFonts w:eastAsia="Arial Narrow" w:cs="Arial"/>
          <w:szCs w:val="20"/>
        </w:rPr>
      </w:pPr>
      <w:r w:rsidRPr="005E4BEA">
        <w:rPr>
          <w:rFonts w:eastAsia="Arial Narrow" w:cs="Arial"/>
          <w:szCs w:val="20"/>
        </w:rPr>
        <w:t xml:space="preserve">c.) V nasprotnem primeru se izvajalcu izračuna </w:t>
      </w:r>
      <w:r w:rsidRPr="005E4BEA">
        <w:rPr>
          <w:rFonts w:eastAsia="Arial Narrow" w:cs="Arial"/>
          <w:b/>
          <w:bCs/>
          <w:szCs w:val="20"/>
        </w:rPr>
        <w:t>priznana vrednost programa</w:t>
      </w:r>
      <w:r w:rsidRPr="005E4BEA">
        <w:rPr>
          <w:rFonts w:eastAsia="Arial Narrow" w:cs="Arial"/>
          <w:szCs w:val="20"/>
        </w:rPr>
        <w:t>, in sicer:</w:t>
      </w:r>
    </w:p>
    <w:p w14:paraId="3F86A645" w14:textId="77777777" w:rsidR="00422091" w:rsidRPr="005E4BEA" w:rsidRDefault="00422091" w:rsidP="00F356C9">
      <w:pPr>
        <w:numPr>
          <w:ilvl w:val="0"/>
          <w:numId w:val="47"/>
        </w:numPr>
        <w:spacing w:after="120" w:line="240" w:lineRule="auto"/>
        <w:ind w:left="1135" w:hanging="284"/>
        <w:jc w:val="both"/>
        <w:rPr>
          <w:rFonts w:cs="Arial"/>
          <w:szCs w:val="20"/>
        </w:rPr>
      </w:pPr>
      <w:r w:rsidRPr="005E4BEA">
        <w:rPr>
          <w:rFonts w:cs="Arial"/>
          <w:szCs w:val="20"/>
        </w:rPr>
        <w:t xml:space="preserve">Kadar izvede oziroma preseže načrtovani obseg programa, ne izvede pa načrtovanega števila celotnih pregledov ali </w:t>
      </w:r>
      <w:proofErr w:type="spellStart"/>
      <w:r w:rsidRPr="005E4BEA">
        <w:rPr>
          <w:rFonts w:cs="Arial"/>
          <w:szCs w:val="20"/>
        </w:rPr>
        <w:t>subspecialističnih</w:t>
      </w:r>
      <w:proofErr w:type="spellEnd"/>
      <w:r w:rsidRPr="005E4BEA">
        <w:rPr>
          <w:rFonts w:cs="Arial"/>
          <w:szCs w:val="20"/>
        </w:rPr>
        <w:t xml:space="preserve"> pregledov, se mu prizna RV največ do pogodbene vrednosti in nato zmanjša za odstotek nedoseganja načrtovanega števila celotnih pregledov ali </w:t>
      </w:r>
      <w:proofErr w:type="spellStart"/>
      <w:r w:rsidRPr="005E4BEA">
        <w:rPr>
          <w:rFonts w:cs="Arial"/>
          <w:szCs w:val="20"/>
        </w:rPr>
        <w:t>subspecialističnih</w:t>
      </w:r>
      <w:proofErr w:type="spellEnd"/>
      <w:r w:rsidRPr="005E4BEA">
        <w:rPr>
          <w:rFonts w:cs="Arial"/>
          <w:szCs w:val="20"/>
        </w:rPr>
        <w:t xml:space="preserve"> pregledov</w:t>
      </w:r>
    </w:p>
    <w:p w14:paraId="2BA57D42" w14:textId="77777777" w:rsidR="00422091" w:rsidRPr="005E4BEA" w:rsidRDefault="00422091" w:rsidP="00F356C9">
      <w:pPr>
        <w:numPr>
          <w:ilvl w:val="0"/>
          <w:numId w:val="47"/>
        </w:numPr>
        <w:spacing w:after="120" w:line="240" w:lineRule="auto"/>
        <w:ind w:left="1135" w:hanging="284"/>
        <w:jc w:val="both"/>
        <w:rPr>
          <w:rFonts w:cs="Arial"/>
          <w:szCs w:val="20"/>
        </w:rPr>
      </w:pPr>
      <w:r w:rsidRPr="005E4BEA">
        <w:rPr>
          <w:rFonts w:cs="Arial"/>
          <w:szCs w:val="20"/>
        </w:rPr>
        <w:t xml:space="preserve">Kadar ne izvede načrtovanega obsega programa, se mu prizna RV največ do pogodbene vrednosti, zmanjšane za odstotek nedoseganja načrtovanega obsega programa. Če pri tem tudi ne izvede načrtovanega števila celotnih pregledov ali </w:t>
      </w:r>
      <w:proofErr w:type="spellStart"/>
      <w:r w:rsidRPr="005E4BEA">
        <w:rPr>
          <w:rFonts w:cs="Arial"/>
          <w:szCs w:val="20"/>
        </w:rPr>
        <w:t>subspecialističnih</w:t>
      </w:r>
      <w:proofErr w:type="spellEnd"/>
      <w:r w:rsidRPr="005E4BEA">
        <w:rPr>
          <w:rFonts w:cs="Arial"/>
          <w:szCs w:val="20"/>
        </w:rPr>
        <w:t xml:space="preserve"> pregledov, se priznana vrednost iz te alineje dodatno zmanjša za odstotek nedoseganja načrtovanega števila celotnih pregledov ali </w:t>
      </w:r>
      <w:proofErr w:type="spellStart"/>
      <w:r w:rsidRPr="005E4BEA">
        <w:rPr>
          <w:rFonts w:cs="Arial"/>
          <w:szCs w:val="20"/>
        </w:rPr>
        <w:t>subspecialističnih</w:t>
      </w:r>
      <w:proofErr w:type="spellEnd"/>
      <w:r w:rsidRPr="005E4BEA">
        <w:rPr>
          <w:rFonts w:cs="Arial"/>
          <w:szCs w:val="20"/>
        </w:rPr>
        <w:t xml:space="preserve"> pregledov.«</w:t>
      </w:r>
    </w:p>
    <w:p w14:paraId="06C31ECD" w14:textId="77777777" w:rsidR="00422091" w:rsidRPr="005E4BEA" w:rsidRDefault="00422091" w:rsidP="00422091">
      <w:pPr>
        <w:spacing w:line="240" w:lineRule="auto"/>
        <w:jc w:val="both"/>
        <w:rPr>
          <w:rFonts w:eastAsia="Arial Narrow" w:cs="Arial"/>
          <w:b/>
          <w:bCs/>
          <w:szCs w:val="20"/>
        </w:rPr>
      </w:pPr>
    </w:p>
    <w:p w14:paraId="06815F70" w14:textId="7C56DB9C" w:rsidR="00422091" w:rsidRPr="005E4BEA" w:rsidRDefault="00422091" w:rsidP="00422091">
      <w:pPr>
        <w:spacing w:line="240" w:lineRule="auto"/>
        <w:jc w:val="both"/>
        <w:rPr>
          <w:rFonts w:eastAsia="Arial Narrow" w:cs="Arial"/>
          <w:b/>
          <w:bCs/>
          <w:szCs w:val="20"/>
        </w:rPr>
      </w:pPr>
      <w:r w:rsidRPr="005E4BEA">
        <w:rPr>
          <w:rFonts w:eastAsia="Arial Narrow" w:cs="Arial"/>
          <w:b/>
          <w:bCs/>
          <w:szCs w:val="20"/>
        </w:rPr>
        <w:t xml:space="preserve">V Prilogi BOL-1 se </w:t>
      </w:r>
      <w:r w:rsidR="00465E97" w:rsidRPr="005E4BEA">
        <w:rPr>
          <w:rFonts w:eastAsia="Arial Narrow" w:cs="Arial"/>
          <w:b/>
          <w:bCs/>
          <w:szCs w:val="20"/>
        </w:rPr>
        <w:t xml:space="preserve">za 10. točko </w:t>
      </w:r>
      <w:r w:rsidRPr="005E4BEA">
        <w:rPr>
          <w:rFonts w:eastAsia="Arial Narrow" w:cs="Arial"/>
          <w:b/>
          <w:bCs/>
          <w:szCs w:val="20"/>
        </w:rPr>
        <w:t>doda nova 11. točka, ki se glasi:</w:t>
      </w:r>
    </w:p>
    <w:p w14:paraId="2C3711AC" w14:textId="77777777" w:rsidR="00422091" w:rsidRPr="005E4BEA" w:rsidRDefault="00422091" w:rsidP="00422091">
      <w:pPr>
        <w:spacing w:after="120" w:line="240" w:lineRule="auto"/>
        <w:jc w:val="both"/>
        <w:rPr>
          <w:rFonts w:eastAsia="Arial Narrow" w:cs="Arial"/>
          <w:szCs w:val="20"/>
        </w:rPr>
      </w:pPr>
      <w:r w:rsidRPr="005E4BEA">
        <w:rPr>
          <w:rFonts w:eastAsia="Arial Narrow" w:cs="Arial"/>
          <w:szCs w:val="20"/>
        </w:rPr>
        <w:t xml:space="preserve">»11. </w:t>
      </w:r>
      <w:r w:rsidRPr="005E4BEA">
        <w:rPr>
          <w:rFonts w:cs="Arial"/>
          <w:szCs w:val="20"/>
        </w:rPr>
        <w:t xml:space="preserve">Model plačevanja specialističnih </w:t>
      </w:r>
      <w:proofErr w:type="spellStart"/>
      <w:r w:rsidRPr="005E4BEA">
        <w:rPr>
          <w:rFonts w:cs="Arial"/>
          <w:szCs w:val="20"/>
        </w:rPr>
        <w:t>zunajbolnišničnih</w:t>
      </w:r>
      <w:proofErr w:type="spellEnd"/>
      <w:r w:rsidRPr="005E4BEA">
        <w:rPr>
          <w:rFonts w:cs="Arial"/>
          <w:szCs w:val="20"/>
        </w:rPr>
        <w:t xml:space="preserve"> </w:t>
      </w:r>
      <w:proofErr w:type="spellStart"/>
      <w:r w:rsidRPr="005E4BEA">
        <w:rPr>
          <w:rFonts w:cs="Arial"/>
          <w:szCs w:val="20"/>
        </w:rPr>
        <w:t>pnevmoloških</w:t>
      </w:r>
      <w:proofErr w:type="spellEnd"/>
      <w:r w:rsidRPr="005E4BEA">
        <w:rPr>
          <w:rFonts w:cs="Arial"/>
          <w:szCs w:val="20"/>
        </w:rPr>
        <w:t xml:space="preserve"> storitev</w:t>
      </w:r>
    </w:p>
    <w:p w14:paraId="57ADBFFC" w14:textId="77777777" w:rsidR="00422091" w:rsidRPr="005E4BEA" w:rsidRDefault="00422091" w:rsidP="00422091">
      <w:pPr>
        <w:spacing w:after="120" w:line="240" w:lineRule="auto"/>
        <w:jc w:val="both"/>
        <w:rPr>
          <w:rFonts w:eastAsia="Arial Narrow" w:cs="Arial"/>
          <w:szCs w:val="20"/>
        </w:rPr>
      </w:pPr>
      <w:r w:rsidRPr="005E4BEA">
        <w:rPr>
          <w:rFonts w:eastAsia="Arial Narrow" w:cs="Arial"/>
          <w:szCs w:val="20"/>
        </w:rPr>
        <w:t>(1) Plačevanje storitev temelji na klasifikaciji in cenah storitev iz Priloge I/b.</w:t>
      </w:r>
    </w:p>
    <w:p w14:paraId="3FAB11D8" w14:textId="77777777" w:rsidR="00422091" w:rsidRPr="005E4BEA" w:rsidRDefault="00422091" w:rsidP="00422091">
      <w:pPr>
        <w:spacing w:after="120" w:line="240" w:lineRule="auto"/>
        <w:jc w:val="both"/>
        <w:rPr>
          <w:rFonts w:eastAsia="Arial Narrow" w:cs="Arial"/>
          <w:szCs w:val="20"/>
        </w:rPr>
      </w:pPr>
      <w:r w:rsidRPr="005E4BEA">
        <w:rPr>
          <w:rFonts w:eastAsia="Arial Narrow" w:cs="Arial"/>
          <w:szCs w:val="20"/>
        </w:rPr>
        <w:t xml:space="preserve">(2) Izvajalec evidentira in obračuna storitve po opravljeni celoviti storitvi, ki vključuje tudi izdajo izvida. </w:t>
      </w:r>
    </w:p>
    <w:p w14:paraId="20D86982" w14:textId="77777777" w:rsidR="00422091" w:rsidRPr="005E4BEA" w:rsidRDefault="00422091" w:rsidP="00422091">
      <w:pPr>
        <w:spacing w:after="120" w:line="240" w:lineRule="auto"/>
        <w:jc w:val="both"/>
        <w:rPr>
          <w:rFonts w:eastAsia="Arial Narrow" w:cs="Arial"/>
          <w:szCs w:val="20"/>
        </w:rPr>
      </w:pPr>
      <w:r w:rsidRPr="005E4BEA">
        <w:rPr>
          <w:rFonts w:eastAsia="Arial Narrow" w:cs="Arial"/>
          <w:szCs w:val="20"/>
        </w:rPr>
        <w:t xml:space="preserve">(3) Če izvajalec evidentira in obračuna storitev ''PUL001 Celotni pregled'' pregledane osebe ne sme napotiti k drugemu specialistu-pulmologu ali internistu razen v primeru </w:t>
      </w:r>
      <w:proofErr w:type="spellStart"/>
      <w:r w:rsidRPr="005E4BEA">
        <w:rPr>
          <w:rFonts w:eastAsia="Arial Narrow" w:cs="Arial"/>
          <w:szCs w:val="20"/>
        </w:rPr>
        <w:t>subspecialističnih</w:t>
      </w:r>
      <w:proofErr w:type="spellEnd"/>
      <w:r w:rsidRPr="005E4BEA">
        <w:rPr>
          <w:rFonts w:eastAsia="Arial Narrow" w:cs="Arial"/>
          <w:szCs w:val="20"/>
        </w:rPr>
        <w:t xml:space="preserve"> storitev ali za storitve, ki jih smejo izvajati le določeni izvajalci. Če pregledana oseba potrebuje rentgensko slikanje, mora le-to izvajalec, ki ne razpolaga z rentgenskim aparatom, zagotoviti po sistemu naročnik-plačnik v roku 3 delovnih dni.</w:t>
      </w:r>
    </w:p>
    <w:p w14:paraId="29545221" w14:textId="77777777" w:rsidR="00422091" w:rsidRPr="005E4BEA" w:rsidRDefault="00422091" w:rsidP="00422091">
      <w:pPr>
        <w:spacing w:line="240" w:lineRule="auto"/>
        <w:jc w:val="both"/>
        <w:rPr>
          <w:rFonts w:eastAsia="Arial Narrow" w:cs="Arial"/>
          <w:szCs w:val="20"/>
        </w:rPr>
      </w:pPr>
      <w:r w:rsidRPr="005E4BEA">
        <w:rPr>
          <w:rFonts w:eastAsia="Arial Narrow" w:cs="Arial"/>
          <w:szCs w:val="20"/>
        </w:rPr>
        <w:t>(4)</w:t>
      </w:r>
      <w:r w:rsidRPr="005E4BEA">
        <w:rPr>
          <w:rFonts w:cs="Arial"/>
          <w:szCs w:val="20"/>
        </w:rPr>
        <w:t xml:space="preserve"> </w:t>
      </w:r>
      <w:r w:rsidRPr="005E4BEA">
        <w:rPr>
          <w:rFonts w:eastAsia="Arial Narrow" w:cs="Arial"/>
          <w:szCs w:val="20"/>
        </w:rPr>
        <w:t>V primeru, da je ob triažiranju napotnic razvidno, da izvajalec zavarovani osebi ne bo mogel izvesti storitve, na katero je napotena zavarovana oseba, mora izvajalec zavarovano osebo obvestiti in je ne sme uvrstiti na seznam čakajočih.«</w:t>
      </w:r>
    </w:p>
    <w:p w14:paraId="22DF94C8" w14:textId="77777777" w:rsidR="00422091" w:rsidRPr="005E4BEA" w:rsidRDefault="00422091" w:rsidP="00422091">
      <w:pPr>
        <w:spacing w:line="240" w:lineRule="exact"/>
        <w:jc w:val="both"/>
        <w:rPr>
          <w:rFonts w:cs="Arial"/>
          <w:szCs w:val="20"/>
        </w:rPr>
      </w:pPr>
    </w:p>
    <w:p w14:paraId="65F53EA7" w14:textId="78F9EFBC" w:rsidR="00C13E13" w:rsidRPr="005E4BEA" w:rsidRDefault="00422091" w:rsidP="00465E97">
      <w:pPr>
        <w:spacing w:after="60" w:line="240" w:lineRule="exact"/>
        <w:jc w:val="both"/>
        <w:rPr>
          <w:rFonts w:eastAsia="Arial Narrow" w:cs="Arial"/>
          <w:szCs w:val="20"/>
        </w:rPr>
      </w:pPr>
      <w:r w:rsidRPr="005E4BEA">
        <w:rPr>
          <w:rFonts w:cs="Arial"/>
          <w:szCs w:val="20"/>
        </w:rPr>
        <w:t>Spremembe veljajo od 1. 1. 2023 naprej.</w:t>
      </w:r>
      <w:bookmarkEnd w:id="5"/>
    </w:p>
    <w:p w14:paraId="4A3922A0" w14:textId="0CF22E1E" w:rsidR="00C13E13" w:rsidRPr="005E4BEA" w:rsidRDefault="00C13E13" w:rsidP="00FE461F">
      <w:pPr>
        <w:spacing w:line="240" w:lineRule="auto"/>
        <w:rPr>
          <w:rFonts w:cs="Arial"/>
          <w:szCs w:val="20"/>
        </w:rPr>
      </w:pPr>
    </w:p>
    <w:p w14:paraId="51C6EBFA" w14:textId="4875388B" w:rsidR="00C13E13" w:rsidRPr="005E4BEA" w:rsidRDefault="00C13E13" w:rsidP="00F356C9">
      <w:pPr>
        <w:pStyle w:val="Naslov2"/>
        <w:numPr>
          <w:ilvl w:val="0"/>
          <w:numId w:val="79"/>
        </w:numPr>
        <w:ind w:left="0" w:firstLine="0"/>
        <w:rPr>
          <w:rFonts w:ascii="Arial" w:eastAsia="Arial Narrow" w:hAnsi="Arial" w:cs="Arial"/>
          <w:sz w:val="20"/>
        </w:rPr>
      </w:pPr>
      <w:bookmarkStart w:id="6" w:name="_Hlk102025853"/>
      <w:r w:rsidRPr="005E4BEA">
        <w:rPr>
          <w:rFonts w:ascii="Arial" w:eastAsia="Arial Narrow" w:hAnsi="Arial" w:cs="Arial"/>
          <w:sz w:val="20"/>
        </w:rPr>
        <w:t>SPORNO VPRAŠANJE (5)</w:t>
      </w:r>
    </w:p>
    <w:p w14:paraId="41DFEE25" w14:textId="46BFD297" w:rsidR="00C13E13" w:rsidRPr="005E4BEA" w:rsidRDefault="00C13E13" w:rsidP="00FE461F">
      <w:pPr>
        <w:spacing w:line="240" w:lineRule="auto"/>
        <w:rPr>
          <w:rFonts w:cs="Arial"/>
          <w:szCs w:val="20"/>
        </w:rPr>
      </w:pPr>
    </w:p>
    <w:p w14:paraId="4359FC86" w14:textId="6ADD621C" w:rsidR="00FE461F" w:rsidRPr="005E4BEA" w:rsidRDefault="00C13E13" w:rsidP="00CB4AAF">
      <w:pPr>
        <w:spacing w:line="240" w:lineRule="auto"/>
        <w:rPr>
          <w:rFonts w:cs="Arial"/>
          <w:szCs w:val="20"/>
        </w:rPr>
      </w:pPr>
      <w:r w:rsidRPr="005E4BEA">
        <w:rPr>
          <w:rFonts w:eastAsia="Arial Narrow" w:cs="Arial"/>
          <w:b/>
          <w:szCs w:val="20"/>
        </w:rPr>
        <w:t xml:space="preserve">Zavod za zdravstveno zavarovanje Slovenije </w:t>
      </w:r>
      <w:r w:rsidRPr="005E4BEA">
        <w:rPr>
          <w:rFonts w:eastAsia="Arial Narrow" w:cs="Arial"/>
          <w:szCs w:val="20"/>
        </w:rPr>
        <w:t xml:space="preserve">predlaga, da se v 3. členu </w:t>
      </w:r>
      <w:r w:rsidR="00FE461F" w:rsidRPr="005E4BEA">
        <w:rPr>
          <w:rFonts w:cs="Arial"/>
          <w:szCs w:val="20"/>
        </w:rPr>
        <w:t>v (1) odstavku v točki 5. 1. v opombi št. 3</w:t>
      </w:r>
      <w:r w:rsidR="00CB4AAF" w:rsidRPr="005E4BEA">
        <w:rPr>
          <w:rFonts w:cs="Arial"/>
          <w:szCs w:val="20"/>
        </w:rPr>
        <w:t xml:space="preserve"> </w:t>
      </w:r>
      <w:r w:rsidR="00FE461F" w:rsidRPr="005E4BEA">
        <w:rPr>
          <w:rFonts w:cs="Arial"/>
          <w:szCs w:val="20"/>
        </w:rPr>
        <w:t>briše stavek, ki se glasi:</w:t>
      </w:r>
    </w:p>
    <w:p w14:paraId="6E3970ED" w14:textId="77777777" w:rsidR="00FE461F" w:rsidRPr="005E4BEA" w:rsidRDefault="00FE461F" w:rsidP="00FE461F">
      <w:pPr>
        <w:spacing w:line="60" w:lineRule="exact"/>
        <w:jc w:val="both"/>
        <w:rPr>
          <w:rFonts w:cs="Arial"/>
          <w:szCs w:val="20"/>
        </w:rPr>
      </w:pPr>
    </w:p>
    <w:p w14:paraId="2CAE228B" w14:textId="77777777" w:rsidR="00FE461F" w:rsidRPr="005E4BEA" w:rsidRDefault="00FE461F" w:rsidP="00FE461F">
      <w:pPr>
        <w:spacing w:line="240" w:lineRule="exact"/>
        <w:jc w:val="both"/>
        <w:rPr>
          <w:rFonts w:cs="Arial"/>
          <w:szCs w:val="20"/>
        </w:rPr>
      </w:pPr>
      <w:r w:rsidRPr="005E4BEA">
        <w:rPr>
          <w:rFonts w:cs="Arial"/>
          <w:szCs w:val="20"/>
        </w:rPr>
        <w:t>»Kot prvi pregled se šteje tudi samostojno opravljena diagnostika.«</w:t>
      </w:r>
    </w:p>
    <w:p w14:paraId="2F6FFE72" w14:textId="77777777" w:rsidR="00FE461F" w:rsidRPr="005E4BEA" w:rsidRDefault="00FE461F" w:rsidP="00FE461F">
      <w:pPr>
        <w:spacing w:line="240" w:lineRule="exact"/>
        <w:jc w:val="both"/>
        <w:rPr>
          <w:rFonts w:cs="Arial"/>
          <w:szCs w:val="20"/>
        </w:rPr>
      </w:pPr>
    </w:p>
    <w:p w14:paraId="76812DFB" w14:textId="77777777" w:rsidR="00FE461F" w:rsidRPr="005E4BEA" w:rsidRDefault="00FE461F" w:rsidP="00FE461F">
      <w:pPr>
        <w:spacing w:line="240" w:lineRule="exact"/>
        <w:jc w:val="both"/>
        <w:rPr>
          <w:rFonts w:cs="Arial"/>
          <w:szCs w:val="20"/>
        </w:rPr>
      </w:pPr>
      <w:r w:rsidRPr="005E4BEA">
        <w:rPr>
          <w:rFonts w:cs="Arial"/>
          <w:szCs w:val="20"/>
        </w:rPr>
        <w:t>Sprememba velja od 1. 7. 2022.</w:t>
      </w:r>
    </w:p>
    <w:p w14:paraId="54CDFCD4" w14:textId="77777777" w:rsidR="00FE461F" w:rsidRPr="005E4BEA" w:rsidRDefault="00FE461F" w:rsidP="00FE461F">
      <w:pPr>
        <w:spacing w:line="120" w:lineRule="auto"/>
        <w:jc w:val="both"/>
        <w:rPr>
          <w:rFonts w:cs="Arial"/>
          <w:szCs w:val="20"/>
        </w:rPr>
      </w:pPr>
    </w:p>
    <w:p w14:paraId="7D693A96" w14:textId="77777777" w:rsidR="00FE461F" w:rsidRPr="005E4BEA" w:rsidRDefault="00FE461F" w:rsidP="00FE461F">
      <w:pPr>
        <w:spacing w:line="120" w:lineRule="auto"/>
        <w:jc w:val="both"/>
        <w:rPr>
          <w:rFonts w:cs="Arial"/>
          <w:szCs w:val="20"/>
        </w:rPr>
      </w:pPr>
    </w:p>
    <w:p w14:paraId="48F98A12"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2832BEDD"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predlaga, da se samostojno opravljena diagnostika ne šteje kot prvi pregled. Po definiciji je prvi pregled opredeljen kot pregled, ki je namenjen opredelitvi novonastalega zdravstvenega stanja oziroma akutnega poslabšanja kroničnega zdravstvenega stanja in načrtovanju potrebnih preiskav in zdravljenja. Ob opravljenem prvem pregledu, se torej lahko načrtuje tudi diagnostika. Gre torej za nadaljevanje obravnave istega zdravstvenega problema, tako da se diagnostika ne more šteti kot prvi pregled.</w:t>
      </w:r>
    </w:p>
    <w:p w14:paraId="3DD0F475"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43F13FC" w14:textId="38EBC28C"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Finančne posledice: / </w:t>
      </w:r>
    </w:p>
    <w:p w14:paraId="47934C73" w14:textId="78E8BE93" w:rsidR="00CB4AAF" w:rsidRPr="005E4BEA" w:rsidRDefault="00CB4AAF" w:rsidP="00FE461F">
      <w:pPr>
        <w:spacing w:line="240" w:lineRule="auto"/>
        <w:jc w:val="both"/>
        <w:rPr>
          <w:rFonts w:eastAsiaTheme="minorHAnsi" w:cs="Arial"/>
          <w:i/>
          <w:color w:val="808080" w:themeColor="background1" w:themeShade="80"/>
          <w:szCs w:val="20"/>
        </w:rPr>
      </w:pPr>
    </w:p>
    <w:p w14:paraId="492482E8" w14:textId="77777777" w:rsidR="00CF22EE" w:rsidRPr="005E4BEA" w:rsidRDefault="00CB4AAF" w:rsidP="00C306A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CF22EE" w:rsidRPr="005E4BEA">
        <w:rPr>
          <w:rFonts w:eastAsia="Arial Narrow" w:cs="Arial"/>
          <w:szCs w:val="20"/>
        </w:rPr>
        <w:t xml:space="preserve">ne </w:t>
      </w:r>
      <w:r w:rsidR="00C306A1" w:rsidRPr="005E4BEA">
        <w:rPr>
          <w:rFonts w:eastAsia="Arial Narrow" w:cs="Arial"/>
          <w:szCs w:val="20"/>
        </w:rPr>
        <w:t>strin</w:t>
      </w:r>
      <w:r w:rsidR="00CF22EE" w:rsidRPr="005E4BEA">
        <w:rPr>
          <w:rFonts w:eastAsia="Arial Narrow" w:cs="Arial"/>
          <w:szCs w:val="20"/>
        </w:rPr>
        <w:t>j</w:t>
      </w:r>
      <w:r w:rsidR="00C306A1" w:rsidRPr="005E4BEA">
        <w:rPr>
          <w:rFonts w:eastAsia="Arial Narrow" w:cs="Arial"/>
          <w:szCs w:val="20"/>
        </w:rPr>
        <w:t xml:space="preserve">a </w:t>
      </w:r>
      <w:r w:rsidRPr="005E4BEA">
        <w:rPr>
          <w:rFonts w:eastAsia="Arial Narrow" w:cs="Arial"/>
          <w:szCs w:val="20"/>
        </w:rPr>
        <w:t>s predlogo</w:t>
      </w:r>
      <w:r w:rsidR="00905664" w:rsidRPr="005E4BEA">
        <w:rPr>
          <w:rFonts w:eastAsia="Arial Narrow" w:cs="Arial"/>
          <w:szCs w:val="20"/>
        </w:rPr>
        <w:t>m</w:t>
      </w:r>
      <w:r w:rsidR="00CF22EE" w:rsidRPr="005E4BEA">
        <w:rPr>
          <w:rFonts w:eastAsia="Arial Narrow" w:cs="Arial"/>
          <w:szCs w:val="20"/>
        </w:rPr>
        <w:t>.</w:t>
      </w:r>
    </w:p>
    <w:p w14:paraId="5D4F9167" w14:textId="77777777" w:rsidR="00C306A1" w:rsidRPr="005E4BEA" w:rsidRDefault="00C306A1" w:rsidP="00C306A1">
      <w:pPr>
        <w:autoSpaceDE w:val="0"/>
        <w:autoSpaceDN w:val="0"/>
        <w:adjustRightInd w:val="0"/>
        <w:spacing w:line="0" w:lineRule="atLeast"/>
        <w:jc w:val="both"/>
        <w:rPr>
          <w:rFonts w:eastAsia="Arial Narrow" w:cs="Arial"/>
          <w:szCs w:val="20"/>
        </w:rPr>
      </w:pPr>
    </w:p>
    <w:p w14:paraId="32D4A00C" w14:textId="77777777" w:rsidR="00CB4AAF" w:rsidRPr="005E4BEA" w:rsidRDefault="00CB4AAF" w:rsidP="00CB4AAF">
      <w:pPr>
        <w:spacing w:line="0" w:lineRule="atLeast"/>
        <w:jc w:val="both"/>
        <w:rPr>
          <w:rFonts w:eastAsia="Arial Narrow" w:cs="Arial"/>
          <w:szCs w:val="20"/>
          <w:lang w:eastAsia="sl-SI"/>
        </w:rPr>
      </w:pPr>
    </w:p>
    <w:p w14:paraId="11B33FAC" w14:textId="6A0B4F9B" w:rsidR="00905664" w:rsidRPr="005E4BEA" w:rsidRDefault="00CB4AAF" w:rsidP="00CF22EE">
      <w:pPr>
        <w:spacing w:line="240" w:lineRule="auto"/>
        <w:jc w:val="both"/>
        <w:rPr>
          <w:rFonts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7" w:name="_Hlk102557817"/>
      <w:r w:rsidR="00905664" w:rsidRPr="005E4BEA">
        <w:rPr>
          <w:rFonts w:eastAsia="Arial Narrow" w:cs="Arial"/>
          <w:szCs w:val="20"/>
        </w:rPr>
        <w:t xml:space="preserve">da se 3. </w:t>
      </w:r>
      <w:r w:rsidR="00CF22EE" w:rsidRPr="005E4BEA">
        <w:rPr>
          <w:rFonts w:eastAsia="Arial Narrow" w:cs="Arial"/>
          <w:szCs w:val="20"/>
        </w:rPr>
        <w:t>člen Splošnega dogovora za pogodbeno leto 2022 ne spremeni.</w:t>
      </w:r>
    </w:p>
    <w:bookmarkEnd w:id="7"/>
    <w:p w14:paraId="249E5552" w14:textId="77777777" w:rsidR="00905664" w:rsidRPr="005E4BEA" w:rsidRDefault="00905664" w:rsidP="00905664">
      <w:pPr>
        <w:spacing w:line="240" w:lineRule="exact"/>
        <w:jc w:val="both"/>
        <w:rPr>
          <w:rFonts w:cs="Arial"/>
          <w:szCs w:val="20"/>
        </w:rPr>
      </w:pPr>
    </w:p>
    <w:p w14:paraId="13E415B3" w14:textId="693BE83A" w:rsidR="00CB4AAF" w:rsidRPr="005E4BEA" w:rsidRDefault="00CB4AAF" w:rsidP="00905664">
      <w:pPr>
        <w:spacing w:line="0" w:lineRule="atLeast"/>
        <w:jc w:val="both"/>
        <w:rPr>
          <w:rFonts w:eastAsiaTheme="minorHAnsi" w:cs="Arial"/>
          <w:i/>
          <w:color w:val="808080" w:themeColor="background1" w:themeShade="80"/>
          <w:szCs w:val="20"/>
        </w:rPr>
      </w:pPr>
    </w:p>
    <w:p w14:paraId="441FE498" w14:textId="60A2B34A" w:rsidR="00CB4AAF" w:rsidRPr="005E4BEA" w:rsidRDefault="00CB4AAF" w:rsidP="00F356C9">
      <w:pPr>
        <w:pStyle w:val="Naslov2"/>
        <w:numPr>
          <w:ilvl w:val="0"/>
          <w:numId w:val="79"/>
        </w:numPr>
        <w:shd w:val="clear" w:color="auto" w:fill="FFFFFF" w:themeFill="background1"/>
        <w:ind w:left="0" w:firstLine="0"/>
        <w:rPr>
          <w:rFonts w:ascii="Arial" w:eastAsia="Arial Narrow" w:hAnsi="Arial" w:cs="Arial"/>
          <w:sz w:val="20"/>
        </w:rPr>
      </w:pPr>
      <w:bookmarkStart w:id="8" w:name="_Hlk102379451"/>
      <w:bookmarkEnd w:id="6"/>
      <w:r w:rsidRPr="005E4BEA">
        <w:rPr>
          <w:rFonts w:ascii="Arial" w:eastAsia="Arial Narrow" w:hAnsi="Arial" w:cs="Arial"/>
          <w:sz w:val="20"/>
        </w:rPr>
        <w:t>SPORNO VPRAŠANJE (6)</w:t>
      </w:r>
    </w:p>
    <w:p w14:paraId="507EA7D3" w14:textId="77777777" w:rsidR="00CB4AAF" w:rsidRPr="005E4BEA" w:rsidRDefault="00CB4AAF" w:rsidP="00CB4AAF">
      <w:pPr>
        <w:spacing w:line="240" w:lineRule="auto"/>
        <w:rPr>
          <w:rFonts w:eastAsia="Arial Narrow" w:cs="Arial"/>
          <w:b/>
          <w:szCs w:val="20"/>
        </w:rPr>
      </w:pPr>
    </w:p>
    <w:p w14:paraId="04E10573" w14:textId="4337D8A2" w:rsidR="00FE461F" w:rsidRPr="005E4BEA" w:rsidRDefault="00CB4AAF" w:rsidP="00CB4AAF">
      <w:pPr>
        <w:spacing w:line="240" w:lineRule="auto"/>
        <w:rPr>
          <w:rFonts w:cs="Arial"/>
          <w:szCs w:val="20"/>
        </w:rPr>
      </w:pPr>
      <w:r w:rsidRPr="005E4BEA">
        <w:rPr>
          <w:rFonts w:eastAsia="Arial Narrow" w:cs="Arial"/>
          <w:b/>
          <w:szCs w:val="20"/>
        </w:rPr>
        <w:t xml:space="preserve">Zavod za zdravstveno zavarovanje Slovenije </w:t>
      </w:r>
      <w:r w:rsidRPr="005E4BEA">
        <w:rPr>
          <w:rFonts w:eastAsia="Arial Narrow" w:cs="Arial"/>
          <w:szCs w:val="20"/>
        </w:rPr>
        <w:t>predlaga, d</w:t>
      </w:r>
      <w:bookmarkStart w:id="9" w:name="_Hlk102379168"/>
      <w:r w:rsidRPr="005E4BEA">
        <w:rPr>
          <w:rFonts w:eastAsia="Arial Narrow" w:cs="Arial"/>
          <w:szCs w:val="20"/>
        </w:rPr>
        <w:t xml:space="preserve">a se v 3. členu </w:t>
      </w:r>
      <w:r w:rsidRPr="005E4BEA">
        <w:rPr>
          <w:rFonts w:cs="Arial"/>
          <w:szCs w:val="20"/>
        </w:rPr>
        <w:t xml:space="preserve">v (1) odstavku </w:t>
      </w:r>
      <w:r w:rsidR="00FE461F" w:rsidRPr="005E4BEA">
        <w:rPr>
          <w:rFonts w:cs="Arial"/>
          <w:szCs w:val="20"/>
        </w:rPr>
        <w:t>doda nova točka 1. 9., ki se glasi:</w:t>
      </w:r>
    </w:p>
    <w:p w14:paraId="479AC2F3" w14:textId="77777777" w:rsidR="00FE461F" w:rsidRPr="005E4BEA" w:rsidRDefault="00FE461F" w:rsidP="00FE461F">
      <w:pPr>
        <w:spacing w:line="60" w:lineRule="exact"/>
        <w:jc w:val="both"/>
        <w:rPr>
          <w:rFonts w:cs="Arial"/>
          <w:szCs w:val="20"/>
        </w:rPr>
      </w:pPr>
    </w:p>
    <w:p w14:paraId="1735CAA2" w14:textId="77777777" w:rsidR="00FE461F" w:rsidRPr="005E4BEA" w:rsidRDefault="00FE461F" w:rsidP="00FE461F">
      <w:pPr>
        <w:spacing w:line="240" w:lineRule="exact"/>
        <w:jc w:val="both"/>
        <w:rPr>
          <w:rFonts w:cs="Arial"/>
          <w:szCs w:val="20"/>
        </w:rPr>
      </w:pPr>
      <w:r w:rsidRPr="005E4BEA">
        <w:rPr>
          <w:rFonts w:cs="Arial"/>
          <w:szCs w:val="20"/>
        </w:rPr>
        <w:t xml:space="preserve">»1.9. </w:t>
      </w:r>
      <w:proofErr w:type="spellStart"/>
      <w:r w:rsidRPr="005E4BEA">
        <w:rPr>
          <w:rFonts w:cs="Arial"/>
          <w:szCs w:val="20"/>
        </w:rPr>
        <w:t>Antikoagulantni</w:t>
      </w:r>
      <w:proofErr w:type="spellEnd"/>
      <w:r w:rsidRPr="005E4BEA">
        <w:rPr>
          <w:rFonts w:cs="Arial"/>
          <w:szCs w:val="20"/>
        </w:rPr>
        <w:t xml:space="preserve"> program zdravstveni domovi, koncesionarji in </w:t>
      </w:r>
      <w:r w:rsidRPr="005E4BEA">
        <w:rPr>
          <w:rFonts w:cs="Arial"/>
          <w:b/>
          <w:bCs/>
          <w:szCs w:val="20"/>
        </w:rPr>
        <w:t>bolnišnice</w:t>
      </w:r>
      <w:r w:rsidRPr="005E4BEA">
        <w:rPr>
          <w:rFonts w:cs="Arial"/>
          <w:szCs w:val="20"/>
        </w:rPr>
        <w:t xml:space="preserve"> načrtujejo v skladu s kalkulacijo iz Priloge I. Zdravstveni domovi in koncesionarji program načrtujejo na ravni pogodb preteklega leta, bolnišnice pa v obsegu realiziranega </w:t>
      </w:r>
      <w:proofErr w:type="spellStart"/>
      <w:r w:rsidRPr="005E4BEA">
        <w:rPr>
          <w:rFonts w:cs="Arial"/>
          <w:szCs w:val="20"/>
        </w:rPr>
        <w:t>antikoagulantnega</w:t>
      </w:r>
      <w:proofErr w:type="spellEnd"/>
      <w:r w:rsidRPr="005E4BEA">
        <w:rPr>
          <w:rFonts w:cs="Arial"/>
          <w:szCs w:val="20"/>
        </w:rPr>
        <w:t xml:space="preserve"> programa (točk) v okviru specialistične </w:t>
      </w:r>
      <w:proofErr w:type="spellStart"/>
      <w:r w:rsidRPr="005E4BEA">
        <w:rPr>
          <w:rFonts w:cs="Arial"/>
          <w:szCs w:val="20"/>
        </w:rPr>
        <w:t>zunajbolnišnične</w:t>
      </w:r>
      <w:proofErr w:type="spellEnd"/>
      <w:r w:rsidRPr="005E4BEA">
        <w:rPr>
          <w:rFonts w:cs="Arial"/>
          <w:szCs w:val="20"/>
        </w:rPr>
        <w:t xml:space="preserve"> dejavnosti v preteklem letu, skladno s podatki izvajalca.«</w:t>
      </w:r>
    </w:p>
    <w:p w14:paraId="05AB60FA" w14:textId="77777777" w:rsidR="00FE461F" w:rsidRPr="005E4BEA" w:rsidRDefault="00FE461F" w:rsidP="00FE461F">
      <w:pPr>
        <w:spacing w:line="240" w:lineRule="exact"/>
        <w:jc w:val="both"/>
        <w:rPr>
          <w:rFonts w:cs="Arial"/>
          <w:szCs w:val="20"/>
        </w:rPr>
      </w:pPr>
    </w:p>
    <w:p w14:paraId="1AB40C2C" w14:textId="77777777" w:rsidR="00FE461F" w:rsidRPr="005E4BEA" w:rsidRDefault="00FE461F" w:rsidP="00FE461F">
      <w:pPr>
        <w:spacing w:line="240" w:lineRule="exact"/>
        <w:jc w:val="both"/>
        <w:rPr>
          <w:rFonts w:cs="Arial"/>
          <w:b/>
          <w:bCs/>
          <w:szCs w:val="20"/>
        </w:rPr>
      </w:pPr>
      <w:r w:rsidRPr="005E4BEA">
        <w:rPr>
          <w:rFonts w:cs="Arial"/>
          <w:b/>
          <w:bCs/>
          <w:szCs w:val="20"/>
        </w:rPr>
        <w:t>V 3. členu v (1) odstavku se doda nova točka 5. 6., ki se glasi:</w:t>
      </w:r>
    </w:p>
    <w:p w14:paraId="0843B40D" w14:textId="77777777" w:rsidR="00FE461F" w:rsidRPr="005E4BEA" w:rsidRDefault="00FE461F" w:rsidP="00FE461F">
      <w:pPr>
        <w:spacing w:line="60" w:lineRule="exact"/>
        <w:jc w:val="both"/>
        <w:rPr>
          <w:rFonts w:cs="Arial"/>
          <w:szCs w:val="20"/>
        </w:rPr>
      </w:pPr>
    </w:p>
    <w:p w14:paraId="285F15D0" w14:textId="77777777" w:rsidR="00FE461F" w:rsidRPr="005E4BEA" w:rsidRDefault="00FE461F" w:rsidP="00FE461F">
      <w:pPr>
        <w:spacing w:line="240" w:lineRule="exact"/>
        <w:jc w:val="both"/>
        <w:rPr>
          <w:rFonts w:cs="Arial"/>
          <w:szCs w:val="20"/>
        </w:rPr>
      </w:pPr>
      <w:r w:rsidRPr="005E4BEA">
        <w:rPr>
          <w:rFonts w:cs="Arial"/>
          <w:szCs w:val="20"/>
        </w:rPr>
        <w:t xml:space="preserve">»5.6. Bolnišnicam se zniža obseg programa v specialističnih </w:t>
      </w:r>
      <w:proofErr w:type="spellStart"/>
      <w:r w:rsidRPr="005E4BEA">
        <w:rPr>
          <w:rFonts w:cs="Arial"/>
          <w:szCs w:val="20"/>
        </w:rPr>
        <w:t>zunajbolnišničnih</w:t>
      </w:r>
      <w:proofErr w:type="spellEnd"/>
      <w:r w:rsidRPr="005E4BEA">
        <w:rPr>
          <w:rFonts w:cs="Arial"/>
          <w:szCs w:val="20"/>
        </w:rPr>
        <w:t xml:space="preserve"> dejavnostih, kjer so do sedaj izvajali </w:t>
      </w:r>
      <w:proofErr w:type="spellStart"/>
      <w:r w:rsidRPr="005E4BEA">
        <w:rPr>
          <w:rFonts w:cs="Arial"/>
          <w:szCs w:val="20"/>
        </w:rPr>
        <w:t>antikoagulantni</w:t>
      </w:r>
      <w:proofErr w:type="spellEnd"/>
      <w:r w:rsidRPr="005E4BEA">
        <w:rPr>
          <w:rFonts w:cs="Arial"/>
          <w:szCs w:val="20"/>
        </w:rPr>
        <w:t xml:space="preserve"> program, in sicer v višini realiziranega obsega </w:t>
      </w:r>
      <w:proofErr w:type="spellStart"/>
      <w:r w:rsidRPr="005E4BEA">
        <w:rPr>
          <w:rFonts w:cs="Arial"/>
          <w:szCs w:val="20"/>
        </w:rPr>
        <w:t>antikoagulantnega</w:t>
      </w:r>
      <w:proofErr w:type="spellEnd"/>
      <w:r w:rsidRPr="005E4BEA">
        <w:rPr>
          <w:rFonts w:cs="Arial"/>
          <w:szCs w:val="20"/>
        </w:rPr>
        <w:t xml:space="preserve"> programa v preteklem letu, ki ga sporoči izvajalec.«</w:t>
      </w:r>
    </w:p>
    <w:p w14:paraId="62D4A427" w14:textId="77777777" w:rsidR="00FE461F" w:rsidRPr="005E4BEA" w:rsidRDefault="00FE461F" w:rsidP="00FE461F">
      <w:pPr>
        <w:spacing w:line="240" w:lineRule="auto"/>
        <w:jc w:val="both"/>
        <w:rPr>
          <w:rFonts w:cs="Arial"/>
          <w:szCs w:val="20"/>
        </w:rPr>
      </w:pPr>
    </w:p>
    <w:p w14:paraId="12AA52F9" w14:textId="77777777" w:rsidR="00FE461F" w:rsidRPr="005E4BEA" w:rsidRDefault="00FE461F" w:rsidP="00FE461F">
      <w:pPr>
        <w:spacing w:line="240" w:lineRule="exact"/>
        <w:jc w:val="both"/>
        <w:rPr>
          <w:rFonts w:cs="Arial"/>
          <w:b/>
          <w:bCs/>
          <w:szCs w:val="20"/>
        </w:rPr>
      </w:pPr>
      <w:r w:rsidRPr="005E4BEA">
        <w:rPr>
          <w:rFonts w:cs="Arial"/>
          <w:b/>
          <w:bCs/>
          <w:szCs w:val="20"/>
        </w:rPr>
        <w:t>V Prilogi I:</w:t>
      </w:r>
    </w:p>
    <w:p w14:paraId="2B3DD607" w14:textId="77777777" w:rsidR="00FE461F" w:rsidRPr="005E4BEA" w:rsidRDefault="00FE461F" w:rsidP="00F356C9">
      <w:pPr>
        <w:numPr>
          <w:ilvl w:val="0"/>
          <w:numId w:val="49"/>
        </w:numPr>
        <w:tabs>
          <w:tab w:val="left" w:pos="284"/>
        </w:tabs>
        <w:spacing w:before="120" w:line="240" w:lineRule="auto"/>
        <w:contextualSpacing/>
        <w:rPr>
          <w:rFonts w:cs="Arial"/>
          <w:b/>
          <w:bCs/>
          <w:szCs w:val="20"/>
        </w:rPr>
      </w:pPr>
      <w:r w:rsidRPr="005E4BEA">
        <w:rPr>
          <w:rFonts w:cs="Arial"/>
          <w:b/>
          <w:bCs/>
          <w:szCs w:val="20"/>
        </w:rPr>
        <w:t xml:space="preserve">kalkulacija »302 004 Z0030 </w:t>
      </w:r>
      <w:proofErr w:type="spellStart"/>
      <w:r w:rsidRPr="005E4BEA">
        <w:rPr>
          <w:rFonts w:cs="Arial"/>
          <w:b/>
          <w:bCs/>
          <w:szCs w:val="20"/>
        </w:rPr>
        <w:t>Antikoagulantna</w:t>
      </w:r>
      <w:proofErr w:type="spellEnd"/>
      <w:r w:rsidRPr="005E4BEA">
        <w:rPr>
          <w:rFonts w:cs="Arial"/>
          <w:b/>
          <w:bCs/>
          <w:szCs w:val="20"/>
        </w:rPr>
        <w:t xml:space="preserve"> ambulanta« se preimenuje tako, da se glasi:</w:t>
      </w:r>
    </w:p>
    <w:p w14:paraId="7E488D86" w14:textId="77777777" w:rsidR="00FE461F" w:rsidRPr="005E4BEA" w:rsidRDefault="00FE461F" w:rsidP="00FE461F">
      <w:pPr>
        <w:tabs>
          <w:tab w:val="left" w:pos="284"/>
        </w:tabs>
        <w:spacing w:before="60" w:line="240" w:lineRule="auto"/>
        <w:contextualSpacing/>
        <w:rPr>
          <w:rFonts w:cs="Arial"/>
          <w:szCs w:val="20"/>
        </w:rPr>
      </w:pPr>
      <w:r w:rsidRPr="005E4BEA">
        <w:rPr>
          <w:rFonts w:cs="Arial"/>
          <w:szCs w:val="20"/>
        </w:rPr>
        <w:tab/>
        <w:t xml:space="preserve">»302 004 Z0030 </w:t>
      </w:r>
      <w:proofErr w:type="spellStart"/>
      <w:r w:rsidRPr="005E4BEA">
        <w:rPr>
          <w:rFonts w:cs="Arial"/>
          <w:szCs w:val="20"/>
        </w:rPr>
        <w:t>Antikoagulantni</w:t>
      </w:r>
      <w:proofErr w:type="spellEnd"/>
      <w:r w:rsidRPr="005E4BEA">
        <w:rPr>
          <w:rFonts w:cs="Arial"/>
          <w:szCs w:val="20"/>
        </w:rPr>
        <w:t xml:space="preserve"> program« </w:t>
      </w:r>
    </w:p>
    <w:p w14:paraId="406A5CB8" w14:textId="77777777" w:rsidR="00FE461F" w:rsidRPr="005E4BEA" w:rsidRDefault="00FE461F" w:rsidP="00FE461F">
      <w:pPr>
        <w:tabs>
          <w:tab w:val="left" w:pos="142"/>
        </w:tabs>
        <w:spacing w:line="120" w:lineRule="auto"/>
        <w:rPr>
          <w:rFonts w:cs="Arial"/>
          <w:szCs w:val="20"/>
        </w:rPr>
      </w:pPr>
    </w:p>
    <w:p w14:paraId="4B73CF3E" w14:textId="77777777" w:rsidR="00FE461F" w:rsidRPr="005E4BEA" w:rsidRDefault="00FE461F" w:rsidP="00FE461F">
      <w:pPr>
        <w:tabs>
          <w:tab w:val="left" w:pos="284"/>
        </w:tabs>
        <w:spacing w:line="240" w:lineRule="auto"/>
        <w:contextualSpacing/>
        <w:rPr>
          <w:rFonts w:cs="Arial"/>
          <w:szCs w:val="20"/>
        </w:rPr>
      </w:pPr>
      <w:r w:rsidRPr="005E4BEA">
        <w:rPr>
          <w:rFonts w:cs="Arial"/>
          <w:szCs w:val="20"/>
        </w:rPr>
        <w:tab/>
        <w:t>Opomba pod kalkulacijo se briše.</w:t>
      </w:r>
    </w:p>
    <w:p w14:paraId="34E2538B" w14:textId="77777777" w:rsidR="00FE461F" w:rsidRPr="005E4BEA" w:rsidRDefault="00FE461F" w:rsidP="00FE461F">
      <w:pPr>
        <w:spacing w:line="240" w:lineRule="exact"/>
        <w:jc w:val="both"/>
        <w:rPr>
          <w:rFonts w:cs="Arial"/>
          <w:szCs w:val="20"/>
        </w:rPr>
      </w:pPr>
    </w:p>
    <w:p w14:paraId="69ABC30D" w14:textId="77777777" w:rsidR="00FE461F" w:rsidRPr="005E4BEA" w:rsidRDefault="00FE461F" w:rsidP="00FE461F">
      <w:pPr>
        <w:spacing w:line="120" w:lineRule="auto"/>
        <w:jc w:val="both"/>
        <w:rPr>
          <w:rFonts w:cs="Arial"/>
          <w:szCs w:val="20"/>
        </w:rPr>
      </w:pPr>
    </w:p>
    <w:p w14:paraId="7D66B577" w14:textId="77777777" w:rsidR="00FE461F" w:rsidRPr="005E4BEA" w:rsidRDefault="00FE461F" w:rsidP="00FE461F">
      <w:pPr>
        <w:spacing w:after="60" w:line="240" w:lineRule="exact"/>
        <w:jc w:val="both"/>
        <w:rPr>
          <w:rFonts w:cs="Arial"/>
          <w:szCs w:val="20"/>
        </w:rPr>
      </w:pPr>
      <w:r w:rsidRPr="005E4BEA">
        <w:rPr>
          <w:rFonts w:cs="Arial"/>
          <w:b/>
          <w:szCs w:val="20"/>
        </w:rPr>
        <w:t>V Prilogi III v (2) odstavku v 1. točki se doda nova alineja, ki se glasi:</w:t>
      </w:r>
    </w:p>
    <w:p w14:paraId="684C9E13" w14:textId="77777777" w:rsidR="00FE461F" w:rsidRPr="005E4BEA" w:rsidRDefault="00FE461F" w:rsidP="00FE461F">
      <w:pPr>
        <w:spacing w:line="240" w:lineRule="auto"/>
        <w:jc w:val="both"/>
        <w:rPr>
          <w:rFonts w:cs="Arial"/>
          <w:szCs w:val="20"/>
        </w:rPr>
      </w:pPr>
      <w:r w:rsidRPr="005E4BEA">
        <w:rPr>
          <w:rFonts w:cs="Arial"/>
          <w:szCs w:val="20"/>
        </w:rPr>
        <w:t xml:space="preserve">» - </w:t>
      </w:r>
      <w:proofErr w:type="spellStart"/>
      <w:r w:rsidRPr="005E4BEA">
        <w:rPr>
          <w:rFonts w:cs="Arial"/>
          <w:szCs w:val="20"/>
        </w:rPr>
        <w:t>antikoagulantni</w:t>
      </w:r>
      <w:proofErr w:type="spellEnd"/>
      <w:r w:rsidRPr="005E4BEA">
        <w:rPr>
          <w:rFonts w:cs="Arial"/>
          <w:szCs w:val="20"/>
        </w:rPr>
        <w:t xml:space="preserve"> program (302 004 Z0030)«</w:t>
      </w:r>
    </w:p>
    <w:p w14:paraId="5E5924E1" w14:textId="77777777" w:rsidR="00FE461F" w:rsidRPr="005E4BEA" w:rsidRDefault="00FE461F" w:rsidP="00FE461F">
      <w:pPr>
        <w:spacing w:line="240" w:lineRule="auto"/>
        <w:jc w:val="both"/>
        <w:rPr>
          <w:rFonts w:cs="Arial"/>
          <w:szCs w:val="20"/>
        </w:rPr>
      </w:pPr>
    </w:p>
    <w:p w14:paraId="1CE8ADBF" w14:textId="77777777" w:rsidR="00FE461F" w:rsidRPr="005E4BEA" w:rsidRDefault="00FE461F" w:rsidP="00FE461F">
      <w:pPr>
        <w:spacing w:line="240" w:lineRule="exact"/>
        <w:jc w:val="both"/>
        <w:rPr>
          <w:rFonts w:cs="Arial"/>
          <w:b/>
          <w:bCs/>
          <w:szCs w:val="20"/>
        </w:rPr>
      </w:pPr>
      <w:r w:rsidRPr="005E4BEA">
        <w:rPr>
          <w:rFonts w:cs="Arial"/>
          <w:b/>
          <w:bCs/>
          <w:szCs w:val="20"/>
        </w:rPr>
        <w:t>V Prilogi ZD ZAS se briše 5. člen.</w:t>
      </w:r>
    </w:p>
    <w:p w14:paraId="255E4258" w14:textId="77777777" w:rsidR="00FE461F" w:rsidRPr="005E4BEA" w:rsidRDefault="00FE461F" w:rsidP="00FE461F">
      <w:pPr>
        <w:spacing w:line="60" w:lineRule="exact"/>
        <w:jc w:val="both"/>
        <w:rPr>
          <w:rFonts w:cs="Arial"/>
          <w:b/>
          <w:bCs/>
          <w:szCs w:val="20"/>
        </w:rPr>
      </w:pPr>
    </w:p>
    <w:p w14:paraId="2C23E829" w14:textId="77777777" w:rsidR="00FE461F" w:rsidRPr="005E4BEA" w:rsidRDefault="00FE461F" w:rsidP="00FE461F">
      <w:pPr>
        <w:spacing w:line="240" w:lineRule="exact"/>
        <w:jc w:val="both"/>
        <w:rPr>
          <w:rFonts w:cs="Arial"/>
          <w:szCs w:val="20"/>
        </w:rPr>
      </w:pPr>
      <w:r w:rsidRPr="005E4BEA">
        <w:rPr>
          <w:rFonts w:cs="Arial"/>
          <w:szCs w:val="20"/>
        </w:rPr>
        <w:t>Ostali členi se preštevilčijo.</w:t>
      </w:r>
    </w:p>
    <w:p w14:paraId="788E3D97" w14:textId="77777777" w:rsidR="00FE461F" w:rsidRPr="005E4BEA" w:rsidRDefault="00FE461F" w:rsidP="00FE461F">
      <w:pPr>
        <w:spacing w:line="240" w:lineRule="exact"/>
        <w:jc w:val="both"/>
        <w:rPr>
          <w:rFonts w:cs="Arial"/>
          <w:szCs w:val="20"/>
        </w:rPr>
      </w:pPr>
    </w:p>
    <w:p w14:paraId="03DDBBC0" w14:textId="77777777" w:rsidR="00FE461F" w:rsidRPr="005E4BEA" w:rsidRDefault="00FE461F" w:rsidP="00FE461F">
      <w:pPr>
        <w:spacing w:line="240" w:lineRule="exact"/>
        <w:jc w:val="both"/>
        <w:rPr>
          <w:rFonts w:cs="Arial"/>
          <w:szCs w:val="20"/>
        </w:rPr>
      </w:pPr>
      <w:r w:rsidRPr="005E4BEA">
        <w:rPr>
          <w:rFonts w:cs="Arial"/>
          <w:szCs w:val="20"/>
        </w:rPr>
        <w:t>Spremembe veljajo od 1. 1. 2023 naprej</w:t>
      </w:r>
    </w:p>
    <w:bookmarkEnd w:id="9"/>
    <w:p w14:paraId="6C786BD2" w14:textId="77777777" w:rsidR="00FE461F" w:rsidRPr="005E4BEA" w:rsidRDefault="00FE461F" w:rsidP="00FE461F">
      <w:pPr>
        <w:spacing w:line="240" w:lineRule="exact"/>
        <w:jc w:val="both"/>
        <w:rPr>
          <w:rFonts w:cs="Arial"/>
          <w:szCs w:val="20"/>
        </w:rPr>
      </w:pPr>
    </w:p>
    <w:p w14:paraId="62CD4488"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77CB0F50" w14:textId="77777777" w:rsidR="00FE461F" w:rsidRPr="005E4BEA" w:rsidRDefault="00FE461F" w:rsidP="00FE461F">
      <w:pPr>
        <w:spacing w:after="60"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da tudi bolnišnice </w:t>
      </w:r>
      <w:proofErr w:type="spellStart"/>
      <w:r w:rsidRPr="005E4BEA">
        <w:rPr>
          <w:rFonts w:eastAsiaTheme="minorHAnsi" w:cs="Arial"/>
          <w:i/>
          <w:color w:val="808080" w:themeColor="background1" w:themeShade="80"/>
          <w:szCs w:val="20"/>
        </w:rPr>
        <w:t>antikoagulantni</w:t>
      </w:r>
      <w:proofErr w:type="spellEnd"/>
      <w:r w:rsidRPr="005E4BEA">
        <w:rPr>
          <w:rFonts w:eastAsiaTheme="minorHAnsi" w:cs="Arial"/>
          <w:i/>
          <w:color w:val="808080" w:themeColor="background1" w:themeShade="80"/>
          <w:szCs w:val="20"/>
        </w:rPr>
        <w:t xml:space="preserve"> program načrtujejo in obračunavajo v skladu s kalkulacijo iz Priloge I na dejavnosti 302 004 Z0030 (enako kot velja za zdravstvene domove in koncesionarje).</w:t>
      </w:r>
    </w:p>
    <w:p w14:paraId="44175E35" w14:textId="77777777" w:rsidR="00FE461F" w:rsidRPr="005E4BEA" w:rsidRDefault="00FE461F" w:rsidP="00FE461F">
      <w:pPr>
        <w:spacing w:after="60"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Ob tem predlagamo, da se </w:t>
      </w:r>
      <w:proofErr w:type="spellStart"/>
      <w:r w:rsidRPr="005E4BEA">
        <w:rPr>
          <w:rFonts w:eastAsiaTheme="minorHAnsi" w:cs="Arial"/>
          <w:i/>
          <w:color w:val="808080" w:themeColor="background1" w:themeShade="80"/>
          <w:szCs w:val="20"/>
        </w:rPr>
        <w:t>antikoagulantni</w:t>
      </w:r>
      <w:proofErr w:type="spellEnd"/>
      <w:r w:rsidRPr="005E4BEA">
        <w:rPr>
          <w:rFonts w:eastAsiaTheme="minorHAnsi" w:cs="Arial"/>
          <w:i/>
          <w:color w:val="808080" w:themeColor="background1" w:themeShade="80"/>
          <w:szCs w:val="20"/>
        </w:rPr>
        <w:t xml:space="preserve"> program za vse tipe izvajalcev (zdravstvenih domovi, koncesionarji in bolnišnice) plačuje po realizaciji brez količinskih omejitev. Bolnišnicam se pri tem zniža obseg programa specialistične </w:t>
      </w:r>
      <w:proofErr w:type="spellStart"/>
      <w:r w:rsidRPr="005E4BEA">
        <w:rPr>
          <w:rFonts w:eastAsiaTheme="minorHAnsi" w:cs="Arial"/>
          <w:i/>
          <w:color w:val="808080" w:themeColor="background1" w:themeShade="80"/>
          <w:szCs w:val="20"/>
        </w:rPr>
        <w:t>zunajbolnišnične</w:t>
      </w:r>
      <w:proofErr w:type="spellEnd"/>
      <w:r w:rsidRPr="005E4BEA">
        <w:rPr>
          <w:rFonts w:eastAsiaTheme="minorHAnsi" w:cs="Arial"/>
          <w:i/>
          <w:color w:val="808080" w:themeColor="background1" w:themeShade="80"/>
          <w:szCs w:val="20"/>
        </w:rPr>
        <w:t xml:space="preserve"> dejavnosti, in sicer v višini realiziranega obsega </w:t>
      </w:r>
      <w:proofErr w:type="spellStart"/>
      <w:r w:rsidRPr="005E4BEA">
        <w:rPr>
          <w:rFonts w:eastAsiaTheme="minorHAnsi" w:cs="Arial"/>
          <w:i/>
          <w:color w:val="808080" w:themeColor="background1" w:themeShade="80"/>
          <w:szCs w:val="20"/>
        </w:rPr>
        <w:t>antikoagulantnega</w:t>
      </w:r>
      <w:proofErr w:type="spellEnd"/>
      <w:r w:rsidRPr="005E4BEA">
        <w:rPr>
          <w:rFonts w:eastAsiaTheme="minorHAnsi" w:cs="Arial"/>
          <w:i/>
          <w:color w:val="808080" w:themeColor="background1" w:themeShade="80"/>
          <w:szCs w:val="20"/>
        </w:rPr>
        <w:t xml:space="preserve"> programa v preteklem letu, ki ga sporoči izvajalec.</w:t>
      </w:r>
    </w:p>
    <w:p w14:paraId="4F85F1B1" w14:textId="77777777" w:rsidR="00FE461F" w:rsidRPr="005E4BEA" w:rsidRDefault="00FE461F" w:rsidP="00FE461F">
      <w:pPr>
        <w:spacing w:after="60"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w:t>
      </w:r>
      <w:proofErr w:type="spellStart"/>
      <w:r w:rsidRPr="005E4BEA">
        <w:rPr>
          <w:rFonts w:eastAsiaTheme="minorHAnsi" w:cs="Arial"/>
          <w:i/>
          <w:color w:val="808080" w:themeColor="background1" w:themeShade="80"/>
          <w:szCs w:val="20"/>
        </w:rPr>
        <w:t>antikoagulantnih</w:t>
      </w:r>
      <w:proofErr w:type="spellEnd"/>
      <w:r w:rsidRPr="005E4BEA">
        <w:rPr>
          <w:rFonts w:eastAsiaTheme="minorHAnsi" w:cs="Arial"/>
          <w:i/>
          <w:color w:val="808080" w:themeColor="background1" w:themeShade="80"/>
          <w:szCs w:val="20"/>
        </w:rPr>
        <w:t xml:space="preserve"> ambulant na ravni Slovenije že nekaj let ni realiziran, saj se (deloma) nadomešča z drugimi metodami zdravljenja. Dodatna finančna sredstva zato niso potrebna.</w:t>
      </w:r>
    </w:p>
    <w:p w14:paraId="6095F65B" w14:textId="77777777" w:rsidR="00FE461F" w:rsidRPr="005E4BEA" w:rsidRDefault="00FE461F" w:rsidP="00FE461F">
      <w:pPr>
        <w:spacing w:after="60" w:line="240" w:lineRule="auto"/>
        <w:jc w:val="both"/>
        <w:rPr>
          <w:rFonts w:eastAsiaTheme="minorHAnsi" w:cs="Arial"/>
          <w:i/>
          <w:color w:val="808080" w:themeColor="background1" w:themeShade="80"/>
          <w:szCs w:val="20"/>
        </w:rPr>
      </w:pPr>
    </w:p>
    <w:p w14:paraId="34B017F8" w14:textId="3EB6760A" w:rsidR="00CB4AAF" w:rsidRPr="005E4BEA" w:rsidRDefault="00CB4AAF" w:rsidP="00CB4AA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w:t>
      </w:r>
      <w:r w:rsidR="0087323F" w:rsidRPr="005E4BEA">
        <w:rPr>
          <w:rFonts w:eastAsia="Arial Narrow" w:cs="Arial"/>
          <w:szCs w:val="20"/>
        </w:rPr>
        <w:t xml:space="preserve"> </w:t>
      </w:r>
      <w:r w:rsidR="00114511" w:rsidRPr="005E4BEA">
        <w:rPr>
          <w:rFonts w:eastAsia="Arial Narrow" w:cs="Arial"/>
          <w:szCs w:val="20"/>
        </w:rPr>
        <w:t xml:space="preserve">ne </w:t>
      </w:r>
      <w:r w:rsidRPr="005E4BEA">
        <w:rPr>
          <w:rFonts w:eastAsia="Arial Narrow" w:cs="Arial"/>
          <w:szCs w:val="20"/>
        </w:rPr>
        <w:t>strinja.</w:t>
      </w:r>
    </w:p>
    <w:p w14:paraId="629460BB" w14:textId="77777777" w:rsidR="00CB4AAF" w:rsidRPr="005E4BEA" w:rsidRDefault="00CB4AAF" w:rsidP="00CB4AAF">
      <w:pPr>
        <w:spacing w:line="0" w:lineRule="atLeast"/>
        <w:jc w:val="both"/>
        <w:rPr>
          <w:rFonts w:eastAsia="Arial Narrow" w:cs="Arial"/>
          <w:szCs w:val="20"/>
          <w:lang w:eastAsia="sl-SI"/>
        </w:rPr>
      </w:pPr>
    </w:p>
    <w:p w14:paraId="6D78243C" w14:textId="6A5385F1" w:rsidR="00114511" w:rsidRPr="005E4BEA" w:rsidRDefault="00CB4AAF" w:rsidP="00465E97">
      <w:pPr>
        <w:spacing w:line="240" w:lineRule="auto"/>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0" w:name="_Hlk102379487"/>
      <w:r w:rsidRPr="005E4BEA">
        <w:rPr>
          <w:rFonts w:eastAsia="Arial Narrow" w:cs="Arial"/>
          <w:szCs w:val="20"/>
        </w:rPr>
        <w:t>da</w:t>
      </w:r>
      <w:r w:rsidRPr="005E4BEA">
        <w:rPr>
          <w:rFonts w:eastAsia="Arial Narrow" w:cs="Arial"/>
          <w:b/>
          <w:szCs w:val="20"/>
        </w:rPr>
        <w:t xml:space="preserve"> </w:t>
      </w:r>
      <w:r w:rsidR="00465E97" w:rsidRPr="005E4BEA">
        <w:rPr>
          <w:rFonts w:eastAsia="Arial Narrow" w:cs="Arial"/>
          <w:szCs w:val="20"/>
        </w:rPr>
        <w:t>se 3. člen</w:t>
      </w:r>
      <w:r w:rsidR="00114511" w:rsidRPr="005E4BEA">
        <w:rPr>
          <w:rFonts w:eastAsia="Arial Narrow" w:cs="Arial"/>
          <w:szCs w:val="20"/>
        </w:rPr>
        <w:t xml:space="preserve"> Splošnega dogovora ne spremeni.</w:t>
      </w:r>
    </w:p>
    <w:bookmarkEnd w:id="8"/>
    <w:bookmarkEnd w:id="10"/>
    <w:p w14:paraId="7418DFD7" w14:textId="77777777" w:rsidR="00FE461F" w:rsidRPr="005E4BEA" w:rsidRDefault="00FE461F" w:rsidP="00FE461F">
      <w:pPr>
        <w:spacing w:after="60" w:line="240" w:lineRule="auto"/>
        <w:jc w:val="both"/>
        <w:rPr>
          <w:rFonts w:eastAsiaTheme="minorHAnsi" w:cs="Arial"/>
          <w:i/>
          <w:color w:val="808080" w:themeColor="background1" w:themeShade="80"/>
          <w:szCs w:val="20"/>
        </w:rPr>
      </w:pPr>
    </w:p>
    <w:p w14:paraId="5BD6AE83" w14:textId="3D576508" w:rsidR="00CB4AAF" w:rsidRPr="005E4BEA" w:rsidRDefault="00CB4AA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w:t>
      </w:r>
    </w:p>
    <w:p w14:paraId="795032B0" w14:textId="2E94E049" w:rsidR="00FE461F" w:rsidRPr="005E4BEA" w:rsidRDefault="00FE461F" w:rsidP="00FE461F">
      <w:pPr>
        <w:spacing w:after="60" w:line="240" w:lineRule="auto"/>
        <w:jc w:val="both"/>
        <w:rPr>
          <w:rFonts w:eastAsiaTheme="minorHAnsi" w:cs="Arial"/>
          <w:i/>
          <w:color w:val="808080" w:themeColor="background1" w:themeShade="80"/>
          <w:szCs w:val="20"/>
        </w:rPr>
      </w:pPr>
    </w:p>
    <w:p w14:paraId="7DEBF4B1" w14:textId="2A472D99" w:rsidR="00FE461F" w:rsidRPr="005E4BEA" w:rsidRDefault="00CB4AAF" w:rsidP="00CB4AAF">
      <w:pPr>
        <w:spacing w:after="60" w:line="240" w:lineRule="auto"/>
        <w:jc w:val="both"/>
        <w:rPr>
          <w:rFonts w:eastAsiaTheme="minorHAnsi" w:cs="Arial"/>
          <w:i/>
          <w:color w:val="808080" w:themeColor="background1" w:themeShade="80"/>
          <w:szCs w:val="20"/>
        </w:rPr>
      </w:pPr>
      <w:r w:rsidRPr="005E4BEA">
        <w:rPr>
          <w:rFonts w:eastAsia="Arial Narrow" w:cs="Arial"/>
          <w:b/>
          <w:szCs w:val="20"/>
        </w:rPr>
        <w:t xml:space="preserve">Zavod za zdravstveno zavarovanje Slovenije </w:t>
      </w:r>
      <w:r w:rsidRPr="005E4BEA">
        <w:rPr>
          <w:rFonts w:eastAsia="Arial Narrow" w:cs="Arial"/>
          <w:szCs w:val="20"/>
        </w:rPr>
        <w:t xml:space="preserve">predlaga, da se v 3. členu </w:t>
      </w:r>
      <w:r w:rsidRPr="005E4BEA">
        <w:rPr>
          <w:rFonts w:cs="Arial"/>
          <w:szCs w:val="20"/>
        </w:rPr>
        <w:t xml:space="preserve">v (1) odstavku </w:t>
      </w:r>
      <w:r w:rsidR="00FE461F" w:rsidRPr="005E4BEA">
        <w:rPr>
          <w:rFonts w:cs="Arial"/>
          <w:b/>
          <w:szCs w:val="20"/>
        </w:rPr>
        <w:t>v 5. točki doda nova točka 5. 7., ki se glasi:</w:t>
      </w:r>
    </w:p>
    <w:p w14:paraId="60172DA6" w14:textId="77777777" w:rsidR="00FE461F" w:rsidRPr="005E4BEA" w:rsidRDefault="00FE461F" w:rsidP="00FE461F">
      <w:pPr>
        <w:spacing w:line="40" w:lineRule="exact"/>
        <w:jc w:val="both"/>
        <w:rPr>
          <w:rFonts w:cs="Arial"/>
          <w:szCs w:val="20"/>
        </w:rPr>
      </w:pPr>
    </w:p>
    <w:p w14:paraId="743F232D" w14:textId="77777777" w:rsidR="00FE461F" w:rsidRPr="005E4BEA" w:rsidRDefault="00FE461F" w:rsidP="00FE461F">
      <w:pPr>
        <w:spacing w:line="240" w:lineRule="auto"/>
        <w:jc w:val="both"/>
        <w:rPr>
          <w:rFonts w:cs="Arial"/>
          <w:szCs w:val="20"/>
        </w:rPr>
      </w:pPr>
      <w:r w:rsidRPr="005E4BEA">
        <w:rPr>
          <w:rFonts w:cs="Arial"/>
          <w:szCs w:val="20"/>
        </w:rPr>
        <w:t xml:space="preserve">»5.7. Program specialistične </w:t>
      </w:r>
      <w:proofErr w:type="spellStart"/>
      <w:r w:rsidRPr="005E4BEA">
        <w:rPr>
          <w:rFonts w:cs="Arial"/>
          <w:szCs w:val="20"/>
        </w:rPr>
        <w:t>zunajbolnišnične</w:t>
      </w:r>
      <w:proofErr w:type="spellEnd"/>
      <w:r w:rsidRPr="005E4BEA">
        <w:rPr>
          <w:rFonts w:cs="Arial"/>
          <w:szCs w:val="20"/>
        </w:rPr>
        <w:t xml:space="preserve"> dejavnosti v zdravstvenem domu, ki je nižji od 0,2 tima, Zavod prenese na zdravstveni dom ali bolnišnico, ki izvaja ta program v isti območni enoti. Določba ne velja za programe iz Priloge IV - Program zdravstvenih storitev za obsojence in pripornike na primarni ravni.«</w:t>
      </w:r>
    </w:p>
    <w:p w14:paraId="35356870" w14:textId="77777777" w:rsidR="00FE461F" w:rsidRPr="005E4BEA" w:rsidRDefault="00FE461F" w:rsidP="00FE461F">
      <w:pPr>
        <w:spacing w:line="240" w:lineRule="auto"/>
        <w:jc w:val="both"/>
        <w:rPr>
          <w:rFonts w:cs="Arial"/>
          <w:szCs w:val="20"/>
        </w:rPr>
      </w:pPr>
    </w:p>
    <w:p w14:paraId="5CF46A86" w14:textId="77777777" w:rsidR="00FE461F" w:rsidRPr="005E4BEA" w:rsidRDefault="00FE461F" w:rsidP="00FE461F">
      <w:pPr>
        <w:spacing w:line="240" w:lineRule="exact"/>
        <w:jc w:val="both"/>
        <w:rPr>
          <w:rFonts w:cs="Arial"/>
          <w:szCs w:val="20"/>
        </w:rPr>
      </w:pPr>
      <w:r w:rsidRPr="005E4BEA">
        <w:rPr>
          <w:rFonts w:cs="Arial"/>
          <w:szCs w:val="20"/>
        </w:rPr>
        <w:t>Sprememba velja od 1. 1. 2023 naprej.</w:t>
      </w:r>
    </w:p>
    <w:p w14:paraId="27A78EB7" w14:textId="77777777" w:rsidR="00FE461F" w:rsidRPr="005E4BEA" w:rsidRDefault="00FE461F" w:rsidP="00FE461F">
      <w:pPr>
        <w:spacing w:line="120" w:lineRule="auto"/>
        <w:jc w:val="both"/>
        <w:rPr>
          <w:rFonts w:cs="Arial"/>
          <w:szCs w:val="20"/>
        </w:rPr>
      </w:pPr>
    </w:p>
    <w:p w14:paraId="621ADBDE"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p>
    <w:p w14:paraId="3B71C83D"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171B97EA"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predlaga, da se program specialistične zunaj bolnišnične dejavnosti v zdravstvenih domovih, ki je nižji od 0,2 tima, prenese na zdravstveni dom ali bolnišnico, ki izvaja ta program v isti območni enoti. V posameznih primerih ugotavljamo, da se pogodbeno dogovorjena količina programa posamezne specialistične zunaj bolnišnične dejavnosti v zdravstvenih domovih giblje od 0,01 do 0,19 tima. S strokovnega in finančnega vidika je vprašljiva smiselnost izvajanja programa v tako majhnem obsegu, zato Zavod predlaga, da je najnižji možen obseg programa 0,2 tima, kar pomeni delo ambulante en dan v tednu. Navedeno ne velja za programe zdravstvenih storitev za obsojence in pripornike na primarni ravni.</w:t>
      </w:r>
    </w:p>
    <w:p w14:paraId="189FB7F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2621F6E"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w:t>
      </w:r>
    </w:p>
    <w:p w14:paraId="495C937B" w14:textId="70F4DCA7" w:rsidR="00FE461F" w:rsidRPr="005E4BEA" w:rsidRDefault="00FE461F" w:rsidP="00FE461F">
      <w:pPr>
        <w:spacing w:line="240" w:lineRule="auto"/>
        <w:jc w:val="both"/>
        <w:rPr>
          <w:rFonts w:eastAsiaTheme="minorHAnsi" w:cs="Arial"/>
          <w:i/>
          <w:color w:val="808080" w:themeColor="background1" w:themeShade="80"/>
          <w:szCs w:val="20"/>
        </w:rPr>
      </w:pPr>
    </w:p>
    <w:p w14:paraId="7CC1D80B" w14:textId="338A150F" w:rsidR="00CB4AAF" w:rsidRPr="005E4BEA" w:rsidRDefault="00CB4AAF" w:rsidP="00FE461F">
      <w:pPr>
        <w:spacing w:line="240" w:lineRule="auto"/>
        <w:jc w:val="both"/>
        <w:rPr>
          <w:rFonts w:eastAsiaTheme="minorHAnsi" w:cs="Arial"/>
          <w:i/>
          <w:color w:val="808080" w:themeColor="background1" w:themeShade="80"/>
          <w:szCs w:val="20"/>
        </w:rPr>
      </w:pPr>
    </w:p>
    <w:p w14:paraId="3F135320" w14:textId="77777777" w:rsidR="00CB4AAF" w:rsidRPr="005E4BEA" w:rsidRDefault="00CB4AAF" w:rsidP="00CB4AA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368DBBF" w14:textId="77777777" w:rsidR="00CB4AAF" w:rsidRPr="005E4BEA" w:rsidRDefault="00CB4AAF" w:rsidP="00CB4AAF">
      <w:pPr>
        <w:spacing w:line="0" w:lineRule="atLeast"/>
        <w:jc w:val="both"/>
        <w:rPr>
          <w:rFonts w:eastAsia="Arial Narrow" w:cs="Arial"/>
          <w:szCs w:val="20"/>
          <w:lang w:eastAsia="sl-SI"/>
        </w:rPr>
      </w:pPr>
    </w:p>
    <w:p w14:paraId="48C32885" w14:textId="2DB2BC21" w:rsidR="00CB4AAF" w:rsidRPr="005E4BEA" w:rsidRDefault="00CB4AAF" w:rsidP="00CB4AAF">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3. člen Splošnega dogovora za pogodbeno leto 2022 ne spremeni.</w:t>
      </w:r>
    </w:p>
    <w:p w14:paraId="5356AC0D" w14:textId="2CFE47AD" w:rsidR="00CB4AAF" w:rsidRPr="005E4BEA" w:rsidRDefault="00CB4AAF" w:rsidP="00FE461F">
      <w:pPr>
        <w:spacing w:line="240" w:lineRule="auto"/>
        <w:jc w:val="both"/>
        <w:rPr>
          <w:rFonts w:eastAsiaTheme="minorHAnsi" w:cs="Arial"/>
          <w:i/>
          <w:color w:val="808080" w:themeColor="background1" w:themeShade="80"/>
          <w:szCs w:val="20"/>
        </w:rPr>
      </w:pPr>
    </w:p>
    <w:p w14:paraId="473601B1" w14:textId="42BF22E8" w:rsidR="00CB4AAF" w:rsidRPr="005E4BEA" w:rsidRDefault="00CB4AA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w:t>
      </w:r>
    </w:p>
    <w:p w14:paraId="19170A0D" w14:textId="77777777" w:rsidR="00CB4AAF" w:rsidRPr="005E4BEA" w:rsidRDefault="00CB4AAF" w:rsidP="00FE461F">
      <w:pPr>
        <w:spacing w:line="240" w:lineRule="auto"/>
        <w:jc w:val="both"/>
        <w:rPr>
          <w:rFonts w:eastAsiaTheme="minorHAnsi" w:cs="Arial"/>
          <w:i/>
          <w:color w:val="808080" w:themeColor="background1" w:themeShade="80"/>
          <w:szCs w:val="20"/>
        </w:rPr>
      </w:pPr>
    </w:p>
    <w:p w14:paraId="27F18D9B" w14:textId="3B85496E" w:rsidR="00FE461F" w:rsidRPr="005E4BEA" w:rsidRDefault="00CB4AAF" w:rsidP="00FE461F">
      <w:pPr>
        <w:spacing w:line="240" w:lineRule="auto"/>
        <w:jc w:val="both"/>
        <w:rPr>
          <w:rFonts w:cs="Arial"/>
          <w:szCs w:val="20"/>
        </w:rPr>
      </w:pPr>
      <w:r w:rsidRPr="005E4BEA">
        <w:rPr>
          <w:rFonts w:eastAsia="Arial Narrow" w:cs="Arial"/>
          <w:b/>
          <w:szCs w:val="20"/>
        </w:rPr>
        <w:lastRenderedPageBreak/>
        <w:t xml:space="preserve">Zavod za zdravstveno zavarovanje Slovenije </w:t>
      </w:r>
      <w:r w:rsidRPr="005E4BEA">
        <w:rPr>
          <w:rFonts w:eastAsia="Arial Narrow" w:cs="Arial"/>
          <w:szCs w:val="20"/>
        </w:rPr>
        <w:t xml:space="preserve">predlaga, da se v 3. členu </w:t>
      </w:r>
      <w:r w:rsidRPr="005E4BEA">
        <w:rPr>
          <w:rFonts w:cs="Arial"/>
          <w:szCs w:val="20"/>
        </w:rPr>
        <w:t>v (1) odstavku v briš</w:t>
      </w:r>
      <w:r w:rsidR="00FE461F" w:rsidRPr="005E4BEA">
        <w:rPr>
          <w:rFonts w:cs="Arial"/>
          <w:szCs w:val="20"/>
        </w:rPr>
        <w:t>eta točki 13 in 13.1.</w:t>
      </w:r>
    </w:p>
    <w:p w14:paraId="035EDEB3" w14:textId="77777777" w:rsidR="00CB4AAF" w:rsidRPr="005E4BEA" w:rsidRDefault="00CB4AAF" w:rsidP="00FE461F">
      <w:pPr>
        <w:spacing w:line="240" w:lineRule="auto"/>
        <w:jc w:val="both"/>
        <w:rPr>
          <w:rFonts w:cs="Arial"/>
          <w:szCs w:val="20"/>
        </w:rPr>
      </w:pPr>
    </w:p>
    <w:p w14:paraId="78D23C36" w14:textId="77777777" w:rsidR="00FE461F" w:rsidRPr="005E4BEA" w:rsidRDefault="00FE461F" w:rsidP="00FE461F">
      <w:pPr>
        <w:spacing w:line="240" w:lineRule="auto"/>
        <w:jc w:val="both"/>
        <w:rPr>
          <w:rFonts w:cs="Arial"/>
          <w:szCs w:val="20"/>
        </w:rPr>
      </w:pPr>
      <w:r w:rsidRPr="005E4BEA">
        <w:rPr>
          <w:rFonts w:cs="Arial"/>
          <w:szCs w:val="20"/>
        </w:rPr>
        <w:t>Ostale točke se preštevilčijo.</w:t>
      </w:r>
    </w:p>
    <w:p w14:paraId="345CD9B5" w14:textId="77777777" w:rsidR="00FE461F" w:rsidRPr="005E4BEA" w:rsidRDefault="00FE461F" w:rsidP="00FE461F">
      <w:pPr>
        <w:spacing w:line="240" w:lineRule="auto"/>
        <w:jc w:val="both"/>
        <w:rPr>
          <w:rFonts w:cs="Arial"/>
          <w:szCs w:val="20"/>
        </w:rPr>
      </w:pPr>
    </w:p>
    <w:p w14:paraId="6918B26B" w14:textId="77777777" w:rsidR="00FE461F" w:rsidRPr="005E4BEA" w:rsidRDefault="00FE461F" w:rsidP="00FE461F">
      <w:pPr>
        <w:spacing w:line="240" w:lineRule="auto"/>
        <w:jc w:val="both"/>
        <w:rPr>
          <w:rFonts w:cs="Arial"/>
          <w:b/>
          <w:szCs w:val="20"/>
        </w:rPr>
      </w:pPr>
      <w:r w:rsidRPr="005E4BEA">
        <w:rPr>
          <w:rFonts w:cs="Arial"/>
          <w:b/>
          <w:szCs w:val="20"/>
        </w:rPr>
        <w:t>V Prilogi BOL v 12. členu v (2) odstavku se briše besedilo »ter Nacionalni laboratorij za zdravje, okolje in hrano (NLZOH)«.</w:t>
      </w:r>
    </w:p>
    <w:p w14:paraId="73819F84" w14:textId="77777777" w:rsidR="00FE461F" w:rsidRPr="005E4BEA" w:rsidRDefault="00FE461F" w:rsidP="00FE461F">
      <w:pPr>
        <w:spacing w:line="240" w:lineRule="auto"/>
        <w:jc w:val="both"/>
        <w:rPr>
          <w:rFonts w:cs="Arial"/>
          <w:b/>
          <w:szCs w:val="20"/>
        </w:rPr>
      </w:pPr>
    </w:p>
    <w:p w14:paraId="4ED17354" w14:textId="77777777" w:rsidR="00FE461F" w:rsidRPr="005E4BEA" w:rsidRDefault="00FE461F" w:rsidP="00FE461F">
      <w:pPr>
        <w:spacing w:line="240" w:lineRule="auto"/>
        <w:jc w:val="both"/>
        <w:rPr>
          <w:rFonts w:cs="Arial"/>
          <w:b/>
          <w:szCs w:val="20"/>
        </w:rPr>
      </w:pPr>
      <w:r w:rsidRPr="005E4BEA">
        <w:rPr>
          <w:rFonts w:cs="Arial"/>
          <w:b/>
          <w:szCs w:val="20"/>
        </w:rPr>
        <w:t>V Prilogi BOL-3 v tabeli 2 se briše « Nacionalni laboratorij za zdravje, okolje in hrano (NLZOH)«</w:t>
      </w:r>
    </w:p>
    <w:p w14:paraId="54423867" w14:textId="77777777" w:rsidR="00FE461F" w:rsidRPr="005E4BEA" w:rsidRDefault="00FE461F" w:rsidP="00FE461F">
      <w:pPr>
        <w:spacing w:line="240" w:lineRule="auto"/>
        <w:jc w:val="both"/>
        <w:rPr>
          <w:rFonts w:cs="Arial"/>
          <w:szCs w:val="20"/>
          <w:u w:val="single"/>
        </w:rPr>
      </w:pPr>
    </w:p>
    <w:p w14:paraId="0B7AADEC" w14:textId="77777777" w:rsidR="00FE461F" w:rsidRPr="005E4BEA" w:rsidRDefault="00FE461F" w:rsidP="00FE461F">
      <w:pPr>
        <w:spacing w:line="240" w:lineRule="exact"/>
        <w:jc w:val="both"/>
        <w:rPr>
          <w:rFonts w:cs="Arial"/>
          <w:szCs w:val="20"/>
          <w:u w:val="single"/>
        </w:rPr>
      </w:pPr>
      <w:r w:rsidRPr="005E4BEA">
        <w:rPr>
          <w:rFonts w:cs="Arial"/>
          <w:szCs w:val="20"/>
        </w:rPr>
        <w:t>Spremembe veljajo od 1. 1. 2023 naprej.</w:t>
      </w:r>
    </w:p>
    <w:p w14:paraId="7C6EFCCA" w14:textId="77777777" w:rsidR="00FE461F" w:rsidRPr="005E4BEA" w:rsidRDefault="00FE461F" w:rsidP="00FE461F">
      <w:pPr>
        <w:spacing w:line="240" w:lineRule="auto"/>
        <w:jc w:val="both"/>
        <w:rPr>
          <w:rFonts w:cs="Arial"/>
          <w:szCs w:val="20"/>
          <w:u w:val="single"/>
        </w:rPr>
      </w:pPr>
    </w:p>
    <w:p w14:paraId="48E4CB37"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0C54E44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predlaga, da se iz sredstev obveznega zdravstvenega zavarovanja ne plačuje dejavnost, povezana z javnim zdravjem na področju zdravja, okolja in hrane, ki obsega:</w:t>
      </w:r>
    </w:p>
    <w:p w14:paraId="2FC770AF"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laboratorijsko dejavnost,</w:t>
      </w:r>
    </w:p>
    <w:p w14:paraId="113AB614"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izobraževanje in usposabljanje strokovnjakov,</w:t>
      </w:r>
    </w:p>
    <w:p w14:paraId="1467E234"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izvajanje obveščanja in poročanja,</w:t>
      </w:r>
    </w:p>
    <w:p w14:paraId="705D9C8F"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izvajanje raziskovalne dejavnosti.</w:t>
      </w:r>
    </w:p>
    <w:p w14:paraId="524C1894"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C57BEB5"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 izvajanje naštetih dejavnosti je v skladu s 23.c členom ZZDej pooblaščen Nacionalni laboratorij za zdravje, okolje in hrano. Zavod je navedene aktivnosti doslej plačeval na podlagi sklepov Vlade R Slovenije o spornih vprašanjih Dogovora iz preteklih let, in sicer kljub temu, da bi jih, glede na določbe 7. člena ZZVZZ, morala financirati Republika Slovenija iz proračuna. V tej povezavi bi zlasti izpostavili naslednje določbe 7. člena ZZVZZ:</w:t>
      </w:r>
    </w:p>
    <w:p w14:paraId="5D3BF088"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F8775E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»Republika Slovenija iz proračuna zagotavlja sredstva za:</w:t>
      </w:r>
    </w:p>
    <w:p w14:paraId="6AC24F31"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spremljanje in proučevanje zdravstvenega stanja in ravni zdravja prebivalstva, skupaj z dejavniki tveganja, ki vplivajo na zdravje;</w:t>
      </w:r>
    </w:p>
    <w:p w14:paraId="3B6500D0"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oblikovanje ukrepov za izboljšanje zdravja, spremljanje, izvajanje in ocenjevanje učinkovitosti teh ukrepov s pripravo predlogov za izboljšanje;</w:t>
      </w:r>
    </w:p>
    <w:p w14:paraId="2CDD08A0" w14:textId="77777777" w:rsidR="00FE461F" w:rsidRPr="005E4BEA" w:rsidRDefault="00FE461F" w:rsidP="00FE461F">
      <w:pPr>
        <w:spacing w:line="240" w:lineRule="auto"/>
        <w:ind w:left="284" w:hanging="284"/>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dejavnost javnega zdravja, pomembno za vso državo.«</w:t>
      </w:r>
    </w:p>
    <w:p w14:paraId="36A0AC88"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D079F0B"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Vsebina dejavnosti javnega zdravja je podrobneje opredeljena v posebnem poglavju ZZDej »Dejavnost javnega zdravja«, zlasti pa v 22. členu, naloge NLZOH so določene v 23. c členu ZZDej in vključujejo prav vse naštete aktivnosti, ki se sedaj financirajo iz sredstev obveznega zdravstvenega zavarovanja namesto iz proračuna Republike Slovenije.</w:t>
      </w:r>
    </w:p>
    <w:p w14:paraId="386D4755"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35655A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Na podlagi navedenega Zavod predlaga, da se za izvajanje nalog NLZOH zagotovijo sredstva iz proračuna Republike Slovenije, sredstva obveznega zdravstvenega zavarovanja </w:t>
      </w:r>
      <w:r w:rsidRPr="005E4BEA">
        <w:rPr>
          <w:rFonts w:eastAsiaTheme="minorHAnsi" w:cs="Arial"/>
          <w:b/>
          <w:bCs/>
          <w:i/>
          <w:color w:val="808080" w:themeColor="background1" w:themeShade="80"/>
          <w:szCs w:val="20"/>
        </w:rPr>
        <w:t>v višini 1.060.269 evrov</w:t>
      </w:r>
      <w:r w:rsidRPr="005E4BEA">
        <w:rPr>
          <w:rFonts w:eastAsiaTheme="minorHAnsi" w:cs="Arial"/>
          <w:i/>
          <w:color w:val="808080" w:themeColor="background1" w:themeShade="80"/>
          <w:szCs w:val="20"/>
        </w:rPr>
        <w:t xml:space="preserve"> pa se namenijo za financiranje zdravstvenih storitev.</w:t>
      </w:r>
    </w:p>
    <w:p w14:paraId="3220D657" w14:textId="1A94FE4D" w:rsidR="00FE461F" w:rsidRPr="005E4BEA" w:rsidRDefault="00FE461F" w:rsidP="00FE461F">
      <w:pPr>
        <w:spacing w:line="240" w:lineRule="auto"/>
        <w:rPr>
          <w:rFonts w:cs="Arial"/>
          <w:szCs w:val="20"/>
        </w:rPr>
      </w:pPr>
    </w:p>
    <w:p w14:paraId="6C7304D6" w14:textId="5E211100" w:rsidR="00CB4AAF" w:rsidRPr="005E4BEA" w:rsidRDefault="00CB4AAF" w:rsidP="00CB4AA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AD7DF3" w:rsidRPr="005E4BEA">
        <w:t xml:space="preserve"> </w:t>
      </w:r>
      <w:r w:rsidR="00AD7DF3" w:rsidRPr="005E4BEA">
        <w:rPr>
          <w:rFonts w:eastAsia="Arial Narrow" w:cs="Arial"/>
          <w:szCs w:val="20"/>
        </w:rPr>
        <w:t>Predvidene so finančne posledice za državni proračun, ki niso načrtovane v sprejetem proračunu države.</w:t>
      </w:r>
    </w:p>
    <w:p w14:paraId="138D6B7F" w14:textId="77777777" w:rsidR="00CB4AAF" w:rsidRPr="005E4BEA" w:rsidRDefault="00CB4AAF" w:rsidP="00CB4AAF">
      <w:pPr>
        <w:spacing w:line="0" w:lineRule="atLeast"/>
        <w:jc w:val="both"/>
        <w:rPr>
          <w:rFonts w:eastAsia="Arial Narrow" w:cs="Arial"/>
          <w:szCs w:val="20"/>
          <w:lang w:eastAsia="sl-SI"/>
        </w:rPr>
      </w:pPr>
    </w:p>
    <w:p w14:paraId="3361B464" w14:textId="55EA45A8" w:rsidR="00CB4AAF" w:rsidRPr="005E4BEA" w:rsidRDefault="00CB4AAF" w:rsidP="00CB4AAF">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 w:name="_Hlk102380196"/>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se 3. člen, Priloga BOL in Priloga BOL-3 Splošnega dogovora za pogodbeno leto 2022 ne spremenijo</w:t>
      </w:r>
      <w:bookmarkEnd w:id="11"/>
      <w:r w:rsidRPr="005E4BEA">
        <w:rPr>
          <w:rFonts w:eastAsia="Arial Narrow" w:cs="Arial"/>
          <w:szCs w:val="20"/>
        </w:rPr>
        <w:t>.</w:t>
      </w:r>
    </w:p>
    <w:p w14:paraId="46521E38" w14:textId="49FFD78A" w:rsidR="00CB4AAF" w:rsidRPr="005E4BEA" w:rsidRDefault="00CB4AAF" w:rsidP="00CB4AAF">
      <w:pPr>
        <w:spacing w:line="240" w:lineRule="auto"/>
        <w:jc w:val="both"/>
        <w:rPr>
          <w:rFonts w:eastAsiaTheme="minorHAnsi" w:cs="Arial"/>
          <w:i/>
          <w:color w:val="808080" w:themeColor="background1" w:themeShade="80"/>
          <w:szCs w:val="20"/>
        </w:rPr>
      </w:pPr>
    </w:p>
    <w:p w14:paraId="177F1075" w14:textId="458D7692" w:rsidR="00CB4AAF" w:rsidRPr="005E4BEA" w:rsidRDefault="00CB4AA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w:t>
      </w:r>
    </w:p>
    <w:p w14:paraId="60EC8339" w14:textId="77777777" w:rsidR="00CB4AAF" w:rsidRPr="005E4BEA" w:rsidRDefault="00CB4AAF" w:rsidP="00FE461F">
      <w:pPr>
        <w:spacing w:line="240" w:lineRule="auto"/>
        <w:rPr>
          <w:rFonts w:cs="Arial"/>
          <w:szCs w:val="20"/>
        </w:rPr>
      </w:pPr>
    </w:p>
    <w:p w14:paraId="7B333A58" w14:textId="0EA59CEB" w:rsidR="00FE461F" w:rsidRPr="005E4BEA" w:rsidRDefault="007F360F" w:rsidP="007F360F">
      <w:pPr>
        <w:spacing w:line="240" w:lineRule="auto"/>
        <w:rPr>
          <w:rFonts w:cs="Arial"/>
          <w:b/>
          <w:bCs/>
          <w:szCs w:val="20"/>
        </w:rPr>
      </w:pPr>
      <w:r w:rsidRPr="005E4BEA">
        <w:rPr>
          <w:rFonts w:eastAsia="Arial Narrow" w:cs="Arial"/>
          <w:b/>
          <w:szCs w:val="20"/>
        </w:rPr>
        <w:t xml:space="preserve">Združenje zdravstvenih zavodov Slovenije </w:t>
      </w:r>
      <w:r w:rsidRPr="005E4BEA">
        <w:rPr>
          <w:rFonts w:eastAsia="Arial Narrow" w:cs="Arial"/>
          <w:bCs/>
          <w:szCs w:val="20"/>
        </w:rPr>
        <w:t>predlaga, da se v</w:t>
      </w:r>
      <w:r w:rsidRPr="005E4BEA">
        <w:rPr>
          <w:rFonts w:cs="Arial"/>
          <w:bCs/>
          <w:szCs w:val="20"/>
          <w:lang w:eastAsia="sl-SI"/>
        </w:rPr>
        <w:t xml:space="preserve"> 3. členu  </w:t>
      </w:r>
      <w:r w:rsidR="00FE461F" w:rsidRPr="005E4BEA">
        <w:rPr>
          <w:rFonts w:cs="Arial"/>
          <w:bCs/>
          <w:szCs w:val="20"/>
        </w:rPr>
        <w:t>v (3) odstavku v prvem in tretjem stavku doda beseda »nerealiziranega«, tako da se glasi:</w:t>
      </w:r>
    </w:p>
    <w:p w14:paraId="775238E0" w14:textId="77777777" w:rsidR="00FE461F" w:rsidRPr="005E4BEA" w:rsidRDefault="00FE461F" w:rsidP="00FE461F">
      <w:pPr>
        <w:spacing w:line="240" w:lineRule="auto"/>
        <w:jc w:val="both"/>
        <w:rPr>
          <w:rFonts w:cs="Arial"/>
          <w:iCs/>
          <w:szCs w:val="20"/>
        </w:rPr>
      </w:pPr>
      <w:r w:rsidRPr="005E4BEA">
        <w:rPr>
          <w:rFonts w:cs="Arial"/>
          <w:iCs/>
          <w:szCs w:val="20"/>
        </w:rPr>
        <w:t xml:space="preserve">»Če posamezen izvajalec šest mesecev ne zagotavlja 85 % dogovorjenega programa posamezne podvrste zdravstvene dejavnosti, Zavod lahko dogovori z drugim izvajalcem začasni prevzem </w:t>
      </w:r>
      <w:r w:rsidRPr="005E4BEA">
        <w:rPr>
          <w:rFonts w:cs="Arial"/>
          <w:iCs/>
          <w:szCs w:val="20"/>
          <w:u w:val="single"/>
        </w:rPr>
        <w:t>nerealiziranega</w:t>
      </w:r>
      <w:r w:rsidRPr="005E4BEA">
        <w:rPr>
          <w:rFonts w:cs="Arial"/>
          <w:iCs/>
          <w:szCs w:val="20"/>
        </w:rPr>
        <w:t xml:space="preserve"> programa in o tem obvesti Ministrstvo za zdravje. Zavod izvaja sprotne </w:t>
      </w:r>
      <w:r w:rsidRPr="005E4BEA">
        <w:rPr>
          <w:rFonts w:cs="Arial"/>
          <w:iCs/>
          <w:szCs w:val="20"/>
        </w:rPr>
        <w:lastRenderedPageBreak/>
        <w:t xml:space="preserve">analize o (ne) realizaciji posameznih dogovorjenih programov, in sicer do 5. oktobra za prvo polovico pogodbenega leta in do 5. aprila za drugo polovico pogodbenega leta ter celotno pogodbeno leto. Če posamezen izvajalec eno leto ne zagotavlja 85 % dogovorjenega programa posamezne podvrste zdravstvene dejavnosti, Zavod lahko dogovori z drugim izvajalcem trajni prevzem </w:t>
      </w:r>
      <w:r w:rsidRPr="005E4BEA">
        <w:rPr>
          <w:rFonts w:cs="Arial"/>
          <w:iCs/>
          <w:szCs w:val="20"/>
          <w:u w:val="single"/>
        </w:rPr>
        <w:t>nerealiziranega</w:t>
      </w:r>
      <w:r w:rsidRPr="005E4BEA">
        <w:rPr>
          <w:rFonts w:cs="Arial"/>
          <w:iCs/>
          <w:szCs w:val="20"/>
        </w:rPr>
        <w:t xml:space="preserve"> programa v soglasju z Ministrstvom za zdravje.</w:t>
      </w:r>
    </w:p>
    <w:p w14:paraId="285CF3C5" w14:textId="77777777" w:rsidR="00FE461F" w:rsidRPr="005E4BEA" w:rsidRDefault="00FE461F" w:rsidP="00FE461F">
      <w:pPr>
        <w:spacing w:line="240" w:lineRule="auto"/>
        <w:jc w:val="both"/>
        <w:rPr>
          <w:rFonts w:cs="Arial"/>
          <w:iCs/>
          <w:szCs w:val="20"/>
        </w:rPr>
      </w:pPr>
    </w:p>
    <w:p w14:paraId="110092ED"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5E115714" w14:textId="02819D85"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Iz obstoječega besedila ni povsem razumljivo, da gre samo za prenose nerealiziranega programa. Zato podajamo predlog, da se jasno zapiše, da gre v primeru začasnega odvzema ali trajnega prenosa k drugemu izvajalcu za nerealizirani program. </w:t>
      </w:r>
    </w:p>
    <w:p w14:paraId="4184A8FE" w14:textId="19540287" w:rsidR="007F360F" w:rsidRPr="005E4BEA" w:rsidRDefault="007F360F" w:rsidP="00FE461F">
      <w:pPr>
        <w:spacing w:line="240" w:lineRule="auto"/>
        <w:jc w:val="both"/>
        <w:rPr>
          <w:rFonts w:cs="Arial"/>
          <w:i/>
          <w:iCs/>
          <w:color w:val="808080" w:themeColor="background1" w:themeShade="80"/>
          <w:szCs w:val="20"/>
        </w:rPr>
      </w:pPr>
    </w:p>
    <w:p w14:paraId="5C30DB2E" w14:textId="693E9C61" w:rsidR="007F360F" w:rsidRPr="005E4BEA" w:rsidRDefault="007F360F" w:rsidP="007F360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w:t>
      </w:r>
      <w:r w:rsidR="00EF0035" w:rsidRPr="005E4BEA">
        <w:rPr>
          <w:rFonts w:eastAsia="Arial Narrow" w:cs="Arial"/>
          <w:szCs w:val="20"/>
        </w:rPr>
        <w:t xml:space="preserve"> strinja </w:t>
      </w:r>
      <w:r w:rsidRPr="005E4BEA">
        <w:rPr>
          <w:rFonts w:eastAsia="Arial Narrow" w:cs="Arial"/>
          <w:szCs w:val="20"/>
        </w:rPr>
        <w:t>s predlogom.</w:t>
      </w:r>
    </w:p>
    <w:p w14:paraId="59555A5D" w14:textId="77777777" w:rsidR="007F360F" w:rsidRPr="005E4BEA" w:rsidRDefault="007F360F" w:rsidP="007F360F">
      <w:pPr>
        <w:spacing w:line="0" w:lineRule="atLeast"/>
        <w:jc w:val="both"/>
        <w:rPr>
          <w:rFonts w:eastAsia="Arial Narrow" w:cs="Arial"/>
          <w:szCs w:val="20"/>
          <w:lang w:eastAsia="sl-SI"/>
        </w:rPr>
      </w:pPr>
    </w:p>
    <w:p w14:paraId="1FC63E69" w14:textId="1806B154" w:rsidR="00EF0035" w:rsidRPr="005E4BEA" w:rsidRDefault="007F360F" w:rsidP="00EF0035">
      <w:pPr>
        <w:spacing w:line="240" w:lineRule="auto"/>
        <w:jc w:val="both"/>
        <w:rPr>
          <w:rFonts w:cs="Arial"/>
          <w:b/>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2" w:name="_Hlk102380474"/>
      <w:r w:rsidR="00EF0035" w:rsidRPr="005E4BEA">
        <w:rPr>
          <w:rFonts w:eastAsia="Arial Narrow" w:cs="Arial"/>
          <w:bCs/>
          <w:szCs w:val="20"/>
        </w:rPr>
        <w:t>da se v</w:t>
      </w:r>
      <w:r w:rsidR="00EF0035" w:rsidRPr="005E4BEA">
        <w:rPr>
          <w:rFonts w:cs="Arial"/>
          <w:bCs/>
          <w:szCs w:val="20"/>
          <w:lang w:eastAsia="sl-SI"/>
        </w:rPr>
        <w:t xml:space="preserve"> 3. členu  </w:t>
      </w:r>
      <w:r w:rsidR="00EF0035" w:rsidRPr="005E4BEA">
        <w:rPr>
          <w:rFonts w:cs="Arial"/>
          <w:bCs/>
          <w:szCs w:val="20"/>
        </w:rPr>
        <w:t>v tretjem odstavku v prvem in tretjem stavku doda beseda »nerealiziranega«, tako da se besedilo po novem glasi:</w:t>
      </w:r>
    </w:p>
    <w:p w14:paraId="46F1AEE3" w14:textId="512DB96F" w:rsidR="007F360F" w:rsidRPr="005E4BEA" w:rsidRDefault="00EF0035" w:rsidP="00EF0035">
      <w:pPr>
        <w:spacing w:line="0" w:lineRule="atLeast"/>
        <w:jc w:val="both"/>
        <w:rPr>
          <w:rFonts w:cs="Arial"/>
          <w:iCs/>
          <w:szCs w:val="20"/>
        </w:rPr>
      </w:pPr>
      <w:r w:rsidRPr="005E4BEA">
        <w:rPr>
          <w:rFonts w:cs="Arial"/>
          <w:iCs/>
          <w:szCs w:val="20"/>
        </w:rPr>
        <w:t xml:space="preserve">»Če posamezen izvajalec šest mesecev ne zagotavlja 85 % dogovorjenega programa posamezne podvrste zdravstvene dejavnosti, Zavod lahko dogovori z drugim izvajalcem začasni prevzem </w:t>
      </w:r>
      <w:r w:rsidRPr="005E4BEA">
        <w:rPr>
          <w:rFonts w:cs="Arial"/>
          <w:iCs/>
          <w:szCs w:val="20"/>
          <w:u w:val="single"/>
        </w:rPr>
        <w:t>nerealiziranega</w:t>
      </w:r>
      <w:r w:rsidRPr="005E4BEA">
        <w:rPr>
          <w:rFonts w:cs="Arial"/>
          <w:iCs/>
          <w:szCs w:val="20"/>
        </w:rPr>
        <w:t xml:space="preserve"> programa in o tem obvesti Ministrstvo za zdravje. Zavod izvaja sprotne analize o (ne) realizaciji posameznih dogovorjenih programov, in sicer do 5. oktobra za prvo polovico pogodbenega leta in do 5. aprila za drugo polovico pogodbenega leta ter celotno pogodbeno leto. Če posamezen izvajalec eno leto ne zagotavlja 85 % dogovorjenega programa posamezne podvrste zdravstvene dejavnosti, Zavod lahko dogovori z drugim izvajalcem trajni prevzem </w:t>
      </w:r>
      <w:r w:rsidRPr="005E4BEA">
        <w:rPr>
          <w:rFonts w:cs="Arial"/>
          <w:iCs/>
          <w:szCs w:val="20"/>
          <w:u w:val="single"/>
        </w:rPr>
        <w:t>nerealiziranega</w:t>
      </w:r>
      <w:r w:rsidRPr="005E4BEA">
        <w:rPr>
          <w:rFonts w:cs="Arial"/>
          <w:iCs/>
          <w:szCs w:val="20"/>
        </w:rPr>
        <w:t xml:space="preserve"> programa v soglasju z Ministrstvom za zdravje.</w:t>
      </w:r>
    </w:p>
    <w:p w14:paraId="622FAE17" w14:textId="77777777" w:rsidR="00F7473E" w:rsidRPr="005E4BEA" w:rsidRDefault="00F7473E" w:rsidP="00EF0035">
      <w:pPr>
        <w:spacing w:line="0" w:lineRule="atLeast"/>
        <w:jc w:val="both"/>
        <w:rPr>
          <w:rFonts w:cs="Arial"/>
          <w:i/>
          <w:iCs/>
          <w:color w:val="808080" w:themeColor="background1" w:themeShade="80"/>
          <w:szCs w:val="20"/>
        </w:rPr>
      </w:pPr>
    </w:p>
    <w:bookmarkEnd w:id="12"/>
    <w:p w14:paraId="5AFF7EC2" w14:textId="370DB9DE" w:rsidR="007F360F" w:rsidRPr="005E4BEA" w:rsidRDefault="007F360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w:t>
      </w:r>
    </w:p>
    <w:p w14:paraId="5A4670F5" w14:textId="77777777" w:rsidR="00FE461F" w:rsidRPr="005E4BEA" w:rsidRDefault="00FE461F" w:rsidP="00FE461F">
      <w:pPr>
        <w:spacing w:line="240" w:lineRule="auto"/>
        <w:jc w:val="both"/>
        <w:rPr>
          <w:rFonts w:cs="Arial"/>
          <w:i/>
          <w:iCs/>
          <w:color w:val="808080" w:themeColor="background1" w:themeShade="80"/>
          <w:szCs w:val="20"/>
        </w:rPr>
      </w:pPr>
    </w:p>
    <w:p w14:paraId="126C4BEF" w14:textId="725BFCEF" w:rsidR="00FE461F" w:rsidRPr="005E4BEA" w:rsidRDefault="007F360F" w:rsidP="00FE461F">
      <w:pPr>
        <w:spacing w:line="240" w:lineRule="auto"/>
        <w:jc w:val="both"/>
        <w:rPr>
          <w:rFonts w:cs="Arial"/>
          <w:b/>
          <w:bCs/>
          <w:szCs w:val="20"/>
        </w:rPr>
      </w:pPr>
      <w:r w:rsidRPr="005E4BEA">
        <w:rPr>
          <w:rFonts w:eastAsia="Arial Narrow" w:cs="Arial"/>
          <w:b/>
          <w:szCs w:val="20"/>
        </w:rPr>
        <w:t xml:space="preserve">Združenje zdravstvenih zavodov Slovenije </w:t>
      </w:r>
      <w:r w:rsidRPr="005E4BEA">
        <w:rPr>
          <w:rFonts w:eastAsia="Arial Narrow" w:cs="Arial"/>
          <w:bCs/>
          <w:szCs w:val="20"/>
        </w:rPr>
        <w:t>predlaga, da se v</w:t>
      </w:r>
      <w:r w:rsidRPr="005E4BEA">
        <w:rPr>
          <w:rFonts w:cs="Arial"/>
          <w:bCs/>
          <w:szCs w:val="20"/>
          <w:lang w:eastAsia="sl-SI"/>
        </w:rPr>
        <w:t xml:space="preserve"> 3. členu  </w:t>
      </w:r>
      <w:r w:rsidR="00FE461F" w:rsidRPr="005E4BEA">
        <w:rPr>
          <w:rFonts w:cs="Arial"/>
          <w:bCs/>
          <w:szCs w:val="20"/>
        </w:rPr>
        <w:t>v 5.1 točki iz tabele z minimalnim številom prvih pregledov na tim posamezne dejavnosti brišeta</w:t>
      </w:r>
      <w:r w:rsidR="00FE461F" w:rsidRPr="005E4BEA">
        <w:rPr>
          <w:rFonts w:cs="Arial"/>
          <w:b/>
          <w:bCs/>
          <w:szCs w:val="20"/>
        </w:rPr>
        <w:t>:</w:t>
      </w:r>
    </w:p>
    <w:p w14:paraId="5FA9C865" w14:textId="77777777" w:rsidR="00FE461F" w:rsidRPr="005E4BEA" w:rsidRDefault="00FE461F" w:rsidP="00FE461F">
      <w:pPr>
        <w:spacing w:line="240" w:lineRule="auto"/>
        <w:jc w:val="both"/>
        <w:rPr>
          <w:rFonts w:cs="Arial"/>
          <w:iCs/>
          <w:szCs w:val="20"/>
        </w:rPr>
      </w:pPr>
      <w:r w:rsidRPr="005E4BEA">
        <w:rPr>
          <w:rFonts w:cs="Arial"/>
          <w:iCs/>
          <w:szCs w:val="20"/>
        </w:rPr>
        <w:t xml:space="preserve">dejavnosti 211 220 kardiologija in vaskularna medicina ter 209 240 </w:t>
      </w:r>
      <w:proofErr w:type="spellStart"/>
      <w:r w:rsidRPr="005E4BEA">
        <w:rPr>
          <w:rFonts w:cs="Arial"/>
          <w:iCs/>
          <w:szCs w:val="20"/>
        </w:rPr>
        <w:t>alergologija</w:t>
      </w:r>
      <w:proofErr w:type="spellEnd"/>
      <w:r w:rsidRPr="005E4BEA">
        <w:rPr>
          <w:rFonts w:cs="Arial"/>
          <w:iCs/>
          <w:szCs w:val="20"/>
        </w:rPr>
        <w:t>.</w:t>
      </w:r>
    </w:p>
    <w:p w14:paraId="0F79A9DB" w14:textId="77777777" w:rsidR="00FE461F" w:rsidRPr="005E4BEA" w:rsidRDefault="00FE461F" w:rsidP="00FE461F">
      <w:pPr>
        <w:spacing w:line="240" w:lineRule="auto"/>
        <w:jc w:val="both"/>
        <w:rPr>
          <w:rFonts w:cs="Arial"/>
          <w:b/>
          <w:bCs/>
          <w:szCs w:val="20"/>
        </w:rPr>
      </w:pPr>
      <w:r w:rsidRPr="005E4BEA">
        <w:rPr>
          <w:rFonts w:cs="Arial"/>
          <w:b/>
          <w:bCs/>
          <w:szCs w:val="20"/>
        </w:rPr>
        <w:t>V Prilogi III se v točki 3.1 in točki 3.2 črta dejavnost »kardiologija in vaskularna medicina«:</w:t>
      </w:r>
    </w:p>
    <w:p w14:paraId="4975DDE5" w14:textId="77777777" w:rsidR="00FE461F" w:rsidRPr="005E4BEA" w:rsidRDefault="00FE461F" w:rsidP="00FE461F">
      <w:pPr>
        <w:spacing w:line="240" w:lineRule="auto"/>
        <w:jc w:val="both"/>
        <w:rPr>
          <w:rFonts w:cs="Arial"/>
          <w:iCs/>
          <w:szCs w:val="20"/>
        </w:rPr>
      </w:pPr>
      <w:r w:rsidRPr="005E4BEA">
        <w:rPr>
          <w:rFonts w:cs="Arial"/>
          <w:iCs/>
          <w:szCs w:val="20"/>
        </w:rPr>
        <w:t xml:space="preserve">3.1. Področje </w:t>
      </w:r>
      <w:r w:rsidRPr="005E4BEA">
        <w:rPr>
          <w:rFonts w:cs="Arial"/>
          <w:iCs/>
          <w:strike/>
          <w:szCs w:val="20"/>
        </w:rPr>
        <w:t>kardiologije in vaskularne medicine in</w:t>
      </w:r>
      <w:r w:rsidRPr="005E4BEA">
        <w:rPr>
          <w:rFonts w:cs="Arial"/>
          <w:iCs/>
          <w:szCs w:val="20"/>
        </w:rPr>
        <w:t xml:space="preserve"> ortopedije se plačuje po realizaciji, ob sočasnem in sprotnem spremljanju opravljenih prvih pregledov na plan, proporcionalno po mesecih. </w:t>
      </w:r>
    </w:p>
    <w:p w14:paraId="49CE81E4" w14:textId="77777777" w:rsidR="00FE461F" w:rsidRPr="005E4BEA" w:rsidRDefault="00FE461F" w:rsidP="00FE461F">
      <w:pPr>
        <w:spacing w:line="240" w:lineRule="auto"/>
        <w:jc w:val="both"/>
        <w:rPr>
          <w:rFonts w:cs="Arial"/>
          <w:iCs/>
          <w:szCs w:val="20"/>
        </w:rPr>
      </w:pPr>
      <w:r w:rsidRPr="005E4BEA">
        <w:rPr>
          <w:rFonts w:cs="Arial"/>
          <w:iCs/>
          <w:szCs w:val="20"/>
        </w:rPr>
        <w:t xml:space="preserve">3.2. Če izvajalec v dejavnostih </w:t>
      </w:r>
      <w:r w:rsidRPr="005E4BEA">
        <w:rPr>
          <w:rFonts w:cs="Arial"/>
          <w:iCs/>
          <w:strike/>
          <w:szCs w:val="20"/>
        </w:rPr>
        <w:t>kardiologije in vaskularne medicine</w:t>
      </w:r>
      <w:r w:rsidRPr="005E4BEA">
        <w:rPr>
          <w:rFonts w:cs="Arial"/>
          <w:iCs/>
          <w:szCs w:val="20"/>
        </w:rPr>
        <w:t xml:space="preserve">, urologije ter ortopedije ne doseže vsaj 90 % minimalnega števila prvih pregledov in ima hkrati čakajoče nad dopustno čakalno dobo v sistemu </w:t>
      </w:r>
      <w:proofErr w:type="spellStart"/>
      <w:r w:rsidRPr="005E4BEA">
        <w:rPr>
          <w:rFonts w:cs="Arial"/>
          <w:iCs/>
          <w:szCs w:val="20"/>
        </w:rPr>
        <w:t>eNaročanje</w:t>
      </w:r>
      <w:proofErr w:type="spellEnd"/>
      <w:r w:rsidRPr="005E4BEA">
        <w:rPr>
          <w:rFonts w:cs="Arial"/>
          <w:iCs/>
          <w:szCs w:val="20"/>
        </w:rPr>
        <w:t xml:space="preserve"> na dan 31. 12., se mu pri končnem letnem obračunu prizna do 10 % presežene realizacije točk nad planom iz pogodbe. Podatek o številu čakajočih nad dopustno čakalno dobo po posameznih dejavnostih za posameznega izvajalca do 15. 1. pripravi NIJZ.</w:t>
      </w:r>
    </w:p>
    <w:p w14:paraId="1259F0A8" w14:textId="77777777" w:rsidR="00FE461F" w:rsidRPr="005E4BEA" w:rsidRDefault="00FE461F" w:rsidP="00FE461F">
      <w:pPr>
        <w:spacing w:line="240" w:lineRule="auto"/>
        <w:jc w:val="both"/>
        <w:rPr>
          <w:rFonts w:cs="Arial"/>
          <w:iCs/>
          <w:szCs w:val="20"/>
        </w:rPr>
      </w:pPr>
    </w:p>
    <w:p w14:paraId="1F7214EE"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7699B54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Čakalne dobe in veliko število čakajočih nad dopustno čakalno dobo so na dejavnosti kardiologija in vaskularna medicina problematične na nacionalni ravni. Ravno zato je bilo kar nekaj diagnostičnih storitev s tega področja letos izbranih za nacionalni razpis, katerega namen je povečati realizacijo teh storitev in v korist pacientov izboljšati dostopnost do njih. Po sedaj veljavnih pravilih se kardiologija v novi pogodbi do ZZZS načrtuje na ravni realizacije preteklega leta. V pogodbah 2021 imamo izvajalci tako plan kardiologije zastavljen v višini realizacije 2020. Ta je bila zaradi epidemiološke situacije in začasne prekinitve izvajanja </w:t>
      </w:r>
      <w:proofErr w:type="spellStart"/>
      <w:r w:rsidRPr="005E4BEA">
        <w:rPr>
          <w:rFonts w:cs="Arial"/>
          <w:i/>
          <w:iCs/>
          <w:color w:val="808080" w:themeColor="background1" w:themeShade="80"/>
          <w:szCs w:val="20"/>
        </w:rPr>
        <w:t>nenujnih</w:t>
      </w:r>
      <w:proofErr w:type="spellEnd"/>
      <w:r w:rsidRPr="005E4BEA">
        <w:rPr>
          <w:rFonts w:cs="Arial"/>
          <w:i/>
          <w:iCs/>
          <w:color w:val="808080" w:themeColor="background1" w:themeShade="80"/>
          <w:szCs w:val="20"/>
        </w:rPr>
        <w:t xml:space="preserve"> storitev v prvem valu zelo nizka. Veliko pacientov na kardiološke storitve čaka nedopustno dolgo in ker imajo izvajalci ravno znotraj kardiologije lahko precej različno strukturo pregledov in kardiološke diagnostike, </w:t>
      </w:r>
      <w:r w:rsidRPr="005E4BEA">
        <w:rPr>
          <w:rFonts w:cs="Arial"/>
          <w:b/>
          <w:bCs/>
          <w:i/>
          <w:iCs/>
          <w:szCs w:val="20"/>
        </w:rPr>
        <w:t>plana prvih pregledov</w:t>
      </w:r>
      <w:r w:rsidRPr="005E4BEA">
        <w:rPr>
          <w:rFonts w:cs="Arial"/>
          <w:i/>
          <w:iCs/>
          <w:szCs w:val="20"/>
        </w:rPr>
        <w:t xml:space="preserve"> </w:t>
      </w:r>
      <w:r w:rsidRPr="005E4BEA">
        <w:rPr>
          <w:rFonts w:cs="Arial"/>
          <w:i/>
          <w:iCs/>
          <w:color w:val="808080" w:themeColor="background1" w:themeShade="80"/>
          <w:szCs w:val="20"/>
        </w:rPr>
        <w:t xml:space="preserve">vsi ne dosegamo. V tem primeru pa je zagotovljeno zgolj +10% plačilo realiziranih točk nad pogodbenim planom, </w:t>
      </w:r>
      <w:proofErr w:type="spellStart"/>
      <w:r w:rsidRPr="005E4BEA">
        <w:rPr>
          <w:rFonts w:cs="Arial"/>
          <w:i/>
          <w:iCs/>
          <w:color w:val="808080" w:themeColor="background1" w:themeShade="80"/>
          <w:szCs w:val="20"/>
        </w:rPr>
        <w:t>t.j</w:t>
      </w:r>
      <w:proofErr w:type="spellEnd"/>
      <w:r w:rsidRPr="005E4BEA">
        <w:rPr>
          <w:rFonts w:cs="Arial"/>
          <w:i/>
          <w:iCs/>
          <w:color w:val="808080" w:themeColor="background1" w:themeShade="80"/>
          <w:szCs w:val="20"/>
        </w:rPr>
        <w:t xml:space="preserve">. +10% nad nizko realizacijo izrednega leta 2020. </w:t>
      </w:r>
    </w:p>
    <w:p w14:paraId="01CBE47F" w14:textId="77777777" w:rsidR="00FE461F" w:rsidRPr="005E4BEA" w:rsidRDefault="00FE461F" w:rsidP="00FE461F">
      <w:pPr>
        <w:spacing w:line="240" w:lineRule="auto"/>
        <w:jc w:val="both"/>
        <w:rPr>
          <w:rFonts w:cs="Arial"/>
          <w:i/>
          <w:iCs/>
          <w:color w:val="808080" w:themeColor="background1" w:themeShade="80"/>
          <w:szCs w:val="20"/>
          <w:u w:val="single"/>
        </w:rPr>
      </w:pPr>
      <w:r w:rsidRPr="005E4BEA">
        <w:rPr>
          <w:rFonts w:cs="Arial"/>
          <w:i/>
          <w:iCs/>
          <w:color w:val="808080" w:themeColor="background1" w:themeShade="80"/>
          <w:szCs w:val="20"/>
          <w:u w:val="single"/>
        </w:rPr>
        <w:t xml:space="preserve">Da bi izvajalci imeli tu še bolj odprto pot in izvajali storitve, kolikor jih lahko ob danih razmerah in kapacitetah, predlagamo, da plačilo z ničemer ni omejeno in pogojeno – da je torej izvajalcem zagotovljeno plačilo za celotne realizirane točke, ki jih na tem programu lahko opravimo. </w:t>
      </w:r>
    </w:p>
    <w:p w14:paraId="06099A1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Z enakim ciljem, </w:t>
      </w:r>
      <w:proofErr w:type="spellStart"/>
      <w:r w:rsidRPr="005E4BEA">
        <w:rPr>
          <w:rFonts w:cs="Arial"/>
          <w:i/>
          <w:iCs/>
          <w:color w:val="808080" w:themeColor="background1" w:themeShade="80"/>
          <w:szCs w:val="20"/>
        </w:rPr>
        <w:t>t.j</w:t>
      </w:r>
      <w:proofErr w:type="spellEnd"/>
      <w:r w:rsidRPr="005E4BEA">
        <w:rPr>
          <w:rFonts w:cs="Arial"/>
          <w:i/>
          <w:iCs/>
          <w:color w:val="808080" w:themeColor="background1" w:themeShade="80"/>
          <w:szCs w:val="20"/>
        </w:rPr>
        <w:t xml:space="preserve">. povečanja oz. vsaj ohranjanja dostopnosti pacientov do zdravstvenih storitev predlagamo, da se plačilo vseh realiziranih točk, brez omejitve, zagotovi tudi za </w:t>
      </w:r>
      <w:proofErr w:type="spellStart"/>
      <w:r w:rsidRPr="005E4BEA">
        <w:rPr>
          <w:rFonts w:cs="Arial"/>
          <w:i/>
          <w:iCs/>
          <w:color w:val="808080" w:themeColor="background1" w:themeShade="80"/>
          <w:szCs w:val="20"/>
        </w:rPr>
        <w:t>alergološko</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zunajbolnišnično</w:t>
      </w:r>
      <w:proofErr w:type="spellEnd"/>
      <w:r w:rsidRPr="005E4BEA">
        <w:rPr>
          <w:rFonts w:cs="Arial"/>
          <w:i/>
          <w:iCs/>
          <w:color w:val="808080" w:themeColor="background1" w:themeShade="80"/>
          <w:szCs w:val="20"/>
        </w:rPr>
        <w:t xml:space="preserve"> dejavnost. Očitno »presežnega« pogodbenega programa nima na tej dejavnosti nihče v Sloveniji, kar sklepamo na osnovi zgolj 1.256 točk, za katere je možnost za njihovo pridobitev z javnim pozivom ZZZS dodana vsem izvajalcem skupaj v državi. Dejstvo je, da je obravnava v </w:t>
      </w:r>
      <w:proofErr w:type="spellStart"/>
      <w:r w:rsidRPr="005E4BEA">
        <w:rPr>
          <w:rFonts w:cs="Arial"/>
          <w:i/>
          <w:iCs/>
          <w:color w:val="808080" w:themeColor="background1" w:themeShade="80"/>
          <w:szCs w:val="20"/>
        </w:rPr>
        <w:t>alergološki</w:t>
      </w:r>
      <w:proofErr w:type="spellEnd"/>
      <w:r w:rsidRPr="005E4BEA">
        <w:rPr>
          <w:rFonts w:cs="Arial"/>
          <w:i/>
          <w:iCs/>
          <w:color w:val="808080" w:themeColor="background1" w:themeShade="80"/>
          <w:szCs w:val="20"/>
        </w:rPr>
        <w:t xml:space="preserve"> ambulanti v več primerih kontinuirana in je ni možno prekiniti zgolj z namenom, da bi se izvajalci </w:t>
      </w:r>
      <w:proofErr w:type="spellStart"/>
      <w:r w:rsidRPr="005E4BEA">
        <w:rPr>
          <w:rFonts w:cs="Arial"/>
          <w:i/>
          <w:iCs/>
          <w:color w:val="808080" w:themeColor="background1" w:themeShade="80"/>
          <w:szCs w:val="20"/>
        </w:rPr>
        <w:t>oukvirili</w:t>
      </w:r>
      <w:proofErr w:type="spellEnd"/>
      <w:r w:rsidRPr="005E4BEA">
        <w:rPr>
          <w:rFonts w:cs="Arial"/>
          <w:i/>
          <w:iCs/>
          <w:color w:val="808080" w:themeColor="background1" w:themeShade="80"/>
          <w:szCs w:val="20"/>
        </w:rPr>
        <w:t xml:space="preserve"> v obseg zagotovljenega pogodbenega programa in s tem plačila za opravljene storitve. Če omenimo le nekaj primerov na področju obravnav otrok in mladostnikov - postopek </w:t>
      </w:r>
      <w:proofErr w:type="spellStart"/>
      <w:r w:rsidRPr="005E4BEA">
        <w:rPr>
          <w:rFonts w:cs="Arial"/>
          <w:i/>
          <w:iCs/>
          <w:color w:val="808080" w:themeColor="background1" w:themeShade="80"/>
          <w:szCs w:val="20"/>
        </w:rPr>
        <w:t>imunoterapije</w:t>
      </w:r>
      <w:proofErr w:type="spellEnd"/>
      <w:r w:rsidRPr="005E4BEA">
        <w:rPr>
          <w:rFonts w:cs="Arial"/>
          <w:i/>
          <w:iCs/>
          <w:color w:val="808080" w:themeColor="background1" w:themeShade="80"/>
          <w:szCs w:val="20"/>
        </w:rPr>
        <w:t xml:space="preserve">, ki pomeni redno tedensko obravnavo pacienta in se mora izvajati intervalno brez prekinitve, vodenje otroka z astmo, pri katerem prilagajamo terapijo ter obravnavo dojenčka z alergijo, kjer je prilagajanje prehrane z dietnimi omejitvami zelo dinamično. </w:t>
      </w:r>
      <w:proofErr w:type="spellStart"/>
      <w:r w:rsidRPr="005E4BEA">
        <w:rPr>
          <w:rFonts w:cs="Arial"/>
          <w:i/>
          <w:iCs/>
          <w:color w:val="808080" w:themeColor="background1" w:themeShade="80"/>
          <w:szCs w:val="20"/>
        </w:rPr>
        <w:t>Imunoterapije</w:t>
      </w:r>
      <w:proofErr w:type="spellEnd"/>
      <w:r w:rsidRPr="005E4BEA">
        <w:rPr>
          <w:rFonts w:cs="Arial"/>
          <w:i/>
          <w:iCs/>
          <w:color w:val="808080" w:themeColor="background1" w:themeShade="80"/>
          <w:szCs w:val="20"/>
        </w:rPr>
        <w:t xml:space="preserve"> so sprva izvajali le na terciarnem nivoju, dejavnost se je prenesla na sekundarni nivo zaradi prevelike obremenjenosti terciarja ob dobri strokovni usposobljenosti kadra na sekundarni ravni. Prekinitev že izvajanih postopkov pri pacientih je, kot že omenjeno, strokovno nesprejemljiva. </w:t>
      </w:r>
    </w:p>
    <w:p w14:paraId="3969B99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Omejitev dela v »pogodbene plane« izvajalcev pa bi povzročila slabšo dostopnost do storitev in daljše čakalne vrste.</w:t>
      </w:r>
    </w:p>
    <w:p w14:paraId="280237D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Finančna ocena €:* Na osnovi podatkov iz spletne strani ZZZS o realizaciji pogodbenih planov izvajalcev za dejavnosti 211 220 – kardiologija in 209 240 – </w:t>
      </w:r>
      <w:proofErr w:type="spellStart"/>
      <w:r w:rsidRPr="005E4BEA">
        <w:rPr>
          <w:rFonts w:cs="Arial"/>
          <w:i/>
          <w:iCs/>
          <w:color w:val="808080" w:themeColor="background1" w:themeShade="80"/>
          <w:szCs w:val="20"/>
        </w:rPr>
        <w:t>alergologija</w:t>
      </w:r>
      <w:proofErr w:type="spellEnd"/>
      <w:r w:rsidRPr="005E4BEA">
        <w:rPr>
          <w:rFonts w:cs="Arial"/>
          <w:i/>
          <w:iCs/>
          <w:color w:val="808080" w:themeColor="background1" w:themeShade="80"/>
          <w:szCs w:val="20"/>
        </w:rPr>
        <w:t xml:space="preserve"> za obdobje 1-6 2021 izhaja, da so tisti izvajalci, ki so realizirali svoj program nad planom skupaj ustvarili:</w:t>
      </w:r>
    </w:p>
    <w:p w14:paraId="7824AA56" w14:textId="77777777" w:rsidR="00FE461F" w:rsidRPr="005E4BEA" w:rsidRDefault="00FE461F" w:rsidP="00F356C9">
      <w:pPr>
        <w:numPr>
          <w:ilvl w:val="0"/>
          <w:numId w:val="27"/>
        </w:numPr>
        <w:spacing w:line="240" w:lineRule="auto"/>
        <w:ind w:left="720" w:firstLine="0"/>
        <w:contextualSpacing/>
        <w:jc w:val="both"/>
        <w:rPr>
          <w:rFonts w:cs="Arial"/>
          <w:i/>
          <w:iCs/>
          <w:color w:val="808080" w:themeColor="background1" w:themeShade="80"/>
          <w:szCs w:val="20"/>
        </w:rPr>
      </w:pPr>
      <w:r w:rsidRPr="005E4BEA">
        <w:rPr>
          <w:rFonts w:cs="Arial"/>
          <w:i/>
          <w:iCs/>
          <w:color w:val="808080" w:themeColor="background1" w:themeShade="80"/>
          <w:szCs w:val="20"/>
        </w:rPr>
        <w:t>na kardiologiji 310.311 točk nad planom, kar ob predpostavki nadaljnje enake dinamike storitev in ceni točke 3,50 EUR znaša na letni ravni 2.172.176 EUR preseganja pogodbenih planov izvajalcev. Če polletno realizacijo vseh izvajalcev množimo z 2 in jo primerjamo s pogodbenimi plani, vrednost preseganja na letni ravni znaša le še 1.088.949 EUR.</w:t>
      </w:r>
    </w:p>
    <w:p w14:paraId="31A79BC8" w14:textId="1CF29EE6" w:rsidR="00FE461F" w:rsidRPr="005E4BEA" w:rsidRDefault="00FE461F" w:rsidP="00F356C9">
      <w:pPr>
        <w:numPr>
          <w:ilvl w:val="0"/>
          <w:numId w:val="27"/>
        </w:numPr>
        <w:spacing w:line="240" w:lineRule="auto"/>
        <w:ind w:left="720" w:firstLine="0"/>
        <w:contextualSpacing/>
        <w:jc w:val="both"/>
        <w:rPr>
          <w:rFonts w:cs="Arial"/>
          <w:i/>
          <w:iCs/>
          <w:color w:val="808080" w:themeColor="background1" w:themeShade="80"/>
          <w:szCs w:val="20"/>
        </w:rPr>
      </w:pPr>
      <w:r w:rsidRPr="005E4BEA">
        <w:rPr>
          <w:rFonts w:cs="Arial"/>
          <w:i/>
          <w:iCs/>
          <w:color w:val="808080" w:themeColor="background1" w:themeShade="80"/>
          <w:szCs w:val="20"/>
        </w:rPr>
        <w:t xml:space="preserve">na </w:t>
      </w:r>
      <w:proofErr w:type="spellStart"/>
      <w:r w:rsidRPr="005E4BEA">
        <w:rPr>
          <w:rFonts w:cs="Arial"/>
          <w:i/>
          <w:iCs/>
          <w:color w:val="808080" w:themeColor="background1" w:themeShade="80"/>
          <w:szCs w:val="20"/>
        </w:rPr>
        <w:t>alergologiji</w:t>
      </w:r>
      <w:proofErr w:type="spellEnd"/>
      <w:r w:rsidRPr="005E4BEA">
        <w:rPr>
          <w:rFonts w:cs="Arial"/>
          <w:i/>
          <w:iCs/>
          <w:color w:val="808080" w:themeColor="background1" w:themeShade="80"/>
          <w:szCs w:val="20"/>
        </w:rPr>
        <w:t xml:space="preserve"> 28.844 točk nad planom, kar ob predpostavki nadaljnje enake dinamike storitev in ceni točke 4,48 EUR znaša la letni ravni 258.445 EUR preseganja pogodbenih planov izvajalcev. Če polletno realizacijo vseh izvajalcev množimo z 2 in jo primerjamo s pogodbenimi plani, vrednost preseganja na letni ravni znaša 189.214 EUR.</w:t>
      </w:r>
    </w:p>
    <w:p w14:paraId="22C6AA0F" w14:textId="77777777" w:rsidR="007F360F" w:rsidRPr="005E4BEA" w:rsidRDefault="007F360F" w:rsidP="007F360F">
      <w:pPr>
        <w:spacing w:line="240" w:lineRule="auto"/>
        <w:ind w:left="720"/>
        <w:contextualSpacing/>
        <w:jc w:val="both"/>
        <w:rPr>
          <w:rFonts w:cs="Arial"/>
          <w:i/>
          <w:iCs/>
          <w:color w:val="808080" w:themeColor="background1" w:themeShade="80"/>
          <w:szCs w:val="20"/>
        </w:rPr>
      </w:pPr>
    </w:p>
    <w:p w14:paraId="061008E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1,3 mio €</w:t>
      </w:r>
    </w:p>
    <w:p w14:paraId="3033013B" w14:textId="77777777" w:rsidR="00FE461F" w:rsidRPr="005E4BEA" w:rsidRDefault="00FE461F" w:rsidP="00FE461F">
      <w:pPr>
        <w:spacing w:line="240" w:lineRule="auto"/>
        <w:jc w:val="both"/>
        <w:rPr>
          <w:rFonts w:cs="Arial"/>
          <w:i/>
          <w:iCs/>
          <w:color w:val="808080" w:themeColor="background1" w:themeShade="80"/>
          <w:szCs w:val="20"/>
        </w:rPr>
      </w:pPr>
    </w:p>
    <w:p w14:paraId="498AACE7" w14:textId="77777777" w:rsidR="00234949" w:rsidRPr="005E4BEA" w:rsidRDefault="007F360F" w:rsidP="00234949">
      <w:pPr>
        <w:spacing w:line="240" w:lineRule="auto"/>
        <w:jc w:val="both"/>
        <w:rPr>
          <w:rFonts w:cs="Arial"/>
          <w:b/>
          <w:bCs/>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565A27">
        <w:rPr>
          <w:rFonts w:eastAsia="Arial Narrow" w:cs="Arial"/>
          <w:szCs w:val="20"/>
        </w:rPr>
        <w:t xml:space="preserve">strinja </w:t>
      </w:r>
      <w:r w:rsidRPr="005E4BEA">
        <w:rPr>
          <w:rFonts w:eastAsia="Arial Narrow" w:cs="Arial"/>
          <w:szCs w:val="20"/>
        </w:rPr>
        <w:t>s predlogom</w:t>
      </w:r>
      <w:r w:rsidR="00565A27">
        <w:rPr>
          <w:rFonts w:eastAsia="Arial Narrow" w:cs="Arial"/>
          <w:szCs w:val="20"/>
        </w:rPr>
        <w:t xml:space="preserve"> v modificirani obliki, in sicer </w:t>
      </w:r>
      <w:bookmarkStart w:id="13" w:name="_Hlk103172156"/>
      <w:r w:rsidR="00565A27">
        <w:rPr>
          <w:rFonts w:eastAsia="Arial Narrow" w:cs="Arial"/>
          <w:szCs w:val="20"/>
        </w:rPr>
        <w:t xml:space="preserve">se </w:t>
      </w:r>
      <w:r w:rsidR="00234949" w:rsidRPr="005E4BEA">
        <w:rPr>
          <w:rFonts w:eastAsia="Arial Narrow" w:cs="Arial"/>
          <w:bCs/>
          <w:szCs w:val="20"/>
        </w:rPr>
        <w:t>v</w:t>
      </w:r>
      <w:r w:rsidR="00234949" w:rsidRPr="005E4BEA">
        <w:rPr>
          <w:rFonts w:cs="Arial"/>
          <w:bCs/>
          <w:szCs w:val="20"/>
          <w:lang w:eastAsia="sl-SI"/>
        </w:rPr>
        <w:t xml:space="preserve"> 3. členu  </w:t>
      </w:r>
      <w:r w:rsidR="00234949" w:rsidRPr="005E4BEA">
        <w:rPr>
          <w:rFonts w:cs="Arial"/>
          <w:bCs/>
          <w:szCs w:val="20"/>
        </w:rPr>
        <w:t>v 5.1 točki iz tabele z minimalnim številom prvih pregledov na tim posamezne dejavnosti brišeta</w:t>
      </w:r>
      <w:r w:rsidR="00234949" w:rsidRPr="005E4BEA">
        <w:rPr>
          <w:rFonts w:cs="Arial"/>
          <w:b/>
          <w:bCs/>
          <w:szCs w:val="20"/>
        </w:rPr>
        <w:t>:</w:t>
      </w:r>
    </w:p>
    <w:p w14:paraId="6817F5DA" w14:textId="770ABF21" w:rsidR="00234949" w:rsidRDefault="00234949" w:rsidP="00234949">
      <w:pPr>
        <w:spacing w:line="240" w:lineRule="auto"/>
        <w:jc w:val="both"/>
        <w:rPr>
          <w:rFonts w:cs="Arial"/>
          <w:iCs/>
          <w:szCs w:val="20"/>
        </w:rPr>
      </w:pPr>
      <w:r w:rsidRPr="005E4BEA">
        <w:rPr>
          <w:rFonts w:cs="Arial"/>
          <w:iCs/>
          <w:szCs w:val="20"/>
        </w:rPr>
        <w:t xml:space="preserve">dejavnosti 211 220 kardiologija in vaskularna medicina ter 209 240 </w:t>
      </w:r>
      <w:proofErr w:type="spellStart"/>
      <w:r w:rsidRPr="005E4BEA">
        <w:rPr>
          <w:rFonts w:cs="Arial"/>
          <w:iCs/>
          <w:szCs w:val="20"/>
        </w:rPr>
        <w:t>alergologija</w:t>
      </w:r>
      <w:proofErr w:type="spellEnd"/>
      <w:r w:rsidRPr="005E4BEA">
        <w:rPr>
          <w:rFonts w:cs="Arial"/>
          <w:iCs/>
          <w:szCs w:val="20"/>
        </w:rPr>
        <w:t>.</w:t>
      </w:r>
    </w:p>
    <w:p w14:paraId="72535424" w14:textId="01CFCC5D" w:rsidR="00234949" w:rsidRDefault="00234949" w:rsidP="00234949">
      <w:pPr>
        <w:spacing w:line="240" w:lineRule="auto"/>
        <w:jc w:val="both"/>
        <w:rPr>
          <w:rFonts w:cs="Arial"/>
          <w:iCs/>
          <w:szCs w:val="20"/>
        </w:rPr>
      </w:pPr>
    </w:p>
    <w:p w14:paraId="690A9CA1" w14:textId="77777777" w:rsidR="00234949" w:rsidRPr="005E4BEA" w:rsidRDefault="00234949" w:rsidP="00234949">
      <w:pPr>
        <w:spacing w:line="240" w:lineRule="auto"/>
        <w:jc w:val="both"/>
        <w:rPr>
          <w:rFonts w:cs="Arial"/>
          <w:b/>
          <w:bCs/>
          <w:szCs w:val="20"/>
        </w:rPr>
      </w:pPr>
      <w:r w:rsidRPr="005E4BEA">
        <w:rPr>
          <w:rFonts w:cs="Arial"/>
          <w:b/>
          <w:bCs/>
          <w:szCs w:val="20"/>
        </w:rPr>
        <w:t>V Prilogi III se v točki 3.1 in točki 3.2 črta dejavnost »kardiologija in vaskularna medicina« tako, da se glasita:</w:t>
      </w:r>
    </w:p>
    <w:p w14:paraId="1BDFB2D3" w14:textId="77777777" w:rsidR="00234949" w:rsidRPr="005E4BEA" w:rsidRDefault="00234949" w:rsidP="00234949">
      <w:pPr>
        <w:spacing w:line="240" w:lineRule="auto"/>
        <w:jc w:val="both"/>
        <w:rPr>
          <w:rFonts w:cs="Arial"/>
          <w:iCs/>
          <w:szCs w:val="20"/>
        </w:rPr>
      </w:pPr>
    </w:p>
    <w:p w14:paraId="71839BDD" w14:textId="77777777" w:rsidR="00234949" w:rsidRPr="00EC7E01" w:rsidRDefault="00234949" w:rsidP="00234949">
      <w:pPr>
        <w:spacing w:line="240" w:lineRule="auto"/>
        <w:jc w:val="both"/>
        <w:rPr>
          <w:rFonts w:cs="Arial"/>
          <w:iCs/>
          <w:szCs w:val="20"/>
        </w:rPr>
      </w:pPr>
      <w:r w:rsidRPr="00EC7E01">
        <w:rPr>
          <w:rFonts w:cs="Arial"/>
          <w:iCs/>
          <w:szCs w:val="20"/>
        </w:rPr>
        <w:t xml:space="preserve">»3.1. Področje ortopedije se plačuje po realizaciji, ob sočasnem in sprotnem spremljanju opravljenih prvih pregledov na plan, proporcionalno po mesecih. </w:t>
      </w:r>
    </w:p>
    <w:p w14:paraId="60FF611F" w14:textId="52B12114" w:rsidR="00234949" w:rsidRDefault="00234949" w:rsidP="00234949">
      <w:pPr>
        <w:spacing w:line="240" w:lineRule="auto"/>
        <w:jc w:val="both"/>
        <w:rPr>
          <w:rFonts w:cs="Arial"/>
          <w:iCs/>
          <w:szCs w:val="20"/>
        </w:rPr>
      </w:pPr>
      <w:r w:rsidRPr="00EC7E01">
        <w:rPr>
          <w:rFonts w:cs="Arial"/>
          <w:iCs/>
          <w:szCs w:val="20"/>
        </w:rPr>
        <w:t xml:space="preserve">3.2. Če izvajalec v dejavnostih urologije ter ortopedije ne doseže vsaj 90 % minimalnega števila prvih pregledov in ima hkrati čakajoče nad dopustno čakalno dobo v sistemu </w:t>
      </w:r>
      <w:proofErr w:type="spellStart"/>
      <w:r w:rsidRPr="00EC7E01">
        <w:rPr>
          <w:rFonts w:cs="Arial"/>
          <w:iCs/>
          <w:szCs w:val="20"/>
        </w:rPr>
        <w:t>eNaročanje</w:t>
      </w:r>
      <w:proofErr w:type="spellEnd"/>
      <w:r w:rsidRPr="00EC7E01">
        <w:rPr>
          <w:rFonts w:cs="Arial"/>
          <w:iCs/>
          <w:szCs w:val="20"/>
        </w:rPr>
        <w:t xml:space="preserve"> na dan 31. 12., se mu pri končnem letnem obračunu prizna do 10 % presežene realizacije točk nad planom iz pogodbe. Podatek o številu čakajočih nad dopustno čakalno dobo po posameznih dejavnostih za posameznega izvajalca do 15. 1. pripravi NIJZ.«.</w:t>
      </w:r>
    </w:p>
    <w:p w14:paraId="704EDAE6" w14:textId="77777777" w:rsidR="00234949" w:rsidRPr="00EC7E01" w:rsidRDefault="00234949" w:rsidP="00234949">
      <w:pPr>
        <w:spacing w:line="240" w:lineRule="auto"/>
        <w:jc w:val="both"/>
        <w:rPr>
          <w:rFonts w:cs="Arial"/>
          <w:iCs/>
          <w:szCs w:val="20"/>
        </w:rPr>
      </w:pPr>
    </w:p>
    <w:p w14:paraId="6122076C" w14:textId="38ACA7E0" w:rsidR="00234949" w:rsidRPr="005E4BEA" w:rsidRDefault="00234949" w:rsidP="007F360F">
      <w:pPr>
        <w:autoSpaceDE w:val="0"/>
        <w:autoSpaceDN w:val="0"/>
        <w:adjustRightInd w:val="0"/>
        <w:spacing w:line="0" w:lineRule="atLeast"/>
        <w:jc w:val="both"/>
        <w:rPr>
          <w:rFonts w:eastAsia="Arial Narrow" w:cs="Arial"/>
          <w:szCs w:val="20"/>
        </w:rPr>
      </w:pPr>
      <w:r w:rsidRPr="005E4BEA">
        <w:rPr>
          <w:rFonts w:cs="Arial"/>
          <w:iCs/>
          <w:szCs w:val="20"/>
        </w:rPr>
        <w:t>Uveljavitev s 1.1.2023</w:t>
      </w:r>
    </w:p>
    <w:bookmarkEnd w:id="13"/>
    <w:p w14:paraId="237E5737" w14:textId="77777777" w:rsidR="007F360F" w:rsidRPr="005E4BEA" w:rsidRDefault="007F360F" w:rsidP="007F360F">
      <w:pPr>
        <w:spacing w:line="0" w:lineRule="atLeast"/>
        <w:jc w:val="both"/>
        <w:rPr>
          <w:rFonts w:eastAsia="Arial Narrow" w:cs="Arial"/>
          <w:szCs w:val="20"/>
          <w:lang w:eastAsia="sl-SI"/>
        </w:rPr>
      </w:pPr>
    </w:p>
    <w:p w14:paraId="5CD54DF2" w14:textId="77777777" w:rsidR="00234949" w:rsidRPr="005E4BEA" w:rsidRDefault="007F360F" w:rsidP="00234949">
      <w:pPr>
        <w:spacing w:line="240" w:lineRule="auto"/>
        <w:jc w:val="both"/>
        <w:rPr>
          <w:rFonts w:cs="Arial"/>
          <w:b/>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4" w:name="_Hlk102574659"/>
      <w:r w:rsidR="00114511" w:rsidRPr="005E4BEA">
        <w:rPr>
          <w:rFonts w:eastAsia="Arial Narrow" w:cs="Arial"/>
          <w:bCs/>
          <w:szCs w:val="20"/>
        </w:rPr>
        <w:t xml:space="preserve">da </w:t>
      </w:r>
      <w:r w:rsidR="00234949">
        <w:rPr>
          <w:rFonts w:eastAsia="Arial Narrow" w:cs="Arial"/>
          <w:szCs w:val="20"/>
        </w:rPr>
        <w:t xml:space="preserve">se </w:t>
      </w:r>
      <w:r w:rsidR="00234949" w:rsidRPr="005E4BEA">
        <w:rPr>
          <w:rFonts w:eastAsia="Arial Narrow" w:cs="Arial"/>
          <w:bCs/>
          <w:szCs w:val="20"/>
        </w:rPr>
        <w:t>v</w:t>
      </w:r>
      <w:r w:rsidR="00234949" w:rsidRPr="005E4BEA">
        <w:rPr>
          <w:rFonts w:cs="Arial"/>
          <w:bCs/>
          <w:szCs w:val="20"/>
          <w:lang w:eastAsia="sl-SI"/>
        </w:rPr>
        <w:t xml:space="preserve"> 3. členu  </w:t>
      </w:r>
      <w:r w:rsidR="00234949" w:rsidRPr="005E4BEA">
        <w:rPr>
          <w:rFonts w:cs="Arial"/>
          <w:bCs/>
          <w:szCs w:val="20"/>
        </w:rPr>
        <w:t>v 5.1 točki iz tabele z minimalnim številom prvih pregledov na tim posamezne dejavnosti brišeta</w:t>
      </w:r>
      <w:r w:rsidR="00234949" w:rsidRPr="005E4BEA">
        <w:rPr>
          <w:rFonts w:cs="Arial"/>
          <w:b/>
          <w:bCs/>
          <w:szCs w:val="20"/>
        </w:rPr>
        <w:t>:</w:t>
      </w:r>
    </w:p>
    <w:p w14:paraId="7E1C1FF7" w14:textId="77777777" w:rsidR="00234949" w:rsidRDefault="00234949" w:rsidP="00234949">
      <w:pPr>
        <w:spacing w:line="240" w:lineRule="auto"/>
        <w:jc w:val="both"/>
        <w:rPr>
          <w:rFonts w:cs="Arial"/>
          <w:iCs/>
          <w:szCs w:val="20"/>
        </w:rPr>
      </w:pPr>
      <w:r w:rsidRPr="005E4BEA">
        <w:rPr>
          <w:rFonts w:cs="Arial"/>
          <w:iCs/>
          <w:szCs w:val="20"/>
        </w:rPr>
        <w:t xml:space="preserve">dejavnosti 211 220 kardiologija in vaskularna medicina ter 209 240 </w:t>
      </w:r>
      <w:proofErr w:type="spellStart"/>
      <w:r w:rsidRPr="005E4BEA">
        <w:rPr>
          <w:rFonts w:cs="Arial"/>
          <w:iCs/>
          <w:szCs w:val="20"/>
        </w:rPr>
        <w:t>alergologija</w:t>
      </w:r>
      <w:proofErr w:type="spellEnd"/>
      <w:r w:rsidRPr="005E4BEA">
        <w:rPr>
          <w:rFonts w:cs="Arial"/>
          <w:iCs/>
          <w:szCs w:val="20"/>
        </w:rPr>
        <w:t>.</w:t>
      </w:r>
    </w:p>
    <w:p w14:paraId="18034BE1" w14:textId="77777777" w:rsidR="00234949" w:rsidRDefault="00234949" w:rsidP="00234949">
      <w:pPr>
        <w:spacing w:line="240" w:lineRule="auto"/>
        <w:jc w:val="both"/>
        <w:rPr>
          <w:rFonts w:cs="Arial"/>
          <w:iCs/>
          <w:szCs w:val="20"/>
        </w:rPr>
      </w:pPr>
    </w:p>
    <w:p w14:paraId="5182C809" w14:textId="77777777" w:rsidR="00234949" w:rsidRPr="005E4BEA" w:rsidRDefault="00234949" w:rsidP="00234949">
      <w:pPr>
        <w:spacing w:line="240" w:lineRule="auto"/>
        <w:jc w:val="both"/>
        <w:rPr>
          <w:rFonts w:cs="Arial"/>
          <w:b/>
          <w:bCs/>
          <w:szCs w:val="20"/>
        </w:rPr>
      </w:pPr>
      <w:r w:rsidRPr="005E4BEA">
        <w:rPr>
          <w:rFonts w:cs="Arial"/>
          <w:b/>
          <w:bCs/>
          <w:szCs w:val="20"/>
        </w:rPr>
        <w:t>V Prilogi III se v točki 3.1 in točki 3.2 črta dejavnost »kardiologija in vaskularna medicina« tako, da se glasita:</w:t>
      </w:r>
    </w:p>
    <w:p w14:paraId="2140DE2F" w14:textId="77777777" w:rsidR="00234949" w:rsidRPr="005E4BEA" w:rsidRDefault="00234949" w:rsidP="00234949">
      <w:pPr>
        <w:spacing w:line="240" w:lineRule="auto"/>
        <w:jc w:val="both"/>
        <w:rPr>
          <w:rFonts w:cs="Arial"/>
          <w:iCs/>
          <w:szCs w:val="20"/>
        </w:rPr>
      </w:pPr>
    </w:p>
    <w:p w14:paraId="50986D8A" w14:textId="77777777" w:rsidR="00234949" w:rsidRPr="00EC7E01" w:rsidRDefault="00234949" w:rsidP="00234949">
      <w:pPr>
        <w:spacing w:line="240" w:lineRule="auto"/>
        <w:jc w:val="both"/>
        <w:rPr>
          <w:rFonts w:cs="Arial"/>
          <w:iCs/>
          <w:szCs w:val="20"/>
        </w:rPr>
      </w:pPr>
      <w:r w:rsidRPr="00EC7E01">
        <w:rPr>
          <w:rFonts w:cs="Arial"/>
          <w:iCs/>
          <w:szCs w:val="20"/>
        </w:rPr>
        <w:lastRenderedPageBreak/>
        <w:t xml:space="preserve">»3.1. Področje ortopedije se plačuje po realizaciji, ob sočasnem in sprotnem spremljanju opravljenih prvih pregledov na plan, proporcionalno po mesecih. </w:t>
      </w:r>
    </w:p>
    <w:p w14:paraId="02AF3761" w14:textId="77777777" w:rsidR="00234949" w:rsidRDefault="00234949" w:rsidP="00234949">
      <w:pPr>
        <w:spacing w:line="240" w:lineRule="auto"/>
        <w:jc w:val="both"/>
        <w:rPr>
          <w:rFonts w:cs="Arial"/>
          <w:iCs/>
          <w:szCs w:val="20"/>
        </w:rPr>
      </w:pPr>
      <w:r w:rsidRPr="00EC7E01">
        <w:rPr>
          <w:rFonts w:cs="Arial"/>
          <w:iCs/>
          <w:szCs w:val="20"/>
        </w:rPr>
        <w:t xml:space="preserve">3.2. Če izvajalec v dejavnostih urologije ter ortopedije ne doseže vsaj 90 % minimalnega števila prvih pregledov in ima hkrati čakajoče nad dopustno čakalno dobo v sistemu </w:t>
      </w:r>
      <w:proofErr w:type="spellStart"/>
      <w:r w:rsidRPr="00EC7E01">
        <w:rPr>
          <w:rFonts w:cs="Arial"/>
          <w:iCs/>
          <w:szCs w:val="20"/>
        </w:rPr>
        <w:t>eNaročanje</w:t>
      </w:r>
      <w:proofErr w:type="spellEnd"/>
      <w:r w:rsidRPr="00EC7E01">
        <w:rPr>
          <w:rFonts w:cs="Arial"/>
          <w:iCs/>
          <w:szCs w:val="20"/>
        </w:rPr>
        <w:t xml:space="preserve"> na dan 31. 12., se mu pri končnem letnem obračunu prizna do 10 % presežene realizacije točk nad planom iz pogodbe. Podatek o številu čakajočih nad dopustno čakalno dobo po posameznih dejavnostih za posameznega izvajalca do 15. 1. pripravi NIJZ.«.</w:t>
      </w:r>
    </w:p>
    <w:p w14:paraId="16EC3B77" w14:textId="77777777" w:rsidR="00234949" w:rsidRPr="00EC7E01" w:rsidRDefault="00234949" w:rsidP="00234949">
      <w:pPr>
        <w:spacing w:line="240" w:lineRule="auto"/>
        <w:jc w:val="both"/>
        <w:rPr>
          <w:rFonts w:cs="Arial"/>
          <w:iCs/>
          <w:szCs w:val="20"/>
        </w:rPr>
      </w:pPr>
    </w:p>
    <w:p w14:paraId="6B97BA38" w14:textId="5AAA4602" w:rsidR="00114511" w:rsidRPr="00FE455B" w:rsidRDefault="00234949" w:rsidP="00FE455B">
      <w:pPr>
        <w:autoSpaceDE w:val="0"/>
        <w:autoSpaceDN w:val="0"/>
        <w:adjustRightInd w:val="0"/>
        <w:spacing w:line="0" w:lineRule="atLeast"/>
        <w:jc w:val="both"/>
        <w:rPr>
          <w:rFonts w:eastAsia="Arial Narrow" w:cs="Arial"/>
          <w:szCs w:val="20"/>
        </w:rPr>
      </w:pPr>
      <w:r w:rsidRPr="005E4BEA">
        <w:rPr>
          <w:rFonts w:cs="Arial"/>
          <w:iCs/>
          <w:szCs w:val="20"/>
        </w:rPr>
        <w:t>Uveljavitev s 1.1.2023</w:t>
      </w:r>
      <w:bookmarkEnd w:id="14"/>
      <w:r w:rsidR="00FE455B">
        <w:rPr>
          <w:rFonts w:eastAsia="Arial Narrow" w:cs="Arial"/>
          <w:szCs w:val="20"/>
        </w:rPr>
        <w:t>.</w:t>
      </w:r>
    </w:p>
    <w:p w14:paraId="43880A34" w14:textId="35DFCA86" w:rsidR="003D377B" w:rsidRPr="005E4BEA" w:rsidRDefault="003D377B"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w:t>
      </w:r>
    </w:p>
    <w:p w14:paraId="7FED8DDA" w14:textId="5767DC9B" w:rsidR="003D377B" w:rsidRPr="005E4BEA" w:rsidRDefault="003D377B" w:rsidP="00FE461F">
      <w:pPr>
        <w:spacing w:line="240" w:lineRule="auto"/>
        <w:jc w:val="both"/>
        <w:rPr>
          <w:rFonts w:cs="Arial"/>
          <w:i/>
          <w:iCs/>
          <w:color w:val="808080" w:themeColor="background1" w:themeShade="80"/>
          <w:szCs w:val="20"/>
        </w:rPr>
      </w:pPr>
    </w:p>
    <w:p w14:paraId="47024AFC" w14:textId="1A04837A" w:rsidR="00FE461F" w:rsidRPr="005E4BEA" w:rsidRDefault="003D377B" w:rsidP="00FE461F">
      <w:pPr>
        <w:spacing w:line="240" w:lineRule="auto"/>
        <w:jc w:val="both"/>
        <w:rPr>
          <w:rFonts w:cs="Arial"/>
          <w:b/>
          <w:bCs/>
          <w:szCs w:val="20"/>
        </w:rPr>
      </w:pPr>
      <w:r w:rsidRPr="005E4BEA">
        <w:rPr>
          <w:rFonts w:eastAsia="Arial Narrow" w:cs="Arial"/>
          <w:b/>
          <w:szCs w:val="20"/>
        </w:rPr>
        <w:t xml:space="preserve">Združenje zdravstvenih zavodov Slovenije </w:t>
      </w:r>
      <w:r w:rsidRPr="005E4BEA">
        <w:rPr>
          <w:rFonts w:eastAsia="Arial Narrow" w:cs="Arial"/>
          <w:bCs/>
          <w:szCs w:val="20"/>
        </w:rPr>
        <w:t>predlaga, da se v</w:t>
      </w:r>
      <w:r w:rsidRPr="005E4BEA">
        <w:rPr>
          <w:rFonts w:cs="Arial"/>
          <w:bCs/>
          <w:szCs w:val="20"/>
          <w:lang w:eastAsia="sl-SI"/>
        </w:rPr>
        <w:t xml:space="preserve"> </w:t>
      </w:r>
      <w:r w:rsidR="00FE461F" w:rsidRPr="005E4BEA">
        <w:rPr>
          <w:rFonts w:cs="Arial"/>
          <w:bCs/>
          <w:szCs w:val="20"/>
        </w:rPr>
        <w:t>3. členu spremeni 12. točka in se glasi: (spremembe in dopolnitve so podčrtane)</w:t>
      </w:r>
    </w:p>
    <w:p w14:paraId="3E038F0C" w14:textId="77777777" w:rsidR="00FE461F" w:rsidRPr="005E4BEA" w:rsidRDefault="00FE461F" w:rsidP="00FE461F">
      <w:pPr>
        <w:spacing w:line="240" w:lineRule="auto"/>
        <w:jc w:val="both"/>
        <w:rPr>
          <w:rFonts w:cs="Arial"/>
          <w:iCs/>
          <w:szCs w:val="20"/>
        </w:rPr>
      </w:pPr>
      <w:r w:rsidRPr="005E4BEA">
        <w:rPr>
          <w:rFonts w:cs="Arial"/>
          <w:iCs/>
          <w:szCs w:val="20"/>
        </w:rPr>
        <w:t>12.</w:t>
      </w:r>
      <w:r w:rsidRPr="005E4BEA">
        <w:rPr>
          <w:rFonts w:cs="Arial"/>
          <w:iCs/>
          <w:szCs w:val="20"/>
        </w:rPr>
        <w:tab/>
        <w:t>Dejavnost Nacionalnega inštituta za javno zdravje (v nadaljnjem besedilu: NIJZ) (246 820, 346 025, 346 026, 705 822). Program se bo načrtoval v skladu s standardi iz Dogovora ter obsega:</w:t>
      </w:r>
    </w:p>
    <w:p w14:paraId="29938F9C" w14:textId="77777777" w:rsidR="00FE461F" w:rsidRPr="005E4BEA" w:rsidRDefault="00FE461F" w:rsidP="00FE461F">
      <w:pPr>
        <w:spacing w:line="240" w:lineRule="auto"/>
        <w:jc w:val="both"/>
        <w:rPr>
          <w:rFonts w:cs="Arial"/>
          <w:iCs/>
          <w:szCs w:val="20"/>
        </w:rPr>
      </w:pPr>
      <w:r w:rsidRPr="005E4BEA">
        <w:rPr>
          <w:rFonts w:cs="Arial"/>
          <w:iCs/>
          <w:szCs w:val="20"/>
        </w:rPr>
        <w:t>12.1.</w:t>
      </w:r>
      <w:r w:rsidRPr="005E4BEA">
        <w:rPr>
          <w:rFonts w:cs="Arial"/>
          <w:iCs/>
          <w:szCs w:val="20"/>
        </w:rPr>
        <w:tab/>
        <w:t>Program izvajanja zdravstvenih storitev za ugotavljanje in obvladovanje nalezljivih bolezni.</w:t>
      </w:r>
    </w:p>
    <w:p w14:paraId="1CF91BC1" w14:textId="77777777" w:rsidR="00FE461F" w:rsidRPr="005E4BEA" w:rsidRDefault="00FE461F" w:rsidP="00FE461F">
      <w:pPr>
        <w:spacing w:line="240" w:lineRule="auto"/>
        <w:jc w:val="both"/>
        <w:rPr>
          <w:rFonts w:cs="Arial"/>
          <w:iCs/>
          <w:szCs w:val="20"/>
        </w:rPr>
      </w:pPr>
      <w:r w:rsidRPr="005E4BEA">
        <w:rPr>
          <w:rFonts w:cs="Arial"/>
          <w:iCs/>
          <w:szCs w:val="20"/>
        </w:rPr>
        <w:t>12.2.</w:t>
      </w:r>
      <w:r w:rsidRPr="005E4BEA">
        <w:rPr>
          <w:rFonts w:cs="Arial"/>
          <w:iCs/>
          <w:szCs w:val="20"/>
        </w:rPr>
        <w:tab/>
        <w:t>Zagotavljanje stalne pripravljenosti zdravnika specialista s področja epidemiologije (javno zdravje).</w:t>
      </w:r>
    </w:p>
    <w:p w14:paraId="1BAA8AEA" w14:textId="77777777" w:rsidR="00FE461F" w:rsidRPr="005E4BEA" w:rsidRDefault="00FE461F" w:rsidP="00FE461F">
      <w:pPr>
        <w:spacing w:line="240" w:lineRule="auto"/>
        <w:jc w:val="both"/>
        <w:rPr>
          <w:rFonts w:cs="Arial"/>
          <w:iCs/>
          <w:szCs w:val="20"/>
        </w:rPr>
      </w:pPr>
      <w:r w:rsidRPr="005E4BEA">
        <w:rPr>
          <w:rFonts w:cs="Arial"/>
          <w:iCs/>
          <w:szCs w:val="20"/>
        </w:rPr>
        <w:t>12.3.</w:t>
      </w:r>
      <w:r w:rsidRPr="005E4BEA">
        <w:rPr>
          <w:rFonts w:cs="Arial"/>
          <w:iCs/>
          <w:szCs w:val="20"/>
        </w:rPr>
        <w:tab/>
        <w:t>Nabava in distribucija cepiv v skladu s sprejetim letnim programom cepljenja in zaščite z zdravili ter zagotavljanje odgovornih oseb, ki na cepilnih mestih skrbijo za sprejem, shranjevanje, izdajo, transport zdravil ter pregled dokumentacije, ki omogoča sledljivost zdravil.</w:t>
      </w:r>
    </w:p>
    <w:p w14:paraId="789FF7A4" w14:textId="77777777" w:rsidR="00FE461F" w:rsidRPr="005E4BEA" w:rsidRDefault="00FE461F" w:rsidP="00FE461F">
      <w:pPr>
        <w:spacing w:line="240" w:lineRule="auto"/>
        <w:jc w:val="both"/>
        <w:rPr>
          <w:rFonts w:cs="Arial"/>
          <w:iCs/>
          <w:szCs w:val="20"/>
        </w:rPr>
      </w:pPr>
      <w:r w:rsidRPr="005E4BEA">
        <w:rPr>
          <w:rFonts w:cs="Arial"/>
          <w:iCs/>
          <w:szCs w:val="20"/>
        </w:rPr>
        <w:t>Distribucija cepiv vključuje:</w:t>
      </w:r>
    </w:p>
    <w:p w14:paraId="2BEC371B" w14:textId="77777777" w:rsidR="00FE461F" w:rsidRPr="005E4BEA" w:rsidRDefault="00FE461F" w:rsidP="00FE461F">
      <w:pPr>
        <w:spacing w:line="240" w:lineRule="auto"/>
        <w:jc w:val="both"/>
        <w:rPr>
          <w:rFonts w:cs="Arial"/>
          <w:iCs/>
          <w:szCs w:val="20"/>
        </w:rPr>
      </w:pPr>
      <w:r w:rsidRPr="005E4BEA">
        <w:rPr>
          <w:rFonts w:cs="Arial"/>
          <w:iCs/>
          <w:szCs w:val="20"/>
        </w:rPr>
        <w:t>–</w:t>
      </w:r>
      <w:r w:rsidRPr="005E4BEA">
        <w:rPr>
          <w:rFonts w:cs="Arial"/>
          <w:iCs/>
          <w:szCs w:val="20"/>
        </w:rPr>
        <w:tab/>
        <w:t>zagotovitev sistema sledenja serije;</w:t>
      </w:r>
    </w:p>
    <w:p w14:paraId="200AC946" w14:textId="77777777" w:rsidR="00FE461F" w:rsidRPr="005E4BEA" w:rsidRDefault="00FE461F" w:rsidP="00FE461F">
      <w:pPr>
        <w:spacing w:line="240" w:lineRule="auto"/>
        <w:jc w:val="both"/>
        <w:rPr>
          <w:rFonts w:cs="Arial"/>
          <w:iCs/>
          <w:szCs w:val="20"/>
        </w:rPr>
      </w:pPr>
      <w:r w:rsidRPr="005E4BEA">
        <w:rPr>
          <w:rFonts w:cs="Arial"/>
          <w:iCs/>
          <w:szCs w:val="20"/>
        </w:rPr>
        <w:t>–</w:t>
      </w:r>
      <w:r w:rsidRPr="005E4BEA">
        <w:rPr>
          <w:rFonts w:cs="Arial"/>
          <w:iCs/>
          <w:szCs w:val="20"/>
        </w:rPr>
        <w:tab/>
        <w:t>zagotovitev hitrega odpoklica serije;</w:t>
      </w:r>
    </w:p>
    <w:p w14:paraId="58D83A53" w14:textId="77777777" w:rsidR="00FE461F" w:rsidRPr="005E4BEA" w:rsidRDefault="00FE461F" w:rsidP="00FE461F">
      <w:pPr>
        <w:spacing w:line="240" w:lineRule="auto"/>
        <w:jc w:val="both"/>
        <w:rPr>
          <w:rFonts w:cs="Arial"/>
          <w:iCs/>
          <w:szCs w:val="20"/>
        </w:rPr>
      </w:pPr>
      <w:r w:rsidRPr="005E4BEA">
        <w:rPr>
          <w:rFonts w:cs="Arial"/>
          <w:iCs/>
          <w:szCs w:val="20"/>
        </w:rPr>
        <w:t>–</w:t>
      </w:r>
      <w:r w:rsidRPr="005E4BEA">
        <w:rPr>
          <w:rFonts w:cs="Arial"/>
          <w:iCs/>
          <w:szCs w:val="20"/>
        </w:rPr>
        <w:tab/>
        <w:t>zagotovitev stalnih evidenc o zalogah in razdeljenih cepivih;</w:t>
      </w:r>
    </w:p>
    <w:p w14:paraId="7A426F52" w14:textId="77777777" w:rsidR="00FE461F" w:rsidRPr="005E4BEA" w:rsidRDefault="00FE461F" w:rsidP="00FE461F">
      <w:pPr>
        <w:spacing w:line="240" w:lineRule="auto"/>
        <w:jc w:val="both"/>
        <w:rPr>
          <w:rFonts w:cs="Arial"/>
          <w:iCs/>
          <w:szCs w:val="20"/>
        </w:rPr>
      </w:pPr>
      <w:r w:rsidRPr="005E4BEA">
        <w:rPr>
          <w:rFonts w:cs="Arial"/>
          <w:iCs/>
          <w:szCs w:val="20"/>
        </w:rPr>
        <w:t>–</w:t>
      </w:r>
      <w:r w:rsidRPr="005E4BEA">
        <w:rPr>
          <w:rFonts w:cs="Arial"/>
          <w:iCs/>
          <w:szCs w:val="20"/>
        </w:rPr>
        <w:tab/>
        <w:t>vodenje podatkov o nepravilnem transportu in shranjevanju, uporabi in ostalih podatkov za varno uporabo cepiv.</w:t>
      </w:r>
    </w:p>
    <w:p w14:paraId="61B58F94" w14:textId="77777777" w:rsidR="00FE461F" w:rsidRPr="005E4BEA" w:rsidRDefault="00FE461F" w:rsidP="00FE461F">
      <w:pPr>
        <w:spacing w:line="240" w:lineRule="auto"/>
        <w:jc w:val="both"/>
        <w:rPr>
          <w:rFonts w:cs="Arial"/>
          <w:iCs/>
          <w:szCs w:val="20"/>
        </w:rPr>
      </w:pPr>
      <w:r w:rsidRPr="005E4BEA">
        <w:rPr>
          <w:rFonts w:cs="Arial"/>
          <w:iCs/>
          <w:szCs w:val="20"/>
        </w:rPr>
        <w:t>12.4.</w:t>
      </w:r>
      <w:r w:rsidRPr="005E4BEA">
        <w:rPr>
          <w:rFonts w:cs="Arial"/>
          <w:iCs/>
          <w:szCs w:val="20"/>
        </w:rPr>
        <w:tab/>
        <w:t>Naloge priprave, koordiniranja, vodenja in evalvacije programov vzgoje za zdravje za otroke in mladostnike, zobozdravstvene vzgoje, priprave na porod in starševstvo oz. šole za starše, zdravstvene vzgoje za odrasle in preventivnih programov, ki se izvajajo v okviru primarne zdravstvene dejavnosti.</w:t>
      </w:r>
    </w:p>
    <w:p w14:paraId="0D520519" w14:textId="77777777" w:rsidR="00FE461F" w:rsidRPr="005E4BEA" w:rsidRDefault="00FE461F" w:rsidP="00FE461F">
      <w:pPr>
        <w:spacing w:line="240" w:lineRule="auto"/>
        <w:jc w:val="both"/>
        <w:rPr>
          <w:rFonts w:cs="Arial"/>
          <w:iCs/>
          <w:szCs w:val="20"/>
        </w:rPr>
      </w:pPr>
      <w:r w:rsidRPr="005E4BEA">
        <w:rPr>
          <w:rFonts w:cs="Arial"/>
          <w:iCs/>
          <w:szCs w:val="20"/>
        </w:rPr>
        <w:t>12.5.</w:t>
      </w:r>
      <w:r w:rsidRPr="005E4BEA">
        <w:rPr>
          <w:rFonts w:cs="Arial"/>
          <w:iCs/>
          <w:szCs w:val="20"/>
        </w:rPr>
        <w:tab/>
        <w:t>Priprava programov promocije zdravja in preventive kroničnih nenalezljivih bolezni v zdravstveni dejavnosti ter koordiniranje, vodenje in spremljanje Nacionalnega programa primarne preventive srčno-žilnih bolezni in program SVIT.</w:t>
      </w:r>
    </w:p>
    <w:p w14:paraId="1E9A4BE1" w14:textId="77777777" w:rsidR="00FE461F" w:rsidRPr="005E4BEA" w:rsidRDefault="00FE461F" w:rsidP="00FE461F">
      <w:pPr>
        <w:spacing w:line="240" w:lineRule="auto"/>
        <w:jc w:val="both"/>
        <w:rPr>
          <w:rFonts w:cs="Arial"/>
          <w:iCs/>
          <w:szCs w:val="20"/>
        </w:rPr>
      </w:pPr>
      <w:r w:rsidRPr="005E4BEA">
        <w:rPr>
          <w:rFonts w:cs="Arial"/>
          <w:iCs/>
          <w:szCs w:val="20"/>
        </w:rPr>
        <w:t>12.6.</w:t>
      </w:r>
      <w:r w:rsidRPr="005E4BEA">
        <w:rPr>
          <w:rFonts w:cs="Arial"/>
          <w:iCs/>
          <w:szCs w:val="20"/>
        </w:rPr>
        <w:tab/>
        <w:t>Koordinacija in upravljanje implementacije centrov za duševno zdravje.</w:t>
      </w:r>
    </w:p>
    <w:p w14:paraId="205DA845" w14:textId="77777777" w:rsidR="00FE461F" w:rsidRPr="005E4BEA" w:rsidRDefault="00FE461F" w:rsidP="00FE461F">
      <w:pPr>
        <w:spacing w:line="240" w:lineRule="auto"/>
        <w:jc w:val="both"/>
        <w:rPr>
          <w:rFonts w:cs="Arial"/>
          <w:iCs/>
          <w:szCs w:val="20"/>
        </w:rPr>
      </w:pPr>
      <w:r w:rsidRPr="005E4BEA">
        <w:rPr>
          <w:rFonts w:cs="Arial"/>
          <w:iCs/>
          <w:szCs w:val="20"/>
        </w:rPr>
        <w:t>12.7.</w:t>
      </w:r>
      <w:r w:rsidRPr="005E4BEA">
        <w:rPr>
          <w:rFonts w:cs="Arial"/>
          <w:iCs/>
          <w:szCs w:val="20"/>
        </w:rPr>
        <w:tab/>
        <w:t xml:space="preserve">Izvajanje cepljenja odraslih proti gripi. </w:t>
      </w:r>
    </w:p>
    <w:p w14:paraId="440D1504" w14:textId="77777777" w:rsidR="00FE461F" w:rsidRPr="005E4BEA" w:rsidRDefault="00FE461F" w:rsidP="00FE461F">
      <w:pPr>
        <w:spacing w:line="240" w:lineRule="auto"/>
        <w:jc w:val="both"/>
        <w:rPr>
          <w:rFonts w:cs="Arial"/>
          <w:iCs/>
          <w:szCs w:val="20"/>
          <w:u w:val="single"/>
        </w:rPr>
      </w:pPr>
      <w:r w:rsidRPr="005E4BEA">
        <w:rPr>
          <w:rFonts w:cs="Arial"/>
          <w:iCs/>
          <w:szCs w:val="20"/>
          <w:u w:val="single"/>
        </w:rPr>
        <w:t>12.8.</w:t>
      </w:r>
      <w:r w:rsidRPr="005E4BEA">
        <w:rPr>
          <w:rFonts w:cs="Arial"/>
          <w:iCs/>
          <w:szCs w:val="20"/>
          <w:u w:val="single"/>
        </w:rPr>
        <w:tab/>
        <w:t xml:space="preserve">Naloge priprave, koordiniranja, vodenja in evalvacije Programa preventivnega zdravstvenega varstva za otroke in mladostnike – Program ZDAJ (Zdravje danes za jutri) </w:t>
      </w:r>
    </w:p>
    <w:p w14:paraId="44EC0BE6" w14:textId="77777777" w:rsidR="00FE461F" w:rsidRPr="005E4BEA" w:rsidRDefault="00FE461F" w:rsidP="00FE461F">
      <w:pPr>
        <w:spacing w:line="240" w:lineRule="auto"/>
        <w:jc w:val="both"/>
        <w:rPr>
          <w:rFonts w:cs="Arial"/>
          <w:iCs/>
          <w:szCs w:val="20"/>
          <w:u w:val="single"/>
        </w:rPr>
      </w:pPr>
      <w:r w:rsidRPr="005E4BEA">
        <w:rPr>
          <w:rFonts w:cs="Arial"/>
          <w:iCs/>
          <w:szCs w:val="20"/>
          <w:u w:val="single"/>
        </w:rPr>
        <w:t>12.9.</w:t>
      </w:r>
      <w:r w:rsidRPr="005E4BEA">
        <w:rPr>
          <w:rFonts w:cs="Arial"/>
          <w:iCs/>
          <w:szCs w:val="20"/>
          <w:u w:val="single"/>
        </w:rPr>
        <w:tab/>
        <w:t xml:space="preserve">Naloge priprave, koordiniranja, vodenja in evalvacije programa Prvih 1000 dni </w:t>
      </w:r>
    </w:p>
    <w:p w14:paraId="2E916167" w14:textId="77777777" w:rsidR="00FE461F" w:rsidRPr="005E4BEA" w:rsidRDefault="00FE461F" w:rsidP="00FE461F">
      <w:pPr>
        <w:spacing w:line="240" w:lineRule="auto"/>
        <w:jc w:val="both"/>
        <w:rPr>
          <w:rFonts w:cs="Arial"/>
          <w:iCs/>
          <w:szCs w:val="20"/>
          <w:u w:val="single"/>
        </w:rPr>
      </w:pPr>
      <w:r w:rsidRPr="005E4BEA">
        <w:rPr>
          <w:rFonts w:cs="Arial"/>
          <w:iCs/>
          <w:szCs w:val="20"/>
          <w:u w:val="single"/>
        </w:rPr>
        <w:t>12.10.</w:t>
      </w:r>
      <w:r w:rsidRPr="005E4BEA">
        <w:rPr>
          <w:rFonts w:cs="Arial"/>
          <w:iCs/>
          <w:szCs w:val="20"/>
          <w:u w:val="single"/>
        </w:rPr>
        <w:tab/>
        <w:t>Naloge priprave, koordiniranja, vodenja in evalvacije programa preventivnega patronažnega varstva</w:t>
      </w:r>
    </w:p>
    <w:p w14:paraId="1A528702" w14:textId="77777777" w:rsidR="00FE461F" w:rsidRPr="005E4BEA" w:rsidRDefault="00FE461F" w:rsidP="00FE461F">
      <w:pPr>
        <w:spacing w:line="240" w:lineRule="auto"/>
        <w:jc w:val="both"/>
        <w:rPr>
          <w:rFonts w:cs="Arial"/>
          <w:iCs/>
          <w:szCs w:val="20"/>
          <w:u w:val="single"/>
        </w:rPr>
      </w:pPr>
    </w:p>
    <w:p w14:paraId="6B12225A"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31BCD39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 spremembi 12.4 točke 3. člena Splošnega dogovora: NIJZ od svoje ustanovitve, 1.1.2014, usklajeno izvaja storitve na nacionalni in regijski ravni. Delo območnih enot NIJZ vključuje izvajanje storitev priprave, koordiniranja, vodenja in evalvacije programov vzgoje za zdravje za otroke in mladostnike, zobozdravstvene vzgoje, priprave na porod in starševstvo oz. šole za starše, zdravstvene vzgoje za odrasle in preventivnih programov, ki se izvajajo na primarni ravni zdravstvenega varstva. Z integracijo programov zdravstvene vzgoje in preventive dosegamo izboljšanje obravnav pacientov. Sprememba nima finančnih posledic.</w:t>
      </w:r>
    </w:p>
    <w:p w14:paraId="340E8CFE" w14:textId="3FAB02D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 spremembi 12.8 točke 3. člena, 12.9 točke 3. člena, 12.10 točke 3. člena Splošnega dogovora: Utemeljitve so podane pod spremembami 6. odstavka 24. člena Splošnega dogovora za pogodbeno leto 2021 (VI. Planska vrednost programov zdravstvenih dejavnosti).</w:t>
      </w:r>
    </w:p>
    <w:p w14:paraId="27609B5B" w14:textId="77777777" w:rsidR="003D377B" w:rsidRPr="005E4BEA" w:rsidRDefault="003D377B" w:rsidP="00FE461F">
      <w:pPr>
        <w:spacing w:line="240" w:lineRule="auto"/>
        <w:jc w:val="both"/>
        <w:rPr>
          <w:rFonts w:cs="Arial"/>
          <w:i/>
          <w:iCs/>
          <w:color w:val="808080" w:themeColor="background1" w:themeShade="80"/>
          <w:szCs w:val="20"/>
        </w:rPr>
      </w:pPr>
    </w:p>
    <w:p w14:paraId="4034B725" w14:textId="77777777" w:rsidR="003D377B" w:rsidRPr="005E4BEA" w:rsidRDefault="003D377B" w:rsidP="003D377B">
      <w:pPr>
        <w:spacing w:line="240" w:lineRule="auto"/>
        <w:jc w:val="both"/>
        <w:rPr>
          <w:rFonts w:cs="Arial"/>
          <w:i/>
          <w:iCs/>
          <w:color w:val="808080" w:themeColor="background1" w:themeShade="80"/>
          <w:szCs w:val="20"/>
        </w:rPr>
      </w:pPr>
    </w:p>
    <w:p w14:paraId="595916E9" w14:textId="77777777" w:rsidR="00F40D7B" w:rsidRPr="005E4BEA" w:rsidRDefault="00F40D7B" w:rsidP="00F40D7B">
      <w:pPr>
        <w:spacing w:line="240" w:lineRule="auto"/>
        <w:jc w:val="both"/>
        <w:rPr>
          <w:rFonts w:eastAsia="Arial Narrow" w:cs="Arial"/>
          <w:bCs/>
          <w:szCs w:val="20"/>
        </w:rPr>
      </w:pPr>
      <w:r w:rsidRPr="005E4BEA">
        <w:rPr>
          <w:rFonts w:eastAsia="Arial Narrow" w:cs="Arial"/>
          <w:bCs/>
          <w:szCs w:val="20"/>
        </w:rPr>
        <w:t>da se v</w:t>
      </w:r>
      <w:r w:rsidRPr="005E4BEA">
        <w:rPr>
          <w:rFonts w:cs="Arial"/>
          <w:bCs/>
          <w:szCs w:val="20"/>
          <w:lang w:eastAsia="sl-SI"/>
        </w:rPr>
        <w:t xml:space="preserve"> </w:t>
      </w:r>
      <w:r w:rsidRPr="005E4BEA">
        <w:rPr>
          <w:rFonts w:cs="Arial"/>
          <w:bCs/>
          <w:szCs w:val="20"/>
        </w:rPr>
        <w:t xml:space="preserve">3. členu </w:t>
      </w:r>
      <w:r w:rsidRPr="005E4BEA">
        <w:rPr>
          <w:rFonts w:eastAsiaTheme="minorHAnsi" w:cs="Arial"/>
          <w:bCs/>
          <w:szCs w:val="20"/>
        </w:rPr>
        <w:t xml:space="preserve">za </w:t>
      </w:r>
      <w:r w:rsidRPr="005E4BEA">
        <w:rPr>
          <w:rFonts w:eastAsia="Arial Narrow" w:cs="Arial"/>
          <w:bCs/>
          <w:szCs w:val="20"/>
        </w:rPr>
        <w:t>točko 12.7 doda nova 12.8 točka, ki se glasi:</w:t>
      </w:r>
    </w:p>
    <w:p w14:paraId="49D0D54A" w14:textId="77777777" w:rsidR="00F40D7B" w:rsidRPr="005E4BEA" w:rsidRDefault="00F40D7B" w:rsidP="00F40D7B">
      <w:pPr>
        <w:spacing w:line="240" w:lineRule="auto"/>
        <w:jc w:val="both"/>
        <w:rPr>
          <w:rFonts w:eastAsiaTheme="minorHAnsi" w:cs="Arial"/>
          <w:b/>
          <w:bCs/>
          <w:szCs w:val="20"/>
        </w:rPr>
      </w:pPr>
    </w:p>
    <w:p w14:paraId="6B936041" w14:textId="77777777" w:rsidR="00F40D7B" w:rsidRPr="005E4BEA" w:rsidRDefault="00F40D7B" w:rsidP="00F40D7B">
      <w:pPr>
        <w:spacing w:line="240" w:lineRule="auto"/>
        <w:jc w:val="both"/>
        <w:rPr>
          <w:rFonts w:eastAsiaTheme="minorHAnsi" w:cs="Arial"/>
          <w:iCs/>
          <w:szCs w:val="20"/>
        </w:rPr>
      </w:pPr>
      <w:r w:rsidRPr="005E4BEA">
        <w:rPr>
          <w:rFonts w:eastAsiaTheme="minorHAnsi" w:cs="Arial"/>
          <w:iCs/>
          <w:szCs w:val="20"/>
        </w:rPr>
        <w:t>» 12.8.</w:t>
      </w:r>
      <w:r w:rsidRPr="005E4BEA">
        <w:rPr>
          <w:rFonts w:eastAsiaTheme="minorHAnsi" w:cs="Arial"/>
          <w:iCs/>
          <w:szCs w:val="20"/>
        </w:rPr>
        <w:tab/>
        <w:t>Naloge priprave, koordiniranja, vodenja in evalvacije Programa preventivnega zdravstvenega varstva za otroke in mladostnike – Program ZDAJ (Zdravje danes za jutri)«</w:t>
      </w:r>
    </w:p>
    <w:p w14:paraId="0FE09ECB" w14:textId="77777777" w:rsidR="00F40D7B" w:rsidRPr="005E4BEA" w:rsidRDefault="00F40D7B" w:rsidP="00F40D7B">
      <w:pPr>
        <w:spacing w:line="240" w:lineRule="auto"/>
        <w:jc w:val="both"/>
        <w:rPr>
          <w:rFonts w:eastAsiaTheme="minorHAnsi" w:cs="Arial"/>
          <w:iCs/>
          <w:szCs w:val="20"/>
        </w:rPr>
      </w:pPr>
    </w:p>
    <w:p w14:paraId="37388AEB" w14:textId="77777777" w:rsidR="00F40D7B" w:rsidRPr="005E4BEA" w:rsidRDefault="00F40D7B" w:rsidP="00F40D7B">
      <w:pPr>
        <w:spacing w:line="240" w:lineRule="auto"/>
        <w:jc w:val="both"/>
        <w:rPr>
          <w:rFonts w:eastAsiaTheme="minorHAnsi" w:cs="Arial"/>
          <w:iCs/>
          <w:szCs w:val="20"/>
        </w:rPr>
      </w:pPr>
    </w:p>
    <w:p w14:paraId="0F36238E" w14:textId="77777777" w:rsidR="00F40D7B" w:rsidRPr="005E4BEA" w:rsidRDefault="00F40D7B" w:rsidP="00F40D7B">
      <w:pPr>
        <w:spacing w:line="240" w:lineRule="auto"/>
        <w:jc w:val="both"/>
        <w:rPr>
          <w:rFonts w:eastAsiaTheme="minorHAnsi" w:cs="Arial"/>
          <w:b/>
          <w:bCs/>
          <w:szCs w:val="20"/>
        </w:rPr>
      </w:pPr>
      <w:r w:rsidRPr="005E4BEA">
        <w:rPr>
          <w:rFonts w:eastAsiaTheme="minorHAnsi" w:cs="Arial"/>
          <w:b/>
          <w:bCs/>
          <w:szCs w:val="20"/>
        </w:rPr>
        <w:t xml:space="preserve">V Prilogi ZD ZAS se v 29. členu za osmi odstavek doda nov deveti odstavek, ki se glasi: </w:t>
      </w:r>
    </w:p>
    <w:p w14:paraId="2AFEAB52" w14:textId="77777777" w:rsidR="00F40D7B" w:rsidRPr="005E4BEA" w:rsidRDefault="00F40D7B" w:rsidP="00F40D7B">
      <w:pPr>
        <w:spacing w:line="240" w:lineRule="auto"/>
        <w:jc w:val="both"/>
        <w:rPr>
          <w:rFonts w:eastAsiaTheme="minorHAnsi" w:cs="Arial"/>
          <w:iCs/>
          <w:szCs w:val="20"/>
        </w:rPr>
      </w:pPr>
      <w:r w:rsidRPr="005E4BEA">
        <w:rPr>
          <w:rFonts w:eastAsiaTheme="minorHAnsi" w:cs="Arial"/>
          <w:iCs/>
          <w:szCs w:val="20"/>
        </w:rPr>
        <w:t xml:space="preserve">(9) Za izvajanje storitev priprave in razvoja, koordinacije, strokovne podpore pri implementaciji, vodenja spremljanja in </w:t>
      </w:r>
      <w:proofErr w:type="spellStart"/>
      <w:r w:rsidRPr="005E4BEA">
        <w:rPr>
          <w:rFonts w:eastAsiaTheme="minorHAnsi" w:cs="Arial"/>
          <w:iCs/>
          <w:szCs w:val="20"/>
        </w:rPr>
        <w:t>evalviranja</w:t>
      </w:r>
      <w:proofErr w:type="spellEnd"/>
      <w:r w:rsidRPr="005E4BEA">
        <w:rPr>
          <w:rFonts w:eastAsiaTheme="minorHAnsi" w:cs="Arial"/>
          <w:iCs/>
          <w:szCs w:val="20"/>
        </w:rPr>
        <w:t xml:space="preserve"> Programa preventivnega zdravstvenega varstva za otroke in mladostnike – Program ZDAJ, se zagotovijo sredstva za stroške kadra in materialne stroške NIJZ.</w:t>
      </w:r>
    </w:p>
    <w:p w14:paraId="06FF2D21" w14:textId="77777777" w:rsidR="00F40D7B" w:rsidRPr="005E4BEA" w:rsidRDefault="00F40D7B" w:rsidP="00F40D7B">
      <w:pPr>
        <w:spacing w:line="240" w:lineRule="auto"/>
        <w:jc w:val="both"/>
        <w:rPr>
          <w:rFonts w:eastAsiaTheme="minorHAnsi" w:cs="Arial"/>
          <w:iCs/>
          <w:szCs w:val="20"/>
        </w:rPr>
      </w:pPr>
    </w:p>
    <w:p w14:paraId="0672F148" w14:textId="77777777" w:rsidR="00F40D7B" w:rsidRPr="005E4BEA" w:rsidRDefault="00F40D7B" w:rsidP="00F40D7B">
      <w:pPr>
        <w:spacing w:line="240" w:lineRule="auto"/>
        <w:jc w:val="both"/>
        <w:rPr>
          <w:rFonts w:eastAsiaTheme="minorHAnsi" w:cs="Arial"/>
          <w:b/>
          <w:bCs/>
          <w:iCs/>
          <w:szCs w:val="20"/>
        </w:rPr>
      </w:pPr>
      <w:r w:rsidRPr="005E4BEA">
        <w:rPr>
          <w:rFonts w:eastAsiaTheme="minorHAnsi" w:cs="Arial"/>
          <w:b/>
          <w:bCs/>
          <w:iCs/>
          <w:szCs w:val="20"/>
        </w:rPr>
        <w:t>Star deveti odstavek postane nov deseti odstavek.</w:t>
      </w:r>
    </w:p>
    <w:p w14:paraId="4162CC0D" w14:textId="1CB1500F" w:rsidR="003D377B" w:rsidRPr="005E4BEA" w:rsidRDefault="00BA601D" w:rsidP="003D377B">
      <w:pPr>
        <w:autoSpaceDE w:val="0"/>
        <w:autoSpaceDN w:val="0"/>
        <w:adjustRightInd w:val="0"/>
        <w:spacing w:line="0" w:lineRule="atLeast"/>
        <w:jc w:val="both"/>
        <w:rPr>
          <w:rFonts w:eastAsia="Arial Narrow" w:cs="Arial"/>
          <w:szCs w:val="20"/>
        </w:rPr>
      </w:pPr>
      <w:r w:rsidRPr="005E4BEA">
        <w:rPr>
          <w:rFonts w:eastAsia="Arial Narrow" w:cs="Arial"/>
          <w:szCs w:val="20"/>
        </w:rPr>
        <w:t>obliki, in sicer:</w:t>
      </w:r>
    </w:p>
    <w:p w14:paraId="1EC28FB5" w14:textId="290FDF08" w:rsidR="00BA601D" w:rsidRPr="005E4BEA" w:rsidRDefault="00BA601D" w:rsidP="003D377B">
      <w:pPr>
        <w:autoSpaceDE w:val="0"/>
        <w:autoSpaceDN w:val="0"/>
        <w:adjustRightInd w:val="0"/>
        <w:spacing w:line="0" w:lineRule="atLeast"/>
        <w:jc w:val="both"/>
        <w:rPr>
          <w:rFonts w:eastAsia="Arial Narrow" w:cs="Arial"/>
          <w:szCs w:val="20"/>
        </w:rPr>
      </w:pPr>
    </w:p>
    <w:p w14:paraId="1A02851E" w14:textId="5FD6B44A" w:rsidR="00BA601D" w:rsidRPr="005E4BEA" w:rsidRDefault="00BA601D" w:rsidP="00BA601D">
      <w:pPr>
        <w:spacing w:line="240" w:lineRule="auto"/>
        <w:jc w:val="both"/>
        <w:rPr>
          <w:rFonts w:cs="Arial"/>
          <w:b/>
          <w:bCs/>
          <w:szCs w:val="20"/>
        </w:rPr>
      </w:pPr>
      <w:r w:rsidRPr="005E4BEA">
        <w:rPr>
          <w:rFonts w:cs="Arial"/>
          <w:b/>
          <w:bCs/>
          <w:szCs w:val="20"/>
        </w:rPr>
        <w:t xml:space="preserve">V Prilogi I se dopolni kalkulacija »346 025 E0787 Delavnica »zdravi odnosi« tako, da se med izvajalce delavnice doda </w:t>
      </w:r>
      <w:proofErr w:type="spellStart"/>
      <w:r w:rsidRPr="005E4BEA">
        <w:rPr>
          <w:rFonts w:cs="Arial"/>
          <w:b/>
          <w:bCs/>
          <w:szCs w:val="20"/>
        </w:rPr>
        <w:t>univ.dipl.psih</w:t>
      </w:r>
      <w:proofErr w:type="spellEnd"/>
      <w:r w:rsidRPr="005E4BEA">
        <w:rPr>
          <w:rFonts w:cs="Arial"/>
          <w:b/>
          <w:bCs/>
          <w:szCs w:val="20"/>
        </w:rPr>
        <w:t xml:space="preserve">. Delavnico lahko izvajajo univ. dipl. psih. / </w:t>
      </w:r>
      <w:proofErr w:type="spellStart"/>
      <w:r w:rsidRPr="005E4BEA">
        <w:rPr>
          <w:rFonts w:cs="Arial"/>
          <w:b/>
          <w:bCs/>
          <w:szCs w:val="20"/>
        </w:rPr>
        <w:t>dipl.med.sestra</w:t>
      </w:r>
      <w:proofErr w:type="spellEnd"/>
      <w:r w:rsidRPr="005E4BEA">
        <w:rPr>
          <w:rFonts w:cs="Arial"/>
          <w:b/>
          <w:bCs/>
          <w:szCs w:val="20"/>
        </w:rPr>
        <w:t xml:space="preserve"> / višja med. sestra: </w:t>
      </w:r>
    </w:p>
    <w:p w14:paraId="6DB98026" w14:textId="77777777" w:rsidR="00BA601D" w:rsidRPr="005E4BEA" w:rsidRDefault="00BA601D" w:rsidP="00BA601D">
      <w:pPr>
        <w:spacing w:line="240" w:lineRule="auto"/>
        <w:jc w:val="both"/>
        <w:rPr>
          <w:rFonts w:cs="Arial"/>
          <w:szCs w:val="20"/>
        </w:rPr>
      </w:pPr>
    </w:p>
    <w:p w14:paraId="0076311D" w14:textId="77777777" w:rsidR="00BA601D" w:rsidRPr="005E4BEA" w:rsidRDefault="00BA601D" w:rsidP="00BA601D">
      <w:pPr>
        <w:spacing w:line="240" w:lineRule="auto"/>
        <w:jc w:val="both"/>
        <w:rPr>
          <w:rFonts w:cs="Arial"/>
          <w:szCs w:val="20"/>
        </w:rPr>
      </w:pPr>
    </w:p>
    <w:p w14:paraId="5146CA06" w14:textId="77777777" w:rsidR="00BA601D" w:rsidRPr="005E4BEA" w:rsidRDefault="00BA601D" w:rsidP="00BA601D">
      <w:pPr>
        <w:pStyle w:val="Obrazloitev1"/>
        <w:spacing w:before="0" w:after="0"/>
        <w:jc w:val="both"/>
        <w:rPr>
          <w:rFonts w:ascii="Arial" w:eastAsia="Calibri" w:hAnsi="Arial" w:cs="Arial"/>
          <w:bCs/>
          <w:iCs/>
          <w:color w:val="7F7F7F"/>
          <w:sz w:val="20"/>
          <w:szCs w:val="20"/>
          <w:lang w:eastAsia="en-US"/>
        </w:rPr>
      </w:pPr>
      <w:r w:rsidRPr="005E4BEA">
        <w:rPr>
          <w:rFonts w:ascii="Arial" w:eastAsia="Calibri" w:hAnsi="Arial" w:cs="Arial"/>
          <w:bCs/>
          <w:iCs/>
          <w:color w:val="7F7F7F"/>
          <w:sz w:val="20"/>
          <w:szCs w:val="20"/>
          <w:lang w:eastAsia="en-US"/>
        </w:rPr>
        <w:t>Obrazložitev:</w:t>
      </w:r>
    </w:p>
    <w:p w14:paraId="23C133A1" w14:textId="77777777" w:rsidR="00BA601D" w:rsidRPr="005E4BEA" w:rsidRDefault="00BA601D" w:rsidP="00BA601D">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Sprememba je redakcijske narave. V predlogu Aneksa 1 SD 2021 so bili med izvajalci delavnice pravilno navedeni vsi trije strokovnjaki univ. dipl. psih. / </w:t>
      </w:r>
      <w:proofErr w:type="spellStart"/>
      <w:r w:rsidRPr="005E4BEA">
        <w:rPr>
          <w:rFonts w:cs="Arial"/>
          <w:i/>
          <w:iCs/>
          <w:color w:val="808080" w:themeColor="background1" w:themeShade="80"/>
          <w:szCs w:val="20"/>
        </w:rPr>
        <w:t>dipl.med.sestra</w:t>
      </w:r>
      <w:proofErr w:type="spellEnd"/>
      <w:r w:rsidRPr="005E4BEA">
        <w:rPr>
          <w:rFonts w:cs="Arial"/>
          <w:i/>
          <w:iCs/>
          <w:color w:val="808080" w:themeColor="background1" w:themeShade="80"/>
          <w:szCs w:val="20"/>
        </w:rPr>
        <w:t xml:space="preserve"> / višja med. sestra. Enako je opisano v šifrantih storitev 15.7a, 15.7b in 15.105. Pri prepisu predlogov v čistopis Aneksa 1 SD 2021 je izpadel </w:t>
      </w:r>
      <w:proofErr w:type="spellStart"/>
      <w:r w:rsidRPr="005E4BEA">
        <w:rPr>
          <w:rFonts w:cs="Arial"/>
          <w:i/>
          <w:iCs/>
          <w:color w:val="808080" w:themeColor="background1" w:themeShade="80"/>
          <w:szCs w:val="20"/>
        </w:rPr>
        <w:t>univ.dipl.psih</w:t>
      </w:r>
      <w:proofErr w:type="spellEnd"/>
      <w:r w:rsidRPr="005E4BEA">
        <w:rPr>
          <w:rFonts w:cs="Arial"/>
          <w:i/>
          <w:iCs/>
          <w:color w:val="808080" w:themeColor="background1" w:themeShade="80"/>
          <w:szCs w:val="20"/>
        </w:rPr>
        <w:t xml:space="preserve">. </w:t>
      </w:r>
    </w:p>
    <w:p w14:paraId="45E67890" w14:textId="77777777" w:rsidR="00BA601D" w:rsidRPr="005E4BEA" w:rsidRDefault="00BA601D" w:rsidP="00BA601D">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Sprememba nima finančnih posledic. </w:t>
      </w:r>
    </w:p>
    <w:p w14:paraId="35ABF452" w14:textId="77777777" w:rsidR="00BA601D" w:rsidRPr="005E4BEA" w:rsidRDefault="00BA601D" w:rsidP="00BA601D">
      <w:pPr>
        <w:spacing w:line="240" w:lineRule="auto"/>
        <w:jc w:val="both"/>
        <w:rPr>
          <w:rFonts w:cs="Arial"/>
          <w:i/>
          <w:iCs/>
          <w:color w:val="808080" w:themeColor="background1" w:themeShade="80"/>
          <w:szCs w:val="20"/>
        </w:rPr>
      </w:pPr>
    </w:p>
    <w:p w14:paraId="20C8B69F" w14:textId="77777777" w:rsidR="00BA601D" w:rsidRPr="005E4BEA" w:rsidRDefault="00BA601D" w:rsidP="00BA601D">
      <w:pPr>
        <w:spacing w:line="240" w:lineRule="auto"/>
        <w:jc w:val="both"/>
        <w:rPr>
          <w:rFonts w:cs="Arial"/>
          <w:b/>
          <w:bCs/>
          <w:szCs w:val="20"/>
        </w:rPr>
      </w:pPr>
    </w:p>
    <w:p w14:paraId="4F12BA84" w14:textId="0F7C4635" w:rsidR="00BA601D" w:rsidRPr="005E4BEA" w:rsidRDefault="00BA601D" w:rsidP="00BA601D">
      <w:pPr>
        <w:spacing w:line="240" w:lineRule="auto"/>
        <w:jc w:val="both"/>
        <w:rPr>
          <w:rFonts w:cs="Arial"/>
          <w:b/>
          <w:bCs/>
          <w:szCs w:val="20"/>
        </w:rPr>
      </w:pPr>
      <w:r w:rsidRPr="005E4BEA">
        <w:rPr>
          <w:rFonts w:cs="Arial"/>
          <w:b/>
          <w:bCs/>
          <w:szCs w:val="20"/>
        </w:rPr>
        <w:t xml:space="preserve">V Prilogi I se dopolni kalkulacija »346 025 E0788 Skupaj za odgovoren odnos do pitja alkohola - individualno svetovanje 1« tako, da se med izvajalce delavnice doda </w:t>
      </w:r>
      <w:proofErr w:type="spellStart"/>
      <w:r w:rsidRPr="005E4BEA">
        <w:rPr>
          <w:rFonts w:cs="Arial"/>
          <w:b/>
          <w:bCs/>
          <w:szCs w:val="20"/>
        </w:rPr>
        <w:t>univ.dipl.psih</w:t>
      </w:r>
      <w:proofErr w:type="spellEnd"/>
      <w:r w:rsidRPr="005E4BEA">
        <w:rPr>
          <w:rFonts w:cs="Arial"/>
          <w:b/>
          <w:bCs/>
          <w:szCs w:val="20"/>
        </w:rPr>
        <w:t xml:space="preserve">. Delavnico lahko izvajajo </w:t>
      </w:r>
      <w:proofErr w:type="spellStart"/>
      <w:r w:rsidRPr="005E4BEA">
        <w:rPr>
          <w:rFonts w:cs="Arial"/>
          <w:b/>
          <w:bCs/>
          <w:szCs w:val="20"/>
        </w:rPr>
        <w:t>dipl.med.sestra</w:t>
      </w:r>
      <w:proofErr w:type="spellEnd"/>
      <w:r w:rsidRPr="005E4BEA">
        <w:rPr>
          <w:rFonts w:cs="Arial"/>
          <w:b/>
          <w:bCs/>
          <w:szCs w:val="20"/>
        </w:rPr>
        <w:t xml:space="preserve"> / višja med. sestra / univ. dipl. psih. Poleg tega se v kalkulaciji spremeni naziv v Skupaj za odgovoren odnos do pitja alkohola - individualno svetovanje (temeljni del), ki se na ta način uskladi z nazivom storitve v šifrantih 15.7a, 15.7b in 15.105: </w:t>
      </w:r>
    </w:p>
    <w:p w14:paraId="1C8A421B" w14:textId="77777777" w:rsidR="00BA601D" w:rsidRPr="005E4BEA" w:rsidRDefault="00BA601D" w:rsidP="00BA601D">
      <w:pPr>
        <w:spacing w:line="240" w:lineRule="auto"/>
        <w:jc w:val="both"/>
        <w:rPr>
          <w:rFonts w:cs="Arial"/>
          <w:szCs w:val="20"/>
        </w:rPr>
      </w:pPr>
    </w:p>
    <w:p w14:paraId="7F16CBB7" w14:textId="77777777" w:rsidR="00BA601D" w:rsidRPr="005E4BEA" w:rsidRDefault="00BA601D" w:rsidP="00BA601D">
      <w:pPr>
        <w:spacing w:line="240" w:lineRule="auto"/>
        <w:jc w:val="both"/>
        <w:rPr>
          <w:rFonts w:cs="Arial"/>
          <w:szCs w:val="20"/>
        </w:rPr>
      </w:pPr>
    </w:p>
    <w:p w14:paraId="28921761" w14:textId="77777777" w:rsidR="00BA601D" w:rsidRPr="005E4BEA" w:rsidRDefault="00BA601D" w:rsidP="00BA601D">
      <w:pPr>
        <w:pStyle w:val="Obrazloitev1"/>
        <w:spacing w:before="0" w:after="0"/>
        <w:jc w:val="both"/>
        <w:rPr>
          <w:rFonts w:ascii="Arial" w:eastAsia="Calibri" w:hAnsi="Arial" w:cs="Arial"/>
          <w:bCs/>
          <w:iCs/>
          <w:color w:val="7F7F7F"/>
          <w:sz w:val="20"/>
          <w:szCs w:val="20"/>
          <w:lang w:eastAsia="en-US"/>
        </w:rPr>
      </w:pPr>
      <w:r w:rsidRPr="005E4BEA">
        <w:rPr>
          <w:rFonts w:ascii="Arial" w:eastAsia="Calibri" w:hAnsi="Arial" w:cs="Arial"/>
          <w:bCs/>
          <w:iCs/>
          <w:color w:val="7F7F7F"/>
          <w:sz w:val="20"/>
          <w:szCs w:val="20"/>
          <w:lang w:eastAsia="en-US"/>
        </w:rPr>
        <w:t>Obrazložitev:</w:t>
      </w:r>
    </w:p>
    <w:p w14:paraId="0797AD4C" w14:textId="77777777" w:rsidR="00BA601D" w:rsidRPr="005E4BEA" w:rsidRDefault="00BA601D" w:rsidP="00BA601D">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Sprememba je redakcijske narave. V predlogu Aneksa 1 SD 2021 je izpadel psiholog kot izvajalec. Pravilno je, da so med izvajalci delavnice navedeni vsi trije strokovnjaki </w:t>
      </w:r>
      <w:proofErr w:type="spellStart"/>
      <w:r w:rsidRPr="005E4BEA">
        <w:rPr>
          <w:rFonts w:cs="Arial"/>
          <w:i/>
          <w:iCs/>
          <w:color w:val="808080" w:themeColor="background1" w:themeShade="80"/>
          <w:szCs w:val="20"/>
        </w:rPr>
        <w:t>dipl.med.sestra</w:t>
      </w:r>
      <w:proofErr w:type="spellEnd"/>
      <w:r w:rsidRPr="005E4BEA">
        <w:rPr>
          <w:rFonts w:cs="Arial"/>
          <w:i/>
          <w:iCs/>
          <w:color w:val="808080" w:themeColor="background1" w:themeShade="80"/>
          <w:szCs w:val="20"/>
        </w:rPr>
        <w:t xml:space="preserve"> / višja med. sestra / univ. dipl. psih. Enako je opisano v šifrantih storitev 15.7a, 15.7b in 15.105. Uskladiti je potrebno tudi naziv delavnice v Prilogi I in v šifrantih. </w:t>
      </w:r>
    </w:p>
    <w:p w14:paraId="60DFF3E8" w14:textId="77777777" w:rsidR="00BA601D" w:rsidRPr="005E4BEA" w:rsidRDefault="00BA601D" w:rsidP="00BA601D">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Sprememba nima finančnih posledic. </w:t>
      </w:r>
    </w:p>
    <w:p w14:paraId="0A9CE712" w14:textId="77777777" w:rsidR="00BA601D" w:rsidRPr="005E4BEA" w:rsidRDefault="00BA601D" w:rsidP="00BA601D">
      <w:pPr>
        <w:spacing w:line="240" w:lineRule="auto"/>
        <w:jc w:val="both"/>
        <w:rPr>
          <w:rFonts w:cs="Arial"/>
          <w:i/>
          <w:iCs/>
          <w:color w:val="808080" w:themeColor="background1" w:themeShade="80"/>
          <w:szCs w:val="20"/>
        </w:rPr>
      </w:pPr>
    </w:p>
    <w:p w14:paraId="40596492" w14:textId="77777777" w:rsidR="00BA601D" w:rsidRPr="005E4BEA" w:rsidRDefault="00BA601D" w:rsidP="00BA601D">
      <w:pPr>
        <w:spacing w:line="240" w:lineRule="auto"/>
        <w:jc w:val="both"/>
        <w:rPr>
          <w:rFonts w:cs="Arial"/>
          <w:b/>
          <w:bCs/>
          <w:szCs w:val="20"/>
        </w:rPr>
      </w:pPr>
    </w:p>
    <w:p w14:paraId="4074165F" w14:textId="77777777" w:rsidR="00BA601D" w:rsidRPr="005E4BEA" w:rsidRDefault="00BA601D" w:rsidP="00BA601D">
      <w:pPr>
        <w:spacing w:line="240" w:lineRule="auto"/>
        <w:jc w:val="both"/>
        <w:rPr>
          <w:rFonts w:cs="Arial"/>
          <w:b/>
          <w:bCs/>
          <w:szCs w:val="20"/>
        </w:rPr>
      </w:pPr>
      <w:r w:rsidRPr="005E4BEA">
        <w:rPr>
          <w:rFonts w:cs="Arial"/>
          <w:b/>
          <w:bCs/>
          <w:szCs w:val="20"/>
        </w:rPr>
        <w:t xml:space="preserve">V Prilogi I SD 2022 se dopolni kalkulacija »346 025 E0789 Skupaj za odgovoren odnos do pitja alkohola - individualno svetovanje 1« tako, da se med izvajalce delavnice doda </w:t>
      </w:r>
      <w:proofErr w:type="spellStart"/>
      <w:r w:rsidRPr="005E4BEA">
        <w:rPr>
          <w:rFonts w:cs="Arial"/>
          <w:b/>
          <w:bCs/>
          <w:szCs w:val="20"/>
        </w:rPr>
        <w:t>univ.dipl.psih</w:t>
      </w:r>
      <w:proofErr w:type="spellEnd"/>
      <w:r w:rsidRPr="005E4BEA">
        <w:rPr>
          <w:rFonts w:cs="Arial"/>
          <w:b/>
          <w:bCs/>
          <w:szCs w:val="20"/>
        </w:rPr>
        <w:t xml:space="preserve">. Delavnico lahko izvajajo </w:t>
      </w:r>
      <w:proofErr w:type="spellStart"/>
      <w:r w:rsidRPr="005E4BEA">
        <w:rPr>
          <w:rFonts w:cs="Arial"/>
          <w:b/>
          <w:bCs/>
          <w:szCs w:val="20"/>
        </w:rPr>
        <w:t>dipl.med.sestra</w:t>
      </w:r>
      <w:proofErr w:type="spellEnd"/>
      <w:r w:rsidRPr="005E4BEA">
        <w:rPr>
          <w:rFonts w:cs="Arial"/>
          <w:b/>
          <w:bCs/>
          <w:szCs w:val="20"/>
        </w:rPr>
        <w:t xml:space="preserve"> / višja med. sestra / univ. dipl. psih. Poleg tega se v kalkulaciji spremeni naziv v Skupaj za odgovoren odnos do pitja alkohola - individualno svetovanje (vzdrževalni del), ki se na ta način uskladi z nazivom storitve v šifrantih 15.7a, 15.7b in 15.105: </w:t>
      </w:r>
    </w:p>
    <w:p w14:paraId="408B127A" w14:textId="77777777" w:rsidR="00BA601D" w:rsidRPr="005E4BEA" w:rsidRDefault="00BA601D" w:rsidP="00BA601D">
      <w:pPr>
        <w:spacing w:line="240" w:lineRule="auto"/>
        <w:jc w:val="both"/>
        <w:rPr>
          <w:rFonts w:cs="Arial"/>
          <w:szCs w:val="20"/>
        </w:rPr>
      </w:pPr>
    </w:p>
    <w:p w14:paraId="3250B59A" w14:textId="77777777" w:rsidR="00BA601D" w:rsidRPr="005E4BEA" w:rsidRDefault="00BA601D" w:rsidP="00BA601D">
      <w:pPr>
        <w:spacing w:line="240" w:lineRule="auto"/>
        <w:jc w:val="both"/>
        <w:rPr>
          <w:rFonts w:cs="Arial"/>
          <w:szCs w:val="20"/>
        </w:rPr>
      </w:pPr>
    </w:p>
    <w:p w14:paraId="5D53A245" w14:textId="77777777" w:rsidR="00BA601D" w:rsidRPr="005E4BEA" w:rsidRDefault="00BA601D" w:rsidP="00BA601D">
      <w:pPr>
        <w:pStyle w:val="Obrazloitev1"/>
        <w:spacing w:before="0" w:after="0"/>
        <w:jc w:val="both"/>
        <w:rPr>
          <w:rFonts w:ascii="Arial" w:eastAsia="Calibri" w:hAnsi="Arial" w:cs="Arial"/>
          <w:bCs/>
          <w:iCs/>
          <w:color w:val="7F7F7F"/>
          <w:sz w:val="20"/>
          <w:szCs w:val="20"/>
          <w:lang w:eastAsia="en-US"/>
        </w:rPr>
      </w:pPr>
      <w:r w:rsidRPr="005E4BEA">
        <w:rPr>
          <w:rFonts w:ascii="Arial" w:eastAsia="Calibri" w:hAnsi="Arial" w:cs="Arial"/>
          <w:bCs/>
          <w:iCs/>
          <w:color w:val="7F7F7F"/>
          <w:sz w:val="20"/>
          <w:szCs w:val="20"/>
          <w:lang w:eastAsia="en-US"/>
        </w:rPr>
        <w:t>Obrazložitev:</w:t>
      </w:r>
    </w:p>
    <w:p w14:paraId="6C851C49" w14:textId="77777777" w:rsidR="00BA601D" w:rsidRPr="005E4BEA" w:rsidRDefault="00BA601D" w:rsidP="00BA601D">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Sprememba je redakcijske narave. V predlogu Aneksa 1 SD 2021 je izpadel psiholog kot izvajalec. Pravilno je, da so med izvajalci delavnice navedeni vsi trije strokovnjaki </w:t>
      </w:r>
      <w:proofErr w:type="spellStart"/>
      <w:r w:rsidRPr="005E4BEA">
        <w:rPr>
          <w:rFonts w:cs="Arial"/>
          <w:i/>
          <w:iCs/>
          <w:color w:val="808080" w:themeColor="background1" w:themeShade="80"/>
          <w:szCs w:val="20"/>
        </w:rPr>
        <w:t>dipl.med.sestra</w:t>
      </w:r>
      <w:proofErr w:type="spellEnd"/>
      <w:r w:rsidRPr="005E4BEA">
        <w:rPr>
          <w:rFonts w:cs="Arial"/>
          <w:i/>
          <w:iCs/>
          <w:color w:val="808080" w:themeColor="background1" w:themeShade="80"/>
          <w:szCs w:val="20"/>
        </w:rPr>
        <w:t xml:space="preserve"> / višja med. sestra / univ. dipl. psih. Enako je opisano v šifrantih storitev 15.7a, 15.7b in 15.105. Uskladiti je potrebno tudi naziv delavnice v Prilogi I in v šifrantih. </w:t>
      </w:r>
    </w:p>
    <w:p w14:paraId="499B19F3" w14:textId="77777777" w:rsidR="00BA601D" w:rsidRPr="005E4BEA" w:rsidRDefault="00BA601D" w:rsidP="00BA601D">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Sprememba nima finančnih posledic. </w:t>
      </w:r>
    </w:p>
    <w:p w14:paraId="60EC0C4C" w14:textId="77777777" w:rsidR="00BA601D" w:rsidRPr="005E4BEA" w:rsidRDefault="00BA601D" w:rsidP="003D377B">
      <w:pPr>
        <w:autoSpaceDE w:val="0"/>
        <w:autoSpaceDN w:val="0"/>
        <w:adjustRightInd w:val="0"/>
        <w:spacing w:line="0" w:lineRule="atLeast"/>
        <w:jc w:val="both"/>
        <w:rPr>
          <w:rFonts w:eastAsia="Arial Narrow" w:cs="Arial"/>
          <w:szCs w:val="20"/>
        </w:rPr>
      </w:pPr>
    </w:p>
    <w:p w14:paraId="063ADEC0" w14:textId="77777777" w:rsidR="003D377B" w:rsidRPr="005E4BEA" w:rsidRDefault="003D377B" w:rsidP="003D377B">
      <w:pPr>
        <w:spacing w:line="0" w:lineRule="atLeast"/>
        <w:jc w:val="both"/>
        <w:rPr>
          <w:rFonts w:eastAsia="Arial Narrow" w:cs="Arial"/>
          <w:szCs w:val="20"/>
          <w:lang w:eastAsia="sl-SI"/>
        </w:rPr>
      </w:pPr>
    </w:p>
    <w:p w14:paraId="2D43C225" w14:textId="1FB865C4" w:rsidR="00FE461F" w:rsidRPr="005E4BEA" w:rsidRDefault="003D377B" w:rsidP="00BA601D">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w:t>
      </w:r>
      <w:r w:rsidR="00BA601D" w:rsidRPr="005E4BEA">
        <w:rPr>
          <w:rFonts w:eastAsia="Arial Narrow" w:cs="Arial"/>
          <w:szCs w:val="20"/>
        </w:rPr>
        <w:t>:</w:t>
      </w:r>
    </w:p>
    <w:p w14:paraId="0024D72A" w14:textId="77777777" w:rsidR="00BA601D" w:rsidRPr="005E4BEA" w:rsidRDefault="00BA601D" w:rsidP="00BA601D">
      <w:pPr>
        <w:spacing w:line="0" w:lineRule="atLeast"/>
        <w:jc w:val="both"/>
        <w:rPr>
          <w:rFonts w:cs="Arial"/>
          <w:i/>
          <w:iCs/>
          <w:color w:val="808080" w:themeColor="background1" w:themeShade="80"/>
          <w:szCs w:val="20"/>
        </w:rPr>
      </w:pPr>
    </w:p>
    <w:p w14:paraId="0B4CA6F8" w14:textId="59B0811A" w:rsidR="00BA601D" w:rsidRPr="005E4BEA" w:rsidRDefault="00BA601D" w:rsidP="00BA601D">
      <w:pPr>
        <w:spacing w:line="240" w:lineRule="auto"/>
        <w:jc w:val="both"/>
        <w:rPr>
          <w:rFonts w:cs="Arial"/>
          <w:szCs w:val="20"/>
        </w:rPr>
      </w:pPr>
      <w:bookmarkStart w:id="15" w:name="_Hlk102380698"/>
      <w:r w:rsidRPr="005E4BEA">
        <w:rPr>
          <w:rFonts w:cs="Arial"/>
          <w:szCs w:val="20"/>
        </w:rPr>
        <w:t xml:space="preserve">V Prilogi I SD 2022 dopolni kalkulacija »346 025 E0787 Delavnica »zdravi odnosi« tako, da se med izvajalce delavnice doda </w:t>
      </w:r>
      <w:proofErr w:type="spellStart"/>
      <w:r w:rsidRPr="005E4BEA">
        <w:rPr>
          <w:rFonts w:cs="Arial"/>
          <w:szCs w:val="20"/>
        </w:rPr>
        <w:t>univ.dipl.psih</w:t>
      </w:r>
      <w:proofErr w:type="spellEnd"/>
      <w:r w:rsidRPr="005E4BEA">
        <w:rPr>
          <w:rFonts w:cs="Arial"/>
          <w:szCs w:val="20"/>
        </w:rPr>
        <w:t xml:space="preserve">. Delavnico lahko izvajajo univ. dipl. psih. / </w:t>
      </w:r>
      <w:proofErr w:type="spellStart"/>
      <w:r w:rsidRPr="005E4BEA">
        <w:rPr>
          <w:rFonts w:cs="Arial"/>
          <w:szCs w:val="20"/>
        </w:rPr>
        <w:t>dipl.med.sestra</w:t>
      </w:r>
      <w:proofErr w:type="spellEnd"/>
      <w:r w:rsidRPr="005E4BEA">
        <w:rPr>
          <w:rFonts w:cs="Arial"/>
          <w:szCs w:val="20"/>
        </w:rPr>
        <w:t xml:space="preserve"> / višja med. sestra: </w:t>
      </w:r>
    </w:p>
    <w:p w14:paraId="65B0C560" w14:textId="77777777" w:rsidR="00BA601D" w:rsidRPr="005E4BEA" w:rsidRDefault="00BA601D" w:rsidP="00BA601D">
      <w:pPr>
        <w:spacing w:line="240" w:lineRule="auto"/>
        <w:jc w:val="both"/>
        <w:rPr>
          <w:rFonts w:cs="Arial"/>
          <w:i/>
          <w:iCs/>
          <w:color w:val="808080" w:themeColor="background1" w:themeShade="80"/>
          <w:szCs w:val="20"/>
        </w:rPr>
      </w:pPr>
    </w:p>
    <w:p w14:paraId="4990D282" w14:textId="77777777" w:rsidR="00BA601D" w:rsidRPr="005E4BEA" w:rsidRDefault="00BA601D" w:rsidP="00BA601D">
      <w:pPr>
        <w:spacing w:line="240" w:lineRule="auto"/>
        <w:jc w:val="both"/>
        <w:rPr>
          <w:rFonts w:cs="Arial"/>
          <w:szCs w:val="20"/>
        </w:rPr>
      </w:pPr>
    </w:p>
    <w:p w14:paraId="53E8AEE0" w14:textId="5A1CD354" w:rsidR="00BA601D" w:rsidRPr="005E4BEA" w:rsidRDefault="00BA601D" w:rsidP="00BA601D">
      <w:pPr>
        <w:spacing w:line="240" w:lineRule="auto"/>
        <w:jc w:val="both"/>
        <w:rPr>
          <w:rFonts w:cs="Arial"/>
          <w:szCs w:val="20"/>
        </w:rPr>
      </w:pPr>
      <w:r w:rsidRPr="005E4BEA">
        <w:rPr>
          <w:rFonts w:cs="Arial"/>
          <w:szCs w:val="20"/>
        </w:rPr>
        <w:t xml:space="preserve">V Prilogi I SD 2022 dopolni kalkulacija »346 025 E0788 Skupaj za odgovoren odnos do pitja alkohola - individualno svetovanje 1« tako, da se med izvajalce delavnice doda </w:t>
      </w:r>
      <w:proofErr w:type="spellStart"/>
      <w:r w:rsidRPr="005E4BEA">
        <w:rPr>
          <w:rFonts w:cs="Arial"/>
          <w:szCs w:val="20"/>
        </w:rPr>
        <w:t>univ.dipl.psih</w:t>
      </w:r>
      <w:proofErr w:type="spellEnd"/>
      <w:r w:rsidRPr="005E4BEA">
        <w:rPr>
          <w:rFonts w:cs="Arial"/>
          <w:szCs w:val="20"/>
        </w:rPr>
        <w:t xml:space="preserve">. Delavnico lahko izvajajo </w:t>
      </w:r>
      <w:proofErr w:type="spellStart"/>
      <w:r w:rsidRPr="005E4BEA">
        <w:rPr>
          <w:rFonts w:cs="Arial"/>
          <w:szCs w:val="20"/>
        </w:rPr>
        <w:t>dipl.med.sestra</w:t>
      </w:r>
      <w:proofErr w:type="spellEnd"/>
      <w:r w:rsidRPr="005E4BEA">
        <w:rPr>
          <w:rFonts w:cs="Arial"/>
          <w:szCs w:val="20"/>
        </w:rPr>
        <w:t xml:space="preserve"> / višja med. sestra / univ. dipl. psih. Poleg tega se v kalkulaciji spremeni naziv v Skupaj za odgovoren odnos do pitja alkohola - individualno svetovanje (temeljni del), ki se na ta način uskladi z nazivom storitve v šifrantih 15.7a, 15.7b in 15.105: </w:t>
      </w:r>
    </w:p>
    <w:p w14:paraId="2089A590" w14:textId="77777777" w:rsidR="00BA601D" w:rsidRPr="005E4BEA" w:rsidRDefault="00BA601D" w:rsidP="00BA601D">
      <w:pPr>
        <w:spacing w:line="240" w:lineRule="auto"/>
        <w:jc w:val="both"/>
        <w:rPr>
          <w:rFonts w:cs="Arial"/>
          <w:szCs w:val="20"/>
        </w:rPr>
      </w:pPr>
    </w:p>
    <w:p w14:paraId="6A078D75" w14:textId="3806F9E6" w:rsidR="00BA601D" w:rsidRPr="005E4BEA" w:rsidRDefault="00BA601D" w:rsidP="00BA601D">
      <w:pPr>
        <w:spacing w:line="240" w:lineRule="auto"/>
        <w:jc w:val="both"/>
        <w:rPr>
          <w:rFonts w:cs="Arial"/>
          <w:szCs w:val="20"/>
        </w:rPr>
      </w:pPr>
      <w:r w:rsidRPr="005E4BEA">
        <w:rPr>
          <w:rFonts w:cs="Arial"/>
          <w:szCs w:val="20"/>
        </w:rPr>
        <w:t xml:space="preserve">V Prilogi I SD 2022 dopolni kalkulacija »346 025 E0789 Skupaj za odgovoren odnos do pitja alkohola - individualno svetovanje 1« tako, da se med izvajalce delavnice doda </w:t>
      </w:r>
      <w:proofErr w:type="spellStart"/>
      <w:r w:rsidRPr="005E4BEA">
        <w:rPr>
          <w:rFonts w:cs="Arial"/>
          <w:szCs w:val="20"/>
        </w:rPr>
        <w:t>univ.dipl.psih</w:t>
      </w:r>
      <w:proofErr w:type="spellEnd"/>
      <w:r w:rsidRPr="005E4BEA">
        <w:rPr>
          <w:rFonts w:cs="Arial"/>
          <w:szCs w:val="20"/>
        </w:rPr>
        <w:t xml:space="preserve">. Delavnico lahko izvajajo </w:t>
      </w:r>
      <w:proofErr w:type="spellStart"/>
      <w:r w:rsidRPr="005E4BEA">
        <w:rPr>
          <w:rFonts w:cs="Arial"/>
          <w:szCs w:val="20"/>
        </w:rPr>
        <w:t>dipl.med.sestra</w:t>
      </w:r>
      <w:proofErr w:type="spellEnd"/>
      <w:r w:rsidRPr="005E4BEA">
        <w:rPr>
          <w:rFonts w:cs="Arial"/>
          <w:szCs w:val="20"/>
        </w:rPr>
        <w:t xml:space="preserve"> / višja med. sestra / univ. dipl. psih. Poleg tega se v kalkulaciji spremeni naziv v Skupaj za odgovoren odnos do pitja alkohola - individualno svetovanje (vzdrževalni del), ki se na ta način uskladi z nazivom storitve v šifrantih 15.7a, 15.7b in 15.105: </w:t>
      </w:r>
    </w:p>
    <w:bookmarkEnd w:id="15"/>
    <w:p w14:paraId="5FAFE6EC" w14:textId="7A3AC592" w:rsidR="003D377B" w:rsidRPr="005E4BEA" w:rsidRDefault="003D377B" w:rsidP="00FE461F">
      <w:pPr>
        <w:spacing w:line="240" w:lineRule="auto"/>
        <w:jc w:val="both"/>
        <w:rPr>
          <w:rFonts w:cs="Arial"/>
          <w:i/>
          <w:iCs/>
          <w:color w:val="808080" w:themeColor="background1" w:themeShade="80"/>
          <w:szCs w:val="20"/>
        </w:rPr>
      </w:pPr>
    </w:p>
    <w:p w14:paraId="3BBA6A13" w14:textId="77777777" w:rsidR="003D377B" w:rsidRPr="005E4BEA" w:rsidRDefault="003D377B" w:rsidP="00FE461F">
      <w:pPr>
        <w:spacing w:line="240" w:lineRule="auto"/>
        <w:jc w:val="both"/>
        <w:rPr>
          <w:rFonts w:cs="Arial"/>
          <w:i/>
          <w:iCs/>
          <w:color w:val="808080" w:themeColor="background1" w:themeShade="80"/>
          <w:szCs w:val="20"/>
        </w:rPr>
      </w:pPr>
    </w:p>
    <w:p w14:paraId="79843470" w14:textId="08B4B2B2" w:rsidR="003D377B" w:rsidRPr="005E4BEA" w:rsidRDefault="003D377B"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w:t>
      </w:r>
    </w:p>
    <w:p w14:paraId="17381B87" w14:textId="77777777" w:rsidR="003D377B" w:rsidRPr="005E4BEA" w:rsidRDefault="003D377B" w:rsidP="003D377B">
      <w:pPr>
        <w:spacing w:line="0" w:lineRule="atLeast"/>
        <w:ind w:left="360"/>
        <w:contextualSpacing/>
        <w:jc w:val="both"/>
        <w:rPr>
          <w:rFonts w:eastAsia="Arial Narrow" w:cs="Arial"/>
          <w:b/>
          <w:szCs w:val="20"/>
        </w:rPr>
      </w:pPr>
    </w:p>
    <w:p w14:paraId="043220E5" w14:textId="76CF8F16" w:rsidR="00FE461F" w:rsidRPr="005E4BEA" w:rsidRDefault="003D377B" w:rsidP="00FE461F">
      <w:pPr>
        <w:spacing w:line="240" w:lineRule="auto"/>
        <w:jc w:val="both"/>
        <w:rPr>
          <w:rFonts w:eastAsia="Arial Narrow" w:cs="Arial"/>
          <w:bCs/>
          <w:szCs w:val="20"/>
        </w:rPr>
      </w:pPr>
      <w:r w:rsidRPr="005E4BEA">
        <w:rPr>
          <w:rFonts w:eastAsia="Arial Narrow" w:cs="Arial"/>
          <w:b/>
          <w:szCs w:val="20"/>
        </w:rPr>
        <w:t xml:space="preserve">Ministrstvo za zdravje predlaga, </w:t>
      </w:r>
      <w:r w:rsidRPr="005E4BEA">
        <w:rPr>
          <w:rFonts w:eastAsia="Arial Narrow" w:cs="Arial"/>
          <w:bCs/>
          <w:szCs w:val="20"/>
        </w:rPr>
        <w:t>da se v</w:t>
      </w:r>
      <w:r w:rsidRPr="005E4BEA">
        <w:rPr>
          <w:rFonts w:cs="Arial"/>
          <w:bCs/>
          <w:szCs w:val="20"/>
          <w:lang w:eastAsia="sl-SI"/>
        </w:rPr>
        <w:t xml:space="preserve"> </w:t>
      </w:r>
      <w:r w:rsidRPr="005E4BEA">
        <w:rPr>
          <w:rFonts w:cs="Arial"/>
          <w:bCs/>
          <w:szCs w:val="20"/>
        </w:rPr>
        <w:t xml:space="preserve">3. členu </w:t>
      </w:r>
      <w:r w:rsidR="00FE461F" w:rsidRPr="005E4BEA">
        <w:rPr>
          <w:rFonts w:eastAsiaTheme="minorHAnsi" w:cs="Arial"/>
          <w:bCs/>
          <w:szCs w:val="20"/>
        </w:rPr>
        <w:t xml:space="preserve">za </w:t>
      </w:r>
      <w:r w:rsidR="00FE461F" w:rsidRPr="005E4BEA">
        <w:rPr>
          <w:rFonts w:eastAsia="Arial Narrow" w:cs="Arial"/>
          <w:bCs/>
          <w:szCs w:val="20"/>
        </w:rPr>
        <w:t>točko 12.7 doda nova 12.8 točka, ki se glasi:</w:t>
      </w:r>
    </w:p>
    <w:p w14:paraId="1224AFAF" w14:textId="77777777" w:rsidR="00FE461F" w:rsidRPr="005E4BEA" w:rsidRDefault="00FE461F" w:rsidP="00FE461F">
      <w:pPr>
        <w:spacing w:line="240" w:lineRule="auto"/>
        <w:jc w:val="both"/>
        <w:rPr>
          <w:rFonts w:eastAsiaTheme="minorHAnsi" w:cs="Arial"/>
          <w:b/>
          <w:bCs/>
          <w:szCs w:val="20"/>
        </w:rPr>
      </w:pPr>
    </w:p>
    <w:p w14:paraId="247492C9" w14:textId="77777777" w:rsidR="00FE461F" w:rsidRPr="005E4BEA" w:rsidRDefault="00FE461F" w:rsidP="00FE461F">
      <w:pPr>
        <w:spacing w:line="240" w:lineRule="auto"/>
        <w:jc w:val="both"/>
        <w:rPr>
          <w:rFonts w:eastAsiaTheme="minorHAnsi" w:cs="Arial"/>
          <w:iCs/>
          <w:szCs w:val="20"/>
        </w:rPr>
      </w:pPr>
      <w:r w:rsidRPr="005E4BEA">
        <w:rPr>
          <w:rFonts w:eastAsiaTheme="minorHAnsi" w:cs="Arial"/>
          <w:iCs/>
          <w:szCs w:val="20"/>
        </w:rPr>
        <w:t>» 12.8.</w:t>
      </w:r>
      <w:r w:rsidRPr="005E4BEA">
        <w:rPr>
          <w:rFonts w:eastAsiaTheme="minorHAnsi" w:cs="Arial"/>
          <w:iCs/>
          <w:szCs w:val="20"/>
        </w:rPr>
        <w:tab/>
        <w:t>Naloge priprave, koordiniranja, vodenja in evalvacije Programa preventivnega zdravstvenega varstva za otroke in mladostnike – Program ZDAJ (Zdravje danes za jutri)«</w:t>
      </w:r>
    </w:p>
    <w:p w14:paraId="272FE411" w14:textId="77777777" w:rsidR="00FE461F" w:rsidRPr="005E4BEA" w:rsidRDefault="00FE461F" w:rsidP="00FE461F">
      <w:pPr>
        <w:spacing w:line="240" w:lineRule="auto"/>
        <w:jc w:val="both"/>
        <w:rPr>
          <w:rFonts w:eastAsiaTheme="minorHAnsi" w:cs="Arial"/>
          <w:iCs/>
          <w:szCs w:val="20"/>
        </w:rPr>
      </w:pPr>
    </w:p>
    <w:p w14:paraId="734D18BE" w14:textId="77777777" w:rsidR="00FE461F" w:rsidRPr="005E4BEA" w:rsidRDefault="00FE461F" w:rsidP="00FE461F">
      <w:pPr>
        <w:spacing w:line="240" w:lineRule="auto"/>
        <w:jc w:val="both"/>
        <w:rPr>
          <w:rFonts w:eastAsiaTheme="minorHAnsi" w:cs="Arial"/>
          <w:iCs/>
          <w:szCs w:val="20"/>
        </w:rPr>
      </w:pPr>
    </w:p>
    <w:p w14:paraId="6FBB368B" w14:textId="77777777" w:rsidR="00FE461F" w:rsidRPr="005E4BEA" w:rsidRDefault="00FE461F" w:rsidP="00FE461F">
      <w:pPr>
        <w:spacing w:line="240" w:lineRule="auto"/>
        <w:jc w:val="both"/>
        <w:rPr>
          <w:rFonts w:eastAsiaTheme="minorHAnsi" w:cs="Arial"/>
          <w:b/>
          <w:bCs/>
          <w:szCs w:val="20"/>
        </w:rPr>
      </w:pPr>
      <w:r w:rsidRPr="005E4BEA">
        <w:rPr>
          <w:rFonts w:eastAsiaTheme="minorHAnsi" w:cs="Arial"/>
          <w:b/>
          <w:bCs/>
          <w:szCs w:val="20"/>
        </w:rPr>
        <w:t xml:space="preserve">V Prilogi ZD ZAS se v 29. členu za osmi odstavek doda nov deveti odstavek, ki se glasi: </w:t>
      </w:r>
    </w:p>
    <w:p w14:paraId="7C2866B5" w14:textId="77777777" w:rsidR="00FE461F" w:rsidRPr="005E4BEA" w:rsidRDefault="00FE461F" w:rsidP="00FE461F">
      <w:pPr>
        <w:spacing w:line="240" w:lineRule="auto"/>
        <w:jc w:val="both"/>
        <w:rPr>
          <w:rFonts w:eastAsiaTheme="minorHAnsi" w:cs="Arial"/>
          <w:iCs/>
          <w:szCs w:val="20"/>
        </w:rPr>
      </w:pPr>
      <w:r w:rsidRPr="005E4BEA">
        <w:rPr>
          <w:rFonts w:eastAsiaTheme="minorHAnsi" w:cs="Arial"/>
          <w:iCs/>
          <w:szCs w:val="20"/>
        </w:rPr>
        <w:t xml:space="preserve">(9) Za izvajanje storitev priprave in razvoja, koordinacije, strokovne podpore pri implementaciji, vodenja spremljanja in </w:t>
      </w:r>
      <w:proofErr w:type="spellStart"/>
      <w:r w:rsidRPr="005E4BEA">
        <w:rPr>
          <w:rFonts w:eastAsiaTheme="minorHAnsi" w:cs="Arial"/>
          <w:iCs/>
          <w:szCs w:val="20"/>
        </w:rPr>
        <w:t>evalviranja</w:t>
      </w:r>
      <w:proofErr w:type="spellEnd"/>
      <w:r w:rsidRPr="005E4BEA">
        <w:rPr>
          <w:rFonts w:eastAsiaTheme="minorHAnsi" w:cs="Arial"/>
          <w:iCs/>
          <w:szCs w:val="20"/>
        </w:rPr>
        <w:t xml:space="preserve"> Programa preventivnega zdravstvenega varstva za otroke in mladostnike – Program ZDAJ, se zagotovijo sredstva za stroške kadra in materialne stroške NIJZ.</w:t>
      </w:r>
    </w:p>
    <w:p w14:paraId="34F92378" w14:textId="77777777" w:rsidR="00FE461F" w:rsidRPr="005E4BEA" w:rsidRDefault="00FE461F" w:rsidP="00FE461F">
      <w:pPr>
        <w:spacing w:line="240" w:lineRule="auto"/>
        <w:jc w:val="both"/>
        <w:rPr>
          <w:rFonts w:eastAsiaTheme="minorHAnsi" w:cs="Arial"/>
          <w:iCs/>
          <w:szCs w:val="20"/>
        </w:rPr>
      </w:pPr>
    </w:p>
    <w:p w14:paraId="54D273DB" w14:textId="77777777" w:rsidR="00FE461F" w:rsidRPr="005E4BEA" w:rsidRDefault="00FE461F" w:rsidP="00FE461F">
      <w:pPr>
        <w:spacing w:line="240" w:lineRule="auto"/>
        <w:jc w:val="both"/>
        <w:rPr>
          <w:rFonts w:eastAsiaTheme="minorHAnsi" w:cs="Arial"/>
          <w:b/>
          <w:bCs/>
          <w:iCs/>
          <w:szCs w:val="20"/>
        </w:rPr>
      </w:pPr>
      <w:r w:rsidRPr="005E4BEA">
        <w:rPr>
          <w:rFonts w:eastAsiaTheme="minorHAnsi" w:cs="Arial"/>
          <w:b/>
          <w:bCs/>
          <w:iCs/>
          <w:szCs w:val="20"/>
        </w:rPr>
        <w:t>Star deveti odstavek postane nov deseti odstavek.</w:t>
      </w:r>
    </w:p>
    <w:p w14:paraId="28B37A6B" w14:textId="77777777" w:rsidR="00FE461F" w:rsidRPr="005E4BEA" w:rsidRDefault="00FE461F" w:rsidP="00FE461F">
      <w:pPr>
        <w:spacing w:line="240" w:lineRule="auto"/>
        <w:jc w:val="both"/>
        <w:rPr>
          <w:rFonts w:eastAsiaTheme="minorHAnsi" w:cs="Arial"/>
          <w:iCs/>
          <w:szCs w:val="20"/>
        </w:rPr>
      </w:pPr>
    </w:p>
    <w:p w14:paraId="086C16E4" w14:textId="77777777" w:rsidR="00FE461F" w:rsidRPr="005E4BEA" w:rsidRDefault="00FE461F" w:rsidP="00FE461F">
      <w:pPr>
        <w:spacing w:line="240" w:lineRule="auto"/>
        <w:rPr>
          <w:rFonts w:eastAsia="Calibri" w:cs="Arial"/>
          <w:b/>
          <w:bCs/>
          <w:i/>
          <w:iCs/>
          <w:color w:val="7F7F7F" w:themeColor="text1" w:themeTint="80"/>
          <w:szCs w:val="20"/>
          <w:u w:val="single"/>
        </w:rPr>
      </w:pPr>
      <w:r w:rsidRPr="005E4BEA">
        <w:rPr>
          <w:rFonts w:eastAsia="Calibri" w:cs="Arial"/>
          <w:b/>
          <w:bCs/>
          <w:i/>
          <w:iCs/>
          <w:color w:val="7F7F7F" w:themeColor="text1" w:themeTint="80"/>
          <w:szCs w:val="20"/>
          <w:u w:val="single"/>
        </w:rPr>
        <w:t>Obrazložitev:</w:t>
      </w:r>
    </w:p>
    <w:p w14:paraId="35B6EF43" w14:textId="196F445A"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NIJZ se za izvajanje nalog priprave, koordiniranja, vodenja in evalvacije Programa preventivnega zdravstvenega varstva za otroke in mladostnike – Program ZDAJ (Zdravje danes za jutri) za stroške kadra in materialne stroške. Višino sredstev se izračuna na podlagi kalkulacije NIJZ  do seje Vlade RS.  </w:t>
      </w:r>
    </w:p>
    <w:p w14:paraId="5C9DF2DB" w14:textId="327AA44F" w:rsidR="00A96E31" w:rsidRPr="005E4BEA" w:rsidRDefault="00A96E31" w:rsidP="00FE461F">
      <w:pPr>
        <w:spacing w:line="240" w:lineRule="auto"/>
        <w:jc w:val="both"/>
        <w:rPr>
          <w:rFonts w:eastAsiaTheme="minorHAnsi" w:cs="Arial"/>
          <w:i/>
          <w:color w:val="808080" w:themeColor="background1" w:themeShade="80"/>
          <w:szCs w:val="20"/>
        </w:rPr>
      </w:pPr>
    </w:p>
    <w:p w14:paraId="464DDDF2" w14:textId="1091459E" w:rsidR="00A96E31" w:rsidRPr="005E4BEA" w:rsidRDefault="00A96E31" w:rsidP="00A96E3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750E1D" w:rsidRPr="005E4BEA">
        <w:rPr>
          <w:rFonts w:eastAsia="Arial Narrow" w:cs="Arial"/>
          <w:szCs w:val="20"/>
        </w:rPr>
        <w:t xml:space="preserve">ne </w:t>
      </w:r>
      <w:r w:rsidRPr="005E4BEA">
        <w:rPr>
          <w:rFonts w:eastAsia="Arial Narrow" w:cs="Arial"/>
          <w:szCs w:val="20"/>
        </w:rPr>
        <w:t>strinja s predlogom.</w:t>
      </w:r>
      <w:r w:rsidR="00750E1D" w:rsidRPr="005E4BEA">
        <w:rPr>
          <w:rFonts w:eastAsia="Arial Narrow" w:cs="Arial"/>
          <w:szCs w:val="20"/>
        </w:rPr>
        <w:t xml:space="preserve"> </w:t>
      </w:r>
    </w:p>
    <w:p w14:paraId="34485479" w14:textId="77777777" w:rsidR="00A96E31" w:rsidRPr="005E4BEA" w:rsidRDefault="00A96E31" w:rsidP="00A96E31">
      <w:pPr>
        <w:spacing w:line="0" w:lineRule="atLeast"/>
        <w:jc w:val="both"/>
        <w:rPr>
          <w:rFonts w:eastAsia="Arial Narrow" w:cs="Arial"/>
          <w:szCs w:val="20"/>
          <w:lang w:eastAsia="sl-SI"/>
        </w:rPr>
      </w:pPr>
    </w:p>
    <w:p w14:paraId="3F1EBADE" w14:textId="7CB8728C" w:rsidR="00A80E02" w:rsidRPr="005E4BEA" w:rsidRDefault="00A96E31" w:rsidP="00A80E02">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6" w:name="_Hlk102552038"/>
      <w:r w:rsidR="00A80E02" w:rsidRPr="005E4BEA">
        <w:rPr>
          <w:rFonts w:eastAsia="Arial Narrow" w:cs="Arial"/>
          <w:szCs w:val="20"/>
        </w:rPr>
        <w:t>da</w:t>
      </w:r>
      <w:r w:rsidR="00A80E02" w:rsidRPr="005E4BEA">
        <w:rPr>
          <w:rFonts w:eastAsia="Arial Narrow" w:cs="Arial"/>
          <w:b/>
          <w:szCs w:val="20"/>
        </w:rPr>
        <w:t xml:space="preserve"> </w:t>
      </w:r>
      <w:r w:rsidR="00A80E02" w:rsidRPr="005E4BEA">
        <w:rPr>
          <w:rFonts w:eastAsia="Arial Narrow" w:cs="Arial"/>
          <w:szCs w:val="20"/>
        </w:rPr>
        <w:t xml:space="preserve">se 3. člen </w:t>
      </w:r>
      <w:r w:rsidR="004C6F8A" w:rsidRPr="005E4BEA">
        <w:rPr>
          <w:rFonts w:eastAsia="Arial Narrow" w:cs="Arial"/>
          <w:szCs w:val="20"/>
        </w:rPr>
        <w:t xml:space="preserve">in Priloga ZD ZAS </w:t>
      </w:r>
      <w:r w:rsidR="00A80E02" w:rsidRPr="005E4BEA">
        <w:rPr>
          <w:rFonts w:eastAsia="Arial Narrow" w:cs="Arial"/>
          <w:szCs w:val="20"/>
        </w:rPr>
        <w:t>Splošnega dogovora za pogodbeno leto 2022 ne spremeni</w:t>
      </w:r>
      <w:r w:rsidR="004C6F8A" w:rsidRPr="005E4BEA">
        <w:rPr>
          <w:rFonts w:eastAsia="Arial Narrow" w:cs="Arial"/>
          <w:szCs w:val="20"/>
        </w:rPr>
        <w:t>ta</w:t>
      </w:r>
      <w:r w:rsidR="00A80E02" w:rsidRPr="005E4BEA">
        <w:rPr>
          <w:rFonts w:eastAsia="Arial Narrow" w:cs="Arial"/>
          <w:szCs w:val="20"/>
        </w:rPr>
        <w:t>.</w:t>
      </w:r>
      <w:bookmarkEnd w:id="16"/>
    </w:p>
    <w:p w14:paraId="684DD440" w14:textId="18F3B117" w:rsidR="00A96E31" w:rsidRPr="005E4BEA" w:rsidRDefault="00A96E31" w:rsidP="00A80E02">
      <w:pPr>
        <w:spacing w:line="240" w:lineRule="auto"/>
        <w:jc w:val="both"/>
        <w:rPr>
          <w:rFonts w:eastAsiaTheme="minorHAnsi" w:cs="Arial"/>
          <w:b/>
          <w:bCs/>
          <w:iCs/>
          <w:szCs w:val="20"/>
        </w:rPr>
      </w:pPr>
    </w:p>
    <w:p w14:paraId="4605AD4A"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1B8F7F6" w14:textId="5396003A" w:rsidR="00A96E31" w:rsidRPr="005E4BEA" w:rsidRDefault="00A96E31"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(13)</w:t>
      </w:r>
    </w:p>
    <w:p w14:paraId="62D5C274"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DB5D2F1" w14:textId="3205B4AF" w:rsidR="00FE461F" w:rsidRPr="005E4BEA" w:rsidRDefault="00A96E31" w:rsidP="00FE461F">
      <w:pPr>
        <w:spacing w:line="240" w:lineRule="auto"/>
        <w:jc w:val="both"/>
        <w:rPr>
          <w:rFonts w:eastAsiaTheme="minorHAnsi" w:cs="Arial"/>
          <w:bCs/>
          <w:szCs w:val="20"/>
        </w:rPr>
      </w:pPr>
      <w:r w:rsidRPr="005E4BEA">
        <w:rPr>
          <w:rFonts w:eastAsia="Arial Narrow" w:cs="Arial"/>
          <w:b/>
          <w:szCs w:val="20"/>
        </w:rPr>
        <w:lastRenderedPageBreak/>
        <w:t xml:space="preserve">Ministrstvo za zdravje predlaga, </w:t>
      </w:r>
      <w:r w:rsidRPr="005E4BEA">
        <w:rPr>
          <w:rFonts w:eastAsia="Arial Narrow" w:cs="Arial"/>
          <w:bCs/>
          <w:szCs w:val="20"/>
        </w:rPr>
        <w:t xml:space="preserve">da se v </w:t>
      </w:r>
      <w:r w:rsidR="00FE461F" w:rsidRPr="005E4BEA">
        <w:rPr>
          <w:rFonts w:eastAsiaTheme="minorHAnsi" w:cs="Arial"/>
          <w:bCs/>
          <w:szCs w:val="20"/>
        </w:rPr>
        <w:t>prvem odstavku 3. člena doda nova točka 7.6</w:t>
      </w:r>
    </w:p>
    <w:p w14:paraId="036A3781" w14:textId="77777777" w:rsidR="00FE461F" w:rsidRPr="005E4BEA" w:rsidRDefault="00FE461F" w:rsidP="00FE461F">
      <w:pPr>
        <w:spacing w:line="240" w:lineRule="auto"/>
        <w:jc w:val="both"/>
        <w:rPr>
          <w:rFonts w:eastAsiaTheme="minorHAnsi" w:cs="Arial"/>
          <w:bCs/>
          <w:szCs w:val="20"/>
        </w:rPr>
      </w:pPr>
    </w:p>
    <w:p w14:paraId="1CDFFC13" w14:textId="53C8CA5B" w:rsidR="00FE461F" w:rsidRPr="005E4BEA" w:rsidRDefault="00FE461F" w:rsidP="00FE461F">
      <w:pPr>
        <w:spacing w:line="240" w:lineRule="auto"/>
        <w:jc w:val="both"/>
        <w:rPr>
          <w:rFonts w:eastAsiaTheme="minorHAnsi" w:cs="Arial"/>
          <w:iCs/>
          <w:szCs w:val="20"/>
        </w:rPr>
      </w:pPr>
      <w:r w:rsidRPr="005E4BEA">
        <w:rPr>
          <w:rFonts w:eastAsiaTheme="minorHAnsi" w:cs="Arial"/>
          <w:iCs/>
          <w:szCs w:val="20"/>
        </w:rPr>
        <w:t>Ministrstvo za zdravje predlaga, da  se na podlagi zbranih podatkov, kjer izvajalci izkazujejo višje stroške od obstoječe priznane uteži, spremeni utež za določen SPP.</w:t>
      </w:r>
      <w:r w:rsidRPr="005E4BEA">
        <w:rPr>
          <w:rFonts w:eastAsia="MS Mincho" w:cs="Arial"/>
          <w:szCs w:val="20"/>
        </w:rPr>
        <w:t xml:space="preserve"> </w:t>
      </w:r>
      <w:r w:rsidRPr="005E4BEA">
        <w:rPr>
          <w:rFonts w:eastAsiaTheme="minorHAnsi" w:cs="Arial"/>
          <w:iCs/>
          <w:szCs w:val="20"/>
        </w:rPr>
        <w:t xml:space="preserve">Posledično se na podlagi realizacije iz preteklih let zviša pogodbeno dogovorjen načrt uteži po posameznih izvajalcih. </w:t>
      </w:r>
    </w:p>
    <w:p w14:paraId="5907D767" w14:textId="77777777" w:rsidR="000E13B9" w:rsidRPr="005E4BEA" w:rsidRDefault="000E13B9" w:rsidP="00FE461F">
      <w:pPr>
        <w:spacing w:line="240" w:lineRule="auto"/>
        <w:jc w:val="both"/>
        <w:rPr>
          <w:rFonts w:eastAsiaTheme="minorHAnsi" w:cs="Arial"/>
          <w:iCs/>
          <w:szCs w:val="20"/>
        </w:rPr>
      </w:pPr>
    </w:p>
    <w:p w14:paraId="57D61ED2" w14:textId="3AFC9198" w:rsidR="00FE461F" w:rsidRPr="005E4BEA" w:rsidRDefault="00FE461F" w:rsidP="00FE461F">
      <w:pPr>
        <w:spacing w:line="240" w:lineRule="auto"/>
        <w:jc w:val="both"/>
        <w:rPr>
          <w:rFonts w:eastAsiaTheme="minorHAnsi" w:cs="Arial"/>
          <w:iCs/>
          <w:szCs w:val="20"/>
        </w:rPr>
      </w:pPr>
      <w:r w:rsidRPr="005E4BEA">
        <w:rPr>
          <w:rFonts w:eastAsiaTheme="minorHAnsi" w:cs="Arial"/>
          <w:iCs/>
          <w:szCs w:val="20"/>
        </w:rPr>
        <w:t xml:space="preserve">Prav tako predlaga </w:t>
      </w:r>
      <w:proofErr w:type="spellStart"/>
      <w:r w:rsidRPr="005E4BEA">
        <w:rPr>
          <w:rFonts w:eastAsiaTheme="minorHAnsi" w:cs="Arial"/>
          <w:iCs/>
          <w:szCs w:val="20"/>
        </w:rPr>
        <w:t>reopredelitev</w:t>
      </w:r>
      <w:proofErr w:type="spellEnd"/>
      <w:r w:rsidRPr="005E4BEA">
        <w:rPr>
          <w:rFonts w:eastAsiaTheme="minorHAnsi" w:cs="Arial"/>
          <w:iCs/>
          <w:szCs w:val="20"/>
        </w:rPr>
        <w:t xml:space="preserve"> plana obteženih primerov v pogodbah z ZZZS po posameznih bolnišnicah na podlagi realiziranih </w:t>
      </w:r>
      <w:proofErr w:type="spellStart"/>
      <w:r w:rsidRPr="005E4BEA">
        <w:rPr>
          <w:rFonts w:eastAsiaTheme="minorHAnsi" w:cs="Arial"/>
          <w:iCs/>
          <w:szCs w:val="20"/>
        </w:rPr>
        <w:t>oz</w:t>
      </w:r>
      <w:proofErr w:type="spellEnd"/>
      <w:r w:rsidRPr="005E4BEA">
        <w:rPr>
          <w:rFonts w:eastAsiaTheme="minorHAnsi" w:cs="Arial"/>
          <w:iCs/>
          <w:szCs w:val="20"/>
        </w:rPr>
        <w:t xml:space="preserve"> dejansko obračunanih uteži v preteklem obdobju (planirane, realizirane in priznane uteži).</w:t>
      </w:r>
    </w:p>
    <w:p w14:paraId="066A5554" w14:textId="7244E19B" w:rsidR="00A96E31" w:rsidRPr="005E4BEA" w:rsidRDefault="00A96E31" w:rsidP="00FE461F">
      <w:pPr>
        <w:spacing w:line="240" w:lineRule="auto"/>
        <w:jc w:val="both"/>
        <w:rPr>
          <w:rFonts w:eastAsiaTheme="minorHAnsi" w:cs="Arial"/>
          <w:iCs/>
          <w:szCs w:val="20"/>
        </w:rPr>
      </w:pPr>
    </w:p>
    <w:p w14:paraId="435BCE88" w14:textId="5D710E94" w:rsidR="00944C8E" w:rsidRPr="005E4BEA" w:rsidRDefault="00FF679B" w:rsidP="00944C8E">
      <w:pPr>
        <w:spacing w:line="240" w:lineRule="auto"/>
        <w:jc w:val="both"/>
        <w:rPr>
          <w:rFonts w:cs="Arial"/>
          <w:bCs/>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w:t>
      </w:r>
      <w:r w:rsidR="00944C8E" w:rsidRPr="005E4BEA">
        <w:rPr>
          <w:rFonts w:eastAsia="Arial Narrow" w:cs="Arial"/>
          <w:szCs w:val="20"/>
        </w:rPr>
        <w:t xml:space="preserve">m v modificirani obliki, in sicer se </w:t>
      </w:r>
      <w:r w:rsidR="00944C8E" w:rsidRPr="005E4BEA">
        <w:rPr>
          <w:rFonts w:eastAsia="Arial Narrow" w:cs="Arial"/>
          <w:bCs/>
          <w:szCs w:val="20"/>
        </w:rPr>
        <w:t>v</w:t>
      </w:r>
      <w:r w:rsidR="00944C8E" w:rsidRPr="005E4BEA">
        <w:rPr>
          <w:rFonts w:cs="Arial"/>
          <w:bCs/>
          <w:szCs w:val="20"/>
        </w:rPr>
        <w:t xml:space="preserve"> 24. členu v šestem odstavku doda:</w:t>
      </w:r>
    </w:p>
    <w:p w14:paraId="24272647" w14:textId="0CF43ADA" w:rsidR="00944C8E" w:rsidRPr="005E4BEA" w:rsidRDefault="00944C8E" w:rsidP="00944C8E">
      <w:pPr>
        <w:spacing w:line="240" w:lineRule="auto"/>
        <w:jc w:val="both"/>
        <w:rPr>
          <w:rFonts w:cs="Arial"/>
          <w:bCs/>
          <w:szCs w:val="20"/>
        </w:rPr>
      </w:pPr>
    </w:p>
    <w:tbl>
      <w:tblPr>
        <w:tblW w:w="6940" w:type="dxa"/>
        <w:tblCellMar>
          <w:left w:w="0" w:type="dxa"/>
          <w:right w:w="0" w:type="dxa"/>
        </w:tblCellMar>
        <w:tblLook w:val="04A0" w:firstRow="1" w:lastRow="0" w:firstColumn="1" w:lastColumn="0" w:noHBand="0" w:noVBand="1"/>
      </w:tblPr>
      <w:tblGrid>
        <w:gridCol w:w="4340"/>
        <w:gridCol w:w="1220"/>
        <w:gridCol w:w="1420"/>
      </w:tblGrid>
      <w:tr w:rsidR="00944C8E" w:rsidRPr="005E4BEA" w14:paraId="38BA0886" w14:textId="77777777" w:rsidTr="00944C8E">
        <w:trPr>
          <w:trHeight w:val="870"/>
        </w:trPr>
        <w:tc>
          <w:tcPr>
            <w:tcW w:w="434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C12CEE1" w14:textId="77777777" w:rsidR="00944C8E" w:rsidRPr="005E4BEA" w:rsidRDefault="00944C8E">
            <w:pPr>
              <w:rPr>
                <w:rFonts w:ascii="Calibri" w:hAnsi="Calibri"/>
                <w:szCs w:val="22"/>
                <w:lang w:eastAsia="sl-SI"/>
              </w:rPr>
            </w:pPr>
            <w:r w:rsidRPr="005E4BEA">
              <w:t>NAZIV</w:t>
            </w:r>
          </w:p>
        </w:tc>
        <w:tc>
          <w:tcPr>
            <w:tcW w:w="122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8977FDB" w14:textId="77777777" w:rsidR="00944C8E" w:rsidRPr="005E4BEA" w:rsidRDefault="00944C8E">
            <w:pPr>
              <w:rPr>
                <w:b/>
                <w:bCs/>
              </w:rPr>
            </w:pPr>
            <w:r w:rsidRPr="005E4BEA">
              <w:rPr>
                <w:b/>
                <w:bCs/>
                <w:color w:val="000000"/>
              </w:rPr>
              <w:t>Dodatne uteži od 1.1.2022</w:t>
            </w:r>
          </w:p>
        </w:tc>
        <w:tc>
          <w:tcPr>
            <w:tcW w:w="138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5710C09C" w14:textId="77777777" w:rsidR="00944C8E" w:rsidRPr="005E4BEA" w:rsidRDefault="00944C8E">
            <w:pPr>
              <w:rPr>
                <w:b/>
                <w:bCs/>
              </w:rPr>
            </w:pPr>
            <w:r w:rsidRPr="005E4BEA">
              <w:rPr>
                <w:b/>
                <w:bCs/>
                <w:color w:val="000000"/>
              </w:rPr>
              <w:t>Vrednost širitve od 1.1.2022</w:t>
            </w:r>
          </w:p>
        </w:tc>
      </w:tr>
      <w:tr w:rsidR="00944C8E" w:rsidRPr="005E4BEA" w14:paraId="7551DAA5"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E5CD14" w14:textId="77777777" w:rsidR="00944C8E" w:rsidRPr="005E4BEA" w:rsidRDefault="00944C8E">
            <w:r w:rsidRPr="005E4BEA">
              <w:t>SPLOŠNA BOLNIŠNICA CELJE</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1F94E49" w14:textId="77777777" w:rsidR="00944C8E" w:rsidRPr="005E4BEA" w:rsidRDefault="00944C8E">
            <w:pPr>
              <w:jc w:val="right"/>
            </w:pPr>
            <w:r w:rsidRPr="005E4BEA">
              <w:rPr>
                <w:color w:val="000000"/>
              </w:rPr>
              <w:t>2.970,36</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3D0E13" w14:textId="77777777" w:rsidR="00944C8E" w:rsidRPr="005E4BEA" w:rsidRDefault="00944C8E">
            <w:pPr>
              <w:jc w:val="right"/>
              <w:rPr>
                <w:b/>
                <w:bCs/>
              </w:rPr>
            </w:pPr>
            <w:r w:rsidRPr="005E4BEA">
              <w:rPr>
                <w:b/>
                <w:bCs/>
                <w:color w:val="000000"/>
              </w:rPr>
              <w:t>4.351.666,51</w:t>
            </w:r>
          </w:p>
        </w:tc>
      </w:tr>
      <w:tr w:rsidR="00944C8E" w:rsidRPr="005E4BEA" w14:paraId="350D1EE6"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03DF3C9" w14:textId="77777777" w:rsidR="00944C8E" w:rsidRPr="005E4BEA" w:rsidRDefault="00944C8E">
            <w:r w:rsidRPr="005E4BEA">
              <w:t xml:space="preserve">SPLOŠNA BOLNIŠNICA IZOLA </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3BE4BFF" w14:textId="77777777" w:rsidR="00944C8E" w:rsidRPr="005E4BEA" w:rsidRDefault="00944C8E">
            <w:pPr>
              <w:jc w:val="right"/>
            </w:pPr>
            <w:r w:rsidRPr="005E4BEA">
              <w:rPr>
                <w:color w:val="000000"/>
              </w:rPr>
              <w:t>1.534,91</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67657A4" w14:textId="77777777" w:rsidR="00944C8E" w:rsidRPr="005E4BEA" w:rsidRDefault="00944C8E">
            <w:pPr>
              <w:jc w:val="right"/>
              <w:rPr>
                <w:b/>
                <w:bCs/>
              </w:rPr>
            </w:pPr>
            <w:r w:rsidRPr="005E4BEA">
              <w:rPr>
                <w:b/>
                <w:bCs/>
                <w:color w:val="000000"/>
              </w:rPr>
              <w:t>2.248.689,20</w:t>
            </w:r>
          </w:p>
        </w:tc>
      </w:tr>
      <w:tr w:rsidR="00944C8E" w:rsidRPr="005E4BEA" w14:paraId="4103EDF4"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671BD2" w14:textId="77777777" w:rsidR="00944C8E" w:rsidRPr="005E4BEA" w:rsidRDefault="00944C8E">
            <w:r w:rsidRPr="005E4BEA">
              <w:t>UNIVERZITETNI KLINIČNI CENTER LJUBLJANA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5A31EF5" w14:textId="77777777" w:rsidR="00944C8E" w:rsidRPr="005E4BEA" w:rsidRDefault="00944C8E">
            <w:pPr>
              <w:jc w:val="right"/>
            </w:pPr>
            <w:r w:rsidRPr="005E4BEA">
              <w:rPr>
                <w:color w:val="000000"/>
              </w:rPr>
              <w:t>9.961,20</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E76469" w14:textId="77777777" w:rsidR="00944C8E" w:rsidRPr="005E4BEA" w:rsidRDefault="00944C8E">
            <w:pPr>
              <w:jc w:val="right"/>
              <w:rPr>
                <w:b/>
                <w:bCs/>
              </w:rPr>
            </w:pPr>
            <w:r w:rsidRPr="005E4BEA">
              <w:rPr>
                <w:b/>
                <w:bCs/>
                <w:color w:val="000000"/>
              </w:rPr>
              <w:t>14.593.456,84</w:t>
            </w:r>
          </w:p>
        </w:tc>
      </w:tr>
      <w:tr w:rsidR="00944C8E" w:rsidRPr="005E4BEA" w14:paraId="04774FFE"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CC935D" w14:textId="77777777" w:rsidR="00944C8E" w:rsidRPr="005E4BEA" w:rsidRDefault="00944C8E">
            <w:r w:rsidRPr="005E4BEA">
              <w:t>BOLNIŠNICA TOPOLŠICA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3E3BF1" w14:textId="77777777" w:rsidR="00944C8E" w:rsidRPr="005E4BEA" w:rsidRDefault="00944C8E">
            <w:pPr>
              <w:jc w:val="right"/>
            </w:pPr>
            <w:r w:rsidRPr="005E4BEA">
              <w:rPr>
                <w:color w:val="000000"/>
              </w:rPr>
              <w:t>353,31</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38E4846" w14:textId="77777777" w:rsidR="00944C8E" w:rsidRPr="005E4BEA" w:rsidRDefault="00944C8E">
            <w:pPr>
              <w:jc w:val="right"/>
              <w:rPr>
                <w:b/>
                <w:bCs/>
              </w:rPr>
            </w:pPr>
            <w:r w:rsidRPr="005E4BEA">
              <w:rPr>
                <w:b/>
                <w:bCs/>
                <w:color w:val="000000"/>
              </w:rPr>
              <w:t>517.609,75</w:t>
            </w:r>
          </w:p>
        </w:tc>
      </w:tr>
      <w:tr w:rsidR="00944C8E" w:rsidRPr="005E4BEA" w14:paraId="06CADEF0"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447D57" w14:textId="77777777" w:rsidR="00944C8E" w:rsidRPr="005E4BEA" w:rsidRDefault="00944C8E">
            <w:r w:rsidRPr="005E4BEA">
              <w:t>BGP KRANJ</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896A0B" w14:textId="77777777" w:rsidR="00944C8E" w:rsidRPr="005E4BEA" w:rsidRDefault="00944C8E">
            <w:pPr>
              <w:jc w:val="right"/>
            </w:pPr>
            <w:r w:rsidRPr="005E4BEA">
              <w:rPr>
                <w:color w:val="000000"/>
              </w:rPr>
              <w:t>481,15</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8B5F027" w14:textId="77777777" w:rsidR="00944C8E" w:rsidRPr="005E4BEA" w:rsidRDefault="00944C8E">
            <w:pPr>
              <w:jc w:val="right"/>
              <w:rPr>
                <w:b/>
                <w:bCs/>
              </w:rPr>
            </w:pPr>
            <w:r w:rsidRPr="005E4BEA">
              <w:rPr>
                <w:b/>
                <w:bCs/>
                <w:color w:val="000000"/>
              </w:rPr>
              <w:t>704.899,18</w:t>
            </w:r>
          </w:p>
        </w:tc>
      </w:tr>
      <w:tr w:rsidR="00944C8E" w:rsidRPr="005E4BEA" w14:paraId="2E632247"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D75DB4" w14:textId="77777777" w:rsidR="00944C8E" w:rsidRPr="005E4BEA" w:rsidRDefault="00944C8E">
            <w:r w:rsidRPr="005E4BEA">
              <w:t>UNIVERZITETNI KLINIČNI CENTER MARIBOR</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3284ED" w14:textId="77777777" w:rsidR="00944C8E" w:rsidRPr="005E4BEA" w:rsidRDefault="00944C8E">
            <w:pPr>
              <w:jc w:val="right"/>
            </w:pPr>
            <w:r w:rsidRPr="005E4BEA">
              <w:rPr>
                <w:color w:val="000000"/>
              </w:rPr>
              <w:t>4.296,53</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225D53" w14:textId="77777777" w:rsidR="00944C8E" w:rsidRPr="005E4BEA" w:rsidRDefault="00944C8E">
            <w:pPr>
              <w:jc w:val="right"/>
              <w:rPr>
                <w:b/>
                <w:bCs/>
              </w:rPr>
            </w:pPr>
            <w:r w:rsidRPr="005E4BEA">
              <w:rPr>
                <w:b/>
                <w:bCs/>
                <w:color w:val="000000"/>
              </w:rPr>
              <w:t>6.294.545,35</w:t>
            </w:r>
          </w:p>
        </w:tc>
      </w:tr>
      <w:tr w:rsidR="00944C8E" w:rsidRPr="005E4BEA" w14:paraId="52C6A157"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C26D190" w14:textId="77777777" w:rsidR="00944C8E" w:rsidRPr="005E4BEA" w:rsidRDefault="00944C8E">
            <w:r w:rsidRPr="005E4BEA">
              <w:t>SPLOŠNA BOLNIŠNICA MURSKA SOBOTA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8425DFF" w14:textId="77777777" w:rsidR="00944C8E" w:rsidRPr="005E4BEA" w:rsidRDefault="00944C8E">
            <w:pPr>
              <w:jc w:val="right"/>
            </w:pPr>
            <w:r w:rsidRPr="005E4BEA">
              <w:rPr>
                <w:color w:val="000000"/>
              </w:rPr>
              <w:t>1.596,77</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51CF3ED" w14:textId="77777777" w:rsidR="00944C8E" w:rsidRPr="005E4BEA" w:rsidRDefault="00944C8E">
            <w:pPr>
              <w:jc w:val="right"/>
              <w:rPr>
                <w:b/>
                <w:bCs/>
              </w:rPr>
            </w:pPr>
            <w:r w:rsidRPr="005E4BEA">
              <w:rPr>
                <w:b/>
                <w:bCs/>
                <w:color w:val="000000"/>
              </w:rPr>
              <w:t>2.339.315,95</w:t>
            </w:r>
          </w:p>
        </w:tc>
      </w:tr>
      <w:tr w:rsidR="00944C8E" w:rsidRPr="005E4BEA" w14:paraId="78B524EC"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286312" w14:textId="77777777" w:rsidR="00944C8E" w:rsidRPr="005E4BEA" w:rsidRDefault="00944C8E">
            <w:r w:rsidRPr="005E4BEA">
              <w:t>SPLOŠNA BOLNIŠNICA NOVA GORICA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6D6290" w14:textId="77777777" w:rsidR="00944C8E" w:rsidRPr="005E4BEA" w:rsidRDefault="00944C8E">
            <w:pPr>
              <w:jc w:val="right"/>
            </w:pPr>
            <w:r w:rsidRPr="005E4BEA">
              <w:rPr>
                <w:color w:val="000000"/>
              </w:rPr>
              <w:t>1.573,84</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86AEA8E" w14:textId="77777777" w:rsidR="00944C8E" w:rsidRPr="005E4BEA" w:rsidRDefault="00944C8E">
            <w:pPr>
              <w:jc w:val="right"/>
              <w:rPr>
                <w:b/>
                <w:bCs/>
              </w:rPr>
            </w:pPr>
            <w:r w:rsidRPr="005E4BEA">
              <w:rPr>
                <w:b/>
                <w:bCs/>
                <w:color w:val="000000"/>
              </w:rPr>
              <w:t>2.305.722,82</w:t>
            </w:r>
          </w:p>
        </w:tc>
      </w:tr>
      <w:tr w:rsidR="00944C8E" w:rsidRPr="005E4BEA" w14:paraId="4AB4BCD9"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565BAF" w14:textId="77777777" w:rsidR="00944C8E" w:rsidRPr="005E4BEA" w:rsidRDefault="00944C8E">
            <w:r w:rsidRPr="005E4BEA">
              <w:t>SPLOŠNA BOLNIŠNICA SLOVENJ GRADEC</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081C6C" w14:textId="77777777" w:rsidR="00944C8E" w:rsidRPr="005E4BEA" w:rsidRDefault="00944C8E">
            <w:pPr>
              <w:jc w:val="right"/>
            </w:pPr>
            <w:r w:rsidRPr="005E4BEA">
              <w:rPr>
                <w:color w:val="000000"/>
              </w:rPr>
              <w:t>1.571,17</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371887" w14:textId="77777777" w:rsidR="00944C8E" w:rsidRPr="005E4BEA" w:rsidRDefault="00944C8E">
            <w:pPr>
              <w:jc w:val="right"/>
              <w:rPr>
                <w:b/>
                <w:bCs/>
              </w:rPr>
            </w:pPr>
            <w:r w:rsidRPr="005E4BEA">
              <w:rPr>
                <w:b/>
                <w:bCs/>
                <w:color w:val="000000"/>
              </w:rPr>
              <w:t>2.301.811,19</w:t>
            </w:r>
          </w:p>
        </w:tc>
      </w:tr>
      <w:tr w:rsidR="00944C8E" w:rsidRPr="005E4BEA" w14:paraId="0F2A783E" w14:textId="77777777" w:rsidTr="00944C8E">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BDA774" w14:textId="77777777" w:rsidR="00944C8E" w:rsidRPr="005E4BEA" w:rsidRDefault="00944C8E">
            <w:pPr>
              <w:rPr>
                <w:b/>
                <w:bCs/>
              </w:rPr>
            </w:pPr>
            <w:r w:rsidRPr="005E4BEA">
              <w:rPr>
                <w:b/>
                <w:bCs/>
              </w:rPr>
              <w:t>Skupaj</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0CDBFB8" w14:textId="77777777" w:rsidR="00944C8E" w:rsidRPr="005E4BEA" w:rsidRDefault="00944C8E">
            <w:pPr>
              <w:rPr>
                <w:b/>
                <w:bCs/>
              </w:rPr>
            </w:pPr>
            <w:r w:rsidRPr="005E4BEA">
              <w:rPr>
                <w:b/>
                <w:bCs/>
                <w:color w:val="000000"/>
              </w:rPr>
              <w:t> </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040C09F" w14:textId="77777777" w:rsidR="00944C8E" w:rsidRPr="005E4BEA" w:rsidRDefault="00944C8E">
            <w:pPr>
              <w:jc w:val="right"/>
              <w:rPr>
                <w:b/>
                <w:bCs/>
              </w:rPr>
            </w:pPr>
            <w:r w:rsidRPr="005E4BEA">
              <w:rPr>
                <w:b/>
                <w:bCs/>
                <w:color w:val="000000"/>
              </w:rPr>
              <w:t>35.657.716,78</w:t>
            </w:r>
          </w:p>
        </w:tc>
      </w:tr>
    </w:tbl>
    <w:p w14:paraId="1082747F" w14:textId="77777777" w:rsidR="00944C8E" w:rsidRPr="005E4BEA" w:rsidRDefault="00944C8E" w:rsidP="00944C8E">
      <w:pPr>
        <w:spacing w:line="240" w:lineRule="auto"/>
        <w:jc w:val="both"/>
        <w:rPr>
          <w:rFonts w:cs="Arial"/>
          <w:bCs/>
          <w:szCs w:val="20"/>
        </w:rPr>
      </w:pPr>
    </w:p>
    <w:p w14:paraId="315F729E" w14:textId="29E42C7A" w:rsidR="00FF679B" w:rsidRPr="005E4BEA" w:rsidRDefault="00FF679B" w:rsidP="00FF679B">
      <w:pPr>
        <w:autoSpaceDE w:val="0"/>
        <w:autoSpaceDN w:val="0"/>
        <w:adjustRightInd w:val="0"/>
        <w:spacing w:line="0" w:lineRule="atLeast"/>
        <w:jc w:val="both"/>
        <w:rPr>
          <w:rFonts w:eastAsia="Arial Narrow" w:cs="Arial"/>
          <w:szCs w:val="20"/>
        </w:rPr>
      </w:pPr>
    </w:p>
    <w:p w14:paraId="26014AF6" w14:textId="77777777" w:rsidR="00944C8E" w:rsidRPr="005E4BEA" w:rsidRDefault="00944C8E" w:rsidP="00944C8E">
      <w:pPr>
        <w:rPr>
          <w:rFonts w:cs="Arial"/>
          <w:b/>
          <w:bCs/>
          <w:szCs w:val="22"/>
        </w:rPr>
      </w:pPr>
      <w:r w:rsidRPr="005E4BEA">
        <w:rPr>
          <w:rFonts w:cs="Arial"/>
          <w:b/>
          <w:bCs/>
        </w:rPr>
        <w:t>V prilogi III/c se pod točko 1. doda novi (9) odstavek, ki glasi:</w:t>
      </w:r>
    </w:p>
    <w:p w14:paraId="1AA5856E" w14:textId="48CB17FF" w:rsidR="00944C8E" w:rsidRPr="005E4BEA" w:rsidRDefault="00971056" w:rsidP="00944C8E">
      <w:pPr>
        <w:jc w:val="both"/>
        <w:rPr>
          <w:rFonts w:eastAsiaTheme="minorHAnsi" w:cs="Arial"/>
          <w:iCs/>
          <w:szCs w:val="20"/>
        </w:rPr>
      </w:pPr>
      <w:r w:rsidRPr="005E4BEA">
        <w:rPr>
          <w:rFonts w:eastAsiaTheme="minorHAnsi" w:cs="Arial"/>
          <w:iCs/>
          <w:szCs w:val="20"/>
        </w:rPr>
        <w:t>»</w:t>
      </w:r>
      <w:r w:rsidR="00944C8E" w:rsidRPr="005E4BEA">
        <w:rPr>
          <w:rFonts w:eastAsiaTheme="minorHAnsi" w:cs="Arial"/>
          <w:iCs/>
          <w:szCs w:val="20"/>
        </w:rPr>
        <w:t>(9) Za širitve programa iz Aneksa št 1 k SD 2021 se iz uteži izvede preračun v primere, tako, da se število uteži za izvajalca deli s povprečno doseženo utežjo v letu 2021, te primeri in uteži se upoštevajo pri planih v naslednjih letih. Dodeljene uteži in izračunane primere se doda v plan preostale ABO za posameznega izvajalca. Pri končnem letnem obračunu se za izplačilo upošteva dosežene uteži izvajalca, vendar največ do pogodbenega plana.</w:t>
      </w:r>
      <w:r w:rsidRPr="005E4BEA">
        <w:rPr>
          <w:rFonts w:eastAsiaTheme="minorHAnsi" w:cs="Arial"/>
          <w:iCs/>
          <w:szCs w:val="20"/>
        </w:rPr>
        <w:t>«</w:t>
      </w:r>
    </w:p>
    <w:p w14:paraId="5AFC7A11" w14:textId="77777777" w:rsidR="00944C8E" w:rsidRPr="005E4BEA" w:rsidRDefault="00944C8E" w:rsidP="00944C8E">
      <w:pPr>
        <w:rPr>
          <w:rFonts w:ascii="Calibri" w:hAnsi="Calibri"/>
        </w:rPr>
      </w:pPr>
    </w:p>
    <w:p w14:paraId="22E3C55B" w14:textId="77777777" w:rsidR="00944C8E" w:rsidRPr="005E4BEA" w:rsidRDefault="00944C8E" w:rsidP="00971056">
      <w:pPr>
        <w:spacing w:line="240" w:lineRule="auto"/>
        <w:rPr>
          <w:rFonts w:eastAsia="Calibri" w:cs="Arial"/>
          <w:b/>
          <w:bCs/>
          <w:i/>
          <w:iCs/>
          <w:color w:val="7F7F7F" w:themeColor="text1" w:themeTint="80"/>
          <w:szCs w:val="20"/>
          <w:u w:val="single"/>
        </w:rPr>
      </w:pPr>
      <w:r w:rsidRPr="005E4BEA">
        <w:rPr>
          <w:rFonts w:eastAsia="Calibri" w:cs="Arial"/>
          <w:b/>
          <w:bCs/>
          <w:i/>
          <w:iCs/>
          <w:color w:val="7F7F7F" w:themeColor="text1" w:themeTint="80"/>
          <w:szCs w:val="20"/>
          <w:u w:val="single"/>
        </w:rPr>
        <w:t>Obrazložitev:</w:t>
      </w:r>
    </w:p>
    <w:p w14:paraId="288A0FEC" w14:textId="77777777" w:rsidR="00971056" w:rsidRPr="005E4BEA" w:rsidRDefault="00944C8E" w:rsidP="00971056">
      <w:pPr>
        <w:spacing w:line="240" w:lineRule="auto"/>
        <w:jc w:val="both"/>
        <w:rPr>
          <w:rFonts w:eastAsia="Calibri" w:cs="Arial"/>
          <w:i/>
          <w:iCs/>
          <w:color w:val="7F7F7F" w:themeColor="text1" w:themeTint="80"/>
          <w:szCs w:val="20"/>
        </w:rPr>
      </w:pPr>
      <w:bookmarkStart w:id="17" w:name="_Hlk103067335"/>
      <w:r w:rsidRPr="005E4BEA">
        <w:rPr>
          <w:rFonts w:eastAsia="Calibri" w:cs="Arial"/>
          <w:i/>
          <w:iCs/>
          <w:color w:val="7F7F7F" w:themeColor="text1" w:themeTint="80"/>
          <w:szCs w:val="20"/>
        </w:rPr>
        <w:t>Bolnišnice bodo upravičene do dodatnih sredstev, če bodo realizirale dodatni program v akutni bolnišnični obravnavi. Pri tem se upoštevajo določila Splošnega dogovora o obračunu akutne bolnišnične obravnave, ki  pogojujejo, da je potrebno za plačilo celotnega plana uteži le te tudi realizirati. Dodatne uteži se pretvorijo tudi v dodatne primere in sicer tako, da se dodatne uteži deli s povprečno doseženo utežjo posameznega izvajalca za leto 2021. Pogodbeno določeno število primerov se poveča za tako izračunane dodatne primere. Bolnišnice so s tem motivirane, da opravijo večje število obravnav zavarovanih oseb.</w:t>
      </w:r>
    </w:p>
    <w:p w14:paraId="140B97AD" w14:textId="1BC67BDA" w:rsidR="00971056" w:rsidRPr="005E4BEA" w:rsidRDefault="00944C8E" w:rsidP="00971056">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br/>
        <w:t xml:space="preserve">Ministrstvo za zdravje izhaja iz problematike poslovanja preteklih let, ki se izkazujejo v kumulativnih izgubah, zato so v predlog vključene bolnišnice, ki so na dan 31.12.2021 izkazovale kumulativno izgubo. </w:t>
      </w:r>
    </w:p>
    <w:p w14:paraId="1716EC1C" w14:textId="0BE2BA23" w:rsidR="00944C8E" w:rsidRPr="005E4BEA" w:rsidRDefault="00944C8E" w:rsidP="00971056">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br/>
        <w:t>Ministrstvo za zdravje predlaga, da se tem bolnišnicam priznajo dodatno planirane uteži. S strokovnega vidika so glavni razlogi za višjo planirano utež trije, in sicer:</w:t>
      </w:r>
      <w:r w:rsidRPr="005E4BEA">
        <w:rPr>
          <w:rFonts w:eastAsia="Calibri" w:cs="Arial"/>
          <w:i/>
          <w:iCs/>
          <w:color w:val="7F7F7F" w:themeColor="text1" w:themeTint="80"/>
          <w:szCs w:val="20"/>
        </w:rPr>
        <w:br/>
      </w:r>
      <w:r w:rsidRPr="005E4BEA">
        <w:rPr>
          <w:rFonts w:eastAsia="Calibri" w:cs="Arial"/>
          <w:i/>
          <w:iCs/>
          <w:color w:val="7F7F7F" w:themeColor="text1" w:themeTint="80"/>
          <w:szCs w:val="20"/>
        </w:rPr>
        <w:lastRenderedPageBreak/>
        <w:t>1.           Staranje populacije v Republiki Sloveniji; Od uvedbe SPP financiranja se je delež starejših prebivalcev bistveno povečal, kar pomeni, da je vedno več ljudi, ki se v vseh oddelkih znotraj splošnih bolnišnic in kliničnih centrov zdravijo ne samo za osnovno bolezen, ampak njihovo zdravstveno stanje ogroža in poslabšuje še cela vrsta pridruženih in kroničnih bolezni, ki podaljšujejo in otežujejo zdravljenje. Vsi zapleti in kronične bolezni povišujejo uteži, ki jih za posamezen primer bolnišnice prejmejo. Višanje uteži je predvsem opazno v internističnih in kirurških strokah, vendar izvzete niso niti druge specialnosti.</w:t>
      </w:r>
      <w:r w:rsidRPr="005E4BEA">
        <w:rPr>
          <w:rFonts w:eastAsia="Calibri" w:cs="Arial"/>
          <w:i/>
          <w:iCs/>
          <w:color w:val="7F7F7F" w:themeColor="text1" w:themeTint="80"/>
          <w:szCs w:val="20"/>
        </w:rPr>
        <w:br/>
        <w:t>2.           Podaljšano zdravljenje Covid bolnikov; Bolniki, ki so preboleli Covid -19 (enkrat ali večkrat) se v bolnišnice vračajo zaradi dolgotrajnega Covida, ki vpliva na njihovo zdravstveno stanje na različne načine. Zdravljenje dolgotrajnega Covida vpliva tudi na kronična stanja, ki jih je pacient pred boleznijo že imel. Prav tako pa dolgotrajni Covid povzroča nova kronična stanja tudi za bolnike, ki pred boleznijo niso imeli težav.</w:t>
      </w:r>
      <w:r w:rsidRPr="005E4BEA">
        <w:rPr>
          <w:rFonts w:eastAsia="Calibri" w:cs="Arial"/>
          <w:i/>
          <w:iCs/>
          <w:color w:val="7F7F7F" w:themeColor="text1" w:themeTint="80"/>
          <w:szCs w:val="20"/>
        </w:rPr>
        <w:br/>
        <w:t>3.           Slabša dostopnost do zdravstvenega sistema v obdobju epidemije Covid; V letih 2020 in 2021 je bil dostop do zdravstvenega sistema izredno otežen, saj so vsi nivoji zdravstvenega sistema redno izvajali le zdravljenje nujnih (življenjsko ogrožajočih stanj) in napotnice s stopnjo nujnosti zelo hitro. Vse ostale paciente so obravnavali v skladu z možnostmi, ki jih je narekovala epidemija. V bolnišnico so zato prihajali življenjsko ogroženi, težji primeri, ki pomenijo povečanje uteži. Tudi v nadaljnjih letih bomo čutili posledice zaprtja sistema. Pričakujemo lahko, da bodo pacienti v bolnišnice prihajali v poznejših stadijih bolezni in z že pridruženimi tudi drugimi težavami.</w:t>
      </w:r>
    </w:p>
    <w:bookmarkEnd w:id="17"/>
    <w:p w14:paraId="318B15B2" w14:textId="77777777" w:rsidR="00944C8E" w:rsidRPr="005E4BEA" w:rsidRDefault="00944C8E" w:rsidP="00FF679B">
      <w:pPr>
        <w:autoSpaceDE w:val="0"/>
        <w:autoSpaceDN w:val="0"/>
        <w:adjustRightInd w:val="0"/>
        <w:spacing w:line="0" w:lineRule="atLeast"/>
        <w:jc w:val="both"/>
        <w:rPr>
          <w:rFonts w:eastAsia="Arial Narrow" w:cs="Arial"/>
          <w:szCs w:val="20"/>
        </w:rPr>
      </w:pPr>
    </w:p>
    <w:p w14:paraId="35BCEC85" w14:textId="77777777" w:rsidR="00FF679B" w:rsidRPr="005E4BEA" w:rsidRDefault="00FF679B" w:rsidP="00FF679B">
      <w:pPr>
        <w:spacing w:line="0" w:lineRule="atLeast"/>
        <w:jc w:val="both"/>
        <w:rPr>
          <w:rFonts w:eastAsia="Arial Narrow" w:cs="Arial"/>
          <w:szCs w:val="20"/>
          <w:lang w:eastAsia="sl-SI"/>
        </w:rPr>
      </w:pPr>
    </w:p>
    <w:p w14:paraId="73B82F12" w14:textId="77777777" w:rsidR="00971056" w:rsidRPr="005E4BEA" w:rsidRDefault="00FF679B" w:rsidP="00971056">
      <w:pPr>
        <w:spacing w:line="240" w:lineRule="auto"/>
        <w:jc w:val="both"/>
        <w:rPr>
          <w:rFonts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8" w:name="_Hlk103064567"/>
      <w:r w:rsidRPr="005E4BEA">
        <w:rPr>
          <w:rFonts w:eastAsia="Arial Narrow" w:cs="Arial"/>
          <w:bCs/>
          <w:szCs w:val="20"/>
        </w:rPr>
        <w:t xml:space="preserve">da se </w:t>
      </w:r>
      <w:r w:rsidR="00971056" w:rsidRPr="005E4BEA">
        <w:rPr>
          <w:rFonts w:eastAsia="Arial Narrow" w:cs="Arial"/>
          <w:bCs/>
          <w:szCs w:val="20"/>
        </w:rPr>
        <w:t>v</w:t>
      </w:r>
      <w:r w:rsidR="00971056" w:rsidRPr="005E4BEA">
        <w:rPr>
          <w:rFonts w:cs="Arial"/>
          <w:bCs/>
          <w:szCs w:val="20"/>
        </w:rPr>
        <w:t xml:space="preserve"> 24. členu v šestem odstavku doda:</w:t>
      </w:r>
    </w:p>
    <w:p w14:paraId="7BF2B747" w14:textId="77777777" w:rsidR="00971056" w:rsidRPr="005E4BEA" w:rsidRDefault="00971056" w:rsidP="00971056">
      <w:pPr>
        <w:spacing w:line="240" w:lineRule="auto"/>
        <w:jc w:val="both"/>
        <w:rPr>
          <w:rFonts w:cs="Arial"/>
          <w:bCs/>
          <w:szCs w:val="20"/>
        </w:rPr>
      </w:pPr>
    </w:p>
    <w:tbl>
      <w:tblPr>
        <w:tblW w:w="6940" w:type="dxa"/>
        <w:tblCellMar>
          <w:left w:w="0" w:type="dxa"/>
          <w:right w:w="0" w:type="dxa"/>
        </w:tblCellMar>
        <w:tblLook w:val="04A0" w:firstRow="1" w:lastRow="0" w:firstColumn="1" w:lastColumn="0" w:noHBand="0" w:noVBand="1"/>
      </w:tblPr>
      <w:tblGrid>
        <w:gridCol w:w="4340"/>
        <w:gridCol w:w="1220"/>
        <w:gridCol w:w="1420"/>
      </w:tblGrid>
      <w:tr w:rsidR="00971056" w:rsidRPr="005E4BEA" w14:paraId="5B73DD0B" w14:textId="77777777" w:rsidTr="00F40403">
        <w:trPr>
          <w:trHeight w:val="870"/>
        </w:trPr>
        <w:tc>
          <w:tcPr>
            <w:tcW w:w="434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96E14CF" w14:textId="77777777" w:rsidR="00971056" w:rsidRPr="005E4BEA" w:rsidRDefault="00971056" w:rsidP="00F40403">
            <w:pPr>
              <w:rPr>
                <w:rFonts w:ascii="Calibri" w:hAnsi="Calibri"/>
                <w:szCs w:val="22"/>
                <w:lang w:eastAsia="sl-SI"/>
              </w:rPr>
            </w:pPr>
            <w:r w:rsidRPr="005E4BEA">
              <w:t>NAZIV</w:t>
            </w:r>
          </w:p>
        </w:tc>
        <w:tc>
          <w:tcPr>
            <w:tcW w:w="122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F20FFF8" w14:textId="77777777" w:rsidR="00971056" w:rsidRPr="005E4BEA" w:rsidRDefault="00971056" w:rsidP="00F40403">
            <w:pPr>
              <w:rPr>
                <w:b/>
                <w:bCs/>
              </w:rPr>
            </w:pPr>
            <w:r w:rsidRPr="005E4BEA">
              <w:rPr>
                <w:b/>
                <w:bCs/>
                <w:color w:val="000000"/>
              </w:rPr>
              <w:t>Dodatne uteži od 1.1.2022</w:t>
            </w:r>
          </w:p>
        </w:tc>
        <w:tc>
          <w:tcPr>
            <w:tcW w:w="138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008C4D5" w14:textId="77777777" w:rsidR="00971056" w:rsidRPr="005E4BEA" w:rsidRDefault="00971056" w:rsidP="00F40403">
            <w:pPr>
              <w:rPr>
                <w:b/>
                <w:bCs/>
              </w:rPr>
            </w:pPr>
            <w:r w:rsidRPr="005E4BEA">
              <w:rPr>
                <w:b/>
                <w:bCs/>
                <w:color w:val="000000"/>
              </w:rPr>
              <w:t>Vrednost širitve od 1.1.2022</w:t>
            </w:r>
          </w:p>
        </w:tc>
      </w:tr>
      <w:tr w:rsidR="00971056" w:rsidRPr="005E4BEA" w14:paraId="3A0BFAAD"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6F3DBA5" w14:textId="77777777" w:rsidR="00971056" w:rsidRPr="005E4BEA" w:rsidRDefault="00971056" w:rsidP="00F40403">
            <w:r w:rsidRPr="005E4BEA">
              <w:t>SPLOŠNA BOLNIŠNICA CELJE</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43E0AF4" w14:textId="77777777" w:rsidR="00971056" w:rsidRPr="005E4BEA" w:rsidRDefault="00971056" w:rsidP="00F40403">
            <w:pPr>
              <w:jc w:val="right"/>
            </w:pPr>
            <w:r w:rsidRPr="005E4BEA">
              <w:rPr>
                <w:color w:val="000000"/>
              </w:rPr>
              <w:t>2.970,36</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370D74" w14:textId="77777777" w:rsidR="00971056" w:rsidRPr="005E4BEA" w:rsidRDefault="00971056" w:rsidP="00F40403">
            <w:pPr>
              <w:jc w:val="right"/>
              <w:rPr>
                <w:b/>
                <w:bCs/>
              </w:rPr>
            </w:pPr>
            <w:r w:rsidRPr="005E4BEA">
              <w:rPr>
                <w:b/>
                <w:bCs/>
                <w:color w:val="000000"/>
              </w:rPr>
              <w:t>4.351.666,51</w:t>
            </w:r>
          </w:p>
        </w:tc>
      </w:tr>
      <w:tr w:rsidR="00971056" w:rsidRPr="005E4BEA" w14:paraId="739A4C9A"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9C8919" w14:textId="77777777" w:rsidR="00971056" w:rsidRPr="005E4BEA" w:rsidRDefault="00971056" w:rsidP="00F40403">
            <w:r w:rsidRPr="005E4BEA">
              <w:t xml:space="preserve">SPLOŠNA BOLNIŠNICA IZOLA </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8448483" w14:textId="77777777" w:rsidR="00971056" w:rsidRPr="005E4BEA" w:rsidRDefault="00971056" w:rsidP="00F40403">
            <w:pPr>
              <w:jc w:val="right"/>
            </w:pPr>
            <w:r w:rsidRPr="005E4BEA">
              <w:rPr>
                <w:color w:val="000000"/>
              </w:rPr>
              <w:t>1.534,91</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9C55F3" w14:textId="77777777" w:rsidR="00971056" w:rsidRPr="005E4BEA" w:rsidRDefault="00971056" w:rsidP="00F40403">
            <w:pPr>
              <w:jc w:val="right"/>
              <w:rPr>
                <w:b/>
                <w:bCs/>
              </w:rPr>
            </w:pPr>
            <w:r w:rsidRPr="005E4BEA">
              <w:rPr>
                <w:b/>
                <w:bCs/>
                <w:color w:val="000000"/>
              </w:rPr>
              <w:t>2.248.689,20</w:t>
            </w:r>
          </w:p>
        </w:tc>
      </w:tr>
      <w:tr w:rsidR="00971056" w:rsidRPr="005E4BEA" w14:paraId="1C3D7F0C"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799D6B" w14:textId="77777777" w:rsidR="00971056" w:rsidRPr="005E4BEA" w:rsidRDefault="00971056" w:rsidP="00F40403">
            <w:r w:rsidRPr="005E4BEA">
              <w:t>UNIVERZITETNI KLINIČNI CENTER LJUBLJANA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198D3E2" w14:textId="77777777" w:rsidR="00971056" w:rsidRPr="005E4BEA" w:rsidRDefault="00971056" w:rsidP="00F40403">
            <w:pPr>
              <w:jc w:val="right"/>
            </w:pPr>
            <w:r w:rsidRPr="005E4BEA">
              <w:rPr>
                <w:color w:val="000000"/>
              </w:rPr>
              <w:t>9.961,20</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F055FEA" w14:textId="77777777" w:rsidR="00971056" w:rsidRPr="005E4BEA" w:rsidRDefault="00971056" w:rsidP="00F40403">
            <w:pPr>
              <w:jc w:val="right"/>
              <w:rPr>
                <w:b/>
                <w:bCs/>
              </w:rPr>
            </w:pPr>
            <w:r w:rsidRPr="005E4BEA">
              <w:rPr>
                <w:b/>
                <w:bCs/>
                <w:color w:val="000000"/>
              </w:rPr>
              <w:t>14.593.456,84</w:t>
            </w:r>
          </w:p>
        </w:tc>
      </w:tr>
      <w:tr w:rsidR="00971056" w:rsidRPr="005E4BEA" w14:paraId="18276704"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3FA1DC" w14:textId="77777777" w:rsidR="00971056" w:rsidRPr="005E4BEA" w:rsidRDefault="00971056" w:rsidP="00F40403">
            <w:r w:rsidRPr="005E4BEA">
              <w:t>BOLNIŠNICA TOPOLŠICA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315F18" w14:textId="77777777" w:rsidR="00971056" w:rsidRPr="005E4BEA" w:rsidRDefault="00971056" w:rsidP="00F40403">
            <w:pPr>
              <w:jc w:val="right"/>
            </w:pPr>
            <w:r w:rsidRPr="005E4BEA">
              <w:rPr>
                <w:color w:val="000000"/>
              </w:rPr>
              <w:t>353,31</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31A0466" w14:textId="77777777" w:rsidR="00971056" w:rsidRPr="005E4BEA" w:rsidRDefault="00971056" w:rsidP="00F40403">
            <w:pPr>
              <w:jc w:val="right"/>
              <w:rPr>
                <w:b/>
                <w:bCs/>
              </w:rPr>
            </w:pPr>
            <w:r w:rsidRPr="005E4BEA">
              <w:rPr>
                <w:b/>
                <w:bCs/>
                <w:color w:val="000000"/>
              </w:rPr>
              <w:t>517.609,75</w:t>
            </w:r>
          </w:p>
        </w:tc>
      </w:tr>
      <w:tr w:rsidR="00971056" w:rsidRPr="005E4BEA" w14:paraId="40740A4D"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A7D381" w14:textId="77777777" w:rsidR="00971056" w:rsidRPr="005E4BEA" w:rsidRDefault="00971056" w:rsidP="00F40403">
            <w:r w:rsidRPr="005E4BEA">
              <w:t>BGP KRANJ</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369DE8B" w14:textId="77777777" w:rsidR="00971056" w:rsidRPr="005E4BEA" w:rsidRDefault="00971056" w:rsidP="00F40403">
            <w:pPr>
              <w:jc w:val="right"/>
            </w:pPr>
            <w:r w:rsidRPr="005E4BEA">
              <w:rPr>
                <w:color w:val="000000"/>
              </w:rPr>
              <w:t>481,15</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8B5CCE" w14:textId="77777777" w:rsidR="00971056" w:rsidRPr="005E4BEA" w:rsidRDefault="00971056" w:rsidP="00F40403">
            <w:pPr>
              <w:jc w:val="right"/>
              <w:rPr>
                <w:b/>
                <w:bCs/>
              </w:rPr>
            </w:pPr>
            <w:r w:rsidRPr="005E4BEA">
              <w:rPr>
                <w:b/>
                <w:bCs/>
                <w:color w:val="000000"/>
              </w:rPr>
              <w:t>704.899,18</w:t>
            </w:r>
          </w:p>
        </w:tc>
      </w:tr>
      <w:tr w:rsidR="00971056" w:rsidRPr="005E4BEA" w14:paraId="00DFB90E"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BC000B" w14:textId="77777777" w:rsidR="00971056" w:rsidRPr="005E4BEA" w:rsidRDefault="00971056" w:rsidP="00F40403">
            <w:r w:rsidRPr="005E4BEA">
              <w:t>UNIVERZITETNI KLINIČNI CENTER MARIBOR</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D5A7831" w14:textId="77777777" w:rsidR="00971056" w:rsidRPr="005E4BEA" w:rsidRDefault="00971056" w:rsidP="00F40403">
            <w:pPr>
              <w:jc w:val="right"/>
            </w:pPr>
            <w:r w:rsidRPr="005E4BEA">
              <w:rPr>
                <w:color w:val="000000"/>
              </w:rPr>
              <w:t>4.296,53</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2C1D39B" w14:textId="77777777" w:rsidR="00971056" w:rsidRPr="005E4BEA" w:rsidRDefault="00971056" w:rsidP="00F40403">
            <w:pPr>
              <w:jc w:val="right"/>
              <w:rPr>
                <w:b/>
                <w:bCs/>
              </w:rPr>
            </w:pPr>
            <w:r w:rsidRPr="005E4BEA">
              <w:rPr>
                <w:b/>
                <w:bCs/>
                <w:color w:val="000000"/>
              </w:rPr>
              <w:t>6.294.545,35</w:t>
            </w:r>
          </w:p>
        </w:tc>
      </w:tr>
      <w:tr w:rsidR="00971056" w:rsidRPr="005E4BEA" w14:paraId="2B2A108B"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CAF61A" w14:textId="77777777" w:rsidR="00971056" w:rsidRPr="005E4BEA" w:rsidRDefault="00971056" w:rsidP="00F40403">
            <w:r w:rsidRPr="005E4BEA">
              <w:t>SPLOŠNA BOLNIŠNICA MURSKA SOBOTA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24FF6C7" w14:textId="77777777" w:rsidR="00971056" w:rsidRPr="005E4BEA" w:rsidRDefault="00971056" w:rsidP="00F40403">
            <w:pPr>
              <w:jc w:val="right"/>
            </w:pPr>
            <w:r w:rsidRPr="005E4BEA">
              <w:rPr>
                <w:color w:val="000000"/>
              </w:rPr>
              <w:t>1.596,77</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0BAD92A" w14:textId="77777777" w:rsidR="00971056" w:rsidRPr="005E4BEA" w:rsidRDefault="00971056" w:rsidP="00F40403">
            <w:pPr>
              <w:jc w:val="right"/>
              <w:rPr>
                <w:b/>
                <w:bCs/>
              </w:rPr>
            </w:pPr>
            <w:r w:rsidRPr="005E4BEA">
              <w:rPr>
                <w:b/>
                <w:bCs/>
                <w:color w:val="000000"/>
              </w:rPr>
              <w:t>2.339.315,95</w:t>
            </w:r>
          </w:p>
        </w:tc>
      </w:tr>
      <w:tr w:rsidR="00971056" w:rsidRPr="005E4BEA" w14:paraId="5CE38945"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7C962FD" w14:textId="77777777" w:rsidR="00971056" w:rsidRPr="005E4BEA" w:rsidRDefault="00971056" w:rsidP="00F40403">
            <w:r w:rsidRPr="005E4BEA">
              <w:t>SPLOŠNA BOLNIŠNICA NOVA GORICA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3E74A1E" w14:textId="77777777" w:rsidR="00971056" w:rsidRPr="005E4BEA" w:rsidRDefault="00971056" w:rsidP="00F40403">
            <w:pPr>
              <w:jc w:val="right"/>
            </w:pPr>
            <w:r w:rsidRPr="005E4BEA">
              <w:rPr>
                <w:color w:val="000000"/>
              </w:rPr>
              <w:t>1.573,84</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13424E" w14:textId="77777777" w:rsidR="00971056" w:rsidRPr="005E4BEA" w:rsidRDefault="00971056" w:rsidP="00F40403">
            <w:pPr>
              <w:jc w:val="right"/>
              <w:rPr>
                <w:b/>
                <w:bCs/>
              </w:rPr>
            </w:pPr>
            <w:r w:rsidRPr="005E4BEA">
              <w:rPr>
                <w:b/>
                <w:bCs/>
                <w:color w:val="000000"/>
              </w:rPr>
              <w:t>2.305.722,82</w:t>
            </w:r>
          </w:p>
        </w:tc>
      </w:tr>
      <w:tr w:rsidR="00971056" w:rsidRPr="005E4BEA" w14:paraId="1A66D7BC"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15FB4D" w14:textId="77777777" w:rsidR="00971056" w:rsidRPr="005E4BEA" w:rsidRDefault="00971056" w:rsidP="00F40403">
            <w:r w:rsidRPr="005E4BEA">
              <w:t>SPLOŠNA BOLNIŠNICA SLOVENJ GRADEC</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6568DA5" w14:textId="77777777" w:rsidR="00971056" w:rsidRPr="005E4BEA" w:rsidRDefault="00971056" w:rsidP="00F40403">
            <w:pPr>
              <w:jc w:val="right"/>
            </w:pPr>
            <w:r w:rsidRPr="005E4BEA">
              <w:rPr>
                <w:color w:val="000000"/>
              </w:rPr>
              <w:t>1.571,17</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184B028" w14:textId="77777777" w:rsidR="00971056" w:rsidRPr="005E4BEA" w:rsidRDefault="00971056" w:rsidP="00F40403">
            <w:pPr>
              <w:jc w:val="right"/>
              <w:rPr>
                <w:b/>
                <w:bCs/>
              </w:rPr>
            </w:pPr>
            <w:r w:rsidRPr="005E4BEA">
              <w:rPr>
                <w:b/>
                <w:bCs/>
                <w:color w:val="000000"/>
              </w:rPr>
              <w:t>2.301.811,19</w:t>
            </w:r>
          </w:p>
        </w:tc>
      </w:tr>
      <w:tr w:rsidR="00971056" w:rsidRPr="005E4BEA" w14:paraId="7B0E53A3" w14:textId="77777777" w:rsidTr="00F40403">
        <w:trPr>
          <w:trHeight w:val="290"/>
        </w:trPr>
        <w:tc>
          <w:tcPr>
            <w:tcW w:w="4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6EFBAB" w14:textId="77777777" w:rsidR="00971056" w:rsidRPr="005E4BEA" w:rsidRDefault="00971056" w:rsidP="00F40403">
            <w:pPr>
              <w:rPr>
                <w:b/>
                <w:bCs/>
              </w:rPr>
            </w:pPr>
            <w:r w:rsidRPr="005E4BEA">
              <w:rPr>
                <w:b/>
                <w:bCs/>
              </w:rPr>
              <w:t>Skupaj</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AB9CE0D" w14:textId="77777777" w:rsidR="00971056" w:rsidRPr="005E4BEA" w:rsidRDefault="00971056" w:rsidP="00F40403">
            <w:pPr>
              <w:rPr>
                <w:b/>
                <w:bCs/>
              </w:rPr>
            </w:pPr>
            <w:r w:rsidRPr="005E4BEA">
              <w:rPr>
                <w:b/>
                <w:bCs/>
                <w:color w:val="000000"/>
              </w:rPr>
              <w:t> </w:t>
            </w:r>
          </w:p>
        </w:tc>
        <w:tc>
          <w:tcPr>
            <w:tcW w:w="13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522972C" w14:textId="77777777" w:rsidR="00971056" w:rsidRPr="005E4BEA" w:rsidRDefault="00971056" w:rsidP="00F40403">
            <w:pPr>
              <w:jc w:val="right"/>
              <w:rPr>
                <w:b/>
                <w:bCs/>
              </w:rPr>
            </w:pPr>
            <w:r w:rsidRPr="005E4BEA">
              <w:rPr>
                <w:b/>
                <w:bCs/>
                <w:color w:val="000000"/>
              </w:rPr>
              <w:t>35.657.716,78</w:t>
            </w:r>
          </w:p>
        </w:tc>
      </w:tr>
    </w:tbl>
    <w:p w14:paraId="6FABA08E" w14:textId="77777777" w:rsidR="00971056" w:rsidRPr="005E4BEA" w:rsidRDefault="00971056" w:rsidP="00971056">
      <w:pPr>
        <w:spacing w:line="240" w:lineRule="auto"/>
        <w:jc w:val="both"/>
        <w:rPr>
          <w:rFonts w:cs="Arial"/>
          <w:bCs/>
          <w:szCs w:val="20"/>
        </w:rPr>
      </w:pPr>
    </w:p>
    <w:p w14:paraId="263B49AB" w14:textId="77777777" w:rsidR="00971056" w:rsidRPr="005E4BEA" w:rsidRDefault="00971056" w:rsidP="00971056">
      <w:pPr>
        <w:autoSpaceDE w:val="0"/>
        <w:autoSpaceDN w:val="0"/>
        <w:adjustRightInd w:val="0"/>
        <w:spacing w:line="0" w:lineRule="atLeast"/>
        <w:jc w:val="both"/>
        <w:rPr>
          <w:rFonts w:eastAsia="Arial Narrow" w:cs="Arial"/>
          <w:szCs w:val="20"/>
        </w:rPr>
      </w:pPr>
    </w:p>
    <w:p w14:paraId="4B85F61E" w14:textId="77777777" w:rsidR="00971056" w:rsidRPr="005E4BEA" w:rsidRDefault="00971056" w:rsidP="00971056">
      <w:pPr>
        <w:rPr>
          <w:rFonts w:cs="Arial"/>
          <w:b/>
          <w:bCs/>
          <w:szCs w:val="22"/>
        </w:rPr>
      </w:pPr>
      <w:r w:rsidRPr="005E4BEA">
        <w:rPr>
          <w:rFonts w:cs="Arial"/>
          <w:b/>
          <w:bCs/>
        </w:rPr>
        <w:t>V prilogi III/c se pod točko 1. doda novi (9) odstavek, ki glasi:</w:t>
      </w:r>
    </w:p>
    <w:p w14:paraId="6D3FC44C" w14:textId="77777777" w:rsidR="00971056" w:rsidRPr="005E4BEA" w:rsidRDefault="00971056" w:rsidP="00971056">
      <w:pPr>
        <w:jc w:val="both"/>
        <w:rPr>
          <w:rFonts w:eastAsiaTheme="minorHAnsi" w:cs="Arial"/>
          <w:iCs/>
          <w:szCs w:val="20"/>
        </w:rPr>
      </w:pPr>
      <w:r w:rsidRPr="005E4BEA">
        <w:rPr>
          <w:rFonts w:eastAsiaTheme="minorHAnsi" w:cs="Arial"/>
          <w:iCs/>
          <w:szCs w:val="20"/>
        </w:rPr>
        <w:t>»(9) Za širitve programa iz Aneksa št 1 k SD 2021 se iz uteži izvede preračun v primere, tako, da se število uteži za izvajalca deli s povprečno doseženo utežjo v letu 2021, te primeri in uteži se upoštevajo pri planih v naslednjih letih. Dodeljene uteži in izračunane primere se doda v plan preostale ABO za posameznega izvajalca. Pri končnem letnem obračunu se za izplačilo upošteva dosežene uteži izvajalca, vendar največ do pogodbenega plana.«</w:t>
      </w:r>
    </w:p>
    <w:bookmarkEnd w:id="18"/>
    <w:p w14:paraId="2BCA6AFB" w14:textId="425A8AED" w:rsidR="00FF679B" w:rsidRPr="005E4BEA" w:rsidRDefault="00FF679B" w:rsidP="00FF679B">
      <w:pPr>
        <w:spacing w:line="240" w:lineRule="auto"/>
        <w:jc w:val="both"/>
        <w:rPr>
          <w:rFonts w:eastAsia="Arial Narrow" w:cs="Arial"/>
          <w:bCs/>
          <w:szCs w:val="20"/>
        </w:rPr>
      </w:pPr>
      <w:r w:rsidRPr="005E4BEA">
        <w:rPr>
          <w:rFonts w:cs="Arial"/>
          <w:bCs/>
          <w:szCs w:val="20"/>
        </w:rPr>
        <w:t xml:space="preserve"> </w:t>
      </w:r>
    </w:p>
    <w:p w14:paraId="578FE471" w14:textId="77777777" w:rsidR="00FF679B" w:rsidRPr="005E4BEA" w:rsidRDefault="00FF679B" w:rsidP="00FE461F">
      <w:pPr>
        <w:spacing w:line="240" w:lineRule="auto"/>
        <w:jc w:val="both"/>
        <w:rPr>
          <w:rFonts w:eastAsiaTheme="minorHAnsi" w:cs="Arial"/>
          <w:iCs/>
          <w:szCs w:val="20"/>
        </w:rPr>
      </w:pPr>
    </w:p>
    <w:p w14:paraId="2BCC090C" w14:textId="77777777" w:rsidR="00A96E31" w:rsidRPr="005E4BEA" w:rsidRDefault="00A96E31" w:rsidP="00FE461F">
      <w:pPr>
        <w:spacing w:line="240" w:lineRule="auto"/>
        <w:jc w:val="both"/>
        <w:rPr>
          <w:rFonts w:eastAsiaTheme="minorHAnsi" w:cs="Arial"/>
          <w:iCs/>
          <w:szCs w:val="20"/>
        </w:rPr>
      </w:pPr>
    </w:p>
    <w:p w14:paraId="5048A6B1" w14:textId="1CC6E4A4" w:rsidR="00A96E31" w:rsidRPr="005E4BEA" w:rsidRDefault="00A96E31"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(14)</w:t>
      </w:r>
    </w:p>
    <w:p w14:paraId="64BCB6F9" w14:textId="36C462AC" w:rsidR="00A96E31" w:rsidRPr="005E4BEA" w:rsidRDefault="00A96E31" w:rsidP="00A96E31">
      <w:pPr>
        <w:spacing w:line="0" w:lineRule="atLeast"/>
        <w:contextualSpacing/>
        <w:jc w:val="both"/>
        <w:rPr>
          <w:rFonts w:eastAsia="Arial Narrow" w:cs="Arial"/>
          <w:b/>
          <w:szCs w:val="20"/>
        </w:rPr>
      </w:pPr>
    </w:p>
    <w:p w14:paraId="1762D43C" w14:textId="03CA9F79" w:rsidR="00FE461F" w:rsidRPr="005E4BEA" w:rsidRDefault="00A96E31" w:rsidP="00FE461F">
      <w:pPr>
        <w:spacing w:line="240" w:lineRule="auto"/>
        <w:jc w:val="both"/>
        <w:rPr>
          <w:rFonts w:cs="Arial"/>
          <w:b/>
          <w:bCs/>
          <w:szCs w:val="20"/>
        </w:rPr>
      </w:pPr>
      <w:r w:rsidRPr="005E4BEA">
        <w:rPr>
          <w:rFonts w:eastAsia="Arial Narrow" w:cs="Arial"/>
          <w:b/>
          <w:szCs w:val="20"/>
        </w:rPr>
        <w:t xml:space="preserve">Zdravniška zbornica Slovenije predlaga, </w:t>
      </w:r>
      <w:r w:rsidRPr="005E4BEA">
        <w:rPr>
          <w:rFonts w:eastAsia="Arial Narrow" w:cs="Arial"/>
          <w:bCs/>
          <w:szCs w:val="20"/>
        </w:rPr>
        <w:t>da se d</w:t>
      </w:r>
      <w:r w:rsidR="00FE461F" w:rsidRPr="005E4BEA">
        <w:rPr>
          <w:rFonts w:cs="Arial"/>
          <w:bCs/>
          <w:szCs w:val="20"/>
        </w:rPr>
        <w:t>oda nov 3. odstavek 6. člena, ki se glasi</w:t>
      </w:r>
      <w:r w:rsidR="00FE461F" w:rsidRPr="005E4BEA">
        <w:rPr>
          <w:rFonts w:cs="Arial"/>
          <w:b/>
          <w:bCs/>
          <w:szCs w:val="20"/>
        </w:rPr>
        <w:t>:</w:t>
      </w:r>
    </w:p>
    <w:p w14:paraId="4574B2A6" w14:textId="77777777" w:rsidR="00FE461F" w:rsidRPr="005E4BEA" w:rsidRDefault="00FE461F" w:rsidP="00FE461F">
      <w:pPr>
        <w:spacing w:before="120" w:after="60" w:line="240" w:lineRule="auto"/>
        <w:jc w:val="both"/>
        <w:rPr>
          <w:rFonts w:eastAsiaTheme="minorHAnsi" w:cs="Arial"/>
          <w:szCs w:val="20"/>
        </w:rPr>
      </w:pPr>
      <w:r w:rsidRPr="005E4BEA">
        <w:rPr>
          <w:rFonts w:eastAsiaTheme="minorHAnsi" w:cs="Arial"/>
          <w:szCs w:val="20"/>
        </w:rPr>
        <w:t xml:space="preserve">(3) Pogodbeni program, ki ga izvajalec v preteklem letu ni opravil, se v začetku tekočega leta najprej kot dodatni program ponudi izvajalcu, ki pogodbenega programa v preteklem letu ni opravil. V kolikor omenjeni izvajalec ne želi opravljati omenjenega dodatnega programa, se prerazporejanje programa izvede v obliki razpisa, ki ga objavi ZZZS v začetku tekočega leta (v prvem kvartalu). Razpis za neopravljene storitve se izvede najprej znotraj posamezne območne enote ZZZS, v kateri program ni bil opravljen. V kolikor ni dovolj prijav izvajalcev iz območne enote, v kateri je ostal nerazporejen program, se program razporeja še po ostalih območnih enotah ZZZS. Na ta način pridobljen program se ne sme preoblikovati v drugo zvrst zobozdravstvene dejavnosti. </w:t>
      </w:r>
    </w:p>
    <w:p w14:paraId="28F674A1" w14:textId="77777777" w:rsidR="00FE461F" w:rsidRPr="005E4BEA" w:rsidRDefault="00FE461F" w:rsidP="00FE461F">
      <w:pPr>
        <w:spacing w:after="160" w:line="259" w:lineRule="auto"/>
        <w:rPr>
          <w:rFonts w:eastAsiaTheme="minorHAnsi" w:cs="Arial"/>
          <w:bCs/>
          <w:szCs w:val="20"/>
        </w:rPr>
      </w:pPr>
    </w:p>
    <w:p w14:paraId="11E514AA"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 xml:space="preserve">Obrazložitev: </w:t>
      </w:r>
    </w:p>
    <w:p w14:paraId="1C567EDF"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Že vrsto let je pereč problem, da določeni programi znotraj javne zdravstvene mreže, tako pri javnih zavodih kot koncesionarjih, na letni ravni niso opravljeni v celoti. V letošnjem letu bo zaradi koronavirusa nerealiziranega programa še več. Zavarovancem bi morali omogočiti takšno količino storitev kot je dogovorjena v pogodbenih programih, ne glede na to komu so ti programi dodeljeni. Zato predlagamo model prerazporejanja neopravljenega programa, ki bi omogočil, da se neopravljen program  iz preteklega leta v tekočem letu prerazporedi izvajalcem, ki imajo na voljo opremo in kader ter so pripravljeni prevzeti omenjeni program. Neporabljena sredstva pomenijo zmanjšano oskrbo pacientov, ki imajo že tako težave zaradi nedostopnosti in tudi dolgih čakalnih dob ter večjo verjetnost, da bodo pacienti iskali oskrbo izven naših meja.</w:t>
      </w:r>
    </w:p>
    <w:p w14:paraId="3D4E04EF"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264F01FE" w14:textId="6EFC5DA0"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w:t>
      </w:r>
    </w:p>
    <w:p w14:paraId="0BDC285A" w14:textId="77777777" w:rsidR="00A96E31" w:rsidRPr="005E4BEA" w:rsidRDefault="00A96E31" w:rsidP="00A96E31">
      <w:pPr>
        <w:spacing w:line="240" w:lineRule="auto"/>
        <w:jc w:val="both"/>
        <w:rPr>
          <w:rFonts w:cs="Arial"/>
          <w:i/>
          <w:iCs/>
          <w:color w:val="808080" w:themeColor="background1" w:themeShade="80"/>
          <w:szCs w:val="20"/>
        </w:rPr>
      </w:pPr>
    </w:p>
    <w:p w14:paraId="1804BB3F" w14:textId="77777777" w:rsidR="00A96E31" w:rsidRPr="005E4BEA" w:rsidRDefault="00A96E31" w:rsidP="00A96E3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08901C5C" w14:textId="77777777" w:rsidR="00A96E31" w:rsidRPr="005E4BEA" w:rsidRDefault="00A96E31" w:rsidP="00A96E31">
      <w:pPr>
        <w:spacing w:line="0" w:lineRule="atLeast"/>
        <w:jc w:val="both"/>
        <w:rPr>
          <w:rFonts w:eastAsia="Arial Narrow" w:cs="Arial"/>
          <w:szCs w:val="20"/>
          <w:lang w:eastAsia="sl-SI"/>
        </w:rPr>
      </w:pPr>
    </w:p>
    <w:p w14:paraId="1B9C98F1" w14:textId="6EAE6EBC" w:rsidR="00A96E31" w:rsidRPr="005E4BEA" w:rsidRDefault="00A96E31" w:rsidP="00A96E31">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9" w:name="_Hlk102465451"/>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se 6. člen Splošnega dogovora za pogodbeno leto 2022 ne spremeni.</w:t>
      </w:r>
    </w:p>
    <w:bookmarkEnd w:id="19"/>
    <w:p w14:paraId="400C2A44"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77B68BBC"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34DB06B4" w14:textId="04441DC8" w:rsidR="00A96E31" w:rsidRPr="005E4BEA" w:rsidRDefault="00A96E31"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w:t>
      </w:r>
    </w:p>
    <w:p w14:paraId="311BA91A"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0EB96AB0" w14:textId="78C9D2B3" w:rsidR="00FE461F" w:rsidRPr="005E4BEA" w:rsidRDefault="00A96E31" w:rsidP="00FE461F">
      <w:pPr>
        <w:spacing w:line="240" w:lineRule="auto"/>
        <w:jc w:val="both"/>
        <w:rPr>
          <w:rFonts w:cs="Arial"/>
          <w:bCs/>
          <w:szCs w:val="20"/>
        </w:rPr>
      </w:pPr>
      <w:r w:rsidRPr="005E4BEA">
        <w:rPr>
          <w:rFonts w:eastAsia="Arial Narrow" w:cs="Arial"/>
          <w:b/>
          <w:szCs w:val="20"/>
        </w:rPr>
        <w:t>Združenje zdravstvenih zavodov Slovenije predlaga</w:t>
      </w:r>
      <w:r w:rsidRPr="005E4BEA">
        <w:rPr>
          <w:rFonts w:eastAsia="Arial Narrow" w:cs="Arial"/>
          <w:bCs/>
          <w:szCs w:val="20"/>
        </w:rPr>
        <w:t>, da se v</w:t>
      </w:r>
      <w:r w:rsidR="00FE461F" w:rsidRPr="005E4BEA">
        <w:rPr>
          <w:rFonts w:cs="Arial"/>
          <w:bCs/>
          <w:szCs w:val="20"/>
        </w:rPr>
        <w:t xml:space="preserve"> 7. členu (7) odstavek spremeni tako, da glasi: </w:t>
      </w:r>
    </w:p>
    <w:p w14:paraId="7A3EABAA" w14:textId="77777777" w:rsidR="00FE461F" w:rsidRPr="005E4BEA" w:rsidRDefault="00FE461F" w:rsidP="00FE461F">
      <w:pPr>
        <w:spacing w:line="240" w:lineRule="auto"/>
        <w:jc w:val="both"/>
        <w:rPr>
          <w:rFonts w:cs="Arial"/>
          <w:szCs w:val="20"/>
        </w:rPr>
      </w:pPr>
      <w:r w:rsidRPr="005E4BEA">
        <w:rPr>
          <w:rFonts w:cs="Arial"/>
          <w:szCs w:val="20"/>
        </w:rPr>
        <w:t xml:space="preserve">»(7) Delež administrativno-tehničnega kadra v kalkulacijah za planiranje in financiranje programov zdravstvenih storitev, z izjemo kalkulacij referenčne ambulante in skupnostne psihiatrične obravnave na domu ter akutno bolnišnične obravnave, lahko znaša največ 15,27 % zdravstvenega kadra. </w:t>
      </w:r>
    </w:p>
    <w:p w14:paraId="514C8EC5" w14:textId="71A51FA0" w:rsidR="00FE461F" w:rsidRPr="005E4BEA" w:rsidRDefault="00FE461F" w:rsidP="00FE461F">
      <w:pPr>
        <w:spacing w:line="240" w:lineRule="auto"/>
        <w:jc w:val="both"/>
        <w:rPr>
          <w:rFonts w:cs="Arial"/>
          <w:szCs w:val="20"/>
        </w:rPr>
      </w:pPr>
      <w:r w:rsidRPr="005E4BEA">
        <w:rPr>
          <w:rFonts w:cs="Arial"/>
          <w:szCs w:val="20"/>
        </w:rPr>
        <w:t>Delež administrativno-tehničnega kadra v akutno bolnišnični obravnavi znaša 26,4% zdravstvenega kadra.«</w:t>
      </w:r>
    </w:p>
    <w:p w14:paraId="66BB2E0A" w14:textId="77777777" w:rsidR="00A96E31" w:rsidRPr="005E4BEA" w:rsidRDefault="00A96E31" w:rsidP="00FE461F">
      <w:pPr>
        <w:spacing w:line="240" w:lineRule="auto"/>
        <w:jc w:val="both"/>
        <w:rPr>
          <w:rFonts w:cs="Arial"/>
          <w:szCs w:val="20"/>
        </w:rPr>
      </w:pPr>
    </w:p>
    <w:p w14:paraId="010DF8B5" w14:textId="35E22BA5" w:rsidR="00FE461F" w:rsidRPr="005E4BEA" w:rsidRDefault="00FE461F" w:rsidP="00FE461F">
      <w:pPr>
        <w:spacing w:line="240" w:lineRule="auto"/>
        <w:jc w:val="both"/>
        <w:rPr>
          <w:rFonts w:cs="Arial"/>
          <w:b/>
          <w:bCs/>
          <w:szCs w:val="20"/>
        </w:rPr>
      </w:pPr>
      <w:r w:rsidRPr="005E4BEA">
        <w:rPr>
          <w:rFonts w:cs="Arial"/>
          <w:b/>
          <w:bCs/>
          <w:szCs w:val="20"/>
        </w:rPr>
        <w:t>Skladno s tem se v Prilogi I spremenijo vsi standardi, ki imajo za ATK priznan 28 plačni razred.</w:t>
      </w:r>
    </w:p>
    <w:p w14:paraId="40B13601" w14:textId="77777777" w:rsidR="00A96E31" w:rsidRPr="005E4BEA" w:rsidRDefault="00A96E31" w:rsidP="00FE461F">
      <w:pPr>
        <w:spacing w:line="240" w:lineRule="auto"/>
        <w:jc w:val="both"/>
        <w:rPr>
          <w:rFonts w:cs="Arial"/>
          <w:b/>
          <w:bCs/>
          <w:szCs w:val="20"/>
        </w:rPr>
      </w:pPr>
    </w:p>
    <w:p w14:paraId="100AE2C4"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t>Obrazložitev:</w:t>
      </w:r>
    </w:p>
    <w:p w14:paraId="0CAA36B9"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i/>
          <w:iCs/>
          <w:color w:val="808080" w:themeColor="background1" w:themeShade="80"/>
          <w:szCs w:val="20"/>
        </w:rPr>
        <w:t xml:space="preserve">Za delovanje bolnišnic so potrebne obsežne oskrbovalne službe na področju bolniške prehrane, oskrbe s perilom, čiščenja in tehnično vzdrževalne službe za vzdrževanje zahtevne medicinske in nemedicinske opreme. Zato je delež administrativno tehničnega kadra v bolnišnicah bistveno višji, kot je trenutno priznan v cenah zdravstvenih storitev. Poleg povedanega bodo morale bolnišnice v letu 2021 v okviru nacionalne stroškovne analiza (NSA) za kalkulacijo uteži SPP vzpostaviti tudi sistem za evidentiranje materialnih stroškov na pacienta in poročanje ZZZS, kar zahteva angažiranje še dodatnega administrativnega kadra. Predlagamo, da se v standardih za </w:t>
      </w:r>
      <w:r w:rsidRPr="005E4BEA">
        <w:rPr>
          <w:rFonts w:cs="Arial"/>
          <w:i/>
          <w:iCs/>
          <w:color w:val="808080" w:themeColor="background1" w:themeShade="80"/>
          <w:szCs w:val="20"/>
        </w:rPr>
        <w:lastRenderedPageBreak/>
        <w:t>bolnišnični nivo, kjer je za ATK priznan plačni razred 28  delež administrativno tehničnega kadra poveča, saj narašča obseg administrativnih opravil in potrebna časovna dosegljivost administrativnega kadra, ki jih definirajo zakonodaja in različni predpisi na področju zdravstva. Pred leti je bil določen delež administrativno – tehničnega kadra v kalkulacijah za ambulantno dejavnost v Prilogi I Splošnega dogovora v višini 17,27%. Zaradi varčevalnih ukrepov v obdobju od 2009 -2014 se je delež administrativno tehničnega kadra v cenah zdravstvenih storitev znižal na 15,27% in se tudi po okrepitvi gospodarstva ni povečal. Predlagamo dvig na 26,4%</w:t>
      </w:r>
    </w:p>
    <w:tbl>
      <w:tblPr>
        <w:tblW w:w="9514" w:type="dxa"/>
        <w:tblCellMar>
          <w:left w:w="70" w:type="dxa"/>
          <w:right w:w="70" w:type="dxa"/>
        </w:tblCellMar>
        <w:tblLook w:val="04A0" w:firstRow="1" w:lastRow="0" w:firstColumn="1" w:lastColumn="0" w:noHBand="0" w:noVBand="1"/>
      </w:tblPr>
      <w:tblGrid>
        <w:gridCol w:w="3795"/>
        <w:gridCol w:w="1141"/>
        <w:gridCol w:w="1241"/>
        <w:gridCol w:w="2011"/>
        <w:gridCol w:w="1584"/>
      </w:tblGrid>
      <w:tr w:rsidR="00FE461F" w:rsidRPr="005E4BEA" w14:paraId="2644F061" w14:textId="77777777" w:rsidTr="0016774B">
        <w:trPr>
          <w:trHeight w:val="189"/>
        </w:trPr>
        <w:tc>
          <w:tcPr>
            <w:tcW w:w="3795" w:type="dxa"/>
            <w:tcBorders>
              <w:top w:val="nil"/>
              <w:left w:val="nil"/>
              <w:bottom w:val="nil"/>
              <w:right w:val="nil"/>
            </w:tcBorders>
            <w:noWrap/>
            <w:vAlign w:val="center"/>
            <w:hideMark/>
          </w:tcPr>
          <w:p w14:paraId="04C9A32A" w14:textId="77777777" w:rsidR="00FE461F" w:rsidRPr="005E4BEA" w:rsidRDefault="00FE461F" w:rsidP="00FE461F">
            <w:pPr>
              <w:spacing w:line="240" w:lineRule="auto"/>
              <w:rPr>
                <w:rFonts w:cs="Arial"/>
                <w:i/>
                <w:iCs/>
                <w:color w:val="808080" w:themeColor="background1" w:themeShade="80"/>
                <w:szCs w:val="20"/>
              </w:rPr>
            </w:pPr>
            <w:bookmarkStart w:id="20" w:name="RANGE!A1:C59"/>
            <w:bookmarkEnd w:id="20"/>
            <w:r w:rsidRPr="005E4BEA">
              <w:rPr>
                <w:rFonts w:cs="Arial"/>
                <w:i/>
                <w:iCs/>
                <w:color w:val="808080" w:themeColor="background1" w:themeShade="80"/>
                <w:szCs w:val="20"/>
              </w:rPr>
              <w:t>Število zaposlenih na dan 31. decembra</w:t>
            </w:r>
          </w:p>
          <w:p w14:paraId="7D8854B1" w14:textId="77777777" w:rsidR="00DC37BC" w:rsidRPr="005E4BEA" w:rsidRDefault="00DC37BC" w:rsidP="00FE461F">
            <w:pPr>
              <w:spacing w:line="240" w:lineRule="auto"/>
              <w:rPr>
                <w:rFonts w:cs="Arial"/>
                <w:i/>
                <w:iCs/>
                <w:color w:val="808080" w:themeColor="background1" w:themeShade="80"/>
                <w:szCs w:val="20"/>
              </w:rPr>
            </w:pPr>
          </w:p>
          <w:p w14:paraId="38A18648" w14:textId="77777777" w:rsidR="00DC37BC" w:rsidRPr="005E4BEA" w:rsidRDefault="00DC37BC" w:rsidP="00FE461F">
            <w:pPr>
              <w:spacing w:line="240" w:lineRule="auto"/>
              <w:rPr>
                <w:rFonts w:cs="Arial"/>
                <w:i/>
                <w:iCs/>
                <w:color w:val="808080" w:themeColor="background1" w:themeShade="80"/>
                <w:szCs w:val="20"/>
              </w:rPr>
            </w:pPr>
          </w:p>
          <w:p w14:paraId="79021B0D" w14:textId="72260BD9" w:rsidR="00DC37BC" w:rsidRPr="005E4BEA" w:rsidRDefault="00DC37BC" w:rsidP="00FE461F">
            <w:pPr>
              <w:spacing w:line="240" w:lineRule="auto"/>
              <w:rPr>
                <w:rFonts w:cs="Arial"/>
                <w:i/>
                <w:iCs/>
                <w:color w:val="808080" w:themeColor="background1" w:themeShade="80"/>
                <w:szCs w:val="20"/>
              </w:rPr>
            </w:pPr>
          </w:p>
        </w:tc>
        <w:tc>
          <w:tcPr>
            <w:tcW w:w="1022" w:type="dxa"/>
            <w:tcBorders>
              <w:top w:val="nil"/>
              <w:left w:val="nil"/>
              <w:bottom w:val="nil"/>
              <w:right w:val="nil"/>
            </w:tcBorders>
            <w:noWrap/>
            <w:vAlign w:val="center"/>
            <w:hideMark/>
          </w:tcPr>
          <w:p w14:paraId="48D4C3F5" w14:textId="77777777" w:rsidR="00FE461F" w:rsidRPr="005E4BEA" w:rsidRDefault="00FE461F" w:rsidP="00FE461F">
            <w:pPr>
              <w:spacing w:line="240" w:lineRule="auto"/>
              <w:rPr>
                <w:rFonts w:cs="Arial"/>
                <w:i/>
                <w:iCs/>
                <w:color w:val="808080" w:themeColor="background1" w:themeShade="80"/>
                <w:szCs w:val="20"/>
              </w:rPr>
            </w:pPr>
          </w:p>
          <w:p w14:paraId="60D4C0FD" w14:textId="29DAC56E" w:rsidR="00A209B4" w:rsidRPr="005E4BEA" w:rsidRDefault="00A209B4" w:rsidP="00FE461F">
            <w:pPr>
              <w:spacing w:line="240" w:lineRule="auto"/>
              <w:rPr>
                <w:rFonts w:cs="Arial"/>
                <w:i/>
                <w:iCs/>
                <w:color w:val="808080" w:themeColor="background1" w:themeShade="80"/>
                <w:szCs w:val="20"/>
              </w:rPr>
            </w:pPr>
          </w:p>
        </w:tc>
        <w:tc>
          <w:tcPr>
            <w:tcW w:w="1102" w:type="dxa"/>
            <w:tcBorders>
              <w:top w:val="nil"/>
              <w:left w:val="nil"/>
              <w:bottom w:val="nil"/>
              <w:right w:val="nil"/>
            </w:tcBorders>
            <w:noWrap/>
            <w:vAlign w:val="center"/>
            <w:hideMark/>
          </w:tcPr>
          <w:p w14:paraId="5CFC847F" w14:textId="77777777" w:rsidR="00FE461F" w:rsidRPr="005E4BEA" w:rsidRDefault="00FE461F" w:rsidP="00FE461F">
            <w:pPr>
              <w:spacing w:line="240" w:lineRule="auto"/>
              <w:rPr>
                <w:rFonts w:cs="Arial"/>
                <w:i/>
                <w:iCs/>
                <w:color w:val="808080" w:themeColor="background1" w:themeShade="80"/>
                <w:szCs w:val="20"/>
              </w:rPr>
            </w:pPr>
          </w:p>
        </w:tc>
        <w:tc>
          <w:tcPr>
            <w:tcW w:w="2011" w:type="dxa"/>
            <w:tcBorders>
              <w:top w:val="nil"/>
              <w:left w:val="nil"/>
              <w:bottom w:val="nil"/>
              <w:right w:val="nil"/>
            </w:tcBorders>
            <w:noWrap/>
            <w:vAlign w:val="center"/>
            <w:hideMark/>
          </w:tcPr>
          <w:p w14:paraId="5E73ED21" w14:textId="77777777" w:rsidR="00FE461F" w:rsidRPr="005E4BEA" w:rsidRDefault="00FE461F" w:rsidP="00FE461F">
            <w:pPr>
              <w:spacing w:line="240" w:lineRule="auto"/>
              <w:rPr>
                <w:rFonts w:cs="Arial"/>
                <w:i/>
                <w:iCs/>
                <w:color w:val="808080" w:themeColor="background1" w:themeShade="80"/>
                <w:szCs w:val="20"/>
              </w:rPr>
            </w:pPr>
          </w:p>
        </w:tc>
        <w:tc>
          <w:tcPr>
            <w:tcW w:w="1584" w:type="dxa"/>
            <w:tcBorders>
              <w:top w:val="nil"/>
              <w:left w:val="nil"/>
              <w:bottom w:val="nil"/>
              <w:right w:val="nil"/>
            </w:tcBorders>
            <w:noWrap/>
            <w:vAlign w:val="center"/>
            <w:hideMark/>
          </w:tcPr>
          <w:p w14:paraId="205CE188"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237AA642" w14:textId="77777777" w:rsidTr="0016774B">
        <w:trPr>
          <w:trHeight w:val="189"/>
        </w:trPr>
        <w:tc>
          <w:tcPr>
            <w:tcW w:w="3795" w:type="dxa"/>
            <w:tcBorders>
              <w:top w:val="nil"/>
              <w:left w:val="nil"/>
              <w:bottom w:val="nil"/>
              <w:right w:val="nil"/>
            </w:tcBorders>
            <w:noWrap/>
            <w:vAlign w:val="center"/>
            <w:hideMark/>
          </w:tcPr>
          <w:p w14:paraId="3DC68823" w14:textId="77777777" w:rsidR="00FE461F" w:rsidRPr="005E4BEA" w:rsidRDefault="00FE461F" w:rsidP="00FE461F">
            <w:pPr>
              <w:spacing w:line="240" w:lineRule="auto"/>
              <w:rPr>
                <w:rFonts w:cs="Arial"/>
                <w:b/>
                <w:bCs/>
                <w:i/>
                <w:iCs/>
                <w:szCs w:val="20"/>
              </w:rPr>
            </w:pPr>
            <w:r w:rsidRPr="005E4BEA">
              <w:rPr>
                <w:rFonts w:cs="Arial"/>
                <w:b/>
                <w:bCs/>
                <w:i/>
                <w:iCs/>
                <w:szCs w:val="20"/>
              </w:rPr>
              <w:t>Bolnišnice</w:t>
            </w:r>
          </w:p>
        </w:tc>
        <w:tc>
          <w:tcPr>
            <w:tcW w:w="1022" w:type="dxa"/>
            <w:tcBorders>
              <w:top w:val="nil"/>
              <w:left w:val="nil"/>
              <w:bottom w:val="single" w:sz="4" w:space="0" w:color="auto"/>
              <w:right w:val="nil"/>
            </w:tcBorders>
            <w:noWrap/>
            <w:vAlign w:val="center"/>
            <w:hideMark/>
          </w:tcPr>
          <w:p w14:paraId="04618AD3" w14:textId="77777777" w:rsidR="00FE461F" w:rsidRPr="005E4BEA" w:rsidRDefault="00FE461F" w:rsidP="00FE461F">
            <w:pPr>
              <w:spacing w:line="240" w:lineRule="auto"/>
              <w:rPr>
                <w:rFonts w:cs="Arial"/>
                <w:b/>
                <w:bCs/>
                <w:szCs w:val="20"/>
              </w:rPr>
            </w:pPr>
            <w:r w:rsidRPr="005E4BEA">
              <w:rPr>
                <w:rFonts w:cs="Arial"/>
                <w:b/>
                <w:bCs/>
                <w:szCs w:val="20"/>
              </w:rPr>
              <w:t> </w:t>
            </w:r>
          </w:p>
        </w:tc>
        <w:tc>
          <w:tcPr>
            <w:tcW w:w="1102" w:type="dxa"/>
            <w:tcBorders>
              <w:top w:val="nil"/>
              <w:left w:val="nil"/>
              <w:bottom w:val="single" w:sz="4" w:space="0" w:color="auto"/>
              <w:right w:val="nil"/>
            </w:tcBorders>
            <w:noWrap/>
            <w:vAlign w:val="center"/>
            <w:hideMark/>
          </w:tcPr>
          <w:p w14:paraId="2D17678B" w14:textId="77777777" w:rsidR="00FE461F" w:rsidRPr="005E4BEA" w:rsidRDefault="00FE461F" w:rsidP="00FE461F">
            <w:pPr>
              <w:spacing w:line="240" w:lineRule="auto"/>
              <w:jc w:val="center"/>
              <w:rPr>
                <w:rFonts w:cs="Arial"/>
                <w:szCs w:val="20"/>
              </w:rPr>
            </w:pPr>
            <w:r w:rsidRPr="005E4BEA">
              <w:rPr>
                <w:rFonts w:cs="Arial"/>
                <w:szCs w:val="20"/>
              </w:rPr>
              <w:t> </w:t>
            </w:r>
          </w:p>
        </w:tc>
        <w:tc>
          <w:tcPr>
            <w:tcW w:w="2011" w:type="dxa"/>
            <w:tcBorders>
              <w:top w:val="nil"/>
              <w:left w:val="nil"/>
              <w:bottom w:val="single" w:sz="4" w:space="0" w:color="auto"/>
              <w:right w:val="nil"/>
            </w:tcBorders>
            <w:noWrap/>
            <w:vAlign w:val="center"/>
            <w:hideMark/>
          </w:tcPr>
          <w:p w14:paraId="75EBFD62" w14:textId="77777777" w:rsidR="00FE461F" w:rsidRPr="005E4BEA" w:rsidRDefault="00FE461F" w:rsidP="00FE461F">
            <w:pPr>
              <w:spacing w:line="240" w:lineRule="auto"/>
              <w:jc w:val="center"/>
              <w:rPr>
                <w:rFonts w:cs="Arial"/>
                <w:szCs w:val="20"/>
              </w:rPr>
            </w:pPr>
            <w:r w:rsidRPr="005E4BEA">
              <w:rPr>
                <w:rFonts w:cs="Arial"/>
                <w:szCs w:val="20"/>
              </w:rPr>
              <w:t> </w:t>
            </w:r>
          </w:p>
        </w:tc>
        <w:tc>
          <w:tcPr>
            <w:tcW w:w="1584" w:type="dxa"/>
            <w:tcBorders>
              <w:top w:val="nil"/>
              <w:left w:val="nil"/>
              <w:bottom w:val="single" w:sz="4" w:space="0" w:color="auto"/>
              <w:right w:val="nil"/>
            </w:tcBorders>
            <w:noWrap/>
            <w:vAlign w:val="center"/>
            <w:hideMark/>
          </w:tcPr>
          <w:p w14:paraId="79649A26" w14:textId="77777777" w:rsidR="00FE461F" w:rsidRPr="005E4BEA" w:rsidRDefault="00FE461F" w:rsidP="00FE461F">
            <w:pPr>
              <w:spacing w:line="240" w:lineRule="auto"/>
              <w:jc w:val="center"/>
              <w:rPr>
                <w:rFonts w:cs="Arial"/>
                <w:szCs w:val="20"/>
              </w:rPr>
            </w:pPr>
            <w:r w:rsidRPr="005E4BEA">
              <w:rPr>
                <w:rFonts w:cs="Arial"/>
                <w:szCs w:val="20"/>
              </w:rPr>
              <w:t> </w:t>
            </w:r>
          </w:p>
        </w:tc>
      </w:tr>
      <w:tr w:rsidR="00FE461F" w:rsidRPr="005E4BEA" w14:paraId="49F333CC" w14:textId="77777777" w:rsidTr="0016774B">
        <w:trPr>
          <w:trHeight w:val="570"/>
        </w:trPr>
        <w:tc>
          <w:tcPr>
            <w:tcW w:w="3795" w:type="dxa"/>
            <w:tcBorders>
              <w:top w:val="nil"/>
              <w:left w:val="nil"/>
              <w:bottom w:val="nil"/>
              <w:right w:val="nil"/>
            </w:tcBorders>
            <w:noWrap/>
            <w:vAlign w:val="center"/>
            <w:hideMark/>
          </w:tcPr>
          <w:p w14:paraId="3348EE98" w14:textId="77777777" w:rsidR="00FE461F" w:rsidRPr="005E4BEA" w:rsidRDefault="00FE461F" w:rsidP="00FE461F">
            <w:pPr>
              <w:spacing w:line="240" w:lineRule="auto"/>
              <w:jc w:val="center"/>
              <w:rPr>
                <w:rFonts w:cs="Arial"/>
                <w:szCs w:val="20"/>
              </w:rPr>
            </w:pPr>
          </w:p>
        </w:tc>
        <w:tc>
          <w:tcPr>
            <w:tcW w:w="1022" w:type="dxa"/>
            <w:tcBorders>
              <w:top w:val="nil"/>
              <w:left w:val="single" w:sz="4" w:space="0" w:color="auto"/>
              <w:bottom w:val="single" w:sz="4" w:space="0" w:color="auto"/>
              <w:right w:val="single" w:sz="4" w:space="0" w:color="auto"/>
            </w:tcBorders>
            <w:vAlign w:val="center"/>
            <w:hideMark/>
          </w:tcPr>
          <w:p w14:paraId="0FF6150A" w14:textId="77777777" w:rsidR="00FE461F" w:rsidRPr="005E4BEA" w:rsidRDefault="00FE461F" w:rsidP="00FE461F">
            <w:pPr>
              <w:spacing w:line="240" w:lineRule="auto"/>
              <w:jc w:val="center"/>
              <w:rPr>
                <w:rFonts w:cs="Arial"/>
                <w:b/>
                <w:bCs/>
                <w:szCs w:val="20"/>
              </w:rPr>
            </w:pPr>
            <w:r w:rsidRPr="005E4BEA">
              <w:rPr>
                <w:rFonts w:cs="Arial"/>
                <w:b/>
                <w:bCs/>
                <w:szCs w:val="20"/>
              </w:rPr>
              <w:t>na dan</w:t>
            </w:r>
          </w:p>
        </w:tc>
        <w:tc>
          <w:tcPr>
            <w:tcW w:w="1102" w:type="dxa"/>
            <w:tcBorders>
              <w:top w:val="nil"/>
              <w:left w:val="nil"/>
              <w:bottom w:val="single" w:sz="4" w:space="0" w:color="auto"/>
              <w:right w:val="single" w:sz="4" w:space="0" w:color="auto"/>
            </w:tcBorders>
            <w:vAlign w:val="center"/>
            <w:hideMark/>
          </w:tcPr>
          <w:p w14:paraId="6E91CF9C" w14:textId="77777777" w:rsidR="00FE461F" w:rsidRPr="005E4BEA" w:rsidRDefault="00FE461F" w:rsidP="00FE461F">
            <w:pPr>
              <w:spacing w:line="240" w:lineRule="auto"/>
              <w:jc w:val="center"/>
              <w:rPr>
                <w:rFonts w:cs="Arial"/>
                <w:b/>
                <w:bCs/>
                <w:szCs w:val="20"/>
              </w:rPr>
            </w:pPr>
            <w:r w:rsidRPr="005E4BEA">
              <w:rPr>
                <w:rFonts w:cs="Arial"/>
                <w:b/>
                <w:bCs/>
                <w:szCs w:val="20"/>
              </w:rPr>
              <w:t>J – Ne zdravstveni delavci</w:t>
            </w:r>
          </w:p>
        </w:tc>
        <w:tc>
          <w:tcPr>
            <w:tcW w:w="2011" w:type="dxa"/>
            <w:tcBorders>
              <w:top w:val="nil"/>
              <w:left w:val="nil"/>
              <w:bottom w:val="single" w:sz="4" w:space="0" w:color="auto"/>
              <w:right w:val="single" w:sz="4" w:space="0" w:color="auto"/>
            </w:tcBorders>
            <w:vAlign w:val="center"/>
            <w:hideMark/>
          </w:tcPr>
          <w:p w14:paraId="6AD68F9A" w14:textId="77777777" w:rsidR="00FE461F" w:rsidRPr="005E4BEA" w:rsidRDefault="00FE461F" w:rsidP="00FE461F">
            <w:pPr>
              <w:spacing w:line="240" w:lineRule="auto"/>
              <w:jc w:val="center"/>
              <w:rPr>
                <w:rFonts w:cs="Arial"/>
                <w:b/>
                <w:bCs/>
                <w:szCs w:val="20"/>
              </w:rPr>
            </w:pPr>
            <w:r w:rsidRPr="005E4BEA">
              <w:rPr>
                <w:rFonts w:cs="Arial"/>
                <w:b/>
                <w:bCs/>
                <w:szCs w:val="20"/>
              </w:rPr>
              <w:t>Skupaj zaposleni brez specializantov in pripravnikov</w:t>
            </w:r>
          </w:p>
        </w:tc>
        <w:tc>
          <w:tcPr>
            <w:tcW w:w="1584" w:type="dxa"/>
            <w:tcBorders>
              <w:top w:val="nil"/>
              <w:left w:val="nil"/>
              <w:bottom w:val="single" w:sz="4" w:space="0" w:color="auto"/>
              <w:right w:val="single" w:sz="4" w:space="0" w:color="auto"/>
            </w:tcBorders>
            <w:vAlign w:val="center"/>
            <w:hideMark/>
          </w:tcPr>
          <w:p w14:paraId="444FF191" w14:textId="77777777" w:rsidR="00FE461F" w:rsidRPr="005E4BEA" w:rsidRDefault="00FE461F" w:rsidP="00FE461F">
            <w:pPr>
              <w:spacing w:line="240" w:lineRule="auto"/>
              <w:jc w:val="center"/>
              <w:rPr>
                <w:rFonts w:cs="Arial"/>
                <w:b/>
                <w:bCs/>
                <w:szCs w:val="20"/>
              </w:rPr>
            </w:pPr>
            <w:r w:rsidRPr="005E4BEA">
              <w:rPr>
                <w:rFonts w:cs="Arial"/>
                <w:b/>
                <w:bCs/>
                <w:szCs w:val="20"/>
              </w:rPr>
              <w:t xml:space="preserve">delež </w:t>
            </w:r>
            <w:proofErr w:type="spellStart"/>
            <w:r w:rsidRPr="005E4BEA">
              <w:rPr>
                <w:rFonts w:cs="Arial"/>
                <w:b/>
                <w:bCs/>
                <w:szCs w:val="20"/>
              </w:rPr>
              <w:t>nezdr</w:t>
            </w:r>
            <w:proofErr w:type="spellEnd"/>
            <w:r w:rsidRPr="005E4BEA">
              <w:rPr>
                <w:rFonts w:cs="Arial"/>
                <w:b/>
                <w:bCs/>
                <w:szCs w:val="20"/>
              </w:rPr>
              <w:t>. delavcev</w:t>
            </w:r>
          </w:p>
        </w:tc>
      </w:tr>
      <w:tr w:rsidR="00FE461F" w:rsidRPr="005E4BEA" w14:paraId="5927B3F9" w14:textId="77777777" w:rsidTr="0016774B">
        <w:trPr>
          <w:trHeight w:val="189"/>
        </w:trPr>
        <w:tc>
          <w:tcPr>
            <w:tcW w:w="3795" w:type="dxa"/>
            <w:tcBorders>
              <w:top w:val="single" w:sz="4" w:space="0" w:color="auto"/>
              <w:left w:val="single" w:sz="4" w:space="0" w:color="auto"/>
              <w:bottom w:val="nil"/>
              <w:right w:val="single" w:sz="4" w:space="0" w:color="auto"/>
            </w:tcBorders>
            <w:hideMark/>
          </w:tcPr>
          <w:p w14:paraId="1216F713" w14:textId="77777777" w:rsidR="00FE461F" w:rsidRPr="005E4BEA" w:rsidRDefault="00FE461F" w:rsidP="00FE461F">
            <w:pPr>
              <w:spacing w:line="240" w:lineRule="auto"/>
              <w:rPr>
                <w:rFonts w:cs="Arial"/>
                <w:szCs w:val="20"/>
              </w:rPr>
            </w:pPr>
            <w:r w:rsidRPr="005E4BEA">
              <w:rPr>
                <w:rFonts w:cs="Arial"/>
                <w:szCs w:val="20"/>
              </w:rPr>
              <w:t>Bolnišnica Sežana</w:t>
            </w:r>
          </w:p>
        </w:tc>
        <w:tc>
          <w:tcPr>
            <w:tcW w:w="1022" w:type="dxa"/>
            <w:tcBorders>
              <w:top w:val="nil"/>
              <w:left w:val="nil"/>
              <w:bottom w:val="nil"/>
              <w:right w:val="single" w:sz="4" w:space="0" w:color="auto"/>
            </w:tcBorders>
            <w:noWrap/>
            <w:vAlign w:val="bottom"/>
            <w:hideMark/>
          </w:tcPr>
          <w:p w14:paraId="16113ED7"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2EA474A8" w14:textId="77777777" w:rsidR="00FE461F" w:rsidRPr="005E4BEA" w:rsidRDefault="00FE461F" w:rsidP="00FE461F">
            <w:pPr>
              <w:spacing w:line="240" w:lineRule="auto"/>
              <w:jc w:val="right"/>
              <w:rPr>
                <w:rFonts w:cs="Arial"/>
                <w:szCs w:val="20"/>
              </w:rPr>
            </w:pPr>
            <w:r w:rsidRPr="005E4BEA">
              <w:rPr>
                <w:rFonts w:cs="Arial"/>
                <w:szCs w:val="20"/>
              </w:rPr>
              <w:t>44</w:t>
            </w:r>
          </w:p>
        </w:tc>
        <w:tc>
          <w:tcPr>
            <w:tcW w:w="2011" w:type="dxa"/>
            <w:tcBorders>
              <w:top w:val="nil"/>
              <w:left w:val="nil"/>
              <w:bottom w:val="nil"/>
              <w:right w:val="single" w:sz="4" w:space="0" w:color="auto"/>
            </w:tcBorders>
            <w:noWrap/>
            <w:vAlign w:val="bottom"/>
            <w:hideMark/>
          </w:tcPr>
          <w:p w14:paraId="761C0D7F" w14:textId="77777777" w:rsidR="00FE461F" w:rsidRPr="005E4BEA" w:rsidRDefault="00FE461F" w:rsidP="00FE461F">
            <w:pPr>
              <w:spacing w:line="240" w:lineRule="auto"/>
              <w:jc w:val="right"/>
              <w:rPr>
                <w:rFonts w:cs="Arial"/>
                <w:szCs w:val="20"/>
              </w:rPr>
            </w:pPr>
            <w:r w:rsidRPr="005E4BEA">
              <w:rPr>
                <w:rFonts w:cs="Arial"/>
                <w:szCs w:val="20"/>
              </w:rPr>
              <w:t>148</w:t>
            </w:r>
          </w:p>
        </w:tc>
        <w:tc>
          <w:tcPr>
            <w:tcW w:w="1584" w:type="dxa"/>
            <w:tcBorders>
              <w:top w:val="nil"/>
              <w:left w:val="nil"/>
              <w:bottom w:val="nil"/>
              <w:right w:val="single" w:sz="4" w:space="0" w:color="auto"/>
            </w:tcBorders>
            <w:noWrap/>
            <w:vAlign w:val="bottom"/>
            <w:hideMark/>
          </w:tcPr>
          <w:p w14:paraId="2D3EB161" w14:textId="77777777" w:rsidR="00FE461F" w:rsidRPr="005E4BEA" w:rsidRDefault="00FE461F" w:rsidP="00FE461F">
            <w:pPr>
              <w:spacing w:line="240" w:lineRule="auto"/>
              <w:jc w:val="right"/>
              <w:rPr>
                <w:rFonts w:cs="Arial"/>
                <w:szCs w:val="20"/>
              </w:rPr>
            </w:pPr>
            <w:r w:rsidRPr="005E4BEA">
              <w:rPr>
                <w:rFonts w:cs="Arial"/>
                <w:szCs w:val="20"/>
              </w:rPr>
              <w:t>29,7</w:t>
            </w:r>
          </w:p>
        </w:tc>
      </w:tr>
      <w:tr w:rsidR="00FE461F" w:rsidRPr="005E4BEA" w14:paraId="0A5E823C" w14:textId="77777777" w:rsidTr="0016774B">
        <w:trPr>
          <w:trHeight w:val="189"/>
        </w:trPr>
        <w:tc>
          <w:tcPr>
            <w:tcW w:w="3795" w:type="dxa"/>
            <w:tcBorders>
              <w:top w:val="nil"/>
              <w:left w:val="single" w:sz="4" w:space="0" w:color="auto"/>
              <w:bottom w:val="nil"/>
              <w:right w:val="single" w:sz="4" w:space="0" w:color="auto"/>
            </w:tcBorders>
            <w:hideMark/>
          </w:tcPr>
          <w:p w14:paraId="63303A36" w14:textId="77777777" w:rsidR="00FE461F" w:rsidRPr="005E4BEA" w:rsidRDefault="00FE461F" w:rsidP="00FE461F">
            <w:pPr>
              <w:spacing w:line="240" w:lineRule="auto"/>
              <w:rPr>
                <w:rFonts w:cs="Arial"/>
                <w:szCs w:val="20"/>
              </w:rPr>
            </w:pPr>
            <w:r w:rsidRPr="005E4BEA">
              <w:rPr>
                <w:rFonts w:cs="Arial"/>
                <w:szCs w:val="20"/>
              </w:rPr>
              <w:t>Bolnišnica Sežana</w:t>
            </w:r>
          </w:p>
        </w:tc>
        <w:tc>
          <w:tcPr>
            <w:tcW w:w="1022" w:type="dxa"/>
            <w:tcBorders>
              <w:top w:val="nil"/>
              <w:left w:val="nil"/>
              <w:bottom w:val="nil"/>
              <w:right w:val="single" w:sz="4" w:space="0" w:color="auto"/>
            </w:tcBorders>
            <w:noWrap/>
            <w:vAlign w:val="bottom"/>
            <w:hideMark/>
          </w:tcPr>
          <w:p w14:paraId="4C3612E4"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517F9689" w14:textId="77777777" w:rsidR="00FE461F" w:rsidRPr="005E4BEA" w:rsidRDefault="00FE461F" w:rsidP="00FE461F">
            <w:pPr>
              <w:spacing w:line="240" w:lineRule="auto"/>
              <w:jc w:val="right"/>
              <w:rPr>
                <w:rFonts w:cs="Arial"/>
                <w:szCs w:val="20"/>
              </w:rPr>
            </w:pPr>
            <w:r w:rsidRPr="005E4BEA">
              <w:rPr>
                <w:rFonts w:cs="Arial"/>
                <w:szCs w:val="20"/>
              </w:rPr>
              <w:t>48</w:t>
            </w:r>
          </w:p>
        </w:tc>
        <w:tc>
          <w:tcPr>
            <w:tcW w:w="2011" w:type="dxa"/>
            <w:tcBorders>
              <w:top w:val="nil"/>
              <w:left w:val="nil"/>
              <w:bottom w:val="nil"/>
              <w:right w:val="single" w:sz="4" w:space="0" w:color="auto"/>
            </w:tcBorders>
            <w:noWrap/>
            <w:vAlign w:val="bottom"/>
            <w:hideMark/>
          </w:tcPr>
          <w:p w14:paraId="26BEDA37" w14:textId="77777777" w:rsidR="00FE461F" w:rsidRPr="005E4BEA" w:rsidRDefault="00FE461F" w:rsidP="00FE461F">
            <w:pPr>
              <w:spacing w:line="240" w:lineRule="auto"/>
              <w:jc w:val="right"/>
              <w:rPr>
                <w:rFonts w:cs="Arial"/>
                <w:szCs w:val="20"/>
              </w:rPr>
            </w:pPr>
            <w:r w:rsidRPr="005E4BEA">
              <w:rPr>
                <w:rFonts w:cs="Arial"/>
                <w:szCs w:val="20"/>
              </w:rPr>
              <w:t>151</w:t>
            </w:r>
          </w:p>
        </w:tc>
        <w:tc>
          <w:tcPr>
            <w:tcW w:w="1584" w:type="dxa"/>
            <w:tcBorders>
              <w:top w:val="nil"/>
              <w:left w:val="nil"/>
              <w:bottom w:val="nil"/>
              <w:right w:val="single" w:sz="4" w:space="0" w:color="auto"/>
            </w:tcBorders>
            <w:noWrap/>
            <w:vAlign w:val="bottom"/>
            <w:hideMark/>
          </w:tcPr>
          <w:p w14:paraId="02C63EA9" w14:textId="77777777" w:rsidR="00FE461F" w:rsidRPr="005E4BEA" w:rsidRDefault="00FE461F" w:rsidP="00FE461F">
            <w:pPr>
              <w:spacing w:line="240" w:lineRule="auto"/>
              <w:jc w:val="right"/>
              <w:rPr>
                <w:rFonts w:cs="Arial"/>
                <w:szCs w:val="20"/>
              </w:rPr>
            </w:pPr>
            <w:r w:rsidRPr="005E4BEA">
              <w:rPr>
                <w:rFonts w:cs="Arial"/>
                <w:szCs w:val="20"/>
              </w:rPr>
              <w:t>31,8</w:t>
            </w:r>
          </w:p>
        </w:tc>
      </w:tr>
      <w:tr w:rsidR="00FE461F" w:rsidRPr="005E4BEA" w14:paraId="40ADF160" w14:textId="77777777" w:rsidTr="0016774B">
        <w:trPr>
          <w:trHeight w:val="189"/>
        </w:trPr>
        <w:tc>
          <w:tcPr>
            <w:tcW w:w="3795" w:type="dxa"/>
            <w:tcBorders>
              <w:top w:val="nil"/>
              <w:left w:val="single" w:sz="4" w:space="0" w:color="auto"/>
              <w:bottom w:val="nil"/>
              <w:right w:val="single" w:sz="4" w:space="0" w:color="auto"/>
            </w:tcBorders>
            <w:hideMark/>
          </w:tcPr>
          <w:p w14:paraId="66B6EB0C" w14:textId="77777777" w:rsidR="00FE461F" w:rsidRPr="005E4BEA" w:rsidRDefault="00FE461F" w:rsidP="00FE461F">
            <w:pPr>
              <w:spacing w:line="240" w:lineRule="auto"/>
              <w:rPr>
                <w:rFonts w:cs="Arial"/>
                <w:szCs w:val="20"/>
              </w:rPr>
            </w:pPr>
            <w:r w:rsidRPr="005E4BEA">
              <w:rPr>
                <w:rFonts w:cs="Arial"/>
                <w:szCs w:val="20"/>
              </w:rPr>
              <w:t>Bolnišnica Sežana</w:t>
            </w:r>
          </w:p>
        </w:tc>
        <w:tc>
          <w:tcPr>
            <w:tcW w:w="1022" w:type="dxa"/>
            <w:tcBorders>
              <w:top w:val="nil"/>
              <w:left w:val="nil"/>
              <w:bottom w:val="nil"/>
              <w:right w:val="single" w:sz="4" w:space="0" w:color="auto"/>
            </w:tcBorders>
            <w:noWrap/>
            <w:vAlign w:val="bottom"/>
            <w:hideMark/>
          </w:tcPr>
          <w:p w14:paraId="1264257C"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6FED373" w14:textId="77777777" w:rsidR="00FE461F" w:rsidRPr="005E4BEA" w:rsidRDefault="00FE461F" w:rsidP="00FE461F">
            <w:pPr>
              <w:spacing w:line="240" w:lineRule="auto"/>
              <w:jc w:val="right"/>
              <w:rPr>
                <w:rFonts w:cs="Arial"/>
                <w:szCs w:val="20"/>
              </w:rPr>
            </w:pPr>
            <w:r w:rsidRPr="005E4BEA">
              <w:rPr>
                <w:rFonts w:cs="Arial"/>
                <w:szCs w:val="20"/>
              </w:rPr>
              <w:t>44</w:t>
            </w:r>
          </w:p>
        </w:tc>
        <w:tc>
          <w:tcPr>
            <w:tcW w:w="2011" w:type="dxa"/>
            <w:tcBorders>
              <w:top w:val="nil"/>
              <w:left w:val="nil"/>
              <w:bottom w:val="nil"/>
              <w:right w:val="single" w:sz="4" w:space="0" w:color="auto"/>
            </w:tcBorders>
            <w:noWrap/>
            <w:vAlign w:val="bottom"/>
            <w:hideMark/>
          </w:tcPr>
          <w:p w14:paraId="1902AE9C" w14:textId="77777777" w:rsidR="00FE461F" w:rsidRPr="005E4BEA" w:rsidRDefault="00FE461F" w:rsidP="00FE461F">
            <w:pPr>
              <w:spacing w:line="240" w:lineRule="auto"/>
              <w:jc w:val="right"/>
              <w:rPr>
                <w:rFonts w:cs="Arial"/>
                <w:szCs w:val="20"/>
              </w:rPr>
            </w:pPr>
            <w:r w:rsidRPr="005E4BEA">
              <w:rPr>
                <w:rFonts w:cs="Arial"/>
                <w:szCs w:val="20"/>
              </w:rPr>
              <w:t>150</w:t>
            </w:r>
          </w:p>
        </w:tc>
        <w:tc>
          <w:tcPr>
            <w:tcW w:w="1584" w:type="dxa"/>
            <w:tcBorders>
              <w:top w:val="nil"/>
              <w:left w:val="nil"/>
              <w:bottom w:val="nil"/>
              <w:right w:val="single" w:sz="4" w:space="0" w:color="auto"/>
            </w:tcBorders>
            <w:noWrap/>
            <w:vAlign w:val="bottom"/>
            <w:hideMark/>
          </w:tcPr>
          <w:p w14:paraId="16F14342" w14:textId="77777777" w:rsidR="00FE461F" w:rsidRPr="005E4BEA" w:rsidRDefault="00FE461F" w:rsidP="00FE461F">
            <w:pPr>
              <w:spacing w:line="240" w:lineRule="auto"/>
              <w:jc w:val="right"/>
              <w:rPr>
                <w:rFonts w:cs="Arial"/>
                <w:szCs w:val="20"/>
              </w:rPr>
            </w:pPr>
            <w:r w:rsidRPr="005E4BEA">
              <w:rPr>
                <w:rFonts w:cs="Arial"/>
                <w:szCs w:val="20"/>
              </w:rPr>
              <w:t>29,3</w:t>
            </w:r>
          </w:p>
        </w:tc>
      </w:tr>
      <w:tr w:rsidR="00FE461F" w:rsidRPr="005E4BEA" w14:paraId="62B583AE" w14:textId="77777777" w:rsidTr="0016774B">
        <w:trPr>
          <w:trHeight w:val="189"/>
        </w:trPr>
        <w:tc>
          <w:tcPr>
            <w:tcW w:w="3795" w:type="dxa"/>
            <w:tcBorders>
              <w:top w:val="nil"/>
              <w:left w:val="single" w:sz="4" w:space="0" w:color="auto"/>
              <w:bottom w:val="nil"/>
              <w:right w:val="single" w:sz="4" w:space="0" w:color="auto"/>
            </w:tcBorders>
            <w:hideMark/>
          </w:tcPr>
          <w:p w14:paraId="6C11C4C4" w14:textId="77777777" w:rsidR="00FE461F" w:rsidRPr="005E4BEA" w:rsidRDefault="00FE461F" w:rsidP="00FE461F">
            <w:pPr>
              <w:spacing w:line="240" w:lineRule="auto"/>
              <w:rPr>
                <w:rFonts w:cs="Arial"/>
                <w:szCs w:val="20"/>
              </w:rPr>
            </w:pPr>
            <w:r w:rsidRPr="005E4BEA">
              <w:rPr>
                <w:rFonts w:cs="Arial"/>
                <w:szCs w:val="20"/>
              </w:rPr>
              <w:t>Bolnišnica Sežana</w:t>
            </w:r>
          </w:p>
        </w:tc>
        <w:tc>
          <w:tcPr>
            <w:tcW w:w="1022" w:type="dxa"/>
            <w:tcBorders>
              <w:top w:val="nil"/>
              <w:left w:val="nil"/>
              <w:bottom w:val="nil"/>
              <w:right w:val="single" w:sz="4" w:space="0" w:color="auto"/>
            </w:tcBorders>
            <w:noWrap/>
            <w:vAlign w:val="bottom"/>
            <w:hideMark/>
          </w:tcPr>
          <w:p w14:paraId="00B68BB1"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7619BBC5" w14:textId="77777777" w:rsidR="00FE461F" w:rsidRPr="005E4BEA" w:rsidRDefault="00FE461F" w:rsidP="00FE461F">
            <w:pPr>
              <w:spacing w:line="240" w:lineRule="auto"/>
              <w:jc w:val="right"/>
              <w:rPr>
                <w:rFonts w:cs="Arial"/>
                <w:szCs w:val="20"/>
              </w:rPr>
            </w:pPr>
            <w:r w:rsidRPr="005E4BEA">
              <w:rPr>
                <w:rFonts w:cs="Arial"/>
                <w:szCs w:val="20"/>
              </w:rPr>
              <w:t>57</w:t>
            </w:r>
          </w:p>
        </w:tc>
        <w:tc>
          <w:tcPr>
            <w:tcW w:w="2011" w:type="dxa"/>
            <w:tcBorders>
              <w:top w:val="nil"/>
              <w:left w:val="nil"/>
              <w:bottom w:val="nil"/>
              <w:right w:val="single" w:sz="4" w:space="0" w:color="auto"/>
            </w:tcBorders>
            <w:noWrap/>
            <w:vAlign w:val="bottom"/>
            <w:hideMark/>
          </w:tcPr>
          <w:p w14:paraId="544576CB" w14:textId="77777777" w:rsidR="00FE461F" w:rsidRPr="005E4BEA" w:rsidRDefault="00FE461F" w:rsidP="00FE461F">
            <w:pPr>
              <w:spacing w:line="240" w:lineRule="auto"/>
              <w:jc w:val="right"/>
              <w:rPr>
                <w:rFonts w:cs="Arial"/>
                <w:szCs w:val="20"/>
              </w:rPr>
            </w:pPr>
            <w:r w:rsidRPr="005E4BEA">
              <w:rPr>
                <w:rFonts w:cs="Arial"/>
                <w:szCs w:val="20"/>
              </w:rPr>
              <w:t>145</w:t>
            </w:r>
          </w:p>
        </w:tc>
        <w:tc>
          <w:tcPr>
            <w:tcW w:w="1584" w:type="dxa"/>
            <w:tcBorders>
              <w:top w:val="nil"/>
              <w:left w:val="nil"/>
              <w:bottom w:val="nil"/>
              <w:right w:val="single" w:sz="4" w:space="0" w:color="auto"/>
            </w:tcBorders>
            <w:noWrap/>
            <w:vAlign w:val="bottom"/>
            <w:hideMark/>
          </w:tcPr>
          <w:p w14:paraId="07EB234A" w14:textId="77777777" w:rsidR="00FE461F" w:rsidRPr="005E4BEA" w:rsidRDefault="00FE461F" w:rsidP="00FE461F">
            <w:pPr>
              <w:spacing w:line="240" w:lineRule="auto"/>
              <w:jc w:val="right"/>
              <w:rPr>
                <w:rFonts w:cs="Arial"/>
                <w:szCs w:val="20"/>
              </w:rPr>
            </w:pPr>
            <w:r w:rsidRPr="005E4BEA">
              <w:rPr>
                <w:rFonts w:cs="Arial"/>
                <w:szCs w:val="20"/>
              </w:rPr>
              <w:t>39,3</w:t>
            </w:r>
          </w:p>
        </w:tc>
      </w:tr>
      <w:tr w:rsidR="00FE461F" w:rsidRPr="005E4BEA" w14:paraId="36AE7B3B" w14:textId="77777777" w:rsidTr="0016774B">
        <w:trPr>
          <w:trHeight w:val="189"/>
        </w:trPr>
        <w:tc>
          <w:tcPr>
            <w:tcW w:w="3795" w:type="dxa"/>
            <w:tcBorders>
              <w:top w:val="nil"/>
              <w:left w:val="single" w:sz="4" w:space="0" w:color="auto"/>
              <w:bottom w:val="nil"/>
              <w:right w:val="single" w:sz="4" w:space="0" w:color="auto"/>
            </w:tcBorders>
            <w:hideMark/>
          </w:tcPr>
          <w:p w14:paraId="68899415" w14:textId="77777777" w:rsidR="00FE461F" w:rsidRPr="005E4BEA" w:rsidRDefault="00FE461F" w:rsidP="00FE461F">
            <w:pPr>
              <w:spacing w:line="240" w:lineRule="auto"/>
              <w:rPr>
                <w:rFonts w:cs="Arial"/>
                <w:szCs w:val="20"/>
              </w:rPr>
            </w:pPr>
            <w:r w:rsidRPr="005E4BEA">
              <w:rPr>
                <w:rFonts w:cs="Arial"/>
                <w:szCs w:val="20"/>
              </w:rPr>
              <w:t>Bolnišnica Sežana</w:t>
            </w:r>
          </w:p>
        </w:tc>
        <w:tc>
          <w:tcPr>
            <w:tcW w:w="1022" w:type="dxa"/>
            <w:tcBorders>
              <w:top w:val="nil"/>
              <w:left w:val="nil"/>
              <w:bottom w:val="nil"/>
              <w:right w:val="single" w:sz="4" w:space="0" w:color="auto"/>
            </w:tcBorders>
            <w:noWrap/>
            <w:vAlign w:val="bottom"/>
            <w:hideMark/>
          </w:tcPr>
          <w:p w14:paraId="0102DCB9"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65DA58AE" w14:textId="77777777" w:rsidR="00FE461F" w:rsidRPr="005E4BEA" w:rsidRDefault="00FE461F" w:rsidP="00FE461F">
            <w:pPr>
              <w:spacing w:line="240" w:lineRule="auto"/>
              <w:jc w:val="right"/>
              <w:rPr>
                <w:rFonts w:cs="Arial"/>
                <w:szCs w:val="20"/>
              </w:rPr>
            </w:pPr>
            <w:r w:rsidRPr="005E4BEA">
              <w:rPr>
                <w:rFonts w:cs="Arial"/>
                <w:szCs w:val="20"/>
              </w:rPr>
              <w:t>55</w:t>
            </w:r>
          </w:p>
        </w:tc>
        <w:tc>
          <w:tcPr>
            <w:tcW w:w="2011" w:type="dxa"/>
            <w:tcBorders>
              <w:top w:val="nil"/>
              <w:left w:val="nil"/>
              <w:bottom w:val="nil"/>
              <w:right w:val="single" w:sz="4" w:space="0" w:color="auto"/>
            </w:tcBorders>
            <w:noWrap/>
            <w:vAlign w:val="bottom"/>
            <w:hideMark/>
          </w:tcPr>
          <w:p w14:paraId="04890340" w14:textId="77777777" w:rsidR="00FE461F" w:rsidRPr="005E4BEA" w:rsidRDefault="00FE461F" w:rsidP="00FE461F">
            <w:pPr>
              <w:spacing w:line="240" w:lineRule="auto"/>
              <w:jc w:val="right"/>
              <w:rPr>
                <w:rFonts w:cs="Arial"/>
                <w:szCs w:val="20"/>
              </w:rPr>
            </w:pPr>
            <w:r w:rsidRPr="005E4BEA">
              <w:rPr>
                <w:rFonts w:cs="Arial"/>
                <w:szCs w:val="20"/>
              </w:rPr>
              <w:t>154</w:t>
            </w:r>
          </w:p>
        </w:tc>
        <w:tc>
          <w:tcPr>
            <w:tcW w:w="1584" w:type="dxa"/>
            <w:tcBorders>
              <w:top w:val="nil"/>
              <w:left w:val="nil"/>
              <w:bottom w:val="nil"/>
              <w:right w:val="single" w:sz="4" w:space="0" w:color="auto"/>
            </w:tcBorders>
            <w:noWrap/>
            <w:vAlign w:val="bottom"/>
            <w:hideMark/>
          </w:tcPr>
          <w:p w14:paraId="174E6CBE" w14:textId="77777777" w:rsidR="00FE461F" w:rsidRPr="005E4BEA" w:rsidRDefault="00FE461F" w:rsidP="00FE461F">
            <w:pPr>
              <w:spacing w:line="240" w:lineRule="auto"/>
              <w:jc w:val="right"/>
              <w:rPr>
                <w:rFonts w:cs="Arial"/>
                <w:szCs w:val="20"/>
              </w:rPr>
            </w:pPr>
            <w:r w:rsidRPr="005E4BEA">
              <w:rPr>
                <w:rFonts w:cs="Arial"/>
                <w:szCs w:val="20"/>
              </w:rPr>
              <w:t>35,7</w:t>
            </w:r>
          </w:p>
        </w:tc>
      </w:tr>
      <w:tr w:rsidR="00FE461F" w:rsidRPr="005E4BEA" w14:paraId="3486FA5D"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5EBA67D7" w14:textId="77777777" w:rsidR="00FE461F" w:rsidRPr="005E4BEA" w:rsidRDefault="00FE461F" w:rsidP="00FE461F">
            <w:pPr>
              <w:spacing w:line="240" w:lineRule="auto"/>
              <w:rPr>
                <w:rFonts w:cs="Arial"/>
                <w:szCs w:val="20"/>
              </w:rPr>
            </w:pPr>
            <w:r w:rsidRPr="005E4BEA">
              <w:rPr>
                <w:rFonts w:cs="Arial"/>
                <w:szCs w:val="20"/>
              </w:rPr>
              <w:t>Bolnišnica Sežana</w:t>
            </w:r>
          </w:p>
        </w:tc>
        <w:tc>
          <w:tcPr>
            <w:tcW w:w="1022" w:type="dxa"/>
            <w:tcBorders>
              <w:top w:val="nil"/>
              <w:left w:val="nil"/>
              <w:bottom w:val="single" w:sz="4" w:space="0" w:color="auto"/>
              <w:right w:val="single" w:sz="4" w:space="0" w:color="auto"/>
            </w:tcBorders>
            <w:noWrap/>
            <w:vAlign w:val="bottom"/>
            <w:hideMark/>
          </w:tcPr>
          <w:p w14:paraId="302E820A"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33F98CC" w14:textId="77777777" w:rsidR="00FE461F" w:rsidRPr="005E4BEA" w:rsidRDefault="00FE461F" w:rsidP="00FE461F">
            <w:pPr>
              <w:spacing w:line="240" w:lineRule="auto"/>
              <w:jc w:val="right"/>
              <w:rPr>
                <w:rFonts w:cs="Arial"/>
                <w:szCs w:val="20"/>
              </w:rPr>
            </w:pPr>
            <w:r w:rsidRPr="005E4BEA">
              <w:rPr>
                <w:rFonts w:cs="Arial"/>
                <w:szCs w:val="20"/>
              </w:rPr>
              <w:t>61</w:t>
            </w:r>
          </w:p>
        </w:tc>
        <w:tc>
          <w:tcPr>
            <w:tcW w:w="2011" w:type="dxa"/>
            <w:tcBorders>
              <w:top w:val="nil"/>
              <w:left w:val="nil"/>
              <w:bottom w:val="single" w:sz="4" w:space="0" w:color="auto"/>
              <w:right w:val="single" w:sz="4" w:space="0" w:color="auto"/>
            </w:tcBorders>
            <w:noWrap/>
            <w:vAlign w:val="bottom"/>
            <w:hideMark/>
          </w:tcPr>
          <w:p w14:paraId="39D57173" w14:textId="77777777" w:rsidR="00FE461F" w:rsidRPr="005E4BEA" w:rsidRDefault="00FE461F" w:rsidP="00FE461F">
            <w:pPr>
              <w:spacing w:line="240" w:lineRule="auto"/>
              <w:jc w:val="right"/>
              <w:rPr>
                <w:rFonts w:cs="Arial"/>
                <w:szCs w:val="20"/>
              </w:rPr>
            </w:pPr>
            <w:r w:rsidRPr="005E4BEA">
              <w:rPr>
                <w:rFonts w:cs="Arial"/>
                <w:szCs w:val="20"/>
              </w:rPr>
              <w:t>151</w:t>
            </w:r>
          </w:p>
        </w:tc>
        <w:tc>
          <w:tcPr>
            <w:tcW w:w="1584" w:type="dxa"/>
            <w:tcBorders>
              <w:top w:val="nil"/>
              <w:left w:val="nil"/>
              <w:bottom w:val="single" w:sz="4" w:space="0" w:color="auto"/>
              <w:right w:val="single" w:sz="4" w:space="0" w:color="auto"/>
            </w:tcBorders>
            <w:noWrap/>
            <w:vAlign w:val="bottom"/>
            <w:hideMark/>
          </w:tcPr>
          <w:p w14:paraId="4C6E0A1E" w14:textId="77777777" w:rsidR="00FE461F" w:rsidRPr="005E4BEA" w:rsidRDefault="00FE461F" w:rsidP="00FE461F">
            <w:pPr>
              <w:spacing w:line="240" w:lineRule="auto"/>
              <w:jc w:val="right"/>
              <w:rPr>
                <w:rFonts w:cs="Arial"/>
                <w:szCs w:val="20"/>
              </w:rPr>
            </w:pPr>
            <w:r w:rsidRPr="005E4BEA">
              <w:rPr>
                <w:rFonts w:cs="Arial"/>
                <w:szCs w:val="20"/>
              </w:rPr>
              <w:t>40,4</w:t>
            </w:r>
          </w:p>
        </w:tc>
      </w:tr>
      <w:tr w:rsidR="00FE461F" w:rsidRPr="005E4BEA" w14:paraId="718453ED" w14:textId="77777777" w:rsidTr="0016774B">
        <w:trPr>
          <w:trHeight w:val="189"/>
        </w:trPr>
        <w:tc>
          <w:tcPr>
            <w:tcW w:w="3795" w:type="dxa"/>
            <w:tcBorders>
              <w:top w:val="nil"/>
              <w:left w:val="single" w:sz="4" w:space="0" w:color="auto"/>
              <w:bottom w:val="nil"/>
              <w:right w:val="single" w:sz="4" w:space="0" w:color="auto"/>
            </w:tcBorders>
            <w:hideMark/>
          </w:tcPr>
          <w:p w14:paraId="393F96FB" w14:textId="77777777" w:rsidR="00FE461F" w:rsidRPr="005E4BEA" w:rsidRDefault="00FE461F" w:rsidP="00FE461F">
            <w:pPr>
              <w:spacing w:line="240" w:lineRule="auto"/>
              <w:rPr>
                <w:rFonts w:cs="Arial"/>
                <w:szCs w:val="20"/>
              </w:rPr>
            </w:pPr>
            <w:r w:rsidRPr="005E4BEA">
              <w:rPr>
                <w:rFonts w:cs="Arial"/>
                <w:szCs w:val="20"/>
              </w:rPr>
              <w:t>Bolnišnica Topolšica</w:t>
            </w:r>
          </w:p>
        </w:tc>
        <w:tc>
          <w:tcPr>
            <w:tcW w:w="1022" w:type="dxa"/>
            <w:tcBorders>
              <w:top w:val="nil"/>
              <w:left w:val="nil"/>
              <w:bottom w:val="nil"/>
              <w:right w:val="single" w:sz="4" w:space="0" w:color="auto"/>
            </w:tcBorders>
            <w:noWrap/>
            <w:vAlign w:val="bottom"/>
            <w:hideMark/>
          </w:tcPr>
          <w:p w14:paraId="578FE2D0"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45FD3847" w14:textId="77777777" w:rsidR="00FE461F" w:rsidRPr="005E4BEA" w:rsidRDefault="00FE461F" w:rsidP="00FE461F">
            <w:pPr>
              <w:spacing w:line="240" w:lineRule="auto"/>
              <w:jc w:val="right"/>
              <w:rPr>
                <w:rFonts w:cs="Arial"/>
                <w:szCs w:val="20"/>
              </w:rPr>
            </w:pPr>
            <w:r w:rsidRPr="005E4BEA">
              <w:rPr>
                <w:rFonts w:cs="Arial"/>
                <w:szCs w:val="20"/>
              </w:rPr>
              <w:t>75</w:t>
            </w:r>
          </w:p>
        </w:tc>
        <w:tc>
          <w:tcPr>
            <w:tcW w:w="2011" w:type="dxa"/>
            <w:tcBorders>
              <w:top w:val="nil"/>
              <w:left w:val="nil"/>
              <w:bottom w:val="nil"/>
              <w:right w:val="single" w:sz="4" w:space="0" w:color="auto"/>
            </w:tcBorders>
            <w:noWrap/>
            <w:vAlign w:val="bottom"/>
            <w:hideMark/>
          </w:tcPr>
          <w:p w14:paraId="1E64D928" w14:textId="77777777" w:rsidR="00FE461F" w:rsidRPr="005E4BEA" w:rsidRDefault="00FE461F" w:rsidP="00FE461F">
            <w:pPr>
              <w:spacing w:line="240" w:lineRule="auto"/>
              <w:jc w:val="right"/>
              <w:rPr>
                <w:rFonts w:cs="Arial"/>
                <w:szCs w:val="20"/>
              </w:rPr>
            </w:pPr>
            <w:r w:rsidRPr="005E4BEA">
              <w:rPr>
                <w:rFonts w:cs="Arial"/>
                <w:szCs w:val="20"/>
              </w:rPr>
              <w:t>214</w:t>
            </w:r>
          </w:p>
        </w:tc>
        <w:tc>
          <w:tcPr>
            <w:tcW w:w="1584" w:type="dxa"/>
            <w:tcBorders>
              <w:top w:val="nil"/>
              <w:left w:val="nil"/>
              <w:bottom w:val="nil"/>
              <w:right w:val="single" w:sz="4" w:space="0" w:color="auto"/>
            </w:tcBorders>
            <w:noWrap/>
            <w:vAlign w:val="bottom"/>
            <w:hideMark/>
          </w:tcPr>
          <w:p w14:paraId="1DEB9373" w14:textId="77777777" w:rsidR="00FE461F" w:rsidRPr="005E4BEA" w:rsidRDefault="00FE461F" w:rsidP="00FE461F">
            <w:pPr>
              <w:spacing w:line="240" w:lineRule="auto"/>
              <w:jc w:val="right"/>
              <w:rPr>
                <w:rFonts w:cs="Arial"/>
                <w:szCs w:val="20"/>
              </w:rPr>
            </w:pPr>
            <w:r w:rsidRPr="005E4BEA">
              <w:rPr>
                <w:rFonts w:cs="Arial"/>
                <w:szCs w:val="20"/>
              </w:rPr>
              <w:t>35,0</w:t>
            </w:r>
          </w:p>
        </w:tc>
      </w:tr>
      <w:tr w:rsidR="00FE461F" w:rsidRPr="005E4BEA" w14:paraId="74499144" w14:textId="77777777" w:rsidTr="0016774B">
        <w:trPr>
          <w:trHeight w:val="189"/>
        </w:trPr>
        <w:tc>
          <w:tcPr>
            <w:tcW w:w="3795" w:type="dxa"/>
            <w:tcBorders>
              <w:top w:val="nil"/>
              <w:left w:val="single" w:sz="4" w:space="0" w:color="auto"/>
              <w:bottom w:val="nil"/>
              <w:right w:val="single" w:sz="4" w:space="0" w:color="auto"/>
            </w:tcBorders>
            <w:hideMark/>
          </w:tcPr>
          <w:p w14:paraId="7C94B14A" w14:textId="77777777" w:rsidR="00FE461F" w:rsidRPr="005E4BEA" w:rsidRDefault="00FE461F" w:rsidP="00FE461F">
            <w:pPr>
              <w:spacing w:line="240" w:lineRule="auto"/>
              <w:rPr>
                <w:rFonts w:cs="Arial"/>
                <w:szCs w:val="20"/>
              </w:rPr>
            </w:pPr>
            <w:r w:rsidRPr="005E4BEA">
              <w:rPr>
                <w:rFonts w:cs="Arial"/>
                <w:szCs w:val="20"/>
              </w:rPr>
              <w:t>Bolnišnica Topolšica</w:t>
            </w:r>
          </w:p>
        </w:tc>
        <w:tc>
          <w:tcPr>
            <w:tcW w:w="1022" w:type="dxa"/>
            <w:tcBorders>
              <w:top w:val="nil"/>
              <w:left w:val="nil"/>
              <w:bottom w:val="nil"/>
              <w:right w:val="single" w:sz="4" w:space="0" w:color="auto"/>
            </w:tcBorders>
            <w:noWrap/>
            <w:vAlign w:val="bottom"/>
            <w:hideMark/>
          </w:tcPr>
          <w:p w14:paraId="6F62705F"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2E7DDC88" w14:textId="77777777" w:rsidR="00FE461F" w:rsidRPr="005E4BEA" w:rsidRDefault="00FE461F" w:rsidP="00FE461F">
            <w:pPr>
              <w:spacing w:line="240" w:lineRule="auto"/>
              <w:jc w:val="right"/>
              <w:rPr>
                <w:rFonts w:cs="Arial"/>
                <w:szCs w:val="20"/>
              </w:rPr>
            </w:pPr>
            <w:r w:rsidRPr="005E4BEA">
              <w:rPr>
                <w:rFonts w:cs="Arial"/>
                <w:szCs w:val="20"/>
              </w:rPr>
              <w:t>73</w:t>
            </w:r>
          </w:p>
        </w:tc>
        <w:tc>
          <w:tcPr>
            <w:tcW w:w="2011" w:type="dxa"/>
            <w:tcBorders>
              <w:top w:val="nil"/>
              <w:left w:val="nil"/>
              <w:bottom w:val="nil"/>
              <w:right w:val="single" w:sz="4" w:space="0" w:color="auto"/>
            </w:tcBorders>
            <w:noWrap/>
            <w:vAlign w:val="bottom"/>
            <w:hideMark/>
          </w:tcPr>
          <w:p w14:paraId="2D82162A" w14:textId="77777777" w:rsidR="00FE461F" w:rsidRPr="005E4BEA" w:rsidRDefault="00FE461F" w:rsidP="00FE461F">
            <w:pPr>
              <w:spacing w:line="240" w:lineRule="auto"/>
              <w:jc w:val="right"/>
              <w:rPr>
                <w:rFonts w:cs="Arial"/>
                <w:szCs w:val="20"/>
              </w:rPr>
            </w:pPr>
            <w:r w:rsidRPr="005E4BEA">
              <w:rPr>
                <w:rFonts w:cs="Arial"/>
                <w:szCs w:val="20"/>
              </w:rPr>
              <w:t>215</w:t>
            </w:r>
          </w:p>
        </w:tc>
        <w:tc>
          <w:tcPr>
            <w:tcW w:w="1584" w:type="dxa"/>
            <w:tcBorders>
              <w:top w:val="nil"/>
              <w:left w:val="nil"/>
              <w:bottom w:val="nil"/>
              <w:right w:val="single" w:sz="4" w:space="0" w:color="auto"/>
            </w:tcBorders>
            <w:noWrap/>
            <w:vAlign w:val="bottom"/>
            <w:hideMark/>
          </w:tcPr>
          <w:p w14:paraId="72990B0B" w14:textId="77777777" w:rsidR="00FE461F" w:rsidRPr="005E4BEA" w:rsidRDefault="00FE461F" w:rsidP="00FE461F">
            <w:pPr>
              <w:spacing w:line="240" w:lineRule="auto"/>
              <w:jc w:val="right"/>
              <w:rPr>
                <w:rFonts w:cs="Arial"/>
                <w:szCs w:val="20"/>
              </w:rPr>
            </w:pPr>
            <w:r w:rsidRPr="005E4BEA">
              <w:rPr>
                <w:rFonts w:cs="Arial"/>
                <w:szCs w:val="20"/>
              </w:rPr>
              <w:t>34,0</w:t>
            </w:r>
          </w:p>
        </w:tc>
      </w:tr>
      <w:tr w:rsidR="00FE461F" w:rsidRPr="005E4BEA" w14:paraId="40340B6B" w14:textId="77777777" w:rsidTr="0016774B">
        <w:trPr>
          <w:trHeight w:val="189"/>
        </w:trPr>
        <w:tc>
          <w:tcPr>
            <w:tcW w:w="3795" w:type="dxa"/>
            <w:tcBorders>
              <w:top w:val="nil"/>
              <w:left w:val="single" w:sz="4" w:space="0" w:color="auto"/>
              <w:bottom w:val="nil"/>
              <w:right w:val="single" w:sz="4" w:space="0" w:color="auto"/>
            </w:tcBorders>
            <w:hideMark/>
          </w:tcPr>
          <w:p w14:paraId="4556C9AD" w14:textId="77777777" w:rsidR="00FE461F" w:rsidRPr="005E4BEA" w:rsidRDefault="00FE461F" w:rsidP="00FE461F">
            <w:pPr>
              <w:spacing w:line="240" w:lineRule="auto"/>
              <w:rPr>
                <w:rFonts w:cs="Arial"/>
                <w:szCs w:val="20"/>
              </w:rPr>
            </w:pPr>
            <w:r w:rsidRPr="005E4BEA">
              <w:rPr>
                <w:rFonts w:cs="Arial"/>
                <w:szCs w:val="20"/>
              </w:rPr>
              <w:t>Bolnišnica Topolšica</w:t>
            </w:r>
          </w:p>
        </w:tc>
        <w:tc>
          <w:tcPr>
            <w:tcW w:w="1022" w:type="dxa"/>
            <w:tcBorders>
              <w:top w:val="nil"/>
              <w:left w:val="nil"/>
              <w:bottom w:val="nil"/>
              <w:right w:val="single" w:sz="4" w:space="0" w:color="auto"/>
            </w:tcBorders>
            <w:noWrap/>
            <w:vAlign w:val="bottom"/>
            <w:hideMark/>
          </w:tcPr>
          <w:p w14:paraId="2D83C1F3"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32B4416C" w14:textId="77777777" w:rsidR="00FE461F" w:rsidRPr="005E4BEA" w:rsidRDefault="00FE461F" w:rsidP="00FE461F">
            <w:pPr>
              <w:spacing w:line="240" w:lineRule="auto"/>
              <w:jc w:val="right"/>
              <w:rPr>
                <w:rFonts w:cs="Arial"/>
                <w:szCs w:val="20"/>
              </w:rPr>
            </w:pPr>
            <w:r w:rsidRPr="005E4BEA">
              <w:rPr>
                <w:rFonts w:cs="Arial"/>
                <w:szCs w:val="20"/>
              </w:rPr>
              <w:t>70</w:t>
            </w:r>
          </w:p>
        </w:tc>
        <w:tc>
          <w:tcPr>
            <w:tcW w:w="2011" w:type="dxa"/>
            <w:tcBorders>
              <w:top w:val="nil"/>
              <w:left w:val="nil"/>
              <w:bottom w:val="nil"/>
              <w:right w:val="single" w:sz="4" w:space="0" w:color="auto"/>
            </w:tcBorders>
            <w:noWrap/>
            <w:vAlign w:val="bottom"/>
            <w:hideMark/>
          </w:tcPr>
          <w:p w14:paraId="483EA446" w14:textId="77777777" w:rsidR="00FE461F" w:rsidRPr="005E4BEA" w:rsidRDefault="00FE461F" w:rsidP="00FE461F">
            <w:pPr>
              <w:spacing w:line="240" w:lineRule="auto"/>
              <w:jc w:val="right"/>
              <w:rPr>
                <w:rFonts w:cs="Arial"/>
                <w:szCs w:val="20"/>
              </w:rPr>
            </w:pPr>
            <w:r w:rsidRPr="005E4BEA">
              <w:rPr>
                <w:rFonts w:cs="Arial"/>
                <w:szCs w:val="20"/>
              </w:rPr>
              <w:t>216</w:t>
            </w:r>
          </w:p>
        </w:tc>
        <w:tc>
          <w:tcPr>
            <w:tcW w:w="1584" w:type="dxa"/>
            <w:tcBorders>
              <w:top w:val="nil"/>
              <w:left w:val="nil"/>
              <w:bottom w:val="nil"/>
              <w:right w:val="single" w:sz="4" w:space="0" w:color="auto"/>
            </w:tcBorders>
            <w:noWrap/>
            <w:vAlign w:val="bottom"/>
            <w:hideMark/>
          </w:tcPr>
          <w:p w14:paraId="2630FBAE" w14:textId="77777777" w:rsidR="00FE461F" w:rsidRPr="005E4BEA" w:rsidRDefault="00FE461F" w:rsidP="00FE461F">
            <w:pPr>
              <w:spacing w:line="240" w:lineRule="auto"/>
              <w:jc w:val="right"/>
              <w:rPr>
                <w:rFonts w:cs="Arial"/>
                <w:szCs w:val="20"/>
              </w:rPr>
            </w:pPr>
            <w:r w:rsidRPr="005E4BEA">
              <w:rPr>
                <w:rFonts w:cs="Arial"/>
                <w:szCs w:val="20"/>
              </w:rPr>
              <w:t>32,4</w:t>
            </w:r>
          </w:p>
        </w:tc>
      </w:tr>
      <w:tr w:rsidR="00FE461F" w:rsidRPr="005E4BEA" w14:paraId="7A76B33A" w14:textId="77777777" w:rsidTr="0016774B">
        <w:trPr>
          <w:trHeight w:val="189"/>
        </w:trPr>
        <w:tc>
          <w:tcPr>
            <w:tcW w:w="3795" w:type="dxa"/>
            <w:tcBorders>
              <w:top w:val="nil"/>
              <w:left w:val="single" w:sz="4" w:space="0" w:color="auto"/>
              <w:bottom w:val="nil"/>
              <w:right w:val="single" w:sz="4" w:space="0" w:color="auto"/>
            </w:tcBorders>
            <w:hideMark/>
          </w:tcPr>
          <w:p w14:paraId="27A6CD1B" w14:textId="77777777" w:rsidR="00FE461F" w:rsidRPr="005E4BEA" w:rsidRDefault="00FE461F" w:rsidP="00FE461F">
            <w:pPr>
              <w:spacing w:line="240" w:lineRule="auto"/>
              <w:rPr>
                <w:rFonts w:cs="Arial"/>
                <w:szCs w:val="20"/>
              </w:rPr>
            </w:pPr>
            <w:r w:rsidRPr="005E4BEA">
              <w:rPr>
                <w:rFonts w:cs="Arial"/>
                <w:szCs w:val="20"/>
              </w:rPr>
              <w:t>Bolnišnica Topolšica</w:t>
            </w:r>
          </w:p>
        </w:tc>
        <w:tc>
          <w:tcPr>
            <w:tcW w:w="1022" w:type="dxa"/>
            <w:tcBorders>
              <w:top w:val="nil"/>
              <w:left w:val="nil"/>
              <w:bottom w:val="nil"/>
              <w:right w:val="single" w:sz="4" w:space="0" w:color="auto"/>
            </w:tcBorders>
            <w:noWrap/>
            <w:vAlign w:val="bottom"/>
            <w:hideMark/>
          </w:tcPr>
          <w:p w14:paraId="4517585B"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2BA562D7" w14:textId="77777777" w:rsidR="00FE461F" w:rsidRPr="005E4BEA" w:rsidRDefault="00FE461F" w:rsidP="00FE461F">
            <w:pPr>
              <w:spacing w:line="240" w:lineRule="auto"/>
              <w:jc w:val="right"/>
              <w:rPr>
                <w:rFonts w:cs="Arial"/>
                <w:szCs w:val="20"/>
              </w:rPr>
            </w:pPr>
            <w:r w:rsidRPr="005E4BEA">
              <w:rPr>
                <w:rFonts w:cs="Arial"/>
                <w:szCs w:val="20"/>
              </w:rPr>
              <w:t>70</w:t>
            </w:r>
          </w:p>
        </w:tc>
        <w:tc>
          <w:tcPr>
            <w:tcW w:w="2011" w:type="dxa"/>
            <w:tcBorders>
              <w:top w:val="nil"/>
              <w:left w:val="nil"/>
              <w:bottom w:val="nil"/>
              <w:right w:val="single" w:sz="4" w:space="0" w:color="auto"/>
            </w:tcBorders>
            <w:noWrap/>
            <w:vAlign w:val="bottom"/>
            <w:hideMark/>
          </w:tcPr>
          <w:p w14:paraId="02CDAC66" w14:textId="77777777" w:rsidR="00FE461F" w:rsidRPr="005E4BEA" w:rsidRDefault="00FE461F" w:rsidP="00FE461F">
            <w:pPr>
              <w:spacing w:line="240" w:lineRule="auto"/>
              <w:jc w:val="right"/>
              <w:rPr>
                <w:rFonts w:cs="Arial"/>
                <w:szCs w:val="20"/>
              </w:rPr>
            </w:pPr>
            <w:r w:rsidRPr="005E4BEA">
              <w:rPr>
                <w:rFonts w:cs="Arial"/>
                <w:szCs w:val="20"/>
              </w:rPr>
              <w:t>216</w:t>
            </w:r>
          </w:p>
        </w:tc>
        <w:tc>
          <w:tcPr>
            <w:tcW w:w="1584" w:type="dxa"/>
            <w:tcBorders>
              <w:top w:val="nil"/>
              <w:left w:val="nil"/>
              <w:bottom w:val="nil"/>
              <w:right w:val="single" w:sz="4" w:space="0" w:color="auto"/>
            </w:tcBorders>
            <w:noWrap/>
            <w:vAlign w:val="bottom"/>
            <w:hideMark/>
          </w:tcPr>
          <w:p w14:paraId="275B73D0" w14:textId="77777777" w:rsidR="00FE461F" w:rsidRPr="005E4BEA" w:rsidRDefault="00FE461F" w:rsidP="00FE461F">
            <w:pPr>
              <w:spacing w:line="240" w:lineRule="auto"/>
              <w:jc w:val="right"/>
              <w:rPr>
                <w:rFonts w:cs="Arial"/>
                <w:szCs w:val="20"/>
              </w:rPr>
            </w:pPr>
            <w:r w:rsidRPr="005E4BEA">
              <w:rPr>
                <w:rFonts w:cs="Arial"/>
                <w:szCs w:val="20"/>
              </w:rPr>
              <w:t>32,5</w:t>
            </w:r>
          </w:p>
        </w:tc>
      </w:tr>
      <w:tr w:rsidR="00FE461F" w:rsidRPr="005E4BEA" w14:paraId="3B0A8E34" w14:textId="77777777" w:rsidTr="0016774B">
        <w:trPr>
          <w:trHeight w:val="189"/>
        </w:trPr>
        <w:tc>
          <w:tcPr>
            <w:tcW w:w="3795" w:type="dxa"/>
            <w:tcBorders>
              <w:top w:val="nil"/>
              <w:left w:val="single" w:sz="4" w:space="0" w:color="auto"/>
              <w:bottom w:val="nil"/>
              <w:right w:val="single" w:sz="4" w:space="0" w:color="auto"/>
            </w:tcBorders>
            <w:hideMark/>
          </w:tcPr>
          <w:p w14:paraId="36C69F8C" w14:textId="77777777" w:rsidR="00FE461F" w:rsidRPr="005E4BEA" w:rsidRDefault="00FE461F" w:rsidP="00FE461F">
            <w:pPr>
              <w:spacing w:line="240" w:lineRule="auto"/>
              <w:rPr>
                <w:rFonts w:cs="Arial"/>
                <w:szCs w:val="20"/>
              </w:rPr>
            </w:pPr>
            <w:r w:rsidRPr="005E4BEA">
              <w:rPr>
                <w:rFonts w:cs="Arial"/>
                <w:szCs w:val="20"/>
              </w:rPr>
              <w:t>Bolnišnica Topolšica</w:t>
            </w:r>
          </w:p>
        </w:tc>
        <w:tc>
          <w:tcPr>
            <w:tcW w:w="1022" w:type="dxa"/>
            <w:tcBorders>
              <w:top w:val="nil"/>
              <w:left w:val="nil"/>
              <w:bottom w:val="nil"/>
              <w:right w:val="single" w:sz="4" w:space="0" w:color="auto"/>
            </w:tcBorders>
            <w:noWrap/>
            <w:vAlign w:val="bottom"/>
            <w:hideMark/>
          </w:tcPr>
          <w:p w14:paraId="7CE391DA"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415F49C9" w14:textId="77777777" w:rsidR="00FE461F" w:rsidRPr="005E4BEA" w:rsidRDefault="00FE461F" w:rsidP="00FE461F">
            <w:pPr>
              <w:spacing w:line="240" w:lineRule="auto"/>
              <w:jc w:val="right"/>
              <w:rPr>
                <w:rFonts w:cs="Arial"/>
                <w:szCs w:val="20"/>
              </w:rPr>
            </w:pPr>
            <w:r w:rsidRPr="005E4BEA">
              <w:rPr>
                <w:rFonts w:cs="Arial"/>
                <w:szCs w:val="20"/>
              </w:rPr>
              <w:t>71</w:t>
            </w:r>
          </w:p>
        </w:tc>
        <w:tc>
          <w:tcPr>
            <w:tcW w:w="2011" w:type="dxa"/>
            <w:tcBorders>
              <w:top w:val="nil"/>
              <w:left w:val="nil"/>
              <w:bottom w:val="nil"/>
              <w:right w:val="single" w:sz="4" w:space="0" w:color="auto"/>
            </w:tcBorders>
            <w:noWrap/>
            <w:vAlign w:val="bottom"/>
            <w:hideMark/>
          </w:tcPr>
          <w:p w14:paraId="7F9E8BF1" w14:textId="77777777" w:rsidR="00FE461F" w:rsidRPr="005E4BEA" w:rsidRDefault="00FE461F" w:rsidP="00FE461F">
            <w:pPr>
              <w:spacing w:line="240" w:lineRule="auto"/>
              <w:jc w:val="right"/>
              <w:rPr>
                <w:rFonts w:cs="Arial"/>
                <w:szCs w:val="20"/>
              </w:rPr>
            </w:pPr>
            <w:r w:rsidRPr="005E4BEA">
              <w:rPr>
                <w:rFonts w:cs="Arial"/>
                <w:szCs w:val="20"/>
              </w:rPr>
              <w:t>222</w:t>
            </w:r>
          </w:p>
        </w:tc>
        <w:tc>
          <w:tcPr>
            <w:tcW w:w="1584" w:type="dxa"/>
            <w:tcBorders>
              <w:top w:val="nil"/>
              <w:left w:val="nil"/>
              <w:bottom w:val="nil"/>
              <w:right w:val="single" w:sz="4" w:space="0" w:color="auto"/>
            </w:tcBorders>
            <w:noWrap/>
            <w:vAlign w:val="bottom"/>
            <w:hideMark/>
          </w:tcPr>
          <w:p w14:paraId="006B9A49" w14:textId="77777777" w:rsidR="00FE461F" w:rsidRPr="005E4BEA" w:rsidRDefault="00FE461F" w:rsidP="00FE461F">
            <w:pPr>
              <w:spacing w:line="240" w:lineRule="auto"/>
              <w:jc w:val="right"/>
              <w:rPr>
                <w:rFonts w:cs="Arial"/>
                <w:szCs w:val="20"/>
              </w:rPr>
            </w:pPr>
            <w:r w:rsidRPr="005E4BEA">
              <w:rPr>
                <w:rFonts w:cs="Arial"/>
                <w:szCs w:val="20"/>
              </w:rPr>
              <w:t>32,0</w:t>
            </w:r>
          </w:p>
        </w:tc>
      </w:tr>
      <w:tr w:rsidR="00FE461F" w:rsidRPr="005E4BEA" w14:paraId="20E89C8C"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EFE36C3" w14:textId="77777777" w:rsidR="00FE461F" w:rsidRPr="005E4BEA" w:rsidRDefault="00FE461F" w:rsidP="00FE461F">
            <w:pPr>
              <w:spacing w:line="240" w:lineRule="auto"/>
              <w:rPr>
                <w:rFonts w:cs="Arial"/>
                <w:szCs w:val="20"/>
              </w:rPr>
            </w:pPr>
            <w:r w:rsidRPr="005E4BEA">
              <w:rPr>
                <w:rFonts w:cs="Arial"/>
                <w:szCs w:val="20"/>
              </w:rPr>
              <w:t>Bolnišnica Topolšica</w:t>
            </w:r>
          </w:p>
        </w:tc>
        <w:tc>
          <w:tcPr>
            <w:tcW w:w="1022" w:type="dxa"/>
            <w:tcBorders>
              <w:top w:val="nil"/>
              <w:left w:val="nil"/>
              <w:bottom w:val="single" w:sz="4" w:space="0" w:color="auto"/>
              <w:right w:val="single" w:sz="4" w:space="0" w:color="auto"/>
            </w:tcBorders>
            <w:noWrap/>
            <w:vAlign w:val="bottom"/>
            <w:hideMark/>
          </w:tcPr>
          <w:p w14:paraId="19879BED"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27598B6" w14:textId="77777777" w:rsidR="00FE461F" w:rsidRPr="005E4BEA" w:rsidRDefault="00FE461F" w:rsidP="00FE461F">
            <w:pPr>
              <w:spacing w:line="240" w:lineRule="auto"/>
              <w:jc w:val="right"/>
              <w:rPr>
                <w:rFonts w:cs="Arial"/>
                <w:szCs w:val="20"/>
              </w:rPr>
            </w:pPr>
            <w:r w:rsidRPr="005E4BEA">
              <w:rPr>
                <w:rFonts w:cs="Arial"/>
                <w:szCs w:val="20"/>
              </w:rPr>
              <w:t>68</w:t>
            </w:r>
          </w:p>
        </w:tc>
        <w:tc>
          <w:tcPr>
            <w:tcW w:w="2011" w:type="dxa"/>
            <w:tcBorders>
              <w:top w:val="nil"/>
              <w:left w:val="nil"/>
              <w:bottom w:val="single" w:sz="4" w:space="0" w:color="auto"/>
              <w:right w:val="single" w:sz="4" w:space="0" w:color="auto"/>
            </w:tcBorders>
            <w:noWrap/>
            <w:vAlign w:val="bottom"/>
            <w:hideMark/>
          </w:tcPr>
          <w:p w14:paraId="747027C6" w14:textId="77777777" w:rsidR="00FE461F" w:rsidRPr="005E4BEA" w:rsidRDefault="00FE461F" w:rsidP="00FE461F">
            <w:pPr>
              <w:spacing w:line="240" w:lineRule="auto"/>
              <w:jc w:val="right"/>
              <w:rPr>
                <w:rFonts w:cs="Arial"/>
                <w:szCs w:val="20"/>
              </w:rPr>
            </w:pPr>
            <w:r w:rsidRPr="005E4BEA">
              <w:rPr>
                <w:rFonts w:cs="Arial"/>
                <w:szCs w:val="20"/>
              </w:rPr>
              <w:t>225</w:t>
            </w:r>
          </w:p>
        </w:tc>
        <w:tc>
          <w:tcPr>
            <w:tcW w:w="1584" w:type="dxa"/>
            <w:tcBorders>
              <w:top w:val="nil"/>
              <w:left w:val="nil"/>
              <w:bottom w:val="single" w:sz="4" w:space="0" w:color="auto"/>
              <w:right w:val="single" w:sz="4" w:space="0" w:color="auto"/>
            </w:tcBorders>
            <w:noWrap/>
            <w:vAlign w:val="bottom"/>
            <w:hideMark/>
          </w:tcPr>
          <w:p w14:paraId="0DB2D6D7" w14:textId="77777777" w:rsidR="00FE461F" w:rsidRPr="005E4BEA" w:rsidRDefault="00FE461F" w:rsidP="00FE461F">
            <w:pPr>
              <w:spacing w:line="240" w:lineRule="auto"/>
              <w:jc w:val="right"/>
              <w:rPr>
                <w:rFonts w:cs="Arial"/>
                <w:szCs w:val="20"/>
              </w:rPr>
            </w:pPr>
            <w:r w:rsidRPr="005E4BEA">
              <w:rPr>
                <w:rFonts w:cs="Arial"/>
                <w:szCs w:val="20"/>
              </w:rPr>
              <w:t>30,2</w:t>
            </w:r>
          </w:p>
        </w:tc>
      </w:tr>
      <w:tr w:rsidR="00FE461F" w:rsidRPr="005E4BEA" w14:paraId="772FE0B3" w14:textId="77777777" w:rsidTr="0016774B">
        <w:trPr>
          <w:trHeight w:val="189"/>
        </w:trPr>
        <w:tc>
          <w:tcPr>
            <w:tcW w:w="3795" w:type="dxa"/>
            <w:tcBorders>
              <w:top w:val="nil"/>
              <w:left w:val="single" w:sz="4" w:space="0" w:color="auto"/>
              <w:bottom w:val="nil"/>
              <w:right w:val="single" w:sz="4" w:space="0" w:color="auto"/>
            </w:tcBorders>
            <w:hideMark/>
          </w:tcPr>
          <w:p w14:paraId="16CA614E" w14:textId="77777777" w:rsidR="00FE461F" w:rsidRPr="005E4BEA" w:rsidRDefault="00FE461F" w:rsidP="00FE461F">
            <w:pPr>
              <w:spacing w:line="240" w:lineRule="auto"/>
              <w:rPr>
                <w:rFonts w:cs="Arial"/>
                <w:szCs w:val="20"/>
              </w:rPr>
            </w:pPr>
            <w:r w:rsidRPr="005E4BEA">
              <w:rPr>
                <w:rFonts w:cs="Arial"/>
                <w:szCs w:val="20"/>
              </w:rPr>
              <w:t>Bolnišnica za ginekologijo in porodništvo Kranj</w:t>
            </w:r>
          </w:p>
        </w:tc>
        <w:tc>
          <w:tcPr>
            <w:tcW w:w="1022" w:type="dxa"/>
            <w:tcBorders>
              <w:top w:val="nil"/>
              <w:left w:val="nil"/>
              <w:bottom w:val="nil"/>
              <w:right w:val="single" w:sz="4" w:space="0" w:color="auto"/>
            </w:tcBorders>
            <w:noWrap/>
            <w:vAlign w:val="bottom"/>
            <w:hideMark/>
          </w:tcPr>
          <w:p w14:paraId="6D03BAE2"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4325703B" w14:textId="77777777" w:rsidR="00FE461F" w:rsidRPr="005E4BEA" w:rsidRDefault="00FE461F" w:rsidP="00FE461F">
            <w:pPr>
              <w:spacing w:line="240" w:lineRule="auto"/>
              <w:jc w:val="right"/>
              <w:rPr>
                <w:rFonts w:cs="Arial"/>
                <w:szCs w:val="20"/>
              </w:rPr>
            </w:pPr>
            <w:r w:rsidRPr="005E4BEA">
              <w:rPr>
                <w:rFonts w:cs="Arial"/>
                <w:szCs w:val="20"/>
              </w:rPr>
              <w:t>35</w:t>
            </w:r>
          </w:p>
        </w:tc>
        <w:tc>
          <w:tcPr>
            <w:tcW w:w="2011" w:type="dxa"/>
            <w:tcBorders>
              <w:top w:val="nil"/>
              <w:left w:val="nil"/>
              <w:bottom w:val="nil"/>
              <w:right w:val="single" w:sz="4" w:space="0" w:color="auto"/>
            </w:tcBorders>
            <w:noWrap/>
            <w:vAlign w:val="bottom"/>
            <w:hideMark/>
          </w:tcPr>
          <w:p w14:paraId="0E4F524A" w14:textId="77777777" w:rsidR="00FE461F" w:rsidRPr="005E4BEA" w:rsidRDefault="00FE461F" w:rsidP="00FE461F">
            <w:pPr>
              <w:spacing w:line="240" w:lineRule="auto"/>
              <w:jc w:val="right"/>
              <w:rPr>
                <w:rFonts w:cs="Arial"/>
                <w:szCs w:val="20"/>
              </w:rPr>
            </w:pPr>
            <w:r w:rsidRPr="005E4BEA">
              <w:rPr>
                <w:rFonts w:cs="Arial"/>
                <w:szCs w:val="20"/>
              </w:rPr>
              <w:t>116</w:t>
            </w:r>
          </w:p>
        </w:tc>
        <w:tc>
          <w:tcPr>
            <w:tcW w:w="1584" w:type="dxa"/>
            <w:tcBorders>
              <w:top w:val="nil"/>
              <w:left w:val="nil"/>
              <w:bottom w:val="nil"/>
              <w:right w:val="single" w:sz="4" w:space="0" w:color="auto"/>
            </w:tcBorders>
            <w:noWrap/>
            <w:vAlign w:val="bottom"/>
            <w:hideMark/>
          </w:tcPr>
          <w:p w14:paraId="1414A5F8" w14:textId="77777777" w:rsidR="00FE461F" w:rsidRPr="005E4BEA" w:rsidRDefault="00FE461F" w:rsidP="00FE461F">
            <w:pPr>
              <w:spacing w:line="240" w:lineRule="auto"/>
              <w:jc w:val="right"/>
              <w:rPr>
                <w:rFonts w:cs="Arial"/>
                <w:szCs w:val="20"/>
              </w:rPr>
            </w:pPr>
            <w:r w:rsidRPr="005E4BEA">
              <w:rPr>
                <w:rFonts w:cs="Arial"/>
                <w:szCs w:val="20"/>
              </w:rPr>
              <w:t>30,2</w:t>
            </w:r>
          </w:p>
        </w:tc>
      </w:tr>
      <w:tr w:rsidR="00FE461F" w:rsidRPr="005E4BEA" w14:paraId="5783E035" w14:textId="77777777" w:rsidTr="0016774B">
        <w:trPr>
          <w:trHeight w:val="189"/>
        </w:trPr>
        <w:tc>
          <w:tcPr>
            <w:tcW w:w="3795" w:type="dxa"/>
            <w:tcBorders>
              <w:top w:val="nil"/>
              <w:left w:val="single" w:sz="4" w:space="0" w:color="auto"/>
              <w:bottom w:val="nil"/>
              <w:right w:val="single" w:sz="4" w:space="0" w:color="auto"/>
            </w:tcBorders>
            <w:hideMark/>
          </w:tcPr>
          <w:p w14:paraId="02CC296B" w14:textId="77777777" w:rsidR="00FE461F" w:rsidRPr="005E4BEA" w:rsidRDefault="00FE461F" w:rsidP="00FE461F">
            <w:pPr>
              <w:spacing w:line="240" w:lineRule="auto"/>
              <w:rPr>
                <w:rFonts w:cs="Arial"/>
                <w:szCs w:val="20"/>
              </w:rPr>
            </w:pPr>
            <w:r w:rsidRPr="005E4BEA">
              <w:rPr>
                <w:rFonts w:cs="Arial"/>
                <w:szCs w:val="20"/>
              </w:rPr>
              <w:t>Bolnišnica za ginekologijo in porodništvo Kranj</w:t>
            </w:r>
          </w:p>
        </w:tc>
        <w:tc>
          <w:tcPr>
            <w:tcW w:w="1022" w:type="dxa"/>
            <w:tcBorders>
              <w:top w:val="nil"/>
              <w:left w:val="nil"/>
              <w:bottom w:val="nil"/>
              <w:right w:val="single" w:sz="4" w:space="0" w:color="auto"/>
            </w:tcBorders>
            <w:noWrap/>
            <w:vAlign w:val="bottom"/>
            <w:hideMark/>
          </w:tcPr>
          <w:p w14:paraId="6D5DA10B"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3BF82586" w14:textId="77777777" w:rsidR="00FE461F" w:rsidRPr="005E4BEA" w:rsidRDefault="00FE461F" w:rsidP="00FE461F">
            <w:pPr>
              <w:spacing w:line="240" w:lineRule="auto"/>
              <w:jc w:val="right"/>
              <w:rPr>
                <w:rFonts w:cs="Arial"/>
                <w:szCs w:val="20"/>
              </w:rPr>
            </w:pPr>
            <w:r w:rsidRPr="005E4BEA">
              <w:rPr>
                <w:rFonts w:cs="Arial"/>
                <w:szCs w:val="20"/>
              </w:rPr>
              <w:t>32</w:t>
            </w:r>
          </w:p>
        </w:tc>
        <w:tc>
          <w:tcPr>
            <w:tcW w:w="2011" w:type="dxa"/>
            <w:tcBorders>
              <w:top w:val="nil"/>
              <w:left w:val="nil"/>
              <w:bottom w:val="nil"/>
              <w:right w:val="single" w:sz="4" w:space="0" w:color="auto"/>
            </w:tcBorders>
            <w:noWrap/>
            <w:vAlign w:val="bottom"/>
            <w:hideMark/>
          </w:tcPr>
          <w:p w14:paraId="39C46045" w14:textId="77777777" w:rsidR="00FE461F" w:rsidRPr="005E4BEA" w:rsidRDefault="00FE461F" w:rsidP="00FE461F">
            <w:pPr>
              <w:spacing w:line="240" w:lineRule="auto"/>
              <w:jc w:val="right"/>
              <w:rPr>
                <w:rFonts w:cs="Arial"/>
                <w:szCs w:val="20"/>
              </w:rPr>
            </w:pPr>
            <w:r w:rsidRPr="005E4BEA">
              <w:rPr>
                <w:rFonts w:cs="Arial"/>
                <w:szCs w:val="20"/>
              </w:rPr>
              <w:t>113</w:t>
            </w:r>
          </w:p>
        </w:tc>
        <w:tc>
          <w:tcPr>
            <w:tcW w:w="1584" w:type="dxa"/>
            <w:tcBorders>
              <w:top w:val="nil"/>
              <w:left w:val="nil"/>
              <w:bottom w:val="nil"/>
              <w:right w:val="single" w:sz="4" w:space="0" w:color="auto"/>
            </w:tcBorders>
            <w:noWrap/>
            <w:vAlign w:val="bottom"/>
            <w:hideMark/>
          </w:tcPr>
          <w:p w14:paraId="3DAE01B2" w14:textId="77777777" w:rsidR="00FE461F" w:rsidRPr="005E4BEA" w:rsidRDefault="00FE461F" w:rsidP="00FE461F">
            <w:pPr>
              <w:spacing w:line="240" w:lineRule="auto"/>
              <w:jc w:val="right"/>
              <w:rPr>
                <w:rFonts w:cs="Arial"/>
                <w:szCs w:val="20"/>
              </w:rPr>
            </w:pPr>
            <w:r w:rsidRPr="005E4BEA">
              <w:rPr>
                <w:rFonts w:cs="Arial"/>
                <w:szCs w:val="20"/>
              </w:rPr>
              <w:t>28,3</w:t>
            </w:r>
          </w:p>
        </w:tc>
      </w:tr>
      <w:tr w:rsidR="00FE461F" w:rsidRPr="005E4BEA" w14:paraId="3A4D5940" w14:textId="77777777" w:rsidTr="0016774B">
        <w:trPr>
          <w:trHeight w:val="189"/>
        </w:trPr>
        <w:tc>
          <w:tcPr>
            <w:tcW w:w="3795" w:type="dxa"/>
            <w:tcBorders>
              <w:top w:val="nil"/>
              <w:left w:val="single" w:sz="4" w:space="0" w:color="auto"/>
              <w:bottom w:val="nil"/>
              <w:right w:val="single" w:sz="4" w:space="0" w:color="auto"/>
            </w:tcBorders>
            <w:hideMark/>
          </w:tcPr>
          <w:p w14:paraId="793D2339" w14:textId="77777777" w:rsidR="00FE461F" w:rsidRPr="005E4BEA" w:rsidRDefault="00FE461F" w:rsidP="00FE461F">
            <w:pPr>
              <w:spacing w:line="240" w:lineRule="auto"/>
              <w:rPr>
                <w:rFonts w:cs="Arial"/>
                <w:szCs w:val="20"/>
              </w:rPr>
            </w:pPr>
            <w:r w:rsidRPr="005E4BEA">
              <w:rPr>
                <w:rFonts w:cs="Arial"/>
                <w:szCs w:val="20"/>
              </w:rPr>
              <w:t>Bolnišnica za ginekologijo in porodništvo Kranj</w:t>
            </w:r>
          </w:p>
        </w:tc>
        <w:tc>
          <w:tcPr>
            <w:tcW w:w="1022" w:type="dxa"/>
            <w:tcBorders>
              <w:top w:val="nil"/>
              <w:left w:val="nil"/>
              <w:bottom w:val="nil"/>
              <w:right w:val="single" w:sz="4" w:space="0" w:color="auto"/>
            </w:tcBorders>
            <w:noWrap/>
            <w:vAlign w:val="bottom"/>
            <w:hideMark/>
          </w:tcPr>
          <w:p w14:paraId="397D36F8"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13B2AC47" w14:textId="77777777" w:rsidR="00FE461F" w:rsidRPr="005E4BEA" w:rsidRDefault="00FE461F" w:rsidP="00FE461F">
            <w:pPr>
              <w:spacing w:line="240" w:lineRule="auto"/>
              <w:jc w:val="right"/>
              <w:rPr>
                <w:rFonts w:cs="Arial"/>
                <w:szCs w:val="20"/>
              </w:rPr>
            </w:pPr>
            <w:r w:rsidRPr="005E4BEA">
              <w:rPr>
                <w:rFonts w:cs="Arial"/>
                <w:szCs w:val="20"/>
              </w:rPr>
              <w:t>33</w:t>
            </w:r>
          </w:p>
        </w:tc>
        <w:tc>
          <w:tcPr>
            <w:tcW w:w="2011" w:type="dxa"/>
            <w:tcBorders>
              <w:top w:val="nil"/>
              <w:left w:val="nil"/>
              <w:bottom w:val="nil"/>
              <w:right w:val="single" w:sz="4" w:space="0" w:color="auto"/>
            </w:tcBorders>
            <w:noWrap/>
            <w:vAlign w:val="bottom"/>
            <w:hideMark/>
          </w:tcPr>
          <w:p w14:paraId="4887CDA6" w14:textId="77777777" w:rsidR="00FE461F" w:rsidRPr="005E4BEA" w:rsidRDefault="00FE461F" w:rsidP="00FE461F">
            <w:pPr>
              <w:spacing w:line="240" w:lineRule="auto"/>
              <w:jc w:val="right"/>
              <w:rPr>
                <w:rFonts w:cs="Arial"/>
                <w:szCs w:val="20"/>
              </w:rPr>
            </w:pPr>
            <w:r w:rsidRPr="005E4BEA">
              <w:rPr>
                <w:rFonts w:cs="Arial"/>
                <w:szCs w:val="20"/>
              </w:rPr>
              <w:t>121</w:t>
            </w:r>
          </w:p>
        </w:tc>
        <w:tc>
          <w:tcPr>
            <w:tcW w:w="1584" w:type="dxa"/>
            <w:tcBorders>
              <w:top w:val="nil"/>
              <w:left w:val="nil"/>
              <w:bottom w:val="nil"/>
              <w:right w:val="single" w:sz="4" w:space="0" w:color="auto"/>
            </w:tcBorders>
            <w:noWrap/>
            <w:vAlign w:val="bottom"/>
            <w:hideMark/>
          </w:tcPr>
          <w:p w14:paraId="1CE93971" w14:textId="77777777" w:rsidR="00FE461F" w:rsidRPr="005E4BEA" w:rsidRDefault="00FE461F" w:rsidP="00FE461F">
            <w:pPr>
              <w:spacing w:line="240" w:lineRule="auto"/>
              <w:jc w:val="right"/>
              <w:rPr>
                <w:rFonts w:cs="Arial"/>
                <w:szCs w:val="20"/>
              </w:rPr>
            </w:pPr>
            <w:r w:rsidRPr="005E4BEA">
              <w:rPr>
                <w:rFonts w:cs="Arial"/>
                <w:szCs w:val="20"/>
              </w:rPr>
              <w:t>27,3</w:t>
            </w:r>
          </w:p>
        </w:tc>
      </w:tr>
      <w:tr w:rsidR="00FE461F" w:rsidRPr="005E4BEA" w14:paraId="507E87FB" w14:textId="77777777" w:rsidTr="0016774B">
        <w:trPr>
          <w:trHeight w:val="189"/>
        </w:trPr>
        <w:tc>
          <w:tcPr>
            <w:tcW w:w="3795" w:type="dxa"/>
            <w:tcBorders>
              <w:top w:val="nil"/>
              <w:left w:val="single" w:sz="4" w:space="0" w:color="auto"/>
              <w:bottom w:val="nil"/>
              <w:right w:val="single" w:sz="4" w:space="0" w:color="auto"/>
            </w:tcBorders>
            <w:hideMark/>
          </w:tcPr>
          <w:p w14:paraId="4465C4BE" w14:textId="77777777" w:rsidR="00FE461F" w:rsidRPr="005E4BEA" w:rsidRDefault="00FE461F" w:rsidP="00FE461F">
            <w:pPr>
              <w:spacing w:line="240" w:lineRule="auto"/>
              <w:rPr>
                <w:rFonts w:cs="Arial"/>
                <w:szCs w:val="20"/>
              </w:rPr>
            </w:pPr>
            <w:r w:rsidRPr="005E4BEA">
              <w:rPr>
                <w:rFonts w:cs="Arial"/>
                <w:szCs w:val="20"/>
              </w:rPr>
              <w:t>Bolnišnica za ginekologijo in porodništvo Kranj</w:t>
            </w:r>
          </w:p>
        </w:tc>
        <w:tc>
          <w:tcPr>
            <w:tcW w:w="1022" w:type="dxa"/>
            <w:tcBorders>
              <w:top w:val="nil"/>
              <w:left w:val="nil"/>
              <w:bottom w:val="nil"/>
              <w:right w:val="single" w:sz="4" w:space="0" w:color="auto"/>
            </w:tcBorders>
            <w:noWrap/>
            <w:vAlign w:val="bottom"/>
            <w:hideMark/>
          </w:tcPr>
          <w:p w14:paraId="0F39745C"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2A319DE7" w14:textId="77777777" w:rsidR="00FE461F" w:rsidRPr="005E4BEA" w:rsidRDefault="00FE461F" w:rsidP="00FE461F">
            <w:pPr>
              <w:spacing w:line="240" w:lineRule="auto"/>
              <w:jc w:val="right"/>
              <w:rPr>
                <w:rFonts w:cs="Arial"/>
                <w:szCs w:val="20"/>
              </w:rPr>
            </w:pPr>
            <w:r w:rsidRPr="005E4BEA">
              <w:rPr>
                <w:rFonts w:cs="Arial"/>
                <w:szCs w:val="20"/>
              </w:rPr>
              <w:t>36</w:t>
            </w:r>
          </w:p>
        </w:tc>
        <w:tc>
          <w:tcPr>
            <w:tcW w:w="2011" w:type="dxa"/>
            <w:tcBorders>
              <w:top w:val="nil"/>
              <w:left w:val="nil"/>
              <w:bottom w:val="nil"/>
              <w:right w:val="single" w:sz="4" w:space="0" w:color="auto"/>
            </w:tcBorders>
            <w:noWrap/>
            <w:vAlign w:val="bottom"/>
            <w:hideMark/>
          </w:tcPr>
          <w:p w14:paraId="4C836E66" w14:textId="77777777" w:rsidR="00FE461F" w:rsidRPr="005E4BEA" w:rsidRDefault="00FE461F" w:rsidP="00FE461F">
            <w:pPr>
              <w:spacing w:line="240" w:lineRule="auto"/>
              <w:jc w:val="right"/>
              <w:rPr>
                <w:rFonts w:cs="Arial"/>
                <w:szCs w:val="20"/>
              </w:rPr>
            </w:pPr>
            <w:r w:rsidRPr="005E4BEA">
              <w:rPr>
                <w:rFonts w:cs="Arial"/>
                <w:szCs w:val="20"/>
              </w:rPr>
              <w:t>121</w:t>
            </w:r>
          </w:p>
        </w:tc>
        <w:tc>
          <w:tcPr>
            <w:tcW w:w="1584" w:type="dxa"/>
            <w:tcBorders>
              <w:top w:val="nil"/>
              <w:left w:val="nil"/>
              <w:bottom w:val="nil"/>
              <w:right w:val="single" w:sz="4" w:space="0" w:color="auto"/>
            </w:tcBorders>
            <w:noWrap/>
            <w:vAlign w:val="bottom"/>
            <w:hideMark/>
          </w:tcPr>
          <w:p w14:paraId="692F23D5" w14:textId="77777777" w:rsidR="00FE461F" w:rsidRPr="005E4BEA" w:rsidRDefault="00FE461F" w:rsidP="00FE461F">
            <w:pPr>
              <w:spacing w:line="240" w:lineRule="auto"/>
              <w:jc w:val="right"/>
              <w:rPr>
                <w:rFonts w:cs="Arial"/>
                <w:szCs w:val="20"/>
              </w:rPr>
            </w:pPr>
            <w:r w:rsidRPr="005E4BEA">
              <w:rPr>
                <w:rFonts w:cs="Arial"/>
                <w:szCs w:val="20"/>
              </w:rPr>
              <w:t>29,8</w:t>
            </w:r>
          </w:p>
        </w:tc>
      </w:tr>
      <w:tr w:rsidR="00FE461F" w:rsidRPr="005E4BEA" w14:paraId="71EC81F6" w14:textId="77777777" w:rsidTr="0016774B">
        <w:trPr>
          <w:trHeight w:val="189"/>
        </w:trPr>
        <w:tc>
          <w:tcPr>
            <w:tcW w:w="3795" w:type="dxa"/>
            <w:tcBorders>
              <w:top w:val="nil"/>
              <w:left w:val="single" w:sz="4" w:space="0" w:color="auto"/>
              <w:bottom w:val="nil"/>
              <w:right w:val="single" w:sz="4" w:space="0" w:color="auto"/>
            </w:tcBorders>
            <w:hideMark/>
          </w:tcPr>
          <w:p w14:paraId="21338DB7" w14:textId="77777777" w:rsidR="00FE461F" w:rsidRPr="005E4BEA" w:rsidRDefault="00FE461F" w:rsidP="00FE461F">
            <w:pPr>
              <w:spacing w:line="240" w:lineRule="auto"/>
              <w:rPr>
                <w:rFonts w:cs="Arial"/>
                <w:szCs w:val="20"/>
              </w:rPr>
            </w:pPr>
            <w:r w:rsidRPr="005E4BEA">
              <w:rPr>
                <w:rFonts w:cs="Arial"/>
                <w:szCs w:val="20"/>
              </w:rPr>
              <w:t>Bolnišnica za ginekologijo in porodništvo Kranj</w:t>
            </w:r>
          </w:p>
        </w:tc>
        <w:tc>
          <w:tcPr>
            <w:tcW w:w="1022" w:type="dxa"/>
            <w:tcBorders>
              <w:top w:val="nil"/>
              <w:left w:val="nil"/>
              <w:bottom w:val="nil"/>
              <w:right w:val="single" w:sz="4" w:space="0" w:color="auto"/>
            </w:tcBorders>
            <w:noWrap/>
            <w:vAlign w:val="bottom"/>
            <w:hideMark/>
          </w:tcPr>
          <w:p w14:paraId="51D05DAD"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41A69887" w14:textId="77777777" w:rsidR="00FE461F" w:rsidRPr="005E4BEA" w:rsidRDefault="00FE461F" w:rsidP="00FE461F">
            <w:pPr>
              <w:spacing w:line="240" w:lineRule="auto"/>
              <w:jc w:val="right"/>
              <w:rPr>
                <w:rFonts w:cs="Arial"/>
                <w:szCs w:val="20"/>
              </w:rPr>
            </w:pPr>
            <w:r w:rsidRPr="005E4BEA">
              <w:rPr>
                <w:rFonts w:cs="Arial"/>
                <w:szCs w:val="20"/>
              </w:rPr>
              <w:t>34</w:t>
            </w:r>
          </w:p>
        </w:tc>
        <w:tc>
          <w:tcPr>
            <w:tcW w:w="2011" w:type="dxa"/>
            <w:tcBorders>
              <w:top w:val="nil"/>
              <w:left w:val="nil"/>
              <w:bottom w:val="nil"/>
              <w:right w:val="single" w:sz="4" w:space="0" w:color="auto"/>
            </w:tcBorders>
            <w:noWrap/>
            <w:vAlign w:val="bottom"/>
            <w:hideMark/>
          </w:tcPr>
          <w:p w14:paraId="2F36555A" w14:textId="77777777" w:rsidR="00FE461F" w:rsidRPr="005E4BEA" w:rsidRDefault="00FE461F" w:rsidP="00FE461F">
            <w:pPr>
              <w:spacing w:line="240" w:lineRule="auto"/>
              <w:jc w:val="right"/>
              <w:rPr>
                <w:rFonts w:cs="Arial"/>
                <w:szCs w:val="20"/>
              </w:rPr>
            </w:pPr>
            <w:r w:rsidRPr="005E4BEA">
              <w:rPr>
                <w:rFonts w:cs="Arial"/>
                <w:szCs w:val="20"/>
              </w:rPr>
              <w:t>120</w:t>
            </w:r>
          </w:p>
        </w:tc>
        <w:tc>
          <w:tcPr>
            <w:tcW w:w="1584" w:type="dxa"/>
            <w:tcBorders>
              <w:top w:val="nil"/>
              <w:left w:val="nil"/>
              <w:bottom w:val="nil"/>
              <w:right w:val="single" w:sz="4" w:space="0" w:color="auto"/>
            </w:tcBorders>
            <w:noWrap/>
            <w:vAlign w:val="bottom"/>
            <w:hideMark/>
          </w:tcPr>
          <w:p w14:paraId="52751D29" w14:textId="77777777" w:rsidR="00FE461F" w:rsidRPr="005E4BEA" w:rsidRDefault="00FE461F" w:rsidP="00FE461F">
            <w:pPr>
              <w:spacing w:line="240" w:lineRule="auto"/>
              <w:jc w:val="right"/>
              <w:rPr>
                <w:rFonts w:cs="Arial"/>
                <w:szCs w:val="20"/>
              </w:rPr>
            </w:pPr>
            <w:r w:rsidRPr="005E4BEA">
              <w:rPr>
                <w:rFonts w:cs="Arial"/>
                <w:szCs w:val="20"/>
              </w:rPr>
              <w:t>28,3</w:t>
            </w:r>
          </w:p>
        </w:tc>
      </w:tr>
      <w:tr w:rsidR="00FE461F" w:rsidRPr="005E4BEA" w14:paraId="50441514"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942B2EE" w14:textId="77777777" w:rsidR="00FE461F" w:rsidRPr="005E4BEA" w:rsidRDefault="00FE461F" w:rsidP="00FE461F">
            <w:pPr>
              <w:spacing w:line="240" w:lineRule="auto"/>
              <w:rPr>
                <w:rFonts w:cs="Arial"/>
                <w:szCs w:val="20"/>
              </w:rPr>
            </w:pPr>
            <w:r w:rsidRPr="005E4BEA">
              <w:rPr>
                <w:rFonts w:cs="Arial"/>
                <w:szCs w:val="20"/>
              </w:rPr>
              <w:t>Bolnišnica za ginekologijo in porodništvo Kranj</w:t>
            </w:r>
          </w:p>
        </w:tc>
        <w:tc>
          <w:tcPr>
            <w:tcW w:w="1022" w:type="dxa"/>
            <w:tcBorders>
              <w:top w:val="nil"/>
              <w:left w:val="nil"/>
              <w:bottom w:val="single" w:sz="4" w:space="0" w:color="auto"/>
              <w:right w:val="single" w:sz="4" w:space="0" w:color="auto"/>
            </w:tcBorders>
            <w:noWrap/>
            <w:vAlign w:val="bottom"/>
            <w:hideMark/>
          </w:tcPr>
          <w:p w14:paraId="2ED711FA"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BD98288" w14:textId="77777777" w:rsidR="00FE461F" w:rsidRPr="005E4BEA" w:rsidRDefault="00FE461F" w:rsidP="00FE461F">
            <w:pPr>
              <w:spacing w:line="240" w:lineRule="auto"/>
              <w:jc w:val="right"/>
              <w:rPr>
                <w:rFonts w:cs="Arial"/>
                <w:szCs w:val="20"/>
              </w:rPr>
            </w:pPr>
            <w:r w:rsidRPr="005E4BEA">
              <w:rPr>
                <w:rFonts w:cs="Arial"/>
                <w:szCs w:val="20"/>
              </w:rPr>
              <w:t>38</w:t>
            </w:r>
          </w:p>
        </w:tc>
        <w:tc>
          <w:tcPr>
            <w:tcW w:w="2011" w:type="dxa"/>
            <w:tcBorders>
              <w:top w:val="nil"/>
              <w:left w:val="nil"/>
              <w:bottom w:val="single" w:sz="4" w:space="0" w:color="auto"/>
              <w:right w:val="single" w:sz="4" w:space="0" w:color="auto"/>
            </w:tcBorders>
            <w:noWrap/>
            <w:vAlign w:val="bottom"/>
            <w:hideMark/>
          </w:tcPr>
          <w:p w14:paraId="327165A9" w14:textId="77777777" w:rsidR="00FE461F" w:rsidRPr="005E4BEA" w:rsidRDefault="00FE461F" w:rsidP="00FE461F">
            <w:pPr>
              <w:spacing w:line="240" w:lineRule="auto"/>
              <w:jc w:val="right"/>
              <w:rPr>
                <w:rFonts w:cs="Arial"/>
                <w:szCs w:val="20"/>
              </w:rPr>
            </w:pPr>
            <w:r w:rsidRPr="005E4BEA">
              <w:rPr>
                <w:rFonts w:cs="Arial"/>
                <w:szCs w:val="20"/>
              </w:rPr>
              <w:t>128</w:t>
            </w:r>
          </w:p>
        </w:tc>
        <w:tc>
          <w:tcPr>
            <w:tcW w:w="1584" w:type="dxa"/>
            <w:tcBorders>
              <w:top w:val="nil"/>
              <w:left w:val="nil"/>
              <w:bottom w:val="single" w:sz="4" w:space="0" w:color="auto"/>
              <w:right w:val="single" w:sz="4" w:space="0" w:color="auto"/>
            </w:tcBorders>
            <w:noWrap/>
            <w:vAlign w:val="bottom"/>
            <w:hideMark/>
          </w:tcPr>
          <w:p w14:paraId="4355DE75" w14:textId="77777777" w:rsidR="00FE461F" w:rsidRPr="005E4BEA" w:rsidRDefault="00FE461F" w:rsidP="00FE461F">
            <w:pPr>
              <w:spacing w:line="240" w:lineRule="auto"/>
              <w:jc w:val="right"/>
              <w:rPr>
                <w:rFonts w:cs="Arial"/>
                <w:szCs w:val="20"/>
              </w:rPr>
            </w:pPr>
            <w:r w:rsidRPr="005E4BEA">
              <w:rPr>
                <w:rFonts w:cs="Arial"/>
                <w:szCs w:val="20"/>
              </w:rPr>
              <w:t>29,7</w:t>
            </w:r>
          </w:p>
        </w:tc>
      </w:tr>
      <w:tr w:rsidR="00FE461F" w:rsidRPr="005E4BEA" w14:paraId="7ABEF318" w14:textId="77777777" w:rsidTr="0016774B">
        <w:trPr>
          <w:trHeight w:val="189"/>
        </w:trPr>
        <w:tc>
          <w:tcPr>
            <w:tcW w:w="3795" w:type="dxa"/>
            <w:tcBorders>
              <w:top w:val="nil"/>
              <w:left w:val="single" w:sz="4" w:space="0" w:color="auto"/>
              <w:bottom w:val="nil"/>
              <w:right w:val="single" w:sz="4" w:space="0" w:color="auto"/>
            </w:tcBorders>
            <w:hideMark/>
          </w:tcPr>
          <w:p w14:paraId="5EE993A7" w14:textId="77777777" w:rsidR="00FE461F" w:rsidRPr="005E4BEA" w:rsidRDefault="00FE461F" w:rsidP="00FE461F">
            <w:pPr>
              <w:spacing w:line="240" w:lineRule="auto"/>
              <w:rPr>
                <w:rFonts w:cs="Arial"/>
                <w:szCs w:val="20"/>
              </w:rPr>
            </w:pPr>
            <w:r w:rsidRPr="005E4BEA">
              <w:rPr>
                <w:rFonts w:cs="Arial"/>
                <w:szCs w:val="20"/>
              </w:rPr>
              <w:t>Bolnišnica za ženske bolezni in porodništvo Postojna</w:t>
            </w:r>
          </w:p>
        </w:tc>
        <w:tc>
          <w:tcPr>
            <w:tcW w:w="1022" w:type="dxa"/>
            <w:tcBorders>
              <w:top w:val="nil"/>
              <w:left w:val="nil"/>
              <w:bottom w:val="nil"/>
              <w:right w:val="single" w:sz="4" w:space="0" w:color="auto"/>
            </w:tcBorders>
            <w:noWrap/>
            <w:vAlign w:val="bottom"/>
            <w:hideMark/>
          </w:tcPr>
          <w:p w14:paraId="41D26361"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3F3B67CA" w14:textId="77777777" w:rsidR="00FE461F" w:rsidRPr="005E4BEA" w:rsidRDefault="00FE461F" w:rsidP="00FE461F">
            <w:pPr>
              <w:spacing w:line="240" w:lineRule="auto"/>
              <w:jc w:val="right"/>
              <w:rPr>
                <w:rFonts w:cs="Arial"/>
                <w:szCs w:val="20"/>
              </w:rPr>
            </w:pPr>
            <w:r w:rsidRPr="005E4BEA">
              <w:rPr>
                <w:rFonts w:cs="Arial"/>
                <w:szCs w:val="20"/>
              </w:rPr>
              <w:t>31</w:t>
            </w:r>
          </w:p>
        </w:tc>
        <w:tc>
          <w:tcPr>
            <w:tcW w:w="2011" w:type="dxa"/>
            <w:tcBorders>
              <w:top w:val="nil"/>
              <w:left w:val="nil"/>
              <w:bottom w:val="nil"/>
              <w:right w:val="single" w:sz="4" w:space="0" w:color="auto"/>
            </w:tcBorders>
            <w:noWrap/>
            <w:vAlign w:val="bottom"/>
            <w:hideMark/>
          </w:tcPr>
          <w:p w14:paraId="65098B45" w14:textId="77777777" w:rsidR="00FE461F" w:rsidRPr="005E4BEA" w:rsidRDefault="00FE461F" w:rsidP="00FE461F">
            <w:pPr>
              <w:spacing w:line="240" w:lineRule="auto"/>
              <w:jc w:val="right"/>
              <w:rPr>
                <w:rFonts w:cs="Arial"/>
                <w:szCs w:val="20"/>
              </w:rPr>
            </w:pPr>
            <w:r w:rsidRPr="005E4BEA">
              <w:rPr>
                <w:rFonts w:cs="Arial"/>
                <w:szCs w:val="20"/>
              </w:rPr>
              <w:t>93</w:t>
            </w:r>
          </w:p>
        </w:tc>
        <w:tc>
          <w:tcPr>
            <w:tcW w:w="1584" w:type="dxa"/>
            <w:tcBorders>
              <w:top w:val="nil"/>
              <w:left w:val="nil"/>
              <w:bottom w:val="nil"/>
              <w:right w:val="single" w:sz="4" w:space="0" w:color="auto"/>
            </w:tcBorders>
            <w:noWrap/>
            <w:vAlign w:val="bottom"/>
            <w:hideMark/>
          </w:tcPr>
          <w:p w14:paraId="3A30BC92" w14:textId="77777777" w:rsidR="00FE461F" w:rsidRPr="005E4BEA" w:rsidRDefault="00FE461F" w:rsidP="00FE461F">
            <w:pPr>
              <w:spacing w:line="240" w:lineRule="auto"/>
              <w:jc w:val="right"/>
              <w:rPr>
                <w:rFonts w:cs="Arial"/>
                <w:szCs w:val="20"/>
              </w:rPr>
            </w:pPr>
            <w:r w:rsidRPr="005E4BEA">
              <w:rPr>
                <w:rFonts w:cs="Arial"/>
                <w:szCs w:val="20"/>
              </w:rPr>
              <w:t>33,3</w:t>
            </w:r>
          </w:p>
        </w:tc>
      </w:tr>
      <w:tr w:rsidR="00FE461F" w:rsidRPr="005E4BEA" w14:paraId="5CD20A2E" w14:textId="77777777" w:rsidTr="0016774B">
        <w:trPr>
          <w:trHeight w:val="189"/>
        </w:trPr>
        <w:tc>
          <w:tcPr>
            <w:tcW w:w="3795" w:type="dxa"/>
            <w:tcBorders>
              <w:top w:val="nil"/>
              <w:left w:val="single" w:sz="4" w:space="0" w:color="auto"/>
              <w:bottom w:val="nil"/>
              <w:right w:val="single" w:sz="4" w:space="0" w:color="auto"/>
            </w:tcBorders>
            <w:hideMark/>
          </w:tcPr>
          <w:p w14:paraId="0A80D98E" w14:textId="77777777" w:rsidR="00FE461F" w:rsidRPr="005E4BEA" w:rsidRDefault="00FE461F" w:rsidP="00FE461F">
            <w:pPr>
              <w:spacing w:line="240" w:lineRule="auto"/>
              <w:rPr>
                <w:rFonts w:cs="Arial"/>
                <w:szCs w:val="20"/>
              </w:rPr>
            </w:pPr>
            <w:r w:rsidRPr="005E4BEA">
              <w:rPr>
                <w:rFonts w:cs="Arial"/>
                <w:szCs w:val="20"/>
              </w:rPr>
              <w:t>Bolnišnica za ženske bolezni in porodništvo Postojna</w:t>
            </w:r>
          </w:p>
        </w:tc>
        <w:tc>
          <w:tcPr>
            <w:tcW w:w="1022" w:type="dxa"/>
            <w:tcBorders>
              <w:top w:val="nil"/>
              <w:left w:val="nil"/>
              <w:bottom w:val="nil"/>
              <w:right w:val="single" w:sz="4" w:space="0" w:color="auto"/>
            </w:tcBorders>
            <w:noWrap/>
            <w:vAlign w:val="bottom"/>
            <w:hideMark/>
          </w:tcPr>
          <w:p w14:paraId="0C26DD8D"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4A0E3035" w14:textId="77777777" w:rsidR="00FE461F" w:rsidRPr="005E4BEA" w:rsidRDefault="00FE461F" w:rsidP="00FE461F">
            <w:pPr>
              <w:spacing w:line="240" w:lineRule="auto"/>
              <w:jc w:val="right"/>
              <w:rPr>
                <w:rFonts w:cs="Arial"/>
                <w:szCs w:val="20"/>
              </w:rPr>
            </w:pPr>
            <w:r w:rsidRPr="005E4BEA">
              <w:rPr>
                <w:rFonts w:cs="Arial"/>
                <w:szCs w:val="20"/>
              </w:rPr>
              <w:t>33</w:t>
            </w:r>
          </w:p>
        </w:tc>
        <w:tc>
          <w:tcPr>
            <w:tcW w:w="2011" w:type="dxa"/>
            <w:tcBorders>
              <w:top w:val="nil"/>
              <w:left w:val="nil"/>
              <w:bottom w:val="nil"/>
              <w:right w:val="single" w:sz="4" w:space="0" w:color="auto"/>
            </w:tcBorders>
            <w:noWrap/>
            <w:vAlign w:val="bottom"/>
            <w:hideMark/>
          </w:tcPr>
          <w:p w14:paraId="1D5C2DC2" w14:textId="77777777" w:rsidR="00FE461F" w:rsidRPr="005E4BEA" w:rsidRDefault="00FE461F" w:rsidP="00FE461F">
            <w:pPr>
              <w:spacing w:line="240" w:lineRule="auto"/>
              <w:jc w:val="right"/>
              <w:rPr>
                <w:rFonts w:cs="Arial"/>
                <w:szCs w:val="20"/>
              </w:rPr>
            </w:pPr>
            <w:r w:rsidRPr="005E4BEA">
              <w:rPr>
                <w:rFonts w:cs="Arial"/>
                <w:szCs w:val="20"/>
              </w:rPr>
              <w:t>98</w:t>
            </w:r>
          </w:p>
        </w:tc>
        <w:tc>
          <w:tcPr>
            <w:tcW w:w="1584" w:type="dxa"/>
            <w:tcBorders>
              <w:top w:val="nil"/>
              <w:left w:val="nil"/>
              <w:bottom w:val="nil"/>
              <w:right w:val="single" w:sz="4" w:space="0" w:color="auto"/>
            </w:tcBorders>
            <w:noWrap/>
            <w:vAlign w:val="bottom"/>
            <w:hideMark/>
          </w:tcPr>
          <w:p w14:paraId="74543068" w14:textId="77777777" w:rsidR="00FE461F" w:rsidRPr="005E4BEA" w:rsidRDefault="00FE461F" w:rsidP="00FE461F">
            <w:pPr>
              <w:spacing w:line="240" w:lineRule="auto"/>
              <w:jc w:val="right"/>
              <w:rPr>
                <w:rFonts w:cs="Arial"/>
                <w:szCs w:val="20"/>
              </w:rPr>
            </w:pPr>
            <w:r w:rsidRPr="005E4BEA">
              <w:rPr>
                <w:rFonts w:cs="Arial"/>
                <w:szCs w:val="20"/>
              </w:rPr>
              <w:t>33,7</w:t>
            </w:r>
          </w:p>
        </w:tc>
      </w:tr>
      <w:tr w:rsidR="00FE461F" w:rsidRPr="005E4BEA" w14:paraId="6A23F2AE" w14:textId="77777777" w:rsidTr="0016774B">
        <w:trPr>
          <w:trHeight w:val="189"/>
        </w:trPr>
        <w:tc>
          <w:tcPr>
            <w:tcW w:w="3795" w:type="dxa"/>
            <w:tcBorders>
              <w:top w:val="nil"/>
              <w:left w:val="single" w:sz="4" w:space="0" w:color="auto"/>
              <w:bottom w:val="nil"/>
              <w:right w:val="single" w:sz="4" w:space="0" w:color="auto"/>
            </w:tcBorders>
            <w:hideMark/>
          </w:tcPr>
          <w:p w14:paraId="00DD5F0E" w14:textId="77777777" w:rsidR="00FE461F" w:rsidRPr="005E4BEA" w:rsidRDefault="00FE461F" w:rsidP="00FE461F">
            <w:pPr>
              <w:spacing w:line="240" w:lineRule="auto"/>
              <w:rPr>
                <w:rFonts w:cs="Arial"/>
                <w:szCs w:val="20"/>
              </w:rPr>
            </w:pPr>
            <w:r w:rsidRPr="005E4BEA">
              <w:rPr>
                <w:rFonts w:cs="Arial"/>
                <w:szCs w:val="20"/>
              </w:rPr>
              <w:t>Bolnišnica za ženske bolezni in porodništvo Postojna</w:t>
            </w:r>
          </w:p>
        </w:tc>
        <w:tc>
          <w:tcPr>
            <w:tcW w:w="1022" w:type="dxa"/>
            <w:tcBorders>
              <w:top w:val="nil"/>
              <w:left w:val="nil"/>
              <w:bottom w:val="nil"/>
              <w:right w:val="single" w:sz="4" w:space="0" w:color="auto"/>
            </w:tcBorders>
            <w:noWrap/>
            <w:vAlign w:val="bottom"/>
            <w:hideMark/>
          </w:tcPr>
          <w:p w14:paraId="4794557B"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0A02EC5" w14:textId="77777777" w:rsidR="00FE461F" w:rsidRPr="005E4BEA" w:rsidRDefault="00FE461F" w:rsidP="00FE461F">
            <w:pPr>
              <w:spacing w:line="240" w:lineRule="auto"/>
              <w:jc w:val="right"/>
              <w:rPr>
                <w:rFonts w:cs="Arial"/>
                <w:szCs w:val="20"/>
              </w:rPr>
            </w:pPr>
            <w:r w:rsidRPr="005E4BEA">
              <w:rPr>
                <w:rFonts w:cs="Arial"/>
                <w:szCs w:val="20"/>
              </w:rPr>
              <w:t>32</w:t>
            </w:r>
          </w:p>
        </w:tc>
        <w:tc>
          <w:tcPr>
            <w:tcW w:w="2011" w:type="dxa"/>
            <w:tcBorders>
              <w:top w:val="nil"/>
              <w:left w:val="nil"/>
              <w:bottom w:val="nil"/>
              <w:right w:val="single" w:sz="4" w:space="0" w:color="auto"/>
            </w:tcBorders>
            <w:noWrap/>
            <w:vAlign w:val="bottom"/>
            <w:hideMark/>
          </w:tcPr>
          <w:p w14:paraId="3C2F0DC3" w14:textId="77777777" w:rsidR="00FE461F" w:rsidRPr="005E4BEA" w:rsidRDefault="00FE461F" w:rsidP="00FE461F">
            <w:pPr>
              <w:spacing w:line="240" w:lineRule="auto"/>
              <w:jc w:val="right"/>
              <w:rPr>
                <w:rFonts w:cs="Arial"/>
                <w:szCs w:val="20"/>
              </w:rPr>
            </w:pPr>
            <w:r w:rsidRPr="005E4BEA">
              <w:rPr>
                <w:rFonts w:cs="Arial"/>
                <w:szCs w:val="20"/>
              </w:rPr>
              <w:t>97</w:t>
            </w:r>
          </w:p>
        </w:tc>
        <w:tc>
          <w:tcPr>
            <w:tcW w:w="1584" w:type="dxa"/>
            <w:tcBorders>
              <w:top w:val="nil"/>
              <w:left w:val="nil"/>
              <w:bottom w:val="nil"/>
              <w:right w:val="single" w:sz="4" w:space="0" w:color="auto"/>
            </w:tcBorders>
            <w:noWrap/>
            <w:vAlign w:val="bottom"/>
            <w:hideMark/>
          </w:tcPr>
          <w:p w14:paraId="742FD5A4" w14:textId="77777777" w:rsidR="00FE461F" w:rsidRPr="005E4BEA" w:rsidRDefault="00FE461F" w:rsidP="00FE461F">
            <w:pPr>
              <w:spacing w:line="240" w:lineRule="auto"/>
              <w:jc w:val="right"/>
              <w:rPr>
                <w:rFonts w:cs="Arial"/>
                <w:szCs w:val="20"/>
              </w:rPr>
            </w:pPr>
            <w:r w:rsidRPr="005E4BEA">
              <w:rPr>
                <w:rFonts w:cs="Arial"/>
                <w:szCs w:val="20"/>
              </w:rPr>
              <w:t>33,0</w:t>
            </w:r>
          </w:p>
        </w:tc>
      </w:tr>
      <w:tr w:rsidR="00FE461F" w:rsidRPr="005E4BEA" w14:paraId="5311195D" w14:textId="77777777" w:rsidTr="0016774B">
        <w:trPr>
          <w:trHeight w:val="189"/>
        </w:trPr>
        <w:tc>
          <w:tcPr>
            <w:tcW w:w="3795" w:type="dxa"/>
            <w:tcBorders>
              <w:top w:val="nil"/>
              <w:left w:val="single" w:sz="4" w:space="0" w:color="auto"/>
              <w:bottom w:val="nil"/>
              <w:right w:val="single" w:sz="4" w:space="0" w:color="auto"/>
            </w:tcBorders>
            <w:hideMark/>
          </w:tcPr>
          <w:p w14:paraId="0021F207" w14:textId="77777777" w:rsidR="00FE461F" w:rsidRPr="005E4BEA" w:rsidRDefault="00FE461F" w:rsidP="00FE461F">
            <w:pPr>
              <w:spacing w:line="240" w:lineRule="auto"/>
              <w:rPr>
                <w:rFonts w:cs="Arial"/>
                <w:szCs w:val="20"/>
              </w:rPr>
            </w:pPr>
            <w:r w:rsidRPr="005E4BEA">
              <w:rPr>
                <w:rFonts w:cs="Arial"/>
                <w:szCs w:val="20"/>
              </w:rPr>
              <w:t>Bolnišnica za ženske bolezni in porodništvo Postojna</w:t>
            </w:r>
          </w:p>
        </w:tc>
        <w:tc>
          <w:tcPr>
            <w:tcW w:w="1022" w:type="dxa"/>
            <w:tcBorders>
              <w:top w:val="nil"/>
              <w:left w:val="nil"/>
              <w:bottom w:val="nil"/>
              <w:right w:val="single" w:sz="4" w:space="0" w:color="auto"/>
            </w:tcBorders>
            <w:noWrap/>
            <w:vAlign w:val="bottom"/>
            <w:hideMark/>
          </w:tcPr>
          <w:p w14:paraId="314EB0D7"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2E2E7B9" w14:textId="77777777" w:rsidR="00FE461F" w:rsidRPr="005E4BEA" w:rsidRDefault="00FE461F" w:rsidP="00FE461F">
            <w:pPr>
              <w:spacing w:line="240" w:lineRule="auto"/>
              <w:jc w:val="right"/>
              <w:rPr>
                <w:rFonts w:cs="Arial"/>
                <w:szCs w:val="20"/>
              </w:rPr>
            </w:pPr>
            <w:r w:rsidRPr="005E4BEA">
              <w:rPr>
                <w:rFonts w:cs="Arial"/>
                <w:szCs w:val="20"/>
              </w:rPr>
              <w:t>31</w:t>
            </w:r>
          </w:p>
        </w:tc>
        <w:tc>
          <w:tcPr>
            <w:tcW w:w="2011" w:type="dxa"/>
            <w:tcBorders>
              <w:top w:val="nil"/>
              <w:left w:val="nil"/>
              <w:bottom w:val="nil"/>
              <w:right w:val="single" w:sz="4" w:space="0" w:color="auto"/>
            </w:tcBorders>
            <w:noWrap/>
            <w:vAlign w:val="bottom"/>
            <w:hideMark/>
          </w:tcPr>
          <w:p w14:paraId="45E06E3C" w14:textId="77777777" w:rsidR="00FE461F" w:rsidRPr="005E4BEA" w:rsidRDefault="00FE461F" w:rsidP="00FE461F">
            <w:pPr>
              <w:spacing w:line="240" w:lineRule="auto"/>
              <w:jc w:val="right"/>
              <w:rPr>
                <w:rFonts w:cs="Arial"/>
                <w:szCs w:val="20"/>
              </w:rPr>
            </w:pPr>
            <w:r w:rsidRPr="005E4BEA">
              <w:rPr>
                <w:rFonts w:cs="Arial"/>
                <w:szCs w:val="20"/>
              </w:rPr>
              <w:t>93</w:t>
            </w:r>
          </w:p>
        </w:tc>
        <w:tc>
          <w:tcPr>
            <w:tcW w:w="1584" w:type="dxa"/>
            <w:tcBorders>
              <w:top w:val="nil"/>
              <w:left w:val="nil"/>
              <w:bottom w:val="nil"/>
              <w:right w:val="single" w:sz="4" w:space="0" w:color="auto"/>
            </w:tcBorders>
            <w:noWrap/>
            <w:vAlign w:val="bottom"/>
            <w:hideMark/>
          </w:tcPr>
          <w:p w14:paraId="4DF1DF52" w14:textId="77777777" w:rsidR="00FE461F" w:rsidRPr="005E4BEA" w:rsidRDefault="00FE461F" w:rsidP="00FE461F">
            <w:pPr>
              <w:spacing w:line="240" w:lineRule="auto"/>
              <w:jc w:val="right"/>
              <w:rPr>
                <w:rFonts w:cs="Arial"/>
                <w:szCs w:val="20"/>
              </w:rPr>
            </w:pPr>
            <w:r w:rsidRPr="005E4BEA">
              <w:rPr>
                <w:rFonts w:cs="Arial"/>
                <w:szCs w:val="20"/>
              </w:rPr>
              <w:t>33,3</w:t>
            </w:r>
          </w:p>
        </w:tc>
      </w:tr>
      <w:tr w:rsidR="00FE461F" w:rsidRPr="005E4BEA" w14:paraId="6A780C77" w14:textId="77777777" w:rsidTr="0016774B">
        <w:trPr>
          <w:trHeight w:val="189"/>
        </w:trPr>
        <w:tc>
          <w:tcPr>
            <w:tcW w:w="3795" w:type="dxa"/>
            <w:tcBorders>
              <w:top w:val="nil"/>
              <w:left w:val="single" w:sz="4" w:space="0" w:color="auto"/>
              <w:bottom w:val="nil"/>
              <w:right w:val="single" w:sz="4" w:space="0" w:color="auto"/>
            </w:tcBorders>
            <w:hideMark/>
          </w:tcPr>
          <w:p w14:paraId="5206F70D" w14:textId="77777777" w:rsidR="00FE461F" w:rsidRPr="005E4BEA" w:rsidRDefault="00FE461F" w:rsidP="00FE461F">
            <w:pPr>
              <w:spacing w:line="240" w:lineRule="auto"/>
              <w:rPr>
                <w:rFonts w:cs="Arial"/>
                <w:szCs w:val="20"/>
              </w:rPr>
            </w:pPr>
            <w:r w:rsidRPr="005E4BEA">
              <w:rPr>
                <w:rFonts w:cs="Arial"/>
                <w:szCs w:val="20"/>
              </w:rPr>
              <w:t>Bolnišnica za ženske bolezni in porodništvo Postojna</w:t>
            </w:r>
          </w:p>
        </w:tc>
        <w:tc>
          <w:tcPr>
            <w:tcW w:w="1022" w:type="dxa"/>
            <w:tcBorders>
              <w:top w:val="nil"/>
              <w:left w:val="nil"/>
              <w:bottom w:val="nil"/>
              <w:right w:val="single" w:sz="4" w:space="0" w:color="auto"/>
            </w:tcBorders>
            <w:noWrap/>
            <w:vAlign w:val="bottom"/>
            <w:hideMark/>
          </w:tcPr>
          <w:p w14:paraId="704087A2"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6A050DA" w14:textId="77777777" w:rsidR="00FE461F" w:rsidRPr="005E4BEA" w:rsidRDefault="00FE461F" w:rsidP="00FE461F">
            <w:pPr>
              <w:spacing w:line="240" w:lineRule="auto"/>
              <w:jc w:val="right"/>
              <w:rPr>
                <w:rFonts w:cs="Arial"/>
                <w:szCs w:val="20"/>
              </w:rPr>
            </w:pPr>
            <w:r w:rsidRPr="005E4BEA">
              <w:rPr>
                <w:rFonts w:cs="Arial"/>
                <w:szCs w:val="20"/>
              </w:rPr>
              <w:t>32</w:t>
            </w:r>
          </w:p>
        </w:tc>
        <w:tc>
          <w:tcPr>
            <w:tcW w:w="2011" w:type="dxa"/>
            <w:tcBorders>
              <w:top w:val="nil"/>
              <w:left w:val="nil"/>
              <w:bottom w:val="nil"/>
              <w:right w:val="single" w:sz="4" w:space="0" w:color="auto"/>
            </w:tcBorders>
            <w:noWrap/>
            <w:vAlign w:val="bottom"/>
            <w:hideMark/>
          </w:tcPr>
          <w:p w14:paraId="7F4AB6E6" w14:textId="77777777" w:rsidR="00FE461F" w:rsidRPr="005E4BEA" w:rsidRDefault="00FE461F" w:rsidP="00FE461F">
            <w:pPr>
              <w:spacing w:line="240" w:lineRule="auto"/>
              <w:jc w:val="right"/>
              <w:rPr>
                <w:rFonts w:cs="Arial"/>
                <w:szCs w:val="20"/>
              </w:rPr>
            </w:pPr>
            <w:r w:rsidRPr="005E4BEA">
              <w:rPr>
                <w:rFonts w:cs="Arial"/>
                <w:szCs w:val="20"/>
              </w:rPr>
              <w:t>98</w:t>
            </w:r>
          </w:p>
        </w:tc>
        <w:tc>
          <w:tcPr>
            <w:tcW w:w="1584" w:type="dxa"/>
            <w:tcBorders>
              <w:top w:val="nil"/>
              <w:left w:val="nil"/>
              <w:bottom w:val="nil"/>
              <w:right w:val="single" w:sz="4" w:space="0" w:color="auto"/>
            </w:tcBorders>
            <w:noWrap/>
            <w:vAlign w:val="bottom"/>
            <w:hideMark/>
          </w:tcPr>
          <w:p w14:paraId="7057918F" w14:textId="77777777" w:rsidR="00FE461F" w:rsidRPr="005E4BEA" w:rsidRDefault="00FE461F" w:rsidP="00FE461F">
            <w:pPr>
              <w:spacing w:line="240" w:lineRule="auto"/>
              <w:jc w:val="right"/>
              <w:rPr>
                <w:rFonts w:cs="Arial"/>
                <w:szCs w:val="20"/>
              </w:rPr>
            </w:pPr>
            <w:r w:rsidRPr="005E4BEA">
              <w:rPr>
                <w:rFonts w:cs="Arial"/>
                <w:szCs w:val="20"/>
              </w:rPr>
              <w:t>32,7</w:t>
            </w:r>
          </w:p>
        </w:tc>
      </w:tr>
      <w:tr w:rsidR="00FE461F" w:rsidRPr="005E4BEA" w14:paraId="636383C3"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A831244" w14:textId="77777777" w:rsidR="00FE461F" w:rsidRPr="005E4BEA" w:rsidRDefault="00FE461F" w:rsidP="00FE461F">
            <w:pPr>
              <w:spacing w:line="240" w:lineRule="auto"/>
              <w:rPr>
                <w:rFonts w:cs="Arial"/>
                <w:szCs w:val="20"/>
              </w:rPr>
            </w:pPr>
            <w:r w:rsidRPr="005E4BEA">
              <w:rPr>
                <w:rFonts w:cs="Arial"/>
                <w:szCs w:val="20"/>
              </w:rPr>
              <w:t>Bolnišnica za ženske bolezni in porodništvo Postojna</w:t>
            </w:r>
          </w:p>
        </w:tc>
        <w:tc>
          <w:tcPr>
            <w:tcW w:w="1022" w:type="dxa"/>
            <w:tcBorders>
              <w:top w:val="nil"/>
              <w:left w:val="nil"/>
              <w:bottom w:val="single" w:sz="4" w:space="0" w:color="auto"/>
              <w:right w:val="single" w:sz="4" w:space="0" w:color="auto"/>
            </w:tcBorders>
            <w:noWrap/>
            <w:vAlign w:val="bottom"/>
            <w:hideMark/>
          </w:tcPr>
          <w:p w14:paraId="316076CC"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5CBA3D82" w14:textId="77777777" w:rsidR="00FE461F" w:rsidRPr="005E4BEA" w:rsidRDefault="00FE461F" w:rsidP="00FE461F">
            <w:pPr>
              <w:spacing w:line="240" w:lineRule="auto"/>
              <w:jc w:val="right"/>
              <w:rPr>
                <w:rFonts w:cs="Arial"/>
                <w:szCs w:val="20"/>
              </w:rPr>
            </w:pPr>
            <w:r w:rsidRPr="005E4BEA">
              <w:rPr>
                <w:rFonts w:cs="Arial"/>
                <w:szCs w:val="20"/>
              </w:rPr>
              <w:t>30</w:t>
            </w:r>
          </w:p>
        </w:tc>
        <w:tc>
          <w:tcPr>
            <w:tcW w:w="2011" w:type="dxa"/>
            <w:tcBorders>
              <w:top w:val="nil"/>
              <w:left w:val="nil"/>
              <w:bottom w:val="single" w:sz="4" w:space="0" w:color="auto"/>
              <w:right w:val="single" w:sz="4" w:space="0" w:color="auto"/>
            </w:tcBorders>
            <w:noWrap/>
            <w:vAlign w:val="bottom"/>
            <w:hideMark/>
          </w:tcPr>
          <w:p w14:paraId="6FD6966A" w14:textId="77777777" w:rsidR="00FE461F" w:rsidRPr="005E4BEA" w:rsidRDefault="00FE461F" w:rsidP="00FE461F">
            <w:pPr>
              <w:spacing w:line="240" w:lineRule="auto"/>
              <w:jc w:val="right"/>
              <w:rPr>
                <w:rFonts w:cs="Arial"/>
                <w:szCs w:val="20"/>
              </w:rPr>
            </w:pPr>
            <w:r w:rsidRPr="005E4BEA">
              <w:rPr>
                <w:rFonts w:cs="Arial"/>
                <w:szCs w:val="20"/>
              </w:rPr>
              <w:t>94</w:t>
            </w:r>
          </w:p>
        </w:tc>
        <w:tc>
          <w:tcPr>
            <w:tcW w:w="1584" w:type="dxa"/>
            <w:tcBorders>
              <w:top w:val="nil"/>
              <w:left w:val="nil"/>
              <w:bottom w:val="single" w:sz="4" w:space="0" w:color="auto"/>
              <w:right w:val="single" w:sz="4" w:space="0" w:color="auto"/>
            </w:tcBorders>
            <w:noWrap/>
            <w:vAlign w:val="bottom"/>
            <w:hideMark/>
          </w:tcPr>
          <w:p w14:paraId="165559D2" w14:textId="77777777" w:rsidR="00FE461F" w:rsidRPr="005E4BEA" w:rsidRDefault="00FE461F" w:rsidP="00FE461F">
            <w:pPr>
              <w:spacing w:line="240" w:lineRule="auto"/>
              <w:jc w:val="right"/>
              <w:rPr>
                <w:rFonts w:cs="Arial"/>
                <w:szCs w:val="20"/>
              </w:rPr>
            </w:pPr>
            <w:r w:rsidRPr="005E4BEA">
              <w:rPr>
                <w:rFonts w:cs="Arial"/>
                <w:szCs w:val="20"/>
              </w:rPr>
              <w:t>31,9</w:t>
            </w:r>
          </w:p>
        </w:tc>
      </w:tr>
      <w:tr w:rsidR="00FE461F" w:rsidRPr="005E4BEA" w14:paraId="7BCE9BA8" w14:textId="77777777" w:rsidTr="0016774B">
        <w:trPr>
          <w:trHeight w:val="189"/>
        </w:trPr>
        <w:tc>
          <w:tcPr>
            <w:tcW w:w="3795" w:type="dxa"/>
            <w:tcBorders>
              <w:top w:val="nil"/>
              <w:left w:val="single" w:sz="4" w:space="0" w:color="auto"/>
              <w:bottom w:val="nil"/>
              <w:right w:val="single" w:sz="4" w:space="0" w:color="auto"/>
            </w:tcBorders>
            <w:hideMark/>
          </w:tcPr>
          <w:p w14:paraId="7BC2ABB3" w14:textId="77777777" w:rsidR="00FE461F" w:rsidRPr="005E4BEA" w:rsidRDefault="00FE461F" w:rsidP="00FE461F">
            <w:pPr>
              <w:spacing w:line="240" w:lineRule="auto"/>
              <w:rPr>
                <w:rFonts w:cs="Arial"/>
                <w:szCs w:val="20"/>
              </w:rPr>
            </w:pPr>
            <w:r w:rsidRPr="005E4BEA">
              <w:rPr>
                <w:rFonts w:cs="Arial"/>
                <w:szCs w:val="20"/>
              </w:rPr>
              <w:t>Center za zdravljenje bolezni otrok Šentvid pri Stični</w:t>
            </w:r>
          </w:p>
        </w:tc>
        <w:tc>
          <w:tcPr>
            <w:tcW w:w="1022" w:type="dxa"/>
            <w:tcBorders>
              <w:top w:val="nil"/>
              <w:left w:val="nil"/>
              <w:bottom w:val="nil"/>
              <w:right w:val="single" w:sz="4" w:space="0" w:color="auto"/>
            </w:tcBorders>
            <w:noWrap/>
            <w:vAlign w:val="bottom"/>
            <w:hideMark/>
          </w:tcPr>
          <w:p w14:paraId="7641E663"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5930679D" w14:textId="77777777" w:rsidR="00FE461F" w:rsidRPr="005E4BEA" w:rsidRDefault="00FE461F" w:rsidP="00FE461F">
            <w:pPr>
              <w:spacing w:line="240" w:lineRule="auto"/>
              <w:jc w:val="right"/>
              <w:rPr>
                <w:rFonts w:cs="Arial"/>
                <w:szCs w:val="20"/>
              </w:rPr>
            </w:pPr>
            <w:r w:rsidRPr="005E4BEA">
              <w:rPr>
                <w:rFonts w:cs="Arial"/>
                <w:szCs w:val="20"/>
              </w:rPr>
              <w:t>15</w:t>
            </w:r>
          </w:p>
        </w:tc>
        <w:tc>
          <w:tcPr>
            <w:tcW w:w="2011" w:type="dxa"/>
            <w:tcBorders>
              <w:top w:val="nil"/>
              <w:left w:val="nil"/>
              <w:bottom w:val="nil"/>
              <w:right w:val="single" w:sz="4" w:space="0" w:color="auto"/>
            </w:tcBorders>
            <w:noWrap/>
            <w:vAlign w:val="bottom"/>
            <w:hideMark/>
          </w:tcPr>
          <w:p w14:paraId="3103D16C" w14:textId="77777777" w:rsidR="00FE461F" w:rsidRPr="005E4BEA" w:rsidRDefault="00FE461F" w:rsidP="00FE461F">
            <w:pPr>
              <w:spacing w:line="240" w:lineRule="auto"/>
              <w:jc w:val="right"/>
              <w:rPr>
                <w:rFonts w:cs="Arial"/>
                <w:szCs w:val="20"/>
              </w:rPr>
            </w:pPr>
            <w:r w:rsidRPr="005E4BEA">
              <w:rPr>
                <w:rFonts w:cs="Arial"/>
                <w:szCs w:val="20"/>
              </w:rPr>
              <w:t>47</w:t>
            </w:r>
          </w:p>
        </w:tc>
        <w:tc>
          <w:tcPr>
            <w:tcW w:w="1584" w:type="dxa"/>
            <w:tcBorders>
              <w:top w:val="nil"/>
              <w:left w:val="nil"/>
              <w:bottom w:val="nil"/>
              <w:right w:val="single" w:sz="4" w:space="0" w:color="auto"/>
            </w:tcBorders>
            <w:noWrap/>
            <w:vAlign w:val="bottom"/>
            <w:hideMark/>
          </w:tcPr>
          <w:p w14:paraId="7A85D879" w14:textId="77777777" w:rsidR="00FE461F" w:rsidRPr="005E4BEA" w:rsidRDefault="00FE461F" w:rsidP="00FE461F">
            <w:pPr>
              <w:spacing w:line="240" w:lineRule="auto"/>
              <w:jc w:val="right"/>
              <w:rPr>
                <w:rFonts w:cs="Arial"/>
                <w:szCs w:val="20"/>
              </w:rPr>
            </w:pPr>
            <w:r w:rsidRPr="005E4BEA">
              <w:rPr>
                <w:rFonts w:cs="Arial"/>
                <w:szCs w:val="20"/>
              </w:rPr>
              <w:t>31,9</w:t>
            </w:r>
          </w:p>
        </w:tc>
      </w:tr>
      <w:tr w:rsidR="00FE461F" w:rsidRPr="005E4BEA" w14:paraId="53A6FBFC" w14:textId="77777777" w:rsidTr="0016774B">
        <w:trPr>
          <w:trHeight w:val="189"/>
        </w:trPr>
        <w:tc>
          <w:tcPr>
            <w:tcW w:w="3795" w:type="dxa"/>
            <w:tcBorders>
              <w:top w:val="nil"/>
              <w:left w:val="single" w:sz="4" w:space="0" w:color="auto"/>
              <w:bottom w:val="nil"/>
              <w:right w:val="single" w:sz="4" w:space="0" w:color="auto"/>
            </w:tcBorders>
            <w:hideMark/>
          </w:tcPr>
          <w:p w14:paraId="4036660E" w14:textId="77777777" w:rsidR="00FE461F" w:rsidRPr="005E4BEA" w:rsidRDefault="00FE461F" w:rsidP="00FE461F">
            <w:pPr>
              <w:spacing w:line="240" w:lineRule="auto"/>
              <w:rPr>
                <w:rFonts w:cs="Arial"/>
                <w:szCs w:val="20"/>
              </w:rPr>
            </w:pPr>
            <w:r w:rsidRPr="005E4BEA">
              <w:rPr>
                <w:rFonts w:cs="Arial"/>
                <w:szCs w:val="20"/>
              </w:rPr>
              <w:t>Center za zdravljenje bolezni otrok Šentvid pri Stični</w:t>
            </w:r>
          </w:p>
        </w:tc>
        <w:tc>
          <w:tcPr>
            <w:tcW w:w="1022" w:type="dxa"/>
            <w:tcBorders>
              <w:top w:val="nil"/>
              <w:left w:val="nil"/>
              <w:bottom w:val="nil"/>
              <w:right w:val="single" w:sz="4" w:space="0" w:color="auto"/>
            </w:tcBorders>
            <w:noWrap/>
            <w:vAlign w:val="bottom"/>
            <w:hideMark/>
          </w:tcPr>
          <w:p w14:paraId="01F601D4"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55B0D437" w14:textId="77777777" w:rsidR="00FE461F" w:rsidRPr="005E4BEA" w:rsidRDefault="00FE461F" w:rsidP="00FE461F">
            <w:pPr>
              <w:spacing w:line="240" w:lineRule="auto"/>
              <w:jc w:val="right"/>
              <w:rPr>
                <w:rFonts w:cs="Arial"/>
                <w:szCs w:val="20"/>
              </w:rPr>
            </w:pPr>
            <w:r w:rsidRPr="005E4BEA">
              <w:rPr>
                <w:rFonts w:cs="Arial"/>
                <w:szCs w:val="20"/>
              </w:rPr>
              <w:t>15</w:t>
            </w:r>
          </w:p>
        </w:tc>
        <w:tc>
          <w:tcPr>
            <w:tcW w:w="2011" w:type="dxa"/>
            <w:tcBorders>
              <w:top w:val="nil"/>
              <w:left w:val="nil"/>
              <w:bottom w:val="nil"/>
              <w:right w:val="single" w:sz="4" w:space="0" w:color="auto"/>
            </w:tcBorders>
            <w:noWrap/>
            <w:vAlign w:val="bottom"/>
            <w:hideMark/>
          </w:tcPr>
          <w:p w14:paraId="7BCA36A5" w14:textId="77777777" w:rsidR="00FE461F" w:rsidRPr="005E4BEA" w:rsidRDefault="00FE461F" w:rsidP="00FE461F">
            <w:pPr>
              <w:spacing w:line="240" w:lineRule="auto"/>
              <w:jc w:val="right"/>
              <w:rPr>
                <w:rFonts w:cs="Arial"/>
                <w:szCs w:val="20"/>
              </w:rPr>
            </w:pPr>
            <w:r w:rsidRPr="005E4BEA">
              <w:rPr>
                <w:rFonts w:cs="Arial"/>
                <w:szCs w:val="20"/>
              </w:rPr>
              <w:t>52</w:t>
            </w:r>
          </w:p>
        </w:tc>
        <w:tc>
          <w:tcPr>
            <w:tcW w:w="1584" w:type="dxa"/>
            <w:tcBorders>
              <w:top w:val="nil"/>
              <w:left w:val="nil"/>
              <w:bottom w:val="nil"/>
              <w:right w:val="single" w:sz="4" w:space="0" w:color="auto"/>
            </w:tcBorders>
            <w:noWrap/>
            <w:vAlign w:val="bottom"/>
            <w:hideMark/>
          </w:tcPr>
          <w:p w14:paraId="179F41AB" w14:textId="77777777" w:rsidR="00FE461F" w:rsidRPr="005E4BEA" w:rsidRDefault="00FE461F" w:rsidP="00FE461F">
            <w:pPr>
              <w:spacing w:line="240" w:lineRule="auto"/>
              <w:jc w:val="right"/>
              <w:rPr>
                <w:rFonts w:cs="Arial"/>
                <w:szCs w:val="20"/>
              </w:rPr>
            </w:pPr>
            <w:r w:rsidRPr="005E4BEA">
              <w:rPr>
                <w:rFonts w:cs="Arial"/>
                <w:szCs w:val="20"/>
              </w:rPr>
              <w:t>28,8</w:t>
            </w:r>
          </w:p>
        </w:tc>
      </w:tr>
      <w:tr w:rsidR="00FE461F" w:rsidRPr="005E4BEA" w14:paraId="7A6BEEA9" w14:textId="77777777" w:rsidTr="0016774B">
        <w:trPr>
          <w:trHeight w:val="189"/>
        </w:trPr>
        <w:tc>
          <w:tcPr>
            <w:tcW w:w="3795" w:type="dxa"/>
            <w:tcBorders>
              <w:top w:val="nil"/>
              <w:left w:val="single" w:sz="4" w:space="0" w:color="auto"/>
              <w:bottom w:val="nil"/>
              <w:right w:val="single" w:sz="4" w:space="0" w:color="auto"/>
            </w:tcBorders>
            <w:hideMark/>
          </w:tcPr>
          <w:p w14:paraId="481DDB99" w14:textId="77777777" w:rsidR="00FE461F" w:rsidRPr="005E4BEA" w:rsidRDefault="00FE461F" w:rsidP="00FE461F">
            <w:pPr>
              <w:spacing w:line="240" w:lineRule="auto"/>
              <w:rPr>
                <w:rFonts w:cs="Arial"/>
                <w:szCs w:val="20"/>
              </w:rPr>
            </w:pPr>
            <w:r w:rsidRPr="005E4BEA">
              <w:rPr>
                <w:rFonts w:cs="Arial"/>
                <w:szCs w:val="20"/>
              </w:rPr>
              <w:t>Center za zdravljenje bolezni otrok Šentvid pri Stični</w:t>
            </w:r>
          </w:p>
        </w:tc>
        <w:tc>
          <w:tcPr>
            <w:tcW w:w="1022" w:type="dxa"/>
            <w:tcBorders>
              <w:top w:val="nil"/>
              <w:left w:val="nil"/>
              <w:bottom w:val="nil"/>
              <w:right w:val="single" w:sz="4" w:space="0" w:color="auto"/>
            </w:tcBorders>
            <w:noWrap/>
            <w:vAlign w:val="bottom"/>
            <w:hideMark/>
          </w:tcPr>
          <w:p w14:paraId="3C7E4962"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53D21568" w14:textId="77777777" w:rsidR="00FE461F" w:rsidRPr="005E4BEA" w:rsidRDefault="00FE461F" w:rsidP="00FE461F">
            <w:pPr>
              <w:spacing w:line="240" w:lineRule="auto"/>
              <w:jc w:val="right"/>
              <w:rPr>
                <w:rFonts w:cs="Arial"/>
                <w:szCs w:val="20"/>
              </w:rPr>
            </w:pPr>
            <w:r w:rsidRPr="005E4BEA">
              <w:rPr>
                <w:rFonts w:cs="Arial"/>
                <w:szCs w:val="20"/>
              </w:rPr>
              <w:t>16</w:t>
            </w:r>
          </w:p>
        </w:tc>
        <w:tc>
          <w:tcPr>
            <w:tcW w:w="2011" w:type="dxa"/>
            <w:tcBorders>
              <w:top w:val="nil"/>
              <w:left w:val="nil"/>
              <w:bottom w:val="nil"/>
              <w:right w:val="single" w:sz="4" w:space="0" w:color="auto"/>
            </w:tcBorders>
            <w:noWrap/>
            <w:vAlign w:val="bottom"/>
            <w:hideMark/>
          </w:tcPr>
          <w:p w14:paraId="3D8C2AB2" w14:textId="77777777" w:rsidR="00FE461F" w:rsidRPr="005E4BEA" w:rsidRDefault="00FE461F" w:rsidP="00FE461F">
            <w:pPr>
              <w:spacing w:line="240" w:lineRule="auto"/>
              <w:jc w:val="right"/>
              <w:rPr>
                <w:rFonts w:cs="Arial"/>
                <w:szCs w:val="20"/>
              </w:rPr>
            </w:pPr>
            <w:r w:rsidRPr="005E4BEA">
              <w:rPr>
                <w:rFonts w:cs="Arial"/>
                <w:szCs w:val="20"/>
              </w:rPr>
              <w:t>53</w:t>
            </w:r>
          </w:p>
        </w:tc>
        <w:tc>
          <w:tcPr>
            <w:tcW w:w="1584" w:type="dxa"/>
            <w:tcBorders>
              <w:top w:val="nil"/>
              <w:left w:val="nil"/>
              <w:bottom w:val="nil"/>
              <w:right w:val="single" w:sz="4" w:space="0" w:color="auto"/>
            </w:tcBorders>
            <w:noWrap/>
            <w:vAlign w:val="bottom"/>
            <w:hideMark/>
          </w:tcPr>
          <w:p w14:paraId="454EC86E" w14:textId="77777777" w:rsidR="00FE461F" w:rsidRPr="005E4BEA" w:rsidRDefault="00FE461F" w:rsidP="00FE461F">
            <w:pPr>
              <w:spacing w:line="240" w:lineRule="auto"/>
              <w:jc w:val="right"/>
              <w:rPr>
                <w:rFonts w:cs="Arial"/>
                <w:szCs w:val="20"/>
              </w:rPr>
            </w:pPr>
            <w:r w:rsidRPr="005E4BEA">
              <w:rPr>
                <w:rFonts w:cs="Arial"/>
                <w:szCs w:val="20"/>
              </w:rPr>
              <w:t>30,2</w:t>
            </w:r>
          </w:p>
        </w:tc>
      </w:tr>
      <w:tr w:rsidR="00FE461F" w:rsidRPr="005E4BEA" w14:paraId="77B6C210" w14:textId="77777777" w:rsidTr="0016774B">
        <w:trPr>
          <w:trHeight w:val="189"/>
        </w:trPr>
        <w:tc>
          <w:tcPr>
            <w:tcW w:w="3795" w:type="dxa"/>
            <w:tcBorders>
              <w:top w:val="nil"/>
              <w:left w:val="single" w:sz="4" w:space="0" w:color="auto"/>
              <w:bottom w:val="nil"/>
              <w:right w:val="single" w:sz="4" w:space="0" w:color="auto"/>
            </w:tcBorders>
            <w:hideMark/>
          </w:tcPr>
          <w:p w14:paraId="19AFCD45" w14:textId="77777777" w:rsidR="00FE461F" w:rsidRPr="005E4BEA" w:rsidRDefault="00FE461F" w:rsidP="00FE461F">
            <w:pPr>
              <w:spacing w:line="240" w:lineRule="auto"/>
              <w:rPr>
                <w:rFonts w:cs="Arial"/>
                <w:szCs w:val="20"/>
              </w:rPr>
            </w:pPr>
            <w:r w:rsidRPr="005E4BEA">
              <w:rPr>
                <w:rFonts w:cs="Arial"/>
                <w:szCs w:val="20"/>
              </w:rPr>
              <w:lastRenderedPageBreak/>
              <w:t>Center za zdravljenje bolezni otrok Šentvid pri Stični</w:t>
            </w:r>
          </w:p>
        </w:tc>
        <w:tc>
          <w:tcPr>
            <w:tcW w:w="1022" w:type="dxa"/>
            <w:tcBorders>
              <w:top w:val="nil"/>
              <w:left w:val="nil"/>
              <w:bottom w:val="nil"/>
              <w:right w:val="single" w:sz="4" w:space="0" w:color="auto"/>
            </w:tcBorders>
            <w:noWrap/>
            <w:vAlign w:val="bottom"/>
            <w:hideMark/>
          </w:tcPr>
          <w:p w14:paraId="08629DEC"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4A510FA5" w14:textId="77777777" w:rsidR="00FE461F" w:rsidRPr="005E4BEA" w:rsidRDefault="00FE461F" w:rsidP="00FE461F">
            <w:pPr>
              <w:spacing w:line="240" w:lineRule="auto"/>
              <w:jc w:val="right"/>
              <w:rPr>
                <w:rFonts w:cs="Arial"/>
                <w:szCs w:val="20"/>
              </w:rPr>
            </w:pPr>
            <w:r w:rsidRPr="005E4BEA">
              <w:rPr>
                <w:rFonts w:cs="Arial"/>
                <w:szCs w:val="20"/>
              </w:rPr>
              <w:t>17</w:t>
            </w:r>
          </w:p>
        </w:tc>
        <w:tc>
          <w:tcPr>
            <w:tcW w:w="2011" w:type="dxa"/>
            <w:tcBorders>
              <w:top w:val="nil"/>
              <w:left w:val="nil"/>
              <w:bottom w:val="nil"/>
              <w:right w:val="single" w:sz="4" w:space="0" w:color="auto"/>
            </w:tcBorders>
            <w:noWrap/>
            <w:vAlign w:val="bottom"/>
            <w:hideMark/>
          </w:tcPr>
          <w:p w14:paraId="22D20D87" w14:textId="77777777" w:rsidR="00FE461F" w:rsidRPr="005E4BEA" w:rsidRDefault="00FE461F" w:rsidP="00FE461F">
            <w:pPr>
              <w:spacing w:line="240" w:lineRule="auto"/>
              <w:jc w:val="right"/>
              <w:rPr>
                <w:rFonts w:cs="Arial"/>
                <w:szCs w:val="20"/>
              </w:rPr>
            </w:pPr>
            <w:r w:rsidRPr="005E4BEA">
              <w:rPr>
                <w:rFonts w:cs="Arial"/>
                <w:szCs w:val="20"/>
              </w:rPr>
              <w:t>57</w:t>
            </w:r>
          </w:p>
        </w:tc>
        <w:tc>
          <w:tcPr>
            <w:tcW w:w="1584" w:type="dxa"/>
            <w:tcBorders>
              <w:top w:val="nil"/>
              <w:left w:val="nil"/>
              <w:bottom w:val="nil"/>
              <w:right w:val="single" w:sz="4" w:space="0" w:color="auto"/>
            </w:tcBorders>
            <w:noWrap/>
            <w:vAlign w:val="bottom"/>
            <w:hideMark/>
          </w:tcPr>
          <w:p w14:paraId="6F5DACB0" w14:textId="77777777" w:rsidR="00FE461F" w:rsidRPr="005E4BEA" w:rsidRDefault="00FE461F" w:rsidP="00FE461F">
            <w:pPr>
              <w:spacing w:line="240" w:lineRule="auto"/>
              <w:jc w:val="right"/>
              <w:rPr>
                <w:rFonts w:cs="Arial"/>
                <w:szCs w:val="20"/>
              </w:rPr>
            </w:pPr>
            <w:r w:rsidRPr="005E4BEA">
              <w:rPr>
                <w:rFonts w:cs="Arial"/>
                <w:szCs w:val="20"/>
              </w:rPr>
              <w:t>29,8</w:t>
            </w:r>
          </w:p>
        </w:tc>
      </w:tr>
      <w:tr w:rsidR="00FE461F" w:rsidRPr="005E4BEA" w14:paraId="7D11AC48" w14:textId="77777777" w:rsidTr="0016774B">
        <w:trPr>
          <w:trHeight w:val="189"/>
        </w:trPr>
        <w:tc>
          <w:tcPr>
            <w:tcW w:w="3795" w:type="dxa"/>
            <w:tcBorders>
              <w:top w:val="nil"/>
              <w:left w:val="single" w:sz="4" w:space="0" w:color="auto"/>
              <w:bottom w:val="nil"/>
              <w:right w:val="single" w:sz="4" w:space="0" w:color="auto"/>
            </w:tcBorders>
            <w:hideMark/>
          </w:tcPr>
          <w:p w14:paraId="393FCFD5" w14:textId="77777777" w:rsidR="00FE461F" w:rsidRPr="005E4BEA" w:rsidRDefault="00FE461F" w:rsidP="00FE461F">
            <w:pPr>
              <w:spacing w:line="240" w:lineRule="auto"/>
              <w:rPr>
                <w:rFonts w:cs="Arial"/>
                <w:szCs w:val="20"/>
              </w:rPr>
            </w:pPr>
            <w:r w:rsidRPr="005E4BEA">
              <w:rPr>
                <w:rFonts w:cs="Arial"/>
                <w:szCs w:val="20"/>
              </w:rPr>
              <w:t>Center za zdravljenje bolezni otrok Šentvid pri Stični</w:t>
            </w:r>
          </w:p>
        </w:tc>
        <w:tc>
          <w:tcPr>
            <w:tcW w:w="1022" w:type="dxa"/>
            <w:tcBorders>
              <w:top w:val="nil"/>
              <w:left w:val="nil"/>
              <w:bottom w:val="nil"/>
              <w:right w:val="single" w:sz="4" w:space="0" w:color="auto"/>
            </w:tcBorders>
            <w:noWrap/>
            <w:vAlign w:val="bottom"/>
            <w:hideMark/>
          </w:tcPr>
          <w:p w14:paraId="6014E722"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1CF3EB81" w14:textId="77777777" w:rsidR="00FE461F" w:rsidRPr="005E4BEA" w:rsidRDefault="00FE461F" w:rsidP="00FE461F">
            <w:pPr>
              <w:spacing w:line="240" w:lineRule="auto"/>
              <w:jc w:val="right"/>
              <w:rPr>
                <w:rFonts w:cs="Arial"/>
                <w:szCs w:val="20"/>
              </w:rPr>
            </w:pPr>
            <w:r w:rsidRPr="005E4BEA">
              <w:rPr>
                <w:rFonts w:cs="Arial"/>
                <w:szCs w:val="20"/>
              </w:rPr>
              <w:t>19</w:t>
            </w:r>
          </w:p>
        </w:tc>
        <w:tc>
          <w:tcPr>
            <w:tcW w:w="2011" w:type="dxa"/>
            <w:tcBorders>
              <w:top w:val="nil"/>
              <w:left w:val="nil"/>
              <w:bottom w:val="nil"/>
              <w:right w:val="single" w:sz="4" w:space="0" w:color="auto"/>
            </w:tcBorders>
            <w:noWrap/>
            <w:vAlign w:val="bottom"/>
            <w:hideMark/>
          </w:tcPr>
          <w:p w14:paraId="549E79C5" w14:textId="77777777" w:rsidR="00FE461F" w:rsidRPr="005E4BEA" w:rsidRDefault="00FE461F" w:rsidP="00FE461F">
            <w:pPr>
              <w:spacing w:line="240" w:lineRule="auto"/>
              <w:jc w:val="right"/>
              <w:rPr>
                <w:rFonts w:cs="Arial"/>
                <w:szCs w:val="20"/>
              </w:rPr>
            </w:pPr>
            <w:r w:rsidRPr="005E4BEA">
              <w:rPr>
                <w:rFonts w:cs="Arial"/>
                <w:szCs w:val="20"/>
              </w:rPr>
              <w:t>61</w:t>
            </w:r>
          </w:p>
        </w:tc>
        <w:tc>
          <w:tcPr>
            <w:tcW w:w="1584" w:type="dxa"/>
            <w:tcBorders>
              <w:top w:val="nil"/>
              <w:left w:val="nil"/>
              <w:bottom w:val="nil"/>
              <w:right w:val="single" w:sz="4" w:space="0" w:color="auto"/>
            </w:tcBorders>
            <w:noWrap/>
            <w:vAlign w:val="bottom"/>
            <w:hideMark/>
          </w:tcPr>
          <w:p w14:paraId="5EB26676" w14:textId="77777777" w:rsidR="00FE461F" w:rsidRPr="005E4BEA" w:rsidRDefault="00FE461F" w:rsidP="00FE461F">
            <w:pPr>
              <w:spacing w:line="240" w:lineRule="auto"/>
              <w:jc w:val="right"/>
              <w:rPr>
                <w:rFonts w:cs="Arial"/>
                <w:szCs w:val="20"/>
              </w:rPr>
            </w:pPr>
            <w:r w:rsidRPr="005E4BEA">
              <w:rPr>
                <w:rFonts w:cs="Arial"/>
                <w:szCs w:val="20"/>
              </w:rPr>
              <w:t>31,1</w:t>
            </w:r>
          </w:p>
        </w:tc>
      </w:tr>
      <w:tr w:rsidR="00FE461F" w:rsidRPr="005E4BEA" w14:paraId="39A38B04"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2A0B4A2E" w14:textId="77777777" w:rsidR="00FE461F" w:rsidRPr="005E4BEA" w:rsidRDefault="00FE461F" w:rsidP="00FE461F">
            <w:pPr>
              <w:spacing w:line="240" w:lineRule="auto"/>
              <w:rPr>
                <w:rFonts w:cs="Arial"/>
                <w:szCs w:val="20"/>
              </w:rPr>
            </w:pPr>
            <w:r w:rsidRPr="005E4BEA">
              <w:rPr>
                <w:rFonts w:cs="Arial"/>
                <w:szCs w:val="20"/>
              </w:rPr>
              <w:t>Center za zdravljenje bolezni otrok Šentvid pri Stični</w:t>
            </w:r>
          </w:p>
        </w:tc>
        <w:tc>
          <w:tcPr>
            <w:tcW w:w="1022" w:type="dxa"/>
            <w:tcBorders>
              <w:top w:val="nil"/>
              <w:left w:val="nil"/>
              <w:bottom w:val="single" w:sz="4" w:space="0" w:color="auto"/>
              <w:right w:val="single" w:sz="4" w:space="0" w:color="auto"/>
            </w:tcBorders>
            <w:noWrap/>
            <w:vAlign w:val="bottom"/>
            <w:hideMark/>
          </w:tcPr>
          <w:p w14:paraId="0E29A2A7"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6E518F45" w14:textId="77777777" w:rsidR="00FE461F" w:rsidRPr="005E4BEA" w:rsidRDefault="00FE461F" w:rsidP="00FE461F">
            <w:pPr>
              <w:spacing w:line="240" w:lineRule="auto"/>
              <w:jc w:val="right"/>
              <w:rPr>
                <w:rFonts w:cs="Arial"/>
                <w:szCs w:val="20"/>
              </w:rPr>
            </w:pPr>
            <w:r w:rsidRPr="005E4BEA">
              <w:rPr>
                <w:rFonts w:cs="Arial"/>
                <w:szCs w:val="20"/>
              </w:rPr>
              <w:t>21</w:t>
            </w:r>
          </w:p>
        </w:tc>
        <w:tc>
          <w:tcPr>
            <w:tcW w:w="2011" w:type="dxa"/>
            <w:tcBorders>
              <w:top w:val="nil"/>
              <w:left w:val="nil"/>
              <w:bottom w:val="single" w:sz="4" w:space="0" w:color="auto"/>
              <w:right w:val="single" w:sz="4" w:space="0" w:color="auto"/>
            </w:tcBorders>
            <w:noWrap/>
            <w:vAlign w:val="bottom"/>
            <w:hideMark/>
          </w:tcPr>
          <w:p w14:paraId="49F24985" w14:textId="77777777" w:rsidR="00FE461F" w:rsidRPr="005E4BEA" w:rsidRDefault="00FE461F" w:rsidP="00FE461F">
            <w:pPr>
              <w:spacing w:line="240" w:lineRule="auto"/>
              <w:jc w:val="right"/>
              <w:rPr>
                <w:rFonts w:cs="Arial"/>
                <w:szCs w:val="20"/>
              </w:rPr>
            </w:pPr>
            <w:r w:rsidRPr="005E4BEA">
              <w:rPr>
                <w:rFonts w:cs="Arial"/>
                <w:szCs w:val="20"/>
              </w:rPr>
              <w:t>66</w:t>
            </w:r>
          </w:p>
        </w:tc>
        <w:tc>
          <w:tcPr>
            <w:tcW w:w="1584" w:type="dxa"/>
            <w:tcBorders>
              <w:top w:val="nil"/>
              <w:left w:val="nil"/>
              <w:bottom w:val="single" w:sz="4" w:space="0" w:color="auto"/>
              <w:right w:val="single" w:sz="4" w:space="0" w:color="auto"/>
            </w:tcBorders>
            <w:noWrap/>
            <w:vAlign w:val="bottom"/>
            <w:hideMark/>
          </w:tcPr>
          <w:p w14:paraId="6EFB4C1B" w14:textId="77777777" w:rsidR="00FE461F" w:rsidRPr="005E4BEA" w:rsidRDefault="00FE461F" w:rsidP="00FE461F">
            <w:pPr>
              <w:spacing w:line="240" w:lineRule="auto"/>
              <w:jc w:val="right"/>
              <w:rPr>
                <w:rFonts w:cs="Arial"/>
                <w:szCs w:val="20"/>
              </w:rPr>
            </w:pPr>
            <w:r w:rsidRPr="005E4BEA">
              <w:rPr>
                <w:rFonts w:cs="Arial"/>
                <w:szCs w:val="20"/>
              </w:rPr>
              <w:t>31,8</w:t>
            </w:r>
          </w:p>
        </w:tc>
      </w:tr>
      <w:tr w:rsidR="00FE461F" w:rsidRPr="005E4BEA" w14:paraId="628164C3" w14:textId="77777777" w:rsidTr="0016774B">
        <w:trPr>
          <w:trHeight w:val="189"/>
        </w:trPr>
        <w:tc>
          <w:tcPr>
            <w:tcW w:w="3795" w:type="dxa"/>
            <w:tcBorders>
              <w:top w:val="nil"/>
              <w:left w:val="single" w:sz="4" w:space="0" w:color="auto"/>
              <w:bottom w:val="nil"/>
              <w:right w:val="single" w:sz="4" w:space="0" w:color="auto"/>
            </w:tcBorders>
            <w:hideMark/>
          </w:tcPr>
          <w:p w14:paraId="5218DECF" w14:textId="77777777" w:rsidR="00FE461F" w:rsidRPr="005E4BEA" w:rsidRDefault="00FE461F" w:rsidP="00FE461F">
            <w:pPr>
              <w:spacing w:line="240" w:lineRule="auto"/>
              <w:rPr>
                <w:rFonts w:cs="Arial"/>
                <w:szCs w:val="20"/>
              </w:rPr>
            </w:pPr>
            <w:r w:rsidRPr="005E4BEA">
              <w:rPr>
                <w:rFonts w:cs="Arial"/>
                <w:szCs w:val="20"/>
              </w:rPr>
              <w:t>Mladinsko klimatsko zdravilišče Rakitna</w:t>
            </w:r>
          </w:p>
        </w:tc>
        <w:tc>
          <w:tcPr>
            <w:tcW w:w="1022" w:type="dxa"/>
            <w:tcBorders>
              <w:top w:val="nil"/>
              <w:left w:val="nil"/>
              <w:bottom w:val="nil"/>
              <w:right w:val="single" w:sz="4" w:space="0" w:color="auto"/>
            </w:tcBorders>
            <w:noWrap/>
            <w:vAlign w:val="bottom"/>
            <w:hideMark/>
          </w:tcPr>
          <w:p w14:paraId="1F289A8C"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73BD9D2F" w14:textId="77777777" w:rsidR="00FE461F" w:rsidRPr="005E4BEA" w:rsidRDefault="00FE461F" w:rsidP="00FE461F">
            <w:pPr>
              <w:spacing w:line="240" w:lineRule="auto"/>
              <w:jc w:val="right"/>
              <w:rPr>
                <w:rFonts w:cs="Arial"/>
                <w:szCs w:val="20"/>
              </w:rPr>
            </w:pPr>
            <w:r w:rsidRPr="005E4BEA">
              <w:rPr>
                <w:rFonts w:cs="Arial"/>
                <w:szCs w:val="20"/>
              </w:rPr>
              <w:t>13</w:t>
            </w:r>
          </w:p>
        </w:tc>
        <w:tc>
          <w:tcPr>
            <w:tcW w:w="2011" w:type="dxa"/>
            <w:tcBorders>
              <w:top w:val="nil"/>
              <w:left w:val="nil"/>
              <w:bottom w:val="nil"/>
              <w:right w:val="single" w:sz="4" w:space="0" w:color="auto"/>
            </w:tcBorders>
            <w:noWrap/>
            <w:vAlign w:val="bottom"/>
            <w:hideMark/>
          </w:tcPr>
          <w:p w14:paraId="4C441A58" w14:textId="77777777" w:rsidR="00FE461F" w:rsidRPr="005E4BEA" w:rsidRDefault="00FE461F" w:rsidP="00FE461F">
            <w:pPr>
              <w:spacing w:line="240" w:lineRule="auto"/>
              <w:jc w:val="right"/>
              <w:rPr>
                <w:rFonts w:cs="Arial"/>
                <w:szCs w:val="20"/>
              </w:rPr>
            </w:pPr>
            <w:r w:rsidRPr="005E4BEA">
              <w:rPr>
                <w:rFonts w:cs="Arial"/>
                <w:szCs w:val="20"/>
              </w:rPr>
              <w:t>39</w:t>
            </w:r>
          </w:p>
        </w:tc>
        <w:tc>
          <w:tcPr>
            <w:tcW w:w="1584" w:type="dxa"/>
            <w:tcBorders>
              <w:top w:val="nil"/>
              <w:left w:val="nil"/>
              <w:bottom w:val="nil"/>
              <w:right w:val="single" w:sz="4" w:space="0" w:color="auto"/>
            </w:tcBorders>
            <w:noWrap/>
            <w:vAlign w:val="bottom"/>
            <w:hideMark/>
          </w:tcPr>
          <w:p w14:paraId="6BB38EFD" w14:textId="77777777" w:rsidR="00FE461F" w:rsidRPr="005E4BEA" w:rsidRDefault="00FE461F" w:rsidP="00FE461F">
            <w:pPr>
              <w:spacing w:line="240" w:lineRule="auto"/>
              <w:jc w:val="right"/>
              <w:rPr>
                <w:rFonts w:cs="Arial"/>
                <w:szCs w:val="20"/>
              </w:rPr>
            </w:pPr>
            <w:r w:rsidRPr="005E4BEA">
              <w:rPr>
                <w:rFonts w:cs="Arial"/>
                <w:szCs w:val="20"/>
              </w:rPr>
              <w:t>33,3</w:t>
            </w:r>
          </w:p>
        </w:tc>
      </w:tr>
      <w:tr w:rsidR="00FE461F" w:rsidRPr="005E4BEA" w14:paraId="41D7A884" w14:textId="77777777" w:rsidTr="0016774B">
        <w:trPr>
          <w:trHeight w:val="189"/>
        </w:trPr>
        <w:tc>
          <w:tcPr>
            <w:tcW w:w="3795" w:type="dxa"/>
            <w:tcBorders>
              <w:top w:val="nil"/>
              <w:left w:val="single" w:sz="4" w:space="0" w:color="auto"/>
              <w:bottom w:val="nil"/>
              <w:right w:val="single" w:sz="4" w:space="0" w:color="auto"/>
            </w:tcBorders>
            <w:hideMark/>
          </w:tcPr>
          <w:p w14:paraId="19037990" w14:textId="77777777" w:rsidR="00FE461F" w:rsidRPr="005E4BEA" w:rsidRDefault="00FE461F" w:rsidP="00FE461F">
            <w:pPr>
              <w:spacing w:line="240" w:lineRule="auto"/>
              <w:rPr>
                <w:rFonts w:cs="Arial"/>
                <w:szCs w:val="20"/>
              </w:rPr>
            </w:pPr>
            <w:r w:rsidRPr="005E4BEA">
              <w:rPr>
                <w:rFonts w:cs="Arial"/>
                <w:szCs w:val="20"/>
              </w:rPr>
              <w:t>Mladinsko klimatsko zdravilišče Rakitna</w:t>
            </w:r>
          </w:p>
        </w:tc>
        <w:tc>
          <w:tcPr>
            <w:tcW w:w="1022" w:type="dxa"/>
            <w:tcBorders>
              <w:top w:val="nil"/>
              <w:left w:val="nil"/>
              <w:bottom w:val="nil"/>
              <w:right w:val="single" w:sz="4" w:space="0" w:color="auto"/>
            </w:tcBorders>
            <w:noWrap/>
            <w:vAlign w:val="bottom"/>
            <w:hideMark/>
          </w:tcPr>
          <w:p w14:paraId="355B524B"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0B70DDF1" w14:textId="77777777" w:rsidR="00FE461F" w:rsidRPr="005E4BEA" w:rsidRDefault="00FE461F" w:rsidP="00FE461F">
            <w:pPr>
              <w:spacing w:line="240" w:lineRule="auto"/>
              <w:jc w:val="right"/>
              <w:rPr>
                <w:rFonts w:cs="Arial"/>
                <w:szCs w:val="20"/>
              </w:rPr>
            </w:pPr>
            <w:r w:rsidRPr="005E4BEA">
              <w:rPr>
                <w:rFonts w:cs="Arial"/>
                <w:szCs w:val="20"/>
              </w:rPr>
              <w:t>12</w:t>
            </w:r>
          </w:p>
        </w:tc>
        <w:tc>
          <w:tcPr>
            <w:tcW w:w="2011" w:type="dxa"/>
            <w:tcBorders>
              <w:top w:val="nil"/>
              <w:left w:val="nil"/>
              <w:bottom w:val="nil"/>
              <w:right w:val="single" w:sz="4" w:space="0" w:color="auto"/>
            </w:tcBorders>
            <w:noWrap/>
            <w:vAlign w:val="bottom"/>
            <w:hideMark/>
          </w:tcPr>
          <w:p w14:paraId="03FF201A" w14:textId="77777777" w:rsidR="00FE461F" w:rsidRPr="005E4BEA" w:rsidRDefault="00FE461F" w:rsidP="00FE461F">
            <w:pPr>
              <w:spacing w:line="240" w:lineRule="auto"/>
              <w:jc w:val="right"/>
              <w:rPr>
                <w:rFonts w:cs="Arial"/>
                <w:szCs w:val="20"/>
              </w:rPr>
            </w:pPr>
            <w:r w:rsidRPr="005E4BEA">
              <w:rPr>
                <w:rFonts w:cs="Arial"/>
                <w:szCs w:val="20"/>
              </w:rPr>
              <w:t>41</w:t>
            </w:r>
          </w:p>
        </w:tc>
        <w:tc>
          <w:tcPr>
            <w:tcW w:w="1584" w:type="dxa"/>
            <w:tcBorders>
              <w:top w:val="nil"/>
              <w:left w:val="nil"/>
              <w:bottom w:val="nil"/>
              <w:right w:val="single" w:sz="4" w:space="0" w:color="auto"/>
            </w:tcBorders>
            <w:noWrap/>
            <w:vAlign w:val="bottom"/>
            <w:hideMark/>
          </w:tcPr>
          <w:p w14:paraId="6D7F25BD" w14:textId="77777777" w:rsidR="00FE461F" w:rsidRPr="005E4BEA" w:rsidRDefault="00FE461F" w:rsidP="00FE461F">
            <w:pPr>
              <w:spacing w:line="240" w:lineRule="auto"/>
              <w:jc w:val="right"/>
              <w:rPr>
                <w:rFonts w:cs="Arial"/>
                <w:szCs w:val="20"/>
              </w:rPr>
            </w:pPr>
            <w:r w:rsidRPr="005E4BEA">
              <w:rPr>
                <w:rFonts w:cs="Arial"/>
                <w:szCs w:val="20"/>
              </w:rPr>
              <w:t>29,3</w:t>
            </w:r>
          </w:p>
        </w:tc>
      </w:tr>
      <w:tr w:rsidR="00FE461F" w:rsidRPr="005E4BEA" w14:paraId="5B104643" w14:textId="77777777" w:rsidTr="0016774B">
        <w:trPr>
          <w:trHeight w:val="189"/>
        </w:trPr>
        <w:tc>
          <w:tcPr>
            <w:tcW w:w="3795" w:type="dxa"/>
            <w:tcBorders>
              <w:top w:val="nil"/>
              <w:left w:val="single" w:sz="4" w:space="0" w:color="auto"/>
              <w:bottom w:val="nil"/>
              <w:right w:val="single" w:sz="4" w:space="0" w:color="auto"/>
            </w:tcBorders>
            <w:hideMark/>
          </w:tcPr>
          <w:p w14:paraId="09689650" w14:textId="77777777" w:rsidR="00FE461F" w:rsidRPr="005E4BEA" w:rsidRDefault="00FE461F" w:rsidP="00FE461F">
            <w:pPr>
              <w:spacing w:line="240" w:lineRule="auto"/>
              <w:rPr>
                <w:rFonts w:cs="Arial"/>
                <w:szCs w:val="20"/>
              </w:rPr>
            </w:pPr>
            <w:r w:rsidRPr="005E4BEA">
              <w:rPr>
                <w:rFonts w:cs="Arial"/>
                <w:szCs w:val="20"/>
              </w:rPr>
              <w:t>Mladinsko klimatsko zdravilišče Rakitna</w:t>
            </w:r>
          </w:p>
        </w:tc>
        <w:tc>
          <w:tcPr>
            <w:tcW w:w="1022" w:type="dxa"/>
            <w:tcBorders>
              <w:top w:val="nil"/>
              <w:left w:val="nil"/>
              <w:bottom w:val="nil"/>
              <w:right w:val="single" w:sz="4" w:space="0" w:color="auto"/>
            </w:tcBorders>
            <w:noWrap/>
            <w:vAlign w:val="bottom"/>
            <w:hideMark/>
          </w:tcPr>
          <w:p w14:paraId="0C5B440C"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44E30B1" w14:textId="77777777" w:rsidR="00FE461F" w:rsidRPr="005E4BEA" w:rsidRDefault="00FE461F" w:rsidP="00FE461F">
            <w:pPr>
              <w:spacing w:line="240" w:lineRule="auto"/>
              <w:jc w:val="right"/>
              <w:rPr>
                <w:rFonts w:cs="Arial"/>
                <w:szCs w:val="20"/>
              </w:rPr>
            </w:pPr>
            <w:r w:rsidRPr="005E4BEA">
              <w:rPr>
                <w:rFonts w:cs="Arial"/>
                <w:szCs w:val="20"/>
              </w:rPr>
              <w:t>14</w:t>
            </w:r>
          </w:p>
        </w:tc>
        <w:tc>
          <w:tcPr>
            <w:tcW w:w="2011" w:type="dxa"/>
            <w:tcBorders>
              <w:top w:val="nil"/>
              <w:left w:val="nil"/>
              <w:bottom w:val="nil"/>
              <w:right w:val="single" w:sz="4" w:space="0" w:color="auto"/>
            </w:tcBorders>
            <w:noWrap/>
            <w:vAlign w:val="bottom"/>
            <w:hideMark/>
          </w:tcPr>
          <w:p w14:paraId="66AEAFD8" w14:textId="77777777" w:rsidR="00FE461F" w:rsidRPr="005E4BEA" w:rsidRDefault="00FE461F" w:rsidP="00FE461F">
            <w:pPr>
              <w:spacing w:line="240" w:lineRule="auto"/>
              <w:jc w:val="right"/>
              <w:rPr>
                <w:rFonts w:cs="Arial"/>
                <w:szCs w:val="20"/>
              </w:rPr>
            </w:pPr>
            <w:r w:rsidRPr="005E4BEA">
              <w:rPr>
                <w:rFonts w:cs="Arial"/>
                <w:szCs w:val="20"/>
              </w:rPr>
              <w:t>40</w:t>
            </w:r>
          </w:p>
        </w:tc>
        <w:tc>
          <w:tcPr>
            <w:tcW w:w="1584" w:type="dxa"/>
            <w:tcBorders>
              <w:top w:val="nil"/>
              <w:left w:val="nil"/>
              <w:bottom w:val="nil"/>
              <w:right w:val="single" w:sz="4" w:space="0" w:color="auto"/>
            </w:tcBorders>
            <w:noWrap/>
            <w:vAlign w:val="bottom"/>
            <w:hideMark/>
          </w:tcPr>
          <w:p w14:paraId="569CDE7D" w14:textId="77777777" w:rsidR="00FE461F" w:rsidRPr="005E4BEA" w:rsidRDefault="00FE461F" w:rsidP="00FE461F">
            <w:pPr>
              <w:spacing w:line="240" w:lineRule="auto"/>
              <w:jc w:val="right"/>
              <w:rPr>
                <w:rFonts w:cs="Arial"/>
                <w:szCs w:val="20"/>
              </w:rPr>
            </w:pPr>
            <w:r w:rsidRPr="005E4BEA">
              <w:rPr>
                <w:rFonts w:cs="Arial"/>
                <w:szCs w:val="20"/>
              </w:rPr>
              <w:t>35,0</w:t>
            </w:r>
          </w:p>
        </w:tc>
      </w:tr>
      <w:tr w:rsidR="00FE461F" w:rsidRPr="005E4BEA" w14:paraId="35B72834" w14:textId="77777777" w:rsidTr="0016774B">
        <w:trPr>
          <w:trHeight w:val="189"/>
        </w:trPr>
        <w:tc>
          <w:tcPr>
            <w:tcW w:w="3795" w:type="dxa"/>
            <w:tcBorders>
              <w:top w:val="nil"/>
              <w:left w:val="single" w:sz="4" w:space="0" w:color="auto"/>
              <w:bottom w:val="nil"/>
              <w:right w:val="single" w:sz="4" w:space="0" w:color="auto"/>
            </w:tcBorders>
            <w:hideMark/>
          </w:tcPr>
          <w:p w14:paraId="1A6464EA" w14:textId="77777777" w:rsidR="00FE461F" w:rsidRPr="005E4BEA" w:rsidRDefault="00FE461F" w:rsidP="00FE461F">
            <w:pPr>
              <w:spacing w:line="240" w:lineRule="auto"/>
              <w:rPr>
                <w:rFonts w:cs="Arial"/>
                <w:szCs w:val="20"/>
              </w:rPr>
            </w:pPr>
            <w:r w:rsidRPr="005E4BEA">
              <w:rPr>
                <w:rFonts w:cs="Arial"/>
                <w:szCs w:val="20"/>
              </w:rPr>
              <w:t>Mladinsko klimatsko zdravilišče Rakitna</w:t>
            </w:r>
          </w:p>
        </w:tc>
        <w:tc>
          <w:tcPr>
            <w:tcW w:w="1022" w:type="dxa"/>
            <w:tcBorders>
              <w:top w:val="nil"/>
              <w:left w:val="nil"/>
              <w:bottom w:val="nil"/>
              <w:right w:val="single" w:sz="4" w:space="0" w:color="auto"/>
            </w:tcBorders>
            <w:noWrap/>
            <w:vAlign w:val="bottom"/>
            <w:hideMark/>
          </w:tcPr>
          <w:p w14:paraId="1880200E"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065A71A9" w14:textId="77777777" w:rsidR="00FE461F" w:rsidRPr="005E4BEA" w:rsidRDefault="00FE461F" w:rsidP="00FE461F">
            <w:pPr>
              <w:spacing w:line="240" w:lineRule="auto"/>
              <w:jc w:val="right"/>
              <w:rPr>
                <w:rFonts w:cs="Arial"/>
                <w:szCs w:val="20"/>
              </w:rPr>
            </w:pPr>
            <w:r w:rsidRPr="005E4BEA">
              <w:rPr>
                <w:rFonts w:cs="Arial"/>
                <w:szCs w:val="20"/>
              </w:rPr>
              <w:t>13</w:t>
            </w:r>
          </w:p>
        </w:tc>
        <w:tc>
          <w:tcPr>
            <w:tcW w:w="2011" w:type="dxa"/>
            <w:tcBorders>
              <w:top w:val="nil"/>
              <w:left w:val="nil"/>
              <w:bottom w:val="nil"/>
              <w:right w:val="single" w:sz="4" w:space="0" w:color="auto"/>
            </w:tcBorders>
            <w:noWrap/>
            <w:vAlign w:val="bottom"/>
            <w:hideMark/>
          </w:tcPr>
          <w:p w14:paraId="56C71930" w14:textId="77777777" w:rsidR="00FE461F" w:rsidRPr="005E4BEA" w:rsidRDefault="00FE461F" w:rsidP="00FE461F">
            <w:pPr>
              <w:spacing w:line="240" w:lineRule="auto"/>
              <w:jc w:val="right"/>
              <w:rPr>
                <w:rFonts w:cs="Arial"/>
                <w:szCs w:val="20"/>
              </w:rPr>
            </w:pPr>
            <w:r w:rsidRPr="005E4BEA">
              <w:rPr>
                <w:rFonts w:cs="Arial"/>
                <w:szCs w:val="20"/>
              </w:rPr>
              <w:t>45</w:t>
            </w:r>
          </w:p>
        </w:tc>
        <w:tc>
          <w:tcPr>
            <w:tcW w:w="1584" w:type="dxa"/>
            <w:tcBorders>
              <w:top w:val="nil"/>
              <w:left w:val="nil"/>
              <w:bottom w:val="nil"/>
              <w:right w:val="single" w:sz="4" w:space="0" w:color="auto"/>
            </w:tcBorders>
            <w:noWrap/>
            <w:vAlign w:val="bottom"/>
            <w:hideMark/>
          </w:tcPr>
          <w:p w14:paraId="2F1E3A81" w14:textId="77777777" w:rsidR="00FE461F" w:rsidRPr="005E4BEA" w:rsidRDefault="00FE461F" w:rsidP="00FE461F">
            <w:pPr>
              <w:spacing w:line="240" w:lineRule="auto"/>
              <w:jc w:val="right"/>
              <w:rPr>
                <w:rFonts w:cs="Arial"/>
                <w:szCs w:val="20"/>
              </w:rPr>
            </w:pPr>
            <w:r w:rsidRPr="005E4BEA">
              <w:rPr>
                <w:rFonts w:cs="Arial"/>
                <w:szCs w:val="20"/>
              </w:rPr>
              <w:t>28,9</w:t>
            </w:r>
          </w:p>
        </w:tc>
      </w:tr>
      <w:tr w:rsidR="00FE461F" w:rsidRPr="005E4BEA" w14:paraId="254D2751" w14:textId="77777777" w:rsidTr="0016774B">
        <w:trPr>
          <w:trHeight w:val="189"/>
        </w:trPr>
        <w:tc>
          <w:tcPr>
            <w:tcW w:w="3795" w:type="dxa"/>
            <w:tcBorders>
              <w:top w:val="nil"/>
              <w:left w:val="single" w:sz="4" w:space="0" w:color="auto"/>
              <w:bottom w:val="nil"/>
              <w:right w:val="single" w:sz="4" w:space="0" w:color="auto"/>
            </w:tcBorders>
            <w:hideMark/>
          </w:tcPr>
          <w:p w14:paraId="4E8E155A" w14:textId="77777777" w:rsidR="00FE461F" w:rsidRPr="005E4BEA" w:rsidRDefault="00FE461F" w:rsidP="00FE461F">
            <w:pPr>
              <w:spacing w:line="240" w:lineRule="auto"/>
              <w:rPr>
                <w:rFonts w:cs="Arial"/>
                <w:szCs w:val="20"/>
              </w:rPr>
            </w:pPr>
            <w:r w:rsidRPr="005E4BEA">
              <w:rPr>
                <w:rFonts w:cs="Arial"/>
                <w:szCs w:val="20"/>
              </w:rPr>
              <w:t>Mladinsko klimatsko zdravilišče Rakitna</w:t>
            </w:r>
          </w:p>
        </w:tc>
        <w:tc>
          <w:tcPr>
            <w:tcW w:w="1022" w:type="dxa"/>
            <w:tcBorders>
              <w:top w:val="nil"/>
              <w:left w:val="nil"/>
              <w:bottom w:val="nil"/>
              <w:right w:val="single" w:sz="4" w:space="0" w:color="auto"/>
            </w:tcBorders>
            <w:noWrap/>
            <w:vAlign w:val="bottom"/>
            <w:hideMark/>
          </w:tcPr>
          <w:p w14:paraId="3BD5FBF5"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1B2FACD0" w14:textId="77777777" w:rsidR="00FE461F" w:rsidRPr="005E4BEA" w:rsidRDefault="00FE461F" w:rsidP="00FE461F">
            <w:pPr>
              <w:spacing w:line="240" w:lineRule="auto"/>
              <w:jc w:val="right"/>
              <w:rPr>
                <w:rFonts w:cs="Arial"/>
                <w:szCs w:val="20"/>
              </w:rPr>
            </w:pPr>
            <w:r w:rsidRPr="005E4BEA">
              <w:rPr>
                <w:rFonts w:cs="Arial"/>
                <w:szCs w:val="20"/>
              </w:rPr>
              <w:t>13</w:t>
            </w:r>
          </w:p>
        </w:tc>
        <w:tc>
          <w:tcPr>
            <w:tcW w:w="2011" w:type="dxa"/>
            <w:tcBorders>
              <w:top w:val="nil"/>
              <w:left w:val="nil"/>
              <w:bottom w:val="nil"/>
              <w:right w:val="single" w:sz="4" w:space="0" w:color="auto"/>
            </w:tcBorders>
            <w:noWrap/>
            <w:vAlign w:val="bottom"/>
            <w:hideMark/>
          </w:tcPr>
          <w:p w14:paraId="0F0573FE" w14:textId="77777777" w:rsidR="00FE461F" w:rsidRPr="005E4BEA" w:rsidRDefault="00FE461F" w:rsidP="00FE461F">
            <w:pPr>
              <w:spacing w:line="240" w:lineRule="auto"/>
              <w:jc w:val="right"/>
              <w:rPr>
                <w:rFonts w:cs="Arial"/>
                <w:szCs w:val="20"/>
              </w:rPr>
            </w:pPr>
            <w:r w:rsidRPr="005E4BEA">
              <w:rPr>
                <w:rFonts w:cs="Arial"/>
                <w:szCs w:val="20"/>
              </w:rPr>
              <w:t>45</w:t>
            </w:r>
          </w:p>
        </w:tc>
        <w:tc>
          <w:tcPr>
            <w:tcW w:w="1584" w:type="dxa"/>
            <w:tcBorders>
              <w:top w:val="nil"/>
              <w:left w:val="nil"/>
              <w:bottom w:val="nil"/>
              <w:right w:val="single" w:sz="4" w:space="0" w:color="auto"/>
            </w:tcBorders>
            <w:noWrap/>
            <w:vAlign w:val="bottom"/>
            <w:hideMark/>
          </w:tcPr>
          <w:p w14:paraId="5F3F953D" w14:textId="77777777" w:rsidR="00FE461F" w:rsidRPr="005E4BEA" w:rsidRDefault="00FE461F" w:rsidP="00FE461F">
            <w:pPr>
              <w:spacing w:line="240" w:lineRule="auto"/>
              <w:jc w:val="right"/>
              <w:rPr>
                <w:rFonts w:cs="Arial"/>
                <w:szCs w:val="20"/>
              </w:rPr>
            </w:pPr>
            <w:r w:rsidRPr="005E4BEA">
              <w:rPr>
                <w:rFonts w:cs="Arial"/>
                <w:szCs w:val="20"/>
              </w:rPr>
              <w:t>28,9</w:t>
            </w:r>
          </w:p>
        </w:tc>
      </w:tr>
      <w:tr w:rsidR="00FE461F" w:rsidRPr="005E4BEA" w14:paraId="74422C9A"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BEA2652" w14:textId="77777777" w:rsidR="00FE461F" w:rsidRPr="005E4BEA" w:rsidRDefault="00FE461F" w:rsidP="00FE461F">
            <w:pPr>
              <w:spacing w:line="240" w:lineRule="auto"/>
              <w:rPr>
                <w:rFonts w:cs="Arial"/>
                <w:szCs w:val="20"/>
              </w:rPr>
            </w:pPr>
            <w:r w:rsidRPr="005E4BEA">
              <w:rPr>
                <w:rFonts w:cs="Arial"/>
                <w:szCs w:val="20"/>
              </w:rPr>
              <w:t>Mladinsko klimatsko zdravilišče Rakitna</w:t>
            </w:r>
          </w:p>
        </w:tc>
        <w:tc>
          <w:tcPr>
            <w:tcW w:w="1022" w:type="dxa"/>
            <w:tcBorders>
              <w:top w:val="nil"/>
              <w:left w:val="nil"/>
              <w:bottom w:val="single" w:sz="4" w:space="0" w:color="auto"/>
              <w:right w:val="single" w:sz="4" w:space="0" w:color="auto"/>
            </w:tcBorders>
            <w:noWrap/>
            <w:vAlign w:val="bottom"/>
            <w:hideMark/>
          </w:tcPr>
          <w:p w14:paraId="00CCCDBE"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4BFD9D1B" w14:textId="77777777" w:rsidR="00FE461F" w:rsidRPr="005E4BEA" w:rsidRDefault="00FE461F" w:rsidP="00FE461F">
            <w:pPr>
              <w:spacing w:line="240" w:lineRule="auto"/>
              <w:jc w:val="right"/>
              <w:rPr>
                <w:rFonts w:cs="Arial"/>
                <w:szCs w:val="20"/>
              </w:rPr>
            </w:pPr>
            <w:r w:rsidRPr="005E4BEA">
              <w:rPr>
                <w:rFonts w:cs="Arial"/>
                <w:szCs w:val="20"/>
              </w:rPr>
              <w:t>14</w:t>
            </w:r>
          </w:p>
        </w:tc>
        <w:tc>
          <w:tcPr>
            <w:tcW w:w="2011" w:type="dxa"/>
            <w:tcBorders>
              <w:top w:val="nil"/>
              <w:left w:val="nil"/>
              <w:bottom w:val="single" w:sz="4" w:space="0" w:color="auto"/>
              <w:right w:val="single" w:sz="4" w:space="0" w:color="auto"/>
            </w:tcBorders>
            <w:noWrap/>
            <w:vAlign w:val="bottom"/>
            <w:hideMark/>
          </w:tcPr>
          <w:p w14:paraId="5B80FFA8" w14:textId="77777777" w:rsidR="00FE461F" w:rsidRPr="005E4BEA" w:rsidRDefault="00FE461F" w:rsidP="00FE461F">
            <w:pPr>
              <w:spacing w:line="240" w:lineRule="auto"/>
              <w:jc w:val="right"/>
              <w:rPr>
                <w:rFonts w:cs="Arial"/>
                <w:szCs w:val="20"/>
              </w:rPr>
            </w:pPr>
            <w:r w:rsidRPr="005E4BEA">
              <w:rPr>
                <w:rFonts w:cs="Arial"/>
                <w:szCs w:val="20"/>
              </w:rPr>
              <w:t>50</w:t>
            </w:r>
          </w:p>
        </w:tc>
        <w:tc>
          <w:tcPr>
            <w:tcW w:w="1584" w:type="dxa"/>
            <w:tcBorders>
              <w:top w:val="nil"/>
              <w:left w:val="nil"/>
              <w:bottom w:val="single" w:sz="4" w:space="0" w:color="auto"/>
              <w:right w:val="single" w:sz="4" w:space="0" w:color="auto"/>
            </w:tcBorders>
            <w:noWrap/>
            <w:vAlign w:val="bottom"/>
            <w:hideMark/>
          </w:tcPr>
          <w:p w14:paraId="7EDCB614" w14:textId="77777777" w:rsidR="00FE461F" w:rsidRPr="005E4BEA" w:rsidRDefault="00FE461F" w:rsidP="00FE461F">
            <w:pPr>
              <w:spacing w:line="240" w:lineRule="auto"/>
              <w:jc w:val="right"/>
              <w:rPr>
                <w:rFonts w:cs="Arial"/>
                <w:szCs w:val="20"/>
              </w:rPr>
            </w:pPr>
            <w:r w:rsidRPr="005E4BEA">
              <w:rPr>
                <w:rFonts w:cs="Arial"/>
                <w:szCs w:val="20"/>
              </w:rPr>
              <w:t>28,0</w:t>
            </w:r>
          </w:p>
        </w:tc>
      </w:tr>
      <w:tr w:rsidR="00FE461F" w:rsidRPr="005E4BEA" w14:paraId="1AF82298" w14:textId="77777777" w:rsidTr="0016774B">
        <w:trPr>
          <w:trHeight w:val="189"/>
        </w:trPr>
        <w:tc>
          <w:tcPr>
            <w:tcW w:w="3795" w:type="dxa"/>
            <w:tcBorders>
              <w:top w:val="nil"/>
              <w:left w:val="single" w:sz="4" w:space="0" w:color="auto"/>
              <w:bottom w:val="nil"/>
              <w:right w:val="single" w:sz="4" w:space="0" w:color="auto"/>
            </w:tcBorders>
            <w:hideMark/>
          </w:tcPr>
          <w:p w14:paraId="29B5FC38" w14:textId="77777777" w:rsidR="00FE461F" w:rsidRPr="005E4BEA" w:rsidRDefault="00FE461F" w:rsidP="00FE461F">
            <w:pPr>
              <w:spacing w:line="240" w:lineRule="auto"/>
              <w:rPr>
                <w:rFonts w:cs="Arial"/>
                <w:szCs w:val="20"/>
              </w:rPr>
            </w:pPr>
            <w:r w:rsidRPr="005E4BEA">
              <w:rPr>
                <w:rFonts w:cs="Arial"/>
                <w:szCs w:val="20"/>
              </w:rPr>
              <w:t>Onkološki inštitut Ljubljana</w:t>
            </w:r>
          </w:p>
        </w:tc>
        <w:tc>
          <w:tcPr>
            <w:tcW w:w="1022" w:type="dxa"/>
            <w:tcBorders>
              <w:top w:val="nil"/>
              <w:left w:val="nil"/>
              <w:bottom w:val="nil"/>
              <w:right w:val="single" w:sz="4" w:space="0" w:color="auto"/>
            </w:tcBorders>
            <w:noWrap/>
            <w:vAlign w:val="bottom"/>
            <w:hideMark/>
          </w:tcPr>
          <w:p w14:paraId="4599B5F4"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34E621AA" w14:textId="77777777" w:rsidR="00FE461F" w:rsidRPr="005E4BEA" w:rsidRDefault="00FE461F" w:rsidP="00FE461F">
            <w:pPr>
              <w:spacing w:line="240" w:lineRule="auto"/>
              <w:jc w:val="right"/>
              <w:rPr>
                <w:rFonts w:cs="Arial"/>
                <w:szCs w:val="20"/>
              </w:rPr>
            </w:pPr>
            <w:r w:rsidRPr="005E4BEA">
              <w:rPr>
                <w:rFonts w:cs="Arial"/>
                <w:szCs w:val="20"/>
              </w:rPr>
              <w:t>214</w:t>
            </w:r>
          </w:p>
        </w:tc>
        <w:tc>
          <w:tcPr>
            <w:tcW w:w="2011" w:type="dxa"/>
            <w:tcBorders>
              <w:top w:val="nil"/>
              <w:left w:val="nil"/>
              <w:bottom w:val="nil"/>
              <w:right w:val="single" w:sz="4" w:space="0" w:color="auto"/>
            </w:tcBorders>
            <w:noWrap/>
            <w:vAlign w:val="bottom"/>
            <w:hideMark/>
          </w:tcPr>
          <w:p w14:paraId="7BA6504B" w14:textId="77777777" w:rsidR="00FE461F" w:rsidRPr="005E4BEA" w:rsidRDefault="00FE461F" w:rsidP="00FE461F">
            <w:pPr>
              <w:spacing w:line="240" w:lineRule="auto"/>
              <w:jc w:val="right"/>
              <w:rPr>
                <w:rFonts w:cs="Arial"/>
                <w:szCs w:val="20"/>
              </w:rPr>
            </w:pPr>
            <w:r w:rsidRPr="005E4BEA">
              <w:rPr>
                <w:rFonts w:cs="Arial"/>
                <w:szCs w:val="20"/>
              </w:rPr>
              <w:t>923</w:t>
            </w:r>
          </w:p>
        </w:tc>
        <w:tc>
          <w:tcPr>
            <w:tcW w:w="1584" w:type="dxa"/>
            <w:tcBorders>
              <w:top w:val="nil"/>
              <w:left w:val="nil"/>
              <w:bottom w:val="nil"/>
              <w:right w:val="single" w:sz="4" w:space="0" w:color="auto"/>
            </w:tcBorders>
            <w:noWrap/>
            <w:vAlign w:val="bottom"/>
            <w:hideMark/>
          </w:tcPr>
          <w:p w14:paraId="36634FC6" w14:textId="77777777" w:rsidR="00FE461F" w:rsidRPr="005E4BEA" w:rsidRDefault="00FE461F" w:rsidP="00FE461F">
            <w:pPr>
              <w:spacing w:line="240" w:lineRule="auto"/>
              <w:jc w:val="right"/>
              <w:rPr>
                <w:rFonts w:cs="Arial"/>
                <w:szCs w:val="20"/>
              </w:rPr>
            </w:pPr>
            <w:r w:rsidRPr="005E4BEA">
              <w:rPr>
                <w:rFonts w:cs="Arial"/>
                <w:szCs w:val="20"/>
              </w:rPr>
              <w:t>23,2</w:t>
            </w:r>
          </w:p>
        </w:tc>
      </w:tr>
      <w:tr w:rsidR="00FE461F" w:rsidRPr="005E4BEA" w14:paraId="268E55A3" w14:textId="77777777" w:rsidTr="0016774B">
        <w:trPr>
          <w:trHeight w:val="189"/>
        </w:trPr>
        <w:tc>
          <w:tcPr>
            <w:tcW w:w="3795" w:type="dxa"/>
            <w:tcBorders>
              <w:top w:val="nil"/>
              <w:left w:val="single" w:sz="4" w:space="0" w:color="auto"/>
              <w:bottom w:val="nil"/>
              <w:right w:val="single" w:sz="4" w:space="0" w:color="auto"/>
            </w:tcBorders>
            <w:hideMark/>
          </w:tcPr>
          <w:p w14:paraId="3C53D585" w14:textId="77777777" w:rsidR="00FE461F" w:rsidRPr="005E4BEA" w:rsidRDefault="00FE461F" w:rsidP="00FE461F">
            <w:pPr>
              <w:spacing w:line="240" w:lineRule="auto"/>
              <w:rPr>
                <w:rFonts w:cs="Arial"/>
                <w:szCs w:val="20"/>
              </w:rPr>
            </w:pPr>
            <w:r w:rsidRPr="005E4BEA">
              <w:rPr>
                <w:rFonts w:cs="Arial"/>
                <w:szCs w:val="20"/>
              </w:rPr>
              <w:t>Onkološki inštitut Ljubljana</w:t>
            </w:r>
          </w:p>
        </w:tc>
        <w:tc>
          <w:tcPr>
            <w:tcW w:w="1022" w:type="dxa"/>
            <w:tcBorders>
              <w:top w:val="nil"/>
              <w:left w:val="nil"/>
              <w:bottom w:val="nil"/>
              <w:right w:val="single" w:sz="4" w:space="0" w:color="auto"/>
            </w:tcBorders>
            <w:noWrap/>
            <w:vAlign w:val="bottom"/>
            <w:hideMark/>
          </w:tcPr>
          <w:p w14:paraId="773320E9"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7F82836D" w14:textId="77777777" w:rsidR="00FE461F" w:rsidRPr="005E4BEA" w:rsidRDefault="00FE461F" w:rsidP="00FE461F">
            <w:pPr>
              <w:spacing w:line="240" w:lineRule="auto"/>
              <w:jc w:val="right"/>
              <w:rPr>
                <w:rFonts w:cs="Arial"/>
                <w:szCs w:val="20"/>
              </w:rPr>
            </w:pPr>
            <w:r w:rsidRPr="005E4BEA">
              <w:rPr>
                <w:rFonts w:cs="Arial"/>
                <w:szCs w:val="20"/>
              </w:rPr>
              <w:t>218</w:t>
            </w:r>
          </w:p>
        </w:tc>
        <w:tc>
          <w:tcPr>
            <w:tcW w:w="2011" w:type="dxa"/>
            <w:tcBorders>
              <w:top w:val="nil"/>
              <w:left w:val="nil"/>
              <w:bottom w:val="nil"/>
              <w:right w:val="single" w:sz="4" w:space="0" w:color="auto"/>
            </w:tcBorders>
            <w:noWrap/>
            <w:vAlign w:val="bottom"/>
            <w:hideMark/>
          </w:tcPr>
          <w:p w14:paraId="4CF8E54F" w14:textId="77777777" w:rsidR="00FE461F" w:rsidRPr="005E4BEA" w:rsidRDefault="00FE461F" w:rsidP="00FE461F">
            <w:pPr>
              <w:spacing w:line="240" w:lineRule="auto"/>
              <w:jc w:val="right"/>
              <w:rPr>
                <w:rFonts w:cs="Arial"/>
                <w:szCs w:val="20"/>
              </w:rPr>
            </w:pPr>
            <w:r w:rsidRPr="005E4BEA">
              <w:rPr>
                <w:rFonts w:cs="Arial"/>
                <w:szCs w:val="20"/>
              </w:rPr>
              <w:t>941</w:t>
            </w:r>
          </w:p>
        </w:tc>
        <w:tc>
          <w:tcPr>
            <w:tcW w:w="1584" w:type="dxa"/>
            <w:tcBorders>
              <w:top w:val="nil"/>
              <w:left w:val="nil"/>
              <w:bottom w:val="nil"/>
              <w:right w:val="single" w:sz="4" w:space="0" w:color="auto"/>
            </w:tcBorders>
            <w:noWrap/>
            <w:vAlign w:val="bottom"/>
            <w:hideMark/>
          </w:tcPr>
          <w:p w14:paraId="0381D328" w14:textId="77777777" w:rsidR="00FE461F" w:rsidRPr="005E4BEA" w:rsidRDefault="00FE461F" w:rsidP="00FE461F">
            <w:pPr>
              <w:spacing w:line="240" w:lineRule="auto"/>
              <w:jc w:val="right"/>
              <w:rPr>
                <w:rFonts w:cs="Arial"/>
                <w:szCs w:val="20"/>
              </w:rPr>
            </w:pPr>
            <w:r w:rsidRPr="005E4BEA">
              <w:rPr>
                <w:rFonts w:cs="Arial"/>
                <w:szCs w:val="20"/>
              </w:rPr>
              <w:t>23,2</w:t>
            </w:r>
          </w:p>
        </w:tc>
      </w:tr>
      <w:tr w:rsidR="00FE461F" w:rsidRPr="005E4BEA" w14:paraId="4B6F927D" w14:textId="77777777" w:rsidTr="0016774B">
        <w:trPr>
          <w:trHeight w:val="189"/>
        </w:trPr>
        <w:tc>
          <w:tcPr>
            <w:tcW w:w="3795" w:type="dxa"/>
            <w:tcBorders>
              <w:top w:val="nil"/>
              <w:left w:val="single" w:sz="4" w:space="0" w:color="auto"/>
              <w:bottom w:val="nil"/>
              <w:right w:val="single" w:sz="4" w:space="0" w:color="auto"/>
            </w:tcBorders>
            <w:hideMark/>
          </w:tcPr>
          <w:p w14:paraId="3D781938" w14:textId="77777777" w:rsidR="00FE461F" w:rsidRPr="005E4BEA" w:rsidRDefault="00FE461F" w:rsidP="00FE461F">
            <w:pPr>
              <w:spacing w:line="240" w:lineRule="auto"/>
              <w:rPr>
                <w:rFonts w:cs="Arial"/>
                <w:szCs w:val="20"/>
              </w:rPr>
            </w:pPr>
            <w:r w:rsidRPr="005E4BEA">
              <w:rPr>
                <w:rFonts w:cs="Arial"/>
                <w:szCs w:val="20"/>
              </w:rPr>
              <w:t>Onkološki inštitut Ljubljana</w:t>
            </w:r>
          </w:p>
        </w:tc>
        <w:tc>
          <w:tcPr>
            <w:tcW w:w="1022" w:type="dxa"/>
            <w:tcBorders>
              <w:top w:val="nil"/>
              <w:left w:val="nil"/>
              <w:bottom w:val="nil"/>
              <w:right w:val="single" w:sz="4" w:space="0" w:color="auto"/>
            </w:tcBorders>
            <w:noWrap/>
            <w:vAlign w:val="bottom"/>
            <w:hideMark/>
          </w:tcPr>
          <w:p w14:paraId="436C4C5D"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CBA6F84" w14:textId="77777777" w:rsidR="00FE461F" w:rsidRPr="005E4BEA" w:rsidRDefault="00FE461F" w:rsidP="00FE461F">
            <w:pPr>
              <w:spacing w:line="240" w:lineRule="auto"/>
              <w:jc w:val="right"/>
              <w:rPr>
                <w:rFonts w:cs="Arial"/>
                <w:szCs w:val="20"/>
              </w:rPr>
            </w:pPr>
            <w:r w:rsidRPr="005E4BEA">
              <w:rPr>
                <w:rFonts w:cs="Arial"/>
                <w:szCs w:val="20"/>
              </w:rPr>
              <w:t>229</w:t>
            </w:r>
          </w:p>
        </w:tc>
        <w:tc>
          <w:tcPr>
            <w:tcW w:w="2011" w:type="dxa"/>
            <w:tcBorders>
              <w:top w:val="nil"/>
              <w:left w:val="nil"/>
              <w:bottom w:val="nil"/>
              <w:right w:val="single" w:sz="4" w:space="0" w:color="auto"/>
            </w:tcBorders>
            <w:noWrap/>
            <w:vAlign w:val="bottom"/>
            <w:hideMark/>
          </w:tcPr>
          <w:p w14:paraId="0754EBBB" w14:textId="77777777" w:rsidR="00FE461F" w:rsidRPr="005E4BEA" w:rsidRDefault="00FE461F" w:rsidP="00FE461F">
            <w:pPr>
              <w:spacing w:line="240" w:lineRule="auto"/>
              <w:jc w:val="right"/>
              <w:rPr>
                <w:rFonts w:cs="Arial"/>
                <w:szCs w:val="20"/>
              </w:rPr>
            </w:pPr>
            <w:r w:rsidRPr="005E4BEA">
              <w:rPr>
                <w:rFonts w:cs="Arial"/>
                <w:szCs w:val="20"/>
              </w:rPr>
              <w:t>1.007</w:t>
            </w:r>
          </w:p>
        </w:tc>
        <w:tc>
          <w:tcPr>
            <w:tcW w:w="1584" w:type="dxa"/>
            <w:tcBorders>
              <w:top w:val="nil"/>
              <w:left w:val="nil"/>
              <w:bottom w:val="nil"/>
              <w:right w:val="single" w:sz="4" w:space="0" w:color="auto"/>
            </w:tcBorders>
            <w:noWrap/>
            <w:vAlign w:val="bottom"/>
            <w:hideMark/>
          </w:tcPr>
          <w:p w14:paraId="5FE41111" w14:textId="77777777" w:rsidR="00FE461F" w:rsidRPr="005E4BEA" w:rsidRDefault="00FE461F" w:rsidP="00FE461F">
            <w:pPr>
              <w:spacing w:line="240" w:lineRule="auto"/>
              <w:jc w:val="right"/>
              <w:rPr>
                <w:rFonts w:cs="Arial"/>
                <w:szCs w:val="20"/>
              </w:rPr>
            </w:pPr>
            <w:r w:rsidRPr="005E4BEA">
              <w:rPr>
                <w:rFonts w:cs="Arial"/>
                <w:szCs w:val="20"/>
              </w:rPr>
              <w:t>22,7</w:t>
            </w:r>
          </w:p>
        </w:tc>
      </w:tr>
      <w:tr w:rsidR="00FE461F" w:rsidRPr="005E4BEA" w14:paraId="64AE628E" w14:textId="77777777" w:rsidTr="0016774B">
        <w:trPr>
          <w:trHeight w:val="189"/>
        </w:trPr>
        <w:tc>
          <w:tcPr>
            <w:tcW w:w="3795" w:type="dxa"/>
            <w:tcBorders>
              <w:top w:val="nil"/>
              <w:left w:val="single" w:sz="4" w:space="0" w:color="auto"/>
              <w:bottom w:val="nil"/>
              <w:right w:val="single" w:sz="4" w:space="0" w:color="auto"/>
            </w:tcBorders>
            <w:hideMark/>
          </w:tcPr>
          <w:p w14:paraId="1253B309" w14:textId="77777777" w:rsidR="00FE461F" w:rsidRPr="005E4BEA" w:rsidRDefault="00FE461F" w:rsidP="00FE461F">
            <w:pPr>
              <w:spacing w:line="240" w:lineRule="auto"/>
              <w:rPr>
                <w:rFonts w:cs="Arial"/>
                <w:szCs w:val="20"/>
              </w:rPr>
            </w:pPr>
            <w:r w:rsidRPr="005E4BEA">
              <w:rPr>
                <w:rFonts w:cs="Arial"/>
                <w:szCs w:val="20"/>
              </w:rPr>
              <w:t>Onkološki inštitut Ljubljana</w:t>
            </w:r>
          </w:p>
        </w:tc>
        <w:tc>
          <w:tcPr>
            <w:tcW w:w="1022" w:type="dxa"/>
            <w:tcBorders>
              <w:top w:val="nil"/>
              <w:left w:val="nil"/>
              <w:bottom w:val="nil"/>
              <w:right w:val="single" w:sz="4" w:space="0" w:color="auto"/>
            </w:tcBorders>
            <w:noWrap/>
            <w:vAlign w:val="bottom"/>
            <w:hideMark/>
          </w:tcPr>
          <w:p w14:paraId="300809C8"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F6C0942" w14:textId="77777777" w:rsidR="00FE461F" w:rsidRPr="005E4BEA" w:rsidRDefault="00FE461F" w:rsidP="00FE461F">
            <w:pPr>
              <w:spacing w:line="240" w:lineRule="auto"/>
              <w:jc w:val="right"/>
              <w:rPr>
                <w:rFonts w:cs="Arial"/>
                <w:szCs w:val="20"/>
              </w:rPr>
            </w:pPr>
            <w:r w:rsidRPr="005E4BEA">
              <w:rPr>
                <w:rFonts w:cs="Arial"/>
                <w:szCs w:val="20"/>
              </w:rPr>
              <w:t>239</w:t>
            </w:r>
          </w:p>
        </w:tc>
        <w:tc>
          <w:tcPr>
            <w:tcW w:w="2011" w:type="dxa"/>
            <w:tcBorders>
              <w:top w:val="nil"/>
              <w:left w:val="nil"/>
              <w:bottom w:val="nil"/>
              <w:right w:val="single" w:sz="4" w:space="0" w:color="auto"/>
            </w:tcBorders>
            <w:noWrap/>
            <w:vAlign w:val="bottom"/>
            <w:hideMark/>
          </w:tcPr>
          <w:p w14:paraId="2EAC0D62" w14:textId="77777777" w:rsidR="00FE461F" w:rsidRPr="005E4BEA" w:rsidRDefault="00FE461F" w:rsidP="00FE461F">
            <w:pPr>
              <w:spacing w:line="240" w:lineRule="auto"/>
              <w:jc w:val="right"/>
              <w:rPr>
                <w:rFonts w:cs="Arial"/>
                <w:szCs w:val="20"/>
              </w:rPr>
            </w:pPr>
            <w:r w:rsidRPr="005E4BEA">
              <w:rPr>
                <w:rFonts w:cs="Arial"/>
                <w:szCs w:val="20"/>
              </w:rPr>
              <w:t>1.045</w:t>
            </w:r>
          </w:p>
        </w:tc>
        <w:tc>
          <w:tcPr>
            <w:tcW w:w="1584" w:type="dxa"/>
            <w:tcBorders>
              <w:top w:val="nil"/>
              <w:left w:val="nil"/>
              <w:bottom w:val="nil"/>
              <w:right w:val="single" w:sz="4" w:space="0" w:color="auto"/>
            </w:tcBorders>
            <w:noWrap/>
            <w:vAlign w:val="bottom"/>
            <w:hideMark/>
          </w:tcPr>
          <w:p w14:paraId="198A2B5E" w14:textId="77777777" w:rsidR="00FE461F" w:rsidRPr="005E4BEA" w:rsidRDefault="00FE461F" w:rsidP="00FE461F">
            <w:pPr>
              <w:spacing w:line="240" w:lineRule="auto"/>
              <w:jc w:val="right"/>
              <w:rPr>
                <w:rFonts w:cs="Arial"/>
                <w:szCs w:val="20"/>
              </w:rPr>
            </w:pPr>
            <w:r w:rsidRPr="005E4BEA">
              <w:rPr>
                <w:rFonts w:cs="Arial"/>
                <w:szCs w:val="20"/>
              </w:rPr>
              <w:t>22,9</w:t>
            </w:r>
          </w:p>
        </w:tc>
      </w:tr>
      <w:tr w:rsidR="00FE461F" w:rsidRPr="005E4BEA" w14:paraId="0DB2DD41" w14:textId="77777777" w:rsidTr="0016774B">
        <w:trPr>
          <w:trHeight w:val="189"/>
        </w:trPr>
        <w:tc>
          <w:tcPr>
            <w:tcW w:w="3795" w:type="dxa"/>
            <w:tcBorders>
              <w:top w:val="nil"/>
              <w:left w:val="single" w:sz="4" w:space="0" w:color="auto"/>
              <w:bottom w:val="nil"/>
              <w:right w:val="single" w:sz="4" w:space="0" w:color="auto"/>
            </w:tcBorders>
            <w:hideMark/>
          </w:tcPr>
          <w:p w14:paraId="1107BE47" w14:textId="77777777" w:rsidR="00FE461F" w:rsidRPr="005E4BEA" w:rsidRDefault="00FE461F" w:rsidP="00FE461F">
            <w:pPr>
              <w:spacing w:line="240" w:lineRule="auto"/>
              <w:rPr>
                <w:rFonts w:cs="Arial"/>
                <w:szCs w:val="20"/>
              </w:rPr>
            </w:pPr>
            <w:r w:rsidRPr="005E4BEA">
              <w:rPr>
                <w:rFonts w:cs="Arial"/>
                <w:szCs w:val="20"/>
              </w:rPr>
              <w:t>Onkološki inštitut Ljubljana</w:t>
            </w:r>
          </w:p>
        </w:tc>
        <w:tc>
          <w:tcPr>
            <w:tcW w:w="1022" w:type="dxa"/>
            <w:tcBorders>
              <w:top w:val="nil"/>
              <w:left w:val="nil"/>
              <w:bottom w:val="nil"/>
              <w:right w:val="single" w:sz="4" w:space="0" w:color="auto"/>
            </w:tcBorders>
            <w:noWrap/>
            <w:vAlign w:val="bottom"/>
            <w:hideMark/>
          </w:tcPr>
          <w:p w14:paraId="711B515A"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400CE64D" w14:textId="77777777" w:rsidR="00FE461F" w:rsidRPr="005E4BEA" w:rsidRDefault="00FE461F" w:rsidP="00FE461F">
            <w:pPr>
              <w:spacing w:line="240" w:lineRule="auto"/>
              <w:jc w:val="right"/>
              <w:rPr>
                <w:rFonts w:cs="Arial"/>
                <w:szCs w:val="20"/>
              </w:rPr>
            </w:pPr>
            <w:r w:rsidRPr="005E4BEA">
              <w:rPr>
                <w:rFonts w:cs="Arial"/>
                <w:szCs w:val="20"/>
              </w:rPr>
              <w:t>245</w:t>
            </w:r>
          </w:p>
        </w:tc>
        <w:tc>
          <w:tcPr>
            <w:tcW w:w="2011" w:type="dxa"/>
            <w:tcBorders>
              <w:top w:val="nil"/>
              <w:left w:val="nil"/>
              <w:bottom w:val="nil"/>
              <w:right w:val="single" w:sz="4" w:space="0" w:color="auto"/>
            </w:tcBorders>
            <w:noWrap/>
            <w:vAlign w:val="bottom"/>
            <w:hideMark/>
          </w:tcPr>
          <w:p w14:paraId="49EBF482" w14:textId="77777777" w:rsidR="00FE461F" w:rsidRPr="005E4BEA" w:rsidRDefault="00FE461F" w:rsidP="00FE461F">
            <w:pPr>
              <w:spacing w:line="240" w:lineRule="auto"/>
              <w:jc w:val="right"/>
              <w:rPr>
                <w:rFonts w:cs="Arial"/>
                <w:szCs w:val="20"/>
              </w:rPr>
            </w:pPr>
            <w:r w:rsidRPr="005E4BEA">
              <w:rPr>
                <w:rFonts w:cs="Arial"/>
                <w:szCs w:val="20"/>
              </w:rPr>
              <w:t>1.061</w:t>
            </w:r>
          </w:p>
        </w:tc>
        <w:tc>
          <w:tcPr>
            <w:tcW w:w="1584" w:type="dxa"/>
            <w:tcBorders>
              <w:top w:val="nil"/>
              <w:left w:val="nil"/>
              <w:bottom w:val="nil"/>
              <w:right w:val="single" w:sz="4" w:space="0" w:color="auto"/>
            </w:tcBorders>
            <w:noWrap/>
            <w:vAlign w:val="bottom"/>
            <w:hideMark/>
          </w:tcPr>
          <w:p w14:paraId="7C100593" w14:textId="77777777" w:rsidR="00FE461F" w:rsidRPr="005E4BEA" w:rsidRDefault="00FE461F" w:rsidP="00FE461F">
            <w:pPr>
              <w:spacing w:line="240" w:lineRule="auto"/>
              <w:jc w:val="right"/>
              <w:rPr>
                <w:rFonts w:cs="Arial"/>
                <w:szCs w:val="20"/>
              </w:rPr>
            </w:pPr>
            <w:r w:rsidRPr="005E4BEA">
              <w:rPr>
                <w:rFonts w:cs="Arial"/>
                <w:szCs w:val="20"/>
              </w:rPr>
              <w:t>23,1</w:t>
            </w:r>
          </w:p>
        </w:tc>
      </w:tr>
      <w:tr w:rsidR="00FE461F" w:rsidRPr="005E4BEA" w14:paraId="648255C1"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21DEBC0A" w14:textId="77777777" w:rsidR="00FE461F" w:rsidRPr="005E4BEA" w:rsidRDefault="00FE461F" w:rsidP="00FE461F">
            <w:pPr>
              <w:spacing w:line="240" w:lineRule="auto"/>
              <w:rPr>
                <w:rFonts w:cs="Arial"/>
                <w:szCs w:val="20"/>
              </w:rPr>
            </w:pPr>
            <w:r w:rsidRPr="005E4BEA">
              <w:rPr>
                <w:rFonts w:cs="Arial"/>
                <w:szCs w:val="20"/>
              </w:rPr>
              <w:t>Onkološki inštitut Ljubljana</w:t>
            </w:r>
          </w:p>
        </w:tc>
        <w:tc>
          <w:tcPr>
            <w:tcW w:w="1022" w:type="dxa"/>
            <w:tcBorders>
              <w:top w:val="nil"/>
              <w:left w:val="nil"/>
              <w:bottom w:val="single" w:sz="4" w:space="0" w:color="auto"/>
              <w:right w:val="single" w:sz="4" w:space="0" w:color="auto"/>
            </w:tcBorders>
            <w:noWrap/>
            <w:vAlign w:val="bottom"/>
            <w:hideMark/>
          </w:tcPr>
          <w:p w14:paraId="78E092A9"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5A676517" w14:textId="77777777" w:rsidR="00FE461F" w:rsidRPr="005E4BEA" w:rsidRDefault="00FE461F" w:rsidP="00FE461F">
            <w:pPr>
              <w:spacing w:line="240" w:lineRule="auto"/>
              <w:jc w:val="right"/>
              <w:rPr>
                <w:rFonts w:cs="Arial"/>
                <w:szCs w:val="20"/>
              </w:rPr>
            </w:pPr>
            <w:r w:rsidRPr="005E4BEA">
              <w:rPr>
                <w:rFonts w:cs="Arial"/>
                <w:szCs w:val="20"/>
              </w:rPr>
              <w:t>264</w:t>
            </w:r>
          </w:p>
        </w:tc>
        <w:tc>
          <w:tcPr>
            <w:tcW w:w="2011" w:type="dxa"/>
            <w:tcBorders>
              <w:top w:val="nil"/>
              <w:left w:val="nil"/>
              <w:bottom w:val="single" w:sz="4" w:space="0" w:color="auto"/>
              <w:right w:val="single" w:sz="4" w:space="0" w:color="auto"/>
            </w:tcBorders>
            <w:noWrap/>
            <w:vAlign w:val="bottom"/>
            <w:hideMark/>
          </w:tcPr>
          <w:p w14:paraId="4B9DFB65" w14:textId="77777777" w:rsidR="00FE461F" w:rsidRPr="005E4BEA" w:rsidRDefault="00FE461F" w:rsidP="00FE461F">
            <w:pPr>
              <w:spacing w:line="240" w:lineRule="auto"/>
              <w:jc w:val="right"/>
              <w:rPr>
                <w:rFonts w:cs="Arial"/>
                <w:szCs w:val="20"/>
              </w:rPr>
            </w:pPr>
            <w:r w:rsidRPr="005E4BEA">
              <w:rPr>
                <w:rFonts w:cs="Arial"/>
                <w:szCs w:val="20"/>
              </w:rPr>
              <w:t>1.113</w:t>
            </w:r>
          </w:p>
        </w:tc>
        <w:tc>
          <w:tcPr>
            <w:tcW w:w="1584" w:type="dxa"/>
            <w:tcBorders>
              <w:top w:val="nil"/>
              <w:left w:val="nil"/>
              <w:bottom w:val="single" w:sz="4" w:space="0" w:color="auto"/>
              <w:right w:val="single" w:sz="4" w:space="0" w:color="auto"/>
            </w:tcBorders>
            <w:noWrap/>
            <w:vAlign w:val="bottom"/>
            <w:hideMark/>
          </w:tcPr>
          <w:p w14:paraId="06C23BF2" w14:textId="77777777" w:rsidR="00FE461F" w:rsidRPr="005E4BEA" w:rsidRDefault="00FE461F" w:rsidP="00FE461F">
            <w:pPr>
              <w:spacing w:line="240" w:lineRule="auto"/>
              <w:jc w:val="right"/>
              <w:rPr>
                <w:rFonts w:cs="Arial"/>
                <w:szCs w:val="20"/>
              </w:rPr>
            </w:pPr>
            <w:r w:rsidRPr="005E4BEA">
              <w:rPr>
                <w:rFonts w:cs="Arial"/>
                <w:szCs w:val="20"/>
              </w:rPr>
              <w:t>23,7</w:t>
            </w:r>
          </w:p>
        </w:tc>
      </w:tr>
      <w:tr w:rsidR="00FE461F" w:rsidRPr="005E4BEA" w14:paraId="1901F5ED" w14:textId="77777777" w:rsidTr="0016774B">
        <w:trPr>
          <w:trHeight w:val="189"/>
        </w:trPr>
        <w:tc>
          <w:tcPr>
            <w:tcW w:w="3795" w:type="dxa"/>
            <w:tcBorders>
              <w:top w:val="nil"/>
              <w:left w:val="single" w:sz="4" w:space="0" w:color="auto"/>
              <w:bottom w:val="nil"/>
              <w:right w:val="single" w:sz="4" w:space="0" w:color="auto"/>
            </w:tcBorders>
            <w:hideMark/>
          </w:tcPr>
          <w:p w14:paraId="7720B8B5" w14:textId="77777777" w:rsidR="00FE461F" w:rsidRPr="005E4BEA" w:rsidRDefault="00FE461F" w:rsidP="00FE461F">
            <w:pPr>
              <w:spacing w:line="240" w:lineRule="auto"/>
              <w:rPr>
                <w:rFonts w:cs="Arial"/>
                <w:szCs w:val="20"/>
              </w:rPr>
            </w:pPr>
            <w:r w:rsidRPr="005E4BEA">
              <w:rPr>
                <w:rFonts w:cs="Arial"/>
                <w:szCs w:val="20"/>
              </w:rPr>
              <w:t>Ortopedska bolnišnica Valdoltra</w:t>
            </w:r>
          </w:p>
        </w:tc>
        <w:tc>
          <w:tcPr>
            <w:tcW w:w="1022" w:type="dxa"/>
            <w:tcBorders>
              <w:top w:val="nil"/>
              <w:left w:val="nil"/>
              <w:bottom w:val="nil"/>
              <w:right w:val="single" w:sz="4" w:space="0" w:color="auto"/>
            </w:tcBorders>
            <w:noWrap/>
            <w:vAlign w:val="bottom"/>
            <w:hideMark/>
          </w:tcPr>
          <w:p w14:paraId="3D5AF1AA"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64F5CE9D" w14:textId="77777777" w:rsidR="00FE461F" w:rsidRPr="005E4BEA" w:rsidRDefault="00FE461F" w:rsidP="00FE461F">
            <w:pPr>
              <w:spacing w:line="240" w:lineRule="auto"/>
              <w:jc w:val="right"/>
              <w:rPr>
                <w:rFonts w:cs="Arial"/>
                <w:szCs w:val="20"/>
              </w:rPr>
            </w:pPr>
            <w:r w:rsidRPr="005E4BEA">
              <w:rPr>
                <w:rFonts w:cs="Arial"/>
                <w:szCs w:val="20"/>
              </w:rPr>
              <w:t>76</w:t>
            </w:r>
          </w:p>
        </w:tc>
        <w:tc>
          <w:tcPr>
            <w:tcW w:w="2011" w:type="dxa"/>
            <w:tcBorders>
              <w:top w:val="nil"/>
              <w:left w:val="nil"/>
              <w:bottom w:val="nil"/>
              <w:right w:val="single" w:sz="4" w:space="0" w:color="auto"/>
            </w:tcBorders>
            <w:noWrap/>
            <w:vAlign w:val="bottom"/>
            <w:hideMark/>
          </w:tcPr>
          <w:p w14:paraId="45043E4B" w14:textId="77777777" w:rsidR="00FE461F" w:rsidRPr="005E4BEA" w:rsidRDefault="00FE461F" w:rsidP="00FE461F">
            <w:pPr>
              <w:spacing w:line="240" w:lineRule="auto"/>
              <w:jc w:val="right"/>
              <w:rPr>
                <w:rFonts w:cs="Arial"/>
                <w:szCs w:val="20"/>
              </w:rPr>
            </w:pPr>
            <w:r w:rsidRPr="005E4BEA">
              <w:rPr>
                <w:rFonts w:cs="Arial"/>
                <w:szCs w:val="20"/>
              </w:rPr>
              <w:t>298</w:t>
            </w:r>
          </w:p>
        </w:tc>
        <w:tc>
          <w:tcPr>
            <w:tcW w:w="1584" w:type="dxa"/>
            <w:tcBorders>
              <w:top w:val="nil"/>
              <w:left w:val="nil"/>
              <w:bottom w:val="nil"/>
              <w:right w:val="single" w:sz="4" w:space="0" w:color="auto"/>
            </w:tcBorders>
            <w:noWrap/>
            <w:vAlign w:val="bottom"/>
            <w:hideMark/>
          </w:tcPr>
          <w:p w14:paraId="4ED6943E" w14:textId="77777777" w:rsidR="00FE461F" w:rsidRPr="005E4BEA" w:rsidRDefault="00FE461F" w:rsidP="00FE461F">
            <w:pPr>
              <w:spacing w:line="240" w:lineRule="auto"/>
              <w:jc w:val="right"/>
              <w:rPr>
                <w:rFonts w:cs="Arial"/>
                <w:szCs w:val="20"/>
              </w:rPr>
            </w:pPr>
            <w:r w:rsidRPr="005E4BEA">
              <w:rPr>
                <w:rFonts w:cs="Arial"/>
                <w:szCs w:val="20"/>
              </w:rPr>
              <w:t>25,5</w:t>
            </w:r>
          </w:p>
        </w:tc>
      </w:tr>
      <w:tr w:rsidR="00FE461F" w:rsidRPr="005E4BEA" w14:paraId="0A63C5C5" w14:textId="77777777" w:rsidTr="0016774B">
        <w:trPr>
          <w:trHeight w:val="189"/>
        </w:trPr>
        <w:tc>
          <w:tcPr>
            <w:tcW w:w="3795" w:type="dxa"/>
            <w:tcBorders>
              <w:top w:val="nil"/>
              <w:left w:val="single" w:sz="4" w:space="0" w:color="auto"/>
              <w:bottom w:val="nil"/>
              <w:right w:val="single" w:sz="4" w:space="0" w:color="auto"/>
            </w:tcBorders>
            <w:hideMark/>
          </w:tcPr>
          <w:p w14:paraId="7B44520C" w14:textId="77777777" w:rsidR="00FE461F" w:rsidRPr="005E4BEA" w:rsidRDefault="00FE461F" w:rsidP="00FE461F">
            <w:pPr>
              <w:spacing w:line="240" w:lineRule="auto"/>
              <w:rPr>
                <w:rFonts w:cs="Arial"/>
                <w:szCs w:val="20"/>
              </w:rPr>
            </w:pPr>
            <w:r w:rsidRPr="005E4BEA">
              <w:rPr>
                <w:rFonts w:cs="Arial"/>
                <w:szCs w:val="20"/>
              </w:rPr>
              <w:t>Ortopedska bolnišnica Valdoltra</w:t>
            </w:r>
          </w:p>
        </w:tc>
        <w:tc>
          <w:tcPr>
            <w:tcW w:w="1022" w:type="dxa"/>
            <w:tcBorders>
              <w:top w:val="nil"/>
              <w:left w:val="nil"/>
              <w:bottom w:val="nil"/>
              <w:right w:val="single" w:sz="4" w:space="0" w:color="auto"/>
            </w:tcBorders>
            <w:noWrap/>
            <w:vAlign w:val="bottom"/>
            <w:hideMark/>
          </w:tcPr>
          <w:p w14:paraId="070C851B"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065B2245" w14:textId="77777777" w:rsidR="00FE461F" w:rsidRPr="005E4BEA" w:rsidRDefault="00FE461F" w:rsidP="00FE461F">
            <w:pPr>
              <w:spacing w:line="240" w:lineRule="auto"/>
              <w:jc w:val="right"/>
              <w:rPr>
                <w:rFonts w:cs="Arial"/>
                <w:szCs w:val="20"/>
              </w:rPr>
            </w:pPr>
            <w:r w:rsidRPr="005E4BEA">
              <w:rPr>
                <w:rFonts w:cs="Arial"/>
                <w:szCs w:val="20"/>
              </w:rPr>
              <w:t>81</w:t>
            </w:r>
          </w:p>
        </w:tc>
        <w:tc>
          <w:tcPr>
            <w:tcW w:w="2011" w:type="dxa"/>
            <w:tcBorders>
              <w:top w:val="nil"/>
              <w:left w:val="nil"/>
              <w:bottom w:val="nil"/>
              <w:right w:val="single" w:sz="4" w:space="0" w:color="auto"/>
            </w:tcBorders>
            <w:noWrap/>
            <w:vAlign w:val="bottom"/>
            <w:hideMark/>
          </w:tcPr>
          <w:p w14:paraId="713E7327" w14:textId="77777777" w:rsidR="00FE461F" w:rsidRPr="005E4BEA" w:rsidRDefault="00FE461F" w:rsidP="00FE461F">
            <w:pPr>
              <w:spacing w:line="240" w:lineRule="auto"/>
              <w:jc w:val="right"/>
              <w:rPr>
                <w:rFonts w:cs="Arial"/>
                <w:szCs w:val="20"/>
              </w:rPr>
            </w:pPr>
            <w:r w:rsidRPr="005E4BEA">
              <w:rPr>
                <w:rFonts w:cs="Arial"/>
                <w:szCs w:val="20"/>
              </w:rPr>
              <w:t>309</w:t>
            </w:r>
          </w:p>
        </w:tc>
        <w:tc>
          <w:tcPr>
            <w:tcW w:w="1584" w:type="dxa"/>
            <w:tcBorders>
              <w:top w:val="nil"/>
              <w:left w:val="nil"/>
              <w:bottom w:val="nil"/>
              <w:right w:val="single" w:sz="4" w:space="0" w:color="auto"/>
            </w:tcBorders>
            <w:noWrap/>
            <w:vAlign w:val="bottom"/>
            <w:hideMark/>
          </w:tcPr>
          <w:p w14:paraId="03D480F4" w14:textId="77777777" w:rsidR="00FE461F" w:rsidRPr="005E4BEA" w:rsidRDefault="00FE461F" w:rsidP="00FE461F">
            <w:pPr>
              <w:spacing w:line="240" w:lineRule="auto"/>
              <w:jc w:val="right"/>
              <w:rPr>
                <w:rFonts w:cs="Arial"/>
                <w:szCs w:val="20"/>
              </w:rPr>
            </w:pPr>
            <w:r w:rsidRPr="005E4BEA">
              <w:rPr>
                <w:rFonts w:cs="Arial"/>
                <w:szCs w:val="20"/>
              </w:rPr>
              <w:t>26,2</w:t>
            </w:r>
          </w:p>
        </w:tc>
      </w:tr>
      <w:tr w:rsidR="00FE461F" w:rsidRPr="005E4BEA" w14:paraId="1E481293" w14:textId="77777777" w:rsidTr="0016774B">
        <w:trPr>
          <w:trHeight w:val="189"/>
        </w:trPr>
        <w:tc>
          <w:tcPr>
            <w:tcW w:w="3795" w:type="dxa"/>
            <w:tcBorders>
              <w:top w:val="nil"/>
              <w:left w:val="single" w:sz="4" w:space="0" w:color="auto"/>
              <w:bottom w:val="nil"/>
              <w:right w:val="single" w:sz="4" w:space="0" w:color="auto"/>
            </w:tcBorders>
            <w:hideMark/>
          </w:tcPr>
          <w:p w14:paraId="30A6C1BA" w14:textId="77777777" w:rsidR="00FE461F" w:rsidRPr="005E4BEA" w:rsidRDefault="00FE461F" w:rsidP="00FE461F">
            <w:pPr>
              <w:spacing w:line="240" w:lineRule="auto"/>
              <w:rPr>
                <w:rFonts w:cs="Arial"/>
                <w:szCs w:val="20"/>
              </w:rPr>
            </w:pPr>
            <w:r w:rsidRPr="005E4BEA">
              <w:rPr>
                <w:rFonts w:cs="Arial"/>
                <w:szCs w:val="20"/>
              </w:rPr>
              <w:t>Ortopedska bolnišnica Valdoltra</w:t>
            </w:r>
          </w:p>
        </w:tc>
        <w:tc>
          <w:tcPr>
            <w:tcW w:w="1022" w:type="dxa"/>
            <w:tcBorders>
              <w:top w:val="nil"/>
              <w:left w:val="nil"/>
              <w:bottom w:val="nil"/>
              <w:right w:val="single" w:sz="4" w:space="0" w:color="auto"/>
            </w:tcBorders>
            <w:noWrap/>
            <w:vAlign w:val="bottom"/>
            <w:hideMark/>
          </w:tcPr>
          <w:p w14:paraId="0862C807"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50A064A5" w14:textId="77777777" w:rsidR="00FE461F" w:rsidRPr="005E4BEA" w:rsidRDefault="00FE461F" w:rsidP="00FE461F">
            <w:pPr>
              <w:spacing w:line="240" w:lineRule="auto"/>
              <w:jc w:val="right"/>
              <w:rPr>
                <w:rFonts w:cs="Arial"/>
                <w:szCs w:val="20"/>
              </w:rPr>
            </w:pPr>
            <w:r w:rsidRPr="005E4BEA">
              <w:rPr>
                <w:rFonts w:cs="Arial"/>
                <w:szCs w:val="20"/>
              </w:rPr>
              <w:t>85</w:t>
            </w:r>
          </w:p>
        </w:tc>
        <w:tc>
          <w:tcPr>
            <w:tcW w:w="2011" w:type="dxa"/>
            <w:tcBorders>
              <w:top w:val="nil"/>
              <w:left w:val="nil"/>
              <w:bottom w:val="nil"/>
              <w:right w:val="single" w:sz="4" w:space="0" w:color="auto"/>
            </w:tcBorders>
            <w:noWrap/>
            <w:vAlign w:val="bottom"/>
            <w:hideMark/>
          </w:tcPr>
          <w:p w14:paraId="3441FF4F" w14:textId="77777777" w:rsidR="00FE461F" w:rsidRPr="005E4BEA" w:rsidRDefault="00FE461F" w:rsidP="00FE461F">
            <w:pPr>
              <w:spacing w:line="240" w:lineRule="auto"/>
              <w:jc w:val="right"/>
              <w:rPr>
                <w:rFonts w:cs="Arial"/>
                <w:szCs w:val="20"/>
              </w:rPr>
            </w:pPr>
            <w:r w:rsidRPr="005E4BEA">
              <w:rPr>
                <w:rFonts w:cs="Arial"/>
                <w:szCs w:val="20"/>
              </w:rPr>
              <w:t>319</w:t>
            </w:r>
          </w:p>
        </w:tc>
        <w:tc>
          <w:tcPr>
            <w:tcW w:w="1584" w:type="dxa"/>
            <w:tcBorders>
              <w:top w:val="nil"/>
              <w:left w:val="nil"/>
              <w:bottom w:val="nil"/>
              <w:right w:val="single" w:sz="4" w:space="0" w:color="auto"/>
            </w:tcBorders>
            <w:noWrap/>
            <w:vAlign w:val="bottom"/>
            <w:hideMark/>
          </w:tcPr>
          <w:p w14:paraId="62EC4CB8" w14:textId="77777777" w:rsidR="00FE461F" w:rsidRPr="005E4BEA" w:rsidRDefault="00FE461F" w:rsidP="00FE461F">
            <w:pPr>
              <w:spacing w:line="240" w:lineRule="auto"/>
              <w:jc w:val="right"/>
              <w:rPr>
                <w:rFonts w:cs="Arial"/>
                <w:szCs w:val="20"/>
              </w:rPr>
            </w:pPr>
            <w:r w:rsidRPr="005E4BEA">
              <w:rPr>
                <w:rFonts w:cs="Arial"/>
                <w:szCs w:val="20"/>
              </w:rPr>
              <w:t>26,6</w:t>
            </w:r>
          </w:p>
        </w:tc>
      </w:tr>
      <w:tr w:rsidR="00FE461F" w:rsidRPr="005E4BEA" w14:paraId="158825BA" w14:textId="77777777" w:rsidTr="0016774B">
        <w:trPr>
          <w:trHeight w:val="189"/>
        </w:trPr>
        <w:tc>
          <w:tcPr>
            <w:tcW w:w="3795" w:type="dxa"/>
            <w:tcBorders>
              <w:top w:val="nil"/>
              <w:left w:val="single" w:sz="4" w:space="0" w:color="auto"/>
              <w:bottom w:val="nil"/>
              <w:right w:val="single" w:sz="4" w:space="0" w:color="auto"/>
            </w:tcBorders>
            <w:hideMark/>
          </w:tcPr>
          <w:p w14:paraId="4DFD622D" w14:textId="77777777" w:rsidR="00FE461F" w:rsidRPr="005E4BEA" w:rsidRDefault="00FE461F" w:rsidP="00FE461F">
            <w:pPr>
              <w:spacing w:line="240" w:lineRule="auto"/>
              <w:rPr>
                <w:rFonts w:cs="Arial"/>
                <w:szCs w:val="20"/>
              </w:rPr>
            </w:pPr>
            <w:r w:rsidRPr="005E4BEA">
              <w:rPr>
                <w:rFonts w:cs="Arial"/>
                <w:szCs w:val="20"/>
              </w:rPr>
              <w:t>Ortopedska bolnišnica Valdoltra</w:t>
            </w:r>
          </w:p>
        </w:tc>
        <w:tc>
          <w:tcPr>
            <w:tcW w:w="1022" w:type="dxa"/>
            <w:tcBorders>
              <w:top w:val="nil"/>
              <w:left w:val="nil"/>
              <w:bottom w:val="nil"/>
              <w:right w:val="single" w:sz="4" w:space="0" w:color="auto"/>
            </w:tcBorders>
            <w:noWrap/>
            <w:vAlign w:val="bottom"/>
            <w:hideMark/>
          </w:tcPr>
          <w:p w14:paraId="0CAC2AD9"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43F479C9" w14:textId="77777777" w:rsidR="00FE461F" w:rsidRPr="005E4BEA" w:rsidRDefault="00FE461F" w:rsidP="00FE461F">
            <w:pPr>
              <w:spacing w:line="240" w:lineRule="auto"/>
              <w:jc w:val="right"/>
              <w:rPr>
                <w:rFonts w:cs="Arial"/>
                <w:szCs w:val="20"/>
              </w:rPr>
            </w:pPr>
            <w:r w:rsidRPr="005E4BEA">
              <w:rPr>
                <w:rFonts w:cs="Arial"/>
                <w:szCs w:val="20"/>
              </w:rPr>
              <w:t>89</w:t>
            </w:r>
          </w:p>
        </w:tc>
        <w:tc>
          <w:tcPr>
            <w:tcW w:w="2011" w:type="dxa"/>
            <w:tcBorders>
              <w:top w:val="nil"/>
              <w:left w:val="nil"/>
              <w:bottom w:val="nil"/>
              <w:right w:val="single" w:sz="4" w:space="0" w:color="auto"/>
            </w:tcBorders>
            <w:noWrap/>
            <w:vAlign w:val="bottom"/>
            <w:hideMark/>
          </w:tcPr>
          <w:p w14:paraId="14F0DB47" w14:textId="77777777" w:rsidR="00FE461F" w:rsidRPr="005E4BEA" w:rsidRDefault="00FE461F" w:rsidP="00FE461F">
            <w:pPr>
              <w:spacing w:line="240" w:lineRule="auto"/>
              <w:jc w:val="right"/>
              <w:rPr>
                <w:rFonts w:cs="Arial"/>
                <w:szCs w:val="20"/>
              </w:rPr>
            </w:pPr>
            <w:r w:rsidRPr="005E4BEA">
              <w:rPr>
                <w:rFonts w:cs="Arial"/>
                <w:szCs w:val="20"/>
              </w:rPr>
              <w:t>341</w:t>
            </w:r>
          </w:p>
        </w:tc>
        <w:tc>
          <w:tcPr>
            <w:tcW w:w="1584" w:type="dxa"/>
            <w:tcBorders>
              <w:top w:val="nil"/>
              <w:left w:val="nil"/>
              <w:bottom w:val="nil"/>
              <w:right w:val="single" w:sz="4" w:space="0" w:color="auto"/>
            </w:tcBorders>
            <w:noWrap/>
            <w:vAlign w:val="bottom"/>
            <w:hideMark/>
          </w:tcPr>
          <w:p w14:paraId="771902AA" w14:textId="77777777" w:rsidR="00FE461F" w:rsidRPr="005E4BEA" w:rsidRDefault="00FE461F" w:rsidP="00FE461F">
            <w:pPr>
              <w:spacing w:line="240" w:lineRule="auto"/>
              <w:jc w:val="right"/>
              <w:rPr>
                <w:rFonts w:cs="Arial"/>
                <w:szCs w:val="20"/>
              </w:rPr>
            </w:pPr>
            <w:r w:rsidRPr="005E4BEA">
              <w:rPr>
                <w:rFonts w:cs="Arial"/>
                <w:szCs w:val="20"/>
              </w:rPr>
              <w:t>26,1</w:t>
            </w:r>
          </w:p>
        </w:tc>
      </w:tr>
      <w:tr w:rsidR="00FE461F" w:rsidRPr="005E4BEA" w14:paraId="6625B7D4" w14:textId="77777777" w:rsidTr="0016774B">
        <w:trPr>
          <w:trHeight w:val="189"/>
        </w:trPr>
        <w:tc>
          <w:tcPr>
            <w:tcW w:w="3795" w:type="dxa"/>
            <w:tcBorders>
              <w:top w:val="nil"/>
              <w:left w:val="single" w:sz="4" w:space="0" w:color="auto"/>
              <w:bottom w:val="nil"/>
              <w:right w:val="single" w:sz="4" w:space="0" w:color="auto"/>
            </w:tcBorders>
            <w:hideMark/>
          </w:tcPr>
          <w:p w14:paraId="231C0EB0" w14:textId="77777777" w:rsidR="00FE461F" w:rsidRPr="005E4BEA" w:rsidRDefault="00FE461F" w:rsidP="00FE461F">
            <w:pPr>
              <w:spacing w:line="240" w:lineRule="auto"/>
              <w:rPr>
                <w:rFonts w:cs="Arial"/>
                <w:szCs w:val="20"/>
              </w:rPr>
            </w:pPr>
            <w:r w:rsidRPr="005E4BEA">
              <w:rPr>
                <w:rFonts w:cs="Arial"/>
                <w:szCs w:val="20"/>
              </w:rPr>
              <w:t>Ortopedska bolnišnica Valdoltra</w:t>
            </w:r>
          </w:p>
        </w:tc>
        <w:tc>
          <w:tcPr>
            <w:tcW w:w="1022" w:type="dxa"/>
            <w:tcBorders>
              <w:top w:val="nil"/>
              <w:left w:val="nil"/>
              <w:bottom w:val="nil"/>
              <w:right w:val="single" w:sz="4" w:space="0" w:color="auto"/>
            </w:tcBorders>
            <w:noWrap/>
            <w:vAlign w:val="bottom"/>
            <w:hideMark/>
          </w:tcPr>
          <w:p w14:paraId="066C3FAC"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01D352C6" w14:textId="77777777" w:rsidR="00FE461F" w:rsidRPr="005E4BEA" w:rsidRDefault="00FE461F" w:rsidP="00FE461F">
            <w:pPr>
              <w:spacing w:line="240" w:lineRule="auto"/>
              <w:jc w:val="right"/>
              <w:rPr>
                <w:rFonts w:cs="Arial"/>
                <w:szCs w:val="20"/>
              </w:rPr>
            </w:pPr>
            <w:r w:rsidRPr="005E4BEA">
              <w:rPr>
                <w:rFonts w:cs="Arial"/>
                <w:szCs w:val="20"/>
              </w:rPr>
              <w:t>142</w:t>
            </w:r>
          </w:p>
        </w:tc>
        <w:tc>
          <w:tcPr>
            <w:tcW w:w="2011" w:type="dxa"/>
            <w:tcBorders>
              <w:top w:val="nil"/>
              <w:left w:val="nil"/>
              <w:bottom w:val="nil"/>
              <w:right w:val="single" w:sz="4" w:space="0" w:color="auto"/>
            </w:tcBorders>
            <w:noWrap/>
            <w:vAlign w:val="bottom"/>
            <w:hideMark/>
          </w:tcPr>
          <w:p w14:paraId="231B2CA1" w14:textId="77777777" w:rsidR="00FE461F" w:rsidRPr="005E4BEA" w:rsidRDefault="00FE461F" w:rsidP="00FE461F">
            <w:pPr>
              <w:spacing w:line="240" w:lineRule="auto"/>
              <w:jc w:val="right"/>
              <w:rPr>
                <w:rFonts w:cs="Arial"/>
                <w:szCs w:val="20"/>
              </w:rPr>
            </w:pPr>
            <w:r w:rsidRPr="005E4BEA">
              <w:rPr>
                <w:rFonts w:cs="Arial"/>
                <w:szCs w:val="20"/>
              </w:rPr>
              <w:t>403</w:t>
            </w:r>
          </w:p>
        </w:tc>
        <w:tc>
          <w:tcPr>
            <w:tcW w:w="1584" w:type="dxa"/>
            <w:tcBorders>
              <w:top w:val="nil"/>
              <w:left w:val="nil"/>
              <w:bottom w:val="nil"/>
              <w:right w:val="single" w:sz="4" w:space="0" w:color="auto"/>
            </w:tcBorders>
            <w:noWrap/>
            <w:vAlign w:val="bottom"/>
            <w:hideMark/>
          </w:tcPr>
          <w:p w14:paraId="648BE6E4" w14:textId="77777777" w:rsidR="00FE461F" w:rsidRPr="005E4BEA" w:rsidRDefault="00FE461F" w:rsidP="00FE461F">
            <w:pPr>
              <w:spacing w:line="240" w:lineRule="auto"/>
              <w:jc w:val="right"/>
              <w:rPr>
                <w:rFonts w:cs="Arial"/>
                <w:szCs w:val="20"/>
              </w:rPr>
            </w:pPr>
            <w:r w:rsidRPr="005E4BEA">
              <w:rPr>
                <w:rFonts w:cs="Arial"/>
                <w:szCs w:val="20"/>
              </w:rPr>
              <w:t>35,2</w:t>
            </w:r>
          </w:p>
        </w:tc>
      </w:tr>
      <w:tr w:rsidR="00FE461F" w:rsidRPr="005E4BEA" w14:paraId="1BB7776E"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500A3BA6" w14:textId="77777777" w:rsidR="00FE461F" w:rsidRPr="005E4BEA" w:rsidRDefault="00FE461F" w:rsidP="00FE461F">
            <w:pPr>
              <w:spacing w:line="240" w:lineRule="auto"/>
              <w:rPr>
                <w:rFonts w:cs="Arial"/>
                <w:szCs w:val="20"/>
              </w:rPr>
            </w:pPr>
            <w:r w:rsidRPr="005E4BEA">
              <w:rPr>
                <w:rFonts w:cs="Arial"/>
                <w:szCs w:val="20"/>
              </w:rPr>
              <w:t>Ortopedska bolnišnica Valdoltra</w:t>
            </w:r>
          </w:p>
        </w:tc>
        <w:tc>
          <w:tcPr>
            <w:tcW w:w="1022" w:type="dxa"/>
            <w:tcBorders>
              <w:top w:val="nil"/>
              <w:left w:val="nil"/>
              <w:bottom w:val="single" w:sz="4" w:space="0" w:color="auto"/>
              <w:right w:val="single" w:sz="4" w:space="0" w:color="auto"/>
            </w:tcBorders>
            <w:noWrap/>
            <w:vAlign w:val="bottom"/>
            <w:hideMark/>
          </w:tcPr>
          <w:p w14:paraId="339F1DE8"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7A4B1582" w14:textId="77777777" w:rsidR="00FE461F" w:rsidRPr="005E4BEA" w:rsidRDefault="00FE461F" w:rsidP="00FE461F">
            <w:pPr>
              <w:spacing w:line="240" w:lineRule="auto"/>
              <w:jc w:val="right"/>
              <w:rPr>
                <w:rFonts w:cs="Arial"/>
                <w:szCs w:val="20"/>
              </w:rPr>
            </w:pPr>
            <w:r w:rsidRPr="005E4BEA">
              <w:rPr>
                <w:rFonts w:cs="Arial"/>
                <w:szCs w:val="20"/>
              </w:rPr>
              <w:t>149</w:t>
            </w:r>
          </w:p>
        </w:tc>
        <w:tc>
          <w:tcPr>
            <w:tcW w:w="2011" w:type="dxa"/>
            <w:tcBorders>
              <w:top w:val="nil"/>
              <w:left w:val="nil"/>
              <w:bottom w:val="single" w:sz="4" w:space="0" w:color="auto"/>
              <w:right w:val="single" w:sz="4" w:space="0" w:color="auto"/>
            </w:tcBorders>
            <w:noWrap/>
            <w:vAlign w:val="bottom"/>
            <w:hideMark/>
          </w:tcPr>
          <w:p w14:paraId="2D852054" w14:textId="77777777" w:rsidR="00FE461F" w:rsidRPr="005E4BEA" w:rsidRDefault="00FE461F" w:rsidP="00FE461F">
            <w:pPr>
              <w:spacing w:line="240" w:lineRule="auto"/>
              <w:jc w:val="right"/>
              <w:rPr>
                <w:rFonts w:cs="Arial"/>
                <w:szCs w:val="20"/>
              </w:rPr>
            </w:pPr>
            <w:r w:rsidRPr="005E4BEA">
              <w:rPr>
                <w:rFonts w:cs="Arial"/>
                <w:szCs w:val="20"/>
              </w:rPr>
              <w:t>411</w:t>
            </w:r>
          </w:p>
        </w:tc>
        <w:tc>
          <w:tcPr>
            <w:tcW w:w="1584" w:type="dxa"/>
            <w:tcBorders>
              <w:top w:val="nil"/>
              <w:left w:val="nil"/>
              <w:bottom w:val="single" w:sz="4" w:space="0" w:color="auto"/>
              <w:right w:val="single" w:sz="4" w:space="0" w:color="auto"/>
            </w:tcBorders>
            <w:noWrap/>
            <w:vAlign w:val="bottom"/>
            <w:hideMark/>
          </w:tcPr>
          <w:p w14:paraId="6735F2FB" w14:textId="77777777" w:rsidR="00FE461F" w:rsidRPr="005E4BEA" w:rsidRDefault="00FE461F" w:rsidP="00FE461F">
            <w:pPr>
              <w:spacing w:line="240" w:lineRule="auto"/>
              <w:jc w:val="right"/>
              <w:rPr>
                <w:rFonts w:cs="Arial"/>
                <w:szCs w:val="20"/>
              </w:rPr>
            </w:pPr>
            <w:r w:rsidRPr="005E4BEA">
              <w:rPr>
                <w:rFonts w:cs="Arial"/>
                <w:szCs w:val="20"/>
              </w:rPr>
              <w:t>36,3</w:t>
            </w:r>
          </w:p>
        </w:tc>
      </w:tr>
      <w:tr w:rsidR="00FE461F" w:rsidRPr="005E4BEA" w14:paraId="50EAD017" w14:textId="77777777" w:rsidTr="0016774B">
        <w:trPr>
          <w:trHeight w:val="189"/>
        </w:trPr>
        <w:tc>
          <w:tcPr>
            <w:tcW w:w="3795" w:type="dxa"/>
            <w:tcBorders>
              <w:top w:val="nil"/>
              <w:left w:val="single" w:sz="4" w:space="0" w:color="auto"/>
              <w:bottom w:val="nil"/>
              <w:right w:val="single" w:sz="4" w:space="0" w:color="auto"/>
            </w:tcBorders>
            <w:hideMark/>
          </w:tcPr>
          <w:p w14:paraId="686D6E2E" w14:textId="77777777" w:rsidR="00FE461F" w:rsidRPr="005E4BEA" w:rsidRDefault="00FE461F" w:rsidP="00FE461F">
            <w:pPr>
              <w:spacing w:line="240" w:lineRule="auto"/>
              <w:rPr>
                <w:rFonts w:cs="Arial"/>
                <w:szCs w:val="20"/>
              </w:rPr>
            </w:pPr>
            <w:r w:rsidRPr="005E4BEA">
              <w:rPr>
                <w:rFonts w:cs="Arial"/>
                <w:szCs w:val="20"/>
              </w:rPr>
              <w:t>Psihiatrična bolnišnica Begunje</w:t>
            </w:r>
          </w:p>
        </w:tc>
        <w:tc>
          <w:tcPr>
            <w:tcW w:w="1022" w:type="dxa"/>
            <w:tcBorders>
              <w:top w:val="nil"/>
              <w:left w:val="nil"/>
              <w:bottom w:val="nil"/>
              <w:right w:val="single" w:sz="4" w:space="0" w:color="auto"/>
            </w:tcBorders>
            <w:noWrap/>
            <w:vAlign w:val="bottom"/>
            <w:hideMark/>
          </w:tcPr>
          <w:p w14:paraId="4928D5E5"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3EA27D58" w14:textId="77777777" w:rsidR="00FE461F" w:rsidRPr="005E4BEA" w:rsidRDefault="00FE461F" w:rsidP="00FE461F">
            <w:pPr>
              <w:spacing w:line="240" w:lineRule="auto"/>
              <w:jc w:val="right"/>
              <w:rPr>
                <w:rFonts w:cs="Arial"/>
                <w:szCs w:val="20"/>
              </w:rPr>
            </w:pPr>
            <w:r w:rsidRPr="005E4BEA">
              <w:rPr>
                <w:rFonts w:cs="Arial"/>
                <w:szCs w:val="20"/>
              </w:rPr>
              <w:t>33</w:t>
            </w:r>
          </w:p>
        </w:tc>
        <w:tc>
          <w:tcPr>
            <w:tcW w:w="2011" w:type="dxa"/>
            <w:tcBorders>
              <w:top w:val="nil"/>
              <w:left w:val="nil"/>
              <w:bottom w:val="nil"/>
              <w:right w:val="single" w:sz="4" w:space="0" w:color="auto"/>
            </w:tcBorders>
            <w:noWrap/>
            <w:vAlign w:val="bottom"/>
            <w:hideMark/>
          </w:tcPr>
          <w:p w14:paraId="7AAF79EC" w14:textId="77777777" w:rsidR="00FE461F" w:rsidRPr="005E4BEA" w:rsidRDefault="00FE461F" w:rsidP="00FE461F">
            <w:pPr>
              <w:spacing w:line="240" w:lineRule="auto"/>
              <w:jc w:val="right"/>
              <w:rPr>
                <w:rFonts w:cs="Arial"/>
                <w:szCs w:val="20"/>
              </w:rPr>
            </w:pPr>
            <w:r w:rsidRPr="005E4BEA">
              <w:rPr>
                <w:rFonts w:cs="Arial"/>
                <w:szCs w:val="20"/>
              </w:rPr>
              <w:t>149</w:t>
            </w:r>
          </w:p>
        </w:tc>
        <w:tc>
          <w:tcPr>
            <w:tcW w:w="1584" w:type="dxa"/>
            <w:tcBorders>
              <w:top w:val="nil"/>
              <w:left w:val="nil"/>
              <w:bottom w:val="nil"/>
              <w:right w:val="single" w:sz="4" w:space="0" w:color="auto"/>
            </w:tcBorders>
            <w:noWrap/>
            <w:vAlign w:val="bottom"/>
            <w:hideMark/>
          </w:tcPr>
          <w:p w14:paraId="38E55496" w14:textId="77777777" w:rsidR="00FE461F" w:rsidRPr="005E4BEA" w:rsidRDefault="00FE461F" w:rsidP="00FE461F">
            <w:pPr>
              <w:spacing w:line="240" w:lineRule="auto"/>
              <w:jc w:val="right"/>
              <w:rPr>
                <w:rFonts w:cs="Arial"/>
                <w:szCs w:val="20"/>
              </w:rPr>
            </w:pPr>
            <w:r w:rsidRPr="005E4BEA">
              <w:rPr>
                <w:rFonts w:cs="Arial"/>
                <w:szCs w:val="20"/>
              </w:rPr>
              <w:t>22,1</w:t>
            </w:r>
          </w:p>
        </w:tc>
      </w:tr>
      <w:tr w:rsidR="00FE461F" w:rsidRPr="005E4BEA" w14:paraId="7C527B56" w14:textId="77777777" w:rsidTr="0016774B">
        <w:trPr>
          <w:trHeight w:val="189"/>
        </w:trPr>
        <w:tc>
          <w:tcPr>
            <w:tcW w:w="3795" w:type="dxa"/>
            <w:tcBorders>
              <w:top w:val="nil"/>
              <w:left w:val="single" w:sz="4" w:space="0" w:color="auto"/>
              <w:bottom w:val="nil"/>
              <w:right w:val="single" w:sz="4" w:space="0" w:color="auto"/>
            </w:tcBorders>
            <w:hideMark/>
          </w:tcPr>
          <w:p w14:paraId="5B3DD4C6" w14:textId="77777777" w:rsidR="00FE461F" w:rsidRPr="005E4BEA" w:rsidRDefault="00FE461F" w:rsidP="00FE461F">
            <w:pPr>
              <w:spacing w:line="240" w:lineRule="auto"/>
              <w:rPr>
                <w:rFonts w:cs="Arial"/>
                <w:szCs w:val="20"/>
              </w:rPr>
            </w:pPr>
            <w:r w:rsidRPr="005E4BEA">
              <w:rPr>
                <w:rFonts w:cs="Arial"/>
                <w:szCs w:val="20"/>
              </w:rPr>
              <w:t>Psihiatrična bolnišnica Begunje</w:t>
            </w:r>
          </w:p>
        </w:tc>
        <w:tc>
          <w:tcPr>
            <w:tcW w:w="1022" w:type="dxa"/>
            <w:tcBorders>
              <w:top w:val="nil"/>
              <w:left w:val="nil"/>
              <w:bottom w:val="nil"/>
              <w:right w:val="single" w:sz="4" w:space="0" w:color="auto"/>
            </w:tcBorders>
            <w:noWrap/>
            <w:vAlign w:val="bottom"/>
            <w:hideMark/>
          </w:tcPr>
          <w:p w14:paraId="6E18A8A3"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430A66F5" w14:textId="77777777" w:rsidR="00FE461F" w:rsidRPr="005E4BEA" w:rsidRDefault="00FE461F" w:rsidP="00FE461F">
            <w:pPr>
              <w:spacing w:line="240" w:lineRule="auto"/>
              <w:jc w:val="right"/>
              <w:rPr>
                <w:rFonts w:cs="Arial"/>
                <w:szCs w:val="20"/>
              </w:rPr>
            </w:pPr>
            <w:r w:rsidRPr="005E4BEA">
              <w:rPr>
                <w:rFonts w:cs="Arial"/>
                <w:szCs w:val="20"/>
              </w:rPr>
              <w:t>30</w:t>
            </w:r>
          </w:p>
        </w:tc>
        <w:tc>
          <w:tcPr>
            <w:tcW w:w="2011" w:type="dxa"/>
            <w:tcBorders>
              <w:top w:val="nil"/>
              <w:left w:val="nil"/>
              <w:bottom w:val="nil"/>
              <w:right w:val="single" w:sz="4" w:space="0" w:color="auto"/>
            </w:tcBorders>
            <w:noWrap/>
            <w:vAlign w:val="bottom"/>
            <w:hideMark/>
          </w:tcPr>
          <w:p w14:paraId="011C94A8" w14:textId="77777777" w:rsidR="00FE461F" w:rsidRPr="005E4BEA" w:rsidRDefault="00FE461F" w:rsidP="00FE461F">
            <w:pPr>
              <w:spacing w:line="240" w:lineRule="auto"/>
              <w:jc w:val="right"/>
              <w:rPr>
                <w:rFonts w:cs="Arial"/>
                <w:szCs w:val="20"/>
              </w:rPr>
            </w:pPr>
            <w:r w:rsidRPr="005E4BEA">
              <w:rPr>
                <w:rFonts w:cs="Arial"/>
                <w:szCs w:val="20"/>
              </w:rPr>
              <w:t>153</w:t>
            </w:r>
          </w:p>
        </w:tc>
        <w:tc>
          <w:tcPr>
            <w:tcW w:w="1584" w:type="dxa"/>
            <w:tcBorders>
              <w:top w:val="nil"/>
              <w:left w:val="nil"/>
              <w:bottom w:val="nil"/>
              <w:right w:val="single" w:sz="4" w:space="0" w:color="auto"/>
            </w:tcBorders>
            <w:noWrap/>
            <w:vAlign w:val="bottom"/>
            <w:hideMark/>
          </w:tcPr>
          <w:p w14:paraId="407FA7BB" w14:textId="77777777" w:rsidR="00FE461F" w:rsidRPr="005E4BEA" w:rsidRDefault="00FE461F" w:rsidP="00FE461F">
            <w:pPr>
              <w:spacing w:line="240" w:lineRule="auto"/>
              <w:jc w:val="right"/>
              <w:rPr>
                <w:rFonts w:cs="Arial"/>
                <w:szCs w:val="20"/>
              </w:rPr>
            </w:pPr>
            <w:r w:rsidRPr="005E4BEA">
              <w:rPr>
                <w:rFonts w:cs="Arial"/>
                <w:szCs w:val="20"/>
              </w:rPr>
              <w:t>19,6</w:t>
            </w:r>
          </w:p>
        </w:tc>
      </w:tr>
      <w:tr w:rsidR="00FE461F" w:rsidRPr="005E4BEA" w14:paraId="40FEA640" w14:textId="77777777" w:rsidTr="0016774B">
        <w:trPr>
          <w:trHeight w:val="189"/>
        </w:trPr>
        <w:tc>
          <w:tcPr>
            <w:tcW w:w="3795" w:type="dxa"/>
            <w:tcBorders>
              <w:top w:val="nil"/>
              <w:left w:val="single" w:sz="4" w:space="0" w:color="auto"/>
              <w:bottom w:val="nil"/>
              <w:right w:val="single" w:sz="4" w:space="0" w:color="auto"/>
            </w:tcBorders>
            <w:hideMark/>
          </w:tcPr>
          <w:p w14:paraId="035285B6" w14:textId="77777777" w:rsidR="00FE461F" w:rsidRPr="005E4BEA" w:rsidRDefault="00FE461F" w:rsidP="00FE461F">
            <w:pPr>
              <w:spacing w:line="240" w:lineRule="auto"/>
              <w:rPr>
                <w:rFonts w:cs="Arial"/>
                <w:szCs w:val="20"/>
              </w:rPr>
            </w:pPr>
            <w:r w:rsidRPr="005E4BEA">
              <w:rPr>
                <w:rFonts w:cs="Arial"/>
                <w:szCs w:val="20"/>
              </w:rPr>
              <w:t>Psihiatrična bolnišnica Begunje</w:t>
            </w:r>
          </w:p>
        </w:tc>
        <w:tc>
          <w:tcPr>
            <w:tcW w:w="1022" w:type="dxa"/>
            <w:tcBorders>
              <w:top w:val="nil"/>
              <w:left w:val="nil"/>
              <w:bottom w:val="nil"/>
              <w:right w:val="single" w:sz="4" w:space="0" w:color="auto"/>
            </w:tcBorders>
            <w:noWrap/>
            <w:vAlign w:val="bottom"/>
            <w:hideMark/>
          </w:tcPr>
          <w:p w14:paraId="0FE04726"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A1640D8" w14:textId="77777777" w:rsidR="00FE461F" w:rsidRPr="005E4BEA" w:rsidRDefault="00FE461F" w:rsidP="00FE461F">
            <w:pPr>
              <w:spacing w:line="240" w:lineRule="auto"/>
              <w:jc w:val="right"/>
              <w:rPr>
                <w:rFonts w:cs="Arial"/>
                <w:szCs w:val="20"/>
              </w:rPr>
            </w:pPr>
            <w:r w:rsidRPr="005E4BEA">
              <w:rPr>
                <w:rFonts w:cs="Arial"/>
                <w:szCs w:val="20"/>
              </w:rPr>
              <w:t>33</w:t>
            </w:r>
          </w:p>
        </w:tc>
        <w:tc>
          <w:tcPr>
            <w:tcW w:w="2011" w:type="dxa"/>
            <w:tcBorders>
              <w:top w:val="nil"/>
              <w:left w:val="nil"/>
              <w:bottom w:val="nil"/>
              <w:right w:val="single" w:sz="4" w:space="0" w:color="auto"/>
            </w:tcBorders>
            <w:noWrap/>
            <w:vAlign w:val="bottom"/>
            <w:hideMark/>
          </w:tcPr>
          <w:p w14:paraId="32C26640" w14:textId="77777777" w:rsidR="00FE461F" w:rsidRPr="005E4BEA" w:rsidRDefault="00FE461F" w:rsidP="00FE461F">
            <w:pPr>
              <w:spacing w:line="240" w:lineRule="auto"/>
              <w:jc w:val="right"/>
              <w:rPr>
                <w:rFonts w:cs="Arial"/>
                <w:szCs w:val="20"/>
              </w:rPr>
            </w:pPr>
            <w:r w:rsidRPr="005E4BEA">
              <w:rPr>
                <w:rFonts w:cs="Arial"/>
                <w:szCs w:val="20"/>
              </w:rPr>
              <w:t>154</w:t>
            </w:r>
          </w:p>
        </w:tc>
        <w:tc>
          <w:tcPr>
            <w:tcW w:w="1584" w:type="dxa"/>
            <w:tcBorders>
              <w:top w:val="nil"/>
              <w:left w:val="nil"/>
              <w:bottom w:val="nil"/>
              <w:right w:val="single" w:sz="4" w:space="0" w:color="auto"/>
            </w:tcBorders>
            <w:noWrap/>
            <w:vAlign w:val="bottom"/>
            <w:hideMark/>
          </w:tcPr>
          <w:p w14:paraId="66D97F89" w14:textId="77777777" w:rsidR="00FE461F" w:rsidRPr="005E4BEA" w:rsidRDefault="00FE461F" w:rsidP="00FE461F">
            <w:pPr>
              <w:spacing w:line="240" w:lineRule="auto"/>
              <w:jc w:val="right"/>
              <w:rPr>
                <w:rFonts w:cs="Arial"/>
                <w:szCs w:val="20"/>
              </w:rPr>
            </w:pPr>
            <w:r w:rsidRPr="005E4BEA">
              <w:rPr>
                <w:rFonts w:cs="Arial"/>
                <w:szCs w:val="20"/>
              </w:rPr>
              <w:t>21,4</w:t>
            </w:r>
          </w:p>
        </w:tc>
      </w:tr>
      <w:tr w:rsidR="00FE461F" w:rsidRPr="005E4BEA" w14:paraId="64DDC0D4" w14:textId="77777777" w:rsidTr="0016774B">
        <w:trPr>
          <w:trHeight w:val="189"/>
        </w:trPr>
        <w:tc>
          <w:tcPr>
            <w:tcW w:w="3795" w:type="dxa"/>
            <w:tcBorders>
              <w:top w:val="nil"/>
              <w:left w:val="single" w:sz="4" w:space="0" w:color="auto"/>
              <w:bottom w:val="nil"/>
              <w:right w:val="single" w:sz="4" w:space="0" w:color="auto"/>
            </w:tcBorders>
            <w:hideMark/>
          </w:tcPr>
          <w:p w14:paraId="043CCC48" w14:textId="77777777" w:rsidR="00FE461F" w:rsidRPr="005E4BEA" w:rsidRDefault="00FE461F" w:rsidP="00FE461F">
            <w:pPr>
              <w:spacing w:line="240" w:lineRule="auto"/>
              <w:rPr>
                <w:rFonts w:cs="Arial"/>
                <w:szCs w:val="20"/>
              </w:rPr>
            </w:pPr>
            <w:r w:rsidRPr="005E4BEA">
              <w:rPr>
                <w:rFonts w:cs="Arial"/>
                <w:szCs w:val="20"/>
              </w:rPr>
              <w:t>Psihiatrična bolnišnica Begunje</w:t>
            </w:r>
          </w:p>
        </w:tc>
        <w:tc>
          <w:tcPr>
            <w:tcW w:w="1022" w:type="dxa"/>
            <w:tcBorders>
              <w:top w:val="nil"/>
              <w:left w:val="nil"/>
              <w:bottom w:val="nil"/>
              <w:right w:val="single" w:sz="4" w:space="0" w:color="auto"/>
            </w:tcBorders>
            <w:noWrap/>
            <w:vAlign w:val="bottom"/>
            <w:hideMark/>
          </w:tcPr>
          <w:p w14:paraId="2B759044"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582C5DB0" w14:textId="77777777" w:rsidR="00FE461F" w:rsidRPr="005E4BEA" w:rsidRDefault="00FE461F" w:rsidP="00FE461F">
            <w:pPr>
              <w:spacing w:line="240" w:lineRule="auto"/>
              <w:jc w:val="right"/>
              <w:rPr>
                <w:rFonts w:cs="Arial"/>
                <w:szCs w:val="20"/>
              </w:rPr>
            </w:pPr>
            <w:r w:rsidRPr="005E4BEA">
              <w:rPr>
                <w:rFonts w:cs="Arial"/>
                <w:szCs w:val="20"/>
              </w:rPr>
              <w:t>35</w:t>
            </w:r>
          </w:p>
        </w:tc>
        <w:tc>
          <w:tcPr>
            <w:tcW w:w="2011" w:type="dxa"/>
            <w:tcBorders>
              <w:top w:val="nil"/>
              <w:left w:val="nil"/>
              <w:bottom w:val="nil"/>
              <w:right w:val="single" w:sz="4" w:space="0" w:color="auto"/>
            </w:tcBorders>
            <w:noWrap/>
            <w:vAlign w:val="bottom"/>
            <w:hideMark/>
          </w:tcPr>
          <w:p w14:paraId="391312BD" w14:textId="77777777" w:rsidR="00FE461F" w:rsidRPr="005E4BEA" w:rsidRDefault="00FE461F" w:rsidP="00FE461F">
            <w:pPr>
              <w:spacing w:line="240" w:lineRule="auto"/>
              <w:jc w:val="right"/>
              <w:rPr>
                <w:rFonts w:cs="Arial"/>
                <w:szCs w:val="20"/>
              </w:rPr>
            </w:pPr>
            <w:r w:rsidRPr="005E4BEA">
              <w:rPr>
                <w:rFonts w:cs="Arial"/>
                <w:szCs w:val="20"/>
              </w:rPr>
              <w:t>155</w:t>
            </w:r>
          </w:p>
        </w:tc>
        <w:tc>
          <w:tcPr>
            <w:tcW w:w="1584" w:type="dxa"/>
            <w:tcBorders>
              <w:top w:val="nil"/>
              <w:left w:val="nil"/>
              <w:bottom w:val="nil"/>
              <w:right w:val="single" w:sz="4" w:space="0" w:color="auto"/>
            </w:tcBorders>
            <w:noWrap/>
            <w:vAlign w:val="bottom"/>
            <w:hideMark/>
          </w:tcPr>
          <w:p w14:paraId="2BC2A26C" w14:textId="77777777" w:rsidR="00FE461F" w:rsidRPr="005E4BEA" w:rsidRDefault="00FE461F" w:rsidP="00FE461F">
            <w:pPr>
              <w:spacing w:line="240" w:lineRule="auto"/>
              <w:jc w:val="right"/>
              <w:rPr>
                <w:rFonts w:cs="Arial"/>
                <w:szCs w:val="20"/>
              </w:rPr>
            </w:pPr>
            <w:r w:rsidRPr="005E4BEA">
              <w:rPr>
                <w:rFonts w:cs="Arial"/>
                <w:szCs w:val="20"/>
              </w:rPr>
              <w:t>22,6</w:t>
            </w:r>
          </w:p>
        </w:tc>
      </w:tr>
      <w:tr w:rsidR="00FE461F" w:rsidRPr="005E4BEA" w14:paraId="32D19E84" w14:textId="77777777" w:rsidTr="0016774B">
        <w:trPr>
          <w:trHeight w:val="189"/>
        </w:trPr>
        <w:tc>
          <w:tcPr>
            <w:tcW w:w="3795" w:type="dxa"/>
            <w:tcBorders>
              <w:top w:val="nil"/>
              <w:left w:val="single" w:sz="4" w:space="0" w:color="auto"/>
              <w:bottom w:val="nil"/>
              <w:right w:val="single" w:sz="4" w:space="0" w:color="auto"/>
            </w:tcBorders>
            <w:hideMark/>
          </w:tcPr>
          <w:p w14:paraId="2A3B7CAE" w14:textId="77777777" w:rsidR="00FE461F" w:rsidRPr="005E4BEA" w:rsidRDefault="00FE461F" w:rsidP="00FE461F">
            <w:pPr>
              <w:spacing w:line="240" w:lineRule="auto"/>
              <w:rPr>
                <w:rFonts w:cs="Arial"/>
                <w:szCs w:val="20"/>
              </w:rPr>
            </w:pPr>
            <w:r w:rsidRPr="005E4BEA">
              <w:rPr>
                <w:rFonts w:cs="Arial"/>
                <w:szCs w:val="20"/>
              </w:rPr>
              <w:t>Psihiatrična bolnišnica Begunje</w:t>
            </w:r>
          </w:p>
        </w:tc>
        <w:tc>
          <w:tcPr>
            <w:tcW w:w="1022" w:type="dxa"/>
            <w:tcBorders>
              <w:top w:val="nil"/>
              <w:left w:val="nil"/>
              <w:bottom w:val="nil"/>
              <w:right w:val="single" w:sz="4" w:space="0" w:color="auto"/>
            </w:tcBorders>
            <w:noWrap/>
            <w:vAlign w:val="bottom"/>
            <w:hideMark/>
          </w:tcPr>
          <w:p w14:paraId="472AD5C2"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5157564E" w14:textId="77777777" w:rsidR="00FE461F" w:rsidRPr="005E4BEA" w:rsidRDefault="00FE461F" w:rsidP="00FE461F">
            <w:pPr>
              <w:spacing w:line="240" w:lineRule="auto"/>
              <w:jc w:val="right"/>
              <w:rPr>
                <w:rFonts w:cs="Arial"/>
                <w:szCs w:val="20"/>
              </w:rPr>
            </w:pPr>
            <w:r w:rsidRPr="005E4BEA">
              <w:rPr>
                <w:rFonts w:cs="Arial"/>
                <w:szCs w:val="20"/>
              </w:rPr>
              <w:t>33</w:t>
            </w:r>
          </w:p>
        </w:tc>
        <w:tc>
          <w:tcPr>
            <w:tcW w:w="2011" w:type="dxa"/>
            <w:tcBorders>
              <w:top w:val="nil"/>
              <w:left w:val="nil"/>
              <w:bottom w:val="nil"/>
              <w:right w:val="single" w:sz="4" w:space="0" w:color="auto"/>
            </w:tcBorders>
            <w:noWrap/>
            <w:vAlign w:val="bottom"/>
            <w:hideMark/>
          </w:tcPr>
          <w:p w14:paraId="1E96DE95" w14:textId="77777777" w:rsidR="00FE461F" w:rsidRPr="005E4BEA" w:rsidRDefault="00FE461F" w:rsidP="00FE461F">
            <w:pPr>
              <w:spacing w:line="240" w:lineRule="auto"/>
              <w:jc w:val="right"/>
              <w:rPr>
                <w:rFonts w:cs="Arial"/>
                <w:szCs w:val="20"/>
              </w:rPr>
            </w:pPr>
            <w:r w:rsidRPr="005E4BEA">
              <w:rPr>
                <w:rFonts w:cs="Arial"/>
                <w:szCs w:val="20"/>
              </w:rPr>
              <w:t>154</w:t>
            </w:r>
          </w:p>
        </w:tc>
        <w:tc>
          <w:tcPr>
            <w:tcW w:w="1584" w:type="dxa"/>
            <w:tcBorders>
              <w:top w:val="nil"/>
              <w:left w:val="nil"/>
              <w:bottom w:val="nil"/>
              <w:right w:val="single" w:sz="4" w:space="0" w:color="auto"/>
            </w:tcBorders>
            <w:noWrap/>
            <w:vAlign w:val="bottom"/>
            <w:hideMark/>
          </w:tcPr>
          <w:p w14:paraId="1CE5B15B" w14:textId="77777777" w:rsidR="00FE461F" w:rsidRPr="005E4BEA" w:rsidRDefault="00FE461F" w:rsidP="00FE461F">
            <w:pPr>
              <w:spacing w:line="240" w:lineRule="auto"/>
              <w:jc w:val="right"/>
              <w:rPr>
                <w:rFonts w:cs="Arial"/>
                <w:szCs w:val="20"/>
              </w:rPr>
            </w:pPr>
            <w:r w:rsidRPr="005E4BEA">
              <w:rPr>
                <w:rFonts w:cs="Arial"/>
                <w:szCs w:val="20"/>
              </w:rPr>
              <w:t>21,4</w:t>
            </w:r>
          </w:p>
        </w:tc>
      </w:tr>
      <w:tr w:rsidR="00FE461F" w:rsidRPr="005E4BEA" w14:paraId="62EA0646"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2EBAF91C" w14:textId="77777777" w:rsidR="00FE461F" w:rsidRPr="005E4BEA" w:rsidRDefault="00FE461F" w:rsidP="00FE461F">
            <w:pPr>
              <w:spacing w:line="240" w:lineRule="auto"/>
              <w:rPr>
                <w:rFonts w:cs="Arial"/>
                <w:szCs w:val="20"/>
              </w:rPr>
            </w:pPr>
            <w:r w:rsidRPr="005E4BEA">
              <w:rPr>
                <w:rFonts w:cs="Arial"/>
                <w:szCs w:val="20"/>
              </w:rPr>
              <w:t>Psihiatrična bolnišnica Begunje</w:t>
            </w:r>
          </w:p>
        </w:tc>
        <w:tc>
          <w:tcPr>
            <w:tcW w:w="1022" w:type="dxa"/>
            <w:tcBorders>
              <w:top w:val="nil"/>
              <w:left w:val="nil"/>
              <w:bottom w:val="single" w:sz="4" w:space="0" w:color="auto"/>
              <w:right w:val="single" w:sz="4" w:space="0" w:color="auto"/>
            </w:tcBorders>
            <w:noWrap/>
            <w:vAlign w:val="bottom"/>
            <w:hideMark/>
          </w:tcPr>
          <w:p w14:paraId="55F361C4"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74FA77B0" w14:textId="77777777" w:rsidR="00FE461F" w:rsidRPr="005E4BEA" w:rsidRDefault="00FE461F" w:rsidP="00FE461F">
            <w:pPr>
              <w:spacing w:line="240" w:lineRule="auto"/>
              <w:jc w:val="right"/>
              <w:rPr>
                <w:rFonts w:cs="Arial"/>
                <w:szCs w:val="20"/>
              </w:rPr>
            </w:pPr>
            <w:r w:rsidRPr="005E4BEA">
              <w:rPr>
                <w:rFonts w:cs="Arial"/>
                <w:szCs w:val="20"/>
              </w:rPr>
              <w:t>33</w:t>
            </w:r>
          </w:p>
        </w:tc>
        <w:tc>
          <w:tcPr>
            <w:tcW w:w="2011" w:type="dxa"/>
            <w:tcBorders>
              <w:top w:val="nil"/>
              <w:left w:val="nil"/>
              <w:bottom w:val="single" w:sz="4" w:space="0" w:color="auto"/>
              <w:right w:val="single" w:sz="4" w:space="0" w:color="auto"/>
            </w:tcBorders>
            <w:noWrap/>
            <w:vAlign w:val="bottom"/>
            <w:hideMark/>
          </w:tcPr>
          <w:p w14:paraId="47CE92D3" w14:textId="77777777" w:rsidR="00FE461F" w:rsidRPr="005E4BEA" w:rsidRDefault="00FE461F" w:rsidP="00FE461F">
            <w:pPr>
              <w:spacing w:line="240" w:lineRule="auto"/>
              <w:jc w:val="right"/>
              <w:rPr>
                <w:rFonts w:cs="Arial"/>
                <w:szCs w:val="20"/>
              </w:rPr>
            </w:pPr>
            <w:r w:rsidRPr="005E4BEA">
              <w:rPr>
                <w:rFonts w:cs="Arial"/>
                <w:szCs w:val="20"/>
              </w:rPr>
              <w:t>146</w:t>
            </w:r>
          </w:p>
        </w:tc>
        <w:tc>
          <w:tcPr>
            <w:tcW w:w="1584" w:type="dxa"/>
            <w:tcBorders>
              <w:top w:val="nil"/>
              <w:left w:val="nil"/>
              <w:bottom w:val="single" w:sz="4" w:space="0" w:color="auto"/>
              <w:right w:val="single" w:sz="4" w:space="0" w:color="auto"/>
            </w:tcBorders>
            <w:noWrap/>
            <w:vAlign w:val="bottom"/>
            <w:hideMark/>
          </w:tcPr>
          <w:p w14:paraId="5AE3741B" w14:textId="77777777" w:rsidR="00FE461F" w:rsidRPr="005E4BEA" w:rsidRDefault="00FE461F" w:rsidP="00FE461F">
            <w:pPr>
              <w:spacing w:line="240" w:lineRule="auto"/>
              <w:jc w:val="right"/>
              <w:rPr>
                <w:rFonts w:cs="Arial"/>
                <w:szCs w:val="20"/>
              </w:rPr>
            </w:pPr>
            <w:r w:rsidRPr="005E4BEA">
              <w:rPr>
                <w:rFonts w:cs="Arial"/>
                <w:szCs w:val="20"/>
              </w:rPr>
              <w:t>22,6</w:t>
            </w:r>
          </w:p>
        </w:tc>
      </w:tr>
      <w:tr w:rsidR="00FE461F" w:rsidRPr="005E4BEA" w14:paraId="251D1295" w14:textId="77777777" w:rsidTr="0016774B">
        <w:trPr>
          <w:trHeight w:val="189"/>
        </w:trPr>
        <w:tc>
          <w:tcPr>
            <w:tcW w:w="3795" w:type="dxa"/>
            <w:tcBorders>
              <w:top w:val="nil"/>
              <w:left w:val="single" w:sz="4" w:space="0" w:color="auto"/>
              <w:bottom w:val="nil"/>
              <w:right w:val="single" w:sz="4" w:space="0" w:color="auto"/>
            </w:tcBorders>
            <w:hideMark/>
          </w:tcPr>
          <w:p w14:paraId="46FF9CCC" w14:textId="77777777" w:rsidR="00FE461F" w:rsidRPr="005E4BEA" w:rsidRDefault="00FE461F" w:rsidP="00FE461F">
            <w:pPr>
              <w:spacing w:line="240" w:lineRule="auto"/>
              <w:rPr>
                <w:rFonts w:cs="Arial"/>
                <w:szCs w:val="20"/>
              </w:rPr>
            </w:pPr>
            <w:r w:rsidRPr="005E4BEA">
              <w:rPr>
                <w:rFonts w:cs="Arial"/>
                <w:szCs w:val="20"/>
              </w:rPr>
              <w:t>Psihiatrična bolnišnica Idrija</w:t>
            </w:r>
          </w:p>
        </w:tc>
        <w:tc>
          <w:tcPr>
            <w:tcW w:w="1022" w:type="dxa"/>
            <w:tcBorders>
              <w:top w:val="nil"/>
              <w:left w:val="nil"/>
              <w:bottom w:val="nil"/>
              <w:right w:val="single" w:sz="4" w:space="0" w:color="auto"/>
            </w:tcBorders>
            <w:noWrap/>
            <w:vAlign w:val="bottom"/>
            <w:hideMark/>
          </w:tcPr>
          <w:p w14:paraId="572F1121"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43B102B8" w14:textId="77777777" w:rsidR="00FE461F" w:rsidRPr="005E4BEA" w:rsidRDefault="00FE461F" w:rsidP="00FE461F">
            <w:pPr>
              <w:spacing w:line="240" w:lineRule="auto"/>
              <w:jc w:val="right"/>
              <w:rPr>
                <w:rFonts w:cs="Arial"/>
                <w:szCs w:val="20"/>
              </w:rPr>
            </w:pPr>
            <w:r w:rsidRPr="005E4BEA">
              <w:rPr>
                <w:rFonts w:cs="Arial"/>
                <w:szCs w:val="20"/>
              </w:rPr>
              <w:t>38</w:t>
            </w:r>
          </w:p>
        </w:tc>
        <w:tc>
          <w:tcPr>
            <w:tcW w:w="2011" w:type="dxa"/>
            <w:tcBorders>
              <w:top w:val="nil"/>
              <w:left w:val="nil"/>
              <w:bottom w:val="nil"/>
              <w:right w:val="single" w:sz="4" w:space="0" w:color="auto"/>
            </w:tcBorders>
            <w:noWrap/>
            <w:vAlign w:val="bottom"/>
            <w:hideMark/>
          </w:tcPr>
          <w:p w14:paraId="78C21D9D" w14:textId="77777777" w:rsidR="00FE461F" w:rsidRPr="005E4BEA" w:rsidRDefault="00FE461F" w:rsidP="00FE461F">
            <w:pPr>
              <w:spacing w:line="240" w:lineRule="auto"/>
              <w:jc w:val="right"/>
              <w:rPr>
                <w:rFonts w:cs="Arial"/>
                <w:szCs w:val="20"/>
              </w:rPr>
            </w:pPr>
            <w:r w:rsidRPr="005E4BEA">
              <w:rPr>
                <w:rFonts w:cs="Arial"/>
                <w:szCs w:val="20"/>
              </w:rPr>
              <w:t>190</w:t>
            </w:r>
          </w:p>
        </w:tc>
        <w:tc>
          <w:tcPr>
            <w:tcW w:w="1584" w:type="dxa"/>
            <w:tcBorders>
              <w:top w:val="nil"/>
              <w:left w:val="nil"/>
              <w:bottom w:val="nil"/>
              <w:right w:val="single" w:sz="4" w:space="0" w:color="auto"/>
            </w:tcBorders>
            <w:noWrap/>
            <w:vAlign w:val="bottom"/>
            <w:hideMark/>
          </w:tcPr>
          <w:p w14:paraId="49F708E5" w14:textId="77777777" w:rsidR="00FE461F" w:rsidRPr="005E4BEA" w:rsidRDefault="00FE461F" w:rsidP="00FE461F">
            <w:pPr>
              <w:spacing w:line="240" w:lineRule="auto"/>
              <w:jc w:val="right"/>
              <w:rPr>
                <w:rFonts w:cs="Arial"/>
                <w:szCs w:val="20"/>
              </w:rPr>
            </w:pPr>
            <w:r w:rsidRPr="005E4BEA">
              <w:rPr>
                <w:rFonts w:cs="Arial"/>
                <w:szCs w:val="20"/>
              </w:rPr>
              <w:t>20,0</w:t>
            </w:r>
          </w:p>
        </w:tc>
      </w:tr>
      <w:tr w:rsidR="00FE461F" w:rsidRPr="005E4BEA" w14:paraId="4BCBE31A" w14:textId="77777777" w:rsidTr="0016774B">
        <w:trPr>
          <w:trHeight w:val="189"/>
        </w:trPr>
        <w:tc>
          <w:tcPr>
            <w:tcW w:w="3795" w:type="dxa"/>
            <w:tcBorders>
              <w:top w:val="nil"/>
              <w:left w:val="single" w:sz="4" w:space="0" w:color="auto"/>
              <w:bottom w:val="nil"/>
              <w:right w:val="single" w:sz="4" w:space="0" w:color="auto"/>
            </w:tcBorders>
            <w:hideMark/>
          </w:tcPr>
          <w:p w14:paraId="675EAC5A" w14:textId="77777777" w:rsidR="00FE461F" w:rsidRPr="005E4BEA" w:rsidRDefault="00FE461F" w:rsidP="00FE461F">
            <w:pPr>
              <w:spacing w:line="240" w:lineRule="auto"/>
              <w:rPr>
                <w:rFonts w:cs="Arial"/>
                <w:szCs w:val="20"/>
              </w:rPr>
            </w:pPr>
            <w:r w:rsidRPr="005E4BEA">
              <w:rPr>
                <w:rFonts w:cs="Arial"/>
                <w:szCs w:val="20"/>
              </w:rPr>
              <w:t>Psihiatrična bolnišnica Idrija</w:t>
            </w:r>
          </w:p>
        </w:tc>
        <w:tc>
          <w:tcPr>
            <w:tcW w:w="1022" w:type="dxa"/>
            <w:tcBorders>
              <w:top w:val="nil"/>
              <w:left w:val="nil"/>
              <w:bottom w:val="nil"/>
              <w:right w:val="single" w:sz="4" w:space="0" w:color="auto"/>
            </w:tcBorders>
            <w:noWrap/>
            <w:vAlign w:val="bottom"/>
            <w:hideMark/>
          </w:tcPr>
          <w:p w14:paraId="3606EAD0"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426AF98A" w14:textId="77777777" w:rsidR="00FE461F" w:rsidRPr="005E4BEA" w:rsidRDefault="00FE461F" w:rsidP="00FE461F">
            <w:pPr>
              <w:spacing w:line="240" w:lineRule="auto"/>
              <w:jc w:val="right"/>
              <w:rPr>
                <w:rFonts w:cs="Arial"/>
                <w:szCs w:val="20"/>
              </w:rPr>
            </w:pPr>
            <w:r w:rsidRPr="005E4BEA">
              <w:rPr>
                <w:rFonts w:cs="Arial"/>
                <w:szCs w:val="20"/>
              </w:rPr>
              <w:t>42</w:t>
            </w:r>
          </w:p>
        </w:tc>
        <w:tc>
          <w:tcPr>
            <w:tcW w:w="2011" w:type="dxa"/>
            <w:tcBorders>
              <w:top w:val="nil"/>
              <w:left w:val="nil"/>
              <w:bottom w:val="nil"/>
              <w:right w:val="single" w:sz="4" w:space="0" w:color="auto"/>
            </w:tcBorders>
            <w:noWrap/>
            <w:vAlign w:val="bottom"/>
            <w:hideMark/>
          </w:tcPr>
          <w:p w14:paraId="1CF40404" w14:textId="77777777" w:rsidR="00FE461F" w:rsidRPr="005E4BEA" w:rsidRDefault="00FE461F" w:rsidP="00FE461F">
            <w:pPr>
              <w:spacing w:line="240" w:lineRule="auto"/>
              <w:jc w:val="right"/>
              <w:rPr>
                <w:rFonts w:cs="Arial"/>
                <w:szCs w:val="20"/>
              </w:rPr>
            </w:pPr>
            <w:r w:rsidRPr="005E4BEA">
              <w:rPr>
                <w:rFonts w:cs="Arial"/>
                <w:szCs w:val="20"/>
              </w:rPr>
              <w:t>201</w:t>
            </w:r>
          </w:p>
        </w:tc>
        <w:tc>
          <w:tcPr>
            <w:tcW w:w="1584" w:type="dxa"/>
            <w:tcBorders>
              <w:top w:val="nil"/>
              <w:left w:val="nil"/>
              <w:bottom w:val="nil"/>
              <w:right w:val="single" w:sz="4" w:space="0" w:color="auto"/>
            </w:tcBorders>
            <w:noWrap/>
            <w:vAlign w:val="bottom"/>
            <w:hideMark/>
          </w:tcPr>
          <w:p w14:paraId="584AE1F9" w14:textId="77777777" w:rsidR="00FE461F" w:rsidRPr="005E4BEA" w:rsidRDefault="00FE461F" w:rsidP="00FE461F">
            <w:pPr>
              <w:spacing w:line="240" w:lineRule="auto"/>
              <w:jc w:val="right"/>
              <w:rPr>
                <w:rFonts w:cs="Arial"/>
                <w:szCs w:val="20"/>
              </w:rPr>
            </w:pPr>
            <w:r w:rsidRPr="005E4BEA">
              <w:rPr>
                <w:rFonts w:cs="Arial"/>
                <w:szCs w:val="20"/>
              </w:rPr>
              <w:t>20,9</w:t>
            </w:r>
          </w:p>
        </w:tc>
      </w:tr>
      <w:tr w:rsidR="00FE461F" w:rsidRPr="005E4BEA" w14:paraId="0C9C5605" w14:textId="77777777" w:rsidTr="0016774B">
        <w:trPr>
          <w:trHeight w:val="189"/>
        </w:trPr>
        <w:tc>
          <w:tcPr>
            <w:tcW w:w="3795" w:type="dxa"/>
            <w:tcBorders>
              <w:top w:val="nil"/>
              <w:left w:val="single" w:sz="4" w:space="0" w:color="auto"/>
              <w:bottom w:val="nil"/>
              <w:right w:val="single" w:sz="4" w:space="0" w:color="auto"/>
            </w:tcBorders>
            <w:hideMark/>
          </w:tcPr>
          <w:p w14:paraId="67D42785" w14:textId="77777777" w:rsidR="00FE461F" w:rsidRPr="005E4BEA" w:rsidRDefault="00FE461F" w:rsidP="00FE461F">
            <w:pPr>
              <w:spacing w:line="240" w:lineRule="auto"/>
              <w:rPr>
                <w:rFonts w:cs="Arial"/>
                <w:szCs w:val="20"/>
              </w:rPr>
            </w:pPr>
            <w:r w:rsidRPr="005E4BEA">
              <w:rPr>
                <w:rFonts w:cs="Arial"/>
                <w:szCs w:val="20"/>
              </w:rPr>
              <w:t>Psihiatrična bolnišnica Idrija</w:t>
            </w:r>
          </w:p>
        </w:tc>
        <w:tc>
          <w:tcPr>
            <w:tcW w:w="1022" w:type="dxa"/>
            <w:tcBorders>
              <w:top w:val="nil"/>
              <w:left w:val="nil"/>
              <w:bottom w:val="nil"/>
              <w:right w:val="single" w:sz="4" w:space="0" w:color="auto"/>
            </w:tcBorders>
            <w:noWrap/>
            <w:vAlign w:val="bottom"/>
            <w:hideMark/>
          </w:tcPr>
          <w:p w14:paraId="50FD19AB"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18CE94BB" w14:textId="77777777" w:rsidR="00FE461F" w:rsidRPr="005E4BEA" w:rsidRDefault="00FE461F" w:rsidP="00FE461F">
            <w:pPr>
              <w:spacing w:line="240" w:lineRule="auto"/>
              <w:jc w:val="right"/>
              <w:rPr>
                <w:rFonts w:cs="Arial"/>
                <w:szCs w:val="20"/>
              </w:rPr>
            </w:pPr>
            <w:r w:rsidRPr="005E4BEA">
              <w:rPr>
                <w:rFonts w:cs="Arial"/>
                <w:szCs w:val="20"/>
              </w:rPr>
              <w:t>42</w:t>
            </w:r>
          </w:p>
        </w:tc>
        <w:tc>
          <w:tcPr>
            <w:tcW w:w="2011" w:type="dxa"/>
            <w:tcBorders>
              <w:top w:val="nil"/>
              <w:left w:val="nil"/>
              <w:bottom w:val="nil"/>
              <w:right w:val="single" w:sz="4" w:space="0" w:color="auto"/>
            </w:tcBorders>
            <w:noWrap/>
            <w:vAlign w:val="bottom"/>
            <w:hideMark/>
          </w:tcPr>
          <w:p w14:paraId="482C9B15" w14:textId="77777777" w:rsidR="00FE461F" w:rsidRPr="005E4BEA" w:rsidRDefault="00FE461F" w:rsidP="00FE461F">
            <w:pPr>
              <w:spacing w:line="240" w:lineRule="auto"/>
              <w:jc w:val="right"/>
              <w:rPr>
                <w:rFonts w:cs="Arial"/>
                <w:szCs w:val="20"/>
              </w:rPr>
            </w:pPr>
            <w:r w:rsidRPr="005E4BEA">
              <w:rPr>
                <w:rFonts w:cs="Arial"/>
                <w:szCs w:val="20"/>
              </w:rPr>
              <w:t>201</w:t>
            </w:r>
          </w:p>
        </w:tc>
        <w:tc>
          <w:tcPr>
            <w:tcW w:w="1584" w:type="dxa"/>
            <w:tcBorders>
              <w:top w:val="nil"/>
              <w:left w:val="nil"/>
              <w:bottom w:val="nil"/>
              <w:right w:val="single" w:sz="4" w:space="0" w:color="auto"/>
            </w:tcBorders>
            <w:noWrap/>
            <w:vAlign w:val="bottom"/>
            <w:hideMark/>
          </w:tcPr>
          <w:p w14:paraId="7246439A" w14:textId="77777777" w:rsidR="00FE461F" w:rsidRPr="005E4BEA" w:rsidRDefault="00FE461F" w:rsidP="00FE461F">
            <w:pPr>
              <w:spacing w:line="240" w:lineRule="auto"/>
              <w:jc w:val="right"/>
              <w:rPr>
                <w:rFonts w:cs="Arial"/>
                <w:szCs w:val="20"/>
              </w:rPr>
            </w:pPr>
            <w:r w:rsidRPr="005E4BEA">
              <w:rPr>
                <w:rFonts w:cs="Arial"/>
                <w:szCs w:val="20"/>
              </w:rPr>
              <w:t>20,9</w:t>
            </w:r>
          </w:p>
        </w:tc>
      </w:tr>
      <w:tr w:rsidR="00FE461F" w:rsidRPr="005E4BEA" w14:paraId="12B76033" w14:textId="77777777" w:rsidTr="0016774B">
        <w:trPr>
          <w:trHeight w:val="189"/>
        </w:trPr>
        <w:tc>
          <w:tcPr>
            <w:tcW w:w="3795" w:type="dxa"/>
            <w:tcBorders>
              <w:top w:val="nil"/>
              <w:left w:val="single" w:sz="4" w:space="0" w:color="auto"/>
              <w:bottom w:val="nil"/>
              <w:right w:val="single" w:sz="4" w:space="0" w:color="auto"/>
            </w:tcBorders>
            <w:hideMark/>
          </w:tcPr>
          <w:p w14:paraId="649CC705" w14:textId="77777777" w:rsidR="00FE461F" w:rsidRPr="005E4BEA" w:rsidRDefault="00FE461F" w:rsidP="00FE461F">
            <w:pPr>
              <w:spacing w:line="240" w:lineRule="auto"/>
              <w:rPr>
                <w:rFonts w:cs="Arial"/>
                <w:szCs w:val="20"/>
              </w:rPr>
            </w:pPr>
            <w:r w:rsidRPr="005E4BEA">
              <w:rPr>
                <w:rFonts w:cs="Arial"/>
                <w:szCs w:val="20"/>
              </w:rPr>
              <w:t>Psihiatrična bolnišnica Idrija</w:t>
            </w:r>
          </w:p>
        </w:tc>
        <w:tc>
          <w:tcPr>
            <w:tcW w:w="1022" w:type="dxa"/>
            <w:tcBorders>
              <w:top w:val="nil"/>
              <w:left w:val="nil"/>
              <w:bottom w:val="nil"/>
              <w:right w:val="single" w:sz="4" w:space="0" w:color="auto"/>
            </w:tcBorders>
            <w:noWrap/>
            <w:vAlign w:val="bottom"/>
            <w:hideMark/>
          </w:tcPr>
          <w:p w14:paraId="6D8BF669"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2D79140E" w14:textId="77777777" w:rsidR="00FE461F" w:rsidRPr="005E4BEA" w:rsidRDefault="00FE461F" w:rsidP="00FE461F">
            <w:pPr>
              <w:spacing w:line="240" w:lineRule="auto"/>
              <w:jc w:val="right"/>
              <w:rPr>
                <w:rFonts w:cs="Arial"/>
                <w:szCs w:val="20"/>
              </w:rPr>
            </w:pPr>
            <w:r w:rsidRPr="005E4BEA">
              <w:rPr>
                <w:rFonts w:cs="Arial"/>
                <w:szCs w:val="20"/>
              </w:rPr>
              <w:t>38</w:t>
            </w:r>
          </w:p>
        </w:tc>
        <w:tc>
          <w:tcPr>
            <w:tcW w:w="2011" w:type="dxa"/>
            <w:tcBorders>
              <w:top w:val="nil"/>
              <w:left w:val="nil"/>
              <w:bottom w:val="nil"/>
              <w:right w:val="single" w:sz="4" w:space="0" w:color="auto"/>
            </w:tcBorders>
            <w:noWrap/>
            <w:vAlign w:val="bottom"/>
            <w:hideMark/>
          </w:tcPr>
          <w:p w14:paraId="190324F2" w14:textId="77777777" w:rsidR="00FE461F" w:rsidRPr="005E4BEA" w:rsidRDefault="00FE461F" w:rsidP="00FE461F">
            <w:pPr>
              <w:spacing w:line="240" w:lineRule="auto"/>
              <w:jc w:val="right"/>
              <w:rPr>
                <w:rFonts w:cs="Arial"/>
                <w:szCs w:val="20"/>
              </w:rPr>
            </w:pPr>
            <w:r w:rsidRPr="005E4BEA">
              <w:rPr>
                <w:rFonts w:cs="Arial"/>
                <w:szCs w:val="20"/>
              </w:rPr>
              <w:t>194</w:t>
            </w:r>
          </w:p>
        </w:tc>
        <w:tc>
          <w:tcPr>
            <w:tcW w:w="1584" w:type="dxa"/>
            <w:tcBorders>
              <w:top w:val="nil"/>
              <w:left w:val="nil"/>
              <w:bottom w:val="nil"/>
              <w:right w:val="single" w:sz="4" w:space="0" w:color="auto"/>
            </w:tcBorders>
            <w:noWrap/>
            <w:vAlign w:val="bottom"/>
            <w:hideMark/>
          </w:tcPr>
          <w:p w14:paraId="28AD12CF" w14:textId="77777777" w:rsidR="00FE461F" w:rsidRPr="005E4BEA" w:rsidRDefault="00FE461F" w:rsidP="00FE461F">
            <w:pPr>
              <w:spacing w:line="240" w:lineRule="auto"/>
              <w:jc w:val="right"/>
              <w:rPr>
                <w:rFonts w:cs="Arial"/>
                <w:szCs w:val="20"/>
              </w:rPr>
            </w:pPr>
            <w:r w:rsidRPr="005E4BEA">
              <w:rPr>
                <w:rFonts w:cs="Arial"/>
                <w:szCs w:val="20"/>
              </w:rPr>
              <w:t>19,6</w:t>
            </w:r>
          </w:p>
        </w:tc>
      </w:tr>
      <w:tr w:rsidR="00FE461F" w:rsidRPr="005E4BEA" w14:paraId="53B5D7FF" w14:textId="77777777" w:rsidTr="0016774B">
        <w:trPr>
          <w:trHeight w:val="189"/>
        </w:trPr>
        <w:tc>
          <w:tcPr>
            <w:tcW w:w="3795" w:type="dxa"/>
            <w:tcBorders>
              <w:top w:val="nil"/>
              <w:left w:val="single" w:sz="4" w:space="0" w:color="auto"/>
              <w:bottom w:val="nil"/>
              <w:right w:val="single" w:sz="4" w:space="0" w:color="auto"/>
            </w:tcBorders>
            <w:hideMark/>
          </w:tcPr>
          <w:p w14:paraId="1FF24591" w14:textId="77777777" w:rsidR="00FE461F" w:rsidRPr="005E4BEA" w:rsidRDefault="00FE461F" w:rsidP="00FE461F">
            <w:pPr>
              <w:spacing w:line="240" w:lineRule="auto"/>
              <w:rPr>
                <w:rFonts w:cs="Arial"/>
                <w:szCs w:val="20"/>
              </w:rPr>
            </w:pPr>
            <w:r w:rsidRPr="005E4BEA">
              <w:rPr>
                <w:rFonts w:cs="Arial"/>
                <w:szCs w:val="20"/>
              </w:rPr>
              <w:t>Psihiatrična bolnišnica Idrija</w:t>
            </w:r>
          </w:p>
        </w:tc>
        <w:tc>
          <w:tcPr>
            <w:tcW w:w="1022" w:type="dxa"/>
            <w:tcBorders>
              <w:top w:val="nil"/>
              <w:left w:val="nil"/>
              <w:bottom w:val="nil"/>
              <w:right w:val="single" w:sz="4" w:space="0" w:color="auto"/>
            </w:tcBorders>
            <w:noWrap/>
            <w:vAlign w:val="bottom"/>
            <w:hideMark/>
          </w:tcPr>
          <w:p w14:paraId="2C6398A1"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03E320DF" w14:textId="77777777" w:rsidR="00FE461F" w:rsidRPr="005E4BEA" w:rsidRDefault="00FE461F" w:rsidP="00FE461F">
            <w:pPr>
              <w:spacing w:line="240" w:lineRule="auto"/>
              <w:jc w:val="right"/>
              <w:rPr>
                <w:rFonts w:cs="Arial"/>
                <w:szCs w:val="20"/>
              </w:rPr>
            </w:pPr>
            <w:r w:rsidRPr="005E4BEA">
              <w:rPr>
                <w:rFonts w:cs="Arial"/>
                <w:szCs w:val="20"/>
              </w:rPr>
              <w:t>40</w:t>
            </w:r>
          </w:p>
        </w:tc>
        <w:tc>
          <w:tcPr>
            <w:tcW w:w="2011" w:type="dxa"/>
            <w:tcBorders>
              <w:top w:val="nil"/>
              <w:left w:val="nil"/>
              <w:bottom w:val="nil"/>
              <w:right w:val="single" w:sz="4" w:space="0" w:color="auto"/>
            </w:tcBorders>
            <w:noWrap/>
            <w:vAlign w:val="bottom"/>
            <w:hideMark/>
          </w:tcPr>
          <w:p w14:paraId="3B70D052" w14:textId="77777777" w:rsidR="00FE461F" w:rsidRPr="005E4BEA" w:rsidRDefault="00FE461F" w:rsidP="00FE461F">
            <w:pPr>
              <w:spacing w:line="240" w:lineRule="auto"/>
              <w:jc w:val="right"/>
              <w:rPr>
                <w:rFonts w:cs="Arial"/>
                <w:szCs w:val="20"/>
              </w:rPr>
            </w:pPr>
            <w:r w:rsidRPr="005E4BEA">
              <w:rPr>
                <w:rFonts w:cs="Arial"/>
                <w:szCs w:val="20"/>
              </w:rPr>
              <w:t>204</w:t>
            </w:r>
          </w:p>
        </w:tc>
        <w:tc>
          <w:tcPr>
            <w:tcW w:w="1584" w:type="dxa"/>
            <w:tcBorders>
              <w:top w:val="nil"/>
              <w:left w:val="nil"/>
              <w:bottom w:val="nil"/>
              <w:right w:val="single" w:sz="4" w:space="0" w:color="auto"/>
            </w:tcBorders>
            <w:noWrap/>
            <w:vAlign w:val="bottom"/>
            <w:hideMark/>
          </w:tcPr>
          <w:p w14:paraId="71F4B44D" w14:textId="77777777" w:rsidR="00FE461F" w:rsidRPr="005E4BEA" w:rsidRDefault="00FE461F" w:rsidP="00FE461F">
            <w:pPr>
              <w:spacing w:line="240" w:lineRule="auto"/>
              <w:jc w:val="right"/>
              <w:rPr>
                <w:rFonts w:cs="Arial"/>
                <w:szCs w:val="20"/>
              </w:rPr>
            </w:pPr>
            <w:r w:rsidRPr="005E4BEA">
              <w:rPr>
                <w:rFonts w:cs="Arial"/>
                <w:szCs w:val="20"/>
              </w:rPr>
              <w:t>19,6</w:t>
            </w:r>
          </w:p>
        </w:tc>
      </w:tr>
      <w:tr w:rsidR="00FE461F" w:rsidRPr="005E4BEA" w14:paraId="7A55EC42"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022C2C61" w14:textId="77777777" w:rsidR="00FE461F" w:rsidRPr="005E4BEA" w:rsidRDefault="00FE461F" w:rsidP="00FE461F">
            <w:pPr>
              <w:spacing w:line="240" w:lineRule="auto"/>
              <w:rPr>
                <w:rFonts w:cs="Arial"/>
                <w:szCs w:val="20"/>
              </w:rPr>
            </w:pPr>
            <w:r w:rsidRPr="005E4BEA">
              <w:rPr>
                <w:rFonts w:cs="Arial"/>
                <w:szCs w:val="20"/>
              </w:rPr>
              <w:t>Psihiatrična bolnišnica Idrija</w:t>
            </w:r>
          </w:p>
        </w:tc>
        <w:tc>
          <w:tcPr>
            <w:tcW w:w="1022" w:type="dxa"/>
            <w:tcBorders>
              <w:top w:val="nil"/>
              <w:left w:val="nil"/>
              <w:bottom w:val="single" w:sz="4" w:space="0" w:color="auto"/>
              <w:right w:val="single" w:sz="4" w:space="0" w:color="auto"/>
            </w:tcBorders>
            <w:noWrap/>
            <w:vAlign w:val="bottom"/>
            <w:hideMark/>
          </w:tcPr>
          <w:p w14:paraId="73AF3770"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23EEB85B" w14:textId="77777777" w:rsidR="00FE461F" w:rsidRPr="005E4BEA" w:rsidRDefault="00FE461F" w:rsidP="00FE461F">
            <w:pPr>
              <w:spacing w:line="240" w:lineRule="auto"/>
              <w:jc w:val="right"/>
              <w:rPr>
                <w:rFonts w:cs="Arial"/>
                <w:szCs w:val="20"/>
              </w:rPr>
            </w:pPr>
            <w:r w:rsidRPr="005E4BEA">
              <w:rPr>
                <w:rFonts w:cs="Arial"/>
                <w:szCs w:val="20"/>
              </w:rPr>
              <w:t>40</w:t>
            </w:r>
          </w:p>
        </w:tc>
        <w:tc>
          <w:tcPr>
            <w:tcW w:w="2011" w:type="dxa"/>
            <w:tcBorders>
              <w:top w:val="nil"/>
              <w:left w:val="nil"/>
              <w:bottom w:val="single" w:sz="4" w:space="0" w:color="auto"/>
              <w:right w:val="single" w:sz="4" w:space="0" w:color="auto"/>
            </w:tcBorders>
            <w:noWrap/>
            <w:vAlign w:val="bottom"/>
            <w:hideMark/>
          </w:tcPr>
          <w:p w14:paraId="18233E6C" w14:textId="77777777" w:rsidR="00FE461F" w:rsidRPr="005E4BEA" w:rsidRDefault="00FE461F" w:rsidP="00FE461F">
            <w:pPr>
              <w:spacing w:line="240" w:lineRule="auto"/>
              <w:jc w:val="right"/>
              <w:rPr>
                <w:rFonts w:cs="Arial"/>
                <w:szCs w:val="20"/>
              </w:rPr>
            </w:pPr>
            <w:r w:rsidRPr="005E4BEA">
              <w:rPr>
                <w:rFonts w:cs="Arial"/>
                <w:szCs w:val="20"/>
              </w:rPr>
              <w:t>199</w:t>
            </w:r>
          </w:p>
        </w:tc>
        <w:tc>
          <w:tcPr>
            <w:tcW w:w="1584" w:type="dxa"/>
            <w:tcBorders>
              <w:top w:val="nil"/>
              <w:left w:val="nil"/>
              <w:bottom w:val="single" w:sz="4" w:space="0" w:color="auto"/>
              <w:right w:val="single" w:sz="4" w:space="0" w:color="auto"/>
            </w:tcBorders>
            <w:noWrap/>
            <w:vAlign w:val="bottom"/>
            <w:hideMark/>
          </w:tcPr>
          <w:p w14:paraId="1B1E7407" w14:textId="77777777" w:rsidR="00FE461F" w:rsidRPr="005E4BEA" w:rsidRDefault="00FE461F" w:rsidP="00FE461F">
            <w:pPr>
              <w:spacing w:line="240" w:lineRule="auto"/>
              <w:jc w:val="right"/>
              <w:rPr>
                <w:rFonts w:cs="Arial"/>
                <w:szCs w:val="20"/>
              </w:rPr>
            </w:pPr>
            <w:r w:rsidRPr="005E4BEA">
              <w:rPr>
                <w:rFonts w:cs="Arial"/>
                <w:szCs w:val="20"/>
              </w:rPr>
              <w:t>20,1</w:t>
            </w:r>
          </w:p>
        </w:tc>
      </w:tr>
      <w:tr w:rsidR="00FE461F" w:rsidRPr="005E4BEA" w14:paraId="3D00CD98" w14:textId="77777777" w:rsidTr="0016774B">
        <w:trPr>
          <w:trHeight w:val="189"/>
        </w:trPr>
        <w:tc>
          <w:tcPr>
            <w:tcW w:w="3795" w:type="dxa"/>
            <w:tcBorders>
              <w:top w:val="nil"/>
              <w:left w:val="single" w:sz="4" w:space="0" w:color="auto"/>
              <w:bottom w:val="nil"/>
              <w:right w:val="single" w:sz="4" w:space="0" w:color="auto"/>
            </w:tcBorders>
            <w:hideMark/>
          </w:tcPr>
          <w:p w14:paraId="4D559743" w14:textId="77777777" w:rsidR="00FE461F" w:rsidRPr="005E4BEA" w:rsidRDefault="00FE461F" w:rsidP="00FE461F">
            <w:pPr>
              <w:spacing w:line="240" w:lineRule="auto"/>
              <w:rPr>
                <w:rFonts w:cs="Arial"/>
                <w:szCs w:val="20"/>
              </w:rPr>
            </w:pPr>
            <w:r w:rsidRPr="005E4BEA">
              <w:rPr>
                <w:rFonts w:cs="Arial"/>
                <w:szCs w:val="20"/>
              </w:rPr>
              <w:t>Psihiatrična bolnišnica Ormož</w:t>
            </w:r>
          </w:p>
        </w:tc>
        <w:tc>
          <w:tcPr>
            <w:tcW w:w="1022" w:type="dxa"/>
            <w:tcBorders>
              <w:top w:val="nil"/>
              <w:left w:val="nil"/>
              <w:bottom w:val="nil"/>
              <w:right w:val="single" w:sz="4" w:space="0" w:color="auto"/>
            </w:tcBorders>
            <w:noWrap/>
            <w:vAlign w:val="bottom"/>
            <w:hideMark/>
          </w:tcPr>
          <w:p w14:paraId="6798C5C5"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6AE80E00" w14:textId="77777777" w:rsidR="00FE461F" w:rsidRPr="005E4BEA" w:rsidRDefault="00FE461F" w:rsidP="00FE461F">
            <w:pPr>
              <w:spacing w:line="240" w:lineRule="auto"/>
              <w:jc w:val="right"/>
              <w:rPr>
                <w:rFonts w:cs="Arial"/>
                <w:szCs w:val="20"/>
              </w:rPr>
            </w:pPr>
            <w:r w:rsidRPr="005E4BEA">
              <w:rPr>
                <w:rFonts w:cs="Arial"/>
                <w:szCs w:val="20"/>
              </w:rPr>
              <w:t>43</w:t>
            </w:r>
          </w:p>
        </w:tc>
        <w:tc>
          <w:tcPr>
            <w:tcW w:w="2011" w:type="dxa"/>
            <w:tcBorders>
              <w:top w:val="nil"/>
              <w:left w:val="nil"/>
              <w:bottom w:val="nil"/>
              <w:right w:val="single" w:sz="4" w:space="0" w:color="auto"/>
            </w:tcBorders>
            <w:noWrap/>
            <w:vAlign w:val="bottom"/>
            <w:hideMark/>
          </w:tcPr>
          <w:p w14:paraId="636E045E" w14:textId="77777777" w:rsidR="00FE461F" w:rsidRPr="005E4BEA" w:rsidRDefault="00FE461F" w:rsidP="00FE461F">
            <w:pPr>
              <w:spacing w:line="240" w:lineRule="auto"/>
              <w:jc w:val="right"/>
              <w:rPr>
                <w:rFonts w:cs="Arial"/>
                <w:szCs w:val="20"/>
              </w:rPr>
            </w:pPr>
            <w:r w:rsidRPr="005E4BEA">
              <w:rPr>
                <w:rFonts w:cs="Arial"/>
                <w:szCs w:val="20"/>
              </w:rPr>
              <w:t>143</w:t>
            </w:r>
          </w:p>
        </w:tc>
        <w:tc>
          <w:tcPr>
            <w:tcW w:w="1584" w:type="dxa"/>
            <w:tcBorders>
              <w:top w:val="nil"/>
              <w:left w:val="nil"/>
              <w:bottom w:val="nil"/>
              <w:right w:val="single" w:sz="4" w:space="0" w:color="auto"/>
            </w:tcBorders>
            <w:noWrap/>
            <w:vAlign w:val="bottom"/>
            <w:hideMark/>
          </w:tcPr>
          <w:p w14:paraId="0EAA796C" w14:textId="77777777" w:rsidR="00FE461F" w:rsidRPr="005E4BEA" w:rsidRDefault="00FE461F" w:rsidP="00FE461F">
            <w:pPr>
              <w:spacing w:line="240" w:lineRule="auto"/>
              <w:jc w:val="right"/>
              <w:rPr>
                <w:rFonts w:cs="Arial"/>
                <w:szCs w:val="20"/>
              </w:rPr>
            </w:pPr>
            <w:r w:rsidRPr="005E4BEA">
              <w:rPr>
                <w:rFonts w:cs="Arial"/>
                <w:szCs w:val="20"/>
              </w:rPr>
              <w:t>30,1</w:t>
            </w:r>
          </w:p>
        </w:tc>
      </w:tr>
      <w:tr w:rsidR="00FE461F" w:rsidRPr="005E4BEA" w14:paraId="01C8A42C" w14:textId="77777777" w:rsidTr="0016774B">
        <w:trPr>
          <w:trHeight w:val="189"/>
        </w:trPr>
        <w:tc>
          <w:tcPr>
            <w:tcW w:w="3795" w:type="dxa"/>
            <w:tcBorders>
              <w:top w:val="nil"/>
              <w:left w:val="single" w:sz="4" w:space="0" w:color="auto"/>
              <w:bottom w:val="nil"/>
              <w:right w:val="single" w:sz="4" w:space="0" w:color="auto"/>
            </w:tcBorders>
            <w:hideMark/>
          </w:tcPr>
          <w:p w14:paraId="62DC243F" w14:textId="77777777" w:rsidR="00FE461F" w:rsidRPr="005E4BEA" w:rsidRDefault="00FE461F" w:rsidP="00FE461F">
            <w:pPr>
              <w:spacing w:line="240" w:lineRule="auto"/>
              <w:rPr>
                <w:rFonts w:cs="Arial"/>
                <w:szCs w:val="20"/>
              </w:rPr>
            </w:pPr>
            <w:r w:rsidRPr="005E4BEA">
              <w:rPr>
                <w:rFonts w:cs="Arial"/>
                <w:szCs w:val="20"/>
              </w:rPr>
              <w:t>Psihiatrična bolnišnica Ormož</w:t>
            </w:r>
          </w:p>
        </w:tc>
        <w:tc>
          <w:tcPr>
            <w:tcW w:w="1022" w:type="dxa"/>
            <w:tcBorders>
              <w:top w:val="nil"/>
              <w:left w:val="nil"/>
              <w:bottom w:val="nil"/>
              <w:right w:val="single" w:sz="4" w:space="0" w:color="auto"/>
            </w:tcBorders>
            <w:noWrap/>
            <w:vAlign w:val="bottom"/>
            <w:hideMark/>
          </w:tcPr>
          <w:p w14:paraId="32677189"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457B56C8" w14:textId="77777777" w:rsidR="00FE461F" w:rsidRPr="005E4BEA" w:rsidRDefault="00FE461F" w:rsidP="00FE461F">
            <w:pPr>
              <w:spacing w:line="240" w:lineRule="auto"/>
              <w:jc w:val="right"/>
              <w:rPr>
                <w:rFonts w:cs="Arial"/>
                <w:szCs w:val="20"/>
              </w:rPr>
            </w:pPr>
            <w:r w:rsidRPr="005E4BEA">
              <w:rPr>
                <w:rFonts w:cs="Arial"/>
                <w:szCs w:val="20"/>
              </w:rPr>
              <w:t>42</w:t>
            </w:r>
          </w:p>
        </w:tc>
        <w:tc>
          <w:tcPr>
            <w:tcW w:w="2011" w:type="dxa"/>
            <w:tcBorders>
              <w:top w:val="nil"/>
              <w:left w:val="nil"/>
              <w:bottom w:val="nil"/>
              <w:right w:val="single" w:sz="4" w:space="0" w:color="auto"/>
            </w:tcBorders>
            <w:noWrap/>
            <w:vAlign w:val="bottom"/>
            <w:hideMark/>
          </w:tcPr>
          <w:p w14:paraId="27BD1179" w14:textId="77777777" w:rsidR="00FE461F" w:rsidRPr="005E4BEA" w:rsidRDefault="00FE461F" w:rsidP="00FE461F">
            <w:pPr>
              <w:spacing w:line="240" w:lineRule="auto"/>
              <w:jc w:val="right"/>
              <w:rPr>
                <w:rFonts w:cs="Arial"/>
                <w:szCs w:val="20"/>
              </w:rPr>
            </w:pPr>
            <w:r w:rsidRPr="005E4BEA">
              <w:rPr>
                <w:rFonts w:cs="Arial"/>
                <w:szCs w:val="20"/>
              </w:rPr>
              <w:t>146</w:t>
            </w:r>
          </w:p>
        </w:tc>
        <w:tc>
          <w:tcPr>
            <w:tcW w:w="1584" w:type="dxa"/>
            <w:tcBorders>
              <w:top w:val="nil"/>
              <w:left w:val="nil"/>
              <w:bottom w:val="nil"/>
              <w:right w:val="single" w:sz="4" w:space="0" w:color="auto"/>
            </w:tcBorders>
            <w:noWrap/>
            <w:vAlign w:val="bottom"/>
            <w:hideMark/>
          </w:tcPr>
          <w:p w14:paraId="1B540821" w14:textId="77777777" w:rsidR="00FE461F" w:rsidRPr="005E4BEA" w:rsidRDefault="00FE461F" w:rsidP="00FE461F">
            <w:pPr>
              <w:spacing w:line="240" w:lineRule="auto"/>
              <w:jc w:val="right"/>
              <w:rPr>
                <w:rFonts w:cs="Arial"/>
                <w:szCs w:val="20"/>
              </w:rPr>
            </w:pPr>
            <w:r w:rsidRPr="005E4BEA">
              <w:rPr>
                <w:rFonts w:cs="Arial"/>
                <w:szCs w:val="20"/>
              </w:rPr>
              <w:t>28,8</w:t>
            </w:r>
          </w:p>
        </w:tc>
      </w:tr>
      <w:tr w:rsidR="00FE461F" w:rsidRPr="005E4BEA" w14:paraId="7D9F6920" w14:textId="77777777" w:rsidTr="0016774B">
        <w:trPr>
          <w:trHeight w:val="189"/>
        </w:trPr>
        <w:tc>
          <w:tcPr>
            <w:tcW w:w="3795" w:type="dxa"/>
            <w:tcBorders>
              <w:top w:val="nil"/>
              <w:left w:val="single" w:sz="4" w:space="0" w:color="auto"/>
              <w:bottom w:val="nil"/>
              <w:right w:val="single" w:sz="4" w:space="0" w:color="auto"/>
            </w:tcBorders>
            <w:hideMark/>
          </w:tcPr>
          <w:p w14:paraId="094ED8B8" w14:textId="77777777" w:rsidR="00FE461F" w:rsidRPr="005E4BEA" w:rsidRDefault="00FE461F" w:rsidP="00FE461F">
            <w:pPr>
              <w:spacing w:line="240" w:lineRule="auto"/>
              <w:rPr>
                <w:rFonts w:cs="Arial"/>
                <w:szCs w:val="20"/>
              </w:rPr>
            </w:pPr>
            <w:r w:rsidRPr="005E4BEA">
              <w:rPr>
                <w:rFonts w:cs="Arial"/>
                <w:szCs w:val="20"/>
              </w:rPr>
              <w:t>Psihiatrična bolnišnica Ormož</w:t>
            </w:r>
          </w:p>
        </w:tc>
        <w:tc>
          <w:tcPr>
            <w:tcW w:w="1022" w:type="dxa"/>
            <w:tcBorders>
              <w:top w:val="nil"/>
              <w:left w:val="nil"/>
              <w:bottom w:val="nil"/>
              <w:right w:val="single" w:sz="4" w:space="0" w:color="auto"/>
            </w:tcBorders>
            <w:noWrap/>
            <w:vAlign w:val="bottom"/>
            <w:hideMark/>
          </w:tcPr>
          <w:p w14:paraId="30DCCF2F"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204FB5C" w14:textId="77777777" w:rsidR="00FE461F" w:rsidRPr="005E4BEA" w:rsidRDefault="00FE461F" w:rsidP="00FE461F">
            <w:pPr>
              <w:spacing w:line="240" w:lineRule="auto"/>
              <w:jc w:val="right"/>
              <w:rPr>
                <w:rFonts w:cs="Arial"/>
                <w:szCs w:val="20"/>
              </w:rPr>
            </w:pPr>
            <w:r w:rsidRPr="005E4BEA">
              <w:rPr>
                <w:rFonts w:cs="Arial"/>
                <w:szCs w:val="20"/>
              </w:rPr>
              <w:t>42</w:t>
            </w:r>
          </w:p>
        </w:tc>
        <w:tc>
          <w:tcPr>
            <w:tcW w:w="2011" w:type="dxa"/>
            <w:tcBorders>
              <w:top w:val="nil"/>
              <w:left w:val="nil"/>
              <w:bottom w:val="nil"/>
              <w:right w:val="single" w:sz="4" w:space="0" w:color="auto"/>
            </w:tcBorders>
            <w:noWrap/>
            <w:vAlign w:val="bottom"/>
            <w:hideMark/>
          </w:tcPr>
          <w:p w14:paraId="342BB2FB" w14:textId="77777777" w:rsidR="00FE461F" w:rsidRPr="005E4BEA" w:rsidRDefault="00FE461F" w:rsidP="00FE461F">
            <w:pPr>
              <w:spacing w:line="240" w:lineRule="auto"/>
              <w:jc w:val="right"/>
              <w:rPr>
                <w:rFonts w:cs="Arial"/>
                <w:szCs w:val="20"/>
              </w:rPr>
            </w:pPr>
            <w:r w:rsidRPr="005E4BEA">
              <w:rPr>
                <w:rFonts w:cs="Arial"/>
                <w:szCs w:val="20"/>
              </w:rPr>
              <w:t>145</w:t>
            </w:r>
          </w:p>
        </w:tc>
        <w:tc>
          <w:tcPr>
            <w:tcW w:w="1584" w:type="dxa"/>
            <w:tcBorders>
              <w:top w:val="nil"/>
              <w:left w:val="nil"/>
              <w:bottom w:val="nil"/>
              <w:right w:val="single" w:sz="4" w:space="0" w:color="auto"/>
            </w:tcBorders>
            <w:noWrap/>
            <w:vAlign w:val="bottom"/>
            <w:hideMark/>
          </w:tcPr>
          <w:p w14:paraId="0B7E0C02" w14:textId="77777777" w:rsidR="00FE461F" w:rsidRPr="005E4BEA" w:rsidRDefault="00FE461F" w:rsidP="00FE461F">
            <w:pPr>
              <w:spacing w:line="240" w:lineRule="auto"/>
              <w:jc w:val="right"/>
              <w:rPr>
                <w:rFonts w:cs="Arial"/>
                <w:szCs w:val="20"/>
              </w:rPr>
            </w:pPr>
            <w:r w:rsidRPr="005E4BEA">
              <w:rPr>
                <w:rFonts w:cs="Arial"/>
                <w:szCs w:val="20"/>
              </w:rPr>
              <w:t>29,0</w:t>
            </w:r>
          </w:p>
        </w:tc>
      </w:tr>
      <w:tr w:rsidR="00FE461F" w:rsidRPr="005E4BEA" w14:paraId="3BBE0706" w14:textId="77777777" w:rsidTr="0016774B">
        <w:trPr>
          <w:trHeight w:val="189"/>
        </w:trPr>
        <w:tc>
          <w:tcPr>
            <w:tcW w:w="3795" w:type="dxa"/>
            <w:tcBorders>
              <w:top w:val="nil"/>
              <w:left w:val="single" w:sz="4" w:space="0" w:color="auto"/>
              <w:bottom w:val="nil"/>
              <w:right w:val="single" w:sz="4" w:space="0" w:color="auto"/>
            </w:tcBorders>
            <w:hideMark/>
          </w:tcPr>
          <w:p w14:paraId="6790E240" w14:textId="77777777" w:rsidR="00FE461F" w:rsidRPr="005E4BEA" w:rsidRDefault="00FE461F" w:rsidP="00FE461F">
            <w:pPr>
              <w:spacing w:line="240" w:lineRule="auto"/>
              <w:rPr>
                <w:rFonts w:cs="Arial"/>
                <w:szCs w:val="20"/>
              </w:rPr>
            </w:pPr>
            <w:r w:rsidRPr="005E4BEA">
              <w:rPr>
                <w:rFonts w:cs="Arial"/>
                <w:szCs w:val="20"/>
              </w:rPr>
              <w:t>Psihiatrična bolnišnica Ormož</w:t>
            </w:r>
          </w:p>
        </w:tc>
        <w:tc>
          <w:tcPr>
            <w:tcW w:w="1022" w:type="dxa"/>
            <w:tcBorders>
              <w:top w:val="nil"/>
              <w:left w:val="nil"/>
              <w:bottom w:val="nil"/>
              <w:right w:val="single" w:sz="4" w:space="0" w:color="auto"/>
            </w:tcBorders>
            <w:noWrap/>
            <w:vAlign w:val="bottom"/>
            <w:hideMark/>
          </w:tcPr>
          <w:p w14:paraId="3C44AFF4"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21F0366" w14:textId="77777777" w:rsidR="00FE461F" w:rsidRPr="005E4BEA" w:rsidRDefault="00FE461F" w:rsidP="00FE461F">
            <w:pPr>
              <w:spacing w:line="240" w:lineRule="auto"/>
              <w:jc w:val="right"/>
              <w:rPr>
                <w:rFonts w:cs="Arial"/>
                <w:szCs w:val="20"/>
              </w:rPr>
            </w:pPr>
            <w:r w:rsidRPr="005E4BEA">
              <w:rPr>
                <w:rFonts w:cs="Arial"/>
                <w:szCs w:val="20"/>
              </w:rPr>
              <w:t>44</w:t>
            </w:r>
          </w:p>
        </w:tc>
        <w:tc>
          <w:tcPr>
            <w:tcW w:w="2011" w:type="dxa"/>
            <w:tcBorders>
              <w:top w:val="nil"/>
              <w:left w:val="nil"/>
              <w:bottom w:val="nil"/>
              <w:right w:val="single" w:sz="4" w:space="0" w:color="auto"/>
            </w:tcBorders>
            <w:noWrap/>
            <w:vAlign w:val="bottom"/>
            <w:hideMark/>
          </w:tcPr>
          <w:p w14:paraId="6AD23F23" w14:textId="77777777" w:rsidR="00FE461F" w:rsidRPr="005E4BEA" w:rsidRDefault="00FE461F" w:rsidP="00FE461F">
            <w:pPr>
              <w:spacing w:line="240" w:lineRule="auto"/>
              <w:jc w:val="right"/>
              <w:rPr>
                <w:rFonts w:cs="Arial"/>
                <w:szCs w:val="20"/>
              </w:rPr>
            </w:pPr>
            <w:r w:rsidRPr="005E4BEA">
              <w:rPr>
                <w:rFonts w:cs="Arial"/>
                <w:szCs w:val="20"/>
              </w:rPr>
              <w:t>142</w:t>
            </w:r>
          </w:p>
        </w:tc>
        <w:tc>
          <w:tcPr>
            <w:tcW w:w="1584" w:type="dxa"/>
            <w:tcBorders>
              <w:top w:val="nil"/>
              <w:left w:val="nil"/>
              <w:bottom w:val="nil"/>
              <w:right w:val="single" w:sz="4" w:space="0" w:color="auto"/>
            </w:tcBorders>
            <w:noWrap/>
            <w:vAlign w:val="bottom"/>
            <w:hideMark/>
          </w:tcPr>
          <w:p w14:paraId="1ECD0ED0" w14:textId="77777777" w:rsidR="00FE461F" w:rsidRPr="005E4BEA" w:rsidRDefault="00FE461F" w:rsidP="00FE461F">
            <w:pPr>
              <w:spacing w:line="240" w:lineRule="auto"/>
              <w:jc w:val="right"/>
              <w:rPr>
                <w:rFonts w:cs="Arial"/>
                <w:szCs w:val="20"/>
              </w:rPr>
            </w:pPr>
            <w:r w:rsidRPr="005E4BEA">
              <w:rPr>
                <w:rFonts w:cs="Arial"/>
                <w:szCs w:val="20"/>
              </w:rPr>
              <w:t>31,0</w:t>
            </w:r>
          </w:p>
        </w:tc>
      </w:tr>
      <w:tr w:rsidR="00FE461F" w:rsidRPr="005E4BEA" w14:paraId="02211B2B" w14:textId="77777777" w:rsidTr="0016774B">
        <w:trPr>
          <w:trHeight w:val="189"/>
        </w:trPr>
        <w:tc>
          <w:tcPr>
            <w:tcW w:w="3795" w:type="dxa"/>
            <w:tcBorders>
              <w:top w:val="nil"/>
              <w:left w:val="single" w:sz="4" w:space="0" w:color="auto"/>
              <w:bottom w:val="nil"/>
              <w:right w:val="single" w:sz="4" w:space="0" w:color="auto"/>
            </w:tcBorders>
            <w:hideMark/>
          </w:tcPr>
          <w:p w14:paraId="04203345" w14:textId="77777777" w:rsidR="00FE461F" w:rsidRPr="005E4BEA" w:rsidRDefault="00FE461F" w:rsidP="00FE461F">
            <w:pPr>
              <w:spacing w:line="240" w:lineRule="auto"/>
              <w:rPr>
                <w:rFonts w:cs="Arial"/>
                <w:szCs w:val="20"/>
              </w:rPr>
            </w:pPr>
            <w:r w:rsidRPr="005E4BEA">
              <w:rPr>
                <w:rFonts w:cs="Arial"/>
                <w:szCs w:val="20"/>
              </w:rPr>
              <w:t>Psihiatrična bolnišnica Ormož</w:t>
            </w:r>
          </w:p>
        </w:tc>
        <w:tc>
          <w:tcPr>
            <w:tcW w:w="1022" w:type="dxa"/>
            <w:tcBorders>
              <w:top w:val="nil"/>
              <w:left w:val="nil"/>
              <w:bottom w:val="nil"/>
              <w:right w:val="single" w:sz="4" w:space="0" w:color="auto"/>
            </w:tcBorders>
            <w:noWrap/>
            <w:vAlign w:val="bottom"/>
            <w:hideMark/>
          </w:tcPr>
          <w:p w14:paraId="625B997C"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6F1C0575" w14:textId="77777777" w:rsidR="00FE461F" w:rsidRPr="005E4BEA" w:rsidRDefault="00FE461F" w:rsidP="00FE461F">
            <w:pPr>
              <w:spacing w:line="240" w:lineRule="auto"/>
              <w:jc w:val="right"/>
              <w:rPr>
                <w:rFonts w:cs="Arial"/>
                <w:szCs w:val="20"/>
              </w:rPr>
            </w:pPr>
            <w:r w:rsidRPr="005E4BEA">
              <w:rPr>
                <w:rFonts w:cs="Arial"/>
                <w:szCs w:val="20"/>
              </w:rPr>
              <w:t>43</w:t>
            </w:r>
          </w:p>
        </w:tc>
        <w:tc>
          <w:tcPr>
            <w:tcW w:w="2011" w:type="dxa"/>
            <w:tcBorders>
              <w:top w:val="nil"/>
              <w:left w:val="nil"/>
              <w:bottom w:val="nil"/>
              <w:right w:val="single" w:sz="4" w:space="0" w:color="auto"/>
            </w:tcBorders>
            <w:noWrap/>
            <w:vAlign w:val="bottom"/>
            <w:hideMark/>
          </w:tcPr>
          <w:p w14:paraId="210A4A6C" w14:textId="77777777" w:rsidR="00FE461F" w:rsidRPr="005E4BEA" w:rsidRDefault="00FE461F" w:rsidP="00FE461F">
            <w:pPr>
              <w:spacing w:line="240" w:lineRule="auto"/>
              <w:jc w:val="right"/>
              <w:rPr>
                <w:rFonts w:cs="Arial"/>
                <w:szCs w:val="20"/>
              </w:rPr>
            </w:pPr>
            <w:r w:rsidRPr="005E4BEA">
              <w:rPr>
                <w:rFonts w:cs="Arial"/>
                <w:szCs w:val="20"/>
              </w:rPr>
              <w:t>145</w:t>
            </w:r>
          </w:p>
        </w:tc>
        <w:tc>
          <w:tcPr>
            <w:tcW w:w="1584" w:type="dxa"/>
            <w:tcBorders>
              <w:top w:val="nil"/>
              <w:left w:val="nil"/>
              <w:bottom w:val="nil"/>
              <w:right w:val="single" w:sz="4" w:space="0" w:color="auto"/>
            </w:tcBorders>
            <w:noWrap/>
            <w:vAlign w:val="bottom"/>
            <w:hideMark/>
          </w:tcPr>
          <w:p w14:paraId="22D5E0E3" w14:textId="77777777" w:rsidR="00FE461F" w:rsidRPr="005E4BEA" w:rsidRDefault="00FE461F" w:rsidP="00FE461F">
            <w:pPr>
              <w:spacing w:line="240" w:lineRule="auto"/>
              <w:jc w:val="right"/>
              <w:rPr>
                <w:rFonts w:cs="Arial"/>
                <w:szCs w:val="20"/>
              </w:rPr>
            </w:pPr>
            <w:r w:rsidRPr="005E4BEA">
              <w:rPr>
                <w:rFonts w:cs="Arial"/>
                <w:szCs w:val="20"/>
              </w:rPr>
              <w:t>29,7</w:t>
            </w:r>
          </w:p>
        </w:tc>
      </w:tr>
      <w:tr w:rsidR="00FE461F" w:rsidRPr="005E4BEA" w14:paraId="61B7A3AC"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4B1BE4A9" w14:textId="77777777" w:rsidR="00FE461F" w:rsidRPr="005E4BEA" w:rsidRDefault="00FE461F" w:rsidP="00FE461F">
            <w:pPr>
              <w:spacing w:line="240" w:lineRule="auto"/>
              <w:rPr>
                <w:rFonts w:cs="Arial"/>
                <w:szCs w:val="20"/>
              </w:rPr>
            </w:pPr>
            <w:r w:rsidRPr="005E4BEA">
              <w:rPr>
                <w:rFonts w:cs="Arial"/>
                <w:szCs w:val="20"/>
              </w:rPr>
              <w:t>Psihiatrična bolnišnica Ormož</w:t>
            </w:r>
          </w:p>
        </w:tc>
        <w:tc>
          <w:tcPr>
            <w:tcW w:w="1022" w:type="dxa"/>
            <w:tcBorders>
              <w:top w:val="nil"/>
              <w:left w:val="nil"/>
              <w:bottom w:val="single" w:sz="4" w:space="0" w:color="auto"/>
              <w:right w:val="single" w:sz="4" w:space="0" w:color="auto"/>
            </w:tcBorders>
            <w:noWrap/>
            <w:vAlign w:val="bottom"/>
            <w:hideMark/>
          </w:tcPr>
          <w:p w14:paraId="08200F67"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50FB8B07" w14:textId="77777777" w:rsidR="00FE461F" w:rsidRPr="005E4BEA" w:rsidRDefault="00FE461F" w:rsidP="00FE461F">
            <w:pPr>
              <w:spacing w:line="240" w:lineRule="auto"/>
              <w:jc w:val="right"/>
              <w:rPr>
                <w:rFonts w:cs="Arial"/>
                <w:szCs w:val="20"/>
              </w:rPr>
            </w:pPr>
            <w:r w:rsidRPr="005E4BEA">
              <w:rPr>
                <w:rFonts w:cs="Arial"/>
                <w:szCs w:val="20"/>
              </w:rPr>
              <w:t>44</w:t>
            </w:r>
          </w:p>
        </w:tc>
        <w:tc>
          <w:tcPr>
            <w:tcW w:w="2011" w:type="dxa"/>
            <w:tcBorders>
              <w:top w:val="nil"/>
              <w:left w:val="nil"/>
              <w:bottom w:val="single" w:sz="4" w:space="0" w:color="auto"/>
              <w:right w:val="single" w:sz="4" w:space="0" w:color="auto"/>
            </w:tcBorders>
            <w:noWrap/>
            <w:vAlign w:val="bottom"/>
            <w:hideMark/>
          </w:tcPr>
          <w:p w14:paraId="5D11769D" w14:textId="77777777" w:rsidR="00FE461F" w:rsidRPr="005E4BEA" w:rsidRDefault="00FE461F" w:rsidP="00FE461F">
            <w:pPr>
              <w:spacing w:line="240" w:lineRule="auto"/>
              <w:jc w:val="right"/>
              <w:rPr>
                <w:rFonts w:cs="Arial"/>
                <w:szCs w:val="20"/>
              </w:rPr>
            </w:pPr>
            <w:r w:rsidRPr="005E4BEA">
              <w:rPr>
                <w:rFonts w:cs="Arial"/>
                <w:szCs w:val="20"/>
              </w:rPr>
              <w:t>145</w:t>
            </w:r>
          </w:p>
        </w:tc>
        <w:tc>
          <w:tcPr>
            <w:tcW w:w="1584" w:type="dxa"/>
            <w:tcBorders>
              <w:top w:val="nil"/>
              <w:left w:val="nil"/>
              <w:bottom w:val="single" w:sz="4" w:space="0" w:color="auto"/>
              <w:right w:val="single" w:sz="4" w:space="0" w:color="auto"/>
            </w:tcBorders>
            <w:noWrap/>
            <w:vAlign w:val="bottom"/>
            <w:hideMark/>
          </w:tcPr>
          <w:p w14:paraId="02005488" w14:textId="77777777" w:rsidR="00FE461F" w:rsidRPr="005E4BEA" w:rsidRDefault="00FE461F" w:rsidP="00FE461F">
            <w:pPr>
              <w:spacing w:line="240" w:lineRule="auto"/>
              <w:jc w:val="right"/>
              <w:rPr>
                <w:rFonts w:cs="Arial"/>
                <w:szCs w:val="20"/>
              </w:rPr>
            </w:pPr>
            <w:r w:rsidRPr="005E4BEA">
              <w:rPr>
                <w:rFonts w:cs="Arial"/>
                <w:szCs w:val="20"/>
              </w:rPr>
              <w:t>30,3</w:t>
            </w:r>
          </w:p>
        </w:tc>
      </w:tr>
      <w:tr w:rsidR="00FE461F" w:rsidRPr="005E4BEA" w14:paraId="16F0F2EB" w14:textId="77777777" w:rsidTr="0016774B">
        <w:trPr>
          <w:trHeight w:val="189"/>
        </w:trPr>
        <w:tc>
          <w:tcPr>
            <w:tcW w:w="3795" w:type="dxa"/>
            <w:tcBorders>
              <w:top w:val="nil"/>
              <w:left w:val="single" w:sz="4" w:space="0" w:color="auto"/>
              <w:bottom w:val="nil"/>
              <w:right w:val="single" w:sz="4" w:space="0" w:color="auto"/>
            </w:tcBorders>
            <w:hideMark/>
          </w:tcPr>
          <w:p w14:paraId="5D0ED527" w14:textId="77777777" w:rsidR="00FE461F" w:rsidRPr="005E4BEA" w:rsidRDefault="00FE461F" w:rsidP="00FE461F">
            <w:pPr>
              <w:spacing w:line="240" w:lineRule="auto"/>
              <w:rPr>
                <w:rFonts w:cs="Arial"/>
                <w:szCs w:val="20"/>
              </w:rPr>
            </w:pPr>
            <w:r w:rsidRPr="005E4BEA">
              <w:rPr>
                <w:rFonts w:cs="Arial"/>
                <w:szCs w:val="20"/>
              </w:rPr>
              <w:t>Psihiatrična bolnišnica Vojnik</w:t>
            </w:r>
          </w:p>
        </w:tc>
        <w:tc>
          <w:tcPr>
            <w:tcW w:w="1022" w:type="dxa"/>
            <w:tcBorders>
              <w:top w:val="nil"/>
              <w:left w:val="nil"/>
              <w:bottom w:val="nil"/>
              <w:right w:val="single" w:sz="4" w:space="0" w:color="auto"/>
            </w:tcBorders>
            <w:noWrap/>
            <w:vAlign w:val="bottom"/>
            <w:hideMark/>
          </w:tcPr>
          <w:p w14:paraId="1D141794"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26D95D83" w14:textId="77777777" w:rsidR="00FE461F" w:rsidRPr="005E4BEA" w:rsidRDefault="00FE461F" w:rsidP="00FE461F">
            <w:pPr>
              <w:spacing w:line="240" w:lineRule="auto"/>
              <w:jc w:val="right"/>
              <w:rPr>
                <w:rFonts w:cs="Arial"/>
                <w:szCs w:val="20"/>
              </w:rPr>
            </w:pPr>
            <w:r w:rsidRPr="005E4BEA">
              <w:rPr>
                <w:rFonts w:cs="Arial"/>
                <w:szCs w:val="20"/>
              </w:rPr>
              <w:t>48</w:t>
            </w:r>
          </w:p>
        </w:tc>
        <w:tc>
          <w:tcPr>
            <w:tcW w:w="2011" w:type="dxa"/>
            <w:tcBorders>
              <w:top w:val="nil"/>
              <w:left w:val="nil"/>
              <w:bottom w:val="nil"/>
              <w:right w:val="single" w:sz="4" w:space="0" w:color="auto"/>
            </w:tcBorders>
            <w:noWrap/>
            <w:vAlign w:val="bottom"/>
            <w:hideMark/>
          </w:tcPr>
          <w:p w14:paraId="7BE52EC5" w14:textId="77777777" w:rsidR="00FE461F" w:rsidRPr="005E4BEA" w:rsidRDefault="00FE461F" w:rsidP="00FE461F">
            <w:pPr>
              <w:spacing w:line="240" w:lineRule="auto"/>
              <w:jc w:val="right"/>
              <w:rPr>
                <w:rFonts w:cs="Arial"/>
                <w:szCs w:val="20"/>
              </w:rPr>
            </w:pPr>
            <w:r w:rsidRPr="005E4BEA">
              <w:rPr>
                <w:rFonts w:cs="Arial"/>
                <w:szCs w:val="20"/>
              </w:rPr>
              <w:t>148</w:t>
            </w:r>
          </w:p>
        </w:tc>
        <w:tc>
          <w:tcPr>
            <w:tcW w:w="1584" w:type="dxa"/>
            <w:tcBorders>
              <w:top w:val="nil"/>
              <w:left w:val="nil"/>
              <w:bottom w:val="nil"/>
              <w:right w:val="single" w:sz="4" w:space="0" w:color="auto"/>
            </w:tcBorders>
            <w:noWrap/>
            <w:vAlign w:val="bottom"/>
            <w:hideMark/>
          </w:tcPr>
          <w:p w14:paraId="22404703" w14:textId="77777777" w:rsidR="00FE461F" w:rsidRPr="005E4BEA" w:rsidRDefault="00FE461F" w:rsidP="00FE461F">
            <w:pPr>
              <w:spacing w:line="240" w:lineRule="auto"/>
              <w:jc w:val="right"/>
              <w:rPr>
                <w:rFonts w:cs="Arial"/>
                <w:szCs w:val="20"/>
              </w:rPr>
            </w:pPr>
            <w:r w:rsidRPr="005E4BEA">
              <w:rPr>
                <w:rFonts w:cs="Arial"/>
                <w:szCs w:val="20"/>
              </w:rPr>
              <w:t>32,4</w:t>
            </w:r>
          </w:p>
        </w:tc>
      </w:tr>
      <w:tr w:rsidR="00FE461F" w:rsidRPr="005E4BEA" w14:paraId="616AF22F" w14:textId="77777777" w:rsidTr="0016774B">
        <w:trPr>
          <w:trHeight w:val="189"/>
        </w:trPr>
        <w:tc>
          <w:tcPr>
            <w:tcW w:w="3795" w:type="dxa"/>
            <w:tcBorders>
              <w:top w:val="nil"/>
              <w:left w:val="single" w:sz="4" w:space="0" w:color="auto"/>
              <w:bottom w:val="nil"/>
              <w:right w:val="single" w:sz="4" w:space="0" w:color="auto"/>
            </w:tcBorders>
            <w:hideMark/>
          </w:tcPr>
          <w:p w14:paraId="34A3D705" w14:textId="77777777" w:rsidR="00FE461F" w:rsidRPr="005E4BEA" w:rsidRDefault="00FE461F" w:rsidP="00FE461F">
            <w:pPr>
              <w:spacing w:line="240" w:lineRule="auto"/>
              <w:rPr>
                <w:rFonts w:cs="Arial"/>
                <w:szCs w:val="20"/>
              </w:rPr>
            </w:pPr>
            <w:r w:rsidRPr="005E4BEA">
              <w:rPr>
                <w:rFonts w:cs="Arial"/>
                <w:szCs w:val="20"/>
              </w:rPr>
              <w:t>Psihiatrična bolnišnica Vojnik</w:t>
            </w:r>
          </w:p>
        </w:tc>
        <w:tc>
          <w:tcPr>
            <w:tcW w:w="1022" w:type="dxa"/>
            <w:tcBorders>
              <w:top w:val="nil"/>
              <w:left w:val="nil"/>
              <w:bottom w:val="nil"/>
              <w:right w:val="single" w:sz="4" w:space="0" w:color="auto"/>
            </w:tcBorders>
            <w:noWrap/>
            <w:vAlign w:val="bottom"/>
            <w:hideMark/>
          </w:tcPr>
          <w:p w14:paraId="0C7CB6C2"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277BDF15" w14:textId="77777777" w:rsidR="00FE461F" w:rsidRPr="005E4BEA" w:rsidRDefault="00FE461F" w:rsidP="00FE461F">
            <w:pPr>
              <w:spacing w:line="240" w:lineRule="auto"/>
              <w:jc w:val="right"/>
              <w:rPr>
                <w:rFonts w:cs="Arial"/>
                <w:szCs w:val="20"/>
              </w:rPr>
            </w:pPr>
            <w:r w:rsidRPr="005E4BEA">
              <w:rPr>
                <w:rFonts w:cs="Arial"/>
                <w:szCs w:val="20"/>
              </w:rPr>
              <w:t>46</w:t>
            </w:r>
          </w:p>
        </w:tc>
        <w:tc>
          <w:tcPr>
            <w:tcW w:w="2011" w:type="dxa"/>
            <w:tcBorders>
              <w:top w:val="nil"/>
              <w:left w:val="nil"/>
              <w:bottom w:val="nil"/>
              <w:right w:val="single" w:sz="4" w:space="0" w:color="auto"/>
            </w:tcBorders>
            <w:noWrap/>
            <w:vAlign w:val="bottom"/>
            <w:hideMark/>
          </w:tcPr>
          <w:p w14:paraId="562A01B8" w14:textId="77777777" w:rsidR="00FE461F" w:rsidRPr="005E4BEA" w:rsidRDefault="00FE461F" w:rsidP="00FE461F">
            <w:pPr>
              <w:spacing w:line="240" w:lineRule="auto"/>
              <w:jc w:val="right"/>
              <w:rPr>
                <w:rFonts w:cs="Arial"/>
                <w:szCs w:val="20"/>
              </w:rPr>
            </w:pPr>
            <w:r w:rsidRPr="005E4BEA">
              <w:rPr>
                <w:rFonts w:cs="Arial"/>
                <w:szCs w:val="20"/>
              </w:rPr>
              <w:t>150</w:t>
            </w:r>
          </w:p>
        </w:tc>
        <w:tc>
          <w:tcPr>
            <w:tcW w:w="1584" w:type="dxa"/>
            <w:tcBorders>
              <w:top w:val="nil"/>
              <w:left w:val="nil"/>
              <w:bottom w:val="nil"/>
              <w:right w:val="single" w:sz="4" w:space="0" w:color="auto"/>
            </w:tcBorders>
            <w:noWrap/>
            <w:vAlign w:val="bottom"/>
            <w:hideMark/>
          </w:tcPr>
          <w:p w14:paraId="2490C890" w14:textId="77777777" w:rsidR="00FE461F" w:rsidRPr="005E4BEA" w:rsidRDefault="00FE461F" w:rsidP="00FE461F">
            <w:pPr>
              <w:spacing w:line="240" w:lineRule="auto"/>
              <w:jc w:val="right"/>
              <w:rPr>
                <w:rFonts w:cs="Arial"/>
                <w:szCs w:val="20"/>
              </w:rPr>
            </w:pPr>
            <w:r w:rsidRPr="005E4BEA">
              <w:rPr>
                <w:rFonts w:cs="Arial"/>
                <w:szCs w:val="20"/>
              </w:rPr>
              <w:t>30,7</w:t>
            </w:r>
          </w:p>
        </w:tc>
      </w:tr>
      <w:tr w:rsidR="00FE461F" w:rsidRPr="005E4BEA" w14:paraId="00A297EB" w14:textId="77777777" w:rsidTr="0016774B">
        <w:trPr>
          <w:trHeight w:val="189"/>
        </w:trPr>
        <w:tc>
          <w:tcPr>
            <w:tcW w:w="3795" w:type="dxa"/>
            <w:tcBorders>
              <w:top w:val="nil"/>
              <w:left w:val="single" w:sz="4" w:space="0" w:color="auto"/>
              <w:bottom w:val="nil"/>
              <w:right w:val="single" w:sz="4" w:space="0" w:color="auto"/>
            </w:tcBorders>
            <w:hideMark/>
          </w:tcPr>
          <w:p w14:paraId="5ED9E5EA" w14:textId="77777777" w:rsidR="00FE461F" w:rsidRPr="005E4BEA" w:rsidRDefault="00FE461F" w:rsidP="00FE461F">
            <w:pPr>
              <w:spacing w:line="240" w:lineRule="auto"/>
              <w:rPr>
                <w:rFonts w:cs="Arial"/>
                <w:szCs w:val="20"/>
              </w:rPr>
            </w:pPr>
            <w:r w:rsidRPr="005E4BEA">
              <w:rPr>
                <w:rFonts w:cs="Arial"/>
                <w:szCs w:val="20"/>
              </w:rPr>
              <w:t>Psihiatrična bolnišnica Vojnik</w:t>
            </w:r>
          </w:p>
        </w:tc>
        <w:tc>
          <w:tcPr>
            <w:tcW w:w="1022" w:type="dxa"/>
            <w:tcBorders>
              <w:top w:val="nil"/>
              <w:left w:val="nil"/>
              <w:bottom w:val="nil"/>
              <w:right w:val="single" w:sz="4" w:space="0" w:color="auto"/>
            </w:tcBorders>
            <w:noWrap/>
            <w:vAlign w:val="bottom"/>
            <w:hideMark/>
          </w:tcPr>
          <w:p w14:paraId="685630F9"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4DA1C109" w14:textId="77777777" w:rsidR="00FE461F" w:rsidRPr="005E4BEA" w:rsidRDefault="00FE461F" w:rsidP="00FE461F">
            <w:pPr>
              <w:spacing w:line="240" w:lineRule="auto"/>
              <w:jc w:val="right"/>
              <w:rPr>
                <w:rFonts w:cs="Arial"/>
                <w:szCs w:val="20"/>
              </w:rPr>
            </w:pPr>
            <w:r w:rsidRPr="005E4BEA">
              <w:rPr>
                <w:rFonts w:cs="Arial"/>
                <w:szCs w:val="20"/>
              </w:rPr>
              <w:t>48</w:t>
            </w:r>
          </w:p>
        </w:tc>
        <w:tc>
          <w:tcPr>
            <w:tcW w:w="2011" w:type="dxa"/>
            <w:tcBorders>
              <w:top w:val="nil"/>
              <w:left w:val="nil"/>
              <w:bottom w:val="nil"/>
              <w:right w:val="single" w:sz="4" w:space="0" w:color="auto"/>
            </w:tcBorders>
            <w:noWrap/>
            <w:vAlign w:val="bottom"/>
            <w:hideMark/>
          </w:tcPr>
          <w:p w14:paraId="5177446B" w14:textId="77777777" w:rsidR="00FE461F" w:rsidRPr="005E4BEA" w:rsidRDefault="00FE461F" w:rsidP="00FE461F">
            <w:pPr>
              <w:spacing w:line="240" w:lineRule="auto"/>
              <w:jc w:val="right"/>
              <w:rPr>
                <w:rFonts w:cs="Arial"/>
                <w:szCs w:val="20"/>
              </w:rPr>
            </w:pPr>
            <w:r w:rsidRPr="005E4BEA">
              <w:rPr>
                <w:rFonts w:cs="Arial"/>
                <w:szCs w:val="20"/>
              </w:rPr>
              <w:t>155</w:t>
            </w:r>
          </w:p>
        </w:tc>
        <w:tc>
          <w:tcPr>
            <w:tcW w:w="1584" w:type="dxa"/>
            <w:tcBorders>
              <w:top w:val="nil"/>
              <w:left w:val="nil"/>
              <w:bottom w:val="nil"/>
              <w:right w:val="single" w:sz="4" w:space="0" w:color="auto"/>
            </w:tcBorders>
            <w:noWrap/>
            <w:vAlign w:val="bottom"/>
            <w:hideMark/>
          </w:tcPr>
          <w:p w14:paraId="6788A804" w14:textId="77777777" w:rsidR="00FE461F" w:rsidRPr="005E4BEA" w:rsidRDefault="00FE461F" w:rsidP="00FE461F">
            <w:pPr>
              <w:spacing w:line="240" w:lineRule="auto"/>
              <w:jc w:val="right"/>
              <w:rPr>
                <w:rFonts w:cs="Arial"/>
                <w:szCs w:val="20"/>
              </w:rPr>
            </w:pPr>
            <w:r w:rsidRPr="005E4BEA">
              <w:rPr>
                <w:rFonts w:cs="Arial"/>
                <w:szCs w:val="20"/>
              </w:rPr>
              <w:t>31,0</w:t>
            </w:r>
          </w:p>
        </w:tc>
      </w:tr>
      <w:tr w:rsidR="00FE461F" w:rsidRPr="005E4BEA" w14:paraId="3A004D01" w14:textId="77777777" w:rsidTr="0016774B">
        <w:trPr>
          <w:trHeight w:val="189"/>
        </w:trPr>
        <w:tc>
          <w:tcPr>
            <w:tcW w:w="3795" w:type="dxa"/>
            <w:tcBorders>
              <w:top w:val="nil"/>
              <w:left w:val="single" w:sz="4" w:space="0" w:color="auto"/>
              <w:bottom w:val="nil"/>
              <w:right w:val="single" w:sz="4" w:space="0" w:color="auto"/>
            </w:tcBorders>
            <w:hideMark/>
          </w:tcPr>
          <w:p w14:paraId="78AACC83" w14:textId="77777777" w:rsidR="00FE461F" w:rsidRPr="005E4BEA" w:rsidRDefault="00FE461F" w:rsidP="00FE461F">
            <w:pPr>
              <w:spacing w:line="240" w:lineRule="auto"/>
              <w:rPr>
                <w:rFonts w:cs="Arial"/>
                <w:szCs w:val="20"/>
              </w:rPr>
            </w:pPr>
            <w:r w:rsidRPr="005E4BEA">
              <w:rPr>
                <w:rFonts w:cs="Arial"/>
                <w:szCs w:val="20"/>
              </w:rPr>
              <w:t>Psihiatrična bolnišnica Vojnik</w:t>
            </w:r>
          </w:p>
        </w:tc>
        <w:tc>
          <w:tcPr>
            <w:tcW w:w="1022" w:type="dxa"/>
            <w:tcBorders>
              <w:top w:val="nil"/>
              <w:left w:val="nil"/>
              <w:bottom w:val="nil"/>
              <w:right w:val="single" w:sz="4" w:space="0" w:color="auto"/>
            </w:tcBorders>
            <w:noWrap/>
            <w:vAlign w:val="bottom"/>
            <w:hideMark/>
          </w:tcPr>
          <w:p w14:paraId="4B74BBFF"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585CF522" w14:textId="77777777" w:rsidR="00FE461F" w:rsidRPr="005E4BEA" w:rsidRDefault="00FE461F" w:rsidP="00FE461F">
            <w:pPr>
              <w:spacing w:line="240" w:lineRule="auto"/>
              <w:jc w:val="right"/>
              <w:rPr>
                <w:rFonts w:cs="Arial"/>
                <w:szCs w:val="20"/>
              </w:rPr>
            </w:pPr>
            <w:r w:rsidRPr="005E4BEA">
              <w:rPr>
                <w:rFonts w:cs="Arial"/>
                <w:szCs w:val="20"/>
              </w:rPr>
              <w:t>47</w:t>
            </w:r>
          </w:p>
        </w:tc>
        <w:tc>
          <w:tcPr>
            <w:tcW w:w="2011" w:type="dxa"/>
            <w:tcBorders>
              <w:top w:val="nil"/>
              <w:left w:val="nil"/>
              <w:bottom w:val="nil"/>
              <w:right w:val="single" w:sz="4" w:space="0" w:color="auto"/>
            </w:tcBorders>
            <w:noWrap/>
            <w:vAlign w:val="bottom"/>
            <w:hideMark/>
          </w:tcPr>
          <w:p w14:paraId="01350ED8" w14:textId="77777777" w:rsidR="00FE461F" w:rsidRPr="005E4BEA" w:rsidRDefault="00FE461F" w:rsidP="00FE461F">
            <w:pPr>
              <w:spacing w:line="240" w:lineRule="auto"/>
              <w:jc w:val="right"/>
              <w:rPr>
                <w:rFonts w:cs="Arial"/>
                <w:szCs w:val="20"/>
              </w:rPr>
            </w:pPr>
            <w:r w:rsidRPr="005E4BEA">
              <w:rPr>
                <w:rFonts w:cs="Arial"/>
                <w:szCs w:val="20"/>
              </w:rPr>
              <w:t>151</w:t>
            </w:r>
          </w:p>
        </w:tc>
        <w:tc>
          <w:tcPr>
            <w:tcW w:w="1584" w:type="dxa"/>
            <w:tcBorders>
              <w:top w:val="nil"/>
              <w:left w:val="nil"/>
              <w:bottom w:val="nil"/>
              <w:right w:val="single" w:sz="4" w:space="0" w:color="auto"/>
            </w:tcBorders>
            <w:noWrap/>
            <w:vAlign w:val="bottom"/>
            <w:hideMark/>
          </w:tcPr>
          <w:p w14:paraId="6B8720C0" w14:textId="77777777" w:rsidR="00FE461F" w:rsidRPr="005E4BEA" w:rsidRDefault="00FE461F" w:rsidP="00FE461F">
            <w:pPr>
              <w:spacing w:line="240" w:lineRule="auto"/>
              <w:jc w:val="right"/>
              <w:rPr>
                <w:rFonts w:cs="Arial"/>
                <w:szCs w:val="20"/>
              </w:rPr>
            </w:pPr>
            <w:r w:rsidRPr="005E4BEA">
              <w:rPr>
                <w:rFonts w:cs="Arial"/>
                <w:szCs w:val="20"/>
              </w:rPr>
              <w:t>31,1</w:t>
            </w:r>
          </w:p>
        </w:tc>
      </w:tr>
      <w:tr w:rsidR="00FE461F" w:rsidRPr="005E4BEA" w14:paraId="03FD893C" w14:textId="77777777" w:rsidTr="0016774B">
        <w:trPr>
          <w:trHeight w:val="189"/>
        </w:trPr>
        <w:tc>
          <w:tcPr>
            <w:tcW w:w="3795" w:type="dxa"/>
            <w:tcBorders>
              <w:top w:val="nil"/>
              <w:left w:val="single" w:sz="4" w:space="0" w:color="auto"/>
              <w:bottom w:val="nil"/>
              <w:right w:val="single" w:sz="4" w:space="0" w:color="auto"/>
            </w:tcBorders>
            <w:hideMark/>
          </w:tcPr>
          <w:p w14:paraId="3896E9EB" w14:textId="77777777" w:rsidR="00FE461F" w:rsidRPr="005E4BEA" w:rsidRDefault="00FE461F" w:rsidP="00FE461F">
            <w:pPr>
              <w:spacing w:line="240" w:lineRule="auto"/>
              <w:rPr>
                <w:rFonts w:cs="Arial"/>
                <w:szCs w:val="20"/>
              </w:rPr>
            </w:pPr>
            <w:r w:rsidRPr="005E4BEA">
              <w:rPr>
                <w:rFonts w:cs="Arial"/>
                <w:szCs w:val="20"/>
              </w:rPr>
              <w:t>Psihiatrična bolnišnica Vojnik</w:t>
            </w:r>
          </w:p>
        </w:tc>
        <w:tc>
          <w:tcPr>
            <w:tcW w:w="1022" w:type="dxa"/>
            <w:tcBorders>
              <w:top w:val="nil"/>
              <w:left w:val="nil"/>
              <w:bottom w:val="nil"/>
              <w:right w:val="single" w:sz="4" w:space="0" w:color="auto"/>
            </w:tcBorders>
            <w:noWrap/>
            <w:vAlign w:val="bottom"/>
            <w:hideMark/>
          </w:tcPr>
          <w:p w14:paraId="1098ABF3"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4C093902" w14:textId="77777777" w:rsidR="00FE461F" w:rsidRPr="005E4BEA" w:rsidRDefault="00FE461F" w:rsidP="00FE461F">
            <w:pPr>
              <w:spacing w:line="240" w:lineRule="auto"/>
              <w:jc w:val="right"/>
              <w:rPr>
                <w:rFonts w:cs="Arial"/>
                <w:szCs w:val="20"/>
              </w:rPr>
            </w:pPr>
            <w:r w:rsidRPr="005E4BEA">
              <w:rPr>
                <w:rFonts w:cs="Arial"/>
                <w:szCs w:val="20"/>
              </w:rPr>
              <w:t>47</w:t>
            </w:r>
          </w:p>
        </w:tc>
        <w:tc>
          <w:tcPr>
            <w:tcW w:w="2011" w:type="dxa"/>
            <w:tcBorders>
              <w:top w:val="nil"/>
              <w:left w:val="nil"/>
              <w:bottom w:val="nil"/>
              <w:right w:val="single" w:sz="4" w:space="0" w:color="auto"/>
            </w:tcBorders>
            <w:noWrap/>
            <w:vAlign w:val="bottom"/>
            <w:hideMark/>
          </w:tcPr>
          <w:p w14:paraId="18DCD041" w14:textId="77777777" w:rsidR="00FE461F" w:rsidRPr="005E4BEA" w:rsidRDefault="00FE461F" w:rsidP="00FE461F">
            <w:pPr>
              <w:spacing w:line="240" w:lineRule="auto"/>
              <w:jc w:val="right"/>
              <w:rPr>
                <w:rFonts w:cs="Arial"/>
                <w:szCs w:val="20"/>
              </w:rPr>
            </w:pPr>
            <w:r w:rsidRPr="005E4BEA">
              <w:rPr>
                <w:rFonts w:cs="Arial"/>
                <w:szCs w:val="20"/>
              </w:rPr>
              <w:t>149</w:t>
            </w:r>
          </w:p>
        </w:tc>
        <w:tc>
          <w:tcPr>
            <w:tcW w:w="1584" w:type="dxa"/>
            <w:tcBorders>
              <w:top w:val="nil"/>
              <w:left w:val="nil"/>
              <w:bottom w:val="nil"/>
              <w:right w:val="single" w:sz="4" w:space="0" w:color="auto"/>
            </w:tcBorders>
            <w:noWrap/>
            <w:vAlign w:val="bottom"/>
            <w:hideMark/>
          </w:tcPr>
          <w:p w14:paraId="6A2E0EE0" w14:textId="77777777" w:rsidR="00FE461F" w:rsidRPr="005E4BEA" w:rsidRDefault="00FE461F" w:rsidP="00FE461F">
            <w:pPr>
              <w:spacing w:line="240" w:lineRule="auto"/>
              <w:jc w:val="right"/>
              <w:rPr>
                <w:rFonts w:cs="Arial"/>
                <w:szCs w:val="20"/>
              </w:rPr>
            </w:pPr>
            <w:r w:rsidRPr="005E4BEA">
              <w:rPr>
                <w:rFonts w:cs="Arial"/>
                <w:szCs w:val="20"/>
              </w:rPr>
              <w:t>31,5</w:t>
            </w:r>
          </w:p>
        </w:tc>
      </w:tr>
      <w:tr w:rsidR="00FE461F" w:rsidRPr="005E4BEA" w14:paraId="6FD666E2"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30867ED1" w14:textId="77777777" w:rsidR="00FE461F" w:rsidRPr="005E4BEA" w:rsidRDefault="00FE461F" w:rsidP="00FE461F">
            <w:pPr>
              <w:spacing w:line="240" w:lineRule="auto"/>
              <w:rPr>
                <w:rFonts w:cs="Arial"/>
                <w:szCs w:val="20"/>
              </w:rPr>
            </w:pPr>
            <w:r w:rsidRPr="005E4BEA">
              <w:rPr>
                <w:rFonts w:cs="Arial"/>
                <w:szCs w:val="20"/>
              </w:rPr>
              <w:t>Psihiatrična bolnišnica Vojnik</w:t>
            </w:r>
          </w:p>
        </w:tc>
        <w:tc>
          <w:tcPr>
            <w:tcW w:w="1022" w:type="dxa"/>
            <w:tcBorders>
              <w:top w:val="nil"/>
              <w:left w:val="nil"/>
              <w:bottom w:val="single" w:sz="4" w:space="0" w:color="auto"/>
              <w:right w:val="single" w:sz="4" w:space="0" w:color="auto"/>
            </w:tcBorders>
            <w:noWrap/>
            <w:vAlign w:val="bottom"/>
            <w:hideMark/>
          </w:tcPr>
          <w:p w14:paraId="32BBDE5C"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6C4E3F5E" w14:textId="77777777" w:rsidR="00FE461F" w:rsidRPr="005E4BEA" w:rsidRDefault="00FE461F" w:rsidP="00FE461F">
            <w:pPr>
              <w:spacing w:line="240" w:lineRule="auto"/>
              <w:jc w:val="right"/>
              <w:rPr>
                <w:rFonts w:cs="Arial"/>
                <w:szCs w:val="20"/>
              </w:rPr>
            </w:pPr>
            <w:r w:rsidRPr="005E4BEA">
              <w:rPr>
                <w:rFonts w:cs="Arial"/>
                <w:szCs w:val="20"/>
              </w:rPr>
              <w:t>46</w:t>
            </w:r>
          </w:p>
        </w:tc>
        <w:tc>
          <w:tcPr>
            <w:tcW w:w="2011" w:type="dxa"/>
            <w:tcBorders>
              <w:top w:val="nil"/>
              <w:left w:val="nil"/>
              <w:bottom w:val="single" w:sz="4" w:space="0" w:color="auto"/>
              <w:right w:val="single" w:sz="4" w:space="0" w:color="auto"/>
            </w:tcBorders>
            <w:noWrap/>
            <w:vAlign w:val="bottom"/>
            <w:hideMark/>
          </w:tcPr>
          <w:p w14:paraId="10E1F216" w14:textId="77777777" w:rsidR="00FE461F" w:rsidRPr="005E4BEA" w:rsidRDefault="00FE461F" w:rsidP="00FE461F">
            <w:pPr>
              <w:spacing w:line="240" w:lineRule="auto"/>
              <w:jc w:val="right"/>
              <w:rPr>
                <w:rFonts w:cs="Arial"/>
                <w:szCs w:val="20"/>
              </w:rPr>
            </w:pPr>
            <w:r w:rsidRPr="005E4BEA">
              <w:rPr>
                <w:rFonts w:cs="Arial"/>
                <w:szCs w:val="20"/>
              </w:rPr>
              <w:t>151</w:t>
            </w:r>
          </w:p>
        </w:tc>
        <w:tc>
          <w:tcPr>
            <w:tcW w:w="1584" w:type="dxa"/>
            <w:tcBorders>
              <w:top w:val="nil"/>
              <w:left w:val="nil"/>
              <w:bottom w:val="single" w:sz="4" w:space="0" w:color="auto"/>
              <w:right w:val="single" w:sz="4" w:space="0" w:color="auto"/>
            </w:tcBorders>
            <w:noWrap/>
            <w:vAlign w:val="bottom"/>
            <w:hideMark/>
          </w:tcPr>
          <w:p w14:paraId="4710F010" w14:textId="77777777" w:rsidR="00FE461F" w:rsidRPr="005E4BEA" w:rsidRDefault="00FE461F" w:rsidP="00FE461F">
            <w:pPr>
              <w:spacing w:line="240" w:lineRule="auto"/>
              <w:jc w:val="right"/>
              <w:rPr>
                <w:rFonts w:cs="Arial"/>
                <w:szCs w:val="20"/>
              </w:rPr>
            </w:pPr>
            <w:r w:rsidRPr="005E4BEA">
              <w:rPr>
                <w:rFonts w:cs="Arial"/>
                <w:szCs w:val="20"/>
              </w:rPr>
              <w:t>30,5</w:t>
            </w:r>
          </w:p>
        </w:tc>
      </w:tr>
      <w:tr w:rsidR="00FE461F" w:rsidRPr="005E4BEA" w14:paraId="2E63A4DA" w14:textId="77777777" w:rsidTr="0016774B">
        <w:trPr>
          <w:trHeight w:val="189"/>
        </w:trPr>
        <w:tc>
          <w:tcPr>
            <w:tcW w:w="3795" w:type="dxa"/>
            <w:tcBorders>
              <w:top w:val="nil"/>
              <w:left w:val="single" w:sz="4" w:space="0" w:color="auto"/>
              <w:bottom w:val="nil"/>
              <w:right w:val="single" w:sz="4" w:space="0" w:color="auto"/>
            </w:tcBorders>
            <w:hideMark/>
          </w:tcPr>
          <w:p w14:paraId="0F35DA79" w14:textId="77777777" w:rsidR="00FE461F" w:rsidRPr="005E4BEA" w:rsidRDefault="00FE461F" w:rsidP="00FE461F">
            <w:pPr>
              <w:spacing w:line="240" w:lineRule="auto"/>
              <w:rPr>
                <w:rFonts w:cs="Arial"/>
                <w:szCs w:val="20"/>
              </w:rPr>
            </w:pPr>
            <w:r w:rsidRPr="005E4BEA">
              <w:rPr>
                <w:rFonts w:cs="Arial"/>
                <w:szCs w:val="20"/>
              </w:rPr>
              <w:t>Splošna bolnišnica Brežice</w:t>
            </w:r>
          </w:p>
        </w:tc>
        <w:tc>
          <w:tcPr>
            <w:tcW w:w="1022" w:type="dxa"/>
            <w:tcBorders>
              <w:top w:val="nil"/>
              <w:left w:val="nil"/>
              <w:bottom w:val="nil"/>
              <w:right w:val="single" w:sz="4" w:space="0" w:color="auto"/>
            </w:tcBorders>
            <w:noWrap/>
            <w:vAlign w:val="bottom"/>
            <w:hideMark/>
          </w:tcPr>
          <w:p w14:paraId="200B1CDD"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655F1A02" w14:textId="77777777" w:rsidR="00FE461F" w:rsidRPr="005E4BEA" w:rsidRDefault="00FE461F" w:rsidP="00FE461F">
            <w:pPr>
              <w:spacing w:line="240" w:lineRule="auto"/>
              <w:jc w:val="right"/>
              <w:rPr>
                <w:rFonts w:cs="Arial"/>
                <w:szCs w:val="20"/>
              </w:rPr>
            </w:pPr>
            <w:r w:rsidRPr="005E4BEA">
              <w:rPr>
                <w:rFonts w:cs="Arial"/>
                <w:szCs w:val="20"/>
              </w:rPr>
              <w:t>70</w:t>
            </w:r>
          </w:p>
        </w:tc>
        <w:tc>
          <w:tcPr>
            <w:tcW w:w="2011" w:type="dxa"/>
            <w:tcBorders>
              <w:top w:val="nil"/>
              <w:left w:val="nil"/>
              <w:bottom w:val="nil"/>
              <w:right w:val="single" w:sz="4" w:space="0" w:color="auto"/>
            </w:tcBorders>
            <w:noWrap/>
            <w:vAlign w:val="bottom"/>
            <w:hideMark/>
          </w:tcPr>
          <w:p w14:paraId="0C75A2C2" w14:textId="77777777" w:rsidR="00FE461F" w:rsidRPr="005E4BEA" w:rsidRDefault="00FE461F" w:rsidP="00FE461F">
            <w:pPr>
              <w:spacing w:line="240" w:lineRule="auto"/>
              <w:jc w:val="right"/>
              <w:rPr>
                <w:rFonts w:cs="Arial"/>
                <w:szCs w:val="20"/>
              </w:rPr>
            </w:pPr>
            <w:r w:rsidRPr="005E4BEA">
              <w:rPr>
                <w:rFonts w:cs="Arial"/>
                <w:szCs w:val="20"/>
              </w:rPr>
              <w:t>264</w:t>
            </w:r>
          </w:p>
        </w:tc>
        <w:tc>
          <w:tcPr>
            <w:tcW w:w="1584" w:type="dxa"/>
            <w:tcBorders>
              <w:top w:val="nil"/>
              <w:left w:val="nil"/>
              <w:bottom w:val="nil"/>
              <w:right w:val="single" w:sz="4" w:space="0" w:color="auto"/>
            </w:tcBorders>
            <w:noWrap/>
            <w:vAlign w:val="bottom"/>
            <w:hideMark/>
          </w:tcPr>
          <w:p w14:paraId="17F1B2C3" w14:textId="77777777" w:rsidR="00FE461F" w:rsidRPr="005E4BEA" w:rsidRDefault="00FE461F" w:rsidP="00FE461F">
            <w:pPr>
              <w:spacing w:line="240" w:lineRule="auto"/>
              <w:jc w:val="right"/>
              <w:rPr>
                <w:rFonts w:cs="Arial"/>
                <w:szCs w:val="20"/>
              </w:rPr>
            </w:pPr>
            <w:r w:rsidRPr="005E4BEA">
              <w:rPr>
                <w:rFonts w:cs="Arial"/>
                <w:szCs w:val="20"/>
              </w:rPr>
              <w:t>26,5</w:t>
            </w:r>
          </w:p>
        </w:tc>
      </w:tr>
      <w:tr w:rsidR="00FE461F" w:rsidRPr="005E4BEA" w14:paraId="077D2420" w14:textId="77777777" w:rsidTr="0016774B">
        <w:trPr>
          <w:trHeight w:val="189"/>
        </w:trPr>
        <w:tc>
          <w:tcPr>
            <w:tcW w:w="3795" w:type="dxa"/>
            <w:tcBorders>
              <w:top w:val="nil"/>
              <w:left w:val="single" w:sz="4" w:space="0" w:color="auto"/>
              <w:bottom w:val="nil"/>
              <w:right w:val="single" w:sz="4" w:space="0" w:color="auto"/>
            </w:tcBorders>
            <w:hideMark/>
          </w:tcPr>
          <w:p w14:paraId="3FB81A02" w14:textId="77777777" w:rsidR="00FE461F" w:rsidRPr="005E4BEA" w:rsidRDefault="00FE461F" w:rsidP="00FE461F">
            <w:pPr>
              <w:spacing w:line="240" w:lineRule="auto"/>
              <w:rPr>
                <w:rFonts w:cs="Arial"/>
                <w:szCs w:val="20"/>
              </w:rPr>
            </w:pPr>
            <w:r w:rsidRPr="005E4BEA">
              <w:rPr>
                <w:rFonts w:cs="Arial"/>
                <w:szCs w:val="20"/>
              </w:rPr>
              <w:t>Splošna bolnišnica Brežice</w:t>
            </w:r>
          </w:p>
        </w:tc>
        <w:tc>
          <w:tcPr>
            <w:tcW w:w="1022" w:type="dxa"/>
            <w:tcBorders>
              <w:top w:val="nil"/>
              <w:left w:val="nil"/>
              <w:bottom w:val="nil"/>
              <w:right w:val="single" w:sz="4" w:space="0" w:color="auto"/>
            </w:tcBorders>
            <w:noWrap/>
            <w:vAlign w:val="bottom"/>
            <w:hideMark/>
          </w:tcPr>
          <w:p w14:paraId="14CA9E43"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3C263A85" w14:textId="77777777" w:rsidR="00FE461F" w:rsidRPr="005E4BEA" w:rsidRDefault="00FE461F" w:rsidP="00FE461F">
            <w:pPr>
              <w:spacing w:line="240" w:lineRule="auto"/>
              <w:jc w:val="right"/>
              <w:rPr>
                <w:rFonts w:cs="Arial"/>
                <w:szCs w:val="20"/>
              </w:rPr>
            </w:pPr>
            <w:r w:rsidRPr="005E4BEA">
              <w:rPr>
                <w:rFonts w:cs="Arial"/>
                <w:szCs w:val="20"/>
              </w:rPr>
              <w:t>76</w:t>
            </w:r>
          </w:p>
        </w:tc>
        <w:tc>
          <w:tcPr>
            <w:tcW w:w="2011" w:type="dxa"/>
            <w:tcBorders>
              <w:top w:val="nil"/>
              <w:left w:val="nil"/>
              <w:bottom w:val="nil"/>
              <w:right w:val="single" w:sz="4" w:space="0" w:color="auto"/>
            </w:tcBorders>
            <w:noWrap/>
            <w:vAlign w:val="bottom"/>
            <w:hideMark/>
          </w:tcPr>
          <w:p w14:paraId="219FD36A" w14:textId="77777777" w:rsidR="00FE461F" w:rsidRPr="005E4BEA" w:rsidRDefault="00FE461F" w:rsidP="00FE461F">
            <w:pPr>
              <w:spacing w:line="240" w:lineRule="auto"/>
              <w:jc w:val="right"/>
              <w:rPr>
                <w:rFonts w:cs="Arial"/>
                <w:szCs w:val="20"/>
              </w:rPr>
            </w:pPr>
            <w:r w:rsidRPr="005E4BEA">
              <w:rPr>
                <w:rFonts w:cs="Arial"/>
                <w:szCs w:val="20"/>
              </w:rPr>
              <w:t>276</w:t>
            </w:r>
          </w:p>
        </w:tc>
        <w:tc>
          <w:tcPr>
            <w:tcW w:w="1584" w:type="dxa"/>
            <w:tcBorders>
              <w:top w:val="nil"/>
              <w:left w:val="nil"/>
              <w:bottom w:val="nil"/>
              <w:right w:val="single" w:sz="4" w:space="0" w:color="auto"/>
            </w:tcBorders>
            <w:noWrap/>
            <w:vAlign w:val="bottom"/>
            <w:hideMark/>
          </w:tcPr>
          <w:p w14:paraId="0B7E4DD9" w14:textId="77777777" w:rsidR="00FE461F" w:rsidRPr="005E4BEA" w:rsidRDefault="00FE461F" w:rsidP="00FE461F">
            <w:pPr>
              <w:spacing w:line="240" w:lineRule="auto"/>
              <w:jc w:val="right"/>
              <w:rPr>
                <w:rFonts w:cs="Arial"/>
                <w:szCs w:val="20"/>
              </w:rPr>
            </w:pPr>
            <w:r w:rsidRPr="005E4BEA">
              <w:rPr>
                <w:rFonts w:cs="Arial"/>
                <w:szCs w:val="20"/>
              </w:rPr>
              <w:t>27,5</w:t>
            </w:r>
          </w:p>
        </w:tc>
      </w:tr>
      <w:tr w:rsidR="00FE461F" w:rsidRPr="005E4BEA" w14:paraId="12E3EDC7" w14:textId="77777777" w:rsidTr="0016774B">
        <w:trPr>
          <w:trHeight w:val="189"/>
        </w:trPr>
        <w:tc>
          <w:tcPr>
            <w:tcW w:w="3795" w:type="dxa"/>
            <w:tcBorders>
              <w:top w:val="nil"/>
              <w:left w:val="single" w:sz="4" w:space="0" w:color="auto"/>
              <w:bottom w:val="nil"/>
              <w:right w:val="single" w:sz="4" w:space="0" w:color="auto"/>
            </w:tcBorders>
            <w:hideMark/>
          </w:tcPr>
          <w:p w14:paraId="66DF8C21" w14:textId="77777777" w:rsidR="00FE461F" w:rsidRPr="005E4BEA" w:rsidRDefault="00FE461F" w:rsidP="00FE461F">
            <w:pPr>
              <w:spacing w:line="240" w:lineRule="auto"/>
              <w:rPr>
                <w:rFonts w:cs="Arial"/>
                <w:szCs w:val="20"/>
              </w:rPr>
            </w:pPr>
            <w:r w:rsidRPr="005E4BEA">
              <w:rPr>
                <w:rFonts w:cs="Arial"/>
                <w:szCs w:val="20"/>
              </w:rPr>
              <w:t>Splošna bolnišnica Brežice</w:t>
            </w:r>
          </w:p>
        </w:tc>
        <w:tc>
          <w:tcPr>
            <w:tcW w:w="1022" w:type="dxa"/>
            <w:tcBorders>
              <w:top w:val="nil"/>
              <w:left w:val="nil"/>
              <w:bottom w:val="nil"/>
              <w:right w:val="single" w:sz="4" w:space="0" w:color="auto"/>
            </w:tcBorders>
            <w:noWrap/>
            <w:vAlign w:val="bottom"/>
            <w:hideMark/>
          </w:tcPr>
          <w:p w14:paraId="290FCA25"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5DCAC674" w14:textId="77777777" w:rsidR="00FE461F" w:rsidRPr="005E4BEA" w:rsidRDefault="00FE461F" w:rsidP="00FE461F">
            <w:pPr>
              <w:spacing w:line="240" w:lineRule="auto"/>
              <w:jc w:val="right"/>
              <w:rPr>
                <w:rFonts w:cs="Arial"/>
                <w:szCs w:val="20"/>
              </w:rPr>
            </w:pPr>
            <w:r w:rsidRPr="005E4BEA">
              <w:rPr>
                <w:rFonts w:cs="Arial"/>
                <w:szCs w:val="20"/>
              </w:rPr>
              <w:t>76</w:t>
            </w:r>
          </w:p>
        </w:tc>
        <w:tc>
          <w:tcPr>
            <w:tcW w:w="2011" w:type="dxa"/>
            <w:tcBorders>
              <w:top w:val="nil"/>
              <w:left w:val="nil"/>
              <w:bottom w:val="nil"/>
              <w:right w:val="single" w:sz="4" w:space="0" w:color="auto"/>
            </w:tcBorders>
            <w:noWrap/>
            <w:vAlign w:val="bottom"/>
            <w:hideMark/>
          </w:tcPr>
          <w:p w14:paraId="472C4840" w14:textId="77777777" w:rsidR="00FE461F" w:rsidRPr="005E4BEA" w:rsidRDefault="00FE461F" w:rsidP="00FE461F">
            <w:pPr>
              <w:spacing w:line="240" w:lineRule="auto"/>
              <w:jc w:val="right"/>
              <w:rPr>
                <w:rFonts w:cs="Arial"/>
                <w:szCs w:val="20"/>
              </w:rPr>
            </w:pPr>
            <w:r w:rsidRPr="005E4BEA">
              <w:rPr>
                <w:rFonts w:cs="Arial"/>
                <w:szCs w:val="20"/>
              </w:rPr>
              <w:t>283</w:t>
            </w:r>
          </w:p>
        </w:tc>
        <w:tc>
          <w:tcPr>
            <w:tcW w:w="1584" w:type="dxa"/>
            <w:tcBorders>
              <w:top w:val="nil"/>
              <w:left w:val="nil"/>
              <w:bottom w:val="nil"/>
              <w:right w:val="single" w:sz="4" w:space="0" w:color="auto"/>
            </w:tcBorders>
            <w:noWrap/>
            <w:vAlign w:val="bottom"/>
            <w:hideMark/>
          </w:tcPr>
          <w:p w14:paraId="08DC9F9D" w14:textId="77777777" w:rsidR="00FE461F" w:rsidRPr="005E4BEA" w:rsidRDefault="00FE461F" w:rsidP="00FE461F">
            <w:pPr>
              <w:spacing w:line="240" w:lineRule="auto"/>
              <w:jc w:val="right"/>
              <w:rPr>
                <w:rFonts w:cs="Arial"/>
                <w:szCs w:val="20"/>
              </w:rPr>
            </w:pPr>
            <w:r w:rsidRPr="005E4BEA">
              <w:rPr>
                <w:rFonts w:cs="Arial"/>
                <w:szCs w:val="20"/>
              </w:rPr>
              <w:t>26,9</w:t>
            </w:r>
          </w:p>
        </w:tc>
      </w:tr>
      <w:tr w:rsidR="00FE461F" w:rsidRPr="005E4BEA" w14:paraId="641A999A" w14:textId="77777777" w:rsidTr="0016774B">
        <w:trPr>
          <w:trHeight w:val="189"/>
        </w:trPr>
        <w:tc>
          <w:tcPr>
            <w:tcW w:w="3795" w:type="dxa"/>
            <w:tcBorders>
              <w:top w:val="nil"/>
              <w:left w:val="single" w:sz="4" w:space="0" w:color="auto"/>
              <w:bottom w:val="nil"/>
              <w:right w:val="single" w:sz="4" w:space="0" w:color="auto"/>
            </w:tcBorders>
            <w:hideMark/>
          </w:tcPr>
          <w:p w14:paraId="4D25B76B" w14:textId="77777777" w:rsidR="00FE461F" w:rsidRPr="005E4BEA" w:rsidRDefault="00FE461F" w:rsidP="00FE461F">
            <w:pPr>
              <w:spacing w:line="240" w:lineRule="auto"/>
              <w:rPr>
                <w:rFonts w:cs="Arial"/>
                <w:szCs w:val="20"/>
              </w:rPr>
            </w:pPr>
            <w:r w:rsidRPr="005E4BEA">
              <w:rPr>
                <w:rFonts w:cs="Arial"/>
                <w:szCs w:val="20"/>
              </w:rPr>
              <w:t>Splošna bolnišnica Brežice</w:t>
            </w:r>
          </w:p>
        </w:tc>
        <w:tc>
          <w:tcPr>
            <w:tcW w:w="1022" w:type="dxa"/>
            <w:tcBorders>
              <w:top w:val="nil"/>
              <w:left w:val="nil"/>
              <w:bottom w:val="nil"/>
              <w:right w:val="single" w:sz="4" w:space="0" w:color="auto"/>
            </w:tcBorders>
            <w:noWrap/>
            <w:vAlign w:val="bottom"/>
            <w:hideMark/>
          </w:tcPr>
          <w:p w14:paraId="3AFA72B1"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50EBC94" w14:textId="77777777" w:rsidR="00FE461F" w:rsidRPr="005E4BEA" w:rsidRDefault="00FE461F" w:rsidP="00FE461F">
            <w:pPr>
              <w:spacing w:line="240" w:lineRule="auto"/>
              <w:jc w:val="right"/>
              <w:rPr>
                <w:rFonts w:cs="Arial"/>
                <w:szCs w:val="20"/>
              </w:rPr>
            </w:pPr>
            <w:r w:rsidRPr="005E4BEA">
              <w:rPr>
                <w:rFonts w:cs="Arial"/>
                <w:szCs w:val="20"/>
              </w:rPr>
              <w:t>81</w:t>
            </w:r>
          </w:p>
        </w:tc>
        <w:tc>
          <w:tcPr>
            <w:tcW w:w="2011" w:type="dxa"/>
            <w:tcBorders>
              <w:top w:val="nil"/>
              <w:left w:val="nil"/>
              <w:bottom w:val="nil"/>
              <w:right w:val="single" w:sz="4" w:space="0" w:color="auto"/>
            </w:tcBorders>
            <w:noWrap/>
            <w:vAlign w:val="bottom"/>
            <w:hideMark/>
          </w:tcPr>
          <w:p w14:paraId="11655029" w14:textId="77777777" w:rsidR="00FE461F" w:rsidRPr="005E4BEA" w:rsidRDefault="00FE461F" w:rsidP="00FE461F">
            <w:pPr>
              <w:spacing w:line="240" w:lineRule="auto"/>
              <w:jc w:val="right"/>
              <w:rPr>
                <w:rFonts w:cs="Arial"/>
                <w:szCs w:val="20"/>
              </w:rPr>
            </w:pPr>
            <w:r w:rsidRPr="005E4BEA">
              <w:rPr>
                <w:rFonts w:cs="Arial"/>
                <w:szCs w:val="20"/>
              </w:rPr>
              <w:t>299</w:t>
            </w:r>
          </w:p>
        </w:tc>
        <w:tc>
          <w:tcPr>
            <w:tcW w:w="1584" w:type="dxa"/>
            <w:tcBorders>
              <w:top w:val="nil"/>
              <w:left w:val="nil"/>
              <w:bottom w:val="nil"/>
              <w:right w:val="single" w:sz="4" w:space="0" w:color="auto"/>
            </w:tcBorders>
            <w:noWrap/>
            <w:vAlign w:val="bottom"/>
            <w:hideMark/>
          </w:tcPr>
          <w:p w14:paraId="76C0F8ED" w14:textId="77777777" w:rsidR="00FE461F" w:rsidRPr="005E4BEA" w:rsidRDefault="00FE461F" w:rsidP="00FE461F">
            <w:pPr>
              <w:spacing w:line="240" w:lineRule="auto"/>
              <w:jc w:val="right"/>
              <w:rPr>
                <w:rFonts w:cs="Arial"/>
                <w:szCs w:val="20"/>
              </w:rPr>
            </w:pPr>
            <w:r w:rsidRPr="005E4BEA">
              <w:rPr>
                <w:rFonts w:cs="Arial"/>
                <w:szCs w:val="20"/>
              </w:rPr>
              <w:t>27,1</w:t>
            </w:r>
          </w:p>
        </w:tc>
      </w:tr>
      <w:tr w:rsidR="00FE461F" w:rsidRPr="005E4BEA" w14:paraId="21857943" w14:textId="77777777" w:rsidTr="0016774B">
        <w:trPr>
          <w:trHeight w:val="189"/>
        </w:trPr>
        <w:tc>
          <w:tcPr>
            <w:tcW w:w="3795" w:type="dxa"/>
            <w:tcBorders>
              <w:top w:val="nil"/>
              <w:left w:val="single" w:sz="4" w:space="0" w:color="auto"/>
              <w:bottom w:val="nil"/>
              <w:right w:val="single" w:sz="4" w:space="0" w:color="auto"/>
            </w:tcBorders>
            <w:hideMark/>
          </w:tcPr>
          <w:p w14:paraId="6B838C5F" w14:textId="77777777" w:rsidR="00FE461F" w:rsidRPr="005E4BEA" w:rsidRDefault="00FE461F" w:rsidP="00FE461F">
            <w:pPr>
              <w:spacing w:line="240" w:lineRule="auto"/>
              <w:rPr>
                <w:rFonts w:cs="Arial"/>
                <w:szCs w:val="20"/>
              </w:rPr>
            </w:pPr>
            <w:r w:rsidRPr="005E4BEA">
              <w:rPr>
                <w:rFonts w:cs="Arial"/>
                <w:szCs w:val="20"/>
              </w:rPr>
              <w:t>Splošna bolnišnica Brežice</w:t>
            </w:r>
          </w:p>
        </w:tc>
        <w:tc>
          <w:tcPr>
            <w:tcW w:w="1022" w:type="dxa"/>
            <w:tcBorders>
              <w:top w:val="nil"/>
              <w:left w:val="nil"/>
              <w:bottom w:val="nil"/>
              <w:right w:val="single" w:sz="4" w:space="0" w:color="auto"/>
            </w:tcBorders>
            <w:noWrap/>
            <w:vAlign w:val="bottom"/>
            <w:hideMark/>
          </w:tcPr>
          <w:p w14:paraId="30AD1A24"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BD093D7" w14:textId="77777777" w:rsidR="00FE461F" w:rsidRPr="005E4BEA" w:rsidRDefault="00FE461F" w:rsidP="00FE461F">
            <w:pPr>
              <w:spacing w:line="240" w:lineRule="auto"/>
              <w:jc w:val="right"/>
              <w:rPr>
                <w:rFonts w:cs="Arial"/>
                <w:szCs w:val="20"/>
              </w:rPr>
            </w:pPr>
            <w:r w:rsidRPr="005E4BEA">
              <w:rPr>
                <w:rFonts w:cs="Arial"/>
                <w:szCs w:val="20"/>
              </w:rPr>
              <w:t>83</w:t>
            </w:r>
          </w:p>
        </w:tc>
        <w:tc>
          <w:tcPr>
            <w:tcW w:w="2011" w:type="dxa"/>
            <w:tcBorders>
              <w:top w:val="nil"/>
              <w:left w:val="nil"/>
              <w:bottom w:val="nil"/>
              <w:right w:val="single" w:sz="4" w:space="0" w:color="auto"/>
            </w:tcBorders>
            <w:noWrap/>
            <w:vAlign w:val="bottom"/>
            <w:hideMark/>
          </w:tcPr>
          <w:p w14:paraId="0BC4AB3A" w14:textId="77777777" w:rsidR="00FE461F" w:rsidRPr="005E4BEA" w:rsidRDefault="00FE461F" w:rsidP="00FE461F">
            <w:pPr>
              <w:spacing w:line="240" w:lineRule="auto"/>
              <w:jc w:val="right"/>
              <w:rPr>
                <w:rFonts w:cs="Arial"/>
                <w:szCs w:val="20"/>
              </w:rPr>
            </w:pPr>
            <w:r w:rsidRPr="005E4BEA">
              <w:rPr>
                <w:rFonts w:cs="Arial"/>
                <w:szCs w:val="20"/>
              </w:rPr>
              <w:t>303</w:t>
            </w:r>
          </w:p>
        </w:tc>
        <w:tc>
          <w:tcPr>
            <w:tcW w:w="1584" w:type="dxa"/>
            <w:tcBorders>
              <w:top w:val="nil"/>
              <w:left w:val="nil"/>
              <w:bottom w:val="nil"/>
              <w:right w:val="single" w:sz="4" w:space="0" w:color="auto"/>
            </w:tcBorders>
            <w:noWrap/>
            <w:vAlign w:val="bottom"/>
            <w:hideMark/>
          </w:tcPr>
          <w:p w14:paraId="12E976F6" w14:textId="77777777" w:rsidR="00FE461F" w:rsidRPr="005E4BEA" w:rsidRDefault="00FE461F" w:rsidP="00FE461F">
            <w:pPr>
              <w:spacing w:line="240" w:lineRule="auto"/>
              <w:jc w:val="right"/>
              <w:rPr>
                <w:rFonts w:cs="Arial"/>
                <w:szCs w:val="20"/>
              </w:rPr>
            </w:pPr>
            <w:r w:rsidRPr="005E4BEA">
              <w:rPr>
                <w:rFonts w:cs="Arial"/>
                <w:szCs w:val="20"/>
              </w:rPr>
              <w:t>27,4</w:t>
            </w:r>
          </w:p>
        </w:tc>
      </w:tr>
      <w:tr w:rsidR="00FE461F" w:rsidRPr="005E4BEA" w14:paraId="54AD31B4"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889B42B" w14:textId="77777777" w:rsidR="00FE461F" w:rsidRPr="005E4BEA" w:rsidRDefault="00FE461F" w:rsidP="00FE461F">
            <w:pPr>
              <w:spacing w:line="240" w:lineRule="auto"/>
              <w:rPr>
                <w:rFonts w:cs="Arial"/>
                <w:szCs w:val="20"/>
              </w:rPr>
            </w:pPr>
            <w:r w:rsidRPr="005E4BEA">
              <w:rPr>
                <w:rFonts w:cs="Arial"/>
                <w:szCs w:val="20"/>
              </w:rPr>
              <w:t>Splošna bolnišnica Brežice</w:t>
            </w:r>
          </w:p>
        </w:tc>
        <w:tc>
          <w:tcPr>
            <w:tcW w:w="1022" w:type="dxa"/>
            <w:tcBorders>
              <w:top w:val="nil"/>
              <w:left w:val="nil"/>
              <w:bottom w:val="single" w:sz="4" w:space="0" w:color="auto"/>
              <w:right w:val="single" w:sz="4" w:space="0" w:color="auto"/>
            </w:tcBorders>
            <w:noWrap/>
            <w:vAlign w:val="bottom"/>
            <w:hideMark/>
          </w:tcPr>
          <w:p w14:paraId="75D18B44"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2D8B202" w14:textId="77777777" w:rsidR="00FE461F" w:rsidRPr="005E4BEA" w:rsidRDefault="00FE461F" w:rsidP="00FE461F">
            <w:pPr>
              <w:spacing w:line="240" w:lineRule="auto"/>
              <w:jc w:val="right"/>
              <w:rPr>
                <w:rFonts w:cs="Arial"/>
                <w:szCs w:val="20"/>
              </w:rPr>
            </w:pPr>
            <w:r w:rsidRPr="005E4BEA">
              <w:rPr>
                <w:rFonts w:cs="Arial"/>
                <w:szCs w:val="20"/>
              </w:rPr>
              <w:t>79</w:t>
            </w:r>
          </w:p>
        </w:tc>
        <w:tc>
          <w:tcPr>
            <w:tcW w:w="2011" w:type="dxa"/>
            <w:tcBorders>
              <w:top w:val="nil"/>
              <w:left w:val="nil"/>
              <w:bottom w:val="single" w:sz="4" w:space="0" w:color="auto"/>
              <w:right w:val="single" w:sz="4" w:space="0" w:color="auto"/>
            </w:tcBorders>
            <w:noWrap/>
            <w:vAlign w:val="bottom"/>
            <w:hideMark/>
          </w:tcPr>
          <w:p w14:paraId="4E31A568" w14:textId="77777777" w:rsidR="00FE461F" w:rsidRPr="005E4BEA" w:rsidRDefault="00FE461F" w:rsidP="00FE461F">
            <w:pPr>
              <w:spacing w:line="240" w:lineRule="auto"/>
              <w:jc w:val="right"/>
              <w:rPr>
                <w:rFonts w:cs="Arial"/>
                <w:szCs w:val="20"/>
              </w:rPr>
            </w:pPr>
            <w:r w:rsidRPr="005E4BEA">
              <w:rPr>
                <w:rFonts w:cs="Arial"/>
                <w:szCs w:val="20"/>
              </w:rPr>
              <w:t>313</w:t>
            </w:r>
          </w:p>
        </w:tc>
        <w:tc>
          <w:tcPr>
            <w:tcW w:w="1584" w:type="dxa"/>
            <w:tcBorders>
              <w:top w:val="nil"/>
              <w:left w:val="nil"/>
              <w:bottom w:val="single" w:sz="4" w:space="0" w:color="auto"/>
              <w:right w:val="single" w:sz="4" w:space="0" w:color="auto"/>
            </w:tcBorders>
            <w:noWrap/>
            <w:vAlign w:val="bottom"/>
            <w:hideMark/>
          </w:tcPr>
          <w:p w14:paraId="61A366D7" w14:textId="77777777" w:rsidR="00FE461F" w:rsidRPr="005E4BEA" w:rsidRDefault="00FE461F" w:rsidP="00FE461F">
            <w:pPr>
              <w:spacing w:line="240" w:lineRule="auto"/>
              <w:jc w:val="right"/>
              <w:rPr>
                <w:rFonts w:cs="Arial"/>
                <w:szCs w:val="20"/>
              </w:rPr>
            </w:pPr>
            <w:r w:rsidRPr="005E4BEA">
              <w:rPr>
                <w:rFonts w:cs="Arial"/>
                <w:szCs w:val="20"/>
              </w:rPr>
              <w:t>25,2</w:t>
            </w:r>
          </w:p>
        </w:tc>
      </w:tr>
      <w:tr w:rsidR="00FE461F" w:rsidRPr="005E4BEA" w14:paraId="7D9FAB7B" w14:textId="77777777" w:rsidTr="0016774B">
        <w:trPr>
          <w:trHeight w:val="189"/>
        </w:trPr>
        <w:tc>
          <w:tcPr>
            <w:tcW w:w="3795" w:type="dxa"/>
            <w:tcBorders>
              <w:top w:val="nil"/>
              <w:left w:val="single" w:sz="4" w:space="0" w:color="auto"/>
              <w:bottom w:val="nil"/>
              <w:right w:val="single" w:sz="4" w:space="0" w:color="auto"/>
            </w:tcBorders>
            <w:hideMark/>
          </w:tcPr>
          <w:p w14:paraId="135899F0" w14:textId="77777777" w:rsidR="00FE461F" w:rsidRPr="005E4BEA" w:rsidRDefault="00FE461F" w:rsidP="00FE461F">
            <w:pPr>
              <w:spacing w:line="240" w:lineRule="auto"/>
              <w:rPr>
                <w:rFonts w:cs="Arial"/>
                <w:szCs w:val="20"/>
              </w:rPr>
            </w:pPr>
            <w:r w:rsidRPr="005E4BEA">
              <w:rPr>
                <w:rFonts w:cs="Arial"/>
                <w:szCs w:val="20"/>
              </w:rPr>
              <w:t>Splošna bolnišnica Celje</w:t>
            </w:r>
          </w:p>
        </w:tc>
        <w:tc>
          <w:tcPr>
            <w:tcW w:w="1022" w:type="dxa"/>
            <w:tcBorders>
              <w:top w:val="nil"/>
              <w:left w:val="nil"/>
              <w:bottom w:val="nil"/>
              <w:right w:val="single" w:sz="4" w:space="0" w:color="auto"/>
            </w:tcBorders>
            <w:noWrap/>
            <w:vAlign w:val="bottom"/>
            <w:hideMark/>
          </w:tcPr>
          <w:p w14:paraId="491653F8"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78A02B61" w14:textId="77777777" w:rsidR="00FE461F" w:rsidRPr="005E4BEA" w:rsidRDefault="00FE461F" w:rsidP="00FE461F">
            <w:pPr>
              <w:spacing w:line="240" w:lineRule="auto"/>
              <w:jc w:val="right"/>
              <w:rPr>
                <w:rFonts w:cs="Arial"/>
                <w:szCs w:val="20"/>
              </w:rPr>
            </w:pPr>
            <w:r w:rsidRPr="005E4BEA">
              <w:rPr>
                <w:rFonts w:cs="Arial"/>
                <w:szCs w:val="20"/>
              </w:rPr>
              <w:t>449</w:t>
            </w:r>
          </w:p>
        </w:tc>
        <w:tc>
          <w:tcPr>
            <w:tcW w:w="2011" w:type="dxa"/>
            <w:tcBorders>
              <w:top w:val="nil"/>
              <w:left w:val="nil"/>
              <w:bottom w:val="nil"/>
              <w:right w:val="single" w:sz="4" w:space="0" w:color="auto"/>
            </w:tcBorders>
            <w:noWrap/>
            <w:vAlign w:val="bottom"/>
            <w:hideMark/>
          </w:tcPr>
          <w:p w14:paraId="33AD23B9" w14:textId="77777777" w:rsidR="00FE461F" w:rsidRPr="005E4BEA" w:rsidRDefault="00FE461F" w:rsidP="00FE461F">
            <w:pPr>
              <w:spacing w:line="240" w:lineRule="auto"/>
              <w:jc w:val="right"/>
              <w:rPr>
                <w:rFonts w:cs="Arial"/>
                <w:szCs w:val="20"/>
              </w:rPr>
            </w:pPr>
            <w:r w:rsidRPr="005E4BEA">
              <w:rPr>
                <w:rFonts w:cs="Arial"/>
                <w:szCs w:val="20"/>
              </w:rPr>
              <w:t>1.585</w:t>
            </w:r>
          </w:p>
        </w:tc>
        <w:tc>
          <w:tcPr>
            <w:tcW w:w="1584" w:type="dxa"/>
            <w:tcBorders>
              <w:top w:val="nil"/>
              <w:left w:val="nil"/>
              <w:bottom w:val="nil"/>
              <w:right w:val="single" w:sz="4" w:space="0" w:color="auto"/>
            </w:tcBorders>
            <w:noWrap/>
            <w:vAlign w:val="bottom"/>
            <w:hideMark/>
          </w:tcPr>
          <w:p w14:paraId="144030E0" w14:textId="77777777" w:rsidR="00FE461F" w:rsidRPr="005E4BEA" w:rsidRDefault="00FE461F" w:rsidP="00FE461F">
            <w:pPr>
              <w:spacing w:line="240" w:lineRule="auto"/>
              <w:jc w:val="right"/>
              <w:rPr>
                <w:rFonts w:cs="Arial"/>
                <w:szCs w:val="20"/>
              </w:rPr>
            </w:pPr>
            <w:r w:rsidRPr="005E4BEA">
              <w:rPr>
                <w:rFonts w:cs="Arial"/>
                <w:szCs w:val="20"/>
              </w:rPr>
              <w:t>28,3</w:t>
            </w:r>
          </w:p>
        </w:tc>
      </w:tr>
      <w:tr w:rsidR="00FE461F" w:rsidRPr="005E4BEA" w14:paraId="516A25CC" w14:textId="77777777" w:rsidTr="0016774B">
        <w:trPr>
          <w:trHeight w:val="189"/>
        </w:trPr>
        <w:tc>
          <w:tcPr>
            <w:tcW w:w="3795" w:type="dxa"/>
            <w:tcBorders>
              <w:top w:val="nil"/>
              <w:left w:val="single" w:sz="4" w:space="0" w:color="auto"/>
              <w:bottom w:val="nil"/>
              <w:right w:val="single" w:sz="4" w:space="0" w:color="auto"/>
            </w:tcBorders>
            <w:hideMark/>
          </w:tcPr>
          <w:p w14:paraId="71829108" w14:textId="77777777" w:rsidR="00FE461F" w:rsidRPr="005E4BEA" w:rsidRDefault="00FE461F" w:rsidP="00FE461F">
            <w:pPr>
              <w:spacing w:line="240" w:lineRule="auto"/>
              <w:rPr>
                <w:rFonts w:cs="Arial"/>
                <w:szCs w:val="20"/>
              </w:rPr>
            </w:pPr>
            <w:r w:rsidRPr="005E4BEA">
              <w:rPr>
                <w:rFonts w:cs="Arial"/>
                <w:szCs w:val="20"/>
              </w:rPr>
              <w:t>Splošna bolnišnica Celje</w:t>
            </w:r>
          </w:p>
        </w:tc>
        <w:tc>
          <w:tcPr>
            <w:tcW w:w="1022" w:type="dxa"/>
            <w:tcBorders>
              <w:top w:val="nil"/>
              <w:left w:val="nil"/>
              <w:bottom w:val="nil"/>
              <w:right w:val="single" w:sz="4" w:space="0" w:color="auto"/>
            </w:tcBorders>
            <w:noWrap/>
            <w:vAlign w:val="bottom"/>
            <w:hideMark/>
          </w:tcPr>
          <w:p w14:paraId="3902C9C8"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3B03CA75" w14:textId="77777777" w:rsidR="00FE461F" w:rsidRPr="005E4BEA" w:rsidRDefault="00FE461F" w:rsidP="00FE461F">
            <w:pPr>
              <w:spacing w:line="240" w:lineRule="auto"/>
              <w:jc w:val="right"/>
              <w:rPr>
                <w:rFonts w:cs="Arial"/>
                <w:szCs w:val="20"/>
              </w:rPr>
            </w:pPr>
            <w:r w:rsidRPr="005E4BEA">
              <w:rPr>
                <w:rFonts w:cs="Arial"/>
                <w:szCs w:val="20"/>
              </w:rPr>
              <w:t>503</w:t>
            </w:r>
          </w:p>
        </w:tc>
        <w:tc>
          <w:tcPr>
            <w:tcW w:w="2011" w:type="dxa"/>
            <w:tcBorders>
              <w:top w:val="nil"/>
              <w:left w:val="nil"/>
              <w:bottom w:val="nil"/>
              <w:right w:val="single" w:sz="4" w:space="0" w:color="auto"/>
            </w:tcBorders>
            <w:noWrap/>
            <w:vAlign w:val="bottom"/>
            <w:hideMark/>
          </w:tcPr>
          <w:p w14:paraId="1B7ACB50" w14:textId="77777777" w:rsidR="00FE461F" w:rsidRPr="005E4BEA" w:rsidRDefault="00FE461F" w:rsidP="00FE461F">
            <w:pPr>
              <w:spacing w:line="240" w:lineRule="auto"/>
              <w:jc w:val="right"/>
              <w:rPr>
                <w:rFonts w:cs="Arial"/>
                <w:szCs w:val="20"/>
              </w:rPr>
            </w:pPr>
            <w:r w:rsidRPr="005E4BEA">
              <w:rPr>
                <w:rFonts w:cs="Arial"/>
                <w:szCs w:val="20"/>
              </w:rPr>
              <w:t>1.803</w:t>
            </w:r>
          </w:p>
        </w:tc>
        <w:tc>
          <w:tcPr>
            <w:tcW w:w="1584" w:type="dxa"/>
            <w:tcBorders>
              <w:top w:val="nil"/>
              <w:left w:val="nil"/>
              <w:bottom w:val="nil"/>
              <w:right w:val="single" w:sz="4" w:space="0" w:color="auto"/>
            </w:tcBorders>
            <w:noWrap/>
            <w:vAlign w:val="bottom"/>
            <w:hideMark/>
          </w:tcPr>
          <w:p w14:paraId="50D6899D" w14:textId="77777777" w:rsidR="00FE461F" w:rsidRPr="005E4BEA" w:rsidRDefault="00FE461F" w:rsidP="00FE461F">
            <w:pPr>
              <w:spacing w:line="240" w:lineRule="auto"/>
              <w:jc w:val="right"/>
              <w:rPr>
                <w:rFonts w:cs="Arial"/>
                <w:szCs w:val="20"/>
              </w:rPr>
            </w:pPr>
            <w:r w:rsidRPr="005E4BEA">
              <w:rPr>
                <w:rFonts w:cs="Arial"/>
                <w:szCs w:val="20"/>
              </w:rPr>
              <w:t>27,9</w:t>
            </w:r>
          </w:p>
        </w:tc>
      </w:tr>
      <w:tr w:rsidR="00FE461F" w:rsidRPr="005E4BEA" w14:paraId="1041FB0B" w14:textId="77777777" w:rsidTr="0016774B">
        <w:trPr>
          <w:trHeight w:val="189"/>
        </w:trPr>
        <w:tc>
          <w:tcPr>
            <w:tcW w:w="3795" w:type="dxa"/>
            <w:tcBorders>
              <w:top w:val="nil"/>
              <w:left w:val="single" w:sz="4" w:space="0" w:color="auto"/>
              <w:bottom w:val="nil"/>
              <w:right w:val="single" w:sz="4" w:space="0" w:color="auto"/>
            </w:tcBorders>
            <w:hideMark/>
          </w:tcPr>
          <w:p w14:paraId="7038F42C" w14:textId="77777777" w:rsidR="00FE461F" w:rsidRPr="005E4BEA" w:rsidRDefault="00FE461F" w:rsidP="00FE461F">
            <w:pPr>
              <w:spacing w:line="240" w:lineRule="auto"/>
              <w:rPr>
                <w:rFonts w:cs="Arial"/>
                <w:szCs w:val="20"/>
              </w:rPr>
            </w:pPr>
            <w:r w:rsidRPr="005E4BEA">
              <w:rPr>
                <w:rFonts w:cs="Arial"/>
                <w:szCs w:val="20"/>
              </w:rPr>
              <w:t>Splošna bolnišnica Celje</w:t>
            </w:r>
          </w:p>
        </w:tc>
        <w:tc>
          <w:tcPr>
            <w:tcW w:w="1022" w:type="dxa"/>
            <w:tcBorders>
              <w:top w:val="nil"/>
              <w:left w:val="nil"/>
              <w:bottom w:val="nil"/>
              <w:right w:val="single" w:sz="4" w:space="0" w:color="auto"/>
            </w:tcBorders>
            <w:noWrap/>
            <w:vAlign w:val="bottom"/>
            <w:hideMark/>
          </w:tcPr>
          <w:p w14:paraId="53FC3FDB"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0F2AA8C7" w14:textId="77777777" w:rsidR="00FE461F" w:rsidRPr="005E4BEA" w:rsidRDefault="00FE461F" w:rsidP="00FE461F">
            <w:pPr>
              <w:spacing w:line="240" w:lineRule="auto"/>
              <w:jc w:val="right"/>
              <w:rPr>
                <w:rFonts w:cs="Arial"/>
                <w:szCs w:val="20"/>
              </w:rPr>
            </w:pPr>
            <w:r w:rsidRPr="005E4BEA">
              <w:rPr>
                <w:rFonts w:cs="Arial"/>
                <w:szCs w:val="20"/>
              </w:rPr>
              <w:t>462</w:t>
            </w:r>
          </w:p>
        </w:tc>
        <w:tc>
          <w:tcPr>
            <w:tcW w:w="2011" w:type="dxa"/>
            <w:tcBorders>
              <w:top w:val="nil"/>
              <w:left w:val="nil"/>
              <w:bottom w:val="nil"/>
              <w:right w:val="single" w:sz="4" w:space="0" w:color="auto"/>
            </w:tcBorders>
            <w:noWrap/>
            <w:vAlign w:val="bottom"/>
            <w:hideMark/>
          </w:tcPr>
          <w:p w14:paraId="72998333" w14:textId="77777777" w:rsidR="00FE461F" w:rsidRPr="005E4BEA" w:rsidRDefault="00FE461F" w:rsidP="00FE461F">
            <w:pPr>
              <w:spacing w:line="240" w:lineRule="auto"/>
              <w:jc w:val="right"/>
              <w:rPr>
                <w:rFonts w:cs="Arial"/>
                <w:szCs w:val="20"/>
              </w:rPr>
            </w:pPr>
            <w:r w:rsidRPr="005E4BEA">
              <w:rPr>
                <w:rFonts w:cs="Arial"/>
                <w:szCs w:val="20"/>
              </w:rPr>
              <w:t>1.725</w:t>
            </w:r>
          </w:p>
        </w:tc>
        <w:tc>
          <w:tcPr>
            <w:tcW w:w="1584" w:type="dxa"/>
            <w:tcBorders>
              <w:top w:val="nil"/>
              <w:left w:val="nil"/>
              <w:bottom w:val="nil"/>
              <w:right w:val="single" w:sz="4" w:space="0" w:color="auto"/>
            </w:tcBorders>
            <w:noWrap/>
            <w:vAlign w:val="bottom"/>
            <w:hideMark/>
          </w:tcPr>
          <w:p w14:paraId="064B427A" w14:textId="77777777" w:rsidR="00FE461F" w:rsidRPr="005E4BEA" w:rsidRDefault="00FE461F" w:rsidP="00FE461F">
            <w:pPr>
              <w:spacing w:line="240" w:lineRule="auto"/>
              <w:jc w:val="right"/>
              <w:rPr>
                <w:rFonts w:cs="Arial"/>
                <w:szCs w:val="20"/>
              </w:rPr>
            </w:pPr>
            <w:r w:rsidRPr="005E4BEA">
              <w:rPr>
                <w:rFonts w:cs="Arial"/>
                <w:szCs w:val="20"/>
              </w:rPr>
              <w:t>26,8</w:t>
            </w:r>
          </w:p>
        </w:tc>
      </w:tr>
      <w:tr w:rsidR="00FE461F" w:rsidRPr="005E4BEA" w14:paraId="44A253FB" w14:textId="77777777" w:rsidTr="0016774B">
        <w:trPr>
          <w:trHeight w:val="189"/>
        </w:trPr>
        <w:tc>
          <w:tcPr>
            <w:tcW w:w="3795" w:type="dxa"/>
            <w:tcBorders>
              <w:top w:val="nil"/>
              <w:left w:val="single" w:sz="4" w:space="0" w:color="auto"/>
              <w:bottom w:val="nil"/>
              <w:right w:val="single" w:sz="4" w:space="0" w:color="auto"/>
            </w:tcBorders>
            <w:hideMark/>
          </w:tcPr>
          <w:p w14:paraId="4E489BBA" w14:textId="77777777" w:rsidR="00FE461F" w:rsidRPr="005E4BEA" w:rsidRDefault="00FE461F" w:rsidP="00FE461F">
            <w:pPr>
              <w:spacing w:line="240" w:lineRule="auto"/>
              <w:rPr>
                <w:rFonts w:cs="Arial"/>
                <w:szCs w:val="20"/>
              </w:rPr>
            </w:pPr>
            <w:r w:rsidRPr="005E4BEA">
              <w:rPr>
                <w:rFonts w:cs="Arial"/>
                <w:szCs w:val="20"/>
              </w:rPr>
              <w:lastRenderedPageBreak/>
              <w:t>Splošna bolnišnica Celje</w:t>
            </w:r>
          </w:p>
        </w:tc>
        <w:tc>
          <w:tcPr>
            <w:tcW w:w="1022" w:type="dxa"/>
            <w:tcBorders>
              <w:top w:val="nil"/>
              <w:left w:val="nil"/>
              <w:bottom w:val="nil"/>
              <w:right w:val="single" w:sz="4" w:space="0" w:color="auto"/>
            </w:tcBorders>
            <w:noWrap/>
            <w:vAlign w:val="bottom"/>
            <w:hideMark/>
          </w:tcPr>
          <w:p w14:paraId="528B1A64"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D8056C7" w14:textId="77777777" w:rsidR="00FE461F" w:rsidRPr="005E4BEA" w:rsidRDefault="00FE461F" w:rsidP="00FE461F">
            <w:pPr>
              <w:spacing w:line="240" w:lineRule="auto"/>
              <w:jc w:val="right"/>
              <w:rPr>
                <w:rFonts w:cs="Arial"/>
                <w:szCs w:val="20"/>
              </w:rPr>
            </w:pPr>
            <w:r w:rsidRPr="005E4BEA">
              <w:rPr>
                <w:rFonts w:cs="Arial"/>
                <w:szCs w:val="20"/>
              </w:rPr>
              <w:t>471</w:t>
            </w:r>
          </w:p>
        </w:tc>
        <w:tc>
          <w:tcPr>
            <w:tcW w:w="2011" w:type="dxa"/>
            <w:tcBorders>
              <w:top w:val="nil"/>
              <w:left w:val="nil"/>
              <w:bottom w:val="nil"/>
              <w:right w:val="single" w:sz="4" w:space="0" w:color="auto"/>
            </w:tcBorders>
            <w:noWrap/>
            <w:vAlign w:val="bottom"/>
            <w:hideMark/>
          </w:tcPr>
          <w:p w14:paraId="7F8DF212" w14:textId="77777777" w:rsidR="00FE461F" w:rsidRPr="005E4BEA" w:rsidRDefault="00FE461F" w:rsidP="00FE461F">
            <w:pPr>
              <w:spacing w:line="240" w:lineRule="auto"/>
              <w:jc w:val="right"/>
              <w:rPr>
                <w:rFonts w:cs="Arial"/>
                <w:szCs w:val="20"/>
              </w:rPr>
            </w:pPr>
            <w:r w:rsidRPr="005E4BEA">
              <w:rPr>
                <w:rFonts w:cs="Arial"/>
                <w:szCs w:val="20"/>
              </w:rPr>
              <w:t>1.742</w:t>
            </w:r>
          </w:p>
        </w:tc>
        <w:tc>
          <w:tcPr>
            <w:tcW w:w="1584" w:type="dxa"/>
            <w:tcBorders>
              <w:top w:val="nil"/>
              <w:left w:val="nil"/>
              <w:bottom w:val="nil"/>
              <w:right w:val="single" w:sz="4" w:space="0" w:color="auto"/>
            </w:tcBorders>
            <w:noWrap/>
            <w:vAlign w:val="bottom"/>
            <w:hideMark/>
          </w:tcPr>
          <w:p w14:paraId="038C9E52" w14:textId="77777777" w:rsidR="00FE461F" w:rsidRPr="005E4BEA" w:rsidRDefault="00FE461F" w:rsidP="00FE461F">
            <w:pPr>
              <w:spacing w:line="240" w:lineRule="auto"/>
              <w:jc w:val="right"/>
              <w:rPr>
                <w:rFonts w:cs="Arial"/>
                <w:szCs w:val="20"/>
              </w:rPr>
            </w:pPr>
            <w:r w:rsidRPr="005E4BEA">
              <w:rPr>
                <w:rFonts w:cs="Arial"/>
                <w:szCs w:val="20"/>
              </w:rPr>
              <w:t>27,0</w:t>
            </w:r>
          </w:p>
        </w:tc>
      </w:tr>
      <w:tr w:rsidR="00FE461F" w:rsidRPr="005E4BEA" w14:paraId="7E23BA3F" w14:textId="77777777" w:rsidTr="0016774B">
        <w:trPr>
          <w:trHeight w:val="189"/>
        </w:trPr>
        <w:tc>
          <w:tcPr>
            <w:tcW w:w="3795" w:type="dxa"/>
            <w:tcBorders>
              <w:top w:val="nil"/>
              <w:left w:val="single" w:sz="4" w:space="0" w:color="auto"/>
              <w:bottom w:val="nil"/>
              <w:right w:val="single" w:sz="4" w:space="0" w:color="auto"/>
            </w:tcBorders>
            <w:hideMark/>
          </w:tcPr>
          <w:p w14:paraId="227C93C2" w14:textId="77777777" w:rsidR="00FE461F" w:rsidRPr="005E4BEA" w:rsidRDefault="00FE461F" w:rsidP="00FE461F">
            <w:pPr>
              <w:spacing w:line="240" w:lineRule="auto"/>
              <w:rPr>
                <w:rFonts w:cs="Arial"/>
                <w:szCs w:val="20"/>
              </w:rPr>
            </w:pPr>
            <w:r w:rsidRPr="005E4BEA">
              <w:rPr>
                <w:rFonts w:cs="Arial"/>
                <w:szCs w:val="20"/>
              </w:rPr>
              <w:t>Splošna bolnišnica Celje</w:t>
            </w:r>
          </w:p>
        </w:tc>
        <w:tc>
          <w:tcPr>
            <w:tcW w:w="1022" w:type="dxa"/>
            <w:tcBorders>
              <w:top w:val="nil"/>
              <w:left w:val="nil"/>
              <w:bottom w:val="nil"/>
              <w:right w:val="single" w:sz="4" w:space="0" w:color="auto"/>
            </w:tcBorders>
            <w:noWrap/>
            <w:vAlign w:val="bottom"/>
            <w:hideMark/>
          </w:tcPr>
          <w:p w14:paraId="203D4F92"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6B226290" w14:textId="77777777" w:rsidR="00FE461F" w:rsidRPr="005E4BEA" w:rsidRDefault="00FE461F" w:rsidP="00FE461F">
            <w:pPr>
              <w:spacing w:line="240" w:lineRule="auto"/>
              <w:jc w:val="right"/>
              <w:rPr>
                <w:rFonts w:cs="Arial"/>
                <w:szCs w:val="20"/>
              </w:rPr>
            </w:pPr>
            <w:r w:rsidRPr="005E4BEA">
              <w:rPr>
                <w:rFonts w:cs="Arial"/>
                <w:szCs w:val="20"/>
              </w:rPr>
              <w:t>479</w:t>
            </w:r>
          </w:p>
        </w:tc>
        <w:tc>
          <w:tcPr>
            <w:tcW w:w="2011" w:type="dxa"/>
            <w:tcBorders>
              <w:top w:val="nil"/>
              <w:left w:val="nil"/>
              <w:bottom w:val="nil"/>
              <w:right w:val="single" w:sz="4" w:space="0" w:color="auto"/>
            </w:tcBorders>
            <w:noWrap/>
            <w:vAlign w:val="bottom"/>
            <w:hideMark/>
          </w:tcPr>
          <w:p w14:paraId="212C15F1" w14:textId="77777777" w:rsidR="00FE461F" w:rsidRPr="005E4BEA" w:rsidRDefault="00FE461F" w:rsidP="00FE461F">
            <w:pPr>
              <w:spacing w:line="240" w:lineRule="auto"/>
              <w:jc w:val="right"/>
              <w:rPr>
                <w:rFonts w:cs="Arial"/>
                <w:szCs w:val="20"/>
              </w:rPr>
            </w:pPr>
            <w:r w:rsidRPr="005E4BEA">
              <w:rPr>
                <w:rFonts w:cs="Arial"/>
                <w:szCs w:val="20"/>
              </w:rPr>
              <w:t>1.786</w:t>
            </w:r>
          </w:p>
        </w:tc>
        <w:tc>
          <w:tcPr>
            <w:tcW w:w="1584" w:type="dxa"/>
            <w:tcBorders>
              <w:top w:val="nil"/>
              <w:left w:val="nil"/>
              <w:bottom w:val="nil"/>
              <w:right w:val="single" w:sz="4" w:space="0" w:color="auto"/>
            </w:tcBorders>
            <w:noWrap/>
            <w:vAlign w:val="bottom"/>
            <w:hideMark/>
          </w:tcPr>
          <w:p w14:paraId="33527A1F" w14:textId="77777777" w:rsidR="00FE461F" w:rsidRPr="005E4BEA" w:rsidRDefault="00FE461F" w:rsidP="00FE461F">
            <w:pPr>
              <w:spacing w:line="240" w:lineRule="auto"/>
              <w:jc w:val="right"/>
              <w:rPr>
                <w:rFonts w:cs="Arial"/>
                <w:szCs w:val="20"/>
              </w:rPr>
            </w:pPr>
            <w:r w:rsidRPr="005E4BEA">
              <w:rPr>
                <w:rFonts w:cs="Arial"/>
                <w:szCs w:val="20"/>
              </w:rPr>
              <w:t>26,8</w:t>
            </w:r>
          </w:p>
        </w:tc>
      </w:tr>
      <w:tr w:rsidR="00FE461F" w:rsidRPr="005E4BEA" w14:paraId="54A17C0B"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3BACEB90" w14:textId="77777777" w:rsidR="00FE461F" w:rsidRPr="005E4BEA" w:rsidRDefault="00FE461F" w:rsidP="00FE461F">
            <w:pPr>
              <w:spacing w:line="240" w:lineRule="auto"/>
              <w:rPr>
                <w:rFonts w:cs="Arial"/>
                <w:szCs w:val="20"/>
              </w:rPr>
            </w:pPr>
            <w:r w:rsidRPr="005E4BEA">
              <w:rPr>
                <w:rFonts w:cs="Arial"/>
                <w:szCs w:val="20"/>
              </w:rPr>
              <w:t>Splošna bolnišnica Celje</w:t>
            </w:r>
          </w:p>
        </w:tc>
        <w:tc>
          <w:tcPr>
            <w:tcW w:w="1022" w:type="dxa"/>
            <w:tcBorders>
              <w:top w:val="nil"/>
              <w:left w:val="nil"/>
              <w:bottom w:val="single" w:sz="4" w:space="0" w:color="auto"/>
              <w:right w:val="single" w:sz="4" w:space="0" w:color="auto"/>
            </w:tcBorders>
            <w:noWrap/>
            <w:vAlign w:val="bottom"/>
            <w:hideMark/>
          </w:tcPr>
          <w:p w14:paraId="73D5C3B5"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6AC1F322" w14:textId="77777777" w:rsidR="00FE461F" w:rsidRPr="005E4BEA" w:rsidRDefault="00FE461F" w:rsidP="00FE461F">
            <w:pPr>
              <w:spacing w:line="240" w:lineRule="auto"/>
              <w:jc w:val="right"/>
              <w:rPr>
                <w:rFonts w:cs="Arial"/>
                <w:szCs w:val="20"/>
              </w:rPr>
            </w:pPr>
            <w:r w:rsidRPr="005E4BEA">
              <w:rPr>
                <w:rFonts w:cs="Arial"/>
                <w:szCs w:val="20"/>
              </w:rPr>
              <w:t>474</w:t>
            </w:r>
          </w:p>
        </w:tc>
        <w:tc>
          <w:tcPr>
            <w:tcW w:w="2011" w:type="dxa"/>
            <w:tcBorders>
              <w:top w:val="nil"/>
              <w:left w:val="nil"/>
              <w:bottom w:val="single" w:sz="4" w:space="0" w:color="auto"/>
              <w:right w:val="single" w:sz="4" w:space="0" w:color="auto"/>
            </w:tcBorders>
            <w:noWrap/>
            <w:vAlign w:val="bottom"/>
            <w:hideMark/>
          </w:tcPr>
          <w:p w14:paraId="2D994D46" w14:textId="77777777" w:rsidR="00FE461F" w:rsidRPr="005E4BEA" w:rsidRDefault="00FE461F" w:rsidP="00FE461F">
            <w:pPr>
              <w:spacing w:line="240" w:lineRule="auto"/>
              <w:jc w:val="right"/>
              <w:rPr>
                <w:rFonts w:cs="Arial"/>
                <w:szCs w:val="20"/>
              </w:rPr>
            </w:pPr>
            <w:r w:rsidRPr="005E4BEA">
              <w:rPr>
                <w:rFonts w:cs="Arial"/>
                <w:szCs w:val="20"/>
              </w:rPr>
              <w:t>1.784</w:t>
            </w:r>
          </w:p>
        </w:tc>
        <w:tc>
          <w:tcPr>
            <w:tcW w:w="1584" w:type="dxa"/>
            <w:tcBorders>
              <w:top w:val="nil"/>
              <w:left w:val="nil"/>
              <w:bottom w:val="single" w:sz="4" w:space="0" w:color="auto"/>
              <w:right w:val="single" w:sz="4" w:space="0" w:color="auto"/>
            </w:tcBorders>
            <w:noWrap/>
            <w:vAlign w:val="bottom"/>
            <w:hideMark/>
          </w:tcPr>
          <w:p w14:paraId="6D363BD0" w14:textId="77777777" w:rsidR="00FE461F" w:rsidRPr="005E4BEA" w:rsidRDefault="00FE461F" w:rsidP="00FE461F">
            <w:pPr>
              <w:spacing w:line="240" w:lineRule="auto"/>
              <w:jc w:val="right"/>
              <w:rPr>
                <w:rFonts w:cs="Arial"/>
                <w:szCs w:val="20"/>
              </w:rPr>
            </w:pPr>
            <w:r w:rsidRPr="005E4BEA">
              <w:rPr>
                <w:rFonts w:cs="Arial"/>
                <w:szCs w:val="20"/>
              </w:rPr>
              <w:t>26,6</w:t>
            </w:r>
          </w:p>
        </w:tc>
      </w:tr>
      <w:tr w:rsidR="00FE461F" w:rsidRPr="005E4BEA" w14:paraId="7E58E8F6" w14:textId="77777777" w:rsidTr="0016774B">
        <w:trPr>
          <w:trHeight w:val="189"/>
        </w:trPr>
        <w:tc>
          <w:tcPr>
            <w:tcW w:w="3795" w:type="dxa"/>
            <w:tcBorders>
              <w:top w:val="nil"/>
              <w:left w:val="single" w:sz="4" w:space="0" w:color="auto"/>
              <w:bottom w:val="nil"/>
              <w:right w:val="single" w:sz="4" w:space="0" w:color="auto"/>
            </w:tcBorders>
            <w:hideMark/>
          </w:tcPr>
          <w:p w14:paraId="522097F9" w14:textId="77777777" w:rsidR="00FE461F" w:rsidRPr="005E4BEA" w:rsidRDefault="00FE461F" w:rsidP="00FE461F">
            <w:pPr>
              <w:spacing w:line="240" w:lineRule="auto"/>
              <w:rPr>
                <w:rFonts w:cs="Arial"/>
                <w:szCs w:val="20"/>
              </w:rPr>
            </w:pPr>
            <w:r w:rsidRPr="005E4BEA">
              <w:rPr>
                <w:rFonts w:cs="Arial"/>
                <w:szCs w:val="20"/>
              </w:rPr>
              <w:t>Splošna bolnišnica dr. Franca Derganca Nova Gorica</w:t>
            </w:r>
          </w:p>
        </w:tc>
        <w:tc>
          <w:tcPr>
            <w:tcW w:w="1022" w:type="dxa"/>
            <w:tcBorders>
              <w:top w:val="nil"/>
              <w:left w:val="nil"/>
              <w:bottom w:val="nil"/>
              <w:right w:val="single" w:sz="4" w:space="0" w:color="auto"/>
            </w:tcBorders>
            <w:noWrap/>
            <w:vAlign w:val="bottom"/>
            <w:hideMark/>
          </w:tcPr>
          <w:p w14:paraId="47730D77"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23D85830" w14:textId="77777777" w:rsidR="00FE461F" w:rsidRPr="005E4BEA" w:rsidRDefault="00FE461F" w:rsidP="00FE461F">
            <w:pPr>
              <w:spacing w:line="240" w:lineRule="auto"/>
              <w:jc w:val="right"/>
              <w:rPr>
                <w:rFonts w:cs="Arial"/>
                <w:szCs w:val="20"/>
              </w:rPr>
            </w:pPr>
            <w:r w:rsidRPr="005E4BEA">
              <w:rPr>
                <w:rFonts w:cs="Arial"/>
                <w:szCs w:val="20"/>
              </w:rPr>
              <w:t>253</w:t>
            </w:r>
          </w:p>
        </w:tc>
        <w:tc>
          <w:tcPr>
            <w:tcW w:w="2011" w:type="dxa"/>
            <w:tcBorders>
              <w:top w:val="nil"/>
              <w:left w:val="nil"/>
              <w:bottom w:val="nil"/>
              <w:right w:val="single" w:sz="4" w:space="0" w:color="auto"/>
            </w:tcBorders>
            <w:noWrap/>
            <w:vAlign w:val="bottom"/>
            <w:hideMark/>
          </w:tcPr>
          <w:p w14:paraId="3DBBE7A1" w14:textId="77777777" w:rsidR="00FE461F" w:rsidRPr="005E4BEA" w:rsidRDefault="00FE461F" w:rsidP="00FE461F">
            <w:pPr>
              <w:spacing w:line="240" w:lineRule="auto"/>
              <w:jc w:val="right"/>
              <w:rPr>
                <w:rFonts w:cs="Arial"/>
                <w:szCs w:val="20"/>
              </w:rPr>
            </w:pPr>
            <w:r w:rsidRPr="005E4BEA">
              <w:rPr>
                <w:rFonts w:cs="Arial"/>
                <w:szCs w:val="20"/>
              </w:rPr>
              <w:t>819</w:t>
            </w:r>
          </w:p>
        </w:tc>
        <w:tc>
          <w:tcPr>
            <w:tcW w:w="1584" w:type="dxa"/>
            <w:tcBorders>
              <w:top w:val="nil"/>
              <w:left w:val="nil"/>
              <w:bottom w:val="nil"/>
              <w:right w:val="single" w:sz="4" w:space="0" w:color="auto"/>
            </w:tcBorders>
            <w:noWrap/>
            <w:vAlign w:val="bottom"/>
            <w:hideMark/>
          </w:tcPr>
          <w:p w14:paraId="6CB1DC2F" w14:textId="77777777" w:rsidR="00FE461F" w:rsidRPr="005E4BEA" w:rsidRDefault="00FE461F" w:rsidP="00FE461F">
            <w:pPr>
              <w:spacing w:line="240" w:lineRule="auto"/>
              <w:jc w:val="right"/>
              <w:rPr>
                <w:rFonts w:cs="Arial"/>
                <w:szCs w:val="20"/>
              </w:rPr>
            </w:pPr>
            <w:r w:rsidRPr="005E4BEA">
              <w:rPr>
                <w:rFonts w:cs="Arial"/>
                <w:szCs w:val="20"/>
              </w:rPr>
              <w:t>30,9</w:t>
            </w:r>
          </w:p>
        </w:tc>
      </w:tr>
      <w:tr w:rsidR="00FE461F" w:rsidRPr="005E4BEA" w14:paraId="097837EC" w14:textId="77777777" w:rsidTr="0016774B">
        <w:trPr>
          <w:trHeight w:val="189"/>
        </w:trPr>
        <w:tc>
          <w:tcPr>
            <w:tcW w:w="3795" w:type="dxa"/>
            <w:tcBorders>
              <w:top w:val="nil"/>
              <w:left w:val="single" w:sz="4" w:space="0" w:color="auto"/>
              <w:bottom w:val="nil"/>
              <w:right w:val="single" w:sz="4" w:space="0" w:color="auto"/>
            </w:tcBorders>
            <w:hideMark/>
          </w:tcPr>
          <w:p w14:paraId="33EE292B" w14:textId="77777777" w:rsidR="00FE461F" w:rsidRPr="005E4BEA" w:rsidRDefault="00FE461F" w:rsidP="00FE461F">
            <w:pPr>
              <w:spacing w:line="240" w:lineRule="auto"/>
              <w:rPr>
                <w:rFonts w:cs="Arial"/>
                <w:szCs w:val="20"/>
              </w:rPr>
            </w:pPr>
            <w:r w:rsidRPr="005E4BEA">
              <w:rPr>
                <w:rFonts w:cs="Arial"/>
                <w:szCs w:val="20"/>
              </w:rPr>
              <w:t>Splošna bolnišnica dr. Franca Derganca Nova Gorica</w:t>
            </w:r>
          </w:p>
        </w:tc>
        <w:tc>
          <w:tcPr>
            <w:tcW w:w="1022" w:type="dxa"/>
            <w:tcBorders>
              <w:top w:val="nil"/>
              <w:left w:val="nil"/>
              <w:bottom w:val="nil"/>
              <w:right w:val="single" w:sz="4" w:space="0" w:color="auto"/>
            </w:tcBorders>
            <w:noWrap/>
            <w:vAlign w:val="bottom"/>
            <w:hideMark/>
          </w:tcPr>
          <w:p w14:paraId="52AE1D94"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7CB19120" w14:textId="77777777" w:rsidR="00FE461F" w:rsidRPr="005E4BEA" w:rsidRDefault="00FE461F" w:rsidP="00FE461F">
            <w:pPr>
              <w:spacing w:line="240" w:lineRule="auto"/>
              <w:jc w:val="right"/>
              <w:rPr>
                <w:rFonts w:cs="Arial"/>
                <w:szCs w:val="20"/>
              </w:rPr>
            </w:pPr>
            <w:r w:rsidRPr="005E4BEA">
              <w:rPr>
                <w:rFonts w:cs="Arial"/>
                <w:szCs w:val="20"/>
              </w:rPr>
              <w:t>278</w:t>
            </w:r>
          </w:p>
        </w:tc>
        <w:tc>
          <w:tcPr>
            <w:tcW w:w="2011" w:type="dxa"/>
            <w:tcBorders>
              <w:top w:val="nil"/>
              <w:left w:val="nil"/>
              <w:bottom w:val="nil"/>
              <w:right w:val="single" w:sz="4" w:space="0" w:color="auto"/>
            </w:tcBorders>
            <w:noWrap/>
            <w:vAlign w:val="bottom"/>
            <w:hideMark/>
          </w:tcPr>
          <w:p w14:paraId="43197B13" w14:textId="77777777" w:rsidR="00FE461F" w:rsidRPr="005E4BEA" w:rsidRDefault="00FE461F" w:rsidP="00FE461F">
            <w:pPr>
              <w:spacing w:line="240" w:lineRule="auto"/>
              <w:jc w:val="right"/>
              <w:rPr>
                <w:rFonts w:cs="Arial"/>
                <w:szCs w:val="20"/>
              </w:rPr>
            </w:pPr>
            <w:r w:rsidRPr="005E4BEA">
              <w:rPr>
                <w:rFonts w:cs="Arial"/>
                <w:szCs w:val="20"/>
              </w:rPr>
              <w:t>901</w:t>
            </w:r>
          </w:p>
        </w:tc>
        <w:tc>
          <w:tcPr>
            <w:tcW w:w="1584" w:type="dxa"/>
            <w:tcBorders>
              <w:top w:val="nil"/>
              <w:left w:val="nil"/>
              <w:bottom w:val="nil"/>
              <w:right w:val="single" w:sz="4" w:space="0" w:color="auto"/>
            </w:tcBorders>
            <w:noWrap/>
            <w:vAlign w:val="bottom"/>
            <w:hideMark/>
          </w:tcPr>
          <w:p w14:paraId="43936AE2" w14:textId="77777777" w:rsidR="00FE461F" w:rsidRPr="005E4BEA" w:rsidRDefault="00FE461F" w:rsidP="00FE461F">
            <w:pPr>
              <w:spacing w:line="240" w:lineRule="auto"/>
              <w:jc w:val="right"/>
              <w:rPr>
                <w:rFonts w:cs="Arial"/>
                <w:szCs w:val="20"/>
              </w:rPr>
            </w:pPr>
            <w:r w:rsidRPr="005E4BEA">
              <w:rPr>
                <w:rFonts w:cs="Arial"/>
                <w:szCs w:val="20"/>
              </w:rPr>
              <w:t>30,9</w:t>
            </w:r>
          </w:p>
        </w:tc>
      </w:tr>
      <w:tr w:rsidR="00FE461F" w:rsidRPr="005E4BEA" w14:paraId="72A93C9C" w14:textId="77777777" w:rsidTr="0016774B">
        <w:trPr>
          <w:trHeight w:val="189"/>
        </w:trPr>
        <w:tc>
          <w:tcPr>
            <w:tcW w:w="3795" w:type="dxa"/>
            <w:tcBorders>
              <w:top w:val="nil"/>
              <w:left w:val="single" w:sz="4" w:space="0" w:color="auto"/>
              <w:bottom w:val="nil"/>
              <w:right w:val="single" w:sz="4" w:space="0" w:color="auto"/>
            </w:tcBorders>
            <w:hideMark/>
          </w:tcPr>
          <w:p w14:paraId="640607B6" w14:textId="77777777" w:rsidR="00FE461F" w:rsidRPr="005E4BEA" w:rsidRDefault="00FE461F" w:rsidP="00FE461F">
            <w:pPr>
              <w:spacing w:line="240" w:lineRule="auto"/>
              <w:rPr>
                <w:rFonts w:cs="Arial"/>
                <w:szCs w:val="20"/>
              </w:rPr>
            </w:pPr>
            <w:r w:rsidRPr="005E4BEA">
              <w:rPr>
                <w:rFonts w:cs="Arial"/>
                <w:szCs w:val="20"/>
              </w:rPr>
              <w:t>Splošna bolnišnica dr. Franca Derganca Nova Gorica</w:t>
            </w:r>
          </w:p>
        </w:tc>
        <w:tc>
          <w:tcPr>
            <w:tcW w:w="1022" w:type="dxa"/>
            <w:tcBorders>
              <w:top w:val="nil"/>
              <w:left w:val="nil"/>
              <w:bottom w:val="nil"/>
              <w:right w:val="single" w:sz="4" w:space="0" w:color="auto"/>
            </w:tcBorders>
            <w:noWrap/>
            <w:vAlign w:val="bottom"/>
            <w:hideMark/>
          </w:tcPr>
          <w:p w14:paraId="5662CD0C"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7612FD6" w14:textId="77777777" w:rsidR="00FE461F" w:rsidRPr="005E4BEA" w:rsidRDefault="00FE461F" w:rsidP="00FE461F">
            <w:pPr>
              <w:spacing w:line="240" w:lineRule="auto"/>
              <w:jc w:val="right"/>
              <w:rPr>
                <w:rFonts w:cs="Arial"/>
                <w:szCs w:val="20"/>
              </w:rPr>
            </w:pPr>
            <w:r w:rsidRPr="005E4BEA">
              <w:rPr>
                <w:rFonts w:cs="Arial"/>
                <w:szCs w:val="20"/>
              </w:rPr>
              <w:t>277</w:t>
            </w:r>
          </w:p>
        </w:tc>
        <w:tc>
          <w:tcPr>
            <w:tcW w:w="2011" w:type="dxa"/>
            <w:tcBorders>
              <w:top w:val="nil"/>
              <w:left w:val="nil"/>
              <w:bottom w:val="nil"/>
              <w:right w:val="single" w:sz="4" w:space="0" w:color="auto"/>
            </w:tcBorders>
            <w:noWrap/>
            <w:vAlign w:val="bottom"/>
            <w:hideMark/>
          </w:tcPr>
          <w:p w14:paraId="5674DC7D" w14:textId="77777777" w:rsidR="00FE461F" w:rsidRPr="005E4BEA" w:rsidRDefault="00FE461F" w:rsidP="00FE461F">
            <w:pPr>
              <w:spacing w:line="240" w:lineRule="auto"/>
              <w:jc w:val="right"/>
              <w:rPr>
                <w:rFonts w:cs="Arial"/>
                <w:szCs w:val="20"/>
              </w:rPr>
            </w:pPr>
            <w:r w:rsidRPr="005E4BEA">
              <w:rPr>
                <w:rFonts w:cs="Arial"/>
                <w:szCs w:val="20"/>
              </w:rPr>
              <w:t>912</w:t>
            </w:r>
          </w:p>
        </w:tc>
        <w:tc>
          <w:tcPr>
            <w:tcW w:w="1584" w:type="dxa"/>
            <w:tcBorders>
              <w:top w:val="nil"/>
              <w:left w:val="nil"/>
              <w:bottom w:val="nil"/>
              <w:right w:val="single" w:sz="4" w:space="0" w:color="auto"/>
            </w:tcBorders>
            <w:noWrap/>
            <w:vAlign w:val="bottom"/>
            <w:hideMark/>
          </w:tcPr>
          <w:p w14:paraId="5C3B86A5" w14:textId="77777777" w:rsidR="00FE461F" w:rsidRPr="005E4BEA" w:rsidRDefault="00FE461F" w:rsidP="00FE461F">
            <w:pPr>
              <w:spacing w:line="240" w:lineRule="auto"/>
              <w:jc w:val="right"/>
              <w:rPr>
                <w:rFonts w:cs="Arial"/>
                <w:szCs w:val="20"/>
              </w:rPr>
            </w:pPr>
            <w:r w:rsidRPr="005E4BEA">
              <w:rPr>
                <w:rFonts w:cs="Arial"/>
                <w:szCs w:val="20"/>
              </w:rPr>
              <w:t>30,4</w:t>
            </w:r>
          </w:p>
        </w:tc>
      </w:tr>
      <w:tr w:rsidR="00FE461F" w:rsidRPr="005E4BEA" w14:paraId="4ABE187E" w14:textId="77777777" w:rsidTr="0016774B">
        <w:trPr>
          <w:trHeight w:val="189"/>
        </w:trPr>
        <w:tc>
          <w:tcPr>
            <w:tcW w:w="3795" w:type="dxa"/>
            <w:tcBorders>
              <w:top w:val="nil"/>
              <w:left w:val="single" w:sz="4" w:space="0" w:color="auto"/>
              <w:bottom w:val="nil"/>
              <w:right w:val="single" w:sz="4" w:space="0" w:color="auto"/>
            </w:tcBorders>
            <w:hideMark/>
          </w:tcPr>
          <w:p w14:paraId="61871040" w14:textId="77777777" w:rsidR="00FE461F" w:rsidRPr="005E4BEA" w:rsidRDefault="00FE461F" w:rsidP="00FE461F">
            <w:pPr>
              <w:spacing w:line="240" w:lineRule="auto"/>
              <w:rPr>
                <w:rFonts w:cs="Arial"/>
                <w:szCs w:val="20"/>
              </w:rPr>
            </w:pPr>
            <w:r w:rsidRPr="005E4BEA">
              <w:rPr>
                <w:rFonts w:cs="Arial"/>
                <w:szCs w:val="20"/>
              </w:rPr>
              <w:t>Splošna bolnišnica dr. Franca Derganca Nova Gorica</w:t>
            </w:r>
          </w:p>
        </w:tc>
        <w:tc>
          <w:tcPr>
            <w:tcW w:w="1022" w:type="dxa"/>
            <w:tcBorders>
              <w:top w:val="nil"/>
              <w:left w:val="nil"/>
              <w:bottom w:val="nil"/>
              <w:right w:val="single" w:sz="4" w:space="0" w:color="auto"/>
            </w:tcBorders>
            <w:noWrap/>
            <w:vAlign w:val="bottom"/>
            <w:hideMark/>
          </w:tcPr>
          <w:p w14:paraId="15875087"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03290664" w14:textId="77777777" w:rsidR="00FE461F" w:rsidRPr="005E4BEA" w:rsidRDefault="00FE461F" w:rsidP="00FE461F">
            <w:pPr>
              <w:spacing w:line="240" w:lineRule="auto"/>
              <w:jc w:val="right"/>
              <w:rPr>
                <w:rFonts w:cs="Arial"/>
                <w:szCs w:val="20"/>
              </w:rPr>
            </w:pPr>
            <w:r w:rsidRPr="005E4BEA">
              <w:rPr>
                <w:rFonts w:cs="Arial"/>
                <w:szCs w:val="20"/>
              </w:rPr>
              <w:t>273</w:t>
            </w:r>
          </w:p>
        </w:tc>
        <w:tc>
          <w:tcPr>
            <w:tcW w:w="2011" w:type="dxa"/>
            <w:tcBorders>
              <w:top w:val="nil"/>
              <w:left w:val="nil"/>
              <w:bottom w:val="nil"/>
              <w:right w:val="single" w:sz="4" w:space="0" w:color="auto"/>
            </w:tcBorders>
            <w:noWrap/>
            <w:vAlign w:val="bottom"/>
            <w:hideMark/>
          </w:tcPr>
          <w:p w14:paraId="57E6D868" w14:textId="77777777" w:rsidR="00FE461F" w:rsidRPr="005E4BEA" w:rsidRDefault="00FE461F" w:rsidP="00FE461F">
            <w:pPr>
              <w:spacing w:line="240" w:lineRule="auto"/>
              <w:jc w:val="right"/>
              <w:rPr>
                <w:rFonts w:cs="Arial"/>
                <w:szCs w:val="20"/>
              </w:rPr>
            </w:pPr>
            <w:r w:rsidRPr="005E4BEA">
              <w:rPr>
                <w:rFonts w:cs="Arial"/>
                <w:szCs w:val="20"/>
              </w:rPr>
              <w:t>902</w:t>
            </w:r>
          </w:p>
        </w:tc>
        <w:tc>
          <w:tcPr>
            <w:tcW w:w="1584" w:type="dxa"/>
            <w:tcBorders>
              <w:top w:val="nil"/>
              <w:left w:val="nil"/>
              <w:bottom w:val="nil"/>
              <w:right w:val="single" w:sz="4" w:space="0" w:color="auto"/>
            </w:tcBorders>
            <w:noWrap/>
            <w:vAlign w:val="bottom"/>
            <w:hideMark/>
          </w:tcPr>
          <w:p w14:paraId="4E0902D2" w14:textId="77777777" w:rsidR="00FE461F" w:rsidRPr="005E4BEA" w:rsidRDefault="00FE461F" w:rsidP="00FE461F">
            <w:pPr>
              <w:spacing w:line="240" w:lineRule="auto"/>
              <w:jc w:val="right"/>
              <w:rPr>
                <w:rFonts w:cs="Arial"/>
                <w:szCs w:val="20"/>
              </w:rPr>
            </w:pPr>
            <w:r w:rsidRPr="005E4BEA">
              <w:rPr>
                <w:rFonts w:cs="Arial"/>
                <w:szCs w:val="20"/>
              </w:rPr>
              <w:t>30,3</w:t>
            </w:r>
          </w:p>
        </w:tc>
      </w:tr>
      <w:tr w:rsidR="00FE461F" w:rsidRPr="005E4BEA" w14:paraId="56604119" w14:textId="77777777" w:rsidTr="0016774B">
        <w:trPr>
          <w:trHeight w:val="189"/>
        </w:trPr>
        <w:tc>
          <w:tcPr>
            <w:tcW w:w="3795" w:type="dxa"/>
            <w:tcBorders>
              <w:top w:val="nil"/>
              <w:left w:val="single" w:sz="4" w:space="0" w:color="auto"/>
              <w:bottom w:val="nil"/>
              <w:right w:val="single" w:sz="4" w:space="0" w:color="auto"/>
            </w:tcBorders>
            <w:hideMark/>
          </w:tcPr>
          <w:p w14:paraId="79BE6A51" w14:textId="77777777" w:rsidR="00FE461F" w:rsidRPr="005E4BEA" w:rsidRDefault="00FE461F" w:rsidP="00FE461F">
            <w:pPr>
              <w:spacing w:line="240" w:lineRule="auto"/>
              <w:rPr>
                <w:rFonts w:cs="Arial"/>
                <w:szCs w:val="20"/>
              </w:rPr>
            </w:pPr>
            <w:r w:rsidRPr="005E4BEA">
              <w:rPr>
                <w:rFonts w:cs="Arial"/>
                <w:szCs w:val="20"/>
              </w:rPr>
              <w:t>Splošna bolnišnica dr. Franca Derganca Nova Gorica</w:t>
            </w:r>
          </w:p>
        </w:tc>
        <w:tc>
          <w:tcPr>
            <w:tcW w:w="1022" w:type="dxa"/>
            <w:tcBorders>
              <w:top w:val="nil"/>
              <w:left w:val="nil"/>
              <w:bottom w:val="nil"/>
              <w:right w:val="single" w:sz="4" w:space="0" w:color="auto"/>
            </w:tcBorders>
            <w:noWrap/>
            <w:vAlign w:val="bottom"/>
            <w:hideMark/>
          </w:tcPr>
          <w:p w14:paraId="1901AFBF"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0BFF1D9" w14:textId="77777777" w:rsidR="00FE461F" w:rsidRPr="005E4BEA" w:rsidRDefault="00FE461F" w:rsidP="00FE461F">
            <w:pPr>
              <w:spacing w:line="240" w:lineRule="auto"/>
              <w:jc w:val="right"/>
              <w:rPr>
                <w:rFonts w:cs="Arial"/>
                <w:szCs w:val="20"/>
              </w:rPr>
            </w:pPr>
            <w:r w:rsidRPr="005E4BEA">
              <w:rPr>
                <w:rFonts w:cs="Arial"/>
                <w:szCs w:val="20"/>
              </w:rPr>
              <w:t>272</w:t>
            </w:r>
          </w:p>
        </w:tc>
        <w:tc>
          <w:tcPr>
            <w:tcW w:w="2011" w:type="dxa"/>
            <w:tcBorders>
              <w:top w:val="nil"/>
              <w:left w:val="nil"/>
              <w:bottom w:val="nil"/>
              <w:right w:val="single" w:sz="4" w:space="0" w:color="auto"/>
            </w:tcBorders>
            <w:noWrap/>
            <w:vAlign w:val="bottom"/>
            <w:hideMark/>
          </w:tcPr>
          <w:p w14:paraId="0EAE0C45" w14:textId="77777777" w:rsidR="00FE461F" w:rsidRPr="005E4BEA" w:rsidRDefault="00FE461F" w:rsidP="00FE461F">
            <w:pPr>
              <w:spacing w:line="240" w:lineRule="auto"/>
              <w:jc w:val="right"/>
              <w:rPr>
                <w:rFonts w:cs="Arial"/>
                <w:szCs w:val="20"/>
              </w:rPr>
            </w:pPr>
            <w:r w:rsidRPr="005E4BEA">
              <w:rPr>
                <w:rFonts w:cs="Arial"/>
                <w:szCs w:val="20"/>
              </w:rPr>
              <w:t>875</w:t>
            </w:r>
          </w:p>
        </w:tc>
        <w:tc>
          <w:tcPr>
            <w:tcW w:w="1584" w:type="dxa"/>
            <w:tcBorders>
              <w:top w:val="nil"/>
              <w:left w:val="nil"/>
              <w:bottom w:val="nil"/>
              <w:right w:val="single" w:sz="4" w:space="0" w:color="auto"/>
            </w:tcBorders>
            <w:noWrap/>
            <w:vAlign w:val="bottom"/>
            <w:hideMark/>
          </w:tcPr>
          <w:p w14:paraId="46195F0D" w14:textId="77777777" w:rsidR="00FE461F" w:rsidRPr="005E4BEA" w:rsidRDefault="00FE461F" w:rsidP="00FE461F">
            <w:pPr>
              <w:spacing w:line="240" w:lineRule="auto"/>
              <w:jc w:val="right"/>
              <w:rPr>
                <w:rFonts w:cs="Arial"/>
                <w:szCs w:val="20"/>
              </w:rPr>
            </w:pPr>
            <w:r w:rsidRPr="005E4BEA">
              <w:rPr>
                <w:rFonts w:cs="Arial"/>
                <w:szCs w:val="20"/>
              </w:rPr>
              <w:t>31,1</w:t>
            </w:r>
          </w:p>
        </w:tc>
      </w:tr>
      <w:tr w:rsidR="00FE461F" w:rsidRPr="005E4BEA" w14:paraId="270AEF80"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45AE51F2" w14:textId="77777777" w:rsidR="00FE461F" w:rsidRPr="005E4BEA" w:rsidRDefault="00FE461F" w:rsidP="00FE461F">
            <w:pPr>
              <w:spacing w:line="240" w:lineRule="auto"/>
              <w:rPr>
                <w:rFonts w:cs="Arial"/>
                <w:szCs w:val="20"/>
              </w:rPr>
            </w:pPr>
            <w:r w:rsidRPr="005E4BEA">
              <w:rPr>
                <w:rFonts w:cs="Arial"/>
                <w:szCs w:val="20"/>
              </w:rPr>
              <w:t>Splošna bolnišnica dr. Franca Derganca Nova Gorica</w:t>
            </w:r>
          </w:p>
        </w:tc>
        <w:tc>
          <w:tcPr>
            <w:tcW w:w="1022" w:type="dxa"/>
            <w:tcBorders>
              <w:top w:val="nil"/>
              <w:left w:val="nil"/>
              <w:bottom w:val="single" w:sz="4" w:space="0" w:color="auto"/>
              <w:right w:val="single" w:sz="4" w:space="0" w:color="auto"/>
            </w:tcBorders>
            <w:noWrap/>
            <w:vAlign w:val="bottom"/>
            <w:hideMark/>
          </w:tcPr>
          <w:p w14:paraId="4B8A800A"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1B5ED248" w14:textId="77777777" w:rsidR="00FE461F" w:rsidRPr="005E4BEA" w:rsidRDefault="00FE461F" w:rsidP="00FE461F">
            <w:pPr>
              <w:spacing w:line="240" w:lineRule="auto"/>
              <w:jc w:val="right"/>
              <w:rPr>
                <w:rFonts w:cs="Arial"/>
                <w:szCs w:val="20"/>
              </w:rPr>
            </w:pPr>
            <w:r w:rsidRPr="005E4BEA">
              <w:rPr>
                <w:rFonts w:cs="Arial"/>
                <w:szCs w:val="20"/>
              </w:rPr>
              <w:t>252</w:t>
            </w:r>
          </w:p>
        </w:tc>
        <w:tc>
          <w:tcPr>
            <w:tcW w:w="2011" w:type="dxa"/>
            <w:tcBorders>
              <w:top w:val="nil"/>
              <w:left w:val="nil"/>
              <w:bottom w:val="single" w:sz="4" w:space="0" w:color="auto"/>
              <w:right w:val="single" w:sz="4" w:space="0" w:color="auto"/>
            </w:tcBorders>
            <w:noWrap/>
            <w:vAlign w:val="bottom"/>
            <w:hideMark/>
          </w:tcPr>
          <w:p w14:paraId="1FB5D50C" w14:textId="77777777" w:rsidR="00FE461F" w:rsidRPr="005E4BEA" w:rsidRDefault="00FE461F" w:rsidP="00FE461F">
            <w:pPr>
              <w:spacing w:line="240" w:lineRule="auto"/>
              <w:jc w:val="right"/>
              <w:rPr>
                <w:rFonts w:cs="Arial"/>
                <w:szCs w:val="20"/>
              </w:rPr>
            </w:pPr>
            <w:r w:rsidRPr="005E4BEA">
              <w:rPr>
                <w:rFonts w:cs="Arial"/>
                <w:szCs w:val="20"/>
              </w:rPr>
              <w:t>849</w:t>
            </w:r>
          </w:p>
        </w:tc>
        <w:tc>
          <w:tcPr>
            <w:tcW w:w="1584" w:type="dxa"/>
            <w:tcBorders>
              <w:top w:val="nil"/>
              <w:left w:val="nil"/>
              <w:bottom w:val="single" w:sz="4" w:space="0" w:color="auto"/>
              <w:right w:val="single" w:sz="4" w:space="0" w:color="auto"/>
            </w:tcBorders>
            <w:noWrap/>
            <w:vAlign w:val="bottom"/>
            <w:hideMark/>
          </w:tcPr>
          <w:p w14:paraId="1DBAEC60" w14:textId="77777777" w:rsidR="00FE461F" w:rsidRPr="005E4BEA" w:rsidRDefault="00FE461F" w:rsidP="00FE461F">
            <w:pPr>
              <w:spacing w:line="240" w:lineRule="auto"/>
              <w:jc w:val="right"/>
              <w:rPr>
                <w:rFonts w:cs="Arial"/>
                <w:szCs w:val="20"/>
              </w:rPr>
            </w:pPr>
            <w:r w:rsidRPr="005E4BEA">
              <w:rPr>
                <w:rFonts w:cs="Arial"/>
                <w:szCs w:val="20"/>
              </w:rPr>
              <w:t>29,7</w:t>
            </w:r>
          </w:p>
        </w:tc>
      </w:tr>
      <w:tr w:rsidR="00FE461F" w:rsidRPr="005E4BEA" w14:paraId="4E14AF1E" w14:textId="77777777" w:rsidTr="0016774B">
        <w:trPr>
          <w:trHeight w:val="189"/>
        </w:trPr>
        <w:tc>
          <w:tcPr>
            <w:tcW w:w="3795" w:type="dxa"/>
            <w:tcBorders>
              <w:top w:val="nil"/>
              <w:left w:val="single" w:sz="4" w:space="0" w:color="auto"/>
              <w:bottom w:val="nil"/>
              <w:right w:val="single" w:sz="4" w:space="0" w:color="auto"/>
            </w:tcBorders>
            <w:hideMark/>
          </w:tcPr>
          <w:p w14:paraId="6992C60F" w14:textId="77777777" w:rsidR="00FE461F" w:rsidRPr="005E4BEA" w:rsidRDefault="00FE461F" w:rsidP="00FE461F">
            <w:pPr>
              <w:spacing w:line="240" w:lineRule="auto"/>
              <w:rPr>
                <w:rFonts w:cs="Arial"/>
                <w:szCs w:val="20"/>
              </w:rPr>
            </w:pPr>
            <w:r w:rsidRPr="005E4BEA">
              <w:rPr>
                <w:rFonts w:cs="Arial"/>
                <w:szCs w:val="20"/>
              </w:rPr>
              <w:t>Splošna bolnišnica dr. Jožeta Potrča Ptuj</w:t>
            </w:r>
          </w:p>
        </w:tc>
        <w:tc>
          <w:tcPr>
            <w:tcW w:w="1022" w:type="dxa"/>
            <w:tcBorders>
              <w:top w:val="nil"/>
              <w:left w:val="nil"/>
              <w:bottom w:val="nil"/>
              <w:right w:val="single" w:sz="4" w:space="0" w:color="auto"/>
            </w:tcBorders>
            <w:noWrap/>
            <w:vAlign w:val="bottom"/>
            <w:hideMark/>
          </w:tcPr>
          <w:p w14:paraId="3EC50F02"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28DD863C" w14:textId="77777777" w:rsidR="00FE461F" w:rsidRPr="005E4BEA" w:rsidRDefault="00FE461F" w:rsidP="00FE461F">
            <w:pPr>
              <w:spacing w:line="240" w:lineRule="auto"/>
              <w:jc w:val="right"/>
              <w:rPr>
                <w:rFonts w:cs="Arial"/>
                <w:szCs w:val="20"/>
              </w:rPr>
            </w:pPr>
            <w:r w:rsidRPr="005E4BEA">
              <w:rPr>
                <w:rFonts w:cs="Arial"/>
                <w:szCs w:val="20"/>
              </w:rPr>
              <w:t>97</w:t>
            </w:r>
          </w:p>
        </w:tc>
        <w:tc>
          <w:tcPr>
            <w:tcW w:w="2011" w:type="dxa"/>
            <w:tcBorders>
              <w:top w:val="nil"/>
              <w:left w:val="nil"/>
              <w:bottom w:val="nil"/>
              <w:right w:val="single" w:sz="4" w:space="0" w:color="auto"/>
            </w:tcBorders>
            <w:noWrap/>
            <w:vAlign w:val="bottom"/>
            <w:hideMark/>
          </w:tcPr>
          <w:p w14:paraId="557382B6" w14:textId="77777777" w:rsidR="00FE461F" w:rsidRPr="005E4BEA" w:rsidRDefault="00FE461F" w:rsidP="00FE461F">
            <w:pPr>
              <w:spacing w:line="240" w:lineRule="auto"/>
              <w:jc w:val="right"/>
              <w:rPr>
                <w:rFonts w:cs="Arial"/>
                <w:szCs w:val="20"/>
              </w:rPr>
            </w:pPr>
            <w:r w:rsidRPr="005E4BEA">
              <w:rPr>
                <w:rFonts w:cs="Arial"/>
                <w:szCs w:val="20"/>
              </w:rPr>
              <w:t>406</w:t>
            </w:r>
          </w:p>
        </w:tc>
        <w:tc>
          <w:tcPr>
            <w:tcW w:w="1584" w:type="dxa"/>
            <w:tcBorders>
              <w:top w:val="nil"/>
              <w:left w:val="nil"/>
              <w:bottom w:val="nil"/>
              <w:right w:val="single" w:sz="4" w:space="0" w:color="auto"/>
            </w:tcBorders>
            <w:noWrap/>
            <w:vAlign w:val="bottom"/>
            <w:hideMark/>
          </w:tcPr>
          <w:p w14:paraId="4B6A74EE" w14:textId="77777777" w:rsidR="00FE461F" w:rsidRPr="005E4BEA" w:rsidRDefault="00FE461F" w:rsidP="00FE461F">
            <w:pPr>
              <w:spacing w:line="240" w:lineRule="auto"/>
              <w:jc w:val="right"/>
              <w:rPr>
                <w:rFonts w:cs="Arial"/>
                <w:szCs w:val="20"/>
              </w:rPr>
            </w:pPr>
            <w:r w:rsidRPr="005E4BEA">
              <w:rPr>
                <w:rFonts w:cs="Arial"/>
                <w:szCs w:val="20"/>
              </w:rPr>
              <w:t>23,9</w:t>
            </w:r>
          </w:p>
        </w:tc>
      </w:tr>
      <w:tr w:rsidR="00FE461F" w:rsidRPr="005E4BEA" w14:paraId="20FD15A4" w14:textId="77777777" w:rsidTr="0016774B">
        <w:trPr>
          <w:trHeight w:val="189"/>
        </w:trPr>
        <w:tc>
          <w:tcPr>
            <w:tcW w:w="3795" w:type="dxa"/>
            <w:tcBorders>
              <w:top w:val="nil"/>
              <w:left w:val="single" w:sz="4" w:space="0" w:color="auto"/>
              <w:bottom w:val="nil"/>
              <w:right w:val="single" w:sz="4" w:space="0" w:color="auto"/>
            </w:tcBorders>
            <w:hideMark/>
          </w:tcPr>
          <w:p w14:paraId="0A8EF7E1" w14:textId="77777777" w:rsidR="00FE461F" w:rsidRPr="005E4BEA" w:rsidRDefault="00FE461F" w:rsidP="00FE461F">
            <w:pPr>
              <w:spacing w:line="240" w:lineRule="auto"/>
              <w:rPr>
                <w:rFonts w:cs="Arial"/>
                <w:szCs w:val="20"/>
              </w:rPr>
            </w:pPr>
            <w:r w:rsidRPr="005E4BEA">
              <w:rPr>
                <w:rFonts w:cs="Arial"/>
                <w:szCs w:val="20"/>
              </w:rPr>
              <w:t>Splošna bolnišnica dr. Jožeta Potrča Ptuj</w:t>
            </w:r>
          </w:p>
        </w:tc>
        <w:tc>
          <w:tcPr>
            <w:tcW w:w="1022" w:type="dxa"/>
            <w:tcBorders>
              <w:top w:val="nil"/>
              <w:left w:val="nil"/>
              <w:bottom w:val="nil"/>
              <w:right w:val="single" w:sz="4" w:space="0" w:color="auto"/>
            </w:tcBorders>
            <w:noWrap/>
            <w:vAlign w:val="bottom"/>
            <w:hideMark/>
          </w:tcPr>
          <w:p w14:paraId="29C82E62"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7FA82F8D" w14:textId="77777777" w:rsidR="00FE461F" w:rsidRPr="005E4BEA" w:rsidRDefault="00FE461F" w:rsidP="00FE461F">
            <w:pPr>
              <w:spacing w:line="240" w:lineRule="auto"/>
              <w:jc w:val="right"/>
              <w:rPr>
                <w:rFonts w:cs="Arial"/>
                <w:szCs w:val="20"/>
              </w:rPr>
            </w:pPr>
            <w:r w:rsidRPr="005E4BEA">
              <w:rPr>
                <w:rFonts w:cs="Arial"/>
                <w:szCs w:val="20"/>
              </w:rPr>
              <w:t>100</w:t>
            </w:r>
          </w:p>
        </w:tc>
        <w:tc>
          <w:tcPr>
            <w:tcW w:w="2011" w:type="dxa"/>
            <w:tcBorders>
              <w:top w:val="nil"/>
              <w:left w:val="nil"/>
              <w:bottom w:val="nil"/>
              <w:right w:val="single" w:sz="4" w:space="0" w:color="auto"/>
            </w:tcBorders>
            <w:noWrap/>
            <w:vAlign w:val="bottom"/>
            <w:hideMark/>
          </w:tcPr>
          <w:p w14:paraId="72353F23" w14:textId="77777777" w:rsidR="00FE461F" w:rsidRPr="005E4BEA" w:rsidRDefault="00FE461F" w:rsidP="00FE461F">
            <w:pPr>
              <w:spacing w:line="240" w:lineRule="auto"/>
              <w:jc w:val="right"/>
              <w:rPr>
                <w:rFonts w:cs="Arial"/>
                <w:szCs w:val="20"/>
              </w:rPr>
            </w:pPr>
            <w:r w:rsidRPr="005E4BEA">
              <w:rPr>
                <w:rFonts w:cs="Arial"/>
                <w:szCs w:val="20"/>
              </w:rPr>
              <w:t>415</w:t>
            </w:r>
          </w:p>
        </w:tc>
        <w:tc>
          <w:tcPr>
            <w:tcW w:w="1584" w:type="dxa"/>
            <w:tcBorders>
              <w:top w:val="nil"/>
              <w:left w:val="nil"/>
              <w:bottom w:val="nil"/>
              <w:right w:val="single" w:sz="4" w:space="0" w:color="auto"/>
            </w:tcBorders>
            <w:noWrap/>
            <w:vAlign w:val="bottom"/>
            <w:hideMark/>
          </w:tcPr>
          <w:p w14:paraId="7FC418EC" w14:textId="77777777" w:rsidR="00FE461F" w:rsidRPr="005E4BEA" w:rsidRDefault="00FE461F" w:rsidP="00FE461F">
            <w:pPr>
              <w:spacing w:line="240" w:lineRule="auto"/>
              <w:jc w:val="right"/>
              <w:rPr>
                <w:rFonts w:cs="Arial"/>
                <w:szCs w:val="20"/>
              </w:rPr>
            </w:pPr>
            <w:r w:rsidRPr="005E4BEA">
              <w:rPr>
                <w:rFonts w:cs="Arial"/>
                <w:szCs w:val="20"/>
              </w:rPr>
              <w:t>24,1</w:t>
            </w:r>
          </w:p>
        </w:tc>
      </w:tr>
      <w:tr w:rsidR="00FE461F" w:rsidRPr="005E4BEA" w14:paraId="08206EFA" w14:textId="77777777" w:rsidTr="0016774B">
        <w:trPr>
          <w:trHeight w:val="189"/>
        </w:trPr>
        <w:tc>
          <w:tcPr>
            <w:tcW w:w="3795" w:type="dxa"/>
            <w:tcBorders>
              <w:top w:val="nil"/>
              <w:left w:val="single" w:sz="4" w:space="0" w:color="auto"/>
              <w:bottom w:val="nil"/>
              <w:right w:val="single" w:sz="4" w:space="0" w:color="auto"/>
            </w:tcBorders>
            <w:hideMark/>
          </w:tcPr>
          <w:p w14:paraId="2833EA74" w14:textId="77777777" w:rsidR="00FE461F" w:rsidRPr="005E4BEA" w:rsidRDefault="00FE461F" w:rsidP="00FE461F">
            <w:pPr>
              <w:spacing w:line="240" w:lineRule="auto"/>
              <w:rPr>
                <w:rFonts w:cs="Arial"/>
                <w:szCs w:val="20"/>
              </w:rPr>
            </w:pPr>
            <w:r w:rsidRPr="005E4BEA">
              <w:rPr>
                <w:rFonts w:cs="Arial"/>
                <w:szCs w:val="20"/>
              </w:rPr>
              <w:t>Splošna bolnišnica dr. Jožeta Potrča Ptuj</w:t>
            </w:r>
          </w:p>
        </w:tc>
        <w:tc>
          <w:tcPr>
            <w:tcW w:w="1022" w:type="dxa"/>
            <w:tcBorders>
              <w:top w:val="nil"/>
              <w:left w:val="nil"/>
              <w:bottom w:val="nil"/>
              <w:right w:val="single" w:sz="4" w:space="0" w:color="auto"/>
            </w:tcBorders>
            <w:noWrap/>
            <w:vAlign w:val="bottom"/>
            <w:hideMark/>
          </w:tcPr>
          <w:p w14:paraId="6AB62E9E"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6A27525D" w14:textId="77777777" w:rsidR="00FE461F" w:rsidRPr="005E4BEA" w:rsidRDefault="00FE461F" w:rsidP="00FE461F">
            <w:pPr>
              <w:spacing w:line="240" w:lineRule="auto"/>
              <w:jc w:val="right"/>
              <w:rPr>
                <w:rFonts w:cs="Arial"/>
                <w:szCs w:val="20"/>
              </w:rPr>
            </w:pPr>
            <w:r w:rsidRPr="005E4BEA">
              <w:rPr>
                <w:rFonts w:cs="Arial"/>
                <w:szCs w:val="20"/>
              </w:rPr>
              <w:t>101</w:t>
            </w:r>
          </w:p>
        </w:tc>
        <w:tc>
          <w:tcPr>
            <w:tcW w:w="2011" w:type="dxa"/>
            <w:tcBorders>
              <w:top w:val="nil"/>
              <w:left w:val="nil"/>
              <w:bottom w:val="nil"/>
              <w:right w:val="single" w:sz="4" w:space="0" w:color="auto"/>
            </w:tcBorders>
            <w:noWrap/>
            <w:vAlign w:val="bottom"/>
            <w:hideMark/>
          </w:tcPr>
          <w:p w14:paraId="018FBA5E" w14:textId="77777777" w:rsidR="00FE461F" w:rsidRPr="005E4BEA" w:rsidRDefault="00FE461F" w:rsidP="00FE461F">
            <w:pPr>
              <w:spacing w:line="240" w:lineRule="auto"/>
              <w:jc w:val="right"/>
              <w:rPr>
                <w:rFonts w:cs="Arial"/>
                <w:szCs w:val="20"/>
              </w:rPr>
            </w:pPr>
            <w:r w:rsidRPr="005E4BEA">
              <w:rPr>
                <w:rFonts w:cs="Arial"/>
                <w:szCs w:val="20"/>
              </w:rPr>
              <w:t>429</w:t>
            </w:r>
          </w:p>
        </w:tc>
        <w:tc>
          <w:tcPr>
            <w:tcW w:w="1584" w:type="dxa"/>
            <w:tcBorders>
              <w:top w:val="nil"/>
              <w:left w:val="nil"/>
              <w:bottom w:val="nil"/>
              <w:right w:val="single" w:sz="4" w:space="0" w:color="auto"/>
            </w:tcBorders>
            <w:noWrap/>
            <w:vAlign w:val="bottom"/>
            <w:hideMark/>
          </w:tcPr>
          <w:p w14:paraId="01ED4FF1" w14:textId="77777777" w:rsidR="00FE461F" w:rsidRPr="005E4BEA" w:rsidRDefault="00FE461F" w:rsidP="00FE461F">
            <w:pPr>
              <w:spacing w:line="240" w:lineRule="auto"/>
              <w:jc w:val="right"/>
              <w:rPr>
                <w:rFonts w:cs="Arial"/>
                <w:szCs w:val="20"/>
              </w:rPr>
            </w:pPr>
            <w:r w:rsidRPr="005E4BEA">
              <w:rPr>
                <w:rFonts w:cs="Arial"/>
                <w:szCs w:val="20"/>
              </w:rPr>
              <w:t>23,5</w:t>
            </w:r>
          </w:p>
        </w:tc>
      </w:tr>
      <w:tr w:rsidR="00FE461F" w:rsidRPr="005E4BEA" w14:paraId="7AFB1A47" w14:textId="77777777" w:rsidTr="0016774B">
        <w:trPr>
          <w:trHeight w:val="189"/>
        </w:trPr>
        <w:tc>
          <w:tcPr>
            <w:tcW w:w="3795" w:type="dxa"/>
            <w:tcBorders>
              <w:top w:val="nil"/>
              <w:left w:val="single" w:sz="4" w:space="0" w:color="auto"/>
              <w:bottom w:val="nil"/>
              <w:right w:val="single" w:sz="4" w:space="0" w:color="auto"/>
            </w:tcBorders>
            <w:hideMark/>
          </w:tcPr>
          <w:p w14:paraId="5F4E220E" w14:textId="77777777" w:rsidR="00FE461F" w:rsidRPr="005E4BEA" w:rsidRDefault="00FE461F" w:rsidP="00FE461F">
            <w:pPr>
              <w:spacing w:line="240" w:lineRule="auto"/>
              <w:rPr>
                <w:rFonts w:cs="Arial"/>
                <w:szCs w:val="20"/>
              </w:rPr>
            </w:pPr>
            <w:r w:rsidRPr="005E4BEA">
              <w:rPr>
                <w:rFonts w:cs="Arial"/>
                <w:szCs w:val="20"/>
              </w:rPr>
              <w:t>Splošna bolnišnica dr. Jožeta Potrča Ptuj</w:t>
            </w:r>
          </w:p>
        </w:tc>
        <w:tc>
          <w:tcPr>
            <w:tcW w:w="1022" w:type="dxa"/>
            <w:tcBorders>
              <w:top w:val="nil"/>
              <w:left w:val="nil"/>
              <w:bottom w:val="nil"/>
              <w:right w:val="single" w:sz="4" w:space="0" w:color="auto"/>
            </w:tcBorders>
            <w:noWrap/>
            <w:vAlign w:val="bottom"/>
            <w:hideMark/>
          </w:tcPr>
          <w:p w14:paraId="537D4B3F"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08BCA0A8" w14:textId="77777777" w:rsidR="00FE461F" w:rsidRPr="005E4BEA" w:rsidRDefault="00FE461F" w:rsidP="00FE461F">
            <w:pPr>
              <w:spacing w:line="240" w:lineRule="auto"/>
              <w:jc w:val="right"/>
              <w:rPr>
                <w:rFonts w:cs="Arial"/>
                <w:szCs w:val="20"/>
              </w:rPr>
            </w:pPr>
            <w:r w:rsidRPr="005E4BEA">
              <w:rPr>
                <w:rFonts w:cs="Arial"/>
                <w:szCs w:val="20"/>
              </w:rPr>
              <w:t>104</w:t>
            </w:r>
          </w:p>
        </w:tc>
        <w:tc>
          <w:tcPr>
            <w:tcW w:w="2011" w:type="dxa"/>
            <w:tcBorders>
              <w:top w:val="nil"/>
              <w:left w:val="nil"/>
              <w:bottom w:val="nil"/>
              <w:right w:val="single" w:sz="4" w:space="0" w:color="auto"/>
            </w:tcBorders>
            <w:noWrap/>
            <w:vAlign w:val="bottom"/>
            <w:hideMark/>
          </w:tcPr>
          <w:p w14:paraId="476C0EAB" w14:textId="77777777" w:rsidR="00FE461F" w:rsidRPr="005E4BEA" w:rsidRDefault="00FE461F" w:rsidP="00FE461F">
            <w:pPr>
              <w:spacing w:line="240" w:lineRule="auto"/>
              <w:jc w:val="right"/>
              <w:rPr>
                <w:rFonts w:cs="Arial"/>
                <w:szCs w:val="20"/>
              </w:rPr>
            </w:pPr>
            <w:r w:rsidRPr="005E4BEA">
              <w:rPr>
                <w:rFonts w:cs="Arial"/>
                <w:szCs w:val="20"/>
              </w:rPr>
              <w:t>451</w:t>
            </w:r>
          </w:p>
        </w:tc>
        <w:tc>
          <w:tcPr>
            <w:tcW w:w="1584" w:type="dxa"/>
            <w:tcBorders>
              <w:top w:val="nil"/>
              <w:left w:val="nil"/>
              <w:bottom w:val="nil"/>
              <w:right w:val="single" w:sz="4" w:space="0" w:color="auto"/>
            </w:tcBorders>
            <w:noWrap/>
            <w:vAlign w:val="bottom"/>
            <w:hideMark/>
          </w:tcPr>
          <w:p w14:paraId="177B9475" w14:textId="77777777" w:rsidR="00FE461F" w:rsidRPr="005E4BEA" w:rsidRDefault="00FE461F" w:rsidP="00FE461F">
            <w:pPr>
              <w:spacing w:line="240" w:lineRule="auto"/>
              <w:jc w:val="right"/>
              <w:rPr>
                <w:rFonts w:cs="Arial"/>
                <w:szCs w:val="20"/>
              </w:rPr>
            </w:pPr>
            <w:r w:rsidRPr="005E4BEA">
              <w:rPr>
                <w:rFonts w:cs="Arial"/>
                <w:szCs w:val="20"/>
              </w:rPr>
              <w:t>23,1</w:t>
            </w:r>
          </w:p>
        </w:tc>
      </w:tr>
      <w:tr w:rsidR="00FE461F" w:rsidRPr="005E4BEA" w14:paraId="67CD4557" w14:textId="77777777" w:rsidTr="0016774B">
        <w:trPr>
          <w:trHeight w:val="189"/>
        </w:trPr>
        <w:tc>
          <w:tcPr>
            <w:tcW w:w="3795" w:type="dxa"/>
            <w:tcBorders>
              <w:top w:val="nil"/>
              <w:left w:val="single" w:sz="4" w:space="0" w:color="auto"/>
              <w:bottom w:val="nil"/>
              <w:right w:val="single" w:sz="4" w:space="0" w:color="auto"/>
            </w:tcBorders>
            <w:hideMark/>
          </w:tcPr>
          <w:p w14:paraId="0E2C0477" w14:textId="77777777" w:rsidR="00FE461F" w:rsidRPr="005E4BEA" w:rsidRDefault="00FE461F" w:rsidP="00FE461F">
            <w:pPr>
              <w:spacing w:line="240" w:lineRule="auto"/>
              <w:rPr>
                <w:rFonts w:cs="Arial"/>
                <w:szCs w:val="20"/>
              </w:rPr>
            </w:pPr>
            <w:r w:rsidRPr="005E4BEA">
              <w:rPr>
                <w:rFonts w:cs="Arial"/>
                <w:szCs w:val="20"/>
              </w:rPr>
              <w:t>Splošna bolnišnica dr. Jožeta Potrča Ptuj</w:t>
            </w:r>
          </w:p>
        </w:tc>
        <w:tc>
          <w:tcPr>
            <w:tcW w:w="1022" w:type="dxa"/>
            <w:tcBorders>
              <w:top w:val="nil"/>
              <w:left w:val="nil"/>
              <w:bottom w:val="nil"/>
              <w:right w:val="single" w:sz="4" w:space="0" w:color="auto"/>
            </w:tcBorders>
            <w:noWrap/>
            <w:vAlign w:val="bottom"/>
            <w:hideMark/>
          </w:tcPr>
          <w:p w14:paraId="49B407A5"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1A962A8C" w14:textId="77777777" w:rsidR="00FE461F" w:rsidRPr="005E4BEA" w:rsidRDefault="00FE461F" w:rsidP="00FE461F">
            <w:pPr>
              <w:spacing w:line="240" w:lineRule="auto"/>
              <w:jc w:val="right"/>
              <w:rPr>
                <w:rFonts w:cs="Arial"/>
                <w:szCs w:val="20"/>
              </w:rPr>
            </w:pPr>
            <w:r w:rsidRPr="005E4BEA">
              <w:rPr>
                <w:rFonts w:cs="Arial"/>
                <w:szCs w:val="20"/>
              </w:rPr>
              <w:t>103</w:t>
            </w:r>
          </w:p>
        </w:tc>
        <w:tc>
          <w:tcPr>
            <w:tcW w:w="2011" w:type="dxa"/>
            <w:tcBorders>
              <w:top w:val="nil"/>
              <w:left w:val="nil"/>
              <w:bottom w:val="nil"/>
              <w:right w:val="single" w:sz="4" w:space="0" w:color="auto"/>
            </w:tcBorders>
            <w:noWrap/>
            <w:vAlign w:val="bottom"/>
            <w:hideMark/>
          </w:tcPr>
          <w:p w14:paraId="0DEAFC07" w14:textId="77777777" w:rsidR="00FE461F" w:rsidRPr="005E4BEA" w:rsidRDefault="00FE461F" w:rsidP="00FE461F">
            <w:pPr>
              <w:spacing w:line="240" w:lineRule="auto"/>
              <w:jc w:val="right"/>
              <w:rPr>
                <w:rFonts w:cs="Arial"/>
                <w:szCs w:val="20"/>
              </w:rPr>
            </w:pPr>
            <w:r w:rsidRPr="005E4BEA">
              <w:rPr>
                <w:rFonts w:cs="Arial"/>
                <w:szCs w:val="20"/>
              </w:rPr>
              <w:t>456</w:t>
            </w:r>
          </w:p>
        </w:tc>
        <w:tc>
          <w:tcPr>
            <w:tcW w:w="1584" w:type="dxa"/>
            <w:tcBorders>
              <w:top w:val="nil"/>
              <w:left w:val="nil"/>
              <w:bottom w:val="nil"/>
              <w:right w:val="single" w:sz="4" w:space="0" w:color="auto"/>
            </w:tcBorders>
            <w:noWrap/>
            <w:vAlign w:val="bottom"/>
            <w:hideMark/>
          </w:tcPr>
          <w:p w14:paraId="0AD350BE" w14:textId="77777777" w:rsidR="00FE461F" w:rsidRPr="005E4BEA" w:rsidRDefault="00FE461F" w:rsidP="00FE461F">
            <w:pPr>
              <w:spacing w:line="240" w:lineRule="auto"/>
              <w:jc w:val="right"/>
              <w:rPr>
                <w:rFonts w:cs="Arial"/>
                <w:szCs w:val="20"/>
              </w:rPr>
            </w:pPr>
            <w:r w:rsidRPr="005E4BEA">
              <w:rPr>
                <w:rFonts w:cs="Arial"/>
                <w:szCs w:val="20"/>
              </w:rPr>
              <w:t>22,6</w:t>
            </w:r>
          </w:p>
        </w:tc>
      </w:tr>
      <w:tr w:rsidR="00FE461F" w:rsidRPr="005E4BEA" w14:paraId="3A1682F9"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48E9FCE9" w14:textId="77777777" w:rsidR="00FE461F" w:rsidRPr="005E4BEA" w:rsidRDefault="00FE461F" w:rsidP="00FE461F">
            <w:pPr>
              <w:spacing w:line="240" w:lineRule="auto"/>
              <w:rPr>
                <w:rFonts w:cs="Arial"/>
                <w:szCs w:val="20"/>
              </w:rPr>
            </w:pPr>
            <w:r w:rsidRPr="005E4BEA">
              <w:rPr>
                <w:rFonts w:cs="Arial"/>
                <w:szCs w:val="20"/>
              </w:rPr>
              <w:t>Splošna bolnišnica dr. Jožeta Potrča Ptuj</w:t>
            </w:r>
          </w:p>
        </w:tc>
        <w:tc>
          <w:tcPr>
            <w:tcW w:w="1022" w:type="dxa"/>
            <w:tcBorders>
              <w:top w:val="nil"/>
              <w:left w:val="nil"/>
              <w:bottom w:val="single" w:sz="4" w:space="0" w:color="auto"/>
              <w:right w:val="single" w:sz="4" w:space="0" w:color="auto"/>
            </w:tcBorders>
            <w:noWrap/>
            <w:vAlign w:val="bottom"/>
            <w:hideMark/>
          </w:tcPr>
          <w:p w14:paraId="53985C79"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17206208" w14:textId="77777777" w:rsidR="00FE461F" w:rsidRPr="005E4BEA" w:rsidRDefault="00FE461F" w:rsidP="00FE461F">
            <w:pPr>
              <w:spacing w:line="240" w:lineRule="auto"/>
              <w:jc w:val="right"/>
              <w:rPr>
                <w:rFonts w:cs="Arial"/>
                <w:szCs w:val="20"/>
              </w:rPr>
            </w:pPr>
            <w:r w:rsidRPr="005E4BEA">
              <w:rPr>
                <w:rFonts w:cs="Arial"/>
                <w:szCs w:val="20"/>
              </w:rPr>
              <w:t>107</w:t>
            </w:r>
          </w:p>
        </w:tc>
        <w:tc>
          <w:tcPr>
            <w:tcW w:w="2011" w:type="dxa"/>
            <w:tcBorders>
              <w:top w:val="nil"/>
              <w:left w:val="nil"/>
              <w:bottom w:val="single" w:sz="4" w:space="0" w:color="auto"/>
              <w:right w:val="single" w:sz="4" w:space="0" w:color="auto"/>
            </w:tcBorders>
            <w:noWrap/>
            <w:vAlign w:val="bottom"/>
            <w:hideMark/>
          </w:tcPr>
          <w:p w14:paraId="505D78BD" w14:textId="77777777" w:rsidR="00FE461F" w:rsidRPr="005E4BEA" w:rsidRDefault="00FE461F" w:rsidP="00FE461F">
            <w:pPr>
              <w:spacing w:line="240" w:lineRule="auto"/>
              <w:jc w:val="right"/>
              <w:rPr>
                <w:rFonts w:cs="Arial"/>
                <w:szCs w:val="20"/>
              </w:rPr>
            </w:pPr>
            <w:r w:rsidRPr="005E4BEA">
              <w:rPr>
                <w:rFonts w:cs="Arial"/>
                <w:szCs w:val="20"/>
              </w:rPr>
              <w:t>457</w:t>
            </w:r>
          </w:p>
        </w:tc>
        <w:tc>
          <w:tcPr>
            <w:tcW w:w="1584" w:type="dxa"/>
            <w:tcBorders>
              <w:top w:val="nil"/>
              <w:left w:val="nil"/>
              <w:bottom w:val="single" w:sz="4" w:space="0" w:color="auto"/>
              <w:right w:val="single" w:sz="4" w:space="0" w:color="auto"/>
            </w:tcBorders>
            <w:noWrap/>
            <w:vAlign w:val="bottom"/>
            <w:hideMark/>
          </w:tcPr>
          <w:p w14:paraId="2CEDCE77" w14:textId="77777777" w:rsidR="00FE461F" w:rsidRPr="005E4BEA" w:rsidRDefault="00FE461F" w:rsidP="00FE461F">
            <w:pPr>
              <w:spacing w:line="240" w:lineRule="auto"/>
              <w:jc w:val="right"/>
              <w:rPr>
                <w:rFonts w:cs="Arial"/>
                <w:szCs w:val="20"/>
              </w:rPr>
            </w:pPr>
            <w:r w:rsidRPr="005E4BEA">
              <w:rPr>
                <w:rFonts w:cs="Arial"/>
                <w:szCs w:val="20"/>
              </w:rPr>
              <w:t>23,4</w:t>
            </w:r>
          </w:p>
        </w:tc>
      </w:tr>
      <w:tr w:rsidR="00FE461F" w:rsidRPr="005E4BEA" w14:paraId="2839A2AE" w14:textId="77777777" w:rsidTr="0016774B">
        <w:trPr>
          <w:trHeight w:val="189"/>
        </w:trPr>
        <w:tc>
          <w:tcPr>
            <w:tcW w:w="3795" w:type="dxa"/>
            <w:tcBorders>
              <w:top w:val="nil"/>
              <w:left w:val="single" w:sz="4" w:space="0" w:color="auto"/>
              <w:bottom w:val="nil"/>
              <w:right w:val="single" w:sz="4" w:space="0" w:color="auto"/>
            </w:tcBorders>
            <w:hideMark/>
          </w:tcPr>
          <w:p w14:paraId="0CAB58D6" w14:textId="77777777" w:rsidR="00FE461F" w:rsidRPr="005E4BEA" w:rsidRDefault="00FE461F" w:rsidP="00FE461F">
            <w:pPr>
              <w:spacing w:line="240" w:lineRule="auto"/>
              <w:rPr>
                <w:rFonts w:cs="Arial"/>
                <w:szCs w:val="20"/>
              </w:rPr>
            </w:pPr>
            <w:r w:rsidRPr="005E4BEA">
              <w:rPr>
                <w:rFonts w:cs="Arial"/>
                <w:szCs w:val="20"/>
              </w:rPr>
              <w:t>Splošna bolnišnica Izola</w:t>
            </w:r>
          </w:p>
        </w:tc>
        <w:tc>
          <w:tcPr>
            <w:tcW w:w="1022" w:type="dxa"/>
            <w:tcBorders>
              <w:top w:val="nil"/>
              <w:left w:val="nil"/>
              <w:bottom w:val="nil"/>
              <w:right w:val="single" w:sz="4" w:space="0" w:color="auto"/>
            </w:tcBorders>
            <w:noWrap/>
            <w:vAlign w:val="bottom"/>
            <w:hideMark/>
          </w:tcPr>
          <w:p w14:paraId="247BBD12"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3A111F46" w14:textId="77777777" w:rsidR="00FE461F" w:rsidRPr="005E4BEA" w:rsidRDefault="00FE461F" w:rsidP="00FE461F">
            <w:pPr>
              <w:spacing w:line="240" w:lineRule="auto"/>
              <w:jc w:val="right"/>
              <w:rPr>
                <w:rFonts w:cs="Arial"/>
                <w:szCs w:val="20"/>
              </w:rPr>
            </w:pPr>
            <w:r w:rsidRPr="005E4BEA">
              <w:rPr>
                <w:rFonts w:cs="Arial"/>
                <w:szCs w:val="20"/>
              </w:rPr>
              <w:t>169</w:t>
            </w:r>
          </w:p>
        </w:tc>
        <w:tc>
          <w:tcPr>
            <w:tcW w:w="2011" w:type="dxa"/>
            <w:tcBorders>
              <w:top w:val="nil"/>
              <w:left w:val="nil"/>
              <w:bottom w:val="nil"/>
              <w:right w:val="single" w:sz="4" w:space="0" w:color="auto"/>
            </w:tcBorders>
            <w:noWrap/>
            <w:vAlign w:val="bottom"/>
            <w:hideMark/>
          </w:tcPr>
          <w:p w14:paraId="3DE9A210" w14:textId="77777777" w:rsidR="00FE461F" w:rsidRPr="005E4BEA" w:rsidRDefault="00FE461F" w:rsidP="00FE461F">
            <w:pPr>
              <w:spacing w:line="240" w:lineRule="auto"/>
              <w:jc w:val="right"/>
              <w:rPr>
                <w:rFonts w:cs="Arial"/>
                <w:szCs w:val="20"/>
              </w:rPr>
            </w:pPr>
            <w:r w:rsidRPr="005E4BEA">
              <w:rPr>
                <w:rFonts w:cs="Arial"/>
                <w:szCs w:val="20"/>
              </w:rPr>
              <w:t>645</w:t>
            </w:r>
          </w:p>
        </w:tc>
        <w:tc>
          <w:tcPr>
            <w:tcW w:w="1584" w:type="dxa"/>
            <w:tcBorders>
              <w:top w:val="nil"/>
              <w:left w:val="nil"/>
              <w:bottom w:val="nil"/>
              <w:right w:val="single" w:sz="4" w:space="0" w:color="auto"/>
            </w:tcBorders>
            <w:noWrap/>
            <w:vAlign w:val="bottom"/>
            <w:hideMark/>
          </w:tcPr>
          <w:p w14:paraId="46FB0D4A" w14:textId="77777777" w:rsidR="00FE461F" w:rsidRPr="005E4BEA" w:rsidRDefault="00FE461F" w:rsidP="00FE461F">
            <w:pPr>
              <w:spacing w:line="240" w:lineRule="auto"/>
              <w:jc w:val="right"/>
              <w:rPr>
                <w:rFonts w:cs="Arial"/>
                <w:szCs w:val="20"/>
              </w:rPr>
            </w:pPr>
            <w:r w:rsidRPr="005E4BEA">
              <w:rPr>
                <w:rFonts w:cs="Arial"/>
                <w:szCs w:val="20"/>
              </w:rPr>
              <w:t>26,2</w:t>
            </w:r>
          </w:p>
        </w:tc>
      </w:tr>
      <w:tr w:rsidR="00FE461F" w:rsidRPr="005E4BEA" w14:paraId="5AD95CCB" w14:textId="77777777" w:rsidTr="0016774B">
        <w:trPr>
          <w:trHeight w:val="189"/>
        </w:trPr>
        <w:tc>
          <w:tcPr>
            <w:tcW w:w="3795" w:type="dxa"/>
            <w:tcBorders>
              <w:top w:val="nil"/>
              <w:left w:val="single" w:sz="4" w:space="0" w:color="auto"/>
              <w:bottom w:val="nil"/>
              <w:right w:val="single" w:sz="4" w:space="0" w:color="auto"/>
            </w:tcBorders>
            <w:hideMark/>
          </w:tcPr>
          <w:p w14:paraId="4622BC09" w14:textId="77777777" w:rsidR="00FE461F" w:rsidRPr="005E4BEA" w:rsidRDefault="00FE461F" w:rsidP="00FE461F">
            <w:pPr>
              <w:spacing w:line="240" w:lineRule="auto"/>
              <w:rPr>
                <w:rFonts w:cs="Arial"/>
                <w:szCs w:val="20"/>
              </w:rPr>
            </w:pPr>
            <w:r w:rsidRPr="005E4BEA">
              <w:rPr>
                <w:rFonts w:cs="Arial"/>
                <w:szCs w:val="20"/>
              </w:rPr>
              <w:t>Splošna bolnišnica Izola</w:t>
            </w:r>
          </w:p>
        </w:tc>
        <w:tc>
          <w:tcPr>
            <w:tcW w:w="1022" w:type="dxa"/>
            <w:tcBorders>
              <w:top w:val="nil"/>
              <w:left w:val="nil"/>
              <w:bottom w:val="nil"/>
              <w:right w:val="single" w:sz="4" w:space="0" w:color="auto"/>
            </w:tcBorders>
            <w:noWrap/>
            <w:vAlign w:val="bottom"/>
            <w:hideMark/>
          </w:tcPr>
          <w:p w14:paraId="3D948268"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055BA128" w14:textId="77777777" w:rsidR="00FE461F" w:rsidRPr="005E4BEA" w:rsidRDefault="00FE461F" w:rsidP="00FE461F">
            <w:pPr>
              <w:spacing w:line="240" w:lineRule="auto"/>
              <w:jc w:val="right"/>
              <w:rPr>
                <w:rFonts w:cs="Arial"/>
                <w:szCs w:val="20"/>
              </w:rPr>
            </w:pPr>
            <w:r w:rsidRPr="005E4BEA">
              <w:rPr>
                <w:rFonts w:cs="Arial"/>
                <w:szCs w:val="20"/>
              </w:rPr>
              <w:t>180</w:t>
            </w:r>
          </w:p>
        </w:tc>
        <w:tc>
          <w:tcPr>
            <w:tcW w:w="2011" w:type="dxa"/>
            <w:tcBorders>
              <w:top w:val="nil"/>
              <w:left w:val="nil"/>
              <w:bottom w:val="nil"/>
              <w:right w:val="single" w:sz="4" w:space="0" w:color="auto"/>
            </w:tcBorders>
            <w:noWrap/>
            <w:vAlign w:val="bottom"/>
            <w:hideMark/>
          </w:tcPr>
          <w:p w14:paraId="2742390D" w14:textId="77777777" w:rsidR="00FE461F" w:rsidRPr="005E4BEA" w:rsidRDefault="00FE461F" w:rsidP="00FE461F">
            <w:pPr>
              <w:spacing w:line="240" w:lineRule="auto"/>
              <w:jc w:val="right"/>
              <w:rPr>
                <w:rFonts w:cs="Arial"/>
                <w:szCs w:val="20"/>
              </w:rPr>
            </w:pPr>
            <w:r w:rsidRPr="005E4BEA">
              <w:rPr>
                <w:rFonts w:cs="Arial"/>
                <w:szCs w:val="20"/>
              </w:rPr>
              <w:t>688</w:t>
            </w:r>
          </w:p>
        </w:tc>
        <w:tc>
          <w:tcPr>
            <w:tcW w:w="1584" w:type="dxa"/>
            <w:tcBorders>
              <w:top w:val="nil"/>
              <w:left w:val="nil"/>
              <w:bottom w:val="nil"/>
              <w:right w:val="single" w:sz="4" w:space="0" w:color="auto"/>
            </w:tcBorders>
            <w:noWrap/>
            <w:vAlign w:val="bottom"/>
            <w:hideMark/>
          </w:tcPr>
          <w:p w14:paraId="32936012" w14:textId="77777777" w:rsidR="00FE461F" w:rsidRPr="005E4BEA" w:rsidRDefault="00FE461F" w:rsidP="00FE461F">
            <w:pPr>
              <w:spacing w:line="240" w:lineRule="auto"/>
              <w:jc w:val="right"/>
              <w:rPr>
                <w:rFonts w:cs="Arial"/>
                <w:szCs w:val="20"/>
              </w:rPr>
            </w:pPr>
            <w:r w:rsidRPr="005E4BEA">
              <w:rPr>
                <w:rFonts w:cs="Arial"/>
                <w:szCs w:val="20"/>
              </w:rPr>
              <w:t>26,2</w:t>
            </w:r>
          </w:p>
        </w:tc>
      </w:tr>
      <w:tr w:rsidR="00FE461F" w:rsidRPr="005E4BEA" w14:paraId="4CA64D97" w14:textId="77777777" w:rsidTr="0016774B">
        <w:trPr>
          <w:trHeight w:val="189"/>
        </w:trPr>
        <w:tc>
          <w:tcPr>
            <w:tcW w:w="3795" w:type="dxa"/>
            <w:tcBorders>
              <w:top w:val="nil"/>
              <w:left w:val="single" w:sz="4" w:space="0" w:color="auto"/>
              <w:bottom w:val="nil"/>
              <w:right w:val="single" w:sz="4" w:space="0" w:color="auto"/>
            </w:tcBorders>
            <w:hideMark/>
          </w:tcPr>
          <w:p w14:paraId="5FC9B1CF" w14:textId="77777777" w:rsidR="00FE461F" w:rsidRPr="005E4BEA" w:rsidRDefault="00FE461F" w:rsidP="00FE461F">
            <w:pPr>
              <w:spacing w:line="240" w:lineRule="auto"/>
              <w:rPr>
                <w:rFonts w:cs="Arial"/>
                <w:szCs w:val="20"/>
              </w:rPr>
            </w:pPr>
            <w:r w:rsidRPr="005E4BEA">
              <w:rPr>
                <w:rFonts w:cs="Arial"/>
                <w:szCs w:val="20"/>
              </w:rPr>
              <w:t>Splošna bolnišnica Izola</w:t>
            </w:r>
          </w:p>
        </w:tc>
        <w:tc>
          <w:tcPr>
            <w:tcW w:w="1022" w:type="dxa"/>
            <w:tcBorders>
              <w:top w:val="nil"/>
              <w:left w:val="nil"/>
              <w:bottom w:val="nil"/>
              <w:right w:val="single" w:sz="4" w:space="0" w:color="auto"/>
            </w:tcBorders>
            <w:noWrap/>
            <w:vAlign w:val="bottom"/>
            <w:hideMark/>
          </w:tcPr>
          <w:p w14:paraId="57B738C6"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B09F752" w14:textId="77777777" w:rsidR="00FE461F" w:rsidRPr="005E4BEA" w:rsidRDefault="00FE461F" w:rsidP="00FE461F">
            <w:pPr>
              <w:spacing w:line="240" w:lineRule="auto"/>
              <w:jc w:val="right"/>
              <w:rPr>
                <w:rFonts w:cs="Arial"/>
                <w:szCs w:val="20"/>
              </w:rPr>
            </w:pPr>
            <w:r w:rsidRPr="005E4BEA">
              <w:rPr>
                <w:rFonts w:cs="Arial"/>
                <w:szCs w:val="20"/>
              </w:rPr>
              <w:t>203</w:t>
            </w:r>
          </w:p>
        </w:tc>
        <w:tc>
          <w:tcPr>
            <w:tcW w:w="2011" w:type="dxa"/>
            <w:tcBorders>
              <w:top w:val="nil"/>
              <w:left w:val="nil"/>
              <w:bottom w:val="nil"/>
              <w:right w:val="single" w:sz="4" w:space="0" w:color="auto"/>
            </w:tcBorders>
            <w:noWrap/>
            <w:vAlign w:val="bottom"/>
            <w:hideMark/>
          </w:tcPr>
          <w:p w14:paraId="3861D424" w14:textId="77777777" w:rsidR="00FE461F" w:rsidRPr="005E4BEA" w:rsidRDefault="00FE461F" w:rsidP="00FE461F">
            <w:pPr>
              <w:spacing w:line="240" w:lineRule="auto"/>
              <w:jc w:val="right"/>
              <w:rPr>
                <w:rFonts w:cs="Arial"/>
                <w:szCs w:val="20"/>
              </w:rPr>
            </w:pPr>
            <w:r w:rsidRPr="005E4BEA">
              <w:rPr>
                <w:rFonts w:cs="Arial"/>
                <w:szCs w:val="20"/>
              </w:rPr>
              <w:t>725</w:t>
            </w:r>
          </w:p>
        </w:tc>
        <w:tc>
          <w:tcPr>
            <w:tcW w:w="1584" w:type="dxa"/>
            <w:tcBorders>
              <w:top w:val="nil"/>
              <w:left w:val="nil"/>
              <w:bottom w:val="nil"/>
              <w:right w:val="single" w:sz="4" w:space="0" w:color="auto"/>
            </w:tcBorders>
            <w:noWrap/>
            <w:vAlign w:val="bottom"/>
            <w:hideMark/>
          </w:tcPr>
          <w:p w14:paraId="1C142A45" w14:textId="77777777" w:rsidR="00FE461F" w:rsidRPr="005E4BEA" w:rsidRDefault="00FE461F" w:rsidP="00FE461F">
            <w:pPr>
              <w:spacing w:line="240" w:lineRule="auto"/>
              <w:jc w:val="right"/>
              <w:rPr>
                <w:rFonts w:cs="Arial"/>
                <w:szCs w:val="20"/>
              </w:rPr>
            </w:pPr>
            <w:r w:rsidRPr="005E4BEA">
              <w:rPr>
                <w:rFonts w:cs="Arial"/>
                <w:szCs w:val="20"/>
              </w:rPr>
              <w:t>28,0</w:t>
            </w:r>
          </w:p>
        </w:tc>
      </w:tr>
      <w:tr w:rsidR="00FE461F" w:rsidRPr="005E4BEA" w14:paraId="099AF3FC" w14:textId="77777777" w:rsidTr="0016774B">
        <w:trPr>
          <w:trHeight w:val="189"/>
        </w:trPr>
        <w:tc>
          <w:tcPr>
            <w:tcW w:w="3795" w:type="dxa"/>
            <w:tcBorders>
              <w:top w:val="nil"/>
              <w:left w:val="single" w:sz="4" w:space="0" w:color="auto"/>
              <w:bottom w:val="nil"/>
              <w:right w:val="single" w:sz="4" w:space="0" w:color="auto"/>
            </w:tcBorders>
            <w:hideMark/>
          </w:tcPr>
          <w:p w14:paraId="22FB805C" w14:textId="77777777" w:rsidR="00FE461F" w:rsidRPr="005E4BEA" w:rsidRDefault="00FE461F" w:rsidP="00FE461F">
            <w:pPr>
              <w:spacing w:line="240" w:lineRule="auto"/>
              <w:rPr>
                <w:rFonts w:cs="Arial"/>
                <w:szCs w:val="20"/>
              </w:rPr>
            </w:pPr>
            <w:r w:rsidRPr="005E4BEA">
              <w:rPr>
                <w:rFonts w:cs="Arial"/>
                <w:szCs w:val="20"/>
              </w:rPr>
              <w:t>Splošna bolnišnica Izola</w:t>
            </w:r>
          </w:p>
        </w:tc>
        <w:tc>
          <w:tcPr>
            <w:tcW w:w="1022" w:type="dxa"/>
            <w:tcBorders>
              <w:top w:val="nil"/>
              <w:left w:val="nil"/>
              <w:bottom w:val="nil"/>
              <w:right w:val="single" w:sz="4" w:space="0" w:color="auto"/>
            </w:tcBorders>
            <w:noWrap/>
            <w:vAlign w:val="bottom"/>
            <w:hideMark/>
          </w:tcPr>
          <w:p w14:paraId="25780F7B"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09F6B528" w14:textId="77777777" w:rsidR="00FE461F" w:rsidRPr="005E4BEA" w:rsidRDefault="00FE461F" w:rsidP="00FE461F">
            <w:pPr>
              <w:spacing w:line="240" w:lineRule="auto"/>
              <w:jc w:val="right"/>
              <w:rPr>
                <w:rFonts w:cs="Arial"/>
                <w:szCs w:val="20"/>
              </w:rPr>
            </w:pPr>
            <w:r w:rsidRPr="005E4BEA">
              <w:rPr>
                <w:rFonts w:cs="Arial"/>
                <w:szCs w:val="20"/>
              </w:rPr>
              <w:t>230</w:t>
            </w:r>
          </w:p>
        </w:tc>
        <w:tc>
          <w:tcPr>
            <w:tcW w:w="2011" w:type="dxa"/>
            <w:tcBorders>
              <w:top w:val="nil"/>
              <w:left w:val="nil"/>
              <w:bottom w:val="nil"/>
              <w:right w:val="single" w:sz="4" w:space="0" w:color="auto"/>
            </w:tcBorders>
            <w:noWrap/>
            <w:vAlign w:val="bottom"/>
            <w:hideMark/>
          </w:tcPr>
          <w:p w14:paraId="58908058" w14:textId="77777777" w:rsidR="00FE461F" w:rsidRPr="005E4BEA" w:rsidRDefault="00FE461F" w:rsidP="00FE461F">
            <w:pPr>
              <w:spacing w:line="240" w:lineRule="auto"/>
              <w:jc w:val="right"/>
              <w:rPr>
                <w:rFonts w:cs="Arial"/>
                <w:szCs w:val="20"/>
              </w:rPr>
            </w:pPr>
            <w:r w:rsidRPr="005E4BEA">
              <w:rPr>
                <w:rFonts w:cs="Arial"/>
                <w:szCs w:val="20"/>
              </w:rPr>
              <w:t>746</w:t>
            </w:r>
          </w:p>
        </w:tc>
        <w:tc>
          <w:tcPr>
            <w:tcW w:w="1584" w:type="dxa"/>
            <w:tcBorders>
              <w:top w:val="nil"/>
              <w:left w:val="nil"/>
              <w:bottom w:val="nil"/>
              <w:right w:val="single" w:sz="4" w:space="0" w:color="auto"/>
            </w:tcBorders>
            <w:noWrap/>
            <w:vAlign w:val="bottom"/>
            <w:hideMark/>
          </w:tcPr>
          <w:p w14:paraId="3A988E61" w14:textId="77777777" w:rsidR="00FE461F" w:rsidRPr="005E4BEA" w:rsidRDefault="00FE461F" w:rsidP="00FE461F">
            <w:pPr>
              <w:spacing w:line="240" w:lineRule="auto"/>
              <w:jc w:val="right"/>
              <w:rPr>
                <w:rFonts w:cs="Arial"/>
                <w:szCs w:val="20"/>
              </w:rPr>
            </w:pPr>
            <w:r w:rsidRPr="005E4BEA">
              <w:rPr>
                <w:rFonts w:cs="Arial"/>
                <w:szCs w:val="20"/>
              </w:rPr>
              <w:t>30,8</w:t>
            </w:r>
          </w:p>
        </w:tc>
      </w:tr>
      <w:tr w:rsidR="00FE461F" w:rsidRPr="005E4BEA" w14:paraId="2C397091" w14:textId="77777777" w:rsidTr="0016774B">
        <w:trPr>
          <w:trHeight w:val="189"/>
        </w:trPr>
        <w:tc>
          <w:tcPr>
            <w:tcW w:w="3795" w:type="dxa"/>
            <w:tcBorders>
              <w:top w:val="nil"/>
              <w:left w:val="single" w:sz="4" w:space="0" w:color="auto"/>
              <w:bottom w:val="nil"/>
              <w:right w:val="single" w:sz="4" w:space="0" w:color="auto"/>
            </w:tcBorders>
            <w:hideMark/>
          </w:tcPr>
          <w:p w14:paraId="188ECEBC" w14:textId="77777777" w:rsidR="00FE461F" w:rsidRPr="005E4BEA" w:rsidRDefault="00FE461F" w:rsidP="00FE461F">
            <w:pPr>
              <w:spacing w:line="240" w:lineRule="auto"/>
              <w:rPr>
                <w:rFonts w:cs="Arial"/>
                <w:szCs w:val="20"/>
              </w:rPr>
            </w:pPr>
            <w:r w:rsidRPr="005E4BEA">
              <w:rPr>
                <w:rFonts w:cs="Arial"/>
                <w:szCs w:val="20"/>
              </w:rPr>
              <w:t>Splošna bolnišnica Izola</w:t>
            </w:r>
          </w:p>
        </w:tc>
        <w:tc>
          <w:tcPr>
            <w:tcW w:w="1022" w:type="dxa"/>
            <w:tcBorders>
              <w:top w:val="nil"/>
              <w:left w:val="nil"/>
              <w:bottom w:val="nil"/>
              <w:right w:val="single" w:sz="4" w:space="0" w:color="auto"/>
            </w:tcBorders>
            <w:noWrap/>
            <w:vAlign w:val="bottom"/>
            <w:hideMark/>
          </w:tcPr>
          <w:p w14:paraId="399DC103"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4026B33" w14:textId="77777777" w:rsidR="00FE461F" w:rsidRPr="005E4BEA" w:rsidRDefault="00FE461F" w:rsidP="00FE461F">
            <w:pPr>
              <w:spacing w:line="240" w:lineRule="auto"/>
              <w:jc w:val="right"/>
              <w:rPr>
                <w:rFonts w:cs="Arial"/>
                <w:szCs w:val="20"/>
              </w:rPr>
            </w:pPr>
            <w:r w:rsidRPr="005E4BEA">
              <w:rPr>
                <w:rFonts w:cs="Arial"/>
                <w:szCs w:val="20"/>
              </w:rPr>
              <w:t>234</w:t>
            </w:r>
          </w:p>
        </w:tc>
        <w:tc>
          <w:tcPr>
            <w:tcW w:w="2011" w:type="dxa"/>
            <w:tcBorders>
              <w:top w:val="nil"/>
              <w:left w:val="nil"/>
              <w:bottom w:val="nil"/>
              <w:right w:val="single" w:sz="4" w:space="0" w:color="auto"/>
            </w:tcBorders>
            <w:noWrap/>
            <w:vAlign w:val="bottom"/>
            <w:hideMark/>
          </w:tcPr>
          <w:p w14:paraId="1BD77EF0" w14:textId="77777777" w:rsidR="00FE461F" w:rsidRPr="005E4BEA" w:rsidRDefault="00FE461F" w:rsidP="00FE461F">
            <w:pPr>
              <w:spacing w:line="240" w:lineRule="auto"/>
              <w:jc w:val="right"/>
              <w:rPr>
                <w:rFonts w:cs="Arial"/>
                <w:szCs w:val="20"/>
              </w:rPr>
            </w:pPr>
            <w:r w:rsidRPr="005E4BEA">
              <w:rPr>
                <w:rFonts w:cs="Arial"/>
                <w:szCs w:val="20"/>
              </w:rPr>
              <w:t>740</w:t>
            </w:r>
          </w:p>
        </w:tc>
        <w:tc>
          <w:tcPr>
            <w:tcW w:w="1584" w:type="dxa"/>
            <w:tcBorders>
              <w:top w:val="nil"/>
              <w:left w:val="nil"/>
              <w:bottom w:val="nil"/>
              <w:right w:val="single" w:sz="4" w:space="0" w:color="auto"/>
            </w:tcBorders>
            <w:noWrap/>
            <w:vAlign w:val="bottom"/>
            <w:hideMark/>
          </w:tcPr>
          <w:p w14:paraId="352D76F5" w14:textId="77777777" w:rsidR="00FE461F" w:rsidRPr="005E4BEA" w:rsidRDefault="00FE461F" w:rsidP="00FE461F">
            <w:pPr>
              <w:spacing w:line="240" w:lineRule="auto"/>
              <w:jc w:val="right"/>
              <w:rPr>
                <w:rFonts w:cs="Arial"/>
                <w:szCs w:val="20"/>
              </w:rPr>
            </w:pPr>
            <w:r w:rsidRPr="005E4BEA">
              <w:rPr>
                <w:rFonts w:cs="Arial"/>
                <w:szCs w:val="20"/>
              </w:rPr>
              <w:t>31,6</w:t>
            </w:r>
          </w:p>
        </w:tc>
      </w:tr>
      <w:tr w:rsidR="00FE461F" w:rsidRPr="005E4BEA" w14:paraId="6C939EF7"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32A0432B" w14:textId="77777777" w:rsidR="00FE461F" w:rsidRPr="005E4BEA" w:rsidRDefault="00FE461F" w:rsidP="00FE461F">
            <w:pPr>
              <w:spacing w:line="240" w:lineRule="auto"/>
              <w:rPr>
                <w:rFonts w:cs="Arial"/>
                <w:szCs w:val="20"/>
              </w:rPr>
            </w:pPr>
            <w:r w:rsidRPr="005E4BEA">
              <w:rPr>
                <w:rFonts w:cs="Arial"/>
                <w:szCs w:val="20"/>
              </w:rPr>
              <w:t>Splošna bolnišnica Izola</w:t>
            </w:r>
          </w:p>
        </w:tc>
        <w:tc>
          <w:tcPr>
            <w:tcW w:w="1022" w:type="dxa"/>
            <w:tcBorders>
              <w:top w:val="nil"/>
              <w:left w:val="nil"/>
              <w:bottom w:val="single" w:sz="4" w:space="0" w:color="auto"/>
              <w:right w:val="single" w:sz="4" w:space="0" w:color="auto"/>
            </w:tcBorders>
            <w:noWrap/>
            <w:vAlign w:val="bottom"/>
            <w:hideMark/>
          </w:tcPr>
          <w:p w14:paraId="493D8FF4"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59C85A7B" w14:textId="77777777" w:rsidR="00FE461F" w:rsidRPr="005E4BEA" w:rsidRDefault="00FE461F" w:rsidP="00FE461F">
            <w:pPr>
              <w:spacing w:line="240" w:lineRule="auto"/>
              <w:jc w:val="right"/>
              <w:rPr>
                <w:rFonts w:cs="Arial"/>
                <w:szCs w:val="20"/>
              </w:rPr>
            </w:pPr>
            <w:r w:rsidRPr="005E4BEA">
              <w:rPr>
                <w:rFonts w:cs="Arial"/>
                <w:szCs w:val="20"/>
              </w:rPr>
              <w:t>246</w:t>
            </w:r>
          </w:p>
        </w:tc>
        <w:tc>
          <w:tcPr>
            <w:tcW w:w="2011" w:type="dxa"/>
            <w:tcBorders>
              <w:top w:val="nil"/>
              <w:left w:val="nil"/>
              <w:bottom w:val="single" w:sz="4" w:space="0" w:color="auto"/>
              <w:right w:val="single" w:sz="4" w:space="0" w:color="auto"/>
            </w:tcBorders>
            <w:noWrap/>
            <w:vAlign w:val="bottom"/>
            <w:hideMark/>
          </w:tcPr>
          <w:p w14:paraId="76440E87" w14:textId="77777777" w:rsidR="00FE461F" w:rsidRPr="005E4BEA" w:rsidRDefault="00FE461F" w:rsidP="00FE461F">
            <w:pPr>
              <w:spacing w:line="240" w:lineRule="auto"/>
              <w:jc w:val="right"/>
              <w:rPr>
                <w:rFonts w:cs="Arial"/>
                <w:szCs w:val="20"/>
              </w:rPr>
            </w:pPr>
            <w:r w:rsidRPr="005E4BEA">
              <w:rPr>
                <w:rFonts w:cs="Arial"/>
                <w:szCs w:val="20"/>
              </w:rPr>
              <w:t>763</w:t>
            </w:r>
          </w:p>
        </w:tc>
        <w:tc>
          <w:tcPr>
            <w:tcW w:w="1584" w:type="dxa"/>
            <w:tcBorders>
              <w:top w:val="nil"/>
              <w:left w:val="nil"/>
              <w:bottom w:val="single" w:sz="4" w:space="0" w:color="auto"/>
              <w:right w:val="single" w:sz="4" w:space="0" w:color="auto"/>
            </w:tcBorders>
            <w:noWrap/>
            <w:vAlign w:val="bottom"/>
            <w:hideMark/>
          </w:tcPr>
          <w:p w14:paraId="2BEE35D3" w14:textId="77777777" w:rsidR="00FE461F" w:rsidRPr="005E4BEA" w:rsidRDefault="00FE461F" w:rsidP="00FE461F">
            <w:pPr>
              <w:spacing w:line="240" w:lineRule="auto"/>
              <w:jc w:val="right"/>
              <w:rPr>
                <w:rFonts w:cs="Arial"/>
                <w:szCs w:val="20"/>
              </w:rPr>
            </w:pPr>
            <w:r w:rsidRPr="005E4BEA">
              <w:rPr>
                <w:rFonts w:cs="Arial"/>
                <w:szCs w:val="20"/>
              </w:rPr>
              <w:t>32,2</w:t>
            </w:r>
          </w:p>
        </w:tc>
      </w:tr>
      <w:tr w:rsidR="00FE461F" w:rsidRPr="005E4BEA" w14:paraId="64071F13" w14:textId="77777777" w:rsidTr="0016774B">
        <w:trPr>
          <w:trHeight w:val="189"/>
        </w:trPr>
        <w:tc>
          <w:tcPr>
            <w:tcW w:w="3795" w:type="dxa"/>
            <w:tcBorders>
              <w:top w:val="nil"/>
              <w:left w:val="single" w:sz="4" w:space="0" w:color="auto"/>
              <w:bottom w:val="nil"/>
              <w:right w:val="single" w:sz="4" w:space="0" w:color="auto"/>
            </w:tcBorders>
            <w:hideMark/>
          </w:tcPr>
          <w:p w14:paraId="76465639" w14:textId="77777777" w:rsidR="00FE461F" w:rsidRPr="005E4BEA" w:rsidRDefault="00FE461F" w:rsidP="00FE461F">
            <w:pPr>
              <w:spacing w:line="240" w:lineRule="auto"/>
              <w:rPr>
                <w:rFonts w:cs="Arial"/>
                <w:szCs w:val="20"/>
              </w:rPr>
            </w:pPr>
            <w:r w:rsidRPr="005E4BEA">
              <w:rPr>
                <w:rFonts w:cs="Arial"/>
                <w:szCs w:val="20"/>
              </w:rPr>
              <w:t>Splošna bolnišnica Jesenice</w:t>
            </w:r>
          </w:p>
        </w:tc>
        <w:tc>
          <w:tcPr>
            <w:tcW w:w="1022" w:type="dxa"/>
            <w:tcBorders>
              <w:top w:val="nil"/>
              <w:left w:val="nil"/>
              <w:bottom w:val="nil"/>
              <w:right w:val="single" w:sz="4" w:space="0" w:color="auto"/>
            </w:tcBorders>
            <w:noWrap/>
            <w:vAlign w:val="bottom"/>
            <w:hideMark/>
          </w:tcPr>
          <w:p w14:paraId="0366C983"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194D635C" w14:textId="77777777" w:rsidR="00FE461F" w:rsidRPr="005E4BEA" w:rsidRDefault="00FE461F" w:rsidP="00FE461F">
            <w:pPr>
              <w:spacing w:line="240" w:lineRule="auto"/>
              <w:jc w:val="right"/>
              <w:rPr>
                <w:rFonts w:cs="Arial"/>
                <w:szCs w:val="20"/>
              </w:rPr>
            </w:pPr>
            <w:r w:rsidRPr="005E4BEA">
              <w:rPr>
                <w:rFonts w:cs="Arial"/>
                <w:szCs w:val="20"/>
              </w:rPr>
              <w:t>122</w:t>
            </w:r>
          </w:p>
        </w:tc>
        <w:tc>
          <w:tcPr>
            <w:tcW w:w="2011" w:type="dxa"/>
            <w:tcBorders>
              <w:top w:val="nil"/>
              <w:left w:val="nil"/>
              <w:bottom w:val="nil"/>
              <w:right w:val="single" w:sz="4" w:space="0" w:color="auto"/>
            </w:tcBorders>
            <w:noWrap/>
            <w:vAlign w:val="bottom"/>
            <w:hideMark/>
          </w:tcPr>
          <w:p w14:paraId="48E97FD0" w14:textId="77777777" w:rsidR="00FE461F" w:rsidRPr="005E4BEA" w:rsidRDefault="00FE461F" w:rsidP="00FE461F">
            <w:pPr>
              <w:spacing w:line="240" w:lineRule="auto"/>
              <w:jc w:val="right"/>
              <w:rPr>
                <w:rFonts w:cs="Arial"/>
                <w:szCs w:val="20"/>
              </w:rPr>
            </w:pPr>
            <w:r w:rsidRPr="005E4BEA">
              <w:rPr>
                <w:rFonts w:cs="Arial"/>
                <w:szCs w:val="20"/>
              </w:rPr>
              <w:t>556</w:t>
            </w:r>
          </w:p>
        </w:tc>
        <w:tc>
          <w:tcPr>
            <w:tcW w:w="1584" w:type="dxa"/>
            <w:tcBorders>
              <w:top w:val="nil"/>
              <w:left w:val="nil"/>
              <w:bottom w:val="nil"/>
              <w:right w:val="single" w:sz="4" w:space="0" w:color="auto"/>
            </w:tcBorders>
            <w:noWrap/>
            <w:vAlign w:val="bottom"/>
            <w:hideMark/>
          </w:tcPr>
          <w:p w14:paraId="40D91BAA" w14:textId="77777777" w:rsidR="00FE461F" w:rsidRPr="005E4BEA" w:rsidRDefault="00FE461F" w:rsidP="00FE461F">
            <w:pPr>
              <w:spacing w:line="240" w:lineRule="auto"/>
              <w:jc w:val="right"/>
              <w:rPr>
                <w:rFonts w:cs="Arial"/>
                <w:szCs w:val="20"/>
              </w:rPr>
            </w:pPr>
            <w:r w:rsidRPr="005E4BEA">
              <w:rPr>
                <w:rFonts w:cs="Arial"/>
                <w:szCs w:val="20"/>
              </w:rPr>
              <w:t>21,9</w:t>
            </w:r>
          </w:p>
        </w:tc>
      </w:tr>
      <w:tr w:rsidR="00FE461F" w:rsidRPr="005E4BEA" w14:paraId="3E1EDCEF" w14:textId="77777777" w:rsidTr="0016774B">
        <w:trPr>
          <w:trHeight w:val="189"/>
        </w:trPr>
        <w:tc>
          <w:tcPr>
            <w:tcW w:w="3795" w:type="dxa"/>
            <w:tcBorders>
              <w:top w:val="nil"/>
              <w:left w:val="single" w:sz="4" w:space="0" w:color="auto"/>
              <w:bottom w:val="nil"/>
              <w:right w:val="single" w:sz="4" w:space="0" w:color="auto"/>
            </w:tcBorders>
            <w:hideMark/>
          </w:tcPr>
          <w:p w14:paraId="003FFF56" w14:textId="77777777" w:rsidR="00FE461F" w:rsidRPr="005E4BEA" w:rsidRDefault="00FE461F" w:rsidP="00FE461F">
            <w:pPr>
              <w:spacing w:line="240" w:lineRule="auto"/>
              <w:rPr>
                <w:rFonts w:cs="Arial"/>
                <w:szCs w:val="20"/>
              </w:rPr>
            </w:pPr>
            <w:r w:rsidRPr="005E4BEA">
              <w:rPr>
                <w:rFonts w:cs="Arial"/>
                <w:szCs w:val="20"/>
              </w:rPr>
              <w:t>Splošna bolnišnica Jesenice</w:t>
            </w:r>
          </w:p>
        </w:tc>
        <w:tc>
          <w:tcPr>
            <w:tcW w:w="1022" w:type="dxa"/>
            <w:tcBorders>
              <w:top w:val="nil"/>
              <w:left w:val="nil"/>
              <w:bottom w:val="nil"/>
              <w:right w:val="single" w:sz="4" w:space="0" w:color="auto"/>
            </w:tcBorders>
            <w:noWrap/>
            <w:vAlign w:val="bottom"/>
            <w:hideMark/>
          </w:tcPr>
          <w:p w14:paraId="32333B25"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7270B70F" w14:textId="77777777" w:rsidR="00FE461F" w:rsidRPr="005E4BEA" w:rsidRDefault="00FE461F" w:rsidP="00FE461F">
            <w:pPr>
              <w:spacing w:line="240" w:lineRule="auto"/>
              <w:jc w:val="right"/>
              <w:rPr>
                <w:rFonts w:cs="Arial"/>
                <w:szCs w:val="20"/>
              </w:rPr>
            </w:pPr>
            <w:r w:rsidRPr="005E4BEA">
              <w:rPr>
                <w:rFonts w:cs="Arial"/>
                <w:szCs w:val="20"/>
              </w:rPr>
              <w:t>128</w:t>
            </w:r>
          </w:p>
        </w:tc>
        <w:tc>
          <w:tcPr>
            <w:tcW w:w="2011" w:type="dxa"/>
            <w:tcBorders>
              <w:top w:val="nil"/>
              <w:left w:val="nil"/>
              <w:bottom w:val="nil"/>
              <w:right w:val="single" w:sz="4" w:space="0" w:color="auto"/>
            </w:tcBorders>
            <w:noWrap/>
            <w:vAlign w:val="bottom"/>
            <w:hideMark/>
          </w:tcPr>
          <w:p w14:paraId="692BA0A6" w14:textId="77777777" w:rsidR="00FE461F" w:rsidRPr="005E4BEA" w:rsidRDefault="00FE461F" w:rsidP="00FE461F">
            <w:pPr>
              <w:spacing w:line="240" w:lineRule="auto"/>
              <w:jc w:val="right"/>
              <w:rPr>
                <w:rFonts w:cs="Arial"/>
                <w:szCs w:val="20"/>
              </w:rPr>
            </w:pPr>
            <w:r w:rsidRPr="005E4BEA">
              <w:rPr>
                <w:rFonts w:cs="Arial"/>
                <w:szCs w:val="20"/>
              </w:rPr>
              <w:t>569</w:t>
            </w:r>
          </w:p>
        </w:tc>
        <w:tc>
          <w:tcPr>
            <w:tcW w:w="1584" w:type="dxa"/>
            <w:tcBorders>
              <w:top w:val="nil"/>
              <w:left w:val="nil"/>
              <w:bottom w:val="nil"/>
              <w:right w:val="single" w:sz="4" w:space="0" w:color="auto"/>
            </w:tcBorders>
            <w:noWrap/>
            <w:vAlign w:val="bottom"/>
            <w:hideMark/>
          </w:tcPr>
          <w:p w14:paraId="49BEF737" w14:textId="77777777" w:rsidR="00FE461F" w:rsidRPr="005E4BEA" w:rsidRDefault="00FE461F" w:rsidP="00FE461F">
            <w:pPr>
              <w:spacing w:line="240" w:lineRule="auto"/>
              <w:jc w:val="right"/>
              <w:rPr>
                <w:rFonts w:cs="Arial"/>
                <w:szCs w:val="20"/>
              </w:rPr>
            </w:pPr>
            <w:r w:rsidRPr="005E4BEA">
              <w:rPr>
                <w:rFonts w:cs="Arial"/>
                <w:szCs w:val="20"/>
              </w:rPr>
              <w:t>22,5</w:t>
            </w:r>
          </w:p>
        </w:tc>
      </w:tr>
      <w:tr w:rsidR="00FE461F" w:rsidRPr="005E4BEA" w14:paraId="0F31535A" w14:textId="77777777" w:rsidTr="0016774B">
        <w:trPr>
          <w:trHeight w:val="189"/>
        </w:trPr>
        <w:tc>
          <w:tcPr>
            <w:tcW w:w="3795" w:type="dxa"/>
            <w:tcBorders>
              <w:top w:val="nil"/>
              <w:left w:val="single" w:sz="4" w:space="0" w:color="auto"/>
              <w:bottom w:val="nil"/>
              <w:right w:val="single" w:sz="4" w:space="0" w:color="auto"/>
            </w:tcBorders>
            <w:hideMark/>
          </w:tcPr>
          <w:p w14:paraId="410EA281" w14:textId="77777777" w:rsidR="00FE461F" w:rsidRPr="005E4BEA" w:rsidRDefault="00FE461F" w:rsidP="00FE461F">
            <w:pPr>
              <w:spacing w:line="240" w:lineRule="auto"/>
              <w:rPr>
                <w:rFonts w:cs="Arial"/>
                <w:szCs w:val="20"/>
              </w:rPr>
            </w:pPr>
            <w:r w:rsidRPr="005E4BEA">
              <w:rPr>
                <w:rFonts w:cs="Arial"/>
                <w:szCs w:val="20"/>
              </w:rPr>
              <w:t>Splošna bolnišnica Jesenice</w:t>
            </w:r>
          </w:p>
        </w:tc>
        <w:tc>
          <w:tcPr>
            <w:tcW w:w="1022" w:type="dxa"/>
            <w:tcBorders>
              <w:top w:val="nil"/>
              <w:left w:val="nil"/>
              <w:bottom w:val="nil"/>
              <w:right w:val="single" w:sz="4" w:space="0" w:color="auto"/>
            </w:tcBorders>
            <w:noWrap/>
            <w:vAlign w:val="bottom"/>
            <w:hideMark/>
          </w:tcPr>
          <w:p w14:paraId="697CF4FE"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79CFB512" w14:textId="77777777" w:rsidR="00FE461F" w:rsidRPr="005E4BEA" w:rsidRDefault="00FE461F" w:rsidP="00FE461F">
            <w:pPr>
              <w:spacing w:line="240" w:lineRule="auto"/>
              <w:jc w:val="right"/>
              <w:rPr>
                <w:rFonts w:cs="Arial"/>
                <w:szCs w:val="20"/>
              </w:rPr>
            </w:pPr>
            <w:r w:rsidRPr="005E4BEA">
              <w:rPr>
                <w:rFonts w:cs="Arial"/>
                <w:szCs w:val="20"/>
              </w:rPr>
              <w:t>120</w:t>
            </w:r>
          </w:p>
        </w:tc>
        <w:tc>
          <w:tcPr>
            <w:tcW w:w="2011" w:type="dxa"/>
            <w:tcBorders>
              <w:top w:val="nil"/>
              <w:left w:val="nil"/>
              <w:bottom w:val="nil"/>
              <w:right w:val="single" w:sz="4" w:space="0" w:color="auto"/>
            </w:tcBorders>
            <w:noWrap/>
            <w:vAlign w:val="bottom"/>
            <w:hideMark/>
          </w:tcPr>
          <w:p w14:paraId="30627CF5" w14:textId="77777777" w:rsidR="00FE461F" w:rsidRPr="005E4BEA" w:rsidRDefault="00FE461F" w:rsidP="00FE461F">
            <w:pPr>
              <w:spacing w:line="240" w:lineRule="auto"/>
              <w:jc w:val="right"/>
              <w:rPr>
                <w:rFonts w:cs="Arial"/>
                <w:szCs w:val="20"/>
              </w:rPr>
            </w:pPr>
            <w:r w:rsidRPr="005E4BEA">
              <w:rPr>
                <w:rFonts w:cs="Arial"/>
                <w:szCs w:val="20"/>
              </w:rPr>
              <w:t>558</w:t>
            </w:r>
          </w:p>
        </w:tc>
        <w:tc>
          <w:tcPr>
            <w:tcW w:w="1584" w:type="dxa"/>
            <w:tcBorders>
              <w:top w:val="nil"/>
              <w:left w:val="nil"/>
              <w:bottom w:val="nil"/>
              <w:right w:val="single" w:sz="4" w:space="0" w:color="auto"/>
            </w:tcBorders>
            <w:noWrap/>
            <w:vAlign w:val="bottom"/>
            <w:hideMark/>
          </w:tcPr>
          <w:p w14:paraId="4D60A1F0" w14:textId="77777777" w:rsidR="00FE461F" w:rsidRPr="005E4BEA" w:rsidRDefault="00FE461F" w:rsidP="00FE461F">
            <w:pPr>
              <w:spacing w:line="240" w:lineRule="auto"/>
              <w:jc w:val="right"/>
              <w:rPr>
                <w:rFonts w:cs="Arial"/>
                <w:szCs w:val="20"/>
              </w:rPr>
            </w:pPr>
            <w:r w:rsidRPr="005E4BEA">
              <w:rPr>
                <w:rFonts w:cs="Arial"/>
                <w:szCs w:val="20"/>
              </w:rPr>
              <w:t>21,5</w:t>
            </w:r>
          </w:p>
        </w:tc>
      </w:tr>
      <w:tr w:rsidR="00FE461F" w:rsidRPr="005E4BEA" w14:paraId="776DA1E4" w14:textId="77777777" w:rsidTr="0016774B">
        <w:trPr>
          <w:trHeight w:val="189"/>
        </w:trPr>
        <w:tc>
          <w:tcPr>
            <w:tcW w:w="3795" w:type="dxa"/>
            <w:tcBorders>
              <w:top w:val="nil"/>
              <w:left w:val="single" w:sz="4" w:space="0" w:color="auto"/>
              <w:bottom w:val="nil"/>
              <w:right w:val="single" w:sz="4" w:space="0" w:color="auto"/>
            </w:tcBorders>
            <w:hideMark/>
          </w:tcPr>
          <w:p w14:paraId="72574B08" w14:textId="77777777" w:rsidR="00FE461F" w:rsidRPr="005E4BEA" w:rsidRDefault="00FE461F" w:rsidP="00FE461F">
            <w:pPr>
              <w:spacing w:line="240" w:lineRule="auto"/>
              <w:rPr>
                <w:rFonts w:cs="Arial"/>
                <w:szCs w:val="20"/>
              </w:rPr>
            </w:pPr>
            <w:r w:rsidRPr="005E4BEA">
              <w:rPr>
                <w:rFonts w:cs="Arial"/>
                <w:szCs w:val="20"/>
              </w:rPr>
              <w:t>Splošna bolnišnica Jesenice</w:t>
            </w:r>
          </w:p>
        </w:tc>
        <w:tc>
          <w:tcPr>
            <w:tcW w:w="1022" w:type="dxa"/>
            <w:tcBorders>
              <w:top w:val="nil"/>
              <w:left w:val="nil"/>
              <w:bottom w:val="nil"/>
              <w:right w:val="single" w:sz="4" w:space="0" w:color="auto"/>
            </w:tcBorders>
            <w:noWrap/>
            <w:vAlign w:val="bottom"/>
            <w:hideMark/>
          </w:tcPr>
          <w:p w14:paraId="19E6599C"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5087822" w14:textId="77777777" w:rsidR="00FE461F" w:rsidRPr="005E4BEA" w:rsidRDefault="00FE461F" w:rsidP="00FE461F">
            <w:pPr>
              <w:spacing w:line="240" w:lineRule="auto"/>
              <w:jc w:val="right"/>
              <w:rPr>
                <w:rFonts w:cs="Arial"/>
                <w:szCs w:val="20"/>
              </w:rPr>
            </w:pPr>
            <w:r w:rsidRPr="005E4BEA">
              <w:rPr>
                <w:rFonts w:cs="Arial"/>
                <w:szCs w:val="20"/>
              </w:rPr>
              <w:t>124</w:t>
            </w:r>
          </w:p>
        </w:tc>
        <w:tc>
          <w:tcPr>
            <w:tcW w:w="2011" w:type="dxa"/>
            <w:tcBorders>
              <w:top w:val="nil"/>
              <w:left w:val="nil"/>
              <w:bottom w:val="nil"/>
              <w:right w:val="single" w:sz="4" w:space="0" w:color="auto"/>
            </w:tcBorders>
            <w:noWrap/>
            <w:vAlign w:val="bottom"/>
            <w:hideMark/>
          </w:tcPr>
          <w:p w14:paraId="20F58E9D" w14:textId="77777777" w:rsidR="00FE461F" w:rsidRPr="005E4BEA" w:rsidRDefault="00FE461F" w:rsidP="00FE461F">
            <w:pPr>
              <w:spacing w:line="240" w:lineRule="auto"/>
              <w:jc w:val="right"/>
              <w:rPr>
                <w:rFonts w:cs="Arial"/>
                <w:szCs w:val="20"/>
              </w:rPr>
            </w:pPr>
            <w:r w:rsidRPr="005E4BEA">
              <w:rPr>
                <w:rFonts w:cs="Arial"/>
                <w:szCs w:val="20"/>
              </w:rPr>
              <w:t>571</w:t>
            </w:r>
          </w:p>
        </w:tc>
        <w:tc>
          <w:tcPr>
            <w:tcW w:w="1584" w:type="dxa"/>
            <w:tcBorders>
              <w:top w:val="nil"/>
              <w:left w:val="nil"/>
              <w:bottom w:val="nil"/>
              <w:right w:val="single" w:sz="4" w:space="0" w:color="auto"/>
            </w:tcBorders>
            <w:noWrap/>
            <w:vAlign w:val="bottom"/>
            <w:hideMark/>
          </w:tcPr>
          <w:p w14:paraId="076CE3D9" w14:textId="77777777" w:rsidR="00FE461F" w:rsidRPr="005E4BEA" w:rsidRDefault="00FE461F" w:rsidP="00FE461F">
            <w:pPr>
              <w:spacing w:line="240" w:lineRule="auto"/>
              <w:jc w:val="right"/>
              <w:rPr>
                <w:rFonts w:cs="Arial"/>
                <w:szCs w:val="20"/>
              </w:rPr>
            </w:pPr>
            <w:r w:rsidRPr="005E4BEA">
              <w:rPr>
                <w:rFonts w:cs="Arial"/>
                <w:szCs w:val="20"/>
              </w:rPr>
              <w:t>21,7</w:t>
            </w:r>
          </w:p>
        </w:tc>
      </w:tr>
      <w:tr w:rsidR="00FE461F" w:rsidRPr="005E4BEA" w14:paraId="7322D2AE" w14:textId="77777777" w:rsidTr="0016774B">
        <w:trPr>
          <w:trHeight w:val="189"/>
        </w:trPr>
        <w:tc>
          <w:tcPr>
            <w:tcW w:w="3795" w:type="dxa"/>
            <w:tcBorders>
              <w:top w:val="nil"/>
              <w:left w:val="single" w:sz="4" w:space="0" w:color="auto"/>
              <w:bottom w:val="nil"/>
              <w:right w:val="single" w:sz="4" w:space="0" w:color="auto"/>
            </w:tcBorders>
            <w:hideMark/>
          </w:tcPr>
          <w:p w14:paraId="43E8B285" w14:textId="77777777" w:rsidR="00FE461F" w:rsidRPr="005E4BEA" w:rsidRDefault="00FE461F" w:rsidP="00FE461F">
            <w:pPr>
              <w:spacing w:line="240" w:lineRule="auto"/>
              <w:rPr>
                <w:rFonts w:cs="Arial"/>
                <w:szCs w:val="20"/>
              </w:rPr>
            </w:pPr>
            <w:r w:rsidRPr="005E4BEA">
              <w:rPr>
                <w:rFonts w:cs="Arial"/>
                <w:szCs w:val="20"/>
              </w:rPr>
              <w:t>Splošna bolnišnica Jesenice</w:t>
            </w:r>
          </w:p>
        </w:tc>
        <w:tc>
          <w:tcPr>
            <w:tcW w:w="1022" w:type="dxa"/>
            <w:tcBorders>
              <w:top w:val="nil"/>
              <w:left w:val="nil"/>
              <w:bottom w:val="nil"/>
              <w:right w:val="single" w:sz="4" w:space="0" w:color="auto"/>
            </w:tcBorders>
            <w:noWrap/>
            <w:vAlign w:val="bottom"/>
            <w:hideMark/>
          </w:tcPr>
          <w:p w14:paraId="51157A8C"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400B2BB8" w14:textId="77777777" w:rsidR="00FE461F" w:rsidRPr="005E4BEA" w:rsidRDefault="00FE461F" w:rsidP="00FE461F">
            <w:pPr>
              <w:spacing w:line="240" w:lineRule="auto"/>
              <w:jc w:val="right"/>
              <w:rPr>
                <w:rFonts w:cs="Arial"/>
                <w:szCs w:val="20"/>
              </w:rPr>
            </w:pPr>
            <w:r w:rsidRPr="005E4BEA">
              <w:rPr>
                <w:rFonts w:cs="Arial"/>
                <w:szCs w:val="20"/>
              </w:rPr>
              <w:t>136</w:t>
            </w:r>
          </w:p>
        </w:tc>
        <w:tc>
          <w:tcPr>
            <w:tcW w:w="2011" w:type="dxa"/>
            <w:tcBorders>
              <w:top w:val="nil"/>
              <w:left w:val="nil"/>
              <w:bottom w:val="nil"/>
              <w:right w:val="single" w:sz="4" w:space="0" w:color="auto"/>
            </w:tcBorders>
            <w:noWrap/>
            <w:vAlign w:val="bottom"/>
            <w:hideMark/>
          </w:tcPr>
          <w:p w14:paraId="07990A0A" w14:textId="77777777" w:rsidR="00FE461F" w:rsidRPr="005E4BEA" w:rsidRDefault="00FE461F" w:rsidP="00FE461F">
            <w:pPr>
              <w:spacing w:line="240" w:lineRule="auto"/>
              <w:jc w:val="right"/>
              <w:rPr>
                <w:rFonts w:cs="Arial"/>
                <w:szCs w:val="20"/>
              </w:rPr>
            </w:pPr>
            <w:r w:rsidRPr="005E4BEA">
              <w:rPr>
                <w:rFonts w:cs="Arial"/>
                <w:szCs w:val="20"/>
              </w:rPr>
              <w:t>584</w:t>
            </w:r>
          </w:p>
        </w:tc>
        <w:tc>
          <w:tcPr>
            <w:tcW w:w="1584" w:type="dxa"/>
            <w:tcBorders>
              <w:top w:val="nil"/>
              <w:left w:val="nil"/>
              <w:bottom w:val="nil"/>
              <w:right w:val="single" w:sz="4" w:space="0" w:color="auto"/>
            </w:tcBorders>
            <w:noWrap/>
            <w:vAlign w:val="bottom"/>
            <w:hideMark/>
          </w:tcPr>
          <w:p w14:paraId="1522CD18" w14:textId="77777777" w:rsidR="00FE461F" w:rsidRPr="005E4BEA" w:rsidRDefault="00FE461F" w:rsidP="00FE461F">
            <w:pPr>
              <w:spacing w:line="240" w:lineRule="auto"/>
              <w:jc w:val="right"/>
              <w:rPr>
                <w:rFonts w:cs="Arial"/>
                <w:szCs w:val="20"/>
              </w:rPr>
            </w:pPr>
            <w:r w:rsidRPr="005E4BEA">
              <w:rPr>
                <w:rFonts w:cs="Arial"/>
                <w:szCs w:val="20"/>
              </w:rPr>
              <w:t>23,3</w:t>
            </w:r>
          </w:p>
        </w:tc>
      </w:tr>
      <w:tr w:rsidR="00FE461F" w:rsidRPr="005E4BEA" w14:paraId="0D46948B"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9F9498F" w14:textId="77777777" w:rsidR="00FE461F" w:rsidRPr="005E4BEA" w:rsidRDefault="00FE461F" w:rsidP="00FE461F">
            <w:pPr>
              <w:spacing w:line="240" w:lineRule="auto"/>
              <w:rPr>
                <w:rFonts w:cs="Arial"/>
                <w:szCs w:val="20"/>
              </w:rPr>
            </w:pPr>
            <w:r w:rsidRPr="005E4BEA">
              <w:rPr>
                <w:rFonts w:cs="Arial"/>
                <w:szCs w:val="20"/>
              </w:rPr>
              <w:t>Splošna bolnišnica Jesenice</w:t>
            </w:r>
          </w:p>
        </w:tc>
        <w:tc>
          <w:tcPr>
            <w:tcW w:w="1022" w:type="dxa"/>
            <w:tcBorders>
              <w:top w:val="nil"/>
              <w:left w:val="nil"/>
              <w:bottom w:val="single" w:sz="4" w:space="0" w:color="auto"/>
              <w:right w:val="single" w:sz="4" w:space="0" w:color="auto"/>
            </w:tcBorders>
            <w:noWrap/>
            <w:vAlign w:val="bottom"/>
            <w:hideMark/>
          </w:tcPr>
          <w:p w14:paraId="0B87BF9B"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71CE49D0" w14:textId="77777777" w:rsidR="00FE461F" w:rsidRPr="005E4BEA" w:rsidRDefault="00FE461F" w:rsidP="00FE461F">
            <w:pPr>
              <w:spacing w:line="240" w:lineRule="auto"/>
              <w:jc w:val="right"/>
              <w:rPr>
                <w:rFonts w:cs="Arial"/>
                <w:szCs w:val="20"/>
              </w:rPr>
            </w:pPr>
            <w:r w:rsidRPr="005E4BEA">
              <w:rPr>
                <w:rFonts w:cs="Arial"/>
                <w:szCs w:val="20"/>
              </w:rPr>
              <w:t>132</w:t>
            </w:r>
          </w:p>
        </w:tc>
        <w:tc>
          <w:tcPr>
            <w:tcW w:w="2011" w:type="dxa"/>
            <w:tcBorders>
              <w:top w:val="nil"/>
              <w:left w:val="nil"/>
              <w:bottom w:val="single" w:sz="4" w:space="0" w:color="auto"/>
              <w:right w:val="single" w:sz="4" w:space="0" w:color="auto"/>
            </w:tcBorders>
            <w:noWrap/>
            <w:vAlign w:val="bottom"/>
            <w:hideMark/>
          </w:tcPr>
          <w:p w14:paraId="11F2ACB9" w14:textId="77777777" w:rsidR="00FE461F" w:rsidRPr="005E4BEA" w:rsidRDefault="00FE461F" w:rsidP="00FE461F">
            <w:pPr>
              <w:spacing w:line="240" w:lineRule="auto"/>
              <w:jc w:val="right"/>
              <w:rPr>
                <w:rFonts w:cs="Arial"/>
                <w:szCs w:val="20"/>
              </w:rPr>
            </w:pPr>
            <w:r w:rsidRPr="005E4BEA">
              <w:rPr>
                <w:rFonts w:cs="Arial"/>
                <w:szCs w:val="20"/>
              </w:rPr>
              <w:t>604</w:t>
            </w:r>
          </w:p>
        </w:tc>
        <w:tc>
          <w:tcPr>
            <w:tcW w:w="1584" w:type="dxa"/>
            <w:tcBorders>
              <w:top w:val="nil"/>
              <w:left w:val="nil"/>
              <w:bottom w:val="single" w:sz="4" w:space="0" w:color="auto"/>
              <w:right w:val="single" w:sz="4" w:space="0" w:color="auto"/>
            </w:tcBorders>
            <w:noWrap/>
            <w:vAlign w:val="bottom"/>
            <w:hideMark/>
          </w:tcPr>
          <w:p w14:paraId="25D8E7EF" w14:textId="77777777" w:rsidR="00FE461F" w:rsidRPr="005E4BEA" w:rsidRDefault="00FE461F" w:rsidP="00FE461F">
            <w:pPr>
              <w:spacing w:line="240" w:lineRule="auto"/>
              <w:jc w:val="right"/>
              <w:rPr>
                <w:rFonts w:cs="Arial"/>
                <w:szCs w:val="20"/>
              </w:rPr>
            </w:pPr>
            <w:r w:rsidRPr="005E4BEA">
              <w:rPr>
                <w:rFonts w:cs="Arial"/>
                <w:szCs w:val="20"/>
              </w:rPr>
              <w:t>21,9</w:t>
            </w:r>
          </w:p>
        </w:tc>
      </w:tr>
      <w:tr w:rsidR="00FE461F" w:rsidRPr="005E4BEA" w14:paraId="546C839B" w14:textId="77777777" w:rsidTr="0016774B">
        <w:trPr>
          <w:trHeight w:val="189"/>
        </w:trPr>
        <w:tc>
          <w:tcPr>
            <w:tcW w:w="3795" w:type="dxa"/>
            <w:tcBorders>
              <w:top w:val="nil"/>
              <w:left w:val="single" w:sz="4" w:space="0" w:color="auto"/>
              <w:bottom w:val="nil"/>
              <w:right w:val="single" w:sz="4" w:space="0" w:color="auto"/>
            </w:tcBorders>
            <w:hideMark/>
          </w:tcPr>
          <w:p w14:paraId="67BD4E5E" w14:textId="77777777" w:rsidR="00FE461F" w:rsidRPr="005E4BEA" w:rsidRDefault="00FE461F" w:rsidP="00FE461F">
            <w:pPr>
              <w:spacing w:line="240" w:lineRule="auto"/>
              <w:rPr>
                <w:rFonts w:cs="Arial"/>
                <w:szCs w:val="20"/>
              </w:rPr>
            </w:pPr>
            <w:r w:rsidRPr="005E4BEA">
              <w:rPr>
                <w:rFonts w:cs="Arial"/>
                <w:szCs w:val="20"/>
              </w:rPr>
              <w:t>Splošna bolnišnica Murska Sobota</w:t>
            </w:r>
          </w:p>
        </w:tc>
        <w:tc>
          <w:tcPr>
            <w:tcW w:w="1022" w:type="dxa"/>
            <w:tcBorders>
              <w:top w:val="nil"/>
              <w:left w:val="nil"/>
              <w:bottom w:val="nil"/>
              <w:right w:val="single" w:sz="4" w:space="0" w:color="auto"/>
            </w:tcBorders>
            <w:noWrap/>
            <w:vAlign w:val="bottom"/>
            <w:hideMark/>
          </w:tcPr>
          <w:p w14:paraId="64745CFD"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5F2044E1" w14:textId="77777777" w:rsidR="00FE461F" w:rsidRPr="005E4BEA" w:rsidRDefault="00FE461F" w:rsidP="00FE461F">
            <w:pPr>
              <w:spacing w:line="240" w:lineRule="auto"/>
              <w:jc w:val="right"/>
              <w:rPr>
                <w:rFonts w:cs="Arial"/>
                <w:szCs w:val="20"/>
              </w:rPr>
            </w:pPr>
            <w:r w:rsidRPr="005E4BEA">
              <w:rPr>
                <w:rFonts w:cs="Arial"/>
                <w:szCs w:val="20"/>
              </w:rPr>
              <w:t>252</w:t>
            </w:r>
          </w:p>
        </w:tc>
        <w:tc>
          <w:tcPr>
            <w:tcW w:w="2011" w:type="dxa"/>
            <w:tcBorders>
              <w:top w:val="nil"/>
              <w:left w:val="nil"/>
              <w:bottom w:val="nil"/>
              <w:right w:val="single" w:sz="4" w:space="0" w:color="auto"/>
            </w:tcBorders>
            <w:noWrap/>
            <w:vAlign w:val="bottom"/>
            <w:hideMark/>
          </w:tcPr>
          <w:p w14:paraId="73FF45F3" w14:textId="77777777" w:rsidR="00FE461F" w:rsidRPr="005E4BEA" w:rsidRDefault="00FE461F" w:rsidP="00FE461F">
            <w:pPr>
              <w:spacing w:line="240" w:lineRule="auto"/>
              <w:jc w:val="right"/>
              <w:rPr>
                <w:rFonts w:cs="Arial"/>
                <w:szCs w:val="20"/>
              </w:rPr>
            </w:pPr>
            <w:r w:rsidRPr="005E4BEA">
              <w:rPr>
                <w:rFonts w:cs="Arial"/>
                <w:szCs w:val="20"/>
              </w:rPr>
              <w:t>845</w:t>
            </w:r>
          </w:p>
        </w:tc>
        <w:tc>
          <w:tcPr>
            <w:tcW w:w="1584" w:type="dxa"/>
            <w:tcBorders>
              <w:top w:val="nil"/>
              <w:left w:val="nil"/>
              <w:bottom w:val="nil"/>
              <w:right w:val="single" w:sz="4" w:space="0" w:color="auto"/>
            </w:tcBorders>
            <w:noWrap/>
            <w:vAlign w:val="bottom"/>
            <w:hideMark/>
          </w:tcPr>
          <w:p w14:paraId="232B6FCB" w14:textId="77777777" w:rsidR="00FE461F" w:rsidRPr="005E4BEA" w:rsidRDefault="00FE461F" w:rsidP="00FE461F">
            <w:pPr>
              <w:spacing w:line="240" w:lineRule="auto"/>
              <w:jc w:val="right"/>
              <w:rPr>
                <w:rFonts w:cs="Arial"/>
                <w:szCs w:val="20"/>
              </w:rPr>
            </w:pPr>
            <w:r w:rsidRPr="005E4BEA">
              <w:rPr>
                <w:rFonts w:cs="Arial"/>
                <w:szCs w:val="20"/>
              </w:rPr>
              <w:t>29,8</w:t>
            </w:r>
          </w:p>
        </w:tc>
      </w:tr>
      <w:tr w:rsidR="00FE461F" w:rsidRPr="005E4BEA" w14:paraId="55A3A3CB" w14:textId="77777777" w:rsidTr="0016774B">
        <w:trPr>
          <w:trHeight w:val="189"/>
        </w:trPr>
        <w:tc>
          <w:tcPr>
            <w:tcW w:w="3795" w:type="dxa"/>
            <w:tcBorders>
              <w:top w:val="nil"/>
              <w:left w:val="single" w:sz="4" w:space="0" w:color="auto"/>
              <w:bottom w:val="nil"/>
              <w:right w:val="single" w:sz="4" w:space="0" w:color="auto"/>
            </w:tcBorders>
            <w:hideMark/>
          </w:tcPr>
          <w:p w14:paraId="6201A860" w14:textId="77777777" w:rsidR="00FE461F" w:rsidRPr="005E4BEA" w:rsidRDefault="00FE461F" w:rsidP="00FE461F">
            <w:pPr>
              <w:spacing w:line="240" w:lineRule="auto"/>
              <w:rPr>
                <w:rFonts w:cs="Arial"/>
                <w:szCs w:val="20"/>
              </w:rPr>
            </w:pPr>
            <w:r w:rsidRPr="005E4BEA">
              <w:rPr>
                <w:rFonts w:cs="Arial"/>
                <w:szCs w:val="20"/>
              </w:rPr>
              <w:t>Splošna bolnišnica Murska Sobota</w:t>
            </w:r>
          </w:p>
        </w:tc>
        <w:tc>
          <w:tcPr>
            <w:tcW w:w="1022" w:type="dxa"/>
            <w:tcBorders>
              <w:top w:val="nil"/>
              <w:left w:val="nil"/>
              <w:bottom w:val="nil"/>
              <w:right w:val="single" w:sz="4" w:space="0" w:color="auto"/>
            </w:tcBorders>
            <w:noWrap/>
            <w:vAlign w:val="bottom"/>
            <w:hideMark/>
          </w:tcPr>
          <w:p w14:paraId="74A54742"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03ABADC2" w14:textId="77777777" w:rsidR="00FE461F" w:rsidRPr="005E4BEA" w:rsidRDefault="00FE461F" w:rsidP="00FE461F">
            <w:pPr>
              <w:spacing w:line="240" w:lineRule="auto"/>
              <w:jc w:val="right"/>
              <w:rPr>
                <w:rFonts w:cs="Arial"/>
                <w:szCs w:val="20"/>
              </w:rPr>
            </w:pPr>
            <w:r w:rsidRPr="005E4BEA">
              <w:rPr>
                <w:rFonts w:cs="Arial"/>
                <w:szCs w:val="20"/>
              </w:rPr>
              <w:t>262</w:t>
            </w:r>
          </w:p>
        </w:tc>
        <w:tc>
          <w:tcPr>
            <w:tcW w:w="2011" w:type="dxa"/>
            <w:tcBorders>
              <w:top w:val="nil"/>
              <w:left w:val="nil"/>
              <w:bottom w:val="nil"/>
              <w:right w:val="single" w:sz="4" w:space="0" w:color="auto"/>
            </w:tcBorders>
            <w:noWrap/>
            <w:vAlign w:val="bottom"/>
            <w:hideMark/>
          </w:tcPr>
          <w:p w14:paraId="6C35ABD6" w14:textId="77777777" w:rsidR="00FE461F" w:rsidRPr="005E4BEA" w:rsidRDefault="00FE461F" w:rsidP="00FE461F">
            <w:pPr>
              <w:spacing w:line="240" w:lineRule="auto"/>
              <w:jc w:val="right"/>
              <w:rPr>
                <w:rFonts w:cs="Arial"/>
                <w:szCs w:val="20"/>
              </w:rPr>
            </w:pPr>
            <w:r w:rsidRPr="005E4BEA">
              <w:rPr>
                <w:rFonts w:cs="Arial"/>
                <w:szCs w:val="20"/>
              </w:rPr>
              <w:t>883</w:t>
            </w:r>
          </w:p>
        </w:tc>
        <w:tc>
          <w:tcPr>
            <w:tcW w:w="1584" w:type="dxa"/>
            <w:tcBorders>
              <w:top w:val="nil"/>
              <w:left w:val="nil"/>
              <w:bottom w:val="nil"/>
              <w:right w:val="single" w:sz="4" w:space="0" w:color="auto"/>
            </w:tcBorders>
            <w:noWrap/>
            <w:vAlign w:val="bottom"/>
            <w:hideMark/>
          </w:tcPr>
          <w:p w14:paraId="620E3211" w14:textId="77777777" w:rsidR="00FE461F" w:rsidRPr="005E4BEA" w:rsidRDefault="00FE461F" w:rsidP="00FE461F">
            <w:pPr>
              <w:spacing w:line="240" w:lineRule="auto"/>
              <w:jc w:val="right"/>
              <w:rPr>
                <w:rFonts w:cs="Arial"/>
                <w:szCs w:val="20"/>
              </w:rPr>
            </w:pPr>
            <w:r w:rsidRPr="005E4BEA">
              <w:rPr>
                <w:rFonts w:cs="Arial"/>
                <w:szCs w:val="20"/>
              </w:rPr>
              <w:t>29,7</w:t>
            </w:r>
          </w:p>
        </w:tc>
      </w:tr>
      <w:tr w:rsidR="00FE461F" w:rsidRPr="005E4BEA" w14:paraId="1BBA7DD9" w14:textId="77777777" w:rsidTr="0016774B">
        <w:trPr>
          <w:trHeight w:val="189"/>
        </w:trPr>
        <w:tc>
          <w:tcPr>
            <w:tcW w:w="3795" w:type="dxa"/>
            <w:tcBorders>
              <w:top w:val="nil"/>
              <w:left w:val="single" w:sz="4" w:space="0" w:color="auto"/>
              <w:bottom w:val="nil"/>
              <w:right w:val="single" w:sz="4" w:space="0" w:color="auto"/>
            </w:tcBorders>
            <w:hideMark/>
          </w:tcPr>
          <w:p w14:paraId="01CF98FD" w14:textId="77777777" w:rsidR="00FE461F" w:rsidRPr="005E4BEA" w:rsidRDefault="00FE461F" w:rsidP="00FE461F">
            <w:pPr>
              <w:spacing w:line="240" w:lineRule="auto"/>
              <w:rPr>
                <w:rFonts w:cs="Arial"/>
                <w:szCs w:val="20"/>
              </w:rPr>
            </w:pPr>
            <w:r w:rsidRPr="005E4BEA">
              <w:rPr>
                <w:rFonts w:cs="Arial"/>
                <w:szCs w:val="20"/>
              </w:rPr>
              <w:t>Splošna bolnišnica Murska Sobota</w:t>
            </w:r>
          </w:p>
        </w:tc>
        <w:tc>
          <w:tcPr>
            <w:tcW w:w="1022" w:type="dxa"/>
            <w:tcBorders>
              <w:top w:val="nil"/>
              <w:left w:val="nil"/>
              <w:bottom w:val="nil"/>
              <w:right w:val="single" w:sz="4" w:space="0" w:color="auto"/>
            </w:tcBorders>
            <w:noWrap/>
            <w:vAlign w:val="bottom"/>
            <w:hideMark/>
          </w:tcPr>
          <w:p w14:paraId="142CC727"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14E0E137" w14:textId="77777777" w:rsidR="00FE461F" w:rsidRPr="005E4BEA" w:rsidRDefault="00FE461F" w:rsidP="00FE461F">
            <w:pPr>
              <w:spacing w:line="240" w:lineRule="auto"/>
              <w:jc w:val="right"/>
              <w:rPr>
                <w:rFonts w:cs="Arial"/>
                <w:szCs w:val="20"/>
              </w:rPr>
            </w:pPr>
            <w:r w:rsidRPr="005E4BEA">
              <w:rPr>
                <w:rFonts w:cs="Arial"/>
                <w:szCs w:val="20"/>
              </w:rPr>
              <w:t>263</w:t>
            </w:r>
          </w:p>
        </w:tc>
        <w:tc>
          <w:tcPr>
            <w:tcW w:w="2011" w:type="dxa"/>
            <w:tcBorders>
              <w:top w:val="nil"/>
              <w:left w:val="nil"/>
              <w:bottom w:val="nil"/>
              <w:right w:val="single" w:sz="4" w:space="0" w:color="auto"/>
            </w:tcBorders>
            <w:noWrap/>
            <w:vAlign w:val="bottom"/>
            <w:hideMark/>
          </w:tcPr>
          <w:p w14:paraId="122CAE62" w14:textId="77777777" w:rsidR="00FE461F" w:rsidRPr="005E4BEA" w:rsidRDefault="00FE461F" w:rsidP="00FE461F">
            <w:pPr>
              <w:spacing w:line="240" w:lineRule="auto"/>
              <w:jc w:val="right"/>
              <w:rPr>
                <w:rFonts w:cs="Arial"/>
                <w:szCs w:val="20"/>
              </w:rPr>
            </w:pPr>
            <w:r w:rsidRPr="005E4BEA">
              <w:rPr>
                <w:rFonts w:cs="Arial"/>
                <w:szCs w:val="20"/>
              </w:rPr>
              <w:t>923</w:t>
            </w:r>
          </w:p>
        </w:tc>
        <w:tc>
          <w:tcPr>
            <w:tcW w:w="1584" w:type="dxa"/>
            <w:tcBorders>
              <w:top w:val="nil"/>
              <w:left w:val="nil"/>
              <w:bottom w:val="nil"/>
              <w:right w:val="single" w:sz="4" w:space="0" w:color="auto"/>
            </w:tcBorders>
            <w:noWrap/>
            <w:vAlign w:val="bottom"/>
            <w:hideMark/>
          </w:tcPr>
          <w:p w14:paraId="572AB04E" w14:textId="77777777" w:rsidR="00FE461F" w:rsidRPr="005E4BEA" w:rsidRDefault="00FE461F" w:rsidP="00FE461F">
            <w:pPr>
              <w:spacing w:line="240" w:lineRule="auto"/>
              <w:jc w:val="right"/>
              <w:rPr>
                <w:rFonts w:cs="Arial"/>
                <w:szCs w:val="20"/>
              </w:rPr>
            </w:pPr>
            <w:r w:rsidRPr="005E4BEA">
              <w:rPr>
                <w:rFonts w:cs="Arial"/>
                <w:szCs w:val="20"/>
              </w:rPr>
              <w:t>28,5</w:t>
            </w:r>
          </w:p>
        </w:tc>
      </w:tr>
      <w:tr w:rsidR="00FE461F" w:rsidRPr="005E4BEA" w14:paraId="36EDC39A" w14:textId="77777777" w:rsidTr="0016774B">
        <w:trPr>
          <w:trHeight w:val="189"/>
        </w:trPr>
        <w:tc>
          <w:tcPr>
            <w:tcW w:w="3795" w:type="dxa"/>
            <w:tcBorders>
              <w:top w:val="nil"/>
              <w:left w:val="single" w:sz="4" w:space="0" w:color="auto"/>
              <w:bottom w:val="nil"/>
              <w:right w:val="single" w:sz="4" w:space="0" w:color="auto"/>
            </w:tcBorders>
            <w:hideMark/>
          </w:tcPr>
          <w:p w14:paraId="5C7ABBAE" w14:textId="77777777" w:rsidR="00FE461F" w:rsidRPr="005E4BEA" w:rsidRDefault="00FE461F" w:rsidP="00FE461F">
            <w:pPr>
              <w:spacing w:line="240" w:lineRule="auto"/>
              <w:rPr>
                <w:rFonts w:cs="Arial"/>
                <w:szCs w:val="20"/>
              </w:rPr>
            </w:pPr>
            <w:r w:rsidRPr="005E4BEA">
              <w:rPr>
                <w:rFonts w:cs="Arial"/>
                <w:szCs w:val="20"/>
              </w:rPr>
              <w:t>Splošna bolnišnica Murska Sobota</w:t>
            </w:r>
          </w:p>
        </w:tc>
        <w:tc>
          <w:tcPr>
            <w:tcW w:w="1022" w:type="dxa"/>
            <w:tcBorders>
              <w:top w:val="nil"/>
              <w:left w:val="nil"/>
              <w:bottom w:val="nil"/>
              <w:right w:val="single" w:sz="4" w:space="0" w:color="auto"/>
            </w:tcBorders>
            <w:noWrap/>
            <w:vAlign w:val="bottom"/>
            <w:hideMark/>
          </w:tcPr>
          <w:p w14:paraId="6B7EF7D9"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00F7206B" w14:textId="77777777" w:rsidR="00FE461F" w:rsidRPr="005E4BEA" w:rsidRDefault="00FE461F" w:rsidP="00FE461F">
            <w:pPr>
              <w:spacing w:line="240" w:lineRule="auto"/>
              <w:jc w:val="right"/>
              <w:rPr>
                <w:rFonts w:cs="Arial"/>
                <w:szCs w:val="20"/>
              </w:rPr>
            </w:pPr>
            <w:r w:rsidRPr="005E4BEA">
              <w:rPr>
                <w:rFonts w:cs="Arial"/>
                <w:szCs w:val="20"/>
              </w:rPr>
              <w:t>266</w:t>
            </w:r>
          </w:p>
        </w:tc>
        <w:tc>
          <w:tcPr>
            <w:tcW w:w="2011" w:type="dxa"/>
            <w:tcBorders>
              <w:top w:val="nil"/>
              <w:left w:val="nil"/>
              <w:bottom w:val="nil"/>
              <w:right w:val="single" w:sz="4" w:space="0" w:color="auto"/>
            </w:tcBorders>
            <w:noWrap/>
            <w:vAlign w:val="bottom"/>
            <w:hideMark/>
          </w:tcPr>
          <w:p w14:paraId="23A36198" w14:textId="77777777" w:rsidR="00FE461F" w:rsidRPr="005E4BEA" w:rsidRDefault="00FE461F" w:rsidP="00FE461F">
            <w:pPr>
              <w:spacing w:line="240" w:lineRule="auto"/>
              <w:jc w:val="right"/>
              <w:rPr>
                <w:rFonts w:cs="Arial"/>
                <w:szCs w:val="20"/>
              </w:rPr>
            </w:pPr>
            <w:r w:rsidRPr="005E4BEA">
              <w:rPr>
                <w:rFonts w:cs="Arial"/>
                <w:szCs w:val="20"/>
              </w:rPr>
              <w:t>936</w:t>
            </w:r>
          </w:p>
        </w:tc>
        <w:tc>
          <w:tcPr>
            <w:tcW w:w="1584" w:type="dxa"/>
            <w:tcBorders>
              <w:top w:val="nil"/>
              <w:left w:val="nil"/>
              <w:bottom w:val="nil"/>
              <w:right w:val="single" w:sz="4" w:space="0" w:color="auto"/>
            </w:tcBorders>
            <w:noWrap/>
            <w:vAlign w:val="bottom"/>
            <w:hideMark/>
          </w:tcPr>
          <w:p w14:paraId="4DE3CAF4" w14:textId="77777777" w:rsidR="00FE461F" w:rsidRPr="005E4BEA" w:rsidRDefault="00FE461F" w:rsidP="00FE461F">
            <w:pPr>
              <w:spacing w:line="240" w:lineRule="auto"/>
              <w:jc w:val="right"/>
              <w:rPr>
                <w:rFonts w:cs="Arial"/>
                <w:szCs w:val="20"/>
              </w:rPr>
            </w:pPr>
            <w:r w:rsidRPr="005E4BEA">
              <w:rPr>
                <w:rFonts w:cs="Arial"/>
                <w:szCs w:val="20"/>
              </w:rPr>
              <w:t>28,4</w:t>
            </w:r>
          </w:p>
        </w:tc>
      </w:tr>
      <w:tr w:rsidR="00FE461F" w:rsidRPr="005E4BEA" w14:paraId="2A31FF48" w14:textId="77777777" w:rsidTr="0016774B">
        <w:trPr>
          <w:trHeight w:val="189"/>
        </w:trPr>
        <w:tc>
          <w:tcPr>
            <w:tcW w:w="3795" w:type="dxa"/>
            <w:tcBorders>
              <w:top w:val="nil"/>
              <w:left w:val="single" w:sz="4" w:space="0" w:color="auto"/>
              <w:bottom w:val="nil"/>
              <w:right w:val="single" w:sz="4" w:space="0" w:color="auto"/>
            </w:tcBorders>
            <w:hideMark/>
          </w:tcPr>
          <w:p w14:paraId="5A75BBB7" w14:textId="77777777" w:rsidR="00FE461F" w:rsidRPr="005E4BEA" w:rsidRDefault="00FE461F" w:rsidP="00FE461F">
            <w:pPr>
              <w:spacing w:line="240" w:lineRule="auto"/>
              <w:rPr>
                <w:rFonts w:cs="Arial"/>
                <w:szCs w:val="20"/>
              </w:rPr>
            </w:pPr>
            <w:r w:rsidRPr="005E4BEA">
              <w:rPr>
                <w:rFonts w:cs="Arial"/>
                <w:szCs w:val="20"/>
              </w:rPr>
              <w:t>Splošna bolnišnica Murska Sobota</w:t>
            </w:r>
          </w:p>
        </w:tc>
        <w:tc>
          <w:tcPr>
            <w:tcW w:w="1022" w:type="dxa"/>
            <w:tcBorders>
              <w:top w:val="nil"/>
              <w:left w:val="nil"/>
              <w:bottom w:val="nil"/>
              <w:right w:val="single" w:sz="4" w:space="0" w:color="auto"/>
            </w:tcBorders>
            <w:noWrap/>
            <w:vAlign w:val="bottom"/>
            <w:hideMark/>
          </w:tcPr>
          <w:p w14:paraId="71AF5456"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6E4366EB" w14:textId="77777777" w:rsidR="00FE461F" w:rsidRPr="005E4BEA" w:rsidRDefault="00FE461F" w:rsidP="00FE461F">
            <w:pPr>
              <w:spacing w:line="240" w:lineRule="auto"/>
              <w:jc w:val="right"/>
              <w:rPr>
                <w:rFonts w:cs="Arial"/>
                <w:szCs w:val="20"/>
              </w:rPr>
            </w:pPr>
            <w:r w:rsidRPr="005E4BEA">
              <w:rPr>
                <w:rFonts w:cs="Arial"/>
                <w:szCs w:val="20"/>
              </w:rPr>
              <w:t>287</w:t>
            </w:r>
          </w:p>
        </w:tc>
        <w:tc>
          <w:tcPr>
            <w:tcW w:w="2011" w:type="dxa"/>
            <w:tcBorders>
              <w:top w:val="nil"/>
              <w:left w:val="nil"/>
              <w:bottom w:val="nil"/>
              <w:right w:val="single" w:sz="4" w:space="0" w:color="auto"/>
            </w:tcBorders>
            <w:noWrap/>
            <w:vAlign w:val="bottom"/>
            <w:hideMark/>
          </w:tcPr>
          <w:p w14:paraId="2AD032FE" w14:textId="77777777" w:rsidR="00FE461F" w:rsidRPr="005E4BEA" w:rsidRDefault="00FE461F" w:rsidP="00FE461F">
            <w:pPr>
              <w:spacing w:line="240" w:lineRule="auto"/>
              <w:jc w:val="right"/>
              <w:rPr>
                <w:rFonts w:cs="Arial"/>
                <w:szCs w:val="20"/>
              </w:rPr>
            </w:pPr>
            <w:r w:rsidRPr="005E4BEA">
              <w:rPr>
                <w:rFonts w:cs="Arial"/>
                <w:szCs w:val="20"/>
              </w:rPr>
              <w:t>961</w:t>
            </w:r>
          </w:p>
        </w:tc>
        <w:tc>
          <w:tcPr>
            <w:tcW w:w="1584" w:type="dxa"/>
            <w:tcBorders>
              <w:top w:val="nil"/>
              <w:left w:val="nil"/>
              <w:bottom w:val="nil"/>
              <w:right w:val="single" w:sz="4" w:space="0" w:color="auto"/>
            </w:tcBorders>
            <w:noWrap/>
            <w:vAlign w:val="bottom"/>
            <w:hideMark/>
          </w:tcPr>
          <w:p w14:paraId="10410A3A" w14:textId="77777777" w:rsidR="00FE461F" w:rsidRPr="005E4BEA" w:rsidRDefault="00FE461F" w:rsidP="00FE461F">
            <w:pPr>
              <w:spacing w:line="240" w:lineRule="auto"/>
              <w:jc w:val="right"/>
              <w:rPr>
                <w:rFonts w:cs="Arial"/>
                <w:szCs w:val="20"/>
              </w:rPr>
            </w:pPr>
            <w:r w:rsidRPr="005E4BEA">
              <w:rPr>
                <w:rFonts w:cs="Arial"/>
                <w:szCs w:val="20"/>
              </w:rPr>
              <w:t>29,9</w:t>
            </w:r>
          </w:p>
        </w:tc>
      </w:tr>
      <w:tr w:rsidR="00FE461F" w:rsidRPr="005E4BEA" w14:paraId="43EC5CAD"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5B1B2713" w14:textId="77777777" w:rsidR="00FE461F" w:rsidRPr="005E4BEA" w:rsidRDefault="00FE461F" w:rsidP="00FE461F">
            <w:pPr>
              <w:spacing w:line="240" w:lineRule="auto"/>
              <w:rPr>
                <w:rFonts w:cs="Arial"/>
                <w:szCs w:val="20"/>
              </w:rPr>
            </w:pPr>
            <w:r w:rsidRPr="005E4BEA">
              <w:rPr>
                <w:rFonts w:cs="Arial"/>
                <w:szCs w:val="20"/>
              </w:rPr>
              <w:t>Splošna bolnišnica Murska Sobota</w:t>
            </w:r>
          </w:p>
        </w:tc>
        <w:tc>
          <w:tcPr>
            <w:tcW w:w="1022" w:type="dxa"/>
            <w:tcBorders>
              <w:top w:val="nil"/>
              <w:left w:val="nil"/>
              <w:bottom w:val="single" w:sz="4" w:space="0" w:color="auto"/>
              <w:right w:val="single" w:sz="4" w:space="0" w:color="auto"/>
            </w:tcBorders>
            <w:noWrap/>
            <w:vAlign w:val="bottom"/>
            <w:hideMark/>
          </w:tcPr>
          <w:p w14:paraId="3BB6ED67"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73BE58AA" w14:textId="77777777" w:rsidR="00FE461F" w:rsidRPr="005E4BEA" w:rsidRDefault="00FE461F" w:rsidP="00FE461F">
            <w:pPr>
              <w:spacing w:line="240" w:lineRule="auto"/>
              <w:jc w:val="right"/>
              <w:rPr>
                <w:rFonts w:cs="Arial"/>
                <w:szCs w:val="20"/>
              </w:rPr>
            </w:pPr>
            <w:r w:rsidRPr="005E4BEA">
              <w:rPr>
                <w:rFonts w:cs="Arial"/>
                <w:szCs w:val="20"/>
              </w:rPr>
              <w:t>285</w:t>
            </w:r>
          </w:p>
        </w:tc>
        <w:tc>
          <w:tcPr>
            <w:tcW w:w="2011" w:type="dxa"/>
            <w:tcBorders>
              <w:top w:val="nil"/>
              <w:left w:val="nil"/>
              <w:bottom w:val="single" w:sz="4" w:space="0" w:color="auto"/>
              <w:right w:val="single" w:sz="4" w:space="0" w:color="auto"/>
            </w:tcBorders>
            <w:noWrap/>
            <w:vAlign w:val="bottom"/>
            <w:hideMark/>
          </w:tcPr>
          <w:p w14:paraId="685C6033" w14:textId="77777777" w:rsidR="00FE461F" w:rsidRPr="005E4BEA" w:rsidRDefault="00FE461F" w:rsidP="00FE461F">
            <w:pPr>
              <w:spacing w:line="240" w:lineRule="auto"/>
              <w:jc w:val="right"/>
              <w:rPr>
                <w:rFonts w:cs="Arial"/>
                <w:szCs w:val="20"/>
              </w:rPr>
            </w:pPr>
            <w:r w:rsidRPr="005E4BEA">
              <w:rPr>
                <w:rFonts w:cs="Arial"/>
                <w:szCs w:val="20"/>
              </w:rPr>
              <w:t>975</w:t>
            </w:r>
          </w:p>
        </w:tc>
        <w:tc>
          <w:tcPr>
            <w:tcW w:w="1584" w:type="dxa"/>
            <w:tcBorders>
              <w:top w:val="nil"/>
              <w:left w:val="nil"/>
              <w:bottom w:val="single" w:sz="4" w:space="0" w:color="auto"/>
              <w:right w:val="single" w:sz="4" w:space="0" w:color="auto"/>
            </w:tcBorders>
            <w:noWrap/>
            <w:vAlign w:val="bottom"/>
            <w:hideMark/>
          </w:tcPr>
          <w:p w14:paraId="3AE37AD7" w14:textId="77777777" w:rsidR="00FE461F" w:rsidRPr="005E4BEA" w:rsidRDefault="00FE461F" w:rsidP="00FE461F">
            <w:pPr>
              <w:spacing w:line="240" w:lineRule="auto"/>
              <w:jc w:val="right"/>
              <w:rPr>
                <w:rFonts w:cs="Arial"/>
                <w:szCs w:val="20"/>
              </w:rPr>
            </w:pPr>
            <w:r w:rsidRPr="005E4BEA">
              <w:rPr>
                <w:rFonts w:cs="Arial"/>
                <w:szCs w:val="20"/>
              </w:rPr>
              <w:t>29,2</w:t>
            </w:r>
          </w:p>
        </w:tc>
      </w:tr>
      <w:tr w:rsidR="00FE461F" w:rsidRPr="005E4BEA" w14:paraId="00FA9BE6" w14:textId="77777777" w:rsidTr="0016774B">
        <w:trPr>
          <w:trHeight w:val="189"/>
        </w:trPr>
        <w:tc>
          <w:tcPr>
            <w:tcW w:w="3795" w:type="dxa"/>
            <w:tcBorders>
              <w:top w:val="nil"/>
              <w:left w:val="single" w:sz="4" w:space="0" w:color="auto"/>
              <w:bottom w:val="nil"/>
              <w:right w:val="single" w:sz="4" w:space="0" w:color="auto"/>
            </w:tcBorders>
            <w:hideMark/>
          </w:tcPr>
          <w:p w14:paraId="5DAC3921" w14:textId="77777777" w:rsidR="00FE461F" w:rsidRPr="005E4BEA" w:rsidRDefault="00FE461F" w:rsidP="00FE461F">
            <w:pPr>
              <w:spacing w:line="240" w:lineRule="auto"/>
              <w:rPr>
                <w:rFonts w:cs="Arial"/>
                <w:szCs w:val="20"/>
              </w:rPr>
            </w:pPr>
            <w:r w:rsidRPr="005E4BEA">
              <w:rPr>
                <w:rFonts w:cs="Arial"/>
                <w:szCs w:val="20"/>
              </w:rPr>
              <w:t>Splošna bolnišnica Novo mesto</w:t>
            </w:r>
          </w:p>
        </w:tc>
        <w:tc>
          <w:tcPr>
            <w:tcW w:w="1022" w:type="dxa"/>
            <w:tcBorders>
              <w:top w:val="nil"/>
              <w:left w:val="nil"/>
              <w:bottom w:val="nil"/>
              <w:right w:val="single" w:sz="4" w:space="0" w:color="auto"/>
            </w:tcBorders>
            <w:noWrap/>
            <w:vAlign w:val="bottom"/>
            <w:hideMark/>
          </w:tcPr>
          <w:p w14:paraId="3318907D"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506BDBA8" w14:textId="77777777" w:rsidR="00FE461F" w:rsidRPr="005E4BEA" w:rsidRDefault="00FE461F" w:rsidP="00FE461F">
            <w:pPr>
              <w:spacing w:line="240" w:lineRule="auto"/>
              <w:jc w:val="right"/>
              <w:rPr>
                <w:rFonts w:cs="Arial"/>
                <w:szCs w:val="20"/>
              </w:rPr>
            </w:pPr>
            <w:r w:rsidRPr="005E4BEA">
              <w:rPr>
                <w:rFonts w:cs="Arial"/>
                <w:szCs w:val="20"/>
              </w:rPr>
              <w:t>289</w:t>
            </w:r>
          </w:p>
        </w:tc>
        <w:tc>
          <w:tcPr>
            <w:tcW w:w="2011" w:type="dxa"/>
            <w:tcBorders>
              <w:top w:val="nil"/>
              <w:left w:val="nil"/>
              <w:bottom w:val="nil"/>
              <w:right w:val="single" w:sz="4" w:space="0" w:color="auto"/>
            </w:tcBorders>
            <w:noWrap/>
            <w:vAlign w:val="bottom"/>
            <w:hideMark/>
          </w:tcPr>
          <w:p w14:paraId="54D6AA79" w14:textId="77777777" w:rsidR="00FE461F" w:rsidRPr="005E4BEA" w:rsidRDefault="00FE461F" w:rsidP="00FE461F">
            <w:pPr>
              <w:spacing w:line="240" w:lineRule="auto"/>
              <w:jc w:val="right"/>
              <w:rPr>
                <w:rFonts w:cs="Arial"/>
                <w:szCs w:val="20"/>
              </w:rPr>
            </w:pPr>
            <w:r w:rsidRPr="005E4BEA">
              <w:rPr>
                <w:rFonts w:cs="Arial"/>
                <w:szCs w:val="20"/>
              </w:rPr>
              <w:t>966</w:t>
            </w:r>
          </w:p>
        </w:tc>
        <w:tc>
          <w:tcPr>
            <w:tcW w:w="1584" w:type="dxa"/>
            <w:tcBorders>
              <w:top w:val="nil"/>
              <w:left w:val="nil"/>
              <w:bottom w:val="nil"/>
              <w:right w:val="single" w:sz="4" w:space="0" w:color="auto"/>
            </w:tcBorders>
            <w:noWrap/>
            <w:vAlign w:val="bottom"/>
            <w:hideMark/>
          </w:tcPr>
          <w:p w14:paraId="4A56DA1E" w14:textId="77777777" w:rsidR="00FE461F" w:rsidRPr="005E4BEA" w:rsidRDefault="00FE461F" w:rsidP="00FE461F">
            <w:pPr>
              <w:spacing w:line="240" w:lineRule="auto"/>
              <w:jc w:val="right"/>
              <w:rPr>
                <w:rFonts w:cs="Arial"/>
                <w:szCs w:val="20"/>
              </w:rPr>
            </w:pPr>
            <w:r w:rsidRPr="005E4BEA">
              <w:rPr>
                <w:rFonts w:cs="Arial"/>
                <w:szCs w:val="20"/>
              </w:rPr>
              <w:t>29,9</w:t>
            </w:r>
          </w:p>
        </w:tc>
      </w:tr>
      <w:tr w:rsidR="00FE461F" w:rsidRPr="005E4BEA" w14:paraId="7E70BE08" w14:textId="77777777" w:rsidTr="0016774B">
        <w:trPr>
          <w:trHeight w:val="189"/>
        </w:trPr>
        <w:tc>
          <w:tcPr>
            <w:tcW w:w="3795" w:type="dxa"/>
            <w:tcBorders>
              <w:top w:val="nil"/>
              <w:left w:val="single" w:sz="4" w:space="0" w:color="auto"/>
              <w:bottom w:val="nil"/>
              <w:right w:val="single" w:sz="4" w:space="0" w:color="auto"/>
            </w:tcBorders>
            <w:hideMark/>
          </w:tcPr>
          <w:p w14:paraId="293B88B8" w14:textId="77777777" w:rsidR="00FE461F" w:rsidRPr="005E4BEA" w:rsidRDefault="00FE461F" w:rsidP="00FE461F">
            <w:pPr>
              <w:spacing w:line="240" w:lineRule="auto"/>
              <w:rPr>
                <w:rFonts w:cs="Arial"/>
                <w:szCs w:val="20"/>
              </w:rPr>
            </w:pPr>
            <w:r w:rsidRPr="005E4BEA">
              <w:rPr>
                <w:rFonts w:cs="Arial"/>
                <w:szCs w:val="20"/>
              </w:rPr>
              <w:t>Splošna bolnišnica Novo mesto</w:t>
            </w:r>
          </w:p>
        </w:tc>
        <w:tc>
          <w:tcPr>
            <w:tcW w:w="1022" w:type="dxa"/>
            <w:tcBorders>
              <w:top w:val="nil"/>
              <w:left w:val="nil"/>
              <w:bottom w:val="nil"/>
              <w:right w:val="single" w:sz="4" w:space="0" w:color="auto"/>
            </w:tcBorders>
            <w:noWrap/>
            <w:vAlign w:val="bottom"/>
            <w:hideMark/>
          </w:tcPr>
          <w:p w14:paraId="6BF8BD3B"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4080633A" w14:textId="77777777" w:rsidR="00FE461F" w:rsidRPr="005E4BEA" w:rsidRDefault="00FE461F" w:rsidP="00FE461F">
            <w:pPr>
              <w:spacing w:line="240" w:lineRule="auto"/>
              <w:jc w:val="right"/>
              <w:rPr>
                <w:rFonts w:cs="Arial"/>
                <w:szCs w:val="20"/>
              </w:rPr>
            </w:pPr>
            <w:r w:rsidRPr="005E4BEA">
              <w:rPr>
                <w:rFonts w:cs="Arial"/>
                <w:szCs w:val="20"/>
              </w:rPr>
              <w:t>291</w:t>
            </w:r>
          </w:p>
        </w:tc>
        <w:tc>
          <w:tcPr>
            <w:tcW w:w="2011" w:type="dxa"/>
            <w:tcBorders>
              <w:top w:val="nil"/>
              <w:left w:val="nil"/>
              <w:bottom w:val="nil"/>
              <w:right w:val="single" w:sz="4" w:space="0" w:color="auto"/>
            </w:tcBorders>
            <w:noWrap/>
            <w:vAlign w:val="bottom"/>
            <w:hideMark/>
          </w:tcPr>
          <w:p w14:paraId="186B81C3" w14:textId="77777777" w:rsidR="00FE461F" w:rsidRPr="005E4BEA" w:rsidRDefault="00FE461F" w:rsidP="00FE461F">
            <w:pPr>
              <w:spacing w:line="240" w:lineRule="auto"/>
              <w:jc w:val="right"/>
              <w:rPr>
                <w:rFonts w:cs="Arial"/>
                <w:szCs w:val="20"/>
              </w:rPr>
            </w:pPr>
            <w:r w:rsidRPr="005E4BEA">
              <w:rPr>
                <w:rFonts w:cs="Arial"/>
                <w:szCs w:val="20"/>
              </w:rPr>
              <w:t>990</w:t>
            </w:r>
          </w:p>
        </w:tc>
        <w:tc>
          <w:tcPr>
            <w:tcW w:w="1584" w:type="dxa"/>
            <w:tcBorders>
              <w:top w:val="nil"/>
              <w:left w:val="nil"/>
              <w:bottom w:val="nil"/>
              <w:right w:val="single" w:sz="4" w:space="0" w:color="auto"/>
            </w:tcBorders>
            <w:noWrap/>
            <w:vAlign w:val="bottom"/>
            <w:hideMark/>
          </w:tcPr>
          <w:p w14:paraId="6F5DD993" w14:textId="77777777" w:rsidR="00FE461F" w:rsidRPr="005E4BEA" w:rsidRDefault="00FE461F" w:rsidP="00FE461F">
            <w:pPr>
              <w:spacing w:line="240" w:lineRule="auto"/>
              <w:jc w:val="right"/>
              <w:rPr>
                <w:rFonts w:cs="Arial"/>
                <w:szCs w:val="20"/>
              </w:rPr>
            </w:pPr>
            <w:r w:rsidRPr="005E4BEA">
              <w:rPr>
                <w:rFonts w:cs="Arial"/>
                <w:szCs w:val="20"/>
              </w:rPr>
              <w:t>29,4</w:t>
            </w:r>
          </w:p>
        </w:tc>
      </w:tr>
      <w:tr w:rsidR="00FE461F" w:rsidRPr="005E4BEA" w14:paraId="7E925EA3" w14:textId="77777777" w:rsidTr="0016774B">
        <w:trPr>
          <w:trHeight w:val="189"/>
        </w:trPr>
        <w:tc>
          <w:tcPr>
            <w:tcW w:w="3795" w:type="dxa"/>
            <w:tcBorders>
              <w:top w:val="nil"/>
              <w:left w:val="single" w:sz="4" w:space="0" w:color="auto"/>
              <w:bottom w:val="nil"/>
              <w:right w:val="single" w:sz="4" w:space="0" w:color="auto"/>
            </w:tcBorders>
            <w:hideMark/>
          </w:tcPr>
          <w:p w14:paraId="46372CD2" w14:textId="77777777" w:rsidR="00FE461F" w:rsidRPr="005E4BEA" w:rsidRDefault="00FE461F" w:rsidP="00FE461F">
            <w:pPr>
              <w:spacing w:line="240" w:lineRule="auto"/>
              <w:rPr>
                <w:rFonts w:cs="Arial"/>
                <w:szCs w:val="20"/>
              </w:rPr>
            </w:pPr>
            <w:r w:rsidRPr="005E4BEA">
              <w:rPr>
                <w:rFonts w:cs="Arial"/>
                <w:szCs w:val="20"/>
              </w:rPr>
              <w:t>Splošna bolnišnica Novo mesto</w:t>
            </w:r>
          </w:p>
        </w:tc>
        <w:tc>
          <w:tcPr>
            <w:tcW w:w="1022" w:type="dxa"/>
            <w:tcBorders>
              <w:top w:val="nil"/>
              <w:left w:val="nil"/>
              <w:bottom w:val="nil"/>
              <w:right w:val="single" w:sz="4" w:space="0" w:color="auto"/>
            </w:tcBorders>
            <w:noWrap/>
            <w:vAlign w:val="bottom"/>
            <w:hideMark/>
          </w:tcPr>
          <w:p w14:paraId="4DBF4E21"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3F2519A9" w14:textId="77777777" w:rsidR="00FE461F" w:rsidRPr="005E4BEA" w:rsidRDefault="00FE461F" w:rsidP="00FE461F">
            <w:pPr>
              <w:spacing w:line="240" w:lineRule="auto"/>
              <w:jc w:val="right"/>
              <w:rPr>
                <w:rFonts w:cs="Arial"/>
                <w:szCs w:val="20"/>
              </w:rPr>
            </w:pPr>
            <w:r w:rsidRPr="005E4BEA">
              <w:rPr>
                <w:rFonts w:cs="Arial"/>
                <w:szCs w:val="20"/>
              </w:rPr>
              <w:t>303</w:t>
            </w:r>
          </w:p>
        </w:tc>
        <w:tc>
          <w:tcPr>
            <w:tcW w:w="2011" w:type="dxa"/>
            <w:tcBorders>
              <w:top w:val="nil"/>
              <w:left w:val="nil"/>
              <w:bottom w:val="nil"/>
              <w:right w:val="single" w:sz="4" w:space="0" w:color="auto"/>
            </w:tcBorders>
            <w:noWrap/>
            <w:vAlign w:val="bottom"/>
            <w:hideMark/>
          </w:tcPr>
          <w:p w14:paraId="0D5641CA" w14:textId="77777777" w:rsidR="00FE461F" w:rsidRPr="005E4BEA" w:rsidRDefault="00FE461F" w:rsidP="00FE461F">
            <w:pPr>
              <w:spacing w:line="240" w:lineRule="auto"/>
              <w:jc w:val="right"/>
              <w:rPr>
                <w:rFonts w:cs="Arial"/>
                <w:szCs w:val="20"/>
              </w:rPr>
            </w:pPr>
            <w:r w:rsidRPr="005E4BEA">
              <w:rPr>
                <w:rFonts w:cs="Arial"/>
                <w:szCs w:val="20"/>
              </w:rPr>
              <w:t>1.015</w:t>
            </w:r>
          </w:p>
        </w:tc>
        <w:tc>
          <w:tcPr>
            <w:tcW w:w="1584" w:type="dxa"/>
            <w:tcBorders>
              <w:top w:val="nil"/>
              <w:left w:val="nil"/>
              <w:bottom w:val="nil"/>
              <w:right w:val="single" w:sz="4" w:space="0" w:color="auto"/>
            </w:tcBorders>
            <w:noWrap/>
            <w:vAlign w:val="bottom"/>
            <w:hideMark/>
          </w:tcPr>
          <w:p w14:paraId="41268A3F" w14:textId="77777777" w:rsidR="00FE461F" w:rsidRPr="005E4BEA" w:rsidRDefault="00FE461F" w:rsidP="00FE461F">
            <w:pPr>
              <w:spacing w:line="240" w:lineRule="auto"/>
              <w:jc w:val="right"/>
              <w:rPr>
                <w:rFonts w:cs="Arial"/>
                <w:szCs w:val="20"/>
              </w:rPr>
            </w:pPr>
            <w:r w:rsidRPr="005E4BEA">
              <w:rPr>
                <w:rFonts w:cs="Arial"/>
                <w:szCs w:val="20"/>
              </w:rPr>
              <w:t>29,9</w:t>
            </w:r>
          </w:p>
        </w:tc>
      </w:tr>
      <w:tr w:rsidR="00FE461F" w:rsidRPr="005E4BEA" w14:paraId="5F1D581C" w14:textId="77777777" w:rsidTr="0016774B">
        <w:trPr>
          <w:trHeight w:val="189"/>
        </w:trPr>
        <w:tc>
          <w:tcPr>
            <w:tcW w:w="3795" w:type="dxa"/>
            <w:tcBorders>
              <w:top w:val="nil"/>
              <w:left w:val="single" w:sz="4" w:space="0" w:color="auto"/>
              <w:bottom w:val="nil"/>
              <w:right w:val="single" w:sz="4" w:space="0" w:color="auto"/>
            </w:tcBorders>
            <w:hideMark/>
          </w:tcPr>
          <w:p w14:paraId="5045858E" w14:textId="77777777" w:rsidR="00FE461F" w:rsidRPr="005E4BEA" w:rsidRDefault="00FE461F" w:rsidP="00FE461F">
            <w:pPr>
              <w:spacing w:line="240" w:lineRule="auto"/>
              <w:rPr>
                <w:rFonts w:cs="Arial"/>
                <w:szCs w:val="20"/>
              </w:rPr>
            </w:pPr>
            <w:r w:rsidRPr="005E4BEA">
              <w:rPr>
                <w:rFonts w:cs="Arial"/>
                <w:szCs w:val="20"/>
              </w:rPr>
              <w:t>Splošna bolnišnica Novo mesto</w:t>
            </w:r>
          </w:p>
        </w:tc>
        <w:tc>
          <w:tcPr>
            <w:tcW w:w="1022" w:type="dxa"/>
            <w:tcBorders>
              <w:top w:val="nil"/>
              <w:left w:val="nil"/>
              <w:bottom w:val="nil"/>
              <w:right w:val="single" w:sz="4" w:space="0" w:color="auto"/>
            </w:tcBorders>
            <w:noWrap/>
            <w:vAlign w:val="bottom"/>
            <w:hideMark/>
          </w:tcPr>
          <w:p w14:paraId="1621799F"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1D4384DB" w14:textId="77777777" w:rsidR="00FE461F" w:rsidRPr="005E4BEA" w:rsidRDefault="00FE461F" w:rsidP="00FE461F">
            <w:pPr>
              <w:spacing w:line="240" w:lineRule="auto"/>
              <w:jc w:val="right"/>
              <w:rPr>
                <w:rFonts w:cs="Arial"/>
                <w:szCs w:val="20"/>
              </w:rPr>
            </w:pPr>
            <w:r w:rsidRPr="005E4BEA">
              <w:rPr>
                <w:rFonts w:cs="Arial"/>
                <w:szCs w:val="20"/>
              </w:rPr>
              <w:t>296</w:t>
            </w:r>
          </w:p>
        </w:tc>
        <w:tc>
          <w:tcPr>
            <w:tcW w:w="2011" w:type="dxa"/>
            <w:tcBorders>
              <w:top w:val="nil"/>
              <w:left w:val="nil"/>
              <w:bottom w:val="nil"/>
              <w:right w:val="single" w:sz="4" w:space="0" w:color="auto"/>
            </w:tcBorders>
            <w:noWrap/>
            <w:vAlign w:val="bottom"/>
            <w:hideMark/>
          </w:tcPr>
          <w:p w14:paraId="424C92F6" w14:textId="77777777" w:rsidR="00FE461F" w:rsidRPr="005E4BEA" w:rsidRDefault="00FE461F" w:rsidP="00FE461F">
            <w:pPr>
              <w:spacing w:line="240" w:lineRule="auto"/>
              <w:jc w:val="right"/>
              <w:rPr>
                <w:rFonts w:cs="Arial"/>
                <w:szCs w:val="20"/>
              </w:rPr>
            </w:pPr>
            <w:r w:rsidRPr="005E4BEA">
              <w:rPr>
                <w:rFonts w:cs="Arial"/>
                <w:szCs w:val="20"/>
              </w:rPr>
              <w:t>1.026</w:t>
            </w:r>
          </w:p>
        </w:tc>
        <w:tc>
          <w:tcPr>
            <w:tcW w:w="1584" w:type="dxa"/>
            <w:tcBorders>
              <w:top w:val="nil"/>
              <w:left w:val="nil"/>
              <w:bottom w:val="nil"/>
              <w:right w:val="single" w:sz="4" w:space="0" w:color="auto"/>
            </w:tcBorders>
            <w:noWrap/>
            <w:vAlign w:val="bottom"/>
            <w:hideMark/>
          </w:tcPr>
          <w:p w14:paraId="0EAEB333" w14:textId="77777777" w:rsidR="00FE461F" w:rsidRPr="005E4BEA" w:rsidRDefault="00FE461F" w:rsidP="00FE461F">
            <w:pPr>
              <w:spacing w:line="240" w:lineRule="auto"/>
              <w:jc w:val="right"/>
              <w:rPr>
                <w:rFonts w:cs="Arial"/>
                <w:szCs w:val="20"/>
              </w:rPr>
            </w:pPr>
            <w:r w:rsidRPr="005E4BEA">
              <w:rPr>
                <w:rFonts w:cs="Arial"/>
                <w:szCs w:val="20"/>
              </w:rPr>
              <w:t>28,9</w:t>
            </w:r>
          </w:p>
        </w:tc>
      </w:tr>
      <w:tr w:rsidR="00FE461F" w:rsidRPr="005E4BEA" w14:paraId="3EF21122" w14:textId="77777777" w:rsidTr="0016774B">
        <w:trPr>
          <w:trHeight w:val="189"/>
        </w:trPr>
        <w:tc>
          <w:tcPr>
            <w:tcW w:w="3795" w:type="dxa"/>
            <w:tcBorders>
              <w:top w:val="nil"/>
              <w:left w:val="single" w:sz="4" w:space="0" w:color="auto"/>
              <w:bottom w:val="nil"/>
              <w:right w:val="single" w:sz="4" w:space="0" w:color="auto"/>
            </w:tcBorders>
            <w:hideMark/>
          </w:tcPr>
          <w:p w14:paraId="03CA06F0" w14:textId="77777777" w:rsidR="00FE461F" w:rsidRPr="005E4BEA" w:rsidRDefault="00FE461F" w:rsidP="00FE461F">
            <w:pPr>
              <w:spacing w:line="240" w:lineRule="auto"/>
              <w:rPr>
                <w:rFonts w:cs="Arial"/>
                <w:szCs w:val="20"/>
              </w:rPr>
            </w:pPr>
            <w:r w:rsidRPr="005E4BEA">
              <w:rPr>
                <w:rFonts w:cs="Arial"/>
                <w:szCs w:val="20"/>
              </w:rPr>
              <w:t>Splošna bolnišnica Novo mesto</w:t>
            </w:r>
          </w:p>
        </w:tc>
        <w:tc>
          <w:tcPr>
            <w:tcW w:w="1022" w:type="dxa"/>
            <w:tcBorders>
              <w:top w:val="nil"/>
              <w:left w:val="nil"/>
              <w:bottom w:val="nil"/>
              <w:right w:val="single" w:sz="4" w:space="0" w:color="auto"/>
            </w:tcBorders>
            <w:noWrap/>
            <w:vAlign w:val="bottom"/>
            <w:hideMark/>
          </w:tcPr>
          <w:p w14:paraId="7878D3B7"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4E5F0BF7" w14:textId="77777777" w:rsidR="00FE461F" w:rsidRPr="005E4BEA" w:rsidRDefault="00FE461F" w:rsidP="00FE461F">
            <w:pPr>
              <w:spacing w:line="240" w:lineRule="auto"/>
              <w:jc w:val="right"/>
              <w:rPr>
                <w:rFonts w:cs="Arial"/>
                <w:szCs w:val="20"/>
              </w:rPr>
            </w:pPr>
            <w:r w:rsidRPr="005E4BEA">
              <w:rPr>
                <w:rFonts w:cs="Arial"/>
                <w:szCs w:val="20"/>
              </w:rPr>
              <w:t>290</w:t>
            </w:r>
          </w:p>
        </w:tc>
        <w:tc>
          <w:tcPr>
            <w:tcW w:w="2011" w:type="dxa"/>
            <w:tcBorders>
              <w:top w:val="nil"/>
              <w:left w:val="nil"/>
              <w:bottom w:val="nil"/>
              <w:right w:val="single" w:sz="4" w:space="0" w:color="auto"/>
            </w:tcBorders>
            <w:noWrap/>
            <w:vAlign w:val="bottom"/>
            <w:hideMark/>
          </w:tcPr>
          <w:p w14:paraId="2F5ADF91" w14:textId="77777777" w:rsidR="00FE461F" w:rsidRPr="005E4BEA" w:rsidRDefault="00FE461F" w:rsidP="00FE461F">
            <w:pPr>
              <w:spacing w:line="240" w:lineRule="auto"/>
              <w:jc w:val="right"/>
              <w:rPr>
                <w:rFonts w:cs="Arial"/>
                <w:szCs w:val="20"/>
              </w:rPr>
            </w:pPr>
            <w:r w:rsidRPr="005E4BEA">
              <w:rPr>
                <w:rFonts w:cs="Arial"/>
                <w:szCs w:val="20"/>
              </w:rPr>
              <w:t>1.020</w:t>
            </w:r>
          </w:p>
        </w:tc>
        <w:tc>
          <w:tcPr>
            <w:tcW w:w="1584" w:type="dxa"/>
            <w:tcBorders>
              <w:top w:val="nil"/>
              <w:left w:val="nil"/>
              <w:bottom w:val="nil"/>
              <w:right w:val="single" w:sz="4" w:space="0" w:color="auto"/>
            </w:tcBorders>
            <w:noWrap/>
            <w:vAlign w:val="bottom"/>
            <w:hideMark/>
          </w:tcPr>
          <w:p w14:paraId="4C3F998A" w14:textId="77777777" w:rsidR="00FE461F" w:rsidRPr="005E4BEA" w:rsidRDefault="00FE461F" w:rsidP="00FE461F">
            <w:pPr>
              <w:spacing w:line="240" w:lineRule="auto"/>
              <w:jc w:val="right"/>
              <w:rPr>
                <w:rFonts w:cs="Arial"/>
                <w:szCs w:val="20"/>
              </w:rPr>
            </w:pPr>
            <w:r w:rsidRPr="005E4BEA">
              <w:rPr>
                <w:rFonts w:cs="Arial"/>
                <w:szCs w:val="20"/>
              </w:rPr>
              <w:t>28,4</w:t>
            </w:r>
          </w:p>
        </w:tc>
      </w:tr>
      <w:tr w:rsidR="00FE461F" w:rsidRPr="005E4BEA" w14:paraId="681D67F0"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6788228F" w14:textId="77777777" w:rsidR="00FE461F" w:rsidRPr="005E4BEA" w:rsidRDefault="00FE461F" w:rsidP="00FE461F">
            <w:pPr>
              <w:spacing w:line="240" w:lineRule="auto"/>
              <w:rPr>
                <w:rFonts w:cs="Arial"/>
                <w:szCs w:val="20"/>
              </w:rPr>
            </w:pPr>
            <w:r w:rsidRPr="005E4BEA">
              <w:rPr>
                <w:rFonts w:cs="Arial"/>
                <w:szCs w:val="20"/>
              </w:rPr>
              <w:t>Splošna bolnišnica Novo mesto</w:t>
            </w:r>
          </w:p>
        </w:tc>
        <w:tc>
          <w:tcPr>
            <w:tcW w:w="1022" w:type="dxa"/>
            <w:tcBorders>
              <w:top w:val="nil"/>
              <w:left w:val="nil"/>
              <w:bottom w:val="single" w:sz="4" w:space="0" w:color="auto"/>
              <w:right w:val="single" w:sz="4" w:space="0" w:color="auto"/>
            </w:tcBorders>
            <w:noWrap/>
            <w:vAlign w:val="bottom"/>
            <w:hideMark/>
          </w:tcPr>
          <w:p w14:paraId="6CA2C6A7"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3BABD46D" w14:textId="77777777" w:rsidR="00FE461F" w:rsidRPr="005E4BEA" w:rsidRDefault="00FE461F" w:rsidP="00FE461F">
            <w:pPr>
              <w:spacing w:line="240" w:lineRule="auto"/>
              <w:jc w:val="right"/>
              <w:rPr>
                <w:rFonts w:cs="Arial"/>
                <w:szCs w:val="20"/>
              </w:rPr>
            </w:pPr>
            <w:r w:rsidRPr="005E4BEA">
              <w:rPr>
                <w:rFonts w:cs="Arial"/>
                <w:szCs w:val="20"/>
              </w:rPr>
              <w:t>295</w:t>
            </w:r>
          </w:p>
        </w:tc>
        <w:tc>
          <w:tcPr>
            <w:tcW w:w="2011" w:type="dxa"/>
            <w:tcBorders>
              <w:top w:val="nil"/>
              <w:left w:val="nil"/>
              <w:bottom w:val="single" w:sz="4" w:space="0" w:color="auto"/>
              <w:right w:val="single" w:sz="4" w:space="0" w:color="auto"/>
            </w:tcBorders>
            <w:noWrap/>
            <w:vAlign w:val="bottom"/>
            <w:hideMark/>
          </w:tcPr>
          <w:p w14:paraId="4A0138D5" w14:textId="77777777" w:rsidR="00FE461F" w:rsidRPr="005E4BEA" w:rsidRDefault="00FE461F" w:rsidP="00FE461F">
            <w:pPr>
              <w:spacing w:line="240" w:lineRule="auto"/>
              <w:jc w:val="right"/>
              <w:rPr>
                <w:rFonts w:cs="Arial"/>
                <w:szCs w:val="20"/>
              </w:rPr>
            </w:pPr>
            <w:r w:rsidRPr="005E4BEA">
              <w:rPr>
                <w:rFonts w:cs="Arial"/>
                <w:szCs w:val="20"/>
              </w:rPr>
              <w:t>1.021</w:t>
            </w:r>
          </w:p>
        </w:tc>
        <w:tc>
          <w:tcPr>
            <w:tcW w:w="1584" w:type="dxa"/>
            <w:tcBorders>
              <w:top w:val="nil"/>
              <w:left w:val="nil"/>
              <w:bottom w:val="single" w:sz="4" w:space="0" w:color="auto"/>
              <w:right w:val="single" w:sz="4" w:space="0" w:color="auto"/>
            </w:tcBorders>
            <w:noWrap/>
            <w:vAlign w:val="bottom"/>
            <w:hideMark/>
          </w:tcPr>
          <w:p w14:paraId="2BEE180D" w14:textId="77777777" w:rsidR="00FE461F" w:rsidRPr="005E4BEA" w:rsidRDefault="00FE461F" w:rsidP="00FE461F">
            <w:pPr>
              <w:spacing w:line="240" w:lineRule="auto"/>
              <w:jc w:val="right"/>
              <w:rPr>
                <w:rFonts w:cs="Arial"/>
                <w:szCs w:val="20"/>
              </w:rPr>
            </w:pPr>
            <w:r w:rsidRPr="005E4BEA">
              <w:rPr>
                <w:rFonts w:cs="Arial"/>
                <w:szCs w:val="20"/>
              </w:rPr>
              <w:t>28,9</w:t>
            </w:r>
          </w:p>
        </w:tc>
      </w:tr>
      <w:tr w:rsidR="00FE461F" w:rsidRPr="005E4BEA" w14:paraId="48433F4E" w14:textId="77777777" w:rsidTr="0016774B">
        <w:trPr>
          <w:trHeight w:val="189"/>
        </w:trPr>
        <w:tc>
          <w:tcPr>
            <w:tcW w:w="3795" w:type="dxa"/>
            <w:tcBorders>
              <w:top w:val="nil"/>
              <w:left w:val="single" w:sz="4" w:space="0" w:color="auto"/>
              <w:bottom w:val="nil"/>
              <w:right w:val="single" w:sz="4" w:space="0" w:color="auto"/>
            </w:tcBorders>
            <w:hideMark/>
          </w:tcPr>
          <w:p w14:paraId="4B294B63" w14:textId="77777777" w:rsidR="00FE461F" w:rsidRPr="005E4BEA" w:rsidRDefault="00FE461F" w:rsidP="00FE461F">
            <w:pPr>
              <w:spacing w:line="240" w:lineRule="auto"/>
              <w:rPr>
                <w:rFonts w:cs="Arial"/>
                <w:szCs w:val="20"/>
              </w:rPr>
            </w:pPr>
            <w:r w:rsidRPr="005E4BEA">
              <w:rPr>
                <w:rFonts w:cs="Arial"/>
                <w:szCs w:val="20"/>
              </w:rPr>
              <w:t>Splošna bolnišnica Slovenj Gradec</w:t>
            </w:r>
          </w:p>
        </w:tc>
        <w:tc>
          <w:tcPr>
            <w:tcW w:w="1022" w:type="dxa"/>
            <w:tcBorders>
              <w:top w:val="nil"/>
              <w:left w:val="nil"/>
              <w:bottom w:val="nil"/>
              <w:right w:val="single" w:sz="4" w:space="0" w:color="auto"/>
            </w:tcBorders>
            <w:noWrap/>
            <w:vAlign w:val="bottom"/>
            <w:hideMark/>
          </w:tcPr>
          <w:p w14:paraId="0A3DEFB5"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0521A4F6" w14:textId="77777777" w:rsidR="00FE461F" w:rsidRPr="005E4BEA" w:rsidRDefault="00FE461F" w:rsidP="00FE461F">
            <w:pPr>
              <w:spacing w:line="240" w:lineRule="auto"/>
              <w:jc w:val="right"/>
              <w:rPr>
                <w:rFonts w:cs="Arial"/>
                <w:szCs w:val="20"/>
              </w:rPr>
            </w:pPr>
            <w:r w:rsidRPr="005E4BEA">
              <w:rPr>
                <w:rFonts w:cs="Arial"/>
                <w:szCs w:val="20"/>
              </w:rPr>
              <w:t>153</w:t>
            </w:r>
          </w:p>
        </w:tc>
        <w:tc>
          <w:tcPr>
            <w:tcW w:w="2011" w:type="dxa"/>
            <w:tcBorders>
              <w:top w:val="nil"/>
              <w:left w:val="nil"/>
              <w:bottom w:val="nil"/>
              <w:right w:val="single" w:sz="4" w:space="0" w:color="auto"/>
            </w:tcBorders>
            <w:noWrap/>
            <w:vAlign w:val="bottom"/>
            <w:hideMark/>
          </w:tcPr>
          <w:p w14:paraId="76C2194D" w14:textId="77777777" w:rsidR="00FE461F" w:rsidRPr="005E4BEA" w:rsidRDefault="00FE461F" w:rsidP="00FE461F">
            <w:pPr>
              <w:spacing w:line="240" w:lineRule="auto"/>
              <w:jc w:val="right"/>
              <w:rPr>
                <w:rFonts w:cs="Arial"/>
                <w:szCs w:val="20"/>
              </w:rPr>
            </w:pPr>
            <w:r w:rsidRPr="005E4BEA">
              <w:rPr>
                <w:rFonts w:cs="Arial"/>
                <w:szCs w:val="20"/>
              </w:rPr>
              <w:t>616</w:t>
            </w:r>
          </w:p>
        </w:tc>
        <w:tc>
          <w:tcPr>
            <w:tcW w:w="1584" w:type="dxa"/>
            <w:tcBorders>
              <w:top w:val="nil"/>
              <w:left w:val="nil"/>
              <w:bottom w:val="nil"/>
              <w:right w:val="single" w:sz="4" w:space="0" w:color="auto"/>
            </w:tcBorders>
            <w:noWrap/>
            <w:vAlign w:val="bottom"/>
            <w:hideMark/>
          </w:tcPr>
          <w:p w14:paraId="0F51980F" w14:textId="77777777" w:rsidR="00FE461F" w:rsidRPr="005E4BEA" w:rsidRDefault="00FE461F" w:rsidP="00FE461F">
            <w:pPr>
              <w:spacing w:line="240" w:lineRule="auto"/>
              <w:jc w:val="right"/>
              <w:rPr>
                <w:rFonts w:cs="Arial"/>
                <w:szCs w:val="20"/>
              </w:rPr>
            </w:pPr>
            <w:r w:rsidRPr="005E4BEA">
              <w:rPr>
                <w:rFonts w:cs="Arial"/>
                <w:szCs w:val="20"/>
              </w:rPr>
              <w:t>24,8</w:t>
            </w:r>
          </w:p>
        </w:tc>
      </w:tr>
      <w:tr w:rsidR="00FE461F" w:rsidRPr="005E4BEA" w14:paraId="3C6FF367" w14:textId="77777777" w:rsidTr="0016774B">
        <w:trPr>
          <w:trHeight w:val="189"/>
        </w:trPr>
        <w:tc>
          <w:tcPr>
            <w:tcW w:w="3795" w:type="dxa"/>
            <w:tcBorders>
              <w:top w:val="nil"/>
              <w:left w:val="single" w:sz="4" w:space="0" w:color="auto"/>
              <w:bottom w:val="nil"/>
              <w:right w:val="single" w:sz="4" w:space="0" w:color="auto"/>
            </w:tcBorders>
            <w:hideMark/>
          </w:tcPr>
          <w:p w14:paraId="56E07497" w14:textId="77777777" w:rsidR="00FE461F" w:rsidRPr="005E4BEA" w:rsidRDefault="00FE461F" w:rsidP="00FE461F">
            <w:pPr>
              <w:spacing w:line="240" w:lineRule="auto"/>
              <w:rPr>
                <w:rFonts w:cs="Arial"/>
                <w:szCs w:val="20"/>
              </w:rPr>
            </w:pPr>
            <w:r w:rsidRPr="005E4BEA">
              <w:rPr>
                <w:rFonts w:cs="Arial"/>
                <w:szCs w:val="20"/>
              </w:rPr>
              <w:t>Splošna bolnišnica Slovenj Gradec</w:t>
            </w:r>
          </w:p>
        </w:tc>
        <w:tc>
          <w:tcPr>
            <w:tcW w:w="1022" w:type="dxa"/>
            <w:tcBorders>
              <w:top w:val="nil"/>
              <w:left w:val="nil"/>
              <w:bottom w:val="nil"/>
              <w:right w:val="single" w:sz="4" w:space="0" w:color="auto"/>
            </w:tcBorders>
            <w:noWrap/>
            <w:vAlign w:val="bottom"/>
            <w:hideMark/>
          </w:tcPr>
          <w:p w14:paraId="7BE5BC37"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37727162" w14:textId="77777777" w:rsidR="00FE461F" w:rsidRPr="005E4BEA" w:rsidRDefault="00FE461F" w:rsidP="00FE461F">
            <w:pPr>
              <w:spacing w:line="240" w:lineRule="auto"/>
              <w:jc w:val="right"/>
              <w:rPr>
                <w:rFonts w:cs="Arial"/>
                <w:szCs w:val="20"/>
              </w:rPr>
            </w:pPr>
            <w:r w:rsidRPr="005E4BEA">
              <w:rPr>
                <w:rFonts w:cs="Arial"/>
                <w:szCs w:val="20"/>
              </w:rPr>
              <w:t>152</w:t>
            </w:r>
          </w:p>
        </w:tc>
        <w:tc>
          <w:tcPr>
            <w:tcW w:w="2011" w:type="dxa"/>
            <w:tcBorders>
              <w:top w:val="nil"/>
              <w:left w:val="nil"/>
              <w:bottom w:val="nil"/>
              <w:right w:val="single" w:sz="4" w:space="0" w:color="auto"/>
            </w:tcBorders>
            <w:noWrap/>
            <w:vAlign w:val="bottom"/>
            <w:hideMark/>
          </w:tcPr>
          <w:p w14:paraId="3C74898E" w14:textId="77777777" w:rsidR="00FE461F" w:rsidRPr="005E4BEA" w:rsidRDefault="00FE461F" w:rsidP="00FE461F">
            <w:pPr>
              <w:spacing w:line="240" w:lineRule="auto"/>
              <w:jc w:val="right"/>
              <w:rPr>
                <w:rFonts w:cs="Arial"/>
                <w:szCs w:val="20"/>
              </w:rPr>
            </w:pPr>
            <w:r w:rsidRPr="005E4BEA">
              <w:rPr>
                <w:rFonts w:cs="Arial"/>
                <w:szCs w:val="20"/>
              </w:rPr>
              <w:t>639</w:t>
            </w:r>
          </w:p>
        </w:tc>
        <w:tc>
          <w:tcPr>
            <w:tcW w:w="1584" w:type="dxa"/>
            <w:tcBorders>
              <w:top w:val="nil"/>
              <w:left w:val="nil"/>
              <w:bottom w:val="nil"/>
              <w:right w:val="single" w:sz="4" w:space="0" w:color="auto"/>
            </w:tcBorders>
            <w:noWrap/>
            <w:vAlign w:val="bottom"/>
            <w:hideMark/>
          </w:tcPr>
          <w:p w14:paraId="5DCDD4F7" w14:textId="77777777" w:rsidR="00FE461F" w:rsidRPr="005E4BEA" w:rsidRDefault="00FE461F" w:rsidP="00FE461F">
            <w:pPr>
              <w:spacing w:line="240" w:lineRule="auto"/>
              <w:jc w:val="right"/>
              <w:rPr>
                <w:rFonts w:cs="Arial"/>
                <w:szCs w:val="20"/>
              </w:rPr>
            </w:pPr>
            <w:r w:rsidRPr="005E4BEA">
              <w:rPr>
                <w:rFonts w:cs="Arial"/>
                <w:szCs w:val="20"/>
              </w:rPr>
              <w:t>23,8</w:t>
            </w:r>
          </w:p>
        </w:tc>
      </w:tr>
      <w:tr w:rsidR="00FE461F" w:rsidRPr="005E4BEA" w14:paraId="702B5443" w14:textId="77777777" w:rsidTr="0016774B">
        <w:trPr>
          <w:trHeight w:val="189"/>
        </w:trPr>
        <w:tc>
          <w:tcPr>
            <w:tcW w:w="3795" w:type="dxa"/>
            <w:tcBorders>
              <w:top w:val="nil"/>
              <w:left w:val="single" w:sz="4" w:space="0" w:color="auto"/>
              <w:bottom w:val="nil"/>
              <w:right w:val="single" w:sz="4" w:space="0" w:color="auto"/>
            </w:tcBorders>
            <w:hideMark/>
          </w:tcPr>
          <w:p w14:paraId="2DD990EF" w14:textId="77777777" w:rsidR="00FE461F" w:rsidRPr="005E4BEA" w:rsidRDefault="00FE461F" w:rsidP="00FE461F">
            <w:pPr>
              <w:spacing w:line="240" w:lineRule="auto"/>
              <w:rPr>
                <w:rFonts w:cs="Arial"/>
                <w:szCs w:val="20"/>
              </w:rPr>
            </w:pPr>
            <w:r w:rsidRPr="005E4BEA">
              <w:rPr>
                <w:rFonts w:cs="Arial"/>
                <w:szCs w:val="20"/>
              </w:rPr>
              <w:t>Splošna bolnišnica Slovenj Gradec</w:t>
            </w:r>
          </w:p>
        </w:tc>
        <w:tc>
          <w:tcPr>
            <w:tcW w:w="1022" w:type="dxa"/>
            <w:tcBorders>
              <w:top w:val="nil"/>
              <w:left w:val="nil"/>
              <w:bottom w:val="nil"/>
              <w:right w:val="single" w:sz="4" w:space="0" w:color="auto"/>
            </w:tcBorders>
            <w:noWrap/>
            <w:vAlign w:val="bottom"/>
            <w:hideMark/>
          </w:tcPr>
          <w:p w14:paraId="0E99E47D"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40DF43B6" w14:textId="77777777" w:rsidR="00FE461F" w:rsidRPr="005E4BEA" w:rsidRDefault="00FE461F" w:rsidP="00FE461F">
            <w:pPr>
              <w:spacing w:line="240" w:lineRule="auto"/>
              <w:jc w:val="right"/>
              <w:rPr>
                <w:rFonts w:cs="Arial"/>
                <w:szCs w:val="20"/>
              </w:rPr>
            </w:pPr>
            <w:r w:rsidRPr="005E4BEA">
              <w:rPr>
                <w:rFonts w:cs="Arial"/>
                <w:szCs w:val="20"/>
              </w:rPr>
              <w:t>171</w:t>
            </w:r>
          </w:p>
        </w:tc>
        <w:tc>
          <w:tcPr>
            <w:tcW w:w="2011" w:type="dxa"/>
            <w:tcBorders>
              <w:top w:val="nil"/>
              <w:left w:val="nil"/>
              <w:bottom w:val="nil"/>
              <w:right w:val="single" w:sz="4" w:space="0" w:color="auto"/>
            </w:tcBorders>
            <w:noWrap/>
            <w:vAlign w:val="bottom"/>
            <w:hideMark/>
          </w:tcPr>
          <w:p w14:paraId="50356EB7" w14:textId="77777777" w:rsidR="00FE461F" w:rsidRPr="005E4BEA" w:rsidRDefault="00FE461F" w:rsidP="00FE461F">
            <w:pPr>
              <w:spacing w:line="240" w:lineRule="auto"/>
              <w:jc w:val="right"/>
              <w:rPr>
                <w:rFonts w:cs="Arial"/>
                <w:szCs w:val="20"/>
              </w:rPr>
            </w:pPr>
            <w:r w:rsidRPr="005E4BEA">
              <w:rPr>
                <w:rFonts w:cs="Arial"/>
                <w:szCs w:val="20"/>
              </w:rPr>
              <w:t>684</w:t>
            </w:r>
          </w:p>
        </w:tc>
        <w:tc>
          <w:tcPr>
            <w:tcW w:w="1584" w:type="dxa"/>
            <w:tcBorders>
              <w:top w:val="nil"/>
              <w:left w:val="nil"/>
              <w:bottom w:val="nil"/>
              <w:right w:val="single" w:sz="4" w:space="0" w:color="auto"/>
            </w:tcBorders>
            <w:noWrap/>
            <w:vAlign w:val="bottom"/>
            <w:hideMark/>
          </w:tcPr>
          <w:p w14:paraId="2CE534E7" w14:textId="77777777" w:rsidR="00FE461F" w:rsidRPr="005E4BEA" w:rsidRDefault="00FE461F" w:rsidP="00FE461F">
            <w:pPr>
              <w:spacing w:line="240" w:lineRule="auto"/>
              <w:jc w:val="right"/>
              <w:rPr>
                <w:rFonts w:cs="Arial"/>
                <w:szCs w:val="20"/>
              </w:rPr>
            </w:pPr>
            <w:r w:rsidRPr="005E4BEA">
              <w:rPr>
                <w:rFonts w:cs="Arial"/>
                <w:szCs w:val="20"/>
              </w:rPr>
              <w:t>25,0</w:t>
            </w:r>
          </w:p>
        </w:tc>
      </w:tr>
      <w:tr w:rsidR="00FE461F" w:rsidRPr="005E4BEA" w14:paraId="178D3D7C" w14:textId="77777777" w:rsidTr="0016774B">
        <w:trPr>
          <w:trHeight w:val="189"/>
        </w:trPr>
        <w:tc>
          <w:tcPr>
            <w:tcW w:w="3795" w:type="dxa"/>
            <w:tcBorders>
              <w:top w:val="nil"/>
              <w:left w:val="single" w:sz="4" w:space="0" w:color="auto"/>
              <w:bottom w:val="nil"/>
              <w:right w:val="single" w:sz="4" w:space="0" w:color="auto"/>
            </w:tcBorders>
            <w:hideMark/>
          </w:tcPr>
          <w:p w14:paraId="494C8015" w14:textId="77777777" w:rsidR="00FE461F" w:rsidRPr="005E4BEA" w:rsidRDefault="00FE461F" w:rsidP="00FE461F">
            <w:pPr>
              <w:spacing w:line="240" w:lineRule="auto"/>
              <w:rPr>
                <w:rFonts w:cs="Arial"/>
                <w:szCs w:val="20"/>
              </w:rPr>
            </w:pPr>
            <w:r w:rsidRPr="005E4BEA">
              <w:rPr>
                <w:rFonts w:cs="Arial"/>
                <w:szCs w:val="20"/>
              </w:rPr>
              <w:t>Splošna bolnišnica Slovenj Gradec</w:t>
            </w:r>
          </w:p>
        </w:tc>
        <w:tc>
          <w:tcPr>
            <w:tcW w:w="1022" w:type="dxa"/>
            <w:tcBorders>
              <w:top w:val="nil"/>
              <w:left w:val="nil"/>
              <w:bottom w:val="nil"/>
              <w:right w:val="single" w:sz="4" w:space="0" w:color="auto"/>
            </w:tcBorders>
            <w:noWrap/>
            <w:vAlign w:val="bottom"/>
            <w:hideMark/>
          </w:tcPr>
          <w:p w14:paraId="16DA7548"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55D201DA" w14:textId="77777777" w:rsidR="00FE461F" w:rsidRPr="005E4BEA" w:rsidRDefault="00FE461F" w:rsidP="00FE461F">
            <w:pPr>
              <w:spacing w:line="240" w:lineRule="auto"/>
              <w:jc w:val="right"/>
              <w:rPr>
                <w:rFonts w:cs="Arial"/>
                <w:szCs w:val="20"/>
              </w:rPr>
            </w:pPr>
            <w:r w:rsidRPr="005E4BEA">
              <w:rPr>
                <w:rFonts w:cs="Arial"/>
                <w:szCs w:val="20"/>
              </w:rPr>
              <w:t>170</w:t>
            </w:r>
          </w:p>
        </w:tc>
        <w:tc>
          <w:tcPr>
            <w:tcW w:w="2011" w:type="dxa"/>
            <w:tcBorders>
              <w:top w:val="nil"/>
              <w:left w:val="nil"/>
              <w:bottom w:val="nil"/>
              <w:right w:val="single" w:sz="4" w:space="0" w:color="auto"/>
            </w:tcBorders>
            <w:noWrap/>
            <w:vAlign w:val="bottom"/>
            <w:hideMark/>
          </w:tcPr>
          <w:p w14:paraId="749DF8F6" w14:textId="77777777" w:rsidR="00FE461F" w:rsidRPr="005E4BEA" w:rsidRDefault="00FE461F" w:rsidP="00FE461F">
            <w:pPr>
              <w:spacing w:line="240" w:lineRule="auto"/>
              <w:jc w:val="right"/>
              <w:rPr>
                <w:rFonts w:cs="Arial"/>
                <w:szCs w:val="20"/>
              </w:rPr>
            </w:pPr>
            <w:r w:rsidRPr="005E4BEA">
              <w:rPr>
                <w:rFonts w:cs="Arial"/>
                <w:szCs w:val="20"/>
              </w:rPr>
              <w:t>725</w:t>
            </w:r>
          </w:p>
        </w:tc>
        <w:tc>
          <w:tcPr>
            <w:tcW w:w="1584" w:type="dxa"/>
            <w:tcBorders>
              <w:top w:val="nil"/>
              <w:left w:val="nil"/>
              <w:bottom w:val="nil"/>
              <w:right w:val="single" w:sz="4" w:space="0" w:color="auto"/>
            </w:tcBorders>
            <w:noWrap/>
            <w:vAlign w:val="bottom"/>
            <w:hideMark/>
          </w:tcPr>
          <w:p w14:paraId="6B64DD5E" w14:textId="77777777" w:rsidR="00FE461F" w:rsidRPr="005E4BEA" w:rsidRDefault="00FE461F" w:rsidP="00FE461F">
            <w:pPr>
              <w:spacing w:line="240" w:lineRule="auto"/>
              <w:jc w:val="right"/>
              <w:rPr>
                <w:rFonts w:cs="Arial"/>
                <w:szCs w:val="20"/>
              </w:rPr>
            </w:pPr>
            <w:r w:rsidRPr="005E4BEA">
              <w:rPr>
                <w:rFonts w:cs="Arial"/>
                <w:szCs w:val="20"/>
              </w:rPr>
              <w:t>23,4</w:t>
            </w:r>
          </w:p>
        </w:tc>
      </w:tr>
      <w:tr w:rsidR="00FE461F" w:rsidRPr="005E4BEA" w14:paraId="0F9F7521" w14:textId="77777777" w:rsidTr="0016774B">
        <w:trPr>
          <w:trHeight w:val="189"/>
        </w:trPr>
        <w:tc>
          <w:tcPr>
            <w:tcW w:w="3795" w:type="dxa"/>
            <w:tcBorders>
              <w:top w:val="nil"/>
              <w:left w:val="single" w:sz="4" w:space="0" w:color="auto"/>
              <w:bottom w:val="nil"/>
              <w:right w:val="single" w:sz="4" w:space="0" w:color="auto"/>
            </w:tcBorders>
            <w:hideMark/>
          </w:tcPr>
          <w:p w14:paraId="207C8BE6" w14:textId="77777777" w:rsidR="00FE461F" w:rsidRPr="005E4BEA" w:rsidRDefault="00FE461F" w:rsidP="00FE461F">
            <w:pPr>
              <w:spacing w:line="240" w:lineRule="auto"/>
              <w:rPr>
                <w:rFonts w:cs="Arial"/>
                <w:szCs w:val="20"/>
              </w:rPr>
            </w:pPr>
            <w:r w:rsidRPr="005E4BEA">
              <w:rPr>
                <w:rFonts w:cs="Arial"/>
                <w:szCs w:val="20"/>
              </w:rPr>
              <w:t>Splošna bolnišnica Slovenj Gradec</w:t>
            </w:r>
          </w:p>
        </w:tc>
        <w:tc>
          <w:tcPr>
            <w:tcW w:w="1022" w:type="dxa"/>
            <w:tcBorders>
              <w:top w:val="nil"/>
              <w:left w:val="nil"/>
              <w:bottom w:val="nil"/>
              <w:right w:val="single" w:sz="4" w:space="0" w:color="auto"/>
            </w:tcBorders>
            <w:noWrap/>
            <w:vAlign w:val="bottom"/>
            <w:hideMark/>
          </w:tcPr>
          <w:p w14:paraId="650FC5D4"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2925369A" w14:textId="77777777" w:rsidR="00FE461F" w:rsidRPr="005E4BEA" w:rsidRDefault="00FE461F" w:rsidP="00FE461F">
            <w:pPr>
              <w:spacing w:line="240" w:lineRule="auto"/>
              <w:jc w:val="right"/>
              <w:rPr>
                <w:rFonts w:cs="Arial"/>
                <w:szCs w:val="20"/>
              </w:rPr>
            </w:pPr>
            <w:r w:rsidRPr="005E4BEA">
              <w:rPr>
                <w:rFonts w:cs="Arial"/>
                <w:szCs w:val="20"/>
              </w:rPr>
              <w:t>181</w:t>
            </w:r>
          </w:p>
        </w:tc>
        <w:tc>
          <w:tcPr>
            <w:tcW w:w="2011" w:type="dxa"/>
            <w:tcBorders>
              <w:top w:val="nil"/>
              <w:left w:val="nil"/>
              <w:bottom w:val="nil"/>
              <w:right w:val="single" w:sz="4" w:space="0" w:color="auto"/>
            </w:tcBorders>
            <w:noWrap/>
            <w:vAlign w:val="bottom"/>
            <w:hideMark/>
          </w:tcPr>
          <w:p w14:paraId="13AC6A98" w14:textId="77777777" w:rsidR="00FE461F" w:rsidRPr="005E4BEA" w:rsidRDefault="00FE461F" w:rsidP="00FE461F">
            <w:pPr>
              <w:spacing w:line="240" w:lineRule="auto"/>
              <w:jc w:val="right"/>
              <w:rPr>
                <w:rFonts w:cs="Arial"/>
                <w:szCs w:val="20"/>
              </w:rPr>
            </w:pPr>
            <w:r w:rsidRPr="005E4BEA">
              <w:rPr>
                <w:rFonts w:cs="Arial"/>
                <w:szCs w:val="20"/>
              </w:rPr>
              <w:t>756</w:t>
            </w:r>
          </w:p>
        </w:tc>
        <w:tc>
          <w:tcPr>
            <w:tcW w:w="1584" w:type="dxa"/>
            <w:tcBorders>
              <w:top w:val="nil"/>
              <w:left w:val="nil"/>
              <w:bottom w:val="nil"/>
              <w:right w:val="single" w:sz="4" w:space="0" w:color="auto"/>
            </w:tcBorders>
            <w:noWrap/>
            <w:vAlign w:val="bottom"/>
            <w:hideMark/>
          </w:tcPr>
          <w:p w14:paraId="588208FB" w14:textId="77777777" w:rsidR="00FE461F" w:rsidRPr="005E4BEA" w:rsidRDefault="00FE461F" w:rsidP="00FE461F">
            <w:pPr>
              <w:spacing w:line="240" w:lineRule="auto"/>
              <w:jc w:val="right"/>
              <w:rPr>
                <w:rFonts w:cs="Arial"/>
                <w:szCs w:val="20"/>
              </w:rPr>
            </w:pPr>
            <w:r w:rsidRPr="005E4BEA">
              <w:rPr>
                <w:rFonts w:cs="Arial"/>
                <w:szCs w:val="20"/>
              </w:rPr>
              <w:t>23,9</w:t>
            </w:r>
          </w:p>
        </w:tc>
      </w:tr>
      <w:tr w:rsidR="00FE461F" w:rsidRPr="005E4BEA" w14:paraId="2A9F9D66"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735D34B3" w14:textId="77777777" w:rsidR="00FE461F" w:rsidRPr="005E4BEA" w:rsidRDefault="00FE461F" w:rsidP="00FE461F">
            <w:pPr>
              <w:spacing w:line="240" w:lineRule="auto"/>
              <w:rPr>
                <w:rFonts w:cs="Arial"/>
                <w:szCs w:val="20"/>
              </w:rPr>
            </w:pPr>
            <w:r w:rsidRPr="005E4BEA">
              <w:rPr>
                <w:rFonts w:cs="Arial"/>
                <w:szCs w:val="20"/>
              </w:rPr>
              <w:t>Splošna bolnišnica Slovenj Gradec</w:t>
            </w:r>
          </w:p>
        </w:tc>
        <w:tc>
          <w:tcPr>
            <w:tcW w:w="1022" w:type="dxa"/>
            <w:tcBorders>
              <w:top w:val="nil"/>
              <w:left w:val="nil"/>
              <w:bottom w:val="single" w:sz="4" w:space="0" w:color="auto"/>
              <w:right w:val="single" w:sz="4" w:space="0" w:color="auto"/>
            </w:tcBorders>
            <w:noWrap/>
            <w:vAlign w:val="bottom"/>
            <w:hideMark/>
          </w:tcPr>
          <w:p w14:paraId="59BB9C54"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D693289" w14:textId="77777777" w:rsidR="00FE461F" w:rsidRPr="005E4BEA" w:rsidRDefault="00FE461F" w:rsidP="00FE461F">
            <w:pPr>
              <w:spacing w:line="240" w:lineRule="auto"/>
              <w:jc w:val="right"/>
              <w:rPr>
                <w:rFonts w:cs="Arial"/>
                <w:szCs w:val="20"/>
              </w:rPr>
            </w:pPr>
            <w:r w:rsidRPr="005E4BEA">
              <w:rPr>
                <w:rFonts w:cs="Arial"/>
                <w:szCs w:val="20"/>
              </w:rPr>
              <w:t>230</w:t>
            </w:r>
          </w:p>
        </w:tc>
        <w:tc>
          <w:tcPr>
            <w:tcW w:w="2011" w:type="dxa"/>
            <w:tcBorders>
              <w:top w:val="nil"/>
              <w:left w:val="nil"/>
              <w:bottom w:val="single" w:sz="4" w:space="0" w:color="auto"/>
              <w:right w:val="single" w:sz="4" w:space="0" w:color="auto"/>
            </w:tcBorders>
            <w:noWrap/>
            <w:vAlign w:val="bottom"/>
            <w:hideMark/>
          </w:tcPr>
          <w:p w14:paraId="17C47A74" w14:textId="77777777" w:rsidR="00FE461F" w:rsidRPr="005E4BEA" w:rsidRDefault="00FE461F" w:rsidP="00FE461F">
            <w:pPr>
              <w:spacing w:line="240" w:lineRule="auto"/>
              <w:jc w:val="right"/>
              <w:rPr>
                <w:rFonts w:cs="Arial"/>
                <w:szCs w:val="20"/>
              </w:rPr>
            </w:pPr>
            <w:r w:rsidRPr="005E4BEA">
              <w:rPr>
                <w:rFonts w:cs="Arial"/>
                <w:szCs w:val="20"/>
              </w:rPr>
              <w:t>804</w:t>
            </w:r>
          </w:p>
        </w:tc>
        <w:tc>
          <w:tcPr>
            <w:tcW w:w="1584" w:type="dxa"/>
            <w:tcBorders>
              <w:top w:val="nil"/>
              <w:left w:val="nil"/>
              <w:bottom w:val="single" w:sz="4" w:space="0" w:color="auto"/>
              <w:right w:val="single" w:sz="4" w:space="0" w:color="auto"/>
            </w:tcBorders>
            <w:noWrap/>
            <w:vAlign w:val="bottom"/>
            <w:hideMark/>
          </w:tcPr>
          <w:p w14:paraId="679A6EF5" w14:textId="77777777" w:rsidR="00FE461F" w:rsidRPr="005E4BEA" w:rsidRDefault="00FE461F" w:rsidP="00FE461F">
            <w:pPr>
              <w:spacing w:line="240" w:lineRule="auto"/>
              <w:jc w:val="right"/>
              <w:rPr>
                <w:rFonts w:cs="Arial"/>
                <w:szCs w:val="20"/>
              </w:rPr>
            </w:pPr>
            <w:r w:rsidRPr="005E4BEA">
              <w:rPr>
                <w:rFonts w:cs="Arial"/>
                <w:szCs w:val="20"/>
              </w:rPr>
              <w:t>28,6</w:t>
            </w:r>
          </w:p>
        </w:tc>
      </w:tr>
      <w:tr w:rsidR="00FE461F" w:rsidRPr="005E4BEA" w14:paraId="5894A1E8" w14:textId="77777777" w:rsidTr="0016774B">
        <w:trPr>
          <w:trHeight w:val="189"/>
        </w:trPr>
        <w:tc>
          <w:tcPr>
            <w:tcW w:w="3795" w:type="dxa"/>
            <w:tcBorders>
              <w:top w:val="nil"/>
              <w:left w:val="single" w:sz="4" w:space="0" w:color="auto"/>
              <w:bottom w:val="nil"/>
              <w:right w:val="single" w:sz="4" w:space="0" w:color="auto"/>
            </w:tcBorders>
            <w:hideMark/>
          </w:tcPr>
          <w:p w14:paraId="48661737" w14:textId="77777777" w:rsidR="00FE461F" w:rsidRPr="005E4BEA" w:rsidRDefault="00FE461F" w:rsidP="00FE461F">
            <w:pPr>
              <w:spacing w:line="240" w:lineRule="auto"/>
              <w:rPr>
                <w:rFonts w:cs="Arial"/>
                <w:szCs w:val="20"/>
              </w:rPr>
            </w:pPr>
            <w:r w:rsidRPr="005E4BEA">
              <w:rPr>
                <w:rFonts w:cs="Arial"/>
                <w:szCs w:val="20"/>
              </w:rPr>
              <w:t>Splošna bolnišnica Trbovlje</w:t>
            </w:r>
          </w:p>
        </w:tc>
        <w:tc>
          <w:tcPr>
            <w:tcW w:w="1022" w:type="dxa"/>
            <w:tcBorders>
              <w:top w:val="nil"/>
              <w:left w:val="nil"/>
              <w:bottom w:val="nil"/>
              <w:right w:val="single" w:sz="4" w:space="0" w:color="auto"/>
            </w:tcBorders>
            <w:noWrap/>
            <w:vAlign w:val="bottom"/>
            <w:hideMark/>
          </w:tcPr>
          <w:p w14:paraId="0F95658F"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7165EAD9" w14:textId="77777777" w:rsidR="00FE461F" w:rsidRPr="005E4BEA" w:rsidRDefault="00FE461F" w:rsidP="00FE461F">
            <w:pPr>
              <w:spacing w:line="240" w:lineRule="auto"/>
              <w:jc w:val="right"/>
              <w:rPr>
                <w:rFonts w:cs="Arial"/>
                <w:szCs w:val="20"/>
              </w:rPr>
            </w:pPr>
            <w:r w:rsidRPr="005E4BEA">
              <w:rPr>
                <w:rFonts w:cs="Arial"/>
                <w:szCs w:val="20"/>
              </w:rPr>
              <w:t>71</w:t>
            </w:r>
          </w:p>
        </w:tc>
        <w:tc>
          <w:tcPr>
            <w:tcW w:w="2011" w:type="dxa"/>
            <w:tcBorders>
              <w:top w:val="nil"/>
              <w:left w:val="nil"/>
              <w:bottom w:val="nil"/>
              <w:right w:val="single" w:sz="4" w:space="0" w:color="auto"/>
            </w:tcBorders>
            <w:noWrap/>
            <w:vAlign w:val="bottom"/>
            <w:hideMark/>
          </w:tcPr>
          <w:p w14:paraId="6DEF871B" w14:textId="77777777" w:rsidR="00FE461F" w:rsidRPr="005E4BEA" w:rsidRDefault="00FE461F" w:rsidP="00FE461F">
            <w:pPr>
              <w:spacing w:line="240" w:lineRule="auto"/>
              <w:jc w:val="right"/>
              <w:rPr>
                <w:rFonts w:cs="Arial"/>
                <w:szCs w:val="20"/>
              </w:rPr>
            </w:pPr>
            <w:r w:rsidRPr="005E4BEA">
              <w:rPr>
                <w:rFonts w:cs="Arial"/>
                <w:szCs w:val="20"/>
              </w:rPr>
              <w:t>266</w:t>
            </w:r>
          </w:p>
        </w:tc>
        <w:tc>
          <w:tcPr>
            <w:tcW w:w="1584" w:type="dxa"/>
            <w:tcBorders>
              <w:top w:val="nil"/>
              <w:left w:val="nil"/>
              <w:bottom w:val="nil"/>
              <w:right w:val="single" w:sz="4" w:space="0" w:color="auto"/>
            </w:tcBorders>
            <w:noWrap/>
            <w:vAlign w:val="bottom"/>
            <w:hideMark/>
          </w:tcPr>
          <w:p w14:paraId="191F15D1" w14:textId="77777777" w:rsidR="00FE461F" w:rsidRPr="005E4BEA" w:rsidRDefault="00FE461F" w:rsidP="00FE461F">
            <w:pPr>
              <w:spacing w:line="240" w:lineRule="auto"/>
              <w:jc w:val="right"/>
              <w:rPr>
                <w:rFonts w:cs="Arial"/>
                <w:szCs w:val="20"/>
              </w:rPr>
            </w:pPr>
            <w:r w:rsidRPr="005E4BEA">
              <w:rPr>
                <w:rFonts w:cs="Arial"/>
                <w:szCs w:val="20"/>
              </w:rPr>
              <w:t>26,7</w:t>
            </w:r>
          </w:p>
        </w:tc>
      </w:tr>
      <w:tr w:rsidR="00FE461F" w:rsidRPr="005E4BEA" w14:paraId="4830EF09" w14:textId="77777777" w:rsidTr="0016774B">
        <w:trPr>
          <w:trHeight w:val="189"/>
        </w:trPr>
        <w:tc>
          <w:tcPr>
            <w:tcW w:w="3795" w:type="dxa"/>
            <w:tcBorders>
              <w:top w:val="nil"/>
              <w:left w:val="single" w:sz="4" w:space="0" w:color="auto"/>
              <w:bottom w:val="nil"/>
              <w:right w:val="single" w:sz="4" w:space="0" w:color="auto"/>
            </w:tcBorders>
            <w:hideMark/>
          </w:tcPr>
          <w:p w14:paraId="591416D9" w14:textId="77777777" w:rsidR="00FE461F" w:rsidRPr="005E4BEA" w:rsidRDefault="00FE461F" w:rsidP="00FE461F">
            <w:pPr>
              <w:spacing w:line="240" w:lineRule="auto"/>
              <w:rPr>
                <w:rFonts w:cs="Arial"/>
                <w:szCs w:val="20"/>
              </w:rPr>
            </w:pPr>
            <w:r w:rsidRPr="005E4BEA">
              <w:rPr>
                <w:rFonts w:cs="Arial"/>
                <w:szCs w:val="20"/>
              </w:rPr>
              <w:t>Splošna bolnišnica Trbovlje</w:t>
            </w:r>
          </w:p>
        </w:tc>
        <w:tc>
          <w:tcPr>
            <w:tcW w:w="1022" w:type="dxa"/>
            <w:tcBorders>
              <w:top w:val="nil"/>
              <w:left w:val="nil"/>
              <w:bottom w:val="nil"/>
              <w:right w:val="single" w:sz="4" w:space="0" w:color="auto"/>
            </w:tcBorders>
            <w:noWrap/>
            <w:vAlign w:val="bottom"/>
            <w:hideMark/>
          </w:tcPr>
          <w:p w14:paraId="72BD6D4D"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68172772" w14:textId="77777777" w:rsidR="00FE461F" w:rsidRPr="005E4BEA" w:rsidRDefault="00FE461F" w:rsidP="00FE461F">
            <w:pPr>
              <w:spacing w:line="240" w:lineRule="auto"/>
              <w:jc w:val="right"/>
              <w:rPr>
                <w:rFonts w:cs="Arial"/>
                <w:szCs w:val="20"/>
              </w:rPr>
            </w:pPr>
            <w:r w:rsidRPr="005E4BEA">
              <w:rPr>
                <w:rFonts w:cs="Arial"/>
                <w:szCs w:val="20"/>
              </w:rPr>
              <w:t>69</w:t>
            </w:r>
          </w:p>
        </w:tc>
        <w:tc>
          <w:tcPr>
            <w:tcW w:w="2011" w:type="dxa"/>
            <w:tcBorders>
              <w:top w:val="nil"/>
              <w:left w:val="nil"/>
              <w:bottom w:val="nil"/>
              <w:right w:val="single" w:sz="4" w:space="0" w:color="auto"/>
            </w:tcBorders>
            <w:noWrap/>
            <w:vAlign w:val="bottom"/>
            <w:hideMark/>
          </w:tcPr>
          <w:p w14:paraId="5B511FA6" w14:textId="77777777" w:rsidR="00FE461F" w:rsidRPr="005E4BEA" w:rsidRDefault="00FE461F" w:rsidP="00FE461F">
            <w:pPr>
              <w:spacing w:line="240" w:lineRule="auto"/>
              <w:jc w:val="right"/>
              <w:rPr>
                <w:rFonts w:cs="Arial"/>
                <w:szCs w:val="20"/>
              </w:rPr>
            </w:pPr>
            <w:r w:rsidRPr="005E4BEA">
              <w:rPr>
                <w:rFonts w:cs="Arial"/>
                <w:szCs w:val="20"/>
              </w:rPr>
              <w:t>277</w:t>
            </w:r>
          </w:p>
        </w:tc>
        <w:tc>
          <w:tcPr>
            <w:tcW w:w="1584" w:type="dxa"/>
            <w:tcBorders>
              <w:top w:val="nil"/>
              <w:left w:val="nil"/>
              <w:bottom w:val="nil"/>
              <w:right w:val="single" w:sz="4" w:space="0" w:color="auto"/>
            </w:tcBorders>
            <w:noWrap/>
            <w:vAlign w:val="bottom"/>
            <w:hideMark/>
          </w:tcPr>
          <w:p w14:paraId="5237F7F9" w14:textId="77777777" w:rsidR="00FE461F" w:rsidRPr="005E4BEA" w:rsidRDefault="00FE461F" w:rsidP="00FE461F">
            <w:pPr>
              <w:spacing w:line="240" w:lineRule="auto"/>
              <w:jc w:val="right"/>
              <w:rPr>
                <w:rFonts w:cs="Arial"/>
                <w:szCs w:val="20"/>
              </w:rPr>
            </w:pPr>
            <w:r w:rsidRPr="005E4BEA">
              <w:rPr>
                <w:rFonts w:cs="Arial"/>
                <w:szCs w:val="20"/>
              </w:rPr>
              <w:t>24,9</w:t>
            </w:r>
          </w:p>
        </w:tc>
      </w:tr>
      <w:tr w:rsidR="00FE461F" w:rsidRPr="005E4BEA" w14:paraId="23ECC0C0" w14:textId="77777777" w:rsidTr="0016774B">
        <w:trPr>
          <w:trHeight w:val="189"/>
        </w:trPr>
        <w:tc>
          <w:tcPr>
            <w:tcW w:w="3795" w:type="dxa"/>
            <w:tcBorders>
              <w:top w:val="nil"/>
              <w:left w:val="single" w:sz="4" w:space="0" w:color="auto"/>
              <w:bottom w:val="nil"/>
              <w:right w:val="single" w:sz="4" w:space="0" w:color="auto"/>
            </w:tcBorders>
            <w:hideMark/>
          </w:tcPr>
          <w:p w14:paraId="184F1579" w14:textId="77777777" w:rsidR="00FE461F" w:rsidRPr="005E4BEA" w:rsidRDefault="00FE461F" w:rsidP="00FE461F">
            <w:pPr>
              <w:spacing w:line="240" w:lineRule="auto"/>
              <w:rPr>
                <w:rFonts w:cs="Arial"/>
                <w:szCs w:val="20"/>
              </w:rPr>
            </w:pPr>
            <w:r w:rsidRPr="005E4BEA">
              <w:rPr>
                <w:rFonts w:cs="Arial"/>
                <w:szCs w:val="20"/>
              </w:rPr>
              <w:t>Splošna bolnišnica Trbovlje</w:t>
            </w:r>
          </w:p>
        </w:tc>
        <w:tc>
          <w:tcPr>
            <w:tcW w:w="1022" w:type="dxa"/>
            <w:tcBorders>
              <w:top w:val="nil"/>
              <w:left w:val="nil"/>
              <w:bottom w:val="nil"/>
              <w:right w:val="single" w:sz="4" w:space="0" w:color="auto"/>
            </w:tcBorders>
            <w:noWrap/>
            <w:vAlign w:val="bottom"/>
            <w:hideMark/>
          </w:tcPr>
          <w:p w14:paraId="2CF77755"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2CA9D072" w14:textId="77777777" w:rsidR="00FE461F" w:rsidRPr="005E4BEA" w:rsidRDefault="00FE461F" w:rsidP="00FE461F">
            <w:pPr>
              <w:spacing w:line="240" w:lineRule="auto"/>
              <w:jc w:val="right"/>
              <w:rPr>
                <w:rFonts w:cs="Arial"/>
                <w:szCs w:val="20"/>
              </w:rPr>
            </w:pPr>
            <w:r w:rsidRPr="005E4BEA">
              <w:rPr>
                <w:rFonts w:cs="Arial"/>
                <w:szCs w:val="20"/>
              </w:rPr>
              <w:t>72</w:t>
            </w:r>
          </w:p>
        </w:tc>
        <w:tc>
          <w:tcPr>
            <w:tcW w:w="2011" w:type="dxa"/>
            <w:tcBorders>
              <w:top w:val="nil"/>
              <w:left w:val="nil"/>
              <w:bottom w:val="nil"/>
              <w:right w:val="single" w:sz="4" w:space="0" w:color="auto"/>
            </w:tcBorders>
            <w:noWrap/>
            <w:vAlign w:val="bottom"/>
            <w:hideMark/>
          </w:tcPr>
          <w:p w14:paraId="09AE73B8" w14:textId="77777777" w:rsidR="00FE461F" w:rsidRPr="005E4BEA" w:rsidRDefault="00FE461F" w:rsidP="00FE461F">
            <w:pPr>
              <w:spacing w:line="240" w:lineRule="auto"/>
              <w:jc w:val="right"/>
              <w:rPr>
                <w:rFonts w:cs="Arial"/>
                <w:szCs w:val="20"/>
              </w:rPr>
            </w:pPr>
            <w:r w:rsidRPr="005E4BEA">
              <w:rPr>
                <w:rFonts w:cs="Arial"/>
                <w:szCs w:val="20"/>
              </w:rPr>
              <w:t>275</w:t>
            </w:r>
          </w:p>
        </w:tc>
        <w:tc>
          <w:tcPr>
            <w:tcW w:w="1584" w:type="dxa"/>
            <w:tcBorders>
              <w:top w:val="nil"/>
              <w:left w:val="nil"/>
              <w:bottom w:val="nil"/>
              <w:right w:val="single" w:sz="4" w:space="0" w:color="auto"/>
            </w:tcBorders>
            <w:noWrap/>
            <w:vAlign w:val="bottom"/>
            <w:hideMark/>
          </w:tcPr>
          <w:p w14:paraId="049A0635" w14:textId="77777777" w:rsidR="00FE461F" w:rsidRPr="005E4BEA" w:rsidRDefault="00FE461F" w:rsidP="00FE461F">
            <w:pPr>
              <w:spacing w:line="240" w:lineRule="auto"/>
              <w:jc w:val="right"/>
              <w:rPr>
                <w:rFonts w:cs="Arial"/>
                <w:szCs w:val="20"/>
              </w:rPr>
            </w:pPr>
            <w:r w:rsidRPr="005E4BEA">
              <w:rPr>
                <w:rFonts w:cs="Arial"/>
                <w:szCs w:val="20"/>
              </w:rPr>
              <w:t>26,2</w:t>
            </w:r>
          </w:p>
        </w:tc>
      </w:tr>
      <w:tr w:rsidR="00FE461F" w:rsidRPr="005E4BEA" w14:paraId="34E1474F" w14:textId="77777777" w:rsidTr="0016774B">
        <w:trPr>
          <w:trHeight w:val="189"/>
        </w:trPr>
        <w:tc>
          <w:tcPr>
            <w:tcW w:w="3795" w:type="dxa"/>
            <w:tcBorders>
              <w:top w:val="nil"/>
              <w:left w:val="single" w:sz="4" w:space="0" w:color="auto"/>
              <w:bottom w:val="nil"/>
              <w:right w:val="single" w:sz="4" w:space="0" w:color="auto"/>
            </w:tcBorders>
            <w:hideMark/>
          </w:tcPr>
          <w:p w14:paraId="4CAB40A5" w14:textId="77777777" w:rsidR="00FE461F" w:rsidRPr="005E4BEA" w:rsidRDefault="00FE461F" w:rsidP="00FE461F">
            <w:pPr>
              <w:spacing w:line="240" w:lineRule="auto"/>
              <w:rPr>
                <w:rFonts w:cs="Arial"/>
                <w:szCs w:val="20"/>
              </w:rPr>
            </w:pPr>
            <w:r w:rsidRPr="005E4BEA">
              <w:rPr>
                <w:rFonts w:cs="Arial"/>
                <w:szCs w:val="20"/>
              </w:rPr>
              <w:t>Splošna bolnišnica Trbovlje</w:t>
            </w:r>
          </w:p>
        </w:tc>
        <w:tc>
          <w:tcPr>
            <w:tcW w:w="1022" w:type="dxa"/>
            <w:tcBorders>
              <w:top w:val="nil"/>
              <w:left w:val="nil"/>
              <w:bottom w:val="nil"/>
              <w:right w:val="single" w:sz="4" w:space="0" w:color="auto"/>
            </w:tcBorders>
            <w:noWrap/>
            <w:vAlign w:val="bottom"/>
            <w:hideMark/>
          </w:tcPr>
          <w:p w14:paraId="60DBCAF0"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6B054096" w14:textId="77777777" w:rsidR="00FE461F" w:rsidRPr="005E4BEA" w:rsidRDefault="00FE461F" w:rsidP="00FE461F">
            <w:pPr>
              <w:spacing w:line="240" w:lineRule="auto"/>
              <w:jc w:val="right"/>
              <w:rPr>
                <w:rFonts w:cs="Arial"/>
                <w:szCs w:val="20"/>
              </w:rPr>
            </w:pPr>
            <w:r w:rsidRPr="005E4BEA">
              <w:rPr>
                <w:rFonts w:cs="Arial"/>
                <w:szCs w:val="20"/>
              </w:rPr>
              <w:t>76</w:t>
            </w:r>
          </w:p>
        </w:tc>
        <w:tc>
          <w:tcPr>
            <w:tcW w:w="2011" w:type="dxa"/>
            <w:tcBorders>
              <w:top w:val="nil"/>
              <w:left w:val="nil"/>
              <w:bottom w:val="nil"/>
              <w:right w:val="single" w:sz="4" w:space="0" w:color="auto"/>
            </w:tcBorders>
            <w:noWrap/>
            <w:vAlign w:val="bottom"/>
            <w:hideMark/>
          </w:tcPr>
          <w:p w14:paraId="438BADCF" w14:textId="77777777" w:rsidR="00FE461F" w:rsidRPr="005E4BEA" w:rsidRDefault="00FE461F" w:rsidP="00FE461F">
            <w:pPr>
              <w:spacing w:line="240" w:lineRule="auto"/>
              <w:jc w:val="right"/>
              <w:rPr>
                <w:rFonts w:cs="Arial"/>
                <w:szCs w:val="20"/>
              </w:rPr>
            </w:pPr>
            <w:r w:rsidRPr="005E4BEA">
              <w:rPr>
                <w:rFonts w:cs="Arial"/>
                <w:szCs w:val="20"/>
              </w:rPr>
              <w:t>276</w:t>
            </w:r>
          </w:p>
        </w:tc>
        <w:tc>
          <w:tcPr>
            <w:tcW w:w="1584" w:type="dxa"/>
            <w:tcBorders>
              <w:top w:val="nil"/>
              <w:left w:val="nil"/>
              <w:bottom w:val="nil"/>
              <w:right w:val="single" w:sz="4" w:space="0" w:color="auto"/>
            </w:tcBorders>
            <w:noWrap/>
            <w:vAlign w:val="bottom"/>
            <w:hideMark/>
          </w:tcPr>
          <w:p w14:paraId="6097A6A7" w14:textId="77777777" w:rsidR="00FE461F" w:rsidRPr="005E4BEA" w:rsidRDefault="00FE461F" w:rsidP="00FE461F">
            <w:pPr>
              <w:spacing w:line="240" w:lineRule="auto"/>
              <w:jc w:val="right"/>
              <w:rPr>
                <w:rFonts w:cs="Arial"/>
                <w:szCs w:val="20"/>
              </w:rPr>
            </w:pPr>
            <w:r w:rsidRPr="005E4BEA">
              <w:rPr>
                <w:rFonts w:cs="Arial"/>
                <w:szCs w:val="20"/>
              </w:rPr>
              <w:t>27,5</w:t>
            </w:r>
          </w:p>
        </w:tc>
      </w:tr>
      <w:tr w:rsidR="00FE461F" w:rsidRPr="005E4BEA" w14:paraId="1F41EFD4" w14:textId="77777777" w:rsidTr="0016774B">
        <w:trPr>
          <w:trHeight w:val="189"/>
        </w:trPr>
        <w:tc>
          <w:tcPr>
            <w:tcW w:w="3795" w:type="dxa"/>
            <w:tcBorders>
              <w:top w:val="nil"/>
              <w:left w:val="single" w:sz="4" w:space="0" w:color="auto"/>
              <w:bottom w:val="nil"/>
              <w:right w:val="single" w:sz="4" w:space="0" w:color="auto"/>
            </w:tcBorders>
            <w:hideMark/>
          </w:tcPr>
          <w:p w14:paraId="41797817" w14:textId="77777777" w:rsidR="00FE461F" w:rsidRPr="005E4BEA" w:rsidRDefault="00FE461F" w:rsidP="00FE461F">
            <w:pPr>
              <w:spacing w:line="240" w:lineRule="auto"/>
              <w:rPr>
                <w:rFonts w:cs="Arial"/>
                <w:szCs w:val="20"/>
              </w:rPr>
            </w:pPr>
            <w:r w:rsidRPr="005E4BEA">
              <w:rPr>
                <w:rFonts w:cs="Arial"/>
                <w:szCs w:val="20"/>
              </w:rPr>
              <w:t>Splošna bolnišnica Trbovlje</w:t>
            </w:r>
          </w:p>
        </w:tc>
        <w:tc>
          <w:tcPr>
            <w:tcW w:w="1022" w:type="dxa"/>
            <w:tcBorders>
              <w:top w:val="nil"/>
              <w:left w:val="nil"/>
              <w:bottom w:val="nil"/>
              <w:right w:val="single" w:sz="4" w:space="0" w:color="auto"/>
            </w:tcBorders>
            <w:noWrap/>
            <w:vAlign w:val="bottom"/>
            <w:hideMark/>
          </w:tcPr>
          <w:p w14:paraId="6C00F4C0"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BBA6740" w14:textId="77777777" w:rsidR="00FE461F" w:rsidRPr="005E4BEA" w:rsidRDefault="00FE461F" w:rsidP="00FE461F">
            <w:pPr>
              <w:spacing w:line="240" w:lineRule="auto"/>
              <w:jc w:val="right"/>
              <w:rPr>
                <w:rFonts w:cs="Arial"/>
                <w:szCs w:val="20"/>
              </w:rPr>
            </w:pPr>
            <w:r w:rsidRPr="005E4BEA">
              <w:rPr>
                <w:rFonts w:cs="Arial"/>
                <w:szCs w:val="20"/>
              </w:rPr>
              <w:t>78</w:t>
            </w:r>
          </w:p>
        </w:tc>
        <w:tc>
          <w:tcPr>
            <w:tcW w:w="2011" w:type="dxa"/>
            <w:tcBorders>
              <w:top w:val="nil"/>
              <w:left w:val="nil"/>
              <w:bottom w:val="nil"/>
              <w:right w:val="single" w:sz="4" w:space="0" w:color="auto"/>
            </w:tcBorders>
            <w:noWrap/>
            <w:vAlign w:val="bottom"/>
            <w:hideMark/>
          </w:tcPr>
          <w:p w14:paraId="39180C0B" w14:textId="77777777" w:rsidR="00FE461F" w:rsidRPr="005E4BEA" w:rsidRDefault="00FE461F" w:rsidP="00FE461F">
            <w:pPr>
              <w:spacing w:line="240" w:lineRule="auto"/>
              <w:jc w:val="right"/>
              <w:rPr>
                <w:rFonts w:cs="Arial"/>
                <w:szCs w:val="20"/>
              </w:rPr>
            </w:pPr>
            <w:r w:rsidRPr="005E4BEA">
              <w:rPr>
                <w:rFonts w:cs="Arial"/>
                <w:szCs w:val="20"/>
              </w:rPr>
              <w:t>286</w:t>
            </w:r>
          </w:p>
        </w:tc>
        <w:tc>
          <w:tcPr>
            <w:tcW w:w="1584" w:type="dxa"/>
            <w:tcBorders>
              <w:top w:val="nil"/>
              <w:left w:val="nil"/>
              <w:bottom w:val="nil"/>
              <w:right w:val="single" w:sz="4" w:space="0" w:color="auto"/>
            </w:tcBorders>
            <w:noWrap/>
            <w:vAlign w:val="bottom"/>
            <w:hideMark/>
          </w:tcPr>
          <w:p w14:paraId="6A92DD55" w14:textId="77777777" w:rsidR="00FE461F" w:rsidRPr="005E4BEA" w:rsidRDefault="00FE461F" w:rsidP="00FE461F">
            <w:pPr>
              <w:spacing w:line="240" w:lineRule="auto"/>
              <w:jc w:val="right"/>
              <w:rPr>
                <w:rFonts w:cs="Arial"/>
                <w:szCs w:val="20"/>
              </w:rPr>
            </w:pPr>
            <w:r w:rsidRPr="005E4BEA">
              <w:rPr>
                <w:rFonts w:cs="Arial"/>
                <w:szCs w:val="20"/>
              </w:rPr>
              <w:t>27,3</w:t>
            </w:r>
          </w:p>
        </w:tc>
      </w:tr>
      <w:tr w:rsidR="00FE461F" w:rsidRPr="005E4BEA" w14:paraId="780CC26B"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3F9A6BB6" w14:textId="77777777" w:rsidR="00FE461F" w:rsidRPr="005E4BEA" w:rsidRDefault="00FE461F" w:rsidP="00FE461F">
            <w:pPr>
              <w:spacing w:line="240" w:lineRule="auto"/>
              <w:rPr>
                <w:rFonts w:cs="Arial"/>
                <w:szCs w:val="20"/>
              </w:rPr>
            </w:pPr>
            <w:r w:rsidRPr="005E4BEA">
              <w:rPr>
                <w:rFonts w:cs="Arial"/>
                <w:szCs w:val="20"/>
              </w:rPr>
              <w:t>Splošna bolnišnica Trbovlje</w:t>
            </w:r>
          </w:p>
        </w:tc>
        <w:tc>
          <w:tcPr>
            <w:tcW w:w="1022" w:type="dxa"/>
            <w:tcBorders>
              <w:top w:val="nil"/>
              <w:left w:val="nil"/>
              <w:bottom w:val="single" w:sz="4" w:space="0" w:color="auto"/>
              <w:right w:val="single" w:sz="4" w:space="0" w:color="auto"/>
            </w:tcBorders>
            <w:noWrap/>
            <w:vAlign w:val="bottom"/>
            <w:hideMark/>
          </w:tcPr>
          <w:p w14:paraId="2222FAD6"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32FDB5CA" w14:textId="77777777" w:rsidR="00FE461F" w:rsidRPr="005E4BEA" w:rsidRDefault="00FE461F" w:rsidP="00FE461F">
            <w:pPr>
              <w:spacing w:line="240" w:lineRule="auto"/>
              <w:jc w:val="right"/>
              <w:rPr>
                <w:rFonts w:cs="Arial"/>
                <w:szCs w:val="20"/>
              </w:rPr>
            </w:pPr>
            <w:r w:rsidRPr="005E4BEA">
              <w:rPr>
                <w:rFonts w:cs="Arial"/>
                <w:szCs w:val="20"/>
              </w:rPr>
              <w:t>77</w:t>
            </w:r>
          </w:p>
        </w:tc>
        <w:tc>
          <w:tcPr>
            <w:tcW w:w="2011" w:type="dxa"/>
            <w:tcBorders>
              <w:top w:val="nil"/>
              <w:left w:val="nil"/>
              <w:bottom w:val="single" w:sz="4" w:space="0" w:color="auto"/>
              <w:right w:val="single" w:sz="4" w:space="0" w:color="auto"/>
            </w:tcBorders>
            <w:noWrap/>
            <w:vAlign w:val="bottom"/>
            <w:hideMark/>
          </w:tcPr>
          <w:p w14:paraId="4A33DC40" w14:textId="77777777" w:rsidR="00FE461F" w:rsidRPr="005E4BEA" w:rsidRDefault="00FE461F" w:rsidP="00FE461F">
            <w:pPr>
              <w:spacing w:line="240" w:lineRule="auto"/>
              <w:jc w:val="right"/>
              <w:rPr>
                <w:rFonts w:cs="Arial"/>
                <w:szCs w:val="20"/>
              </w:rPr>
            </w:pPr>
            <w:r w:rsidRPr="005E4BEA">
              <w:rPr>
                <w:rFonts w:cs="Arial"/>
                <w:szCs w:val="20"/>
              </w:rPr>
              <w:t>302</w:t>
            </w:r>
          </w:p>
        </w:tc>
        <w:tc>
          <w:tcPr>
            <w:tcW w:w="1584" w:type="dxa"/>
            <w:tcBorders>
              <w:top w:val="nil"/>
              <w:left w:val="nil"/>
              <w:bottom w:val="single" w:sz="4" w:space="0" w:color="auto"/>
              <w:right w:val="single" w:sz="4" w:space="0" w:color="auto"/>
            </w:tcBorders>
            <w:noWrap/>
            <w:vAlign w:val="bottom"/>
            <w:hideMark/>
          </w:tcPr>
          <w:p w14:paraId="4295633C" w14:textId="77777777" w:rsidR="00FE461F" w:rsidRPr="005E4BEA" w:rsidRDefault="00FE461F" w:rsidP="00FE461F">
            <w:pPr>
              <w:spacing w:line="240" w:lineRule="auto"/>
              <w:jc w:val="right"/>
              <w:rPr>
                <w:rFonts w:cs="Arial"/>
                <w:szCs w:val="20"/>
              </w:rPr>
            </w:pPr>
            <w:r w:rsidRPr="005E4BEA">
              <w:rPr>
                <w:rFonts w:cs="Arial"/>
                <w:szCs w:val="20"/>
              </w:rPr>
              <w:t>25,5</w:t>
            </w:r>
          </w:p>
        </w:tc>
      </w:tr>
      <w:tr w:rsidR="00FE461F" w:rsidRPr="005E4BEA" w14:paraId="3411245B" w14:textId="77777777" w:rsidTr="0016774B">
        <w:trPr>
          <w:trHeight w:val="189"/>
        </w:trPr>
        <w:tc>
          <w:tcPr>
            <w:tcW w:w="3795" w:type="dxa"/>
            <w:tcBorders>
              <w:top w:val="nil"/>
              <w:left w:val="single" w:sz="4" w:space="0" w:color="auto"/>
              <w:bottom w:val="nil"/>
              <w:right w:val="single" w:sz="4" w:space="0" w:color="auto"/>
            </w:tcBorders>
            <w:hideMark/>
          </w:tcPr>
          <w:p w14:paraId="1C8B89F8" w14:textId="77777777" w:rsidR="00FE461F" w:rsidRPr="005E4BEA" w:rsidRDefault="00FE461F" w:rsidP="00FE461F">
            <w:pPr>
              <w:spacing w:line="240" w:lineRule="auto"/>
              <w:rPr>
                <w:rFonts w:cs="Arial"/>
                <w:szCs w:val="20"/>
              </w:rPr>
            </w:pPr>
            <w:r w:rsidRPr="005E4BEA">
              <w:rPr>
                <w:rFonts w:cs="Arial"/>
                <w:szCs w:val="20"/>
              </w:rPr>
              <w:lastRenderedPageBreak/>
              <w:t>Univerzitetna klinika za pljučne bolezni in alergijo Golnik</w:t>
            </w:r>
          </w:p>
        </w:tc>
        <w:tc>
          <w:tcPr>
            <w:tcW w:w="1022" w:type="dxa"/>
            <w:tcBorders>
              <w:top w:val="nil"/>
              <w:left w:val="nil"/>
              <w:bottom w:val="nil"/>
              <w:right w:val="single" w:sz="4" w:space="0" w:color="auto"/>
            </w:tcBorders>
            <w:noWrap/>
            <w:vAlign w:val="bottom"/>
            <w:hideMark/>
          </w:tcPr>
          <w:p w14:paraId="3038B5C1"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0AA16B9B" w14:textId="77777777" w:rsidR="00FE461F" w:rsidRPr="005E4BEA" w:rsidRDefault="00FE461F" w:rsidP="00FE461F">
            <w:pPr>
              <w:spacing w:line="240" w:lineRule="auto"/>
              <w:jc w:val="right"/>
              <w:rPr>
                <w:rFonts w:cs="Arial"/>
                <w:szCs w:val="20"/>
              </w:rPr>
            </w:pPr>
            <w:r w:rsidRPr="005E4BEA">
              <w:rPr>
                <w:rFonts w:cs="Arial"/>
                <w:szCs w:val="20"/>
              </w:rPr>
              <w:t>118</w:t>
            </w:r>
          </w:p>
        </w:tc>
        <w:tc>
          <w:tcPr>
            <w:tcW w:w="2011" w:type="dxa"/>
            <w:tcBorders>
              <w:top w:val="nil"/>
              <w:left w:val="nil"/>
              <w:bottom w:val="nil"/>
              <w:right w:val="single" w:sz="4" w:space="0" w:color="auto"/>
            </w:tcBorders>
            <w:noWrap/>
            <w:vAlign w:val="bottom"/>
            <w:hideMark/>
          </w:tcPr>
          <w:p w14:paraId="6DA9DF84" w14:textId="77777777" w:rsidR="00FE461F" w:rsidRPr="005E4BEA" w:rsidRDefault="00FE461F" w:rsidP="00FE461F">
            <w:pPr>
              <w:spacing w:line="240" w:lineRule="auto"/>
              <w:jc w:val="right"/>
              <w:rPr>
                <w:rFonts w:cs="Arial"/>
                <w:szCs w:val="20"/>
              </w:rPr>
            </w:pPr>
            <w:r w:rsidRPr="005E4BEA">
              <w:rPr>
                <w:rFonts w:cs="Arial"/>
                <w:szCs w:val="20"/>
              </w:rPr>
              <w:t>436</w:t>
            </w:r>
          </w:p>
        </w:tc>
        <w:tc>
          <w:tcPr>
            <w:tcW w:w="1584" w:type="dxa"/>
            <w:tcBorders>
              <w:top w:val="nil"/>
              <w:left w:val="nil"/>
              <w:bottom w:val="nil"/>
              <w:right w:val="single" w:sz="4" w:space="0" w:color="auto"/>
            </w:tcBorders>
            <w:noWrap/>
            <w:vAlign w:val="bottom"/>
            <w:hideMark/>
          </w:tcPr>
          <w:p w14:paraId="28F0AC5D" w14:textId="77777777" w:rsidR="00FE461F" w:rsidRPr="005E4BEA" w:rsidRDefault="00FE461F" w:rsidP="00FE461F">
            <w:pPr>
              <w:spacing w:line="240" w:lineRule="auto"/>
              <w:jc w:val="right"/>
              <w:rPr>
                <w:rFonts w:cs="Arial"/>
                <w:szCs w:val="20"/>
              </w:rPr>
            </w:pPr>
            <w:r w:rsidRPr="005E4BEA">
              <w:rPr>
                <w:rFonts w:cs="Arial"/>
                <w:szCs w:val="20"/>
              </w:rPr>
              <w:t>27,1</w:t>
            </w:r>
          </w:p>
        </w:tc>
      </w:tr>
      <w:tr w:rsidR="00FE461F" w:rsidRPr="005E4BEA" w14:paraId="7E37904A" w14:textId="77777777" w:rsidTr="0016774B">
        <w:trPr>
          <w:trHeight w:val="189"/>
        </w:trPr>
        <w:tc>
          <w:tcPr>
            <w:tcW w:w="3795" w:type="dxa"/>
            <w:tcBorders>
              <w:top w:val="nil"/>
              <w:left w:val="single" w:sz="4" w:space="0" w:color="auto"/>
              <w:bottom w:val="nil"/>
              <w:right w:val="single" w:sz="4" w:space="0" w:color="auto"/>
            </w:tcBorders>
            <w:hideMark/>
          </w:tcPr>
          <w:p w14:paraId="10AC9639" w14:textId="77777777" w:rsidR="00FE461F" w:rsidRPr="005E4BEA" w:rsidRDefault="00FE461F" w:rsidP="00FE461F">
            <w:pPr>
              <w:spacing w:line="240" w:lineRule="auto"/>
              <w:rPr>
                <w:rFonts w:cs="Arial"/>
                <w:szCs w:val="20"/>
              </w:rPr>
            </w:pPr>
            <w:r w:rsidRPr="005E4BEA">
              <w:rPr>
                <w:rFonts w:cs="Arial"/>
                <w:szCs w:val="20"/>
              </w:rPr>
              <w:t>Univerzitetna klinika za pljučne bolezni in alergijo Golnik</w:t>
            </w:r>
          </w:p>
        </w:tc>
        <w:tc>
          <w:tcPr>
            <w:tcW w:w="1022" w:type="dxa"/>
            <w:tcBorders>
              <w:top w:val="nil"/>
              <w:left w:val="nil"/>
              <w:bottom w:val="nil"/>
              <w:right w:val="single" w:sz="4" w:space="0" w:color="auto"/>
            </w:tcBorders>
            <w:noWrap/>
            <w:vAlign w:val="bottom"/>
            <w:hideMark/>
          </w:tcPr>
          <w:p w14:paraId="480BB00B"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036D7DB3" w14:textId="77777777" w:rsidR="00FE461F" w:rsidRPr="005E4BEA" w:rsidRDefault="00FE461F" w:rsidP="00FE461F">
            <w:pPr>
              <w:spacing w:line="240" w:lineRule="auto"/>
              <w:jc w:val="right"/>
              <w:rPr>
                <w:rFonts w:cs="Arial"/>
                <w:szCs w:val="20"/>
              </w:rPr>
            </w:pPr>
            <w:r w:rsidRPr="005E4BEA">
              <w:rPr>
                <w:rFonts w:cs="Arial"/>
                <w:szCs w:val="20"/>
              </w:rPr>
              <w:t>115</w:t>
            </w:r>
          </w:p>
        </w:tc>
        <w:tc>
          <w:tcPr>
            <w:tcW w:w="2011" w:type="dxa"/>
            <w:tcBorders>
              <w:top w:val="nil"/>
              <w:left w:val="nil"/>
              <w:bottom w:val="nil"/>
              <w:right w:val="single" w:sz="4" w:space="0" w:color="auto"/>
            </w:tcBorders>
            <w:noWrap/>
            <w:vAlign w:val="bottom"/>
            <w:hideMark/>
          </w:tcPr>
          <w:p w14:paraId="1A7BFE7E" w14:textId="77777777" w:rsidR="00FE461F" w:rsidRPr="005E4BEA" w:rsidRDefault="00FE461F" w:rsidP="00FE461F">
            <w:pPr>
              <w:spacing w:line="240" w:lineRule="auto"/>
              <w:jc w:val="right"/>
              <w:rPr>
                <w:rFonts w:cs="Arial"/>
                <w:szCs w:val="20"/>
              </w:rPr>
            </w:pPr>
            <w:r w:rsidRPr="005E4BEA">
              <w:rPr>
                <w:rFonts w:cs="Arial"/>
                <w:szCs w:val="20"/>
              </w:rPr>
              <w:t>428</w:t>
            </w:r>
          </w:p>
        </w:tc>
        <w:tc>
          <w:tcPr>
            <w:tcW w:w="1584" w:type="dxa"/>
            <w:tcBorders>
              <w:top w:val="nil"/>
              <w:left w:val="nil"/>
              <w:bottom w:val="nil"/>
              <w:right w:val="single" w:sz="4" w:space="0" w:color="auto"/>
            </w:tcBorders>
            <w:noWrap/>
            <w:vAlign w:val="bottom"/>
            <w:hideMark/>
          </w:tcPr>
          <w:p w14:paraId="21DEDFAC" w14:textId="77777777" w:rsidR="00FE461F" w:rsidRPr="005E4BEA" w:rsidRDefault="00FE461F" w:rsidP="00FE461F">
            <w:pPr>
              <w:spacing w:line="240" w:lineRule="auto"/>
              <w:jc w:val="right"/>
              <w:rPr>
                <w:rFonts w:cs="Arial"/>
                <w:szCs w:val="20"/>
              </w:rPr>
            </w:pPr>
            <w:r w:rsidRPr="005E4BEA">
              <w:rPr>
                <w:rFonts w:cs="Arial"/>
                <w:szCs w:val="20"/>
              </w:rPr>
              <w:t>26,9</w:t>
            </w:r>
          </w:p>
        </w:tc>
      </w:tr>
      <w:tr w:rsidR="00FE461F" w:rsidRPr="005E4BEA" w14:paraId="137DCF96" w14:textId="77777777" w:rsidTr="0016774B">
        <w:trPr>
          <w:trHeight w:val="189"/>
        </w:trPr>
        <w:tc>
          <w:tcPr>
            <w:tcW w:w="3795" w:type="dxa"/>
            <w:tcBorders>
              <w:top w:val="nil"/>
              <w:left w:val="single" w:sz="4" w:space="0" w:color="auto"/>
              <w:bottom w:val="nil"/>
              <w:right w:val="single" w:sz="4" w:space="0" w:color="auto"/>
            </w:tcBorders>
            <w:hideMark/>
          </w:tcPr>
          <w:p w14:paraId="34A759AD" w14:textId="77777777" w:rsidR="00FE461F" w:rsidRPr="005E4BEA" w:rsidRDefault="00FE461F" w:rsidP="00FE461F">
            <w:pPr>
              <w:spacing w:line="240" w:lineRule="auto"/>
              <w:rPr>
                <w:rFonts w:cs="Arial"/>
                <w:szCs w:val="20"/>
              </w:rPr>
            </w:pPr>
            <w:r w:rsidRPr="005E4BEA">
              <w:rPr>
                <w:rFonts w:cs="Arial"/>
                <w:szCs w:val="20"/>
              </w:rPr>
              <w:t>Univerzitetna klinika za pljučne bolezni in alergijo Golnik</w:t>
            </w:r>
          </w:p>
        </w:tc>
        <w:tc>
          <w:tcPr>
            <w:tcW w:w="1022" w:type="dxa"/>
            <w:tcBorders>
              <w:top w:val="nil"/>
              <w:left w:val="nil"/>
              <w:bottom w:val="nil"/>
              <w:right w:val="single" w:sz="4" w:space="0" w:color="auto"/>
            </w:tcBorders>
            <w:noWrap/>
            <w:vAlign w:val="bottom"/>
            <w:hideMark/>
          </w:tcPr>
          <w:p w14:paraId="1327FFD1"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008DB0B9" w14:textId="77777777" w:rsidR="00FE461F" w:rsidRPr="005E4BEA" w:rsidRDefault="00FE461F" w:rsidP="00FE461F">
            <w:pPr>
              <w:spacing w:line="240" w:lineRule="auto"/>
              <w:jc w:val="right"/>
              <w:rPr>
                <w:rFonts w:cs="Arial"/>
                <w:szCs w:val="20"/>
              </w:rPr>
            </w:pPr>
            <w:r w:rsidRPr="005E4BEA">
              <w:rPr>
                <w:rFonts w:cs="Arial"/>
                <w:szCs w:val="20"/>
              </w:rPr>
              <w:t>116</w:t>
            </w:r>
          </w:p>
        </w:tc>
        <w:tc>
          <w:tcPr>
            <w:tcW w:w="2011" w:type="dxa"/>
            <w:tcBorders>
              <w:top w:val="nil"/>
              <w:left w:val="nil"/>
              <w:bottom w:val="nil"/>
              <w:right w:val="single" w:sz="4" w:space="0" w:color="auto"/>
            </w:tcBorders>
            <w:noWrap/>
            <w:vAlign w:val="bottom"/>
            <w:hideMark/>
          </w:tcPr>
          <w:p w14:paraId="56C15ABC" w14:textId="77777777" w:rsidR="00FE461F" w:rsidRPr="005E4BEA" w:rsidRDefault="00FE461F" w:rsidP="00FE461F">
            <w:pPr>
              <w:spacing w:line="240" w:lineRule="auto"/>
              <w:jc w:val="right"/>
              <w:rPr>
                <w:rFonts w:cs="Arial"/>
                <w:szCs w:val="20"/>
              </w:rPr>
            </w:pPr>
            <w:r w:rsidRPr="005E4BEA">
              <w:rPr>
                <w:rFonts w:cs="Arial"/>
                <w:szCs w:val="20"/>
              </w:rPr>
              <w:t>441</w:t>
            </w:r>
          </w:p>
        </w:tc>
        <w:tc>
          <w:tcPr>
            <w:tcW w:w="1584" w:type="dxa"/>
            <w:tcBorders>
              <w:top w:val="nil"/>
              <w:left w:val="nil"/>
              <w:bottom w:val="nil"/>
              <w:right w:val="single" w:sz="4" w:space="0" w:color="auto"/>
            </w:tcBorders>
            <w:noWrap/>
            <w:vAlign w:val="bottom"/>
            <w:hideMark/>
          </w:tcPr>
          <w:p w14:paraId="52C2BA9C" w14:textId="77777777" w:rsidR="00FE461F" w:rsidRPr="005E4BEA" w:rsidRDefault="00FE461F" w:rsidP="00FE461F">
            <w:pPr>
              <w:spacing w:line="240" w:lineRule="auto"/>
              <w:jc w:val="right"/>
              <w:rPr>
                <w:rFonts w:cs="Arial"/>
                <w:szCs w:val="20"/>
              </w:rPr>
            </w:pPr>
            <w:r w:rsidRPr="005E4BEA">
              <w:rPr>
                <w:rFonts w:cs="Arial"/>
                <w:szCs w:val="20"/>
              </w:rPr>
              <w:t>26,3</w:t>
            </w:r>
          </w:p>
        </w:tc>
      </w:tr>
      <w:tr w:rsidR="00FE461F" w:rsidRPr="005E4BEA" w14:paraId="23A83760" w14:textId="77777777" w:rsidTr="0016774B">
        <w:trPr>
          <w:trHeight w:val="189"/>
        </w:trPr>
        <w:tc>
          <w:tcPr>
            <w:tcW w:w="3795" w:type="dxa"/>
            <w:tcBorders>
              <w:top w:val="nil"/>
              <w:left w:val="single" w:sz="4" w:space="0" w:color="auto"/>
              <w:bottom w:val="nil"/>
              <w:right w:val="single" w:sz="4" w:space="0" w:color="auto"/>
            </w:tcBorders>
            <w:hideMark/>
          </w:tcPr>
          <w:p w14:paraId="5C9169F5" w14:textId="77777777" w:rsidR="00FE461F" w:rsidRPr="005E4BEA" w:rsidRDefault="00FE461F" w:rsidP="00FE461F">
            <w:pPr>
              <w:spacing w:line="240" w:lineRule="auto"/>
              <w:rPr>
                <w:rFonts w:cs="Arial"/>
                <w:szCs w:val="20"/>
              </w:rPr>
            </w:pPr>
            <w:r w:rsidRPr="005E4BEA">
              <w:rPr>
                <w:rFonts w:cs="Arial"/>
                <w:szCs w:val="20"/>
              </w:rPr>
              <w:t>Univerzitetna klinika za pljučne bolezni in alergijo Golnik</w:t>
            </w:r>
          </w:p>
        </w:tc>
        <w:tc>
          <w:tcPr>
            <w:tcW w:w="1022" w:type="dxa"/>
            <w:tcBorders>
              <w:top w:val="nil"/>
              <w:left w:val="nil"/>
              <w:bottom w:val="nil"/>
              <w:right w:val="single" w:sz="4" w:space="0" w:color="auto"/>
            </w:tcBorders>
            <w:noWrap/>
            <w:vAlign w:val="bottom"/>
            <w:hideMark/>
          </w:tcPr>
          <w:p w14:paraId="519ACC3F"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3A9A6A79" w14:textId="77777777" w:rsidR="00FE461F" w:rsidRPr="005E4BEA" w:rsidRDefault="00FE461F" w:rsidP="00FE461F">
            <w:pPr>
              <w:spacing w:line="240" w:lineRule="auto"/>
              <w:jc w:val="right"/>
              <w:rPr>
                <w:rFonts w:cs="Arial"/>
                <w:szCs w:val="20"/>
              </w:rPr>
            </w:pPr>
            <w:r w:rsidRPr="005E4BEA">
              <w:rPr>
                <w:rFonts w:cs="Arial"/>
                <w:szCs w:val="20"/>
              </w:rPr>
              <w:t>124</w:t>
            </w:r>
          </w:p>
        </w:tc>
        <w:tc>
          <w:tcPr>
            <w:tcW w:w="2011" w:type="dxa"/>
            <w:tcBorders>
              <w:top w:val="nil"/>
              <w:left w:val="nil"/>
              <w:bottom w:val="nil"/>
              <w:right w:val="single" w:sz="4" w:space="0" w:color="auto"/>
            </w:tcBorders>
            <w:noWrap/>
            <w:vAlign w:val="bottom"/>
            <w:hideMark/>
          </w:tcPr>
          <w:p w14:paraId="50F378C6" w14:textId="77777777" w:rsidR="00FE461F" w:rsidRPr="005E4BEA" w:rsidRDefault="00FE461F" w:rsidP="00FE461F">
            <w:pPr>
              <w:spacing w:line="240" w:lineRule="auto"/>
              <w:jc w:val="right"/>
              <w:rPr>
                <w:rFonts w:cs="Arial"/>
                <w:szCs w:val="20"/>
              </w:rPr>
            </w:pPr>
            <w:r w:rsidRPr="005E4BEA">
              <w:rPr>
                <w:rFonts w:cs="Arial"/>
                <w:szCs w:val="20"/>
              </w:rPr>
              <w:t>441</w:t>
            </w:r>
          </w:p>
        </w:tc>
        <w:tc>
          <w:tcPr>
            <w:tcW w:w="1584" w:type="dxa"/>
            <w:tcBorders>
              <w:top w:val="nil"/>
              <w:left w:val="nil"/>
              <w:bottom w:val="nil"/>
              <w:right w:val="single" w:sz="4" w:space="0" w:color="auto"/>
            </w:tcBorders>
            <w:noWrap/>
            <w:vAlign w:val="bottom"/>
            <w:hideMark/>
          </w:tcPr>
          <w:p w14:paraId="276D3573" w14:textId="77777777" w:rsidR="00FE461F" w:rsidRPr="005E4BEA" w:rsidRDefault="00FE461F" w:rsidP="00FE461F">
            <w:pPr>
              <w:spacing w:line="240" w:lineRule="auto"/>
              <w:jc w:val="right"/>
              <w:rPr>
                <w:rFonts w:cs="Arial"/>
                <w:szCs w:val="20"/>
              </w:rPr>
            </w:pPr>
            <w:r w:rsidRPr="005E4BEA">
              <w:rPr>
                <w:rFonts w:cs="Arial"/>
                <w:szCs w:val="20"/>
              </w:rPr>
              <w:t>28,1</w:t>
            </w:r>
          </w:p>
        </w:tc>
      </w:tr>
      <w:tr w:rsidR="00FE461F" w:rsidRPr="005E4BEA" w14:paraId="58F29D02" w14:textId="77777777" w:rsidTr="0016774B">
        <w:trPr>
          <w:trHeight w:val="189"/>
        </w:trPr>
        <w:tc>
          <w:tcPr>
            <w:tcW w:w="3795" w:type="dxa"/>
            <w:tcBorders>
              <w:top w:val="nil"/>
              <w:left w:val="single" w:sz="4" w:space="0" w:color="auto"/>
              <w:bottom w:val="nil"/>
              <w:right w:val="single" w:sz="4" w:space="0" w:color="auto"/>
            </w:tcBorders>
            <w:hideMark/>
          </w:tcPr>
          <w:p w14:paraId="07611301" w14:textId="77777777" w:rsidR="00FE461F" w:rsidRPr="005E4BEA" w:rsidRDefault="00FE461F" w:rsidP="00FE461F">
            <w:pPr>
              <w:spacing w:line="240" w:lineRule="auto"/>
              <w:rPr>
                <w:rFonts w:cs="Arial"/>
                <w:szCs w:val="20"/>
              </w:rPr>
            </w:pPr>
            <w:r w:rsidRPr="005E4BEA">
              <w:rPr>
                <w:rFonts w:cs="Arial"/>
                <w:szCs w:val="20"/>
              </w:rPr>
              <w:t>Univerzitetna klinika za pljučne bolezni in alergijo Golnik</w:t>
            </w:r>
          </w:p>
        </w:tc>
        <w:tc>
          <w:tcPr>
            <w:tcW w:w="1022" w:type="dxa"/>
            <w:tcBorders>
              <w:top w:val="nil"/>
              <w:left w:val="nil"/>
              <w:bottom w:val="nil"/>
              <w:right w:val="single" w:sz="4" w:space="0" w:color="auto"/>
            </w:tcBorders>
            <w:noWrap/>
            <w:vAlign w:val="bottom"/>
            <w:hideMark/>
          </w:tcPr>
          <w:p w14:paraId="3222B886"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90DB821" w14:textId="77777777" w:rsidR="00FE461F" w:rsidRPr="005E4BEA" w:rsidRDefault="00FE461F" w:rsidP="00FE461F">
            <w:pPr>
              <w:spacing w:line="240" w:lineRule="auto"/>
              <w:jc w:val="right"/>
              <w:rPr>
                <w:rFonts w:cs="Arial"/>
                <w:szCs w:val="20"/>
              </w:rPr>
            </w:pPr>
            <w:r w:rsidRPr="005E4BEA">
              <w:rPr>
                <w:rFonts w:cs="Arial"/>
                <w:szCs w:val="20"/>
              </w:rPr>
              <w:t>126</w:t>
            </w:r>
          </w:p>
        </w:tc>
        <w:tc>
          <w:tcPr>
            <w:tcW w:w="2011" w:type="dxa"/>
            <w:tcBorders>
              <w:top w:val="nil"/>
              <w:left w:val="nil"/>
              <w:bottom w:val="nil"/>
              <w:right w:val="single" w:sz="4" w:space="0" w:color="auto"/>
            </w:tcBorders>
            <w:noWrap/>
            <w:vAlign w:val="bottom"/>
            <w:hideMark/>
          </w:tcPr>
          <w:p w14:paraId="1E5DC6D2" w14:textId="77777777" w:rsidR="00FE461F" w:rsidRPr="005E4BEA" w:rsidRDefault="00FE461F" w:rsidP="00FE461F">
            <w:pPr>
              <w:spacing w:line="240" w:lineRule="auto"/>
              <w:jc w:val="right"/>
              <w:rPr>
                <w:rFonts w:cs="Arial"/>
                <w:szCs w:val="20"/>
              </w:rPr>
            </w:pPr>
            <w:r w:rsidRPr="005E4BEA">
              <w:rPr>
                <w:rFonts w:cs="Arial"/>
                <w:szCs w:val="20"/>
              </w:rPr>
              <w:t>453</w:t>
            </w:r>
          </w:p>
        </w:tc>
        <w:tc>
          <w:tcPr>
            <w:tcW w:w="1584" w:type="dxa"/>
            <w:tcBorders>
              <w:top w:val="nil"/>
              <w:left w:val="nil"/>
              <w:bottom w:val="nil"/>
              <w:right w:val="single" w:sz="4" w:space="0" w:color="auto"/>
            </w:tcBorders>
            <w:noWrap/>
            <w:vAlign w:val="bottom"/>
            <w:hideMark/>
          </w:tcPr>
          <w:p w14:paraId="0EA13172" w14:textId="77777777" w:rsidR="00FE461F" w:rsidRPr="005E4BEA" w:rsidRDefault="00FE461F" w:rsidP="00FE461F">
            <w:pPr>
              <w:spacing w:line="240" w:lineRule="auto"/>
              <w:jc w:val="right"/>
              <w:rPr>
                <w:rFonts w:cs="Arial"/>
                <w:szCs w:val="20"/>
              </w:rPr>
            </w:pPr>
            <w:r w:rsidRPr="005E4BEA">
              <w:rPr>
                <w:rFonts w:cs="Arial"/>
                <w:szCs w:val="20"/>
              </w:rPr>
              <w:t>27,8</w:t>
            </w:r>
          </w:p>
        </w:tc>
      </w:tr>
      <w:tr w:rsidR="00FE461F" w:rsidRPr="005E4BEA" w14:paraId="1FBAA414"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6E7E3136" w14:textId="77777777" w:rsidR="00FE461F" w:rsidRPr="005E4BEA" w:rsidRDefault="00FE461F" w:rsidP="00FE461F">
            <w:pPr>
              <w:spacing w:line="240" w:lineRule="auto"/>
              <w:rPr>
                <w:rFonts w:cs="Arial"/>
                <w:szCs w:val="20"/>
              </w:rPr>
            </w:pPr>
            <w:r w:rsidRPr="005E4BEA">
              <w:rPr>
                <w:rFonts w:cs="Arial"/>
                <w:szCs w:val="20"/>
              </w:rPr>
              <w:t>Univerzitetna klinika za pljučne bolezni in alergijo Golnik</w:t>
            </w:r>
          </w:p>
        </w:tc>
        <w:tc>
          <w:tcPr>
            <w:tcW w:w="1022" w:type="dxa"/>
            <w:tcBorders>
              <w:top w:val="nil"/>
              <w:left w:val="nil"/>
              <w:bottom w:val="single" w:sz="4" w:space="0" w:color="auto"/>
              <w:right w:val="single" w:sz="4" w:space="0" w:color="auto"/>
            </w:tcBorders>
            <w:noWrap/>
            <w:vAlign w:val="bottom"/>
            <w:hideMark/>
          </w:tcPr>
          <w:p w14:paraId="7A32DC80"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C420C52" w14:textId="77777777" w:rsidR="00FE461F" w:rsidRPr="005E4BEA" w:rsidRDefault="00FE461F" w:rsidP="00FE461F">
            <w:pPr>
              <w:spacing w:line="240" w:lineRule="auto"/>
              <w:jc w:val="right"/>
              <w:rPr>
                <w:rFonts w:cs="Arial"/>
                <w:szCs w:val="20"/>
              </w:rPr>
            </w:pPr>
            <w:r w:rsidRPr="005E4BEA">
              <w:rPr>
                <w:rFonts w:cs="Arial"/>
                <w:szCs w:val="20"/>
              </w:rPr>
              <w:t>128</w:t>
            </w:r>
          </w:p>
        </w:tc>
        <w:tc>
          <w:tcPr>
            <w:tcW w:w="2011" w:type="dxa"/>
            <w:tcBorders>
              <w:top w:val="nil"/>
              <w:left w:val="nil"/>
              <w:bottom w:val="single" w:sz="4" w:space="0" w:color="auto"/>
              <w:right w:val="single" w:sz="4" w:space="0" w:color="auto"/>
            </w:tcBorders>
            <w:noWrap/>
            <w:vAlign w:val="bottom"/>
            <w:hideMark/>
          </w:tcPr>
          <w:p w14:paraId="5CDF55F7" w14:textId="77777777" w:rsidR="00FE461F" w:rsidRPr="005E4BEA" w:rsidRDefault="00FE461F" w:rsidP="00FE461F">
            <w:pPr>
              <w:spacing w:line="240" w:lineRule="auto"/>
              <w:jc w:val="right"/>
              <w:rPr>
                <w:rFonts w:cs="Arial"/>
                <w:szCs w:val="20"/>
              </w:rPr>
            </w:pPr>
            <w:r w:rsidRPr="005E4BEA">
              <w:rPr>
                <w:rFonts w:cs="Arial"/>
                <w:szCs w:val="20"/>
              </w:rPr>
              <w:t>452</w:t>
            </w:r>
          </w:p>
        </w:tc>
        <w:tc>
          <w:tcPr>
            <w:tcW w:w="1584" w:type="dxa"/>
            <w:tcBorders>
              <w:top w:val="nil"/>
              <w:left w:val="nil"/>
              <w:bottom w:val="single" w:sz="4" w:space="0" w:color="auto"/>
              <w:right w:val="single" w:sz="4" w:space="0" w:color="auto"/>
            </w:tcBorders>
            <w:noWrap/>
            <w:vAlign w:val="bottom"/>
            <w:hideMark/>
          </w:tcPr>
          <w:p w14:paraId="7EF1DD10" w14:textId="77777777" w:rsidR="00FE461F" w:rsidRPr="005E4BEA" w:rsidRDefault="00FE461F" w:rsidP="00FE461F">
            <w:pPr>
              <w:spacing w:line="240" w:lineRule="auto"/>
              <w:jc w:val="right"/>
              <w:rPr>
                <w:rFonts w:cs="Arial"/>
                <w:szCs w:val="20"/>
              </w:rPr>
            </w:pPr>
            <w:r w:rsidRPr="005E4BEA">
              <w:rPr>
                <w:rFonts w:cs="Arial"/>
                <w:szCs w:val="20"/>
              </w:rPr>
              <w:t>28,3</w:t>
            </w:r>
          </w:p>
        </w:tc>
      </w:tr>
      <w:tr w:rsidR="00FE461F" w:rsidRPr="005E4BEA" w14:paraId="26E60BFE" w14:textId="77777777" w:rsidTr="0016774B">
        <w:trPr>
          <w:trHeight w:val="189"/>
        </w:trPr>
        <w:tc>
          <w:tcPr>
            <w:tcW w:w="3795" w:type="dxa"/>
            <w:tcBorders>
              <w:top w:val="nil"/>
              <w:left w:val="single" w:sz="4" w:space="0" w:color="auto"/>
              <w:bottom w:val="nil"/>
              <w:right w:val="single" w:sz="4" w:space="0" w:color="auto"/>
            </w:tcBorders>
            <w:hideMark/>
          </w:tcPr>
          <w:p w14:paraId="56355115" w14:textId="77777777" w:rsidR="00FE461F" w:rsidRPr="005E4BEA" w:rsidRDefault="00FE461F" w:rsidP="00FE461F">
            <w:pPr>
              <w:spacing w:line="240" w:lineRule="auto"/>
              <w:rPr>
                <w:rFonts w:cs="Arial"/>
                <w:szCs w:val="20"/>
              </w:rPr>
            </w:pPr>
            <w:r w:rsidRPr="005E4BEA">
              <w:rPr>
                <w:rFonts w:cs="Arial"/>
                <w:szCs w:val="20"/>
              </w:rPr>
              <w:t>Univerzitetna psihiatrična klinika Ljubljana</w:t>
            </w:r>
          </w:p>
        </w:tc>
        <w:tc>
          <w:tcPr>
            <w:tcW w:w="1022" w:type="dxa"/>
            <w:tcBorders>
              <w:top w:val="nil"/>
              <w:left w:val="nil"/>
              <w:bottom w:val="nil"/>
              <w:right w:val="single" w:sz="4" w:space="0" w:color="auto"/>
            </w:tcBorders>
            <w:noWrap/>
            <w:vAlign w:val="bottom"/>
            <w:hideMark/>
          </w:tcPr>
          <w:p w14:paraId="567466D9"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4A9A72F7" w14:textId="77777777" w:rsidR="00FE461F" w:rsidRPr="005E4BEA" w:rsidRDefault="00FE461F" w:rsidP="00FE461F">
            <w:pPr>
              <w:spacing w:line="240" w:lineRule="auto"/>
              <w:jc w:val="right"/>
              <w:rPr>
                <w:rFonts w:cs="Arial"/>
                <w:szCs w:val="20"/>
              </w:rPr>
            </w:pPr>
            <w:r w:rsidRPr="005E4BEA">
              <w:rPr>
                <w:rFonts w:cs="Arial"/>
                <w:szCs w:val="20"/>
              </w:rPr>
              <w:t>127</w:t>
            </w:r>
          </w:p>
        </w:tc>
        <w:tc>
          <w:tcPr>
            <w:tcW w:w="2011" w:type="dxa"/>
            <w:tcBorders>
              <w:top w:val="nil"/>
              <w:left w:val="nil"/>
              <w:bottom w:val="nil"/>
              <w:right w:val="single" w:sz="4" w:space="0" w:color="auto"/>
            </w:tcBorders>
            <w:noWrap/>
            <w:vAlign w:val="bottom"/>
            <w:hideMark/>
          </w:tcPr>
          <w:p w14:paraId="2239494C" w14:textId="77777777" w:rsidR="00FE461F" w:rsidRPr="005E4BEA" w:rsidRDefault="00FE461F" w:rsidP="00FE461F">
            <w:pPr>
              <w:spacing w:line="240" w:lineRule="auto"/>
              <w:jc w:val="right"/>
              <w:rPr>
                <w:rFonts w:cs="Arial"/>
                <w:szCs w:val="20"/>
              </w:rPr>
            </w:pPr>
            <w:r w:rsidRPr="005E4BEA">
              <w:rPr>
                <w:rFonts w:cs="Arial"/>
                <w:szCs w:val="20"/>
              </w:rPr>
              <w:t>503</w:t>
            </w:r>
          </w:p>
        </w:tc>
        <w:tc>
          <w:tcPr>
            <w:tcW w:w="1584" w:type="dxa"/>
            <w:tcBorders>
              <w:top w:val="nil"/>
              <w:left w:val="nil"/>
              <w:bottom w:val="nil"/>
              <w:right w:val="single" w:sz="4" w:space="0" w:color="auto"/>
            </w:tcBorders>
            <w:noWrap/>
            <w:vAlign w:val="bottom"/>
            <w:hideMark/>
          </w:tcPr>
          <w:p w14:paraId="0ABD9ABD" w14:textId="77777777" w:rsidR="00FE461F" w:rsidRPr="005E4BEA" w:rsidRDefault="00FE461F" w:rsidP="00FE461F">
            <w:pPr>
              <w:spacing w:line="240" w:lineRule="auto"/>
              <w:jc w:val="right"/>
              <w:rPr>
                <w:rFonts w:cs="Arial"/>
                <w:szCs w:val="20"/>
              </w:rPr>
            </w:pPr>
            <w:r w:rsidRPr="005E4BEA">
              <w:rPr>
                <w:rFonts w:cs="Arial"/>
                <w:szCs w:val="20"/>
              </w:rPr>
              <w:t>25,2</w:t>
            </w:r>
          </w:p>
        </w:tc>
      </w:tr>
      <w:tr w:rsidR="00FE461F" w:rsidRPr="005E4BEA" w14:paraId="088E9C99" w14:textId="77777777" w:rsidTr="0016774B">
        <w:trPr>
          <w:trHeight w:val="189"/>
        </w:trPr>
        <w:tc>
          <w:tcPr>
            <w:tcW w:w="3795" w:type="dxa"/>
            <w:tcBorders>
              <w:top w:val="nil"/>
              <w:left w:val="single" w:sz="4" w:space="0" w:color="auto"/>
              <w:bottom w:val="nil"/>
              <w:right w:val="single" w:sz="4" w:space="0" w:color="auto"/>
            </w:tcBorders>
            <w:hideMark/>
          </w:tcPr>
          <w:p w14:paraId="6266E61D" w14:textId="77777777" w:rsidR="00FE461F" w:rsidRPr="005E4BEA" w:rsidRDefault="00FE461F" w:rsidP="00FE461F">
            <w:pPr>
              <w:spacing w:line="240" w:lineRule="auto"/>
              <w:rPr>
                <w:rFonts w:cs="Arial"/>
                <w:szCs w:val="20"/>
              </w:rPr>
            </w:pPr>
            <w:r w:rsidRPr="005E4BEA">
              <w:rPr>
                <w:rFonts w:cs="Arial"/>
                <w:szCs w:val="20"/>
              </w:rPr>
              <w:t>Univerzitetna psihiatrična klinika Ljubljana</w:t>
            </w:r>
          </w:p>
        </w:tc>
        <w:tc>
          <w:tcPr>
            <w:tcW w:w="1022" w:type="dxa"/>
            <w:tcBorders>
              <w:top w:val="nil"/>
              <w:left w:val="nil"/>
              <w:bottom w:val="nil"/>
              <w:right w:val="single" w:sz="4" w:space="0" w:color="auto"/>
            </w:tcBorders>
            <w:noWrap/>
            <w:vAlign w:val="bottom"/>
            <w:hideMark/>
          </w:tcPr>
          <w:p w14:paraId="2096D462"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555E7204" w14:textId="77777777" w:rsidR="00FE461F" w:rsidRPr="005E4BEA" w:rsidRDefault="00FE461F" w:rsidP="00FE461F">
            <w:pPr>
              <w:spacing w:line="240" w:lineRule="auto"/>
              <w:jc w:val="right"/>
              <w:rPr>
                <w:rFonts w:cs="Arial"/>
                <w:szCs w:val="20"/>
              </w:rPr>
            </w:pPr>
            <w:r w:rsidRPr="005E4BEA">
              <w:rPr>
                <w:rFonts w:cs="Arial"/>
                <w:szCs w:val="20"/>
              </w:rPr>
              <w:t>133</w:t>
            </w:r>
          </w:p>
        </w:tc>
        <w:tc>
          <w:tcPr>
            <w:tcW w:w="2011" w:type="dxa"/>
            <w:tcBorders>
              <w:top w:val="nil"/>
              <w:left w:val="nil"/>
              <w:bottom w:val="nil"/>
              <w:right w:val="single" w:sz="4" w:space="0" w:color="auto"/>
            </w:tcBorders>
            <w:noWrap/>
            <w:vAlign w:val="bottom"/>
            <w:hideMark/>
          </w:tcPr>
          <w:p w14:paraId="2348E90F" w14:textId="77777777" w:rsidR="00FE461F" w:rsidRPr="005E4BEA" w:rsidRDefault="00FE461F" w:rsidP="00FE461F">
            <w:pPr>
              <w:spacing w:line="240" w:lineRule="auto"/>
              <w:jc w:val="right"/>
              <w:rPr>
                <w:rFonts w:cs="Arial"/>
                <w:szCs w:val="20"/>
              </w:rPr>
            </w:pPr>
            <w:r w:rsidRPr="005E4BEA">
              <w:rPr>
                <w:rFonts w:cs="Arial"/>
                <w:szCs w:val="20"/>
              </w:rPr>
              <w:t>512</w:t>
            </w:r>
          </w:p>
        </w:tc>
        <w:tc>
          <w:tcPr>
            <w:tcW w:w="1584" w:type="dxa"/>
            <w:tcBorders>
              <w:top w:val="nil"/>
              <w:left w:val="nil"/>
              <w:bottom w:val="nil"/>
              <w:right w:val="single" w:sz="4" w:space="0" w:color="auto"/>
            </w:tcBorders>
            <w:noWrap/>
            <w:vAlign w:val="bottom"/>
            <w:hideMark/>
          </w:tcPr>
          <w:p w14:paraId="3F21A39D" w14:textId="77777777" w:rsidR="00FE461F" w:rsidRPr="005E4BEA" w:rsidRDefault="00FE461F" w:rsidP="00FE461F">
            <w:pPr>
              <w:spacing w:line="240" w:lineRule="auto"/>
              <w:jc w:val="right"/>
              <w:rPr>
                <w:rFonts w:cs="Arial"/>
                <w:szCs w:val="20"/>
              </w:rPr>
            </w:pPr>
            <w:r w:rsidRPr="005E4BEA">
              <w:rPr>
                <w:rFonts w:cs="Arial"/>
                <w:szCs w:val="20"/>
              </w:rPr>
              <w:t>26,0</w:t>
            </w:r>
          </w:p>
        </w:tc>
      </w:tr>
      <w:tr w:rsidR="00FE461F" w:rsidRPr="005E4BEA" w14:paraId="0EA126DB" w14:textId="77777777" w:rsidTr="0016774B">
        <w:trPr>
          <w:trHeight w:val="189"/>
        </w:trPr>
        <w:tc>
          <w:tcPr>
            <w:tcW w:w="3795" w:type="dxa"/>
            <w:tcBorders>
              <w:top w:val="nil"/>
              <w:left w:val="single" w:sz="4" w:space="0" w:color="auto"/>
              <w:bottom w:val="nil"/>
              <w:right w:val="single" w:sz="4" w:space="0" w:color="auto"/>
            </w:tcBorders>
            <w:hideMark/>
          </w:tcPr>
          <w:p w14:paraId="621A55E6" w14:textId="77777777" w:rsidR="00FE461F" w:rsidRPr="005E4BEA" w:rsidRDefault="00FE461F" w:rsidP="00FE461F">
            <w:pPr>
              <w:spacing w:line="240" w:lineRule="auto"/>
              <w:rPr>
                <w:rFonts w:cs="Arial"/>
                <w:szCs w:val="20"/>
              </w:rPr>
            </w:pPr>
            <w:r w:rsidRPr="005E4BEA">
              <w:rPr>
                <w:rFonts w:cs="Arial"/>
                <w:szCs w:val="20"/>
              </w:rPr>
              <w:t>Univerzitetna psihiatrična klinika Ljubljana</w:t>
            </w:r>
          </w:p>
        </w:tc>
        <w:tc>
          <w:tcPr>
            <w:tcW w:w="1022" w:type="dxa"/>
            <w:tcBorders>
              <w:top w:val="nil"/>
              <w:left w:val="nil"/>
              <w:bottom w:val="nil"/>
              <w:right w:val="single" w:sz="4" w:space="0" w:color="auto"/>
            </w:tcBorders>
            <w:noWrap/>
            <w:vAlign w:val="bottom"/>
            <w:hideMark/>
          </w:tcPr>
          <w:p w14:paraId="275E3ADD"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6504EFBF" w14:textId="77777777" w:rsidR="00FE461F" w:rsidRPr="005E4BEA" w:rsidRDefault="00FE461F" w:rsidP="00FE461F">
            <w:pPr>
              <w:spacing w:line="240" w:lineRule="auto"/>
              <w:jc w:val="right"/>
              <w:rPr>
                <w:rFonts w:cs="Arial"/>
                <w:szCs w:val="20"/>
              </w:rPr>
            </w:pPr>
            <w:r w:rsidRPr="005E4BEA">
              <w:rPr>
                <w:rFonts w:cs="Arial"/>
                <w:szCs w:val="20"/>
              </w:rPr>
              <w:t>127</w:t>
            </w:r>
          </w:p>
        </w:tc>
        <w:tc>
          <w:tcPr>
            <w:tcW w:w="2011" w:type="dxa"/>
            <w:tcBorders>
              <w:top w:val="nil"/>
              <w:left w:val="nil"/>
              <w:bottom w:val="nil"/>
              <w:right w:val="single" w:sz="4" w:space="0" w:color="auto"/>
            </w:tcBorders>
            <w:noWrap/>
            <w:vAlign w:val="bottom"/>
            <w:hideMark/>
          </w:tcPr>
          <w:p w14:paraId="096E6CD3" w14:textId="77777777" w:rsidR="00FE461F" w:rsidRPr="005E4BEA" w:rsidRDefault="00FE461F" w:rsidP="00FE461F">
            <w:pPr>
              <w:spacing w:line="240" w:lineRule="auto"/>
              <w:jc w:val="right"/>
              <w:rPr>
                <w:rFonts w:cs="Arial"/>
                <w:szCs w:val="20"/>
              </w:rPr>
            </w:pPr>
            <w:r w:rsidRPr="005E4BEA">
              <w:rPr>
                <w:rFonts w:cs="Arial"/>
                <w:szCs w:val="20"/>
              </w:rPr>
              <w:t>523</w:t>
            </w:r>
          </w:p>
        </w:tc>
        <w:tc>
          <w:tcPr>
            <w:tcW w:w="1584" w:type="dxa"/>
            <w:tcBorders>
              <w:top w:val="nil"/>
              <w:left w:val="nil"/>
              <w:bottom w:val="nil"/>
              <w:right w:val="single" w:sz="4" w:space="0" w:color="auto"/>
            </w:tcBorders>
            <w:noWrap/>
            <w:vAlign w:val="bottom"/>
            <w:hideMark/>
          </w:tcPr>
          <w:p w14:paraId="6C51867C" w14:textId="77777777" w:rsidR="00FE461F" w:rsidRPr="005E4BEA" w:rsidRDefault="00FE461F" w:rsidP="00FE461F">
            <w:pPr>
              <w:spacing w:line="240" w:lineRule="auto"/>
              <w:jc w:val="right"/>
              <w:rPr>
                <w:rFonts w:cs="Arial"/>
                <w:szCs w:val="20"/>
              </w:rPr>
            </w:pPr>
            <w:r w:rsidRPr="005E4BEA">
              <w:rPr>
                <w:rFonts w:cs="Arial"/>
                <w:szCs w:val="20"/>
              </w:rPr>
              <w:t>24,3</w:t>
            </w:r>
          </w:p>
        </w:tc>
      </w:tr>
      <w:tr w:rsidR="00FE461F" w:rsidRPr="005E4BEA" w14:paraId="58BE1EF5" w14:textId="77777777" w:rsidTr="0016774B">
        <w:trPr>
          <w:trHeight w:val="189"/>
        </w:trPr>
        <w:tc>
          <w:tcPr>
            <w:tcW w:w="3795" w:type="dxa"/>
            <w:tcBorders>
              <w:top w:val="nil"/>
              <w:left w:val="single" w:sz="4" w:space="0" w:color="auto"/>
              <w:bottom w:val="nil"/>
              <w:right w:val="single" w:sz="4" w:space="0" w:color="auto"/>
            </w:tcBorders>
            <w:hideMark/>
          </w:tcPr>
          <w:p w14:paraId="575C50EF" w14:textId="77777777" w:rsidR="00FE461F" w:rsidRPr="005E4BEA" w:rsidRDefault="00FE461F" w:rsidP="00FE461F">
            <w:pPr>
              <w:spacing w:line="240" w:lineRule="auto"/>
              <w:rPr>
                <w:rFonts w:cs="Arial"/>
                <w:szCs w:val="20"/>
              </w:rPr>
            </w:pPr>
            <w:r w:rsidRPr="005E4BEA">
              <w:rPr>
                <w:rFonts w:cs="Arial"/>
                <w:szCs w:val="20"/>
              </w:rPr>
              <w:t>Univerzitetna psihiatrična klinika Ljubljana</w:t>
            </w:r>
          </w:p>
        </w:tc>
        <w:tc>
          <w:tcPr>
            <w:tcW w:w="1022" w:type="dxa"/>
            <w:tcBorders>
              <w:top w:val="nil"/>
              <w:left w:val="nil"/>
              <w:bottom w:val="nil"/>
              <w:right w:val="single" w:sz="4" w:space="0" w:color="auto"/>
            </w:tcBorders>
            <w:noWrap/>
            <w:vAlign w:val="bottom"/>
            <w:hideMark/>
          </w:tcPr>
          <w:p w14:paraId="0B99D591"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27A2CF01" w14:textId="77777777" w:rsidR="00FE461F" w:rsidRPr="005E4BEA" w:rsidRDefault="00FE461F" w:rsidP="00FE461F">
            <w:pPr>
              <w:spacing w:line="240" w:lineRule="auto"/>
              <w:jc w:val="right"/>
              <w:rPr>
                <w:rFonts w:cs="Arial"/>
                <w:szCs w:val="20"/>
              </w:rPr>
            </w:pPr>
            <w:r w:rsidRPr="005E4BEA">
              <w:rPr>
                <w:rFonts w:cs="Arial"/>
                <w:szCs w:val="20"/>
              </w:rPr>
              <w:t>126</w:t>
            </w:r>
          </w:p>
        </w:tc>
        <w:tc>
          <w:tcPr>
            <w:tcW w:w="2011" w:type="dxa"/>
            <w:tcBorders>
              <w:top w:val="nil"/>
              <w:left w:val="nil"/>
              <w:bottom w:val="nil"/>
              <w:right w:val="single" w:sz="4" w:space="0" w:color="auto"/>
            </w:tcBorders>
            <w:noWrap/>
            <w:vAlign w:val="bottom"/>
            <w:hideMark/>
          </w:tcPr>
          <w:p w14:paraId="2BEC1D1A" w14:textId="77777777" w:rsidR="00FE461F" w:rsidRPr="005E4BEA" w:rsidRDefault="00FE461F" w:rsidP="00FE461F">
            <w:pPr>
              <w:spacing w:line="240" w:lineRule="auto"/>
              <w:jc w:val="right"/>
              <w:rPr>
                <w:rFonts w:cs="Arial"/>
                <w:szCs w:val="20"/>
              </w:rPr>
            </w:pPr>
            <w:r w:rsidRPr="005E4BEA">
              <w:rPr>
                <w:rFonts w:cs="Arial"/>
                <w:szCs w:val="20"/>
              </w:rPr>
              <w:t>516</w:t>
            </w:r>
          </w:p>
        </w:tc>
        <w:tc>
          <w:tcPr>
            <w:tcW w:w="1584" w:type="dxa"/>
            <w:tcBorders>
              <w:top w:val="nil"/>
              <w:left w:val="nil"/>
              <w:bottom w:val="nil"/>
              <w:right w:val="single" w:sz="4" w:space="0" w:color="auto"/>
            </w:tcBorders>
            <w:noWrap/>
            <w:vAlign w:val="bottom"/>
            <w:hideMark/>
          </w:tcPr>
          <w:p w14:paraId="1C2529B7" w14:textId="77777777" w:rsidR="00FE461F" w:rsidRPr="005E4BEA" w:rsidRDefault="00FE461F" w:rsidP="00FE461F">
            <w:pPr>
              <w:spacing w:line="240" w:lineRule="auto"/>
              <w:jc w:val="right"/>
              <w:rPr>
                <w:rFonts w:cs="Arial"/>
                <w:szCs w:val="20"/>
              </w:rPr>
            </w:pPr>
            <w:r w:rsidRPr="005E4BEA">
              <w:rPr>
                <w:rFonts w:cs="Arial"/>
                <w:szCs w:val="20"/>
              </w:rPr>
              <w:t>24,4</w:t>
            </w:r>
          </w:p>
        </w:tc>
      </w:tr>
      <w:tr w:rsidR="00FE461F" w:rsidRPr="005E4BEA" w14:paraId="5ED209C4" w14:textId="77777777" w:rsidTr="0016774B">
        <w:trPr>
          <w:trHeight w:val="189"/>
        </w:trPr>
        <w:tc>
          <w:tcPr>
            <w:tcW w:w="3795" w:type="dxa"/>
            <w:tcBorders>
              <w:top w:val="nil"/>
              <w:left w:val="single" w:sz="4" w:space="0" w:color="auto"/>
              <w:bottom w:val="nil"/>
              <w:right w:val="single" w:sz="4" w:space="0" w:color="auto"/>
            </w:tcBorders>
            <w:hideMark/>
          </w:tcPr>
          <w:p w14:paraId="10B66FCE" w14:textId="77777777" w:rsidR="00FE461F" w:rsidRPr="005E4BEA" w:rsidRDefault="00FE461F" w:rsidP="00FE461F">
            <w:pPr>
              <w:spacing w:line="240" w:lineRule="auto"/>
              <w:rPr>
                <w:rFonts w:cs="Arial"/>
                <w:szCs w:val="20"/>
              </w:rPr>
            </w:pPr>
            <w:r w:rsidRPr="005E4BEA">
              <w:rPr>
                <w:rFonts w:cs="Arial"/>
                <w:szCs w:val="20"/>
              </w:rPr>
              <w:t>Univerzitetna psihiatrična klinika Ljubljana</w:t>
            </w:r>
          </w:p>
        </w:tc>
        <w:tc>
          <w:tcPr>
            <w:tcW w:w="1022" w:type="dxa"/>
            <w:tcBorders>
              <w:top w:val="nil"/>
              <w:left w:val="nil"/>
              <w:bottom w:val="nil"/>
              <w:right w:val="single" w:sz="4" w:space="0" w:color="auto"/>
            </w:tcBorders>
            <w:noWrap/>
            <w:vAlign w:val="bottom"/>
            <w:hideMark/>
          </w:tcPr>
          <w:p w14:paraId="41EBDA4C"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102272C0" w14:textId="77777777" w:rsidR="00FE461F" w:rsidRPr="005E4BEA" w:rsidRDefault="00FE461F" w:rsidP="00FE461F">
            <w:pPr>
              <w:spacing w:line="240" w:lineRule="auto"/>
              <w:jc w:val="right"/>
              <w:rPr>
                <w:rFonts w:cs="Arial"/>
                <w:szCs w:val="20"/>
              </w:rPr>
            </w:pPr>
            <w:r w:rsidRPr="005E4BEA">
              <w:rPr>
                <w:rFonts w:cs="Arial"/>
                <w:szCs w:val="20"/>
              </w:rPr>
              <w:t>125</w:t>
            </w:r>
          </w:p>
        </w:tc>
        <w:tc>
          <w:tcPr>
            <w:tcW w:w="2011" w:type="dxa"/>
            <w:tcBorders>
              <w:top w:val="nil"/>
              <w:left w:val="nil"/>
              <w:bottom w:val="nil"/>
              <w:right w:val="single" w:sz="4" w:space="0" w:color="auto"/>
            </w:tcBorders>
            <w:noWrap/>
            <w:vAlign w:val="bottom"/>
            <w:hideMark/>
          </w:tcPr>
          <w:p w14:paraId="1498DAC3" w14:textId="77777777" w:rsidR="00FE461F" w:rsidRPr="005E4BEA" w:rsidRDefault="00FE461F" w:rsidP="00FE461F">
            <w:pPr>
              <w:spacing w:line="240" w:lineRule="auto"/>
              <w:jc w:val="right"/>
              <w:rPr>
                <w:rFonts w:cs="Arial"/>
                <w:szCs w:val="20"/>
              </w:rPr>
            </w:pPr>
            <w:r w:rsidRPr="005E4BEA">
              <w:rPr>
                <w:rFonts w:cs="Arial"/>
                <w:szCs w:val="20"/>
              </w:rPr>
              <w:t>534</w:t>
            </w:r>
          </w:p>
        </w:tc>
        <w:tc>
          <w:tcPr>
            <w:tcW w:w="1584" w:type="dxa"/>
            <w:tcBorders>
              <w:top w:val="nil"/>
              <w:left w:val="nil"/>
              <w:bottom w:val="nil"/>
              <w:right w:val="single" w:sz="4" w:space="0" w:color="auto"/>
            </w:tcBorders>
            <w:noWrap/>
            <w:vAlign w:val="bottom"/>
            <w:hideMark/>
          </w:tcPr>
          <w:p w14:paraId="470D285B" w14:textId="77777777" w:rsidR="00FE461F" w:rsidRPr="005E4BEA" w:rsidRDefault="00FE461F" w:rsidP="00FE461F">
            <w:pPr>
              <w:spacing w:line="240" w:lineRule="auto"/>
              <w:jc w:val="right"/>
              <w:rPr>
                <w:rFonts w:cs="Arial"/>
                <w:szCs w:val="20"/>
              </w:rPr>
            </w:pPr>
            <w:r w:rsidRPr="005E4BEA">
              <w:rPr>
                <w:rFonts w:cs="Arial"/>
                <w:szCs w:val="20"/>
              </w:rPr>
              <w:t>23,4</w:t>
            </w:r>
          </w:p>
        </w:tc>
      </w:tr>
      <w:tr w:rsidR="00FE461F" w:rsidRPr="005E4BEA" w14:paraId="145C7683"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3ACD94D2" w14:textId="77777777" w:rsidR="00FE461F" w:rsidRPr="005E4BEA" w:rsidRDefault="00FE461F" w:rsidP="00FE461F">
            <w:pPr>
              <w:spacing w:line="240" w:lineRule="auto"/>
              <w:rPr>
                <w:rFonts w:cs="Arial"/>
                <w:szCs w:val="20"/>
              </w:rPr>
            </w:pPr>
            <w:r w:rsidRPr="005E4BEA">
              <w:rPr>
                <w:rFonts w:cs="Arial"/>
                <w:szCs w:val="20"/>
              </w:rPr>
              <w:t>Univerzitetna psihiatrična klinika Ljubljana</w:t>
            </w:r>
          </w:p>
        </w:tc>
        <w:tc>
          <w:tcPr>
            <w:tcW w:w="1022" w:type="dxa"/>
            <w:tcBorders>
              <w:top w:val="nil"/>
              <w:left w:val="nil"/>
              <w:bottom w:val="single" w:sz="4" w:space="0" w:color="auto"/>
              <w:right w:val="single" w:sz="4" w:space="0" w:color="auto"/>
            </w:tcBorders>
            <w:noWrap/>
            <w:vAlign w:val="bottom"/>
            <w:hideMark/>
          </w:tcPr>
          <w:p w14:paraId="7BD31659"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6C0D6145" w14:textId="77777777" w:rsidR="00FE461F" w:rsidRPr="005E4BEA" w:rsidRDefault="00FE461F" w:rsidP="00FE461F">
            <w:pPr>
              <w:spacing w:line="240" w:lineRule="auto"/>
              <w:jc w:val="right"/>
              <w:rPr>
                <w:rFonts w:cs="Arial"/>
                <w:szCs w:val="20"/>
              </w:rPr>
            </w:pPr>
            <w:r w:rsidRPr="005E4BEA">
              <w:rPr>
                <w:rFonts w:cs="Arial"/>
                <w:szCs w:val="20"/>
              </w:rPr>
              <w:t>131</w:t>
            </w:r>
          </w:p>
        </w:tc>
        <w:tc>
          <w:tcPr>
            <w:tcW w:w="2011" w:type="dxa"/>
            <w:tcBorders>
              <w:top w:val="nil"/>
              <w:left w:val="nil"/>
              <w:bottom w:val="single" w:sz="4" w:space="0" w:color="auto"/>
              <w:right w:val="single" w:sz="4" w:space="0" w:color="auto"/>
            </w:tcBorders>
            <w:noWrap/>
            <w:vAlign w:val="bottom"/>
            <w:hideMark/>
          </w:tcPr>
          <w:p w14:paraId="58598788" w14:textId="77777777" w:rsidR="00FE461F" w:rsidRPr="005E4BEA" w:rsidRDefault="00FE461F" w:rsidP="00FE461F">
            <w:pPr>
              <w:spacing w:line="240" w:lineRule="auto"/>
              <w:jc w:val="right"/>
              <w:rPr>
                <w:rFonts w:cs="Arial"/>
                <w:szCs w:val="20"/>
              </w:rPr>
            </w:pPr>
            <w:r w:rsidRPr="005E4BEA">
              <w:rPr>
                <w:rFonts w:cs="Arial"/>
                <w:szCs w:val="20"/>
              </w:rPr>
              <w:t>546</w:t>
            </w:r>
          </w:p>
        </w:tc>
        <w:tc>
          <w:tcPr>
            <w:tcW w:w="1584" w:type="dxa"/>
            <w:tcBorders>
              <w:top w:val="nil"/>
              <w:left w:val="nil"/>
              <w:bottom w:val="single" w:sz="4" w:space="0" w:color="auto"/>
              <w:right w:val="single" w:sz="4" w:space="0" w:color="auto"/>
            </w:tcBorders>
            <w:noWrap/>
            <w:vAlign w:val="bottom"/>
            <w:hideMark/>
          </w:tcPr>
          <w:p w14:paraId="7DB142CC" w14:textId="77777777" w:rsidR="00FE461F" w:rsidRPr="005E4BEA" w:rsidRDefault="00FE461F" w:rsidP="00FE461F">
            <w:pPr>
              <w:spacing w:line="240" w:lineRule="auto"/>
              <w:jc w:val="right"/>
              <w:rPr>
                <w:rFonts w:cs="Arial"/>
                <w:szCs w:val="20"/>
              </w:rPr>
            </w:pPr>
            <w:r w:rsidRPr="005E4BEA">
              <w:rPr>
                <w:rFonts w:cs="Arial"/>
                <w:szCs w:val="20"/>
              </w:rPr>
              <w:t>24,0</w:t>
            </w:r>
          </w:p>
        </w:tc>
      </w:tr>
      <w:tr w:rsidR="00FE461F" w:rsidRPr="005E4BEA" w14:paraId="17D74F1D" w14:textId="77777777" w:rsidTr="0016774B">
        <w:trPr>
          <w:trHeight w:val="189"/>
        </w:trPr>
        <w:tc>
          <w:tcPr>
            <w:tcW w:w="3795" w:type="dxa"/>
            <w:tcBorders>
              <w:top w:val="nil"/>
              <w:left w:val="single" w:sz="4" w:space="0" w:color="auto"/>
              <w:bottom w:val="nil"/>
              <w:right w:val="single" w:sz="4" w:space="0" w:color="auto"/>
            </w:tcBorders>
            <w:hideMark/>
          </w:tcPr>
          <w:p w14:paraId="3A3B305E" w14:textId="77777777" w:rsidR="00FE461F" w:rsidRPr="005E4BEA" w:rsidRDefault="00FE461F" w:rsidP="00FE461F">
            <w:pPr>
              <w:spacing w:line="240" w:lineRule="auto"/>
              <w:rPr>
                <w:rFonts w:cs="Arial"/>
                <w:szCs w:val="20"/>
              </w:rPr>
            </w:pPr>
            <w:r w:rsidRPr="005E4BEA">
              <w:rPr>
                <w:rFonts w:cs="Arial"/>
                <w:szCs w:val="20"/>
              </w:rPr>
              <w:t>Univerzitetni klinični center Ljubljana</w:t>
            </w:r>
          </w:p>
        </w:tc>
        <w:tc>
          <w:tcPr>
            <w:tcW w:w="1022" w:type="dxa"/>
            <w:tcBorders>
              <w:top w:val="nil"/>
              <w:left w:val="nil"/>
              <w:bottom w:val="nil"/>
              <w:right w:val="single" w:sz="4" w:space="0" w:color="auto"/>
            </w:tcBorders>
            <w:noWrap/>
            <w:vAlign w:val="bottom"/>
            <w:hideMark/>
          </w:tcPr>
          <w:p w14:paraId="0BBB6982"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2FCB4E29" w14:textId="77777777" w:rsidR="00FE461F" w:rsidRPr="005E4BEA" w:rsidRDefault="00FE461F" w:rsidP="00FE461F">
            <w:pPr>
              <w:spacing w:line="240" w:lineRule="auto"/>
              <w:jc w:val="right"/>
              <w:rPr>
                <w:rFonts w:cs="Arial"/>
                <w:szCs w:val="20"/>
              </w:rPr>
            </w:pPr>
            <w:r w:rsidRPr="005E4BEA">
              <w:rPr>
                <w:rFonts w:cs="Arial"/>
                <w:szCs w:val="20"/>
              </w:rPr>
              <w:t>1.808</w:t>
            </w:r>
          </w:p>
        </w:tc>
        <w:tc>
          <w:tcPr>
            <w:tcW w:w="2011" w:type="dxa"/>
            <w:tcBorders>
              <w:top w:val="nil"/>
              <w:left w:val="nil"/>
              <w:bottom w:val="nil"/>
              <w:right w:val="single" w:sz="4" w:space="0" w:color="auto"/>
            </w:tcBorders>
            <w:noWrap/>
            <w:vAlign w:val="bottom"/>
            <w:hideMark/>
          </w:tcPr>
          <w:p w14:paraId="25823BA2" w14:textId="77777777" w:rsidR="00FE461F" w:rsidRPr="005E4BEA" w:rsidRDefault="00FE461F" w:rsidP="00FE461F">
            <w:pPr>
              <w:spacing w:line="240" w:lineRule="auto"/>
              <w:jc w:val="right"/>
              <w:rPr>
                <w:rFonts w:cs="Arial"/>
                <w:szCs w:val="20"/>
              </w:rPr>
            </w:pPr>
            <w:r w:rsidRPr="005E4BEA">
              <w:rPr>
                <w:rFonts w:cs="Arial"/>
                <w:szCs w:val="20"/>
              </w:rPr>
              <w:t>7.100</w:t>
            </w:r>
          </w:p>
        </w:tc>
        <w:tc>
          <w:tcPr>
            <w:tcW w:w="1584" w:type="dxa"/>
            <w:tcBorders>
              <w:top w:val="nil"/>
              <w:left w:val="nil"/>
              <w:bottom w:val="nil"/>
              <w:right w:val="single" w:sz="4" w:space="0" w:color="auto"/>
            </w:tcBorders>
            <w:noWrap/>
            <w:vAlign w:val="bottom"/>
            <w:hideMark/>
          </w:tcPr>
          <w:p w14:paraId="10368D4C" w14:textId="77777777" w:rsidR="00FE461F" w:rsidRPr="005E4BEA" w:rsidRDefault="00FE461F" w:rsidP="00FE461F">
            <w:pPr>
              <w:spacing w:line="240" w:lineRule="auto"/>
              <w:jc w:val="right"/>
              <w:rPr>
                <w:rFonts w:cs="Arial"/>
                <w:szCs w:val="20"/>
              </w:rPr>
            </w:pPr>
            <w:r w:rsidRPr="005E4BEA">
              <w:rPr>
                <w:rFonts w:cs="Arial"/>
                <w:szCs w:val="20"/>
              </w:rPr>
              <w:t>25,5</w:t>
            </w:r>
          </w:p>
        </w:tc>
      </w:tr>
      <w:tr w:rsidR="00FE461F" w:rsidRPr="005E4BEA" w14:paraId="544BF876" w14:textId="77777777" w:rsidTr="0016774B">
        <w:trPr>
          <w:trHeight w:val="189"/>
        </w:trPr>
        <w:tc>
          <w:tcPr>
            <w:tcW w:w="3795" w:type="dxa"/>
            <w:tcBorders>
              <w:top w:val="nil"/>
              <w:left w:val="single" w:sz="4" w:space="0" w:color="auto"/>
              <w:bottom w:val="nil"/>
              <w:right w:val="single" w:sz="4" w:space="0" w:color="auto"/>
            </w:tcBorders>
            <w:hideMark/>
          </w:tcPr>
          <w:p w14:paraId="3A02CF59" w14:textId="77777777" w:rsidR="00FE461F" w:rsidRPr="005E4BEA" w:rsidRDefault="00FE461F" w:rsidP="00FE461F">
            <w:pPr>
              <w:spacing w:line="240" w:lineRule="auto"/>
              <w:rPr>
                <w:rFonts w:cs="Arial"/>
                <w:szCs w:val="20"/>
              </w:rPr>
            </w:pPr>
            <w:r w:rsidRPr="005E4BEA">
              <w:rPr>
                <w:rFonts w:cs="Arial"/>
                <w:szCs w:val="20"/>
              </w:rPr>
              <w:t>Univerzitetni klinični center Ljubljana</w:t>
            </w:r>
          </w:p>
        </w:tc>
        <w:tc>
          <w:tcPr>
            <w:tcW w:w="1022" w:type="dxa"/>
            <w:tcBorders>
              <w:top w:val="nil"/>
              <w:left w:val="nil"/>
              <w:bottom w:val="nil"/>
              <w:right w:val="single" w:sz="4" w:space="0" w:color="auto"/>
            </w:tcBorders>
            <w:noWrap/>
            <w:vAlign w:val="bottom"/>
            <w:hideMark/>
          </w:tcPr>
          <w:p w14:paraId="18D94B92"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6334E964" w14:textId="77777777" w:rsidR="00FE461F" w:rsidRPr="005E4BEA" w:rsidRDefault="00FE461F" w:rsidP="00FE461F">
            <w:pPr>
              <w:spacing w:line="240" w:lineRule="auto"/>
              <w:jc w:val="right"/>
              <w:rPr>
                <w:rFonts w:cs="Arial"/>
                <w:szCs w:val="20"/>
              </w:rPr>
            </w:pPr>
            <w:r w:rsidRPr="005E4BEA">
              <w:rPr>
                <w:rFonts w:cs="Arial"/>
                <w:szCs w:val="20"/>
              </w:rPr>
              <w:t>1.875</w:t>
            </w:r>
          </w:p>
        </w:tc>
        <w:tc>
          <w:tcPr>
            <w:tcW w:w="2011" w:type="dxa"/>
            <w:tcBorders>
              <w:top w:val="nil"/>
              <w:left w:val="nil"/>
              <w:bottom w:val="nil"/>
              <w:right w:val="single" w:sz="4" w:space="0" w:color="auto"/>
            </w:tcBorders>
            <w:noWrap/>
            <w:vAlign w:val="bottom"/>
            <w:hideMark/>
          </w:tcPr>
          <w:p w14:paraId="7FEA9ADC" w14:textId="77777777" w:rsidR="00FE461F" w:rsidRPr="005E4BEA" w:rsidRDefault="00FE461F" w:rsidP="00FE461F">
            <w:pPr>
              <w:spacing w:line="240" w:lineRule="auto"/>
              <w:jc w:val="right"/>
              <w:rPr>
                <w:rFonts w:cs="Arial"/>
                <w:szCs w:val="20"/>
              </w:rPr>
            </w:pPr>
            <w:r w:rsidRPr="005E4BEA">
              <w:rPr>
                <w:rFonts w:cs="Arial"/>
                <w:szCs w:val="20"/>
              </w:rPr>
              <w:t>7.294</w:t>
            </w:r>
          </w:p>
        </w:tc>
        <w:tc>
          <w:tcPr>
            <w:tcW w:w="1584" w:type="dxa"/>
            <w:tcBorders>
              <w:top w:val="nil"/>
              <w:left w:val="nil"/>
              <w:bottom w:val="nil"/>
              <w:right w:val="single" w:sz="4" w:space="0" w:color="auto"/>
            </w:tcBorders>
            <w:noWrap/>
            <w:vAlign w:val="bottom"/>
            <w:hideMark/>
          </w:tcPr>
          <w:p w14:paraId="6643DB96" w14:textId="77777777" w:rsidR="00FE461F" w:rsidRPr="005E4BEA" w:rsidRDefault="00FE461F" w:rsidP="00FE461F">
            <w:pPr>
              <w:spacing w:line="240" w:lineRule="auto"/>
              <w:jc w:val="right"/>
              <w:rPr>
                <w:rFonts w:cs="Arial"/>
                <w:szCs w:val="20"/>
              </w:rPr>
            </w:pPr>
            <w:r w:rsidRPr="005E4BEA">
              <w:rPr>
                <w:rFonts w:cs="Arial"/>
                <w:szCs w:val="20"/>
              </w:rPr>
              <w:t>25,7</w:t>
            </w:r>
          </w:p>
        </w:tc>
      </w:tr>
      <w:tr w:rsidR="00FE461F" w:rsidRPr="005E4BEA" w14:paraId="640B405F" w14:textId="77777777" w:rsidTr="0016774B">
        <w:trPr>
          <w:trHeight w:val="189"/>
        </w:trPr>
        <w:tc>
          <w:tcPr>
            <w:tcW w:w="3795" w:type="dxa"/>
            <w:tcBorders>
              <w:top w:val="nil"/>
              <w:left w:val="single" w:sz="4" w:space="0" w:color="auto"/>
              <w:bottom w:val="nil"/>
              <w:right w:val="single" w:sz="4" w:space="0" w:color="auto"/>
            </w:tcBorders>
            <w:hideMark/>
          </w:tcPr>
          <w:p w14:paraId="0187A116" w14:textId="77777777" w:rsidR="00FE461F" w:rsidRPr="005E4BEA" w:rsidRDefault="00FE461F" w:rsidP="00FE461F">
            <w:pPr>
              <w:spacing w:line="240" w:lineRule="auto"/>
              <w:rPr>
                <w:rFonts w:cs="Arial"/>
                <w:szCs w:val="20"/>
              </w:rPr>
            </w:pPr>
            <w:r w:rsidRPr="005E4BEA">
              <w:rPr>
                <w:rFonts w:cs="Arial"/>
                <w:szCs w:val="20"/>
              </w:rPr>
              <w:t>Univerzitetni klinični center Ljubljana</w:t>
            </w:r>
          </w:p>
        </w:tc>
        <w:tc>
          <w:tcPr>
            <w:tcW w:w="1022" w:type="dxa"/>
            <w:tcBorders>
              <w:top w:val="nil"/>
              <w:left w:val="nil"/>
              <w:bottom w:val="nil"/>
              <w:right w:val="single" w:sz="4" w:space="0" w:color="auto"/>
            </w:tcBorders>
            <w:noWrap/>
            <w:vAlign w:val="bottom"/>
            <w:hideMark/>
          </w:tcPr>
          <w:p w14:paraId="4B3B70C7"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42626D71" w14:textId="77777777" w:rsidR="00FE461F" w:rsidRPr="005E4BEA" w:rsidRDefault="00FE461F" w:rsidP="00FE461F">
            <w:pPr>
              <w:spacing w:line="240" w:lineRule="auto"/>
              <w:jc w:val="right"/>
              <w:rPr>
                <w:rFonts w:cs="Arial"/>
                <w:szCs w:val="20"/>
              </w:rPr>
            </w:pPr>
            <w:r w:rsidRPr="005E4BEA">
              <w:rPr>
                <w:rFonts w:cs="Arial"/>
                <w:szCs w:val="20"/>
              </w:rPr>
              <w:t>1.917</w:t>
            </w:r>
          </w:p>
        </w:tc>
        <w:tc>
          <w:tcPr>
            <w:tcW w:w="2011" w:type="dxa"/>
            <w:tcBorders>
              <w:top w:val="nil"/>
              <w:left w:val="nil"/>
              <w:bottom w:val="nil"/>
              <w:right w:val="single" w:sz="4" w:space="0" w:color="auto"/>
            </w:tcBorders>
            <w:noWrap/>
            <w:vAlign w:val="bottom"/>
            <w:hideMark/>
          </w:tcPr>
          <w:p w14:paraId="550D639D" w14:textId="77777777" w:rsidR="00FE461F" w:rsidRPr="005E4BEA" w:rsidRDefault="00FE461F" w:rsidP="00FE461F">
            <w:pPr>
              <w:spacing w:line="240" w:lineRule="auto"/>
              <w:jc w:val="right"/>
              <w:rPr>
                <w:rFonts w:cs="Arial"/>
                <w:szCs w:val="20"/>
              </w:rPr>
            </w:pPr>
            <w:r w:rsidRPr="005E4BEA">
              <w:rPr>
                <w:rFonts w:cs="Arial"/>
                <w:szCs w:val="20"/>
              </w:rPr>
              <w:t>7.510</w:t>
            </w:r>
          </w:p>
        </w:tc>
        <w:tc>
          <w:tcPr>
            <w:tcW w:w="1584" w:type="dxa"/>
            <w:tcBorders>
              <w:top w:val="nil"/>
              <w:left w:val="nil"/>
              <w:bottom w:val="nil"/>
              <w:right w:val="single" w:sz="4" w:space="0" w:color="auto"/>
            </w:tcBorders>
            <w:noWrap/>
            <w:vAlign w:val="bottom"/>
            <w:hideMark/>
          </w:tcPr>
          <w:p w14:paraId="7DB35686" w14:textId="77777777" w:rsidR="00FE461F" w:rsidRPr="005E4BEA" w:rsidRDefault="00FE461F" w:rsidP="00FE461F">
            <w:pPr>
              <w:spacing w:line="240" w:lineRule="auto"/>
              <w:jc w:val="right"/>
              <w:rPr>
                <w:rFonts w:cs="Arial"/>
                <w:szCs w:val="20"/>
              </w:rPr>
            </w:pPr>
            <w:r w:rsidRPr="005E4BEA">
              <w:rPr>
                <w:rFonts w:cs="Arial"/>
                <w:szCs w:val="20"/>
              </w:rPr>
              <w:t>25,5</w:t>
            </w:r>
          </w:p>
        </w:tc>
      </w:tr>
      <w:tr w:rsidR="00FE461F" w:rsidRPr="005E4BEA" w14:paraId="0AAA5A3E" w14:textId="77777777" w:rsidTr="0016774B">
        <w:trPr>
          <w:trHeight w:val="189"/>
        </w:trPr>
        <w:tc>
          <w:tcPr>
            <w:tcW w:w="3795" w:type="dxa"/>
            <w:tcBorders>
              <w:top w:val="nil"/>
              <w:left w:val="single" w:sz="4" w:space="0" w:color="auto"/>
              <w:bottom w:val="nil"/>
              <w:right w:val="single" w:sz="4" w:space="0" w:color="auto"/>
            </w:tcBorders>
            <w:hideMark/>
          </w:tcPr>
          <w:p w14:paraId="1EB179B8" w14:textId="77777777" w:rsidR="00FE461F" w:rsidRPr="005E4BEA" w:rsidRDefault="00FE461F" w:rsidP="00FE461F">
            <w:pPr>
              <w:spacing w:line="240" w:lineRule="auto"/>
              <w:rPr>
                <w:rFonts w:cs="Arial"/>
                <w:szCs w:val="20"/>
              </w:rPr>
            </w:pPr>
            <w:r w:rsidRPr="005E4BEA">
              <w:rPr>
                <w:rFonts w:cs="Arial"/>
                <w:szCs w:val="20"/>
              </w:rPr>
              <w:t>Univerzitetni klinični center Ljubljana</w:t>
            </w:r>
          </w:p>
        </w:tc>
        <w:tc>
          <w:tcPr>
            <w:tcW w:w="1022" w:type="dxa"/>
            <w:tcBorders>
              <w:top w:val="nil"/>
              <w:left w:val="nil"/>
              <w:bottom w:val="nil"/>
              <w:right w:val="single" w:sz="4" w:space="0" w:color="auto"/>
            </w:tcBorders>
            <w:noWrap/>
            <w:vAlign w:val="bottom"/>
            <w:hideMark/>
          </w:tcPr>
          <w:p w14:paraId="19974F54"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5CCB07EE" w14:textId="77777777" w:rsidR="00FE461F" w:rsidRPr="005E4BEA" w:rsidRDefault="00FE461F" w:rsidP="00FE461F">
            <w:pPr>
              <w:spacing w:line="240" w:lineRule="auto"/>
              <w:jc w:val="right"/>
              <w:rPr>
                <w:rFonts w:cs="Arial"/>
                <w:szCs w:val="20"/>
              </w:rPr>
            </w:pPr>
            <w:r w:rsidRPr="005E4BEA">
              <w:rPr>
                <w:rFonts w:cs="Arial"/>
                <w:szCs w:val="20"/>
              </w:rPr>
              <w:t>1.943</w:t>
            </w:r>
          </w:p>
        </w:tc>
        <w:tc>
          <w:tcPr>
            <w:tcW w:w="2011" w:type="dxa"/>
            <w:tcBorders>
              <w:top w:val="nil"/>
              <w:left w:val="nil"/>
              <w:bottom w:val="nil"/>
              <w:right w:val="single" w:sz="4" w:space="0" w:color="auto"/>
            </w:tcBorders>
            <w:noWrap/>
            <w:vAlign w:val="bottom"/>
            <w:hideMark/>
          </w:tcPr>
          <w:p w14:paraId="73FC1B10" w14:textId="77777777" w:rsidR="00FE461F" w:rsidRPr="005E4BEA" w:rsidRDefault="00FE461F" w:rsidP="00FE461F">
            <w:pPr>
              <w:spacing w:line="240" w:lineRule="auto"/>
              <w:jc w:val="right"/>
              <w:rPr>
                <w:rFonts w:cs="Arial"/>
                <w:szCs w:val="20"/>
              </w:rPr>
            </w:pPr>
            <w:r w:rsidRPr="005E4BEA">
              <w:rPr>
                <w:rFonts w:cs="Arial"/>
                <w:szCs w:val="20"/>
              </w:rPr>
              <w:t>7.917</w:t>
            </w:r>
          </w:p>
        </w:tc>
        <w:tc>
          <w:tcPr>
            <w:tcW w:w="1584" w:type="dxa"/>
            <w:tcBorders>
              <w:top w:val="nil"/>
              <w:left w:val="nil"/>
              <w:bottom w:val="nil"/>
              <w:right w:val="single" w:sz="4" w:space="0" w:color="auto"/>
            </w:tcBorders>
            <w:noWrap/>
            <w:vAlign w:val="bottom"/>
            <w:hideMark/>
          </w:tcPr>
          <w:p w14:paraId="29A71A58" w14:textId="77777777" w:rsidR="00FE461F" w:rsidRPr="005E4BEA" w:rsidRDefault="00FE461F" w:rsidP="00FE461F">
            <w:pPr>
              <w:spacing w:line="240" w:lineRule="auto"/>
              <w:jc w:val="right"/>
              <w:rPr>
                <w:rFonts w:cs="Arial"/>
                <w:szCs w:val="20"/>
              </w:rPr>
            </w:pPr>
            <w:r w:rsidRPr="005E4BEA">
              <w:rPr>
                <w:rFonts w:cs="Arial"/>
                <w:szCs w:val="20"/>
              </w:rPr>
              <w:t>24,5</w:t>
            </w:r>
          </w:p>
        </w:tc>
      </w:tr>
      <w:tr w:rsidR="00FE461F" w:rsidRPr="005E4BEA" w14:paraId="20BE8290" w14:textId="77777777" w:rsidTr="0016774B">
        <w:trPr>
          <w:trHeight w:val="189"/>
        </w:trPr>
        <w:tc>
          <w:tcPr>
            <w:tcW w:w="3795" w:type="dxa"/>
            <w:tcBorders>
              <w:top w:val="nil"/>
              <w:left w:val="single" w:sz="4" w:space="0" w:color="auto"/>
              <w:bottom w:val="nil"/>
              <w:right w:val="single" w:sz="4" w:space="0" w:color="auto"/>
            </w:tcBorders>
            <w:hideMark/>
          </w:tcPr>
          <w:p w14:paraId="4454BFCF" w14:textId="77777777" w:rsidR="00FE461F" w:rsidRPr="005E4BEA" w:rsidRDefault="00FE461F" w:rsidP="00FE461F">
            <w:pPr>
              <w:spacing w:line="240" w:lineRule="auto"/>
              <w:rPr>
                <w:rFonts w:cs="Arial"/>
                <w:szCs w:val="20"/>
              </w:rPr>
            </w:pPr>
            <w:r w:rsidRPr="005E4BEA">
              <w:rPr>
                <w:rFonts w:cs="Arial"/>
                <w:szCs w:val="20"/>
              </w:rPr>
              <w:t>Univerzitetni klinični center Ljubljana</w:t>
            </w:r>
          </w:p>
        </w:tc>
        <w:tc>
          <w:tcPr>
            <w:tcW w:w="1022" w:type="dxa"/>
            <w:tcBorders>
              <w:top w:val="nil"/>
              <w:left w:val="nil"/>
              <w:bottom w:val="nil"/>
              <w:right w:val="single" w:sz="4" w:space="0" w:color="auto"/>
            </w:tcBorders>
            <w:noWrap/>
            <w:vAlign w:val="bottom"/>
            <w:hideMark/>
          </w:tcPr>
          <w:p w14:paraId="024F4663"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364C03CE" w14:textId="77777777" w:rsidR="00FE461F" w:rsidRPr="005E4BEA" w:rsidRDefault="00FE461F" w:rsidP="00FE461F">
            <w:pPr>
              <w:spacing w:line="240" w:lineRule="auto"/>
              <w:jc w:val="right"/>
              <w:rPr>
                <w:rFonts w:cs="Arial"/>
                <w:szCs w:val="20"/>
              </w:rPr>
            </w:pPr>
            <w:r w:rsidRPr="005E4BEA">
              <w:rPr>
                <w:rFonts w:cs="Arial"/>
                <w:szCs w:val="20"/>
              </w:rPr>
              <w:t>1.909</w:t>
            </w:r>
          </w:p>
        </w:tc>
        <w:tc>
          <w:tcPr>
            <w:tcW w:w="2011" w:type="dxa"/>
            <w:tcBorders>
              <w:top w:val="nil"/>
              <w:left w:val="nil"/>
              <w:bottom w:val="nil"/>
              <w:right w:val="single" w:sz="4" w:space="0" w:color="auto"/>
            </w:tcBorders>
            <w:noWrap/>
            <w:vAlign w:val="bottom"/>
            <w:hideMark/>
          </w:tcPr>
          <w:p w14:paraId="1D3AC663" w14:textId="77777777" w:rsidR="00FE461F" w:rsidRPr="005E4BEA" w:rsidRDefault="00FE461F" w:rsidP="00FE461F">
            <w:pPr>
              <w:spacing w:line="240" w:lineRule="auto"/>
              <w:jc w:val="right"/>
              <w:rPr>
                <w:rFonts w:cs="Arial"/>
                <w:szCs w:val="20"/>
              </w:rPr>
            </w:pPr>
            <w:r w:rsidRPr="005E4BEA">
              <w:rPr>
                <w:rFonts w:cs="Arial"/>
                <w:szCs w:val="20"/>
              </w:rPr>
              <w:t>7.534</w:t>
            </w:r>
          </w:p>
        </w:tc>
        <w:tc>
          <w:tcPr>
            <w:tcW w:w="1584" w:type="dxa"/>
            <w:tcBorders>
              <w:top w:val="nil"/>
              <w:left w:val="nil"/>
              <w:bottom w:val="nil"/>
              <w:right w:val="single" w:sz="4" w:space="0" w:color="auto"/>
            </w:tcBorders>
            <w:noWrap/>
            <w:vAlign w:val="bottom"/>
            <w:hideMark/>
          </w:tcPr>
          <w:p w14:paraId="72D9988E" w14:textId="77777777" w:rsidR="00FE461F" w:rsidRPr="005E4BEA" w:rsidRDefault="00FE461F" w:rsidP="00FE461F">
            <w:pPr>
              <w:spacing w:line="240" w:lineRule="auto"/>
              <w:jc w:val="right"/>
              <w:rPr>
                <w:rFonts w:cs="Arial"/>
                <w:szCs w:val="20"/>
              </w:rPr>
            </w:pPr>
            <w:r w:rsidRPr="005E4BEA">
              <w:rPr>
                <w:rFonts w:cs="Arial"/>
                <w:szCs w:val="20"/>
              </w:rPr>
              <w:t>25,3</w:t>
            </w:r>
          </w:p>
        </w:tc>
      </w:tr>
      <w:tr w:rsidR="00FE461F" w:rsidRPr="005E4BEA" w14:paraId="4C3368B0"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47A39545" w14:textId="77777777" w:rsidR="00FE461F" w:rsidRPr="005E4BEA" w:rsidRDefault="00FE461F" w:rsidP="00FE461F">
            <w:pPr>
              <w:spacing w:line="240" w:lineRule="auto"/>
              <w:rPr>
                <w:rFonts w:cs="Arial"/>
                <w:szCs w:val="20"/>
              </w:rPr>
            </w:pPr>
            <w:r w:rsidRPr="005E4BEA">
              <w:rPr>
                <w:rFonts w:cs="Arial"/>
                <w:szCs w:val="20"/>
              </w:rPr>
              <w:t>Univerzitetni klinični center Ljubljana</w:t>
            </w:r>
          </w:p>
        </w:tc>
        <w:tc>
          <w:tcPr>
            <w:tcW w:w="1022" w:type="dxa"/>
            <w:tcBorders>
              <w:top w:val="nil"/>
              <w:left w:val="nil"/>
              <w:bottom w:val="single" w:sz="4" w:space="0" w:color="auto"/>
              <w:right w:val="single" w:sz="4" w:space="0" w:color="auto"/>
            </w:tcBorders>
            <w:noWrap/>
            <w:vAlign w:val="bottom"/>
            <w:hideMark/>
          </w:tcPr>
          <w:p w14:paraId="69A2526D"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1341220D" w14:textId="77777777" w:rsidR="00FE461F" w:rsidRPr="005E4BEA" w:rsidRDefault="00FE461F" w:rsidP="00FE461F">
            <w:pPr>
              <w:spacing w:line="240" w:lineRule="auto"/>
              <w:jc w:val="right"/>
              <w:rPr>
                <w:rFonts w:cs="Arial"/>
                <w:szCs w:val="20"/>
              </w:rPr>
            </w:pPr>
            <w:r w:rsidRPr="005E4BEA">
              <w:rPr>
                <w:rFonts w:cs="Arial"/>
                <w:szCs w:val="20"/>
              </w:rPr>
              <w:t>1.993</w:t>
            </w:r>
          </w:p>
        </w:tc>
        <w:tc>
          <w:tcPr>
            <w:tcW w:w="2011" w:type="dxa"/>
            <w:tcBorders>
              <w:top w:val="nil"/>
              <w:left w:val="nil"/>
              <w:bottom w:val="single" w:sz="4" w:space="0" w:color="auto"/>
              <w:right w:val="single" w:sz="4" w:space="0" w:color="auto"/>
            </w:tcBorders>
            <w:noWrap/>
            <w:vAlign w:val="bottom"/>
            <w:hideMark/>
          </w:tcPr>
          <w:p w14:paraId="44C40944" w14:textId="77777777" w:rsidR="00FE461F" w:rsidRPr="005E4BEA" w:rsidRDefault="00FE461F" w:rsidP="00FE461F">
            <w:pPr>
              <w:spacing w:line="240" w:lineRule="auto"/>
              <w:jc w:val="right"/>
              <w:rPr>
                <w:rFonts w:cs="Arial"/>
                <w:szCs w:val="20"/>
              </w:rPr>
            </w:pPr>
            <w:r w:rsidRPr="005E4BEA">
              <w:rPr>
                <w:rFonts w:cs="Arial"/>
                <w:szCs w:val="20"/>
              </w:rPr>
              <w:t>7.662</w:t>
            </w:r>
          </w:p>
        </w:tc>
        <w:tc>
          <w:tcPr>
            <w:tcW w:w="1584" w:type="dxa"/>
            <w:tcBorders>
              <w:top w:val="nil"/>
              <w:left w:val="nil"/>
              <w:bottom w:val="single" w:sz="4" w:space="0" w:color="auto"/>
              <w:right w:val="single" w:sz="4" w:space="0" w:color="auto"/>
            </w:tcBorders>
            <w:noWrap/>
            <w:vAlign w:val="bottom"/>
            <w:hideMark/>
          </w:tcPr>
          <w:p w14:paraId="2FA4468D" w14:textId="77777777" w:rsidR="00FE461F" w:rsidRPr="005E4BEA" w:rsidRDefault="00FE461F" w:rsidP="00FE461F">
            <w:pPr>
              <w:spacing w:line="240" w:lineRule="auto"/>
              <w:jc w:val="right"/>
              <w:rPr>
                <w:rFonts w:cs="Arial"/>
                <w:szCs w:val="20"/>
              </w:rPr>
            </w:pPr>
            <w:r w:rsidRPr="005E4BEA">
              <w:rPr>
                <w:rFonts w:cs="Arial"/>
                <w:szCs w:val="20"/>
              </w:rPr>
              <w:t>26,0</w:t>
            </w:r>
          </w:p>
        </w:tc>
      </w:tr>
      <w:tr w:rsidR="00FE461F" w:rsidRPr="005E4BEA" w14:paraId="501D8A09" w14:textId="77777777" w:rsidTr="0016774B">
        <w:trPr>
          <w:trHeight w:val="189"/>
        </w:trPr>
        <w:tc>
          <w:tcPr>
            <w:tcW w:w="3795" w:type="dxa"/>
            <w:tcBorders>
              <w:top w:val="nil"/>
              <w:left w:val="single" w:sz="4" w:space="0" w:color="auto"/>
              <w:bottom w:val="nil"/>
              <w:right w:val="single" w:sz="4" w:space="0" w:color="auto"/>
            </w:tcBorders>
            <w:hideMark/>
          </w:tcPr>
          <w:p w14:paraId="6B43FD21" w14:textId="77777777" w:rsidR="00FE461F" w:rsidRPr="005E4BEA" w:rsidRDefault="00FE461F" w:rsidP="00FE461F">
            <w:pPr>
              <w:spacing w:line="240" w:lineRule="auto"/>
              <w:rPr>
                <w:rFonts w:cs="Arial"/>
                <w:szCs w:val="20"/>
              </w:rPr>
            </w:pPr>
            <w:r w:rsidRPr="005E4BEA">
              <w:rPr>
                <w:rFonts w:cs="Arial"/>
                <w:szCs w:val="20"/>
              </w:rPr>
              <w:t>Univerzitetni klinični center Maribor</w:t>
            </w:r>
          </w:p>
        </w:tc>
        <w:tc>
          <w:tcPr>
            <w:tcW w:w="1022" w:type="dxa"/>
            <w:tcBorders>
              <w:top w:val="nil"/>
              <w:left w:val="nil"/>
              <w:bottom w:val="nil"/>
              <w:right w:val="single" w:sz="4" w:space="0" w:color="auto"/>
            </w:tcBorders>
            <w:noWrap/>
            <w:vAlign w:val="bottom"/>
            <w:hideMark/>
          </w:tcPr>
          <w:p w14:paraId="2A52C8FC"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44F537E6" w14:textId="77777777" w:rsidR="00FE461F" w:rsidRPr="005E4BEA" w:rsidRDefault="00FE461F" w:rsidP="00FE461F">
            <w:pPr>
              <w:spacing w:line="240" w:lineRule="auto"/>
              <w:jc w:val="right"/>
              <w:rPr>
                <w:rFonts w:cs="Arial"/>
                <w:szCs w:val="20"/>
              </w:rPr>
            </w:pPr>
            <w:r w:rsidRPr="005E4BEA">
              <w:rPr>
                <w:rFonts w:cs="Arial"/>
                <w:szCs w:val="20"/>
              </w:rPr>
              <w:t>641</w:t>
            </w:r>
          </w:p>
        </w:tc>
        <w:tc>
          <w:tcPr>
            <w:tcW w:w="2011" w:type="dxa"/>
            <w:tcBorders>
              <w:top w:val="nil"/>
              <w:left w:val="nil"/>
              <w:bottom w:val="nil"/>
              <w:right w:val="single" w:sz="4" w:space="0" w:color="auto"/>
            </w:tcBorders>
            <w:noWrap/>
            <w:vAlign w:val="bottom"/>
            <w:hideMark/>
          </w:tcPr>
          <w:p w14:paraId="0E6E4FEB" w14:textId="77777777" w:rsidR="00FE461F" w:rsidRPr="005E4BEA" w:rsidRDefault="00FE461F" w:rsidP="00FE461F">
            <w:pPr>
              <w:spacing w:line="240" w:lineRule="auto"/>
              <w:jc w:val="right"/>
              <w:rPr>
                <w:rFonts w:cs="Arial"/>
                <w:szCs w:val="20"/>
              </w:rPr>
            </w:pPr>
            <w:r w:rsidRPr="005E4BEA">
              <w:rPr>
                <w:rFonts w:cs="Arial"/>
                <w:szCs w:val="20"/>
              </w:rPr>
              <w:t>2.596</w:t>
            </w:r>
          </w:p>
        </w:tc>
        <w:tc>
          <w:tcPr>
            <w:tcW w:w="1584" w:type="dxa"/>
            <w:tcBorders>
              <w:top w:val="nil"/>
              <w:left w:val="nil"/>
              <w:bottom w:val="nil"/>
              <w:right w:val="single" w:sz="4" w:space="0" w:color="auto"/>
            </w:tcBorders>
            <w:noWrap/>
            <w:vAlign w:val="bottom"/>
            <w:hideMark/>
          </w:tcPr>
          <w:p w14:paraId="38FCAA49" w14:textId="77777777" w:rsidR="00FE461F" w:rsidRPr="005E4BEA" w:rsidRDefault="00FE461F" w:rsidP="00FE461F">
            <w:pPr>
              <w:spacing w:line="240" w:lineRule="auto"/>
              <w:jc w:val="right"/>
              <w:rPr>
                <w:rFonts w:cs="Arial"/>
                <w:szCs w:val="20"/>
              </w:rPr>
            </w:pPr>
            <w:r w:rsidRPr="005E4BEA">
              <w:rPr>
                <w:rFonts w:cs="Arial"/>
                <w:szCs w:val="20"/>
              </w:rPr>
              <w:t>24,7</w:t>
            </w:r>
          </w:p>
        </w:tc>
      </w:tr>
      <w:tr w:rsidR="00FE461F" w:rsidRPr="005E4BEA" w14:paraId="55093884" w14:textId="77777777" w:rsidTr="0016774B">
        <w:trPr>
          <w:trHeight w:val="189"/>
        </w:trPr>
        <w:tc>
          <w:tcPr>
            <w:tcW w:w="3795" w:type="dxa"/>
            <w:tcBorders>
              <w:top w:val="nil"/>
              <w:left w:val="single" w:sz="4" w:space="0" w:color="auto"/>
              <w:bottom w:val="nil"/>
              <w:right w:val="single" w:sz="4" w:space="0" w:color="auto"/>
            </w:tcBorders>
            <w:hideMark/>
          </w:tcPr>
          <w:p w14:paraId="18455B1B" w14:textId="77777777" w:rsidR="00FE461F" w:rsidRPr="005E4BEA" w:rsidRDefault="00FE461F" w:rsidP="00FE461F">
            <w:pPr>
              <w:spacing w:line="240" w:lineRule="auto"/>
              <w:rPr>
                <w:rFonts w:cs="Arial"/>
                <w:szCs w:val="20"/>
              </w:rPr>
            </w:pPr>
            <w:r w:rsidRPr="005E4BEA">
              <w:rPr>
                <w:rFonts w:cs="Arial"/>
                <w:szCs w:val="20"/>
              </w:rPr>
              <w:t>Univerzitetni klinični center Maribor</w:t>
            </w:r>
          </w:p>
        </w:tc>
        <w:tc>
          <w:tcPr>
            <w:tcW w:w="1022" w:type="dxa"/>
            <w:tcBorders>
              <w:top w:val="nil"/>
              <w:left w:val="nil"/>
              <w:bottom w:val="nil"/>
              <w:right w:val="single" w:sz="4" w:space="0" w:color="auto"/>
            </w:tcBorders>
            <w:noWrap/>
            <w:vAlign w:val="bottom"/>
            <w:hideMark/>
          </w:tcPr>
          <w:p w14:paraId="37C4DA80"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15FF231D" w14:textId="77777777" w:rsidR="00FE461F" w:rsidRPr="005E4BEA" w:rsidRDefault="00FE461F" w:rsidP="00FE461F">
            <w:pPr>
              <w:spacing w:line="240" w:lineRule="auto"/>
              <w:jc w:val="right"/>
              <w:rPr>
                <w:rFonts w:cs="Arial"/>
                <w:szCs w:val="20"/>
              </w:rPr>
            </w:pPr>
            <w:r w:rsidRPr="005E4BEA">
              <w:rPr>
                <w:rFonts w:cs="Arial"/>
                <w:szCs w:val="20"/>
              </w:rPr>
              <w:t>661</w:t>
            </w:r>
          </w:p>
        </w:tc>
        <w:tc>
          <w:tcPr>
            <w:tcW w:w="2011" w:type="dxa"/>
            <w:tcBorders>
              <w:top w:val="nil"/>
              <w:left w:val="nil"/>
              <w:bottom w:val="nil"/>
              <w:right w:val="single" w:sz="4" w:space="0" w:color="auto"/>
            </w:tcBorders>
            <w:noWrap/>
            <w:vAlign w:val="bottom"/>
            <w:hideMark/>
          </w:tcPr>
          <w:p w14:paraId="77F2D55E" w14:textId="77777777" w:rsidR="00FE461F" w:rsidRPr="005E4BEA" w:rsidRDefault="00FE461F" w:rsidP="00FE461F">
            <w:pPr>
              <w:spacing w:line="240" w:lineRule="auto"/>
              <w:jc w:val="right"/>
              <w:rPr>
                <w:rFonts w:cs="Arial"/>
                <w:szCs w:val="20"/>
              </w:rPr>
            </w:pPr>
            <w:r w:rsidRPr="005E4BEA">
              <w:rPr>
                <w:rFonts w:cs="Arial"/>
                <w:szCs w:val="20"/>
              </w:rPr>
              <w:t>2.698</w:t>
            </w:r>
          </w:p>
        </w:tc>
        <w:tc>
          <w:tcPr>
            <w:tcW w:w="1584" w:type="dxa"/>
            <w:tcBorders>
              <w:top w:val="nil"/>
              <w:left w:val="nil"/>
              <w:bottom w:val="nil"/>
              <w:right w:val="single" w:sz="4" w:space="0" w:color="auto"/>
            </w:tcBorders>
            <w:noWrap/>
            <w:vAlign w:val="bottom"/>
            <w:hideMark/>
          </w:tcPr>
          <w:p w14:paraId="39F05C14" w14:textId="77777777" w:rsidR="00FE461F" w:rsidRPr="005E4BEA" w:rsidRDefault="00FE461F" w:rsidP="00FE461F">
            <w:pPr>
              <w:spacing w:line="240" w:lineRule="auto"/>
              <w:jc w:val="right"/>
              <w:rPr>
                <w:rFonts w:cs="Arial"/>
                <w:szCs w:val="20"/>
              </w:rPr>
            </w:pPr>
            <w:r w:rsidRPr="005E4BEA">
              <w:rPr>
                <w:rFonts w:cs="Arial"/>
                <w:szCs w:val="20"/>
              </w:rPr>
              <w:t>24,5</w:t>
            </w:r>
          </w:p>
        </w:tc>
      </w:tr>
      <w:tr w:rsidR="00FE461F" w:rsidRPr="005E4BEA" w14:paraId="27499DEF" w14:textId="77777777" w:rsidTr="0016774B">
        <w:trPr>
          <w:trHeight w:val="189"/>
        </w:trPr>
        <w:tc>
          <w:tcPr>
            <w:tcW w:w="3795" w:type="dxa"/>
            <w:tcBorders>
              <w:top w:val="nil"/>
              <w:left w:val="single" w:sz="4" w:space="0" w:color="auto"/>
              <w:bottom w:val="nil"/>
              <w:right w:val="single" w:sz="4" w:space="0" w:color="auto"/>
            </w:tcBorders>
            <w:hideMark/>
          </w:tcPr>
          <w:p w14:paraId="5DCA0435" w14:textId="77777777" w:rsidR="00FE461F" w:rsidRPr="005E4BEA" w:rsidRDefault="00FE461F" w:rsidP="00FE461F">
            <w:pPr>
              <w:spacing w:line="240" w:lineRule="auto"/>
              <w:rPr>
                <w:rFonts w:cs="Arial"/>
                <w:szCs w:val="20"/>
              </w:rPr>
            </w:pPr>
            <w:r w:rsidRPr="005E4BEA">
              <w:rPr>
                <w:rFonts w:cs="Arial"/>
                <w:szCs w:val="20"/>
              </w:rPr>
              <w:t>Univerzitetni klinični center Maribor</w:t>
            </w:r>
          </w:p>
        </w:tc>
        <w:tc>
          <w:tcPr>
            <w:tcW w:w="1022" w:type="dxa"/>
            <w:tcBorders>
              <w:top w:val="nil"/>
              <w:left w:val="nil"/>
              <w:bottom w:val="nil"/>
              <w:right w:val="single" w:sz="4" w:space="0" w:color="auto"/>
            </w:tcBorders>
            <w:noWrap/>
            <w:vAlign w:val="bottom"/>
            <w:hideMark/>
          </w:tcPr>
          <w:p w14:paraId="2A104071"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4C850B10" w14:textId="77777777" w:rsidR="00FE461F" w:rsidRPr="005E4BEA" w:rsidRDefault="00FE461F" w:rsidP="00FE461F">
            <w:pPr>
              <w:spacing w:line="240" w:lineRule="auto"/>
              <w:jc w:val="right"/>
              <w:rPr>
                <w:rFonts w:cs="Arial"/>
                <w:szCs w:val="20"/>
              </w:rPr>
            </w:pPr>
            <w:r w:rsidRPr="005E4BEA">
              <w:rPr>
                <w:rFonts w:cs="Arial"/>
                <w:szCs w:val="20"/>
              </w:rPr>
              <w:t>676</w:t>
            </w:r>
          </w:p>
        </w:tc>
        <w:tc>
          <w:tcPr>
            <w:tcW w:w="2011" w:type="dxa"/>
            <w:tcBorders>
              <w:top w:val="nil"/>
              <w:left w:val="nil"/>
              <w:bottom w:val="nil"/>
              <w:right w:val="single" w:sz="4" w:space="0" w:color="auto"/>
            </w:tcBorders>
            <w:noWrap/>
            <w:vAlign w:val="bottom"/>
            <w:hideMark/>
          </w:tcPr>
          <w:p w14:paraId="270640C0" w14:textId="77777777" w:rsidR="00FE461F" w:rsidRPr="005E4BEA" w:rsidRDefault="00FE461F" w:rsidP="00FE461F">
            <w:pPr>
              <w:spacing w:line="240" w:lineRule="auto"/>
              <w:jc w:val="right"/>
              <w:rPr>
                <w:rFonts w:cs="Arial"/>
                <w:szCs w:val="20"/>
              </w:rPr>
            </w:pPr>
            <w:r w:rsidRPr="005E4BEA">
              <w:rPr>
                <w:rFonts w:cs="Arial"/>
                <w:szCs w:val="20"/>
              </w:rPr>
              <w:t>2.801</w:t>
            </w:r>
          </w:p>
        </w:tc>
        <w:tc>
          <w:tcPr>
            <w:tcW w:w="1584" w:type="dxa"/>
            <w:tcBorders>
              <w:top w:val="nil"/>
              <w:left w:val="nil"/>
              <w:bottom w:val="nil"/>
              <w:right w:val="single" w:sz="4" w:space="0" w:color="auto"/>
            </w:tcBorders>
            <w:noWrap/>
            <w:vAlign w:val="bottom"/>
            <w:hideMark/>
          </w:tcPr>
          <w:p w14:paraId="35EEDAB8" w14:textId="77777777" w:rsidR="00FE461F" w:rsidRPr="005E4BEA" w:rsidRDefault="00FE461F" w:rsidP="00FE461F">
            <w:pPr>
              <w:spacing w:line="240" w:lineRule="auto"/>
              <w:jc w:val="right"/>
              <w:rPr>
                <w:rFonts w:cs="Arial"/>
                <w:szCs w:val="20"/>
              </w:rPr>
            </w:pPr>
            <w:r w:rsidRPr="005E4BEA">
              <w:rPr>
                <w:rFonts w:cs="Arial"/>
                <w:szCs w:val="20"/>
              </w:rPr>
              <w:t>24,1</w:t>
            </w:r>
          </w:p>
        </w:tc>
      </w:tr>
      <w:tr w:rsidR="00FE461F" w:rsidRPr="005E4BEA" w14:paraId="691015A9" w14:textId="77777777" w:rsidTr="0016774B">
        <w:trPr>
          <w:trHeight w:val="189"/>
        </w:trPr>
        <w:tc>
          <w:tcPr>
            <w:tcW w:w="3795" w:type="dxa"/>
            <w:tcBorders>
              <w:top w:val="nil"/>
              <w:left w:val="single" w:sz="4" w:space="0" w:color="auto"/>
              <w:bottom w:val="nil"/>
              <w:right w:val="single" w:sz="4" w:space="0" w:color="auto"/>
            </w:tcBorders>
            <w:hideMark/>
          </w:tcPr>
          <w:p w14:paraId="4E3CB28A" w14:textId="77777777" w:rsidR="00FE461F" w:rsidRPr="005E4BEA" w:rsidRDefault="00FE461F" w:rsidP="00FE461F">
            <w:pPr>
              <w:spacing w:line="240" w:lineRule="auto"/>
              <w:rPr>
                <w:rFonts w:cs="Arial"/>
                <w:szCs w:val="20"/>
              </w:rPr>
            </w:pPr>
            <w:r w:rsidRPr="005E4BEA">
              <w:rPr>
                <w:rFonts w:cs="Arial"/>
                <w:szCs w:val="20"/>
              </w:rPr>
              <w:t>Univerzitetni klinični center Maribor</w:t>
            </w:r>
          </w:p>
        </w:tc>
        <w:tc>
          <w:tcPr>
            <w:tcW w:w="1022" w:type="dxa"/>
            <w:tcBorders>
              <w:top w:val="nil"/>
              <w:left w:val="nil"/>
              <w:bottom w:val="nil"/>
              <w:right w:val="single" w:sz="4" w:space="0" w:color="auto"/>
            </w:tcBorders>
            <w:noWrap/>
            <w:vAlign w:val="bottom"/>
            <w:hideMark/>
          </w:tcPr>
          <w:p w14:paraId="099A3460"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7BD7EAFD" w14:textId="77777777" w:rsidR="00FE461F" w:rsidRPr="005E4BEA" w:rsidRDefault="00FE461F" w:rsidP="00FE461F">
            <w:pPr>
              <w:spacing w:line="240" w:lineRule="auto"/>
              <w:jc w:val="right"/>
              <w:rPr>
                <w:rFonts w:cs="Arial"/>
                <w:szCs w:val="20"/>
              </w:rPr>
            </w:pPr>
            <w:r w:rsidRPr="005E4BEA">
              <w:rPr>
                <w:rFonts w:cs="Arial"/>
                <w:szCs w:val="20"/>
              </w:rPr>
              <w:t>685</w:t>
            </w:r>
          </w:p>
        </w:tc>
        <w:tc>
          <w:tcPr>
            <w:tcW w:w="2011" w:type="dxa"/>
            <w:tcBorders>
              <w:top w:val="nil"/>
              <w:left w:val="nil"/>
              <w:bottom w:val="nil"/>
              <w:right w:val="single" w:sz="4" w:space="0" w:color="auto"/>
            </w:tcBorders>
            <w:noWrap/>
            <w:vAlign w:val="bottom"/>
            <w:hideMark/>
          </w:tcPr>
          <w:p w14:paraId="255EDAE2" w14:textId="77777777" w:rsidR="00FE461F" w:rsidRPr="005E4BEA" w:rsidRDefault="00FE461F" w:rsidP="00FE461F">
            <w:pPr>
              <w:spacing w:line="240" w:lineRule="auto"/>
              <w:jc w:val="right"/>
              <w:rPr>
                <w:rFonts w:cs="Arial"/>
                <w:szCs w:val="20"/>
              </w:rPr>
            </w:pPr>
            <w:r w:rsidRPr="005E4BEA">
              <w:rPr>
                <w:rFonts w:cs="Arial"/>
                <w:szCs w:val="20"/>
              </w:rPr>
              <w:t>2.961</w:t>
            </w:r>
          </w:p>
        </w:tc>
        <w:tc>
          <w:tcPr>
            <w:tcW w:w="1584" w:type="dxa"/>
            <w:tcBorders>
              <w:top w:val="nil"/>
              <w:left w:val="nil"/>
              <w:bottom w:val="nil"/>
              <w:right w:val="single" w:sz="4" w:space="0" w:color="auto"/>
            </w:tcBorders>
            <w:noWrap/>
            <w:vAlign w:val="bottom"/>
            <w:hideMark/>
          </w:tcPr>
          <w:p w14:paraId="42FFC407" w14:textId="77777777" w:rsidR="00FE461F" w:rsidRPr="005E4BEA" w:rsidRDefault="00FE461F" w:rsidP="00FE461F">
            <w:pPr>
              <w:spacing w:line="240" w:lineRule="auto"/>
              <w:jc w:val="right"/>
              <w:rPr>
                <w:rFonts w:cs="Arial"/>
                <w:szCs w:val="20"/>
              </w:rPr>
            </w:pPr>
            <w:r w:rsidRPr="005E4BEA">
              <w:rPr>
                <w:rFonts w:cs="Arial"/>
                <w:szCs w:val="20"/>
              </w:rPr>
              <w:t>23,1</w:t>
            </w:r>
          </w:p>
        </w:tc>
      </w:tr>
      <w:tr w:rsidR="00FE461F" w:rsidRPr="005E4BEA" w14:paraId="06A3F22A" w14:textId="77777777" w:rsidTr="0016774B">
        <w:trPr>
          <w:trHeight w:val="189"/>
        </w:trPr>
        <w:tc>
          <w:tcPr>
            <w:tcW w:w="3795" w:type="dxa"/>
            <w:tcBorders>
              <w:top w:val="nil"/>
              <w:left w:val="single" w:sz="4" w:space="0" w:color="auto"/>
              <w:bottom w:val="nil"/>
              <w:right w:val="single" w:sz="4" w:space="0" w:color="auto"/>
            </w:tcBorders>
            <w:hideMark/>
          </w:tcPr>
          <w:p w14:paraId="291BDB6C" w14:textId="77777777" w:rsidR="00FE461F" w:rsidRPr="005E4BEA" w:rsidRDefault="00FE461F" w:rsidP="00FE461F">
            <w:pPr>
              <w:spacing w:line="240" w:lineRule="auto"/>
              <w:rPr>
                <w:rFonts w:cs="Arial"/>
                <w:szCs w:val="20"/>
              </w:rPr>
            </w:pPr>
            <w:r w:rsidRPr="005E4BEA">
              <w:rPr>
                <w:rFonts w:cs="Arial"/>
                <w:szCs w:val="20"/>
              </w:rPr>
              <w:t>Univerzitetni klinični center Maribor</w:t>
            </w:r>
          </w:p>
        </w:tc>
        <w:tc>
          <w:tcPr>
            <w:tcW w:w="1022" w:type="dxa"/>
            <w:tcBorders>
              <w:top w:val="nil"/>
              <w:left w:val="nil"/>
              <w:bottom w:val="nil"/>
              <w:right w:val="single" w:sz="4" w:space="0" w:color="auto"/>
            </w:tcBorders>
            <w:noWrap/>
            <w:vAlign w:val="bottom"/>
            <w:hideMark/>
          </w:tcPr>
          <w:p w14:paraId="2CBD8EB5"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7F1892BD" w14:textId="77777777" w:rsidR="00FE461F" w:rsidRPr="005E4BEA" w:rsidRDefault="00FE461F" w:rsidP="00FE461F">
            <w:pPr>
              <w:spacing w:line="240" w:lineRule="auto"/>
              <w:jc w:val="right"/>
              <w:rPr>
                <w:rFonts w:cs="Arial"/>
                <w:szCs w:val="20"/>
              </w:rPr>
            </w:pPr>
            <w:r w:rsidRPr="005E4BEA">
              <w:rPr>
                <w:rFonts w:cs="Arial"/>
                <w:szCs w:val="20"/>
              </w:rPr>
              <w:t>698</w:t>
            </w:r>
          </w:p>
        </w:tc>
        <w:tc>
          <w:tcPr>
            <w:tcW w:w="2011" w:type="dxa"/>
            <w:tcBorders>
              <w:top w:val="nil"/>
              <w:left w:val="nil"/>
              <w:bottom w:val="nil"/>
              <w:right w:val="single" w:sz="4" w:space="0" w:color="auto"/>
            </w:tcBorders>
            <w:noWrap/>
            <w:vAlign w:val="bottom"/>
            <w:hideMark/>
          </w:tcPr>
          <w:p w14:paraId="6CC24675" w14:textId="77777777" w:rsidR="00FE461F" w:rsidRPr="005E4BEA" w:rsidRDefault="00FE461F" w:rsidP="00FE461F">
            <w:pPr>
              <w:spacing w:line="240" w:lineRule="auto"/>
              <w:jc w:val="right"/>
              <w:rPr>
                <w:rFonts w:cs="Arial"/>
                <w:szCs w:val="20"/>
              </w:rPr>
            </w:pPr>
            <w:r w:rsidRPr="005E4BEA">
              <w:rPr>
                <w:rFonts w:cs="Arial"/>
                <w:szCs w:val="20"/>
              </w:rPr>
              <w:t>3.046</w:t>
            </w:r>
          </w:p>
        </w:tc>
        <w:tc>
          <w:tcPr>
            <w:tcW w:w="1584" w:type="dxa"/>
            <w:tcBorders>
              <w:top w:val="nil"/>
              <w:left w:val="nil"/>
              <w:bottom w:val="nil"/>
              <w:right w:val="single" w:sz="4" w:space="0" w:color="auto"/>
            </w:tcBorders>
            <w:noWrap/>
            <w:vAlign w:val="bottom"/>
            <w:hideMark/>
          </w:tcPr>
          <w:p w14:paraId="7415E29F" w14:textId="77777777" w:rsidR="00FE461F" w:rsidRPr="005E4BEA" w:rsidRDefault="00FE461F" w:rsidP="00FE461F">
            <w:pPr>
              <w:spacing w:line="240" w:lineRule="auto"/>
              <w:jc w:val="right"/>
              <w:rPr>
                <w:rFonts w:cs="Arial"/>
                <w:szCs w:val="20"/>
              </w:rPr>
            </w:pPr>
            <w:r w:rsidRPr="005E4BEA">
              <w:rPr>
                <w:rFonts w:cs="Arial"/>
                <w:szCs w:val="20"/>
              </w:rPr>
              <w:t>22,9</w:t>
            </w:r>
          </w:p>
        </w:tc>
      </w:tr>
      <w:tr w:rsidR="00FE461F" w:rsidRPr="005E4BEA" w14:paraId="2D7140ED"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5A8DE73C" w14:textId="77777777" w:rsidR="00FE461F" w:rsidRPr="005E4BEA" w:rsidRDefault="00FE461F" w:rsidP="00FE461F">
            <w:pPr>
              <w:spacing w:line="240" w:lineRule="auto"/>
              <w:rPr>
                <w:rFonts w:cs="Arial"/>
                <w:szCs w:val="20"/>
              </w:rPr>
            </w:pPr>
            <w:r w:rsidRPr="005E4BEA">
              <w:rPr>
                <w:rFonts w:cs="Arial"/>
                <w:szCs w:val="20"/>
              </w:rPr>
              <w:t>Univerzitetni klinični center Maribor</w:t>
            </w:r>
          </w:p>
        </w:tc>
        <w:tc>
          <w:tcPr>
            <w:tcW w:w="1022" w:type="dxa"/>
            <w:tcBorders>
              <w:top w:val="nil"/>
              <w:left w:val="nil"/>
              <w:bottom w:val="single" w:sz="4" w:space="0" w:color="auto"/>
              <w:right w:val="single" w:sz="4" w:space="0" w:color="auto"/>
            </w:tcBorders>
            <w:noWrap/>
            <w:vAlign w:val="bottom"/>
            <w:hideMark/>
          </w:tcPr>
          <w:p w14:paraId="10ECC88F"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66D6CEAB" w14:textId="77777777" w:rsidR="00FE461F" w:rsidRPr="005E4BEA" w:rsidRDefault="00FE461F" w:rsidP="00FE461F">
            <w:pPr>
              <w:spacing w:line="240" w:lineRule="auto"/>
              <w:jc w:val="right"/>
              <w:rPr>
                <w:rFonts w:cs="Arial"/>
                <w:szCs w:val="20"/>
              </w:rPr>
            </w:pPr>
            <w:r w:rsidRPr="005E4BEA">
              <w:rPr>
                <w:rFonts w:cs="Arial"/>
                <w:szCs w:val="20"/>
              </w:rPr>
              <w:t>683</w:t>
            </w:r>
          </w:p>
        </w:tc>
        <w:tc>
          <w:tcPr>
            <w:tcW w:w="2011" w:type="dxa"/>
            <w:tcBorders>
              <w:top w:val="nil"/>
              <w:left w:val="nil"/>
              <w:bottom w:val="single" w:sz="4" w:space="0" w:color="auto"/>
              <w:right w:val="single" w:sz="4" w:space="0" w:color="auto"/>
            </w:tcBorders>
            <w:noWrap/>
            <w:vAlign w:val="bottom"/>
            <w:hideMark/>
          </w:tcPr>
          <w:p w14:paraId="59C36337" w14:textId="77777777" w:rsidR="00FE461F" w:rsidRPr="005E4BEA" w:rsidRDefault="00FE461F" w:rsidP="00FE461F">
            <w:pPr>
              <w:spacing w:line="240" w:lineRule="auto"/>
              <w:jc w:val="right"/>
              <w:rPr>
                <w:rFonts w:cs="Arial"/>
                <w:szCs w:val="20"/>
              </w:rPr>
            </w:pPr>
            <w:r w:rsidRPr="005E4BEA">
              <w:rPr>
                <w:rFonts w:cs="Arial"/>
                <w:szCs w:val="20"/>
              </w:rPr>
              <w:t>3.059</w:t>
            </w:r>
          </w:p>
        </w:tc>
        <w:tc>
          <w:tcPr>
            <w:tcW w:w="1584" w:type="dxa"/>
            <w:tcBorders>
              <w:top w:val="nil"/>
              <w:left w:val="nil"/>
              <w:bottom w:val="single" w:sz="4" w:space="0" w:color="auto"/>
              <w:right w:val="single" w:sz="4" w:space="0" w:color="auto"/>
            </w:tcBorders>
            <w:noWrap/>
            <w:vAlign w:val="bottom"/>
            <w:hideMark/>
          </w:tcPr>
          <w:p w14:paraId="37C220CE" w14:textId="77777777" w:rsidR="00FE461F" w:rsidRPr="005E4BEA" w:rsidRDefault="00FE461F" w:rsidP="00FE461F">
            <w:pPr>
              <w:spacing w:line="240" w:lineRule="auto"/>
              <w:jc w:val="right"/>
              <w:rPr>
                <w:rFonts w:cs="Arial"/>
                <w:szCs w:val="20"/>
              </w:rPr>
            </w:pPr>
            <w:r w:rsidRPr="005E4BEA">
              <w:rPr>
                <w:rFonts w:cs="Arial"/>
                <w:szCs w:val="20"/>
              </w:rPr>
              <w:t>22,3</w:t>
            </w:r>
          </w:p>
        </w:tc>
      </w:tr>
      <w:tr w:rsidR="00FE461F" w:rsidRPr="005E4BEA" w14:paraId="3920502E" w14:textId="77777777" w:rsidTr="0016774B">
        <w:trPr>
          <w:trHeight w:val="189"/>
        </w:trPr>
        <w:tc>
          <w:tcPr>
            <w:tcW w:w="3795" w:type="dxa"/>
            <w:tcBorders>
              <w:top w:val="nil"/>
              <w:left w:val="single" w:sz="4" w:space="0" w:color="auto"/>
              <w:bottom w:val="nil"/>
              <w:right w:val="single" w:sz="4" w:space="0" w:color="auto"/>
            </w:tcBorders>
            <w:hideMark/>
          </w:tcPr>
          <w:p w14:paraId="6CD47F83" w14:textId="77777777" w:rsidR="00FE461F" w:rsidRPr="005E4BEA" w:rsidRDefault="00FE461F" w:rsidP="00FE461F">
            <w:pPr>
              <w:spacing w:line="240" w:lineRule="auto"/>
              <w:rPr>
                <w:rFonts w:cs="Arial"/>
                <w:szCs w:val="20"/>
              </w:rPr>
            </w:pPr>
            <w:r w:rsidRPr="005E4BEA">
              <w:rPr>
                <w:rFonts w:cs="Arial"/>
                <w:szCs w:val="20"/>
              </w:rPr>
              <w:t>Univerzitetni rehabilitacijski inštitut RS – Soča</w:t>
            </w:r>
          </w:p>
        </w:tc>
        <w:tc>
          <w:tcPr>
            <w:tcW w:w="1022" w:type="dxa"/>
            <w:tcBorders>
              <w:top w:val="nil"/>
              <w:left w:val="nil"/>
              <w:bottom w:val="nil"/>
              <w:right w:val="single" w:sz="4" w:space="0" w:color="auto"/>
            </w:tcBorders>
            <w:noWrap/>
            <w:vAlign w:val="bottom"/>
            <w:hideMark/>
          </w:tcPr>
          <w:p w14:paraId="2F2CC65E" w14:textId="77777777" w:rsidR="00FE461F" w:rsidRPr="005E4BEA" w:rsidRDefault="00FE461F" w:rsidP="00FE461F">
            <w:pPr>
              <w:spacing w:line="240" w:lineRule="auto"/>
              <w:jc w:val="right"/>
              <w:rPr>
                <w:rFonts w:cs="Arial"/>
                <w:szCs w:val="20"/>
              </w:rPr>
            </w:pPr>
            <w:r w:rsidRPr="005E4BEA">
              <w:rPr>
                <w:rFonts w:cs="Arial"/>
                <w:szCs w:val="20"/>
              </w:rPr>
              <w:t>31.12.2015</w:t>
            </w:r>
          </w:p>
        </w:tc>
        <w:tc>
          <w:tcPr>
            <w:tcW w:w="1102" w:type="dxa"/>
            <w:tcBorders>
              <w:top w:val="nil"/>
              <w:left w:val="nil"/>
              <w:bottom w:val="nil"/>
              <w:right w:val="single" w:sz="4" w:space="0" w:color="auto"/>
            </w:tcBorders>
            <w:noWrap/>
            <w:vAlign w:val="bottom"/>
            <w:hideMark/>
          </w:tcPr>
          <w:p w14:paraId="63C2CEB3" w14:textId="77777777" w:rsidR="00FE461F" w:rsidRPr="005E4BEA" w:rsidRDefault="00FE461F" w:rsidP="00FE461F">
            <w:pPr>
              <w:spacing w:line="240" w:lineRule="auto"/>
              <w:jc w:val="right"/>
              <w:rPr>
                <w:rFonts w:cs="Arial"/>
                <w:szCs w:val="20"/>
              </w:rPr>
            </w:pPr>
            <w:r w:rsidRPr="005E4BEA">
              <w:rPr>
                <w:rFonts w:cs="Arial"/>
                <w:szCs w:val="20"/>
              </w:rPr>
              <w:t>146</w:t>
            </w:r>
          </w:p>
        </w:tc>
        <w:tc>
          <w:tcPr>
            <w:tcW w:w="2011" w:type="dxa"/>
            <w:tcBorders>
              <w:top w:val="nil"/>
              <w:left w:val="nil"/>
              <w:bottom w:val="nil"/>
              <w:right w:val="single" w:sz="4" w:space="0" w:color="auto"/>
            </w:tcBorders>
            <w:noWrap/>
            <w:vAlign w:val="bottom"/>
            <w:hideMark/>
          </w:tcPr>
          <w:p w14:paraId="43809EF7" w14:textId="77777777" w:rsidR="00FE461F" w:rsidRPr="005E4BEA" w:rsidRDefault="00FE461F" w:rsidP="00FE461F">
            <w:pPr>
              <w:spacing w:line="240" w:lineRule="auto"/>
              <w:jc w:val="right"/>
              <w:rPr>
                <w:rFonts w:cs="Arial"/>
                <w:szCs w:val="20"/>
              </w:rPr>
            </w:pPr>
            <w:r w:rsidRPr="005E4BEA">
              <w:rPr>
                <w:rFonts w:cs="Arial"/>
                <w:szCs w:val="20"/>
              </w:rPr>
              <w:t>504</w:t>
            </w:r>
          </w:p>
        </w:tc>
        <w:tc>
          <w:tcPr>
            <w:tcW w:w="1584" w:type="dxa"/>
            <w:tcBorders>
              <w:top w:val="nil"/>
              <w:left w:val="nil"/>
              <w:bottom w:val="nil"/>
              <w:right w:val="single" w:sz="4" w:space="0" w:color="auto"/>
            </w:tcBorders>
            <w:noWrap/>
            <w:vAlign w:val="bottom"/>
            <w:hideMark/>
          </w:tcPr>
          <w:p w14:paraId="385F3FD3" w14:textId="77777777" w:rsidR="00FE461F" w:rsidRPr="005E4BEA" w:rsidRDefault="00FE461F" w:rsidP="00FE461F">
            <w:pPr>
              <w:spacing w:line="240" w:lineRule="auto"/>
              <w:jc w:val="right"/>
              <w:rPr>
                <w:rFonts w:cs="Arial"/>
                <w:szCs w:val="20"/>
              </w:rPr>
            </w:pPr>
            <w:r w:rsidRPr="005E4BEA">
              <w:rPr>
                <w:rFonts w:cs="Arial"/>
                <w:szCs w:val="20"/>
              </w:rPr>
              <w:t>29,0</w:t>
            </w:r>
          </w:p>
        </w:tc>
      </w:tr>
      <w:tr w:rsidR="00FE461F" w:rsidRPr="005E4BEA" w14:paraId="618B003A" w14:textId="77777777" w:rsidTr="0016774B">
        <w:trPr>
          <w:trHeight w:val="189"/>
        </w:trPr>
        <w:tc>
          <w:tcPr>
            <w:tcW w:w="3795" w:type="dxa"/>
            <w:tcBorders>
              <w:top w:val="nil"/>
              <w:left w:val="single" w:sz="4" w:space="0" w:color="auto"/>
              <w:bottom w:val="nil"/>
              <w:right w:val="single" w:sz="4" w:space="0" w:color="auto"/>
            </w:tcBorders>
            <w:hideMark/>
          </w:tcPr>
          <w:p w14:paraId="27B0B5FA" w14:textId="77777777" w:rsidR="00FE461F" w:rsidRPr="005E4BEA" w:rsidRDefault="00FE461F" w:rsidP="00FE461F">
            <w:pPr>
              <w:spacing w:line="240" w:lineRule="auto"/>
              <w:rPr>
                <w:rFonts w:cs="Arial"/>
                <w:szCs w:val="20"/>
              </w:rPr>
            </w:pPr>
            <w:r w:rsidRPr="005E4BEA">
              <w:rPr>
                <w:rFonts w:cs="Arial"/>
                <w:szCs w:val="20"/>
              </w:rPr>
              <w:t>Univerzitetni rehabilitacijski inštitut RS – Soča</w:t>
            </w:r>
          </w:p>
        </w:tc>
        <w:tc>
          <w:tcPr>
            <w:tcW w:w="1022" w:type="dxa"/>
            <w:tcBorders>
              <w:top w:val="nil"/>
              <w:left w:val="nil"/>
              <w:bottom w:val="nil"/>
              <w:right w:val="single" w:sz="4" w:space="0" w:color="auto"/>
            </w:tcBorders>
            <w:noWrap/>
            <w:vAlign w:val="bottom"/>
            <w:hideMark/>
          </w:tcPr>
          <w:p w14:paraId="4141F350" w14:textId="77777777" w:rsidR="00FE461F" w:rsidRPr="005E4BEA" w:rsidRDefault="00FE461F" w:rsidP="00FE461F">
            <w:pPr>
              <w:spacing w:line="240" w:lineRule="auto"/>
              <w:jc w:val="right"/>
              <w:rPr>
                <w:rFonts w:cs="Arial"/>
                <w:szCs w:val="20"/>
              </w:rPr>
            </w:pPr>
            <w:r w:rsidRPr="005E4BEA">
              <w:rPr>
                <w:rFonts w:cs="Arial"/>
                <w:szCs w:val="20"/>
              </w:rPr>
              <w:t>31.12.2016</w:t>
            </w:r>
          </w:p>
        </w:tc>
        <w:tc>
          <w:tcPr>
            <w:tcW w:w="1102" w:type="dxa"/>
            <w:tcBorders>
              <w:top w:val="nil"/>
              <w:left w:val="nil"/>
              <w:bottom w:val="nil"/>
              <w:right w:val="single" w:sz="4" w:space="0" w:color="auto"/>
            </w:tcBorders>
            <w:noWrap/>
            <w:vAlign w:val="bottom"/>
            <w:hideMark/>
          </w:tcPr>
          <w:p w14:paraId="1A202672" w14:textId="77777777" w:rsidR="00FE461F" w:rsidRPr="005E4BEA" w:rsidRDefault="00FE461F" w:rsidP="00FE461F">
            <w:pPr>
              <w:spacing w:line="240" w:lineRule="auto"/>
              <w:jc w:val="right"/>
              <w:rPr>
                <w:rFonts w:cs="Arial"/>
                <w:szCs w:val="20"/>
              </w:rPr>
            </w:pPr>
            <w:r w:rsidRPr="005E4BEA">
              <w:rPr>
                <w:rFonts w:cs="Arial"/>
                <w:szCs w:val="20"/>
              </w:rPr>
              <w:t>148</w:t>
            </w:r>
          </w:p>
        </w:tc>
        <w:tc>
          <w:tcPr>
            <w:tcW w:w="2011" w:type="dxa"/>
            <w:tcBorders>
              <w:top w:val="nil"/>
              <w:left w:val="nil"/>
              <w:bottom w:val="nil"/>
              <w:right w:val="single" w:sz="4" w:space="0" w:color="auto"/>
            </w:tcBorders>
            <w:noWrap/>
            <w:vAlign w:val="bottom"/>
            <w:hideMark/>
          </w:tcPr>
          <w:p w14:paraId="5E6FA9D8" w14:textId="77777777" w:rsidR="00FE461F" w:rsidRPr="005E4BEA" w:rsidRDefault="00FE461F" w:rsidP="00FE461F">
            <w:pPr>
              <w:spacing w:line="240" w:lineRule="auto"/>
              <w:jc w:val="right"/>
              <w:rPr>
                <w:rFonts w:cs="Arial"/>
                <w:szCs w:val="20"/>
              </w:rPr>
            </w:pPr>
            <w:r w:rsidRPr="005E4BEA">
              <w:rPr>
                <w:rFonts w:cs="Arial"/>
                <w:szCs w:val="20"/>
              </w:rPr>
              <w:t>524</w:t>
            </w:r>
          </w:p>
        </w:tc>
        <w:tc>
          <w:tcPr>
            <w:tcW w:w="1584" w:type="dxa"/>
            <w:tcBorders>
              <w:top w:val="nil"/>
              <w:left w:val="nil"/>
              <w:bottom w:val="nil"/>
              <w:right w:val="single" w:sz="4" w:space="0" w:color="auto"/>
            </w:tcBorders>
            <w:noWrap/>
            <w:vAlign w:val="bottom"/>
            <w:hideMark/>
          </w:tcPr>
          <w:p w14:paraId="7CD3B9C7" w14:textId="77777777" w:rsidR="00FE461F" w:rsidRPr="005E4BEA" w:rsidRDefault="00FE461F" w:rsidP="00FE461F">
            <w:pPr>
              <w:spacing w:line="240" w:lineRule="auto"/>
              <w:jc w:val="right"/>
              <w:rPr>
                <w:rFonts w:cs="Arial"/>
                <w:szCs w:val="20"/>
              </w:rPr>
            </w:pPr>
            <w:r w:rsidRPr="005E4BEA">
              <w:rPr>
                <w:rFonts w:cs="Arial"/>
                <w:szCs w:val="20"/>
              </w:rPr>
              <w:t>28,2</w:t>
            </w:r>
          </w:p>
        </w:tc>
      </w:tr>
      <w:tr w:rsidR="00FE461F" w:rsidRPr="005E4BEA" w14:paraId="2F68AA7B" w14:textId="77777777" w:rsidTr="0016774B">
        <w:trPr>
          <w:trHeight w:val="189"/>
        </w:trPr>
        <w:tc>
          <w:tcPr>
            <w:tcW w:w="3795" w:type="dxa"/>
            <w:tcBorders>
              <w:top w:val="nil"/>
              <w:left w:val="single" w:sz="4" w:space="0" w:color="auto"/>
              <w:bottom w:val="nil"/>
              <w:right w:val="single" w:sz="4" w:space="0" w:color="auto"/>
            </w:tcBorders>
            <w:hideMark/>
          </w:tcPr>
          <w:p w14:paraId="2C949181" w14:textId="77777777" w:rsidR="00FE461F" w:rsidRPr="005E4BEA" w:rsidRDefault="00FE461F" w:rsidP="00FE461F">
            <w:pPr>
              <w:spacing w:line="240" w:lineRule="auto"/>
              <w:rPr>
                <w:rFonts w:cs="Arial"/>
                <w:szCs w:val="20"/>
              </w:rPr>
            </w:pPr>
            <w:r w:rsidRPr="005E4BEA">
              <w:rPr>
                <w:rFonts w:cs="Arial"/>
                <w:szCs w:val="20"/>
              </w:rPr>
              <w:t>Univerzitetni rehabilitacijski inštitut RS – Soča</w:t>
            </w:r>
          </w:p>
        </w:tc>
        <w:tc>
          <w:tcPr>
            <w:tcW w:w="1022" w:type="dxa"/>
            <w:tcBorders>
              <w:top w:val="nil"/>
              <w:left w:val="nil"/>
              <w:bottom w:val="nil"/>
              <w:right w:val="single" w:sz="4" w:space="0" w:color="auto"/>
            </w:tcBorders>
            <w:noWrap/>
            <w:vAlign w:val="bottom"/>
            <w:hideMark/>
          </w:tcPr>
          <w:p w14:paraId="5A9ED2EF" w14:textId="77777777" w:rsidR="00FE461F" w:rsidRPr="005E4BEA" w:rsidRDefault="00FE461F" w:rsidP="00FE461F">
            <w:pPr>
              <w:spacing w:line="240" w:lineRule="auto"/>
              <w:jc w:val="right"/>
              <w:rPr>
                <w:rFonts w:cs="Arial"/>
                <w:szCs w:val="20"/>
              </w:rPr>
            </w:pPr>
            <w:r w:rsidRPr="005E4BEA">
              <w:rPr>
                <w:rFonts w:cs="Arial"/>
                <w:szCs w:val="20"/>
              </w:rPr>
              <w:t>31.12.2017</w:t>
            </w:r>
          </w:p>
        </w:tc>
        <w:tc>
          <w:tcPr>
            <w:tcW w:w="1102" w:type="dxa"/>
            <w:tcBorders>
              <w:top w:val="nil"/>
              <w:left w:val="nil"/>
              <w:bottom w:val="nil"/>
              <w:right w:val="single" w:sz="4" w:space="0" w:color="auto"/>
            </w:tcBorders>
            <w:noWrap/>
            <w:vAlign w:val="bottom"/>
            <w:hideMark/>
          </w:tcPr>
          <w:p w14:paraId="1A0F0932" w14:textId="77777777" w:rsidR="00FE461F" w:rsidRPr="005E4BEA" w:rsidRDefault="00FE461F" w:rsidP="00FE461F">
            <w:pPr>
              <w:spacing w:line="240" w:lineRule="auto"/>
              <w:jc w:val="right"/>
              <w:rPr>
                <w:rFonts w:cs="Arial"/>
                <w:szCs w:val="20"/>
              </w:rPr>
            </w:pPr>
            <w:r w:rsidRPr="005E4BEA">
              <w:rPr>
                <w:rFonts w:cs="Arial"/>
                <w:szCs w:val="20"/>
              </w:rPr>
              <w:t>151</w:t>
            </w:r>
          </w:p>
        </w:tc>
        <w:tc>
          <w:tcPr>
            <w:tcW w:w="2011" w:type="dxa"/>
            <w:tcBorders>
              <w:top w:val="nil"/>
              <w:left w:val="nil"/>
              <w:bottom w:val="nil"/>
              <w:right w:val="single" w:sz="4" w:space="0" w:color="auto"/>
            </w:tcBorders>
            <w:noWrap/>
            <w:vAlign w:val="bottom"/>
            <w:hideMark/>
          </w:tcPr>
          <w:p w14:paraId="4DE08BFE" w14:textId="77777777" w:rsidR="00FE461F" w:rsidRPr="005E4BEA" w:rsidRDefault="00FE461F" w:rsidP="00FE461F">
            <w:pPr>
              <w:spacing w:line="240" w:lineRule="auto"/>
              <w:jc w:val="right"/>
              <w:rPr>
                <w:rFonts w:cs="Arial"/>
                <w:szCs w:val="20"/>
              </w:rPr>
            </w:pPr>
            <w:r w:rsidRPr="005E4BEA">
              <w:rPr>
                <w:rFonts w:cs="Arial"/>
                <w:szCs w:val="20"/>
              </w:rPr>
              <w:t>538</w:t>
            </w:r>
          </w:p>
        </w:tc>
        <w:tc>
          <w:tcPr>
            <w:tcW w:w="1584" w:type="dxa"/>
            <w:tcBorders>
              <w:top w:val="nil"/>
              <w:left w:val="nil"/>
              <w:bottom w:val="nil"/>
              <w:right w:val="single" w:sz="4" w:space="0" w:color="auto"/>
            </w:tcBorders>
            <w:noWrap/>
            <w:vAlign w:val="bottom"/>
            <w:hideMark/>
          </w:tcPr>
          <w:p w14:paraId="3A677E65" w14:textId="77777777" w:rsidR="00FE461F" w:rsidRPr="005E4BEA" w:rsidRDefault="00FE461F" w:rsidP="00FE461F">
            <w:pPr>
              <w:spacing w:line="240" w:lineRule="auto"/>
              <w:jc w:val="right"/>
              <w:rPr>
                <w:rFonts w:cs="Arial"/>
                <w:szCs w:val="20"/>
              </w:rPr>
            </w:pPr>
            <w:r w:rsidRPr="005E4BEA">
              <w:rPr>
                <w:rFonts w:cs="Arial"/>
                <w:szCs w:val="20"/>
              </w:rPr>
              <w:t>28,1</w:t>
            </w:r>
          </w:p>
        </w:tc>
      </w:tr>
      <w:tr w:rsidR="00FE461F" w:rsidRPr="005E4BEA" w14:paraId="7505FFD6" w14:textId="77777777" w:rsidTr="0016774B">
        <w:trPr>
          <w:trHeight w:val="189"/>
        </w:trPr>
        <w:tc>
          <w:tcPr>
            <w:tcW w:w="3795" w:type="dxa"/>
            <w:tcBorders>
              <w:top w:val="nil"/>
              <w:left w:val="single" w:sz="4" w:space="0" w:color="auto"/>
              <w:bottom w:val="nil"/>
              <w:right w:val="single" w:sz="4" w:space="0" w:color="auto"/>
            </w:tcBorders>
            <w:hideMark/>
          </w:tcPr>
          <w:p w14:paraId="5D60F697" w14:textId="77777777" w:rsidR="00FE461F" w:rsidRPr="005E4BEA" w:rsidRDefault="00FE461F" w:rsidP="00FE461F">
            <w:pPr>
              <w:spacing w:line="240" w:lineRule="auto"/>
              <w:rPr>
                <w:rFonts w:cs="Arial"/>
                <w:szCs w:val="20"/>
              </w:rPr>
            </w:pPr>
            <w:r w:rsidRPr="005E4BEA">
              <w:rPr>
                <w:rFonts w:cs="Arial"/>
                <w:szCs w:val="20"/>
              </w:rPr>
              <w:t>Univerzitetni rehabilitacijski inštitut RS – Soča</w:t>
            </w:r>
          </w:p>
        </w:tc>
        <w:tc>
          <w:tcPr>
            <w:tcW w:w="1022" w:type="dxa"/>
            <w:tcBorders>
              <w:top w:val="nil"/>
              <w:left w:val="nil"/>
              <w:bottom w:val="nil"/>
              <w:right w:val="single" w:sz="4" w:space="0" w:color="auto"/>
            </w:tcBorders>
            <w:noWrap/>
            <w:vAlign w:val="bottom"/>
            <w:hideMark/>
          </w:tcPr>
          <w:p w14:paraId="6BE0EAC0" w14:textId="77777777" w:rsidR="00FE461F" w:rsidRPr="005E4BEA" w:rsidRDefault="00FE461F" w:rsidP="00FE461F">
            <w:pPr>
              <w:spacing w:line="240" w:lineRule="auto"/>
              <w:jc w:val="right"/>
              <w:rPr>
                <w:rFonts w:cs="Arial"/>
                <w:szCs w:val="20"/>
              </w:rPr>
            </w:pPr>
            <w:r w:rsidRPr="005E4BEA">
              <w:rPr>
                <w:rFonts w:cs="Arial"/>
                <w:szCs w:val="20"/>
              </w:rPr>
              <w:t>31.12.2018</w:t>
            </w:r>
          </w:p>
        </w:tc>
        <w:tc>
          <w:tcPr>
            <w:tcW w:w="1102" w:type="dxa"/>
            <w:tcBorders>
              <w:top w:val="nil"/>
              <w:left w:val="nil"/>
              <w:bottom w:val="nil"/>
              <w:right w:val="single" w:sz="4" w:space="0" w:color="auto"/>
            </w:tcBorders>
            <w:noWrap/>
            <w:vAlign w:val="bottom"/>
            <w:hideMark/>
          </w:tcPr>
          <w:p w14:paraId="2E9AB72B" w14:textId="77777777" w:rsidR="00FE461F" w:rsidRPr="005E4BEA" w:rsidRDefault="00FE461F" w:rsidP="00FE461F">
            <w:pPr>
              <w:spacing w:line="240" w:lineRule="auto"/>
              <w:jc w:val="right"/>
              <w:rPr>
                <w:rFonts w:cs="Arial"/>
                <w:szCs w:val="20"/>
              </w:rPr>
            </w:pPr>
            <w:r w:rsidRPr="005E4BEA">
              <w:rPr>
                <w:rFonts w:cs="Arial"/>
                <w:szCs w:val="20"/>
              </w:rPr>
              <w:t>157</w:t>
            </w:r>
          </w:p>
        </w:tc>
        <w:tc>
          <w:tcPr>
            <w:tcW w:w="2011" w:type="dxa"/>
            <w:tcBorders>
              <w:top w:val="nil"/>
              <w:left w:val="nil"/>
              <w:bottom w:val="nil"/>
              <w:right w:val="single" w:sz="4" w:space="0" w:color="auto"/>
            </w:tcBorders>
            <w:noWrap/>
            <w:vAlign w:val="bottom"/>
            <w:hideMark/>
          </w:tcPr>
          <w:p w14:paraId="0071CA5C" w14:textId="77777777" w:rsidR="00FE461F" w:rsidRPr="005E4BEA" w:rsidRDefault="00FE461F" w:rsidP="00FE461F">
            <w:pPr>
              <w:spacing w:line="240" w:lineRule="auto"/>
              <w:jc w:val="right"/>
              <w:rPr>
                <w:rFonts w:cs="Arial"/>
                <w:szCs w:val="20"/>
              </w:rPr>
            </w:pPr>
            <w:r w:rsidRPr="005E4BEA">
              <w:rPr>
                <w:rFonts w:cs="Arial"/>
                <w:szCs w:val="20"/>
              </w:rPr>
              <w:t>570</w:t>
            </w:r>
          </w:p>
        </w:tc>
        <w:tc>
          <w:tcPr>
            <w:tcW w:w="1584" w:type="dxa"/>
            <w:tcBorders>
              <w:top w:val="nil"/>
              <w:left w:val="nil"/>
              <w:bottom w:val="nil"/>
              <w:right w:val="single" w:sz="4" w:space="0" w:color="auto"/>
            </w:tcBorders>
            <w:noWrap/>
            <w:vAlign w:val="bottom"/>
            <w:hideMark/>
          </w:tcPr>
          <w:p w14:paraId="286CE7D1" w14:textId="77777777" w:rsidR="00FE461F" w:rsidRPr="005E4BEA" w:rsidRDefault="00FE461F" w:rsidP="00FE461F">
            <w:pPr>
              <w:spacing w:line="240" w:lineRule="auto"/>
              <w:jc w:val="right"/>
              <w:rPr>
                <w:rFonts w:cs="Arial"/>
                <w:szCs w:val="20"/>
              </w:rPr>
            </w:pPr>
            <w:r w:rsidRPr="005E4BEA">
              <w:rPr>
                <w:rFonts w:cs="Arial"/>
                <w:szCs w:val="20"/>
              </w:rPr>
              <w:t>27,5</w:t>
            </w:r>
          </w:p>
        </w:tc>
      </w:tr>
      <w:tr w:rsidR="00FE461F" w:rsidRPr="005E4BEA" w14:paraId="1C036F62" w14:textId="77777777" w:rsidTr="0016774B">
        <w:trPr>
          <w:trHeight w:val="189"/>
        </w:trPr>
        <w:tc>
          <w:tcPr>
            <w:tcW w:w="3795" w:type="dxa"/>
            <w:tcBorders>
              <w:top w:val="nil"/>
              <w:left w:val="single" w:sz="4" w:space="0" w:color="auto"/>
              <w:bottom w:val="nil"/>
              <w:right w:val="single" w:sz="4" w:space="0" w:color="auto"/>
            </w:tcBorders>
            <w:hideMark/>
          </w:tcPr>
          <w:p w14:paraId="0234A1F4" w14:textId="77777777" w:rsidR="00FE461F" w:rsidRPr="005E4BEA" w:rsidRDefault="00FE461F" w:rsidP="00FE461F">
            <w:pPr>
              <w:spacing w:line="240" w:lineRule="auto"/>
              <w:rPr>
                <w:rFonts w:cs="Arial"/>
                <w:szCs w:val="20"/>
              </w:rPr>
            </w:pPr>
            <w:r w:rsidRPr="005E4BEA">
              <w:rPr>
                <w:rFonts w:cs="Arial"/>
                <w:szCs w:val="20"/>
              </w:rPr>
              <w:t>Univerzitetni rehabilitacijski inštitut RS – Soča</w:t>
            </w:r>
          </w:p>
        </w:tc>
        <w:tc>
          <w:tcPr>
            <w:tcW w:w="1022" w:type="dxa"/>
            <w:tcBorders>
              <w:top w:val="nil"/>
              <w:left w:val="nil"/>
              <w:bottom w:val="nil"/>
              <w:right w:val="single" w:sz="4" w:space="0" w:color="auto"/>
            </w:tcBorders>
            <w:noWrap/>
            <w:vAlign w:val="bottom"/>
            <w:hideMark/>
          </w:tcPr>
          <w:p w14:paraId="3835CA69" w14:textId="77777777" w:rsidR="00FE461F" w:rsidRPr="005E4BEA" w:rsidRDefault="00FE461F" w:rsidP="00FE461F">
            <w:pPr>
              <w:spacing w:line="240" w:lineRule="auto"/>
              <w:jc w:val="right"/>
              <w:rPr>
                <w:rFonts w:cs="Arial"/>
                <w:szCs w:val="20"/>
              </w:rPr>
            </w:pPr>
            <w:r w:rsidRPr="005E4BEA">
              <w:rPr>
                <w:rFonts w:cs="Arial"/>
                <w:szCs w:val="20"/>
              </w:rPr>
              <w:t>31.12.2019</w:t>
            </w:r>
          </w:p>
        </w:tc>
        <w:tc>
          <w:tcPr>
            <w:tcW w:w="1102" w:type="dxa"/>
            <w:tcBorders>
              <w:top w:val="nil"/>
              <w:left w:val="nil"/>
              <w:bottom w:val="nil"/>
              <w:right w:val="single" w:sz="4" w:space="0" w:color="auto"/>
            </w:tcBorders>
            <w:noWrap/>
            <w:vAlign w:val="bottom"/>
            <w:hideMark/>
          </w:tcPr>
          <w:p w14:paraId="02A2DD8A" w14:textId="77777777" w:rsidR="00FE461F" w:rsidRPr="005E4BEA" w:rsidRDefault="00FE461F" w:rsidP="00FE461F">
            <w:pPr>
              <w:spacing w:line="240" w:lineRule="auto"/>
              <w:jc w:val="right"/>
              <w:rPr>
                <w:rFonts w:cs="Arial"/>
                <w:szCs w:val="20"/>
              </w:rPr>
            </w:pPr>
            <w:r w:rsidRPr="005E4BEA">
              <w:rPr>
                <w:rFonts w:cs="Arial"/>
                <w:szCs w:val="20"/>
              </w:rPr>
              <w:t>160</w:t>
            </w:r>
          </w:p>
        </w:tc>
        <w:tc>
          <w:tcPr>
            <w:tcW w:w="2011" w:type="dxa"/>
            <w:tcBorders>
              <w:top w:val="nil"/>
              <w:left w:val="nil"/>
              <w:bottom w:val="nil"/>
              <w:right w:val="single" w:sz="4" w:space="0" w:color="auto"/>
            </w:tcBorders>
            <w:noWrap/>
            <w:vAlign w:val="bottom"/>
            <w:hideMark/>
          </w:tcPr>
          <w:p w14:paraId="3D19B4E0" w14:textId="77777777" w:rsidR="00FE461F" w:rsidRPr="005E4BEA" w:rsidRDefault="00FE461F" w:rsidP="00FE461F">
            <w:pPr>
              <w:spacing w:line="240" w:lineRule="auto"/>
              <w:jc w:val="right"/>
              <w:rPr>
                <w:rFonts w:cs="Arial"/>
                <w:szCs w:val="20"/>
              </w:rPr>
            </w:pPr>
            <w:r w:rsidRPr="005E4BEA">
              <w:rPr>
                <w:rFonts w:cs="Arial"/>
                <w:szCs w:val="20"/>
              </w:rPr>
              <w:t>578</w:t>
            </w:r>
          </w:p>
        </w:tc>
        <w:tc>
          <w:tcPr>
            <w:tcW w:w="1584" w:type="dxa"/>
            <w:tcBorders>
              <w:top w:val="nil"/>
              <w:left w:val="nil"/>
              <w:bottom w:val="nil"/>
              <w:right w:val="single" w:sz="4" w:space="0" w:color="auto"/>
            </w:tcBorders>
            <w:noWrap/>
            <w:vAlign w:val="bottom"/>
            <w:hideMark/>
          </w:tcPr>
          <w:p w14:paraId="1E3CC2A1" w14:textId="77777777" w:rsidR="00FE461F" w:rsidRPr="005E4BEA" w:rsidRDefault="00FE461F" w:rsidP="00FE461F">
            <w:pPr>
              <w:spacing w:line="240" w:lineRule="auto"/>
              <w:jc w:val="right"/>
              <w:rPr>
                <w:rFonts w:cs="Arial"/>
                <w:szCs w:val="20"/>
              </w:rPr>
            </w:pPr>
            <w:r w:rsidRPr="005E4BEA">
              <w:rPr>
                <w:rFonts w:cs="Arial"/>
                <w:szCs w:val="20"/>
              </w:rPr>
              <w:t>27,7</w:t>
            </w:r>
          </w:p>
        </w:tc>
      </w:tr>
      <w:tr w:rsidR="00FE461F" w:rsidRPr="005E4BEA" w14:paraId="5AF81A41"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4AD4D4B9" w14:textId="77777777" w:rsidR="00FE461F" w:rsidRPr="005E4BEA" w:rsidRDefault="00FE461F" w:rsidP="00FE461F">
            <w:pPr>
              <w:spacing w:line="240" w:lineRule="auto"/>
              <w:rPr>
                <w:rFonts w:cs="Arial"/>
                <w:szCs w:val="20"/>
              </w:rPr>
            </w:pPr>
            <w:r w:rsidRPr="005E4BEA">
              <w:rPr>
                <w:rFonts w:cs="Arial"/>
                <w:szCs w:val="20"/>
              </w:rPr>
              <w:t>Univerzitetni rehabilitacijski inštitut RS – Soča</w:t>
            </w:r>
          </w:p>
        </w:tc>
        <w:tc>
          <w:tcPr>
            <w:tcW w:w="1022" w:type="dxa"/>
            <w:tcBorders>
              <w:top w:val="nil"/>
              <w:left w:val="nil"/>
              <w:bottom w:val="single" w:sz="4" w:space="0" w:color="auto"/>
              <w:right w:val="single" w:sz="4" w:space="0" w:color="auto"/>
            </w:tcBorders>
            <w:noWrap/>
            <w:vAlign w:val="bottom"/>
            <w:hideMark/>
          </w:tcPr>
          <w:p w14:paraId="61F19A0B" w14:textId="77777777" w:rsidR="00FE461F" w:rsidRPr="005E4BEA" w:rsidRDefault="00FE461F" w:rsidP="00FE461F">
            <w:pPr>
              <w:spacing w:line="240" w:lineRule="auto"/>
              <w:jc w:val="right"/>
              <w:rPr>
                <w:rFonts w:cs="Arial"/>
                <w:szCs w:val="20"/>
              </w:rPr>
            </w:pPr>
            <w:r w:rsidRPr="005E4BEA">
              <w:rPr>
                <w:rFonts w:cs="Arial"/>
                <w:szCs w:val="20"/>
              </w:rPr>
              <w:t>31.12.2020</w:t>
            </w:r>
          </w:p>
        </w:tc>
        <w:tc>
          <w:tcPr>
            <w:tcW w:w="1102" w:type="dxa"/>
            <w:tcBorders>
              <w:top w:val="nil"/>
              <w:left w:val="nil"/>
              <w:bottom w:val="single" w:sz="4" w:space="0" w:color="auto"/>
              <w:right w:val="single" w:sz="4" w:space="0" w:color="auto"/>
            </w:tcBorders>
            <w:noWrap/>
            <w:vAlign w:val="bottom"/>
            <w:hideMark/>
          </w:tcPr>
          <w:p w14:paraId="0CAF73DD" w14:textId="77777777" w:rsidR="00FE461F" w:rsidRPr="005E4BEA" w:rsidRDefault="00FE461F" w:rsidP="00FE461F">
            <w:pPr>
              <w:spacing w:line="240" w:lineRule="auto"/>
              <w:jc w:val="right"/>
              <w:rPr>
                <w:rFonts w:cs="Arial"/>
                <w:szCs w:val="20"/>
              </w:rPr>
            </w:pPr>
            <w:r w:rsidRPr="005E4BEA">
              <w:rPr>
                <w:rFonts w:cs="Arial"/>
                <w:szCs w:val="20"/>
              </w:rPr>
              <w:t>176</w:t>
            </w:r>
          </w:p>
        </w:tc>
        <w:tc>
          <w:tcPr>
            <w:tcW w:w="2011" w:type="dxa"/>
            <w:tcBorders>
              <w:top w:val="nil"/>
              <w:left w:val="nil"/>
              <w:bottom w:val="single" w:sz="4" w:space="0" w:color="auto"/>
              <w:right w:val="single" w:sz="4" w:space="0" w:color="auto"/>
            </w:tcBorders>
            <w:noWrap/>
            <w:vAlign w:val="bottom"/>
            <w:hideMark/>
          </w:tcPr>
          <w:p w14:paraId="41FC8CEC" w14:textId="77777777" w:rsidR="00FE461F" w:rsidRPr="005E4BEA" w:rsidRDefault="00FE461F" w:rsidP="00FE461F">
            <w:pPr>
              <w:spacing w:line="240" w:lineRule="auto"/>
              <w:jc w:val="right"/>
              <w:rPr>
                <w:rFonts w:cs="Arial"/>
                <w:szCs w:val="20"/>
              </w:rPr>
            </w:pPr>
            <w:r w:rsidRPr="005E4BEA">
              <w:rPr>
                <w:rFonts w:cs="Arial"/>
                <w:szCs w:val="20"/>
              </w:rPr>
              <w:t>602</w:t>
            </w:r>
          </w:p>
        </w:tc>
        <w:tc>
          <w:tcPr>
            <w:tcW w:w="1584" w:type="dxa"/>
            <w:tcBorders>
              <w:top w:val="nil"/>
              <w:left w:val="nil"/>
              <w:bottom w:val="single" w:sz="4" w:space="0" w:color="auto"/>
              <w:right w:val="single" w:sz="4" w:space="0" w:color="auto"/>
            </w:tcBorders>
            <w:noWrap/>
            <w:vAlign w:val="bottom"/>
            <w:hideMark/>
          </w:tcPr>
          <w:p w14:paraId="10B716F3" w14:textId="77777777" w:rsidR="00FE461F" w:rsidRPr="005E4BEA" w:rsidRDefault="00FE461F" w:rsidP="00FE461F">
            <w:pPr>
              <w:spacing w:line="240" w:lineRule="auto"/>
              <w:jc w:val="right"/>
              <w:rPr>
                <w:rFonts w:cs="Arial"/>
                <w:szCs w:val="20"/>
              </w:rPr>
            </w:pPr>
            <w:r w:rsidRPr="005E4BEA">
              <w:rPr>
                <w:rFonts w:cs="Arial"/>
                <w:szCs w:val="20"/>
              </w:rPr>
              <w:t>29,2</w:t>
            </w:r>
          </w:p>
        </w:tc>
      </w:tr>
      <w:tr w:rsidR="00FE461F" w:rsidRPr="005E4BEA" w14:paraId="418CDB35" w14:textId="77777777" w:rsidTr="0016774B">
        <w:trPr>
          <w:trHeight w:val="189"/>
        </w:trPr>
        <w:tc>
          <w:tcPr>
            <w:tcW w:w="3795" w:type="dxa"/>
            <w:tcBorders>
              <w:top w:val="nil"/>
              <w:left w:val="single" w:sz="4" w:space="0" w:color="auto"/>
              <w:bottom w:val="nil"/>
              <w:right w:val="single" w:sz="4" w:space="0" w:color="auto"/>
            </w:tcBorders>
            <w:hideMark/>
          </w:tcPr>
          <w:p w14:paraId="7B140F5E" w14:textId="77777777" w:rsidR="00FE461F" w:rsidRPr="005E4BEA" w:rsidRDefault="00FE461F" w:rsidP="00FE461F">
            <w:pPr>
              <w:spacing w:line="240" w:lineRule="auto"/>
              <w:rPr>
                <w:rFonts w:cs="Arial"/>
                <w:b/>
                <w:bCs/>
                <w:szCs w:val="20"/>
              </w:rPr>
            </w:pPr>
            <w:r w:rsidRPr="005E4BEA">
              <w:rPr>
                <w:rFonts w:cs="Arial"/>
                <w:b/>
                <w:bCs/>
                <w:szCs w:val="20"/>
              </w:rPr>
              <w:t>Vse bolnišnice skupaj</w:t>
            </w:r>
          </w:p>
        </w:tc>
        <w:tc>
          <w:tcPr>
            <w:tcW w:w="1022" w:type="dxa"/>
            <w:tcBorders>
              <w:top w:val="nil"/>
              <w:left w:val="nil"/>
              <w:bottom w:val="nil"/>
              <w:right w:val="single" w:sz="4" w:space="0" w:color="auto"/>
            </w:tcBorders>
            <w:noWrap/>
            <w:vAlign w:val="bottom"/>
            <w:hideMark/>
          </w:tcPr>
          <w:p w14:paraId="4B9E8E98" w14:textId="77777777" w:rsidR="00FE461F" w:rsidRPr="005E4BEA" w:rsidRDefault="00FE461F" w:rsidP="00FE461F">
            <w:pPr>
              <w:spacing w:line="240" w:lineRule="auto"/>
              <w:jc w:val="right"/>
              <w:rPr>
                <w:rFonts w:cs="Arial"/>
                <w:b/>
                <w:bCs/>
                <w:szCs w:val="20"/>
              </w:rPr>
            </w:pPr>
            <w:r w:rsidRPr="005E4BEA">
              <w:rPr>
                <w:rFonts w:cs="Arial"/>
                <w:b/>
                <w:bCs/>
                <w:szCs w:val="20"/>
              </w:rPr>
              <w:t>31.12.2015</w:t>
            </w:r>
          </w:p>
        </w:tc>
        <w:tc>
          <w:tcPr>
            <w:tcW w:w="1102" w:type="dxa"/>
            <w:tcBorders>
              <w:top w:val="nil"/>
              <w:left w:val="nil"/>
              <w:bottom w:val="nil"/>
              <w:right w:val="single" w:sz="4" w:space="0" w:color="auto"/>
            </w:tcBorders>
            <w:noWrap/>
            <w:vAlign w:val="bottom"/>
            <w:hideMark/>
          </w:tcPr>
          <w:p w14:paraId="1CD14A64" w14:textId="77777777" w:rsidR="00FE461F" w:rsidRPr="005E4BEA" w:rsidRDefault="00FE461F" w:rsidP="00FE461F">
            <w:pPr>
              <w:spacing w:line="240" w:lineRule="auto"/>
              <w:jc w:val="right"/>
              <w:rPr>
                <w:rFonts w:cs="Arial"/>
                <w:b/>
                <w:bCs/>
                <w:szCs w:val="20"/>
              </w:rPr>
            </w:pPr>
            <w:r w:rsidRPr="005E4BEA">
              <w:rPr>
                <w:rFonts w:cs="Arial"/>
                <w:b/>
                <w:bCs/>
                <w:szCs w:val="20"/>
              </w:rPr>
              <w:t>5.430</w:t>
            </w:r>
          </w:p>
        </w:tc>
        <w:tc>
          <w:tcPr>
            <w:tcW w:w="2011" w:type="dxa"/>
            <w:tcBorders>
              <w:top w:val="nil"/>
              <w:left w:val="nil"/>
              <w:bottom w:val="nil"/>
              <w:right w:val="single" w:sz="4" w:space="0" w:color="auto"/>
            </w:tcBorders>
            <w:noWrap/>
            <w:vAlign w:val="bottom"/>
            <w:hideMark/>
          </w:tcPr>
          <w:p w14:paraId="241FAAC2" w14:textId="77777777" w:rsidR="00FE461F" w:rsidRPr="005E4BEA" w:rsidRDefault="00FE461F" w:rsidP="00FE461F">
            <w:pPr>
              <w:spacing w:line="240" w:lineRule="auto"/>
              <w:jc w:val="right"/>
              <w:rPr>
                <w:rFonts w:cs="Arial"/>
                <w:b/>
                <w:bCs/>
                <w:szCs w:val="20"/>
              </w:rPr>
            </w:pPr>
            <w:r w:rsidRPr="005E4BEA">
              <w:rPr>
                <w:rFonts w:cs="Arial"/>
                <w:b/>
                <w:bCs/>
                <w:szCs w:val="20"/>
              </w:rPr>
              <w:t>20.615</w:t>
            </w:r>
          </w:p>
        </w:tc>
        <w:tc>
          <w:tcPr>
            <w:tcW w:w="1584" w:type="dxa"/>
            <w:tcBorders>
              <w:top w:val="nil"/>
              <w:left w:val="nil"/>
              <w:bottom w:val="nil"/>
              <w:right w:val="single" w:sz="4" w:space="0" w:color="auto"/>
            </w:tcBorders>
            <w:noWrap/>
            <w:vAlign w:val="bottom"/>
            <w:hideMark/>
          </w:tcPr>
          <w:p w14:paraId="6DE69271" w14:textId="77777777" w:rsidR="00FE461F" w:rsidRPr="005E4BEA" w:rsidRDefault="00FE461F" w:rsidP="00FE461F">
            <w:pPr>
              <w:spacing w:line="240" w:lineRule="auto"/>
              <w:jc w:val="right"/>
              <w:rPr>
                <w:rFonts w:cs="Arial"/>
                <w:b/>
                <w:bCs/>
                <w:szCs w:val="20"/>
              </w:rPr>
            </w:pPr>
            <w:r w:rsidRPr="005E4BEA">
              <w:rPr>
                <w:rFonts w:cs="Arial"/>
                <w:b/>
                <w:bCs/>
                <w:szCs w:val="20"/>
              </w:rPr>
              <w:t>26,3</w:t>
            </w:r>
          </w:p>
        </w:tc>
      </w:tr>
      <w:tr w:rsidR="00FE461F" w:rsidRPr="005E4BEA" w14:paraId="2D2CB778" w14:textId="77777777" w:rsidTr="0016774B">
        <w:trPr>
          <w:trHeight w:val="189"/>
        </w:trPr>
        <w:tc>
          <w:tcPr>
            <w:tcW w:w="3795" w:type="dxa"/>
            <w:tcBorders>
              <w:top w:val="nil"/>
              <w:left w:val="single" w:sz="4" w:space="0" w:color="auto"/>
              <w:bottom w:val="nil"/>
              <w:right w:val="single" w:sz="4" w:space="0" w:color="auto"/>
            </w:tcBorders>
            <w:hideMark/>
          </w:tcPr>
          <w:p w14:paraId="53C2584B" w14:textId="77777777" w:rsidR="00FE461F" w:rsidRPr="005E4BEA" w:rsidRDefault="00FE461F" w:rsidP="00FE461F">
            <w:pPr>
              <w:spacing w:line="240" w:lineRule="auto"/>
              <w:rPr>
                <w:rFonts w:cs="Arial"/>
                <w:b/>
                <w:bCs/>
                <w:szCs w:val="20"/>
              </w:rPr>
            </w:pPr>
            <w:r w:rsidRPr="005E4BEA">
              <w:rPr>
                <w:rFonts w:cs="Arial"/>
                <w:b/>
                <w:bCs/>
                <w:szCs w:val="20"/>
              </w:rPr>
              <w:t>Vse bolnišnice skupaj</w:t>
            </w:r>
          </w:p>
        </w:tc>
        <w:tc>
          <w:tcPr>
            <w:tcW w:w="1022" w:type="dxa"/>
            <w:tcBorders>
              <w:top w:val="nil"/>
              <w:left w:val="nil"/>
              <w:bottom w:val="nil"/>
              <w:right w:val="single" w:sz="4" w:space="0" w:color="auto"/>
            </w:tcBorders>
            <w:noWrap/>
            <w:vAlign w:val="bottom"/>
            <w:hideMark/>
          </w:tcPr>
          <w:p w14:paraId="61C21F7E" w14:textId="77777777" w:rsidR="00FE461F" w:rsidRPr="005E4BEA" w:rsidRDefault="00FE461F" w:rsidP="00FE461F">
            <w:pPr>
              <w:spacing w:line="240" w:lineRule="auto"/>
              <w:jc w:val="right"/>
              <w:rPr>
                <w:rFonts w:cs="Arial"/>
                <w:b/>
                <w:bCs/>
                <w:szCs w:val="20"/>
              </w:rPr>
            </w:pPr>
            <w:r w:rsidRPr="005E4BEA">
              <w:rPr>
                <w:rFonts w:cs="Arial"/>
                <w:b/>
                <w:bCs/>
                <w:szCs w:val="20"/>
              </w:rPr>
              <w:t>31.12.2016</w:t>
            </w:r>
          </w:p>
        </w:tc>
        <w:tc>
          <w:tcPr>
            <w:tcW w:w="1102" w:type="dxa"/>
            <w:tcBorders>
              <w:top w:val="nil"/>
              <w:left w:val="nil"/>
              <w:bottom w:val="nil"/>
              <w:right w:val="single" w:sz="4" w:space="0" w:color="auto"/>
            </w:tcBorders>
            <w:noWrap/>
            <w:vAlign w:val="bottom"/>
            <w:hideMark/>
          </w:tcPr>
          <w:p w14:paraId="6F3F1457" w14:textId="77777777" w:rsidR="00FE461F" w:rsidRPr="005E4BEA" w:rsidRDefault="00FE461F" w:rsidP="00FE461F">
            <w:pPr>
              <w:spacing w:line="240" w:lineRule="auto"/>
              <w:jc w:val="right"/>
              <w:rPr>
                <w:rFonts w:cs="Arial"/>
                <w:b/>
                <w:bCs/>
                <w:szCs w:val="20"/>
              </w:rPr>
            </w:pPr>
            <w:r w:rsidRPr="005E4BEA">
              <w:rPr>
                <w:rFonts w:cs="Arial"/>
                <w:b/>
                <w:bCs/>
                <w:szCs w:val="20"/>
              </w:rPr>
              <w:t>5.643</w:t>
            </w:r>
          </w:p>
        </w:tc>
        <w:tc>
          <w:tcPr>
            <w:tcW w:w="2011" w:type="dxa"/>
            <w:tcBorders>
              <w:top w:val="nil"/>
              <w:left w:val="nil"/>
              <w:bottom w:val="nil"/>
              <w:right w:val="single" w:sz="4" w:space="0" w:color="auto"/>
            </w:tcBorders>
            <w:noWrap/>
            <w:vAlign w:val="bottom"/>
            <w:hideMark/>
          </w:tcPr>
          <w:p w14:paraId="61FC3933" w14:textId="77777777" w:rsidR="00FE461F" w:rsidRPr="005E4BEA" w:rsidRDefault="00FE461F" w:rsidP="00FE461F">
            <w:pPr>
              <w:spacing w:line="240" w:lineRule="auto"/>
              <w:jc w:val="right"/>
              <w:rPr>
                <w:rFonts w:cs="Arial"/>
                <w:b/>
                <w:bCs/>
                <w:szCs w:val="20"/>
              </w:rPr>
            </w:pPr>
            <w:r w:rsidRPr="005E4BEA">
              <w:rPr>
                <w:rFonts w:cs="Arial"/>
                <w:b/>
                <w:bCs/>
                <w:szCs w:val="20"/>
              </w:rPr>
              <w:t>21.467</w:t>
            </w:r>
          </w:p>
        </w:tc>
        <w:tc>
          <w:tcPr>
            <w:tcW w:w="1584" w:type="dxa"/>
            <w:tcBorders>
              <w:top w:val="nil"/>
              <w:left w:val="nil"/>
              <w:bottom w:val="nil"/>
              <w:right w:val="single" w:sz="4" w:space="0" w:color="auto"/>
            </w:tcBorders>
            <w:noWrap/>
            <w:vAlign w:val="bottom"/>
            <w:hideMark/>
          </w:tcPr>
          <w:p w14:paraId="242B5370" w14:textId="77777777" w:rsidR="00FE461F" w:rsidRPr="005E4BEA" w:rsidRDefault="00FE461F" w:rsidP="00FE461F">
            <w:pPr>
              <w:spacing w:line="240" w:lineRule="auto"/>
              <w:jc w:val="right"/>
              <w:rPr>
                <w:rFonts w:cs="Arial"/>
                <w:b/>
                <w:bCs/>
                <w:szCs w:val="20"/>
              </w:rPr>
            </w:pPr>
            <w:r w:rsidRPr="005E4BEA">
              <w:rPr>
                <w:rFonts w:cs="Arial"/>
                <w:b/>
                <w:bCs/>
                <w:szCs w:val="20"/>
              </w:rPr>
              <w:t>26,3</w:t>
            </w:r>
          </w:p>
        </w:tc>
      </w:tr>
      <w:tr w:rsidR="00FE461F" w:rsidRPr="005E4BEA" w14:paraId="618A8134" w14:textId="77777777" w:rsidTr="0016774B">
        <w:trPr>
          <w:trHeight w:val="189"/>
        </w:trPr>
        <w:tc>
          <w:tcPr>
            <w:tcW w:w="3795" w:type="dxa"/>
            <w:tcBorders>
              <w:top w:val="nil"/>
              <w:left w:val="single" w:sz="4" w:space="0" w:color="auto"/>
              <w:bottom w:val="nil"/>
              <w:right w:val="single" w:sz="4" w:space="0" w:color="auto"/>
            </w:tcBorders>
            <w:hideMark/>
          </w:tcPr>
          <w:p w14:paraId="278750E2" w14:textId="77777777" w:rsidR="00FE461F" w:rsidRPr="005E4BEA" w:rsidRDefault="00FE461F" w:rsidP="00FE461F">
            <w:pPr>
              <w:spacing w:line="240" w:lineRule="auto"/>
              <w:rPr>
                <w:rFonts w:cs="Arial"/>
                <w:b/>
                <w:bCs/>
                <w:szCs w:val="20"/>
              </w:rPr>
            </w:pPr>
            <w:r w:rsidRPr="005E4BEA">
              <w:rPr>
                <w:rFonts w:cs="Arial"/>
                <w:b/>
                <w:bCs/>
                <w:szCs w:val="20"/>
              </w:rPr>
              <w:t>Vse bolnišnice skupaj</w:t>
            </w:r>
          </w:p>
        </w:tc>
        <w:tc>
          <w:tcPr>
            <w:tcW w:w="1022" w:type="dxa"/>
            <w:tcBorders>
              <w:top w:val="nil"/>
              <w:left w:val="nil"/>
              <w:bottom w:val="nil"/>
              <w:right w:val="single" w:sz="4" w:space="0" w:color="auto"/>
            </w:tcBorders>
            <w:noWrap/>
            <w:vAlign w:val="bottom"/>
            <w:hideMark/>
          </w:tcPr>
          <w:p w14:paraId="0D36C339" w14:textId="77777777" w:rsidR="00FE461F" w:rsidRPr="005E4BEA" w:rsidRDefault="00FE461F" w:rsidP="00FE461F">
            <w:pPr>
              <w:spacing w:line="240" w:lineRule="auto"/>
              <w:jc w:val="right"/>
              <w:rPr>
                <w:rFonts w:cs="Arial"/>
                <w:b/>
                <w:bCs/>
                <w:szCs w:val="20"/>
              </w:rPr>
            </w:pPr>
            <w:r w:rsidRPr="005E4BEA">
              <w:rPr>
                <w:rFonts w:cs="Arial"/>
                <w:b/>
                <w:bCs/>
                <w:szCs w:val="20"/>
              </w:rPr>
              <w:t>31.12.2017</w:t>
            </w:r>
          </w:p>
        </w:tc>
        <w:tc>
          <w:tcPr>
            <w:tcW w:w="1102" w:type="dxa"/>
            <w:tcBorders>
              <w:top w:val="nil"/>
              <w:left w:val="nil"/>
              <w:bottom w:val="nil"/>
              <w:right w:val="single" w:sz="4" w:space="0" w:color="auto"/>
            </w:tcBorders>
            <w:noWrap/>
            <w:vAlign w:val="bottom"/>
            <w:hideMark/>
          </w:tcPr>
          <w:p w14:paraId="08EC2260" w14:textId="77777777" w:rsidR="00FE461F" w:rsidRPr="005E4BEA" w:rsidRDefault="00FE461F" w:rsidP="00FE461F">
            <w:pPr>
              <w:spacing w:line="240" w:lineRule="auto"/>
              <w:jc w:val="right"/>
              <w:rPr>
                <w:rFonts w:cs="Arial"/>
                <w:b/>
                <w:bCs/>
                <w:szCs w:val="20"/>
              </w:rPr>
            </w:pPr>
            <w:r w:rsidRPr="005E4BEA">
              <w:rPr>
                <w:rFonts w:cs="Arial"/>
                <w:b/>
                <w:bCs/>
                <w:szCs w:val="20"/>
              </w:rPr>
              <w:t>5.723</w:t>
            </w:r>
          </w:p>
        </w:tc>
        <w:tc>
          <w:tcPr>
            <w:tcW w:w="2011" w:type="dxa"/>
            <w:tcBorders>
              <w:top w:val="nil"/>
              <w:left w:val="nil"/>
              <w:bottom w:val="nil"/>
              <w:right w:val="single" w:sz="4" w:space="0" w:color="auto"/>
            </w:tcBorders>
            <w:noWrap/>
            <w:vAlign w:val="bottom"/>
            <w:hideMark/>
          </w:tcPr>
          <w:p w14:paraId="65EF66FC" w14:textId="77777777" w:rsidR="00FE461F" w:rsidRPr="005E4BEA" w:rsidRDefault="00FE461F" w:rsidP="00FE461F">
            <w:pPr>
              <w:spacing w:line="240" w:lineRule="auto"/>
              <w:jc w:val="right"/>
              <w:rPr>
                <w:rFonts w:cs="Arial"/>
                <w:b/>
                <w:bCs/>
                <w:szCs w:val="20"/>
              </w:rPr>
            </w:pPr>
            <w:r w:rsidRPr="005E4BEA">
              <w:rPr>
                <w:rFonts w:cs="Arial"/>
                <w:b/>
                <w:bCs/>
                <w:szCs w:val="20"/>
              </w:rPr>
              <w:t>22.000</w:t>
            </w:r>
          </w:p>
        </w:tc>
        <w:tc>
          <w:tcPr>
            <w:tcW w:w="1584" w:type="dxa"/>
            <w:tcBorders>
              <w:top w:val="nil"/>
              <w:left w:val="nil"/>
              <w:bottom w:val="nil"/>
              <w:right w:val="single" w:sz="4" w:space="0" w:color="auto"/>
            </w:tcBorders>
            <w:noWrap/>
            <w:vAlign w:val="bottom"/>
            <w:hideMark/>
          </w:tcPr>
          <w:p w14:paraId="2C4EAE89" w14:textId="77777777" w:rsidR="00FE461F" w:rsidRPr="005E4BEA" w:rsidRDefault="00FE461F" w:rsidP="00FE461F">
            <w:pPr>
              <w:spacing w:line="240" w:lineRule="auto"/>
              <w:jc w:val="right"/>
              <w:rPr>
                <w:rFonts w:cs="Arial"/>
                <w:b/>
                <w:bCs/>
                <w:szCs w:val="20"/>
              </w:rPr>
            </w:pPr>
            <w:r w:rsidRPr="005E4BEA">
              <w:rPr>
                <w:rFonts w:cs="Arial"/>
                <w:b/>
                <w:bCs/>
                <w:szCs w:val="20"/>
              </w:rPr>
              <w:t>26,0</w:t>
            </w:r>
          </w:p>
        </w:tc>
      </w:tr>
      <w:tr w:rsidR="00FE461F" w:rsidRPr="005E4BEA" w14:paraId="205A284D" w14:textId="77777777" w:rsidTr="0016774B">
        <w:trPr>
          <w:trHeight w:val="189"/>
        </w:trPr>
        <w:tc>
          <w:tcPr>
            <w:tcW w:w="3795" w:type="dxa"/>
            <w:tcBorders>
              <w:top w:val="nil"/>
              <w:left w:val="single" w:sz="4" w:space="0" w:color="auto"/>
              <w:bottom w:val="nil"/>
              <w:right w:val="single" w:sz="4" w:space="0" w:color="auto"/>
            </w:tcBorders>
            <w:hideMark/>
          </w:tcPr>
          <w:p w14:paraId="198B9404" w14:textId="77777777" w:rsidR="00FE461F" w:rsidRPr="005E4BEA" w:rsidRDefault="00FE461F" w:rsidP="00FE461F">
            <w:pPr>
              <w:spacing w:line="240" w:lineRule="auto"/>
              <w:rPr>
                <w:rFonts w:cs="Arial"/>
                <w:b/>
                <w:bCs/>
                <w:szCs w:val="20"/>
              </w:rPr>
            </w:pPr>
            <w:r w:rsidRPr="005E4BEA">
              <w:rPr>
                <w:rFonts w:cs="Arial"/>
                <w:b/>
                <w:bCs/>
                <w:szCs w:val="20"/>
              </w:rPr>
              <w:t>Vse bolnišnice skupaj</w:t>
            </w:r>
          </w:p>
        </w:tc>
        <w:tc>
          <w:tcPr>
            <w:tcW w:w="1022" w:type="dxa"/>
            <w:tcBorders>
              <w:top w:val="nil"/>
              <w:left w:val="nil"/>
              <w:bottom w:val="nil"/>
              <w:right w:val="single" w:sz="4" w:space="0" w:color="auto"/>
            </w:tcBorders>
            <w:noWrap/>
            <w:vAlign w:val="bottom"/>
            <w:hideMark/>
          </w:tcPr>
          <w:p w14:paraId="1ABA150D" w14:textId="77777777" w:rsidR="00FE461F" w:rsidRPr="005E4BEA" w:rsidRDefault="00FE461F" w:rsidP="00FE461F">
            <w:pPr>
              <w:spacing w:line="240" w:lineRule="auto"/>
              <w:jc w:val="right"/>
              <w:rPr>
                <w:rFonts w:cs="Arial"/>
                <w:b/>
                <w:bCs/>
                <w:szCs w:val="20"/>
              </w:rPr>
            </w:pPr>
            <w:r w:rsidRPr="005E4BEA">
              <w:rPr>
                <w:rFonts w:cs="Arial"/>
                <w:b/>
                <w:bCs/>
                <w:szCs w:val="20"/>
              </w:rPr>
              <w:t>31.12.2018</w:t>
            </w:r>
          </w:p>
        </w:tc>
        <w:tc>
          <w:tcPr>
            <w:tcW w:w="1102" w:type="dxa"/>
            <w:tcBorders>
              <w:top w:val="nil"/>
              <w:left w:val="nil"/>
              <w:bottom w:val="nil"/>
              <w:right w:val="single" w:sz="4" w:space="0" w:color="auto"/>
            </w:tcBorders>
            <w:noWrap/>
            <w:vAlign w:val="bottom"/>
            <w:hideMark/>
          </w:tcPr>
          <w:p w14:paraId="6FC66504" w14:textId="77777777" w:rsidR="00FE461F" w:rsidRPr="005E4BEA" w:rsidRDefault="00FE461F" w:rsidP="00FE461F">
            <w:pPr>
              <w:spacing w:line="240" w:lineRule="auto"/>
              <w:jc w:val="right"/>
              <w:rPr>
                <w:rFonts w:cs="Arial"/>
                <w:b/>
                <w:bCs/>
                <w:szCs w:val="20"/>
              </w:rPr>
            </w:pPr>
            <w:r w:rsidRPr="005E4BEA">
              <w:rPr>
                <w:rFonts w:cs="Arial"/>
                <w:b/>
                <w:bCs/>
                <w:szCs w:val="20"/>
              </w:rPr>
              <w:t>5.842</w:t>
            </w:r>
          </w:p>
        </w:tc>
        <w:tc>
          <w:tcPr>
            <w:tcW w:w="2011" w:type="dxa"/>
            <w:tcBorders>
              <w:top w:val="nil"/>
              <w:left w:val="nil"/>
              <w:bottom w:val="nil"/>
              <w:right w:val="single" w:sz="4" w:space="0" w:color="auto"/>
            </w:tcBorders>
            <w:noWrap/>
            <w:vAlign w:val="bottom"/>
            <w:hideMark/>
          </w:tcPr>
          <w:p w14:paraId="291E4DBB" w14:textId="77777777" w:rsidR="00FE461F" w:rsidRPr="005E4BEA" w:rsidRDefault="00FE461F" w:rsidP="00FE461F">
            <w:pPr>
              <w:spacing w:line="240" w:lineRule="auto"/>
              <w:jc w:val="right"/>
              <w:rPr>
                <w:rFonts w:cs="Arial"/>
                <w:b/>
                <w:bCs/>
                <w:szCs w:val="20"/>
              </w:rPr>
            </w:pPr>
            <w:r w:rsidRPr="005E4BEA">
              <w:rPr>
                <w:rFonts w:cs="Arial"/>
                <w:b/>
                <w:bCs/>
                <w:szCs w:val="20"/>
              </w:rPr>
              <w:t>22.783</w:t>
            </w:r>
          </w:p>
        </w:tc>
        <w:tc>
          <w:tcPr>
            <w:tcW w:w="1584" w:type="dxa"/>
            <w:tcBorders>
              <w:top w:val="nil"/>
              <w:left w:val="nil"/>
              <w:bottom w:val="nil"/>
              <w:right w:val="single" w:sz="4" w:space="0" w:color="auto"/>
            </w:tcBorders>
            <w:noWrap/>
            <w:vAlign w:val="bottom"/>
            <w:hideMark/>
          </w:tcPr>
          <w:p w14:paraId="0A98BB68" w14:textId="77777777" w:rsidR="00FE461F" w:rsidRPr="005E4BEA" w:rsidRDefault="00FE461F" w:rsidP="00FE461F">
            <w:pPr>
              <w:spacing w:line="240" w:lineRule="auto"/>
              <w:jc w:val="right"/>
              <w:rPr>
                <w:rFonts w:cs="Arial"/>
                <w:b/>
                <w:bCs/>
                <w:szCs w:val="20"/>
              </w:rPr>
            </w:pPr>
            <w:r w:rsidRPr="005E4BEA">
              <w:rPr>
                <w:rFonts w:cs="Arial"/>
                <w:b/>
                <w:bCs/>
                <w:szCs w:val="20"/>
              </w:rPr>
              <w:t>25,6</w:t>
            </w:r>
          </w:p>
        </w:tc>
      </w:tr>
      <w:tr w:rsidR="00FE461F" w:rsidRPr="005E4BEA" w14:paraId="0C5E45CC" w14:textId="77777777" w:rsidTr="0016774B">
        <w:trPr>
          <w:trHeight w:val="189"/>
        </w:trPr>
        <w:tc>
          <w:tcPr>
            <w:tcW w:w="3795" w:type="dxa"/>
            <w:tcBorders>
              <w:top w:val="nil"/>
              <w:left w:val="single" w:sz="4" w:space="0" w:color="auto"/>
              <w:bottom w:val="nil"/>
              <w:right w:val="single" w:sz="4" w:space="0" w:color="auto"/>
            </w:tcBorders>
            <w:hideMark/>
          </w:tcPr>
          <w:p w14:paraId="3DC8C932" w14:textId="77777777" w:rsidR="00FE461F" w:rsidRPr="005E4BEA" w:rsidRDefault="00FE461F" w:rsidP="00FE461F">
            <w:pPr>
              <w:spacing w:line="240" w:lineRule="auto"/>
              <w:rPr>
                <w:rFonts w:cs="Arial"/>
                <w:b/>
                <w:bCs/>
                <w:szCs w:val="20"/>
              </w:rPr>
            </w:pPr>
            <w:r w:rsidRPr="005E4BEA">
              <w:rPr>
                <w:rFonts w:cs="Arial"/>
                <w:b/>
                <w:bCs/>
                <w:szCs w:val="20"/>
              </w:rPr>
              <w:t>Vse bolnišnice skupaj</w:t>
            </w:r>
          </w:p>
        </w:tc>
        <w:tc>
          <w:tcPr>
            <w:tcW w:w="1022" w:type="dxa"/>
            <w:tcBorders>
              <w:top w:val="nil"/>
              <w:left w:val="nil"/>
              <w:bottom w:val="nil"/>
              <w:right w:val="single" w:sz="4" w:space="0" w:color="auto"/>
            </w:tcBorders>
            <w:noWrap/>
            <w:vAlign w:val="bottom"/>
            <w:hideMark/>
          </w:tcPr>
          <w:p w14:paraId="5ADB57FB" w14:textId="77777777" w:rsidR="00FE461F" w:rsidRPr="005E4BEA" w:rsidRDefault="00FE461F" w:rsidP="00FE461F">
            <w:pPr>
              <w:spacing w:line="240" w:lineRule="auto"/>
              <w:jc w:val="right"/>
              <w:rPr>
                <w:rFonts w:cs="Arial"/>
                <w:b/>
                <w:bCs/>
                <w:szCs w:val="20"/>
              </w:rPr>
            </w:pPr>
            <w:r w:rsidRPr="005E4BEA">
              <w:rPr>
                <w:rFonts w:cs="Arial"/>
                <w:b/>
                <w:bCs/>
                <w:szCs w:val="20"/>
              </w:rPr>
              <w:t>31.12.2019</w:t>
            </w:r>
          </w:p>
        </w:tc>
        <w:tc>
          <w:tcPr>
            <w:tcW w:w="1102" w:type="dxa"/>
            <w:tcBorders>
              <w:top w:val="nil"/>
              <w:left w:val="nil"/>
              <w:bottom w:val="nil"/>
              <w:right w:val="single" w:sz="4" w:space="0" w:color="auto"/>
            </w:tcBorders>
            <w:noWrap/>
            <w:vAlign w:val="bottom"/>
            <w:hideMark/>
          </w:tcPr>
          <w:p w14:paraId="2BCB29B4" w14:textId="77777777" w:rsidR="00FE461F" w:rsidRPr="005E4BEA" w:rsidRDefault="00FE461F" w:rsidP="00FE461F">
            <w:pPr>
              <w:spacing w:line="240" w:lineRule="auto"/>
              <w:jc w:val="right"/>
              <w:rPr>
                <w:rFonts w:cs="Arial"/>
                <w:b/>
                <w:bCs/>
                <w:szCs w:val="20"/>
              </w:rPr>
            </w:pPr>
            <w:r w:rsidRPr="005E4BEA">
              <w:rPr>
                <w:rFonts w:cs="Arial"/>
                <w:b/>
                <w:bCs/>
                <w:szCs w:val="20"/>
              </w:rPr>
              <w:t>5.935</w:t>
            </w:r>
          </w:p>
        </w:tc>
        <w:tc>
          <w:tcPr>
            <w:tcW w:w="2011" w:type="dxa"/>
            <w:tcBorders>
              <w:top w:val="nil"/>
              <w:left w:val="nil"/>
              <w:bottom w:val="nil"/>
              <w:right w:val="single" w:sz="4" w:space="0" w:color="auto"/>
            </w:tcBorders>
            <w:noWrap/>
            <w:vAlign w:val="bottom"/>
            <w:hideMark/>
          </w:tcPr>
          <w:p w14:paraId="2C0B98FC" w14:textId="77777777" w:rsidR="00FE461F" w:rsidRPr="005E4BEA" w:rsidRDefault="00FE461F" w:rsidP="00FE461F">
            <w:pPr>
              <w:spacing w:line="240" w:lineRule="auto"/>
              <w:jc w:val="right"/>
              <w:rPr>
                <w:rFonts w:cs="Arial"/>
                <w:b/>
                <w:bCs/>
                <w:szCs w:val="20"/>
              </w:rPr>
            </w:pPr>
            <w:r w:rsidRPr="005E4BEA">
              <w:rPr>
                <w:rFonts w:cs="Arial"/>
                <w:b/>
                <w:bCs/>
                <w:szCs w:val="20"/>
              </w:rPr>
              <w:t>22.728</w:t>
            </w:r>
          </w:p>
        </w:tc>
        <w:tc>
          <w:tcPr>
            <w:tcW w:w="1584" w:type="dxa"/>
            <w:tcBorders>
              <w:top w:val="nil"/>
              <w:left w:val="nil"/>
              <w:bottom w:val="nil"/>
              <w:right w:val="single" w:sz="4" w:space="0" w:color="auto"/>
            </w:tcBorders>
            <w:noWrap/>
            <w:vAlign w:val="bottom"/>
            <w:hideMark/>
          </w:tcPr>
          <w:p w14:paraId="53F8D709" w14:textId="77777777" w:rsidR="00FE461F" w:rsidRPr="005E4BEA" w:rsidRDefault="00FE461F" w:rsidP="00FE461F">
            <w:pPr>
              <w:spacing w:line="240" w:lineRule="auto"/>
              <w:jc w:val="right"/>
              <w:rPr>
                <w:rFonts w:cs="Arial"/>
                <w:b/>
                <w:bCs/>
                <w:szCs w:val="20"/>
              </w:rPr>
            </w:pPr>
            <w:r w:rsidRPr="005E4BEA">
              <w:rPr>
                <w:rFonts w:cs="Arial"/>
                <w:b/>
                <w:bCs/>
                <w:szCs w:val="20"/>
              </w:rPr>
              <w:t>26,1</w:t>
            </w:r>
          </w:p>
        </w:tc>
      </w:tr>
      <w:tr w:rsidR="00FE461F" w:rsidRPr="005E4BEA" w14:paraId="070C17D7" w14:textId="77777777" w:rsidTr="0016774B">
        <w:trPr>
          <w:trHeight w:val="189"/>
        </w:trPr>
        <w:tc>
          <w:tcPr>
            <w:tcW w:w="3795" w:type="dxa"/>
            <w:tcBorders>
              <w:top w:val="nil"/>
              <w:left w:val="single" w:sz="4" w:space="0" w:color="auto"/>
              <w:bottom w:val="single" w:sz="4" w:space="0" w:color="auto"/>
              <w:right w:val="single" w:sz="4" w:space="0" w:color="auto"/>
            </w:tcBorders>
            <w:hideMark/>
          </w:tcPr>
          <w:p w14:paraId="17A84834" w14:textId="77777777" w:rsidR="00FE461F" w:rsidRPr="005E4BEA" w:rsidRDefault="00FE461F" w:rsidP="00FE461F">
            <w:pPr>
              <w:spacing w:line="240" w:lineRule="auto"/>
              <w:rPr>
                <w:rFonts w:cs="Arial"/>
                <w:b/>
                <w:bCs/>
                <w:szCs w:val="20"/>
              </w:rPr>
            </w:pPr>
            <w:r w:rsidRPr="005E4BEA">
              <w:rPr>
                <w:rFonts w:cs="Arial"/>
                <w:b/>
                <w:bCs/>
                <w:szCs w:val="20"/>
              </w:rPr>
              <w:t>Vse bolnišnice skupaj</w:t>
            </w:r>
          </w:p>
        </w:tc>
        <w:tc>
          <w:tcPr>
            <w:tcW w:w="1022" w:type="dxa"/>
            <w:tcBorders>
              <w:top w:val="nil"/>
              <w:left w:val="nil"/>
              <w:bottom w:val="single" w:sz="4" w:space="0" w:color="auto"/>
              <w:right w:val="single" w:sz="4" w:space="0" w:color="auto"/>
            </w:tcBorders>
            <w:noWrap/>
            <w:vAlign w:val="bottom"/>
            <w:hideMark/>
          </w:tcPr>
          <w:p w14:paraId="2DE6A2FF" w14:textId="77777777" w:rsidR="00FE461F" w:rsidRPr="005E4BEA" w:rsidRDefault="00FE461F" w:rsidP="00FE461F">
            <w:pPr>
              <w:spacing w:line="240" w:lineRule="auto"/>
              <w:jc w:val="right"/>
              <w:rPr>
                <w:rFonts w:cs="Arial"/>
                <w:b/>
                <w:bCs/>
                <w:szCs w:val="20"/>
              </w:rPr>
            </w:pPr>
            <w:r w:rsidRPr="005E4BEA">
              <w:rPr>
                <w:rFonts w:cs="Arial"/>
                <w:b/>
                <w:bCs/>
                <w:szCs w:val="20"/>
              </w:rPr>
              <w:t>31.12.2020</w:t>
            </w:r>
          </w:p>
        </w:tc>
        <w:tc>
          <w:tcPr>
            <w:tcW w:w="1102" w:type="dxa"/>
            <w:tcBorders>
              <w:top w:val="nil"/>
              <w:left w:val="nil"/>
              <w:bottom w:val="single" w:sz="4" w:space="0" w:color="auto"/>
              <w:right w:val="single" w:sz="4" w:space="0" w:color="auto"/>
            </w:tcBorders>
            <w:noWrap/>
            <w:vAlign w:val="bottom"/>
            <w:hideMark/>
          </w:tcPr>
          <w:p w14:paraId="0407DBA5" w14:textId="77777777" w:rsidR="00FE461F" w:rsidRPr="005E4BEA" w:rsidRDefault="00FE461F" w:rsidP="00FE461F">
            <w:pPr>
              <w:spacing w:line="240" w:lineRule="auto"/>
              <w:jc w:val="right"/>
              <w:rPr>
                <w:rFonts w:cs="Arial"/>
                <w:b/>
                <w:bCs/>
                <w:szCs w:val="20"/>
              </w:rPr>
            </w:pPr>
            <w:r w:rsidRPr="005E4BEA">
              <w:rPr>
                <w:rFonts w:cs="Arial"/>
                <w:b/>
                <w:bCs/>
                <w:szCs w:val="20"/>
              </w:rPr>
              <w:t>6.096</w:t>
            </w:r>
          </w:p>
        </w:tc>
        <w:tc>
          <w:tcPr>
            <w:tcW w:w="2011" w:type="dxa"/>
            <w:tcBorders>
              <w:top w:val="nil"/>
              <w:left w:val="nil"/>
              <w:bottom w:val="single" w:sz="4" w:space="0" w:color="auto"/>
              <w:right w:val="single" w:sz="4" w:space="0" w:color="auto"/>
            </w:tcBorders>
            <w:noWrap/>
            <w:vAlign w:val="bottom"/>
            <w:hideMark/>
          </w:tcPr>
          <w:p w14:paraId="3C81F599" w14:textId="77777777" w:rsidR="00FE461F" w:rsidRPr="005E4BEA" w:rsidRDefault="00FE461F" w:rsidP="00FE461F">
            <w:pPr>
              <w:spacing w:line="240" w:lineRule="auto"/>
              <w:jc w:val="right"/>
              <w:rPr>
                <w:rFonts w:cs="Arial"/>
                <w:b/>
                <w:bCs/>
                <w:szCs w:val="20"/>
              </w:rPr>
            </w:pPr>
            <w:r w:rsidRPr="005E4BEA">
              <w:rPr>
                <w:rFonts w:cs="Arial"/>
                <w:b/>
                <w:bCs/>
                <w:szCs w:val="20"/>
              </w:rPr>
              <w:t>23.072</w:t>
            </w:r>
          </w:p>
        </w:tc>
        <w:tc>
          <w:tcPr>
            <w:tcW w:w="1584" w:type="dxa"/>
            <w:tcBorders>
              <w:top w:val="nil"/>
              <w:left w:val="nil"/>
              <w:bottom w:val="single" w:sz="4" w:space="0" w:color="auto"/>
              <w:right w:val="single" w:sz="4" w:space="0" w:color="auto"/>
            </w:tcBorders>
            <w:noWrap/>
            <w:vAlign w:val="bottom"/>
            <w:hideMark/>
          </w:tcPr>
          <w:p w14:paraId="60B7D24F" w14:textId="77777777" w:rsidR="00FE461F" w:rsidRPr="005E4BEA" w:rsidRDefault="00FE461F" w:rsidP="00FE461F">
            <w:pPr>
              <w:spacing w:line="240" w:lineRule="auto"/>
              <w:jc w:val="right"/>
              <w:rPr>
                <w:rFonts w:cs="Arial"/>
                <w:b/>
                <w:bCs/>
                <w:szCs w:val="20"/>
              </w:rPr>
            </w:pPr>
            <w:r w:rsidRPr="005E4BEA">
              <w:rPr>
                <w:rFonts w:cs="Arial"/>
                <w:b/>
                <w:bCs/>
                <w:szCs w:val="20"/>
              </w:rPr>
              <w:t>26,4</w:t>
            </w:r>
          </w:p>
        </w:tc>
      </w:tr>
    </w:tbl>
    <w:p w14:paraId="75FB3F3C" w14:textId="77777777" w:rsidR="00FE461F" w:rsidRPr="005E4BEA" w:rsidRDefault="00FE461F" w:rsidP="00FE461F">
      <w:pPr>
        <w:spacing w:line="240" w:lineRule="auto"/>
        <w:rPr>
          <w:rFonts w:cs="Arial"/>
          <w:i/>
          <w:iCs/>
          <w:color w:val="808080" w:themeColor="background1" w:themeShade="80"/>
          <w:szCs w:val="20"/>
        </w:rPr>
      </w:pPr>
    </w:p>
    <w:p w14:paraId="42B5E07A"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Podatki kažejo, da od leta 2015 število ATK v bolnišnicah v nominalni vrednosti ves čas narašča. Tako je od leta 2015 do 2020 število zaposlenih ATK naraslo za 12,3 procentov </w:t>
      </w:r>
      <w:r w:rsidRPr="005E4BEA">
        <w:rPr>
          <w:rFonts w:cs="Arial"/>
          <w:i/>
          <w:iCs/>
          <w:color w:val="808080" w:themeColor="background1" w:themeShade="80"/>
          <w:szCs w:val="20"/>
        </w:rPr>
        <w:lastRenderedPageBreak/>
        <w:t xml:space="preserve">medtem, kot je v istem obdobju število vseh zaposlenih naraslo za 11,9 odstotkov . Ker je trend naraščanja zaposlovanja ATK večji kot je trend naraščanja vseh zaposlenih Združenje predlaga, da se dvig ATK za bolnišnice iz priznanega 15,27 procenta, ki ne sledi dejanskim stroškom zaposlovanja ATK, v bolnišnicam dvigne na 26,4 procenta, kot je razmerje v letu 2020. </w:t>
      </w:r>
    </w:p>
    <w:p w14:paraId="56716F9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Finančna ocena spremembe priznanega obsega ATK iz 15,27 procenta na 26,4 procenta v standardih bolnišnične ravni znaša 47 mio € na letni ravni. </w:t>
      </w:r>
    </w:p>
    <w:p w14:paraId="58D250A3" w14:textId="77777777" w:rsidR="00FE461F" w:rsidRPr="005E4BEA" w:rsidRDefault="00FE461F" w:rsidP="00FE461F">
      <w:pPr>
        <w:spacing w:line="240" w:lineRule="auto"/>
        <w:rPr>
          <w:rFonts w:cs="Arial"/>
          <w:i/>
          <w:iCs/>
          <w:color w:val="808080" w:themeColor="background1" w:themeShade="80"/>
          <w:szCs w:val="20"/>
        </w:rPr>
      </w:pPr>
    </w:p>
    <w:p w14:paraId="17770D84" w14:textId="27A95B23" w:rsidR="00A96E31" w:rsidRPr="005E4BEA" w:rsidRDefault="00A96E31" w:rsidP="00A96E31">
      <w:pPr>
        <w:spacing w:line="240" w:lineRule="auto"/>
        <w:jc w:val="both"/>
        <w:rPr>
          <w:rFonts w:cs="Arial"/>
          <w:i/>
          <w:iCs/>
          <w:color w:val="808080" w:themeColor="background1" w:themeShade="80"/>
          <w:szCs w:val="20"/>
        </w:rPr>
      </w:pPr>
    </w:p>
    <w:p w14:paraId="271A2588" w14:textId="77777777" w:rsidR="00DC37BC" w:rsidRPr="005E4BEA" w:rsidRDefault="00DC37BC" w:rsidP="00A96E31">
      <w:pPr>
        <w:spacing w:line="240" w:lineRule="auto"/>
        <w:jc w:val="both"/>
        <w:rPr>
          <w:rFonts w:cs="Arial"/>
          <w:i/>
          <w:iCs/>
          <w:color w:val="808080" w:themeColor="background1" w:themeShade="80"/>
          <w:szCs w:val="20"/>
        </w:rPr>
      </w:pPr>
    </w:p>
    <w:p w14:paraId="624619B9" w14:textId="5A72735C" w:rsidR="009C46E1" w:rsidRPr="005E4BEA" w:rsidRDefault="00A96E31" w:rsidP="00A96E3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197609" w:rsidRPr="005E4BEA">
        <w:rPr>
          <w:rFonts w:eastAsia="Arial Narrow" w:cs="Arial"/>
          <w:szCs w:val="20"/>
        </w:rPr>
        <w:t xml:space="preserve"> </w:t>
      </w:r>
      <w:r w:rsidR="009C46E1" w:rsidRPr="005E4BEA">
        <w:rPr>
          <w:rFonts w:eastAsia="Arial Narrow" w:cs="Arial"/>
          <w:szCs w:val="20"/>
        </w:rPr>
        <w:t>N</w:t>
      </w:r>
      <w:r w:rsidR="00E45331" w:rsidRPr="005E4BEA">
        <w:rPr>
          <w:rFonts w:eastAsia="Arial Narrow" w:cs="Arial"/>
          <w:szCs w:val="20"/>
        </w:rPr>
        <w:t>a</w:t>
      </w:r>
      <w:r w:rsidR="009C46E1" w:rsidRPr="005E4BEA">
        <w:rPr>
          <w:rFonts w:eastAsia="Arial Narrow" w:cs="Arial"/>
          <w:szCs w:val="20"/>
        </w:rPr>
        <w:t xml:space="preserve"> podlagi podatkov </w:t>
      </w:r>
      <w:r w:rsidR="00197609" w:rsidRPr="005E4BEA">
        <w:rPr>
          <w:rFonts w:eastAsia="Arial Narrow" w:cs="Arial"/>
          <w:szCs w:val="20"/>
        </w:rPr>
        <w:t>iz uradnih evidenc M</w:t>
      </w:r>
      <w:r w:rsidR="009C46E1" w:rsidRPr="005E4BEA">
        <w:rPr>
          <w:rFonts w:eastAsia="Arial Narrow" w:cs="Arial"/>
          <w:szCs w:val="20"/>
        </w:rPr>
        <w:t>inistrstva za javno upravo izhaja, da je povprečni plačni razred ATK v bolnišnicah v obdobju 2019</w:t>
      </w:r>
      <w:r w:rsidR="00E45331" w:rsidRPr="005E4BEA">
        <w:rPr>
          <w:rFonts w:eastAsia="Arial Narrow" w:cs="Arial"/>
          <w:szCs w:val="20"/>
        </w:rPr>
        <w:t xml:space="preserve"> </w:t>
      </w:r>
      <w:r w:rsidR="009C46E1" w:rsidRPr="005E4BEA">
        <w:rPr>
          <w:rFonts w:eastAsia="Arial Narrow" w:cs="Arial"/>
          <w:szCs w:val="20"/>
        </w:rPr>
        <w:t>-</w:t>
      </w:r>
      <w:r w:rsidR="00E45331" w:rsidRPr="005E4BEA">
        <w:rPr>
          <w:rFonts w:eastAsia="Arial Narrow" w:cs="Arial"/>
          <w:szCs w:val="20"/>
        </w:rPr>
        <w:t xml:space="preserve"> </w:t>
      </w:r>
      <w:r w:rsidR="009C46E1" w:rsidRPr="005E4BEA">
        <w:rPr>
          <w:rFonts w:eastAsia="Arial Narrow" w:cs="Arial"/>
          <w:szCs w:val="20"/>
        </w:rPr>
        <w:t xml:space="preserve">2021 znašal </w:t>
      </w:r>
      <w:r w:rsidR="00E45331" w:rsidRPr="005E4BEA">
        <w:rPr>
          <w:rFonts w:eastAsia="Arial Narrow" w:cs="Arial"/>
          <w:szCs w:val="20"/>
        </w:rPr>
        <w:t>med 25,4 in 27,5 kar pomeni, da je upoštevanje 28 P.R. v kalkulacijah ustrezno.</w:t>
      </w:r>
    </w:p>
    <w:p w14:paraId="1297BDF1" w14:textId="77777777" w:rsidR="009C46E1" w:rsidRPr="005E4BEA" w:rsidRDefault="009C46E1" w:rsidP="00A96E31">
      <w:pPr>
        <w:autoSpaceDE w:val="0"/>
        <w:autoSpaceDN w:val="0"/>
        <w:adjustRightInd w:val="0"/>
        <w:spacing w:line="0" w:lineRule="atLeast"/>
        <w:jc w:val="both"/>
        <w:rPr>
          <w:rFonts w:eastAsia="Arial Narrow" w:cs="Arial"/>
          <w:szCs w:val="20"/>
        </w:rPr>
      </w:pPr>
    </w:p>
    <w:p w14:paraId="4CE4EA22" w14:textId="77777777" w:rsidR="00A96E31" w:rsidRPr="005E4BEA" w:rsidRDefault="00A96E31" w:rsidP="00A96E31">
      <w:pPr>
        <w:spacing w:line="0" w:lineRule="atLeast"/>
        <w:jc w:val="both"/>
        <w:rPr>
          <w:rFonts w:eastAsia="Arial Narrow" w:cs="Arial"/>
          <w:szCs w:val="20"/>
          <w:lang w:eastAsia="sl-SI"/>
        </w:rPr>
      </w:pPr>
    </w:p>
    <w:p w14:paraId="2087096C" w14:textId="4E72201D" w:rsidR="00FF679B" w:rsidRPr="005E4BEA" w:rsidRDefault="00A96E31" w:rsidP="007A7482">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21" w:name="_Hlk102465716"/>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w:t>
      </w:r>
      <w:r w:rsidR="00FF679B" w:rsidRPr="005E4BEA">
        <w:rPr>
          <w:rFonts w:eastAsia="Arial Narrow" w:cs="Arial"/>
          <w:szCs w:val="20"/>
        </w:rPr>
        <w:t>7</w:t>
      </w:r>
      <w:r w:rsidRPr="005E4BEA">
        <w:rPr>
          <w:rFonts w:eastAsia="Arial Narrow" w:cs="Arial"/>
          <w:szCs w:val="20"/>
        </w:rPr>
        <w:t>. člen Splošnega dogovora za pogodbeno leto 2022 ne spremeni.</w:t>
      </w:r>
    </w:p>
    <w:bookmarkEnd w:id="21"/>
    <w:p w14:paraId="0B46D227" w14:textId="77777777" w:rsidR="007A7482" w:rsidRPr="005E4BEA" w:rsidRDefault="007A7482" w:rsidP="007A7482">
      <w:pPr>
        <w:spacing w:line="0" w:lineRule="atLeast"/>
        <w:jc w:val="both"/>
        <w:rPr>
          <w:rFonts w:eastAsia="Arial Narrow" w:cs="Arial"/>
          <w:szCs w:val="20"/>
        </w:rPr>
      </w:pPr>
    </w:p>
    <w:p w14:paraId="19C09DE1" w14:textId="10880555" w:rsidR="00A96E31" w:rsidRPr="005E4BEA" w:rsidRDefault="00A96E31"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w:t>
      </w:r>
    </w:p>
    <w:p w14:paraId="497629E7" w14:textId="55326F6A" w:rsidR="00A96E31" w:rsidRPr="005E4BEA" w:rsidRDefault="00A96E31" w:rsidP="00FE461F">
      <w:pPr>
        <w:spacing w:line="240" w:lineRule="auto"/>
        <w:rPr>
          <w:rFonts w:cs="Arial"/>
          <w:i/>
          <w:iCs/>
          <w:color w:val="808080" w:themeColor="background1" w:themeShade="80"/>
          <w:szCs w:val="20"/>
        </w:rPr>
      </w:pPr>
    </w:p>
    <w:p w14:paraId="66BAFCEA" w14:textId="4D24B541" w:rsidR="00FE461F" w:rsidRPr="005E4BEA" w:rsidRDefault="00A96E31" w:rsidP="00FE461F">
      <w:pPr>
        <w:spacing w:line="240" w:lineRule="auto"/>
        <w:jc w:val="both"/>
        <w:rPr>
          <w:rFonts w:cs="Arial"/>
          <w:b/>
          <w:bCs/>
          <w:szCs w:val="20"/>
        </w:rPr>
      </w:pPr>
      <w:r w:rsidRPr="005E4BEA">
        <w:rPr>
          <w:rFonts w:eastAsia="Arial Narrow" w:cs="Arial"/>
          <w:b/>
          <w:szCs w:val="20"/>
        </w:rPr>
        <w:t>Zdravniška zbornica Slovenije</w:t>
      </w:r>
      <w:r w:rsidRPr="005E4BEA">
        <w:rPr>
          <w:rFonts w:eastAsia="Arial Narrow" w:cs="Arial"/>
          <w:szCs w:val="20"/>
        </w:rPr>
        <w:t xml:space="preserve"> predlaga, da se v</w:t>
      </w:r>
      <w:r w:rsidR="00FE461F" w:rsidRPr="005E4BEA">
        <w:rPr>
          <w:rFonts w:cs="Arial"/>
          <w:szCs w:val="20"/>
        </w:rPr>
        <w:t xml:space="preserve"> 9. členu doda nov 4. odstavek, ki se glasi:</w:t>
      </w:r>
    </w:p>
    <w:p w14:paraId="2E857A38" w14:textId="77777777" w:rsidR="00FE461F" w:rsidRPr="005E4BEA" w:rsidRDefault="00FE461F" w:rsidP="00FE461F">
      <w:pPr>
        <w:spacing w:line="240" w:lineRule="auto"/>
        <w:jc w:val="both"/>
        <w:rPr>
          <w:rFonts w:cs="Arial"/>
          <w:szCs w:val="20"/>
        </w:rPr>
      </w:pPr>
      <w:r w:rsidRPr="005E4BEA">
        <w:rPr>
          <w:rFonts w:cs="Arial"/>
          <w:szCs w:val="20"/>
        </w:rPr>
        <w:t xml:space="preserve">»V cenah zdravstvenih storitev se zagotovijo sredstva za pokrivanje stroškov dela, ki izhajajo iz določb  Zakonov o ukrepih na področju plač in drugih stroškov dela v javnem sektorju za leto 2015, 2016 in 2017 (Uradni list RS, št. 95/14, 90/15 in 88/16)) in 66. člena ZZVZZ. V cenah zdravstvenih storitev se upoštevajo tudi med Vlado Republike Slovenije in reprezentativni sindikati javnega sektorja z aneksi h kolektivnim pogodbam, ki veljajo za dejavnost zdravstva (in socialnega varstva) sprejete spremembe od dneva uporabe posameznih določil naprej.« </w:t>
      </w:r>
    </w:p>
    <w:p w14:paraId="51AE8EAF" w14:textId="77777777" w:rsidR="00FE461F" w:rsidRPr="005E4BEA" w:rsidRDefault="00FE461F" w:rsidP="00FE461F">
      <w:pPr>
        <w:spacing w:before="180" w:after="60" w:line="240" w:lineRule="auto"/>
        <w:jc w:val="both"/>
        <w:rPr>
          <w:rFonts w:cs="Arial"/>
          <w:b/>
          <w:bCs/>
          <w:color w:val="808080" w:themeColor="background1" w:themeShade="80"/>
          <w:szCs w:val="20"/>
          <w:u w:val="single"/>
          <w:lang w:eastAsia="sl-SI"/>
        </w:rPr>
      </w:pPr>
      <w:r w:rsidRPr="005E4BEA">
        <w:rPr>
          <w:rFonts w:cs="Arial"/>
          <w:b/>
          <w:bCs/>
          <w:color w:val="808080" w:themeColor="background1" w:themeShade="80"/>
          <w:szCs w:val="20"/>
          <w:u w:val="single"/>
          <w:lang w:eastAsia="sl-SI"/>
        </w:rPr>
        <w:t xml:space="preserve">Obrazložitev: </w:t>
      </w:r>
    </w:p>
    <w:p w14:paraId="30A4AF5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 cenah zdravstvenih storitev se upoštevajo tudi med Vlado Republike Slovenije in reprezentativni sindikati javnega sektorja z aneksi h kolektivnim pogodbam sprejete spremembe, ki veljajo za dejavnost zdravstva (in socialnega varstva) od dneva uporabe posameznih določil naprej.</w:t>
      </w:r>
    </w:p>
    <w:p w14:paraId="38E72EF7"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8018077" w14:textId="77777777" w:rsidR="00FE461F" w:rsidRPr="005E4BEA" w:rsidRDefault="00FE461F" w:rsidP="00FE461F">
      <w:pPr>
        <w:spacing w:line="240" w:lineRule="auto"/>
        <w:jc w:val="both"/>
        <w:rPr>
          <w:rFonts w:eastAsiaTheme="minorHAnsi" w:cs="Arial"/>
          <w:b/>
          <w:bCs/>
          <w:i/>
          <w:iCs/>
          <w:color w:val="4472C4" w:themeColor="accent1"/>
          <w:spacing w:val="40"/>
          <w:szCs w:val="20"/>
          <w:lang w:eastAsia="sl-SI"/>
        </w:rPr>
      </w:pPr>
      <w:r w:rsidRPr="005E4BEA">
        <w:rPr>
          <w:rFonts w:eastAsiaTheme="minorHAnsi" w:cs="Arial"/>
          <w:i/>
          <w:iCs/>
          <w:color w:val="808080" w:themeColor="background1" w:themeShade="80"/>
          <w:szCs w:val="20"/>
        </w:rPr>
        <w:t>Finančni učinki: /</w:t>
      </w:r>
    </w:p>
    <w:p w14:paraId="0CAA1AB1" w14:textId="184B0802" w:rsidR="00FE461F" w:rsidRPr="005E4BEA" w:rsidRDefault="00FE461F" w:rsidP="00FE461F">
      <w:pPr>
        <w:spacing w:line="240" w:lineRule="auto"/>
        <w:rPr>
          <w:rFonts w:cs="Arial"/>
          <w:i/>
          <w:iCs/>
          <w:color w:val="808080" w:themeColor="background1" w:themeShade="80"/>
          <w:szCs w:val="20"/>
        </w:rPr>
      </w:pPr>
    </w:p>
    <w:p w14:paraId="60A9D05B" w14:textId="77777777" w:rsidR="00A96E31" w:rsidRPr="005E4BEA" w:rsidRDefault="00A96E31" w:rsidP="00A96E3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DAB2279" w14:textId="77777777" w:rsidR="00A96E31" w:rsidRPr="005E4BEA" w:rsidRDefault="00A96E31" w:rsidP="00A96E31">
      <w:pPr>
        <w:spacing w:line="0" w:lineRule="atLeast"/>
        <w:jc w:val="both"/>
        <w:rPr>
          <w:rFonts w:eastAsia="Arial Narrow" w:cs="Arial"/>
          <w:szCs w:val="20"/>
          <w:lang w:eastAsia="sl-SI"/>
        </w:rPr>
      </w:pPr>
    </w:p>
    <w:p w14:paraId="59567FFB" w14:textId="5C1A05ED" w:rsidR="00A96E31" w:rsidRPr="005E4BEA" w:rsidRDefault="00A96E31" w:rsidP="00A96E31">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22" w:name="_Hlk102465766"/>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se 9. člen Splošnega dogovora za pogodbeno leto 2022 ne spremeni.</w:t>
      </w:r>
    </w:p>
    <w:p w14:paraId="66789C1E" w14:textId="77777777" w:rsidR="00A96E31" w:rsidRPr="005E4BEA" w:rsidRDefault="00A96E31" w:rsidP="00A96E31">
      <w:pPr>
        <w:spacing w:line="240" w:lineRule="auto"/>
        <w:rPr>
          <w:rFonts w:cs="Arial"/>
          <w:i/>
          <w:iCs/>
          <w:color w:val="808080" w:themeColor="background1" w:themeShade="80"/>
          <w:szCs w:val="20"/>
        </w:rPr>
      </w:pPr>
    </w:p>
    <w:bookmarkEnd w:id="22"/>
    <w:p w14:paraId="6E21F727" w14:textId="42EF49F8" w:rsidR="00A96E31" w:rsidRPr="005E4BEA" w:rsidRDefault="00A96E31"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(17)</w:t>
      </w:r>
    </w:p>
    <w:p w14:paraId="7AEC91FF" w14:textId="77777777" w:rsidR="00A96E31" w:rsidRPr="005E4BEA" w:rsidRDefault="00A96E31" w:rsidP="00FE461F">
      <w:pPr>
        <w:spacing w:line="240" w:lineRule="auto"/>
        <w:rPr>
          <w:rFonts w:cs="Arial"/>
          <w:i/>
          <w:iCs/>
          <w:color w:val="808080" w:themeColor="background1" w:themeShade="80"/>
          <w:szCs w:val="20"/>
        </w:rPr>
      </w:pPr>
    </w:p>
    <w:p w14:paraId="23561402" w14:textId="33418551" w:rsidR="00FE461F" w:rsidRPr="005E4BEA" w:rsidRDefault="00A96E31" w:rsidP="00A96E31">
      <w:pPr>
        <w:spacing w:line="240" w:lineRule="auto"/>
        <w:rPr>
          <w:rFonts w:cs="Arial"/>
          <w:b/>
          <w:bCs/>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00FE461F" w:rsidRPr="005E4BEA">
        <w:rPr>
          <w:rFonts w:cs="Arial"/>
          <w:szCs w:val="20"/>
        </w:rPr>
        <w:t xml:space="preserve"> 9. členu doda nov (4)</w:t>
      </w:r>
      <w:r w:rsidRPr="005E4BEA">
        <w:rPr>
          <w:rFonts w:cs="Arial"/>
          <w:b/>
          <w:bCs/>
          <w:szCs w:val="20"/>
        </w:rPr>
        <w:t xml:space="preserve"> </w:t>
      </w:r>
      <w:r w:rsidR="00FE461F" w:rsidRPr="005E4BEA">
        <w:rPr>
          <w:rFonts w:cs="Arial"/>
          <w:szCs w:val="20"/>
        </w:rPr>
        <w:t>odstavek:</w:t>
      </w:r>
    </w:p>
    <w:p w14:paraId="384A6732" w14:textId="77777777" w:rsidR="00FE461F" w:rsidRPr="005E4BEA" w:rsidRDefault="00FE461F" w:rsidP="00FE461F">
      <w:pPr>
        <w:spacing w:line="240" w:lineRule="auto"/>
        <w:jc w:val="both"/>
        <w:rPr>
          <w:rFonts w:cs="Arial"/>
          <w:iCs/>
          <w:szCs w:val="20"/>
        </w:rPr>
      </w:pPr>
      <w:r w:rsidRPr="005E4BEA">
        <w:rPr>
          <w:rFonts w:cs="Arial"/>
          <w:iCs/>
          <w:szCs w:val="20"/>
        </w:rPr>
        <w:t>(4) Če Vlada Republike Slovenije in reprezentativni sindikati javnega sektorja sprejmejo Aneks h kolektivni pogodbi v javnem sektorju, ki bi urejal spremembo višine plač v javnem sektorju in druga vprašanja, ki zadevajo plače v javnem sektorju, ali v primeru sprememb Zakona o sistemu plač v javnem sektorju oziroma drugega predpisa, ki ureja to področje, se v kalkulacijah cen zdravstvenih storitev avtomatično upoštevajo sprejete spremembe.</w:t>
      </w:r>
    </w:p>
    <w:p w14:paraId="1965BFAC" w14:textId="77777777" w:rsidR="00FE461F" w:rsidRPr="005E4BEA" w:rsidRDefault="00FE461F" w:rsidP="00FE461F">
      <w:pPr>
        <w:spacing w:line="240" w:lineRule="auto"/>
        <w:jc w:val="both"/>
        <w:rPr>
          <w:rFonts w:cs="Arial"/>
          <w:iCs/>
          <w:szCs w:val="20"/>
        </w:rPr>
      </w:pPr>
    </w:p>
    <w:p w14:paraId="6F76E4D3"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3F356D76"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V primeru spremembe kolektivne pogodbe ali Zakona o sistemu plač v javnem sektorju, smo zdravstveni zavodi prisiljeni k višjemu izplačilu zaposlenim, cene priznane s strani ZZZS pa tega dviga ne upoštevajo, kar posledično povzroči negativne poslovne rezultate in nelikvidnost. </w:t>
      </w:r>
    </w:p>
    <w:p w14:paraId="7FB5169D"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Finančnega učinka ni možno oceniti, saj ni znano kakšne spremembe na področju plač se bodo izvedle v prihodnjem letu.</w:t>
      </w:r>
    </w:p>
    <w:p w14:paraId="61318190"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9043A6F" w14:textId="77777777" w:rsidR="00A96E31" w:rsidRPr="005E4BEA" w:rsidRDefault="00A96E31" w:rsidP="00A96E3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2426720" w14:textId="77777777" w:rsidR="00A96E31" w:rsidRPr="005E4BEA" w:rsidRDefault="00A96E31" w:rsidP="00A96E31">
      <w:pPr>
        <w:spacing w:line="0" w:lineRule="atLeast"/>
        <w:jc w:val="both"/>
        <w:rPr>
          <w:rFonts w:eastAsia="Arial Narrow" w:cs="Arial"/>
          <w:szCs w:val="20"/>
          <w:lang w:eastAsia="sl-SI"/>
        </w:rPr>
      </w:pPr>
    </w:p>
    <w:p w14:paraId="587B164F" w14:textId="146D0B75" w:rsidR="00A96E31" w:rsidRPr="005E4BEA" w:rsidRDefault="00A96E31" w:rsidP="00A96E31">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9. člen Splošnega dogovora za pogodbeno leto 2022 ne spremeni.</w:t>
      </w:r>
    </w:p>
    <w:p w14:paraId="43446D52" w14:textId="73A44199" w:rsidR="00FE461F" w:rsidRPr="005E4BEA" w:rsidRDefault="00FE461F" w:rsidP="00FE461F">
      <w:pPr>
        <w:spacing w:line="240" w:lineRule="auto"/>
        <w:jc w:val="both"/>
        <w:rPr>
          <w:rFonts w:eastAsiaTheme="minorHAnsi" w:cs="Arial"/>
          <w:i/>
          <w:iCs/>
          <w:color w:val="808080" w:themeColor="background1" w:themeShade="80"/>
          <w:szCs w:val="20"/>
        </w:rPr>
      </w:pPr>
    </w:p>
    <w:p w14:paraId="7F758E3A" w14:textId="505CD53B" w:rsidR="00A96E31" w:rsidRPr="005E4BEA" w:rsidRDefault="00C657C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(18)</w:t>
      </w:r>
    </w:p>
    <w:p w14:paraId="2222A066" w14:textId="77777777" w:rsidR="00C657CD" w:rsidRPr="005E4BEA" w:rsidRDefault="00C657CD" w:rsidP="00FE461F">
      <w:pPr>
        <w:spacing w:line="240" w:lineRule="auto"/>
        <w:jc w:val="both"/>
        <w:rPr>
          <w:rFonts w:eastAsiaTheme="minorHAnsi" w:cs="Arial"/>
          <w:i/>
          <w:iCs/>
          <w:color w:val="808080" w:themeColor="background1" w:themeShade="80"/>
          <w:szCs w:val="20"/>
        </w:rPr>
      </w:pPr>
    </w:p>
    <w:p w14:paraId="7431FACC" w14:textId="4E1DCEDB" w:rsidR="00FE461F" w:rsidRPr="005E4BEA" w:rsidRDefault="00C657CD" w:rsidP="00C657CD">
      <w:pPr>
        <w:spacing w:line="240" w:lineRule="auto"/>
        <w:jc w:val="both"/>
        <w:rPr>
          <w:rFonts w:cs="Arial"/>
          <w:b/>
          <w:szCs w:val="20"/>
          <w:lang w:eastAsia="en-GB"/>
        </w:rPr>
      </w:pPr>
      <w:r w:rsidRPr="005E4BEA">
        <w:rPr>
          <w:rFonts w:eastAsia="Arial Narrow" w:cs="Arial"/>
          <w:b/>
          <w:szCs w:val="20"/>
        </w:rPr>
        <w:t xml:space="preserve">Skupnost socialnih zavodov Slovenije </w:t>
      </w:r>
      <w:r w:rsidRPr="005E4BEA">
        <w:rPr>
          <w:rFonts w:eastAsia="Arial Narrow" w:cs="Arial"/>
          <w:szCs w:val="20"/>
        </w:rPr>
        <w:t>predlaga, da se v 9. členu doda nov (4) odstavek, ki se</w:t>
      </w:r>
      <w:r w:rsidR="00FE461F" w:rsidRPr="005E4BEA">
        <w:rPr>
          <w:rFonts w:cs="Arial"/>
          <w:b/>
          <w:szCs w:val="20"/>
          <w:lang w:eastAsia="en-GB"/>
        </w:rPr>
        <w:t xml:space="preserve"> </w:t>
      </w:r>
      <w:r w:rsidR="00FE461F" w:rsidRPr="005E4BEA">
        <w:rPr>
          <w:rFonts w:cs="Arial"/>
          <w:bCs/>
          <w:szCs w:val="20"/>
          <w:lang w:eastAsia="en-GB"/>
        </w:rPr>
        <w:t>glasi:</w:t>
      </w:r>
      <w:r w:rsidR="00FE461F" w:rsidRPr="005E4BEA">
        <w:rPr>
          <w:rFonts w:cs="Arial"/>
          <w:b/>
          <w:szCs w:val="20"/>
          <w:lang w:eastAsia="en-GB"/>
        </w:rPr>
        <w:t xml:space="preserve"> </w:t>
      </w:r>
    </w:p>
    <w:p w14:paraId="3C6F5973"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Če Vlada Republike Slovenije in reprezentativni sindikati javnega sektorja sprejmejo Aneks h kolektivni pogodbi v javnem sektorju, ki bi urejal spremembo višine plač v javnem sektorju in druga vprašanja, ki zadevajo plače v javnem sektorju, ali v primeru sprememb Zakona o sistemu plač v javnem sektorju oziroma drugega predpisa, ki ureja to področje, se v cenah zdravstvenih storitev avtomatično upoštevajo sprejete spremembe. Ustrezno spremembo cen izvede ZZZS po uradni dolžnosti. </w:t>
      </w:r>
    </w:p>
    <w:p w14:paraId="16C755A4" w14:textId="77777777" w:rsidR="00FE461F" w:rsidRPr="005E4BEA" w:rsidRDefault="00FE461F" w:rsidP="00FE461F">
      <w:pPr>
        <w:spacing w:before="240" w:after="60"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 xml:space="preserve">Obrazložitev: </w:t>
      </w:r>
    </w:p>
    <w:p w14:paraId="782D2547"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Zakon o zdravstvenem varstvu in zdravstvenem zavarovanju (Uradni list RS, št. 72/06 – uradno prečiščeno besedilo, 114/06 – ZUTPG, 91/07, 76/08, 62/10 – ZUPJS, 87/11, 40/12 – ZUJF, 21/13 – ZUTD-A, 91/13, 99/13 – ZUPJS-C, 99/13 – </w:t>
      </w:r>
      <w:proofErr w:type="spellStart"/>
      <w:r w:rsidRPr="005E4BEA">
        <w:rPr>
          <w:rFonts w:cs="Arial"/>
          <w:i/>
          <w:color w:val="808080" w:themeColor="background1" w:themeShade="80"/>
          <w:szCs w:val="20"/>
          <w:lang w:eastAsia="en-GB"/>
        </w:rPr>
        <w:t>ZSVarPre</w:t>
      </w:r>
      <w:proofErr w:type="spellEnd"/>
      <w:r w:rsidRPr="005E4BEA">
        <w:rPr>
          <w:rFonts w:cs="Arial"/>
          <w:i/>
          <w:color w:val="808080" w:themeColor="background1" w:themeShade="80"/>
          <w:szCs w:val="20"/>
          <w:lang w:eastAsia="en-GB"/>
        </w:rPr>
        <w:t xml:space="preserve">-C, 111/13 – ZMEPIZ-1, 95/14 – ZUJF-C in 47/15 – ZZSDT) v 66. členu določa, da se pri elementih za oblikovanje cene programov oziroma storitev upoštevajo: </w:t>
      </w:r>
    </w:p>
    <w:p w14:paraId="76FC178A" w14:textId="77777777" w:rsidR="00FE461F" w:rsidRPr="005E4BEA" w:rsidRDefault="00FE461F" w:rsidP="00F356C9">
      <w:pPr>
        <w:numPr>
          <w:ilvl w:val="0"/>
          <w:numId w:val="72"/>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plače in drugi prejemki v skladu s predpisi, kolektivnimi pogodbami in drugimi splošnimi akti, </w:t>
      </w:r>
    </w:p>
    <w:p w14:paraId="402007FD" w14:textId="77777777" w:rsidR="00FE461F" w:rsidRPr="005E4BEA" w:rsidRDefault="00FE461F" w:rsidP="00F356C9">
      <w:pPr>
        <w:numPr>
          <w:ilvl w:val="0"/>
          <w:numId w:val="72"/>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materialni stroški, </w:t>
      </w:r>
    </w:p>
    <w:p w14:paraId="27DF3C52" w14:textId="77777777" w:rsidR="00FE461F" w:rsidRPr="005E4BEA" w:rsidRDefault="00FE461F" w:rsidP="00F356C9">
      <w:pPr>
        <w:numPr>
          <w:ilvl w:val="0"/>
          <w:numId w:val="72"/>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amortizacija, predpisana z zakonom, </w:t>
      </w:r>
    </w:p>
    <w:p w14:paraId="3A19CD3D" w14:textId="77777777" w:rsidR="00FE461F" w:rsidRPr="005E4BEA" w:rsidRDefault="00FE461F" w:rsidP="00F356C9">
      <w:pPr>
        <w:numPr>
          <w:ilvl w:val="0"/>
          <w:numId w:val="72"/>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druge zakonske obveznosti.  </w:t>
      </w:r>
    </w:p>
    <w:p w14:paraId="0AE36086" w14:textId="10C35A62"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Predlagana določba jasno udejanja določbo 66. člena ZZVZZ. ZZZS mora kot plačnik upoštevati določbo 66. člena ZZVZZ, kar se je izkazalo tudi v sodnih postopkih, Vlada in MZ pa morata sprejeti svojo odgovornost in zagotoviti potrebna sredstva za kritje pravic zavarovanih oseb.  </w:t>
      </w:r>
    </w:p>
    <w:p w14:paraId="316F2377" w14:textId="77777777" w:rsidR="00C657CD" w:rsidRPr="005E4BEA" w:rsidRDefault="00C657CD" w:rsidP="00FE461F">
      <w:pPr>
        <w:spacing w:line="240" w:lineRule="auto"/>
        <w:jc w:val="both"/>
        <w:rPr>
          <w:rFonts w:cs="Arial"/>
          <w:i/>
          <w:color w:val="808080" w:themeColor="background1" w:themeShade="80"/>
          <w:szCs w:val="20"/>
          <w:lang w:eastAsia="en-GB"/>
        </w:rPr>
      </w:pPr>
    </w:p>
    <w:p w14:paraId="4FFAB378" w14:textId="0495B251"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b/>
          <w:bCs/>
          <w:i/>
          <w:color w:val="808080" w:themeColor="background1" w:themeShade="80"/>
          <w:szCs w:val="20"/>
          <w:lang w:eastAsia="en-GB"/>
        </w:rPr>
        <w:t>Sprejetje tega predloga je zakonska dolžnost vseh partnerjev, ki izhaja iz določb Zakona o zdravstvenem varstvu in zdravstvenem zavarovanju.</w:t>
      </w:r>
      <w:r w:rsidRPr="005E4BEA">
        <w:rPr>
          <w:rFonts w:cs="Arial"/>
          <w:i/>
          <w:color w:val="808080" w:themeColor="background1" w:themeShade="80"/>
          <w:szCs w:val="20"/>
          <w:lang w:eastAsia="en-GB"/>
        </w:rPr>
        <w:t xml:space="preserve"> </w:t>
      </w:r>
    </w:p>
    <w:p w14:paraId="7DE68D30" w14:textId="77777777" w:rsidR="00C657CD" w:rsidRPr="005E4BEA" w:rsidRDefault="00C657CD" w:rsidP="00FE461F">
      <w:pPr>
        <w:spacing w:line="240" w:lineRule="auto"/>
        <w:jc w:val="both"/>
        <w:rPr>
          <w:rFonts w:cs="Arial"/>
          <w:i/>
          <w:color w:val="808080" w:themeColor="background1" w:themeShade="80"/>
          <w:szCs w:val="20"/>
          <w:lang w:eastAsia="en-GB"/>
        </w:rPr>
      </w:pPr>
    </w:p>
    <w:p w14:paraId="5FC3E4AC" w14:textId="77777777" w:rsidR="00FE461F" w:rsidRPr="005E4BEA" w:rsidRDefault="00FE461F" w:rsidP="00FE461F">
      <w:pPr>
        <w:spacing w:line="240" w:lineRule="auto"/>
        <w:jc w:val="both"/>
        <w:rPr>
          <w:rFonts w:eastAsia="Calibri" w:cs="Arial"/>
          <w:b/>
          <w:bCs/>
          <w:i/>
          <w:color w:val="808080" w:themeColor="background1" w:themeShade="80"/>
          <w:szCs w:val="20"/>
          <w:lang w:eastAsia="en-GB"/>
        </w:rPr>
      </w:pPr>
      <w:r w:rsidRPr="005E4BEA">
        <w:rPr>
          <w:rFonts w:eastAsia="Calibri" w:cs="Arial"/>
          <w:b/>
          <w:bCs/>
          <w:i/>
          <w:color w:val="808080" w:themeColor="background1" w:themeShade="80"/>
          <w:szCs w:val="20"/>
          <w:lang w:eastAsia="en-GB"/>
        </w:rPr>
        <w:t xml:space="preserve">Finančne posledice: odvisno od dogovorov Vlade s sindikati </w:t>
      </w:r>
    </w:p>
    <w:p w14:paraId="4EEB7CC7" w14:textId="1DAFC0D8" w:rsidR="00C657CD" w:rsidRPr="005E4BEA" w:rsidRDefault="00FE461F" w:rsidP="00FE461F">
      <w:pPr>
        <w:spacing w:line="240" w:lineRule="auto"/>
        <w:jc w:val="both"/>
        <w:textAlignment w:val="baseline"/>
        <w:rPr>
          <w:rFonts w:cs="Arial"/>
          <w:i/>
          <w:iCs/>
          <w:color w:val="808080"/>
          <w:szCs w:val="20"/>
          <w:lang w:eastAsia="en-GB"/>
        </w:rPr>
      </w:pPr>
      <w:r w:rsidRPr="005E4BEA">
        <w:rPr>
          <w:rFonts w:cs="Arial"/>
          <w:i/>
          <w:iCs/>
          <w:color w:val="808080"/>
          <w:szCs w:val="20"/>
          <w:lang w:eastAsia="en-GB"/>
        </w:rPr>
        <w:t xml:space="preserve"> </w:t>
      </w:r>
    </w:p>
    <w:p w14:paraId="278FFF3D" w14:textId="77777777" w:rsidR="00C657CD" w:rsidRPr="005E4BEA" w:rsidRDefault="00C657CD" w:rsidP="00FE461F">
      <w:pPr>
        <w:spacing w:line="240" w:lineRule="auto"/>
        <w:jc w:val="both"/>
        <w:textAlignment w:val="baseline"/>
        <w:rPr>
          <w:rFonts w:cs="Arial"/>
          <w:i/>
          <w:iCs/>
          <w:color w:val="808080"/>
          <w:szCs w:val="20"/>
          <w:lang w:eastAsia="en-GB"/>
        </w:rPr>
      </w:pPr>
    </w:p>
    <w:p w14:paraId="5A3F7E28" w14:textId="77777777" w:rsidR="00C657CD" w:rsidRPr="005E4BEA" w:rsidRDefault="00C657CD" w:rsidP="00C657CD">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0D7AACF" w14:textId="77777777" w:rsidR="00C657CD" w:rsidRPr="005E4BEA" w:rsidRDefault="00C657CD" w:rsidP="00C657CD">
      <w:pPr>
        <w:spacing w:line="0" w:lineRule="atLeast"/>
        <w:jc w:val="both"/>
        <w:rPr>
          <w:rFonts w:eastAsia="Arial Narrow" w:cs="Arial"/>
          <w:szCs w:val="20"/>
          <w:lang w:eastAsia="sl-SI"/>
        </w:rPr>
      </w:pPr>
    </w:p>
    <w:p w14:paraId="7CC09EB6" w14:textId="17232591" w:rsidR="00C657CD" w:rsidRPr="005E4BEA" w:rsidRDefault="00C657CD" w:rsidP="00C657CD">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9. člen Splošnega dogovora za pogodbeno leto 2022 ne spremeni.</w:t>
      </w:r>
    </w:p>
    <w:p w14:paraId="7B574895" w14:textId="5E886BEC" w:rsidR="00C657CD" w:rsidRPr="005E4BEA" w:rsidRDefault="00C657CD" w:rsidP="00C657CD">
      <w:pPr>
        <w:spacing w:line="0" w:lineRule="atLeast"/>
        <w:jc w:val="both"/>
        <w:rPr>
          <w:rFonts w:eastAsia="Arial Narrow" w:cs="Arial"/>
          <w:szCs w:val="20"/>
        </w:rPr>
      </w:pPr>
    </w:p>
    <w:p w14:paraId="73C074DA" w14:textId="69915802" w:rsidR="00C657CD" w:rsidRPr="005E4BEA" w:rsidRDefault="00C657C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(19)</w:t>
      </w:r>
    </w:p>
    <w:p w14:paraId="108D0BD7" w14:textId="77777777" w:rsidR="00C657CD" w:rsidRPr="005E4BEA" w:rsidRDefault="00C657CD" w:rsidP="00C657CD">
      <w:pPr>
        <w:spacing w:line="0" w:lineRule="atLeast"/>
        <w:jc w:val="both"/>
        <w:rPr>
          <w:rFonts w:eastAsia="Arial Narrow" w:cs="Arial"/>
          <w:szCs w:val="20"/>
        </w:rPr>
      </w:pPr>
    </w:p>
    <w:p w14:paraId="6839B55D" w14:textId="07B37ECB" w:rsidR="00FE461F" w:rsidRPr="005E4BEA" w:rsidRDefault="00C657CD" w:rsidP="00C657CD">
      <w:pPr>
        <w:spacing w:line="0" w:lineRule="atLeast"/>
        <w:jc w:val="both"/>
        <w:rPr>
          <w:rFonts w:eastAsia="Calibri" w:cs="Arial"/>
          <w:szCs w:val="20"/>
        </w:rPr>
      </w:pPr>
      <w:r w:rsidRPr="005E4BEA">
        <w:rPr>
          <w:rFonts w:eastAsia="Arial Narrow" w:cs="Arial"/>
          <w:b/>
          <w:bCs/>
          <w:szCs w:val="20"/>
        </w:rPr>
        <w:t>Lekarniška zbornica Slovenije predlaga,</w:t>
      </w:r>
      <w:r w:rsidRPr="005E4BEA">
        <w:rPr>
          <w:rFonts w:eastAsia="Arial Narrow" w:cs="Arial"/>
          <w:szCs w:val="20"/>
        </w:rPr>
        <w:t xml:space="preserve"> da se spr</w:t>
      </w:r>
      <w:r w:rsidR="00FE461F" w:rsidRPr="005E4BEA">
        <w:rPr>
          <w:rFonts w:eastAsia="Calibri" w:cs="Arial"/>
          <w:szCs w:val="20"/>
        </w:rPr>
        <w:t>emeni tabela v (1) odstavku 12. člen Splošnega dogovora, v delu, ki se nanaša na lekarniško dejavnost kot sledi:</w:t>
      </w:r>
    </w:p>
    <w:p w14:paraId="0C13F004" w14:textId="77777777" w:rsidR="00C657CD" w:rsidRPr="005E4BEA" w:rsidRDefault="00C657CD" w:rsidP="00C657CD">
      <w:pPr>
        <w:spacing w:line="0" w:lineRule="atLeast"/>
        <w:jc w:val="both"/>
        <w:rPr>
          <w:rFonts w:eastAsia="Calibri" w:cs="Arial"/>
          <w:szCs w:val="20"/>
        </w:rPr>
      </w:pPr>
    </w:p>
    <w:tbl>
      <w:tblPr>
        <w:tblW w:w="0" w:type="auto"/>
        <w:tblInd w:w="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CellMar>
          <w:left w:w="0" w:type="dxa"/>
          <w:right w:w="0" w:type="dxa"/>
        </w:tblCellMar>
        <w:tblLook w:val="0000" w:firstRow="0" w:lastRow="0" w:firstColumn="0" w:lastColumn="0" w:noHBand="0" w:noVBand="0"/>
      </w:tblPr>
      <w:tblGrid>
        <w:gridCol w:w="8222"/>
        <w:gridCol w:w="720"/>
      </w:tblGrid>
      <w:tr w:rsidR="00FE461F" w:rsidRPr="005E4BEA" w14:paraId="3E1E0EE7" w14:textId="77777777" w:rsidTr="0016774B">
        <w:trPr>
          <w:cantSplit/>
          <w:trHeight w:val="240"/>
        </w:trPr>
        <w:tc>
          <w:tcPr>
            <w:tcW w:w="8222" w:type="dxa"/>
          </w:tcPr>
          <w:p w14:paraId="08EFA048" w14:textId="77777777" w:rsidR="00FE461F" w:rsidRPr="005E4BEA" w:rsidRDefault="00FE461F" w:rsidP="00FE461F">
            <w:pPr>
              <w:widowControl w:val="0"/>
              <w:suppressAutoHyphens/>
              <w:spacing w:line="240" w:lineRule="auto"/>
              <w:ind w:left="140" w:right="142"/>
              <w:jc w:val="both"/>
              <w:rPr>
                <w:rFonts w:cs="Arial"/>
                <w:color w:val="000000"/>
                <w:szCs w:val="20"/>
              </w:rPr>
            </w:pPr>
            <w:r w:rsidRPr="005E4BEA">
              <w:rPr>
                <w:rFonts w:cs="Arial"/>
                <w:color w:val="000000"/>
                <w:szCs w:val="20"/>
              </w:rPr>
              <w:t>- v lekarniški dejavnosti                                      (</w:t>
            </w:r>
            <w:r w:rsidRPr="005E4BEA">
              <w:rPr>
                <w:rFonts w:cs="Arial"/>
                <w:i/>
                <w:color w:val="000000"/>
                <w:szCs w:val="20"/>
              </w:rPr>
              <w:t>podvrste dej. 743 601, 743 602, 743 603, 743 604, 743 606, 743 615</w:t>
            </w:r>
            <w:r w:rsidRPr="005E4BEA">
              <w:rPr>
                <w:rFonts w:cs="Arial"/>
                <w:color w:val="000000"/>
                <w:szCs w:val="20"/>
              </w:rPr>
              <w:t>)</w:t>
            </w:r>
          </w:p>
        </w:tc>
        <w:tc>
          <w:tcPr>
            <w:tcW w:w="720" w:type="dxa"/>
          </w:tcPr>
          <w:p w14:paraId="6BE4A86B" w14:textId="77777777" w:rsidR="00FE461F" w:rsidRPr="005E4BEA" w:rsidRDefault="00FE461F" w:rsidP="00FE461F">
            <w:pPr>
              <w:widowControl w:val="0"/>
              <w:suppressAutoHyphens/>
              <w:spacing w:line="240" w:lineRule="auto"/>
              <w:jc w:val="center"/>
              <w:rPr>
                <w:rFonts w:cs="Arial"/>
                <w:b/>
                <w:color w:val="000000"/>
                <w:szCs w:val="20"/>
              </w:rPr>
            </w:pPr>
            <w:r w:rsidRPr="005E4BEA">
              <w:rPr>
                <w:rFonts w:cs="Arial"/>
                <w:b/>
                <w:color w:val="000000"/>
                <w:szCs w:val="20"/>
              </w:rPr>
              <w:t>3,20%</w:t>
            </w:r>
          </w:p>
        </w:tc>
      </w:tr>
    </w:tbl>
    <w:p w14:paraId="222E7B7A" w14:textId="77777777" w:rsidR="00FE461F" w:rsidRPr="005E4BEA" w:rsidRDefault="00FE461F" w:rsidP="00FE461F">
      <w:pPr>
        <w:spacing w:line="240" w:lineRule="auto"/>
        <w:jc w:val="both"/>
        <w:rPr>
          <w:rFonts w:cs="Arial"/>
          <w:i/>
          <w:szCs w:val="20"/>
          <w:lang w:eastAsia="sl-SI"/>
        </w:rPr>
      </w:pPr>
      <w:r w:rsidRPr="005E4BEA">
        <w:rPr>
          <w:rFonts w:eastAsia="Calibri" w:cs="Arial"/>
          <w:szCs w:val="20"/>
          <w:lang w:eastAsia="sl-SI"/>
        </w:rPr>
        <w:t>Veljavnost predloga od 1.1.2022</w:t>
      </w:r>
      <w:r w:rsidRPr="005E4BEA">
        <w:rPr>
          <w:rFonts w:cs="Arial"/>
          <w:i/>
          <w:szCs w:val="20"/>
          <w:lang w:eastAsia="sl-SI"/>
        </w:rPr>
        <w:t>.</w:t>
      </w:r>
    </w:p>
    <w:p w14:paraId="6C43BCB4" w14:textId="77777777" w:rsidR="00FE461F" w:rsidRPr="005E4BEA" w:rsidRDefault="00FE461F" w:rsidP="00FE461F">
      <w:pPr>
        <w:spacing w:line="240" w:lineRule="auto"/>
        <w:rPr>
          <w:rFonts w:cs="Arial"/>
          <w:b/>
          <w:i/>
          <w:color w:val="808080"/>
          <w:szCs w:val="20"/>
          <w:u w:val="single"/>
          <w:lang w:eastAsia="sl-SI"/>
        </w:rPr>
      </w:pPr>
    </w:p>
    <w:p w14:paraId="7DAB26DE" w14:textId="77777777" w:rsidR="00FE461F" w:rsidRPr="005E4BEA" w:rsidRDefault="00FE461F" w:rsidP="00FE461F">
      <w:pPr>
        <w:spacing w:line="240" w:lineRule="auto"/>
        <w:rPr>
          <w:rFonts w:cs="Arial"/>
          <w:b/>
          <w:i/>
          <w:color w:val="808080"/>
          <w:szCs w:val="20"/>
          <w:u w:val="single"/>
          <w:lang w:eastAsia="sl-SI"/>
        </w:rPr>
      </w:pPr>
      <w:r w:rsidRPr="005E4BEA">
        <w:rPr>
          <w:rFonts w:cs="Arial"/>
          <w:b/>
          <w:i/>
          <w:color w:val="808080"/>
          <w:szCs w:val="20"/>
          <w:u w:val="single"/>
          <w:lang w:eastAsia="sl-SI"/>
        </w:rPr>
        <w:lastRenderedPageBreak/>
        <w:t>Obrazložitev:</w:t>
      </w:r>
    </w:p>
    <w:p w14:paraId="29FF1EFE"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podlagi varčevalnih ukrepov iz leta 2009 je bila znižana vrednost dodatkov za posebne pogoje dela v lekarniški dejavnosti iz 3,20% na 2,90%. Predlagamo, da se omenjena sprememba ukine, saj ni več podlage za obstoj varčevalnih ukrepov iz leta 2009. </w:t>
      </w:r>
    </w:p>
    <w:p w14:paraId="3B54B1FE" w14:textId="77777777" w:rsidR="00FE461F" w:rsidRPr="005E4BEA" w:rsidRDefault="00FE461F" w:rsidP="00FE461F">
      <w:pPr>
        <w:spacing w:line="240" w:lineRule="auto"/>
        <w:jc w:val="both"/>
        <w:rPr>
          <w:rFonts w:eastAsia="Calibri" w:cs="Arial"/>
          <w:i/>
          <w:color w:val="808080"/>
          <w:szCs w:val="20"/>
        </w:rPr>
      </w:pPr>
    </w:p>
    <w:p w14:paraId="3B3D2E32" w14:textId="77777777" w:rsidR="00FE461F" w:rsidRPr="005E4BEA" w:rsidRDefault="00FE461F" w:rsidP="00F7473E">
      <w:pPr>
        <w:spacing w:line="240" w:lineRule="auto"/>
        <w:jc w:val="both"/>
        <w:rPr>
          <w:rFonts w:eastAsia="Calibri" w:cs="Arial"/>
          <w:i/>
          <w:color w:val="808080"/>
          <w:szCs w:val="20"/>
        </w:rPr>
      </w:pPr>
      <w:r w:rsidRPr="005E4BEA">
        <w:rPr>
          <w:rFonts w:eastAsia="Calibri" w:cs="Arial"/>
          <w:i/>
          <w:color w:val="808080"/>
          <w:szCs w:val="20"/>
        </w:rPr>
        <w:t>Ocenjen finančni učinek za lekarniško dejavnost: 87.275 EUR (vrednost OZZ+PZZ).</w:t>
      </w:r>
    </w:p>
    <w:p w14:paraId="35221499" w14:textId="77777777" w:rsidR="00FE461F" w:rsidRPr="005E4BEA" w:rsidRDefault="00FE461F" w:rsidP="00F7473E">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777D02A7" w14:textId="77777777" w:rsidR="00FE461F" w:rsidRPr="005E4BEA" w:rsidRDefault="00FE461F" w:rsidP="00F7473E">
      <w:pPr>
        <w:spacing w:line="240" w:lineRule="auto"/>
        <w:jc w:val="both"/>
        <w:rPr>
          <w:rFonts w:eastAsia="Calibri" w:cs="Arial"/>
          <w:i/>
          <w:color w:val="808080"/>
          <w:szCs w:val="20"/>
        </w:rPr>
      </w:pPr>
      <w:r w:rsidRPr="005E4BEA">
        <w:rPr>
          <w:rFonts w:eastAsia="Calibri" w:cs="Arial"/>
          <w:i/>
          <w:color w:val="808080"/>
          <w:szCs w:val="20"/>
        </w:rPr>
        <w:t xml:space="preserve">Veljavnost predloga od 1.1.2022. </w:t>
      </w:r>
    </w:p>
    <w:p w14:paraId="11DBAF0A" w14:textId="77777777" w:rsidR="00FE461F" w:rsidRPr="005E4BEA" w:rsidRDefault="00FE461F" w:rsidP="00FE461F">
      <w:pPr>
        <w:spacing w:line="240" w:lineRule="auto"/>
        <w:jc w:val="both"/>
        <w:rPr>
          <w:rFonts w:eastAsia="Calibri" w:cs="Arial"/>
          <w:i/>
          <w:color w:val="808080"/>
          <w:szCs w:val="20"/>
        </w:rPr>
      </w:pPr>
    </w:p>
    <w:p w14:paraId="45982142" w14:textId="3298ECC1" w:rsidR="00C657CD" w:rsidRPr="005E4BEA" w:rsidRDefault="00C657CD" w:rsidP="00C657CD">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F7473E" w:rsidRPr="005E4BEA">
        <w:rPr>
          <w:rFonts w:eastAsia="Arial Narrow" w:cs="Arial"/>
          <w:szCs w:val="20"/>
        </w:rPr>
        <w:t xml:space="preserve">strinja </w:t>
      </w:r>
      <w:r w:rsidRPr="005E4BEA">
        <w:rPr>
          <w:rFonts w:eastAsia="Arial Narrow" w:cs="Arial"/>
          <w:szCs w:val="20"/>
        </w:rPr>
        <w:t>s predlogom</w:t>
      </w:r>
      <w:r w:rsidR="009B2D26" w:rsidRPr="005E4BEA">
        <w:rPr>
          <w:rFonts w:eastAsia="Arial Narrow" w:cs="Arial"/>
          <w:szCs w:val="20"/>
        </w:rPr>
        <w:t xml:space="preserve"> v modificirani obliki, in sicer se spremeni datum uveljavitve predloga na 1. 7. 2022. </w:t>
      </w:r>
    </w:p>
    <w:p w14:paraId="7840AE60" w14:textId="77777777" w:rsidR="00C657CD" w:rsidRPr="005E4BEA" w:rsidRDefault="00C657CD" w:rsidP="00C657CD">
      <w:pPr>
        <w:spacing w:line="0" w:lineRule="atLeast"/>
        <w:jc w:val="both"/>
        <w:rPr>
          <w:rFonts w:eastAsia="Arial Narrow" w:cs="Arial"/>
          <w:szCs w:val="20"/>
          <w:lang w:eastAsia="sl-SI"/>
        </w:rPr>
      </w:pPr>
    </w:p>
    <w:p w14:paraId="62CD9CF0" w14:textId="3EEA2B92" w:rsidR="00F7473E" w:rsidRPr="005E4BEA" w:rsidRDefault="00C657CD" w:rsidP="00F7473E">
      <w:pPr>
        <w:spacing w:line="0" w:lineRule="atLeast"/>
        <w:jc w:val="both"/>
        <w:rPr>
          <w:rFonts w:eastAsia="Calibri"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23" w:name="_Hlk102547464"/>
      <w:r w:rsidR="00F7473E" w:rsidRPr="005E4BEA">
        <w:rPr>
          <w:rFonts w:eastAsia="Arial Narrow" w:cs="Arial"/>
          <w:szCs w:val="20"/>
        </w:rPr>
        <w:t>da se spr</w:t>
      </w:r>
      <w:r w:rsidR="00F7473E" w:rsidRPr="005E4BEA">
        <w:rPr>
          <w:rFonts w:eastAsia="Calibri" w:cs="Arial"/>
          <w:szCs w:val="20"/>
        </w:rPr>
        <w:t>emeni tabela v prvem odstavku 12. člena Splošnega dogovora, v delu, ki se nanaša na lekarniško dejavnost kot sledi:</w:t>
      </w:r>
    </w:p>
    <w:p w14:paraId="050AA112" w14:textId="77777777" w:rsidR="00F7473E" w:rsidRPr="005E4BEA" w:rsidRDefault="00F7473E" w:rsidP="00F7473E">
      <w:pPr>
        <w:spacing w:line="0" w:lineRule="atLeast"/>
        <w:jc w:val="both"/>
        <w:rPr>
          <w:rFonts w:eastAsia="Calibri" w:cs="Arial"/>
          <w:szCs w:val="20"/>
        </w:rPr>
      </w:pPr>
    </w:p>
    <w:tbl>
      <w:tblPr>
        <w:tblW w:w="0" w:type="auto"/>
        <w:tblInd w:w="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CellMar>
          <w:left w:w="0" w:type="dxa"/>
          <w:right w:w="0" w:type="dxa"/>
        </w:tblCellMar>
        <w:tblLook w:val="0000" w:firstRow="0" w:lastRow="0" w:firstColumn="0" w:lastColumn="0" w:noHBand="0" w:noVBand="0"/>
      </w:tblPr>
      <w:tblGrid>
        <w:gridCol w:w="8222"/>
        <w:gridCol w:w="720"/>
      </w:tblGrid>
      <w:tr w:rsidR="00F7473E" w:rsidRPr="005E4BEA" w14:paraId="3436D645" w14:textId="77777777" w:rsidTr="006F2C89">
        <w:trPr>
          <w:cantSplit/>
          <w:trHeight w:val="240"/>
        </w:trPr>
        <w:tc>
          <w:tcPr>
            <w:tcW w:w="8222" w:type="dxa"/>
          </w:tcPr>
          <w:p w14:paraId="03D1E903" w14:textId="77777777" w:rsidR="00F7473E" w:rsidRPr="005E4BEA" w:rsidRDefault="00F7473E" w:rsidP="006F2C89">
            <w:pPr>
              <w:widowControl w:val="0"/>
              <w:suppressAutoHyphens/>
              <w:spacing w:line="240" w:lineRule="auto"/>
              <w:ind w:left="140" w:right="142"/>
              <w:jc w:val="both"/>
              <w:rPr>
                <w:rFonts w:cs="Arial"/>
                <w:color w:val="000000"/>
                <w:szCs w:val="20"/>
              </w:rPr>
            </w:pPr>
            <w:r w:rsidRPr="005E4BEA">
              <w:rPr>
                <w:rFonts w:cs="Arial"/>
                <w:color w:val="000000"/>
                <w:szCs w:val="20"/>
              </w:rPr>
              <w:t>- v lekarniški dejavnosti                                      (</w:t>
            </w:r>
            <w:r w:rsidRPr="005E4BEA">
              <w:rPr>
                <w:rFonts w:cs="Arial"/>
                <w:i/>
                <w:color w:val="000000"/>
                <w:szCs w:val="20"/>
              </w:rPr>
              <w:t>podvrste dej. 743 601, 743 602, 743 603, 743 604, 743 606, 743 615</w:t>
            </w:r>
            <w:r w:rsidRPr="005E4BEA">
              <w:rPr>
                <w:rFonts w:cs="Arial"/>
                <w:color w:val="000000"/>
                <w:szCs w:val="20"/>
              </w:rPr>
              <w:t>)</w:t>
            </w:r>
          </w:p>
        </w:tc>
        <w:tc>
          <w:tcPr>
            <w:tcW w:w="720" w:type="dxa"/>
          </w:tcPr>
          <w:p w14:paraId="26E4D7C8" w14:textId="77777777" w:rsidR="00F7473E" w:rsidRPr="005E4BEA" w:rsidRDefault="00F7473E" w:rsidP="006F2C89">
            <w:pPr>
              <w:widowControl w:val="0"/>
              <w:suppressAutoHyphens/>
              <w:spacing w:line="240" w:lineRule="auto"/>
              <w:jc w:val="center"/>
              <w:rPr>
                <w:rFonts w:cs="Arial"/>
                <w:b/>
                <w:color w:val="000000"/>
                <w:szCs w:val="20"/>
              </w:rPr>
            </w:pPr>
            <w:r w:rsidRPr="005E4BEA">
              <w:rPr>
                <w:rFonts w:cs="Arial"/>
                <w:b/>
                <w:color w:val="000000"/>
                <w:szCs w:val="20"/>
              </w:rPr>
              <w:t>3,20%</w:t>
            </w:r>
          </w:p>
        </w:tc>
      </w:tr>
    </w:tbl>
    <w:p w14:paraId="7C225179" w14:textId="77777777" w:rsidR="00F7473E" w:rsidRPr="005E4BEA" w:rsidRDefault="00F7473E" w:rsidP="00F7473E">
      <w:pPr>
        <w:spacing w:line="240" w:lineRule="auto"/>
        <w:jc w:val="both"/>
        <w:rPr>
          <w:rFonts w:eastAsia="Calibri" w:cs="Arial"/>
          <w:szCs w:val="20"/>
          <w:lang w:eastAsia="sl-SI"/>
        </w:rPr>
      </w:pPr>
    </w:p>
    <w:p w14:paraId="36C6DAE7" w14:textId="147FFD4D" w:rsidR="00F7473E" w:rsidRPr="005E4BEA" w:rsidRDefault="00F7473E" w:rsidP="00F7473E">
      <w:pPr>
        <w:spacing w:line="240" w:lineRule="auto"/>
        <w:jc w:val="both"/>
        <w:rPr>
          <w:rFonts w:cs="Arial"/>
          <w:i/>
          <w:szCs w:val="20"/>
          <w:lang w:eastAsia="sl-SI"/>
        </w:rPr>
      </w:pPr>
      <w:r w:rsidRPr="005E4BEA">
        <w:rPr>
          <w:rFonts w:eastAsia="Calibri" w:cs="Arial"/>
          <w:szCs w:val="20"/>
          <w:lang w:eastAsia="sl-SI"/>
        </w:rPr>
        <w:t>Veljavnost od 1.</w:t>
      </w:r>
      <w:r w:rsidR="009B2D26" w:rsidRPr="005E4BEA">
        <w:rPr>
          <w:rFonts w:eastAsia="Calibri" w:cs="Arial"/>
          <w:szCs w:val="20"/>
          <w:lang w:eastAsia="sl-SI"/>
        </w:rPr>
        <w:t>7</w:t>
      </w:r>
      <w:r w:rsidRPr="005E4BEA">
        <w:rPr>
          <w:rFonts w:eastAsia="Calibri" w:cs="Arial"/>
          <w:szCs w:val="20"/>
          <w:lang w:eastAsia="sl-SI"/>
        </w:rPr>
        <w:t>.2022</w:t>
      </w:r>
      <w:r w:rsidRPr="005E4BEA">
        <w:rPr>
          <w:rFonts w:cs="Arial"/>
          <w:i/>
          <w:szCs w:val="20"/>
          <w:lang w:eastAsia="sl-SI"/>
        </w:rPr>
        <w:t>.</w:t>
      </w:r>
    </w:p>
    <w:bookmarkEnd w:id="23"/>
    <w:p w14:paraId="33D6DB8A" w14:textId="05C88E7D" w:rsidR="00FE461F" w:rsidRPr="005E4BEA" w:rsidRDefault="00FE461F" w:rsidP="00F7473E">
      <w:pPr>
        <w:spacing w:line="0" w:lineRule="atLeast"/>
        <w:jc w:val="both"/>
        <w:rPr>
          <w:rFonts w:eastAsia="Calibri" w:cs="Arial"/>
          <w:i/>
          <w:color w:val="808080"/>
          <w:szCs w:val="20"/>
        </w:rPr>
      </w:pPr>
    </w:p>
    <w:p w14:paraId="299C50CD" w14:textId="77777777" w:rsidR="00C657CD" w:rsidRPr="005E4BEA" w:rsidRDefault="00C657CD" w:rsidP="00FE461F">
      <w:pPr>
        <w:spacing w:line="240" w:lineRule="auto"/>
        <w:jc w:val="both"/>
        <w:rPr>
          <w:rFonts w:eastAsia="Calibri" w:cs="Arial"/>
          <w:i/>
          <w:color w:val="808080"/>
          <w:szCs w:val="20"/>
        </w:rPr>
      </w:pPr>
    </w:p>
    <w:p w14:paraId="7E7CF6B7" w14:textId="0DC89B6B" w:rsidR="00C657CD" w:rsidRPr="005E4BEA" w:rsidRDefault="00C657C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(20)</w:t>
      </w:r>
    </w:p>
    <w:p w14:paraId="21E7A178" w14:textId="4E2A4877" w:rsidR="00C657CD" w:rsidRPr="005E4BEA" w:rsidRDefault="00C657CD" w:rsidP="00C657CD">
      <w:pPr>
        <w:spacing w:line="0" w:lineRule="atLeast"/>
        <w:contextualSpacing/>
        <w:jc w:val="both"/>
        <w:rPr>
          <w:rFonts w:eastAsia="Arial Narrow" w:cs="Arial"/>
          <w:b/>
          <w:szCs w:val="20"/>
        </w:rPr>
      </w:pPr>
    </w:p>
    <w:p w14:paraId="7A80AD06" w14:textId="149E2C6C" w:rsidR="00FE461F" w:rsidRPr="005E4BEA" w:rsidRDefault="00C657CD" w:rsidP="00C657CD">
      <w:pPr>
        <w:spacing w:line="0" w:lineRule="atLeast"/>
        <w:contextualSpacing/>
        <w:jc w:val="both"/>
        <w:rPr>
          <w:rFonts w:cs="Arial"/>
          <w:szCs w:val="20"/>
        </w:rPr>
      </w:pPr>
      <w:r w:rsidRPr="005E4BEA">
        <w:rPr>
          <w:rFonts w:eastAsia="Arial Narrow" w:cs="Arial"/>
          <w:b/>
          <w:szCs w:val="20"/>
        </w:rPr>
        <w:t xml:space="preserve">Skupnost socialnih zavodov Slovenije </w:t>
      </w:r>
      <w:r w:rsidRPr="005E4BEA">
        <w:rPr>
          <w:rFonts w:eastAsia="Arial Narrow" w:cs="Arial"/>
          <w:szCs w:val="20"/>
        </w:rPr>
        <w:t>predlaga, da se v</w:t>
      </w:r>
      <w:r w:rsidR="00FE461F" w:rsidRPr="005E4BEA">
        <w:rPr>
          <w:rFonts w:cs="Arial"/>
          <w:szCs w:val="20"/>
        </w:rPr>
        <w:t xml:space="preserve"> 1. odstavku 12. člen</w:t>
      </w:r>
      <w:r w:rsidRPr="005E4BEA">
        <w:rPr>
          <w:rFonts w:cs="Arial"/>
          <w:szCs w:val="20"/>
        </w:rPr>
        <w:t>a</w:t>
      </w:r>
      <w:r w:rsidR="00FE461F" w:rsidRPr="005E4BEA">
        <w:rPr>
          <w:rFonts w:cs="Arial"/>
          <w:szCs w:val="20"/>
        </w:rPr>
        <w:t xml:space="preserve"> Splošnega dogovora (3) odstavek spremeni tako, da glasi: </w:t>
      </w:r>
    </w:p>
    <w:p w14:paraId="32662BFF" w14:textId="77777777" w:rsidR="00C657CD" w:rsidRPr="005E4BEA" w:rsidRDefault="00C657CD" w:rsidP="00C657CD">
      <w:pPr>
        <w:spacing w:line="0" w:lineRule="atLeast"/>
        <w:contextualSpacing/>
        <w:jc w:val="both"/>
        <w:rPr>
          <w:rFonts w:eastAsia="Arial Narrow" w:cs="Arial"/>
          <w:szCs w:val="20"/>
        </w:rPr>
      </w:pPr>
    </w:p>
    <w:tbl>
      <w:tblPr>
        <w:tblW w:w="907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30"/>
        <w:gridCol w:w="1843"/>
      </w:tblGrid>
      <w:tr w:rsidR="00FE461F" w:rsidRPr="005E4BEA" w14:paraId="24713CE0" w14:textId="77777777" w:rsidTr="0016774B">
        <w:trPr>
          <w:trHeight w:val="225"/>
        </w:trPr>
        <w:tc>
          <w:tcPr>
            <w:tcW w:w="7230" w:type="dxa"/>
            <w:tcBorders>
              <w:top w:val="single" w:sz="6" w:space="0" w:color="ACB9CA" w:themeColor="text2" w:themeTint="66"/>
              <w:left w:val="single" w:sz="6" w:space="0" w:color="ACB9CA" w:themeColor="text2" w:themeTint="66"/>
              <w:bottom w:val="single" w:sz="6" w:space="0" w:color="ACB9CA" w:themeColor="text2" w:themeTint="66"/>
              <w:right w:val="single" w:sz="6" w:space="0" w:color="ACB9CA" w:themeColor="text2" w:themeTint="66"/>
            </w:tcBorders>
            <w:shd w:val="clear" w:color="auto" w:fill="auto"/>
            <w:hideMark/>
          </w:tcPr>
          <w:p w14:paraId="357AAB9A" w14:textId="77777777" w:rsidR="00FE461F" w:rsidRPr="005E4BEA" w:rsidRDefault="00FE461F" w:rsidP="00FE461F">
            <w:pPr>
              <w:spacing w:before="120" w:after="60" w:line="240" w:lineRule="auto"/>
              <w:jc w:val="both"/>
              <w:rPr>
                <w:rFonts w:cs="Arial"/>
                <w:b/>
                <w:szCs w:val="20"/>
              </w:rPr>
            </w:pPr>
            <w:r w:rsidRPr="005E4BEA">
              <w:rPr>
                <w:rFonts w:cs="Arial"/>
                <w:b/>
                <w:szCs w:val="20"/>
              </w:rPr>
              <w:t>- v zdravstveni dejavnosti domov za starejše </w:t>
            </w:r>
          </w:p>
          <w:p w14:paraId="3E16067E" w14:textId="77777777" w:rsidR="00FE461F" w:rsidRPr="005E4BEA" w:rsidRDefault="00FE461F" w:rsidP="00FE461F">
            <w:pPr>
              <w:spacing w:before="120" w:after="60" w:line="240" w:lineRule="auto"/>
              <w:jc w:val="both"/>
              <w:rPr>
                <w:rFonts w:cs="Arial"/>
                <w:b/>
                <w:szCs w:val="20"/>
              </w:rPr>
            </w:pPr>
            <w:r w:rsidRPr="005E4BEA">
              <w:rPr>
                <w:rFonts w:cs="Arial"/>
                <w:b/>
                <w:szCs w:val="20"/>
              </w:rPr>
              <w:t>(podvrste dej. 644 411, 644 412, 644 413, 644 415, 602 419) </w:t>
            </w:r>
          </w:p>
        </w:tc>
        <w:tc>
          <w:tcPr>
            <w:tcW w:w="1843" w:type="dxa"/>
            <w:tcBorders>
              <w:top w:val="single" w:sz="6" w:space="0" w:color="ACB9CA" w:themeColor="text2" w:themeTint="66"/>
              <w:left w:val="nil"/>
              <w:bottom w:val="single" w:sz="6" w:space="0" w:color="ACB9CA" w:themeColor="text2" w:themeTint="66"/>
              <w:right w:val="single" w:sz="6" w:space="0" w:color="ACB9CA" w:themeColor="text2" w:themeTint="66"/>
            </w:tcBorders>
            <w:shd w:val="clear" w:color="auto" w:fill="auto"/>
            <w:hideMark/>
          </w:tcPr>
          <w:p w14:paraId="6E03D78D" w14:textId="77777777" w:rsidR="00FE461F" w:rsidRPr="005E4BEA" w:rsidRDefault="00FE461F" w:rsidP="00FE461F">
            <w:pPr>
              <w:spacing w:before="120" w:after="60" w:line="240" w:lineRule="auto"/>
              <w:jc w:val="both"/>
              <w:rPr>
                <w:rFonts w:cs="Arial"/>
                <w:b/>
                <w:szCs w:val="20"/>
              </w:rPr>
            </w:pPr>
            <w:r w:rsidRPr="005E4BEA">
              <w:rPr>
                <w:rFonts w:cs="Arial"/>
                <w:b/>
                <w:szCs w:val="20"/>
              </w:rPr>
              <w:t>16,79% </w:t>
            </w:r>
          </w:p>
        </w:tc>
      </w:tr>
      <w:tr w:rsidR="00FE461F" w:rsidRPr="005E4BEA" w14:paraId="1747DB1B" w14:textId="77777777" w:rsidTr="0016774B">
        <w:trPr>
          <w:trHeight w:val="225"/>
        </w:trPr>
        <w:tc>
          <w:tcPr>
            <w:tcW w:w="7230" w:type="dxa"/>
            <w:tcBorders>
              <w:top w:val="nil"/>
              <w:left w:val="single" w:sz="6" w:space="0" w:color="ACB9CA" w:themeColor="text2" w:themeTint="66"/>
              <w:bottom w:val="single" w:sz="6" w:space="0" w:color="ACB9CA" w:themeColor="text2" w:themeTint="66"/>
              <w:right w:val="single" w:sz="6" w:space="0" w:color="ACB9CA" w:themeColor="text2" w:themeTint="66"/>
            </w:tcBorders>
            <w:shd w:val="clear" w:color="auto" w:fill="auto"/>
            <w:hideMark/>
          </w:tcPr>
          <w:p w14:paraId="27393292" w14:textId="77777777" w:rsidR="00FE461F" w:rsidRPr="005E4BEA" w:rsidRDefault="00FE461F" w:rsidP="00FE461F">
            <w:pPr>
              <w:spacing w:before="120" w:after="60" w:line="240" w:lineRule="auto"/>
              <w:jc w:val="both"/>
              <w:rPr>
                <w:rFonts w:cs="Arial"/>
                <w:b/>
                <w:szCs w:val="20"/>
              </w:rPr>
            </w:pPr>
            <w:r w:rsidRPr="005E4BEA">
              <w:rPr>
                <w:rFonts w:cs="Arial"/>
                <w:b/>
                <w:szCs w:val="20"/>
              </w:rPr>
              <w:t>- v </w:t>
            </w:r>
            <w:proofErr w:type="spellStart"/>
            <w:r w:rsidRPr="005E4BEA">
              <w:rPr>
                <w:rFonts w:cs="Arial"/>
                <w:b/>
                <w:szCs w:val="20"/>
              </w:rPr>
              <w:t>zdr</w:t>
            </w:r>
            <w:proofErr w:type="spellEnd"/>
            <w:r w:rsidRPr="005E4BEA">
              <w:rPr>
                <w:rFonts w:cs="Arial"/>
                <w:b/>
                <w:szCs w:val="20"/>
              </w:rPr>
              <w:t>. dej. posebnih SVZ za odrasle in enot za posebne oblike varstva v DSO</w:t>
            </w:r>
          </w:p>
          <w:p w14:paraId="5855D2AB" w14:textId="77777777" w:rsidR="00FE461F" w:rsidRPr="005E4BEA" w:rsidRDefault="00FE461F" w:rsidP="00FE461F">
            <w:pPr>
              <w:spacing w:before="120" w:after="60" w:line="240" w:lineRule="auto"/>
              <w:jc w:val="both"/>
              <w:rPr>
                <w:rFonts w:cs="Arial"/>
                <w:b/>
                <w:szCs w:val="20"/>
              </w:rPr>
            </w:pPr>
            <w:r w:rsidRPr="005E4BEA">
              <w:rPr>
                <w:rFonts w:cs="Arial"/>
                <w:b/>
                <w:szCs w:val="20"/>
              </w:rPr>
              <w:t xml:space="preserve"> (podvrste dej. 644 416, 644 417, 644 418, 644 425) </w:t>
            </w:r>
          </w:p>
        </w:tc>
        <w:tc>
          <w:tcPr>
            <w:tcW w:w="1843" w:type="dxa"/>
            <w:tcBorders>
              <w:top w:val="nil"/>
              <w:left w:val="nil"/>
              <w:bottom w:val="single" w:sz="6" w:space="0" w:color="ACB9CA" w:themeColor="text2" w:themeTint="66"/>
              <w:right w:val="single" w:sz="6" w:space="0" w:color="ACB9CA" w:themeColor="text2" w:themeTint="66"/>
            </w:tcBorders>
            <w:shd w:val="clear" w:color="auto" w:fill="auto"/>
            <w:hideMark/>
          </w:tcPr>
          <w:p w14:paraId="6F7FDCD5" w14:textId="77777777" w:rsidR="00FE461F" w:rsidRPr="005E4BEA" w:rsidRDefault="00FE461F" w:rsidP="00FE461F">
            <w:pPr>
              <w:spacing w:before="120" w:after="60" w:line="240" w:lineRule="auto"/>
              <w:jc w:val="both"/>
              <w:rPr>
                <w:rFonts w:cs="Arial"/>
                <w:b/>
                <w:szCs w:val="20"/>
              </w:rPr>
            </w:pPr>
            <w:r w:rsidRPr="005E4BEA">
              <w:rPr>
                <w:rFonts w:cs="Arial"/>
                <w:b/>
                <w:szCs w:val="20"/>
              </w:rPr>
              <w:t>28,11% </w:t>
            </w:r>
          </w:p>
        </w:tc>
      </w:tr>
    </w:tbl>
    <w:p w14:paraId="3AAD5ADF" w14:textId="77777777" w:rsidR="00FE461F" w:rsidRPr="005E4BEA" w:rsidRDefault="00FE461F" w:rsidP="00FE461F">
      <w:pPr>
        <w:shd w:val="clear" w:color="auto" w:fill="FFFFFF"/>
        <w:spacing w:line="240" w:lineRule="auto"/>
        <w:jc w:val="both"/>
        <w:textAlignment w:val="baseline"/>
        <w:rPr>
          <w:rFonts w:cs="Arial"/>
          <w:b/>
          <w:bCs/>
          <w:i/>
          <w:iCs/>
          <w:color w:val="808080"/>
          <w:szCs w:val="20"/>
          <w:u w:val="single"/>
          <w:lang w:eastAsia="en-GB"/>
        </w:rPr>
      </w:pPr>
    </w:p>
    <w:p w14:paraId="27840277" w14:textId="77777777" w:rsidR="00FE461F" w:rsidRPr="005E4BEA" w:rsidRDefault="00FE461F" w:rsidP="00FE461F">
      <w:pPr>
        <w:spacing w:before="240" w:after="60"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 xml:space="preserve">Obrazložitev: </w:t>
      </w:r>
    </w:p>
    <w:p w14:paraId="0E5F66D3"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Zakon o zdravstvenem varstvu in zdravstvenem zavarovanju (Uradni list RS, št. 72/06 – uradno prečiščeno besedilo, 114/06 – ZUTPG, 91/07, 76/08, 62/10 – ZUPJS, 87/11, 40/12 – ZUJF, 21/13 – ZUTD-A, 91/13, 99/13 – ZUPJS-C, 99/13 – </w:t>
      </w:r>
      <w:proofErr w:type="spellStart"/>
      <w:r w:rsidRPr="005E4BEA">
        <w:rPr>
          <w:rFonts w:cs="Arial"/>
          <w:i/>
          <w:color w:val="808080" w:themeColor="background1" w:themeShade="80"/>
          <w:szCs w:val="20"/>
          <w:lang w:eastAsia="en-GB"/>
        </w:rPr>
        <w:t>ZSVarPre</w:t>
      </w:r>
      <w:proofErr w:type="spellEnd"/>
      <w:r w:rsidRPr="005E4BEA">
        <w:rPr>
          <w:rFonts w:cs="Arial"/>
          <w:i/>
          <w:color w:val="808080" w:themeColor="background1" w:themeShade="80"/>
          <w:szCs w:val="20"/>
          <w:lang w:eastAsia="en-GB"/>
        </w:rPr>
        <w:t xml:space="preserve">-C, 111/13 – ZMEPIZ-1, 95/14 – ZUJF-C in 47/15 – ZZSDT) v 66. členu določa, da se pri elementih za oblikovanje cene programov oziroma storitev upoštevajo: </w:t>
      </w:r>
    </w:p>
    <w:p w14:paraId="7CF86D16" w14:textId="77777777" w:rsidR="00FE461F" w:rsidRPr="005E4BEA" w:rsidRDefault="00FE461F" w:rsidP="00F356C9">
      <w:pPr>
        <w:numPr>
          <w:ilvl w:val="0"/>
          <w:numId w:val="73"/>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plače in drugi prejemki v skladu s predpisi, kolektivnimi pogodbami in drugimi splošnimi akti, </w:t>
      </w:r>
    </w:p>
    <w:p w14:paraId="617DED49" w14:textId="77777777" w:rsidR="00FE461F" w:rsidRPr="005E4BEA" w:rsidRDefault="00FE461F" w:rsidP="00F356C9">
      <w:pPr>
        <w:numPr>
          <w:ilvl w:val="0"/>
          <w:numId w:val="73"/>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materialni stroški, </w:t>
      </w:r>
    </w:p>
    <w:p w14:paraId="3704F2F2" w14:textId="77777777" w:rsidR="00FE461F" w:rsidRPr="005E4BEA" w:rsidRDefault="00FE461F" w:rsidP="00F356C9">
      <w:pPr>
        <w:numPr>
          <w:ilvl w:val="0"/>
          <w:numId w:val="73"/>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amortizacija, predpisana z zakonom, </w:t>
      </w:r>
    </w:p>
    <w:p w14:paraId="53E8F731" w14:textId="77777777" w:rsidR="00FE461F" w:rsidRPr="005E4BEA" w:rsidRDefault="00FE461F" w:rsidP="00F356C9">
      <w:pPr>
        <w:numPr>
          <w:ilvl w:val="0"/>
          <w:numId w:val="73"/>
        </w:num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druge zakonske obveznosti.   </w:t>
      </w:r>
    </w:p>
    <w:p w14:paraId="2B60055E" w14:textId="77777777" w:rsidR="00FE461F" w:rsidRPr="005E4BEA" w:rsidRDefault="00FE461F" w:rsidP="00FE461F">
      <w:pPr>
        <w:spacing w:line="240" w:lineRule="auto"/>
        <w:jc w:val="both"/>
        <w:rPr>
          <w:rFonts w:cs="Arial"/>
          <w:i/>
          <w:color w:val="808080" w:themeColor="text1" w:themeTint="7F"/>
          <w:szCs w:val="20"/>
          <w:lang w:eastAsia="en-GB"/>
        </w:rPr>
      </w:pPr>
      <w:r w:rsidRPr="005E4BEA">
        <w:rPr>
          <w:rFonts w:cs="Arial"/>
          <w:i/>
          <w:color w:val="808080" w:themeColor="text1" w:themeTint="7F"/>
          <w:szCs w:val="20"/>
          <w:lang w:eastAsia="en-GB"/>
        </w:rPr>
        <w:t xml:space="preserve">Aneksi k zadevnim kolektivnim pogodbam so bili objavljeni v Uradnem listu RS, št. 80/18 in iz njih izhaja spremenjena višina dodatkov, ki je navedeni v besedilu spornega vprašanja.  </w:t>
      </w:r>
    </w:p>
    <w:p w14:paraId="1DBAB693" w14:textId="77777777" w:rsidR="00FE461F" w:rsidRPr="005E4BEA" w:rsidRDefault="00FE461F" w:rsidP="00FE461F">
      <w:pPr>
        <w:spacing w:line="240" w:lineRule="auto"/>
        <w:jc w:val="both"/>
        <w:rPr>
          <w:rFonts w:cs="Arial"/>
          <w:i/>
          <w:color w:val="808080" w:themeColor="text1" w:themeTint="7F"/>
          <w:szCs w:val="20"/>
          <w:lang w:eastAsia="en-GB"/>
        </w:rPr>
      </w:pPr>
      <w:r w:rsidRPr="005E4BEA">
        <w:rPr>
          <w:rFonts w:cs="Arial"/>
          <w:i/>
          <w:color w:val="808080" w:themeColor="text1" w:themeTint="7F"/>
          <w:szCs w:val="20"/>
          <w:lang w:eastAsia="en-GB"/>
        </w:rPr>
        <w:t xml:space="preserve">Predlagan % dodatkov izhaja iz povprečja dejansko izplačanih dodatkov pri izvajalcih, kot izhaja iz spodnje tabele. </w:t>
      </w:r>
    </w:p>
    <w:p w14:paraId="1EFAED90" w14:textId="77777777" w:rsidR="00FE461F" w:rsidRPr="005E4BEA" w:rsidRDefault="00FE461F" w:rsidP="00FE461F">
      <w:pPr>
        <w:spacing w:line="240" w:lineRule="auto"/>
        <w:jc w:val="both"/>
        <w:rPr>
          <w:rFonts w:cs="Arial"/>
          <w:i/>
          <w:iCs/>
          <w:color w:val="808080"/>
          <w:szCs w:val="20"/>
          <w:lang w:eastAsia="en-GB"/>
        </w:rPr>
      </w:pPr>
      <w:r w:rsidRPr="005E4BEA">
        <w:rPr>
          <w:rFonts w:cs="Arial"/>
          <w:b/>
          <w:bCs/>
          <w:i/>
          <w:iCs/>
          <w:color w:val="808080"/>
          <w:szCs w:val="20"/>
          <w:lang w:eastAsia="en-GB"/>
        </w:rPr>
        <w:t>Sprejetje tega predloga je zakonska dolžnost vseh partnerjev, ki izhaja iz določb Zakona o zdravstvenem varstvu in zdravstvenem zavarovanju.</w:t>
      </w:r>
      <w:r w:rsidRPr="005E4BEA">
        <w:rPr>
          <w:rFonts w:cs="Arial"/>
          <w:i/>
          <w:iCs/>
          <w:color w:val="808080"/>
          <w:szCs w:val="20"/>
          <w:lang w:eastAsia="en-GB"/>
        </w:rPr>
        <w:t xml:space="preserve"> </w:t>
      </w:r>
    </w:p>
    <w:p w14:paraId="1B785DB8" w14:textId="77777777" w:rsidR="00FE461F" w:rsidRPr="005E4BEA" w:rsidRDefault="00FE461F" w:rsidP="00FE461F">
      <w:pPr>
        <w:spacing w:line="240" w:lineRule="auto"/>
        <w:jc w:val="both"/>
        <w:rPr>
          <w:rFonts w:cs="Arial"/>
          <w:iCs/>
          <w:color w:val="808080"/>
          <w:szCs w:val="20"/>
          <w:lang w:eastAsia="en-GB"/>
        </w:rPr>
      </w:pPr>
    </w:p>
    <w:p w14:paraId="73B01C5B" w14:textId="4CC90529" w:rsidR="00FE461F" w:rsidRPr="005E4BEA" w:rsidRDefault="00FE461F" w:rsidP="00FE461F">
      <w:pPr>
        <w:spacing w:line="240" w:lineRule="auto"/>
        <w:jc w:val="both"/>
        <w:rPr>
          <w:rFonts w:eastAsia="Calibri" w:cs="Arial"/>
          <w:b/>
          <w:bCs/>
          <w:i/>
          <w:color w:val="808080" w:themeColor="background1" w:themeShade="80"/>
          <w:szCs w:val="20"/>
          <w:lang w:eastAsia="en-GB"/>
        </w:rPr>
      </w:pPr>
      <w:r w:rsidRPr="005E4BEA">
        <w:rPr>
          <w:rFonts w:eastAsia="Calibri" w:cs="Arial"/>
          <w:b/>
          <w:bCs/>
          <w:i/>
          <w:color w:val="808080"/>
          <w:szCs w:val="20"/>
          <w:lang w:eastAsia="en-GB"/>
        </w:rPr>
        <w:t xml:space="preserve"> </w:t>
      </w:r>
      <w:r w:rsidRPr="005E4BEA">
        <w:rPr>
          <w:rFonts w:eastAsia="Calibri" w:cs="Arial"/>
          <w:b/>
          <w:bCs/>
          <w:i/>
          <w:color w:val="808080" w:themeColor="background1" w:themeShade="80"/>
          <w:szCs w:val="20"/>
          <w:lang w:eastAsia="en-GB"/>
        </w:rPr>
        <w:t xml:space="preserve">Finančne posledice: 3.600.000 EUR.  </w:t>
      </w:r>
    </w:p>
    <w:p w14:paraId="56D7C64B" w14:textId="2EDF0144" w:rsidR="00C657CD" w:rsidRPr="005E4BEA" w:rsidRDefault="00C657CD" w:rsidP="00FE461F">
      <w:pPr>
        <w:spacing w:line="240" w:lineRule="auto"/>
        <w:jc w:val="both"/>
        <w:rPr>
          <w:rFonts w:eastAsia="Calibri" w:cs="Arial"/>
          <w:b/>
          <w:bCs/>
          <w:i/>
          <w:color w:val="808080" w:themeColor="background1" w:themeShade="80"/>
          <w:szCs w:val="20"/>
          <w:lang w:eastAsia="en-GB"/>
        </w:rPr>
      </w:pPr>
    </w:p>
    <w:p w14:paraId="0B13B0BA" w14:textId="77777777" w:rsidR="00C657CD" w:rsidRPr="005E4BEA" w:rsidRDefault="00C657CD" w:rsidP="00C657CD">
      <w:pPr>
        <w:spacing w:line="240" w:lineRule="auto"/>
        <w:jc w:val="both"/>
        <w:rPr>
          <w:rFonts w:eastAsia="Calibri" w:cs="Arial"/>
          <w:i/>
          <w:color w:val="808080"/>
          <w:szCs w:val="20"/>
        </w:rPr>
      </w:pPr>
    </w:p>
    <w:p w14:paraId="0D6F8AB1" w14:textId="77777777" w:rsidR="00C657CD" w:rsidRPr="005E4BEA" w:rsidRDefault="00C657CD" w:rsidP="00C657CD">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0B2867D8" w14:textId="77777777" w:rsidR="00C657CD" w:rsidRPr="005E4BEA" w:rsidRDefault="00C657CD" w:rsidP="00C657CD">
      <w:pPr>
        <w:spacing w:line="0" w:lineRule="atLeast"/>
        <w:jc w:val="both"/>
        <w:rPr>
          <w:rFonts w:eastAsia="Arial Narrow" w:cs="Arial"/>
          <w:szCs w:val="20"/>
          <w:lang w:eastAsia="sl-SI"/>
        </w:rPr>
      </w:pPr>
    </w:p>
    <w:p w14:paraId="28247E25" w14:textId="77777777" w:rsidR="00C657CD" w:rsidRPr="005E4BEA" w:rsidRDefault="00C657CD" w:rsidP="00C657CD">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12. člen Splošnega dogovora za pogodbeno leto 2022 ne spremeni.</w:t>
      </w:r>
    </w:p>
    <w:p w14:paraId="3C405543" w14:textId="1B081F85" w:rsidR="00C657CD" w:rsidRPr="005E4BEA" w:rsidRDefault="00C657CD" w:rsidP="00FE461F">
      <w:pPr>
        <w:spacing w:line="240" w:lineRule="auto"/>
        <w:jc w:val="both"/>
        <w:rPr>
          <w:rFonts w:eastAsia="Calibri" w:cs="Arial"/>
          <w:b/>
          <w:bCs/>
          <w:i/>
          <w:color w:val="808080" w:themeColor="background1" w:themeShade="80"/>
          <w:szCs w:val="20"/>
          <w:lang w:eastAsia="en-GB"/>
        </w:rPr>
      </w:pPr>
    </w:p>
    <w:p w14:paraId="21ADEF22" w14:textId="28BBBF93" w:rsidR="00C657CD" w:rsidRPr="005E4BEA" w:rsidRDefault="00C657CD" w:rsidP="00FE461F">
      <w:pPr>
        <w:spacing w:line="240" w:lineRule="auto"/>
        <w:jc w:val="both"/>
        <w:rPr>
          <w:rFonts w:eastAsia="Calibri" w:cs="Arial"/>
          <w:b/>
          <w:bCs/>
          <w:i/>
          <w:color w:val="808080" w:themeColor="background1" w:themeShade="80"/>
          <w:szCs w:val="20"/>
          <w:lang w:eastAsia="en-GB"/>
        </w:rPr>
      </w:pPr>
    </w:p>
    <w:p w14:paraId="327F092D" w14:textId="3F39E15C"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(21)</w:t>
      </w:r>
    </w:p>
    <w:p w14:paraId="45B1242C" w14:textId="0BFC15F8" w:rsidR="00C657CD" w:rsidRPr="005E4BEA" w:rsidRDefault="00C657CD" w:rsidP="00FE461F">
      <w:pPr>
        <w:spacing w:line="240" w:lineRule="auto"/>
        <w:jc w:val="both"/>
        <w:rPr>
          <w:rFonts w:eastAsia="Calibri" w:cs="Arial"/>
          <w:b/>
          <w:bCs/>
          <w:i/>
          <w:color w:val="808080" w:themeColor="background1" w:themeShade="80"/>
          <w:szCs w:val="20"/>
          <w:lang w:eastAsia="en-GB"/>
        </w:rPr>
      </w:pPr>
    </w:p>
    <w:p w14:paraId="7A2BC220" w14:textId="45E6A3DD" w:rsidR="00FE461F" w:rsidRPr="005E4BEA" w:rsidRDefault="00346825" w:rsidP="00346825">
      <w:pPr>
        <w:spacing w:line="240" w:lineRule="auto"/>
        <w:jc w:val="both"/>
        <w:rPr>
          <w:rFonts w:eastAsia="Arial Narrow" w:cs="Arial"/>
          <w:bCs/>
          <w:szCs w:val="20"/>
        </w:rPr>
      </w:pPr>
      <w:r w:rsidRPr="005E4BEA">
        <w:rPr>
          <w:rFonts w:eastAsia="Arial Narrow" w:cs="Arial"/>
          <w:b/>
          <w:szCs w:val="20"/>
        </w:rPr>
        <w:t xml:space="preserve">Zavod za zdravstveno zavarovanje predlaga, </w:t>
      </w:r>
      <w:r w:rsidRPr="005E4BEA">
        <w:rPr>
          <w:rFonts w:eastAsia="Arial Narrow" w:cs="Arial"/>
          <w:bCs/>
          <w:szCs w:val="20"/>
        </w:rPr>
        <w:t xml:space="preserve">da se v </w:t>
      </w:r>
      <w:r w:rsidR="00FE461F" w:rsidRPr="005E4BEA">
        <w:rPr>
          <w:rFonts w:eastAsia="Arial Narrow" w:cs="Arial"/>
          <w:bCs/>
          <w:szCs w:val="20"/>
        </w:rPr>
        <w:t>13. členu v (1) odstavku za prvim stavkom doda nov drugi stavek, ki se glasi:</w:t>
      </w:r>
    </w:p>
    <w:p w14:paraId="7BC345C0" w14:textId="77777777" w:rsidR="00FE461F" w:rsidRPr="005E4BEA" w:rsidRDefault="00FE461F" w:rsidP="00FE461F">
      <w:pPr>
        <w:spacing w:line="120" w:lineRule="exact"/>
        <w:jc w:val="both"/>
        <w:rPr>
          <w:rFonts w:eastAsia="Arial Narrow" w:cs="Arial"/>
          <w:b/>
          <w:szCs w:val="20"/>
        </w:rPr>
      </w:pPr>
    </w:p>
    <w:p w14:paraId="0D57C7F8" w14:textId="77777777" w:rsidR="00FE461F" w:rsidRPr="005E4BEA" w:rsidRDefault="00FE461F" w:rsidP="00FE461F">
      <w:pPr>
        <w:spacing w:line="240" w:lineRule="auto"/>
        <w:jc w:val="both"/>
        <w:rPr>
          <w:rFonts w:cs="Arial"/>
          <w:szCs w:val="20"/>
        </w:rPr>
      </w:pPr>
      <w:r w:rsidRPr="005E4BEA">
        <w:rPr>
          <w:rFonts w:cs="Arial"/>
          <w:szCs w:val="20"/>
        </w:rPr>
        <w:t xml:space="preserve">»Osnova za izračuna dodatka za dvojezičnost za program dermatologije, revmatologije, otorinolaringologije, </w:t>
      </w:r>
      <w:proofErr w:type="spellStart"/>
      <w:r w:rsidRPr="005E4BEA">
        <w:rPr>
          <w:rFonts w:cs="Arial"/>
          <w:szCs w:val="20"/>
        </w:rPr>
        <w:t>pnevmologije</w:t>
      </w:r>
      <w:proofErr w:type="spellEnd"/>
      <w:r w:rsidRPr="005E4BEA">
        <w:rPr>
          <w:rFonts w:cs="Arial"/>
          <w:szCs w:val="20"/>
        </w:rPr>
        <w:t xml:space="preserve"> </w:t>
      </w:r>
      <w:r w:rsidRPr="005E4BEA">
        <w:rPr>
          <w:rFonts w:cs="Arial"/>
          <w:i/>
          <w:iCs/>
          <w:szCs w:val="20"/>
        </w:rPr>
        <w:t xml:space="preserve">(če bo sprejet predlog za nov obračunski model) </w:t>
      </w:r>
      <w:r w:rsidRPr="005E4BEA">
        <w:rPr>
          <w:rFonts w:cs="Arial"/>
          <w:szCs w:val="20"/>
        </w:rPr>
        <w:t xml:space="preserve">okulistike - </w:t>
      </w:r>
      <w:proofErr w:type="spellStart"/>
      <w:r w:rsidRPr="005E4BEA">
        <w:rPr>
          <w:rFonts w:cs="Arial"/>
          <w:szCs w:val="20"/>
        </w:rPr>
        <w:t>presejanje</w:t>
      </w:r>
      <w:proofErr w:type="spellEnd"/>
      <w:r w:rsidRPr="005E4BEA">
        <w:rPr>
          <w:rFonts w:cs="Arial"/>
          <w:szCs w:val="20"/>
        </w:rPr>
        <w:t xml:space="preserve"> diabetične retinopatije, </w:t>
      </w:r>
      <w:proofErr w:type="spellStart"/>
      <w:r w:rsidRPr="005E4BEA">
        <w:rPr>
          <w:rFonts w:cs="Arial"/>
          <w:szCs w:val="20"/>
        </w:rPr>
        <w:t>poligrafije</w:t>
      </w:r>
      <w:proofErr w:type="spellEnd"/>
      <w:r w:rsidRPr="005E4BEA">
        <w:rPr>
          <w:rFonts w:cs="Arial"/>
          <w:szCs w:val="20"/>
        </w:rPr>
        <w:t xml:space="preserve"> spanja na domu ter nege in patronaže je 75 % </w:t>
      </w:r>
      <w:proofErr w:type="spellStart"/>
      <w:r w:rsidRPr="005E4BEA">
        <w:rPr>
          <w:rFonts w:cs="Arial"/>
          <w:szCs w:val="20"/>
        </w:rPr>
        <w:t>vkalkuliranih</w:t>
      </w:r>
      <w:proofErr w:type="spellEnd"/>
      <w:r w:rsidRPr="005E4BEA">
        <w:rPr>
          <w:rFonts w:cs="Arial"/>
          <w:szCs w:val="20"/>
        </w:rPr>
        <w:t xml:space="preserve"> bruto plač za te dejavnosti iz pogodbe med Zavodom in izvajalcem.«</w:t>
      </w:r>
    </w:p>
    <w:p w14:paraId="7B9F3A40" w14:textId="77777777" w:rsidR="00FE461F" w:rsidRPr="005E4BEA" w:rsidRDefault="00FE461F" w:rsidP="00FE461F">
      <w:pPr>
        <w:spacing w:line="120" w:lineRule="auto"/>
        <w:jc w:val="both"/>
        <w:rPr>
          <w:rFonts w:cs="Arial"/>
          <w:szCs w:val="20"/>
        </w:rPr>
      </w:pPr>
    </w:p>
    <w:p w14:paraId="268A9C31" w14:textId="0F3DBC02" w:rsidR="00FE461F" w:rsidRPr="005E4BEA" w:rsidRDefault="00FE461F" w:rsidP="00FE461F">
      <w:pPr>
        <w:spacing w:line="240" w:lineRule="auto"/>
        <w:jc w:val="both"/>
        <w:rPr>
          <w:rFonts w:cs="Arial"/>
          <w:szCs w:val="20"/>
        </w:rPr>
      </w:pPr>
      <w:r w:rsidRPr="005E4BEA">
        <w:rPr>
          <w:rFonts w:cs="Arial"/>
          <w:szCs w:val="20"/>
        </w:rPr>
        <w:t>Sprememba velja od 1. 1. 2022 naprej.</w:t>
      </w:r>
    </w:p>
    <w:p w14:paraId="4E624456" w14:textId="77777777" w:rsidR="00346825" w:rsidRPr="005E4BEA" w:rsidRDefault="00346825" w:rsidP="00FE461F">
      <w:pPr>
        <w:spacing w:line="240" w:lineRule="auto"/>
        <w:jc w:val="both"/>
        <w:rPr>
          <w:rFonts w:cs="Arial"/>
          <w:szCs w:val="20"/>
        </w:rPr>
      </w:pPr>
    </w:p>
    <w:p w14:paraId="2E96CFDB" w14:textId="77777777" w:rsidR="00FE461F" w:rsidRPr="005E4BEA" w:rsidRDefault="00FE461F" w:rsidP="00FE461F">
      <w:pPr>
        <w:spacing w:line="120" w:lineRule="auto"/>
        <w:rPr>
          <w:rFonts w:cs="Arial"/>
          <w:szCs w:val="20"/>
        </w:rPr>
      </w:pPr>
    </w:p>
    <w:p w14:paraId="6AB0C60B"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1AAA8AC3"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da se za programe dermatologije, revmatologije, otorinolaringologije, </w:t>
      </w:r>
      <w:proofErr w:type="spellStart"/>
      <w:r w:rsidRPr="005E4BEA">
        <w:rPr>
          <w:rFonts w:eastAsiaTheme="minorHAnsi" w:cs="Arial"/>
          <w:i/>
          <w:color w:val="808080" w:themeColor="background1" w:themeShade="80"/>
          <w:szCs w:val="20"/>
        </w:rPr>
        <w:t>pnevmologije</w:t>
      </w:r>
      <w:proofErr w:type="spellEnd"/>
      <w:r w:rsidRPr="005E4BEA">
        <w:rPr>
          <w:rFonts w:eastAsiaTheme="minorHAnsi" w:cs="Arial"/>
          <w:i/>
          <w:color w:val="808080" w:themeColor="background1" w:themeShade="80"/>
          <w:szCs w:val="20"/>
        </w:rPr>
        <w:t xml:space="preserve"> (če bo sprejet predlog za nov obračunski model), okulistike -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diabetične retinopatije, </w:t>
      </w:r>
      <w:proofErr w:type="spellStart"/>
      <w:r w:rsidRPr="005E4BEA">
        <w:rPr>
          <w:rFonts w:eastAsiaTheme="minorHAnsi" w:cs="Arial"/>
          <w:i/>
          <w:color w:val="808080" w:themeColor="background1" w:themeShade="80"/>
          <w:szCs w:val="20"/>
        </w:rPr>
        <w:t>poligrafije</w:t>
      </w:r>
      <w:proofErr w:type="spellEnd"/>
      <w:r w:rsidRPr="005E4BEA">
        <w:rPr>
          <w:rFonts w:eastAsiaTheme="minorHAnsi" w:cs="Arial"/>
          <w:i/>
          <w:color w:val="808080" w:themeColor="background1" w:themeShade="80"/>
          <w:szCs w:val="20"/>
        </w:rPr>
        <w:t xml:space="preserve"> spanja na domu ter nege in patronaže opredeli osnovo za izračun dodatka za dvojezičnost, in sicer v višini 75 % bruto plač navedenih dejavnosti iz pogodbe med Zavodom in izvajalcem. Na ta način je Zavod že dogovoril dodatke za dvojezičnost navedenih dejavnosti v letu 2021.</w:t>
      </w:r>
    </w:p>
    <w:p w14:paraId="1B9A0A7F" w14:textId="2AE46625"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w:t>
      </w:r>
    </w:p>
    <w:p w14:paraId="172F572F" w14:textId="32078E18" w:rsidR="00346825" w:rsidRPr="005E4BEA" w:rsidRDefault="00346825" w:rsidP="00FE461F">
      <w:pPr>
        <w:spacing w:line="240" w:lineRule="auto"/>
        <w:jc w:val="both"/>
        <w:rPr>
          <w:rFonts w:eastAsiaTheme="minorHAnsi" w:cs="Arial"/>
          <w:i/>
          <w:color w:val="808080" w:themeColor="background1" w:themeShade="80"/>
          <w:szCs w:val="20"/>
        </w:rPr>
      </w:pPr>
    </w:p>
    <w:p w14:paraId="3CB64397" w14:textId="4475EFED" w:rsidR="00346825" w:rsidRPr="005E4BEA" w:rsidRDefault="00346825" w:rsidP="0034682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374BDB96" w14:textId="77777777" w:rsidR="00346825" w:rsidRPr="005E4BEA" w:rsidRDefault="00346825" w:rsidP="00346825">
      <w:pPr>
        <w:spacing w:line="0" w:lineRule="atLeast"/>
        <w:jc w:val="both"/>
        <w:rPr>
          <w:rFonts w:eastAsia="Arial Narrow" w:cs="Arial"/>
          <w:szCs w:val="20"/>
          <w:lang w:eastAsia="sl-SI"/>
        </w:rPr>
      </w:pPr>
    </w:p>
    <w:p w14:paraId="55B5D980" w14:textId="1F253887" w:rsidR="00346825" w:rsidRPr="005E4BEA" w:rsidRDefault="00346825" w:rsidP="00346825">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24" w:name="_Hlk102466040"/>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v 13. členu v </w:t>
      </w:r>
      <w:r w:rsidR="00FF679B" w:rsidRPr="005E4BEA">
        <w:rPr>
          <w:rFonts w:eastAsia="Arial Narrow" w:cs="Arial"/>
          <w:szCs w:val="20"/>
        </w:rPr>
        <w:t xml:space="preserve">prvem </w:t>
      </w:r>
      <w:r w:rsidRPr="005E4BEA">
        <w:rPr>
          <w:rFonts w:eastAsia="Arial Narrow" w:cs="Arial"/>
          <w:szCs w:val="20"/>
        </w:rPr>
        <w:t>odstavku za prvim stavkom doda nov drugi stavek, ki se glasi:</w:t>
      </w:r>
    </w:p>
    <w:p w14:paraId="3C65E38F" w14:textId="77777777" w:rsidR="00346825" w:rsidRPr="005E4BEA" w:rsidRDefault="00346825" w:rsidP="00346825">
      <w:pPr>
        <w:spacing w:line="0" w:lineRule="atLeast"/>
        <w:jc w:val="both"/>
        <w:rPr>
          <w:rFonts w:eastAsia="Arial Narrow" w:cs="Arial"/>
          <w:szCs w:val="20"/>
        </w:rPr>
      </w:pPr>
    </w:p>
    <w:p w14:paraId="2BD7B98B" w14:textId="77777777" w:rsidR="00346825" w:rsidRPr="005E4BEA" w:rsidRDefault="00346825" w:rsidP="00346825">
      <w:pPr>
        <w:spacing w:line="0" w:lineRule="atLeast"/>
        <w:jc w:val="both"/>
        <w:rPr>
          <w:rFonts w:eastAsia="Arial Narrow" w:cs="Arial"/>
          <w:szCs w:val="20"/>
        </w:rPr>
      </w:pPr>
      <w:r w:rsidRPr="005E4BEA">
        <w:rPr>
          <w:rFonts w:eastAsia="Arial Narrow" w:cs="Arial"/>
          <w:szCs w:val="20"/>
        </w:rPr>
        <w:t xml:space="preserve">»Osnova za izračuna dodatka za dvojezičnost za program dermatologije, revmatologije, otorinolaringologije, </w:t>
      </w:r>
      <w:proofErr w:type="spellStart"/>
      <w:r w:rsidRPr="005E4BEA">
        <w:rPr>
          <w:rFonts w:eastAsia="Arial Narrow" w:cs="Arial"/>
          <w:szCs w:val="20"/>
        </w:rPr>
        <w:t>pnevmologije</w:t>
      </w:r>
      <w:proofErr w:type="spellEnd"/>
      <w:r w:rsidRPr="005E4BEA">
        <w:rPr>
          <w:rFonts w:eastAsia="Arial Narrow" w:cs="Arial"/>
          <w:szCs w:val="20"/>
        </w:rPr>
        <w:t xml:space="preserve"> (če bo sprejet predlog za nov obračunski model) okulistike - </w:t>
      </w:r>
      <w:proofErr w:type="spellStart"/>
      <w:r w:rsidRPr="005E4BEA">
        <w:rPr>
          <w:rFonts w:eastAsia="Arial Narrow" w:cs="Arial"/>
          <w:szCs w:val="20"/>
        </w:rPr>
        <w:t>presejanje</w:t>
      </w:r>
      <w:proofErr w:type="spellEnd"/>
      <w:r w:rsidRPr="005E4BEA">
        <w:rPr>
          <w:rFonts w:eastAsia="Arial Narrow" w:cs="Arial"/>
          <w:szCs w:val="20"/>
        </w:rPr>
        <w:t xml:space="preserve"> diabetične retinopatije, </w:t>
      </w:r>
      <w:proofErr w:type="spellStart"/>
      <w:r w:rsidRPr="005E4BEA">
        <w:rPr>
          <w:rFonts w:eastAsia="Arial Narrow" w:cs="Arial"/>
          <w:szCs w:val="20"/>
        </w:rPr>
        <w:t>poligrafije</w:t>
      </w:r>
      <w:proofErr w:type="spellEnd"/>
      <w:r w:rsidRPr="005E4BEA">
        <w:rPr>
          <w:rFonts w:eastAsia="Arial Narrow" w:cs="Arial"/>
          <w:szCs w:val="20"/>
        </w:rPr>
        <w:t xml:space="preserve"> spanja na domu ter nege in patronaže je 75 % </w:t>
      </w:r>
      <w:proofErr w:type="spellStart"/>
      <w:r w:rsidRPr="005E4BEA">
        <w:rPr>
          <w:rFonts w:eastAsia="Arial Narrow" w:cs="Arial"/>
          <w:szCs w:val="20"/>
        </w:rPr>
        <w:t>vkalkuliranih</w:t>
      </w:r>
      <w:proofErr w:type="spellEnd"/>
      <w:r w:rsidRPr="005E4BEA">
        <w:rPr>
          <w:rFonts w:eastAsia="Arial Narrow" w:cs="Arial"/>
          <w:szCs w:val="20"/>
        </w:rPr>
        <w:t xml:space="preserve"> bruto plač za te dejavnosti iz pogodbe med Zavodom in izvajalcem.«</w:t>
      </w:r>
    </w:p>
    <w:p w14:paraId="0DF5E61C" w14:textId="77777777" w:rsidR="00346825" w:rsidRPr="005E4BEA" w:rsidRDefault="00346825" w:rsidP="00346825">
      <w:pPr>
        <w:spacing w:line="0" w:lineRule="atLeast"/>
        <w:jc w:val="both"/>
        <w:rPr>
          <w:rFonts w:eastAsia="Arial Narrow" w:cs="Arial"/>
          <w:szCs w:val="20"/>
        </w:rPr>
      </w:pPr>
    </w:p>
    <w:p w14:paraId="73C51B67" w14:textId="2D898721" w:rsidR="00346825" w:rsidRPr="005E4BEA" w:rsidRDefault="00346825" w:rsidP="00346825">
      <w:pPr>
        <w:spacing w:line="0" w:lineRule="atLeast"/>
        <w:jc w:val="both"/>
        <w:rPr>
          <w:rFonts w:eastAsiaTheme="minorHAnsi" w:cs="Arial"/>
          <w:i/>
          <w:color w:val="808080" w:themeColor="background1" w:themeShade="80"/>
          <w:szCs w:val="20"/>
        </w:rPr>
      </w:pPr>
      <w:r w:rsidRPr="005E4BEA">
        <w:rPr>
          <w:rFonts w:eastAsia="Arial Narrow" w:cs="Arial"/>
          <w:szCs w:val="20"/>
        </w:rPr>
        <w:t>Sprememba velja od 1. 1. 2022 naprej.</w:t>
      </w:r>
    </w:p>
    <w:bookmarkEnd w:id="24"/>
    <w:p w14:paraId="6F4A6264" w14:textId="4D5A67B8" w:rsidR="00FE461F" w:rsidRPr="005E4BEA" w:rsidRDefault="00FE461F" w:rsidP="00FE461F">
      <w:pPr>
        <w:spacing w:line="240" w:lineRule="auto"/>
        <w:jc w:val="both"/>
        <w:rPr>
          <w:rFonts w:cs="Arial"/>
          <w:i/>
          <w:iCs/>
          <w:color w:val="808080" w:themeColor="background1" w:themeShade="80"/>
          <w:szCs w:val="20"/>
        </w:rPr>
      </w:pPr>
    </w:p>
    <w:p w14:paraId="496A6C08" w14:textId="2D4659A3"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(23)</w:t>
      </w:r>
    </w:p>
    <w:p w14:paraId="2049E014" w14:textId="77777777" w:rsidR="00346825" w:rsidRPr="005E4BEA" w:rsidRDefault="00346825" w:rsidP="00FE461F">
      <w:pPr>
        <w:spacing w:line="240" w:lineRule="auto"/>
        <w:jc w:val="both"/>
        <w:rPr>
          <w:rFonts w:cs="Arial"/>
          <w:i/>
          <w:iCs/>
          <w:color w:val="808080" w:themeColor="background1" w:themeShade="80"/>
          <w:szCs w:val="20"/>
        </w:rPr>
      </w:pPr>
    </w:p>
    <w:p w14:paraId="1449D996" w14:textId="259EDB04" w:rsidR="00FE461F" w:rsidRPr="005E4BEA" w:rsidRDefault="00346825" w:rsidP="00FE461F">
      <w:pPr>
        <w:spacing w:line="240" w:lineRule="auto"/>
        <w:jc w:val="both"/>
        <w:rPr>
          <w:rFonts w:cs="Arial"/>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00FE461F" w:rsidRPr="005E4BEA">
        <w:rPr>
          <w:rFonts w:cs="Arial"/>
          <w:szCs w:val="20"/>
        </w:rPr>
        <w:t xml:space="preserve"> 16. členu (1) odstavku se doda nova točka, ki glasi:</w:t>
      </w:r>
    </w:p>
    <w:p w14:paraId="702D0FA1" w14:textId="77777777" w:rsidR="00FE461F" w:rsidRPr="005E4BEA" w:rsidRDefault="00FE461F" w:rsidP="00FE461F">
      <w:pPr>
        <w:spacing w:line="240" w:lineRule="auto"/>
        <w:jc w:val="both"/>
        <w:rPr>
          <w:rFonts w:eastAsiaTheme="minorEastAsia" w:cs="Arial"/>
          <w:szCs w:val="20"/>
        </w:rPr>
      </w:pPr>
      <w:proofErr w:type="spellStart"/>
      <w:r w:rsidRPr="005E4BEA">
        <w:rPr>
          <w:rFonts w:eastAsiaTheme="minorEastAsia" w:cs="Arial"/>
          <w:szCs w:val="20"/>
        </w:rPr>
        <w:t>Avtologne</w:t>
      </w:r>
      <w:proofErr w:type="spellEnd"/>
      <w:r w:rsidRPr="005E4BEA">
        <w:rPr>
          <w:rFonts w:eastAsiaTheme="minorEastAsia" w:cs="Arial"/>
          <w:szCs w:val="20"/>
        </w:rPr>
        <w:t xml:space="preserve"> serumske kapljice.</w:t>
      </w:r>
    </w:p>
    <w:p w14:paraId="0BBD7FEA" w14:textId="77777777" w:rsidR="00FE461F" w:rsidRPr="005E4BEA" w:rsidRDefault="00FE461F" w:rsidP="00FE461F">
      <w:pPr>
        <w:spacing w:line="240" w:lineRule="auto"/>
        <w:jc w:val="both"/>
        <w:rPr>
          <w:rFonts w:cs="Arial"/>
          <w:b/>
          <w:bCs/>
          <w:szCs w:val="20"/>
        </w:rPr>
      </w:pPr>
    </w:p>
    <w:p w14:paraId="7FE0E130"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712BDC94"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proofErr w:type="spellStart"/>
      <w:r w:rsidRPr="005E4BEA">
        <w:rPr>
          <w:rFonts w:eastAsiaTheme="minorHAnsi" w:cs="Arial"/>
          <w:i/>
          <w:iCs/>
          <w:color w:val="808080" w:themeColor="background1" w:themeShade="80"/>
          <w:szCs w:val="20"/>
        </w:rPr>
        <w:t>Perzistentne</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kornealne</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epitelijske</w:t>
      </w:r>
      <w:proofErr w:type="spellEnd"/>
      <w:r w:rsidRPr="005E4BEA">
        <w:rPr>
          <w:rFonts w:eastAsiaTheme="minorHAnsi" w:cs="Arial"/>
          <w:i/>
          <w:iCs/>
          <w:color w:val="808080" w:themeColor="background1" w:themeShade="80"/>
          <w:szCs w:val="20"/>
        </w:rPr>
        <w:t xml:space="preserve"> okvare so posledica bolezni in/ali stanj, ki so povezana z manjšo proizvodnjo solz v očesu. Sindrom suhega očesa je pogosta motnja, saj jo izkusi vsaj 25% oftalmoloških pacientov. Sindrom suhega očesa povzročajo različne bolezni: </w:t>
      </w:r>
      <w:proofErr w:type="spellStart"/>
      <w:r w:rsidRPr="005E4BEA">
        <w:rPr>
          <w:rFonts w:eastAsiaTheme="minorHAnsi" w:cs="Arial"/>
          <w:i/>
          <w:iCs/>
          <w:color w:val="808080" w:themeColor="background1" w:themeShade="80"/>
          <w:szCs w:val="20"/>
        </w:rPr>
        <w:t>Sjögrenov</w:t>
      </w:r>
      <w:proofErr w:type="spellEnd"/>
      <w:r w:rsidRPr="005E4BEA">
        <w:rPr>
          <w:rFonts w:eastAsiaTheme="minorHAnsi" w:cs="Arial"/>
          <w:i/>
          <w:iCs/>
          <w:color w:val="808080" w:themeColor="background1" w:themeShade="80"/>
          <w:szCs w:val="20"/>
        </w:rPr>
        <w:t xml:space="preserve"> sindrom, nesistemske bolezni, ki okrnijo solzno funkcijo, hormonske spremembe, stranski učinki zdravil, nekateri kirurški posegi, bolezen presadka proti gostitelju ter nekatere sistemske bolezni (npr. revmatoidni artritis, sladkorna bolezen, sistemski </w:t>
      </w:r>
      <w:proofErr w:type="spellStart"/>
      <w:r w:rsidRPr="005E4BEA">
        <w:rPr>
          <w:rFonts w:eastAsiaTheme="minorHAnsi" w:cs="Arial"/>
          <w:i/>
          <w:iCs/>
          <w:color w:val="808080" w:themeColor="background1" w:themeShade="80"/>
          <w:szCs w:val="20"/>
        </w:rPr>
        <w:t>lupus</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eritematozus</w:t>
      </w:r>
      <w:proofErr w:type="spellEnd"/>
      <w:r w:rsidRPr="005E4BEA">
        <w:rPr>
          <w:rFonts w:eastAsiaTheme="minorHAnsi" w:cs="Arial"/>
          <w:i/>
          <w:iCs/>
          <w:color w:val="808080" w:themeColor="background1" w:themeShade="80"/>
          <w:szCs w:val="20"/>
        </w:rPr>
        <w:t xml:space="preserve">, nekatera dermatološka stanja. Kirurško popravljanje poškodovane očesne površine je v primeru suhega </w:t>
      </w:r>
      <w:r w:rsidRPr="005E4BEA">
        <w:rPr>
          <w:rFonts w:eastAsiaTheme="minorHAnsi" w:cs="Arial"/>
          <w:i/>
          <w:iCs/>
          <w:color w:val="808080" w:themeColor="background1" w:themeShade="80"/>
          <w:szCs w:val="20"/>
        </w:rPr>
        <w:lastRenderedPageBreak/>
        <w:t xml:space="preserve">očesa pogosto neuspešno, je pa zato toliko pomembnejše vlaženje očesne površine. V ta namen je najuspešnejše zdravljenje s </w:t>
      </w:r>
      <w:proofErr w:type="spellStart"/>
      <w:r w:rsidRPr="005E4BEA">
        <w:rPr>
          <w:rFonts w:eastAsiaTheme="minorHAnsi" w:cs="Arial"/>
          <w:i/>
          <w:iCs/>
          <w:color w:val="808080" w:themeColor="background1" w:themeShade="80"/>
          <w:szCs w:val="20"/>
        </w:rPr>
        <w:t>t.i</w:t>
      </w:r>
      <w:proofErr w:type="spellEnd"/>
      <w:r w:rsidRPr="005E4BEA">
        <w:rPr>
          <w:rFonts w:eastAsiaTheme="minorHAnsi" w:cs="Arial"/>
          <w:i/>
          <w:iCs/>
          <w:color w:val="808080" w:themeColor="background1" w:themeShade="80"/>
          <w:szCs w:val="20"/>
        </w:rPr>
        <w:t xml:space="preserve">. umetnimi solzami - najpogosteje se uporablja </w:t>
      </w:r>
      <w:proofErr w:type="spellStart"/>
      <w:r w:rsidRPr="005E4BEA">
        <w:rPr>
          <w:rFonts w:eastAsiaTheme="minorHAnsi" w:cs="Arial"/>
          <w:i/>
          <w:iCs/>
          <w:color w:val="808080" w:themeColor="background1" w:themeShade="80"/>
          <w:szCs w:val="20"/>
        </w:rPr>
        <w:t>avtologni</w:t>
      </w:r>
      <w:proofErr w:type="spellEnd"/>
      <w:r w:rsidRPr="005E4BEA">
        <w:rPr>
          <w:rFonts w:eastAsiaTheme="minorHAnsi" w:cs="Arial"/>
          <w:i/>
          <w:iCs/>
          <w:color w:val="808080" w:themeColor="background1" w:themeShade="80"/>
          <w:szCs w:val="20"/>
        </w:rPr>
        <w:t xml:space="preserve"> serum. </w:t>
      </w:r>
    </w:p>
    <w:p w14:paraId="3ABA1A91"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Na ZTM smo pripravo serumskih kapljic za zunanje naročnike vzpostavili leta 2016, začetek leta 2017 pa za to pridobili vsa potrebna dovoljenja s strani Javne agencije Republike Slovenije za zdravila in medicinske pripomočke (JAZMP).  Smo edini v Sloveniji, ki to storitev izvajamo v skladu z vsemi veljavnimi predpisi in z dovoljenjem JAZMP ter tudi edini, ki omogočamo, da pacient pridobi kapljice za daljše časovno obdobje. Povprečno letno število obravnav za enega pacienta je 30, skupna dolžina zdravljenja pa je različna in temelji na odločitvi konzilija onkologov in dermatologov za vsakega pacienta posebej.</w:t>
      </w:r>
    </w:p>
    <w:p w14:paraId="109A0FCF"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Serumske kapljice so za zdravljenje </w:t>
      </w:r>
      <w:proofErr w:type="spellStart"/>
      <w:r w:rsidRPr="005E4BEA">
        <w:rPr>
          <w:rFonts w:eastAsiaTheme="minorHAnsi" w:cs="Arial"/>
          <w:i/>
          <w:iCs/>
          <w:color w:val="808080" w:themeColor="background1" w:themeShade="80"/>
          <w:szCs w:val="20"/>
        </w:rPr>
        <w:t>epitelijskih</w:t>
      </w:r>
      <w:proofErr w:type="spellEnd"/>
      <w:r w:rsidRPr="005E4BEA">
        <w:rPr>
          <w:rFonts w:eastAsiaTheme="minorHAnsi" w:cs="Arial"/>
          <w:i/>
          <w:iCs/>
          <w:color w:val="808080" w:themeColor="background1" w:themeShade="80"/>
          <w:szCs w:val="20"/>
        </w:rPr>
        <w:t xml:space="preserve"> defektov očesa prvič uporabili l. 1975, od takrat pa se jih vedno več uporablja predvsem za zdravljenje sindroma suhega očesa. Serum ima podobna pH in </w:t>
      </w:r>
      <w:proofErr w:type="spellStart"/>
      <w:r w:rsidRPr="005E4BEA">
        <w:rPr>
          <w:rFonts w:eastAsiaTheme="minorHAnsi" w:cs="Arial"/>
          <w:i/>
          <w:iCs/>
          <w:color w:val="808080" w:themeColor="background1" w:themeShade="80"/>
          <w:szCs w:val="20"/>
        </w:rPr>
        <w:t>osmolalnost</w:t>
      </w:r>
      <w:proofErr w:type="spellEnd"/>
      <w:r w:rsidRPr="005E4BEA">
        <w:rPr>
          <w:rFonts w:eastAsiaTheme="minorHAnsi" w:cs="Arial"/>
          <w:i/>
          <w:iCs/>
          <w:color w:val="808080" w:themeColor="background1" w:themeShade="80"/>
          <w:szCs w:val="20"/>
        </w:rPr>
        <w:t xml:space="preserve"> ter </w:t>
      </w:r>
      <w:proofErr w:type="spellStart"/>
      <w:r w:rsidRPr="005E4BEA">
        <w:rPr>
          <w:rFonts w:eastAsiaTheme="minorHAnsi" w:cs="Arial"/>
          <w:i/>
          <w:iCs/>
          <w:color w:val="808080" w:themeColor="background1" w:themeShade="80"/>
          <w:szCs w:val="20"/>
        </w:rPr>
        <w:t>biomehanske</w:t>
      </w:r>
      <w:proofErr w:type="spellEnd"/>
      <w:r w:rsidRPr="005E4BEA">
        <w:rPr>
          <w:rFonts w:eastAsiaTheme="minorHAnsi" w:cs="Arial"/>
          <w:i/>
          <w:iCs/>
          <w:color w:val="808080" w:themeColor="background1" w:themeShade="80"/>
          <w:szCs w:val="20"/>
        </w:rPr>
        <w:t xml:space="preserve"> lastnosti kot solze, vsebuje tudi podobne rastne faktorje, vitamine in </w:t>
      </w:r>
      <w:proofErr w:type="spellStart"/>
      <w:r w:rsidRPr="005E4BEA">
        <w:rPr>
          <w:rFonts w:eastAsiaTheme="minorHAnsi" w:cs="Arial"/>
          <w:i/>
          <w:iCs/>
          <w:color w:val="808080" w:themeColor="background1" w:themeShade="80"/>
          <w:szCs w:val="20"/>
        </w:rPr>
        <w:t>imunoglobuline</w:t>
      </w:r>
      <w:proofErr w:type="spellEnd"/>
      <w:r w:rsidRPr="005E4BEA">
        <w:rPr>
          <w:rFonts w:eastAsiaTheme="minorHAnsi" w:cs="Arial"/>
          <w:i/>
          <w:iCs/>
          <w:color w:val="808080" w:themeColor="background1" w:themeShade="80"/>
          <w:szCs w:val="20"/>
        </w:rPr>
        <w:t xml:space="preserve">. Vsi ti dejavniki so odgovorni za terapevtski učinek seruma: pospeševanje migracije </w:t>
      </w:r>
      <w:proofErr w:type="spellStart"/>
      <w:r w:rsidRPr="005E4BEA">
        <w:rPr>
          <w:rFonts w:eastAsiaTheme="minorHAnsi" w:cs="Arial"/>
          <w:i/>
          <w:iCs/>
          <w:color w:val="808080" w:themeColor="background1" w:themeShade="80"/>
          <w:szCs w:val="20"/>
        </w:rPr>
        <w:t>epitelijskih</w:t>
      </w:r>
      <w:proofErr w:type="spellEnd"/>
      <w:r w:rsidRPr="005E4BEA">
        <w:rPr>
          <w:rFonts w:eastAsiaTheme="minorHAnsi" w:cs="Arial"/>
          <w:i/>
          <w:iCs/>
          <w:color w:val="808080" w:themeColor="background1" w:themeShade="80"/>
          <w:szCs w:val="20"/>
        </w:rPr>
        <w:t xml:space="preserve"> celic, </w:t>
      </w:r>
      <w:proofErr w:type="spellStart"/>
      <w:r w:rsidRPr="005E4BEA">
        <w:rPr>
          <w:rFonts w:eastAsiaTheme="minorHAnsi" w:cs="Arial"/>
          <w:i/>
          <w:iCs/>
          <w:color w:val="808080" w:themeColor="background1" w:themeShade="80"/>
          <w:szCs w:val="20"/>
        </w:rPr>
        <w:t>antiapoptotsko</w:t>
      </w:r>
      <w:proofErr w:type="spellEnd"/>
      <w:r w:rsidRPr="005E4BEA">
        <w:rPr>
          <w:rFonts w:eastAsiaTheme="minorHAnsi" w:cs="Arial"/>
          <w:i/>
          <w:iCs/>
          <w:color w:val="808080" w:themeColor="background1" w:themeShade="80"/>
          <w:szCs w:val="20"/>
        </w:rPr>
        <w:t xml:space="preserve"> delovanje, popravljanje epitelija in </w:t>
      </w:r>
      <w:proofErr w:type="spellStart"/>
      <w:r w:rsidRPr="005E4BEA">
        <w:rPr>
          <w:rFonts w:eastAsiaTheme="minorHAnsi" w:cs="Arial"/>
          <w:i/>
          <w:iCs/>
          <w:color w:val="808080" w:themeColor="background1" w:themeShade="80"/>
          <w:szCs w:val="20"/>
        </w:rPr>
        <w:t>strome</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antikolagenazno</w:t>
      </w:r>
      <w:proofErr w:type="spellEnd"/>
      <w:r w:rsidRPr="005E4BEA">
        <w:rPr>
          <w:rFonts w:eastAsiaTheme="minorHAnsi" w:cs="Arial"/>
          <w:i/>
          <w:iCs/>
          <w:color w:val="808080" w:themeColor="background1" w:themeShade="80"/>
          <w:szCs w:val="20"/>
        </w:rPr>
        <w:t xml:space="preserve"> delovanje, vpliv na celične migracije, vpliv na migracijo in adhezijo </w:t>
      </w:r>
      <w:proofErr w:type="spellStart"/>
      <w:r w:rsidRPr="005E4BEA">
        <w:rPr>
          <w:rFonts w:eastAsiaTheme="minorHAnsi" w:cs="Arial"/>
          <w:i/>
          <w:iCs/>
          <w:color w:val="808080" w:themeColor="background1" w:themeShade="80"/>
          <w:szCs w:val="20"/>
        </w:rPr>
        <w:t>kornealnega</w:t>
      </w:r>
      <w:proofErr w:type="spellEnd"/>
      <w:r w:rsidRPr="005E4BEA">
        <w:rPr>
          <w:rFonts w:eastAsiaTheme="minorHAnsi" w:cs="Arial"/>
          <w:i/>
          <w:iCs/>
          <w:color w:val="808080" w:themeColor="background1" w:themeShade="80"/>
          <w:szCs w:val="20"/>
        </w:rPr>
        <w:t xml:space="preserve"> epitelija, imajo pa tudi baktericidni in </w:t>
      </w:r>
      <w:proofErr w:type="spellStart"/>
      <w:r w:rsidRPr="005E4BEA">
        <w:rPr>
          <w:rFonts w:eastAsiaTheme="minorHAnsi" w:cs="Arial"/>
          <w:i/>
          <w:iCs/>
          <w:color w:val="808080" w:themeColor="background1" w:themeShade="80"/>
          <w:szCs w:val="20"/>
        </w:rPr>
        <w:t>bakteriostatski</w:t>
      </w:r>
      <w:proofErr w:type="spellEnd"/>
      <w:r w:rsidRPr="005E4BEA">
        <w:rPr>
          <w:rFonts w:eastAsiaTheme="minorHAnsi" w:cs="Arial"/>
          <w:i/>
          <w:iCs/>
          <w:color w:val="808080" w:themeColor="background1" w:themeShade="80"/>
          <w:szCs w:val="20"/>
        </w:rPr>
        <w:t xml:space="preserve"> učinek.</w:t>
      </w:r>
    </w:p>
    <w:p w14:paraId="015D3798"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Kapljice pripravljamo iz </w:t>
      </w:r>
      <w:proofErr w:type="spellStart"/>
      <w:r w:rsidRPr="005E4BEA">
        <w:rPr>
          <w:rFonts w:eastAsiaTheme="minorHAnsi" w:cs="Arial"/>
          <w:i/>
          <w:iCs/>
          <w:color w:val="808080" w:themeColor="background1" w:themeShade="80"/>
          <w:szCs w:val="20"/>
        </w:rPr>
        <w:t>avtolognega</w:t>
      </w:r>
      <w:proofErr w:type="spellEnd"/>
      <w:r w:rsidRPr="005E4BEA">
        <w:rPr>
          <w:rFonts w:eastAsiaTheme="minorHAnsi" w:cs="Arial"/>
          <w:i/>
          <w:iCs/>
          <w:color w:val="808080" w:themeColor="background1" w:themeShade="80"/>
          <w:szCs w:val="20"/>
        </w:rPr>
        <w:t xml:space="preserve"> seruma pacienta, ki ga na ZTM pošlje </w:t>
      </w:r>
      <w:proofErr w:type="spellStart"/>
      <w:r w:rsidRPr="005E4BEA">
        <w:rPr>
          <w:rFonts w:eastAsiaTheme="minorHAnsi" w:cs="Arial"/>
          <w:i/>
          <w:iCs/>
          <w:color w:val="808080" w:themeColor="background1" w:themeShade="80"/>
          <w:szCs w:val="20"/>
        </w:rPr>
        <w:t>lečeči</w:t>
      </w:r>
      <w:proofErr w:type="spellEnd"/>
      <w:r w:rsidRPr="005E4BEA">
        <w:rPr>
          <w:rFonts w:eastAsiaTheme="minorHAnsi" w:cs="Arial"/>
          <w:i/>
          <w:iCs/>
          <w:color w:val="808080" w:themeColor="background1" w:themeShade="80"/>
          <w:szCs w:val="20"/>
        </w:rPr>
        <w:t xml:space="preserve"> oftalmolog. Na podlagi anamneze, podatkov o preteklih boleznih, sedanjem zdravstvenem stanju in rezultatih osnovnih laboratorijskih preiskav zdravnik, odgovoren za odvzem krvi, presodi, ali je pacient primeren za odvzem krvi za pripravo kapljic. Pacientu odvzamemo do 500 ml polne krvi na enak način kot krvodajalcem – prostovoljcem. Iz krvi nato s postopkom centrifugiranja ločimo serum, ga razdelimo v kapalne stekleničke ter zamrznemo. Glede na odvzeto količino krvi lahko pripravimo od 35 stekleničk, v eni pa se nahaja 5 ml serumskih kapljic. V skladu z zakonodajo serum pacienta testiramo na prisotnost označevalcev okužb (</w:t>
      </w:r>
      <w:proofErr w:type="spellStart"/>
      <w:r w:rsidRPr="005E4BEA">
        <w:rPr>
          <w:rFonts w:eastAsiaTheme="minorHAnsi" w:cs="Arial"/>
          <w:i/>
          <w:iCs/>
          <w:color w:val="808080" w:themeColor="background1" w:themeShade="80"/>
          <w:szCs w:val="20"/>
        </w:rPr>
        <w:t>HBsAg</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anti</w:t>
      </w:r>
      <w:proofErr w:type="spellEnd"/>
      <w:r w:rsidRPr="005E4BEA">
        <w:rPr>
          <w:rFonts w:eastAsiaTheme="minorHAnsi" w:cs="Arial"/>
          <w:i/>
          <w:iCs/>
          <w:color w:val="808080" w:themeColor="background1" w:themeShade="80"/>
          <w:szCs w:val="20"/>
        </w:rPr>
        <w:t>-HCV, HIV Ag/</w:t>
      </w:r>
      <w:proofErr w:type="spellStart"/>
      <w:r w:rsidRPr="005E4BEA">
        <w:rPr>
          <w:rFonts w:eastAsiaTheme="minorHAnsi" w:cs="Arial"/>
          <w:i/>
          <w:iCs/>
          <w:color w:val="808080" w:themeColor="background1" w:themeShade="80"/>
          <w:szCs w:val="20"/>
        </w:rPr>
        <w:t>Ab</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anti</w:t>
      </w:r>
      <w:proofErr w:type="spellEnd"/>
      <w:r w:rsidRPr="005E4BEA">
        <w:rPr>
          <w:rFonts w:eastAsiaTheme="minorHAnsi" w:cs="Arial"/>
          <w:i/>
          <w:iCs/>
          <w:color w:val="808080" w:themeColor="background1" w:themeShade="80"/>
          <w:szCs w:val="20"/>
        </w:rPr>
        <w:t xml:space="preserve">-Lues, </w:t>
      </w:r>
      <w:proofErr w:type="spellStart"/>
      <w:r w:rsidRPr="005E4BEA">
        <w:rPr>
          <w:rFonts w:eastAsiaTheme="minorHAnsi" w:cs="Arial"/>
          <w:i/>
          <w:iCs/>
          <w:color w:val="808080" w:themeColor="background1" w:themeShade="80"/>
          <w:szCs w:val="20"/>
        </w:rPr>
        <w:t>anti-HBc</w:t>
      </w:r>
      <w:proofErr w:type="spellEnd"/>
      <w:r w:rsidRPr="005E4BEA">
        <w:rPr>
          <w:rFonts w:eastAsiaTheme="minorHAnsi" w:cs="Arial"/>
          <w:i/>
          <w:iCs/>
          <w:color w:val="808080" w:themeColor="background1" w:themeShade="80"/>
          <w:szCs w:val="20"/>
        </w:rPr>
        <w:t xml:space="preserve">), določimo tudi mikrobiološko ustreznost (sterilnost) končnega produkta. Če serumske kapljice ustrezajo vsem parametrom, jih v roku 10 dni od odvzema polne krvi lahko izdamo pacientu, v izrednih okoliščinah in po dogovoru z </w:t>
      </w:r>
      <w:proofErr w:type="spellStart"/>
      <w:r w:rsidRPr="005E4BEA">
        <w:rPr>
          <w:rFonts w:eastAsiaTheme="minorHAnsi" w:cs="Arial"/>
          <w:i/>
          <w:iCs/>
          <w:color w:val="808080" w:themeColor="background1" w:themeShade="80"/>
          <w:szCs w:val="20"/>
        </w:rPr>
        <w:t>lečečim</w:t>
      </w:r>
      <w:proofErr w:type="spellEnd"/>
      <w:r w:rsidRPr="005E4BEA">
        <w:rPr>
          <w:rFonts w:eastAsiaTheme="minorHAnsi" w:cs="Arial"/>
          <w:i/>
          <w:iCs/>
          <w:color w:val="808080" w:themeColor="background1" w:themeShade="80"/>
          <w:szCs w:val="20"/>
        </w:rPr>
        <w:t xml:space="preserve"> zdravnikom pa je izdaja kapljic možna že naslednji dan po odvzemu krvi. Pacient pred uporabo na sobni temperaturi odtaja eno stekleničko kapljic, ki jo lahko hrani v gospodinjskem hladilniku pri +4 </w:t>
      </w:r>
      <w:proofErr w:type="spellStart"/>
      <w:r w:rsidRPr="005E4BEA">
        <w:rPr>
          <w:rFonts w:eastAsiaTheme="minorHAnsi" w:cs="Arial"/>
          <w:i/>
          <w:iCs/>
          <w:color w:val="808080" w:themeColor="background1" w:themeShade="80"/>
          <w:szCs w:val="20"/>
        </w:rPr>
        <w:t>oC</w:t>
      </w:r>
      <w:proofErr w:type="spellEnd"/>
      <w:r w:rsidRPr="005E4BEA">
        <w:rPr>
          <w:rFonts w:eastAsiaTheme="minorHAnsi" w:cs="Arial"/>
          <w:i/>
          <w:iCs/>
          <w:color w:val="808080" w:themeColor="background1" w:themeShade="80"/>
          <w:szCs w:val="20"/>
        </w:rPr>
        <w:t xml:space="preserve"> največ 96 ur. Po tem času jo zavrže ter odtaja novo stekleničko kapljic.</w:t>
      </w:r>
    </w:p>
    <w:p w14:paraId="702A68F4"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Bolnik si kapljice aplicira po navodilu </w:t>
      </w:r>
      <w:proofErr w:type="spellStart"/>
      <w:r w:rsidRPr="005E4BEA">
        <w:rPr>
          <w:rFonts w:eastAsiaTheme="minorHAnsi" w:cs="Arial"/>
          <w:i/>
          <w:iCs/>
          <w:color w:val="808080" w:themeColor="background1" w:themeShade="80"/>
          <w:szCs w:val="20"/>
        </w:rPr>
        <w:t>lečečega</w:t>
      </w:r>
      <w:proofErr w:type="spellEnd"/>
      <w:r w:rsidRPr="005E4BEA">
        <w:rPr>
          <w:rFonts w:eastAsiaTheme="minorHAnsi" w:cs="Arial"/>
          <w:i/>
          <w:iCs/>
          <w:color w:val="808080" w:themeColor="background1" w:themeShade="80"/>
          <w:szCs w:val="20"/>
        </w:rPr>
        <w:t xml:space="preserve"> zdravnika, običajno večkrat dnevno, zdravljenje pa traja… Postopek je potrebno pri posameznem bolniku ponavljati, običajno 4x mesečno, zdravljenje lahko traja tudi več let.</w:t>
      </w:r>
    </w:p>
    <w:p w14:paraId="26095553"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Zaradi neurejenega financiranja je dostopnost do zdravljenja tudi omejena in je niso deležni vsi bolniki v obsegu, kot to določajo strokovne smernice. Kapljice po naročilu </w:t>
      </w:r>
      <w:proofErr w:type="spellStart"/>
      <w:r w:rsidRPr="005E4BEA">
        <w:rPr>
          <w:rFonts w:eastAsiaTheme="minorHAnsi" w:cs="Arial"/>
          <w:i/>
          <w:iCs/>
          <w:color w:val="808080" w:themeColor="background1" w:themeShade="80"/>
          <w:szCs w:val="20"/>
        </w:rPr>
        <w:t>lečečega</w:t>
      </w:r>
      <w:proofErr w:type="spellEnd"/>
      <w:r w:rsidRPr="005E4BEA">
        <w:rPr>
          <w:rFonts w:eastAsiaTheme="minorHAnsi" w:cs="Arial"/>
          <w:i/>
          <w:iCs/>
          <w:color w:val="808080" w:themeColor="background1" w:themeShade="80"/>
          <w:szCs w:val="20"/>
        </w:rPr>
        <w:t xml:space="preserve"> zdravnika sedaj pripravimo na ZTM, račun za opravljeno storitev pa izstavimo naročniku. Z ureditvijo financiranja bi omogočili dostopnost zdravljenja s serumskimi kapljicami za vse paciente, pri katerih je to indicirano. Zato predlagamo, da se storitev priprave serumskih kapljic vključi v splošni dogovor kot ločeno zaračunljiva storitev.</w:t>
      </w:r>
    </w:p>
    <w:p w14:paraId="4F1B19C2" w14:textId="77777777" w:rsidR="00FE461F" w:rsidRPr="005E4BEA" w:rsidRDefault="00FE461F" w:rsidP="00FE461F">
      <w:pPr>
        <w:spacing w:after="60" w:line="240" w:lineRule="auto"/>
        <w:jc w:val="both"/>
        <w:rPr>
          <w:rFonts w:eastAsiaTheme="minorHAnsi" w:cs="Arial"/>
          <w:i/>
          <w:iCs/>
          <w:color w:val="808080" w:themeColor="background1" w:themeShade="80"/>
          <w:szCs w:val="20"/>
        </w:rPr>
      </w:pPr>
    </w:p>
    <w:p w14:paraId="5DB801B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UČINEK PREDLAGANE SPREMEMBE:</w:t>
      </w:r>
    </w:p>
    <w:p w14:paraId="7725B17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noProof/>
          <w:color w:val="808080" w:themeColor="background1" w:themeShade="80"/>
          <w:szCs w:val="20"/>
        </w:rPr>
        <w:lastRenderedPageBreak/>
        <w:drawing>
          <wp:inline distT="0" distB="0" distL="0" distR="0" wp14:anchorId="12B484B9" wp14:editId="32545DE9">
            <wp:extent cx="5867400" cy="4829175"/>
            <wp:effectExtent l="19050" t="19050" r="19050" b="285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l="13240" t="20549" r="44534" b="20074"/>
                    <a:stretch>
                      <a:fillRect/>
                    </a:stretch>
                  </pic:blipFill>
                  <pic:spPr bwMode="auto">
                    <a:xfrm>
                      <a:off x="0" y="0"/>
                      <a:ext cx="5867400" cy="4829175"/>
                    </a:xfrm>
                    <a:prstGeom prst="rect">
                      <a:avLst/>
                    </a:prstGeom>
                    <a:noFill/>
                    <a:ln w="9525" cmpd="sng">
                      <a:solidFill>
                        <a:srgbClr val="000000"/>
                      </a:solidFill>
                      <a:miter lim="800000"/>
                      <a:headEnd/>
                      <a:tailEnd/>
                    </a:ln>
                    <a:effectLst/>
                  </pic:spPr>
                </pic:pic>
              </a:graphicData>
            </a:graphic>
          </wp:inline>
        </w:drawing>
      </w:r>
    </w:p>
    <w:p w14:paraId="7C1573E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0,12 mio €</w:t>
      </w:r>
    </w:p>
    <w:p w14:paraId="5E0D1B58" w14:textId="622D630C" w:rsidR="00FE461F" w:rsidRPr="005E4BEA" w:rsidRDefault="00FE461F" w:rsidP="00FE461F">
      <w:pPr>
        <w:spacing w:line="240" w:lineRule="auto"/>
        <w:jc w:val="both"/>
        <w:rPr>
          <w:rFonts w:eastAsiaTheme="minorHAnsi" w:cs="Arial"/>
          <w:i/>
          <w:iCs/>
          <w:color w:val="808080" w:themeColor="background1" w:themeShade="80"/>
          <w:szCs w:val="20"/>
          <w:u w:val="single"/>
        </w:rPr>
      </w:pPr>
    </w:p>
    <w:p w14:paraId="023DB57B" w14:textId="77777777" w:rsidR="00346825" w:rsidRPr="005E4BEA" w:rsidRDefault="00346825" w:rsidP="00FE461F">
      <w:pPr>
        <w:spacing w:line="240" w:lineRule="auto"/>
        <w:jc w:val="both"/>
        <w:rPr>
          <w:rFonts w:eastAsiaTheme="minorHAnsi" w:cs="Arial"/>
          <w:i/>
          <w:iCs/>
          <w:color w:val="808080" w:themeColor="background1" w:themeShade="80"/>
          <w:szCs w:val="20"/>
          <w:u w:val="single"/>
        </w:rPr>
      </w:pPr>
    </w:p>
    <w:p w14:paraId="1B89DA41" w14:textId="77777777" w:rsidR="00346825" w:rsidRPr="005E4BEA" w:rsidRDefault="00346825" w:rsidP="0034682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286A318" w14:textId="77777777" w:rsidR="00346825" w:rsidRPr="005E4BEA" w:rsidRDefault="00346825" w:rsidP="00346825">
      <w:pPr>
        <w:spacing w:line="0" w:lineRule="atLeast"/>
        <w:jc w:val="both"/>
        <w:rPr>
          <w:rFonts w:eastAsia="Arial Narrow" w:cs="Arial"/>
          <w:szCs w:val="20"/>
          <w:lang w:eastAsia="sl-SI"/>
        </w:rPr>
      </w:pPr>
    </w:p>
    <w:p w14:paraId="522B7B07" w14:textId="77777777" w:rsidR="00346825" w:rsidRPr="005E4BEA" w:rsidRDefault="00346825" w:rsidP="00346825">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Splošnega dogovora za pogodbeno leto 2022 ne spremeni.</w:t>
      </w:r>
    </w:p>
    <w:p w14:paraId="691B94EE" w14:textId="77777777" w:rsidR="00346825" w:rsidRPr="005E4BEA" w:rsidRDefault="00346825" w:rsidP="00346825">
      <w:pPr>
        <w:spacing w:line="240" w:lineRule="auto"/>
        <w:jc w:val="both"/>
        <w:rPr>
          <w:rFonts w:cs="Arial"/>
          <w:i/>
          <w:iCs/>
          <w:color w:val="808080" w:themeColor="background1" w:themeShade="80"/>
          <w:szCs w:val="20"/>
        </w:rPr>
      </w:pPr>
    </w:p>
    <w:p w14:paraId="37DEED7D" w14:textId="2DC43643" w:rsidR="00FE461F" w:rsidRPr="005E4BEA" w:rsidRDefault="00FE461F" w:rsidP="00FE461F">
      <w:pPr>
        <w:spacing w:line="240" w:lineRule="auto"/>
        <w:jc w:val="both"/>
        <w:rPr>
          <w:rFonts w:eastAsiaTheme="minorHAnsi" w:cs="Arial"/>
          <w:i/>
          <w:iCs/>
          <w:color w:val="808080" w:themeColor="background1" w:themeShade="80"/>
          <w:szCs w:val="20"/>
          <w:u w:val="single"/>
        </w:rPr>
      </w:pPr>
    </w:p>
    <w:p w14:paraId="55FE93A4" w14:textId="1B41F8E6"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(24)</w:t>
      </w:r>
    </w:p>
    <w:p w14:paraId="2272DAF0" w14:textId="77777777" w:rsidR="00346825" w:rsidRPr="005E4BEA" w:rsidRDefault="00346825" w:rsidP="00346825">
      <w:pPr>
        <w:spacing w:line="240" w:lineRule="auto"/>
        <w:jc w:val="both"/>
        <w:rPr>
          <w:rFonts w:cs="Arial"/>
          <w:i/>
          <w:iCs/>
          <w:color w:val="808080" w:themeColor="background1" w:themeShade="80"/>
          <w:szCs w:val="20"/>
        </w:rPr>
      </w:pPr>
    </w:p>
    <w:p w14:paraId="7549AA7B" w14:textId="523A7F71" w:rsidR="00FE461F" w:rsidRPr="005E4BEA" w:rsidRDefault="00346825" w:rsidP="00FE461F">
      <w:pPr>
        <w:spacing w:line="240" w:lineRule="auto"/>
        <w:jc w:val="both"/>
        <w:rPr>
          <w:rFonts w:cs="Arial"/>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00FE461F" w:rsidRPr="005E4BEA">
        <w:rPr>
          <w:rFonts w:cs="Arial"/>
          <w:szCs w:val="20"/>
        </w:rPr>
        <w:t xml:space="preserve"> 16. členu se v (1) odstavku doda nova točka, ki glasi:</w:t>
      </w:r>
    </w:p>
    <w:p w14:paraId="261E1CA8" w14:textId="77777777" w:rsidR="00FE461F" w:rsidRPr="005E4BEA" w:rsidRDefault="00FE461F" w:rsidP="00FE461F">
      <w:pPr>
        <w:spacing w:line="240" w:lineRule="auto"/>
        <w:jc w:val="both"/>
        <w:rPr>
          <w:rFonts w:cs="Arial"/>
          <w:szCs w:val="20"/>
        </w:rPr>
      </w:pPr>
      <w:r w:rsidRPr="005E4BEA">
        <w:rPr>
          <w:rFonts w:cs="Arial"/>
          <w:szCs w:val="20"/>
        </w:rPr>
        <w:t xml:space="preserve">- RTG zobozdravstvene storitve na primarni ravni (zobozdravstvo za odrasle, mladinsko zobozdravstvo, zobozdravstvo za študente, </w:t>
      </w:r>
      <w:proofErr w:type="spellStart"/>
      <w:r w:rsidRPr="005E4BEA">
        <w:rPr>
          <w:rFonts w:cs="Arial"/>
          <w:szCs w:val="20"/>
        </w:rPr>
        <w:t>pedontologija</w:t>
      </w:r>
      <w:proofErr w:type="spellEnd"/>
      <w:r w:rsidRPr="005E4BEA">
        <w:rPr>
          <w:rFonts w:cs="Arial"/>
          <w:szCs w:val="20"/>
        </w:rPr>
        <w:t xml:space="preserve">) </w:t>
      </w:r>
    </w:p>
    <w:p w14:paraId="6C3E2921" w14:textId="77777777" w:rsidR="00FE461F" w:rsidRPr="005E4BEA" w:rsidRDefault="00FE461F" w:rsidP="00FE461F">
      <w:pPr>
        <w:spacing w:line="240" w:lineRule="auto"/>
        <w:jc w:val="both"/>
        <w:rPr>
          <w:rFonts w:cs="Arial"/>
          <w:b/>
          <w:bCs/>
          <w:szCs w:val="20"/>
        </w:rPr>
      </w:pPr>
      <w:r w:rsidRPr="005E4BEA">
        <w:rPr>
          <w:rFonts w:cs="Arial"/>
          <w:b/>
          <w:bCs/>
          <w:szCs w:val="20"/>
        </w:rPr>
        <w:t>V Prilogi I se izloči kalkulacija RTG iz standardov:</w:t>
      </w:r>
    </w:p>
    <w:p w14:paraId="27BCB77F" w14:textId="77777777" w:rsidR="00FE461F" w:rsidRPr="005E4BEA" w:rsidRDefault="00FE461F" w:rsidP="00F356C9">
      <w:pPr>
        <w:numPr>
          <w:ilvl w:val="0"/>
          <w:numId w:val="39"/>
        </w:numPr>
        <w:spacing w:line="240" w:lineRule="auto"/>
        <w:contextualSpacing/>
        <w:jc w:val="both"/>
        <w:rPr>
          <w:rFonts w:cs="Arial"/>
          <w:szCs w:val="20"/>
        </w:rPr>
      </w:pPr>
      <w:r w:rsidRPr="005E4BEA">
        <w:rPr>
          <w:rFonts w:cs="Arial"/>
          <w:szCs w:val="20"/>
        </w:rPr>
        <w:t xml:space="preserve">Zobozdravstvo za odrasle </w:t>
      </w:r>
    </w:p>
    <w:p w14:paraId="0DD85B2E" w14:textId="77777777" w:rsidR="00FE461F" w:rsidRPr="005E4BEA" w:rsidRDefault="00FE461F" w:rsidP="00F356C9">
      <w:pPr>
        <w:numPr>
          <w:ilvl w:val="0"/>
          <w:numId w:val="39"/>
        </w:numPr>
        <w:spacing w:line="240" w:lineRule="auto"/>
        <w:contextualSpacing/>
        <w:jc w:val="both"/>
        <w:rPr>
          <w:rFonts w:cs="Arial"/>
          <w:szCs w:val="20"/>
        </w:rPr>
      </w:pPr>
      <w:r w:rsidRPr="005E4BEA">
        <w:rPr>
          <w:rFonts w:cs="Arial"/>
          <w:szCs w:val="20"/>
        </w:rPr>
        <w:t>Mladinsko zobozdravstvo</w:t>
      </w:r>
    </w:p>
    <w:p w14:paraId="402EB799" w14:textId="77777777" w:rsidR="00FE461F" w:rsidRPr="005E4BEA" w:rsidRDefault="00FE461F" w:rsidP="00F356C9">
      <w:pPr>
        <w:numPr>
          <w:ilvl w:val="0"/>
          <w:numId w:val="39"/>
        </w:numPr>
        <w:spacing w:line="240" w:lineRule="auto"/>
        <w:contextualSpacing/>
        <w:jc w:val="both"/>
        <w:rPr>
          <w:rFonts w:cs="Arial"/>
          <w:szCs w:val="20"/>
        </w:rPr>
      </w:pPr>
      <w:r w:rsidRPr="005E4BEA">
        <w:rPr>
          <w:rFonts w:cs="Arial"/>
          <w:szCs w:val="20"/>
        </w:rPr>
        <w:t>Zobozdravstvo za študente</w:t>
      </w:r>
    </w:p>
    <w:p w14:paraId="5B4631C9" w14:textId="77777777" w:rsidR="00FE461F" w:rsidRPr="005E4BEA" w:rsidRDefault="00FE461F" w:rsidP="00F356C9">
      <w:pPr>
        <w:numPr>
          <w:ilvl w:val="0"/>
          <w:numId w:val="39"/>
        </w:numPr>
        <w:spacing w:line="240" w:lineRule="auto"/>
        <w:contextualSpacing/>
        <w:jc w:val="both"/>
        <w:rPr>
          <w:rFonts w:cs="Arial"/>
          <w:szCs w:val="20"/>
        </w:rPr>
      </w:pPr>
      <w:proofErr w:type="spellStart"/>
      <w:r w:rsidRPr="005E4BEA">
        <w:rPr>
          <w:rFonts w:cs="Arial"/>
          <w:szCs w:val="20"/>
        </w:rPr>
        <w:t>Pedontologija</w:t>
      </w:r>
      <w:proofErr w:type="spellEnd"/>
    </w:p>
    <w:p w14:paraId="2EF0D79E"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I se vzpostavi nov standard </w:t>
      </w:r>
      <w:proofErr w:type="spellStart"/>
      <w:r w:rsidRPr="005E4BEA">
        <w:rPr>
          <w:rFonts w:cs="Arial"/>
          <w:b/>
          <w:bCs/>
          <w:szCs w:val="20"/>
        </w:rPr>
        <w:t>xxxx</w:t>
      </w:r>
      <w:proofErr w:type="spellEnd"/>
      <w:r w:rsidRPr="005E4BEA">
        <w:rPr>
          <w:rFonts w:cs="Arial"/>
          <w:b/>
          <w:bCs/>
          <w:szCs w:val="20"/>
        </w:rPr>
        <w:t xml:space="preserve"> RTG v zobozdravstvu</w:t>
      </w:r>
    </w:p>
    <w:tbl>
      <w:tblPr>
        <w:tblW w:w="8386" w:type="dxa"/>
        <w:tblCellMar>
          <w:left w:w="70" w:type="dxa"/>
          <w:right w:w="70" w:type="dxa"/>
        </w:tblCellMar>
        <w:tblLook w:val="04A0" w:firstRow="1" w:lastRow="0" w:firstColumn="1" w:lastColumn="0" w:noHBand="0" w:noVBand="1"/>
      </w:tblPr>
      <w:tblGrid>
        <w:gridCol w:w="824"/>
        <w:gridCol w:w="790"/>
        <w:gridCol w:w="565"/>
        <w:gridCol w:w="348"/>
        <w:gridCol w:w="806"/>
        <w:gridCol w:w="349"/>
        <w:gridCol w:w="723"/>
        <w:gridCol w:w="723"/>
        <w:gridCol w:w="723"/>
        <w:gridCol w:w="806"/>
        <w:gridCol w:w="947"/>
        <w:gridCol w:w="890"/>
      </w:tblGrid>
      <w:tr w:rsidR="00AD7DF3" w:rsidRPr="005E4BEA" w14:paraId="70B03A69" w14:textId="77777777" w:rsidTr="00AD7DF3">
        <w:trPr>
          <w:trHeight w:val="373"/>
        </w:trPr>
        <w:tc>
          <w:tcPr>
            <w:tcW w:w="872" w:type="dxa"/>
            <w:tcBorders>
              <w:top w:val="single" w:sz="4" w:space="0" w:color="808080"/>
              <w:left w:val="single" w:sz="4" w:space="0" w:color="808080"/>
              <w:bottom w:val="nil"/>
              <w:right w:val="single" w:sz="4" w:space="0" w:color="808080"/>
            </w:tcBorders>
            <w:shd w:val="clear" w:color="000000" w:fill="D9D9D9"/>
            <w:noWrap/>
            <w:vAlign w:val="bottom"/>
            <w:hideMark/>
          </w:tcPr>
          <w:p w14:paraId="688C9BF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lastRenderedPageBreak/>
              <w:t> </w:t>
            </w:r>
          </w:p>
        </w:tc>
        <w:tc>
          <w:tcPr>
            <w:tcW w:w="773" w:type="dxa"/>
            <w:tcBorders>
              <w:top w:val="single" w:sz="4" w:space="0" w:color="808080"/>
              <w:left w:val="nil"/>
              <w:bottom w:val="nil"/>
              <w:right w:val="single" w:sz="4" w:space="0" w:color="808080"/>
            </w:tcBorders>
            <w:shd w:val="clear" w:color="000000" w:fill="D9D9D9"/>
            <w:vAlign w:val="bottom"/>
            <w:hideMark/>
          </w:tcPr>
          <w:p w14:paraId="75475AB1"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Normativ točk</w:t>
            </w:r>
          </w:p>
        </w:tc>
        <w:tc>
          <w:tcPr>
            <w:tcW w:w="553" w:type="dxa"/>
            <w:tcBorders>
              <w:top w:val="single" w:sz="4" w:space="0" w:color="808080"/>
              <w:left w:val="nil"/>
              <w:bottom w:val="nil"/>
              <w:right w:val="single" w:sz="4" w:space="0" w:color="808080"/>
            </w:tcBorders>
            <w:shd w:val="clear" w:color="000000" w:fill="D9D9D9"/>
            <w:vAlign w:val="bottom"/>
            <w:hideMark/>
          </w:tcPr>
          <w:p w14:paraId="4D6F38F4"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Kader</w:t>
            </w:r>
          </w:p>
        </w:tc>
        <w:tc>
          <w:tcPr>
            <w:tcW w:w="341" w:type="dxa"/>
            <w:tcBorders>
              <w:top w:val="single" w:sz="4" w:space="0" w:color="808080"/>
              <w:left w:val="nil"/>
              <w:bottom w:val="nil"/>
              <w:right w:val="single" w:sz="4" w:space="0" w:color="808080"/>
            </w:tcBorders>
            <w:shd w:val="clear" w:color="000000" w:fill="D9D9D9"/>
            <w:noWrap/>
            <w:vAlign w:val="bottom"/>
            <w:hideMark/>
          </w:tcPr>
          <w:p w14:paraId="3EE8BDD6"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PR</w:t>
            </w:r>
          </w:p>
        </w:tc>
        <w:tc>
          <w:tcPr>
            <w:tcW w:w="790" w:type="dxa"/>
            <w:tcBorders>
              <w:top w:val="single" w:sz="4" w:space="0" w:color="808080"/>
              <w:left w:val="nil"/>
              <w:bottom w:val="nil"/>
              <w:right w:val="nil"/>
            </w:tcBorders>
            <w:shd w:val="clear" w:color="000000" w:fill="D9D9D9"/>
            <w:vAlign w:val="bottom"/>
            <w:hideMark/>
          </w:tcPr>
          <w:p w14:paraId="01C78261"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Osnovna plača Priloga II</w:t>
            </w:r>
          </w:p>
        </w:tc>
        <w:tc>
          <w:tcPr>
            <w:tcW w:w="1051"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14:paraId="5DE1693A"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 xml:space="preserve"> Pogoji dela</w:t>
            </w:r>
          </w:p>
        </w:tc>
        <w:tc>
          <w:tcPr>
            <w:tcW w:w="709" w:type="dxa"/>
            <w:tcBorders>
              <w:top w:val="single" w:sz="4" w:space="0" w:color="808080"/>
              <w:left w:val="single" w:sz="4" w:space="0" w:color="808080"/>
              <w:bottom w:val="nil"/>
              <w:right w:val="single" w:sz="4" w:space="0" w:color="808080"/>
            </w:tcBorders>
            <w:shd w:val="clear" w:color="000000" w:fill="D9D9D9"/>
            <w:vAlign w:val="bottom"/>
            <w:hideMark/>
          </w:tcPr>
          <w:p w14:paraId="2B8EB36F"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Delovna doba</w:t>
            </w:r>
          </w:p>
        </w:tc>
        <w:tc>
          <w:tcPr>
            <w:tcW w:w="709" w:type="dxa"/>
            <w:tcBorders>
              <w:top w:val="single" w:sz="4" w:space="0" w:color="808080"/>
              <w:left w:val="nil"/>
              <w:bottom w:val="nil"/>
              <w:right w:val="single" w:sz="4" w:space="0" w:color="808080"/>
            </w:tcBorders>
            <w:shd w:val="clear" w:color="000000" w:fill="D9D9D9"/>
            <w:noWrap/>
            <w:vAlign w:val="bottom"/>
            <w:hideMark/>
          </w:tcPr>
          <w:p w14:paraId="1C86803E" w14:textId="77777777" w:rsidR="00FE461F" w:rsidRPr="005E4BEA" w:rsidRDefault="00FE461F" w:rsidP="00FE461F">
            <w:pPr>
              <w:spacing w:line="240" w:lineRule="auto"/>
              <w:jc w:val="both"/>
              <w:rPr>
                <w:rFonts w:cs="Arial"/>
                <w:b/>
                <w:bCs/>
                <w:color w:val="7030A0"/>
                <w:szCs w:val="20"/>
              </w:rPr>
            </w:pPr>
            <w:proofErr w:type="spellStart"/>
            <w:r w:rsidRPr="005E4BEA">
              <w:rPr>
                <w:rFonts w:cs="Arial"/>
                <w:b/>
                <w:bCs/>
                <w:color w:val="7030A0"/>
                <w:szCs w:val="20"/>
              </w:rPr>
              <w:t>Stim</w:t>
            </w:r>
            <w:proofErr w:type="spellEnd"/>
            <w:r w:rsidRPr="005E4BEA">
              <w:rPr>
                <w:rFonts w:cs="Arial"/>
                <w:b/>
                <w:bCs/>
                <w:color w:val="7030A0"/>
                <w:szCs w:val="20"/>
              </w:rPr>
              <w:t>.</w:t>
            </w:r>
          </w:p>
        </w:tc>
        <w:tc>
          <w:tcPr>
            <w:tcW w:w="790" w:type="dxa"/>
            <w:tcBorders>
              <w:top w:val="single" w:sz="4" w:space="0" w:color="808080"/>
              <w:left w:val="nil"/>
              <w:bottom w:val="nil"/>
              <w:right w:val="single" w:sz="4" w:space="0" w:color="808080"/>
            </w:tcBorders>
            <w:shd w:val="clear" w:color="000000" w:fill="D9D9D9"/>
            <w:vAlign w:val="bottom"/>
            <w:hideMark/>
          </w:tcPr>
          <w:p w14:paraId="6EF298F9"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 xml:space="preserve">Bruto </w:t>
            </w:r>
            <w:r w:rsidRPr="005E4BEA">
              <w:rPr>
                <w:rFonts w:cs="Arial"/>
                <w:b/>
                <w:bCs/>
                <w:color w:val="7030A0"/>
                <w:szCs w:val="20"/>
              </w:rPr>
              <w:br/>
              <w:t>plača I</w:t>
            </w:r>
          </w:p>
        </w:tc>
        <w:tc>
          <w:tcPr>
            <w:tcW w:w="927" w:type="dxa"/>
            <w:tcBorders>
              <w:top w:val="single" w:sz="4" w:space="0" w:color="808080"/>
              <w:left w:val="nil"/>
              <w:bottom w:val="nil"/>
              <w:right w:val="single" w:sz="4" w:space="0" w:color="808080"/>
            </w:tcBorders>
            <w:shd w:val="clear" w:color="000000" w:fill="D9D9D9"/>
            <w:noWrap/>
            <w:vAlign w:val="bottom"/>
            <w:hideMark/>
          </w:tcPr>
          <w:p w14:paraId="6BE3691D"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Obveznosti</w:t>
            </w:r>
          </w:p>
        </w:tc>
        <w:tc>
          <w:tcPr>
            <w:tcW w:w="871" w:type="dxa"/>
            <w:tcBorders>
              <w:top w:val="single" w:sz="4" w:space="0" w:color="808080"/>
              <w:left w:val="nil"/>
              <w:bottom w:val="nil"/>
              <w:right w:val="single" w:sz="4" w:space="0" w:color="808080"/>
            </w:tcBorders>
            <w:shd w:val="clear" w:color="000000" w:fill="D9D9D9"/>
            <w:vAlign w:val="bottom"/>
            <w:hideMark/>
          </w:tcPr>
          <w:p w14:paraId="0E4463AA"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 xml:space="preserve">Bruto </w:t>
            </w:r>
            <w:r w:rsidRPr="005E4BEA">
              <w:rPr>
                <w:rFonts w:cs="Arial"/>
                <w:b/>
                <w:bCs/>
                <w:color w:val="7030A0"/>
                <w:szCs w:val="20"/>
              </w:rPr>
              <w:br/>
              <w:t>plača II</w:t>
            </w:r>
          </w:p>
        </w:tc>
      </w:tr>
      <w:tr w:rsidR="00FE461F" w:rsidRPr="005E4BEA" w14:paraId="7E0DE43A" w14:textId="77777777" w:rsidTr="00AD7DF3">
        <w:trPr>
          <w:trHeight w:val="119"/>
        </w:trPr>
        <w:tc>
          <w:tcPr>
            <w:tcW w:w="87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BDBD30" w14:textId="77777777" w:rsidR="00FE461F" w:rsidRPr="005E4BEA" w:rsidRDefault="00FE461F" w:rsidP="00FE461F">
            <w:pPr>
              <w:spacing w:line="240" w:lineRule="auto"/>
              <w:jc w:val="both"/>
              <w:rPr>
                <w:rFonts w:cs="Arial"/>
                <w:b/>
                <w:bCs/>
                <w:color w:val="2F75B5"/>
                <w:szCs w:val="20"/>
              </w:rPr>
            </w:pPr>
            <w:r w:rsidRPr="005E4BEA">
              <w:rPr>
                <w:rFonts w:cs="Arial"/>
                <w:b/>
                <w:bCs/>
                <w:color w:val="2F75B5"/>
                <w:szCs w:val="20"/>
              </w:rPr>
              <w:t> </w:t>
            </w:r>
          </w:p>
        </w:tc>
        <w:tc>
          <w:tcPr>
            <w:tcW w:w="773" w:type="dxa"/>
            <w:tcBorders>
              <w:top w:val="single" w:sz="4" w:space="0" w:color="auto"/>
              <w:left w:val="nil"/>
              <w:bottom w:val="single" w:sz="4" w:space="0" w:color="auto"/>
              <w:right w:val="single" w:sz="4" w:space="0" w:color="auto"/>
            </w:tcBorders>
            <w:shd w:val="clear" w:color="000000" w:fill="FFFFFF"/>
            <w:noWrap/>
            <w:vAlign w:val="bottom"/>
            <w:hideMark/>
          </w:tcPr>
          <w:p w14:paraId="110FBBC6"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 </w:t>
            </w: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14:paraId="23A34C89"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3,92</w:t>
            </w:r>
          </w:p>
        </w:tc>
        <w:tc>
          <w:tcPr>
            <w:tcW w:w="341" w:type="dxa"/>
            <w:tcBorders>
              <w:top w:val="single" w:sz="4" w:space="0" w:color="auto"/>
              <w:left w:val="nil"/>
              <w:bottom w:val="single" w:sz="4" w:space="0" w:color="auto"/>
              <w:right w:val="single" w:sz="4" w:space="0" w:color="auto"/>
            </w:tcBorders>
            <w:shd w:val="clear" w:color="000000" w:fill="FFFFFF"/>
            <w:noWrap/>
            <w:vAlign w:val="bottom"/>
            <w:hideMark/>
          </w:tcPr>
          <w:p w14:paraId="4ABBE0B0"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 </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24A78D4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w:t>
            </w:r>
          </w:p>
        </w:tc>
        <w:tc>
          <w:tcPr>
            <w:tcW w:w="342" w:type="dxa"/>
            <w:tcBorders>
              <w:top w:val="nil"/>
              <w:left w:val="nil"/>
              <w:bottom w:val="single" w:sz="4" w:space="0" w:color="auto"/>
              <w:right w:val="single" w:sz="4" w:space="0" w:color="auto"/>
            </w:tcBorders>
            <w:shd w:val="clear" w:color="auto" w:fill="auto"/>
            <w:noWrap/>
            <w:vAlign w:val="bottom"/>
            <w:hideMark/>
          </w:tcPr>
          <w:p w14:paraId="4AE32E9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w:t>
            </w:r>
          </w:p>
        </w:tc>
        <w:tc>
          <w:tcPr>
            <w:tcW w:w="709" w:type="dxa"/>
            <w:tcBorders>
              <w:top w:val="nil"/>
              <w:left w:val="nil"/>
              <w:bottom w:val="single" w:sz="4" w:space="0" w:color="auto"/>
              <w:right w:val="single" w:sz="4" w:space="0" w:color="auto"/>
            </w:tcBorders>
            <w:shd w:val="clear" w:color="auto" w:fill="auto"/>
            <w:noWrap/>
            <w:vAlign w:val="bottom"/>
            <w:hideMark/>
          </w:tcPr>
          <w:p w14:paraId="087E216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9D3629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6,44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D7B6C8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32FFD0D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1AFC62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16,1</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14:paraId="5F6D457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w:t>
            </w:r>
          </w:p>
        </w:tc>
      </w:tr>
      <w:tr w:rsidR="00FE461F" w:rsidRPr="005E4BEA" w14:paraId="61DF6683" w14:textId="77777777" w:rsidTr="00AD7DF3">
        <w:trPr>
          <w:trHeight w:val="119"/>
        </w:trPr>
        <w:tc>
          <w:tcPr>
            <w:tcW w:w="872" w:type="dxa"/>
            <w:tcBorders>
              <w:top w:val="nil"/>
              <w:left w:val="nil"/>
              <w:bottom w:val="nil"/>
              <w:right w:val="nil"/>
            </w:tcBorders>
            <w:shd w:val="clear" w:color="000000" w:fill="FFFFFF"/>
            <w:vAlign w:val="bottom"/>
            <w:hideMark/>
          </w:tcPr>
          <w:p w14:paraId="75F97FA6" w14:textId="77777777" w:rsidR="00FE461F" w:rsidRPr="005E4BEA" w:rsidRDefault="00FE461F" w:rsidP="00FE461F">
            <w:pPr>
              <w:spacing w:line="240" w:lineRule="auto"/>
              <w:jc w:val="both"/>
              <w:rPr>
                <w:rFonts w:cs="Arial"/>
                <w:b/>
                <w:bCs/>
                <w:color w:val="2F75B5"/>
                <w:szCs w:val="20"/>
              </w:rPr>
            </w:pPr>
            <w:r w:rsidRPr="005E4BEA">
              <w:rPr>
                <w:rFonts w:cs="Arial"/>
                <w:b/>
                <w:bCs/>
                <w:color w:val="2F75B5"/>
                <w:szCs w:val="20"/>
              </w:rPr>
              <w:t> </w:t>
            </w:r>
          </w:p>
        </w:tc>
        <w:tc>
          <w:tcPr>
            <w:tcW w:w="773" w:type="dxa"/>
            <w:tcBorders>
              <w:top w:val="nil"/>
              <w:left w:val="nil"/>
              <w:bottom w:val="nil"/>
              <w:right w:val="nil"/>
            </w:tcBorders>
            <w:shd w:val="clear" w:color="000000" w:fill="FFFFFF"/>
            <w:noWrap/>
            <w:vAlign w:val="bottom"/>
            <w:hideMark/>
          </w:tcPr>
          <w:p w14:paraId="7FA309CC"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 </w:t>
            </w:r>
          </w:p>
        </w:tc>
        <w:tc>
          <w:tcPr>
            <w:tcW w:w="553" w:type="dxa"/>
            <w:tcBorders>
              <w:top w:val="nil"/>
              <w:left w:val="single" w:sz="4" w:space="0" w:color="auto"/>
              <w:bottom w:val="single" w:sz="4" w:space="0" w:color="auto"/>
              <w:right w:val="single" w:sz="4" w:space="0" w:color="auto"/>
            </w:tcBorders>
            <w:shd w:val="clear" w:color="000000" w:fill="FFFFFF"/>
            <w:noWrap/>
            <w:vAlign w:val="bottom"/>
            <w:hideMark/>
          </w:tcPr>
          <w:p w14:paraId="2CBBD91D"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 </w:t>
            </w:r>
          </w:p>
        </w:tc>
        <w:tc>
          <w:tcPr>
            <w:tcW w:w="341" w:type="dxa"/>
            <w:tcBorders>
              <w:top w:val="nil"/>
              <w:left w:val="nil"/>
              <w:bottom w:val="single" w:sz="4" w:space="0" w:color="auto"/>
              <w:right w:val="single" w:sz="4" w:space="0" w:color="auto"/>
            </w:tcBorders>
            <w:shd w:val="clear" w:color="000000" w:fill="FFFFFF"/>
            <w:noWrap/>
            <w:vAlign w:val="bottom"/>
            <w:hideMark/>
          </w:tcPr>
          <w:p w14:paraId="3D84E6B5"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2E9377E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w:t>
            </w:r>
          </w:p>
        </w:tc>
        <w:tc>
          <w:tcPr>
            <w:tcW w:w="342" w:type="dxa"/>
            <w:tcBorders>
              <w:top w:val="nil"/>
              <w:left w:val="nil"/>
              <w:bottom w:val="single" w:sz="4" w:space="0" w:color="auto"/>
              <w:right w:val="single" w:sz="4" w:space="0" w:color="auto"/>
            </w:tcBorders>
            <w:shd w:val="clear" w:color="auto" w:fill="auto"/>
            <w:noWrap/>
            <w:vAlign w:val="bottom"/>
            <w:hideMark/>
          </w:tcPr>
          <w:p w14:paraId="6A6CDEEB"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6DB0C811"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31F82731"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14:paraId="180455C0"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795A5D25"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89.932,97</w:t>
            </w:r>
          </w:p>
        </w:tc>
        <w:tc>
          <w:tcPr>
            <w:tcW w:w="927" w:type="dxa"/>
            <w:tcBorders>
              <w:top w:val="nil"/>
              <w:left w:val="nil"/>
              <w:bottom w:val="single" w:sz="4" w:space="0" w:color="auto"/>
              <w:right w:val="single" w:sz="4" w:space="0" w:color="auto"/>
            </w:tcBorders>
            <w:shd w:val="clear" w:color="auto" w:fill="auto"/>
            <w:noWrap/>
            <w:vAlign w:val="bottom"/>
            <w:hideMark/>
          </w:tcPr>
          <w:p w14:paraId="1AB44FB3"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14.479,21</w:t>
            </w:r>
          </w:p>
        </w:tc>
        <w:tc>
          <w:tcPr>
            <w:tcW w:w="871" w:type="dxa"/>
            <w:tcBorders>
              <w:top w:val="nil"/>
              <w:left w:val="nil"/>
              <w:bottom w:val="single" w:sz="4" w:space="0" w:color="auto"/>
              <w:right w:val="single" w:sz="4" w:space="0" w:color="auto"/>
            </w:tcBorders>
            <w:shd w:val="clear" w:color="auto" w:fill="auto"/>
            <w:noWrap/>
            <w:vAlign w:val="bottom"/>
            <w:hideMark/>
          </w:tcPr>
          <w:p w14:paraId="1262583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104.412,18</w:t>
            </w:r>
          </w:p>
        </w:tc>
      </w:tr>
      <w:tr w:rsidR="00FE461F" w:rsidRPr="005E4BEA" w14:paraId="4FCE6146" w14:textId="77777777" w:rsidTr="00AD7DF3">
        <w:trPr>
          <w:trHeight w:val="119"/>
        </w:trPr>
        <w:tc>
          <w:tcPr>
            <w:tcW w:w="8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6C875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inženir radiologije</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14:paraId="28909641" w14:textId="77777777" w:rsidR="00FE461F" w:rsidRPr="005E4BEA" w:rsidRDefault="00FE461F" w:rsidP="00FE461F">
            <w:pPr>
              <w:spacing w:line="240" w:lineRule="auto"/>
              <w:jc w:val="both"/>
              <w:rPr>
                <w:rFonts w:cs="Arial"/>
                <w:szCs w:val="20"/>
              </w:rPr>
            </w:pPr>
            <w:r w:rsidRPr="005E4BEA">
              <w:rPr>
                <w:rFonts w:cs="Arial"/>
                <w:szCs w:val="20"/>
              </w:rPr>
              <w:t>59.383</w:t>
            </w:r>
          </w:p>
        </w:tc>
        <w:tc>
          <w:tcPr>
            <w:tcW w:w="553" w:type="dxa"/>
            <w:tcBorders>
              <w:top w:val="nil"/>
              <w:left w:val="nil"/>
              <w:bottom w:val="single" w:sz="4" w:space="0" w:color="auto"/>
              <w:right w:val="single" w:sz="4" w:space="0" w:color="auto"/>
            </w:tcBorders>
            <w:shd w:val="clear" w:color="000000" w:fill="FFFFFF"/>
            <w:noWrap/>
            <w:vAlign w:val="bottom"/>
            <w:hideMark/>
          </w:tcPr>
          <w:p w14:paraId="4DE1154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3,40</w:t>
            </w:r>
          </w:p>
        </w:tc>
        <w:tc>
          <w:tcPr>
            <w:tcW w:w="341" w:type="dxa"/>
            <w:tcBorders>
              <w:top w:val="nil"/>
              <w:left w:val="nil"/>
              <w:bottom w:val="single" w:sz="4" w:space="0" w:color="auto"/>
              <w:right w:val="single" w:sz="4" w:space="0" w:color="auto"/>
            </w:tcBorders>
            <w:shd w:val="clear" w:color="000000" w:fill="FFFFFF"/>
            <w:noWrap/>
            <w:vAlign w:val="bottom"/>
            <w:hideMark/>
          </w:tcPr>
          <w:p w14:paraId="4EFB151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37</w:t>
            </w:r>
          </w:p>
        </w:tc>
        <w:tc>
          <w:tcPr>
            <w:tcW w:w="790" w:type="dxa"/>
            <w:tcBorders>
              <w:top w:val="nil"/>
              <w:left w:val="nil"/>
              <w:bottom w:val="single" w:sz="4" w:space="0" w:color="auto"/>
              <w:right w:val="single" w:sz="4" w:space="0" w:color="auto"/>
            </w:tcBorders>
            <w:shd w:val="clear" w:color="auto" w:fill="auto"/>
            <w:noWrap/>
            <w:vAlign w:val="bottom"/>
            <w:hideMark/>
          </w:tcPr>
          <w:p w14:paraId="1164352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73.737,43</w:t>
            </w:r>
          </w:p>
        </w:tc>
        <w:tc>
          <w:tcPr>
            <w:tcW w:w="342" w:type="dxa"/>
            <w:tcBorders>
              <w:top w:val="nil"/>
              <w:left w:val="nil"/>
              <w:bottom w:val="single" w:sz="4" w:space="0" w:color="auto"/>
              <w:right w:val="single" w:sz="4" w:space="0" w:color="auto"/>
            </w:tcBorders>
            <w:shd w:val="clear" w:color="auto" w:fill="auto"/>
            <w:noWrap/>
            <w:vAlign w:val="bottom"/>
            <w:hideMark/>
          </w:tcPr>
          <w:p w14:paraId="4C58A67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w:t>
            </w:r>
          </w:p>
        </w:tc>
        <w:tc>
          <w:tcPr>
            <w:tcW w:w="709" w:type="dxa"/>
            <w:tcBorders>
              <w:top w:val="nil"/>
              <w:left w:val="nil"/>
              <w:bottom w:val="single" w:sz="4" w:space="0" w:color="auto"/>
              <w:right w:val="single" w:sz="4" w:space="0" w:color="auto"/>
            </w:tcBorders>
            <w:shd w:val="clear" w:color="auto" w:fill="auto"/>
            <w:noWrap/>
            <w:vAlign w:val="bottom"/>
            <w:hideMark/>
          </w:tcPr>
          <w:p w14:paraId="7FF6CFA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1.843,44</w:t>
            </w:r>
          </w:p>
        </w:tc>
        <w:tc>
          <w:tcPr>
            <w:tcW w:w="709" w:type="dxa"/>
            <w:tcBorders>
              <w:top w:val="nil"/>
              <w:left w:val="nil"/>
              <w:bottom w:val="single" w:sz="4" w:space="0" w:color="auto"/>
              <w:right w:val="single" w:sz="4" w:space="0" w:color="auto"/>
            </w:tcBorders>
            <w:shd w:val="clear" w:color="auto" w:fill="auto"/>
            <w:noWrap/>
            <w:vAlign w:val="bottom"/>
            <w:hideMark/>
          </w:tcPr>
          <w:p w14:paraId="3A897B9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4.748,69</w:t>
            </w:r>
          </w:p>
        </w:tc>
        <w:tc>
          <w:tcPr>
            <w:tcW w:w="709" w:type="dxa"/>
            <w:tcBorders>
              <w:top w:val="nil"/>
              <w:left w:val="nil"/>
              <w:bottom w:val="single" w:sz="4" w:space="0" w:color="auto"/>
              <w:right w:val="single" w:sz="4" w:space="0" w:color="auto"/>
            </w:tcBorders>
            <w:shd w:val="clear" w:color="auto" w:fill="auto"/>
            <w:noWrap/>
            <w:vAlign w:val="bottom"/>
            <w:hideMark/>
          </w:tcPr>
          <w:p w14:paraId="4756E04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1.474,75</w:t>
            </w:r>
          </w:p>
        </w:tc>
        <w:tc>
          <w:tcPr>
            <w:tcW w:w="790" w:type="dxa"/>
            <w:tcBorders>
              <w:top w:val="nil"/>
              <w:left w:val="nil"/>
              <w:bottom w:val="single" w:sz="4" w:space="0" w:color="auto"/>
              <w:right w:val="single" w:sz="4" w:space="0" w:color="auto"/>
            </w:tcBorders>
            <w:shd w:val="clear" w:color="auto" w:fill="auto"/>
            <w:noWrap/>
            <w:vAlign w:val="bottom"/>
            <w:hideMark/>
          </w:tcPr>
          <w:p w14:paraId="6AE6621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81.804,31</w:t>
            </w:r>
          </w:p>
        </w:tc>
        <w:tc>
          <w:tcPr>
            <w:tcW w:w="927" w:type="dxa"/>
            <w:tcBorders>
              <w:top w:val="nil"/>
              <w:left w:val="nil"/>
              <w:bottom w:val="single" w:sz="4" w:space="0" w:color="auto"/>
              <w:right w:val="single" w:sz="4" w:space="0" w:color="auto"/>
            </w:tcBorders>
            <w:shd w:val="clear" w:color="auto" w:fill="auto"/>
            <w:noWrap/>
            <w:vAlign w:val="bottom"/>
            <w:hideMark/>
          </w:tcPr>
          <w:p w14:paraId="234D56C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13.170,49</w:t>
            </w:r>
          </w:p>
        </w:tc>
        <w:tc>
          <w:tcPr>
            <w:tcW w:w="871" w:type="dxa"/>
            <w:tcBorders>
              <w:top w:val="nil"/>
              <w:left w:val="nil"/>
              <w:bottom w:val="single" w:sz="4" w:space="0" w:color="auto"/>
              <w:right w:val="single" w:sz="4" w:space="0" w:color="auto"/>
            </w:tcBorders>
            <w:shd w:val="clear" w:color="auto" w:fill="auto"/>
            <w:noWrap/>
            <w:vAlign w:val="bottom"/>
            <w:hideMark/>
          </w:tcPr>
          <w:p w14:paraId="690715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94.974,80</w:t>
            </w:r>
          </w:p>
        </w:tc>
      </w:tr>
      <w:tr w:rsidR="00FE461F" w:rsidRPr="005E4BEA" w14:paraId="042802E2" w14:textId="77777777" w:rsidTr="00AD7DF3">
        <w:trPr>
          <w:trHeight w:val="119"/>
        </w:trPr>
        <w:tc>
          <w:tcPr>
            <w:tcW w:w="872" w:type="dxa"/>
            <w:tcBorders>
              <w:top w:val="nil"/>
              <w:left w:val="single" w:sz="4" w:space="0" w:color="auto"/>
              <w:bottom w:val="single" w:sz="4" w:space="0" w:color="auto"/>
              <w:right w:val="single" w:sz="4" w:space="0" w:color="auto"/>
            </w:tcBorders>
            <w:shd w:val="clear" w:color="000000" w:fill="FFFFFF"/>
            <w:noWrap/>
            <w:vAlign w:val="bottom"/>
            <w:hideMark/>
          </w:tcPr>
          <w:p w14:paraId="3B76905F" w14:textId="77777777" w:rsidR="00FE461F" w:rsidRPr="005E4BEA" w:rsidRDefault="00FE461F" w:rsidP="00FE461F">
            <w:pPr>
              <w:spacing w:line="240" w:lineRule="auto"/>
              <w:jc w:val="both"/>
              <w:rPr>
                <w:rFonts w:cs="Arial"/>
                <w:color w:val="000000"/>
                <w:szCs w:val="20"/>
              </w:rPr>
            </w:pPr>
            <w:proofErr w:type="spellStart"/>
            <w:r w:rsidRPr="005E4BEA">
              <w:rPr>
                <w:rFonts w:cs="Arial"/>
                <w:color w:val="000000"/>
                <w:szCs w:val="20"/>
              </w:rPr>
              <w:t>admin</w:t>
            </w:r>
            <w:proofErr w:type="spellEnd"/>
            <w:r w:rsidRPr="005E4BEA">
              <w:rPr>
                <w:rFonts w:cs="Arial"/>
                <w:color w:val="000000"/>
                <w:szCs w:val="20"/>
              </w:rPr>
              <w:t xml:space="preserve">. tehnični delavci </w:t>
            </w:r>
          </w:p>
        </w:tc>
        <w:tc>
          <w:tcPr>
            <w:tcW w:w="773" w:type="dxa"/>
            <w:tcBorders>
              <w:top w:val="nil"/>
              <w:left w:val="nil"/>
              <w:bottom w:val="single" w:sz="4" w:space="0" w:color="auto"/>
              <w:right w:val="single" w:sz="4" w:space="0" w:color="auto"/>
            </w:tcBorders>
            <w:shd w:val="clear" w:color="000000" w:fill="FFFFFF"/>
            <w:noWrap/>
            <w:vAlign w:val="bottom"/>
            <w:hideMark/>
          </w:tcPr>
          <w:p w14:paraId="4E8D7376" w14:textId="77777777" w:rsidR="00FE461F" w:rsidRPr="005E4BEA" w:rsidRDefault="00FE461F" w:rsidP="00FE461F">
            <w:pPr>
              <w:spacing w:line="240" w:lineRule="auto"/>
              <w:jc w:val="both"/>
              <w:rPr>
                <w:rFonts w:cs="Arial"/>
                <w:szCs w:val="20"/>
              </w:rPr>
            </w:pPr>
            <w:r w:rsidRPr="005E4BEA">
              <w:rPr>
                <w:rFonts w:cs="Arial"/>
                <w:szCs w:val="20"/>
              </w:rPr>
              <w:t> </w:t>
            </w:r>
          </w:p>
        </w:tc>
        <w:tc>
          <w:tcPr>
            <w:tcW w:w="553" w:type="dxa"/>
            <w:tcBorders>
              <w:top w:val="nil"/>
              <w:left w:val="nil"/>
              <w:bottom w:val="single" w:sz="4" w:space="0" w:color="auto"/>
              <w:right w:val="single" w:sz="4" w:space="0" w:color="auto"/>
            </w:tcBorders>
            <w:shd w:val="clear" w:color="000000" w:fill="FFFFFF"/>
            <w:noWrap/>
            <w:vAlign w:val="bottom"/>
            <w:hideMark/>
          </w:tcPr>
          <w:p w14:paraId="239365B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0,52</w:t>
            </w:r>
          </w:p>
        </w:tc>
        <w:tc>
          <w:tcPr>
            <w:tcW w:w="341" w:type="dxa"/>
            <w:tcBorders>
              <w:top w:val="nil"/>
              <w:left w:val="nil"/>
              <w:bottom w:val="single" w:sz="4" w:space="0" w:color="auto"/>
              <w:right w:val="single" w:sz="4" w:space="0" w:color="auto"/>
            </w:tcBorders>
            <w:shd w:val="clear" w:color="000000" w:fill="FFFFFF"/>
            <w:noWrap/>
            <w:vAlign w:val="bottom"/>
            <w:hideMark/>
          </w:tcPr>
          <w:p w14:paraId="68B2BE6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w:t>
            </w:r>
          </w:p>
        </w:tc>
        <w:tc>
          <w:tcPr>
            <w:tcW w:w="790" w:type="dxa"/>
            <w:tcBorders>
              <w:top w:val="nil"/>
              <w:left w:val="nil"/>
              <w:bottom w:val="single" w:sz="4" w:space="0" w:color="auto"/>
              <w:right w:val="single" w:sz="4" w:space="0" w:color="auto"/>
            </w:tcBorders>
            <w:shd w:val="clear" w:color="auto" w:fill="auto"/>
            <w:noWrap/>
            <w:vAlign w:val="bottom"/>
            <w:hideMark/>
          </w:tcPr>
          <w:p w14:paraId="2C3F5E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7.327,08</w:t>
            </w:r>
          </w:p>
        </w:tc>
        <w:tc>
          <w:tcPr>
            <w:tcW w:w="342" w:type="dxa"/>
            <w:tcBorders>
              <w:top w:val="nil"/>
              <w:left w:val="nil"/>
              <w:bottom w:val="single" w:sz="4" w:space="0" w:color="auto"/>
              <w:right w:val="single" w:sz="4" w:space="0" w:color="auto"/>
            </w:tcBorders>
            <w:shd w:val="clear" w:color="auto" w:fill="auto"/>
            <w:noWrap/>
            <w:vAlign w:val="bottom"/>
            <w:hideMark/>
          </w:tcPr>
          <w:p w14:paraId="16264DC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w:t>
            </w:r>
          </w:p>
        </w:tc>
        <w:tc>
          <w:tcPr>
            <w:tcW w:w="709" w:type="dxa"/>
            <w:tcBorders>
              <w:top w:val="nil"/>
              <w:left w:val="nil"/>
              <w:bottom w:val="single" w:sz="4" w:space="0" w:color="auto"/>
              <w:right w:val="single" w:sz="4" w:space="0" w:color="auto"/>
            </w:tcBorders>
            <w:shd w:val="clear" w:color="auto" w:fill="auto"/>
            <w:noWrap/>
            <w:vAlign w:val="bottom"/>
            <w:hideMark/>
          </w:tcPr>
          <w:p w14:paraId="56818AF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183,18</w:t>
            </w:r>
          </w:p>
        </w:tc>
        <w:tc>
          <w:tcPr>
            <w:tcW w:w="709" w:type="dxa"/>
            <w:tcBorders>
              <w:top w:val="nil"/>
              <w:left w:val="nil"/>
              <w:bottom w:val="single" w:sz="4" w:space="0" w:color="auto"/>
              <w:right w:val="single" w:sz="4" w:space="0" w:color="auto"/>
            </w:tcBorders>
            <w:shd w:val="clear" w:color="auto" w:fill="auto"/>
            <w:noWrap/>
            <w:vAlign w:val="bottom"/>
            <w:hideMark/>
          </w:tcPr>
          <w:p w14:paraId="42BC821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471,86</w:t>
            </w:r>
          </w:p>
        </w:tc>
        <w:tc>
          <w:tcPr>
            <w:tcW w:w="709" w:type="dxa"/>
            <w:tcBorders>
              <w:top w:val="nil"/>
              <w:left w:val="nil"/>
              <w:bottom w:val="single" w:sz="4" w:space="0" w:color="auto"/>
              <w:right w:val="single" w:sz="4" w:space="0" w:color="auto"/>
            </w:tcBorders>
            <w:shd w:val="clear" w:color="auto" w:fill="auto"/>
            <w:noWrap/>
            <w:vAlign w:val="bottom"/>
            <w:hideMark/>
          </w:tcPr>
          <w:p w14:paraId="54D68E5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146,54</w:t>
            </w:r>
          </w:p>
        </w:tc>
        <w:tc>
          <w:tcPr>
            <w:tcW w:w="790" w:type="dxa"/>
            <w:tcBorders>
              <w:top w:val="nil"/>
              <w:left w:val="nil"/>
              <w:bottom w:val="single" w:sz="4" w:space="0" w:color="auto"/>
              <w:right w:val="single" w:sz="4" w:space="0" w:color="auto"/>
            </w:tcBorders>
            <w:shd w:val="clear" w:color="auto" w:fill="auto"/>
            <w:noWrap/>
            <w:vAlign w:val="bottom"/>
            <w:hideMark/>
          </w:tcPr>
          <w:p w14:paraId="461F29A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8.128,66</w:t>
            </w:r>
          </w:p>
        </w:tc>
        <w:tc>
          <w:tcPr>
            <w:tcW w:w="927" w:type="dxa"/>
            <w:tcBorders>
              <w:top w:val="nil"/>
              <w:left w:val="nil"/>
              <w:bottom w:val="single" w:sz="4" w:space="0" w:color="auto"/>
              <w:right w:val="single" w:sz="4" w:space="0" w:color="auto"/>
            </w:tcBorders>
            <w:shd w:val="clear" w:color="auto" w:fill="auto"/>
            <w:noWrap/>
            <w:vAlign w:val="bottom"/>
            <w:hideMark/>
          </w:tcPr>
          <w:p w14:paraId="348D85D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1.308,71</w:t>
            </w:r>
          </w:p>
        </w:tc>
        <w:tc>
          <w:tcPr>
            <w:tcW w:w="871" w:type="dxa"/>
            <w:tcBorders>
              <w:top w:val="nil"/>
              <w:left w:val="nil"/>
              <w:bottom w:val="single" w:sz="4" w:space="0" w:color="auto"/>
              <w:right w:val="single" w:sz="4" w:space="0" w:color="auto"/>
            </w:tcBorders>
            <w:shd w:val="clear" w:color="auto" w:fill="auto"/>
            <w:noWrap/>
            <w:vAlign w:val="bottom"/>
            <w:hideMark/>
          </w:tcPr>
          <w:p w14:paraId="34538BD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9.437,38</w:t>
            </w:r>
          </w:p>
        </w:tc>
      </w:tr>
    </w:tbl>
    <w:p w14:paraId="0E035ACB" w14:textId="77777777" w:rsidR="00FE461F" w:rsidRPr="005E4BEA" w:rsidRDefault="00FE461F" w:rsidP="00FE461F">
      <w:pPr>
        <w:spacing w:line="240" w:lineRule="auto"/>
        <w:jc w:val="both"/>
        <w:rPr>
          <w:rFonts w:cs="Arial"/>
          <w:szCs w:val="20"/>
        </w:rPr>
      </w:pPr>
    </w:p>
    <w:tbl>
      <w:tblPr>
        <w:tblW w:w="7851" w:type="dxa"/>
        <w:tblCellMar>
          <w:left w:w="70" w:type="dxa"/>
          <w:right w:w="70" w:type="dxa"/>
        </w:tblCellMar>
        <w:tblLook w:val="04A0" w:firstRow="1" w:lastRow="0" w:firstColumn="1" w:lastColumn="0" w:noHBand="0" w:noVBand="1"/>
      </w:tblPr>
      <w:tblGrid>
        <w:gridCol w:w="791"/>
        <w:gridCol w:w="865"/>
        <w:gridCol w:w="792"/>
        <w:gridCol w:w="866"/>
        <w:gridCol w:w="978"/>
        <w:gridCol w:w="978"/>
        <w:gridCol w:w="885"/>
        <w:gridCol w:w="652"/>
        <w:gridCol w:w="978"/>
        <w:gridCol w:w="709"/>
      </w:tblGrid>
      <w:tr w:rsidR="002B0E6F" w:rsidRPr="005E4BEA" w14:paraId="03816413" w14:textId="77777777" w:rsidTr="0016774B">
        <w:trPr>
          <w:trHeight w:val="636"/>
        </w:trPr>
        <w:tc>
          <w:tcPr>
            <w:tcW w:w="820" w:type="dxa"/>
            <w:tcBorders>
              <w:top w:val="single" w:sz="4" w:space="0" w:color="808080"/>
              <w:left w:val="single" w:sz="4" w:space="0" w:color="808080"/>
              <w:bottom w:val="nil"/>
              <w:right w:val="single" w:sz="4" w:space="0" w:color="808080"/>
            </w:tcBorders>
            <w:shd w:val="clear" w:color="000000" w:fill="D9D9D9"/>
            <w:noWrap/>
            <w:vAlign w:val="bottom"/>
            <w:hideMark/>
          </w:tcPr>
          <w:p w14:paraId="31BEC42F"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Regres</w:t>
            </w:r>
          </w:p>
        </w:tc>
        <w:tc>
          <w:tcPr>
            <w:tcW w:w="724" w:type="dxa"/>
            <w:tcBorders>
              <w:top w:val="single" w:sz="4" w:space="0" w:color="808080"/>
              <w:left w:val="nil"/>
              <w:bottom w:val="nil"/>
              <w:right w:val="single" w:sz="4" w:space="0" w:color="808080"/>
            </w:tcBorders>
            <w:shd w:val="clear" w:color="000000" w:fill="D9D9D9"/>
            <w:noWrap/>
            <w:vAlign w:val="bottom"/>
            <w:hideMark/>
          </w:tcPr>
          <w:p w14:paraId="7E791FE1"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Jubilejne</w:t>
            </w:r>
          </w:p>
        </w:tc>
        <w:tc>
          <w:tcPr>
            <w:tcW w:w="800" w:type="dxa"/>
            <w:tcBorders>
              <w:top w:val="single" w:sz="4" w:space="0" w:color="808080"/>
              <w:left w:val="nil"/>
              <w:bottom w:val="nil"/>
              <w:right w:val="single" w:sz="4" w:space="0" w:color="808080"/>
            </w:tcBorders>
            <w:shd w:val="clear" w:color="000000" w:fill="D9D9D9"/>
            <w:noWrap/>
            <w:vAlign w:val="bottom"/>
            <w:hideMark/>
          </w:tcPr>
          <w:p w14:paraId="07C8EEA8"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PDPZ</w:t>
            </w:r>
          </w:p>
        </w:tc>
        <w:tc>
          <w:tcPr>
            <w:tcW w:w="724" w:type="dxa"/>
            <w:tcBorders>
              <w:top w:val="single" w:sz="4" w:space="0" w:color="808080"/>
              <w:left w:val="nil"/>
              <w:bottom w:val="nil"/>
              <w:right w:val="nil"/>
            </w:tcBorders>
            <w:shd w:val="clear" w:color="000000" w:fill="D9D9D9"/>
            <w:vAlign w:val="bottom"/>
            <w:hideMark/>
          </w:tcPr>
          <w:p w14:paraId="42785682"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Regres, jubilejne, PDPZ</w:t>
            </w:r>
          </w:p>
        </w:tc>
        <w:tc>
          <w:tcPr>
            <w:tcW w:w="76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D9B8AE7"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 xml:space="preserve">Bruto </w:t>
            </w:r>
            <w:r w:rsidRPr="005E4BEA">
              <w:rPr>
                <w:rFonts w:cs="Arial"/>
                <w:b/>
                <w:bCs/>
                <w:color w:val="7030A0"/>
                <w:szCs w:val="20"/>
              </w:rPr>
              <w:br/>
              <w:t>plača III</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732C72F1"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MS -1</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0B427C25"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AM -1</w:t>
            </w:r>
          </w:p>
        </w:tc>
        <w:tc>
          <w:tcPr>
            <w:tcW w:w="740" w:type="dxa"/>
            <w:tcBorders>
              <w:top w:val="single" w:sz="4" w:space="0" w:color="auto"/>
              <w:left w:val="nil"/>
              <w:bottom w:val="single" w:sz="4" w:space="0" w:color="auto"/>
              <w:right w:val="single" w:sz="4" w:space="0" w:color="auto"/>
            </w:tcBorders>
            <w:shd w:val="clear" w:color="000000" w:fill="D9D9D9"/>
            <w:noWrap/>
            <w:vAlign w:val="bottom"/>
            <w:hideMark/>
          </w:tcPr>
          <w:p w14:paraId="10A13CD5"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INF -1</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14A7835C"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Skupaj</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79671AF0"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Cena</w:t>
            </w:r>
          </w:p>
        </w:tc>
      </w:tr>
      <w:tr w:rsidR="00FE461F" w:rsidRPr="005E4BEA" w14:paraId="20C53A7C" w14:textId="77777777" w:rsidTr="0016774B">
        <w:trPr>
          <w:trHeight w:val="20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8DC2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1.024,24</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2153C22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180,82</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54C2C2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431,04</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646DA2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w:t>
            </w:r>
          </w:p>
        </w:tc>
        <w:tc>
          <w:tcPr>
            <w:tcW w:w="763" w:type="dxa"/>
            <w:tcBorders>
              <w:top w:val="nil"/>
              <w:left w:val="nil"/>
              <w:bottom w:val="single" w:sz="4" w:space="0" w:color="auto"/>
              <w:right w:val="single" w:sz="4" w:space="0" w:color="auto"/>
            </w:tcBorders>
            <w:shd w:val="clear" w:color="auto" w:fill="auto"/>
            <w:noWrap/>
            <w:vAlign w:val="bottom"/>
            <w:hideMark/>
          </w:tcPr>
          <w:p w14:paraId="172B68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w:t>
            </w:r>
          </w:p>
        </w:tc>
        <w:tc>
          <w:tcPr>
            <w:tcW w:w="820" w:type="dxa"/>
            <w:tcBorders>
              <w:top w:val="nil"/>
              <w:left w:val="nil"/>
              <w:bottom w:val="nil"/>
              <w:right w:val="nil"/>
            </w:tcBorders>
            <w:shd w:val="clear" w:color="auto" w:fill="auto"/>
            <w:noWrap/>
            <w:vAlign w:val="bottom"/>
            <w:hideMark/>
          </w:tcPr>
          <w:p w14:paraId="774A481E" w14:textId="77777777" w:rsidR="00FE461F" w:rsidRPr="005E4BEA" w:rsidRDefault="00FE461F" w:rsidP="00FE461F">
            <w:pPr>
              <w:spacing w:line="240" w:lineRule="auto"/>
              <w:jc w:val="both"/>
              <w:rPr>
                <w:rFonts w:cs="Arial"/>
                <w:color w:val="000000"/>
                <w:szCs w:val="20"/>
              </w:rPr>
            </w:pPr>
          </w:p>
        </w:tc>
        <w:tc>
          <w:tcPr>
            <w:tcW w:w="820" w:type="dxa"/>
            <w:tcBorders>
              <w:top w:val="nil"/>
              <w:left w:val="nil"/>
              <w:bottom w:val="nil"/>
              <w:right w:val="nil"/>
            </w:tcBorders>
            <w:shd w:val="clear" w:color="auto" w:fill="auto"/>
            <w:noWrap/>
            <w:vAlign w:val="bottom"/>
            <w:hideMark/>
          </w:tcPr>
          <w:p w14:paraId="77BD98F0" w14:textId="77777777" w:rsidR="00FE461F" w:rsidRPr="005E4BEA" w:rsidRDefault="00FE461F" w:rsidP="00FE461F">
            <w:pPr>
              <w:spacing w:line="240" w:lineRule="auto"/>
              <w:jc w:val="both"/>
              <w:rPr>
                <w:rFonts w:cs="Arial"/>
                <w:szCs w:val="20"/>
              </w:rPr>
            </w:pPr>
          </w:p>
        </w:tc>
        <w:tc>
          <w:tcPr>
            <w:tcW w:w="740" w:type="dxa"/>
            <w:tcBorders>
              <w:top w:val="nil"/>
              <w:left w:val="nil"/>
              <w:bottom w:val="nil"/>
              <w:right w:val="nil"/>
            </w:tcBorders>
            <w:shd w:val="clear" w:color="auto" w:fill="auto"/>
            <w:noWrap/>
            <w:vAlign w:val="bottom"/>
            <w:hideMark/>
          </w:tcPr>
          <w:p w14:paraId="3FA11AB6" w14:textId="77777777" w:rsidR="00FE461F" w:rsidRPr="005E4BEA" w:rsidRDefault="00FE461F" w:rsidP="00FE461F">
            <w:pPr>
              <w:spacing w:line="240" w:lineRule="auto"/>
              <w:jc w:val="both"/>
              <w:rPr>
                <w:rFonts w:cs="Arial"/>
                <w:szCs w:val="20"/>
              </w:rPr>
            </w:pPr>
          </w:p>
        </w:tc>
        <w:tc>
          <w:tcPr>
            <w:tcW w:w="820" w:type="dxa"/>
            <w:tcBorders>
              <w:top w:val="nil"/>
              <w:left w:val="nil"/>
              <w:bottom w:val="nil"/>
              <w:right w:val="nil"/>
            </w:tcBorders>
            <w:shd w:val="clear" w:color="auto" w:fill="auto"/>
            <w:noWrap/>
            <w:vAlign w:val="bottom"/>
            <w:hideMark/>
          </w:tcPr>
          <w:p w14:paraId="228A84C5" w14:textId="77777777" w:rsidR="00FE461F" w:rsidRPr="005E4BEA" w:rsidRDefault="00FE461F" w:rsidP="00FE461F">
            <w:pPr>
              <w:spacing w:line="240" w:lineRule="auto"/>
              <w:jc w:val="both"/>
              <w:rPr>
                <w:rFonts w:cs="Arial"/>
                <w:szCs w:val="20"/>
              </w:rPr>
            </w:pPr>
          </w:p>
        </w:tc>
        <w:tc>
          <w:tcPr>
            <w:tcW w:w="820" w:type="dxa"/>
            <w:tcBorders>
              <w:top w:val="nil"/>
              <w:left w:val="nil"/>
              <w:bottom w:val="nil"/>
              <w:right w:val="nil"/>
            </w:tcBorders>
            <w:shd w:val="clear" w:color="auto" w:fill="auto"/>
            <w:noWrap/>
            <w:vAlign w:val="bottom"/>
            <w:hideMark/>
          </w:tcPr>
          <w:p w14:paraId="37144C70" w14:textId="77777777" w:rsidR="00FE461F" w:rsidRPr="005E4BEA" w:rsidRDefault="00FE461F" w:rsidP="00FE461F">
            <w:pPr>
              <w:spacing w:line="240" w:lineRule="auto"/>
              <w:jc w:val="both"/>
              <w:rPr>
                <w:rFonts w:cs="Arial"/>
                <w:szCs w:val="20"/>
              </w:rPr>
            </w:pPr>
          </w:p>
        </w:tc>
      </w:tr>
      <w:tr w:rsidR="00FE461F" w:rsidRPr="005E4BEA" w14:paraId="2720349F" w14:textId="77777777" w:rsidTr="0016774B">
        <w:trPr>
          <w:trHeight w:val="20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6159B3"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4.014,18</w:t>
            </w:r>
          </w:p>
        </w:tc>
        <w:tc>
          <w:tcPr>
            <w:tcW w:w="724" w:type="dxa"/>
            <w:tcBorders>
              <w:top w:val="nil"/>
              <w:left w:val="nil"/>
              <w:bottom w:val="single" w:sz="4" w:space="0" w:color="auto"/>
              <w:right w:val="single" w:sz="4" w:space="0" w:color="auto"/>
            </w:tcBorders>
            <w:shd w:val="clear" w:color="auto" w:fill="auto"/>
            <w:noWrap/>
            <w:vAlign w:val="bottom"/>
            <w:hideMark/>
          </w:tcPr>
          <w:p w14:paraId="36BAF9C6"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708,67</w:t>
            </w:r>
          </w:p>
        </w:tc>
        <w:tc>
          <w:tcPr>
            <w:tcW w:w="800" w:type="dxa"/>
            <w:tcBorders>
              <w:top w:val="nil"/>
              <w:left w:val="nil"/>
              <w:bottom w:val="single" w:sz="4" w:space="0" w:color="auto"/>
              <w:right w:val="single" w:sz="4" w:space="0" w:color="auto"/>
            </w:tcBorders>
            <w:shd w:val="clear" w:color="auto" w:fill="auto"/>
            <w:noWrap/>
            <w:vAlign w:val="bottom"/>
            <w:hideMark/>
          </w:tcPr>
          <w:p w14:paraId="3E0D014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1.689,32</w:t>
            </w:r>
          </w:p>
        </w:tc>
        <w:tc>
          <w:tcPr>
            <w:tcW w:w="724" w:type="dxa"/>
            <w:tcBorders>
              <w:top w:val="nil"/>
              <w:left w:val="nil"/>
              <w:bottom w:val="single" w:sz="4" w:space="0" w:color="auto"/>
              <w:right w:val="single" w:sz="4" w:space="0" w:color="auto"/>
            </w:tcBorders>
            <w:shd w:val="clear" w:color="auto" w:fill="auto"/>
            <w:noWrap/>
            <w:vAlign w:val="bottom"/>
            <w:hideMark/>
          </w:tcPr>
          <w:p w14:paraId="13F73DFD"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6.412,17</w:t>
            </w:r>
          </w:p>
        </w:tc>
        <w:tc>
          <w:tcPr>
            <w:tcW w:w="763" w:type="dxa"/>
            <w:tcBorders>
              <w:top w:val="nil"/>
              <w:left w:val="nil"/>
              <w:bottom w:val="single" w:sz="4" w:space="0" w:color="auto"/>
              <w:right w:val="single" w:sz="4" w:space="0" w:color="auto"/>
            </w:tcBorders>
            <w:shd w:val="clear" w:color="auto" w:fill="auto"/>
            <w:noWrap/>
            <w:vAlign w:val="bottom"/>
            <w:hideMark/>
          </w:tcPr>
          <w:p w14:paraId="0F11DF0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110.824,35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BA64B1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154.326,88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59B7DA1"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20.180,93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692F863E"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950,04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F3DE2F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286.282,20</w:t>
            </w:r>
          </w:p>
        </w:tc>
        <w:tc>
          <w:tcPr>
            <w:tcW w:w="820" w:type="dxa"/>
            <w:tcBorders>
              <w:top w:val="single" w:sz="4" w:space="0" w:color="auto"/>
              <w:left w:val="nil"/>
              <w:bottom w:val="single" w:sz="4" w:space="0" w:color="auto"/>
              <w:right w:val="single" w:sz="4" w:space="0" w:color="auto"/>
            </w:tcBorders>
            <w:shd w:val="clear" w:color="000000" w:fill="FFFF00"/>
            <w:noWrap/>
            <w:vAlign w:val="bottom"/>
            <w:hideMark/>
          </w:tcPr>
          <w:p w14:paraId="643A2EB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4,82</w:t>
            </w:r>
          </w:p>
        </w:tc>
      </w:tr>
      <w:tr w:rsidR="00FE461F" w:rsidRPr="005E4BEA" w14:paraId="4E287334" w14:textId="77777777" w:rsidTr="0016774B">
        <w:trPr>
          <w:trHeight w:val="20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8F8C6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3.482,42</w:t>
            </w:r>
          </w:p>
        </w:tc>
        <w:tc>
          <w:tcPr>
            <w:tcW w:w="724" w:type="dxa"/>
            <w:tcBorders>
              <w:top w:val="nil"/>
              <w:left w:val="nil"/>
              <w:bottom w:val="single" w:sz="4" w:space="0" w:color="auto"/>
              <w:right w:val="single" w:sz="4" w:space="0" w:color="auto"/>
            </w:tcBorders>
            <w:shd w:val="clear" w:color="auto" w:fill="auto"/>
            <w:noWrap/>
            <w:vAlign w:val="bottom"/>
            <w:hideMark/>
          </w:tcPr>
          <w:p w14:paraId="330B3B8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614,79</w:t>
            </w:r>
          </w:p>
        </w:tc>
        <w:tc>
          <w:tcPr>
            <w:tcW w:w="800" w:type="dxa"/>
            <w:tcBorders>
              <w:top w:val="nil"/>
              <w:left w:val="nil"/>
              <w:bottom w:val="single" w:sz="4" w:space="0" w:color="auto"/>
              <w:right w:val="single" w:sz="4" w:space="0" w:color="auto"/>
            </w:tcBorders>
            <w:shd w:val="clear" w:color="auto" w:fill="auto"/>
            <w:noWrap/>
            <w:vAlign w:val="bottom"/>
            <w:hideMark/>
          </w:tcPr>
          <w:p w14:paraId="50F8065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1.465,54</w:t>
            </w:r>
          </w:p>
        </w:tc>
        <w:tc>
          <w:tcPr>
            <w:tcW w:w="724" w:type="dxa"/>
            <w:tcBorders>
              <w:top w:val="nil"/>
              <w:left w:val="nil"/>
              <w:bottom w:val="single" w:sz="4" w:space="0" w:color="auto"/>
              <w:right w:val="single" w:sz="4" w:space="0" w:color="auto"/>
            </w:tcBorders>
            <w:shd w:val="clear" w:color="auto" w:fill="auto"/>
            <w:noWrap/>
            <w:vAlign w:val="bottom"/>
            <w:hideMark/>
          </w:tcPr>
          <w:p w14:paraId="5617C59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5.562,74</w:t>
            </w:r>
          </w:p>
        </w:tc>
        <w:tc>
          <w:tcPr>
            <w:tcW w:w="763" w:type="dxa"/>
            <w:tcBorders>
              <w:top w:val="nil"/>
              <w:left w:val="nil"/>
              <w:bottom w:val="single" w:sz="4" w:space="0" w:color="auto"/>
              <w:right w:val="single" w:sz="4" w:space="0" w:color="auto"/>
            </w:tcBorders>
            <w:shd w:val="clear" w:color="auto" w:fill="auto"/>
            <w:noWrap/>
            <w:vAlign w:val="bottom"/>
            <w:hideMark/>
          </w:tcPr>
          <w:p w14:paraId="690516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100.537,54</w:t>
            </w:r>
          </w:p>
        </w:tc>
        <w:tc>
          <w:tcPr>
            <w:tcW w:w="820" w:type="dxa"/>
            <w:tcBorders>
              <w:top w:val="nil"/>
              <w:left w:val="nil"/>
              <w:bottom w:val="nil"/>
              <w:right w:val="nil"/>
            </w:tcBorders>
            <w:shd w:val="clear" w:color="auto" w:fill="auto"/>
            <w:noWrap/>
            <w:vAlign w:val="bottom"/>
            <w:hideMark/>
          </w:tcPr>
          <w:p w14:paraId="034ED009" w14:textId="77777777" w:rsidR="00FE461F" w:rsidRPr="005E4BEA" w:rsidRDefault="00FE461F" w:rsidP="00FE461F">
            <w:pPr>
              <w:spacing w:line="240" w:lineRule="auto"/>
              <w:jc w:val="both"/>
              <w:rPr>
                <w:rFonts w:cs="Arial"/>
                <w:color w:val="000000"/>
                <w:szCs w:val="20"/>
              </w:rPr>
            </w:pPr>
          </w:p>
        </w:tc>
        <w:tc>
          <w:tcPr>
            <w:tcW w:w="820" w:type="dxa"/>
            <w:tcBorders>
              <w:top w:val="nil"/>
              <w:left w:val="nil"/>
              <w:bottom w:val="nil"/>
              <w:right w:val="nil"/>
            </w:tcBorders>
            <w:shd w:val="clear" w:color="auto" w:fill="auto"/>
            <w:noWrap/>
            <w:vAlign w:val="bottom"/>
            <w:hideMark/>
          </w:tcPr>
          <w:p w14:paraId="018F95A2" w14:textId="77777777" w:rsidR="00FE461F" w:rsidRPr="005E4BEA" w:rsidRDefault="00FE461F" w:rsidP="00FE461F">
            <w:pPr>
              <w:spacing w:line="240" w:lineRule="auto"/>
              <w:jc w:val="both"/>
              <w:rPr>
                <w:rFonts w:cs="Arial"/>
                <w:szCs w:val="20"/>
              </w:rPr>
            </w:pPr>
          </w:p>
        </w:tc>
        <w:tc>
          <w:tcPr>
            <w:tcW w:w="740" w:type="dxa"/>
            <w:tcBorders>
              <w:top w:val="nil"/>
              <w:left w:val="nil"/>
              <w:bottom w:val="nil"/>
              <w:right w:val="nil"/>
            </w:tcBorders>
            <w:shd w:val="clear" w:color="auto" w:fill="auto"/>
            <w:noWrap/>
            <w:vAlign w:val="bottom"/>
            <w:hideMark/>
          </w:tcPr>
          <w:p w14:paraId="7C6C0958" w14:textId="77777777" w:rsidR="00FE461F" w:rsidRPr="005E4BEA" w:rsidRDefault="00FE461F" w:rsidP="00FE461F">
            <w:pPr>
              <w:spacing w:line="240" w:lineRule="auto"/>
              <w:jc w:val="both"/>
              <w:rPr>
                <w:rFonts w:cs="Arial"/>
                <w:szCs w:val="20"/>
              </w:rPr>
            </w:pPr>
          </w:p>
        </w:tc>
        <w:tc>
          <w:tcPr>
            <w:tcW w:w="820" w:type="dxa"/>
            <w:tcBorders>
              <w:top w:val="nil"/>
              <w:left w:val="nil"/>
              <w:bottom w:val="nil"/>
              <w:right w:val="nil"/>
            </w:tcBorders>
            <w:shd w:val="clear" w:color="auto" w:fill="auto"/>
            <w:noWrap/>
            <w:vAlign w:val="bottom"/>
            <w:hideMark/>
          </w:tcPr>
          <w:p w14:paraId="57AF6D39" w14:textId="77777777" w:rsidR="00FE461F" w:rsidRPr="005E4BEA" w:rsidRDefault="00FE461F" w:rsidP="00FE461F">
            <w:pPr>
              <w:spacing w:line="240" w:lineRule="auto"/>
              <w:jc w:val="both"/>
              <w:rPr>
                <w:rFonts w:cs="Arial"/>
                <w:szCs w:val="20"/>
              </w:rPr>
            </w:pPr>
          </w:p>
        </w:tc>
        <w:tc>
          <w:tcPr>
            <w:tcW w:w="820" w:type="dxa"/>
            <w:tcBorders>
              <w:top w:val="nil"/>
              <w:left w:val="nil"/>
              <w:bottom w:val="nil"/>
              <w:right w:val="nil"/>
            </w:tcBorders>
            <w:shd w:val="clear" w:color="auto" w:fill="auto"/>
            <w:noWrap/>
            <w:vAlign w:val="bottom"/>
            <w:hideMark/>
          </w:tcPr>
          <w:p w14:paraId="7FFDFEE4" w14:textId="77777777" w:rsidR="00FE461F" w:rsidRPr="005E4BEA" w:rsidRDefault="00FE461F" w:rsidP="00FE461F">
            <w:pPr>
              <w:spacing w:line="240" w:lineRule="auto"/>
              <w:jc w:val="both"/>
              <w:rPr>
                <w:rFonts w:cs="Arial"/>
                <w:szCs w:val="20"/>
              </w:rPr>
            </w:pPr>
          </w:p>
        </w:tc>
      </w:tr>
      <w:tr w:rsidR="00FE461F" w:rsidRPr="005E4BEA" w14:paraId="1C4F3E92" w14:textId="77777777" w:rsidTr="0016774B">
        <w:trPr>
          <w:trHeight w:val="20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D86DD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531,76</w:t>
            </w:r>
          </w:p>
        </w:tc>
        <w:tc>
          <w:tcPr>
            <w:tcW w:w="724" w:type="dxa"/>
            <w:tcBorders>
              <w:top w:val="nil"/>
              <w:left w:val="nil"/>
              <w:bottom w:val="single" w:sz="4" w:space="0" w:color="auto"/>
              <w:right w:val="single" w:sz="4" w:space="0" w:color="auto"/>
            </w:tcBorders>
            <w:shd w:val="clear" w:color="auto" w:fill="auto"/>
            <w:noWrap/>
            <w:vAlign w:val="bottom"/>
            <w:hideMark/>
          </w:tcPr>
          <w:p w14:paraId="09FA32F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93,88</w:t>
            </w:r>
          </w:p>
        </w:tc>
        <w:tc>
          <w:tcPr>
            <w:tcW w:w="800" w:type="dxa"/>
            <w:tcBorders>
              <w:top w:val="nil"/>
              <w:left w:val="nil"/>
              <w:bottom w:val="single" w:sz="4" w:space="0" w:color="auto"/>
              <w:right w:val="single" w:sz="4" w:space="0" w:color="auto"/>
            </w:tcBorders>
            <w:shd w:val="clear" w:color="auto" w:fill="auto"/>
            <w:noWrap/>
            <w:vAlign w:val="bottom"/>
            <w:hideMark/>
          </w:tcPr>
          <w:p w14:paraId="5E82C6A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223,79</w:t>
            </w:r>
          </w:p>
        </w:tc>
        <w:tc>
          <w:tcPr>
            <w:tcW w:w="724" w:type="dxa"/>
            <w:tcBorders>
              <w:top w:val="nil"/>
              <w:left w:val="nil"/>
              <w:bottom w:val="single" w:sz="4" w:space="0" w:color="auto"/>
              <w:right w:val="single" w:sz="4" w:space="0" w:color="auto"/>
            </w:tcBorders>
            <w:shd w:val="clear" w:color="auto" w:fill="auto"/>
            <w:noWrap/>
            <w:vAlign w:val="bottom"/>
            <w:hideMark/>
          </w:tcPr>
          <w:p w14:paraId="5A0B3F6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849,43</w:t>
            </w:r>
          </w:p>
        </w:tc>
        <w:tc>
          <w:tcPr>
            <w:tcW w:w="763" w:type="dxa"/>
            <w:tcBorders>
              <w:top w:val="nil"/>
              <w:left w:val="nil"/>
              <w:bottom w:val="single" w:sz="4" w:space="0" w:color="auto"/>
              <w:right w:val="single" w:sz="4" w:space="0" w:color="auto"/>
            </w:tcBorders>
            <w:shd w:val="clear" w:color="auto" w:fill="auto"/>
            <w:noWrap/>
            <w:vAlign w:val="bottom"/>
            <w:hideMark/>
          </w:tcPr>
          <w:p w14:paraId="7C8D49C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10.286,81</w:t>
            </w:r>
          </w:p>
        </w:tc>
        <w:tc>
          <w:tcPr>
            <w:tcW w:w="820" w:type="dxa"/>
            <w:tcBorders>
              <w:top w:val="nil"/>
              <w:left w:val="nil"/>
              <w:bottom w:val="nil"/>
              <w:right w:val="nil"/>
            </w:tcBorders>
            <w:shd w:val="clear" w:color="auto" w:fill="auto"/>
            <w:noWrap/>
            <w:vAlign w:val="bottom"/>
            <w:hideMark/>
          </w:tcPr>
          <w:p w14:paraId="535564C9" w14:textId="77777777" w:rsidR="00FE461F" w:rsidRPr="005E4BEA" w:rsidRDefault="00FE461F" w:rsidP="00FE461F">
            <w:pPr>
              <w:spacing w:line="240" w:lineRule="auto"/>
              <w:jc w:val="both"/>
              <w:rPr>
                <w:rFonts w:cs="Arial"/>
                <w:color w:val="000000"/>
                <w:szCs w:val="20"/>
              </w:rPr>
            </w:pPr>
          </w:p>
        </w:tc>
        <w:tc>
          <w:tcPr>
            <w:tcW w:w="820" w:type="dxa"/>
            <w:tcBorders>
              <w:top w:val="nil"/>
              <w:left w:val="nil"/>
              <w:bottom w:val="nil"/>
              <w:right w:val="nil"/>
            </w:tcBorders>
            <w:shd w:val="clear" w:color="auto" w:fill="auto"/>
            <w:noWrap/>
            <w:vAlign w:val="bottom"/>
            <w:hideMark/>
          </w:tcPr>
          <w:p w14:paraId="0E086417" w14:textId="77777777" w:rsidR="00FE461F" w:rsidRPr="005E4BEA" w:rsidRDefault="00FE461F" w:rsidP="00FE461F">
            <w:pPr>
              <w:spacing w:line="240" w:lineRule="auto"/>
              <w:jc w:val="both"/>
              <w:rPr>
                <w:rFonts w:cs="Arial"/>
                <w:szCs w:val="20"/>
              </w:rPr>
            </w:pPr>
          </w:p>
        </w:tc>
        <w:tc>
          <w:tcPr>
            <w:tcW w:w="740" w:type="dxa"/>
            <w:tcBorders>
              <w:top w:val="nil"/>
              <w:left w:val="nil"/>
              <w:bottom w:val="nil"/>
              <w:right w:val="nil"/>
            </w:tcBorders>
            <w:shd w:val="clear" w:color="auto" w:fill="auto"/>
            <w:noWrap/>
            <w:vAlign w:val="bottom"/>
            <w:hideMark/>
          </w:tcPr>
          <w:p w14:paraId="72F47D80" w14:textId="77777777" w:rsidR="00FE461F" w:rsidRPr="005E4BEA" w:rsidRDefault="00FE461F" w:rsidP="00FE461F">
            <w:pPr>
              <w:spacing w:line="240" w:lineRule="auto"/>
              <w:jc w:val="both"/>
              <w:rPr>
                <w:rFonts w:cs="Arial"/>
                <w:szCs w:val="20"/>
              </w:rPr>
            </w:pPr>
          </w:p>
        </w:tc>
        <w:tc>
          <w:tcPr>
            <w:tcW w:w="820" w:type="dxa"/>
            <w:tcBorders>
              <w:top w:val="nil"/>
              <w:left w:val="nil"/>
              <w:bottom w:val="nil"/>
              <w:right w:val="nil"/>
            </w:tcBorders>
            <w:shd w:val="clear" w:color="auto" w:fill="auto"/>
            <w:noWrap/>
            <w:vAlign w:val="bottom"/>
            <w:hideMark/>
          </w:tcPr>
          <w:p w14:paraId="287F8BB7" w14:textId="77777777" w:rsidR="00FE461F" w:rsidRPr="005E4BEA" w:rsidRDefault="00FE461F" w:rsidP="00FE461F">
            <w:pPr>
              <w:spacing w:line="240" w:lineRule="auto"/>
              <w:jc w:val="both"/>
              <w:rPr>
                <w:rFonts w:cs="Arial"/>
                <w:szCs w:val="20"/>
              </w:rPr>
            </w:pPr>
          </w:p>
        </w:tc>
        <w:tc>
          <w:tcPr>
            <w:tcW w:w="820" w:type="dxa"/>
            <w:tcBorders>
              <w:top w:val="nil"/>
              <w:left w:val="nil"/>
              <w:bottom w:val="nil"/>
              <w:right w:val="nil"/>
            </w:tcBorders>
            <w:shd w:val="clear" w:color="auto" w:fill="auto"/>
            <w:noWrap/>
            <w:vAlign w:val="bottom"/>
            <w:hideMark/>
          </w:tcPr>
          <w:p w14:paraId="401FBAD4" w14:textId="77777777" w:rsidR="00FE461F" w:rsidRPr="005E4BEA" w:rsidRDefault="00FE461F" w:rsidP="00FE461F">
            <w:pPr>
              <w:spacing w:line="240" w:lineRule="auto"/>
              <w:jc w:val="both"/>
              <w:rPr>
                <w:rFonts w:cs="Arial"/>
                <w:szCs w:val="20"/>
              </w:rPr>
            </w:pPr>
          </w:p>
        </w:tc>
      </w:tr>
    </w:tbl>
    <w:p w14:paraId="27201B91" w14:textId="77777777" w:rsidR="00FE461F" w:rsidRPr="005E4BEA" w:rsidRDefault="00FE461F" w:rsidP="00FE461F">
      <w:pPr>
        <w:spacing w:line="240" w:lineRule="auto"/>
        <w:jc w:val="both"/>
        <w:rPr>
          <w:rFonts w:cs="Arial"/>
          <w:szCs w:val="20"/>
        </w:rPr>
      </w:pPr>
    </w:p>
    <w:p w14:paraId="15CE49D1" w14:textId="77777777" w:rsidR="00FE461F" w:rsidRPr="005E4BEA" w:rsidRDefault="00FE461F" w:rsidP="00FE461F">
      <w:pPr>
        <w:spacing w:line="240" w:lineRule="auto"/>
        <w:jc w:val="both"/>
        <w:rPr>
          <w:rFonts w:cs="Arial"/>
          <w:b/>
          <w:bCs/>
          <w:szCs w:val="20"/>
        </w:rPr>
      </w:pPr>
      <w:r w:rsidRPr="005E4BEA">
        <w:rPr>
          <w:rFonts w:cs="Arial"/>
          <w:b/>
          <w:bCs/>
          <w:szCs w:val="20"/>
        </w:rPr>
        <w:t>V 23. členu se v (14) odstavku drugi stavek spremeni tako, da glasi:</w:t>
      </w:r>
    </w:p>
    <w:p w14:paraId="25F29CFC" w14:textId="77777777" w:rsidR="00FE461F" w:rsidRPr="005E4BEA" w:rsidRDefault="00FE461F" w:rsidP="00FE461F">
      <w:pPr>
        <w:spacing w:line="240" w:lineRule="auto"/>
        <w:jc w:val="both"/>
        <w:rPr>
          <w:rFonts w:cs="Arial"/>
          <w:szCs w:val="20"/>
        </w:rPr>
      </w:pPr>
      <w:r w:rsidRPr="005E4BEA">
        <w:rPr>
          <w:rFonts w:cs="Arial"/>
          <w:szCs w:val="20"/>
        </w:rPr>
        <w:t xml:space="preserve"> »Storitve zobozdravstvenega rentgena si bodo izvajalci med seboj obračunavali po evidenčni ceni točke, razen v dejavnostih zobozdravstva za odrasle, zobozdravstva za mladino, zobozdravstva za študente in </w:t>
      </w:r>
      <w:proofErr w:type="spellStart"/>
      <w:r w:rsidRPr="005E4BEA">
        <w:rPr>
          <w:rFonts w:cs="Arial"/>
          <w:szCs w:val="20"/>
        </w:rPr>
        <w:t>pedontologije</w:t>
      </w:r>
      <w:proofErr w:type="spellEnd"/>
      <w:r w:rsidRPr="005E4BEA">
        <w:rPr>
          <w:rFonts w:cs="Arial"/>
          <w:szCs w:val="20"/>
        </w:rPr>
        <w:t>, kjer si bodo storitve zobozdravstvenega rentgena med seboj obračunavali po veljavni ceni točke RTG iz Priloge I.«</w:t>
      </w:r>
    </w:p>
    <w:p w14:paraId="677D4304" w14:textId="77777777" w:rsidR="00FE461F" w:rsidRPr="005E4BEA" w:rsidRDefault="00FE461F" w:rsidP="00FE461F">
      <w:pPr>
        <w:spacing w:line="240" w:lineRule="auto"/>
        <w:jc w:val="both"/>
        <w:rPr>
          <w:rFonts w:cs="Arial"/>
          <w:szCs w:val="20"/>
        </w:rPr>
      </w:pPr>
    </w:p>
    <w:p w14:paraId="4B80D7A1"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28DD19E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Skladno s Pravili obveznega zdravstvenega zavarovanja ima zavarovana oseba pravico do zdravstvenih storitev rentgenske diagnostike zobovja in čeljustnic na področju preprečevanja, odkrivanja in zdravljenja ustnih in zobnih bolezni. Vendar pa so zaradi že več let uveljavljene metodologije plačevanja RTG zobozdravstvenih storitev velikokrat primorani RTG zobovja koristiti samoplačniško. Zaradi česar je kritika tudi večkrat zaznana v medijih. Novo določilo 14. odstavek 23. člena SD za leto 2020 je „naplavilo“ nelogičnost kritja zobozdravstvenih rentgenskih storitev, ker je v finančnem minusu izvajalec RTG storitev, pred sprejetjem SD 2020 pa je bil naročnik RTG storitve. Način obračunavanja rentgenskih zobozdravstvenih storitev je v zobozdravstvenih programih popolnoma različen in sistemsko neurejen za:</w:t>
      </w:r>
    </w:p>
    <w:tbl>
      <w:tblPr>
        <w:tblW w:w="8278" w:type="dxa"/>
        <w:tblCellMar>
          <w:left w:w="70" w:type="dxa"/>
          <w:right w:w="70" w:type="dxa"/>
        </w:tblCellMar>
        <w:tblLook w:val="04A0" w:firstRow="1" w:lastRow="0" w:firstColumn="1" w:lastColumn="0" w:noHBand="0" w:noVBand="1"/>
      </w:tblPr>
      <w:tblGrid>
        <w:gridCol w:w="564"/>
        <w:gridCol w:w="1527"/>
        <w:gridCol w:w="554"/>
        <w:gridCol w:w="504"/>
        <w:gridCol w:w="893"/>
        <w:gridCol w:w="893"/>
        <w:gridCol w:w="1020"/>
        <w:gridCol w:w="1146"/>
        <w:gridCol w:w="1383"/>
      </w:tblGrid>
      <w:tr w:rsidR="00FE461F" w:rsidRPr="005E4BEA" w14:paraId="02C39BB2" w14:textId="77777777" w:rsidTr="0051375F">
        <w:trPr>
          <w:trHeight w:val="639"/>
        </w:trPr>
        <w:tc>
          <w:tcPr>
            <w:tcW w:w="536"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4537614C"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Šifra</w:t>
            </w:r>
          </w:p>
        </w:tc>
        <w:tc>
          <w:tcPr>
            <w:tcW w:w="1512" w:type="dxa"/>
            <w:tcBorders>
              <w:top w:val="single" w:sz="8" w:space="0" w:color="auto"/>
              <w:left w:val="nil"/>
              <w:bottom w:val="single" w:sz="8" w:space="0" w:color="auto"/>
              <w:right w:val="single" w:sz="8" w:space="0" w:color="auto"/>
            </w:tcBorders>
            <w:shd w:val="clear" w:color="000000" w:fill="D9E1F2"/>
            <w:vAlign w:val="center"/>
            <w:hideMark/>
          </w:tcPr>
          <w:p w14:paraId="789C8B27"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Kratek opis</w:t>
            </w:r>
          </w:p>
        </w:tc>
        <w:tc>
          <w:tcPr>
            <w:tcW w:w="527" w:type="dxa"/>
            <w:tcBorders>
              <w:top w:val="single" w:sz="8" w:space="0" w:color="auto"/>
              <w:left w:val="nil"/>
              <w:bottom w:val="single" w:sz="8" w:space="0" w:color="auto"/>
              <w:right w:val="single" w:sz="8" w:space="0" w:color="auto"/>
            </w:tcBorders>
            <w:shd w:val="clear" w:color="000000" w:fill="D9E1F2"/>
            <w:vAlign w:val="center"/>
            <w:hideMark/>
          </w:tcPr>
          <w:p w14:paraId="2893629C"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Naziv enote mere</w:t>
            </w:r>
          </w:p>
        </w:tc>
        <w:tc>
          <w:tcPr>
            <w:tcW w:w="476" w:type="dxa"/>
            <w:tcBorders>
              <w:top w:val="single" w:sz="8" w:space="0" w:color="auto"/>
              <w:left w:val="nil"/>
              <w:bottom w:val="single" w:sz="8" w:space="0" w:color="auto"/>
              <w:right w:val="single" w:sz="8" w:space="0" w:color="auto"/>
            </w:tcBorders>
            <w:shd w:val="clear" w:color="000000" w:fill="D9E1F2"/>
            <w:vAlign w:val="center"/>
            <w:hideMark/>
          </w:tcPr>
          <w:p w14:paraId="393AD5DC"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Št. enot mere</w:t>
            </w:r>
          </w:p>
        </w:tc>
        <w:tc>
          <w:tcPr>
            <w:tcW w:w="869" w:type="dxa"/>
            <w:tcBorders>
              <w:top w:val="single" w:sz="8" w:space="0" w:color="auto"/>
              <w:left w:val="nil"/>
              <w:bottom w:val="single" w:sz="8" w:space="0" w:color="auto"/>
              <w:right w:val="single" w:sz="8" w:space="0" w:color="auto"/>
            </w:tcBorders>
            <w:shd w:val="clear" w:color="000000" w:fill="D9E1F2"/>
            <w:vAlign w:val="center"/>
            <w:hideMark/>
          </w:tcPr>
          <w:p w14:paraId="212B34F0"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Cena RTG v dejavnosti zob za odrasle (104 101)</w:t>
            </w:r>
          </w:p>
        </w:tc>
        <w:tc>
          <w:tcPr>
            <w:tcW w:w="869" w:type="dxa"/>
            <w:tcBorders>
              <w:top w:val="single" w:sz="8" w:space="0" w:color="auto"/>
              <w:left w:val="nil"/>
              <w:bottom w:val="single" w:sz="8" w:space="0" w:color="auto"/>
              <w:right w:val="single" w:sz="8" w:space="0" w:color="auto"/>
            </w:tcBorders>
            <w:shd w:val="clear" w:color="000000" w:fill="D9E1F2"/>
            <w:vAlign w:val="center"/>
            <w:hideMark/>
          </w:tcPr>
          <w:p w14:paraId="119A90C4"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Cena RTG v dejavnosti zob za mladino (104 103)</w:t>
            </w:r>
          </w:p>
        </w:tc>
        <w:tc>
          <w:tcPr>
            <w:tcW w:w="998" w:type="dxa"/>
            <w:tcBorders>
              <w:top w:val="single" w:sz="8" w:space="0" w:color="auto"/>
              <w:left w:val="nil"/>
              <w:bottom w:val="single" w:sz="8" w:space="0" w:color="auto"/>
              <w:right w:val="single" w:sz="8" w:space="0" w:color="auto"/>
            </w:tcBorders>
            <w:shd w:val="clear" w:color="000000" w:fill="D9E1F2"/>
            <w:vAlign w:val="center"/>
            <w:hideMark/>
          </w:tcPr>
          <w:p w14:paraId="71B05DCE"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xml:space="preserve">Cena RTG spec. ambulantna dejavnost (231 247) za zdravstvene </w:t>
            </w:r>
            <w:r w:rsidRPr="005E4BEA">
              <w:rPr>
                <w:rFonts w:cs="Arial"/>
                <w:b/>
                <w:bCs/>
                <w:i/>
                <w:iCs/>
                <w:color w:val="767171"/>
                <w:szCs w:val="20"/>
              </w:rPr>
              <w:lastRenderedPageBreak/>
              <w:t>domove, zdravilišča, zasebnike</w:t>
            </w:r>
          </w:p>
        </w:tc>
        <w:tc>
          <w:tcPr>
            <w:tcW w:w="1126" w:type="dxa"/>
            <w:tcBorders>
              <w:top w:val="single" w:sz="8" w:space="0" w:color="auto"/>
              <w:left w:val="nil"/>
              <w:bottom w:val="single" w:sz="8" w:space="0" w:color="auto"/>
              <w:right w:val="single" w:sz="8" w:space="0" w:color="auto"/>
            </w:tcBorders>
            <w:shd w:val="clear" w:color="000000" w:fill="D9E1F2"/>
            <w:vAlign w:val="center"/>
            <w:hideMark/>
          </w:tcPr>
          <w:p w14:paraId="160BA74B"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lastRenderedPageBreak/>
              <w:t>Cena RTG specialistično ambulantna dejavnost (231 247) za bolnišnice</w:t>
            </w:r>
          </w:p>
        </w:tc>
        <w:tc>
          <w:tcPr>
            <w:tcW w:w="1365" w:type="dxa"/>
            <w:tcBorders>
              <w:top w:val="single" w:sz="8" w:space="0" w:color="auto"/>
              <w:left w:val="nil"/>
              <w:bottom w:val="single" w:sz="8" w:space="0" w:color="auto"/>
              <w:right w:val="single" w:sz="8" w:space="0" w:color="auto"/>
            </w:tcBorders>
            <w:shd w:val="clear" w:color="000000" w:fill="D9E1F2"/>
            <w:vAlign w:val="center"/>
            <w:hideMark/>
          </w:tcPr>
          <w:p w14:paraId="581D9AAC"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Evidenčna cena RTG za vso zobozdravstveno dejavnost razen zob za odrasle in zob za mladino)</w:t>
            </w:r>
          </w:p>
        </w:tc>
      </w:tr>
      <w:tr w:rsidR="00FE461F" w:rsidRPr="005E4BEA" w14:paraId="00E8CCEA" w14:textId="77777777" w:rsidTr="0051375F">
        <w:trPr>
          <w:trHeight w:val="194"/>
        </w:trPr>
        <w:tc>
          <w:tcPr>
            <w:tcW w:w="536" w:type="dxa"/>
            <w:tcBorders>
              <w:top w:val="nil"/>
              <w:left w:val="nil"/>
              <w:bottom w:val="nil"/>
              <w:right w:val="nil"/>
            </w:tcBorders>
            <w:shd w:val="clear" w:color="auto" w:fill="auto"/>
            <w:vAlign w:val="center"/>
            <w:hideMark/>
          </w:tcPr>
          <w:p w14:paraId="25389BA9" w14:textId="77777777" w:rsidR="00FE461F" w:rsidRPr="005E4BEA" w:rsidRDefault="00FE461F" w:rsidP="00FE461F">
            <w:pPr>
              <w:spacing w:line="240" w:lineRule="auto"/>
              <w:jc w:val="both"/>
              <w:rPr>
                <w:rFonts w:cs="Arial"/>
                <w:b/>
                <w:bCs/>
                <w:i/>
                <w:iCs/>
                <w:color w:val="767171"/>
                <w:szCs w:val="20"/>
              </w:rPr>
            </w:pPr>
          </w:p>
        </w:tc>
        <w:tc>
          <w:tcPr>
            <w:tcW w:w="1512" w:type="dxa"/>
            <w:tcBorders>
              <w:top w:val="nil"/>
              <w:left w:val="single" w:sz="8" w:space="0" w:color="auto"/>
              <w:bottom w:val="single" w:sz="8" w:space="0" w:color="auto"/>
              <w:right w:val="single" w:sz="8" w:space="0" w:color="auto"/>
            </w:tcBorders>
            <w:shd w:val="clear" w:color="auto" w:fill="auto"/>
            <w:vAlign w:val="center"/>
            <w:hideMark/>
          </w:tcPr>
          <w:p w14:paraId="07B86B61"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V cenah 1 2021 (SD 2020)</w:t>
            </w:r>
          </w:p>
        </w:tc>
        <w:tc>
          <w:tcPr>
            <w:tcW w:w="527" w:type="dxa"/>
            <w:tcBorders>
              <w:top w:val="nil"/>
              <w:left w:val="nil"/>
              <w:bottom w:val="single" w:sz="8" w:space="0" w:color="auto"/>
              <w:right w:val="single" w:sz="8" w:space="0" w:color="auto"/>
            </w:tcBorders>
            <w:shd w:val="clear" w:color="auto" w:fill="auto"/>
            <w:vAlign w:val="center"/>
            <w:hideMark/>
          </w:tcPr>
          <w:p w14:paraId="48FC2F92"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w:t>
            </w:r>
          </w:p>
        </w:tc>
        <w:tc>
          <w:tcPr>
            <w:tcW w:w="476" w:type="dxa"/>
            <w:tcBorders>
              <w:top w:val="nil"/>
              <w:left w:val="nil"/>
              <w:bottom w:val="single" w:sz="8" w:space="0" w:color="auto"/>
              <w:right w:val="single" w:sz="8" w:space="0" w:color="auto"/>
            </w:tcBorders>
            <w:shd w:val="clear" w:color="auto" w:fill="auto"/>
            <w:vAlign w:val="center"/>
            <w:hideMark/>
          </w:tcPr>
          <w:p w14:paraId="0DB9CAE2"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w:t>
            </w:r>
          </w:p>
        </w:tc>
        <w:tc>
          <w:tcPr>
            <w:tcW w:w="869" w:type="dxa"/>
            <w:tcBorders>
              <w:top w:val="nil"/>
              <w:left w:val="nil"/>
              <w:bottom w:val="single" w:sz="8" w:space="0" w:color="auto"/>
              <w:right w:val="single" w:sz="8" w:space="0" w:color="auto"/>
            </w:tcBorders>
            <w:shd w:val="clear" w:color="000000" w:fill="FCE4D6"/>
            <w:vAlign w:val="center"/>
            <w:hideMark/>
          </w:tcPr>
          <w:p w14:paraId="2BA90796"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2,76</w:t>
            </w:r>
          </w:p>
        </w:tc>
        <w:tc>
          <w:tcPr>
            <w:tcW w:w="869" w:type="dxa"/>
            <w:tcBorders>
              <w:top w:val="nil"/>
              <w:left w:val="nil"/>
              <w:bottom w:val="single" w:sz="8" w:space="0" w:color="auto"/>
              <w:right w:val="single" w:sz="8" w:space="0" w:color="auto"/>
            </w:tcBorders>
            <w:shd w:val="clear" w:color="000000" w:fill="FCE4D6"/>
            <w:vAlign w:val="center"/>
            <w:hideMark/>
          </w:tcPr>
          <w:p w14:paraId="0E94C3E9"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3,14</w:t>
            </w:r>
          </w:p>
        </w:tc>
        <w:tc>
          <w:tcPr>
            <w:tcW w:w="998" w:type="dxa"/>
            <w:tcBorders>
              <w:top w:val="nil"/>
              <w:left w:val="nil"/>
              <w:bottom w:val="single" w:sz="8" w:space="0" w:color="auto"/>
              <w:right w:val="single" w:sz="8" w:space="0" w:color="auto"/>
            </w:tcBorders>
            <w:shd w:val="clear" w:color="000000" w:fill="FCE4D6"/>
            <w:vAlign w:val="center"/>
            <w:hideMark/>
          </w:tcPr>
          <w:p w14:paraId="7C2C80E1"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4</w:t>
            </w:r>
          </w:p>
        </w:tc>
        <w:tc>
          <w:tcPr>
            <w:tcW w:w="1126" w:type="dxa"/>
            <w:tcBorders>
              <w:top w:val="nil"/>
              <w:left w:val="nil"/>
              <w:bottom w:val="single" w:sz="8" w:space="0" w:color="auto"/>
              <w:right w:val="single" w:sz="8" w:space="0" w:color="auto"/>
            </w:tcBorders>
            <w:shd w:val="clear" w:color="000000" w:fill="FCE4D6"/>
            <w:vAlign w:val="center"/>
            <w:hideMark/>
          </w:tcPr>
          <w:p w14:paraId="525943A1"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4,33</w:t>
            </w:r>
          </w:p>
        </w:tc>
        <w:tc>
          <w:tcPr>
            <w:tcW w:w="1365" w:type="dxa"/>
            <w:tcBorders>
              <w:top w:val="nil"/>
              <w:left w:val="nil"/>
              <w:bottom w:val="single" w:sz="8" w:space="0" w:color="auto"/>
              <w:right w:val="single" w:sz="8" w:space="0" w:color="auto"/>
            </w:tcBorders>
            <w:shd w:val="clear" w:color="000000" w:fill="FCE4D6"/>
            <w:vAlign w:val="center"/>
            <w:hideMark/>
          </w:tcPr>
          <w:p w14:paraId="4584561F"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4,75</w:t>
            </w:r>
          </w:p>
        </w:tc>
      </w:tr>
      <w:tr w:rsidR="00FE461F" w:rsidRPr="005E4BEA" w14:paraId="7BC8EAF3" w14:textId="77777777" w:rsidTr="0051375F">
        <w:trPr>
          <w:trHeight w:val="194"/>
        </w:trPr>
        <w:tc>
          <w:tcPr>
            <w:tcW w:w="536" w:type="dxa"/>
            <w:tcBorders>
              <w:top w:val="nil"/>
              <w:left w:val="nil"/>
              <w:bottom w:val="nil"/>
              <w:right w:val="nil"/>
            </w:tcBorders>
            <w:shd w:val="clear" w:color="auto" w:fill="auto"/>
            <w:vAlign w:val="center"/>
            <w:hideMark/>
          </w:tcPr>
          <w:p w14:paraId="7E09E4D3" w14:textId="77777777" w:rsidR="00FE461F" w:rsidRPr="005E4BEA" w:rsidRDefault="00FE461F" w:rsidP="00FE461F">
            <w:pPr>
              <w:spacing w:line="240" w:lineRule="auto"/>
              <w:jc w:val="both"/>
              <w:rPr>
                <w:rFonts w:cs="Arial"/>
                <w:b/>
                <w:bCs/>
                <w:i/>
                <w:iCs/>
                <w:color w:val="767171"/>
                <w:szCs w:val="20"/>
              </w:rPr>
            </w:pPr>
          </w:p>
        </w:tc>
        <w:tc>
          <w:tcPr>
            <w:tcW w:w="1512" w:type="dxa"/>
            <w:tcBorders>
              <w:top w:val="nil"/>
              <w:left w:val="single" w:sz="8" w:space="0" w:color="auto"/>
              <w:bottom w:val="single" w:sz="8" w:space="0" w:color="auto"/>
              <w:right w:val="single" w:sz="8" w:space="0" w:color="auto"/>
            </w:tcBorders>
            <w:shd w:val="clear" w:color="auto" w:fill="auto"/>
            <w:vAlign w:val="center"/>
            <w:hideMark/>
          </w:tcPr>
          <w:p w14:paraId="5C9C7F38"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w:t>
            </w:r>
          </w:p>
        </w:tc>
        <w:tc>
          <w:tcPr>
            <w:tcW w:w="527" w:type="dxa"/>
            <w:tcBorders>
              <w:top w:val="nil"/>
              <w:left w:val="nil"/>
              <w:bottom w:val="single" w:sz="8" w:space="0" w:color="auto"/>
              <w:right w:val="single" w:sz="8" w:space="0" w:color="auto"/>
            </w:tcBorders>
            <w:shd w:val="clear" w:color="auto" w:fill="auto"/>
            <w:vAlign w:val="center"/>
            <w:hideMark/>
          </w:tcPr>
          <w:p w14:paraId="7AC9636D"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w:t>
            </w:r>
          </w:p>
        </w:tc>
        <w:tc>
          <w:tcPr>
            <w:tcW w:w="476" w:type="dxa"/>
            <w:tcBorders>
              <w:top w:val="nil"/>
              <w:left w:val="nil"/>
              <w:bottom w:val="single" w:sz="8" w:space="0" w:color="auto"/>
              <w:right w:val="single" w:sz="8" w:space="0" w:color="auto"/>
            </w:tcBorders>
            <w:shd w:val="clear" w:color="auto" w:fill="auto"/>
            <w:vAlign w:val="center"/>
            <w:hideMark/>
          </w:tcPr>
          <w:p w14:paraId="1AF855DE"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w:t>
            </w:r>
          </w:p>
        </w:tc>
        <w:tc>
          <w:tcPr>
            <w:tcW w:w="869" w:type="dxa"/>
            <w:tcBorders>
              <w:top w:val="nil"/>
              <w:left w:val="nil"/>
              <w:bottom w:val="single" w:sz="8" w:space="0" w:color="auto"/>
              <w:right w:val="single" w:sz="8" w:space="0" w:color="auto"/>
            </w:tcBorders>
            <w:shd w:val="clear" w:color="000000" w:fill="FCE4D6"/>
            <w:vAlign w:val="center"/>
            <w:hideMark/>
          </w:tcPr>
          <w:p w14:paraId="4402F67F"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xml:space="preserve">cena =2,76 EUR x število točk </w:t>
            </w:r>
          </w:p>
        </w:tc>
        <w:tc>
          <w:tcPr>
            <w:tcW w:w="869" w:type="dxa"/>
            <w:tcBorders>
              <w:top w:val="nil"/>
              <w:left w:val="nil"/>
              <w:bottom w:val="single" w:sz="8" w:space="0" w:color="auto"/>
              <w:right w:val="single" w:sz="8" w:space="0" w:color="auto"/>
            </w:tcBorders>
            <w:shd w:val="clear" w:color="000000" w:fill="FCE4D6"/>
            <w:vAlign w:val="center"/>
            <w:hideMark/>
          </w:tcPr>
          <w:p w14:paraId="40B73F9A"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xml:space="preserve">cena =3,14 EUR x število točk </w:t>
            </w:r>
          </w:p>
        </w:tc>
        <w:tc>
          <w:tcPr>
            <w:tcW w:w="998" w:type="dxa"/>
            <w:tcBorders>
              <w:top w:val="nil"/>
              <w:left w:val="nil"/>
              <w:bottom w:val="single" w:sz="8" w:space="0" w:color="auto"/>
              <w:right w:val="single" w:sz="8" w:space="0" w:color="auto"/>
            </w:tcBorders>
            <w:shd w:val="clear" w:color="000000" w:fill="FCE4D6"/>
            <w:vAlign w:val="center"/>
            <w:hideMark/>
          </w:tcPr>
          <w:p w14:paraId="510FCC23"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xml:space="preserve">cena =4,00 EUR x število točk </w:t>
            </w:r>
          </w:p>
        </w:tc>
        <w:tc>
          <w:tcPr>
            <w:tcW w:w="1126" w:type="dxa"/>
            <w:tcBorders>
              <w:top w:val="nil"/>
              <w:left w:val="nil"/>
              <w:bottom w:val="single" w:sz="8" w:space="0" w:color="auto"/>
              <w:right w:val="single" w:sz="8" w:space="0" w:color="auto"/>
            </w:tcBorders>
            <w:shd w:val="clear" w:color="000000" w:fill="FCE4D6"/>
            <w:vAlign w:val="center"/>
            <w:hideMark/>
          </w:tcPr>
          <w:p w14:paraId="661748B5"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xml:space="preserve">cena =4,33 EUR x število točk </w:t>
            </w:r>
          </w:p>
        </w:tc>
        <w:tc>
          <w:tcPr>
            <w:tcW w:w="1365" w:type="dxa"/>
            <w:tcBorders>
              <w:top w:val="nil"/>
              <w:left w:val="nil"/>
              <w:bottom w:val="single" w:sz="8" w:space="0" w:color="auto"/>
              <w:right w:val="single" w:sz="8" w:space="0" w:color="auto"/>
            </w:tcBorders>
            <w:shd w:val="clear" w:color="000000" w:fill="FCE4D6"/>
            <w:vAlign w:val="center"/>
            <w:hideMark/>
          </w:tcPr>
          <w:p w14:paraId="264D3A79"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 xml:space="preserve">cena =4,75 EUR x število točk </w:t>
            </w:r>
          </w:p>
        </w:tc>
      </w:tr>
      <w:tr w:rsidR="00FE461F" w:rsidRPr="005E4BEA" w14:paraId="636AD173" w14:textId="77777777" w:rsidTr="0051375F">
        <w:trPr>
          <w:trHeight w:val="512"/>
        </w:trPr>
        <w:tc>
          <w:tcPr>
            <w:tcW w:w="536" w:type="dxa"/>
            <w:tcBorders>
              <w:top w:val="single" w:sz="8" w:space="0" w:color="000000"/>
              <w:left w:val="single" w:sz="8" w:space="0" w:color="000000"/>
              <w:bottom w:val="single" w:sz="8" w:space="0" w:color="000000"/>
              <w:right w:val="nil"/>
            </w:tcBorders>
            <w:shd w:val="clear" w:color="auto" w:fill="auto"/>
            <w:noWrap/>
            <w:vAlign w:val="center"/>
            <w:hideMark/>
          </w:tcPr>
          <w:p w14:paraId="65EA78EA"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31010</w:t>
            </w:r>
          </w:p>
        </w:tc>
        <w:tc>
          <w:tcPr>
            <w:tcW w:w="1512" w:type="dxa"/>
            <w:tcBorders>
              <w:top w:val="nil"/>
              <w:left w:val="single" w:sz="8" w:space="0" w:color="auto"/>
              <w:bottom w:val="single" w:sz="8" w:space="0" w:color="auto"/>
              <w:right w:val="single" w:sz="8" w:space="0" w:color="auto"/>
            </w:tcBorders>
            <w:shd w:val="clear" w:color="auto" w:fill="auto"/>
            <w:vAlign w:val="center"/>
            <w:hideMark/>
          </w:tcPr>
          <w:p w14:paraId="6F2DA6F6"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Slikanje zob navadni posnetek - tudi </w:t>
            </w:r>
            <w:proofErr w:type="spellStart"/>
            <w:r w:rsidRPr="005E4BEA">
              <w:rPr>
                <w:rFonts w:cs="Arial"/>
                <w:i/>
                <w:iCs/>
                <w:color w:val="767171"/>
                <w:szCs w:val="20"/>
              </w:rPr>
              <w:t>odčitanje</w:t>
            </w:r>
            <w:proofErr w:type="spellEnd"/>
            <w:r w:rsidRPr="005E4BEA">
              <w:rPr>
                <w:rFonts w:cs="Arial"/>
                <w:i/>
                <w:iCs/>
                <w:color w:val="767171"/>
                <w:szCs w:val="20"/>
              </w:rPr>
              <w:t xml:space="preserve"> posnetka (vsaka ekspozicija)</w:t>
            </w:r>
          </w:p>
        </w:tc>
        <w:tc>
          <w:tcPr>
            <w:tcW w:w="527" w:type="dxa"/>
            <w:tcBorders>
              <w:top w:val="nil"/>
              <w:left w:val="nil"/>
              <w:bottom w:val="single" w:sz="8" w:space="0" w:color="auto"/>
              <w:right w:val="single" w:sz="8" w:space="0" w:color="auto"/>
            </w:tcBorders>
            <w:shd w:val="clear" w:color="auto" w:fill="auto"/>
            <w:noWrap/>
            <w:vAlign w:val="center"/>
            <w:hideMark/>
          </w:tcPr>
          <w:p w14:paraId="456B122B"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Točka</w:t>
            </w:r>
          </w:p>
        </w:tc>
        <w:tc>
          <w:tcPr>
            <w:tcW w:w="476" w:type="dxa"/>
            <w:tcBorders>
              <w:top w:val="nil"/>
              <w:left w:val="nil"/>
              <w:bottom w:val="single" w:sz="8" w:space="0" w:color="auto"/>
              <w:right w:val="single" w:sz="8" w:space="0" w:color="auto"/>
            </w:tcBorders>
            <w:shd w:val="clear" w:color="000000" w:fill="FCE4D6"/>
            <w:noWrap/>
            <w:vAlign w:val="center"/>
            <w:hideMark/>
          </w:tcPr>
          <w:p w14:paraId="37A4DD8E"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2,13</w:t>
            </w:r>
          </w:p>
        </w:tc>
        <w:tc>
          <w:tcPr>
            <w:tcW w:w="869" w:type="dxa"/>
            <w:tcBorders>
              <w:top w:val="nil"/>
              <w:left w:val="nil"/>
              <w:bottom w:val="single" w:sz="8" w:space="0" w:color="auto"/>
              <w:right w:val="single" w:sz="8" w:space="0" w:color="auto"/>
            </w:tcBorders>
            <w:shd w:val="clear" w:color="auto" w:fill="auto"/>
            <w:noWrap/>
            <w:vAlign w:val="center"/>
            <w:hideMark/>
          </w:tcPr>
          <w:p w14:paraId="4AD45392"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5,88</w:t>
            </w:r>
          </w:p>
        </w:tc>
        <w:tc>
          <w:tcPr>
            <w:tcW w:w="869" w:type="dxa"/>
            <w:tcBorders>
              <w:top w:val="nil"/>
              <w:left w:val="nil"/>
              <w:bottom w:val="single" w:sz="8" w:space="0" w:color="auto"/>
              <w:right w:val="single" w:sz="8" w:space="0" w:color="auto"/>
            </w:tcBorders>
            <w:shd w:val="clear" w:color="auto" w:fill="auto"/>
            <w:noWrap/>
            <w:vAlign w:val="center"/>
            <w:hideMark/>
          </w:tcPr>
          <w:p w14:paraId="4E96F0B7"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6,69</w:t>
            </w:r>
          </w:p>
        </w:tc>
        <w:tc>
          <w:tcPr>
            <w:tcW w:w="998" w:type="dxa"/>
            <w:tcBorders>
              <w:top w:val="nil"/>
              <w:left w:val="nil"/>
              <w:bottom w:val="single" w:sz="8" w:space="0" w:color="auto"/>
              <w:right w:val="single" w:sz="8" w:space="0" w:color="auto"/>
            </w:tcBorders>
            <w:shd w:val="clear" w:color="auto" w:fill="auto"/>
            <w:noWrap/>
            <w:vAlign w:val="center"/>
            <w:hideMark/>
          </w:tcPr>
          <w:p w14:paraId="0F9D6CCF"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8,52</w:t>
            </w:r>
          </w:p>
        </w:tc>
        <w:tc>
          <w:tcPr>
            <w:tcW w:w="1126" w:type="dxa"/>
            <w:tcBorders>
              <w:top w:val="nil"/>
              <w:left w:val="nil"/>
              <w:bottom w:val="single" w:sz="8" w:space="0" w:color="auto"/>
              <w:right w:val="single" w:sz="8" w:space="0" w:color="auto"/>
            </w:tcBorders>
            <w:shd w:val="clear" w:color="auto" w:fill="auto"/>
            <w:noWrap/>
            <w:vAlign w:val="center"/>
            <w:hideMark/>
          </w:tcPr>
          <w:p w14:paraId="2563E9E3"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9,22</w:t>
            </w:r>
          </w:p>
        </w:tc>
        <w:tc>
          <w:tcPr>
            <w:tcW w:w="1365" w:type="dxa"/>
            <w:tcBorders>
              <w:top w:val="nil"/>
              <w:left w:val="nil"/>
              <w:bottom w:val="single" w:sz="8" w:space="0" w:color="auto"/>
              <w:right w:val="single" w:sz="8" w:space="0" w:color="auto"/>
            </w:tcBorders>
            <w:shd w:val="clear" w:color="auto" w:fill="auto"/>
            <w:noWrap/>
            <w:vAlign w:val="center"/>
            <w:hideMark/>
          </w:tcPr>
          <w:p w14:paraId="05107525"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10,12</w:t>
            </w:r>
          </w:p>
        </w:tc>
      </w:tr>
      <w:tr w:rsidR="00FE461F" w:rsidRPr="005E4BEA" w14:paraId="3D0F6EA9" w14:textId="77777777" w:rsidTr="0051375F">
        <w:trPr>
          <w:trHeight w:val="98"/>
        </w:trPr>
        <w:tc>
          <w:tcPr>
            <w:tcW w:w="536" w:type="dxa"/>
            <w:tcBorders>
              <w:top w:val="nil"/>
              <w:left w:val="single" w:sz="8" w:space="0" w:color="000000"/>
              <w:bottom w:val="single" w:sz="8" w:space="0" w:color="000000"/>
              <w:right w:val="nil"/>
            </w:tcBorders>
            <w:shd w:val="clear" w:color="auto" w:fill="auto"/>
            <w:noWrap/>
            <w:vAlign w:val="center"/>
            <w:hideMark/>
          </w:tcPr>
          <w:p w14:paraId="13F20DC9"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31011</w:t>
            </w:r>
          </w:p>
        </w:tc>
        <w:tc>
          <w:tcPr>
            <w:tcW w:w="1512" w:type="dxa"/>
            <w:tcBorders>
              <w:top w:val="nil"/>
              <w:left w:val="single" w:sz="8" w:space="0" w:color="auto"/>
              <w:bottom w:val="single" w:sz="8" w:space="0" w:color="auto"/>
              <w:right w:val="single" w:sz="8" w:space="0" w:color="auto"/>
            </w:tcBorders>
            <w:shd w:val="clear" w:color="auto" w:fill="auto"/>
            <w:noWrap/>
            <w:vAlign w:val="center"/>
            <w:hideMark/>
          </w:tcPr>
          <w:p w14:paraId="480785CD"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Spec. slikanje zob - kratki tubus</w:t>
            </w:r>
          </w:p>
        </w:tc>
        <w:tc>
          <w:tcPr>
            <w:tcW w:w="527" w:type="dxa"/>
            <w:tcBorders>
              <w:top w:val="nil"/>
              <w:left w:val="nil"/>
              <w:bottom w:val="single" w:sz="8" w:space="0" w:color="auto"/>
              <w:right w:val="single" w:sz="8" w:space="0" w:color="auto"/>
            </w:tcBorders>
            <w:shd w:val="clear" w:color="auto" w:fill="auto"/>
            <w:noWrap/>
            <w:vAlign w:val="center"/>
            <w:hideMark/>
          </w:tcPr>
          <w:p w14:paraId="63A4E2A3"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Točka</w:t>
            </w:r>
          </w:p>
        </w:tc>
        <w:tc>
          <w:tcPr>
            <w:tcW w:w="476" w:type="dxa"/>
            <w:tcBorders>
              <w:top w:val="nil"/>
              <w:left w:val="nil"/>
              <w:bottom w:val="single" w:sz="8" w:space="0" w:color="auto"/>
              <w:right w:val="single" w:sz="8" w:space="0" w:color="auto"/>
            </w:tcBorders>
            <w:shd w:val="clear" w:color="000000" w:fill="FCE4D6"/>
            <w:noWrap/>
            <w:vAlign w:val="center"/>
            <w:hideMark/>
          </w:tcPr>
          <w:p w14:paraId="479766E6"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2,95</w:t>
            </w:r>
          </w:p>
        </w:tc>
        <w:tc>
          <w:tcPr>
            <w:tcW w:w="869" w:type="dxa"/>
            <w:tcBorders>
              <w:top w:val="nil"/>
              <w:left w:val="nil"/>
              <w:bottom w:val="single" w:sz="8" w:space="0" w:color="auto"/>
              <w:right w:val="single" w:sz="8" w:space="0" w:color="auto"/>
            </w:tcBorders>
            <w:shd w:val="clear" w:color="auto" w:fill="auto"/>
            <w:noWrap/>
            <w:vAlign w:val="center"/>
            <w:hideMark/>
          </w:tcPr>
          <w:p w14:paraId="16535DAC"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8,14</w:t>
            </w:r>
          </w:p>
        </w:tc>
        <w:tc>
          <w:tcPr>
            <w:tcW w:w="869" w:type="dxa"/>
            <w:tcBorders>
              <w:top w:val="nil"/>
              <w:left w:val="nil"/>
              <w:bottom w:val="single" w:sz="8" w:space="0" w:color="auto"/>
              <w:right w:val="single" w:sz="8" w:space="0" w:color="auto"/>
            </w:tcBorders>
            <w:shd w:val="clear" w:color="auto" w:fill="auto"/>
            <w:noWrap/>
            <w:vAlign w:val="center"/>
            <w:hideMark/>
          </w:tcPr>
          <w:p w14:paraId="173D5A57"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9,26</w:t>
            </w:r>
          </w:p>
        </w:tc>
        <w:tc>
          <w:tcPr>
            <w:tcW w:w="998" w:type="dxa"/>
            <w:tcBorders>
              <w:top w:val="nil"/>
              <w:left w:val="nil"/>
              <w:bottom w:val="single" w:sz="8" w:space="0" w:color="auto"/>
              <w:right w:val="single" w:sz="8" w:space="0" w:color="auto"/>
            </w:tcBorders>
            <w:shd w:val="clear" w:color="auto" w:fill="auto"/>
            <w:noWrap/>
            <w:vAlign w:val="center"/>
            <w:hideMark/>
          </w:tcPr>
          <w:p w14:paraId="27BF80B1"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11,8</w:t>
            </w:r>
          </w:p>
        </w:tc>
        <w:tc>
          <w:tcPr>
            <w:tcW w:w="1126" w:type="dxa"/>
            <w:tcBorders>
              <w:top w:val="nil"/>
              <w:left w:val="nil"/>
              <w:bottom w:val="single" w:sz="8" w:space="0" w:color="auto"/>
              <w:right w:val="single" w:sz="8" w:space="0" w:color="auto"/>
            </w:tcBorders>
            <w:shd w:val="clear" w:color="auto" w:fill="auto"/>
            <w:noWrap/>
            <w:vAlign w:val="center"/>
            <w:hideMark/>
          </w:tcPr>
          <w:p w14:paraId="78B8CBE8"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12,77</w:t>
            </w:r>
          </w:p>
        </w:tc>
        <w:tc>
          <w:tcPr>
            <w:tcW w:w="1365" w:type="dxa"/>
            <w:tcBorders>
              <w:top w:val="nil"/>
              <w:left w:val="nil"/>
              <w:bottom w:val="single" w:sz="8" w:space="0" w:color="auto"/>
              <w:right w:val="single" w:sz="8" w:space="0" w:color="auto"/>
            </w:tcBorders>
            <w:shd w:val="clear" w:color="auto" w:fill="auto"/>
            <w:noWrap/>
            <w:vAlign w:val="center"/>
            <w:hideMark/>
          </w:tcPr>
          <w:p w14:paraId="647379AB"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14,01</w:t>
            </w:r>
          </w:p>
        </w:tc>
      </w:tr>
      <w:tr w:rsidR="00FE461F" w:rsidRPr="005E4BEA" w14:paraId="2C62548B" w14:textId="77777777" w:rsidTr="0051375F">
        <w:trPr>
          <w:trHeight w:val="194"/>
        </w:trPr>
        <w:tc>
          <w:tcPr>
            <w:tcW w:w="536" w:type="dxa"/>
            <w:tcBorders>
              <w:top w:val="nil"/>
              <w:left w:val="single" w:sz="8" w:space="0" w:color="000000"/>
              <w:bottom w:val="single" w:sz="8" w:space="0" w:color="000000"/>
              <w:right w:val="nil"/>
            </w:tcBorders>
            <w:shd w:val="clear" w:color="000000" w:fill="FFFFFF"/>
            <w:noWrap/>
            <w:vAlign w:val="center"/>
            <w:hideMark/>
          </w:tcPr>
          <w:p w14:paraId="1415258F"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31012</w:t>
            </w:r>
          </w:p>
        </w:tc>
        <w:tc>
          <w:tcPr>
            <w:tcW w:w="1512" w:type="dxa"/>
            <w:tcBorders>
              <w:top w:val="nil"/>
              <w:left w:val="single" w:sz="8" w:space="0" w:color="auto"/>
              <w:bottom w:val="single" w:sz="8" w:space="0" w:color="auto"/>
              <w:right w:val="single" w:sz="8" w:space="0" w:color="auto"/>
            </w:tcBorders>
            <w:shd w:val="clear" w:color="000000" w:fill="FFFFFF"/>
            <w:vAlign w:val="center"/>
            <w:hideMark/>
          </w:tcPr>
          <w:p w14:paraId="0A4EA277"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Spec. slikanje zob - dolgi tubus</w:t>
            </w:r>
          </w:p>
        </w:tc>
        <w:tc>
          <w:tcPr>
            <w:tcW w:w="527" w:type="dxa"/>
            <w:tcBorders>
              <w:top w:val="nil"/>
              <w:left w:val="nil"/>
              <w:bottom w:val="single" w:sz="8" w:space="0" w:color="auto"/>
              <w:right w:val="single" w:sz="8" w:space="0" w:color="auto"/>
            </w:tcBorders>
            <w:shd w:val="clear" w:color="000000" w:fill="FFFFFF"/>
            <w:noWrap/>
            <w:vAlign w:val="center"/>
            <w:hideMark/>
          </w:tcPr>
          <w:p w14:paraId="05BB5599"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Točka</w:t>
            </w:r>
          </w:p>
        </w:tc>
        <w:tc>
          <w:tcPr>
            <w:tcW w:w="476" w:type="dxa"/>
            <w:tcBorders>
              <w:top w:val="nil"/>
              <w:left w:val="nil"/>
              <w:bottom w:val="single" w:sz="8" w:space="0" w:color="auto"/>
              <w:right w:val="single" w:sz="8" w:space="0" w:color="auto"/>
            </w:tcBorders>
            <w:shd w:val="clear" w:color="000000" w:fill="FCE4D6"/>
            <w:vAlign w:val="center"/>
            <w:hideMark/>
          </w:tcPr>
          <w:p w14:paraId="7ECF820E"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4,15</w:t>
            </w:r>
          </w:p>
        </w:tc>
        <w:tc>
          <w:tcPr>
            <w:tcW w:w="869" w:type="dxa"/>
            <w:tcBorders>
              <w:top w:val="nil"/>
              <w:left w:val="nil"/>
              <w:bottom w:val="single" w:sz="8" w:space="0" w:color="auto"/>
              <w:right w:val="single" w:sz="8" w:space="0" w:color="auto"/>
            </w:tcBorders>
            <w:shd w:val="clear" w:color="auto" w:fill="auto"/>
            <w:noWrap/>
            <w:vAlign w:val="center"/>
            <w:hideMark/>
          </w:tcPr>
          <w:p w14:paraId="79BD4B1E"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11,45</w:t>
            </w:r>
          </w:p>
        </w:tc>
        <w:tc>
          <w:tcPr>
            <w:tcW w:w="869" w:type="dxa"/>
            <w:tcBorders>
              <w:top w:val="nil"/>
              <w:left w:val="nil"/>
              <w:bottom w:val="single" w:sz="8" w:space="0" w:color="auto"/>
              <w:right w:val="single" w:sz="8" w:space="0" w:color="auto"/>
            </w:tcBorders>
            <w:shd w:val="clear" w:color="auto" w:fill="auto"/>
            <w:noWrap/>
            <w:vAlign w:val="center"/>
            <w:hideMark/>
          </w:tcPr>
          <w:p w14:paraId="6DF7BDCC"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13,03</w:t>
            </w:r>
          </w:p>
        </w:tc>
        <w:tc>
          <w:tcPr>
            <w:tcW w:w="998" w:type="dxa"/>
            <w:tcBorders>
              <w:top w:val="nil"/>
              <w:left w:val="nil"/>
              <w:bottom w:val="single" w:sz="8" w:space="0" w:color="auto"/>
              <w:right w:val="single" w:sz="8" w:space="0" w:color="auto"/>
            </w:tcBorders>
            <w:shd w:val="clear" w:color="auto" w:fill="auto"/>
            <w:noWrap/>
            <w:vAlign w:val="center"/>
            <w:hideMark/>
          </w:tcPr>
          <w:p w14:paraId="54393DB5"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16,6</w:t>
            </w:r>
          </w:p>
        </w:tc>
        <w:tc>
          <w:tcPr>
            <w:tcW w:w="1126" w:type="dxa"/>
            <w:tcBorders>
              <w:top w:val="nil"/>
              <w:left w:val="nil"/>
              <w:bottom w:val="single" w:sz="8" w:space="0" w:color="auto"/>
              <w:right w:val="single" w:sz="8" w:space="0" w:color="auto"/>
            </w:tcBorders>
            <w:shd w:val="clear" w:color="auto" w:fill="auto"/>
            <w:noWrap/>
            <w:vAlign w:val="center"/>
            <w:hideMark/>
          </w:tcPr>
          <w:p w14:paraId="330139AC"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17,97</w:t>
            </w:r>
          </w:p>
        </w:tc>
        <w:tc>
          <w:tcPr>
            <w:tcW w:w="1365" w:type="dxa"/>
            <w:tcBorders>
              <w:top w:val="nil"/>
              <w:left w:val="nil"/>
              <w:bottom w:val="single" w:sz="8" w:space="0" w:color="auto"/>
              <w:right w:val="single" w:sz="8" w:space="0" w:color="auto"/>
            </w:tcBorders>
            <w:shd w:val="clear" w:color="auto" w:fill="auto"/>
            <w:noWrap/>
            <w:vAlign w:val="center"/>
            <w:hideMark/>
          </w:tcPr>
          <w:p w14:paraId="510E4B0F"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19,71</w:t>
            </w:r>
          </w:p>
        </w:tc>
      </w:tr>
      <w:tr w:rsidR="00FE461F" w:rsidRPr="005E4BEA" w14:paraId="14B05CE2" w14:textId="77777777" w:rsidTr="0051375F">
        <w:trPr>
          <w:trHeight w:val="98"/>
        </w:trPr>
        <w:tc>
          <w:tcPr>
            <w:tcW w:w="536" w:type="dxa"/>
            <w:tcBorders>
              <w:top w:val="nil"/>
              <w:left w:val="single" w:sz="8" w:space="0" w:color="000000"/>
              <w:bottom w:val="single" w:sz="8" w:space="0" w:color="000000"/>
              <w:right w:val="nil"/>
            </w:tcBorders>
            <w:shd w:val="clear" w:color="auto" w:fill="auto"/>
            <w:noWrap/>
            <w:vAlign w:val="center"/>
            <w:hideMark/>
          </w:tcPr>
          <w:p w14:paraId="53522705"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31060</w:t>
            </w:r>
          </w:p>
        </w:tc>
        <w:tc>
          <w:tcPr>
            <w:tcW w:w="1512" w:type="dxa"/>
            <w:tcBorders>
              <w:top w:val="nil"/>
              <w:left w:val="single" w:sz="8" w:space="0" w:color="auto"/>
              <w:bottom w:val="single" w:sz="8" w:space="0" w:color="auto"/>
              <w:right w:val="single" w:sz="8" w:space="0" w:color="auto"/>
            </w:tcBorders>
            <w:shd w:val="clear" w:color="auto" w:fill="auto"/>
            <w:noWrap/>
            <w:vAlign w:val="center"/>
            <w:hideMark/>
          </w:tcPr>
          <w:p w14:paraId="11AFD272" w14:textId="77777777" w:rsidR="00FE461F" w:rsidRPr="005E4BEA" w:rsidRDefault="00FE461F" w:rsidP="00FE461F">
            <w:pPr>
              <w:spacing w:line="240" w:lineRule="auto"/>
              <w:jc w:val="both"/>
              <w:rPr>
                <w:rFonts w:cs="Arial"/>
                <w:i/>
                <w:iCs/>
                <w:color w:val="767171"/>
                <w:szCs w:val="20"/>
              </w:rPr>
            </w:pPr>
            <w:proofErr w:type="spellStart"/>
            <w:r w:rsidRPr="005E4BEA">
              <w:rPr>
                <w:rFonts w:cs="Arial"/>
                <w:i/>
                <w:iCs/>
                <w:color w:val="767171"/>
                <w:szCs w:val="20"/>
              </w:rPr>
              <w:t>Ortopantomografsko</w:t>
            </w:r>
            <w:proofErr w:type="spellEnd"/>
            <w:r w:rsidRPr="005E4BEA">
              <w:rPr>
                <w:rFonts w:cs="Arial"/>
                <w:i/>
                <w:iCs/>
                <w:color w:val="767171"/>
                <w:szCs w:val="20"/>
              </w:rPr>
              <w:t xml:space="preserve"> slikanje idr. </w:t>
            </w:r>
          </w:p>
        </w:tc>
        <w:tc>
          <w:tcPr>
            <w:tcW w:w="527" w:type="dxa"/>
            <w:tcBorders>
              <w:top w:val="nil"/>
              <w:left w:val="nil"/>
              <w:bottom w:val="single" w:sz="8" w:space="0" w:color="auto"/>
              <w:right w:val="single" w:sz="8" w:space="0" w:color="auto"/>
            </w:tcBorders>
            <w:shd w:val="clear" w:color="auto" w:fill="auto"/>
            <w:noWrap/>
            <w:vAlign w:val="center"/>
            <w:hideMark/>
          </w:tcPr>
          <w:p w14:paraId="21291AE9"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Točka</w:t>
            </w:r>
          </w:p>
        </w:tc>
        <w:tc>
          <w:tcPr>
            <w:tcW w:w="476" w:type="dxa"/>
            <w:tcBorders>
              <w:top w:val="nil"/>
              <w:left w:val="nil"/>
              <w:bottom w:val="single" w:sz="8" w:space="0" w:color="auto"/>
              <w:right w:val="single" w:sz="8" w:space="0" w:color="auto"/>
            </w:tcBorders>
            <w:shd w:val="clear" w:color="000000" w:fill="FCE4D6"/>
            <w:noWrap/>
            <w:vAlign w:val="center"/>
            <w:hideMark/>
          </w:tcPr>
          <w:p w14:paraId="40FA18AA"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2,65</w:t>
            </w:r>
          </w:p>
        </w:tc>
        <w:tc>
          <w:tcPr>
            <w:tcW w:w="869" w:type="dxa"/>
            <w:tcBorders>
              <w:top w:val="nil"/>
              <w:left w:val="nil"/>
              <w:bottom w:val="single" w:sz="8" w:space="0" w:color="auto"/>
              <w:right w:val="single" w:sz="8" w:space="0" w:color="auto"/>
            </w:tcBorders>
            <w:shd w:val="clear" w:color="auto" w:fill="auto"/>
            <w:noWrap/>
            <w:vAlign w:val="center"/>
            <w:hideMark/>
          </w:tcPr>
          <w:p w14:paraId="5590F830"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7,31</w:t>
            </w:r>
          </w:p>
        </w:tc>
        <w:tc>
          <w:tcPr>
            <w:tcW w:w="869" w:type="dxa"/>
            <w:tcBorders>
              <w:top w:val="nil"/>
              <w:left w:val="nil"/>
              <w:bottom w:val="single" w:sz="8" w:space="0" w:color="auto"/>
              <w:right w:val="single" w:sz="8" w:space="0" w:color="auto"/>
            </w:tcBorders>
            <w:shd w:val="clear" w:color="auto" w:fill="auto"/>
            <w:noWrap/>
            <w:vAlign w:val="center"/>
            <w:hideMark/>
          </w:tcPr>
          <w:p w14:paraId="358E3FC0"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8,32</w:t>
            </w:r>
          </w:p>
        </w:tc>
        <w:tc>
          <w:tcPr>
            <w:tcW w:w="998" w:type="dxa"/>
            <w:tcBorders>
              <w:top w:val="nil"/>
              <w:left w:val="nil"/>
              <w:bottom w:val="single" w:sz="8" w:space="0" w:color="auto"/>
              <w:right w:val="single" w:sz="8" w:space="0" w:color="auto"/>
            </w:tcBorders>
            <w:shd w:val="clear" w:color="auto" w:fill="auto"/>
            <w:noWrap/>
            <w:vAlign w:val="center"/>
            <w:hideMark/>
          </w:tcPr>
          <w:p w14:paraId="2D307B53"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10,6</w:t>
            </w:r>
          </w:p>
        </w:tc>
        <w:tc>
          <w:tcPr>
            <w:tcW w:w="1126" w:type="dxa"/>
            <w:tcBorders>
              <w:top w:val="nil"/>
              <w:left w:val="nil"/>
              <w:bottom w:val="single" w:sz="8" w:space="0" w:color="auto"/>
              <w:right w:val="single" w:sz="8" w:space="0" w:color="auto"/>
            </w:tcBorders>
            <w:shd w:val="clear" w:color="auto" w:fill="auto"/>
            <w:noWrap/>
            <w:vAlign w:val="center"/>
            <w:hideMark/>
          </w:tcPr>
          <w:p w14:paraId="37F7D913"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11,47</w:t>
            </w:r>
          </w:p>
        </w:tc>
        <w:tc>
          <w:tcPr>
            <w:tcW w:w="1365" w:type="dxa"/>
            <w:tcBorders>
              <w:top w:val="nil"/>
              <w:left w:val="nil"/>
              <w:bottom w:val="single" w:sz="8" w:space="0" w:color="auto"/>
              <w:right w:val="single" w:sz="8" w:space="0" w:color="auto"/>
            </w:tcBorders>
            <w:shd w:val="clear" w:color="auto" w:fill="auto"/>
            <w:noWrap/>
            <w:vAlign w:val="center"/>
            <w:hideMark/>
          </w:tcPr>
          <w:p w14:paraId="3A4F710A"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12,59</w:t>
            </w:r>
          </w:p>
        </w:tc>
      </w:tr>
      <w:tr w:rsidR="00FE461F" w:rsidRPr="005E4BEA" w14:paraId="076DACAF" w14:textId="77777777" w:rsidTr="0051375F">
        <w:trPr>
          <w:trHeight w:val="98"/>
        </w:trPr>
        <w:tc>
          <w:tcPr>
            <w:tcW w:w="536" w:type="dxa"/>
            <w:tcBorders>
              <w:top w:val="nil"/>
              <w:left w:val="single" w:sz="8" w:space="0" w:color="000000"/>
              <w:bottom w:val="single" w:sz="8" w:space="0" w:color="000000"/>
              <w:right w:val="nil"/>
            </w:tcBorders>
            <w:shd w:val="clear" w:color="auto" w:fill="auto"/>
            <w:noWrap/>
            <w:vAlign w:val="center"/>
            <w:hideMark/>
          </w:tcPr>
          <w:p w14:paraId="4CE8122F"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31061</w:t>
            </w:r>
          </w:p>
        </w:tc>
        <w:tc>
          <w:tcPr>
            <w:tcW w:w="1512" w:type="dxa"/>
            <w:tcBorders>
              <w:top w:val="nil"/>
              <w:left w:val="single" w:sz="8" w:space="0" w:color="auto"/>
              <w:bottom w:val="single" w:sz="8" w:space="0" w:color="auto"/>
              <w:right w:val="single" w:sz="8" w:space="0" w:color="auto"/>
            </w:tcBorders>
            <w:shd w:val="clear" w:color="auto" w:fill="auto"/>
            <w:noWrap/>
            <w:vAlign w:val="center"/>
            <w:hideMark/>
          </w:tcPr>
          <w:p w14:paraId="7E0E64DF" w14:textId="77777777" w:rsidR="00FE461F" w:rsidRPr="005E4BEA" w:rsidRDefault="00FE461F" w:rsidP="00FE461F">
            <w:pPr>
              <w:spacing w:line="240" w:lineRule="auto"/>
              <w:jc w:val="both"/>
              <w:rPr>
                <w:rFonts w:cs="Arial"/>
                <w:i/>
                <w:iCs/>
                <w:color w:val="767171"/>
                <w:szCs w:val="20"/>
              </w:rPr>
            </w:pPr>
            <w:proofErr w:type="spellStart"/>
            <w:r w:rsidRPr="005E4BEA">
              <w:rPr>
                <w:rFonts w:cs="Arial"/>
                <w:i/>
                <w:iCs/>
                <w:color w:val="767171"/>
                <w:szCs w:val="20"/>
              </w:rPr>
              <w:t>Telerentgensko</w:t>
            </w:r>
            <w:proofErr w:type="spellEnd"/>
            <w:r w:rsidRPr="005E4BEA">
              <w:rPr>
                <w:rFonts w:cs="Arial"/>
                <w:i/>
                <w:iCs/>
                <w:color w:val="767171"/>
                <w:szCs w:val="20"/>
              </w:rPr>
              <w:t xml:space="preserve"> slikanje glave</w:t>
            </w:r>
          </w:p>
        </w:tc>
        <w:tc>
          <w:tcPr>
            <w:tcW w:w="527" w:type="dxa"/>
            <w:tcBorders>
              <w:top w:val="nil"/>
              <w:left w:val="nil"/>
              <w:bottom w:val="single" w:sz="8" w:space="0" w:color="auto"/>
              <w:right w:val="single" w:sz="8" w:space="0" w:color="auto"/>
            </w:tcBorders>
            <w:shd w:val="clear" w:color="auto" w:fill="auto"/>
            <w:noWrap/>
            <w:vAlign w:val="center"/>
            <w:hideMark/>
          </w:tcPr>
          <w:p w14:paraId="0940AA03"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Točka</w:t>
            </w:r>
          </w:p>
        </w:tc>
        <w:tc>
          <w:tcPr>
            <w:tcW w:w="476" w:type="dxa"/>
            <w:tcBorders>
              <w:top w:val="nil"/>
              <w:left w:val="nil"/>
              <w:bottom w:val="single" w:sz="8" w:space="0" w:color="auto"/>
              <w:right w:val="single" w:sz="8" w:space="0" w:color="auto"/>
            </w:tcBorders>
            <w:shd w:val="clear" w:color="000000" w:fill="FCE4D6"/>
            <w:noWrap/>
            <w:vAlign w:val="center"/>
            <w:hideMark/>
          </w:tcPr>
          <w:p w14:paraId="10C6F741" w14:textId="77777777" w:rsidR="00FE461F" w:rsidRPr="005E4BEA" w:rsidRDefault="00FE461F" w:rsidP="00FE461F">
            <w:pPr>
              <w:spacing w:line="240" w:lineRule="auto"/>
              <w:jc w:val="both"/>
              <w:rPr>
                <w:rFonts w:cs="Arial"/>
                <w:b/>
                <w:bCs/>
                <w:i/>
                <w:iCs/>
                <w:color w:val="767171"/>
                <w:szCs w:val="20"/>
              </w:rPr>
            </w:pPr>
            <w:r w:rsidRPr="005E4BEA">
              <w:rPr>
                <w:rFonts w:cs="Arial"/>
                <w:b/>
                <w:bCs/>
                <w:i/>
                <w:iCs/>
                <w:color w:val="767171"/>
                <w:szCs w:val="20"/>
              </w:rPr>
              <w:t>11,4</w:t>
            </w:r>
          </w:p>
        </w:tc>
        <w:tc>
          <w:tcPr>
            <w:tcW w:w="869" w:type="dxa"/>
            <w:tcBorders>
              <w:top w:val="nil"/>
              <w:left w:val="nil"/>
              <w:bottom w:val="single" w:sz="8" w:space="0" w:color="auto"/>
              <w:right w:val="single" w:sz="8" w:space="0" w:color="auto"/>
            </w:tcBorders>
            <w:shd w:val="clear" w:color="auto" w:fill="auto"/>
            <w:noWrap/>
            <w:vAlign w:val="center"/>
            <w:hideMark/>
          </w:tcPr>
          <w:p w14:paraId="3C083B00"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31,46</w:t>
            </w:r>
          </w:p>
        </w:tc>
        <w:tc>
          <w:tcPr>
            <w:tcW w:w="869" w:type="dxa"/>
            <w:tcBorders>
              <w:top w:val="nil"/>
              <w:left w:val="nil"/>
              <w:bottom w:val="single" w:sz="8" w:space="0" w:color="auto"/>
              <w:right w:val="single" w:sz="8" w:space="0" w:color="auto"/>
            </w:tcBorders>
            <w:shd w:val="clear" w:color="auto" w:fill="auto"/>
            <w:noWrap/>
            <w:vAlign w:val="center"/>
            <w:hideMark/>
          </w:tcPr>
          <w:p w14:paraId="22CC464B"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35,8</w:t>
            </w:r>
          </w:p>
        </w:tc>
        <w:tc>
          <w:tcPr>
            <w:tcW w:w="998" w:type="dxa"/>
            <w:tcBorders>
              <w:top w:val="nil"/>
              <w:left w:val="nil"/>
              <w:bottom w:val="single" w:sz="8" w:space="0" w:color="auto"/>
              <w:right w:val="single" w:sz="8" w:space="0" w:color="auto"/>
            </w:tcBorders>
            <w:shd w:val="clear" w:color="auto" w:fill="auto"/>
            <w:noWrap/>
            <w:vAlign w:val="center"/>
            <w:hideMark/>
          </w:tcPr>
          <w:p w14:paraId="11B1762D"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45,6</w:t>
            </w:r>
          </w:p>
        </w:tc>
        <w:tc>
          <w:tcPr>
            <w:tcW w:w="1126" w:type="dxa"/>
            <w:tcBorders>
              <w:top w:val="nil"/>
              <w:left w:val="nil"/>
              <w:bottom w:val="single" w:sz="8" w:space="0" w:color="auto"/>
              <w:right w:val="single" w:sz="8" w:space="0" w:color="auto"/>
            </w:tcBorders>
            <w:shd w:val="clear" w:color="auto" w:fill="auto"/>
            <w:noWrap/>
            <w:vAlign w:val="center"/>
            <w:hideMark/>
          </w:tcPr>
          <w:p w14:paraId="600F6866"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49,36</w:t>
            </w:r>
          </w:p>
        </w:tc>
        <w:tc>
          <w:tcPr>
            <w:tcW w:w="1365" w:type="dxa"/>
            <w:tcBorders>
              <w:top w:val="nil"/>
              <w:left w:val="nil"/>
              <w:bottom w:val="single" w:sz="8" w:space="0" w:color="auto"/>
              <w:right w:val="single" w:sz="8" w:space="0" w:color="auto"/>
            </w:tcBorders>
            <w:shd w:val="clear" w:color="auto" w:fill="auto"/>
            <w:noWrap/>
            <w:vAlign w:val="center"/>
            <w:hideMark/>
          </w:tcPr>
          <w:p w14:paraId="4A24F8E8"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54,15</w:t>
            </w:r>
          </w:p>
        </w:tc>
      </w:tr>
    </w:tbl>
    <w:p w14:paraId="1586653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Iz tabele je razvidno:</w:t>
      </w:r>
    </w:p>
    <w:p w14:paraId="5FE64FF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w:t>
      </w:r>
      <w:r w:rsidRPr="005E4BEA">
        <w:rPr>
          <w:rFonts w:cs="Arial"/>
          <w:i/>
          <w:iCs/>
          <w:color w:val="808080" w:themeColor="background1" w:themeShade="80"/>
          <w:szCs w:val="20"/>
        </w:rPr>
        <w:tab/>
        <w:t>da se v zobozdravstvenih programih priznana cena 1 točke za opravljeno isto storitev giblje od 2,76 € do 4,75 €;</w:t>
      </w:r>
    </w:p>
    <w:p w14:paraId="219788A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w:t>
      </w:r>
      <w:r w:rsidRPr="005E4BEA">
        <w:rPr>
          <w:rFonts w:cs="Arial"/>
          <w:i/>
          <w:iCs/>
          <w:color w:val="808080" w:themeColor="background1" w:themeShade="80"/>
          <w:szCs w:val="20"/>
        </w:rPr>
        <w:tab/>
        <w:t>storitev RTG se obračunavajo različno ali po dejanski vrednosti standarda Rentgen (241 247) ali po evidenčni ceni;</w:t>
      </w:r>
    </w:p>
    <w:p w14:paraId="4D62768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w:t>
      </w:r>
      <w:r w:rsidRPr="005E4BEA">
        <w:rPr>
          <w:rFonts w:cs="Arial"/>
          <w:i/>
          <w:iCs/>
          <w:color w:val="808080" w:themeColor="background1" w:themeShade="80"/>
          <w:szCs w:val="20"/>
        </w:rPr>
        <w:tab/>
        <w:t xml:space="preserve">odstopanja so že znotraj primarne ravni (v zobozdravstvu za odrasle in v mladinskem zobozdravstvo se storitev obračuna po evidenčni ceni, medtem ko se v zobozdravstvu za študente in </w:t>
      </w:r>
      <w:proofErr w:type="spellStart"/>
      <w:r w:rsidRPr="005E4BEA">
        <w:rPr>
          <w:rFonts w:cs="Arial"/>
          <w:i/>
          <w:iCs/>
          <w:color w:val="808080" w:themeColor="background1" w:themeShade="80"/>
          <w:szCs w:val="20"/>
        </w:rPr>
        <w:t>pedontologiji</w:t>
      </w:r>
      <w:proofErr w:type="spellEnd"/>
      <w:r w:rsidRPr="005E4BEA">
        <w:rPr>
          <w:rFonts w:cs="Arial"/>
          <w:i/>
          <w:iCs/>
          <w:color w:val="808080" w:themeColor="background1" w:themeShade="80"/>
          <w:szCs w:val="20"/>
        </w:rPr>
        <w:t xml:space="preserve"> po evidenčni ceni);</w:t>
      </w:r>
    </w:p>
    <w:p w14:paraId="5569657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w:t>
      </w:r>
      <w:r w:rsidRPr="005E4BEA">
        <w:rPr>
          <w:rFonts w:cs="Arial"/>
          <w:i/>
          <w:iCs/>
          <w:color w:val="808080" w:themeColor="background1" w:themeShade="80"/>
          <w:szCs w:val="20"/>
        </w:rPr>
        <w:tab/>
        <w:t xml:space="preserve">na sekundarni ravni je storitev RTG </w:t>
      </w:r>
      <w:proofErr w:type="spellStart"/>
      <w:r w:rsidRPr="005E4BEA">
        <w:rPr>
          <w:rFonts w:cs="Arial"/>
          <w:i/>
          <w:iCs/>
          <w:color w:val="808080" w:themeColor="background1" w:themeShade="80"/>
          <w:szCs w:val="20"/>
        </w:rPr>
        <w:t>napr</w:t>
      </w:r>
      <w:proofErr w:type="spellEnd"/>
      <w:r w:rsidRPr="005E4BEA">
        <w:rPr>
          <w:rFonts w:cs="Arial"/>
          <w:i/>
          <w:iCs/>
          <w:color w:val="808080" w:themeColor="background1" w:themeShade="80"/>
          <w:szCs w:val="20"/>
        </w:rPr>
        <w:t>. v maksilofacialni kirurgiji (215 224) izločena iz SAD in se obračunava kot ločen standard po dejanski realizaciji RTG dejavnosti (z napotnico).</w:t>
      </w:r>
    </w:p>
    <w:p w14:paraId="47676DD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w:t>
      </w:r>
      <w:r w:rsidRPr="005E4BEA">
        <w:rPr>
          <w:rFonts w:cs="Arial"/>
          <w:i/>
          <w:iCs/>
          <w:color w:val="808080" w:themeColor="background1" w:themeShade="80"/>
          <w:szCs w:val="20"/>
        </w:rPr>
        <w:tab/>
        <w:t xml:space="preserve"> v dejavnosti zobozdravstvene SAD </w:t>
      </w:r>
      <w:proofErr w:type="spellStart"/>
      <w:r w:rsidRPr="005E4BEA">
        <w:rPr>
          <w:rFonts w:cs="Arial"/>
          <w:i/>
          <w:iCs/>
          <w:color w:val="808080" w:themeColor="background1" w:themeShade="80"/>
          <w:szCs w:val="20"/>
        </w:rPr>
        <w:t>napr</w:t>
      </w:r>
      <w:proofErr w:type="spellEnd"/>
      <w:r w:rsidRPr="005E4BEA">
        <w:rPr>
          <w:rFonts w:cs="Arial"/>
          <w:i/>
          <w:iCs/>
          <w:color w:val="808080" w:themeColor="background1" w:themeShade="80"/>
          <w:szCs w:val="20"/>
        </w:rPr>
        <w:t xml:space="preserve">. v Oralni in maksilofacialni kirurgiji (442 116) pa se obračuna po evidenčni ceni (z delovnim nalogom). </w:t>
      </w:r>
    </w:p>
    <w:p w14:paraId="65EC92A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Zaradi tega združenje predlaga, da se z letom 2022 uredi najprej plačevanje primarne zobozdravstvene dejavnosti in sicer tako, da se 807 točk, ki so planirane za RTG storitve izloči iz kalkulacij primarnega zobozdravstva (zobozdravstva za odrasle, zobozdravstva za mladino, zobozdravstva za študente in </w:t>
      </w:r>
      <w:proofErr w:type="spellStart"/>
      <w:r w:rsidRPr="005E4BEA">
        <w:rPr>
          <w:rFonts w:cs="Arial"/>
          <w:i/>
          <w:iCs/>
          <w:color w:val="808080" w:themeColor="background1" w:themeShade="80"/>
          <w:szCs w:val="20"/>
        </w:rPr>
        <w:t>pedontologije</w:t>
      </w:r>
      <w:proofErr w:type="spellEnd"/>
      <w:r w:rsidRPr="005E4BEA">
        <w:rPr>
          <w:rFonts w:cs="Arial"/>
          <w:i/>
          <w:iCs/>
          <w:color w:val="808080" w:themeColor="background1" w:themeShade="80"/>
          <w:szCs w:val="20"/>
        </w:rPr>
        <w:t xml:space="preserve"> – dejavnosti, kjer si lahko zavarovane osebe izberejo osebnega zobozdravnika) in se RTG za zobozdravstvene storitve na podlagi standarda RTG za zobozdravstvo na primarni ravni plačuje vsem po enaki vrednosti točke. Tako predlagamo, da se kot storitve RTG zobozdravstva na primarni ravni prizna enotna cena točke v višini 4,82 € .Ker kalkulacija nima nosilca zdravnika ostane delovni nalog. Tako kot je zapisano v navodilih o napotovanju z delovnim nalogom.  Združenje, predlaga, da se končno uredi slikanje RTG zobozdravstvenih storitev na primarni ravni na način, da ne bo v izgubi ne izvajalec, ne naročnik RTG storitev in ne zavarovana oseba, ki ne bo primorana teh storitev koristiti samoplačniško. </w:t>
      </w:r>
    </w:p>
    <w:p w14:paraId="3FC25B6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1,6 mio € (v deležu PZZ+OZZ) oziroma ,0,9 mio € v deležu OZZ.</w:t>
      </w:r>
    </w:p>
    <w:p w14:paraId="1E3905EA" w14:textId="6E812A6D" w:rsidR="00FE461F" w:rsidRPr="005E4BEA" w:rsidRDefault="00FE461F" w:rsidP="00FE461F">
      <w:pPr>
        <w:spacing w:line="240" w:lineRule="auto"/>
        <w:jc w:val="both"/>
        <w:rPr>
          <w:rFonts w:cs="Arial"/>
          <w:i/>
          <w:iCs/>
          <w:color w:val="808080" w:themeColor="background1" w:themeShade="80"/>
          <w:szCs w:val="20"/>
        </w:rPr>
      </w:pPr>
    </w:p>
    <w:p w14:paraId="6C4586CA" w14:textId="77777777" w:rsidR="00346825" w:rsidRPr="005E4BEA" w:rsidRDefault="00346825" w:rsidP="00FE461F">
      <w:pPr>
        <w:spacing w:line="240" w:lineRule="auto"/>
        <w:jc w:val="both"/>
        <w:rPr>
          <w:rFonts w:cs="Arial"/>
          <w:i/>
          <w:iCs/>
          <w:color w:val="808080" w:themeColor="background1" w:themeShade="80"/>
          <w:szCs w:val="20"/>
        </w:rPr>
      </w:pPr>
    </w:p>
    <w:p w14:paraId="64BFF11B" w14:textId="79325C4F" w:rsidR="00E5419B" w:rsidRPr="005E4BEA" w:rsidRDefault="00346825" w:rsidP="00E5419B">
      <w:pPr>
        <w:autoSpaceDE w:val="0"/>
        <w:autoSpaceDN w:val="0"/>
        <w:adjustRightInd w:val="0"/>
        <w:spacing w:line="0" w:lineRule="atLeast"/>
        <w:jc w:val="both"/>
        <w:rPr>
          <w:rFonts w:eastAsia="Arial Narrow" w:cs="Arial"/>
          <w:bCs/>
          <w:szCs w:val="20"/>
        </w:rPr>
      </w:pPr>
      <w:r w:rsidRPr="005E4BEA">
        <w:rPr>
          <w:rFonts w:eastAsia="Arial Narrow" w:cs="Arial"/>
          <w:b/>
          <w:szCs w:val="20"/>
        </w:rPr>
        <w:lastRenderedPageBreak/>
        <w:t>Stališče Ministrstva za zdravje:</w:t>
      </w:r>
      <w:r w:rsidRPr="005E4BEA">
        <w:rPr>
          <w:rFonts w:eastAsia="Arial Narrow" w:cs="Arial"/>
          <w:bCs/>
          <w:szCs w:val="20"/>
        </w:rPr>
        <w:t xml:space="preserve"> Ministrstvo za zdravje se </w:t>
      </w:r>
      <w:r w:rsidR="00E5419B" w:rsidRPr="005E4BEA">
        <w:rPr>
          <w:rFonts w:eastAsia="Arial Narrow" w:cs="Arial"/>
          <w:bCs/>
          <w:szCs w:val="20"/>
        </w:rPr>
        <w:t xml:space="preserve">strinja s </w:t>
      </w:r>
      <w:r w:rsidRPr="005E4BEA">
        <w:rPr>
          <w:rFonts w:eastAsia="Arial Narrow" w:cs="Arial"/>
          <w:bCs/>
          <w:szCs w:val="20"/>
        </w:rPr>
        <w:t xml:space="preserve">predlogom </w:t>
      </w:r>
      <w:r w:rsidR="00E5419B" w:rsidRPr="005E4BEA">
        <w:rPr>
          <w:rFonts w:eastAsia="Arial Narrow" w:cs="Arial"/>
          <w:bCs/>
          <w:szCs w:val="20"/>
        </w:rPr>
        <w:t>v modificirani obliki, in sicer se v</w:t>
      </w:r>
      <w:r w:rsidR="00E5419B" w:rsidRPr="005E4BEA">
        <w:rPr>
          <w:rFonts w:eastAsiaTheme="minorHAnsi" w:cs="Arial"/>
          <w:bCs/>
          <w:szCs w:val="20"/>
        </w:rPr>
        <w:t xml:space="preserve"> 23. členu v (14) odstavku spremeni drugi stavek tako, da se glasi:</w:t>
      </w:r>
    </w:p>
    <w:p w14:paraId="11B712AB" w14:textId="70D5663B" w:rsidR="00E5419B" w:rsidRPr="005E4BEA" w:rsidRDefault="00E5419B" w:rsidP="00E5419B">
      <w:pPr>
        <w:spacing w:after="160" w:line="276" w:lineRule="auto"/>
        <w:rPr>
          <w:rFonts w:eastAsiaTheme="minorHAnsi" w:cs="Arial"/>
          <w:color w:val="000000"/>
          <w:szCs w:val="20"/>
        </w:rPr>
      </w:pPr>
      <w:r w:rsidRPr="005E4BEA">
        <w:rPr>
          <w:rFonts w:eastAsiaTheme="minorHAnsi" w:cs="Arial"/>
          <w:bCs/>
          <w:szCs w:val="20"/>
        </w:rPr>
        <w:t>»</w:t>
      </w:r>
      <w:r w:rsidRPr="005E4BEA">
        <w:rPr>
          <w:rFonts w:eastAsiaTheme="minorHAnsi" w:cs="Arial"/>
          <w:bCs/>
          <w:color w:val="000000"/>
          <w:szCs w:val="20"/>
        </w:rPr>
        <w:t>Storitve zobozdravstvenega rentgena si bodo izvajalci med seboj obračunavali po veljavni ceni točke.«</w:t>
      </w:r>
    </w:p>
    <w:p w14:paraId="3753E757" w14:textId="77777777" w:rsidR="00E5419B" w:rsidRPr="005E4BEA" w:rsidRDefault="00E5419B" w:rsidP="00E5419B">
      <w:pPr>
        <w:spacing w:after="160" w:line="276" w:lineRule="auto"/>
        <w:rPr>
          <w:rFonts w:eastAsiaTheme="minorHAnsi" w:cs="Arial"/>
          <w:b/>
          <w:bCs/>
          <w:szCs w:val="20"/>
        </w:rPr>
      </w:pPr>
      <w:r w:rsidRPr="005E4BEA">
        <w:rPr>
          <w:rFonts w:eastAsiaTheme="minorHAnsi" w:cs="Arial"/>
          <w:b/>
          <w:bCs/>
          <w:szCs w:val="20"/>
        </w:rPr>
        <w:t xml:space="preserve"> V 24. členu v (5) odstavku</w:t>
      </w:r>
      <w:r w:rsidRPr="005E4BEA">
        <w:rPr>
          <w:rFonts w:eastAsiaTheme="minorHAnsi" w:cs="Arial"/>
          <w:b/>
          <w:szCs w:val="20"/>
        </w:rPr>
        <w:t xml:space="preserve"> se doda nova točka, ki se glasi:</w:t>
      </w:r>
    </w:p>
    <w:p w14:paraId="28DEB771" w14:textId="77777777" w:rsidR="00E5419B" w:rsidRPr="005E4BEA" w:rsidRDefault="00E5419B" w:rsidP="00E5419B">
      <w:pPr>
        <w:spacing w:line="120" w:lineRule="exact"/>
        <w:rPr>
          <w:rFonts w:cs="Arial"/>
          <w:szCs w:val="20"/>
        </w:rPr>
      </w:pPr>
    </w:p>
    <w:tbl>
      <w:tblPr>
        <w:tblW w:w="8717" w:type="dxa"/>
        <w:tblInd w:w="6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70" w:type="dxa"/>
          <w:right w:w="70" w:type="dxa"/>
        </w:tblCellMar>
        <w:tblLook w:val="04A0" w:firstRow="1" w:lastRow="0" w:firstColumn="1" w:lastColumn="0" w:noHBand="0" w:noVBand="1"/>
      </w:tblPr>
      <w:tblGrid>
        <w:gridCol w:w="2982"/>
        <w:gridCol w:w="1874"/>
        <w:gridCol w:w="1134"/>
        <w:gridCol w:w="1310"/>
        <w:gridCol w:w="1417"/>
      </w:tblGrid>
      <w:tr w:rsidR="00E5419B" w:rsidRPr="005E4BEA" w14:paraId="6F1A5E64" w14:textId="77777777" w:rsidTr="006F2C89">
        <w:trPr>
          <w:trHeight w:hRule="exact" w:val="20"/>
        </w:trPr>
        <w:tc>
          <w:tcPr>
            <w:tcW w:w="2982" w:type="dxa"/>
            <w:vMerge w:val="restart"/>
            <w:shd w:val="clear" w:color="auto" w:fill="auto"/>
            <w:vAlign w:val="center"/>
            <w:hideMark/>
          </w:tcPr>
          <w:p w14:paraId="033044CB" w14:textId="77777777" w:rsidR="00E5419B" w:rsidRPr="005E4BEA" w:rsidRDefault="00E5419B" w:rsidP="00E5419B">
            <w:pPr>
              <w:spacing w:after="120" w:line="240" w:lineRule="auto"/>
              <w:jc w:val="both"/>
              <w:rPr>
                <w:rFonts w:eastAsia="Arial Narrow" w:cs="Arial"/>
                <w:b/>
                <w:szCs w:val="20"/>
              </w:rPr>
            </w:pPr>
            <w:r w:rsidRPr="005E4BEA">
              <w:rPr>
                <w:rFonts w:eastAsia="Arial Narrow" w:cs="Arial"/>
                <w:b/>
                <w:szCs w:val="20"/>
              </w:rPr>
              <w:t>P   r   o   g   r   a   m</w:t>
            </w:r>
          </w:p>
        </w:tc>
        <w:tc>
          <w:tcPr>
            <w:tcW w:w="1874" w:type="dxa"/>
            <w:vMerge w:val="restart"/>
            <w:shd w:val="clear" w:color="auto" w:fill="auto"/>
            <w:vAlign w:val="center"/>
            <w:hideMark/>
          </w:tcPr>
          <w:p w14:paraId="6DCBD1F2" w14:textId="77777777" w:rsidR="00E5419B" w:rsidRPr="005E4BEA" w:rsidRDefault="00E5419B" w:rsidP="00E5419B">
            <w:pPr>
              <w:spacing w:after="120" w:line="240" w:lineRule="auto"/>
              <w:jc w:val="both"/>
              <w:rPr>
                <w:rFonts w:eastAsia="Arial Narrow" w:cs="Arial"/>
                <w:b/>
                <w:szCs w:val="20"/>
              </w:rPr>
            </w:pPr>
            <w:r w:rsidRPr="005E4BEA">
              <w:rPr>
                <w:rFonts w:eastAsia="Arial Narrow" w:cs="Arial"/>
                <w:b/>
                <w:szCs w:val="20"/>
              </w:rPr>
              <w:t xml:space="preserve">I z v a j a l e c </w:t>
            </w:r>
            <w:r w:rsidRPr="005E4BEA">
              <w:rPr>
                <w:rFonts w:eastAsia="Arial Narrow" w:cs="Arial"/>
                <w:b/>
                <w:szCs w:val="20"/>
              </w:rPr>
              <w:br/>
            </w:r>
          </w:p>
        </w:tc>
        <w:tc>
          <w:tcPr>
            <w:tcW w:w="1134" w:type="dxa"/>
            <w:vMerge w:val="restart"/>
            <w:shd w:val="clear" w:color="auto" w:fill="auto"/>
            <w:vAlign w:val="center"/>
            <w:hideMark/>
          </w:tcPr>
          <w:p w14:paraId="3F422595" w14:textId="77777777" w:rsidR="00E5419B" w:rsidRPr="005E4BEA" w:rsidRDefault="00E5419B" w:rsidP="00E5419B">
            <w:pPr>
              <w:spacing w:after="120" w:line="240" w:lineRule="auto"/>
              <w:jc w:val="both"/>
              <w:rPr>
                <w:rFonts w:eastAsia="Arial Narrow" w:cs="Arial"/>
                <w:b/>
                <w:szCs w:val="20"/>
              </w:rPr>
            </w:pPr>
            <w:r w:rsidRPr="005E4BEA">
              <w:rPr>
                <w:rFonts w:eastAsia="Arial Narrow" w:cs="Arial"/>
                <w:b/>
                <w:szCs w:val="20"/>
              </w:rPr>
              <w:t>Obseg programa</w:t>
            </w:r>
          </w:p>
        </w:tc>
        <w:tc>
          <w:tcPr>
            <w:tcW w:w="1310" w:type="dxa"/>
            <w:vMerge w:val="restart"/>
            <w:shd w:val="clear" w:color="auto" w:fill="auto"/>
            <w:vAlign w:val="center"/>
            <w:hideMark/>
          </w:tcPr>
          <w:p w14:paraId="67A8887D" w14:textId="77777777" w:rsidR="00E5419B" w:rsidRPr="005E4BEA" w:rsidRDefault="00E5419B" w:rsidP="00E5419B">
            <w:pPr>
              <w:spacing w:after="120" w:line="240" w:lineRule="auto"/>
              <w:jc w:val="center"/>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na letni ravni</w:t>
            </w:r>
            <w:r w:rsidRPr="005E4BEA">
              <w:rPr>
                <w:rFonts w:eastAsia="Arial Narrow" w:cs="Arial"/>
                <w:b/>
                <w:szCs w:val="20"/>
              </w:rPr>
              <w:br/>
              <w:t>(v EUR)</w:t>
            </w:r>
          </w:p>
        </w:tc>
        <w:tc>
          <w:tcPr>
            <w:tcW w:w="1417" w:type="dxa"/>
            <w:vMerge w:val="restart"/>
            <w:shd w:val="clear" w:color="auto" w:fill="auto"/>
            <w:vAlign w:val="center"/>
            <w:hideMark/>
          </w:tcPr>
          <w:p w14:paraId="47890890" w14:textId="77777777" w:rsidR="00E5419B" w:rsidRPr="005E4BEA" w:rsidRDefault="00E5419B" w:rsidP="00E5419B">
            <w:pPr>
              <w:spacing w:after="120" w:line="240" w:lineRule="auto"/>
              <w:jc w:val="center"/>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1.1.-31.12.2022</w:t>
            </w:r>
            <w:r w:rsidRPr="005E4BEA">
              <w:rPr>
                <w:rFonts w:eastAsia="Arial Narrow" w:cs="Arial"/>
                <w:b/>
                <w:szCs w:val="20"/>
              </w:rPr>
              <w:br/>
              <w:t>(v EUR)</w:t>
            </w:r>
          </w:p>
        </w:tc>
      </w:tr>
      <w:tr w:rsidR="00E5419B" w:rsidRPr="005E4BEA" w14:paraId="011F86D4" w14:textId="77777777" w:rsidTr="006F2C89">
        <w:trPr>
          <w:trHeight w:hRule="exact" w:val="20"/>
        </w:trPr>
        <w:tc>
          <w:tcPr>
            <w:tcW w:w="2982" w:type="dxa"/>
            <w:vMerge/>
            <w:shd w:val="clear" w:color="auto" w:fill="auto"/>
            <w:vAlign w:val="center"/>
          </w:tcPr>
          <w:p w14:paraId="61A4199D" w14:textId="77777777" w:rsidR="00E5419B" w:rsidRPr="005E4BEA" w:rsidRDefault="00E5419B" w:rsidP="00E5419B">
            <w:pPr>
              <w:spacing w:after="120" w:line="240" w:lineRule="auto"/>
              <w:jc w:val="both"/>
              <w:rPr>
                <w:rFonts w:eastAsia="Arial Narrow" w:cs="Arial"/>
                <w:b/>
                <w:szCs w:val="20"/>
              </w:rPr>
            </w:pPr>
          </w:p>
        </w:tc>
        <w:tc>
          <w:tcPr>
            <w:tcW w:w="1874" w:type="dxa"/>
            <w:vMerge/>
            <w:shd w:val="clear" w:color="auto" w:fill="auto"/>
            <w:vAlign w:val="center"/>
          </w:tcPr>
          <w:p w14:paraId="6F777C77" w14:textId="77777777" w:rsidR="00E5419B" w:rsidRPr="005E4BEA" w:rsidRDefault="00E5419B" w:rsidP="00E5419B">
            <w:pPr>
              <w:spacing w:after="120" w:line="240" w:lineRule="auto"/>
              <w:jc w:val="both"/>
              <w:rPr>
                <w:rFonts w:eastAsia="Arial Narrow" w:cs="Arial"/>
                <w:b/>
                <w:szCs w:val="20"/>
              </w:rPr>
            </w:pPr>
          </w:p>
        </w:tc>
        <w:tc>
          <w:tcPr>
            <w:tcW w:w="1134" w:type="dxa"/>
            <w:vMerge/>
            <w:shd w:val="clear" w:color="auto" w:fill="auto"/>
            <w:vAlign w:val="center"/>
          </w:tcPr>
          <w:p w14:paraId="55EED8AA" w14:textId="77777777" w:rsidR="00E5419B" w:rsidRPr="005E4BEA" w:rsidRDefault="00E5419B" w:rsidP="00E5419B">
            <w:pPr>
              <w:spacing w:after="120" w:line="240" w:lineRule="auto"/>
              <w:jc w:val="both"/>
              <w:rPr>
                <w:rFonts w:eastAsia="Arial Narrow" w:cs="Arial"/>
                <w:b/>
                <w:szCs w:val="20"/>
              </w:rPr>
            </w:pPr>
          </w:p>
        </w:tc>
        <w:tc>
          <w:tcPr>
            <w:tcW w:w="1310" w:type="dxa"/>
            <w:vMerge/>
            <w:shd w:val="clear" w:color="auto" w:fill="auto"/>
            <w:vAlign w:val="center"/>
          </w:tcPr>
          <w:p w14:paraId="46FAE047" w14:textId="77777777" w:rsidR="00E5419B" w:rsidRPr="005E4BEA" w:rsidRDefault="00E5419B" w:rsidP="00E5419B">
            <w:pPr>
              <w:spacing w:after="120" w:line="240" w:lineRule="auto"/>
              <w:jc w:val="center"/>
              <w:rPr>
                <w:rFonts w:eastAsia="Arial Narrow" w:cs="Arial"/>
                <w:b/>
                <w:szCs w:val="20"/>
              </w:rPr>
            </w:pPr>
          </w:p>
        </w:tc>
        <w:tc>
          <w:tcPr>
            <w:tcW w:w="1417" w:type="dxa"/>
            <w:vMerge/>
            <w:shd w:val="clear" w:color="auto" w:fill="auto"/>
            <w:vAlign w:val="center"/>
          </w:tcPr>
          <w:p w14:paraId="217ADA90" w14:textId="77777777" w:rsidR="00E5419B" w:rsidRPr="005E4BEA" w:rsidRDefault="00E5419B" w:rsidP="00E5419B">
            <w:pPr>
              <w:spacing w:after="120" w:line="240" w:lineRule="auto"/>
              <w:jc w:val="center"/>
              <w:rPr>
                <w:rFonts w:eastAsia="Arial Narrow" w:cs="Arial"/>
                <w:b/>
                <w:szCs w:val="20"/>
              </w:rPr>
            </w:pPr>
          </w:p>
        </w:tc>
      </w:tr>
      <w:tr w:rsidR="00E5419B" w:rsidRPr="005E4BEA" w14:paraId="44058A07" w14:textId="77777777" w:rsidTr="006F2C89">
        <w:trPr>
          <w:trHeight w:hRule="exact" w:val="20"/>
        </w:trPr>
        <w:tc>
          <w:tcPr>
            <w:tcW w:w="2982" w:type="dxa"/>
            <w:vMerge/>
            <w:shd w:val="clear" w:color="auto" w:fill="auto"/>
            <w:vAlign w:val="center"/>
          </w:tcPr>
          <w:p w14:paraId="3184358E" w14:textId="77777777" w:rsidR="00E5419B" w:rsidRPr="005E4BEA" w:rsidRDefault="00E5419B" w:rsidP="00E5419B">
            <w:pPr>
              <w:spacing w:after="120" w:line="240" w:lineRule="auto"/>
              <w:jc w:val="both"/>
              <w:rPr>
                <w:rFonts w:eastAsia="Arial Narrow" w:cs="Arial"/>
                <w:b/>
                <w:szCs w:val="20"/>
              </w:rPr>
            </w:pPr>
          </w:p>
        </w:tc>
        <w:tc>
          <w:tcPr>
            <w:tcW w:w="1874" w:type="dxa"/>
            <w:vMerge/>
            <w:shd w:val="clear" w:color="auto" w:fill="auto"/>
            <w:vAlign w:val="center"/>
          </w:tcPr>
          <w:p w14:paraId="38074774" w14:textId="77777777" w:rsidR="00E5419B" w:rsidRPr="005E4BEA" w:rsidRDefault="00E5419B" w:rsidP="00E5419B">
            <w:pPr>
              <w:spacing w:after="120" w:line="240" w:lineRule="auto"/>
              <w:jc w:val="both"/>
              <w:rPr>
                <w:rFonts w:eastAsia="Arial Narrow" w:cs="Arial"/>
                <w:b/>
                <w:szCs w:val="20"/>
              </w:rPr>
            </w:pPr>
          </w:p>
        </w:tc>
        <w:tc>
          <w:tcPr>
            <w:tcW w:w="1134" w:type="dxa"/>
            <w:vMerge/>
            <w:shd w:val="clear" w:color="auto" w:fill="auto"/>
            <w:vAlign w:val="center"/>
          </w:tcPr>
          <w:p w14:paraId="0A4CFB55" w14:textId="77777777" w:rsidR="00E5419B" w:rsidRPr="005E4BEA" w:rsidRDefault="00E5419B" w:rsidP="00E5419B">
            <w:pPr>
              <w:spacing w:after="120" w:line="240" w:lineRule="auto"/>
              <w:jc w:val="both"/>
              <w:rPr>
                <w:rFonts w:eastAsia="Arial Narrow" w:cs="Arial"/>
                <w:b/>
                <w:szCs w:val="20"/>
              </w:rPr>
            </w:pPr>
          </w:p>
        </w:tc>
        <w:tc>
          <w:tcPr>
            <w:tcW w:w="1310" w:type="dxa"/>
            <w:vMerge/>
            <w:shd w:val="clear" w:color="auto" w:fill="auto"/>
            <w:vAlign w:val="center"/>
          </w:tcPr>
          <w:p w14:paraId="4652A0EE" w14:textId="77777777" w:rsidR="00E5419B" w:rsidRPr="005E4BEA" w:rsidRDefault="00E5419B" w:rsidP="00E5419B">
            <w:pPr>
              <w:spacing w:after="120" w:line="240" w:lineRule="auto"/>
              <w:jc w:val="center"/>
              <w:rPr>
                <w:rFonts w:eastAsia="Arial Narrow" w:cs="Arial"/>
                <w:b/>
                <w:szCs w:val="20"/>
              </w:rPr>
            </w:pPr>
          </w:p>
        </w:tc>
        <w:tc>
          <w:tcPr>
            <w:tcW w:w="1417" w:type="dxa"/>
            <w:vMerge/>
            <w:shd w:val="clear" w:color="auto" w:fill="auto"/>
            <w:vAlign w:val="center"/>
          </w:tcPr>
          <w:p w14:paraId="6AF49503" w14:textId="77777777" w:rsidR="00E5419B" w:rsidRPr="005E4BEA" w:rsidRDefault="00E5419B" w:rsidP="00E5419B">
            <w:pPr>
              <w:spacing w:after="120" w:line="240" w:lineRule="auto"/>
              <w:jc w:val="center"/>
              <w:rPr>
                <w:rFonts w:eastAsia="Arial Narrow" w:cs="Arial"/>
                <w:b/>
                <w:szCs w:val="20"/>
              </w:rPr>
            </w:pPr>
          </w:p>
        </w:tc>
      </w:tr>
      <w:tr w:rsidR="00E5419B" w:rsidRPr="005E4BEA" w14:paraId="48CA8E1D" w14:textId="77777777" w:rsidTr="006F2C89">
        <w:trPr>
          <w:trHeight w:val="509"/>
        </w:trPr>
        <w:tc>
          <w:tcPr>
            <w:tcW w:w="2982" w:type="dxa"/>
            <w:vMerge/>
            <w:vAlign w:val="center"/>
            <w:hideMark/>
          </w:tcPr>
          <w:p w14:paraId="238D04CA" w14:textId="77777777" w:rsidR="00E5419B" w:rsidRPr="005E4BEA" w:rsidRDefault="00E5419B" w:rsidP="00E5419B">
            <w:pPr>
              <w:spacing w:after="120" w:line="240" w:lineRule="auto"/>
              <w:jc w:val="both"/>
              <w:rPr>
                <w:rFonts w:eastAsia="Arial Narrow" w:cs="Arial"/>
                <w:szCs w:val="20"/>
              </w:rPr>
            </w:pPr>
          </w:p>
        </w:tc>
        <w:tc>
          <w:tcPr>
            <w:tcW w:w="1874" w:type="dxa"/>
            <w:vMerge/>
            <w:vAlign w:val="center"/>
            <w:hideMark/>
          </w:tcPr>
          <w:p w14:paraId="73FD6F7A" w14:textId="77777777" w:rsidR="00E5419B" w:rsidRPr="005E4BEA" w:rsidRDefault="00E5419B" w:rsidP="00E5419B">
            <w:pPr>
              <w:spacing w:after="120" w:line="240" w:lineRule="auto"/>
              <w:jc w:val="both"/>
              <w:rPr>
                <w:rFonts w:eastAsia="Arial Narrow" w:cs="Arial"/>
                <w:szCs w:val="20"/>
              </w:rPr>
            </w:pPr>
          </w:p>
        </w:tc>
        <w:tc>
          <w:tcPr>
            <w:tcW w:w="1134" w:type="dxa"/>
            <w:vMerge/>
            <w:vAlign w:val="center"/>
            <w:hideMark/>
          </w:tcPr>
          <w:p w14:paraId="5CAAA111" w14:textId="77777777" w:rsidR="00E5419B" w:rsidRPr="005E4BEA" w:rsidRDefault="00E5419B" w:rsidP="00E5419B">
            <w:pPr>
              <w:spacing w:after="120" w:line="240" w:lineRule="auto"/>
              <w:jc w:val="both"/>
              <w:rPr>
                <w:rFonts w:eastAsia="Arial Narrow" w:cs="Arial"/>
                <w:szCs w:val="20"/>
              </w:rPr>
            </w:pPr>
          </w:p>
        </w:tc>
        <w:tc>
          <w:tcPr>
            <w:tcW w:w="1310" w:type="dxa"/>
            <w:vMerge/>
            <w:vAlign w:val="center"/>
            <w:hideMark/>
          </w:tcPr>
          <w:p w14:paraId="18F1EBDC" w14:textId="77777777" w:rsidR="00E5419B" w:rsidRPr="005E4BEA" w:rsidRDefault="00E5419B" w:rsidP="00E5419B">
            <w:pPr>
              <w:spacing w:after="120" w:line="240" w:lineRule="auto"/>
              <w:jc w:val="both"/>
              <w:rPr>
                <w:rFonts w:eastAsia="Arial Narrow" w:cs="Arial"/>
                <w:szCs w:val="20"/>
              </w:rPr>
            </w:pPr>
          </w:p>
        </w:tc>
        <w:tc>
          <w:tcPr>
            <w:tcW w:w="1417" w:type="dxa"/>
            <w:vMerge/>
            <w:vAlign w:val="center"/>
            <w:hideMark/>
          </w:tcPr>
          <w:p w14:paraId="13F212DE" w14:textId="77777777" w:rsidR="00E5419B" w:rsidRPr="005E4BEA" w:rsidRDefault="00E5419B" w:rsidP="00E5419B">
            <w:pPr>
              <w:spacing w:after="120" w:line="240" w:lineRule="auto"/>
              <w:jc w:val="both"/>
              <w:rPr>
                <w:rFonts w:eastAsia="Arial Narrow" w:cs="Arial"/>
                <w:szCs w:val="20"/>
              </w:rPr>
            </w:pPr>
          </w:p>
        </w:tc>
      </w:tr>
      <w:tr w:rsidR="00E5419B" w:rsidRPr="005E4BEA" w14:paraId="58EBD615" w14:textId="77777777" w:rsidTr="00114B48">
        <w:trPr>
          <w:trHeight w:hRule="exact" w:val="428"/>
        </w:trPr>
        <w:tc>
          <w:tcPr>
            <w:tcW w:w="2982" w:type="dxa"/>
            <w:vMerge/>
            <w:vAlign w:val="center"/>
            <w:hideMark/>
          </w:tcPr>
          <w:p w14:paraId="1DBAC29B" w14:textId="77777777" w:rsidR="00E5419B" w:rsidRPr="005E4BEA" w:rsidRDefault="00E5419B" w:rsidP="00E5419B">
            <w:pPr>
              <w:spacing w:after="120" w:line="240" w:lineRule="auto"/>
              <w:jc w:val="both"/>
              <w:rPr>
                <w:rFonts w:eastAsia="Arial Narrow" w:cs="Arial"/>
                <w:szCs w:val="20"/>
              </w:rPr>
            </w:pPr>
          </w:p>
        </w:tc>
        <w:tc>
          <w:tcPr>
            <w:tcW w:w="1874" w:type="dxa"/>
            <w:vMerge/>
            <w:vAlign w:val="center"/>
            <w:hideMark/>
          </w:tcPr>
          <w:p w14:paraId="20C88682" w14:textId="77777777" w:rsidR="00E5419B" w:rsidRPr="005E4BEA" w:rsidRDefault="00E5419B" w:rsidP="00E5419B">
            <w:pPr>
              <w:spacing w:after="120" w:line="240" w:lineRule="auto"/>
              <w:jc w:val="both"/>
              <w:rPr>
                <w:rFonts w:eastAsia="Arial Narrow" w:cs="Arial"/>
                <w:szCs w:val="20"/>
              </w:rPr>
            </w:pPr>
          </w:p>
        </w:tc>
        <w:tc>
          <w:tcPr>
            <w:tcW w:w="1134" w:type="dxa"/>
            <w:vMerge/>
            <w:vAlign w:val="center"/>
            <w:hideMark/>
          </w:tcPr>
          <w:p w14:paraId="47DCE6AB" w14:textId="77777777" w:rsidR="00E5419B" w:rsidRPr="005E4BEA" w:rsidRDefault="00E5419B" w:rsidP="00E5419B">
            <w:pPr>
              <w:spacing w:after="120" w:line="240" w:lineRule="auto"/>
              <w:jc w:val="both"/>
              <w:rPr>
                <w:rFonts w:eastAsia="Arial Narrow" w:cs="Arial"/>
                <w:szCs w:val="20"/>
              </w:rPr>
            </w:pPr>
          </w:p>
        </w:tc>
        <w:tc>
          <w:tcPr>
            <w:tcW w:w="1310" w:type="dxa"/>
            <w:vMerge/>
            <w:tcBorders>
              <w:bottom w:val="single" w:sz="4" w:space="0" w:color="0070C0"/>
            </w:tcBorders>
            <w:vAlign w:val="center"/>
            <w:hideMark/>
          </w:tcPr>
          <w:p w14:paraId="008A05DE" w14:textId="77777777" w:rsidR="00E5419B" w:rsidRPr="005E4BEA" w:rsidRDefault="00E5419B" w:rsidP="00E5419B">
            <w:pPr>
              <w:spacing w:after="120" w:line="240" w:lineRule="auto"/>
              <w:jc w:val="both"/>
              <w:rPr>
                <w:rFonts w:eastAsia="Arial Narrow" w:cs="Arial"/>
                <w:szCs w:val="20"/>
              </w:rPr>
            </w:pPr>
          </w:p>
        </w:tc>
        <w:tc>
          <w:tcPr>
            <w:tcW w:w="1417" w:type="dxa"/>
            <w:vMerge/>
            <w:tcBorders>
              <w:bottom w:val="single" w:sz="4" w:space="0" w:color="0070C0"/>
            </w:tcBorders>
            <w:vAlign w:val="center"/>
            <w:hideMark/>
          </w:tcPr>
          <w:p w14:paraId="4A0FBDA9" w14:textId="77777777" w:rsidR="00E5419B" w:rsidRPr="005E4BEA" w:rsidRDefault="00E5419B" w:rsidP="00E5419B">
            <w:pPr>
              <w:spacing w:after="120" w:line="240" w:lineRule="auto"/>
              <w:jc w:val="both"/>
              <w:rPr>
                <w:rFonts w:eastAsia="Arial Narrow" w:cs="Arial"/>
                <w:szCs w:val="20"/>
              </w:rPr>
            </w:pPr>
          </w:p>
        </w:tc>
      </w:tr>
      <w:tr w:rsidR="00E5419B" w:rsidRPr="005E4BEA" w14:paraId="53529A5F" w14:textId="77777777" w:rsidTr="006F2C89">
        <w:trPr>
          <w:trHeight w:hRule="exact" w:val="1020"/>
        </w:trPr>
        <w:tc>
          <w:tcPr>
            <w:tcW w:w="2982" w:type="dxa"/>
            <w:shd w:val="clear" w:color="auto" w:fill="auto"/>
          </w:tcPr>
          <w:p w14:paraId="6A80D930" w14:textId="77777777" w:rsidR="00E5419B" w:rsidRPr="005E4BEA" w:rsidRDefault="00E5419B" w:rsidP="00E5419B">
            <w:pPr>
              <w:spacing w:line="240" w:lineRule="exact"/>
              <w:rPr>
                <w:rFonts w:eastAsia="Arial Narrow" w:cs="Arial"/>
                <w:szCs w:val="20"/>
              </w:rPr>
            </w:pPr>
            <w:r w:rsidRPr="005E4BEA">
              <w:rPr>
                <w:rFonts w:eastAsia="Arial Narrow" w:cs="Arial"/>
                <w:szCs w:val="20"/>
              </w:rPr>
              <w:t>Prenova zobozdravstvenih RTG storitev. Od 1. 1. 2023 dalje.</w:t>
            </w:r>
          </w:p>
        </w:tc>
        <w:tc>
          <w:tcPr>
            <w:tcW w:w="1874" w:type="dxa"/>
            <w:shd w:val="clear" w:color="auto" w:fill="auto"/>
          </w:tcPr>
          <w:p w14:paraId="6C19066A" w14:textId="77777777" w:rsidR="00E5419B" w:rsidRPr="005E4BEA" w:rsidRDefault="00E5419B" w:rsidP="00E5419B">
            <w:pPr>
              <w:spacing w:after="120" w:line="240" w:lineRule="auto"/>
              <w:jc w:val="both"/>
              <w:rPr>
                <w:rFonts w:eastAsia="Arial Narrow" w:cs="Arial"/>
                <w:szCs w:val="20"/>
              </w:rPr>
            </w:pPr>
            <w:r w:rsidRPr="005E4BEA">
              <w:rPr>
                <w:rFonts w:eastAsia="Arial Narrow" w:cs="Arial"/>
                <w:szCs w:val="20"/>
              </w:rPr>
              <w:t>Izvajalci zobozdravstvene dejavnosti</w:t>
            </w:r>
          </w:p>
        </w:tc>
        <w:tc>
          <w:tcPr>
            <w:tcW w:w="1134" w:type="dxa"/>
            <w:tcBorders>
              <w:right w:val="single" w:sz="4" w:space="0" w:color="0070C0"/>
            </w:tcBorders>
            <w:shd w:val="clear" w:color="auto" w:fill="auto"/>
            <w:noWrap/>
          </w:tcPr>
          <w:p w14:paraId="1717F3A4" w14:textId="77777777" w:rsidR="00E5419B" w:rsidRPr="005E4BEA" w:rsidRDefault="00E5419B" w:rsidP="00E5419B">
            <w:pPr>
              <w:spacing w:after="120" w:line="240" w:lineRule="auto"/>
              <w:jc w:val="center"/>
              <w:rPr>
                <w:rFonts w:eastAsia="Arial Narrow" w:cs="Arial"/>
                <w:szCs w:val="20"/>
              </w:rPr>
            </w:pPr>
          </w:p>
        </w:tc>
        <w:tc>
          <w:tcPr>
            <w:tcW w:w="1310" w:type="dxa"/>
            <w:tcBorders>
              <w:top w:val="single" w:sz="4" w:space="0" w:color="0070C0"/>
              <w:left w:val="single" w:sz="4" w:space="0" w:color="0070C0"/>
              <w:bottom w:val="single" w:sz="4" w:space="0" w:color="0070C0"/>
              <w:right w:val="single" w:sz="4" w:space="0" w:color="0070C0"/>
            </w:tcBorders>
            <w:noWrap/>
          </w:tcPr>
          <w:p w14:paraId="0CEA9A0C" w14:textId="77777777" w:rsidR="00E5419B" w:rsidRPr="005E4BEA" w:rsidRDefault="00E5419B" w:rsidP="00E5419B">
            <w:pPr>
              <w:spacing w:after="120" w:line="240" w:lineRule="auto"/>
              <w:jc w:val="right"/>
              <w:rPr>
                <w:rFonts w:eastAsia="Arial Narrow" w:cs="Arial"/>
                <w:color w:val="000000"/>
                <w:szCs w:val="20"/>
              </w:rPr>
            </w:pPr>
            <w:r w:rsidRPr="005E4BEA">
              <w:rPr>
                <w:rFonts w:eastAsiaTheme="minorHAnsi" w:cs="Arial"/>
                <w:color w:val="000000"/>
                <w:szCs w:val="20"/>
              </w:rPr>
              <w:t>2.270.000</w:t>
            </w:r>
          </w:p>
        </w:tc>
        <w:tc>
          <w:tcPr>
            <w:tcW w:w="1417" w:type="dxa"/>
            <w:tcBorders>
              <w:top w:val="single" w:sz="4" w:space="0" w:color="0070C0"/>
              <w:left w:val="single" w:sz="4" w:space="0" w:color="0070C0"/>
              <w:bottom w:val="single" w:sz="4" w:space="0" w:color="0070C0"/>
              <w:right w:val="single" w:sz="4" w:space="0" w:color="0070C0"/>
            </w:tcBorders>
            <w:noWrap/>
          </w:tcPr>
          <w:p w14:paraId="1F246C11" w14:textId="77777777" w:rsidR="00E5419B" w:rsidRPr="005E4BEA" w:rsidRDefault="00E5419B" w:rsidP="00E5419B">
            <w:pPr>
              <w:spacing w:after="120" w:line="240" w:lineRule="auto"/>
              <w:jc w:val="right"/>
              <w:rPr>
                <w:rFonts w:eastAsia="Arial Narrow" w:cs="Arial"/>
                <w:color w:val="000000"/>
                <w:szCs w:val="20"/>
              </w:rPr>
            </w:pPr>
          </w:p>
        </w:tc>
      </w:tr>
    </w:tbl>
    <w:p w14:paraId="22F91251" w14:textId="77777777" w:rsidR="00E5419B" w:rsidRPr="005E4BEA" w:rsidRDefault="00E5419B" w:rsidP="00E5419B">
      <w:pPr>
        <w:spacing w:after="160" w:line="276" w:lineRule="auto"/>
        <w:rPr>
          <w:rFonts w:eastAsiaTheme="minorHAnsi" w:cs="Arial"/>
          <w:szCs w:val="20"/>
        </w:rPr>
      </w:pPr>
    </w:p>
    <w:p w14:paraId="4840852B" w14:textId="77777777" w:rsidR="00E5419B" w:rsidRPr="005E4BEA" w:rsidRDefault="00E5419B" w:rsidP="00E5419B">
      <w:pPr>
        <w:spacing w:after="160" w:line="276" w:lineRule="auto"/>
        <w:rPr>
          <w:rFonts w:eastAsiaTheme="minorHAnsi" w:cs="Arial"/>
          <w:b/>
          <w:bCs/>
          <w:szCs w:val="20"/>
        </w:rPr>
      </w:pPr>
      <w:r w:rsidRPr="005E4BEA">
        <w:rPr>
          <w:rFonts w:eastAsiaTheme="minorHAnsi" w:cs="Arial"/>
          <w:b/>
          <w:bCs/>
          <w:szCs w:val="20"/>
        </w:rPr>
        <w:t>V Prilogi I se spremenita kalkulaciji za VZD 404 101 + 102 in 404 105 + 106 tako, da se glasita:</w:t>
      </w:r>
    </w:p>
    <w:p w14:paraId="6E4190FE" w14:textId="77777777" w:rsidR="00E5419B" w:rsidRPr="005E4BEA" w:rsidRDefault="00E5419B" w:rsidP="00E5419B">
      <w:pPr>
        <w:spacing w:after="160" w:line="276" w:lineRule="auto"/>
        <w:rPr>
          <w:rFonts w:eastAsiaTheme="minorHAnsi" w:cs="Arial"/>
          <w:szCs w:val="20"/>
        </w:rPr>
      </w:pPr>
      <w:r w:rsidRPr="005E4BEA">
        <w:rPr>
          <w:rFonts w:eastAsiaTheme="minorHAnsi" w:cs="Arial"/>
          <w:noProof/>
          <w:szCs w:val="20"/>
        </w:rPr>
        <w:drawing>
          <wp:inline distT="0" distB="0" distL="0" distR="0" wp14:anchorId="2D52427B" wp14:editId="47CD2D18">
            <wp:extent cx="5760720" cy="211391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p w14:paraId="64646053" w14:textId="77777777" w:rsidR="00E5419B" w:rsidRPr="005E4BEA" w:rsidRDefault="00E5419B" w:rsidP="00E5419B">
      <w:pPr>
        <w:spacing w:after="160" w:line="276" w:lineRule="auto"/>
        <w:rPr>
          <w:rFonts w:eastAsiaTheme="minorHAnsi" w:cs="Arial"/>
          <w:b/>
          <w:bCs/>
          <w:szCs w:val="20"/>
        </w:rPr>
      </w:pPr>
      <w:r w:rsidRPr="005E4BEA">
        <w:rPr>
          <w:rFonts w:eastAsiaTheme="minorHAnsi" w:cs="Arial"/>
          <w:b/>
          <w:bCs/>
          <w:szCs w:val="20"/>
        </w:rPr>
        <w:t>V Prilogi I se iz vseh kalkulacij za zobozdravstvene dejavnosti briše evidenčna RTG točka (4,80).</w:t>
      </w:r>
    </w:p>
    <w:p w14:paraId="79D03A53" w14:textId="77777777" w:rsidR="00E5419B" w:rsidRPr="005E4BEA" w:rsidRDefault="00E5419B" w:rsidP="00E5419B">
      <w:pPr>
        <w:spacing w:after="160" w:line="276" w:lineRule="auto"/>
        <w:rPr>
          <w:rFonts w:eastAsiaTheme="minorHAnsi" w:cs="Arial"/>
          <w:szCs w:val="20"/>
        </w:rPr>
      </w:pPr>
    </w:p>
    <w:p w14:paraId="445A6AC1" w14:textId="77777777" w:rsidR="00E5419B" w:rsidRPr="005E4BEA" w:rsidRDefault="00E5419B" w:rsidP="00E5419B">
      <w:pPr>
        <w:spacing w:after="160" w:line="276" w:lineRule="auto"/>
        <w:rPr>
          <w:rFonts w:eastAsiaTheme="minorHAnsi" w:cs="Arial"/>
          <w:b/>
          <w:bCs/>
          <w:szCs w:val="20"/>
        </w:rPr>
      </w:pPr>
      <w:r w:rsidRPr="005E4BEA">
        <w:rPr>
          <w:rFonts w:eastAsiaTheme="minorHAnsi" w:cs="Arial"/>
          <w:b/>
          <w:bCs/>
          <w:szCs w:val="20"/>
        </w:rPr>
        <w:t>V Prilogi III/a se v točki 8. Zobozdravstvo v (2) odstavku  doda besedilo:</w:t>
      </w:r>
    </w:p>
    <w:p w14:paraId="5BBE3777" w14:textId="77777777" w:rsidR="00E5419B" w:rsidRPr="005E4BEA" w:rsidRDefault="00E5419B" w:rsidP="00E5419B">
      <w:pPr>
        <w:spacing w:after="160" w:line="276" w:lineRule="auto"/>
        <w:jc w:val="both"/>
        <w:rPr>
          <w:rFonts w:eastAsiaTheme="minorHAnsi" w:cs="Arial"/>
          <w:color w:val="FF0000"/>
          <w:szCs w:val="20"/>
        </w:rPr>
      </w:pPr>
      <w:r w:rsidRPr="005E4BEA">
        <w:rPr>
          <w:rFonts w:eastAsiaTheme="minorHAnsi" w:cs="Arial"/>
          <w:szCs w:val="20"/>
        </w:rPr>
        <w:t>»</w:t>
      </w:r>
      <w:bookmarkStart w:id="25" w:name="_Hlk102648933"/>
      <w:r w:rsidRPr="005E4BEA">
        <w:rPr>
          <w:rFonts w:eastAsiaTheme="minorHAnsi" w:cs="Arial"/>
          <w:szCs w:val="20"/>
        </w:rPr>
        <w:t xml:space="preserve">V dejavnosti 404 101 Zobozdravstvo za odrasle in 404 105 Zobozdravstvo za študente je v skladu s kalkulacijo v Prilogi I planirano 1.614 točk za RTG slikanja na tim. </w:t>
      </w:r>
      <w:bookmarkEnd w:id="25"/>
      <w:r w:rsidRPr="005E4BEA">
        <w:rPr>
          <w:rFonts w:eastAsiaTheme="minorHAnsi" w:cs="Arial"/>
          <w:szCs w:val="20"/>
        </w:rPr>
        <w:t xml:space="preserve">V dejavnosti 404 103 Zobozdravstvo za mladino je v skladu s kalkulacijo v Prilogi I planirano 807 točk za RTG slikanja na tim. Nerealizirane točke za RTG slikanja se ne morejo nadomestiti z realizacijo ostalih zobozdravstvenih storitev. Pri končnem letnem obračunu se dodatno upošteva pogoj, da se RTG slikanja plačajo v realizirani višini, če je njihova realizacija manjša od planirane.« </w:t>
      </w:r>
    </w:p>
    <w:p w14:paraId="2B62C9C4" w14:textId="77777777" w:rsidR="00E5419B" w:rsidRPr="005E4BEA" w:rsidRDefault="00E5419B" w:rsidP="00E5419B">
      <w:pPr>
        <w:spacing w:after="160" w:line="276" w:lineRule="auto"/>
        <w:jc w:val="both"/>
        <w:rPr>
          <w:rFonts w:eastAsiaTheme="minorHAnsi" w:cs="Arial"/>
          <w:szCs w:val="20"/>
        </w:rPr>
      </w:pPr>
    </w:p>
    <w:p w14:paraId="07E32F83" w14:textId="77777777" w:rsidR="00E5419B" w:rsidRPr="005E4BEA" w:rsidRDefault="00E5419B" w:rsidP="00E5419B">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1A256C2" w14:textId="77777777" w:rsidR="00E5419B" w:rsidRPr="005E4BEA" w:rsidRDefault="00E5419B" w:rsidP="00E5419B">
      <w:pPr>
        <w:spacing w:line="240" w:lineRule="auto"/>
        <w:jc w:val="both"/>
        <w:rPr>
          <w:rFonts w:eastAsia="Calibri" w:cs="Arial"/>
          <w:i/>
          <w:iCs/>
          <w:color w:val="7F7F7F"/>
          <w:szCs w:val="20"/>
        </w:rPr>
      </w:pPr>
      <w:bookmarkStart w:id="26" w:name="_Hlk102987298"/>
      <w:r w:rsidRPr="005E4BEA">
        <w:rPr>
          <w:rFonts w:eastAsia="Calibri" w:cs="Arial"/>
          <w:i/>
          <w:iCs/>
          <w:color w:val="7F7F7F"/>
          <w:szCs w:val="20"/>
        </w:rPr>
        <w:t>RTG storitve v zobozdravstvu bodo prenovljene na način, da se uskladi cene storitev slikanja ter da se loči storitve slikanja in odčitavanja. Ustrezno sta popravljeni kalkulaciji v Prilogi I za VZD 404 101 Zobozdravstvo za odrasle in VZD 404 105 Zobozdravstvo za študente.</w:t>
      </w:r>
    </w:p>
    <w:p w14:paraId="3BE723B9" w14:textId="77777777" w:rsidR="00E5419B" w:rsidRPr="005E4BEA" w:rsidRDefault="00E5419B" w:rsidP="00E5419B">
      <w:pPr>
        <w:spacing w:line="240" w:lineRule="auto"/>
        <w:jc w:val="both"/>
        <w:rPr>
          <w:rFonts w:eastAsia="Calibri" w:cs="Arial"/>
          <w:i/>
          <w:iCs/>
          <w:color w:val="7F7F7F"/>
          <w:szCs w:val="20"/>
        </w:rPr>
      </w:pPr>
      <w:r w:rsidRPr="005E4BEA">
        <w:rPr>
          <w:rFonts w:eastAsia="Calibri" w:cs="Arial"/>
          <w:i/>
          <w:iCs/>
          <w:color w:val="7F7F7F"/>
          <w:szCs w:val="20"/>
        </w:rPr>
        <w:t xml:space="preserve">Potrebna dodatna sredstva so 2,27 mio €. </w:t>
      </w:r>
      <w:bookmarkEnd w:id="26"/>
    </w:p>
    <w:p w14:paraId="1E86FEB2" w14:textId="3BE5BF04" w:rsidR="00E5419B" w:rsidRPr="005E4BEA" w:rsidRDefault="00E5419B" w:rsidP="00E5419B">
      <w:pPr>
        <w:spacing w:line="240" w:lineRule="auto"/>
        <w:jc w:val="both"/>
        <w:rPr>
          <w:rFonts w:eastAsia="Calibri" w:cs="Arial"/>
          <w:b/>
          <w:bCs/>
          <w:i/>
          <w:iCs/>
          <w:color w:val="7F7F7F"/>
          <w:szCs w:val="20"/>
          <w:u w:val="single"/>
        </w:rPr>
      </w:pPr>
    </w:p>
    <w:p w14:paraId="77DDD9D0" w14:textId="77777777" w:rsidR="00E5419B" w:rsidRPr="005E4BEA" w:rsidRDefault="00E5419B" w:rsidP="00E5419B">
      <w:pPr>
        <w:spacing w:line="240" w:lineRule="auto"/>
        <w:jc w:val="both"/>
        <w:rPr>
          <w:rFonts w:eastAsia="Calibri" w:cs="Arial"/>
          <w:b/>
          <w:bCs/>
          <w:i/>
          <w:iCs/>
          <w:color w:val="7F7F7F"/>
          <w:szCs w:val="20"/>
          <w:u w:val="single"/>
        </w:rPr>
      </w:pPr>
    </w:p>
    <w:p w14:paraId="340E30BA" w14:textId="77777777" w:rsidR="00346825" w:rsidRPr="005E4BEA" w:rsidRDefault="00346825" w:rsidP="00346825">
      <w:pPr>
        <w:spacing w:line="0" w:lineRule="atLeast"/>
        <w:jc w:val="both"/>
        <w:rPr>
          <w:rFonts w:eastAsia="Arial Narrow" w:cs="Arial"/>
          <w:szCs w:val="20"/>
          <w:lang w:eastAsia="sl-SI"/>
        </w:rPr>
      </w:pPr>
    </w:p>
    <w:p w14:paraId="434A8C0F" w14:textId="44A23A02" w:rsidR="00172AA6" w:rsidRPr="005E4BEA" w:rsidRDefault="00346825" w:rsidP="00172AA6">
      <w:pPr>
        <w:autoSpaceDE w:val="0"/>
        <w:autoSpaceDN w:val="0"/>
        <w:adjustRightInd w:val="0"/>
        <w:spacing w:line="0" w:lineRule="atLeast"/>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27" w:name="_Hlk102466167"/>
      <w:bookmarkStart w:id="28" w:name="_Hlk102658218"/>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w:t>
      </w:r>
      <w:bookmarkEnd w:id="27"/>
      <w:r w:rsidR="00172AA6" w:rsidRPr="005E4BEA">
        <w:rPr>
          <w:rFonts w:eastAsia="Arial Narrow" w:cs="Arial"/>
          <w:bCs/>
          <w:szCs w:val="20"/>
        </w:rPr>
        <w:t>v</w:t>
      </w:r>
      <w:r w:rsidR="00172AA6" w:rsidRPr="005E4BEA">
        <w:rPr>
          <w:rFonts w:eastAsiaTheme="minorHAnsi" w:cs="Arial"/>
          <w:bCs/>
          <w:szCs w:val="20"/>
        </w:rPr>
        <w:t xml:space="preserve"> 23. členu v štirinajstem odstavku spremeni drugi stavek tako, da se glasi:</w:t>
      </w:r>
    </w:p>
    <w:p w14:paraId="1E983CD7" w14:textId="77777777" w:rsidR="00172AA6" w:rsidRPr="005E4BEA" w:rsidRDefault="00172AA6" w:rsidP="00172AA6">
      <w:pPr>
        <w:autoSpaceDE w:val="0"/>
        <w:autoSpaceDN w:val="0"/>
        <w:adjustRightInd w:val="0"/>
        <w:spacing w:line="0" w:lineRule="atLeast"/>
        <w:jc w:val="both"/>
        <w:rPr>
          <w:rFonts w:eastAsia="Arial Narrow" w:cs="Arial"/>
          <w:bCs/>
          <w:szCs w:val="20"/>
        </w:rPr>
      </w:pPr>
    </w:p>
    <w:p w14:paraId="1DEC0088" w14:textId="77777777" w:rsidR="00172AA6" w:rsidRPr="005E4BEA" w:rsidRDefault="00172AA6" w:rsidP="00172AA6">
      <w:pPr>
        <w:spacing w:after="160" w:line="276" w:lineRule="auto"/>
        <w:rPr>
          <w:rFonts w:eastAsiaTheme="minorHAnsi" w:cs="Arial"/>
          <w:color w:val="000000"/>
          <w:szCs w:val="20"/>
        </w:rPr>
      </w:pPr>
      <w:r w:rsidRPr="005E4BEA">
        <w:rPr>
          <w:rFonts w:eastAsiaTheme="minorHAnsi" w:cs="Arial"/>
          <w:bCs/>
          <w:szCs w:val="20"/>
        </w:rPr>
        <w:t>»</w:t>
      </w:r>
      <w:r w:rsidRPr="005E4BEA">
        <w:rPr>
          <w:rFonts w:eastAsiaTheme="minorHAnsi" w:cs="Arial"/>
          <w:bCs/>
          <w:color w:val="000000"/>
          <w:szCs w:val="20"/>
        </w:rPr>
        <w:t>Storitve zobozdravstvenega rentgena si bodo izvajalci med seboj obračunavali po veljavni ceni točke.«</w:t>
      </w:r>
    </w:p>
    <w:p w14:paraId="01DD1629" w14:textId="77777777" w:rsidR="00172AA6" w:rsidRPr="005E4BEA" w:rsidRDefault="00172AA6" w:rsidP="00172AA6">
      <w:pPr>
        <w:spacing w:after="160" w:line="276" w:lineRule="auto"/>
        <w:rPr>
          <w:rFonts w:eastAsiaTheme="minorHAnsi" w:cs="Arial"/>
          <w:b/>
          <w:bCs/>
          <w:szCs w:val="20"/>
        </w:rPr>
      </w:pPr>
      <w:r w:rsidRPr="005E4BEA">
        <w:rPr>
          <w:rFonts w:eastAsiaTheme="minorHAnsi" w:cs="Arial"/>
          <w:b/>
          <w:bCs/>
          <w:szCs w:val="20"/>
        </w:rPr>
        <w:t xml:space="preserve"> V 24. členu v (5) odstavku</w:t>
      </w:r>
      <w:r w:rsidRPr="005E4BEA">
        <w:rPr>
          <w:rFonts w:eastAsiaTheme="minorHAnsi" w:cs="Arial"/>
          <w:b/>
          <w:szCs w:val="20"/>
        </w:rPr>
        <w:t xml:space="preserve"> se doda nova točka, ki se glasi:</w:t>
      </w:r>
    </w:p>
    <w:p w14:paraId="19A7D194" w14:textId="77777777" w:rsidR="00172AA6" w:rsidRPr="005E4BEA" w:rsidRDefault="00172AA6" w:rsidP="00172AA6">
      <w:pPr>
        <w:spacing w:line="120" w:lineRule="exact"/>
        <w:rPr>
          <w:rFonts w:cs="Arial"/>
          <w:szCs w:val="20"/>
        </w:rPr>
      </w:pPr>
    </w:p>
    <w:tbl>
      <w:tblPr>
        <w:tblW w:w="8717" w:type="dxa"/>
        <w:tblInd w:w="6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70" w:type="dxa"/>
          <w:right w:w="70" w:type="dxa"/>
        </w:tblCellMar>
        <w:tblLook w:val="04A0" w:firstRow="1" w:lastRow="0" w:firstColumn="1" w:lastColumn="0" w:noHBand="0" w:noVBand="1"/>
      </w:tblPr>
      <w:tblGrid>
        <w:gridCol w:w="2982"/>
        <w:gridCol w:w="1874"/>
        <w:gridCol w:w="1134"/>
        <w:gridCol w:w="1310"/>
        <w:gridCol w:w="1417"/>
      </w:tblGrid>
      <w:tr w:rsidR="00172AA6" w:rsidRPr="005E4BEA" w14:paraId="4C7163EB" w14:textId="77777777" w:rsidTr="006F2C89">
        <w:trPr>
          <w:trHeight w:hRule="exact" w:val="20"/>
        </w:trPr>
        <w:tc>
          <w:tcPr>
            <w:tcW w:w="2982" w:type="dxa"/>
            <w:vMerge w:val="restart"/>
            <w:shd w:val="clear" w:color="auto" w:fill="auto"/>
            <w:vAlign w:val="center"/>
            <w:hideMark/>
          </w:tcPr>
          <w:p w14:paraId="561FD476" w14:textId="77777777" w:rsidR="00172AA6" w:rsidRPr="005E4BEA" w:rsidRDefault="00172AA6" w:rsidP="006F2C89">
            <w:pPr>
              <w:spacing w:after="120" w:line="240" w:lineRule="auto"/>
              <w:jc w:val="both"/>
              <w:rPr>
                <w:rFonts w:eastAsia="Arial Narrow" w:cs="Arial"/>
                <w:b/>
                <w:szCs w:val="20"/>
              </w:rPr>
            </w:pPr>
            <w:r w:rsidRPr="005E4BEA">
              <w:rPr>
                <w:rFonts w:eastAsia="Arial Narrow" w:cs="Arial"/>
                <w:b/>
                <w:szCs w:val="20"/>
              </w:rPr>
              <w:t>P   r   o   g   r   a   m</w:t>
            </w:r>
          </w:p>
        </w:tc>
        <w:tc>
          <w:tcPr>
            <w:tcW w:w="1874" w:type="dxa"/>
            <w:vMerge w:val="restart"/>
            <w:shd w:val="clear" w:color="auto" w:fill="auto"/>
            <w:vAlign w:val="center"/>
            <w:hideMark/>
          </w:tcPr>
          <w:p w14:paraId="1E269E77" w14:textId="77777777" w:rsidR="00172AA6" w:rsidRPr="005E4BEA" w:rsidRDefault="00172AA6" w:rsidP="006F2C89">
            <w:pPr>
              <w:spacing w:after="120" w:line="240" w:lineRule="auto"/>
              <w:jc w:val="both"/>
              <w:rPr>
                <w:rFonts w:eastAsia="Arial Narrow" w:cs="Arial"/>
                <w:b/>
                <w:szCs w:val="20"/>
              </w:rPr>
            </w:pPr>
            <w:r w:rsidRPr="005E4BEA">
              <w:rPr>
                <w:rFonts w:eastAsia="Arial Narrow" w:cs="Arial"/>
                <w:b/>
                <w:szCs w:val="20"/>
              </w:rPr>
              <w:t xml:space="preserve">I z v a j a l e c </w:t>
            </w:r>
            <w:r w:rsidRPr="005E4BEA">
              <w:rPr>
                <w:rFonts w:eastAsia="Arial Narrow" w:cs="Arial"/>
                <w:b/>
                <w:szCs w:val="20"/>
              </w:rPr>
              <w:br/>
            </w:r>
          </w:p>
        </w:tc>
        <w:tc>
          <w:tcPr>
            <w:tcW w:w="1134" w:type="dxa"/>
            <w:vMerge w:val="restart"/>
            <w:shd w:val="clear" w:color="auto" w:fill="auto"/>
            <w:vAlign w:val="center"/>
            <w:hideMark/>
          </w:tcPr>
          <w:p w14:paraId="4A9A0EC6" w14:textId="77777777" w:rsidR="00172AA6" w:rsidRPr="005E4BEA" w:rsidRDefault="00172AA6" w:rsidP="006F2C89">
            <w:pPr>
              <w:spacing w:after="120" w:line="240" w:lineRule="auto"/>
              <w:jc w:val="both"/>
              <w:rPr>
                <w:rFonts w:eastAsia="Arial Narrow" w:cs="Arial"/>
                <w:b/>
                <w:szCs w:val="20"/>
              </w:rPr>
            </w:pPr>
            <w:r w:rsidRPr="005E4BEA">
              <w:rPr>
                <w:rFonts w:eastAsia="Arial Narrow" w:cs="Arial"/>
                <w:b/>
                <w:szCs w:val="20"/>
              </w:rPr>
              <w:t>Obseg programa</w:t>
            </w:r>
          </w:p>
        </w:tc>
        <w:tc>
          <w:tcPr>
            <w:tcW w:w="1310" w:type="dxa"/>
            <w:vMerge w:val="restart"/>
            <w:shd w:val="clear" w:color="auto" w:fill="auto"/>
            <w:vAlign w:val="center"/>
            <w:hideMark/>
          </w:tcPr>
          <w:p w14:paraId="1335B014" w14:textId="77777777" w:rsidR="00172AA6" w:rsidRPr="005E4BEA" w:rsidRDefault="00172AA6" w:rsidP="006F2C89">
            <w:pPr>
              <w:spacing w:after="120" w:line="240" w:lineRule="auto"/>
              <w:jc w:val="center"/>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na letni ravni</w:t>
            </w:r>
            <w:r w:rsidRPr="005E4BEA">
              <w:rPr>
                <w:rFonts w:eastAsia="Arial Narrow" w:cs="Arial"/>
                <w:b/>
                <w:szCs w:val="20"/>
              </w:rPr>
              <w:br/>
              <w:t>(v EUR)</w:t>
            </w:r>
          </w:p>
        </w:tc>
        <w:tc>
          <w:tcPr>
            <w:tcW w:w="1417" w:type="dxa"/>
            <w:vMerge w:val="restart"/>
            <w:shd w:val="clear" w:color="auto" w:fill="auto"/>
            <w:vAlign w:val="center"/>
            <w:hideMark/>
          </w:tcPr>
          <w:p w14:paraId="0DB0A332" w14:textId="77777777" w:rsidR="00172AA6" w:rsidRPr="005E4BEA" w:rsidRDefault="00172AA6" w:rsidP="006F2C89">
            <w:pPr>
              <w:spacing w:after="120" w:line="240" w:lineRule="auto"/>
              <w:jc w:val="center"/>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1.1.-31.12.2022</w:t>
            </w:r>
            <w:r w:rsidRPr="005E4BEA">
              <w:rPr>
                <w:rFonts w:eastAsia="Arial Narrow" w:cs="Arial"/>
                <w:b/>
                <w:szCs w:val="20"/>
              </w:rPr>
              <w:br/>
              <w:t>(v EUR)</w:t>
            </w:r>
          </w:p>
        </w:tc>
      </w:tr>
      <w:tr w:rsidR="00172AA6" w:rsidRPr="005E4BEA" w14:paraId="0B043689" w14:textId="77777777" w:rsidTr="006F2C89">
        <w:trPr>
          <w:trHeight w:hRule="exact" w:val="20"/>
        </w:trPr>
        <w:tc>
          <w:tcPr>
            <w:tcW w:w="2982" w:type="dxa"/>
            <w:vMerge/>
            <w:shd w:val="clear" w:color="auto" w:fill="auto"/>
            <w:vAlign w:val="center"/>
          </w:tcPr>
          <w:p w14:paraId="35131566" w14:textId="77777777" w:rsidR="00172AA6" w:rsidRPr="005E4BEA" w:rsidRDefault="00172AA6" w:rsidP="006F2C89">
            <w:pPr>
              <w:spacing w:after="120" w:line="240" w:lineRule="auto"/>
              <w:jc w:val="both"/>
              <w:rPr>
                <w:rFonts w:eastAsia="Arial Narrow" w:cs="Arial"/>
                <w:b/>
                <w:szCs w:val="20"/>
              </w:rPr>
            </w:pPr>
          </w:p>
        </w:tc>
        <w:tc>
          <w:tcPr>
            <w:tcW w:w="1874" w:type="dxa"/>
            <w:vMerge/>
            <w:shd w:val="clear" w:color="auto" w:fill="auto"/>
            <w:vAlign w:val="center"/>
          </w:tcPr>
          <w:p w14:paraId="3828BA87" w14:textId="77777777" w:rsidR="00172AA6" w:rsidRPr="005E4BEA" w:rsidRDefault="00172AA6" w:rsidP="006F2C89">
            <w:pPr>
              <w:spacing w:after="120" w:line="240" w:lineRule="auto"/>
              <w:jc w:val="both"/>
              <w:rPr>
                <w:rFonts w:eastAsia="Arial Narrow" w:cs="Arial"/>
                <w:b/>
                <w:szCs w:val="20"/>
              </w:rPr>
            </w:pPr>
          </w:p>
        </w:tc>
        <w:tc>
          <w:tcPr>
            <w:tcW w:w="1134" w:type="dxa"/>
            <w:vMerge/>
            <w:shd w:val="clear" w:color="auto" w:fill="auto"/>
            <w:vAlign w:val="center"/>
          </w:tcPr>
          <w:p w14:paraId="0D88AA08" w14:textId="77777777" w:rsidR="00172AA6" w:rsidRPr="005E4BEA" w:rsidRDefault="00172AA6" w:rsidP="006F2C89">
            <w:pPr>
              <w:spacing w:after="120" w:line="240" w:lineRule="auto"/>
              <w:jc w:val="both"/>
              <w:rPr>
                <w:rFonts w:eastAsia="Arial Narrow" w:cs="Arial"/>
                <w:b/>
                <w:szCs w:val="20"/>
              </w:rPr>
            </w:pPr>
          </w:p>
        </w:tc>
        <w:tc>
          <w:tcPr>
            <w:tcW w:w="1310" w:type="dxa"/>
            <w:vMerge/>
            <w:shd w:val="clear" w:color="auto" w:fill="auto"/>
            <w:vAlign w:val="center"/>
          </w:tcPr>
          <w:p w14:paraId="4EEFB857" w14:textId="77777777" w:rsidR="00172AA6" w:rsidRPr="005E4BEA" w:rsidRDefault="00172AA6" w:rsidP="006F2C89">
            <w:pPr>
              <w:spacing w:after="120" w:line="240" w:lineRule="auto"/>
              <w:jc w:val="center"/>
              <w:rPr>
                <w:rFonts w:eastAsia="Arial Narrow" w:cs="Arial"/>
                <w:b/>
                <w:szCs w:val="20"/>
              </w:rPr>
            </w:pPr>
          </w:p>
        </w:tc>
        <w:tc>
          <w:tcPr>
            <w:tcW w:w="1417" w:type="dxa"/>
            <w:vMerge/>
            <w:shd w:val="clear" w:color="auto" w:fill="auto"/>
            <w:vAlign w:val="center"/>
          </w:tcPr>
          <w:p w14:paraId="5D7FCDBA" w14:textId="77777777" w:rsidR="00172AA6" w:rsidRPr="005E4BEA" w:rsidRDefault="00172AA6" w:rsidP="006F2C89">
            <w:pPr>
              <w:spacing w:after="120" w:line="240" w:lineRule="auto"/>
              <w:jc w:val="center"/>
              <w:rPr>
                <w:rFonts w:eastAsia="Arial Narrow" w:cs="Arial"/>
                <w:b/>
                <w:szCs w:val="20"/>
              </w:rPr>
            </w:pPr>
          </w:p>
        </w:tc>
      </w:tr>
      <w:tr w:rsidR="00172AA6" w:rsidRPr="005E4BEA" w14:paraId="647A0DE3" w14:textId="77777777" w:rsidTr="006F2C89">
        <w:trPr>
          <w:trHeight w:hRule="exact" w:val="20"/>
        </w:trPr>
        <w:tc>
          <w:tcPr>
            <w:tcW w:w="2982" w:type="dxa"/>
            <w:vMerge/>
            <w:shd w:val="clear" w:color="auto" w:fill="auto"/>
            <w:vAlign w:val="center"/>
          </w:tcPr>
          <w:p w14:paraId="3BACD0B4" w14:textId="77777777" w:rsidR="00172AA6" w:rsidRPr="005E4BEA" w:rsidRDefault="00172AA6" w:rsidP="006F2C89">
            <w:pPr>
              <w:spacing w:after="120" w:line="240" w:lineRule="auto"/>
              <w:jc w:val="both"/>
              <w:rPr>
                <w:rFonts w:eastAsia="Arial Narrow" w:cs="Arial"/>
                <w:b/>
                <w:szCs w:val="20"/>
              </w:rPr>
            </w:pPr>
          </w:p>
        </w:tc>
        <w:tc>
          <w:tcPr>
            <w:tcW w:w="1874" w:type="dxa"/>
            <w:vMerge/>
            <w:shd w:val="clear" w:color="auto" w:fill="auto"/>
            <w:vAlign w:val="center"/>
          </w:tcPr>
          <w:p w14:paraId="6FCF664D" w14:textId="77777777" w:rsidR="00172AA6" w:rsidRPr="005E4BEA" w:rsidRDefault="00172AA6" w:rsidP="006F2C89">
            <w:pPr>
              <w:spacing w:after="120" w:line="240" w:lineRule="auto"/>
              <w:jc w:val="both"/>
              <w:rPr>
                <w:rFonts w:eastAsia="Arial Narrow" w:cs="Arial"/>
                <w:b/>
                <w:szCs w:val="20"/>
              </w:rPr>
            </w:pPr>
          </w:p>
        </w:tc>
        <w:tc>
          <w:tcPr>
            <w:tcW w:w="1134" w:type="dxa"/>
            <w:vMerge/>
            <w:shd w:val="clear" w:color="auto" w:fill="auto"/>
            <w:vAlign w:val="center"/>
          </w:tcPr>
          <w:p w14:paraId="02947ACF" w14:textId="77777777" w:rsidR="00172AA6" w:rsidRPr="005E4BEA" w:rsidRDefault="00172AA6" w:rsidP="006F2C89">
            <w:pPr>
              <w:spacing w:after="120" w:line="240" w:lineRule="auto"/>
              <w:jc w:val="both"/>
              <w:rPr>
                <w:rFonts w:eastAsia="Arial Narrow" w:cs="Arial"/>
                <w:b/>
                <w:szCs w:val="20"/>
              </w:rPr>
            </w:pPr>
          </w:p>
        </w:tc>
        <w:tc>
          <w:tcPr>
            <w:tcW w:w="1310" w:type="dxa"/>
            <w:vMerge/>
            <w:shd w:val="clear" w:color="auto" w:fill="auto"/>
            <w:vAlign w:val="center"/>
          </w:tcPr>
          <w:p w14:paraId="1537FACB" w14:textId="77777777" w:rsidR="00172AA6" w:rsidRPr="005E4BEA" w:rsidRDefault="00172AA6" w:rsidP="006F2C89">
            <w:pPr>
              <w:spacing w:after="120" w:line="240" w:lineRule="auto"/>
              <w:jc w:val="center"/>
              <w:rPr>
                <w:rFonts w:eastAsia="Arial Narrow" w:cs="Arial"/>
                <w:b/>
                <w:szCs w:val="20"/>
              </w:rPr>
            </w:pPr>
          </w:p>
        </w:tc>
        <w:tc>
          <w:tcPr>
            <w:tcW w:w="1417" w:type="dxa"/>
            <w:vMerge/>
            <w:shd w:val="clear" w:color="auto" w:fill="auto"/>
            <w:vAlign w:val="center"/>
          </w:tcPr>
          <w:p w14:paraId="1F9CFBF1" w14:textId="77777777" w:rsidR="00172AA6" w:rsidRPr="005E4BEA" w:rsidRDefault="00172AA6" w:rsidP="006F2C89">
            <w:pPr>
              <w:spacing w:after="120" w:line="240" w:lineRule="auto"/>
              <w:jc w:val="center"/>
              <w:rPr>
                <w:rFonts w:eastAsia="Arial Narrow" w:cs="Arial"/>
                <w:b/>
                <w:szCs w:val="20"/>
              </w:rPr>
            </w:pPr>
          </w:p>
        </w:tc>
      </w:tr>
      <w:tr w:rsidR="00172AA6" w:rsidRPr="005E4BEA" w14:paraId="25649581" w14:textId="77777777" w:rsidTr="006F2C89">
        <w:trPr>
          <w:trHeight w:val="509"/>
        </w:trPr>
        <w:tc>
          <w:tcPr>
            <w:tcW w:w="2982" w:type="dxa"/>
            <w:vMerge/>
            <w:vAlign w:val="center"/>
            <w:hideMark/>
          </w:tcPr>
          <w:p w14:paraId="3973A64A" w14:textId="77777777" w:rsidR="00172AA6" w:rsidRPr="005E4BEA" w:rsidRDefault="00172AA6" w:rsidP="006F2C89">
            <w:pPr>
              <w:spacing w:after="120" w:line="240" w:lineRule="auto"/>
              <w:jc w:val="both"/>
              <w:rPr>
                <w:rFonts w:eastAsia="Arial Narrow" w:cs="Arial"/>
                <w:szCs w:val="20"/>
              </w:rPr>
            </w:pPr>
          </w:p>
        </w:tc>
        <w:tc>
          <w:tcPr>
            <w:tcW w:w="1874" w:type="dxa"/>
            <w:vMerge/>
            <w:vAlign w:val="center"/>
            <w:hideMark/>
          </w:tcPr>
          <w:p w14:paraId="24BF4325" w14:textId="77777777" w:rsidR="00172AA6" w:rsidRPr="005E4BEA" w:rsidRDefault="00172AA6" w:rsidP="006F2C89">
            <w:pPr>
              <w:spacing w:after="120" w:line="240" w:lineRule="auto"/>
              <w:jc w:val="both"/>
              <w:rPr>
                <w:rFonts w:eastAsia="Arial Narrow" w:cs="Arial"/>
                <w:szCs w:val="20"/>
              </w:rPr>
            </w:pPr>
          </w:p>
        </w:tc>
        <w:tc>
          <w:tcPr>
            <w:tcW w:w="1134" w:type="dxa"/>
            <w:vMerge/>
            <w:vAlign w:val="center"/>
            <w:hideMark/>
          </w:tcPr>
          <w:p w14:paraId="587FA93F" w14:textId="77777777" w:rsidR="00172AA6" w:rsidRPr="005E4BEA" w:rsidRDefault="00172AA6" w:rsidP="006F2C89">
            <w:pPr>
              <w:spacing w:after="120" w:line="240" w:lineRule="auto"/>
              <w:jc w:val="both"/>
              <w:rPr>
                <w:rFonts w:eastAsia="Arial Narrow" w:cs="Arial"/>
                <w:szCs w:val="20"/>
              </w:rPr>
            </w:pPr>
          </w:p>
        </w:tc>
        <w:tc>
          <w:tcPr>
            <w:tcW w:w="1310" w:type="dxa"/>
            <w:vMerge/>
            <w:vAlign w:val="center"/>
            <w:hideMark/>
          </w:tcPr>
          <w:p w14:paraId="348CC8AE" w14:textId="77777777" w:rsidR="00172AA6" w:rsidRPr="005E4BEA" w:rsidRDefault="00172AA6" w:rsidP="006F2C89">
            <w:pPr>
              <w:spacing w:after="120" w:line="240" w:lineRule="auto"/>
              <w:jc w:val="both"/>
              <w:rPr>
                <w:rFonts w:eastAsia="Arial Narrow" w:cs="Arial"/>
                <w:szCs w:val="20"/>
              </w:rPr>
            </w:pPr>
          </w:p>
        </w:tc>
        <w:tc>
          <w:tcPr>
            <w:tcW w:w="1417" w:type="dxa"/>
            <w:vMerge/>
            <w:vAlign w:val="center"/>
            <w:hideMark/>
          </w:tcPr>
          <w:p w14:paraId="17FB792E" w14:textId="77777777" w:rsidR="00172AA6" w:rsidRPr="005E4BEA" w:rsidRDefault="00172AA6" w:rsidP="006F2C89">
            <w:pPr>
              <w:spacing w:after="120" w:line="240" w:lineRule="auto"/>
              <w:jc w:val="both"/>
              <w:rPr>
                <w:rFonts w:eastAsia="Arial Narrow" w:cs="Arial"/>
                <w:szCs w:val="20"/>
              </w:rPr>
            </w:pPr>
          </w:p>
        </w:tc>
      </w:tr>
      <w:tr w:rsidR="00172AA6" w:rsidRPr="005E4BEA" w14:paraId="7D4B2313" w14:textId="77777777" w:rsidTr="00114B48">
        <w:trPr>
          <w:trHeight w:hRule="exact" w:val="428"/>
        </w:trPr>
        <w:tc>
          <w:tcPr>
            <w:tcW w:w="2982" w:type="dxa"/>
            <w:vMerge/>
            <w:vAlign w:val="center"/>
            <w:hideMark/>
          </w:tcPr>
          <w:p w14:paraId="1EC84DC2" w14:textId="77777777" w:rsidR="00172AA6" w:rsidRPr="005E4BEA" w:rsidRDefault="00172AA6" w:rsidP="006F2C89">
            <w:pPr>
              <w:spacing w:after="120" w:line="240" w:lineRule="auto"/>
              <w:jc w:val="both"/>
              <w:rPr>
                <w:rFonts w:eastAsia="Arial Narrow" w:cs="Arial"/>
                <w:szCs w:val="20"/>
              </w:rPr>
            </w:pPr>
          </w:p>
        </w:tc>
        <w:tc>
          <w:tcPr>
            <w:tcW w:w="1874" w:type="dxa"/>
            <w:vMerge/>
            <w:vAlign w:val="center"/>
            <w:hideMark/>
          </w:tcPr>
          <w:p w14:paraId="055BC16E" w14:textId="77777777" w:rsidR="00172AA6" w:rsidRPr="005E4BEA" w:rsidRDefault="00172AA6" w:rsidP="006F2C89">
            <w:pPr>
              <w:spacing w:after="120" w:line="240" w:lineRule="auto"/>
              <w:jc w:val="both"/>
              <w:rPr>
                <w:rFonts w:eastAsia="Arial Narrow" w:cs="Arial"/>
                <w:szCs w:val="20"/>
              </w:rPr>
            </w:pPr>
          </w:p>
        </w:tc>
        <w:tc>
          <w:tcPr>
            <w:tcW w:w="1134" w:type="dxa"/>
            <w:vMerge/>
            <w:vAlign w:val="center"/>
            <w:hideMark/>
          </w:tcPr>
          <w:p w14:paraId="2C18440C" w14:textId="77777777" w:rsidR="00172AA6" w:rsidRPr="005E4BEA" w:rsidRDefault="00172AA6" w:rsidP="006F2C89">
            <w:pPr>
              <w:spacing w:after="120" w:line="240" w:lineRule="auto"/>
              <w:jc w:val="both"/>
              <w:rPr>
                <w:rFonts w:eastAsia="Arial Narrow" w:cs="Arial"/>
                <w:szCs w:val="20"/>
              </w:rPr>
            </w:pPr>
          </w:p>
        </w:tc>
        <w:tc>
          <w:tcPr>
            <w:tcW w:w="1310" w:type="dxa"/>
            <w:vMerge/>
            <w:tcBorders>
              <w:bottom w:val="single" w:sz="4" w:space="0" w:color="0070C0"/>
            </w:tcBorders>
            <w:vAlign w:val="center"/>
            <w:hideMark/>
          </w:tcPr>
          <w:p w14:paraId="39F744D8" w14:textId="77777777" w:rsidR="00172AA6" w:rsidRPr="005E4BEA" w:rsidRDefault="00172AA6" w:rsidP="006F2C89">
            <w:pPr>
              <w:spacing w:after="120" w:line="240" w:lineRule="auto"/>
              <w:jc w:val="both"/>
              <w:rPr>
                <w:rFonts w:eastAsia="Arial Narrow" w:cs="Arial"/>
                <w:szCs w:val="20"/>
              </w:rPr>
            </w:pPr>
          </w:p>
        </w:tc>
        <w:tc>
          <w:tcPr>
            <w:tcW w:w="1417" w:type="dxa"/>
            <w:vMerge/>
            <w:tcBorders>
              <w:bottom w:val="single" w:sz="4" w:space="0" w:color="0070C0"/>
            </w:tcBorders>
            <w:vAlign w:val="center"/>
            <w:hideMark/>
          </w:tcPr>
          <w:p w14:paraId="5E18ED0E" w14:textId="77777777" w:rsidR="00172AA6" w:rsidRPr="005E4BEA" w:rsidRDefault="00172AA6" w:rsidP="006F2C89">
            <w:pPr>
              <w:spacing w:after="120" w:line="240" w:lineRule="auto"/>
              <w:jc w:val="both"/>
              <w:rPr>
                <w:rFonts w:eastAsia="Arial Narrow" w:cs="Arial"/>
                <w:szCs w:val="20"/>
              </w:rPr>
            </w:pPr>
          </w:p>
        </w:tc>
      </w:tr>
      <w:tr w:rsidR="00172AA6" w:rsidRPr="005E4BEA" w14:paraId="06A5897D" w14:textId="77777777" w:rsidTr="006F2C89">
        <w:trPr>
          <w:trHeight w:hRule="exact" w:val="1020"/>
        </w:trPr>
        <w:tc>
          <w:tcPr>
            <w:tcW w:w="2982" w:type="dxa"/>
            <w:shd w:val="clear" w:color="auto" w:fill="auto"/>
          </w:tcPr>
          <w:p w14:paraId="468D8CCF" w14:textId="77777777" w:rsidR="00172AA6" w:rsidRPr="005E4BEA" w:rsidRDefault="00172AA6" w:rsidP="006F2C89">
            <w:pPr>
              <w:spacing w:line="240" w:lineRule="exact"/>
              <w:rPr>
                <w:rFonts w:eastAsia="Arial Narrow" w:cs="Arial"/>
                <w:szCs w:val="20"/>
              </w:rPr>
            </w:pPr>
            <w:r w:rsidRPr="005E4BEA">
              <w:rPr>
                <w:rFonts w:eastAsia="Arial Narrow" w:cs="Arial"/>
                <w:szCs w:val="20"/>
              </w:rPr>
              <w:t>Prenova zobozdravstvenih RTG storitev. Od 1. 1. 2023 dalje.</w:t>
            </w:r>
          </w:p>
        </w:tc>
        <w:tc>
          <w:tcPr>
            <w:tcW w:w="1874" w:type="dxa"/>
            <w:shd w:val="clear" w:color="auto" w:fill="auto"/>
          </w:tcPr>
          <w:p w14:paraId="3F5FB33F" w14:textId="77777777" w:rsidR="00172AA6" w:rsidRPr="005E4BEA" w:rsidRDefault="00172AA6" w:rsidP="006F2C89">
            <w:pPr>
              <w:spacing w:after="120" w:line="240" w:lineRule="auto"/>
              <w:jc w:val="both"/>
              <w:rPr>
                <w:rFonts w:eastAsia="Arial Narrow" w:cs="Arial"/>
                <w:szCs w:val="20"/>
              </w:rPr>
            </w:pPr>
            <w:r w:rsidRPr="005E4BEA">
              <w:rPr>
                <w:rFonts w:eastAsia="Arial Narrow" w:cs="Arial"/>
                <w:szCs w:val="20"/>
              </w:rPr>
              <w:t>Izvajalci zobozdravstvene dejavnosti</w:t>
            </w:r>
          </w:p>
        </w:tc>
        <w:tc>
          <w:tcPr>
            <w:tcW w:w="1134" w:type="dxa"/>
            <w:tcBorders>
              <w:right w:val="single" w:sz="4" w:space="0" w:color="0070C0"/>
            </w:tcBorders>
            <w:shd w:val="clear" w:color="auto" w:fill="auto"/>
            <w:noWrap/>
          </w:tcPr>
          <w:p w14:paraId="556C4DC1" w14:textId="77777777" w:rsidR="00172AA6" w:rsidRPr="005E4BEA" w:rsidRDefault="00172AA6" w:rsidP="006F2C89">
            <w:pPr>
              <w:spacing w:after="120" w:line="240" w:lineRule="auto"/>
              <w:jc w:val="center"/>
              <w:rPr>
                <w:rFonts w:eastAsia="Arial Narrow" w:cs="Arial"/>
                <w:szCs w:val="20"/>
              </w:rPr>
            </w:pPr>
          </w:p>
        </w:tc>
        <w:tc>
          <w:tcPr>
            <w:tcW w:w="1310" w:type="dxa"/>
            <w:tcBorders>
              <w:top w:val="single" w:sz="4" w:space="0" w:color="0070C0"/>
              <w:left w:val="single" w:sz="4" w:space="0" w:color="0070C0"/>
              <w:bottom w:val="single" w:sz="4" w:space="0" w:color="0070C0"/>
              <w:right w:val="single" w:sz="4" w:space="0" w:color="0070C0"/>
            </w:tcBorders>
            <w:noWrap/>
          </w:tcPr>
          <w:p w14:paraId="36EFC519" w14:textId="77777777" w:rsidR="00172AA6" w:rsidRPr="005E4BEA" w:rsidRDefault="00172AA6" w:rsidP="006F2C89">
            <w:pPr>
              <w:spacing w:after="120" w:line="240" w:lineRule="auto"/>
              <w:jc w:val="right"/>
              <w:rPr>
                <w:rFonts w:eastAsia="Arial Narrow" w:cs="Arial"/>
                <w:color w:val="000000"/>
                <w:szCs w:val="20"/>
              </w:rPr>
            </w:pPr>
            <w:r w:rsidRPr="005E4BEA">
              <w:rPr>
                <w:rFonts w:eastAsiaTheme="minorHAnsi" w:cs="Arial"/>
                <w:color w:val="000000"/>
                <w:szCs w:val="20"/>
              </w:rPr>
              <w:t>2.270.000</w:t>
            </w:r>
          </w:p>
        </w:tc>
        <w:tc>
          <w:tcPr>
            <w:tcW w:w="1417" w:type="dxa"/>
            <w:tcBorders>
              <w:top w:val="single" w:sz="4" w:space="0" w:color="0070C0"/>
              <w:left w:val="single" w:sz="4" w:space="0" w:color="0070C0"/>
              <w:bottom w:val="single" w:sz="4" w:space="0" w:color="0070C0"/>
              <w:right w:val="single" w:sz="4" w:space="0" w:color="0070C0"/>
            </w:tcBorders>
            <w:noWrap/>
          </w:tcPr>
          <w:p w14:paraId="27691DB6" w14:textId="77777777" w:rsidR="00172AA6" w:rsidRPr="005E4BEA" w:rsidRDefault="00172AA6" w:rsidP="006F2C89">
            <w:pPr>
              <w:spacing w:after="120" w:line="240" w:lineRule="auto"/>
              <w:jc w:val="right"/>
              <w:rPr>
                <w:rFonts w:eastAsia="Arial Narrow" w:cs="Arial"/>
                <w:color w:val="000000"/>
                <w:szCs w:val="20"/>
              </w:rPr>
            </w:pPr>
          </w:p>
        </w:tc>
      </w:tr>
    </w:tbl>
    <w:p w14:paraId="179846FF" w14:textId="77777777" w:rsidR="00172AA6" w:rsidRPr="005E4BEA" w:rsidRDefault="00172AA6" w:rsidP="00172AA6">
      <w:pPr>
        <w:spacing w:after="160" w:line="276" w:lineRule="auto"/>
        <w:rPr>
          <w:rFonts w:eastAsiaTheme="minorHAnsi" w:cs="Arial"/>
          <w:szCs w:val="20"/>
        </w:rPr>
      </w:pPr>
    </w:p>
    <w:p w14:paraId="47E85C29" w14:textId="5162BCFA" w:rsidR="00172AA6" w:rsidRPr="005E4BEA" w:rsidRDefault="00172AA6" w:rsidP="00172AA6">
      <w:pPr>
        <w:spacing w:after="160" w:line="276" w:lineRule="auto"/>
        <w:rPr>
          <w:rFonts w:eastAsiaTheme="minorHAnsi" w:cs="Arial"/>
          <w:b/>
          <w:bCs/>
          <w:szCs w:val="20"/>
        </w:rPr>
      </w:pPr>
      <w:r w:rsidRPr="005E4BEA">
        <w:rPr>
          <w:rFonts w:eastAsiaTheme="minorHAnsi" w:cs="Arial"/>
          <w:b/>
          <w:bCs/>
          <w:szCs w:val="20"/>
        </w:rPr>
        <w:t>V Prilogi I se spremenita kalkulaciji za VZD 404 101 + 102 in 404 105 + 106 tako, da se glasita:</w:t>
      </w:r>
    </w:p>
    <w:bookmarkEnd w:id="28"/>
    <w:p w14:paraId="53F8977D" w14:textId="3C01AA43" w:rsidR="00172AA6" w:rsidRPr="005E4BEA" w:rsidRDefault="00172AA6" w:rsidP="00172AA6">
      <w:pPr>
        <w:spacing w:after="160" w:line="276" w:lineRule="auto"/>
        <w:rPr>
          <w:rFonts w:eastAsiaTheme="minorHAnsi" w:cs="Arial"/>
          <w:b/>
          <w:bCs/>
          <w:szCs w:val="20"/>
        </w:rPr>
      </w:pPr>
      <w:r w:rsidRPr="005E4BEA">
        <w:rPr>
          <w:rFonts w:eastAsiaTheme="minorHAnsi" w:cs="Arial"/>
          <w:noProof/>
          <w:szCs w:val="20"/>
        </w:rPr>
        <w:drawing>
          <wp:inline distT="0" distB="0" distL="0" distR="0" wp14:anchorId="26ED9A0B" wp14:editId="5D643F81">
            <wp:extent cx="5400040" cy="198156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981562"/>
                    </a:xfrm>
                    <a:prstGeom prst="rect">
                      <a:avLst/>
                    </a:prstGeom>
                    <a:noFill/>
                    <a:ln>
                      <a:noFill/>
                    </a:ln>
                  </pic:spPr>
                </pic:pic>
              </a:graphicData>
            </a:graphic>
          </wp:inline>
        </w:drawing>
      </w:r>
    </w:p>
    <w:p w14:paraId="759E04FA" w14:textId="77777777" w:rsidR="00172AA6" w:rsidRPr="005E4BEA" w:rsidRDefault="00172AA6" w:rsidP="00172AA6">
      <w:pPr>
        <w:spacing w:after="160" w:line="276" w:lineRule="auto"/>
        <w:rPr>
          <w:rFonts w:eastAsiaTheme="minorHAnsi" w:cs="Arial"/>
          <w:b/>
          <w:bCs/>
          <w:szCs w:val="20"/>
        </w:rPr>
      </w:pPr>
      <w:bookmarkStart w:id="29" w:name="_Hlk102658301"/>
      <w:r w:rsidRPr="005E4BEA">
        <w:rPr>
          <w:rFonts w:eastAsiaTheme="minorHAnsi" w:cs="Arial"/>
          <w:b/>
          <w:bCs/>
          <w:szCs w:val="20"/>
        </w:rPr>
        <w:t>V Prilogi I se iz vseh kalkulacij za zobozdravstvene dejavnosti briše evidenčna RTG točka (4,80).</w:t>
      </w:r>
    </w:p>
    <w:p w14:paraId="78A4B067" w14:textId="77777777" w:rsidR="00172AA6" w:rsidRPr="005E4BEA" w:rsidRDefault="00172AA6" w:rsidP="00172AA6">
      <w:pPr>
        <w:spacing w:after="160" w:line="276" w:lineRule="auto"/>
        <w:rPr>
          <w:rFonts w:eastAsiaTheme="minorHAnsi" w:cs="Arial"/>
          <w:b/>
          <w:bCs/>
          <w:szCs w:val="20"/>
        </w:rPr>
      </w:pPr>
      <w:r w:rsidRPr="005E4BEA">
        <w:rPr>
          <w:rFonts w:eastAsiaTheme="minorHAnsi" w:cs="Arial"/>
          <w:b/>
          <w:bCs/>
          <w:szCs w:val="20"/>
        </w:rPr>
        <w:t>V Prilogi III/a se v točki 8. Zobozdravstvo v (2) odstavku  doda besedilo:</w:t>
      </w:r>
    </w:p>
    <w:p w14:paraId="61105AC0" w14:textId="77777777" w:rsidR="00172AA6" w:rsidRPr="005E4BEA" w:rsidRDefault="00172AA6" w:rsidP="00172AA6">
      <w:pPr>
        <w:spacing w:after="160" w:line="276" w:lineRule="auto"/>
        <w:jc w:val="both"/>
        <w:rPr>
          <w:rFonts w:eastAsiaTheme="minorHAnsi" w:cs="Arial"/>
          <w:color w:val="FF0000"/>
          <w:szCs w:val="20"/>
        </w:rPr>
      </w:pPr>
      <w:r w:rsidRPr="005E4BEA">
        <w:rPr>
          <w:rFonts w:eastAsiaTheme="minorHAnsi" w:cs="Arial"/>
          <w:szCs w:val="20"/>
        </w:rPr>
        <w:t xml:space="preserve">»V dejavnosti 404 101 Zobozdravstvo za odrasle in 404 105 Zobozdravstvo za študente je v skladu s kalkulacijo v Prilogi I planirano 1.614 točk za RTG slikanja na tim. V dejavnosti 404 103 Zobozdravstvo za mladino je v skladu s kalkulacijo v Prilogi I planirano 807 točk za RTG slikanja na tim. Nerealizirane točke za RTG slikanja se ne morejo nadomestiti z realizacijo ostalih zobozdravstvenih storitev. Pri končnem letnem obračunu se dodatno upošteva pogoj, da se RTG slikanja plačajo v realizirani višini, če je njihova realizacija manjša od planirane.« </w:t>
      </w:r>
    </w:p>
    <w:p w14:paraId="740F0FEC" w14:textId="120F075F" w:rsidR="00CF22EE" w:rsidRDefault="00CF22EE" w:rsidP="00CF22EE">
      <w:pPr>
        <w:spacing w:line="0" w:lineRule="atLeast"/>
        <w:jc w:val="both"/>
        <w:rPr>
          <w:rFonts w:cs="Arial"/>
          <w:b/>
          <w:bCs/>
          <w:szCs w:val="20"/>
        </w:rPr>
      </w:pPr>
      <w:bookmarkStart w:id="30" w:name="_Hlk103003372"/>
      <w:bookmarkEnd w:id="29"/>
      <w:r w:rsidRPr="005E4BEA">
        <w:rPr>
          <w:rFonts w:cs="Arial"/>
          <w:b/>
          <w:bCs/>
          <w:szCs w:val="20"/>
        </w:rPr>
        <w:t xml:space="preserve">Spremembe veljajo od 1.1.2023. </w:t>
      </w:r>
    </w:p>
    <w:p w14:paraId="659A89F9" w14:textId="77777777" w:rsidR="00E82B4D" w:rsidRPr="005E4BEA" w:rsidRDefault="00E82B4D" w:rsidP="00CF22EE">
      <w:pPr>
        <w:spacing w:line="0" w:lineRule="atLeast"/>
        <w:jc w:val="both"/>
        <w:rPr>
          <w:rFonts w:cs="Arial"/>
          <w:b/>
          <w:bCs/>
          <w:szCs w:val="20"/>
        </w:rPr>
      </w:pPr>
    </w:p>
    <w:bookmarkEnd w:id="30"/>
    <w:p w14:paraId="566EAC2F" w14:textId="38245B39" w:rsidR="00346825" w:rsidRPr="005E4BEA" w:rsidRDefault="00346825" w:rsidP="00172AA6">
      <w:pPr>
        <w:spacing w:line="0" w:lineRule="atLeast"/>
        <w:jc w:val="both"/>
        <w:rPr>
          <w:rFonts w:cs="Arial"/>
          <w:i/>
          <w:iCs/>
          <w:color w:val="808080" w:themeColor="background1" w:themeShade="80"/>
          <w:szCs w:val="20"/>
        </w:rPr>
      </w:pPr>
    </w:p>
    <w:p w14:paraId="03B133D4" w14:textId="28BABD48"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(25)</w:t>
      </w:r>
    </w:p>
    <w:p w14:paraId="6E071E71" w14:textId="77777777" w:rsidR="00346825" w:rsidRPr="005E4BEA" w:rsidRDefault="00346825" w:rsidP="00346825">
      <w:pPr>
        <w:spacing w:line="240" w:lineRule="auto"/>
        <w:jc w:val="both"/>
        <w:rPr>
          <w:rFonts w:cs="Arial"/>
          <w:i/>
          <w:iCs/>
          <w:color w:val="808080" w:themeColor="background1" w:themeShade="80"/>
          <w:szCs w:val="20"/>
        </w:rPr>
      </w:pPr>
    </w:p>
    <w:p w14:paraId="651DE7ED" w14:textId="43580A53" w:rsidR="00FE461F" w:rsidRPr="005E4BEA" w:rsidRDefault="00346825" w:rsidP="00346825">
      <w:pPr>
        <w:spacing w:line="0" w:lineRule="atLeast"/>
        <w:jc w:val="both"/>
        <w:rPr>
          <w:rFonts w:eastAsia="Arial Narrow" w:cs="Arial"/>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Pr="005E4BEA">
        <w:rPr>
          <w:rFonts w:cs="Arial"/>
          <w:szCs w:val="20"/>
        </w:rPr>
        <w:t xml:space="preserve"> 16. členu se v (1) odstavku doda</w:t>
      </w:r>
      <w:r w:rsidR="00FE461F" w:rsidRPr="005E4BEA">
        <w:rPr>
          <w:rFonts w:cs="Arial"/>
          <w:szCs w:val="20"/>
        </w:rPr>
        <w:t xml:space="preserve"> nova točka:</w:t>
      </w:r>
    </w:p>
    <w:p w14:paraId="47575CF1" w14:textId="2390DA29" w:rsidR="00FE461F" w:rsidRPr="005E4BEA" w:rsidRDefault="00FE461F" w:rsidP="00FE461F">
      <w:pPr>
        <w:spacing w:line="240" w:lineRule="auto"/>
        <w:jc w:val="both"/>
        <w:rPr>
          <w:rFonts w:cs="Arial"/>
          <w:iCs/>
          <w:szCs w:val="20"/>
        </w:rPr>
      </w:pPr>
      <w:proofErr w:type="spellStart"/>
      <w:r w:rsidRPr="005E4BEA">
        <w:rPr>
          <w:rFonts w:cs="Arial"/>
          <w:iCs/>
          <w:szCs w:val="20"/>
        </w:rPr>
        <w:t>Inplantibilne</w:t>
      </w:r>
      <w:proofErr w:type="spellEnd"/>
      <w:r w:rsidRPr="005E4BEA">
        <w:rPr>
          <w:rFonts w:cs="Arial"/>
          <w:iCs/>
          <w:szCs w:val="20"/>
        </w:rPr>
        <w:t xml:space="preserve"> črpalke za zdravljenje kronične bolečine onkoloških bolnikov</w:t>
      </w:r>
    </w:p>
    <w:p w14:paraId="070E1FBB" w14:textId="77777777" w:rsidR="00346825" w:rsidRPr="005E4BEA" w:rsidRDefault="00346825" w:rsidP="00FE461F">
      <w:pPr>
        <w:spacing w:line="240" w:lineRule="auto"/>
        <w:jc w:val="both"/>
        <w:rPr>
          <w:rFonts w:cs="Arial"/>
          <w:iCs/>
          <w:szCs w:val="20"/>
        </w:rPr>
      </w:pPr>
    </w:p>
    <w:p w14:paraId="7D956E5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8B6721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Pri bolnikih z rakom se bolečina pojavlja zelo pogosto-, v 50-90%. Povečana preživelost pri raku je spremenila obravnavo rakave bolečine iz kratkoročne analgezije v dolgoročno obravnavno kronične bolečine. Posledično imajo velik potencial terapije, ki bodo pacientu nudile dolgoročno analgezijo, majhne stranske učinke in bodo pacientu ohranjale kvaliteto življenja. Ker je bolečina pri raku zelo kompleksna, se je uveljavil izraz »totalna bolečina«, ki vključuje somatsko, visceralno, </w:t>
      </w:r>
      <w:proofErr w:type="spellStart"/>
      <w:r w:rsidRPr="005E4BEA">
        <w:rPr>
          <w:rFonts w:cs="Arial"/>
          <w:i/>
          <w:iCs/>
          <w:color w:val="808080" w:themeColor="background1" w:themeShade="80"/>
          <w:szCs w:val="20"/>
        </w:rPr>
        <w:t>nevropatsko</w:t>
      </w:r>
      <w:proofErr w:type="spellEnd"/>
      <w:r w:rsidRPr="005E4BEA">
        <w:rPr>
          <w:rFonts w:cs="Arial"/>
          <w:i/>
          <w:iCs/>
          <w:color w:val="808080" w:themeColor="background1" w:themeShade="80"/>
          <w:szCs w:val="20"/>
        </w:rPr>
        <w:t xml:space="preserve"> bolečino in bolečino zaradi socialnih, duševnih in duhovnih potreb bolnika. Velik delež pacientov z rakavo bolečino se slabo odziva ali se sploh ne odziva na odmerjanje zdravil po priporočilih SZO.</w:t>
      </w:r>
    </w:p>
    <w:p w14:paraId="3A44CE6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Onkološkem inštitutu v Ljubljani bomo zato začeli izvajati zdravljenje kronične bolečine s pomočjo </w:t>
      </w:r>
      <w:proofErr w:type="spellStart"/>
      <w:r w:rsidRPr="005E4BEA">
        <w:rPr>
          <w:rFonts w:cs="Arial"/>
          <w:i/>
          <w:iCs/>
          <w:color w:val="808080" w:themeColor="background1" w:themeShade="80"/>
          <w:szCs w:val="20"/>
        </w:rPr>
        <w:t>inplantibilne</w:t>
      </w:r>
      <w:proofErr w:type="spellEnd"/>
      <w:r w:rsidRPr="005E4BEA">
        <w:rPr>
          <w:rFonts w:cs="Arial"/>
          <w:i/>
          <w:iCs/>
          <w:color w:val="808080" w:themeColor="background1" w:themeShade="80"/>
          <w:szCs w:val="20"/>
        </w:rPr>
        <w:t xml:space="preserve"> črpalke. Pri tovrstnem zdravljenju dovajamo zdravila </w:t>
      </w:r>
      <w:proofErr w:type="spellStart"/>
      <w:r w:rsidRPr="005E4BEA">
        <w:rPr>
          <w:rFonts w:cs="Arial"/>
          <w:i/>
          <w:iCs/>
          <w:color w:val="808080" w:themeColor="background1" w:themeShade="80"/>
          <w:szCs w:val="20"/>
        </w:rPr>
        <w:t>intratekalno</w:t>
      </w:r>
      <w:proofErr w:type="spellEnd"/>
      <w:r w:rsidRPr="005E4BEA">
        <w:rPr>
          <w:rFonts w:cs="Arial"/>
          <w:i/>
          <w:iCs/>
          <w:color w:val="808080" w:themeColor="background1" w:themeShade="80"/>
          <w:szCs w:val="20"/>
        </w:rPr>
        <w:t xml:space="preserve"> (v centralni živčni sistem), zato so potrebni nižji odmerki. Tako se pri bolniku pojavi manj stranskih učinkov kakor pri sistemskem jemanju zdravil. </w:t>
      </w:r>
      <w:proofErr w:type="spellStart"/>
      <w:r w:rsidRPr="005E4BEA">
        <w:rPr>
          <w:rFonts w:cs="Arial"/>
          <w:i/>
          <w:iCs/>
          <w:color w:val="808080" w:themeColor="background1" w:themeShade="80"/>
          <w:szCs w:val="20"/>
        </w:rPr>
        <w:t>Intratekalno</w:t>
      </w:r>
      <w:proofErr w:type="spellEnd"/>
      <w:r w:rsidRPr="005E4BEA">
        <w:rPr>
          <w:rFonts w:cs="Arial"/>
          <w:i/>
          <w:iCs/>
          <w:color w:val="808080" w:themeColor="background1" w:themeShade="80"/>
          <w:szCs w:val="20"/>
        </w:rPr>
        <w:t xml:space="preserve"> se daje 300x nižji odmerek zdravila kot pri per os obliki. Na OI bi uporabljali morfij in lokalne anestetike, katerih cene so zelo nizke v primerjavi s per os zdravili za zdravljenje bolečine.</w:t>
      </w:r>
    </w:p>
    <w:p w14:paraId="7CB00A2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Klinična pot bi bila sledeča: </w:t>
      </w:r>
    </w:p>
    <w:p w14:paraId="08828337" w14:textId="77777777" w:rsidR="00FE461F" w:rsidRPr="005E4BEA" w:rsidRDefault="00FE461F" w:rsidP="00F356C9">
      <w:pPr>
        <w:numPr>
          <w:ilvl w:val="0"/>
          <w:numId w:val="40"/>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Enodnevna hospitalizacija,</w:t>
      </w:r>
    </w:p>
    <w:p w14:paraId="11F09100" w14:textId="77777777" w:rsidR="00FE461F" w:rsidRPr="005E4BEA" w:rsidRDefault="00FE461F" w:rsidP="00F356C9">
      <w:pPr>
        <w:numPr>
          <w:ilvl w:val="0"/>
          <w:numId w:val="40"/>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Operacija (vstavljanje katetra, črpalke),</w:t>
      </w:r>
    </w:p>
    <w:p w14:paraId="54F7736F" w14:textId="77777777" w:rsidR="00FE461F" w:rsidRPr="005E4BEA" w:rsidRDefault="00FE461F" w:rsidP="00F356C9">
      <w:pPr>
        <w:numPr>
          <w:ilvl w:val="0"/>
          <w:numId w:val="40"/>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Programiranje,</w:t>
      </w:r>
    </w:p>
    <w:p w14:paraId="34143946" w14:textId="77777777" w:rsidR="00FE461F" w:rsidRPr="005E4BEA" w:rsidRDefault="00FE461F" w:rsidP="00F356C9">
      <w:pPr>
        <w:numPr>
          <w:ilvl w:val="0"/>
          <w:numId w:val="40"/>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Polnjenje črpalke (brez hospitalizacije)- na nekaj mesecev.</w:t>
      </w:r>
    </w:p>
    <w:p w14:paraId="06E60501" w14:textId="77777777" w:rsidR="00FE461F" w:rsidRPr="005E4BEA" w:rsidRDefault="00FE461F" w:rsidP="00FE461F">
      <w:pPr>
        <w:spacing w:line="240" w:lineRule="auto"/>
        <w:jc w:val="both"/>
        <w:rPr>
          <w:rFonts w:cs="Arial"/>
          <w:i/>
          <w:iCs/>
          <w:color w:val="808080" w:themeColor="background1" w:themeShade="80"/>
          <w:szCs w:val="20"/>
        </w:rPr>
      </w:pPr>
      <w:proofErr w:type="spellStart"/>
      <w:r w:rsidRPr="005E4BEA">
        <w:rPr>
          <w:rFonts w:cs="Arial"/>
          <w:i/>
          <w:iCs/>
          <w:color w:val="808080" w:themeColor="background1" w:themeShade="80"/>
          <w:szCs w:val="20"/>
        </w:rPr>
        <w:t>Inplantibilne</w:t>
      </w:r>
      <w:proofErr w:type="spellEnd"/>
      <w:r w:rsidRPr="005E4BEA">
        <w:rPr>
          <w:rFonts w:cs="Arial"/>
          <w:i/>
          <w:iCs/>
          <w:color w:val="808080" w:themeColor="background1" w:themeShade="80"/>
          <w:szCs w:val="20"/>
        </w:rPr>
        <w:t xml:space="preserve"> črpalke predstavljajo veliko finančno breme. Cena na kos za enkratno uporabo pri posameznem bolniku znaša cca 10.000 €. Ocenjujemo, da bomo na letni ravni tovrstno terapijo uporabili pri cca 10 bolnikih. Predlagamo, da se </w:t>
      </w:r>
      <w:proofErr w:type="spellStart"/>
      <w:r w:rsidRPr="005E4BEA">
        <w:rPr>
          <w:rFonts w:cs="Arial"/>
          <w:i/>
          <w:iCs/>
          <w:color w:val="808080" w:themeColor="background1" w:themeShade="80"/>
          <w:szCs w:val="20"/>
        </w:rPr>
        <w:t>inplantibilne</w:t>
      </w:r>
      <w:proofErr w:type="spellEnd"/>
      <w:r w:rsidRPr="005E4BEA">
        <w:rPr>
          <w:rFonts w:cs="Arial"/>
          <w:i/>
          <w:iCs/>
          <w:color w:val="808080" w:themeColor="background1" w:themeShade="80"/>
          <w:szCs w:val="20"/>
        </w:rPr>
        <w:t xml:space="preserve"> črpalke </w:t>
      </w:r>
      <w:proofErr w:type="spellStart"/>
      <w:r w:rsidRPr="005E4BEA">
        <w:rPr>
          <w:rFonts w:cs="Arial"/>
          <w:i/>
          <w:iCs/>
          <w:color w:val="808080" w:themeColor="background1" w:themeShade="80"/>
          <w:szCs w:val="20"/>
        </w:rPr>
        <w:t>financiranjo</w:t>
      </w:r>
      <w:proofErr w:type="spellEnd"/>
      <w:r w:rsidRPr="005E4BEA">
        <w:rPr>
          <w:rFonts w:cs="Arial"/>
          <w:i/>
          <w:iCs/>
          <w:color w:val="808080" w:themeColor="background1" w:themeShade="80"/>
          <w:szCs w:val="20"/>
        </w:rPr>
        <w:t xml:space="preserve"> preko LZM.</w:t>
      </w:r>
    </w:p>
    <w:p w14:paraId="415AB14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0,1 mio €</w:t>
      </w:r>
    </w:p>
    <w:p w14:paraId="4F5000A8" w14:textId="4D66C36B" w:rsidR="00FE461F" w:rsidRPr="005E4BEA" w:rsidRDefault="00FE461F" w:rsidP="00FE461F">
      <w:pPr>
        <w:spacing w:line="240" w:lineRule="auto"/>
        <w:jc w:val="both"/>
        <w:rPr>
          <w:rFonts w:cs="Arial"/>
          <w:i/>
          <w:iCs/>
          <w:color w:val="808080" w:themeColor="background1" w:themeShade="80"/>
          <w:szCs w:val="20"/>
        </w:rPr>
      </w:pPr>
    </w:p>
    <w:p w14:paraId="7218064A" w14:textId="77777777" w:rsidR="00346825" w:rsidRPr="005E4BEA" w:rsidRDefault="00346825" w:rsidP="0034682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EB64457" w14:textId="77777777" w:rsidR="00346825" w:rsidRPr="005E4BEA" w:rsidRDefault="00346825" w:rsidP="00346825">
      <w:pPr>
        <w:spacing w:line="0" w:lineRule="atLeast"/>
        <w:jc w:val="both"/>
        <w:rPr>
          <w:rFonts w:eastAsia="Arial Narrow" w:cs="Arial"/>
          <w:szCs w:val="20"/>
          <w:lang w:eastAsia="sl-SI"/>
        </w:rPr>
      </w:pPr>
    </w:p>
    <w:p w14:paraId="51687008" w14:textId="29C668C2" w:rsidR="00346825" w:rsidRPr="005E4BEA" w:rsidRDefault="00346825" w:rsidP="00346825">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Splošnega dogovora za pogodbeno leto 2022 ne spremeni.</w:t>
      </w:r>
    </w:p>
    <w:p w14:paraId="7A63CF49" w14:textId="6214278B" w:rsidR="00346825" w:rsidRPr="005E4BEA" w:rsidRDefault="00346825" w:rsidP="00FE461F">
      <w:pPr>
        <w:spacing w:line="240" w:lineRule="auto"/>
        <w:jc w:val="both"/>
        <w:rPr>
          <w:rFonts w:cs="Arial"/>
          <w:i/>
          <w:iCs/>
          <w:color w:val="808080" w:themeColor="background1" w:themeShade="80"/>
          <w:szCs w:val="20"/>
        </w:rPr>
      </w:pPr>
    </w:p>
    <w:p w14:paraId="53E3D546" w14:textId="4CAE16DE"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(26)</w:t>
      </w:r>
    </w:p>
    <w:p w14:paraId="6679BD5D" w14:textId="77777777" w:rsidR="00346825" w:rsidRPr="005E4BEA" w:rsidRDefault="00346825" w:rsidP="00346825">
      <w:pPr>
        <w:spacing w:line="240" w:lineRule="auto"/>
        <w:jc w:val="both"/>
        <w:rPr>
          <w:rFonts w:cs="Arial"/>
          <w:i/>
          <w:iCs/>
          <w:color w:val="808080" w:themeColor="background1" w:themeShade="80"/>
          <w:szCs w:val="20"/>
        </w:rPr>
      </w:pPr>
    </w:p>
    <w:p w14:paraId="3A3DDB6F" w14:textId="676277F1" w:rsidR="00346825" w:rsidRPr="005E4BEA" w:rsidRDefault="00346825" w:rsidP="00346825">
      <w:pPr>
        <w:spacing w:line="240" w:lineRule="auto"/>
        <w:jc w:val="both"/>
        <w:rPr>
          <w:rFonts w:cs="Arial"/>
          <w:i/>
          <w:iCs/>
          <w:color w:val="808080" w:themeColor="background1" w:themeShade="80"/>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Pr="005E4BEA">
        <w:rPr>
          <w:rFonts w:cs="Arial"/>
          <w:szCs w:val="20"/>
        </w:rPr>
        <w:t xml:space="preserve"> 16. členu se v (1) odstavku doda</w:t>
      </w:r>
    </w:p>
    <w:p w14:paraId="272AD466" w14:textId="4DB01BD0" w:rsidR="00FE461F" w:rsidRPr="005E4BEA" w:rsidRDefault="00FE461F" w:rsidP="00FE461F">
      <w:pPr>
        <w:spacing w:line="240" w:lineRule="auto"/>
        <w:jc w:val="both"/>
        <w:rPr>
          <w:rFonts w:cs="Arial"/>
          <w:szCs w:val="20"/>
        </w:rPr>
      </w:pPr>
      <w:r w:rsidRPr="005E4BEA">
        <w:rPr>
          <w:rFonts w:cs="Arial"/>
          <w:szCs w:val="20"/>
        </w:rPr>
        <w:t>nova točka, ki se glasi:</w:t>
      </w:r>
    </w:p>
    <w:p w14:paraId="31230B52" w14:textId="7827DA3E" w:rsidR="00FE461F" w:rsidRPr="005E4BEA" w:rsidRDefault="00FE461F" w:rsidP="00FE461F">
      <w:pPr>
        <w:spacing w:line="240" w:lineRule="auto"/>
        <w:jc w:val="both"/>
        <w:rPr>
          <w:rFonts w:cs="Arial"/>
          <w:iCs/>
          <w:szCs w:val="20"/>
        </w:rPr>
      </w:pPr>
      <w:r w:rsidRPr="005E4BEA">
        <w:rPr>
          <w:rFonts w:cs="Arial"/>
          <w:iCs/>
          <w:szCs w:val="20"/>
        </w:rPr>
        <w:t>Preiskave na spolno prenosne okužbe v dejavnosti infektologije in dermatologije.</w:t>
      </w:r>
    </w:p>
    <w:p w14:paraId="2BEC7B01" w14:textId="77777777" w:rsidR="00346825" w:rsidRPr="005E4BEA" w:rsidRDefault="00346825" w:rsidP="00FE461F">
      <w:pPr>
        <w:spacing w:line="240" w:lineRule="auto"/>
        <w:jc w:val="both"/>
        <w:rPr>
          <w:rFonts w:cs="Arial"/>
          <w:iCs/>
          <w:szCs w:val="20"/>
        </w:rPr>
      </w:pPr>
    </w:p>
    <w:p w14:paraId="28762075" w14:textId="77777777" w:rsidR="00FE461F" w:rsidRPr="005E4BEA" w:rsidRDefault="00FE461F" w:rsidP="00FE461F">
      <w:pPr>
        <w:spacing w:line="240" w:lineRule="auto"/>
        <w:jc w:val="both"/>
        <w:rPr>
          <w:rFonts w:cs="Arial"/>
          <w:b/>
          <w:bCs/>
          <w:szCs w:val="20"/>
        </w:rPr>
      </w:pPr>
      <w:r w:rsidRPr="005E4BEA">
        <w:rPr>
          <w:rFonts w:cs="Arial"/>
          <w:b/>
          <w:bCs/>
          <w:szCs w:val="20"/>
        </w:rPr>
        <w:t>V Prilogi I/d Cenik ločeno zaračunljivega materiala in storitev se doda nov nabor LZM:</w:t>
      </w:r>
    </w:p>
    <w:p w14:paraId="56C7EFE9" w14:textId="77777777" w:rsidR="00FE461F" w:rsidRPr="005E4BEA" w:rsidRDefault="00FE461F" w:rsidP="00FE461F">
      <w:pPr>
        <w:spacing w:line="240" w:lineRule="auto"/>
        <w:jc w:val="both"/>
        <w:rPr>
          <w:rFonts w:cs="Arial"/>
          <w:iCs/>
          <w:szCs w:val="20"/>
        </w:rPr>
      </w:pPr>
      <w:r w:rsidRPr="005E4BEA">
        <w:rPr>
          <w:rFonts w:cs="Arial"/>
          <w:iCs/>
          <w:szCs w:val="20"/>
        </w:rPr>
        <w:t>Preiskave na spolno prenosne okužbe v dejavnosti infektologije in dermatologije, seznam LZM:</w:t>
      </w:r>
    </w:p>
    <w:p w14:paraId="4F4B9B74" w14:textId="77777777" w:rsidR="00FE461F" w:rsidRPr="005E4BEA" w:rsidRDefault="00FE461F" w:rsidP="00FE461F">
      <w:pPr>
        <w:spacing w:line="240" w:lineRule="auto"/>
        <w:jc w:val="both"/>
        <w:rPr>
          <w:rFonts w:cs="Arial"/>
          <w:iCs/>
          <w:szCs w:val="20"/>
        </w:rPr>
      </w:pPr>
      <w:r w:rsidRPr="005E4BEA">
        <w:rPr>
          <w:rFonts w:cs="Arial"/>
          <w:b/>
          <w:noProof/>
          <w:szCs w:val="20"/>
        </w:rPr>
        <w:lastRenderedPageBreak/>
        <w:drawing>
          <wp:inline distT="0" distB="0" distL="0" distR="0" wp14:anchorId="69A39007" wp14:editId="42D95B52">
            <wp:extent cx="4438650" cy="712597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9141" cy="7142813"/>
                    </a:xfrm>
                    <a:prstGeom prst="rect">
                      <a:avLst/>
                    </a:prstGeom>
                    <a:noFill/>
                    <a:ln>
                      <a:noFill/>
                    </a:ln>
                  </pic:spPr>
                </pic:pic>
              </a:graphicData>
            </a:graphic>
          </wp:inline>
        </w:drawing>
      </w:r>
    </w:p>
    <w:p w14:paraId="22979ADE" w14:textId="77777777" w:rsidR="00FE461F" w:rsidRPr="005E4BEA" w:rsidRDefault="00FE461F" w:rsidP="00FE461F">
      <w:pPr>
        <w:spacing w:line="240" w:lineRule="auto"/>
        <w:jc w:val="both"/>
        <w:rPr>
          <w:rFonts w:cs="Arial"/>
          <w:szCs w:val="20"/>
        </w:rPr>
      </w:pPr>
    </w:p>
    <w:p w14:paraId="2D1CF571" w14:textId="77777777" w:rsidR="00FE461F" w:rsidRPr="005E4BEA" w:rsidRDefault="00FE461F" w:rsidP="00FE461F">
      <w:pPr>
        <w:spacing w:line="240" w:lineRule="auto"/>
        <w:jc w:val="both"/>
        <w:rPr>
          <w:rFonts w:eastAsia="Calibri" w:cs="Arial"/>
          <w:b/>
          <w:bCs/>
          <w:i/>
          <w:iCs/>
          <w:color w:val="7F7F7F"/>
          <w:szCs w:val="20"/>
          <w:u w:val="single"/>
        </w:rPr>
      </w:pPr>
    </w:p>
    <w:p w14:paraId="4B00ABC5"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3CA757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Pri večini spolno prenesljivih bolezni poteka celostno zdravljenje bolnikov v UKCL. Letni stroški za diagnostiko iz leta v leto naraščajo. Samo v prvi polovici letošnjega leta je ta znesek presegel 1,2 mio eur. </w:t>
      </w:r>
      <w:proofErr w:type="spellStart"/>
      <w:r w:rsidRPr="005E4BEA">
        <w:rPr>
          <w:rFonts w:cs="Arial"/>
          <w:i/>
          <w:iCs/>
          <w:color w:val="808080" w:themeColor="background1" w:themeShade="80"/>
          <w:szCs w:val="20"/>
        </w:rPr>
        <w:t>Vkalkulirana</w:t>
      </w:r>
      <w:proofErr w:type="spellEnd"/>
      <w:r w:rsidRPr="005E4BEA">
        <w:rPr>
          <w:rFonts w:cs="Arial"/>
          <w:i/>
          <w:iCs/>
          <w:color w:val="808080" w:themeColor="background1" w:themeShade="80"/>
          <w:szCs w:val="20"/>
        </w:rPr>
        <w:t xml:space="preserve"> sredstva za laboratorijsko diagnostiko za infektologijo in dermatologijo so nižja za 87 % od dejanskih stroškov samo iz naslova lab. diagnostike spolno prenesljivih bolezni. Predvideni strošek v letu 2021 je 2,4 mio eur.</w:t>
      </w:r>
    </w:p>
    <w:p w14:paraId="390A1CD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UKC Ljubljana ima za omenjeni dejavnosti priznanih 0,63 mio eur za celotno laboratorijsko diagnostiko:</w:t>
      </w:r>
    </w:p>
    <w:p w14:paraId="54015B9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Tabela 4: Pogodbena vrednost sredstev za laboratorij za leto 2021 v specialistični </w:t>
      </w:r>
      <w:proofErr w:type="spellStart"/>
      <w:r w:rsidRPr="005E4BEA">
        <w:rPr>
          <w:rFonts w:cs="Arial"/>
          <w:i/>
          <w:iCs/>
          <w:color w:val="808080" w:themeColor="background1" w:themeShade="80"/>
          <w:szCs w:val="20"/>
        </w:rPr>
        <w:t>zunajbolnišnični</w:t>
      </w:r>
      <w:proofErr w:type="spellEnd"/>
      <w:r w:rsidRPr="005E4BEA">
        <w:rPr>
          <w:rFonts w:cs="Arial"/>
          <w:i/>
          <w:iCs/>
          <w:color w:val="808080" w:themeColor="background1" w:themeShade="80"/>
          <w:szCs w:val="20"/>
        </w:rPr>
        <w:t xml:space="preserve"> dejavnosti infektologije in dermatologije.</w:t>
      </w:r>
    </w:p>
    <w:tbl>
      <w:tblPr>
        <w:tblW w:w="8395" w:type="dxa"/>
        <w:tblCellMar>
          <w:left w:w="70" w:type="dxa"/>
          <w:right w:w="70" w:type="dxa"/>
        </w:tblCellMar>
        <w:tblLook w:val="04A0" w:firstRow="1" w:lastRow="0" w:firstColumn="1" w:lastColumn="0" w:noHBand="0" w:noVBand="1"/>
      </w:tblPr>
      <w:tblGrid>
        <w:gridCol w:w="1196"/>
        <w:gridCol w:w="5073"/>
        <w:gridCol w:w="2126"/>
      </w:tblGrid>
      <w:tr w:rsidR="00FE461F" w:rsidRPr="005E4BEA" w14:paraId="5D516564" w14:textId="77777777" w:rsidTr="0016774B">
        <w:trPr>
          <w:trHeight w:val="70"/>
        </w:trPr>
        <w:tc>
          <w:tcPr>
            <w:tcW w:w="1196" w:type="dxa"/>
            <w:tcBorders>
              <w:top w:val="single" w:sz="4" w:space="0" w:color="auto"/>
              <w:left w:val="single" w:sz="4" w:space="0" w:color="auto"/>
              <w:bottom w:val="single" w:sz="4" w:space="0" w:color="auto"/>
              <w:right w:val="single" w:sz="4" w:space="0" w:color="auto"/>
            </w:tcBorders>
            <w:shd w:val="clear" w:color="000000" w:fill="D9D9D9"/>
            <w:hideMark/>
          </w:tcPr>
          <w:p w14:paraId="53248B5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VZD</w:t>
            </w:r>
          </w:p>
        </w:tc>
        <w:tc>
          <w:tcPr>
            <w:tcW w:w="5073" w:type="dxa"/>
            <w:tcBorders>
              <w:top w:val="single" w:sz="4" w:space="0" w:color="auto"/>
              <w:left w:val="nil"/>
              <w:bottom w:val="single" w:sz="4" w:space="0" w:color="auto"/>
              <w:right w:val="single" w:sz="4" w:space="0" w:color="auto"/>
            </w:tcBorders>
            <w:shd w:val="clear" w:color="000000" w:fill="D9D9D9"/>
            <w:hideMark/>
          </w:tcPr>
          <w:p w14:paraId="3C03A69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SPECIALISTIČNA ZUNAJBOLNIŠNIČNA DEJAVNOST</w:t>
            </w:r>
          </w:p>
        </w:tc>
        <w:tc>
          <w:tcPr>
            <w:tcW w:w="2126" w:type="dxa"/>
            <w:tcBorders>
              <w:top w:val="single" w:sz="4" w:space="0" w:color="auto"/>
              <w:left w:val="nil"/>
              <w:bottom w:val="single" w:sz="4" w:space="0" w:color="auto"/>
              <w:right w:val="single" w:sz="4" w:space="0" w:color="auto"/>
            </w:tcBorders>
            <w:shd w:val="clear" w:color="000000" w:fill="D9D9D9"/>
            <w:vAlign w:val="bottom"/>
            <w:hideMark/>
          </w:tcPr>
          <w:p w14:paraId="731A919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Sredstva za laboratorij (SD 2021) iz Pogodbe (v eur)</w:t>
            </w:r>
          </w:p>
        </w:tc>
      </w:tr>
      <w:tr w:rsidR="00FE461F" w:rsidRPr="005E4BEA" w14:paraId="5938B1C3" w14:textId="77777777" w:rsidTr="0016774B">
        <w:trPr>
          <w:trHeight w:val="7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16AB851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208 214</w:t>
            </w:r>
          </w:p>
        </w:tc>
        <w:tc>
          <w:tcPr>
            <w:tcW w:w="5073" w:type="dxa"/>
            <w:tcBorders>
              <w:top w:val="nil"/>
              <w:left w:val="nil"/>
              <w:bottom w:val="single" w:sz="4" w:space="0" w:color="auto"/>
              <w:right w:val="single" w:sz="4" w:space="0" w:color="auto"/>
            </w:tcBorders>
            <w:shd w:val="clear" w:color="auto" w:fill="auto"/>
            <w:noWrap/>
            <w:vAlign w:val="bottom"/>
            <w:hideMark/>
          </w:tcPr>
          <w:p w14:paraId="4D1CD1E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INFEKTOLOGIJA</w:t>
            </w:r>
          </w:p>
        </w:tc>
        <w:tc>
          <w:tcPr>
            <w:tcW w:w="2126" w:type="dxa"/>
            <w:tcBorders>
              <w:top w:val="nil"/>
              <w:left w:val="nil"/>
              <w:bottom w:val="single" w:sz="4" w:space="0" w:color="auto"/>
              <w:right w:val="single" w:sz="4" w:space="0" w:color="auto"/>
            </w:tcBorders>
            <w:shd w:val="clear" w:color="auto" w:fill="auto"/>
            <w:noWrap/>
            <w:vAlign w:val="bottom"/>
            <w:hideMark/>
          </w:tcPr>
          <w:p w14:paraId="65ADD7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484.509,04</w:t>
            </w:r>
          </w:p>
        </w:tc>
      </w:tr>
      <w:tr w:rsidR="00FE461F" w:rsidRPr="005E4BEA" w14:paraId="67875ED3" w14:textId="77777777" w:rsidTr="0016774B">
        <w:trPr>
          <w:trHeight w:val="7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6F0867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203 206</w:t>
            </w:r>
          </w:p>
        </w:tc>
        <w:tc>
          <w:tcPr>
            <w:tcW w:w="5073" w:type="dxa"/>
            <w:tcBorders>
              <w:top w:val="nil"/>
              <w:left w:val="nil"/>
              <w:bottom w:val="single" w:sz="4" w:space="0" w:color="auto"/>
              <w:right w:val="single" w:sz="4" w:space="0" w:color="auto"/>
            </w:tcBorders>
            <w:shd w:val="clear" w:color="auto" w:fill="auto"/>
            <w:noWrap/>
            <w:vAlign w:val="bottom"/>
            <w:hideMark/>
          </w:tcPr>
          <w:p w14:paraId="30765A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DERMATOLOGIJA*</w:t>
            </w:r>
          </w:p>
        </w:tc>
        <w:tc>
          <w:tcPr>
            <w:tcW w:w="2126" w:type="dxa"/>
            <w:tcBorders>
              <w:top w:val="nil"/>
              <w:left w:val="nil"/>
              <w:bottom w:val="single" w:sz="4" w:space="0" w:color="auto"/>
              <w:right w:val="single" w:sz="4" w:space="0" w:color="auto"/>
            </w:tcBorders>
            <w:shd w:val="clear" w:color="auto" w:fill="auto"/>
            <w:noWrap/>
            <w:vAlign w:val="bottom"/>
            <w:hideMark/>
          </w:tcPr>
          <w:p w14:paraId="4778274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151.006,94</w:t>
            </w:r>
          </w:p>
        </w:tc>
      </w:tr>
      <w:tr w:rsidR="00FE461F" w:rsidRPr="005E4BEA" w14:paraId="4F517E92" w14:textId="77777777" w:rsidTr="0016774B">
        <w:trPr>
          <w:trHeight w:val="70"/>
        </w:trPr>
        <w:tc>
          <w:tcPr>
            <w:tcW w:w="1196" w:type="dxa"/>
            <w:tcBorders>
              <w:top w:val="nil"/>
              <w:left w:val="nil"/>
              <w:bottom w:val="nil"/>
              <w:right w:val="nil"/>
            </w:tcBorders>
            <w:shd w:val="clear" w:color="auto" w:fill="auto"/>
            <w:noWrap/>
            <w:vAlign w:val="bottom"/>
            <w:hideMark/>
          </w:tcPr>
          <w:p w14:paraId="4F4DBFE9" w14:textId="77777777" w:rsidR="00FE461F" w:rsidRPr="005E4BEA" w:rsidRDefault="00FE461F" w:rsidP="00FE461F">
            <w:pPr>
              <w:spacing w:line="240" w:lineRule="auto"/>
              <w:jc w:val="both"/>
              <w:rPr>
                <w:rFonts w:cs="Arial"/>
                <w:color w:val="808080" w:themeColor="background1" w:themeShade="80"/>
                <w:szCs w:val="20"/>
              </w:rPr>
            </w:pPr>
          </w:p>
        </w:tc>
        <w:tc>
          <w:tcPr>
            <w:tcW w:w="5073" w:type="dxa"/>
            <w:tcBorders>
              <w:top w:val="nil"/>
              <w:left w:val="nil"/>
              <w:bottom w:val="nil"/>
              <w:right w:val="nil"/>
            </w:tcBorders>
            <w:shd w:val="clear" w:color="auto" w:fill="auto"/>
            <w:noWrap/>
            <w:vAlign w:val="bottom"/>
            <w:hideMark/>
          </w:tcPr>
          <w:p w14:paraId="74C81FC3" w14:textId="77777777" w:rsidR="00FE461F" w:rsidRPr="005E4BEA" w:rsidRDefault="00FE461F" w:rsidP="00FE461F">
            <w:pPr>
              <w:spacing w:line="240" w:lineRule="auto"/>
              <w:jc w:val="both"/>
              <w:rPr>
                <w:rFonts w:cs="Arial"/>
                <w:color w:val="808080" w:themeColor="background1" w:themeShade="80"/>
                <w:szCs w:val="20"/>
              </w:rPr>
            </w:pPr>
          </w:p>
        </w:tc>
        <w:tc>
          <w:tcPr>
            <w:tcW w:w="2126" w:type="dxa"/>
            <w:tcBorders>
              <w:top w:val="nil"/>
              <w:left w:val="nil"/>
              <w:bottom w:val="nil"/>
              <w:right w:val="nil"/>
            </w:tcBorders>
            <w:shd w:val="clear" w:color="auto" w:fill="auto"/>
            <w:noWrap/>
            <w:vAlign w:val="bottom"/>
            <w:hideMark/>
          </w:tcPr>
          <w:p w14:paraId="3C777F0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635.515,98</w:t>
            </w:r>
          </w:p>
        </w:tc>
      </w:tr>
      <w:tr w:rsidR="00FE461F" w:rsidRPr="005E4BEA" w14:paraId="08272AD2" w14:textId="77777777" w:rsidTr="0016774B">
        <w:trPr>
          <w:trHeight w:val="80"/>
        </w:trPr>
        <w:tc>
          <w:tcPr>
            <w:tcW w:w="1196" w:type="dxa"/>
            <w:tcBorders>
              <w:top w:val="nil"/>
              <w:left w:val="nil"/>
              <w:bottom w:val="nil"/>
              <w:right w:val="nil"/>
            </w:tcBorders>
            <w:shd w:val="clear" w:color="auto" w:fill="auto"/>
            <w:noWrap/>
            <w:vAlign w:val="bottom"/>
            <w:hideMark/>
          </w:tcPr>
          <w:p w14:paraId="04717C03" w14:textId="77777777" w:rsidR="00FE461F" w:rsidRPr="005E4BEA" w:rsidRDefault="00FE461F" w:rsidP="00FE461F">
            <w:pPr>
              <w:spacing w:line="240" w:lineRule="auto"/>
              <w:jc w:val="both"/>
              <w:rPr>
                <w:rFonts w:cs="Arial"/>
                <w:b/>
                <w:bCs/>
                <w:i/>
                <w:iCs/>
                <w:color w:val="808080" w:themeColor="background1" w:themeShade="80"/>
                <w:szCs w:val="20"/>
              </w:rPr>
            </w:pPr>
            <w:r w:rsidRPr="005E4BEA">
              <w:rPr>
                <w:rFonts w:cs="Arial"/>
                <w:b/>
                <w:bCs/>
                <w:i/>
                <w:iCs/>
                <w:color w:val="808080" w:themeColor="background1" w:themeShade="80"/>
                <w:szCs w:val="20"/>
              </w:rPr>
              <w:t>Opomba:</w:t>
            </w:r>
          </w:p>
        </w:tc>
        <w:tc>
          <w:tcPr>
            <w:tcW w:w="5073" w:type="dxa"/>
            <w:tcBorders>
              <w:top w:val="nil"/>
              <w:left w:val="nil"/>
              <w:bottom w:val="nil"/>
              <w:right w:val="nil"/>
            </w:tcBorders>
            <w:shd w:val="clear" w:color="auto" w:fill="auto"/>
            <w:noWrap/>
            <w:vAlign w:val="bottom"/>
            <w:hideMark/>
          </w:tcPr>
          <w:p w14:paraId="10AF31D2" w14:textId="77777777" w:rsidR="00FE461F" w:rsidRPr="005E4BEA" w:rsidRDefault="00FE461F" w:rsidP="00FE461F">
            <w:pPr>
              <w:spacing w:line="240" w:lineRule="auto"/>
              <w:jc w:val="both"/>
              <w:rPr>
                <w:rFonts w:cs="Arial"/>
                <w:b/>
                <w:bCs/>
                <w:i/>
                <w:iCs/>
                <w:color w:val="808080" w:themeColor="background1" w:themeShade="80"/>
                <w:szCs w:val="20"/>
              </w:rPr>
            </w:pPr>
          </w:p>
        </w:tc>
        <w:tc>
          <w:tcPr>
            <w:tcW w:w="2126" w:type="dxa"/>
            <w:tcBorders>
              <w:top w:val="nil"/>
              <w:left w:val="nil"/>
              <w:bottom w:val="nil"/>
              <w:right w:val="nil"/>
            </w:tcBorders>
            <w:shd w:val="clear" w:color="auto" w:fill="auto"/>
            <w:noWrap/>
            <w:vAlign w:val="bottom"/>
            <w:hideMark/>
          </w:tcPr>
          <w:p w14:paraId="2C16F7A4"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2D0C8463" w14:textId="77777777" w:rsidTr="0016774B">
        <w:trPr>
          <w:trHeight w:val="80"/>
        </w:trPr>
        <w:tc>
          <w:tcPr>
            <w:tcW w:w="8395" w:type="dxa"/>
            <w:gridSpan w:val="3"/>
            <w:tcBorders>
              <w:top w:val="nil"/>
              <w:left w:val="nil"/>
              <w:bottom w:val="nil"/>
              <w:right w:val="nil"/>
            </w:tcBorders>
            <w:shd w:val="clear" w:color="auto" w:fill="auto"/>
            <w:noWrap/>
            <w:vAlign w:val="bottom"/>
            <w:hideMark/>
          </w:tcPr>
          <w:p w14:paraId="61A25E6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*Obseg sredstev za laboratorij je izračunan na podlagi kalkulacije iz SD 2018.</w:t>
            </w:r>
          </w:p>
        </w:tc>
      </w:tr>
    </w:tbl>
    <w:p w14:paraId="543FA42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Spolno prenosne okužbe, kot so HIV/aids, virusni hepatitisi, gonoreja, sifilis, humani papiloma virusi, klamidijske okužbe in druge, po vsem svetu in tudi pri nas naraščajo.</w:t>
      </w:r>
    </w:p>
    <w:p w14:paraId="288A46D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Povzeto iz poročila NIJZ za leto 2018 je razvidno konstantno povečevanje visoko rizičnih genotipov HVP, kar je razvidno iz grafa spodaj.</w:t>
      </w:r>
    </w:p>
    <w:p w14:paraId="5BCD511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noProof/>
          <w:szCs w:val="20"/>
        </w:rPr>
        <w:drawing>
          <wp:inline distT="0" distB="0" distL="0" distR="0" wp14:anchorId="27913F84" wp14:editId="0A3E85EB">
            <wp:extent cx="5656997" cy="4293641"/>
            <wp:effectExtent l="0" t="0" r="127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25" t="20268" r="25286" b="9857"/>
                    <a:stretch/>
                  </pic:blipFill>
                  <pic:spPr bwMode="auto">
                    <a:xfrm>
                      <a:off x="0" y="0"/>
                      <a:ext cx="5720487" cy="4341830"/>
                    </a:xfrm>
                    <a:prstGeom prst="rect">
                      <a:avLst/>
                    </a:prstGeom>
                    <a:ln>
                      <a:noFill/>
                    </a:ln>
                    <a:extLst>
                      <a:ext uri="{53640926-AAD7-44D8-BBD7-CCE9431645EC}">
                        <a14:shadowObscured xmlns:a14="http://schemas.microsoft.com/office/drawing/2010/main"/>
                      </a:ext>
                    </a:extLst>
                  </pic:spPr>
                </pic:pic>
              </a:graphicData>
            </a:graphic>
          </wp:inline>
        </w:drawing>
      </w:r>
    </w:p>
    <w:p w14:paraId="6EABEFA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Povzeto iz poročila NIJZ za leto 2018:</w:t>
      </w:r>
    </w:p>
    <w:p w14:paraId="551520B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Prebivalci Slovenije imajo veliko spolno prenesenih okužb, predvsem genitalnih bradavic, drugih okužb s humanimi papilomavirusi (HPV) in okužb z bakterijo </w:t>
      </w:r>
      <w:proofErr w:type="spellStart"/>
      <w:r w:rsidRPr="005E4BEA">
        <w:rPr>
          <w:rFonts w:cs="Arial"/>
          <w:i/>
          <w:iCs/>
          <w:color w:val="808080" w:themeColor="background1" w:themeShade="80"/>
          <w:szCs w:val="20"/>
        </w:rPr>
        <w:t>Chlamydia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trachomatis</w:t>
      </w:r>
      <w:proofErr w:type="spellEnd"/>
      <w:r w:rsidRPr="005E4BEA">
        <w:rPr>
          <w:rFonts w:cs="Arial"/>
          <w:i/>
          <w:iCs/>
          <w:color w:val="808080" w:themeColor="background1" w:themeShade="80"/>
          <w:szCs w:val="20"/>
        </w:rPr>
        <w:t xml:space="preserve"> (klamidijskih okužb).</w:t>
      </w:r>
    </w:p>
    <w:p w14:paraId="2695314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letu 2018 je bilo v Sloveniji prijavljenih 1.415 primerov spolno prenesenih okužb (68,4/100.000 prebivalcev) brez primerov okužbe s HIV, hepatitisa B in hepatitisa C. Podatki o prijavljenih primerih podcenjujejo pogostost spolno prenesenih okužb.</w:t>
      </w:r>
    </w:p>
    <w:p w14:paraId="448F282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letu 2018 so bile genitalne bradavice najpogostejša prijavljena spolno prenesena okužba s 352 prijavljenimi primeri (17,0/100.000 </w:t>
      </w:r>
      <w:proofErr w:type="spellStart"/>
      <w:r w:rsidRPr="005E4BEA">
        <w:rPr>
          <w:rFonts w:cs="Arial"/>
          <w:i/>
          <w:iCs/>
          <w:color w:val="808080" w:themeColor="background1" w:themeShade="80"/>
          <w:szCs w:val="20"/>
        </w:rPr>
        <w:t>prebivalcec</w:t>
      </w:r>
      <w:proofErr w:type="spellEnd"/>
      <w:r w:rsidRPr="005E4BEA">
        <w:rPr>
          <w:rFonts w:cs="Arial"/>
          <w:i/>
          <w:iCs/>
          <w:color w:val="808080" w:themeColor="background1" w:themeShade="80"/>
          <w:szCs w:val="20"/>
        </w:rPr>
        <w:t>). Skoraj vse genitalne bradavice povzročajo okužbe z genotipoma HPV 6 in HPV 11. Z njima se v življenju okuži najmanj vsak peti prebivalec.</w:t>
      </w:r>
    </w:p>
    <w:p w14:paraId="43038FE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Več kot polovica spolno aktivnih oseb se v življenju okuži z vsaj enim od 12 visoko rizičnih (onkogenih) genotipov HPV, ki lahko povzročajo raka materničnega vratu in tudi nekatere druge rake.</w:t>
      </w:r>
    </w:p>
    <w:p w14:paraId="7AB515F7" w14:textId="77777777" w:rsidR="00FE461F" w:rsidRPr="005E4BEA" w:rsidRDefault="00FE461F" w:rsidP="00FE461F">
      <w:pPr>
        <w:spacing w:line="240" w:lineRule="auto"/>
        <w:jc w:val="both"/>
        <w:rPr>
          <w:rFonts w:cs="Arial"/>
          <w:i/>
          <w:iCs/>
          <w:color w:val="808080" w:themeColor="background1" w:themeShade="80"/>
          <w:szCs w:val="20"/>
        </w:rPr>
      </w:pPr>
      <w:proofErr w:type="spellStart"/>
      <w:r w:rsidRPr="005E4BEA">
        <w:rPr>
          <w:rFonts w:cs="Arial"/>
          <w:i/>
          <w:iCs/>
          <w:color w:val="808080" w:themeColor="background1" w:themeShade="80"/>
          <w:szCs w:val="20"/>
        </w:rPr>
        <w:t>Precepljenost</w:t>
      </w:r>
      <w:proofErr w:type="spellEnd"/>
      <w:r w:rsidRPr="005E4BEA">
        <w:rPr>
          <w:rFonts w:cs="Arial"/>
          <w:i/>
          <w:iCs/>
          <w:color w:val="808080" w:themeColor="background1" w:themeShade="80"/>
          <w:szCs w:val="20"/>
        </w:rPr>
        <w:t xml:space="preserve"> deklic, starih 11 do 12 let, s tremi odmerki cepiva proti HPV je prenizka, v šolskem letu 2017/18 je bila le 49,5 odstotkov.</w:t>
      </w:r>
    </w:p>
    <w:p w14:paraId="10189EA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letu 2018 so bile klamidijske okužbe najpogosteje prijavljene spolno prenesene bakterijske okužbe z 332 prijavljenimi primeri (16,0/100.000 prebivalcev), med katerimi je bilo tudi šest primerov veneričnega </w:t>
      </w:r>
      <w:proofErr w:type="spellStart"/>
      <w:r w:rsidRPr="005E4BEA">
        <w:rPr>
          <w:rFonts w:cs="Arial"/>
          <w:i/>
          <w:iCs/>
          <w:color w:val="808080" w:themeColor="background1" w:themeShade="80"/>
          <w:szCs w:val="20"/>
        </w:rPr>
        <w:t>limfogranuloma</w:t>
      </w:r>
      <w:proofErr w:type="spellEnd"/>
      <w:r w:rsidRPr="005E4BEA">
        <w:rPr>
          <w:rFonts w:cs="Arial"/>
          <w:i/>
          <w:iCs/>
          <w:color w:val="808080" w:themeColor="background1" w:themeShade="80"/>
          <w:szCs w:val="20"/>
        </w:rPr>
        <w:t xml:space="preserve"> (LGV) pri moških, ki so imeli spolne odnose z moškimi. Prijavne incidence klamidijskih okužb so bile najvišje med 25-29 let starimi prebivalci.</w:t>
      </w:r>
    </w:p>
    <w:p w14:paraId="1B8AC17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Med 20 do 29 let starimi prebivalci Slovenije ima skoraj vsak dvajseti klamidijsko okužbo. Ker zelo malo prebivalcev testiramo na klamidijske okužbe, številne niso prepoznane in tako zamujamo priložnosti za zdravljenje in preprečevanje poznih posledic, predvsem za reproduktivno zdravje žensk.</w:t>
      </w:r>
    </w:p>
    <w:p w14:paraId="352BA095" w14:textId="3220025A"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letu 2018 je bilo prijavljenih 157 primerov gonoreje (7,5/100.000 prebivalcev), 39 odstotkov več kot leto prej in približno tri in </w:t>
      </w:r>
      <w:proofErr w:type="spellStart"/>
      <w:r w:rsidRPr="005E4BEA">
        <w:rPr>
          <w:rFonts w:cs="Arial"/>
          <w:i/>
          <w:iCs/>
          <w:color w:val="808080" w:themeColor="background1" w:themeShade="80"/>
          <w:szCs w:val="20"/>
        </w:rPr>
        <w:t>polkrat</w:t>
      </w:r>
      <w:proofErr w:type="spellEnd"/>
      <w:r w:rsidRPr="005E4BEA">
        <w:rPr>
          <w:rFonts w:cs="Arial"/>
          <w:i/>
          <w:iCs/>
          <w:color w:val="808080" w:themeColor="background1" w:themeShade="80"/>
          <w:szCs w:val="20"/>
        </w:rPr>
        <w:t xml:space="preserve"> več kot pred 10 leti. Rast števila primerov v zadnjih šestih letih je posledica rasti števila primerov med moškimi, predvsem med moškimi, ki imajo spolne odnose z moškimi.</w:t>
      </w:r>
    </w:p>
    <w:p w14:paraId="110712EF" w14:textId="77777777" w:rsidR="00346825" w:rsidRPr="005E4BEA" w:rsidRDefault="00346825" w:rsidP="00FE461F">
      <w:pPr>
        <w:spacing w:line="240" w:lineRule="auto"/>
        <w:jc w:val="both"/>
        <w:rPr>
          <w:rFonts w:cs="Arial"/>
          <w:i/>
          <w:iCs/>
          <w:color w:val="808080" w:themeColor="background1" w:themeShade="80"/>
          <w:szCs w:val="20"/>
        </w:rPr>
      </w:pPr>
    </w:p>
    <w:p w14:paraId="65BC4520" w14:textId="576E254D"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2.400.297 eur letno.</w:t>
      </w:r>
    </w:p>
    <w:p w14:paraId="3799E9F1" w14:textId="26B09CC4" w:rsidR="00346825" w:rsidRPr="005E4BEA" w:rsidRDefault="00346825" w:rsidP="00FE461F">
      <w:pPr>
        <w:spacing w:line="240" w:lineRule="auto"/>
        <w:jc w:val="both"/>
        <w:rPr>
          <w:rFonts w:cs="Arial"/>
          <w:i/>
          <w:iCs/>
          <w:color w:val="808080" w:themeColor="background1" w:themeShade="80"/>
          <w:szCs w:val="20"/>
        </w:rPr>
      </w:pPr>
    </w:p>
    <w:p w14:paraId="607AD95A" w14:textId="77777777" w:rsidR="00346825" w:rsidRPr="005E4BEA" w:rsidRDefault="00346825" w:rsidP="00FE461F">
      <w:pPr>
        <w:spacing w:line="240" w:lineRule="auto"/>
        <w:jc w:val="both"/>
        <w:rPr>
          <w:rFonts w:cs="Arial"/>
          <w:i/>
          <w:iCs/>
          <w:color w:val="808080" w:themeColor="background1" w:themeShade="80"/>
          <w:szCs w:val="20"/>
        </w:rPr>
      </w:pPr>
    </w:p>
    <w:p w14:paraId="63F13CD7" w14:textId="77777777" w:rsidR="00346825" w:rsidRPr="005E4BEA" w:rsidRDefault="00346825" w:rsidP="0034682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8B7FA91" w14:textId="77777777" w:rsidR="00346825" w:rsidRPr="005E4BEA" w:rsidRDefault="00346825" w:rsidP="00346825">
      <w:pPr>
        <w:spacing w:line="0" w:lineRule="atLeast"/>
        <w:jc w:val="both"/>
        <w:rPr>
          <w:rFonts w:eastAsia="Arial Narrow" w:cs="Arial"/>
          <w:szCs w:val="20"/>
          <w:lang w:eastAsia="sl-SI"/>
        </w:rPr>
      </w:pPr>
    </w:p>
    <w:p w14:paraId="05146D30" w14:textId="57F62817" w:rsidR="00346825" w:rsidRPr="005E4BEA" w:rsidRDefault="00346825" w:rsidP="00346825">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in Priloga I/d Splošnega dogovora za pogodbeno leto 2022 ne spremenita.</w:t>
      </w:r>
    </w:p>
    <w:p w14:paraId="02B4C408" w14:textId="40F36A2A" w:rsidR="00FE461F" w:rsidRPr="005E4BEA" w:rsidRDefault="00FE461F" w:rsidP="00FE461F">
      <w:pPr>
        <w:spacing w:line="240" w:lineRule="auto"/>
        <w:jc w:val="both"/>
        <w:rPr>
          <w:rFonts w:cs="Arial"/>
          <w:szCs w:val="20"/>
        </w:rPr>
      </w:pPr>
    </w:p>
    <w:p w14:paraId="553CAD51" w14:textId="77777777" w:rsidR="00346825" w:rsidRPr="005E4BEA" w:rsidRDefault="00346825" w:rsidP="00FE461F">
      <w:pPr>
        <w:spacing w:line="240" w:lineRule="auto"/>
        <w:jc w:val="both"/>
        <w:rPr>
          <w:rFonts w:cs="Arial"/>
          <w:szCs w:val="20"/>
        </w:rPr>
      </w:pPr>
    </w:p>
    <w:p w14:paraId="13D1D106" w14:textId="1AE7F21B"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(27)</w:t>
      </w:r>
    </w:p>
    <w:p w14:paraId="734C896D" w14:textId="77777777" w:rsidR="00346825" w:rsidRPr="005E4BEA" w:rsidRDefault="00346825" w:rsidP="00346825">
      <w:pPr>
        <w:spacing w:line="240" w:lineRule="auto"/>
        <w:jc w:val="both"/>
        <w:rPr>
          <w:rFonts w:cs="Arial"/>
          <w:i/>
          <w:iCs/>
          <w:color w:val="808080" w:themeColor="background1" w:themeShade="80"/>
          <w:szCs w:val="20"/>
        </w:rPr>
      </w:pPr>
    </w:p>
    <w:p w14:paraId="5A4107EB" w14:textId="77777777" w:rsidR="00346825" w:rsidRPr="005E4BEA" w:rsidRDefault="00346825" w:rsidP="00346825">
      <w:pPr>
        <w:spacing w:line="240" w:lineRule="auto"/>
        <w:jc w:val="both"/>
        <w:rPr>
          <w:rFonts w:cs="Arial"/>
          <w:i/>
          <w:iCs/>
          <w:color w:val="808080" w:themeColor="background1" w:themeShade="80"/>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Pr="005E4BEA">
        <w:rPr>
          <w:rFonts w:cs="Arial"/>
          <w:szCs w:val="20"/>
        </w:rPr>
        <w:t xml:space="preserve"> 16. členu se v (1) odstavku doda</w:t>
      </w:r>
    </w:p>
    <w:p w14:paraId="2D8EF990" w14:textId="4C47BEA8" w:rsidR="00FE461F" w:rsidRPr="005E4BEA" w:rsidRDefault="00346825" w:rsidP="00FE461F">
      <w:pPr>
        <w:spacing w:line="240" w:lineRule="auto"/>
        <w:jc w:val="both"/>
        <w:rPr>
          <w:rFonts w:cs="Arial"/>
          <w:szCs w:val="20"/>
        </w:rPr>
      </w:pPr>
      <w:r w:rsidRPr="005E4BEA">
        <w:rPr>
          <w:rFonts w:cs="Arial"/>
          <w:szCs w:val="20"/>
        </w:rPr>
        <w:t>n</w:t>
      </w:r>
      <w:r w:rsidR="00FE461F" w:rsidRPr="005E4BEA">
        <w:rPr>
          <w:rFonts w:cs="Arial"/>
          <w:szCs w:val="20"/>
        </w:rPr>
        <w:t>ova točka:</w:t>
      </w:r>
    </w:p>
    <w:p w14:paraId="6108E459" w14:textId="77777777" w:rsidR="00FE461F" w:rsidRPr="005E4BEA" w:rsidRDefault="00FE461F" w:rsidP="00FE461F">
      <w:pPr>
        <w:spacing w:line="240" w:lineRule="auto"/>
        <w:jc w:val="both"/>
        <w:rPr>
          <w:rFonts w:cs="Arial"/>
          <w:iCs/>
          <w:szCs w:val="20"/>
        </w:rPr>
      </w:pPr>
      <w:r w:rsidRPr="005E4BEA">
        <w:rPr>
          <w:rFonts w:cs="Arial"/>
          <w:iCs/>
          <w:szCs w:val="20"/>
        </w:rPr>
        <w:t xml:space="preserve">Splošna bolnišnica Novo mesto – materialni stroški operacije vstavitve </w:t>
      </w:r>
      <w:proofErr w:type="spellStart"/>
      <w:r w:rsidRPr="005E4BEA">
        <w:rPr>
          <w:rFonts w:cs="Arial"/>
          <w:iCs/>
          <w:szCs w:val="20"/>
        </w:rPr>
        <w:t>endoproteze</w:t>
      </w:r>
      <w:proofErr w:type="spellEnd"/>
      <w:r w:rsidRPr="005E4BEA">
        <w:rPr>
          <w:rFonts w:cs="Arial"/>
          <w:iCs/>
          <w:szCs w:val="20"/>
        </w:rPr>
        <w:t xml:space="preserve"> sklepa nožnega palca</w:t>
      </w:r>
    </w:p>
    <w:p w14:paraId="2D2D1EC6" w14:textId="77777777" w:rsidR="00FE461F" w:rsidRPr="005E4BEA" w:rsidRDefault="00FE461F" w:rsidP="00FE461F">
      <w:pPr>
        <w:spacing w:line="240" w:lineRule="auto"/>
        <w:jc w:val="both"/>
        <w:rPr>
          <w:rFonts w:cs="Arial"/>
          <w:iCs/>
          <w:szCs w:val="20"/>
        </w:rPr>
      </w:pPr>
    </w:p>
    <w:p w14:paraId="37024FBF"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EBA269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Splošni bolnišnici Novo mesto smo v februarju 2019 izvedli prvo implantacijo umetnega sklepa v nožnem palcu v Sloveniji.</w:t>
      </w:r>
    </w:p>
    <w:p w14:paraId="7667E87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Obraba osnovnega sklepa palca (</w:t>
      </w:r>
      <w:proofErr w:type="spellStart"/>
      <w:r w:rsidRPr="005E4BEA">
        <w:rPr>
          <w:rFonts w:cs="Arial"/>
          <w:i/>
          <w:iCs/>
          <w:color w:val="808080" w:themeColor="background1" w:themeShade="80"/>
          <w:szCs w:val="20"/>
        </w:rPr>
        <w:t>Hallux</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Rigidus</w:t>
      </w:r>
      <w:proofErr w:type="spellEnd"/>
      <w:r w:rsidRPr="005E4BEA">
        <w:rPr>
          <w:rFonts w:cs="Arial"/>
          <w:i/>
          <w:iCs/>
          <w:color w:val="808080" w:themeColor="background1" w:themeShade="80"/>
          <w:szCs w:val="20"/>
        </w:rPr>
        <w:t xml:space="preserve">) je boleče stanje, ki prizadene palec v osnovnem sklepu. Posledično se razvijejo </w:t>
      </w:r>
      <w:proofErr w:type="spellStart"/>
      <w:r w:rsidRPr="005E4BEA">
        <w:rPr>
          <w:rFonts w:cs="Arial"/>
          <w:i/>
          <w:iCs/>
          <w:color w:val="808080" w:themeColor="background1" w:themeShade="80"/>
          <w:szCs w:val="20"/>
        </w:rPr>
        <w:t>osteofiti</w:t>
      </w:r>
      <w:proofErr w:type="spellEnd"/>
      <w:r w:rsidRPr="005E4BEA">
        <w:rPr>
          <w:rFonts w:cs="Arial"/>
          <w:i/>
          <w:iCs/>
          <w:color w:val="808080" w:themeColor="background1" w:themeShade="80"/>
          <w:szCs w:val="20"/>
        </w:rPr>
        <w:t xml:space="preserve"> ali kostni izrastki na hrbtni površini prizadetih kosti, ki omejujejo gibanje in povzročajo bolečino. Napredovana bolezen vključuje tudi degeneracijo hrustanca (obrabo) na sklepnih površinah, ki še dodatno prispeva k bolečini. Implantat (</w:t>
      </w:r>
      <w:proofErr w:type="spellStart"/>
      <w:r w:rsidRPr="005E4BEA">
        <w:rPr>
          <w:rFonts w:cs="Arial"/>
          <w:i/>
          <w:iCs/>
          <w:color w:val="808080" w:themeColor="background1" w:themeShade="80"/>
          <w:szCs w:val="20"/>
        </w:rPr>
        <w:t>HemiCAP</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Metatarsal</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Head</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Resurfacing</w:t>
      </w:r>
      <w:proofErr w:type="spellEnd"/>
      <w:r w:rsidRPr="005E4BEA">
        <w:rPr>
          <w:rFonts w:cs="Arial"/>
          <w:i/>
          <w:iCs/>
          <w:color w:val="808080" w:themeColor="background1" w:themeShade="80"/>
          <w:szCs w:val="20"/>
        </w:rPr>
        <w:t xml:space="preserve">) ima dolgoročne rezultate z 10-letnim spremljanjem, ki so objavljeni v priznani reviji </w:t>
      </w:r>
      <w:proofErr w:type="spellStart"/>
      <w:r w:rsidRPr="005E4BEA">
        <w:rPr>
          <w:rFonts w:cs="Arial"/>
          <w:i/>
          <w:iCs/>
          <w:color w:val="808080" w:themeColor="background1" w:themeShade="80"/>
          <w:szCs w:val="20"/>
        </w:rPr>
        <w:t>Journal</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of</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Foot</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and</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Ankle</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Surgery</w:t>
      </w:r>
      <w:proofErr w:type="spellEnd"/>
      <w:r w:rsidRPr="005E4BEA">
        <w:rPr>
          <w:rFonts w:cs="Arial"/>
          <w:i/>
          <w:iCs/>
          <w:color w:val="808080" w:themeColor="background1" w:themeShade="80"/>
          <w:szCs w:val="20"/>
        </w:rPr>
        <w:t>. Študija navaja dobre rezultate, kot so lajšanje bolečin, izboljšanje funkcionalnosti, visoko zadovoljstvo pacientov, nizko stopnjo ponovitve in nobenih resnih zapletov,« so pojasnili v bolnišnici.</w:t>
      </w:r>
    </w:p>
    <w:p w14:paraId="0B4D12B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Klasična operacija in zlati standard oskrbe bolnikov s tovrstnimi težavami je sicer zatrditev osnovnega sklepa palca. Vendar se zaradi omejitve gibanja pri bolnikih pojavijo določene težave pri dvigovanju na prste, klečanju ali hitri hoji, tek pa je skoraj nemogoč.</w:t>
      </w:r>
    </w:p>
    <w:p w14:paraId="26D2C97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Sistem implantatov, ki smo ga vstavili v SB Novo mesto, je zasnovan tako, da poveča stabilnost vsadkov s pomočjo močne pritrdilne komponente z navojem. Do danes je bilo v svetu uporabljenih več kot 33.000 vsadkov. Pacienti si dandanes želijo ohraniti gibljivost prizadetega palca, da lahko ostanejo aktivni in s to operacijo jim to lahko omogočimo.</w:t>
      </w:r>
    </w:p>
    <w:p w14:paraId="7F87F12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Ocenjujemo, da bi bilo v Sloveniji potrebna izvedba ca. 100 tovrstnih operacij na letni ravni, katere bi opravljali le v SB Novo mesto. </w:t>
      </w:r>
    </w:p>
    <w:p w14:paraId="1D3A9ED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Cena vstavitve proteze umetnega sklepa nožnega palca je 4.100 € in daleč presega sedanjo možnost obračuna op. </w:t>
      </w:r>
      <w:proofErr w:type="spellStart"/>
      <w:r w:rsidRPr="005E4BEA">
        <w:rPr>
          <w:rFonts w:cs="Arial"/>
          <w:i/>
          <w:iCs/>
          <w:color w:val="808080" w:themeColor="background1" w:themeShade="80"/>
          <w:szCs w:val="20"/>
        </w:rPr>
        <w:t>hallux</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valgus</w:t>
      </w:r>
      <w:proofErr w:type="spellEnd"/>
      <w:r w:rsidRPr="005E4BEA">
        <w:rPr>
          <w:rFonts w:cs="Arial"/>
          <w:i/>
          <w:iCs/>
          <w:color w:val="808080" w:themeColor="background1" w:themeShade="80"/>
          <w:szCs w:val="20"/>
        </w:rPr>
        <w:t xml:space="preserve"> ( I20Z), to je 1.400€. Predlagamo, da se materialni stroški ( </w:t>
      </w:r>
      <w:r w:rsidRPr="005E4BEA">
        <w:rPr>
          <w:rFonts w:cs="Arial"/>
          <w:i/>
          <w:iCs/>
          <w:color w:val="808080" w:themeColor="background1" w:themeShade="80"/>
          <w:szCs w:val="20"/>
        </w:rPr>
        <w:lastRenderedPageBreak/>
        <w:t>proteza) implantacije sklepa nožnega palca obračunajo kot LZM, v višini 2.700€/ operacijo in priznajo izključno SB Novo mesto.</w:t>
      </w:r>
    </w:p>
    <w:p w14:paraId="6CEB55F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0,27 mio €</w:t>
      </w:r>
    </w:p>
    <w:p w14:paraId="1B4E0514" w14:textId="4F3FB8B8" w:rsidR="00FE461F" w:rsidRPr="005E4BEA" w:rsidRDefault="00FE461F" w:rsidP="00FE461F">
      <w:pPr>
        <w:spacing w:line="240" w:lineRule="auto"/>
        <w:jc w:val="both"/>
        <w:rPr>
          <w:rFonts w:cs="Arial"/>
          <w:i/>
          <w:iCs/>
          <w:color w:val="808080" w:themeColor="background1" w:themeShade="80"/>
          <w:szCs w:val="20"/>
        </w:rPr>
      </w:pPr>
    </w:p>
    <w:p w14:paraId="7F6196DD" w14:textId="77777777" w:rsidR="00346825" w:rsidRPr="005E4BEA" w:rsidRDefault="00346825" w:rsidP="00346825">
      <w:pPr>
        <w:spacing w:line="240" w:lineRule="auto"/>
        <w:jc w:val="both"/>
        <w:rPr>
          <w:rFonts w:cs="Arial"/>
          <w:i/>
          <w:iCs/>
          <w:color w:val="808080" w:themeColor="background1" w:themeShade="80"/>
          <w:szCs w:val="20"/>
        </w:rPr>
      </w:pPr>
    </w:p>
    <w:p w14:paraId="5DE58961" w14:textId="77777777" w:rsidR="00346825" w:rsidRPr="005E4BEA" w:rsidRDefault="00346825" w:rsidP="0034682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9D43A0F" w14:textId="77777777" w:rsidR="00346825" w:rsidRPr="005E4BEA" w:rsidRDefault="00346825" w:rsidP="00346825">
      <w:pPr>
        <w:spacing w:line="0" w:lineRule="atLeast"/>
        <w:jc w:val="both"/>
        <w:rPr>
          <w:rFonts w:eastAsia="Arial Narrow" w:cs="Arial"/>
          <w:szCs w:val="20"/>
          <w:lang w:eastAsia="sl-SI"/>
        </w:rPr>
      </w:pPr>
    </w:p>
    <w:p w14:paraId="6DC439E6" w14:textId="23F0E2F5" w:rsidR="00346825" w:rsidRPr="005E4BEA" w:rsidRDefault="00346825" w:rsidP="00346825">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Splošnega dogovora za pogodbeno leto 2022 ne spremeni.</w:t>
      </w:r>
    </w:p>
    <w:p w14:paraId="6B3FA778" w14:textId="77777777" w:rsidR="00346825" w:rsidRPr="005E4BEA" w:rsidRDefault="00346825" w:rsidP="00346825">
      <w:pPr>
        <w:spacing w:line="0" w:lineRule="atLeast"/>
        <w:jc w:val="both"/>
        <w:rPr>
          <w:rFonts w:eastAsia="Arial Narrow" w:cs="Arial"/>
          <w:szCs w:val="20"/>
        </w:rPr>
      </w:pPr>
    </w:p>
    <w:p w14:paraId="5A9E4C8D" w14:textId="05EB91AC" w:rsidR="00346825" w:rsidRPr="005E4BEA" w:rsidRDefault="00346825" w:rsidP="00FE461F">
      <w:pPr>
        <w:spacing w:line="240" w:lineRule="auto"/>
        <w:jc w:val="both"/>
        <w:rPr>
          <w:rFonts w:cs="Arial"/>
          <w:i/>
          <w:iCs/>
          <w:color w:val="808080" w:themeColor="background1" w:themeShade="80"/>
          <w:szCs w:val="20"/>
        </w:rPr>
      </w:pPr>
    </w:p>
    <w:p w14:paraId="6B77304E" w14:textId="2569FC4F"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(28)</w:t>
      </w:r>
    </w:p>
    <w:p w14:paraId="56852050" w14:textId="77777777" w:rsidR="00346825" w:rsidRPr="005E4BEA" w:rsidRDefault="00346825" w:rsidP="00346825">
      <w:pPr>
        <w:spacing w:line="240" w:lineRule="auto"/>
        <w:jc w:val="both"/>
        <w:rPr>
          <w:rFonts w:cs="Arial"/>
          <w:i/>
          <w:iCs/>
          <w:color w:val="808080" w:themeColor="background1" w:themeShade="80"/>
          <w:szCs w:val="20"/>
        </w:rPr>
      </w:pPr>
    </w:p>
    <w:p w14:paraId="75688920" w14:textId="6686B67D" w:rsidR="00FE461F" w:rsidRPr="005E4BEA" w:rsidRDefault="00346825" w:rsidP="00FE461F">
      <w:pPr>
        <w:spacing w:line="240" w:lineRule="auto"/>
        <w:jc w:val="both"/>
        <w:rPr>
          <w:rFonts w:cs="Arial"/>
          <w:i/>
          <w:iCs/>
          <w:color w:val="808080" w:themeColor="background1" w:themeShade="80"/>
          <w:szCs w:val="20"/>
        </w:rPr>
      </w:pPr>
      <w:r w:rsidRPr="005E4BEA">
        <w:rPr>
          <w:rFonts w:eastAsia="Arial Narrow" w:cs="Arial"/>
          <w:b/>
          <w:szCs w:val="20"/>
        </w:rPr>
        <w:t>Združenje zdravstvenih zavodov Slovenije</w:t>
      </w:r>
      <w:r w:rsidRPr="005E4BEA">
        <w:rPr>
          <w:rFonts w:eastAsia="Arial Narrow" w:cs="Arial"/>
          <w:bCs/>
          <w:szCs w:val="20"/>
        </w:rPr>
        <w:t xml:space="preserve"> predlaga, da se v</w:t>
      </w:r>
      <w:r w:rsidRPr="005E4BEA">
        <w:rPr>
          <w:rFonts w:cs="Arial"/>
          <w:bCs/>
          <w:szCs w:val="20"/>
        </w:rPr>
        <w:t xml:space="preserve"> 16. členu se v (1) odstavku doda</w:t>
      </w:r>
      <w:r w:rsidR="0085180C" w:rsidRPr="005E4BEA">
        <w:rPr>
          <w:rFonts w:cs="Arial"/>
          <w:bCs/>
          <w:i/>
          <w:iCs/>
          <w:color w:val="808080" w:themeColor="background1" w:themeShade="80"/>
          <w:szCs w:val="20"/>
        </w:rPr>
        <w:t xml:space="preserve"> </w:t>
      </w:r>
      <w:r w:rsidR="00FE461F" w:rsidRPr="005E4BEA">
        <w:rPr>
          <w:rFonts w:cs="Arial"/>
          <w:bCs/>
          <w:szCs w:val="20"/>
        </w:rPr>
        <w:t>nova točka:</w:t>
      </w:r>
    </w:p>
    <w:p w14:paraId="466195D9" w14:textId="5913D185" w:rsidR="00FE461F" w:rsidRPr="005E4BEA" w:rsidRDefault="00FE461F" w:rsidP="00FE461F">
      <w:pPr>
        <w:spacing w:line="240" w:lineRule="auto"/>
        <w:jc w:val="both"/>
        <w:rPr>
          <w:rFonts w:cs="Arial"/>
          <w:iCs/>
          <w:szCs w:val="20"/>
        </w:rPr>
      </w:pPr>
      <w:r w:rsidRPr="005E4BEA">
        <w:rPr>
          <w:rFonts w:cs="Arial"/>
          <w:iCs/>
          <w:szCs w:val="20"/>
        </w:rPr>
        <w:t xml:space="preserve">Material za izvedbo </w:t>
      </w:r>
      <w:proofErr w:type="spellStart"/>
      <w:r w:rsidRPr="005E4BEA">
        <w:rPr>
          <w:rFonts w:cs="Arial"/>
          <w:iCs/>
          <w:szCs w:val="20"/>
        </w:rPr>
        <w:t>urodinamske</w:t>
      </w:r>
      <w:proofErr w:type="spellEnd"/>
      <w:r w:rsidRPr="005E4BEA">
        <w:rPr>
          <w:rFonts w:cs="Arial"/>
          <w:iCs/>
          <w:szCs w:val="20"/>
        </w:rPr>
        <w:t xml:space="preserve"> preiskave v dejavnosti urologije (239 257)</w:t>
      </w:r>
    </w:p>
    <w:p w14:paraId="6859BBAC" w14:textId="77777777" w:rsidR="0085180C" w:rsidRPr="005E4BEA" w:rsidRDefault="0085180C" w:rsidP="00FE461F">
      <w:pPr>
        <w:spacing w:line="240" w:lineRule="auto"/>
        <w:jc w:val="both"/>
        <w:rPr>
          <w:rFonts w:cs="Arial"/>
          <w:iCs/>
          <w:szCs w:val="20"/>
        </w:rPr>
      </w:pPr>
    </w:p>
    <w:p w14:paraId="28BE7E2D" w14:textId="77777777" w:rsidR="00FE461F" w:rsidRPr="005E4BEA" w:rsidRDefault="00FE461F" w:rsidP="00FE461F">
      <w:pPr>
        <w:spacing w:line="240" w:lineRule="auto"/>
        <w:jc w:val="both"/>
        <w:rPr>
          <w:rFonts w:cs="Arial"/>
          <w:b/>
          <w:bCs/>
          <w:szCs w:val="20"/>
        </w:rPr>
      </w:pPr>
      <w:r w:rsidRPr="005E4BEA">
        <w:rPr>
          <w:rFonts w:cs="Arial"/>
          <w:b/>
          <w:bCs/>
          <w:szCs w:val="20"/>
        </w:rPr>
        <w:t>V Prilogi I/d se doda naslednja postavka:</w:t>
      </w:r>
    </w:p>
    <w:p w14:paraId="2EFB3DBE" w14:textId="77777777" w:rsidR="00FE461F" w:rsidRPr="005E4BEA" w:rsidRDefault="00FE461F" w:rsidP="00FE461F">
      <w:pPr>
        <w:spacing w:line="240" w:lineRule="auto"/>
        <w:jc w:val="both"/>
        <w:rPr>
          <w:rFonts w:cs="Arial"/>
          <w:iCs/>
          <w:szCs w:val="20"/>
        </w:rPr>
      </w:pPr>
      <w:r w:rsidRPr="005E4BEA">
        <w:rPr>
          <w:rFonts w:cs="Arial"/>
          <w:noProof/>
          <w:szCs w:val="20"/>
        </w:rPr>
        <w:drawing>
          <wp:inline distT="0" distB="0" distL="0" distR="0" wp14:anchorId="1BA44F7B" wp14:editId="0989E3A0">
            <wp:extent cx="3081600" cy="687630"/>
            <wp:effectExtent l="0" t="0" r="508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171" cy="710964"/>
                    </a:xfrm>
                    <a:prstGeom prst="rect">
                      <a:avLst/>
                    </a:prstGeom>
                    <a:noFill/>
                    <a:ln>
                      <a:noFill/>
                    </a:ln>
                  </pic:spPr>
                </pic:pic>
              </a:graphicData>
            </a:graphic>
          </wp:inline>
        </w:drawing>
      </w:r>
    </w:p>
    <w:p w14:paraId="777C811B" w14:textId="77777777" w:rsidR="00FE461F" w:rsidRPr="005E4BEA" w:rsidRDefault="00FE461F" w:rsidP="00FE461F">
      <w:pPr>
        <w:spacing w:line="240" w:lineRule="auto"/>
        <w:jc w:val="both"/>
        <w:rPr>
          <w:rFonts w:cs="Arial"/>
          <w:iCs/>
          <w:szCs w:val="20"/>
        </w:rPr>
      </w:pPr>
    </w:p>
    <w:p w14:paraId="7E71D5E7"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027EAB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Pomembnost in namen </w:t>
      </w:r>
      <w:proofErr w:type="spellStart"/>
      <w:r w:rsidRPr="005E4BEA">
        <w:rPr>
          <w:rFonts w:cs="Arial"/>
          <w:i/>
          <w:iCs/>
          <w:color w:val="808080" w:themeColor="background1" w:themeShade="80"/>
          <w:szCs w:val="20"/>
        </w:rPr>
        <w:t>urodinamskih</w:t>
      </w:r>
      <w:proofErr w:type="spellEnd"/>
      <w:r w:rsidRPr="005E4BEA">
        <w:rPr>
          <w:rFonts w:cs="Arial"/>
          <w:i/>
          <w:iCs/>
          <w:color w:val="808080" w:themeColor="background1" w:themeShade="80"/>
          <w:szCs w:val="20"/>
        </w:rPr>
        <w:t xml:space="preserve"> preiskav: V urološki ambulanti SB Slovenj Gradec smo konec septembra 2019 začeli izvajati storitev </w:t>
      </w:r>
      <w:proofErr w:type="spellStart"/>
      <w:r w:rsidRPr="005E4BEA">
        <w:rPr>
          <w:rFonts w:cs="Arial"/>
          <w:i/>
          <w:iCs/>
          <w:color w:val="808080" w:themeColor="background1" w:themeShade="80"/>
          <w:szCs w:val="20"/>
        </w:rPr>
        <w:t>urodinamske</w:t>
      </w:r>
      <w:proofErr w:type="spellEnd"/>
      <w:r w:rsidRPr="005E4BEA">
        <w:rPr>
          <w:rFonts w:cs="Arial"/>
          <w:i/>
          <w:iCs/>
          <w:color w:val="808080" w:themeColor="background1" w:themeShade="80"/>
          <w:szCs w:val="20"/>
        </w:rPr>
        <w:t xml:space="preserve"> preiskave, saj se potreba po tovrstni diagnostiki povečuje, pomaga pa pri izbiri pravega načina zdravljenja, s katerim olajšamo simptome in preprečujemo okvare sečil in tako na dolgi rok zmanjšamo stroške zdravljenja in racionaliziramo uporabo farmakoloških sredstev. Pri več kot 80% moških, starejših od 75 let je pogosta benigna hiperplazija prostate, polovica od njih ima zaradi nje zaporo iztoka seča. Moteno delovanje spodnjih sečil je poleg anatomskih in strukturnih sprememb tudi posledica motenj njihovega </w:t>
      </w:r>
      <w:proofErr w:type="spellStart"/>
      <w:r w:rsidRPr="005E4BEA">
        <w:rPr>
          <w:rFonts w:cs="Arial"/>
          <w:i/>
          <w:iCs/>
          <w:color w:val="808080" w:themeColor="background1" w:themeShade="80"/>
          <w:szCs w:val="20"/>
        </w:rPr>
        <w:t>oživčenja</w:t>
      </w:r>
      <w:proofErr w:type="spellEnd"/>
      <w:r w:rsidRPr="005E4BEA">
        <w:rPr>
          <w:rFonts w:cs="Arial"/>
          <w:i/>
          <w:iCs/>
          <w:color w:val="808080" w:themeColor="background1" w:themeShade="80"/>
          <w:szCs w:val="20"/>
        </w:rPr>
        <w:t xml:space="preserve">.  T. i. »nevrogeni mehur« je entiteta z več značilnostmi. Ni bolezen, temveč pojav zaradi vpliva nevroloških procesov na </w:t>
      </w:r>
      <w:proofErr w:type="spellStart"/>
      <w:r w:rsidRPr="005E4BEA">
        <w:rPr>
          <w:rFonts w:cs="Arial"/>
          <w:i/>
          <w:iCs/>
          <w:color w:val="808080" w:themeColor="background1" w:themeShade="80"/>
          <w:szCs w:val="20"/>
        </w:rPr>
        <w:t>oživčenje</w:t>
      </w:r>
      <w:proofErr w:type="spellEnd"/>
      <w:r w:rsidRPr="005E4BEA">
        <w:rPr>
          <w:rFonts w:cs="Arial"/>
          <w:i/>
          <w:iCs/>
          <w:color w:val="808080" w:themeColor="background1" w:themeShade="80"/>
          <w:szCs w:val="20"/>
        </w:rPr>
        <w:t xml:space="preserve"> mehurja. Posledica tega so simptomi, ki obsegajo različna stanja od popolnega nedelovanja mehurja do njegove čezmerne aktivnosti, pri čemer lahko dolgoročno pride do hude okvare ali pa celo do smrti. </w:t>
      </w:r>
      <w:proofErr w:type="spellStart"/>
      <w:r w:rsidRPr="005E4BEA">
        <w:rPr>
          <w:rFonts w:cs="Arial"/>
          <w:i/>
          <w:iCs/>
          <w:color w:val="808080" w:themeColor="background1" w:themeShade="80"/>
          <w:szCs w:val="20"/>
        </w:rPr>
        <w:t>Urodinamske</w:t>
      </w:r>
      <w:proofErr w:type="spellEnd"/>
      <w:r w:rsidRPr="005E4BEA">
        <w:rPr>
          <w:rFonts w:cs="Arial"/>
          <w:i/>
          <w:iCs/>
          <w:color w:val="808080" w:themeColor="background1" w:themeShade="80"/>
          <w:szCs w:val="20"/>
        </w:rPr>
        <w:t xml:space="preserve"> preiskave je potrebno opraviti pri bolnikih s simptomi spodnjih sečil ali pri tistih z nevrološkimi okvarami. S ponavljanjem preiskav ocenjujemo uspešnost obravnave bolnikov oziroma spremljamo morebitne spremembe delovanja njihovih spodnjih sečil. </w:t>
      </w:r>
      <w:proofErr w:type="spellStart"/>
      <w:r w:rsidRPr="005E4BEA">
        <w:rPr>
          <w:rFonts w:cs="Arial"/>
          <w:i/>
          <w:iCs/>
          <w:color w:val="808080" w:themeColor="background1" w:themeShade="80"/>
          <w:szCs w:val="20"/>
        </w:rPr>
        <w:t>Urodinamsko</w:t>
      </w:r>
      <w:proofErr w:type="spellEnd"/>
      <w:r w:rsidRPr="005E4BEA">
        <w:rPr>
          <w:rFonts w:cs="Arial"/>
          <w:i/>
          <w:iCs/>
          <w:color w:val="808080" w:themeColor="background1" w:themeShade="80"/>
          <w:szCs w:val="20"/>
        </w:rPr>
        <w:t xml:space="preserve"> preiskavo sestavlja več komponent, ki jih lahko med seboj različno povezujemo, in sicer: </w:t>
      </w:r>
      <w:proofErr w:type="spellStart"/>
      <w:r w:rsidRPr="005E4BEA">
        <w:rPr>
          <w:rFonts w:cs="Arial"/>
          <w:i/>
          <w:iCs/>
          <w:color w:val="808080" w:themeColor="background1" w:themeShade="80"/>
          <w:szCs w:val="20"/>
        </w:rPr>
        <w:t>uroflovmetrija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cistometrija</w:t>
      </w:r>
      <w:proofErr w:type="spellEnd"/>
      <w:r w:rsidRPr="005E4BEA">
        <w:rPr>
          <w:rFonts w:cs="Arial"/>
          <w:i/>
          <w:iCs/>
          <w:color w:val="808080" w:themeColor="background1" w:themeShade="80"/>
          <w:szCs w:val="20"/>
        </w:rPr>
        <w:t xml:space="preserve">, merjenje tlaka v trebušni votlini, </w:t>
      </w:r>
      <w:proofErr w:type="spellStart"/>
      <w:r w:rsidRPr="005E4BEA">
        <w:rPr>
          <w:rFonts w:cs="Arial"/>
          <w:i/>
          <w:iCs/>
          <w:color w:val="808080" w:themeColor="background1" w:themeShade="80"/>
          <w:szCs w:val="20"/>
        </w:rPr>
        <w:t>elektromiografija</w:t>
      </w:r>
      <w:proofErr w:type="spellEnd"/>
      <w:r w:rsidRPr="005E4BEA">
        <w:rPr>
          <w:rFonts w:cs="Arial"/>
          <w:i/>
          <w:iCs/>
          <w:color w:val="808080" w:themeColor="background1" w:themeShade="80"/>
          <w:szCs w:val="20"/>
        </w:rPr>
        <w:t xml:space="preserve"> (EMG) ter študije tlak-pretok.  Potrebe po tej storitvi so velike, v sodelovanju z Oddelkom za ginekologijo in porodništvo predvidevamo, da bomo opravili 3 preiskave tedensko, kar znaša cca. 130 letno, število pa se bo v prihodnjem obdobju še povečalo. Preiskava povprečno traja 60 minut, prišteti pa je potrebno še 30 minut za pripravo pacienta in prostora pred preiskavo ter ureditev pacienta po preiskavi ter čiščenje in ureditev prostora po preiskavi. Storitev izvaja zdravnik urolog skupaj z diplomirano medicinsko sestro, sodeluje pa seveda tudi zdravstveni administrator. Sedanja cena preiskave, za katero obstaja obračunska storitev »13333 -</w:t>
      </w:r>
      <w:r w:rsidRPr="005E4BEA">
        <w:rPr>
          <w:rFonts w:cs="Arial"/>
          <w:i/>
          <w:iCs/>
          <w:color w:val="808080" w:themeColor="background1" w:themeShade="80"/>
          <w:szCs w:val="20"/>
        </w:rPr>
        <w:tab/>
        <w:t xml:space="preserve">IA pr., CM, PP v uretri, EMG </w:t>
      </w:r>
      <w:proofErr w:type="spellStart"/>
      <w:r w:rsidRPr="005E4BEA">
        <w:rPr>
          <w:rFonts w:cs="Arial"/>
          <w:i/>
          <w:iCs/>
          <w:color w:val="808080" w:themeColor="background1" w:themeShade="80"/>
          <w:szCs w:val="20"/>
        </w:rPr>
        <w:t>sf</w:t>
      </w:r>
      <w:proofErr w:type="spellEnd"/>
      <w:r w:rsidRPr="005E4BEA">
        <w:rPr>
          <w:rFonts w:cs="Arial"/>
          <w:i/>
          <w:iCs/>
          <w:color w:val="808080" w:themeColor="background1" w:themeShade="80"/>
          <w:szCs w:val="20"/>
        </w:rPr>
        <w:t xml:space="preserve">.«, ki znaša 46,4 točke in po ceni urološke točke iz SD 2020 3,4 EUR/točko (ta že vključuje dodatna sredstva za laboratorijske preiskave) predstavlja 157,76 EUR za storitev, je v primerjavi s stroški preiskave občutno prenizka. Zgolj neposredni materialni stroški, ki jih prikazujemo v spodnji tabeli, namreč znašajo 143,52 EUR. Drag je tudi aparat, na katerem se preiskava izvaja, strošek amortizacije aparata predstavlja dodatnih 47,42 EUR na preiskavo, ob tem da so tu seveda še stroški dela in vsi ostali stroški. </w:t>
      </w:r>
    </w:p>
    <w:p w14:paraId="46653D2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Zaradi prenizko opredeljene cene za </w:t>
      </w:r>
      <w:proofErr w:type="spellStart"/>
      <w:r w:rsidRPr="005E4BEA">
        <w:rPr>
          <w:rFonts w:cs="Arial"/>
          <w:i/>
          <w:iCs/>
          <w:color w:val="808080" w:themeColor="background1" w:themeShade="80"/>
          <w:szCs w:val="20"/>
        </w:rPr>
        <w:t>urodinamsko</w:t>
      </w:r>
      <w:proofErr w:type="spellEnd"/>
      <w:r w:rsidRPr="005E4BEA">
        <w:rPr>
          <w:rFonts w:cs="Arial"/>
          <w:i/>
          <w:iCs/>
          <w:color w:val="808080" w:themeColor="background1" w:themeShade="80"/>
          <w:szCs w:val="20"/>
        </w:rPr>
        <w:t xml:space="preserve"> preiskavo predlagamo, da se stroški porabljenega materiala zanjo priznajo kot ločeno zaračunljiv material v višini 143,52 EUR. </w:t>
      </w:r>
    </w:p>
    <w:tbl>
      <w:tblPr>
        <w:tblW w:w="4794" w:type="pct"/>
        <w:tblCellMar>
          <w:left w:w="70" w:type="dxa"/>
          <w:right w:w="70" w:type="dxa"/>
        </w:tblCellMar>
        <w:tblLook w:val="04A0" w:firstRow="1" w:lastRow="0" w:firstColumn="1" w:lastColumn="0" w:noHBand="0" w:noVBand="1"/>
      </w:tblPr>
      <w:tblGrid>
        <w:gridCol w:w="711"/>
        <w:gridCol w:w="713"/>
        <w:gridCol w:w="1123"/>
        <w:gridCol w:w="1351"/>
        <w:gridCol w:w="760"/>
        <w:gridCol w:w="1341"/>
        <w:gridCol w:w="665"/>
        <w:gridCol w:w="856"/>
        <w:gridCol w:w="979"/>
      </w:tblGrid>
      <w:tr w:rsidR="00FE461F" w:rsidRPr="005E4BEA" w14:paraId="05878F2D" w14:textId="77777777" w:rsidTr="0016774B">
        <w:trPr>
          <w:trHeight w:val="46"/>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91CE6" w14:textId="77777777" w:rsidR="00FE461F" w:rsidRPr="005E4BEA" w:rsidRDefault="00FE461F" w:rsidP="00FE461F">
            <w:pPr>
              <w:spacing w:line="240" w:lineRule="auto"/>
              <w:jc w:val="both"/>
              <w:rPr>
                <w:rFonts w:cs="Arial"/>
                <w:color w:val="808080" w:themeColor="background1" w:themeShade="80"/>
                <w:szCs w:val="20"/>
              </w:rPr>
            </w:pPr>
            <w:proofErr w:type="spellStart"/>
            <w:r w:rsidRPr="005E4BEA">
              <w:rPr>
                <w:rFonts w:cs="Arial"/>
                <w:color w:val="808080" w:themeColor="background1" w:themeShade="80"/>
                <w:szCs w:val="20"/>
              </w:rPr>
              <w:lastRenderedPageBreak/>
              <w:t>Zap.št</w:t>
            </w:r>
            <w:proofErr w:type="spellEnd"/>
            <w:r w:rsidRPr="005E4BEA">
              <w:rPr>
                <w:rFonts w:cs="Arial"/>
                <w:color w:val="808080" w:themeColor="background1" w:themeShade="80"/>
                <w:szCs w:val="20"/>
              </w:rPr>
              <w:t>.:</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6E0681D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IDENT</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0AAEF5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Kataloška št.; REF</w:t>
            </w:r>
          </w:p>
        </w:tc>
        <w:tc>
          <w:tcPr>
            <w:tcW w:w="1197" w:type="pct"/>
            <w:tcBorders>
              <w:top w:val="single" w:sz="4" w:space="0" w:color="auto"/>
              <w:left w:val="nil"/>
              <w:bottom w:val="single" w:sz="4" w:space="0" w:color="auto"/>
              <w:right w:val="single" w:sz="4" w:space="0" w:color="auto"/>
            </w:tcBorders>
            <w:shd w:val="clear" w:color="auto" w:fill="auto"/>
            <w:noWrap/>
            <w:vAlign w:val="center"/>
            <w:hideMark/>
          </w:tcPr>
          <w:p w14:paraId="7515F9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naziv:</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671CF2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količina:</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5C8C5D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O(osnovna)EM:</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0FF7F33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Cena OEM z </w:t>
            </w:r>
            <w:proofErr w:type="spellStart"/>
            <w:r w:rsidRPr="005E4BEA">
              <w:rPr>
                <w:rFonts w:cs="Arial"/>
                <w:color w:val="808080" w:themeColor="background1" w:themeShade="80"/>
                <w:szCs w:val="20"/>
              </w:rPr>
              <w:t>ddv</w:t>
            </w:r>
            <w:proofErr w:type="spellEnd"/>
            <w:r w:rsidRPr="005E4BEA">
              <w:rPr>
                <w:rFonts w:cs="Arial"/>
                <w:color w:val="808080" w:themeColor="background1" w:themeShade="80"/>
                <w:szCs w:val="20"/>
              </w:rPr>
              <w:t xml:space="preserve"> </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3639779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Vrednost</w:t>
            </w:r>
          </w:p>
        </w:tc>
        <w:tc>
          <w:tcPr>
            <w:tcW w:w="514" w:type="pct"/>
            <w:tcBorders>
              <w:top w:val="nil"/>
              <w:left w:val="nil"/>
              <w:bottom w:val="nil"/>
              <w:right w:val="nil"/>
            </w:tcBorders>
            <w:shd w:val="clear" w:color="auto" w:fill="auto"/>
            <w:noWrap/>
            <w:vAlign w:val="bottom"/>
            <w:hideMark/>
          </w:tcPr>
          <w:p w14:paraId="55ADBF0F"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3B5AAD67"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3C8C53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363" w:type="pct"/>
            <w:tcBorders>
              <w:top w:val="nil"/>
              <w:left w:val="nil"/>
              <w:bottom w:val="single" w:sz="4" w:space="0" w:color="auto"/>
              <w:right w:val="single" w:sz="4" w:space="0" w:color="auto"/>
            </w:tcBorders>
            <w:shd w:val="clear" w:color="auto" w:fill="auto"/>
            <w:noWrap/>
            <w:vAlign w:val="bottom"/>
            <w:hideMark/>
          </w:tcPr>
          <w:p w14:paraId="6E7E016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855215</w:t>
            </w:r>
          </w:p>
        </w:tc>
        <w:tc>
          <w:tcPr>
            <w:tcW w:w="571" w:type="pct"/>
            <w:tcBorders>
              <w:top w:val="nil"/>
              <w:left w:val="nil"/>
              <w:bottom w:val="single" w:sz="4" w:space="0" w:color="auto"/>
              <w:right w:val="single" w:sz="4" w:space="0" w:color="auto"/>
            </w:tcBorders>
            <w:shd w:val="clear" w:color="auto" w:fill="auto"/>
            <w:noWrap/>
            <w:vAlign w:val="bottom"/>
            <w:hideMark/>
          </w:tcPr>
          <w:p w14:paraId="73096C2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CaT875</w:t>
            </w:r>
          </w:p>
        </w:tc>
        <w:tc>
          <w:tcPr>
            <w:tcW w:w="1197" w:type="pct"/>
            <w:tcBorders>
              <w:top w:val="nil"/>
              <w:left w:val="nil"/>
              <w:bottom w:val="single" w:sz="4" w:space="0" w:color="auto"/>
              <w:right w:val="single" w:sz="4" w:space="0" w:color="auto"/>
            </w:tcBorders>
            <w:shd w:val="clear" w:color="auto" w:fill="auto"/>
            <w:vAlign w:val="bottom"/>
            <w:hideMark/>
          </w:tcPr>
          <w:p w14:paraId="4B868E1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w:t>
            </w:r>
            <w:proofErr w:type="spellStart"/>
            <w:r w:rsidRPr="005E4BEA">
              <w:rPr>
                <w:rFonts w:cs="Arial"/>
                <w:color w:val="808080" w:themeColor="background1" w:themeShade="80"/>
                <w:szCs w:val="20"/>
              </w:rPr>
              <w:t>Doc</w:t>
            </w:r>
            <w:proofErr w:type="spellEnd"/>
            <w:r w:rsidRPr="005E4BEA">
              <w:rPr>
                <w:rFonts w:cs="Arial"/>
                <w:color w:val="808080" w:themeColor="background1" w:themeShade="80"/>
                <w:szCs w:val="20"/>
              </w:rPr>
              <w:t xml:space="preserve"> kateter abdominalni, 7fr</w:t>
            </w:r>
          </w:p>
        </w:tc>
        <w:tc>
          <w:tcPr>
            <w:tcW w:w="388" w:type="pct"/>
            <w:tcBorders>
              <w:top w:val="nil"/>
              <w:left w:val="nil"/>
              <w:bottom w:val="single" w:sz="4" w:space="0" w:color="auto"/>
              <w:right w:val="single" w:sz="4" w:space="0" w:color="auto"/>
            </w:tcBorders>
            <w:shd w:val="clear" w:color="auto" w:fill="auto"/>
            <w:noWrap/>
            <w:vAlign w:val="bottom"/>
            <w:hideMark/>
          </w:tcPr>
          <w:p w14:paraId="04063A0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7DEC524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6E1CD7F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48,07</w:t>
            </w:r>
          </w:p>
        </w:tc>
        <w:tc>
          <w:tcPr>
            <w:tcW w:w="581" w:type="pct"/>
            <w:tcBorders>
              <w:top w:val="nil"/>
              <w:left w:val="nil"/>
              <w:bottom w:val="single" w:sz="4" w:space="0" w:color="auto"/>
              <w:right w:val="single" w:sz="4" w:space="0" w:color="auto"/>
            </w:tcBorders>
            <w:shd w:val="clear" w:color="auto" w:fill="auto"/>
            <w:noWrap/>
            <w:vAlign w:val="bottom"/>
            <w:hideMark/>
          </w:tcPr>
          <w:p w14:paraId="6396E4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48,07 € </w:t>
            </w:r>
          </w:p>
        </w:tc>
        <w:tc>
          <w:tcPr>
            <w:tcW w:w="514" w:type="pct"/>
            <w:tcBorders>
              <w:top w:val="nil"/>
              <w:left w:val="nil"/>
              <w:bottom w:val="nil"/>
              <w:right w:val="nil"/>
            </w:tcBorders>
            <w:shd w:val="clear" w:color="auto" w:fill="auto"/>
            <w:noWrap/>
            <w:vAlign w:val="bottom"/>
            <w:hideMark/>
          </w:tcPr>
          <w:p w14:paraId="2EC0F3EE"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0B8B0AF9"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20BB2E3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w:t>
            </w:r>
          </w:p>
        </w:tc>
        <w:tc>
          <w:tcPr>
            <w:tcW w:w="363" w:type="pct"/>
            <w:tcBorders>
              <w:top w:val="nil"/>
              <w:left w:val="nil"/>
              <w:bottom w:val="single" w:sz="4" w:space="0" w:color="auto"/>
              <w:right w:val="single" w:sz="4" w:space="0" w:color="auto"/>
            </w:tcBorders>
            <w:shd w:val="clear" w:color="auto" w:fill="auto"/>
            <w:noWrap/>
            <w:vAlign w:val="bottom"/>
            <w:hideMark/>
          </w:tcPr>
          <w:p w14:paraId="47E9FAF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855214</w:t>
            </w:r>
          </w:p>
        </w:tc>
        <w:tc>
          <w:tcPr>
            <w:tcW w:w="571" w:type="pct"/>
            <w:tcBorders>
              <w:top w:val="nil"/>
              <w:left w:val="nil"/>
              <w:bottom w:val="single" w:sz="4" w:space="0" w:color="auto"/>
              <w:right w:val="single" w:sz="4" w:space="0" w:color="auto"/>
            </w:tcBorders>
            <w:shd w:val="clear" w:color="auto" w:fill="auto"/>
            <w:noWrap/>
            <w:vAlign w:val="bottom"/>
            <w:hideMark/>
          </w:tcPr>
          <w:p w14:paraId="764D5B3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CAT880</w:t>
            </w:r>
          </w:p>
        </w:tc>
        <w:tc>
          <w:tcPr>
            <w:tcW w:w="1197" w:type="pct"/>
            <w:tcBorders>
              <w:top w:val="nil"/>
              <w:left w:val="nil"/>
              <w:bottom w:val="single" w:sz="4" w:space="0" w:color="auto"/>
              <w:right w:val="single" w:sz="4" w:space="0" w:color="auto"/>
            </w:tcBorders>
            <w:shd w:val="clear" w:color="auto" w:fill="auto"/>
            <w:vAlign w:val="bottom"/>
            <w:hideMark/>
          </w:tcPr>
          <w:p w14:paraId="10B0975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w:t>
            </w:r>
            <w:proofErr w:type="spellStart"/>
            <w:r w:rsidRPr="005E4BEA">
              <w:rPr>
                <w:rFonts w:cs="Arial"/>
                <w:color w:val="808080" w:themeColor="background1" w:themeShade="80"/>
                <w:szCs w:val="20"/>
              </w:rPr>
              <w:t>Doc</w:t>
            </w:r>
            <w:proofErr w:type="spellEnd"/>
            <w:r w:rsidRPr="005E4BEA">
              <w:rPr>
                <w:rFonts w:cs="Arial"/>
                <w:color w:val="808080" w:themeColor="background1" w:themeShade="80"/>
                <w:szCs w:val="20"/>
              </w:rPr>
              <w:t xml:space="preserve"> kateter Dual senzor, 7fr</w:t>
            </w:r>
          </w:p>
        </w:tc>
        <w:tc>
          <w:tcPr>
            <w:tcW w:w="388" w:type="pct"/>
            <w:tcBorders>
              <w:top w:val="nil"/>
              <w:left w:val="nil"/>
              <w:bottom w:val="single" w:sz="4" w:space="0" w:color="auto"/>
              <w:right w:val="single" w:sz="4" w:space="0" w:color="auto"/>
            </w:tcBorders>
            <w:shd w:val="clear" w:color="auto" w:fill="auto"/>
            <w:noWrap/>
            <w:vAlign w:val="bottom"/>
            <w:hideMark/>
          </w:tcPr>
          <w:p w14:paraId="61AA6F9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6288F5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3B3119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69,31</w:t>
            </w:r>
          </w:p>
        </w:tc>
        <w:tc>
          <w:tcPr>
            <w:tcW w:w="581" w:type="pct"/>
            <w:tcBorders>
              <w:top w:val="nil"/>
              <w:left w:val="nil"/>
              <w:bottom w:val="single" w:sz="4" w:space="0" w:color="auto"/>
              <w:right w:val="single" w:sz="4" w:space="0" w:color="auto"/>
            </w:tcBorders>
            <w:shd w:val="clear" w:color="auto" w:fill="auto"/>
            <w:noWrap/>
            <w:vAlign w:val="bottom"/>
            <w:hideMark/>
          </w:tcPr>
          <w:p w14:paraId="65A86E8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69,31 € </w:t>
            </w:r>
          </w:p>
        </w:tc>
        <w:tc>
          <w:tcPr>
            <w:tcW w:w="514" w:type="pct"/>
            <w:tcBorders>
              <w:top w:val="nil"/>
              <w:left w:val="nil"/>
              <w:bottom w:val="nil"/>
              <w:right w:val="nil"/>
            </w:tcBorders>
            <w:shd w:val="clear" w:color="auto" w:fill="auto"/>
            <w:noWrap/>
            <w:vAlign w:val="bottom"/>
            <w:hideMark/>
          </w:tcPr>
          <w:p w14:paraId="09A49F97"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79352DAF"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70309EE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w:t>
            </w:r>
          </w:p>
        </w:tc>
        <w:tc>
          <w:tcPr>
            <w:tcW w:w="363" w:type="pct"/>
            <w:tcBorders>
              <w:top w:val="nil"/>
              <w:left w:val="nil"/>
              <w:bottom w:val="single" w:sz="4" w:space="0" w:color="auto"/>
              <w:right w:val="single" w:sz="4" w:space="0" w:color="auto"/>
            </w:tcBorders>
            <w:shd w:val="clear" w:color="auto" w:fill="auto"/>
            <w:noWrap/>
            <w:vAlign w:val="bottom"/>
            <w:hideMark/>
          </w:tcPr>
          <w:p w14:paraId="144C5FA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855213</w:t>
            </w:r>
          </w:p>
        </w:tc>
        <w:tc>
          <w:tcPr>
            <w:tcW w:w="571" w:type="pct"/>
            <w:tcBorders>
              <w:top w:val="nil"/>
              <w:left w:val="nil"/>
              <w:bottom w:val="single" w:sz="4" w:space="0" w:color="auto"/>
              <w:right w:val="single" w:sz="4" w:space="0" w:color="auto"/>
            </w:tcBorders>
            <w:shd w:val="clear" w:color="auto" w:fill="auto"/>
            <w:noWrap/>
            <w:vAlign w:val="bottom"/>
            <w:hideMark/>
          </w:tcPr>
          <w:p w14:paraId="50FE66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TUB500</w:t>
            </w:r>
          </w:p>
        </w:tc>
        <w:tc>
          <w:tcPr>
            <w:tcW w:w="1197" w:type="pct"/>
            <w:tcBorders>
              <w:top w:val="nil"/>
              <w:left w:val="nil"/>
              <w:bottom w:val="single" w:sz="4" w:space="0" w:color="auto"/>
              <w:right w:val="single" w:sz="4" w:space="0" w:color="auto"/>
            </w:tcBorders>
            <w:shd w:val="clear" w:color="auto" w:fill="auto"/>
            <w:vAlign w:val="bottom"/>
            <w:hideMark/>
          </w:tcPr>
          <w:p w14:paraId="4ABABE3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Set za peristaltično črpalko</w:t>
            </w:r>
          </w:p>
        </w:tc>
        <w:tc>
          <w:tcPr>
            <w:tcW w:w="388" w:type="pct"/>
            <w:tcBorders>
              <w:top w:val="nil"/>
              <w:left w:val="nil"/>
              <w:bottom w:val="single" w:sz="4" w:space="0" w:color="auto"/>
              <w:right w:val="single" w:sz="4" w:space="0" w:color="auto"/>
            </w:tcBorders>
            <w:shd w:val="clear" w:color="auto" w:fill="auto"/>
            <w:noWrap/>
            <w:vAlign w:val="bottom"/>
            <w:hideMark/>
          </w:tcPr>
          <w:p w14:paraId="791FDB2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562686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1EF1DE1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20,38</w:t>
            </w:r>
          </w:p>
        </w:tc>
        <w:tc>
          <w:tcPr>
            <w:tcW w:w="581" w:type="pct"/>
            <w:tcBorders>
              <w:top w:val="nil"/>
              <w:left w:val="nil"/>
              <w:bottom w:val="single" w:sz="4" w:space="0" w:color="auto"/>
              <w:right w:val="single" w:sz="4" w:space="0" w:color="auto"/>
            </w:tcBorders>
            <w:shd w:val="clear" w:color="auto" w:fill="auto"/>
            <w:noWrap/>
            <w:vAlign w:val="bottom"/>
            <w:hideMark/>
          </w:tcPr>
          <w:p w14:paraId="3FE10C3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20,38 € </w:t>
            </w:r>
          </w:p>
        </w:tc>
        <w:tc>
          <w:tcPr>
            <w:tcW w:w="514" w:type="pct"/>
            <w:tcBorders>
              <w:top w:val="nil"/>
              <w:left w:val="nil"/>
              <w:bottom w:val="nil"/>
              <w:right w:val="nil"/>
            </w:tcBorders>
            <w:shd w:val="clear" w:color="auto" w:fill="auto"/>
            <w:noWrap/>
            <w:vAlign w:val="bottom"/>
            <w:hideMark/>
          </w:tcPr>
          <w:p w14:paraId="379F66BD"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1B9D0EDE"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0826884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w:t>
            </w:r>
          </w:p>
        </w:tc>
        <w:tc>
          <w:tcPr>
            <w:tcW w:w="363" w:type="pct"/>
            <w:tcBorders>
              <w:top w:val="nil"/>
              <w:left w:val="nil"/>
              <w:bottom w:val="single" w:sz="4" w:space="0" w:color="auto"/>
              <w:right w:val="single" w:sz="4" w:space="0" w:color="auto"/>
            </w:tcBorders>
            <w:shd w:val="clear" w:color="auto" w:fill="auto"/>
            <w:noWrap/>
            <w:vAlign w:val="bottom"/>
            <w:hideMark/>
          </w:tcPr>
          <w:p w14:paraId="4947402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37397</w:t>
            </w:r>
          </w:p>
        </w:tc>
        <w:tc>
          <w:tcPr>
            <w:tcW w:w="571" w:type="pct"/>
            <w:tcBorders>
              <w:top w:val="nil"/>
              <w:left w:val="nil"/>
              <w:bottom w:val="single" w:sz="4" w:space="0" w:color="auto"/>
              <w:right w:val="single" w:sz="4" w:space="0" w:color="auto"/>
            </w:tcBorders>
            <w:shd w:val="clear" w:color="auto" w:fill="auto"/>
            <w:noWrap/>
            <w:vAlign w:val="bottom"/>
            <w:hideMark/>
          </w:tcPr>
          <w:p w14:paraId="4D74AD4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BUAGE1324</w:t>
            </w:r>
          </w:p>
        </w:tc>
        <w:tc>
          <w:tcPr>
            <w:tcW w:w="1197" w:type="pct"/>
            <w:tcBorders>
              <w:top w:val="nil"/>
              <w:left w:val="nil"/>
              <w:bottom w:val="single" w:sz="4" w:space="0" w:color="auto"/>
              <w:right w:val="single" w:sz="4" w:space="0" w:color="auto"/>
            </w:tcBorders>
            <w:shd w:val="clear" w:color="auto" w:fill="auto"/>
            <w:vAlign w:val="bottom"/>
            <w:hideMark/>
          </w:tcPr>
          <w:p w14:paraId="10291EFE" w14:textId="77777777" w:rsidR="00FE461F" w:rsidRPr="005E4BEA" w:rsidRDefault="00FE461F" w:rsidP="00FE461F">
            <w:pPr>
              <w:spacing w:line="240" w:lineRule="auto"/>
              <w:jc w:val="both"/>
              <w:rPr>
                <w:rFonts w:cs="Arial"/>
                <w:color w:val="808080" w:themeColor="background1" w:themeShade="80"/>
                <w:szCs w:val="20"/>
              </w:rPr>
            </w:pPr>
            <w:proofErr w:type="spellStart"/>
            <w:r w:rsidRPr="005E4BEA">
              <w:rPr>
                <w:rFonts w:cs="Arial"/>
                <w:color w:val="808080" w:themeColor="background1" w:themeShade="80"/>
                <w:szCs w:val="20"/>
              </w:rPr>
              <w:t>Natrii</w:t>
            </w:r>
            <w:proofErr w:type="spellEnd"/>
            <w:r w:rsidRPr="005E4BEA">
              <w:rPr>
                <w:rFonts w:cs="Arial"/>
                <w:color w:val="808080" w:themeColor="background1" w:themeShade="80"/>
                <w:szCs w:val="20"/>
              </w:rPr>
              <w:t xml:space="preserve"> </w:t>
            </w:r>
            <w:proofErr w:type="spellStart"/>
            <w:r w:rsidRPr="005E4BEA">
              <w:rPr>
                <w:rFonts w:cs="Arial"/>
                <w:color w:val="808080" w:themeColor="background1" w:themeShade="80"/>
                <w:szCs w:val="20"/>
              </w:rPr>
              <w:t>cloridi</w:t>
            </w:r>
            <w:proofErr w:type="spellEnd"/>
            <w:r w:rsidRPr="005E4BEA">
              <w:rPr>
                <w:rFonts w:cs="Arial"/>
                <w:color w:val="808080" w:themeColor="background1" w:themeShade="80"/>
                <w:szCs w:val="20"/>
              </w:rPr>
              <w:t xml:space="preserve"> 0,9% 1000 ml, BAXTER BUAGE 1324</w:t>
            </w:r>
          </w:p>
        </w:tc>
        <w:tc>
          <w:tcPr>
            <w:tcW w:w="388" w:type="pct"/>
            <w:tcBorders>
              <w:top w:val="nil"/>
              <w:left w:val="nil"/>
              <w:bottom w:val="single" w:sz="4" w:space="0" w:color="auto"/>
              <w:right w:val="single" w:sz="4" w:space="0" w:color="auto"/>
            </w:tcBorders>
            <w:shd w:val="clear" w:color="auto" w:fill="auto"/>
            <w:noWrap/>
            <w:vAlign w:val="bottom"/>
            <w:hideMark/>
          </w:tcPr>
          <w:p w14:paraId="1496BC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75D23BB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1D493A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1,55</w:t>
            </w:r>
          </w:p>
        </w:tc>
        <w:tc>
          <w:tcPr>
            <w:tcW w:w="581" w:type="pct"/>
            <w:tcBorders>
              <w:top w:val="nil"/>
              <w:left w:val="nil"/>
              <w:bottom w:val="single" w:sz="4" w:space="0" w:color="auto"/>
              <w:right w:val="single" w:sz="4" w:space="0" w:color="auto"/>
            </w:tcBorders>
            <w:shd w:val="clear" w:color="auto" w:fill="auto"/>
            <w:noWrap/>
            <w:vAlign w:val="bottom"/>
            <w:hideMark/>
          </w:tcPr>
          <w:p w14:paraId="1D67CFC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1,55 € </w:t>
            </w:r>
          </w:p>
        </w:tc>
        <w:tc>
          <w:tcPr>
            <w:tcW w:w="514" w:type="pct"/>
            <w:tcBorders>
              <w:top w:val="nil"/>
              <w:left w:val="nil"/>
              <w:bottom w:val="nil"/>
              <w:right w:val="nil"/>
            </w:tcBorders>
            <w:shd w:val="clear" w:color="auto" w:fill="auto"/>
            <w:noWrap/>
            <w:vAlign w:val="bottom"/>
            <w:hideMark/>
          </w:tcPr>
          <w:p w14:paraId="329BBC8C"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155B623D"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7350237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w:t>
            </w:r>
          </w:p>
        </w:tc>
        <w:tc>
          <w:tcPr>
            <w:tcW w:w="363" w:type="pct"/>
            <w:tcBorders>
              <w:top w:val="nil"/>
              <w:left w:val="nil"/>
              <w:bottom w:val="single" w:sz="4" w:space="0" w:color="auto"/>
              <w:right w:val="single" w:sz="4" w:space="0" w:color="auto"/>
            </w:tcBorders>
            <w:shd w:val="clear" w:color="auto" w:fill="auto"/>
            <w:noWrap/>
            <w:vAlign w:val="bottom"/>
            <w:hideMark/>
          </w:tcPr>
          <w:p w14:paraId="646DEE7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503252</w:t>
            </w:r>
          </w:p>
        </w:tc>
        <w:tc>
          <w:tcPr>
            <w:tcW w:w="571" w:type="pct"/>
            <w:tcBorders>
              <w:top w:val="nil"/>
              <w:left w:val="nil"/>
              <w:bottom w:val="single" w:sz="4" w:space="0" w:color="auto"/>
              <w:right w:val="single" w:sz="4" w:space="0" w:color="auto"/>
            </w:tcBorders>
            <w:shd w:val="clear" w:color="auto" w:fill="auto"/>
            <w:noWrap/>
            <w:vAlign w:val="bottom"/>
            <w:hideMark/>
          </w:tcPr>
          <w:p w14:paraId="686126E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33-022-L</w:t>
            </w:r>
          </w:p>
        </w:tc>
        <w:tc>
          <w:tcPr>
            <w:tcW w:w="1197" w:type="pct"/>
            <w:tcBorders>
              <w:top w:val="nil"/>
              <w:left w:val="nil"/>
              <w:bottom w:val="single" w:sz="4" w:space="0" w:color="auto"/>
              <w:right w:val="single" w:sz="4" w:space="0" w:color="auto"/>
            </w:tcBorders>
            <w:shd w:val="clear" w:color="auto" w:fill="auto"/>
            <w:vAlign w:val="bottom"/>
            <w:hideMark/>
          </w:tcPr>
          <w:p w14:paraId="721EABE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Rokavice pregledne</w:t>
            </w:r>
          </w:p>
        </w:tc>
        <w:tc>
          <w:tcPr>
            <w:tcW w:w="388" w:type="pct"/>
            <w:tcBorders>
              <w:top w:val="nil"/>
              <w:left w:val="nil"/>
              <w:bottom w:val="single" w:sz="4" w:space="0" w:color="auto"/>
              <w:right w:val="single" w:sz="4" w:space="0" w:color="auto"/>
            </w:tcBorders>
            <w:shd w:val="clear" w:color="auto" w:fill="auto"/>
            <w:noWrap/>
            <w:vAlign w:val="bottom"/>
            <w:hideMark/>
          </w:tcPr>
          <w:p w14:paraId="1DB4E4E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w:t>
            </w:r>
          </w:p>
        </w:tc>
        <w:tc>
          <w:tcPr>
            <w:tcW w:w="681" w:type="pct"/>
            <w:tcBorders>
              <w:top w:val="nil"/>
              <w:left w:val="nil"/>
              <w:bottom w:val="single" w:sz="4" w:space="0" w:color="auto"/>
              <w:right w:val="single" w:sz="4" w:space="0" w:color="auto"/>
            </w:tcBorders>
            <w:shd w:val="clear" w:color="auto" w:fill="auto"/>
            <w:vAlign w:val="center"/>
            <w:hideMark/>
          </w:tcPr>
          <w:p w14:paraId="3FBD553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SC (a100)</w:t>
            </w:r>
          </w:p>
        </w:tc>
        <w:tc>
          <w:tcPr>
            <w:tcW w:w="340" w:type="pct"/>
            <w:tcBorders>
              <w:top w:val="nil"/>
              <w:left w:val="nil"/>
              <w:bottom w:val="single" w:sz="4" w:space="0" w:color="auto"/>
              <w:right w:val="single" w:sz="4" w:space="0" w:color="auto"/>
            </w:tcBorders>
            <w:shd w:val="clear" w:color="auto" w:fill="auto"/>
            <w:noWrap/>
            <w:vAlign w:val="bottom"/>
            <w:hideMark/>
          </w:tcPr>
          <w:p w14:paraId="5D7C0CA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0,0359</w:t>
            </w:r>
          </w:p>
        </w:tc>
        <w:tc>
          <w:tcPr>
            <w:tcW w:w="581" w:type="pct"/>
            <w:tcBorders>
              <w:top w:val="nil"/>
              <w:left w:val="nil"/>
              <w:bottom w:val="single" w:sz="4" w:space="0" w:color="auto"/>
              <w:right w:val="single" w:sz="4" w:space="0" w:color="auto"/>
            </w:tcBorders>
            <w:shd w:val="clear" w:color="auto" w:fill="auto"/>
            <w:noWrap/>
            <w:vAlign w:val="bottom"/>
            <w:hideMark/>
          </w:tcPr>
          <w:p w14:paraId="7AFD65E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0,22 € </w:t>
            </w:r>
          </w:p>
        </w:tc>
        <w:tc>
          <w:tcPr>
            <w:tcW w:w="514" w:type="pct"/>
            <w:tcBorders>
              <w:top w:val="nil"/>
              <w:left w:val="nil"/>
              <w:bottom w:val="nil"/>
              <w:right w:val="nil"/>
            </w:tcBorders>
            <w:shd w:val="clear" w:color="auto" w:fill="auto"/>
            <w:noWrap/>
            <w:vAlign w:val="bottom"/>
            <w:hideMark/>
          </w:tcPr>
          <w:p w14:paraId="663B8B49"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28443A6D"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6DD4752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w:t>
            </w:r>
          </w:p>
        </w:tc>
        <w:tc>
          <w:tcPr>
            <w:tcW w:w="363" w:type="pct"/>
            <w:tcBorders>
              <w:top w:val="nil"/>
              <w:left w:val="nil"/>
              <w:bottom w:val="single" w:sz="4" w:space="0" w:color="auto"/>
              <w:right w:val="single" w:sz="4" w:space="0" w:color="auto"/>
            </w:tcBorders>
            <w:shd w:val="clear" w:color="auto" w:fill="auto"/>
            <w:noWrap/>
            <w:vAlign w:val="bottom"/>
            <w:hideMark/>
          </w:tcPr>
          <w:p w14:paraId="0A9F65D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571" w:type="pct"/>
            <w:tcBorders>
              <w:top w:val="nil"/>
              <w:left w:val="nil"/>
              <w:bottom w:val="single" w:sz="4" w:space="0" w:color="auto"/>
              <w:right w:val="single" w:sz="4" w:space="0" w:color="auto"/>
            </w:tcBorders>
            <w:shd w:val="clear" w:color="auto" w:fill="auto"/>
            <w:noWrap/>
            <w:vAlign w:val="bottom"/>
            <w:hideMark/>
          </w:tcPr>
          <w:p w14:paraId="20118D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nil"/>
              <w:left w:val="nil"/>
              <w:bottom w:val="single" w:sz="4" w:space="0" w:color="auto"/>
              <w:right w:val="single" w:sz="4" w:space="0" w:color="auto"/>
            </w:tcBorders>
            <w:shd w:val="clear" w:color="auto" w:fill="auto"/>
            <w:vAlign w:val="bottom"/>
            <w:hideMark/>
          </w:tcPr>
          <w:p w14:paraId="5C79652F" w14:textId="77777777" w:rsidR="00FE461F" w:rsidRPr="005E4BEA" w:rsidRDefault="00FE461F" w:rsidP="00FE461F">
            <w:pPr>
              <w:spacing w:line="240" w:lineRule="auto"/>
              <w:jc w:val="both"/>
              <w:rPr>
                <w:rFonts w:cs="Arial"/>
                <w:color w:val="808080" w:themeColor="background1" w:themeShade="80"/>
                <w:szCs w:val="20"/>
              </w:rPr>
            </w:pPr>
            <w:proofErr w:type="spellStart"/>
            <w:r w:rsidRPr="005E4BEA">
              <w:rPr>
                <w:rFonts w:cs="Arial"/>
                <w:color w:val="808080" w:themeColor="background1" w:themeShade="80"/>
                <w:szCs w:val="20"/>
              </w:rPr>
              <w:t>Ofenosept</w:t>
            </w:r>
            <w:proofErr w:type="spellEnd"/>
            <w:r w:rsidRPr="005E4BEA">
              <w:rPr>
                <w:rFonts w:cs="Arial"/>
                <w:color w:val="808080" w:themeColor="background1" w:themeShade="80"/>
                <w:szCs w:val="20"/>
              </w:rPr>
              <w:t xml:space="preserve"> razkužilo za sluznice</w:t>
            </w:r>
          </w:p>
        </w:tc>
        <w:tc>
          <w:tcPr>
            <w:tcW w:w="388" w:type="pct"/>
            <w:tcBorders>
              <w:top w:val="nil"/>
              <w:left w:val="nil"/>
              <w:bottom w:val="single" w:sz="4" w:space="0" w:color="auto"/>
              <w:right w:val="single" w:sz="4" w:space="0" w:color="auto"/>
            </w:tcBorders>
            <w:shd w:val="clear" w:color="auto" w:fill="auto"/>
            <w:noWrap/>
            <w:vAlign w:val="bottom"/>
            <w:hideMark/>
          </w:tcPr>
          <w:p w14:paraId="382B9E0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0,1</w:t>
            </w:r>
          </w:p>
        </w:tc>
        <w:tc>
          <w:tcPr>
            <w:tcW w:w="681" w:type="pct"/>
            <w:tcBorders>
              <w:top w:val="nil"/>
              <w:left w:val="nil"/>
              <w:bottom w:val="single" w:sz="4" w:space="0" w:color="auto"/>
              <w:right w:val="single" w:sz="4" w:space="0" w:color="auto"/>
            </w:tcBorders>
            <w:shd w:val="clear" w:color="auto" w:fill="auto"/>
            <w:noWrap/>
            <w:vAlign w:val="bottom"/>
            <w:hideMark/>
          </w:tcPr>
          <w:p w14:paraId="7C5975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0F05AF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7,227</w:t>
            </w:r>
          </w:p>
        </w:tc>
        <w:tc>
          <w:tcPr>
            <w:tcW w:w="581" w:type="pct"/>
            <w:tcBorders>
              <w:top w:val="nil"/>
              <w:left w:val="nil"/>
              <w:bottom w:val="single" w:sz="4" w:space="0" w:color="auto"/>
              <w:right w:val="single" w:sz="4" w:space="0" w:color="auto"/>
            </w:tcBorders>
            <w:shd w:val="clear" w:color="auto" w:fill="auto"/>
            <w:noWrap/>
            <w:vAlign w:val="bottom"/>
            <w:hideMark/>
          </w:tcPr>
          <w:p w14:paraId="6835CF2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0,72 € </w:t>
            </w:r>
          </w:p>
        </w:tc>
        <w:tc>
          <w:tcPr>
            <w:tcW w:w="514" w:type="pct"/>
            <w:tcBorders>
              <w:top w:val="nil"/>
              <w:left w:val="nil"/>
              <w:bottom w:val="nil"/>
              <w:right w:val="nil"/>
            </w:tcBorders>
            <w:shd w:val="clear" w:color="auto" w:fill="auto"/>
            <w:noWrap/>
            <w:vAlign w:val="bottom"/>
            <w:hideMark/>
          </w:tcPr>
          <w:p w14:paraId="73589475"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6AD99E0B"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5C822D0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w:t>
            </w:r>
          </w:p>
        </w:tc>
        <w:tc>
          <w:tcPr>
            <w:tcW w:w="363" w:type="pct"/>
            <w:tcBorders>
              <w:top w:val="nil"/>
              <w:left w:val="nil"/>
              <w:bottom w:val="single" w:sz="4" w:space="0" w:color="auto"/>
              <w:right w:val="single" w:sz="4" w:space="0" w:color="auto"/>
            </w:tcBorders>
            <w:shd w:val="clear" w:color="auto" w:fill="auto"/>
            <w:noWrap/>
            <w:vAlign w:val="bottom"/>
            <w:hideMark/>
          </w:tcPr>
          <w:p w14:paraId="09075A8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571" w:type="pct"/>
            <w:tcBorders>
              <w:top w:val="nil"/>
              <w:left w:val="nil"/>
              <w:bottom w:val="single" w:sz="4" w:space="0" w:color="auto"/>
              <w:right w:val="single" w:sz="4" w:space="0" w:color="auto"/>
            </w:tcBorders>
            <w:shd w:val="clear" w:color="auto" w:fill="auto"/>
            <w:noWrap/>
            <w:vAlign w:val="bottom"/>
            <w:hideMark/>
          </w:tcPr>
          <w:p w14:paraId="7A291B8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nil"/>
              <w:left w:val="nil"/>
              <w:bottom w:val="single" w:sz="4" w:space="0" w:color="auto"/>
              <w:right w:val="single" w:sz="4" w:space="0" w:color="auto"/>
            </w:tcBorders>
            <w:shd w:val="clear" w:color="auto" w:fill="auto"/>
            <w:vAlign w:val="bottom"/>
            <w:hideMark/>
          </w:tcPr>
          <w:p w14:paraId="1612CB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Tamponi</w:t>
            </w:r>
          </w:p>
        </w:tc>
        <w:tc>
          <w:tcPr>
            <w:tcW w:w="388" w:type="pct"/>
            <w:tcBorders>
              <w:top w:val="nil"/>
              <w:left w:val="nil"/>
              <w:bottom w:val="single" w:sz="4" w:space="0" w:color="auto"/>
              <w:right w:val="single" w:sz="4" w:space="0" w:color="auto"/>
            </w:tcBorders>
            <w:shd w:val="clear" w:color="auto" w:fill="auto"/>
            <w:noWrap/>
            <w:vAlign w:val="bottom"/>
            <w:hideMark/>
          </w:tcPr>
          <w:p w14:paraId="6A1AF6C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2779B32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02DA42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0,2157</w:t>
            </w:r>
          </w:p>
        </w:tc>
        <w:tc>
          <w:tcPr>
            <w:tcW w:w="581" w:type="pct"/>
            <w:tcBorders>
              <w:top w:val="nil"/>
              <w:left w:val="nil"/>
              <w:bottom w:val="single" w:sz="4" w:space="0" w:color="auto"/>
              <w:right w:val="single" w:sz="4" w:space="0" w:color="auto"/>
            </w:tcBorders>
            <w:shd w:val="clear" w:color="auto" w:fill="auto"/>
            <w:noWrap/>
            <w:vAlign w:val="bottom"/>
            <w:hideMark/>
          </w:tcPr>
          <w:p w14:paraId="0A2960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0,22 € </w:t>
            </w:r>
          </w:p>
        </w:tc>
        <w:tc>
          <w:tcPr>
            <w:tcW w:w="514" w:type="pct"/>
            <w:tcBorders>
              <w:top w:val="nil"/>
              <w:left w:val="nil"/>
              <w:bottom w:val="nil"/>
              <w:right w:val="nil"/>
            </w:tcBorders>
            <w:shd w:val="clear" w:color="auto" w:fill="auto"/>
            <w:noWrap/>
            <w:vAlign w:val="bottom"/>
            <w:hideMark/>
          </w:tcPr>
          <w:p w14:paraId="706842DA"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2F437A39"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3990FC7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w:t>
            </w:r>
          </w:p>
        </w:tc>
        <w:tc>
          <w:tcPr>
            <w:tcW w:w="363" w:type="pct"/>
            <w:tcBorders>
              <w:top w:val="nil"/>
              <w:left w:val="nil"/>
              <w:bottom w:val="single" w:sz="4" w:space="0" w:color="auto"/>
              <w:right w:val="single" w:sz="4" w:space="0" w:color="auto"/>
            </w:tcBorders>
            <w:shd w:val="clear" w:color="auto" w:fill="auto"/>
            <w:noWrap/>
            <w:vAlign w:val="bottom"/>
            <w:hideMark/>
          </w:tcPr>
          <w:p w14:paraId="0A322D7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571" w:type="pct"/>
            <w:tcBorders>
              <w:top w:val="nil"/>
              <w:left w:val="nil"/>
              <w:bottom w:val="single" w:sz="4" w:space="0" w:color="auto"/>
              <w:right w:val="single" w:sz="4" w:space="0" w:color="auto"/>
            </w:tcBorders>
            <w:shd w:val="clear" w:color="auto" w:fill="auto"/>
            <w:noWrap/>
            <w:vAlign w:val="bottom"/>
            <w:hideMark/>
          </w:tcPr>
          <w:p w14:paraId="4205CA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nil"/>
              <w:left w:val="nil"/>
              <w:bottom w:val="single" w:sz="4" w:space="0" w:color="auto"/>
              <w:right w:val="single" w:sz="4" w:space="0" w:color="auto"/>
            </w:tcBorders>
            <w:shd w:val="clear" w:color="auto" w:fill="auto"/>
            <w:vAlign w:val="bottom"/>
            <w:hideMark/>
          </w:tcPr>
          <w:p w14:paraId="733FEFE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TRAK PAPIRNI 2,5 cm</w:t>
            </w:r>
          </w:p>
        </w:tc>
        <w:tc>
          <w:tcPr>
            <w:tcW w:w="388" w:type="pct"/>
            <w:tcBorders>
              <w:top w:val="nil"/>
              <w:left w:val="nil"/>
              <w:bottom w:val="single" w:sz="4" w:space="0" w:color="auto"/>
              <w:right w:val="single" w:sz="4" w:space="0" w:color="auto"/>
            </w:tcBorders>
            <w:shd w:val="clear" w:color="auto" w:fill="auto"/>
            <w:noWrap/>
            <w:vAlign w:val="bottom"/>
            <w:hideMark/>
          </w:tcPr>
          <w:p w14:paraId="76E36E0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0E01A96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70CC0B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0,3</w:t>
            </w:r>
          </w:p>
        </w:tc>
        <w:tc>
          <w:tcPr>
            <w:tcW w:w="581" w:type="pct"/>
            <w:tcBorders>
              <w:top w:val="nil"/>
              <w:left w:val="nil"/>
              <w:bottom w:val="single" w:sz="4" w:space="0" w:color="auto"/>
              <w:right w:val="single" w:sz="4" w:space="0" w:color="auto"/>
            </w:tcBorders>
            <w:shd w:val="clear" w:color="auto" w:fill="auto"/>
            <w:noWrap/>
            <w:vAlign w:val="bottom"/>
            <w:hideMark/>
          </w:tcPr>
          <w:p w14:paraId="5EE2848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0,30 € </w:t>
            </w:r>
          </w:p>
        </w:tc>
        <w:tc>
          <w:tcPr>
            <w:tcW w:w="514" w:type="pct"/>
            <w:tcBorders>
              <w:top w:val="nil"/>
              <w:left w:val="nil"/>
              <w:bottom w:val="nil"/>
              <w:right w:val="nil"/>
            </w:tcBorders>
            <w:shd w:val="clear" w:color="auto" w:fill="auto"/>
            <w:noWrap/>
            <w:vAlign w:val="bottom"/>
            <w:hideMark/>
          </w:tcPr>
          <w:p w14:paraId="3303AE53"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1BA196D8"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4AB4AEE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w:t>
            </w:r>
          </w:p>
        </w:tc>
        <w:tc>
          <w:tcPr>
            <w:tcW w:w="363" w:type="pct"/>
            <w:tcBorders>
              <w:top w:val="nil"/>
              <w:left w:val="nil"/>
              <w:bottom w:val="single" w:sz="4" w:space="0" w:color="auto"/>
              <w:right w:val="single" w:sz="4" w:space="0" w:color="auto"/>
            </w:tcBorders>
            <w:shd w:val="clear" w:color="auto" w:fill="auto"/>
            <w:noWrap/>
            <w:vAlign w:val="bottom"/>
            <w:hideMark/>
          </w:tcPr>
          <w:p w14:paraId="10A6B7B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571" w:type="pct"/>
            <w:tcBorders>
              <w:top w:val="nil"/>
              <w:left w:val="nil"/>
              <w:bottom w:val="single" w:sz="4" w:space="0" w:color="auto"/>
              <w:right w:val="single" w:sz="4" w:space="0" w:color="auto"/>
            </w:tcBorders>
            <w:shd w:val="clear" w:color="auto" w:fill="auto"/>
            <w:noWrap/>
            <w:vAlign w:val="bottom"/>
            <w:hideMark/>
          </w:tcPr>
          <w:p w14:paraId="66E30BF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nil"/>
              <w:left w:val="nil"/>
              <w:bottom w:val="single" w:sz="4" w:space="0" w:color="auto"/>
              <w:right w:val="single" w:sz="4" w:space="0" w:color="auto"/>
            </w:tcBorders>
            <w:shd w:val="clear" w:color="auto" w:fill="auto"/>
            <w:vAlign w:val="bottom"/>
            <w:hideMark/>
          </w:tcPr>
          <w:p w14:paraId="2F4E37A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Krpe za umivanje 30x30 cm</w:t>
            </w:r>
          </w:p>
        </w:tc>
        <w:tc>
          <w:tcPr>
            <w:tcW w:w="388" w:type="pct"/>
            <w:tcBorders>
              <w:top w:val="nil"/>
              <w:left w:val="nil"/>
              <w:bottom w:val="single" w:sz="4" w:space="0" w:color="auto"/>
              <w:right w:val="single" w:sz="4" w:space="0" w:color="auto"/>
            </w:tcBorders>
            <w:shd w:val="clear" w:color="auto" w:fill="auto"/>
            <w:noWrap/>
            <w:vAlign w:val="bottom"/>
            <w:hideMark/>
          </w:tcPr>
          <w:p w14:paraId="66B9DB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w:t>
            </w:r>
          </w:p>
        </w:tc>
        <w:tc>
          <w:tcPr>
            <w:tcW w:w="681" w:type="pct"/>
            <w:tcBorders>
              <w:top w:val="nil"/>
              <w:left w:val="nil"/>
              <w:bottom w:val="single" w:sz="4" w:space="0" w:color="auto"/>
              <w:right w:val="single" w:sz="4" w:space="0" w:color="auto"/>
            </w:tcBorders>
            <w:shd w:val="clear" w:color="auto" w:fill="auto"/>
            <w:noWrap/>
            <w:vAlign w:val="bottom"/>
            <w:hideMark/>
          </w:tcPr>
          <w:p w14:paraId="03211C2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28420C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0,0261</w:t>
            </w:r>
          </w:p>
        </w:tc>
        <w:tc>
          <w:tcPr>
            <w:tcW w:w="581" w:type="pct"/>
            <w:tcBorders>
              <w:top w:val="nil"/>
              <w:left w:val="nil"/>
              <w:bottom w:val="single" w:sz="4" w:space="0" w:color="auto"/>
              <w:right w:val="single" w:sz="4" w:space="0" w:color="auto"/>
            </w:tcBorders>
            <w:shd w:val="clear" w:color="auto" w:fill="auto"/>
            <w:noWrap/>
            <w:vAlign w:val="bottom"/>
            <w:hideMark/>
          </w:tcPr>
          <w:p w14:paraId="08D974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0,26 € </w:t>
            </w:r>
          </w:p>
        </w:tc>
        <w:tc>
          <w:tcPr>
            <w:tcW w:w="514" w:type="pct"/>
            <w:tcBorders>
              <w:top w:val="nil"/>
              <w:left w:val="nil"/>
              <w:bottom w:val="nil"/>
              <w:right w:val="nil"/>
            </w:tcBorders>
            <w:shd w:val="clear" w:color="auto" w:fill="auto"/>
            <w:noWrap/>
            <w:vAlign w:val="bottom"/>
            <w:hideMark/>
          </w:tcPr>
          <w:p w14:paraId="19603A19"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50DB8C31"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2124941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w:t>
            </w:r>
          </w:p>
        </w:tc>
        <w:tc>
          <w:tcPr>
            <w:tcW w:w="363" w:type="pct"/>
            <w:tcBorders>
              <w:top w:val="nil"/>
              <w:left w:val="nil"/>
              <w:bottom w:val="single" w:sz="4" w:space="0" w:color="auto"/>
              <w:right w:val="single" w:sz="4" w:space="0" w:color="auto"/>
            </w:tcBorders>
            <w:shd w:val="clear" w:color="auto" w:fill="auto"/>
            <w:noWrap/>
            <w:vAlign w:val="bottom"/>
            <w:hideMark/>
          </w:tcPr>
          <w:p w14:paraId="1351217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550059</w:t>
            </w:r>
          </w:p>
        </w:tc>
        <w:tc>
          <w:tcPr>
            <w:tcW w:w="571" w:type="pct"/>
            <w:tcBorders>
              <w:top w:val="nil"/>
              <w:left w:val="nil"/>
              <w:bottom w:val="single" w:sz="4" w:space="0" w:color="auto"/>
              <w:right w:val="single" w:sz="4" w:space="0" w:color="auto"/>
            </w:tcBorders>
            <w:shd w:val="clear" w:color="auto" w:fill="auto"/>
            <w:noWrap/>
            <w:vAlign w:val="bottom"/>
            <w:hideMark/>
          </w:tcPr>
          <w:p w14:paraId="2A7DFBD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16603</w:t>
            </w:r>
          </w:p>
        </w:tc>
        <w:tc>
          <w:tcPr>
            <w:tcW w:w="1197" w:type="pct"/>
            <w:tcBorders>
              <w:top w:val="nil"/>
              <w:left w:val="nil"/>
              <w:bottom w:val="single" w:sz="4" w:space="0" w:color="auto"/>
              <w:right w:val="single" w:sz="4" w:space="0" w:color="auto"/>
            </w:tcBorders>
            <w:shd w:val="clear" w:color="auto" w:fill="auto"/>
            <w:vAlign w:val="bottom"/>
            <w:hideMark/>
          </w:tcPr>
          <w:p w14:paraId="3E34567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VATIRANCI TKANI</w:t>
            </w:r>
          </w:p>
        </w:tc>
        <w:tc>
          <w:tcPr>
            <w:tcW w:w="388" w:type="pct"/>
            <w:tcBorders>
              <w:top w:val="nil"/>
              <w:left w:val="nil"/>
              <w:bottom w:val="single" w:sz="4" w:space="0" w:color="auto"/>
              <w:right w:val="single" w:sz="4" w:space="0" w:color="auto"/>
            </w:tcBorders>
            <w:shd w:val="clear" w:color="auto" w:fill="auto"/>
            <w:noWrap/>
            <w:vAlign w:val="bottom"/>
            <w:hideMark/>
          </w:tcPr>
          <w:p w14:paraId="78E676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w:t>
            </w:r>
          </w:p>
        </w:tc>
        <w:tc>
          <w:tcPr>
            <w:tcW w:w="681" w:type="pct"/>
            <w:tcBorders>
              <w:top w:val="nil"/>
              <w:left w:val="nil"/>
              <w:bottom w:val="single" w:sz="4" w:space="0" w:color="auto"/>
              <w:right w:val="single" w:sz="4" w:space="0" w:color="auto"/>
            </w:tcBorders>
            <w:shd w:val="clear" w:color="auto" w:fill="auto"/>
            <w:noWrap/>
            <w:vAlign w:val="bottom"/>
            <w:hideMark/>
          </w:tcPr>
          <w:p w14:paraId="3C5F4FE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2F88FF7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0,1559</w:t>
            </w:r>
          </w:p>
        </w:tc>
        <w:tc>
          <w:tcPr>
            <w:tcW w:w="581" w:type="pct"/>
            <w:tcBorders>
              <w:top w:val="nil"/>
              <w:left w:val="nil"/>
              <w:bottom w:val="single" w:sz="4" w:space="0" w:color="auto"/>
              <w:right w:val="single" w:sz="4" w:space="0" w:color="auto"/>
            </w:tcBorders>
            <w:shd w:val="clear" w:color="auto" w:fill="auto"/>
            <w:noWrap/>
            <w:vAlign w:val="bottom"/>
            <w:hideMark/>
          </w:tcPr>
          <w:p w14:paraId="35BCB0E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0,31 € </w:t>
            </w:r>
          </w:p>
        </w:tc>
        <w:tc>
          <w:tcPr>
            <w:tcW w:w="514" w:type="pct"/>
            <w:tcBorders>
              <w:top w:val="nil"/>
              <w:left w:val="nil"/>
              <w:bottom w:val="nil"/>
              <w:right w:val="nil"/>
            </w:tcBorders>
            <w:shd w:val="clear" w:color="auto" w:fill="auto"/>
            <w:noWrap/>
            <w:vAlign w:val="bottom"/>
            <w:hideMark/>
          </w:tcPr>
          <w:p w14:paraId="22DB4465"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4EDCEACB"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119E01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w:t>
            </w:r>
          </w:p>
        </w:tc>
        <w:tc>
          <w:tcPr>
            <w:tcW w:w="363" w:type="pct"/>
            <w:tcBorders>
              <w:top w:val="nil"/>
              <w:left w:val="nil"/>
              <w:bottom w:val="single" w:sz="4" w:space="0" w:color="auto"/>
              <w:right w:val="single" w:sz="4" w:space="0" w:color="auto"/>
            </w:tcBorders>
            <w:shd w:val="clear" w:color="auto" w:fill="auto"/>
            <w:noWrap/>
            <w:vAlign w:val="bottom"/>
            <w:hideMark/>
          </w:tcPr>
          <w:p w14:paraId="75B7F2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550007</w:t>
            </w:r>
          </w:p>
        </w:tc>
        <w:tc>
          <w:tcPr>
            <w:tcW w:w="571" w:type="pct"/>
            <w:tcBorders>
              <w:top w:val="nil"/>
              <w:left w:val="nil"/>
              <w:bottom w:val="single" w:sz="4" w:space="0" w:color="auto"/>
              <w:right w:val="single" w:sz="4" w:space="0" w:color="auto"/>
            </w:tcBorders>
            <w:shd w:val="clear" w:color="auto" w:fill="auto"/>
            <w:noWrap/>
            <w:vAlign w:val="bottom"/>
            <w:hideMark/>
          </w:tcPr>
          <w:p w14:paraId="2CE5FBE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41006</w:t>
            </w:r>
          </w:p>
        </w:tc>
        <w:tc>
          <w:tcPr>
            <w:tcW w:w="1197" w:type="pct"/>
            <w:tcBorders>
              <w:top w:val="nil"/>
              <w:left w:val="nil"/>
              <w:bottom w:val="single" w:sz="4" w:space="0" w:color="auto"/>
              <w:right w:val="single" w:sz="4" w:space="0" w:color="auto"/>
            </w:tcBorders>
            <w:shd w:val="clear" w:color="auto" w:fill="auto"/>
            <w:vAlign w:val="bottom"/>
            <w:hideMark/>
          </w:tcPr>
          <w:p w14:paraId="0DFE1FD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VLOŽEK MOŠKI</w:t>
            </w:r>
          </w:p>
        </w:tc>
        <w:tc>
          <w:tcPr>
            <w:tcW w:w="388" w:type="pct"/>
            <w:tcBorders>
              <w:top w:val="nil"/>
              <w:left w:val="nil"/>
              <w:bottom w:val="single" w:sz="4" w:space="0" w:color="auto"/>
              <w:right w:val="single" w:sz="4" w:space="0" w:color="auto"/>
            </w:tcBorders>
            <w:shd w:val="clear" w:color="auto" w:fill="auto"/>
            <w:noWrap/>
            <w:vAlign w:val="bottom"/>
            <w:hideMark/>
          </w:tcPr>
          <w:p w14:paraId="6918612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675424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2209551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0,0783</w:t>
            </w:r>
          </w:p>
        </w:tc>
        <w:tc>
          <w:tcPr>
            <w:tcW w:w="581" w:type="pct"/>
            <w:tcBorders>
              <w:top w:val="nil"/>
              <w:left w:val="nil"/>
              <w:bottom w:val="single" w:sz="4" w:space="0" w:color="auto"/>
              <w:right w:val="single" w:sz="4" w:space="0" w:color="auto"/>
            </w:tcBorders>
            <w:shd w:val="clear" w:color="auto" w:fill="auto"/>
            <w:noWrap/>
            <w:vAlign w:val="bottom"/>
            <w:hideMark/>
          </w:tcPr>
          <w:p w14:paraId="5B11056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0,08 € </w:t>
            </w:r>
          </w:p>
        </w:tc>
        <w:tc>
          <w:tcPr>
            <w:tcW w:w="514" w:type="pct"/>
            <w:tcBorders>
              <w:top w:val="nil"/>
              <w:left w:val="nil"/>
              <w:bottom w:val="nil"/>
              <w:right w:val="nil"/>
            </w:tcBorders>
            <w:shd w:val="clear" w:color="auto" w:fill="auto"/>
            <w:noWrap/>
            <w:vAlign w:val="bottom"/>
            <w:hideMark/>
          </w:tcPr>
          <w:p w14:paraId="3708276A"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3107A462"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0C284D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w:t>
            </w:r>
          </w:p>
        </w:tc>
        <w:tc>
          <w:tcPr>
            <w:tcW w:w="363" w:type="pct"/>
            <w:tcBorders>
              <w:top w:val="nil"/>
              <w:left w:val="nil"/>
              <w:bottom w:val="single" w:sz="4" w:space="0" w:color="auto"/>
              <w:right w:val="single" w:sz="4" w:space="0" w:color="auto"/>
            </w:tcBorders>
            <w:shd w:val="clear" w:color="auto" w:fill="auto"/>
            <w:noWrap/>
            <w:vAlign w:val="bottom"/>
            <w:hideMark/>
          </w:tcPr>
          <w:p w14:paraId="0120EDB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571" w:type="pct"/>
            <w:tcBorders>
              <w:top w:val="nil"/>
              <w:left w:val="nil"/>
              <w:bottom w:val="single" w:sz="4" w:space="0" w:color="auto"/>
              <w:right w:val="single" w:sz="4" w:space="0" w:color="auto"/>
            </w:tcBorders>
            <w:shd w:val="clear" w:color="auto" w:fill="auto"/>
            <w:noWrap/>
            <w:vAlign w:val="bottom"/>
            <w:hideMark/>
          </w:tcPr>
          <w:p w14:paraId="674CB1A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nil"/>
              <w:left w:val="nil"/>
              <w:bottom w:val="single" w:sz="4" w:space="0" w:color="auto"/>
              <w:right w:val="single" w:sz="4" w:space="0" w:color="auto"/>
            </w:tcBorders>
            <w:shd w:val="clear" w:color="auto" w:fill="auto"/>
            <w:vAlign w:val="bottom"/>
            <w:hideMark/>
          </w:tcPr>
          <w:p w14:paraId="0448B05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XYLOCAINE GEL</w:t>
            </w:r>
          </w:p>
        </w:tc>
        <w:tc>
          <w:tcPr>
            <w:tcW w:w="388" w:type="pct"/>
            <w:tcBorders>
              <w:top w:val="nil"/>
              <w:left w:val="nil"/>
              <w:bottom w:val="single" w:sz="4" w:space="0" w:color="auto"/>
              <w:right w:val="single" w:sz="4" w:space="0" w:color="auto"/>
            </w:tcBorders>
            <w:shd w:val="clear" w:color="auto" w:fill="auto"/>
            <w:noWrap/>
            <w:vAlign w:val="bottom"/>
            <w:hideMark/>
          </w:tcPr>
          <w:p w14:paraId="73A18F8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0,1</w:t>
            </w:r>
          </w:p>
        </w:tc>
        <w:tc>
          <w:tcPr>
            <w:tcW w:w="681" w:type="pct"/>
            <w:tcBorders>
              <w:top w:val="nil"/>
              <w:left w:val="nil"/>
              <w:bottom w:val="single" w:sz="4" w:space="0" w:color="auto"/>
              <w:right w:val="single" w:sz="4" w:space="0" w:color="auto"/>
            </w:tcBorders>
            <w:shd w:val="clear" w:color="auto" w:fill="auto"/>
            <w:noWrap/>
            <w:vAlign w:val="bottom"/>
            <w:hideMark/>
          </w:tcPr>
          <w:p w14:paraId="180D434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4FD9FA7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1,7182</w:t>
            </w:r>
          </w:p>
        </w:tc>
        <w:tc>
          <w:tcPr>
            <w:tcW w:w="581" w:type="pct"/>
            <w:tcBorders>
              <w:top w:val="nil"/>
              <w:left w:val="nil"/>
              <w:bottom w:val="single" w:sz="4" w:space="0" w:color="auto"/>
              <w:right w:val="single" w:sz="4" w:space="0" w:color="auto"/>
            </w:tcBorders>
            <w:shd w:val="clear" w:color="auto" w:fill="auto"/>
            <w:noWrap/>
            <w:vAlign w:val="bottom"/>
            <w:hideMark/>
          </w:tcPr>
          <w:p w14:paraId="786995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0,17 € </w:t>
            </w:r>
          </w:p>
        </w:tc>
        <w:tc>
          <w:tcPr>
            <w:tcW w:w="514" w:type="pct"/>
            <w:tcBorders>
              <w:top w:val="nil"/>
              <w:left w:val="nil"/>
              <w:bottom w:val="nil"/>
              <w:right w:val="nil"/>
            </w:tcBorders>
            <w:shd w:val="clear" w:color="auto" w:fill="auto"/>
            <w:noWrap/>
            <w:vAlign w:val="bottom"/>
            <w:hideMark/>
          </w:tcPr>
          <w:p w14:paraId="058A9876"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44B007F5"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0D3A225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w:t>
            </w:r>
          </w:p>
        </w:tc>
        <w:tc>
          <w:tcPr>
            <w:tcW w:w="363" w:type="pct"/>
            <w:tcBorders>
              <w:top w:val="nil"/>
              <w:left w:val="nil"/>
              <w:bottom w:val="single" w:sz="4" w:space="0" w:color="auto"/>
              <w:right w:val="single" w:sz="4" w:space="0" w:color="auto"/>
            </w:tcBorders>
            <w:shd w:val="clear" w:color="auto" w:fill="auto"/>
            <w:noWrap/>
            <w:vAlign w:val="bottom"/>
            <w:hideMark/>
          </w:tcPr>
          <w:p w14:paraId="0A43215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393023</w:t>
            </w:r>
          </w:p>
        </w:tc>
        <w:tc>
          <w:tcPr>
            <w:tcW w:w="571" w:type="pct"/>
            <w:tcBorders>
              <w:top w:val="nil"/>
              <w:left w:val="nil"/>
              <w:bottom w:val="single" w:sz="4" w:space="0" w:color="auto"/>
              <w:right w:val="single" w:sz="4" w:space="0" w:color="auto"/>
            </w:tcBorders>
            <w:shd w:val="clear" w:color="auto" w:fill="auto"/>
            <w:noWrap/>
            <w:vAlign w:val="bottom"/>
            <w:hideMark/>
          </w:tcPr>
          <w:p w14:paraId="4C61FA7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xp00142</w:t>
            </w:r>
          </w:p>
        </w:tc>
        <w:tc>
          <w:tcPr>
            <w:tcW w:w="1197" w:type="pct"/>
            <w:tcBorders>
              <w:top w:val="nil"/>
              <w:left w:val="nil"/>
              <w:bottom w:val="single" w:sz="4" w:space="0" w:color="auto"/>
              <w:right w:val="single" w:sz="4" w:space="0" w:color="auto"/>
            </w:tcBorders>
            <w:shd w:val="clear" w:color="auto" w:fill="auto"/>
            <w:vAlign w:val="bottom"/>
            <w:hideMark/>
          </w:tcPr>
          <w:p w14:paraId="65D373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ROBČKI RAZKUŽILNI</w:t>
            </w:r>
          </w:p>
        </w:tc>
        <w:tc>
          <w:tcPr>
            <w:tcW w:w="388" w:type="pct"/>
            <w:tcBorders>
              <w:top w:val="nil"/>
              <w:left w:val="nil"/>
              <w:bottom w:val="single" w:sz="4" w:space="0" w:color="auto"/>
              <w:right w:val="single" w:sz="4" w:space="0" w:color="auto"/>
            </w:tcBorders>
            <w:shd w:val="clear" w:color="auto" w:fill="auto"/>
            <w:noWrap/>
            <w:vAlign w:val="bottom"/>
            <w:hideMark/>
          </w:tcPr>
          <w:p w14:paraId="7C157D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5F8D2F8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SC (a125)</w:t>
            </w:r>
          </w:p>
        </w:tc>
        <w:tc>
          <w:tcPr>
            <w:tcW w:w="340" w:type="pct"/>
            <w:tcBorders>
              <w:top w:val="nil"/>
              <w:left w:val="nil"/>
              <w:bottom w:val="single" w:sz="4" w:space="0" w:color="auto"/>
              <w:right w:val="single" w:sz="4" w:space="0" w:color="auto"/>
            </w:tcBorders>
            <w:shd w:val="clear" w:color="auto" w:fill="auto"/>
            <w:noWrap/>
            <w:vAlign w:val="bottom"/>
            <w:hideMark/>
          </w:tcPr>
          <w:p w14:paraId="4665826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0,0312</w:t>
            </w:r>
          </w:p>
        </w:tc>
        <w:tc>
          <w:tcPr>
            <w:tcW w:w="581" w:type="pct"/>
            <w:tcBorders>
              <w:top w:val="nil"/>
              <w:left w:val="nil"/>
              <w:bottom w:val="single" w:sz="4" w:space="0" w:color="auto"/>
              <w:right w:val="single" w:sz="4" w:space="0" w:color="auto"/>
            </w:tcBorders>
            <w:shd w:val="clear" w:color="auto" w:fill="auto"/>
            <w:noWrap/>
            <w:vAlign w:val="bottom"/>
            <w:hideMark/>
          </w:tcPr>
          <w:p w14:paraId="3F483E8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0,03 € </w:t>
            </w:r>
          </w:p>
        </w:tc>
        <w:tc>
          <w:tcPr>
            <w:tcW w:w="514" w:type="pct"/>
            <w:tcBorders>
              <w:top w:val="nil"/>
              <w:left w:val="nil"/>
              <w:bottom w:val="nil"/>
              <w:right w:val="nil"/>
            </w:tcBorders>
            <w:shd w:val="clear" w:color="auto" w:fill="auto"/>
            <w:noWrap/>
            <w:vAlign w:val="bottom"/>
            <w:hideMark/>
          </w:tcPr>
          <w:p w14:paraId="5194633D"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3F345E6A"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302E11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w:t>
            </w:r>
          </w:p>
        </w:tc>
        <w:tc>
          <w:tcPr>
            <w:tcW w:w="363" w:type="pct"/>
            <w:tcBorders>
              <w:top w:val="nil"/>
              <w:left w:val="nil"/>
              <w:bottom w:val="single" w:sz="4" w:space="0" w:color="auto"/>
              <w:right w:val="single" w:sz="4" w:space="0" w:color="auto"/>
            </w:tcBorders>
            <w:shd w:val="clear" w:color="auto" w:fill="auto"/>
            <w:noWrap/>
            <w:vAlign w:val="bottom"/>
            <w:hideMark/>
          </w:tcPr>
          <w:p w14:paraId="7273903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700032</w:t>
            </w:r>
          </w:p>
        </w:tc>
        <w:tc>
          <w:tcPr>
            <w:tcW w:w="571" w:type="pct"/>
            <w:tcBorders>
              <w:top w:val="nil"/>
              <w:left w:val="nil"/>
              <w:bottom w:val="single" w:sz="4" w:space="0" w:color="auto"/>
              <w:right w:val="single" w:sz="4" w:space="0" w:color="auto"/>
            </w:tcBorders>
            <w:shd w:val="clear" w:color="auto" w:fill="auto"/>
            <w:noWrap/>
            <w:vAlign w:val="bottom"/>
            <w:hideMark/>
          </w:tcPr>
          <w:p w14:paraId="567047E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nil"/>
              <w:left w:val="nil"/>
              <w:bottom w:val="single" w:sz="4" w:space="0" w:color="auto"/>
              <w:right w:val="single" w:sz="4" w:space="0" w:color="auto"/>
            </w:tcBorders>
            <w:shd w:val="clear" w:color="auto" w:fill="auto"/>
            <w:vAlign w:val="bottom"/>
            <w:hideMark/>
          </w:tcPr>
          <w:p w14:paraId="2C832C2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Alkohol 70%</w:t>
            </w:r>
          </w:p>
        </w:tc>
        <w:tc>
          <w:tcPr>
            <w:tcW w:w="388" w:type="pct"/>
            <w:tcBorders>
              <w:top w:val="nil"/>
              <w:left w:val="nil"/>
              <w:bottom w:val="single" w:sz="4" w:space="0" w:color="auto"/>
              <w:right w:val="single" w:sz="4" w:space="0" w:color="auto"/>
            </w:tcBorders>
            <w:shd w:val="clear" w:color="auto" w:fill="auto"/>
            <w:noWrap/>
            <w:vAlign w:val="bottom"/>
            <w:hideMark/>
          </w:tcPr>
          <w:p w14:paraId="3F40C53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0,1</w:t>
            </w:r>
          </w:p>
        </w:tc>
        <w:tc>
          <w:tcPr>
            <w:tcW w:w="681" w:type="pct"/>
            <w:tcBorders>
              <w:top w:val="nil"/>
              <w:left w:val="nil"/>
              <w:bottom w:val="single" w:sz="4" w:space="0" w:color="auto"/>
              <w:right w:val="single" w:sz="4" w:space="0" w:color="auto"/>
            </w:tcBorders>
            <w:shd w:val="clear" w:color="auto" w:fill="auto"/>
            <w:noWrap/>
            <w:vAlign w:val="bottom"/>
            <w:hideMark/>
          </w:tcPr>
          <w:p w14:paraId="32DA463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7AC47C2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1,88</w:t>
            </w:r>
          </w:p>
        </w:tc>
        <w:tc>
          <w:tcPr>
            <w:tcW w:w="581" w:type="pct"/>
            <w:tcBorders>
              <w:top w:val="nil"/>
              <w:left w:val="nil"/>
              <w:bottom w:val="single" w:sz="4" w:space="0" w:color="auto"/>
              <w:right w:val="single" w:sz="4" w:space="0" w:color="auto"/>
            </w:tcBorders>
            <w:shd w:val="clear" w:color="auto" w:fill="auto"/>
            <w:noWrap/>
            <w:vAlign w:val="bottom"/>
            <w:hideMark/>
          </w:tcPr>
          <w:p w14:paraId="5EDBCB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0,19 € </w:t>
            </w:r>
          </w:p>
        </w:tc>
        <w:tc>
          <w:tcPr>
            <w:tcW w:w="514" w:type="pct"/>
            <w:tcBorders>
              <w:top w:val="nil"/>
              <w:left w:val="nil"/>
              <w:bottom w:val="nil"/>
              <w:right w:val="nil"/>
            </w:tcBorders>
            <w:shd w:val="clear" w:color="auto" w:fill="auto"/>
            <w:noWrap/>
            <w:vAlign w:val="bottom"/>
            <w:hideMark/>
          </w:tcPr>
          <w:p w14:paraId="31204CF0"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6DACDB82"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5716F0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w:t>
            </w:r>
          </w:p>
        </w:tc>
        <w:tc>
          <w:tcPr>
            <w:tcW w:w="363" w:type="pct"/>
            <w:tcBorders>
              <w:top w:val="nil"/>
              <w:left w:val="nil"/>
              <w:bottom w:val="single" w:sz="4" w:space="0" w:color="auto"/>
              <w:right w:val="single" w:sz="4" w:space="0" w:color="auto"/>
            </w:tcBorders>
            <w:shd w:val="clear" w:color="auto" w:fill="auto"/>
            <w:noWrap/>
            <w:vAlign w:val="bottom"/>
            <w:hideMark/>
          </w:tcPr>
          <w:p w14:paraId="2612A9B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550341</w:t>
            </w:r>
          </w:p>
        </w:tc>
        <w:tc>
          <w:tcPr>
            <w:tcW w:w="571" w:type="pct"/>
            <w:tcBorders>
              <w:top w:val="nil"/>
              <w:left w:val="nil"/>
              <w:bottom w:val="single" w:sz="4" w:space="0" w:color="auto"/>
              <w:right w:val="single" w:sz="4" w:space="0" w:color="auto"/>
            </w:tcBorders>
            <w:shd w:val="clear" w:color="auto" w:fill="auto"/>
            <w:noWrap/>
            <w:vAlign w:val="bottom"/>
            <w:hideMark/>
          </w:tcPr>
          <w:p w14:paraId="3504BD3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203910</w:t>
            </w:r>
          </w:p>
        </w:tc>
        <w:tc>
          <w:tcPr>
            <w:tcW w:w="1197" w:type="pct"/>
            <w:tcBorders>
              <w:top w:val="nil"/>
              <w:left w:val="nil"/>
              <w:bottom w:val="single" w:sz="4" w:space="0" w:color="auto"/>
              <w:right w:val="single" w:sz="4" w:space="0" w:color="auto"/>
            </w:tcBorders>
            <w:shd w:val="clear" w:color="auto" w:fill="auto"/>
            <w:vAlign w:val="bottom"/>
            <w:hideMark/>
          </w:tcPr>
          <w:p w14:paraId="11DB157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PODLAGE ZA BOLNIKE</w:t>
            </w:r>
          </w:p>
        </w:tc>
        <w:tc>
          <w:tcPr>
            <w:tcW w:w="388" w:type="pct"/>
            <w:tcBorders>
              <w:top w:val="nil"/>
              <w:left w:val="nil"/>
              <w:bottom w:val="single" w:sz="4" w:space="0" w:color="auto"/>
              <w:right w:val="single" w:sz="4" w:space="0" w:color="auto"/>
            </w:tcBorders>
            <w:shd w:val="clear" w:color="auto" w:fill="auto"/>
            <w:noWrap/>
            <w:vAlign w:val="bottom"/>
            <w:hideMark/>
          </w:tcPr>
          <w:p w14:paraId="1CD311B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685BFFC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2C718FF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0,854</w:t>
            </w:r>
          </w:p>
        </w:tc>
        <w:tc>
          <w:tcPr>
            <w:tcW w:w="581" w:type="pct"/>
            <w:tcBorders>
              <w:top w:val="nil"/>
              <w:left w:val="nil"/>
              <w:bottom w:val="single" w:sz="4" w:space="0" w:color="auto"/>
              <w:right w:val="single" w:sz="4" w:space="0" w:color="auto"/>
            </w:tcBorders>
            <w:shd w:val="clear" w:color="auto" w:fill="auto"/>
            <w:noWrap/>
            <w:vAlign w:val="bottom"/>
            <w:hideMark/>
          </w:tcPr>
          <w:p w14:paraId="1BAD334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0,85 € </w:t>
            </w:r>
          </w:p>
        </w:tc>
        <w:tc>
          <w:tcPr>
            <w:tcW w:w="514" w:type="pct"/>
            <w:tcBorders>
              <w:top w:val="nil"/>
              <w:left w:val="nil"/>
              <w:bottom w:val="nil"/>
              <w:right w:val="nil"/>
            </w:tcBorders>
            <w:shd w:val="clear" w:color="auto" w:fill="auto"/>
            <w:noWrap/>
            <w:vAlign w:val="bottom"/>
            <w:hideMark/>
          </w:tcPr>
          <w:p w14:paraId="5E93F863"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1C99FE9D"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1B6DF97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w:t>
            </w:r>
          </w:p>
        </w:tc>
        <w:tc>
          <w:tcPr>
            <w:tcW w:w="363" w:type="pct"/>
            <w:tcBorders>
              <w:top w:val="nil"/>
              <w:left w:val="nil"/>
              <w:bottom w:val="single" w:sz="4" w:space="0" w:color="auto"/>
              <w:right w:val="single" w:sz="4" w:space="0" w:color="auto"/>
            </w:tcBorders>
            <w:shd w:val="clear" w:color="auto" w:fill="auto"/>
            <w:noWrap/>
            <w:vAlign w:val="bottom"/>
            <w:hideMark/>
          </w:tcPr>
          <w:p w14:paraId="65094C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853336</w:t>
            </w:r>
          </w:p>
        </w:tc>
        <w:tc>
          <w:tcPr>
            <w:tcW w:w="571" w:type="pct"/>
            <w:tcBorders>
              <w:top w:val="nil"/>
              <w:left w:val="nil"/>
              <w:bottom w:val="single" w:sz="4" w:space="0" w:color="auto"/>
              <w:right w:val="single" w:sz="4" w:space="0" w:color="auto"/>
            </w:tcBorders>
            <w:shd w:val="clear" w:color="auto" w:fill="auto"/>
            <w:noWrap/>
            <w:vAlign w:val="bottom"/>
            <w:hideMark/>
          </w:tcPr>
          <w:p w14:paraId="30D957D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800006</w:t>
            </w:r>
          </w:p>
        </w:tc>
        <w:tc>
          <w:tcPr>
            <w:tcW w:w="1197" w:type="pct"/>
            <w:tcBorders>
              <w:top w:val="nil"/>
              <w:left w:val="nil"/>
              <w:bottom w:val="single" w:sz="4" w:space="0" w:color="auto"/>
              <w:right w:val="single" w:sz="4" w:space="0" w:color="auto"/>
            </w:tcBorders>
            <w:shd w:val="clear" w:color="auto" w:fill="auto"/>
            <w:vAlign w:val="bottom"/>
            <w:hideMark/>
          </w:tcPr>
          <w:p w14:paraId="1D0AFB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PREGRINJALO PLAST. ZA PREGLEDNO MIZO</w:t>
            </w:r>
          </w:p>
        </w:tc>
        <w:tc>
          <w:tcPr>
            <w:tcW w:w="388" w:type="pct"/>
            <w:tcBorders>
              <w:top w:val="nil"/>
              <w:left w:val="nil"/>
              <w:bottom w:val="single" w:sz="4" w:space="0" w:color="auto"/>
              <w:right w:val="single" w:sz="4" w:space="0" w:color="auto"/>
            </w:tcBorders>
            <w:shd w:val="clear" w:color="auto" w:fill="auto"/>
            <w:noWrap/>
            <w:vAlign w:val="bottom"/>
            <w:hideMark/>
          </w:tcPr>
          <w:p w14:paraId="496B435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0,02</w:t>
            </w:r>
          </w:p>
        </w:tc>
        <w:tc>
          <w:tcPr>
            <w:tcW w:w="681" w:type="pct"/>
            <w:tcBorders>
              <w:top w:val="nil"/>
              <w:left w:val="nil"/>
              <w:bottom w:val="single" w:sz="4" w:space="0" w:color="auto"/>
              <w:right w:val="single" w:sz="4" w:space="0" w:color="auto"/>
            </w:tcBorders>
            <w:shd w:val="clear" w:color="auto" w:fill="auto"/>
            <w:noWrap/>
            <w:vAlign w:val="bottom"/>
            <w:hideMark/>
          </w:tcPr>
          <w:p w14:paraId="33022B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75460C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3,84</w:t>
            </w:r>
          </w:p>
        </w:tc>
        <w:tc>
          <w:tcPr>
            <w:tcW w:w="581" w:type="pct"/>
            <w:tcBorders>
              <w:top w:val="nil"/>
              <w:left w:val="nil"/>
              <w:bottom w:val="single" w:sz="4" w:space="0" w:color="auto"/>
              <w:right w:val="single" w:sz="4" w:space="0" w:color="auto"/>
            </w:tcBorders>
            <w:shd w:val="clear" w:color="auto" w:fill="auto"/>
            <w:noWrap/>
            <w:vAlign w:val="bottom"/>
            <w:hideMark/>
          </w:tcPr>
          <w:p w14:paraId="1B6D11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0,08 € </w:t>
            </w:r>
          </w:p>
        </w:tc>
        <w:tc>
          <w:tcPr>
            <w:tcW w:w="514" w:type="pct"/>
            <w:tcBorders>
              <w:top w:val="nil"/>
              <w:left w:val="nil"/>
              <w:bottom w:val="nil"/>
              <w:right w:val="nil"/>
            </w:tcBorders>
            <w:shd w:val="clear" w:color="auto" w:fill="auto"/>
            <w:noWrap/>
            <w:vAlign w:val="bottom"/>
            <w:hideMark/>
          </w:tcPr>
          <w:p w14:paraId="4256F24B"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184725A9"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5AC99EE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w:t>
            </w:r>
          </w:p>
        </w:tc>
        <w:tc>
          <w:tcPr>
            <w:tcW w:w="363" w:type="pct"/>
            <w:tcBorders>
              <w:top w:val="nil"/>
              <w:left w:val="nil"/>
              <w:bottom w:val="single" w:sz="4" w:space="0" w:color="auto"/>
              <w:right w:val="single" w:sz="4" w:space="0" w:color="auto"/>
            </w:tcBorders>
            <w:shd w:val="clear" w:color="auto" w:fill="auto"/>
            <w:noWrap/>
            <w:vAlign w:val="bottom"/>
            <w:hideMark/>
          </w:tcPr>
          <w:p w14:paraId="03E2FEC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855140</w:t>
            </w:r>
          </w:p>
        </w:tc>
        <w:tc>
          <w:tcPr>
            <w:tcW w:w="571" w:type="pct"/>
            <w:tcBorders>
              <w:top w:val="nil"/>
              <w:left w:val="nil"/>
              <w:bottom w:val="single" w:sz="4" w:space="0" w:color="auto"/>
              <w:right w:val="single" w:sz="4" w:space="0" w:color="auto"/>
            </w:tcBorders>
            <w:shd w:val="clear" w:color="auto" w:fill="auto"/>
            <w:noWrap/>
            <w:vAlign w:val="bottom"/>
            <w:hideMark/>
          </w:tcPr>
          <w:p w14:paraId="36541A5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1000010123</w:t>
            </w:r>
          </w:p>
        </w:tc>
        <w:tc>
          <w:tcPr>
            <w:tcW w:w="1197" w:type="pct"/>
            <w:tcBorders>
              <w:top w:val="nil"/>
              <w:left w:val="nil"/>
              <w:bottom w:val="single" w:sz="4" w:space="0" w:color="auto"/>
              <w:right w:val="single" w:sz="4" w:space="0" w:color="auto"/>
            </w:tcBorders>
            <w:shd w:val="clear" w:color="auto" w:fill="auto"/>
            <w:vAlign w:val="bottom"/>
            <w:hideMark/>
          </w:tcPr>
          <w:p w14:paraId="5383487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MASKA KIRURŠKA Z ELASTIKO</w:t>
            </w:r>
          </w:p>
        </w:tc>
        <w:tc>
          <w:tcPr>
            <w:tcW w:w="388" w:type="pct"/>
            <w:tcBorders>
              <w:top w:val="nil"/>
              <w:left w:val="nil"/>
              <w:bottom w:val="single" w:sz="4" w:space="0" w:color="auto"/>
              <w:right w:val="single" w:sz="4" w:space="0" w:color="auto"/>
            </w:tcBorders>
            <w:shd w:val="clear" w:color="auto" w:fill="auto"/>
            <w:noWrap/>
            <w:vAlign w:val="bottom"/>
            <w:hideMark/>
          </w:tcPr>
          <w:p w14:paraId="6E807E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52803E4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1CE2C3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0,6954</w:t>
            </w:r>
          </w:p>
        </w:tc>
        <w:tc>
          <w:tcPr>
            <w:tcW w:w="581" w:type="pct"/>
            <w:tcBorders>
              <w:top w:val="nil"/>
              <w:left w:val="nil"/>
              <w:bottom w:val="single" w:sz="4" w:space="0" w:color="auto"/>
              <w:right w:val="single" w:sz="4" w:space="0" w:color="auto"/>
            </w:tcBorders>
            <w:shd w:val="clear" w:color="auto" w:fill="auto"/>
            <w:noWrap/>
            <w:vAlign w:val="bottom"/>
            <w:hideMark/>
          </w:tcPr>
          <w:p w14:paraId="427C63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0,70 € </w:t>
            </w:r>
          </w:p>
        </w:tc>
        <w:tc>
          <w:tcPr>
            <w:tcW w:w="514" w:type="pct"/>
            <w:tcBorders>
              <w:top w:val="nil"/>
              <w:left w:val="nil"/>
              <w:bottom w:val="nil"/>
              <w:right w:val="nil"/>
            </w:tcBorders>
            <w:shd w:val="clear" w:color="auto" w:fill="auto"/>
            <w:noWrap/>
            <w:vAlign w:val="bottom"/>
            <w:hideMark/>
          </w:tcPr>
          <w:p w14:paraId="391290BB"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35CA3F11" w14:textId="77777777" w:rsidTr="0016774B">
        <w:trPr>
          <w:trHeight w:val="46"/>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7C7C82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w:t>
            </w:r>
          </w:p>
        </w:tc>
        <w:tc>
          <w:tcPr>
            <w:tcW w:w="363" w:type="pct"/>
            <w:tcBorders>
              <w:top w:val="nil"/>
              <w:left w:val="nil"/>
              <w:bottom w:val="single" w:sz="4" w:space="0" w:color="auto"/>
              <w:right w:val="single" w:sz="4" w:space="0" w:color="auto"/>
            </w:tcBorders>
            <w:shd w:val="clear" w:color="auto" w:fill="auto"/>
            <w:noWrap/>
            <w:vAlign w:val="bottom"/>
            <w:hideMark/>
          </w:tcPr>
          <w:p w14:paraId="4F96661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500542</w:t>
            </w:r>
          </w:p>
        </w:tc>
        <w:tc>
          <w:tcPr>
            <w:tcW w:w="571" w:type="pct"/>
            <w:tcBorders>
              <w:top w:val="nil"/>
              <w:left w:val="nil"/>
              <w:bottom w:val="single" w:sz="4" w:space="0" w:color="auto"/>
              <w:right w:val="single" w:sz="4" w:space="0" w:color="auto"/>
            </w:tcBorders>
            <w:shd w:val="clear" w:color="auto" w:fill="auto"/>
            <w:noWrap/>
            <w:vAlign w:val="bottom"/>
            <w:hideMark/>
          </w:tcPr>
          <w:p w14:paraId="57D78F3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309110</w:t>
            </w:r>
          </w:p>
        </w:tc>
        <w:tc>
          <w:tcPr>
            <w:tcW w:w="1197" w:type="pct"/>
            <w:tcBorders>
              <w:top w:val="nil"/>
              <w:left w:val="nil"/>
              <w:bottom w:val="single" w:sz="4" w:space="0" w:color="auto"/>
              <w:right w:val="single" w:sz="4" w:space="0" w:color="auto"/>
            </w:tcBorders>
            <w:shd w:val="clear" w:color="auto" w:fill="auto"/>
            <w:vAlign w:val="bottom"/>
            <w:hideMark/>
          </w:tcPr>
          <w:p w14:paraId="039F264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BRIZGA 10ML PVC</w:t>
            </w:r>
          </w:p>
        </w:tc>
        <w:tc>
          <w:tcPr>
            <w:tcW w:w="388" w:type="pct"/>
            <w:tcBorders>
              <w:top w:val="nil"/>
              <w:left w:val="nil"/>
              <w:bottom w:val="single" w:sz="4" w:space="0" w:color="auto"/>
              <w:right w:val="single" w:sz="4" w:space="0" w:color="auto"/>
            </w:tcBorders>
            <w:shd w:val="clear" w:color="auto" w:fill="auto"/>
            <w:noWrap/>
            <w:vAlign w:val="bottom"/>
            <w:hideMark/>
          </w:tcPr>
          <w:p w14:paraId="0B8C22B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w:t>
            </w:r>
          </w:p>
        </w:tc>
        <w:tc>
          <w:tcPr>
            <w:tcW w:w="681" w:type="pct"/>
            <w:tcBorders>
              <w:top w:val="nil"/>
              <w:left w:val="nil"/>
              <w:bottom w:val="single" w:sz="4" w:space="0" w:color="auto"/>
              <w:right w:val="single" w:sz="4" w:space="0" w:color="auto"/>
            </w:tcBorders>
            <w:shd w:val="clear" w:color="auto" w:fill="auto"/>
            <w:noWrap/>
            <w:vAlign w:val="bottom"/>
            <w:hideMark/>
          </w:tcPr>
          <w:p w14:paraId="1A1CDE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nil"/>
              <w:left w:val="nil"/>
              <w:bottom w:val="single" w:sz="4" w:space="0" w:color="auto"/>
              <w:right w:val="single" w:sz="4" w:space="0" w:color="auto"/>
            </w:tcBorders>
            <w:shd w:val="clear" w:color="auto" w:fill="auto"/>
            <w:noWrap/>
            <w:vAlign w:val="bottom"/>
            <w:hideMark/>
          </w:tcPr>
          <w:p w14:paraId="6082B0C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0,0323</w:t>
            </w:r>
          </w:p>
        </w:tc>
        <w:tc>
          <w:tcPr>
            <w:tcW w:w="581" w:type="pct"/>
            <w:tcBorders>
              <w:top w:val="nil"/>
              <w:left w:val="nil"/>
              <w:bottom w:val="single" w:sz="4" w:space="0" w:color="auto"/>
              <w:right w:val="single" w:sz="4" w:space="0" w:color="auto"/>
            </w:tcBorders>
            <w:shd w:val="clear" w:color="auto" w:fill="auto"/>
            <w:noWrap/>
            <w:vAlign w:val="bottom"/>
            <w:hideMark/>
          </w:tcPr>
          <w:p w14:paraId="10C437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0,03 € </w:t>
            </w:r>
          </w:p>
        </w:tc>
        <w:tc>
          <w:tcPr>
            <w:tcW w:w="514" w:type="pct"/>
            <w:tcBorders>
              <w:top w:val="nil"/>
              <w:left w:val="nil"/>
              <w:bottom w:val="nil"/>
              <w:right w:val="nil"/>
            </w:tcBorders>
            <w:shd w:val="clear" w:color="auto" w:fill="auto"/>
            <w:noWrap/>
            <w:vAlign w:val="bottom"/>
            <w:hideMark/>
          </w:tcPr>
          <w:p w14:paraId="5280E47C"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16A377A2" w14:textId="77777777" w:rsidTr="0016774B">
        <w:trPr>
          <w:trHeight w:val="46"/>
        </w:trPr>
        <w:tc>
          <w:tcPr>
            <w:tcW w:w="363" w:type="pct"/>
            <w:tcBorders>
              <w:top w:val="single" w:sz="4" w:space="0" w:color="auto"/>
              <w:left w:val="single" w:sz="4" w:space="0" w:color="auto"/>
              <w:bottom w:val="nil"/>
              <w:right w:val="single" w:sz="4" w:space="0" w:color="auto"/>
            </w:tcBorders>
            <w:shd w:val="clear" w:color="auto" w:fill="auto"/>
            <w:noWrap/>
            <w:vAlign w:val="bottom"/>
            <w:hideMark/>
          </w:tcPr>
          <w:p w14:paraId="2AE236B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w:t>
            </w:r>
          </w:p>
        </w:tc>
        <w:tc>
          <w:tcPr>
            <w:tcW w:w="363" w:type="pct"/>
            <w:tcBorders>
              <w:top w:val="single" w:sz="4" w:space="0" w:color="auto"/>
              <w:left w:val="nil"/>
              <w:bottom w:val="nil"/>
              <w:right w:val="single" w:sz="4" w:space="0" w:color="auto"/>
            </w:tcBorders>
            <w:shd w:val="clear" w:color="auto" w:fill="auto"/>
            <w:noWrap/>
            <w:vAlign w:val="bottom"/>
            <w:hideMark/>
          </w:tcPr>
          <w:p w14:paraId="435A8F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571" w:type="pct"/>
            <w:tcBorders>
              <w:top w:val="single" w:sz="4" w:space="0" w:color="auto"/>
              <w:left w:val="nil"/>
              <w:bottom w:val="nil"/>
              <w:right w:val="single" w:sz="4" w:space="0" w:color="auto"/>
            </w:tcBorders>
            <w:shd w:val="clear" w:color="auto" w:fill="auto"/>
            <w:noWrap/>
            <w:vAlign w:val="bottom"/>
            <w:hideMark/>
          </w:tcPr>
          <w:p w14:paraId="0446E7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97" w:type="pct"/>
            <w:tcBorders>
              <w:top w:val="single" w:sz="4" w:space="0" w:color="auto"/>
              <w:left w:val="nil"/>
              <w:bottom w:val="nil"/>
              <w:right w:val="single" w:sz="4" w:space="0" w:color="auto"/>
            </w:tcBorders>
            <w:shd w:val="clear" w:color="auto" w:fill="auto"/>
            <w:vAlign w:val="bottom"/>
            <w:hideMark/>
          </w:tcPr>
          <w:p w14:paraId="2F33573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GEL ZA UZ</w:t>
            </w:r>
          </w:p>
        </w:tc>
        <w:tc>
          <w:tcPr>
            <w:tcW w:w="388" w:type="pct"/>
            <w:tcBorders>
              <w:top w:val="single" w:sz="4" w:space="0" w:color="auto"/>
              <w:left w:val="nil"/>
              <w:bottom w:val="nil"/>
              <w:right w:val="single" w:sz="4" w:space="0" w:color="auto"/>
            </w:tcBorders>
            <w:shd w:val="clear" w:color="auto" w:fill="auto"/>
            <w:noWrap/>
            <w:vAlign w:val="bottom"/>
            <w:hideMark/>
          </w:tcPr>
          <w:p w14:paraId="5FA540E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0,1</w:t>
            </w: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61B8B88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KOM</w:t>
            </w:r>
          </w:p>
        </w:tc>
        <w:tc>
          <w:tcPr>
            <w:tcW w:w="340" w:type="pct"/>
            <w:tcBorders>
              <w:top w:val="single" w:sz="4" w:space="0" w:color="auto"/>
              <w:left w:val="single" w:sz="4" w:space="0" w:color="auto"/>
              <w:bottom w:val="nil"/>
              <w:right w:val="single" w:sz="4" w:space="0" w:color="auto"/>
            </w:tcBorders>
            <w:shd w:val="clear" w:color="auto" w:fill="auto"/>
            <w:noWrap/>
            <w:vAlign w:val="bottom"/>
            <w:hideMark/>
          </w:tcPr>
          <w:p w14:paraId="068C43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0,598</w:t>
            </w:r>
          </w:p>
        </w:tc>
        <w:tc>
          <w:tcPr>
            <w:tcW w:w="581" w:type="pct"/>
            <w:tcBorders>
              <w:top w:val="single" w:sz="4" w:space="0" w:color="auto"/>
              <w:left w:val="nil"/>
              <w:bottom w:val="nil"/>
              <w:right w:val="single" w:sz="4" w:space="0" w:color="auto"/>
            </w:tcBorders>
            <w:shd w:val="clear" w:color="auto" w:fill="auto"/>
            <w:noWrap/>
            <w:vAlign w:val="bottom"/>
            <w:hideMark/>
          </w:tcPr>
          <w:p w14:paraId="4E17957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0,06 € </w:t>
            </w:r>
          </w:p>
        </w:tc>
        <w:tc>
          <w:tcPr>
            <w:tcW w:w="514" w:type="pct"/>
            <w:tcBorders>
              <w:top w:val="nil"/>
              <w:left w:val="nil"/>
              <w:bottom w:val="nil"/>
              <w:right w:val="nil"/>
            </w:tcBorders>
            <w:shd w:val="clear" w:color="auto" w:fill="auto"/>
            <w:noWrap/>
            <w:vAlign w:val="bottom"/>
            <w:hideMark/>
          </w:tcPr>
          <w:p w14:paraId="79CF0944" w14:textId="77777777" w:rsidR="00FE461F" w:rsidRPr="005E4BEA" w:rsidRDefault="00FE461F" w:rsidP="00FE461F">
            <w:pPr>
              <w:spacing w:line="240" w:lineRule="auto"/>
              <w:jc w:val="both"/>
              <w:rPr>
                <w:rFonts w:cs="Arial"/>
                <w:color w:val="808080" w:themeColor="background1" w:themeShade="80"/>
                <w:szCs w:val="20"/>
              </w:rPr>
            </w:pPr>
          </w:p>
        </w:tc>
      </w:tr>
      <w:tr w:rsidR="00FE461F" w:rsidRPr="005E4BEA" w14:paraId="7043E2FE" w14:textId="77777777" w:rsidTr="0016774B">
        <w:trPr>
          <w:trHeight w:val="46"/>
        </w:trPr>
        <w:tc>
          <w:tcPr>
            <w:tcW w:w="3905" w:type="pct"/>
            <w:gridSpan w:val="7"/>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8313422" w14:textId="77777777" w:rsidR="00FE461F" w:rsidRPr="005E4BEA" w:rsidRDefault="00FE461F" w:rsidP="00FE461F">
            <w:pPr>
              <w:spacing w:line="240" w:lineRule="auto"/>
              <w:rPr>
                <w:rFonts w:cs="Arial"/>
                <w:b/>
                <w:bCs/>
                <w:color w:val="808080" w:themeColor="background1" w:themeShade="80"/>
                <w:szCs w:val="20"/>
              </w:rPr>
            </w:pPr>
            <w:r w:rsidRPr="005E4BEA">
              <w:rPr>
                <w:rFonts w:cs="Arial"/>
                <w:b/>
                <w:bCs/>
                <w:color w:val="808080" w:themeColor="background1" w:themeShade="80"/>
                <w:szCs w:val="20"/>
              </w:rPr>
              <w:t xml:space="preserve">Skupaj neposredni materialni stroški za </w:t>
            </w:r>
            <w:proofErr w:type="spellStart"/>
            <w:r w:rsidRPr="005E4BEA">
              <w:rPr>
                <w:rFonts w:cs="Arial"/>
                <w:b/>
                <w:bCs/>
                <w:color w:val="808080" w:themeColor="background1" w:themeShade="80"/>
                <w:szCs w:val="20"/>
              </w:rPr>
              <w:t>urodinamsko</w:t>
            </w:r>
            <w:proofErr w:type="spellEnd"/>
            <w:r w:rsidRPr="005E4BEA">
              <w:rPr>
                <w:rFonts w:cs="Arial"/>
                <w:b/>
                <w:bCs/>
                <w:color w:val="808080" w:themeColor="background1" w:themeShade="80"/>
                <w:szCs w:val="20"/>
              </w:rPr>
              <w:t xml:space="preserve"> preiskavo</w:t>
            </w:r>
          </w:p>
        </w:tc>
        <w:tc>
          <w:tcPr>
            <w:tcW w:w="581" w:type="pct"/>
            <w:tcBorders>
              <w:top w:val="single" w:sz="8" w:space="0" w:color="auto"/>
              <w:left w:val="nil"/>
              <w:bottom w:val="single" w:sz="8" w:space="0" w:color="auto"/>
              <w:right w:val="single" w:sz="8" w:space="0" w:color="auto"/>
            </w:tcBorders>
            <w:shd w:val="clear" w:color="000000" w:fill="66FFFF"/>
            <w:noWrap/>
            <w:vAlign w:val="center"/>
            <w:hideMark/>
          </w:tcPr>
          <w:p w14:paraId="32A9AB42" w14:textId="77777777" w:rsidR="00FE461F" w:rsidRPr="005E4BEA" w:rsidRDefault="00FE461F" w:rsidP="00FE461F">
            <w:pPr>
              <w:spacing w:line="240" w:lineRule="auto"/>
              <w:rPr>
                <w:rFonts w:cs="Arial"/>
                <w:b/>
                <w:bCs/>
                <w:color w:val="808080" w:themeColor="background1" w:themeShade="80"/>
                <w:szCs w:val="20"/>
              </w:rPr>
            </w:pPr>
            <w:r w:rsidRPr="005E4BEA">
              <w:rPr>
                <w:rFonts w:cs="Arial"/>
                <w:b/>
                <w:bCs/>
                <w:color w:val="808080" w:themeColor="background1" w:themeShade="80"/>
                <w:szCs w:val="20"/>
              </w:rPr>
              <w:t xml:space="preserve"> 143,52 € </w:t>
            </w:r>
          </w:p>
        </w:tc>
        <w:tc>
          <w:tcPr>
            <w:tcW w:w="514" w:type="pct"/>
            <w:tcBorders>
              <w:top w:val="nil"/>
              <w:left w:val="nil"/>
              <w:bottom w:val="nil"/>
              <w:right w:val="nil"/>
            </w:tcBorders>
            <w:shd w:val="clear" w:color="000000" w:fill="66FFFF"/>
            <w:vAlign w:val="bottom"/>
            <w:hideMark/>
          </w:tcPr>
          <w:p w14:paraId="321BD194" w14:textId="77777777" w:rsidR="00FE461F" w:rsidRPr="005E4BEA" w:rsidRDefault="00FE461F" w:rsidP="00FE461F">
            <w:pPr>
              <w:spacing w:line="240" w:lineRule="auto"/>
              <w:rPr>
                <w:rFonts w:cs="Arial"/>
                <w:color w:val="808080" w:themeColor="background1" w:themeShade="80"/>
                <w:szCs w:val="20"/>
              </w:rPr>
            </w:pPr>
            <w:r w:rsidRPr="005E4BEA">
              <w:rPr>
                <w:rFonts w:cs="Arial"/>
                <w:color w:val="808080" w:themeColor="background1" w:themeShade="80"/>
                <w:szCs w:val="20"/>
              </w:rPr>
              <w:t xml:space="preserve">plačilo materialnih </w:t>
            </w:r>
            <w:r w:rsidRPr="005E4BEA">
              <w:rPr>
                <w:rFonts w:cs="Arial"/>
                <w:color w:val="808080" w:themeColor="background1" w:themeShade="80"/>
                <w:szCs w:val="20"/>
              </w:rPr>
              <w:lastRenderedPageBreak/>
              <w:t>stroškov kot LZM</w:t>
            </w:r>
          </w:p>
        </w:tc>
      </w:tr>
      <w:tr w:rsidR="00FE461F" w:rsidRPr="005E4BEA" w14:paraId="60BCF45D" w14:textId="77777777" w:rsidTr="0016774B">
        <w:trPr>
          <w:trHeight w:val="46"/>
        </w:trPr>
        <w:tc>
          <w:tcPr>
            <w:tcW w:w="3905" w:type="pct"/>
            <w:gridSpan w:val="7"/>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7682E5E" w14:textId="77777777" w:rsidR="00FE461F" w:rsidRPr="005E4BEA" w:rsidRDefault="00FE461F" w:rsidP="00FE461F">
            <w:pPr>
              <w:spacing w:line="240" w:lineRule="auto"/>
              <w:rPr>
                <w:rFonts w:cs="Arial"/>
                <w:b/>
                <w:bCs/>
                <w:color w:val="808080" w:themeColor="background1" w:themeShade="80"/>
                <w:szCs w:val="20"/>
              </w:rPr>
            </w:pPr>
            <w:r w:rsidRPr="005E4BEA">
              <w:rPr>
                <w:rFonts w:cs="Arial"/>
                <w:b/>
                <w:bCs/>
                <w:color w:val="808080" w:themeColor="background1" w:themeShade="80"/>
                <w:szCs w:val="20"/>
              </w:rPr>
              <w:lastRenderedPageBreak/>
              <w:t xml:space="preserve">zgolj strošek amortizacije aparata za </w:t>
            </w:r>
            <w:proofErr w:type="spellStart"/>
            <w:r w:rsidRPr="005E4BEA">
              <w:rPr>
                <w:rFonts w:cs="Arial"/>
                <w:b/>
                <w:bCs/>
                <w:color w:val="808080" w:themeColor="background1" w:themeShade="80"/>
                <w:szCs w:val="20"/>
              </w:rPr>
              <w:t>urodinamiko</w:t>
            </w:r>
            <w:proofErr w:type="spellEnd"/>
            <w:r w:rsidRPr="005E4BEA">
              <w:rPr>
                <w:rFonts w:cs="Arial"/>
                <w:b/>
                <w:bCs/>
                <w:color w:val="808080" w:themeColor="background1" w:themeShade="80"/>
                <w:szCs w:val="20"/>
              </w:rPr>
              <w:t>/preiskavo</w:t>
            </w:r>
          </w:p>
        </w:tc>
        <w:tc>
          <w:tcPr>
            <w:tcW w:w="581" w:type="pct"/>
            <w:tcBorders>
              <w:top w:val="nil"/>
              <w:left w:val="nil"/>
              <w:bottom w:val="single" w:sz="8" w:space="0" w:color="auto"/>
              <w:right w:val="single" w:sz="8" w:space="0" w:color="auto"/>
            </w:tcBorders>
            <w:shd w:val="clear" w:color="000000" w:fill="FFFF00"/>
            <w:noWrap/>
            <w:vAlign w:val="center"/>
            <w:hideMark/>
          </w:tcPr>
          <w:p w14:paraId="72C7D557" w14:textId="77777777" w:rsidR="00FE461F" w:rsidRPr="005E4BEA" w:rsidRDefault="00FE461F" w:rsidP="00FE461F">
            <w:pPr>
              <w:spacing w:line="240" w:lineRule="auto"/>
              <w:rPr>
                <w:rFonts w:cs="Arial"/>
                <w:b/>
                <w:bCs/>
                <w:color w:val="808080" w:themeColor="background1" w:themeShade="80"/>
                <w:szCs w:val="20"/>
              </w:rPr>
            </w:pPr>
            <w:r w:rsidRPr="005E4BEA">
              <w:rPr>
                <w:rFonts w:cs="Arial"/>
                <w:b/>
                <w:bCs/>
                <w:color w:val="808080" w:themeColor="background1" w:themeShade="80"/>
                <w:szCs w:val="20"/>
              </w:rPr>
              <w:t xml:space="preserve"> 47,42 € </w:t>
            </w:r>
          </w:p>
        </w:tc>
        <w:tc>
          <w:tcPr>
            <w:tcW w:w="514" w:type="pct"/>
            <w:tcBorders>
              <w:top w:val="nil"/>
              <w:left w:val="nil"/>
              <w:bottom w:val="nil"/>
              <w:right w:val="nil"/>
            </w:tcBorders>
            <w:shd w:val="clear" w:color="auto" w:fill="auto"/>
            <w:noWrap/>
            <w:vAlign w:val="bottom"/>
            <w:hideMark/>
          </w:tcPr>
          <w:p w14:paraId="77505AEC" w14:textId="77777777" w:rsidR="00FE461F" w:rsidRPr="005E4BEA" w:rsidRDefault="00FE461F" w:rsidP="00FE461F">
            <w:pPr>
              <w:spacing w:line="240" w:lineRule="auto"/>
              <w:rPr>
                <w:rFonts w:cs="Arial"/>
                <w:b/>
                <w:bCs/>
                <w:color w:val="808080" w:themeColor="background1" w:themeShade="80"/>
                <w:szCs w:val="20"/>
              </w:rPr>
            </w:pPr>
          </w:p>
        </w:tc>
      </w:tr>
    </w:tbl>
    <w:p w14:paraId="4BF76B8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Finančno oceno lahko podamo zgolj za potrebe pacientov, ki so jih naredili kot storitev </w:t>
      </w:r>
      <w:proofErr w:type="spellStart"/>
      <w:r w:rsidRPr="005E4BEA">
        <w:rPr>
          <w:rFonts w:cs="Arial"/>
          <w:i/>
          <w:iCs/>
          <w:color w:val="808080" w:themeColor="background1" w:themeShade="80"/>
          <w:szCs w:val="20"/>
        </w:rPr>
        <w:t>urodinamike</w:t>
      </w:r>
      <w:proofErr w:type="spellEnd"/>
      <w:r w:rsidRPr="005E4BEA">
        <w:rPr>
          <w:rFonts w:cs="Arial"/>
          <w:i/>
          <w:iCs/>
          <w:color w:val="808080" w:themeColor="background1" w:themeShade="80"/>
          <w:szCs w:val="20"/>
        </w:rPr>
        <w:t xml:space="preserve"> v urološki ambulanti SB Slovenj Gradec. Ocenjujejo, da bodo opravili 130 teh storitev na letni ravni. Finančni učinek predlaganega ukrepa bo pod navedenimi pogoji 18.658 EUR.</w:t>
      </w:r>
    </w:p>
    <w:p w14:paraId="6DE4E86A" w14:textId="77777777" w:rsidR="00FE461F" w:rsidRPr="005E4BEA" w:rsidRDefault="00FE461F" w:rsidP="00FE461F">
      <w:pPr>
        <w:spacing w:line="240" w:lineRule="auto"/>
        <w:jc w:val="both"/>
        <w:rPr>
          <w:rFonts w:cs="Arial"/>
          <w:i/>
          <w:iCs/>
          <w:color w:val="808080" w:themeColor="background1" w:themeShade="80"/>
          <w:szCs w:val="20"/>
        </w:rPr>
      </w:pPr>
    </w:p>
    <w:p w14:paraId="231D7D75" w14:textId="77777777" w:rsidR="0085180C" w:rsidRPr="005E4BEA" w:rsidRDefault="0085180C" w:rsidP="0085180C">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D62C7E6" w14:textId="77777777" w:rsidR="0085180C" w:rsidRPr="005E4BEA" w:rsidRDefault="0085180C" w:rsidP="0085180C">
      <w:pPr>
        <w:spacing w:line="0" w:lineRule="atLeast"/>
        <w:jc w:val="both"/>
        <w:rPr>
          <w:rFonts w:eastAsia="Arial Narrow" w:cs="Arial"/>
          <w:szCs w:val="20"/>
          <w:lang w:eastAsia="sl-SI"/>
        </w:rPr>
      </w:pPr>
    </w:p>
    <w:p w14:paraId="119B8698" w14:textId="37679057"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in Priloga I/d Splošnega dogovora za pogodbeno leto 2022 ne spremenita.</w:t>
      </w:r>
    </w:p>
    <w:p w14:paraId="01B52A90" w14:textId="1B19189F" w:rsidR="00FE461F" w:rsidRPr="005E4BEA" w:rsidRDefault="00FE461F" w:rsidP="00FE461F">
      <w:pPr>
        <w:spacing w:line="240" w:lineRule="auto"/>
        <w:jc w:val="both"/>
        <w:rPr>
          <w:rFonts w:cs="Arial"/>
          <w:i/>
          <w:iCs/>
          <w:color w:val="808080" w:themeColor="background1" w:themeShade="80"/>
          <w:szCs w:val="20"/>
        </w:rPr>
      </w:pPr>
    </w:p>
    <w:p w14:paraId="2CD25C63" w14:textId="77777777" w:rsidR="0085180C" w:rsidRPr="005E4BEA" w:rsidRDefault="0085180C" w:rsidP="00FE461F">
      <w:pPr>
        <w:spacing w:line="240" w:lineRule="auto"/>
        <w:jc w:val="both"/>
        <w:rPr>
          <w:rFonts w:cs="Arial"/>
          <w:i/>
          <w:iCs/>
          <w:color w:val="808080" w:themeColor="background1" w:themeShade="80"/>
          <w:szCs w:val="20"/>
        </w:rPr>
      </w:pPr>
    </w:p>
    <w:p w14:paraId="328A5DFB" w14:textId="2A46C958"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(29)</w:t>
      </w:r>
    </w:p>
    <w:p w14:paraId="0144378F" w14:textId="77777777" w:rsidR="00346825" w:rsidRPr="005E4BEA" w:rsidRDefault="00346825" w:rsidP="00346825">
      <w:pPr>
        <w:spacing w:line="240" w:lineRule="auto"/>
        <w:jc w:val="both"/>
        <w:rPr>
          <w:rFonts w:cs="Arial"/>
          <w:i/>
          <w:iCs/>
          <w:color w:val="808080" w:themeColor="background1" w:themeShade="80"/>
          <w:szCs w:val="20"/>
        </w:rPr>
      </w:pPr>
    </w:p>
    <w:p w14:paraId="24A88133" w14:textId="67FE3124" w:rsidR="00FE461F" w:rsidRPr="005E4BEA" w:rsidRDefault="00346825" w:rsidP="0085180C">
      <w:pPr>
        <w:spacing w:line="240" w:lineRule="auto"/>
        <w:jc w:val="both"/>
        <w:rPr>
          <w:rFonts w:cs="Arial"/>
          <w:i/>
          <w:iCs/>
          <w:color w:val="808080" w:themeColor="background1" w:themeShade="80"/>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Pr="005E4BEA">
        <w:rPr>
          <w:rFonts w:cs="Arial"/>
          <w:szCs w:val="20"/>
        </w:rPr>
        <w:t xml:space="preserve"> 16. členu se v (1) odstavku doda</w:t>
      </w:r>
      <w:r w:rsidR="0085180C" w:rsidRPr="005E4BEA">
        <w:rPr>
          <w:rFonts w:cs="Arial"/>
          <w:i/>
          <w:iCs/>
          <w:color w:val="808080" w:themeColor="background1" w:themeShade="80"/>
          <w:szCs w:val="20"/>
        </w:rPr>
        <w:t xml:space="preserve"> </w:t>
      </w:r>
      <w:r w:rsidR="00FE461F" w:rsidRPr="005E4BEA">
        <w:rPr>
          <w:rFonts w:cs="Arial"/>
          <w:szCs w:val="20"/>
        </w:rPr>
        <w:t>nova točka:</w:t>
      </w:r>
    </w:p>
    <w:p w14:paraId="6F71353A" w14:textId="1DB02266" w:rsidR="00FE461F" w:rsidRPr="005E4BEA" w:rsidRDefault="00FE461F" w:rsidP="0085180C">
      <w:pPr>
        <w:spacing w:line="240" w:lineRule="auto"/>
        <w:jc w:val="both"/>
        <w:rPr>
          <w:rFonts w:cs="Arial"/>
          <w:iCs/>
          <w:szCs w:val="20"/>
        </w:rPr>
      </w:pPr>
      <w:r w:rsidRPr="005E4BEA">
        <w:rPr>
          <w:rFonts w:cs="Arial"/>
          <w:iCs/>
          <w:szCs w:val="20"/>
        </w:rPr>
        <w:t>(101 300 – akutna bolnišnična obravnava)</w:t>
      </w:r>
    </w:p>
    <w:p w14:paraId="09246140" w14:textId="77777777" w:rsidR="0085180C" w:rsidRPr="005E4BEA" w:rsidRDefault="0085180C" w:rsidP="00FE461F">
      <w:pPr>
        <w:spacing w:line="240" w:lineRule="auto"/>
        <w:rPr>
          <w:rFonts w:cs="Arial"/>
          <w:iCs/>
          <w:szCs w:val="20"/>
        </w:rPr>
      </w:pPr>
    </w:p>
    <w:p w14:paraId="6513D8A5" w14:textId="77777777" w:rsidR="00FE461F" w:rsidRPr="005E4BEA" w:rsidRDefault="00FE461F" w:rsidP="00FE461F">
      <w:pPr>
        <w:spacing w:line="240" w:lineRule="auto"/>
        <w:rPr>
          <w:rFonts w:cs="Arial"/>
          <w:b/>
          <w:bCs/>
          <w:szCs w:val="20"/>
        </w:rPr>
      </w:pPr>
      <w:r w:rsidRPr="005E4BEA">
        <w:rPr>
          <w:rFonts w:cs="Arial"/>
          <w:b/>
          <w:bCs/>
          <w:szCs w:val="20"/>
        </w:rPr>
        <w:t>V Prilogi I/d se doda naslednja postavka:</w:t>
      </w:r>
    </w:p>
    <w:tbl>
      <w:tblPr>
        <w:tblW w:w="8377" w:type="dxa"/>
        <w:tblCellMar>
          <w:left w:w="70" w:type="dxa"/>
          <w:right w:w="70" w:type="dxa"/>
        </w:tblCellMar>
        <w:tblLook w:val="04A0" w:firstRow="1" w:lastRow="0" w:firstColumn="1" w:lastColumn="0" w:noHBand="0" w:noVBand="1"/>
      </w:tblPr>
      <w:tblGrid>
        <w:gridCol w:w="1142"/>
        <w:gridCol w:w="963"/>
        <w:gridCol w:w="3449"/>
        <w:gridCol w:w="1331"/>
        <w:gridCol w:w="1492"/>
      </w:tblGrid>
      <w:tr w:rsidR="00FE461F" w:rsidRPr="005E4BEA" w14:paraId="40AA1F2A" w14:textId="77777777" w:rsidTr="0085180C">
        <w:trPr>
          <w:trHeight w:val="102"/>
        </w:trPr>
        <w:tc>
          <w:tcPr>
            <w:tcW w:w="1109" w:type="dxa"/>
            <w:tcBorders>
              <w:top w:val="single" w:sz="4" w:space="0" w:color="538DD5"/>
              <w:left w:val="single" w:sz="4" w:space="0" w:color="538DD5"/>
              <w:bottom w:val="nil"/>
              <w:right w:val="single" w:sz="4" w:space="0" w:color="538DD5"/>
            </w:tcBorders>
            <w:shd w:val="clear" w:color="auto" w:fill="auto"/>
            <w:noWrap/>
            <w:vAlign w:val="center"/>
            <w:hideMark/>
          </w:tcPr>
          <w:p w14:paraId="456B2568"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16. člen</w:t>
            </w:r>
          </w:p>
        </w:tc>
        <w:tc>
          <w:tcPr>
            <w:tcW w:w="964" w:type="dxa"/>
            <w:tcBorders>
              <w:top w:val="single" w:sz="4" w:space="0" w:color="538DD5"/>
              <w:left w:val="nil"/>
              <w:bottom w:val="nil"/>
              <w:right w:val="single" w:sz="4" w:space="0" w:color="538DD5"/>
            </w:tcBorders>
            <w:shd w:val="clear" w:color="auto" w:fill="auto"/>
            <w:vAlign w:val="center"/>
            <w:hideMark/>
          </w:tcPr>
          <w:p w14:paraId="3A86DD19"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Šifra po</w:t>
            </w:r>
          </w:p>
        </w:tc>
        <w:tc>
          <w:tcPr>
            <w:tcW w:w="3470" w:type="dxa"/>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62DCEB83"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Ločeno zaračunljivi materiali in preiskave</w:t>
            </w:r>
          </w:p>
        </w:tc>
        <w:tc>
          <w:tcPr>
            <w:tcW w:w="1336" w:type="dxa"/>
            <w:tcBorders>
              <w:top w:val="single" w:sz="4" w:space="0" w:color="538DD5"/>
              <w:left w:val="nil"/>
              <w:bottom w:val="nil"/>
              <w:right w:val="single" w:sz="4" w:space="0" w:color="538DD5"/>
            </w:tcBorders>
            <w:shd w:val="clear" w:color="auto" w:fill="auto"/>
            <w:vAlign w:val="center"/>
            <w:hideMark/>
          </w:tcPr>
          <w:p w14:paraId="5043DBDA"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Merska</w:t>
            </w:r>
          </w:p>
        </w:tc>
        <w:tc>
          <w:tcPr>
            <w:tcW w:w="1498" w:type="dxa"/>
            <w:tcBorders>
              <w:top w:val="single" w:sz="4" w:space="0" w:color="538DD5"/>
              <w:left w:val="nil"/>
              <w:bottom w:val="nil"/>
              <w:right w:val="nil"/>
            </w:tcBorders>
            <w:shd w:val="clear" w:color="auto" w:fill="auto"/>
            <w:vAlign w:val="center"/>
            <w:hideMark/>
          </w:tcPr>
          <w:p w14:paraId="56561D2D"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Tekoča cena za</w:t>
            </w:r>
          </w:p>
        </w:tc>
      </w:tr>
      <w:tr w:rsidR="00FE461F" w:rsidRPr="005E4BEA" w14:paraId="3A2701C3" w14:textId="77777777" w:rsidTr="0085180C">
        <w:trPr>
          <w:trHeight w:val="102"/>
        </w:trPr>
        <w:tc>
          <w:tcPr>
            <w:tcW w:w="1109" w:type="dxa"/>
            <w:tcBorders>
              <w:top w:val="nil"/>
              <w:left w:val="single" w:sz="4" w:space="0" w:color="538DD5"/>
              <w:bottom w:val="nil"/>
              <w:right w:val="single" w:sz="4" w:space="0" w:color="538DD5"/>
            </w:tcBorders>
            <w:shd w:val="clear" w:color="auto" w:fill="auto"/>
            <w:noWrap/>
            <w:vAlign w:val="center"/>
            <w:hideMark/>
          </w:tcPr>
          <w:p w14:paraId="597A639A"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(odstavek)</w:t>
            </w:r>
          </w:p>
        </w:tc>
        <w:tc>
          <w:tcPr>
            <w:tcW w:w="964" w:type="dxa"/>
            <w:tcBorders>
              <w:top w:val="nil"/>
              <w:left w:val="nil"/>
              <w:bottom w:val="nil"/>
              <w:right w:val="single" w:sz="4" w:space="0" w:color="538DD5"/>
            </w:tcBorders>
            <w:shd w:val="clear" w:color="auto" w:fill="auto"/>
            <w:vAlign w:val="center"/>
            <w:hideMark/>
          </w:tcPr>
          <w:p w14:paraId="474BE083"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 xml:space="preserve">šifrantu </w:t>
            </w:r>
          </w:p>
        </w:tc>
        <w:tc>
          <w:tcPr>
            <w:tcW w:w="3470" w:type="dxa"/>
            <w:vMerge/>
            <w:tcBorders>
              <w:top w:val="single" w:sz="4" w:space="0" w:color="538DD5"/>
              <w:left w:val="single" w:sz="4" w:space="0" w:color="538DD5"/>
              <w:bottom w:val="single" w:sz="4" w:space="0" w:color="538DD5"/>
              <w:right w:val="single" w:sz="4" w:space="0" w:color="538DD5"/>
            </w:tcBorders>
            <w:vAlign w:val="center"/>
            <w:hideMark/>
          </w:tcPr>
          <w:p w14:paraId="44F0EC10" w14:textId="77777777" w:rsidR="00FE461F" w:rsidRPr="005E4BEA" w:rsidRDefault="00FE461F" w:rsidP="00FE461F">
            <w:pPr>
              <w:spacing w:line="240" w:lineRule="auto"/>
              <w:rPr>
                <w:rFonts w:cs="Arial"/>
                <w:b/>
                <w:bCs/>
                <w:color w:val="0033CC"/>
                <w:szCs w:val="20"/>
              </w:rPr>
            </w:pPr>
          </w:p>
        </w:tc>
        <w:tc>
          <w:tcPr>
            <w:tcW w:w="1336" w:type="dxa"/>
            <w:tcBorders>
              <w:top w:val="nil"/>
              <w:left w:val="nil"/>
              <w:bottom w:val="nil"/>
              <w:right w:val="single" w:sz="4" w:space="0" w:color="538DD5"/>
            </w:tcBorders>
            <w:shd w:val="clear" w:color="auto" w:fill="auto"/>
            <w:vAlign w:val="center"/>
            <w:hideMark/>
          </w:tcPr>
          <w:p w14:paraId="699CFFEC"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enota</w:t>
            </w:r>
          </w:p>
        </w:tc>
        <w:tc>
          <w:tcPr>
            <w:tcW w:w="1498" w:type="dxa"/>
            <w:tcBorders>
              <w:top w:val="nil"/>
              <w:left w:val="nil"/>
              <w:bottom w:val="nil"/>
              <w:right w:val="nil"/>
            </w:tcBorders>
            <w:shd w:val="clear" w:color="auto" w:fill="auto"/>
            <w:vAlign w:val="center"/>
            <w:hideMark/>
          </w:tcPr>
          <w:p w14:paraId="4712DFF8"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 xml:space="preserve">mersko enoto </w:t>
            </w:r>
          </w:p>
        </w:tc>
      </w:tr>
      <w:tr w:rsidR="00FE461F" w:rsidRPr="005E4BEA" w14:paraId="5F2164B0" w14:textId="77777777" w:rsidTr="0085180C">
        <w:trPr>
          <w:trHeight w:val="102"/>
        </w:trPr>
        <w:tc>
          <w:tcPr>
            <w:tcW w:w="1109" w:type="dxa"/>
            <w:tcBorders>
              <w:top w:val="nil"/>
              <w:left w:val="single" w:sz="4" w:space="0" w:color="538DD5"/>
              <w:bottom w:val="single" w:sz="4" w:space="0" w:color="538DD5"/>
              <w:right w:val="single" w:sz="4" w:space="0" w:color="538DD5"/>
            </w:tcBorders>
            <w:shd w:val="clear" w:color="auto" w:fill="auto"/>
            <w:noWrap/>
            <w:vAlign w:val="center"/>
            <w:hideMark/>
          </w:tcPr>
          <w:p w14:paraId="057B796C"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točka</w:t>
            </w:r>
          </w:p>
        </w:tc>
        <w:tc>
          <w:tcPr>
            <w:tcW w:w="964" w:type="dxa"/>
            <w:tcBorders>
              <w:top w:val="nil"/>
              <w:left w:val="nil"/>
              <w:bottom w:val="single" w:sz="4" w:space="0" w:color="538DD5"/>
              <w:right w:val="single" w:sz="4" w:space="0" w:color="538DD5"/>
            </w:tcBorders>
            <w:shd w:val="clear" w:color="auto" w:fill="auto"/>
            <w:vAlign w:val="center"/>
            <w:hideMark/>
          </w:tcPr>
          <w:p w14:paraId="6CEDE711"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15.28</w:t>
            </w:r>
          </w:p>
        </w:tc>
        <w:tc>
          <w:tcPr>
            <w:tcW w:w="3470" w:type="dxa"/>
            <w:vMerge/>
            <w:tcBorders>
              <w:top w:val="single" w:sz="4" w:space="0" w:color="538DD5"/>
              <w:left w:val="single" w:sz="4" w:space="0" w:color="538DD5"/>
              <w:bottom w:val="single" w:sz="4" w:space="0" w:color="538DD5"/>
              <w:right w:val="single" w:sz="4" w:space="0" w:color="538DD5"/>
            </w:tcBorders>
            <w:vAlign w:val="center"/>
            <w:hideMark/>
          </w:tcPr>
          <w:p w14:paraId="7DC67846" w14:textId="77777777" w:rsidR="00FE461F" w:rsidRPr="005E4BEA" w:rsidRDefault="00FE461F" w:rsidP="00FE461F">
            <w:pPr>
              <w:spacing w:line="240" w:lineRule="auto"/>
              <w:rPr>
                <w:rFonts w:cs="Arial"/>
                <w:b/>
                <w:bCs/>
                <w:color w:val="0033CC"/>
                <w:szCs w:val="20"/>
              </w:rPr>
            </w:pPr>
          </w:p>
        </w:tc>
        <w:tc>
          <w:tcPr>
            <w:tcW w:w="1336" w:type="dxa"/>
            <w:tcBorders>
              <w:top w:val="nil"/>
              <w:left w:val="nil"/>
              <w:bottom w:val="single" w:sz="4" w:space="0" w:color="538DD5"/>
              <w:right w:val="single" w:sz="4" w:space="0" w:color="538DD5"/>
            </w:tcBorders>
            <w:shd w:val="clear" w:color="auto" w:fill="auto"/>
            <w:hideMark/>
          </w:tcPr>
          <w:p w14:paraId="4201146F" w14:textId="77777777" w:rsidR="00FE461F" w:rsidRPr="005E4BEA" w:rsidRDefault="00FE461F" w:rsidP="00FE461F">
            <w:pPr>
              <w:spacing w:line="240" w:lineRule="auto"/>
              <w:rPr>
                <w:rFonts w:cs="Arial"/>
                <w:color w:val="0033CC"/>
                <w:szCs w:val="20"/>
              </w:rPr>
            </w:pPr>
            <w:r w:rsidRPr="005E4BEA">
              <w:rPr>
                <w:rFonts w:cs="Arial"/>
                <w:color w:val="0033CC"/>
                <w:szCs w:val="20"/>
              </w:rPr>
              <w:t> </w:t>
            </w:r>
          </w:p>
        </w:tc>
        <w:tc>
          <w:tcPr>
            <w:tcW w:w="1498" w:type="dxa"/>
            <w:tcBorders>
              <w:top w:val="nil"/>
              <w:left w:val="nil"/>
              <w:bottom w:val="single" w:sz="4" w:space="0" w:color="538DD5"/>
              <w:right w:val="nil"/>
            </w:tcBorders>
            <w:shd w:val="clear" w:color="auto" w:fill="auto"/>
            <w:vAlign w:val="center"/>
            <w:hideMark/>
          </w:tcPr>
          <w:p w14:paraId="3E79BBAB"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(v EUR)</w:t>
            </w:r>
          </w:p>
        </w:tc>
      </w:tr>
      <w:tr w:rsidR="00FE461F" w:rsidRPr="005E4BEA" w14:paraId="438D5F8A" w14:textId="77777777" w:rsidTr="0085180C">
        <w:trPr>
          <w:trHeight w:val="137"/>
        </w:trPr>
        <w:tc>
          <w:tcPr>
            <w:tcW w:w="1109" w:type="dxa"/>
            <w:tcBorders>
              <w:top w:val="nil"/>
              <w:left w:val="single" w:sz="4" w:space="0" w:color="538DD5"/>
              <w:bottom w:val="single" w:sz="4" w:space="0" w:color="538DD5"/>
              <w:right w:val="single" w:sz="4" w:space="0" w:color="538DD5"/>
            </w:tcBorders>
            <w:shd w:val="clear" w:color="auto" w:fill="auto"/>
            <w:vAlign w:val="center"/>
            <w:hideMark/>
          </w:tcPr>
          <w:p w14:paraId="1F209E6A" w14:textId="77777777" w:rsidR="00FE461F" w:rsidRPr="005E4BEA" w:rsidRDefault="00FE461F" w:rsidP="00FE461F">
            <w:pPr>
              <w:spacing w:line="240" w:lineRule="auto"/>
              <w:rPr>
                <w:rFonts w:cs="Arial"/>
                <w:color w:val="000000"/>
                <w:szCs w:val="20"/>
              </w:rPr>
            </w:pPr>
            <w:r w:rsidRPr="005E4BEA">
              <w:rPr>
                <w:rFonts w:cs="Arial"/>
                <w:color w:val="000000"/>
                <w:szCs w:val="20"/>
              </w:rPr>
              <w:t>(1) točka 10</w:t>
            </w:r>
          </w:p>
        </w:tc>
        <w:tc>
          <w:tcPr>
            <w:tcW w:w="964" w:type="dxa"/>
            <w:tcBorders>
              <w:top w:val="nil"/>
              <w:left w:val="nil"/>
              <w:bottom w:val="single" w:sz="4" w:space="0" w:color="538DD5"/>
              <w:right w:val="single" w:sz="4" w:space="0" w:color="538DD5"/>
            </w:tcBorders>
            <w:shd w:val="clear" w:color="auto" w:fill="auto"/>
            <w:vAlign w:val="center"/>
            <w:hideMark/>
          </w:tcPr>
          <w:p w14:paraId="416A0041" w14:textId="77777777" w:rsidR="00FE461F" w:rsidRPr="005E4BEA" w:rsidRDefault="00FE461F" w:rsidP="00FE461F">
            <w:pPr>
              <w:spacing w:line="240" w:lineRule="auto"/>
              <w:jc w:val="center"/>
              <w:rPr>
                <w:rFonts w:cs="Arial"/>
                <w:color w:val="000000"/>
                <w:szCs w:val="20"/>
              </w:rPr>
            </w:pPr>
            <w:proofErr w:type="spellStart"/>
            <w:r w:rsidRPr="005E4BEA">
              <w:rPr>
                <w:rFonts w:cs="Arial"/>
                <w:color w:val="000000"/>
                <w:szCs w:val="20"/>
              </w:rPr>
              <w:t>Qxxx</w:t>
            </w:r>
            <w:proofErr w:type="spellEnd"/>
          </w:p>
        </w:tc>
        <w:tc>
          <w:tcPr>
            <w:tcW w:w="3470" w:type="dxa"/>
            <w:tcBorders>
              <w:top w:val="nil"/>
              <w:left w:val="nil"/>
              <w:bottom w:val="single" w:sz="4" w:space="0" w:color="538DD5"/>
              <w:right w:val="single" w:sz="4" w:space="0" w:color="538DD5"/>
            </w:tcBorders>
            <w:shd w:val="clear" w:color="auto" w:fill="auto"/>
            <w:vAlign w:val="center"/>
            <w:hideMark/>
          </w:tcPr>
          <w:p w14:paraId="1A989CDA" w14:textId="77777777" w:rsidR="00FE461F" w:rsidRPr="005E4BEA" w:rsidRDefault="00FE461F" w:rsidP="00FE461F">
            <w:pPr>
              <w:spacing w:line="240" w:lineRule="auto"/>
              <w:rPr>
                <w:rFonts w:cs="Arial"/>
                <w:b/>
                <w:bCs/>
                <w:color w:val="7030A0"/>
                <w:szCs w:val="20"/>
              </w:rPr>
            </w:pPr>
            <w:r w:rsidRPr="005E4BEA">
              <w:rPr>
                <w:rFonts w:cs="Arial"/>
                <w:b/>
                <w:bCs/>
                <w:color w:val="7030A0"/>
                <w:szCs w:val="20"/>
              </w:rPr>
              <w:t>Drag material pri op. za korekcijo ukrivljenosti penisa (mrežica, kožna osnova…)</w:t>
            </w:r>
          </w:p>
        </w:tc>
        <w:tc>
          <w:tcPr>
            <w:tcW w:w="1336" w:type="dxa"/>
            <w:tcBorders>
              <w:top w:val="nil"/>
              <w:left w:val="nil"/>
              <w:bottom w:val="single" w:sz="4" w:space="0" w:color="538DD5"/>
              <w:right w:val="single" w:sz="4" w:space="0" w:color="538DD5"/>
            </w:tcBorders>
            <w:shd w:val="clear" w:color="auto" w:fill="auto"/>
            <w:vAlign w:val="center"/>
            <w:hideMark/>
          </w:tcPr>
          <w:p w14:paraId="6BC6058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kos</w:t>
            </w:r>
          </w:p>
        </w:tc>
        <w:tc>
          <w:tcPr>
            <w:tcW w:w="1498" w:type="dxa"/>
            <w:tcBorders>
              <w:top w:val="nil"/>
              <w:left w:val="nil"/>
              <w:bottom w:val="single" w:sz="4" w:space="0" w:color="538DD5"/>
              <w:right w:val="nil"/>
            </w:tcBorders>
            <w:shd w:val="clear" w:color="auto" w:fill="auto"/>
            <w:vAlign w:val="center"/>
            <w:hideMark/>
          </w:tcPr>
          <w:p w14:paraId="26CDE31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1.500,00</w:t>
            </w:r>
          </w:p>
        </w:tc>
      </w:tr>
    </w:tbl>
    <w:p w14:paraId="219712D7" w14:textId="77777777" w:rsidR="00FE461F" w:rsidRPr="005E4BEA" w:rsidRDefault="00FE461F" w:rsidP="00FE461F">
      <w:pPr>
        <w:spacing w:line="240" w:lineRule="auto"/>
        <w:rPr>
          <w:rFonts w:cs="Arial"/>
          <w:szCs w:val="20"/>
        </w:rPr>
      </w:pPr>
    </w:p>
    <w:p w14:paraId="3BBA968D"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02E6DE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Oddelku za urologijo izvajamo tudi operacije za korekcijo ukrivljenosti penisa (diagnoza N48.6 – </w:t>
      </w:r>
      <w:proofErr w:type="spellStart"/>
      <w:r w:rsidRPr="005E4BEA">
        <w:rPr>
          <w:rFonts w:cs="Arial"/>
          <w:i/>
          <w:iCs/>
          <w:color w:val="808080" w:themeColor="background1" w:themeShade="80"/>
          <w:szCs w:val="20"/>
        </w:rPr>
        <w:t>Induratio</w:t>
      </w:r>
      <w:proofErr w:type="spellEnd"/>
      <w:r w:rsidRPr="005E4BEA">
        <w:rPr>
          <w:rFonts w:cs="Arial"/>
          <w:i/>
          <w:iCs/>
          <w:color w:val="808080" w:themeColor="background1" w:themeShade="80"/>
          <w:szCs w:val="20"/>
        </w:rPr>
        <w:t xml:space="preserve"> penis </w:t>
      </w:r>
      <w:proofErr w:type="spellStart"/>
      <w:r w:rsidRPr="005E4BEA">
        <w:rPr>
          <w:rFonts w:cs="Arial"/>
          <w:i/>
          <w:iCs/>
          <w:color w:val="808080" w:themeColor="background1" w:themeShade="80"/>
          <w:szCs w:val="20"/>
        </w:rPr>
        <w:t>plastica</w:t>
      </w:r>
      <w:proofErr w:type="spellEnd"/>
      <w:r w:rsidRPr="005E4BEA">
        <w:rPr>
          <w:rFonts w:cs="Arial"/>
          <w:i/>
          <w:iCs/>
          <w:color w:val="808080" w:themeColor="background1" w:themeShade="80"/>
          <w:szCs w:val="20"/>
        </w:rPr>
        <w:t>; šifra kliničnega postopka 90404-00 - Druge reparacije na penisu). SPP za to hospitalno obravnavo je M03B – Posegi na penisu brez spremljajočih bolezenskih stanj ali zapletov, z utežjo 0,94. To v cenah SD 2021 predstavlja 1.278 EUR za obravnavo. Tovrstno operacijo izvajajo redki izvajalci v Sloveniji.</w:t>
      </w:r>
    </w:p>
    <w:p w14:paraId="103ADFC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Za operacijo potrebujemo posebne, drage materiale: </w:t>
      </w:r>
      <w:proofErr w:type="spellStart"/>
      <w:r w:rsidRPr="005E4BEA">
        <w:rPr>
          <w:rFonts w:cs="Arial"/>
          <w:i/>
          <w:iCs/>
          <w:color w:val="808080" w:themeColor="background1" w:themeShade="80"/>
          <w:szCs w:val="20"/>
        </w:rPr>
        <w:t>Graft</w:t>
      </w:r>
      <w:proofErr w:type="spellEnd"/>
      <w:r w:rsidRPr="005E4BEA">
        <w:rPr>
          <w:rFonts w:cs="Arial"/>
          <w:i/>
          <w:iCs/>
          <w:color w:val="808080" w:themeColor="background1" w:themeShade="80"/>
          <w:szCs w:val="20"/>
        </w:rPr>
        <w:t xml:space="preserve"> (mrežica) </w:t>
      </w:r>
      <w:proofErr w:type="spellStart"/>
      <w:r w:rsidRPr="005E4BEA">
        <w:rPr>
          <w:rFonts w:cs="Arial"/>
          <w:i/>
          <w:iCs/>
          <w:color w:val="808080" w:themeColor="background1" w:themeShade="80"/>
          <w:szCs w:val="20"/>
        </w:rPr>
        <w:t>Intexen</w:t>
      </w:r>
      <w:proofErr w:type="spellEnd"/>
      <w:r w:rsidRPr="005E4BEA">
        <w:rPr>
          <w:rFonts w:cs="Arial"/>
          <w:i/>
          <w:iCs/>
          <w:color w:val="808080" w:themeColor="background1" w:themeShade="80"/>
          <w:szCs w:val="20"/>
        </w:rPr>
        <w:t xml:space="preserve"> Kolagen (kožna osnova) </w:t>
      </w:r>
      <w:proofErr w:type="spellStart"/>
      <w:r w:rsidRPr="005E4BEA">
        <w:rPr>
          <w:rFonts w:cs="Arial"/>
          <w:i/>
          <w:iCs/>
          <w:color w:val="808080" w:themeColor="background1" w:themeShade="80"/>
          <w:szCs w:val="20"/>
        </w:rPr>
        <w:t>Surgisis</w:t>
      </w:r>
      <w:proofErr w:type="spellEnd"/>
      <w:r w:rsidRPr="005E4BEA">
        <w:rPr>
          <w:rFonts w:cs="Arial"/>
          <w:i/>
          <w:iCs/>
          <w:color w:val="808080" w:themeColor="background1" w:themeShade="80"/>
          <w:szCs w:val="20"/>
        </w:rPr>
        <w:t xml:space="preserve"> SLH-4-PR2, strošek zgolj le-teh je 682 EUR.</w:t>
      </w:r>
    </w:p>
    <w:p w14:paraId="3DA6C8B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Sama operacija traja 150-180 min (oz. traja isto kot ena zahtevna operacija maligne bolezni), sodelujeta operater in asistent in zahteva specialna znanja urologije in plastične kirurgije.</w:t>
      </w:r>
    </w:p>
    <w:p w14:paraId="426F791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Ocenjujemo, da bi bila primerna cena za tovrstno operacijo, ki bi pokrila vse stroške, 2.800 EUR, zato predlagamo, da se nam razlika med to ceno in plačilom, ki ga izvajalci prejmemo za SPP primer M03B v primeru, ko gre za operacijo korekcije ukrivljenosti penisa, prizna kot ločeno zaračunljiv material (v višini cca 1.500 EUR).</w:t>
      </w:r>
    </w:p>
    <w:p w14:paraId="49846A00" w14:textId="7D260BA2"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 Finančno oceno podajamo za ocenjeno število pacientov, ki bi to operacijo lahko izvedli na Oddelku za urologijo SB Slovenj Gradec – gre za cca 30 obravnav na leto. Pod temi pogoji bo finančni učinek predlaganega ukrepa 45.000 EUR na letni ravni.</w:t>
      </w:r>
    </w:p>
    <w:p w14:paraId="37993BB7" w14:textId="0C94AAAF" w:rsidR="0085180C" w:rsidRPr="005E4BEA" w:rsidRDefault="0085180C" w:rsidP="00FE461F">
      <w:pPr>
        <w:spacing w:line="240" w:lineRule="auto"/>
        <w:jc w:val="both"/>
        <w:rPr>
          <w:rFonts w:cs="Arial"/>
          <w:i/>
          <w:iCs/>
          <w:color w:val="808080" w:themeColor="background1" w:themeShade="80"/>
          <w:szCs w:val="20"/>
        </w:rPr>
      </w:pPr>
    </w:p>
    <w:p w14:paraId="3793B7C9" w14:textId="77777777" w:rsidR="0085180C" w:rsidRPr="005E4BEA" w:rsidRDefault="0085180C" w:rsidP="0085180C">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8FE5969" w14:textId="77777777" w:rsidR="0085180C" w:rsidRPr="005E4BEA" w:rsidRDefault="0085180C" w:rsidP="0085180C">
      <w:pPr>
        <w:spacing w:line="0" w:lineRule="atLeast"/>
        <w:jc w:val="both"/>
        <w:rPr>
          <w:rFonts w:eastAsia="Arial Narrow" w:cs="Arial"/>
          <w:szCs w:val="20"/>
          <w:lang w:eastAsia="sl-SI"/>
        </w:rPr>
      </w:pPr>
    </w:p>
    <w:p w14:paraId="10B8DE40" w14:textId="77777777"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in Priloga I/d Splošnega dogovora za pogodbeno leto 2022 ne spremenita.</w:t>
      </w:r>
    </w:p>
    <w:p w14:paraId="1F32ED35" w14:textId="77777777" w:rsidR="0085180C" w:rsidRPr="005E4BEA" w:rsidRDefault="0085180C" w:rsidP="0085180C">
      <w:pPr>
        <w:spacing w:line="240" w:lineRule="auto"/>
        <w:jc w:val="both"/>
        <w:rPr>
          <w:rFonts w:cs="Arial"/>
          <w:i/>
          <w:iCs/>
          <w:color w:val="808080" w:themeColor="background1" w:themeShade="80"/>
          <w:szCs w:val="20"/>
        </w:rPr>
      </w:pPr>
    </w:p>
    <w:p w14:paraId="77E36042" w14:textId="78A6F5A1" w:rsidR="00FE461F" w:rsidRPr="005E4BEA" w:rsidRDefault="00FE461F" w:rsidP="00FE461F">
      <w:pPr>
        <w:spacing w:line="240" w:lineRule="auto"/>
        <w:jc w:val="both"/>
        <w:rPr>
          <w:rFonts w:cs="Arial"/>
          <w:i/>
          <w:iCs/>
          <w:color w:val="808080" w:themeColor="background1" w:themeShade="80"/>
          <w:szCs w:val="20"/>
        </w:rPr>
      </w:pPr>
    </w:p>
    <w:p w14:paraId="2A7ED67F" w14:textId="412E3386" w:rsidR="00346825" w:rsidRPr="005E4BEA" w:rsidRDefault="0034682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(30)</w:t>
      </w:r>
    </w:p>
    <w:p w14:paraId="5EF77E7B" w14:textId="77777777" w:rsidR="00346825" w:rsidRPr="005E4BEA" w:rsidRDefault="00346825" w:rsidP="00346825">
      <w:pPr>
        <w:spacing w:line="240" w:lineRule="auto"/>
        <w:jc w:val="both"/>
        <w:rPr>
          <w:rFonts w:cs="Arial"/>
          <w:i/>
          <w:iCs/>
          <w:color w:val="808080" w:themeColor="background1" w:themeShade="80"/>
          <w:szCs w:val="20"/>
        </w:rPr>
      </w:pPr>
    </w:p>
    <w:p w14:paraId="08499ABC" w14:textId="4483E206" w:rsidR="00FE461F" w:rsidRPr="005E4BEA" w:rsidRDefault="00346825" w:rsidP="0085180C">
      <w:pPr>
        <w:spacing w:line="240" w:lineRule="auto"/>
        <w:jc w:val="both"/>
        <w:rPr>
          <w:rFonts w:cs="Arial"/>
          <w:i/>
          <w:iCs/>
          <w:color w:val="808080" w:themeColor="background1" w:themeShade="80"/>
          <w:szCs w:val="20"/>
        </w:rPr>
      </w:pPr>
      <w:r w:rsidRPr="005E4BEA">
        <w:rPr>
          <w:rFonts w:eastAsia="Arial Narrow" w:cs="Arial"/>
          <w:b/>
          <w:szCs w:val="20"/>
        </w:rPr>
        <w:t xml:space="preserve">Združenje zdravstvenih zavodov Slovenije </w:t>
      </w:r>
      <w:r w:rsidRPr="005E4BEA">
        <w:rPr>
          <w:rFonts w:eastAsia="Arial Narrow" w:cs="Arial"/>
          <w:szCs w:val="20"/>
        </w:rPr>
        <w:t>predlaga, da se v</w:t>
      </w:r>
      <w:r w:rsidRPr="005E4BEA">
        <w:rPr>
          <w:rFonts w:cs="Arial"/>
          <w:szCs w:val="20"/>
        </w:rPr>
        <w:t xml:space="preserve"> 16. členu se v (1) odstavku doda</w:t>
      </w:r>
      <w:r w:rsidR="0085180C" w:rsidRPr="005E4BEA">
        <w:rPr>
          <w:rFonts w:cs="Arial"/>
          <w:i/>
          <w:iCs/>
          <w:color w:val="808080" w:themeColor="background1" w:themeShade="80"/>
          <w:szCs w:val="20"/>
        </w:rPr>
        <w:t xml:space="preserve"> </w:t>
      </w:r>
      <w:r w:rsidR="00FE461F" w:rsidRPr="005E4BEA">
        <w:rPr>
          <w:rFonts w:cs="Arial"/>
          <w:szCs w:val="20"/>
        </w:rPr>
        <w:t>nova točka:</w:t>
      </w:r>
    </w:p>
    <w:p w14:paraId="0AC1D0E1" w14:textId="1282D441" w:rsidR="00FE461F" w:rsidRPr="005E4BEA" w:rsidRDefault="00FE461F" w:rsidP="00FE461F">
      <w:pPr>
        <w:spacing w:line="240" w:lineRule="auto"/>
        <w:rPr>
          <w:rFonts w:cs="Arial"/>
          <w:iCs/>
          <w:szCs w:val="20"/>
        </w:rPr>
      </w:pPr>
      <w:r w:rsidRPr="005E4BEA">
        <w:rPr>
          <w:rFonts w:cs="Arial"/>
          <w:iCs/>
          <w:szCs w:val="20"/>
        </w:rPr>
        <w:t xml:space="preserve">Zunajtelesna </w:t>
      </w:r>
      <w:proofErr w:type="spellStart"/>
      <w:r w:rsidRPr="005E4BEA">
        <w:rPr>
          <w:rFonts w:cs="Arial"/>
          <w:iCs/>
          <w:szCs w:val="20"/>
        </w:rPr>
        <w:t>fototerapija</w:t>
      </w:r>
      <w:proofErr w:type="spellEnd"/>
    </w:p>
    <w:p w14:paraId="40156D72" w14:textId="77777777" w:rsidR="0085180C" w:rsidRPr="005E4BEA" w:rsidRDefault="0085180C" w:rsidP="00FE461F">
      <w:pPr>
        <w:spacing w:line="240" w:lineRule="auto"/>
        <w:rPr>
          <w:rFonts w:cs="Arial"/>
          <w:iCs/>
          <w:szCs w:val="20"/>
        </w:rPr>
      </w:pPr>
    </w:p>
    <w:p w14:paraId="4876EC27" w14:textId="77777777" w:rsidR="00FE461F" w:rsidRPr="005E4BEA" w:rsidRDefault="00FE461F" w:rsidP="00FE461F">
      <w:pPr>
        <w:spacing w:line="240" w:lineRule="auto"/>
        <w:rPr>
          <w:rFonts w:cs="Arial"/>
          <w:b/>
          <w:bCs/>
          <w:szCs w:val="20"/>
        </w:rPr>
      </w:pPr>
      <w:r w:rsidRPr="005E4BEA">
        <w:rPr>
          <w:rFonts w:cs="Arial"/>
          <w:b/>
          <w:bCs/>
          <w:szCs w:val="20"/>
        </w:rPr>
        <w:t>V Prilogo I/d Cenik ločeno zaračunljivega materiala in storitev se vnese nova storitev:</w:t>
      </w:r>
    </w:p>
    <w:p w14:paraId="154E78A6" w14:textId="77777777" w:rsidR="00FE461F" w:rsidRPr="005E4BEA" w:rsidRDefault="00FE461F" w:rsidP="00FE461F">
      <w:pPr>
        <w:spacing w:line="240" w:lineRule="auto"/>
        <w:rPr>
          <w:rFonts w:cs="Arial"/>
          <w:iCs/>
          <w:szCs w:val="20"/>
        </w:rPr>
      </w:pPr>
      <w:r w:rsidRPr="005E4BEA">
        <w:rPr>
          <w:rFonts w:cs="Arial"/>
          <w:iCs/>
          <w:szCs w:val="20"/>
        </w:rPr>
        <w:t xml:space="preserve">»Zunajtelesna </w:t>
      </w:r>
      <w:proofErr w:type="spellStart"/>
      <w:r w:rsidRPr="005E4BEA">
        <w:rPr>
          <w:rFonts w:cs="Arial"/>
          <w:iCs/>
          <w:szCs w:val="20"/>
        </w:rPr>
        <w:t>fototerapija</w:t>
      </w:r>
      <w:proofErr w:type="spellEnd"/>
      <w:r w:rsidRPr="005E4BEA">
        <w:rPr>
          <w:rFonts w:cs="Arial"/>
          <w:iCs/>
          <w:szCs w:val="20"/>
        </w:rPr>
        <w:t>«.</w:t>
      </w:r>
    </w:p>
    <w:p w14:paraId="7E774208" w14:textId="77777777" w:rsidR="00FE461F" w:rsidRPr="005E4BEA" w:rsidRDefault="00FE461F" w:rsidP="00FE461F">
      <w:pPr>
        <w:spacing w:line="240" w:lineRule="auto"/>
        <w:rPr>
          <w:rFonts w:cs="Arial"/>
          <w:iCs/>
          <w:szCs w:val="20"/>
        </w:rPr>
      </w:pPr>
    </w:p>
    <w:p w14:paraId="402D22EB"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1EA16E8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Zunajtelesna </w:t>
      </w:r>
      <w:proofErr w:type="spellStart"/>
      <w:r w:rsidRPr="005E4BEA">
        <w:rPr>
          <w:rFonts w:cs="Arial"/>
          <w:i/>
          <w:iCs/>
          <w:color w:val="808080" w:themeColor="background1" w:themeShade="80"/>
          <w:szCs w:val="20"/>
        </w:rPr>
        <w:t>fototerapija</w:t>
      </w:r>
      <w:proofErr w:type="spellEnd"/>
      <w:r w:rsidRPr="005E4BEA">
        <w:rPr>
          <w:rFonts w:cs="Arial"/>
          <w:i/>
          <w:iCs/>
          <w:color w:val="808080" w:themeColor="background1" w:themeShade="80"/>
          <w:szCs w:val="20"/>
        </w:rPr>
        <w:t xml:space="preserve"> se uporablja od leta 1988, ko je bila s strani FDA odobrena kot standardna terapija napredovale oblike na druge terapije odpornega kožnega t celičnega limfoma. Gre za </w:t>
      </w:r>
      <w:proofErr w:type="spellStart"/>
      <w:r w:rsidRPr="005E4BEA">
        <w:rPr>
          <w:rFonts w:cs="Arial"/>
          <w:i/>
          <w:iCs/>
          <w:color w:val="808080" w:themeColor="background1" w:themeShade="80"/>
          <w:szCs w:val="20"/>
        </w:rPr>
        <w:t>imunomodulatorno</w:t>
      </w:r>
      <w:proofErr w:type="spellEnd"/>
      <w:r w:rsidRPr="005E4BEA">
        <w:rPr>
          <w:rFonts w:cs="Arial"/>
          <w:i/>
          <w:iCs/>
          <w:color w:val="808080" w:themeColor="background1" w:themeShade="80"/>
          <w:szCs w:val="20"/>
        </w:rPr>
        <w:t xml:space="preserve"> zdravljenje brez sistemskega imunosupresivnega učinka, ki temelji na </w:t>
      </w:r>
      <w:proofErr w:type="spellStart"/>
      <w:r w:rsidRPr="005E4BEA">
        <w:rPr>
          <w:rFonts w:cs="Arial"/>
          <w:i/>
          <w:iCs/>
          <w:color w:val="808080" w:themeColor="background1" w:themeShade="80"/>
          <w:szCs w:val="20"/>
        </w:rPr>
        <w:t>fotoinaktivaciji</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avtolognih</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enojedrnih</w:t>
      </w:r>
      <w:proofErr w:type="spellEnd"/>
      <w:r w:rsidRPr="005E4BEA">
        <w:rPr>
          <w:rFonts w:cs="Arial"/>
          <w:i/>
          <w:iCs/>
          <w:color w:val="808080" w:themeColor="background1" w:themeShade="80"/>
          <w:szCs w:val="20"/>
        </w:rPr>
        <w:t xml:space="preserve"> celic, ki jih zberemo iz periferne krvi s postopkom </w:t>
      </w:r>
      <w:proofErr w:type="spellStart"/>
      <w:r w:rsidRPr="005E4BEA">
        <w:rPr>
          <w:rFonts w:cs="Arial"/>
          <w:i/>
          <w:iCs/>
          <w:color w:val="808080" w:themeColor="background1" w:themeShade="80"/>
          <w:szCs w:val="20"/>
        </w:rPr>
        <w:t>afereze</w:t>
      </w:r>
      <w:proofErr w:type="spellEnd"/>
      <w:r w:rsidRPr="005E4BEA">
        <w:rPr>
          <w:rFonts w:cs="Arial"/>
          <w:i/>
          <w:iCs/>
          <w:color w:val="808080" w:themeColor="background1" w:themeShade="80"/>
          <w:szCs w:val="20"/>
        </w:rPr>
        <w:t xml:space="preserve">. Postopek je potreben pri posameznem bolniku ponavljati, običajno 4x mesečno, zdravljenje lahko traja tudi več let. V skladu z mednarodnimi smernicami je danes prva linija terapije za kožni T celični limfom, </w:t>
      </w:r>
      <w:proofErr w:type="spellStart"/>
      <w:r w:rsidRPr="005E4BEA">
        <w:rPr>
          <w:rFonts w:cs="Arial"/>
          <w:i/>
          <w:iCs/>
          <w:color w:val="808080" w:themeColor="background1" w:themeShade="80"/>
          <w:szCs w:val="20"/>
        </w:rPr>
        <w:t>Mycosis</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fungoides</w:t>
      </w:r>
      <w:proofErr w:type="spellEnd"/>
      <w:r w:rsidRPr="005E4BEA">
        <w:rPr>
          <w:rFonts w:cs="Arial"/>
          <w:i/>
          <w:iCs/>
          <w:color w:val="808080" w:themeColor="background1" w:themeShade="80"/>
          <w:szCs w:val="20"/>
        </w:rPr>
        <w:t xml:space="preserve"> in </w:t>
      </w:r>
      <w:proofErr w:type="spellStart"/>
      <w:r w:rsidRPr="005E4BEA">
        <w:rPr>
          <w:rFonts w:cs="Arial"/>
          <w:i/>
          <w:iCs/>
          <w:color w:val="808080" w:themeColor="background1" w:themeShade="80"/>
          <w:szCs w:val="20"/>
        </w:rPr>
        <w:t>Sezaryijev</w:t>
      </w:r>
      <w:proofErr w:type="spellEnd"/>
      <w:r w:rsidRPr="005E4BEA">
        <w:rPr>
          <w:rFonts w:cs="Arial"/>
          <w:i/>
          <w:iCs/>
          <w:color w:val="808080" w:themeColor="background1" w:themeShade="80"/>
          <w:szCs w:val="20"/>
        </w:rPr>
        <w:t xml:space="preserve"> sindrom. Kot druga linija terapije je predpisana za zdravljenje bolezni presadka proti gostitelju po </w:t>
      </w:r>
      <w:proofErr w:type="spellStart"/>
      <w:r w:rsidRPr="005E4BEA">
        <w:rPr>
          <w:rFonts w:cs="Arial"/>
          <w:i/>
          <w:iCs/>
          <w:color w:val="808080" w:themeColor="background1" w:themeShade="80"/>
          <w:szCs w:val="20"/>
        </w:rPr>
        <w:t>alogenski</w:t>
      </w:r>
      <w:proofErr w:type="spellEnd"/>
      <w:r w:rsidRPr="005E4BEA">
        <w:rPr>
          <w:rFonts w:cs="Arial"/>
          <w:i/>
          <w:iCs/>
          <w:color w:val="808080" w:themeColor="background1" w:themeShade="80"/>
          <w:szCs w:val="20"/>
        </w:rPr>
        <w:t xml:space="preserve"> presaditvi krvotvornih matičnih celic, kot profilaksa ali terapija zavrnitvene reakcije po transplantaciji srca in za zdravljenje </w:t>
      </w:r>
      <w:proofErr w:type="spellStart"/>
      <w:r w:rsidRPr="005E4BEA">
        <w:rPr>
          <w:rFonts w:cs="Arial"/>
          <w:i/>
          <w:iCs/>
          <w:color w:val="808080" w:themeColor="background1" w:themeShade="80"/>
          <w:szCs w:val="20"/>
        </w:rPr>
        <w:t>obliterantnega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bronhiolitisa</w:t>
      </w:r>
      <w:proofErr w:type="spellEnd"/>
      <w:r w:rsidRPr="005E4BEA">
        <w:rPr>
          <w:rFonts w:cs="Arial"/>
          <w:i/>
          <w:iCs/>
          <w:color w:val="808080" w:themeColor="background1" w:themeShade="80"/>
          <w:szCs w:val="20"/>
        </w:rPr>
        <w:t xml:space="preserve"> po transplantaciji pljuč. Zaradi </w:t>
      </w:r>
      <w:proofErr w:type="spellStart"/>
      <w:r w:rsidRPr="005E4BEA">
        <w:rPr>
          <w:rFonts w:cs="Arial"/>
          <w:i/>
          <w:iCs/>
          <w:color w:val="808080" w:themeColor="background1" w:themeShade="80"/>
          <w:szCs w:val="20"/>
        </w:rPr>
        <w:t>imunomodulatornega</w:t>
      </w:r>
      <w:proofErr w:type="spellEnd"/>
      <w:r w:rsidRPr="005E4BEA">
        <w:rPr>
          <w:rFonts w:cs="Arial"/>
          <w:i/>
          <w:iCs/>
          <w:color w:val="808080" w:themeColor="background1" w:themeShade="80"/>
          <w:szCs w:val="20"/>
        </w:rPr>
        <w:t xml:space="preserve"> delovanja zunajtelesne </w:t>
      </w:r>
      <w:proofErr w:type="spellStart"/>
      <w:r w:rsidRPr="005E4BEA">
        <w:rPr>
          <w:rFonts w:cs="Arial"/>
          <w:i/>
          <w:iCs/>
          <w:color w:val="808080" w:themeColor="background1" w:themeShade="80"/>
          <w:szCs w:val="20"/>
        </w:rPr>
        <w:t>fototerapije</w:t>
      </w:r>
      <w:proofErr w:type="spellEnd"/>
      <w:r w:rsidRPr="005E4BEA">
        <w:rPr>
          <w:rFonts w:cs="Arial"/>
          <w:i/>
          <w:iCs/>
          <w:color w:val="808080" w:themeColor="background1" w:themeShade="80"/>
          <w:szCs w:val="20"/>
        </w:rPr>
        <w:t xml:space="preserve"> brez sistemskega imunosupresivnega učinka je več kliničnih študij dokazalo ugoden učinek tudi pri drugih boleznih z avtoimunsko etiologijo. Do leta 2013 se je bolnike pošiljalo na zdravljenje v tujino (Univerzitetni klinični center Dunaj in </w:t>
      </w:r>
      <w:proofErr w:type="spellStart"/>
      <w:r w:rsidRPr="005E4BEA">
        <w:rPr>
          <w:rFonts w:cs="Arial"/>
          <w:i/>
          <w:iCs/>
          <w:color w:val="808080" w:themeColor="background1" w:themeShade="80"/>
          <w:szCs w:val="20"/>
        </w:rPr>
        <w:t>Graz</w:t>
      </w:r>
      <w:proofErr w:type="spellEnd"/>
      <w:r w:rsidRPr="005E4BEA">
        <w:rPr>
          <w:rFonts w:cs="Arial"/>
          <w:i/>
          <w:iCs/>
          <w:color w:val="808080" w:themeColor="background1" w:themeShade="80"/>
          <w:szCs w:val="20"/>
        </w:rPr>
        <w:t xml:space="preserve">). Poleg višjih stroškov zdravljenja (zdravljenje pacientov, ki so bili napoteni na zdravljenje v tujino, se je pred letom 2013 krilo iz naslova obveznega zdravstvenega zavarovanja) je bila to manj primerna rešitev tudi zaradi slabega zdravstvenega stanja bolnikov, ki pogosto ne dopušča rednih prevozov na zdravljenje v tujino. Na ZTM smo zdravljenje z zunajtelesno </w:t>
      </w:r>
      <w:proofErr w:type="spellStart"/>
      <w:r w:rsidRPr="005E4BEA">
        <w:rPr>
          <w:rFonts w:cs="Arial"/>
          <w:i/>
          <w:iCs/>
          <w:color w:val="808080" w:themeColor="background1" w:themeShade="80"/>
          <w:szCs w:val="20"/>
        </w:rPr>
        <w:t>fototerapijo</w:t>
      </w:r>
      <w:proofErr w:type="spellEnd"/>
      <w:r w:rsidRPr="005E4BEA">
        <w:rPr>
          <w:rFonts w:cs="Arial"/>
          <w:i/>
          <w:iCs/>
          <w:color w:val="808080" w:themeColor="background1" w:themeShade="80"/>
          <w:szCs w:val="20"/>
        </w:rPr>
        <w:t xml:space="preserve"> vzpostavili leta 2014 in za to pridobili vsa potrebna dovoljenja s strani Javne agencije za zdravila in medicinske pripomočke. Smo edini v Sloveniji, ki izvajamo to storitev. Ker ni več potrebe po napotitvi bolnikov na zdravljenje v tujino, to pomeni dodaten prihranek. Povprečno letno število obravnav za enega pacienta je 30, skupna dolžina zdravljenja pa je različna in temelji na odločitvi konzilija onkologov in dermatologov za vsakega pacienta posebej. Zaradi neurejenega financiranja je dostopnost do zdravljenja omejena in je zato niso deležni vsi pacienti v obsegu kot to določajo strokovne smernice, predvsem na področju dermatologije. Z ureditvijo financiranja bi omogočili dostopnost zdravljenja z zunajtelesno </w:t>
      </w:r>
      <w:proofErr w:type="spellStart"/>
      <w:r w:rsidRPr="005E4BEA">
        <w:rPr>
          <w:rFonts w:cs="Arial"/>
          <w:i/>
          <w:iCs/>
          <w:color w:val="808080" w:themeColor="background1" w:themeShade="80"/>
          <w:szCs w:val="20"/>
        </w:rPr>
        <w:t>fototerapijo</w:t>
      </w:r>
      <w:proofErr w:type="spellEnd"/>
      <w:r w:rsidRPr="005E4BEA">
        <w:rPr>
          <w:rFonts w:cs="Arial"/>
          <w:i/>
          <w:iCs/>
          <w:color w:val="808080" w:themeColor="background1" w:themeShade="80"/>
          <w:szCs w:val="20"/>
        </w:rPr>
        <w:t xml:space="preserve"> za vse paciente, pri katerih je to indicirano. Pacienti so sedaj napoteni na terapijo na ZTM s strani dermatologa, račun za opravljeno storitev se izstavi naročniku (Dermatološki kliniki). Predlagamo, da se zunajtelesna </w:t>
      </w:r>
      <w:proofErr w:type="spellStart"/>
      <w:r w:rsidRPr="005E4BEA">
        <w:rPr>
          <w:rFonts w:cs="Arial"/>
          <w:i/>
          <w:iCs/>
          <w:color w:val="808080" w:themeColor="background1" w:themeShade="80"/>
          <w:szCs w:val="20"/>
        </w:rPr>
        <w:t>fototerapija</w:t>
      </w:r>
      <w:proofErr w:type="spellEnd"/>
      <w:r w:rsidRPr="005E4BEA">
        <w:rPr>
          <w:rFonts w:cs="Arial"/>
          <w:i/>
          <w:iCs/>
          <w:color w:val="808080" w:themeColor="background1" w:themeShade="80"/>
          <w:szCs w:val="20"/>
        </w:rPr>
        <w:t xml:space="preserve"> vključi v splošni dogovor kot ločeno zaračunljiva storitev.</w:t>
      </w:r>
    </w:p>
    <w:p w14:paraId="3219429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475.872,00 EUR za 300 obravnav.</w:t>
      </w:r>
    </w:p>
    <w:tbl>
      <w:tblPr>
        <w:tblW w:w="4165" w:type="pct"/>
        <w:tblCellMar>
          <w:left w:w="70" w:type="dxa"/>
          <w:right w:w="70" w:type="dxa"/>
        </w:tblCellMar>
        <w:tblLook w:val="04A0" w:firstRow="1" w:lastRow="0" w:firstColumn="1" w:lastColumn="0" w:noHBand="0" w:noVBand="1"/>
      </w:tblPr>
      <w:tblGrid>
        <w:gridCol w:w="2816"/>
        <w:gridCol w:w="1390"/>
        <w:gridCol w:w="1038"/>
        <w:gridCol w:w="745"/>
        <w:gridCol w:w="851"/>
        <w:gridCol w:w="664"/>
        <w:gridCol w:w="1000"/>
      </w:tblGrid>
      <w:tr w:rsidR="00FE461F" w:rsidRPr="005E4BEA" w14:paraId="33517E52" w14:textId="77777777" w:rsidTr="0016774B">
        <w:trPr>
          <w:trHeight w:val="102"/>
        </w:trPr>
        <w:tc>
          <w:tcPr>
            <w:tcW w:w="1711" w:type="pct"/>
            <w:tcBorders>
              <w:top w:val="nil"/>
              <w:left w:val="nil"/>
              <w:bottom w:val="nil"/>
              <w:right w:val="nil"/>
            </w:tcBorders>
            <w:shd w:val="clear" w:color="auto" w:fill="auto"/>
            <w:noWrap/>
            <w:vAlign w:val="bottom"/>
            <w:hideMark/>
          </w:tcPr>
          <w:p w14:paraId="0E1CCB77"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bottom"/>
            <w:hideMark/>
          </w:tcPr>
          <w:p w14:paraId="01B64C95" w14:textId="77777777" w:rsidR="00FE461F" w:rsidRPr="005E4BEA" w:rsidRDefault="00FE461F" w:rsidP="00FE461F">
            <w:pPr>
              <w:spacing w:line="240" w:lineRule="auto"/>
              <w:rPr>
                <w:rFonts w:cs="Arial"/>
                <w:b/>
                <w:bCs/>
                <w:i/>
                <w:iCs/>
                <w:color w:val="808080" w:themeColor="background1" w:themeShade="80"/>
                <w:szCs w:val="20"/>
              </w:rPr>
            </w:pPr>
            <w:r w:rsidRPr="005E4BEA">
              <w:rPr>
                <w:rFonts w:cs="Arial"/>
                <w:b/>
                <w:bCs/>
                <w:i/>
                <w:iCs/>
                <w:color w:val="808080" w:themeColor="background1" w:themeShade="80"/>
                <w:szCs w:val="20"/>
              </w:rPr>
              <w:t xml:space="preserve">Naziv storitve: </w:t>
            </w:r>
          </w:p>
        </w:tc>
        <w:tc>
          <w:tcPr>
            <w:tcW w:w="1022" w:type="pct"/>
            <w:gridSpan w:val="2"/>
            <w:vMerge w:val="restart"/>
            <w:tcBorders>
              <w:top w:val="nil"/>
              <w:left w:val="nil"/>
              <w:bottom w:val="nil"/>
              <w:right w:val="nil"/>
            </w:tcBorders>
            <w:shd w:val="clear" w:color="auto" w:fill="auto"/>
            <w:vAlign w:val="bottom"/>
            <w:hideMark/>
          </w:tcPr>
          <w:p w14:paraId="49A49405"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Zunajtelesna </w:t>
            </w:r>
            <w:proofErr w:type="spellStart"/>
            <w:r w:rsidRPr="005E4BEA">
              <w:rPr>
                <w:rFonts w:cs="Arial"/>
                <w:b/>
                <w:bCs/>
                <w:i/>
                <w:iCs/>
                <w:color w:val="808080" w:themeColor="background1" w:themeShade="80"/>
                <w:szCs w:val="20"/>
              </w:rPr>
              <w:t>fototerapija</w:t>
            </w:r>
            <w:proofErr w:type="spellEnd"/>
            <w:r w:rsidRPr="005E4BEA">
              <w:rPr>
                <w:rFonts w:cs="Arial"/>
                <w:b/>
                <w:bCs/>
                <w:i/>
                <w:iCs/>
                <w:color w:val="808080" w:themeColor="background1" w:themeShade="80"/>
                <w:szCs w:val="20"/>
              </w:rPr>
              <w:t xml:space="preserve"> (opravljena na aparatu </w:t>
            </w:r>
            <w:proofErr w:type="spellStart"/>
            <w:r w:rsidRPr="005E4BEA">
              <w:rPr>
                <w:rFonts w:cs="Arial"/>
                <w:b/>
                <w:bCs/>
                <w:i/>
                <w:iCs/>
                <w:color w:val="808080" w:themeColor="background1" w:themeShade="80"/>
                <w:szCs w:val="20"/>
              </w:rPr>
              <w:t>Therakos</w:t>
            </w:r>
            <w:proofErr w:type="spellEnd"/>
            <w:r w:rsidRPr="005E4BEA">
              <w:rPr>
                <w:rFonts w:cs="Arial"/>
                <w:b/>
                <w:bCs/>
                <w:i/>
                <w:iCs/>
                <w:color w:val="808080" w:themeColor="background1" w:themeShade="80"/>
                <w:szCs w:val="20"/>
              </w:rPr>
              <w:t>)</w:t>
            </w:r>
          </w:p>
        </w:tc>
        <w:tc>
          <w:tcPr>
            <w:tcW w:w="1439" w:type="pct"/>
            <w:gridSpan w:val="3"/>
            <w:tcBorders>
              <w:top w:val="nil"/>
              <w:left w:val="nil"/>
              <w:bottom w:val="nil"/>
              <w:right w:val="nil"/>
            </w:tcBorders>
            <w:shd w:val="clear" w:color="auto" w:fill="auto"/>
            <w:noWrap/>
            <w:vAlign w:val="bottom"/>
            <w:hideMark/>
          </w:tcPr>
          <w:p w14:paraId="49CF5DE2" w14:textId="77777777" w:rsidR="00FE461F" w:rsidRPr="005E4BEA" w:rsidRDefault="00FE461F" w:rsidP="00FE461F">
            <w:pPr>
              <w:spacing w:line="240" w:lineRule="auto"/>
              <w:rPr>
                <w:rFonts w:cs="Arial"/>
                <w:b/>
                <w:bCs/>
                <w:i/>
                <w:iCs/>
                <w:color w:val="808080" w:themeColor="background1" w:themeShade="80"/>
                <w:szCs w:val="20"/>
              </w:rPr>
            </w:pPr>
            <w:r w:rsidRPr="005E4BEA">
              <w:rPr>
                <w:rFonts w:cs="Arial"/>
                <w:b/>
                <w:bCs/>
                <w:i/>
                <w:iCs/>
                <w:color w:val="808080" w:themeColor="background1" w:themeShade="80"/>
                <w:szCs w:val="20"/>
              </w:rPr>
              <w:t>Predvideno letno število storitev = 100</w:t>
            </w:r>
          </w:p>
        </w:tc>
      </w:tr>
      <w:tr w:rsidR="00FE461F" w:rsidRPr="005E4BEA" w14:paraId="04C57BDF" w14:textId="77777777" w:rsidTr="0016774B">
        <w:trPr>
          <w:trHeight w:val="102"/>
        </w:trPr>
        <w:tc>
          <w:tcPr>
            <w:tcW w:w="1711" w:type="pct"/>
            <w:tcBorders>
              <w:top w:val="nil"/>
              <w:left w:val="nil"/>
              <w:bottom w:val="nil"/>
              <w:right w:val="nil"/>
            </w:tcBorders>
            <w:shd w:val="clear" w:color="auto" w:fill="auto"/>
            <w:noWrap/>
            <w:vAlign w:val="bottom"/>
            <w:hideMark/>
          </w:tcPr>
          <w:p w14:paraId="5867D3BF"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bottom"/>
            <w:hideMark/>
          </w:tcPr>
          <w:p w14:paraId="22333CED" w14:textId="77777777" w:rsidR="00FE461F" w:rsidRPr="005E4BEA" w:rsidRDefault="00FE461F" w:rsidP="00FE461F">
            <w:pPr>
              <w:spacing w:line="240" w:lineRule="auto"/>
              <w:rPr>
                <w:rFonts w:cs="Arial"/>
                <w:b/>
                <w:bCs/>
                <w:i/>
                <w:iCs/>
                <w:color w:val="808080" w:themeColor="background1" w:themeShade="80"/>
                <w:szCs w:val="20"/>
              </w:rPr>
            </w:pPr>
          </w:p>
        </w:tc>
        <w:tc>
          <w:tcPr>
            <w:tcW w:w="1022" w:type="pct"/>
            <w:gridSpan w:val="2"/>
            <w:vMerge/>
            <w:tcBorders>
              <w:top w:val="nil"/>
              <w:left w:val="nil"/>
              <w:bottom w:val="nil"/>
              <w:right w:val="nil"/>
            </w:tcBorders>
            <w:vAlign w:val="center"/>
            <w:hideMark/>
          </w:tcPr>
          <w:p w14:paraId="22B51136"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bottom"/>
            <w:hideMark/>
          </w:tcPr>
          <w:p w14:paraId="1762188A"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bottom"/>
            <w:hideMark/>
          </w:tcPr>
          <w:p w14:paraId="29542A65"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bottom"/>
            <w:hideMark/>
          </w:tcPr>
          <w:p w14:paraId="1CEB2A61"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366A6057" w14:textId="77777777" w:rsidTr="0016774B">
        <w:trPr>
          <w:trHeight w:val="102"/>
        </w:trPr>
        <w:tc>
          <w:tcPr>
            <w:tcW w:w="1711" w:type="pct"/>
            <w:tcBorders>
              <w:top w:val="nil"/>
              <w:left w:val="nil"/>
              <w:bottom w:val="nil"/>
              <w:right w:val="nil"/>
            </w:tcBorders>
            <w:shd w:val="clear" w:color="auto" w:fill="auto"/>
            <w:noWrap/>
            <w:vAlign w:val="bottom"/>
          </w:tcPr>
          <w:p w14:paraId="272DC912"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bottom"/>
          </w:tcPr>
          <w:p w14:paraId="22876DB7" w14:textId="77777777" w:rsidR="00FE461F" w:rsidRPr="005E4BEA" w:rsidRDefault="00FE461F" w:rsidP="00FE461F">
            <w:pPr>
              <w:spacing w:line="240" w:lineRule="auto"/>
              <w:rPr>
                <w:rFonts w:cs="Arial"/>
                <w:b/>
                <w:bCs/>
                <w:i/>
                <w:iCs/>
                <w:color w:val="808080" w:themeColor="background1" w:themeShade="80"/>
                <w:szCs w:val="20"/>
              </w:rPr>
            </w:pPr>
          </w:p>
        </w:tc>
        <w:tc>
          <w:tcPr>
            <w:tcW w:w="1022" w:type="pct"/>
            <w:gridSpan w:val="2"/>
            <w:tcBorders>
              <w:top w:val="nil"/>
              <w:left w:val="nil"/>
              <w:bottom w:val="nil"/>
              <w:right w:val="nil"/>
            </w:tcBorders>
            <w:vAlign w:val="center"/>
          </w:tcPr>
          <w:p w14:paraId="4088C578"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bottom"/>
          </w:tcPr>
          <w:p w14:paraId="5A0C6B14"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bottom"/>
          </w:tcPr>
          <w:p w14:paraId="2974B9FB"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bottom"/>
          </w:tcPr>
          <w:p w14:paraId="7E0F923E"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2F6F79E9" w14:textId="77777777" w:rsidTr="0016774B">
        <w:trPr>
          <w:trHeight w:val="102"/>
        </w:trPr>
        <w:tc>
          <w:tcPr>
            <w:tcW w:w="1711" w:type="pct"/>
            <w:tcBorders>
              <w:top w:val="nil"/>
              <w:left w:val="nil"/>
              <w:bottom w:val="nil"/>
              <w:right w:val="nil"/>
            </w:tcBorders>
            <w:shd w:val="clear" w:color="auto" w:fill="auto"/>
            <w:noWrap/>
            <w:vAlign w:val="center"/>
            <w:hideMark/>
          </w:tcPr>
          <w:p w14:paraId="29FEC159"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MATERIAL</w:t>
            </w:r>
          </w:p>
        </w:tc>
        <w:tc>
          <w:tcPr>
            <w:tcW w:w="828" w:type="pct"/>
            <w:tcBorders>
              <w:top w:val="nil"/>
              <w:left w:val="nil"/>
              <w:bottom w:val="nil"/>
              <w:right w:val="nil"/>
            </w:tcBorders>
            <w:shd w:val="clear" w:color="auto" w:fill="auto"/>
            <w:noWrap/>
            <w:vAlign w:val="center"/>
            <w:hideMark/>
          </w:tcPr>
          <w:p w14:paraId="2D4C41B5"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61819671" w14:textId="77777777" w:rsidR="00FE461F" w:rsidRPr="005E4BEA" w:rsidRDefault="00FE461F" w:rsidP="00FE461F">
            <w:pPr>
              <w:spacing w:line="240" w:lineRule="auto"/>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43755726"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079D2E71" w14:textId="77777777" w:rsidR="00FE461F" w:rsidRPr="005E4BEA" w:rsidRDefault="00FE461F" w:rsidP="00FE461F">
            <w:pPr>
              <w:spacing w:line="240" w:lineRule="auto"/>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340B4C2A"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3075BA0E"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47626132" w14:textId="77777777" w:rsidTr="0016774B">
        <w:trPr>
          <w:trHeight w:val="102"/>
        </w:trPr>
        <w:tc>
          <w:tcPr>
            <w:tcW w:w="1711" w:type="pct"/>
            <w:tcBorders>
              <w:top w:val="single" w:sz="4" w:space="0" w:color="3366FF"/>
              <w:left w:val="single" w:sz="4" w:space="0" w:color="3366FF"/>
              <w:bottom w:val="nil"/>
              <w:right w:val="single" w:sz="4" w:space="0" w:color="3366FF"/>
            </w:tcBorders>
            <w:shd w:val="clear" w:color="auto" w:fill="auto"/>
            <w:noWrap/>
            <w:vAlign w:val="center"/>
            <w:hideMark/>
          </w:tcPr>
          <w:p w14:paraId="62A4BCC7"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Reagenti</w:t>
            </w:r>
          </w:p>
        </w:tc>
        <w:tc>
          <w:tcPr>
            <w:tcW w:w="828" w:type="pct"/>
            <w:tcBorders>
              <w:top w:val="single" w:sz="4" w:space="0" w:color="3366FF"/>
              <w:left w:val="nil"/>
              <w:bottom w:val="nil"/>
              <w:right w:val="single" w:sz="4" w:space="0" w:color="3366FF"/>
            </w:tcBorders>
            <w:shd w:val="clear" w:color="auto" w:fill="auto"/>
            <w:noWrap/>
            <w:vAlign w:val="center"/>
            <w:hideMark/>
          </w:tcPr>
          <w:p w14:paraId="64EB1607"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Šifra ZTM</w:t>
            </w:r>
          </w:p>
        </w:tc>
        <w:tc>
          <w:tcPr>
            <w:tcW w:w="590" w:type="pct"/>
            <w:tcBorders>
              <w:top w:val="single" w:sz="4" w:space="0" w:color="3366FF"/>
              <w:left w:val="nil"/>
              <w:bottom w:val="nil"/>
              <w:right w:val="single" w:sz="4" w:space="0" w:color="3366FF"/>
            </w:tcBorders>
            <w:shd w:val="clear" w:color="auto" w:fill="auto"/>
            <w:vAlign w:val="center"/>
            <w:hideMark/>
          </w:tcPr>
          <w:p w14:paraId="29B8EE6D"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Pakiranje</w:t>
            </w:r>
          </w:p>
        </w:tc>
        <w:tc>
          <w:tcPr>
            <w:tcW w:w="431" w:type="pct"/>
            <w:tcBorders>
              <w:top w:val="single" w:sz="4" w:space="0" w:color="3366FF"/>
              <w:left w:val="nil"/>
              <w:bottom w:val="nil"/>
              <w:right w:val="single" w:sz="4" w:space="0" w:color="3366FF"/>
            </w:tcBorders>
            <w:shd w:val="clear" w:color="auto" w:fill="auto"/>
            <w:vAlign w:val="center"/>
            <w:hideMark/>
          </w:tcPr>
          <w:p w14:paraId="369F83F2"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NC</w:t>
            </w:r>
          </w:p>
        </w:tc>
        <w:tc>
          <w:tcPr>
            <w:tcW w:w="487" w:type="pct"/>
            <w:tcBorders>
              <w:top w:val="single" w:sz="4" w:space="0" w:color="3366FF"/>
              <w:left w:val="nil"/>
              <w:bottom w:val="nil"/>
              <w:right w:val="single" w:sz="4" w:space="0" w:color="3366FF"/>
            </w:tcBorders>
            <w:shd w:val="clear" w:color="auto" w:fill="auto"/>
            <w:noWrap/>
            <w:vAlign w:val="center"/>
            <w:hideMark/>
          </w:tcPr>
          <w:p w14:paraId="2095A52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NC / KOS</w:t>
            </w:r>
          </w:p>
        </w:tc>
        <w:tc>
          <w:tcPr>
            <w:tcW w:w="376" w:type="pct"/>
            <w:tcBorders>
              <w:top w:val="single" w:sz="4" w:space="0" w:color="3366FF"/>
              <w:left w:val="nil"/>
              <w:bottom w:val="nil"/>
              <w:right w:val="single" w:sz="4" w:space="0" w:color="3366FF"/>
            </w:tcBorders>
            <w:shd w:val="clear" w:color="auto" w:fill="auto"/>
            <w:vAlign w:val="center"/>
            <w:hideMark/>
          </w:tcPr>
          <w:p w14:paraId="27EE3CB0"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normativ 1 preiskavo</w:t>
            </w:r>
          </w:p>
        </w:tc>
        <w:tc>
          <w:tcPr>
            <w:tcW w:w="576" w:type="pct"/>
            <w:tcBorders>
              <w:top w:val="single" w:sz="4" w:space="0" w:color="3366FF"/>
              <w:left w:val="nil"/>
              <w:bottom w:val="nil"/>
              <w:right w:val="single" w:sz="4" w:space="0" w:color="3366FF"/>
            </w:tcBorders>
            <w:shd w:val="clear" w:color="auto" w:fill="auto"/>
            <w:noWrap/>
            <w:vAlign w:val="center"/>
            <w:hideMark/>
          </w:tcPr>
          <w:p w14:paraId="799AEC26"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Cena za storitev</w:t>
            </w:r>
          </w:p>
        </w:tc>
      </w:tr>
      <w:tr w:rsidR="00FE461F" w:rsidRPr="005E4BEA" w14:paraId="0AEC5282" w14:textId="77777777" w:rsidTr="0016774B">
        <w:trPr>
          <w:trHeight w:val="10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78A84"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1000 ml 0,9% fiziološka raztopina</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01C9AB2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1004028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30B75EF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KOS=1000ml</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5C3103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2,12</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2752AAD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2,12</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2971845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02EE4C2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2,12</w:t>
            </w:r>
          </w:p>
        </w:tc>
      </w:tr>
      <w:tr w:rsidR="00FE461F" w:rsidRPr="005E4BEA" w14:paraId="37CE6B00"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725ECA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500 ml ACD-A </w:t>
            </w:r>
            <w:proofErr w:type="spellStart"/>
            <w:r w:rsidRPr="005E4BEA">
              <w:rPr>
                <w:rFonts w:cs="Arial"/>
                <w:i/>
                <w:iCs/>
                <w:color w:val="808080" w:themeColor="background1" w:themeShade="80"/>
                <w:szCs w:val="20"/>
              </w:rPr>
              <w:t>Fresenius</w:t>
            </w:r>
            <w:proofErr w:type="spellEnd"/>
            <w:r w:rsidRPr="005E4BEA">
              <w:rPr>
                <w:rFonts w:cs="Arial"/>
                <w:i/>
                <w:iCs/>
                <w:color w:val="808080" w:themeColor="background1" w:themeShade="80"/>
                <w:szCs w:val="20"/>
              </w:rPr>
              <w:t xml:space="preserve"> ali </w:t>
            </w:r>
            <w:proofErr w:type="spellStart"/>
            <w:r w:rsidRPr="005E4BEA">
              <w:rPr>
                <w:rFonts w:cs="Arial"/>
                <w:i/>
                <w:iCs/>
                <w:color w:val="808080" w:themeColor="background1" w:themeShade="80"/>
                <w:szCs w:val="20"/>
              </w:rPr>
              <w:t>Fenwal</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74F42EE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 1009492</w:t>
            </w:r>
          </w:p>
        </w:tc>
        <w:tc>
          <w:tcPr>
            <w:tcW w:w="590" w:type="pct"/>
            <w:tcBorders>
              <w:top w:val="nil"/>
              <w:left w:val="nil"/>
              <w:bottom w:val="single" w:sz="4" w:space="0" w:color="auto"/>
              <w:right w:val="single" w:sz="4" w:space="0" w:color="auto"/>
            </w:tcBorders>
            <w:shd w:val="clear" w:color="auto" w:fill="auto"/>
            <w:vAlign w:val="center"/>
            <w:hideMark/>
          </w:tcPr>
          <w:p w14:paraId="56B73A2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KOS=500ml</w:t>
            </w:r>
          </w:p>
        </w:tc>
        <w:tc>
          <w:tcPr>
            <w:tcW w:w="431" w:type="pct"/>
            <w:tcBorders>
              <w:top w:val="nil"/>
              <w:left w:val="nil"/>
              <w:bottom w:val="single" w:sz="4" w:space="0" w:color="auto"/>
              <w:right w:val="single" w:sz="4" w:space="0" w:color="auto"/>
            </w:tcBorders>
            <w:shd w:val="clear" w:color="auto" w:fill="auto"/>
            <w:noWrap/>
            <w:vAlign w:val="center"/>
            <w:hideMark/>
          </w:tcPr>
          <w:p w14:paraId="4E3DD1B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4,57</w:t>
            </w:r>
          </w:p>
        </w:tc>
        <w:tc>
          <w:tcPr>
            <w:tcW w:w="487" w:type="pct"/>
            <w:tcBorders>
              <w:top w:val="nil"/>
              <w:left w:val="nil"/>
              <w:bottom w:val="single" w:sz="4" w:space="0" w:color="auto"/>
              <w:right w:val="single" w:sz="4" w:space="0" w:color="auto"/>
            </w:tcBorders>
            <w:shd w:val="clear" w:color="auto" w:fill="auto"/>
            <w:noWrap/>
            <w:vAlign w:val="center"/>
            <w:hideMark/>
          </w:tcPr>
          <w:p w14:paraId="34A234A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4,57</w:t>
            </w:r>
          </w:p>
        </w:tc>
        <w:tc>
          <w:tcPr>
            <w:tcW w:w="376" w:type="pct"/>
            <w:tcBorders>
              <w:top w:val="nil"/>
              <w:left w:val="nil"/>
              <w:bottom w:val="single" w:sz="4" w:space="0" w:color="auto"/>
              <w:right w:val="single" w:sz="4" w:space="0" w:color="auto"/>
            </w:tcBorders>
            <w:shd w:val="clear" w:color="auto" w:fill="auto"/>
            <w:noWrap/>
            <w:vAlign w:val="center"/>
            <w:hideMark/>
          </w:tcPr>
          <w:p w14:paraId="4DCA3A0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1,00</w:t>
            </w:r>
          </w:p>
        </w:tc>
        <w:tc>
          <w:tcPr>
            <w:tcW w:w="576" w:type="pct"/>
            <w:tcBorders>
              <w:top w:val="nil"/>
              <w:left w:val="nil"/>
              <w:bottom w:val="single" w:sz="4" w:space="0" w:color="auto"/>
              <w:right w:val="single" w:sz="4" w:space="0" w:color="auto"/>
            </w:tcBorders>
            <w:shd w:val="clear" w:color="auto" w:fill="auto"/>
            <w:vAlign w:val="center"/>
            <w:hideMark/>
          </w:tcPr>
          <w:p w14:paraId="62216FE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4,57</w:t>
            </w:r>
          </w:p>
        </w:tc>
      </w:tr>
      <w:tr w:rsidR="00FE461F" w:rsidRPr="005E4BEA" w14:paraId="5DDAC6CE"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4EBAB6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 ml 0,9% fiziološka raztopina</w:t>
            </w:r>
          </w:p>
        </w:tc>
        <w:tc>
          <w:tcPr>
            <w:tcW w:w="828" w:type="pct"/>
            <w:tcBorders>
              <w:top w:val="nil"/>
              <w:left w:val="nil"/>
              <w:bottom w:val="single" w:sz="4" w:space="0" w:color="auto"/>
              <w:right w:val="single" w:sz="4" w:space="0" w:color="auto"/>
            </w:tcBorders>
            <w:shd w:val="clear" w:color="auto" w:fill="auto"/>
            <w:noWrap/>
            <w:vAlign w:val="center"/>
            <w:hideMark/>
          </w:tcPr>
          <w:p w14:paraId="601C58E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1008308</w:t>
            </w:r>
          </w:p>
        </w:tc>
        <w:tc>
          <w:tcPr>
            <w:tcW w:w="590" w:type="pct"/>
            <w:tcBorders>
              <w:top w:val="nil"/>
              <w:left w:val="nil"/>
              <w:bottom w:val="single" w:sz="4" w:space="0" w:color="auto"/>
              <w:right w:val="single" w:sz="4" w:space="0" w:color="auto"/>
            </w:tcBorders>
            <w:shd w:val="clear" w:color="auto" w:fill="auto"/>
            <w:vAlign w:val="center"/>
            <w:hideMark/>
          </w:tcPr>
          <w:p w14:paraId="3A8C5E4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KOS=1 ampula</w:t>
            </w:r>
          </w:p>
        </w:tc>
        <w:tc>
          <w:tcPr>
            <w:tcW w:w="431" w:type="pct"/>
            <w:tcBorders>
              <w:top w:val="nil"/>
              <w:left w:val="nil"/>
              <w:bottom w:val="single" w:sz="4" w:space="0" w:color="auto"/>
              <w:right w:val="single" w:sz="4" w:space="0" w:color="auto"/>
            </w:tcBorders>
            <w:shd w:val="clear" w:color="auto" w:fill="auto"/>
            <w:noWrap/>
            <w:vAlign w:val="center"/>
            <w:hideMark/>
          </w:tcPr>
          <w:p w14:paraId="3608BB8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1,40</w:t>
            </w:r>
          </w:p>
        </w:tc>
        <w:tc>
          <w:tcPr>
            <w:tcW w:w="487" w:type="pct"/>
            <w:tcBorders>
              <w:top w:val="nil"/>
              <w:left w:val="nil"/>
              <w:bottom w:val="single" w:sz="4" w:space="0" w:color="auto"/>
              <w:right w:val="single" w:sz="4" w:space="0" w:color="auto"/>
            </w:tcBorders>
            <w:shd w:val="clear" w:color="auto" w:fill="auto"/>
            <w:noWrap/>
            <w:vAlign w:val="center"/>
            <w:hideMark/>
          </w:tcPr>
          <w:p w14:paraId="080E202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1,40</w:t>
            </w:r>
          </w:p>
        </w:tc>
        <w:tc>
          <w:tcPr>
            <w:tcW w:w="376" w:type="pct"/>
            <w:tcBorders>
              <w:top w:val="nil"/>
              <w:left w:val="nil"/>
              <w:bottom w:val="single" w:sz="4" w:space="0" w:color="auto"/>
              <w:right w:val="single" w:sz="4" w:space="0" w:color="auto"/>
            </w:tcBorders>
            <w:shd w:val="clear" w:color="auto" w:fill="auto"/>
            <w:noWrap/>
            <w:vAlign w:val="center"/>
            <w:hideMark/>
          </w:tcPr>
          <w:p w14:paraId="20F52FC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1,00</w:t>
            </w:r>
          </w:p>
        </w:tc>
        <w:tc>
          <w:tcPr>
            <w:tcW w:w="576" w:type="pct"/>
            <w:tcBorders>
              <w:top w:val="nil"/>
              <w:left w:val="nil"/>
              <w:bottom w:val="single" w:sz="4" w:space="0" w:color="auto"/>
              <w:right w:val="single" w:sz="4" w:space="0" w:color="auto"/>
            </w:tcBorders>
            <w:shd w:val="clear" w:color="auto" w:fill="auto"/>
            <w:vAlign w:val="center"/>
            <w:hideMark/>
          </w:tcPr>
          <w:p w14:paraId="7937699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1,40</w:t>
            </w:r>
          </w:p>
        </w:tc>
      </w:tr>
      <w:tr w:rsidR="00FE461F" w:rsidRPr="005E4BEA" w14:paraId="76A5A2C2"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D09BDE7"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lastRenderedPageBreak/>
              <w:t>Praxiject</w:t>
            </w:r>
            <w:proofErr w:type="spellEnd"/>
            <w:r w:rsidRPr="005E4BEA">
              <w:rPr>
                <w:rFonts w:cs="Arial"/>
                <w:i/>
                <w:iCs/>
                <w:color w:val="808080" w:themeColor="background1" w:themeShade="80"/>
                <w:szCs w:val="20"/>
              </w:rPr>
              <w:t xml:space="preserve"> 20ml 0,9% NaCl </w:t>
            </w:r>
            <w:proofErr w:type="spellStart"/>
            <w:r w:rsidRPr="005E4BEA">
              <w:rPr>
                <w:rFonts w:cs="Arial"/>
                <w:i/>
                <w:iCs/>
                <w:color w:val="808080" w:themeColor="background1" w:themeShade="80"/>
                <w:szCs w:val="20"/>
              </w:rPr>
              <w:t>injection</w:t>
            </w:r>
            <w:proofErr w:type="spellEnd"/>
            <w:r w:rsidRPr="005E4BEA">
              <w:rPr>
                <w:rFonts w:cs="Arial"/>
                <w:i/>
                <w:iCs/>
                <w:color w:val="808080" w:themeColor="background1" w:themeShade="80"/>
                <w:szCs w:val="20"/>
              </w:rPr>
              <w:t xml:space="preserve"> CVK</w:t>
            </w:r>
          </w:p>
        </w:tc>
        <w:tc>
          <w:tcPr>
            <w:tcW w:w="828" w:type="pct"/>
            <w:tcBorders>
              <w:top w:val="nil"/>
              <w:left w:val="nil"/>
              <w:bottom w:val="single" w:sz="4" w:space="0" w:color="auto"/>
              <w:right w:val="single" w:sz="4" w:space="0" w:color="auto"/>
            </w:tcBorders>
            <w:shd w:val="clear" w:color="auto" w:fill="auto"/>
            <w:noWrap/>
            <w:vAlign w:val="center"/>
            <w:hideMark/>
          </w:tcPr>
          <w:p w14:paraId="69C7246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1009898</w:t>
            </w:r>
          </w:p>
        </w:tc>
        <w:tc>
          <w:tcPr>
            <w:tcW w:w="590" w:type="pct"/>
            <w:tcBorders>
              <w:top w:val="nil"/>
              <w:left w:val="nil"/>
              <w:bottom w:val="single" w:sz="4" w:space="0" w:color="auto"/>
              <w:right w:val="single" w:sz="4" w:space="0" w:color="auto"/>
            </w:tcBorders>
            <w:shd w:val="clear" w:color="auto" w:fill="auto"/>
            <w:vAlign w:val="center"/>
            <w:hideMark/>
          </w:tcPr>
          <w:p w14:paraId="17CD5DD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w:t>
            </w:r>
          </w:p>
        </w:tc>
        <w:tc>
          <w:tcPr>
            <w:tcW w:w="431" w:type="pct"/>
            <w:tcBorders>
              <w:top w:val="nil"/>
              <w:left w:val="nil"/>
              <w:bottom w:val="single" w:sz="4" w:space="0" w:color="auto"/>
              <w:right w:val="single" w:sz="4" w:space="0" w:color="auto"/>
            </w:tcBorders>
            <w:shd w:val="clear" w:color="auto" w:fill="auto"/>
            <w:noWrap/>
            <w:vAlign w:val="center"/>
            <w:hideMark/>
          </w:tcPr>
          <w:p w14:paraId="3C94C3D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1,45</w:t>
            </w:r>
          </w:p>
        </w:tc>
        <w:tc>
          <w:tcPr>
            <w:tcW w:w="487" w:type="pct"/>
            <w:tcBorders>
              <w:top w:val="nil"/>
              <w:left w:val="nil"/>
              <w:bottom w:val="single" w:sz="4" w:space="0" w:color="auto"/>
              <w:right w:val="single" w:sz="4" w:space="0" w:color="auto"/>
            </w:tcBorders>
            <w:shd w:val="clear" w:color="auto" w:fill="auto"/>
            <w:noWrap/>
            <w:vAlign w:val="center"/>
            <w:hideMark/>
          </w:tcPr>
          <w:p w14:paraId="3229C95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1,45</w:t>
            </w:r>
          </w:p>
        </w:tc>
        <w:tc>
          <w:tcPr>
            <w:tcW w:w="376" w:type="pct"/>
            <w:tcBorders>
              <w:top w:val="nil"/>
              <w:left w:val="nil"/>
              <w:bottom w:val="single" w:sz="4" w:space="0" w:color="auto"/>
              <w:right w:val="single" w:sz="4" w:space="0" w:color="auto"/>
            </w:tcBorders>
            <w:shd w:val="clear" w:color="auto" w:fill="auto"/>
            <w:noWrap/>
            <w:vAlign w:val="center"/>
            <w:hideMark/>
          </w:tcPr>
          <w:p w14:paraId="081D542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0,20</w:t>
            </w:r>
          </w:p>
        </w:tc>
        <w:tc>
          <w:tcPr>
            <w:tcW w:w="576" w:type="pct"/>
            <w:tcBorders>
              <w:top w:val="nil"/>
              <w:left w:val="nil"/>
              <w:bottom w:val="single" w:sz="4" w:space="0" w:color="auto"/>
              <w:right w:val="single" w:sz="4" w:space="0" w:color="auto"/>
            </w:tcBorders>
            <w:shd w:val="clear" w:color="auto" w:fill="auto"/>
            <w:vAlign w:val="center"/>
            <w:hideMark/>
          </w:tcPr>
          <w:p w14:paraId="68328F0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0,29</w:t>
            </w:r>
          </w:p>
        </w:tc>
      </w:tr>
      <w:tr w:rsidR="00FE461F" w:rsidRPr="005E4BEA" w14:paraId="7BE3B6D7"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4B61D48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 ml 0,9% fiziološka raztopina</w:t>
            </w:r>
          </w:p>
        </w:tc>
        <w:tc>
          <w:tcPr>
            <w:tcW w:w="828" w:type="pct"/>
            <w:tcBorders>
              <w:top w:val="nil"/>
              <w:left w:val="nil"/>
              <w:bottom w:val="single" w:sz="4" w:space="0" w:color="auto"/>
              <w:right w:val="single" w:sz="4" w:space="0" w:color="auto"/>
            </w:tcBorders>
            <w:shd w:val="clear" w:color="auto" w:fill="auto"/>
            <w:noWrap/>
            <w:vAlign w:val="center"/>
            <w:hideMark/>
          </w:tcPr>
          <w:p w14:paraId="03240A9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1008803</w:t>
            </w:r>
          </w:p>
        </w:tc>
        <w:tc>
          <w:tcPr>
            <w:tcW w:w="590" w:type="pct"/>
            <w:tcBorders>
              <w:top w:val="nil"/>
              <w:left w:val="nil"/>
              <w:bottom w:val="single" w:sz="4" w:space="0" w:color="auto"/>
              <w:right w:val="single" w:sz="4" w:space="0" w:color="auto"/>
            </w:tcBorders>
            <w:shd w:val="clear" w:color="auto" w:fill="auto"/>
            <w:vAlign w:val="center"/>
            <w:hideMark/>
          </w:tcPr>
          <w:p w14:paraId="18B7869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KOS=30</w:t>
            </w:r>
          </w:p>
        </w:tc>
        <w:tc>
          <w:tcPr>
            <w:tcW w:w="431" w:type="pct"/>
            <w:tcBorders>
              <w:top w:val="nil"/>
              <w:left w:val="nil"/>
              <w:bottom w:val="single" w:sz="4" w:space="0" w:color="auto"/>
              <w:right w:val="single" w:sz="4" w:space="0" w:color="auto"/>
            </w:tcBorders>
            <w:shd w:val="clear" w:color="auto" w:fill="auto"/>
            <w:noWrap/>
            <w:vAlign w:val="center"/>
            <w:hideMark/>
          </w:tcPr>
          <w:p w14:paraId="53B2539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20,72</w:t>
            </w:r>
          </w:p>
        </w:tc>
        <w:tc>
          <w:tcPr>
            <w:tcW w:w="487" w:type="pct"/>
            <w:tcBorders>
              <w:top w:val="nil"/>
              <w:left w:val="nil"/>
              <w:bottom w:val="single" w:sz="4" w:space="0" w:color="auto"/>
              <w:right w:val="single" w:sz="4" w:space="0" w:color="auto"/>
            </w:tcBorders>
            <w:shd w:val="clear" w:color="auto" w:fill="auto"/>
            <w:noWrap/>
            <w:vAlign w:val="center"/>
            <w:hideMark/>
          </w:tcPr>
          <w:p w14:paraId="7B3E0D2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0,69</w:t>
            </w:r>
          </w:p>
        </w:tc>
        <w:tc>
          <w:tcPr>
            <w:tcW w:w="376" w:type="pct"/>
            <w:tcBorders>
              <w:top w:val="nil"/>
              <w:left w:val="nil"/>
              <w:bottom w:val="single" w:sz="4" w:space="0" w:color="auto"/>
              <w:right w:val="single" w:sz="4" w:space="0" w:color="auto"/>
            </w:tcBorders>
            <w:shd w:val="clear" w:color="auto" w:fill="auto"/>
            <w:noWrap/>
            <w:vAlign w:val="center"/>
            <w:hideMark/>
          </w:tcPr>
          <w:p w14:paraId="168B01E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2,00</w:t>
            </w:r>
          </w:p>
        </w:tc>
        <w:tc>
          <w:tcPr>
            <w:tcW w:w="576" w:type="pct"/>
            <w:tcBorders>
              <w:top w:val="nil"/>
              <w:left w:val="nil"/>
              <w:bottom w:val="single" w:sz="4" w:space="0" w:color="auto"/>
              <w:right w:val="single" w:sz="4" w:space="0" w:color="auto"/>
            </w:tcBorders>
            <w:shd w:val="clear" w:color="auto" w:fill="auto"/>
            <w:vAlign w:val="center"/>
            <w:hideMark/>
          </w:tcPr>
          <w:p w14:paraId="6DD412D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1,38</w:t>
            </w:r>
          </w:p>
        </w:tc>
      </w:tr>
      <w:tr w:rsidR="00FE461F" w:rsidRPr="005E4BEA" w14:paraId="27ACB33F"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69EA564E"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Calcium</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calvive</w:t>
            </w:r>
            <w:proofErr w:type="spellEnd"/>
            <w:r w:rsidRPr="005E4BEA">
              <w:rPr>
                <w:rFonts w:cs="Arial"/>
                <w:i/>
                <w:iCs/>
                <w:color w:val="808080" w:themeColor="background1" w:themeShade="80"/>
                <w:szCs w:val="20"/>
              </w:rPr>
              <w:t xml:space="preserve"> šumeče tablete 500mg</w:t>
            </w:r>
          </w:p>
        </w:tc>
        <w:tc>
          <w:tcPr>
            <w:tcW w:w="828" w:type="pct"/>
            <w:tcBorders>
              <w:top w:val="nil"/>
              <w:left w:val="nil"/>
              <w:bottom w:val="single" w:sz="4" w:space="0" w:color="auto"/>
              <w:right w:val="single" w:sz="4" w:space="0" w:color="auto"/>
            </w:tcBorders>
            <w:shd w:val="clear" w:color="auto" w:fill="auto"/>
            <w:noWrap/>
            <w:vAlign w:val="center"/>
            <w:hideMark/>
          </w:tcPr>
          <w:p w14:paraId="5DFDE67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1009531</w:t>
            </w:r>
          </w:p>
        </w:tc>
        <w:tc>
          <w:tcPr>
            <w:tcW w:w="590" w:type="pct"/>
            <w:tcBorders>
              <w:top w:val="nil"/>
              <w:left w:val="nil"/>
              <w:bottom w:val="single" w:sz="4" w:space="0" w:color="auto"/>
              <w:right w:val="single" w:sz="4" w:space="0" w:color="auto"/>
            </w:tcBorders>
            <w:shd w:val="clear" w:color="auto" w:fill="auto"/>
            <w:vAlign w:val="center"/>
            <w:hideMark/>
          </w:tcPr>
          <w:p w14:paraId="707E83C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SC=20</w:t>
            </w:r>
          </w:p>
        </w:tc>
        <w:tc>
          <w:tcPr>
            <w:tcW w:w="431" w:type="pct"/>
            <w:tcBorders>
              <w:top w:val="nil"/>
              <w:left w:val="nil"/>
              <w:bottom w:val="single" w:sz="4" w:space="0" w:color="auto"/>
              <w:right w:val="single" w:sz="4" w:space="0" w:color="auto"/>
            </w:tcBorders>
            <w:shd w:val="clear" w:color="auto" w:fill="auto"/>
            <w:noWrap/>
            <w:vAlign w:val="center"/>
            <w:hideMark/>
          </w:tcPr>
          <w:p w14:paraId="40920D0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7,02</w:t>
            </w:r>
          </w:p>
        </w:tc>
        <w:tc>
          <w:tcPr>
            <w:tcW w:w="487" w:type="pct"/>
            <w:tcBorders>
              <w:top w:val="nil"/>
              <w:left w:val="nil"/>
              <w:bottom w:val="single" w:sz="4" w:space="0" w:color="auto"/>
              <w:right w:val="single" w:sz="4" w:space="0" w:color="auto"/>
            </w:tcBorders>
            <w:shd w:val="clear" w:color="auto" w:fill="auto"/>
            <w:noWrap/>
            <w:vAlign w:val="center"/>
            <w:hideMark/>
          </w:tcPr>
          <w:p w14:paraId="3E0ADE7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0,35</w:t>
            </w:r>
          </w:p>
        </w:tc>
        <w:tc>
          <w:tcPr>
            <w:tcW w:w="376" w:type="pct"/>
            <w:tcBorders>
              <w:top w:val="nil"/>
              <w:left w:val="nil"/>
              <w:bottom w:val="single" w:sz="4" w:space="0" w:color="auto"/>
              <w:right w:val="single" w:sz="4" w:space="0" w:color="auto"/>
            </w:tcBorders>
            <w:shd w:val="clear" w:color="auto" w:fill="auto"/>
            <w:noWrap/>
            <w:vAlign w:val="center"/>
            <w:hideMark/>
          </w:tcPr>
          <w:p w14:paraId="4205976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2,00</w:t>
            </w:r>
          </w:p>
        </w:tc>
        <w:tc>
          <w:tcPr>
            <w:tcW w:w="576" w:type="pct"/>
            <w:tcBorders>
              <w:top w:val="nil"/>
              <w:left w:val="nil"/>
              <w:bottom w:val="single" w:sz="4" w:space="0" w:color="auto"/>
              <w:right w:val="single" w:sz="4" w:space="0" w:color="auto"/>
            </w:tcBorders>
            <w:shd w:val="clear" w:color="auto" w:fill="auto"/>
            <w:vAlign w:val="center"/>
            <w:hideMark/>
          </w:tcPr>
          <w:p w14:paraId="6B8D52C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0,70</w:t>
            </w:r>
          </w:p>
        </w:tc>
      </w:tr>
      <w:tr w:rsidR="00FE461F" w:rsidRPr="005E4BEA" w14:paraId="0944F186"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2765388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Abbott 09P31-25CHEM8+ Kartuša za prenosni merilnik I-STAT</w:t>
            </w:r>
          </w:p>
        </w:tc>
        <w:tc>
          <w:tcPr>
            <w:tcW w:w="828" w:type="pct"/>
            <w:tcBorders>
              <w:top w:val="nil"/>
              <w:left w:val="nil"/>
              <w:bottom w:val="single" w:sz="4" w:space="0" w:color="auto"/>
              <w:right w:val="single" w:sz="4" w:space="0" w:color="auto"/>
            </w:tcBorders>
            <w:shd w:val="clear" w:color="auto" w:fill="auto"/>
            <w:vAlign w:val="center"/>
            <w:hideMark/>
          </w:tcPr>
          <w:p w14:paraId="713749B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1009303</w:t>
            </w:r>
          </w:p>
        </w:tc>
        <w:tc>
          <w:tcPr>
            <w:tcW w:w="590" w:type="pct"/>
            <w:tcBorders>
              <w:top w:val="nil"/>
              <w:left w:val="nil"/>
              <w:bottom w:val="single" w:sz="4" w:space="0" w:color="auto"/>
              <w:right w:val="single" w:sz="4" w:space="0" w:color="auto"/>
            </w:tcBorders>
            <w:shd w:val="clear" w:color="auto" w:fill="auto"/>
            <w:vAlign w:val="center"/>
            <w:hideMark/>
          </w:tcPr>
          <w:p w14:paraId="71130EA6"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KOS=25</w:t>
            </w:r>
          </w:p>
        </w:tc>
        <w:tc>
          <w:tcPr>
            <w:tcW w:w="431" w:type="pct"/>
            <w:tcBorders>
              <w:top w:val="nil"/>
              <w:left w:val="nil"/>
              <w:bottom w:val="single" w:sz="4" w:space="0" w:color="auto"/>
              <w:right w:val="single" w:sz="4" w:space="0" w:color="auto"/>
            </w:tcBorders>
            <w:shd w:val="clear" w:color="auto" w:fill="auto"/>
            <w:noWrap/>
            <w:vAlign w:val="center"/>
            <w:hideMark/>
          </w:tcPr>
          <w:p w14:paraId="0325E02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16,53</w:t>
            </w:r>
          </w:p>
        </w:tc>
        <w:tc>
          <w:tcPr>
            <w:tcW w:w="487" w:type="pct"/>
            <w:tcBorders>
              <w:top w:val="nil"/>
              <w:left w:val="nil"/>
              <w:bottom w:val="single" w:sz="4" w:space="0" w:color="auto"/>
              <w:right w:val="single" w:sz="4" w:space="0" w:color="auto"/>
            </w:tcBorders>
            <w:shd w:val="clear" w:color="auto" w:fill="auto"/>
            <w:noWrap/>
            <w:vAlign w:val="center"/>
            <w:hideMark/>
          </w:tcPr>
          <w:p w14:paraId="5F16118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0,66</w:t>
            </w:r>
          </w:p>
        </w:tc>
        <w:tc>
          <w:tcPr>
            <w:tcW w:w="376" w:type="pct"/>
            <w:tcBorders>
              <w:top w:val="nil"/>
              <w:left w:val="nil"/>
              <w:bottom w:val="single" w:sz="4" w:space="0" w:color="auto"/>
              <w:right w:val="single" w:sz="4" w:space="0" w:color="auto"/>
            </w:tcBorders>
            <w:shd w:val="clear" w:color="auto" w:fill="auto"/>
            <w:noWrap/>
            <w:vAlign w:val="center"/>
            <w:hideMark/>
          </w:tcPr>
          <w:p w14:paraId="6CAAAF6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0,20</w:t>
            </w:r>
          </w:p>
        </w:tc>
        <w:tc>
          <w:tcPr>
            <w:tcW w:w="576" w:type="pct"/>
            <w:tcBorders>
              <w:top w:val="nil"/>
              <w:left w:val="nil"/>
              <w:bottom w:val="single" w:sz="4" w:space="0" w:color="auto"/>
              <w:right w:val="single" w:sz="4" w:space="0" w:color="auto"/>
            </w:tcBorders>
            <w:shd w:val="clear" w:color="auto" w:fill="auto"/>
            <w:vAlign w:val="center"/>
            <w:hideMark/>
          </w:tcPr>
          <w:p w14:paraId="6B17C09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0,13</w:t>
            </w:r>
          </w:p>
        </w:tc>
      </w:tr>
      <w:tr w:rsidR="00FE461F" w:rsidRPr="005E4BEA" w14:paraId="49D9CDFF"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34F254D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Zdravila v </w:t>
            </w:r>
            <w:proofErr w:type="spellStart"/>
            <w:r w:rsidRPr="005E4BEA">
              <w:rPr>
                <w:rFonts w:cs="Arial"/>
                <w:i/>
                <w:iCs/>
                <w:color w:val="808080" w:themeColor="background1" w:themeShade="80"/>
                <w:szCs w:val="20"/>
              </w:rPr>
              <w:t>reanimacijskem</w:t>
            </w:r>
            <w:proofErr w:type="spellEnd"/>
            <w:r w:rsidRPr="005E4BEA">
              <w:rPr>
                <w:rFonts w:cs="Arial"/>
                <w:i/>
                <w:iCs/>
                <w:color w:val="808080" w:themeColor="background1" w:themeShade="80"/>
                <w:szCs w:val="20"/>
              </w:rPr>
              <w:t xml:space="preserve"> vozičku</w:t>
            </w:r>
          </w:p>
        </w:tc>
        <w:tc>
          <w:tcPr>
            <w:tcW w:w="828" w:type="pct"/>
            <w:tcBorders>
              <w:top w:val="nil"/>
              <w:left w:val="nil"/>
              <w:bottom w:val="single" w:sz="4" w:space="0" w:color="auto"/>
              <w:right w:val="single" w:sz="4" w:space="0" w:color="auto"/>
            </w:tcBorders>
            <w:shd w:val="clear" w:color="auto" w:fill="auto"/>
            <w:noWrap/>
            <w:vAlign w:val="center"/>
            <w:hideMark/>
          </w:tcPr>
          <w:p w14:paraId="4FAE31B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68B649B7"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14:paraId="3436E49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14:paraId="38EB8EE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14:paraId="3FD51F69"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76" w:type="pct"/>
            <w:tcBorders>
              <w:top w:val="nil"/>
              <w:left w:val="nil"/>
              <w:bottom w:val="nil"/>
              <w:right w:val="single" w:sz="4" w:space="0" w:color="auto"/>
            </w:tcBorders>
            <w:shd w:val="clear" w:color="auto" w:fill="auto"/>
            <w:noWrap/>
            <w:vAlign w:val="center"/>
            <w:hideMark/>
          </w:tcPr>
          <w:p w14:paraId="6E22D88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0,02</w:t>
            </w:r>
          </w:p>
        </w:tc>
      </w:tr>
      <w:tr w:rsidR="00FE461F" w:rsidRPr="005E4BEA" w14:paraId="7AA51CDE"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43C07B64"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Methoxsalene</w:t>
            </w:r>
            <w:proofErr w:type="spellEnd"/>
            <w:r w:rsidRPr="005E4BEA">
              <w:rPr>
                <w:rFonts w:cs="Arial"/>
                <w:i/>
                <w:iCs/>
                <w:color w:val="808080" w:themeColor="background1" w:themeShade="80"/>
                <w:szCs w:val="20"/>
              </w:rPr>
              <w:t xml:space="preserve"> FMOA20.5PSO (0,1 mg / 5 ml) </w:t>
            </w:r>
            <w:proofErr w:type="spellStart"/>
            <w:r w:rsidRPr="005E4BEA">
              <w:rPr>
                <w:rFonts w:cs="Arial"/>
                <w:i/>
                <w:iCs/>
                <w:color w:val="808080" w:themeColor="background1" w:themeShade="80"/>
                <w:szCs w:val="20"/>
              </w:rPr>
              <w:t>S.A.L.F.sterilna</w:t>
            </w:r>
            <w:proofErr w:type="spellEnd"/>
            <w:r w:rsidRPr="005E4BEA">
              <w:rPr>
                <w:rFonts w:cs="Arial"/>
                <w:i/>
                <w:iCs/>
                <w:color w:val="808080" w:themeColor="background1" w:themeShade="80"/>
                <w:szCs w:val="20"/>
              </w:rPr>
              <w:t xml:space="preserve"> raztopina, 1 </w:t>
            </w:r>
            <w:proofErr w:type="spellStart"/>
            <w:r w:rsidRPr="005E4BEA">
              <w:rPr>
                <w:rFonts w:cs="Arial"/>
                <w:i/>
                <w:iCs/>
                <w:color w:val="808080" w:themeColor="background1" w:themeShade="80"/>
                <w:szCs w:val="20"/>
              </w:rPr>
              <w:t>viala</w:t>
            </w:r>
            <w:proofErr w:type="spellEnd"/>
            <w:r w:rsidRPr="005E4BEA">
              <w:rPr>
                <w:rFonts w:cs="Arial"/>
                <w:i/>
                <w:iCs/>
                <w:color w:val="808080" w:themeColor="background1" w:themeShade="80"/>
                <w:szCs w:val="20"/>
              </w:rPr>
              <w:t xml:space="preserve"> á 5ml</w:t>
            </w:r>
          </w:p>
        </w:tc>
        <w:tc>
          <w:tcPr>
            <w:tcW w:w="828" w:type="pct"/>
            <w:tcBorders>
              <w:top w:val="nil"/>
              <w:left w:val="nil"/>
              <w:bottom w:val="single" w:sz="4" w:space="0" w:color="auto"/>
              <w:right w:val="single" w:sz="4" w:space="0" w:color="auto"/>
            </w:tcBorders>
            <w:shd w:val="clear" w:color="auto" w:fill="auto"/>
            <w:vAlign w:val="center"/>
            <w:hideMark/>
          </w:tcPr>
          <w:p w14:paraId="4A4A774E"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1010540</w:t>
            </w:r>
          </w:p>
        </w:tc>
        <w:tc>
          <w:tcPr>
            <w:tcW w:w="590" w:type="pct"/>
            <w:tcBorders>
              <w:top w:val="nil"/>
              <w:left w:val="nil"/>
              <w:bottom w:val="single" w:sz="4" w:space="0" w:color="auto"/>
              <w:right w:val="single" w:sz="4" w:space="0" w:color="auto"/>
            </w:tcBorders>
            <w:shd w:val="clear" w:color="auto" w:fill="auto"/>
            <w:vAlign w:val="center"/>
            <w:hideMark/>
          </w:tcPr>
          <w:p w14:paraId="25CFCC38"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KOS=</w:t>
            </w:r>
            <w:proofErr w:type="spellStart"/>
            <w:r w:rsidRPr="005E4BEA">
              <w:rPr>
                <w:rFonts w:cs="Arial"/>
                <w:i/>
                <w:iCs/>
                <w:color w:val="808080" w:themeColor="background1" w:themeShade="80"/>
                <w:szCs w:val="20"/>
              </w:rPr>
              <w:t>viala</w:t>
            </w:r>
            <w:proofErr w:type="spellEnd"/>
          </w:p>
        </w:tc>
        <w:tc>
          <w:tcPr>
            <w:tcW w:w="431" w:type="pct"/>
            <w:tcBorders>
              <w:top w:val="nil"/>
              <w:left w:val="nil"/>
              <w:bottom w:val="single" w:sz="4" w:space="0" w:color="auto"/>
              <w:right w:val="single" w:sz="4" w:space="0" w:color="auto"/>
            </w:tcBorders>
            <w:shd w:val="clear" w:color="auto" w:fill="auto"/>
            <w:noWrap/>
            <w:vAlign w:val="center"/>
            <w:hideMark/>
          </w:tcPr>
          <w:p w14:paraId="2FDA54D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29,13</w:t>
            </w:r>
          </w:p>
        </w:tc>
        <w:tc>
          <w:tcPr>
            <w:tcW w:w="487" w:type="pct"/>
            <w:tcBorders>
              <w:top w:val="nil"/>
              <w:left w:val="nil"/>
              <w:bottom w:val="single" w:sz="4" w:space="0" w:color="auto"/>
              <w:right w:val="single" w:sz="4" w:space="0" w:color="auto"/>
            </w:tcBorders>
            <w:shd w:val="clear" w:color="auto" w:fill="auto"/>
            <w:noWrap/>
            <w:vAlign w:val="center"/>
            <w:hideMark/>
          </w:tcPr>
          <w:p w14:paraId="65F677E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29,13</w:t>
            </w:r>
          </w:p>
        </w:tc>
        <w:tc>
          <w:tcPr>
            <w:tcW w:w="376" w:type="pct"/>
            <w:tcBorders>
              <w:top w:val="nil"/>
              <w:left w:val="nil"/>
              <w:bottom w:val="single" w:sz="4" w:space="0" w:color="auto"/>
              <w:right w:val="single" w:sz="4" w:space="0" w:color="auto"/>
            </w:tcBorders>
            <w:shd w:val="clear" w:color="auto" w:fill="auto"/>
            <w:noWrap/>
            <w:vAlign w:val="center"/>
            <w:hideMark/>
          </w:tcPr>
          <w:p w14:paraId="3B63B08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xml:space="preserve">1 </w:t>
            </w:r>
            <w:proofErr w:type="spellStart"/>
            <w:r w:rsidRPr="005E4BEA">
              <w:rPr>
                <w:rFonts w:cs="Arial"/>
                <w:i/>
                <w:iCs/>
                <w:color w:val="808080" w:themeColor="background1" w:themeShade="80"/>
                <w:szCs w:val="20"/>
              </w:rPr>
              <w:t>viala</w:t>
            </w:r>
            <w:proofErr w:type="spellEnd"/>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A78781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29,13</w:t>
            </w:r>
          </w:p>
        </w:tc>
      </w:tr>
      <w:tr w:rsidR="00FE461F" w:rsidRPr="005E4BEA" w14:paraId="57408332" w14:textId="77777777" w:rsidTr="0016774B">
        <w:trPr>
          <w:trHeight w:val="102"/>
        </w:trPr>
        <w:tc>
          <w:tcPr>
            <w:tcW w:w="1711" w:type="pct"/>
            <w:tcBorders>
              <w:top w:val="nil"/>
              <w:left w:val="nil"/>
              <w:bottom w:val="nil"/>
              <w:right w:val="nil"/>
            </w:tcBorders>
            <w:shd w:val="clear" w:color="auto" w:fill="auto"/>
            <w:noWrap/>
            <w:vAlign w:val="center"/>
            <w:hideMark/>
          </w:tcPr>
          <w:p w14:paraId="2B516829" w14:textId="77777777" w:rsidR="00FE461F" w:rsidRPr="005E4BEA" w:rsidRDefault="00FE461F" w:rsidP="00FE461F">
            <w:pPr>
              <w:spacing w:line="240" w:lineRule="auto"/>
              <w:rPr>
                <w:rFonts w:cs="Arial"/>
                <w:b/>
                <w:bCs/>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6D15BBF1" w14:textId="77777777" w:rsidR="00FE461F" w:rsidRPr="005E4BEA" w:rsidRDefault="00FE461F" w:rsidP="00FE461F">
            <w:pPr>
              <w:spacing w:line="240" w:lineRule="auto"/>
              <w:rPr>
                <w:rFonts w:cs="Arial"/>
                <w:b/>
                <w:bCs/>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75D7FE97" w14:textId="77777777" w:rsidR="00FE461F" w:rsidRPr="005E4BEA" w:rsidRDefault="00FE461F" w:rsidP="00FE461F">
            <w:pPr>
              <w:spacing w:line="240" w:lineRule="auto"/>
              <w:rPr>
                <w:rFonts w:cs="Arial"/>
                <w:b/>
                <w:bCs/>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7A4ED260"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3CE99FE4"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69A7C0C6" w14:textId="77777777" w:rsidR="00FE461F" w:rsidRPr="005E4BEA" w:rsidRDefault="00FE461F" w:rsidP="00FE461F">
            <w:pPr>
              <w:spacing w:line="240" w:lineRule="auto"/>
              <w:rPr>
                <w:rFonts w:cs="Arial"/>
                <w:b/>
                <w:bCs/>
                <w:i/>
                <w:iCs/>
                <w:color w:val="808080" w:themeColor="background1" w:themeShade="80"/>
                <w:szCs w:val="20"/>
              </w:rPr>
            </w:pPr>
          </w:p>
        </w:tc>
        <w:tc>
          <w:tcPr>
            <w:tcW w:w="576"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639B48B0"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39,74</w:t>
            </w:r>
          </w:p>
        </w:tc>
      </w:tr>
      <w:tr w:rsidR="00FE461F" w:rsidRPr="005E4BEA" w14:paraId="48480296" w14:textId="77777777" w:rsidTr="0016774B">
        <w:trPr>
          <w:trHeight w:val="102"/>
        </w:trPr>
        <w:tc>
          <w:tcPr>
            <w:tcW w:w="1711" w:type="pct"/>
            <w:tcBorders>
              <w:top w:val="nil"/>
              <w:left w:val="nil"/>
              <w:bottom w:val="nil"/>
              <w:right w:val="nil"/>
            </w:tcBorders>
            <w:shd w:val="clear" w:color="auto" w:fill="auto"/>
            <w:noWrap/>
            <w:vAlign w:val="center"/>
            <w:hideMark/>
          </w:tcPr>
          <w:p w14:paraId="60F5E749"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54B6B85B"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00CB56ED" w14:textId="77777777" w:rsidR="00FE461F" w:rsidRPr="005E4BEA" w:rsidRDefault="00FE461F" w:rsidP="00FE461F">
            <w:pPr>
              <w:spacing w:line="240" w:lineRule="auto"/>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13D269BD"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0A2F2E83" w14:textId="77777777" w:rsidR="00FE461F" w:rsidRPr="005E4BEA" w:rsidRDefault="00FE461F" w:rsidP="00FE461F">
            <w:pPr>
              <w:spacing w:line="240" w:lineRule="auto"/>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4F181511"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69ED1B95" w14:textId="77777777" w:rsidR="00FE461F" w:rsidRPr="005E4BEA" w:rsidRDefault="00FE461F" w:rsidP="00FE461F">
            <w:pPr>
              <w:spacing w:line="240" w:lineRule="auto"/>
              <w:jc w:val="right"/>
              <w:rPr>
                <w:rFonts w:cs="Arial"/>
                <w:b/>
                <w:bCs/>
                <w:i/>
                <w:iCs/>
                <w:color w:val="808080" w:themeColor="background1" w:themeShade="80"/>
                <w:szCs w:val="20"/>
              </w:rPr>
            </w:pPr>
          </w:p>
        </w:tc>
      </w:tr>
      <w:tr w:rsidR="00FE461F" w:rsidRPr="005E4BEA" w14:paraId="3E316F3B" w14:textId="77777777" w:rsidTr="0016774B">
        <w:trPr>
          <w:trHeight w:val="102"/>
        </w:trPr>
        <w:tc>
          <w:tcPr>
            <w:tcW w:w="1711" w:type="pct"/>
            <w:tcBorders>
              <w:top w:val="single" w:sz="4" w:space="0" w:color="3366FF"/>
              <w:left w:val="single" w:sz="4" w:space="0" w:color="3366FF"/>
              <w:bottom w:val="nil"/>
              <w:right w:val="single" w:sz="4" w:space="0" w:color="3366FF"/>
            </w:tcBorders>
            <w:shd w:val="clear" w:color="auto" w:fill="auto"/>
            <w:noWrap/>
            <w:vAlign w:val="center"/>
            <w:hideMark/>
          </w:tcPr>
          <w:p w14:paraId="0D981E12"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Potrošni material</w:t>
            </w:r>
          </w:p>
        </w:tc>
        <w:tc>
          <w:tcPr>
            <w:tcW w:w="828" w:type="pct"/>
            <w:tcBorders>
              <w:top w:val="single" w:sz="4" w:space="0" w:color="3366FF"/>
              <w:left w:val="nil"/>
              <w:bottom w:val="nil"/>
              <w:right w:val="single" w:sz="4" w:space="0" w:color="3366FF"/>
            </w:tcBorders>
            <w:shd w:val="clear" w:color="auto" w:fill="auto"/>
            <w:noWrap/>
            <w:vAlign w:val="center"/>
            <w:hideMark/>
          </w:tcPr>
          <w:p w14:paraId="1FC64965"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Šifra ZTM</w:t>
            </w:r>
          </w:p>
        </w:tc>
        <w:tc>
          <w:tcPr>
            <w:tcW w:w="590" w:type="pct"/>
            <w:tcBorders>
              <w:top w:val="single" w:sz="4" w:space="0" w:color="3366FF"/>
              <w:left w:val="nil"/>
              <w:bottom w:val="nil"/>
              <w:right w:val="single" w:sz="4" w:space="0" w:color="3366FF"/>
            </w:tcBorders>
            <w:shd w:val="clear" w:color="auto" w:fill="auto"/>
            <w:vAlign w:val="center"/>
            <w:hideMark/>
          </w:tcPr>
          <w:p w14:paraId="14FA6BA8"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Pakiranje</w:t>
            </w:r>
          </w:p>
        </w:tc>
        <w:tc>
          <w:tcPr>
            <w:tcW w:w="431" w:type="pct"/>
            <w:tcBorders>
              <w:top w:val="single" w:sz="4" w:space="0" w:color="3366FF"/>
              <w:left w:val="nil"/>
              <w:bottom w:val="nil"/>
              <w:right w:val="single" w:sz="4" w:space="0" w:color="3366FF"/>
            </w:tcBorders>
            <w:shd w:val="clear" w:color="auto" w:fill="auto"/>
            <w:vAlign w:val="center"/>
            <w:hideMark/>
          </w:tcPr>
          <w:p w14:paraId="6600B5D7"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NC</w:t>
            </w:r>
          </w:p>
        </w:tc>
        <w:tc>
          <w:tcPr>
            <w:tcW w:w="487" w:type="pct"/>
            <w:tcBorders>
              <w:top w:val="single" w:sz="4" w:space="0" w:color="3366FF"/>
              <w:left w:val="nil"/>
              <w:bottom w:val="nil"/>
              <w:right w:val="single" w:sz="4" w:space="0" w:color="3366FF"/>
            </w:tcBorders>
            <w:shd w:val="clear" w:color="auto" w:fill="auto"/>
            <w:noWrap/>
            <w:vAlign w:val="center"/>
            <w:hideMark/>
          </w:tcPr>
          <w:p w14:paraId="444CE095"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NC / KOS</w:t>
            </w:r>
          </w:p>
        </w:tc>
        <w:tc>
          <w:tcPr>
            <w:tcW w:w="376" w:type="pct"/>
            <w:tcBorders>
              <w:top w:val="single" w:sz="4" w:space="0" w:color="3366FF"/>
              <w:left w:val="nil"/>
              <w:bottom w:val="nil"/>
              <w:right w:val="single" w:sz="4" w:space="0" w:color="3366FF"/>
            </w:tcBorders>
            <w:shd w:val="clear" w:color="auto" w:fill="auto"/>
            <w:vAlign w:val="center"/>
            <w:hideMark/>
          </w:tcPr>
          <w:p w14:paraId="5450880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normativ 1 preiskavo</w:t>
            </w:r>
          </w:p>
        </w:tc>
        <w:tc>
          <w:tcPr>
            <w:tcW w:w="576" w:type="pct"/>
            <w:tcBorders>
              <w:top w:val="single" w:sz="4" w:space="0" w:color="3366FF"/>
              <w:left w:val="nil"/>
              <w:bottom w:val="nil"/>
              <w:right w:val="single" w:sz="4" w:space="0" w:color="3366FF"/>
            </w:tcBorders>
            <w:shd w:val="clear" w:color="auto" w:fill="auto"/>
            <w:noWrap/>
            <w:vAlign w:val="center"/>
            <w:hideMark/>
          </w:tcPr>
          <w:p w14:paraId="30801EF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Cena za storitev</w:t>
            </w:r>
          </w:p>
        </w:tc>
      </w:tr>
      <w:tr w:rsidR="00FE461F" w:rsidRPr="005E4BEA" w14:paraId="62D77611" w14:textId="77777777" w:rsidTr="0016774B">
        <w:trPr>
          <w:trHeight w:val="10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5016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set </w:t>
            </w:r>
            <w:proofErr w:type="spellStart"/>
            <w:r w:rsidRPr="005E4BEA">
              <w:rPr>
                <w:rFonts w:cs="Arial"/>
                <w:i/>
                <w:iCs/>
                <w:color w:val="808080" w:themeColor="background1" w:themeShade="80"/>
                <w:szCs w:val="20"/>
              </w:rPr>
              <w:t>Therakos</w:t>
            </w:r>
            <w:proofErr w:type="spellEnd"/>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4E948804"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3332DDF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SET (1 set=1 bolnik)</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417B194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902,67</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2A84FDD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902,67</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4B0A635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6892CD3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902,67</w:t>
            </w:r>
          </w:p>
        </w:tc>
      </w:tr>
      <w:tr w:rsidR="00FE461F" w:rsidRPr="005E4BEA" w14:paraId="5156E256"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ED9682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Igla 17G </w:t>
            </w:r>
          </w:p>
        </w:tc>
        <w:tc>
          <w:tcPr>
            <w:tcW w:w="828" w:type="pct"/>
            <w:tcBorders>
              <w:top w:val="nil"/>
              <w:left w:val="nil"/>
              <w:bottom w:val="single" w:sz="4" w:space="0" w:color="auto"/>
              <w:right w:val="single" w:sz="4" w:space="0" w:color="auto"/>
            </w:tcBorders>
            <w:shd w:val="clear" w:color="auto" w:fill="auto"/>
            <w:noWrap/>
            <w:vAlign w:val="center"/>
            <w:hideMark/>
          </w:tcPr>
          <w:p w14:paraId="757CA0C9"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1009504</w:t>
            </w:r>
          </w:p>
        </w:tc>
        <w:tc>
          <w:tcPr>
            <w:tcW w:w="590" w:type="pct"/>
            <w:tcBorders>
              <w:top w:val="nil"/>
              <w:left w:val="nil"/>
              <w:bottom w:val="single" w:sz="4" w:space="0" w:color="auto"/>
              <w:right w:val="single" w:sz="4" w:space="0" w:color="auto"/>
            </w:tcBorders>
            <w:shd w:val="clear" w:color="auto" w:fill="auto"/>
            <w:vAlign w:val="center"/>
            <w:hideMark/>
          </w:tcPr>
          <w:p w14:paraId="4931475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SC=50 kom</w:t>
            </w:r>
          </w:p>
        </w:tc>
        <w:tc>
          <w:tcPr>
            <w:tcW w:w="431" w:type="pct"/>
            <w:tcBorders>
              <w:top w:val="nil"/>
              <w:left w:val="nil"/>
              <w:bottom w:val="single" w:sz="4" w:space="0" w:color="auto"/>
              <w:right w:val="single" w:sz="4" w:space="0" w:color="auto"/>
            </w:tcBorders>
            <w:shd w:val="clear" w:color="auto" w:fill="auto"/>
            <w:noWrap/>
            <w:vAlign w:val="center"/>
            <w:hideMark/>
          </w:tcPr>
          <w:p w14:paraId="0289B17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28,47</w:t>
            </w:r>
          </w:p>
        </w:tc>
        <w:tc>
          <w:tcPr>
            <w:tcW w:w="487" w:type="pct"/>
            <w:tcBorders>
              <w:top w:val="nil"/>
              <w:left w:val="nil"/>
              <w:bottom w:val="single" w:sz="4" w:space="0" w:color="auto"/>
              <w:right w:val="single" w:sz="4" w:space="0" w:color="auto"/>
            </w:tcBorders>
            <w:shd w:val="clear" w:color="auto" w:fill="auto"/>
            <w:noWrap/>
            <w:vAlign w:val="center"/>
            <w:hideMark/>
          </w:tcPr>
          <w:p w14:paraId="776AD1B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0,57</w:t>
            </w:r>
          </w:p>
        </w:tc>
        <w:tc>
          <w:tcPr>
            <w:tcW w:w="376" w:type="pct"/>
            <w:tcBorders>
              <w:top w:val="nil"/>
              <w:left w:val="nil"/>
              <w:bottom w:val="single" w:sz="4" w:space="0" w:color="auto"/>
              <w:right w:val="single" w:sz="4" w:space="0" w:color="auto"/>
            </w:tcBorders>
            <w:shd w:val="clear" w:color="auto" w:fill="auto"/>
            <w:noWrap/>
            <w:vAlign w:val="center"/>
            <w:hideMark/>
          </w:tcPr>
          <w:p w14:paraId="57FB3F8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0,5</w:t>
            </w:r>
          </w:p>
        </w:tc>
        <w:tc>
          <w:tcPr>
            <w:tcW w:w="576" w:type="pct"/>
            <w:tcBorders>
              <w:top w:val="nil"/>
              <w:left w:val="nil"/>
              <w:bottom w:val="single" w:sz="4" w:space="0" w:color="auto"/>
              <w:right w:val="single" w:sz="4" w:space="0" w:color="auto"/>
            </w:tcBorders>
            <w:shd w:val="clear" w:color="auto" w:fill="auto"/>
            <w:noWrap/>
            <w:vAlign w:val="center"/>
            <w:hideMark/>
          </w:tcPr>
          <w:p w14:paraId="5CC01E4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0,28</w:t>
            </w:r>
          </w:p>
        </w:tc>
      </w:tr>
      <w:tr w:rsidR="00FE461F" w:rsidRPr="005E4BEA" w14:paraId="28640970"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D35D4D6"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Intravenozna kanila</w:t>
            </w:r>
          </w:p>
        </w:tc>
        <w:tc>
          <w:tcPr>
            <w:tcW w:w="828" w:type="pct"/>
            <w:tcBorders>
              <w:top w:val="nil"/>
              <w:left w:val="nil"/>
              <w:bottom w:val="single" w:sz="4" w:space="0" w:color="auto"/>
              <w:right w:val="single" w:sz="4" w:space="0" w:color="auto"/>
            </w:tcBorders>
            <w:shd w:val="clear" w:color="auto" w:fill="auto"/>
            <w:noWrap/>
            <w:vAlign w:val="center"/>
            <w:hideMark/>
          </w:tcPr>
          <w:p w14:paraId="6532D62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1009571</w:t>
            </w:r>
          </w:p>
        </w:tc>
        <w:tc>
          <w:tcPr>
            <w:tcW w:w="590" w:type="pct"/>
            <w:tcBorders>
              <w:top w:val="nil"/>
              <w:left w:val="nil"/>
              <w:bottom w:val="single" w:sz="4" w:space="0" w:color="auto"/>
              <w:right w:val="single" w:sz="4" w:space="0" w:color="auto"/>
            </w:tcBorders>
            <w:shd w:val="clear" w:color="auto" w:fill="auto"/>
            <w:vAlign w:val="center"/>
            <w:hideMark/>
          </w:tcPr>
          <w:p w14:paraId="6A4F84A4"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w:t>
            </w:r>
          </w:p>
        </w:tc>
        <w:tc>
          <w:tcPr>
            <w:tcW w:w="431" w:type="pct"/>
            <w:tcBorders>
              <w:top w:val="nil"/>
              <w:left w:val="nil"/>
              <w:bottom w:val="single" w:sz="4" w:space="0" w:color="auto"/>
              <w:right w:val="single" w:sz="4" w:space="0" w:color="auto"/>
            </w:tcBorders>
            <w:shd w:val="clear" w:color="auto" w:fill="auto"/>
            <w:noWrap/>
            <w:hideMark/>
          </w:tcPr>
          <w:p w14:paraId="07A070E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3,76</w:t>
            </w:r>
          </w:p>
        </w:tc>
        <w:tc>
          <w:tcPr>
            <w:tcW w:w="487" w:type="pct"/>
            <w:tcBorders>
              <w:top w:val="nil"/>
              <w:left w:val="nil"/>
              <w:bottom w:val="single" w:sz="4" w:space="0" w:color="auto"/>
              <w:right w:val="single" w:sz="4" w:space="0" w:color="auto"/>
            </w:tcBorders>
            <w:shd w:val="clear" w:color="auto" w:fill="auto"/>
            <w:noWrap/>
            <w:vAlign w:val="center"/>
            <w:hideMark/>
          </w:tcPr>
          <w:p w14:paraId="31191CC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3,76</w:t>
            </w:r>
          </w:p>
        </w:tc>
        <w:tc>
          <w:tcPr>
            <w:tcW w:w="376" w:type="pct"/>
            <w:tcBorders>
              <w:top w:val="nil"/>
              <w:left w:val="nil"/>
              <w:bottom w:val="single" w:sz="4" w:space="0" w:color="auto"/>
              <w:right w:val="single" w:sz="4" w:space="0" w:color="auto"/>
            </w:tcBorders>
            <w:shd w:val="clear" w:color="auto" w:fill="auto"/>
            <w:noWrap/>
            <w:vAlign w:val="center"/>
            <w:hideMark/>
          </w:tcPr>
          <w:p w14:paraId="2B71A84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1,5</w:t>
            </w:r>
          </w:p>
        </w:tc>
        <w:tc>
          <w:tcPr>
            <w:tcW w:w="576" w:type="pct"/>
            <w:tcBorders>
              <w:top w:val="nil"/>
              <w:left w:val="nil"/>
              <w:bottom w:val="single" w:sz="4" w:space="0" w:color="auto"/>
              <w:right w:val="single" w:sz="4" w:space="0" w:color="auto"/>
            </w:tcBorders>
            <w:shd w:val="clear" w:color="auto" w:fill="auto"/>
            <w:noWrap/>
            <w:vAlign w:val="center"/>
            <w:hideMark/>
          </w:tcPr>
          <w:p w14:paraId="425094A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5,65</w:t>
            </w:r>
          </w:p>
        </w:tc>
      </w:tr>
      <w:tr w:rsidR="00FE461F" w:rsidRPr="005E4BEA" w14:paraId="45F3084A"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0CAD2B3"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Tegaderm</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2001DBA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1006954</w:t>
            </w:r>
          </w:p>
        </w:tc>
        <w:tc>
          <w:tcPr>
            <w:tcW w:w="590" w:type="pct"/>
            <w:tcBorders>
              <w:top w:val="nil"/>
              <w:left w:val="nil"/>
              <w:bottom w:val="single" w:sz="4" w:space="0" w:color="auto"/>
              <w:right w:val="single" w:sz="4" w:space="0" w:color="auto"/>
            </w:tcBorders>
            <w:shd w:val="clear" w:color="auto" w:fill="auto"/>
            <w:vAlign w:val="center"/>
            <w:hideMark/>
          </w:tcPr>
          <w:p w14:paraId="0255034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center"/>
            <w:hideMark/>
          </w:tcPr>
          <w:p w14:paraId="126B20D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38,93</w:t>
            </w:r>
          </w:p>
        </w:tc>
        <w:tc>
          <w:tcPr>
            <w:tcW w:w="487" w:type="pct"/>
            <w:tcBorders>
              <w:top w:val="nil"/>
              <w:left w:val="nil"/>
              <w:bottom w:val="single" w:sz="4" w:space="0" w:color="auto"/>
              <w:right w:val="single" w:sz="4" w:space="0" w:color="auto"/>
            </w:tcBorders>
            <w:shd w:val="clear" w:color="auto" w:fill="auto"/>
            <w:noWrap/>
            <w:vAlign w:val="center"/>
            <w:hideMark/>
          </w:tcPr>
          <w:p w14:paraId="32D8C45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0,39</w:t>
            </w:r>
          </w:p>
        </w:tc>
        <w:tc>
          <w:tcPr>
            <w:tcW w:w="376" w:type="pct"/>
            <w:tcBorders>
              <w:top w:val="nil"/>
              <w:left w:val="nil"/>
              <w:bottom w:val="single" w:sz="4" w:space="0" w:color="auto"/>
              <w:right w:val="single" w:sz="4" w:space="0" w:color="auto"/>
            </w:tcBorders>
            <w:shd w:val="clear" w:color="auto" w:fill="auto"/>
            <w:noWrap/>
            <w:vAlign w:val="center"/>
            <w:hideMark/>
          </w:tcPr>
          <w:p w14:paraId="40F0DFF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73CE21C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0,39</w:t>
            </w:r>
          </w:p>
        </w:tc>
      </w:tr>
      <w:tr w:rsidR="00FE461F" w:rsidRPr="005E4BEA" w14:paraId="3D1982FA"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791EAD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Zamašek </w:t>
            </w:r>
            <w:proofErr w:type="spellStart"/>
            <w:r w:rsidRPr="005E4BEA">
              <w:rPr>
                <w:rFonts w:cs="Arial"/>
                <w:i/>
                <w:iCs/>
                <w:color w:val="808080" w:themeColor="background1" w:themeShade="80"/>
                <w:szCs w:val="20"/>
              </w:rPr>
              <w:t>Microclave</w:t>
            </w:r>
            <w:proofErr w:type="spellEnd"/>
            <w:r w:rsidRPr="005E4BEA">
              <w:rPr>
                <w:rFonts w:cs="Arial"/>
                <w:i/>
                <w:iCs/>
                <w:color w:val="808080" w:themeColor="background1" w:themeShade="80"/>
                <w:szCs w:val="20"/>
              </w:rPr>
              <w:t xml:space="preserve"> </w:t>
            </w:r>
          </w:p>
        </w:tc>
        <w:tc>
          <w:tcPr>
            <w:tcW w:w="828" w:type="pct"/>
            <w:tcBorders>
              <w:top w:val="nil"/>
              <w:left w:val="nil"/>
              <w:bottom w:val="single" w:sz="4" w:space="0" w:color="auto"/>
              <w:right w:val="single" w:sz="4" w:space="0" w:color="auto"/>
            </w:tcBorders>
            <w:shd w:val="clear" w:color="auto" w:fill="auto"/>
            <w:noWrap/>
            <w:vAlign w:val="center"/>
            <w:hideMark/>
          </w:tcPr>
          <w:p w14:paraId="53EBA39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1007366</w:t>
            </w:r>
          </w:p>
        </w:tc>
        <w:tc>
          <w:tcPr>
            <w:tcW w:w="590" w:type="pct"/>
            <w:tcBorders>
              <w:top w:val="nil"/>
              <w:left w:val="nil"/>
              <w:bottom w:val="single" w:sz="4" w:space="0" w:color="auto"/>
              <w:right w:val="single" w:sz="4" w:space="0" w:color="auto"/>
            </w:tcBorders>
            <w:shd w:val="clear" w:color="auto" w:fill="auto"/>
            <w:vAlign w:val="center"/>
            <w:hideMark/>
          </w:tcPr>
          <w:p w14:paraId="11EF64A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center"/>
            <w:hideMark/>
          </w:tcPr>
          <w:p w14:paraId="27F5D04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129,32</w:t>
            </w:r>
          </w:p>
        </w:tc>
        <w:tc>
          <w:tcPr>
            <w:tcW w:w="487" w:type="pct"/>
            <w:tcBorders>
              <w:top w:val="nil"/>
              <w:left w:val="nil"/>
              <w:bottom w:val="single" w:sz="4" w:space="0" w:color="auto"/>
              <w:right w:val="single" w:sz="4" w:space="0" w:color="auto"/>
            </w:tcBorders>
            <w:shd w:val="clear" w:color="auto" w:fill="auto"/>
            <w:noWrap/>
            <w:vAlign w:val="center"/>
            <w:hideMark/>
          </w:tcPr>
          <w:p w14:paraId="1C44440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1,29</w:t>
            </w:r>
          </w:p>
        </w:tc>
        <w:tc>
          <w:tcPr>
            <w:tcW w:w="376" w:type="pct"/>
            <w:tcBorders>
              <w:top w:val="nil"/>
              <w:left w:val="nil"/>
              <w:bottom w:val="single" w:sz="4" w:space="0" w:color="auto"/>
              <w:right w:val="single" w:sz="4" w:space="0" w:color="auto"/>
            </w:tcBorders>
            <w:shd w:val="clear" w:color="auto" w:fill="auto"/>
            <w:noWrap/>
            <w:vAlign w:val="center"/>
            <w:hideMark/>
          </w:tcPr>
          <w:p w14:paraId="01F2B3A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56E227B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1,29</w:t>
            </w:r>
          </w:p>
        </w:tc>
      </w:tr>
      <w:tr w:rsidR="00FE461F" w:rsidRPr="005E4BEA" w14:paraId="48442D7E"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6C27ADA"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Zamašek TEGO </w:t>
            </w:r>
            <w:proofErr w:type="spellStart"/>
            <w:r w:rsidRPr="005E4BEA">
              <w:rPr>
                <w:rFonts w:cs="Arial"/>
                <w:i/>
                <w:iCs/>
                <w:color w:val="808080" w:themeColor="background1" w:themeShade="80"/>
                <w:szCs w:val="20"/>
              </w:rPr>
              <w:t>Connector</w:t>
            </w:r>
            <w:proofErr w:type="spellEnd"/>
            <w:r w:rsidRPr="005E4BEA">
              <w:rPr>
                <w:rFonts w:cs="Arial"/>
                <w:i/>
                <w:iCs/>
                <w:color w:val="808080" w:themeColor="background1" w:themeShade="80"/>
                <w:szCs w:val="20"/>
              </w:rPr>
              <w:t xml:space="preserve"> (2) CVK</w:t>
            </w:r>
          </w:p>
        </w:tc>
        <w:tc>
          <w:tcPr>
            <w:tcW w:w="828" w:type="pct"/>
            <w:tcBorders>
              <w:top w:val="nil"/>
              <w:left w:val="nil"/>
              <w:bottom w:val="single" w:sz="4" w:space="0" w:color="auto"/>
              <w:right w:val="single" w:sz="4" w:space="0" w:color="auto"/>
            </w:tcBorders>
            <w:shd w:val="clear" w:color="auto" w:fill="auto"/>
            <w:noWrap/>
            <w:vAlign w:val="center"/>
            <w:hideMark/>
          </w:tcPr>
          <w:p w14:paraId="3DEFC25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1009149</w:t>
            </w:r>
          </w:p>
        </w:tc>
        <w:tc>
          <w:tcPr>
            <w:tcW w:w="590" w:type="pct"/>
            <w:tcBorders>
              <w:top w:val="nil"/>
              <w:left w:val="nil"/>
              <w:bottom w:val="single" w:sz="4" w:space="0" w:color="auto"/>
              <w:right w:val="single" w:sz="4" w:space="0" w:color="auto"/>
            </w:tcBorders>
            <w:shd w:val="clear" w:color="auto" w:fill="auto"/>
            <w:vAlign w:val="center"/>
            <w:hideMark/>
          </w:tcPr>
          <w:p w14:paraId="31FFE9A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center"/>
            <w:hideMark/>
          </w:tcPr>
          <w:p w14:paraId="41B2DE1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450,18</w:t>
            </w:r>
          </w:p>
        </w:tc>
        <w:tc>
          <w:tcPr>
            <w:tcW w:w="487" w:type="pct"/>
            <w:tcBorders>
              <w:top w:val="nil"/>
              <w:left w:val="nil"/>
              <w:bottom w:val="single" w:sz="4" w:space="0" w:color="auto"/>
              <w:right w:val="single" w:sz="4" w:space="0" w:color="auto"/>
            </w:tcBorders>
            <w:shd w:val="clear" w:color="auto" w:fill="auto"/>
            <w:noWrap/>
            <w:vAlign w:val="center"/>
            <w:hideMark/>
          </w:tcPr>
          <w:p w14:paraId="05FFFED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4,50</w:t>
            </w:r>
          </w:p>
        </w:tc>
        <w:tc>
          <w:tcPr>
            <w:tcW w:w="376" w:type="pct"/>
            <w:tcBorders>
              <w:top w:val="nil"/>
              <w:left w:val="nil"/>
              <w:bottom w:val="single" w:sz="4" w:space="0" w:color="auto"/>
              <w:right w:val="single" w:sz="4" w:space="0" w:color="auto"/>
            </w:tcBorders>
            <w:shd w:val="clear" w:color="auto" w:fill="auto"/>
            <w:noWrap/>
            <w:vAlign w:val="center"/>
            <w:hideMark/>
          </w:tcPr>
          <w:p w14:paraId="48DF4A3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w:t>
            </w:r>
          </w:p>
        </w:tc>
        <w:tc>
          <w:tcPr>
            <w:tcW w:w="576" w:type="pct"/>
            <w:tcBorders>
              <w:top w:val="nil"/>
              <w:left w:val="nil"/>
              <w:bottom w:val="single" w:sz="4" w:space="0" w:color="auto"/>
              <w:right w:val="single" w:sz="4" w:space="0" w:color="auto"/>
            </w:tcBorders>
            <w:shd w:val="clear" w:color="auto" w:fill="auto"/>
            <w:noWrap/>
            <w:vAlign w:val="center"/>
            <w:hideMark/>
          </w:tcPr>
          <w:p w14:paraId="392E822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0,90</w:t>
            </w:r>
          </w:p>
        </w:tc>
      </w:tr>
      <w:tr w:rsidR="00FE461F" w:rsidRPr="005E4BEA" w14:paraId="7024AFE3"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A92295D"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SwabCap</w:t>
            </w:r>
            <w:proofErr w:type="spellEnd"/>
            <w:r w:rsidRPr="005E4BEA">
              <w:rPr>
                <w:rFonts w:cs="Arial"/>
                <w:i/>
                <w:iCs/>
                <w:color w:val="808080" w:themeColor="background1" w:themeShade="80"/>
                <w:szCs w:val="20"/>
              </w:rPr>
              <w:t xml:space="preserve"> Zamaški CVK</w:t>
            </w:r>
          </w:p>
        </w:tc>
        <w:tc>
          <w:tcPr>
            <w:tcW w:w="828" w:type="pct"/>
            <w:tcBorders>
              <w:top w:val="nil"/>
              <w:left w:val="nil"/>
              <w:bottom w:val="single" w:sz="4" w:space="0" w:color="auto"/>
              <w:right w:val="single" w:sz="4" w:space="0" w:color="auto"/>
            </w:tcBorders>
            <w:shd w:val="clear" w:color="auto" w:fill="auto"/>
            <w:noWrap/>
            <w:vAlign w:val="center"/>
            <w:hideMark/>
          </w:tcPr>
          <w:p w14:paraId="5449D8E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1010511</w:t>
            </w:r>
          </w:p>
        </w:tc>
        <w:tc>
          <w:tcPr>
            <w:tcW w:w="590" w:type="pct"/>
            <w:tcBorders>
              <w:top w:val="nil"/>
              <w:left w:val="nil"/>
              <w:bottom w:val="single" w:sz="4" w:space="0" w:color="auto"/>
              <w:right w:val="single" w:sz="4" w:space="0" w:color="auto"/>
            </w:tcBorders>
            <w:shd w:val="clear" w:color="auto" w:fill="auto"/>
            <w:vAlign w:val="center"/>
            <w:hideMark/>
          </w:tcPr>
          <w:p w14:paraId="301238EF"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SC=200</w:t>
            </w:r>
          </w:p>
        </w:tc>
        <w:tc>
          <w:tcPr>
            <w:tcW w:w="431" w:type="pct"/>
            <w:tcBorders>
              <w:top w:val="nil"/>
              <w:left w:val="nil"/>
              <w:bottom w:val="single" w:sz="4" w:space="0" w:color="auto"/>
              <w:right w:val="single" w:sz="4" w:space="0" w:color="auto"/>
            </w:tcBorders>
            <w:shd w:val="clear" w:color="auto" w:fill="auto"/>
            <w:noWrap/>
            <w:vAlign w:val="center"/>
            <w:hideMark/>
          </w:tcPr>
          <w:p w14:paraId="461EF2B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58,56</w:t>
            </w:r>
          </w:p>
        </w:tc>
        <w:tc>
          <w:tcPr>
            <w:tcW w:w="487" w:type="pct"/>
            <w:tcBorders>
              <w:top w:val="nil"/>
              <w:left w:val="nil"/>
              <w:bottom w:val="single" w:sz="4" w:space="0" w:color="auto"/>
              <w:right w:val="single" w:sz="4" w:space="0" w:color="auto"/>
            </w:tcBorders>
            <w:shd w:val="clear" w:color="auto" w:fill="auto"/>
            <w:noWrap/>
            <w:vAlign w:val="center"/>
            <w:hideMark/>
          </w:tcPr>
          <w:p w14:paraId="2C51C0F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0,29</w:t>
            </w:r>
          </w:p>
        </w:tc>
        <w:tc>
          <w:tcPr>
            <w:tcW w:w="376" w:type="pct"/>
            <w:tcBorders>
              <w:top w:val="nil"/>
              <w:left w:val="nil"/>
              <w:bottom w:val="single" w:sz="4" w:space="0" w:color="auto"/>
              <w:right w:val="single" w:sz="4" w:space="0" w:color="auto"/>
            </w:tcBorders>
            <w:shd w:val="clear" w:color="auto" w:fill="auto"/>
            <w:noWrap/>
            <w:vAlign w:val="center"/>
            <w:hideMark/>
          </w:tcPr>
          <w:p w14:paraId="57650BA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w:t>
            </w:r>
          </w:p>
        </w:tc>
        <w:tc>
          <w:tcPr>
            <w:tcW w:w="576" w:type="pct"/>
            <w:tcBorders>
              <w:top w:val="nil"/>
              <w:left w:val="nil"/>
              <w:bottom w:val="single" w:sz="4" w:space="0" w:color="auto"/>
              <w:right w:val="single" w:sz="4" w:space="0" w:color="auto"/>
            </w:tcBorders>
            <w:shd w:val="clear" w:color="auto" w:fill="auto"/>
            <w:noWrap/>
            <w:vAlign w:val="center"/>
            <w:hideMark/>
          </w:tcPr>
          <w:p w14:paraId="5A7C5DB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0,06</w:t>
            </w:r>
          </w:p>
        </w:tc>
      </w:tr>
      <w:tr w:rsidR="00FE461F" w:rsidRPr="005E4BEA" w14:paraId="0FE6DFC5"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4A7C995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CHLORHEXIDINE 2% 250m</w:t>
            </w:r>
          </w:p>
        </w:tc>
        <w:tc>
          <w:tcPr>
            <w:tcW w:w="828" w:type="pct"/>
            <w:tcBorders>
              <w:top w:val="nil"/>
              <w:left w:val="nil"/>
              <w:bottom w:val="single" w:sz="4" w:space="0" w:color="auto"/>
              <w:right w:val="single" w:sz="4" w:space="0" w:color="auto"/>
            </w:tcBorders>
            <w:shd w:val="clear" w:color="auto" w:fill="auto"/>
            <w:noWrap/>
            <w:vAlign w:val="center"/>
            <w:hideMark/>
          </w:tcPr>
          <w:p w14:paraId="29128A06"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1009223</w:t>
            </w:r>
          </w:p>
        </w:tc>
        <w:tc>
          <w:tcPr>
            <w:tcW w:w="590" w:type="pct"/>
            <w:tcBorders>
              <w:top w:val="nil"/>
              <w:left w:val="nil"/>
              <w:bottom w:val="single" w:sz="4" w:space="0" w:color="auto"/>
              <w:right w:val="single" w:sz="4" w:space="0" w:color="auto"/>
            </w:tcBorders>
            <w:shd w:val="clear" w:color="auto" w:fill="auto"/>
            <w:vAlign w:val="center"/>
            <w:hideMark/>
          </w:tcPr>
          <w:p w14:paraId="4745DA9A"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KOS=250ml</w:t>
            </w:r>
          </w:p>
        </w:tc>
        <w:tc>
          <w:tcPr>
            <w:tcW w:w="431" w:type="pct"/>
            <w:tcBorders>
              <w:top w:val="nil"/>
              <w:left w:val="nil"/>
              <w:bottom w:val="single" w:sz="4" w:space="0" w:color="auto"/>
              <w:right w:val="single" w:sz="4" w:space="0" w:color="auto"/>
            </w:tcBorders>
            <w:shd w:val="clear" w:color="auto" w:fill="auto"/>
            <w:noWrap/>
            <w:vAlign w:val="center"/>
            <w:hideMark/>
          </w:tcPr>
          <w:p w14:paraId="5DE0184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2,90</w:t>
            </w:r>
          </w:p>
        </w:tc>
        <w:tc>
          <w:tcPr>
            <w:tcW w:w="487" w:type="pct"/>
            <w:tcBorders>
              <w:top w:val="nil"/>
              <w:left w:val="nil"/>
              <w:bottom w:val="single" w:sz="4" w:space="0" w:color="auto"/>
              <w:right w:val="single" w:sz="4" w:space="0" w:color="auto"/>
            </w:tcBorders>
            <w:shd w:val="clear" w:color="auto" w:fill="auto"/>
            <w:noWrap/>
            <w:vAlign w:val="center"/>
            <w:hideMark/>
          </w:tcPr>
          <w:p w14:paraId="7910C09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0,01</w:t>
            </w:r>
          </w:p>
        </w:tc>
        <w:tc>
          <w:tcPr>
            <w:tcW w:w="376" w:type="pct"/>
            <w:tcBorders>
              <w:top w:val="nil"/>
              <w:left w:val="nil"/>
              <w:bottom w:val="single" w:sz="4" w:space="0" w:color="auto"/>
              <w:right w:val="single" w:sz="4" w:space="0" w:color="auto"/>
            </w:tcBorders>
            <w:shd w:val="clear" w:color="auto" w:fill="auto"/>
            <w:noWrap/>
            <w:vAlign w:val="center"/>
            <w:hideMark/>
          </w:tcPr>
          <w:p w14:paraId="12BA89A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10ml</w:t>
            </w:r>
          </w:p>
        </w:tc>
        <w:tc>
          <w:tcPr>
            <w:tcW w:w="576" w:type="pct"/>
            <w:tcBorders>
              <w:top w:val="nil"/>
              <w:left w:val="nil"/>
              <w:bottom w:val="single" w:sz="4" w:space="0" w:color="auto"/>
              <w:right w:val="single" w:sz="4" w:space="0" w:color="auto"/>
            </w:tcBorders>
            <w:shd w:val="clear" w:color="auto" w:fill="auto"/>
            <w:noWrap/>
            <w:vAlign w:val="center"/>
            <w:hideMark/>
          </w:tcPr>
          <w:p w14:paraId="193E8E5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0,12</w:t>
            </w:r>
          </w:p>
        </w:tc>
      </w:tr>
      <w:tr w:rsidR="00FE461F" w:rsidRPr="005E4BEA" w14:paraId="7B888B0B"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7234556"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Sterilni tamponi netkani št.3</w:t>
            </w:r>
          </w:p>
        </w:tc>
        <w:tc>
          <w:tcPr>
            <w:tcW w:w="828" w:type="pct"/>
            <w:tcBorders>
              <w:top w:val="nil"/>
              <w:left w:val="nil"/>
              <w:bottom w:val="single" w:sz="4" w:space="0" w:color="auto"/>
              <w:right w:val="single" w:sz="4" w:space="0" w:color="auto"/>
            </w:tcBorders>
            <w:shd w:val="clear" w:color="auto" w:fill="auto"/>
            <w:noWrap/>
            <w:vAlign w:val="center"/>
            <w:hideMark/>
          </w:tcPr>
          <w:p w14:paraId="0F27B3A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1008703</w:t>
            </w:r>
          </w:p>
        </w:tc>
        <w:tc>
          <w:tcPr>
            <w:tcW w:w="590" w:type="pct"/>
            <w:tcBorders>
              <w:top w:val="nil"/>
              <w:left w:val="nil"/>
              <w:bottom w:val="single" w:sz="4" w:space="0" w:color="auto"/>
              <w:right w:val="single" w:sz="4" w:space="0" w:color="auto"/>
            </w:tcBorders>
            <w:shd w:val="clear" w:color="auto" w:fill="auto"/>
            <w:vAlign w:val="center"/>
            <w:hideMark/>
          </w:tcPr>
          <w:p w14:paraId="01231AF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w:t>
            </w:r>
          </w:p>
        </w:tc>
        <w:tc>
          <w:tcPr>
            <w:tcW w:w="431" w:type="pct"/>
            <w:tcBorders>
              <w:top w:val="nil"/>
              <w:left w:val="nil"/>
              <w:bottom w:val="single" w:sz="4" w:space="0" w:color="auto"/>
              <w:right w:val="single" w:sz="4" w:space="0" w:color="auto"/>
            </w:tcBorders>
            <w:shd w:val="clear" w:color="auto" w:fill="auto"/>
            <w:noWrap/>
            <w:vAlign w:val="center"/>
            <w:hideMark/>
          </w:tcPr>
          <w:p w14:paraId="3ACDD8F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0,02</w:t>
            </w:r>
          </w:p>
        </w:tc>
        <w:tc>
          <w:tcPr>
            <w:tcW w:w="487" w:type="pct"/>
            <w:tcBorders>
              <w:top w:val="nil"/>
              <w:left w:val="nil"/>
              <w:bottom w:val="single" w:sz="4" w:space="0" w:color="auto"/>
              <w:right w:val="single" w:sz="4" w:space="0" w:color="auto"/>
            </w:tcBorders>
            <w:shd w:val="clear" w:color="auto" w:fill="auto"/>
            <w:noWrap/>
            <w:vAlign w:val="center"/>
            <w:hideMark/>
          </w:tcPr>
          <w:p w14:paraId="0609127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0,02</w:t>
            </w:r>
          </w:p>
        </w:tc>
        <w:tc>
          <w:tcPr>
            <w:tcW w:w="376" w:type="pct"/>
            <w:tcBorders>
              <w:top w:val="nil"/>
              <w:left w:val="nil"/>
              <w:bottom w:val="single" w:sz="4" w:space="0" w:color="auto"/>
              <w:right w:val="single" w:sz="4" w:space="0" w:color="auto"/>
            </w:tcBorders>
            <w:shd w:val="clear" w:color="auto" w:fill="auto"/>
            <w:noWrap/>
            <w:vAlign w:val="center"/>
            <w:hideMark/>
          </w:tcPr>
          <w:p w14:paraId="2515130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w:t>
            </w:r>
          </w:p>
        </w:tc>
        <w:tc>
          <w:tcPr>
            <w:tcW w:w="576" w:type="pct"/>
            <w:tcBorders>
              <w:top w:val="nil"/>
              <w:left w:val="nil"/>
              <w:bottom w:val="single" w:sz="4" w:space="0" w:color="auto"/>
              <w:right w:val="single" w:sz="4" w:space="0" w:color="auto"/>
            </w:tcBorders>
            <w:shd w:val="clear" w:color="auto" w:fill="auto"/>
            <w:noWrap/>
            <w:vAlign w:val="center"/>
            <w:hideMark/>
          </w:tcPr>
          <w:p w14:paraId="3488B4B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0,20</w:t>
            </w:r>
          </w:p>
        </w:tc>
      </w:tr>
      <w:tr w:rsidR="00FE461F" w:rsidRPr="005E4BEA" w14:paraId="0C8C7D1F"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404B0D4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Lateks rokavice</w:t>
            </w:r>
          </w:p>
        </w:tc>
        <w:tc>
          <w:tcPr>
            <w:tcW w:w="828" w:type="pct"/>
            <w:tcBorders>
              <w:top w:val="nil"/>
              <w:left w:val="nil"/>
              <w:bottom w:val="single" w:sz="4" w:space="0" w:color="auto"/>
              <w:right w:val="single" w:sz="4" w:space="0" w:color="auto"/>
            </w:tcBorders>
            <w:shd w:val="clear" w:color="auto" w:fill="auto"/>
            <w:noWrap/>
            <w:vAlign w:val="center"/>
            <w:hideMark/>
          </w:tcPr>
          <w:p w14:paraId="1A49F07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1008654</w:t>
            </w:r>
          </w:p>
        </w:tc>
        <w:tc>
          <w:tcPr>
            <w:tcW w:w="590" w:type="pct"/>
            <w:tcBorders>
              <w:top w:val="nil"/>
              <w:left w:val="nil"/>
              <w:bottom w:val="single" w:sz="4" w:space="0" w:color="auto"/>
              <w:right w:val="single" w:sz="4" w:space="0" w:color="auto"/>
            </w:tcBorders>
            <w:shd w:val="clear" w:color="auto" w:fill="auto"/>
            <w:vAlign w:val="center"/>
            <w:hideMark/>
          </w:tcPr>
          <w:p w14:paraId="219A75C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center"/>
            <w:hideMark/>
          </w:tcPr>
          <w:p w14:paraId="3DA5DCE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4,15</w:t>
            </w:r>
          </w:p>
        </w:tc>
        <w:tc>
          <w:tcPr>
            <w:tcW w:w="487" w:type="pct"/>
            <w:tcBorders>
              <w:top w:val="nil"/>
              <w:left w:val="nil"/>
              <w:bottom w:val="single" w:sz="4" w:space="0" w:color="auto"/>
              <w:right w:val="single" w:sz="4" w:space="0" w:color="auto"/>
            </w:tcBorders>
            <w:shd w:val="clear" w:color="auto" w:fill="auto"/>
            <w:noWrap/>
            <w:vAlign w:val="center"/>
            <w:hideMark/>
          </w:tcPr>
          <w:p w14:paraId="1F18D3A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0,04</w:t>
            </w:r>
          </w:p>
        </w:tc>
        <w:tc>
          <w:tcPr>
            <w:tcW w:w="376" w:type="pct"/>
            <w:tcBorders>
              <w:top w:val="nil"/>
              <w:left w:val="nil"/>
              <w:bottom w:val="single" w:sz="4" w:space="0" w:color="auto"/>
              <w:right w:val="single" w:sz="4" w:space="0" w:color="auto"/>
            </w:tcBorders>
            <w:shd w:val="clear" w:color="auto" w:fill="auto"/>
            <w:noWrap/>
            <w:vAlign w:val="center"/>
            <w:hideMark/>
          </w:tcPr>
          <w:p w14:paraId="167B7A1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w:t>
            </w:r>
          </w:p>
        </w:tc>
        <w:tc>
          <w:tcPr>
            <w:tcW w:w="576" w:type="pct"/>
            <w:tcBorders>
              <w:top w:val="nil"/>
              <w:left w:val="nil"/>
              <w:bottom w:val="single" w:sz="4" w:space="0" w:color="auto"/>
              <w:right w:val="single" w:sz="4" w:space="0" w:color="auto"/>
            </w:tcBorders>
            <w:shd w:val="clear" w:color="auto" w:fill="auto"/>
            <w:noWrap/>
            <w:vAlign w:val="center"/>
            <w:hideMark/>
          </w:tcPr>
          <w:p w14:paraId="1A06A8F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0,41</w:t>
            </w:r>
          </w:p>
        </w:tc>
      </w:tr>
      <w:tr w:rsidR="00FE461F" w:rsidRPr="005E4BEA" w14:paraId="08410313"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4A8D7FF"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Epruvete 5ml brez </w:t>
            </w:r>
            <w:proofErr w:type="spellStart"/>
            <w:r w:rsidRPr="005E4BEA">
              <w:rPr>
                <w:rFonts w:cs="Arial"/>
                <w:i/>
                <w:iCs/>
                <w:color w:val="808080" w:themeColor="background1" w:themeShade="80"/>
                <w:szCs w:val="20"/>
              </w:rPr>
              <w:t>antikoagulanta</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5C72FAE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1001746</w:t>
            </w:r>
          </w:p>
        </w:tc>
        <w:tc>
          <w:tcPr>
            <w:tcW w:w="590" w:type="pct"/>
            <w:tcBorders>
              <w:top w:val="nil"/>
              <w:left w:val="nil"/>
              <w:bottom w:val="single" w:sz="4" w:space="0" w:color="auto"/>
              <w:right w:val="single" w:sz="4" w:space="0" w:color="auto"/>
            </w:tcBorders>
            <w:shd w:val="clear" w:color="auto" w:fill="auto"/>
            <w:vAlign w:val="center"/>
            <w:hideMark/>
          </w:tcPr>
          <w:p w14:paraId="42110CC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bottom"/>
            <w:hideMark/>
          </w:tcPr>
          <w:p w14:paraId="2324B88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17,02</w:t>
            </w:r>
          </w:p>
        </w:tc>
        <w:tc>
          <w:tcPr>
            <w:tcW w:w="487" w:type="pct"/>
            <w:tcBorders>
              <w:top w:val="nil"/>
              <w:left w:val="nil"/>
              <w:bottom w:val="single" w:sz="4" w:space="0" w:color="auto"/>
              <w:right w:val="single" w:sz="4" w:space="0" w:color="auto"/>
            </w:tcBorders>
            <w:shd w:val="clear" w:color="auto" w:fill="auto"/>
            <w:noWrap/>
            <w:vAlign w:val="center"/>
            <w:hideMark/>
          </w:tcPr>
          <w:p w14:paraId="52C7619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0,17</w:t>
            </w:r>
          </w:p>
        </w:tc>
        <w:tc>
          <w:tcPr>
            <w:tcW w:w="376" w:type="pct"/>
            <w:tcBorders>
              <w:top w:val="nil"/>
              <w:left w:val="nil"/>
              <w:bottom w:val="single" w:sz="4" w:space="0" w:color="auto"/>
              <w:right w:val="single" w:sz="4" w:space="0" w:color="auto"/>
            </w:tcBorders>
            <w:shd w:val="clear" w:color="auto" w:fill="auto"/>
            <w:noWrap/>
            <w:vAlign w:val="center"/>
            <w:hideMark/>
          </w:tcPr>
          <w:p w14:paraId="45F7BC3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4BFB719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0,34</w:t>
            </w:r>
          </w:p>
        </w:tc>
      </w:tr>
      <w:tr w:rsidR="00FE461F" w:rsidRPr="005E4BEA" w14:paraId="3F9903E6"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411FAE3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Epruvete 3ml EDTA</w:t>
            </w:r>
          </w:p>
        </w:tc>
        <w:tc>
          <w:tcPr>
            <w:tcW w:w="828" w:type="pct"/>
            <w:tcBorders>
              <w:top w:val="nil"/>
              <w:left w:val="nil"/>
              <w:bottom w:val="single" w:sz="4" w:space="0" w:color="auto"/>
              <w:right w:val="single" w:sz="4" w:space="0" w:color="auto"/>
            </w:tcBorders>
            <w:shd w:val="clear" w:color="auto" w:fill="auto"/>
            <w:noWrap/>
            <w:vAlign w:val="center"/>
            <w:hideMark/>
          </w:tcPr>
          <w:p w14:paraId="776C5F2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1005408</w:t>
            </w:r>
          </w:p>
        </w:tc>
        <w:tc>
          <w:tcPr>
            <w:tcW w:w="590" w:type="pct"/>
            <w:tcBorders>
              <w:top w:val="nil"/>
              <w:left w:val="nil"/>
              <w:bottom w:val="single" w:sz="4" w:space="0" w:color="auto"/>
              <w:right w:val="single" w:sz="4" w:space="0" w:color="auto"/>
            </w:tcBorders>
            <w:shd w:val="clear" w:color="auto" w:fill="auto"/>
            <w:vAlign w:val="center"/>
            <w:hideMark/>
          </w:tcPr>
          <w:p w14:paraId="138B6B2F"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bottom"/>
            <w:hideMark/>
          </w:tcPr>
          <w:p w14:paraId="669BA20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11,10</w:t>
            </w:r>
          </w:p>
        </w:tc>
        <w:tc>
          <w:tcPr>
            <w:tcW w:w="487" w:type="pct"/>
            <w:tcBorders>
              <w:top w:val="nil"/>
              <w:left w:val="nil"/>
              <w:bottom w:val="single" w:sz="4" w:space="0" w:color="auto"/>
              <w:right w:val="single" w:sz="4" w:space="0" w:color="auto"/>
            </w:tcBorders>
            <w:shd w:val="clear" w:color="auto" w:fill="auto"/>
            <w:noWrap/>
            <w:vAlign w:val="center"/>
            <w:hideMark/>
          </w:tcPr>
          <w:p w14:paraId="7BA4742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0,11</w:t>
            </w:r>
          </w:p>
        </w:tc>
        <w:tc>
          <w:tcPr>
            <w:tcW w:w="376" w:type="pct"/>
            <w:tcBorders>
              <w:top w:val="nil"/>
              <w:left w:val="nil"/>
              <w:bottom w:val="single" w:sz="4" w:space="0" w:color="auto"/>
              <w:right w:val="single" w:sz="4" w:space="0" w:color="auto"/>
            </w:tcBorders>
            <w:shd w:val="clear" w:color="auto" w:fill="auto"/>
            <w:noWrap/>
            <w:vAlign w:val="center"/>
            <w:hideMark/>
          </w:tcPr>
          <w:p w14:paraId="6F082B0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2767439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0,22</w:t>
            </w:r>
          </w:p>
        </w:tc>
      </w:tr>
      <w:tr w:rsidR="00FE461F" w:rsidRPr="005E4BEA" w14:paraId="5E7E84E5"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6C3754AF"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Epruvete 6ml EDTA</w:t>
            </w:r>
          </w:p>
        </w:tc>
        <w:tc>
          <w:tcPr>
            <w:tcW w:w="828" w:type="pct"/>
            <w:tcBorders>
              <w:top w:val="nil"/>
              <w:left w:val="nil"/>
              <w:bottom w:val="single" w:sz="4" w:space="0" w:color="auto"/>
              <w:right w:val="single" w:sz="4" w:space="0" w:color="auto"/>
            </w:tcBorders>
            <w:shd w:val="clear" w:color="auto" w:fill="auto"/>
            <w:noWrap/>
            <w:vAlign w:val="center"/>
            <w:hideMark/>
          </w:tcPr>
          <w:p w14:paraId="21B8BE6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1003666</w:t>
            </w:r>
          </w:p>
        </w:tc>
        <w:tc>
          <w:tcPr>
            <w:tcW w:w="590" w:type="pct"/>
            <w:tcBorders>
              <w:top w:val="nil"/>
              <w:left w:val="nil"/>
              <w:bottom w:val="single" w:sz="4" w:space="0" w:color="auto"/>
              <w:right w:val="single" w:sz="4" w:space="0" w:color="auto"/>
            </w:tcBorders>
            <w:shd w:val="clear" w:color="auto" w:fill="auto"/>
            <w:vAlign w:val="center"/>
            <w:hideMark/>
          </w:tcPr>
          <w:p w14:paraId="476C4C0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SC=100</w:t>
            </w:r>
          </w:p>
        </w:tc>
        <w:tc>
          <w:tcPr>
            <w:tcW w:w="431" w:type="pct"/>
            <w:tcBorders>
              <w:top w:val="nil"/>
              <w:left w:val="nil"/>
              <w:bottom w:val="single" w:sz="4" w:space="0" w:color="auto"/>
              <w:right w:val="single" w:sz="4" w:space="0" w:color="auto"/>
            </w:tcBorders>
            <w:shd w:val="clear" w:color="auto" w:fill="auto"/>
            <w:noWrap/>
            <w:vAlign w:val="bottom"/>
            <w:hideMark/>
          </w:tcPr>
          <w:p w14:paraId="20ACA81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10,92</w:t>
            </w:r>
          </w:p>
        </w:tc>
        <w:tc>
          <w:tcPr>
            <w:tcW w:w="487" w:type="pct"/>
            <w:tcBorders>
              <w:top w:val="nil"/>
              <w:left w:val="nil"/>
              <w:bottom w:val="single" w:sz="4" w:space="0" w:color="auto"/>
              <w:right w:val="single" w:sz="4" w:space="0" w:color="auto"/>
            </w:tcBorders>
            <w:shd w:val="clear" w:color="auto" w:fill="auto"/>
            <w:noWrap/>
            <w:vAlign w:val="center"/>
            <w:hideMark/>
          </w:tcPr>
          <w:p w14:paraId="1ABA540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0,11</w:t>
            </w:r>
          </w:p>
        </w:tc>
        <w:tc>
          <w:tcPr>
            <w:tcW w:w="376" w:type="pct"/>
            <w:tcBorders>
              <w:top w:val="nil"/>
              <w:left w:val="nil"/>
              <w:bottom w:val="single" w:sz="4" w:space="0" w:color="auto"/>
              <w:right w:val="single" w:sz="4" w:space="0" w:color="auto"/>
            </w:tcBorders>
            <w:shd w:val="clear" w:color="auto" w:fill="auto"/>
            <w:noWrap/>
            <w:vAlign w:val="center"/>
            <w:hideMark/>
          </w:tcPr>
          <w:p w14:paraId="79355A5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0,25</w:t>
            </w:r>
          </w:p>
        </w:tc>
        <w:tc>
          <w:tcPr>
            <w:tcW w:w="576" w:type="pct"/>
            <w:tcBorders>
              <w:top w:val="nil"/>
              <w:left w:val="nil"/>
              <w:bottom w:val="single" w:sz="4" w:space="0" w:color="auto"/>
              <w:right w:val="single" w:sz="4" w:space="0" w:color="auto"/>
            </w:tcBorders>
            <w:shd w:val="clear" w:color="auto" w:fill="auto"/>
            <w:noWrap/>
            <w:vAlign w:val="center"/>
            <w:hideMark/>
          </w:tcPr>
          <w:p w14:paraId="0ED6B8D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0,03</w:t>
            </w:r>
          </w:p>
        </w:tc>
      </w:tr>
      <w:tr w:rsidR="00FE461F" w:rsidRPr="005E4BEA" w14:paraId="0A316B88"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36BD2F24"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Nastavki za odvzem vzorcev (</w:t>
            </w:r>
            <w:proofErr w:type="spellStart"/>
            <w:r w:rsidRPr="005E4BEA">
              <w:rPr>
                <w:rFonts w:cs="Arial"/>
                <w:i/>
                <w:iCs/>
                <w:color w:val="808080" w:themeColor="background1" w:themeShade="80"/>
                <w:szCs w:val="20"/>
              </w:rPr>
              <w:t>Luer</w:t>
            </w:r>
            <w:proofErr w:type="spellEnd"/>
            <w:r w:rsidRPr="005E4BEA">
              <w:rPr>
                <w:rFonts w:cs="Arial"/>
                <w:i/>
                <w:iCs/>
                <w:color w:val="808080" w:themeColor="background1" w:themeShade="80"/>
                <w:szCs w:val="20"/>
              </w:rPr>
              <w:t xml:space="preserve"> adapter)</w:t>
            </w:r>
          </w:p>
        </w:tc>
        <w:tc>
          <w:tcPr>
            <w:tcW w:w="828" w:type="pct"/>
            <w:tcBorders>
              <w:top w:val="nil"/>
              <w:left w:val="nil"/>
              <w:bottom w:val="single" w:sz="4" w:space="0" w:color="auto"/>
              <w:right w:val="single" w:sz="4" w:space="0" w:color="auto"/>
            </w:tcBorders>
            <w:shd w:val="clear" w:color="auto" w:fill="auto"/>
            <w:noWrap/>
            <w:vAlign w:val="center"/>
            <w:hideMark/>
          </w:tcPr>
          <w:p w14:paraId="12C64BC7"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1009618</w:t>
            </w:r>
          </w:p>
        </w:tc>
        <w:tc>
          <w:tcPr>
            <w:tcW w:w="590" w:type="pct"/>
            <w:tcBorders>
              <w:top w:val="nil"/>
              <w:left w:val="nil"/>
              <w:bottom w:val="single" w:sz="4" w:space="0" w:color="auto"/>
              <w:right w:val="single" w:sz="4" w:space="0" w:color="auto"/>
            </w:tcBorders>
            <w:shd w:val="clear" w:color="auto" w:fill="auto"/>
            <w:vAlign w:val="center"/>
            <w:hideMark/>
          </w:tcPr>
          <w:p w14:paraId="5C55C0A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w:t>
            </w:r>
          </w:p>
        </w:tc>
        <w:tc>
          <w:tcPr>
            <w:tcW w:w="431" w:type="pct"/>
            <w:tcBorders>
              <w:top w:val="nil"/>
              <w:left w:val="nil"/>
              <w:bottom w:val="single" w:sz="4" w:space="0" w:color="auto"/>
              <w:right w:val="single" w:sz="4" w:space="0" w:color="auto"/>
            </w:tcBorders>
            <w:shd w:val="clear" w:color="auto" w:fill="auto"/>
            <w:noWrap/>
            <w:vAlign w:val="bottom"/>
            <w:hideMark/>
          </w:tcPr>
          <w:p w14:paraId="60CC725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0,10</w:t>
            </w:r>
          </w:p>
        </w:tc>
        <w:tc>
          <w:tcPr>
            <w:tcW w:w="487" w:type="pct"/>
            <w:tcBorders>
              <w:top w:val="nil"/>
              <w:left w:val="nil"/>
              <w:bottom w:val="single" w:sz="4" w:space="0" w:color="auto"/>
              <w:right w:val="single" w:sz="4" w:space="0" w:color="auto"/>
            </w:tcBorders>
            <w:shd w:val="clear" w:color="auto" w:fill="auto"/>
            <w:noWrap/>
            <w:vAlign w:val="center"/>
            <w:hideMark/>
          </w:tcPr>
          <w:p w14:paraId="1E4BBC9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0,10</w:t>
            </w:r>
          </w:p>
        </w:tc>
        <w:tc>
          <w:tcPr>
            <w:tcW w:w="376" w:type="pct"/>
            <w:tcBorders>
              <w:top w:val="nil"/>
              <w:left w:val="nil"/>
              <w:bottom w:val="single" w:sz="4" w:space="0" w:color="auto"/>
              <w:right w:val="single" w:sz="4" w:space="0" w:color="auto"/>
            </w:tcBorders>
            <w:shd w:val="clear" w:color="auto" w:fill="auto"/>
            <w:noWrap/>
            <w:vAlign w:val="center"/>
            <w:hideMark/>
          </w:tcPr>
          <w:p w14:paraId="5A8DC04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0B16F13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0,20</w:t>
            </w:r>
          </w:p>
        </w:tc>
      </w:tr>
      <w:tr w:rsidR="00FE461F" w:rsidRPr="005E4BEA" w14:paraId="7F122C55"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4F706F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držalo nastavka za odvzem vzorcev</w:t>
            </w:r>
          </w:p>
        </w:tc>
        <w:tc>
          <w:tcPr>
            <w:tcW w:w="828" w:type="pct"/>
            <w:tcBorders>
              <w:top w:val="nil"/>
              <w:left w:val="nil"/>
              <w:bottom w:val="single" w:sz="4" w:space="0" w:color="auto"/>
              <w:right w:val="single" w:sz="4" w:space="0" w:color="auto"/>
            </w:tcBorders>
            <w:shd w:val="clear" w:color="auto" w:fill="auto"/>
            <w:noWrap/>
            <w:vAlign w:val="center"/>
            <w:hideMark/>
          </w:tcPr>
          <w:p w14:paraId="33D3F5C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1009619</w:t>
            </w:r>
          </w:p>
        </w:tc>
        <w:tc>
          <w:tcPr>
            <w:tcW w:w="590" w:type="pct"/>
            <w:tcBorders>
              <w:top w:val="nil"/>
              <w:left w:val="nil"/>
              <w:bottom w:val="single" w:sz="4" w:space="0" w:color="auto"/>
              <w:right w:val="single" w:sz="4" w:space="0" w:color="auto"/>
            </w:tcBorders>
            <w:shd w:val="clear" w:color="auto" w:fill="auto"/>
            <w:vAlign w:val="center"/>
            <w:hideMark/>
          </w:tcPr>
          <w:p w14:paraId="65895D7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w:t>
            </w:r>
          </w:p>
        </w:tc>
        <w:tc>
          <w:tcPr>
            <w:tcW w:w="431" w:type="pct"/>
            <w:tcBorders>
              <w:top w:val="nil"/>
              <w:left w:val="nil"/>
              <w:bottom w:val="single" w:sz="4" w:space="0" w:color="auto"/>
              <w:right w:val="single" w:sz="4" w:space="0" w:color="auto"/>
            </w:tcBorders>
            <w:shd w:val="clear" w:color="auto" w:fill="auto"/>
            <w:noWrap/>
            <w:vAlign w:val="bottom"/>
            <w:hideMark/>
          </w:tcPr>
          <w:p w14:paraId="61D272B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0,03</w:t>
            </w:r>
          </w:p>
        </w:tc>
        <w:tc>
          <w:tcPr>
            <w:tcW w:w="487" w:type="pct"/>
            <w:tcBorders>
              <w:top w:val="nil"/>
              <w:left w:val="nil"/>
              <w:bottom w:val="single" w:sz="4" w:space="0" w:color="auto"/>
              <w:right w:val="single" w:sz="4" w:space="0" w:color="auto"/>
            </w:tcBorders>
            <w:shd w:val="clear" w:color="auto" w:fill="auto"/>
            <w:noWrap/>
            <w:vAlign w:val="center"/>
            <w:hideMark/>
          </w:tcPr>
          <w:p w14:paraId="6187DF4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0,03</w:t>
            </w:r>
          </w:p>
        </w:tc>
        <w:tc>
          <w:tcPr>
            <w:tcW w:w="376" w:type="pct"/>
            <w:tcBorders>
              <w:top w:val="nil"/>
              <w:left w:val="nil"/>
              <w:bottom w:val="single" w:sz="4" w:space="0" w:color="auto"/>
              <w:right w:val="single" w:sz="4" w:space="0" w:color="auto"/>
            </w:tcBorders>
            <w:shd w:val="clear" w:color="auto" w:fill="auto"/>
            <w:noWrap/>
            <w:vAlign w:val="center"/>
            <w:hideMark/>
          </w:tcPr>
          <w:p w14:paraId="348E5A6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542DE0B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0,06</w:t>
            </w:r>
          </w:p>
        </w:tc>
      </w:tr>
      <w:tr w:rsidR="00FE461F" w:rsidRPr="005E4BEA" w14:paraId="2566F259"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73BBC0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Povoj elastični</w:t>
            </w:r>
          </w:p>
        </w:tc>
        <w:tc>
          <w:tcPr>
            <w:tcW w:w="828" w:type="pct"/>
            <w:tcBorders>
              <w:top w:val="nil"/>
              <w:left w:val="nil"/>
              <w:bottom w:val="single" w:sz="4" w:space="0" w:color="auto"/>
              <w:right w:val="single" w:sz="4" w:space="0" w:color="auto"/>
            </w:tcBorders>
            <w:shd w:val="clear" w:color="auto" w:fill="auto"/>
            <w:noWrap/>
            <w:vAlign w:val="center"/>
            <w:hideMark/>
          </w:tcPr>
          <w:p w14:paraId="49A8476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1008682</w:t>
            </w:r>
          </w:p>
        </w:tc>
        <w:tc>
          <w:tcPr>
            <w:tcW w:w="590" w:type="pct"/>
            <w:tcBorders>
              <w:top w:val="nil"/>
              <w:left w:val="nil"/>
              <w:bottom w:val="single" w:sz="4" w:space="0" w:color="auto"/>
              <w:right w:val="single" w:sz="4" w:space="0" w:color="auto"/>
            </w:tcBorders>
            <w:shd w:val="clear" w:color="auto" w:fill="auto"/>
            <w:vAlign w:val="center"/>
            <w:hideMark/>
          </w:tcPr>
          <w:p w14:paraId="57C840EA"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SC=15</w:t>
            </w:r>
          </w:p>
        </w:tc>
        <w:tc>
          <w:tcPr>
            <w:tcW w:w="431" w:type="pct"/>
            <w:tcBorders>
              <w:top w:val="nil"/>
              <w:left w:val="nil"/>
              <w:bottom w:val="single" w:sz="4" w:space="0" w:color="auto"/>
              <w:right w:val="single" w:sz="4" w:space="0" w:color="auto"/>
            </w:tcBorders>
            <w:shd w:val="clear" w:color="auto" w:fill="auto"/>
            <w:noWrap/>
            <w:vAlign w:val="bottom"/>
            <w:hideMark/>
          </w:tcPr>
          <w:p w14:paraId="386F2C9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13,14</w:t>
            </w:r>
          </w:p>
        </w:tc>
        <w:tc>
          <w:tcPr>
            <w:tcW w:w="487" w:type="pct"/>
            <w:tcBorders>
              <w:top w:val="nil"/>
              <w:left w:val="nil"/>
              <w:bottom w:val="single" w:sz="4" w:space="0" w:color="auto"/>
              <w:right w:val="single" w:sz="4" w:space="0" w:color="auto"/>
            </w:tcBorders>
            <w:shd w:val="clear" w:color="auto" w:fill="auto"/>
            <w:noWrap/>
            <w:vAlign w:val="center"/>
            <w:hideMark/>
          </w:tcPr>
          <w:p w14:paraId="1C0DB58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0,88</w:t>
            </w:r>
          </w:p>
        </w:tc>
        <w:tc>
          <w:tcPr>
            <w:tcW w:w="376" w:type="pct"/>
            <w:tcBorders>
              <w:top w:val="nil"/>
              <w:left w:val="nil"/>
              <w:bottom w:val="single" w:sz="4" w:space="0" w:color="auto"/>
              <w:right w:val="single" w:sz="4" w:space="0" w:color="auto"/>
            </w:tcBorders>
            <w:shd w:val="clear" w:color="auto" w:fill="auto"/>
            <w:noWrap/>
            <w:vAlign w:val="center"/>
            <w:hideMark/>
          </w:tcPr>
          <w:p w14:paraId="54F9E9B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1288CE8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0,88</w:t>
            </w:r>
          </w:p>
        </w:tc>
      </w:tr>
      <w:tr w:rsidR="00FE461F" w:rsidRPr="005E4BEA" w14:paraId="7D78AD28"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96BFEB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Sistem za dajanje transfuzije</w:t>
            </w:r>
          </w:p>
        </w:tc>
        <w:tc>
          <w:tcPr>
            <w:tcW w:w="828" w:type="pct"/>
            <w:tcBorders>
              <w:top w:val="nil"/>
              <w:left w:val="nil"/>
              <w:bottom w:val="single" w:sz="4" w:space="0" w:color="auto"/>
              <w:right w:val="single" w:sz="4" w:space="0" w:color="auto"/>
            </w:tcBorders>
            <w:shd w:val="clear" w:color="auto" w:fill="auto"/>
            <w:noWrap/>
            <w:vAlign w:val="center"/>
            <w:hideMark/>
          </w:tcPr>
          <w:p w14:paraId="3F18CAF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1009549</w:t>
            </w:r>
          </w:p>
        </w:tc>
        <w:tc>
          <w:tcPr>
            <w:tcW w:w="590" w:type="pct"/>
            <w:tcBorders>
              <w:top w:val="nil"/>
              <w:left w:val="nil"/>
              <w:bottom w:val="single" w:sz="4" w:space="0" w:color="auto"/>
              <w:right w:val="single" w:sz="4" w:space="0" w:color="auto"/>
            </w:tcBorders>
            <w:shd w:val="clear" w:color="auto" w:fill="auto"/>
            <w:vAlign w:val="center"/>
            <w:hideMark/>
          </w:tcPr>
          <w:p w14:paraId="3530317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w:t>
            </w:r>
          </w:p>
        </w:tc>
        <w:tc>
          <w:tcPr>
            <w:tcW w:w="431" w:type="pct"/>
            <w:tcBorders>
              <w:top w:val="nil"/>
              <w:left w:val="nil"/>
              <w:bottom w:val="single" w:sz="4" w:space="0" w:color="auto"/>
              <w:right w:val="single" w:sz="4" w:space="0" w:color="auto"/>
            </w:tcBorders>
            <w:shd w:val="clear" w:color="auto" w:fill="auto"/>
            <w:noWrap/>
            <w:vAlign w:val="center"/>
            <w:hideMark/>
          </w:tcPr>
          <w:p w14:paraId="14E5744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0,58</w:t>
            </w:r>
          </w:p>
        </w:tc>
        <w:tc>
          <w:tcPr>
            <w:tcW w:w="487" w:type="pct"/>
            <w:tcBorders>
              <w:top w:val="nil"/>
              <w:left w:val="nil"/>
              <w:bottom w:val="single" w:sz="4" w:space="0" w:color="auto"/>
              <w:right w:val="single" w:sz="4" w:space="0" w:color="auto"/>
            </w:tcBorders>
            <w:shd w:val="clear" w:color="auto" w:fill="auto"/>
            <w:noWrap/>
            <w:vAlign w:val="center"/>
            <w:hideMark/>
          </w:tcPr>
          <w:p w14:paraId="41A9779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0,58</w:t>
            </w:r>
          </w:p>
        </w:tc>
        <w:tc>
          <w:tcPr>
            <w:tcW w:w="376" w:type="pct"/>
            <w:tcBorders>
              <w:top w:val="nil"/>
              <w:left w:val="nil"/>
              <w:bottom w:val="single" w:sz="4" w:space="0" w:color="auto"/>
              <w:right w:val="single" w:sz="4" w:space="0" w:color="auto"/>
            </w:tcBorders>
            <w:shd w:val="clear" w:color="auto" w:fill="auto"/>
            <w:noWrap/>
            <w:vAlign w:val="center"/>
            <w:hideMark/>
          </w:tcPr>
          <w:p w14:paraId="1D5CD7F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0DD69E0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0,58</w:t>
            </w:r>
          </w:p>
        </w:tc>
      </w:tr>
      <w:tr w:rsidR="00FE461F" w:rsidRPr="005E4BEA" w14:paraId="5BD09DB2"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997D01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Razkužilo za roke </w:t>
            </w:r>
          </w:p>
        </w:tc>
        <w:tc>
          <w:tcPr>
            <w:tcW w:w="828" w:type="pct"/>
            <w:tcBorders>
              <w:top w:val="nil"/>
              <w:left w:val="nil"/>
              <w:bottom w:val="single" w:sz="4" w:space="0" w:color="auto"/>
              <w:right w:val="single" w:sz="4" w:space="0" w:color="auto"/>
            </w:tcBorders>
            <w:shd w:val="clear" w:color="auto" w:fill="auto"/>
            <w:noWrap/>
            <w:vAlign w:val="center"/>
            <w:hideMark/>
          </w:tcPr>
          <w:p w14:paraId="7016E63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1004352</w:t>
            </w:r>
          </w:p>
        </w:tc>
        <w:tc>
          <w:tcPr>
            <w:tcW w:w="590" w:type="pct"/>
            <w:tcBorders>
              <w:top w:val="nil"/>
              <w:left w:val="nil"/>
              <w:bottom w:val="single" w:sz="4" w:space="0" w:color="auto"/>
              <w:right w:val="single" w:sz="4" w:space="0" w:color="auto"/>
            </w:tcBorders>
            <w:shd w:val="clear" w:color="auto" w:fill="auto"/>
            <w:vAlign w:val="center"/>
            <w:hideMark/>
          </w:tcPr>
          <w:p w14:paraId="398B6A8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500ml</w:t>
            </w:r>
          </w:p>
        </w:tc>
        <w:tc>
          <w:tcPr>
            <w:tcW w:w="431" w:type="pct"/>
            <w:tcBorders>
              <w:top w:val="nil"/>
              <w:left w:val="nil"/>
              <w:bottom w:val="single" w:sz="4" w:space="0" w:color="auto"/>
              <w:right w:val="single" w:sz="4" w:space="0" w:color="auto"/>
            </w:tcBorders>
            <w:shd w:val="clear" w:color="auto" w:fill="auto"/>
            <w:noWrap/>
            <w:vAlign w:val="bottom"/>
            <w:hideMark/>
          </w:tcPr>
          <w:p w14:paraId="3481C77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3,78</w:t>
            </w:r>
          </w:p>
        </w:tc>
        <w:tc>
          <w:tcPr>
            <w:tcW w:w="487" w:type="pct"/>
            <w:tcBorders>
              <w:top w:val="nil"/>
              <w:left w:val="nil"/>
              <w:bottom w:val="single" w:sz="4" w:space="0" w:color="auto"/>
              <w:right w:val="single" w:sz="4" w:space="0" w:color="auto"/>
            </w:tcBorders>
            <w:shd w:val="clear" w:color="auto" w:fill="auto"/>
            <w:noWrap/>
            <w:vAlign w:val="center"/>
            <w:hideMark/>
          </w:tcPr>
          <w:p w14:paraId="71CE93B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0,01</w:t>
            </w:r>
          </w:p>
        </w:tc>
        <w:tc>
          <w:tcPr>
            <w:tcW w:w="376" w:type="pct"/>
            <w:tcBorders>
              <w:top w:val="nil"/>
              <w:left w:val="nil"/>
              <w:bottom w:val="single" w:sz="4" w:space="0" w:color="auto"/>
              <w:right w:val="single" w:sz="4" w:space="0" w:color="auto"/>
            </w:tcBorders>
            <w:shd w:val="clear" w:color="auto" w:fill="auto"/>
            <w:noWrap/>
            <w:vAlign w:val="center"/>
            <w:hideMark/>
          </w:tcPr>
          <w:p w14:paraId="1D06ECF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60ml</w:t>
            </w:r>
          </w:p>
        </w:tc>
        <w:tc>
          <w:tcPr>
            <w:tcW w:w="576" w:type="pct"/>
            <w:tcBorders>
              <w:top w:val="nil"/>
              <w:left w:val="nil"/>
              <w:bottom w:val="single" w:sz="4" w:space="0" w:color="auto"/>
              <w:right w:val="single" w:sz="4" w:space="0" w:color="auto"/>
            </w:tcBorders>
            <w:shd w:val="clear" w:color="auto" w:fill="auto"/>
            <w:noWrap/>
            <w:vAlign w:val="center"/>
            <w:hideMark/>
          </w:tcPr>
          <w:p w14:paraId="2DBD8CD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0,45</w:t>
            </w:r>
          </w:p>
        </w:tc>
      </w:tr>
      <w:tr w:rsidR="00FE461F" w:rsidRPr="005E4BEA" w14:paraId="207DBE09"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6D3E9917"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Rezalnik za segmente</w:t>
            </w:r>
          </w:p>
        </w:tc>
        <w:tc>
          <w:tcPr>
            <w:tcW w:w="828" w:type="pct"/>
            <w:tcBorders>
              <w:top w:val="nil"/>
              <w:left w:val="nil"/>
              <w:bottom w:val="single" w:sz="4" w:space="0" w:color="auto"/>
              <w:right w:val="single" w:sz="4" w:space="0" w:color="auto"/>
            </w:tcBorders>
            <w:shd w:val="clear" w:color="auto" w:fill="auto"/>
            <w:noWrap/>
            <w:vAlign w:val="center"/>
            <w:hideMark/>
          </w:tcPr>
          <w:p w14:paraId="158408F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1009033</w:t>
            </w:r>
          </w:p>
        </w:tc>
        <w:tc>
          <w:tcPr>
            <w:tcW w:w="590" w:type="pct"/>
            <w:tcBorders>
              <w:top w:val="nil"/>
              <w:left w:val="nil"/>
              <w:bottom w:val="single" w:sz="4" w:space="0" w:color="auto"/>
              <w:right w:val="single" w:sz="4" w:space="0" w:color="auto"/>
            </w:tcBorders>
            <w:shd w:val="clear" w:color="auto" w:fill="auto"/>
            <w:vAlign w:val="center"/>
            <w:hideMark/>
          </w:tcPr>
          <w:p w14:paraId="0559685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SC=500</w:t>
            </w:r>
          </w:p>
        </w:tc>
        <w:tc>
          <w:tcPr>
            <w:tcW w:w="431" w:type="pct"/>
            <w:tcBorders>
              <w:top w:val="nil"/>
              <w:left w:val="nil"/>
              <w:bottom w:val="single" w:sz="4" w:space="0" w:color="auto"/>
              <w:right w:val="single" w:sz="4" w:space="0" w:color="auto"/>
            </w:tcBorders>
            <w:shd w:val="clear" w:color="auto" w:fill="auto"/>
            <w:noWrap/>
            <w:vAlign w:val="bottom"/>
            <w:hideMark/>
          </w:tcPr>
          <w:p w14:paraId="5203AAD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378,20</w:t>
            </w:r>
          </w:p>
        </w:tc>
        <w:tc>
          <w:tcPr>
            <w:tcW w:w="487" w:type="pct"/>
            <w:tcBorders>
              <w:top w:val="nil"/>
              <w:left w:val="nil"/>
              <w:bottom w:val="single" w:sz="4" w:space="0" w:color="auto"/>
              <w:right w:val="single" w:sz="4" w:space="0" w:color="auto"/>
            </w:tcBorders>
            <w:shd w:val="clear" w:color="auto" w:fill="auto"/>
            <w:noWrap/>
            <w:vAlign w:val="center"/>
            <w:hideMark/>
          </w:tcPr>
          <w:p w14:paraId="71BCE10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0,76</w:t>
            </w:r>
          </w:p>
        </w:tc>
        <w:tc>
          <w:tcPr>
            <w:tcW w:w="376" w:type="pct"/>
            <w:tcBorders>
              <w:top w:val="nil"/>
              <w:left w:val="nil"/>
              <w:bottom w:val="single" w:sz="4" w:space="0" w:color="auto"/>
              <w:right w:val="single" w:sz="4" w:space="0" w:color="auto"/>
            </w:tcBorders>
            <w:shd w:val="clear" w:color="auto" w:fill="auto"/>
            <w:noWrap/>
            <w:vAlign w:val="center"/>
            <w:hideMark/>
          </w:tcPr>
          <w:p w14:paraId="76119FD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1D2E9E5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0,76</w:t>
            </w:r>
          </w:p>
        </w:tc>
      </w:tr>
      <w:tr w:rsidR="00FE461F" w:rsidRPr="005E4BEA" w14:paraId="5AA1B652"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2F022D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Lepilni trak </w:t>
            </w:r>
            <w:proofErr w:type="spellStart"/>
            <w:r w:rsidRPr="005E4BEA">
              <w:rPr>
                <w:rFonts w:cs="Arial"/>
                <w:i/>
                <w:iCs/>
                <w:color w:val="808080" w:themeColor="background1" w:themeShade="80"/>
                <w:szCs w:val="20"/>
              </w:rPr>
              <w:t>transpore</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2175FF4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1000324</w:t>
            </w:r>
          </w:p>
        </w:tc>
        <w:tc>
          <w:tcPr>
            <w:tcW w:w="590" w:type="pct"/>
            <w:tcBorders>
              <w:top w:val="nil"/>
              <w:left w:val="nil"/>
              <w:bottom w:val="single" w:sz="4" w:space="0" w:color="auto"/>
              <w:right w:val="single" w:sz="4" w:space="0" w:color="auto"/>
            </w:tcBorders>
            <w:shd w:val="clear" w:color="auto" w:fill="auto"/>
            <w:vAlign w:val="center"/>
            <w:hideMark/>
          </w:tcPr>
          <w:p w14:paraId="46CE365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KOS</w:t>
            </w:r>
          </w:p>
        </w:tc>
        <w:tc>
          <w:tcPr>
            <w:tcW w:w="431" w:type="pct"/>
            <w:tcBorders>
              <w:top w:val="nil"/>
              <w:left w:val="nil"/>
              <w:bottom w:val="single" w:sz="4" w:space="0" w:color="auto"/>
              <w:right w:val="single" w:sz="4" w:space="0" w:color="auto"/>
            </w:tcBorders>
            <w:shd w:val="clear" w:color="auto" w:fill="auto"/>
            <w:noWrap/>
            <w:vAlign w:val="bottom"/>
            <w:hideMark/>
          </w:tcPr>
          <w:p w14:paraId="70072CE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0,34</w:t>
            </w:r>
          </w:p>
        </w:tc>
        <w:tc>
          <w:tcPr>
            <w:tcW w:w="487" w:type="pct"/>
            <w:tcBorders>
              <w:top w:val="nil"/>
              <w:left w:val="nil"/>
              <w:bottom w:val="single" w:sz="4" w:space="0" w:color="auto"/>
              <w:right w:val="single" w:sz="4" w:space="0" w:color="auto"/>
            </w:tcBorders>
            <w:shd w:val="clear" w:color="auto" w:fill="auto"/>
            <w:noWrap/>
            <w:vAlign w:val="center"/>
            <w:hideMark/>
          </w:tcPr>
          <w:p w14:paraId="5E5355F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0,34</w:t>
            </w:r>
          </w:p>
        </w:tc>
        <w:tc>
          <w:tcPr>
            <w:tcW w:w="376" w:type="pct"/>
            <w:tcBorders>
              <w:top w:val="nil"/>
              <w:left w:val="nil"/>
              <w:bottom w:val="single" w:sz="4" w:space="0" w:color="auto"/>
              <w:right w:val="single" w:sz="4" w:space="0" w:color="auto"/>
            </w:tcBorders>
            <w:shd w:val="clear" w:color="auto" w:fill="auto"/>
            <w:noWrap/>
            <w:vAlign w:val="center"/>
            <w:hideMark/>
          </w:tcPr>
          <w:p w14:paraId="3E15C4D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w:t>
            </w:r>
          </w:p>
        </w:tc>
        <w:tc>
          <w:tcPr>
            <w:tcW w:w="576" w:type="pct"/>
            <w:tcBorders>
              <w:top w:val="nil"/>
              <w:left w:val="nil"/>
              <w:bottom w:val="single" w:sz="4" w:space="0" w:color="auto"/>
              <w:right w:val="single" w:sz="4" w:space="0" w:color="auto"/>
            </w:tcBorders>
            <w:shd w:val="clear" w:color="auto" w:fill="auto"/>
            <w:noWrap/>
            <w:vAlign w:val="center"/>
            <w:hideMark/>
          </w:tcPr>
          <w:p w14:paraId="642E2DD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0,10</w:t>
            </w:r>
          </w:p>
        </w:tc>
      </w:tr>
      <w:tr w:rsidR="00FE461F" w:rsidRPr="005E4BEA" w14:paraId="58FF1F1B" w14:textId="77777777" w:rsidTr="0016774B">
        <w:trPr>
          <w:trHeight w:val="102"/>
        </w:trPr>
        <w:tc>
          <w:tcPr>
            <w:tcW w:w="1711" w:type="pct"/>
            <w:tcBorders>
              <w:top w:val="nil"/>
              <w:left w:val="nil"/>
              <w:bottom w:val="nil"/>
              <w:right w:val="nil"/>
            </w:tcBorders>
            <w:shd w:val="clear" w:color="auto" w:fill="auto"/>
            <w:noWrap/>
            <w:vAlign w:val="center"/>
            <w:hideMark/>
          </w:tcPr>
          <w:p w14:paraId="08DC557D" w14:textId="77777777" w:rsidR="00FE461F" w:rsidRPr="005E4BEA" w:rsidRDefault="00FE461F" w:rsidP="00FE461F">
            <w:pPr>
              <w:spacing w:line="240" w:lineRule="auto"/>
              <w:rPr>
                <w:rFonts w:cs="Arial"/>
                <w:b/>
                <w:bCs/>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07C84CE4" w14:textId="77777777" w:rsidR="00FE461F" w:rsidRPr="005E4BEA" w:rsidRDefault="00FE461F" w:rsidP="00FE461F">
            <w:pPr>
              <w:spacing w:line="240" w:lineRule="auto"/>
              <w:rPr>
                <w:rFonts w:cs="Arial"/>
                <w:b/>
                <w:bCs/>
                <w:i/>
                <w:iCs/>
                <w:color w:val="808080" w:themeColor="background1" w:themeShade="80"/>
                <w:szCs w:val="20"/>
              </w:rPr>
            </w:pPr>
          </w:p>
        </w:tc>
        <w:tc>
          <w:tcPr>
            <w:tcW w:w="590" w:type="pct"/>
            <w:tcBorders>
              <w:top w:val="nil"/>
              <w:left w:val="nil"/>
              <w:bottom w:val="nil"/>
              <w:right w:val="nil"/>
            </w:tcBorders>
            <w:shd w:val="clear" w:color="auto" w:fill="auto"/>
            <w:vAlign w:val="center"/>
            <w:hideMark/>
          </w:tcPr>
          <w:p w14:paraId="2A3A8E50" w14:textId="77777777" w:rsidR="00FE461F" w:rsidRPr="005E4BEA" w:rsidRDefault="00FE461F" w:rsidP="00FE461F">
            <w:pPr>
              <w:spacing w:line="240" w:lineRule="auto"/>
              <w:rPr>
                <w:rFonts w:cs="Arial"/>
                <w:b/>
                <w:bCs/>
                <w:i/>
                <w:iCs/>
                <w:color w:val="808080" w:themeColor="background1" w:themeShade="80"/>
                <w:szCs w:val="20"/>
              </w:rPr>
            </w:pPr>
          </w:p>
        </w:tc>
        <w:tc>
          <w:tcPr>
            <w:tcW w:w="431" w:type="pct"/>
            <w:tcBorders>
              <w:top w:val="nil"/>
              <w:left w:val="nil"/>
              <w:bottom w:val="nil"/>
              <w:right w:val="nil"/>
            </w:tcBorders>
            <w:shd w:val="clear" w:color="auto" w:fill="auto"/>
            <w:noWrap/>
            <w:vAlign w:val="bottom"/>
            <w:hideMark/>
          </w:tcPr>
          <w:p w14:paraId="2372517B"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73AC9AEC"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3FC03543" w14:textId="77777777" w:rsidR="00FE461F" w:rsidRPr="005E4BEA" w:rsidRDefault="00FE461F" w:rsidP="00FE461F">
            <w:pPr>
              <w:spacing w:line="240" w:lineRule="auto"/>
              <w:jc w:val="right"/>
              <w:rPr>
                <w:rFonts w:cs="Arial"/>
                <w:b/>
                <w:bCs/>
                <w:i/>
                <w:iCs/>
                <w:color w:val="808080" w:themeColor="background1" w:themeShade="80"/>
                <w:szCs w:val="20"/>
              </w:rPr>
            </w:pPr>
          </w:p>
        </w:tc>
        <w:tc>
          <w:tcPr>
            <w:tcW w:w="576"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4BC829F9"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915,59</w:t>
            </w:r>
          </w:p>
        </w:tc>
      </w:tr>
      <w:tr w:rsidR="00FE461F" w:rsidRPr="005E4BEA" w14:paraId="3558EA90" w14:textId="77777777" w:rsidTr="0016774B">
        <w:trPr>
          <w:trHeight w:val="102"/>
        </w:trPr>
        <w:tc>
          <w:tcPr>
            <w:tcW w:w="1711" w:type="pct"/>
            <w:tcBorders>
              <w:top w:val="nil"/>
              <w:left w:val="nil"/>
              <w:bottom w:val="nil"/>
              <w:right w:val="nil"/>
            </w:tcBorders>
            <w:shd w:val="clear" w:color="auto" w:fill="auto"/>
            <w:noWrap/>
            <w:vAlign w:val="center"/>
            <w:hideMark/>
          </w:tcPr>
          <w:p w14:paraId="4E592CFE"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4E1FF27A"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vAlign w:val="center"/>
            <w:hideMark/>
          </w:tcPr>
          <w:p w14:paraId="3AA602DE" w14:textId="77777777" w:rsidR="00FE461F" w:rsidRPr="005E4BEA" w:rsidRDefault="00FE461F" w:rsidP="00FE461F">
            <w:pPr>
              <w:spacing w:line="240" w:lineRule="auto"/>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bottom"/>
            <w:hideMark/>
          </w:tcPr>
          <w:p w14:paraId="0DC8E29B"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6EAA139F" w14:textId="77777777" w:rsidR="00FE461F" w:rsidRPr="005E4BEA" w:rsidRDefault="00FE461F" w:rsidP="00FE461F">
            <w:pPr>
              <w:spacing w:line="240" w:lineRule="auto"/>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0DBFA743"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0C80696B"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4CA6FE88" w14:textId="77777777" w:rsidTr="0016774B">
        <w:trPr>
          <w:trHeight w:val="102"/>
        </w:trPr>
        <w:tc>
          <w:tcPr>
            <w:tcW w:w="1711" w:type="pct"/>
            <w:tcBorders>
              <w:top w:val="nil"/>
              <w:left w:val="nil"/>
              <w:bottom w:val="nil"/>
              <w:right w:val="nil"/>
            </w:tcBorders>
            <w:shd w:val="clear" w:color="auto" w:fill="auto"/>
            <w:noWrap/>
            <w:vAlign w:val="center"/>
            <w:hideMark/>
          </w:tcPr>
          <w:p w14:paraId="2F2B7519"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AMORTIZACIJA</w:t>
            </w:r>
          </w:p>
        </w:tc>
        <w:tc>
          <w:tcPr>
            <w:tcW w:w="828" w:type="pct"/>
            <w:tcBorders>
              <w:top w:val="nil"/>
              <w:left w:val="nil"/>
              <w:bottom w:val="nil"/>
              <w:right w:val="nil"/>
            </w:tcBorders>
            <w:shd w:val="clear" w:color="auto" w:fill="auto"/>
            <w:noWrap/>
            <w:vAlign w:val="center"/>
            <w:hideMark/>
          </w:tcPr>
          <w:p w14:paraId="3138114E"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4EFCB347" w14:textId="77777777" w:rsidR="00FE461F" w:rsidRPr="005E4BEA" w:rsidRDefault="00FE461F" w:rsidP="00FE461F">
            <w:pPr>
              <w:spacing w:line="240" w:lineRule="auto"/>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4F7691BE"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12C215E5" w14:textId="77777777" w:rsidR="00FE461F" w:rsidRPr="005E4BEA" w:rsidRDefault="00FE461F" w:rsidP="00FE461F">
            <w:pPr>
              <w:spacing w:line="240" w:lineRule="auto"/>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3ACEACF0"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25CD3640"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17A34892" w14:textId="77777777" w:rsidTr="0016774B">
        <w:trPr>
          <w:trHeight w:val="102"/>
        </w:trPr>
        <w:tc>
          <w:tcPr>
            <w:tcW w:w="1711" w:type="pct"/>
            <w:tcBorders>
              <w:top w:val="single" w:sz="4" w:space="0" w:color="3366FF"/>
              <w:left w:val="single" w:sz="4" w:space="0" w:color="3366FF"/>
              <w:bottom w:val="nil"/>
              <w:right w:val="single" w:sz="4" w:space="0" w:color="3366FF"/>
            </w:tcBorders>
            <w:shd w:val="clear" w:color="auto" w:fill="auto"/>
            <w:noWrap/>
            <w:vAlign w:val="center"/>
            <w:hideMark/>
          </w:tcPr>
          <w:p w14:paraId="3D7F739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Osnovna sredstva </w:t>
            </w:r>
          </w:p>
        </w:tc>
        <w:tc>
          <w:tcPr>
            <w:tcW w:w="828" w:type="pct"/>
            <w:tcBorders>
              <w:top w:val="single" w:sz="4" w:space="0" w:color="3366FF"/>
              <w:left w:val="nil"/>
              <w:bottom w:val="nil"/>
              <w:right w:val="single" w:sz="4" w:space="0" w:color="3366FF"/>
            </w:tcBorders>
            <w:shd w:val="clear" w:color="auto" w:fill="auto"/>
            <w:noWrap/>
            <w:vAlign w:val="center"/>
            <w:hideMark/>
          </w:tcPr>
          <w:p w14:paraId="5D82F718"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Šifra ZTM</w:t>
            </w:r>
          </w:p>
        </w:tc>
        <w:tc>
          <w:tcPr>
            <w:tcW w:w="590" w:type="pct"/>
            <w:tcBorders>
              <w:top w:val="single" w:sz="4" w:space="0" w:color="3366FF"/>
              <w:left w:val="nil"/>
              <w:bottom w:val="nil"/>
              <w:right w:val="single" w:sz="4" w:space="0" w:color="3366FF"/>
            </w:tcBorders>
            <w:shd w:val="clear" w:color="auto" w:fill="auto"/>
            <w:vAlign w:val="center"/>
            <w:hideMark/>
          </w:tcPr>
          <w:p w14:paraId="044E423E"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NC</w:t>
            </w:r>
          </w:p>
        </w:tc>
        <w:tc>
          <w:tcPr>
            <w:tcW w:w="431" w:type="pct"/>
            <w:tcBorders>
              <w:top w:val="single" w:sz="4" w:space="0" w:color="3366FF"/>
              <w:left w:val="nil"/>
              <w:bottom w:val="nil"/>
              <w:right w:val="single" w:sz="4" w:space="0" w:color="3366FF"/>
            </w:tcBorders>
            <w:shd w:val="clear" w:color="auto" w:fill="auto"/>
            <w:vAlign w:val="center"/>
            <w:hideMark/>
          </w:tcPr>
          <w:p w14:paraId="494FF4ED"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Predvidena letna </w:t>
            </w:r>
            <w:r w:rsidRPr="005E4BEA">
              <w:rPr>
                <w:rFonts w:cs="Arial"/>
                <w:b/>
                <w:bCs/>
                <w:i/>
                <w:iCs/>
                <w:color w:val="808080" w:themeColor="background1" w:themeShade="80"/>
                <w:szCs w:val="20"/>
              </w:rPr>
              <w:lastRenderedPageBreak/>
              <w:t>količina opravljenih storitev na OS</w:t>
            </w:r>
          </w:p>
        </w:tc>
        <w:tc>
          <w:tcPr>
            <w:tcW w:w="487" w:type="pct"/>
            <w:tcBorders>
              <w:top w:val="single" w:sz="4" w:space="0" w:color="3366FF"/>
              <w:left w:val="nil"/>
              <w:bottom w:val="nil"/>
              <w:right w:val="single" w:sz="4" w:space="0" w:color="3366FF"/>
            </w:tcBorders>
            <w:shd w:val="clear" w:color="auto" w:fill="auto"/>
            <w:noWrap/>
            <w:vAlign w:val="center"/>
            <w:hideMark/>
          </w:tcPr>
          <w:p w14:paraId="1B740EFA"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lastRenderedPageBreak/>
              <w:t>Vrednost AM</w:t>
            </w:r>
          </w:p>
        </w:tc>
        <w:tc>
          <w:tcPr>
            <w:tcW w:w="376" w:type="pct"/>
            <w:tcBorders>
              <w:top w:val="single" w:sz="4" w:space="0" w:color="3366FF"/>
              <w:left w:val="nil"/>
              <w:bottom w:val="nil"/>
              <w:right w:val="single" w:sz="4" w:space="0" w:color="3366FF"/>
            </w:tcBorders>
            <w:shd w:val="clear" w:color="auto" w:fill="auto"/>
            <w:vAlign w:val="center"/>
            <w:hideMark/>
          </w:tcPr>
          <w:p w14:paraId="4E6F4F5B"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Število OS</w:t>
            </w:r>
          </w:p>
        </w:tc>
        <w:tc>
          <w:tcPr>
            <w:tcW w:w="576" w:type="pct"/>
            <w:tcBorders>
              <w:top w:val="single" w:sz="4" w:space="0" w:color="3366FF"/>
              <w:left w:val="nil"/>
              <w:bottom w:val="nil"/>
              <w:right w:val="single" w:sz="4" w:space="0" w:color="3366FF"/>
            </w:tcBorders>
            <w:shd w:val="clear" w:color="auto" w:fill="auto"/>
            <w:noWrap/>
            <w:vAlign w:val="center"/>
            <w:hideMark/>
          </w:tcPr>
          <w:p w14:paraId="1F443B4A"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Cena </w:t>
            </w:r>
          </w:p>
        </w:tc>
      </w:tr>
      <w:tr w:rsidR="00FE461F" w:rsidRPr="005E4BEA" w14:paraId="715E879C" w14:textId="77777777" w:rsidTr="0016774B">
        <w:trPr>
          <w:trHeight w:val="10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3D5D7"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Therakos</w:t>
            </w:r>
            <w:proofErr w:type="spellEnd"/>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6FCF79E9"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najem=1500 EUR/mesec</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0584D390"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 </w:t>
            </w:r>
          </w:p>
        </w:tc>
        <w:tc>
          <w:tcPr>
            <w:tcW w:w="431" w:type="pct"/>
            <w:tcBorders>
              <w:top w:val="single" w:sz="4" w:space="0" w:color="auto"/>
              <w:left w:val="nil"/>
              <w:bottom w:val="single" w:sz="4" w:space="0" w:color="auto"/>
              <w:right w:val="single" w:sz="4" w:space="0" w:color="auto"/>
            </w:tcBorders>
            <w:shd w:val="clear" w:color="000000" w:fill="FFFFFF"/>
            <w:noWrap/>
            <w:vAlign w:val="center"/>
            <w:hideMark/>
          </w:tcPr>
          <w:p w14:paraId="53B4EEC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100</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14:paraId="5F398D0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DE52B7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1BC1B58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180,00</w:t>
            </w:r>
          </w:p>
        </w:tc>
      </w:tr>
      <w:tr w:rsidR="00FE461F" w:rsidRPr="005E4BEA" w14:paraId="5301B051"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52855E0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varilec cevk </w:t>
            </w:r>
          </w:p>
        </w:tc>
        <w:tc>
          <w:tcPr>
            <w:tcW w:w="828" w:type="pct"/>
            <w:tcBorders>
              <w:top w:val="nil"/>
              <w:left w:val="nil"/>
              <w:bottom w:val="single" w:sz="4" w:space="0" w:color="auto"/>
              <w:right w:val="single" w:sz="4" w:space="0" w:color="auto"/>
            </w:tcBorders>
            <w:shd w:val="clear" w:color="auto" w:fill="auto"/>
            <w:noWrap/>
            <w:vAlign w:val="center"/>
            <w:hideMark/>
          </w:tcPr>
          <w:p w14:paraId="61747A1F"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0016397</w:t>
            </w:r>
          </w:p>
        </w:tc>
        <w:tc>
          <w:tcPr>
            <w:tcW w:w="590" w:type="pct"/>
            <w:tcBorders>
              <w:top w:val="nil"/>
              <w:left w:val="nil"/>
              <w:bottom w:val="single" w:sz="4" w:space="0" w:color="auto"/>
              <w:right w:val="single" w:sz="4" w:space="0" w:color="auto"/>
            </w:tcBorders>
            <w:shd w:val="clear" w:color="auto" w:fill="auto"/>
            <w:noWrap/>
            <w:vAlign w:val="center"/>
            <w:hideMark/>
          </w:tcPr>
          <w:p w14:paraId="4C7DD9B8"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1.893,06</w:t>
            </w:r>
          </w:p>
        </w:tc>
        <w:tc>
          <w:tcPr>
            <w:tcW w:w="431" w:type="pct"/>
            <w:tcBorders>
              <w:top w:val="nil"/>
              <w:left w:val="nil"/>
              <w:bottom w:val="single" w:sz="4" w:space="0" w:color="auto"/>
              <w:right w:val="single" w:sz="4" w:space="0" w:color="auto"/>
            </w:tcBorders>
            <w:shd w:val="clear" w:color="000000" w:fill="FFFFFF"/>
            <w:noWrap/>
            <w:vAlign w:val="center"/>
            <w:hideMark/>
          </w:tcPr>
          <w:p w14:paraId="1316353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56057DB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378,61</w:t>
            </w:r>
          </w:p>
        </w:tc>
        <w:tc>
          <w:tcPr>
            <w:tcW w:w="376" w:type="pct"/>
            <w:tcBorders>
              <w:top w:val="nil"/>
              <w:left w:val="nil"/>
              <w:bottom w:val="single" w:sz="4" w:space="0" w:color="auto"/>
              <w:right w:val="single" w:sz="4" w:space="0" w:color="auto"/>
            </w:tcBorders>
            <w:shd w:val="clear" w:color="auto" w:fill="auto"/>
            <w:noWrap/>
            <w:vAlign w:val="center"/>
            <w:hideMark/>
          </w:tcPr>
          <w:p w14:paraId="2BB4A86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w:t>
            </w:r>
          </w:p>
        </w:tc>
        <w:tc>
          <w:tcPr>
            <w:tcW w:w="576" w:type="pct"/>
            <w:tcBorders>
              <w:top w:val="nil"/>
              <w:left w:val="nil"/>
              <w:bottom w:val="single" w:sz="4" w:space="0" w:color="auto"/>
              <w:right w:val="single" w:sz="4" w:space="0" w:color="auto"/>
            </w:tcBorders>
            <w:shd w:val="clear" w:color="auto" w:fill="auto"/>
            <w:noWrap/>
            <w:vAlign w:val="center"/>
            <w:hideMark/>
          </w:tcPr>
          <w:p w14:paraId="4CAE3A5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1,01</w:t>
            </w:r>
          </w:p>
        </w:tc>
      </w:tr>
      <w:tr w:rsidR="00FE461F" w:rsidRPr="005E4BEA" w14:paraId="4D8EBD13"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2D5E58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računalnik </w:t>
            </w:r>
          </w:p>
        </w:tc>
        <w:tc>
          <w:tcPr>
            <w:tcW w:w="828" w:type="pct"/>
            <w:tcBorders>
              <w:top w:val="nil"/>
              <w:left w:val="nil"/>
              <w:bottom w:val="single" w:sz="4" w:space="0" w:color="auto"/>
              <w:right w:val="single" w:sz="4" w:space="0" w:color="auto"/>
            </w:tcBorders>
            <w:shd w:val="clear" w:color="auto" w:fill="auto"/>
            <w:noWrap/>
            <w:vAlign w:val="center"/>
            <w:hideMark/>
          </w:tcPr>
          <w:p w14:paraId="62D408B2"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0014557</w:t>
            </w:r>
          </w:p>
        </w:tc>
        <w:tc>
          <w:tcPr>
            <w:tcW w:w="590" w:type="pct"/>
            <w:tcBorders>
              <w:top w:val="nil"/>
              <w:left w:val="nil"/>
              <w:bottom w:val="single" w:sz="4" w:space="0" w:color="auto"/>
              <w:right w:val="single" w:sz="4" w:space="0" w:color="auto"/>
            </w:tcBorders>
            <w:shd w:val="clear" w:color="auto" w:fill="auto"/>
            <w:noWrap/>
            <w:vAlign w:val="center"/>
            <w:hideMark/>
          </w:tcPr>
          <w:p w14:paraId="7B5E7086"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616,56</w:t>
            </w:r>
          </w:p>
        </w:tc>
        <w:tc>
          <w:tcPr>
            <w:tcW w:w="431" w:type="pct"/>
            <w:tcBorders>
              <w:top w:val="nil"/>
              <w:left w:val="nil"/>
              <w:bottom w:val="single" w:sz="4" w:space="0" w:color="auto"/>
              <w:right w:val="single" w:sz="4" w:space="0" w:color="auto"/>
            </w:tcBorders>
            <w:shd w:val="clear" w:color="000000" w:fill="FFFFFF"/>
            <w:noWrap/>
            <w:vAlign w:val="center"/>
            <w:hideMark/>
          </w:tcPr>
          <w:p w14:paraId="710FD00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06AD308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123,31</w:t>
            </w:r>
          </w:p>
        </w:tc>
        <w:tc>
          <w:tcPr>
            <w:tcW w:w="376" w:type="pct"/>
            <w:tcBorders>
              <w:top w:val="nil"/>
              <w:left w:val="nil"/>
              <w:bottom w:val="single" w:sz="4" w:space="0" w:color="auto"/>
              <w:right w:val="single" w:sz="4" w:space="0" w:color="auto"/>
            </w:tcBorders>
            <w:shd w:val="clear" w:color="auto" w:fill="auto"/>
            <w:noWrap/>
            <w:vAlign w:val="center"/>
            <w:hideMark/>
          </w:tcPr>
          <w:p w14:paraId="3D2A9E1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w:t>
            </w:r>
          </w:p>
        </w:tc>
        <w:tc>
          <w:tcPr>
            <w:tcW w:w="576" w:type="pct"/>
            <w:tcBorders>
              <w:top w:val="nil"/>
              <w:left w:val="nil"/>
              <w:bottom w:val="single" w:sz="4" w:space="0" w:color="auto"/>
              <w:right w:val="single" w:sz="4" w:space="0" w:color="auto"/>
            </w:tcBorders>
            <w:shd w:val="clear" w:color="auto" w:fill="auto"/>
            <w:noWrap/>
            <w:vAlign w:val="center"/>
            <w:hideMark/>
          </w:tcPr>
          <w:p w14:paraId="2700321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0,33</w:t>
            </w:r>
          </w:p>
        </w:tc>
      </w:tr>
      <w:tr w:rsidR="00FE461F" w:rsidRPr="005E4BEA" w14:paraId="5D6EB985"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7F8737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tiskalnik </w:t>
            </w:r>
          </w:p>
        </w:tc>
        <w:tc>
          <w:tcPr>
            <w:tcW w:w="828" w:type="pct"/>
            <w:tcBorders>
              <w:top w:val="nil"/>
              <w:left w:val="nil"/>
              <w:bottom w:val="single" w:sz="4" w:space="0" w:color="auto"/>
              <w:right w:val="single" w:sz="4" w:space="0" w:color="auto"/>
            </w:tcBorders>
            <w:shd w:val="clear" w:color="auto" w:fill="auto"/>
            <w:noWrap/>
            <w:vAlign w:val="center"/>
            <w:hideMark/>
          </w:tcPr>
          <w:p w14:paraId="117390B4"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0012141</w:t>
            </w:r>
          </w:p>
        </w:tc>
        <w:tc>
          <w:tcPr>
            <w:tcW w:w="590" w:type="pct"/>
            <w:tcBorders>
              <w:top w:val="nil"/>
              <w:left w:val="nil"/>
              <w:bottom w:val="single" w:sz="4" w:space="0" w:color="auto"/>
              <w:right w:val="single" w:sz="4" w:space="0" w:color="auto"/>
            </w:tcBorders>
            <w:shd w:val="clear" w:color="auto" w:fill="auto"/>
            <w:noWrap/>
            <w:vAlign w:val="center"/>
            <w:hideMark/>
          </w:tcPr>
          <w:p w14:paraId="1982FA79"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167,83</w:t>
            </w:r>
          </w:p>
        </w:tc>
        <w:tc>
          <w:tcPr>
            <w:tcW w:w="431" w:type="pct"/>
            <w:tcBorders>
              <w:top w:val="nil"/>
              <w:left w:val="nil"/>
              <w:bottom w:val="single" w:sz="4" w:space="0" w:color="auto"/>
              <w:right w:val="single" w:sz="4" w:space="0" w:color="auto"/>
            </w:tcBorders>
            <w:shd w:val="clear" w:color="000000" w:fill="FFFFFF"/>
            <w:noWrap/>
            <w:vAlign w:val="center"/>
            <w:hideMark/>
          </w:tcPr>
          <w:p w14:paraId="50CFA67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4931C0A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33,57</w:t>
            </w:r>
          </w:p>
        </w:tc>
        <w:tc>
          <w:tcPr>
            <w:tcW w:w="376" w:type="pct"/>
            <w:tcBorders>
              <w:top w:val="nil"/>
              <w:left w:val="nil"/>
              <w:bottom w:val="single" w:sz="4" w:space="0" w:color="auto"/>
              <w:right w:val="single" w:sz="4" w:space="0" w:color="auto"/>
            </w:tcBorders>
            <w:shd w:val="clear" w:color="auto" w:fill="auto"/>
            <w:noWrap/>
            <w:vAlign w:val="center"/>
            <w:hideMark/>
          </w:tcPr>
          <w:p w14:paraId="14B9957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2EA7262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0,06</w:t>
            </w:r>
          </w:p>
        </w:tc>
      </w:tr>
      <w:tr w:rsidR="00FE461F" w:rsidRPr="005E4BEA" w14:paraId="7138EE9A"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BD014F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Tiskalnik za etikete </w:t>
            </w:r>
            <w:proofErr w:type="spellStart"/>
            <w:r w:rsidRPr="005E4BEA">
              <w:rPr>
                <w:rFonts w:cs="Arial"/>
                <w:i/>
                <w:iCs/>
                <w:color w:val="808080" w:themeColor="background1" w:themeShade="80"/>
                <w:szCs w:val="20"/>
              </w:rPr>
              <w:t>Bixolon</w:t>
            </w:r>
            <w:proofErr w:type="spellEnd"/>
            <w:r w:rsidRPr="005E4BEA">
              <w:rPr>
                <w:rFonts w:cs="Arial"/>
                <w:i/>
                <w:iCs/>
                <w:color w:val="808080" w:themeColor="background1" w:themeShade="80"/>
                <w:szCs w:val="20"/>
              </w:rPr>
              <w:t xml:space="preserve"> </w:t>
            </w:r>
          </w:p>
        </w:tc>
        <w:tc>
          <w:tcPr>
            <w:tcW w:w="828" w:type="pct"/>
            <w:tcBorders>
              <w:top w:val="nil"/>
              <w:left w:val="nil"/>
              <w:bottom w:val="single" w:sz="4" w:space="0" w:color="auto"/>
              <w:right w:val="single" w:sz="4" w:space="0" w:color="auto"/>
            </w:tcBorders>
            <w:shd w:val="clear" w:color="auto" w:fill="auto"/>
            <w:noWrap/>
            <w:vAlign w:val="center"/>
            <w:hideMark/>
          </w:tcPr>
          <w:p w14:paraId="78C1D013"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0014010</w:t>
            </w:r>
          </w:p>
        </w:tc>
        <w:tc>
          <w:tcPr>
            <w:tcW w:w="590" w:type="pct"/>
            <w:tcBorders>
              <w:top w:val="nil"/>
              <w:left w:val="nil"/>
              <w:bottom w:val="single" w:sz="4" w:space="0" w:color="auto"/>
              <w:right w:val="single" w:sz="4" w:space="0" w:color="auto"/>
            </w:tcBorders>
            <w:shd w:val="clear" w:color="auto" w:fill="auto"/>
            <w:noWrap/>
            <w:vAlign w:val="center"/>
            <w:hideMark/>
          </w:tcPr>
          <w:p w14:paraId="3E586283"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383,04</w:t>
            </w:r>
          </w:p>
        </w:tc>
        <w:tc>
          <w:tcPr>
            <w:tcW w:w="431" w:type="pct"/>
            <w:tcBorders>
              <w:top w:val="nil"/>
              <w:left w:val="nil"/>
              <w:bottom w:val="single" w:sz="4" w:space="0" w:color="auto"/>
              <w:right w:val="single" w:sz="4" w:space="0" w:color="auto"/>
            </w:tcBorders>
            <w:shd w:val="clear" w:color="000000" w:fill="FFFFFF"/>
            <w:noWrap/>
            <w:vAlign w:val="center"/>
            <w:hideMark/>
          </w:tcPr>
          <w:p w14:paraId="5FC80DE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18CB7B9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76,61</w:t>
            </w:r>
          </w:p>
        </w:tc>
        <w:tc>
          <w:tcPr>
            <w:tcW w:w="376" w:type="pct"/>
            <w:tcBorders>
              <w:top w:val="nil"/>
              <w:left w:val="nil"/>
              <w:bottom w:val="single" w:sz="4" w:space="0" w:color="auto"/>
              <w:right w:val="single" w:sz="4" w:space="0" w:color="auto"/>
            </w:tcBorders>
            <w:shd w:val="clear" w:color="auto" w:fill="auto"/>
            <w:noWrap/>
            <w:vAlign w:val="center"/>
            <w:hideMark/>
          </w:tcPr>
          <w:p w14:paraId="5150392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0DAE427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0,14</w:t>
            </w:r>
          </w:p>
        </w:tc>
      </w:tr>
      <w:tr w:rsidR="00FE461F" w:rsidRPr="005E4BEA" w14:paraId="30CD1DA4"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3026713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Merilec krvnega tlaka </w:t>
            </w:r>
          </w:p>
        </w:tc>
        <w:tc>
          <w:tcPr>
            <w:tcW w:w="828" w:type="pct"/>
            <w:tcBorders>
              <w:top w:val="nil"/>
              <w:left w:val="nil"/>
              <w:bottom w:val="single" w:sz="4" w:space="0" w:color="auto"/>
              <w:right w:val="single" w:sz="4" w:space="0" w:color="auto"/>
            </w:tcBorders>
            <w:shd w:val="clear" w:color="auto" w:fill="auto"/>
            <w:noWrap/>
            <w:vAlign w:val="center"/>
            <w:hideMark/>
          </w:tcPr>
          <w:p w14:paraId="4DD170B1"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0017745</w:t>
            </w:r>
          </w:p>
        </w:tc>
        <w:tc>
          <w:tcPr>
            <w:tcW w:w="590" w:type="pct"/>
            <w:tcBorders>
              <w:top w:val="nil"/>
              <w:left w:val="nil"/>
              <w:bottom w:val="single" w:sz="4" w:space="0" w:color="auto"/>
              <w:right w:val="single" w:sz="4" w:space="0" w:color="auto"/>
            </w:tcBorders>
            <w:shd w:val="clear" w:color="auto" w:fill="auto"/>
            <w:noWrap/>
            <w:vAlign w:val="center"/>
            <w:hideMark/>
          </w:tcPr>
          <w:p w14:paraId="76DD14DB"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2.109,43</w:t>
            </w:r>
          </w:p>
        </w:tc>
        <w:tc>
          <w:tcPr>
            <w:tcW w:w="431" w:type="pct"/>
            <w:tcBorders>
              <w:top w:val="nil"/>
              <w:left w:val="nil"/>
              <w:bottom w:val="single" w:sz="4" w:space="0" w:color="auto"/>
              <w:right w:val="single" w:sz="4" w:space="0" w:color="auto"/>
            </w:tcBorders>
            <w:shd w:val="clear" w:color="000000" w:fill="FFFFFF"/>
            <w:noWrap/>
            <w:vAlign w:val="center"/>
            <w:hideMark/>
          </w:tcPr>
          <w:p w14:paraId="1A761E9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4080DC5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421,89</w:t>
            </w:r>
          </w:p>
        </w:tc>
        <w:tc>
          <w:tcPr>
            <w:tcW w:w="376" w:type="pct"/>
            <w:tcBorders>
              <w:top w:val="nil"/>
              <w:left w:val="nil"/>
              <w:bottom w:val="single" w:sz="4" w:space="0" w:color="auto"/>
              <w:right w:val="single" w:sz="4" w:space="0" w:color="auto"/>
            </w:tcBorders>
            <w:shd w:val="clear" w:color="auto" w:fill="auto"/>
            <w:noWrap/>
            <w:vAlign w:val="center"/>
            <w:hideMark/>
          </w:tcPr>
          <w:p w14:paraId="2A9148F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22A8623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0,75</w:t>
            </w:r>
          </w:p>
        </w:tc>
      </w:tr>
      <w:tr w:rsidR="00FE461F" w:rsidRPr="005E4BEA" w14:paraId="07019794"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47F6FCD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Stol za odvzem krvi </w:t>
            </w:r>
            <w:proofErr w:type="spellStart"/>
            <w:r w:rsidRPr="005E4BEA">
              <w:rPr>
                <w:rFonts w:cs="Arial"/>
                <w:i/>
                <w:iCs/>
                <w:color w:val="808080" w:themeColor="background1" w:themeShade="80"/>
                <w:szCs w:val="20"/>
              </w:rPr>
              <w:t>Bionic</w:t>
            </w:r>
            <w:proofErr w:type="spellEnd"/>
            <w:r w:rsidRPr="005E4BEA">
              <w:rPr>
                <w:rFonts w:cs="Arial"/>
                <w:i/>
                <w:iCs/>
                <w:color w:val="808080" w:themeColor="background1" w:themeShade="80"/>
                <w:szCs w:val="20"/>
              </w:rPr>
              <w:t xml:space="preserve"> </w:t>
            </w:r>
          </w:p>
        </w:tc>
        <w:tc>
          <w:tcPr>
            <w:tcW w:w="828" w:type="pct"/>
            <w:tcBorders>
              <w:top w:val="nil"/>
              <w:left w:val="nil"/>
              <w:bottom w:val="single" w:sz="4" w:space="0" w:color="auto"/>
              <w:right w:val="single" w:sz="4" w:space="0" w:color="auto"/>
            </w:tcBorders>
            <w:shd w:val="clear" w:color="auto" w:fill="auto"/>
            <w:noWrap/>
            <w:vAlign w:val="center"/>
            <w:hideMark/>
          </w:tcPr>
          <w:p w14:paraId="694F6D6B"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16229</w:t>
            </w:r>
          </w:p>
        </w:tc>
        <w:tc>
          <w:tcPr>
            <w:tcW w:w="590" w:type="pct"/>
            <w:tcBorders>
              <w:top w:val="nil"/>
              <w:left w:val="nil"/>
              <w:bottom w:val="single" w:sz="4" w:space="0" w:color="auto"/>
              <w:right w:val="single" w:sz="4" w:space="0" w:color="auto"/>
            </w:tcBorders>
            <w:shd w:val="clear" w:color="auto" w:fill="auto"/>
            <w:noWrap/>
            <w:vAlign w:val="center"/>
            <w:hideMark/>
          </w:tcPr>
          <w:p w14:paraId="2725987C"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4.104,36</w:t>
            </w:r>
          </w:p>
        </w:tc>
        <w:tc>
          <w:tcPr>
            <w:tcW w:w="431" w:type="pct"/>
            <w:tcBorders>
              <w:top w:val="nil"/>
              <w:left w:val="nil"/>
              <w:bottom w:val="single" w:sz="4" w:space="0" w:color="auto"/>
              <w:right w:val="single" w:sz="4" w:space="0" w:color="auto"/>
            </w:tcBorders>
            <w:shd w:val="clear" w:color="000000" w:fill="FFFFFF"/>
            <w:noWrap/>
            <w:vAlign w:val="center"/>
            <w:hideMark/>
          </w:tcPr>
          <w:p w14:paraId="6857952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0300E2C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820,87</w:t>
            </w:r>
          </w:p>
        </w:tc>
        <w:tc>
          <w:tcPr>
            <w:tcW w:w="376" w:type="pct"/>
            <w:tcBorders>
              <w:top w:val="nil"/>
              <w:left w:val="nil"/>
              <w:bottom w:val="single" w:sz="4" w:space="0" w:color="auto"/>
              <w:right w:val="single" w:sz="4" w:space="0" w:color="auto"/>
            </w:tcBorders>
            <w:shd w:val="clear" w:color="auto" w:fill="auto"/>
            <w:noWrap/>
            <w:vAlign w:val="center"/>
            <w:hideMark/>
          </w:tcPr>
          <w:p w14:paraId="5409240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6</w:t>
            </w:r>
          </w:p>
        </w:tc>
        <w:tc>
          <w:tcPr>
            <w:tcW w:w="576" w:type="pct"/>
            <w:tcBorders>
              <w:top w:val="nil"/>
              <w:left w:val="nil"/>
              <w:bottom w:val="single" w:sz="4" w:space="0" w:color="auto"/>
              <w:right w:val="single" w:sz="4" w:space="0" w:color="auto"/>
            </w:tcBorders>
            <w:shd w:val="clear" w:color="auto" w:fill="auto"/>
            <w:noWrap/>
            <w:vAlign w:val="center"/>
            <w:hideMark/>
          </w:tcPr>
          <w:p w14:paraId="7DB795F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4,40</w:t>
            </w:r>
          </w:p>
        </w:tc>
      </w:tr>
      <w:tr w:rsidR="00FE461F" w:rsidRPr="005E4BEA" w14:paraId="5E76657C"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6320B0B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Tiskalnik Zebra </w:t>
            </w:r>
          </w:p>
        </w:tc>
        <w:tc>
          <w:tcPr>
            <w:tcW w:w="828" w:type="pct"/>
            <w:tcBorders>
              <w:top w:val="nil"/>
              <w:left w:val="nil"/>
              <w:bottom w:val="single" w:sz="4" w:space="0" w:color="auto"/>
              <w:right w:val="single" w:sz="4" w:space="0" w:color="auto"/>
            </w:tcBorders>
            <w:shd w:val="clear" w:color="auto" w:fill="auto"/>
            <w:noWrap/>
            <w:vAlign w:val="center"/>
            <w:hideMark/>
          </w:tcPr>
          <w:p w14:paraId="7827BC1C"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16884</w:t>
            </w:r>
          </w:p>
        </w:tc>
        <w:tc>
          <w:tcPr>
            <w:tcW w:w="590" w:type="pct"/>
            <w:tcBorders>
              <w:top w:val="nil"/>
              <w:left w:val="nil"/>
              <w:bottom w:val="single" w:sz="4" w:space="0" w:color="auto"/>
              <w:right w:val="single" w:sz="4" w:space="0" w:color="auto"/>
            </w:tcBorders>
            <w:shd w:val="clear" w:color="auto" w:fill="auto"/>
            <w:noWrap/>
            <w:vAlign w:val="center"/>
            <w:hideMark/>
          </w:tcPr>
          <w:p w14:paraId="27686C65"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662,97</w:t>
            </w:r>
          </w:p>
        </w:tc>
        <w:tc>
          <w:tcPr>
            <w:tcW w:w="431" w:type="pct"/>
            <w:tcBorders>
              <w:top w:val="nil"/>
              <w:left w:val="nil"/>
              <w:bottom w:val="single" w:sz="4" w:space="0" w:color="auto"/>
              <w:right w:val="single" w:sz="4" w:space="0" w:color="auto"/>
            </w:tcBorders>
            <w:shd w:val="clear" w:color="000000" w:fill="FFFFFF"/>
            <w:noWrap/>
            <w:vAlign w:val="center"/>
            <w:hideMark/>
          </w:tcPr>
          <w:p w14:paraId="6C1319A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33CC405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132,59</w:t>
            </w:r>
          </w:p>
        </w:tc>
        <w:tc>
          <w:tcPr>
            <w:tcW w:w="376" w:type="pct"/>
            <w:tcBorders>
              <w:top w:val="nil"/>
              <w:left w:val="nil"/>
              <w:bottom w:val="single" w:sz="4" w:space="0" w:color="auto"/>
              <w:right w:val="single" w:sz="4" w:space="0" w:color="auto"/>
            </w:tcBorders>
            <w:shd w:val="clear" w:color="auto" w:fill="auto"/>
            <w:noWrap/>
            <w:vAlign w:val="center"/>
            <w:hideMark/>
          </w:tcPr>
          <w:p w14:paraId="3DCDECD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2004427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0,12</w:t>
            </w:r>
          </w:p>
        </w:tc>
      </w:tr>
      <w:tr w:rsidR="00FE461F" w:rsidRPr="005E4BEA" w14:paraId="5087E84E"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7F201DD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Prenosni merilnik I - STAT</w:t>
            </w:r>
          </w:p>
        </w:tc>
        <w:tc>
          <w:tcPr>
            <w:tcW w:w="828" w:type="pct"/>
            <w:tcBorders>
              <w:top w:val="nil"/>
              <w:left w:val="nil"/>
              <w:bottom w:val="single" w:sz="4" w:space="0" w:color="auto"/>
              <w:right w:val="single" w:sz="4" w:space="0" w:color="auto"/>
            </w:tcBorders>
            <w:shd w:val="clear" w:color="auto" w:fill="auto"/>
            <w:noWrap/>
            <w:vAlign w:val="center"/>
            <w:hideMark/>
          </w:tcPr>
          <w:p w14:paraId="0E267CA2"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najem=1.464 EUR/leto</w:t>
            </w:r>
          </w:p>
        </w:tc>
        <w:tc>
          <w:tcPr>
            <w:tcW w:w="590" w:type="pct"/>
            <w:tcBorders>
              <w:top w:val="nil"/>
              <w:left w:val="nil"/>
              <w:bottom w:val="single" w:sz="4" w:space="0" w:color="auto"/>
              <w:right w:val="single" w:sz="4" w:space="0" w:color="auto"/>
            </w:tcBorders>
            <w:shd w:val="clear" w:color="auto" w:fill="auto"/>
            <w:noWrap/>
            <w:vAlign w:val="center"/>
            <w:hideMark/>
          </w:tcPr>
          <w:p w14:paraId="75880221"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 </w:t>
            </w:r>
          </w:p>
        </w:tc>
        <w:tc>
          <w:tcPr>
            <w:tcW w:w="431" w:type="pct"/>
            <w:tcBorders>
              <w:top w:val="nil"/>
              <w:left w:val="nil"/>
              <w:bottom w:val="single" w:sz="4" w:space="0" w:color="auto"/>
              <w:right w:val="single" w:sz="4" w:space="0" w:color="auto"/>
            </w:tcBorders>
            <w:shd w:val="clear" w:color="000000" w:fill="FFFFFF"/>
            <w:noWrap/>
            <w:vAlign w:val="center"/>
            <w:hideMark/>
          </w:tcPr>
          <w:p w14:paraId="7DC69D6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47925F1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376" w:type="pct"/>
            <w:tcBorders>
              <w:top w:val="nil"/>
              <w:left w:val="nil"/>
              <w:bottom w:val="single" w:sz="4" w:space="0" w:color="auto"/>
              <w:right w:val="single" w:sz="4" w:space="0" w:color="auto"/>
            </w:tcBorders>
            <w:shd w:val="clear" w:color="auto" w:fill="auto"/>
            <w:noWrap/>
            <w:vAlign w:val="center"/>
            <w:hideMark/>
          </w:tcPr>
          <w:p w14:paraId="55572FB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0CCDDC4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1,31</w:t>
            </w:r>
          </w:p>
        </w:tc>
      </w:tr>
      <w:tr w:rsidR="00FE461F" w:rsidRPr="005E4BEA" w14:paraId="41F28C42"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8E7DCB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INFUSOMAT SPACE BRAUN</w:t>
            </w:r>
          </w:p>
        </w:tc>
        <w:tc>
          <w:tcPr>
            <w:tcW w:w="828" w:type="pct"/>
            <w:tcBorders>
              <w:top w:val="nil"/>
              <w:left w:val="nil"/>
              <w:bottom w:val="single" w:sz="4" w:space="0" w:color="auto"/>
              <w:right w:val="single" w:sz="4" w:space="0" w:color="auto"/>
            </w:tcBorders>
            <w:shd w:val="clear" w:color="auto" w:fill="auto"/>
            <w:noWrap/>
            <w:vAlign w:val="center"/>
            <w:hideMark/>
          </w:tcPr>
          <w:p w14:paraId="420C27C9"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18169,17562</w:t>
            </w:r>
          </w:p>
        </w:tc>
        <w:tc>
          <w:tcPr>
            <w:tcW w:w="590" w:type="pct"/>
            <w:tcBorders>
              <w:top w:val="nil"/>
              <w:left w:val="nil"/>
              <w:bottom w:val="single" w:sz="4" w:space="0" w:color="auto"/>
              <w:right w:val="single" w:sz="4" w:space="0" w:color="auto"/>
            </w:tcBorders>
            <w:shd w:val="clear" w:color="auto" w:fill="auto"/>
            <w:noWrap/>
            <w:vAlign w:val="center"/>
            <w:hideMark/>
          </w:tcPr>
          <w:p w14:paraId="675F1DCA"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2.313,33</w:t>
            </w:r>
          </w:p>
        </w:tc>
        <w:tc>
          <w:tcPr>
            <w:tcW w:w="431" w:type="pct"/>
            <w:tcBorders>
              <w:top w:val="nil"/>
              <w:left w:val="nil"/>
              <w:bottom w:val="single" w:sz="4" w:space="0" w:color="auto"/>
              <w:right w:val="single" w:sz="4" w:space="0" w:color="auto"/>
            </w:tcBorders>
            <w:shd w:val="clear" w:color="000000" w:fill="FFFFFF"/>
            <w:noWrap/>
            <w:vAlign w:val="center"/>
            <w:hideMark/>
          </w:tcPr>
          <w:p w14:paraId="4706AB1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65DD9F7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462,67</w:t>
            </w:r>
          </w:p>
        </w:tc>
        <w:tc>
          <w:tcPr>
            <w:tcW w:w="376" w:type="pct"/>
            <w:tcBorders>
              <w:top w:val="nil"/>
              <w:left w:val="nil"/>
              <w:bottom w:val="single" w:sz="4" w:space="0" w:color="auto"/>
              <w:right w:val="single" w:sz="4" w:space="0" w:color="auto"/>
            </w:tcBorders>
            <w:shd w:val="clear" w:color="auto" w:fill="auto"/>
            <w:noWrap/>
            <w:vAlign w:val="center"/>
            <w:hideMark/>
          </w:tcPr>
          <w:p w14:paraId="023B6E7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w:t>
            </w:r>
          </w:p>
        </w:tc>
        <w:tc>
          <w:tcPr>
            <w:tcW w:w="576" w:type="pct"/>
            <w:tcBorders>
              <w:top w:val="nil"/>
              <w:left w:val="nil"/>
              <w:bottom w:val="single" w:sz="4" w:space="0" w:color="auto"/>
              <w:right w:val="single" w:sz="4" w:space="0" w:color="auto"/>
            </w:tcBorders>
            <w:shd w:val="clear" w:color="auto" w:fill="auto"/>
            <w:noWrap/>
            <w:vAlign w:val="center"/>
            <w:hideMark/>
          </w:tcPr>
          <w:p w14:paraId="3D09F46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0,83</w:t>
            </w:r>
          </w:p>
        </w:tc>
      </w:tr>
      <w:tr w:rsidR="00FE461F" w:rsidRPr="005E4BEA" w14:paraId="7727D950"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0FB933A"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PERFUSOR</w:t>
            </w:r>
          </w:p>
        </w:tc>
        <w:tc>
          <w:tcPr>
            <w:tcW w:w="828" w:type="pct"/>
            <w:tcBorders>
              <w:top w:val="nil"/>
              <w:left w:val="nil"/>
              <w:bottom w:val="single" w:sz="4" w:space="0" w:color="auto"/>
              <w:right w:val="single" w:sz="4" w:space="0" w:color="auto"/>
            </w:tcBorders>
            <w:shd w:val="clear" w:color="auto" w:fill="auto"/>
            <w:noWrap/>
            <w:vAlign w:val="center"/>
            <w:hideMark/>
          </w:tcPr>
          <w:p w14:paraId="1E4BC3FB"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17563</w:t>
            </w:r>
          </w:p>
        </w:tc>
        <w:tc>
          <w:tcPr>
            <w:tcW w:w="590" w:type="pct"/>
            <w:tcBorders>
              <w:top w:val="nil"/>
              <w:left w:val="nil"/>
              <w:bottom w:val="single" w:sz="4" w:space="0" w:color="auto"/>
              <w:right w:val="single" w:sz="4" w:space="0" w:color="auto"/>
            </w:tcBorders>
            <w:shd w:val="clear" w:color="auto" w:fill="auto"/>
            <w:noWrap/>
            <w:vAlign w:val="center"/>
            <w:hideMark/>
          </w:tcPr>
          <w:p w14:paraId="5BAA3897"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2.287,39</w:t>
            </w:r>
          </w:p>
        </w:tc>
        <w:tc>
          <w:tcPr>
            <w:tcW w:w="431" w:type="pct"/>
            <w:tcBorders>
              <w:top w:val="nil"/>
              <w:left w:val="nil"/>
              <w:bottom w:val="single" w:sz="4" w:space="0" w:color="auto"/>
              <w:right w:val="single" w:sz="4" w:space="0" w:color="auto"/>
            </w:tcBorders>
            <w:shd w:val="clear" w:color="000000" w:fill="FFFFFF"/>
            <w:noWrap/>
            <w:vAlign w:val="center"/>
            <w:hideMark/>
          </w:tcPr>
          <w:p w14:paraId="2C49F2D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2BF5F0D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457,48</w:t>
            </w:r>
          </w:p>
        </w:tc>
        <w:tc>
          <w:tcPr>
            <w:tcW w:w="376" w:type="pct"/>
            <w:tcBorders>
              <w:top w:val="nil"/>
              <w:left w:val="nil"/>
              <w:bottom w:val="single" w:sz="4" w:space="0" w:color="auto"/>
              <w:right w:val="single" w:sz="4" w:space="0" w:color="auto"/>
            </w:tcBorders>
            <w:shd w:val="clear" w:color="auto" w:fill="auto"/>
            <w:noWrap/>
            <w:vAlign w:val="center"/>
            <w:hideMark/>
          </w:tcPr>
          <w:p w14:paraId="1525D7B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67D1D01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0,41</w:t>
            </w:r>
          </w:p>
        </w:tc>
      </w:tr>
      <w:tr w:rsidR="00FE461F" w:rsidRPr="005E4BEA" w14:paraId="213FB066"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4EC8DAA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VOZIČEK REANIMACIJSKI OPTIPLAN MOD.361</w:t>
            </w:r>
          </w:p>
        </w:tc>
        <w:tc>
          <w:tcPr>
            <w:tcW w:w="828" w:type="pct"/>
            <w:tcBorders>
              <w:top w:val="nil"/>
              <w:left w:val="nil"/>
              <w:bottom w:val="single" w:sz="4" w:space="0" w:color="auto"/>
              <w:right w:val="single" w:sz="4" w:space="0" w:color="auto"/>
            </w:tcBorders>
            <w:shd w:val="clear" w:color="auto" w:fill="auto"/>
            <w:noWrap/>
            <w:vAlign w:val="center"/>
            <w:hideMark/>
          </w:tcPr>
          <w:p w14:paraId="0A793DF8"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16100</w:t>
            </w:r>
          </w:p>
        </w:tc>
        <w:tc>
          <w:tcPr>
            <w:tcW w:w="590" w:type="pct"/>
            <w:tcBorders>
              <w:top w:val="nil"/>
              <w:left w:val="nil"/>
              <w:bottom w:val="single" w:sz="4" w:space="0" w:color="auto"/>
              <w:right w:val="single" w:sz="4" w:space="0" w:color="auto"/>
            </w:tcBorders>
            <w:shd w:val="clear" w:color="auto" w:fill="auto"/>
            <w:noWrap/>
            <w:vAlign w:val="center"/>
            <w:hideMark/>
          </w:tcPr>
          <w:p w14:paraId="684B0BE3"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2.843,10</w:t>
            </w:r>
          </w:p>
        </w:tc>
        <w:tc>
          <w:tcPr>
            <w:tcW w:w="431" w:type="pct"/>
            <w:tcBorders>
              <w:top w:val="nil"/>
              <w:left w:val="nil"/>
              <w:bottom w:val="single" w:sz="4" w:space="0" w:color="auto"/>
              <w:right w:val="single" w:sz="4" w:space="0" w:color="auto"/>
            </w:tcBorders>
            <w:shd w:val="clear" w:color="000000" w:fill="FFFFFF"/>
            <w:noWrap/>
            <w:vAlign w:val="center"/>
            <w:hideMark/>
          </w:tcPr>
          <w:p w14:paraId="2213F78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1.829</w:t>
            </w:r>
          </w:p>
        </w:tc>
        <w:tc>
          <w:tcPr>
            <w:tcW w:w="487" w:type="pct"/>
            <w:tcBorders>
              <w:top w:val="nil"/>
              <w:left w:val="nil"/>
              <w:bottom w:val="single" w:sz="4" w:space="0" w:color="auto"/>
              <w:right w:val="single" w:sz="4" w:space="0" w:color="auto"/>
            </w:tcBorders>
            <w:shd w:val="clear" w:color="auto" w:fill="auto"/>
            <w:noWrap/>
            <w:vAlign w:val="center"/>
            <w:hideMark/>
          </w:tcPr>
          <w:p w14:paraId="730BDDB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568,62</w:t>
            </w:r>
          </w:p>
        </w:tc>
        <w:tc>
          <w:tcPr>
            <w:tcW w:w="376" w:type="pct"/>
            <w:tcBorders>
              <w:top w:val="nil"/>
              <w:left w:val="nil"/>
              <w:bottom w:val="single" w:sz="4" w:space="0" w:color="auto"/>
              <w:right w:val="single" w:sz="4" w:space="0" w:color="auto"/>
            </w:tcBorders>
            <w:shd w:val="clear" w:color="auto" w:fill="auto"/>
            <w:noWrap/>
            <w:vAlign w:val="center"/>
            <w:hideMark/>
          </w:tcPr>
          <w:p w14:paraId="2946AAD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single" w:sz="4" w:space="0" w:color="auto"/>
              <w:right w:val="single" w:sz="4" w:space="0" w:color="auto"/>
            </w:tcBorders>
            <w:shd w:val="clear" w:color="auto" w:fill="auto"/>
            <w:noWrap/>
            <w:vAlign w:val="center"/>
            <w:hideMark/>
          </w:tcPr>
          <w:p w14:paraId="1715252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0,31</w:t>
            </w:r>
          </w:p>
        </w:tc>
      </w:tr>
      <w:tr w:rsidR="00FE461F" w:rsidRPr="005E4BEA" w14:paraId="1ABD5530"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35F015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TEHTNICA Z MERILNIKOM VIŠINE KERN MPE250</w:t>
            </w:r>
          </w:p>
        </w:tc>
        <w:tc>
          <w:tcPr>
            <w:tcW w:w="828" w:type="pct"/>
            <w:tcBorders>
              <w:top w:val="nil"/>
              <w:left w:val="nil"/>
              <w:bottom w:val="single" w:sz="4" w:space="0" w:color="auto"/>
              <w:right w:val="single" w:sz="4" w:space="0" w:color="auto"/>
            </w:tcBorders>
            <w:shd w:val="clear" w:color="auto" w:fill="auto"/>
            <w:noWrap/>
            <w:vAlign w:val="center"/>
            <w:hideMark/>
          </w:tcPr>
          <w:p w14:paraId="0EC40B21"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18654</w:t>
            </w:r>
          </w:p>
        </w:tc>
        <w:tc>
          <w:tcPr>
            <w:tcW w:w="590" w:type="pct"/>
            <w:tcBorders>
              <w:top w:val="nil"/>
              <w:left w:val="nil"/>
              <w:bottom w:val="single" w:sz="4" w:space="0" w:color="auto"/>
              <w:right w:val="single" w:sz="4" w:space="0" w:color="auto"/>
            </w:tcBorders>
            <w:shd w:val="clear" w:color="auto" w:fill="auto"/>
            <w:noWrap/>
            <w:vAlign w:val="center"/>
            <w:hideMark/>
          </w:tcPr>
          <w:p w14:paraId="11EBA943"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476,41</w:t>
            </w:r>
          </w:p>
        </w:tc>
        <w:tc>
          <w:tcPr>
            <w:tcW w:w="431" w:type="pct"/>
            <w:tcBorders>
              <w:top w:val="nil"/>
              <w:left w:val="nil"/>
              <w:bottom w:val="single" w:sz="4" w:space="0" w:color="auto"/>
              <w:right w:val="single" w:sz="4" w:space="0" w:color="auto"/>
            </w:tcBorders>
            <w:shd w:val="clear" w:color="000000" w:fill="FFFFFF"/>
            <w:noWrap/>
            <w:vAlign w:val="center"/>
            <w:hideMark/>
          </w:tcPr>
          <w:p w14:paraId="18C932A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1.120</w:t>
            </w:r>
          </w:p>
        </w:tc>
        <w:tc>
          <w:tcPr>
            <w:tcW w:w="487" w:type="pct"/>
            <w:tcBorders>
              <w:top w:val="nil"/>
              <w:left w:val="nil"/>
              <w:bottom w:val="single" w:sz="4" w:space="0" w:color="auto"/>
              <w:right w:val="single" w:sz="4" w:space="0" w:color="auto"/>
            </w:tcBorders>
            <w:shd w:val="clear" w:color="auto" w:fill="auto"/>
            <w:noWrap/>
            <w:vAlign w:val="center"/>
            <w:hideMark/>
          </w:tcPr>
          <w:p w14:paraId="79A8024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95,28</w:t>
            </w:r>
          </w:p>
        </w:tc>
        <w:tc>
          <w:tcPr>
            <w:tcW w:w="376" w:type="pct"/>
            <w:tcBorders>
              <w:top w:val="nil"/>
              <w:left w:val="nil"/>
              <w:bottom w:val="single" w:sz="4" w:space="0" w:color="auto"/>
              <w:right w:val="single" w:sz="4" w:space="0" w:color="auto"/>
            </w:tcBorders>
            <w:shd w:val="clear" w:color="auto" w:fill="auto"/>
            <w:noWrap/>
            <w:vAlign w:val="center"/>
            <w:hideMark/>
          </w:tcPr>
          <w:p w14:paraId="3D6D76E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nil"/>
              <w:left w:val="nil"/>
              <w:bottom w:val="nil"/>
              <w:right w:val="single" w:sz="4" w:space="0" w:color="auto"/>
            </w:tcBorders>
            <w:shd w:val="clear" w:color="auto" w:fill="auto"/>
            <w:noWrap/>
            <w:vAlign w:val="center"/>
            <w:hideMark/>
          </w:tcPr>
          <w:p w14:paraId="2B774C7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0,09</w:t>
            </w:r>
          </w:p>
        </w:tc>
      </w:tr>
      <w:tr w:rsidR="00FE461F" w:rsidRPr="005E4BEA" w14:paraId="16AD5974" w14:textId="77777777" w:rsidTr="0016774B">
        <w:trPr>
          <w:trHeight w:val="102"/>
        </w:trPr>
        <w:tc>
          <w:tcPr>
            <w:tcW w:w="1711" w:type="pct"/>
            <w:tcBorders>
              <w:top w:val="nil"/>
              <w:left w:val="nil"/>
              <w:bottom w:val="nil"/>
              <w:right w:val="nil"/>
            </w:tcBorders>
            <w:shd w:val="clear" w:color="auto" w:fill="auto"/>
            <w:noWrap/>
            <w:vAlign w:val="center"/>
            <w:hideMark/>
          </w:tcPr>
          <w:p w14:paraId="6C79D1C0"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18709F40" w14:textId="77777777" w:rsidR="00FE461F" w:rsidRPr="005E4BEA" w:rsidRDefault="00FE461F" w:rsidP="00FE461F">
            <w:pPr>
              <w:spacing w:line="240" w:lineRule="auto"/>
              <w:jc w:val="center"/>
              <w:rPr>
                <w:rFonts w:cs="Arial"/>
                <w:b/>
                <w:bCs/>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339A0E54" w14:textId="77777777" w:rsidR="00FE461F" w:rsidRPr="005E4BEA" w:rsidRDefault="00FE461F" w:rsidP="00FE461F">
            <w:pPr>
              <w:spacing w:line="240" w:lineRule="auto"/>
              <w:jc w:val="right"/>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38246935" w14:textId="77777777" w:rsidR="00FE461F" w:rsidRPr="005E4BEA" w:rsidRDefault="00FE461F" w:rsidP="00FE461F">
            <w:pPr>
              <w:spacing w:line="240" w:lineRule="auto"/>
              <w:jc w:val="right"/>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67E4F509" w14:textId="77777777" w:rsidR="00FE461F" w:rsidRPr="005E4BEA" w:rsidRDefault="00FE461F" w:rsidP="00FE461F">
            <w:pPr>
              <w:spacing w:line="240" w:lineRule="auto"/>
              <w:jc w:val="right"/>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559951DB"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75E61480"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189,75</w:t>
            </w:r>
          </w:p>
        </w:tc>
      </w:tr>
      <w:tr w:rsidR="00FE461F" w:rsidRPr="005E4BEA" w14:paraId="3A509F9B" w14:textId="77777777" w:rsidTr="0016774B">
        <w:trPr>
          <w:trHeight w:val="102"/>
        </w:trPr>
        <w:tc>
          <w:tcPr>
            <w:tcW w:w="1711" w:type="pct"/>
            <w:tcBorders>
              <w:top w:val="nil"/>
              <w:left w:val="nil"/>
              <w:bottom w:val="nil"/>
              <w:right w:val="nil"/>
            </w:tcBorders>
            <w:shd w:val="clear" w:color="auto" w:fill="auto"/>
            <w:noWrap/>
            <w:vAlign w:val="center"/>
            <w:hideMark/>
          </w:tcPr>
          <w:p w14:paraId="134D80CC"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1F52DACB" w14:textId="77777777" w:rsidR="00FE461F" w:rsidRPr="005E4BEA" w:rsidRDefault="00FE461F" w:rsidP="00FE461F">
            <w:pPr>
              <w:spacing w:line="240" w:lineRule="auto"/>
              <w:jc w:val="center"/>
              <w:rPr>
                <w:rFonts w:cs="Arial"/>
                <w:b/>
                <w:bCs/>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48A05891" w14:textId="77777777" w:rsidR="00FE461F" w:rsidRPr="005E4BEA" w:rsidRDefault="00FE461F" w:rsidP="00FE461F">
            <w:pPr>
              <w:spacing w:line="240" w:lineRule="auto"/>
              <w:jc w:val="right"/>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4A727CB4" w14:textId="77777777" w:rsidR="00FE461F" w:rsidRPr="005E4BEA" w:rsidRDefault="00FE461F" w:rsidP="00FE461F">
            <w:pPr>
              <w:spacing w:line="240" w:lineRule="auto"/>
              <w:jc w:val="right"/>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2526F0EA" w14:textId="77777777" w:rsidR="00FE461F" w:rsidRPr="005E4BEA" w:rsidRDefault="00FE461F" w:rsidP="00FE461F">
            <w:pPr>
              <w:spacing w:line="240" w:lineRule="auto"/>
              <w:jc w:val="right"/>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61F50D95"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1116FF66"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27FEBEC1" w14:textId="77777777" w:rsidTr="0016774B">
        <w:trPr>
          <w:trHeight w:val="102"/>
        </w:trPr>
        <w:tc>
          <w:tcPr>
            <w:tcW w:w="1711" w:type="pct"/>
            <w:tcBorders>
              <w:top w:val="single" w:sz="4" w:space="0" w:color="3366FF"/>
              <w:left w:val="single" w:sz="4" w:space="0" w:color="3366FF"/>
              <w:bottom w:val="nil"/>
              <w:right w:val="single" w:sz="4" w:space="0" w:color="3366FF"/>
            </w:tcBorders>
            <w:shd w:val="clear" w:color="auto" w:fill="auto"/>
            <w:noWrap/>
            <w:vAlign w:val="center"/>
            <w:hideMark/>
          </w:tcPr>
          <w:p w14:paraId="4207D5F3"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Drobni inventar</w:t>
            </w:r>
          </w:p>
        </w:tc>
        <w:tc>
          <w:tcPr>
            <w:tcW w:w="828" w:type="pct"/>
            <w:tcBorders>
              <w:top w:val="single" w:sz="4" w:space="0" w:color="3366FF"/>
              <w:left w:val="nil"/>
              <w:bottom w:val="nil"/>
              <w:right w:val="single" w:sz="4" w:space="0" w:color="3366FF"/>
            </w:tcBorders>
            <w:shd w:val="clear" w:color="auto" w:fill="auto"/>
            <w:noWrap/>
            <w:vAlign w:val="center"/>
            <w:hideMark/>
          </w:tcPr>
          <w:p w14:paraId="41A7A08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Šifra ZTM</w:t>
            </w:r>
          </w:p>
        </w:tc>
        <w:tc>
          <w:tcPr>
            <w:tcW w:w="590" w:type="pct"/>
            <w:tcBorders>
              <w:top w:val="single" w:sz="4" w:space="0" w:color="3366FF"/>
              <w:left w:val="nil"/>
              <w:bottom w:val="nil"/>
              <w:right w:val="single" w:sz="4" w:space="0" w:color="3366FF"/>
            </w:tcBorders>
            <w:shd w:val="clear" w:color="auto" w:fill="auto"/>
            <w:vAlign w:val="center"/>
            <w:hideMark/>
          </w:tcPr>
          <w:p w14:paraId="56C6E975"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Nabavna vrednost</w:t>
            </w:r>
          </w:p>
        </w:tc>
        <w:tc>
          <w:tcPr>
            <w:tcW w:w="431" w:type="pct"/>
            <w:tcBorders>
              <w:top w:val="single" w:sz="4" w:space="0" w:color="3366FF"/>
              <w:left w:val="nil"/>
              <w:bottom w:val="nil"/>
              <w:right w:val="single" w:sz="4" w:space="0" w:color="3366FF"/>
            </w:tcBorders>
            <w:shd w:val="clear" w:color="auto" w:fill="auto"/>
            <w:vAlign w:val="center"/>
            <w:hideMark/>
          </w:tcPr>
          <w:p w14:paraId="27F71C1A"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Predvidena letna količina opravljenih storitev na DI</w:t>
            </w:r>
          </w:p>
        </w:tc>
        <w:tc>
          <w:tcPr>
            <w:tcW w:w="487" w:type="pct"/>
            <w:tcBorders>
              <w:top w:val="single" w:sz="4" w:space="0" w:color="3366FF"/>
              <w:left w:val="nil"/>
              <w:bottom w:val="nil"/>
              <w:right w:val="single" w:sz="4" w:space="0" w:color="3366FF"/>
            </w:tcBorders>
            <w:shd w:val="clear" w:color="auto" w:fill="auto"/>
            <w:noWrap/>
            <w:vAlign w:val="center"/>
            <w:hideMark/>
          </w:tcPr>
          <w:p w14:paraId="4DFDC8D1"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Vrednost AM</w:t>
            </w:r>
          </w:p>
        </w:tc>
        <w:tc>
          <w:tcPr>
            <w:tcW w:w="376" w:type="pct"/>
            <w:tcBorders>
              <w:top w:val="single" w:sz="4" w:space="0" w:color="3366FF"/>
              <w:left w:val="nil"/>
              <w:bottom w:val="nil"/>
              <w:right w:val="single" w:sz="4" w:space="0" w:color="3366FF"/>
            </w:tcBorders>
            <w:shd w:val="clear" w:color="auto" w:fill="auto"/>
            <w:vAlign w:val="center"/>
            <w:hideMark/>
          </w:tcPr>
          <w:p w14:paraId="1C0DDCAF"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Število DI</w:t>
            </w:r>
          </w:p>
        </w:tc>
        <w:tc>
          <w:tcPr>
            <w:tcW w:w="576" w:type="pct"/>
            <w:tcBorders>
              <w:top w:val="single" w:sz="4" w:space="0" w:color="3366FF"/>
              <w:left w:val="nil"/>
              <w:bottom w:val="nil"/>
              <w:right w:val="single" w:sz="4" w:space="0" w:color="3366FF"/>
            </w:tcBorders>
            <w:shd w:val="clear" w:color="auto" w:fill="auto"/>
            <w:noWrap/>
            <w:vAlign w:val="center"/>
            <w:hideMark/>
          </w:tcPr>
          <w:p w14:paraId="5AD7E87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Cena </w:t>
            </w:r>
          </w:p>
        </w:tc>
      </w:tr>
      <w:tr w:rsidR="00FE461F" w:rsidRPr="005E4BEA" w14:paraId="205D17D9" w14:textId="77777777" w:rsidTr="0016774B">
        <w:trPr>
          <w:trHeight w:val="10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8C68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Oprema v </w:t>
            </w:r>
            <w:proofErr w:type="spellStart"/>
            <w:r w:rsidRPr="005E4BEA">
              <w:rPr>
                <w:rFonts w:cs="Arial"/>
                <w:i/>
                <w:iCs/>
                <w:color w:val="808080" w:themeColor="background1" w:themeShade="80"/>
                <w:szCs w:val="20"/>
              </w:rPr>
              <w:t>reanimacijskem</w:t>
            </w:r>
            <w:proofErr w:type="spellEnd"/>
            <w:r w:rsidRPr="005E4BEA">
              <w:rPr>
                <w:rFonts w:cs="Arial"/>
                <w:i/>
                <w:iCs/>
                <w:color w:val="808080" w:themeColor="background1" w:themeShade="80"/>
                <w:szCs w:val="20"/>
              </w:rPr>
              <w:t xml:space="preserve"> vozičku</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67162A9F"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586E0B79" w14:textId="77777777" w:rsidR="00FE461F" w:rsidRPr="005E4BEA" w:rsidRDefault="00FE461F" w:rsidP="00FE461F">
            <w:pPr>
              <w:spacing w:line="240" w:lineRule="auto"/>
              <w:jc w:val="center"/>
              <w:rPr>
                <w:rFonts w:cs="Arial"/>
                <w:i/>
                <w:iCs/>
                <w:color w:val="808080" w:themeColor="background1" w:themeShade="80"/>
                <w:szCs w:val="20"/>
              </w:rPr>
            </w:pPr>
            <w:r w:rsidRPr="005E4BEA">
              <w:rPr>
                <w:rFonts w:cs="Arial"/>
                <w:i/>
                <w:iCs/>
                <w:color w:val="808080" w:themeColor="background1" w:themeShade="80"/>
                <w:szCs w:val="20"/>
              </w:rPr>
              <w:t>1.766,09</w:t>
            </w:r>
          </w:p>
        </w:tc>
        <w:tc>
          <w:tcPr>
            <w:tcW w:w="431" w:type="pct"/>
            <w:tcBorders>
              <w:top w:val="single" w:sz="4" w:space="0" w:color="auto"/>
              <w:left w:val="nil"/>
              <w:bottom w:val="single" w:sz="4" w:space="0" w:color="auto"/>
              <w:right w:val="single" w:sz="4" w:space="0" w:color="auto"/>
            </w:tcBorders>
            <w:shd w:val="clear" w:color="000000" w:fill="FFFFFF"/>
            <w:noWrap/>
            <w:vAlign w:val="center"/>
            <w:hideMark/>
          </w:tcPr>
          <w:p w14:paraId="10BB088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1.829</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72423E1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353,22</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7255C50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F74D6B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0,19</w:t>
            </w:r>
          </w:p>
        </w:tc>
      </w:tr>
      <w:tr w:rsidR="00FE461F" w:rsidRPr="005E4BEA" w14:paraId="3211B20C" w14:textId="77777777" w:rsidTr="0016774B">
        <w:trPr>
          <w:trHeight w:val="102"/>
        </w:trPr>
        <w:tc>
          <w:tcPr>
            <w:tcW w:w="1711" w:type="pct"/>
            <w:tcBorders>
              <w:top w:val="nil"/>
              <w:left w:val="nil"/>
              <w:bottom w:val="nil"/>
              <w:right w:val="nil"/>
            </w:tcBorders>
            <w:shd w:val="clear" w:color="auto" w:fill="auto"/>
            <w:noWrap/>
            <w:vAlign w:val="center"/>
            <w:hideMark/>
          </w:tcPr>
          <w:p w14:paraId="2E68A79D"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7FF30C52" w14:textId="77777777" w:rsidR="00FE461F" w:rsidRPr="005E4BEA" w:rsidRDefault="00FE461F" w:rsidP="00FE461F">
            <w:pPr>
              <w:spacing w:line="240" w:lineRule="auto"/>
              <w:jc w:val="center"/>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2A2CA146" w14:textId="77777777" w:rsidR="00FE461F" w:rsidRPr="005E4BEA" w:rsidRDefault="00FE461F" w:rsidP="00FE461F">
            <w:pPr>
              <w:spacing w:line="240" w:lineRule="auto"/>
              <w:jc w:val="center"/>
              <w:rPr>
                <w:rFonts w:cs="Arial"/>
                <w:b/>
                <w:bCs/>
                <w:i/>
                <w:iCs/>
                <w:color w:val="808080" w:themeColor="background1" w:themeShade="80"/>
                <w:szCs w:val="20"/>
              </w:rPr>
            </w:pPr>
          </w:p>
        </w:tc>
        <w:tc>
          <w:tcPr>
            <w:tcW w:w="431" w:type="pct"/>
            <w:tcBorders>
              <w:top w:val="nil"/>
              <w:left w:val="nil"/>
              <w:bottom w:val="nil"/>
              <w:right w:val="nil"/>
            </w:tcBorders>
            <w:shd w:val="clear" w:color="auto" w:fill="auto"/>
            <w:noWrap/>
            <w:vAlign w:val="bottom"/>
            <w:hideMark/>
          </w:tcPr>
          <w:p w14:paraId="0D33BB19"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bottom"/>
            <w:hideMark/>
          </w:tcPr>
          <w:p w14:paraId="149D5832" w14:textId="77777777" w:rsidR="00FE461F" w:rsidRPr="005E4BEA" w:rsidRDefault="00FE461F" w:rsidP="00FE461F">
            <w:pPr>
              <w:spacing w:line="240" w:lineRule="auto"/>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bottom"/>
            <w:hideMark/>
          </w:tcPr>
          <w:p w14:paraId="734D2CC9"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72BC04D1"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0,19</w:t>
            </w:r>
          </w:p>
        </w:tc>
      </w:tr>
      <w:tr w:rsidR="00FE461F" w:rsidRPr="005E4BEA" w14:paraId="2578D819" w14:textId="77777777" w:rsidTr="0016774B">
        <w:trPr>
          <w:trHeight w:val="102"/>
        </w:trPr>
        <w:tc>
          <w:tcPr>
            <w:tcW w:w="1711" w:type="pct"/>
            <w:tcBorders>
              <w:top w:val="nil"/>
              <w:left w:val="nil"/>
              <w:bottom w:val="nil"/>
              <w:right w:val="nil"/>
            </w:tcBorders>
            <w:shd w:val="clear" w:color="auto" w:fill="auto"/>
            <w:noWrap/>
            <w:vAlign w:val="center"/>
            <w:hideMark/>
          </w:tcPr>
          <w:p w14:paraId="6BE85464" w14:textId="77777777" w:rsidR="00FE461F" w:rsidRPr="005E4BEA" w:rsidRDefault="00FE461F" w:rsidP="00FE461F">
            <w:pPr>
              <w:spacing w:line="240" w:lineRule="auto"/>
              <w:rPr>
                <w:rFonts w:cs="Arial"/>
                <w:b/>
                <w:bCs/>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4AFA7EF5" w14:textId="77777777" w:rsidR="00FE461F" w:rsidRPr="005E4BEA" w:rsidRDefault="00FE461F" w:rsidP="00FE461F">
            <w:pPr>
              <w:spacing w:line="240" w:lineRule="auto"/>
              <w:jc w:val="center"/>
              <w:rPr>
                <w:rFonts w:cs="Arial"/>
                <w:b/>
                <w:bCs/>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06E555F3" w14:textId="77777777" w:rsidR="00FE461F" w:rsidRPr="005E4BEA" w:rsidRDefault="00FE461F" w:rsidP="00FE461F">
            <w:pPr>
              <w:spacing w:line="240" w:lineRule="auto"/>
              <w:jc w:val="center"/>
              <w:rPr>
                <w:rFonts w:cs="Arial"/>
                <w:b/>
                <w:bCs/>
                <w:i/>
                <w:iCs/>
                <w:color w:val="808080" w:themeColor="background1" w:themeShade="80"/>
                <w:szCs w:val="20"/>
              </w:rPr>
            </w:pPr>
          </w:p>
        </w:tc>
        <w:tc>
          <w:tcPr>
            <w:tcW w:w="431" w:type="pct"/>
            <w:tcBorders>
              <w:top w:val="nil"/>
              <w:left w:val="nil"/>
              <w:bottom w:val="nil"/>
              <w:right w:val="nil"/>
            </w:tcBorders>
            <w:shd w:val="clear" w:color="auto" w:fill="auto"/>
            <w:noWrap/>
            <w:vAlign w:val="bottom"/>
            <w:hideMark/>
          </w:tcPr>
          <w:p w14:paraId="271EEFB2"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68DE3DC7" w14:textId="77777777" w:rsidR="00FE461F" w:rsidRPr="005E4BEA" w:rsidRDefault="00FE461F" w:rsidP="00FE461F">
            <w:pPr>
              <w:spacing w:line="240" w:lineRule="auto"/>
              <w:jc w:val="right"/>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30F4EB63"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3EF7049D"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20FF48E8" w14:textId="77777777" w:rsidTr="0016774B">
        <w:trPr>
          <w:trHeight w:val="102"/>
        </w:trPr>
        <w:tc>
          <w:tcPr>
            <w:tcW w:w="1711" w:type="pct"/>
            <w:tcBorders>
              <w:top w:val="single" w:sz="4" w:space="0" w:color="3366FF"/>
              <w:left w:val="single" w:sz="4" w:space="0" w:color="3366FF"/>
              <w:bottom w:val="nil"/>
              <w:right w:val="single" w:sz="4" w:space="0" w:color="3366FF"/>
            </w:tcBorders>
            <w:shd w:val="clear" w:color="auto" w:fill="auto"/>
            <w:noWrap/>
            <w:vAlign w:val="center"/>
            <w:hideMark/>
          </w:tcPr>
          <w:p w14:paraId="2807017D"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Strošek dela</w:t>
            </w:r>
          </w:p>
        </w:tc>
        <w:tc>
          <w:tcPr>
            <w:tcW w:w="828" w:type="pct"/>
            <w:tcBorders>
              <w:top w:val="single" w:sz="4" w:space="0" w:color="3366FF"/>
              <w:left w:val="nil"/>
              <w:bottom w:val="nil"/>
              <w:right w:val="single" w:sz="4" w:space="0" w:color="3366FF"/>
            </w:tcBorders>
            <w:shd w:val="clear" w:color="auto" w:fill="auto"/>
            <w:vAlign w:val="center"/>
            <w:hideMark/>
          </w:tcPr>
          <w:p w14:paraId="2FD0DA0C"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Skupni končni strošek delodajalca vseh zaposlenih na posameznem delovnem mestu</w:t>
            </w:r>
          </w:p>
        </w:tc>
        <w:tc>
          <w:tcPr>
            <w:tcW w:w="590" w:type="pct"/>
            <w:tcBorders>
              <w:top w:val="single" w:sz="4" w:space="0" w:color="3366FF"/>
              <w:left w:val="nil"/>
              <w:bottom w:val="nil"/>
              <w:right w:val="single" w:sz="4" w:space="0" w:color="3366FF"/>
            </w:tcBorders>
            <w:shd w:val="clear" w:color="auto" w:fill="auto"/>
            <w:vAlign w:val="center"/>
            <w:hideMark/>
          </w:tcPr>
          <w:p w14:paraId="7A49DCB1"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Strošek dela/minuto</w:t>
            </w:r>
          </w:p>
        </w:tc>
        <w:tc>
          <w:tcPr>
            <w:tcW w:w="431" w:type="pct"/>
            <w:tcBorders>
              <w:top w:val="single" w:sz="4" w:space="0" w:color="3366FF"/>
              <w:left w:val="nil"/>
              <w:bottom w:val="nil"/>
              <w:right w:val="single" w:sz="4" w:space="0" w:color="3366FF"/>
            </w:tcBorders>
            <w:shd w:val="clear" w:color="auto" w:fill="auto"/>
            <w:vAlign w:val="center"/>
            <w:hideMark/>
          </w:tcPr>
          <w:p w14:paraId="7EA46670"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Čas opravljanja storitve/ minut</w:t>
            </w:r>
          </w:p>
        </w:tc>
        <w:tc>
          <w:tcPr>
            <w:tcW w:w="487" w:type="pct"/>
            <w:tcBorders>
              <w:top w:val="single" w:sz="4" w:space="0" w:color="3366FF"/>
              <w:left w:val="nil"/>
              <w:bottom w:val="nil"/>
              <w:right w:val="single" w:sz="4" w:space="0" w:color="3366FF"/>
            </w:tcBorders>
            <w:shd w:val="clear" w:color="auto" w:fill="auto"/>
            <w:noWrap/>
            <w:vAlign w:val="center"/>
            <w:hideMark/>
          </w:tcPr>
          <w:p w14:paraId="03FAC583"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Strošek dela</w:t>
            </w:r>
          </w:p>
        </w:tc>
        <w:tc>
          <w:tcPr>
            <w:tcW w:w="376" w:type="pct"/>
            <w:tcBorders>
              <w:top w:val="nil"/>
              <w:left w:val="nil"/>
              <w:bottom w:val="nil"/>
              <w:right w:val="nil"/>
            </w:tcBorders>
            <w:shd w:val="clear" w:color="auto" w:fill="auto"/>
            <w:noWrap/>
            <w:vAlign w:val="bottom"/>
            <w:hideMark/>
          </w:tcPr>
          <w:p w14:paraId="4677D894"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bottom"/>
            <w:hideMark/>
          </w:tcPr>
          <w:p w14:paraId="7EBC831F"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0F3FE2A1" w14:textId="77777777" w:rsidTr="0016774B">
        <w:trPr>
          <w:trHeight w:val="102"/>
        </w:trPr>
        <w:tc>
          <w:tcPr>
            <w:tcW w:w="17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C9D81"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Dipl. med. sestra </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1F536B0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206.085,98</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5E3DCD7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0,26</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0400844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445</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22E08D0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114,74</w:t>
            </w:r>
          </w:p>
        </w:tc>
        <w:tc>
          <w:tcPr>
            <w:tcW w:w="376" w:type="pct"/>
            <w:tcBorders>
              <w:top w:val="nil"/>
              <w:left w:val="nil"/>
              <w:bottom w:val="nil"/>
              <w:right w:val="nil"/>
            </w:tcBorders>
            <w:shd w:val="clear" w:color="auto" w:fill="auto"/>
            <w:noWrap/>
            <w:vAlign w:val="bottom"/>
            <w:hideMark/>
          </w:tcPr>
          <w:p w14:paraId="1B8E7C6A"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bottom"/>
            <w:hideMark/>
          </w:tcPr>
          <w:p w14:paraId="4447BD8F"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280FFBAD"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20E5FF8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Zdravnik spec. </w:t>
            </w:r>
          </w:p>
        </w:tc>
        <w:tc>
          <w:tcPr>
            <w:tcW w:w="828" w:type="pct"/>
            <w:tcBorders>
              <w:top w:val="nil"/>
              <w:left w:val="nil"/>
              <w:bottom w:val="single" w:sz="4" w:space="0" w:color="auto"/>
              <w:right w:val="single" w:sz="4" w:space="0" w:color="auto"/>
            </w:tcBorders>
            <w:shd w:val="clear" w:color="auto" w:fill="auto"/>
            <w:noWrap/>
            <w:vAlign w:val="center"/>
            <w:hideMark/>
          </w:tcPr>
          <w:p w14:paraId="3287902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101.974,15</w:t>
            </w:r>
          </w:p>
        </w:tc>
        <w:tc>
          <w:tcPr>
            <w:tcW w:w="590" w:type="pct"/>
            <w:tcBorders>
              <w:top w:val="nil"/>
              <w:left w:val="nil"/>
              <w:bottom w:val="single" w:sz="4" w:space="0" w:color="auto"/>
              <w:right w:val="single" w:sz="4" w:space="0" w:color="auto"/>
            </w:tcBorders>
            <w:shd w:val="clear" w:color="auto" w:fill="auto"/>
            <w:noWrap/>
            <w:vAlign w:val="center"/>
            <w:hideMark/>
          </w:tcPr>
          <w:p w14:paraId="15B1893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0,42</w:t>
            </w:r>
          </w:p>
        </w:tc>
        <w:tc>
          <w:tcPr>
            <w:tcW w:w="431" w:type="pct"/>
            <w:tcBorders>
              <w:top w:val="nil"/>
              <w:left w:val="nil"/>
              <w:bottom w:val="single" w:sz="4" w:space="0" w:color="auto"/>
              <w:right w:val="single" w:sz="4" w:space="0" w:color="auto"/>
            </w:tcBorders>
            <w:shd w:val="clear" w:color="auto" w:fill="auto"/>
            <w:noWrap/>
            <w:vAlign w:val="center"/>
            <w:hideMark/>
          </w:tcPr>
          <w:p w14:paraId="56EA28DF"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205</w:t>
            </w:r>
          </w:p>
        </w:tc>
        <w:tc>
          <w:tcPr>
            <w:tcW w:w="487" w:type="pct"/>
            <w:tcBorders>
              <w:top w:val="nil"/>
              <w:left w:val="nil"/>
              <w:bottom w:val="single" w:sz="4" w:space="0" w:color="auto"/>
              <w:right w:val="single" w:sz="4" w:space="0" w:color="auto"/>
            </w:tcBorders>
            <w:shd w:val="clear" w:color="auto" w:fill="auto"/>
            <w:noWrap/>
            <w:vAlign w:val="center"/>
            <w:hideMark/>
          </w:tcPr>
          <w:p w14:paraId="702ED2B1"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86,51</w:t>
            </w:r>
          </w:p>
        </w:tc>
        <w:tc>
          <w:tcPr>
            <w:tcW w:w="376" w:type="pct"/>
            <w:tcBorders>
              <w:top w:val="single" w:sz="4" w:space="0" w:color="C0C0C0"/>
              <w:left w:val="nil"/>
              <w:bottom w:val="single" w:sz="4" w:space="0" w:color="C0C0C0"/>
              <w:right w:val="single" w:sz="4" w:space="0" w:color="D9D9D9"/>
            </w:tcBorders>
            <w:shd w:val="clear" w:color="auto" w:fill="auto"/>
            <w:noWrap/>
            <w:vAlign w:val="center"/>
            <w:hideMark/>
          </w:tcPr>
          <w:p w14:paraId="4F55CEC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576" w:type="pct"/>
            <w:tcBorders>
              <w:top w:val="nil"/>
              <w:left w:val="nil"/>
              <w:bottom w:val="nil"/>
              <w:right w:val="nil"/>
            </w:tcBorders>
            <w:shd w:val="clear" w:color="auto" w:fill="auto"/>
            <w:noWrap/>
            <w:vAlign w:val="center"/>
            <w:hideMark/>
          </w:tcPr>
          <w:p w14:paraId="29EA9983"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59BB5A9B"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0836E176"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Pomožni zdravstveni delavec</w:t>
            </w:r>
          </w:p>
        </w:tc>
        <w:tc>
          <w:tcPr>
            <w:tcW w:w="828" w:type="pct"/>
            <w:tcBorders>
              <w:top w:val="nil"/>
              <w:left w:val="nil"/>
              <w:bottom w:val="single" w:sz="4" w:space="0" w:color="auto"/>
              <w:right w:val="single" w:sz="4" w:space="0" w:color="auto"/>
            </w:tcBorders>
            <w:shd w:val="clear" w:color="auto" w:fill="auto"/>
            <w:noWrap/>
            <w:vAlign w:val="center"/>
            <w:hideMark/>
          </w:tcPr>
          <w:p w14:paraId="3C741587"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8.414,34</w:t>
            </w:r>
          </w:p>
        </w:tc>
        <w:tc>
          <w:tcPr>
            <w:tcW w:w="590" w:type="pct"/>
            <w:tcBorders>
              <w:top w:val="nil"/>
              <w:left w:val="nil"/>
              <w:bottom w:val="single" w:sz="4" w:space="0" w:color="auto"/>
              <w:right w:val="single" w:sz="4" w:space="0" w:color="auto"/>
            </w:tcBorders>
            <w:shd w:val="clear" w:color="auto" w:fill="auto"/>
            <w:noWrap/>
            <w:vAlign w:val="center"/>
            <w:hideMark/>
          </w:tcPr>
          <w:p w14:paraId="4C6AB59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0,16</w:t>
            </w:r>
          </w:p>
        </w:tc>
        <w:tc>
          <w:tcPr>
            <w:tcW w:w="431" w:type="pct"/>
            <w:tcBorders>
              <w:top w:val="nil"/>
              <w:left w:val="nil"/>
              <w:bottom w:val="single" w:sz="4" w:space="0" w:color="auto"/>
              <w:right w:val="single" w:sz="4" w:space="0" w:color="auto"/>
            </w:tcBorders>
            <w:shd w:val="clear" w:color="auto" w:fill="auto"/>
            <w:noWrap/>
            <w:vAlign w:val="center"/>
            <w:hideMark/>
          </w:tcPr>
          <w:p w14:paraId="34C4F14B"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w:t>
            </w:r>
          </w:p>
        </w:tc>
        <w:tc>
          <w:tcPr>
            <w:tcW w:w="487" w:type="pct"/>
            <w:tcBorders>
              <w:top w:val="nil"/>
              <w:left w:val="nil"/>
              <w:bottom w:val="single" w:sz="4" w:space="0" w:color="auto"/>
              <w:right w:val="single" w:sz="4" w:space="0" w:color="auto"/>
            </w:tcBorders>
            <w:shd w:val="clear" w:color="auto" w:fill="auto"/>
            <w:noWrap/>
            <w:vAlign w:val="center"/>
            <w:hideMark/>
          </w:tcPr>
          <w:p w14:paraId="02698DC3"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1,57</w:t>
            </w:r>
          </w:p>
        </w:tc>
        <w:tc>
          <w:tcPr>
            <w:tcW w:w="376" w:type="pct"/>
            <w:tcBorders>
              <w:top w:val="nil"/>
              <w:left w:val="nil"/>
              <w:bottom w:val="single" w:sz="4" w:space="0" w:color="C0C0C0"/>
              <w:right w:val="single" w:sz="4" w:space="0" w:color="D9D9D9"/>
            </w:tcBorders>
            <w:shd w:val="clear" w:color="auto" w:fill="auto"/>
            <w:noWrap/>
            <w:vAlign w:val="center"/>
            <w:hideMark/>
          </w:tcPr>
          <w:p w14:paraId="26701834"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576" w:type="pct"/>
            <w:tcBorders>
              <w:top w:val="nil"/>
              <w:left w:val="nil"/>
              <w:bottom w:val="nil"/>
              <w:right w:val="nil"/>
            </w:tcBorders>
            <w:shd w:val="clear" w:color="auto" w:fill="auto"/>
            <w:noWrap/>
            <w:vAlign w:val="center"/>
            <w:hideMark/>
          </w:tcPr>
          <w:p w14:paraId="355D5CBC"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0E743812"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038FE300"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Zdr</w:t>
            </w:r>
            <w:proofErr w:type="spellEnd"/>
            <w:r w:rsidRPr="005E4BEA">
              <w:rPr>
                <w:rFonts w:cs="Arial"/>
                <w:i/>
                <w:iCs/>
                <w:color w:val="808080" w:themeColor="background1" w:themeShade="80"/>
                <w:szCs w:val="20"/>
              </w:rPr>
              <w:t>. administrator</w:t>
            </w:r>
          </w:p>
        </w:tc>
        <w:tc>
          <w:tcPr>
            <w:tcW w:w="828" w:type="pct"/>
            <w:tcBorders>
              <w:top w:val="nil"/>
              <w:left w:val="nil"/>
              <w:bottom w:val="single" w:sz="4" w:space="0" w:color="auto"/>
              <w:right w:val="single" w:sz="4" w:space="0" w:color="auto"/>
            </w:tcBorders>
            <w:shd w:val="clear" w:color="auto" w:fill="auto"/>
            <w:noWrap/>
            <w:vAlign w:val="center"/>
            <w:hideMark/>
          </w:tcPr>
          <w:p w14:paraId="42041FB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6.273,03</w:t>
            </w:r>
          </w:p>
        </w:tc>
        <w:tc>
          <w:tcPr>
            <w:tcW w:w="590" w:type="pct"/>
            <w:tcBorders>
              <w:top w:val="nil"/>
              <w:left w:val="nil"/>
              <w:bottom w:val="single" w:sz="4" w:space="0" w:color="auto"/>
              <w:right w:val="single" w:sz="4" w:space="0" w:color="auto"/>
            </w:tcBorders>
            <w:shd w:val="clear" w:color="auto" w:fill="auto"/>
            <w:noWrap/>
            <w:vAlign w:val="center"/>
            <w:hideMark/>
          </w:tcPr>
          <w:p w14:paraId="33406E9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0,20</w:t>
            </w:r>
          </w:p>
        </w:tc>
        <w:tc>
          <w:tcPr>
            <w:tcW w:w="431" w:type="pct"/>
            <w:tcBorders>
              <w:top w:val="nil"/>
              <w:left w:val="nil"/>
              <w:bottom w:val="single" w:sz="4" w:space="0" w:color="auto"/>
              <w:right w:val="single" w:sz="4" w:space="0" w:color="auto"/>
            </w:tcBorders>
            <w:shd w:val="clear" w:color="auto" w:fill="auto"/>
            <w:noWrap/>
            <w:vAlign w:val="center"/>
            <w:hideMark/>
          </w:tcPr>
          <w:p w14:paraId="49E06868"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5</w:t>
            </w:r>
          </w:p>
        </w:tc>
        <w:tc>
          <w:tcPr>
            <w:tcW w:w="487" w:type="pct"/>
            <w:tcBorders>
              <w:top w:val="nil"/>
              <w:left w:val="nil"/>
              <w:bottom w:val="single" w:sz="4" w:space="0" w:color="auto"/>
              <w:right w:val="single" w:sz="4" w:space="0" w:color="auto"/>
            </w:tcBorders>
            <w:shd w:val="clear" w:color="auto" w:fill="auto"/>
            <w:noWrap/>
            <w:vAlign w:val="center"/>
            <w:hideMark/>
          </w:tcPr>
          <w:p w14:paraId="411242C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1,00</w:t>
            </w:r>
          </w:p>
        </w:tc>
        <w:tc>
          <w:tcPr>
            <w:tcW w:w="376" w:type="pct"/>
            <w:tcBorders>
              <w:top w:val="nil"/>
              <w:left w:val="nil"/>
              <w:bottom w:val="single" w:sz="4" w:space="0" w:color="C0C0C0"/>
              <w:right w:val="single" w:sz="4" w:space="0" w:color="D9D9D9"/>
            </w:tcBorders>
            <w:shd w:val="clear" w:color="auto" w:fill="auto"/>
            <w:noWrap/>
            <w:vAlign w:val="center"/>
            <w:hideMark/>
          </w:tcPr>
          <w:p w14:paraId="7498ED2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576" w:type="pct"/>
            <w:tcBorders>
              <w:top w:val="nil"/>
              <w:left w:val="nil"/>
              <w:bottom w:val="nil"/>
              <w:right w:val="nil"/>
            </w:tcBorders>
            <w:shd w:val="clear" w:color="auto" w:fill="auto"/>
            <w:noWrap/>
            <w:vAlign w:val="center"/>
            <w:hideMark/>
          </w:tcPr>
          <w:p w14:paraId="29CF3D6D"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62011A33"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1B97CA3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Pribitek za preostali strošek dela</w:t>
            </w:r>
          </w:p>
        </w:tc>
        <w:tc>
          <w:tcPr>
            <w:tcW w:w="828" w:type="pct"/>
            <w:tcBorders>
              <w:top w:val="nil"/>
              <w:left w:val="nil"/>
              <w:bottom w:val="single" w:sz="4" w:space="0" w:color="auto"/>
              <w:right w:val="single" w:sz="4" w:space="0" w:color="auto"/>
            </w:tcBorders>
            <w:shd w:val="clear" w:color="auto" w:fill="auto"/>
            <w:noWrap/>
            <w:vAlign w:val="center"/>
            <w:hideMark/>
          </w:tcPr>
          <w:p w14:paraId="2935FC0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17131E3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431" w:type="pct"/>
            <w:tcBorders>
              <w:top w:val="nil"/>
              <w:left w:val="nil"/>
              <w:bottom w:val="single" w:sz="4" w:space="0" w:color="auto"/>
              <w:right w:val="single" w:sz="4" w:space="0" w:color="auto"/>
            </w:tcBorders>
            <w:shd w:val="clear" w:color="auto" w:fill="auto"/>
            <w:noWrap/>
            <w:vAlign w:val="center"/>
            <w:hideMark/>
          </w:tcPr>
          <w:p w14:paraId="537A22B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14:paraId="0F932D1D"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20,40</w:t>
            </w:r>
          </w:p>
        </w:tc>
        <w:tc>
          <w:tcPr>
            <w:tcW w:w="376" w:type="pct"/>
            <w:tcBorders>
              <w:top w:val="nil"/>
              <w:left w:val="nil"/>
              <w:bottom w:val="nil"/>
              <w:right w:val="nil"/>
            </w:tcBorders>
            <w:shd w:val="clear" w:color="auto" w:fill="auto"/>
            <w:noWrap/>
            <w:vAlign w:val="center"/>
            <w:hideMark/>
          </w:tcPr>
          <w:p w14:paraId="1C366876"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6E522FCF"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05EBFD05" w14:textId="77777777" w:rsidTr="0016774B">
        <w:trPr>
          <w:trHeight w:val="102"/>
        </w:trPr>
        <w:tc>
          <w:tcPr>
            <w:tcW w:w="1711" w:type="pct"/>
            <w:tcBorders>
              <w:top w:val="nil"/>
              <w:left w:val="nil"/>
              <w:bottom w:val="nil"/>
              <w:right w:val="nil"/>
            </w:tcBorders>
            <w:shd w:val="clear" w:color="auto" w:fill="auto"/>
            <w:noWrap/>
            <w:vAlign w:val="center"/>
            <w:hideMark/>
          </w:tcPr>
          <w:p w14:paraId="5F56F60F"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262A8DFE"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49961C5E" w14:textId="77777777" w:rsidR="00FE461F" w:rsidRPr="005E4BEA" w:rsidRDefault="00FE461F" w:rsidP="00FE461F">
            <w:pPr>
              <w:spacing w:line="240" w:lineRule="auto"/>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1ECB2CD9"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73844D7B"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224,22</w:t>
            </w:r>
          </w:p>
        </w:tc>
        <w:tc>
          <w:tcPr>
            <w:tcW w:w="376" w:type="pct"/>
            <w:tcBorders>
              <w:top w:val="nil"/>
              <w:left w:val="nil"/>
              <w:bottom w:val="nil"/>
              <w:right w:val="nil"/>
            </w:tcBorders>
            <w:shd w:val="clear" w:color="auto" w:fill="auto"/>
            <w:noWrap/>
            <w:vAlign w:val="center"/>
            <w:hideMark/>
          </w:tcPr>
          <w:p w14:paraId="359D60EB"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719BED50" w14:textId="77777777" w:rsidR="00FE461F" w:rsidRPr="005E4BEA" w:rsidRDefault="00FE461F" w:rsidP="00FE461F">
            <w:pPr>
              <w:spacing w:line="240" w:lineRule="auto"/>
              <w:rPr>
                <w:rFonts w:cs="Arial"/>
                <w:i/>
                <w:iCs/>
                <w:color w:val="808080" w:themeColor="background1" w:themeShade="80"/>
                <w:szCs w:val="20"/>
              </w:rPr>
            </w:pPr>
          </w:p>
        </w:tc>
      </w:tr>
      <w:tr w:rsidR="00FE461F" w:rsidRPr="005E4BEA" w14:paraId="57C6FD2B" w14:textId="77777777" w:rsidTr="0016774B">
        <w:trPr>
          <w:trHeight w:val="102"/>
        </w:trPr>
        <w:tc>
          <w:tcPr>
            <w:tcW w:w="1711" w:type="pct"/>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9564C1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lastRenderedPageBreak/>
              <w:t> </w:t>
            </w:r>
          </w:p>
        </w:tc>
        <w:tc>
          <w:tcPr>
            <w:tcW w:w="828" w:type="pct"/>
            <w:tcBorders>
              <w:top w:val="single" w:sz="4" w:space="0" w:color="C0C0C0"/>
              <w:left w:val="nil"/>
              <w:bottom w:val="single" w:sz="4" w:space="0" w:color="C0C0C0"/>
              <w:right w:val="single" w:sz="4" w:space="0" w:color="C0C0C0"/>
            </w:tcBorders>
            <w:shd w:val="clear" w:color="auto" w:fill="auto"/>
            <w:noWrap/>
            <w:vAlign w:val="center"/>
            <w:hideMark/>
          </w:tcPr>
          <w:p w14:paraId="0EB296DB"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single" w:sz="4" w:space="0" w:color="C0C0C0"/>
              <w:left w:val="nil"/>
              <w:bottom w:val="single" w:sz="4" w:space="0" w:color="C0C0C0"/>
              <w:right w:val="single" w:sz="4" w:space="0" w:color="C0C0C0"/>
            </w:tcBorders>
            <w:shd w:val="clear" w:color="auto" w:fill="auto"/>
            <w:noWrap/>
            <w:vAlign w:val="center"/>
            <w:hideMark/>
          </w:tcPr>
          <w:p w14:paraId="74520A6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431" w:type="pct"/>
            <w:tcBorders>
              <w:top w:val="single" w:sz="4" w:space="0" w:color="C0C0C0"/>
              <w:left w:val="nil"/>
              <w:bottom w:val="single" w:sz="4" w:space="0" w:color="C0C0C0"/>
              <w:right w:val="single" w:sz="4" w:space="0" w:color="C0C0C0"/>
            </w:tcBorders>
            <w:shd w:val="clear" w:color="auto" w:fill="auto"/>
            <w:noWrap/>
            <w:vAlign w:val="center"/>
            <w:hideMark/>
          </w:tcPr>
          <w:p w14:paraId="0A64F54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487" w:type="pct"/>
            <w:tcBorders>
              <w:top w:val="single" w:sz="4" w:space="0" w:color="C0C0C0"/>
              <w:left w:val="nil"/>
              <w:bottom w:val="single" w:sz="4" w:space="0" w:color="C0C0C0"/>
              <w:right w:val="single" w:sz="4" w:space="0" w:color="C0C0C0"/>
            </w:tcBorders>
            <w:shd w:val="clear" w:color="auto" w:fill="auto"/>
            <w:noWrap/>
            <w:vAlign w:val="center"/>
            <w:hideMark/>
          </w:tcPr>
          <w:p w14:paraId="5E221D3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376" w:type="pct"/>
            <w:tcBorders>
              <w:top w:val="single" w:sz="4" w:space="0" w:color="C0C0C0"/>
              <w:left w:val="nil"/>
              <w:bottom w:val="single" w:sz="4" w:space="0" w:color="C0C0C0"/>
              <w:right w:val="single" w:sz="4" w:space="0" w:color="D9D9D9"/>
            </w:tcBorders>
            <w:shd w:val="clear" w:color="auto" w:fill="auto"/>
            <w:noWrap/>
            <w:vAlign w:val="center"/>
            <w:hideMark/>
          </w:tcPr>
          <w:p w14:paraId="5DC806A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576" w:type="pct"/>
            <w:tcBorders>
              <w:top w:val="nil"/>
              <w:left w:val="nil"/>
              <w:bottom w:val="nil"/>
              <w:right w:val="nil"/>
            </w:tcBorders>
            <w:shd w:val="clear" w:color="auto" w:fill="auto"/>
            <w:noWrap/>
            <w:vAlign w:val="center"/>
            <w:hideMark/>
          </w:tcPr>
          <w:p w14:paraId="5DB3DA3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r>
      <w:tr w:rsidR="00FE461F" w:rsidRPr="005E4BEA" w14:paraId="05711652" w14:textId="77777777" w:rsidTr="0016774B">
        <w:trPr>
          <w:trHeight w:val="102"/>
        </w:trPr>
        <w:tc>
          <w:tcPr>
            <w:tcW w:w="1711" w:type="pct"/>
            <w:tcBorders>
              <w:top w:val="nil"/>
              <w:left w:val="nil"/>
              <w:bottom w:val="nil"/>
              <w:right w:val="nil"/>
            </w:tcBorders>
            <w:shd w:val="clear" w:color="auto" w:fill="auto"/>
            <w:noWrap/>
            <w:vAlign w:val="center"/>
            <w:hideMark/>
          </w:tcPr>
          <w:p w14:paraId="07EB3344"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OSTALI STROŠKI</w:t>
            </w:r>
          </w:p>
        </w:tc>
        <w:tc>
          <w:tcPr>
            <w:tcW w:w="828" w:type="pct"/>
            <w:tcBorders>
              <w:top w:val="nil"/>
              <w:left w:val="nil"/>
              <w:bottom w:val="nil"/>
              <w:right w:val="nil"/>
            </w:tcBorders>
            <w:shd w:val="clear" w:color="auto" w:fill="auto"/>
            <w:noWrap/>
            <w:vAlign w:val="center"/>
            <w:hideMark/>
          </w:tcPr>
          <w:p w14:paraId="651A669B"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40DF3D46" w14:textId="77777777" w:rsidR="00FE461F" w:rsidRPr="005E4BEA" w:rsidRDefault="00FE461F" w:rsidP="00FE461F">
            <w:pPr>
              <w:spacing w:line="240" w:lineRule="auto"/>
              <w:jc w:val="right"/>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4F3E6EA9" w14:textId="77777777" w:rsidR="00FE461F" w:rsidRPr="005E4BEA" w:rsidRDefault="00FE461F" w:rsidP="00FE461F">
            <w:pPr>
              <w:spacing w:line="240" w:lineRule="auto"/>
              <w:rPr>
                <w:rFonts w:cs="Arial"/>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29282722" w14:textId="77777777" w:rsidR="00FE461F" w:rsidRPr="005E4BEA" w:rsidRDefault="00FE461F" w:rsidP="00FE461F">
            <w:pPr>
              <w:spacing w:line="240" w:lineRule="auto"/>
              <w:jc w:val="right"/>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0471FFBF" w14:textId="77777777" w:rsidR="00FE461F" w:rsidRPr="005E4BEA" w:rsidRDefault="00FE461F" w:rsidP="00FE461F">
            <w:pPr>
              <w:spacing w:line="240" w:lineRule="auto"/>
              <w:rPr>
                <w:rFonts w:cs="Arial"/>
                <w:b/>
                <w:bCs/>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246D054D"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2F6B2386" w14:textId="77777777" w:rsidTr="0016774B">
        <w:trPr>
          <w:trHeight w:val="102"/>
        </w:trPr>
        <w:tc>
          <w:tcPr>
            <w:tcW w:w="1711" w:type="pct"/>
            <w:tcBorders>
              <w:top w:val="single" w:sz="4" w:space="0" w:color="3366FF"/>
              <w:left w:val="single" w:sz="4" w:space="0" w:color="3366FF"/>
              <w:bottom w:val="nil"/>
              <w:right w:val="single" w:sz="4" w:space="0" w:color="3366FF"/>
            </w:tcBorders>
            <w:shd w:val="clear" w:color="auto" w:fill="auto"/>
            <w:noWrap/>
            <w:vAlign w:val="center"/>
            <w:hideMark/>
          </w:tcPr>
          <w:p w14:paraId="5E71F5DE"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Stroški internih storitev</w:t>
            </w:r>
          </w:p>
        </w:tc>
        <w:tc>
          <w:tcPr>
            <w:tcW w:w="828" w:type="pct"/>
            <w:tcBorders>
              <w:top w:val="single" w:sz="4" w:space="0" w:color="3366FF"/>
              <w:left w:val="nil"/>
              <w:bottom w:val="nil"/>
              <w:right w:val="single" w:sz="4" w:space="0" w:color="3366FF"/>
            </w:tcBorders>
            <w:shd w:val="clear" w:color="auto" w:fill="auto"/>
            <w:noWrap/>
            <w:vAlign w:val="center"/>
            <w:hideMark/>
          </w:tcPr>
          <w:p w14:paraId="54F23AAF"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Šifra ZTM</w:t>
            </w:r>
          </w:p>
        </w:tc>
        <w:tc>
          <w:tcPr>
            <w:tcW w:w="590" w:type="pct"/>
            <w:tcBorders>
              <w:top w:val="single" w:sz="4" w:space="0" w:color="3366FF"/>
              <w:left w:val="nil"/>
              <w:bottom w:val="nil"/>
              <w:right w:val="single" w:sz="4" w:space="0" w:color="3366FF"/>
            </w:tcBorders>
            <w:shd w:val="clear" w:color="auto" w:fill="auto"/>
            <w:vAlign w:val="center"/>
            <w:hideMark/>
          </w:tcPr>
          <w:p w14:paraId="6BC24122"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količina na postopek</w:t>
            </w:r>
          </w:p>
        </w:tc>
        <w:tc>
          <w:tcPr>
            <w:tcW w:w="431" w:type="pct"/>
            <w:tcBorders>
              <w:top w:val="single" w:sz="4" w:space="0" w:color="3366FF"/>
              <w:left w:val="nil"/>
              <w:bottom w:val="nil"/>
              <w:right w:val="single" w:sz="4" w:space="0" w:color="3366FF"/>
            </w:tcBorders>
            <w:shd w:val="clear" w:color="auto" w:fill="auto"/>
            <w:vAlign w:val="center"/>
            <w:hideMark/>
          </w:tcPr>
          <w:p w14:paraId="1649B555"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Cena storitve</w:t>
            </w:r>
          </w:p>
        </w:tc>
        <w:tc>
          <w:tcPr>
            <w:tcW w:w="487" w:type="pct"/>
            <w:tcBorders>
              <w:top w:val="single" w:sz="4" w:space="0" w:color="3366FF"/>
              <w:left w:val="nil"/>
              <w:bottom w:val="nil"/>
              <w:right w:val="single" w:sz="4" w:space="0" w:color="3366FF"/>
            </w:tcBorders>
            <w:shd w:val="clear" w:color="auto" w:fill="auto"/>
            <w:noWrap/>
            <w:vAlign w:val="center"/>
            <w:hideMark/>
          </w:tcPr>
          <w:p w14:paraId="24BE3AA6"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Cena storitve</w:t>
            </w:r>
          </w:p>
        </w:tc>
        <w:tc>
          <w:tcPr>
            <w:tcW w:w="376" w:type="pct"/>
            <w:tcBorders>
              <w:top w:val="nil"/>
              <w:left w:val="nil"/>
              <w:bottom w:val="nil"/>
              <w:right w:val="nil"/>
            </w:tcBorders>
            <w:shd w:val="clear" w:color="auto" w:fill="auto"/>
            <w:vAlign w:val="center"/>
            <w:hideMark/>
          </w:tcPr>
          <w:p w14:paraId="30DCB1B2" w14:textId="77777777" w:rsidR="00FE461F" w:rsidRPr="005E4BEA" w:rsidRDefault="00FE461F" w:rsidP="00FE461F">
            <w:pPr>
              <w:spacing w:line="240" w:lineRule="auto"/>
              <w:jc w:val="center"/>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1D99C6C5" w14:textId="77777777" w:rsidR="00FE461F" w:rsidRPr="005E4BEA" w:rsidRDefault="00FE461F" w:rsidP="00FE461F">
            <w:pPr>
              <w:spacing w:line="240" w:lineRule="auto"/>
              <w:jc w:val="center"/>
              <w:rPr>
                <w:rFonts w:cs="Arial"/>
                <w:i/>
                <w:iCs/>
                <w:color w:val="808080" w:themeColor="background1" w:themeShade="80"/>
                <w:szCs w:val="20"/>
              </w:rPr>
            </w:pPr>
          </w:p>
        </w:tc>
      </w:tr>
      <w:tr w:rsidR="00FE461F" w:rsidRPr="005E4BEA" w14:paraId="182A2997" w14:textId="77777777" w:rsidTr="0016774B">
        <w:trPr>
          <w:trHeight w:val="10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E88BF"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hemogram</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4610E2A6"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24050</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10D3DD4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2ADD1156"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2,49</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7DEEE59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7,47</w:t>
            </w:r>
          </w:p>
        </w:tc>
        <w:tc>
          <w:tcPr>
            <w:tcW w:w="376" w:type="pct"/>
            <w:tcBorders>
              <w:top w:val="nil"/>
              <w:left w:val="nil"/>
              <w:bottom w:val="nil"/>
              <w:right w:val="nil"/>
            </w:tcBorders>
            <w:shd w:val="clear" w:color="auto" w:fill="auto"/>
            <w:noWrap/>
            <w:vAlign w:val="center"/>
            <w:hideMark/>
          </w:tcPr>
          <w:p w14:paraId="50EA810F"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4F660712"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2424714E"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248A367C"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testiranje na označevalce okužb</w:t>
            </w:r>
          </w:p>
        </w:tc>
        <w:tc>
          <w:tcPr>
            <w:tcW w:w="828" w:type="pct"/>
            <w:tcBorders>
              <w:top w:val="nil"/>
              <w:left w:val="nil"/>
              <w:bottom w:val="single" w:sz="4" w:space="0" w:color="auto"/>
              <w:right w:val="single" w:sz="4" w:space="0" w:color="auto"/>
            </w:tcBorders>
            <w:shd w:val="clear" w:color="auto" w:fill="auto"/>
            <w:noWrap/>
            <w:vAlign w:val="center"/>
            <w:hideMark/>
          </w:tcPr>
          <w:p w14:paraId="65590877"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38010</w:t>
            </w:r>
          </w:p>
        </w:tc>
        <w:tc>
          <w:tcPr>
            <w:tcW w:w="590" w:type="pct"/>
            <w:tcBorders>
              <w:top w:val="nil"/>
              <w:left w:val="nil"/>
              <w:bottom w:val="single" w:sz="4" w:space="0" w:color="auto"/>
              <w:right w:val="single" w:sz="4" w:space="0" w:color="auto"/>
            </w:tcBorders>
            <w:shd w:val="clear" w:color="auto" w:fill="auto"/>
            <w:noWrap/>
            <w:vAlign w:val="center"/>
            <w:hideMark/>
          </w:tcPr>
          <w:p w14:paraId="23A699C5"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0,25</w:t>
            </w:r>
          </w:p>
        </w:tc>
        <w:tc>
          <w:tcPr>
            <w:tcW w:w="431" w:type="pct"/>
            <w:tcBorders>
              <w:top w:val="nil"/>
              <w:left w:val="nil"/>
              <w:bottom w:val="single" w:sz="4" w:space="0" w:color="auto"/>
              <w:right w:val="single" w:sz="4" w:space="0" w:color="auto"/>
            </w:tcBorders>
            <w:shd w:val="clear" w:color="auto" w:fill="auto"/>
            <w:noWrap/>
            <w:vAlign w:val="center"/>
            <w:hideMark/>
          </w:tcPr>
          <w:p w14:paraId="4965DA8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34,95</w:t>
            </w:r>
          </w:p>
        </w:tc>
        <w:tc>
          <w:tcPr>
            <w:tcW w:w="487" w:type="pct"/>
            <w:tcBorders>
              <w:top w:val="nil"/>
              <w:left w:val="nil"/>
              <w:bottom w:val="single" w:sz="4" w:space="0" w:color="auto"/>
              <w:right w:val="single" w:sz="4" w:space="0" w:color="auto"/>
            </w:tcBorders>
            <w:shd w:val="clear" w:color="auto" w:fill="auto"/>
            <w:noWrap/>
            <w:vAlign w:val="center"/>
            <w:hideMark/>
          </w:tcPr>
          <w:p w14:paraId="637E581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8,74</w:t>
            </w:r>
          </w:p>
        </w:tc>
        <w:tc>
          <w:tcPr>
            <w:tcW w:w="376" w:type="pct"/>
            <w:tcBorders>
              <w:top w:val="nil"/>
              <w:left w:val="nil"/>
              <w:bottom w:val="nil"/>
              <w:right w:val="nil"/>
            </w:tcBorders>
            <w:shd w:val="clear" w:color="auto" w:fill="auto"/>
            <w:noWrap/>
            <w:vAlign w:val="center"/>
            <w:hideMark/>
          </w:tcPr>
          <w:p w14:paraId="01058641"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4BFC2BAD"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28D50437"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251B7A0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Hepatitis B </w:t>
            </w:r>
            <w:proofErr w:type="spellStart"/>
            <w:r w:rsidRPr="005E4BEA">
              <w:rPr>
                <w:rFonts w:cs="Arial"/>
                <w:i/>
                <w:iCs/>
                <w:color w:val="808080" w:themeColor="background1" w:themeShade="80"/>
                <w:szCs w:val="20"/>
              </w:rPr>
              <w:t>anti</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HBc</w:t>
            </w:r>
            <w:proofErr w:type="spellEnd"/>
          </w:p>
        </w:tc>
        <w:tc>
          <w:tcPr>
            <w:tcW w:w="828" w:type="pct"/>
            <w:tcBorders>
              <w:top w:val="nil"/>
              <w:left w:val="nil"/>
              <w:bottom w:val="single" w:sz="4" w:space="0" w:color="auto"/>
              <w:right w:val="single" w:sz="4" w:space="0" w:color="auto"/>
            </w:tcBorders>
            <w:shd w:val="clear" w:color="auto" w:fill="auto"/>
            <w:noWrap/>
            <w:vAlign w:val="center"/>
            <w:hideMark/>
          </w:tcPr>
          <w:p w14:paraId="2A253D54"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31050</w:t>
            </w:r>
          </w:p>
        </w:tc>
        <w:tc>
          <w:tcPr>
            <w:tcW w:w="590" w:type="pct"/>
            <w:tcBorders>
              <w:top w:val="nil"/>
              <w:left w:val="nil"/>
              <w:bottom w:val="single" w:sz="4" w:space="0" w:color="auto"/>
              <w:right w:val="single" w:sz="4" w:space="0" w:color="auto"/>
            </w:tcBorders>
            <w:shd w:val="clear" w:color="auto" w:fill="auto"/>
            <w:noWrap/>
            <w:vAlign w:val="center"/>
            <w:hideMark/>
          </w:tcPr>
          <w:p w14:paraId="71AE90B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0,25</w:t>
            </w:r>
          </w:p>
        </w:tc>
        <w:tc>
          <w:tcPr>
            <w:tcW w:w="431" w:type="pct"/>
            <w:tcBorders>
              <w:top w:val="nil"/>
              <w:left w:val="nil"/>
              <w:bottom w:val="single" w:sz="4" w:space="0" w:color="auto"/>
              <w:right w:val="single" w:sz="4" w:space="0" w:color="auto"/>
            </w:tcBorders>
            <w:shd w:val="clear" w:color="auto" w:fill="auto"/>
            <w:noWrap/>
            <w:vAlign w:val="center"/>
            <w:hideMark/>
          </w:tcPr>
          <w:p w14:paraId="50F3789A"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7,72</w:t>
            </w:r>
          </w:p>
        </w:tc>
        <w:tc>
          <w:tcPr>
            <w:tcW w:w="487" w:type="pct"/>
            <w:tcBorders>
              <w:top w:val="nil"/>
              <w:left w:val="nil"/>
              <w:bottom w:val="single" w:sz="4" w:space="0" w:color="auto"/>
              <w:right w:val="single" w:sz="4" w:space="0" w:color="auto"/>
            </w:tcBorders>
            <w:shd w:val="clear" w:color="auto" w:fill="auto"/>
            <w:noWrap/>
            <w:vAlign w:val="center"/>
            <w:hideMark/>
          </w:tcPr>
          <w:p w14:paraId="276692F9"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1,93</w:t>
            </w:r>
          </w:p>
        </w:tc>
        <w:tc>
          <w:tcPr>
            <w:tcW w:w="376" w:type="pct"/>
            <w:tcBorders>
              <w:top w:val="nil"/>
              <w:left w:val="nil"/>
              <w:bottom w:val="nil"/>
              <w:right w:val="nil"/>
            </w:tcBorders>
            <w:shd w:val="clear" w:color="auto" w:fill="auto"/>
            <w:noWrap/>
            <w:vAlign w:val="center"/>
            <w:hideMark/>
          </w:tcPr>
          <w:p w14:paraId="25212AEF"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0478C973"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58F36C3D"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0F0F77BE" w14:textId="77777777" w:rsidR="00FE461F" w:rsidRPr="005E4BEA" w:rsidRDefault="00FE461F" w:rsidP="00FE461F">
            <w:pPr>
              <w:spacing w:line="240" w:lineRule="auto"/>
              <w:rPr>
                <w:rFonts w:cs="Arial"/>
                <w:i/>
                <w:iCs/>
                <w:color w:val="808080" w:themeColor="background1" w:themeShade="80"/>
                <w:szCs w:val="20"/>
              </w:rPr>
            </w:pPr>
            <w:proofErr w:type="spellStart"/>
            <w:r w:rsidRPr="005E4BEA">
              <w:rPr>
                <w:rFonts w:cs="Arial"/>
                <w:i/>
                <w:iCs/>
                <w:color w:val="808080" w:themeColor="background1" w:themeShade="80"/>
                <w:szCs w:val="20"/>
              </w:rPr>
              <w:t>Prevozceličnega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ločevalca</w:t>
            </w:r>
            <w:proofErr w:type="spellEnd"/>
            <w:r w:rsidRPr="005E4BEA">
              <w:rPr>
                <w:rFonts w:cs="Arial"/>
                <w:i/>
                <w:iCs/>
                <w:color w:val="808080" w:themeColor="background1" w:themeShade="80"/>
                <w:szCs w:val="20"/>
              </w:rPr>
              <w:t xml:space="preserve"> v UKC - 30* V LETU 2017</w:t>
            </w:r>
          </w:p>
        </w:tc>
        <w:tc>
          <w:tcPr>
            <w:tcW w:w="828" w:type="pct"/>
            <w:tcBorders>
              <w:top w:val="nil"/>
              <w:left w:val="nil"/>
              <w:bottom w:val="single" w:sz="4" w:space="0" w:color="auto"/>
              <w:right w:val="single" w:sz="4" w:space="0" w:color="auto"/>
            </w:tcBorders>
            <w:shd w:val="clear" w:color="auto" w:fill="auto"/>
            <w:noWrap/>
            <w:vAlign w:val="center"/>
            <w:hideMark/>
          </w:tcPr>
          <w:p w14:paraId="5F716B9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1D3A841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0,04</w:t>
            </w:r>
          </w:p>
        </w:tc>
        <w:tc>
          <w:tcPr>
            <w:tcW w:w="431" w:type="pct"/>
            <w:tcBorders>
              <w:top w:val="nil"/>
              <w:left w:val="nil"/>
              <w:bottom w:val="single" w:sz="4" w:space="0" w:color="auto"/>
              <w:right w:val="single" w:sz="4" w:space="0" w:color="auto"/>
            </w:tcBorders>
            <w:shd w:val="clear" w:color="auto" w:fill="auto"/>
            <w:noWrap/>
            <w:vAlign w:val="center"/>
            <w:hideMark/>
          </w:tcPr>
          <w:p w14:paraId="68E9105C"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61,00</w:t>
            </w:r>
          </w:p>
        </w:tc>
        <w:tc>
          <w:tcPr>
            <w:tcW w:w="487" w:type="pct"/>
            <w:tcBorders>
              <w:top w:val="nil"/>
              <w:left w:val="nil"/>
              <w:bottom w:val="single" w:sz="4" w:space="0" w:color="auto"/>
              <w:right w:val="single" w:sz="4" w:space="0" w:color="auto"/>
            </w:tcBorders>
            <w:shd w:val="clear" w:color="auto" w:fill="auto"/>
            <w:noWrap/>
            <w:vAlign w:val="center"/>
            <w:hideMark/>
          </w:tcPr>
          <w:p w14:paraId="50257C40"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2,44</w:t>
            </w:r>
          </w:p>
        </w:tc>
        <w:tc>
          <w:tcPr>
            <w:tcW w:w="376" w:type="pct"/>
            <w:tcBorders>
              <w:top w:val="nil"/>
              <w:left w:val="nil"/>
              <w:bottom w:val="nil"/>
              <w:right w:val="nil"/>
            </w:tcBorders>
            <w:shd w:val="clear" w:color="auto" w:fill="auto"/>
            <w:noWrap/>
            <w:vAlign w:val="center"/>
            <w:hideMark/>
          </w:tcPr>
          <w:p w14:paraId="491C937E"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6853265B"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63B0631B" w14:textId="77777777" w:rsidTr="0016774B">
        <w:trPr>
          <w:trHeight w:val="102"/>
        </w:trPr>
        <w:tc>
          <w:tcPr>
            <w:tcW w:w="1711" w:type="pct"/>
            <w:tcBorders>
              <w:top w:val="nil"/>
              <w:left w:val="single" w:sz="4" w:space="0" w:color="auto"/>
              <w:bottom w:val="single" w:sz="4" w:space="0" w:color="auto"/>
              <w:right w:val="single" w:sz="4" w:space="0" w:color="auto"/>
            </w:tcBorders>
            <w:shd w:val="clear" w:color="auto" w:fill="auto"/>
            <w:vAlign w:val="center"/>
            <w:hideMark/>
          </w:tcPr>
          <w:p w14:paraId="0D8C51A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Malica</w:t>
            </w:r>
          </w:p>
        </w:tc>
        <w:tc>
          <w:tcPr>
            <w:tcW w:w="828" w:type="pct"/>
            <w:tcBorders>
              <w:top w:val="nil"/>
              <w:left w:val="nil"/>
              <w:bottom w:val="single" w:sz="4" w:space="0" w:color="auto"/>
              <w:right w:val="single" w:sz="4" w:space="0" w:color="auto"/>
            </w:tcBorders>
            <w:shd w:val="clear" w:color="auto" w:fill="auto"/>
            <w:noWrap/>
            <w:vAlign w:val="center"/>
            <w:hideMark/>
          </w:tcPr>
          <w:p w14:paraId="5B263AC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14:paraId="64AACC52"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1</w:t>
            </w:r>
          </w:p>
        </w:tc>
        <w:tc>
          <w:tcPr>
            <w:tcW w:w="431" w:type="pct"/>
            <w:tcBorders>
              <w:top w:val="nil"/>
              <w:left w:val="nil"/>
              <w:bottom w:val="single" w:sz="4" w:space="0" w:color="auto"/>
              <w:right w:val="single" w:sz="4" w:space="0" w:color="auto"/>
            </w:tcBorders>
            <w:shd w:val="clear" w:color="auto" w:fill="auto"/>
            <w:noWrap/>
            <w:vAlign w:val="center"/>
            <w:hideMark/>
          </w:tcPr>
          <w:p w14:paraId="076D5DA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14:paraId="09AF814E" w14:textId="77777777" w:rsidR="00FE461F" w:rsidRPr="005E4BEA" w:rsidRDefault="00FE461F" w:rsidP="00FE461F">
            <w:pPr>
              <w:spacing w:line="240" w:lineRule="auto"/>
              <w:jc w:val="right"/>
              <w:rPr>
                <w:rFonts w:cs="Arial"/>
                <w:i/>
                <w:iCs/>
                <w:color w:val="808080" w:themeColor="background1" w:themeShade="80"/>
                <w:szCs w:val="20"/>
              </w:rPr>
            </w:pPr>
            <w:r w:rsidRPr="005E4BEA">
              <w:rPr>
                <w:rFonts w:cs="Arial"/>
                <w:i/>
                <w:iCs/>
                <w:color w:val="808080" w:themeColor="background1" w:themeShade="80"/>
                <w:szCs w:val="20"/>
              </w:rPr>
              <w:t>4,20</w:t>
            </w:r>
          </w:p>
        </w:tc>
        <w:tc>
          <w:tcPr>
            <w:tcW w:w="376" w:type="pct"/>
            <w:tcBorders>
              <w:top w:val="nil"/>
              <w:left w:val="nil"/>
              <w:bottom w:val="nil"/>
              <w:right w:val="nil"/>
            </w:tcBorders>
            <w:shd w:val="clear" w:color="auto" w:fill="auto"/>
            <w:noWrap/>
            <w:vAlign w:val="center"/>
            <w:hideMark/>
          </w:tcPr>
          <w:p w14:paraId="2D003D71"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7D41E30D"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4CDD6254" w14:textId="77777777" w:rsidTr="0016774B">
        <w:trPr>
          <w:trHeight w:val="102"/>
        </w:trPr>
        <w:tc>
          <w:tcPr>
            <w:tcW w:w="1711" w:type="pct"/>
            <w:tcBorders>
              <w:top w:val="nil"/>
              <w:left w:val="nil"/>
              <w:bottom w:val="nil"/>
              <w:right w:val="nil"/>
            </w:tcBorders>
            <w:shd w:val="clear" w:color="auto" w:fill="auto"/>
            <w:noWrap/>
            <w:vAlign w:val="center"/>
            <w:hideMark/>
          </w:tcPr>
          <w:p w14:paraId="00D6E68B"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4F570CE8"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5996F2C7" w14:textId="77777777" w:rsidR="00FE461F" w:rsidRPr="005E4BEA" w:rsidRDefault="00FE461F" w:rsidP="00FE461F">
            <w:pPr>
              <w:spacing w:line="240" w:lineRule="auto"/>
              <w:rPr>
                <w:rFonts w:cs="Arial"/>
                <w:b/>
                <w:bCs/>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0EECA113"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26EC1525"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24,78</w:t>
            </w:r>
          </w:p>
        </w:tc>
        <w:tc>
          <w:tcPr>
            <w:tcW w:w="376" w:type="pct"/>
            <w:tcBorders>
              <w:top w:val="nil"/>
              <w:left w:val="nil"/>
              <w:bottom w:val="nil"/>
              <w:right w:val="nil"/>
            </w:tcBorders>
            <w:shd w:val="clear" w:color="auto" w:fill="auto"/>
            <w:noWrap/>
            <w:vAlign w:val="center"/>
            <w:hideMark/>
          </w:tcPr>
          <w:p w14:paraId="49F3EB9B"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2DA277DF"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03088730" w14:textId="77777777" w:rsidTr="0016774B">
        <w:trPr>
          <w:trHeight w:val="102"/>
        </w:trPr>
        <w:tc>
          <w:tcPr>
            <w:tcW w:w="1711" w:type="pct"/>
            <w:tcBorders>
              <w:top w:val="nil"/>
              <w:left w:val="nil"/>
              <w:bottom w:val="nil"/>
              <w:right w:val="nil"/>
            </w:tcBorders>
            <w:shd w:val="clear" w:color="auto" w:fill="auto"/>
            <w:noWrap/>
            <w:vAlign w:val="center"/>
            <w:hideMark/>
          </w:tcPr>
          <w:p w14:paraId="641212D2"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2468E81E"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679D9AF7" w14:textId="77777777" w:rsidR="00FE461F" w:rsidRPr="005E4BEA" w:rsidRDefault="00FE461F" w:rsidP="00FE461F">
            <w:pPr>
              <w:spacing w:line="240" w:lineRule="auto"/>
              <w:rPr>
                <w:rFonts w:cs="Arial"/>
                <w:b/>
                <w:bCs/>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244EEE4B"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031870B1"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5BA7E7AD"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536FCC96"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6F646966" w14:textId="77777777" w:rsidTr="0016774B">
        <w:trPr>
          <w:trHeight w:val="102"/>
        </w:trPr>
        <w:tc>
          <w:tcPr>
            <w:tcW w:w="1711" w:type="pct"/>
            <w:tcBorders>
              <w:top w:val="single" w:sz="4" w:space="0" w:color="3366FF"/>
              <w:left w:val="single" w:sz="4" w:space="0" w:color="3366FF"/>
              <w:bottom w:val="single" w:sz="4" w:space="0" w:color="3366FF"/>
              <w:right w:val="single" w:sz="4" w:space="0" w:color="3366FF"/>
            </w:tcBorders>
            <w:shd w:val="clear" w:color="auto" w:fill="auto"/>
            <w:noWrap/>
            <w:vAlign w:val="center"/>
            <w:hideMark/>
          </w:tcPr>
          <w:p w14:paraId="7936F71A"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 Ostali stroški </w:t>
            </w:r>
          </w:p>
        </w:tc>
        <w:tc>
          <w:tcPr>
            <w:tcW w:w="828" w:type="pct"/>
            <w:tcBorders>
              <w:top w:val="single" w:sz="4" w:space="0" w:color="3366FF"/>
              <w:left w:val="nil"/>
              <w:bottom w:val="single" w:sz="4" w:space="0" w:color="3366FF"/>
              <w:right w:val="single" w:sz="4" w:space="0" w:color="3366FF"/>
            </w:tcBorders>
            <w:shd w:val="clear" w:color="auto" w:fill="auto"/>
            <w:noWrap/>
            <w:vAlign w:val="center"/>
            <w:hideMark/>
          </w:tcPr>
          <w:p w14:paraId="4CB2A944"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Letni strošek</w:t>
            </w:r>
          </w:p>
        </w:tc>
        <w:tc>
          <w:tcPr>
            <w:tcW w:w="590" w:type="pct"/>
            <w:tcBorders>
              <w:top w:val="single" w:sz="4" w:space="0" w:color="3366FF"/>
              <w:left w:val="nil"/>
              <w:bottom w:val="single" w:sz="4" w:space="0" w:color="3366FF"/>
              <w:right w:val="single" w:sz="4" w:space="0" w:color="3366FF"/>
            </w:tcBorders>
            <w:shd w:val="clear" w:color="auto" w:fill="auto"/>
            <w:vAlign w:val="center"/>
            <w:hideMark/>
          </w:tcPr>
          <w:p w14:paraId="7D147A2E" w14:textId="77777777" w:rsidR="00FE461F" w:rsidRPr="005E4BEA" w:rsidRDefault="00FE461F" w:rsidP="00FE461F">
            <w:pPr>
              <w:spacing w:line="240" w:lineRule="auto"/>
              <w:jc w:val="center"/>
              <w:rPr>
                <w:rFonts w:cs="Arial"/>
                <w:b/>
                <w:bCs/>
                <w:i/>
                <w:iCs/>
                <w:color w:val="808080" w:themeColor="background1" w:themeShade="80"/>
                <w:szCs w:val="20"/>
              </w:rPr>
            </w:pPr>
            <w:r w:rsidRPr="005E4BEA">
              <w:rPr>
                <w:rFonts w:cs="Arial"/>
                <w:b/>
                <w:bCs/>
                <w:i/>
                <w:iCs/>
                <w:color w:val="808080" w:themeColor="background1" w:themeShade="80"/>
                <w:szCs w:val="20"/>
              </w:rPr>
              <w:t xml:space="preserve">Strošek na storitev za celotni center za </w:t>
            </w:r>
            <w:proofErr w:type="spellStart"/>
            <w:r w:rsidRPr="005E4BEA">
              <w:rPr>
                <w:rFonts w:cs="Arial"/>
                <w:b/>
                <w:bCs/>
                <w:i/>
                <w:iCs/>
                <w:color w:val="808080" w:themeColor="background1" w:themeShade="80"/>
                <w:szCs w:val="20"/>
              </w:rPr>
              <w:t>afereze</w:t>
            </w:r>
            <w:proofErr w:type="spellEnd"/>
          </w:p>
        </w:tc>
        <w:tc>
          <w:tcPr>
            <w:tcW w:w="431" w:type="pct"/>
            <w:tcBorders>
              <w:top w:val="nil"/>
              <w:left w:val="nil"/>
              <w:bottom w:val="nil"/>
              <w:right w:val="nil"/>
            </w:tcBorders>
            <w:shd w:val="clear" w:color="auto" w:fill="auto"/>
            <w:noWrap/>
            <w:vAlign w:val="center"/>
            <w:hideMark/>
          </w:tcPr>
          <w:p w14:paraId="15A026CE"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3BFD7C7C"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069D7E1D"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62FBC293"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2A5BC1AD" w14:textId="77777777" w:rsidTr="0016774B">
        <w:trPr>
          <w:trHeight w:val="102"/>
        </w:trPr>
        <w:tc>
          <w:tcPr>
            <w:tcW w:w="1711" w:type="pct"/>
            <w:tcBorders>
              <w:top w:val="single" w:sz="4" w:space="0" w:color="538DD5"/>
              <w:left w:val="single" w:sz="4" w:space="0" w:color="BFBFBF"/>
              <w:bottom w:val="single" w:sz="4" w:space="0" w:color="BFBFBF"/>
              <w:right w:val="single" w:sz="4" w:space="0" w:color="BFBFBF"/>
            </w:tcBorders>
            <w:shd w:val="clear" w:color="auto" w:fill="auto"/>
            <w:noWrap/>
            <w:vAlign w:val="center"/>
            <w:hideMark/>
          </w:tcPr>
          <w:p w14:paraId="7A2C72C0"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Stroški validacij, kalibracij, servisov, izobraževanja, …</w:t>
            </w:r>
          </w:p>
        </w:tc>
        <w:tc>
          <w:tcPr>
            <w:tcW w:w="828" w:type="pct"/>
            <w:tcBorders>
              <w:top w:val="single" w:sz="4" w:space="0" w:color="538DD5"/>
              <w:left w:val="nil"/>
              <w:bottom w:val="single" w:sz="4" w:space="0" w:color="BFBFBF"/>
              <w:right w:val="single" w:sz="4" w:space="0" w:color="BFBFBF"/>
            </w:tcBorders>
            <w:shd w:val="clear" w:color="auto" w:fill="auto"/>
            <w:noWrap/>
            <w:vAlign w:val="center"/>
            <w:hideMark/>
          </w:tcPr>
          <w:p w14:paraId="163B23F7"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590" w:type="pct"/>
            <w:tcBorders>
              <w:top w:val="single" w:sz="8" w:space="0" w:color="auto"/>
              <w:left w:val="single" w:sz="8" w:space="0" w:color="auto"/>
              <w:bottom w:val="single" w:sz="8" w:space="0" w:color="auto"/>
              <w:right w:val="single" w:sz="8" w:space="0" w:color="auto"/>
            </w:tcBorders>
            <w:shd w:val="clear" w:color="000000" w:fill="FFFF99"/>
            <w:noWrap/>
            <w:vAlign w:val="center"/>
            <w:hideMark/>
          </w:tcPr>
          <w:p w14:paraId="75DF8A14"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12,21</w:t>
            </w:r>
          </w:p>
        </w:tc>
        <w:tc>
          <w:tcPr>
            <w:tcW w:w="431" w:type="pct"/>
            <w:tcBorders>
              <w:top w:val="nil"/>
              <w:left w:val="nil"/>
              <w:bottom w:val="nil"/>
              <w:right w:val="nil"/>
            </w:tcBorders>
            <w:shd w:val="clear" w:color="auto" w:fill="auto"/>
            <w:noWrap/>
            <w:vAlign w:val="center"/>
            <w:hideMark/>
          </w:tcPr>
          <w:p w14:paraId="1BC108D2"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577C14F6"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4E3D15CE"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187A6405"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3CC60FC1" w14:textId="77777777" w:rsidTr="0016774B">
        <w:trPr>
          <w:trHeight w:val="102"/>
        </w:trPr>
        <w:tc>
          <w:tcPr>
            <w:tcW w:w="1711" w:type="pct"/>
            <w:tcBorders>
              <w:top w:val="nil"/>
              <w:left w:val="nil"/>
              <w:bottom w:val="nil"/>
              <w:right w:val="nil"/>
            </w:tcBorders>
            <w:shd w:val="clear" w:color="auto" w:fill="auto"/>
            <w:noWrap/>
            <w:vAlign w:val="center"/>
            <w:hideMark/>
          </w:tcPr>
          <w:p w14:paraId="1D21C39F"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335A5FF6"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nil"/>
              <w:bottom w:val="nil"/>
              <w:right w:val="nil"/>
            </w:tcBorders>
            <w:shd w:val="clear" w:color="auto" w:fill="auto"/>
            <w:noWrap/>
            <w:vAlign w:val="center"/>
            <w:hideMark/>
          </w:tcPr>
          <w:p w14:paraId="2D2038DC" w14:textId="77777777" w:rsidR="00FE461F" w:rsidRPr="005E4BEA" w:rsidRDefault="00FE461F" w:rsidP="00FE461F">
            <w:pPr>
              <w:spacing w:line="240" w:lineRule="auto"/>
              <w:rPr>
                <w:rFonts w:cs="Arial"/>
                <w:i/>
                <w:iCs/>
                <w:color w:val="808080" w:themeColor="background1" w:themeShade="80"/>
                <w:szCs w:val="20"/>
              </w:rPr>
            </w:pPr>
          </w:p>
        </w:tc>
        <w:tc>
          <w:tcPr>
            <w:tcW w:w="431" w:type="pct"/>
            <w:tcBorders>
              <w:top w:val="nil"/>
              <w:left w:val="nil"/>
              <w:bottom w:val="nil"/>
              <w:right w:val="nil"/>
            </w:tcBorders>
            <w:shd w:val="clear" w:color="auto" w:fill="auto"/>
            <w:noWrap/>
            <w:vAlign w:val="center"/>
            <w:hideMark/>
          </w:tcPr>
          <w:p w14:paraId="48321741" w14:textId="77777777" w:rsidR="00FE461F" w:rsidRPr="005E4BEA" w:rsidRDefault="00FE461F" w:rsidP="00FE461F">
            <w:pPr>
              <w:spacing w:line="240" w:lineRule="auto"/>
              <w:rPr>
                <w:rFonts w:cs="Arial"/>
                <w:b/>
                <w:bCs/>
                <w:i/>
                <w:iCs/>
                <w:color w:val="808080" w:themeColor="background1" w:themeShade="80"/>
                <w:szCs w:val="20"/>
              </w:rPr>
            </w:pPr>
          </w:p>
        </w:tc>
        <w:tc>
          <w:tcPr>
            <w:tcW w:w="487" w:type="pct"/>
            <w:tcBorders>
              <w:top w:val="nil"/>
              <w:left w:val="nil"/>
              <w:bottom w:val="nil"/>
              <w:right w:val="nil"/>
            </w:tcBorders>
            <w:shd w:val="clear" w:color="auto" w:fill="auto"/>
            <w:noWrap/>
            <w:vAlign w:val="center"/>
            <w:hideMark/>
          </w:tcPr>
          <w:p w14:paraId="44B2EF75"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1F9922FD"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50E00253"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50388580" w14:textId="77777777" w:rsidTr="0016774B">
        <w:trPr>
          <w:trHeight w:val="102"/>
        </w:trPr>
        <w:tc>
          <w:tcPr>
            <w:tcW w:w="1711" w:type="pct"/>
            <w:tcBorders>
              <w:top w:val="nil"/>
              <w:left w:val="nil"/>
              <w:bottom w:val="single" w:sz="4" w:space="0" w:color="95B3D7"/>
              <w:right w:val="nil"/>
            </w:tcBorders>
            <w:shd w:val="clear" w:color="auto" w:fill="auto"/>
            <w:noWrap/>
            <w:vAlign w:val="center"/>
            <w:hideMark/>
          </w:tcPr>
          <w:p w14:paraId="155744A5"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w:t>
            </w:r>
          </w:p>
        </w:tc>
        <w:tc>
          <w:tcPr>
            <w:tcW w:w="828" w:type="pct"/>
            <w:tcBorders>
              <w:top w:val="nil"/>
              <w:left w:val="nil"/>
              <w:bottom w:val="nil"/>
              <w:right w:val="nil"/>
            </w:tcBorders>
            <w:shd w:val="clear" w:color="auto" w:fill="auto"/>
            <w:noWrap/>
            <w:vAlign w:val="center"/>
            <w:hideMark/>
          </w:tcPr>
          <w:p w14:paraId="4FF12623"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50EF65" w14:textId="77777777" w:rsidR="00FE461F" w:rsidRPr="005E4BEA" w:rsidRDefault="00FE461F" w:rsidP="00FE461F">
            <w:pPr>
              <w:spacing w:line="240" w:lineRule="auto"/>
              <w:rPr>
                <w:rFonts w:cs="Arial"/>
                <w:b/>
                <w:bCs/>
                <w:i/>
                <w:iCs/>
                <w:color w:val="808080" w:themeColor="background1" w:themeShade="80"/>
                <w:szCs w:val="20"/>
              </w:rPr>
            </w:pPr>
            <w:r w:rsidRPr="005E4BEA">
              <w:rPr>
                <w:rFonts w:cs="Arial"/>
                <w:b/>
                <w:bCs/>
                <w:i/>
                <w:iCs/>
                <w:color w:val="808080" w:themeColor="background1" w:themeShade="80"/>
                <w:szCs w:val="20"/>
              </w:rPr>
              <w:t>∑</w:t>
            </w:r>
          </w:p>
        </w:tc>
        <w:tc>
          <w:tcPr>
            <w:tcW w:w="431" w:type="pct"/>
            <w:tcBorders>
              <w:top w:val="single" w:sz="4" w:space="0" w:color="auto"/>
              <w:left w:val="nil"/>
              <w:bottom w:val="single" w:sz="4" w:space="0" w:color="auto"/>
              <w:right w:val="single" w:sz="4" w:space="0" w:color="auto"/>
            </w:tcBorders>
            <w:shd w:val="clear" w:color="000000" w:fill="FFFF00"/>
            <w:noWrap/>
            <w:vAlign w:val="center"/>
            <w:hideMark/>
          </w:tcPr>
          <w:p w14:paraId="48FCD7FF"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1.406,48</w:t>
            </w:r>
          </w:p>
        </w:tc>
        <w:tc>
          <w:tcPr>
            <w:tcW w:w="487" w:type="pct"/>
            <w:tcBorders>
              <w:top w:val="nil"/>
              <w:left w:val="nil"/>
              <w:bottom w:val="nil"/>
              <w:right w:val="nil"/>
            </w:tcBorders>
            <w:shd w:val="clear" w:color="auto" w:fill="auto"/>
            <w:noWrap/>
            <w:vAlign w:val="center"/>
            <w:hideMark/>
          </w:tcPr>
          <w:p w14:paraId="26F73777"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7517A44C"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2706F02C"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006242B3" w14:textId="77777777" w:rsidTr="0016774B">
        <w:trPr>
          <w:trHeight w:val="102"/>
        </w:trPr>
        <w:tc>
          <w:tcPr>
            <w:tcW w:w="1711" w:type="pct"/>
            <w:tcBorders>
              <w:top w:val="nil"/>
              <w:left w:val="nil"/>
              <w:bottom w:val="nil"/>
              <w:right w:val="nil"/>
            </w:tcBorders>
            <w:shd w:val="clear" w:color="auto" w:fill="auto"/>
            <w:noWrap/>
            <w:vAlign w:val="bottom"/>
            <w:hideMark/>
          </w:tcPr>
          <w:p w14:paraId="23665E36"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center"/>
            <w:hideMark/>
          </w:tcPr>
          <w:p w14:paraId="293907DF"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single" w:sz="4" w:space="0" w:color="auto"/>
              <w:bottom w:val="single" w:sz="4" w:space="0" w:color="auto"/>
              <w:right w:val="single" w:sz="4" w:space="0" w:color="auto"/>
            </w:tcBorders>
            <w:shd w:val="clear" w:color="000000" w:fill="FFFF00"/>
            <w:noWrap/>
            <w:vAlign w:val="center"/>
            <w:hideMark/>
          </w:tcPr>
          <w:p w14:paraId="0BEFD014" w14:textId="77777777" w:rsidR="00FE461F" w:rsidRPr="005E4BEA" w:rsidRDefault="00FE461F" w:rsidP="00FE461F">
            <w:pPr>
              <w:spacing w:line="240" w:lineRule="auto"/>
              <w:rPr>
                <w:rFonts w:cs="Arial"/>
                <w:b/>
                <w:bCs/>
                <w:i/>
                <w:iCs/>
                <w:color w:val="808080" w:themeColor="background1" w:themeShade="80"/>
                <w:szCs w:val="20"/>
              </w:rPr>
            </w:pPr>
            <w:r w:rsidRPr="005E4BEA">
              <w:rPr>
                <w:rFonts w:cs="Arial"/>
                <w:b/>
                <w:bCs/>
                <w:i/>
                <w:iCs/>
                <w:color w:val="808080" w:themeColor="background1" w:themeShade="80"/>
                <w:szCs w:val="20"/>
              </w:rPr>
              <w:t>Pribitek 0,15</w:t>
            </w:r>
          </w:p>
        </w:tc>
        <w:tc>
          <w:tcPr>
            <w:tcW w:w="431" w:type="pct"/>
            <w:tcBorders>
              <w:top w:val="nil"/>
              <w:left w:val="nil"/>
              <w:bottom w:val="single" w:sz="4" w:space="0" w:color="auto"/>
              <w:right w:val="single" w:sz="4" w:space="0" w:color="auto"/>
            </w:tcBorders>
            <w:shd w:val="clear" w:color="000000" w:fill="FFFF00"/>
            <w:noWrap/>
            <w:vAlign w:val="center"/>
            <w:hideMark/>
          </w:tcPr>
          <w:p w14:paraId="0A0E4F7C"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179,76</w:t>
            </w:r>
          </w:p>
        </w:tc>
        <w:tc>
          <w:tcPr>
            <w:tcW w:w="487" w:type="pct"/>
            <w:tcBorders>
              <w:top w:val="nil"/>
              <w:left w:val="nil"/>
              <w:bottom w:val="nil"/>
              <w:right w:val="nil"/>
            </w:tcBorders>
            <w:shd w:val="clear" w:color="auto" w:fill="auto"/>
            <w:noWrap/>
            <w:vAlign w:val="center"/>
            <w:hideMark/>
          </w:tcPr>
          <w:p w14:paraId="620BEEB5" w14:textId="77777777" w:rsidR="00FE461F" w:rsidRPr="005E4BEA" w:rsidRDefault="00FE461F" w:rsidP="00FE461F">
            <w:pPr>
              <w:spacing w:line="240" w:lineRule="auto"/>
              <w:rPr>
                <w:rFonts w:cs="Arial"/>
                <w:b/>
                <w:bCs/>
                <w:i/>
                <w:iCs/>
                <w:color w:val="808080" w:themeColor="background1" w:themeShade="80"/>
                <w:szCs w:val="20"/>
              </w:rPr>
            </w:pPr>
          </w:p>
        </w:tc>
        <w:tc>
          <w:tcPr>
            <w:tcW w:w="376" w:type="pct"/>
            <w:tcBorders>
              <w:top w:val="nil"/>
              <w:left w:val="nil"/>
              <w:bottom w:val="nil"/>
              <w:right w:val="nil"/>
            </w:tcBorders>
            <w:shd w:val="clear" w:color="auto" w:fill="auto"/>
            <w:noWrap/>
            <w:vAlign w:val="center"/>
            <w:hideMark/>
          </w:tcPr>
          <w:p w14:paraId="7ED18B76" w14:textId="77777777" w:rsidR="00FE461F" w:rsidRPr="005E4BEA" w:rsidRDefault="00FE461F" w:rsidP="00FE461F">
            <w:pPr>
              <w:spacing w:line="240" w:lineRule="auto"/>
              <w:jc w:val="right"/>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center"/>
            <w:hideMark/>
          </w:tcPr>
          <w:p w14:paraId="47E03BC8" w14:textId="77777777" w:rsidR="00FE461F" w:rsidRPr="005E4BEA" w:rsidRDefault="00FE461F" w:rsidP="00FE461F">
            <w:pPr>
              <w:spacing w:line="240" w:lineRule="auto"/>
              <w:jc w:val="right"/>
              <w:rPr>
                <w:rFonts w:cs="Arial"/>
                <w:i/>
                <w:iCs/>
                <w:color w:val="808080" w:themeColor="background1" w:themeShade="80"/>
                <w:szCs w:val="20"/>
              </w:rPr>
            </w:pPr>
          </w:p>
        </w:tc>
      </w:tr>
      <w:tr w:rsidR="00FE461F" w:rsidRPr="005E4BEA" w14:paraId="0BC0A81A" w14:textId="77777777" w:rsidTr="0016774B">
        <w:trPr>
          <w:trHeight w:val="102"/>
        </w:trPr>
        <w:tc>
          <w:tcPr>
            <w:tcW w:w="1711" w:type="pct"/>
            <w:tcBorders>
              <w:top w:val="nil"/>
              <w:left w:val="nil"/>
              <w:bottom w:val="nil"/>
              <w:right w:val="nil"/>
            </w:tcBorders>
            <w:shd w:val="clear" w:color="auto" w:fill="auto"/>
            <w:noWrap/>
            <w:vAlign w:val="bottom"/>
            <w:hideMark/>
          </w:tcPr>
          <w:p w14:paraId="54A574BD" w14:textId="77777777" w:rsidR="00FE461F" w:rsidRPr="005E4BEA" w:rsidRDefault="00FE461F" w:rsidP="00FE461F">
            <w:pPr>
              <w:spacing w:line="240" w:lineRule="auto"/>
              <w:rPr>
                <w:rFonts w:cs="Arial"/>
                <w:i/>
                <w:iCs/>
                <w:color w:val="808080" w:themeColor="background1" w:themeShade="80"/>
                <w:szCs w:val="20"/>
              </w:rPr>
            </w:pPr>
          </w:p>
        </w:tc>
        <w:tc>
          <w:tcPr>
            <w:tcW w:w="828" w:type="pct"/>
            <w:tcBorders>
              <w:top w:val="nil"/>
              <w:left w:val="nil"/>
              <w:bottom w:val="nil"/>
              <w:right w:val="nil"/>
            </w:tcBorders>
            <w:shd w:val="clear" w:color="auto" w:fill="auto"/>
            <w:noWrap/>
            <w:vAlign w:val="bottom"/>
            <w:hideMark/>
          </w:tcPr>
          <w:p w14:paraId="6A7C5AD7" w14:textId="77777777" w:rsidR="00FE461F" w:rsidRPr="005E4BEA" w:rsidRDefault="00FE461F" w:rsidP="00FE461F">
            <w:pPr>
              <w:spacing w:line="240" w:lineRule="auto"/>
              <w:rPr>
                <w:rFonts w:cs="Arial"/>
                <w:i/>
                <w:iCs/>
                <w:color w:val="808080" w:themeColor="background1" w:themeShade="80"/>
                <w:szCs w:val="20"/>
              </w:rPr>
            </w:pPr>
          </w:p>
        </w:tc>
        <w:tc>
          <w:tcPr>
            <w:tcW w:w="590" w:type="pct"/>
            <w:tcBorders>
              <w:top w:val="nil"/>
              <w:left w:val="single" w:sz="4" w:space="0" w:color="auto"/>
              <w:bottom w:val="single" w:sz="4" w:space="0" w:color="auto"/>
              <w:right w:val="single" w:sz="4" w:space="0" w:color="auto"/>
            </w:tcBorders>
            <w:shd w:val="clear" w:color="000000" w:fill="FFFF00"/>
            <w:noWrap/>
            <w:vAlign w:val="bottom"/>
            <w:hideMark/>
          </w:tcPr>
          <w:p w14:paraId="3FB5CCB6" w14:textId="77777777" w:rsidR="00FE461F" w:rsidRPr="005E4BEA" w:rsidRDefault="00FE461F" w:rsidP="00FE461F">
            <w:pPr>
              <w:spacing w:line="240" w:lineRule="auto"/>
              <w:rPr>
                <w:rFonts w:cs="Arial"/>
                <w:b/>
                <w:bCs/>
                <w:i/>
                <w:iCs/>
                <w:color w:val="808080" w:themeColor="background1" w:themeShade="80"/>
                <w:szCs w:val="20"/>
              </w:rPr>
            </w:pPr>
            <w:r w:rsidRPr="005E4BEA">
              <w:rPr>
                <w:rFonts w:cs="Arial"/>
                <w:b/>
                <w:bCs/>
                <w:i/>
                <w:iCs/>
                <w:color w:val="808080" w:themeColor="background1" w:themeShade="80"/>
                <w:szCs w:val="20"/>
              </w:rPr>
              <w:t>Stroškovna cena</w:t>
            </w:r>
          </w:p>
        </w:tc>
        <w:tc>
          <w:tcPr>
            <w:tcW w:w="431" w:type="pct"/>
            <w:tcBorders>
              <w:top w:val="nil"/>
              <w:left w:val="nil"/>
              <w:bottom w:val="single" w:sz="4" w:space="0" w:color="auto"/>
              <w:right w:val="single" w:sz="4" w:space="0" w:color="auto"/>
            </w:tcBorders>
            <w:shd w:val="clear" w:color="000000" w:fill="FFFF00"/>
            <w:noWrap/>
            <w:vAlign w:val="bottom"/>
            <w:hideMark/>
          </w:tcPr>
          <w:p w14:paraId="3C7B3D75" w14:textId="77777777" w:rsidR="00FE461F" w:rsidRPr="005E4BEA" w:rsidRDefault="00FE461F" w:rsidP="00FE461F">
            <w:pPr>
              <w:spacing w:line="240" w:lineRule="auto"/>
              <w:jc w:val="right"/>
              <w:rPr>
                <w:rFonts w:cs="Arial"/>
                <w:b/>
                <w:bCs/>
                <w:i/>
                <w:iCs/>
                <w:color w:val="808080" w:themeColor="background1" w:themeShade="80"/>
                <w:szCs w:val="20"/>
              </w:rPr>
            </w:pPr>
            <w:r w:rsidRPr="005E4BEA">
              <w:rPr>
                <w:rFonts w:cs="Arial"/>
                <w:b/>
                <w:bCs/>
                <w:i/>
                <w:iCs/>
                <w:color w:val="808080" w:themeColor="background1" w:themeShade="80"/>
                <w:szCs w:val="20"/>
              </w:rPr>
              <w:t>1.586,24</w:t>
            </w:r>
          </w:p>
        </w:tc>
        <w:tc>
          <w:tcPr>
            <w:tcW w:w="487" w:type="pct"/>
            <w:tcBorders>
              <w:top w:val="nil"/>
              <w:left w:val="nil"/>
              <w:bottom w:val="nil"/>
              <w:right w:val="nil"/>
            </w:tcBorders>
            <w:shd w:val="clear" w:color="auto" w:fill="auto"/>
            <w:noWrap/>
            <w:vAlign w:val="bottom"/>
            <w:hideMark/>
          </w:tcPr>
          <w:p w14:paraId="5EF17516" w14:textId="77777777" w:rsidR="00FE461F" w:rsidRPr="005E4BEA" w:rsidRDefault="00FE461F" w:rsidP="00FE461F">
            <w:pPr>
              <w:spacing w:line="240" w:lineRule="auto"/>
              <w:rPr>
                <w:rFonts w:cs="Arial"/>
                <w:i/>
                <w:iCs/>
                <w:color w:val="808080" w:themeColor="background1" w:themeShade="80"/>
                <w:szCs w:val="20"/>
              </w:rPr>
            </w:pPr>
          </w:p>
        </w:tc>
        <w:tc>
          <w:tcPr>
            <w:tcW w:w="376" w:type="pct"/>
            <w:tcBorders>
              <w:top w:val="nil"/>
              <w:left w:val="nil"/>
              <w:bottom w:val="nil"/>
              <w:right w:val="nil"/>
            </w:tcBorders>
            <w:shd w:val="clear" w:color="auto" w:fill="auto"/>
            <w:noWrap/>
            <w:vAlign w:val="bottom"/>
            <w:hideMark/>
          </w:tcPr>
          <w:p w14:paraId="7025C70C" w14:textId="77777777" w:rsidR="00FE461F" w:rsidRPr="005E4BEA" w:rsidRDefault="00FE461F" w:rsidP="00FE461F">
            <w:pPr>
              <w:spacing w:line="240" w:lineRule="auto"/>
              <w:rPr>
                <w:rFonts w:cs="Arial"/>
                <w:i/>
                <w:iCs/>
                <w:color w:val="808080" w:themeColor="background1" w:themeShade="80"/>
                <w:szCs w:val="20"/>
              </w:rPr>
            </w:pPr>
          </w:p>
        </w:tc>
        <w:tc>
          <w:tcPr>
            <w:tcW w:w="576" w:type="pct"/>
            <w:tcBorders>
              <w:top w:val="nil"/>
              <w:left w:val="nil"/>
              <w:bottom w:val="nil"/>
              <w:right w:val="nil"/>
            </w:tcBorders>
            <w:shd w:val="clear" w:color="auto" w:fill="auto"/>
            <w:noWrap/>
            <w:vAlign w:val="bottom"/>
            <w:hideMark/>
          </w:tcPr>
          <w:p w14:paraId="74521370" w14:textId="77777777" w:rsidR="00FE461F" w:rsidRPr="005E4BEA" w:rsidRDefault="00FE461F" w:rsidP="00FE461F">
            <w:pPr>
              <w:spacing w:line="240" w:lineRule="auto"/>
              <w:rPr>
                <w:rFonts w:cs="Arial"/>
                <w:i/>
                <w:iCs/>
                <w:color w:val="808080" w:themeColor="background1" w:themeShade="80"/>
                <w:szCs w:val="20"/>
              </w:rPr>
            </w:pPr>
          </w:p>
        </w:tc>
      </w:tr>
    </w:tbl>
    <w:p w14:paraId="78FD9D06" w14:textId="3854836D"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Finančna ocena: 0,476 mio €</w:t>
      </w:r>
    </w:p>
    <w:p w14:paraId="1D42BEB9" w14:textId="77777777" w:rsidR="0085180C" w:rsidRPr="005E4BEA" w:rsidRDefault="0085180C" w:rsidP="00FE461F">
      <w:pPr>
        <w:spacing w:line="240" w:lineRule="auto"/>
        <w:rPr>
          <w:rFonts w:cs="Arial"/>
          <w:i/>
          <w:iCs/>
          <w:color w:val="808080" w:themeColor="background1" w:themeShade="80"/>
          <w:szCs w:val="20"/>
        </w:rPr>
      </w:pPr>
    </w:p>
    <w:p w14:paraId="347DD622" w14:textId="11149239" w:rsidR="00FE461F" w:rsidRPr="005E4BEA" w:rsidRDefault="00FE461F" w:rsidP="00FE461F">
      <w:pPr>
        <w:spacing w:line="240" w:lineRule="auto"/>
        <w:rPr>
          <w:rFonts w:cs="Arial"/>
          <w:i/>
          <w:iCs/>
          <w:color w:val="808080" w:themeColor="background1" w:themeShade="80"/>
          <w:szCs w:val="20"/>
        </w:rPr>
      </w:pPr>
    </w:p>
    <w:p w14:paraId="1F9F885F" w14:textId="77777777" w:rsidR="0085180C" w:rsidRPr="005E4BEA" w:rsidRDefault="0085180C" w:rsidP="0085180C">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63F57D6" w14:textId="77777777" w:rsidR="0085180C" w:rsidRPr="005E4BEA" w:rsidRDefault="0085180C" w:rsidP="0085180C">
      <w:pPr>
        <w:spacing w:line="0" w:lineRule="atLeast"/>
        <w:jc w:val="both"/>
        <w:rPr>
          <w:rFonts w:eastAsia="Arial Narrow" w:cs="Arial"/>
          <w:szCs w:val="20"/>
          <w:lang w:eastAsia="sl-SI"/>
        </w:rPr>
      </w:pPr>
    </w:p>
    <w:p w14:paraId="071996D8" w14:textId="73C058D3"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in Priloga I/d Splošnega dogovora za pogodbeno leto 2022 ne spremenita.</w:t>
      </w:r>
    </w:p>
    <w:p w14:paraId="351C9BA7" w14:textId="77777777" w:rsidR="0085180C" w:rsidRPr="005E4BEA" w:rsidRDefault="0085180C" w:rsidP="0085180C">
      <w:pPr>
        <w:spacing w:line="0" w:lineRule="atLeast"/>
        <w:jc w:val="both"/>
        <w:rPr>
          <w:rFonts w:eastAsia="Arial Narrow" w:cs="Arial"/>
          <w:szCs w:val="20"/>
        </w:rPr>
      </w:pPr>
    </w:p>
    <w:p w14:paraId="7BBC97BC" w14:textId="77777777" w:rsidR="0085180C" w:rsidRPr="005E4BEA" w:rsidRDefault="0085180C" w:rsidP="0085180C">
      <w:pPr>
        <w:spacing w:line="240" w:lineRule="auto"/>
        <w:jc w:val="both"/>
        <w:rPr>
          <w:rFonts w:cs="Arial"/>
          <w:i/>
          <w:iCs/>
          <w:color w:val="808080" w:themeColor="background1" w:themeShade="80"/>
          <w:szCs w:val="20"/>
        </w:rPr>
      </w:pPr>
    </w:p>
    <w:p w14:paraId="3CF8B934" w14:textId="0AA906B3" w:rsidR="0085180C" w:rsidRPr="005E4BEA" w:rsidRDefault="0085180C"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(31)</w:t>
      </w:r>
    </w:p>
    <w:p w14:paraId="2CE5DF33" w14:textId="77777777" w:rsidR="0085180C" w:rsidRPr="005E4BEA" w:rsidRDefault="0085180C" w:rsidP="0085180C">
      <w:pPr>
        <w:spacing w:line="240" w:lineRule="auto"/>
        <w:jc w:val="both"/>
        <w:rPr>
          <w:rFonts w:cs="Arial"/>
          <w:i/>
          <w:iCs/>
          <w:color w:val="808080" w:themeColor="background1" w:themeShade="80"/>
          <w:szCs w:val="20"/>
        </w:rPr>
      </w:pPr>
    </w:p>
    <w:p w14:paraId="409248C3" w14:textId="24DAD572" w:rsidR="00FE461F" w:rsidRPr="005E4BEA" w:rsidRDefault="0085180C" w:rsidP="0085180C">
      <w:pPr>
        <w:spacing w:line="240" w:lineRule="auto"/>
        <w:jc w:val="both"/>
        <w:rPr>
          <w:rFonts w:cs="Arial"/>
          <w:szCs w:val="20"/>
        </w:rPr>
      </w:pPr>
      <w:r w:rsidRPr="005E4BEA">
        <w:rPr>
          <w:rFonts w:eastAsia="Arial Narrow" w:cs="Arial"/>
          <w:b/>
          <w:szCs w:val="20"/>
        </w:rPr>
        <w:t xml:space="preserve">Zdravniška zbornica Slovenije </w:t>
      </w:r>
      <w:r w:rsidRPr="005E4BEA">
        <w:rPr>
          <w:rFonts w:eastAsia="Arial Narrow" w:cs="Arial"/>
          <w:szCs w:val="20"/>
        </w:rPr>
        <w:t>predlaga, da se v</w:t>
      </w:r>
      <w:r w:rsidR="00FE461F" w:rsidRPr="005E4BEA">
        <w:rPr>
          <w:rFonts w:cs="Arial"/>
          <w:szCs w:val="20"/>
        </w:rPr>
        <w:t xml:space="preserve"> prvem odstavku 16. člena se doda nova točka, ki se glasi:</w:t>
      </w:r>
    </w:p>
    <w:p w14:paraId="46FE2600" w14:textId="77777777" w:rsidR="00FE461F" w:rsidRPr="005E4BEA" w:rsidRDefault="00FE461F" w:rsidP="00F356C9">
      <w:pPr>
        <w:numPr>
          <w:ilvl w:val="0"/>
          <w:numId w:val="30"/>
        </w:numPr>
        <w:spacing w:line="240" w:lineRule="auto"/>
        <w:jc w:val="both"/>
        <w:rPr>
          <w:rFonts w:eastAsiaTheme="minorHAnsi" w:cs="Arial"/>
          <w:i/>
          <w:iCs/>
          <w:szCs w:val="20"/>
        </w:rPr>
      </w:pPr>
      <w:r w:rsidRPr="005E4BEA">
        <w:rPr>
          <w:rFonts w:eastAsiaTheme="minorHAnsi" w:cs="Arial"/>
          <w:szCs w:val="20"/>
        </w:rPr>
        <w:t>RTG slikanje zob v vseh dejavnostih zobozdravstva se plačuje kot LZM</w:t>
      </w:r>
    </w:p>
    <w:p w14:paraId="1F049A94" w14:textId="77777777" w:rsidR="00FE461F" w:rsidRPr="005E4BEA" w:rsidRDefault="00FE461F" w:rsidP="00FE461F">
      <w:pPr>
        <w:spacing w:line="240" w:lineRule="auto"/>
        <w:ind w:left="720"/>
        <w:jc w:val="both"/>
        <w:rPr>
          <w:rFonts w:eastAsiaTheme="minorHAnsi" w:cs="Arial"/>
          <w:i/>
          <w:iCs/>
          <w:szCs w:val="20"/>
        </w:rPr>
      </w:pPr>
    </w:p>
    <w:p w14:paraId="0EAAEBAC" w14:textId="77777777" w:rsidR="00FE461F" w:rsidRPr="005E4BEA" w:rsidRDefault="00FE461F" w:rsidP="00FE461F">
      <w:pPr>
        <w:spacing w:before="180" w:after="60" w:line="240" w:lineRule="auto"/>
        <w:jc w:val="both"/>
        <w:rPr>
          <w:rFonts w:eastAsiaTheme="minorHAnsi" w:cs="Arial"/>
          <w:b/>
          <w:bCs/>
          <w:i/>
          <w:iCs/>
          <w:color w:val="808080" w:themeColor="background1" w:themeShade="80"/>
          <w:szCs w:val="20"/>
          <w:u w:val="single"/>
          <w:lang w:eastAsia="sl-SI"/>
        </w:rPr>
      </w:pPr>
      <w:r w:rsidRPr="005E4BEA">
        <w:rPr>
          <w:rFonts w:eastAsiaTheme="minorHAnsi" w:cs="Arial"/>
          <w:b/>
          <w:bCs/>
          <w:i/>
          <w:iCs/>
          <w:color w:val="808080" w:themeColor="background1" w:themeShade="80"/>
          <w:szCs w:val="20"/>
          <w:u w:val="single"/>
          <w:lang w:eastAsia="sl-SI"/>
        </w:rPr>
        <w:t xml:space="preserve">Obrazložitev: </w:t>
      </w:r>
    </w:p>
    <w:p w14:paraId="4E1FD90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Zaradi nizkega vrednotenja obstoječih programov zobozdravstva za odrasle in zobozdravstva za mladino predlagamo, da izvajalci zobozdravstva za odrasle in mladino RTG slikanje zob Zavodu posebej zaračunavajo. Zaradi digitalizacije RTG-ja in posledično povečanih materialnih stroškov in amortizacije (detektor - 5800 evrov letno, CR plošča - 3000 evrov letno, licenca za 1 dostop do računalniškega programa - 1500 letno, letni servis in vzdrževanje printerja za CD - 800 evrov, CD  - cena je 29000 evrov oz. 6000 evrov letno) priznane cene zdravstvenih storitev v splošnem dogovoru do sedaj niso bile povišane. Prav tako se ni povečalo pogodbeno število priznanih RTG točk zaradi nove zahteve Zavoda za povečanje uporabe RTG slikanja. </w:t>
      </w:r>
    </w:p>
    <w:p w14:paraId="36D606E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RTG slikanje je doktrinarno in z Navodili ZZZS predpisano količinsko glede na določene storitve, kar pa ni usklajeno s trenutnim cenovnim in tudi količinskim ovrednotenjem. Posledično gre izvajanje in obračunavanje RTG slikanja v škodo pacientov, saj se na ta način porablja večja kvota točk in se na ta način zmanjšuje zmožnost oskrbe večjega števila pacientov pri že tako močno zmanjšani dostopnosti do zobozdravstvene oskrbe.</w:t>
      </w:r>
    </w:p>
    <w:p w14:paraId="4BD3EDEA"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Zaradi raznolikosti dela v različnih panogah zobozdravstva in raznolikosti populacijskih potreb po oskrbi je tudi potreba po RTG slikanju različna, zato je bolj smiselno, da se obračunava po dejansko izvedenih količinah storitev v obliki LZM.</w:t>
      </w:r>
    </w:p>
    <w:p w14:paraId="1C5AF89C"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690040E7" w14:textId="77777777" w:rsidR="00FE461F" w:rsidRPr="005E4BEA" w:rsidRDefault="00FE461F" w:rsidP="00FE461F">
      <w:pPr>
        <w:spacing w:line="240" w:lineRule="auto"/>
        <w:jc w:val="both"/>
        <w:rPr>
          <w:rFonts w:eastAsiaTheme="minorHAnsi" w:cs="Arial"/>
          <w:b/>
          <w:bCs/>
          <w:szCs w:val="20"/>
          <w:lang w:eastAsia="sl-SI"/>
        </w:rPr>
      </w:pPr>
      <w:r w:rsidRPr="005E4BEA">
        <w:rPr>
          <w:rFonts w:eastAsiaTheme="minorHAnsi" w:cs="Arial"/>
          <w:i/>
          <w:iCs/>
          <w:color w:val="808080" w:themeColor="background1" w:themeShade="80"/>
          <w:szCs w:val="20"/>
        </w:rPr>
        <w:t>Finančni učinki:  3 mio EUR dodatnih sredstev.</w:t>
      </w:r>
    </w:p>
    <w:p w14:paraId="49C6BBA7" w14:textId="3E0C6F19" w:rsidR="00FE461F" w:rsidRPr="005E4BEA" w:rsidRDefault="00FE461F" w:rsidP="00FE461F">
      <w:pPr>
        <w:spacing w:line="240" w:lineRule="auto"/>
        <w:rPr>
          <w:rFonts w:cs="Arial"/>
          <w:i/>
          <w:iCs/>
          <w:color w:val="808080" w:themeColor="background1" w:themeShade="80"/>
          <w:szCs w:val="20"/>
        </w:rPr>
      </w:pPr>
    </w:p>
    <w:p w14:paraId="1AAC0EDF" w14:textId="77777777" w:rsidR="0085180C" w:rsidRPr="005E4BEA" w:rsidRDefault="0085180C" w:rsidP="0085180C">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5C332B0" w14:textId="77777777" w:rsidR="0085180C" w:rsidRPr="005E4BEA" w:rsidRDefault="0085180C" w:rsidP="0085180C">
      <w:pPr>
        <w:spacing w:line="0" w:lineRule="atLeast"/>
        <w:jc w:val="both"/>
        <w:rPr>
          <w:rFonts w:eastAsia="Arial Narrow" w:cs="Arial"/>
          <w:szCs w:val="20"/>
          <w:lang w:eastAsia="sl-SI"/>
        </w:rPr>
      </w:pPr>
    </w:p>
    <w:p w14:paraId="3C7C7430" w14:textId="26783024"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16. člen Splošnega dogovora za pogodbeno leto 2022 ne spremeni.</w:t>
      </w:r>
    </w:p>
    <w:p w14:paraId="7E0ED91C" w14:textId="77777777" w:rsidR="0085180C" w:rsidRPr="005E4BEA" w:rsidRDefault="0085180C" w:rsidP="00FE461F">
      <w:pPr>
        <w:spacing w:line="240" w:lineRule="auto"/>
        <w:rPr>
          <w:rFonts w:cs="Arial"/>
          <w:i/>
          <w:iCs/>
          <w:color w:val="808080" w:themeColor="background1" w:themeShade="80"/>
          <w:szCs w:val="20"/>
        </w:rPr>
      </w:pPr>
    </w:p>
    <w:p w14:paraId="2BD7B3E4" w14:textId="10FD5723" w:rsidR="0085180C" w:rsidRPr="005E4BEA" w:rsidRDefault="0085180C" w:rsidP="00F356C9">
      <w:pPr>
        <w:pStyle w:val="Naslov2"/>
        <w:numPr>
          <w:ilvl w:val="0"/>
          <w:numId w:val="79"/>
        </w:numPr>
        <w:ind w:left="0" w:firstLine="0"/>
        <w:rPr>
          <w:rFonts w:ascii="Arial" w:eastAsia="Arial Narrow" w:hAnsi="Arial" w:cs="Arial"/>
          <w:sz w:val="20"/>
        </w:rPr>
      </w:pPr>
      <w:bookmarkStart w:id="31" w:name="_Hlk102027099"/>
      <w:r w:rsidRPr="005E4BEA">
        <w:rPr>
          <w:rFonts w:ascii="Arial" w:eastAsia="Arial Narrow" w:hAnsi="Arial" w:cs="Arial"/>
          <w:sz w:val="20"/>
        </w:rPr>
        <w:t>SPORNO VPRAŠANJE (32)</w:t>
      </w:r>
    </w:p>
    <w:p w14:paraId="62048A7E" w14:textId="724CB148" w:rsidR="0085180C" w:rsidRPr="005E4BEA" w:rsidRDefault="0085180C" w:rsidP="0085180C">
      <w:pPr>
        <w:spacing w:line="0" w:lineRule="atLeast"/>
        <w:ind w:left="360"/>
        <w:contextualSpacing/>
        <w:jc w:val="both"/>
        <w:rPr>
          <w:rFonts w:eastAsia="Arial Narrow" w:cs="Arial"/>
          <w:bCs/>
          <w:szCs w:val="20"/>
        </w:rPr>
      </w:pPr>
    </w:p>
    <w:p w14:paraId="6589A238" w14:textId="32A0087E" w:rsidR="00FE461F" w:rsidRPr="005E4BEA" w:rsidRDefault="0085180C" w:rsidP="0085180C">
      <w:pPr>
        <w:spacing w:line="240" w:lineRule="auto"/>
        <w:jc w:val="both"/>
        <w:rPr>
          <w:rFonts w:cs="Arial"/>
          <w:bCs/>
          <w:szCs w:val="20"/>
        </w:rPr>
      </w:pPr>
      <w:r w:rsidRPr="005E4BEA">
        <w:rPr>
          <w:rFonts w:eastAsia="Arial Narrow" w:cs="Arial"/>
          <w:b/>
          <w:szCs w:val="20"/>
        </w:rPr>
        <w:t>Združenje zdravstvenih zavodov Slovenije predlaga</w:t>
      </w:r>
      <w:r w:rsidRPr="005E4BEA">
        <w:rPr>
          <w:rFonts w:eastAsia="Arial Narrow" w:cs="Arial"/>
          <w:bCs/>
          <w:szCs w:val="20"/>
        </w:rPr>
        <w:t xml:space="preserve">, da se </w:t>
      </w:r>
      <w:r w:rsidRPr="005E4BEA">
        <w:rPr>
          <w:rFonts w:cs="Arial"/>
          <w:bCs/>
          <w:szCs w:val="20"/>
        </w:rPr>
        <w:t>1</w:t>
      </w:r>
      <w:r w:rsidR="00FE461F" w:rsidRPr="005E4BEA">
        <w:rPr>
          <w:rFonts w:cs="Arial"/>
          <w:bCs/>
          <w:szCs w:val="20"/>
        </w:rPr>
        <w:t>9. člen se dopolni z novim (1) odstavkom, ki glasi:</w:t>
      </w:r>
    </w:p>
    <w:p w14:paraId="6C213E65" w14:textId="77777777" w:rsidR="00FE461F" w:rsidRPr="005E4BEA" w:rsidRDefault="00FE461F" w:rsidP="00851D8E">
      <w:pPr>
        <w:spacing w:line="240" w:lineRule="auto"/>
        <w:jc w:val="both"/>
        <w:rPr>
          <w:rFonts w:cs="Arial"/>
          <w:iCs/>
          <w:szCs w:val="20"/>
        </w:rPr>
      </w:pPr>
      <w:r w:rsidRPr="005E4BEA">
        <w:rPr>
          <w:rFonts w:cs="Arial"/>
          <w:iCs/>
          <w:szCs w:val="20"/>
        </w:rPr>
        <w:t>»(1) Sredstva za regres za prehrano se vračunajo v vrednost programov oziroma cene zdravstvenih storitev v skladu z objavo Ugotovitvenega sklepa o višini regresa za prehrano med delom za zaposlene v javnem sektorju v Uradnem listu dvakrat letno. Višina regresa za prehrano se določi v višini zakonsko določenega regresa na planiranega delavca iz ur. Namenska sredstva za regres in prehrano se v kalkulacijah prikazujejo ločeno.«</w:t>
      </w:r>
    </w:p>
    <w:p w14:paraId="526392CA" w14:textId="77777777" w:rsidR="00FE461F" w:rsidRPr="005E4BEA" w:rsidRDefault="00FE461F" w:rsidP="00851D8E">
      <w:pPr>
        <w:spacing w:line="240" w:lineRule="auto"/>
        <w:jc w:val="both"/>
        <w:rPr>
          <w:rFonts w:cs="Arial"/>
          <w:iCs/>
          <w:szCs w:val="20"/>
        </w:rPr>
      </w:pPr>
      <w:r w:rsidRPr="005E4BEA">
        <w:rPr>
          <w:rFonts w:cs="Arial"/>
          <w:iCs/>
          <w:szCs w:val="20"/>
        </w:rPr>
        <w:t>Odstavek (1) postane odstavek (2), odstavek (2) postane odstavek (3) in odstavek (3) postane odstavek (4).</w:t>
      </w:r>
    </w:p>
    <w:p w14:paraId="51033103" w14:textId="77777777" w:rsidR="00FE461F" w:rsidRPr="005E4BEA" w:rsidRDefault="00FE461F" w:rsidP="00851D8E">
      <w:pPr>
        <w:spacing w:line="240" w:lineRule="auto"/>
        <w:jc w:val="both"/>
        <w:rPr>
          <w:rFonts w:cs="Arial"/>
          <w:iCs/>
          <w:szCs w:val="20"/>
        </w:rPr>
      </w:pPr>
    </w:p>
    <w:p w14:paraId="027C33EF" w14:textId="77777777" w:rsidR="00FE461F" w:rsidRPr="005E4BEA" w:rsidRDefault="00FE461F" w:rsidP="00FE461F">
      <w:pPr>
        <w:spacing w:line="240" w:lineRule="auto"/>
        <w:rPr>
          <w:rFonts w:cs="Arial"/>
          <w:szCs w:val="20"/>
        </w:rPr>
      </w:pPr>
    </w:p>
    <w:p w14:paraId="71E10441"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06D26C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Delodajalec mora delavcu zagotoviti povračilo stroškov za prehrano med delom, kar je opredeljeno v 130. členu Zakona o delovnih razmerjih (ZDR-1), ki določa, da je delodajalec delavcu dolžan povrniti stroške v zvezi s prehrano na delu mesečno, in sicer na plačilni dan. </w:t>
      </w:r>
    </w:p>
    <w:p w14:paraId="56767AA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Pravne podlage: 130. člen ZDR-1 (Povračila stroškov v zvezi z delom):</w:t>
      </w:r>
    </w:p>
    <w:p w14:paraId="1A4D813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 Delodajalec mora delavcu zagotoviti povračilo stroškov za prehrano med delom, za prevoz na delo in z dela ter povračilo stroškov, ki jih ima pri opravljanju določenih del in nalog na službenem potovanju. </w:t>
      </w:r>
    </w:p>
    <w:p w14:paraId="2A62D53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(2) Če višina povračila stroškov v zvezi z delom ni določena s kolektivno pogodbo na ravni dejavnosti, se določi s podzakonskim aktom. </w:t>
      </w:r>
    </w:p>
    <w:p w14:paraId="2C99E48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(3) Če se zaradi razlogov na strani delavca strošek za prevoz na delo in z dela naknadno poveča, ima delavec pravico do povračila tako povečanega stroška za prevoz na delo in z dela, če je tako določeno v kolektivni pogodbi na ravni dejavnosti oziroma če se tako sporazume z delodajalcem. </w:t>
      </w:r>
    </w:p>
    <w:p w14:paraId="26E141E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 Delodajalec je dolžan delavcu povrniti stroške v zvezi z delom mesečno v skladu s 134. členom tega zakona.</w:t>
      </w:r>
    </w:p>
    <w:p w14:paraId="2AA9DE2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166. člen Zakona za uravnoteženje javnih financ (Uradni list RS, št. 40/2012) Izplačilo regresa pripada zaposlenemu za dan prisotnosti na delu, pri čemer se kot dan prisotnosti šteje osem ur. Do regresa je upravičen tudi zaposleni, ki dela več kot štiri in manj kot osem ur dnevno oziroma dela krajši delovni čas na podlagi zakona. Če zaposleni v določenem mesecu dela preko polnega delovnega časa, mu za vsakih izpolnjenih osem ur dela preko polnega delovnega časa pripada znesek regresa. V skladu z določbami aneksov h kolektivnim pogodbam dejavnosti in poklicev v javnem sektorju se višina regresa za prehrano med delom vsakih šest mesecev usklajuje z rastjo cen prehrambnih izdelkov na podlagi podatkov Statističnega urada Republike Slovenije. V Uradnem listu se objavi ugotovitveni sklep o višini regresa za prehrano med delom za zaposlene v javnem sektorju.</w:t>
      </w:r>
    </w:p>
    <w:p w14:paraId="51BBA66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obstoječih timih iz Priloge I SD 2021, ki jih v nadaljevanju izpostavljamo je razvidno, da so priznani materialni stroški v cenah zdravstvenih storitev nižji, kot je strošek regresirane prehrane </w:t>
      </w:r>
      <w:r w:rsidRPr="005E4BEA">
        <w:rPr>
          <w:rFonts w:cs="Arial"/>
          <w:i/>
          <w:iCs/>
          <w:color w:val="808080" w:themeColor="background1" w:themeShade="80"/>
          <w:szCs w:val="20"/>
        </w:rPr>
        <w:lastRenderedPageBreak/>
        <w:t>na delu in strošek prevoza na in iz dela izračunan za priznan kader iz ur. Kar dokazuje, da v materialnih stroških ni priznanega stroška regresirane prehrane na delu in prevoza na in iz dela.</w:t>
      </w:r>
    </w:p>
    <w:p w14:paraId="26EC88E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Standardi iz Priloge I SD 2021, kjer so priznani materialni stroški v cenah zdravstvenih storitev nižji, kot je obračunan strošek regresa za prehrano na delu in prevoza na in iz dela glede na priznano Število delavcev iz ur.</w:t>
      </w:r>
    </w:p>
    <w:tbl>
      <w:tblPr>
        <w:tblW w:w="90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700"/>
        <w:gridCol w:w="900"/>
        <w:gridCol w:w="1120"/>
        <w:gridCol w:w="1040"/>
        <w:gridCol w:w="1240"/>
        <w:gridCol w:w="1080"/>
      </w:tblGrid>
      <w:tr w:rsidR="00FE461F" w:rsidRPr="005E4BEA" w14:paraId="0A6A60D5" w14:textId="77777777" w:rsidTr="0016774B">
        <w:trPr>
          <w:trHeight w:val="113"/>
        </w:trPr>
        <w:tc>
          <w:tcPr>
            <w:tcW w:w="3700" w:type="dxa"/>
            <w:shd w:val="clear" w:color="000000" w:fill="FCE4D6"/>
            <w:noWrap/>
            <w:vAlign w:val="center"/>
            <w:hideMark/>
          </w:tcPr>
          <w:p w14:paraId="5B4CCF9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PRILOGA I SD 2021 - STANDARDI</w:t>
            </w:r>
          </w:p>
        </w:tc>
        <w:tc>
          <w:tcPr>
            <w:tcW w:w="900" w:type="dxa"/>
            <w:shd w:val="clear" w:color="000000" w:fill="FCE4D6"/>
            <w:vAlign w:val="center"/>
            <w:hideMark/>
          </w:tcPr>
          <w:p w14:paraId="2CC4031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Priznani kader iz ur</w:t>
            </w:r>
          </w:p>
        </w:tc>
        <w:tc>
          <w:tcPr>
            <w:tcW w:w="1120" w:type="dxa"/>
            <w:shd w:val="clear" w:color="000000" w:fill="FCE4D6"/>
            <w:vAlign w:val="center"/>
            <w:hideMark/>
          </w:tcPr>
          <w:p w14:paraId="76B71DC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Priznani materialni stroški v standardu</w:t>
            </w:r>
          </w:p>
        </w:tc>
        <w:tc>
          <w:tcPr>
            <w:tcW w:w="1040" w:type="dxa"/>
            <w:shd w:val="clear" w:color="000000" w:fill="FCE4D6"/>
            <w:vAlign w:val="center"/>
            <w:hideMark/>
          </w:tcPr>
          <w:p w14:paraId="69FF7E9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Strošek regresa za prehrano v letu 2021 884,11 €</w:t>
            </w:r>
          </w:p>
        </w:tc>
        <w:tc>
          <w:tcPr>
            <w:tcW w:w="1240" w:type="dxa"/>
            <w:shd w:val="clear" w:color="000000" w:fill="FCE4D6"/>
            <w:vAlign w:val="center"/>
            <w:hideMark/>
          </w:tcPr>
          <w:p w14:paraId="09A8526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Povprečni strošek prevoza na in iz dela v letu 2021 995,86 €</w:t>
            </w:r>
          </w:p>
        </w:tc>
        <w:tc>
          <w:tcPr>
            <w:tcW w:w="1080" w:type="dxa"/>
            <w:shd w:val="clear" w:color="000000" w:fill="FCE4D6"/>
            <w:vAlign w:val="center"/>
            <w:hideMark/>
          </w:tcPr>
          <w:p w14:paraId="196D1FD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Skupaj strošek za prehrano in prevoz glede na priznano število delavcev iz ur v standardu</w:t>
            </w:r>
          </w:p>
        </w:tc>
      </w:tr>
      <w:tr w:rsidR="00FE461F" w:rsidRPr="005E4BEA" w14:paraId="500EBC31" w14:textId="77777777" w:rsidTr="0016774B">
        <w:trPr>
          <w:trHeight w:val="113"/>
        </w:trPr>
        <w:tc>
          <w:tcPr>
            <w:tcW w:w="3700" w:type="dxa"/>
            <w:shd w:val="clear" w:color="auto" w:fill="auto"/>
            <w:noWrap/>
            <w:vAlign w:val="center"/>
            <w:hideMark/>
          </w:tcPr>
          <w:p w14:paraId="2E117EE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w:t>
            </w:r>
          </w:p>
        </w:tc>
        <w:tc>
          <w:tcPr>
            <w:tcW w:w="900" w:type="dxa"/>
            <w:shd w:val="clear" w:color="000000" w:fill="FFFFFF"/>
            <w:noWrap/>
            <w:vAlign w:val="center"/>
            <w:hideMark/>
          </w:tcPr>
          <w:p w14:paraId="703F491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w:t>
            </w:r>
          </w:p>
        </w:tc>
        <w:tc>
          <w:tcPr>
            <w:tcW w:w="1120" w:type="dxa"/>
            <w:shd w:val="clear" w:color="000000" w:fill="FFFFFF"/>
            <w:noWrap/>
            <w:vAlign w:val="center"/>
            <w:hideMark/>
          </w:tcPr>
          <w:p w14:paraId="46E43FB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w:t>
            </w:r>
          </w:p>
        </w:tc>
        <w:tc>
          <w:tcPr>
            <w:tcW w:w="1040" w:type="dxa"/>
            <w:shd w:val="clear" w:color="000000" w:fill="FFFFFF"/>
            <w:noWrap/>
            <w:vAlign w:val="center"/>
            <w:hideMark/>
          </w:tcPr>
          <w:p w14:paraId="3D6D1E3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3=1 * 884,11 €</w:t>
            </w:r>
          </w:p>
        </w:tc>
        <w:tc>
          <w:tcPr>
            <w:tcW w:w="1240" w:type="dxa"/>
            <w:shd w:val="clear" w:color="000000" w:fill="FFFFFF"/>
            <w:noWrap/>
            <w:vAlign w:val="center"/>
            <w:hideMark/>
          </w:tcPr>
          <w:p w14:paraId="1E2D939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 4 = 1 * 995,86€</w:t>
            </w:r>
          </w:p>
        </w:tc>
        <w:tc>
          <w:tcPr>
            <w:tcW w:w="1080" w:type="dxa"/>
            <w:shd w:val="clear" w:color="000000" w:fill="FFFFFF"/>
            <w:noWrap/>
            <w:vAlign w:val="center"/>
            <w:hideMark/>
          </w:tcPr>
          <w:p w14:paraId="5584507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 = 3 + 4</w:t>
            </w:r>
          </w:p>
        </w:tc>
      </w:tr>
      <w:tr w:rsidR="00FE461F" w:rsidRPr="005E4BEA" w14:paraId="2CEEEEC4" w14:textId="77777777" w:rsidTr="0016774B">
        <w:trPr>
          <w:trHeight w:val="113"/>
        </w:trPr>
        <w:tc>
          <w:tcPr>
            <w:tcW w:w="3700" w:type="dxa"/>
            <w:shd w:val="clear" w:color="000000" w:fill="FFFFFF"/>
            <w:vAlign w:val="center"/>
            <w:hideMark/>
          </w:tcPr>
          <w:p w14:paraId="6056860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Dializa V (APD)</w:t>
            </w:r>
          </w:p>
        </w:tc>
        <w:tc>
          <w:tcPr>
            <w:tcW w:w="900" w:type="dxa"/>
            <w:shd w:val="clear" w:color="000000" w:fill="FFFFFF"/>
            <w:noWrap/>
            <w:vAlign w:val="center"/>
            <w:hideMark/>
          </w:tcPr>
          <w:p w14:paraId="7260BFC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1,13</w:t>
            </w:r>
          </w:p>
        </w:tc>
        <w:tc>
          <w:tcPr>
            <w:tcW w:w="1120" w:type="dxa"/>
            <w:shd w:val="clear" w:color="000000" w:fill="FFFFFF"/>
            <w:noWrap/>
            <w:vAlign w:val="center"/>
            <w:hideMark/>
          </w:tcPr>
          <w:p w14:paraId="04A99A6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942,5</w:t>
            </w:r>
          </w:p>
        </w:tc>
        <w:tc>
          <w:tcPr>
            <w:tcW w:w="1040" w:type="dxa"/>
            <w:shd w:val="clear" w:color="auto" w:fill="auto"/>
            <w:noWrap/>
            <w:vAlign w:val="center"/>
            <w:hideMark/>
          </w:tcPr>
          <w:p w14:paraId="7994E69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999,04</w:t>
            </w:r>
          </w:p>
        </w:tc>
        <w:tc>
          <w:tcPr>
            <w:tcW w:w="1240" w:type="dxa"/>
            <w:shd w:val="clear" w:color="auto" w:fill="auto"/>
            <w:noWrap/>
            <w:vAlign w:val="center"/>
            <w:hideMark/>
          </w:tcPr>
          <w:p w14:paraId="605EF6C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1.125,32</w:t>
            </w:r>
          </w:p>
        </w:tc>
        <w:tc>
          <w:tcPr>
            <w:tcW w:w="1080" w:type="dxa"/>
            <w:shd w:val="clear" w:color="auto" w:fill="auto"/>
            <w:noWrap/>
            <w:vAlign w:val="center"/>
            <w:hideMark/>
          </w:tcPr>
          <w:p w14:paraId="362E653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2.124,37</w:t>
            </w:r>
          </w:p>
        </w:tc>
      </w:tr>
      <w:tr w:rsidR="00FE461F" w:rsidRPr="005E4BEA" w14:paraId="39EDAE2C" w14:textId="77777777" w:rsidTr="0016774B">
        <w:trPr>
          <w:trHeight w:val="113"/>
        </w:trPr>
        <w:tc>
          <w:tcPr>
            <w:tcW w:w="3700" w:type="dxa"/>
            <w:shd w:val="clear" w:color="000000" w:fill="FFFFFF"/>
            <w:vAlign w:val="center"/>
            <w:hideMark/>
          </w:tcPr>
          <w:p w14:paraId="654A969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Očesna klinika, UKC </w:t>
            </w:r>
            <w:proofErr w:type="spellStart"/>
            <w:r w:rsidRPr="005E4BEA">
              <w:rPr>
                <w:rFonts w:cs="Arial"/>
                <w:i/>
                <w:iCs/>
                <w:color w:val="808080" w:themeColor="background1" w:themeShade="80"/>
                <w:szCs w:val="20"/>
              </w:rPr>
              <w:t>Lj</w:t>
            </w:r>
            <w:proofErr w:type="spellEnd"/>
            <w:r w:rsidRPr="005E4BEA">
              <w:rPr>
                <w:rFonts w:cs="Arial"/>
                <w:i/>
                <w:iCs/>
                <w:color w:val="808080" w:themeColor="background1" w:themeShade="80"/>
                <w:szCs w:val="20"/>
              </w:rPr>
              <w:t xml:space="preserve"> - celovita rehabilitacija slepih in slabovidnih (CRSS)</w:t>
            </w:r>
          </w:p>
        </w:tc>
        <w:tc>
          <w:tcPr>
            <w:tcW w:w="900" w:type="dxa"/>
            <w:shd w:val="clear" w:color="000000" w:fill="FFFFFF"/>
            <w:noWrap/>
            <w:vAlign w:val="center"/>
            <w:hideMark/>
          </w:tcPr>
          <w:p w14:paraId="7980F4D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9,51</w:t>
            </w:r>
          </w:p>
        </w:tc>
        <w:tc>
          <w:tcPr>
            <w:tcW w:w="1120" w:type="dxa"/>
            <w:shd w:val="clear" w:color="000000" w:fill="FFFFFF"/>
            <w:noWrap/>
            <w:vAlign w:val="center"/>
            <w:hideMark/>
          </w:tcPr>
          <w:p w14:paraId="633D432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565,79</w:t>
            </w:r>
          </w:p>
        </w:tc>
        <w:tc>
          <w:tcPr>
            <w:tcW w:w="1040" w:type="dxa"/>
            <w:shd w:val="clear" w:color="auto" w:fill="auto"/>
            <w:noWrap/>
            <w:vAlign w:val="center"/>
            <w:hideMark/>
          </w:tcPr>
          <w:p w14:paraId="40461CC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8.407,89</w:t>
            </w:r>
          </w:p>
        </w:tc>
        <w:tc>
          <w:tcPr>
            <w:tcW w:w="1240" w:type="dxa"/>
            <w:shd w:val="clear" w:color="auto" w:fill="auto"/>
            <w:noWrap/>
            <w:vAlign w:val="center"/>
            <w:hideMark/>
          </w:tcPr>
          <w:p w14:paraId="5CCB414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9.470,63</w:t>
            </w:r>
          </w:p>
        </w:tc>
        <w:tc>
          <w:tcPr>
            <w:tcW w:w="1080" w:type="dxa"/>
            <w:shd w:val="clear" w:color="auto" w:fill="auto"/>
            <w:noWrap/>
            <w:vAlign w:val="center"/>
            <w:hideMark/>
          </w:tcPr>
          <w:p w14:paraId="7C934C9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17.878,51</w:t>
            </w:r>
          </w:p>
        </w:tc>
      </w:tr>
      <w:tr w:rsidR="00FE461F" w:rsidRPr="005E4BEA" w14:paraId="75523AE2" w14:textId="77777777" w:rsidTr="0016774B">
        <w:trPr>
          <w:trHeight w:val="113"/>
        </w:trPr>
        <w:tc>
          <w:tcPr>
            <w:tcW w:w="3700" w:type="dxa"/>
            <w:shd w:val="clear" w:color="000000" w:fill="FFFFFF"/>
            <w:vAlign w:val="center"/>
            <w:hideMark/>
          </w:tcPr>
          <w:p w14:paraId="6E3F90BE" w14:textId="77777777" w:rsidR="00FE461F" w:rsidRPr="005E4BEA" w:rsidRDefault="00FE461F" w:rsidP="00FE461F">
            <w:pPr>
              <w:spacing w:line="240" w:lineRule="auto"/>
              <w:jc w:val="both"/>
              <w:rPr>
                <w:rFonts w:cs="Arial"/>
                <w:i/>
                <w:iCs/>
                <w:color w:val="808080" w:themeColor="background1" w:themeShade="80"/>
                <w:szCs w:val="20"/>
              </w:rPr>
            </w:pPr>
            <w:proofErr w:type="spellStart"/>
            <w:r w:rsidRPr="005E4BEA">
              <w:rPr>
                <w:rFonts w:cs="Arial"/>
                <w:i/>
                <w:iCs/>
                <w:color w:val="808080" w:themeColor="background1" w:themeShade="80"/>
                <w:szCs w:val="20"/>
              </w:rPr>
              <w:t>Spec</w:t>
            </w:r>
            <w:proofErr w:type="spellEnd"/>
            <w:r w:rsidRPr="005E4BEA">
              <w:rPr>
                <w:rFonts w:cs="Arial"/>
                <w:i/>
                <w:iCs/>
                <w:color w:val="808080" w:themeColor="background1" w:themeShade="80"/>
                <w:szCs w:val="20"/>
              </w:rPr>
              <w:t xml:space="preserve"> - Nevrologija </w:t>
            </w:r>
          </w:p>
        </w:tc>
        <w:tc>
          <w:tcPr>
            <w:tcW w:w="900" w:type="dxa"/>
            <w:shd w:val="clear" w:color="000000" w:fill="FFFFFF"/>
            <w:noWrap/>
            <w:vAlign w:val="center"/>
            <w:hideMark/>
          </w:tcPr>
          <w:p w14:paraId="17A0C32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2,37</w:t>
            </w:r>
          </w:p>
        </w:tc>
        <w:tc>
          <w:tcPr>
            <w:tcW w:w="1120" w:type="dxa"/>
            <w:shd w:val="clear" w:color="000000" w:fill="FFFFFF"/>
            <w:noWrap/>
            <w:vAlign w:val="center"/>
            <w:hideMark/>
          </w:tcPr>
          <w:p w14:paraId="0D6BB25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3.716,56</w:t>
            </w:r>
          </w:p>
        </w:tc>
        <w:tc>
          <w:tcPr>
            <w:tcW w:w="1040" w:type="dxa"/>
            <w:shd w:val="clear" w:color="auto" w:fill="auto"/>
            <w:noWrap/>
            <w:vAlign w:val="center"/>
            <w:hideMark/>
          </w:tcPr>
          <w:p w14:paraId="77A69C0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2.095,34</w:t>
            </w:r>
          </w:p>
        </w:tc>
        <w:tc>
          <w:tcPr>
            <w:tcW w:w="1240" w:type="dxa"/>
            <w:shd w:val="clear" w:color="auto" w:fill="auto"/>
            <w:noWrap/>
            <w:vAlign w:val="center"/>
            <w:hideMark/>
          </w:tcPr>
          <w:p w14:paraId="4DBBED1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2.360,19</w:t>
            </w:r>
          </w:p>
        </w:tc>
        <w:tc>
          <w:tcPr>
            <w:tcW w:w="1080" w:type="dxa"/>
            <w:shd w:val="clear" w:color="auto" w:fill="auto"/>
            <w:noWrap/>
            <w:vAlign w:val="center"/>
            <w:hideMark/>
          </w:tcPr>
          <w:p w14:paraId="3D8368A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4.455,53</w:t>
            </w:r>
          </w:p>
        </w:tc>
      </w:tr>
      <w:tr w:rsidR="00FE461F" w:rsidRPr="005E4BEA" w14:paraId="6729FDD8" w14:textId="77777777" w:rsidTr="0016774B">
        <w:trPr>
          <w:trHeight w:val="113"/>
        </w:trPr>
        <w:tc>
          <w:tcPr>
            <w:tcW w:w="3700" w:type="dxa"/>
            <w:shd w:val="clear" w:color="000000" w:fill="FFFFFF"/>
            <w:vAlign w:val="center"/>
            <w:hideMark/>
          </w:tcPr>
          <w:p w14:paraId="6EA9F21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Dispečerska služba - ZT</w:t>
            </w:r>
          </w:p>
        </w:tc>
        <w:tc>
          <w:tcPr>
            <w:tcW w:w="900" w:type="dxa"/>
            <w:shd w:val="clear" w:color="000000" w:fill="FFFFFF"/>
            <w:noWrap/>
            <w:vAlign w:val="center"/>
            <w:hideMark/>
          </w:tcPr>
          <w:p w14:paraId="08B9AEF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5,92</w:t>
            </w:r>
          </w:p>
        </w:tc>
        <w:tc>
          <w:tcPr>
            <w:tcW w:w="1120" w:type="dxa"/>
            <w:shd w:val="clear" w:color="000000" w:fill="FFFFFF"/>
            <w:noWrap/>
            <w:vAlign w:val="center"/>
            <w:hideMark/>
          </w:tcPr>
          <w:p w14:paraId="567A9D7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9.887,53</w:t>
            </w:r>
          </w:p>
        </w:tc>
        <w:tc>
          <w:tcPr>
            <w:tcW w:w="1040" w:type="dxa"/>
            <w:shd w:val="clear" w:color="auto" w:fill="auto"/>
            <w:noWrap/>
            <w:vAlign w:val="center"/>
            <w:hideMark/>
          </w:tcPr>
          <w:p w14:paraId="38F6ABC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5.233,93</w:t>
            </w:r>
          </w:p>
        </w:tc>
        <w:tc>
          <w:tcPr>
            <w:tcW w:w="1240" w:type="dxa"/>
            <w:shd w:val="clear" w:color="auto" w:fill="auto"/>
            <w:noWrap/>
            <w:vAlign w:val="center"/>
            <w:hideMark/>
          </w:tcPr>
          <w:p w14:paraId="6A27CB5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5.895,49</w:t>
            </w:r>
          </w:p>
        </w:tc>
        <w:tc>
          <w:tcPr>
            <w:tcW w:w="1080" w:type="dxa"/>
            <w:shd w:val="clear" w:color="auto" w:fill="auto"/>
            <w:noWrap/>
            <w:vAlign w:val="center"/>
            <w:hideMark/>
          </w:tcPr>
          <w:p w14:paraId="13B0228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11.129,42</w:t>
            </w:r>
          </w:p>
        </w:tc>
      </w:tr>
      <w:tr w:rsidR="00FE461F" w:rsidRPr="005E4BEA" w14:paraId="2D62D53A" w14:textId="77777777" w:rsidTr="0016774B">
        <w:trPr>
          <w:trHeight w:val="113"/>
        </w:trPr>
        <w:tc>
          <w:tcPr>
            <w:tcW w:w="3700" w:type="dxa"/>
            <w:shd w:val="clear" w:color="000000" w:fill="FFFFFF"/>
            <w:vAlign w:val="center"/>
            <w:hideMark/>
          </w:tcPr>
          <w:p w14:paraId="50FC2F0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Dispečerska služba - zdravnik</w:t>
            </w:r>
          </w:p>
        </w:tc>
        <w:tc>
          <w:tcPr>
            <w:tcW w:w="900" w:type="dxa"/>
            <w:shd w:val="clear" w:color="000000" w:fill="FFFFFF"/>
            <w:noWrap/>
            <w:vAlign w:val="center"/>
            <w:hideMark/>
          </w:tcPr>
          <w:p w14:paraId="75A4ADB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6,35</w:t>
            </w:r>
          </w:p>
        </w:tc>
        <w:tc>
          <w:tcPr>
            <w:tcW w:w="1120" w:type="dxa"/>
            <w:shd w:val="clear" w:color="000000" w:fill="FFFFFF"/>
            <w:noWrap/>
            <w:vAlign w:val="center"/>
            <w:hideMark/>
          </w:tcPr>
          <w:p w14:paraId="49A8B8E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w:t>
            </w:r>
          </w:p>
        </w:tc>
        <w:tc>
          <w:tcPr>
            <w:tcW w:w="1040" w:type="dxa"/>
            <w:shd w:val="clear" w:color="auto" w:fill="auto"/>
            <w:noWrap/>
            <w:vAlign w:val="center"/>
            <w:hideMark/>
          </w:tcPr>
          <w:p w14:paraId="68C9EF3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5.614,10</w:t>
            </w:r>
          </w:p>
        </w:tc>
        <w:tc>
          <w:tcPr>
            <w:tcW w:w="1240" w:type="dxa"/>
            <w:shd w:val="clear" w:color="auto" w:fill="auto"/>
            <w:noWrap/>
            <w:vAlign w:val="center"/>
            <w:hideMark/>
          </w:tcPr>
          <w:p w14:paraId="25EC3DB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6.323,71</w:t>
            </w:r>
          </w:p>
        </w:tc>
        <w:tc>
          <w:tcPr>
            <w:tcW w:w="1080" w:type="dxa"/>
            <w:shd w:val="clear" w:color="auto" w:fill="auto"/>
            <w:noWrap/>
            <w:vAlign w:val="center"/>
            <w:hideMark/>
          </w:tcPr>
          <w:p w14:paraId="7308A30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11.937,81</w:t>
            </w:r>
          </w:p>
        </w:tc>
      </w:tr>
      <w:tr w:rsidR="00FE461F" w:rsidRPr="005E4BEA" w14:paraId="302B577F" w14:textId="77777777" w:rsidTr="0016774B">
        <w:trPr>
          <w:trHeight w:val="113"/>
        </w:trPr>
        <w:tc>
          <w:tcPr>
            <w:tcW w:w="3700" w:type="dxa"/>
            <w:shd w:val="clear" w:color="000000" w:fill="FFFFFF"/>
            <w:vAlign w:val="center"/>
            <w:hideMark/>
          </w:tcPr>
          <w:p w14:paraId="439AE6D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PUC pediatrična urgentna ambulanta</w:t>
            </w:r>
          </w:p>
        </w:tc>
        <w:tc>
          <w:tcPr>
            <w:tcW w:w="900" w:type="dxa"/>
            <w:shd w:val="clear" w:color="000000" w:fill="FFFFFF"/>
            <w:noWrap/>
            <w:vAlign w:val="center"/>
            <w:hideMark/>
          </w:tcPr>
          <w:p w14:paraId="2895A41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20,37</w:t>
            </w:r>
          </w:p>
        </w:tc>
        <w:tc>
          <w:tcPr>
            <w:tcW w:w="1120" w:type="dxa"/>
            <w:shd w:val="clear" w:color="000000" w:fill="FFFFFF"/>
            <w:noWrap/>
            <w:vAlign w:val="center"/>
            <w:hideMark/>
          </w:tcPr>
          <w:p w14:paraId="0FC5AB4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24370,37</w:t>
            </w:r>
          </w:p>
        </w:tc>
        <w:tc>
          <w:tcPr>
            <w:tcW w:w="1040" w:type="dxa"/>
            <w:shd w:val="clear" w:color="auto" w:fill="auto"/>
            <w:noWrap/>
            <w:vAlign w:val="center"/>
            <w:hideMark/>
          </w:tcPr>
          <w:p w14:paraId="2D47915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18.009,32</w:t>
            </w:r>
          </w:p>
        </w:tc>
        <w:tc>
          <w:tcPr>
            <w:tcW w:w="1240" w:type="dxa"/>
            <w:shd w:val="clear" w:color="auto" w:fill="auto"/>
            <w:noWrap/>
            <w:vAlign w:val="center"/>
            <w:hideMark/>
          </w:tcPr>
          <w:p w14:paraId="2DA071D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20.285,67</w:t>
            </w:r>
          </w:p>
        </w:tc>
        <w:tc>
          <w:tcPr>
            <w:tcW w:w="1080" w:type="dxa"/>
            <w:shd w:val="clear" w:color="auto" w:fill="auto"/>
            <w:noWrap/>
            <w:vAlign w:val="center"/>
            <w:hideMark/>
          </w:tcPr>
          <w:p w14:paraId="7F3BB21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38.294,99</w:t>
            </w:r>
          </w:p>
        </w:tc>
      </w:tr>
      <w:tr w:rsidR="00FE461F" w:rsidRPr="005E4BEA" w14:paraId="743532BB" w14:textId="77777777" w:rsidTr="0016774B">
        <w:trPr>
          <w:trHeight w:val="113"/>
        </w:trPr>
        <w:tc>
          <w:tcPr>
            <w:tcW w:w="3700" w:type="dxa"/>
            <w:shd w:val="clear" w:color="000000" w:fill="FFFFFF"/>
            <w:vAlign w:val="center"/>
            <w:hideMark/>
          </w:tcPr>
          <w:p w14:paraId="09C87FD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Vstopna triažna točka</w:t>
            </w:r>
          </w:p>
        </w:tc>
        <w:tc>
          <w:tcPr>
            <w:tcW w:w="900" w:type="dxa"/>
            <w:shd w:val="clear" w:color="000000" w:fill="FFFFFF"/>
            <w:noWrap/>
            <w:vAlign w:val="center"/>
            <w:hideMark/>
          </w:tcPr>
          <w:p w14:paraId="6BDC8F9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2,65</w:t>
            </w:r>
          </w:p>
        </w:tc>
        <w:tc>
          <w:tcPr>
            <w:tcW w:w="1120" w:type="dxa"/>
            <w:shd w:val="clear" w:color="000000" w:fill="FFFFFF"/>
            <w:noWrap/>
            <w:vAlign w:val="center"/>
            <w:hideMark/>
          </w:tcPr>
          <w:p w14:paraId="077CF70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0</w:t>
            </w:r>
          </w:p>
        </w:tc>
        <w:tc>
          <w:tcPr>
            <w:tcW w:w="1040" w:type="dxa"/>
            <w:shd w:val="clear" w:color="auto" w:fill="auto"/>
            <w:noWrap/>
            <w:vAlign w:val="center"/>
            <w:hideMark/>
          </w:tcPr>
          <w:p w14:paraId="601CE44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2.342,89</w:t>
            </w:r>
          </w:p>
        </w:tc>
        <w:tc>
          <w:tcPr>
            <w:tcW w:w="1240" w:type="dxa"/>
            <w:shd w:val="clear" w:color="auto" w:fill="auto"/>
            <w:noWrap/>
            <w:vAlign w:val="center"/>
            <w:hideMark/>
          </w:tcPr>
          <w:p w14:paraId="4F6DC4B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2.639,03</w:t>
            </w:r>
          </w:p>
        </w:tc>
        <w:tc>
          <w:tcPr>
            <w:tcW w:w="1080" w:type="dxa"/>
            <w:shd w:val="clear" w:color="auto" w:fill="auto"/>
            <w:noWrap/>
            <w:vAlign w:val="center"/>
            <w:hideMark/>
          </w:tcPr>
          <w:p w14:paraId="411F98C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4.981,92</w:t>
            </w:r>
          </w:p>
        </w:tc>
      </w:tr>
      <w:tr w:rsidR="00FE461F" w:rsidRPr="005E4BEA" w14:paraId="134F3971" w14:textId="77777777" w:rsidTr="0016774B">
        <w:trPr>
          <w:trHeight w:val="113"/>
        </w:trPr>
        <w:tc>
          <w:tcPr>
            <w:tcW w:w="3700" w:type="dxa"/>
            <w:shd w:val="clear" w:color="000000" w:fill="FFFFFF"/>
            <w:vAlign w:val="center"/>
            <w:hideMark/>
          </w:tcPr>
          <w:p w14:paraId="37E8165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Dispečerska služba </w:t>
            </w:r>
          </w:p>
        </w:tc>
        <w:tc>
          <w:tcPr>
            <w:tcW w:w="900" w:type="dxa"/>
            <w:shd w:val="clear" w:color="000000" w:fill="FFFFFF"/>
            <w:noWrap/>
            <w:vAlign w:val="center"/>
            <w:hideMark/>
          </w:tcPr>
          <w:p w14:paraId="5DAEACF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5,92</w:t>
            </w:r>
          </w:p>
        </w:tc>
        <w:tc>
          <w:tcPr>
            <w:tcW w:w="1120" w:type="dxa"/>
            <w:shd w:val="clear" w:color="000000" w:fill="FFFFFF"/>
            <w:noWrap/>
            <w:vAlign w:val="center"/>
            <w:hideMark/>
          </w:tcPr>
          <w:p w14:paraId="112DC4D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11.286,75</w:t>
            </w:r>
          </w:p>
        </w:tc>
        <w:tc>
          <w:tcPr>
            <w:tcW w:w="1040" w:type="dxa"/>
            <w:shd w:val="clear" w:color="auto" w:fill="auto"/>
            <w:noWrap/>
            <w:vAlign w:val="center"/>
            <w:hideMark/>
          </w:tcPr>
          <w:p w14:paraId="23E5286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5.233,93</w:t>
            </w:r>
          </w:p>
        </w:tc>
        <w:tc>
          <w:tcPr>
            <w:tcW w:w="1240" w:type="dxa"/>
            <w:shd w:val="clear" w:color="auto" w:fill="auto"/>
            <w:noWrap/>
            <w:vAlign w:val="center"/>
            <w:hideMark/>
          </w:tcPr>
          <w:p w14:paraId="294C998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5.895,49</w:t>
            </w:r>
          </w:p>
        </w:tc>
        <w:tc>
          <w:tcPr>
            <w:tcW w:w="1080" w:type="dxa"/>
            <w:shd w:val="clear" w:color="auto" w:fill="auto"/>
            <w:noWrap/>
            <w:vAlign w:val="center"/>
            <w:hideMark/>
          </w:tcPr>
          <w:p w14:paraId="7AAB28F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11.129,42</w:t>
            </w:r>
          </w:p>
        </w:tc>
      </w:tr>
      <w:tr w:rsidR="00FE461F" w:rsidRPr="005E4BEA" w14:paraId="5DE434FB" w14:textId="77777777" w:rsidTr="0016774B">
        <w:trPr>
          <w:trHeight w:val="113"/>
        </w:trPr>
        <w:tc>
          <w:tcPr>
            <w:tcW w:w="3700" w:type="dxa"/>
            <w:shd w:val="clear" w:color="000000" w:fill="FFFFFF"/>
            <w:vAlign w:val="center"/>
            <w:hideMark/>
          </w:tcPr>
          <w:p w14:paraId="615B500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Dežurna služba 4 </w:t>
            </w:r>
          </w:p>
        </w:tc>
        <w:tc>
          <w:tcPr>
            <w:tcW w:w="900" w:type="dxa"/>
            <w:shd w:val="clear" w:color="000000" w:fill="FFFFFF"/>
            <w:noWrap/>
            <w:vAlign w:val="center"/>
            <w:hideMark/>
          </w:tcPr>
          <w:p w14:paraId="071A34A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8,78</w:t>
            </w:r>
          </w:p>
        </w:tc>
        <w:tc>
          <w:tcPr>
            <w:tcW w:w="1120" w:type="dxa"/>
            <w:shd w:val="clear" w:color="000000" w:fill="FFFFFF"/>
            <w:noWrap/>
            <w:vAlign w:val="center"/>
            <w:hideMark/>
          </w:tcPr>
          <w:p w14:paraId="136293C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17.758,89</w:t>
            </w:r>
          </w:p>
        </w:tc>
        <w:tc>
          <w:tcPr>
            <w:tcW w:w="1040" w:type="dxa"/>
            <w:shd w:val="clear" w:color="auto" w:fill="auto"/>
            <w:noWrap/>
            <w:vAlign w:val="center"/>
            <w:hideMark/>
          </w:tcPr>
          <w:p w14:paraId="47CD14F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7.762,49</w:t>
            </w:r>
          </w:p>
        </w:tc>
        <w:tc>
          <w:tcPr>
            <w:tcW w:w="1240" w:type="dxa"/>
            <w:shd w:val="clear" w:color="auto" w:fill="auto"/>
            <w:noWrap/>
            <w:vAlign w:val="center"/>
            <w:hideMark/>
          </w:tcPr>
          <w:p w14:paraId="21A9F40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8.743,65</w:t>
            </w:r>
          </w:p>
        </w:tc>
        <w:tc>
          <w:tcPr>
            <w:tcW w:w="1080" w:type="dxa"/>
            <w:shd w:val="clear" w:color="auto" w:fill="auto"/>
            <w:noWrap/>
            <w:vAlign w:val="center"/>
            <w:hideMark/>
          </w:tcPr>
          <w:p w14:paraId="1002FE5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16.506,14</w:t>
            </w:r>
          </w:p>
        </w:tc>
      </w:tr>
      <w:tr w:rsidR="00FE461F" w:rsidRPr="005E4BEA" w14:paraId="1F786853" w14:textId="77777777" w:rsidTr="0016774B">
        <w:trPr>
          <w:trHeight w:val="113"/>
        </w:trPr>
        <w:tc>
          <w:tcPr>
            <w:tcW w:w="3700" w:type="dxa"/>
            <w:shd w:val="clear" w:color="000000" w:fill="FFFFFF"/>
            <w:vAlign w:val="center"/>
            <w:hideMark/>
          </w:tcPr>
          <w:p w14:paraId="16D1782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Motorno kolo</w:t>
            </w:r>
          </w:p>
        </w:tc>
        <w:tc>
          <w:tcPr>
            <w:tcW w:w="900" w:type="dxa"/>
            <w:shd w:val="clear" w:color="000000" w:fill="FFFFFF"/>
            <w:noWrap/>
            <w:vAlign w:val="center"/>
            <w:hideMark/>
          </w:tcPr>
          <w:p w14:paraId="7CFBF48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1,51</w:t>
            </w:r>
          </w:p>
        </w:tc>
        <w:tc>
          <w:tcPr>
            <w:tcW w:w="1120" w:type="dxa"/>
            <w:shd w:val="clear" w:color="000000" w:fill="FFFFFF"/>
            <w:noWrap/>
            <w:vAlign w:val="center"/>
            <w:hideMark/>
          </w:tcPr>
          <w:p w14:paraId="68E15A0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3.233,36</w:t>
            </w:r>
          </w:p>
        </w:tc>
        <w:tc>
          <w:tcPr>
            <w:tcW w:w="1040" w:type="dxa"/>
            <w:shd w:val="clear" w:color="auto" w:fill="auto"/>
            <w:noWrap/>
            <w:vAlign w:val="center"/>
            <w:hideMark/>
          </w:tcPr>
          <w:p w14:paraId="284891B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1.335,01</w:t>
            </w:r>
          </w:p>
        </w:tc>
        <w:tc>
          <w:tcPr>
            <w:tcW w:w="1240" w:type="dxa"/>
            <w:shd w:val="clear" w:color="auto" w:fill="auto"/>
            <w:noWrap/>
            <w:vAlign w:val="center"/>
            <w:hideMark/>
          </w:tcPr>
          <w:p w14:paraId="030C0AE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1.503,75</w:t>
            </w:r>
          </w:p>
        </w:tc>
        <w:tc>
          <w:tcPr>
            <w:tcW w:w="1080" w:type="dxa"/>
            <w:shd w:val="clear" w:color="auto" w:fill="auto"/>
            <w:noWrap/>
            <w:vAlign w:val="center"/>
            <w:hideMark/>
          </w:tcPr>
          <w:p w14:paraId="000A1FF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2.838,75</w:t>
            </w:r>
          </w:p>
        </w:tc>
      </w:tr>
      <w:tr w:rsidR="00FE461F" w:rsidRPr="005E4BEA" w14:paraId="3D8DBE2B" w14:textId="77777777" w:rsidTr="0016774B">
        <w:trPr>
          <w:trHeight w:val="113"/>
        </w:trPr>
        <w:tc>
          <w:tcPr>
            <w:tcW w:w="3700" w:type="dxa"/>
            <w:shd w:val="clear" w:color="000000" w:fill="FFFFFF"/>
            <w:vAlign w:val="center"/>
            <w:hideMark/>
          </w:tcPr>
          <w:p w14:paraId="694707B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Mobilna enota vozila urgentnega zdravnika</w:t>
            </w:r>
          </w:p>
        </w:tc>
        <w:tc>
          <w:tcPr>
            <w:tcW w:w="900" w:type="dxa"/>
            <w:shd w:val="clear" w:color="000000" w:fill="FFFFFF"/>
            <w:noWrap/>
            <w:vAlign w:val="center"/>
            <w:hideMark/>
          </w:tcPr>
          <w:p w14:paraId="6500095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12,03</w:t>
            </w:r>
          </w:p>
        </w:tc>
        <w:tc>
          <w:tcPr>
            <w:tcW w:w="1120" w:type="dxa"/>
            <w:shd w:val="clear" w:color="000000" w:fill="FFFFFF"/>
            <w:noWrap/>
            <w:vAlign w:val="center"/>
            <w:hideMark/>
          </w:tcPr>
          <w:p w14:paraId="4D72B7D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0</w:t>
            </w:r>
          </w:p>
        </w:tc>
        <w:tc>
          <w:tcPr>
            <w:tcW w:w="1040" w:type="dxa"/>
            <w:shd w:val="clear" w:color="auto" w:fill="auto"/>
            <w:noWrap/>
            <w:vAlign w:val="center"/>
            <w:hideMark/>
          </w:tcPr>
          <w:p w14:paraId="4503117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10.635,84</w:t>
            </w:r>
          </w:p>
        </w:tc>
        <w:tc>
          <w:tcPr>
            <w:tcW w:w="1240" w:type="dxa"/>
            <w:shd w:val="clear" w:color="auto" w:fill="auto"/>
            <w:noWrap/>
            <w:vAlign w:val="center"/>
            <w:hideMark/>
          </w:tcPr>
          <w:p w14:paraId="21C1C6B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11.980,20</w:t>
            </w:r>
          </w:p>
        </w:tc>
        <w:tc>
          <w:tcPr>
            <w:tcW w:w="1080" w:type="dxa"/>
            <w:shd w:val="clear" w:color="auto" w:fill="auto"/>
            <w:noWrap/>
            <w:vAlign w:val="center"/>
            <w:hideMark/>
          </w:tcPr>
          <w:p w14:paraId="21F1351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22.616,04</w:t>
            </w:r>
          </w:p>
        </w:tc>
      </w:tr>
      <w:tr w:rsidR="00FE461F" w:rsidRPr="005E4BEA" w14:paraId="011FD62F" w14:textId="77777777" w:rsidTr="0016774B">
        <w:trPr>
          <w:trHeight w:val="113"/>
        </w:trPr>
        <w:tc>
          <w:tcPr>
            <w:tcW w:w="3700" w:type="dxa"/>
            <w:shd w:val="clear" w:color="auto" w:fill="auto"/>
            <w:vAlign w:val="center"/>
            <w:hideMark/>
          </w:tcPr>
          <w:p w14:paraId="01C54E2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Mobilna enota dežurnega zdravnika za neodložljive hišne obiske</w:t>
            </w:r>
          </w:p>
        </w:tc>
        <w:tc>
          <w:tcPr>
            <w:tcW w:w="900" w:type="dxa"/>
            <w:shd w:val="clear" w:color="000000" w:fill="FFFFFF"/>
            <w:noWrap/>
            <w:vAlign w:val="center"/>
            <w:hideMark/>
          </w:tcPr>
          <w:p w14:paraId="0954733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5,92</w:t>
            </w:r>
          </w:p>
        </w:tc>
        <w:tc>
          <w:tcPr>
            <w:tcW w:w="1120" w:type="dxa"/>
            <w:shd w:val="clear" w:color="000000" w:fill="FFFFFF"/>
            <w:noWrap/>
            <w:vAlign w:val="center"/>
            <w:hideMark/>
          </w:tcPr>
          <w:p w14:paraId="07D56D5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0</w:t>
            </w:r>
          </w:p>
        </w:tc>
        <w:tc>
          <w:tcPr>
            <w:tcW w:w="1040" w:type="dxa"/>
            <w:shd w:val="clear" w:color="auto" w:fill="auto"/>
            <w:noWrap/>
            <w:vAlign w:val="center"/>
            <w:hideMark/>
          </w:tcPr>
          <w:p w14:paraId="21D050F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5.233,93</w:t>
            </w:r>
          </w:p>
        </w:tc>
        <w:tc>
          <w:tcPr>
            <w:tcW w:w="1240" w:type="dxa"/>
            <w:shd w:val="clear" w:color="auto" w:fill="auto"/>
            <w:noWrap/>
            <w:vAlign w:val="center"/>
            <w:hideMark/>
          </w:tcPr>
          <w:p w14:paraId="4FBF621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5.895,49</w:t>
            </w:r>
          </w:p>
        </w:tc>
        <w:tc>
          <w:tcPr>
            <w:tcW w:w="1080" w:type="dxa"/>
            <w:shd w:val="clear" w:color="auto" w:fill="auto"/>
            <w:noWrap/>
            <w:vAlign w:val="center"/>
            <w:hideMark/>
          </w:tcPr>
          <w:p w14:paraId="7C23B69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11.129,42</w:t>
            </w:r>
          </w:p>
        </w:tc>
      </w:tr>
      <w:tr w:rsidR="00FE461F" w:rsidRPr="005E4BEA" w14:paraId="2C06A5F2" w14:textId="77777777" w:rsidTr="0016774B">
        <w:trPr>
          <w:trHeight w:val="113"/>
        </w:trPr>
        <w:tc>
          <w:tcPr>
            <w:tcW w:w="3700" w:type="dxa"/>
            <w:shd w:val="clear" w:color="000000" w:fill="FFFFFF"/>
            <w:vAlign w:val="center"/>
            <w:hideMark/>
          </w:tcPr>
          <w:p w14:paraId="3D688624" w14:textId="77777777" w:rsidR="00FE461F" w:rsidRPr="005E4BEA" w:rsidRDefault="00FE461F" w:rsidP="00FE461F">
            <w:pPr>
              <w:spacing w:line="240" w:lineRule="auto"/>
              <w:jc w:val="both"/>
              <w:rPr>
                <w:rFonts w:cs="Arial"/>
                <w:i/>
                <w:iCs/>
                <w:color w:val="808080" w:themeColor="background1" w:themeShade="80"/>
                <w:szCs w:val="20"/>
              </w:rPr>
            </w:pPr>
            <w:proofErr w:type="spellStart"/>
            <w:r w:rsidRPr="005E4BEA">
              <w:rPr>
                <w:rFonts w:cs="Arial"/>
                <w:i/>
                <w:iCs/>
                <w:color w:val="808080" w:themeColor="background1" w:themeShade="80"/>
                <w:szCs w:val="20"/>
              </w:rPr>
              <w:t>Rehab</w:t>
            </w:r>
            <w:proofErr w:type="spellEnd"/>
            <w:r w:rsidRPr="005E4BEA">
              <w:rPr>
                <w:rFonts w:cs="Arial"/>
                <w:i/>
                <w:iCs/>
                <w:color w:val="808080" w:themeColor="background1" w:themeShade="80"/>
                <w:szCs w:val="20"/>
              </w:rPr>
              <w:t>. po pridobljeni možganski poškodbi - CUDV Dornava</w:t>
            </w:r>
          </w:p>
        </w:tc>
        <w:tc>
          <w:tcPr>
            <w:tcW w:w="900" w:type="dxa"/>
            <w:shd w:val="clear" w:color="000000" w:fill="FFFFFF"/>
            <w:noWrap/>
            <w:vAlign w:val="center"/>
            <w:hideMark/>
          </w:tcPr>
          <w:p w14:paraId="6DEEEE5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2,22</w:t>
            </w:r>
          </w:p>
        </w:tc>
        <w:tc>
          <w:tcPr>
            <w:tcW w:w="1120" w:type="dxa"/>
            <w:shd w:val="clear" w:color="000000" w:fill="FFFFFF"/>
            <w:noWrap/>
            <w:vAlign w:val="center"/>
            <w:hideMark/>
          </w:tcPr>
          <w:p w14:paraId="023A6E0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3.860,05</w:t>
            </w:r>
          </w:p>
        </w:tc>
        <w:tc>
          <w:tcPr>
            <w:tcW w:w="1040" w:type="dxa"/>
            <w:shd w:val="clear" w:color="auto" w:fill="auto"/>
            <w:noWrap/>
            <w:vAlign w:val="center"/>
            <w:hideMark/>
          </w:tcPr>
          <w:p w14:paraId="169CB8A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1.962,72</w:t>
            </w:r>
          </w:p>
        </w:tc>
        <w:tc>
          <w:tcPr>
            <w:tcW w:w="1240" w:type="dxa"/>
            <w:shd w:val="clear" w:color="auto" w:fill="auto"/>
            <w:noWrap/>
            <w:vAlign w:val="center"/>
            <w:hideMark/>
          </w:tcPr>
          <w:p w14:paraId="1565711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2.210,81</w:t>
            </w:r>
          </w:p>
        </w:tc>
        <w:tc>
          <w:tcPr>
            <w:tcW w:w="1080" w:type="dxa"/>
            <w:shd w:val="clear" w:color="auto" w:fill="auto"/>
            <w:noWrap/>
            <w:vAlign w:val="center"/>
            <w:hideMark/>
          </w:tcPr>
          <w:p w14:paraId="6FAF1D5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4.173,53</w:t>
            </w:r>
          </w:p>
        </w:tc>
      </w:tr>
      <w:tr w:rsidR="00FE461F" w:rsidRPr="005E4BEA" w14:paraId="6120372D" w14:textId="77777777" w:rsidTr="0016774B">
        <w:trPr>
          <w:trHeight w:val="113"/>
        </w:trPr>
        <w:tc>
          <w:tcPr>
            <w:tcW w:w="3700" w:type="dxa"/>
            <w:shd w:val="clear" w:color="000000" w:fill="FFFFFF"/>
            <w:vAlign w:val="center"/>
            <w:hideMark/>
          </w:tcPr>
          <w:p w14:paraId="1619061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Obravnava otrok z motnjami v </w:t>
            </w:r>
            <w:proofErr w:type="spellStart"/>
            <w:r w:rsidRPr="005E4BEA">
              <w:rPr>
                <w:rFonts w:cs="Arial"/>
                <w:i/>
                <w:iCs/>
                <w:color w:val="808080" w:themeColor="background1" w:themeShade="80"/>
                <w:szCs w:val="20"/>
              </w:rPr>
              <w:t>duš.razvoju</w:t>
            </w:r>
            <w:proofErr w:type="spellEnd"/>
            <w:r w:rsidRPr="005E4BEA">
              <w:rPr>
                <w:rFonts w:cs="Arial"/>
                <w:i/>
                <w:iCs/>
                <w:color w:val="808080" w:themeColor="background1" w:themeShade="80"/>
                <w:szCs w:val="20"/>
              </w:rPr>
              <w:t xml:space="preserve"> -CUDV </w:t>
            </w:r>
          </w:p>
        </w:tc>
        <w:tc>
          <w:tcPr>
            <w:tcW w:w="900" w:type="dxa"/>
            <w:shd w:val="clear" w:color="000000" w:fill="FFFFFF"/>
            <w:noWrap/>
            <w:vAlign w:val="center"/>
            <w:hideMark/>
          </w:tcPr>
          <w:p w14:paraId="590A62C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8,25</w:t>
            </w:r>
          </w:p>
        </w:tc>
        <w:tc>
          <w:tcPr>
            <w:tcW w:w="1120" w:type="dxa"/>
            <w:shd w:val="clear" w:color="000000" w:fill="FFFFFF"/>
            <w:noWrap/>
            <w:vAlign w:val="center"/>
            <w:hideMark/>
          </w:tcPr>
          <w:p w14:paraId="7E7CA41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1.769,78</w:t>
            </w:r>
          </w:p>
        </w:tc>
        <w:tc>
          <w:tcPr>
            <w:tcW w:w="1040" w:type="dxa"/>
            <w:shd w:val="clear" w:color="auto" w:fill="auto"/>
            <w:noWrap/>
            <w:vAlign w:val="center"/>
            <w:hideMark/>
          </w:tcPr>
          <w:p w14:paraId="0EAFF5D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7.293,91</w:t>
            </w:r>
          </w:p>
        </w:tc>
        <w:tc>
          <w:tcPr>
            <w:tcW w:w="1240" w:type="dxa"/>
            <w:shd w:val="clear" w:color="auto" w:fill="auto"/>
            <w:noWrap/>
            <w:vAlign w:val="center"/>
            <w:hideMark/>
          </w:tcPr>
          <w:p w14:paraId="0F776A7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8.215,85</w:t>
            </w:r>
          </w:p>
        </w:tc>
        <w:tc>
          <w:tcPr>
            <w:tcW w:w="1080" w:type="dxa"/>
            <w:shd w:val="clear" w:color="auto" w:fill="auto"/>
            <w:noWrap/>
            <w:vAlign w:val="center"/>
            <w:hideMark/>
          </w:tcPr>
          <w:p w14:paraId="733C088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15.509,75</w:t>
            </w:r>
          </w:p>
        </w:tc>
      </w:tr>
    </w:tbl>
    <w:p w14:paraId="2BF1973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Iz računovodskega vidika se morajo stroški povračila stroškov regresirane prehrane in prevoza na delo evidentirani v poslovnih knjigah med stroški dela (konto 464) kar pomeni, da morajo biti vsebinsko sestavni v kalkulacijah cen zdravstvenih storitev v okviru plač. Med stroški dela v </w:t>
      </w:r>
      <w:proofErr w:type="spellStart"/>
      <w:r w:rsidRPr="005E4BEA">
        <w:rPr>
          <w:rFonts w:cs="Arial"/>
          <w:i/>
          <w:iCs/>
          <w:color w:val="808080" w:themeColor="background1" w:themeShade="80"/>
          <w:szCs w:val="20"/>
        </w:rPr>
        <w:t>kalkulativnem</w:t>
      </w:r>
      <w:proofErr w:type="spellEnd"/>
      <w:r w:rsidRPr="005E4BEA">
        <w:rPr>
          <w:rFonts w:cs="Arial"/>
          <w:i/>
          <w:iCs/>
          <w:color w:val="808080" w:themeColor="background1" w:themeShade="80"/>
          <w:szCs w:val="20"/>
        </w:rPr>
        <w:t xml:space="preserve"> elementu cen ti stroški niso nikjer zajeti, zato cene storitev niso oblikovane v skladu z zakonskimi določili in jih je potrebno urediti sistemsko v vseh cenah zdravstvenih storitev. Zato Združenje predlaga sistemsko rešitev za Aneks št. 1 k Splošnem dogovoru 2021.</w:t>
      </w:r>
    </w:p>
    <w:tbl>
      <w:tblPr>
        <w:tblW w:w="9336" w:type="dxa"/>
        <w:tblCellMar>
          <w:left w:w="70" w:type="dxa"/>
          <w:right w:w="70" w:type="dxa"/>
        </w:tblCellMar>
        <w:tblLook w:val="04A0" w:firstRow="1" w:lastRow="0" w:firstColumn="1" w:lastColumn="0" w:noHBand="0" w:noVBand="1"/>
      </w:tblPr>
      <w:tblGrid>
        <w:gridCol w:w="674"/>
        <w:gridCol w:w="5133"/>
        <w:gridCol w:w="1420"/>
        <w:gridCol w:w="1030"/>
        <w:gridCol w:w="1316"/>
      </w:tblGrid>
      <w:tr w:rsidR="00FE461F" w:rsidRPr="005E4BEA" w14:paraId="33D5E3A9" w14:textId="77777777" w:rsidTr="0016774B">
        <w:trPr>
          <w:trHeight w:val="203"/>
        </w:trPr>
        <w:tc>
          <w:tcPr>
            <w:tcW w:w="9336" w:type="dxa"/>
            <w:gridSpan w:val="5"/>
            <w:tcBorders>
              <w:top w:val="nil"/>
              <w:left w:val="nil"/>
              <w:bottom w:val="single" w:sz="4" w:space="0" w:color="808080" w:themeColor="background1" w:themeShade="80"/>
              <w:right w:val="nil"/>
            </w:tcBorders>
            <w:shd w:val="clear" w:color="auto" w:fill="auto"/>
            <w:noWrap/>
            <w:vAlign w:val="bottom"/>
            <w:hideMark/>
          </w:tcPr>
          <w:p w14:paraId="6E43A32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STROŠKI REGRESIRANE PREHRANE MED DELOM IN PREVOZA NA IN Z DELA izplačani v skladu s 130. členom ZDR-1</w:t>
            </w:r>
          </w:p>
        </w:tc>
      </w:tr>
      <w:tr w:rsidR="00FE461F" w:rsidRPr="005E4BEA" w14:paraId="4CD791AD" w14:textId="77777777" w:rsidTr="0016774B">
        <w:trPr>
          <w:trHeight w:val="151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8B869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LETO </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16B616A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Bolnišnica/zdravstveni dom/ostalo</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6290FF4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Letni stroški prehrane med delom v EUR</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6F9E407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Po pogodbi z ZZZS št. priznani kader iz ur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251C619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Povprečni letni strošek prehrane med delom/ na po pogodbi z ZZZS št. priznanega kadra iz ur v EUR </w:t>
            </w:r>
          </w:p>
        </w:tc>
      </w:tr>
      <w:tr w:rsidR="00FE461F" w:rsidRPr="005E4BEA" w14:paraId="6FA63AB0"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4FC74D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641A16A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57E4866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4</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7505B11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8</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76672FE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10=4/8</w:t>
            </w:r>
          </w:p>
        </w:tc>
      </w:tr>
      <w:tr w:rsidR="00FE461F" w:rsidRPr="005E4BEA" w14:paraId="506E6DC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726569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lastRenderedPageBreak/>
              <w:t> </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74D3D06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7CEF673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0758B5B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7140725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r>
      <w:tr w:rsidR="00FE461F" w:rsidRPr="005E4BEA" w14:paraId="75B0312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776824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870917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Osnovno zdravstvo Gorenjske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8A75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749.352,55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C4CAB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977,15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3A1EA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766,88 </w:t>
            </w:r>
          </w:p>
        </w:tc>
      </w:tr>
      <w:tr w:rsidR="00FE461F" w:rsidRPr="005E4BEA" w14:paraId="0CE6418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359E69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AF0888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BREŽICE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B249B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98.064,33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C2741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111,21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0ECF0F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881,79 </w:t>
            </w:r>
          </w:p>
        </w:tc>
      </w:tr>
      <w:tr w:rsidR="00FE461F" w:rsidRPr="005E4BEA" w14:paraId="66C9B06A"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86C982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917092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CELJE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C630E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330.563,18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54EAF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349,94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6AC30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944,63 </w:t>
            </w:r>
          </w:p>
        </w:tc>
      </w:tr>
      <w:tr w:rsidR="00FE461F" w:rsidRPr="005E4BEA" w14:paraId="37C52D7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281B9E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5C5EC9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CERKNICA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51271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73.623,00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FAAD60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80,65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7E2182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912,87 </w:t>
            </w:r>
          </w:p>
        </w:tc>
      </w:tr>
      <w:tr w:rsidR="00FE461F" w:rsidRPr="005E4BEA" w14:paraId="6C74326F"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26E08F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25AEAA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DOMŽALE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E923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175.807,18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F0B367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239,15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C351B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735,13 </w:t>
            </w:r>
          </w:p>
        </w:tc>
      </w:tr>
      <w:tr w:rsidR="00FE461F" w:rsidRPr="005E4BEA" w14:paraId="0BFF984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0BFC40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7D1577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DRAVOGRAD</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515CF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26.686,98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D81F1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31,00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E2E299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860,87 </w:t>
            </w:r>
          </w:p>
        </w:tc>
      </w:tr>
      <w:tr w:rsidR="00FE461F" w:rsidRPr="005E4BEA" w14:paraId="6B108505"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78265C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087C97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GORNJA RADGONA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4938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104.931,00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7F6E4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107,63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5A7A27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974,92 </w:t>
            </w:r>
          </w:p>
        </w:tc>
      </w:tr>
      <w:tr w:rsidR="00FE461F" w:rsidRPr="005E4BEA" w14:paraId="195E1CA1"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3CC103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6961FE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GROSUPLJE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530E1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95.422,80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4FE66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110,89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5473F9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860,52 </w:t>
            </w:r>
          </w:p>
        </w:tc>
      </w:tr>
      <w:tr w:rsidR="00FE461F" w:rsidRPr="005E4BEA" w14:paraId="7D6978C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A7D117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B151A2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HRASTNIK</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398AB3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37.742,59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ED82E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43,22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CC284B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873,27 </w:t>
            </w:r>
          </w:p>
        </w:tc>
      </w:tr>
      <w:tr w:rsidR="00FE461F" w:rsidRPr="005E4BEA" w14:paraId="2279E1D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24B729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377CDE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IDRIJA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2379A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89.945,38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9FEC7D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116,03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E4685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775,19 </w:t>
            </w:r>
          </w:p>
        </w:tc>
      </w:tr>
      <w:tr w:rsidR="00FE461F" w:rsidRPr="005E4BEA" w14:paraId="0A019EE3"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8D9F25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C31AE8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ILIRSKA BISTRICA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901EF4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61.406,00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45360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91,13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C36B6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673,83 </w:t>
            </w:r>
          </w:p>
        </w:tc>
      </w:tr>
      <w:tr w:rsidR="00FE461F" w:rsidRPr="005E4BEA" w14:paraId="64956609"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B3926E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A9768B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IVANČNA GORICA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989F1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59.932,68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31D716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64,18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B937FA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933,82 </w:t>
            </w:r>
          </w:p>
        </w:tc>
      </w:tr>
      <w:tr w:rsidR="00FE461F" w:rsidRPr="005E4BEA" w14:paraId="366E064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27859F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E20F5E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KAMNIK</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86AB9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139.134,83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70648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152,46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0CDE8F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912,60 </w:t>
            </w:r>
          </w:p>
        </w:tc>
      </w:tr>
      <w:tr w:rsidR="00FE461F" w:rsidRPr="005E4BEA" w14:paraId="39F144D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5F2E3A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21430B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KOČEVJE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9CEAE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67.822,33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EBF89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95,00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0AC381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713,92 </w:t>
            </w:r>
          </w:p>
        </w:tc>
      </w:tr>
      <w:tr w:rsidR="00FE461F" w:rsidRPr="005E4BEA" w14:paraId="50CB4C7D"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7EACE8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60337B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KOPER</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7D336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189.538,98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229108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227,09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C6B709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834,64 </w:t>
            </w:r>
          </w:p>
        </w:tc>
      </w:tr>
      <w:tr w:rsidR="00FE461F" w:rsidRPr="005E4BEA" w14:paraId="7E69190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242260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EB9095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KRŠKO</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BA76C8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132.043,66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0FB33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147,66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FF112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894,24 </w:t>
            </w:r>
          </w:p>
        </w:tc>
      </w:tr>
      <w:tr w:rsidR="00FE461F" w:rsidRPr="005E4BEA" w14:paraId="2E7F3599"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0F2141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1FA45A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LENDAVA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94FA6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93.685,80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FB7815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113,90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DE8FE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822,53 </w:t>
            </w:r>
          </w:p>
        </w:tc>
      </w:tr>
      <w:tr w:rsidR="00FE461F" w:rsidRPr="005E4BEA" w14:paraId="4A3C19C4"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13806F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D714B5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LITIJA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6509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72.861,73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33D1D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95,40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006A6D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763,75 </w:t>
            </w:r>
          </w:p>
        </w:tc>
      </w:tr>
      <w:tr w:rsidR="00FE461F" w:rsidRPr="005E4BEA" w14:paraId="02582910"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EB557E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DFB3C9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LJUTOMER</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A508C3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81.991,74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F20745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92,01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B1B535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891,12 </w:t>
            </w:r>
          </w:p>
        </w:tc>
      </w:tr>
      <w:tr w:rsidR="00FE461F" w:rsidRPr="005E4BEA" w14:paraId="024D4E33"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B2C0E1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425B34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LOGATEC</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5B34E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83.056,00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7093A2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95,04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808BD2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873,91 </w:t>
            </w:r>
          </w:p>
        </w:tc>
      </w:tr>
      <w:tr w:rsidR="00FE461F" w:rsidRPr="005E4BEA" w14:paraId="5D045F4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ABDA38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836C02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MEDVODE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77616F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53.124,00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85C05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64,00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D4CF9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830,06 </w:t>
            </w:r>
          </w:p>
        </w:tc>
      </w:tr>
      <w:tr w:rsidR="00FE461F" w:rsidRPr="005E4BEA" w14:paraId="400E99E6"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BC8070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3C16D8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METLIKA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93CEC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40.515,06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70700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53,73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F85836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754,05 </w:t>
            </w:r>
          </w:p>
        </w:tc>
      </w:tr>
      <w:tr w:rsidR="00FE461F" w:rsidRPr="005E4BEA" w14:paraId="28A9BDBB"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B32EF1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C0AF35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MURSKA SOBOTA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B26FE7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257.213,00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FDFB1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308,69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796A0F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833,24 </w:t>
            </w:r>
          </w:p>
        </w:tc>
      </w:tr>
      <w:tr w:rsidR="00FE461F" w:rsidRPr="005E4BEA" w14:paraId="363DE7E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2E089E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B1703A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NOVA GORICA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CF452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223.727,00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154A8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252,03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FD840E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887,70 </w:t>
            </w:r>
          </w:p>
        </w:tc>
      </w:tr>
      <w:tr w:rsidR="00FE461F" w:rsidRPr="005E4BEA" w14:paraId="4D7CBDEE"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FF685E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7BA17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NOVO MESTO</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EF4FF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242.712,51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DC88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293,81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667F70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826,09 </w:t>
            </w:r>
          </w:p>
        </w:tc>
      </w:tr>
      <w:tr w:rsidR="00FE461F" w:rsidRPr="005E4BEA" w14:paraId="1DEA65BE"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58F2D0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0BE352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ORMOŽ</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0A4F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88.688,73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2A3054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110,52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30EE81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802,47 </w:t>
            </w:r>
          </w:p>
        </w:tc>
      </w:tr>
      <w:tr w:rsidR="00FE461F" w:rsidRPr="005E4BEA" w14:paraId="26896E2A"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44DE41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B343DC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POSTOJNA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335CC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80.557,92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37A21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94,13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F518C8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855,82 </w:t>
            </w:r>
          </w:p>
        </w:tc>
      </w:tr>
      <w:tr w:rsidR="00FE461F" w:rsidRPr="005E4BEA" w14:paraId="3779F1BB"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154079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FB5016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JZ ZD PTUJ</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E02BC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195.473,08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16E1D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251,41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AE3FD5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777,51 </w:t>
            </w:r>
          </w:p>
        </w:tc>
      </w:tr>
      <w:tr w:rsidR="00FE461F" w:rsidRPr="005E4BEA" w14:paraId="70D3066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C3B5C9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C5BD58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RADLJE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1BC9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50.229,00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71F5FB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50,00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9A8EE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1.004,58 </w:t>
            </w:r>
          </w:p>
        </w:tc>
      </w:tr>
      <w:tr w:rsidR="00FE461F" w:rsidRPr="005E4BEA" w14:paraId="56AFD5F9"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AA9B66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BC823C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RAVNE NA KOROŠKEM</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115B4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119.950,50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CE70E9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128,69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7280E0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932,09 </w:t>
            </w:r>
          </w:p>
        </w:tc>
      </w:tr>
      <w:tr w:rsidR="00FE461F" w:rsidRPr="005E4BEA" w14:paraId="02AD5158" w14:textId="77777777" w:rsidTr="0016774B">
        <w:trPr>
          <w:trHeight w:val="184"/>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2B095C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B6F222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RIBNICA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7EF03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73.416,54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D330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92,51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9F7636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793,61 </w:t>
            </w:r>
          </w:p>
        </w:tc>
      </w:tr>
      <w:tr w:rsidR="00FE461F" w:rsidRPr="005E4BEA" w14:paraId="403D402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E16582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A4109C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SEVNICA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20922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96.289,87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8929B0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122,57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B517D3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785,59 </w:t>
            </w:r>
          </w:p>
        </w:tc>
      </w:tr>
      <w:tr w:rsidR="00FE461F" w:rsidRPr="005E4BEA" w14:paraId="44A57775"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8D3199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588C41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SEŽANA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AD870B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105.219,79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C68F0B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137,17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0E6E32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767,08 </w:t>
            </w:r>
          </w:p>
        </w:tc>
      </w:tr>
      <w:tr w:rsidR="00FE461F" w:rsidRPr="005E4BEA" w14:paraId="592D8B2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AE49BF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F414CF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SLOV. KONJICE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7329CF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68.783,29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BBB6AA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81,03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FF806E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848,86 </w:t>
            </w:r>
          </w:p>
        </w:tc>
      </w:tr>
      <w:tr w:rsidR="00FE461F" w:rsidRPr="005E4BEA" w14:paraId="7FF9615B"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340630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825150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SLOV. BISTRICA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A3D0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107.033,76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7F081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116,47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86619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918,98 </w:t>
            </w:r>
          </w:p>
        </w:tc>
      </w:tr>
      <w:tr w:rsidR="00FE461F" w:rsidRPr="005E4BEA" w14:paraId="414D7BC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D18D8C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5D40C90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ŠENTJUR</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6C9B4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55.435,37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8E0A8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72,85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23689B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760,95 </w:t>
            </w:r>
          </w:p>
        </w:tc>
      </w:tr>
      <w:tr w:rsidR="00FE461F" w:rsidRPr="005E4BEA" w14:paraId="7FF09B76"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491924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FA473B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ŠMARJE PRI JELŠAH</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2F93FB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116.973,26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F0DA3A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149,66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94BE72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781,59 </w:t>
            </w:r>
          </w:p>
        </w:tc>
      </w:tr>
      <w:tr w:rsidR="00FE461F" w:rsidRPr="005E4BEA" w14:paraId="505BB8B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C88F03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C74024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TOLMIN</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888CF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118.072,00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95203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143,44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201F68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823,15 </w:t>
            </w:r>
          </w:p>
        </w:tc>
      </w:tr>
      <w:tr w:rsidR="00FE461F" w:rsidRPr="005E4BEA" w14:paraId="7974B32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9CA215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A6CFC4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TRBOVLJE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21770E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115.244,29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526B5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129,22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CEBB46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891,85 </w:t>
            </w:r>
          </w:p>
        </w:tc>
      </w:tr>
      <w:tr w:rsidR="00FE461F" w:rsidRPr="005E4BEA" w14:paraId="5FA910DB"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D0AA49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C58BCD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TREBNJE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352A19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92.285,59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0CD02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116,96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A9B376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789,04 </w:t>
            </w:r>
          </w:p>
        </w:tc>
      </w:tr>
      <w:tr w:rsidR="00FE461F" w:rsidRPr="005E4BEA" w14:paraId="4AD178AD"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3F8825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FAE1DB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VELENJE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B635D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282.186,01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A3D575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293,61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E4BBE5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961,09 </w:t>
            </w:r>
          </w:p>
        </w:tc>
      </w:tr>
      <w:tr w:rsidR="00FE461F" w:rsidRPr="005E4BEA" w14:paraId="133BCBE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10F6EB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8177BE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VRHNIKA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FA59A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65.022,04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4EA0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83,43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56D755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779,36 </w:t>
            </w:r>
          </w:p>
        </w:tc>
      </w:tr>
      <w:tr w:rsidR="00FE461F" w:rsidRPr="005E4BEA" w14:paraId="52FFAD2A"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80AE87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5585CF6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ZA ŠTUDENTE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971EA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41.787,00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22ABE1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54,29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CCB6C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769,70 </w:t>
            </w:r>
          </w:p>
        </w:tc>
      </w:tr>
      <w:tr w:rsidR="00FE461F" w:rsidRPr="005E4BEA" w14:paraId="56A613F6"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5A2FE3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900967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ZAGORJE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9A574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62.680,02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135A7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65,45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3837ED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957,68 </w:t>
            </w:r>
          </w:p>
        </w:tc>
      </w:tr>
      <w:tr w:rsidR="00FE461F" w:rsidRPr="005E4BEA" w14:paraId="0620FAAD"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C58A8F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058164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ZDZV NOVA GORICA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5C75B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69.840,76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1DD7D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93,48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FEDF01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747,12 </w:t>
            </w:r>
          </w:p>
        </w:tc>
      </w:tr>
      <w:tr w:rsidR="00FE461F" w:rsidRPr="005E4BEA" w14:paraId="18B4CDDB"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A3D818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49F319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ŽALEC</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3D8ED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77.027,21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9DE86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83,88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2E8D15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918,30 </w:t>
            </w:r>
          </w:p>
        </w:tc>
      </w:tr>
      <w:tr w:rsidR="00FE461F" w:rsidRPr="005E4BEA" w14:paraId="5967DDF4"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B4A01B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1304A9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ZRCK</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4AAEBA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71.132,23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C1F739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83,08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DA1F60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856,19 </w:t>
            </w:r>
          </w:p>
        </w:tc>
      </w:tr>
      <w:tr w:rsidR="00FE461F" w:rsidRPr="005E4BEA" w14:paraId="20E450F5"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0BAC61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84D274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ŽELEZNIŠKI ZD</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2E8DC5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70.974,80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5992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79,00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96132B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898,42 </w:t>
            </w:r>
          </w:p>
        </w:tc>
      </w:tr>
      <w:tr w:rsidR="00FE461F" w:rsidRPr="005E4BEA" w14:paraId="0D4E323A"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20287D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6213B5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ZD SLOVENJ GRADEC </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3EE26F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80.552,49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5A7C1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84,00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45789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958,96 </w:t>
            </w:r>
          </w:p>
        </w:tc>
      </w:tr>
      <w:tr w:rsidR="00FE461F" w:rsidRPr="005E4BEA" w14:paraId="117D3EE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BE9A0C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CC8E31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ČRNOMELJ</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BD583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88.862,00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7EE859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106,00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8871A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838,32 </w:t>
            </w:r>
          </w:p>
        </w:tc>
      </w:tr>
      <w:tr w:rsidR="00FE461F" w:rsidRPr="005E4BEA" w14:paraId="009101AF"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CE2197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8F7373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MARIBOR</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F0DAB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764.361,00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A7326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811,00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E9B22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942,49 </w:t>
            </w:r>
          </w:p>
        </w:tc>
      </w:tr>
      <w:tr w:rsidR="00FE461F" w:rsidRPr="005E4BEA" w14:paraId="6BBDFEDD"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5FA598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04AABA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AJDOVŠČINA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A6F4E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107.631,36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0E7C0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127,96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9B97B5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841,13 </w:t>
            </w:r>
          </w:p>
        </w:tc>
      </w:tr>
      <w:tr w:rsidR="00FE461F" w:rsidRPr="005E4BEA" w14:paraId="61C43C86"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2E755F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D93A3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PIRAN</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9C5D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50.118,42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AF5C7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53,85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A7B284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930,70 </w:t>
            </w:r>
          </w:p>
        </w:tc>
      </w:tr>
      <w:tr w:rsidR="00FE461F" w:rsidRPr="005E4BEA" w14:paraId="2CA5D97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052C4B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251406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B CZBO </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22071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49.571,53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AC63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54,71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D7C827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906,08 </w:t>
            </w:r>
          </w:p>
        </w:tc>
      </w:tr>
      <w:tr w:rsidR="00FE461F" w:rsidRPr="005E4BEA" w14:paraId="11E22E31"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195442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lastRenderedPageBreak/>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665ACA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BGP KRANJ</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59C18D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106.605,00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070E79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121,94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671414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874,24 </w:t>
            </w:r>
          </w:p>
        </w:tc>
      </w:tr>
      <w:tr w:rsidR="00FE461F" w:rsidRPr="005E4BEA" w14:paraId="0ADD2A6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D12C8C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4AD058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SEŽANA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BA15B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128.850,84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DECE4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138,30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39BCB9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931,68 </w:t>
            </w:r>
          </w:p>
        </w:tc>
      </w:tr>
      <w:tr w:rsidR="00FE461F" w:rsidRPr="005E4BEA" w14:paraId="2F5F5B57"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1AFA7A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ABE7D8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TOPOLŠICA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E2FDD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198.395,06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31BBE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199,40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A01BA9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994,96 </w:t>
            </w:r>
          </w:p>
        </w:tc>
      </w:tr>
      <w:tr w:rsidR="00FE461F" w:rsidRPr="005E4BEA" w14:paraId="48BAD86F"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83FEC7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75EDB6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KLINIKA GOLNIK</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14FB4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402.070,00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8F8B7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408,02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89EA20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985,42 </w:t>
            </w:r>
          </w:p>
        </w:tc>
      </w:tr>
      <w:tr w:rsidR="00FE461F" w:rsidRPr="005E4BEA" w14:paraId="624E6365"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30DF7C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9E6BAB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OI LJUBLJANA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961E9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928.294,39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20DA2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1.031,39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45DECB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900,04 </w:t>
            </w:r>
          </w:p>
        </w:tc>
      </w:tr>
      <w:tr w:rsidR="00FE461F" w:rsidRPr="005E4BEA" w14:paraId="451ADAA6"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44807C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A5E972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PB ORMOŽ</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9D9D92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125.650,62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56BD4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153,57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4B0FE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818,20 </w:t>
            </w:r>
          </w:p>
        </w:tc>
      </w:tr>
      <w:tr w:rsidR="00FE461F" w:rsidRPr="005E4BEA" w14:paraId="1BFAE1A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242FA3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E8680C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PSHIATRIČNA KLINIKA LJ</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080A5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476.839,00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82A67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679,55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338254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701,70 </w:t>
            </w:r>
          </w:p>
        </w:tc>
      </w:tr>
      <w:tr w:rsidR="00FE461F" w:rsidRPr="005E4BEA" w14:paraId="5FAF5E0F"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2B044E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F500BF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BREŽICE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E8B9F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291.487,00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33D7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294,32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AE148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990,37 </w:t>
            </w:r>
          </w:p>
        </w:tc>
      </w:tr>
      <w:tr w:rsidR="00FE461F" w:rsidRPr="005E4BEA" w14:paraId="7267128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5B84DA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A88B2B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CELJE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3D4A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1.663.322,68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726EF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2.013,34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41846F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826,15 </w:t>
            </w:r>
          </w:p>
        </w:tc>
      </w:tr>
      <w:tr w:rsidR="00FE461F" w:rsidRPr="005E4BEA" w14:paraId="0967FB89"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73F742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856E5C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IZOLA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BA3B1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709.237,78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79D0D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764,20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B4DF97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928,08 </w:t>
            </w:r>
          </w:p>
        </w:tc>
      </w:tr>
      <w:tr w:rsidR="00FE461F" w:rsidRPr="005E4BEA" w14:paraId="2ED2DA4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5297E2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3DA622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JESENICE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BF4824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575.639,63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35DCC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635,91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3632D7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905,22 </w:t>
            </w:r>
          </w:p>
        </w:tc>
      </w:tr>
      <w:tr w:rsidR="00FE461F" w:rsidRPr="005E4BEA" w14:paraId="73F10F59"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A0BF52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7C80D6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SLOVENJ GRADEC</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B7833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716.003,18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31711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714,33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2CBEA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1.002,34 </w:t>
            </w:r>
          </w:p>
        </w:tc>
      </w:tr>
      <w:tr w:rsidR="00FE461F" w:rsidRPr="005E4BEA" w14:paraId="6D5E92C1"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1E6CAD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DFF3C3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 URI - SOČA </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B6F69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495.416,67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1E9DB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382,27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A95BC1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1.295,99 </w:t>
            </w:r>
          </w:p>
        </w:tc>
      </w:tr>
      <w:tr w:rsidR="00FE461F" w:rsidRPr="005E4BEA" w14:paraId="1BEC183E"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030D75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CC328A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VALDOLTRA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FBAA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326.574,39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2C3C33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444,67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B252AE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734,42 </w:t>
            </w:r>
          </w:p>
        </w:tc>
      </w:tr>
      <w:tr w:rsidR="00FE461F" w:rsidRPr="005E4BEA" w14:paraId="4BC64EF6"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B6AD61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CA3385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POSTOJNA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B47C1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90.960,21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308E06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84,06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694F6A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1.082,09 </w:t>
            </w:r>
          </w:p>
        </w:tc>
      </w:tr>
      <w:tr w:rsidR="00FE461F" w:rsidRPr="005E4BEA" w14:paraId="738B04D8"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1D0108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7615F63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MLADINSKO KLIMATSKO ZDRAVILIŠČE RAKITNA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3943FA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36.210,07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5BAEA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31,77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D474E1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1.139,76 </w:t>
            </w:r>
          </w:p>
        </w:tc>
      </w:tr>
      <w:tr w:rsidR="00FE461F" w:rsidRPr="005E4BEA" w14:paraId="6B41E981"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745B96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8E72DE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PB BEGUNJE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D84C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131.700,95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FFBF8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175,29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0759E2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751,33 </w:t>
            </w:r>
          </w:p>
        </w:tc>
      </w:tr>
      <w:tr w:rsidR="00FE461F" w:rsidRPr="005E4BEA" w14:paraId="0BF09E5D"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AA7ECE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73746A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PB IDRIJA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9F845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155.123,63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A4AC4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210,00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0724C9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738,68 </w:t>
            </w:r>
          </w:p>
        </w:tc>
      </w:tr>
      <w:tr w:rsidR="00FE461F" w:rsidRPr="005E4BEA" w14:paraId="371B6792"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8F80C0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EF27C3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PB VOJNIK</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79497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138.317,00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82596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162,35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5ACF40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851,97 </w:t>
            </w:r>
          </w:p>
        </w:tc>
      </w:tr>
      <w:tr w:rsidR="00FE461F" w:rsidRPr="005E4BEA" w14:paraId="620BF3C5"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161258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6E89B0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MURSKA SOBOTA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91561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918.237,58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6A02FF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853,62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A5D8D8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1.075,70 </w:t>
            </w:r>
          </w:p>
        </w:tc>
      </w:tr>
      <w:tr w:rsidR="00FE461F" w:rsidRPr="005E4BEA" w14:paraId="7561697C"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F93CA7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3CA573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NOVA GORICA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81F20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936.744,69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2E4D0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783,33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34E13F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1.195,85 </w:t>
            </w:r>
          </w:p>
        </w:tc>
      </w:tr>
      <w:tr w:rsidR="00FE461F" w:rsidRPr="005E4BEA" w14:paraId="75E2A5B3"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518AA1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E4116E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NOVO MESTO</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219909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981.212,00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CD9CF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1.037,12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00AB58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946,09 </w:t>
            </w:r>
          </w:p>
        </w:tc>
      </w:tr>
      <w:tr w:rsidR="00FE461F" w:rsidRPr="005E4BEA" w14:paraId="14B09F3E"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2FBC3E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F985DB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PTUJ</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4F66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423.495,11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81C51D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450,07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17C32A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940,95 </w:t>
            </w:r>
          </w:p>
        </w:tc>
      </w:tr>
      <w:tr w:rsidR="00FE461F" w:rsidRPr="005E4BEA" w14:paraId="5AC89C94"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6D9CE3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14:paraId="7CC7E36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TRBOVLJE</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6C1EB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276.956,49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E4329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296,27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674D2D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934,81 </w:t>
            </w:r>
          </w:p>
        </w:tc>
      </w:tr>
      <w:tr w:rsidR="00FE461F" w:rsidRPr="005E4BEA" w14:paraId="30736C2D"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D2BAEE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FE0FB2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MARIBOR</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0EF17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2.865.383,68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52190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3.243,00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D960CB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883,56 </w:t>
            </w:r>
          </w:p>
        </w:tc>
      </w:tr>
      <w:tr w:rsidR="00FE461F" w:rsidRPr="005E4BEA" w14:paraId="3C45E545" w14:textId="77777777" w:rsidTr="0016774B">
        <w:trPr>
          <w:trHeight w:val="203"/>
        </w:trPr>
        <w:tc>
          <w:tcPr>
            <w:tcW w:w="5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709D92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51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DBBE9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LJUBLJANA</w:t>
            </w: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C2AE3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6.710.245,92</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608DE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7.901,84</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731603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849,20 </w:t>
            </w:r>
          </w:p>
        </w:tc>
      </w:tr>
      <w:tr w:rsidR="00FE461F" w:rsidRPr="005E4BEA" w14:paraId="4BE2853A" w14:textId="77777777" w:rsidTr="0016774B">
        <w:trPr>
          <w:trHeight w:val="203"/>
        </w:trPr>
        <w:tc>
          <w:tcPr>
            <w:tcW w:w="577" w:type="dxa"/>
            <w:tcBorders>
              <w:top w:val="single" w:sz="4" w:space="0" w:color="808080" w:themeColor="background1" w:themeShade="80"/>
              <w:left w:val="nil"/>
              <w:bottom w:val="nil"/>
              <w:right w:val="nil"/>
            </w:tcBorders>
            <w:shd w:val="clear" w:color="auto" w:fill="auto"/>
            <w:noWrap/>
            <w:vAlign w:val="bottom"/>
            <w:hideMark/>
          </w:tcPr>
          <w:p w14:paraId="60794B20" w14:textId="77777777" w:rsidR="00FE461F" w:rsidRPr="005E4BEA" w:rsidRDefault="00FE461F" w:rsidP="00FE461F">
            <w:pPr>
              <w:spacing w:line="240" w:lineRule="auto"/>
              <w:jc w:val="both"/>
              <w:rPr>
                <w:rFonts w:cs="Arial"/>
                <w:color w:val="808080" w:themeColor="background1" w:themeShade="80"/>
                <w:szCs w:val="20"/>
              </w:rPr>
            </w:pPr>
          </w:p>
        </w:tc>
        <w:tc>
          <w:tcPr>
            <w:tcW w:w="5133" w:type="dxa"/>
            <w:tcBorders>
              <w:top w:val="single" w:sz="4" w:space="0" w:color="808080" w:themeColor="background1" w:themeShade="80"/>
              <w:left w:val="nil"/>
              <w:bottom w:val="nil"/>
              <w:right w:val="single" w:sz="4" w:space="0" w:color="808080" w:themeColor="background1" w:themeShade="80"/>
            </w:tcBorders>
            <w:shd w:val="clear" w:color="auto" w:fill="auto"/>
            <w:noWrap/>
            <w:vAlign w:val="bottom"/>
            <w:hideMark/>
          </w:tcPr>
          <w:p w14:paraId="2843FA45" w14:textId="77777777" w:rsidR="00FE461F" w:rsidRPr="005E4BEA" w:rsidRDefault="00FE461F" w:rsidP="00FE461F">
            <w:pPr>
              <w:spacing w:line="240" w:lineRule="auto"/>
              <w:jc w:val="both"/>
              <w:rPr>
                <w:rFonts w:cs="Arial"/>
                <w:color w:val="808080" w:themeColor="background1" w:themeShade="80"/>
                <w:szCs w:val="20"/>
              </w:rPr>
            </w:pPr>
          </w:p>
        </w:tc>
        <w:tc>
          <w:tcPr>
            <w:tcW w:w="1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2E4F54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27.755.277,74 </w:t>
            </w:r>
          </w:p>
        </w:tc>
        <w:tc>
          <w:tcPr>
            <w:tcW w:w="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A2277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 31.393,30 </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C000"/>
            <w:noWrap/>
            <w:vAlign w:val="bottom"/>
            <w:hideMark/>
          </w:tcPr>
          <w:p w14:paraId="4BD1D4E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 884,11 </w:t>
            </w:r>
          </w:p>
        </w:tc>
      </w:tr>
    </w:tbl>
    <w:p w14:paraId="4C1DE8F2" w14:textId="77777777" w:rsidR="00FE461F" w:rsidRPr="005E4BEA" w:rsidRDefault="00FE461F" w:rsidP="00FE461F">
      <w:pPr>
        <w:spacing w:line="240" w:lineRule="auto"/>
        <w:jc w:val="both"/>
        <w:rPr>
          <w:rFonts w:cs="Arial"/>
          <w:i/>
          <w:iCs/>
          <w:color w:val="808080" w:themeColor="background1" w:themeShade="80"/>
          <w:szCs w:val="20"/>
        </w:rPr>
      </w:pPr>
    </w:p>
    <w:p w14:paraId="327E74D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(47.639 zaposlenih iz ure na dan 1.3.2021) 42,12 mio €</w:t>
      </w:r>
    </w:p>
    <w:p w14:paraId="385434CB" w14:textId="6E9038C0" w:rsidR="00FE461F" w:rsidRPr="005E4BEA" w:rsidRDefault="00FE461F" w:rsidP="00FE461F">
      <w:pPr>
        <w:spacing w:line="240" w:lineRule="auto"/>
        <w:jc w:val="both"/>
        <w:rPr>
          <w:rFonts w:cs="Arial"/>
          <w:i/>
          <w:iCs/>
          <w:color w:val="808080" w:themeColor="background1" w:themeShade="80"/>
          <w:szCs w:val="20"/>
        </w:rPr>
      </w:pPr>
    </w:p>
    <w:p w14:paraId="2DDE19E8" w14:textId="3C94B25F" w:rsidR="0085180C" w:rsidRPr="005E4BEA" w:rsidRDefault="0085180C" w:rsidP="00FE461F">
      <w:pPr>
        <w:spacing w:line="240" w:lineRule="auto"/>
        <w:jc w:val="both"/>
        <w:rPr>
          <w:rFonts w:cs="Arial"/>
          <w:i/>
          <w:iCs/>
          <w:color w:val="808080" w:themeColor="background1" w:themeShade="80"/>
          <w:szCs w:val="20"/>
        </w:rPr>
      </w:pPr>
    </w:p>
    <w:p w14:paraId="1719B608" w14:textId="7F9A0738" w:rsidR="00114511" w:rsidRPr="005E4BEA" w:rsidRDefault="0085180C" w:rsidP="00851D8E">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w:t>
      </w:r>
      <w:r w:rsidR="00851D8E" w:rsidRPr="005E4BEA">
        <w:rPr>
          <w:rFonts w:eastAsia="Arial Narrow" w:cs="Arial"/>
          <w:szCs w:val="20"/>
        </w:rPr>
        <w:t xml:space="preserve"> s</w:t>
      </w:r>
      <w:r w:rsidRPr="005E4BEA">
        <w:rPr>
          <w:rFonts w:eastAsia="Arial Narrow" w:cs="Arial"/>
          <w:szCs w:val="20"/>
        </w:rPr>
        <w:t xml:space="preserve"> predlogom </w:t>
      </w:r>
      <w:r w:rsidR="00114511" w:rsidRPr="005E4BEA">
        <w:rPr>
          <w:rFonts w:eastAsia="Arial Narrow" w:cs="Arial"/>
          <w:szCs w:val="20"/>
        </w:rPr>
        <w:t>ne strinja.</w:t>
      </w:r>
    </w:p>
    <w:p w14:paraId="69EADD7A" w14:textId="77777777" w:rsidR="00114511" w:rsidRPr="005E4BEA" w:rsidRDefault="00114511" w:rsidP="00851D8E">
      <w:pPr>
        <w:autoSpaceDE w:val="0"/>
        <w:autoSpaceDN w:val="0"/>
        <w:adjustRightInd w:val="0"/>
        <w:spacing w:line="0" w:lineRule="atLeast"/>
        <w:jc w:val="both"/>
        <w:rPr>
          <w:rFonts w:eastAsia="Arial Narrow" w:cs="Arial"/>
          <w:szCs w:val="20"/>
        </w:rPr>
      </w:pPr>
    </w:p>
    <w:bookmarkEnd w:id="31"/>
    <w:p w14:paraId="2696D12E" w14:textId="77777777" w:rsidR="0085180C" w:rsidRPr="005E4BEA" w:rsidRDefault="0085180C" w:rsidP="0085180C">
      <w:pPr>
        <w:spacing w:line="0" w:lineRule="atLeast"/>
        <w:jc w:val="both"/>
        <w:rPr>
          <w:rFonts w:eastAsia="Arial Narrow" w:cs="Arial"/>
          <w:szCs w:val="20"/>
          <w:lang w:eastAsia="sl-SI"/>
        </w:rPr>
      </w:pPr>
    </w:p>
    <w:p w14:paraId="28D9C789" w14:textId="2320A334" w:rsidR="00114511" w:rsidRPr="005E4BEA" w:rsidRDefault="0085180C" w:rsidP="00851D8E">
      <w:pPr>
        <w:autoSpaceDE w:val="0"/>
        <w:autoSpaceDN w:val="0"/>
        <w:adjustRightInd w:val="0"/>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w:t>
      </w:r>
      <w:r w:rsidR="00114511" w:rsidRPr="005E4BEA">
        <w:rPr>
          <w:rFonts w:eastAsia="Arial Narrow" w:cs="Arial"/>
          <w:szCs w:val="20"/>
        </w:rPr>
        <w:t xml:space="preserve"> </w:t>
      </w:r>
      <w:r w:rsidR="00851D8E" w:rsidRPr="005E4BEA">
        <w:rPr>
          <w:rFonts w:eastAsia="Arial Narrow" w:cs="Arial"/>
          <w:szCs w:val="20"/>
        </w:rPr>
        <w:t>9. člen</w:t>
      </w:r>
      <w:r w:rsidR="00114511" w:rsidRPr="005E4BEA">
        <w:rPr>
          <w:rFonts w:eastAsia="Arial Narrow" w:cs="Arial"/>
          <w:szCs w:val="20"/>
        </w:rPr>
        <w:t xml:space="preserve"> Splošnega dogovora ne spremeni.</w:t>
      </w:r>
    </w:p>
    <w:p w14:paraId="48D90442" w14:textId="3F7C6FB0" w:rsidR="0085180C" w:rsidRPr="005E4BEA" w:rsidRDefault="00851D8E" w:rsidP="00114511">
      <w:pPr>
        <w:autoSpaceDE w:val="0"/>
        <w:autoSpaceDN w:val="0"/>
        <w:adjustRightInd w:val="0"/>
        <w:spacing w:line="0" w:lineRule="atLeast"/>
        <w:jc w:val="both"/>
        <w:rPr>
          <w:rFonts w:cs="Arial"/>
          <w:i/>
          <w:iCs/>
          <w:color w:val="808080" w:themeColor="background1" w:themeShade="80"/>
          <w:szCs w:val="20"/>
        </w:rPr>
      </w:pPr>
      <w:r w:rsidRPr="005E4BEA">
        <w:rPr>
          <w:rFonts w:eastAsia="Arial Narrow" w:cs="Arial"/>
          <w:szCs w:val="20"/>
        </w:rPr>
        <w:br/>
      </w:r>
    </w:p>
    <w:p w14:paraId="2D043828" w14:textId="6A94BD7F" w:rsidR="0085180C" w:rsidRPr="005E4BEA" w:rsidRDefault="0085180C"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(33)</w:t>
      </w:r>
    </w:p>
    <w:p w14:paraId="15EB2BA7" w14:textId="77777777" w:rsidR="0085180C" w:rsidRPr="005E4BEA" w:rsidRDefault="0085180C" w:rsidP="0085180C">
      <w:pPr>
        <w:spacing w:line="0" w:lineRule="atLeast"/>
        <w:ind w:left="360"/>
        <w:contextualSpacing/>
        <w:jc w:val="both"/>
        <w:rPr>
          <w:rFonts w:eastAsia="Arial Narrow" w:cs="Arial"/>
          <w:bCs/>
          <w:szCs w:val="20"/>
        </w:rPr>
      </w:pPr>
    </w:p>
    <w:p w14:paraId="1967A724" w14:textId="75466B27" w:rsidR="00FE461F" w:rsidRPr="005E4BEA" w:rsidRDefault="0085180C" w:rsidP="00FE461F">
      <w:pPr>
        <w:spacing w:line="240" w:lineRule="auto"/>
        <w:jc w:val="both"/>
        <w:rPr>
          <w:rFonts w:cs="Arial"/>
          <w:i/>
          <w:iCs/>
          <w:color w:val="808080" w:themeColor="background1" w:themeShade="80"/>
          <w:szCs w:val="20"/>
        </w:rPr>
      </w:pPr>
      <w:r w:rsidRPr="005E4BEA">
        <w:rPr>
          <w:rFonts w:eastAsia="Arial Narrow" w:cs="Arial"/>
          <w:b/>
          <w:szCs w:val="20"/>
        </w:rPr>
        <w:t>Združenje zdravstvenih zavodov Slovenije</w:t>
      </w:r>
      <w:r w:rsidRPr="005E4BEA">
        <w:rPr>
          <w:rFonts w:eastAsia="Arial Narrow" w:cs="Arial"/>
          <w:bCs/>
          <w:szCs w:val="20"/>
        </w:rPr>
        <w:t xml:space="preserve"> predlaga, da se </w:t>
      </w:r>
      <w:r w:rsidRPr="005E4BEA">
        <w:rPr>
          <w:rFonts w:cs="Arial"/>
          <w:bCs/>
          <w:szCs w:val="20"/>
        </w:rPr>
        <w:t>19. člen se dopolni z novim (3)</w:t>
      </w:r>
      <w:r w:rsidRPr="005E4BEA">
        <w:rPr>
          <w:rFonts w:cs="Arial"/>
          <w:bCs/>
          <w:i/>
          <w:iCs/>
          <w:color w:val="808080" w:themeColor="background1" w:themeShade="80"/>
          <w:szCs w:val="20"/>
        </w:rPr>
        <w:t xml:space="preserve"> </w:t>
      </w:r>
      <w:r w:rsidR="00FE461F" w:rsidRPr="005E4BEA">
        <w:rPr>
          <w:rFonts w:cs="Arial"/>
          <w:bCs/>
          <w:szCs w:val="20"/>
        </w:rPr>
        <w:t>odstavkom, ki glasi:</w:t>
      </w:r>
    </w:p>
    <w:p w14:paraId="3883DAEF" w14:textId="77777777" w:rsidR="00FE461F" w:rsidRPr="005E4BEA" w:rsidRDefault="00FE461F" w:rsidP="00FE461F">
      <w:pPr>
        <w:spacing w:line="240" w:lineRule="auto"/>
        <w:jc w:val="both"/>
        <w:rPr>
          <w:rFonts w:cs="Arial"/>
          <w:iCs/>
          <w:szCs w:val="20"/>
        </w:rPr>
      </w:pPr>
      <w:r w:rsidRPr="005E4BEA">
        <w:rPr>
          <w:rFonts w:cs="Arial"/>
          <w:iCs/>
          <w:szCs w:val="20"/>
        </w:rPr>
        <w:t>»(3) Sredstva za prevoz na delo in iz dela se refundirajo izvajalcu v višini vsako leto preračunanih povprečnih stroškov prevoza na delo in iz dela preračunano na planiranega delavca iz delovnih ur. Namenska sredstva za prevoza na delo in iz dela se v kalkulacijah prikazujejo ločeno.«</w:t>
      </w:r>
    </w:p>
    <w:p w14:paraId="3572C7E9" w14:textId="67ACBF26" w:rsidR="00FE461F" w:rsidRPr="005E4BEA" w:rsidRDefault="00FE461F" w:rsidP="00FE461F">
      <w:pPr>
        <w:spacing w:line="240" w:lineRule="auto"/>
        <w:jc w:val="both"/>
        <w:rPr>
          <w:rFonts w:cs="Arial"/>
          <w:iCs/>
          <w:szCs w:val="20"/>
        </w:rPr>
      </w:pPr>
      <w:r w:rsidRPr="005E4BEA">
        <w:rPr>
          <w:rFonts w:cs="Arial"/>
          <w:iCs/>
          <w:szCs w:val="20"/>
        </w:rPr>
        <w:t>Odstavek (3) postane odstavek (4).</w:t>
      </w:r>
    </w:p>
    <w:p w14:paraId="692DFD07" w14:textId="77777777" w:rsidR="0085180C" w:rsidRPr="005E4BEA" w:rsidRDefault="0085180C" w:rsidP="00FE461F">
      <w:pPr>
        <w:spacing w:line="240" w:lineRule="auto"/>
        <w:jc w:val="both"/>
        <w:rPr>
          <w:rFonts w:cs="Arial"/>
          <w:iCs/>
          <w:szCs w:val="20"/>
        </w:rPr>
      </w:pPr>
    </w:p>
    <w:p w14:paraId="0F6BFB4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C92BCA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Delodajalec mora delavcu zagotoviti povračilo stroškov za prevoz na delo in z dela, kar je opredeljeno v 130. členu Zakona o delovnih razmerjih (ZDR-1), ki določa, da je delodajalec delavcu dolžan povrniti stroške v zvezi s prehrano na delu mesečno, in sicer na plačilni dan. </w:t>
      </w:r>
    </w:p>
    <w:p w14:paraId="645B92C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Pravne podlage: 130. člen ZDR-1 (Povračila stroškov v zvezi z delom) </w:t>
      </w:r>
    </w:p>
    <w:p w14:paraId="2819D24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(1) Delodajalec mora delavcu zagotoviti povračilo stroškov za prehrano med delom, za prevoz na delo in z dela ter povračilo stroškov, ki jih ima pri opravljanju določenih del in nalog na službenem potovanju. </w:t>
      </w:r>
    </w:p>
    <w:p w14:paraId="01A4B14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(2) Če višina povračila stroškov v zvezi z delom ni določena s kolektivno pogodbo na ravni dejavnosti, se določi s podzakonskim aktom. </w:t>
      </w:r>
    </w:p>
    <w:p w14:paraId="2632CA1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(3) Če se zaradi razlogov na strani delavca strošek za prevoz na delo in z dela naknadno poveča, ima delavec pravico do povračila tako povečanega stroška za prevoz na delo in z dela, če je tako določeno v kolektivni pogodbi na ravni dejavnosti oziroma če se tako sporazume z delodajalcem. </w:t>
      </w:r>
    </w:p>
    <w:p w14:paraId="057EA1A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 Delodajalec je dolžan delavcu povrniti stroške v zvezi z delom mesečno v skladu s 134. členom tega zakona.</w:t>
      </w:r>
    </w:p>
    <w:p w14:paraId="660C60D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166. člen Zakona za uravnoteženje javnih financ (Uradni list RS, št. 40/2012) Izplačilo regresa pripada zaposlenemu za dan prisotnosti na delu, pri čemer se kot dan prisotnosti šteje osem ur. Do regresa je upravičen tudi zaposleni, ki dela več kot štiri in manj kot osem ur dnevno oziroma dela krajši delovni čas na podlagi zakona. Če zaposleni v določenem mesecu dela preko polnega delovnega časa, mu za vsakih izpolnjenih osem ur dela preko polnega delovnega časa pripada znesek regresa. V skladu z določbami aneksov h kolektivnim pogodbam dejavnosti in poklicev v javnem sektorju se višina regresa za prehrano med delom vsakih šest mesecev usklajuje z rastjo cen prehrambnih izdelkov na podlagi podatkov Statističnega urada Republike Slovenije. V Uradnem listu se objavi ugotovitveni sklep o višini regresa za prehrano med delom za zaposlene v javnem sektorju.</w:t>
      </w:r>
    </w:p>
    <w:p w14:paraId="03EC0026" w14:textId="77777777" w:rsidR="00FE461F" w:rsidRPr="005E4BEA" w:rsidRDefault="00FE461F" w:rsidP="00FE461F">
      <w:pPr>
        <w:spacing w:line="240" w:lineRule="auto"/>
        <w:jc w:val="both"/>
        <w:rPr>
          <w:rFonts w:cs="Arial"/>
          <w:i/>
          <w:iCs/>
          <w:color w:val="808080" w:themeColor="background1" w:themeShade="80"/>
          <w:szCs w:val="20"/>
        </w:rPr>
      </w:pPr>
    </w:p>
    <w:tbl>
      <w:tblPr>
        <w:tblW w:w="9015" w:type="dxa"/>
        <w:tblCellMar>
          <w:left w:w="70" w:type="dxa"/>
          <w:right w:w="70" w:type="dxa"/>
        </w:tblCellMar>
        <w:tblLook w:val="04A0" w:firstRow="1" w:lastRow="0" w:firstColumn="1" w:lastColumn="0" w:noHBand="0" w:noVBand="1"/>
      </w:tblPr>
      <w:tblGrid>
        <w:gridCol w:w="674"/>
        <w:gridCol w:w="4362"/>
        <w:gridCol w:w="1540"/>
        <w:gridCol w:w="1143"/>
        <w:gridCol w:w="1496"/>
      </w:tblGrid>
      <w:tr w:rsidR="00FE461F" w:rsidRPr="005E4BEA" w14:paraId="696498B2" w14:textId="77777777" w:rsidTr="0016774B">
        <w:trPr>
          <w:trHeight w:val="204"/>
        </w:trPr>
        <w:tc>
          <w:tcPr>
            <w:tcW w:w="7519" w:type="dxa"/>
            <w:gridSpan w:val="4"/>
            <w:tcBorders>
              <w:top w:val="nil"/>
              <w:left w:val="nil"/>
              <w:bottom w:val="single" w:sz="4" w:space="0" w:color="808080" w:themeColor="background1" w:themeShade="80"/>
              <w:right w:val="nil"/>
            </w:tcBorders>
            <w:shd w:val="clear" w:color="auto" w:fill="auto"/>
            <w:noWrap/>
            <w:vAlign w:val="bottom"/>
            <w:hideMark/>
          </w:tcPr>
          <w:p w14:paraId="0FCE5A1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STROŠEK PREVOZA NA IN Z DELA izplačan v skladu s 130. členom ZDR-1 v JZZ za leto 2019</w:t>
            </w:r>
          </w:p>
        </w:tc>
        <w:tc>
          <w:tcPr>
            <w:tcW w:w="1496" w:type="dxa"/>
            <w:tcBorders>
              <w:top w:val="nil"/>
              <w:left w:val="nil"/>
              <w:bottom w:val="single" w:sz="4" w:space="0" w:color="808080" w:themeColor="background1" w:themeShade="80"/>
              <w:right w:val="nil"/>
            </w:tcBorders>
            <w:shd w:val="clear" w:color="auto" w:fill="auto"/>
            <w:noWrap/>
            <w:vAlign w:val="bottom"/>
            <w:hideMark/>
          </w:tcPr>
          <w:p w14:paraId="7A640018" w14:textId="77777777" w:rsidR="00FE461F" w:rsidRPr="005E4BEA" w:rsidRDefault="00FE461F" w:rsidP="00FE461F">
            <w:pPr>
              <w:spacing w:line="240" w:lineRule="auto"/>
              <w:jc w:val="both"/>
              <w:rPr>
                <w:rFonts w:cs="Arial"/>
                <w:b/>
                <w:bCs/>
                <w:color w:val="808080" w:themeColor="background1" w:themeShade="80"/>
                <w:szCs w:val="20"/>
              </w:rPr>
            </w:pPr>
          </w:p>
        </w:tc>
      </w:tr>
      <w:tr w:rsidR="00FE461F" w:rsidRPr="005E4BEA" w14:paraId="444376D4" w14:textId="77777777" w:rsidTr="0016774B">
        <w:trPr>
          <w:trHeight w:val="122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342C7C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LETO </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43F79C8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Bolnišnica/zdravstveni dom/ostalo</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0D3BA79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Letni stroški prevoza na in z dela v EUR</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4499954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Št. priznani kader iz ur Po pogodbi z ZZZS</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53000EC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Povprečni letni strošek prevoza na in z dela/ na po pogodbi z ZZZS št. priznanega kadra iz ur v EUR </w:t>
            </w:r>
          </w:p>
        </w:tc>
      </w:tr>
      <w:tr w:rsidR="00FE461F" w:rsidRPr="005E4BEA" w14:paraId="2760425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B3285F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0C4B5F7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4299BA7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1E93FC9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2E4EFD8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7=3/8</w:t>
            </w:r>
          </w:p>
        </w:tc>
      </w:tr>
      <w:tr w:rsidR="00FE461F" w:rsidRPr="005E4BEA" w14:paraId="5763FA7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2DDBC7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F9468F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Osnovno zdravstvo Gorenjske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B8C957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831.302,59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4FC5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977,15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E5FAC5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850,74</w:t>
            </w:r>
          </w:p>
        </w:tc>
      </w:tr>
      <w:tr w:rsidR="00FE461F" w:rsidRPr="005E4BEA" w14:paraId="0D4963D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18CBE8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F75772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BREŽICE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695C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91.670,45</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D08B7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111,21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26CA6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824,30</w:t>
            </w:r>
          </w:p>
        </w:tc>
      </w:tr>
      <w:tr w:rsidR="00FE461F" w:rsidRPr="005E4BEA" w14:paraId="46E30F0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38811D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6220E3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Celje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8775E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370.046,74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C1C07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349,94</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A0117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1.057,46</w:t>
            </w:r>
          </w:p>
        </w:tc>
      </w:tr>
      <w:tr w:rsidR="00FE461F" w:rsidRPr="005E4BEA" w14:paraId="6FAB187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FC59A0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AB1CCE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CERKNICA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0E06F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59.180,00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F2E1E2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80,65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74791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733,79</w:t>
            </w:r>
          </w:p>
        </w:tc>
      </w:tr>
      <w:tr w:rsidR="00FE461F" w:rsidRPr="005E4BEA" w14:paraId="7307DC7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1D68FE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F5B88B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DOMŽALE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99326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214.909,75</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300D9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239,15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B86F23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898,64</w:t>
            </w:r>
          </w:p>
        </w:tc>
      </w:tr>
      <w:tr w:rsidR="00FE461F" w:rsidRPr="005E4BEA" w14:paraId="3E3EA24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FA1791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0AF3DE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DRAVOGRAD</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E672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15.129,53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CC473F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7A0C8A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488,05</w:t>
            </w:r>
          </w:p>
        </w:tc>
      </w:tr>
      <w:tr w:rsidR="00FE461F" w:rsidRPr="005E4BEA" w14:paraId="764711F1"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3E4886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151FF5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Gornja Radgona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BD3BE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102.987,00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AF75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107,63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D45B53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956,86</w:t>
            </w:r>
          </w:p>
        </w:tc>
      </w:tr>
      <w:tr w:rsidR="00FE461F" w:rsidRPr="005E4BEA" w14:paraId="4116D74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F8845A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9E528A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GROSUPLJE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7557A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98.381,00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51957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110,89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5E0187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887,19</w:t>
            </w:r>
          </w:p>
        </w:tc>
      </w:tr>
      <w:tr w:rsidR="00FE461F" w:rsidRPr="005E4BEA" w14:paraId="4EA8509A"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44DC76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6E6FFD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HRASTNIK</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F119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27.894,09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7945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43,22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9640F3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645,40</w:t>
            </w:r>
          </w:p>
        </w:tc>
      </w:tr>
      <w:tr w:rsidR="00FE461F" w:rsidRPr="005E4BEA" w14:paraId="1E7868C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A28F07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F9D30B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IDRIJA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C62942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65.260,22</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DA74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116,03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3B47E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562,44</w:t>
            </w:r>
          </w:p>
        </w:tc>
      </w:tr>
      <w:tr w:rsidR="00FE461F" w:rsidRPr="005E4BEA" w14:paraId="1A9D17E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C58955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D6574B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Ilirska Bistrica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3C132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25.553,00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3B6DA1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91,13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8D97D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280,40</w:t>
            </w:r>
          </w:p>
        </w:tc>
      </w:tr>
      <w:tr w:rsidR="00FE461F" w:rsidRPr="005E4BEA" w14:paraId="1BBE3234"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7AAEDE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374BF5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IVANČNA GORICA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DCFD9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90.291,80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FA52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64,18</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646F8A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1.406,85</w:t>
            </w:r>
          </w:p>
        </w:tc>
      </w:tr>
      <w:tr w:rsidR="00FE461F" w:rsidRPr="005E4BEA" w14:paraId="6D5D62ED"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A98C16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14004A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KAMNIK</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FFE4C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118.728,63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BC99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152,46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34C9E3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778,75</w:t>
            </w:r>
          </w:p>
        </w:tc>
      </w:tr>
      <w:tr w:rsidR="00FE461F" w:rsidRPr="005E4BEA" w14:paraId="7DA6E92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2A90B3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A1F42A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KOČEVJE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4BB63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45.317,59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F9A176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95,00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5807F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477,03</w:t>
            </w:r>
          </w:p>
        </w:tc>
      </w:tr>
      <w:tr w:rsidR="00FE461F" w:rsidRPr="005E4BEA" w14:paraId="195F0A51"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74B266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90C2D7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KOPER</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39A42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214.433,90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5AFED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227,09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EEEC74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944,27</w:t>
            </w:r>
          </w:p>
        </w:tc>
      </w:tr>
      <w:tr w:rsidR="00FE461F" w:rsidRPr="005E4BEA" w14:paraId="1EC507F3"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E1B890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1640BC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KRŠKO</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624F3C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146.465,97</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2AA4B9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147,66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A223E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991,91</w:t>
            </w:r>
          </w:p>
        </w:tc>
      </w:tr>
      <w:tr w:rsidR="00FE461F" w:rsidRPr="005E4BEA" w14:paraId="786CD97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7CEBF6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190DEB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Lendava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BD746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69.575,66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26EC9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113,90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84FCCB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610,85</w:t>
            </w:r>
          </w:p>
        </w:tc>
      </w:tr>
      <w:tr w:rsidR="00FE461F" w:rsidRPr="005E4BEA" w14:paraId="01A3E5D0"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2E0E19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83BFCE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LITIJA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6224F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55.623,37</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03078D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95,40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E99141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583,05</w:t>
            </w:r>
          </w:p>
        </w:tc>
      </w:tr>
      <w:tr w:rsidR="00FE461F" w:rsidRPr="005E4BEA" w14:paraId="005BC7F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7B4060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056F2A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LJUTOMER</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2A724E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48.268,84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3E9CC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92,01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A112F9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524,60</w:t>
            </w:r>
          </w:p>
        </w:tc>
      </w:tr>
      <w:tr w:rsidR="00FE461F" w:rsidRPr="005E4BEA" w14:paraId="5C16A060"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C1412C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921E67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LOGATEC</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492461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76.803,02</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9857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95,04</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160728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808,11</w:t>
            </w:r>
          </w:p>
        </w:tc>
      </w:tr>
      <w:tr w:rsidR="00FE461F" w:rsidRPr="005E4BEA" w14:paraId="5DC2916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B135BF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0BBEB7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MEDVODE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4450A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40.273,00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D6E12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D8837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629,27</w:t>
            </w:r>
          </w:p>
        </w:tc>
      </w:tr>
      <w:tr w:rsidR="00FE461F" w:rsidRPr="005E4BEA" w14:paraId="6F0871C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C52247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64CEA1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METLIKA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FBCD1B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16.738,46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C71CA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53,73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6A2CF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311,53</w:t>
            </w:r>
          </w:p>
        </w:tc>
      </w:tr>
      <w:tr w:rsidR="00FE461F" w:rsidRPr="005E4BEA" w14:paraId="4BC5302C"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201E39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D85F5D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Murka Sobota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354A5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202.321,00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70E0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308,69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F4EC41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655,42</w:t>
            </w:r>
          </w:p>
        </w:tc>
      </w:tr>
      <w:tr w:rsidR="00FE461F" w:rsidRPr="005E4BEA" w14:paraId="544FC472"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6D5F0F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lastRenderedPageBreak/>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889D33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NOVA GORICA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7830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187.586,00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FE7C5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252,03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997817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744,30</w:t>
            </w:r>
          </w:p>
        </w:tc>
      </w:tr>
      <w:tr w:rsidR="00FE461F" w:rsidRPr="005E4BEA" w14:paraId="3B9499F0"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330250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90A432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NOVO MESTO</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C0254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232.312,17</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6338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293,81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8846E9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790,69</w:t>
            </w:r>
          </w:p>
        </w:tc>
      </w:tr>
      <w:tr w:rsidR="00FE461F" w:rsidRPr="005E4BEA" w14:paraId="73D14E6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EE24D4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ABC56E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ORMOŽ</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65E537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84.222,51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B44ED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110,52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F40CB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762,06</w:t>
            </w:r>
          </w:p>
        </w:tc>
      </w:tr>
      <w:tr w:rsidR="00FE461F" w:rsidRPr="005E4BEA" w14:paraId="5CC50EF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FBADBE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E93163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POSTOJNA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C737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87.262,32</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A94AA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94,13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DA2773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927,04</w:t>
            </w:r>
          </w:p>
        </w:tc>
      </w:tr>
      <w:tr w:rsidR="00FE461F" w:rsidRPr="005E4BEA" w14:paraId="6EB9086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EDBEF6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67B00F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JZ ZD PTUJ</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7E06AA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191.760,31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767821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251,41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8F6CA3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762,74</w:t>
            </w:r>
          </w:p>
        </w:tc>
      </w:tr>
      <w:tr w:rsidR="00FE461F" w:rsidRPr="005E4BEA" w14:paraId="76CCCB0D"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B8468D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1B762C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Radlje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354BE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53.901,00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1AA23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50,00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9CE9F9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1.078,02</w:t>
            </w:r>
          </w:p>
        </w:tc>
      </w:tr>
      <w:tr w:rsidR="00FE461F" w:rsidRPr="005E4BEA" w14:paraId="5377222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996AD3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47F8AE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Ravne na Koroškem</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0129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102.187,44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3AF207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128,69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07CEC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794,06</w:t>
            </w:r>
          </w:p>
        </w:tc>
      </w:tr>
      <w:tr w:rsidR="00FE461F" w:rsidRPr="005E4BEA" w14:paraId="51CBF2F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C67188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A25B65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dr. Janeza Oražma Ribnica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3D1B8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52.876,84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FAB27A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92,51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41C03D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571,58</w:t>
            </w:r>
          </w:p>
        </w:tc>
      </w:tr>
      <w:tr w:rsidR="00FE461F" w:rsidRPr="005E4BEA" w14:paraId="7D6538AA"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835FAB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9DF8B9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Sevnica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FFB865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75.717,41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F5D609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122,57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C4F68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617,75</w:t>
            </w:r>
          </w:p>
        </w:tc>
      </w:tr>
      <w:tr w:rsidR="00FE461F" w:rsidRPr="005E4BEA" w14:paraId="7CA428E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3BDEA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6D8662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SEŽANA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6D4EC8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96.464,36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18377A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137,17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B92DFE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703,25</w:t>
            </w:r>
          </w:p>
        </w:tc>
      </w:tr>
      <w:tr w:rsidR="00FE461F" w:rsidRPr="005E4BEA" w14:paraId="24EE16CD"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0C3437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DFF588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SLOV. KONJICE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F45DB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50.598,51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BCA03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81,03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35BD45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624,44</w:t>
            </w:r>
          </w:p>
        </w:tc>
      </w:tr>
      <w:tr w:rsidR="00FE461F" w:rsidRPr="005E4BEA" w14:paraId="4CF5E6E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CED806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E64BA2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SLOV. BISTRICA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463AD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109.950,18</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4D22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116,47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824F5C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944,02</w:t>
            </w:r>
          </w:p>
        </w:tc>
      </w:tr>
      <w:tr w:rsidR="00FE461F" w:rsidRPr="005E4BEA" w14:paraId="06A5554B"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0A7FF5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17FA804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ŠENTJUR</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17B99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46.166,71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37F6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72,85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309B6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633,72</w:t>
            </w:r>
          </w:p>
        </w:tc>
      </w:tr>
      <w:tr w:rsidR="00FE461F" w:rsidRPr="005E4BEA" w14:paraId="7B0AB93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FC5D36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34AB50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ŠMARJE PRI JELŠAH</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0FE5B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104.063,91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0ECC0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149,66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5A877D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695,34</w:t>
            </w:r>
          </w:p>
        </w:tc>
      </w:tr>
      <w:tr w:rsidR="00FE461F" w:rsidRPr="005E4BEA" w14:paraId="0F762C44"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570623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374912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TOLMIN</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F14F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68.890,00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7DDC6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143,44</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C7E2C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480,27</w:t>
            </w:r>
          </w:p>
        </w:tc>
      </w:tr>
      <w:tr w:rsidR="00FE461F" w:rsidRPr="005E4BEA" w14:paraId="63ED3C4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38CD94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D78A24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TRBOVLJE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F6790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106.298,89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8EB9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129,22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F7C704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822,62</w:t>
            </w:r>
          </w:p>
        </w:tc>
      </w:tr>
      <w:tr w:rsidR="00FE461F" w:rsidRPr="005E4BEA" w14:paraId="014E8DF3"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F2E1E7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753E80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TREBNJE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F8B60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62.815,04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6CC6F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116,96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01A056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537,06</w:t>
            </w:r>
          </w:p>
        </w:tc>
      </w:tr>
      <w:tr w:rsidR="00FE461F" w:rsidRPr="005E4BEA" w14:paraId="0CAAD7C1"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DA85FF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F769A3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Velenje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40870A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236.426,13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2D6839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293,61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A84332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805,24</w:t>
            </w:r>
          </w:p>
        </w:tc>
      </w:tr>
      <w:tr w:rsidR="00FE461F" w:rsidRPr="005E4BEA" w14:paraId="2DB0F0F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123BB4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2D3E35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Vrhnika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5C6417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76.792,96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1C9AA6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83,43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099F74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920,45</w:t>
            </w:r>
          </w:p>
        </w:tc>
      </w:tr>
      <w:tr w:rsidR="00FE461F" w:rsidRPr="005E4BEA" w14:paraId="4E00477A"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818B26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6680349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ZA ŠTUDENTE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6ED5D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58.437,00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0E16B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54,29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989FEC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1.076,39</w:t>
            </w:r>
          </w:p>
        </w:tc>
      </w:tr>
      <w:tr w:rsidR="00FE461F" w:rsidRPr="005E4BEA" w14:paraId="2DD0A762"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BC2E0B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E33E50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ZAGORJE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E65D3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41.986,77</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92E3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65,45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D3AA4C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641,51</w:t>
            </w:r>
          </w:p>
        </w:tc>
      </w:tr>
      <w:tr w:rsidR="00FE461F" w:rsidRPr="005E4BEA" w14:paraId="48A14068"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8B237D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813FEE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Zobozdravstveno varstvo NG</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226C3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52.466,95</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2DA2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93,48</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5D071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561,26</w:t>
            </w:r>
          </w:p>
        </w:tc>
      </w:tr>
      <w:tr w:rsidR="00FE461F" w:rsidRPr="005E4BEA" w14:paraId="1E1D0E76"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D30BE3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1FEBF3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 dr. Jožeta Potrate Žalec</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FA7C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67.028,81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85D9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83,88</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1E7365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799,10</w:t>
            </w:r>
          </w:p>
        </w:tc>
      </w:tr>
      <w:tr w:rsidR="00FE461F" w:rsidRPr="005E4BEA" w14:paraId="2771355A"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BC090B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57BE69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ZRCK</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4AE8B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52.083,29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DCF23A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83,08</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4E978FB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626,91</w:t>
            </w:r>
          </w:p>
        </w:tc>
      </w:tr>
      <w:tr w:rsidR="00FE461F" w:rsidRPr="005E4BEA" w14:paraId="170BC2D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D18775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EA62C0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ŽELEZNIŠKI ZD</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7F4CF7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95.359,69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5C782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1D943D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1.207,08</w:t>
            </w:r>
          </w:p>
        </w:tc>
      </w:tr>
      <w:tr w:rsidR="00FE461F" w:rsidRPr="005E4BEA" w14:paraId="7853D172"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93E1C4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ED0954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SLOVENJ GRADEC</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2FBC6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75.897,24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006393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9CD69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903,54</w:t>
            </w:r>
          </w:p>
        </w:tc>
      </w:tr>
      <w:tr w:rsidR="00FE461F" w:rsidRPr="005E4BEA" w14:paraId="4075EFF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296ECB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304DEE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Črnomelj</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CE858B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45.375,00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A0A7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106,00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41AC2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428,07</w:t>
            </w:r>
          </w:p>
        </w:tc>
      </w:tr>
      <w:tr w:rsidR="00FE461F" w:rsidRPr="005E4BEA" w14:paraId="64ABA68C"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783BF7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455A8F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MARIBOR</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4049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706.105,00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5A16C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811,00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299E5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870,66</w:t>
            </w:r>
          </w:p>
        </w:tc>
      </w:tr>
      <w:tr w:rsidR="00FE461F" w:rsidRPr="005E4BEA" w14:paraId="0ABB4793"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821455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F6D02F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AJDOVŠČINA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170BE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59.491,89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307EC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127,96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67C545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464,93</w:t>
            </w:r>
          </w:p>
        </w:tc>
      </w:tr>
      <w:tr w:rsidR="00FE461F" w:rsidRPr="005E4BEA" w14:paraId="3513F0F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DB582F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76DBF7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 PIRAN</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56A5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53.989,41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F23691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53,85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C8352F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1.002,59</w:t>
            </w:r>
          </w:p>
        </w:tc>
      </w:tr>
      <w:tr w:rsidR="00FE461F" w:rsidRPr="005E4BEA" w14:paraId="71F9AC7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90FA53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8413FD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CZBO</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A3BCC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38.994,96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32D25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54,71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5F137E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712,76</w:t>
            </w:r>
          </w:p>
        </w:tc>
      </w:tr>
      <w:tr w:rsidR="00FE461F" w:rsidRPr="005E4BEA" w14:paraId="58D5C47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25B645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725668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(BGP Kranj)</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0DA10D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86.096,00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C602B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121,94</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F6320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706,05</w:t>
            </w:r>
          </w:p>
        </w:tc>
      </w:tr>
      <w:tr w:rsidR="00FE461F" w:rsidRPr="005E4BEA" w14:paraId="03E7D2A4"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BE022C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0A3736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SEŽANA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8E1B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154.196,74</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BC08C2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138,30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4CDBD6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1.114,94</w:t>
            </w:r>
          </w:p>
        </w:tc>
      </w:tr>
      <w:tr w:rsidR="00FE461F" w:rsidRPr="005E4BEA" w14:paraId="15B69F7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F88963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5F7EED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TOPOLŠICA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92516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181.410,65</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F497EB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199,40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18FD3A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909,78</w:t>
            </w:r>
          </w:p>
        </w:tc>
      </w:tr>
      <w:tr w:rsidR="00FE461F" w:rsidRPr="005E4BEA" w14:paraId="57A0AF7A"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A10086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41FE48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Klinika Golnik</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6902D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444.059,00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21C82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408,02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F0756F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1.088,33</w:t>
            </w:r>
          </w:p>
        </w:tc>
      </w:tr>
      <w:tr w:rsidR="00FE461F" w:rsidRPr="005E4BEA" w14:paraId="561E4D4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A78C27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5CA608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OI LJUBLJANA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FE6AF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1.258.848,16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FEB917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1.031,39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B3973D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1.220,54</w:t>
            </w:r>
          </w:p>
        </w:tc>
      </w:tr>
      <w:tr w:rsidR="00FE461F" w:rsidRPr="005E4BEA" w14:paraId="0B9D87D4"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388A4B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C24ED1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Psihiatrična bolnišnica Ormož</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FA8133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101.056,17</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F64E5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153,57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D2766C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658,05</w:t>
            </w:r>
          </w:p>
        </w:tc>
      </w:tr>
      <w:tr w:rsidR="00FE461F" w:rsidRPr="005E4BEA" w14:paraId="1DDC5E26"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5708CB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9D2DA8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PSHIATRIČNA KLINIKA LJ</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916B15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553.343,00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9EC60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679,55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41ED4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814,28</w:t>
            </w:r>
          </w:p>
        </w:tc>
      </w:tr>
      <w:tr w:rsidR="00FE461F" w:rsidRPr="005E4BEA" w14:paraId="26E5F45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A14928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246EE4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BREŽICE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302FC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251.142,00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A697D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294,32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0F1B570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853,30</w:t>
            </w:r>
          </w:p>
        </w:tc>
      </w:tr>
      <w:tr w:rsidR="00FE461F" w:rsidRPr="005E4BEA" w14:paraId="3AD2A821"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5EDC91A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ECD069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Celje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82B4E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1.973.988,55</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63114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2.013,34</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A99D6C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980,45</w:t>
            </w:r>
          </w:p>
        </w:tc>
      </w:tr>
      <w:tr w:rsidR="00FE461F" w:rsidRPr="005E4BEA" w14:paraId="402D9515"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E88C72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04D738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Izola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6567A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969.279,52</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B20C7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764,20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F955D6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1.268,36</w:t>
            </w:r>
          </w:p>
        </w:tc>
      </w:tr>
      <w:tr w:rsidR="00FE461F" w:rsidRPr="005E4BEA" w14:paraId="16E2DE52"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BD1DD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52ED1C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JESENICE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03328E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659.957,43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B5A6D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635,91</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4CEA6D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1.037,82</w:t>
            </w:r>
          </w:p>
        </w:tc>
      </w:tr>
      <w:tr w:rsidR="00FE461F" w:rsidRPr="005E4BEA" w14:paraId="147B7BAC"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877B85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3E6F50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Slovenj Gradec</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E532C8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642.645,13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E094E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714,33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6DBD5BE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899,65</w:t>
            </w:r>
          </w:p>
        </w:tc>
      </w:tr>
      <w:tr w:rsidR="00FE461F" w:rsidRPr="005E4BEA" w14:paraId="4491FD3D"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044255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15A3D3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URI - SOČA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EC794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682.657,76</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3F52EA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382,27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00C57D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1.785,80</w:t>
            </w:r>
          </w:p>
        </w:tc>
      </w:tr>
      <w:tr w:rsidR="00FE461F" w:rsidRPr="005E4BEA" w14:paraId="4B56216B"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2FACE0D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63B074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VALDOLTRA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9300D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641.784,09</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F940DF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444,67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DE8E99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1.443,28</w:t>
            </w:r>
          </w:p>
        </w:tc>
      </w:tr>
      <w:tr w:rsidR="00FE461F" w:rsidRPr="005E4BEA" w14:paraId="5F54042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24CDE5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9FB5D1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BOLNIŠNICA POSTOJNA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301E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85.596,11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01826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84,06</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98A07A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1.018,27</w:t>
            </w:r>
          </w:p>
        </w:tc>
      </w:tr>
      <w:tr w:rsidR="00FE461F" w:rsidRPr="005E4BEA" w14:paraId="042E12F3"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5313E3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bottom"/>
            <w:hideMark/>
          </w:tcPr>
          <w:p w14:paraId="3D2D88B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Mladinsko klimatsko zdravilišče Rakitna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E2DD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42.590,53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593FF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31,77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32F88C6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1.340,59</w:t>
            </w:r>
          </w:p>
        </w:tc>
      </w:tr>
      <w:tr w:rsidR="00FE461F" w:rsidRPr="005E4BEA" w14:paraId="1C83C01E"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699A01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EA035F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Psihiatrična bolnišnica Begunje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3438F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173.602,91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E755C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175,29</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2D1FA8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990,38</w:t>
            </w:r>
          </w:p>
        </w:tc>
      </w:tr>
      <w:tr w:rsidR="00FE461F" w:rsidRPr="005E4BEA" w14:paraId="12F1348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56DFA8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731707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Psihiatrična bolnišnica Idrija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B3D05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96.376,87</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4C1D9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210,00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A17825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458,94</w:t>
            </w:r>
          </w:p>
        </w:tc>
      </w:tr>
      <w:tr w:rsidR="00FE461F" w:rsidRPr="005E4BEA" w14:paraId="00FEC403"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A7A055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62C186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PB VOJNIK</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B0DE9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271.124,00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0572E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162,35</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BA0C05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1.670,00</w:t>
            </w:r>
          </w:p>
        </w:tc>
      </w:tr>
      <w:tr w:rsidR="00FE461F" w:rsidRPr="005E4BEA" w14:paraId="6EFCAAD9"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8B25FB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E0F956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MURSKA SOBOTA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E44B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794.091,85</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F36B2B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853,62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2072CB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930,26</w:t>
            </w:r>
          </w:p>
        </w:tc>
      </w:tr>
      <w:tr w:rsidR="00FE461F" w:rsidRPr="005E4BEA" w14:paraId="6C4D61FB"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E33427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3F899DF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"dr. Franca Derganca" Nova Gorica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7E7C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869.698,60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783E1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783,33</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7F1A4D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1.110,26</w:t>
            </w:r>
          </w:p>
        </w:tc>
      </w:tr>
      <w:tr w:rsidR="00FE461F" w:rsidRPr="005E4BEA" w14:paraId="5C5F385B"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FB4DBE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864572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Novo mesto</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C6F41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943.117,00</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32B655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1.037,12</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2DBFBF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909,36</w:t>
            </w:r>
          </w:p>
        </w:tc>
      </w:tr>
      <w:tr w:rsidR="00FE461F" w:rsidRPr="005E4BEA" w14:paraId="1C89F3A9"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4C01E94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05F2A0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PTUJ</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DDD05B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380.879,42</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314B4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450,07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5208B3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846,27</w:t>
            </w:r>
          </w:p>
        </w:tc>
      </w:tr>
      <w:tr w:rsidR="00FE461F" w:rsidRPr="005E4BEA" w14:paraId="7A43EE9A"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73555EB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lastRenderedPageBreak/>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vAlign w:val="center"/>
            <w:hideMark/>
          </w:tcPr>
          <w:p w14:paraId="2D1FF89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TRBOVLJE</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90657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230.753,91</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90567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296,27</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70514EA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778,86</w:t>
            </w:r>
          </w:p>
        </w:tc>
      </w:tr>
      <w:tr w:rsidR="00FE461F" w:rsidRPr="005E4BEA" w14:paraId="73000DCF"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1B258D2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AA4A06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MARIBOR</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A97E3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2.893.339,58</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5B905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3.243,00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58BD58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892,18</w:t>
            </w:r>
          </w:p>
        </w:tc>
      </w:tr>
      <w:tr w:rsidR="00FE461F" w:rsidRPr="005E4BEA" w14:paraId="4605F947" w14:textId="77777777" w:rsidTr="0016774B">
        <w:trPr>
          <w:trHeight w:val="204"/>
        </w:trPr>
        <w:tc>
          <w:tcPr>
            <w:tcW w:w="4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641EAF0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2019</w:t>
            </w:r>
          </w:p>
        </w:tc>
        <w:tc>
          <w:tcPr>
            <w:tcW w:w="4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14:paraId="082E01C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Ljubljana</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060AE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9.481.118,83</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DD05D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7.901,84</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2F2F2"/>
            <w:noWrap/>
            <w:vAlign w:val="bottom"/>
            <w:hideMark/>
          </w:tcPr>
          <w:p w14:paraId="1C355B8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1.199,86</w:t>
            </w:r>
          </w:p>
        </w:tc>
      </w:tr>
      <w:tr w:rsidR="00FE461F" w:rsidRPr="005E4BEA" w14:paraId="360B316A" w14:textId="77777777" w:rsidTr="0016774B">
        <w:trPr>
          <w:trHeight w:val="204"/>
        </w:trPr>
        <w:tc>
          <w:tcPr>
            <w:tcW w:w="474" w:type="dxa"/>
            <w:tcBorders>
              <w:top w:val="single" w:sz="4" w:space="0" w:color="808080" w:themeColor="background1" w:themeShade="80"/>
              <w:left w:val="nil"/>
              <w:bottom w:val="nil"/>
              <w:right w:val="nil"/>
            </w:tcBorders>
            <w:shd w:val="clear" w:color="auto" w:fill="auto"/>
            <w:noWrap/>
            <w:vAlign w:val="bottom"/>
            <w:hideMark/>
          </w:tcPr>
          <w:p w14:paraId="6E38F673" w14:textId="77777777" w:rsidR="00FE461F" w:rsidRPr="005E4BEA" w:rsidRDefault="00FE461F" w:rsidP="00FE461F">
            <w:pPr>
              <w:spacing w:line="240" w:lineRule="auto"/>
              <w:jc w:val="both"/>
              <w:rPr>
                <w:rFonts w:cs="Arial"/>
                <w:color w:val="808080" w:themeColor="background1" w:themeShade="80"/>
                <w:szCs w:val="20"/>
              </w:rPr>
            </w:pPr>
          </w:p>
        </w:tc>
        <w:tc>
          <w:tcPr>
            <w:tcW w:w="4362" w:type="dxa"/>
            <w:tcBorders>
              <w:top w:val="single" w:sz="4" w:space="0" w:color="808080" w:themeColor="background1" w:themeShade="80"/>
              <w:left w:val="nil"/>
              <w:bottom w:val="nil"/>
              <w:right w:val="single" w:sz="4" w:space="0" w:color="808080" w:themeColor="background1" w:themeShade="80"/>
            </w:tcBorders>
            <w:shd w:val="clear" w:color="auto" w:fill="auto"/>
            <w:noWrap/>
            <w:vAlign w:val="bottom"/>
            <w:hideMark/>
          </w:tcPr>
          <w:p w14:paraId="1A539BEE" w14:textId="77777777" w:rsidR="00FE461F" w:rsidRPr="005E4BEA" w:rsidRDefault="00FE461F" w:rsidP="00FE461F">
            <w:pPr>
              <w:spacing w:line="240" w:lineRule="auto"/>
              <w:jc w:val="both"/>
              <w:rPr>
                <w:rFonts w:cs="Arial"/>
                <w:color w:val="808080" w:themeColor="background1" w:themeShade="80"/>
                <w:szCs w:val="20"/>
              </w:rPr>
            </w:pP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491C09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31.263.418,12</w:t>
            </w: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9562F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31.393,30</w:t>
            </w:r>
          </w:p>
        </w:tc>
        <w:tc>
          <w:tcPr>
            <w:tcW w:w="14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C000"/>
            <w:noWrap/>
            <w:vAlign w:val="bottom"/>
            <w:hideMark/>
          </w:tcPr>
          <w:p w14:paraId="1C02E4A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995,86</w:t>
            </w:r>
          </w:p>
        </w:tc>
      </w:tr>
    </w:tbl>
    <w:p w14:paraId="6673794F" w14:textId="77777777" w:rsidR="00FE461F" w:rsidRPr="005E4BEA" w:rsidRDefault="00FE461F" w:rsidP="00FE461F">
      <w:pPr>
        <w:spacing w:line="240" w:lineRule="auto"/>
        <w:jc w:val="both"/>
        <w:rPr>
          <w:rFonts w:cs="Arial"/>
          <w:i/>
          <w:iCs/>
          <w:color w:val="808080" w:themeColor="background1" w:themeShade="80"/>
          <w:szCs w:val="20"/>
        </w:rPr>
      </w:pPr>
    </w:p>
    <w:p w14:paraId="7701C8A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(47.639 zaposlenih iz ure na dan 1.3.2021) 47,44 mio €</w:t>
      </w:r>
    </w:p>
    <w:p w14:paraId="1A7C9427" w14:textId="77777777" w:rsidR="00FE461F" w:rsidRPr="005E4BEA" w:rsidRDefault="00FE461F" w:rsidP="00FE461F">
      <w:pPr>
        <w:spacing w:line="240" w:lineRule="auto"/>
        <w:jc w:val="both"/>
        <w:rPr>
          <w:rFonts w:cs="Arial"/>
          <w:i/>
          <w:iCs/>
          <w:color w:val="808080" w:themeColor="background1" w:themeShade="80"/>
          <w:szCs w:val="20"/>
        </w:rPr>
      </w:pPr>
    </w:p>
    <w:p w14:paraId="412E5322" w14:textId="3DBBFF74" w:rsidR="0085180C" w:rsidRPr="005E4BEA" w:rsidRDefault="0085180C" w:rsidP="0011451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114511" w:rsidRPr="005E4BEA">
        <w:rPr>
          <w:rFonts w:eastAsia="Arial Narrow" w:cs="Arial"/>
          <w:szCs w:val="20"/>
        </w:rPr>
        <w:t>.</w:t>
      </w:r>
    </w:p>
    <w:p w14:paraId="24F09767" w14:textId="77777777" w:rsidR="00114511" w:rsidRPr="005E4BEA" w:rsidRDefault="00114511" w:rsidP="00114511">
      <w:pPr>
        <w:autoSpaceDE w:val="0"/>
        <w:autoSpaceDN w:val="0"/>
        <w:adjustRightInd w:val="0"/>
        <w:spacing w:line="0" w:lineRule="atLeast"/>
        <w:jc w:val="both"/>
        <w:rPr>
          <w:rFonts w:eastAsia="Arial Narrow" w:cs="Arial"/>
          <w:szCs w:val="20"/>
          <w:lang w:eastAsia="sl-SI"/>
        </w:rPr>
      </w:pPr>
    </w:p>
    <w:p w14:paraId="293807F5" w14:textId="5DFB3DCB"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19. člen Splošnega dogovora za pogodbeno leto 2022 ne spremeni.</w:t>
      </w:r>
    </w:p>
    <w:p w14:paraId="0FD13D1E" w14:textId="5C0ED9F0" w:rsidR="0085180C" w:rsidRPr="005E4BEA" w:rsidRDefault="0085180C"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(34)</w:t>
      </w:r>
    </w:p>
    <w:p w14:paraId="69226111" w14:textId="77777777" w:rsidR="0085180C" w:rsidRPr="005E4BEA" w:rsidRDefault="0085180C" w:rsidP="0085180C">
      <w:pPr>
        <w:spacing w:line="0" w:lineRule="atLeast"/>
        <w:ind w:left="360"/>
        <w:contextualSpacing/>
        <w:jc w:val="both"/>
        <w:rPr>
          <w:rFonts w:eastAsia="Arial Narrow" w:cs="Arial"/>
          <w:bCs/>
          <w:szCs w:val="20"/>
        </w:rPr>
      </w:pPr>
    </w:p>
    <w:p w14:paraId="73E47115" w14:textId="3A27FE4E" w:rsidR="00FE461F" w:rsidRPr="005E4BEA" w:rsidRDefault="0085180C" w:rsidP="0085180C">
      <w:pPr>
        <w:spacing w:line="0" w:lineRule="atLeast"/>
        <w:jc w:val="both"/>
        <w:rPr>
          <w:rFonts w:eastAsia="Calibri" w:cs="Arial"/>
          <w:bCs/>
          <w:szCs w:val="20"/>
        </w:rPr>
      </w:pPr>
      <w:r w:rsidRPr="005E4BEA">
        <w:rPr>
          <w:rFonts w:eastAsia="Arial Narrow" w:cs="Arial"/>
          <w:b/>
          <w:szCs w:val="20"/>
        </w:rPr>
        <w:t>Lekarniška zbornica Slovenije</w:t>
      </w:r>
      <w:r w:rsidRPr="005E4BEA">
        <w:rPr>
          <w:rFonts w:eastAsia="Arial Narrow" w:cs="Arial"/>
          <w:bCs/>
          <w:szCs w:val="20"/>
        </w:rPr>
        <w:t xml:space="preserve"> predlaga, da se s</w:t>
      </w:r>
      <w:r w:rsidR="00FE461F" w:rsidRPr="005E4BEA">
        <w:rPr>
          <w:rFonts w:eastAsia="Calibri" w:cs="Arial"/>
          <w:bCs/>
          <w:szCs w:val="20"/>
        </w:rPr>
        <w:t>premeni 19. člen, tako da se dopolni z novim (4) in (5) odstavkom, ki se glasita:</w:t>
      </w:r>
    </w:p>
    <w:p w14:paraId="1DD33289" w14:textId="77777777" w:rsidR="00FE461F" w:rsidRPr="005E4BEA" w:rsidRDefault="00FE461F" w:rsidP="00FE461F">
      <w:pPr>
        <w:spacing w:line="240" w:lineRule="auto"/>
        <w:jc w:val="both"/>
        <w:rPr>
          <w:rFonts w:eastAsia="Calibri" w:cs="Arial"/>
          <w:szCs w:val="20"/>
        </w:rPr>
      </w:pPr>
      <w:r w:rsidRPr="005E4BEA">
        <w:rPr>
          <w:rFonts w:eastAsia="Calibri" w:cs="Arial"/>
          <w:szCs w:val="20"/>
        </w:rPr>
        <w:t>»</w:t>
      </w:r>
    </w:p>
    <w:p w14:paraId="4A4667A5" w14:textId="77777777" w:rsidR="00FE461F" w:rsidRPr="005E4BEA" w:rsidRDefault="00FE461F" w:rsidP="00F356C9">
      <w:pPr>
        <w:numPr>
          <w:ilvl w:val="0"/>
          <w:numId w:val="60"/>
        </w:numPr>
        <w:spacing w:line="240" w:lineRule="auto"/>
        <w:jc w:val="both"/>
        <w:rPr>
          <w:rFonts w:eastAsia="Calibri" w:cs="Arial"/>
          <w:szCs w:val="20"/>
        </w:rPr>
      </w:pPr>
      <w:r w:rsidRPr="005E4BEA">
        <w:rPr>
          <w:rFonts w:eastAsia="Calibri" w:cs="Arial"/>
          <w:szCs w:val="20"/>
        </w:rPr>
        <w:t xml:space="preserve">Sredstva za regres za prehrano vračunajo v vrednost programov oziroma cene zdravstvenih storitev v skladu z objavo Ugotovitvenega sklepa o višini regresa za prehrano med delom za zaposlene v javnem sektorju v Uradnem listu dvakrat letno. Višina regresa za prehrano se določi z višino zakonsko določene regresa na planiranega delavca. </w:t>
      </w:r>
    </w:p>
    <w:p w14:paraId="0A02EF6C" w14:textId="77777777" w:rsidR="00FE461F" w:rsidRPr="005E4BEA" w:rsidRDefault="00FE461F" w:rsidP="00F356C9">
      <w:pPr>
        <w:numPr>
          <w:ilvl w:val="0"/>
          <w:numId w:val="60"/>
        </w:numPr>
        <w:spacing w:line="240" w:lineRule="auto"/>
        <w:jc w:val="both"/>
        <w:rPr>
          <w:rFonts w:eastAsia="Calibri" w:cs="Arial"/>
          <w:szCs w:val="20"/>
        </w:rPr>
      </w:pPr>
      <w:r w:rsidRPr="005E4BEA">
        <w:rPr>
          <w:rFonts w:eastAsia="Calibri" w:cs="Arial"/>
          <w:szCs w:val="20"/>
        </w:rPr>
        <w:t xml:space="preserve">Sredstva za prevoz na delo in iz dela se refundirajo izvajalcu v višini vsako leto preračunanih stroškov prevoza na delo in iz dela na planiranega delavca. </w:t>
      </w:r>
    </w:p>
    <w:p w14:paraId="2DA7CAD7" w14:textId="77777777" w:rsidR="00FE461F" w:rsidRPr="005E4BEA" w:rsidRDefault="00FE461F" w:rsidP="00FE461F">
      <w:pPr>
        <w:spacing w:line="240" w:lineRule="auto"/>
        <w:jc w:val="both"/>
        <w:rPr>
          <w:rFonts w:eastAsia="Calibri" w:cs="Arial"/>
          <w:szCs w:val="20"/>
          <w:lang w:eastAsia="sl-SI"/>
        </w:rPr>
      </w:pPr>
      <w:r w:rsidRPr="005E4BEA">
        <w:rPr>
          <w:rFonts w:eastAsia="Calibri" w:cs="Arial"/>
          <w:szCs w:val="20"/>
          <w:lang w:eastAsia="sl-SI"/>
        </w:rPr>
        <w:t>»</w:t>
      </w:r>
    </w:p>
    <w:p w14:paraId="191D7452"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1A043BF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Delodajalec mora delavcu zagotoviti povračilo stroškov za prehrano na delu in za prevoz na delo in z dela, v skladu s 130. členom Zakona o delovnih razmerjih (ZDR-1) (Povračila stroškov v zvezi z delom), in sicer na plačilni dan (134. člen). S tem v skladu predlagamo uskladitev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elementov cen zdravstvenih storitev in programov zdravstvenih storitev z zakonskimi obveznostmi. . </w:t>
      </w:r>
    </w:p>
    <w:p w14:paraId="2F7C5156" w14:textId="77777777" w:rsidR="00FE461F" w:rsidRPr="005E4BEA" w:rsidRDefault="00FE461F" w:rsidP="00FE461F">
      <w:pPr>
        <w:spacing w:line="240" w:lineRule="auto"/>
        <w:jc w:val="both"/>
        <w:rPr>
          <w:rFonts w:eastAsia="Calibri" w:cs="Arial"/>
          <w:i/>
          <w:color w:val="808080"/>
          <w:szCs w:val="20"/>
        </w:rPr>
      </w:pPr>
    </w:p>
    <w:p w14:paraId="4F49205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Oceno finančne posledice za strošek regresa za prehrano smo izračunali na podlagi trenutno veljavne vrednosti višine regresa za prehrano za javni sektor (4,369 EUR), povprečnim številom efektivnih delovnih dni (200=40 tednov * 5 dni) ter številom priznanih kadrov za lekarniško dejavnost (1.226,3065), in tako znaša 1.076,697,11 EUR. </w:t>
      </w:r>
    </w:p>
    <w:p w14:paraId="436A8A1D"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Oceno finančne posledice za strošek prevoza na delo in z dela smo izračunali na podlagi povprečne letne vrednosti stroškov prevoza na delo in z dela na dan iz bilanc za leto 2020 (613,00 EUR), povprečnim številom efektivnih delovnih dni (200=40 tednov*5 dni) ter številom priznanih kadrov za lekarniško dejavnost (1.226,3065), in tako znaša 751.725,88 EUR. </w:t>
      </w:r>
    </w:p>
    <w:p w14:paraId="69415293" w14:textId="77777777" w:rsidR="00FE461F" w:rsidRPr="005E4BEA" w:rsidRDefault="00FE461F" w:rsidP="00FE461F">
      <w:pPr>
        <w:spacing w:line="240" w:lineRule="auto"/>
        <w:jc w:val="both"/>
        <w:rPr>
          <w:rFonts w:eastAsia="Calibri" w:cs="Arial"/>
          <w:i/>
          <w:color w:val="808080"/>
          <w:szCs w:val="20"/>
        </w:rPr>
      </w:pPr>
    </w:p>
    <w:p w14:paraId="0A09BBA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skupne finančne posledice za lekarniško dejavnost: 1.828.422,99 EUR (sredstva OZZ in PZZ).</w:t>
      </w:r>
    </w:p>
    <w:p w14:paraId="3270BEE0" w14:textId="548E1585"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69DC8554" w14:textId="4BF3C493" w:rsidR="0085180C" w:rsidRPr="005E4BEA" w:rsidRDefault="0085180C" w:rsidP="00FE461F">
      <w:pPr>
        <w:spacing w:line="240" w:lineRule="auto"/>
        <w:jc w:val="both"/>
        <w:rPr>
          <w:rFonts w:eastAsia="Calibri" w:cs="Arial"/>
          <w:i/>
          <w:color w:val="808080"/>
          <w:szCs w:val="20"/>
        </w:rPr>
      </w:pPr>
    </w:p>
    <w:p w14:paraId="7DB0559E" w14:textId="77777777" w:rsidR="0085180C" w:rsidRPr="005E4BEA" w:rsidRDefault="0085180C" w:rsidP="0085180C">
      <w:pPr>
        <w:spacing w:line="240" w:lineRule="auto"/>
        <w:jc w:val="both"/>
        <w:rPr>
          <w:rFonts w:cs="Arial"/>
          <w:i/>
          <w:iCs/>
          <w:color w:val="808080" w:themeColor="background1" w:themeShade="80"/>
          <w:szCs w:val="20"/>
        </w:rPr>
      </w:pPr>
    </w:p>
    <w:p w14:paraId="295DE657" w14:textId="563B4333" w:rsidR="00114511" w:rsidRPr="005E4BEA" w:rsidRDefault="00114511" w:rsidP="0011451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25A5EDE" w14:textId="77777777" w:rsidR="00114511" w:rsidRPr="005E4BEA" w:rsidRDefault="00114511" w:rsidP="00114511">
      <w:pPr>
        <w:autoSpaceDE w:val="0"/>
        <w:autoSpaceDN w:val="0"/>
        <w:adjustRightInd w:val="0"/>
        <w:spacing w:line="0" w:lineRule="atLeast"/>
        <w:jc w:val="both"/>
        <w:rPr>
          <w:rFonts w:eastAsia="Arial Narrow" w:cs="Arial"/>
          <w:szCs w:val="20"/>
          <w:lang w:eastAsia="sl-SI"/>
        </w:rPr>
      </w:pPr>
    </w:p>
    <w:p w14:paraId="3304F3EF" w14:textId="77777777" w:rsidR="0085180C" w:rsidRPr="005E4BEA" w:rsidRDefault="0085180C" w:rsidP="0085180C">
      <w:pPr>
        <w:spacing w:line="0" w:lineRule="atLeast"/>
        <w:jc w:val="both"/>
        <w:rPr>
          <w:rFonts w:eastAsia="Arial Narrow" w:cs="Arial"/>
          <w:szCs w:val="20"/>
          <w:lang w:eastAsia="sl-SI"/>
        </w:rPr>
      </w:pPr>
    </w:p>
    <w:p w14:paraId="600EE72C" w14:textId="77777777"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19. člen Splošnega dogovora za pogodbeno leto 2022 ne spremeni.</w:t>
      </w:r>
    </w:p>
    <w:p w14:paraId="61C92C2B" w14:textId="77777777" w:rsidR="0085180C" w:rsidRPr="005E4BEA" w:rsidRDefault="0085180C" w:rsidP="00FE461F">
      <w:pPr>
        <w:spacing w:line="240" w:lineRule="auto"/>
        <w:jc w:val="both"/>
        <w:rPr>
          <w:rFonts w:eastAsia="Calibri" w:cs="Arial"/>
          <w:i/>
          <w:color w:val="808080"/>
          <w:szCs w:val="20"/>
        </w:rPr>
      </w:pPr>
    </w:p>
    <w:p w14:paraId="02455F60" w14:textId="77777777" w:rsidR="0085180C" w:rsidRPr="005E4BEA" w:rsidRDefault="0085180C" w:rsidP="0085180C">
      <w:pPr>
        <w:spacing w:line="0" w:lineRule="atLeast"/>
        <w:jc w:val="both"/>
        <w:rPr>
          <w:rFonts w:eastAsia="Arial Narrow" w:cs="Arial"/>
          <w:szCs w:val="20"/>
        </w:rPr>
      </w:pPr>
    </w:p>
    <w:p w14:paraId="3A6892FC" w14:textId="47651DC3" w:rsidR="0085180C" w:rsidRPr="005E4BEA" w:rsidRDefault="0085180C"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(35)</w:t>
      </w:r>
    </w:p>
    <w:p w14:paraId="58DB8E5C" w14:textId="77777777" w:rsidR="0085180C" w:rsidRPr="005E4BEA" w:rsidRDefault="0085180C" w:rsidP="0085180C">
      <w:pPr>
        <w:spacing w:line="0" w:lineRule="atLeast"/>
        <w:ind w:left="360"/>
        <w:contextualSpacing/>
        <w:jc w:val="both"/>
        <w:rPr>
          <w:rFonts w:eastAsia="Arial Narrow" w:cs="Arial"/>
          <w:bCs/>
          <w:szCs w:val="20"/>
        </w:rPr>
      </w:pPr>
    </w:p>
    <w:p w14:paraId="2BE342DF" w14:textId="7FB95F77" w:rsidR="00FE461F" w:rsidRPr="005E4BEA" w:rsidRDefault="0085180C" w:rsidP="0085180C">
      <w:pPr>
        <w:spacing w:line="240" w:lineRule="auto"/>
        <w:jc w:val="both"/>
        <w:rPr>
          <w:rFonts w:cs="Arial"/>
          <w:bCs/>
          <w:kern w:val="24"/>
          <w:szCs w:val="20"/>
          <w:lang w:eastAsia="sl-SI"/>
        </w:rPr>
      </w:pPr>
      <w:r w:rsidRPr="005E4BEA">
        <w:rPr>
          <w:rFonts w:eastAsia="Arial Narrow" w:cs="Arial"/>
          <w:b/>
          <w:szCs w:val="20"/>
        </w:rPr>
        <w:t>Skupnost socialnih zavodov Slovenije</w:t>
      </w:r>
      <w:r w:rsidRPr="005E4BEA">
        <w:rPr>
          <w:rFonts w:eastAsia="Arial Narrow" w:cs="Arial"/>
          <w:bCs/>
          <w:szCs w:val="20"/>
        </w:rPr>
        <w:t xml:space="preserve"> predlaga, da se  </w:t>
      </w:r>
      <w:r w:rsidRPr="005E4BEA">
        <w:rPr>
          <w:rFonts w:eastAsia="Calibri" w:cs="Arial"/>
          <w:bCs/>
          <w:szCs w:val="20"/>
        </w:rPr>
        <w:t>19. člen</w:t>
      </w:r>
      <w:r w:rsidR="00FE461F" w:rsidRPr="005E4BEA">
        <w:rPr>
          <w:rFonts w:cs="Arial"/>
          <w:bCs/>
          <w:kern w:val="24"/>
          <w:szCs w:val="20"/>
          <w:lang w:eastAsia="sl-SI"/>
        </w:rPr>
        <w:t xml:space="preserve"> dopolni  z novim (1) odstavkom, ki glasi: </w:t>
      </w:r>
    </w:p>
    <w:p w14:paraId="48891D6F" w14:textId="77777777" w:rsidR="00FE461F" w:rsidRPr="005E4BEA" w:rsidRDefault="00FE461F" w:rsidP="00FE461F">
      <w:pPr>
        <w:spacing w:line="240" w:lineRule="auto"/>
        <w:rPr>
          <w:rFonts w:cs="Arial"/>
          <w:color w:val="000000" w:themeColor="text1"/>
          <w:kern w:val="24"/>
          <w:szCs w:val="20"/>
          <w:lang w:eastAsia="sl-SI"/>
        </w:rPr>
      </w:pPr>
    </w:p>
    <w:p w14:paraId="4F3AFC8C" w14:textId="77777777" w:rsidR="00FE461F" w:rsidRPr="005E4BEA" w:rsidRDefault="00FE461F" w:rsidP="00FE461F">
      <w:pPr>
        <w:spacing w:line="240" w:lineRule="auto"/>
        <w:jc w:val="both"/>
        <w:rPr>
          <w:rFonts w:cs="Arial"/>
          <w:kern w:val="24"/>
          <w:szCs w:val="20"/>
          <w:lang w:eastAsia="sl-SI"/>
        </w:rPr>
      </w:pPr>
      <w:r w:rsidRPr="005E4BEA">
        <w:rPr>
          <w:rFonts w:cs="Arial"/>
          <w:kern w:val="24"/>
          <w:szCs w:val="20"/>
          <w:lang w:eastAsia="sl-SI"/>
        </w:rPr>
        <w:t xml:space="preserve">»(1) Sredstva za regres za prehrano se vračunajo v vrednost programov oziroma cene zdravstvenih storitev v skladu z objavo Ugotovitvenega sklepa o višini regresa za prehrano med delom za zaposlene v javnem sektorju v Uradnem listu dvakrat letno. </w:t>
      </w:r>
    </w:p>
    <w:p w14:paraId="24F75CCE" w14:textId="77777777" w:rsidR="00FE461F" w:rsidRPr="005E4BEA" w:rsidRDefault="00FE461F" w:rsidP="00FE461F">
      <w:pPr>
        <w:spacing w:line="240" w:lineRule="auto"/>
        <w:jc w:val="both"/>
        <w:rPr>
          <w:rFonts w:cs="Arial"/>
          <w:kern w:val="24"/>
          <w:szCs w:val="20"/>
          <w:lang w:eastAsia="sl-SI"/>
        </w:rPr>
      </w:pPr>
      <w:r w:rsidRPr="005E4BEA">
        <w:rPr>
          <w:rFonts w:cs="Arial"/>
          <w:kern w:val="24"/>
          <w:szCs w:val="20"/>
          <w:lang w:eastAsia="sl-SI"/>
        </w:rPr>
        <w:t>Višina regresa za prehrano se določi v višini zakonsko določenega regresa na planiranega delavca glede na realizacijo ZN preteklega leta. Namenska sredstva za regres za prehrano se v kalkulacijah prikazujejo ločeno.«</w:t>
      </w:r>
    </w:p>
    <w:p w14:paraId="40B00B6D" w14:textId="77777777" w:rsidR="00FE461F" w:rsidRPr="005E4BEA" w:rsidRDefault="00FE461F" w:rsidP="00FE461F">
      <w:pPr>
        <w:spacing w:line="240" w:lineRule="auto"/>
        <w:rPr>
          <w:rFonts w:cs="Arial"/>
          <w:kern w:val="24"/>
          <w:szCs w:val="20"/>
          <w:lang w:eastAsia="sl-SI"/>
        </w:rPr>
      </w:pPr>
    </w:p>
    <w:p w14:paraId="3CB31E1A" w14:textId="77777777" w:rsidR="00FE461F" w:rsidRPr="005E4BEA" w:rsidRDefault="00FE461F" w:rsidP="00FE461F">
      <w:pPr>
        <w:spacing w:line="240" w:lineRule="auto"/>
        <w:rPr>
          <w:rFonts w:cs="Arial"/>
          <w:b/>
          <w:bCs/>
          <w:kern w:val="24"/>
          <w:szCs w:val="20"/>
          <w:lang w:eastAsia="sl-SI"/>
        </w:rPr>
      </w:pPr>
      <w:r w:rsidRPr="005E4BEA">
        <w:rPr>
          <w:rFonts w:cs="Arial"/>
          <w:b/>
          <w:bCs/>
          <w:kern w:val="24"/>
          <w:szCs w:val="20"/>
          <w:lang w:eastAsia="sl-SI"/>
        </w:rPr>
        <w:t>Odstavek (1) postane odstavek (2), odstavek (2) postane odstavek (3) in odstavek (3) postane odstavek (4).</w:t>
      </w:r>
    </w:p>
    <w:p w14:paraId="3E96AC8E" w14:textId="77777777" w:rsidR="00FE461F" w:rsidRPr="005E4BEA" w:rsidRDefault="00FE461F" w:rsidP="00FE461F">
      <w:pPr>
        <w:spacing w:line="240" w:lineRule="auto"/>
        <w:rPr>
          <w:rFonts w:cs="Arial"/>
          <w:kern w:val="24"/>
          <w:szCs w:val="20"/>
          <w:lang w:eastAsia="sl-SI"/>
        </w:rPr>
      </w:pPr>
    </w:p>
    <w:p w14:paraId="356686A6" w14:textId="77777777" w:rsidR="00FE461F" w:rsidRPr="005E4BEA" w:rsidRDefault="00FE461F" w:rsidP="00FE461F">
      <w:pPr>
        <w:spacing w:line="240" w:lineRule="auto"/>
        <w:jc w:val="both"/>
        <w:rPr>
          <w:rFonts w:cs="Arial"/>
          <w:i/>
          <w:iCs/>
          <w:color w:val="767171" w:themeColor="background2" w:themeShade="80"/>
          <w:kern w:val="24"/>
          <w:szCs w:val="20"/>
          <w:u w:val="single"/>
          <w:lang w:eastAsia="sl-SI"/>
        </w:rPr>
      </w:pPr>
      <w:r w:rsidRPr="005E4BEA">
        <w:rPr>
          <w:rFonts w:cs="Arial"/>
          <w:i/>
          <w:iCs/>
          <w:color w:val="767171" w:themeColor="background2" w:themeShade="80"/>
          <w:kern w:val="24"/>
          <w:szCs w:val="20"/>
          <w:u w:val="single"/>
          <w:lang w:eastAsia="sl-SI"/>
        </w:rPr>
        <w:t xml:space="preserve">Obrazložitev: </w:t>
      </w:r>
    </w:p>
    <w:p w14:paraId="39485796"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 xml:space="preserve">Delodajalec mora delavcu zagotoviti povračilo stroškov za prehrano med delom, kar je opredeljeno v 130. členu Zakona o delovnih razmerjih (ZDR-1), ki določa, da je delodajalec delavcu dolžan povrniti stroške v zvezi s prehrano na delu mesečno, in sicer na plačilni dan. </w:t>
      </w:r>
    </w:p>
    <w:p w14:paraId="2754E1B2" w14:textId="77777777" w:rsidR="00FE461F" w:rsidRPr="005E4BEA" w:rsidRDefault="00FE461F" w:rsidP="00FE461F">
      <w:pPr>
        <w:spacing w:line="240" w:lineRule="auto"/>
        <w:ind w:left="360"/>
        <w:jc w:val="both"/>
        <w:rPr>
          <w:rFonts w:cs="Arial"/>
          <w:i/>
          <w:iCs/>
          <w:color w:val="767171" w:themeColor="background2" w:themeShade="80"/>
          <w:kern w:val="24"/>
          <w:szCs w:val="20"/>
          <w:lang w:eastAsia="sl-SI"/>
        </w:rPr>
      </w:pPr>
    </w:p>
    <w:p w14:paraId="7E633916"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 xml:space="preserve">Po definiciji 8. člena in 9. člena Splošnega dogovora 2021, ki določata elemente za oblikovanje cen zdravstvenih storitev, je RZPD dodatek iz naslova drugih prejemkov zaposlenih po kolektivni pogodbi in zakonsko predpisani obveznosti izvajalcev programa in bi moral biti vračunan v cene zdravstvenih storitev. </w:t>
      </w:r>
    </w:p>
    <w:p w14:paraId="3F91EF83"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p>
    <w:p w14:paraId="5C9E4B6E"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 xml:space="preserve">V 14. členu SD 2021, ki podrobneje opredeljuje in določa stroške, ki so vključeni v </w:t>
      </w:r>
      <w:proofErr w:type="spellStart"/>
      <w:r w:rsidRPr="005E4BEA">
        <w:rPr>
          <w:rFonts w:cs="Arial"/>
          <w:i/>
          <w:iCs/>
          <w:color w:val="767171" w:themeColor="background2" w:themeShade="80"/>
          <w:kern w:val="24"/>
          <w:szCs w:val="20"/>
          <w:lang w:eastAsia="sl-SI"/>
        </w:rPr>
        <w:t>kalkulativni</w:t>
      </w:r>
      <w:proofErr w:type="spellEnd"/>
      <w:r w:rsidRPr="005E4BEA">
        <w:rPr>
          <w:rFonts w:cs="Arial"/>
          <w:i/>
          <w:iCs/>
          <w:color w:val="767171" w:themeColor="background2" w:themeShade="80"/>
          <w:kern w:val="24"/>
          <w:szCs w:val="20"/>
          <w:lang w:eastAsia="sl-SI"/>
        </w:rPr>
        <w:t xml:space="preserve"> element materialnih stroškov prav tako ni opredeljenih stroškov povračila za prehrano na delu.  </w:t>
      </w:r>
    </w:p>
    <w:p w14:paraId="3FC0A8CE"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p>
    <w:p w14:paraId="5D18CB9D"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Ravno tako se s spremembo kadrovskega normativa v standardih ni spreminjala višina priznanega materialnega stroška, ki bi se morala v primerih, ko se v standardu prizna ali zmanjša dodatni kader. S Splošnim dogovorom 2021 se je spremenil kadrovski normativ pri zdravstvenem tehniku pri negi 3.</w:t>
      </w:r>
    </w:p>
    <w:p w14:paraId="1B482BA4"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p>
    <w:p w14:paraId="3ABEF1BE"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r w:rsidRPr="005E4BEA">
        <w:rPr>
          <w:rFonts w:cs="Arial"/>
          <w:b/>
          <w:bCs/>
          <w:i/>
          <w:iCs/>
          <w:color w:val="767171" w:themeColor="background2" w:themeShade="80"/>
          <w:kern w:val="24"/>
          <w:szCs w:val="20"/>
          <w:lang w:eastAsia="sl-SI"/>
        </w:rPr>
        <w:t>Povprečna cena zdravstvene nege na dan bi se morala pri splošnih in posebnih SVZ-jih dvigniti za 0,74 eur.</w:t>
      </w:r>
      <w:r w:rsidRPr="005E4BEA">
        <w:rPr>
          <w:rFonts w:cs="Arial"/>
          <w:i/>
          <w:iCs/>
          <w:color w:val="767171" w:themeColor="background2" w:themeShade="80"/>
          <w:kern w:val="24"/>
          <w:szCs w:val="20"/>
          <w:lang w:eastAsia="sl-SI"/>
        </w:rPr>
        <w:t xml:space="preserve"> </w:t>
      </w:r>
    </w:p>
    <w:p w14:paraId="4A4CE495"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Prikaz izračuna: 4,30 eur (regres za prehrano v obdobju 1.7. - 31.12. 2021) x 5575 (št. zaposlenih) x 220 (20 dni x 11 mes.) / 7.092.534 (realizacija ZN) = 0,74 EUR</w:t>
      </w:r>
    </w:p>
    <w:p w14:paraId="02EA0AD0" w14:textId="77777777" w:rsidR="00FE461F" w:rsidRPr="005E4BEA" w:rsidRDefault="00FE461F" w:rsidP="00FE461F">
      <w:pPr>
        <w:spacing w:line="240" w:lineRule="auto"/>
        <w:jc w:val="both"/>
        <w:rPr>
          <w:rFonts w:cs="Arial"/>
          <w:i/>
          <w:iCs/>
          <w:color w:val="767171" w:themeColor="background2" w:themeShade="80"/>
          <w:kern w:val="24"/>
          <w:szCs w:val="20"/>
          <w:lang w:eastAsia="sl-SI"/>
        </w:rPr>
      </w:pPr>
    </w:p>
    <w:p w14:paraId="67AD8981" w14:textId="77777777" w:rsidR="00FE461F" w:rsidRPr="005E4BEA" w:rsidRDefault="00FE461F" w:rsidP="00FE461F">
      <w:pPr>
        <w:spacing w:line="240" w:lineRule="auto"/>
        <w:rPr>
          <w:rFonts w:cs="Arial"/>
          <w:b/>
          <w:bCs/>
          <w:i/>
          <w:iCs/>
          <w:color w:val="767171" w:themeColor="background2" w:themeShade="80"/>
          <w:kern w:val="24"/>
          <w:szCs w:val="20"/>
          <w:lang w:eastAsia="sl-SI"/>
        </w:rPr>
      </w:pPr>
      <w:r w:rsidRPr="005E4BEA">
        <w:rPr>
          <w:rFonts w:cs="Arial"/>
          <w:b/>
          <w:bCs/>
          <w:i/>
          <w:iCs/>
          <w:color w:val="767171" w:themeColor="background2" w:themeShade="80"/>
          <w:kern w:val="24"/>
          <w:szCs w:val="20"/>
          <w:lang w:eastAsia="sl-SI"/>
        </w:rPr>
        <w:t>Finančni učinek: 5.273.950 eur</w:t>
      </w:r>
    </w:p>
    <w:p w14:paraId="0780FFB2" w14:textId="77777777" w:rsidR="00FE461F" w:rsidRPr="005E4BEA" w:rsidRDefault="00FE461F" w:rsidP="00F356C9">
      <w:pPr>
        <w:numPr>
          <w:ilvl w:val="0"/>
          <w:numId w:val="74"/>
        </w:numPr>
        <w:spacing w:after="160" w:line="259" w:lineRule="auto"/>
        <w:contextualSpacing/>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Regres za prehrano je v obdobju 1.1. - 30.6. 2021 znašal 3,99 eur na dan/</w:t>
      </w:r>
      <w:proofErr w:type="spellStart"/>
      <w:r w:rsidRPr="005E4BEA">
        <w:rPr>
          <w:rFonts w:cs="Arial"/>
          <w:i/>
          <w:iCs/>
          <w:color w:val="767171" w:themeColor="background2" w:themeShade="80"/>
          <w:kern w:val="24"/>
          <w:szCs w:val="20"/>
          <w:lang w:eastAsia="sl-SI"/>
        </w:rPr>
        <w:t>zap</w:t>
      </w:r>
      <w:proofErr w:type="spellEnd"/>
      <w:r w:rsidRPr="005E4BEA">
        <w:rPr>
          <w:rFonts w:cs="Arial"/>
          <w:i/>
          <w:iCs/>
          <w:color w:val="767171" w:themeColor="background2" w:themeShade="80"/>
          <w:kern w:val="24"/>
          <w:szCs w:val="20"/>
          <w:lang w:eastAsia="sl-SI"/>
        </w:rPr>
        <w:t>, kar bi na letni ravni (20 dni x 11 mes.) pomenilo 877,80 eur na zaposlenega. V DSO-jih in posebnih zavodih za odrasle je skupaj zaposlenih 5575 oseb, kar predstavlja finančni učinek v višini 4.893.735 eur.</w:t>
      </w:r>
    </w:p>
    <w:p w14:paraId="7ADE145F" w14:textId="53E0FE45" w:rsidR="00FE461F" w:rsidRPr="005E4BEA" w:rsidRDefault="00FE461F" w:rsidP="00F356C9">
      <w:pPr>
        <w:numPr>
          <w:ilvl w:val="0"/>
          <w:numId w:val="74"/>
        </w:numPr>
        <w:spacing w:after="160" w:line="259" w:lineRule="auto"/>
        <w:contextualSpacing/>
        <w:jc w:val="both"/>
        <w:rPr>
          <w:rFonts w:cs="Arial"/>
          <w:i/>
          <w:iCs/>
          <w:color w:val="767171" w:themeColor="background2" w:themeShade="80"/>
          <w:kern w:val="24"/>
          <w:szCs w:val="20"/>
          <w:lang w:eastAsia="sl-SI"/>
        </w:rPr>
      </w:pPr>
      <w:r w:rsidRPr="005E4BEA">
        <w:rPr>
          <w:rFonts w:cs="Arial"/>
          <w:i/>
          <w:iCs/>
          <w:color w:val="767171" w:themeColor="background2" w:themeShade="80"/>
          <w:kern w:val="24"/>
          <w:szCs w:val="20"/>
          <w:lang w:eastAsia="sl-SI"/>
        </w:rPr>
        <w:t>Regres za prehrano je v obdobju 1.7. - 31.12. 2021 znašal 4,30 eur na dan/</w:t>
      </w:r>
      <w:proofErr w:type="spellStart"/>
      <w:r w:rsidRPr="005E4BEA">
        <w:rPr>
          <w:rFonts w:cs="Arial"/>
          <w:i/>
          <w:iCs/>
          <w:color w:val="767171" w:themeColor="background2" w:themeShade="80"/>
          <w:kern w:val="24"/>
          <w:szCs w:val="20"/>
          <w:lang w:eastAsia="sl-SI"/>
        </w:rPr>
        <w:t>zap</w:t>
      </w:r>
      <w:proofErr w:type="spellEnd"/>
      <w:r w:rsidRPr="005E4BEA">
        <w:rPr>
          <w:rFonts w:cs="Arial"/>
          <w:i/>
          <w:iCs/>
          <w:color w:val="767171" w:themeColor="background2" w:themeShade="80"/>
          <w:kern w:val="24"/>
          <w:szCs w:val="20"/>
          <w:lang w:eastAsia="sl-SI"/>
        </w:rPr>
        <w:t>, kar bi na letni ravni (20 dni x 11 mes.) pomenilo 946,00 eur na zaposlenega. V DSO-jih in posebnih zavodih za odrasle je skupaj zaposlenih 5575 oseb, kar predstavlja finančni učinek v višini 5.273.950 eur.</w:t>
      </w:r>
    </w:p>
    <w:p w14:paraId="79877DF2" w14:textId="77777777" w:rsidR="0085180C" w:rsidRPr="005E4BEA" w:rsidRDefault="0085180C" w:rsidP="0085180C">
      <w:pPr>
        <w:spacing w:after="160" w:line="259" w:lineRule="auto"/>
        <w:contextualSpacing/>
        <w:jc w:val="both"/>
        <w:rPr>
          <w:rFonts w:cs="Arial"/>
          <w:i/>
          <w:iCs/>
          <w:color w:val="767171" w:themeColor="background2" w:themeShade="80"/>
          <w:kern w:val="24"/>
          <w:szCs w:val="20"/>
          <w:lang w:eastAsia="sl-SI"/>
        </w:rPr>
      </w:pPr>
    </w:p>
    <w:p w14:paraId="7043CC18" w14:textId="77777777" w:rsidR="00114511" w:rsidRPr="005E4BEA" w:rsidRDefault="00114511" w:rsidP="0011451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26F1CF7" w14:textId="77777777" w:rsidR="0085180C" w:rsidRPr="005E4BEA" w:rsidRDefault="0085180C" w:rsidP="0085180C">
      <w:pPr>
        <w:spacing w:line="0" w:lineRule="atLeast"/>
        <w:jc w:val="both"/>
        <w:rPr>
          <w:rFonts w:eastAsia="Arial Narrow" w:cs="Arial"/>
          <w:szCs w:val="20"/>
          <w:lang w:eastAsia="sl-SI"/>
        </w:rPr>
      </w:pPr>
    </w:p>
    <w:p w14:paraId="6BB6EB4C" w14:textId="77777777" w:rsidR="0085180C" w:rsidRPr="005E4BEA" w:rsidRDefault="0085180C" w:rsidP="0085180C">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19. člen Splošnega dogovora za pogodbeno leto 2022 ne spremeni.</w:t>
      </w:r>
    </w:p>
    <w:p w14:paraId="0B9393CC" w14:textId="3799C251" w:rsidR="0085180C" w:rsidRPr="005E4BEA" w:rsidRDefault="0085180C" w:rsidP="00FE461F">
      <w:pPr>
        <w:spacing w:after="160" w:line="259" w:lineRule="auto"/>
        <w:ind w:left="720"/>
        <w:contextualSpacing/>
        <w:jc w:val="both"/>
        <w:rPr>
          <w:rFonts w:cs="Arial"/>
          <w:i/>
          <w:iCs/>
          <w:color w:val="767171" w:themeColor="background2" w:themeShade="80"/>
          <w:kern w:val="24"/>
          <w:szCs w:val="20"/>
          <w:lang w:eastAsia="sl-SI"/>
        </w:rPr>
      </w:pPr>
    </w:p>
    <w:p w14:paraId="0F95C0F1" w14:textId="77777777" w:rsidR="0085180C" w:rsidRPr="005E4BEA" w:rsidRDefault="0085180C" w:rsidP="0085180C">
      <w:pPr>
        <w:spacing w:line="0" w:lineRule="atLeast"/>
        <w:jc w:val="both"/>
        <w:rPr>
          <w:rFonts w:eastAsia="Arial Narrow" w:cs="Arial"/>
          <w:szCs w:val="20"/>
        </w:rPr>
      </w:pPr>
    </w:p>
    <w:p w14:paraId="7F17A554" w14:textId="65F767FD" w:rsidR="0085180C" w:rsidRPr="005E4BEA" w:rsidRDefault="0085180C"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(36)</w:t>
      </w:r>
    </w:p>
    <w:p w14:paraId="492E882B" w14:textId="77777777" w:rsidR="0085180C" w:rsidRPr="005E4BEA" w:rsidRDefault="0085180C" w:rsidP="0085180C">
      <w:pPr>
        <w:spacing w:line="0" w:lineRule="atLeast"/>
        <w:ind w:left="360"/>
        <w:contextualSpacing/>
        <w:jc w:val="both"/>
        <w:rPr>
          <w:rFonts w:eastAsia="Arial Narrow" w:cs="Arial"/>
          <w:bCs/>
          <w:szCs w:val="20"/>
        </w:rPr>
      </w:pPr>
    </w:p>
    <w:p w14:paraId="798B69E3" w14:textId="7A937773" w:rsidR="00FE461F" w:rsidRPr="005E4BEA" w:rsidRDefault="0085180C" w:rsidP="0085180C">
      <w:pPr>
        <w:spacing w:line="240" w:lineRule="auto"/>
        <w:jc w:val="both"/>
        <w:rPr>
          <w:rFonts w:cs="Arial"/>
          <w:bCs/>
          <w:szCs w:val="20"/>
          <w:lang w:eastAsia="en-GB"/>
        </w:rPr>
      </w:pPr>
      <w:r w:rsidRPr="005E4BEA">
        <w:rPr>
          <w:rFonts w:eastAsia="Arial Narrow" w:cs="Arial"/>
          <w:b/>
          <w:szCs w:val="20"/>
        </w:rPr>
        <w:t>Skupnost socialnih zavodov Slovenije</w:t>
      </w:r>
      <w:r w:rsidRPr="005E4BEA">
        <w:rPr>
          <w:rFonts w:eastAsia="Arial Narrow" w:cs="Arial"/>
          <w:bCs/>
          <w:szCs w:val="20"/>
        </w:rPr>
        <w:t xml:space="preserve"> predlaga, da se </w:t>
      </w:r>
      <w:r w:rsidR="00FE461F" w:rsidRPr="005E4BEA">
        <w:rPr>
          <w:rFonts w:cs="Arial"/>
          <w:bCs/>
          <w:szCs w:val="20"/>
          <w:lang w:eastAsia="en-GB"/>
        </w:rPr>
        <w:t xml:space="preserve">19. člen SD 2022 dopolni  z novim (3) odstavkom, ki glasi: </w:t>
      </w:r>
    </w:p>
    <w:p w14:paraId="746A1A27" w14:textId="77777777" w:rsidR="00FE461F" w:rsidRPr="005E4BEA" w:rsidRDefault="00FE461F" w:rsidP="00FE461F">
      <w:pPr>
        <w:spacing w:line="240" w:lineRule="auto"/>
        <w:jc w:val="both"/>
        <w:textAlignment w:val="baseline"/>
        <w:rPr>
          <w:rFonts w:cs="Arial"/>
          <w:b/>
          <w:bCs/>
          <w:szCs w:val="20"/>
          <w:lang w:eastAsia="en-GB"/>
        </w:rPr>
      </w:pPr>
    </w:p>
    <w:p w14:paraId="257A5191" w14:textId="77777777" w:rsidR="00FE461F" w:rsidRPr="005E4BEA" w:rsidRDefault="00FE461F" w:rsidP="00FE461F">
      <w:pPr>
        <w:spacing w:line="240" w:lineRule="auto"/>
        <w:jc w:val="both"/>
        <w:textAlignment w:val="baseline"/>
        <w:rPr>
          <w:rFonts w:cs="Arial"/>
          <w:szCs w:val="20"/>
          <w:lang w:eastAsia="en-GB"/>
        </w:rPr>
      </w:pPr>
      <w:r w:rsidRPr="005E4BEA">
        <w:rPr>
          <w:rFonts w:cs="Arial"/>
          <w:szCs w:val="20"/>
          <w:lang w:eastAsia="en-GB"/>
        </w:rPr>
        <w:t>»(3) Sredstva za prevoz na delo in iz dela se refundirajo izvajalcu v višini vsako leto preračunanih povprečnih stroškov prevoza na delo in iz dela glede na realizacijo preteklega leta. Namenska sredstva za prevoza na delo in iz dela se v kalkulacijah prikazujejo ločeno.«</w:t>
      </w:r>
    </w:p>
    <w:p w14:paraId="6097E3D7" w14:textId="77777777" w:rsidR="00FE461F" w:rsidRPr="005E4BEA" w:rsidRDefault="00FE461F" w:rsidP="00FE461F">
      <w:pPr>
        <w:spacing w:line="240" w:lineRule="auto"/>
        <w:jc w:val="both"/>
        <w:textAlignment w:val="baseline"/>
        <w:rPr>
          <w:rFonts w:cs="Arial"/>
          <w:szCs w:val="20"/>
          <w:lang w:eastAsia="en-GB"/>
        </w:rPr>
      </w:pPr>
    </w:p>
    <w:p w14:paraId="3E0CA9D7" w14:textId="77777777" w:rsidR="00FE461F" w:rsidRPr="005E4BEA" w:rsidRDefault="00FE461F" w:rsidP="00FE461F">
      <w:pPr>
        <w:spacing w:line="240" w:lineRule="auto"/>
        <w:jc w:val="both"/>
        <w:textAlignment w:val="baseline"/>
        <w:rPr>
          <w:rFonts w:cs="Arial"/>
          <w:szCs w:val="20"/>
          <w:lang w:eastAsia="en-GB"/>
        </w:rPr>
      </w:pPr>
      <w:r w:rsidRPr="005E4BEA">
        <w:rPr>
          <w:rFonts w:cs="Arial"/>
          <w:szCs w:val="20"/>
          <w:lang w:eastAsia="en-GB"/>
        </w:rPr>
        <w:t>Odstavek (3) postane odstavek (4).</w:t>
      </w:r>
    </w:p>
    <w:p w14:paraId="06DC64D1" w14:textId="77777777" w:rsidR="00FE461F" w:rsidRPr="005E4BEA" w:rsidRDefault="00FE461F" w:rsidP="00FE461F">
      <w:pPr>
        <w:spacing w:line="240" w:lineRule="auto"/>
        <w:jc w:val="both"/>
        <w:textAlignment w:val="baseline"/>
        <w:rPr>
          <w:rFonts w:cs="Arial"/>
          <w:i/>
          <w:iCs/>
          <w:szCs w:val="20"/>
          <w:lang w:eastAsia="en-GB"/>
        </w:rPr>
      </w:pPr>
    </w:p>
    <w:p w14:paraId="501452E2"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 xml:space="preserve">Obrazložitev: </w:t>
      </w:r>
    </w:p>
    <w:p w14:paraId="36BC8158"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 xml:space="preserve">Delodajalec mora delavcu zagotoviti povračilo stroškov za prevoz na delo in z dela, kar je opredeljeno v 130. členu Zakona o delovnih razmerjih (ZDR-1), ki določa, da je delodajalec delavcu dolžan povrniti stroške v zvezi s prevozom na delo in z dela, in sicer na plačilni dan. </w:t>
      </w:r>
    </w:p>
    <w:p w14:paraId="78BACD41"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p>
    <w:p w14:paraId="316130F9"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Po podatkih iz letnih poročil zavodov so domovi za starejše in posebni socialnovarstveni zavodi v letu 2020 zdravstvenemu kadru (5.575 oseb) povrnili stroške za prevoz na delo in z delo v višini 3.229.811 eur. Povprečni strošek na zaposlenega tako znaša 579,33 eur.</w:t>
      </w:r>
    </w:p>
    <w:p w14:paraId="78A08BC2"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p>
    <w:p w14:paraId="421E805F"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 xml:space="preserve">Povprečna cena zdravstvene nege na dan bi se morala pri splošnih in posebnih SVZ-jih dvigniti za 0,46 eur. </w:t>
      </w:r>
    </w:p>
    <w:p w14:paraId="272F8FC2"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Prikaz izračuna: 3.229.811 eur / 7.092.534 (realizacija ZN) = 0,46 eur</w:t>
      </w:r>
    </w:p>
    <w:p w14:paraId="66AAD7BF"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p>
    <w:p w14:paraId="4323A529"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 xml:space="preserve">Po definiciji 8. člena in 9. člena Splošnega dogovora 2021, ki določata elemente za oblikovanje cen zdravstvenih storitev, je PNID dodatek iz naslova drugih prejemkov zaposlenih po kolektivni pogodbi in zakonsko predpisani obveznosti izvajalcev programa in bi moral biti vračunan v cene zdravstvenih storitev. </w:t>
      </w:r>
    </w:p>
    <w:p w14:paraId="4983E984"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p>
    <w:p w14:paraId="64A23BB3"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 xml:space="preserve">V 14. členu SD 2021, ki podrobneje opredeljuje in določa stroške, ki so vključeni v </w:t>
      </w:r>
      <w:proofErr w:type="spellStart"/>
      <w:r w:rsidRPr="005E4BEA">
        <w:rPr>
          <w:rFonts w:cs="Arial"/>
          <w:i/>
          <w:iCs/>
          <w:color w:val="808080" w:themeColor="background1" w:themeShade="80"/>
          <w:szCs w:val="20"/>
          <w:lang w:eastAsia="en-GB"/>
        </w:rPr>
        <w:t>kalkulativni</w:t>
      </w:r>
      <w:proofErr w:type="spellEnd"/>
      <w:r w:rsidRPr="005E4BEA">
        <w:rPr>
          <w:rFonts w:cs="Arial"/>
          <w:i/>
          <w:iCs/>
          <w:color w:val="808080" w:themeColor="background1" w:themeShade="80"/>
          <w:szCs w:val="20"/>
          <w:lang w:eastAsia="en-GB"/>
        </w:rPr>
        <w:t xml:space="preserve"> element materialnih stroškov prav tako ni opredeljenih stroškov povračila prevoza na delo in z dela.  </w:t>
      </w:r>
    </w:p>
    <w:p w14:paraId="3ED93E8F"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p>
    <w:p w14:paraId="2F41C972"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r w:rsidRPr="005E4BEA">
        <w:rPr>
          <w:rFonts w:cs="Arial"/>
          <w:i/>
          <w:iCs/>
          <w:color w:val="808080" w:themeColor="background1" w:themeShade="80"/>
          <w:szCs w:val="20"/>
          <w:lang w:eastAsia="en-GB"/>
        </w:rPr>
        <w:t>Ravno tako se s spremembo kadrovskega normativa v standardih ni spreminjala višina priznanega materialnega stroška, ki bi se morala v primerih, ko se v standardu prizna ali zmanjša dodatni kader. S Splošnim dogovorom 2021 se je spremenil kadrovski normativ pri zdravstvenem tehniku pri negi 3.</w:t>
      </w:r>
    </w:p>
    <w:p w14:paraId="09D9D78F" w14:textId="77777777" w:rsidR="00FE461F" w:rsidRPr="005E4BEA" w:rsidRDefault="00FE461F" w:rsidP="00FE461F">
      <w:pPr>
        <w:spacing w:line="240" w:lineRule="auto"/>
        <w:jc w:val="both"/>
        <w:textAlignment w:val="baseline"/>
        <w:rPr>
          <w:rFonts w:cs="Arial"/>
          <w:i/>
          <w:iCs/>
          <w:color w:val="808080" w:themeColor="background1" w:themeShade="80"/>
          <w:szCs w:val="20"/>
          <w:lang w:eastAsia="en-GB"/>
        </w:rPr>
      </w:pPr>
    </w:p>
    <w:p w14:paraId="052F44D2" w14:textId="6608A5AC" w:rsidR="00FE461F" w:rsidRPr="005E4BEA" w:rsidRDefault="00FE461F" w:rsidP="00FE461F">
      <w:pPr>
        <w:spacing w:line="240" w:lineRule="auto"/>
        <w:jc w:val="both"/>
        <w:textAlignment w:val="baseline"/>
        <w:rPr>
          <w:rFonts w:cs="Arial"/>
          <w:b/>
          <w:bCs/>
          <w:i/>
          <w:iCs/>
          <w:color w:val="808080" w:themeColor="background1" w:themeShade="80"/>
          <w:szCs w:val="20"/>
          <w:lang w:eastAsia="en-GB"/>
        </w:rPr>
      </w:pPr>
      <w:r w:rsidRPr="005E4BEA">
        <w:rPr>
          <w:rFonts w:cs="Arial"/>
          <w:b/>
          <w:bCs/>
          <w:i/>
          <w:iCs/>
          <w:color w:val="808080" w:themeColor="background1" w:themeShade="80"/>
          <w:szCs w:val="20"/>
          <w:lang w:eastAsia="en-GB"/>
        </w:rPr>
        <w:t>Finančni učinek: 3,2 mio €</w:t>
      </w:r>
    </w:p>
    <w:p w14:paraId="74C89AFC" w14:textId="4EEEBE24" w:rsidR="00830452" w:rsidRPr="005E4BEA" w:rsidRDefault="00830452" w:rsidP="00FE461F">
      <w:pPr>
        <w:spacing w:line="240" w:lineRule="auto"/>
        <w:jc w:val="both"/>
        <w:textAlignment w:val="baseline"/>
        <w:rPr>
          <w:rFonts w:cs="Arial"/>
          <w:i/>
          <w:iCs/>
          <w:color w:val="808080" w:themeColor="background1" w:themeShade="80"/>
          <w:szCs w:val="20"/>
          <w:lang w:eastAsia="en-GB"/>
        </w:rPr>
      </w:pPr>
    </w:p>
    <w:p w14:paraId="0BC2E31C" w14:textId="77777777" w:rsidR="00114511" w:rsidRPr="005E4BEA" w:rsidRDefault="00114511" w:rsidP="0011451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0BBE48F4" w14:textId="77777777" w:rsidR="00830452" w:rsidRPr="005E4BEA" w:rsidRDefault="00830452" w:rsidP="00830452">
      <w:pPr>
        <w:spacing w:line="0" w:lineRule="atLeast"/>
        <w:jc w:val="both"/>
        <w:rPr>
          <w:rFonts w:eastAsia="Arial Narrow" w:cs="Arial"/>
          <w:szCs w:val="20"/>
          <w:lang w:eastAsia="sl-SI"/>
        </w:rPr>
      </w:pPr>
    </w:p>
    <w:p w14:paraId="1E0179FB" w14:textId="77777777" w:rsidR="00830452" w:rsidRPr="005E4BEA" w:rsidRDefault="00830452" w:rsidP="00830452">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19. člen Splošnega dogovora za pogodbeno leto 2022 ne spremeni.</w:t>
      </w:r>
    </w:p>
    <w:p w14:paraId="38014A03" w14:textId="49540587" w:rsidR="00830452" w:rsidRPr="005E4BEA" w:rsidRDefault="00830452" w:rsidP="00FE461F">
      <w:pPr>
        <w:spacing w:line="240" w:lineRule="auto"/>
        <w:jc w:val="both"/>
        <w:textAlignment w:val="baseline"/>
        <w:rPr>
          <w:rFonts w:cs="Arial"/>
          <w:b/>
          <w:bCs/>
          <w:i/>
          <w:iCs/>
          <w:szCs w:val="20"/>
          <w:lang w:eastAsia="en-GB"/>
        </w:rPr>
      </w:pPr>
    </w:p>
    <w:p w14:paraId="3764F3BF" w14:textId="77777777" w:rsidR="00830452" w:rsidRPr="005E4BEA" w:rsidRDefault="00830452" w:rsidP="00FE461F">
      <w:pPr>
        <w:spacing w:line="240" w:lineRule="auto"/>
        <w:jc w:val="both"/>
        <w:textAlignment w:val="baseline"/>
        <w:rPr>
          <w:rFonts w:cs="Arial"/>
          <w:b/>
          <w:bCs/>
          <w:i/>
          <w:iCs/>
          <w:szCs w:val="20"/>
          <w:lang w:eastAsia="en-GB"/>
        </w:rPr>
      </w:pPr>
    </w:p>
    <w:p w14:paraId="22DEE224" w14:textId="0D8E1292" w:rsidR="00830452" w:rsidRPr="005E4BEA" w:rsidRDefault="00830452"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(38)</w:t>
      </w:r>
    </w:p>
    <w:p w14:paraId="5B9656BE" w14:textId="77777777" w:rsidR="00830452" w:rsidRPr="005E4BEA" w:rsidRDefault="00830452" w:rsidP="00830452">
      <w:pPr>
        <w:spacing w:line="0" w:lineRule="atLeast"/>
        <w:ind w:left="360"/>
        <w:contextualSpacing/>
        <w:jc w:val="both"/>
        <w:rPr>
          <w:rFonts w:eastAsia="Arial Narrow" w:cs="Arial"/>
          <w:bCs/>
          <w:szCs w:val="20"/>
        </w:rPr>
      </w:pPr>
    </w:p>
    <w:p w14:paraId="1EE7D4BB" w14:textId="7FD6D2EB" w:rsidR="00FE461F" w:rsidRPr="005E4BEA" w:rsidRDefault="00830452" w:rsidP="00830452">
      <w:pPr>
        <w:spacing w:line="0" w:lineRule="atLeast"/>
        <w:jc w:val="both"/>
        <w:rPr>
          <w:rFonts w:cs="Arial"/>
          <w:bCs/>
          <w:szCs w:val="20"/>
        </w:rPr>
      </w:pPr>
      <w:r w:rsidRPr="005E4BEA">
        <w:rPr>
          <w:rFonts w:eastAsia="Arial Narrow" w:cs="Arial"/>
          <w:b/>
          <w:szCs w:val="20"/>
        </w:rPr>
        <w:t xml:space="preserve">Zdravniška zbornica Slovenije predlaga, </w:t>
      </w:r>
      <w:r w:rsidRPr="005E4BEA">
        <w:rPr>
          <w:rFonts w:eastAsia="Arial Narrow" w:cs="Arial"/>
          <w:bCs/>
          <w:szCs w:val="20"/>
        </w:rPr>
        <w:t>da se v</w:t>
      </w:r>
      <w:r w:rsidR="00FE461F" w:rsidRPr="005E4BEA">
        <w:rPr>
          <w:rFonts w:cs="Arial"/>
          <w:bCs/>
          <w:szCs w:val="20"/>
        </w:rPr>
        <w:t xml:space="preserve"> 11. odstavku 23. člena se v prvem stavku črta naslednje besedilo:</w:t>
      </w:r>
    </w:p>
    <w:p w14:paraId="3ED8C4D4" w14:textId="77777777" w:rsidR="00FE461F" w:rsidRPr="005E4BEA" w:rsidRDefault="00FE461F" w:rsidP="00FE461F">
      <w:pPr>
        <w:spacing w:line="240" w:lineRule="auto"/>
        <w:jc w:val="both"/>
        <w:rPr>
          <w:rFonts w:eastAsiaTheme="minorHAnsi" w:cs="Arial"/>
          <w:b/>
          <w:szCs w:val="20"/>
        </w:rPr>
      </w:pPr>
    </w:p>
    <w:p w14:paraId="1D03CA04"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rPr>
        <w:t>”stroške sodobnih oblog za oskrbo kroničnih ran”</w:t>
      </w:r>
    </w:p>
    <w:p w14:paraId="3569BC7E" w14:textId="77777777" w:rsidR="00FE461F" w:rsidRPr="005E4BEA" w:rsidRDefault="00FE461F" w:rsidP="00FE461F">
      <w:pPr>
        <w:spacing w:line="240" w:lineRule="auto"/>
        <w:rPr>
          <w:rFonts w:eastAsiaTheme="minorHAnsi" w:cs="Arial"/>
          <w:szCs w:val="20"/>
        </w:rPr>
      </w:pPr>
    </w:p>
    <w:p w14:paraId="3470FABA" w14:textId="77777777" w:rsidR="00FE461F" w:rsidRPr="005E4BEA" w:rsidRDefault="00FE461F" w:rsidP="00FE461F">
      <w:pPr>
        <w:spacing w:line="240" w:lineRule="auto"/>
        <w:rPr>
          <w:rFonts w:eastAsiaTheme="minorHAnsi" w:cs="Arial"/>
          <w:szCs w:val="20"/>
        </w:rPr>
      </w:pPr>
      <w:r w:rsidRPr="005E4BEA">
        <w:rPr>
          <w:rFonts w:eastAsiaTheme="minorHAnsi" w:cs="Arial"/>
          <w:szCs w:val="20"/>
        </w:rPr>
        <w:t>V kolikor predlog ne bo sprejet, predlagamo alternativni predlog, da se sodobne obloge za oskrbo kroničnih ran upoštevajo kot ločeno zaračunljiv material.</w:t>
      </w:r>
    </w:p>
    <w:p w14:paraId="6D4F79F3" w14:textId="77777777" w:rsidR="00FE461F" w:rsidRPr="005E4BEA" w:rsidRDefault="00FE461F" w:rsidP="00FE461F">
      <w:pPr>
        <w:spacing w:line="240" w:lineRule="auto"/>
        <w:rPr>
          <w:rFonts w:eastAsiaTheme="minorHAnsi" w:cs="Arial"/>
          <w:color w:val="4472C4" w:themeColor="accent1"/>
          <w:szCs w:val="20"/>
        </w:rPr>
      </w:pPr>
    </w:p>
    <w:p w14:paraId="1D064AF4" w14:textId="77777777" w:rsidR="00FE461F" w:rsidRPr="005E4BEA" w:rsidRDefault="00FE461F" w:rsidP="00FE461F">
      <w:pPr>
        <w:spacing w:line="240" w:lineRule="auto"/>
        <w:rPr>
          <w:rFonts w:eastAsiaTheme="minorHAnsi" w:cs="Arial"/>
          <w:color w:val="808080" w:themeColor="background1" w:themeShade="80"/>
          <w:szCs w:val="20"/>
        </w:rPr>
      </w:pPr>
    </w:p>
    <w:p w14:paraId="157626DE" w14:textId="77777777" w:rsidR="00FE461F" w:rsidRPr="005E4BEA" w:rsidRDefault="00FE461F" w:rsidP="00FE461F">
      <w:pPr>
        <w:spacing w:line="240" w:lineRule="auto"/>
        <w:rPr>
          <w:rFonts w:eastAsiaTheme="minorHAnsi" w:cs="Arial"/>
          <w:b/>
          <w:bCs/>
          <w:i/>
          <w:iCs/>
          <w:color w:val="808080" w:themeColor="background1" w:themeShade="80"/>
          <w:szCs w:val="20"/>
          <w:u w:val="single"/>
          <w:lang w:eastAsia="sl-SI"/>
        </w:rPr>
      </w:pPr>
      <w:r w:rsidRPr="005E4BEA">
        <w:rPr>
          <w:rFonts w:eastAsiaTheme="minorHAnsi" w:cs="Arial"/>
          <w:b/>
          <w:bCs/>
          <w:i/>
          <w:iCs/>
          <w:color w:val="808080" w:themeColor="background1" w:themeShade="80"/>
          <w:szCs w:val="20"/>
          <w:u w:val="single"/>
          <w:lang w:eastAsia="sl-SI"/>
        </w:rPr>
        <w:t>Obrazložitev:</w:t>
      </w:r>
    </w:p>
    <w:p w14:paraId="70BDDD46" w14:textId="77777777" w:rsidR="00FE461F" w:rsidRPr="005E4BEA" w:rsidRDefault="00FE461F" w:rsidP="00FE461F">
      <w:pPr>
        <w:widowControl w:val="0"/>
        <w:autoSpaceDE w:val="0"/>
        <w:autoSpaceDN w:val="0"/>
        <w:adjustRightInd w:val="0"/>
        <w:spacing w:after="255" w:line="253" w:lineRule="atLeast"/>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Trenutno splošni dogovor določa, da ves material za patronažno nego na svoje stroške zagotavlja ambulanta družinske medicine. Vendar pri tem nastajajo zelo visoki stroški, ki jih iz sredstev, namenjenih ambulanti družinske medicine, ni mogoče kriti. Naj pojasnimo na praktičnem primeru pacientke. Po podatkih patronažne nege zaradi svojega zdravstvenega stanja ta pacientka potrebuje 9 do 10 oblog 10x10 cm (rane do 1/2 obeh goleni, okrog in okrog) Ker en prevez po trenutnih cenah z DDV stane 70,85 EUR (obloga </w:t>
      </w:r>
      <w:proofErr w:type="spellStart"/>
      <w:r w:rsidRPr="005E4BEA">
        <w:rPr>
          <w:rFonts w:eastAsiaTheme="minorHAnsi" w:cs="Arial"/>
          <w:i/>
          <w:iCs/>
          <w:color w:val="808080" w:themeColor="background1" w:themeShade="80"/>
          <w:szCs w:val="20"/>
        </w:rPr>
        <w:t>Aquacel</w:t>
      </w:r>
      <w:proofErr w:type="spellEnd"/>
      <w:r w:rsidRPr="005E4BEA">
        <w:rPr>
          <w:rFonts w:eastAsiaTheme="minorHAnsi" w:cs="Arial"/>
          <w:i/>
          <w:iCs/>
          <w:color w:val="808080" w:themeColor="background1" w:themeShade="80"/>
          <w:szCs w:val="20"/>
        </w:rPr>
        <w:t xml:space="preserve"> AG 10x10 CM A 10) in ker je preveze nujno izvajati na 2</w:t>
      </w:r>
      <w:r w:rsidRPr="005E4BEA">
        <w:rPr>
          <w:rFonts w:eastAsiaTheme="minorHAnsi" w:cs="Arial"/>
          <w:i/>
          <w:iCs/>
          <w:color w:val="808080" w:themeColor="background1" w:themeShade="80"/>
          <w:szCs w:val="20"/>
        </w:rPr>
        <w:softHyphen/>
        <w:t>3 dni, je jasno, da so tovrstni stroški za posamezno ambulanto družinske medicine previsoki in nevzdržni. V resnici tudi niso predvideni v kalkulacijah splošnega dogovora. Ne gre za osamljen primer, saj je tovrstnih primerov veliko tudi pri sladkornih bolnikih, preležaninah in podobno. Sporno je tudi, da je osebni izbrani zdravnik dolžan zagotavljati sodobne obloge za rane tudi v primeru, ko jih indicira specialist (dermatolog, kirurg), ki z oblogami nima veliko izkušenj, ker bolnika ne spremlja vsakodnevno.</w:t>
      </w:r>
    </w:p>
    <w:p w14:paraId="3EDEC356" w14:textId="77777777" w:rsidR="00FE461F" w:rsidRPr="005E4BEA" w:rsidRDefault="00FE461F" w:rsidP="00FE461F">
      <w:pPr>
        <w:spacing w:after="160" w:line="252" w:lineRule="auto"/>
        <w:contextualSpacing/>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Odbor za osnovno zdravstvo pri Zdravniški zbornici se je seznanil s poročilom delovne skupine za oskrbo </w:t>
      </w:r>
      <w:proofErr w:type="spellStart"/>
      <w:r w:rsidRPr="005E4BEA">
        <w:rPr>
          <w:rFonts w:eastAsiaTheme="minorHAnsi" w:cs="Arial"/>
          <w:i/>
          <w:iCs/>
          <w:color w:val="808080" w:themeColor="background1" w:themeShade="80"/>
          <w:szCs w:val="20"/>
        </w:rPr>
        <w:t>stom</w:t>
      </w:r>
      <w:proofErr w:type="spellEnd"/>
      <w:r w:rsidRPr="005E4BEA">
        <w:rPr>
          <w:rFonts w:eastAsiaTheme="minorHAnsi" w:cs="Arial"/>
          <w:i/>
          <w:iCs/>
          <w:color w:val="808080" w:themeColor="background1" w:themeShade="80"/>
          <w:szCs w:val="20"/>
        </w:rPr>
        <w:t>, inkontinence in kroničnih ran pri Ministrstvu za zdravje. Učinki sodobnih oblog v klinični praksi niso potrjeni v virih na dokazih temelječe medicine. Člani odbora so zavzeli stališče: dokler se v 10. odstavku 23. člena ne črta določilo, da stroške sodobnih oblog krije osebni izbrani zdravnik, o vrsti oblog odloča izbrani osebni zdravnik.</w:t>
      </w:r>
    </w:p>
    <w:p w14:paraId="02F88C4B" w14:textId="280A0208"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0,4 mio</w:t>
      </w:r>
    </w:p>
    <w:p w14:paraId="22FCBAAF" w14:textId="549293E1" w:rsidR="00830452" w:rsidRPr="005E4BEA" w:rsidRDefault="00830452" w:rsidP="00FE461F">
      <w:pPr>
        <w:spacing w:line="240" w:lineRule="auto"/>
        <w:jc w:val="both"/>
        <w:rPr>
          <w:rFonts w:eastAsiaTheme="minorHAnsi" w:cs="Arial"/>
          <w:i/>
          <w:iCs/>
          <w:color w:val="808080" w:themeColor="background1" w:themeShade="80"/>
          <w:szCs w:val="20"/>
        </w:rPr>
      </w:pPr>
    </w:p>
    <w:p w14:paraId="30D0E4B0" w14:textId="77777777" w:rsidR="00830452" w:rsidRPr="005E4BEA" w:rsidRDefault="00830452" w:rsidP="00830452">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8E1F739" w14:textId="77777777" w:rsidR="00830452" w:rsidRPr="005E4BEA" w:rsidRDefault="00830452" w:rsidP="00830452">
      <w:pPr>
        <w:spacing w:line="0" w:lineRule="atLeast"/>
        <w:jc w:val="both"/>
        <w:rPr>
          <w:rFonts w:eastAsia="Arial Narrow" w:cs="Arial"/>
          <w:szCs w:val="20"/>
          <w:lang w:eastAsia="sl-SI"/>
        </w:rPr>
      </w:pPr>
    </w:p>
    <w:p w14:paraId="6FD623E4" w14:textId="71834DFE" w:rsidR="00830452" w:rsidRPr="005E4BEA" w:rsidRDefault="00830452" w:rsidP="00830452">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23. člen Splošnega dogovora za pogodbeno leto 2022 ne spremeni.</w:t>
      </w:r>
    </w:p>
    <w:p w14:paraId="16400372" w14:textId="5553FBB0" w:rsidR="00830452" w:rsidRPr="005E4BEA" w:rsidRDefault="00830452" w:rsidP="00FE461F">
      <w:pPr>
        <w:spacing w:line="240" w:lineRule="auto"/>
        <w:jc w:val="both"/>
        <w:rPr>
          <w:rFonts w:cs="Arial"/>
          <w:i/>
          <w:iCs/>
          <w:color w:val="808080" w:themeColor="background1" w:themeShade="80"/>
          <w:szCs w:val="20"/>
        </w:rPr>
      </w:pPr>
    </w:p>
    <w:p w14:paraId="11EB76DE" w14:textId="113BD3A8" w:rsidR="00830452" w:rsidRPr="005E4BEA" w:rsidRDefault="00830452" w:rsidP="00FE461F">
      <w:pPr>
        <w:spacing w:line="240" w:lineRule="auto"/>
        <w:jc w:val="both"/>
        <w:rPr>
          <w:rFonts w:cs="Arial"/>
          <w:i/>
          <w:iCs/>
          <w:color w:val="808080" w:themeColor="background1" w:themeShade="80"/>
          <w:szCs w:val="20"/>
        </w:rPr>
      </w:pPr>
    </w:p>
    <w:p w14:paraId="179210DF" w14:textId="29E14E7F" w:rsidR="00830452" w:rsidRPr="005E4BEA" w:rsidRDefault="00830452" w:rsidP="00F356C9">
      <w:pPr>
        <w:pStyle w:val="Naslov2"/>
        <w:numPr>
          <w:ilvl w:val="0"/>
          <w:numId w:val="79"/>
        </w:numPr>
        <w:ind w:left="0" w:firstLine="0"/>
        <w:rPr>
          <w:rFonts w:ascii="Arial" w:eastAsia="Arial Narrow" w:hAnsi="Arial" w:cs="Arial"/>
          <w:sz w:val="20"/>
        </w:rPr>
      </w:pPr>
      <w:bookmarkStart w:id="32" w:name="_Hlk102652025"/>
      <w:r w:rsidRPr="005E4BEA">
        <w:rPr>
          <w:rFonts w:ascii="Arial" w:eastAsia="Arial Narrow" w:hAnsi="Arial" w:cs="Arial"/>
          <w:sz w:val="20"/>
        </w:rPr>
        <w:t>SPORNO VPRAŠANJE (39)</w:t>
      </w:r>
    </w:p>
    <w:p w14:paraId="599DEC03" w14:textId="77777777" w:rsidR="00830452" w:rsidRPr="005E4BEA" w:rsidRDefault="00830452" w:rsidP="00830452">
      <w:pPr>
        <w:spacing w:line="0" w:lineRule="atLeast"/>
        <w:ind w:left="360"/>
        <w:contextualSpacing/>
        <w:jc w:val="both"/>
        <w:rPr>
          <w:rFonts w:eastAsia="Arial Narrow" w:cs="Arial"/>
          <w:bCs/>
          <w:szCs w:val="20"/>
        </w:rPr>
      </w:pPr>
    </w:p>
    <w:p w14:paraId="2A0AD469" w14:textId="780A1E37" w:rsidR="00FE461F" w:rsidRPr="005E4BEA" w:rsidRDefault="00830452" w:rsidP="00830452">
      <w:pPr>
        <w:spacing w:line="240" w:lineRule="auto"/>
        <w:jc w:val="both"/>
        <w:rPr>
          <w:rFonts w:cs="Arial"/>
          <w:bCs/>
          <w:szCs w:val="20"/>
        </w:rPr>
      </w:pPr>
      <w:r w:rsidRPr="005E4BEA">
        <w:rPr>
          <w:rFonts w:eastAsia="Arial Narrow" w:cs="Arial"/>
          <w:b/>
          <w:szCs w:val="20"/>
        </w:rPr>
        <w:t xml:space="preserve">Zavod za zdravstveno zavarovanje Slovenije predlaga, </w:t>
      </w:r>
      <w:r w:rsidRPr="005E4BEA">
        <w:rPr>
          <w:rFonts w:eastAsia="Arial Narrow" w:cs="Arial"/>
          <w:bCs/>
          <w:szCs w:val="20"/>
        </w:rPr>
        <w:t>da se v</w:t>
      </w:r>
      <w:r w:rsidRPr="005E4BEA">
        <w:rPr>
          <w:rFonts w:cs="Arial"/>
          <w:bCs/>
          <w:szCs w:val="20"/>
        </w:rPr>
        <w:t xml:space="preserve"> </w:t>
      </w:r>
      <w:r w:rsidR="00FE461F" w:rsidRPr="005E4BEA">
        <w:rPr>
          <w:rFonts w:cs="Arial"/>
          <w:bCs/>
          <w:szCs w:val="20"/>
        </w:rPr>
        <w:t>24. členu v (5) odstavku doda nova točka, ki se glasi:</w:t>
      </w:r>
    </w:p>
    <w:p w14:paraId="7C837EEE" w14:textId="77777777" w:rsidR="00FE461F" w:rsidRPr="005E4BEA" w:rsidRDefault="00FE461F" w:rsidP="00FE461F">
      <w:pPr>
        <w:spacing w:line="120" w:lineRule="exact"/>
        <w:jc w:val="both"/>
        <w:rPr>
          <w:rFonts w:cs="Arial"/>
          <w:szCs w:val="20"/>
        </w:rPr>
      </w:pPr>
    </w:p>
    <w:tbl>
      <w:tblPr>
        <w:tblW w:w="8804" w:type="dxa"/>
        <w:tblInd w:w="6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70" w:type="dxa"/>
          <w:right w:w="70" w:type="dxa"/>
        </w:tblCellMar>
        <w:tblLook w:val="04A0" w:firstRow="1" w:lastRow="0" w:firstColumn="1" w:lastColumn="0" w:noHBand="0" w:noVBand="1"/>
      </w:tblPr>
      <w:tblGrid>
        <w:gridCol w:w="3012"/>
        <w:gridCol w:w="1893"/>
        <w:gridCol w:w="1145"/>
        <w:gridCol w:w="1323"/>
        <w:gridCol w:w="1431"/>
      </w:tblGrid>
      <w:tr w:rsidR="00FE461F" w:rsidRPr="005E4BEA" w14:paraId="0813B178" w14:textId="77777777" w:rsidTr="00830452">
        <w:trPr>
          <w:trHeight w:hRule="exact" w:val="33"/>
        </w:trPr>
        <w:tc>
          <w:tcPr>
            <w:tcW w:w="3012" w:type="dxa"/>
            <w:vMerge w:val="restart"/>
            <w:shd w:val="clear" w:color="auto" w:fill="auto"/>
            <w:vAlign w:val="center"/>
            <w:hideMark/>
          </w:tcPr>
          <w:p w14:paraId="5BA978E7" w14:textId="77777777" w:rsidR="00FE461F" w:rsidRPr="005E4BEA" w:rsidRDefault="00FE461F" w:rsidP="00FE461F">
            <w:pPr>
              <w:spacing w:after="120" w:line="240" w:lineRule="auto"/>
              <w:jc w:val="both"/>
              <w:rPr>
                <w:rFonts w:eastAsia="Arial Narrow" w:cs="Arial"/>
                <w:b/>
                <w:szCs w:val="20"/>
              </w:rPr>
            </w:pPr>
            <w:bookmarkStart w:id="33" w:name="_Hlk103003566"/>
            <w:r w:rsidRPr="005E4BEA">
              <w:rPr>
                <w:rFonts w:eastAsia="Arial Narrow" w:cs="Arial"/>
                <w:b/>
                <w:szCs w:val="20"/>
              </w:rPr>
              <w:t>P   r   o   g   r   a   m</w:t>
            </w:r>
          </w:p>
        </w:tc>
        <w:tc>
          <w:tcPr>
            <w:tcW w:w="1893" w:type="dxa"/>
            <w:vMerge w:val="restart"/>
            <w:shd w:val="clear" w:color="auto" w:fill="auto"/>
            <w:vAlign w:val="center"/>
            <w:hideMark/>
          </w:tcPr>
          <w:p w14:paraId="0F902D48" w14:textId="77777777" w:rsidR="00FE461F" w:rsidRPr="005E4BEA" w:rsidRDefault="00FE461F" w:rsidP="00FE461F">
            <w:pPr>
              <w:spacing w:after="120" w:line="240" w:lineRule="auto"/>
              <w:jc w:val="both"/>
              <w:rPr>
                <w:rFonts w:eastAsia="Arial Narrow" w:cs="Arial"/>
                <w:b/>
                <w:szCs w:val="20"/>
              </w:rPr>
            </w:pPr>
            <w:r w:rsidRPr="005E4BEA">
              <w:rPr>
                <w:rFonts w:eastAsia="Arial Narrow" w:cs="Arial"/>
                <w:b/>
                <w:szCs w:val="20"/>
              </w:rPr>
              <w:t xml:space="preserve">I z v a j a l e c </w:t>
            </w:r>
            <w:r w:rsidRPr="005E4BEA">
              <w:rPr>
                <w:rFonts w:eastAsia="Arial Narrow" w:cs="Arial"/>
                <w:b/>
                <w:szCs w:val="20"/>
              </w:rPr>
              <w:br/>
            </w:r>
          </w:p>
        </w:tc>
        <w:tc>
          <w:tcPr>
            <w:tcW w:w="1145" w:type="dxa"/>
            <w:vMerge w:val="restart"/>
            <w:shd w:val="clear" w:color="auto" w:fill="auto"/>
            <w:vAlign w:val="center"/>
            <w:hideMark/>
          </w:tcPr>
          <w:p w14:paraId="2925E432" w14:textId="77777777" w:rsidR="00FE461F" w:rsidRPr="005E4BEA" w:rsidRDefault="00FE461F" w:rsidP="00FE461F">
            <w:pPr>
              <w:spacing w:after="120" w:line="240" w:lineRule="auto"/>
              <w:jc w:val="both"/>
              <w:rPr>
                <w:rFonts w:eastAsia="Arial Narrow" w:cs="Arial"/>
                <w:b/>
                <w:szCs w:val="20"/>
              </w:rPr>
            </w:pPr>
            <w:r w:rsidRPr="005E4BEA">
              <w:rPr>
                <w:rFonts w:eastAsia="Arial Narrow" w:cs="Arial"/>
                <w:b/>
                <w:szCs w:val="20"/>
              </w:rPr>
              <w:t>Obseg programa</w:t>
            </w:r>
          </w:p>
        </w:tc>
        <w:tc>
          <w:tcPr>
            <w:tcW w:w="1323" w:type="dxa"/>
            <w:vMerge w:val="restart"/>
            <w:shd w:val="clear" w:color="auto" w:fill="auto"/>
            <w:vAlign w:val="center"/>
            <w:hideMark/>
          </w:tcPr>
          <w:p w14:paraId="2DB01F1E" w14:textId="77777777" w:rsidR="00FE461F" w:rsidRPr="005E4BEA" w:rsidRDefault="00FE461F" w:rsidP="00FE461F">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na letni ravni</w:t>
            </w:r>
            <w:r w:rsidRPr="005E4BEA">
              <w:rPr>
                <w:rFonts w:eastAsia="Arial Narrow" w:cs="Arial"/>
                <w:b/>
                <w:szCs w:val="20"/>
              </w:rPr>
              <w:br/>
              <w:t>(v EUR)</w:t>
            </w:r>
          </w:p>
        </w:tc>
        <w:tc>
          <w:tcPr>
            <w:tcW w:w="1431" w:type="dxa"/>
            <w:vMerge w:val="restart"/>
            <w:shd w:val="clear" w:color="auto" w:fill="auto"/>
            <w:vAlign w:val="center"/>
            <w:hideMark/>
          </w:tcPr>
          <w:p w14:paraId="58A68A47" w14:textId="77777777" w:rsidR="00FE461F" w:rsidRPr="005E4BEA" w:rsidRDefault="00FE461F" w:rsidP="00FE461F">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1.1.-31.12.2022</w:t>
            </w:r>
            <w:r w:rsidRPr="005E4BEA">
              <w:rPr>
                <w:rFonts w:eastAsia="Arial Narrow" w:cs="Arial"/>
                <w:b/>
                <w:szCs w:val="20"/>
              </w:rPr>
              <w:br/>
              <w:t>(v EUR)</w:t>
            </w:r>
          </w:p>
        </w:tc>
      </w:tr>
      <w:tr w:rsidR="00FE461F" w:rsidRPr="005E4BEA" w14:paraId="4D789DEB" w14:textId="77777777" w:rsidTr="00830452">
        <w:trPr>
          <w:trHeight w:hRule="exact" w:val="33"/>
        </w:trPr>
        <w:tc>
          <w:tcPr>
            <w:tcW w:w="3012" w:type="dxa"/>
            <w:vMerge/>
            <w:shd w:val="clear" w:color="auto" w:fill="auto"/>
            <w:vAlign w:val="center"/>
          </w:tcPr>
          <w:p w14:paraId="768BFCBE" w14:textId="77777777" w:rsidR="00FE461F" w:rsidRPr="005E4BEA" w:rsidRDefault="00FE461F" w:rsidP="00FE461F">
            <w:pPr>
              <w:spacing w:after="120" w:line="240" w:lineRule="auto"/>
              <w:jc w:val="both"/>
              <w:rPr>
                <w:rFonts w:eastAsia="Arial Narrow" w:cs="Arial"/>
                <w:b/>
                <w:szCs w:val="20"/>
              </w:rPr>
            </w:pPr>
          </w:p>
        </w:tc>
        <w:tc>
          <w:tcPr>
            <w:tcW w:w="1893" w:type="dxa"/>
            <w:vMerge/>
            <w:shd w:val="clear" w:color="auto" w:fill="auto"/>
            <w:vAlign w:val="center"/>
          </w:tcPr>
          <w:p w14:paraId="736BEF0B" w14:textId="77777777" w:rsidR="00FE461F" w:rsidRPr="005E4BEA" w:rsidRDefault="00FE461F" w:rsidP="00FE461F">
            <w:pPr>
              <w:spacing w:after="120" w:line="240" w:lineRule="auto"/>
              <w:jc w:val="both"/>
              <w:rPr>
                <w:rFonts w:eastAsia="Arial Narrow" w:cs="Arial"/>
                <w:b/>
                <w:szCs w:val="20"/>
              </w:rPr>
            </w:pPr>
          </w:p>
        </w:tc>
        <w:tc>
          <w:tcPr>
            <w:tcW w:w="1145" w:type="dxa"/>
            <w:vMerge/>
            <w:shd w:val="clear" w:color="auto" w:fill="auto"/>
            <w:vAlign w:val="center"/>
          </w:tcPr>
          <w:p w14:paraId="0EBE7A1A" w14:textId="77777777" w:rsidR="00FE461F" w:rsidRPr="005E4BEA" w:rsidRDefault="00FE461F" w:rsidP="00FE461F">
            <w:pPr>
              <w:spacing w:after="120" w:line="240" w:lineRule="auto"/>
              <w:jc w:val="both"/>
              <w:rPr>
                <w:rFonts w:eastAsia="Arial Narrow" w:cs="Arial"/>
                <w:b/>
                <w:szCs w:val="20"/>
              </w:rPr>
            </w:pPr>
          </w:p>
        </w:tc>
        <w:tc>
          <w:tcPr>
            <w:tcW w:w="1323" w:type="dxa"/>
            <w:vMerge/>
            <w:shd w:val="clear" w:color="auto" w:fill="auto"/>
            <w:vAlign w:val="center"/>
          </w:tcPr>
          <w:p w14:paraId="3C5EE9B9" w14:textId="77777777" w:rsidR="00FE461F" w:rsidRPr="005E4BEA" w:rsidRDefault="00FE461F" w:rsidP="00FE461F">
            <w:pPr>
              <w:spacing w:after="120" w:line="240" w:lineRule="auto"/>
              <w:jc w:val="right"/>
              <w:rPr>
                <w:rFonts w:eastAsia="Arial Narrow" w:cs="Arial"/>
                <w:b/>
                <w:szCs w:val="20"/>
              </w:rPr>
            </w:pPr>
          </w:p>
        </w:tc>
        <w:tc>
          <w:tcPr>
            <w:tcW w:w="1431" w:type="dxa"/>
            <w:vMerge/>
            <w:shd w:val="clear" w:color="auto" w:fill="auto"/>
            <w:vAlign w:val="center"/>
          </w:tcPr>
          <w:p w14:paraId="2039337A" w14:textId="77777777" w:rsidR="00FE461F" w:rsidRPr="005E4BEA" w:rsidRDefault="00FE461F" w:rsidP="00FE461F">
            <w:pPr>
              <w:spacing w:after="120" w:line="240" w:lineRule="auto"/>
              <w:jc w:val="right"/>
              <w:rPr>
                <w:rFonts w:eastAsia="Arial Narrow" w:cs="Arial"/>
                <w:b/>
                <w:szCs w:val="20"/>
              </w:rPr>
            </w:pPr>
          </w:p>
        </w:tc>
      </w:tr>
      <w:tr w:rsidR="00FE461F" w:rsidRPr="005E4BEA" w14:paraId="36314615" w14:textId="77777777" w:rsidTr="00830452">
        <w:trPr>
          <w:trHeight w:hRule="exact" w:val="33"/>
        </w:trPr>
        <w:tc>
          <w:tcPr>
            <w:tcW w:w="3012" w:type="dxa"/>
            <w:vMerge/>
            <w:shd w:val="clear" w:color="auto" w:fill="auto"/>
            <w:vAlign w:val="center"/>
          </w:tcPr>
          <w:p w14:paraId="274F2EF8" w14:textId="77777777" w:rsidR="00FE461F" w:rsidRPr="005E4BEA" w:rsidRDefault="00FE461F" w:rsidP="00FE461F">
            <w:pPr>
              <w:spacing w:after="120" w:line="240" w:lineRule="auto"/>
              <w:jc w:val="both"/>
              <w:rPr>
                <w:rFonts w:eastAsia="Arial Narrow" w:cs="Arial"/>
                <w:b/>
                <w:szCs w:val="20"/>
              </w:rPr>
            </w:pPr>
          </w:p>
        </w:tc>
        <w:tc>
          <w:tcPr>
            <w:tcW w:w="1893" w:type="dxa"/>
            <w:vMerge/>
            <w:shd w:val="clear" w:color="auto" w:fill="auto"/>
            <w:vAlign w:val="center"/>
          </w:tcPr>
          <w:p w14:paraId="23C99778" w14:textId="77777777" w:rsidR="00FE461F" w:rsidRPr="005E4BEA" w:rsidRDefault="00FE461F" w:rsidP="00FE461F">
            <w:pPr>
              <w:spacing w:after="120" w:line="240" w:lineRule="auto"/>
              <w:jc w:val="both"/>
              <w:rPr>
                <w:rFonts w:eastAsia="Arial Narrow" w:cs="Arial"/>
                <w:b/>
                <w:szCs w:val="20"/>
              </w:rPr>
            </w:pPr>
          </w:p>
        </w:tc>
        <w:tc>
          <w:tcPr>
            <w:tcW w:w="1145" w:type="dxa"/>
            <w:vMerge/>
            <w:shd w:val="clear" w:color="auto" w:fill="auto"/>
            <w:vAlign w:val="center"/>
          </w:tcPr>
          <w:p w14:paraId="07C492FD" w14:textId="77777777" w:rsidR="00FE461F" w:rsidRPr="005E4BEA" w:rsidRDefault="00FE461F" w:rsidP="00FE461F">
            <w:pPr>
              <w:spacing w:after="120" w:line="240" w:lineRule="auto"/>
              <w:jc w:val="both"/>
              <w:rPr>
                <w:rFonts w:eastAsia="Arial Narrow" w:cs="Arial"/>
                <w:b/>
                <w:szCs w:val="20"/>
              </w:rPr>
            </w:pPr>
          </w:p>
        </w:tc>
        <w:tc>
          <w:tcPr>
            <w:tcW w:w="1323" w:type="dxa"/>
            <w:vMerge/>
            <w:shd w:val="clear" w:color="auto" w:fill="auto"/>
            <w:vAlign w:val="center"/>
          </w:tcPr>
          <w:p w14:paraId="1B47B6D3" w14:textId="77777777" w:rsidR="00FE461F" w:rsidRPr="005E4BEA" w:rsidRDefault="00FE461F" w:rsidP="00FE461F">
            <w:pPr>
              <w:spacing w:after="120" w:line="240" w:lineRule="auto"/>
              <w:jc w:val="right"/>
              <w:rPr>
                <w:rFonts w:eastAsia="Arial Narrow" w:cs="Arial"/>
                <w:b/>
                <w:szCs w:val="20"/>
              </w:rPr>
            </w:pPr>
          </w:p>
        </w:tc>
        <w:tc>
          <w:tcPr>
            <w:tcW w:w="1431" w:type="dxa"/>
            <w:vMerge/>
            <w:shd w:val="clear" w:color="auto" w:fill="auto"/>
            <w:vAlign w:val="center"/>
          </w:tcPr>
          <w:p w14:paraId="293D77FF" w14:textId="77777777" w:rsidR="00FE461F" w:rsidRPr="005E4BEA" w:rsidRDefault="00FE461F" w:rsidP="00FE461F">
            <w:pPr>
              <w:spacing w:after="120" w:line="240" w:lineRule="auto"/>
              <w:jc w:val="right"/>
              <w:rPr>
                <w:rFonts w:eastAsia="Arial Narrow" w:cs="Arial"/>
                <w:b/>
                <w:szCs w:val="20"/>
              </w:rPr>
            </w:pPr>
          </w:p>
        </w:tc>
      </w:tr>
      <w:tr w:rsidR="00FE461F" w:rsidRPr="005E4BEA" w14:paraId="54827C30" w14:textId="77777777" w:rsidTr="00830452">
        <w:trPr>
          <w:trHeight w:val="849"/>
        </w:trPr>
        <w:tc>
          <w:tcPr>
            <w:tcW w:w="3012" w:type="dxa"/>
            <w:vMerge/>
            <w:vAlign w:val="center"/>
            <w:hideMark/>
          </w:tcPr>
          <w:p w14:paraId="1B5A624E" w14:textId="77777777" w:rsidR="00FE461F" w:rsidRPr="005E4BEA" w:rsidRDefault="00FE461F" w:rsidP="00FE461F">
            <w:pPr>
              <w:spacing w:after="120" w:line="240" w:lineRule="auto"/>
              <w:jc w:val="both"/>
              <w:rPr>
                <w:rFonts w:eastAsia="Arial Narrow" w:cs="Arial"/>
                <w:szCs w:val="20"/>
              </w:rPr>
            </w:pPr>
          </w:p>
        </w:tc>
        <w:tc>
          <w:tcPr>
            <w:tcW w:w="1893" w:type="dxa"/>
            <w:vMerge/>
            <w:vAlign w:val="center"/>
            <w:hideMark/>
          </w:tcPr>
          <w:p w14:paraId="757A1988" w14:textId="77777777" w:rsidR="00FE461F" w:rsidRPr="005E4BEA" w:rsidRDefault="00FE461F" w:rsidP="00FE461F">
            <w:pPr>
              <w:spacing w:after="120" w:line="240" w:lineRule="auto"/>
              <w:jc w:val="both"/>
              <w:rPr>
                <w:rFonts w:eastAsia="Arial Narrow" w:cs="Arial"/>
                <w:szCs w:val="20"/>
              </w:rPr>
            </w:pPr>
          </w:p>
        </w:tc>
        <w:tc>
          <w:tcPr>
            <w:tcW w:w="1145" w:type="dxa"/>
            <w:vMerge/>
            <w:vAlign w:val="center"/>
            <w:hideMark/>
          </w:tcPr>
          <w:p w14:paraId="68327662" w14:textId="77777777" w:rsidR="00FE461F" w:rsidRPr="005E4BEA" w:rsidRDefault="00FE461F" w:rsidP="00FE461F">
            <w:pPr>
              <w:spacing w:after="120" w:line="240" w:lineRule="auto"/>
              <w:jc w:val="both"/>
              <w:rPr>
                <w:rFonts w:eastAsia="Arial Narrow" w:cs="Arial"/>
                <w:szCs w:val="20"/>
              </w:rPr>
            </w:pPr>
          </w:p>
        </w:tc>
        <w:tc>
          <w:tcPr>
            <w:tcW w:w="1323" w:type="dxa"/>
            <w:vMerge/>
            <w:vAlign w:val="center"/>
            <w:hideMark/>
          </w:tcPr>
          <w:p w14:paraId="72F470BB" w14:textId="77777777" w:rsidR="00FE461F" w:rsidRPr="005E4BEA" w:rsidRDefault="00FE461F" w:rsidP="00FE461F">
            <w:pPr>
              <w:spacing w:after="120" w:line="240" w:lineRule="auto"/>
              <w:jc w:val="right"/>
              <w:rPr>
                <w:rFonts w:eastAsia="Arial Narrow" w:cs="Arial"/>
                <w:szCs w:val="20"/>
              </w:rPr>
            </w:pPr>
          </w:p>
        </w:tc>
        <w:tc>
          <w:tcPr>
            <w:tcW w:w="1431" w:type="dxa"/>
            <w:vMerge/>
            <w:vAlign w:val="center"/>
            <w:hideMark/>
          </w:tcPr>
          <w:p w14:paraId="26959BB0" w14:textId="77777777" w:rsidR="00FE461F" w:rsidRPr="005E4BEA" w:rsidRDefault="00FE461F" w:rsidP="00FE461F">
            <w:pPr>
              <w:spacing w:after="120" w:line="240" w:lineRule="auto"/>
              <w:jc w:val="right"/>
              <w:rPr>
                <w:rFonts w:eastAsia="Arial Narrow" w:cs="Arial"/>
                <w:szCs w:val="20"/>
              </w:rPr>
            </w:pPr>
          </w:p>
        </w:tc>
      </w:tr>
      <w:tr w:rsidR="00FE461F" w:rsidRPr="005E4BEA" w14:paraId="5978F9E1" w14:textId="77777777" w:rsidTr="00830452">
        <w:trPr>
          <w:trHeight w:hRule="exact" w:val="125"/>
        </w:trPr>
        <w:tc>
          <w:tcPr>
            <w:tcW w:w="3012" w:type="dxa"/>
            <w:vMerge/>
            <w:vAlign w:val="center"/>
            <w:hideMark/>
          </w:tcPr>
          <w:p w14:paraId="2CE321B1" w14:textId="77777777" w:rsidR="00FE461F" w:rsidRPr="005E4BEA" w:rsidRDefault="00FE461F" w:rsidP="00FE461F">
            <w:pPr>
              <w:spacing w:after="120" w:line="240" w:lineRule="auto"/>
              <w:jc w:val="both"/>
              <w:rPr>
                <w:rFonts w:eastAsia="Arial Narrow" w:cs="Arial"/>
                <w:szCs w:val="20"/>
              </w:rPr>
            </w:pPr>
          </w:p>
        </w:tc>
        <w:tc>
          <w:tcPr>
            <w:tcW w:w="1893" w:type="dxa"/>
            <w:vMerge/>
            <w:vAlign w:val="center"/>
            <w:hideMark/>
          </w:tcPr>
          <w:p w14:paraId="20905E7E" w14:textId="77777777" w:rsidR="00FE461F" w:rsidRPr="005E4BEA" w:rsidRDefault="00FE461F" w:rsidP="00FE461F">
            <w:pPr>
              <w:spacing w:after="120" w:line="240" w:lineRule="auto"/>
              <w:jc w:val="both"/>
              <w:rPr>
                <w:rFonts w:eastAsia="Arial Narrow" w:cs="Arial"/>
                <w:szCs w:val="20"/>
              </w:rPr>
            </w:pPr>
          </w:p>
        </w:tc>
        <w:tc>
          <w:tcPr>
            <w:tcW w:w="1145" w:type="dxa"/>
            <w:vMerge/>
            <w:vAlign w:val="center"/>
            <w:hideMark/>
          </w:tcPr>
          <w:p w14:paraId="5D85BD6C" w14:textId="77777777" w:rsidR="00FE461F" w:rsidRPr="005E4BEA" w:rsidRDefault="00FE461F" w:rsidP="00FE461F">
            <w:pPr>
              <w:spacing w:after="120" w:line="240" w:lineRule="auto"/>
              <w:jc w:val="both"/>
              <w:rPr>
                <w:rFonts w:eastAsia="Arial Narrow" w:cs="Arial"/>
                <w:szCs w:val="20"/>
              </w:rPr>
            </w:pPr>
          </w:p>
        </w:tc>
        <w:tc>
          <w:tcPr>
            <w:tcW w:w="1323" w:type="dxa"/>
            <w:vMerge/>
            <w:tcBorders>
              <w:bottom w:val="single" w:sz="4" w:space="0" w:color="0070C0"/>
            </w:tcBorders>
            <w:vAlign w:val="center"/>
            <w:hideMark/>
          </w:tcPr>
          <w:p w14:paraId="6EC0B42B" w14:textId="77777777" w:rsidR="00FE461F" w:rsidRPr="005E4BEA" w:rsidRDefault="00FE461F" w:rsidP="00FE461F">
            <w:pPr>
              <w:spacing w:after="120" w:line="240" w:lineRule="auto"/>
              <w:jc w:val="right"/>
              <w:rPr>
                <w:rFonts w:eastAsia="Arial Narrow" w:cs="Arial"/>
                <w:szCs w:val="20"/>
              </w:rPr>
            </w:pPr>
          </w:p>
        </w:tc>
        <w:tc>
          <w:tcPr>
            <w:tcW w:w="1431" w:type="dxa"/>
            <w:vMerge/>
            <w:tcBorders>
              <w:bottom w:val="single" w:sz="4" w:space="0" w:color="0070C0"/>
            </w:tcBorders>
            <w:vAlign w:val="center"/>
            <w:hideMark/>
          </w:tcPr>
          <w:p w14:paraId="71CCD0F3" w14:textId="77777777" w:rsidR="00FE461F" w:rsidRPr="005E4BEA" w:rsidRDefault="00FE461F" w:rsidP="00FE461F">
            <w:pPr>
              <w:spacing w:after="120" w:line="240" w:lineRule="auto"/>
              <w:jc w:val="right"/>
              <w:rPr>
                <w:rFonts w:eastAsia="Arial Narrow" w:cs="Arial"/>
                <w:szCs w:val="20"/>
              </w:rPr>
            </w:pPr>
          </w:p>
        </w:tc>
      </w:tr>
      <w:tr w:rsidR="00FE461F" w:rsidRPr="005E4BEA" w14:paraId="44B34699" w14:textId="77777777" w:rsidTr="00830452">
        <w:trPr>
          <w:trHeight w:hRule="exact" w:val="1263"/>
        </w:trPr>
        <w:tc>
          <w:tcPr>
            <w:tcW w:w="3012" w:type="dxa"/>
            <w:shd w:val="clear" w:color="auto" w:fill="auto"/>
          </w:tcPr>
          <w:p w14:paraId="11171378" w14:textId="77777777" w:rsidR="00FE461F" w:rsidRPr="005E4BEA" w:rsidRDefault="00FE461F" w:rsidP="00FE461F">
            <w:pPr>
              <w:spacing w:line="240" w:lineRule="exact"/>
              <w:jc w:val="both"/>
              <w:rPr>
                <w:rFonts w:eastAsia="Arial Narrow" w:cs="Arial"/>
                <w:szCs w:val="20"/>
              </w:rPr>
            </w:pPr>
            <w:r w:rsidRPr="005E4BEA">
              <w:rPr>
                <w:rFonts w:eastAsia="Arial Narrow" w:cs="Arial"/>
                <w:szCs w:val="20"/>
              </w:rPr>
              <w:t>Dodatek za poseg katetrske ablacije aritmij</w:t>
            </w:r>
          </w:p>
          <w:p w14:paraId="3D529732" w14:textId="77777777" w:rsidR="00FE461F" w:rsidRPr="005E4BEA" w:rsidRDefault="00FE461F" w:rsidP="00FE461F">
            <w:pPr>
              <w:spacing w:line="240" w:lineRule="exact"/>
              <w:jc w:val="both"/>
              <w:rPr>
                <w:rFonts w:eastAsia="Arial Narrow" w:cs="Arial"/>
                <w:szCs w:val="20"/>
              </w:rPr>
            </w:pPr>
            <w:r w:rsidRPr="005E4BEA">
              <w:rPr>
                <w:rFonts w:eastAsia="Arial Narrow" w:cs="Arial"/>
                <w:szCs w:val="20"/>
              </w:rPr>
              <w:t>Od 1. 7. 2022</w:t>
            </w:r>
          </w:p>
        </w:tc>
        <w:tc>
          <w:tcPr>
            <w:tcW w:w="1893" w:type="dxa"/>
            <w:shd w:val="clear" w:color="auto" w:fill="auto"/>
          </w:tcPr>
          <w:p w14:paraId="247F2046" w14:textId="77777777" w:rsidR="00FE461F" w:rsidRPr="005E4BEA" w:rsidRDefault="00FE461F" w:rsidP="00FE461F">
            <w:pPr>
              <w:spacing w:line="240" w:lineRule="auto"/>
              <w:jc w:val="both"/>
              <w:rPr>
                <w:rFonts w:eastAsia="Arial Narrow" w:cs="Arial"/>
                <w:szCs w:val="20"/>
              </w:rPr>
            </w:pPr>
          </w:p>
          <w:p w14:paraId="3C05DF5E" w14:textId="77777777" w:rsidR="00FE461F" w:rsidRPr="005E4BEA" w:rsidRDefault="00FE461F" w:rsidP="00FE461F">
            <w:pPr>
              <w:spacing w:line="240" w:lineRule="auto"/>
              <w:jc w:val="both"/>
              <w:rPr>
                <w:rFonts w:eastAsia="Arial Narrow" w:cs="Arial"/>
                <w:szCs w:val="20"/>
              </w:rPr>
            </w:pPr>
            <w:r w:rsidRPr="005E4BEA">
              <w:rPr>
                <w:rFonts w:eastAsia="Arial Narrow" w:cs="Arial"/>
                <w:szCs w:val="20"/>
              </w:rPr>
              <w:t>UKC Ljubljana</w:t>
            </w:r>
          </w:p>
          <w:p w14:paraId="4856ECFE" w14:textId="77777777" w:rsidR="00FE461F" w:rsidRPr="005E4BEA" w:rsidRDefault="00FE461F" w:rsidP="00FE461F">
            <w:pPr>
              <w:spacing w:line="240" w:lineRule="auto"/>
              <w:jc w:val="both"/>
              <w:rPr>
                <w:rFonts w:eastAsia="Arial Narrow" w:cs="Arial"/>
                <w:szCs w:val="20"/>
              </w:rPr>
            </w:pPr>
            <w:r w:rsidRPr="005E4BEA">
              <w:rPr>
                <w:rFonts w:eastAsia="Arial Narrow" w:cs="Arial"/>
                <w:szCs w:val="20"/>
              </w:rPr>
              <w:t>UKC Maribor</w:t>
            </w:r>
          </w:p>
        </w:tc>
        <w:tc>
          <w:tcPr>
            <w:tcW w:w="1145" w:type="dxa"/>
            <w:tcBorders>
              <w:right w:val="single" w:sz="4" w:space="0" w:color="0070C0"/>
            </w:tcBorders>
            <w:shd w:val="clear" w:color="auto" w:fill="auto"/>
            <w:noWrap/>
          </w:tcPr>
          <w:p w14:paraId="49CEAFEE" w14:textId="77777777" w:rsidR="00FE461F" w:rsidRPr="005E4BEA" w:rsidRDefault="00FE461F" w:rsidP="00FE461F">
            <w:pPr>
              <w:spacing w:line="240" w:lineRule="auto"/>
              <w:jc w:val="both"/>
              <w:rPr>
                <w:rFonts w:eastAsia="Arial Narrow" w:cs="Arial"/>
                <w:szCs w:val="20"/>
              </w:rPr>
            </w:pPr>
            <w:r w:rsidRPr="005E4BEA">
              <w:rPr>
                <w:rFonts w:eastAsia="Arial Narrow" w:cs="Arial"/>
                <w:szCs w:val="20"/>
              </w:rPr>
              <w:t>882 dodatkov</w:t>
            </w:r>
          </w:p>
          <w:p w14:paraId="19400745" w14:textId="77777777" w:rsidR="00FE461F" w:rsidRPr="005E4BEA" w:rsidRDefault="00FE461F" w:rsidP="00FE461F">
            <w:pPr>
              <w:spacing w:line="240" w:lineRule="auto"/>
              <w:jc w:val="both"/>
              <w:rPr>
                <w:rFonts w:eastAsia="Arial Narrow" w:cs="Arial"/>
                <w:szCs w:val="20"/>
              </w:rPr>
            </w:pPr>
            <w:r w:rsidRPr="005E4BEA">
              <w:rPr>
                <w:rFonts w:eastAsia="Arial Narrow" w:cs="Arial"/>
                <w:szCs w:val="20"/>
              </w:rPr>
              <w:t>744</w:t>
            </w:r>
          </w:p>
          <w:p w14:paraId="48639252" w14:textId="77777777" w:rsidR="00FE461F" w:rsidRPr="005E4BEA" w:rsidRDefault="00FE461F" w:rsidP="00FE461F">
            <w:pPr>
              <w:spacing w:line="240" w:lineRule="auto"/>
              <w:jc w:val="both"/>
              <w:rPr>
                <w:rFonts w:eastAsia="Arial Narrow" w:cs="Arial"/>
                <w:szCs w:val="20"/>
              </w:rPr>
            </w:pPr>
            <w:r w:rsidRPr="005E4BEA">
              <w:rPr>
                <w:rFonts w:eastAsia="Arial Narrow" w:cs="Arial"/>
                <w:szCs w:val="20"/>
              </w:rPr>
              <w:t>138</w:t>
            </w:r>
          </w:p>
        </w:tc>
        <w:tc>
          <w:tcPr>
            <w:tcW w:w="1323" w:type="dxa"/>
            <w:tcBorders>
              <w:top w:val="single" w:sz="4" w:space="0" w:color="0070C0"/>
              <w:left w:val="single" w:sz="4" w:space="0" w:color="0070C0"/>
              <w:bottom w:val="single" w:sz="4" w:space="0" w:color="0070C0"/>
              <w:right w:val="single" w:sz="4" w:space="0" w:color="0070C0"/>
            </w:tcBorders>
            <w:noWrap/>
          </w:tcPr>
          <w:p w14:paraId="2EF12CBB" w14:textId="77777777" w:rsidR="00FE461F" w:rsidRPr="005E4BEA" w:rsidRDefault="00FE461F" w:rsidP="00FE461F">
            <w:pPr>
              <w:spacing w:after="120" w:line="240" w:lineRule="auto"/>
              <w:jc w:val="right"/>
              <w:rPr>
                <w:rFonts w:eastAsia="Arial Narrow" w:cs="Arial"/>
                <w:color w:val="000000"/>
                <w:szCs w:val="20"/>
              </w:rPr>
            </w:pPr>
            <w:r w:rsidRPr="005E4BEA">
              <w:rPr>
                <w:rFonts w:cs="Arial"/>
                <w:color w:val="000000"/>
                <w:szCs w:val="20"/>
              </w:rPr>
              <w:t>4.806.900</w:t>
            </w:r>
          </w:p>
        </w:tc>
        <w:tc>
          <w:tcPr>
            <w:tcW w:w="1431" w:type="dxa"/>
            <w:tcBorders>
              <w:top w:val="single" w:sz="4" w:space="0" w:color="0070C0"/>
              <w:left w:val="single" w:sz="4" w:space="0" w:color="0070C0"/>
              <w:bottom w:val="single" w:sz="4" w:space="0" w:color="0070C0"/>
              <w:right w:val="single" w:sz="4" w:space="0" w:color="0070C0"/>
            </w:tcBorders>
            <w:noWrap/>
          </w:tcPr>
          <w:p w14:paraId="754DCCB6" w14:textId="77777777" w:rsidR="00FE461F" w:rsidRPr="005E4BEA" w:rsidRDefault="00FE461F" w:rsidP="00FE461F">
            <w:pPr>
              <w:spacing w:after="120" w:line="240" w:lineRule="auto"/>
              <w:jc w:val="right"/>
              <w:rPr>
                <w:rFonts w:eastAsia="Arial Narrow" w:cs="Arial"/>
                <w:color w:val="000000"/>
                <w:szCs w:val="20"/>
              </w:rPr>
            </w:pPr>
            <w:r w:rsidRPr="005E4BEA">
              <w:rPr>
                <w:rFonts w:cs="Arial"/>
                <w:color w:val="000000"/>
                <w:szCs w:val="20"/>
              </w:rPr>
              <w:t>2.403.450</w:t>
            </w:r>
          </w:p>
        </w:tc>
      </w:tr>
      <w:bookmarkEnd w:id="33"/>
    </w:tbl>
    <w:p w14:paraId="2CA82563" w14:textId="77777777" w:rsidR="00FE461F" w:rsidRPr="005E4BEA" w:rsidRDefault="00FE461F" w:rsidP="00FE461F">
      <w:pPr>
        <w:spacing w:line="240" w:lineRule="auto"/>
        <w:jc w:val="both"/>
        <w:rPr>
          <w:rFonts w:cs="Arial"/>
          <w:b/>
          <w:bCs/>
          <w:color w:val="000000"/>
          <w:szCs w:val="20"/>
        </w:rPr>
      </w:pPr>
    </w:p>
    <w:p w14:paraId="49AF1D95" w14:textId="77777777" w:rsidR="00FE461F" w:rsidRPr="005E4BEA" w:rsidRDefault="00FE461F" w:rsidP="00FE461F">
      <w:pPr>
        <w:spacing w:after="120" w:line="240" w:lineRule="auto"/>
        <w:jc w:val="both"/>
        <w:rPr>
          <w:rFonts w:cs="Arial"/>
          <w:b/>
          <w:bCs/>
          <w:color w:val="000000"/>
          <w:szCs w:val="20"/>
        </w:rPr>
      </w:pPr>
      <w:r w:rsidRPr="005E4BEA">
        <w:rPr>
          <w:rFonts w:cs="Arial"/>
          <w:b/>
          <w:bCs/>
          <w:color w:val="000000"/>
          <w:szCs w:val="20"/>
        </w:rPr>
        <w:t>V prilogi I/b se doda nova storitev, ki se glasi:</w:t>
      </w:r>
    </w:p>
    <w:tbl>
      <w:tblPr>
        <w:tblW w:w="821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607"/>
        <w:gridCol w:w="1075"/>
        <w:gridCol w:w="885"/>
        <w:gridCol w:w="3569"/>
        <w:gridCol w:w="1117"/>
        <w:gridCol w:w="964"/>
      </w:tblGrid>
      <w:tr w:rsidR="00FE461F" w:rsidRPr="005E4BEA" w14:paraId="3D17B4D0" w14:textId="77777777" w:rsidTr="0016774B">
        <w:trPr>
          <w:trHeight w:val="20"/>
        </w:trPr>
        <w:tc>
          <w:tcPr>
            <w:tcW w:w="562" w:type="dxa"/>
            <w:shd w:val="clear" w:color="auto" w:fill="auto"/>
            <w:noWrap/>
            <w:vAlign w:val="center"/>
            <w:hideMark/>
          </w:tcPr>
          <w:p w14:paraId="5E0EB611" w14:textId="77777777" w:rsidR="00FE461F" w:rsidRPr="005E4BEA" w:rsidRDefault="00FE461F" w:rsidP="00FE461F">
            <w:pPr>
              <w:spacing w:line="240" w:lineRule="auto"/>
              <w:jc w:val="both"/>
              <w:rPr>
                <w:rFonts w:cs="Arial"/>
                <w:szCs w:val="20"/>
              </w:rPr>
            </w:pPr>
            <w:r w:rsidRPr="005E4BEA">
              <w:rPr>
                <w:rFonts w:cs="Arial"/>
                <w:szCs w:val="20"/>
              </w:rPr>
              <w:t>Vrsta</w:t>
            </w:r>
          </w:p>
        </w:tc>
        <w:tc>
          <w:tcPr>
            <w:tcW w:w="1075" w:type="dxa"/>
            <w:shd w:val="clear" w:color="auto" w:fill="auto"/>
            <w:noWrap/>
            <w:vAlign w:val="center"/>
            <w:hideMark/>
          </w:tcPr>
          <w:p w14:paraId="756B9B51" w14:textId="77777777" w:rsidR="00FE461F" w:rsidRPr="005E4BEA" w:rsidRDefault="00FE461F" w:rsidP="00FE461F">
            <w:pPr>
              <w:spacing w:line="240" w:lineRule="auto"/>
              <w:jc w:val="both"/>
              <w:rPr>
                <w:rFonts w:cs="Arial"/>
                <w:szCs w:val="20"/>
              </w:rPr>
            </w:pPr>
            <w:r w:rsidRPr="005E4BEA">
              <w:rPr>
                <w:rFonts w:cs="Arial"/>
                <w:szCs w:val="20"/>
              </w:rPr>
              <w:t>Podvrsta</w:t>
            </w:r>
          </w:p>
        </w:tc>
        <w:tc>
          <w:tcPr>
            <w:tcW w:w="885" w:type="dxa"/>
            <w:shd w:val="clear" w:color="auto" w:fill="auto"/>
            <w:noWrap/>
            <w:vAlign w:val="center"/>
            <w:hideMark/>
          </w:tcPr>
          <w:p w14:paraId="3C3256E8" w14:textId="77777777" w:rsidR="00FE461F" w:rsidRPr="005E4BEA" w:rsidRDefault="00FE461F" w:rsidP="00FE461F">
            <w:pPr>
              <w:spacing w:line="240" w:lineRule="auto"/>
              <w:jc w:val="both"/>
              <w:rPr>
                <w:rFonts w:cs="Arial"/>
                <w:szCs w:val="20"/>
              </w:rPr>
            </w:pPr>
            <w:r w:rsidRPr="005E4BEA">
              <w:rPr>
                <w:rFonts w:cs="Arial"/>
                <w:szCs w:val="20"/>
              </w:rPr>
              <w:t>Storitev</w:t>
            </w:r>
          </w:p>
        </w:tc>
        <w:tc>
          <w:tcPr>
            <w:tcW w:w="3569" w:type="dxa"/>
            <w:shd w:val="clear" w:color="auto" w:fill="auto"/>
            <w:noWrap/>
            <w:vAlign w:val="center"/>
            <w:hideMark/>
          </w:tcPr>
          <w:p w14:paraId="723CCC15" w14:textId="77777777" w:rsidR="00FE461F" w:rsidRPr="005E4BEA" w:rsidRDefault="00FE461F" w:rsidP="00FE461F">
            <w:pPr>
              <w:spacing w:line="240" w:lineRule="auto"/>
              <w:jc w:val="both"/>
              <w:rPr>
                <w:rFonts w:cs="Arial"/>
                <w:szCs w:val="20"/>
              </w:rPr>
            </w:pPr>
            <w:r w:rsidRPr="005E4BEA">
              <w:rPr>
                <w:rFonts w:cs="Arial"/>
                <w:szCs w:val="20"/>
              </w:rPr>
              <w:t>Naziv</w:t>
            </w:r>
          </w:p>
        </w:tc>
        <w:tc>
          <w:tcPr>
            <w:tcW w:w="1158" w:type="dxa"/>
            <w:shd w:val="clear" w:color="auto" w:fill="auto"/>
            <w:vAlign w:val="center"/>
          </w:tcPr>
          <w:p w14:paraId="216E3E9D" w14:textId="77777777" w:rsidR="00FE461F" w:rsidRPr="005E4BEA" w:rsidRDefault="00FE461F" w:rsidP="00FE461F">
            <w:pPr>
              <w:spacing w:line="240" w:lineRule="auto"/>
              <w:jc w:val="both"/>
              <w:rPr>
                <w:rFonts w:cs="Arial"/>
                <w:szCs w:val="20"/>
              </w:rPr>
            </w:pPr>
            <w:r w:rsidRPr="005E4BEA">
              <w:rPr>
                <w:rFonts w:cs="Arial"/>
                <w:szCs w:val="20"/>
              </w:rPr>
              <w:t>Enota mere</w:t>
            </w:r>
          </w:p>
        </w:tc>
        <w:tc>
          <w:tcPr>
            <w:tcW w:w="968" w:type="dxa"/>
            <w:shd w:val="clear" w:color="auto" w:fill="auto"/>
            <w:vAlign w:val="center"/>
          </w:tcPr>
          <w:p w14:paraId="1D64BF9D" w14:textId="77777777" w:rsidR="00FE461F" w:rsidRPr="005E4BEA" w:rsidRDefault="00FE461F" w:rsidP="00FE461F">
            <w:pPr>
              <w:spacing w:line="240" w:lineRule="auto"/>
              <w:jc w:val="both"/>
              <w:rPr>
                <w:rFonts w:cs="Arial"/>
                <w:szCs w:val="20"/>
              </w:rPr>
            </w:pPr>
            <w:r w:rsidRPr="005E4BEA">
              <w:rPr>
                <w:rFonts w:cs="Arial"/>
                <w:szCs w:val="20"/>
              </w:rPr>
              <w:t>Cena</w:t>
            </w:r>
          </w:p>
        </w:tc>
      </w:tr>
      <w:tr w:rsidR="00FE461F" w:rsidRPr="005E4BEA" w14:paraId="6F936D04" w14:textId="77777777" w:rsidTr="0016774B">
        <w:trPr>
          <w:trHeight w:val="109"/>
        </w:trPr>
        <w:tc>
          <w:tcPr>
            <w:tcW w:w="562" w:type="dxa"/>
            <w:shd w:val="clear" w:color="auto" w:fill="auto"/>
            <w:noWrap/>
            <w:hideMark/>
          </w:tcPr>
          <w:p w14:paraId="5180740A" w14:textId="77777777" w:rsidR="00FE461F" w:rsidRPr="005E4BEA" w:rsidRDefault="00FE461F" w:rsidP="00FE461F">
            <w:pPr>
              <w:spacing w:line="240" w:lineRule="auto"/>
              <w:jc w:val="both"/>
              <w:rPr>
                <w:rFonts w:cs="Arial"/>
                <w:szCs w:val="20"/>
              </w:rPr>
            </w:pPr>
            <w:r w:rsidRPr="005E4BEA">
              <w:rPr>
                <w:rFonts w:cs="Arial"/>
                <w:szCs w:val="20"/>
              </w:rPr>
              <w:t>101</w:t>
            </w:r>
          </w:p>
        </w:tc>
        <w:tc>
          <w:tcPr>
            <w:tcW w:w="1075" w:type="dxa"/>
            <w:shd w:val="clear" w:color="auto" w:fill="auto"/>
            <w:noWrap/>
            <w:hideMark/>
          </w:tcPr>
          <w:p w14:paraId="47F093BA" w14:textId="77777777" w:rsidR="00FE461F" w:rsidRPr="005E4BEA" w:rsidRDefault="00FE461F" w:rsidP="00FE461F">
            <w:pPr>
              <w:spacing w:line="240" w:lineRule="auto"/>
              <w:jc w:val="both"/>
              <w:rPr>
                <w:rFonts w:cs="Arial"/>
                <w:szCs w:val="20"/>
              </w:rPr>
            </w:pPr>
            <w:r w:rsidRPr="005E4BEA">
              <w:rPr>
                <w:rFonts w:cs="Arial"/>
                <w:szCs w:val="20"/>
              </w:rPr>
              <w:t>300</w:t>
            </w:r>
          </w:p>
        </w:tc>
        <w:tc>
          <w:tcPr>
            <w:tcW w:w="885" w:type="dxa"/>
            <w:shd w:val="clear" w:color="auto" w:fill="auto"/>
            <w:noWrap/>
            <w:hideMark/>
          </w:tcPr>
          <w:p w14:paraId="73601637" w14:textId="77777777" w:rsidR="00FE461F" w:rsidRPr="005E4BEA" w:rsidRDefault="00FE461F" w:rsidP="00FE461F">
            <w:pPr>
              <w:spacing w:line="240" w:lineRule="auto"/>
              <w:jc w:val="both"/>
              <w:rPr>
                <w:rFonts w:cs="Arial"/>
                <w:szCs w:val="20"/>
              </w:rPr>
            </w:pPr>
            <w:r w:rsidRPr="005E4BEA">
              <w:rPr>
                <w:rFonts w:cs="Arial"/>
                <w:szCs w:val="20"/>
              </w:rPr>
              <w:t>E0xxx</w:t>
            </w:r>
          </w:p>
        </w:tc>
        <w:tc>
          <w:tcPr>
            <w:tcW w:w="3569" w:type="dxa"/>
            <w:shd w:val="clear" w:color="auto" w:fill="auto"/>
            <w:noWrap/>
            <w:hideMark/>
          </w:tcPr>
          <w:p w14:paraId="48413F68" w14:textId="77777777" w:rsidR="00FE461F" w:rsidRPr="005E4BEA" w:rsidRDefault="00FE461F" w:rsidP="00FE461F">
            <w:pPr>
              <w:spacing w:line="240" w:lineRule="auto"/>
              <w:jc w:val="both"/>
              <w:rPr>
                <w:rFonts w:cs="Arial"/>
                <w:szCs w:val="20"/>
              </w:rPr>
            </w:pPr>
            <w:r w:rsidRPr="005E4BEA">
              <w:rPr>
                <w:rFonts w:cs="Arial"/>
                <w:szCs w:val="20"/>
              </w:rPr>
              <w:t>Dodatek za poseg katetrske ablacije aritmij</w:t>
            </w:r>
          </w:p>
        </w:tc>
        <w:tc>
          <w:tcPr>
            <w:tcW w:w="1158" w:type="dxa"/>
            <w:shd w:val="clear" w:color="auto" w:fill="auto"/>
          </w:tcPr>
          <w:p w14:paraId="0A2A4357" w14:textId="77777777" w:rsidR="00FE461F" w:rsidRPr="005E4BEA" w:rsidRDefault="00FE461F" w:rsidP="00FE461F">
            <w:pPr>
              <w:spacing w:line="240" w:lineRule="auto"/>
              <w:jc w:val="both"/>
              <w:rPr>
                <w:rFonts w:cs="Arial"/>
                <w:szCs w:val="20"/>
              </w:rPr>
            </w:pPr>
            <w:r w:rsidRPr="005E4BEA">
              <w:rPr>
                <w:rFonts w:cs="Arial"/>
                <w:szCs w:val="20"/>
              </w:rPr>
              <w:t>primer</w:t>
            </w:r>
          </w:p>
        </w:tc>
        <w:tc>
          <w:tcPr>
            <w:tcW w:w="968" w:type="dxa"/>
            <w:shd w:val="clear" w:color="auto" w:fill="auto"/>
          </w:tcPr>
          <w:p w14:paraId="126609D2" w14:textId="77777777" w:rsidR="00FE461F" w:rsidRPr="005E4BEA" w:rsidRDefault="00FE461F" w:rsidP="00FE461F">
            <w:pPr>
              <w:spacing w:line="240" w:lineRule="auto"/>
              <w:jc w:val="both"/>
              <w:rPr>
                <w:rFonts w:cs="Arial"/>
                <w:color w:val="FF0000"/>
                <w:szCs w:val="20"/>
              </w:rPr>
            </w:pPr>
            <w:r w:rsidRPr="005E4BEA">
              <w:rPr>
                <w:rFonts w:cs="Arial"/>
                <w:szCs w:val="20"/>
              </w:rPr>
              <w:t>5.450,00</w:t>
            </w:r>
          </w:p>
        </w:tc>
      </w:tr>
    </w:tbl>
    <w:p w14:paraId="05CA2758" w14:textId="77777777" w:rsidR="00FE461F" w:rsidRPr="005E4BEA" w:rsidRDefault="00FE461F" w:rsidP="00FE461F">
      <w:pPr>
        <w:spacing w:line="120" w:lineRule="auto"/>
        <w:jc w:val="both"/>
        <w:rPr>
          <w:rFonts w:cs="Arial"/>
          <w:szCs w:val="20"/>
        </w:rPr>
      </w:pPr>
    </w:p>
    <w:p w14:paraId="37541C3B" w14:textId="77777777" w:rsidR="00FE461F" w:rsidRPr="005E4BEA" w:rsidRDefault="00FE461F" w:rsidP="00FE461F">
      <w:pPr>
        <w:spacing w:line="240" w:lineRule="exact"/>
        <w:jc w:val="both"/>
        <w:rPr>
          <w:rFonts w:cs="Arial"/>
          <w:szCs w:val="20"/>
        </w:rPr>
      </w:pPr>
      <w:r w:rsidRPr="005E4BEA">
        <w:rPr>
          <w:rFonts w:cs="Arial"/>
          <w:szCs w:val="20"/>
        </w:rPr>
        <w:t>Opomba: Dodatek se v okviru bolnišničnega zdravljenja obračuna največ enkrat. Pogoj za obračun je opravljen postopek iz Priloge BOL – 2b, točke 3.</w:t>
      </w:r>
    </w:p>
    <w:p w14:paraId="30CBE54B" w14:textId="77777777" w:rsidR="00FE461F" w:rsidRPr="005E4BEA" w:rsidRDefault="00FE461F" w:rsidP="00FE461F">
      <w:pPr>
        <w:spacing w:line="240" w:lineRule="auto"/>
        <w:jc w:val="both"/>
        <w:rPr>
          <w:rFonts w:cs="Arial"/>
          <w:szCs w:val="20"/>
        </w:rPr>
      </w:pPr>
    </w:p>
    <w:p w14:paraId="19282A44" w14:textId="77777777" w:rsidR="00FE461F" w:rsidRPr="005E4BEA" w:rsidRDefault="00FE461F" w:rsidP="00FE461F">
      <w:pPr>
        <w:spacing w:line="240" w:lineRule="auto"/>
        <w:jc w:val="both"/>
        <w:rPr>
          <w:rFonts w:cs="Arial"/>
          <w:szCs w:val="20"/>
        </w:rPr>
      </w:pPr>
    </w:p>
    <w:p w14:paraId="34EA3923" w14:textId="77777777" w:rsidR="00FE461F" w:rsidRPr="005E4BEA" w:rsidRDefault="00FE461F" w:rsidP="00FE461F">
      <w:pPr>
        <w:spacing w:after="60" w:line="240" w:lineRule="auto"/>
        <w:jc w:val="both"/>
        <w:rPr>
          <w:rFonts w:cs="Arial"/>
          <w:b/>
          <w:bCs/>
          <w:szCs w:val="20"/>
        </w:rPr>
      </w:pPr>
      <w:r w:rsidRPr="005E4BEA">
        <w:rPr>
          <w:rFonts w:cs="Arial"/>
          <w:b/>
          <w:bCs/>
          <w:szCs w:val="20"/>
        </w:rPr>
        <w:lastRenderedPageBreak/>
        <w:t>V Prilogi III v (2) odstavku v 4. točki se doda nova alineja, ki se glasi:</w:t>
      </w:r>
    </w:p>
    <w:p w14:paraId="189EC3AB" w14:textId="77777777" w:rsidR="00FE461F" w:rsidRPr="005E4BEA" w:rsidRDefault="00FE461F" w:rsidP="00FE461F">
      <w:pPr>
        <w:spacing w:line="240" w:lineRule="auto"/>
        <w:jc w:val="both"/>
        <w:rPr>
          <w:rFonts w:cs="Arial"/>
          <w:szCs w:val="20"/>
        </w:rPr>
      </w:pPr>
      <w:r w:rsidRPr="005E4BEA">
        <w:rPr>
          <w:rFonts w:cs="Arial"/>
          <w:szCs w:val="20"/>
        </w:rPr>
        <w:t>»- dodatek za poseg katetrske ablacije aritmij«</w:t>
      </w:r>
    </w:p>
    <w:p w14:paraId="1DC52355" w14:textId="77777777" w:rsidR="00FE461F" w:rsidRPr="005E4BEA" w:rsidRDefault="00FE461F" w:rsidP="00FE461F">
      <w:pPr>
        <w:spacing w:line="240" w:lineRule="auto"/>
        <w:jc w:val="both"/>
        <w:rPr>
          <w:rFonts w:cs="Arial"/>
          <w:szCs w:val="20"/>
        </w:rPr>
      </w:pPr>
    </w:p>
    <w:p w14:paraId="2EE92DCD" w14:textId="77777777" w:rsidR="00FE461F" w:rsidRPr="005E4BEA" w:rsidRDefault="00FE461F" w:rsidP="00FE461F">
      <w:pPr>
        <w:spacing w:line="240" w:lineRule="auto"/>
        <w:jc w:val="both"/>
        <w:rPr>
          <w:rFonts w:cs="Arial"/>
          <w:b/>
          <w:bCs/>
          <w:szCs w:val="20"/>
        </w:rPr>
      </w:pPr>
    </w:p>
    <w:p w14:paraId="428ED49C"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Prilogo BOL – 2a </w:t>
      </w:r>
      <w:r w:rsidRPr="005E4BEA">
        <w:rPr>
          <w:rFonts w:cs="Arial"/>
          <w:szCs w:val="20"/>
        </w:rPr>
        <w:t xml:space="preserve">(Seznam posegov iz Klasifikacije terapevtskih in diagnostičnih postopkov in Seznam diagnoz iz Mednarodne klasifikacije bolezni za identificiranje </w:t>
      </w:r>
      <w:proofErr w:type="spellStart"/>
      <w:r w:rsidRPr="005E4BEA">
        <w:rPr>
          <w:rFonts w:cs="Arial"/>
          <w:szCs w:val="20"/>
        </w:rPr>
        <w:t>prospektivnega</w:t>
      </w:r>
      <w:proofErr w:type="spellEnd"/>
      <w:r w:rsidRPr="005E4BEA">
        <w:rPr>
          <w:rFonts w:cs="Arial"/>
          <w:szCs w:val="20"/>
        </w:rPr>
        <w:t xml:space="preserve"> programa) </w:t>
      </w:r>
      <w:r w:rsidRPr="005E4BEA">
        <w:rPr>
          <w:rFonts w:cs="Arial"/>
          <w:b/>
          <w:bCs/>
          <w:szCs w:val="20"/>
        </w:rPr>
        <w:t>se v okviru 4. točke »</w:t>
      </w:r>
      <w:proofErr w:type="spellStart"/>
      <w:r w:rsidRPr="005E4BEA">
        <w:rPr>
          <w:rFonts w:cs="Arial"/>
          <w:b/>
          <w:bCs/>
          <w:szCs w:val="20"/>
        </w:rPr>
        <w:t>Perkutani</w:t>
      </w:r>
      <w:proofErr w:type="spellEnd"/>
      <w:r w:rsidRPr="005E4BEA">
        <w:rPr>
          <w:rFonts w:cs="Arial"/>
          <w:b/>
          <w:bCs/>
          <w:szCs w:val="20"/>
        </w:rPr>
        <w:t xml:space="preserve"> posegi na srcu, srčnih zaklopkah in koronarnih arterijah« za prvo alinejo dodajo nove alineje, ki se glasijo:</w:t>
      </w:r>
    </w:p>
    <w:p w14:paraId="7C7F34EB" w14:textId="77777777" w:rsidR="00FE461F" w:rsidRPr="005E4BEA" w:rsidRDefault="00FE461F" w:rsidP="00FE461F">
      <w:pPr>
        <w:spacing w:line="240" w:lineRule="auto"/>
        <w:jc w:val="both"/>
        <w:rPr>
          <w:rFonts w:cs="Arial"/>
          <w:b/>
          <w:bCs/>
          <w:szCs w:val="20"/>
        </w:rPr>
      </w:pPr>
    </w:p>
    <w:tbl>
      <w:tblPr>
        <w:tblW w:w="8505" w:type="dxa"/>
        <w:tblLayout w:type="fixed"/>
        <w:tblCellMar>
          <w:left w:w="70" w:type="dxa"/>
          <w:right w:w="70" w:type="dxa"/>
        </w:tblCellMar>
        <w:tblLook w:val="0000" w:firstRow="0" w:lastRow="0" w:firstColumn="0" w:lastColumn="0" w:noHBand="0" w:noVBand="0"/>
      </w:tblPr>
      <w:tblGrid>
        <w:gridCol w:w="426"/>
        <w:gridCol w:w="1275"/>
        <w:gridCol w:w="6804"/>
      </w:tblGrid>
      <w:tr w:rsidR="00FE461F" w:rsidRPr="005E4BEA" w14:paraId="5C5E3132" w14:textId="77777777" w:rsidTr="0016774B">
        <w:trPr>
          <w:trHeight w:val="227"/>
        </w:trPr>
        <w:tc>
          <w:tcPr>
            <w:tcW w:w="426" w:type="dxa"/>
          </w:tcPr>
          <w:p w14:paraId="371E09D1" w14:textId="77777777" w:rsidR="00FE461F" w:rsidRPr="005E4BEA" w:rsidRDefault="00FE461F" w:rsidP="00FE461F">
            <w:pPr>
              <w:autoSpaceDE w:val="0"/>
              <w:autoSpaceDN w:val="0"/>
              <w:adjustRightInd w:val="0"/>
              <w:spacing w:line="240" w:lineRule="auto"/>
              <w:jc w:val="both"/>
              <w:rPr>
                <w:rFonts w:cs="Arial"/>
                <w:color w:val="000000"/>
                <w:szCs w:val="20"/>
              </w:rPr>
            </w:pPr>
            <w:r w:rsidRPr="005E4BEA">
              <w:rPr>
                <w:rFonts w:cs="Arial"/>
                <w:szCs w:val="20"/>
              </w:rPr>
              <w:t>2.</w:t>
            </w:r>
          </w:p>
        </w:tc>
        <w:tc>
          <w:tcPr>
            <w:tcW w:w="1275" w:type="dxa"/>
          </w:tcPr>
          <w:p w14:paraId="166B66E1"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38287-02</w:t>
            </w:r>
          </w:p>
        </w:tc>
        <w:tc>
          <w:tcPr>
            <w:tcW w:w="6804" w:type="dxa"/>
          </w:tcPr>
          <w:p w14:paraId="315671F2"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FE461F" w:rsidRPr="005E4BEA" w14:paraId="771136FF" w14:textId="77777777" w:rsidTr="0016774B">
        <w:trPr>
          <w:trHeight w:val="227"/>
        </w:trPr>
        <w:tc>
          <w:tcPr>
            <w:tcW w:w="426" w:type="dxa"/>
          </w:tcPr>
          <w:p w14:paraId="249234AA"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3.</w:t>
            </w:r>
          </w:p>
        </w:tc>
        <w:tc>
          <w:tcPr>
            <w:tcW w:w="1275" w:type="dxa"/>
          </w:tcPr>
          <w:p w14:paraId="17FB2E02"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38290-01</w:t>
            </w:r>
          </w:p>
        </w:tc>
        <w:tc>
          <w:tcPr>
            <w:tcW w:w="6804" w:type="dxa"/>
          </w:tcPr>
          <w:p w14:paraId="1A20CACF" w14:textId="77777777" w:rsidR="00FE461F" w:rsidRPr="005E4BEA" w:rsidRDefault="00FE461F" w:rsidP="00FE461F">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FE461F" w:rsidRPr="005E4BEA" w14:paraId="64A4B26A" w14:textId="77777777" w:rsidTr="0016774B">
        <w:trPr>
          <w:trHeight w:val="227"/>
        </w:trPr>
        <w:tc>
          <w:tcPr>
            <w:tcW w:w="426" w:type="dxa"/>
          </w:tcPr>
          <w:p w14:paraId="6A77BFA2"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4.</w:t>
            </w:r>
          </w:p>
        </w:tc>
        <w:tc>
          <w:tcPr>
            <w:tcW w:w="1275" w:type="dxa"/>
          </w:tcPr>
          <w:p w14:paraId="0EFF9261"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38287-01</w:t>
            </w:r>
          </w:p>
        </w:tc>
        <w:tc>
          <w:tcPr>
            <w:tcW w:w="6804" w:type="dxa"/>
          </w:tcPr>
          <w:p w14:paraId="7D9F559F"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tc>
      </w:tr>
    </w:tbl>
    <w:p w14:paraId="1D5D7DE0" w14:textId="77777777" w:rsidR="00FE461F" w:rsidRPr="005E4BEA" w:rsidRDefault="00FE461F" w:rsidP="00FE461F">
      <w:pPr>
        <w:spacing w:line="240" w:lineRule="auto"/>
        <w:jc w:val="both"/>
        <w:rPr>
          <w:rFonts w:cs="Arial"/>
          <w:szCs w:val="20"/>
        </w:rPr>
      </w:pPr>
    </w:p>
    <w:p w14:paraId="26B2CD66" w14:textId="77777777" w:rsidR="00FE461F" w:rsidRPr="005E4BEA" w:rsidRDefault="00FE461F" w:rsidP="00FE461F">
      <w:pPr>
        <w:spacing w:line="240" w:lineRule="exact"/>
        <w:jc w:val="both"/>
        <w:rPr>
          <w:rFonts w:cs="Arial"/>
          <w:color w:val="000000"/>
          <w:szCs w:val="20"/>
        </w:rPr>
      </w:pPr>
      <w:r w:rsidRPr="005E4BEA">
        <w:rPr>
          <w:rFonts w:cs="Arial"/>
          <w:color w:val="000000"/>
          <w:szCs w:val="20"/>
        </w:rPr>
        <w:t>Ostale alineje se preštevilčijo.</w:t>
      </w:r>
    </w:p>
    <w:p w14:paraId="347E7F6C" w14:textId="77777777" w:rsidR="00FE461F" w:rsidRPr="005E4BEA" w:rsidRDefault="00FE461F" w:rsidP="00FE461F">
      <w:pPr>
        <w:spacing w:line="240" w:lineRule="auto"/>
        <w:jc w:val="both"/>
        <w:rPr>
          <w:rFonts w:cs="Arial"/>
          <w:b/>
          <w:bCs/>
          <w:szCs w:val="20"/>
        </w:rPr>
      </w:pPr>
    </w:p>
    <w:p w14:paraId="73EB2301" w14:textId="77777777" w:rsidR="00FE461F" w:rsidRPr="005E4BEA" w:rsidRDefault="00FE461F" w:rsidP="00FE461F">
      <w:pPr>
        <w:spacing w:line="240" w:lineRule="auto"/>
        <w:jc w:val="both"/>
        <w:rPr>
          <w:rFonts w:cs="Arial"/>
          <w:b/>
          <w:bCs/>
          <w:szCs w:val="20"/>
        </w:rPr>
      </w:pPr>
    </w:p>
    <w:p w14:paraId="1EAAD63A" w14:textId="77777777" w:rsidR="00FE461F" w:rsidRPr="005E4BEA" w:rsidRDefault="00FE461F" w:rsidP="00FE461F">
      <w:pPr>
        <w:spacing w:line="240" w:lineRule="exact"/>
        <w:jc w:val="both"/>
        <w:rPr>
          <w:rFonts w:cs="Arial"/>
          <w:b/>
          <w:bCs/>
          <w:szCs w:val="20"/>
        </w:rPr>
      </w:pPr>
      <w:r w:rsidRPr="005E4BEA">
        <w:rPr>
          <w:rFonts w:cs="Arial"/>
          <w:b/>
          <w:bCs/>
          <w:szCs w:val="20"/>
        </w:rPr>
        <w:t xml:space="preserve">V Prilogi BOL – 2b </w:t>
      </w:r>
      <w:r w:rsidRPr="005E4BEA">
        <w:rPr>
          <w:rFonts w:cs="Arial"/>
          <w:szCs w:val="20"/>
        </w:rPr>
        <w:t>(Seznam posegov iz Klasifikacije terapevtskih in diagnostičnih postopkov za identificiranje izbranih storitev iz Priloge I/b)</w:t>
      </w:r>
      <w:r w:rsidRPr="005E4BEA">
        <w:rPr>
          <w:rFonts w:cs="Arial"/>
          <w:b/>
          <w:bCs/>
          <w:szCs w:val="20"/>
        </w:rPr>
        <w:t xml:space="preserve"> se doda nova 3. točka, ki se glasi:</w:t>
      </w:r>
    </w:p>
    <w:p w14:paraId="1AE92219" w14:textId="77777777" w:rsidR="00FE461F" w:rsidRPr="005E4BEA" w:rsidRDefault="00FE461F" w:rsidP="00FE461F">
      <w:pPr>
        <w:spacing w:line="120" w:lineRule="auto"/>
        <w:jc w:val="both"/>
        <w:rPr>
          <w:rFonts w:cs="Arial"/>
          <w:b/>
          <w:bCs/>
          <w:szCs w:val="20"/>
        </w:rPr>
      </w:pPr>
    </w:p>
    <w:p w14:paraId="7CCDE74E" w14:textId="77777777" w:rsidR="00FE461F" w:rsidRPr="005E4BEA" w:rsidRDefault="00FE461F" w:rsidP="00FE461F">
      <w:pPr>
        <w:spacing w:line="240" w:lineRule="exact"/>
        <w:jc w:val="both"/>
        <w:rPr>
          <w:rFonts w:cs="Arial"/>
          <w:szCs w:val="20"/>
        </w:rPr>
      </w:pPr>
      <w:r w:rsidRPr="005E4BEA">
        <w:rPr>
          <w:rFonts w:cs="Arial"/>
          <w:szCs w:val="20"/>
        </w:rPr>
        <w:t>»3.) Katetrske ablacije aritmij</w:t>
      </w:r>
    </w:p>
    <w:p w14:paraId="022F8D75" w14:textId="77777777" w:rsidR="00FE461F" w:rsidRPr="005E4BEA" w:rsidRDefault="00FE461F" w:rsidP="00FE461F">
      <w:pPr>
        <w:spacing w:line="120" w:lineRule="auto"/>
        <w:jc w:val="both"/>
        <w:rPr>
          <w:rFonts w:cs="Arial"/>
          <w:szCs w:val="20"/>
        </w:rPr>
      </w:pPr>
    </w:p>
    <w:tbl>
      <w:tblPr>
        <w:tblW w:w="8364" w:type="dxa"/>
        <w:tblLayout w:type="fixed"/>
        <w:tblCellMar>
          <w:left w:w="70" w:type="dxa"/>
          <w:right w:w="70" w:type="dxa"/>
        </w:tblCellMar>
        <w:tblLook w:val="0000" w:firstRow="0" w:lastRow="0" w:firstColumn="0" w:lastColumn="0" w:noHBand="0" w:noVBand="0"/>
      </w:tblPr>
      <w:tblGrid>
        <w:gridCol w:w="426"/>
        <w:gridCol w:w="1275"/>
        <w:gridCol w:w="6663"/>
      </w:tblGrid>
      <w:tr w:rsidR="00FE461F" w:rsidRPr="005E4BEA" w14:paraId="5FAA4F6F" w14:textId="77777777" w:rsidTr="0016774B">
        <w:trPr>
          <w:trHeight w:val="227"/>
        </w:trPr>
        <w:tc>
          <w:tcPr>
            <w:tcW w:w="426" w:type="dxa"/>
          </w:tcPr>
          <w:p w14:paraId="75526731" w14:textId="77777777" w:rsidR="00FE461F" w:rsidRPr="005E4BEA" w:rsidRDefault="00FE461F" w:rsidP="00FE461F">
            <w:pPr>
              <w:autoSpaceDE w:val="0"/>
              <w:autoSpaceDN w:val="0"/>
              <w:adjustRightInd w:val="0"/>
              <w:spacing w:line="240" w:lineRule="auto"/>
              <w:jc w:val="both"/>
              <w:rPr>
                <w:rFonts w:cs="Arial"/>
                <w:color w:val="000000"/>
                <w:szCs w:val="20"/>
              </w:rPr>
            </w:pPr>
            <w:r w:rsidRPr="005E4BEA">
              <w:rPr>
                <w:rFonts w:cs="Arial"/>
                <w:szCs w:val="20"/>
              </w:rPr>
              <w:t>1.</w:t>
            </w:r>
          </w:p>
        </w:tc>
        <w:tc>
          <w:tcPr>
            <w:tcW w:w="1275" w:type="dxa"/>
          </w:tcPr>
          <w:p w14:paraId="754DAAA7"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38287-02</w:t>
            </w:r>
          </w:p>
        </w:tc>
        <w:tc>
          <w:tcPr>
            <w:tcW w:w="6663" w:type="dxa"/>
          </w:tcPr>
          <w:p w14:paraId="3F98B025"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FE461F" w:rsidRPr="005E4BEA" w14:paraId="4AB247B2" w14:textId="77777777" w:rsidTr="0016774B">
        <w:trPr>
          <w:trHeight w:val="227"/>
        </w:trPr>
        <w:tc>
          <w:tcPr>
            <w:tcW w:w="426" w:type="dxa"/>
          </w:tcPr>
          <w:p w14:paraId="23B646EB"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2.</w:t>
            </w:r>
          </w:p>
        </w:tc>
        <w:tc>
          <w:tcPr>
            <w:tcW w:w="1275" w:type="dxa"/>
          </w:tcPr>
          <w:p w14:paraId="22CB66EF"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38290-01</w:t>
            </w:r>
          </w:p>
        </w:tc>
        <w:tc>
          <w:tcPr>
            <w:tcW w:w="6663" w:type="dxa"/>
          </w:tcPr>
          <w:p w14:paraId="7038B630" w14:textId="77777777" w:rsidR="00FE461F" w:rsidRPr="005E4BEA" w:rsidRDefault="00FE461F" w:rsidP="00FE461F">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FE461F" w:rsidRPr="005E4BEA" w14:paraId="452572AD" w14:textId="77777777" w:rsidTr="0016774B">
        <w:trPr>
          <w:trHeight w:val="227"/>
        </w:trPr>
        <w:tc>
          <w:tcPr>
            <w:tcW w:w="426" w:type="dxa"/>
          </w:tcPr>
          <w:p w14:paraId="34756609"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3.</w:t>
            </w:r>
          </w:p>
        </w:tc>
        <w:tc>
          <w:tcPr>
            <w:tcW w:w="1275" w:type="dxa"/>
          </w:tcPr>
          <w:p w14:paraId="16D8301A"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38287-01</w:t>
            </w:r>
          </w:p>
        </w:tc>
        <w:tc>
          <w:tcPr>
            <w:tcW w:w="6663" w:type="dxa"/>
          </w:tcPr>
          <w:p w14:paraId="7EBA1E32"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tc>
      </w:tr>
    </w:tbl>
    <w:p w14:paraId="48AD4345" w14:textId="77777777" w:rsidR="00FE461F" w:rsidRPr="005E4BEA" w:rsidRDefault="00FE461F" w:rsidP="00FE461F">
      <w:pPr>
        <w:spacing w:line="240" w:lineRule="auto"/>
        <w:jc w:val="both"/>
        <w:rPr>
          <w:rFonts w:cs="Arial"/>
          <w:szCs w:val="20"/>
        </w:rPr>
      </w:pPr>
    </w:p>
    <w:p w14:paraId="39FA818A" w14:textId="77777777" w:rsidR="00FE461F" w:rsidRPr="005E4BEA" w:rsidRDefault="00FE461F" w:rsidP="00FE461F">
      <w:pPr>
        <w:spacing w:line="240" w:lineRule="exact"/>
        <w:jc w:val="both"/>
        <w:rPr>
          <w:rFonts w:cs="Arial"/>
          <w:szCs w:val="20"/>
        </w:rPr>
      </w:pPr>
      <w:r w:rsidRPr="005E4BEA">
        <w:rPr>
          <w:rFonts w:cs="Arial"/>
          <w:szCs w:val="20"/>
        </w:rPr>
        <w:t>Spremembe veljajo od 1. 7. 2022 naprej.</w:t>
      </w:r>
    </w:p>
    <w:p w14:paraId="5A484BF2" w14:textId="77777777" w:rsidR="00FE461F" w:rsidRPr="005E4BEA" w:rsidRDefault="00FE461F" w:rsidP="00FE461F">
      <w:pPr>
        <w:spacing w:line="240" w:lineRule="exact"/>
        <w:jc w:val="both"/>
        <w:rPr>
          <w:rFonts w:cs="Arial"/>
          <w:szCs w:val="20"/>
        </w:rPr>
      </w:pPr>
    </w:p>
    <w:p w14:paraId="22966153"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7E2081E5" w14:textId="77777777" w:rsidR="00FE461F" w:rsidRPr="005E4BEA" w:rsidRDefault="00FE461F" w:rsidP="00FE461F">
      <w:pPr>
        <w:spacing w:line="240" w:lineRule="auto"/>
        <w:jc w:val="both"/>
        <w:rPr>
          <w:rFonts w:eastAsiaTheme="minorHAnsi" w:cs="Arial"/>
          <w:i/>
          <w:color w:val="808080" w:themeColor="background1" w:themeShade="80"/>
          <w:szCs w:val="20"/>
        </w:rPr>
      </w:pPr>
      <w:bookmarkStart w:id="34" w:name="_Hlk102988561"/>
      <w:r w:rsidRPr="005E4BEA">
        <w:rPr>
          <w:rFonts w:eastAsiaTheme="minorHAnsi" w:cs="Arial"/>
          <w:i/>
          <w:color w:val="808080" w:themeColor="background1" w:themeShade="80"/>
          <w:szCs w:val="20"/>
        </w:rPr>
        <w:t xml:space="preserve">Zavod na podlagi sodelovanja s stroko (RSK internističnih strok, UKC LJ in UKC MB) predlaga uvedbo dodatka za poseg Katetrske ablacije aritmij. Trenutno se omenjeni posegi plačujejo preko dveh SPP, in sicer F42B in F19Z, kar izvajalcem zagotavlja pokritje (v povprečju) 30 % celotnih stroškov. </w:t>
      </w:r>
    </w:p>
    <w:p w14:paraId="402418B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3D5EFE3"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na podlagi pridobljenih podatkov glede cen (stroškov) in dodatkov s strani izvajalcev in Združenja zdravstvenih zavodov Slovenije predlaga dodatek k SPP, in sicer v višini 5.450 evrov na primer in plačilo po realizaciji. Pogoj za obračun dodatka je opravljen postopek iz Priloge BOL – 2b »Seznam posegov iz Klasifikacije terapevtskih in diagnostičnih postopkov za identificiranje izbranih storitev iz Priloge I/b« iz nove točke 3 »Katetrske ablacije aritmij«.</w:t>
      </w:r>
    </w:p>
    <w:p w14:paraId="0160C085"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7C654C0"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Zaradi dolgih čakalnih dob Zavod dodatno predlaga plačilo po realizaciji tudi za obravnave SPP, pri katerih bo obračunan ta dodatek. Ker se posegi katetrske ablacije aritmij izvajajo </w:t>
      </w:r>
      <w:proofErr w:type="spellStart"/>
      <w:r w:rsidRPr="005E4BEA">
        <w:rPr>
          <w:rFonts w:eastAsiaTheme="minorHAnsi" w:cs="Arial"/>
          <w:i/>
          <w:color w:val="808080" w:themeColor="background1" w:themeShade="80"/>
          <w:szCs w:val="20"/>
        </w:rPr>
        <w:t>perkutano</w:t>
      </w:r>
      <w:proofErr w:type="spellEnd"/>
      <w:r w:rsidRPr="005E4BEA">
        <w:rPr>
          <w:rFonts w:eastAsiaTheme="minorHAnsi" w:cs="Arial"/>
          <w:i/>
          <w:color w:val="808080" w:themeColor="background1" w:themeShade="80"/>
          <w:szCs w:val="20"/>
        </w:rPr>
        <w:t xml:space="preserve">, se ti posegi dodajo k postopkom v Prilogi 2a za identificiranje </w:t>
      </w:r>
      <w:proofErr w:type="spellStart"/>
      <w:r w:rsidRPr="005E4BEA">
        <w:rPr>
          <w:rFonts w:eastAsiaTheme="minorHAnsi" w:cs="Arial"/>
          <w:i/>
          <w:color w:val="808080" w:themeColor="background1" w:themeShade="80"/>
          <w:szCs w:val="20"/>
        </w:rPr>
        <w:t>prospektivnega</w:t>
      </w:r>
      <w:proofErr w:type="spellEnd"/>
      <w:r w:rsidRPr="005E4BEA">
        <w:rPr>
          <w:rFonts w:eastAsiaTheme="minorHAnsi" w:cs="Arial"/>
          <w:i/>
          <w:color w:val="808080" w:themeColor="background1" w:themeShade="80"/>
          <w:szCs w:val="20"/>
        </w:rPr>
        <w:t xml:space="preserve"> programa »4. </w:t>
      </w:r>
      <w:proofErr w:type="spellStart"/>
      <w:r w:rsidRPr="005E4BEA">
        <w:rPr>
          <w:rFonts w:eastAsiaTheme="minorHAnsi" w:cs="Arial"/>
          <w:i/>
          <w:color w:val="808080" w:themeColor="background1" w:themeShade="80"/>
          <w:szCs w:val="20"/>
        </w:rPr>
        <w:t>Perkutani</w:t>
      </w:r>
      <w:proofErr w:type="spellEnd"/>
      <w:r w:rsidRPr="005E4BEA">
        <w:rPr>
          <w:rFonts w:eastAsiaTheme="minorHAnsi" w:cs="Arial"/>
          <w:i/>
          <w:color w:val="808080" w:themeColor="background1" w:themeShade="80"/>
          <w:szCs w:val="20"/>
        </w:rPr>
        <w:t xml:space="preserve"> posegi na srcu, srčnih zaklopkah in koronarnih arterijah«, za katerega pa že velja plačilo po realizaciji.</w:t>
      </w:r>
    </w:p>
    <w:bookmarkEnd w:id="34"/>
    <w:p w14:paraId="0EAE50ED" w14:textId="77777777" w:rsidR="00FE461F" w:rsidRPr="005E4BEA" w:rsidRDefault="00FE461F" w:rsidP="00FE461F">
      <w:pPr>
        <w:spacing w:line="60" w:lineRule="exact"/>
        <w:jc w:val="both"/>
        <w:rPr>
          <w:rFonts w:cs="Arial"/>
          <w:color w:val="808080" w:themeColor="background1" w:themeShade="80"/>
          <w:szCs w:val="20"/>
        </w:rPr>
      </w:pPr>
    </w:p>
    <w:p w14:paraId="506346D3" w14:textId="77777777" w:rsidR="00FE461F" w:rsidRPr="005E4BEA" w:rsidRDefault="00FE461F" w:rsidP="00FE461F">
      <w:pPr>
        <w:spacing w:line="240" w:lineRule="exact"/>
        <w:jc w:val="both"/>
        <w:rPr>
          <w:rFonts w:cs="Arial"/>
          <w:color w:val="808080" w:themeColor="background1" w:themeShade="80"/>
          <w:szCs w:val="20"/>
        </w:rPr>
      </w:pPr>
    </w:p>
    <w:p w14:paraId="0BA0E55F" w14:textId="77777777" w:rsidR="00FE461F" w:rsidRPr="005E4BEA" w:rsidRDefault="00FE461F" w:rsidP="00FE461F">
      <w:pPr>
        <w:spacing w:line="120" w:lineRule="auto"/>
        <w:jc w:val="both"/>
        <w:rPr>
          <w:rFonts w:cs="Arial"/>
          <w:color w:val="808080" w:themeColor="background1" w:themeShade="80"/>
          <w:szCs w:val="20"/>
        </w:rPr>
      </w:pPr>
    </w:p>
    <w:tbl>
      <w:tblPr>
        <w:tblW w:w="5048" w:type="dxa"/>
        <w:tblInd w:w="55" w:type="dxa"/>
        <w:tblCellMar>
          <w:left w:w="70" w:type="dxa"/>
          <w:right w:w="70" w:type="dxa"/>
        </w:tblCellMar>
        <w:tblLook w:val="04A0" w:firstRow="1" w:lastRow="0" w:firstColumn="1" w:lastColumn="0" w:noHBand="0" w:noVBand="1"/>
      </w:tblPr>
      <w:tblGrid>
        <w:gridCol w:w="2020"/>
        <w:gridCol w:w="619"/>
        <w:gridCol w:w="1308"/>
        <w:gridCol w:w="1308"/>
      </w:tblGrid>
      <w:tr w:rsidR="00FE461F" w:rsidRPr="005E4BEA" w14:paraId="343BF40F" w14:textId="77777777" w:rsidTr="0016774B">
        <w:trPr>
          <w:trHeight w:val="255"/>
        </w:trPr>
        <w:tc>
          <w:tcPr>
            <w:tcW w:w="2020" w:type="dxa"/>
            <w:tcBorders>
              <w:top w:val="nil"/>
              <w:left w:val="nil"/>
              <w:bottom w:val="nil"/>
              <w:right w:val="nil"/>
            </w:tcBorders>
            <w:shd w:val="clear" w:color="auto" w:fill="auto"/>
            <w:noWrap/>
            <w:vAlign w:val="center"/>
            <w:hideMark/>
          </w:tcPr>
          <w:p w14:paraId="368C2363"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Finančne posledice:</w:t>
            </w:r>
          </w:p>
        </w:tc>
        <w:tc>
          <w:tcPr>
            <w:tcW w:w="820" w:type="dxa"/>
            <w:tcBorders>
              <w:top w:val="nil"/>
              <w:left w:val="nil"/>
              <w:bottom w:val="single" w:sz="4" w:space="0" w:color="auto"/>
              <w:right w:val="single" w:sz="4" w:space="0" w:color="auto"/>
            </w:tcBorders>
            <w:shd w:val="clear" w:color="auto" w:fill="auto"/>
            <w:vAlign w:val="center"/>
            <w:hideMark/>
          </w:tcPr>
          <w:p w14:paraId="39365772" w14:textId="77777777" w:rsidR="00FE461F" w:rsidRPr="005E4BEA" w:rsidRDefault="00FE461F" w:rsidP="00FE461F">
            <w:pPr>
              <w:spacing w:line="240" w:lineRule="auto"/>
              <w:ind w:firstLineChars="100" w:firstLine="201"/>
              <w:jc w:val="both"/>
              <w:rPr>
                <w:rFonts w:cs="Arial"/>
                <w:b/>
                <w:bCs/>
                <w:color w:val="808080"/>
                <w:szCs w:val="20"/>
              </w:rPr>
            </w:pPr>
            <w:r w:rsidRPr="005E4BEA">
              <w:rPr>
                <w:rFonts w:cs="Arial"/>
                <w:b/>
                <w:bCs/>
                <w:color w:val="808080"/>
                <w:szCs w:val="20"/>
              </w:rPr>
              <w:t>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74C57904" w14:textId="77777777" w:rsidR="00FE461F" w:rsidRPr="005E4BEA" w:rsidRDefault="00FE461F" w:rsidP="00FE461F">
            <w:pPr>
              <w:spacing w:line="240" w:lineRule="auto"/>
              <w:jc w:val="right"/>
              <w:rPr>
                <w:rFonts w:cs="Arial"/>
                <w:b/>
                <w:bCs/>
                <w:color w:val="808080"/>
                <w:szCs w:val="20"/>
              </w:rPr>
            </w:pPr>
            <w:r w:rsidRPr="005E4BEA">
              <w:rPr>
                <w:rFonts w:cs="Arial"/>
                <w:b/>
                <w:bCs/>
                <w:color w:val="808080"/>
                <w:szCs w:val="20"/>
              </w:rPr>
              <w:t>Letna raven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C08F07" w14:textId="77777777" w:rsidR="00FE461F" w:rsidRPr="005E4BEA" w:rsidRDefault="00FE461F" w:rsidP="00FE461F">
            <w:pPr>
              <w:spacing w:line="240" w:lineRule="auto"/>
              <w:jc w:val="right"/>
              <w:rPr>
                <w:rFonts w:cs="Arial"/>
                <w:b/>
                <w:bCs/>
                <w:color w:val="808080"/>
                <w:szCs w:val="20"/>
              </w:rPr>
            </w:pPr>
            <w:r w:rsidRPr="005E4BEA">
              <w:rPr>
                <w:rFonts w:cs="Arial"/>
                <w:b/>
                <w:bCs/>
                <w:color w:val="808080"/>
                <w:szCs w:val="20"/>
              </w:rPr>
              <w:t>2022</w:t>
            </w:r>
          </w:p>
        </w:tc>
      </w:tr>
      <w:tr w:rsidR="00FE461F" w:rsidRPr="005E4BEA" w14:paraId="6B828142" w14:textId="77777777" w:rsidTr="0016774B">
        <w:trPr>
          <w:trHeight w:val="300"/>
        </w:trPr>
        <w:tc>
          <w:tcPr>
            <w:tcW w:w="2020" w:type="dxa"/>
            <w:tcBorders>
              <w:top w:val="nil"/>
              <w:left w:val="nil"/>
              <w:bottom w:val="nil"/>
              <w:right w:val="nil"/>
            </w:tcBorders>
            <w:shd w:val="clear" w:color="auto" w:fill="auto"/>
            <w:noWrap/>
            <w:hideMark/>
          </w:tcPr>
          <w:p w14:paraId="7B0EA83B" w14:textId="77777777" w:rsidR="00FE461F" w:rsidRPr="005E4BEA" w:rsidRDefault="00FE461F" w:rsidP="00FE461F">
            <w:pPr>
              <w:spacing w:line="240" w:lineRule="auto"/>
              <w:jc w:val="both"/>
              <w:rPr>
                <w:rFonts w:cs="Arial"/>
                <w:color w:val="000000"/>
                <w:szCs w:val="20"/>
              </w:rPr>
            </w:pPr>
          </w:p>
        </w:tc>
        <w:tc>
          <w:tcPr>
            <w:tcW w:w="820" w:type="dxa"/>
            <w:tcBorders>
              <w:top w:val="nil"/>
              <w:left w:val="single" w:sz="4" w:space="0" w:color="auto"/>
              <w:bottom w:val="single" w:sz="4" w:space="0" w:color="auto"/>
              <w:right w:val="single" w:sz="4" w:space="0" w:color="auto"/>
            </w:tcBorders>
            <w:shd w:val="clear" w:color="auto" w:fill="auto"/>
            <w:vAlign w:val="center"/>
            <w:hideMark/>
          </w:tcPr>
          <w:p w14:paraId="7C58D5E4"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 xml:space="preserve">Vred. </w:t>
            </w:r>
            <w:proofErr w:type="spellStart"/>
            <w:r w:rsidRPr="005E4BEA">
              <w:rPr>
                <w:rFonts w:cs="Arial"/>
                <w:color w:val="808080"/>
                <w:szCs w:val="20"/>
              </w:rPr>
              <w:t>sk</w:t>
            </w:r>
            <w:proofErr w:type="spellEnd"/>
            <w:r w:rsidRPr="005E4BEA">
              <w:rPr>
                <w:rFonts w:cs="Arial"/>
                <w:color w:val="808080"/>
                <w:szCs w:val="20"/>
              </w:rPr>
              <w:t>.</w:t>
            </w:r>
          </w:p>
        </w:tc>
        <w:tc>
          <w:tcPr>
            <w:tcW w:w="1074" w:type="dxa"/>
            <w:tcBorders>
              <w:top w:val="single" w:sz="4" w:space="0" w:color="auto"/>
              <w:bottom w:val="single" w:sz="4" w:space="0" w:color="auto"/>
              <w:right w:val="single" w:sz="4" w:space="0" w:color="auto"/>
            </w:tcBorders>
            <w:noWrap/>
            <w:vAlign w:val="center"/>
          </w:tcPr>
          <w:p w14:paraId="771292C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bCs/>
                <w:color w:val="808080" w:themeColor="background1" w:themeShade="80"/>
                <w:szCs w:val="20"/>
              </w:rPr>
              <w:t>4.806.900,00</w:t>
            </w:r>
          </w:p>
        </w:tc>
        <w:tc>
          <w:tcPr>
            <w:tcW w:w="1134" w:type="dxa"/>
            <w:tcBorders>
              <w:top w:val="single" w:sz="4" w:space="0" w:color="auto"/>
              <w:left w:val="single" w:sz="4" w:space="0" w:color="auto"/>
              <w:bottom w:val="single" w:sz="4" w:space="0" w:color="auto"/>
              <w:right w:val="single" w:sz="4" w:space="0" w:color="auto"/>
            </w:tcBorders>
            <w:noWrap/>
            <w:vAlign w:val="center"/>
          </w:tcPr>
          <w:p w14:paraId="1E959504"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bCs/>
                <w:color w:val="808080" w:themeColor="background1" w:themeShade="80"/>
                <w:szCs w:val="20"/>
              </w:rPr>
              <w:t>2.403.450,00</w:t>
            </w:r>
          </w:p>
        </w:tc>
      </w:tr>
      <w:tr w:rsidR="00FE461F" w:rsidRPr="005E4BEA" w14:paraId="4AA9F047" w14:textId="77777777" w:rsidTr="0016774B">
        <w:trPr>
          <w:trHeight w:val="325"/>
        </w:trPr>
        <w:tc>
          <w:tcPr>
            <w:tcW w:w="2020" w:type="dxa"/>
            <w:tcBorders>
              <w:top w:val="nil"/>
              <w:left w:val="nil"/>
              <w:right w:val="nil"/>
            </w:tcBorders>
            <w:shd w:val="clear" w:color="auto" w:fill="auto"/>
            <w:noWrap/>
            <w:hideMark/>
          </w:tcPr>
          <w:p w14:paraId="08A5B3C5" w14:textId="77777777" w:rsidR="00FE461F" w:rsidRPr="005E4BEA" w:rsidRDefault="00FE461F" w:rsidP="00FE461F">
            <w:pPr>
              <w:spacing w:line="240" w:lineRule="auto"/>
              <w:jc w:val="both"/>
              <w:rPr>
                <w:rFonts w:cs="Arial"/>
                <w:color w:val="00000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E4A88"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OZZ</w:t>
            </w:r>
          </w:p>
        </w:tc>
        <w:tc>
          <w:tcPr>
            <w:tcW w:w="1074" w:type="dxa"/>
            <w:tcBorders>
              <w:top w:val="single" w:sz="4" w:space="0" w:color="auto"/>
              <w:bottom w:val="single" w:sz="4" w:space="0" w:color="auto"/>
              <w:right w:val="single" w:sz="4" w:space="0" w:color="auto"/>
            </w:tcBorders>
            <w:noWrap/>
            <w:vAlign w:val="center"/>
          </w:tcPr>
          <w:p w14:paraId="6BAE258F"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bCs/>
                <w:color w:val="808080" w:themeColor="background1" w:themeShade="80"/>
                <w:szCs w:val="20"/>
              </w:rPr>
              <w:t>3.845.520,00</w:t>
            </w:r>
          </w:p>
        </w:tc>
        <w:tc>
          <w:tcPr>
            <w:tcW w:w="1134" w:type="dxa"/>
            <w:tcBorders>
              <w:top w:val="single" w:sz="4" w:space="0" w:color="auto"/>
              <w:left w:val="single" w:sz="4" w:space="0" w:color="auto"/>
              <w:bottom w:val="single" w:sz="4" w:space="0" w:color="auto"/>
              <w:right w:val="single" w:sz="4" w:space="0" w:color="auto"/>
            </w:tcBorders>
            <w:noWrap/>
            <w:vAlign w:val="center"/>
          </w:tcPr>
          <w:p w14:paraId="12E3DD3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bCs/>
                <w:color w:val="808080" w:themeColor="background1" w:themeShade="80"/>
                <w:szCs w:val="20"/>
              </w:rPr>
              <w:t>1.922.760,00</w:t>
            </w:r>
          </w:p>
        </w:tc>
      </w:tr>
    </w:tbl>
    <w:p w14:paraId="7473AC35" w14:textId="2D994C21" w:rsidR="00FE461F" w:rsidRPr="005E4BEA" w:rsidRDefault="00FE461F" w:rsidP="00FE461F">
      <w:pPr>
        <w:spacing w:line="240" w:lineRule="auto"/>
        <w:rPr>
          <w:rFonts w:cs="Arial"/>
          <w:szCs w:val="20"/>
        </w:rPr>
      </w:pPr>
    </w:p>
    <w:p w14:paraId="6D0A4A27" w14:textId="77777777" w:rsidR="00442757" w:rsidRPr="005E4BEA" w:rsidRDefault="00442757" w:rsidP="00FE461F">
      <w:pPr>
        <w:spacing w:line="240" w:lineRule="auto"/>
        <w:rPr>
          <w:rFonts w:cs="Arial"/>
          <w:szCs w:val="20"/>
        </w:rPr>
      </w:pPr>
    </w:p>
    <w:p w14:paraId="1E2522BF" w14:textId="0FC5DF4A" w:rsidR="00830452" w:rsidRPr="005E4BEA" w:rsidRDefault="00830452" w:rsidP="00830452">
      <w:pPr>
        <w:spacing w:line="240" w:lineRule="auto"/>
        <w:jc w:val="both"/>
        <w:rPr>
          <w:rFonts w:cs="Arial"/>
          <w:bCs/>
          <w:szCs w:val="20"/>
        </w:rPr>
      </w:pPr>
      <w:r w:rsidRPr="005E4BEA">
        <w:rPr>
          <w:rFonts w:eastAsia="Arial Narrow" w:cs="Arial"/>
          <w:b/>
          <w:szCs w:val="20"/>
        </w:rPr>
        <w:lastRenderedPageBreak/>
        <w:t>Stališče Ministrstva za zdravje:</w:t>
      </w:r>
      <w:r w:rsidRPr="005E4BEA">
        <w:rPr>
          <w:rFonts w:eastAsia="Arial Narrow" w:cs="Arial"/>
          <w:szCs w:val="20"/>
        </w:rPr>
        <w:t xml:space="preserve"> Ministrstvo za zdravje se strinja s predlogom v modificirani obliki, in sicer se</w:t>
      </w:r>
      <w:r w:rsidRPr="005E4BEA">
        <w:rPr>
          <w:rFonts w:eastAsia="Arial Narrow" w:cs="Arial"/>
          <w:bCs/>
          <w:szCs w:val="20"/>
        </w:rPr>
        <w:t xml:space="preserve"> v</w:t>
      </w:r>
      <w:r w:rsidRPr="005E4BEA">
        <w:rPr>
          <w:rFonts w:cs="Arial"/>
          <w:bCs/>
          <w:szCs w:val="20"/>
        </w:rPr>
        <w:t xml:space="preserve"> 24. členu v (5) odstavku doda nova točka, ki se glasi:</w:t>
      </w:r>
    </w:p>
    <w:p w14:paraId="3513D9A6" w14:textId="55917EE2" w:rsidR="00442757" w:rsidRPr="005E4BEA" w:rsidRDefault="00442757" w:rsidP="00830452">
      <w:pPr>
        <w:spacing w:line="240" w:lineRule="auto"/>
        <w:jc w:val="both"/>
        <w:rPr>
          <w:rFonts w:cs="Arial"/>
          <w:bCs/>
          <w:szCs w:val="20"/>
        </w:rPr>
      </w:pPr>
    </w:p>
    <w:tbl>
      <w:tblPr>
        <w:tblW w:w="8804" w:type="dxa"/>
        <w:tblInd w:w="6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70" w:type="dxa"/>
          <w:right w:w="70" w:type="dxa"/>
        </w:tblCellMar>
        <w:tblLook w:val="04A0" w:firstRow="1" w:lastRow="0" w:firstColumn="1" w:lastColumn="0" w:noHBand="0" w:noVBand="1"/>
      </w:tblPr>
      <w:tblGrid>
        <w:gridCol w:w="3012"/>
        <w:gridCol w:w="1893"/>
        <w:gridCol w:w="1404"/>
        <w:gridCol w:w="1064"/>
        <w:gridCol w:w="1431"/>
      </w:tblGrid>
      <w:tr w:rsidR="00CF22EE" w:rsidRPr="005E4BEA" w14:paraId="3680507E" w14:textId="77777777" w:rsidTr="004420CE">
        <w:trPr>
          <w:trHeight w:hRule="exact" w:val="33"/>
        </w:trPr>
        <w:tc>
          <w:tcPr>
            <w:tcW w:w="3012" w:type="dxa"/>
            <w:vMerge w:val="restart"/>
            <w:shd w:val="clear" w:color="auto" w:fill="auto"/>
            <w:vAlign w:val="center"/>
            <w:hideMark/>
          </w:tcPr>
          <w:p w14:paraId="747FE99D" w14:textId="77777777" w:rsidR="00CF22EE" w:rsidRPr="005E4BEA" w:rsidRDefault="00CF22EE" w:rsidP="00F40403">
            <w:pPr>
              <w:spacing w:after="120" w:line="240" w:lineRule="auto"/>
              <w:jc w:val="both"/>
              <w:rPr>
                <w:rFonts w:eastAsia="Arial Narrow" w:cs="Arial"/>
                <w:b/>
                <w:szCs w:val="20"/>
              </w:rPr>
            </w:pPr>
            <w:bookmarkStart w:id="35" w:name="_Hlk103061631"/>
            <w:r w:rsidRPr="005E4BEA">
              <w:rPr>
                <w:rFonts w:eastAsia="Arial Narrow" w:cs="Arial"/>
                <w:b/>
                <w:szCs w:val="20"/>
              </w:rPr>
              <w:t>P   r   o   g   r   a   m</w:t>
            </w:r>
          </w:p>
        </w:tc>
        <w:tc>
          <w:tcPr>
            <w:tcW w:w="1893" w:type="dxa"/>
            <w:vMerge w:val="restart"/>
            <w:shd w:val="clear" w:color="auto" w:fill="auto"/>
            <w:vAlign w:val="center"/>
            <w:hideMark/>
          </w:tcPr>
          <w:p w14:paraId="6A322485" w14:textId="77777777" w:rsidR="00CF22EE" w:rsidRPr="005E4BEA" w:rsidRDefault="00CF22EE" w:rsidP="00F40403">
            <w:pPr>
              <w:spacing w:after="120" w:line="240" w:lineRule="auto"/>
              <w:jc w:val="both"/>
              <w:rPr>
                <w:rFonts w:eastAsia="Arial Narrow" w:cs="Arial"/>
                <w:b/>
                <w:szCs w:val="20"/>
              </w:rPr>
            </w:pPr>
            <w:r w:rsidRPr="005E4BEA">
              <w:rPr>
                <w:rFonts w:eastAsia="Arial Narrow" w:cs="Arial"/>
                <w:b/>
                <w:szCs w:val="20"/>
              </w:rPr>
              <w:t xml:space="preserve">I z v a j a l e c </w:t>
            </w:r>
            <w:r w:rsidRPr="005E4BEA">
              <w:rPr>
                <w:rFonts w:eastAsia="Arial Narrow" w:cs="Arial"/>
                <w:b/>
                <w:szCs w:val="20"/>
              </w:rPr>
              <w:br/>
            </w:r>
          </w:p>
        </w:tc>
        <w:tc>
          <w:tcPr>
            <w:tcW w:w="1404" w:type="dxa"/>
            <w:vMerge w:val="restart"/>
            <w:shd w:val="clear" w:color="auto" w:fill="auto"/>
            <w:vAlign w:val="center"/>
            <w:hideMark/>
          </w:tcPr>
          <w:p w14:paraId="20AFDF28" w14:textId="77777777" w:rsidR="00CF22EE" w:rsidRPr="005E4BEA" w:rsidRDefault="00CF22EE" w:rsidP="00F40403">
            <w:pPr>
              <w:spacing w:after="120" w:line="240" w:lineRule="auto"/>
              <w:jc w:val="both"/>
              <w:rPr>
                <w:rFonts w:eastAsia="Arial Narrow" w:cs="Arial"/>
                <w:b/>
                <w:szCs w:val="20"/>
              </w:rPr>
            </w:pPr>
            <w:r w:rsidRPr="005E4BEA">
              <w:rPr>
                <w:rFonts w:eastAsia="Arial Narrow" w:cs="Arial"/>
                <w:b/>
                <w:szCs w:val="20"/>
              </w:rPr>
              <w:t>Obseg programa</w:t>
            </w:r>
          </w:p>
        </w:tc>
        <w:tc>
          <w:tcPr>
            <w:tcW w:w="1064" w:type="dxa"/>
            <w:vMerge w:val="restart"/>
            <w:shd w:val="clear" w:color="auto" w:fill="auto"/>
            <w:vAlign w:val="center"/>
            <w:hideMark/>
          </w:tcPr>
          <w:p w14:paraId="1610B708" w14:textId="77777777" w:rsidR="00CF22EE" w:rsidRPr="005E4BEA" w:rsidRDefault="00CF22EE" w:rsidP="00F40403">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na letni ravni</w:t>
            </w:r>
            <w:r w:rsidRPr="005E4BEA">
              <w:rPr>
                <w:rFonts w:eastAsia="Arial Narrow" w:cs="Arial"/>
                <w:b/>
                <w:szCs w:val="20"/>
              </w:rPr>
              <w:br/>
              <w:t>(v EUR)</w:t>
            </w:r>
          </w:p>
        </w:tc>
        <w:tc>
          <w:tcPr>
            <w:tcW w:w="1431" w:type="dxa"/>
            <w:vMerge w:val="restart"/>
            <w:shd w:val="clear" w:color="auto" w:fill="auto"/>
            <w:vAlign w:val="center"/>
            <w:hideMark/>
          </w:tcPr>
          <w:p w14:paraId="1A4A7BE9" w14:textId="77777777" w:rsidR="00CF22EE" w:rsidRPr="005E4BEA" w:rsidRDefault="00CF22EE" w:rsidP="00F40403">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1.1.-31.12.2022</w:t>
            </w:r>
            <w:r w:rsidRPr="005E4BEA">
              <w:rPr>
                <w:rFonts w:eastAsia="Arial Narrow" w:cs="Arial"/>
                <w:b/>
                <w:szCs w:val="20"/>
              </w:rPr>
              <w:br/>
              <w:t>(v EUR)</w:t>
            </w:r>
          </w:p>
        </w:tc>
      </w:tr>
      <w:tr w:rsidR="00CF22EE" w:rsidRPr="005E4BEA" w14:paraId="2B5D27A1" w14:textId="77777777" w:rsidTr="004420CE">
        <w:trPr>
          <w:trHeight w:hRule="exact" w:val="33"/>
        </w:trPr>
        <w:tc>
          <w:tcPr>
            <w:tcW w:w="3012" w:type="dxa"/>
            <w:vMerge/>
            <w:shd w:val="clear" w:color="auto" w:fill="auto"/>
            <w:vAlign w:val="center"/>
          </w:tcPr>
          <w:p w14:paraId="739CCA1C" w14:textId="77777777" w:rsidR="00CF22EE" w:rsidRPr="005E4BEA" w:rsidRDefault="00CF22EE" w:rsidP="00F40403">
            <w:pPr>
              <w:spacing w:after="120" w:line="240" w:lineRule="auto"/>
              <w:jc w:val="both"/>
              <w:rPr>
                <w:rFonts w:eastAsia="Arial Narrow" w:cs="Arial"/>
                <w:b/>
                <w:szCs w:val="20"/>
              </w:rPr>
            </w:pPr>
          </w:p>
        </w:tc>
        <w:tc>
          <w:tcPr>
            <w:tcW w:w="1893" w:type="dxa"/>
            <w:vMerge/>
            <w:shd w:val="clear" w:color="auto" w:fill="auto"/>
            <w:vAlign w:val="center"/>
          </w:tcPr>
          <w:p w14:paraId="61029A4B" w14:textId="77777777" w:rsidR="00CF22EE" w:rsidRPr="005E4BEA" w:rsidRDefault="00CF22EE" w:rsidP="00F40403">
            <w:pPr>
              <w:spacing w:after="120" w:line="240" w:lineRule="auto"/>
              <w:jc w:val="both"/>
              <w:rPr>
                <w:rFonts w:eastAsia="Arial Narrow" w:cs="Arial"/>
                <w:b/>
                <w:szCs w:val="20"/>
              </w:rPr>
            </w:pPr>
          </w:p>
        </w:tc>
        <w:tc>
          <w:tcPr>
            <w:tcW w:w="1404" w:type="dxa"/>
            <w:vMerge/>
            <w:shd w:val="clear" w:color="auto" w:fill="auto"/>
            <w:vAlign w:val="center"/>
          </w:tcPr>
          <w:p w14:paraId="3BE60E7B" w14:textId="77777777" w:rsidR="00CF22EE" w:rsidRPr="005E4BEA" w:rsidRDefault="00CF22EE" w:rsidP="00F40403">
            <w:pPr>
              <w:spacing w:after="120" w:line="240" w:lineRule="auto"/>
              <w:jc w:val="both"/>
              <w:rPr>
                <w:rFonts w:eastAsia="Arial Narrow" w:cs="Arial"/>
                <w:b/>
                <w:szCs w:val="20"/>
              </w:rPr>
            </w:pPr>
          </w:p>
        </w:tc>
        <w:tc>
          <w:tcPr>
            <w:tcW w:w="1064" w:type="dxa"/>
            <w:vMerge/>
            <w:shd w:val="clear" w:color="auto" w:fill="auto"/>
            <w:vAlign w:val="center"/>
          </w:tcPr>
          <w:p w14:paraId="03C6595B" w14:textId="77777777" w:rsidR="00CF22EE" w:rsidRPr="005E4BEA" w:rsidRDefault="00CF22EE" w:rsidP="00F40403">
            <w:pPr>
              <w:spacing w:after="120" w:line="240" w:lineRule="auto"/>
              <w:jc w:val="right"/>
              <w:rPr>
                <w:rFonts w:eastAsia="Arial Narrow" w:cs="Arial"/>
                <w:b/>
                <w:szCs w:val="20"/>
              </w:rPr>
            </w:pPr>
          </w:p>
        </w:tc>
        <w:tc>
          <w:tcPr>
            <w:tcW w:w="1431" w:type="dxa"/>
            <w:vMerge/>
            <w:shd w:val="clear" w:color="auto" w:fill="auto"/>
            <w:vAlign w:val="center"/>
          </w:tcPr>
          <w:p w14:paraId="6B5EB546" w14:textId="77777777" w:rsidR="00CF22EE" w:rsidRPr="005E4BEA" w:rsidRDefault="00CF22EE" w:rsidP="00F40403">
            <w:pPr>
              <w:spacing w:after="120" w:line="240" w:lineRule="auto"/>
              <w:jc w:val="right"/>
              <w:rPr>
                <w:rFonts w:eastAsia="Arial Narrow" w:cs="Arial"/>
                <w:b/>
                <w:szCs w:val="20"/>
              </w:rPr>
            </w:pPr>
          </w:p>
        </w:tc>
      </w:tr>
      <w:tr w:rsidR="00CF22EE" w:rsidRPr="005E4BEA" w14:paraId="331956B9" w14:textId="77777777" w:rsidTr="004420CE">
        <w:trPr>
          <w:trHeight w:hRule="exact" w:val="33"/>
        </w:trPr>
        <w:tc>
          <w:tcPr>
            <w:tcW w:w="3012" w:type="dxa"/>
            <w:vMerge/>
            <w:shd w:val="clear" w:color="auto" w:fill="auto"/>
            <w:vAlign w:val="center"/>
          </w:tcPr>
          <w:p w14:paraId="2FC6263A" w14:textId="77777777" w:rsidR="00CF22EE" w:rsidRPr="005E4BEA" w:rsidRDefault="00CF22EE" w:rsidP="00F40403">
            <w:pPr>
              <w:spacing w:after="120" w:line="240" w:lineRule="auto"/>
              <w:jc w:val="both"/>
              <w:rPr>
                <w:rFonts w:eastAsia="Arial Narrow" w:cs="Arial"/>
                <w:b/>
                <w:szCs w:val="20"/>
              </w:rPr>
            </w:pPr>
          </w:p>
        </w:tc>
        <w:tc>
          <w:tcPr>
            <w:tcW w:w="1893" w:type="dxa"/>
            <w:vMerge/>
            <w:shd w:val="clear" w:color="auto" w:fill="auto"/>
            <w:vAlign w:val="center"/>
          </w:tcPr>
          <w:p w14:paraId="5FB557A2" w14:textId="77777777" w:rsidR="00CF22EE" w:rsidRPr="005E4BEA" w:rsidRDefault="00CF22EE" w:rsidP="00F40403">
            <w:pPr>
              <w:spacing w:after="120" w:line="240" w:lineRule="auto"/>
              <w:jc w:val="both"/>
              <w:rPr>
                <w:rFonts w:eastAsia="Arial Narrow" w:cs="Arial"/>
                <w:b/>
                <w:szCs w:val="20"/>
              </w:rPr>
            </w:pPr>
          </w:p>
        </w:tc>
        <w:tc>
          <w:tcPr>
            <w:tcW w:w="1404" w:type="dxa"/>
            <w:vMerge/>
            <w:shd w:val="clear" w:color="auto" w:fill="auto"/>
            <w:vAlign w:val="center"/>
          </w:tcPr>
          <w:p w14:paraId="4AEFD684" w14:textId="77777777" w:rsidR="00CF22EE" w:rsidRPr="005E4BEA" w:rsidRDefault="00CF22EE" w:rsidP="00F40403">
            <w:pPr>
              <w:spacing w:after="120" w:line="240" w:lineRule="auto"/>
              <w:jc w:val="both"/>
              <w:rPr>
                <w:rFonts w:eastAsia="Arial Narrow" w:cs="Arial"/>
                <w:b/>
                <w:szCs w:val="20"/>
              </w:rPr>
            </w:pPr>
          </w:p>
        </w:tc>
        <w:tc>
          <w:tcPr>
            <w:tcW w:w="1064" w:type="dxa"/>
            <w:vMerge/>
            <w:shd w:val="clear" w:color="auto" w:fill="auto"/>
            <w:vAlign w:val="center"/>
          </w:tcPr>
          <w:p w14:paraId="6E0558AC" w14:textId="77777777" w:rsidR="00CF22EE" w:rsidRPr="005E4BEA" w:rsidRDefault="00CF22EE" w:rsidP="00F40403">
            <w:pPr>
              <w:spacing w:after="120" w:line="240" w:lineRule="auto"/>
              <w:jc w:val="right"/>
              <w:rPr>
                <w:rFonts w:eastAsia="Arial Narrow" w:cs="Arial"/>
                <w:b/>
                <w:szCs w:val="20"/>
              </w:rPr>
            </w:pPr>
          </w:p>
        </w:tc>
        <w:tc>
          <w:tcPr>
            <w:tcW w:w="1431" w:type="dxa"/>
            <w:vMerge/>
            <w:shd w:val="clear" w:color="auto" w:fill="auto"/>
            <w:vAlign w:val="center"/>
          </w:tcPr>
          <w:p w14:paraId="5E27ACB4" w14:textId="77777777" w:rsidR="00CF22EE" w:rsidRPr="005E4BEA" w:rsidRDefault="00CF22EE" w:rsidP="00F40403">
            <w:pPr>
              <w:spacing w:after="120" w:line="240" w:lineRule="auto"/>
              <w:jc w:val="right"/>
              <w:rPr>
                <w:rFonts w:eastAsia="Arial Narrow" w:cs="Arial"/>
                <w:b/>
                <w:szCs w:val="20"/>
              </w:rPr>
            </w:pPr>
          </w:p>
        </w:tc>
      </w:tr>
      <w:tr w:rsidR="00CF22EE" w:rsidRPr="005E4BEA" w14:paraId="6D035E6A" w14:textId="77777777" w:rsidTr="004420CE">
        <w:trPr>
          <w:trHeight w:val="849"/>
        </w:trPr>
        <w:tc>
          <w:tcPr>
            <w:tcW w:w="3012" w:type="dxa"/>
            <w:vMerge/>
            <w:vAlign w:val="center"/>
            <w:hideMark/>
          </w:tcPr>
          <w:p w14:paraId="6E20CF2C" w14:textId="77777777" w:rsidR="00CF22EE" w:rsidRPr="005E4BEA" w:rsidRDefault="00CF22EE" w:rsidP="00F40403">
            <w:pPr>
              <w:spacing w:after="120" w:line="240" w:lineRule="auto"/>
              <w:jc w:val="both"/>
              <w:rPr>
                <w:rFonts w:eastAsia="Arial Narrow" w:cs="Arial"/>
                <w:szCs w:val="20"/>
              </w:rPr>
            </w:pPr>
          </w:p>
        </w:tc>
        <w:tc>
          <w:tcPr>
            <w:tcW w:w="1893" w:type="dxa"/>
            <w:vMerge/>
            <w:vAlign w:val="center"/>
            <w:hideMark/>
          </w:tcPr>
          <w:p w14:paraId="7BB8AE43" w14:textId="77777777" w:rsidR="00CF22EE" w:rsidRPr="005E4BEA" w:rsidRDefault="00CF22EE" w:rsidP="00F40403">
            <w:pPr>
              <w:spacing w:after="120" w:line="240" w:lineRule="auto"/>
              <w:jc w:val="both"/>
              <w:rPr>
                <w:rFonts w:eastAsia="Arial Narrow" w:cs="Arial"/>
                <w:szCs w:val="20"/>
              </w:rPr>
            </w:pPr>
          </w:p>
        </w:tc>
        <w:tc>
          <w:tcPr>
            <w:tcW w:w="1404" w:type="dxa"/>
            <w:vMerge/>
            <w:vAlign w:val="center"/>
            <w:hideMark/>
          </w:tcPr>
          <w:p w14:paraId="7702341A" w14:textId="77777777" w:rsidR="00CF22EE" w:rsidRPr="005E4BEA" w:rsidRDefault="00CF22EE" w:rsidP="00F40403">
            <w:pPr>
              <w:spacing w:after="120" w:line="240" w:lineRule="auto"/>
              <w:jc w:val="both"/>
              <w:rPr>
                <w:rFonts w:eastAsia="Arial Narrow" w:cs="Arial"/>
                <w:szCs w:val="20"/>
              </w:rPr>
            </w:pPr>
          </w:p>
        </w:tc>
        <w:tc>
          <w:tcPr>
            <w:tcW w:w="1064" w:type="dxa"/>
            <w:vMerge/>
            <w:vAlign w:val="center"/>
            <w:hideMark/>
          </w:tcPr>
          <w:p w14:paraId="2A95BBB6" w14:textId="77777777" w:rsidR="00CF22EE" w:rsidRPr="005E4BEA" w:rsidRDefault="00CF22EE" w:rsidP="00F40403">
            <w:pPr>
              <w:spacing w:after="120" w:line="240" w:lineRule="auto"/>
              <w:jc w:val="right"/>
              <w:rPr>
                <w:rFonts w:eastAsia="Arial Narrow" w:cs="Arial"/>
                <w:szCs w:val="20"/>
              </w:rPr>
            </w:pPr>
          </w:p>
        </w:tc>
        <w:tc>
          <w:tcPr>
            <w:tcW w:w="1431" w:type="dxa"/>
            <w:vMerge/>
            <w:vAlign w:val="center"/>
            <w:hideMark/>
          </w:tcPr>
          <w:p w14:paraId="4D4F0F1B" w14:textId="77777777" w:rsidR="00CF22EE" w:rsidRPr="005E4BEA" w:rsidRDefault="00CF22EE" w:rsidP="00F40403">
            <w:pPr>
              <w:spacing w:after="120" w:line="240" w:lineRule="auto"/>
              <w:jc w:val="right"/>
              <w:rPr>
                <w:rFonts w:eastAsia="Arial Narrow" w:cs="Arial"/>
                <w:szCs w:val="20"/>
              </w:rPr>
            </w:pPr>
          </w:p>
        </w:tc>
      </w:tr>
      <w:tr w:rsidR="00CF22EE" w:rsidRPr="005E4BEA" w14:paraId="47D9E75F" w14:textId="77777777" w:rsidTr="004420CE">
        <w:trPr>
          <w:trHeight w:hRule="exact" w:val="342"/>
        </w:trPr>
        <w:tc>
          <w:tcPr>
            <w:tcW w:w="3012" w:type="dxa"/>
            <w:vMerge/>
            <w:vAlign w:val="center"/>
            <w:hideMark/>
          </w:tcPr>
          <w:p w14:paraId="354A0005" w14:textId="77777777" w:rsidR="00CF22EE" w:rsidRPr="005E4BEA" w:rsidRDefault="00CF22EE" w:rsidP="00F40403">
            <w:pPr>
              <w:spacing w:after="120" w:line="240" w:lineRule="auto"/>
              <w:jc w:val="both"/>
              <w:rPr>
                <w:rFonts w:eastAsia="Arial Narrow" w:cs="Arial"/>
                <w:szCs w:val="20"/>
              </w:rPr>
            </w:pPr>
          </w:p>
        </w:tc>
        <w:tc>
          <w:tcPr>
            <w:tcW w:w="1893" w:type="dxa"/>
            <w:vMerge/>
            <w:vAlign w:val="center"/>
            <w:hideMark/>
          </w:tcPr>
          <w:p w14:paraId="72EF8EDD" w14:textId="77777777" w:rsidR="00CF22EE" w:rsidRPr="005E4BEA" w:rsidRDefault="00CF22EE" w:rsidP="00F40403">
            <w:pPr>
              <w:spacing w:after="120" w:line="240" w:lineRule="auto"/>
              <w:jc w:val="both"/>
              <w:rPr>
                <w:rFonts w:eastAsia="Arial Narrow" w:cs="Arial"/>
                <w:szCs w:val="20"/>
              </w:rPr>
            </w:pPr>
          </w:p>
        </w:tc>
        <w:tc>
          <w:tcPr>
            <w:tcW w:w="1404" w:type="dxa"/>
            <w:vMerge/>
            <w:vAlign w:val="center"/>
            <w:hideMark/>
          </w:tcPr>
          <w:p w14:paraId="6B48A653" w14:textId="77777777" w:rsidR="00CF22EE" w:rsidRPr="005E4BEA" w:rsidRDefault="00CF22EE" w:rsidP="00F40403">
            <w:pPr>
              <w:spacing w:after="120" w:line="240" w:lineRule="auto"/>
              <w:jc w:val="both"/>
              <w:rPr>
                <w:rFonts w:eastAsia="Arial Narrow" w:cs="Arial"/>
                <w:szCs w:val="20"/>
              </w:rPr>
            </w:pPr>
          </w:p>
        </w:tc>
        <w:tc>
          <w:tcPr>
            <w:tcW w:w="1064" w:type="dxa"/>
            <w:vMerge/>
            <w:tcBorders>
              <w:bottom w:val="single" w:sz="4" w:space="0" w:color="0070C0"/>
            </w:tcBorders>
            <w:vAlign w:val="center"/>
            <w:hideMark/>
          </w:tcPr>
          <w:p w14:paraId="5D21A9AC" w14:textId="77777777" w:rsidR="00CF22EE" w:rsidRPr="005E4BEA" w:rsidRDefault="00CF22EE" w:rsidP="00F40403">
            <w:pPr>
              <w:spacing w:after="120" w:line="240" w:lineRule="auto"/>
              <w:jc w:val="right"/>
              <w:rPr>
                <w:rFonts w:eastAsia="Arial Narrow" w:cs="Arial"/>
                <w:szCs w:val="20"/>
              </w:rPr>
            </w:pPr>
          </w:p>
        </w:tc>
        <w:tc>
          <w:tcPr>
            <w:tcW w:w="1431" w:type="dxa"/>
            <w:vMerge/>
            <w:tcBorders>
              <w:bottom w:val="single" w:sz="4" w:space="0" w:color="0070C0"/>
            </w:tcBorders>
            <w:vAlign w:val="center"/>
            <w:hideMark/>
          </w:tcPr>
          <w:p w14:paraId="6F771E7F" w14:textId="77777777" w:rsidR="00CF22EE" w:rsidRPr="005E4BEA" w:rsidRDefault="00CF22EE" w:rsidP="00F40403">
            <w:pPr>
              <w:spacing w:after="120" w:line="240" w:lineRule="auto"/>
              <w:jc w:val="right"/>
              <w:rPr>
                <w:rFonts w:eastAsia="Arial Narrow" w:cs="Arial"/>
                <w:szCs w:val="20"/>
              </w:rPr>
            </w:pPr>
          </w:p>
        </w:tc>
      </w:tr>
      <w:tr w:rsidR="00CF22EE" w:rsidRPr="005E4BEA" w14:paraId="642C326E" w14:textId="77777777" w:rsidTr="004420CE">
        <w:trPr>
          <w:trHeight w:hRule="exact" w:val="1263"/>
        </w:trPr>
        <w:tc>
          <w:tcPr>
            <w:tcW w:w="3012" w:type="dxa"/>
            <w:shd w:val="clear" w:color="auto" w:fill="auto"/>
          </w:tcPr>
          <w:p w14:paraId="0D8DFD75" w14:textId="77777777" w:rsidR="00CF22EE" w:rsidRPr="005E4BEA" w:rsidRDefault="00CF22EE" w:rsidP="00F40403">
            <w:pPr>
              <w:spacing w:line="240" w:lineRule="exact"/>
              <w:jc w:val="both"/>
              <w:rPr>
                <w:rFonts w:eastAsia="Arial Narrow" w:cs="Arial"/>
                <w:szCs w:val="20"/>
              </w:rPr>
            </w:pPr>
            <w:r w:rsidRPr="005E4BEA">
              <w:rPr>
                <w:rFonts w:eastAsia="Arial Narrow" w:cs="Arial"/>
                <w:szCs w:val="20"/>
              </w:rPr>
              <w:t>Dodatek za poseg katetrske ablacije aritmij</w:t>
            </w:r>
          </w:p>
          <w:p w14:paraId="1B413218" w14:textId="77777777" w:rsidR="00CF22EE" w:rsidRPr="005E4BEA" w:rsidRDefault="00CF22EE" w:rsidP="00F40403">
            <w:pPr>
              <w:spacing w:line="240" w:lineRule="exact"/>
              <w:jc w:val="both"/>
              <w:rPr>
                <w:rFonts w:eastAsia="Arial Narrow" w:cs="Arial"/>
                <w:szCs w:val="20"/>
              </w:rPr>
            </w:pPr>
            <w:r w:rsidRPr="005E4BEA">
              <w:rPr>
                <w:rFonts w:eastAsia="Arial Narrow" w:cs="Arial"/>
                <w:szCs w:val="20"/>
              </w:rPr>
              <w:t>Od 1. 7. 2022</w:t>
            </w:r>
          </w:p>
        </w:tc>
        <w:tc>
          <w:tcPr>
            <w:tcW w:w="1893" w:type="dxa"/>
            <w:shd w:val="clear" w:color="auto" w:fill="auto"/>
          </w:tcPr>
          <w:p w14:paraId="2F2B8C3A" w14:textId="77777777" w:rsidR="00CF22EE" w:rsidRPr="005E4BEA" w:rsidRDefault="00CF22EE" w:rsidP="00F40403">
            <w:pPr>
              <w:spacing w:line="240" w:lineRule="auto"/>
              <w:jc w:val="both"/>
              <w:rPr>
                <w:rFonts w:eastAsia="Arial Narrow" w:cs="Arial"/>
                <w:szCs w:val="20"/>
              </w:rPr>
            </w:pPr>
          </w:p>
          <w:p w14:paraId="34AF47D1" w14:textId="77777777" w:rsidR="00CF22EE" w:rsidRPr="005E4BEA" w:rsidRDefault="00CF22EE" w:rsidP="00F40403">
            <w:pPr>
              <w:spacing w:line="240" w:lineRule="auto"/>
              <w:jc w:val="both"/>
              <w:rPr>
                <w:rFonts w:eastAsia="Arial Narrow" w:cs="Arial"/>
                <w:szCs w:val="20"/>
              </w:rPr>
            </w:pPr>
            <w:r w:rsidRPr="005E4BEA">
              <w:rPr>
                <w:rFonts w:eastAsia="Arial Narrow" w:cs="Arial"/>
                <w:szCs w:val="20"/>
              </w:rPr>
              <w:t>UKC Ljubljana</w:t>
            </w:r>
          </w:p>
          <w:p w14:paraId="27656E01" w14:textId="77777777" w:rsidR="00CF22EE" w:rsidRPr="005E4BEA" w:rsidRDefault="00CF22EE" w:rsidP="00F40403">
            <w:pPr>
              <w:spacing w:line="240" w:lineRule="auto"/>
              <w:jc w:val="both"/>
              <w:rPr>
                <w:rFonts w:eastAsia="Arial Narrow" w:cs="Arial"/>
                <w:szCs w:val="20"/>
              </w:rPr>
            </w:pPr>
            <w:r w:rsidRPr="005E4BEA">
              <w:rPr>
                <w:rFonts w:eastAsia="Arial Narrow" w:cs="Arial"/>
                <w:szCs w:val="20"/>
              </w:rPr>
              <w:t>UKC Maribor</w:t>
            </w:r>
          </w:p>
          <w:p w14:paraId="4623F1B1" w14:textId="77777777" w:rsidR="004420CE" w:rsidRPr="005E4BEA" w:rsidRDefault="004420CE" w:rsidP="00F40403">
            <w:pPr>
              <w:spacing w:line="240" w:lineRule="auto"/>
              <w:jc w:val="both"/>
              <w:rPr>
                <w:rFonts w:eastAsia="Arial Narrow" w:cs="Arial"/>
                <w:szCs w:val="20"/>
              </w:rPr>
            </w:pPr>
            <w:r w:rsidRPr="005E4BEA">
              <w:rPr>
                <w:rFonts w:eastAsia="Arial Narrow" w:cs="Arial"/>
                <w:szCs w:val="20"/>
              </w:rPr>
              <w:t xml:space="preserve">SB Izola </w:t>
            </w:r>
          </w:p>
          <w:p w14:paraId="4362DFFD" w14:textId="1AE09FA7" w:rsidR="004420CE" w:rsidRPr="005E4BEA" w:rsidRDefault="004420CE" w:rsidP="00F40403">
            <w:pPr>
              <w:spacing w:line="240" w:lineRule="auto"/>
              <w:jc w:val="both"/>
              <w:rPr>
                <w:rFonts w:eastAsia="Arial Narrow" w:cs="Arial"/>
                <w:szCs w:val="20"/>
              </w:rPr>
            </w:pPr>
            <w:r w:rsidRPr="005E4BEA">
              <w:rPr>
                <w:rFonts w:eastAsia="Arial Narrow" w:cs="Arial"/>
                <w:szCs w:val="20"/>
              </w:rPr>
              <w:t>SB Celje</w:t>
            </w:r>
          </w:p>
        </w:tc>
        <w:tc>
          <w:tcPr>
            <w:tcW w:w="1404" w:type="dxa"/>
            <w:tcBorders>
              <w:right w:val="single" w:sz="4" w:space="0" w:color="0070C0"/>
            </w:tcBorders>
            <w:shd w:val="clear" w:color="auto" w:fill="auto"/>
            <w:noWrap/>
          </w:tcPr>
          <w:p w14:paraId="4337B631" w14:textId="62BC5608" w:rsidR="00CF22EE" w:rsidRPr="005E4BEA" w:rsidRDefault="004420CE" w:rsidP="00F40403">
            <w:pPr>
              <w:spacing w:line="240" w:lineRule="auto"/>
              <w:jc w:val="both"/>
              <w:rPr>
                <w:rFonts w:eastAsia="Arial Narrow" w:cs="Arial"/>
                <w:szCs w:val="20"/>
              </w:rPr>
            </w:pPr>
            <w:r w:rsidRPr="005E4BEA">
              <w:rPr>
                <w:rFonts w:eastAsia="Arial Narrow" w:cs="Arial"/>
                <w:szCs w:val="20"/>
              </w:rPr>
              <w:t>986</w:t>
            </w:r>
            <w:r w:rsidR="00CF22EE" w:rsidRPr="005E4BEA">
              <w:rPr>
                <w:rFonts w:eastAsia="Arial Narrow" w:cs="Arial"/>
                <w:szCs w:val="20"/>
              </w:rPr>
              <w:t xml:space="preserve"> dodatkov</w:t>
            </w:r>
          </w:p>
          <w:p w14:paraId="4B554201" w14:textId="77777777" w:rsidR="00CF22EE" w:rsidRPr="005E4BEA" w:rsidRDefault="00CF22EE" w:rsidP="00F40403">
            <w:pPr>
              <w:spacing w:line="240" w:lineRule="auto"/>
              <w:jc w:val="both"/>
              <w:rPr>
                <w:rFonts w:eastAsia="Arial Narrow" w:cs="Arial"/>
                <w:szCs w:val="20"/>
              </w:rPr>
            </w:pPr>
            <w:r w:rsidRPr="005E4BEA">
              <w:rPr>
                <w:rFonts w:eastAsia="Arial Narrow" w:cs="Arial"/>
                <w:szCs w:val="20"/>
              </w:rPr>
              <w:t>744</w:t>
            </w:r>
          </w:p>
          <w:p w14:paraId="20A5BB2A" w14:textId="77777777" w:rsidR="00CF22EE" w:rsidRPr="005E4BEA" w:rsidRDefault="00CF22EE" w:rsidP="00F40403">
            <w:pPr>
              <w:spacing w:line="240" w:lineRule="auto"/>
              <w:jc w:val="both"/>
              <w:rPr>
                <w:rFonts w:eastAsia="Arial Narrow" w:cs="Arial"/>
                <w:szCs w:val="20"/>
              </w:rPr>
            </w:pPr>
            <w:r w:rsidRPr="005E4BEA">
              <w:rPr>
                <w:rFonts w:eastAsia="Arial Narrow" w:cs="Arial"/>
                <w:szCs w:val="20"/>
              </w:rPr>
              <w:t>138</w:t>
            </w:r>
          </w:p>
          <w:p w14:paraId="243F2DCD" w14:textId="77777777" w:rsidR="004420CE" w:rsidRPr="005E4BEA" w:rsidRDefault="004420CE" w:rsidP="00F40403">
            <w:pPr>
              <w:spacing w:line="240" w:lineRule="auto"/>
              <w:jc w:val="both"/>
              <w:rPr>
                <w:rFonts w:eastAsia="Arial Narrow" w:cs="Arial"/>
                <w:szCs w:val="20"/>
              </w:rPr>
            </w:pPr>
            <w:r w:rsidRPr="005E4BEA">
              <w:rPr>
                <w:rFonts w:eastAsia="Arial Narrow" w:cs="Arial"/>
                <w:szCs w:val="20"/>
              </w:rPr>
              <w:t>54</w:t>
            </w:r>
          </w:p>
          <w:p w14:paraId="20D1EFCA" w14:textId="1D3B7B72" w:rsidR="004420CE" w:rsidRPr="005E4BEA" w:rsidRDefault="004420CE" w:rsidP="00F40403">
            <w:pPr>
              <w:spacing w:line="240" w:lineRule="auto"/>
              <w:jc w:val="both"/>
              <w:rPr>
                <w:rFonts w:eastAsia="Arial Narrow" w:cs="Arial"/>
                <w:szCs w:val="20"/>
              </w:rPr>
            </w:pPr>
            <w:r w:rsidRPr="005E4BEA">
              <w:rPr>
                <w:rFonts w:eastAsia="Arial Narrow" w:cs="Arial"/>
                <w:szCs w:val="20"/>
              </w:rPr>
              <w:t>50</w:t>
            </w:r>
          </w:p>
        </w:tc>
        <w:tc>
          <w:tcPr>
            <w:tcW w:w="1064" w:type="dxa"/>
            <w:tcBorders>
              <w:top w:val="single" w:sz="4" w:space="0" w:color="0070C0"/>
              <w:left w:val="single" w:sz="4" w:space="0" w:color="0070C0"/>
              <w:bottom w:val="single" w:sz="4" w:space="0" w:color="0070C0"/>
              <w:right w:val="single" w:sz="4" w:space="0" w:color="0070C0"/>
            </w:tcBorders>
            <w:noWrap/>
          </w:tcPr>
          <w:p w14:paraId="30E8E08A" w14:textId="5910DFD7" w:rsidR="00CF22EE" w:rsidRPr="005E4BEA" w:rsidRDefault="004420CE" w:rsidP="00F40403">
            <w:pPr>
              <w:spacing w:after="120" w:line="240" w:lineRule="auto"/>
              <w:jc w:val="right"/>
              <w:rPr>
                <w:rFonts w:eastAsia="Arial Narrow" w:cs="Arial"/>
                <w:color w:val="000000"/>
                <w:szCs w:val="20"/>
              </w:rPr>
            </w:pPr>
            <w:r w:rsidRPr="005E4BEA">
              <w:rPr>
                <w:rFonts w:cs="Arial"/>
                <w:color w:val="000000"/>
                <w:szCs w:val="20"/>
              </w:rPr>
              <w:t>5.373.700</w:t>
            </w:r>
          </w:p>
        </w:tc>
        <w:tc>
          <w:tcPr>
            <w:tcW w:w="1431" w:type="dxa"/>
            <w:tcBorders>
              <w:top w:val="single" w:sz="4" w:space="0" w:color="0070C0"/>
              <w:left w:val="single" w:sz="4" w:space="0" w:color="0070C0"/>
              <w:bottom w:val="single" w:sz="4" w:space="0" w:color="0070C0"/>
              <w:right w:val="single" w:sz="4" w:space="0" w:color="0070C0"/>
            </w:tcBorders>
            <w:noWrap/>
          </w:tcPr>
          <w:p w14:paraId="70FAE4E6" w14:textId="546CD165" w:rsidR="00CF22EE" w:rsidRPr="005E4BEA" w:rsidRDefault="00CF22EE" w:rsidP="00F40403">
            <w:pPr>
              <w:spacing w:after="120" w:line="240" w:lineRule="auto"/>
              <w:jc w:val="right"/>
              <w:rPr>
                <w:rFonts w:eastAsia="Arial Narrow" w:cs="Arial"/>
                <w:color w:val="000000"/>
                <w:szCs w:val="20"/>
              </w:rPr>
            </w:pPr>
            <w:r w:rsidRPr="005E4BEA">
              <w:rPr>
                <w:rFonts w:cs="Arial"/>
                <w:color w:val="000000"/>
                <w:szCs w:val="20"/>
              </w:rPr>
              <w:t>2.</w:t>
            </w:r>
            <w:r w:rsidR="004420CE" w:rsidRPr="005E4BEA">
              <w:rPr>
                <w:rFonts w:cs="Arial"/>
                <w:color w:val="000000"/>
                <w:szCs w:val="20"/>
              </w:rPr>
              <w:t>686.850</w:t>
            </w:r>
          </w:p>
        </w:tc>
      </w:tr>
    </w:tbl>
    <w:p w14:paraId="11B2CB96" w14:textId="77777777" w:rsidR="00830452" w:rsidRPr="005E4BEA" w:rsidRDefault="00830452" w:rsidP="00830452">
      <w:pPr>
        <w:spacing w:line="120" w:lineRule="exact"/>
        <w:jc w:val="both"/>
        <w:rPr>
          <w:rFonts w:cs="Arial"/>
          <w:sz w:val="18"/>
          <w:szCs w:val="18"/>
        </w:rPr>
      </w:pPr>
      <w:bookmarkStart w:id="36" w:name="_Hlk103062202"/>
      <w:bookmarkEnd w:id="35"/>
    </w:p>
    <w:p w14:paraId="3C177846" w14:textId="2CA378FC" w:rsidR="00830452" w:rsidRPr="005E4BEA" w:rsidRDefault="00C46AD7" w:rsidP="00830452">
      <w:pPr>
        <w:spacing w:line="240" w:lineRule="auto"/>
        <w:jc w:val="both"/>
        <w:rPr>
          <w:rFonts w:cs="Arial"/>
          <w:color w:val="000000"/>
          <w:sz w:val="18"/>
          <w:szCs w:val="18"/>
        </w:rPr>
      </w:pPr>
      <w:r w:rsidRPr="005E4BEA">
        <w:rPr>
          <w:rFonts w:cs="Arial"/>
          <w:color w:val="000000"/>
          <w:sz w:val="18"/>
          <w:szCs w:val="18"/>
        </w:rPr>
        <w:t xml:space="preserve">Opomba: Izvajalec je upravičen do sredstev ko zagotovi usposobljenega nosilca dejavnosti – interventni kardiolog s </w:t>
      </w:r>
      <w:proofErr w:type="spellStart"/>
      <w:r w:rsidRPr="005E4BEA">
        <w:rPr>
          <w:rFonts w:cs="Arial"/>
          <w:color w:val="000000"/>
          <w:sz w:val="18"/>
          <w:szCs w:val="18"/>
        </w:rPr>
        <w:t>subspecialističnimi</w:t>
      </w:r>
      <w:proofErr w:type="spellEnd"/>
      <w:r w:rsidRPr="005E4BEA">
        <w:rPr>
          <w:rFonts w:cs="Arial"/>
          <w:color w:val="000000"/>
          <w:sz w:val="18"/>
          <w:szCs w:val="18"/>
        </w:rPr>
        <w:t xml:space="preserve"> znanji, ki ima opravljeno šest mesečno izobraževanje v centru, kjer se tovrstni posegi izvajajo v celotnem (vse vrste ablaci</w:t>
      </w:r>
      <w:r w:rsidR="0051508B">
        <w:rPr>
          <w:rFonts w:cs="Arial"/>
          <w:color w:val="000000"/>
          <w:sz w:val="18"/>
          <w:szCs w:val="18"/>
        </w:rPr>
        <w:t>j</w:t>
      </w:r>
      <w:r w:rsidRPr="005E4BEA">
        <w:rPr>
          <w:rFonts w:cs="Arial"/>
          <w:color w:val="000000"/>
          <w:sz w:val="18"/>
          <w:szCs w:val="18"/>
        </w:rPr>
        <w:t>) in zadostnem obsegu. Izvajalec mora zagotoviti u</w:t>
      </w:r>
      <w:r w:rsidR="0051508B">
        <w:rPr>
          <w:rFonts w:cs="Arial"/>
          <w:color w:val="000000"/>
          <w:sz w:val="18"/>
          <w:szCs w:val="18"/>
        </w:rPr>
        <w:t>s</w:t>
      </w:r>
      <w:r w:rsidRPr="005E4BEA">
        <w:rPr>
          <w:rFonts w:cs="Arial"/>
          <w:color w:val="000000"/>
          <w:sz w:val="18"/>
          <w:szCs w:val="18"/>
        </w:rPr>
        <w:t xml:space="preserve">trezen laboratorij, ki omogoča diagnostiko in zdravljenje vseh oblik ablacij.  </w:t>
      </w:r>
    </w:p>
    <w:bookmarkEnd w:id="36"/>
    <w:p w14:paraId="6ADE967D" w14:textId="77777777" w:rsidR="00C46AD7" w:rsidRPr="005E4BEA" w:rsidRDefault="00C46AD7" w:rsidP="00830452">
      <w:pPr>
        <w:spacing w:after="120" w:line="240" w:lineRule="auto"/>
        <w:jc w:val="both"/>
        <w:rPr>
          <w:rFonts w:cs="Arial"/>
          <w:b/>
          <w:bCs/>
          <w:color w:val="000000"/>
          <w:szCs w:val="20"/>
        </w:rPr>
      </w:pPr>
    </w:p>
    <w:p w14:paraId="6B6DEF0B" w14:textId="61C20249" w:rsidR="00830452" w:rsidRPr="005E4BEA" w:rsidRDefault="00830452" w:rsidP="00830452">
      <w:pPr>
        <w:spacing w:after="120" w:line="240" w:lineRule="auto"/>
        <w:jc w:val="both"/>
        <w:rPr>
          <w:rFonts w:cs="Arial"/>
          <w:b/>
          <w:bCs/>
          <w:color w:val="000000"/>
          <w:szCs w:val="20"/>
        </w:rPr>
      </w:pPr>
      <w:r w:rsidRPr="005E4BEA">
        <w:rPr>
          <w:rFonts w:cs="Arial"/>
          <w:b/>
          <w:bCs/>
          <w:color w:val="000000"/>
          <w:szCs w:val="20"/>
        </w:rPr>
        <w:t>V prilogi I/b se doda nova storitev, ki se glasi:</w:t>
      </w:r>
    </w:p>
    <w:tbl>
      <w:tblPr>
        <w:tblW w:w="821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607"/>
        <w:gridCol w:w="1075"/>
        <w:gridCol w:w="885"/>
        <w:gridCol w:w="3569"/>
        <w:gridCol w:w="1117"/>
        <w:gridCol w:w="964"/>
      </w:tblGrid>
      <w:tr w:rsidR="00830452" w:rsidRPr="005E4BEA" w14:paraId="37753C84" w14:textId="77777777" w:rsidTr="0016774B">
        <w:trPr>
          <w:trHeight w:val="20"/>
        </w:trPr>
        <w:tc>
          <w:tcPr>
            <w:tcW w:w="562" w:type="dxa"/>
            <w:shd w:val="clear" w:color="auto" w:fill="auto"/>
            <w:noWrap/>
            <w:vAlign w:val="center"/>
            <w:hideMark/>
          </w:tcPr>
          <w:p w14:paraId="73785C20" w14:textId="77777777" w:rsidR="00830452" w:rsidRPr="005E4BEA" w:rsidRDefault="00830452" w:rsidP="0016774B">
            <w:pPr>
              <w:spacing w:line="240" w:lineRule="auto"/>
              <w:jc w:val="both"/>
              <w:rPr>
                <w:rFonts w:cs="Arial"/>
                <w:szCs w:val="20"/>
              </w:rPr>
            </w:pPr>
            <w:r w:rsidRPr="005E4BEA">
              <w:rPr>
                <w:rFonts w:cs="Arial"/>
                <w:szCs w:val="20"/>
              </w:rPr>
              <w:t>Vrsta</w:t>
            </w:r>
          </w:p>
        </w:tc>
        <w:tc>
          <w:tcPr>
            <w:tcW w:w="1075" w:type="dxa"/>
            <w:shd w:val="clear" w:color="auto" w:fill="auto"/>
            <w:noWrap/>
            <w:vAlign w:val="center"/>
            <w:hideMark/>
          </w:tcPr>
          <w:p w14:paraId="6B731D73" w14:textId="77777777" w:rsidR="00830452" w:rsidRPr="005E4BEA" w:rsidRDefault="00830452" w:rsidP="0016774B">
            <w:pPr>
              <w:spacing w:line="240" w:lineRule="auto"/>
              <w:jc w:val="both"/>
              <w:rPr>
                <w:rFonts w:cs="Arial"/>
                <w:szCs w:val="20"/>
              </w:rPr>
            </w:pPr>
            <w:r w:rsidRPr="005E4BEA">
              <w:rPr>
                <w:rFonts w:cs="Arial"/>
                <w:szCs w:val="20"/>
              </w:rPr>
              <w:t>Podvrsta</w:t>
            </w:r>
          </w:p>
        </w:tc>
        <w:tc>
          <w:tcPr>
            <w:tcW w:w="885" w:type="dxa"/>
            <w:shd w:val="clear" w:color="auto" w:fill="auto"/>
            <w:noWrap/>
            <w:vAlign w:val="center"/>
            <w:hideMark/>
          </w:tcPr>
          <w:p w14:paraId="3A3DBF49" w14:textId="77777777" w:rsidR="00830452" w:rsidRPr="005E4BEA" w:rsidRDefault="00830452" w:rsidP="0016774B">
            <w:pPr>
              <w:spacing w:line="240" w:lineRule="auto"/>
              <w:jc w:val="both"/>
              <w:rPr>
                <w:rFonts w:cs="Arial"/>
                <w:szCs w:val="20"/>
              </w:rPr>
            </w:pPr>
            <w:r w:rsidRPr="005E4BEA">
              <w:rPr>
                <w:rFonts w:cs="Arial"/>
                <w:szCs w:val="20"/>
              </w:rPr>
              <w:t>Storitev</w:t>
            </w:r>
          </w:p>
        </w:tc>
        <w:tc>
          <w:tcPr>
            <w:tcW w:w="3569" w:type="dxa"/>
            <w:shd w:val="clear" w:color="auto" w:fill="auto"/>
            <w:noWrap/>
            <w:vAlign w:val="center"/>
            <w:hideMark/>
          </w:tcPr>
          <w:p w14:paraId="6DE02CC2" w14:textId="77777777" w:rsidR="00830452" w:rsidRPr="005E4BEA" w:rsidRDefault="00830452" w:rsidP="0016774B">
            <w:pPr>
              <w:spacing w:line="240" w:lineRule="auto"/>
              <w:jc w:val="both"/>
              <w:rPr>
                <w:rFonts w:cs="Arial"/>
                <w:szCs w:val="20"/>
              </w:rPr>
            </w:pPr>
            <w:r w:rsidRPr="005E4BEA">
              <w:rPr>
                <w:rFonts w:cs="Arial"/>
                <w:szCs w:val="20"/>
              </w:rPr>
              <w:t>Naziv</w:t>
            </w:r>
          </w:p>
        </w:tc>
        <w:tc>
          <w:tcPr>
            <w:tcW w:w="1158" w:type="dxa"/>
            <w:shd w:val="clear" w:color="auto" w:fill="auto"/>
            <w:vAlign w:val="center"/>
          </w:tcPr>
          <w:p w14:paraId="4C21F521" w14:textId="77777777" w:rsidR="00830452" w:rsidRPr="005E4BEA" w:rsidRDefault="00830452" w:rsidP="0016774B">
            <w:pPr>
              <w:spacing w:line="240" w:lineRule="auto"/>
              <w:jc w:val="both"/>
              <w:rPr>
                <w:rFonts w:cs="Arial"/>
                <w:szCs w:val="20"/>
              </w:rPr>
            </w:pPr>
            <w:r w:rsidRPr="005E4BEA">
              <w:rPr>
                <w:rFonts w:cs="Arial"/>
                <w:szCs w:val="20"/>
              </w:rPr>
              <w:t>Enota mere</w:t>
            </w:r>
          </w:p>
        </w:tc>
        <w:tc>
          <w:tcPr>
            <w:tcW w:w="968" w:type="dxa"/>
            <w:shd w:val="clear" w:color="auto" w:fill="auto"/>
            <w:vAlign w:val="center"/>
          </w:tcPr>
          <w:p w14:paraId="4DC5C722" w14:textId="77777777" w:rsidR="00830452" w:rsidRPr="005E4BEA" w:rsidRDefault="00830452" w:rsidP="0016774B">
            <w:pPr>
              <w:spacing w:line="240" w:lineRule="auto"/>
              <w:jc w:val="both"/>
              <w:rPr>
                <w:rFonts w:cs="Arial"/>
                <w:szCs w:val="20"/>
              </w:rPr>
            </w:pPr>
            <w:r w:rsidRPr="005E4BEA">
              <w:rPr>
                <w:rFonts w:cs="Arial"/>
                <w:szCs w:val="20"/>
              </w:rPr>
              <w:t>Cena</w:t>
            </w:r>
          </w:p>
        </w:tc>
      </w:tr>
      <w:tr w:rsidR="00830452" w:rsidRPr="005E4BEA" w14:paraId="62633D1E" w14:textId="77777777" w:rsidTr="0016774B">
        <w:trPr>
          <w:trHeight w:val="109"/>
        </w:trPr>
        <w:tc>
          <w:tcPr>
            <w:tcW w:w="562" w:type="dxa"/>
            <w:shd w:val="clear" w:color="auto" w:fill="auto"/>
            <w:noWrap/>
            <w:hideMark/>
          </w:tcPr>
          <w:p w14:paraId="279F73A3" w14:textId="77777777" w:rsidR="00830452" w:rsidRPr="005E4BEA" w:rsidRDefault="00830452" w:rsidP="0016774B">
            <w:pPr>
              <w:spacing w:line="240" w:lineRule="auto"/>
              <w:jc w:val="both"/>
              <w:rPr>
                <w:rFonts w:cs="Arial"/>
                <w:szCs w:val="20"/>
              </w:rPr>
            </w:pPr>
            <w:r w:rsidRPr="005E4BEA">
              <w:rPr>
                <w:rFonts w:cs="Arial"/>
                <w:szCs w:val="20"/>
              </w:rPr>
              <w:t>101</w:t>
            </w:r>
          </w:p>
        </w:tc>
        <w:tc>
          <w:tcPr>
            <w:tcW w:w="1075" w:type="dxa"/>
            <w:shd w:val="clear" w:color="auto" w:fill="auto"/>
            <w:noWrap/>
            <w:hideMark/>
          </w:tcPr>
          <w:p w14:paraId="2B240C55" w14:textId="77777777" w:rsidR="00830452" w:rsidRPr="005E4BEA" w:rsidRDefault="00830452" w:rsidP="0016774B">
            <w:pPr>
              <w:spacing w:line="240" w:lineRule="auto"/>
              <w:jc w:val="both"/>
              <w:rPr>
                <w:rFonts w:cs="Arial"/>
                <w:szCs w:val="20"/>
              </w:rPr>
            </w:pPr>
            <w:r w:rsidRPr="005E4BEA">
              <w:rPr>
                <w:rFonts w:cs="Arial"/>
                <w:szCs w:val="20"/>
              </w:rPr>
              <w:t>300</w:t>
            </w:r>
          </w:p>
        </w:tc>
        <w:tc>
          <w:tcPr>
            <w:tcW w:w="885" w:type="dxa"/>
            <w:shd w:val="clear" w:color="auto" w:fill="auto"/>
            <w:noWrap/>
            <w:hideMark/>
          </w:tcPr>
          <w:p w14:paraId="20F9E3BC" w14:textId="77777777" w:rsidR="00830452" w:rsidRPr="005E4BEA" w:rsidRDefault="00830452" w:rsidP="0016774B">
            <w:pPr>
              <w:spacing w:line="240" w:lineRule="auto"/>
              <w:jc w:val="both"/>
              <w:rPr>
                <w:rFonts w:cs="Arial"/>
                <w:szCs w:val="20"/>
              </w:rPr>
            </w:pPr>
            <w:r w:rsidRPr="005E4BEA">
              <w:rPr>
                <w:rFonts w:cs="Arial"/>
                <w:szCs w:val="20"/>
              </w:rPr>
              <w:t>E0xxx</w:t>
            </w:r>
          </w:p>
        </w:tc>
        <w:tc>
          <w:tcPr>
            <w:tcW w:w="3569" w:type="dxa"/>
            <w:shd w:val="clear" w:color="auto" w:fill="auto"/>
            <w:noWrap/>
            <w:hideMark/>
          </w:tcPr>
          <w:p w14:paraId="2DA26862" w14:textId="77777777" w:rsidR="00830452" w:rsidRPr="005E4BEA" w:rsidRDefault="00830452" w:rsidP="0016774B">
            <w:pPr>
              <w:spacing w:line="240" w:lineRule="auto"/>
              <w:jc w:val="both"/>
              <w:rPr>
                <w:rFonts w:cs="Arial"/>
                <w:szCs w:val="20"/>
              </w:rPr>
            </w:pPr>
            <w:r w:rsidRPr="005E4BEA">
              <w:rPr>
                <w:rFonts w:cs="Arial"/>
                <w:szCs w:val="20"/>
              </w:rPr>
              <w:t>Dodatek za poseg katetrske ablacije aritmij</w:t>
            </w:r>
          </w:p>
        </w:tc>
        <w:tc>
          <w:tcPr>
            <w:tcW w:w="1158" w:type="dxa"/>
            <w:shd w:val="clear" w:color="auto" w:fill="auto"/>
          </w:tcPr>
          <w:p w14:paraId="4A8B3D36" w14:textId="77777777" w:rsidR="00830452" w:rsidRPr="005E4BEA" w:rsidRDefault="00830452" w:rsidP="0016774B">
            <w:pPr>
              <w:spacing w:line="240" w:lineRule="auto"/>
              <w:jc w:val="both"/>
              <w:rPr>
                <w:rFonts w:cs="Arial"/>
                <w:szCs w:val="20"/>
              </w:rPr>
            </w:pPr>
            <w:r w:rsidRPr="005E4BEA">
              <w:rPr>
                <w:rFonts w:cs="Arial"/>
                <w:szCs w:val="20"/>
              </w:rPr>
              <w:t>primer</w:t>
            </w:r>
          </w:p>
        </w:tc>
        <w:tc>
          <w:tcPr>
            <w:tcW w:w="968" w:type="dxa"/>
            <w:shd w:val="clear" w:color="auto" w:fill="auto"/>
          </w:tcPr>
          <w:p w14:paraId="5AB810A4" w14:textId="77777777" w:rsidR="00830452" w:rsidRPr="005E4BEA" w:rsidRDefault="00830452" w:rsidP="0016774B">
            <w:pPr>
              <w:spacing w:line="240" w:lineRule="auto"/>
              <w:jc w:val="both"/>
              <w:rPr>
                <w:rFonts w:cs="Arial"/>
                <w:color w:val="FF0000"/>
                <w:szCs w:val="20"/>
              </w:rPr>
            </w:pPr>
            <w:r w:rsidRPr="005E4BEA">
              <w:rPr>
                <w:rFonts w:cs="Arial"/>
                <w:szCs w:val="20"/>
              </w:rPr>
              <w:t>5.450,00</w:t>
            </w:r>
          </w:p>
        </w:tc>
      </w:tr>
    </w:tbl>
    <w:p w14:paraId="142C8410" w14:textId="77777777" w:rsidR="00830452" w:rsidRPr="005E4BEA" w:rsidRDefault="00830452" w:rsidP="00830452">
      <w:pPr>
        <w:spacing w:line="120" w:lineRule="auto"/>
        <w:jc w:val="both"/>
        <w:rPr>
          <w:rFonts w:cs="Arial"/>
          <w:szCs w:val="20"/>
        </w:rPr>
      </w:pPr>
    </w:p>
    <w:p w14:paraId="0AD31D54" w14:textId="77777777" w:rsidR="00830452" w:rsidRPr="005E4BEA" w:rsidRDefault="00830452" w:rsidP="00830452">
      <w:pPr>
        <w:spacing w:line="240" w:lineRule="exact"/>
        <w:jc w:val="both"/>
        <w:rPr>
          <w:rFonts w:cs="Arial"/>
          <w:szCs w:val="20"/>
        </w:rPr>
      </w:pPr>
      <w:r w:rsidRPr="005E4BEA">
        <w:rPr>
          <w:rFonts w:cs="Arial"/>
          <w:szCs w:val="20"/>
        </w:rPr>
        <w:t>Opomba: Dodatek se v okviru bolnišničnega zdravljenja obračuna največ enkrat. Pogoj za obračun je opravljen postopek iz Priloge BOL – 2b, točke 3.</w:t>
      </w:r>
    </w:p>
    <w:p w14:paraId="6018C5E1" w14:textId="77777777" w:rsidR="00830452" w:rsidRPr="005E4BEA" w:rsidRDefault="00830452" w:rsidP="00830452">
      <w:pPr>
        <w:spacing w:line="240" w:lineRule="auto"/>
        <w:jc w:val="both"/>
        <w:rPr>
          <w:rFonts w:cs="Arial"/>
          <w:szCs w:val="20"/>
        </w:rPr>
      </w:pPr>
    </w:p>
    <w:p w14:paraId="316C2294" w14:textId="77777777" w:rsidR="00830452" w:rsidRPr="005E4BEA" w:rsidRDefault="00830452" w:rsidP="00830452">
      <w:pPr>
        <w:spacing w:line="240" w:lineRule="auto"/>
        <w:jc w:val="both"/>
        <w:rPr>
          <w:rFonts w:cs="Arial"/>
          <w:szCs w:val="20"/>
        </w:rPr>
      </w:pPr>
    </w:p>
    <w:p w14:paraId="1C775971" w14:textId="77777777" w:rsidR="00830452" w:rsidRPr="005E4BEA" w:rsidRDefault="00830452" w:rsidP="00830452">
      <w:pPr>
        <w:spacing w:after="60" w:line="240" w:lineRule="auto"/>
        <w:jc w:val="both"/>
        <w:rPr>
          <w:rFonts w:cs="Arial"/>
          <w:b/>
          <w:bCs/>
          <w:szCs w:val="20"/>
        </w:rPr>
      </w:pPr>
      <w:r w:rsidRPr="005E4BEA">
        <w:rPr>
          <w:rFonts w:cs="Arial"/>
          <w:b/>
          <w:bCs/>
          <w:szCs w:val="20"/>
        </w:rPr>
        <w:t>V Prilogi III v (2) odstavku v 4. točki se doda nova alineja, ki se glasi:</w:t>
      </w:r>
    </w:p>
    <w:p w14:paraId="29AEF714" w14:textId="77777777" w:rsidR="00830452" w:rsidRPr="005E4BEA" w:rsidRDefault="00830452" w:rsidP="00830452">
      <w:pPr>
        <w:spacing w:line="240" w:lineRule="auto"/>
        <w:jc w:val="both"/>
        <w:rPr>
          <w:rFonts w:cs="Arial"/>
          <w:szCs w:val="20"/>
        </w:rPr>
      </w:pPr>
      <w:r w:rsidRPr="005E4BEA">
        <w:rPr>
          <w:rFonts w:cs="Arial"/>
          <w:szCs w:val="20"/>
        </w:rPr>
        <w:t>»- dodatek za poseg katetrske ablacije aritmij«</w:t>
      </w:r>
    </w:p>
    <w:p w14:paraId="3849887E" w14:textId="77777777" w:rsidR="00830452" w:rsidRPr="005E4BEA" w:rsidRDefault="00830452" w:rsidP="00830452">
      <w:pPr>
        <w:spacing w:line="240" w:lineRule="auto"/>
        <w:jc w:val="both"/>
        <w:rPr>
          <w:rFonts w:cs="Arial"/>
          <w:szCs w:val="20"/>
        </w:rPr>
      </w:pPr>
    </w:p>
    <w:p w14:paraId="78061586" w14:textId="77777777" w:rsidR="00830452" w:rsidRPr="005E4BEA" w:rsidRDefault="00830452" w:rsidP="00830452">
      <w:pPr>
        <w:spacing w:line="240" w:lineRule="auto"/>
        <w:jc w:val="both"/>
        <w:rPr>
          <w:rFonts w:cs="Arial"/>
          <w:b/>
          <w:bCs/>
          <w:szCs w:val="20"/>
        </w:rPr>
      </w:pPr>
    </w:p>
    <w:p w14:paraId="1C74A806" w14:textId="05CAF399" w:rsidR="00830452" w:rsidRPr="005E4BEA" w:rsidRDefault="00830452" w:rsidP="00830452">
      <w:pPr>
        <w:spacing w:line="240" w:lineRule="auto"/>
        <w:jc w:val="both"/>
        <w:rPr>
          <w:rFonts w:cs="Arial"/>
          <w:b/>
          <w:bCs/>
          <w:szCs w:val="20"/>
        </w:rPr>
      </w:pPr>
      <w:r w:rsidRPr="005E4BEA">
        <w:rPr>
          <w:rFonts w:cs="Arial"/>
          <w:b/>
          <w:bCs/>
          <w:szCs w:val="20"/>
        </w:rPr>
        <w:t xml:space="preserve">V Prilogo BOL – 2a </w:t>
      </w:r>
      <w:r w:rsidRPr="005E4BEA">
        <w:rPr>
          <w:rFonts w:cs="Arial"/>
          <w:szCs w:val="20"/>
        </w:rPr>
        <w:t xml:space="preserve">(Seznam posegov iz Klasifikacije terapevtskih in diagnostičnih postopkov in Seznam diagnoz iz Mednarodne klasifikacije bolezni za identificiranje </w:t>
      </w:r>
      <w:proofErr w:type="spellStart"/>
      <w:r w:rsidRPr="005E4BEA">
        <w:rPr>
          <w:rFonts w:cs="Arial"/>
          <w:szCs w:val="20"/>
        </w:rPr>
        <w:t>prospektivnega</w:t>
      </w:r>
      <w:proofErr w:type="spellEnd"/>
      <w:r w:rsidRPr="005E4BEA">
        <w:rPr>
          <w:rFonts w:cs="Arial"/>
          <w:szCs w:val="20"/>
        </w:rPr>
        <w:t xml:space="preserve"> programa) </w:t>
      </w:r>
      <w:r w:rsidRPr="005E4BEA">
        <w:rPr>
          <w:rFonts w:cs="Arial"/>
          <w:b/>
          <w:bCs/>
          <w:szCs w:val="20"/>
        </w:rPr>
        <w:t xml:space="preserve">se v okviru 4. </w:t>
      </w:r>
      <w:r w:rsidR="00AD3F36" w:rsidRPr="005E4BEA">
        <w:rPr>
          <w:rFonts w:cs="Arial"/>
          <w:b/>
          <w:bCs/>
          <w:szCs w:val="20"/>
        </w:rPr>
        <w:t>razdelka</w:t>
      </w:r>
      <w:r w:rsidRPr="005E4BEA">
        <w:rPr>
          <w:rFonts w:cs="Arial"/>
          <w:b/>
          <w:bCs/>
          <w:szCs w:val="20"/>
        </w:rPr>
        <w:t xml:space="preserve"> »</w:t>
      </w:r>
      <w:proofErr w:type="spellStart"/>
      <w:r w:rsidRPr="005E4BEA">
        <w:rPr>
          <w:rFonts w:cs="Arial"/>
          <w:b/>
          <w:bCs/>
          <w:szCs w:val="20"/>
        </w:rPr>
        <w:t>Perkutani</w:t>
      </w:r>
      <w:proofErr w:type="spellEnd"/>
      <w:r w:rsidRPr="005E4BEA">
        <w:rPr>
          <w:rFonts w:cs="Arial"/>
          <w:b/>
          <w:bCs/>
          <w:szCs w:val="20"/>
        </w:rPr>
        <w:t xml:space="preserve"> posegi na srcu, srčnih zaklopkah in koronarnih arterijah« za prvo </w:t>
      </w:r>
      <w:r w:rsidR="00AD3F36" w:rsidRPr="005E4BEA">
        <w:rPr>
          <w:rFonts w:cs="Arial"/>
          <w:b/>
          <w:bCs/>
          <w:szCs w:val="20"/>
        </w:rPr>
        <w:t>točko</w:t>
      </w:r>
      <w:r w:rsidRPr="005E4BEA">
        <w:rPr>
          <w:rFonts w:cs="Arial"/>
          <w:b/>
          <w:bCs/>
          <w:szCs w:val="20"/>
        </w:rPr>
        <w:t xml:space="preserve"> dodajo nov</w:t>
      </w:r>
      <w:r w:rsidR="00AD3F36" w:rsidRPr="005E4BEA">
        <w:rPr>
          <w:rFonts w:cs="Arial"/>
          <w:b/>
          <w:bCs/>
          <w:szCs w:val="20"/>
        </w:rPr>
        <w:t>e točke</w:t>
      </w:r>
      <w:r w:rsidRPr="005E4BEA">
        <w:rPr>
          <w:rFonts w:cs="Arial"/>
          <w:b/>
          <w:bCs/>
          <w:szCs w:val="20"/>
        </w:rPr>
        <w:t>, ki se glasijo:</w:t>
      </w:r>
    </w:p>
    <w:p w14:paraId="425EA8D9" w14:textId="77777777" w:rsidR="00830452" w:rsidRPr="005E4BEA" w:rsidRDefault="00830452" w:rsidP="00830452">
      <w:pPr>
        <w:spacing w:line="240" w:lineRule="auto"/>
        <w:jc w:val="both"/>
        <w:rPr>
          <w:rFonts w:cs="Arial"/>
          <w:b/>
          <w:bCs/>
          <w:szCs w:val="20"/>
        </w:rPr>
      </w:pPr>
    </w:p>
    <w:tbl>
      <w:tblPr>
        <w:tblW w:w="8505" w:type="dxa"/>
        <w:tblLayout w:type="fixed"/>
        <w:tblCellMar>
          <w:left w:w="70" w:type="dxa"/>
          <w:right w:w="70" w:type="dxa"/>
        </w:tblCellMar>
        <w:tblLook w:val="0000" w:firstRow="0" w:lastRow="0" w:firstColumn="0" w:lastColumn="0" w:noHBand="0" w:noVBand="0"/>
      </w:tblPr>
      <w:tblGrid>
        <w:gridCol w:w="426"/>
        <w:gridCol w:w="1275"/>
        <w:gridCol w:w="6804"/>
      </w:tblGrid>
      <w:tr w:rsidR="00830452" w:rsidRPr="005E4BEA" w14:paraId="27F1A448" w14:textId="77777777" w:rsidTr="0016774B">
        <w:trPr>
          <w:trHeight w:val="227"/>
        </w:trPr>
        <w:tc>
          <w:tcPr>
            <w:tcW w:w="426" w:type="dxa"/>
          </w:tcPr>
          <w:p w14:paraId="44806F4A" w14:textId="77777777" w:rsidR="00830452" w:rsidRPr="005E4BEA" w:rsidRDefault="00830452" w:rsidP="0016774B">
            <w:pPr>
              <w:autoSpaceDE w:val="0"/>
              <w:autoSpaceDN w:val="0"/>
              <w:adjustRightInd w:val="0"/>
              <w:spacing w:line="240" w:lineRule="auto"/>
              <w:jc w:val="both"/>
              <w:rPr>
                <w:rFonts w:cs="Arial"/>
                <w:color w:val="000000"/>
                <w:szCs w:val="20"/>
              </w:rPr>
            </w:pPr>
            <w:r w:rsidRPr="005E4BEA">
              <w:rPr>
                <w:rFonts w:cs="Arial"/>
                <w:szCs w:val="20"/>
              </w:rPr>
              <w:t>2.</w:t>
            </w:r>
          </w:p>
        </w:tc>
        <w:tc>
          <w:tcPr>
            <w:tcW w:w="1275" w:type="dxa"/>
          </w:tcPr>
          <w:p w14:paraId="0E3A3749"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38287-02</w:t>
            </w:r>
          </w:p>
        </w:tc>
        <w:tc>
          <w:tcPr>
            <w:tcW w:w="6804" w:type="dxa"/>
          </w:tcPr>
          <w:p w14:paraId="6A67B758"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830452" w:rsidRPr="005E4BEA" w14:paraId="32353B8B" w14:textId="77777777" w:rsidTr="0016774B">
        <w:trPr>
          <w:trHeight w:val="227"/>
        </w:trPr>
        <w:tc>
          <w:tcPr>
            <w:tcW w:w="426" w:type="dxa"/>
          </w:tcPr>
          <w:p w14:paraId="7C38148D" w14:textId="77777777" w:rsidR="00830452" w:rsidRPr="005E4BEA" w:rsidRDefault="00830452" w:rsidP="0016774B">
            <w:pPr>
              <w:autoSpaceDE w:val="0"/>
              <w:autoSpaceDN w:val="0"/>
              <w:adjustRightInd w:val="0"/>
              <w:spacing w:line="240" w:lineRule="auto"/>
              <w:jc w:val="both"/>
              <w:rPr>
                <w:rFonts w:cs="Arial"/>
                <w:szCs w:val="20"/>
              </w:rPr>
            </w:pPr>
            <w:r w:rsidRPr="005E4BEA">
              <w:rPr>
                <w:rFonts w:cs="Arial"/>
                <w:szCs w:val="20"/>
              </w:rPr>
              <w:t>3.</w:t>
            </w:r>
          </w:p>
        </w:tc>
        <w:tc>
          <w:tcPr>
            <w:tcW w:w="1275" w:type="dxa"/>
          </w:tcPr>
          <w:p w14:paraId="0E79607C"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38290-01</w:t>
            </w:r>
          </w:p>
        </w:tc>
        <w:tc>
          <w:tcPr>
            <w:tcW w:w="6804" w:type="dxa"/>
          </w:tcPr>
          <w:p w14:paraId="617720E1" w14:textId="77777777" w:rsidR="00830452" w:rsidRPr="005E4BEA" w:rsidRDefault="00830452" w:rsidP="0016774B">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830452" w:rsidRPr="005E4BEA" w14:paraId="52C4389A" w14:textId="77777777" w:rsidTr="0016774B">
        <w:trPr>
          <w:trHeight w:val="227"/>
        </w:trPr>
        <w:tc>
          <w:tcPr>
            <w:tcW w:w="426" w:type="dxa"/>
          </w:tcPr>
          <w:p w14:paraId="3F3A1B3D" w14:textId="77777777" w:rsidR="00830452" w:rsidRPr="005E4BEA" w:rsidRDefault="00830452" w:rsidP="0016774B">
            <w:pPr>
              <w:autoSpaceDE w:val="0"/>
              <w:autoSpaceDN w:val="0"/>
              <w:adjustRightInd w:val="0"/>
              <w:spacing w:line="240" w:lineRule="auto"/>
              <w:jc w:val="both"/>
              <w:rPr>
                <w:rFonts w:cs="Arial"/>
                <w:szCs w:val="20"/>
              </w:rPr>
            </w:pPr>
            <w:r w:rsidRPr="005E4BEA">
              <w:rPr>
                <w:rFonts w:cs="Arial"/>
                <w:szCs w:val="20"/>
              </w:rPr>
              <w:t>4.</w:t>
            </w:r>
          </w:p>
        </w:tc>
        <w:tc>
          <w:tcPr>
            <w:tcW w:w="1275" w:type="dxa"/>
          </w:tcPr>
          <w:p w14:paraId="3333C189"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38287-01</w:t>
            </w:r>
          </w:p>
        </w:tc>
        <w:tc>
          <w:tcPr>
            <w:tcW w:w="6804" w:type="dxa"/>
          </w:tcPr>
          <w:p w14:paraId="4FE575D2" w14:textId="00410627" w:rsidR="00AD3F36" w:rsidRPr="005E4BEA" w:rsidRDefault="00830452" w:rsidP="00AD3F36">
            <w:pPr>
              <w:autoSpaceDE w:val="0"/>
              <w:autoSpaceDN w:val="0"/>
              <w:adjustRightInd w:val="0"/>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p w14:paraId="5995B42C" w14:textId="77777777" w:rsidR="00AD3F36" w:rsidRPr="005E4BEA" w:rsidRDefault="00AD3F36" w:rsidP="00AD3F36">
            <w:pPr>
              <w:autoSpaceDE w:val="0"/>
              <w:autoSpaceDN w:val="0"/>
              <w:adjustRightInd w:val="0"/>
              <w:spacing w:line="240" w:lineRule="auto"/>
              <w:jc w:val="both"/>
              <w:rPr>
                <w:rFonts w:cs="Arial"/>
                <w:szCs w:val="20"/>
              </w:rPr>
            </w:pPr>
          </w:p>
          <w:p w14:paraId="63947E75" w14:textId="1A31AF91" w:rsidR="00AD3F36" w:rsidRPr="005E4BEA" w:rsidRDefault="00AD3F36" w:rsidP="00AD3F36">
            <w:pPr>
              <w:autoSpaceDE w:val="0"/>
              <w:autoSpaceDN w:val="0"/>
              <w:adjustRightInd w:val="0"/>
              <w:jc w:val="both"/>
              <w:rPr>
                <w:rFonts w:cs="Arial"/>
                <w:szCs w:val="20"/>
              </w:rPr>
            </w:pPr>
          </w:p>
        </w:tc>
      </w:tr>
      <w:tr w:rsidR="00822332" w:rsidRPr="005E4BEA" w14:paraId="1E2AC647" w14:textId="77777777" w:rsidTr="0016774B">
        <w:trPr>
          <w:trHeight w:val="227"/>
        </w:trPr>
        <w:tc>
          <w:tcPr>
            <w:tcW w:w="426" w:type="dxa"/>
          </w:tcPr>
          <w:p w14:paraId="1D6C52CD" w14:textId="3B0B471D" w:rsidR="00822332" w:rsidRPr="005E4BEA" w:rsidRDefault="00822332" w:rsidP="00822332">
            <w:pPr>
              <w:autoSpaceDE w:val="0"/>
              <w:autoSpaceDN w:val="0"/>
              <w:adjustRightInd w:val="0"/>
              <w:jc w:val="both"/>
              <w:rPr>
                <w:rFonts w:cs="Arial"/>
                <w:szCs w:val="20"/>
              </w:rPr>
            </w:pPr>
            <w:r w:rsidRPr="005E4BEA">
              <w:rPr>
                <w:rFonts w:cs="Arial"/>
                <w:szCs w:val="20"/>
              </w:rPr>
              <w:t xml:space="preserve">5. </w:t>
            </w:r>
          </w:p>
        </w:tc>
        <w:tc>
          <w:tcPr>
            <w:tcW w:w="1275" w:type="dxa"/>
          </w:tcPr>
          <w:p w14:paraId="5FB14F92" w14:textId="1E09D31E" w:rsidR="00822332" w:rsidRPr="005E4BEA" w:rsidRDefault="00CA53DE" w:rsidP="0016774B">
            <w:pPr>
              <w:autoSpaceDE w:val="0"/>
              <w:autoSpaceDN w:val="0"/>
              <w:adjustRightInd w:val="0"/>
              <w:spacing w:line="240" w:lineRule="auto"/>
              <w:jc w:val="both"/>
              <w:rPr>
                <w:rFonts w:cs="Arial"/>
                <w:szCs w:val="20"/>
              </w:rPr>
            </w:pPr>
            <w:r w:rsidRPr="005E4BEA">
              <w:rPr>
                <w:rFonts w:cs="Arial"/>
                <w:szCs w:val="20"/>
              </w:rPr>
              <w:t>38518-00</w:t>
            </w:r>
          </w:p>
        </w:tc>
        <w:tc>
          <w:tcPr>
            <w:tcW w:w="6804" w:type="dxa"/>
          </w:tcPr>
          <w:p w14:paraId="304690B9" w14:textId="386238C3" w:rsidR="00822332" w:rsidRPr="005E4BEA" w:rsidRDefault="00822332" w:rsidP="00AD3F36">
            <w:pPr>
              <w:autoSpaceDE w:val="0"/>
              <w:autoSpaceDN w:val="0"/>
              <w:adjustRightInd w:val="0"/>
              <w:spacing w:line="240" w:lineRule="auto"/>
              <w:jc w:val="both"/>
              <w:rPr>
                <w:rFonts w:cs="Arial"/>
                <w:szCs w:val="20"/>
              </w:rPr>
            </w:pPr>
            <w:r w:rsidRPr="005E4BEA">
              <w:rPr>
                <w:rFonts w:cs="Arial"/>
                <w:szCs w:val="20"/>
              </w:rPr>
              <w:t>Ablacija prekatne mišice</w:t>
            </w:r>
          </w:p>
        </w:tc>
      </w:tr>
      <w:tr w:rsidR="00AD3F36" w:rsidRPr="005E4BEA" w14:paraId="0ACF43B3" w14:textId="77777777" w:rsidTr="0016774B">
        <w:trPr>
          <w:trHeight w:val="227"/>
        </w:trPr>
        <w:tc>
          <w:tcPr>
            <w:tcW w:w="426" w:type="dxa"/>
          </w:tcPr>
          <w:p w14:paraId="7A58C667" w14:textId="0CBA9BDC" w:rsidR="00AD3F36" w:rsidRPr="005E4BEA" w:rsidRDefault="00822332" w:rsidP="00F356C9">
            <w:pPr>
              <w:pStyle w:val="Odstavekseznama"/>
              <w:numPr>
                <w:ilvl w:val="0"/>
                <w:numId w:val="40"/>
              </w:numPr>
              <w:autoSpaceDE w:val="0"/>
              <w:autoSpaceDN w:val="0"/>
              <w:adjustRightInd w:val="0"/>
              <w:jc w:val="both"/>
              <w:rPr>
                <w:rFonts w:cs="Arial"/>
                <w:szCs w:val="20"/>
              </w:rPr>
            </w:pPr>
            <w:r w:rsidRPr="005E4BEA">
              <w:rPr>
                <w:rFonts w:cs="Arial"/>
                <w:szCs w:val="20"/>
              </w:rPr>
              <w:t>5.</w:t>
            </w:r>
          </w:p>
        </w:tc>
        <w:tc>
          <w:tcPr>
            <w:tcW w:w="1275" w:type="dxa"/>
          </w:tcPr>
          <w:p w14:paraId="3AC0463E" w14:textId="77777777" w:rsidR="00AD3F36" w:rsidRPr="005E4BEA" w:rsidRDefault="00AD3F36" w:rsidP="0016774B">
            <w:pPr>
              <w:autoSpaceDE w:val="0"/>
              <w:autoSpaceDN w:val="0"/>
              <w:adjustRightInd w:val="0"/>
              <w:spacing w:line="240" w:lineRule="auto"/>
              <w:jc w:val="both"/>
              <w:rPr>
                <w:rFonts w:cs="Arial"/>
                <w:szCs w:val="20"/>
              </w:rPr>
            </w:pPr>
          </w:p>
        </w:tc>
        <w:tc>
          <w:tcPr>
            <w:tcW w:w="6804" w:type="dxa"/>
          </w:tcPr>
          <w:p w14:paraId="7D5396DB" w14:textId="3AB3EF23" w:rsidR="00AD3F36" w:rsidRPr="005E4BEA" w:rsidRDefault="00AD3F36" w:rsidP="00AD3F36">
            <w:pPr>
              <w:autoSpaceDE w:val="0"/>
              <w:autoSpaceDN w:val="0"/>
              <w:adjustRightInd w:val="0"/>
              <w:spacing w:line="240" w:lineRule="auto"/>
              <w:jc w:val="both"/>
              <w:rPr>
                <w:rFonts w:cs="Arial"/>
                <w:szCs w:val="20"/>
              </w:rPr>
            </w:pPr>
          </w:p>
        </w:tc>
      </w:tr>
    </w:tbl>
    <w:p w14:paraId="4CBC4D94" w14:textId="77777777" w:rsidR="00830452" w:rsidRPr="005E4BEA" w:rsidRDefault="00830452" w:rsidP="00830452">
      <w:pPr>
        <w:spacing w:line="240" w:lineRule="auto"/>
        <w:jc w:val="both"/>
        <w:rPr>
          <w:rFonts w:cs="Arial"/>
          <w:szCs w:val="20"/>
        </w:rPr>
      </w:pPr>
    </w:p>
    <w:p w14:paraId="6EF8F43D" w14:textId="38F9A710" w:rsidR="00830452" w:rsidRPr="005E4BEA" w:rsidRDefault="00822332" w:rsidP="00830452">
      <w:pPr>
        <w:spacing w:line="240" w:lineRule="exact"/>
        <w:jc w:val="both"/>
        <w:rPr>
          <w:rFonts w:cs="Arial"/>
          <w:color w:val="000000"/>
          <w:szCs w:val="20"/>
        </w:rPr>
      </w:pPr>
      <w:r w:rsidRPr="005E4BEA">
        <w:rPr>
          <w:rFonts w:cs="Arial"/>
          <w:color w:val="000000"/>
          <w:szCs w:val="20"/>
        </w:rPr>
        <w:t>Sedanje 2. do 9. točka postanejo nov</w:t>
      </w:r>
      <w:r w:rsidR="00020040" w:rsidRPr="005E4BEA">
        <w:rPr>
          <w:rFonts w:cs="Arial"/>
          <w:color w:val="000000"/>
          <w:szCs w:val="20"/>
        </w:rPr>
        <w:t>a</w:t>
      </w:r>
      <w:r w:rsidRPr="005E4BEA">
        <w:rPr>
          <w:rFonts w:cs="Arial"/>
          <w:color w:val="000000"/>
          <w:szCs w:val="20"/>
        </w:rPr>
        <w:t xml:space="preserve"> 7. do 14. točka.</w:t>
      </w:r>
    </w:p>
    <w:p w14:paraId="5FBEC151" w14:textId="77777777" w:rsidR="00830452" w:rsidRPr="005E4BEA" w:rsidRDefault="00830452" w:rsidP="00830452">
      <w:pPr>
        <w:spacing w:line="240" w:lineRule="auto"/>
        <w:jc w:val="both"/>
        <w:rPr>
          <w:rFonts w:cs="Arial"/>
          <w:b/>
          <w:bCs/>
          <w:szCs w:val="20"/>
        </w:rPr>
      </w:pPr>
    </w:p>
    <w:p w14:paraId="340B35B1" w14:textId="77777777" w:rsidR="00830452" w:rsidRPr="005E4BEA" w:rsidRDefault="00830452" w:rsidP="00830452">
      <w:pPr>
        <w:spacing w:line="240" w:lineRule="auto"/>
        <w:jc w:val="both"/>
        <w:rPr>
          <w:rFonts w:cs="Arial"/>
          <w:b/>
          <w:bCs/>
          <w:szCs w:val="20"/>
        </w:rPr>
      </w:pPr>
    </w:p>
    <w:p w14:paraId="2D17850B" w14:textId="1FD5BEA2" w:rsidR="00830452" w:rsidRPr="005E4BEA" w:rsidRDefault="00830452" w:rsidP="00830452">
      <w:pPr>
        <w:spacing w:line="240" w:lineRule="exact"/>
        <w:jc w:val="both"/>
        <w:rPr>
          <w:rFonts w:cs="Arial"/>
          <w:b/>
          <w:bCs/>
          <w:szCs w:val="20"/>
        </w:rPr>
      </w:pPr>
      <w:r w:rsidRPr="005E4BEA">
        <w:rPr>
          <w:rFonts w:cs="Arial"/>
          <w:b/>
          <w:bCs/>
          <w:szCs w:val="20"/>
        </w:rPr>
        <w:t xml:space="preserve">V Prilogi BOL – 2b </w:t>
      </w:r>
      <w:r w:rsidRPr="005E4BEA">
        <w:rPr>
          <w:rFonts w:cs="Arial"/>
          <w:szCs w:val="20"/>
        </w:rPr>
        <w:t>(Seznam posegov iz Klasifikacije terapevtskih in diagnostičnih postopkov za identificiranje izbranih storitev iz Priloge I/b)</w:t>
      </w:r>
      <w:r w:rsidRPr="005E4BEA">
        <w:rPr>
          <w:rFonts w:cs="Arial"/>
          <w:b/>
          <w:bCs/>
          <w:szCs w:val="20"/>
        </w:rPr>
        <w:t xml:space="preserve"> se </w:t>
      </w:r>
      <w:r w:rsidR="00822332" w:rsidRPr="005E4BEA">
        <w:rPr>
          <w:rFonts w:cs="Arial"/>
          <w:b/>
          <w:bCs/>
          <w:szCs w:val="20"/>
        </w:rPr>
        <w:t xml:space="preserve">za 2. točko </w:t>
      </w:r>
      <w:r w:rsidRPr="005E4BEA">
        <w:rPr>
          <w:rFonts w:cs="Arial"/>
          <w:b/>
          <w:bCs/>
          <w:szCs w:val="20"/>
        </w:rPr>
        <w:t>doda nova 3. točka, ki se glasi:</w:t>
      </w:r>
    </w:p>
    <w:p w14:paraId="7A57C43E" w14:textId="77777777" w:rsidR="00830452" w:rsidRPr="005E4BEA" w:rsidRDefault="00830452" w:rsidP="00830452">
      <w:pPr>
        <w:spacing w:line="120" w:lineRule="auto"/>
        <w:jc w:val="both"/>
        <w:rPr>
          <w:rFonts w:cs="Arial"/>
          <w:b/>
          <w:bCs/>
          <w:szCs w:val="20"/>
        </w:rPr>
      </w:pPr>
    </w:p>
    <w:p w14:paraId="14108925" w14:textId="77777777" w:rsidR="00830452" w:rsidRPr="005E4BEA" w:rsidRDefault="00830452" w:rsidP="00830452">
      <w:pPr>
        <w:spacing w:line="240" w:lineRule="exact"/>
        <w:jc w:val="both"/>
        <w:rPr>
          <w:rFonts w:cs="Arial"/>
          <w:szCs w:val="20"/>
        </w:rPr>
      </w:pPr>
      <w:r w:rsidRPr="005E4BEA">
        <w:rPr>
          <w:rFonts w:cs="Arial"/>
          <w:szCs w:val="20"/>
        </w:rPr>
        <w:t>»3.) Katetrske ablacije aritmij</w:t>
      </w:r>
    </w:p>
    <w:p w14:paraId="596A056A" w14:textId="77777777" w:rsidR="00830452" w:rsidRPr="005E4BEA" w:rsidRDefault="00830452" w:rsidP="00830452">
      <w:pPr>
        <w:spacing w:line="120" w:lineRule="auto"/>
        <w:jc w:val="both"/>
        <w:rPr>
          <w:rFonts w:cs="Arial"/>
          <w:szCs w:val="20"/>
        </w:rPr>
      </w:pPr>
    </w:p>
    <w:tbl>
      <w:tblPr>
        <w:tblW w:w="8364" w:type="dxa"/>
        <w:tblLayout w:type="fixed"/>
        <w:tblCellMar>
          <w:left w:w="70" w:type="dxa"/>
          <w:right w:w="70" w:type="dxa"/>
        </w:tblCellMar>
        <w:tblLook w:val="0000" w:firstRow="0" w:lastRow="0" w:firstColumn="0" w:lastColumn="0" w:noHBand="0" w:noVBand="0"/>
      </w:tblPr>
      <w:tblGrid>
        <w:gridCol w:w="426"/>
        <w:gridCol w:w="1275"/>
        <w:gridCol w:w="6663"/>
      </w:tblGrid>
      <w:tr w:rsidR="00830452" w:rsidRPr="005E4BEA" w14:paraId="46E5E1EF" w14:textId="77777777" w:rsidTr="0016774B">
        <w:trPr>
          <w:trHeight w:val="227"/>
        </w:trPr>
        <w:tc>
          <w:tcPr>
            <w:tcW w:w="426" w:type="dxa"/>
          </w:tcPr>
          <w:p w14:paraId="535E9D75" w14:textId="28B69EC4" w:rsidR="00830452" w:rsidRPr="005E4BEA" w:rsidRDefault="00822332" w:rsidP="00822332">
            <w:pPr>
              <w:autoSpaceDE w:val="0"/>
              <w:autoSpaceDN w:val="0"/>
              <w:adjustRightInd w:val="0"/>
              <w:jc w:val="both"/>
              <w:rPr>
                <w:rFonts w:cs="Arial"/>
                <w:color w:val="000000"/>
                <w:szCs w:val="20"/>
              </w:rPr>
            </w:pPr>
            <w:r w:rsidRPr="005E4BEA">
              <w:rPr>
                <w:rFonts w:cs="Arial"/>
                <w:color w:val="000000"/>
                <w:szCs w:val="20"/>
              </w:rPr>
              <w:t xml:space="preserve">1. </w:t>
            </w:r>
          </w:p>
        </w:tc>
        <w:tc>
          <w:tcPr>
            <w:tcW w:w="1275" w:type="dxa"/>
          </w:tcPr>
          <w:p w14:paraId="6FCB6532"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38287-02</w:t>
            </w:r>
          </w:p>
        </w:tc>
        <w:tc>
          <w:tcPr>
            <w:tcW w:w="6663" w:type="dxa"/>
          </w:tcPr>
          <w:p w14:paraId="68F62B3E"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830452" w:rsidRPr="005E4BEA" w14:paraId="55FD571E" w14:textId="77777777" w:rsidTr="0016774B">
        <w:trPr>
          <w:trHeight w:val="227"/>
        </w:trPr>
        <w:tc>
          <w:tcPr>
            <w:tcW w:w="426" w:type="dxa"/>
          </w:tcPr>
          <w:p w14:paraId="7C1963B0" w14:textId="52599CF6" w:rsidR="00830452" w:rsidRPr="005E4BEA" w:rsidRDefault="00830452" w:rsidP="00F356C9">
            <w:pPr>
              <w:pStyle w:val="Odstavekseznama"/>
              <w:numPr>
                <w:ilvl w:val="0"/>
                <w:numId w:val="77"/>
              </w:numPr>
              <w:autoSpaceDE w:val="0"/>
              <w:autoSpaceDN w:val="0"/>
              <w:adjustRightInd w:val="0"/>
              <w:jc w:val="both"/>
              <w:rPr>
                <w:rFonts w:cs="Arial"/>
                <w:szCs w:val="20"/>
              </w:rPr>
            </w:pPr>
          </w:p>
        </w:tc>
        <w:tc>
          <w:tcPr>
            <w:tcW w:w="1275" w:type="dxa"/>
          </w:tcPr>
          <w:p w14:paraId="75125D48"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38290-01</w:t>
            </w:r>
          </w:p>
        </w:tc>
        <w:tc>
          <w:tcPr>
            <w:tcW w:w="6663" w:type="dxa"/>
          </w:tcPr>
          <w:p w14:paraId="5C918738" w14:textId="77777777" w:rsidR="00830452" w:rsidRPr="005E4BEA" w:rsidRDefault="00830452" w:rsidP="0016774B">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830452" w:rsidRPr="005E4BEA" w14:paraId="32CE51A6" w14:textId="77777777" w:rsidTr="0016774B">
        <w:trPr>
          <w:trHeight w:val="227"/>
        </w:trPr>
        <w:tc>
          <w:tcPr>
            <w:tcW w:w="426" w:type="dxa"/>
          </w:tcPr>
          <w:p w14:paraId="730409B0" w14:textId="77777777" w:rsidR="00830452" w:rsidRPr="005E4BEA" w:rsidRDefault="00830452" w:rsidP="0016774B">
            <w:pPr>
              <w:autoSpaceDE w:val="0"/>
              <w:autoSpaceDN w:val="0"/>
              <w:adjustRightInd w:val="0"/>
              <w:spacing w:line="240" w:lineRule="auto"/>
              <w:jc w:val="both"/>
              <w:rPr>
                <w:rFonts w:cs="Arial"/>
                <w:szCs w:val="20"/>
              </w:rPr>
            </w:pPr>
            <w:r w:rsidRPr="005E4BEA">
              <w:rPr>
                <w:rFonts w:cs="Arial"/>
                <w:szCs w:val="20"/>
              </w:rPr>
              <w:t>3.</w:t>
            </w:r>
          </w:p>
        </w:tc>
        <w:tc>
          <w:tcPr>
            <w:tcW w:w="1275" w:type="dxa"/>
          </w:tcPr>
          <w:p w14:paraId="7CF4A570"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38287-01</w:t>
            </w:r>
          </w:p>
        </w:tc>
        <w:tc>
          <w:tcPr>
            <w:tcW w:w="6663" w:type="dxa"/>
          </w:tcPr>
          <w:p w14:paraId="507BA74F" w14:textId="77777777" w:rsidR="00830452" w:rsidRPr="005E4BEA" w:rsidRDefault="00830452" w:rsidP="0016774B">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tc>
      </w:tr>
      <w:tr w:rsidR="00822332" w:rsidRPr="005E4BEA" w14:paraId="3F7AD699" w14:textId="77777777" w:rsidTr="0016774B">
        <w:trPr>
          <w:trHeight w:val="227"/>
        </w:trPr>
        <w:tc>
          <w:tcPr>
            <w:tcW w:w="426" w:type="dxa"/>
          </w:tcPr>
          <w:p w14:paraId="4248440C" w14:textId="77777777" w:rsidR="00822332" w:rsidRPr="005E4BEA" w:rsidRDefault="00822332" w:rsidP="0016774B">
            <w:pPr>
              <w:autoSpaceDE w:val="0"/>
              <w:autoSpaceDN w:val="0"/>
              <w:adjustRightInd w:val="0"/>
              <w:spacing w:line="240" w:lineRule="auto"/>
              <w:jc w:val="both"/>
              <w:rPr>
                <w:rFonts w:cs="Arial"/>
                <w:szCs w:val="20"/>
              </w:rPr>
            </w:pPr>
          </w:p>
        </w:tc>
        <w:tc>
          <w:tcPr>
            <w:tcW w:w="1275" w:type="dxa"/>
          </w:tcPr>
          <w:p w14:paraId="69676A62" w14:textId="77777777" w:rsidR="00822332" w:rsidRPr="005E4BEA" w:rsidRDefault="00822332" w:rsidP="0016774B">
            <w:pPr>
              <w:autoSpaceDE w:val="0"/>
              <w:autoSpaceDN w:val="0"/>
              <w:adjustRightInd w:val="0"/>
              <w:spacing w:line="240" w:lineRule="auto"/>
              <w:jc w:val="both"/>
              <w:rPr>
                <w:rFonts w:cs="Arial"/>
                <w:szCs w:val="20"/>
              </w:rPr>
            </w:pPr>
          </w:p>
        </w:tc>
        <w:tc>
          <w:tcPr>
            <w:tcW w:w="6663" w:type="dxa"/>
          </w:tcPr>
          <w:p w14:paraId="3F692345" w14:textId="77777777" w:rsidR="00822332" w:rsidRPr="005E4BEA" w:rsidRDefault="00822332" w:rsidP="0016774B">
            <w:pPr>
              <w:autoSpaceDE w:val="0"/>
              <w:autoSpaceDN w:val="0"/>
              <w:adjustRightInd w:val="0"/>
              <w:spacing w:line="240" w:lineRule="auto"/>
              <w:jc w:val="both"/>
              <w:rPr>
                <w:rFonts w:cs="Arial"/>
                <w:szCs w:val="20"/>
              </w:rPr>
            </w:pPr>
          </w:p>
        </w:tc>
      </w:tr>
      <w:tr w:rsidR="00822332" w:rsidRPr="005E4BEA" w14:paraId="2A9896E2" w14:textId="77777777" w:rsidTr="0016774B">
        <w:trPr>
          <w:trHeight w:val="227"/>
        </w:trPr>
        <w:tc>
          <w:tcPr>
            <w:tcW w:w="426" w:type="dxa"/>
          </w:tcPr>
          <w:p w14:paraId="2194B9B4" w14:textId="7E14971B" w:rsidR="00822332" w:rsidRPr="005E4BEA" w:rsidRDefault="00822332" w:rsidP="00F356C9">
            <w:pPr>
              <w:pStyle w:val="Odstavekseznama"/>
              <w:numPr>
                <w:ilvl w:val="0"/>
                <w:numId w:val="78"/>
              </w:numPr>
              <w:autoSpaceDE w:val="0"/>
              <w:autoSpaceDN w:val="0"/>
              <w:adjustRightInd w:val="0"/>
              <w:jc w:val="both"/>
              <w:rPr>
                <w:rFonts w:cs="Arial"/>
                <w:szCs w:val="20"/>
              </w:rPr>
            </w:pPr>
            <w:r w:rsidRPr="005E4BEA">
              <w:rPr>
                <w:rFonts w:cs="Arial"/>
                <w:szCs w:val="20"/>
              </w:rPr>
              <w:t>4</w:t>
            </w:r>
          </w:p>
        </w:tc>
        <w:tc>
          <w:tcPr>
            <w:tcW w:w="1275" w:type="dxa"/>
          </w:tcPr>
          <w:p w14:paraId="61A4FF89" w14:textId="549C2F89" w:rsidR="00822332" w:rsidRPr="005E4BEA" w:rsidRDefault="00CA53DE" w:rsidP="0016774B">
            <w:pPr>
              <w:autoSpaceDE w:val="0"/>
              <w:autoSpaceDN w:val="0"/>
              <w:adjustRightInd w:val="0"/>
              <w:spacing w:line="240" w:lineRule="auto"/>
              <w:jc w:val="both"/>
              <w:rPr>
                <w:rFonts w:cs="Arial"/>
                <w:szCs w:val="20"/>
              </w:rPr>
            </w:pPr>
            <w:r w:rsidRPr="005E4BEA">
              <w:rPr>
                <w:rFonts w:cs="Arial"/>
                <w:szCs w:val="20"/>
              </w:rPr>
              <w:t>38518-00</w:t>
            </w:r>
          </w:p>
        </w:tc>
        <w:tc>
          <w:tcPr>
            <w:tcW w:w="6663" w:type="dxa"/>
          </w:tcPr>
          <w:p w14:paraId="11EC201C" w14:textId="4645AAA9" w:rsidR="00822332" w:rsidRPr="005E4BEA" w:rsidRDefault="00822332" w:rsidP="0016774B">
            <w:pPr>
              <w:autoSpaceDE w:val="0"/>
              <w:autoSpaceDN w:val="0"/>
              <w:adjustRightInd w:val="0"/>
              <w:spacing w:line="240" w:lineRule="auto"/>
              <w:jc w:val="both"/>
              <w:rPr>
                <w:rFonts w:cs="Arial"/>
                <w:szCs w:val="20"/>
              </w:rPr>
            </w:pPr>
            <w:r w:rsidRPr="005E4BEA">
              <w:rPr>
                <w:rFonts w:cs="Arial"/>
                <w:szCs w:val="20"/>
              </w:rPr>
              <w:t>Ablacija prekatne mišice</w:t>
            </w:r>
          </w:p>
        </w:tc>
      </w:tr>
      <w:tr w:rsidR="00822332" w:rsidRPr="005E4BEA" w14:paraId="5CE75752" w14:textId="77777777" w:rsidTr="0016774B">
        <w:trPr>
          <w:trHeight w:val="227"/>
        </w:trPr>
        <w:tc>
          <w:tcPr>
            <w:tcW w:w="426" w:type="dxa"/>
          </w:tcPr>
          <w:p w14:paraId="5769B42A" w14:textId="77777777" w:rsidR="00822332" w:rsidRPr="005E4BEA" w:rsidRDefault="00822332" w:rsidP="0016774B">
            <w:pPr>
              <w:autoSpaceDE w:val="0"/>
              <w:autoSpaceDN w:val="0"/>
              <w:adjustRightInd w:val="0"/>
              <w:spacing w:line="240" w:lineRule="auto"/>
              <w:jc w:val="both"/>
              <w:rPr>
                <w:rFonts w:cs="Arial"/>
                <w:szCs w:val="20"/>
              </w:rPr>
            </w:pPr>
          </w:p>
        </w:tc>
        <w:tc>
          <w:tcPr>
            <w:tcW w:w="1275" w:type="dxa"/>
          </w:tcPr>
          <w:p w14:paraId="0D3198FC" w14:textId="77777777" w:rsidR="00822332" w:rsidRPr="005E4BEA" w:rsidRDefault="00822332" w:rsidP="0016774B">
            <w:pPr>
              <w:autoSpaceDE w:val="0"/>
              <w:autoSpaceDN w:val="0"/>
              <w:adjustRightInd w:val="0"/>
              <w:spacing w:line="240" w:lineRule="auto"/>
              <w:jc w:val="both"/>
              <w:rPr>
                <w:rFonts w:cs="Arial"/>
                <w:szCs w:val="20"/>
              </w:rPr>
            </w:pPr>
          </w:p>
        </w:tc>
        <w:tc>
          <w:tcPr>
            <w:tcW w:w="6663" w:type="dxa"/>
          </w:tcPr>
          <w:p w14:paraId="42C6BA56" w14:textId="77777777" w:rsidR="00822332" w:rsidRPr="005E4BEA" w:rsidRDefault="00822332" w:rsidP="0016774B">
            <w:pPr>
              <w:autoSpaceDE w:val="0"/>
              <w:autoSpaceDN w:val="0"/>
              <w:adjustRightInd w:val="0"/>
              <w:spacing w:line="240" w:lineRule="auto"/>
              <w:jc w:val="both"/>
              <w:rPr>
                <w:rFonts w:cs="Arial"/>
                <w:szCs w:val="20"/>
              </w:rPr>
            </w:pPr>
          </w:p>
        </w:tc>
      </w:tr>
    </w:tbl>
    <w:p w14:paraId="301F1FE1" w14:textId="70D3DC8F" w:rsidR="00830452" w:rsidRPr="005E4BEA" w:rsidRDefault="00830452" w:rsidP="00822332">
      <w:pPr>
        <w:jc w:val="both"/>
        <w:rPr>
          <w:rFonts w:cs="Arial"/>
          <w:szCs w:val="20"/>
        </w:rPr>
      </w:pPr>
    </w:p>
    <w:p w14:paraId="3516B4A9" w14:textId="77777777" w:rsidR="00830452" w:rsidRPr="005E4BEA" w:rsidRDefault="00830452" w:rsidP="00830452">
      <w:pPr>
        <w:spacing w:line="240" w:lineRule="exact"/>
        <w:jc w:val="both"/>
        <w:rPr>
          <w:rFonts w:cs="Arial"/>
          <w:szCs w:val="20"/>
        </w:rPr>
      </w:pPr>
      <w:r w:rsidRPr="005E4BEA">
        <w:rPr>
          <w:rFonts w:cs="Arial"/>
          <w:szCs w:val="20"/>
        </w:rPr>
        <w:t>Spremembe veljajo od 1. 7. 2022 naprej.</w:t>
      </w:r>
    </w:p>
    <w:p w14:paraId="788744F4" w14:textId="431D7A88" w:rsidR="00830452" w:rsidRPr="005E4BEA" w:rsidRDefault="00830452" w:rsidP="00830452">
      <w:pPr>
        <w:autoSpaceDE w:val="0"/>
        <w:autoSpaceDN w:val="0"/>
        <w:adjustRightInd w:val="0"/>
        <w:spacing w:line="0" w:lineRule="atLeast"/>
        <w:jc w:val="both"/>
        <w:rPr>
          <w:rFonts w:eastAsia="Arial Narrow" w:cs="Arial"/>
          <w:szCs w:val="20"/>
        </w:rPr>
      </w:pPr>
    </w:p>
    <w:p w14:paraId="786D35A1" w14:textId="77777777" w:rsidR="00830452" w:rsidRPr="005E4BEA" w:rsidRDefault="00830452" w:rsidP="00830452">
      <w:pPr>
        <w:spacing w:line="0" w:lineRule="atLeast"/>
        <w:jc w:val="both"/>
        <w:rPr>
          <w:rFonts w:eastAsia="Arial Narrow" w:cs="Arial"/>
          <w:szCs w:val="20"/>
          <w:lang w:eastAsia="sl-SI"/>
        </w:rPr>
      </w:pPr>
    </w:p>
    <w:p w14:paraId="38BE2B7F" w14:textId="34A404B7" w:rsidR="00CA53DE" w:rsidRPr="005E4BEA" w:rsidRDefault="00830452" w:rsidP="00CA53DE">
      <w:pPr>
        <w:spacing w:line="240" w:lineRule="auto"/>
        <w:jc w:val="both"/>
        <w:rPr>
          <w:rFonts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37" w:name="_Hlk102466951"/>
      <w:r w:rsidRPr="005E4BEA">
        <w:rPr>
          <w:rFonts w:eastAsia="Arial Narrow" w:cs="Arial"/>
          <w:szCs w:val="20"/>
        </w:rPr>
        <w:t>da</w:t>
      </w:r>
      <w:r w:rsidRPr="005E4BEA">
        <w:rPr>
          <w:rFonts w:eastAsia="Arial Narrow" w:cs="Arial"/>
          <w:b/>
          <w:szCs w:val="20"/>
        </w:rPr>
        <w:t xml:space="preserve"> </w:t>
      </w:r>
      <w:r w:rsidR="00CA53DE" w:rsidRPr="005E4BEA">
        <w:rPr>
          <w:rFonts w:eastAsia="Arial Narrow" w:cs="Arial"/>
          <w:szCs w:val="20"/>
        </w:rPr>
        <w:t>se</w:t>
      </w:r>
      <w:r w:rsidR="00CA53DE" w:rsidRPr="005E4BEA">
        <w:rPr>
          <w:rFonts w:eastAsia="Arial Narrow" w:cs="Arial"/>
          <w:bCs/>
          <w:szCs w:val="20"/>
        </w:rPr>
        <w:t xml:space="preserve"> v</w:t>
      </w:r>
      <w:r w:rsidR="00CA53DE" w:rsidRPr="005E4BEA">
        <w:rPr>
          <w:rFonts w:cs="Arial"/>
          <w:bCs/>
          <w:szCs w:val="20"/>
        </w:rPr>
        <w:t xml:space="preserve"> 24. členu v petem odstavku doda nova točka, ki se glasi:</w:t>
      </w:r>
    </w:p>
    <w:p w14:paraId="72976C38" w14:textId="77777777" w:rsidR="00CA53DE" w:rsidRPr="005E4BEA" w:rsidRDefault="00CA53DE" w:rsidP="00CA53DE">
      <w:pPr>
        <w:spacing w:line="240" w:lineRule="auto"/>
        <w:jc w:val="both"/>
        <w:rPr>
          <w:rFonts w:cs="Arial"/>
          <w:bCs/>
          <w:szCs w:val="20"/>
        </w:rPr>
      </w:pPr>
    </w:p>
    <w:tbl>
      <w:tblPr>
        <w:tblW w:w="8804" w:type="dxa"/>
        <w:tblInd w:w="6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70" w:type="dxa"/>
          <w:right w:w="70" w:type="dxa"/>
        </w:tblCellMar>
        <w:tblLook w:val="04A0" w:firstRow="1" w:lastRow="0" w:firstColumn="1" w:lastColumn="0" w:noHBand="0" w:noVBand="1"/>
      </w:tblPr>
      <w:tblGrid>
        <w:gridCol w:w="3012"/>
        <w:gridCol w:w="1893"/>
        <w:gridCol w:w="1404"/>
        <w:gridCol w:w="1064"/>
        <w:gridCol w:w="1431"/>
      </w:tblGrid>
      <w:tr w:rsidR="00C46AD7" w:rsidRPr="005E4BEA" w14:paraId="51E2590F" w14:textId="77777777" w:rsidTr="00F40403">
        <w:trPr>
          <w:trHeight w:hRule="exact" w:val="33"/>
        </w:trPr>
        <w:tc>
          <w:tcPr>
            <w:tcW w:w="3012" w:type="dxa"/>
            <w:vMerge w:val="restart"/>
            <w:shd w:val="clear" w:color="auto" w:fill="auto"/>
            <w:vAlign w:val="center"/>
            <w:hideMark/>
          </w:tcPr>
          <w:p w14:paraId="4526D54C" w14:textId="77777777" w:rsidR="00C46AD7" w:rsidRPr="005E4BEA" w:rsidRDefault="00C46AD7" w:rsidP="00F40403">
            <w:pPr>
              <w:spacing w:after="120" w:line="240" w:lineRule="auto"/>
              <w:jc w:val="both"/>
              <w:rPr>
                <w:rFonts w:eastAsia="Arial Narrow" w:cs="Arial"/>
                <w:b/>
                <w:szCs w:val="20"/>
              </w:rPr>
            </w:pPr>
            <w:r w:rsidRPr="005E4BEA">
              <w:rPr>
                <w:rFonts w:eastAsia="Arial Narrow" w:cs="Arial"/>
                <w:b/>
                <w:szCs w:val="20"/>
              </w:rPr>
              <w:t>P   r   o   g   r   a   m</w:t>
            </w:r>
          </w:p>
        </w:tc>
        <w:tc>
          <w:tcPr>
            <w:tcW w:w="1893" w:type="dxa"/>
            <w:vMerge w:val="restart"/>
            <w:shd w:val="clear" w:color="auto" w:fill="auto"/>
            <w:vAlign w:val="center"/>
            <w:hideMark/>
          </w:tcPr>
          <w:p w14:paraId="7DD193CE" w14:textId="77777777" w:rsidR="00C46AD7" w:rsidRPr="005E4BEA" w:rsidRDefault="00C46AD7" w:rsidP="00F40403">
            <w:pPr>
              <w:spacing w:after="120" w:line="240" w:lineRule="auto"/>
              <w:jc w:val="both"/>
              <w:rPr>
                <w:rFonts w:eastAsia="Arial Narrow" w:cs="Arial"/>
                <w:b/>
                <w:szCs w:val="20"/>
              </w:rPr>
            </w:pPr>
            <w:r w:rsidRPr="005E4BEA">
              <w:rPr>
                <w:rFonts w:eastAsia="Arial Narrow" w:cs="Arial"/>
                <w:b/>
                <w:szCs w:val="20"/>
              </w:rPr>
              <w:t xml:space="preserve">I z v a j a l e c </w:t>
            </w:r>
            <w:r w:rsidRPr="005E4BEA">
              <w:rPr>
                <w:rFonts w:eastAsia="Arial Narrow" w:cs="Arial"/>
                <w:b/>
                <w:szCs w:val="20"/>
              </w:rPr>
              <w:br/>
            </w:r>
          </w:p>
        </w:tc>
        <w:tc>
          <w:tcPr>
            <w:tcW w:w="1404" w:type="dxa"/>
            <w:vMerge w:val="restart"/>
            <w:shd w:val="clear" w:color="auto" w:fill="auto"/>
            <w:vAlign w:val="center"/>
            <w:hideMark/>
          </w:tcPr>
          <w:p w14:paraId="6C2045D0" w14:textId="77777777" w:rsidR="00C46AD7" w:rsidRPr="005E4BEA" w:rsidRDefault="00C46AD7" w:rsidP="00F40403">
            <w:pPr>
              <w:spacing w:after="120" w:line="240" w:lineRule="auto"/>
              <w:jc w:val="both"/>
              <w:rPr>
                <w:rFonts w:eastAsia="Arial Narrow" w:cs="Arial"/>
                <w:b/>
                <w:szCs w:val="20"/>
              </w:rPr>
            </w:pPr>
            <w:r w:rsidRPr="005E4BEA">
              <w:rPr>
                <w:rFonts w:eastAsia="Arial Narrow" w:cs="Arial"/>
                <w:b/>
                <w:szCs w:val="20"/>
              </w:rPr>
              <w:t>Obseg programa</w:t>
            </w:r>
          </w:p>
        </w:tc>
        <w:tc>
          <w:tcPr>
            <w:tcW w:w="1064" w:type="dxa"/>
            <w:vMerge w:val="restart"/>
            <w:shd w:val="clear" w:color="auto" w:fill="auto"/>
            <w:vAlign w:val="center"/>
            <w:hideMark/>
          </w:tcPr>
          <w:p w14:paraId="2D231FB2" w14:textId="77777777" w:rsidR="00C46AD7" w:rsidRPr="005E4BEA" w:rsidRDefault="00C46AD7" w:rsidP="00F40403">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na letni ravni</w:t>
            </w:r>
            <w:r w:rsidRPr="005E4BEA">
              <w:rPr>
                <w:rFonts w:eastAsia="Arial Narrow" w:cs="Arial"/>
                <w:b/>
                <w:szCs w:val="20"/>
              </w:rPr>
              <w:br/>
              <w:t>(v EUR)</w:t>
            </w:r>
          </w:p>
        </w:tc>
        <w:tc>
          <w:tcPr>
            <w:tcW w:w="1431" w:type="dxa"/>
            <w:vMerge w:val="restart"/>
            <w:shd w:val="clear" w:color="auto" w:fill="auto"/>
            <w:vAlign w:val="center"/>
            <w:hideMark/>
          </w:tcPr>
          <w:p w14:paraId="3783AF21" w14:textId="77777777" w:rsidR="00C46AD7" w:rsidRPr="005E4BEA" w:rsidRDefault="00C46AD7" w:rsidP="00F40403">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1.1.-31.12.2022</w:t>
            </w:r>
            <w:r w:rsidRPr="005E4BEA">
              <w:rPr>
                <w:rFonts w:eastAsia="Arial Narrow" w:cs="Arial"/>
                <w:b/>
                <w:szCs w:val="20"/>
              </w:rPr>
              <w:br/>
              <w:t>(v EUR)</w:t>
            </w:r>
          </w:p>
        </w:tc>
      </w:tr>
      <w:tr w:rsidR="00C46AD7" w:rsidRPr="005E4BEA" w14:paraId="352728F2" w14:textId="77777777" w:rsidTr="00F40403">
        <w:trPr>
          <w:trHeight w:hRule="exact" w:val="33"/>
        </w:trPr>
        <w:tc>
          <w:tcPr>
            <w:tcW w:w="3012" w:type="dxa"/>
            <w:vMerge/>
            <w:shd w:val="clear" w:color="auto" w:fill="auto"/>
            <w:vAlign w:val="center"/>
          </w:tcPr>
          <w:p w14:paraId="737F66A5" w14:textId="77777777" w:rsidR="00C46AD7" w:rsidRPr="005E4BEA" w:rsidRDefault="00C46AD7" w:rsidP="00F40403">
            <w:pPr>
              <w:spacing w:after="120" w:line="240" w:lineRule="auto"/>
              <w:jc w:val="both"/>
              <w:rPr>
                <w:rFonts w:eastAsia="Arial Narrow" w:cs="Arial"/>
                <w:b/>
                <w:szCs w:val="20"/>
              </w:rPr>
            </w:pPr>
          </w:p>
        </w:tc>
        <w:tc>
          <w:tcPr>
            <w:tcW w:w="1893" w:type="dxa"/>
            <w:vMerge/>
            <w:shd w:val="clear" w:color="auto" w:fill="auto"/>
            <w:vAlign w:val="center"/>
          </w:tcPr>
          <w:p w14:paraId="7991ABBE" w14:textId="77777777" w:rsidR="00C46AD7" w:rsidRPr="005E4BEA" w:rsidRDefault="00C46AD7" w:rsidP="00F40403">
            <w:pPr>
              <w:spacing w:after="120" w:line="240" w:lineRule="auto"/>
              <w:jc w:val="both"/>
              <w:rPr>
                <w:rFonts w:eastAsia="Arial Narrow" w:cs="Arial"/>
                <w:b/>
                <w:szCs w:val="20"/>
              </w:rPr>
            </w:pPr>
          </w:p>
        </w:tc>
        <w:tc>
          <w:tcPr>
            <w:tcW w:w="1404" w:type="dxa"/>
            <w:vMerge/>
            <w:shd w:val="clear" w:color="auto" w:fill="auto"/>
            <w:vAlign w:val="center"/>
          </w:tcPr>
          <w:p w14:paraId="64769620" w14:textId="77777777" w:rsidR="00C46AD7" w:rsidRPr="005E4BEA" w:rsidRDefault="00C46AD7" w:rsidP="00F40403">
            <w:pPr>
              <w:spacing w:after="120" w:line="240" w:lineRule="auto"/>
              <w:jc w:val="both"/>
              <w:rPr>
                <w:rFonts w:eastAsia="Arial Narrow" w:cs="Arial"/>
                <w:b/>
                <w:szCs w:val="20"/>
              </w:rPr>
            </w:pPr>
          </w:p>
        </w:tc>
        <w:tc>
          <w:tcPr>
            <w:tcW w:w="1064" w:type="dxa"/>
            <w:vMerge/>
            <w:shd w:val="clear" w:color="auto" w:fill="auto"/>
            <w:vAlign w:val="center"/>
          </w:tcPr>
          <w:p w14:paraId="346A3E70" w14:textId="77777777" w:rsidR="00C46AD7" w:rsidRPr="005E4BEA" w:rsidRDefault="00C46AD7" w:rsidP="00F40403">
            <w:pPr>
              <w:spacing w:after="120" w:line="240" w:lineRule="auto"/>
              <w:jc w:val="right"/>
              <w:rPr>
                <w:rFonts w:eastAsia="Arial Narrow" w:cs="Arial"/>
                <w:b/>
                <w:szCs w:val="20"/>
              </w:rPr>
            </w:pPr>
          </w:p>
        </w:tc>
        <w:tc>
          <w:tcPr>
            <w:tcW w:w="1431" w:type="dxa"/>
            <w:vMerge/>
            <w:shd w:val="clear" w:color="auto" w:fill="auto"/>
            <w:vAlign w:val="center"/>
          </w:tcPr>
          <w:p w14:paraId="6AEA2F58" w14:textId="77777777" w:rsidR="00C46AD7" w:rsidRPr="005E4BEA" w:rsidRDefault="00C46AD7" w:rsidP="00F40403">
            <w:pPr>
              <w:spacing w:after="120" w:line="240" w:lineRule="auto"/>
              <w:jc w:val="right"/>
              <w:rPr>
                <w:rFonts w:eastAsia="Arial Narrow" w:cs="Arial"/>
                <w:b/>
                <w:szCs w:val="20"/>
              </w:rPr>
            </w:pPr>
          </w:p>
        </w:tc>
      </w:tr>
      <w:tr w:rsidR="00C46AD7" w:rsidRPr="005E4BEA" w14:paraId="3B1FE464" w14:textId="77777777" w:rsidTr="00F40403">
        <w:trPr>
          <w:trHeight w:hRule="exact" w:val="33"/>
        </w:trPr>
        <w:tc>
          <w:tcPr>
            <w:tcW w:w="3012" w:type="dxa"/>
            <w:vMerge/>
            <w:shd w:val="clear" w:color="auto" w:fill="auto"/>
            <w:vAlign w:val="center"/>
          </w:tcPr>
          <w:p w14:paraId="3A5AADFF" w14:textId="77777777" w:rsidR="00C46AD7" w:rsidRPr="005E4BEA" w:rsidRDefault="00C46AD7" w:rsidP="00F40403">
            <w:pPr>
              <w:spacing w:after="120" w:line="240" w:lineRule="auto"/>
              <w:jc w:val="both"/>
              <w:rPr>
                <w:rFonts w:eastAsia="Arial Narrow" w:cs="Arial"/>
                <w:b/>
                <w:szCs w:val="20"/>
              </w:rPr>
            </w:pPr>
          </w:p>
        </w:tc>
        <w:tc>
          <w:tcPr>
            <w:tcW w:w="1893" w:type="dxa"/>
            <w:vMerge/>
            <w:shd w:val="clear" w:color="auto" w:fill="auto"/>
            <w:vAlign w:val="center"/>
          </w:tcPr>
          <w:p w14:paraId="43D1E08F" w14:textId="77777777" w:rsidR="00C46AD7" w:rsidRPr="005E4BEA" w:rsidRDefault="00C46AD7" w:rsidP="00F40403">
            <w:pPr>
              <w:spacing w:after="120" w:line="240" w:lineRule="auto"/>
              <w:jc w:val="both"/>
              <w:rPr>
                <w:rFonts w:eastAsia="Arial Narrow" w:cs="Arial"/>
                <w:b/>
                <w:szCs w:val="20"/>
              </w:rPr>
            </w:pPr>
          </w:p>
        </w:tc>
        <w:tc>
          <w:tcPr>
            <w:tcW w:w="1404" w:type="dxa"/>
            <w:vMerge/>
            <w:shd w:val="clear" w:color="auto" w:fill="auto"/>
            <w:vAlign w:val="center"/>
          </w:tcPr>
          <w:p w14:paraId="65A0AE61" w14:textId="77777777" w:rsidR="00C46AD7" w:rsidRPr="005E4BEA" w:rsidRDefault="00C46AD7" w:rsidP="00F40403">
            <w:pPr>
              <w:spacing w:after="120" w:line="240" w:lineRule="auto"/>
              <w:jc w:val="both"/>
              <w:rPr>
                <w:rFonts w:eastAsia="Arial Narrow" w:cs="Arial"/>
                <w:b/>
                <w:szCs w:val="20"/>
              </w:rPr>
            </w:pPr>
          </w:p>
        </w:tc>
        <w:tc>
          <w:tcPr>
            <w:tcW w:w="1064" w:type="dxa"/>
            <w:vMerge/>
            <w:shd w:val="clear" w:color="auto" w:fill="auto"/>
            <w:vAlign w:val="center"/>
          </w:tcPr>
          <w:p w14:paraId="604EB6AC" w14:textId="77777777" w:rsidR="00C46AD7" w:rsidRPr="005E4BEA" w:rsidRDefault="00C46AD7" w:rsidP="00F40403">
            <w:pPr>
              <w:spacing w:after="120" w:line="240" w:lineRule="auto"/>
              <w:jc w:val="right"/>
              <w:rPr>
                <w:rFonts w:eastAsia="Arial Narrow" w:cs="Arial"/>
                <w:b/>
                <w:szCs w:val="20"/>
              </w:rPr>
            </w:pPr>
          </w:p>
        </w:tc>
        <w:tc>
          <w:tcPr>
            <w:tcW w:w="1431" w:type="dxa"/>
            <w:vMerge/>
            <w:shd w:val="clear" w:color="auto" w:fill="auto"/>
            <w:vAlign w:val="center"/>
          </w:tcPr>
          <w:p w14:paraId="46C2D2DB" w14:textId="77777777" w:rsidR="00C46AD7" w:rsidRPr="005E4BEA" w:rsidRDefault="00C46AD7" w:rsidP="00F40403">
            <w:pPr>
              <w:spacing w:after="120" w:line="240" w:lineRule="auto"/>
              <w:jc w:val="right"/>
              <w:rPr>
                <w:rFonts w:eastAsia="Arial Narrow" w:cs="Arial"/>
                <w:b/>
                <w:szCs w:val="20"/>
              </w:rPr>
            </w:pPr>
          </w:p>
        </w:tc>
      </w:tr>
      <w:tr w:rsidR="00C46AD7" w:rsidRPr="005E4BEA" w14:paraId="0BEC7C26" w14:textId="77777777" w:rsidTr="00F40403">
        <w:trPr>
          <w:trHeight w:val="849"/>
        </w:trPr>
        <w:tc>
          <w:tcPr>
            <w:tcW w:w="3012" w:type="dxa"/>
            <w:vMerge/>
            <w:vAlign w:val="center"/>
            <w:hideMark/>
          </w:tcPr>
          <w:p w14:paraId="51899915" w14:textId="77777777" w:rsidR="00C46AD7" w:rsidRPr="005E4BEA" w:rsidRDefault="00C46AD7" w:rsidP="00F40403">
            <w:pPr>
              <w:spacing w:after="120" w:line="240" w:lineRule="auto"/>
              <w:jc w:val="both"/>
              <w:rPr>
                <w:rFonts w:eastAsia="Arial Narrow" w:cs="Arial"/>
                <w:szCs w:val="20"/>
              </w:rPr>
            </w:pPr>
          </w:p>
        </w:tc>
        <w:tc>
          <w:tcPr>
            <w:tcW w:w="1893" w:type="dxa"/>
            <w:vMerge/>
            <w:vAlign w:val="center"/>
            <w:hideMark/>
          </w:tcPr>
          <w:p w14:paraId="26C2A2C8" w14:textId="77777777" w:rsidR="00C46AD7" w:rsidRPr="005E4BEA" w:rsidRDefault="00C46AD7" w:rsidP="00F40403">
            <w:pPr>
              <w:spacing w:after="120" w:line="240" w:lineRule="auto"/>
              <w:jc w:val="both"/>
              <w:rPr>
                <w:rFonts w:eastAsia="Arial Narrow" w:cs="Arial"/>
                <w:szCs w:val="20"/>
              </w:rPr>
            </w:pPr>
          </w:p>
        </w:tc>
        <w:tc>
          <w:tcPr>
            <w:tcW w:w="1404" w:type="dxa"/>
            <w:vMerge/>
            <w:vAlign w:val="center"/>
            <w:hideMark/>
          </w:tcPr>
          <w:p w14:paraId="13EB9891" w14:textId="77777777" w:rsidR="00C46AD7" w:rsidRPr="005E4BEA" w:rsidRDefault="00C46AD7" w:rsidP="00F40403">
            <w:pPr>
              <w:spacing w:after="120" w:line="240" w:lineRule="auto"/>
              <w:jc w:val="both"/>
              <w:rPr>
                <w:rFonts w:eastAsia="Arial Narrow" w:cs="Arial"/>
                <w:szCs w:val="20"/>
              </w:rPr>
            </w:pPr>
          </w:p>
        </w:tc>
        <w:tc>
          <w:tcPr>
            <w:tcW w:w="1064" w:type="dxa"/>
            <w:vMerge/>
            <w:vAlign w:val="center"/>
            <w:hideMark/>
          </w:tcPr>
          <w:p w14:paraId="5048B835" w14:textId="77777777" w:rsidR="00C46AD7" w:rsidRPr="005E4BEA" w:rsidRDefault="00C46AD7" w:rsidP="00F40403">
            <w:pPr>
              <w:spacing w:after="120" w:line="240" w:lineRule="auto"/>
              <w:jc w:val="right"/>
              <w:rPr>
                <w:rFonts w:eastAsia="Arial Narrow" w:cs="Arial"/>
                <w:szCs w:val="20"/>
              </w:rPr>
            </w:pPr>
          </w:p>
        </w:tc>
        <w:tc>
          <w:tcPr>
            <w:tcW w:w="1431" w:type="dxa"/>
            <w:vMerge/>
            <w:vAlign w:val="center"/>
            <w:hideMark/>
          </w:tcPr>
          <w:p w14:paraId="10CFB8AD" w14:textId="77777777" w:rsidR="00C46AD7" w:rsidRPr="005E4BEA" w:rsidRDefault="00C46AD7" w:rsidP="00F40403">
            <w:pPr>
              <w:spacing w:after="120" w:line="240" w:lineRule="auto"/>
              <w:jc w:val="right"/>
              <w:rPr>
                <w:rFonts w:eastAsia="Arial Narrow" w:cs="Arial"/>
                <w:szCs w:val="20"/>
              </w:rPr>
            </w:pPr>
          </w:p>
        </w:tc>
      </w:tr>
      <w:tr w:rsidR="00C46AD7" w:rsidRPr="005E4BEA" w14:paraId="23EF803B" w14:textId="77777777" w:rsidTr="00F40403">
        <w:trPr>
          <w:trHeight w:hRule="exact" w:val="342"/>
        </w:trPr>
        <w:tc>
          <w:tcPr>
            <w:tcW w:w="3012" w:type="dxa"/>
            <w:vMerge/>
            <w:vAlign w:val="center"/>
            <w:hideMark/>
          </w:tcPr>
          <w:p w14:paraId="0A63733B" w14:textId="77777777" w:rsidR="00C46AD7" w:rsidRPr="005E4BEA" w:rsidRDefault="00C46AD7" w:rsidP="00F40403">
            <w:pPr>
              <w:spacing w:after="120" w:line="240" w:lineRule="auto"/>
              <w:jc w:val="both"/>
              <w:rPr>
                <w:rFonts w:eastAsia="Arial Narrow" w:cs="Arial"/>
                <w:szCs w:val="20"/>
              </w:rPr>
            </w:pPr>
          </w:p>
        </w:tc>
        <w:tc>
          <w:tcPr>
            <w:tcW w:w="1893" w:type="dxa"/>
            <w:vMerge/>
            <w:vAlign w:val="center"/>
            <w:hideMark/>
          </w:tcPr>
          <w:p w14:paraId="24486578" w14:textId="77777777" w:rsidR="00C46AD7" w:rsidRPr="005E4BEA" w:rsidRDefault="00C46AD7" w:rsidP="00F40403">
            <w:pPr>
              <w:spacing w:after="120" w:line="240" w:lineRule="auto"/>
              <w:jc w:val="both"/>
              <w:rPr>
                <w:rFonts w:eastAsia="Arial Narrow" w:cs="Arial"/>
                <w:szCs w:val="20"/>
              </w:rPr>
            </w:pPr>
          </w:p>
        </w:tc>
        <w:tc>
          <w:tcPr>
            <w:tcW w:w="1404" w:type="dxa"/>
            <w:vMerge/>
            <w:vAlign w:val="center"/>
            <w:hideMark/>
          </w:tcPr>
          <w:p w14:paraId="08696791" w14:textId="77777777" w:rsidR="00C46AD7" w:rsidRPr="005E4BEA" w:rsidRDefault="00C46AD7" w:rsidP="00F40403">
            <w:pPr>
              <w:spacing w:after="120" w:line="240" w:lineRule="auto"/>
              <w:jc w:val="both"/>
              <w:rPr>
                <w:rFonts w:eastAsia="Arial Narrow" w:cs="Arial"/>
                <w:szCs w:val="20"/>
              </w:rPr>
            </w:pPr>
          </w:p>
        </w:tc>
        <w:tc>
          <w:tcPr>
            <w:tcW w:w="1064" w:type="dxa"/>
            <w:vMerge/>
            <w:tcBorders>
              <w:bottom w:val="single" w:sz="4" w:space="0" w:color="0070C0"/>
            </w:tcBorders>
            <w:vAlign w:val="center"/>
            <w:hideMark/>
          </w:tcPr>
          <w:p w14:paraId="4EB6D747" w14:textId="77777777" w:rsidR="00C46AD7" w:rsidRPr="005E4BEA" w:rsidRDefault="00C46AD7" w:rsidP="00F40403">
            <w:pPr>
              <w:spacing w:after="120" w:line="240" w:lineRule="auto"/>
              <w:jc w:val="right"/>
              <w:rPr>
                <w:rFonts w:eastAsia="Arial Narrow" w:cs="Arial"/>
                <w:szCs w:val="20"/>
              </w:rPr>
            </w:pPr>
          </w:p>
        </w:tc>
        <w:tc>
          <w:tcPr>
            <w:tcW w:w="1431" w:type="dxa"/>
            <w:vMerge/>
            <w:tcBorders>
              <w:bottom w:val="single" w:sz="4" w:space="0" w:color="0070C0"/>
            </w:tcBorders>
            <w:vAlign w:val="center"/>
            <w:hideMark/>
          </w:tcPr>
          <w:p w14:paraId="576DA212" w14:textId="77777777" w:rsidR="00C46AD7" w:rsidRPr="005E4BEA" w:rsidRDefault="00C46AD7" w:rsidP="00F40403">
            <w:pPr>
              <w:spacing w:after="120" w:line="240" w:lineRule="auto"/>
              <w:jc w:val="right"/>
              <w:rPr>
                <w:rFonts w:eastAsia="Arial Narrow" w:cs="Arial"/>
                <w:szCs w:val="20"/>
              </w:rPr>
            </w:pPr>
          </w:p>
        </w:tc>
      </w:tr>
      <w:tr w:rsidR="00C46AD7" w:rsidRPr="005E4BEA" w14:paraId="323B8FAE" w14:textId="77777777" w:rsidTr="00C46AD7">
        <w:trPr>
          <w:trHeight w:hRule="exact" w:val="1160"/>
        </w:trPr>
        <w:tc>
          <w:tcPr>
            <w:tcW w:w="3012" w:type="dxa"/>
            <w:shd w:val="clear" w:color="auto" w:fill="auto"/>
          </w:tcPr>
          <w:p w14:paraId="36171C4B" w14:textId="77777777" w:rsidR="00C46AD7" w:rsidRPr="005E4BEA" w:rsidRDefault="00C46AD7" w:rsidP="00F40403">
            <w:pPr>
              <w:spacing w:line="240" w:lineRule="exact"/>
              <w:jc w:val="both"/>
              <w:rPr>
                <w:rFonts w:eastAsia="Arial Narrow" w:cs="Arial"/>
                <w:szCs w:val="20"/>
              </w:rPr>
            </w:pPr>
            <w:r w:rsidRPr="005E4BEA">
              <w:rPr>
                <w:rFonts w:eastAsia="Arial Narrow" w:cs="Arial"/>
                <w:szCs w:val="20"/>
              </w:rPr>
              <w:t>Dodatek za poseg katetrske ablacije aritmij</w:t>
            </w:r>
          </w:p>
          <w:p w14:paraId="2FA54050" w14:textId="77777777" w:rsidR="00C46AD7" w:rsidRPr="005E4BEA" w:rsidRDefault="00C46AD7" w:rsidP="00F40403">
            <w:pPr>
              <w:spacing w:line="240" w:lineRule="exact"/>
              <w:jc w:val="both"/>
              <w:rPr>
                <w:rFonts w:eastAsia="Arial Narrow" w:cs="Arial"/>
                <w:szCs w:val="20"/>
              </w:rPr>
            </w:pPr>
            <w:r w:rsidRPr="005E4BEA">
              <w:rPr>
                <w:rFonts w:eastAsia="Arial Narrow" w:cs="Arial"/>
                <w:szCs w:val="20"/>
              </w:rPr>
              <w:t>Od 1. 7. 2022</w:t>
            </w:r>
          </w:p>
        </w:tc>
        <w:tc>
          <w:tcPr>
            <w:tcW w:w="1893" w:type="dxa"/>
            <w:shd w:val="clear" w:color="auto" w:fill="auto"/>
          </w:tcPr>
          <w:p w14:paraId="71A11972" w14:textId="77777777" w:rsidR="00C46AD7" w:rsidRPr="005E4BEA" w:rsidRDefault="00C46AD7" w:rsidP="00F40403">
            <w:pPr>
              <w:spacing w:line="240" w:lineRule="auto"/>
              <w:jc w:val="both"/>
              <w:rPr>
                <w:rFonts w:eastAsia="Arial Narrow" w:cs="Arial"/>
                <w:szCs w:val="20"/>
              </w:rPr>
            </w:pPr>
          </w:p>
          <w:p w14:paraId="4C5A2931"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UKC Ljubljana</w:t>
            </w:r>
          </w:p>
          <w:p w14:paraId="39EB2387"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UKC Maribor</w:t>
            </w:r>
          </w:p>
          <w:p w14:paraId="0CBECD02"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 xml:space="preserve">SB Izola </w:t>
            </w:r>
          </w:p>
          <w:p w14:paraId="0ECB8CD6"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SB Celje</w:t>
            </w:r>
          </w:p>
        </w:tc>
        <w:tc>
          <w:tcPr>
            <w:tcW w:w="1404" w:type="dxa"/>
            <w:tcBorders>
              <w:right w:val="single" w:sz="4" w:space="0" w:color="0070C0"/>
            </w:tcBorders>
            <w:shd w:val="clear" w:color="auto" w:fill="auto"/>
            <w:noWrap/>
          </w:tcPr>
          <w:p w14:paraId="31E6AFAE"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986 dodatkov</w:t>
            </w:r>
          </w:p>
          <w:p w14:paraId="79EE7A0D"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744</w:t>
            </w:r>
          </w:p>
          <w:p w14:paraId="4CCD4EBD"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138</w:t>
            </w:r>
          </w:p>
          <w:p w14:paraId="7B5298F9"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54</w:t>
            </w:r>
          </w:p>
          <w:p w14:paraId="2AC39360" w14:textId="77777777" w:rsidR="00C46AD7" w:rsidRPr="005E4BEA" w:rsidRDefault="00C46AD7" w:rsidP="00F40403">
            <w:pPr>
              <w:spacing w:line="240" w:lineRule="auto"/>
              <w:jc w:val="both"/>
              <w:rPr>
                <w:rFonts w:eastAsia="Arial Narrow" w:cs="Arial"/>
                <w:szCs w:val="20"/>
              </w:rPr>
            </w:pPr>
            <w:r w:rsidRPr="005E4BEA">
              <w:rPr>
                <w:rFonts w:eastAsia="Arial Narrow" w:cs="Arial"/>
                <w:szCs w:val="20"/>
              </w:rPr>
              <w:t>50</w:t>
            </w:r>
          </w:p>
        </w:tc>
        <w:tc>
          <w:tcPr>
            <w:tcW w:w="1064" w:type="dxa"/>
            <w:tcBorders>
              <w:top w:val="single" w:sz="4" w:space="0" w:color="0070C0"/>
              <w:left w:val="single" w:sz="4" w:space="0" w:color="0070C0"/>
              <w:bottom w:val="single" w:sz="4" w:space="0" w:color="0070C0"/>
              <w:right w:val="single" w:sz="4" w:space="0" w:color="0070C0"/>
            </w:tcBorders>
            <w:noWrap/>
          </w:tcPr>
          <w:p w14:paraId="2BF99AB9" w14:textId="77777777" w:rsidR="00C46AD7" w:rsidRPr="005E4BEA" w:rsidRDefault="00C46AD7" w:rsidP="00F40403">
            <w:pPr>
              <w:spacing w:after="120" w:line="240" w:lineRule="auto"/>
              <w:jc w:val="right"/>
              <w:rPr>
                <w:rFonts w:eastAsia="Arial Narrow" w:cs="Arial"/>
                <w:color w:val="000000"/>
                <w:szCs w:val="20"/>
              </w:rPr>
            </w:pPr>
            <w:r w:rsidRPr="005E4BEA">
              <w:rPr>
                <w:rFonts w:cs="Arial"/>
                <w:color w:val="000000"/>
                <w:szCs w:val="20"/>
              </w:rPr>
              <w:t>5.373.700</w:t>
            </w:r>
          </w:p>
        </w:tc>
        <w:tc>
          <w:tcPr>
            <w:tcW w:w="1431" w:type="dxa"/>
            <w:tcBorders>
              <w:top w:val="single" w:sz="4" w:space="0" w:color="0070C0"/>
              <w:left w:val="single" w:sz="4" w:space="0" w:color="0070C0"/>
              <w:bottom w:val="single" w:sz="4" w:space="0" w:color="0070C0"/>
              <w:right w:val="single" w:sz="4" w:space="0" w:color="0070C0"/>
            </w:tcBorders>
            <w:noWrap/>
          </w:tcPr>
          <w:p w14:paraId="21B184AC" w14:textId="77777777" w:rsidR="00C46AD7" w:rsidRPr="005E4BEA" w:rsidRDefault="00C46AD7" w:rsidP="00F40403">
            <w:pPr>
              <w:spacing w:after="120" w:line="240" w:lineRule="auto"/>
              <w:jc w:val="right"/>
              <w:rPr>
                <w:rFonts w:eastAsia="Arial Narrow" w:cs="Arial"/>
                <w:color w:val="000000"/>
                <w:szCs w:val="20"/>
              </w:rPr>
            </w:pPr>
            <w:r w:rsidRPr="005E4BEA">
              <w:rPr>
                <w:rFonts w:cs="Arial"/>
                <w:color w:val="000000"/>
                <w:szCs w:val="20"/>
              </w:rPr>
              <w:t>2.686.850</w:t>
            </w:r>
          </w:p>
        </w:tc>
      </w:tr>
    </w:tbl>
    <w:p w14:paraId="61471A7F" w14:textId="77777777" w:rsidR="00C46AD7" w:rsidRPr="005E4BEA" w:rsidRDefault="00C46AD7" w:rsidP="00C46AD7">
      <w:pPr>
        <w:spacing w:line="120" w:lineRule="exact"/>
        <w:jc w:val="both"/>
        <w:rPr>
          <w:rFonts w:cs="Arial"/>
          <w:sz w:val="18"/>
          <w:szCs w:val="18"/>
        </w:rPr>
      </w:pPr>
    </w:p>
    <w:p w14:paraId="7FD0619C" w14:textId="407F3983" w:rsidR="00C46AD7" w:rsidRPr="005E4BEA" w:rsidRDefault="00C46AD7" w:rsidP="00C46AD7">
      <w:pPr>
        <w:spacing w:line="240" w:lineRule="auto"/>
        <w:jc w:val="both"/>
        <w:rPr>
          <w:rFonts w:cs="Arial"/>
          <w:color w:val="000000"/>
          <w:sz w:val="18"/>
          <w:szCs w:val="18"/>
        </w:rPr>
      </w:pPr>
      <w:r w:rsidRPr="005E4BEA">
        <w:rPr>
          <w:rFonts w:cs="Arial"/>
          <w:color w:val="000000"/>
          <w:sz w:val="18"/>
          <w:szCs w:val="18"/>
        </w:rPr>
        <w:t xml:space="preserve">Opomba: Izvajalec je upravičen do sredstev ko zagotovi usposobljenega nosilca dejavnosti – interventni kardiolog s </w:t>
      </w:r>
      <w:proofErr w:type="spellStart"/>
      <w:r w:rsidRPr="005E4BEA">
        <w:rPr>
          <w:rFonts w:cs="Arial"/>
          <w:color w:val="000000"/>
          <w:sz w:val="18"/>
          <w:szCs w:val="18"/>
        </w:rPr>
        <w:t>subspecialističnimi</w:t>
      </w:r>
      <w:proofErr w:type="spellEnd"/>
      <w:r w:rsidRPr="005E4BEA">
        <w:rPr>
          <w:rFonts w:cs="Arial"/>
          <w:color w:val="000000"/>
          <w:sz w:val="18"/>
          <w:szCs w:val="18"/>
        </w:rPr>
        <w:t xml:space="preserve"> znanji, ki ima opravljeno šest mesečno izobraževanje v centru, kjer se tovrstni posegi izvajajo v celotnem (vse vrste ablaci</w:t>
      </w:r>
      <w:r w:rsidR="0051508B">
        <w:rPr>
          <w:rFonts w:cs="Arial"/>
          <w:color w:val="000000"/>
          <w:sz w:val="18"/>
          <w:szCs w:val="18"/>
        </w:rPr>
        <w:t>j</w:t>
      </w:r>
      <w:r w:rsidRPr="005E4BEA">
        <w:rPr>
          <w:rFonts w:cs="Arial"/>
          <w:color w:val="000000"/>
          <w:sz w:val="18"/>
          <w:szCs w:val="18"/>
        </w:rPr>
        <w:t>) in zadostnem obsegu. Izvajalec mora zagotoviti u</w:t>
      </w:r>
      <w:r w:rsidR="0051508B">
        <w:rPr>
          <w:rFonts w:cs="Arial"/>
          <w:color w:val="000000"/>
          <w:sz w:val="18"/>
          <w:szCs w:val="18"/>
        </w:rPr>
        <w:t>s</w:t>
      </w:r>
      <w:r w:rsidRPr="005E4BEA">
        <w:rPr>
          <w:rFonts w:cs="Arial"/>
          <w:color w:val="000000"/>
          <w:sz w:val="18"/>
          <w:szCs w:val="18"/>
        </w:rPr>
        <w:t xml:space="preserve">trezen laboratorij, ki omogoča diagnostiko in zdravljenje vseh oblik ablacij.  </w:t>
      </w:r>
    </w:p>
    <w:p w14:paraId="2F620E78" w14:textId="6D77480A" w:rsidR="00CA53DE" w:rsidRPr="005E4BEA" w:rsidRDefault="00CA53DE" w:rsidP="00CA53DE">
      <w:pPr>
        <w:spacing w:line="240" w:lineRule="auto"/>
        <w:jc w:val="both"/>
        <w:rPr>
          <w:rFonts w:cs="Arial"/>
          <w:b/>
          <w:bCs/>
          <w:color w:val="000000"/>
          <w:szCs w:val="20"/>
        </w:rPr>
      </w:pPr>
    </w:p>
    <w:p w14:paraId="14139ACD" w14:textId="77777777" w:rsidR="00C46AD7" w:rsidRPr="005E4BEA" w:rsidRDefault="00C46AD7" w:rsidP="00CA53DE">
      <w:pPr>
        <w:spacing w:line="240" w:lineRule="auto"/>
        <w:jc w:val="both"/>
        <w:rPr>
          <w:rFonts w:cs="Arial"/>
          <w:b/>
          <w:bCs/>
          <w:color w:val="000000"/>
          <w:szCs w:val="20"/>
        </w:rPr>
      </w:pPr>
    </w:p>
    <w:p w14:paraId="5FD1E998" w14:textId="77777777" w:rsidR="00CA53DE" w:rsidRPr="005E4BEA" w:rsidRDefault="00CA53DE" w:rsidP="00CA53DE">
      <w:pPr>
        <w:spacing w:after="120" w:line="240" w:lineRule="auto"/>
        <w:jc w:val="both"/>
        <w:rPr>
          <w:rFonts w:cs="Arial"/>
          <w:b/>
          <w:bCs/>
          <w:color w:val="000000"/>
          <w:szCs w:val="20"/>
        </w:rPr>
      </w:pPr>
      <w:r w:rsidRPr="005E4BEA">
        <w:rPr>
          <w:rFonts w:cs="Arial"/>
          <w:b/>
          <w:bCs/>
          <w:color w:val="000000"/>
          <w:szCs w:val="20"/>
        </w:rPr>
        <w:t>V prilogi I/b se doda nova storitev, ki se glasi:</w:t>
      </w:r>
    </w:p>
    <w:tbl>
      <w:tblPr>
        <w:tblW w:w="821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607"/>
        <w:gridCol w:w="1075"/>
        <w:gridCol w:w="885"/>
        <w:gridCol w:w="3569"/>
        <w:gridCol w:w="1117"/>
        <w:gridCol w:w="964"/>
      </w:tblGrid>
      <w:tr w:rsidR="00CA53DE" w:rsidRPr="005E4BEA" w14:paraId="691C9071" w14:textId="77777777" w:rsidTr="0016774B">
        <w:trPr>
          <w:trHeight w:val="20"/>
        </w:trPr>
        <w:tc>
          <w:tcPr>
            <w:tcW w:w="562" w:type="dxa"/>
            <w:shd w:val="clear" w:color="auto" w:fill="auto"/>
            <w:noWrap/>
            <w:vAlign w:val="center"/>
            <w:hideMark/>
          </w:tcPr>
          <w:p w14:paraId="12FB662B" w14:textId="77777777" w:rsidR="00CA53DE" w:rsidRPr="005E4BEA" w:rsidRDefault="00CA53DE" w:rsidP="0016774B">
            <w:pPr>
              <w:spacing w:line="240" w:lineRule="auto"/>
              <w:jc w:val="both"/>
              <w:rPr>
                <w:rFonts w:cs="Arial"/>
                <w:szCs w:val="20"/>
              </w:rPr>
            </w:pPr>
            <w:r w:rsidRPr="005E4BEA">
              <w:rPr>
                <w:rFonts w:cs="Arial"/>
                <w:szCs w:val="20"/>
              </w:rPr>
              <w:t>Vrsta</w:t>
            </w:r>
          </w:p>
        </w:tc>
        <w:tc>
          <w:tcPr>
            <w:tcW w:w="1075" w:type="dxa"/>
            <w:shd w:val="clear" w:color="auto" w:fill="auto"/>
            <w:noWrap/>
            <w:vAlign w:val="center"/>
            <w:hideMark/>
          </w:tcPr>
          <w:p w14:paraId="518B37AB" w14:textId="77777777" w:rsidR="00CA53DE" w:rsidRPr="005E4BEA" w:rsidRDefault="00CA53DE" w:rsidP="0016774B">
            <w:pPr>
              <w:spacing w:line="240" w:lineRule="auto"/>
              <w:jc w:val="both"/>
              <w:rPr>
                <w:rFonts w:cs="Arial"/>
                <w:szCs w:val="20"/>
              </w:rPr>
            </w:pPr>
            <w:r w:rsidRPr="005E4BEA">
              <w:rPr>
                <w:rFonts w:cs="Arial"/>
                <w:szCs w:val="20"/>
              </w:rPr>
              <w:t>Podvrsta</w:t>
            </w:r>
          </w:p>
        </w:tc>
        <w:tc>
          <w:tcPr>
            <w:tcW w:w="885" w:type="dxa"/>
            <w:shd w:val="clear" w:color="auto" w:fill="auto"/>
            <w:noWrap/>
            <w:vAlign w:val="center"/>
            <w:hideMark/>
          </w:tcPr>
          <w:p w14:paraId="64E36FDD" w14:textId="77777777" w:rsidR="00CA53DE" w:rsidRPr="005E4BEA" w:rsidRDefault="00CA53DE" w:rsidP="0016774B">
            <w:pPr>
              <w:spacing w:line="240" w:lineRule="auto"/>
              <w:jc w:val="both"/>
              <w:rPr>
                <w:rFonts w:cs="Arial"/>
                <w:szCs w:val="20"/>
              </w:rPr>
            </w:pPr>
            <w:r w:rsidRPr="005E4BEA">
              <w:rPr>
                <w:rFonts w:cs="Arial"/>
                <w:szCs w:val="20"/>
              </w:rPr>
              <w:t>Storitev</w:t>
            </w:r>
          </w:p>
        </w:tc>
        <w:tc>
          <w:tcPr>
            <w:tcW w:w="3569" w:type="dxa"/>
            <w:shd w:val="clear" w:color="auto" w:fill="auto"/>
            <w:noWrap/>
            <w:vAlign w:val="center"/>
            <w:hideMark/>
          </w:tcPr>
          <w:p w14:paraId="04475BD6" w14:textId="77777777" w:rsidR="00CA53DE" w:rsidRPr="005E4BEA" w:rsidRDefault="00CA53DE" w:rsidP="0016774B">
            <w:pPr>
              <w:spacing w:line="240" w:lineRule="auto"/>
              <w:jc w:val="both"/>
              <w:rPr>
                <w:rFonts w:cs="Arial"/>
                <w:szCs w:val="20"/>
              </w:rPr>
            </w:pPr>
            <w:r w:rsidRPr="005E4BEA">
              <w:rPr>
                <w:rFonts w:cs="Arial"/>
                <w:szCs w:val="20"/>
              </w:rPr>
              <w:t>Naziv</w:t>
            </w:r>
          </w:p>
        </w:tc>
        <w:tc>
          <w:tcPr>
            <w:tcW w:w="1158" w:type="dxa"/>
            <w:shd w:val="clear" w:color="auto" w:fill="auto"/>
            <w:vAlign w:val="center"/>
          </w:tcPr>
          <w:p w14:paraId="409ADF75" w14:textId="77777777" w:rsidR="00CA53DE" w:rsidRPr="005E4BEA" w:rsidRDefault="00CA53DE" w:rsidP="0016774B">
            <w:pPr>
              <w:spacing w:line="240" w:lineRule="auto"/>
              <w:jc w:val="both"/>
              <w:rPr>
                <w:rFonts w:cs="Arial"/>
                <w:szCs w:val="20"/>
              </w:rPr>
            </w:pPr>
            <w:r w:rsidRPr="005E4BEA">
              <w:rPr>
                <w:rFonts w:cs="Arial"/>
                <w:szCs w:val="20"/>
              </w:rPr>
              <w:t>Enota mere</w:t>
            </w:r>
          </w:p>
        </w:tc>
        <w:tc>
          <w:tcPr>
            <w:tcW w:w="968" w:type="dxa"/>
            <w:shd w:val="clear" w:color="auto" w:fill="auto"/>
            <w:vAlign w:val="center"/>
          </w:tcPr>
          <w:p w14:paraId="107B669F" w14:textId="77777777" w:rsidR="00CA53DE" w:rsidRPr="005E4BEA" w:rsidRDefault="00CA53DE" w:rsidP="0016774B">
            <w:pPr>
              <w:spacing w:line="240" w:lineRule="auto"/>
              <w:jc w:val="both"/>
              <w:rPr>
                <w:rFonts w:cs="Arial"/>
                <w:szCs w:val="20"/>
              </w:rPr>
            </w:pPr>
            <w:r w:rsidRPr="005E4BEA">
              <w:rPr>
                <w:rFonts w:cs="Arial"/>
                <w:szCs w:val="20"/>
              </w:rPr>
              <w:t>Cena</w:t>
            </w:r>
          </w:p>
        </w:tc>
      </w:tr>
      <w:tr w:rsidR="00CA53DE" w:rsidRPr="005E4BEA" w14:paraId="6AEB0367" w14:textId="77777777" w:rsidTr="0016774B">
        <w:trPr>
          <w:trHeight w:val="109"/>
        </w:trPr>
        <w:tc>
          <w:tcPr>
            <w:tcW w:w="562" w:type="dxa"/>
            <w:shd w:val="clear" w:color="auto" w:fill="auto"/>
            <w:noWrap/>
            <w:hideMark/>
          </w:tcPr>
          <w:p w14:paraId="07DE1F1D" w14:textId="77777777" w:rsidR="00CA53DE" w:rsidRPr="005E4BEA" w:rsidRDefault="00CA53DE" w:rsidP="0016774B">
            <w:pPr>
              <w:spacing w:line="240" w:lineRule="auto"/>
              <w:jc w:val="both"/>
              <w:rPr>
                <w:rFonts w:cs="Arial"/>
                <w:szCs w:val="20"/>
              </w:rPr>
            </w:pPr>
            <w:r w:rsidRPr="005E4BEA">
              <w:rPr>
                <w:rFonts w:cs="Arial"/>
                <w:szCs w:val="20"/>
              </w:rPr>
              <w:t>101</w:t>
            </w:r>
          </w:p>
        </w:tc>
        <w:tc>
          <w:tcPr>
            <w:tcW w:w="1075" w:type="dxa"/>
            <w:shd w:val="clear" w:color="auto" w:fill="auto"/>
            <w:noWrap/>
            <w:hideMark/>
          </w:tcPr>
          <w:p w14:paraId="6F5C49C3" w14:textId="77777777" w:rsidR="00CA53DE" w:rsidRPr="005E4BEA" w:rsidRDefault="00CA53DE" w:rsidP="0016774B">
            <w:pPr>
              <w:spacing w:line="240" w:lineRule="auto"/>
              <w:jc w:val="both"/>
              <w:rPr>
                <w:rFonts w:cs="Arial"/>
                <w:szCs w:val="20"/>
              </w:rPr>
            </w:pPr>
            <w:r w:rsidRPr="005E4BEA">
              <w:rPr>
                <w:rFonts w:cs="Arial"/>
                <w:szCs w:val="20"/>
              </w:rPr>
              <w:t>300</w:t>
            </w:r>
          </w:p>
        </w:tc>
        <w:tc>
          <w:tcPr>
            <w:tcW w:w="885" w:type="dxa"/>
            <w:shd w:val="clear" w:color="auto" w:fill="auto"/>
            <w:noWrap/>
            <w:hideMark/>
          </w:tcPr>
          <w:p w14:paraId="4286C0D1" w14:textId="77777777" w:rsidR="00CA53DE" w:rsidRPr="005E4BEA" w:rsidRDefault="00CA53DE" w:rsidP="0016774B">
            <w:pPr>
              <w:spacing w:line="240" w:lineRule="auto"/>
              <w:jc w:val="both"/>
              <w:rPr>
                <w:rFonts w:cs="Arial"/>
                <w:szCs w:val="20"/>
              </w:rPr>
            </w:pPr>
            <w:r w:rsidRPr="005E4BEA">
              <w:rPr>
                <w:rFonts w:cs="Arial"/>
                <w:szCs w:val="20"/>
              </w:rPr>
              <w:t>E0xxx</w:t>
            </w:r>
          </w:p>
        </w:tc>
        <w:tc>
          <w:tcPr>
            <w:tcW w:w="3569" w:type="dxa"/>
            <w:shd w:val="clear" w:color="auto" w:fill="auto"/>
            <w:noWrap/>
            <w:hideMark/>
          </w:tcPr>
          <w:p w14:paraId="469FD8E2" w14:textId="77777777" w:rsidR="00CA53DE" w:rsidRPr="005E4BEA" w:rsidRDefault="00CA53DE" w:rsidP="0016774B">
            <w:pPr>
              <w:spacing w:line="240" w:lineRule="auto"/>
              <w:jc w:val="both"/>
              <w:rPr>
                <w:rFonts w:cs="Arial"/>
                <w:szCs w:val="20"/>
              </w:rPr>
            </w:pPr>
            <w:r w:rsidRPr="005E4BEA">
              <w:rPr>
                <w:rFonts w:cs="Arial"/>
                <w:szCs w:val="20"/>
              </w:rPr>
              <w:t>Dodatek za poseg katetrske ablacije aritmij</w:t>
            </w:r>
          </w:p>
        </w:tc>
        <w:tc>
          <w:tcPr>
            <w:tcW w:w="1158" w:type="dxa"/>
            <w:shd w:val="clear" w:color="auto" w:fill="auto"/>
          </w:tcPr>
          <w:p w14:paraId="7D503076" w14:textId="77777777" w:rsidR="00CA53DE" w:rsidRPr="005E4BEA" w:rsidRDefault="00CA53DE" w:rsidP="0016774B">
            <w:pPr>
              <w:spacing w:line="240" w:lineRule="auto"/>
              <w:jc w:val="both"/>
              <w:rPr>
                <w:rFonts w:cs="Arial"/>
                <w:szCs w:val="20"/>
              </w:rPr>
            </w:pPr>
            <w:r w:rsidRPr="005E4BEA">
              <w:rPr>
                <w:rFonts w:cs="Arial"/>
                <w:szCs w:val="20"/>
              </w:rPr>
              <w:t>primer</w:t>
            </w:r>
          </w:p>
        </w:tc>
        <w:tc>
          <w:tcPr>
            <w:tcW w:w="968" w:type="dxa"/>
            <w:shd w:val="clear" w:color="auto" w:fill="auto"/>
          </w:tcPr>
          <w:p w14:paraId="08602152" w14:textId="77777777" w:rsidR="00CA53DE" w:rsidRPr="005E4BEA" w:rsidRDefault="00CA53DE" w:rsidP="0016774B">
            <w:pPr>
              <w:spacing w:line="240" w:lineRule="auto"/>
              <w:jc w:val="both"/>
              <w:rPr>
                <w:rFonts w:cs="Arial"/>
                <w:color w:val="FF0000"/>
                <w:szCs w:val="20"/>
              </w:rPr>
            </w:pPr>
            <w:r w:rsidRPr="005E4BEA">
              <w:rPr>
                <w:rFonts w:cs="Arial"/>
                <w:szCs w:val="20"/>
              </w:rPr>
              <w:t>5.450,00</w:t>
            </w:r>
          </w:p>
        </w:tc>
      </w:tr>
    </w:tbl>
    <w:p w14:paraId="54EE8499" w14:textId="77777777" w:rsidR="00CA53DE" w:rsidRPr="005E4BEA" w:rsidRDefault="00CA53DE" w:rsidP="00CA53DE">
      <w:pPr>
        <w:spacing w:line="120" w:lineRule="auto"/>
        <w:jc w:val="both"/>
        <w:rPr>
          <w:rFonts w:cs="Arial"/>
          <w:szCs w:val="20"/>
        </w:rPr>
      </w:pPr>
    </w:p>
    <w:p w14:paraId="5D61B6ED" w14:textId="77777777" w:rsidR="00CA53DE" w:rsidRPr="005E4BEA" w:rsidRDefault="00CA53DE" w:rsidP="00CA53DE">
      <w:pPr>
        <w:spacing w:line="240" w:lineRule="exact"/>
        <w:jc w:val="both"/>
        <w:rPr>
          <w:rFonts w:cs="Arial"/>
          <w:szCs w:val="20"/>
        </w:rPr>
      </w:pPr>
      <w:r w:rsidRPr="005E4BEA">
        <w:rPr>
          <w:rFonts w:cs="Arial"/>
          <w:szCs w:val="20"/>
        </w:rPr>
        <w:t>Opomba: Dodatek se v okviru bolnišničnega zdravljenja obračuna največ enkrat. Pogoj za obračun je opravljen postopek iz Priloge BOL – 2b, točke 3.</w:t>
      </w:r>
    </w:p>
    <w:p w14:paraId="08B377AB" w14:textId="77777777" w:rsidR="00CA53DE" w:rsidRPr="005E4BEA" w:rsidRDefault="00CA53DE" w:rsidP="00CA53DE">
      <w:pPr>
        <w:spacing w:line="240" w:lineRule="auto"/>
        <w:jc w:val="both"/>
        <w:rPr>
          <w:rFonts w:cs="Arial"/>
          <w:szCs w:val="20"/>
        </w:rPr>
      </w:pPr>
    </w:p>
    <w:p w14:paraId="68029F3B" w14:textId="77777777" w:rsidR="00CA53DE" w:rsidRPr="005E4BEA" w:rsidRDefault="00CA53DE" w:rsidP="00CA53DE">
      <w:pPr>
        <w:spacing w:line="240" w:lineRule="auto"/>
        <w:jc w:val="both"/>
        <w:rPr>
          <w:rFonts w:cs="Arial"/>
          <w:szCs w:val="20"/>
        </w:rPr>
      </w:pPr>
    </w:p>
    <w:p w14:paraId="47A3788B" w14:textId="3F99B10D" w:rsidR="00CA53DE" w:rsidRPr="005E4BEA" w:rsidRDefault="00CA53DE" w:rsidP="00CA53DE">
      <w:pPr>
        <w:spacing w:after="60" w:line="240" w:lineRule="auto"/>
        <w:jc w:val="both"/>
        <w:rPr>
          <w:rFonts w:cs="Arial"/>
          <w:b/>
          <w:bCs/>
          <w:szCs w:val="20"/>
        </w:rPr>
      </w:pPr>
      <w:r w:rsidRPr="005E4BEA">
        <w:rPr>
          <w:rFonts w:cs="Arial"/>
          <w:b/>
          <w:bCs/>
          <w:szCs w:val="20"/>
        </w:rPr>
        <w:t>V Prilogi III v drugem odstavku v 4. točki se doda nova alineja, ki se glasi:</w:t>
      </w:r>
    </w:p>
    <w:p w14:paraId="65544BBA" w14:textId="77777777" w:rsidR="00CA53DE" w:rsidRPr="005E4BEA" w:rsidRDefault="00CA53DE" w:rsidP="00CA53DE">
      <w:pPr>
        <w:spacing w:line="240" w:lineRule="auto"/>
        <w:jc w:val="both"/>
        <w:rPr>
          <w:rFonts w:cs="Arial"/>
          <w:szCs w:val="20"/>
        </w:rPr>
      </w:pPr>
      <w:r w:rsidRPr="005E4BEA">
        <w:rPr>
          <w:rFonts w:cs="Arial"/>
          <w:szCs w:val="20"/>
        </w:rPr>
        <w:t>»- dodatek za poseg katetrske ablacije aritmij«</w:t>
      </w:r>
    </w:p>
    <w:p w14:paraId="6DEA199A" w14:textId="77777777" w:rsidR="00CA53DE" w:rsidRPr="005E4BEA" w:rsidRDefault="00CA53DE" w:rsidP="00CA53DE">
      <w:pPr>
        <w:spacing w:line="240" w:lineRule="auto"/>
        <w:jc w:val="both"/>
        <w:rPr>
          <w:rFonts w:cs="Arial"/>
          <w:szCs w:val="20"/>
        </w:rPr>
      </w:pPr>
    </w:p>
    <w:p w14:paraId="48E50C86" w14:textId="77777777" w:rsidR="00CA53DE" w:rsidRPr="005E4BEA" w:rsidRDefault="00CA53DE" w:rsidP="00CA53DE">
      <w:pPr>
        <w:spacing w:line="240" w:lineRule="auto"/>
        <w:jc w:val="both"/>
        <w:rPr>
          <w:rFonts w:cs="Arial"/>
          <w:b/>
          <w:bCs/>
          <w:szCs w:val="20"/>
        </w:rPr>
      </w:pPr>
    </w:p>
    <w:p w14:paraId="161E59F5" w14:textId="77777777" w:rsidR="00CA53DE" w:rsidRPr="005E4BEA" w:rsidRDefault="00CA53DE" w:rsidP="00CA53DE">
      <w:pPr>
        <w:spacing w:line="240" w:lineRule="auto"/>
        <w:jc w:val="both"/>
        <w:rPr>
          <w:rFonts w:cs="Arial"/>
          <w:b/>
          <w:bCs/>
          <w:szCs w:val="20"/>
        </w:rPr>
      </w:pPr>
      <w:r w:rsidRPr="005E4BEA">
        <w:rPr>
          <w:rFonts w:cs="Arial"/>
          <w:b/>
          <w:bCs/>
          <w:szCs w:val="20"/>
        </w:rPr>
        <w:t xml:space="preserve">V Prilogo BOL – 2a </w:t>
      </w:r>
      <w:r w:rsidRPr="005E4BEA">
        <w:rPr>
          <w:rFonts w:cs="Arial"/>
          <w:szCs w:val="20"/>
        </w:rPr>
        <w:t xml:space="preserve">(Seznam posegov iz Klasifikacije terapevtskih in diagnostičnih postopkov in Seznam diagnoz iz Mednarodne klasifikacije bolezni za identificiranje </w:t>
      </w:r>
      <w:proofErr w:type="spellStart"/>
      <w:r w:rsidRPr="005E4BEA">
        <w:rPr>
          <w:rFonts w:cs="Arial"/>
          <w:szCs w:val="20"/>
        </w:rPr>
        <w:t>prospektivnega</w:t>
      </w:r>
      <w:proofErr w:type="spellEnd"/>
      <w:r w:rsidRPr="005E4BEA">
        <w:rPr>
          <w:rFonts w:cs="Arial"/>
          <w:szCs w:val="20"/>
        </w:rPr>
        <w:t xml:space="preserve"> programa) </w:t>
      </w:r>
      <w:r w:rsidRPr="005E4BEA">
        <w:rPr>
          <w:rFonts w:cs="Arial"/>
          <w:b/>
          <w:bCs/>
          <w:szCs w:val="20"/>
        </w:rPr>
        <w:t>se v okviru 4. razdelka »</w:t>
      </w:r>
      <w:proofErr w:type="spellStart"/>
      <w:r w:rsidRPr="005E4BEA">
        <w:rPr>
          <w:rFonts w:cs="Arial"/>
          <w:b/>
          <w:bCs/>
          <w:szCs w:val="20"/>
        </w:rPr>
        <w:t>Perkutani</w:t>
      </w:r>
      <w:proofErr w:type="spellEnd"/>
      <w:r w:rsidRPr="005E4BEA">
        <w:rPr>
          <w:rFonts w:cs="Arial"/>
          <w:b/>
          <w:bCs/>
          <w:szCs w:val="20"/>
        </w:rPr>
        <w:t xml:space="preserve"> posegi na srcu, srčnih zaklopkah in koronarnih arterijah« za prvo točko dodajo nove točke, ki se glasijo:</w:t>
      </w:r>
    </w:p>
    <w:p w14:paraId="256DC759" w14:textId="77777777" w:rsidR="00CA53DE" w:rsidRPr="005E4BEA" w:rsidRDefault="00CA53DE" w:rsidP="00CA53DE">
      <w:pPr>
        <w:spacing w:line="240" w:lineRule="auto"/>
        <w:jc w:val="both"/>
        <w:rPr>
          <w:rFonts w:cs="Arial"/>
          <w:b/>
          <w:bCs/>
          <w:szCs w:val="20"/>
        </w:rPr>
      </w:pPr>
    </w:p>
    <w:tbl>
      <w:tblPr>
        <w:tblW w:w="8505" w:type="dxa"/>
        <w:tblLayout w:type="fixed"/>
        <w:tblCellMar>
          <w:left w:w="70" w:type="dxa"/>
          <w:right w:w="70" w:type="dxa"/>
        </w:tblCellMar>
        <w:tblLook w:val="0000" w:firstRow="0" w:lastRow="0" w:firstColumn="0" w:lastColumn="0" w:noHBand="0" w:noVBand="0"/>
      </w:tblPr>
      <w:tblGrid>
        <w:gridCol w:w="426"/>
        <w:gridCol w:w="1275"/>
        <w:gridCol w:w="6804"/>
      </w:tblGrid>
      <w:tr w:rsidR="00CA53DE" w:rsidRPr="005E4BEA" w14:paraId="43D6349A" w14:textId="77777777" w:rsidTr="0016774B">
        <w:trPr>
          <w:trHeight w:val="227"/>
        </w:trPr>
        <w:tc>
          <w:tcPr>
            <w:tcW w:w="426" w:type="dxa"/>
          </w:tcPr>
          <w:p w14:paraId="7F8575C6" w14:textId="77777777" w:rsidR="00CA53DE" w:rsidRPr="005E4BEA" w:rsidRDefault="00CA53DE" w:rsidP="0016774B">
            <w:pPr>
              <w:autoSpaceDE w:val="0"/>
              <w:autoSpaceDN w:val="0"/>
              <w:adjustRightInd w:val="0"/>
              <w:spacing w:line="240" w:lineRule="auto"/>
              <w:jc w:val="both"/>
              <w:rPr>
                <w:rFonts w:cs="Arial"/>
                <w:color w:val="000000"/>
                <w:szCs w:val="20"/>
              </w:rPr>
            </w:pPr>
            <w:r w:rsidRPr="005E4BEA">
              <w:rPr>
                <w:rFonts w:cs="Arial"/>
                <w:szCs w:val="20"/>
              </w:rPr>
              <w:t>2.</w:t>
            </w:r>
          </w:p>
        </w:tc>
        <w:tc>
          <w:tcPr>
            <w:tcW w:w="1275" w:type="dxa"/>
          </w:tcPr>
          <w:p w14:paraId="3E0421F8"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38287-02</w:t>
            </w:r>
          </w:p>
        </w:tc>
        <w:tc>
          <w:tcPr>
            <w:tcW w:w="6804" w:type="dxa"/>
          </w:tcPr>
          <w:p w14:paraId="3F97F671"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CA53DE" w:rsidRPr="005E4BEA" w14:paraId="1749BF5E" w14:textId="77777777" w:rsidTr="0016774B">
        <w:trPr>
          <w:trHeight w:val="227"/>
        </w:trPr>
        <w:tc>
          <w:tcPr>
            <w:tcW w:w="426" w:type="dxa"/>
          </w:tcPr>
          <w:p w14:paraId="0BACD2D6"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3.</w:t>
            </w:r>
          </w:p>
        </w:tc>
        <w:tc>
          <w:tcPr>
            <w:tcW w:w="1275" w:type="dxa"/>
          </w:tcPr>
          <w:p w14:paraId="00211BE3"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38290-01</w:t>
            </w:r>
          </w:p>
        </w:tc>
        <w:tc>
          <w:tcPr>
            <w:tcW w:w="6804" w:type="dxa"/>
          </w:tcPr>
          <w:p w14:paraId="1137732A" w14:textId="77777777" w:rsidR="00CA53DE" w:rsidRPr="005E4BEA" w:rsidRDefault="00CA53DE" w:rsidP="0016774B">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CA53DE" w:rsidRPr="005E4BEA" w14:paraId="2CEED9D0" w14:textId="77777777" w:rsidTr="0016774B">
        <w:trPr>
          <w:trHeight w:val="227"/>
        </w:trPr>
        <w:tc>
          <w:tcPr>
            <w:tcW w:w="426" w:type="dxa"/>
          </w:tcPr>
          <w:p w14:paraId="033F4855"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4.</w:t>
            </w:r>
          </w:p>
        </w:tc>
        <w:tc>
          <w:tcPr>
            <w:tcW w:w="1275" w:type="dxa"/>
          </w:tcPr>
          <w:p w14:paraId="2DC69FFB"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38287-01</w:t>
            </w:r>
          </w:p>
        </w:tc>
        <w:tc>
          <w:tcPr>
            <w:tcW w:w="6804" w:type="dxa"/>
          </w:tcPr>
          <w:p w14:paraId="37F42793"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p w14:paraId="2C9F08AF" w14:textId="77777777" w:rsidR="00CA53DE" w:rsidRPr="005E4BEA" w:rsidRDefault="00CA53DE" w:rsidP="0016774B">
            <w:pPr>
              <w:autoSpaceDE w:val="0"/>
              <w:autoSpaceDN w:val="0"/>
              <w:adjustRightInd w:val="0"/>
              <w:spacing w:line="240" w:lineRule="auto"/>
              <w:jc w:val="both"/>
              <w:rPr>
                <w:rFonts w:cs="Arial"/>
                <w:szCs w:val="20"/>
              </w:rPr>
            </w:pPr>
          </w:p>
          <w:p w14:paraId="6C1CEE4C" w14:textId="77777777" w:rsidR="00CA53DE" w:rsidRPr="005E4BEA" w:rsidRDefault="00CA53DE" w:rsidP="0016774B">
            <w:pPr>
              <w:autoSpaceDE w:val="0"/>
              <w:autoSpaceDN w:val="0"/>
              <w:adjustRightInd w:val="0"/>
              <w:jc w:val="both"/>
              <w:rPr>
                <w:rFonts w:cs="Arial"/>
                <w:szCs w:val="20"/>
              </w:rPr>
            </w:pPr>
          </w:p>
        </w:tc>
      </w:tr>
      <w:tr w:rsidR="00CA53DE" w:rsidRPr="005E4BEA" w14:paraId="0E4321B7" w14:textId="77777777" w:rsidTr="0016774B">
        <w:trPr>
          <w:trHeight w:val="227"/>
        </w:trPr>
        <w:tc>
          <w:tcPr>
            <w:tcW w:w="426" w:type="dxa"/>
          </w:tcPr>
          <w:p w14:paraId="6226D24F" w14:textId="77777777" w:rsidR="00CA53DE" w:rsidRPr="005E4BEA" w:rsidRDefault="00CA53DE" w:rsidP="0016774B">
            <w:pPr>
              <w:autoSpaceDE w:val="0"/>
              <w:autoSpaceDN w:val="0"/>
              <w:adjustRightInd w:val="0"/>
              <w:jc w:val="both"/>
              <w:rPr>
                <w:rFonts w:cs="Arial"/>
                <w:szCs w:val="20"/>
              </w:rPr>
            </w:pPr>
            <w:r w:rsidRPr="005E4BEA">
              <w:rPr>
                <w:rFonts w:cs="Arial"/>
                <w:szCs w:val="20"/>
              </w:rPr>
              <w:lastRenderedPageBreak/>
              <w:t xml:space="preserve">5. </w:t>
            </w:r>
          </w:p>
        </w:tc>
        <w:tc>
          <w:tcPr>
            <w:tcW w:w="1275" w:type="dxa"/>
          </w:tcPr>
          <w:p w14:paraId="065F0110"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38518-00</w:t>
            </w:r>
          </w:p>
        </w:tc>
        <w:tc>
          <w:tcPr>
            <w:tcW w:w="6804" w:type="dxa"/>
          </w:tcPr>
          <w:p w14:paraId="05B8668F"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Ablacija prekatne mišice</w:t>
            </w:r>
          </w:p>
        </w:tc>
      </w:tr>
      <w:tr w:rsidR="00CA53DE" w:rsidRPr="005E4BEA" w14:paraId="6C68ED28" w14:textId="77777777" w:rsidTr="0016774B">
        <w:trPr>
          <w:trHeight w:val="227"/>
        </w:trPr>
        <w:tc>
          <w:tcPr>
            <w:tcW w:w="426" w:type="dxa"/>
          </w:tcPr>
          <w:p w14:paraId="407131F0" w14:textId="77777777" w:rsidR="00CA53DE" w:rsidRPr="005E4BEA" w:rsidRDefault="00CA53DE" w:rsidP="00F356C9">
            <w:pPr>
              <w:pStyle w:val="Odstavekseznama"/>
              <w:numPr>
                <w:ilvl w:val="0"/>
                <w:numId w:val="40"/>
              </w:numPr>
              <w:autoSpaceDE w:val="0"/>
              <w:autoSpaceDN w:val="0"/>
              <w:adjustRightInd w:val="0"/>
              <w:jc w:val="both"/>
              <w:rPr>
                <w:rFonts w:cs="Arial"/>
                <w:szCs w:val="20"/>
              </w:rPr>
            </w:pPr>
            <w:r w:rsidRPr="005E4BEA">
              <w:rPr>
                <w:rFonts w:cs="Arial"/>
                <w:szCs w:val="20"/>
              </w:rPr>
              <w:t>5.</w:t>
            </w:r>
          </w:p>
        </w:tc>
        <w:tc>
          <w:tcPr>
            <w:tcW w:w="1275" w:type="dxa"/>
          </w:tcPr>
          <w:p w14:paraId="51959077" w14:textId="77777777" w:rsidR="00CA53DE" w:rsidRPr="005E4BEA" w:rsidRDefault="00CA53DE" w:rsidP="0016774B">
            <w:pPr>
              <w:autoSpaceDE w:val="0"/>
              <w:autoSpaceDN w:val="0"/>
              <w:adjustRightInd w:val="0"/>
              <w:spacing w:line="240" w:lineRule="auto"/>
              <w:jc w:val="both"/>
              <w:rPr>
                <w:rFonts w:cs="Arial"/>
                <w:szCs w:val="20"/>
              </w:rPr>
            </w:pPr>
          </w:p>
        </w:tc>
        <w:tc>
          <w:tcPr>
            <w:tcW w:w="6804" w:type="dxa"/>
          </w:tcPr>
          <w:p w14:paraId="71D3FB9F" w14:textId="77777777" w:rsidR="00CA53DE" w:rsidRPr="005E4BEA" w:rsidRDefault="00CA53DE" w:rsidP="0016774B">
            <w:pPr>
              <w:autoSpaceDE w:val="0"/>
              <w:autoSpaceDN w:val="0"/>
              <w:adjustRightInd w:val="0"/>
              <w:spacing w:line="240" w:lineRule="auto"/>
              <w:jc w:val="both"/>
              <w:rPr>
                <w:rFonts w:cs="Arial"/>
                <w:szCs w:val="20"/>
              </w:rPr>
            </w:pPr>
          </w:p>
        </w:tc>
      </w:tr>
    </w:tbl>
    <w:p w14:paraId="105F150A" w14:textId="77777777" w:rsidR="00CA53DE" w:rsidRPr="005E4BEA" w:rsidRDefault="00CA53DE" w:rsidP="00CA53DE">
      <w:pPr>
        <w:spacing w:line="240" w:lineRule="auto"/>
        <w:jc w:val="both"/>
        <w:rPr>
          <w:rFonts w:cs="Arial"/>
          <w:szCs w:val="20"/>
        </w:rPr>
      </w:pPr>
    </w:p>
    <w:p w14:paraId="2AB6DDB3" w14:textId="77777777" w:rsidR="00CA53DE" w:rsidRPr="005E4BEA" w:rsidRDefault="00CA53DE" w:rsidP="00CA53DE">
      <w:pPr>
        <w:spacing w:line="240" w:lineRule="exact"/>
        <w:jc w:val="both"/>
        <w:rPr>
          <w:rFonts w:cs="Arial"/>
          <w:color w:val="000000"/>
          <w:szCs w:val="20"/>
        </w:rPr>
      </w:pPr>
      <w:r w:rsidRPr="005E4BEA">
        <w:rPr>
          <w:rFonts w:cs="Arial"/>
          <w:color w:val="000000"/>
          <w:szCs w:val="20"/>
        </w:rPr>
        <w:t>Sedanje 2. do 9. točka postanejo nove 7. do 14. točka.</w:t>
      </w:r>
    </w:p>
    <w:p w14:paraId="4463F74A" w14:textId="77777777" w:rsidR="00CA53DE" w:rsidRPr="005E4BEA" w:rsidRDefault="00CA53DE" w:rsidP="00CA53DE">
      <w:pPr>
        <w:spacing w:line="240" w:lineRule="auto"/>
        <w:jc w:val="both"/>
        <w:rPr>
          <w:rFonts w:cs="Arial"/>
          <w:b/>
          <w:bCs/>
          <w:szCs w:val="20"/>
        </w:rPr>
      </w:pPr>
    </w:p>
    <w:p w14:paraId="4A12B4DD" w14:textId="77777777" w:rsidR="00CA53DE" w:rsidRPr="005E4BEA" w:rsidRDefault="00CA53DE" w:rsidP="00CA53DE">
      <w:pPr>
        <w:spacing w:line="240" w:lineRule="auto"/>
        <w:jc w:val="both"/>
        <w:rPr>
          <w:rFonts w:cs="Arial"/>
          <w:b/>
          <w:bCs/>
          <w:szCs w:val="20"/>
        </w:rPr>
      </w:pPr>
    </w:p>
    <w:p w14:paraId="4AB15A1A" w14:textId="77777777" w:rsidR="00CA53DE" w:rsidRPr="005E4BEA" w:rsidRDefault="00CA53DE" w:rsidP="00CA53DE">
      <w:pPr>
        <w:spacing w:line="240" w:lineRule="exact"/>
        <w:jc w:val="both"/>
        <w:rPr>
          <w:rFonts w:cs="Arial"/>
          <w:b/>
          <w:bCs/>
          <w:szCs w:val="20"/>
        </w:rPr>
      </w:pPr>
      <w:r w:rsidRPr="005E4BEA">
        <w:rPr>
          <w:rFonts w:cs="Arial"/>
          <w:b/>
          <w:bCs/>
          <w:szCs w:val="20"/>
        </w:rPr>
        <w:t xml:space="preserve">V Prilogi BOL – 2b </w:t>
      </w:r>
      <w:r w:rsidRPr="005E4BEA">
        <w:rPr>
          <w:rFonts w:cs="Arial"/>
          <w:szCs w:val="20"/>
        </w:rPr>
        <w:t>(Seznam posegov iz Klasifikacije terapevtskih in diagnostičnih postopkov za identificiranje izbranih storitev iz Priloge I/b)</w:t>
      </w:r>
      <w:r w:rsidRPr="005E4BEA">
        <w:rPr>
          <w:rFonts w:cs="Arial"/>
          <w:b/>
          <w:bCs/>
          <w:szCs w:val="20"/>
        </w:rPr>
        <w:t xml:space="preserve"> se za 2. točko doda nova 3. točka, ki se glasi:</w:t>
      </w:r>
    </w:p>
    <w:p w14:paraId="10DA6CCB" w14:textId="77777777" w:rsidR="00CA53DE" w:rsidRPr="005E4BEA" w:rsidRDefault="00CA53DE" w:rsidP="00CA53DE">
      <w:pPr>
        <w:spacing w:line="120" w:lineRule="auto"/>
        <w:jc w:val="both"/>
        <w:rPr>
          <w:rFonts w:cs="Arial"/>
          <w:b/>
          <w:bCs/>
          <w:szCs w:val="20"/>
        </w:rPr>
      </w:pPr>
    </w:p>
    <w:p w14:paraId="268C56F4" w14:textId="77777777" w:rsidR="00CA53DE" w:rsidRPr="005E4BEA" w:rsidRDefault="00CA53DE" w:rsidP="00CA53DE">
      <w:pPr>
        <w:spacing w:line="240" w:lineRule="exact"/>
        <w:jc w:val="both"/>
        <w:rPr>
          <w:rFonts w:cs="Arial"/>
          <w:szCs w:val="20"/>
        </w:rPr>
      </w:pPr>
      <w:r w:rsidRPr="005E4BEA">
        <w:rPr>
          <w:rFonts w:cs="Arial"/>
          <w:szCs w:val="20"/>
        </w:rPr>
        <w:t>»3.) Katetrske ablacije aritmij</w:t>
      </w:r>
    </w:p>
    <w:p w14:paraId="70F092BF" w14:textId="77777777" w:rsidR="00CA53DE" w:rsidRPr="005E4BEA" w:rsidRDefault="00CA53DE" w:rsidP="00CA53DE">
      <w:pPr>
        <w:spacing w:line="120" w:lineRule="auto"/>
        <w:jc w:val="both"/>
        <w:rPr>
          <w:rFonts w:cs="Arial"/>
          <w:szCs w:val="20"/>
        </w:rPr>
      </w:pPr>
    </w:p>
    <w:tbl>
      <w:tblPr>
        <w:tblW w:w="8364" w:type="dxa"/>
        <w:tblLayout w:type="fixed"/>
        <w:tblCellMar>
          <w:left w:w="70" w:type="dxa"/>
          <w:right w:w="70" w:type="dxa"/>
        </w:tblCellMar>
        <w:tblLook w:val="0000" w:firstRow="0" w:lastRow="0" w:firstColumn="0" w:lastColumn="0" w:noHBand="0" w:noVBand="0"/>
      </w:tblPr>
      <w:tblGrid>
        <w:gridCol w:w="426"/>
        <w:gridCol w:w="1275"/>
        <w:gridCol w:w="6663"/>
      </w:tblGrid>
      <w:tr w:rsidR="00CA53DE" w:rsidRPr="005E4BEA" w14:paraId="7B435F1B" w14:textId="77777777" w:rsidTr="0016774B">
        <w:trPr>
          <w:trHeight w:val="227"/>
        </w:trPr>
        <w:tc>
          <w:tcPr>
            <w:tcW w:w="426" w:type="dxa"/>
          </w:tcPr>
          <w:p w14:paraId="583AADDC" w14:textId="77777777" w:rsidR="00CA53DE" w:rsidRPr="005E4BEA" w:rsidRDefault="00CA53DE" w:rsidP="0016774B">
            <w:pPr>
              <w:autoSpaceDE w:val="0"/>
              <w:autoSpaceDN w:val="0"/>
              <w:adjustRightInd w:val="0"/>
              <w:jc w:val="both"/>
              <w:rPr>
                <w:rFonts w:cs="Arial"/>
                <w:color w:val="000000"/>
                <w:szCs w:val="20"/>
              </w:rPr>
            </w:pPr>
            <w:r w:rsidRPr="005E4BEA">
              <w:rPr>
                <w:rFonts w:cs="Arial"/>
                <w:color w:val="000000"/>
                <w:szCs w:val="20"/>
              </w:rPr>
              <w:t xml:space="preserve">1. </w:t>
            </w:r>
          </w:p>
        </w:tc>
        <w:tc>
          <w:tcPr>
            <w:tcW w:w="1275" w:type="dxa"/>
          </w:tcPr>
          <w:p w14:paraId="5E2CB027"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38287-02</w:t>
            </w:r>
          </w:p>
        </w:tc>
        <w:tc>
          <w:tcPr>
            <w:tcW w:w="6663" w:type="dxa"/>
          </w:tcPr>
          <w:p w14:paraId="736EC333"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CA53DE" w:rsidRPr="005E4BEA" w14:paraId="53A5EA81" w14:textId="77777777" w:rsidTr="0016774B">
        <w:trPr>
          <w:trHeight w:val="227"/>
        </w:trPr>
        <w:tc>
          <w:tcPr>
            <w:tcW w:w="426" w:type="dxa"/>
          </w:tcPr>
          <w:p w14:paraId="62A47815" w14:textId="77777777" w:rsidR="00CA53DE" w:rsidRPr="005E4BEA" w:rsidRDefault="00CA53DE" w:rsidP="00F356C9">
            <w:pPr>
              <w:pStyle w:val="Odstavekseznama"/>
              <w:numPr>
                <w:ilvl w:val="0"/>
                <w:numId w:val="77"/>
              </w:numPr>
              <w:autoSpaceDE w:val="0"/>
              <w:autoSpaceDN w:val="0"/>
              <w:adjustRightInd w:val="0"/>
              <w:jc w:val="both"/>
              <w:rPr>
                <w:rFonts w:cs="Arial"/>
                <w:szCs w:val="20"/>
              </w:rPr>
            </w:pPr>
          </w:p>
        </w:tc>
        <w:tc>
          <w:tcPr>
            <w:tcW w:w="1275" w:type="dxa"/>
          </w:tcPr>
          <w:p w14:paraId="5A9F9F69"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38290-01</w:t>
            </w:r>
          </w:p>
        </w:tc>
        <w:tc>
          <w:tcPr>
            <w:tcW w:w="6663" w:type="dxa"/>
          </w:tcPr>
          <w:p w14:paraId="38B35A8F" w14:textId="77777777" w:rsidR="00CA53DE" w:rsidRPr="005E4BEA" w:rsidRDefault="00CA53DE" w:rsidP="0016774B">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CA53DE" w:rsidRPr="005E4BEA" w14:paraId="7869E355" w14:textId="77777777" w:rsidTr="0016774B">
        <w:trPr>
          <w:trHeight w:val="227"/>
        </w:trPr>
        <w:tc>
          <w:tcPr>
            <w:tcW w:w="426" w:type="dxa"/>
          </w:tcPr>
          <w:p w14:paraId="1F222671"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3.</w:t>
            </w:r>
          </w:p>
        </w:tc>
        <w:tc>
          <w:tcPr>
            <w:tcW w:w="1275" w:type="dxa"/>
          </w:tcPr>
          <w:p w14:paraId="7C296CC7"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38287-01</w:t>
            </w:r>
          </w:p>
        </w:tc>
        <w:tc>
          <w:tcPr>
            <w:tcW w:w="6663" w:type="dxa"/>
          </w:tcPr>
          <w:p w14:paraId="5C3F032E" w14:textId="77777777" w:rsidR="00CA53DE" w:rsidRPr="005E4BEA" w:rsidRDefault="00CA53DE" w:rsidP="0016774B">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tc>
      </w:tr>
      <w:tr w:rsidR="00CA53DE" w:rsidRPr="005E4BEA" w14:paraId="53EF017D" w14:textId="77777777" w:rsidTr="0016774B">
        <w:trPr>
          <w:trHeight w:val="227"/>
        </w:trPr>
        <w:tc>
          <w:tcPr>
            <w:tcW w:w="426" w:type="dxa"/>
          </w:tcPr>
          <w:p w14:paraId="11433C1A" w14:textId="77777777" w:rsidR="00CA53DE" w:rsidRPr="005E4BEA" w:rsidRDefault="00CA53DE" w:rsidP="0016774B">
            <w:pPr>
              <w:autoSpaceDE w:val="0"/>
              <w:autoSpaceDN w:val="0"/>
              <w:adjustRightInd w:val="0"/>
              <w:spacing w:line="240" w:lineRule="auto"/>
              <w:jc w:val="both"/>
              <w:rPr>
                <w:rFonts w:cs="Arial"/>
                <w:szCs w:val="20"/>
              </w:rPr>
            </w:pPr>
          </w:p>
        </w:tc>
        <w:tc>
          <w:tcPr>
            <w:tcW w:w="1275" w:type="dxa"/>
          </w:tcPr>
          <w:p w14:paraId="5B656D9D" w14:textId="77777777" w:rsidR="00CA53DE" w:rsidRPr="005E4BEA" w:rsidRDefault="00CA53DE" w:rsidP="0016774B">
            <w:pPr>
              <w:autoSpaceDE w:val="0"/>
              <w:autoSpaceDN w:val="0"/>
              <w:adjustRightInd w:val="0"/>
              <w:spacing w:line="240" w:lineRule="auto"/>
              <w:jc w:val="both"/>
              <w:rPr>
                <w:rFonts w:cs="Arial"/>
                <w:szCs w:val="20"/>
              </w:rPr>
            </w:pPr>
          </w:p>
        </w:tc>
        <w:tc>
          <w:tcPr>
            <w:tcW w:w="6663" w:type="dxa"/>
          </w:tcPr>
          <w:p w14:paraId="5D2AF467" w14:textId="77777777" w:rsidR="00CA53DE" w:rsidRPr="005E4BEA" w:rsidRDefault="00CA53DE" w:rsidP="0016774B">
            <w:pPr>
              <w:autoSpaceDE w:val="0"/>
              <w:autoSpaceDN w:val="0"/>
              <w:adjustRightInd w:val="0"/>
              <w:spacing w:line="240" w:lineRule="auto"/>
              <w:jc w:val="both"/>
              <w:rPr>
                <w:rFonts w:cs="Arial"/>
                <w:szCs w:val="20"/>
              </w:rPr>
            </w:pPr>
          </w:p>
        </w:tc>
      </w:tr>
      <w:tr w:rsidR="00CA53DE" w:rsidRPr="005E4BEA" w14:paraId="3EBCB536" w14:textId="77777777" w:rsidTr="0016774B">
        <w:trPr>
          <w:trHeight w:val="227"/>
        </w:trPr>
        <w:tc>
          <w:tcPr>
            <w:tcW w:w="426" w:type="dxa"/>
          </w:tcPr>
          <w:p w14:paraId="1318EBBC" w14:textId="77777777" w:rsidR="00CA53DE" w:rsidRPr="005E4BEA" w:rsidRDefault="00CA53DE" w:rsidP="00F356C9">
            <w:pPr>
              <w:pStyle w:val="Odstavekseznama"/>
              <w:numPr>
                <w:ilvl w:val="0"/>
                <w:numId w:val="78"/>
              </w:numPr>
              <w:autoSpaceDE w:val="0"/>
              <w:autoSpaceDN w:val="0"/>
              <w:adjustRightInd w:val="0"/>
              <w:jc w:val="both"/>
              <w:rPr>
                <w:rFonts w:cs="Arial"/>
                <w:szCs w:val="20"/>
              </w:rPr>
            </w:pPr>
            <w:r w:rsidRPr="005E4BEA">
              <w:rPr>
                <w:rFonts w:cs="Arial"/>
                <w:szCs w:val="20"/>
              </w:rPr>
              <w:t>4</w:t>
            </w:r>
          </w:p>
        </w:tc>
        <w:tc>
          <w:tcPr>
            <w:tcW w:w="1275" w:type="dxa"/>
          </w:tcPr>
          <w:p w14:paraId="3E183E2C"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38518-00</w:t>
            </w:r>
          </w:p>
        </w:tc>
        <w:tc>
          <w:tcPr>
            <w:tcW w:w="6663" w:type="dxa"/>
          </w:tcPr>
          <w:p w14:paraId="431604A3" w14:textId="77777777" w:rsidR="00CA53DE" w:rsidRPr="005E4BEA" w:rsidRDefault="00CA53DE" w:rsidP="0016774B">
            <w:pPr>
              <w:autoSpaceDE w:val="0"/>
              <w:autoSpaceDN w:val="0"/>
              <w:adjustRightInd w:val="0"/>
              <w:spacing w:line="240" w:lineRule="auto"/>
              <w:jc w:val="both"/>
              <w:rPr>
                <w:rFonts w:cs="Arial"/>
                <w:szCs w:val="20"/>
              </w:rPr>
            </w:pPr>
            <w:r w:rsidRPr="005E4BEA">
              <w:rPr>
                <w:rFonts w:cs="Arial"/>
                <w:szCs w:val="20"/>
              </w:rPr>
              <w:t>Ablacija prekatne mišice</w:t>
            </w:r>
          </w:p>
        </w:tc>
      </w:tr>
      <w:tr w:rsidR="00CA53DE" w:rsidRPr="005E4BEA" w14:paraId="7B6A0858" w14:textId="77777777" w:rsidTr="0016774B">
        <w:trPr>
          <w:trHeight w:val="227"/>
        </w:trPr>
        <w:tc>
          <w:tcPr>
            <w:tcW w:w="426" w:type="dxa"/>
          </w:tcPr>
          <w:p w14:paraId="6880A3D8" w14:textId="77777777" w:rsidR="00CA53DE" w:rsidRPr="005E4BEA" w:rsidRDefault="00CA53DE" w:rsidP="0016774B">
            <w:pPr>
              <w:autoSpaceDE w:val="0"/>
              <w:autoSpaceDN w:val="0"/>
              <w:adjustRightInd w:val="0"/>
              <w:spacing w:line="240" w:lineRule="auto"/>
              <w:jc w:val="both"/>
              <w:rPr>
                <w:rFonts w:cs="Arial"/>
                <w:szCs w:val="20"/>
              </w:rPr>
            </w:pPr>
          </w:p>
        </w:tc>
        <w:tc>
          <w:tcPr>
            <w:tcW w:w="1275" w:type="dxa"/>
          </w:tcPr>
          <w:p w14:paraId="2A1A7D65" w14:textId="77777777" w:rsidR="00CA53DE" w:rsidRPr="005E4BEA" w:rsidRDefault="00CA53DE" w:rsidP="0016774B">
            <w:pPr>
              <w:autoSpaceDE w:val="0"/>
              <w:autoSpaceDN w:val="0"/>
              <w:adjustRightInd w:val="0"/>
              <w:spacing w:line="240" w:lineRule="auto"/>
              <w:jc w:val="both"/>
              <w:rPr>
                <w:rFonts w:cs="Arial"/>
                <w:szCs w:val="20"/>
              </w:rPr>
            </w:pPr>
          </w:p>
        </w:tc>
        <w:tc>
          <w:tcPr>
            <w:tcW w:w="6663" w:type="dxa"/>
          </w:tcPr>
          <w:p w14:paraId="5549630F" w14:textId="77777777" w:rsidR="00CA53DE" w:rsidRPr="005E4BEA" w:rsidRDefault="00CA53DE" w:rsidP="0016774B">
            <w:pPr>
              <w:autoSpaceDE w:val="0"/>
              <w:autoSpaceDN w:val="0"/>
              <w:adjustRightInd w:val="0"/>
              <w:spacing w:line="240" w:lineRule="auto"/>
              <w:jc w:val="both"/>
              <w:rPr>
                <w:rFonts w:cs="Arial"/>
                <w:szCs w:val="20"/>
              </w:rPr>
            </w:pPr>
          </w:p>
        </w:tc>
      </w:tr>
    </w:tbl>
    <w:p w14:paraId="2DCF0644" w14:textId="77777777" w:rsidR="00CA53DE" w:rsidRPr="005E4BEA" w:rsidRDefault="00CA53DE" w:rsidP="00CA53DE">
      <w:pPr>
        <w:jc w:val="both"/>
        <w:rPr>
          <w:rFonts w:cs="Arial"/>
          <w:szCs w:val="20"/>
        </w:rPr>
      </w:pPr>
    </w:p>
    <w:p w14:paraId="7A302090" w14:textId="77777777" w:rsidR="00CA53DE" w:rsidRPr="005E4BEA" w:rsidRDefault="00CA53DE" w:rsidP="00CA53DE">
      <w:pPr>
        <w:spacing w:line="240" w:lineRule="exact"/>
        <w:jc w:val="both"/>
        <w:rPr>
          <w:rFonts w:cs="Arial"/>
          <w:szCs w:val="20"/>
        </w:rPr>
      </w:pPr>
      <w:r w:rsidRPr="005E4BEA">
        <w:rPr>
          <w:rFonts w:cs="Arial"/>
          <w:szCs w:val="20"/>
        </w:rPr>
        <w:t>Spremembe veljajo od 1. 7. 2022 naprej.</w:t>
      </w:r>
    </w:p>
    <w:bookmarkEnd w:id="37"/>
    <w:bookmarkEnd w:id="32"/>
    <w:p w14:paraId="59B4B27C" w14:textId="04303823" w:rsidR="00830452" w:rsidRPr="005E4BEA" w:rsidRDefault="00830452" w:rsidP="00FE461F">
      <w:pPr>
        <w:spacing w:line="240" w:lineRule="auto"/>
        <w:rPr>
          <w:rFonts w:cs="Arial"/>
          <w:szCs w:val="20"/>
        </w:rPr>
      </w:pPr>
    </w:p>
    <w:p w14:paraId="09B3C42B" w14:textId="1B2DAA82" w:rsidR="00442757" w:rsidRPr="005E4BEA" w:rsidRDefault="00442757"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(40)</w:t>
      </w:r>
    </w:p>
    <w:p w14:paraId="69F0215D" w14:textId="77777777" w:rsidR="00442757" w:rsidRPr="005E4BEA" w:rsidRDefault="00442757" w:rsidP="00442757">
      <w:pPr>
        <w:spacing w:line="0" w:lineRule="atLeast"/>
        <w:ind w:left="360"/>
        <w:contextualSpacing/>
        <w:jc w:val="both"/>
        <w:rPr>
          <w:rFonts w:eastAsia="Arial Narrow" w:cs="Arial"/>
          <w:bCs/>
          <w:szCs w:val="20"/>
        </w:rPr>
      </w:pPr>
    </w:p>
    <w:p w14:paraId="6337ABD5" w14:textId="081E619D" w:rsidR="00FE461F" w:rsidRPr="005E4BEA" w:rsidRDefault="00442757" w:rsidP="00955869">
      <w:pPr>
        <w:spacing w:line="240" w:lineRule="auto"/>
        <w:ind w:right="-1"/>
        <w:jc w:val="both"/>
        <w:rPr>
          <w:rFonts w:cs="Arial"/>
          <w:bCs/>
          <w:szCs w:val="20"/>
        </w:rPr>
      </w:pPr>
      <w:r w:rsidRPr="005E4BEA">
        <w:rPr>
          <w:rFonts w:eastAsia="Arial Narrow" w:cs="Arial"/>
          <w:b/>
          <w:szCs w:val="20"/>
        </w:rPr>
        <w:t xml:space="preserve">Zavod za zdravstveno zavarovanje Slovenije predlaga, </w:t>
      </w:r>
      <w:r w:rsidRPr="005E4BEA">
        <w:rPr>
          <w:rFonts w:eastAsia="Arial Narrow" w:cs="Arial"/>
          <w:bCs/>
          <w:szCs w:val="20"/>
        </w:rPr>
        <w:t>da se v</w:t>
      </w:r>
      <w:r w:rsidRPr="005E4BEA">
        <w:rPr>
          <w:rFonts w:cs="Arial"/>
          <w:bCs/>
          <w:szCs w:val="20"/>
        </w:rPr>
        <w:t xml:space="preserve"> 24. členu v (5) odstavku doda </w:t>
      </w:r>
      <w:r w:rsidR="00FE461F" w:rsidRPr="005E4BEA">
        <w:rPr>
          <w:rFonts w:cs="Arial"/>
          <w:bCs/>
          <w:szCs w:val="20"/>
        </w:rPr>
        <w:t>nova točka, ki se glasi:</w:t>
      </w:r>
    </w:p>
    <w:p w14:paraId="69C80509" w14:textId="77777777" w:rsidR="00FE461F" w:rsidRPr="005E4BEA" w:rsidRDefault="00FE461F" w:rsidP="00FE461F">
      <w:pPr>
        <w:spacing w:line="120" w:lineRule="exact"/>
        <w:jc w:val="both"/>
        <w:rPr>
          <w:rFonts w:cs="Arial"/>
          <w:szCs w:val="20"/>
        </w:rPr>
      </w:pPr>
    </w:p>
    <w:tbl>
      <w:tblPr>
        <w:tblW w:w="8717" w:type="dxa"/>
        <w:tblInd w:w="6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CellMar>
          <w:left w:w="70" w:type="dxa"/>
          <w:right w:w="70" w:type="dxa"/>
        </w:tblCellMar>
        <w:tblLook w:val="04A0" w:firstRow="1" w:lastRow="0" w:firstColumn="1" w:lastColumn="0" w:noHBand="0" w:noVBand="1"/>
      </w:tblPr>
      <w:tblGrid>
        <w:gridCol w:w="3964"/>
        <w:gridCol w:w="963"/>
        <w:gridCol w:w="1063"/>
        <w:gridCol w:w="1310"/>
        <w:gridCol w:w="1417"/>
      </w:tblGrid>
      <w:tr w:rsidR="00FE461F" w:rsidRPr="005E4BEA" w14:paraId="321C2152" w14:textId="77777777" w:rsidTr="0016774B">
        <w:trPr>
          <w:trHeight w:hRule="exact" w:val="20"/>
        </w:trPr>
        <w:tc>
          <w:tcPr>
            <w:tcW w:w="4325" w:type="dxa"/>
            <w:vMerge w:val="restart"/>
            <w:shd w:val="clear" w:color="auto" w:fill="auto"/>
            <w:vAlign w:val="center"/>
            <w:hideMark/>
          </w:tcPr>
          <w:p w14:paraId="3976115F" w14:textId="77777777" w:rsidR="00FE461F" w:rsidRPr="005E4BEA" w:rsidRDefault="00FE461F" w:rsidP="00FE461F">
            <w:pPr>
              <w:spacing w:after="120" w:line="240" w:lineRule="auto"/>
              <w:jc w:val="both"/>
              <w:rPr>
                <w:rFonts w:eastAsia="Arial Narrow" w:cs="Arial"/>
                <w:b/>
                <w:szCs w:val="20"/>
              </w:rPr>
            </w:pPr>
            <w:r w:rsidRPr="005E4BEA">
              <w:rPr>
                <w:rFonts w:eastAsia="Arial Narrow" w:cs="Arial"/>
                <w:b/>
                <w:szCs w:val="20"/>
              </w:rPr>
              <w:t>P   r   o   g   r   a   m</w:t>
            </w:r>
          </w:p>
        </w:tc>
        <w:tc>
          <w:tcPr>
            <w:tcW w:w="844" w:type="dxa"/>
            <w:vMerge w:val="restart"/>
            <w:shd w:val="clear" w:color="auto" w:fill="auto"/>
            <w:vAlign w:val="center"/>
            <w:hideMark/>
          </w:tcPr>
          <w:p w14:paraId="018540F5" w14:textId="77777777" w:rsidR="00FE461F" w:rsidRPr="005E4BEA" w:rsidRDefault="00FE461F" w:rsidP="00FE461F">
            <w:pPr>
              <w:spacing w:after="120" w:line="240" w:lineRule="auto"/>
              <w:jc w:val="both"/>
              <w:rPr>
                <w:rFonts w:eastAsia="Arial Narrow" w:cs="Arial"/>
                <w:b/>
                <w:szCs w:val="20"/>
              </w:rPr>
            </w:pPr>
            <w:r w:rsidRPr="005E4BEA">
              <w:rPr>
                <w:rFonts w:eastAsia="Arial Narrow" w:cs="Arial"/>
                <w:b/>
                <w:szCs w:val="20"/>
              </w:rPr>
              <w:t>Izvajalec</w:t>
            </w:r>
          </w:p>
        </w:tc>
        <w:tc>
          <w:tcPr>
            <w:tcW w:w="821" w:type="dxa"/>
            <w:vMerge w:val="restart"/>
            <w:shd w:val="clear" w:color="auto" w:fill="auto"/>
            <w:vAlign w:val="center"/>
            <w:hideMark/>
          </w:tcPr>
          <w:p w14:paraId="7019A981" w14:textId="77777777" w:rsidR="00FE461F" w:rsidRPr="005E4BEA" w:rsidRDefault="00FE461F" w:rsidP="00FE461F">
            <w:pPr>
              <w:spacing w:after="120" w:line="240" w:lineRule="auto"/>
              <w:jc w:val="both"/>
              <w:rPr>
                <w:rFonts w:eastAsia="Arial Narrow" w:cs="Arial"/>
                <w:b/>
                <w:szCs w:val="20"/>
              </w:rPr>
            </w:pPr>
            <w:r w:rsidRPr="005E4BEA">
              <w:rPr>
                <w:rFonts w:eastAsia="Arial Narrow" w:cs="Arial"/>
                <w:b/>
                <w:szCs w:val="20"/>
              </w:rPr>
              <w:t>Obseg programa</w:t>
            </w:r>
          </w:p>
        </w:tc>
        <w:tc>
          <w:tcPr>
            <w:tcW w:w="1310" w:type="dxa"/>
            <w:vMerge w:val="restart"/>
            <w:shd w:val="clear" w:color="auto" w:fill="auto"/>
            <w:vAlign w:val="center"/>
            <w:hideMark/>
          </w:tcPr>
          <w:p w14:paraId="2388A40A" w14:textId="77777777" w:rsidR="00FE461F" w:rsidRPr="005E4BEA" w:rsidRDefault="00FE461F" w:rsidP="00FE461F">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na letni ravni</w:t>
            </w:r>
            <w:r w:rsidRPr="005E4BEA">
              <w:rPr>
                <w:rFonts w:eastAsia="Arial Narrow" w:cs="Arial"/>
                <w:b/>
                <w:szCs w:val="20"/>
              </w:rPr>
              <w:br/>
              <w:t>(v EUR)</w:t>
            </w:r>
          </w:p>
        </w:tc>
        <w:tc>
          <w:tcPr>
            <w:tcW w:w="1417" w:type="dxa"/>
            <w:vMerge w:val="restart"/>
            <w:shd w:val="clear" w:color="auto" w:fill="auto"/>
            <w:vAlign w:val="center"/>
            <w:hideMark/>
          </w:tcPr>
          <w:p w14:paraId="4C09E17C" w14:textId="77777777" w:rsidR="00FE461F" w:rsidRPr="005E4BEA" w:rsidRDefault="00FE461F" w:rsidP="00FE461F">
            <w:pPr>
              <w:spacing w:after="120" w:line="240" w:lineRule="auto"/>
              <w:jc w:val="right"/>
              <w:rPr>
                <w:rFonts w:eastAsia="Arial Narrow" w:cs="Arial"/>
                <w:b/>
                <w:szCs w:val="20"/>
              </w:rPr>
            </w:pPr>
            <w:proofErr w:type="spellStart"/>
            <w:r w:rsidRPr="005E4BEA">
              <w:rPr>
                <w:rFonts w:eastAsia="Arial Narrow" w:cs="Arial"/>
                <w:b/>
                <w:szCs w:val="20"/>
              </w:rPr>
              <w:t>Dod</w:t>
            </w:r>
            <w:proofErr w:type="spellEnd"/>
            <w:r w:rsidRPr="005E4BEA">
              <w:rPr>
                <w:rFonts w:eastAsia="Arial Narrow" w:cs="Arial"/>
                <w:b/>
                <w:szCs w:val="20"/>
              </w:rPr>
              <w:t>. sred.</w:t>
            </w:r>
            <w:r w:rsidRPr="005E4BEA">
              <w:rPr>
                <w:rFonts w:eastAsia="Arial Narrow" w:cs="Arial"/>
                <w:b/>
                <w:szCs w:val="20"/>
              </w:rPr>
              <w:br/>
              <w:t>1.1.-31.12.2022</w:t>
            </w:r>
            <w:r w:rsidRPr="005E4BEA">
              <w:rPr>
                <w:rFonts w:eastAsia="Arial Narrow" w:cs="Arial"/>
                <w:b/>
                <w:szCs w:val="20"/>
              </w:rPr>
              <w:br/>
              <w:t>(v EUR)</w:t>
            </w:r>
          </w:p>
        </w:tc>
      </w:tr>
      <w:tr w:rsidR="00FE461F" w:rsidRPr="005E4BEA" w14:paraId="490355AD" w14:textId="77777777" w:rsidTr="0016774B">
        <w:trPr>
          <w:trHeight w:hRule="exact" w:val="20"/>
        </w:trPr>
        <w:tc>
          <w:tcPr>
            <w:tcW w:w="4325" w:type="dxa"/>
            <w:vMerge/>
            <w:shd w:val="clear" w:color="auto" w:fill="auto"/>
            <w:vAlign w:val="center"/>
          </w:tcPr>
          <w:p w14:paraId="7C37275E" w14:textId="77777777" w:rsidR="00FE461F" w:rsidRPr="005E4BEA" w:rsidRDefault="00FE461F" w:rsidP="00FE461F">
            <w:pPr>
              <w:spacing w:after="120" w:line="240" w:lineRule="auto"/>
              <w:jc w:val="both"/>
              <w:rPr>
                <w:rFonts w:eastAsia="Arial Narrow" w:cs="Arial"/>
                <w:b/>
                <w:szCs w:val="20"/>
              </w:rPr>
            </w:pPr>
          </w:p>
        </w:tc>
        <w:tc>
          <w:tcPr>
            <w:tcW w:w="844" w:type="dxa"/>
            <w:vMerge/>
            <w:shd w:val="clear" w:color="auto" w:fill="auto"/>
            <w:vAlign w:val="center"/>
          </w:tcPr>
          <w:p w14:paraId="6AEE4685" w14:textId="77777777" w:rsidR="00FE461F" w:rsidRPr="005E4BEA" w:rsidRDefault="00FE461F" w:rsidP="00FE461F">
            <w:pPr>
              <w:spacing w:after="120" w:line="240" w:lineRule="auto"/>
              <w:jc w:val="both"/>
              <w:rPr>
                <w:rFonts w:eastAsia="Arial Narrow" w:cs="Arial"/>
                <w:b/>
                <w:szCs w:val="20"/>
              </w:rPr>
            </w:pPr>
          </w:p>
        </w:tc>
        <w:tc>
          <w:tcPr>
            <w:tcW w:w="821" w:type="dxa"/>
            <w:vMerge/>
            <w:shd w:val="clear" w:color="auto" w:fill="auto"/>
            <w:vAlign w:val="center"/>
          </w:tcPr>
          <w:p w14:paraId="52144271" w14:textId="77777777" w:rsidR="00FE461F" w:rsidRPr="005E4BEA" w:rsidRDefault="00FE461F" w:rsidP="00FE461F">
            <w:pPr>
              <w:spacing w:after="120" w:line="240" w:lineRule="auto"/>
              <w:jc w:val="both"/>
              <w:rPr>
                <w:rFonts w:eastAsia="Arial Narrow" w:cs="Arial"/>
                <w:b/>
                <w:szCs w:val="20"/>
              </w:rPr>
            </w:pPr>
          </w:p>
        </w:tc>
        <w:tc>
          <w:tcPr>
            <w:tcW w:w="1310" w:type="dxa"/>
            <w:vMerge/>
            <w:shd w:val="clear" w:color="auto" w:fill="auto"/>
            <w:vAlign w:val="center"/>
          </w:tcPr>
          <w:p w14:paraId="6E45D911" w14:textId="77777777" w:rsidR="00FE461F" w:rsidRPr="005E4BEA" w:rsidRDefault="00FE461F" w:rsidP="00FE461F">
            <w:pPr>
              <w:spacing w:after="120" w:line="240" w:lineRule="auto"/>
              <w:jc w:val="both"/>
              <w:rPr>
                <w:rFonts w:eastAsia="Arial Narrow" w:cs="Arial"/>
                <w:b/>
                <w:szCs w:val="20"/>
              </w:rPr>
            </w:pPr>
          </w:p>
        </w:tc>
        <w:tc>
          <w:tcPr>
            <w:tcW w:w="1417" w:type="dxa"/>
            <w:vMerge/>
            <w:shd w:val="clear" w:color="auto" w:fill="auto"/>
            <w:vAlign w:val="center"/>
          </w:tcPr>
          <w:p w14:paraId="08A55039" w14:textId="77777777" w:rsidR="00FE461F" w:rsidRPr="005E4BEA" w:rsidRDefault="00FE461F" w:rsidP="00FE461F">
            <w:pPr>
              <w:spacing w:after="120" w:line="240" w:lineRule="auto"/>
              <w:jc w:val="both"/>
              <w:rPr>
                <w:rFonts w:eastAsia="Arial Narrow" w:cs="Arial"/>
                <w:b/>
                <w:szCs w:val="20"/>
              </w:rPr>
            </w:pPr>
          </w:p>
        </w:tc>
      </w:tr>
      <w:tr w:rsidR="00FE461F" w:rsidRPr="005E4BEA" w14:paraId="2331EA6F" w14:textId="77777777" w:rsidTr="0016774B">
        <w:trPr>
          <w:trHeight w:hRule="exact" w:val="20"/>
        </w:trPr>
        <w:tc>
          <w:tcPr>
            <w:tcW w:w="4325" w:type="dxa"/>
            <w:vMerge/>
            <w:shd w:val="clear" w:color="auto" w:fill="auto"/>
            <w:vAlign w:val="center"/>
          </w:tcPr>
          <w:p w14:paraId="1FFAA5D1" w14:textId="77777777" w:rsidR="00FE461F" w:rsidRPr="005E4BEA" w:rsidRDefault="00FE461F" w:rsidP="00FE461F">
            <w:pPr>
              <w:spacing w:after="120" w:line="240" w:lineRule="auto"/>
              <w:jc w:val="both"/>
              <w:rPr>
                <w:rFonts w:eastAsia="Arial Narrow" w:cs="Arial"/>
                <w:b/>
                <w:szCs w:val="20"/>
              </w:rPr>
            </w:pPr>
          </w:p>
        </w:tc>
        <w:tc>
          <w:tcPr>
            <w:tcW w:w="844" w:type="dxa"/>
            <w:vMerge/>
            <w:shd w:val="clear" w:color="auto" w:fill="auto"/>
            <w:vAlign w:val="center"/>
          </w:tcPr>
          <w:p w14:paraId="6DB7FFD7" w14:textId="77777777" w:rsidR="00FE461F" w:rsidRPr="005E4BEA" w:rsidRDefault="00FE461F" w:rsidP="00FE461F">
            <w:pPr>
              <w:spacing w:after="120" w:line="240" w:lineRule="auto"/>
              <w:jc w:val="both"/>
              <w:rPr>
                <w:rFonts w:eastAsia="Arial Narrow" w:cs="Arial"/>
                <w:b/>
                <w:szCs w:val="20"/>
              </w:rPr>
            </w:pPr>
          </w:p>
        </w:tc>
        <w:tc>
          <w:tcPr>
            <w:tcW w:w="821" w:type="dxa"/>
            <w:vMerge/>
            <w:shd w:val="clear" w:color="auto" w:fill="auto"/>
            <w:vAlign w:val="center"/>
          </w:tcPr>
          <w:p w14:paraId="46DECECB" w14:textId="77777777" w:rsidR="00FE461F" w:rsidRPr="005E4BEA" w:rsidRDefault="00FE461F" w:rsidP="00FE461F">
            <w:pPr>
              <w:spacing w:after="120" w:line="240" w:lineRule="auto"/>
              <w:jc w:val="both"/>
              <w:rPr>
                <w:rFonts w:eastAsia="Arial Narrow" w:cs="Arial"/>
                <w:b/>
                <w:szCs w:val="20"/>
              </w:rPr>
            </w:pPr>
          </w:p>
        </w:tc>
        <w:tc>
          <w:tcPr>
            <w:tcW w:w="1310" w:type="dxa"/>
            <w:vMerge/>
            <w:shd w:val="clear" w:color="auto" w:fill="auto"/>
            <w:vAlign w:val="center"/>
          </w:tcPr>
          <w:p w14:paraId="6CB02CF7" w14:textId="77777777" w:rsidR="00FE461F" w:rsidRPr="005E4BEA" w:rsidRDefault="00FE461F" w:rsidP="00FE461F">
            <w:pPr>
              <w:spacing w:after="120" w:line="240" w:lineRule="auto"/>
              <w:jc w:val="both"/>
              <w:rPr>
                <w:rFonts w:eastAsia="Arial Narrow" w:cs="Arial"/>
                <w:b/>
                <w:szCs w:val="20"/>
              </w:rPr>
            </w:pPr>
          </w:p>
        </w:tc>
        <w:tc>
          <w:tcPr>
            <w:tcW w:w="1417" w:type="dxa"/>
            <w:vMerge/>
            <w:shd w:val="clear" w:color="auto" w:fill="auto"/>
            <w:vAlign w:val="center"/>
          </w:tcPr>
          <w:p w14:paraId="3DB9FD29" w14:textId="77777777" w:rsidR="00FE461F" w:rsidRPr="005E4BEA" w:rsidRDefault="00FE461F" w:rsidP="00FE461F">
            <w:pPr>
              <w:spacing w:after="120" w:line="240" w:lineRule="auto"/>
              <w:jc w:val="both"/>
              <w:rPr>
                <w:rFonts w:eastAsia="Arial Narrow" w:cs="Arial"/>
                <w:b/>
                <w:szCs w:val="20"/>
              </w:rPr>
            </w:pPr>
          </w:p>
        </w:tc>
      </w:tr>
      <w:tr w:rsidR="00FE461F" w:rsidRPr="005E4BEA" w14:paraId="2B926F2B" w14:textId="77777777" w:rsidTr="0016774B">
        <w:trPr>
          <w:trHeight w:val="509"/>
        </w:trPr>
        <w:tc>
          <w:tcPr>
            <w:tcW w:w="4325" w:type="dxa"/>
            <w:vMerge/>
            <w:vAlign w:val="center"/>
            <w:hideMark/>
          </w:tcPr>
          <w:p w14:paraId="4CFB6450" w14:textId="77777777" w:rsidR="00FE461F" w:rsidRPr="005E4BEA" w:rsidRDefault="00FE461F" w:rsidP="00FE461F">
            <w:pPr>
              <w:spacing w:after="120" w:line="240" w:lineRule="auto"/>
              <w:jc w:val="both"/>
              <w:rPr>
                <w:rFonts w:eastAsia="Arial Narrow" w:cs="Arial"/>
                <w:szCs w:val="20"/>
              </w:rPr>
            </w:pPr>
          </w:p>
        </w:tc>
        <w:tc>
          <w:tcPr>
            <w:tcW w:w="844" w:type="dxa"/>
            <w:vMerge/>
            <w:vAlign w:val="center"/>
            <w:hideMark/>
          </w:tcPr>
          <w:p w14:paraId="63442F8C" w14:textId="77777777" w:rsidR="00FE461F" w:rsidRPr="005E4BEA" w:rsidRDefault="00FE461F" w:rsidP="00FE461F">
            <w:pPr>
              <w:spacing w:after="120" w:line="240" w:lineRule="auto"/>
              <w:jc w:val="both"/>
              <w:rPr>
                <w:rFonts w:eastAsia="Arial Narrow" w:cs="Arial"/>
                <w:szCs w:val="20"/>
              </w:rPr>
            </w:pPr>
          </w:p>
        </w:tc>
        <w:tc>
          <w:tcPr>
            <w:tcW w:w="821" w:type="dxa"/>
            <w:vMerge/>
            <w:vAlign w:val="center"/>
            <w:hideMark/>
          </w:tcPr>
          <w:p w14:paraId="49E0E992" w14:textId="77777777" w:rsidR="00FE461F" w:rsidRPr="005E4BEA" w:rsidRDefault="00FE461F" w:rsidP="00FE461F">
            <w:pPr>
              <w:spacing w:after="120" w:line="240" w:lineRule="auto"/>
              <w:jc w:val="both"/>
              <w:rPr>
                <w:rFonts w:eastAsia="Arial Narrow" w:cs="Arial"/>
                <w:szCs w:val="20"/>
              </w:rPr>
            </w:pPr>
          </w:p>
        </w:tc>
        <w:tc>
          <w:tcPr>
            <w:tcW w:w="1310" w:type="dxa"/>
            <w:vMerge/>
            <w:vAlign w:val="center"/>
            <w:hideMark/>
          </w:tcPr>
          <w:p w14:paraId="546D6C77" w14:textId="77777777" w:rsidR="00FE461F" w:rsidRPr="005E4BEA" w:rsidRDefault="00FE461F" w:rsidP="00FE461F">
            <w:pPr>
              <w:spacing w:after="120" w:line="240" w:lineRule="auto"/>
              <w:jc w:val="both"/>
              <w:rPr>
                <w:rFonts w:eastAsia="Arial Narrow" w:cs="Arial"/>
                <w:szCs w:val="20"/>
              </w:rPr>
            </w:pPr>
          </w:p>
        </w:tc>
        <w:tc>
          <w:tcPr>
            <w:tcW w:w="1417" w:type="dxa"/>
            <w:vMerge/>
            <w:vAlign w:val="center"/>
            <w:hideMark/>
          </w:tcPr>
          <w:p w14:paraId="04E6F6B0" w14:textId="77777777" w:rsidR="00FE461F" w:rsidRPr="005E4BEA" w:rsidRDefault="00FE461F" w:rsidP="00FE461F">
            <w:pPr>
              <w:spacing w:after="120" w:line="240" w:lineRule="auto"/>
              <w:jc w:val="both"/>
              <w:rPr>
                <w:rFonts w:eastAsia="Arial Narrow" w:cs="Arial"/>
                <w:szCs w:val="20"/>
              </w:rPr>
            </w:pPr>
          </w:p>
        </w:tc>
      </w:tr>
      <w:tr w:rsidR="00FE461F" w:rsidRPr="005E4BEA" w14:paraId="3D768ABF" w14:textId="77777777" w:rsidTr="0016774B">
        <w:trPr>
          <w:trHeight w:hRule="exact" w:val="340"/>
        </w:trPr>
        <w:tc>
          <w:tcPr>
            <w:tcW w:w="4325" w:type="dxa"/>
            <w:vMerge/>
            <w:vAlign w:val="center"/>
            <w:hideMark/>
          </w:tcPr>
          <w:p w14:paraId="2BBF8510" w14:textId="77777777" w:rsidR="00FE461F" w:rsidRPr="005E4BEA" w:rsidRDefault="00FE461F" w:rsidP="00FE461F">
            <w:pPr>
              <w:spacing w:after="120" w:line="240" w:lineRule="auto"/>
              <w:jc w:val="both"/>
              <w:rPr>
                <w:rFonts w:eastAsia="Arial Narrow" w:cs="Arial"/>
                <w:szCs w:val="20"/>
              </w:rPr>
            </w:pPr>
          </w:p>
        </w:tc>
        <w:tc>
          <w:tcPr>
            <w:tcW w:w="844" w:type="dxa"/>
            <w:vMerge/>
            <w:vAlign w:val="center"/>
            <w:hideMark/>
          </w:tcPr>
          <w:p w14:paraId="6D607261" w14:textId="77777777" w:rsidR="00FE461F" w:rsidRPr="005E4BEA" w:rsidRDefault="00FE461F" w:rsidP="00FE461F">
            <w:pPr>
              <w:spacing w:after="120" w:line="240" w:lineRule="auto"/>
              <w:jc w:val="both"/>
              <w:rPr>
                <w:rFonts w:eastAsia="Arial Narrow" w:cs="Arial"/>
                <w:szCs w:val="20"/>
              </w:rPr>
            </w:pPr>
          </w:p>
        </w:tc>
        <w:tc>
          <w:tcPr>
            <w:tcW w:w="821" w:type="dxa"/>
            <w:vMerge/>
            <w:vAlign w:val="center"/>
            <w:hideMark/>
          </w:tcPr>
          <w:p w14:paraId="2810DC97" w14:textId="77777777" w:rsidR="00FE461F" w:rsidRPr="005E4BEA" w:rsidRDefault="00FE461F" w:rsidP="00FE461F">
            <w:pPr>
              <w:spacing w:after="120" w:line="240" w:lineRule="auto"/>
              <w:jc w:val="both"/>
              <w:rPr>
                <w:rFonts w:eastAsia="Arial Narrow" w:cs="Arial"/>
                <w:szCs w:val="20"/>
              </w:rPr>
            </w:pPr>
          </w:p>
        </w:tc>
        <w:tc>
          <w:tcPr>
            <w:tcW w:w="1310" w:type="dxa"/>
            <w:vMerge/>
            <w:vAlign w:val="center"/>
            <w:hideMark/>
          </w:tcPr>
          <w:p w14:paraId="29EB4F52" w14:textId="77777777" w:rsidR="00FE461F" w:rsidRPr="005E4BEA" w:rsidRDefault="00FE461F" w:rsidP="00FE461F">
            <w:pPr>
              <w:spacing w:after="120" w:line="240" w:lineRule="auto"/>
              <w:jc w:val="both"/>
              <w:rPr>
                <w:rFonts w:eastAsia="Arial Narrow" w:cs="Arial"/>
                <w:szCs w:val="20"/>
              </w:rPr>
            </w:pPr>
          </w:p>
        </w:tc>
        <w:tc>
          <w:tcPr>
            <w:tcW w:w="1417" w:type="dxa"/>
            <w:vMerge/>
            <w:vAlign w:val="center"/>
            <w:hideMark/>
          </w:tcPr>
          <w:p w14:paraId="434EB4B0" w14:textId="77777777" w:rsidR="00FE461F" w:rsidRPr="005E4BEA" w:rsidRDefault="00FE461F" w:rsidP="00FE461F">
            <w:pPr>
              <w:spacing w:after="120" w:line="240" w:lineRule="auto"/>
              <w:jc w:val="both"/>
              <w:rPr>
                <w:rFonts w:eastAsia="Arial Narrow" w:cs="Arial"/>
                <w:szCs w:val="20"/>
              </w:rPr>
            </w:pPr>
          </w:p>
        </w:tc>
      </w:tr>
      <w:tr w:rsidR="00FE461F" w:rsidRPr="005E4BEA" w14:paraId="71C6E613" w14:textId="77777777" w:rsidTr="0016774B">
        <w:trPr>
          <w:trHeight w:hRule="exact" w:val="1247"/>
        </w:trPr>
        <w:tc>
          <w:tcPr>
            <w:tcW w:w="4325" w:type="dxa"/>
            <w:shd w:val="clear" w:color="auto" w:fill="auto"/>
          </w:tcPr>
          <w:p w14:paraId="07B58DD1" w14:textId="77777777" w:rsidR="00FE461F" w:rsidRPr="005E4BEA" w:rsidRDefault="00FE461F" w:rsidP="00FE461F">
            <w:pPr>
              <w:spacing w:line="240" w:lineRule="exact"/>
              <w:jc w:val="both"/>
              <w:rPr>
                <w:rFonts w:eastAsia="Arial Narrow" w:cs="Arial"/>
                <w:szCs w:val="20"/>
              </w:rPr>
            </w:pPr>
            <w:r w:rsidRPr="005E4BEA">
              <w:rPr>
                <w:rFonts w:eastAsia="Arial Narrow" w:cs="Arial"/>
                <w:szCs w:val="20"/>
              </w:rPr>
              <w:t>Sredstva za informatizacijo (</w:t>
            </w:r>
            <w:proofErr w:type="spellStart"/>
            <w:r w:rsidRPr="005E4BEA">
              <w:rPr>
                <w:rFonts w:eastAsia="Arial Narrow" w:cs="Arial"/>
                <w:szCs w:val="20"/>
              </w:rPr>
              <w:t>ePrijava</w:t>
            </w:r>
            <w:proofErr w:type="spellEnd"/>
            <w:r w:rsidRPr="005E4BEA">
              <w:rPr>
                <w:rFonts w:eastAsia="Arial Narrow" w:cs="Arial"/>
                <w:szCs w:val="20"/>
              </w:rPr>
              <w:t xml:space="preserve"> nezgode in poškodbe pri delu – poročilo zdravnik) v ambulantah družinske medicine ter v otroško-šolskih dispanzerjih *</w:t>
            </w:r>
          </w:p>
          <w:p w14:paraId="5B0E48E4" w14:textId="77777777" w:rsidR="00FE461F" w:rsidRPr="005E4BEA" w:rsidRDefault="00FE461F" w:rsidP="00FE461F">
            <w:pPr>
              <w:spacing w:line="240" w:lineRule="exact"/>
              <w:jc w:val="both"/>
              <w:rPr>
                <w:rFonts w:eastAsia="Arial Narrow" w:cs="Arial"/>
                <w:szCs w:val="20"/>
              </w:rPr>
            </w:pPr>
            <w:r w:rsidRPr="005E4BEA">
              <w:rPr>
                <w:rFonts w:eastAsia="Arial Narrow" w:cs="Arial"/>
                <w:szCs w:val="20"/>
              </w:rPr>
              <w:t>Od 1. 1. 2022 do 31. 12. 20022</w:t>
            </w:r>
          </w:p>
          <w:p w14:paraId="4E0F34FC" w14:textId="77777777" w:rsidR="00FE461F" w:rsidRPr="005E4BEA" w:rsidRDefault="00FE461F" w:rsidP="00FE461F">
            <w:pPr>
              <w:spacing w:line="240" w:lineRule="exact"/>
              <w:jc w:val="both"/>
              <w:rPr>
                <w:rFonts w:eastAsia="Arial Narrow" w:cs="Arial"/>
                <w:szCs w:val="20"/>
              </w:rPr>
            </w:pPr>
          </w:p>
        </w:tc>
        <w:tc>
          <w:tcPr>
            <w:tcW w:w="844" w:type="dxa"/>
            <w:shd w:val="clear" w:color="auto" w:fill="auto"/>
          </w:tcPr>
          <w:p w14:paraId="38707F70" w14:textId="77777777" w:rsidR="00FE461F" w:rsidRPr="005E4BEA" w:rsidRDefault="00FE461F" w:rsidP="00FE461F">
            <w:pPr>
              <w:spacing w:after="120" w:line="240" w:lineRule="auto"/>
              <w:jc w:val="both"/>
              <w:rPr>
                <w:rFonts w:eastAsia="Arial Narrow" w:cs="Arial"/>
                <w:szCs w:val="20"/>
              </w:rPr>
            </w:pPr>
            <w:r w:rsidRPr="005E4BEA">
              <w:rPr>
                <w:rFonts w:eastAsia="Arial Narrow" w:cs="Arial"/>
                <w:szCs w:val="20"/>
              </w:rPr>
              <w:t>V skladu s Prilogo VIII</w:t>
            </w:r>
          </w:p>
        </w:tc>
        <w:tc>
          <w:tcPr>
            <w:tcW w:w="821" w:type="dxa"/>
            <w:shd w:val="clear" w:color="auto" w:fill="auto"/>
            <w:noWrap/>
          </w:tcPr>
          <w:p w14:paraId="4ED5C800" w14:textId="77777777" w:rsidR="00FE461F" w:rsidRPr="005E4BEA" w:rsidRDefault="00FE461F" w:rsidP="00FE461F">
            <w:pPr>
              <w:spacing w:after="120" w:line="240" w:lineRule="auto"/>
              <w:jc w:val="both"/>
              <w:rPr>
                <w:rFonts w:eastAsia="Arial Narrow" w:cs="Arial"/>
                <w:szCs w:val="20"/>
              </w:rPr>
            </w:pPr>
          </w:p>
        </w:tc>
        <w:tc>
          <w:tcPr>
            <w:tcW w:w="1310" w:type="dxa"/>
            <w:shd w:val="clear" w:color="auto" w:fill="auto"/>
            <w:noWrap/>
          </w:tcPr>
          <w:p w14:paraId="7A667972" w14:textId="77777777" w:rsidR="00FE461F" w:rsidRPr="005E4BEA" w:rsidRDefault="00FE461F" w:rsidP="00FE461F">
            <w:pPr>
              <w:spacing w:after="120" w:line="240" w:lineRule="auto"/>
              <w:jc w:val="both"/>
              <w:rPr>
                <w:rFonts w:eastAsia="Arial Narrow" w:cs="Arial"/>
                <w:szCs w:val="20"/>
              </w:rPr>
            </w:pPr>
          </w:p>
        </w:tc>
        <w:tc>
          <w:tcPr>
            <w:tcW w:w="1417" w:type="dxa"/>
            <w:shd w:val="clear" w:color="auto" w:fill="auto"/>
            <w:noWrap/>
          </w:tcPr>
          <w:p w14:paraId="484DF543" w14:textId="77777777" w:rsidR="00FE461F" w:rsidRPr="005E4BEA" w:rsidRDefault="00FE461F" w:rsidP="00FE461F">
            <w:pPr>
              <w:spacing w:after="120" w:line="240" w:lineRule="auto"/>
              <w:jc w:val="right"/>
              <w:rPr>
                <w:rFonts w:eastAsia="Arial Narrow" w:cs="Arial"/>
                <w:szCs w:val="20"/>
              </w:rPr>
            </w:pPr>
            <w:r w:rsidRPr="005E4BEA">
              <w:rPr>
                <w:rFonts w:eastAsia="Arial Narrow" w:cs="Arial"/>
                <w:szCs w:val="20"/>
              </w:rPr>
              <w:t>341.936,11</w:t>
            </w:r>
          </w:p>
        </w:tc>
      </w:tr>
    </w:tbl>
    <w:p w14:paraId="767565D4" w14:textId="77777777" w:rsidR="00FE461F" w:rsidRPr="005E4BEA" w:rsidRDefault="00FE461F" w:rsidP="00FE461F">
      <w:pPr>
        <w:spacing w:line="240" w:lineRule="exact"/>
        <w:jc w:val="both"/>
        <w:rPr>
          <w:rFonts w:cs="Arial"/>
          <w:szCs w:val="20"/>
        </w:rPr>
      </w:pPr>
    </w:p>
    <w:p w14:paraId="10D06AD5" w14:textId="77777777" w:rsidR="00FE461F" w:rsidRPr="005E4BEA" w:rsidRDefault="00FE461F" w:rsidP="00FE461F">
      <w:pPr>
        <w:spacing w:line="240" w:lineRule="exact"/>
        <w:jc w:val="both"/>
        <w:rPr>
          <w:rFonts w:cs="Arial"/>
          <w:szCs w:val="20"/>
        </w:rPr>
      </w:pPr>
      <w:r w:rsidRPr="005E4BEA">
        <w:rPr>
          <w:rFonts w:cs="Arial"/>
          <w:szCs w:val="20"/>
        </w:rPr>
        <w:t>*Višina sredstev, ki jih prejme posamezni izvajalec je razvidna iz Priloge VIII. Sredstva se izvajalcu zagotovijo pri prvem obračunu zdravstvenih storitev po sprejemu Aneksa 1 k Dogovoru 2022.</w:t>
      </w:r>
    </w:p>
    <w:p w14:paraId="269F27C0" w14:textId="77777777" w:rsidR="00FE461F" w:rsidRPr="005E4BEA" w:rsidRDefault="00FE461F" w:rsidP="00FE461F">
      <w:pPr>
        <w:spacing w:line="240" w:lineRule="exact"/>
        <w:jc w:val="both"/>
        <w:rPr>
          <w:rFonts w:cs="Arial"/>
          <w:szCs w:val="20"/>
        </w:rPr>
      </w:pPr>
    </w:p>
    <w:p w14:paraId="42C4B755" w14:textId="77777777" w:rsidR="00FE461F" w:rsidRPr="005E4BEA" w:rsidRDefault="00FE461F" w:rsidP="00FE461F">
      <w:pPr>
        <w:spacing w:line="240" w:lineRule="exact"/>
        <w:jc w:val="both"/>
        <w:rPr>
          <w:rFonts w:cs="Arial"/>
          <w:b/>
          <w:bCs/>
          <w:szCs w:val="20"/>
        </w:rPr>
      </w:pPr>
      <w:r w:rsidRPr="005E4BEA">
        <w:rPr>
          <w:rFonts w:cs="Arial"/>
          <w:b/>
          <w:bCs/>
          <w:szCs w:val="20"/>
        </w:rPr>
        <w:t>V 53. členu se za (1) odstavkom doda nov (2) odstavek, ki se glasi:</w:t>
      </w:r>
    </w:p>
    <w:p w14:paraId="0FBA15C4" w14:textId="77777777" w:rsidR="00FE461F" w:rsidRPr="005E4BEA" w:rsidRDefault="00FE461F" w:rsidP="00FE461F">
      <w:pPr>
        <w:spacing w:line="60" w:lineRule="exact"/>
        <w:jc w:val="both"/>
        <w:rPr>
          <w:rFonts w:cs="Arial"/>
          <w:szCs w:val="20"/>
        </w:rPr>
      </w:pPr>
    </w:p>
    <w:p w14:paraId="70E1CA88" w14:textId="77777777" w:rsidR="00FE461F" w:rsidRPr="005E4BEA" w:rsidRDefault="00FE461F" w:rsidP="00FE461F">
      <w:pPr>
        <w:spacing w:line="240" w:lineRule="exact"/>
        <w:jc w:val="both"/>
        <w:rPr>
          <w:rFonts w:cs="Arial"/>
          <w:szCs w:val="20"/>
        </w:rPr>
      </w:pPr>
      <w:r w:rsidRPr="005E4BEA">
        <w:rPr>
          <w:rFonts w:cs="Arial"/>
          <w:szCs w:val="20"/>
        </w:rPr>
        <w:t xml:space="preserve">»(2) Izvajalci so se dolžni vključiti v sistem </w:t>
      </w:r>
      <w:proofErr w:type="spellStart"/>
      <w:r w:rsidRPr="005E4BEA">
        <w:rPr>
          <w:rFonts w:cs="Arial"/>
          <w:szCs w:val="20"/>
        </w:rPr>
        <w:t>ePrijava</w:t>
      </w:r>
      <w:proofErr w:type="spellEnd"/>
      <w:r w:rsidRPr="005E4BEA">
        <w:rPr>
          <w:rFonts w:cs="Arial"/>
          <w:szCs w:val="20"/>
        </w:rPr>
        <w:t xml:space="preserve"> NPD (elektronska prijava nezgode in poškodbe pri delu – poročilo zdravnika) v treh mesecih od objave navodil Zavoda.«</w:t>
      </w:r>
    </w:p>
    <w:p w14:paraId="2123A471" w14:textId="77777777" w:rsidR="00FE461F" w:rsidRPr="005E4BEA" w:rsidRDefault="00FE461F" w:rsidP="00FE461F">
      <w:pPr>
        <w:spacing w:line="60" w:lineRule="exact"/>
        <w:jc w:val="both"/>
        <w:rPr>
          <w:rFonts w:cs="Arial"/>
          <w:szCs w:val="20"/>
        </w:rPr>
      </w:pPr>
    </w:p>
    <w:p w14:paraId="6F683F37" w14:textId="77777777" w:rsidR="00FE461F" w:rsidRPr="005E4BEA" w:rsidRDefault="00FE461F" w:rsidP="00FE461F">
      <w:pPr>
        <w:spacing w:line="240" w:lineRule="exact"/>
        <w:jc w:val="both"/>
        <w:rPr>
          <w:rFonts w:cs="Arial"/>
          <w:szCs w:val="20"/>
        </w:rPr>
      </w:pPr>
      <w:r w:rsidRPr="005E4BEA">
        <w:rPr>
          <w:rFonts w:cs="Arial"/>
          <w:szCs w:val="20"/>
        </w:rPr>
        <w:t>Sprememba velja od 1. 1. 2022 naprej.</w:t>
      </w:r>
    </w:p>
    <w:p w14:paraId="0D4E1BB7" w14:textId="77777777" w:rsidR="00FE461F" w:rsidRPr="005E4BEA" w:rsidRDefault="00FE461F" w:rsidP="00FE461F">
      <w:pPr>
        <w:spacing w:line="240" w:lineRule="exact"/>
        <w:jc w:val="both"/>
        <w:rPr>
          <w:rFonts w:cs="Arial"/>
          <w:b/>
          <w:bCs/>
          <w:szCs w:val="20"/>
        </w:rPr>
      </w:pPr>
    </w:p>
    <w:p w14:paraId="088A0357" w14:textId="77777777" w:rsidR="00FE461F" w:rsidRPr="005E4BEA" w:rsidRDefault="00FE461F" w:rsidP="00FE461F">
      <w:pPr>
        <w:spacing w:line="240" w:lineRule="exact"/>
        <w:jc w:val="both"/>
        <w:rPr>
          <w:rFonts w:cs="Arial"/>
          <w:b/>
          <w:bCs/>
          <w:szCs w:val="20"/>
        </w:rPr>
      </w:pPr>
      <w:r w:rsidRPr="005E4BEA">
        <w:rPr>
          <w:rFonts w:cs="Arial"/>
          <w:b/>
          <w:bCs/>
          <w:szCs w:val="20"/>
        </w:rPr>
        <w:t>Doda se Priloga VIII, ki se glasi:</w:t>
      </w:r>
    </w:p>
    <w:p w14:paraId="31AEDB80" w14:textId="77777777" w:rsidR="00FE461F" w:rsidRPr="005E4BEA" w:rsidRDefault="00FE461F" w:rsidP="00FE461F">
      <w:pPr>
        <w:spacing w:line="240" w:lineRule="exact"/>
        <w:jc w:val="both"/>
        <w:rPr>
          <w:rFonts w:cs="Arial"/>
          <w:b/>
          <w:bCs/>
          <w:szCs w:val="20"/>
        </w:rPr>
      </w:pPr>
    </w:p>
    <w:p w14:paraId="1C278E80" w14:textId="77777777" w:rsidR="00FE461F" w:rsidRPr="005E4BEA" w:rsidRDefault="00FE461F" w:rsidP="00FE461F">
      <w:pPr>
        <w:spacing w:line="240" w:lineRule="exact"/>
        <w:jc w:val="both"/>
        <w:rPr>
          <w:rFonts w:cs="Arial"/>
          <w:b/>
          <w:bCs/>
          <w:szCs w:val="20"/>
        </w:rPr>
      </w:pPr>
      <w:r w:rsidRPr="005E4BEA">
        <w:rPr>
          <w:rFonts w:cs="Arial"/>
          <w:b/>
          <w:bCs/>
          <w:szCs w:val="20"/>
        </w:rPr>
        <w:t>Priloga VIII</w:t>
      </w:r>
    </w:p>
    <w:p w14:paraId="3492858A" w14:textId="77777777" w:rsidR="00FE461F" w:rsidRPr="005E4BEA" w:rsidRDefault="00FE461F" w:rsidP="00FE461F">
      <w:pPr>
        <w:spacing w:line="240" w:lineRule="exact"/>
        <w:jc w:val="both"/>
        <w:rPr>
          <w:rFonts w:cs="Arial"/>
          <w:b/>
          <w:bCs/>
          <w:szCs w:val="20"/>
        </w:rPr>
      </w:pPr>
    </w:p>
    <w:p w14:paraId="7419CC15" w14:textId="77777777" w:rsidR="00FE461F" w:rsidRPr="005E4BEA" w:rsidRDefault="00FE461F" w:rsidP="00FE461F">
      <w:pPr>
        <w:spacing w:line="240" w:lineRule="exact"/>
        <w:jc w:val="both"/>
        <w:rPr>
          <w:rFonts w:cs="Arial"/>
          <w:b/>
          <w:bCs/>
          <w:szCs w:val="20"/>
        </w:rPr>
      </w:pPr>
      <w:r w:rsidRPr="005E4BEA">
        <w:rPr>
          <w:rFonts w:cs="Arial"/>
          <w:b/>
          <w:bCs/>
          <w:szCs w:val="20"/>
        </w:rPr>
        <w:t xml:space="preserve">Sredstva za informatizacijo </w:t>
      </w:r>
      <w:proofErr w:type="spellStart"/>
      <w:r w:rsidRPr="005E4BEA">
        <w:rPr>
          <w:rFonts w:cs="Arial"/>
          <w:b/>
          <w:bCs/>
          <w:szCs w:val="20"/>
        </w:rPr>
        <w:t>ePrijave</w:t>
      </w:r>
      <w:proofErr w:type="spellEnd"/>
      <w:r w:rsidRPr="005E4BEA">
        <w:rPr>
          <w:rFonts w:cs="Arial"/>
          <w:b/>
          <w:bCs/>
          <w:szCs w:val="20"/>
        </w:rPr>
        <w:t xml:space="preserve"> nezgode in poškodbe pri delu v ambulantah družinske medicine in otroško – šolskih dispanzerjih</w:t>
      </w:r>
    </w:p>
    <w:p w14:paraId="1CB73060" w14:textId="77777777" w:rsidR="00FE461F" w:rsidRPr="005E4BEA" w:rsidRDefault="00FE461F" w:rsidP="00FE461F">
      <w:pPr>
        <w:spacing w:line="240" w:lineRule="auto"/>
        <w:jc w:val="both"/>
        <w:rPr>
          <w:rFonts w:cs="Arial"/>
          <w:b/>
          <w:bCs/>
          <w:i/>
          <w:iCs/>
          <w:color w:val="000000"/>
          <w:szCs w:val="20"/>
        </w:rPr>
      </w:pPr>
    </w:p>
    <w:p w14:paraId="3AC79856" w14:textId="77777777" w:rsidR="00FE461F" w:rsidRPr="005E4BEA" w:rsidRDefault="00FE461F" w:rsidP="00FE461F">
      <w:pPr>
        <w:spacing w:line="240" w:lineRule="auto"/>
        <w:jc w:val="both"/>
        <w:rPr>
          <w:rFonts w:cs="Arial"/>
          <w:b/>
          <w:bCs/>
          <w:i/>
          <w:iCs/>
          <w:color w:val="000000"/>
          <w:szCs w:val="20"/>
        </w:rPr>
        <w:sectPr w:rsidR="00FE461F" w:rsidRPr="005E4BEA" w:rsidSect="0016774B">
          <w:headerReference w:type="default" r:id="rId13"/>
          <w:footerReference w:type="default" r:id="rId14"/>
          <w:headerReference w:type="first" r:id="rId15"/>
          <w:footerReference w:type="first" r:id="rId16"/>
          <w:pgSz w:w="11906" w:h="16838"/>
          <w:pgMar w:top="2268" w:right="1701" w:bottom="1276" w:left="1701" w:header="284" w:footer="709" w:gutter="0"/>
          <w:cols w:space="708"/>
          <w:titlePg/>
          <w:docGrid w:linePitch="360"/>
        </w:sectPr>
      </w:pPr>
    </w:p>
    <w:tbl>
      <w:tblPr>
        <w:tblW w:w="2106" w:type="dxa"/>
        <w:tblInd w:w="-289" w:type="dxa"/>
        <w:tblCellMar>
          <w:left w:w="70" w:type="dxa"/>
          <w:right w:w="70" w:type="dxa"/>
        </w:tblCellMar>
        <w:tblLook w:val="04A0" w:firstRow="1" w:lastRow="0" w:firstColumn="1" w:lastColumn="0" w:noHBand="0" w:noVBand="1"/>
      </w:tblPr>
      <w:tblGrid>
        <w:gridCol w:w="507"/>
        <w:gridCol w:w="1494"/>
        <w:gridCol w:w="640"/>
      </w:tblGrid>
      <w:tr w:rsidR="00FE461F" w:rsidRPr="005E4BEA" w14:paraId="03511CBD" w14:textId="77777777" w:rsidTr="00955869">
        <w:trPr>
          <w:trHeight w:val="302"/>
          <w:tblHeader/>
        </w:trPr>
        <w:tc>
          <w:tcPr>
            <w:tcW w:w="378"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62BDD55" w14:textId="77777777" w:rsidR="00FE461F" w:rsidRPr="005E4BEA" w:rsidRDefault="00FE461F" w:rsidP="00FE461F">
            <w:pPr>
              <w:spacing w:line="240" w:lineRule="auto"/>
              <w:jc w:val="both"/>
              <w:rPr>
                <w:rFonts w:cs="Arial"/>
                <w:b/>
                <w:bCs/>
                <w:i/>
                <w:iCs/>
                <w:color w:val="000000"/>
                <w:szCs w:val="20"/>
              </w:rPr>
            </w:pPr>
            <w:r w:rsidRPr="005E4BEA">
              <w:rPr>
                <w:rFonts w:cs="Arial"/>
                <w:b/>
                <w:bCs/>
                <w:i/>
                <w:iCs/>
                <w:color w:val="000000"/>
                <w:szCs w:val="20"/>
              </w:rPr>
              <w:t>RIZDDZ</w:t>
            </w:r>
          </w:p>
        </w:tc>
        <w:tc>
          <w:tcPr>
            <w:tcW w:w="1234" w:type="dxa"/>
            <w:tcBorders>
              <w:top w:val="single" w:sz="4" w:space="0" w:color="0070C0"/>
              <w:left w:val="nil"/>
              <w:bottom w:val="single" w:sz="4" w:space="0" w:color="0070C0"/>
              <w:right w:val="single" w:sz="4" w:space="0" w:color="0070C0"/>
            </w:tcBorders>
            <w:shd w:val="clear" w:color="auto" w:fill="auto"/>
            <w:vAlign w:val="center"/>
            <w:hideMark/>
          </w:tcPr>
          <w:p w14:paraId="2BD6C14C" w14:textId="77777777" w:rsidR="00FE461F" w:rsidRPr="005E4BEA" w:rsidRDefault="00FE461F" w:rsidP="00FE461F">
            <w:pPr>
              <w:spacing w:line="240" w:lineRule="auto"/>
              <w:jc w:val="both"/>
              <w:rPr>
                <w:rFonts w:cs="Arial"/>
                <w:b/>
                <w:bCs/>
                <w:i/>
                <w:iCs/>
                <w:color w:val="000000"/>
                <w:szCs w:val="20"/>
              </w:rPr>
            </w:pPr>
            <w:r w:rsidRPr="005E4BEA">
              <w:rPr>
                <w:rFonts w:cs="Arial"/>
                <w:b/>
                <w:bCs/>
                <w:i/>
                <w:iCs/>
                <w:color w:val="000000"/>
                <w:szCs w:val="20"/>
              </w:rPr>
              <w:t>Naziv izvajalca</w:t>
            </w:r>
          </w:p>
        </w:tc>
        <w:tc>
          <w:tcPr>
            <w:tcW w:w="494" w:type="dxa"/>
            <w:tcBorders>
              <w:top w:val="single" w:sz="4" w:space="0" w:color="0070C0"/>
              <w:left w:val="nil"/>
              <w:bottom w:val="single" w:sz="4" w:space="0" w:color="0070C0"/>
              <w:right w:val="single" w:sz="4" w:space="0" w:color="0070C0"/>
            </w:tcBorders>
            <w:shd w:val="clear" w:color="auto" w:fill="auto"/>
            <w:noWrap/>
            <w:vAlign w:val="center"/>
            <w:hideMark/>
          </w:tcPr>
          <w:p w14:paraId="68C25C05" w14:textId="77777777" w:rsidR="00FE461F" w:rsidRPr="005E4BEA" w:rsidRDefault="00FE461F" w:rsidP="00FE461F">
            <w:pPr>
              <w:spacing w:line="240" w:lineRule="auto"/>
              <w:jc w:val="right"/>
              <w:rPr>
                <w:rFonts w:cs="Arial"/>
                <w:b/>
                <w:bCs/>
                <w:i/>
                <w:iCs/>
                <w:color w:val="000000"/>
                <w:szCs w:val="20"/>
              </w:rPr>
            </w:pPr>
            <w:r w:rsidRPr="005E4BEA">
              <w:rPr>
                <w:rFonts w:cs="Arial"/>
                <w:b/>
                <w:bCs/>
                <w:i/>
                <w:iCs/>
                <w:color w:val="000000"/>
                <w:szCs w:val="20"/>
              </w:rPr>
              <w:t>EUR</w:t>
            </w:r>
          </w:p>
        </w:tc>
      </w:tr>
      <w:tr w:rsidR="00FE461F" w:rsidRPr="005E4BEA" w14:paraId="34B61AE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9C827D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10861</w:t>
            </w:r>
          </w:p>
        </w:tc>
        <w:tc>
          <w:tcPr>
            <w:tcW w:w="1234" w:type="dxa"/>
            <w:tcBorders>
              <w:top w:val="nil"/>
              <w:left w:val="nil"/>
              <w:bottom w:val="single" w:sz="4" w:space="0" w:color="0070C0"/>
              <w:right w:val="single" w:sz="4" w:space="0" w:color="0070C0"/>
            </w:tcBorders>
            <w:shd w:val="clear" w:color="auto" w:fill="auto"/>
            <w:hideMark/>
          </w:tcPr>
          <w:p w14:paraId="6EAE6C1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CIRIUS KAMNIK</w:t>
            </w:r>
          </w:p>
        </w:tc>
        <w:tc>
          <w:tcPr>
            <w:tcW w:w="494" w:type="dxa"/>
            <w:tcBorders>
              <w:top w:val="nil"/>
              <w:left w:val="nil"/>
              <w:bottom w:val="single" w:sz="4" w:space="0" w:color="0070C0"/>
              <w:right w:val="single" w:sz="4" w:space="0" w:color="0070C0"/>
            </w:tcBorders>
            <w:shd w:val="clear" w:color="auto" w:fill="auto"/>
            <w:noWrap/>
            <w:hideMark/>
          </w:tcPr>
          <w:p w14:paraId="34762D5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104,73</w:t>
            </w:r>
          </w:p>
        </w:tc>
      </w:tr>
      <w:tr w:rsidR="00FE461F" w:rsidRPr="005E4BEA" w14:paraId="5934A07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931ED0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7883</w:t>
            </w:r>
          </w:p>
        </w:tc>
        <w:tc>
          <w:tcPr>
            <w:tcW w:w="1234" w:type="dxa"/>
            <w:tcBorders>
              <w:top w:val="nil"/>
              <w:left w:val="nil"/>
              <w:bottom w:val="single" w:sz="4" w:space="0" w:color="0070C0"/>
              <w:right w:val="single" w:sz="4" w:space="0" w:color="0070C0"/>
            </w:tcBorders>
            <w:shd w:val="clear" w:color="auto" w:fill="auto"/>
            <w:hideMark/>
          </w:tcPr>
          <w:p w14:paraId="1B5EDD5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DR.A. DROLCA MARIBOR</w:t>
            </w:r>
          </w:p>
        </w:tc>
        <w:tc>
          <w:tcPr>
            <w:tcW w:w="494" w:type="dxa"/>
            <w:tcBorders>
              <w:top w:val="nil"/>
              <w:left w:val="nil"/>
              <w:bottom w:val="single" w:sz="4" w:space="0" w:color="0070C0"/>
              <w:right w:val="single" w:sz="4" w:space="0" w:color="0070C0"/>
            </w:tcBorders>
            <w:shd w:val="clear" w:color="auto" w:fill="auto"/>
            <w:noWrap/>
            <w:hideMark/>
          </w:tcPr>
          <w:p w14:paraId="215F1EF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14.641,43</w:t>
            </w:r>
          </w:p>
        </w:tc>
      </w:tr>
      <w:tr w:rsidR="00FE461F" w:rsidRPr="005E4BEA" w14:paraId="06B6D2B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2FC8C7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9101</w:t>
            </w:r>
          </w:p>
        </w:tc>
        <w:tc>
          <w:tcPr>
            <w:tcW w:w="1234" w:type="dxa"/>
            <w:tcBorders>
              <w:top w:val="nil"/>
              <w:left w:val="nil"/>
              <w:bottom w:val="single" w:sz="4" w:space="0" w:color="0070C0"/>
              <w:right w:val="single" w:sz="4" w:space="0" w:color="0070C0"/>
            </w:tcBorders>
            <w:shd w:val="clear" w:color="auto" w:fill="auto"/>
            <w:hideMark/>
          </w:tcPr>
          <w:p w14:paraId="3DA54A2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KRŠKO</w:t>
            </w:r>
          </w:p>
        </w:tc>
        <w:tc>
          <w:tcPr>
            <w:tcW w:w="494" w:type="dxa"/>
            <w:tcBorders>
              <w:top w:val="nil"/>
              <w:left w:val="nil"/>
              <w:bottom w:val="single" w:sz="4" w:space="0" w:color="0070C0"/>
              <w:right w:val="single" w:sz="4" w:space="0" w:color="0070C0"/>
            </w:tcBorders>
            <w:shd w:val="clear" w:color="auto" w:fill="auto"/>
            <w:noWrap/>
            <w:hideMark/>
          </w:tcPr>
          <w:p w14:paraId="091BB33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2.235,16</w:t>
            </w:r>
          </w:p>
        </w:tc>
      </w:tr>
      <w:tr w:rsidR="00FE461F" w:rsidRPr="005E4BEA" w14:paraId="6E24373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EBDB35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373</w:t>
            </w:r>
          </w:p>
        </w:tc>
        <w:tc>
          <w:tcPr>
            <w:tcW w:w="1234" w:type="dxa"/>
            <w:tcBorders>
              <w:top w:val="nil"/>
              <w:left w:val="nil"/>
              <w:bottom w:val="single" w:sz="4" w:space="0" w:color="0070C0"/>
              <w:right w:val="single" w:sz="4" w:space="0" w:color="0070C0"/>
            </w:tcBorders>
            <w:shd w:val="clear" w:color="auto" w:fill="auto"/>
            <w:hideMark/>
          </w:tcPr>
          <w:p w14:paraId="3E9688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TREBNJE</w:t>
            </w:r>
          </w:p>
        </w:tc>
        <w:tc>
          <w:tcPr>
            <w:tcW w:w="494" w:type="dxa"/>
            <w:tcBorders>
              <w:top w:val="nil"/>
              <w:left w:val="nil"/>
              <w:bottom w:val="single" w:sz="4" w:space="0" w:color="0070C0"/>
              <w:right w:val="single" w:sz="4" w:space="0" w:color="0070C0"/>
            </w:tcBorders>
            <w:shd w:val="clear" w:color="auto" w:fill="auto"/>
            <w:noWrap/>
            <w:hideMark/>
          </w:tcPr>
          <w:p w14:paraId="300C97B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1.618,62</w:t>
            </w:r>
          </w:p>
        </w:tc>
      </w:tr>
      <w:tr w:rsidR="00FE461F" w:rsidRPr="005E4BEA" w14:paraId="7A1807A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E682C7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371</w:t>
            </w:r>
          </w:p>
        </w:tc>
        <w:tc>
          <w:tcPr>
            <w:tcW w:w="1234" w:type="dxa"/>
            <w:tcBorders>
              <w:top w:val="nil"/>
              <w:left w:val="nil"/>
              <w:bottom w:val="single" w:sz="4" w:space="0" w:color="0070C0"/>
              <w:right w:val="single" w:sz="4" w:space="0" w:color="0070C0"/>
            </w:tcBorders>
            <w:shd w:val="clear" w:color="auto" w:fill="auto"/>
            <w:hideMark/>
          </w:tcPr>
          <w:p w14:paraId="7D7F0DF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METLIKA</w:t>
            </w:r>
          </w:p>
        </w:tc>
        <w:tc>
          <w:tcPr>
            <w:tcW w:w="494" w:type="dxa"/>
            <w:tcBorders>
              <w:top w:val="nil"/>
              <w:left w:val="nil"/>
              <w:bottom w:val="single" w:sz="4" w:space="0" w:color="0070C0"/>
              <w:right w:val="single" w:sz="4" w:space="0" w:color="0070C0"/>
            </w:tcBorders>
            <w:shd w:val="clear" w:color="auto" w:fill="auto"/>
            <w:noWrap/>
            <w:hideMark/>
          </w:tcPr>
          <w:p w14:paraId="0E47F89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1.033,45</w:t>
            </w:r>
          </w:p>
        </w:tc>
      </w:tr>
      <w:tr w:rsidR="00FE461F" w:rsidRPr="005E4BEA" w14:paraId="5F1D16F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6E9785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370</w:t>
            </w:r>
          </w:p>
        </w:tc>
        <w:tc>
          <w:tcPr>
            <w:tcW w:w="1234" w:type="dxa"/>
            <w:tcBorders>
              <w:top w:val="nil"/>
              <w:left w:val="nil"/>
              <w:bottom w:val="single" w:sz="4" w:space="0" w:color="0070C0"/>
              <w:right w:val="single" w:sz="4" w:space="0" w:color="0070C0"/>
            </w:tcBorders>
            <w:shd w:val="clear" w:color="auto" w:fill="auto"/>
            <w:hideMark/>
          </w:tcPr>
          <w:p w14:paraId="45BB6FB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ČRNOMELJ</w:t>
            </w:r>
          </w:p>
        </w:tc>
        <w:tc>
          <w:tcPr>
            <w:tcW w:w="494" w:type="dxa"/>
            <w:tcBorders>
              <w:top w:val="nil"/>
              <w:left w:val="nil"/>
              <w:bottom w:val="single" w:sz="4" w:space="0" w:color="0070C0"/>
              <w:right w:val="single" w:sz="4" w:space="0" w:color="0070C0"/>
            </w:tcBorders>
            <w:shd w:val="clear" w:color="auto" w:fill="auto"/>
            <w:noWrap/>
            <w:hideMark/>
          </w:tcPr>
          <w:p w14:paraId="42B9707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2.828,36</w:t>
            </w:r>
          </w:p>
        </w:tc>
      </w:tr>
      <w:tr w:rsidR="00FE461F" w:rsidRPr="005E4BEA" w14:paraId="55D18DC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A0609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372</w:t>
            </w:r>
          </w:p>
        </w:tc>
        <w:tc>
          <w:tcPr>
            <w:tcW w:w="1234" w:type="dxa"/>
            <w:tcBorders>
              <w:top w:val="nil"/>
              <w:left w:val="nil"/>
              <w:bottom w:val="single" w:sz="4" w:space="0" w:color="0070C0"/>
              <w:right w:val="single" w:sz="4" w:space="0" w:color="0070C0"/>
            </w:tcBorders>
            <w:shd w:val="clear" w:color="auto" w:fill="auto"/>
            <w:hideMark/>
          </w:tcPr>
          <w:p w14:paraId="54B48BB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NOVO MESTO</w:t>
            </w:r>
          </w:p>
        </w:tc>
        <w:tc>
          <w:tcPr>
            <w:tcW w:w="494" w:type="dxa"/>
            <w:tcBorders>
              <w:top w:val="nil"/>
              <w:left w:val="nil"/>
              <w:bottom w:val="single" w:sz="4" w:space="0" w:color="0070C0"/>
              <w:right w:val="single" w:sz="4" w:space="0" w:color="0070C0"/>
            </w:tcBorders>
            <w:shd w:val="clear" w:color="auto" w:fill="auto"/>
            <w:noWrap/>
            <w:hideMark/>
          </w:tcPr>
          <w:p w14:paraId="2D5FF89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3.661,15</w:t>
            </w:r>
          </w:p>
        </w:tc>
      </w:tr>
      <w:tr w:rsidR="00FE461F" w:rsidRPr="005E4BEA" w14:paraId="3D44D58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338F6F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7501</w:t>
            </w:r>
          </w:p>
        </w:tc>
        <w:tc>
          <w:tcPr>
            <w:tcW w:w="1234" w:type="dxa"/>
            <w:tcBorders>
              <w:top w:val="nil"/>
              <w:left w:val="nil"/>
              <w:bottom w:val="single" w:sz="4" w:space="0" w:color="0070C0"/>
              <w:right w:val="single" w:sz="4" w:space="0" w:color="0070C0"/>
            </w:tcBorders>
            <w:shd w:val="clear" w:color="auto" w:fill="auto"/>
            <w:hideMark/>
          </w:tcPr>
          <w:p w14:paraId="1B673C3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ORMOŽ</w:t>
            </w:r>
          </w:p>
        </w:tc>
        <w:tc>
          <w:tcPr>
            <w:tcW w:w="494" w:type="dxa"/>
            <w:tcBorders>
              <w:top w:val="nil"/>
              <w:left w:val="nil"/>
              <w:bottom w:val="single" w:sz="4" w:space="0" w:color="0070C0"/>
              <w:right w:val="single" w:sz="4" w:space="0" w:color="0070C0"/>
            </w:tcBorders>
            <w:shd w:val="clear" w:color="auto" w:fill="auto"/>
            <w:noWrap/>
            <w:hideMark/>
          </w:tcPr>
          <w:p w14:paraId="627F008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2.009,82</w:t>
            </w:r>
          </w:p>
        </w:tc>
      </w:tr>
      <w:tr w:rsidR="00FE461F" w:rsidRPr="005E4BEA" w14:paraId="57E33AE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4C0474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14001</w:t>
            </w:r>
          </w:p>
        </w:tc>
        <w:tc>
          <w:tcPr>
            <w:tcW w:w="1234" w:type="dxa"/>
            <w:tcBorders>
              <w:top w:val="nil"/>
              <w:left w:val="nil"/>
              <w:bottom w:val="single" w:sz="4" w:space="0" w:color="0070C0"/>
              <w:right w:val="single" w:sz="4" w:space="0" w:color="0070C0"/>
            </w:tcBorders>
            <w:shd w:val="clear" w:color="auto" w:fill="auto"/>
            <w:hideMark/>
          </w:tcPr>
          <w:p w14:paraId="2F7B413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DRAVOGRAD</w:t>
            </w:r>
          </w:p>
        </w:tc>
        <w:tc>
          <w:tcPr>
            <w:tcW w:w="494" w:type="dxa"/>
            <w:tcBorders>
              <w:top w:val="nil"/>
              <w:left w:val="nil"/>
              <w:bottom w:val="single" w:sz="4" w:space="0" w:color="0070C0"/>
              <w:right w:val="single" w:sz="4" w:space="0" w:color="0070C0"/>
            </w:tcBorders>
            <w:shd w:val="clear" w:color="auto" w:fill="auto"/>
            <w:noWrap/>
            <w:hideMark/>
          </w:tcPr>
          <w:p w14:paraId="2681AD5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568,54</w:t>
            </w:r>
          </w:p>
        </w:tc>
      </w:tr>
      <w:tr w:rsidR="00FE461F" w:rsidRPr="005E4BEA" w14:paraId="350470C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35732B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14041</w:t>
            </w:r>
          </w:p>
        </w:tc>
        <w:tc>
          <w:tcPr>
            <w:tcW w:w="1234" w:type="dxa"/>
            <w:tcBorders>
              <w:top w:val="nil"/>
              <w:left w:val="nil"/>
              <w:bottom w:val="single" w:sz="4" w:space="0" w:color="0070C0"/>
              <w:right w:val="single" w:sz="4" w:space="0" w:color="0070C0"/>
            </w:tcBorders>
            <w:shd w:val="clear" w:color="auto" w:fill="auto"/>
            <w:hideMark/>
          </w:tcPr>
          <w:p w14:paraId="03407F6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RADLJE OB DRAVI</w:t>
            </w:r>
          </w:p>
        </w:tc>
        <w:tc>
          <w:tcPr>
            <w:tcW w:w="494" w:type="dxa"/>
            <w:tcBorders>
              <w:top w:val="nil"/>
              <w:left w:val="nil"/>
              <w:bottom w:val="single" w:sz="4" w:space="0" w:color="0070C0"/>
              <w:right w:val="single" w:sz="4" w:space="0" w:color="0070C0"/>
            </w:tcBorders>
            <w:shd w:val="clear" w:color="auto" w:fill="auto"/>
            <w:noWrap/>
            <w:hideMark/>
          </w:tcPr>
          <w:p w14:paraId="5C654B3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960,34</w:t>
            </w:r>
          </w:p>
        </w:tc>
      </w:tr>
      <w:tr w:rsidR="00FE461F" w:rsidRPr="005E4BEA" w14:paraId="15FE9DE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667585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14141</w:t>
            </w:r>
          </w:p>
        </w:tc>
        <w:tc>
          <w:tcPr>
            <w:tcW w:w="1234" w:type="dxa"/>
            <w:tcBorders>
              <w:top w:val="nil"/>
              <w:left w:val="nil"/>
              <w:bottom w:val="single" w:sz="4" w:space="0" w:color="0070C0"/>
              <w:right w:val="single" w:sz="4" w:space="0" w:color="0070C0"/>
            </w:tcBorders>
            <w:shd w:val="clear" w:color="auto" w:fill="auto"/>
            <w:hideMark/>
          </w:tcPr>
          <w:p w14:paraId="45B3BC9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RAVNE NA KOROŠKEM</w:t>
            </w:r>
          </w:p>
        </w:tc>
        <w:tc>
          <w:tcPr>
            <w:tcW w:w="494" w:type="dxa"/>
            <w:tcBorders>
              <w:top w:val="nil"/>
              <w:left w:val="nil"/>
              <w:bottom w:val="single" w:sz="4" w:space="0" w:color="0070C0"/>
              <w:right w:val="single" w:sz="4" w:space="0" w:color="0070C0"/>
            </w:tcBorders>
            <w:shd w:val="clear" w:color="auto" w:fill="auto"/>
            <w:noWrap/>
            <w:hideMark/>
          </w:tcPr>
          <w:p w14:paraId="1B57E52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2.173,19</w:t>
            </w:r>
          </w:p>
        </w:tc>
      </w:tr>
      <w:tr w:rsidR="00FE461F" w:rsidRPr="005E4BEA" w14:paraId="54B9C71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3FD4CA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14300</w:t>
            </w:r>
          </w:p>
        </w:tc>
        <w:tc>
          <w:tcPr>
            <w:tcW w:w="1234" w:type="dxa"/>
            <w:tcBorders>
              <w:top w:val="nil"/>
              <w:left w:val="nil"/>
              <w:bottom w:val="single" w:sz="4" w:space="0" w:color="0070C0"/>
              <w:right w:val="single" w:sz="4" w:space="0" w:color="0070C0"/>
            </w:tcBorders>
            <w:shd w:val="clear" w:color="auto" w:fill="auto"/>
            <w:hideMark/>
          </w:tcPr>
          <w:p w14:paraId="0771E44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SLOVENJ GRADEC</w:t>
            </w:r>
          </w:p>
        </w:tc>
        <w:tc>
          <w:tcPr>
            <w:tcW w:w="494" w:type="dxa"/>
            <w:tcBorders>
              <w:top w:val="nil"/>
              <w:left w:val="nil"/>
              <w:bottom w:val="single" w:sz="4" w:space="0" w:color="0070C0"/>
              <w:right w:val="single" w:sz="4" w:space="0" w:color="0070C0"/>
            </w:tcBorders>
            <w:shd w:val="clear" w:color="auto" w:fill="auto"/>
            <w:noWrap/>
            <w:hideMark/>
          </w:tcPr>
          <w:p w14:paraId="374E5FB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1.344,94</w:t>
            </w:r>
          </w:p>
        </w:tc>
      </w:tr>
      <w:tr w:rsidR="00FE461F" w:rsidRPr="005E4BEA" w14:paraId="3E0276F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6189E1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5011</w:t>
            </w:r>
          </w:p>
        </w:tc>
        <w:tc>
          <w:tcPr>
            <w:tcW w:w="1234" w:type="dxa"/>
            <w:tcBorders>
              <w:top w:val="nil"/>
              <w:left w:val="nil"/>
              <w:bottom w:val="single" w:sz="4" w:space="0" w:color="0070C0"/>
              <w:right w:val="single" w:sz="4" w:space="0" w:color="0070C0"/>
            </w:tcBorders>
            <w:shd w:val="clear" w:color="auto" w:fill="auto"/>
            <w:hideMark/>
          </w:tcPr>
          <w:p w14:paraId="2976C50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LJUBLJANA</w:t>
            </w:r>
          </w:p>
        </w:tc>
        <w:tc>
          <w:tcPr>
            <w:tcW w:w="494" w:type="dxa"/>
            <w:tcBorders>
              <w:top w:val="nil"/>
              <w:left w:val="nil"/>
              <w:bottom w:val="single" w:sz="4" w:space="0" w:color="0070C0"/>
              <w:right w:val="single" w:sz="4" w:space="0" w:color="0070C0"/>
            </w:tcBorders>
            <w:shd w:val="clear" w:color="auto" w:fill="auto"/>
            <w:noWrap/>
            <w:hideMark/>
          </w:tcPr>
          <w:p w14:paraId="4C719F8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45.166,29</w:t>
            </w:r>
          </w:p>
        </w:tc>
      </w:tr>
      <w:tr w:rsidR="00FE461F" w:rsidRPr="005E4BEA" w14:paraId="12CB889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F9A583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100</w:t>
            </w:r>
          </w:p>
        </w:tc>
        <w:tc>
          <w:tcPr>
            <w:tcW w:w="1234" w:type="dxa"/>
            <w:tcBorders>
              <w:top w:val="nil"/>
              <w:left w:val="nil"/>
              <w:bottom w:val="single" w:sz="4" w:space="0" w:color="0070C0"/>
              <w:right w:val="single" w:sz="4" w:space="0" w:color="0070C0"/>
            </w:tcBorders>
            <w:shd w:val="clear" w:color="auto" w:fill="auto"/>
            <w:hideMark/>
          </w:tcPr>
          <w:p w14:paraId="5F370D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BREŽICE</w:t>
            </w:r>
          </w:p>
        </w:tc>
        <w:tc>
          <w:tcPr>
            <w:tcW w:w="494" w:type="dxa"/>
            <w:tcBorders>
              <w:top w:val="nil"/>
              <w:left w:val="nil"/>
              <w:bottom w:val="single" w:sz="4" w:space="0" w:color="0070C0"/>
              <w:right w:val="single" w:sz="4" w:space="0" w:color="0070C0"/>
            </w:tcBorders>
            <w:shd w:val="clear" w:color="auto" w:fill="auto"/>
            <w:noWrap/>
            <w:hideMark/>
          </w:tcPr>
          <w:p w14:paraId="5E02217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2.272,59</w:t>
            </w:r>
          </w:p>
        </w:tc>
      </w:tr>
      <w:tr w:rsidR="00FE461F" w:rsidRPr="005E4BEA" w14:paraId="7151EE5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543A39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10401</w:t>
            </w:r>
          </w:p>
        </w:tc>
        <w:tc>
          <w:tcPr>
            <w:tcW w:w="1234" w:type="dxa"/>
            <w:tcBorders>
              <w:top w:val="nil"/>
              <w:left w:val="nil"/>
              <w:bottom w:val="single" w:sz="4" w:space="0" w:color="0070C0"/>
              <w:right w:val="single" w:sz="4" w:space="0" w:color="0070C0"/>
            </w:tcBorders>
            <w:shd w:val="clear" w:color="auto" w:fill="auto"/>
            <w:hideMark/>
          </w:tcPr>
          <w:p w14:paraId="2EE8453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LITIJA</w:t>
            </w:r>
          </w:p>
        </w:tc>
        <w:tc>
          <w:tcPr>
            <w:tcW w:w="494" w:type="dxa"/>
            <w:tcBorders>
              <w:top w:val="nil"/>
              <w:left w:val="nil"/>
              <w:bottom w:val="single" w:sz="4" w:space="0" w:color="0070C0"/>
              <w:right w:val="single" w:sz="4" w:space="0" w:color="0070C0"/>
            </w:tcBorders>
            <w:shd w:val="clear" w:color="auto" w:fill="auto"/>
            <w:noWrap/>
            <w:hideMark/>
          </w:tcPr>
          <w:p w14:paraId="1FB4ACB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1.052,53</w:t>
            </w:r>
          </w:p>
        </w:tc>
      </w:tr>
      <w:tr w:rsidR="00FE461F" w:rsidRPr="005E4BEA" w14:paraId="43313C8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F31A35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10321</w:t>
            </w:r>
          </w:p>
        </w:tc>
        <w:tc>
          <w:tcPr>
            <w:tcW w:w="1234" w:type="dxa"/>
            <w:tcBorders>
              <w:top w:val="nil"/>
              <w:left w:val="nil"/>
              <w:bottom w:val="single" w:sz="4" w:space="0" w:color="0070C0"/>
              <w:right w:val="single" w:sz="4" w:space="0" w:color="0070C0"/>
            </w:tcBorders>
            <w:shd w:val="clear" w:color="auto" w:fill="auto"/>
            <w:hideMark/>
          </w:tcPr>
          <w:p w14:paraId="5E537CA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KAMNIK</w:t>
            </w:r>
          </w:p>
        </w:tc>
        <w:tc>
          <w:tcPr>
            <w:tcW w:w="494" w:type="dxa"/>
            <w:tcBorders>
              <w:top w:val="nil"/>
              <w:left w:val="nil"/>
              <w:bottom w:val="single" w:sz="4" w:space="0" w:color="0070C0"/>
              <w:right w:val="single" w:sz="4" w:space="0" w:color="0070C0"/>
            </w:tcBorders>
            <w:shd w:val="clear" w:color="auto" w:fill="auto"/>
            <w:noWrap/>
            <w:hideMark/>
          </w:tcPr>
          <w:p w14:paraId="43E1A98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1.815,96</w:t>
            </w:r>
          </w:p>
        </w:tc>
      </w:tr>
      <w:tr w:rsidR="00FE461F" w:rsidRPr="005E4BEA" w14:paraId="0C71BB0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2EB6EB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6001</w:t>
            </w:r>
          </w:p>
        </w:tc>
        <w:tc>
          <w:tcPr>
            <w:tcW w:w="1234" w:type="dxa"/>
            <w:tcBorders>
              <w:top w:val="nil"/>
              <w:left w:val="nil"/>
              <w:bottom w:val="single" w:sz="4" w:space="0" w:color="0070C0"/>
              <w:right w:val="single" w:sz="4" w:space="0" w:color="0070C0"/>
            </w:tcBorders>
            <w:shd w:val="clear" w:color="auto" w:fill="auto"/>
            <w:hideMark/>
          </w:tcPr>
          <w:p w14:paraId="2D0254D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UKC LJUBLJANA</w:t>
            </w:r>
          </w:p>
        </w:tc>
        <w:tc>
          <w:tcPr>
            <w:tcW w:w="494" w:type="dxa"/>
            <w:tcBorders>
              <w:top w:val="nil"/>
              <w:left w:val="nil"/>
              <w:bottom w:val="single" w:sz="4" w:space="0" w:color="0070C0"/>
              <w:right w:val="single" w:sz="4" w:space="0" w:color="0070C0"/>
            </w:tcBorders>
            <w:shd w:val="clear" w:color="auto" w:fill="auto"/>
            <w:noWrap/>
            <w:hideMark/>
          </w:tcPr>
          <w:p w14:paraId="4D7E96F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B5E062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21FB6D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7201</w:t>
            </w:r>
          </w:p>
        </w:tc>
        <w:tc>
          <w:tcPr>
            <w:tcW w:w="1234" w:type="dxa"/>
            <w:tcBorders>
              <w:top w:val="nil"/>
              <w:left w:val="nil"/>
              <w:bottom w:val="single" w:sz="4" w:space="0" w:color="0070C0"/>
              <w:right w:val="single" w:sz="4" w:space="0" w:color="0070C0"/>
            </w:tcBorders>
            <w:shd w:val="clear" w:color="auto" w:fill="auto"/>
            <w:hideMark/>
          </w:tcPr>
          <w:p w14:paraId="15B6D0D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HRASTNIK</w:t>
            </w:r>
          </w:p>
        </w:tc>
        <w:tc>
          <w:tcPr>
            <w:tcW w:w="494" w:type="dxa"/>
            <w:tcBorders>
              <w:top w:val="nil"/>
              <w:left w:val="nil"/>
              <w:bottom w:val="single" w:sz="4" w:space="0" w:color="0070C0"/>
              <w:right w:val="single" w:sz="4" w:space="0" w:color="0070C0"/>
            </w:tcBorders>
            <w:shd w:val="clear" w:color="auto" w:fill="auto"/>
            <w:noWrap/>
            <w:hideMark/>
          </w:tcPr>
          <w:p w14:paraId="2175B2E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457,63</w:t>
            </w:r>
          </w:p>
        </w:tc>
      </w:tr>
      <w:tr w:rsidR="00FE461F" w:rsidRPr="005E4BEA" w14:paraId="443628C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11E56F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7317</w:t>
            </w:r>
          </w:p>
        </w:tc>
        <w:tc>
          <w:tcPr>
            <w:tcW w:w="1234" w:type="dxa"/>
            <w:tcBorders>
              <w:top w:val="nil"/>
              <w:left w:val="nil"/>
              <w:bottom w:val="single" w:sz="4" w:space="0" w:color="0070C0"/>
              <w:right w:val="single" w:sz="4" w:space="0" w:color="0070C0"/>
            </w:tcBorders>
            <w:shd w:val="clear" w:color="auto" w:fill="auto"/>
            <w:hideMark/>
          </w:tcPr>
          <w:p w14:paraId="23FB0AF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TRBOVLJE</w:t>
            </w:r>
          </w:p>
        </w:tc>
        <w:tc>
          <w:tcPr>
            <w:tcW w:w="494" w:type="dxa"/>
            <w:tcBorders>
              <w:top w:val="nil"/>
              <w:left w:val="nil"/>
              <w:bottom w:val="single" w:sz="4" w:space="0" w:color="0070C0"/>
              <w:right w:val="single" w:sz="4" w:space="0" w:color="0070C0"/>
            </w:tcBorders>
            <w:shd w:val="clear" w:color="auto" w:fill="auto"/>
            <w:noWrap/>
            <w:hideMark/>
          </w:tcPr>
          <w:p w14:paraId="70DF5E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3.183,92</w:t>
            </w:r>
          </w:p>
        </w:tc>
      </w:tr>
      <w:tr w:rsidR="00FE461F" w:rsidRPr="005E4BEA" w14:paraId="27ECC72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CC7488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7381</w:t>
            </w:r>
          </w:p>
        </w:tc>
        <w:tc>
          <w:tcPr>
            <w:tcW w:w="1234" w:type="dxa"/>
            <w:tcBorders>
              <w:top w:val="nil"/>
              <w:left w:val="nil"/>
              <w:bottom w:val="single" w:sz="4" w:space="0" w:color="0070C0"/>
              <w:right w:val="single" w:sz="4" w:space="0" w:color="0070C0"/>
            </w:tcBorders>
            <w:shd w:val="clear" w:color="auto" w:fill="auto"/>
            <w:hideMark/>
          </w:tcPr>
          <w:p w14:paraId="3435AAD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ZAGORJE</w:t>
            </w:r>
          </w:p>
        </w:tc>
        <w:tc>
          <w:tcPr>
            <w:tcW w:w="494" w:type="dxa"/>
            <w:tcBorders>
              <w:top w:val="nil"/>
              <w:left w:val="nil"/>
              <w:bottom w:val="single" w:sz="4" w:space="0" w:color="0070C0"/>
              <w:right w:val="single" w:sz="4" w:space="0" w:color="0070C0"/>
            </w:tcBorders>
            <w:shd w:val="clear" w:color="auto" w:fill="auto"/>
            <w:noWrap/>
            <w:hideMark/>
          </w:tcPr>
          <w:p w14:paraId="09E817F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956,02</w:t>
            </w:r>
          </w:p>
        </w:tc>
      </w:tr>
      <w:tr w:rsidR="00FE461F" w:rsidRPr="005E4BEA" w14:paraId="13D2331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1A1349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8025</w:t>
            </w:r>
          </w:p>
        </w:tc>
        <w:tc>
          <w:tcPr>
            <w:tcW w:w="1234" w:type="dxa"/>
            <w:tcBorders>
              <w:top w:val="nil"/>
              <w:left w:val="nil"/>
              <w:bottom w:val="single" w:sz="4" w:space="0" w:color="0070C0"/>
              <w:right w:val="single" w:sz="4" w:space="0" w:color="0070C0"/>
            </w:tcBorders>
            <w:shd w:val="clear" w:color="auto" w:fill="auto"/>
            <w:hideMark/>
          </w:tcPr>
          <w:p w14:paraId="606BE7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LENART</w:t>
            </w:r>
          </w:p>
        </w:tc>
        <w:tc>
          <w:tcPr>
            <w:tcW w:w="494" w:type="dxa"/>
            <w:tcBorders>
              <w:top w:val="nil"/>
              <w:left w:val="nil"/>
              <w:bottom w:val="single" w:sz="4" w:space="0" w:color="0070C0"/>
              <w:right w:val="single" w:sz="4" w:space="0" w:color="0070C0"/>
            </w:tcBorders>
            <w:shd w:val="clear" w:color="auto" w:fill="auto"/>
            <w:noWrap/>
            <w:hideMark/>
          </w:tcPr>
          <w:p w14:paraId="269A985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623,28</w:t>
            </w:r>
          </w:p>
        </w:tc>
      </w:tr>
      <w:tr w:rsidR="00FE461F" w:rsidRPr="005E4BEA" w14:paraId="4CA7D88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1FEE72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3681</w:t>
            </w:r>
          </w:p>
        </w:tc>
        <w:tc>
          <w:tcPr>
            <w:tcW w:w="1234" w:type="dxa"/>
            <w:tcBorders>
              <w:top w:val="nil"/>
              <w:left w:val="nil"/>
              <w:bottom w:val="single" w:sz="4" w:space="0" w:color="0070C0"/>
              <w:right w:val="single" w:sz="4" w:space="0" w:color="0070C0"/>
            </w:tcBorders>
            <w:shd w:val="clear" w:color="auto" w:fill="auto"/>
            <w:hideMark/>
          </w:tcPr>
          <w:p w14:paraId="2AF594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SEŽANA</w:t>
            </w:r>
          </w:p>
        </w:tc>
        <w:tc>
          <w:tcPr>
            <w:tcW w:w="494" w:type="dxa"/>
            <w:tcBorders>
              <w:top w:val="nil"/>
              <w:left w:val="nil"/>
              <w:bottom w:val="single" w:sz="4" w:space="0" w:color="0070C0"/>
              <w:right w:val="single" w:sz="4" w:space="0" w:color="0070C0"/>
            </w:tcBorders>
            <w:shd w:val="clear" w:color="auto" w:fill="auto"/>
            <w:noWrap/>
            <w:hideMark/>
          </w:tcPr>
          <w:p w14:paraId="2A4C500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3.808,85</w:t>
            </w:r>
          </w:p>
        </w:tc>
      </w:tr>
      <w:tr w:rsidR="00FE461F" w:rsidRPr="005E4BEA" w14:paraId="332FE25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E2A18F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131</w:t>
            </w:r>
          </w:p>
        </w:tc>
        <w:tc>
          <w:tcPr>
            <w:tcW w:w="1234" w:type="dxa"/>
            <w:tcBorders>
              <w:top w:val="nil"/>
              <w:left w:val="nil"/>
              <w:bottom w:val="single" w:sz="4" w:space="0" w:color="0070C0"/>
              <w:right w:val="single" w:sz="4" w:space="0" w:color="0070C0"/>
            </w:tcBorders>
            <w:shd w:val="clear" w:color="auto" w:fill="auto"/>
            <w:hideMark/>
          </w:tcPr>
          <w:p w14:paraId="100CB3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OSNOVNO VARSTVO NOVA GORICA</w:t>
            </w:r>
          </w:p>
        </w:tc>
        <w:tc>
          <w:tcPr>
            <w:tcW w:w="494" w:type="dxa"/>
            <w:tcBorders>
              <w:top w:val="nil"/>
              <w:left w:val="nil"/>
              <w:bottom w:val="single" w:sz="4" w:space="0" w:color="0070C0"/>
              <w:right w:val="single" w:sz="4" w:space="0" w:color="0070C0"/>
            </w:tcBorders>
            <w:shd w:val="clear" w:color="auto" w:fill="auto"/>
            <w:noWrap/>
            <w:hideMark/>
          </w:tcPr>
          <w:p w14:paraId="525C1F7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3.697,16</w:t>
            </w:r>
          </w:p>
        </w:tc>
      </w:tr>
      <w:tr w:rsidR="00FE461F" w:rsidRPr="005E4BEA" w14:paraId="402D820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F0AC95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133</w:t>
            </w:r>
          </w:p>
        </w:tc>
        <w:tc>
          <w:tcPr>
            <w:tcW w:w="1234" w:type="dxa"/>
            <w:tcBorders>
              <w:top w:val="nil"/>
              <w:left w:val="nil"/>
              <w:bottom w:val="single" w:sz="4" w:space="0" w:color="0070C0"/>
              <w:right w:val="single" w:sz="4" w:space="0" w:color="0070C0"/>
            </w:tcBorders>
            <w:shd w:val="clear" w:color="auto" w:fill="auto"/>
            <w:hideMark/>
          </w:tcPr>
          <w:p w14:paraId="6BDC09F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TOLMIN</w:t>
            </w:r>
          </w:p>
        </w:tc>
        <w:tc>
          <w:tcPr>
            <w:tcW w:w="494" w:type="dxa"/>
            <w:tcBorders>
              <w:top w:val="nil"/>
              <w:left w:val="nil"/>
              <w:bottom w:val="single" w:sz="4" w:space="0" w:color="0070C0"/>
              <w:right w:val="single" w:sz="4" w:space="0" w:color="0070C0"/>
            </w:tcBorders>
            <w:shd w:val="clear" w:color="auto" w:fill="auto"/>
            <w:noWrap/>
            <w:hideMark/>
          </w:tcPr>
          <w:p w14:paraId="73773B5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2.519,90</w:t>
            </w:r>
          </w:p>
        </w:tc>
      </w:tr>
      <w:tr w:rsidR="00FE461F" w:rsidRPr="005E4BEA" w14:paraId="7E0CAF2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CE3252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130</w:t>
            </w:r>
          </w:p>
        </w:tc>
        <w:tc>
          <w:tcPr>
            <w:tcW w:w="1234" w:type="dxa"/>
            <w:tcBorders>
              <w:top w:val="nil"/>
              <w:left w:val="nil"/>
              <w:bottom w:val="single" w:sz="4" w:space="0" w:color="0070C0"/>
              <w:right w:val="single" w:sz="4" w:space="0" w:color="0070C0"/>
            </w:tcBorders>
            <w:shd w:val="clear" w:color="auto" w:fill="auto"/>
            <w:hideMark/>
          </w:tcPr>
          <w:p w14:paraId="21145F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AJDOVŠČINA</w:t>
            </w:r>
          </w:p>
        </w:tc>
        <w:tc>
          <w:tcPr>
            <w:tcW w:w="494" w:type="dxa"/>
            <w:tcBorders>
              <w:top w:val="nil"/>
              <w:left w:val="nil"/>
              <w:bottom w:val="single" w:sz="4" w:space="0" w:color="0070C0"/>
              <w:right w:val="single" w:sz="4" w:space="0" w:color="0070C0"/>
            </w:tcBorders>
            <w:shd w:val="clear" w:color="auto" w:fill="auto"/>
            <w:noWrap/>
            <w:hideMark/>
          </w:tcPr>
          <w:p w14:paraId="2595C75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2.109,81</w:t>
            </w:r>
          </w:p>
        </w:tc>
      </w:tr>
      <w:tr w:rsidR="00FE461F" w:rsidRPr="005E4BEA" w14:paraId="7ED829B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7A7D8C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7557</w:t>
            </w:r>
          </w:p>
        </w:tc>
        <w:tc>
          <w:tcPr>
            <w:tcW w:w="1234" w:type="dxa"/>
            <w:tcBorders>
              <w:top w:val="nil"/>
              <w:left w:val="nil"/>
              <w:bottom w:val="single" w:sz="4" w:space="0" w:color="0070C0"/>
              <w:right w:val="single" w:sz="4" w:space="0" w:color="0070C0"/>
            </w:tcBorders>
            <w:shd w:val="clear" w:color="auto" w:fill="auto"/>
            <w:hideMark/>
          </w:tcPr>
          <w:p w14:paraId="0D356A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SLOVENSKA BISTRICA</w:t>
            </w:r>
          </w:p>
        </w:tc>
        <w:tc>
          <w:tcPr>
            <w:tcW w:w="494" w:type="dxa"/>
            <w:tcBorders>
              <w:top w:val="nil"/>
              <w:left w:val="nil"/>
              <w:bottom w:val="single" w:sz="4" w:space="0" w:color="0070C0"/>
              <w:right w:val="single" w:sz="4" w:space="0" w:color="0070C0"/>
            </w:tcBorders>
            <w:shd w:val="clear" w:color="auto" w:fill="auto"/>
            <w:noWrap/>
            <w:hideMark/>
          </w:tcPr>
          <w:p w14:paraId="5538CB3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2.119,27</w:t>
            </w:r>
          </w:p>
        </w:tc>
      </w:tr>
      <w:tr w:rsidR="00FE461F" w:rsidRPr="005E4BEA" w14:paraId="11B2CFC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5C5F2B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6501</w:t>
            </w:r>
          </w:p>
        </w:tc>
        <w:tc>
          <w:tcPr>
            <w:tcW w:w="1234" w:type="dxa"/>
            <w:tcBorders>
              <w:top w:val="nil"/>
              <w:left w:val="nil"/>
              <w:bottom w:val="single" w:sz="4" w:space="0" w:color="0070C0"/>
              <w:right w:val="single" w:sz="4" w:space="0" w:color="0070C0"/>
            </w:tcBorders>
            <w:shd w:val="clear" w:color="auto" w:fill="auto"/>
            <w:hideMark/>
          </w:tcPr>
          <w:p w14:paraId="55FCC25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ŽELEZNIŠKI ZD LJUBLJANA</w:t>
            </w:r>
          </w:p>
        </w:tc>
        <w:tc>
          <w:tcPr>
            <w:tcW w:w="494" w:type="dxa"/>
            <w:tcBorders>
              <w:top w:val="nil"/>
              <w:left w:val="nil"/>
              <w:bottom w:val="single" w:sz="4" w:space="0" w:color="0070C0"/>
              <w:right w:val="single" w:sz="4" w:space="0" w:color="0070C0"/>
            </w:tcBorders>
            <w:shd w:val="clear" w:color="auto" w:fill="auto"/>
            <w:noWrap/>
            <w:hideMark/>
          </w:tcPr>
          <w:p w14:paraId="5CB7C94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997,79</w:t>
            </w:r>
          </w:p>
        </w:tc>
      </w:tr>
      <w:tr w:rsidR="00FE461F" w:rsidRPr="005E4BEA" w14:paraId="706B7D8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3D9538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7071</w:t>
            </w:r>
          </w:p>
        </w:tc>
        <w:tc>
          <w:tcPr>
            <w:tcW w:w="1234" w:type="dxa"/>
            <w:tcBorders>
              <w:top w:val="nil"/>
              <w:left w:val="nil"/>
              <w:bottom w:val="single" w:sz="4" w:space="0" w:color="0070C0"/>
              <w:right w:val="single" w:sz="4" w:space="0" w:color="0070C0"/>
            </w:tcBorders>
            <w:shd w:val="clear" w:color="auto" w:fill="auto"/>
            <w:hideMark/>
          </w:tcPr>
          <w:p w14:paraId="1366BD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VRHNIKA</w:t>
            </w:r>
          </w:p>
        </w:tc>
        <w:tc>
          <w:tcPr>
            <w:tcW w:w="494" w:type="dxa"/>
            <w:tcBorders>
              <w:top w:val="nil"/>
              <w:left w:val="nil"/>
              <w:bottom w:val="single" w:sz="4" w:space="0" w:color="0070C0"/>
              <w:right w:val="single" w:sz="4" w:space="0" w:color="0070C0"/>
            </w:tcBorders>
            <w:shd w:val="clear" w:color="auto" w:fill="auto"/>
            <w:noWrap/>
            <w:hideMark/>
          </w:tcPr>
          <w:p w14:paraId="67923E4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1.314,69</w:t>
            </w:r>
          </w:p>
        </w:tc>
      </w:tr>
      <w:tr w:rsidR="00FE461F" w:rsidRPr="005E4BEA" w14:paraId="7A978D7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6BAD70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6831</w:t>
            </w:r>
          </w:p>
        </w:tc>
        <w:tc>
          <w:tcPr>
            <w:tcW w:w="1234" w:type="dxa"/>
            <w:tcBorders>
              <w:top w:val="nil"/>
              <w:left w:val="nil"/>
              <w:bottom w:val="single" w:sz="4" w:space="0" w:color="0070C0"/>
              <w:right w:val="single" w:sz="4" w:space="0" w:color="0070C0"/>
            </w:tcBorders>
            <w:shd w:val="clear" w:color="auto" w:fill="auto"/>
            <w:hideMark/>
          </w:tcPr>
          <w:p w14:paraId="28D798C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CERKNICA</w:t>
            </w:r>
          </w:p>
        </w:tc>
        <w:tc>
          <w:tcPr>
            <w:tcW w:w="494" w:type="dxa"/>
            <w:tcBorders>
              <w:top w:val="nil"/>
              <w:left w:val="nil"/>
              <w:bottom w:val="single" w:sz="4" w:space="0" w:color="0070C0"/>
              <w:right w:val="single" w:sz="4" w:space="0" w:color="0070C0"/>
            </w:tcBorders>
            <w:shd w:val="clear" w:color="auto" w:fill="auto"/>
            <w:noWrap/>
            <w:hideMark/>
          </w:tcPr>
          <w:p w14:paraId="720D12C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2.625,00</w:t>
            </w:r>
          </w:p>
        </w:tc>
      </w:tr>
      <w:tr w:rsidR="00FE461F" w:rsidRPr="005E4BEA" w14:paraId="3E5FAD4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31A778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6931</w:t>
            </w:r>
          </w:p>
        </w:tc>
        <w:tc>
          <w:tcPr>
            <w:tcW w:w="1234" w:type="dxa"/>
            <w:tcBorders>
              <w:top w:val="nil"/>
              <w:left w:val="nil"/>
              <w:bottom w:val="single" w:sz="4" w:space="0" w:color="0070C0"/>
              <w:right w:val="single" w:sz="4" w:space="0" w:color="0070C0"/>
            </w:tcBorders>
            <w:shd w:val="clear" w:color="auto" w:fill="auto"/>
            <w:hideMark/>
          </w:tcPr>
          <w:p w14:paraId="49684E8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IDRIJA</w:t>
            </w:r>
          </w:p>
        </w:tc>
        <w:tc>
          <w:tcPr>
            <w:tcW w:w="494" w:type="dxa"/>
            <w:tcBorders>
              <w:top w:val="nil"/>
              <w:left w:val="nil"/>
              <w:bottom w:val="single" w:sz="4" w:space="0" w:color="0070C0"/>
              <w:right w:val="single" w:sz="4" w:space="0" w:color="0070C0"/>
            </w:tcBorders>
            <w:shd w:val="clear" w:color="auto" w:fill="auto"/>
            <w:noWrap/>
            <w:hideMark/>
          </w:tcPr>
          <w:p w14:paraId="4199A51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3.232,92</w:t>
            </w:r>
          </w:p>
        </w:tc>
      </w:tr>
      <w:tr w:rsidR="00FE461F" w:rsidRPr="005E4BEA" w14:paraId="08E1D26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787B75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7001</w:t>
            </w:r>
          </w:p>
        </w:tc>
        <w:tc>
          <w:tcPr>
            <w:tcW w:w="1234" w:type="dxa"/>
            <w:tcBorders>
              <w:top w:val="nil"/>
              <w:left w:val="nil"/>
              <w:bottom w:val="single" w:sz="4" w:space="0" w:color="0070C0"/>
              <w:right w:val="single" w:sz="4" w:space="0" w:color="0070C0"/>
            </w:tcBorders>
            <w:shd w:val="clear" w:color="auto" w:fill="auto"/>
            <w:hideMark/>
          </w:tcPr>
          <w:p w14:paraId="2C924F9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LOGATEC</w:t>
            </w:r>
          </w:p>
        </w:tc>
        <w:tc>
          <w:tcPr>
            <w:tcW w:w="494" w:type="dxa"/>
            <w:tcBorders>
              <w:top w:val="nil"/>
              <w:left w:val="nil"/>
              <w:bottom w:val="single" w:sz="4" w:space="0" w:color="0070C0"/>
              <w:right w:val="single" w:sz="4" w:space="0" w:color="0070C0"/>
            </w:tcBorders>
            <w:shd w:val="clear" w:color="auto" w:fill="auto"/>
            <w:noWrap/>
            <w:hideMark/>
          </w:tcPr>
          <w:p w14:paraId="04032CF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2.298,39</w:t>
            </w:r>
          </w:p>
        </w:tc>
      </w:tr>
      <w:tr w:rsidR="00FE461F" w:rsidRPr="005E4BEA" w14:paraId="7F39955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A51BA3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4200</w:t>
            </w:r>
          </w:p>
        </w:tc>
        <w:tc>
          <w:tcPr>
            <w:tcW w:w="1234" w:type="dxa"/>
            <w:tcBorders>
              <w:top w:val="nil"/>
              <w:left w:val="nil"/>
              <w:bottom w:val="single" w:sz="4" w:space="0" w:color="0070C0"/>
              <w:right w:val="single" w:sz="4" w:space="0" w:color="0070C0"/>
            </w:tcBorders>
            <w:shd w:val="clear" w:color="auto" w:fill="auto"/>
            <w:hideMark/>
          </w:tcPr>
          <w:p w14:paraId="0C61D96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OZG</w:t>
            </w:r>
          </w:p>
        </w:tc>
        <w:tc>
          <w:tcPr>
            <w:tcW w:w="494" w:type="dxa"/>
            <w:tcBorders>
              <w:top w:val="nil"/>
              <w:left w:val="nil"/>
              <w:bottom w:val="single" w:sz="4" w:space="0" w:color="0070C0"/>
              <w:right w:val="single" w:sz="4" w:space="0" w:color="0070C0"/>
            </w:tcBorders>
            <w:shd w:val="clear" w:color="auto" w:fill="auto"/>
            <w:noWrap/>
            <w:hideMark/>
          </w:tcPr>
          <w:p w14:paraId="20DDFCD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21.102,28</w:t>
            </w:r>
          </w:p>
        </w:tc>
      </w:tr>
      <w:tr w:rsidR="00FE461F" w:rsidRPr="005E4BEA" w14:paraId="083049B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F228D7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6830</w:t>
            </w:r>
          </w:p>
        </w:tc>
        <w:tc>
          <w:tcPr>
            <w:tcW w:w="1234" w:type="dxa"/>
            <w:tcBorders>
              <w:top w:val="nil"/>
              <w:left w:val="nil"/>
              <w:bottom w:val="single" w:sz="4" w:space="0" w:color="0070C0"/>
              <w:right w:val="single" w:sz="4" w:space="0" w:color="0070C0"/>
            </w:tcBorders>
            <w:shd w:val="clear" w:color="auto" w:fill="auto"/>
            <w:hideMark/>
          </w:tcPr>
          <w:p w14:paraId="4B99A88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RIBNICA</w:t>
            </w:r>
          </w:p>
        </w:tc>
        <w:tc>
          <w:tcPr>
            <w:tcW w:w="494" w:type="dxa"/>
            <w:tcBorders>
              <w:top w:val="nil"/>
              <w:left w:val="nil"/>
              <w:bottom w:val="single" w:sz="4" w:space="0" w:color="0070C0"/>
              <w:right w:val="single" w:sz="4" w:space="0" w:color="0070C0"/>
            </w:tcBorders>
            <w:shd w:val="clear" w:color="auto" w:fill="auto"/>
            <w:noWrap/>
            <w:hideMark/>
          </w:tcPr>
          <w:p w14:paraId="60E339E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2.739,00</w:t>
            </w:r>
          </w:p>
        </w:tc>
      </w:tr>
      <w:tr w:rsidR="00FE461F" w:rsidRPr="005E4BEA" w14:paraId="4F06CF0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F89280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6651</w:t>
            </w:r>
          </w:p>
        </w:tc>
        <w:tc>
          <w:tcPr>
            <w:tcW w:w="1234" w:type="dxa"/>
            <w:tcBorders>
              <w:top w:val="nil"/>
              <w:left w:val="nil"/>
              <w:bottom w:val="single" w:sz="4" w:space="0" w:color="0070C0"/>
              <w:right w:val="single" w:sz="4" w:space="0" w:color="0070C0"/>
            </w:tcBorders>
            <w:shd w:val="clear" w:color="auto" w:fill="auto"/>
            <w:hideMark/>
          </w:tcPr>
          <w:p w14:paraId="0BD09A7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KOČEVJE</w:t>
            </w:r>
          </w:p>
        </w:tc>
        <w:tc>
          <w:tcPr>
            <w:tcW w:w="494" w:type="dxa"/>
            <w:tcBorders>
              <w:top w:val="nil"/>
              <w:left w:val="nil"/>
              <w:bottom w:val="single" w:sz="4" w:space="0" w:color="0070C0"/>
              <w:right w:val="single" w:sz="4" w:space="0" w:color="0070C0"/>
            </w:tcBorders>
            <w:shd w:val="clear" w:color="auto" w:fill="auto"/>
            <w:noWrap/>
            <w:hideMark/>
          </w:tcPr>
          <w:p w14:paraId="5CC3650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1.805,40</w:t>
            </w:r>
          </w:p>
        </w:tc>
      </w:tr>
      <w:tr w:rsidR="00FE461F" w:rsidRPr="005E4BEA" w14:paraId="44A5BB2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340F61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9721</w:t>
            </w:r>
          </w:p>
        </w:tc>
        <w:tc>
          <w:tcPr>
            <w:tcW w:w="1234" w:type="dxa"/>
            <w:tcBorders>
              <w:top w:val="nil"/>
              <w:left w:val="nil"/>
              <w:bottom w:val="single" w:sz="4" w:space="0" w:color="0070C0"/>
              <w:right w:val="single" w:sz="4" w:space="0" w:color="0070C0"/>
            </w:tcBorders>
            <w:shd w:val="clear" w:color="auto" w:fill="auto"/>
            <w:hideMark/>
          </w:tcPr>
          <w:p w14:paraId="7E2DB32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ZGORNJESAVINJSKI ZDR.DOM NAZARJE</w:t>
            </w:r>
          </w:p>
        </w:tc>
        <w:tc>
          <w:tcPr>
            <w:tcW w:w="494" w:type="dxa"/>
            <w:tcBorders>
              <w:top w:val="nil"/>
              <w:left w:val="nil"/>
              <w:bottom w:val="single" w:sz="4" w:space="0" w:color="0070C0"/>
              <w:right w:val="single" w:sz="4" w:space="0" w:color="0070C0"/>
            </w:tcBorders>
            <w:shd w:val="clear" w:color="auto" w:fill="auto"/>
            <w:noWrap/>
            <w:hideMark/>
          </w:tcPr>
          <w:p w14:paraId="3A40025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1.003,55</w:t>
            </w:r>
          </w:p>
        </w:tc>
      </w:tr>
      <w:tr w:rsidR="00FE461F" w:rsidRPr="005E4BEA" w14:paraId="1B87086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509F6A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24590</w:t>
            </w:r>
          </w:p>
        </w:tc>
        <w:tc>
          <w:tcPr>
            <w:tcW w:w="1234" w:type="dxa"/>
            <w:tcBorders>
              <w:top w:val="nil"/>
              <w:left w:val="nil"/>
              <w:bottom w:val="single" w:sz="4" w:space="0" w:color="0070C0"/>
              <w:right w:val="single" w:sz="4" w:space="0" w:color="0070C0"/>
            </w:tcBorders>
            <w:shd w:val="clear" w:color="auto" w:fill="auto"/>
            <w:hideMark/>
          </w:tcPr>
          <w:p w14:paraId="0A48279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ESKULAP D.O.O.LJUBLJANA</w:t>
            </w:r>
          </w:p>
        </w:tc>
        <w:tc>
          <w:tcPr>
            <w:tcW w:w="494" w:type="dxa"/>
            <w:tcBorders>
              <w:top w:val="nil"/>
              <w:left w:val="nil"/>
              <w:bottom w:val="single" w:sz="4" w:space="0" w:color="0070C0"/>
              <w:right w:val="single" w:sz="4" w:space="0" w:color="0070C0"/>
            </w:tcBorders>
            <w:shd w:val="clear" w:color="auto" w:fill="auto"/>
            <w:noWrap/>
            <w:hideMark/>
          </w:tcPr>
          <w:p w14:paraId="0D233A7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26713A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65A261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12849</w:t>
            </w:r>
          </w:p>
        </w:tc>
        <w:tc>
          <w:tcPr>
            <w:tcW w:w="1234" w:type="dxa"/>
            <w:tcBorders>
              <w:top w:val="nil"/>
              <w:left w:val="nil"/>
              <w:bottom w:val="single" w:sz="4" w:space="0" w:color="0070C0"/>
              <w:right w:val="single" w:sz="4" w:space="0" w:color="0070C0"/>
            </w:tcBorders>
            <w:shd w:val="clear" w:color="auto" w:fill="auto"/>
            <w:hideMark/>
          </w:tcPr>
          <w:p w14:paraId="6B7435E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 ZAVOD REVITA</w:t>
            </w:r>
          </w:p>
        </w:tc>
        <w:tc>
          <w:tcPr>
            <w:tcW w:w="494" w:type="dxa"/>
            <w:tcBorders>
              <w:top w:val="nil"/>
              <w:left w:val="nil"/>
              <w:bottom w:val="single" w:sz="4" w:space="0" w:color="0070C0"/>
              <w:right w:val="single" w:sz="4" w:space="0" w:color="0070C0"/>
            </w:tcBorders>
            <w:shd w:val="clear" w:color="auto" w:fill="auto"/>
            <w:noWrap/>
            <w:hideMark/>
          </w:tcPr>
          <w:p w14:paraId="644551F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769F04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76AB99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24159</w:t>
            </w:r>
          </w:p>
        </w:tc>
        <w:tc>
          <w:tcPr>
            <w:tcW w:w="1234" w:type="dxa"/>
            <w:tcBorders>
              <w:top w:val="nil"/>
              <w:left w:val="nil"/>
              <w:bottom w:val="single" w:sz="4" w:space="0" w:color="0070C0"/>
              <w:right w:val="single" w:sz="4" w:space="0" w:color="0070C0"/>
            </w:tcBorders>
            <w:shd w:val="clear" w:color="auto" w:fill="auto"/>
            <w:hideMark/>
          </w:tcPr>
          <w:p w14:paraId="345F160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STUDIO R D.O.O.</w:t>
            </w:r>
          </w:p>
        </w:tc>
        <w:tc>
          <w:tcPr>
            <w:tcW w:w="494" w:type="dxa"/>
            <w:tcBorders>
              <w:top w:val="nil"/>
              <w:left w:val="nil"/>
              <w:bottom w:val="single" w:sz="4" w:space="0" w:color="0070C0"/>
              <w:right w:val="single" w:sz="4" w:space="0" w:color="0070C0"/>
            </w:tcBorders>
            <w:shd w:val="clear" w:color="auto" w:fill="auto"/>
            <w:noWrap/>
            <w:hideMark/>
          </w:tcPr>
          <w:p w14:paraId="3EDDA0A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22.932,38</w:t>
            </w:r>
          </w:p>
        </w:tc>
      </w:tr>
      <w:tr w:rsidR="00FE461F" w:rsidRPr="005E4BEA" w14:paraId="1806239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633AF0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10201</w:t>
            </w:r>
          </w:p>
        </w:tc>
        <w:tc>
          <w:tcPr>
            <w:tcW w:w="1234" w:type="dxa"/>
            <w:tcBorders>
              <w:top w:val="nil"/>
              <w:left w:val="nil"/>
              <w:bottom w:val="single" w:sz="4" w:space="0" w:color="0070C0"/>
              <w:right w:val="single" w:sz="4" w:space="0" w:color="0070C0"/>
            </w:tcBorders>
            <w:shd w:val="clear" w:color="auto" w:fill="auto"/>
            <w:hideMark/>
          </w:tcPr>
          <w:p w14:paraId="57CF8F1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DOMŽALE</w:t>
            </w:r>
          </w:p>
        </w:tc>
        <w:tc>
          <w:tcPr>
            <w:tcW w:w="494" w:type="dxa"/>
            <w:tcBorders>
              <w:top w:val="nil"/>
              <w:left w:val="nil"/>
              <w:bottom w:val="single" w:sz="4" w:space="0" w:color="0070C0"/>
              <w:right w:val="single" w:sz="4" w:space="0" w:color="0070C0"/>
            </w:tcBorders>
            <w:shd w:val="clear" w:color="auto" w:fill="auto"/>
            <w:noWrap/>
            <w:hideMark/>
          </w:tcPr>
          <w:p w14:paraId="50B056F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3.352,90</w:t>
            </w:r>
          </w:p>
        </w:tc>
      </w:tr>
      <w:tr w:rsidR="00FE461F" w:rsidRPr="005E4BEA" w14:paraId="73EC3F3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E9139F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7715</w:t>
            </w:r>
          </w:p>
        </w:tc>
        <w:tc>
          <w:tcPr>
            <w:tcW w:w="1234" w:type="dxa"/>
            <w:tcBorders>
              <w:top w:val="nil"/>
              <w:left w:val="nil"/>
              <w:bottom w:val="single" w:sz="4" w:space="0" w:color="0070C0"/>
              <w:right w:val="single" w:sz="4" w:space="0" w:color="0070C0"/>
            </w:tcBorders>
            <w:shd w:val="clear" w:color="auto" w:fill="auto"/>
            <w:hideMark/>
          </w:tcPr>
          <w:p w14:paraId="6469A33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PTUJ</w:t>
            </w:r>
          </w:p>
        </w:tc>
        <w:tc>
          <w:tcPr>
            <w:tcW w:w="494" w:type="dxa"/>
            <w:tcBorders>
              <w:top w:val="nil"/>
              <w:left w:val="nil"/>
              <w:bottom w:val="single" w:sz="4" w:space="0" w:color="0070C0"/>
              <w:right w:val="single" w:sz="4" w:space="0" w:color="0070C0"/>
            </w:tcBorders>
            <w:shd w:val="clear" w:color="auto" w:fill="auto"/>
            <w:noWrap/>
            <w:hideMark/>
          </w:tcPr>
          <w:p w14:paraId="43A6E00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3.722,37</w:t>
            </w:r>
          </w:p>
        </w:tc>
      </w:tr>
      <w:tr w:rsidR="00FE461F" w:rsidRPr="005E4BEA" w14:paraId="579E6E9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942B5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12971</w:t>
            </w:r>
          </w:p>
        </w:tc>
        <w:tc>
          <w:tcPr>
            <w:tcW w:w="1234" w:type="dxa"/>
            <w:tcBorders>
              <w:top w:val="nil"/>
              <w:left w:val="nil"/>
              <w:bottom w:val="single" w:sz="4" w:space="0" w:color="0070C0"/>
              <w:right w:val="single" w:sz="4" w:space="0" w:color="0070C0"/>
            </w:tcBorders>
            <w:shd w:val="clear" w:color="auto" w:fill="auto"/>
            <w:hideMark/>
          </w:tcPr>
          <w:p w14:paraId="1F3879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BARSOS-MC</w:t>
            </w:r>
          </w:p>
        </w:tc>
        <w:tc>
          <w:tcPr>
            <w:tcW w:w="494" w:type="dxa"/>
            <w:tcBorders>
              <w:top w:val="nil"/>
              <w:left w:val="nil"/>
              <w:bottom w:val="single" w:sz="4" w:space="0" w:color="0070C0"/>
              <w:right w:val="single" w:sz="4" w:space="0" w:color="0070C0"/>
            </w:tcBorders>
            <w:shd w:val="clear" w:color="auto" w:fill="auto"/>
            <w:noWrap/>
            <w:hideMark/>
          </w:tcPr>
          <w:p w14:paraId="54ABA32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450,43</w:t>
            </w:r>
          </w:p>
        </w:tc>
      </w:tr>
      <w:tr w:rsidR="00FE461F" w:rsidRPr="005E4BEA" w14:paraId="1B748E5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404D6B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2131</w:t>
            </w:r>
          </w:p>
        </w:tc>
        <w:tc>
          <w:tcPr>
            <w:tcW w:w="1234" w:type="dxa"/>
            <w:tcBorders>
              <w:top w:val="nil"/>
              <w:left w:val="nil"/>
              <w:bottom w:val="single" w:sz="4" w:space="0" w:color="0070C0"/>
              <w:right w:val="single" w:sz="4" w:space="0" w:color="0070C0"/>
            </w:tcBorders>
            <w:shd w:val="clear" w:color="auto" w:fill="auto"/>
            <w:hideMark/>
          </w:tcPr>
          <w:p w14:paraId="78AE181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CELJE</w:t>
            </w:r>
          </w:p>
        </w:tc>
        <w:tc>
          <w:tcPr>
            <w:tcW w:w="494" w:type="dxa"/>
            <w:tcBorders>
              <w:top w:val="nil"/>
              <w:left w:val="nil"/>
              <w:bottom w:val="single" w:sz="4" w:space="0" w:color="0070C0"/>
              <w:right w:val="single" w:sz="4" w:space="0" w:color="0070C0"/>
            </w:tcBorders>
            <w:shd w:val="clear" w:color="auto" w:fill="auto"/>
            <w:noWrap/>
            <w:hideMark/>
          </w:tcPr>
          <w:p w14:paraId="49DF6D6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7.476,54</w:t>
            </w:r>
          </w:p>
        </w:tc>
      </w:tr>
      <w:tr w:rsidR="00FE461F" w:rsidRPr="005E4BEA" w14:paraId="2B5B574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185607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29169</w:t>
            </w:r>
          </w:p>
        </w:tc>
        <w:tc>
          <w:tcPr>
            <w:tcW w:w="1234" w:type="dxa"/>
            <w:tcBorders>
              <w:top w:val="nil"/>
              <w:left w:val="nil"/>
              <w:bottom w:val="single" w:sz="4" w:space="0" w:color="0070C0"/>
              <w:right w:val="single" w:sz="4" w:space="0" w:color="0070C0"/>
            </w:tcBorders>
            <w:shd w:val="clear" w:color="auto" w:fill="auto"/>
            <w:hideMark/>
          </w:tcPr>
          <w:p w14:paraId="54D3A72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EVA D.O.O.</w:t>
            </w:r>
          </w:p>
        </w:tc>
        <w:tc>
          <w:tcPr>
            <w:tcW w:w="494" w:type="dxa"/>
            <w:tcBorders>
              <w:top w:val="nil"/>
              <w:left w:val="nil"/>
              <w:bottom w:val="single" w:sz="4" w:space="0" w:color="0070C0"/>
              <w:right w:val="single" w:sz="4" w:space="0" w:color="0070C0"/>
            </w:tcBorders>
            <w:shd w:val="clear" w:color="auto" w:fill="auto"/>
            <w:noWrap/>
            <w:hideMark/>
          </w:tcPr>
          <w:p w14:paraId="56C053C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243,63</w:t>
            </w:r>
          </w:p>
        </w:tc>
      </w:tr>
      <w:tr w:rsidR="00FE461F" w:rsidRPr="005E4BEA" w14:paraId="61F9625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A312CE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2486</w:t>
            </w:r>
          </w:p>
        </w:tc>
        <w:tc>
          <w:tcPr>
            <w:tcW w:w="1234" w:type="dxa"/>
            <w:tcBorders>
              <w:top w:val="nil"/>
              <w:left w:val="nil"/>
              <w:bottom w:val="single" w:sz="4" w:space="0" w:color="0070C0"/>
              <w:right w:val="single" w:sz="4" w:space="0" w:color="0070C0"/>
            </w:tcBorders>
            <w:shd w:val="clear" w:color="auto" w:fill="auto"/>
            <w:hideMark/>
          </w:tcPr>
          <w:p w14:paraId="7B9413B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ŠENTJUR</w:t>
            </w:r>
          </w:p>
        </w:tc>
        <w:tc>
          <w:tcPr>
            <w:tcW w:w="494" w:type="dxa"/>
            <w:tcBorders>
              <w:top w:val="nil"/>
              <w:left w:val="nil"/>
              <w:bottom w:val="single" w:sz="4" w:space="0" w:color="0070C0"/>
              <w:right w:val="single" w:sz="4" w:space="0" w:color="0070C0"/>
            </w:tcBorders>
            <w:shd w:val="clear" w:color="auto" w:fill="auto"/>
            <w:noWrap/>
            <w:hideMark/>
          </w:tcPr>
          <w:p w14:paraId="7AC490F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1.420,07</w:t>
            </w:r>
          </w:p>
        </w:tc>
      </w:tr>
      <w:tr w:rsidR="00FE461F" w:rsidRPr="005E4BEA" w14:paraId="3C8C006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73F6A8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2546</w:t>
            </w:r>
          </w:p>
        </w:tc>
        <w:tc>
          <w:tcPr>
            <w:tcW w:w="1234" w:type="dxa"/>
            <w:tcBorders>
              <w:top w:val="nil"/>
              <w:left w:val="nil"/>
              <w:bottom w:val="single" w:sz="4" w:space="0" w:color="0070C0"/>
              <w:right w:val="single" w:sz="4" w:space="0" w:color="0070C0"/>
            </w:tcBorders>
            <w:shd w:val="clear" w:color="auto" w:fill="auto"/>
            <w:hideMark/>
          </w:tcPr>
          <w:p w14:paraId="16E636E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ŠMARJE PRI JELŠAH</w:t>
            </w:r>
          </w:p>
        </w:tc>
        <w:tc>
          <w:tcPr>
            <w:tcW w:w="494" w:type="dxa"/>
            <w:tcBorders>
              <w:top w:val="nil"/>
              <w:left w:val="nil"/>
              <w:bottom w:val="single" w:sz="4" w:space="0" w:color="0070C0"/>
              <w:right w:val="single" w:sz="4" w:space="0" w:color="0070C0"/>
            </w:tcBorders>
            <w:shd w:val="clear" w:color="auto" w:fill="auto"/>
            <w:noWrap/>
            <w:hideMark/>
          </w:tcPr>
          <w:p w14:paraId="18D4F37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2.506,29</w:t>
            </w:r>
          </w:p>
        </w:tc>
      </w:tr>
      <w:tr w:rsidR="00FE461F" w:rsidRPr="005E4BEA" w14:paraId="5B83DE8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1F76A4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2416</w:t>
            </w:r>
          </w:p>
        </w:tc>
        <w:tc>
          <w:tcPr>
            <w:tcW w:w="1234" w:type="dxa"/>
            <w:tcBorders>
              <w:top w:val="nil"/>
              <w:left w:val="nil"/>
              <w:bottom w:val="single" w:sz="4" w:space="0" w:color="0070C0"/>
              <w:right w:val="single" w:sz="4" w:space="0" w:color="0070C0"/>
            </w:tcBorders>
            <w:shd w:val="clear" w:color="auto" w:fill="auto"/>
            <w:hideMark/>
          </w:tcPr>
          <w:p w14:paraId="6BB4BB8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SLOV.KONJICE</w:t>
            </w:r>
          </w:p>
        </w:tc>
        <w:tc>
          <w:tcPr>
            <w:tcW w:w="494" w:type="dxa"/>
            <w:tcBorders>
              <w:top w:val="nil"/>
              <w:left w:val="nil"/>
              <w:bottom w:val="single" w:sz="4" w:space="0" w:color="0070C0"/>
              <w:right w:val="single" w:sz="4" w:space="0" w:color="0070C0"/>
            </w:tcBorders>
            <w:shd w:val="clear" w:color="auto" w:fill="auto"/>
            <w:noWrap/>
            <w:hideMark/>
          </w:tcPr>
          <w:p w14:paraId="0F8AD11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1.199,47</w:t>
            </w:r>
          </w:p>
        </w:tc>
      </w:tr>
      <w:tr w:rsidR="00FE461F" w:rsidRPr="005E4BEA" w14:paraId="255309E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CFCE15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2641</w:t>
            </w:r>
          </w:p>
        </w:tc>
        <w:tc>
          <w:tcPr>
            <w:tcW w:w="1234" w:type="dxa"/>
            <w:tcBorders>
              <w:top w:val="nil"/>
              <w:left w:val="nil"/>
              <w:bottom w:val="single" w:sz="4" w:space="0" w:color="0070C0"/>
              <w:right w:val="single" w:sz="4" w:space="0" w:color="0070C0"/>
            </w:tcBorders>
            <w:shd w:val="clear" w:color="auto" w:fill="auto"/>
            <w:hideMark/>
          </w:tcPr>
          <w:p w14:paraId="3C5CDF6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ŽALEC</w:t>
            </w:r>
          </w:p>
        </w:tc>
        <w:tc>
          <w:tcPr>
            <w:tcW w:w="494" w:type="dxa"/>
            <w:tcBorders>
              <w:top w:val="nil"/>
              <w:left w:val="nil"/>
              <w:bottom w:val="single" w:sz="4" w:space="0" w:color="0070C0"/>
              <w:right w:val="single" w:sz="4" w:space="0" w:color="0070C0"/>
            </w:tcBorders>
            <w:shd w:val="clear" w:color="auto" w:fill="auto"/>
            <w:noWrap/>
            <w:hideMark/>
          </w:tcPr>
          <w:p w14:paraId="51F4544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1.724,19</w:t>
            </w:r>
          </w:p>
        </w:tc>
      </w:tr>
      <w:tr w:rsidR="00FE461F" w:rsidRPr="005E4BEA" w14:paraId="1E27086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DAFCD6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2371</w:t>
            </w:r>
          </w:p>
        </w:tc>
        <w:tc>
          <w:tcPr>
            <w:tcW w:w="1234" w:type="dxa"/>
            <w:tcBorders>
              <w:top w:val="nil"/>
              <w:left w:val="nil"/>
              <w:bottom w:val="single" w:sz="4" w:space="0" w:color="0070C0"/>
              <w:right w:val="single" w:sz="4" w:space="0" w:color="0070C0"/>
            </w:tcBorders>
            <w:shd w:val="clear" w:color="auto" w:fill="auto"/>
            <w:hideMark/>
          </w:tcPr>
          <w:p w14:paraId="5C6753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SEVNICA</w:t>
            </w:r>
          </w:p>
        </w:tc>
        <w:tc>
          <w:tcPr>
            <w:tcW w:w="494" w:type="dxa"/>
            <w:tcBorders>
              <w:top w:val="nil"/>
              <w:left w:val="nil"/>
              <w:bottom w:val="single" w:sz="4" w:space="0" w:color="0070C0"/>
              <w:right w:val="single" w:sz="4" w:space="0" w:color="0070C0"/>
            </w:tcBorders>
            <w:shd w:val="clear" w:color="auto" w:fill="auto"/>
            <w:noWrap/>
            <w:hideMark/>
          </w:tcPr>
          <w:p w14:paraId="02F8CEE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1.647,15</w:t>
            </w:r>
          </w:p>
        </w:tc>
      </w:tr>
      <w:tr w:rsidR="00FE461F" w:rsidRPr="005E4BEA" w14:paraId="2DA378A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A7A3B0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12867</w:t>
            </w:r>
          </w:p>
        </w:tc>
        <w:tc>
          <w:tcPr>
            <w:tcW w:w="1234" w:type="dxa"/>
            <w:tcBorders>
              <w:top w:val="nil"/>
              <w:left w:val="nil"/>
              <w:bottom w:val="single" w:sz="4" w:space="0" w:color="0070C0"/>
              <w:right w:val="single" w:sz="4" w:space="0" w:color="0070C0"/>
            </w:tcBorders>
            <w:shd w:val="clear" w:color="auto" w:fill="auto"/>
            <w:hideMark/>
          </w:tcPr>
          <w:p w14:paraId="1E3648D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 ZDRAVJE</w:t>
            </w:r>
          </w:p>
        </w:tc>
        <w:tc>
          <w:tcPr>
            <w:tcW w:w="494" w:type="dxa"/>
            <w:tcBorders>
              <w:top w:val="nil"/>
              <w:left w:val="nil"/>
              <w:bottom w:val="single" w:sz="4" w:space="0" w:color="0070C0"/>
              <w:right w:val="single" w:sz="4" w:space="0" w:color="0070C0"/>
            </w:tcBorders>
            <w:shd w:val="clear" w:color="auto" w:fill="auto"/>
            <w:noWrap/>
            <w:hideMark/>
          </w:tcPr>
          <w:p w14:paraId="239531C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629,04</w:t>
            </w:r>
          </w:p>
        </w:tc>
      </w:tr>
      <w:tr w:rsidR="00FE461F" w:rsidRPr="005E4BEA" w14:paraId="6604B51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599FC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2968</w:t>
            </w:r>
          </w:p>
        </w:tc>
        <w:tc>
          <w:tcPr>
            <w:tcW w:w="1234" w:type="dxa"/>
            <w:tcBorders>
              <w:top w:val="nil"/>
              <w:left w:val="nil"/>
              <w:bottom w:val="single" w:sz="4" w:space="0" w:color="0070C0"/>
              <w:right w:val="single" w:sz="4" w:space="0" w:color="0070C0"/>
            </w:tcBorders>
            <w:shd w:val="clear" w:color="auto" w:fill="auto"/>
            <w:hideMark/>
          </w:tcPr>
          <w:p w14:paraId="505447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RADEČE</w:t>
            </w:r>
          </w:p>
        </w:tc>
        <w:tc>
          <w:tcPr>
            <w:tcW w:w="494" w:type="dxa"/>
            <w:tcBorders>
              <w:top w:val="nil"/>
              <w:left w:val="nil"/>
              <w:bottom w:val="single" w:sz="4" w:space="0" w:color="0070C0"/>
              <w:right w:val="single" w:sz="4" w:space="0" w:color="0070C0"/>
            </w:tcBorders>
            <w:shd w:val="clear" w:color="auto" w:fill="auto"/>
            <w:noWrap/>
            <w:hideMark/>
          </w:tcPr>
          <w:p w14:paraId="4C3D481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539,40</w:t>
            </w:r>
          </w:p>
        </w:tc>
      </w:tr>
      <w:tr w:rsidR="00FE461F" w:rsidRPr="005E4BEA" w14:paraId="011982E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DA4E9E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2326</w:t>
            </w:r>
          </w:p>
        </w:tc>
        <w:tc>
          <w:tcPr>
            <w:tcW w:w="1234" w:type="dxa"/>
            <w:tcBorders>
              <w:top w:val="nil"/>
              <w:left w:val="nil"/>
              <w:bottom w:val="single" w:sz="4" w:space="0" w:color="0070C0"/>
              <w:right w:val="single" w:sz="4" w:space="0" w:color="0070C0"/>
            </w:tcBorders>
            <w:shd w:val="clear" w:color="auto" w:fill="auto"/>
            <w:hideMark/>
          </w:tcPr>
          <w:p w14:paraId="1AAF4B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LAŠKO</w:t>
            </w:r>
          </w:p>
        </w:tc>
        <w:tc>
          <w:tcPr>
            <w:tcW w:w="494" w:type="dxa"/>
            <w:tcBorders>
              <w:top w:val="nil"/>
              <w:left w:val="nil"/>
              <w:bottom w:val="single" w:sz="4" w:space="0" w:color="0070C0"/>
              <w:right w:val="single" w:sz="4" w:space="0" w:color="0070C0"/>
            </w:tcBorders>
            <w:shd w:val="clear" w:color="auto" w:fill="auto"/>
            <w:noWrap/>
            <w:hideMark/>
          </w:tcPr>
          <w:p w14:paraId="51FD650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1.376,74</w:t>
            </w:r>
          </w:p>
        </w:tc>
      </w:tr>
      <w:tr w:rsidR="00FE461F" w:rsidRPr="005E4BEA" w14:paraId="0F93743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AC09F9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5900</w:t>
            </w:r>
          </w:p>
        </w:tc>
        <w:tc>
          <w:tcPr>
            <w:tcW w:w="1234" w:type="dxa"/>
            <w:tcBorders>
              <w:top w:val="nil"/>
              <w:left w:val="nil"/>
              <w:bottom w:val="single" w:sz="4" w:space="0" w:color="0070C0"/>
              <w:right w:val="single" w:sz="4" w:space="0" w:color="0070C0"/>
            </w:tcBorders>
            <w:shd w:val="clear" w:color="auto" w:fill="auto"/>
            <w:hideMark/>
          </w:tcPr>
          <w:p w14:paraId="5AB6D6A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ZA ŠTUDENTE</w:t>
            </w:r>
          </w:p>
        </w:tc>
        <w:tc>
          <w:tcPr>
            <w:tcW w:w="494" w:type="dxa"/>
            <w:tcBorders>
              <w:top w:val="nil"/>
              <w:left w:val="nil"/>
              <w:bottom w:val="single" w:sz="4" w:space="0" w:color="0070C0"/>
              <w:right w:val="single" w:sz="4" w:space="0" w:color="0070C0"/>
            </w:tcBorders>
            <w:shd w:val="clear" w:color="auto" w:fill="auto"/>
            <w:noWrap/>
            <w:hideMark/>
          </w:tcPr>
          <w:p w14:paraId="335644A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1.026,60</w:t>
            </w:r>
          </w:p>
        </w:tc>
      </w:tr>
      <w:tr w:rsidR="00FE461F" w:rsidRPr="005E4BEA" w14:paraId="7FFC96E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6DD02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3401</w:t>
            </w:r>
          </w:p>
        </w:tc>
        <w:tc>
          <w:tcPr>
            <w:tcW w:w="1234" w:type="dxa"/>
            <w:tcBorders>
              <w:top w:val="nil"/>
              <w:left w:val="nil"/>
              <w:bottom w:val="single" w:sz="4" w:space="0" w:color="0070C0"/>
              <w:right w:val="single" w:sz="4" w:space="0" w:color="0070C0"/>
            </w:tcBorders>
            <w:shd w:val="clear" w:color="auto" w:fill="auto"/>
            <w:hideMark/>
          </w:tcPr>
          <w:p w14:paraId="07B775A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KOPER</w:t>
            </w:r>
          </w:p>
        </w:tc>
        <w:tc>
          <w:tcPr>
            <w:tcW w:w="494" w:type="dxa"/>
            <w:tcBorders>
              <w:top w:val="nil"/>
              <w:left w:val="nil"/>
              <w:bottom w:val="single" w:sz="4" w:space="0" w:color="0070C0"/>
              <w:right w:val="single" w:sz="4" w:space="0" w:color="0070C0"/>
            </w:tcBorders>
            <w:shd w:val="clear" w:color="auto" w:fill="auto"/>
            <w:noWrap/>
            <w:hideMark/>
          </w:tcPr>
          <w:p w14:paraId="242A25E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7.266,87</w:t>
            </w:r>
          </w:p>
        </w:tc>
      </w:tr>
      <w:tr w:rsidR="00FE461F" w:rsidRPr="005E4BEA" w14:paraId="1F2A87E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837396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3521</w:t>
            </w:r>
          </w:p>
        </w:tc>
        <w:tc>
          <w:tcPr>
            <w:tcW w:w="1234" w:type="dxa"/>
            <w:tcBorders>
              <w:top w:val="nil"/>
              <w:left w:val="nil"/>
              <w:bottom w:val="single" w:sz="4" w:space="0" w:color="0070C0"/>
              <w:right w:val="single" w:sz="4" w:space="0" w:color="0070C0"/>
            </w:tcBorders>
            <w:shd w:val="clear" w:color="auto" w:fill="auto"/>
            <w:hideMark/>
          </w:tcPr>
          <w:p w14:paraId="19A0D6B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PIRAN</w:t>
            </w:r>
          </w:p>
        </w:tc>
        <w:tc>
          <w:tcPr>
            <w:tcW w:w="494" w:type="dxa"/>
            <w:tcBorders>
              <w:top w:val="nil"/>
              <w:left w:val="nil"/>
              <w:bottom w:val="single" w:sz="4" w:space="0" w:color="0070C0"/>
              <w:right w:val="single" w:sz="4" w:space="0" w:color="0070C0"/>
            </w:tcBorders>
            <w:shd w:val="clear" w:color="auto" w:fill="auto"/>
            <w:noWrap/>
            <w:hideMark/>
          </w:tcPr>
          <w:p w14:paraId="4A5AF9B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1.061,17</w:t>
            </w:r>
          </w:p>
        </w:tc>
      </w:tr>
      <w:tr w:rsidR="00FE461F" w:rsidRPr="005E4BEA" w14:paraId="43D41B8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DAD232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55013</w:t>
            </w:r>
          </w:p>
        </w:tc>
        <w:tc>
          <w:tcPr>
            <w:tcW w:w="1234" w:type="dxa"/>
            <w:tcBorders>
              <w:top w:val="nil"/>
              <w:left w:val="nil"/>
              <w:bottom w:val="single" w:sz="4" w:space="0" w:color="0070C0"/>
              <w:right w:val="single" w:sz="4" w:space="0" w:color="0070C0"/>
            </w:tcBorders>
            <w:shd w:val="clear" w:color="auto" w:fill="auto"/>
            <w:hideMark/>
          </w:tcPr>
          <w:p w14:paraId="362B694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MD MEDICINA D.O.O.</w:t>
            </w:r>
          </w:p>
        </w:tc>
        <w:tc>
          <w:tcPr>
            <w:tcW w:w="494" w:type="dxa"/>
            <w:tcBorders>
              <w:top w:val="nil"/>
              <w:left w:val="nil"/>
              <w:bottom w:val="single" w:sz="4" w:space="0" w:color="0070C0"/>
              <w:right w:val="single" w:sz="4" w:space="0" w:color="0070C0"/>
            </w:tcBorders>
            <w:shd w:val="clear" w:color="auto" w:fill="auto"/>
            <w:noWrap/>
            <w:hideMark/>
          </w:tcPr>
          <w:p w14:paraId="3A72091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90,32</w:t>
            </w:r>
          </w:p>
        </w:tc>
      </w:tr>
      <w:tr w:rsidR="00FE461F" w:rsidRPr="005E4BEA" w14:paraId="5A89F9A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B304E1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3481</w:t>
            </w:r>
          </w:p>
        </w:tc>
        <w:tc>
          <w:tcPr>
            <w:tcW w:w="1234" w:type="dxa"/>
            <w:tcBorders>
              <w:top w:val="nil"/>
              <w:left w:val="nil"/>
              <w:bottom w:val="single" w:sz="4" w:space="0" w:color="0070C0"/>
              <w:right w:val="single" w:sz="4" w:space="0" w:color="0070C0"/>
            </w:tcBorders>
            <w:shd w:val="clear" w:color="auto" w:fill="auto"/>
            <w:hideMark/>
          </w:tcPr>
          <w:p w14:paraId="4731094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IZOLA</w:t>
            </w:r>
          </w:p>
        </w:tc>
        <w:tc>
          <w:tcPr>
            <w:tcW w:w="494" w:type="dxa"/>
            <w:tcBorders>
              <w:top w:val="nil"/>
              <w:left w:val="nil"/>
              <w:bottom w:val="single" w:sz="4" w:space="0" w:color="0070C0"/>
              <w:right w:val="single" w:sz="4" w:space="0" w:color="0070C0"/>
            </w:tcBorders>
            <w:shd w:val="clear" w:color="auto" w:fill="auto"/>
            <w:noWrap/>
            <w:hideMark/>
          </w:tcPr>
          <w:p w14:paraId="3F3E77E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1.068,24</w:t>
            </w:r>
          </w:p>
        </w:tc>
      </w:tr>
      <w:tr w:rsidR="00FE461F" w:rsidRPr="005E4BEA" w14:paraId="4EE1338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A3C8D9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27135</w:t>
            </w:r>
          </w:p>
        </w:tc>
        <w:tc>
          <w:tcPr>
            <w:tcW w:w="1234" w:type="dxa"/>
            <w:tcBorders>
              <w:top w:val="nil"/>
              <w:left w:val="nil"/>
              <w:bottom w:val="single" w:sz="4" w:space="0" w:color="0070C0"/>
              <w:right w:val="single" w:sz="4" w:space="0" w:color="0070C0"/>
            </w:tcBorders>
            <w:shd w:val="clear" w:color="auto" w:fill="auto"/>
            <w:hideMark/>
          </w:tcPr>
          <w:p w14:paraId="0010734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SINOPSIS D.O.O.</w:t>
            </w:r>
          </w:p>
        </w:tc>
        <w:tc>
          <w:tcPr>
            <w:tcW w:w="494" w:type="dxa"/>
            <w:tcBorders>
              <w:top w:val="nil"/>
              <w:left w:val="nil"/>
              <w:bottom w:val="single" w:sz="4" w:space="0" w:color="0070C0"/>
              <w:right w:val="single" w:sz="4" w:space="0" w:color="0070C0"/>
            </w:tcBorders>
            <w:shd w:val="clear" w:color="auto" w:fill="auto"/>
            <w:noWrap/>
            <w:hideMark/>
          </w:tcPr>
          <w:p w14:paraId="122274A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F22713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082D73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3561</w:t>
            </w:r>
          </w:p>
        </w:tc>
        <w:tc>
          <w:tcPr>
            <w:tcW w:w="1234" w:type="dxa"/>
            <w:tcBorders>
              <w:top w:val="nil"/>
              <w:left w:val="nil"/>
              <w:bottom w:val="single" w:sz="4" w:space="0" w:color="0070C0"/>
              <w:right w:val="single" w:sz="4" w:space="0" w:color="0070C0"/>
            </w:tcBorders>
            <w:shd w:val="clear" w:color="auto" w:fill="auto"/>
            <w:hideMark/>
          </w:tcPr>
          <w:p w14:paraId="2688504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ILIRSKA BISTRICA</w:t>
            </w:r>
          </w:p>
        </w:tc>
        <w:tc>
          <w:tcPr>
            <w:tcW w:w="494" w:type="dxa"/>
            <w:tcBorders>
              <w:top w:val="nil"/>
              <w:left w:val="nil"/>
              <w:bottom w:val="single" w:sz="4" w:space="0" w:color="0070C0"/>
              <w:right w:val="single" w:sz="4" w:space="0" w:color="0070C0"/>
            </w:tcBorders>
            <w:shd w:val="clear" w:color="auto" w:fill="auto"/>
            <w:noWrap/>
            <w:hideMark/>
          </w:tcPr>
          <w:p w14:paraId="567D473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2.167,05</w:t>
            </w:r>
          </w:p>
        </w:tc>
      </w:tr>
      <w:tr w:rsidR="00FE461F" w:rsidRPr="005E4BEA" w14:paraId="523F6B3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75CEE3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3613</w:t>
            </w:r>
          </w:p>
        </w:tc>
        <w:tc>
          <w:tcPr>
            <w:tcW w:w="1234" w:type="dxa"/>
            <w:tcBorders>
              <w:top w:val="nil"/>
              <w:left w:val="nil"/>
              <w:bottom w:val="single" w:sz="4" w:space="0" w:color="0070C0"/>
              <w:right w:val="single" w:sz="4" w:space="0" w:color="0070C0"/>
            </w:tcBorders>
            <w:shd w:val="clear" w:color="auto" w:fill="auto"/>
            <w:hideMark/>
          </w:tcPr>
          <w:p w14:paraId="132C960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POSTOJNA</w:t>
            </w:r>
          </w:p>
        </w:tc>
        <w:tc>
          <w:tcPr>
            <w:tcW w:w="494" w:type="dxa"/>
            <w:tcBorders>
              <w:top w:val="nil"/>
              <w:left w:val="nil"/>
              <w:bottom w:val="single" w:sz="4" w:space="0" w:color="0070C0"/>
              <w:right w:val="single" w:sz="4" w:space="0" w:color="0070C0"/>
            </w:tcBorders>
            <w:shd w:val="clear" w:color="auto" w:fill="auto"/>
            <w:noWrap/>
            <w:hideMark/>
          </w:tcPr>
          <w:p w14:paraId="3083FAF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2.047,47</w:t>
            </w:r>
          </w:p>
        </w:tc>
      </w:tr>
      <w:tr w:rsidR="00FE461F" w:rsidRPr="005E4BEA" w14:paraId="3437225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601BBA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353</w:t>
            </w:r>
          </w:p>
        </w:tc>
        <w:tc>
          <w:tcPr>
            <w:tcW w:w="1234" w:type="dxa"/>
            <w:tcBorders>
              <w:top w:val="nil"/>
              <w:left w:val="nil"/>
              <w:bottom w:val="single" w:sz="4" w:space="0" w:color="0070C0"/>
              <w:right w:val="single" w:sz="4" w:space="0" w:color="0070C0"/>
            </w:tcBorders>
            <w:shd w:val="clear" w:color="auto" w:fill="auto"/>
            <w:hideMark/>
          </w:tcPr>
          <w:p w14:paraId="6B88F43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MURSKA SOBOTA</w:t>
            </w:r>
          </w:p>
        </w:tc>
        <w:tc>
          <w:tcPr>
            <w:tcW w:w="494" w:type="dxa"/>
            <w:tcBorders>
              <w:top w:val="nil"/>
              <w:left w:val="nil"/>
              <w:bottom w:val="single" w:sz="4" w:space="0" w:color="0070C0"/>
              <w:right w:val="single" w:sz="4" w:space="0" w:color="0070C0"/>
            </w:tcBorders>
            <w:shd w:val="clear" w:color="auto" w:fill="auto"/>
            <w:noWrap/>
            <w:hideMark/>
          </w:tcPr>
          <w:p w14:paraId="000E008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4.217,16</w:t>
            </w:r>
          </w:p>
        </w:tc>
      </w:tr>
      <w:tr w:rsidR="00FE461F" w:rsidRPr="005E4BEA" w14:paraId="3719FFB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22E5C7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351</w:t>
            </w:r>
          </w:p>
        </w:tc>
        <w:tc>
          <w:tcPr>
            <w:tcW w:w="1234" w:type="dxa"/>
            <w:tcBorders>
              <w:top w:val="nil"/>
              <w:left w:val="nil"/>
              <w:bottom w:val="single" w:sz="4" w:space="0" w:color="0070C0"/>
              <w:right w:val="single" w:sz="4" w:space="0" w:color="0070C0"/>
            </w:tcBorders>
            <w:shd w:val="clear" w:color="auto" w:fill="auto"/>
            <w:hideMark/>
          </w:tcPr>
          <w:p w14:paraId="079F4E4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LENDAVA-EH LENDAVA</w:t>
            </w:r>
          </w:p>
        </w:tc>
        <w:tc>
          <w:tcPr>
            <w:tcW w:w="494" w:type="dxa"/>
            <w:tcBorders>
              <w:top w:val="nil"/>
              <w:left w:val="nil"/>
              <w:bottom w:val="single" w:sz="4" w:space="0" w:color="0070C0"/>
              <w:right w:val="single" w:sz="4" w:space="0" w:color="0070C0"/>
            </w:tcBorders>
            <w:shd w:val="clear" w:color="auto" w:fill="auto"/>
            <w:noWrap/>
            <w:hideMark/>
          </w:tcPr>
          <w:p w14:paraId="058AC0F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1.732,41</w:t>
            </w:r>
          </w:p>
        </w:tc>
      </w:tr>
      <w:tr w:rsidR="00FE461F" w:rsidRPr="005E4BEA" w14:paraId="00F4A62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B74524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352</w:t>
            </w:r>
          </w:p>
        </w:tc>
        <w:tc>
          <w:tcPr>
            <w:tcW w:w="1234" w:type="dxa"/>
            <w:tcBorders>
              <w:top w:val="nil"/>
              <w:left w:val="nil"/>
              <w:bottom w:val="single" w:sz="4" w:space="0" w:color="0070C0"/>
              <w:right w:val="single" w:sz="4" w:space="0" w:color="0070C0"/>
            </w:tcBorders>
            <w:shd w:val="clear" w:color="auto" w:fill="auto"/>
            <w:hideMark/>
          </w:tcPr>
          <w:p w14:paraId="3885EB4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LJUTOMER</w:t>
            </w:r>
          </w:p>
        </w:tc>
        <w:tc>
          <w:tcPr>
            <w:tcW w:w="494" w:type="dxa"/>
            <w:tcBorders>
              <w:top w:val="nil"/>
              <w:left w:val="nil"/>
              <w:bottom w:val="single" w:sz="4" w:space="0" w:color="0070C0"/>
              <w:right w:val="single" w:sz="4" w:space="0" w:color="0070C0"/>
            </w:tcBorders>
            <w:shd w:val="clear" w:color="auto" w:fill="auto"/>
            <w:noWrap/>
            <w:hideMark/>
          </w:tcPr>
          <w:p w14:paraId="049FC92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1.223,94</w:t>
            </w:r>
          </w:p>
        </w:tc>
      </w:tr>
      <w:tr w:rsidR="00FE461F" w:rsidRPr="005E4BEA" w14:paraId="1D5A078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496D67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9502</w:t>
            </w:r>
          </w:p>
        </w:tc>
        <w:tc>
          <w:tcPr>
            <w:tcW w:w="1234" w:type="dxa"/>
            <w:tcBorders>
              <w:top w:val="nil"/>
              <w:left w:val="nil"/>
              <w:bottom w:val="single" w:sz="4" w:space="0" w:color="0070C0"/>
              <w:right w:val="single" w:sz="4" w:space="0" w:color="0070C0"/>
            </w:tcBorders>
            <w:shd w:val="clear" w:color="auto" w:fill="auto"/>
            <w:hideMark/>
          </w:tcPr>
          <w:p w14:paraId="69AFA60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VELENJE</w:t>
            </w:r>
          </w:p>
        </w:tc>
        <w:tc>
          <w:tcPr>
            <w:tcW w:w="494" w:type="dxa"/>
            <w:tcBorders>
              <w:top w:val="nil"/>
              <w:left w:val="nil"/>
              <w:bottom w:val="single" w:sz="4" w:space="0" w:color="0070C0"/>
              <w:right w:val="single" w:sz="4" w:space="0" w:color="0070C0"/>
            </w:tcBorders>
            <w:shd w:val="clear" w:color="auto" w:fill="auto"/>
            <w:noWrap/>
            <w:hideMark/>
          </w:tcPr>
          <w:p w14:paraId="1281EC7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7.672,26</w:t>
            </w:r>
          </w:p>
        </w:tc>
      </w:tr>
      <w:tr w:rsidR="00FE461F" w:rsidRPr="005E4BEA" w14:paraId="3B8590D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1DF552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350</w:t>
            </w:r>
          </w:p>
        </w:tc>
        <w:tc>
          <w:tcPr>
            <w:tcW w:w="1234" w:type="dxa"/>
            <w:tcBorders>
              <w:top w:val="nil"/>
              <w:left w:val="nil"/>
              <w:bottom w:val="single" w:sz="4" w:space="0" w:color="0070C0"/>
              <w:right w:val="single" w:sz="4" w:space="0" w:color="0070C0"/>
            </w:tcBorders>
            <w:shd w:val="clear" w:color="auto" w:fill="auto"/>
            <w:hideMark/>
          </w:tcPr>
          <w:p w14:paraId="0FD393B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GORNJA RADGONA</w:t>
            </w:r>
          </w:p>
        </w:tc>
        <w:tc>
          <w:tcPr>
            <w:tcW w:w="494" w:type="dxa"/>
            <w:tcBorders>
              <w:top w:val="nil"/>
              <w:left w:val="nil"/>
              <w:bottom w:val="single" w:sz="4" w:space="0" w:color="0070C0"/>
              <w:right w:val="single" w:sz="4" w:space="0" w:color="0070C0"/>
            </w:tcBorders>
            <w:shd w:val="clear" w:color="auto" w:fill="auto"/>
            <w:noWrap/>
            <w:hideMark/>
          </w:tcPr>
          <w:p w14:paraId="42D68A5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1.604,21</w:t>
            </w:r>
          </w:p>
        </w:tc>
      </w:tr>
      <w:tr w:rsidR="00FE461F" w:rsidRPr="005E4BEA" w14:paraId="7292949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E13015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12904</w:t>
            </w:r>
          </w:p>
        </w:tc>
        <w:tc>
          <w:tcPr>
            <w:tcW w:w="1234" w:type="dxa"/>
            <w:tcBorders>
              <w:top w:val="nil"/>
              <w:left w:val="nil"/>
              <w:bottom w:val="single" w:sz="4" w:space="0" w:color="0070C0"/>
              <w:right w:val="single" w:sz="4" w:space="0" w:color="0070C0"/>
            </w:tcBorders>
            <w:shd w:val="clear" w:color="auto" w:fill="auto"/>
            <w:hideMark/>
          </w:tcPr>
          <w:p w14:paraId="0A265F8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ODORČIČ TIHOMIR</w:t>
            </w:r>
          </w:p>
        </w:tc>
        <w:tc>
          <w:tcPr>
            <w:tcW w:w="494" w:type="dxa"/>
            <w:tcBorders>
              <w:top w:val="nil"/>
              <w:left w:val="nil"/>
              <w:bottom w:val="single" w:sz="4" w:space="0" w:color="0070C0"/>
              <w:right w:val="single" w:sz="4" w:space="0" w:color="0070C0"/>
            </w:tcBorders>
            <w:shd w:val="clear" w:color="auto" w:fill="auto"/>
            <w:noWrap/>
            <w:hideMark/>
          </w:tcPr>
          <w:p w14:paraId="7D2AEB5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017F3DB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C5C0D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24949</w:t>
            </w:r>
          </w:p>
        </w:tc>
        <w:tc>
          <w:tcPr>
            <w:tcW w:w="1234" w:type="dxa"/>
            <w:tcBorders>
              <w:top w:val="nil"/>
              <w:left w:val="nil"/>
              <w:bottom w:val="single" w:sz="4" w:space="0" w:color="0070C0"/>
              <w:right w:val="single" w:sz="4" w:space="0" w:color="0070C0"/>
            </w:tcBorders>
            <w:shd w:val="clear" w:color="auto" w:fill="auto"/>
            <w:hideMark/>
          </w:tcPr>
          <w:p w14:paraId="72731FF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ODORČIČ LIDIJA</w:t>
            </w:r>
          </w:p>
        </w:tc>
        <w:tc>
          <w:tcPr>
            <w:tcW w:w="494" w:type="dxa"/>
            <w:tcBorders>
              <w:top w:val="nil"/>
              <w:left w:val="nil"/>
              <w:bottom w:val="single" w:sz="4" w:space="0" w:color="0070C0"/>
              <w:right w:val="single" w:sz="4" w:space="0" w:color="0070C0"/>
            </w:tcBorders>
            <w:shd w:val="clear" w:color="auto" w:fill="auto"/>
            <w:noWrap/>
            <w:hideMark/>
          </w:tcPr>
          <w:p w14:paraId="459F0B3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15BF6A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9704AF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24929</w:t>
            </w:r>
          </w:p>
        </w:tc>
        <w:tc>
          <w:tcPr>
            <w:tcW w:w="1234" w:type="dxa"/>
            <w:tcBorders>
              <w:top w:val="nil"/>
              <w:left w:val="nil"/>
              <w:bottom w:val="single" w:sz="4" w:space="0" w:color="0070C0"/>
              <w:right w:val="single" w:sz="4" w:space="0" w:color="0070C0"/>
            </w:tcBorders>
            <w:shd w:val="clear" w:color="auto" w:fill="auto"/>
            <w:hideMark/>
          </w:tcPr>
          <w:p w14:paraId="33F7936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BOLDAN JOŽICA</w:t>
            </w:r>
          </w:p>
        </w:tc>
        <w:tc>
          <w:tcPr>
            <w:tcW w:w="494" w:type="dxa"/>
            <w:tcBorders>
              <w:top w:val="nil"/>
              <w:left w:val="nil"/>
              <w:bottom w:val="single" w:sz="4" w:space="0" w:color="0070C0"/>
              <w:right w:val="single" w:sz="4" w:space="0" w:color="0070C0"/>
            </w:tcBorders>
            <w:shd w:val="clear" w:color="auto" w:fill="auto"/>
            <w:noWrap/>
            <w:hideMark/>
          </w:tcPr>
          <w:p w14:paraId="3BDEE74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DE198D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0127B6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24931</w:t>
            </w:r>
          </w:p>
        </w:tc>
        <w:tc>
          <w:tcPr>
            <w:tcW w:w="1234" w:type="dxa"/>
            <w:tcBorders>
              <w:top w:val="nil"/>
              <w:left w:val="nil"/>
              <w:bottom w:val="single" w:sz="4" w:space="0" w:color="0070C0"/>
              <w:right w:val="single" w:sz="4" w:space="0" w:color="0070C0"/>
            </w:tcBorders>
            <w:shd w:val="clear" w:color="auto" w:fill="auto"/>
            <w:hideMark/>
          </w:tcPr>
          <w:p w14:paraId="1015C9C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LOLIČ DAMIR</w:t>
            </w:r>
          </w:p>
        </w:tc>
        <w:tc>
          <w:tcPr>
            <w:tcW w:w="494" w:type="dxa"/>
            <w:tcBorders>
              <w:top w:val="nil"/>
              <w:left w:val="nil"/>
              <w:bottom w:val="single" w:sz="4" w:space="0" w:color="0070C0"/>
              <w:right w:val="single" w:sz="4" w:space="0" w:color="0070C0"/>
            </w:tcBorders>
            <w:shd w:val="clear" w:color="auto" w:fill="auto"/>
            <w:noWrap/>
            <w:hideMark/>
          </w:tcPr>
          <w:p w14:paraId="2EE9E42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8E7D98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2B205B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24908</w:t>
            </w:r>
          </w:p>
        </w:tc>
        <w:tc>
          <w:tcPr>
            <w:tcW w:w="1234" w:type="dxa"/>
            <w:tcBorders>
              <w:top w:val="nil"/>
              <w:left w:val="nil"/>
              <w:bottom w:val="single" w:sz="4" w:space="0" w:color="0070C0"/>
              <w:right w:val="single" w:sz="4" w:space="0" w:color="0070C0"/>
            </w:tcBorders>
            <w:shd w:val="clear" w:color="auto" w:fill="auto"/>
            <w:hideMark/>
          </w:tcPr>
          <w:p w14:paraId="7292167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LORENA D.O.O.</w:t>
            </w:r>
          </w:p>
        </w:tc>
        <w:tc>
          <w:tcPr>
            <w:tcW w:w="494" w:type="dxa"/>
            <w:tcBorders>
              <w:top w:val="nil"/>
              <w:left w:val="nil"/>
              <w:bottom w:val="single" w:sz="4" w:space="0" w:color="0070C0"/>
              <w:right w:val="single" w:sz="4" w:space="0" w:color="0070C0"/>
            </w:tcBorders>
            <w:shd w:val="clear" w:color="auto" w:fill="auto"/>
            <w:noWrap/>
            <w:hideMark/>
          </w:tcPr>
          <w:p w14:paraId="6975D7E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416084E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1912D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24757</w:t>
            </w:r>
          </w:p>
        </w:tc>
        <w:tc>
          <w:tcPr>
            <w:tcW w:w="1234" w:type="dxa"/>
            <w:tcBorders>
              <w:top w:val="nil"/>
              <w:left w:val="nil"/>
              <w:bottom w:val="single" w:sz="4" w:space="0" w:color="0070C0"/>
              <w:right w:val="single" w:sz="4" w:space="0" w:color="0070C0"/>
            </w:tcBorders>
            <w:shd w:val="clear" w:color="auto" w:fill="auto"/>
            <w:hideMark/>
          </w:tcPr>
          <w:p w14:paraId="59987F7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MEDI-CENTER D.O.O.</w:t>
            </w:r>
          </w:p>
        </w:tc>
        <w:tc>
          <w:tcPr>
            <w:tcW w:w="494" w:type="dxa"/>
            <w:tcBorders>
              <w:top w:val="nil"/>
              <w:left w:val="nil"/>
              <w:bottom w:val="single" w:sz="4" w:space="0" w:color="0070C0"/>
              <w:right w:val="single" w:sz="4" w:space="0" w:color="0070C0"/>
            </w:tcBorders>
            <w:shd w:val="clear" w:color="auto" w:fill="auto"/>
            <w:noWrap/>
            <w:hideMark/>
          </w:tcPr>
          <w:p w14:paraId="4A5F342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942,66</w:t>
            </w:r>
          </w:p>
        </w:tc>
      </w:tr>
      <w:tr w:rsidR="00FE461F" w:rsidRPr="005E4BEA" w14:paraId="6689C43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ED839E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lastRenderedPageBreak/>
              <w:t>5750</w:t>
            </w:r>
          </w:p>
        </w:tc>
        <w:tc>
          <w:tcPr>
            <w:tcW w:w="1234" w:type="dxa"/>
            <w:tcBorders>
              <w:top w:val="nil"/>
              <w:left w:val="nil"/>
              <w:bottom w:val="single" w:sz="4" w:space="0" w:color="0070C0"/>
              <w:right w:val="single" w:sz="4" w:space="0" w:color="0070C0"/>
            </w:tcBorders>
            <w:shd w:val="clear" w:color="auto" w:fill="auto"/>
            <w:hideMark/>
          </w:tcPr>
          <w:p w14:paraId="38317F6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GROSUPLJE</w:t>
            </w:r>
          </w:p>
        </w:tc>
        <w:tc>
          <w:tcPr>
            <w:tcW w:w="494" w:type="dxa"/>
            <w:tcBorders>
              <w:top w:val="nil"/>
              <w:left w:val="nil"/>
              <w:bottom w:val="single" w:sz="4" w:space="0" w:color="0070C0"/>
              <w:right w:val="single" w:sz="4" w:space="0" w:color="0070C0"/>
            </w:tcBorders>
            <w:shd w:val="clear" w:color="auto" w:fill="auto"/>
            <w:noWrap/>
            <w:hideMark/>
          </w:tcPr>
          <w:p w14:paraId="5DF04B6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2.636,47</w:t>
            </w:r>
          </w:p>
        </w:tc>
      </w:tr>
      <w:tr w:rsidR="00FE461F" w:rsidRPr="005E4BEA" w14:paraId="3C5021C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E38B63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5844</w:t>
            </w:r>
          </w:p>
        </w:tc>
        <w:tc>
          <w:tcPr>
            <w:tcW w:w="1234" w:type="dxa"/>
            <w:tcBorders>
              <w:top w:val="nil"/>
              <w:left w:val="nil"/>
              <w:bottom w:val="single" w:sz="4" w:space="0" w:color="0070C0"/>
              <w:right w:val="single" w:sz="4" w:space="0" w:color="0070C0"/>
            </w:tcBorders>
            <w:shd w:val="clear" w:color="auto" w:fill="auto"/>
            <w:hideMark/>
          </w:tcPr>
          <w:p w14:paraId="70B22B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I. GORICA</w:t>
            </w:r>
          </w:p>
        </w:tc>
        <w:tc>
          <w:tcPr>
            <w:tcW w:w="494" w:type="dxa"/>
            <w:tcBorders>
              <w:top w:val="nil"/>
              <w:left w:val="nil"/>
              <w:bottom w:val="single" w:sz="4" w:space="0" w:color="0070C0"/>
              <w:right w:val="single" w:sz="4" w:space="0" w:color="0070C0"/>
            </w:tcBorders>
            <w:shd w:val="clear" w:color="auto" w:fill="auto"/>
            <w:noWrap/>
            <w:hideMark/>
          </w:tcPr>
          <w:p w14:paraId="7E31171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1.874,63</w:t>
            </w:r>
          </w:p>
        </w:tc>
      </w:tr>
      <w:tr w:rsidR="00FE461F" w:rsidRPr="005E4BEA" w14:paraId="780D947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92CA75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24073</w:t>
            </w:r>
          </w:p>
        </w:tc>
        <w:tc>
          <w:tcPr>
            <w:tcW w:w="1234" w:type="dxa"/>
            <w:tcBorders>
              <w:top w:val="nil"/>
              <w:left w:val="nil"/>
              <w:bottom w:val="single" w:sz="4" w:space="0" w:color="0070C0"/>
              <w:right w:val="single" w:sz="4" w:space="0" w:color="0070C0"/>
            </w:tcBorders>
            <w:shd w:val="clear" w:color="auto" w:fill="auto"/>
            <w:hideMark/>
          </w:tcPr>
          <w:p w14:paraId="711C522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LOLIĆ VERICA</w:t>
            </w:r>
          </w:p>
        </w:tc>
        <w:tc>
          <w:tcPr>
            <w:tcW w:w="494" w:type="dxa"/>
            <w:tcBorders>
              <w:top w:val="nil"/>
              <w:left w:val="nil"/>
              <w:bottom w:val="single" w:sz="4" w:space="0" w:color="0070C0"/>
              <w:right w:val="single" w:sz="4" w:space="0" w:color="0070C0"/>
            </w:tcBorders>
            <w:shd w:val="clear" w:color="auto" w:fill="auto"/>
            <w:noWrap/>
            <w:hideMark/>
          </w:tcPr>
          <w:p w14:paraId="6687853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166,20</w:t>
            </w:r>
          </w:p>
        </w:tc>
      </w:tr>
      <w:tr w:rsidR="00FE461F" w:rsidRPr="005E4BEA" w14:paraId="42F42C6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C05C07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25156</w:t>
            </w:r>
          </w:p>
        </w:tc>
        <w:tc>
          <w:tcPr>
            <w:tcW w:w="1234" w:type="dxa"/>
            <w:tcBorders>
              <w:top w:val="nil"/>
              <w:left w:val="nil"/>
              <w:bottom w:val="single" w:sz="4" w:space="0" w:color="0070C0"/>
              <w:right w:val="single" w:sz="4" w:space="0" w:color="0070C0"/>
            </w:tcBorders>
            <w:shd w:val="clear" w:color="auto" w:fill="auto"/>
            <w:hideMark/>
          </w:tcPr>
          <w:p w14:paraId="43B5A59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DERNIKOVIČ ANDREJ</w:t>
            </w:r>
          </w:p>
        </w:tc>
        <w:tc>
          <w:tcPr>
            <w:tcW w:w="494" w:type="dxa"/>
            <w:tcBorders>
              <w:top w:val="nil"/>
              <w:left w:val="nil"/>
              <w:bottom w:val="single" w:sz="4" w:space="0" w:color="0070C0"/>
              <w:right w:val="single" w:sz="4" w:space="0" w:color="0070C0"/>
            </w:tcBorders>
            <w:shd w:val="clear" w:color="auto" w:fill="auto"/>
            <w:noWrap/>
            <w:hideMark/>
          </w:tcPr>
          <w:p w14:paraId="2A9F791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6.296,13</w:t>
            </w:r>
          </w:p>
        </w:tc>
      </w:tr>
      <w:tr w:rsidR="00FE461F" w:rsidRPr="005E4BEA" w14:paraId="4225F17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C588A9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25159</w:t>
            </w:r>
          </w:p>
        </w:tc>
        <w:tc>
          <w:tcPr>
            <w:tcW w:w="1234" w:type="dxa"/>
            <w:tcBorders>
              <w:top w:val="nil"/>
              <w:left w:val="nil"/>
              <w:bottom w:val="single" w:sz="4" w:space="0" w:color="0070C0"/>
              <w:right w:val="single" w:sz="4" w:space="0" w:color="0070C0"/>
            </w:tcBorders>
            <w:shd w:val="clear" w:color="auto" w:fill="auto"/>
            <w:hideMark/>
          </w:tcPr>
          <w:p w14:paraId="5BC8AF0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GARMUŠ SONJA</w:t>
            </w:r>
          </w:p>
        </w:tc>
        <w:tc>
          <w:tcPr>
            <w:tcW w:w="494" w:type="dxa"/>
            <w:tcBorders>
              <w:top w:val="nil"/>
              <w:left w:val="nil"/>
              <w:bottom w:val="single" w:sz="4" w:space="0" w:color="0070C0"/>
              <w:right w:val="single" w:sz="4" w:space="0" w:color="0070C0"/>
            </w:tcBorders>
            <w:shd w:val="clear" w:color="auto" w:fill="auto"/>
            <w:noWrap/>
            <w:hideMark/>
          </w:tcPr>
          <w:p w14:paraId="3CEF448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25310BB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4AC97E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20185</w:t>
            </w:r>
          </w:p>
        </w:tc>
        <w:tc>
          <w:tcPr>
            <w:tcW w:w="1234" w:type="dxa"/>
            <w:tcBorders>
              <w:top w:val="nil"/>
              <w:left w:val="nil"/>
              <w:bottom w:val="single" w:sz="4" w:space="0" w:color="0070C0"/>
              <w:right w:val="single" w:sz="4" w:space="0" w:color="0070C0"/>
            </w:tcBorders>
            <w:shd w:val="clear" w:color="auto" w:fill="auto"/>
            <w:hideMark/>
          </w:tcPr>
          <w:p w14:paraId="2C4C4B9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RAFOT-BERLOT MARIJA</w:t>
            </w:r>
          </w:p>
        </w:tc>
        <w:tc>
          <w:tcPr>
            <w:tcW w:w="494" w:type="dxa"/>
            <w:tcBorders>
              <w:top w:val="nil"/>
              <w:left w:val="nil"/>
              <w:bottom w:val="single" w:sz="4" w:space="0" w:color="0070C0"/>
              <w:right w:val="single" w:sz="4" w:space="0" w:color="0070C0"/>
            </w:tcBorders>
            <w:shd w:val="clear" w:color="auto" w:fill="auto"/>
            <w:noWrap/>
            <w:hideMark/>
          </w:tcPr>
          <w:p w14:paraId="05FBBA9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388,04</w:t>
            </w:r>
          </w:p>
        </w:tc>
      </w:tr>
      <w:tr w:rsidR="00FE461F" w:rsidRPr="005E4BEA" w14:paraId="7186AE8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59A55E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20267</w:t>
            </w:r>
          </w:p>
        </w:tc>
        <w:tc>
          <w:tcPr>
            <w:tcW w:w="1234" w:type="dxa"/>
            <w:tcBorders>
              <w:top w:val="nil"/>
              <w:left w:val="nil"/>
              <w:bottom w:val="single" w:sz="4" w:space="0" w:color="0070C0"/>
              <w:right w:val="single" w:sz="4" w:space="0" w:color="0070C0"/>
            </w:tcBorders>
            <w:shd w:val="clear" w:color="auto" w:fill="auto"/>
            <w:hideMark/>
          </w:tcPr>
          <w:p w14:paraId="6CDF29A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MILAKOVIĆ RANKO</w:t>
            </w:r>
          </w:p>
        </w:tc>
        <w:tc>
          <w:tcPr>
            <w:tcW w:w="494" w:type="dxa"/>
            <w:tcBorders>
              <w:top w:val="nil"/>
              <w:left w:val="nil"/>
              <w:bottom w:val="single" w:sz="4" w:space="0" w:color="0070C0"/>
              <w:right w:val="single" w:sz="4" w:space="0" w:color="0070C0"/>
            </w:tcBorders>
            <w:shd w:val="clear" w:color="auto" w:fill="auto"/>
            <w:noWrap/>
            <w:hideMark/>
          </w:tcPr>
          <w:p w14:paraId="484DF39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023C845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6E1BC7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20207</w:t>
            </w:r>
          </w:p>
        </w:tc>
        <w:tc>
          <w:tcPr>
            <w:tcW w:w="1234" w:type="dxa"/>
            <w:tcBorders>
              <w:top w:val="nil"/>
              <w:left w:val="nil"/>
              <w:bottom w:val="single" w:sz="4" w:space="0" w:color="0070C0"/>
              <w:right w:val="single" w:sz="4" w:space="0" w:color="0070C0"/>
            </w:tcBorders>
            <w:shd w:val="clear" w:color="auto" w:fill="auto"/>
            <w:hideMark/>
          </w:tcPr>
          <w:p w14:paraId="2D0727C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COLARIĆ MARJAN</w:t>
            </w:r>
          </w:p>
        </w:tc>
        <w:tc>
          <w:tcPr>
            <w:tcW w:w="494" w:type="dxa"/>
            <w:tcBorders>
              <w:top w:val="nil"/>
              <w:left w:val="nil"/>
              <w:bottom w:val="single" w:sz="4" w:space="0" w:color="0070C0"/>
              <w:right w:val="single" w:sz="4" w:space="0" w:color="0070C0"/>
            </w:tcBorders>
            <w:shd w:val="clear" w:color="auto" w:fill="auto"/>
            <w:noWrap/>
            <w:hideMark/>
          </w:tcPr>
          <w:p w14:paraId="068D9FE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127,75</w:t>
            </w:r>
          </w:p>
        </w:tc>
      </w:tr>
      <w:tr w:rsidR="00FE461F" w:rsidRPr="005E4BEA" w14:paraId="08D0F1B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6ADB72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14555</w:t>
            </w:r>
          </w:p>
        </w:tc>
        <w:tc>
          <w:tcPr>
            <w:tcW w:w="1234" w:type="dxa"/>
            <w:tcBorders>
              <w:top w:val="nil"/>
              <w:left w:val="nil"/>
              <w:bottom w:val="single" w:sz="4" w:space="0" w:color="0070C0"/>
              <w:right w:val="single" w:sz="4" w:space="0" w:color="0070C0"/>
            </w:tcBorders>
            <w:shd w:val="clear" w:color="auto" w:fill="auto"/>
            <w:hideMark/>
          </w:tcPr>
          <w:p w14:paraId="315819D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OSOJNIK HERMINA</w:t>
            </w:r>
          </w:p>
        </w:tc>
        <w:tc>
          <w:tcPr>
            <w:tcW w:w="494" w:type="dxa"/>
            <w:tcBorders>
              <w:top w:val="nil"/>
              <w:left w:val="nil"/>
              <w:bottom w:val="single" w:sz="4" w:space="0" w:color="0070C0"/>
              <w:right w:val="single" w:sz="4" w:space="0" w:color="0070C0"/>
            </w:tcBorders>
            <w:shd w:val="clear" w:color="auto" w:fill="auto"/>
            <w:noWrap/>
            <w:hideMark/>
          </w:tcPr>
          <w:p w14:paraId="1BE3AF8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59ED222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2D6752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29138</w:t>
            </w:r>
          </w:p>
        </w:tc>
        <w:tc>
          <w:tcPr>
            <w:tcW w:w="1234" w:type="dxa"/>
            <w:tcBorders>
              <w:top w:val="nil"/>
              <w:left w:val="nil"/>
              <w:bottom w:val="single" w:sz="4" w:space="0" w:color="0070C0"/>
              <w:right w:val="single" w:sz="4" w:space="0" w:color="0070C0"/>
            </w:tcBorders>
            <w:shd w:val="clear" w:color="auto" w:fill="auto"/>
            <w:hideMark/>
          </w:tcPr>
          <w:p w14:paraId="0859AB1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ARISTOTEL D.O.O. KRŠKO</w:t>
            </w:r>
          </w:p>
        </w:tc>
        <w:tc>
          <w:tcPr>
            <w:tcW w:w="494" w:type="dxa"/>
            <w:tcBorders>
              <w:top w:val="nil"/>
              <w:left w:val="nil"/>
              <w:bottom w:val="single" w:sz="4" w:space="0" w:color="0070C0"/>
              <w:right w:val="single" w:sz="4" w:space="0" w:color="0070C0"/>
            </w:tcBorders>
            <w:shd w:val="clear" w:color="auto" w:fill="auto"/>
            <w:noWrap/>
            <w:hideMark/>
          </w:tcPr>
          <w:p w14:paraId="7306761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634,54</w:t>
            </w:r>
          </w:p>
        </w:tc>
      </w:tr>
      <w:tr w:rsidR="00FE461F" w:rsidRPr="005E4BEA" w14:paraId="40F99AC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944FFA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25139</w:t>
            </w:r>
          </w:p>
        </w:tc>
        <w:tc>
          <w:tcPr>
            <w:tcW w:w="1234" w:type="dxa"/>
            <w:tcBorders>
              <w:top w:val="nil"/>
              <w:left w:val="nil"/>
              <w:bottom w:val="single" w:sz="4" w:space="0" w:color="0070C0"/>
              <w:right w:val="single" w:sz="4" w:space="0" w:color="0070C0"/>
            </w:tcBorders>
            <w:shd w:val="clear" w:color="auto" w:fill="auto"/>
            <w:hideMark/>
          </w:tcPr>
          <w:p w14:paraId="671155D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TOMC RASTA</w:t>
            </w:r>
          </w:p>
        </w:tc>
        <w:tc>
          <w:tcPr>
            <w:tcW w:w="494" w:type="dxa"/>
            <w:tcBorders>
              <w:top w:val="nil"/>
              <w:left w:val="nil"/>
              <w:bottom w:val="single" w:sz="4" w:space="0" w:color="0070C0"/>
              <w:right w:val="single" w:sz="4" w:space="0" w:color="0070C0"/>
            </w:tcBorders>
            <w:shd w:val="clear" w:color="auto" w:fill="auto"/>
            <w:noWrap/>
            <w:hideMark/>
          </w:tcPr>
          <w:p w14:paraId="1F16990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326F76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2B39A1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31024</w:t>
            </w:r>
          </w:p>
        </w:tc>
        <w:tc>
          <w:tcPr>
            <w:tcW w:w="1234" w:type="dxa"/>
            <w:tcBorders>
              <w:top w:val="nil"/>
              <w:left w:val="nil"/>
              <w:bottom w:val="single" w:sz="4" w:space="0" w:color="0070C0"/>
              <w:right w:val="single" w:sz="4" w:space="0" w:color="0070C0"/>
            </w:tcBorders>
            <w:shd w:val="clear" w:color="auto" w:fill="auto"/>
            <w:hideMark/>
          </w:tcPr>
          <w:p w14:paraId="7F2B170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FÜRST KARMEN</w:t>
            </w:r>
          </w:p>
        </w:tc>
        <w:tc>
          <w:tcPr>
            <w:tcW w:w="494" w:type="dxa"/>
            <w:tcBorders>
              <w:top w:val="nil"/>
              <w:left w:val="nil"/>
              <w:bottom w:val="single" w:sz="4" w:space="0" w:color="0070C0"/>
              <w:right w:val="single" w:sz="4" w:space="0" w:color="0070C0"/>
            </w:tcBorders>
            <w:shd w:val="clear" w:color="auto" w:fill="auto"/>
            <w:noWrap/>
            <w:hideMark/>
          </w:tcPr>
          <w:p w14:paraId="331E797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166,66</w:t>
            </w:r>
          </w:p>
        </w:tc>
      </w:tr>
      <w:tr w:rsidR="00FE461F" w:rsidRPr="005E4BEA" w14:paraId="74CDE19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ED886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25169</w:t>
            </w:r>
          </w:p>
        </w:tc>
        <w:tc>
          <w:tcPr>
            <w:tcW w:w="1234" w:type="dxa"/>
            <w:tcBorders>
              <w:top w:val="nil"/>
              <w:left w:val="nil"/>
              <w:bottom w:val="single" w:sz="4" w:space="0" w:color="0070C0"/>
              <w:right w:val="single" w:sz="4" w:space="0" w:color="0070C0"/>
            </w:tcBorders>
            <w:shd w:val="clear" w:color="auto" w:fill="auto"/>
            <w:hideMark/>
          </w:tcPr>
          <w:p w14:paraId="4B969F6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LAKOVIĆ BOSSMAN KARMEN</w:t>
            </w:r>
          </w:p>
        </w:tc>
        <w:tc>
          <w:tcPr>
            <w:tcW w:w="494" w:type="dxa"/>
            <w:tcBorders>
              <w:top w:val="nil"/>
              <w:left w:val="nil"/>
              <w:bottom w:val="single" w:sz="4" w:space="0" w:color="0070C0"/>
              <w:right w:val="single" w:sz="4" w:space="0" w:color="0070C0"/>
            </w:tcBorders>
            <w:shd w:val="clear" w:color="auto" w:fill="auto"/>
            <w:noWrap/>
            <w:hideMark/>
          </w:tcPr>
          <w:p w14:paraId="6C6EE18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102,06</w:t>
            </w:r>
          </w:p>
        </w:tc>
      </w:tr>
      <w:tr w:rsidR="00FE461F" w:rsidRPr="005E4BEA" w14:paraId="763BFFB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9541B8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24067</w:t>
            </w:r>
          </w:p>
        </w:tc>
        <w:tc>
          <w:tcPr>
            <w:tcW w:w="1234" w:type="dxa"/>
            <w:tcBorders>
              <w:top w:val="nil"/>
              <w:left w:val="nil"/>
              <w:bottom w:val="single" w:sz="4" w:space="0" w:color="0070C0"/>
              <w:right w:val="single" w:sz="4" w:space="0" w:color="0070C0"/>
            </w:tcBorders>
            <w:shd w:val="clear" w:color="auto" w:fill="auto"/>
            <w:hideMark/>
          </w:tcPr>
          <w:p w14:paraId="4AB0AA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GABRIEL IGOR</w:t>
            </w:r>
          </w:p>
        </w:tc>
        <w:tc>
          <w:tcPr>
            <w:tcW w:w="494" w:type="dxa"/>
            <w:tcBorders>
              <w:top w:val="nil"/>
              <w:left w:val="nil"/>
              <w:bottom w:val="single" w:sz="4" w:space="0" w:color="0070C0"/>
              <w:right w:val="single" w:sz="4" w:space="0" w:color="0070C0"/>
            </w:tcBorders>
            <w:shd w:val="clear" w:color="auto" w:fill="auto"/>
            <w:noWrap/>
            <w:hideMark/>
          </w:tcPr>
          <w:p w14:paraId="76780A9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3AD0C0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6CE628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24633</w:t>
            </w:r>
          </w:p>
        </w:tc>
        <w:tc>
          <w:tcPr>
            <w:tcW w:w="1234" w:type="dxa"/>
            <w:tcBorders>
              <w:top w:val="nil"/>
              <w:left w:val="nil"/>
              <w:bottom w:val="single" w:sz="4" w:space="0" w:color="0070C0"/>
              <w:right w:val="single" w:sz="4" w:space="0" w:color="0070C0"/>
            </w:tcBorders>
            <w:shd w:val="clear" w:color="auto" w:fill="auto"/>
            <w:hideMark/>
          </w:tcPr>
          <w:p w14:paraId="66A7AF4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PTIČAR TANJA</w:t>
            </w:r>
          </w:p>
        </w:tc>
        <w:tc>
          <w:tcPr>
            <w:tcW w:w="494" w:type="dxa"/>
            <w:tcBorders>
              <w:top w:val="nil"/>
              <w:left w:val="nil"/>
              <w:bottom w:val="single" w:sz="4" w:space="0" w:color="0070C0"/>
              <w:right w:val="single" w:sz="4" w:space="0" w:color="0070C0"/>
            </w:tcBorders>
            <w:shd w:val="clear" w:color="auto" w:fill="auto"/>
            <w:noWrap/>
            <w:hideMark/>
          </w:tcPr>
          <w:p w14:paraId="49FC6B4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9A8F9A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0B3B5C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24742</w:t>
            </w:r>
          </w:p>
        </w:tc>
        <w:tc>
          <w:tcPr>
            <w:tcW w:w="1234" w:type="dxa"/>
            <w:tcBorders>
              <w:top w:val="nil"/>
              <w:left w:val="nil"/>
              <w:bottom w:val="single" w:sz="4" w:space="0" w:color="0070C0"/>
              <w:right w:val="single" w:sz="4" w:space="0" w:color="0070C0"/>
            </w:tcBorders>
            <w:shd w:val="clear" w:color="auto" w:fill="auto"/>
            <w:hideMark/>
          </w:tcPr>
          <w:p w14:paraId="1951343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PTIČAR STANE</w:t>
            </w:r>
          </w:p>
        </w:tc>
        <w:tc>
          <w:tcPr>
            <w:tcW w:w="494" w:type="dxa"/>
            <w:tcBorders>
              <w:top w:val="nil"/>
              <w:left w:val="nil"/>
              <w:bottom w:val="single" w:sz="4" w:space="0" w:color="0070C0"/>
              <w:right w:val="single" w:sz="4" w:space="0" w:color="0070C0"/>
            </w:tcBorders>
            <w:shd w:val="clear" w:color="auto" w:fill="auto"/>
            <w:noWrap/>
            <w:hideMark/>
          </w:tcPr>
          <w:p w14:paraId="5B4BE54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281DB2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27ED32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20317</w:t>
            </w:r>
          </w:p>
        </w:tc>
        <w:tc>
          <w:tcPr>
            <w:tcW w:w="1234" w:type="dxa"/>
            <w:tcBorders>
              <w:top w:val="nil"/>
              <w:left w:val="nil"/>
              <w:bottom w:val="single" w:sz="4" w:space="0" w:color="0070C0"/>
              <w:right w:val="single" w:sz="4" w:space="0" w:color="0070C0"/>
            </w:tcBorders>
            <w:shd w:val="clear" w:color="auto" w:fill="auto"/>
            <w:hideMark/>
          </w:tcPr>
          <w:p w14:paraId="4677B50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MEDICINA VIVAMED KANLIĆ IZUDIN</w:t>
            </w:r>
          </w:p>
        </w:tc>
        <w:tc>
          <w:tcPr>
            <w:tcW w:w="494" w:type="dxa"/>
            <w:tcBorders>
              <w:top w:val="nil"/>
              <w:left w:val="nil"/>
              <w:bottom w:val="single" w:sz="4" w:space="0" w:color="0070C0"/>
              <w:right w:val="single" w:sz="4" w:space="0" w:color="0070C0"/>
            </w:tcBorders>
            <w:shd w:val="clear" w:color="auto" w:fill="auto"/>
            <w:noWrap/>
            <w:hideMark/>
          </w:tcPr>
          <w:p w14:paraId="7968549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275,82</w:t>
            </w:r>
          </w:p>
        </w:tc>
      </w:tr>
      <w:tr w:rsidR="00FE461F" w:rsidRPr="005E4BEA" w14:paraId="46AC675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AC241B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20128</w:t>
            </w:r>
          </w:p>
        </w:tc>
        <w:tc>
          <w:tcPr>
            <w:tcW w:w="1234" w:type="dxa"/>
            <w:tcBorders>
              <w:top w:val="nil"/>
              <w:left w:val="nil"/>
              <w:bottom w:val="single" w:sz="4" w:space="0" w:color="0070C0"/>
              <w:right w:val="single" w:sz="4" w:space="0" w:color="0070C0"/>
            </w:tcBorders>
            <w:shd w:val="clear" w:color="auto" w:fill="auto"/>
            <w:hideMark/>
          </w:tcPr>
          <w:p w14:paraId="495FC05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ŠAŠKO VALERIJA</w:t>
            </w:r>
          </w:p>
        </w:tc>
        <w:tc>
          <w:tcPr>
            <w:tcW w:w="494" w:type="dxa"/>
            <w:tcBorders>
              <w:top w:val="nil"/>
              <w:left w:val="nil"/>
              <w:bottom w:val="single" w:sz="4" w:space="0" w:color="0070C0"/>
              <w:right w:val="single" w:sz="4" w:space="0" w:color="0070C0"/>
            </w:tcBorders>
            <w:shd w:val="clear" w:color="auto" w:fill="auto"/>
            <w:noWrap/>
            <w:hideMark/>
          </w:tcPr>
          <w:p w14:paraId="79622ED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275,82</w:t>
            </w:r>
          </w:p>
        </w:tc>
      </w:tr>
      <w:tr w:rsidR="00FE461F" w:rsidRPr="005E4BEA" w14:paraId="303AF38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F046DA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19487</w:t>
            </w:r>
          </w:p>
        </w:tc>
        <w:tc>
          <w:tcPr>
            <w:tcW w:w="1234" w:type="dxa"/>
            <w:tcBorders>
              <w:top w:val="nil"/>
              <w:left w:val="nil"/>
              <w:bottom w:val="single" w:sz="4" w:space="0" w:color="0070C0"/>
              <w:right w:val="single" w:sz="4" w:space="0" w:color="0070C0"/>
            </w:tcBorders>
            <w:shd w:val="clear" w:color="auto" w:fill="auto"/>
            <w:hideMark/>
          </w:tcPr>
          <w:p w14:paraId="47EFC11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PRAZNIK IGOR</w:t>
            </w:r>
          </w:p>
        </w:tc>
        <w:tc>
          <w:tcPr>
            <w:tcW w:w="494" w:type="dxa"/>
            <w:tcBorders>
              <w:top w:val="nil"/>
              <w:left w:val="nil"/>
              <w:bottom w:val="single" w:sz="4" w:space="0" w:color="0070C0"/>
              <w:right w:val="single" w:sz="4" w:space="0" w:color="0070C0"/>
            </w:tcBorders>
            <w:shd w:val="clear" w:color="auto" w:fill="auto"/>
            <w:noWrap/>
            <w:hideMark/>
          </w:tcPr>
          <w:p w14:paraId="53CE666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3E2597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9D5CC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17156</w:t>
            </w:r>
          </w:p>
        </w:tc>
        <w:tc>
          <w:tcPr>
            <w:tcW w:w="1234" w:type="dxa"/>
            <w:tcBorders>
              <w:top w:val="nil"/>
              <w:left w:val="nil"/>
              <w:bottom w:val="single" w:sz="4" w:space="0" w:color="0070C0"/>
              <w:right w:val="single" w:sz="4" w:space="0" w:color="0070C0"/>
            </w:tcBorders>
            <w:shd w:val="clear" w:color="auto" w:fill="auto"/>
            <w:hideMark/>
          </w:tcPr>
          <w:p w14:paraId="0FFD3D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GRABAR VLASTA</w:t>
            </w:r>
          </w:p>
        </w:tc>
        <w:tc>
          <w:tcPr>
            <w:tcW w:w="494" w:type="dxa"/>
            <w:tcBorders>
              <w:top w:val="nil"/>
              <w:left w:val="nil"/>
              <w:bottom w:val="single" w:sz="4" w:space="0" w:color="0070C0"/>
              <w:right w:val="single" w:sz="4" w:space="0" w:color="0070C0"/>
            </w:tcBorders>
            <w:shd w:val="clear" w:color="auto" w:fill="auto"/>
            <w:noWrap/>
            <w:hideMark/>
          </w:tcPr>
          <w:p w14:paraId="0122820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D269E4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D8E58A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17152</w:t>
            </w:r>
          </w:p>
        </w:tc>
        <w:tc>
          <w:tcPr>
            <w:tcW w:w="1234" w:type="dxa"/>
            <w:tcBorders>
              <w:top w:val="nil"/>
              <w:left w:val="nil"/>
              <w:bottom w:val="single" w:sz="4" w:space="0" w:color="0070C0"/>
              <w:right w:val="single" w:sz="4" w:space="0" w:color="0070C0"/>
            </w:tcBorders>
            <w:shd w:val="clear" w:color="auto" w:fill="auto"/>
            <w:hideMark/>
          </w:tcPr>
          <w:p w14:paraId="18EB2B9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RAJNAR VÖRÖŠ ZVEZDICA</w:t>
            </w:r>
          </w:p>
        </w:tc>
        <w:tc>
          <w:tcPr>
            <w:tcW w:w="494" w:type="dxa"/>
            <w:tcBorders>
              <w:top w:val="nil"/>
              <w:left w:val="nil"/>
              <w:bottom w:val="single" w:sz="4" w:space="0" w:color="0070C0"/>
              <w:right w:val="single" w:sz="4" w:space="0" w:color="0070C0"/>
            </w:tcBorders>
            <w:shd w:val="clear" w:color="auto" w:fill="auto"/>
            <w:noWrap/>
            <w:hideMark/>
          </w:tcPr>
          <w:p w14:paraId="10F4DF4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09486F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D93E54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25179</w:t>
            </w:r>
          </w:p>
        </w:tc>
        <w:tc>
          <w:tcPr>
            <w:tcW w:w="1234" w:type="dxa"/>
            <w:tcBorders>
              <w:top w:val="nil"/>
              <w:left w:val="nil"/>
              <w:bottom w:val="single" w:sz="4" w:space="0" w:color="0070C0"/>
              <w:right w:val="single" w:sz="4" w:space="0" w:color="0070C0"/>
            </w:tcBorders>
            <w:shd w:val="clear" w:color="auto" w:fill="auto"/>
            <w:hideMark/>
          </w:tcPr>
          <w:p w14:paraId="5DD0F2C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FEBRIS D.O.O. PIVKA</w:t>
            </w:r>
          </w:p>
        </w:tc>
        <w:tc>
          <w:tcPr>
            <w:tcW w:w="494" w:type="dxa"/>
            <w:tcBorders>
              <w:top w:val="nil"/>
              <w:left w:val="nil"/>
              <w:bottom w:val="single" w:sz="4" w:space="0" w:color="0070C0"/>
              <w:right w:val="single" w:sz="4" w:space="0" w:color="0070C0"/>
            </w:tcBorders>
            <w:shd w:val="clear" w:color="auto" w:fill="auto"/>
            <w:noWrap/>
            <w:hideMark/>
          </w:tcPr>
          <w:p w14:paraId="33FE5F2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0E36152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D09EBD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27114</w:t>
            </w:r>
          </w:p>
        </w:tc>
        <w:tc>
          <w:tcPr>
            <w:tcW w:w="1234" w:type="dxa"/>
            <w:tcBorders>
              <w:top w:val="nil"/>
              <w:left w:val="nil"/>
              <w:bottom w:val="single" w:sz="4" w:space="0" w:color="0070C0"/>
              <w:right w:val="single" w:sz="4" w:space="0" w:color="0070C0"/>
            </w:tcBorders>
            <w:shd w:val="clear" w:color="auto" w:fill="auto"/>
            <w:hideMark/>
          </w:tcPr>
          <w:p w14:paraId="20A8C5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KOŠIR D.O.O.</w:t>
            </w:r>
          </w:p>
        </w:tc>
        <w:tc>
          <w:tcPr>
            <w:tcW w:w="494" w:type="dxa"/>
            <w:tcBorders>
              <w:top w:val="nil"/>
              <w:left w:val="nil"/>
              <w:bottom w:val="single" w:sz="4" w:space="0" w:color="0070C0"/>
              <w:right w:val="single" w:sz="4" w:space="0" w:color="0070C0"/>
            </w:tcBorders>
            <w:shd w:val="clear" w:color="auto" w:fill="auto"/>
            <w:noWrap/>
            <w:hideMark/>
          </w:tcPr>
          <w:p w14:paraId="05AB0D9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696,16</w:t>
            </w:r>
          </w:p>
        </w:tc>
      </w:tr>
      <w:tr w:rsidR="00FE461F" w:rsidRPr="005E4BEA" w14:paraId="09538E6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BD660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31091</w:t>
            </w:r>
          </w:p>
        </w:tc>
        <w:tc>
          <w:tcPr>
            <w:tcW w:w="1234" w:type="dxa"/>
            <w:tcBorders>
              <w:top w:val="nil"/>
              <w:left w:val="nil"/>
              <w:bottom w:val="single" w:sz="4" w:space="0" w:color="0070C0"/>
              <w:right w:val="single" w:sz="4" w:space="0" w:color="0070C0"/>
            </w:tcBorders>
            <w:shd w:val="clear" w:color="auto" w:fill="auto"/>
            <w:hideMark/>
          </w:tcPr>
          <w:p w14:paraId="7A352EA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RUS SERGEJ</w:t>
            </w:r>
          </w:p>
        </w:tc>
        <w:tc>
          <w:tcPr>
            <w:tcW w:w="494" w:type="dxa"/>
            <w:tcBorders>
              <w:top w:val="nil"/>
              <w:left w:val="nil"/>
              <w:bottom w:val="single" w:sz="4" w:space="0" w:color="0070C0"/>
              <w:right w:val="single" w:sz="4" w:space="0" w:color="0070C0"/>
            </w:tcBorders>
            <w:shd w:val="clear" w:color="auto" w:fill="auto"/>
            <w:noWrap/>
            <w:hideMark/>
          </w:tcPr>
          <w:p w14:paraId="654B003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A8A546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58AD22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20305</w:t>
            </w:r>
          </w:p>
        </w:tc>
        <w:tc>
          <w:tcPr>
            <w:tcW w:w="1234" w:type="dxa"/>
            <w:tcBorders>
              <w:top w:val="nil"/>
              <w:left w:val="nil"/>
              <w:bottom w:val="single" w:sz="4" w:space="0" w:color="0070C0"/>
              <w:right w:val="single" w:sz="4" w:space="0" w:color="0070C0"/>
            </w:tcBorders>
            <w:shd w:val="clear" w:color="auto" w:fill="auto"/>
            <w:hideMark/>
          </w:tcPr>
          <w:p w14:paraId="19ACAF4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ŠOSTERIČ ALEKSANDER</w:t>
            </w:r>
          </w:p>
        </w:tc>
        <w:tc>
          <w:tcPr>
            <w:tcW w:w="494" w:type="dxa"/>
            <w:tcBorders>
              <w:top w:val="nil"/>
              <w:left w:val="nil"/>
              <w:bottom w:val="single" w:sz="4" w:space="0" w:color="0070C0"/>
              <w:right w:val="single" w:sz="4" w:space="0" w:color="0070C0"/>
            </w:tcBorders>
            <w:shd w:val="clear" w:color="auto" w:fill="auto"/>
            <w:noWrap/>
            <w:hideMark/>
          </w:tcPr>
          <w:p w14:paraId="10CD2ED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C82A64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7D4E80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19489</w:t>
            </w:r>
          </w:p>
        </w:tc>
        <w:tc>
          <w:tcPr>
            <w:tcW w:w="1234" w:type="dxa"/>
            <w:tcBorders>
              <w:top w:val="nil"/>
              <w:left w:val="nil"/>
              <w:bottom w:val="single" w:sz="4" w:space="0" w:color="0070C0"/>
              <w:right w:val="single" w:sz="4" w:space="0" w:color="0070C0"/>
            </w:tcBorders>
            <w:shd w:val="clear" w:color="auto" w:fill="auto"/>
            <w:hideMark/>
          </w:tcPr>
          <w:p w14:paraId="5DD5607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UNUK KLANČNIK IRENA</w:t>
            </w:r>
          </w:p>
        </w:tc>
        <w:tc>
          <w:tcPr>
            <w:tcW w:w="494" w:type="dxa"/>
            <w:tcBorders>
              <w:top w:val="nil"/>
              <w:left w:val="nil"/>
              <w:bottom w:val="single" w:sz="4" w:space="0" w:color="0070C0"/>
              <w:right w:val="single" w:sz="4" w:space="0" w:color="0070C0"/>
            </w:tcBorders>
            <w:shd w:val="clear" w:color="auto" w:fill="auto"/>
            <w:noWrap/>
            <w:hideMark/>
          </w:tcPr>
          <w:p w14:paraId="5DE31AA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275,82</w:t>
            </w:r>
          </w:p>
        </w:tc>
      </w:tr>
      <w:tr w:rsidR="00FE461F" w:rsidRPr="005E4BEA" w14:paraId="599B675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B31C64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19486</w:t>
            </w:r>
          </w:p>
        </w:tc>
        <w:tc>
          <w:tcPr>
            <w:tcW w:w="1234" w:type="dxa"/>
            <w:tcBorders>
              <w:top w:val="nil"/>
              <w:left w:val="nil"/>
              <w:bottom w:val="single" w:sz="4" w:space="0" w:color="0070C0"/>
              <w:right w:val="single" w:sz="4" w:space="0" w:color="0070C0"/>
            </w:tcBorders>
            <w:shd w:val="clear" w:color="auto" w:fill="auto"/>
            <w:hideMark/>
          </w:tcPr>
          <w:p w14:paraId="6F91C0B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AL MAHDAWI FUAD</w:t>
            </w:r>
          </w:p>
        </w:tc>
        <w:tc>
          <w:tcPr>
            <w:tcW w:w="494" w:type="dxa"/>
            <w:tcBorders>
              <w:top w:val="nil"/>
              <w:left w:val="nil"/>
              <w:bottom w:val="single" w:sz="4" w:space="0" w:color="0070C0"/>
              <w:right w:val="single" w:sz="4" w:space="0" w:color="0070C0"/>
            </w:tcBorders>
            <w:shd w:val="clear" w:color="auto" w:fill="auto"/>
            <w:noWrap/>
            <w:hideMark/>
          </w:tcPr>
          <w:p w14:paraId="459AAAE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38B046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9D74A8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24892</w:t>
            </w:r>
          </w:p>
        </w:tc>
        <w:tc>
          <w:tcPr>
            <w:tcW w:w="1234" w:type="dxa"/>
            <w:tcBorders>
              <w:top w:val="nil"/>
              <w:left w:val="nil"/>
              <w:bottom w:val="single" w:sz="4" w:space="0" w:color="0070C0"/>
              <w:right w:val="single" w:sz="4" w:space="0" w:color="0070C0"/>
            </w:tcBorders>
            <w:shd w:val="clear" w:color="auto" w:fill="auto"/>
            <w:hideMark/>
          </w:tcPr>
          <w:p w14:paraId="13529DB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ZAJC-KRAŠEVEC MOJCA</w:t>
            </w:r>
          </w:p>
        </w:tc>
        <w:tc>
          <w:tcPr>
            <w:tcW w:w="494" w:type="dxa"/>
            <w:tcBorders>
              <w:top w:val="nil"/>
              <w:left w:val="nil"/>
              <w:bottom w:val="single" w:sz="4" w:space="0" w:color="0070C0"/>
              <w:right w:val="single" w:sz="4" w:space="0" w:color="0070C0"/>
            </w:tcBorders>
            <w:shd w:val="clear" w:color="auto" w:fill="auto"/>
            <w:noWrap/>
            <w:hideMark/>
          </w:tcPr>
          <w:p w14:paraId="637967A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0798C8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735CCB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24896</w:t>
            </w:r>
          </w:p>
        </w:tc>
        <w:tc>
          <w:tcPr>
            <w:tcW w:w="1234" w:type="dxa"/>
            <w:tcBorders>
              <w:top w:val="nil"/>
              <w:left w:val="nil"/>
              <w:bottom w:val="single" w:sz="4" w:space="0" w:color="0070C0"/>
              <w:right w:val="single" w:sz="4" w:space="0" w:color="0070C0"/>
            </w:tcBorders>
            <w:shd w:val="clear" w:color="auto" w:fill="auto"/>
            <w:hideMark/>
          </w:tcPr>
          <w:p w14:paraId="75FBAA1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BANKO MILAN</w:t>
            </w:r>
          </w:p>
        </w:tc>
        <w:tc>
          <w:tcPr>
            <w:tcW w:w="494" w:type="dxa"/>
            <w:tcBorders>
              <w:top w:val="nil"/>
              <w:left w:val="nil"/>
              <w:bottom w:val="single" w:sz="4" w:space="0" w:color="0070C0"/>
              <w:right w:val="single" w:sz="4" w:space="0" w:color="0070C0"/>
            </w:tcBorders>
            <w:shd w:val="clear" w:color="auto" w:fill="auto"/>
            <w:noWrap/>
            <w:hideMark/>
          </w:tcPr>
          <w:p w14:paraId="52B9799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583563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210597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19382</w:t>
            </w:r>
          </w:p>
        </w:tc>
        <w:tc>
          <w:tcPr>
            <w:tcW w:w="1234" w:type="dxa"/>
            <w:tcBorders>
              <w:top w:val="nil"/>
              <w:left w:val="nil"/>
              <w:bottom w:val="single" w:sz="4" w:space="0" w:color="0070C0"/>
              <w:right w:val="single" w:sz="4" w:space="0" w:color="0070C0"/>
            </w:tcBorders>
            <w:shd w:val="clear" w:color="auto" w:fill="auto"/>
            <w:hideMark/>
          </w:tcPr>
          <w:p w14:paraId="0844852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ŽERJAV MANICA</w:t>
            </w:r>
          </w:p>
        </w:tc>
        <w:tc>
          <w:tcPr>
            <w:tcW w:w="494" w:type="dxa"/>
            <w:tcBorders>
              <w:top w:val="nil"/>
              <w:left w:val="nil"/>
              <w:bottom w:val="single" w:sz="4" w:space="0" w:color="0070C0"/>
              <w:right w:val="single" w:sz="4" w:space="0" w:color="0070C0"/>
            </w:tcBorders>
            <w:shd w:val="clear" w:color="auto" w:fill="auto"/>
            <w:noWrap/>
            <w:hideMark/>
          </w:tcPr>
          <w:p w14:paraId="47B4934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C765C2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A8FA8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24646</w:t>
            </w:r>
          </w:p>
        </w:tc>
        <w:tc>
          <w:tcPr>
            <w:tcW w:w="1234" w:type="dxa"/>
            <w:tcBorders>
              <w:top w:val="nil"/>
              <w:left w:val="nil"/>
              <w:bottom w:val="single" w:sz="4" w:space="0" w:color="0070C0"/>
              <w:right w:val="single" w:sz="4" w:space="0" w:color="0070C0"/>
            </w:tcBorders>
            <w:shd w:val="clear" w:color="auto" w:fill="auto"/>
            <w:hideMark/>
          </w:tcPr>
          <w:p w14:paraId="043EBC7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KOVAČ-MOHAR GABRIJELA</w:t>
            </w:r>
          </w:p>
        </w:tc>
        <w:tc>
          <w:tcPr>
            <w:tcW w:w="494" w:type="dxa"/>
            <w:tcBorders>
              <w:top w:val="nil"/>
              <w:left w:val="nil"/>
              <w:bottom w:val="single" w:sz="4" w:space="0" w:color="0070C0"/>
              <w:right w:val="single" w:sz="4" w:space="0" w:color="0070C0"/>
            </w:tcBorders>
            <w:shd w:val="clear" w:color="auto" w:fill="auto"/>
            <w:noWrap/>
            <w:hideMark/>
          </w:tcPr>
          <w:p w14:paraId="75D0F5E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0E744E3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3B96DA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24045</w:t>
            </w:r>
          </w:p>
        </w:tc>
        <w:tc>
          <w:tcPr>
            <w:tcW w:w="1234" w:type="dxa"/>
            <w:tcBorders>
              <w:top w:val="nil"/>
              <w:left w:val="nil"/>
              <w:bottom w:val="single" w:sz="4" w:space="0" w:color="0070C0"/>
              <w:right w:val="single" w:sz="4" w:space="0" w:color="0070C0"/>
            </w:tcBorders>
            <w:shd w:val="clear" w:color="auto" w:fill="auto"/>
            <w:hideMark/>
          </w:tcPr>
          <w:p w14:paraId="4BAF74E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TRŠINAR ALEKSANDER</w:t>
            </w:r>
          </w:p>
        </w:tc>
        <w:tc>
          <w:tcPr>
            <w:tcW w:w="494" w:type="dxa"/>
            <w:tcBorders>
              <w:top w:val="nil"/>
              <w:left w:val="nil"/>
              <w:bottom w:val="single" w:sz="4" w:space="0" w:color="0070C0"/>
              <w:right w:val="single" w:sz="4" w:space="0" w:color="0070C0"/>
            </w:tcBorders>
            <w:shd w:val="clear" w:color="auto" w:fill="auto"/>
            <w:noWrap/>
            <w:hideMark/>
          </w:tcPr>
          <w:p w14:paraId="2524C3B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F67ECB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EE989E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12863</w:t>
            </w:r>
          </w:p>
        </w:tc>
        <w:tc>
          <w:tcPr>
            <w:tcW w:w="1234" w:type="dxa"/>
            <w:tcBorders>
              <w:top w:val="nil"/>
              <w:left w:val="nil"/>
              <w:bottom w:val="single" w:sz="4" w:space="0" w:color="0070C0"/>
              <w:right w:val="single" w:sz="4" w:space="0" w:color="0070C0"/>
            </w:tcBorders>
            <w:shd w:val="clear" w:color="auto" w:fill="auto"/>
            <w:hideMark/>
          </w:tcPr>
          <w:p w14:paraId="005CD27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LOŽAR OLGA</w:t>
            </w:r>
          </w:p>
        </w:tc>
        <w:tc>
          <w:tcPr>
            <w:tcW w:w="494" w:type="dxa"/>
            <w:tcBorders>
              <w:top w:val="nil"/>
              <w:left w:val="nil"/>
              <w:bottom w:val="single" w:sz="4" w:space="0" w:color="0070C0"/>
              <w:right w:val="single" w:sz="4" w:space="0" w:color="0070C0"/>
            </w:tcBorders>
            <w:shd w:val="clear" w:color="auto" w:fill="auto"/>
            <w:noWrap/>
            <w:hideMark/>
          </w:tcPr>
          <w:p w14:paraId="0402EDC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4A135BE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0F1FEE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24644</w:t>
            </w:r>
          </w:p>
        </w:tc>
        <w:tc>
          <w:tcPr>
            <w:tcW w:w="1234" w:type="dxa"/>
            <w:tcBorders>
              <w:top w:val="nil"/>
              <w:left w:val="nil"/>
              <w:bottom w:val="single" w:sz="4" w:space="0" w:color="0070C0"/>
              <w:right w:val="single" w:sz="4" w:space="0" w:color="0070C0"/>
            </w:tcBorders>
            <w:shd w:val="clear" w:color="auto" w:fill="auto"/>
            <w:hideMark/>
          </w:tcPr>
          <w:p w14:paraId="6ECC37A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STARBEK MARIJA</w:t>
            </w:r>
          </w:p>
        </w:tc>
        <w:tc>
          <w:tcPr>
            <w:tcW w:w="494" w:type="dxa"/>
            <w:tcBorders>
              <w:top w:val="nil"/>
              <w:left w:val="nil"/>
              <w:bottom w:val="single" w:sz="4" w:space="0" w:color="0070C0"/>
              <w:right w:val="single" w:sz="4" w:space="0" w:color="0070C0"/>
            </w:tcBorders>
            <w:shd w:val="clear" w:color="auto" w:fill="auto"/>
            <w:noWrap/>
            <w:hideMark/>
          </w:tcPr>
          <w:p w14:paraId="2B7F34A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AB19BB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3B9B56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20094</w:t>
            </w:r>
          </w:p>
        </w:tc>
        <w:tc>
          <w:tcPr>
            <w:tcW w:w="1234" w:type="dxa"/>
            <w:tcBorders>
              <w:top w:val="nil"/>
              <w:left w:val="nil"/>
              <w:bottom w:val="single" w:sz="4" w:space="0" w:color="0070C0"/>
              <w:right w:val="single" w:sz="4" w:space="0" w:color="0070C0"/>
            </w:tcBorders>
            <w:shd w:val="clear" w:color="auto" w:fill="auto"/>
            <w:hideMark/>
          </w:tcPr>
          <w:p w14:paraId="6672619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LUPŠE-ŠTAMPAR JASNA</w:t>
            </w:r>
          </w:p>
        </w:tc>
        <w:tc>
          <w:tcPr>
            <w:tcW w:w="494" w:type="dxa"/>
            <w:tcBorders>
              <w:top w:val="nil"/>
              <w:left w:val="nil"/>
              <w:bottom w:val="single" w:sz="4" w:space="0" w:color="0070C0"/>
              <w:right w:val="single" w:sz="4" w:space="0" w:color="0070C0"/>
            </w:tcBorders>
            <w:shd w:val="clear" w:color="auto" w:fill="auto"/>
            <w:noWrap/>
            <w:hideMark/>
          </w:tcPr>
          <w:p w14:paraId="4D16471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6E3EC6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AAF7FF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20092</w:t>
            </w:r>
          </w:p>
        </w:tc>
        <w:tc>
          <w:tcPr>
            <w:tcW w:w="1234" w:type="dxa"/>
            <w:tcBorders>
              <w:top w:val="nil"/>
              <w:left w:val="nil"/>
              <w:bottom w:val="single" w:sz="4" w:space="0" w:color="0070C0"/>
              <w:right w:val="single" w:sz="4" w:space="0" w:color="0070C0"/>
            </w:tcBorders>
            <w:shd w:val="clear" w:color="auto" w:fill="auto"/>
            <w:hideMark/>
          </w:tcPr>
          <w:p w14:paraId="79CD015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TENYI LASZLO</w:t>
            </w:r>
          </w:p>
        </w:tc>
        <w:tc>
          <w:tcPr>
            <w:tcW w:w="494" w:type="dxa"/>
            <w:tcBorders>
              <w:top w:val="nil"/>
              <w:left w:val="nil"/>
              <w:bottom w:val="single" w:sz="4" w:space="0" w:color="0070C0"/>
              <w:right w:val="single" w:sz="4" w:space="0" w:color="0070C0"/>
            </w:tcBorders>
            <w:shd w:val="clear" w:color="auto" w:fill="auto"/>
            <w:noWrap/>
            <w:hideMark/>
          </w:tcPr>
          <w:p w14:paraId="48B871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3F8380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0F1707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31074</w:t>
            </w:r>
          </w:p>
        </w:tc>
        <w:tc>
          <w:tcPr>
            <w:tcW w:w="1234" w:type="dxa"/>
            <w:tcBorders>
              <w:top w:val="nil"/>
              <w:left w:val="nil"/>
              <w:bottom w:val="single" w:sz="4" w:space="0" w:color="0070C0"/>
              <w:right w:val="single" w:sz="4" w:space="0" w:color="0070C0"/>
            </w:tcBorders>
            <w:shd w:val="clear" w:color="auto" w:fill="auto"/>
            <w:hideMark/>
          </w:tcPr>
          <w:p w14:paraId="5974ED9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POLIMAC DUŠAN</w:t>
            </w:r>
          </w:p>
        </w:tc>
        <w:tc>
          <w:tcPr>
            <w:tcW w:w="494" w:type="dxa"/>
            <w:tcBorders>
              <w:top w:val="nil"/>
              <w:left w:val="nil"/>
              <w:bottom w:val="single" w:sz="4" w:space="0" w:color="0070C0"/>
              <w:right w:val="single" w:sz="4" w:space="0" w:color="0070C0"/>
            </w:tcBorders>
            <w:shd w:val="clear" w:color="auto" w:fill="auto"/>
            <w:noWrap/>
            <w:hideMark/>
          </w:tcPr>
          <w:p w14:paraId="75CB513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2940E6F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48B08B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17065</w:t>
            </w:r>
          </w:p>
        </w:tc>
        <w:tc>
          <w:tcPr>
            <w:tcW w:w="1234" w:type="dxa"/>
            <w:tcBorders>
              <w:top w:val="nil"/>
              <w:left w:val="nil"/>
              <w:bottom w:val="single" w:sz="4" w:space="0" w:color="0070C0"/>
              <w:right w:val="single" w:sz="4" w:space="0" w:color="0070C0"/>
            </w:tcBorders>
            <w:shd w:val="clear" w:color="auto" w:fill="auto"/>
            <w:hideMark/>
          </w:tcPr>
          <w:p w14:paraId="54D92A1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RIHTARŠIČ IRENA</w:t>
            </w:r>
          </w:p>
        </w:tc>
        <w:tc>
          <w:tcPr>
            <w:tcW w:w="494" w:type="dxa"/>
            <w:tcBorders>
              <w:top w:val="nil"/>
              <w:left w:val="nil"/>
              <w:bottom w:val="single" w:sz="4" w:space="0" w:color="0070C0"/>
              <w:right w:val="single" w:sz="4" w:space="0" w:color="0070C0"/>
            </w:tcBorders>
            <w:shd w:val="clear" w:color="auto" w:fill="auto"/>
            <w:noWrap/>
            <w:hideMark/>
          </w:tcPr>
          <w:p w14:paraId="2A30B29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EDB55D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9EA22F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24572</w:t>
            </w:r>
          </w:p>
        </w:tc>
        <w:tc>
          <w:tcPr>
            <w:tcW w:w="1234" w:type="dxa"/>
            <w:tcBorders>
              <w:top w:val="nil"/>
              <w:left w:val="nil"/>
              <w:bottom w:val="single" w:sz="4" w:space="0" w:color="0070C0"/>
              <w:right w:val="single" w:sz="4" w:space="0" w:color="0070C0"/>
            </w:tcBorders>
            <w:shd w:val="clear" w:color="auto" w:fill="auto"/>
            <w:hideMark/>
          </w:tcPr>
          <w:p w14:paraId="664D551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LAVRENČIČ DARKO</w:t>
            </w:r>
          </w:p>
        </w:tc>
        <w:tc>
          <w:tcPr>
            <w:tcW w:w="494" w:type="dxa"/>
            <w:tcBorders>
              <w:top w:val="nil"/>
              <w:left w:val="nil"/>
              <w:bottom w:val="single" w:sz="4" w:space="0" w:color="0070C0"/>
              <w:right w:val="single" w:sz="4" w:space="0" w:color="0070C0"/>
            </w:tcBorders>
            <w:shd w:val="clear" w:color="auto" w:fill="auto"/>
            <w:noWrap/>
            <w:hideMark/>
          </w:tcPr>
          <w:p w14:paraId="3FC760D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203,17</w:t>
            </w:r>
          </w:p>
        </w:tc>
      </w:tr>
      <w:tr w:rsidR="00FE461F" w:rsidRPr="005E4BEA" w14:paraId="132DA22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F7856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24500</w:t>
            </w:r>
          </w:p>
        </w:tc>
        <w:tc>
          <w:tcPr>
            <w:tcW w:w="1234" w:type="dxa"/>
            <w:tcBorders>
              <w:top w:val="nil"/>
              <w:left w:val="nil"/>
              <w:bottom w:val="single" w:sz="4" w:space="0" w:color="0070C0"/>
              <w:right w:val="single" w:sz="4" w:space="0" w:color="0070C0"/>
            </w:tcBorders>
            <w:shd w:val="clear" w:color="auto" w:fill="auto"/>
            <w:hideMark/>
          </w:tcPr>
          <w:p w14:paraId="668F8E2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BLAHA JASNA</w:t>
            </w:r>
          </w:p>
        </w:tc>
        <w:tc>
          <w:tcPr>
            <w:tcW w:w="494" w:type="dxa"/>
            <w:tcBorders>
              <w:top w:val="nil"/>
              <w:left w:val="nil"/>
              <w:bottom w:val="single" w:sz="4" w:space="0" w:color="0070C0"/>
              <w:right w:val="single" w:sz="4" w:space="0" w:color="0070C0"/>
            </w:tcBorders>
            <w:shd w:val="clear" w:color="auto" w:fill="auto"/>
            <w:noWrap/>
            <w:hideMark/>
          </w:tcPr>
          <w:p w14:paraId="2C4CA39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8BBAE2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B20C5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24922</w:t>
            </w:r>
          </w:p>
        </w:tc>
        <w:tc>
          <w:tcPr>
            <w:tcW w:w="1234" w:type="dxa"/>
            <w:tcBorders>
              <w:top w:val="nil"/>
              <w:left w:val="nil"/>
              <w:bottom w:val="single" w:sz="4" w:space="0" w:color="0070C0"/>
              <w:right w:val="single" w:sz="4" w:space="0" w:color="0070C0"/>
            </w:tcBorders>
            <w:shd w:val="clear" w:color="auto" w:fill="auto"/>
            <w:hideMark/>
          </w:tcPr>
          <w:p w14:paraId="418FD6C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JEZERC-KRIŽANIČ TATJANA</w:t>
            </w:r>
          </w:p>
        </w:tc>
        <w:tc>
          <w:tcPr>
            <w:tcW w:w="494" w:type="dxa"/>
            <w:tcBorders>
              <w:top w:val="nil"/>
              <w:left w:val="nil"/>
              <w:bottom w:val="single" w:sz="4" w:space="0" w:color="0070C0"/>
              <w:right w:val="single" w:sz="4" w:space="0" w:color="0070C0"/>
            </w:tcBorders>
            <w:shd w:val="clear" w:color="auto" w:fill="auto"/>
            <w:noWrap/>
            <w:hideMark/>
          </w:tcPr>
          <w:p w14:paraId="462F1EC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6C79025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13DD8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24775</w:t>
            </w:r>
          </w:p>
        </w:tc>
        <w:tc>
          <w:tcPr>
            <w:tcW w:w="1234" w:type="dxa"/>
            <w:tcBorders>
              <w:top w:val="nil"/>
              <w:left w:val="nil"/>
              <w:bottom w:val="single" w:sz="4" w:space="0" w:color="0070C0"/>
              <w:right w:val="single" w:sz="4" w:space="0" w:color="0070C0"/>
            </w:tcBorders>
            <w:shd w:val="clear" w:color="auto" w:fill="auto"/>
            <w:hideMark/>
          </w:tcPr>
          <w:p w14:paraId="5C27B24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KMET JANEZ</w:t>
            </w:r>
          </w:p>
        </w:tc>
        <w:tc>
          <w:tcPr>
            <w:tcW w:w="494" w:type="dxa"/>
            <w:tcBorders>
              <w:top w:val="nil"/>
              <w:left w:val="nil"/>
              <w:bottom w:val="single" w:sz="4" w:space="0" w:color="0070C0"/>
              <w:right w:val="single" w:sz="4" w:space="0" w:color="0070C0"/>
            </w:tcBorders>
            <w:shd w:val="clear" w:color="auto" w:fill="auto"/>
            <w:noWrap/>
            <w:hideMark/>
          </w:tcPr>
          <w:p w14:paraId="79EF4D6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13040F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95BBE1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17161</w:t>
            </w:r>
          </w:p>
        </w:tc>
        <w:tc>
          <w:tcPr>
            <w:tcW w:w="1234" w:type="dxa"/>
            <w:tcBorders>
              <w:top w:val="nil"/>
              <w:left w:val="nil"/>
              <w:bottom w:val="single" w:sz="4" w:space="0" w:color="0070C0"/>
              <w:right w:val="single" w:sz="4" w:space="0" w:color="0070C0"/>
            </w:tcBorders>
            <w:shd w:val="clear" w:color="auto" w:fill="auto"/>
            <w:hideMark/>
          </w:tcPr>
          <w:p w14:paraId="4F9937C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KOROŠEC - KANIČ ZDENKA</w:t>
            </w:r>
          </w:p>
        </w:tc>
        <w:tc>
          <w:tcPr>
            <w:tcW w:w="494" w:type="dxa"/>
            <w:tcBorders>
              <w:top w:val="nil"/>
              <w:left w:val="nil"/>
              <w:bottom w:val="single" w:sz="4" w:space="0" w:color="0070C0"/>
              <w:right w:val="single" w:sz="4" w:space="0" w:color="0070C0"/>
            </w:tcBorders>
            <w:shd w:val="clear" w:color="auto" w:fill="auto"/>
            <w:noWrap/>
            <w:hideMark/>
          </w:tcPr>
          <w:p w14:paraId="43FD8DA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77E352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33A3DB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24102</w:t>
            </w:r>
          </w:p>
        </w:tc>
        <w:tc>
          <w:tcPr>
            <w:tcW w:w="1234" w:type="dxa"/>
            <w:tcBorders>
              <w:top w:val="nil"/>
              <w:left w:val="nil"/>
              <w:bottom w:val="single" w:sz="4" w:space="0" w:color="0070C0"/>
              <w:right w:val="single" w:sz="4" w:space="0" w:color="0070C0"/>
            </w:tcBorders>
            <w:shd w:val="clear" w:color="auto" w:fill="auto"/>
            <w:hideMark/>
          </w:tcPr>
          <w:p w14:paraId="4C5F8A6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VIDIC MAJDA</w:t>
            </w:r>
          </w:p>
        </w:tc>
        <w:tc>
          <w:tcPr>
            <w:tcW w:w="494" w:type="dxa"/>
            <w:tcBorders>
              <w:top w:val="nil"/>
              <w:left w:val="nil"/>
              <w:bottom w:val="single" w:sz="4" w:space="0" w:color="0070C0"/>
              <w:right w:val="single" w:sz="4" w:space="0" w:color="0070C0"/>
            </w:tcBorders>
            <w:shd w:val="clear" w:color="auto" w:fill="auto"/>
            <w:noWrap/>
            <w:hideMark/>
          </w:tcPr>
          <w:p w14:paraId="084D45D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249,39</w:t>
            </w:r>
          </w:p>
        </w:tc>
      </w:tr>
      <w:tr w:rsidR="00FE461F" w:rsidRPr="005E4BEA" w14:paraId="71544EC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FCB164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24920</w:t>
            </w:r>
          </w:p>
        </w:tc>
        <w:tc>
          <w:tcPr>
            <w:tcW w:w="1234" w:type="dxa"/>
            <w:tcBorders>
              <w:top w:val="nil"/>
              <w:left w:val="nil"/>
              <w:bottom w:val="single" w:sz="4" w:space="0" w:color="0070C0"/>
              <w:right w:val="single" w:sz="4" w:space="0" w:color="0070C0"/>
            </w:tcBorders>
            <w:shd w:val="clear" w:color="auto" w:fill="auto"/>
            <w:hideMark/>
          </w:tcPr>
          <w:p w14:paraId="0D218EB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SIMČIČ-POLAK MARJANA</w:t>
            </w:r>
          </w:p>
        </w:tc>
        <w:tc>
          <w:tcPr>
            <w:tcW w:w="494" w:type="dxa"/>
            <w:tcBorders>
              <w:top w:val="nil"/>
              <w:left w:val="nil"/>
              <w:bottom w:val="single" w:sz="4" w:space="0" w:color="0070C0"/>
              <w:right w:val="single" w:sz="4" w:space="0" w:color="0070C0"/>
            </w:tcBorders>
            <w:shd w:val="clear" w:color="auto" w:fill="auto"/>
            <w:noWrap/>
            <w:hideMark/>
          </w:tcPr>
          <w:p w14:paraId="5B6CA07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A0E267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A5F949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27120</w:t>
            </w:r>
          </w:p>
        </w:tc>
        <w:tc>
          <w:tcPr>
            <w:tcW w:w="1234" w:type="dxa"/>
            <w:tcBorders>
              <w:top w:val="nil"/>
              <w:left w:val="nil"/>
              <w:bottom w:val="single" w:sz="4" w:space="0" w:color="0070C0"/>
              <w:right w:val="single" w:sz="4" w:space="0" w:color="0070C0"/>
            </w:tcBorders>
            <w:shd w:val="clear" w:color="auto" w:fill="auto"/>
            <w:hideMark/>
          </w:tcPr>
          <w:p w14:paraId="4FD5475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DOLINAR KRESE HERMINA</w:t>
            </w:r>
          </w:p>
        </w:tc>
        <w:tc>
          <w:tcPr>
            <w:tcW w:w="494" w:type="dxa"/>
            <w:tcBorders>
              <w:top w:val="nil"/>
              <w:left w:val="nil"/>
              <w:bottom w:val="single" w:sz="4" w:space="0" w:color="0070C0"/>
              <w:right w:val="single" w:sz="4" w:space="0" w:color="0070C0"/>
            </w:tcBorders>
            <w:shd w:val="clear" w:color="auto" w:fill="auto"/>
            <w:noWrap/>
            <w:hideMark/>
          </w:tcPr>
          <w:p w14:paraId="441EBB8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7742E92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BE6114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20348</w:t>
            </w:r>
          </w:p>
        </w:tc>
        <w:tc>
          <w:tcPr>
            <w:tcW w:w="1234" w:type="dxa"/>
            <w:tcBorders>
              <w:top w:val="nil"/>
              <w:left w:val="nil"/>
              <w:bottom w:val="single" w:sz="4" w:space="0" w:color="0070C0"/>
              <w:right w:val="single" w:sz="4" w:space="0" w:color="0070C0"/>
            </w:tcBorders>
            <w:shd w:val="clear" w:color="auto" w:fill="auto"/>
            <w:hideMark/>
          </w:tcPr>
          <w:p w14:paraId="0430875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ZRILIĆ IRIS</w:t>
            </w:r>
          </w:p>
        </w:tc>
        <w:tc>
          <w:tcPr>
            <w:tcW w:w="494" w:type="dxa"/>
            <w:tcBorders>
              <w:top w:val="nil"/>
              <w:left w:val="nil"/>
              <w:bottom w:val="single" w:sz="4" w:space="0" w:color="0070C0"/>
              <w:right w:val="single" w:sz="4" w:space="0" w:color="0070C0"/>
            </w:tcBorders>
            <w:shd w:val="clear" w:color="auto" w:fill="auto"/>
            <w:noWrap/>
            <w:hideMark/>
          </w:tcPr>
          <w:p w14:paraId="54C3D15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275,82</w:t>
            </w:r>
          </w:p>
        </w:tc>
      </w:tr>
      <w:tr w:rsidR="00FE461F" w:rsidRPr="005E4BEA" w14:paraId="6253F98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CF80C6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24185</w:t>
            </w:r>
          </w:p>
        </w:tc>
        <w:tc>
          <w:tcPr>
            <w:tcW w:w="1234" w:type="dxa"/>
            <w:tcBorders>
              <w:top w:val="nil"/>
              <w:left w:val="nil"/>
              <w:bottom w:val="single" w:sz="4" w:space="0" w:color="0070C0"/>
              <w:right w:val="single" w:sz="4" w:space="0" w:color="0070C0"/>
            </w:tcBorders>
            <w:shd w:val="clear" w:color="auto" w:fill="auto"/>
            <w:hideMark/>
          </w:tcPr>
          <w:p w14:paraId="3300E04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KRALJ ZLATKA</w:t>
            </w:r>
          </w:p>
        </w:tc>
        <w:tc>
          <w:tcPr>
            <w:tcW w:w="494" w:type="dxa"/>
            <w:tcBorders>
              <w:top w:val="nil"/>
              <w:left w:val="nil"/>
              <w:bottom w:val="single" w:sz="4" w:space="0" w:color="0070C0"/>
              <w:right w:val="single" w:sz="4" w:space="0" w:color="0070C0"/>
            </w:tcBorders>
            <w:shd w:val="clear" w:color="auto" w:fill="auto"/>
            <w:noWrap/>
            <w:hideMark/>
          </w:tcPr>
          <w:p w14:paraId="43A9C0B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C52456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A98E5A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24110</w:t>
            </w:r>
          </w:p>
        </w:tc>
        <w:tc>
          <w:tcPr>
            <w:tcW w:w="1234" w:type="dxa"/>
            <w:tcBorders>
              <w:top w:val="nil"/>
              <w:left w:val="nil"/>
              <w:bottom w:val="single" w:sz="4" w:space="0" w:color="0070C0"/>
              <w:right w:val="single" w:sz="4" w:space="0" w:color="0070C0"/>
            </w:tcBorders>
            <w:shd w:val="clear" w:color="auto" w:fill="auto"/>
            <w:hideMark/>
          </w:tcPr>
          <w:p w14:paraId="66AFB65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RUS VALERIJA</w:t>
            </w:r>
          </w:p>
        </w:tc>
        <w:tc>
          <w:tcPr>
            <w:tcW w:w="494" w:type="dxa"/>
            <w:tcBorders>
              <w:top w:val="nil"/>
              <w:left w:val="nil"/>
              <w:bottom w:val="single" w:sz="4" w:space="0" w:color="0070C0"/>
              <w:right w:val="single" w:sz="4" w:space="0" w:color="0070C0"/>
            </w:tcBorders>
            <w:shd w:val="clear" w:color="auto" w:fill="auto"/>
            <w:noWrap/>
            <w:hideMark/>
          </w:tcPr>
          <w:p w14:paraId="7DF35D6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4D984BC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B3D614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20352</w:t>
            </w:r>
          </w:p>
        </w:tc>
        <w:tc>
          <w:tcPr>
            <w:tcW w:w="1234" w:type="dxa"/>
            <w:tcBorders>
              <w:top w:val="nil"/>
              <w:left w:val="nil"/>
              <w:bottom w:val="single" w:sz="4" w:space="0" w:color="0070C0"/>
              <w:right w:val="single" w:sz="4" w:space="0" w:color="0070C0"/>
            </w:tcBorders>
            <w:shd w:val="clear" w:color="auto" w:fill="auto"/>
            <w:hideMark/>
          </w:tcPr>
          <w:p w14:paraId="7CCA9B9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HABJANIČ MERC BRIGITA</w:t>
            </w:r>
          </w:p>
        </w:tc>
        <w:tc>
          <w:tcPr>
            <w:tcW w:w="494" w:type="dxa"/>
            <w:tcBorders>
              <w:top w:val="nil"/>
              <w:left w:val="nil"/>
              <w:bottom w:val="single" w:sz="4" w:space="0" w:color="0070C0"/>
              <w:right w:val="single" w:sz="4" w:space="0" w:color="0070C0"/>
            </w:tcBorders>
            <w:shd w:val="clear" w:color="auto" w:fill="auto"/>
            <w:noWrap/>
            <w:hideMark/>
          </w:tcPr>
          <w:p w14:paraId="03BEE65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71B04C0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6A03B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31110</w:t>
            </w:r>
          </w:p>
        </w:tc>
        <w:tc>
          <w:tcPr>
            <w:tcW w:w="1234" w:type="dxa"/>
            <w:tcBorders>
              <w:top w:val="nil"/>
              <w:left w:val="nil"/>
              <w:bottom w:val="single" w:sz="4" w:space="0" w:color="0070C0"/>
              <w:right w:val="single" w:sz="4" w:space="0" w:color="0070C0"/>
            </w:tcBorders>
            <w:shd w:val="clear" w:color="auto" w:fill="auto"/>
            <w:hideMark/>
          </w:tcPr>
          <w:p w14:paraId="2C0D1EC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ŽNIDARŠIČ KSENIJA</w:t>
            </w:r>
          </w:p>
        </w:tc>
        <w:tc>
          <w:tcPr>
            <w:tcW w:w="494" w:type="dxa"/>
            <w:tcBorders>
              <w:top w:val="nil"/>
              <w:left w:val="nil"/>
              <w:bottom w:val="single" w:sz="4" w:space="0" w:color="0070C0"/>
              <w:right w:val="single" w:sz="4" w:space="0" w:color="0070C0"/>
            </w:tcBorders>
            <w:shd w:val="clear" w:color="auto" w:fill="auto"/>
            <w:noWrap/>
            <w:hideMark/>
          </w:tcPr>
          <w:p w14:paraId="0E6271B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12130BF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36148E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14590</w:t>
            </w:r>
          </w:p>
        </w:tc>
        <w:tc>
          <w:tcPr>
            <w:tcW w:w="1234" w:type="dxa"/>
            <w:tcBorders>
              <w:top w:val="nil"/>
              <w:left w:val="nil"/>
              <w:bottom w:val="single" w:sz="4" w:space="0" w:color="0070C0"/>
              <w:right w:val="single" w:sz="4" w:space="0" w:color="0070C0"/>
            </w:tcBorders>
            <w:shd w:val="clear" w:color="auto" w:fill="auto"/>
            <w:hideMark/>
          </w:tcPr>
          <w:p w14:paraId="1636FE7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PIRMANŠEK LEONARDA</w:t>
            </w:r>
          </w:p>
        </w:tc>
        <w:tc>
          <w:tcPr>
            <w:tcW w:w="494" w:type="dxa"/>
            <w:tcBorders>
              <w:top w:val="nil"/>
              <w:left w:val="nil"/>
              <w:bottom w:val="single" w:sz="4" w:space="0" w:color="0070C0"/>
              <w:right w:val="single" w:sz="4" w:space="0" w:color="0070C0"/>
            </w:tcBorders>
            <w:shd w:val="clear" w:color="auto" w:fill="auto"/>
            <w:noWrap/>
            <w:hideMark/>
          </w:tcPr>
          <w:p w14:paraId="56CD03A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737E54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FBFEAA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17175</w:t>
            </w:r>
          </w:p>
        </w:tc>
        <w:tc>
          <w:tcPr>
            <w:tcW w:w="1234" w:type="dxa"/>
            <w:tcBorders>
              <w:top w:val="nil"/>
              <w:left w:val="nil"/>
              <w:bottom w:val="single" w:sz="4" w:space="0" w:color="0070C0"/>
              <w:right w:val="single" w:sz="4" w:space="0" w:color="0070C0"/>
            </w:tcBorders>
            <w:shd w:val="clear" w:color="auto" w:fill="auto"/>
            <w:hideMark/>
          </w:tcPr>
          <w:p w14:paraId="009B2C7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SALVUS D.O.O.</w:t>
            </w:r>
          </w:p>
        </w:tc>
        <w:tc>
          <w:tcPr>
            <w:tcW w:w="494" w:type="dxa"/>
            <w:tcBorders>
              <w:top w:val="nil"/>
              <w:left w:val="nil"/>
              <w:bottom w:val="single" w:sz="4" w:space="0" w:color="0070C0"/>
              <w:right w:val="single" w:sz="4" w:space="0" w:color="0070C0"/>
            </w:tcBorders>
            <w:shd w:val="clear" w:color="auto" w:fill="auto"/>
            <w:noWrap/>
            <w:hideMark/>
          </w:tcPr>
          <w:p w14:paraId="5C06AD6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340,21</w:t>
            </w:r>
          </w:p>
        </w:tc>
      </w:tr>
      <w:tr w:rsidR="00FE461F" w:rsidRPr="005E4BEA" w14:paraId="2A69A11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6646A7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24886</w:t>
            </w:r>
          </w:p>
        </w:tc>
        <w:tc>
          <w:tcPr>
            <w:tcW w:w="1234" w:type="dxa"/>
            <w:tcBorders>
              <w:top w:val="nil"/>
              <w:left w:val="nil"/>
              <w:bottom w:val="single" w:sz="4" w:space="0" w:color="0070C0"/>
              <w:right w:val="single" w:sz="4" w:space="0" w:color="0070C0"/>
            </w:tcBorders>
            <w:shd w:val="clear" w:color="auto" w:fill="auto"/>
            <w:hideMark/>
          </w:tcPr>
          <w:p w14:paraId="5555AA4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KRALJ ROMAN</w:t>
            </w:r>
          </w:p>
        </w:tc>
        <w:tc>
          <w:tcPr>
            <w:tcW w:w="494" w:type="dxa"/>
            <w:tcBorders>
              <w:top w:val="nil"/>
              <w:left w:val="nil"/>
              <w:bottom w:val="single" w:sz="4" w:space="0" w:color="0070C0"/>
              <w:right w:val="single" w:sz="4" w:space="0" w:color="0070C0"/>
            </w:tcBorders>
            <w:shd w:val="clear" w:color="auto" w:fill="auto"/>
            <w:noWrap/>
            <w:hideMark/>
          </w:tcPr>
          <w:p w14:paraId="52733FF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7883ECE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156290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24193</w:t>
            </w:r>
          </w:p>
        </w:tc>
        <w:tc>
          <w:tcPr>
            <w:tcW w:w="1234" w:type="dxa"/>
            <w:tcBorders>
              <w:top w:val="nil"/>
              <w:left w:val="nil"/>
              <w:bottom w:val="single" w:sz="4" w:space="0" w:color="0070C0"/>
              <w:right w:val="single" w:sz="4" w:space="0" w:color="0070C0"/>
            </w:tcBorders>
            <w:shd w:val="clear" w:color="auto" w:fill="auto"/>
            <w:hideMark/>
          </w:tcPr>
          <w:p w14:paraId="5170CF6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BENEDIČIČ NIKOLAJ</w:t>
            </w:r>
          </w:p>
        </w:tc>
        <w:tc>
          <w:tcPr>
            <w:tcW w:w="494" w:type="dxa"/>
            <w:tcBorders>
              <w:top w:val="nil"/>
              <w:left w:val="nil"/>
              <w:bottom w:val="single" w:sz="4" w:space="0" w:color="0070C0"/>
              <w:right w:val="single" w:sz="4" w:space="0" w:color="0070C0"/>
            </w:tcBorders>
            <w:shd w:val="clear" w:color="auto" w:fill="auto"/>
            <w:noWrap/>
            <w:hideMark/>
          </w:tcPr>
          <w:p w14:paraId="6FD2794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EF6A71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24AF8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24194</w:t>
            </w:r>
          </w:p>
        </w:tc>
        <w:tc>
          <w:tcPr>
            <w:tcW w:w="1234" w:type="dxa"/>
            <w:tcBorders>
              <w:top w:val="nil"/>
              <w:left w:val="nil"/>
              <w:bottom w:val="single" w:sz="4" w:space="0" w:color="0070C0"/>
              <w:right w:val="single" w:sz="4" w:space="0" w:color="0070C0"/>
            </w:tcBorders>
            <w:shd w:val="clear" w:color="auto" w:fill="auto"/>
            <w:hideMark/>
          </w:tcPr>
          <w:p w14:paraId="326F159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JEREB MATJAŽ</w:t>
            </w:r>
          </w:p>
        </w:tc>
        <w:tc>
          <w:tcPr>
            <w:tcW w:w="494" w:type="dxa"/>
            <w:tcBorders>
              <w:top w:val="nil"/>
              <w:left w:val="nil"/>
              <w:bottom w:val="single" w:sz="4" w:space="0" w:color="0070C0"/>
              <w:right w:val="single" w:sz="4" w:space="0" w:color="0070C0"/>
            </w:tcBorders>
            <w:shd w:val="clear" w:color="auto" w:fill="auto"/>
            <w:noWrap/>
            <w:hideMark/>
          </w:tcPr>
          <w:p w14:paraId="6A9B9D8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6CA9C3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77625C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24191</w:t>
            </w:r>
          </w:p>
        </w:tc>
        <w:tc>
          <w:tcPr>
            <w:tcW w:w="1234" w:type="dxa"/>
            <w:tcBorders>
              <w:top w:val="nil"/>
              <w:left w:val="nil"/>
              <w:bottom w:val="single" w:sz="4" w:space="0" w:color="0070C0"/>
              <w:right w:val="single" w:sz="4" w:space="0" w:color="0070C0"/>
            </w:tcBorders>
            <w:shd w:val="clear" w:color="auto" w:fill="auto"/>
            <w:hideMark/>
          </w:tcPr>
          <w:p w14:paraId="5A9340B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HOSTNIK BOŠTJAN</w:t>
            </w:r>
          </w:p>
        </w:tc>
        <w:tc>
          <w:tcPr>
            <w:tcW w:w="494" w:type="dxa"/>
            <w:tcBorders>
              <w:top w:val="nil"/>
              <w:left w:val="nil"/>
              <w:bottom w:val="single" w:sz="4" w:space="0" w:color="0070C0"/>
              <w:right w:val="single" w:sz="4" w:space="0" w:color="0070C0"/>
            </w:tcBorders>
            <w:shd w:val="clear" w:color="auto" w:fill="auto"/>
            <w:noWrap/>
            <w:hideMark/>
          </w:tcPr>
          <w:p w14:paraId="5E25AF8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388,04</w:t>
            </w:r>
          </w:p>
        </w:tc>
      </w:tr>
      <w:tr w:rsidR="00FE461F" w:rsidRPr="005E4BEA" w14:paraId="1E273A2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5D8A8B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24916</w:t>
            </w:r>
          </w:p>
        </w:tc>
        <w:tc>
          <w:tcPr>
            <w:tcW w:w="1234" w:type="dxa"/>
            <w:tcBorders>
              <w:top w:val="nil"/>
              <w:left w:val="nil"/>
              <w:bottom w:val="single" w:sz="4" w:space="0" w:color="0070C0"/>
              <w:right w:val="single" w:sz="4" w:space="0" w:color="0070C0"/>
            </w:tcBorders>
            <w:shd w:val="clear" w:color="auto" w:fill="auto"/>
            <w:hideMark/>
          </w:tcPr>
          <w:p w14:paraId="63CDB5D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GRUJIČIČ DRAGAN</w:t>
            </w:r>
          </w:p>
        </w:tc>
        <w:tc>
          <w:tcPr>
            <w:tcW w:w="494" w:type="dxa"/>
            <w:tcBorders>
              <w:top w:val="nil"/>
              <w:left w:val="nil"/>
              <w:bottom w:val="single" w:sz="4" w:space="0" w:color="0070C0"/>
              <w:right w:val="single" w:sz="4" w:space="0" w:color="0070C0"/>
            </w:tcBorders>
            <w:shd w:val="clear" w:color="auto" w:fill="auto"/>
            <w:noWrap/>
            <w:hideMark/>
          </w:tcPr>
          <w:p w14:paraId="65C6FEB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521A3B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1EECB6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24558</w:t>
            </w:r>
          </w:p>
        </w:tc>
        <w:tc>
          <w:tcPr>
            <w:tcW w:w="1234" w:type="dxa"/>
            <w:tcBorders>
              <w:top w:val="nil"/>
              <w:left w:val="nil"/>
              <w:bottom w:val="single" w:sz="4" w:space="0" w:color="0070C0"/>
              <w:right w:val="single" w:sz="4" w:space="0" w:color="0070C0"/>
            </w:tcBorders>
            <w:shd w:val="clear" w:color="auto" w:fill="auto"/>
            <w:hideMark/>
          </w:tcPr>
          <w:p w14:paraId="20FEE59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ZAVODNIK-KRUPENKO TATJANA</w:t>
            </w:r>
          </w:p>
        </w:tc>
        <w:tc>
          <w:tcPr>
            <w:tcW w:w="494" w:type="dxa"/>
            <w:tcBorders>
              <w:top w:val="nil"/>
              <w:left w:val="nil"/>
              <w:bottom w:val="single" w:sz="4" w:space="0" w:color="0070C0"/>
              <w:right w:val="single" w:sz="4" w:space="0" w:color="0070C0"/>
            </w:tcBorders>
            <w:shd w:val="clear" w:color="auto" w:fill="auto"/>
            <w:noWrap/>
            <w:hideMark/>
          </w:tcPr>
          <w:p w14:paraId="6DBADF9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E5F0F2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6926BE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24207</w:t>
            </w:r>
          </w:p>
        </w:tc>
        <w:tc>
          <w:tcPr>
            <w:tcW w:w="1234" w:type="dxa"/>
            <w:tcBorders>
              <w:top w:val="nil"/>
              <w:left w:val="nil"/>
              <w:bottom w:val="single" w:sz="4" w:space="0" w:color="0070C0"/>
              <w:right w:val="single" w:sz="4" w:space="0" w:color="0070C0"/>
            </w:tcBorders>
            <w:shd w:val="clear" w:color="auto" w:fill="auto"/>
            <w:hideMark/>
          </w:tcPr>
          <w:p w14:paraId="1A43A27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ROJC PEČNIK VESNA</w:t>
            </w:r>
          </w:p>
        </w:tc>
        <w:tc>
          <w:tcPr>
            <w:tcW w:w="494" w:type="dxa"/>
            <w:tcBorders>
              <w:top w:val="nil"/>
              <w:left w:val="nil"/>
              <w:bottom w:val="single" w:sz="4" w:space="0" w:color="0070C0"/>
              <w:right w:val="single" w:sz="4" w:space="0" w:color="0070C0"/>
            </w:tcBorders>
            <w:shd w:val="clear" w:color="auto" w:fill="auto"/>
            <w:noWrap/>
            <w:hideMark/>
          </w:tcPr>
          <w:p w14:paraId="2FBC85A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2BB276D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FD56F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24189</w:t>
            </w:r>
          </w:p>
        </w:tc>
        <w:tc>
          <w:tcPr>
            <w:tcW w:w="1234" w:type="dxa"/>
            <w:tcBorders>
              <w:top w:val="nil"/>
              <w:left w:val="nil"/>
              <w:bottom w:val="single" w:sz="4" w:space="0" w:color="0070C0"/>
              <w:right w:val="single" w:sz="4" w:space="0" w:color="0070C0"/>
            </w:tcBorders>
            <w:shd w:val="clear" w:color="auto" w:fill="auto"/>
            <w:hideMark/>
          </w:tcPr>
          <w:p w14:paraId="4A118FB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FTIČAR TEREZIJA</w:t>
            </w:r>
          </w:p>
        </w:tc>
        <w:tc>
          <w:tcPr>
            <w:tcW w:w="494" w:type="dxa"/>
            <w:tcBorders>
              <w:top w:val="nil"/>
              <w:left w:val="nil"/>
              <w:bottom w:val="single" w:sz="4" w:space="0" w:color="0070C0"/>
              <w:right w:val="single" w:sz="4" w:space="0" w:color="0070C0"/>
            </w:tcBorders>
            <w:shd w:val="clear" w:color="auto" w:fill="auto"/>
            <w:noWrap/>
            <w:hideMark/>
          </w:tcPr>
          <w:p w14:paraId="1EC2A14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B6ED49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86D41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24187</w:t>
            </w:r>
          </w:p>
        </w:tc>
        <w:tc>
          <w:tcPr>
            <w:tcW w:w="1234" w:type="dxa"/>
            <w:tcBorders>
              <w:top w:val="nil"/>
              <w:left w:val="nil"/>
              <w:bottom w:val="single" w:sz="4" w:space="0" w:color="0070C0"/>
              <w:right w:val="single" w:sz="4" w:space="0" w:color="0070C0"/>
            </w:tcBorders>
            <w:shd w:val="clear" w:color="auto" w:fill="auto"/>
            <w:hideMark/>
          </w:tcPr>
          <w:p w14:paraId="6783BEC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BERNOT MARTINA</w:t>
            </w:r>
          </w:p>
        </w:tc>
        <w:tc>
          <w:tcPr>
            <w:tcW w:w="494" w:type="dxa"/>
            <w:tcBorders>
              <w:top w:val="nil"/>
              <w:left w:val="nil"/>
              <w:bottom w:val="single" w:sz="4" w:space="0" w:color="0070C0"/>
              <w:right w:val="single" w:sz="4" w:space="0" w:color="0070C0"/>
            </w:tcBorders>
            <w:shd w:val="clear" w:color="auto" w:fill="auto"/>
            <w:noWrap/>
            <w:hideMark/>
          </w:tcPr>
          <w:p w14:paraId="443B210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66D2A40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5DFB1C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50501</w:t>
            </w:r>
          </w:p>
        </w:tc>
        <w:tc>
          <w:tcPr>
            <w:tcW w:w="1234" w:type="dxa"/>
            <w:tcBorders>
              <w:top w:val="nil"/>
              <w:left w:val="nil"/>
              <w:bottom w:val="single" w:sz="4" w:space="0" w:color="0070C0"/>
              <w:right w:val="single" w:sz="4" w:space="0" w:color="0070C0"/>
            </w:tcBorders>
            <w:shd w:val="clear" w:color="auto" w:fill="auto"/>
            <w:hideMark/>
          </w:tcPr>
          <w:p w14:paraId="01B2F25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 MEDVODE</w:t>
            </w:r>
          </w:p>
        </w:tc>
        <w:tc>
          <w:tcPr>
            <w:tcW w:w="494" w:type="dxa"/>
            <w:tcBorders>
              <w:top w:val="nil"/>
              <w:left w:val="nil"/>
              <w:bottom w:val="single" w:sz="4" w:space="0" w:color="0070C0"/>
              <w:right w:val="single" w:sz="4" w:space="0" w:color="0070C0"/>
            </w:tcBorders>
            <w:shd w:val="clear" w:color="auto" w:fill="auto"/>
            <w:noWrap/>
            <w:hideMark/>
          </w:tcPr>
          <w:p w14:paraId="4908849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1.176,41</w:t>
            </w:r>
          </w:p>
        </w:tc>
      </w:tr>
      <w:tr w:rsidR="00FE461F" w:rsidRPr="005E4BEA" w14:paraId="6EBBCD2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9EB092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12818</w:t>
            </w:r>
          </w:p>
        </w:tc>
        <w:tc>
          <w:tcPr>
            <w:tcW w:w="1234" w:type="dxa"/>
            <w:tcBorders>
              <w:top w:val="nil"/>
              <w:left w:val="nil"/>
              <w:bottom w:val="single" w:sz="4" w:space="0" w:color="0070C0"/>
              <w:right w:val="single" w:sz="4" w:space="0" w:color="0070C0"/>
            </w:tcBorders>
            <w:shd w:val="clear" w:color="auto" w:fill="auto"/>
            <w:hideMark/>
          </w:tcPr>
          <w:p w14:paraId="08CB76B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AHLIN DRAGOTIN</w:t>
            </w:r>
          </w:p>
        </w:tc>
        <w:tc>
          <w:tcPr>
            <w:tcW w:w="494" w:type="dxa"/>
            <w:tcBorders>
              <w:top w:val="nil"/>
              <w:left w:val="nil"/>
              <w:bottom w:val="single" w:sz="4" w:space="0" w:color="0070C0"/>
              <w:right w:val="single" w:sz="4" w:space="0" w:color="0070C0"/>
            </w:tcBorders>
            <w:shd w:val="clear" w:color="auto" w:fill="auto"/>
            <w:noWrap/>
            <w:hideMark/>
          </w:tcPr>
          <w:p w14:paraId="0094FD0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74DB81C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5B9782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31121</w:t>
            </w:r>
          </w:p>
        </w:tc>
        <w:tc>
          <w:tcPr>
            <w:tcW w:w="1234" w:type="dxa"/>
            <w:tcBorders>
              <w:top w:val="nil"/>
              <w:left w:val="nil"/>
              <w:bottom w:val="single" w:sz="4" w:space="0" w:color="0070C0"/>
              <w:right w:val="single" w:sz="4" w:space="0" w:color="0070C0"/>
            </w:tcBorders>
            <w:shd w:val="clear" w:color="auto" w:fill="auto"/>
            <w:hideMark/>
          </w:tcPr>
          <w:p w14:paraId="27435DA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RIBIČ BOJAN</w:t>
            </w:r>
          </w:p>
        </w:tc>
        <w:tc>
          <w:tcPr>
            <w:tcW w:w="494" w:type="dxa"/>
            <w:tcBorders>
              <w:top w:val="nil"/>
              <w:left w:val="nil"/>
              <w:bottom w:val="single" w:sz="4" w:space="0" w:color="0070C0"/>
              <w:right w:val="single" w:sz="4" w:space="0" w:color="0070C0"/>
            </w:tcBorders>
            <w:shd w:val="clear" w:color="auto" w:fill="auto"/>
            <w:noWrap/>
            <w:hideMark/>
          </w:tcPr>
          <w:p w14:paraId="5E6C1E8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C5A5ED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40F52C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25206</w:t>
            </w:r>
          </w:p>
        </w:tc>
        <w:tc>
          <w:tcPr>
            <w:tcW w:w="1234" w:type="dxa"/>
            <w:tcBorders>
              <w:top w:val="nil"/>
              <w:left w:val="nil"/>
              <w:bottom w:val="single" w:sz="4" w:space="0" w:color="0070C0"/>
              <w:right w:val="single" w:sz="4" w:space="0" w:color="0070C0"/>
            </w:tcBorders>
            <w:shd w:val="clear" w:color="auto" w:fill="auto"/>
            <w:hideMark/>
          </w:tcPr>
          <w:p w14:paraId="7AE6F32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ZAVOD BOSSMAN PETER</w:t>
            </w:r>
          </w:p>
        </w:tc>
        <w:tc>
          <w:tcPr>
            <w:tcW w:w="494" w:type="dxa"/>
            <w:tcBorders>
              <w:top w:val="nil"/>
              <w:left w:val="nil"/>
              <w:bottom w:val="single" w:sz="4" w:space="0" w:color="0070C0"/>
              <w:right w:val="single" w:sz="4" w:space="0" w:color="0070C0"/>
            </w:tcBorders>
            <w:shd w:val="clear" w:color="auto" w:fill="auto"/>
            <w:noWrap/>
            <w:hideMark/>
          </w:tcPr>
          <w:p w14:paraId="090B2A1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7A4E95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1F5379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24601</w:t>
            </w:r>
          </w:p>
        </w:tc>
        <w:tc>
          <w:tcPr>
            <w:tcW w:w="1234" w:type="dxa"/>
            <w:tcBorders>
              <w:top w:val="nil"/>
              <w:left w:val="nil"/>
              <w:bottom w:val="single" w:sz="4" w:space="0" w:color="0070C0"/>
              <w:right w:val="single" w:sz="4" w:space="0" w:color="0070C0"/>
            </w:tcBorders>
            <w:shd w:val="clear" w:color="auto" w:fill="auto"/>
            <w:hideMark/>
          </w:tcPr>
          <w:p w14:paraId="3761B13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PLEŠNAR-CVIRN DAMJANA</w:t>
            </w:r>
          </w:p>
        </w:tc>
        <w:tc>
          <w:tcPr>
            <w:tcW w:w="494" w:type="dxa"/>
            <w:tcBorders>
              <w:top w:val="nil"/>
              <w:left w:val="nil"/>
              <w:bottom w:val="single" w:sz="4" w:space="0" w:color="0070C0"/>
              <w:right w:val="single" w:sz="4" w:space="0" w:color="0070C0"/>
            </w:tcBorders>
            <w:shd w:val="clear" w:color="auto" w:fill="auto"/>
            <w:noWrap/>
            <w:hideMark/>
          </w:tcPr>
          <w:p w14:paraId="39D9126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169,55</w:t>
            </w:r>
          </w:p>
        </w:tc>
      </w:tr>
      <w:tr w:rsidR="00FE461F" w:rsidRPr="005E4BEA" w14:paraId="65E557E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C979CB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19481</w:t>
            </w:r>
          </w:p>
        </w:tc>
        <w:tc>
          <w:tcPr>
            <w:tcW w:w="1234" w:type="dxa"/>
            <w:tcBorders>
              <w:top w:val="nil"/>
              <w:left w:val="nil"/>
              <w:bottom w:val="single" w:sz="4" w:space="0" w:color="0070C0"/>
              <w:right w:val="single" w:sz="4" w:space="0" w:color="0070C0"/>
            </w:tcBorders>
            <w:shd w:val="clear" w:color="auto" w:fill="auto"/>
            <w:hideMark/>
          </w:tcPr>
          <w:p w14:paraId="0F6425F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STOPAR ALOJZ</w:t>
            </w:r>
          </w:p>
        </w:tc>
        <w:tc>
          <w:tcPr>
            <w:tcW w:w="494" w:type="dxa"/>
            <w:tcBorders>
              <w:top w:val="nil"/>
              <w:left w:val="nil"/>
              <w:bottom w:val="single" w:sz="4" w:space="0" w:color="0070C0"/>
              <w:right w:val="single" w:sz="4" w:space="0" w:color="0070C0"/>
            </w:tcBorders>
            <w:shd w:val="clear" w:color="auto" w:fill="auto"/>
            <w:noWrap/>
            <w:hideMark/>
          </w:tcPr>
          <w:p w14:paraId="10108C5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0EB7CA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A6AE2E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lastRenderedPageBreak/>
              <w:t>12839</w:t>
            </w:r>
          </w:p>
        </w:tc>
        <w:tc>
          <w:tcPr>
            <w:tcW w:w="1234" w:type="dxa"/>
            <w:tcBorders>
              <w:top w:val="nil"/>
              <w:left w:val="nil"/>
              <w:bottom w:val="single" w:sz="4" w:space="0" w:color="0070C0"/>
              <w:right w:val="single" w:sz="4" w:space="0" w:color="0070C0"/>
            </w:tcBorders>
            <w:shd w:val="clear" w:color="auto" w:fill="auto"/>
            <w:hideMark/>
          </w:tcPr>
          <w:p w14:paraId="618FC6E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GROSEK-PŠENIČNIK MARJANCA</w:t>
            </w:r>
          </w:p>
        </w:tc>
        <w:tc>
          <w:tcPr>
            <w:tcW w:w="494" w:type="dxa"/>
            <w:tcBorders>
              <w:top w:val="nil"/>
              <w:left w:val="nil"/>
              <w:bottom w:val="single" w:sz="4" w:space="0" w:color="0070C0"/>
              <w:right w:val="single" w:sz="4" w:space="0" w:color="0070C0"/>
            </w:tcBorders>
            <w:shd w:val="clear" w:color="auto" w:fill="auto"/>
            <w:noWrap/>
            <w:hideMark/>
          </w:tcPr>
          <w:p w14:paraId="63CD957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B8811B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51AC42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24245</w:t>
            </w:r>
          </w:p>
        </w:tc>
        <w:tc>
          <w:tcPr>
            <w:tcW w:w="1234" w:type="dxa"/>
            <w:tcBorders>
              <w:top w:val="nil"/>
              <w:left w:val="nil"/>
              <w:bottom w:val="single" w:sz="4" w:space="0" w:color="0070C0"/>
              <w:right w:val="single" w:sz="4" w:space="0" w:color="0070C0"/>
            </w:tcBorders>
            <w:shd w:val="clear" w:color="auto" w:fill="auto"/>
            <w:hideMark/>
          </w:tcPr>
          <w:p w14:paraId="2EE3D4B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PERŠIČ OJSTERŠEK ALENKA</w:t>
            </w:r>
          </w:p>
        </w:tc>
        <w:tc>
          <w:tcPr>
            <w:tcW w:w="494" w:type="dxa"/>
            <w:tcBorders>
              <w:top w:val="nil"/>
              <w:left w:val="nil"/>
              <w:bottom w:val="single" w:sz="4" w:space="0" w:color="0070C0"/>
              <w:right w:val="single" w:sz="4" w:space="0" w:color="0070C0"/>
            </w:tcBorders>
            <w:shd w:val="clear" w:color="auto" w:fill="auto"/>
            <w:noWrap/>
            <w:hideMark/>
          </w:tcPr>
          <w:p w14:paraId="7563AA4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8E51AE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E1BEAF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24248</w:t>
            </w:r>
          </w:p>
        </w:tc>
        <w:tc>
          <w:tcPr>
            <w:tcW w:w="1234" w:type="dxa"/>
            <w:tcBorders>
              <w:top w:val="nil"/>
              <w:left w:val="nil"/>
              <w:bottom w:val="single" w:sz="4" w:space="0" w:color="0070C0"/>
              <w:right w:val="single" w:sz="4" w:space="0" w:color="0070C0"/>
            </w:tcBorders>
            <w:shd w:val="clear" w:color="auto" w:fill="auto"/>
            <w:hideMark/>
          </w:tcPr>
          <w:p w14:paraId="10114DD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ŽORŽ GOJMIR</w:t>
            </w:r>
          </w:p>
        </w:tc>
        <w:tc>
          <w:tcPr>
            <w:tcW w:w="494" w:type="dxa"/>
            <w:tcBorders>
              <w:top w:val="nil"/>
              <w:left w:val="nil"/>
              <w:bottom w:val="single" w:sz="4" w:space="0" w:color="0070C0"/>
              <w:right w:val="single" w:sz="4" w:space="0" w:color="0070C0"/>
            </w:tcBorders>
            <w:shd w:val="clear" w:color="auto" w:fill="auto"/>
            <w:noWrap/>
            <w:hideMark/>
          </w:tcPr>
          <w:p w14:paraId="02E3D16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70A8135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84622D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20373</w:t>
            </w:r>
          </w:p>
        </w:tc>
        <w:tc>
          <w:tcPr>
            <w:tcW w:w="1234" w:type="dxa"/>
            <w:tcBorders>
              <w:top w:val="nil"/>
              <w:left w:val="nil"/>
              <w:bottom w:val="single" w:sz="4" w:space="0" w:color="0070C0"/>
              <w:right w:val="single" w:sz="4" w:space="0" w:color="0070C0"/>
            </w:tcBorders>
            <w:shd w:val="clear" w:color="auto" w:fill="auto"/>
            <w:hideMark/>
          </w:tcPr>
          <w:p w14:paraId="05B3FD9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LOVREC ANDREJ</w:t>
            </w:r>
          </w:p>
        </w:tc>
        <w:tc>
          <w:tcPr>
            <w:tcW w:w="494" w:type="dxa"/>
            <w:tcBorders>
              <w:top w:val="nil"/>
              <w:left w:val="nil"/>
              <w:bottom w:val="single" w:sz="4" w:space="0" w:color="0070C0"/>
              <w:right w:val="single" w:sz="4" w:space="0" w:color="0070C0"/>
            </w:tcBorders>
            <w:shd w:val="clear" w:color="auto" w:fill="auto"/>
            <w:noWrap/>
            <w:hideMark/>
          </w:tcPr>
          <w:p w14:paraId="6514F92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45D3F1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AFA718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20371</w:t>
            </w:r>
          </w:p>
        </w:tc>
        <w:tc>
          <w:tcPr>
            <w:tcW w:w="1234" w:type="dxa"/>
            <w:tcBorders>
              <w:top w:val="nil"/>
              <w:left w:val="nil"/>
              <w:bottom w:val="single" w:sz="4" w:space="0" w:color="0070C0"/>
              <w:right w:val="single" w:sz="4" w:space="0" w:color="0070C0"/>
            </w:tcBorders>
            <w:shd w:val="clear" w:color="auto" w:fill="auto"/>
            <w:hideMark/>
          </w:tcPr>
          <w:p w14:paraId="74E1429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ŠORLI BRIGITA</w:t>
            </w:r>
          </w:p>
        </w:tc>
        <w:tc>
          <w:tcPr>
            <w:tcW w:w="494" w:type="dxa"/>
            <w:tcBorders>
              <w:top w:val="nil"/>
              <w:left w:val="nil"/>
              <w:bottom w:val="single" w:sz="4" w:space="0" w:color="0070C0"/>
              <w:right w:val="single" w:sz="4" w:space="0" w:color="0070C0"/>
            </w:tcBorders>
            <w:shd w:val="clear" w:color="auto" w:fill="auto"/>
            <w:noWrap/>
            <w:hideMark/>
          </w:tcPr>
          <w:p w14:paraId="00C4AE3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48E337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4A228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20381</w:t>
            </w:r>
          </w:p>
        </w:tc>
        <w:tc>
          <w:tcPr>
            <w:tcW w:w="1234" w:type="dxa"/>
            <w:tcBorders>
              <w:top w:val="nil"/>
              <w:left w:val="nil"/>
              <w:bottom w:val="single" w:sz="4" w:space="0" w:color="0070C0"/>
              <w:right w:val="single" w:sz="4" w:space="0" w:color="0070C0"/>
            </w:tcBorders>
            <w:shd w:val="clear" w:color="auto" w:fill="auto"/>
            <w:hideMark/>
          </w:tcPr>
          <w:p w14:paraId="2F1BA4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ŠABOVIČ GOMBOC SENADA</w:t>
            </w:r>
          </w:p>
        </w:tc>
        <w:tc>
          <w:tcPr>
            <w:tcW w:w="494" w:type="dxa"/>
            <w:tcBorders>
              <w:top w:val="nil"/>
              <w:left w:val="nil"/>
              <w:bottom w:val="single" w:sz="4" w:space="0" w:color="0070C0"/>
              <w:right w:val="single" w:sz="4" w:space="0" w:color="0070C0"/>
            </w:tcBorders>
            <w:shd w:val="clear" w:color="auto" w:fill="auto"/>
            <w:noWrap/>
            <w:hideMark/>
          </w:tcPr>
          <w:p w14:paraId="5276D9C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B61ABA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E5913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24243</w:t>
            </w:r>
          </w:p>
        </w:tc>
        <w:tc>
          <w:tcPr>
            <w:tcW w:w="1234" w:type="dxa"/>
            <w:tcBorders>
              <w:top w:val="nil"/>
              <w:left w:val="nil"/>
              <w:bottom w:val="single" w:sz="4" w:space="0" w:color="0070C0"/>
              <w:right w:val="single" w:sz="4" w:space="0" w:color="0070C0"/>
            </w:tcBorders>
            <w:shd w:val="clear" w:color="auto" w:fill="auto"/>
            <w:hideMark/>
          </w:tcPr>
          <w:p w14:paraId="4A437E5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DOBNIKAR MARTA</w:t>
            </w:r>
          </w:p>
        </w:tc>
        <w:tc>
          <w:tcPr>
            <w:tcW w:w="494" w:type="dxa"/>
            <w:tcBorders>
              <w:top w:val="nil"/>
              <w:left w:val="nil"/>
              <w:bottom w:val="single" w:sz="4" w:space="0" w:color="0070C0"/>
              <w:right w:val="single" w:sz="4" w:space="0" w:color="0070C0"/>
            </w:tcBorders>
            <w:shd w:val="clear" w:color="auto" w:fill="auto"/>
            <w:noWrap/>
            <w:hideMark/>
          </w:tcPr>
          <w:p w14:paraId="1A52F3D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3F07C54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D037EC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20386</w:t>
            </w:r>
          </w:p>
        </w:tc>
        <w:tc>
          <w:tcPr>
            <w:tcW w:w="1234" w:type="dxa"/>
            <w:tcBorders>
              <w:top w:val="nil"/>
              <w:left w:val="nil"/>
              <w:bottom w:val="single" w:sz="4" w:space="0" w:color="0070C0"/>
              <w:right w:val="single" w:sz="4" w:space="0" w:color="0070C0"/>
            </w:tcBorders>
            <w:shd w:val="clear" w:color="auto" w:fill="auto"/>
            <w:hideMark/>
          </w:tcPr>
          <w:p w14:paraId="3A24B45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BAKLAN BRIGITA</w:t>
            </w:r>
          </w:p>
        </w:tc>
        <w:tc>
          <w:tcPr>
            <w:tcW w:w="494" w:type="dxa"/>
            <w:tcBorders>
              <w:top w:val="nil"/>
              <w:left w:val="nil"/>
              <w:bottom w:val="single" w:sz="4" w:space="0" w:color="0070C0"/>
              <w:right w:val="single" w:sz="4" w:space="0" w:color="0070C0"/>
            </w:tcBorders>
            <w:shd w:val="clear" w:color="auto" w:fill="auto"/>
            <w:noWrap/>
            <w:hideMark/>
          </w:tcPr>
          <w:p w14:paraId="2D26A80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32A0A8A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828980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20378</w:t>
            </w:r>
          </w:p>
        </w:tc>
        <w:tc>
          <w:tcPr>
            <w:tcW w:w="1234" w:type="dxa"/>
            <w:tcBorders>
              <w:top w:val="nil"/>
              <w:left w:val="nil"/>
              <w:bottom w:val="single" w:sz="4" w:space="0" w:color="0070C0"/>
              <w:right w:val="single" w:sz="4" w:space="0" w:color="0070C0"/>
            </w:tcBorders>
            <w:shd w:val="clear" w:color="auto" w:fill="auto"/>
            <w:hideMark/>
          </w:tcPr>
          <w:p w14:paraId="385E015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PRIBOŽIČ DARJA</w:t>
            </w:r>
          </w:p>
        </w:tc>
        <w:tc>
          <w:tcPr>
            <w:tcW w:w="494" w:type="dxa"/>
            <w:tcBorders>
              <w:top w:val="nil"/>
              <w:left w:val="nil"/>
              <w:bottom w:val="single" w:sz="4" w:space="0" w:color="0070C0"/>
              <w:right w:val="single" w:sz="4" w:space="0" w:color="0070C0"/>
            </w:tcBorders>
            <w:shd w:val="clear" w:color="auto" w:fill="auto"/>
            <w:noWrap/>
            <w:hideMark/>
          </w:tcPr>
          <w:p w14:paraId="09663F8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030A33A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7259B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24888</w:t>
            </w:r>
          </w:p>
        </w:tc>
        <w:tc>
          <w:tcPr>
            <w:tcW w:w="1234" w:type="dxa"/>
            <w:tcBorders>
              <w:top w:val="nil"/>
              <w:left w:val="nil"/>
              <w:bottom w:val="single" w:sz="4" w:space="0" w:color="0070C0"/>
              <w:right w:val="single" w:sz="4" w:space="0" w:color="0070C0"/>
            </w:tcBorders>
            <w:shd w:val="clear" w:color="auto" w:fill="auto"/>
            <w:hideMark/>
          </w:tcPr>
          <w:p w14:paraId="35E7CB6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TOMINEC MATEJA</w:t>
            </w:r>
          </w:p>
        </w:tc>
        <w:tc>
          <w:tcPr>
            <w:tcW w:w="494" w:type="dxa"/>
            <w:tcBorders>
              <w:top w:val="nil"/>
              <w:left w:val="nil"/>
              <w:bottom w:val="single" w:sz="4" w:space="0" w:color="0070C0"/>
              <w:right w:val="single" w:sz="4" w:space="0" w:color="0070C0"/>
            </w:tcBorders>
            <w:shd w:val="clear" w:color="auto" w:fill="auto"/>
            <w:noWrap/>
            <w:hideMark/>
          </w:tcPr>
          <w:p w14:paraId="1872B15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280,20</w:t>
            </w:r>
          </w:p>
        </w:tc>
      </w:tr>
      <w:tr w:rsidR="00FE461F" w:rsidRPr="005E4BEA" w14:paraId="4CDA5EE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96CF18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24300</w:t>
            </w:r>
          </w:p>
        </w:tc>
        <w:tc>
          <w:tcPr>
            <w:tcW w:w="1234" w:type="dxa"/>
            <w:tcBorders>
              <w:top w:val="nil"/>
              <w:left w:val="nil"/>
              <w:bottom w:val="single" w:sz="4" w:space="0" w:color="0070C0"/>
              <w:right w:val="single" w:sz="4" w:space="0" w:color="0070C0"/>
            </w:tcBorders>
            <w:shd w:val="clear" w:color="auto" w:fill="auto"/>
            <w:hideMark/>
          </w:tcPr>
          <w:p w14:paraId="237A89A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UKMAR SONJA</w:t>
            </w:r>
          </w:p>
        </w:tc>
        <w:tc>
          <w:tcPr>
            <w:tcW w:w="494" w:type="dxa"/>
            <w:tcBorders>
              <w:top w:val="nil"/>
              <w:left w:val="nil"/>
              <w:bottom w:val="single" w:sz="4" w:space="0" w:color="0070C0"/>
              <w:right w:val="single" w:sz="4" w:space="0" w:color="0070C0"/>
            </w:tcBorders>
            <w:shd w:val="clear" w:color="auto" w:fill="auto"/>
            <w:noWrap/>
            <w:hideMark/>
          </w:tcPr>
          <w:p w14:paraId="2F00CD8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388,04</w:t>
            </w:r>
          </w:p>
        </w:tc>
      </w:tr>
      <w:tr w:rsidR="00FE461F" w:rsidRPr="005E4BEA" w14:paraId="0035219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078BFF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20405</w:t>
            </w:r>
          </w:p>
        </w:tc>
        <w:tc>
          <w:tcPr>
            <w:tcW w:w="1234" w:type="dxa"/>
            <w:tcBorders>
              <w:top w:val="nil"/>
              <w:left w:val="nil"/>
              <w:bottom w:val="single" w:sz="4" w:space="0" w:color="0070C0"/>
              <w:right w:val="single" w:sz="4" w:space="0" w:color="0070C0"/>
            </w:tcBorders>
            <w:shd w:val="clear" w:color="auto" w:fill="auto"/>
            <w:hideMark/>
          </w:tcPr>
          <w:p w14:paraId="6368D84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BEIGOT FRANC</w:t>
            </w:r>
          </w:p>
        </w:tc>
        <w:tc>
          <w:tcPr>
            <w:tcW w:w="494" w:type="dxa"/>
            <w:tcBorders>
              <w:top w:val="nil"/>
              <w:left w:val="nil"/>
              <w:bottom w:val="single" w:sz="4" w:space="0" w:color="0070C0"/>
              <w:right w:val="single" w:sz="4" w:space="0" w:color="0070C0"/>
            </w:tcBorders>
            <w:shd w:val="clear" w:color="auto" w:fill="auto"/>
            <w:noWrap/>
            <w:hideMark/>
          </w:tcPr>
          <w:p w14:paraId="483DA6C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32391A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155DE1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25213</w:t>
            </w:r>
          </w:p>
        </w:tc>
        <w:tc>
          <w:tcPr>
            <w:tcW w:w="1234" w:type="dxa"/>
            <w:tcBorders>
              <w:top w:val="nil"/>
              <w:left w:val="nil"/>
              <w:bottom w:val="single" w:sz="4" w:space="0" w:color="0070C0"/>
              <w:right w:val="single" w:sz="4" w:space="0" w:color="0070C0"/>
            </w:tcBorders>
            <w:shd w:val="clear" w:color="auto" w:fill="auto"/>
            <w:hideMark/>
          </w:tcPr>
          <w:p w14:paraId="2636027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DR.DANEU D.O.O.</w:t>
            </w:r>
          </w:p>
        </w:tc>
        <w:tc>
          <w:tcPr>
            <w:tcW w:w="494" w:type="dxa"/>
            <w:tcBorders>
              <w:top w:val="nil"/>
              <w:left w:val="nil"/>
              <w:bottom w:val="single" w:sz="4" w:space="0" w:color="0070C0"/>
              <w:right w:val="single" w:sz="4" w:space="0" w:color="0070C0"/>
            </w:tcBorders>
            <w:shd w:val="clear" w:color="auto" w:fill="auto"/>
            <w:noWrap/>
            <w:hideMark/>
          </w:tcPr>
          <w:p w14:paraId="01090C2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0C74D1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6968B1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27160</w:t>
            </w:r>
          </w:p>
        </w:tc>
        <w:tc>
          <w:tcPr>
            <w:tcW w:w="1234" w:type="dxa"/>
            <w:tcBorders>
              <w:top w:val="nil"/>
              <w:left w:val="nil"/>
              <w:bottom w:val="single" w:sz="4" w:space="0" w:color="0070C0"/>
              <w:right w:val="single" w:sz="4" w:space="0" w:color="0070C0"/>
            </w:tcBorders>
            <w:shd w:val="clear" w:color="auto" w:fill="auto"/>
            <w:hideMark/>
          </w:tcPr>
          <w:p w14:paraId="28626F6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ŠUBIC D.O.O.</w:t>
            </w:r>
          </w:p>
        </w:tc>
        <w:tc>
          <w:tcPr>
            <w:tcW w:w="494" w:type="dxa"/>
            <w:tcBorders>
              <w:top w:val="nil"/>
              <w:left w:val="nil"/>
              <w:bottom w:val="single" w:sz="4" w:space="0" w:color="0070C0"/>
              <w:right w:val="single" w:sz="4" w:space="0" w:color="0070C0"/>
            </w:tcBorders>
            <w:shd w:val="clear" w:color="auto" w:fill="auto"/>
            <w:noWrap/>
            <w:hideMark/>
          </w:tcPr>
          <w:p w14:paraId="6358CD4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696,16</w:t>
            </w:r>
          </w:p>
        </w:tc>
      </w:tr>
      <w:tr w:rsidR="00FE461F" w:rsidRPr="005E4BEA" w14:paraId="554002E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E47B3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29219</w:t>
            </w:r>
          </w:p>
        </w:tc>
        <w:tc>
          <w:tcPr>
            <w:tcW w:w="1234" w:type="dxa"/>
            <w:tcBorders>
              <w:top w:val="nil"/>
              <w:left w:val="nil"/>
              <w:bottom w:val="single" w:sz="4" w:space="0" w:color="0070C0"/>
              <w:right w:val="single" w:sz="4" w:space="0" w:color="0070C0"/>
            </w:tcBorders>
            <w:shd w:val="clear" w:color="auto" w:fill="auto"/>
            <w:hideMark/>
          </w:tcPr>
          <w:p w14:paraId="5056BD7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MEDICINSKI CENTER KRKA D.O.O.</w:t>
            </w:r>
          </w:p>
        </w:tc>
        <w:tc>
          <w:tcPr>
            <w:tcW w:w="494" w:type="dxa"/>
            <w:tcBorders>
              <w:top w:val="nil"/>
              <w:left w:val="nil"/>
              <w:bottom w:val="single" w:sz="4" w:space="0" w:color="0070C0"/>
              <w:right w:val="single" w:sz="4" w:space="0" w:color="0070C0"/>
            </w:tcBorders>
            <w:shd w:val="clear" w:color="auto" w:fill="auto"/>
            <w:noWrap/>
            <w:hideMark/>
          </w:tcPr>
          <w:p w14:paraId="2AB0A1E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335,19</w:t>
            </w:r>
          </w:p>
        </w:tc>
      </w:tr>
      <w:tr w:rsidR="00FE461F" w:rsidRPr="005E4BEA" w14:paraId="03042FD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3BCCFB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14617</w:t>
            </w:r>
          </w:p>
        </w:tc>
        <w:tc>
          <w:tcPr>
            <w:tcW w:w="1234" w:type="dxa"/>
            <w:tcBorders>
              <w:top w:val="nil"/>
              <w:left w:val="nil"/>
              <w:bottom w:val="single" w:sz="4" w:space="0" w:color="0070C0"/>
              <w:right w:val="single" w:sz="4" w:space="0" w:color="0070C0"/>
            </w:tcBorders>
            <w:shd w:val="clear" w:color="auto" w:fill="auto"/>
            <w:hideMark/>
          </w:tcPr>
          <w:p w14:paraId="4D79208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MEDICARD D.O.O.</w:t>
            </w:r>
          </w:p>
        </w:tc>
        <w:tc>
          <w:tcPr>
            <w:tcW w:w="494" w:type="dxa"/>
            <w:tcBorders>
              <w:top w:val="nil"/>
              <w:left w:val="nil"/>
              <w:bottom w:val="single" w:sz="4" w:space="0" w:color="0070C0"/>
              <w:right w:val="single" w:sz="4" w:space="0" w:color="0070C0"/>
            </w:tcBorders>
            <w:shd w:val="clear" w:color="auto" w:fill="auto"/>
            <w:noWrap/>
            <w:hideMark/>
          </w:tcPr>
          <w:p w14:paraId="3AE1C9B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741828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2AB69E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27171</w:t>
            </w:r>
          </w:p>
        </w:tc>
        <w:tc>
          <w:tcPr>
            <w:tcW w:w="1234" w:type="dxa"/>
            <w:tcBorders>
              <w:top w:val="nil"/>
              <w:left w:val="nil"/>
              <w:bottom w:val="single" w:sz="4" w:space="0" w:color="0070C0"/>
              <w:right w:val="single" w:sz="4" w:space="0" w:color="0070C0"/>
            </w:tcBorders>
            <w:shd w:val="clear" w:color="auto" w:fill="auto"/>
            <w:hideMark/>
          </w:tcPr>
          <w:p w14:paraId="150B6C6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KALIŠNIK SUŠNIK BOJANA</w:t>
            </w:r>
          </w:p>
        </w:tc>
        <w:tc>
          <w:tcPr>
            <w:tcW w:w="494" w:type="dxa"/>
            <w:tcBorders>
              <w:top w:val="nil"/>
              <w:left w:val="nil"/>
              <w:bottom w:val="single" w:sz="4" w:space="0" w:color="0070C0"/>
              <w:right w:val="single" w:sz="4" w:space="0" w:color="0070C0"/>
            </w:tcBorders>
            <w:shd w:val="clear" w:color="auto" w:fill="auto"/>
            <w:noWrap/>
            <w:hideMark/>
          </w:tcPr>
          <w:p w14:paraId="7249E0C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357,23</w:t>
            </w:r>
          </w:p>
        </w:tc>
      </w:tr>
      <w:tr w:rsidR="00FE461F" w:rsidRPr="005E4BEA" w14:paraId="798E6FB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738F9C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20425</w:t>
            </w:r>
          </w:p>
        </w:tc>
        <w:tc>
          <w:tcPr>
            <w:tcW w:w="1234" w:type="dxa"/>
            <w:tcBorders>
              <w:top w:val="nil"/>
              <w:left w:val="nil"/>
              <w:bottom w:val="single" w:sz="4" w:space="0" w:color="0070C0"/>
              <w:right w:val="single" w:sz="4" w:space="0" w:color="0070C0"/>
            </w:tcBorders>
            <w:shd w:val="clear" w:color="auto" w:fill="auto"/>
            <w:hideMark/>
          </w:tcPr>
          <w:p w14:paraId="6FD298A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NOVAK ZORAN</w:t>
            </w:r>
          </w:p>
        </w:tc>
        <w:tc>
          <w:tcPr>
            <w:tcW w:w="494" w:type="dxa"/>
            <w:tcBorders>
              <w:top w:val="nil"/>
              <w:left w:val="nil"/>
              <w:bottom w:val="single" w:sz="4" w:space="0" w:color="0070C0"/>
              <w:right w:val="single" w:sz="4" w:space="0" w:color="0070C0"/>
            </w:tcBorders>
            <w:shd w:val="clear" w:color="auto" w:fill="auto"/>
            <w:noWrap/>
            <w:hideMark/>
          </w:tcPr>
          <w:p w14:paraId="7D38728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125,60</w:t>
            </w:r>
          </w:p>
        </w:tc>
      </w:tr>
      <w:tr w:rsidR="00FE461F" w:rsidRPr="005E4BEA" w14:paraId="669F9CC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861CFF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25227</w:t>
            </w:r>
          </w:p>
        </w:tc>
        <w:tc>
          <w:tcPr>
            <w:tcW w:w="1234" w:type="dxa"/>
            <w:tcBorders>
              <w:top w:val="nil"/>
              <w:left w:val="nil"/>
              <w:bottom w:val="single" w:sz="4" w:space="0" w:color="0070C0"/>
              <w:right w:val="single" w:sz="4" w:space="0" w:color="0070C0"/>
            </w:tcBorders>
            <w:shd w:val="clear" w:color="auto" w:fill="auto"/>
            <w:hideMark/>
          </w:tcPr>
          <w:p w14:paraId="0B74585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TONELLO FLAVIANO</w:t>
            </w:r>
          </w:p>
        </w:tc>
        <w:tc>
          <w:tcPr>
            <w:tcW w:w="494" w:type="dxa"/>
            <w:tcBorders>
              <w:top w:val="nil"/>
              <w:left w:val="nil"/>
              <w:bottom w:val="single" w:sz="4" w:space="0" w:color="0070C0"/>
              <w:right w:val="single" w:sz="4" w:space="0" w:color="0070C0"/>
            </w:tcBorders>
            <w:shd w:val="clear" w:color="auto" w:fill="auto"/>
            <w:noWrap/>
            <w:hideMark/>
          </w:tcPr>
          <w:p w14:paraId="096E46D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23205A7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44DC0B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20428</w:t>
            </w:r>
          </w:p>
        </w:tc>
        <w:tc>
          <w:tcPr>
            <w:tcW w:w="1234" w:type="dxa"/>
            <w:tcBorders>
              <w:top w:val="nil"/>
              <w:left w:val="nil"/>
              <w:bottom w:val="single" w:sz="4" w:space="0" w:color="0070C0"/>
              <w:right w:val="single" w:sz="4" w:space="0" w:color="0070C0"/>
            </w:tcBorders>
            <w:shd w:val="clear" w:color="auto" w:fill="auto"/>
            <w:hideMark/>
          </w:tcPr>
          <w:p w14:paraId="05E6876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PEDIATRIJA BORŠTNIKOVA D.O.O.</w:t>
            </w:r>
          </w:p>
        </w:tc>
        <w:tc>
          <w:tcPr>
            <w:tcW w:w="494" w:type="dxa"/>
            <w:tcBorders>
              <w:top w:val="nil"/>
              <w:left w:val="nil"/>
              <w:bottom w:val="single" w:sz="4" w:space="0" w:color="0070C0"/>
              <w:right w:val="single" w:sz="4" w:space="0" w:color="0070C0"/>
            </w:tcBorders>
            <w:shd w:val="clear" w:color="auto" w:fill="auto"/>
            <w:noWrap/>
            <w:hideMark/>
          </w:tcPr>
          <w:p w14:paraId="77E4E48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51C10C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B3BB3C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14623</w:t>
            </w:r>
          </w:p>
        </w:tc>
        <w:tc>
          <w:tcPr>
            <w:tcW w:w="1234" w:type="dxa"/>
            <w:tcBorders>
              <w:top w:val="nil"/>
              <w:left w:val="nil"/>
              <w:bottom w:val="single" w:sz="4" w:space="0" w:color="0070C0"/>
              <w:right w:val="single" w:sz="4" w:space="0" w:color="0070C0"/>
            </w:tcBorders>
            <w:shd w:val="clear" w:color="auto" w:fill="auto"/>
            <w:hideMark/>
          </w:tcPr>
          <w:p w14:paraId="2C6D32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MC KAC D.O.O.</w:t>
            </w:r>
          </w:p>
        </w:tc>
        <w:tc>
          <w:tcPr>
            <w:tcW w:w="494" w:type="dxa"/>
            <w:tcBorders>
              <w:top w:val="nil"/>
              <w:left w:val="nil"/>
              <w:bottom w:val="single" w:sz="4" w:space="0" w:color="0070C0"/>
              <w:right w:val="single" w:sz="4" w:space="0" w:color="0070C0"/>
            </w:tcBorders>
            <w:shd w:val="clear" w:color="auto" w:fill="auto"/>
            <w:noWrap/>
            <w:hideMark/>
          </w:tcPr>
          <w:p w14:paraId="7434B54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75D6CF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0BD93C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25234</w:t>
            </w:r>
          </w:p>
        </w:tc>
        <w:tc>
          <w:tcPr>
            <w:tcW w:w="1234" w:type="dxa"/>
            <w:tcBorders>
              <w:top w:val="nil"/>
              <w:left w:val="nil"/>
              <w:bottom w:val="single" w:sz="4" w:space="0" w:color="0070C0"/>
              <w:right w:val="single" w:sz="4" w:space="0" w:color="0070C0"/>
            </w:tcBorders>
            <w:shd w:val="clear" w:color="auto" w:fill="auto"/>
            <w:hideMark/>
          </w:tcPr>
          <w:p w14:paraId="43DA936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ZZZ PEŠIĆ - IZOLA</w:t>
            </w:r>
          </w:p>
        </w:tc>
        <w:tc>
          <w:tcPr>
            <w:tcW w:w="494" w:type="dxa"/>
            <w:tcBorders>
              <w:top w:val="nil"/>
              <w:left w:val="nil"/>
              <w:bottom w:val="single" w:sz="4" w:space="0" w:color="0070C0"/>
              <w:right w:val="single" w:sz="4" w:space="0" w:color="0070C0"/>
            </w:tcBorders>
            <w:shd w:val="clear" w:color="auto" w:fill="auto"/>
            <w:noWrap/>
            <w:hideMark/>
          </w:tcPr>
          <w:p w14:paraId="3354CD8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551,35</w:t>
            </w:r>
          </w:p>
        </w:tc>
      </w:tr>
      <w:tr w:rsidR="00FE461F" w:rsidRPr="005E4BEA" w14:paraId="1739BF3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62B01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25235</w:t>
            </w:r>
          </w:p>
        </w:tc>
        <w:tc>
          <w:tcPr>
            <w:tcW w:w="1234" w:type="dxa"/>
            <w:tcBorders>
              <w:top w:val="nil"/>
              <w:left w:val="nil"/>
              <w:bottom w:val="single" w:sz="4" w:space="0" w:color="0070C0"/>
              <w:right w:val="single" w:sz="4" w:space="0" w:color="0070C0"/>
            </w:tcBorders>
            <w:shd w:val="clear" w:color="auto" w:fill="auto"/>
            <w:hideMark/>
          </w:tcPr>
          <w:p w14:paraId="2AE7375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ZDRAVJE D.O.O.</w:t>
            </w:r>
          </w:p>
        </w:tc>
        <w:tc>
          <w:tcPr>
            <w:tcW w:w="494" w:type="dxa"/>
            <w:tcBorders>
              <w:top w:val="nil"/>
              <w:left w:val="nil"/>
              <w:bottom w:val="single" w:sz="4" w:space="0" w:color="0070C0"/>
              <w:right w:val="single" w:sz="4" w:space="0" w:color="0070C0"/>
            </w:tcBorders>
            <w:shd w:val="clear" w:color="auto" w:fill="auto"/>
            <w:noWrap/>
            <w:hideMark/>
          </w:tcPr>
          <w:p w14:paraId="0342080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84C9AB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D698B4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24363</w:t>
            </w:r>
          </w:p>
        </w:tc>
        <w:tc>
          <w:tcPr>
            <w:tcW w:w="1234" w:type="dxa"/>
            <w:tcBorders>
              <w:top w:val="nil"/>
              <w:left w:val="nil"/>
              <w:bottom w:val="single" w:sz="4" w:space="0" w:color="0070C0"/>
              <w:right w:val="single" w:sz="4" w:space="0" w:color="0070C0"/>
            </w:tcBorders>
            <w:shd w:val="clear" w:color="auto" w:fill="auto"/>
            <w:hideMark/>
          </w:tcPr>
          <w:p w14:paraId="7512168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KOSTEVC VOJKA</w:t>
            </w:r>
          </w:p>
        </w:tc>
        <w:tc>
          <w:tcPr>
            <w:tcW w:w="494" w:type="dxa"/>
            <w:tcBorders>
              <w:top w:val="nil"/>
              <w:left w:val="nil"/>
              <w:bottom w:val="single" w:sz="4" w:space="0" w:color="0070C0"/>
              <w:right w:val="single" w:sz="4" w:space="0" w:color="0070C0"/>
            </w:tcBorders>
            <w:shd w:val="clear" w:color="auto" w:fill="auto"/>
            <w:noWrap/>
            <w:hideMark/>
          </w:tcPr>
          <w:p w14:paraId="51F67E0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365ECE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DD9559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31186</w:t>
            </w:r>
          </w:p>
        </w:tc>
        <w:tc>
          <w:tcPr>
            <w:tcW w:w="1234" w:type="dxa"/>
            <w:tcBorders>
              <w:top w:val="nil"/>
              <w:left w:val="nil"/>
              <w:bottom w:val="single" w:sz="4" w:space="0" w:color="0070C0"/>
              <w:right w:val="single" w:sz="4" w:space="0" w:color="0070C0"/>
            </w:tcBorders>
            <w:shd w:val="clear" w:color="auto" w:fill="auto"/>
            <w:hideMark/>
          </w:tcPr>
          <w:p w14:paraId="05B4A74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DIAGNOSTIČNI CENTER ŠENTJUR</w:t>
            </w:r>
          </w:p>
        </w:tc>
        <w:tc>
          <w:tcPr>
            <w:tcW w:w="494" w:type="dxa"/>
            <w:tcBorders>
              <w:top w:val="nil"/>
              <w:left w:val="nil"/>
              <w:bottom w:val="single" w:sz="4" w:space="0" w:color="0070C0"/>
              <w:right w:val="single" w:sz="4" w:space="0" w:color="0070C0"/>
            </w:tcBorders>
            <w:shd w:val="clear" w:color="auto" w:fill="auto"/>
            <w:noWrap/>
            <w:hideMark/>
          </w:tcPr>
          <w:p w14:paraId="7E81C4C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8A078E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83EADE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20479</w:t>
            </w:r>
          </w:p>
        </w:tc>
        <w:tc>
          <w:tcPr>
            <w:tcW w:w="1234" w:type="dxa"/>
            <w:tcBorders>
              <w:top w:val="nil"/>
              <w:left w:val="nil"/>
              <w:bottom w:val="single" w:sz="4" w:space="0" w:color="0070C0"/>
              <w:right w:val="single" w:sz="4" w:space="0" w:color="0070C0"/>
            </w:tcBorders>
            <w:shd w:val="clear" w:color="auto" w:fill="auto"/>
            <w:hideMark/>
          </w:tcPr>
          <w:p w14:paraId="67A1D85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SCHAUBACH TOMAŽ</w:t>
            </w:r>
          </w:p>
        </w:tc>
        <w:tc>
          <w:tcPr>
            <w:tcW w:w="494" w:type="dxa"/>
            <w:tcBorders>
              <w:top w:val="nil"/>
              <w:left w:val="nil"/>
              <w:bottom w:val="single" w:sz="4" w:space="0" w:color="0070C0"/>
              <w:right w:val="single" w:sz="4" w:space="0" w:color="0070C0"/>
            </w:tcBorders>
            <w:shd w:val="clear" w:color="auto" w:fill="auto"/>
            <w:noWrap/>
            <w:hideMark/>
          </w:tcPr>
          <w:p w14:paraId="46F5A3F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306,39</w:t>
            </w:r>
          </w:p>
        </w:tc>
      </w:tr>
      <w:tr w:rsidR="00FE461F" w:rsidRPr="005E4BEA" w14:paraId="19D252F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F4AE9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20474</w:t>
            </w:r>
          </w:p>
        </w:tc>
        <w:tc>
          <w:tcPr>
            <w:tcW w:w="1234" w:type="dxa"/>
            <w:tcBorders>
              <w:top w:val="nil"/>
              <w:left w:val="nil"/>
              <w:bottom w:val="single" w:sz="4" w:space="0" w:color="0070C0"/>
              <w:right w:val="single" w:sz="4" w:space="0" w:color="0070C0"/>
            </w:tcBorders>
            <w:shd w:val="clear" w:color="auto" w:fill="auto"/>
            <w:hideMark/>
          </w:tcPr>
          <w:p w14:paraId="17EE591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METKA FIŠER ZOBOVIČ</w:t>
            </w:r>
          </w:p>
        </w:tc>
        <w:tc>
          <w:tcPr>
            <w:tcW w:w="494" w:type="dxa"/>
            <w:tcBorders>
              <w:top w:val="nil"/>
              <w:left w:val="nil"/>
              <w:bottom w:val="single" w:sz="4" w:space="0" w:color="0070C0"/>
              <w:right w:val="single" w:sz="4" w:space="0" w:color="0070C0"/>
            </w:tcBorders>
            <w:shd w:val="clear" w:color="auto" w:fill="auto"/>
            <w:noWrap/>
            <w:hideMark/>
          </w:tcPr>
          <w:p w14:paraId="2DDD31F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7EBAD78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4C62BE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20470</w:t>
            </w:r>
          </w:p>
        </w:tc>
        <w:tc>
          <w:tcPr>
            <w:tcW w:w="1234" w:type="dxa"/>
            <w:tcBorders>
              <w:top w:val="nil"/>
              <w:left w:val="nil"/>
              <w:bottom w:val="single" w:sz="4" w:space="0" w:color="0070C0"/>
              <w:right w:val="single" w:sz="4" w:space="0" w:color="0070C0"/>
            </w:tcBorders>
            <w:shd w:val="clear" w:color="auto" w:fill="auto"/>
            <w:hideMark/>
          </w:tcPr>
          <w:p w14:paraId="318EB95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ALEKSEJEV ALENKA</w:t>
            </w:r>
          </w:p>
        </w:tc>
        <w:tc>
          <w:tcPr>
            <w:tcW w:w="494" w:type="dxa"/>
            <w:tcBorders>
              <w:top w:val="nil"/>
              <w:left w:val="nil"/>
              <w:bottom w:val="single" w:sz="4" w:space="0" w:color="0070C0"/>
              <w:right w:val="single" w:sz="4" w:space="0" w:color="0070C0"/>
            </w:tcBorders>
            <w:shd w:val="clear" w:color="auto" w:fill="auto"/>
            <w:noWrap/>
            <w:hideMark/>
          </w:tcPr>
          <w:p w14:paraId="4B6863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4464A7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EB908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20473</w:t>
            </w:r>
          </w:p>
        </w:tc>
        <w:tc>
          <w:tcPr>
            <w:tcW w:w="1234" w:type="dxa"/>
            <w:tcBorders>
              <w:top w:val="nil"/>
              <w:left w:val="nil"/>
              <w:bottom w:val="single" w:sz="4" w:space="0" w:color="0070C0"/>
              <w:right w:val="single" w:sz="4" w:space="0" w:color="0070C0"/>
            </w:tcBorders>
            <w:shd w:val="clear" w:color="auto" w:fill="auto"/>
            <w:hideMark/>
          </w:tcPr>
          <w:p w14:paraId="4814DC0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IRENA STROJNIK</w:t>
            </w:r>
          </w:p>
        </w:tc>
        <w:tc>
          <w:tcPr>
            <w:tcW w:w="494" w:type="dxa"/>
            <w:tcBorders>
              <w:top w:val="nil"/>
              <w:left w:val="nil"/>
              <w:bottom w:val="single" w:sz="4" w:space="0" w:color="0070C0"/>
              <w:right w:val="single" w:sz="4" w:space="0" w:color="0070C0"/>
            </w:tcBorders>
            <w:shd w:val="clear" w:color="auto" w:fill="auto"/>
            <w:noWrap/>
            <w:hideMark/>
          </w:tcPr>
          <w:p w14:paraId="6349762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3C13F7E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7A3E66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31199</w:t>
            </w:r>
          </w:p>
        </w:tc>
        <w:tc>
          <w:tcPr>
            <w:tcW w:w="1234" w:type="dxa"/>
            <w:tcBorders>
              <w:top w:val="nil"/>
              <w:left w:val="nil"/>
              <w:bottom w:val="single" w:sz="4" w:space="0" w:color="0070C0"/>
              <w:right w:val="single" w:sz="4" w:space="0" w:color="0070C0"/>
            </w:tcBorders>
            <w:shd w:val="clear" w:color="auto" w:fill="auto"/>
            <w:hideMark/>
          </w:tcPr>
          <w:p w14:paraId="15CB3DE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JERNEJŠEK SLAVKO</w:t>
            </w:r>
          </w:p>
        </w:tc>
        <w:tc>
          <w:tcPr>
            <w:tcW w:w="494" w:type="dxa"/>
            <w:tcBorders>
              <w:top w:val="nil"/>
              <w:left w:val="nil"/>
              <w:bottom w:val="single" w:sz="4" w:space="0" w:color="0070C0"/>
              <w:right w:val="single" w:sz="4" w:space="0" w:color="0070C0"/>
            </w:tcBorders>
            <w:shd w:val="clear" w:color="auto" w:fill="auto"/>
            <w:noWrap/>
            <w:hideMark/>
          </w:tcPr>
          <w:p w14:paraId="3112DF7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5DE014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51A35A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33071</w:t>
            </w:r>
          </w:p>
        </w:tc>
        <w:tc>
          <w:tcPr>
            <w:tcW w:w="1234" w:type="dxa"/>
            <w:tcBorders>
              <w:top w:val="nil"/>
              <w:left w:val="nil"/>
              <w:bottom w:val="single" w:sz="4" w:space="0" w:color="0070C0"/>
              <w:right w:val="single" w:sz="4" w:space="0" w:color="0070C0"/>
            </w:tcBorders>
            <w:shd w:val="clear" w:color="auto" w:fill="auto"/>
            <w:hideMark/>
          </w:tcPr>
          <w:p w14:paraId="398A291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FAGANEL BAVCON ERIKA</w:t>
            </w:r>
          </w:p>
        </w:tc>
        <w:tc>
          <w:tcPr>
            <w:tcW w:w="494" w:type="dxa"/>
            <w:tcBorders>
              <w:top w:val="nil"/>
              <w:left w:val="nil"/>
              <w:bottom w:val="single" w:sz="4" w:space="0" w:color="0070C0"/>
              <w:right w:val="single" w:sz="4" w:space="0" w:color="0070C0"/>
            </w:tcBorders>
            <w:shd w:val="clear" w:color="auto" w:fill="auto"/>
            <w:noWrap/>
            <w:hideMark/>
          </w:tcPr>
          <w:p w14:paraId="0457C2E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D238D5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0E49C7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20464</w:t>
            </w:r>
          </w:p>
        </w:tc>
        <w:tc>
          <w:tcPr>
            <w:tcW w:w="1234" w:type="dxa"/>
            <w:tcBorders>
              <w:top w:val="nil"/>
              <w:left w:val="nil"/>
              <w:bottom w:val="single" w:sz="4" w:space="0" w:color="0070C0"/>
              <w:right w:val="single" w:sz="4" w:space="0" w:color="0070C0"/>
            </w:tcBorders>
            <w:shd w:val="clear" w:color="auto" w:fill="auto"/>
            <w:hideMark/>
          </w:tcPr>
          <w:p w14:paraId="7D539BF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MIRAN ARBEITER</w:t>
            </w:r>
          </w:p>
        </w:tc>
        <w:tc>
          <w:tcPr>
            <w:tcW w:w="494" w:type="dxa"/>
            <w:tcBorders>
              <w:top w:val="nil"/>
              <w:left w:val="nil"/>
              <w:bottom w:val="single" w:sz="4" w:space="0" w:color="0070C0"/>
              <w:right w:val="single" w:sz="4" w:space="0" w:color="0070C0"/>
            </w:tcBorders>
            <w:shd w:val="clear" w:color="auto" w:fill="auto"/>
            <w:noWrap/>
            <w:hideMark/>
          </w:tcPr>
          <w:p w14:paraId="0B92E33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278472A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7F1628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14632</w:t>
            </w:r>
          </w:p>
        </w:tc>
        <w:tc>
          <w:tcPr>
            <w:tcW w:w="1234" w:type="dxa"/>
            <w:tcBorders>
              <w:top w:val="nil"/>
              <w:left w:val="nil"/>
              <w:bottom w:val="single" w:sz="4" w:space="0" w:color="0070C0"/>
              <w:right w:val="single" w:sz="4" w:space="0" w:color="0070C0"/>
            </w:tcBorders>
            <w:shd w:val="clear" w:color="auto" w:fill="auto"/>
            <w:hideMark/>
          </w:tcPr>
          <w:p w14:paraId="025E73F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LJILJANA TODOROVIĆ POPOVIĆ</w:t>
            </w:r>
          </w:p>
        </w:tc>
        <w:tc>
          <w:tcPr>
            <w:tcW w:w="494" w:type="dxa"/>
            <w:tcBorders>
              <w:top w:val="nil"/>
              <w:left w:val="nil"/>
              <w:bottom w:val="single" w:sz="4" w:space="0" w:color="0070C0"/>
              <w:right w:val="single" w:sz="4" w:space="0" w:color="0070C0"/>
            </w:tcBorders>
            <w:shd w:val="clear" w:color="auto" w:fill="auto"/>
            <w:noWrap/>
            <w:hideMark/>
          </w:tcPr>
          <w:p w14:paraId="7C92D1B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FDF93E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F2EAC4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29192</w:t>
            </w:r>
          </w:p>
        </w:tc>
        <w:tc>
          <w:tcPr>
            <w:tcW w:w="1234" w:type="dxa"/>
            <w:tcBorders>
              <w:top w:val="nil"/>
              <w:left w:val="nil"/>
              <w:bottom w:val="single" w:sz="4" w:space="0" w:color="0070C0"/>
              <w:right w:val="single" w:sz="4" w:space="0" w:color="0070C0"/>
            </w:tcBorders>
            <w:shd w:val="clear" w:color="auto" w:fill="auto"/>
            <w:hideMark/>
          </w:tcPr>
          <w:p w14:paraId="5C9340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DOMAGOJ PUŽEVSKI</w:t>
            </w:r>
          </w:p>
        </w:tc>
        <w:tc>
          <w:tcPr>
            <w:tcW w:w="494" w:type="dxa"/>
            <w:tcBorders>
              <w:top w:val="nil"/>
              <w:left w:val="nil"/>
              <w:bottom w:val="single" w:sz="4" w:space="0" w:color="0070C0"/>
              <w:right w:val="single" w:sz="4" w:space="0" w:color="0070C0"/>
            </w:tcBorders>
            <w:shd w:val="clear" w:color="auto" w:fill="auto"/>
            <w:noWrap/>
            <w:hideMark/>
          </w:tcPr>
          <w:p w14:paraId="180C6DD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243,63</w:t>
            </w:r>
          </w:p>
        </w:tc>
      </w:tr>
      <w:tr w:rsidR="00FE461F" w:rsidRPr="005E4BEA" w14:paraId="527CCA7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F39A58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31197</w:t>
            </w:r>
          </w:p>
        </w:tc>
        <w:tc>
          <w:tcPr>
            <w:tcW w:w="1234" w:type="dxa"/>
            <w:tcBorders>
              <w:top w:val="nil"/>
              <w:left w:val="nil"/>
              <w:bottom w:val="single" w:sz="4" w:space="0" w:color="0070C0"/>
              <w:right w:val="single" w:sz="4" w:space="0" w:color="0070C0"/>
            </w:tcBorders>
            <w:shd w:val="clear" w:color="auto" w:fill="auto"/>
            <w:hideMark/>
          </w:tcPr>
          <w:p w14:paraId="518F6CF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RUPEL VERA</w:t>
            </w:r>
          </w:p>
        </w:tc>
        <w:tc>
          <w:tcPr>
            <w:tcW w:w="494" w:type="dxa"/>
            <w:tcBorders>
              <w:top w:val="nil"/>
              <w:left w:val="nil"/>
              <w:bottom w:val="single" w:sz="4" w:space="0" w:color="0070C0"/>
              <w:right w:val="single" w:sz="4" w:space="0" w:color="0070C0"/>
            </w:tcBorders>
            <w:shd w:val="clear" w:color="auto" w:fill="auto"/>
            <w:noWrap/>
            <w:hideMark/>
          </w:tcPr>
          <w:p w14:paraId="0653A8B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05A5401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8707B2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31193</w:t>
            </w:r>
          </w:p>
        </w:tc>
        <w:tc>
          <w:tcPr>
            <w:tcW w:w="1234" w:type="dxa"/>
            <w:tcBorders>
              <w:top w:val="nil"/>
              <w:left w:val="nil"/>
              <w:bottom w:val="single" w:sz="4" w:space="0" w:color="0070C0"/>
              <w:right w:val="single" w:sz="4" w:space="0" w:color="0070C0"/>
            </w:tcBorders>
            <w:shd w:val="clear" w:color="auto" w:fill="auto"/>
            <w:hideMark/>
          </w:tcPr>
          <w:p w14:paraId="2E31FA1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STROUHAL PETER</w:t>
            </w:r>
          </w:p>
        </w:tc>
        <w:tc>
          <w:tcPr>
            <w:tcW w:w="494" w:type="dxa"/>
            <w:tcBorders>
              <w:top w:val="nil"/>
              <w:left w:val="nil"/>
              <w:bottom w:val="single" w:sz="4" w:space="0" w:color="0070C0"/>
              <w:right w:val="single" w:sz="4" w:space="0" w:color="0070C0"/>
            </w:tcBorders>
            <w:shd w:val="clear" w:color="auto" w:fill="auto"/>
            <w:noWrap/>
            <w:hideMark/>
          </w:tcPr>
          <w:p w14:paraId="4E53F32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254,36</w:t>
            </w:r>
          </w:p>
        </w:tc>
      </w:tr>
      <w:tr w:rsidR="00FE461F" w:rsidRPr="005E4BEA" w14:paraId="0A1A9D1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F97BEE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31195</w:t>
            </w:r>
          </w:p>
        </w:tc>
        <w:tc>
          <w:tcPr>
            <w:tcW w:w="1234" w:type="dxa"/>
            <w:tcBorders>
              <w:top w:val="nil"/>
              <w:left w:val="nil"/>
              <w:bottom w:val="single" w:sz="4" w:space="0" w:color="0070C0"/>
              <w:right w:val="single" w:sz="4" w:space="0" w:color="0070C0"/>
            </w:tcBorders>
            <w:shd w:val="clear" w:color="auto" w:fill="auto"/>
            <w:hideMark/>
          </w:tcPr>
          <w:p w14:paraId="6B830E3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KRAVOS ANDREJ</w:t>
            </w:r>
          </w:p>
        </w:tc>
        <w:tc>
          <w:tcPr>
            <w:tcW w:w="494" w:type="dxa"/>
            <w:tcBorders>
              <w:top w:val="nil"/>
              <w:left w:val="nil"/>
              <w:bottom w:val="single" w:sz="4" w:space="0" w:color="0070C0"/>
              <w:right w:val="single" w:sz="4" w:space="0" w:color="0070C0"/>
            </w:tcBorders>
            <w:shd w:val="clear" w:color="auto" w:fill="auto"/>
            <w:noWrap/>
            <w:hideMark/>
          </w:tcPr>
          <w:p w14:paraId="1DC42DB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6.923,91</w:t>
            </w:r>
          </w:p>
        </w:tc>
      </w:tr>
      <w:tr w:rsidR="00FE461F" w:rsidRPr="005E4BEA" w14:paraId="129121B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A08A25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31198</w:t>
            </w:r>
          </w:p>
        </w:tc>
        <w:tc>
          <w:tcPr>
            <w:tcW w:w="1234" w:type="dxa"/>
            <w:tcBorders>
              <w:top w:val="nil"/>
              <w:left w:val="nil"/>
              <w:bottom w:val="single" w:sz="4" w:space="0" w:color="0070C0"/>
              <w:right w:val="single" w:sz="4" w:space="0" w:color="0070C0"/>
            </w:tcBorders>
            <w:shd w:val="clear" w:color="auto" w:fill="auto"/>
            <w:hideMark/>
          </w:tcPr>
          <w:p w14:paraId="7848C58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ARTIČEK MESAREC BRIGITA</w:t>
            </w:r>
          </w:p>
        </w:tc>
        <w:tc>
          <w:tcPr>
            <w:tcW w:w="494" w:type="dxa"/>
            <w:tcBorders>
              <w:top w:val="nil"/>
              <w:left w:val="nil"/>
              <w:bottom w:val="single" w:sz="4" w:space="0" w:color="0070C0"/>
              <w:right w:val="single" w:sz="4" w:space="0" w:color="0070C0"/>
            </w:tcBorders>
            <w:shd w:val="clear" w:color="auto" w:fill="auto"/>
            <w:noWrap/>
            <w:hideMark/>
          </w:tcPr>
          <w:p w14:paraId="1ACF021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254,36</w:t>
            </w:r>
          </w:p>
        </w:tc>
      </w:tr>
      <w:tr w:rsidR="00FE461F" w:rsidRPr="005E4BEA" w14:paraId="4316E7C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4C794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31201</w:t>
            </w:r>
          </w:p>
        </w:tc>
        <w:tc>
          <w:tcPr>
            <w:tcW w:w="1234" w:type="dxa"/>
            <w:tcBorders>
              <w:top w:val="nil"/>
              <w:left w:val="nil"/>
              <w:bottom w:val="single" w:sz="4" w:space="0" w:color="0070C0"/>
              <w:right w:val="single" w:sz="4" w:space="0" w:color="0070C0"/>
            </w:tcBorders>
            <w:shd w:val="clear" w:color="auto" w:fill="auto"/>
            <w:hideMark/>
          </w:tcPr>
          <w:p w14:paraId="5797866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HROVAT MARTINA</w:t>
            </w:r>
          </w:p>
        </w:tc>
        <w:tc>
          <w:tcPr>
            <w:tcW w:w="494" w:type="dxa"/>
            <w:tcBorders>
              <w:top w:val="nil"/>
              <w:left w:val="nil"/>
              <w:bottom w:val="single" w:sz="4" w:space="0" w:color="0070C0"/>
              <w:right w:val="single" w:sz="4" w:space="0" w:color="0070C0"/>
            </w:tcBorders>
            <w:shd w:val="clear" w:color="auto" w:fill="auto"/>
            <w:noWrap/>
            <w:hideMark/>
          </w:tcPr>
          <w:p w14:paraId="6B0BE9D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5ABDD0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C75F5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31191</w:t>
            </w:r>
          </w:p>
        </w:tc>
        <w:tc>
          <w:tcPr>
            <w:tcW w:w="1234" w:type="dxa"/>
            <w:tcBorders>
              <w:top w:val="nil"/>
              <w:left w:val="nil"/>
              <w:bottom w:val="single" w:sz="4" w:space="0" w:color="0070C0"/>
              <w:right w:val="single" w:sz="4" w:space="0" w:color="0070C0"/>
            </w:tcBorders>
            <w:shd w:val="clear" w:color="auto" w:fill="auto"/>
            <w:hideMark/>
          </w:tcPr>
          <w:p w14:paraId="5BA16B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ŽELJKO HALAPIJA D.O.O</w:t>
            </w:r>
          </w:p>
        </w:tc>
        <w:tc>
          <w:tcPr>
            <w:tcW w:w="494" w:type="dxa"/>
            <w:tcBorders>
              <w:top w:val="nil"/>
              <w:left w:val="nil"/>
              <w:bottom w:val="single" w:sz="4" w:space="0" w:color="0070C0"/>
              <w:right w:val="single" w:sz="4" w:space="0" w:color="0070C0"/>
            </w:tcBorders>
            <w:shd w:val="clear" w:color="auto" w:fill="auto"/>
            <w:noWrap/>
            <w:hideMark/>
          </w:tcPr>
          <w:p w14:paraId="5AA48C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108,43</w:t>
            </w:r>
          </w:p>
        </w:tc>
      </w:tr>
      <w:tr w:rsidR="00FE461F" w:rsidRPr="005E4BEA" w14:paraId="77C15D9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D4C496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20465</w:t>
            </w:r>
          </w:p>
        </w:tc>
        <w:tc>
          <w:tcPr>
            <w:tcW w:w="1234" w:type="dxa"/>
            <w:tcBorders>
              <w:top w:val="nil"/>
              <w:left w:val="nil"/>
              <w:bottom w:val="single" w:sz="4" w:space="0" w:color="0070C0"/>
              <w:right w:val="single" w:sz="4" w:space="0" w:color="0070C0"/>
            </w:tcBorders>
            <w:shd w:val="clear" w:color="auto" w:fill="auto"/>
            <w:hideMark/>
          </w:tcPr>
          <w:p w14:paraId="52A92D9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SILVANA POPOV</w:t>
            </w:r>
          </w:p>
        </w:tc>
        <w:tc>
          <w:tcPr>
            <w:tcW w:w="494" w:type="dxa"/>
            <w:tcBorders>
              <w:top w:val="nil"/>
              <w:left w:val="nil"/>
              <w:bottom w:val="single" w:sz="4" w:space="0" w:color="0070C0"/>
              <w:right w:val="single" w:sz="4" w:space="0" w:color="0070C0"/>
            </w:tcBorders>
            <w:shd w:val="clear" w:color="auto" w:fill="auto"/>
            <w:noWrap/>
            <w:hideMark/>
          </w:tcPr>
          <w:p w14:paraId="3F45E72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3549912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03154C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24433</w:t>
            </w:r>
          </w:p>
        </w:tc>
        <w:tc>
          <w:tcPr>
            <w:tcW w:w="1234" w:type="dxa"/>
            <w:tcBorders>
              <w:top w:val="nil"/>
              <w:left w:val="nil"/>
              <w:bottom w:val="single" w:sz="4" w:space="0" w:color="0070C0"/>
              <w:right w:val="single" w:sz="4" w:space="0" w:color="0070C0"/>
            </w:tcBorders>
            <w:shd w:val="clear" w:color="auto" w:fill="auto"/>
            <w:hideMark/>
          </w:tcPr>
          <w:p w14:paraId="0F8F5DF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LOBODA MARJAN</w:t>
            </w:r>
          </w:p>
        </w:tc>
        <w:tc>
          <w:tcPr>
            <w:tcW w:w="494" w:type="dxa"/>
            <w:tcBorders>
              <w:top w:val="nil"/>
              <w:left w:val="nil"/>
              <w:bottom w:val="single" w:sz="4" w:space="0" w:color="0070C0"/>
              <w:right w:val="single" w:sz="4" w:space="0" w:color="0070C0"/>
            </w:tcBorders>
            <w:shd w:val="clear" w:color="auto" w:fill="auto"/>
            <w:noWrap/>
            <w:hideMark/>
          </w:tcPr>
          <w:p w14:paraId="0A13D11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BFAC9B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252AD0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33076</w:t>
            </w:r>
          </w:p>
        </w:tc>
        <w:tc>
          <w:tcPr>
            <w:tcW w:w="1234" w:type="dxa"/>
            <w:tcBorders>
              <w:top w:val="nil"/>
              <w:left w:val="nil"/>
              <w:bottom w:val="single" w:sz="4" w:space="0" w:color="0070C0"/>
              <w:right w:val="single" w:sz="4" w:space="0" w:color="0070C0"/>
            </w:tcBorders>
            <w:shd w:val="clear" w:color="auto" w:fill="auto"/>
            <w:hideMark/>
          </w:tcPr>
          <w:p w14:paraId="18C3FAC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ZDRAV.ZAVOD DRUŽIN.MEDIC.NOVA G</w:t>
            </w:r>
          </w:p>
        </w:tc>
        <w:tc>
          <w:tcPr>
            <w:tcW w:w="494" w:type="dxa"/>
            <w:tcBorders>
              <w:top w:val="nil"/>
              <w:left w:val="nil"/>
              <w:bottom w:val="single" w:sz="4" w:space="0" w:color="0070C0"/>
              <w:right w:val="single" w:sz="4" w:space="0" w:color="0070C0"/>
            </w:tcBorders>
            <w:shd w:val="clear" w:color="auto" w:fill="auto"/>
            <w:noWrap/>
            <w:hideMark/>
          </w:tcPr>
          <w:p w14:paraId="317837A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634,54</w:t>
            </w:r>
          </w:p>
        </w:tc>
      </w:tr>
      <w:tr w:rsidR="00FE461F" w:rsidRPr="005E4BEA" w14:paraId="63C1C38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F19747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20499</w:t>
            </w:r>
          </w:p>
        </w:tc>
        <w:tc>
          <w:tcPr>
            <w:tcW w:w="1234" w:type="dxa"/>
            <w:tcBorders>
              <w:top w:val="nil"/>
              <w:left w:val="nil"/>
              <w:bottom w:val="single" w:sz="4" w:space="0" w:color="0070C0"/>
              <w:right w:val="single" w:sz="4" w:space="0" w:color="0070C0"/>
            </w:tcBorders>
            <w:shd w:val="clear" w:color="auto" w:fill="auto"/>
            <w:hideMark/>
          </w:tcPr>
          <w:p w14:paraId="5E95737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PAVLOVIĆ TANJA</w:t>
            </w:r>
          </w:p>
        </w:tc>
        <w:tc>
          <w:tcPr>
            <w:tcW w:w="494" w:type="dxa"/>
            <w:tcBorders>
              <w:top w:val="nil"/>
              <w:left w:val="nil"/>
              <w:bottom w:val="single" w:sz="4" w:space="0" w:color="0070C0"/>
              <w:right w:val="single" w:sz="4" w:space="0" w:color="0070C0"/>
            </w:tcBorders>
            <w:shd w:val="clear" w:color="auto" w:fill="auto"/>
            <w:noWrap/>
            <w:hideMark/>
          </w:tcPr>
          <w:p w14:paraId="267B503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28DF7FE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B76A8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33083</w:t>
            </w:r>
          </w:p>
        </w:tc>
        <w:tc>
          <w:tcPr>
            <w:tcW w:w="1234" w:type="dxa"/>
            <w:tcBorders>
              <w:top w:val="nil"/>
              <w:left w:val="nil"/>
              <w:bottom w:val="single" w:sz="4" w:space="0" w:color="0070C0"/>
              <w:right w:val="single" w:sz="4" w:space="0" w:color="0070C0"/>
            </w:tcBorders>
            <w:shd w:val="clear" w:color="auto" w:fill="auto"/>
            <w:hideMark/>
          </w:tcPr>
          <w:p w14:paraId="3220638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MAJA PAVLIN KLEMENC,DR.SPL.MED.</w:t>
            </w:r>
          </w:p>
        </w:tc>
        <w:tc>
          <w:tcPr>
            <w:tcW w:w="494" w:type="dxa"/>
            <w:tcBorders>
              <w:top w:val="nil"/>
              <w:left w:val="nil"/>
              <w:bottom w:val="single" w:sz="4" w:space="0" w:color="0070C0"/>
              <w:right w:val="single" w:sz="4" w:space="0" w:color="0070C0"/>
            </w:tcBorders>
            <w:shd w:val="clear" w:color="auto" w:fill="auto"/>
            <w:noWrap/>
            <w:hideMark/>
          </w:tcPr>
          <w:p w14:paraId="1F98180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2C314F8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13B220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33082</w:t>
            </w:r>
          </w:p>
        </w:tc>
        <w:tc>
          <w:tcPr>
            <w:tcW w:w="1234" w:type="dxa"/>
            <w:tcBorders>
              <w:top w:val="nil"/>
              <w:left w:val="nil"/>
              <w:bottom w:val="single" w:sz="4" w:space="0" w:color="0070C0"/>
              <w:right w:val="single" w:sz="4" w:space="0" w:color="0070C0"/>
            </w:tcBorders>
            <w:shd w:val="clear" w:color="auto" w:fill="auto"/>
            <w:hideMark/>
          </w:tcPr>
          <w:p w14:paraId="74944CB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DAMIJANA ŠINIGOJ,DR.MED.</w:t>
            </w:r>
          </w:p>
        </w:tc>
        <w:tc>
          <w:tcPr>
            <w:tcW w:w="494" w:type="dxa"/>
            <w:tcBorders>
              <w:top w:val="nil"/>
              <w:left w:val="nil"/>
              <w:bottom w:val="single" w:sz="4" w:space="0" w:color="0070C0"/>
              <w:right w:val="single" w:sz="4" w:space="0" w:color="0070C0"/>
            </w:tcBorders>
            <w:shd w:val="clear" w:color="auto" w:fill="auto"/>
            <w:noWrap/>
            <w:hideMark/>
          </w:tcPr>
          <w:p w14:paraId="784FE5D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A9ABA4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AC4F9E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20498</w:t>
            </w:r>
          </w:p>
        </w:tc>
        <w:tc>
          <w:tcPr>
            <w:tcW w:w="1234" w:type="dxa"/>
            <w:tcBorders>
              <w:top w:val="nil"/>
              <w:left w:val="nil"/>
              <w:bottom w:val="single" w:sz="4" w:space="0" w:color="0070C0"/>
              <w:right w:val="single" w:sz="4" w:space="0" w:color="0070C0"/>
            </w:tcBorders>
            <w:shd w:val="clear" w:color="auto" w:fill="auto"/>
            <w:hideMark/>
          </w:tcPr>
          <w:p w14:paraId="71B5246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GOLUB JANA</w:t>
            </w:r>
          </w:p>
        </w:tc>
        <w:tc>
          <w:tcPr>
            <w:tcW w:w="494" w:type="dxa"/>
            <w:tcBorders>
              <w:top w:val="nil"/>
              <w:left w:val="nil"/>
              <w:bottom w:val="single" w:sz="4" w:space="0" w:color="0070C0"/>
              <w:right w:val="single" w:sz="4" w:space="0" w:color="0070C0"/>
            </w:tcBorders>
            <w:shd w:val="clear" w:color="auto" w:fill="auto"/>
            <w:noWrap/>
            <w:hideMark/>
          </w:tcPr>
          <w:p w14:paraId="4D41A66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D17E6C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CE91A5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24461</w:t>
            </w:r>
          </w:p>
        </w:tc>
        <w:tc>
          <w:tcPr>
            <w:tcW w:w="1234" w:type="dxa"/>
            <w:tcBorders>
              <w:top w:val="nil"/>
              <w:left w:val="nil"/>
              <w:bottom w:val="single" w:sz="4" w:space="0" w:color="0070C0"/>
              <w:right w:val="single" w:sz="4" w:space="0" w:color="0070C0"/>
            </w:tcBorders>
            <w:shd w:val="clear" w:color="auto" w:fill="auto"/>
            <w:hideMark/>
          </w:tcPr>
          <w:p w14:paraId="25A4990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ZAVOD ZA ZDR.DEJ.IN SVET.EVITA</w:t>
            </w:r>
          </w:p>
        </w:tc>
        <w:tc>
          <w:tcPr>
            <w:tcW w:w="494" w:type="dxa"/>
            <w:tcBorders>
              <w:top w:val="nil"/>
              <w:left w:val="nil"/>
              <w:bottom w:val="single" w:sz="4" w:space="0" w:color="0070C0"/>
              <w:right w:val="single" w:sz="4" w:space="0" w:color="0070C0"/>
            </w:tcBorders>
            <w:shd w:val="clear" w:color="auto" w:fill="auto"/>
            <w:noWrap/>
            <w:hideMark/>
          </w:tcPr>
          <w:p w14:paraId="368F936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45A30BB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FC8DB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20502</w:t>
            </w:r>
          </w:p>
        </w:tc>
        <w:tc>
          <w:tcPr>
            <w:tcW w:w="1234" w:type="dxa"/>
            <w:tcBorders>
              <w:top w:val="nil"/>
              <w:left w:val="nil"/>
              <w:bottom w:val="single" w:sz="4" w:space="0" w:color="0070C0"/>
              <w:right w:val="single" w:sz="4" w:space="0" w:color="0070C0"/>
            </w:tcBorders>
            <w:shd w:val="clear" w:color="auto" w:fill="auto"/>
            <w:hideMark/>
          </w:tcPr>
          <w:p w14:paraId="6BD5C59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DIVINA MEDICA D.O.O.</w:t>
            </w:r>
          </w:p>
        </w:tc>
        <w:tc>
          <w:tcPr>
            <w:tcW w:w="494" w:type="dxa"/>
            <w:tcBorders>
              <w:top w:val="nil"/>
              <w:left w:val="nil"/>
              <w:bottom w:val="single" w:sz="4" w:space="0" w:color="0070C0"/>
              <w:right w:val="single" w:sz="4" w:space="0" w:color="0070C0"/>
            </w:tcBorders>
            <w:shd w:val="clear" w:color="auto" w:fill="auto"/>
            <w:noWrap/>
            <w:hideMark/>
          </w:tcPr>
          <w:p w14:paraId="030A852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132249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B04A66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20510</w:t>
            </w:r>
          </w:p>
        </w:tc>
        <w:tc>
          <w:tcPr>
            <w:tcW w:w="1234" w:type="dxa"/>
            <w:tcBorders>
              <w:top w:val="nil"/>
              <w:left w:val="nil"/>
              <w:bottom w:val="single" w:sz="4" w:space="0" w:color="0070C0"/>
              <w:right w:val="single" w:sz="4" w:space="0" w:color="0070C0"/>
            </w:tcBorders>
            <w:shd w:val="clear" w:color="auto" w:fill="auto"/>
            <w:hideMark/>
          </w:tcPr>
          <w:p w14:paraId="1C7075C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ZDRAVSTVENI ZAVOD DR. ŽEBELJAN</w:t>
            </w:r>
          </w:p>
        </w:tc>
        <w:tc>
          <w:tcPr>
            <w:tcW w:w="494" w:type="dxa"/>
            <w:tcBorders>
              <w:top w:val="nil"/>
              <w:left w:val="nil"/>
              <w:bottom w:val="single" w:sz="4" w:space="0" w:color="0070C0"/>
              <w:right w:val="single" w:sz="4" w:space="0" w:color="0070C0"/>
            </w:tcBorders>
            <w:shd w:val="clear" w:color="auto" w:fill="auto"/>
            <w:noWrap/>
            <w:hideMark/>
          </w:tcPr>
          <w:p w14:paraId="2162AA7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1C5E8A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BB1B54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20507</w:t>
            </w:r>
          </w:p>
        </w:tc>
        <w:tc>
          <w:tcPr>
            <w:tcW w:w="1234" w:type="dxa"/>
            <w:tcBorders>
              <w:top w:val="nil"/>
              <w:left w:val="nil"/>
              <w:bottom w:val="single" w:sz="4" w:space="0" w:color="0070C0"/>
              <w:right w:val="single" w:sz="4" w:space="0" w:color="0070C0"/>
            </w:tcBorders>
            <w:shd w:val="clear" w:color="auto" w:fill="auto"/>
            <w:hideMark/>
          </w:tcPr>
          <w:p w14:paraId="4B834BA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KLINKON ZZ</w:t>
            </w:r>
          </w:p>
        </w:tc>
        <w:tc>
          <w:tcPr>
            <w:tcW w:w="494" w:type="dxa"/>
            <w:tcBorders>
              <w:top w:val="nil"/>
              <w:left w:val="nil"/>
              <w:bottom w:val="single" w:sz="4" w:space="0" w:color="0070C0"/>
              <w:right w:val="single" w:sz="4" w:space="0" w:color="0070C0"/>
            </w:tcBorders>
            <w:shd w:val="clear" w:color="auto" w:fill="auto"/>
            <w:noWrap/>
            <w:hideMark/>
          </w:tcPr>
          <w:p w14:paraId="06F9A1E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70EC912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07B03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31231</w:t>
            </w:r>
          </w:p>
        </w:tc>
        <w:tc>
          <w:tcPr>
            <w:tcW w:w="1234" w:type="dxa"/>
            <w:tcBorders>
              <w:top w:val="nil"/>
              <w:left w:val="nil"/>
              <w:bottom w:val="single" w:sz="4" w:space="0" w:color="0070C0"/>
              <w:right w:val="single" w:sz="4" w:space="0" w:color="0070C0"/>
            </w:tcBorders>
            <w:shd w:val="clear" w:color="auto" w:fill="auto"/>
            <w:hideMark/>
          </w:tcPr>
          <w:p w14:paraId="5A36554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URBANC IVAN S.P.</w:t>
            </w:r>
          </w:p>
        </w:tc>
        <w:tc>
          <w:tcPr>
            <w:tcW w:w="494" w:type="dxa"/>
            <w:tcBorders>
              <w:top w:val="nil"/>
              <w:left w:val="nil"/>
              <w:bottom w:val="single" w:sz="4" w:space="0" w:color="0070C0"/>
              <w:right w:val="single" w:sz="4" w:space="0" w:color="0070C0"/>
            </w:tcBorders>
            <w:shd w:val="clear" w:color="auto" w:fill="auto"/>
            <w:noWrap/>
            <w:hideMark/>
          </w:tcPr>
          <w:p w14:paraId="7173576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8EB44A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E89B9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31218</w:t>
            </w:r>
          </w:p>
        </w:tc>
        <w:tc>
          <w:tcPr>
            <w:tcW w:w="1234" w:type="dxa"/>
            <w:tcBorders>
              <w:top w:val="nil"/>
              <w:left w:val="nil"/>
              <w:bottom w:val="single" w:sz="4" w:space="0" w:color="0070C0"/>
              <w:right w:val="single" w:sz="4" w:space="0" w:color="0070C0"/>
            </w:tcBorders>
            <w:shd w:val="clear" w:color="auto" w:fill="auto"/>
            <w:hideMark/>
          </w:tcPr>
          <w:p w14:paraId="449385C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LARA MED D.O.O.</w:t>
            </w:r>
          </w:p>
        </w:tc>
        <w:tc>
          <w:tcPr>
            <w:tcW w:w="494" w:type="dxa"/>
            <w:tcBorders>
              <w:top w:val="nil"/>
              <w:left w:val="nil"/>
              <w:bottom w:val="single" w:sz="4" w:space="0" w:color="0070C0"/>
              <w:right w:val="single" w:sz="4" w:space="0" w:color="0070C0"/>
            </w:tcBorders>
            <w:shd w:val="clear" w:color="auto" w:fill="auto"/>
            <w:noWrap/>
            <w:hideMark/>
          </w:tcPr>
          <w:p w14:paraId="6A7F83A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263,17</w:t>
            </w:r>
          </w:p>
        </w:tc>
      </w:tr>
      <w:tr w:rsidR="00FE461F" w:rsidRPr="005E4BEA" w14:paraId="33549E2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4B5E5C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27198</w:t>
            </w:r>
          </w:p>
        </w:tc>
        <w:tc>
          <w:tcPr>
            <w:tcW w:w="1234" w:type="dxa"/>
            <w:tcBorders>
              <w:top w:val="nil"/>
              <w:left w:val="nil"/>
              <w:bottom w:val="single" w:sz="4" w:space="0" w:color="0070C0"/>
              <w:right w:val="single" w:sz="4" w:space="0" w:color="0070C0"/>
            </w:tcBorders>
            <w:shd w:val="clear" w:color="auto" w:fill="auto"/>
            <w:hideMark/>
          </w:tcPr>
          <w:p w14:paraId="413DE49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DEMŠAR D.O.O.</w:t>
            </w:r>
          </w:p>
        </w:tc>
        <w:tc>
          <w:tcPr>
            <w:tcW w:w="494" w:type="dxa"/>
            <w:tcBorders>
              <w:top w:val="nil"/>
              <w:left w:val="nil"/>
              <w:bottom w:val="single" w:sz="4" w:space="0" w:color="0070C0"/>
              <w:right w:val="single" w:sz="4" w:space="0" w:color="0070C0"/>
            </w:tcBorders>
            <w:shd w:val="clear" w:color="auto" w:fill="auto"/>
            <w:noWrap/>
            <w:hideMark/>
          </w:tcPr>
          <w:p w14:paraId="7E76EC4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388,04</w:t>
            </w:r>
          </w:p>
        </w:tc>
      </w:tr>
      <w:tr w:rsidR="00FE461F" w:rsidRPr="005E4BEA" w14:paraId="6D65AFD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043A64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27202</w:t>
            </w:r>
          </w:p>
        </w:tc>
        <w:tc>
          <w:tcPr>
            <w:tcW w:w="1234" w:type="dxa"/>
            <w:tcBorders>
              <w:top w:val="nil"/>
              <w:left w:val="nil"/>
              <w:bottom w:val="single" w:sz="4" w:space="0" w:color="0070C0"/>
              <w:right w:val="single" w:sz="4" w:space="0" w:color="0070C0"/>
            </w:tcBorders>
            <w:shd w:val="clear" w:color="auto" w:fill="auto"/>
            <w:hideMark/>
          </w:tcPr>
          <w:p w14:paraId="4E4E5AB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ZAVOD RR</w:t>
            </w:r>
          </w:p>
        </w:tc>
        <w:tc>
          <w:tcPr>
            <w:tcW w:w="494" w:type="dxa"/>
            <w:tcBorders>
              <w:top w:val="nil"/>
              <w:left w:val="nil"/>
              <w:bottom w:val="single" w:sz="4" w:space="0" w:color="0070C0"/>
              <w:right w:val="single" w:sz="4" w:space="0" w:color="0070C0"/>
            </w:tcBorders>
            <w:shd w:val="clear" w:color="auto" w:fill="auto"/>
            <w:noWrap/>
            <w:hideMark/>
          </w:tcPr>
          <w:p w14:paraId="2EFAFA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634,54</w:t>
            </w:r>
          </w:p>
        </w:tc>
      </w:tr>
      <w:tr w:rsidR="00FE461F" w:rsidRPr="005E4BEA" w14:paraId="1D44AC1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117A43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31233</w:t>
            </w:r>
          </w:p>
        </w:tc>
        <w:tc>
          <w:tcPr>
            <w:tcW w:w="1234" w:type="dxa"/>
            <w:tcBorders>
              <w:top w:val="nil"/>
              <w:left w:val="nil"/>
              <w:bottom w:val="single" w:sz="4" w:space="0" w:color="0070C0"/>
              <w:right w:val="single" w:sz="4" w:space="0" w:color="0070C0"/>
            </w:tcBorders>
            <w:shd w:val="clear" w:color="auto" w:fill="auto"/>
            <w:hideMark/>
          </w:tcPr>
          <w:p w14:paraId="3302EAF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DAMIR DABRANIN</w:t>
            </w:r>
          </w:p>
        </w:tc>
        <w:tc>
          <w:tcPr>
            <w:tcW w:w="494" w:type="dxa"/>
            <w:tcBorders>
              <w:top w:val="nil"/>
              <w:left w:val="nil"/>
              <w:bottom w:val="single" w:sz="4" w:space="0" w:color="0070C0"/>
              <w:right w:val="single" w:sz="4" w:space="0" w:color="0070C0"/>
            </w:tcBorders>
            <w:shd w:val="clear" w:color="auto" w:fill="auto"/>
            <w:noWrap/>
            <w:hideMark/>
          </w:tcPr>
          <w:p w14:paraId="11FC75E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166,66</w:t>
            </w:r>
          </w:p>
        </w:tc>
      </w:tr>
      <w:tr w:rsidR="00FE461F" w:rsidRPr="005E4BEA" w14:paraId="7CAB64D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E89A6A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24487</w:t>
            </w:r>
          </w:p>
        </w:tc>
        <w:tc>
          <w:tcPr>
            <w:tcW w:w="1234" w:type="dxa"/>
            <w:tcBorders>
              <w:top w:val="nil"/>
              <w:left w:val="nil"/>
              <w:bottom w:val="single" w:sz="4" w:space="0" w:color="0070C0"/>
              <w:right w:val="single" w:sz="4" w:space="0" w:color="0070C0"/>
            </w:tcBorders>
            <w:shd w:val="clear" w:color="auto" w:fill="auto"/>
            <w:hideMark/>
          </w:tcPr>
          <w:p w14:paraId="31CBEB8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AMBROŽ MIHELČIČ MAJDA</w:t>
            </w:r>
          </w:p>
        </w:tc>
        <w:tc>
          <w:tcPr>
            <w:tcW w:w="494" w:type="dxa"/>
            <w:tcBorders>
              <w:top w:val="nil"/>
              <w:left w:val="nil"/>
              <w:bottom w:val="single" w:sz="4" w:space="0" w:color="0070C0"/>
              <w:right w:val="single" w:sz="4" w:space="0" w:color="0070C0"/>
            </w:tcBorders>
            <w:shd w:val="clear" w:color="auto" w:fill="auto"/>
            <w:noWrap/>
            <w:hideMark/>
          </w:tcPr>
          <w:p w14:paraId="77185CC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B2B88B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647F7A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31225</w:t>
            </w:r>
          </w:p>
        </w:tc>
        <w:tc>
          <w:tcPr>
            <w:tcW w:w="1234" w:type="dxa"/>
            <w:tcBorders>
              <w:top w:val="nil"/>
              <w:left w:val="nil"/>
              <w:bottom w:val="single" w:sz="4" w:space="0" w:color="0070C0"/>
              <w:right w:val="single" w:sz="4" w:space="0" w:color="0070C0"/>
            </w:tcBorders>
            <w:shd w:val="clear" w:color="auto" w:fill="auto"/>
            <w:hideMark/>
          </w:tcPr>
          <w:p w14:paraId="21F4850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MEDIKMIKO D.O.O.</w:t>
            </w:r>
          </w:p>
        </w:tc>
        <w:tc>
          <w:tcPr>
            <w:tcW w:w="494" w:type="dxa"/>
            <w:tcBorders>
              <w:top w:val="nil"/>
              <w:left w:val="nil"/>
              <w:bottom w:val="single" w:sz="4" w:space="0" w:color="0070C0"/>
              <w:right w:val="single" w:sz="4" w:space="0" w:color="0070C0"/>
            </w:tcBorders>
            <w:shd w:val="clear" w:color="auto" w:fill="auto"/>
            <w:noWrap/>
            <w:hideMark/>
          </w:tcPr>
          <w:p w14:paraId="3CA042B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148B7F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029D85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24477</w:t>
            </w:r>
          </w:p>
        </w:tc>
        <w:tc>
          <w:tcPr>
            <w:tcW w:w="1234" w:type="dxa"/>
            <w:tcBorders>
              <w:top w:val="nil"/>
              <w:left w:val="nil"/>
              <w:bottom w:val="single" w:sz="4" w:space="0" w:color="0070C0"/>
              <w:right w:val="single" w:sz="4" w:space="0" w:color="0070C0"/>
            </w:tcBorders>
            <w:shd w:val="clear" w:color="auto" w:fill="auto"/>
            <w:hideMark/>
          </w:tcPr>
          <w:p w14:paraId="605C2F2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MUNDA MARIJA</w:t>
            </w:r>
          </w:p>
        </w:tc>
        <w:tc>
          <w:tcPr>
            <w:tcW w:w="494" w:type="dxa"/>
            <w:tcBorders>
              <w:top w:val="nil"/>
              <w:left w:val="nil"/>
              <w:bottom w:val="single" w:sz="4" w:space="0" w:color="0070C0"/>
              <w:right w:val="single" w:sz="4" w:space="0" w:color="0070C0"/>
            </w:tcBorders>
            <w:shd w:val="clear" w:color="auto" w:fill="auto"/>
            <w:noWrap/>
            <w:hideMark/>
          </w:tcPr>
          <w:p w14:paraId="4B88FC6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538B22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DC74F4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24489</w:t>
            </w:r>
          </w:p>
        </w:tc>
        <w:tc>
          <w:tcPr>
            <w:tcW w:w="1234" w:type="dxa"/>
            <w:tcBorders>
              <w:top w:val="nil"/>
              <w:left w:val="nil"/>
              <w:bottom w:val="single" w:sz="4" w:space="0" w:color="0070C0"/>
              <w:right w:val="single" w:sz="4" w:space="0" w:color="0070C0"/>
            </w:tcBorders>
            <w:shd w:val="clear" w:color="auto" w:fill="auto"/>
            <w:hideMark/>
          </w:tcPr>
          <w:p w14:paraId="223A60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SARAJLIĆ AMNA</w:t>
            </w:r>
          </w:p>
        </w:tc>
        <w:tc>
          <w:tcPr>
            <w:tcW w:w="494" w:type="dxa"/>
            <w:tcBorders>
              <w:top w:val="nil"/>
              <w:left w:val="nil"/>
              <w:bottom w:val="single" w:sz="4" w:space="0" w:color="0070C0"/>
              <w:right w:val="single" w:sz="4" w:space="0" w:color="0070C0"/>
            </w:tcBorders>
            <w:shd w:val="clear" w:color="auto" w:fill="auto"/>
            <w:noWrap/>
            <w:hideMark/>
          </w:tcPr>
          <w:p w14:paraId="34A1FB7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42DDB2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B17B5F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25261</w:t>
            </w:r>
          </w:p>
        </w:tc>
        <w:tc>
          <w:tcPr>
            <w:tcW w:w="1234" w:type="dxa"/>
            <w:tcBorders>
              <w:top w:val="nil"/>
              <w:left w:val="nil"/>
              <w:bottom w:val="single" w:sz="4" w:space="0" w:color="0070C0"/>
              <w:right w:val="single" w:sz="4" w:space="0" w:color="0070C0"/>
            </w:tcBorders>
            <w:shd w:val="clear" w:color="auto" w:fill="auto"/>
            <w:hideMark/>
          </w:tcPr>
          <w:p w14:paraId="47ADCF1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KAUZLARIĆ IVAN</w:t>
            </w:r>
          </w:p>
        </w:tc>
        <w:tc>
          <w:tcPr>
            <w:tcW w:w="494" w:type="dxa"/>
            <w:tcBorders>
              <w:top w:val="nil"/>
              <w:left w:val="nil"/>
              <w:bottom w:val="single" w:sz="4" w:space="0" w:color="0070C0"/>
              <w:right w:val="single" w:sz="4" w:space="0" w:color="0070C0"/>
            </w:tcBorders>
            <w:shd w:val="clear" w:color="auto" w:fill="auto"/>
            <w:noWrap/>
            <w:hideMark/>
          </w:tcPr>
          <w:p w14:paraId="71EE0B2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315E86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E3D9C9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27200</w:t>
            </w:r>
          </w:p>
        </w:tc>
        <w:tc>
          <w:tcPr>
            <w:tcW w:w="1234" w:type="dxa"/>
            <w:tcBorders>
              <w:top w:val="nil"/>
              <w:left w:val="nil"/>
              <w:bottom w:val="single" w:sz="4" w:space="0" w:color="0070C0"/>
              <w:right w:val="single" w:sz="4" w:space="0" w:color="0070C0"/>
            </w:tcBorders>
            <w:shd w:val="clear" w:color="auto" w:fill="auto"/>
            <w:hideMark/>
          </w:tcPr>
          <w:p w14:paraId="1CAC5D5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HOSTNIK JELKA</w:t>
            </w:r>
          </w:p>
        </w:tc>
        <w:tc>
          <w:tcPr>
            <w:tcW w:w="494" w:type="dxa"/>
            <w:tcBorders>
              <w:top w:val="nil"/>
              <w:left w:val="nil"/>
              <w:bottom w:val="single" w:sz="4" w:space="0" w:color="0070C0"/>
              <w:right w:val="single" w:sz="4" w:space="0" w:color="0070C0"/>
            </w:tcBorders>
            <w:shd w:val="clear" w:color="auto" w:fill="auto"/>
            <w:noWrap/>
            <w:hideMark/>
          </w:tcPr>
          <w:p w14:paraId="1B8687D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BD9909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A823C3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24471</w:t>
            </w:r>
          </w:p>
        </w:tc>
        <w:tc>
          <w:tcPr>
            <w:tcW w:w="1234" w:type="dxa"/>
            <w:tcBorders>
              <w:top w:val="nil"/>
              <w:left w:val="nil"/>
              <w:bottom w:val="single" w:sz="4" w:space="0" w:color="0070C0"/>
              <w:right w:val="single" w:sz="4" w:space="0" w:color="0070C0"/>
            </w:tcBorders>
            <w:shd w:val="clear" w:color="auto" w:fill="auto"/>
            <w:hideMark/>
          </w:tcPr>
          <w:p w14:paraId="014DFB8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LANTANA D.O.O.</w:t>
            </w:r>
          </w:p>
        </w:tc>
        <w:tc>
          <w:tcPr>
            <w:tcW w:w="494" w:type="dxa"/>
            <w:tcBorders>
              <w:top w:val="nil"/>
              <w:left w:val="nil"/>
              <w:bottom w:val="single" w:sz="4" w:space="0" w:color="0070C0"/>
              <w:right w:val="single" w:sz="4" w:space="0" w:color="0070C0"/>
            </w:tcBorders>
            <w:shd w:val="clear" w:color="auto" w:fill="auto"/>
            <w:noWrap/>
            <w:hideMark/>
          </w:tcPr>
          <w:p w14:paraId="27B73E3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085346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48D4F2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24478</w:t>
            </w:r>
          </w:p>
        </w:tc>
        <w:tc>
          <w:tcPr>
            <w:tcW w:w="1234" w:type="dxa"/>
            <w:tcBorders>
              <w:top w:val="nil"/>
              <w:left w:val="nil"/>
              <w:bottom w:val="single" w:sz="4" w:space="0" w:color="0070C0"/>
              <w:right w:val="single" w:sz="4" w:space="0" w:color="0070C0"/>
            </w:tcBorders>
            <w:shd w:val="clear" w:color="auto" w:fill="auto"/>
            <w:hideMark/>
          </w:tcPr>
          <w:p w14:paraId="5C218BC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NADLER ŽAGAR ALENKA</w:t>
            </w:r>
          </w:p>
        </w:tc>
        <w:tc>
          <w:tcPr>
            <w:tcW w:w="494" w:type="dxa"/>
            <w:tcBorders>
              <w:top w:val="nil"/>
              <w:left w:val="nil"/>
              <w:bottom w:val="single" w:sz="4" w:space="0" w:color="0070C0"/>
              <w:right w:val="single" w:sz="4" w:space="0" w:color="0070C0"/>
            </w:tcBorders>
            <w:shd w:val="clear" w:color="auto" w:fill="auto"/>
            <w:noWrap/>
            <w:hideMark/>
          </w:tcPr>
          <w:p w14:paraId="0DFCA65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34E914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13888D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31232</w:t>
            </w:r>
          </w:p>
        </w:tc>
        <w:tc>
          <w:tcPr>
            <w:tcW w:w="1234" w:type="dxa"/>
            <w:tcBorders>
              <w:top w:val="nil"/>
              <w:left w:val="nil"/>
              <w:bottom w:val="single" w:sz="4" w:space="0" w:color="0070C0"/>
              <w:right w:val="single" w:sz="4" w:space="0" w:color="0070C0"/>
            </w:tcBorders>
            <w:shd w:val="clear" w:color="auto" w:fill="auto"/>
            <w:hideMark/>
          </w:tcPr>
          <w:p w14:paraId="70E5B09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ZAS.OR.DR.MED.MARJETKA BLAŽEVIĆ</w:t>
            </w:r>
          </w:p>
        </w:tc>
        <w:tc>
          <w:tcPr>
            <w:tcW w:w="494" w:type="dxa"/>
            <w:tcBorders>
              <w:top w:val="nil"/>
              <w:left w:val="nil"/>
              <w:bottom w:val="single" w:sz="4" w:space="0" w:color="0070C0"/>
              <w:right w:val="single" w:sz="4" w:space="0" w:color="0070C0"/>
            </w:tcBorders>
            <w:shd w:val="clear" w:color="auto" w:fill="auto"/>
            <w:noWrap/>
            <w:hideMark/>
          </w:tcPr>
          <w:p w14:paraId="36B5461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CB9180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28687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29211</w:t>
            </w:r>
          </w:p>
        </w:tc>
        <w:tc>
          <w:tcPr>
            <w:tcW w:w="1234" w:type="dxa"/>
            <w:tcBorders>
              <w:top w:val="nil"/>
              <w:left w:val="nil"/>
              <w:bottom w:val="single" w:sz="4" w:space="0" w:color="0070C0"/>
              <w:right w:val="single" w:sz="4" w:space="0" w:color="0070C0"/>
            </w:tcBorders>
            <w:shd w:val="clear" w:color="auto" w:fill="auto"/>
            <w:hideMark/>
          </w:tcPr>
          <w:p w14:paraId="213BCFD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POLJE HARMONIJE D.O.O.</w:t>
            </w:r>
          </w:p>
        </w:tc>
        <w:tc>
          <w:tcPr>
            <w:tcW w:w="494" w:type="dxa"/>
            <w:tcBorders>
              <w:top w:val="nil"/>
              <w:left w:val="nil"/>
              <w:bottom w:val="single" w:sz="4" w:space="0" w:color="0070C0"/>
              <w:right w:val="single" w:sz="4" w:space="0" w:color="0070C0"/>
            </w:tcBorders>
            <w:shd w:val="clear" w:color="auto" w:fill="auto"/>
            <w:noWrap/>
            <w:hideMark/>
          </w:tcPr>
          <w:p w14:paraId="0EA0DFD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90,32</w:t>
            </w:r>
          </w:p>
        </w:tc>
      </w:tr>
      <w:tr w:rsidR="00FE461F" w:rsidRPr="005E4BEA" w14:paraId="22EAD02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DC5A6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lastRenderedPageBreak/>
              <w:t>31229</w:t>
            </w:r>
          </w:p>
        </w:tc>
        <w:tc>
          <w:tcPr>
            <w:tcW w:w="1234" w:type="dxa"/>
            <w:tcBorders>
              <w:top w:val="nil"/>
              <w:left w:val="nil"/>
              <w:bottom w:val="single" w:sz="4" w:space="0" w:color="0070C0"/>
              <w:right w:val="single" w:sz="4" w:space="0" w:color="0070C0"/>
            </w:tcBorders>
            <w:shd w:val="clear" w:color="auto" w:fill="auto"/>
            <w:hideMark/>
          </w:tcPr>
          <w:p w14:paraId="678402C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DISPANZER ZA OTROKE IN MLADOSTN</w:t>
            </w:r>
          </w:p>
        </w:tc>
        <w:tc>
          <w:tcPr>
            <w:tcW w:w="494" w:type="dxa"/>
            <w:tcBorders>
              <w:top w:val="nil"/>
              <w:left w:val="nil"/>
              <w:bottom w:val="single" w:sz="4" w:space="0" w:color="0070C0"/>
              <w:right w:val="single" w:sz="4" w:space="0" w:color="0070C0"/>
            </w:tcBorders>
            <w:shd w:val="clear" w:color="auto" w:fill="auto"/>
            <w:noWrap/>
            <w:hideMark/>
          </w:tcPr>
          <w:p w14:paraId="4E6C119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958,27</w:t>
            </w:r>
          </w:p>
        </w:tc>
      </w:tr>
      <w:tr w:rsidR="00FE461F" w:rsidRPr="005E4BEA" w14:paraId="74DC746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53F3D6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24476</w:t>
            </w:r>
          </w:p>
        </w:tc>
        <w:tc>
          <w:tcPr>
            <w:tcW w:w="1234" w:type="dxa"/>
            <w:tcBorders>
              <w:top w:val="nil"/>
              <w:left w:val="nil"/>
              <w:bottom w:val="single" w:sz="4" w:space="0" w:color="0070C0"/>
              <w:right w:val="single" w:sz="4" w:space="0" w:color="0070C0"/>
            </w:tcBorders>
            <w:shd w:val="clear" w:color="auto" w:fill="auto"/>
            <w:hideMark/>
          </w:tcPr>
          <w:p w14:paraId="06239A3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ŽAGAR MAJDA</w:t>
            </w:r>
          </w:p>
        </w:tc>
        <w:tc>
          <w:tcPr>
            <w:tcW w:w="494" w:type="dxa"/>
            <w:tcBorders>
              <w:top w:val="nil"/>
              <w:left w:val="nil"/>
              <w:bottom w:val="single" w:sz="4" w:space="0" w:color="0070C0"/>
              <w:right w:val="single" w:sz="4" w:space="0" w:color="0070C0"/>
            </w:tcBorders>
            <w:shd w:val="clear" w:color="auto" w:fill="auto"/>
            <w:noWrap/>
            <w:hideMark/>
          </w:tcPr>
          <w:p w14:paraId="1EDF3AB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6E34CE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86B02F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24488</w:t>
            </w:r>
          </w:p>
        </w:tc>
        <w:tc>
          <w:tcPr>
            <w:tcW w:w="1234" w:type="dxa"/>
            <w:tcBorders>
              <w:top w:val="nil"/>
              <w:left w:val="nil"/>
              <w:bottom w:val="single" w:sz="4" w:space="0" w:color="0070C0"/>
              <w:right w:val="single" w:sz="4" w:space="0" w:color="0070C0"/>
            </w:tcBorders>
            <w:shd w:val="clear" w:color="auto" w:fill="auto"/>
            <w:hideMark/>
          </w:tcPr>
          <w:p w14:paraId="4C5D8C5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POTUŠEK KUHAR KATARINA</w:t>
            </w:r>
          </w:p>
        </w:tc>
        <w:tc>
          <w:tcPr>
            <w:tcW w:w="494" w:type="dxa"/>
            <w:tcBorders>
              <w:top w:val="nil"/>
              <w:left w:val="nil"/>
              <w:bottom w:val="single" w:sz="4" w:space="0" w:color="0070C0"/>
              <w:right w:val="single" w:sz="4" w:space="0" w:color="0070C0"/>
            </w:tcBorders>
            <w:shd w:val="clear" w:color="auto" w:fill="auto"/>
            <w:noWrap/>
            <w:hideMark/>
          </w:tcPr>
          <w:p w14:paraId="3BDD611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4CEDE5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90A43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29217</w:t>
            </w:r>
          </w:p>
        </w:tc>
        <w:tc>
          <w:tcPr>
            <w:tcW w:w="1234" w:type="dxa"/>
            <w:tcBorders>
              <w:top w:val="nil"/>
              <w:left w:val="nil"/>
              <w:bottom w:val="single" w:sz="4" w:space="0" w:color="0070C0"/>
              <w:right w:val="single" w:sz="4" w:space="0" w:color="0070C0"/>
            </w:tcBorders>
            <w:shd w:val="clear" w:color="auto" w:fill="auto"/>
            <w:hideMark/>
          </w:tcPr>
          <w:p w14:paraId="29BA99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MILIĆ ZORICA</w:t>
            </w:r>
          </w:p>
        </w:tc>
        <w:tc>
          <w:tcPr>
            <w:tcW w:w="494" w:type="dxa"/>
            <w:tcBorders>
              <w:top w:val="nil"/>
              <w:left w:val="nil"/>
              <w:bottom w:val="single" w:sz="4" w:space="0" w:color="0070C0"/>
              <w:right w:val="single" w:sz="4" w:space="0" w:color="0070C0"/>
            </w:tcBorders>
            <w:shd w:val="clear" w:color="auto" w:fill="auto"/>
            <w:noWrap/>
            <w:hideMark/>
          </w:tcPr>
          <w:p w14:paraId="76A14B3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6DCC350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F3457F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29218</w:t>
            </w:r>
          </w:p>
        </w:tc>
        <w:tc>
          <w:tcPr>
            <w:tcW w:w="1234" w:type="dxa"/>
            <w:tcBorders>
              <w:top w:val="nil"/>
              <w:left w:val="nil"/>
              <w:bottom w:val="single" w:sz="4" w:space="0" w:color="0070C0"/>
              <w:right w:val="single" w:sz="4" w:space="0" w:color="0070C0"/>
            </w:tcBorders>
            <w:shd w:val="clear" w:color="auto" w:fill="auto"/>
            <w:hideMark/>
          </w:tcPr>
          <w:p w14:paraId="0620817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ŠKUFCA SREBRNJAK NATALIJA</w:t>
            </w:r>
          </w:p>
        </w:tc>
        <w:tc>
          <w:tcPr>
            <w:tcW w:w="494" w:type="dxa"/>
            <w:tcBorders>
              <w:top w:val="nil"/>
              <w:left w:val="nil"/>
              <w:bottom w:val="single" w:sz="4" w:space="0" w:color="0070C0"/>
              <w:right w:val="single" w:sz="4" w:space="0" w:color="0070C0"/>
            </w:tcBorders>
            <w:shd w:val="clear" w:color="auto" w:fill="auto"/>
            <w:noWrap/>
            <w:hideMark/>
          </w:tcPr>
          <w:p w14:paraId="2812A18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54863A6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E1A233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29215</w:t>
            </w:r>
          </w:p>
        </w:tc>
        <w:tc>
          <w:tcPr>
            <w:tcW w:w="1234" w:type="dxa"/>
            <w:tcBorders>
              <w:top w:val="nil"/>
              <w:left w:val="nil"/>
              <w:bottom w:val="single" w:sz="4" w:space="0" w:color="0070C0"/>
              <w:right w:val="single" w:sz="4" w:space="0" w:color="0070C0"/>
            </w:tcBorders>
            <w:shd w:val="clear" w:color="auto" w:fill="auto"/>
            <w:hideMark/>
          </w:tcPr>
          <w:p w14:paraId="5BC66D5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ROŽENBERGAR MATJAŽ</w:t>
            </w:r>
          </w:p>
        </w:tc>
        <w:tc>
          <w:tcPr>
            <w:tcW w:w="494" w:type="dxa"/>
            <w:tcBorders>
              <w:top w:val="nil"/>
              <w:left w:val="nil"/>
              <w:bottom w:val="single" w:sz="4" w:space="0" w:color="0070C0"/>
              <w:right w:val="single" w:sz="4" w:space="0" w:color="0070C0"/>
            </w:tcBorders>
            <w:shd w:val="clear" w:color="auto" w:fill="auto"/>
            <w:noWrap/>
            <w:hideMark/>
          </w:tcPr>
          <w:p w14:paraId="665E8E4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7CCD219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C7B42C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17076</w:t>
            </w:r>
          </w:p>
        </w:tc>
        <w:tc>
          <w:tcPr>
            <w:tcW w:w="1234" w:type="dxa"/>
            <w:tcBorders>
              <w:top w:val="nil"/>
              <w:left w:val="nil"/>
              <w:bottom w:val="single" w:sz="4" w:space="0" w:color="0070C0"/>
              <w:right w:val="single" w:sz="4" w:space="0" w:color="0070C0"/>
            </w:tcBorders>
            <w:shd w:val="clear" w:color="auto" w:fill="auto"/>
            <w:hideMark/>
          </w:tcPr>
          <w:p w14:paraId="5FBCCEF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CESAREC ZVONIMIR</w:t>
            </w:r>
          </w:p>
        </w:tc>
        <w:tc>
          <w:tcPr>
            <w:tcW w:w="494" w:type="dxa"/>
            <w:tcBorders>
              <w:top w:val="nil"/>
              <w:left w:val="nil"/>
              <w:bottom w:val="single" w:sz="4" w:space="0" w:color="0070C0"/>
              <w:right w:val="single" w:sz="4" w:space="0" w:color="0070C0"/>
            </w:tcBorders>
            <w:shd w:val="clear" w:color="auto" w:fill="auto"/>
            <w:noWrap/>
            <w:hideMark/>
          </w:tcPr>
          <w:p w14:paraId="695BAB7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189,98</w:t>
            </w:r>
          </w:p>
        </w:tc>
      </w:tr>
      <w:tr w:rsidR="00FE461F" w:rsidRPr="005E4BEA" w14:paraId="333225F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48E43E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27199</w:t>
            </w:r>
          </w:p>
        </w:tc>
        <w:tc>
          <w:tcPr>
            <w:tcW w:w="1234" w:type="dxa"/>
            <w:tcBorders>
              <w:top w:val="nil"/>
              <w:left w:val="nil"/>
              <w:bottom w:val="single" w:sz="4" w:space="0" w:color="0070C0"/>
              <w:right w:val="single" w:sz="4" w:space="0" w:color="0070C0"/>
            </w:tcBorders>
            <w:shd w:val="clear" w:color="auto" w:fill="auto"/>
            <w:hideMark/>
          </w:tcPr>
          <w:p w14:paraId="40D072B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MEDIM D.O.O.</w:t>
            </w:r>
          </w:p>
        </w:tc>
        <w:tc>
          <w:tcPr>
            <w:tcW w:w="494" w:type="dxa"/>
            <w:tcBorders>
              <w:top w:val="nil"/>
              <w:left w:val="nil"/>
              <w:bottom w:val="single" w:sz="4" w:space="0" w:color="0070C0"/>
              <w:right w:val="single" w:sz="4" w:space="0" w:color="0070C0"/>
            </w:tcBorders>
            <w:shd w:val="clear" w:color="auto" w:fill="auto"/>
            <w:noWrap/>
            <w:hideMark/>
          </w:tcPr>
          <w:p w14:paraId="17CD1F3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388,04</w:t>
            </w:r>
          </w:p>
        </w:tc>
      </w:tr>
      <w:tr w:rsidR="00FE461F" w:rsidRPr="005E4BEA" w14:paraId="50402B2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5E7510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20540</w:t>
            </w:r>
          </w:p>
        </w:tc>
        <w:tc>
          <w:tcPr>
            <w:tcW w:w="1234" w:type="dxa"/>
            <w:tcBorders>
              <w:top w:val="nil"/>
              <w:left w:val="nil"/>
              <w:bottom w:val="single" w:sz="4" w:space="0" w:color="0070C0"/>
              <w:right w:val="single" w:sz="4" w:space="0" w:color="0070C0"/>
            </w:tcBorders>
            <w:shd w:val="clear" w:color="auto" w:fill="auto"/>
            <w:hideMark/>
          </w:tcPr>
          <w:p w14:paraId="361CE47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HOLIMED D.O.O.</w:t>
            </w:r>
          </w:p>
        </w:tc>
        <w:tc>
          <w:tcPr>
            <w:tcW w:w="494" w:type="dxa"/>
            <w:tcBorders>
              <w:top w:val="nil"/>
              <w:left w:val="nil"/>
              <w:bottom w:val="single" w:sz="4" w:space="0" w:color="0070C0"/>
              <w:right w:val="single" w:sz="4" w:space="0" w:color="0070C0"/>
            </w:tcBorders>
            <w:shd w:val="clear" w:color="auto" w:fill="auto"/>
            <w:noWrap/>
            <w:hideMark/>
          </w:tcPr>
          <w:p w14:paraId="0D74ADE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90,32</w:t>
            </w:r>
          </w:p>
        </w:tc>
      </w:tr>
      <w:tr w:rsidR="00FE461F" w:rsidRPr="005E4BEA" w14:paraId="2F2DF7D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8C3F51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20539</w:t>
            </w:r>
          </w:p>
        </w:tc>
        <w:tc>
          <w:tcPr>
            <w:tcW w:w="1234" w:type="dxa"/>
            <w:tcBorders>
              <w:top w:val="nil"/>
              <w:left w:val="nil"/>
              <w:bottom w:val="single" w:sz="4" w:space="0" w:color="0070C0"/>
              <w:right w:val="single" w:sz="4" w:space="0" w:color="0070C0"/>
            </w:tcBorders>
            <w:shd w:val="clear" w:color="auto" w:fill="auto"/>
            <w:hideMark/>
          </w:tcPr>
          <w:p w14:paraId="209D8A1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PREMEDIKO D.O.O.</w:t>
            </w:r>
          </w:p>
        </w:tc>
        <w:tc>
          <w:tcPr>
            <w:tcW w:w="494" w:type="dxa"/>
            <w:tcBorders>
              <w:top w:val="nil"/>
              <w:left w:val="nil"/>
              <w:bottom w:val="single" w:sz="4" w:space="0" w:color="0070C0"/>
              <w:right w:val="single" w:sz="4" w:space="0" w:color="0070C0"/>
            </w:tcBorders>
            <w:shd w:val="clear" w:color="auto" w:fill="auto"/>
            <w:noWrap/>
            <w:hideMark/>
          </w:tcPr>
          <w:p w14:paraId="56C7199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5E8A01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189FD9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14643</w:t>
            </w:r>
          </w:p>
        </w:tc>
        <w:tc>
          <w:tcPr>
            <w:tcW w:w="1234" w:type="dxa"/>
            <w:tcBorders>
              <w:top w:val="nil"/>
              <w:left w:val="nil"/>
              <w:bottom w:val="single" w:sz="4" w:space="0" w:color="0070C0"/>
              <w:right w:val="single" w:sz="4" w:space="0" w:color="0070C0"/>
            </w:tcBorders>
            <w:shd w:val="clear" w:color="auto" w:fill="auto"/>
            <w:hideMark/>
          </w:tcPr>
          <w:p w14:paraId="75D1BDA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OTROŠKA AMBULANTA MESNER</w:t>
            </w:r>
          </w:p>
        </w:tc>
        <w:tc>
          <w:tcPr>
            <w:tcW w:w="494" w:type="dxa"/>
            <w:tcBorders>
              <w:top w:val="nil"/>
              <w:left w:val="nil"/>
              <w:bottom w:val="single" w:sz="4" w:space="0" w:color="0070C0"/>
              <w:right w:val="single" w:sz="4" w:space="0" w:color="0070C0"/>
            </w:tcBorders>
            <w:shd w:val="clear" w:color="auto" w:fill="auto"/>
            <w:noWrap/>
            <w:hideMark/>
          </w:tcPr>
          <w:p w14:paraId="0A6593E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00B70D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51BC7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31247</w:t>
            </w:r>
          </w:p>
        </w:tc>
        <w:tc>
          <w:tcPr>
            <w:tcW w:w="1234" w:type="dxa"/>
            <w:tcBorders>
              <w:top w:val="nil"/>
              <w:left w:val="nil"/>
              <w:bottom w:val="single" w:sz="4" w:space="0" w:color="0070C0"/>
              <w:right w:val="single" w:sz="4" w:space="0" w:color="0070C0"/>
            </w:tcBorders>
            <w:shd w:val="clear" w:color="auto" w:fill="auto"/>
            <w:hideMark/>
          </w:tcPr>
          <w:p w14:paraId="72B8DB4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TISOVIC RUS TATJANA</w:t>
            </w:r>
          </w:p>
        </w:tc>
        <w:tc>
          <w:tcPr>
            <w:tcW w:w="494" w:type="dxa"/>
            <w:tcBorders>
              <w:top w:val="nil"/>
              <w:left w:val="nil"/>
              <w:bottom w:val="single" w:sz="4" w:space="0" w:color="0070C0"/>
              <w:right w:val="single" w:sz="4" w:space="0" w:color="0070C0"/>
            </w:tcBorders>
            <w:shd w:val="clear" w:color="auto" w:fill="auto"/>
            <w:noWrap/>
            <w:hideMark/>
          </w:tcPr>
          <w:p w14:paraId="38C0305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5B0156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1F3DB6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27221</w:t>
            </w:r>
          </w:p>
        </w:tc>
        <w:tc>
          <w:tcPr>
            <w:tcW w:w="1234" w:type="dxa"/>
            <w:tcBorders>
              <w:top w:val="nil"/>
              <w:left w:val="nil"/>
              <w:bottom w:val="single" w:sz="4" w:space="0" w:color="0070C0"/>
              <w:right w:val="single" w:sz="4" w:space="0" w:color="0070C0"/>
            </w:tcBorders>
            <w:shd w:val="clear" w:color="auto" w:fill="auto"/>
            <w:hideMark/>
          </w:tcPr>
          <w:p w14:paraId="5334608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ZASEBNI ZDRAV.ZAVOD KRIVEC</w:t>
            </w:r>
          </w:p>
        </w:tc>
        <w:tc>
          <w:tcPr>
            <w:tcW w:w="494" w:type="dxa"/>
            <w:tcBorders>
              <w:top w:val="nil"/>
              <w:left w:val="nil"/>
              <w:bottom w:val="single" w:sz="4" w:space="0" w:color="0070C0"/>
              <w:right w:val="single" w:sz="4" w:space="0" w:color="0070C0"/>
            </w:tcBorders>
            <w:shd w:val="clear" w:color="auto" w:fill="auto"/>
            <w:noWrap/>
            <w:hideMark/>
          </w:tcPr>
          <w:p w14:paraId="1B67BC5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F04038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F3260D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31257</w:t>
            </w:r>
          </w:p>
        </w:tc>
        <w:tc>
          <w:tcPr>
            <w:tcW w:w="1234" w:type="dxa"/>
            <w:tcBorders>
              <w:top w:val="nil"/>
              <w:left w:val="nil"/>
              <w:bottom w:val="single" w:sz="4" w:space="0" w:color="0070C0"/>
              <w:right w:val="single" w:sz="4" w:space="0" w:color="0070C0"/>
            </w:tcBorders>
            <w:shd w:val="clear" w:color="auto" w:fill="auto"/>
            <w:hideMark/>
          </w:tcPr>
          <w:p w14:paraId="4ABB0B1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REZAR SABINA</w:t>
            </w:r>
          </w:p>
        </w:tc>
        <w:tc>
          <w:tcPr>
            <w:tcW w:w="494" w:type="dxa"/>
            <w:tcBorders>
              <w:top w:val="nil"/>
              <w:left w:val="nil"/>
              <w:bottom w:val="single" w:sz="4" w:space="0" w:color="0070C0"/>
              <w:right w:val="single" w:sz="4" w:space="0" w:color="0070C0"/>
            </w:tcBorders>
            <w:shd w:val="clear" w:color="auto" w:fill="auto"/>
            <w:noWrap/>
            <w:hideMark/>
          </w:tcPr>
          <w:p w14:paraId="04A4BD6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47D0CF4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807E80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14647</w:t>
            </w:r>
          </w:p>
        </w:tc>
        <w:tc>
          <w:tcPr>
            <w:tcW w:w="1234" w:type="dxa"/>
            <w:tcBorders>
              <w:top w:val="nil"/>
              <w:left w:val="nil"/>
              <w:bottom w:val="single" w:sz="4" w:space="0" w:color="0070C0"/>
              <w:right w:val="single" w:sz="4" w:space="0" w:color="0070C0"/>
            </w:tcBorders>
            <w:shd w:val="clear" w:color="auto" w:fill="auto"/>
            <w:hideMark/>
          </w:tcPr>
          <w:p w14:paraId="025C03F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STANIVUK ŠPIRO</w:t>
            </w:r>
          </w:p>
        </w:tc>
        <w:tc>
          <w:tcPr>
            <w:tcW w:w="494" w:type="dxa"/>
            <w:tcBorders>
              <w:top w:val="nil"/>
              <w:left w:val="nil"/>
              <w:bottom w:val="single" w:sz="4" w:space="0" w:color="0070C0"/>
              <w:right w:val="single" w:sz="4" w:space="0" w:color="0070C0"/>
            </w:tcBorders>
            <w:shd w:val="clear" w:color="auto" w:fill="auto"/>
            <w:noWrap/>
            <w:hideMark/>
          </w:tcPr>
          <w:p w14:paraId="1F101A6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A30B6D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0ADF2E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55036</w:t>
            </w:r>
          </w:p>
        </w:tc>
        <w:tc>
          <w:tcPr>
            <w:tcW w:w="1234" w:type="dxa"/>
            <w:tcBorders>
              <w:top w:val="nil"/>
              <w:left w:val="nil"/>
              <w:bottom w:val="single" w:sz="4" w:space="0" w:color="0070C0"/>
              <w:right w:val="single" w:sz="4" w:space="0" w:color="0070C0"/>
            </w:tcBorders>
            <w:shd w:val="clear" w:color="auto" w:fill="auto"/>
            <w:hideMark/>
          </w:tcPr>
          <w:p w14:paraId="1C4C3C4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ZUPAN MANCA</w:t>
            </w:r>
          </w:p>
        </w:tc>
        <w:tc>
          <w:tcPr>
            <w:tcW w:w="494" w:type="dxa"/>
            <w:tcBorders>
              <w:top w:val="nil"/>
              <w:left w:val="nil"/>
              <w:bottom w:val="single" w:sz="4" w:space="0" w:color="0070C0"/>
              <w:right w:val="single" w:sz="4" w:space="0" w:color="0070C0"/>
            </w:tcBorders>
            <w:shd w:val="clear" w:color="auto" w:fill="auto"/>
            <w:noWrap/>
            <w:hideMark/>
          </w:tcPr>
          <w:p w14:paraId="33B1E1D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BF8E6F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9E40F0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31260</w:t>
            </w:r>
          </w:p>
        </w:tc>
        <w:tc>
          <w:tcPr>
            <w:tcW w:w="1234" w:type="dxa"/>
            <w:tcBorders>
              <w:top w:val="nil"/>
              <w:left w:val="nil"/>
              <w:bottom w:val="single" w:sz="4" w:space="0" w:color="0070C0"/>
              <w:right w:val="single" w:sz="4" w:space="0" w:color="0070C0"/>
            </w:tcBorders>
            <w:shd w:val="clear" w:color="auto" w:fill="auto"/>
            <w:hideMark/>
          </w:tcPr>
          <w:p w14:paraId="4D20879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SPLOŠNA MEDICINA JURIJ PESJAK</w:t>
            </w:r>
          </w:p>
        </w:tc>
        <w:tc>
          <w:tcPr>
            <w:tcW w:w="494" w:type="dxa"/>
            <w:tcBorders>
              <w:top w:val="nil"/>
              <w:left w:val="nil"/>
              <w:bottom w:val="single" w:sz="4" w:space="0" w:color="0070C0"/>
              <w:right w:val="single" w:sz="4" w:space="0" w:color="0070C0"/>
            </w:tcBorders>
            <w:shd w:val="clear" w:color="auto" w:fill="auto"/>
            <w:noWrap/>
            <w:hideMark/>
          </w:tcPr>
          <w:p w14:paraId="73FE406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187,84</w:t>
            </w:r>
          </w:p>
        </w:tc>
      </w:tr>
      <w:tr w:rsidR="00FE461F" w:rsidRPr="005E4BEA" w14:paraId="133B6C6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6C152D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17139</w:t>
            </w:r>
          </w:p>
        </w:tc>
        <w:tc>
          <w:tcPr>
            <w:tcW w:w="1234" w:type="dxa"/>
            <w:tcBorders>
              <w:top w:val="nil"/>
              <w:left w:val="nil"/>
              <w:bottom w:val="single" w:sz="4" w:space="0" w:color="0070C0"/>
              <w:right w:val="single" w:sz="4" w:space="0" w:color="0070C0"/>
            </w:tcBorders>
            <w:shd w:val="clear" w:color="auto" w:fill="auto"/>
            <w:hideMark/>
          </w:tcPr>
          <w:p w14:paraId="1193FC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TROJNAR BUDAK IRENA</w:t>
            </w:r>
          </w:p>
        </w:tc>
        <w:tc>
          <w:tcPr>
            <w:tcW w:w="494" w:type="dxa"/>
            <w:tcBorders>
              <w:top w:val="nil"/>
              <w:left w:val="nil"/>
              <w:bottom w:val="single" w:sz="4" w:space="0" w:color="0070C0"/>
              <w:right w:val="single" w:sz="4" w:space="0" w:color="0070C0"/>
            </w:tcBorders>
            <w:shd w:val="clear" w:color="auto" w:fill="auto"/>
            <w:noWrap/>
            <w:hideMark/>
          </w:tcPr>
          <w:p w14:paraId="75492C7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F2C361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9BB8F6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25276</w:t>
            </w:r>
          </w:p>
        </w:tc>
        <w:tc>
          <w:tcPr>
            <w:tcW w:w="1234" w:type="dxa"/>
            <w:tcBorders>
              <w:top w:val="nil"/>
              <w:left w:val="nil"/>
              <w:bottom w:val="single" w:sz="4" w:space="0" w:color="0070C0"/>
              <w:right w:val="single" w:sz="4" w:space="0" w:color="0070C0"/>
            </w:tcBorders>
            <w:shd w:val="clear" w:color="auto" w:fill="auto"/>
            <w:hideMark/>
          </w:tcPr>
          <w:p w14:paraId="5B793B4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ČEČ DOLES MAGDA</w:t>
            </w:r>
          </w:p>
        </w:tc>
        <w:tc>
          <w:tcPr>
            <w:tcW w:w="494" w:type="dxa"/>
            <w:tcBorders>
              <w:top w:val="nil"/>
              <w:left w:val="nil"/>
              <w:bottom w:val="single" w:sz="4" w:space="0" w:color="0070C0"/>
              <w:right w:val="single" w:sz="4" w:space="0" w:color="0070C0"/>
            </w:tcBorders>
            <w:shd w:val="clear" w:color="auto" w:fill="auto"/>
            <w:noWrap/>
            <w:hideMark/>
          </w:tcPr>
          <w:p w14:paraId="54E4235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41E1886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E24E64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31258</w:t>
            </w:r>
          </w:p>
        </w:tc>
        <w:tc>
          <w:tcPr>
            <w:tcW w:w="1234" w:type="dxa"/>
            <w:tcBorders>
              <w:top w:val="nil"/>
              <w:left w:val="nil"/>
              <w:bottom w:val="single" w:sz="4" w:space="0" w:color="0070C0"/>
              <w:right w:val="single" w:sz="4" w:space="0" w:color="0070C0"/>
            </w:tcBorders>
            <w:shd w:val="clear" w:color="auto" w:fill="auto"/>
            <w:hideMark/>
          </w:tcPr>
          <w:p w14:paraId="18A21EC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BERGINC MARJAN</w:t>
            </w:r>
          </w:p>
        </w:tc>
        <w:tc>
          <w:tcPr>
            <w:tcW w:w="494" w:type="dxa"/>
            <w:tcBorders>
              <w:top w:val="nil"/>
              <w:left w:val="nil"/>
              <w:bottom w:val="single" w:sz="4" w:space="0" w:color="0070C0"/>
              <w:right w:val="single" w:sz="4" w:space="0" w:color="0070C0"/>
            </w:tcBorders>
            <w:shd w:val="clear" w:color="auto" w:fill="auto"/>
            <w:noWrap/>
            <w:hideMark/>
          </w:tcPr>
          <w:p w14:paraId="1E83D07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7DF0A8B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43B889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20568</w:t>
            </w:r>
          </w:p>
        </w:tc>
        <w:tc>
          <w:tcPr>
            <w:tcW w:w="1234" w:type="dxa"/>
            <w:tcBorders>
              <w:top w:val="nil"/>
              <w:left w:val="nil"/>
              <w:bottom w:val="single" w:sz="4" w:space="0" w:color="0070C0"/>
              <w:right w:val="single" w:sz="4" w:space="0" w:color="0070C0"/>
            </w:tcBorders>
            <w:shd w:val="clear" w:color="auto" w:fill="auto"/>
            <w:hideMark/>
          </w:tcPr>
          <w:p w14:paraId="7AF44E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IBRIŠIMOVIĆ TIBOR</w:t>
            </w:r>
          </w:p>
        </w:tc>
        <w:tc>
          <w:tcPr>
            <w:tcW w:w="494" w:type="dxa"/>
            <w:tcBorders>
              <w:top w:val="nil"/>
              <w:left w:val="nil"/>
              <w:bottom w:val="single" w:sz="4" w:space="0" w:color="0070C0"/>
              <w:right w:val="single" w:sz="4" w:space="0" w:color="0070C0"/>
            </w:tcBorders>
            <w:shd w:val="clear" w:color="auto" w:fill="auto"/>
            <w:noWrap/>
            <w:hideMark/>
          </w:tcPr>
          <w:p w14:paraId="09863D7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39D15F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4854DF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20571</w:t>
            </w:r>
          </w:p>
        </w:tc>
        <w:tc>
          <w:tcPr>
            <w:tcW w:w="1234" w:type="dxa"/>
            <w:tcBorders>
              <w:top w:val="nil"/>
              <w:left w:val="nil"/>
              <w:bottom w:val="single" w:sz="4" w:space="0" w:color="0070C0"/>
              <w:right w:val="single" w:sz="4" w:space="0" w:color="0070C0"/>
            </w:tcBorders>
            <w:shd w:val="clear" w:color="auto" w:fill="auto"/>
            <w:hideMark/>
          </w:tcPr>
          <w:p w14:paraId="590C124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TETIČKOVIĆ RANFL MARTA</w:t>
            </w:r>
          </w:p>
        </w:tc>
        <w:tc>
          <w:tcPr>
            <w:tcW w:w="494" w:type="dxa"/>
            <w:tcBorders>
              <w:top w:val="nil"/>
              <w:left w:val="nil"/>
              <w:bottom w:val="single" w:sz="4" w:space="0" w:color="0070C0"/>
              <w:right w:val="single" w:sz="4" w:space="0" w:color="0070C0"/>
            </w:tcBorders>
            <w:shd w:val="clear" w:color="auto" w:fill="auto"/>
            <w:noWrap/>
            <w:hideMark/>
          </w:tcPr>
          <w:p w14:paraId="3F25438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5E607F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C60A93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31259</w:t>
            </w:r>
          </w:p>
        </w:tc>
        <w:tc>
          <w:tcPr>
            <w:tcW w:w="1234" w:type="dxa"/>
            <w:tcBorders>
              <w:top w:val="nil"/>
              <w:left w:val="nil"/>
              <w:bottom w:val="single" w:sz="4" w:space="0" w:color="0070C0"/>
              <w:right w:val="single" w:sz="4" w:space="0" w:color="0070C0"/>
            </w:tcBorders>
            <w:shd w:val="clear" w:color="auto" w:fill="auto"/>
            <w:hideMark/>
          </w:tcPr>
          <w:p w14:paraId="73480F1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MAJCEN IRENA</w:t>
            </w:r>
          </w:p>
        </w:tc>
        <w:tc>
          <w:tcPr>
            <w:tcW w:w="494" w:type="dxa"/>
            <w:tcBorders>
              <w:top w:val="nil"/>
              <w:left w:val="nil"/>
              <w:bottom w:val="single" w:sz="4" w:space="0" w:color="0070C0"/>
              <w:right w:val="single" w:sz="4" w:space="0" w:color="0070C0"/>
            </w:tcBorders>
            <w:shd w:val="clear" w:color="auto" w:fill="auto"/>
            <w:noWrap/>
            <w:hideMark/>
          </w:tcPr>
          <w:p w14:paraId="2E79134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0F8F792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4CCD29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29222</w:t>
            </w:r>
          </w:p>
        </w:tc>
        <w:tc>
          <w:tcPr>
            <w:tcW w:w="1234" w:type="dxa"/>
            <w:tcBorders>
              <w:top w:val="nil"/>
              <w:left w:val="nil"/>
              <w:bottom w:val="single" w:sz="4" w:space="0" w:color="0070C0"/>
              <w:right w:val="single" w:sz="4" w:space="0" w:color="0070C0"/>
            </w:tcBorders>
            <w:shd w:val="clear" w:color="auto" w:fill="auto"/>
            <w:hideMark/>
          </w:tcPr>
          <w:p w14:paraId="10B7E3D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GUŠTIN MATEJA</w:t>
            </w:r>
          </w:p>
        </w:tc>
        <w:tc>
          <w:tcPr>
            <w:tcW w:w="494" w:type="dxa"/>
            <w:tcBorders>
              <w:top w:val="nil"/>
              <w:left w:val="nil"/>
              <w:bottom w:val="single" w:sz="4" w:space="0" w:color="0070C0"/>
              <w:right w:val="single" w:sz="4" w:space="0" w:color="0070C0"/>
            </w:tcBorders>
            <w:shd w:val="clear" w:color="auto" w:fill="auto"/>
            <w:noWrap/>
            <w:hideMark/>
          </w:tcPr>
          <w:p w14:paraId="79AD7C8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133,53</w:t>
            </w:r>
          </w:p>
        </w:tc>
      </w:tr>
      <w:tr w:rsidR="00FE461F" w:rsidRPr="005E4BEA" w14:paraId="2B146E1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E27778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55037</w:t>
            </w:r>
          </w:p>
        </w:tc>
        <w:tc>
          <w:tcPr>
            <w:tcW w:w="1234" w:type="dxa"/>
            <w:tcBorders>
              <w:top w:val="nil"/>
              <w:left w:val="nil"/>
              <w:bottom w:val="single" w:sz="4" w:space="0" w:color="0070C0"/>
              <w:right w:val="single" w:sz="4" w:space="0" w:color="0070C0"/>
            </w:tcBorders>
            <w:shd w:val="clear" w:color="auto" w:fill="auto"/>
            <w:hideMark/>
          </w:tcPr>
          <w:p w14:paraId="1B205B6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SAJOVIC ROGLIČ ERNA</w:t>
            </w:r>
          </w:p>
        </w:tc>
        <w:tc>
          <w:tcPr>
            <w:tcW w:w="494" w:type="dxa"/>
            <w:tcBorders>
              <w:top w:val="nil"/>
              <w:left w:val="nil"/>
              <w:bottom w:val="single" w:sz="4" w:space="0" w:color="0070C0"/>
              <w:right w:val="single" w:sz="4" w:space="0" w:color="0070C0"/>
            </w:tcBorders>
            <w:shd w:val="clear" w:color="auto" w:fill="auto"/>
            <w:noWrap/>
            <w:hideMark/>
          </w:tcPr>
          <w:p w14:paraId="435EE8C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2DE83D5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9D0156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31246</w:t>
            </w:r>
          </w:p>
        </w:tc>
        <w:tc>
          <w:tcPr>
            <w:tcW w:w="1234" w:type="dxa"/>
            <w:tcBorders>
              <w:top w:val="nil"/>
              <w:left w:val="nil"/>
              <w:bottom w:val="single" w:sz="4" w:space="0" w:color="0070C0"/>
              <w:right w:val="single" w:sz="4" w:space="0" w:color="0070C0"/>
            </w:tcBorders>
            <w:shd w:val="clear" w:color="auto" w:fill="auto"/>
            <w:hideMark/>
          </w:tcPr>
          <w:p w14:paraId="4ED1572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BIĆANIĆ JURE</w:t>
            </w:r>
          </w:p>
        </w:tc>
        <w:tc>
          <w:tcPr>
            <w:tcW w:w="494" w:type="dxa"/>
            <w:tcBorders>
              <w:top w:val="nil"/>
              <w:left w:val="nil"/>
              <w:bottom w:val="single" w:sz="4" w:space="0" w:color="0070C0"/>
              <w:right w:val="single" w:sz="4" w:space="0" w:color="0070C0"/>
            </w:tcBorders>
            <w:shd w:val="clear" w:color="auto" w:fill="auto"/>
            <w:noWrap/>
            <w:hideMark/>
          </w:tcPr>
          <w:p w14:paraId="500A158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0D5197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18560D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29223</w:t>
            </w:r>
          </w:p>
        </w:tc>
        <w:tc>
          <w:tcPr>
            <w:tcW w:w="1234" w:type="dxa"/>
            <w:tcBorders>
              <w:top w:val="nil"/>
              <w:left w:val="nil"/>
              <w:bottom w:val="single" w:sz="4" w:space="0" w:color="0070C0"/>
              <w:right w:val="single" w:sz="4" w:space="0" w:color="0070C0"/>
            </w:tcBorders>
            <w:shd w:val="clear" w:color="auto" w:fill="auto"/>
            <w:hideMark/>
          </w:tcPr>
          <w:p w14:paraId="34E1AB3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MIRJAM VIDE KATIČ</w:t>
            </w:r>
          </w:p>
        </w:tc>
        <w:tc>
          <w:tcPr>
            <w:tcW w:w="494" w:type="dxa"/>
            <w:tcBorders>
              <w:top w:val="nil"/>
              <w:left w:val="nil"/>
              <w:bottom w:val="single" w:sz="4" w:space="0" w:color="0070C0"/>
              <w:right w:val="single" w:sz="4" w:space="0" w:color="0070C0"/>
            </w:tcBorders>
            <w:shd w:val="clear" w:color="auto" w:fill="auto"/>
            <w:noWrap/>
            <w:hideMark/>
          </w:tcPr>
          <w:p w14:paraId="507342C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0ED3F0B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A3FCAC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29224</w:t>
            </w:r>
          </w:p>
        </w:tc>
        <w:tc>
          <w:tcPr>
            <w:tcW w:w="1234" w:type="dxa"/>
            <w:tcBorders>
              <w:top w:val="nil"/>
              <w:left w:val="nil"/>
              <w:bottom w:val="single" w:sz="4" w:space="0" w:color="0070C0"/>
              <w:right w:val="single" w:sz="4" w:space="0" w:color="0070C0"/>
            </w:tcBorders>
            <w:shd w:val="clear" w:color="auto" w:fill="auto"/>
            <w:hideMark/>
          </w:tcPr>
          <w:p w14:paraId="3C52B2D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SIMONČIČ DANICA</w:t>
            </w:r>
          </w:p>
        </w:tc>
        <w:tc>
          <w:tcPr>
            <w:tcW w:w="494" w:type="dxa"/>
            <w:tcBorders>
              <w:top w:val="nil"/>
              <w:left w:val="nil"/>
              <w:bottom w:val="single" w:sz="4" w:space="0" w:color="0070C0"/>
              <w:right w:val="single" w:sz="4" w:space="0" w:color="0070C0"/>
            </w:tcBorders>
            <w:shd w:val="clear" w:color="auto" w:fill="auto"/>
            <w:noWrap/>
            <w:hideMark/>
          </w:tcPr>
          <w:p w14:paraId="4BA4DD8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625DAD4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C77B4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27228</w:t>
            </w:r>
          </w:p>
        </w:tc>
        <w:tc>
          <w:tcPr>
            <w:tcW w:w="1234" w:type="dxa"/>
            <w:tcBorders>
              <w:top w:val="nil"/>
              <w:left w:val="nil"/>
              <w:bottom w:val="single" w:sz="4" w:space="0" w:color="0070C0"/>
              <w:right w:val="single" w:sz="4" w:space="0" w:color="0070C0"/>
            </w:tcBorders>
            <w:shd w:val="clear" w:color="auto" w:fill="auto"/>
            <w:hideMark/>
          </w:tcPr>
          <w:p w14:paraId="46D1D70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VITA D.O.O.</w:t>
            </w:r>
          </w:p>
        </w:tc>
        <w:tc>
          <w:tcPr>
            <w:tcW w:w="494" w:type="dxa"/>
            <w:tcBorders>
              <w:top w:val="nil"/>
              <w:left w:val="nil"/>
              <w:bottom w:val="single" w:sz="4" w:space="0" w:color="0070C0"/>
              <w:right w:val="single" w:sz="4" w:space="0" w:color="0070C0"/>
            </w:tcBorders>
            <w:shd w:val="clear" w:color="auto" w:fill="auto"/>
            <w:noWrap/>
            <w:hideMark/>
          </w:tcPr>
          <w:p w14:paraId="7B32AE8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357,23</w:t>
            </w:r>
          </w:p>
        </w:tc>
      </w:tr>
      <w:tr w:rsidR="00FE461F" w:rsidRPr="005E4BEA" w14:paraId="6967263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ECE81B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17202</w:t>
            </w:r>
          </w:p>
        </w:tc>
        <w:tc>
          <w:tcPr>
            <w:tcW w:w="1234" w:type="dxa"/>
            <w:tcBorders>
              <w:top w:val="nil"/>
              <w:left w:val="nil"/>
              <w:bottom w:val="single" w:sz="4" w:space="0" w:color="0070C0"/>
              <w:right w:val="single" w:sz="4" w:space="0" w:color="0070C0"/>
            </w:tcBorders>
            <w:shd w:val="clear" w:color="auto" w:fill="auto"/>
            <w:hideMark/>
          </w:tcPr>
          <w:p w14:paraId="1354524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VITA MAR D.O.O.</w:t>
            </w:r>
          </w:p>
        </w:tc>
        <w:tc>
          <w:tcPr>
            <w:tcW w:w="494" w:type="dxa"/>
            <w:tcBorders>
              <w:top w:val="nil"/>
              <w:left w:val="nil"/>
              <w:bottom w:val="single" w:sz="4" w:space="0" w:color="0070C0"/>
              <w:right w:val="single" w:sz="4" w:space="0" w:color="0070C0"/>
            </w:tcBorders>
            <w:shd w:val="clear" w:color="auto" w:fill="auto"/>
            <w:noWrap/>
            <w:hideMark/>
          </w:tcPr>
          <w:p w14:paraId="24E4679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1DF4CBB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5319FF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33096</w:t>
            </w:r>
          </w:p>
        </w:tc>
        <w:tc>
          <w:tcPr>
            <w:tcW w:w="1234" w:type="dxa"/>
            <w:tcBorders>
              <w:top w:val="nil"/>
              <w:left w:val="nil"/>
              <w:bottom w:val="single" w:sz="4" w:space="0" w:color="0070C0"/>
              <w:right w:val="single" w:sz="4" w:space="0" w:color="0070C0"/>
            </w:tcBorders>
            <w:shd w:val="clear" w:color="auto" w:fill="auto"/>
            <w:hideMark/>
          </w:tcPr>
          <w:p w14:paraId="4BD3737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DR.MED.ROBERT RELJIČ</w:t>
            </w:r>
          </w:p>
        </w:tc>
        <w:tc>
          <w:tcPr>
            <w:tcW w:w="494" w:type="dxa"/>
            <w:tcBorders>
              <w:top w:val="nil"/>
              <w:left w:val="nil"/>
              <w:bottom w:val="single" w:sz="4" w:space="0" w:color="0070C0"/>
              <w:right w:val="single" w:sz="4" w:space="0" w:color="0070C0"/>
            </w:tcBorders>
            <w:shd w:val="clear" w:color="auto" w:fill="auto"/>
            <w:noWrap/>
            <w:hideMark/>
          </w:tcPr>
          <w:p w14:paraId="0A0286A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2E2494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338593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20598</w:t>
            </w:r>
          </w:p>
        </w:tc>
        <w:tc>
          <w:tcPr>
            <w:tcW w:w="1234" w:type="dxa"/>
            <w:tcBorders>
              <w:top w:val="nil"/>
              <w:left w:val="nil"/>
              <w:bottom w:val="single" w:sz="4" w:space="0" w:color="0070C0"/>
              <w:right w:val="single" w:sz="4" w:space="0" w:color="0070C0"/>
            </w:tcBorders>
            <w:shd w:val="clear" w:color="auto" w:fill="auto"/>
            <w:hideMark/>
          </w:tcPr>
          <w:p w14:paraId="33C45B9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MILEUSNIĆ NINA</w:t>
            </w:r>
          </w:p>
        </w:tc>
        <w:tc>
          <w:tcPr>
            <w:tcW w:w="494" w:type="dxa"/>
            <w:tcBorders>
              <w:top w:val="nil"/>
              <w:left w:val="nil"/>
              <w:bottom w:val="single" w:sz="4" w:space="0" w:color="0070C0"/>
              <w:right w:val="single" w:sz="4" w:space="0" w:color="0070C0"/>
            </w:tcBorders>
            <w:shd w:val="clear" w:color="auto" w:fill="auto"/>
            <w:noWrap/>
            <w:hideMark/>
          </w:tcPr>
          <w:p w14:paraId="0EFB89C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26C1750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E22E1E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55077</w:t>
            </w:r>
          </w:p>
        </w:tc>
        <w:tc>
          <w:tcPr>
            <w:tcW w:w="1234" w:type="dxa"/>
            <w:tcBorders>
              <w:top w:val="nil"/>
              <w:left w:val="nil"/>
              <w:bottom w:val="single" w:sz="4" w:space="0" w:color="0070C0"/>
              <w:right w:val="single" w:sz="4" w:space="0" w:color="0070C0"/>
            </w:tcBorders>
            <w:shd w:val="clear" w:color="auto" w:fill="auto"/>
            <w:hideMark/>
          </w:tcPr>
          <w:p w14:paraId="3B41D12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KLINIKA DOKTOR 24 D.O.O.</w:t>
            </w:r>
          </w:p>
        </w:tc>
        <w:tc>
          <w:tcPr>
            <w:tcW w:w="494" w:type="dxa"/>
            <w:tcBorders>
              <w:top w:val="nil"/>
              <w:left w:val="nil"/>
              <w:bottom w:val="single" w:sz="4" w:space="0" w:color="0070C0"/>
              <w:right w:val="single" w:sz="4" w:space="0" w:color="0070C0"/>
            </w:tcBorders>
            <w:shd w:val="clear" w:color="auto" w:fill="auto"/>
            <w:noWrap/>
            <w:hideMark/>
          </w:tcPr>
          <w:p w14:paraId="6700DA3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850,22</w:t>
            </w:r>
          </w:p>
        </w:tc>
      </w:tr>
      <w:tr w:rsidR="00FE461F" w:rsidRPr="005E4BEA" w14:paraId="5703519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6B2AA9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20593</w:t>
            </w:r>
          </w:p>
        </w:tc>
        <w:tc>
          <w:tcPr>
            <w:tcW w:w="1234" w:type="dxa"/>
            <w:tcBorders>
              <w:top w:val="nil"/>
              <w:left w:val="nil"/>
              <w:bottom w:val="single" w:sz="4" w:space="0" w:color="0070C0"/>
              <w:right w:val="single" w:sz="4" w:space="0" w:color="0070C0"/>
            </w:tcBorders>
            <w:shd w:val="clear" w:color="auto" w:fill="auto"/>
            <w:hideMark/>
          </w:tcPr>
          <w:p w14:paraId="6F46322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AMB.SPL.MED.MEJAČ EVA</w:t>
            </w:r>
          </w:p>
        </w:tc>
        <w:tc>
          <w:tcPr>
            <w:tcW w:w="494" w:type="dxa"/>
            <w:tcBorders>
              <w:top w:val="nil"/>
              <w:left w:val="nil"/>
              <w:bottom w:val="single" w:sz="4" w:space="0" w:color="0070C0"/>
              <w:right w:val="single" w:sz="4" w:space="0" w:color="0070C0"/>
            </w:tcBorders>
            <w:shd w:val="clear" w:color="auto" w:fill="auto"/>
            <w:noWrap/>
            <w:hideMark/>
          </w:tcPr>
          <w:p w14:paraId="72FFB65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E2DD7C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55EF9C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17201</w:t>
            </w:r>
          </w:p>
        </w:tc>
        <w:tc>
          <w:tcPr>
            <w:tcW w:w="1234" w:type="dxa"/>
            <w:tcBorders>
              <w:top w:val="nil"/>
              <w:left w:val="nil"/>
              <w:bottom w:val="single" w:sz="4" w:space="0" w:color="0070C0"/>
              <w:right w:val="single" w:sz="4" w:space="0" w:color="0070C0"/>
            </w:tcBorders>
            <w:shd w:val="clear" w:color="auto" w:fill="auto"/>
            <w:hideMark/>
          </w:tcPr>
          <w:p w14:paraId="17A1504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ORDIN.SPL.MED.JASMINKA DUKIČ</w:t>
            </w:r>
          </w:p>
        </w:tc>
        <w:tc>
          <w:tcPr>
            <w:tcW w:w="494" w:type="dxa"/>
            <w:tcBorders>
              <w:top w:val="nil"/>
              <w:left w:val="nil"/>
              <w:bottom w:val="single" w:sz="4" w:space="0" w:color="0070C0"/>
              <w:right w:val="single" w:sz="4" w:space="0" w:color="0070C0"/>
            </w:tcBorders>
            <w:shd w:val="clear" w:color="auto" w:fill="auto"/>
            <w:noWrap/>
            <w:hideMark/>
          </w:tcPr>
          <w:p w14:paraId="2290F5A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E2105C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FBC80C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55075</w:t>
            </w:r>
          </w:p>
        </w:tc>
        <w:tc>
          <w:tcPr>
            <w:tcW w:w="1234" w:type="dxa"/>
            <w:tcBorders>
              <w:top w:val="nil"/>
              <w:left w:val="nil"/>
              <w:bottom w:val="single" w:sz="4" w:space="0" w:color="0070C0"/>
              <w:right w:val="single" w:sz="4" w:space="0" w:color="0070C0"/>
            </w:tcBorders>
            <w:shd w:val="clear" w:color="auto" w:fill="auto"/>
            <w:hideMark/>
          </w:tcPr>
          <w:p w14:paraId="6DA6348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KUŠAR PRIMOŽ</w:t>
            </w:r>
          </w:p>
        </w:tc>
        <w:tc>
          <w:tcPr>
            <w:tcW w:w="494" w:type="dxa"/>
            <w:tcBorders>
              <w:top w:val="nil"/>
              <w:left w:val="nil"/>
              <w:bottom w:val="single" w:sz="4" w:space="0" w:color="0070C0"/>
              <w:right w:val="single" w:sz="4" w:space="0" w:color="0070C0"/>
            </w:tcBorders>
            <w:shd w:val="clear" w:color="auto" w:fill="auto"/>
            <w:noWrap/>
            <w:hideMark/>
          </w:tcPr>
          <w:p w14:paraId="1C3AFDA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22A8FE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E823B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29233</w:t>
            </w:r>
          </w:p>
        </w:tc>
        <w:tc>
          <w:tcPr>
            <w:tcW w:w="1234" w:type="dxa"/>
            <w:tcBorders>
              <w:top w:val="nil"/>
              <w:left w:val="nil"/>
              <w:bottom w:val="single" w:sz="4" w:space="0" w:color="0070C0"/>
              <w:right w:val="single" w:sz="4" w:space="0" w:color="0070C0"/>
            </w:tcBorders>
            <w:shd w:val="clear" w:color="auto" w:fill="auto"/>
            <w:hideMark/>
          </w:tcPr>
          <w:p w14:paraId="2BAE538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MEVITA-ČAMPA META</w:t>
            </w:r>
          </w:p>
        </w:tc>
        <w:tc>
          <w:tcPr>
            <w:tcW w:w="494" w:type="dxa"/>
            <w:tcBorders>
              <w:top w:val="nil"/>
              <w:left w:val="nil"/>
              <w:bottom w:val="single" w:sz="4" w:space="0" w:color="0070C0"/>
              <w:right w:val="single" w:sz="4" w:space="0" w:color="0070C0"/>
            </w:tcBorders>
            <w:shd w:val="clear" w:color="auto" w:fill="auto"/>
            <w:noWrap/>
            <w:hideMark/>
          </w:tcPr>
          <w:p w14:paraId="59C7699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40FCA2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5DEBCA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17205</w:t>
            </w:r>
          </w:p>
        </w:tc>
        <w:tc>
          <w:tcPr>
            <w:tcW w:w="1234" w:type="dxa"/>
            <w:tcBorders>
              <w:top w:val="nil"/>
              <w:left w:val="nil"/>
              <w:bottom w:val="single" w:sz="4" w:space="0" w:color="0070C0"/>
              <w:right w:val="single" w:sz="4" w:space="0" w:color="0070C0"/>
            </w:tcBorders>
            <w:shd w:val="clear" w:color="auto" w:fill="auto"/>
            <w:hideMark/>
          </w:tcPr>
          <w:p w14:paraId="0CF712B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ZAS.AMB.MARJETA MAROŠA MEOLIC</w:t>
            </w:r>
          </w:p>
        </w:tc>
        <w:tc>
          <w:tcPr>
            <w:tcW w:w="494" w:type="dxa"/>
            <w:tcBorders>
              <w:top w:val="nil"/>
              <w:left w:val="nil"/>
              <w:bottom w:val="single" w:sz="4" w:space="0" w:color="0070C0"/>
              <w:right w:val="single" w:sz="4" w:space="0" w:color="0070C0"/>
            </w:tcBorders>
            <w:shd w:val="clear" w:color="auto" w:fill="auto"/>
            <w:noWrap/>
            <w:hideMark/>
          </w:tcPr>
          <w:p w14:paraId="7D954F4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FE7FC0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CCB5F8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20592</w:t>
            </w:r>
          </w:p>
        </w:tc>
        <w:tc>
          <w:tcPr>
            <w:tcW w:w="1234" w:type="dxa"/>
            <w:tcBorders>
              <w:top w:val="nil"/>
              <w:left w:val="nil"/>
              <w:bottom w:val="single" w:sz="4" w:space="0" w:color="0070C0"/>
              <w:right w:val="single" w:sz="4" w:space="0" w:color="0070C0"/>
            </w:tcBorders>
            <w:shd w:val="clear" w:color="auto" w:fill="auto"/>
            <w:hideMark/>
          </w:tcPr>
          <w:p w14:paraId="311CE00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GERONTOLOŠKA IN SP.AMB.VOBOVNIK</w:t>
            </w:r>
          </w:p>
        </w:tc>
        <w:tc>
          <w:tcPr>
            <w:tcW w:w="494" w:type="dxa"/>
            <w:tcBorders>
              <w:top w:val="nil"/>
              <w:left w:val="nil"/>
              <w:bottom w:val="single" w:sz="4" w:space="0" w:color="0070C0"/>
              <w:right w:val="single" w:sz="4" w:space="0" w:color="0070C0"/>
            </w:tcBorders>
            <w:shd w:val="clear" w:color="auto" w:fill="auto"/>
            <w:noWrap/>
            <w:hideMark/>
          </w:tcPr>
          <w:p w14:paraId="3BCBAE3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227,82</w:t>
            </w:r>
          </w:p>
        </w:tc>
      </w:tr>
      <w:tr w:rsidR="00FE461F" w:rsidRPr="005E4BEA" w14:paraId="327E520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1BC764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20604</w:t>
            </w:r>
          </w:p>
        </w:tc>
        <w:tc>
          <w:tcPr>
            <w:tcW w:w="1234" w:type="dxa"/>
            <w:tcBorders>
              <w:top w:val="nil"/>
              <w:left w:val="nil"/>
              <w:bottom w:val="single" w:sz="4" w:space="0" w:color="0070C0"/>
              <w:right w:val="single" w:sz="4" w:space="0" w:color="0070C0"/>
            </w:tcBorders>
            <w:shd w:val="clear" w:color="auto" w:fill="auto"/>
            <w:hideMark/>
          </w:tcPr>
          <w:p w14:paraId="461264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PEDIATRIJA D.O.O.</w:t>
            </w:r>
          </w:p>
        </w:tc>
        <w:tc>
          <w:tcPr>
            <w:tcW w:w="494" w:type="dxa"/>
            <w:tcBorders>
              <w:top w:val="nil"/>
              <w:left w:val="nil"/>
              <w:bottom w:val="single" w:sz="4" w:space="0" w:color="0070C0"/>
              <w:right w:val="single" w:sz="4" w:space="0" w:color="0070C0"/>
            </w:tcBorders>
            <w:shd w:val="clear" w:color="auto" w:fill="auto"/>
            <w:noWrap/>
            <w:hideMark/>
          </w:tcPr>
          <w:p w14:paraId="4AA8382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7E0ED7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31EDDE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20614</w:t>
            </w:r>
          </w:p>
        </w:tc>
        <w:tc>
          <w:tcPr>
            <w:tcW w:w="1234" w:type="dxa"/>
            <w:tcBorders>
              <w:top w:val="nil"/>
              <w:left w:val="nil"/>
              <w:bottom w:val="single" w:sz="4" w:space="0" w:color="0070C0"/>
              <w:right w:val="single" w:sz="4" w:space="0" w:color="0070C0"/>
            </w:tcBorders>
            <w:shd w:val="clear" w:color="auto" w:fill="auto"/>
            <w:hideMark/>
          </w:tcPr>
          <w:p w14:paraId="423368D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ORDINIJA D.O.O.</w:t>
            </w:r>
          </w:p>
        </w:tc>
        <w:tc>
          <w:tcPr>
            <w:tcW w:w="494" w:type="dxa"/>
            <w:tcBorders>
              <w:top w:val="nil"/>
              <w:left w:val="nil"/>
              <w:bottom w:val="single" w:sz="4" w:space="0" w:color="0070C0"/>
              <w:right w:val="single" w:sz="4" w:space="0" w:color="0070C0"/>
            </w:tcBorders>
            <w:shd w:val="clear" w:color="auto" w:fill="auto"/>
            <w:noWrap/>
            <w:hideMark/>
          </w:tcPr>
          <w:p w14:paraId="494ADBD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7639C5C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B02118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20618</w:t>
            </w:r>
          </w:p>
        </w:tc>
        <w:tc>
          <w:tcPr>
            <w:tcW w:w="1234" w:type="dxa"/>
            <w:tcBorders>
              <w:top w:val="nil"/>
              <w:left w:val="nil"/>
              <w:bottom w:val="single" w:sz="4" w:space="0" w:color="0070C0"/>
              <w:right w:val="single" w:sz="4" w:space="0" w:color="0070C0"/>
            </w:tcBorders>
            <w:shd w:val="clear" w:color="auto" w:fill="auto"/>
            <w:hideMark/>
          </w:tcPr>
          <w:p w14:paraId="4967E74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NIKL KRAVOS D.O.O.</w:t>
            </w:r>
          </w:p>
        </w:tc>
        <w:tc>
          <w:tcPr>
            <w:tcW w:w="494" w:type="dxa"/>
            <w:tcBorders>
              <w:top w:val="nil"/>
              <w:left w:val="nil"/>
              <w:bottom w:val="single" w:sz="4" w:space="0" w:color="0070C0"/>
              <w:right w:val="single" w:sz="4" w:space="0" w:color="0070C0"/>
            </w:tcBorders>
            <w:shd w:val="clear" w:color="auto" w:fill="auto"/>
            <w:noWrap/>
            <w:hideMark/>
          </w:tcPr>
          <w:p w14:paraId="321F4F8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5D19BE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164584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25290</w:t>
            </w:r>
          </w:p>
        </w:tc>
        <w:tc>
          <w:tcPr>
            <w:tcW w:w="1234" w:type="dxa"/>
            <w:tcBorders>
              <w:top w:val="nil"/>
              <w:left w:val="nil"/>
              <w:bottom w:val="single" w:sz="4" w:space="0" w:color="0070C0"/>
              <w:right w:val="single" w:sz="4" w:space="0" w:color="0070C0"/>
            </w:tcBorders>
            <w:shd w:val="clear" w:color="auto" w:fill="auto"/>
            <w:hideMark/>
          </w:tcPr>
          <w:p w14:paraId="219C5E1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ZDRAVJE METKA IN BRANIMIR</w:t>
            </w:r>
          </w:p>
        </w:tc>
        <w:tc>
          <w:tcPr>
            <w:tcW w:w="494" w:type="dxa"/>
            <w:tcBorders>
              <w:top w:val="nil"/>
              <w:left w:val="nil"/>
              <w:bottom w:val="single" w:sz="4" w:space="0" w:color="0070C0"/>
              <w:right w:val="single" w:sz="4" w:space="0" w:color="0070C0"/>
            </w:tcBorders>
            <w:shd w:val="clear" w:color="auto" w:fill="auto"/>
            <w:noWrap/>
            <w:hideMark/>
          </w:tcPr>
          <w:p w14:paraId="06D1485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E32641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556ECB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20617</w:t>
            </w:r>
          </w:p>
        </w:tc>
        <w:tc>
          <w:tcPr>
            <w:tcW w:w="1234" w:type="dxa"/>
            <w:tcBorders>
              <w:top w:val="nil"/>
              <w:left w:val="nil"/>
              <w:bottom w:val="single" w:sz="4" w:space="0" w:color="0070C0"/>
              <w:right w:val="single" w:sz="4" w:space="0" w:color="0070C0"/>
            </w:tcBorders>
            <w:shd w:val="clear" w:color="auto" w:fill="auto"/>
            <w:hideMark/>
          </w:tcPr>
          <w:p w14:paraId="22C5309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 SLOG D.O.O.</w:t>
            </w:r>
          </w:p>
        </w:tc>
        <w:tc>
          <w:tcPr>
            <w:tcW w:w="494" w:type="dxa"/>
            <w:tcBorders>
              <w:top w:val="nil"/>
              <w:left w:val="nil"/>
              <w:bottom w:val="single" w:sz="4" w:space="0" w:color="0070C0"/>
              <w:right w:val="single" w:sz="4" w:space="0" w:color="0070C0"/>
            </w:tcBorders>
            <w:shd w:val="clear" w:color="auto" w:fill="auto"/>
            <w:noWrap/>
            <w:hideMark/>
          </w:tcPr>
          <w:p w14:paraId="01E58BD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34710A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E35930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29238</w:t>
            </w:r>
          </w:p>
        </w:tc>
        <w:tc>
          <w:tcPr>
            <w:tcW w:w="1234" w:type="dxa"/>
            <w:tcBorders>
              <w:top w:val="nil"/>
              <w:left w:val="nil"/>
              <w:bottom w:val="single" w:sz="4" w:space="0" w:color="0070C0"/>
              <w:right w:val="single" w:sz="4" w:space="0" w:color="0070C0"/>
            </w:tcBorders>
            <w:shd w:val="clear" w:color="auto" w:fill="auto"/>
            <w:hideMark/>
          </w:tcPr>
          <w:p w14:paraId="7857576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OBRADOVIĆ ZDRAVSTVO D.O.O.</w:t>
            </w:r>
          </w:p>
        </w:tc>
        <w:tc>
          <w:tcPr>
            <w:tcW w:w="494" w:type="dxa"/>
            <w:tcBorders>
              <w:top w:val="nil"/>
              <w:left w:val="nil"/>
              <w:bottom w:val="single" w:sz="4" w:space="0" w:color="0070C0"/>
              <w:right w:val="single" w:sz="4" w:space="0" w:color="0070C0"/>
            </w:tcBorders>
            <w:shd w:val="clear" w:color="auto" w:fill="auto"/>
            <w:noWrap/>
            <w:hideMark/>
          </w:tcPr>
          <w:p w14:paraId="49BFEF2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415,32</w:t>
            </w:r>
          </w:p>
        </w:tc>
      </w:tr>
      <w:tr w:rsidR="00FE461F" w:rsidRPr="005E4BEA" w14:paraId="20CADB2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8577E5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25292</w:t>
            </w:r>
          </w:p>
        </w:tc>
        <w:tc>
          <w:tcPr>
            <w:tcW w:w="1234" w:type="dxa"/>
            <w:tcBorders>
              <w:top w:val="nil"/>
              <w:left w:val="nil"/>
              <w:bottom w:val="single" w:sz="4" w:space="0" w:color="0070C0"/>
              <w:right w:val="single" w:sz="4" w:space="0" w:color="0070C0"/>
            </w:tcBorders>
            <w:shd w:val="clear" w:color="auto" w:fill="auto"/>
            <w:hideMark/>
          </w:tcPr>
          <w:p w14:paraId="0F9679A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ZDRAVSTVENI ZAVOD KOPILOVIČ PORTOROŽ</w:t>
            </w:r>
          </w:p>
        </w:tc>
        <w:tc>
          <w:tcPr>
            <w:tcW w:w="494" w:type="dxa"/>
            <w:tcBorders>
              <w:top w:val="nil"/>
              <w:left w:val="nil"/>
              <w:bottom w:val="single" w:sz="4" w:space="0" w:color="0070C0"/>
              <w:right w:val="single" w:sz="4" w:space="0" w:color="0070C0"/>
            </w:tcBorders>
            <w:shd w:val="clear" w:color="auto" w:fill="auto"/>
            <w:noWrap/>
            <w:hideMark/>
          </w:tcPr>
          <w:p w14:paraId="1AC55E9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110,74</w:t>
            </w:r>
          </w:p>
        </w:tc>
      </w:tr>
      <w:tr w:rsidR="00FE461F" w:rsidRPr="005E4BEA" w14:paraId="3DB951D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145B9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33101</w:t>
            </w:r>
          </w:p>
        </w:tc>
        <w:tc>
          <w:tcPr>
            <w:tcW w:w="1234" w:type="dxa"/>
            <w:tcBorders>
              <w:top w:val="nil"/>
              <w:left w:val="nil"/>
              <w:bottom w:val="single" w:sz="4" w:space="0" w:color="0070C0"/>
              <w:right w:val="single" w:sz="4" w:space="0" w:color="0070C0"/>
            </w:tcBorders>
            <w:shd w:val="clear" w:color="auto" w:fill="auto"/>
            <w:hideMark/>
          </w:tcPr>
          <w:p w14:paraId="0AE8C55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MEDICINA MLINAR D.O.O.</w:t>
            </w:r>
          </w:p>
        </w:tc>
        <w:tc>
          <w:tcPr>
            <w:tcW w:w="494" w:type="dxa"/>
            <w:tcBorders>
              <w:top w:val="nil"/>
              <w:left w:val="nil"/>
              <w:bottom w:val="single" w:sz="4" w:space="0" w:color="0070C0"/>
              <w:right w:val="single" w:sz="4" w:space="0" w:color="0070C0"/>
            </w:tcBorders>
            <w:shd w:val="clear" w:color="auto" w:fill="auto"/>
            <w:noWrap/>
            <w:hideMark/>
          </w:tcPr>
          <w:p w14:paraId="1EE7CD3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BFE2EA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9854CD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20630</w:t>
            </w:r>
          </w:p>
        </w:tc>
        <w:tc>
          <w:tcPr>
            <w:tcW w:w="1234" w:type="dxa"/>
            <w:tcBorders>
              <w:top w:val="nil"/>
              <w:left w:val="nil"/>
              <w:bottom w:val="single" w:sz="4" w:space="0" w:color="0070C0"/>
              <w:right w:val="single" w:sz="4" w:space="0" w:color="0070C0"/>
            </w:tcBorders>
            <w:shd w:val="clear" w:color="auto" w:fill="auto"/>
            <w:hideMark/>
          </w:tcPr>
          <w:p w14:paraId="59E0D21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SABINA ROZMAN GOLČAR</w:t>
            </w:r>
          </w:p>
        </w:tc>
        <w:tc>
          <w:tcPr>
            <w:tcW w:w="494" w:type="dxa"/>
            <w:tcBorders>
              <w:top w:val="nil"/>
              <w:left w:val="nil"/>
              <w:bottom w:val="single" w:sz="4" w:space="0" w:color="0070C0"/>
              <w:right w:val="single" w:sz="4" w:space="0" w:color="0070C0"/>
            </w:tcBorders>
            <w:shd w:val="clear" w:color="auto" w:fill="auto"/>
            <w:noWrap/>
            <w:hideMark/>
          </w:tcPr>
          <w:p w14:paraId="20E92A0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7195FB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1517E6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55095</w:t>
            </w:r>
          </w:p>
        </w:tc>
        <w:tc>
          <w:tcPr>
            <w:tcW w:w="1234" w:type="dxa"/>
            <w:tcBorders>
              <w:top w:val="nil"/>
              <w:left w:val="nil"/>
              <w:bottom w:val="single" w:sz="4" w:space="0" w:color="0070C0"/>
              <w:right w:val="single" w:sz="4" w:space="0" w:color="0070C0"/>
            </w:tcBorders>
            <w:shd w:val="clear" w:color="auto" w:fill="auto"/>
            <w:hideMark/>
          </w:tcPr>
          <w:p w14:paraId="3E6B5AA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EMIR ČOLIĆ</w:t>
            </w:r>
          </w:p>
        </w:tc>
        <w:tc>
          <w:tcPr>
            <w:tcW w:w="494" w:type="dxa"/>
            <w:tcBorders>
              <w:top w:val="nil"/>
              <w:left w:val="nil"/>
              <w:bottom w:val="single" w:sz="4" w:space="0" w:color="0070C0"/>
              <w:right w:val="single" w:sz="4" w:space="0" w:color="0070C0"/>
            </w:tcBorders>
            <w:shd w:val="clear" w:color="auto" w:fill="auto"/>
            <w:noWrap/>
            <w:hideMark/>
          </w:tcPr>
          <w:p w14:paraId="3780E68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7182411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37943D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29239</w:t>
            </w:r>
          </w:p>
        </w:tc>
        <w:tc>
          <w:tcPr>
            <w:tcW w:w="1234" w:type="dxa"/>
            <w:tcBorders>
              <w:top w:val="nil"/>
              <w:left w:val="nil"/>
              <w:bottom w:val="single" w:sz="4" w:space="0" w:color="0070C0"/>
              <w:right w:val="single" w:sz="4" w:space="0" w:color="0070C0"/>
            </w:tcBorders>
            <w:shd w:val="clear" w:color="auto" w:fill="auto"/>
            <w:hideMark/>
          </w:tcPr>
          <w:p w14:paraId="6E2DA6C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SEVER MELITA</w:t>
            </w:r>
          </w:p>
        </w:tc>
        <w:tc>
          <w:tcPr>
            <w:tcW w:w="494" w:type="dxa"/>
            <w:tcBorders>
              <w:top w:val="nil"/>
              <w:left w:val="nil"/>
              <w:bottom w:val="single" w:sz="4" w:space="0" w:color="0070C0"/>
              <w:right w:val="single" w:sz="4" w:space="0" w:color="0070C0"/>
            </w:tcBorders>
            <w:shd w:val="clear" w:color="auto" w:fill="auto"/>
            <w:noWrap/>
            <w:hideMark/>
          </w:tcPr>
          <w:p w14:paraId="686478F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3B8CCAD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D0754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55096</w:t>
            </w:r>
          </w:p>
        </w:tc>
        <w:tc>
          <w:tcPr>
            <w:tcW w:w="1234" w:type="dxa"/>
            <w:tcBorders>
              <w:top w:val="nil"/>
              <w:left w:val="nil"/>
              <w:bottom w:val="single" w:sz="4" w:space="0" w:color="0070C0"/>
              <w:right w:val="single" w:sz="4" w:space="0" w:color="0070C0"/>
            </w:tcBorders>
            <w:shd w:val="clear" w:color="auto" w:fill="auto"/>
            <w:hideMark/>
          </w:tcPr>
          <w:p w14:paraId="0D4015B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FRANC NOVAK</w:t>
            </w:r>
          </w:p>
        </w:tc>
        <w:tc>
          <w:tcPr>
            <w:tcW w:w="494" w:type="dxa"/>
            <w:tcBorders>
              <w:top w:val="nil"/>
              <w:left w:val="nil"/>
              <w:bottom w:val="single" w:sz="4" w:space="0" w:color="0070C0"/>
              <w:right w:val="single" w:sz="4" w:space="0" w:color="0070C0"/>
            </w:tcBorders>
            <w:shd w:val="clear" w:color="auto" w:fill="auto"/>
            <w:noWrap/>
            <w:hideMark/>
          </w:tcPr>
          <w:p w14:paraId="6E8D3DE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C76B8A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34F7B8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55112</w:t>
            </w:r>
          </w:p>
        </w:tc>
        <w:tc>
          <w:tcPr>
            <w:tcW w:w="1234" w:type="dxa"/>
            <w:tcBorders>
              <w:top w:val="nil"/>
              <w:left w:val="nil"/>
              <w:bottom w:val="single" w:sz="4" w:space="0" w:color="0070C0"/>
              <w:right w:val="single" w:sz="4" w:space="0" w:color="0070C0"/>
            </w:tcBorders>
            <w:shd w:val="clear" w:color="auto" w:fill="auto"/>
            <w:hideMark/>
          </w:tcPr>
          <w:p w14:paraId="3B43559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KOPRIVEC</w:t>
            </w:r>
          </w:p>
        </w:tc>
        <w:tc>
          <w:tcPr>
            <w:tcW w:w="494" w:type="dxa"/>
            <w:tcBorders>
              <w:top w:val="nil"/>
              <w:left w:val="nil"/>
              <w:bottom w:val="single" w:sz="4" w:space="0" w:color="0070C0"/>
              <w:right w:val="single" w:sz="4" w:space="0" w:color="0070C0"/>
            </w:tcBorders>
            <w:shd w:val="clear" w:color="auto" w:fill="auto"/>
            <w:noWrap/>
            <w:hideMark/>
          </w:tcPr>
          <w:p w14:paraId="21386B3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191B5B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196F96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20635</w:t>
            </w:r>
          </w:p>
        </w:tc>
        <w:tc>
          <w:tcPr>
            <w:tcW w:w="1234" w:type="dxa"/>
            <w:tcBorders>
              <w:top w:val="nil"/>
              <w:left w:val="nil"/>
              <w:bottom w:val="single" w:sz="4" w:space="0" w:color="0070C0"/>
              <w:right w:val="single" w:sz="4" w:space="0" w:color="0070C0"/>
            </w:tcBorders>
            <w:shd w:val="clear" w:color="auto" w:fill="auto"/>
            <w:hideMark/>
          </w:tcPr>
          <w:p w14:paraId="57EA74E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 SLADKI VRH</w:t>
            </w:r>
          </w:p>
        </w:tc>
        <w:tc>
          <w:tcPr>
            <w:tcW w:w="494" w:type="dxa"/>
            <w:tcBorders>
              <w:top w:val="nil"/>
              <w:left w:val="nil"/>
              <w:bottom w:val="single" w:sz="4" w:space="0" w:color="0070C0"/>
              <w:right w:val="single" w:sz="4" w:space="0" w:color="0070C0"/>
            </w:tcBorders>
            <w:shd w:val="clear" w:color="auto" w:fill="auto"/>
            <w:noWrap/>
            <w:hideMark/>
          </w:tcPr>
          <w:p w14:paraId="58939A4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199,88</w:t>
            </w:r>
          </w:p>
        </w:tc>
      </w:tr>
      <w:tr w:rsidR="00FE461F" w:rsidRPr="005E4BEA" w14:paraId="3C44657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DF5CC6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20634</w:t>
            </w:r>
          </w:p>
        </w:tc>
        <w:tc>
          <w:tcPr>
            <w:tcW w:w="1234" w:type="dxa"/>
            <w:tcBorders>
              <w:top w:val="nil"/>
              <w:left w:val="nil"/>
              <w:bottom w:val="single" w:sz="4" w:space="0" w:color="0070C0"/>
              <w:right w:val="single" w:sz="4" w:space="0" w:color="0070C0"/>
            </w:tcBorders>
            <w:shd w:val="clear" w:color="auto" w:fill="auto"/>
            <w:hideMark/>
          </w:tcPr>
          <w:p w14:paraId="19AE925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PEDENJPED D.O.O.</w:t>
            </w:r>
          </w:p>
        </w:tc>
        <w:tc>
          <w:tcPr>
            <w:tcW w:w="494" w:type="dxa"/>
            <w:tcBorders>
              <w:top w:val="nil"/>
              <w:left w:val="nil"/>
              <w:bottom w:val="single" w:sz="4" w:space="0" w:color="0070C0"/>
              <w:right w:val="single" w:sz="4" w:space="0" w:color="0070C0"/>
            </w:tcBorders>
            <w:shd w:val="clear" w:color="auto" w:fill="auto"/>
            <w:noWrap/>
            <w:hideMark/>
          </w:tcPr>
          <w:p w14:paraId="5930B2B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7A5698E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6F5DB1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55270</w:t>
            </w:r>
          </w:p>
        </w:tc>
        <w:tc>
          <w:tcPr>
            <w:tcW w:w="1234" w:type="dxa"/>
            <w:tcBorders>
              <w:top w:val="nil"/>
              <w:left w:val="nil"/>
              <w:bottom w:val="single" w:sz="4" w:space="0" w:color="0070C0"/>
              <w:right w:val="single" w:sz="4" w:space="0" w:color="0070C0"/>
            </w:tcBorders>
            <w:shd w:val="clear" w:color="auto" w:fill="auto"/>
            <w:hideMark/>
          </w:tcPr>
          <w:p w14:paraId="40E34FD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ZAVOD FITLAB</w:t>
            </w:r>
          </w:p>
        </w:tc>
        <w:tc>
          <w:tcPr>
            <w:tcW w:w="494" w:type="dxa"/>
            <w:tcBorders>
              <w:top w:val="nil"/>
              <w:left w:val="nil"/>
              <w:bottom w:val="single" w:sz="4" w:space="0" w:color="0070C0"/>
              <w:right w:val="single" w:sz="4" w:space="0" w:color="0070C0"/>
            </w:tcBorders>
            <w:shd w:val="clear" w:color="auto" w:fill="auto"/>
            <w:noWrap/>
            <w:hideMark/>
          </w:tcPr>
          <w:p w14:paraId="6B7B757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910,02</w:t>
            </w:r>
          </w:p>
        </w:tc>
      </w:tr>
      <w:tr w:rsidR="00FE461F" w:rsidRPr="005E4BEA" w14:paraId="1720CAE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7345F6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25338</w:t>
            </w:r>
          </w:p>
        </w:tc>
        <w:tc>
          <w:tcPr>
            <w:tcW w:w="1234" w:type="dxa"/>
            <w:tcBorders>
              <w:top w:val="nil"/>
              <w:left w:val="nil"/>
              <w:bottom w:val="single" w:sz="4" w:space="0" w:color="0070C0"/>
              <w:right w:val="single" w:sz="4" w:space="0" w:color="0070C0"/>
            </w:tcBorders>
            <w:shd w:val="clear" w:color="auto" w:fill="auto"/>
            <w:hideMark/>
          </w:tcPr>
          <w:p w14:paraId="5F3E01D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 RADI&amp;RADI KOPER</w:t>
            </w:r>
          </w:p>
        </w:tc>
        <w:tc>
          <w:tcPr>
            <w:tcW w:w="494" w:type="dxa"/>
            <w:tcBorders>
              <w:top w:val="nil"/>
              <w:left w:val="nil"/>
              <w:bottom w:val="single" w:sz="4" w:space="0" w:color="0070C0"/>
              <w:right w:val="single" w:sz="4" w:space="0" w:color="0070C0"/>
            </w:tcBorders>
            <w:shd w:val="clear" w:color="auto" w:fill="auto"/>
            <w:noWrap/>
            <w:hideMark/>
          </w:tcPr>
          <w:p w14:paraId="68DA3B4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FF018E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154EB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20187</w:t>
            </w:r>
          </w:p>
        </w:tc>
        <w:tc>
          <w:tcPr>
            <w:tcW w:w="1234" w:type="dxa"/>
            <w:tcBorders>
              <w:top w:val="nil"/>
              <w:left w:val="nil"/>
              <w:bottom w:val="single" w:sz="4" w:space="0" w:color="0070C0"/>
              <w:right w:val="single" w:sz="4" w:space="0" w:color="0070C0"/>
            </w:tcBorders>
            <w:shd w:val="clear" w:color="auto" w:fill="auto"/>
            <w:hideMark/>
          </w:tcPr>
          <w:p w14:paraId="2C79CF4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KOS MOJCA</w:t>
            </w:r>
          </w:p>
        </w:tc>
        <w:tc>
          <w:tcPr>
            <w:tcW w:w="494" w:type="dxa"/>
            <w:tcBorders>
              <w:top w:val="nil"/>
              <w:left w:val="nil"/>
              <w:bottom w:val="single" w:sz="4" w:space="0" w:color="0070C0"/>
              <w:right w:val="single" w:sz="4" w:space="0" w:color="0070C0"/>
            </w:tcBorders>
            <w:shd w:val="clear" w:color="auto" w:fill="auto"/>
            <w:noWrap/>
            <w:hideMark/>
          </w:tcPr>
          <w:p w14:paraId="58116F8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06E554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8F8631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39</w:t>
            </w:r>
          </w:p>
        </w:tc>
        <w:tc>
          <w:tcPr>
            <w:tcW w:w="1234" w:type="dxa"/>
            <w:tcBorders>
              <w:top w:val="nil"/>
              <w:left w:val="nil"/>
              <w:bottom w:val="single" w:sz="4" w:space="0" w:color="0070C0"/>
              <w:right w:val="single" w:sz="4" w:space="0" w:color="0070C0"/>
            </w:tcBorders>
            <w:shd w:val="clear" w:color="auto" w:fill="auto"/>
            <w:hideMark/>
          </w:tcPr>
          <w:p w14:paraId="5BFDFE8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ZZMM</w:t>
            </w:r>
          </w:p>
        </w:tc>
        <w:tc>
          <w:tcPr>
            <w:tcW w:w="494" w:type="dxa"/>
            <w:tcBorders>
              <w:top w:val="nil"/>
              <w:left w:val="nil"/>
              <w:bottom w:val="single" w:sz="4" w:space="0" w:color="0070C0"/>
              <w:right w:val="single" w:sz="4" w:space="0" w:color="0070C0"/>
            </w:tcBorders>
            <w:shd w:val="clear" w:color="auto" w:fill="auto"/>
            <w:noWrap/>
            <w:hideMark/>
          </w:tcPr>
          <w:p w14:paraId="3A1B9D4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434,44</w:t>
            </w:r>
          </w:p>
        </w:tc>
      </w:tr>
      <w:tr w:rsidR="00FE461F" w:rsidRPr="005E4BEA" w14:paraId="18FAAAC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3CAA1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25320</w:t>
            </w:r>
          </w:p>
        </w:tc>
        <w:tc>
          <w:tcPr>
            <w:tcW w:w="1234" w:type="dxa"/>
            <w:tcBorders>
              <w:top w:val="nil"/>
              <w:left w:val="nil"/>
              <w:bottom w:val="single" w:sz="4" w:space="0" w:color="0070C0"/>
              <w:right w:val="single" w:sz="4" w:space="0" w:color="0070C0"/>
            </w:tcBorders>
            <w:shd w:val="clear" w:color="auto" w:fill="auto"/>
            <w:hideMark/>
          </w:tcPr>
          <w:p w14:paraId="7FAFAA8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 ZAVOD DR.VUČKO PORTOROŽ</w:t>
            </w:r>
          </w:p>
        </w:tc>
        <w:tc>
          <w:tcPr>
            <w:tcW w:w="494" w:type="dxa"/>
            <w:tcBorders>
              <w:top w:val="nil"/>
              <w:left w:val="nil"/>
              <w:bottom w:val="single" w:sz="4" w:space="0" w:color="0070C0"/>
              <w:right w:val="single" w:sz="4" w:space="0" w:color="0070C0"/>
            </w:tcBorders>
            <w:shd w:val="clear" w:color="auto" w:fill="auto"/>
            <w:noWrap/>
            <w:hideMark/>
          </w:tcPr>
          <w:p w14:paraId="112D7BF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EEC857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37720A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20669</w:t>
            </w:r>
          </w:p>
        </w:tc>
        <w:tc>
          <w:tcPr>
            <w:tcW w:w="1234" w:type="dxa"/>
            <w:tcBorders>
              <w:top w:val="nil"/>
              <w:left w:val="nil"/>
              <w:bottom w:val="single" w:sz="4" w:space="0" w:color="0070C0"/>
              <w:right w:val="single" w:sz="4" w:space="0" w:color="0070C0"/>
            </w:tcBorders>
            <w:shd w:val="clear" w:color="auto" w:fill="auto"/>
            <w:hideMark/>
          </w:tcPr>
          <w:p w14:paraId="6C2DCBD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PEDIATRINJA D.O.O.</w:t>
            </w:r>
          </w:p>
        </w:tc>
        <w:tc>
          <w:tcPr>
            <w:tcW w:w="494" w:type="dxa"/>
            <w:tcBorders>
              <w:top w:val="nil"/>
              <w:left w:val="nil"/>
              <w:bottom w:val="single" w:sz="4" w:space="0" w:color="0070C0"/>
              <w:right w:val="single" w:sz="4" w:space="0" w:color="0070C0"/>
            </w:tcBorders>
            <w:shd w:val="clear" w:color="auto" w:fill="auto"/>
            <w:noWrap/>
            <w:hideMark/>
          </w:tcPr>
          <w:p w14:paraId="33F1D10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88E5FF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2C8AEC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20649</w:t>
            </w:r>
          </w:p>
        </w:tc>
        <w:tc>
          <w:tcPr>
            <w:tcW w:w="1234" w:type="dxa"/>
            <w:tcBorders>
              <w:top w:val="nil"/>
              <w:left w:val="nil"/>
              <w:bottom w:val="single" w:sz="4" w:space="0" w:color="0070C0"/>
              <w:right w:val="single" w:sz="4" w:space="0" w:color="0070C0"/>
            </w:tcBorders>
            <w:shd w:val="clear" w:color="auto" w:fill="auto"/>
            <w:hideMark/>
          </w:tcPr>
          <w:p w14:paraId="57E5B08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MEDIKUS D.O.O.</w:t>
            </w:r>
          </w:p>
        </w:tc>
        <w:tc>
          <w:tcPr>
            <w:tcW w:w="494" w:type="dxa"/>
            <w:tcBorders>
              <w:top w:val="nil"/>
              <w:left w:val="nil"/>
              <w:bottom w:val="single" w:sz="4" w:space="0" w:color="0070C0"/>
              <w:right w:val="single" w:sz="4" w:space="0" w:color="0070C0"/>
            </w:tcBorders>
            <w:shd w:val="clear" w:color="auto" w:fill="auto"/>
            <w:noWrap/>
            <w:hideMark/>
          </w:tcPr>
          <w:p w14:paraId="21B219A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502D75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903D0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27243</w:t>
            </w:r>
          </w:p>
        </w:tc>
        <w:tc>
          <w:tcPr>
            <w:tcW w:w="1234" w:type="dxa"/>
            <w:tcBorders>
              <w:top w:val="nil"/>
              <w:left w:val="nil"/>
              <w:bottom w:val="single" w:sz="4" w:space="0" w:color="0070C0"/>
              <w:right w:val="single" w:sz="4" w:space="0" w:color="0070C0"/>
            </w:tcBorders>
            <w:shd w:val="clear" w:color="auto" w:fill="auto"/>
            <w:hideMark/>
          </w:tcPr>
          <w:p w14:paraId="4250AC2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VITALIJA D.O.O., KRANJ</w:t>
            </w:r>
          </w:p>
        </w:tc>
        <w:tc>
          <w:tcPr>
            <w:tcW w:w="494" w:type="dxa"/>
            <w:tcBorders>
              <w:top w:val="nil"/>
              <w:left w:val="nil"/>
              <w:bottom w:val="single" w:sz="4" w:space="0" w:color="0070C0"/>
              <w:right w:val="single" w:sz="4" w:space="0" w:color="0070C0"/>
            </w:tcBorders>
            <w:shd w:val="clear" w:color="auto" w:fill="auto"/>
            <w:noWrap/>
            <w:hideMark/>
          </w:tcPr>
          <w:p w14:paraId="2BEA42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572,92</w:t>
            </w:r>
          </w:p>
        </w:tc>
      </w:tr>
      <w:tr w:rsidR="00FE461F" w:rsidRPr="005E4BEA" w14:paraId="52FB26B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90B0D1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20652</w:t>
            </w:r>
          </w:p>
        </w:tc>
        <w:tc>
          <w:tcPr>
            <w:tcW w:w="1234" w:type="dxa"/>
            <w:tcBorders>
              <w:top w:val="nil"/>
              <w:left w:val="nil"/>
              <w:bottom w:val="single" w:sz="4" w:space="0" w:color="0070C0"/>
              <w:right w:val="single" w:sz="4" w:space="0" w:color="0070C0"/>
            </w:tcBorders>
            <w:shd w:val="clear" w:color="auto" w:fill="auto"/>
            <w:hideMark/>
          </w:tcPr>
          <w:p w14:paraId="68026DA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DENTIKO D.O.O.</w:t>
            </w:r>
          </w:p>
        </w:tc>
        <w:tc>
          <w:tcPr>
            <w:tcW w:w="494" w:type="dxa"/>
            <w:tcBorders>
              <w:top w:val="nil"/>
              <w:left w:val="nil"/>
              <w:bottom w:val="single" w:sz="4" w:space="0" w:color="0070C0"/>
              <w:right w:val="single" w:sz="4" w:space="0" w:color="0070C0"/>
            </w:tcBorders>
            <w:shd w:val="clear" w:color="auto" w:fill="auto"/>
            <w:noWrap/>
            <w:hideMark/>
          </w:tcPr>
          <w:p w14:paraId="40352C8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850,22</w:t>
            </w:r>
          </w:p>
        </w:tc>
      </w:tr>
      <w:tr w:rsidR="00FE461F" w:rsidRPr="005E4BEA" w14:paraId="3A36817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809203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17223</w:t>
            </w:r>
          </w:p>
        </w:tc>
        <w:tc>
          <w:tcPr>
            <w:tcW w:w="1234" w:type="dxa"/>
            <w:tcBorders>
              <w:top w:val="nil"/>
              <w:left w:val="nil"/>
              <w:bottom w:val="single" w:sz="4" w:space="0" w:color="0070C0"/>
              <w:right w:val="single" w:sz="4" w:space="0" w:color="0070C0"/>
            </w:tcBorders>
            <w:shd w:val="clear" w:color="auto" w:fill="auto"/>
            <w:hideMark/>
          </w:tcPr>
          <w:p w14:paraId="61266AE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ŽIVŽAV D.O.O.</w:t>
            </w:r>
          </w:p>
        </w:tc>
        <w:tc>
          <w:tcPr>
            <w:tcW w:w="494" w:type="dxa"/>
            <w:tcBorders>
              <w:top w:val="nil"/>
              <w:left w:val="nil"/>
              <w:bottom w:val="single" w:sz="4" w:space="0" w:color="0070C0"/>
              <w:right w:val="single" w:sz="4" w:space="0" w:color="0070C0"/>
            </w:tcBorders>
            <w:shd w:val="clear" w:color="auto" w:fill="auto"/>
            <w:noWrap/>
            <w:hideMark/>
          </w:tcPr>
          <w:p w14:paraId="19DFCFE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9B08CE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10A75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25342</w:t>
            </w:r>
          </w:p>
        </w:tc>
        <w:tc>
          <w:tcPr>
            <w:tcW w:w="1234" w:type="dxa"/>
            <w:tcBorders>
              <w:top w:val="nil"/>
              <w:left w:val="nil"/>
              <w:bottom w:val="single" w:sz="4" w:space="0" w:color="0070C0"/>
              <w:right w:val="single" w:sz="4" w:space="0" w:color="0070C0"/>
            </w:tcBorders>
            <w:shd w:val="clear" w:color="auto" w:fill="auto"/>
            <w:hideMark/>
          </w:tcPr>
          <w:p w14:paraId="11EF8B0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GAIA MED D.O.O.</w:t>
            </w:r>
          </w:p>
        </w:tc>
        <w:tc>
          <w:tcPr>
            <w:tcW w:w="494" w:type="dxa"/>
            <w:tcBorders>
              <w:top w:val="nil"/>
              <w:left w:val="nil"/>
              <w:bottom w:val="single" w:sz="4" w:space="0" w:color="0070C0"/>
              <w:right w:val="single" w:sz="4" w:space="0" w:color="0070C0"/>
            </w:tcBorders>
            <w:shd w:val="clear" w:color="auto" w:fill="auto"/>
            <w:noWrap/>
            <w:hideMark/>
          </w:tcPr>
          <w:p w14:paraId="2DB5FCD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EA8FAA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51A75D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20667</w:t>
            </w:r>
          </w:p>
        </w:tc>
        <w:tc>
          <w:tcPr>
            <w:tcW w:w="1234" w:type="dxa"/>
            <w:tcBorders>
              <w:top w:val="nil"/>
              <w:left w:val="nil"/>
              <w:bottom w:val="single" w:sz="4" w:space="0" w:color="0070C0"/>
              <w:right w:val="single" w:sz="4" w:space="0" w:color="0070C0"/>
            </w:tcBorders>
            <w:shd w:val="clear" w:color="auto" w:fill="auto"/>
            <w:hideMark/>
          </w:tcPr>
          <w:p w14:paraId="2327F04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ZDRAVSTVENA ORDINAC."DR ŠOLMAN"</w:t>
            </w:r>
          </w:p>
        </w:tc>
        <w:tc>
          <w:tcPr>
            <w:tcW w:w="494" w:type="dxa"/>
            <w:tcBorders>
              <w:top w:val="nil"/>
              <w:left w:val="nil"/>
              <w:bottom w:val="single" w:sz="4" w:space="0" w:color="0070C0"/>
              <w:right w:val="single" w:sz="4" w:space="0" w:color="0070C0"/>
            </w:tcBorders>
            <w:shd w:val="clear" w:color="auto" w:fill="auto"/>
            <w:noWrap/>
            <w:hideMark/>
          </w:tcPr>
          <w:p w14:paraId="4E3ABE7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447,51</w:t>
            </w:r>
          </w:p>
        </w:tc>
      </w:tr>
      <w:tr w:rsidR="00FE461F" w:rsidRPr="005E4BEA" w14:paraId="00D1223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A486F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lastRenderedPageBreak/>
              <w:t>55121</w:t>
            </w:r>
          </w:p>
        </w:tc>
        <w:tc>
          <w:tcPr>
            <w:tcW w:w="1234" w:type="dxa"/>
            <w:tcBorders>
              <w:top w:val="nil"/>
              <w:left w:val="nil"/>
              <w:bottom w:val="single" w:sz="4" w:space="0" w:color="0070C0"/>
              <w:right w:val="single" w:sz="4" w:space="0" w:color="0070C0"/>
            </w:tcBorders>
            <w:shd w:val="clear" w:color="auto" w:fill="auto"/>
            <w:hideMark/>
          </w:tcPr>
          <w:p w14:paraId="09DAE20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TINA MODREJ ZADNIKAR, DR.MED</w:t>
            </w:r>
          </w:p>
        </w:tc>
        <w:tc>
          <w:tcPr>
            <w:tcW w:w="494" w:type="dxa"/>
            <w:tcBorders>
              <w:top w:val="nil"/>
              <w:left w:val="nil"/>
              <w:bottom w:val="single" w:sz="4" w:space="0" w:color="0070C0"/>
              <w:right w:val="single" w:sz="4" w:space="0" w:color="0070C0"/>
            </w:tcBorders>
            <w:shd w:val="clear" w:color="auto" w:fill="auto"/>
            <w:noWrap/>
            <w:hideMark/>
          </w:tcPr>
          <w:p w14:paraId="2D1E5C8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388,04</w:t>
            </w:r>
          </w:p>
        </w:tc>
      </w:tr>
      <w:tr w:rsidR="00FE461F" w:rsidRPr="005E4BEA" w14:paraId="2C166AB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219F95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25353</w:t>
            </w:r>
          </w:p>
        </w:tc>
        <w:tc>
          <w:tcPr>
            <w:tcW w:w="1234" w:type="dxa"/>
            <w:tcBorders>
              <w:top w:val="nil"/>
              <w:left w:val="nil"/>
              <w:bottom w:val="single" w:sz="4" w:space="0" w:color="0070C0"/>
              <w:right w:val="single" w:sz="4" w:space="0" w:color="0070C0"/>
            </w:tcBorders>
            <w:shd w:val="clear" w:color="auto" w:fill="auto"/>
            <w:hideMark/>
          </w:tcPr>
          <w:p w14:paraId="697F26E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 ZDRAVLJENJE KOPER</w:t>
            </w:r>
          </w:p>
        </w:tc>
        <w:tc>
          <w:tcPr>
            <w:tcW w:w="494" w:type="dxa"/>
            <w:tcBorders>
              <w:top w:val="nil"/>
              <w:left w:val="nil"/>
              <w:bottom w:val="single" w:sz="4" w:space="0" w:color="0070C0"/>
              <w:right w:val="single" w:sz="4" w:space="0" w:color="0070C0"/>
            </w:tcBorders>
            <w:shd w:val="clear" w:color="auto" w:fill="auto"/>
            <w:noWrap/>
            <w:hideMark/>
          </w:tcPr>
          <w:p w14:paraId="4E04E01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315,54</w:t>
            </w:r>
          </w:p>
        </w:tc>
      </w:tr>
      <w:tr w:rsidR="00FE461F" w:rsidRPr="005E4BEA" w14:paraId="7D4964D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09A2F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20648</w:t>
            </w:r>
          </w:p>
        </w:tc>
        <w:tc>
          <w:tcPr>
            <w:tcW w:w="1234" w:type="dxa"/>
            <w:tcBorders>
              <w:top w:val="nil"/>
              <w:left w:val="nil"/>
              <w:bottom w:val="single" w:sz="4" w:space="0" w:color="0070C0"/>
              <w:right w:val="single" w:sz="4" w:space="0" w:color="0070C0"/>
            </w:tcBorders>
            <w:shd w:val="clear" w:color="auto" w:fill="auto"/>
            <w:hideMark/>
          </w:tcPr>
          <w:p w14:paraId="53BD8A1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SPLOŠNA AMBUL. INA HEGEDIČ</w:t>
            </w:r>
          </w:p>
        </w:tc>
        <w:tc>
          <w:tcPr>
            <w:tcW w:w="494" w:type="dxa"/>
            <w:tcBorders>
              <w:top w:val="nil"/>
              <w:left w:val="nil"/>
              <w:bottom w:val="single" w:sz="4" w:space="0" w:color="0070C0"/>
              <w:right w:val="single" w:sz="4" w:space="0" w:color="0070C0"/>
            </w:tcBorders>
            <w:shd w:val="clear" w:color="auto" w:fill="auto"/>
            <w:noWrap/>
            <w:hideMark/>
          </w:tcPr>
          <w:p w14:paraId="29675C3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D6D61A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3AFB66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17231</w:t>
            </w:r>
          </w:p>
        </w:tc>
        <w:tc>
          <w:tcPr>
            <w:tcW w:w="1234" w:type="dxa"/>
            <w:tcBorders>
              <w:top w:val="nil"/>
              <w:left w:val="nil"/>
              <w:bottom w:val="single" w:sz="4" w:space="0" w:color="0070C0"/>
              <w:right w:val="single" w:sz="4" w:space="0" w:color="0070C0"/>
            </w:tcBorders>
            <w:shd w:val="clear" w:color="auto" w:fill="auto"/>
            <w:hideMark/>
          </w:tcPr>
          <w:p w14:paraId="06F441F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JUVIS D.O.O.</w:t>
            </w:r>
          </w:p>
        </w:tc>
        <w:tc>
          <w:tcPr>
            <w:tcW w:w="494" w:type="dxa"/>
            <w:tcBorders>
              <w:top w:val="nil"/>
              <w:left w:val="nil"/>
              <w:bottom w:val="single" w:sz="4" w:space="0" w:color="0070C0"/>
              <w:right w:val="single" w:sz="4" w:space="0" w:color="0070C0"/>
            </w:tcBorders>
            <w:shd w:val="clear" w:color="auto" w:fill="auto"/>
            <w:noWrap/>
            <w:hideMark/>
          </w:tcPr>
          <w:p w14:paraId="63945AD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FBAC11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47964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20689</w:t>
            </w:r>
          </w:p>
        </w:tc>
        <w:tc>
          <w:tcPr>
            <w:tcW w:w="1234" w:type="dxa"/>
            <w:tcBorders>
              <w:top w:val="nil"/>
              <w:left w:val="nil"/>
              <w:bottom w:val="single" w:sz="4" w:space="0" w:color="0070C0"/>
              <w:right w:val="single" w:sz="4" w:space="0" w:color="0070C0"/>
            </w:tcBorders>
            <w:shd w:val="clear" w:color="auto" w:fill="auto"/>
            <w:hideMark/>
          </w:tcPr>
          <w:p w14:paraId="6D5C5F5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AMIGDALA D.O.O.</w:t>
            </w:r>
          </w:p>
        </w:tc>
        <w:tc>
          <w:tcPr>
            <w:tcW w:w="494" w:type="dxa"/>
            <w:tcBorders>
              <w:top w:val="nil"/>
              <w:left w:val="nil"/>
              <w:bottom w:val="single" w:sz="4" w:space="0" w:color="0070C0"/>
              <w:right w:val="single" w:sz="4" w:space="0" w:color="0070C0"/>
            </w:tcBorders>
            <w:shd w:val="clear" w:color="auto" w:fill="auto"/>
            <w:noWrap/>
            <w:hideMark/>
          </w:tcPr>
          <w:p w14:paraId="0BC2156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15.712,87</w:t>
            </w:r>
          </w:p>
        </w:tc>
      </w:tr>
      <w:tr w:rsidR="00FE461F" w:rsidRPr="005E4BEA" w14:paraId="1D76932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A8E788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55094</w:t>
            </w:r>
          </w:p>
        </w:tc>
        <w:tc>
          <w:tcPr>
            <w:tcW w:w="1234" w:type="dxa"/>
            <w:tcBorders>
              <w:top w:val="nil"/>
              <w:left w:val="nil"/>
              <w:bottom w:val="single" w:sz="4" w:space="0" w:color="0070C0"/>
              <w:right w:val="single" w:sz="4" w:space="0" w:color="0070C0"/>
            </w:tcBorders>
            <w:shd w:val="clear" w:color="auto" w:fill="auto"/>
            <w:hideMark/>
          </w:tcPr>
          <w:p w14:paraId="36B3BA5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STANISLAV OSTANEK</w:t>
            </w:r>
          </w:p>
        </w:tc>
        <w:tc>
          <w:tcPr>
            <w:tcW w:w="494" w:type="dxa"/>
            <w:tcBorders>
              <w:top w:val="nil"/>
              <w:left w:val="nil"/>
              <w:bottom w:val="single" w:sz="4" w:space="0" w:color="0070C0"/>
              <w:right w:val="single" w:sz="4" w:space="0" w:color="0070C0"/>
            </w:tcBorders>
            <w:shd w:val="clear" w:color="auto" w:fill="auto"/>
            <w:noWrap/>
            <w:hideMark/>
          </w:tcPr>
          <w:p w14:paraId="27FFDAB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00A2B5B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8F7C52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20692</w:t>
            </w:r>
          </w:p>
        </w:tc>
        <w:tc>
          <w:tcPr>
            <w:tcW w:w="1234" w:type="dxa"/>
            <w:tcBorders>
              <w:top w:val="nil"/>
              <w:left w:val="nil"/>
              <w:bottom w:val="single" w:sz="4" w:space="0" w:color="0070C0"/>
              <w:right w:val="single" w:sz="4" w:space="0" w:color="0070C0"/>
            </w:tcBorders>
            <w:shd w:val="clear" w:color="auto" w:fill="auto"/>
            <w:hideMark/>
          </w:tcPr>
          <w:p w14:paraId="0453A41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TOMINC D.O.O.</w:t>
            </w:r>
          </w:p>
        </w:tc>
        <w:tc>
          <w:tcPr>
            <w:tcW w:w="494" w:type="dxa"/>
            <w:tcBorders>
              <w:top w:val="nil"/>
              <w:left w:val="nil"/>
              <w:bottom w:val="single" w:sz="4" w:space="0" w:color="0070C0"/>
              <w:right w:val="single" w:sz="4" w:space="0" w:color="0070C0"/>
            </w:tcBorders>
            <w:shd w:val="clear" w:color="auto" w:fill="auto"/>
            <w:noWrap/>
            <w:hideMark/>
          </w:tcPr>
          <w:p w14:paraId="17CBCDC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13A879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D23216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20677</w:t>
            </w:r>
          </w:p>
        </w:tc>
        <w:tc>
          <w:tcPr>
            <w:tcW w:w="1234" w:type="dxa"/>
            <w:tcBorders>
              <w:top w:val="nil"/>
              <w:left w:val="nil"/>
              <w:bottom w:val="single" w:sz="4" w:space="0" w:color="0070C0"/>
              <w:right w:val="single" w:sz="4" w:space="0" w:color="0070C0"/>
            </w:tcBorders>
            <w:shd w:val="clear" w:color="auto" w:fill="auto"/>
            <w:hideMark/>
          </w:tcPr>
          <w:p w14:paraId="47C61F8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ZDRAVSTVO BERIĆ, D.O.O.</w:t>
            </w:r>
          </w:p>
        </w:tc>
        <w:tc>
          <w:tcPr>
            <w:tcW w:w="494" w:type="dxa"/>
            <w:tcBorders>
              <w:top w:val="nil"/>
              <w:left w:val="nil"/>
              <w:bottom w:val="single" w:sz="4" w:space="0" w:color="0070C0"/>
              <w:right w:val="single" w:sz="4" w:space="0" w:color="0070C0"/>
            </w:tcBorders>
            <w:shd w:val="clear" w:color="auto" w:fill="auto"/>
            <w:noWrap/>
            <w:hideMark/>
          </w:tcPr>
          <w:p w14:paraId="16B5383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2C7786D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D6FD3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20693</w:t>
            </w:r>
          </w:p>
        </w:tc>
        <w:tc>
          <w:tcPr>
            <w:tcW w:w="1234" w:type="dxa"/>
            <w:tcBorders>
              <w:top w:val="nil"/>
              <w:left w:val="nil"/>
              <w:bottom w:val="single" w:sz="4" w:space="0" w:color="0070C0"/>
              <w:right w:val="single" w:sz="4" w:space="0" w:color="0070C0"/>
            </w:tcBorders>
            <w:shd w:val="clear" w:color="auto" w:fill="auto"/>
            <w:hideMark/>
          </w:tcPr>
          <w:p w14:paraId="4623821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ZA VSE GENERACIJE</w:t>
            </w:r>
          </w:p>
        </w:tc>
        <w:tc>
          <w:tcPr>
            <w:tcW w:w="494" w:type="dxa"/>
            <w:tcBorders>
              <w:top w:val="nil"/>
              <w:left w:val="nil"/>
              <w:bottom w:val="single" w:sz="4" w:space="0" w:color="0070C0"/>
              <w:right w:val="single" w:sz="4" w:space="0" w:color="0070C0"/>
            </w:tcBorders>
            <w:shd w:val="clear" w:color="auto" w:fill="auto"/>
            <w:noWrap/>
            <w:hideMark/>
          </w:tcPr>
          <w:p w14:paraId="5B42CB2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BFB66A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07D5F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20710</w:t>
            </w:r>
          </w:p>
        </w:tc>
        <w:tc>
          <w:tcPr>
            <w:tcW w:w="1234" w:type="dxa"/>
            <w:tcBorders>
              <w:top w:val="nil"/>
              <w:left w:val="nil"/>
              <w:bottom w:val="single" w:sz="4" w:space="0" w:color="0070C0"/>
              <w:right w:val="single" w:sz="4" w:space="0" w:color="0070C0"/>
            </w:tcBorders>
            <w:shd w:val="clear" w:color="auto" w:fill="auto"/>
            <w:hideMark/>
          </w:tcPr>
          <w:p w14:paraId="64C7251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LILIMED, D.O.O.</w:t>
            </w:r>
          </w:p>
        </w:tc>
        <w:tc>
          <w:tcPr>
            <w:tcW w:w="494" w:type="dxa"/>
            <w:tcBorders>
              <w:top w:val="nil"/>
              <w:left w:val="nil"/>
              <w:bottom w:val="single" w:sz="4" w:space="0" w:color="0070C0"/>
              <w:right w:val="single" w:sz="4" w:space="0" w:color="0070C0"/>
            </w:tcBorders>
            <w:shd w:val="clear" w:color="auto" w:fill="auto"/>
            <w:noWrap/>
            <w:hideMark/>
          </w:tcPr>
          <w:p w14:paraId="46E7F6F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1CF517E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69F1D7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55149</w:t>
            </w:r>
          </w:p>
        </w:tc>
        <w:tc>
          <w:tcPr>
            <w:tcW w:w="1234" w:type="dxa"/>
            <w:tcBorders>
              <w:top w:val="nil"/>
              <w:left w:val="nil"/>
              <w:bottom w:val="single" w:sz="4" w:space="0" w:color="0070C0"/>
              <w:right w:val="single" w:sz="4" w:space="0" w:color="0070C0"/>
            </w:tcBorders>
            <w:shd w:val="clear" w:color="auto" w:fill="auto"/>
            <w:hideMark/>
          </w:tcPr>
          <w:p w14:paraId="213958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MOLE HELENA</w:t>
            </w:r>
          </w:p>
        </w:tc>
        <w:tc>
          <w:tcPr>
            <w:tcW w:w="494" w:type="dxa"/>
            <w:tcBorders>
              <w:top w:val="nil"/>
              <w:left w:val="nil"/>
              <w:bottom w:val="single" w:sz="4" w:space="0" w:color="0070C0"/>
              <w:right w:val="single" w:sz="4" w:space="0" w:color="0070C0"/>
            </w:tcBorders>
            <w:shd w:val="clear" w:color="auto" w:fill="auto"/>
            <w:noWrap/>
            <w:hideMark/>
          </w:tcPr>
          <w:p w14:paraId="2FF31EE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250EDFB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1A3A5A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20705</w:t>
            </w:r>
          </w:p>
        </w:tc>
        <w:tc>
          <w:tcPr>
            <w:tcW w:w="1234" w:type="dxa"/>
            <w:tcBorders>
              <w:top w:val="nil"/>
              <w:left w:val="nil"/>
              <w:bottom w:val="single" w:sz="4" w:space="0" w:color="0070C0"/>
              <w:right w:val="single" w:sz="4" w:space="0" w:color="0070C0"/>
            </w:tcBorders>
            <w:shd w:val="clear" w:color="auto" w:fill="auto"/>
            <w:hideMark/>
          </w:tcPr>
          <w:p w14:paraId="7E17E21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ECHINACEA, D.O.O.</w:t>
            </w:r>
          </w:p>
        </w:tc>
        <w:tc>
          <w:tcPr>
            <w:tcW w:w="494" w:type="dxa"/>
            <w:tcBorders>
              <w:top w:val="nil"/>
              <w:left w:val="nil"/>
              <w:bottom w:val="single" w:sz="4" w:space="0" w:color="0070C0"/>
              <w:right w:val="single" w:sz="4" w:space="0" w:color="0070C0"/>
            </w:tcBorders>
            <w:shd w:val="clear" w:color="auto" w:fill="auto"/>
            <w:noWrap/>
            <w:hideMark/>
          </w:tcPr>
          <w:p w14:paraId="7549A36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955869" w:rsidRPr="005E4BEA" w14:paraId="7A518B0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tcPr>
          <w:p w14:paraId="1A0F7795" w14:textId="77777777" w:rsidR="00955869" w:rsidRPr="005E4BEA" w:rsidRDefault="00955869" w:rsidP="00FE461F">
            <w:pPr>
              <w:spacing w:line="240" w:lineRule="auto"/>
              <w:jc w:val="both"/>
              <w:rPr>
                <w:rFonts w:cs="Arial"/>
                <w:color w:val="000000"/>
                <w:szCs w:val="20"/>
              </w:rPr>
            </w:pPr>
          </w:p>
        </w:tc>
        <w:tc>
          <w:tcPr>
            <w:tcW w:w="1234" w:type="dxa"/>
            <w:tcBorders>
              <w:top w:val="nil"/>
              <w:left w:val="nil"/>
              <w:bottom w:val="single" w:sz="4" w:space="0" w:color="0070C0"/>
              <w:right w:val="single" w:sz="4" w:space="0" w:color="0070C0"/>
            </w:tcBorders>
            <w:shd w:val="clear" w:color="auto" w:fill="auto"/>
          </w:tcPr>
          <w:p w14:paraId="5E6B4873" w14:textId="77777777" w:rsidR="00955869" w:rsidRPr="005E4BEA" w:rsidRDefault="00955869" w:rsidP="00FE461F">
            <w:pPr>
              <w:spacing w:line="240" w:lineRule="auto"/>
              <w:jc w:val="both"/>
              <w:rPr>
                <w:rFonts w:cs="Arial"/>
                <w:color w:val="000000"/>
                <w:szCs w:val="20"/>
              </w:rPr>
            </w:pPr>
          </w:p>
        </w:tc>
        <w:tc>
          <w:tcPr>
            <w:tcW w:w="494" w:type="dxa"/>
            <w:tcBorders>
              <w:top w:val="nil"/>
              <w:left w:val="nil"/>
              <w:bottom w:val="single" w:sz="4" w:space="0" w:color="0070C0"/>
              <w:right w:val="single" w:sz="4" w:space="0" w:color="0070C0"/>
            </w:tcBorders>
            <w:shd w:val="clear" w:color="auto" w:fill="auto"/>
            <w:noWrap/>
          </w:tcPr>
          <w:p w14:paraId="54C73BE4" w14:textId="77777777" w:rsidR="00955869" w:rsidRPr="005E4BEA" w:rsidRDefault="00955869" w:rsidP="00FE461F">
            <w:pPr>
              <w:spacing w:line="240" w:lineRule="auto"/>
              <w:jc w:val="right"/>
              <w:rPr>
                <w:rFonts w:cs="Arial"/>
                <w:color w:val="000000"/>
                <w:szCs w:val="20"/>
              </w:rPr>
            </w:pPr>
          </w:p>
        </w:tc>
      </w:tr>
      <w:tr w:rsidR="00FE461F" w:rsidRPr="005E4BEA" w14:paraId="0FC1AEE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6A950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20679</w:t>
            </w:r>
          </w:p>
        </w:tc>
        <w:tc>
          <w:tcPr>
            <w:tcW w:w="1234" w:type="dxa"/>
            <w:tcBorders>
              <w:top w:val="nil"/>
              <w:left w:val="nil"/>
              <w:bottom w:val="single" w:sz="4" w:space="0" w:color="0070C0"/>
              <w:right w:val="single" w:sz="4" w:space="0" w:color="0070C0"/>
            </w:tcBorders>
            <w:shd w:val="clear" w:color="auto" w:fill="auto"/>
            <w:hideMark/>
          </w:tcPr>
          <w:p w14:paraId="6893D34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VISAMA D.O.O.</w:t>
            </w:r>
          </w:p>
        </w:tc>
        <w:tc>
          <w:tcPr>
            <w:tcW w:w="494" w:type="dxa"/>
            <w:tcBorders>
              <w:top w:val="nil"/>
              <w:left w:val="nil"/>
              <w:bottom w:val="single" w:sz="4" w:space="0" w:color="0070C0"/>
              <w:right w:val="single" w:sz="4" w:space="0" w:color="0070C0"/>
            </w:tcBorders>
            <w:shd w:val="clear" w:color="auto" w:fill="auto"/>
            <w:noWrap/>
            <w:hideMark/>
          </w:tcPr>
          <w:p w14:paraId="0A1CD91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447,51</w:t>
            </w:r>
          </w:p>
        </w:tc>
      </w:tr>
      <w:tr w:rsidR="00FE461F" w:rsidRPr="005E4BEA" w14:paraId="16B2654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45EF84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165</w:t>
            </w:r>
          </w:p>
        </w:tc>
        <w:tc>
          <w:tcPr>
            <w:tcW w:w="1234" w:type="dxa"/>
            <w:tcBorders>
              <w:top w:val="nil"/>
              <w:left w:val="nil"/>
              <w:bottom w:val="single" w:sz="4" w:space="0" w:color="0070C0"/>
              <w:right w:val="single" w:sz="4" w:space="0" w:color="0070C0"/>
            </w:tcBorders>
            <w:shd w:val="clear" w:color="auto" w:fill="auto"/>
            <w:hideMark/>
          </w:tcPr>
          <w:p w14:paraId="1A67B66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JUVENTINA CLINIC D.O.O.</w:t>
            </w:r>
          </w:p>
        </w:tc>
        <w:tc>
          <w:tcPr>
            <w:tcW w:w="494" w:type="dxa"/>
            <w:tcBorders>
              <w:top w:val="nil"/>
              <w:left w:val="nil"/>
              <w:bottom w:val="single" w:sz="4" w:space="0" w:color="0070C0"/>
              <w:right w:val="single" w:sz="4" w:space="0" w:color="0070C0"/>
            </w:tcBorders>
            <w:shd w:val="clear" w:color="auto" w:fill="auto"/>
            <w:noWrap/>
            <w:hideMark/>
          </w:tcPr>
          <w:p w14:paraId="17CC610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91A489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4E4A05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20674</w:t>
            </w:r>
          </w:p>
        </w:tc>
        <w:tc>
          <w:tcPr>
            <w:tcW w:w="1234" w:type="dxa"/>
            <w:tcBorders>
              <w:top w:val="nil"/>
              <w:left w:val="nil"/>
              <w:bottom w:val="single" w:sz="4" w:space="0" w:color="0070C0"/>
              <w:right w:val="single" w:sz="4" w:space="0" w:color="0070C0"/>
            </w:tcBorders>
            <w:shd w:val="clear" w:color="auto" w:fill="auto"/>
            <w:hideMark/>
          </w:tcPr>
          <w:p w14:paraId="61E94A3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ŠOLMED D.O.O.</w:t>
            </w:r>
          </w:p>
        </w:tc>
        <w:tc>
          <w:tcPr>
            <w:tcW w:w="494" w:type="dxa"/>
            <w:tcBorders>
              <w:top w:val="nil"/>
              <w:left w:val="nil"/>
              <w:bottom w:val="single" w:sz="4" w:space="0" w:color="0070C0"/>
              <w:right w:val="single" w:sz="4" w:space="0" w:color="0070C0"/>
            </w:tcBorders>
            <w:shd w:val="clear" w:color="auto" w:fill="auto"/>
            <w:noWrap/>
            <w:hideMark/>
          </w:tcPr>
          <w:p w14:paraId="4DD0AA1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4FF5FF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5EA11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20682</w:t>
            </w:r>
          </w:p>
        </w:tc>
        <w:tc>
          <w:tcPr>
            <w:tcW w:w="1234" w:type="dxa"/>
            <w:tcBorders>
              <w:top w:val="nil"/>
              <w:left w:val="nil"/>
              <w:bottom w:val="single" w:sz="4" w:space="0" w:color="0070C0"/>
              <w:right w:val="single" w:sz="4" w:space="0" w:color="0070C0"/>
            </w:tcBorders>
            <w:shd w:val="clear" w:color="auto" w:fill="auto"/>
            <w:hideMark/>
          </w:tcPr>
          <w:p w14:paraId="2956D4F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SAVA MED, D.O.O.</w:t>
            </w:r>
          </w:p>
        </w:tc>
        <w:tc>
          <w:tcPr>
            <w:tcW w:w="494" w:type="dxa"/>
            <w:tcBorders>
              <w:top w:val="nil"/>
              <w:left w:val="nil"/>
              <w:bottom w:val="single" w:sz="4" w:space="0" w:color="0070C0"/>
              <w:right w:val="single" w:sz="4" w:space="0" w:color="0070C0"/>
            </w:tcBorders>
            <w:shd w:val="clear" w:color="auto" w:fill="auto"/>
            <w:noWrap/>
            <w:hideMark/>
          </w:tcPr>
          <w:p w14:paraId="0334A08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1EA22D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411696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20680</w:t>
            </w:r>
          </w:p>
        </w:tc>
        <w:tc>
          <w:tcPr>
            <w:tcW w:w="1234" w:type="dxa"/>
            <w:tcBorders>
              <w:top w:val="nil"/>
              <w:left w:val="nil"/>
              <w:bottom w:val="single" w:sz="4" w:space="0" w:color="0070C0"/>
              <w:right w:val="single" w:sz="4" w:space="0" w:color="0070C0"/>
            </w:tcBorders>
            <w:shd w:val="clear" w:color="auto" w:fill="auto"/>
            <w:hideMark/>
          </w:tcPr>
          <w:p w14:paraId="4B05DA7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JERKOVIĆ, D.O.O.</w:t>
            </w:r>
          </w:p>
        </w:tc>
        <w:tc>
          <w:tcPr>
            <w:tcW w:w="494" w:type="dxa"/>
            <w:tcBorders>
              <w:top w:val="nil"/>
              <w:left w:val="nil"/>
              <w:bottom w:val="single" w:sz="4" w:space="0" w:color="0070C0"/>
              <w:right w:val="single" w:sz="4" w:space="0" w:color="0070C0"/>
            </w:tcBorders>
            <w:shd w:val="clear" w:color="auto" w:fill="auto"/>
            <w:noWrap/>
            <w:hideMark/>
          </w:tcPr>
          <w:p w14:paraId="3A9A70E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0A464BB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E4657B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17225</w:t>
            </w:r>
          </w:p>
        </w:tc>
        <w:tc>
          <w:tcPr>
            <w:tcW w:w="1234" w:type="dxa"/>
            <w:tcBorders>
              <w:top w:val="nil"/>
              <w:left w:val="nil"/>
              <w:bottom w:val="single" w:sz="4" w:space="0" w:color="0070C0"/>
              <w:right w:val="single" w:sz="4" w:space="0" w:color="0070C0"/>
            </w:tcBorders>
            <w:shd w:val="clear" w:color="auto" w:fill="auto"/>
            <w:hideMark/>
          </w:tcPr>
          <w:p w14:paraId="0B9EB16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 MEDICA D.O.O.</w:t>
            </w:r>
          </w:p>
        </w:tc>
        <w:tc>
          <w:tcPr>
            <w:tcW w:w="494" w:type="dxa"/>
            <w:tcBorders>
              <w:top w:val="nil"/>
              <w:left w:val="nil"/>
              <w:bottom w:val="single" w:sz="4" w:space="0" w:color="0070C0"/>
              <w:right w:val="single" w:sz="4" w:space="0" w:color="0070C0"/>
            </w:tcBorders>
            <w:shd w:val="clear" w:color="auto" w:fill="auto"/>
            <w:noWrap/>
            <w:hideMark/>
          </w:tcPr>
          <w:p w14:paraId="6208E50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C5836E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5D3FBC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20673</w:t>
            </w:r>
          </w:p>
        </w:tc>
        <w:tc>
          <w:tcPr>
            <w:tcW w:w="1234" w:type="dxa"/>
            <w:tcBorders>
              <w:top w:val="nil"/>
              <w:left w:val="nil"/>
              <w:bottom w:val="single" w:sz="4" w:space="0" w:color="0070C0"/>
              <w:right w:val="single" w:sz="4" w:space="0" w:color="0070C0"/>
            </w:tcBorders>
            <w:shd w:val="clear" w:color="auto" w:fill="auto"/>
            <w:hideMark/>
          </w:tcPr>
          <w:p w14:paraId="706EFFF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PED.ORD.BARBARA DIETNER MERKAN</w:t>
            </w:r>
          </w:p>
        </w:tc>
        <w:tc>
          <w:tcPr>
            <w:tcW w:w="494" w:type="dxa"/>
            <w:tcBorders>
              <w:top w:val="nil"/>
              <w:left w:val="nil"/>
              <w:bottom w:val="single" w:sz="4" w:space="0" w:color="0070C0"/>
              <w:right w:val="single" w:sz="4" w:space="0" w:color="0070C0"/>
            </w:tcBorders>
            <w:shd w:val="clear" w:color="auto" w:fill="auto"/>
            <w:noWrap/>
            <w:hideMark/>
          </w:tcPr>
          <w:p w14:paraId="6D5FB96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5CB598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F3FF6D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17224</w:t>
            </w:r>
          </w:p>
        </w:tc>
        <w:tc>
          <w:tcPr>
            <w:tcW w:w="1234" w:type="dxa"/>
            <w:tcBorders>
              <w:top w:val="nil"/>
              <w:left w:val="nil"/>
              <w:bottom w:val="single" w:sz="4" w:space="0" w:color="0070C0"/>
              <w:right w:val="single" w:sz="4" w:space="0" w:color="0070C0"/>
            </w:tcBorders>
            <w:shd w:val="clear" w:color="auto" w:fill="auto"/>
            <w:hideMark/>
          </w:tcPr>
          <w:p w14:paraId="43ED80A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AS.MED D.O.O.</w:t>
            </w:r>
          </w:p>
        </w:tc>
        <w:tc>
          <w:tcPr>
            <w:tcW w:w="494" w:type="dxa"/>
            <w:tcBorders>
              <w:top w:val="nil"/>
              <w:left w:val="nil"/>
              <w:bottom w:val="single" w:sz="4" w:space="0" w:color="0070C0"/>
              <w:right w:val="single" w:sz="4" w:space="0" w:color="0070C0"/>
            </w:tcBorders>
            <w:shd w:val="clear" w:color="auto" w:fill="auto"/>
            <w:noWrap/>
            <w:hideMark/>
          </w:tcPr>
          <w:p w14:paraId="096D6BC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6.296,13</w:t>
            </w:r>
          </w:p>
        </w:tc>
      </w:tr>
      <w:tr w:rsidR="00FE461F" w:rsidRPr="005E4BEA" w14:paraId="70C4F95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53558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55199</w:t>
            </w:r>
          </w:p>
        </w:tc>
        <w:tc>
          <w:tcPr>
            <w:tcW w:w="1234" w:type="dxa"/>
            <w:tcBorders>
              <w:top w:val="nil"/>
              <w:left w:val="nil"/>
              <w:bottom w:val="single" w:sz="4" w:space="0" w:color="0070C0"/>
              <w:right w:val="single" w:sz="4" w:space="0" w:color="0070C0"/>
            </w:tcBorders>
            <w:shd w:val="clear" w:color="auto" w:fill="auto"/>
            <w:hideMark/>
          </w:tcPr>
          <w:p w14:paraId="0A92AC8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GALENIA, D.O.O.</w:t>
            </w:r>
          </w:p>
        </w:tc>
        <w:tc>
          <w:tcPr>
            <w:tcW w:w="494" w:type="dxa"/>
            <w:tcBorders>
              <w:top w:val="nil"/>
              <w:left w:val="nil"/>
              <w:bottom w:val="single" w:sz="4" w:space="0" w:color="0070C0"/>
              <w:right w:val="single" w:sz="4" w:space="0" w:color="0070C0"/>
            </w:tcBorders>
            <w:shd w:val="clear" w:color="auto" w:fill="auto"/>
            <w:noWrap/>
            <w:hideMark/>
          </w:tcPr>
          <w:p w14:paraId="37F2982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23F9DD8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F9DAC1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31300</w:t>
            </w:r>
          </w:p>
        </w:tc>
        <w:tc>
          <w:tcPr>
            <w:tcW w:w="1234" w:type="dxa"/>
            <w:tcBorders>
              <w:top w:val="nil"/>
              <w:left w:val="nil"/>
              <w:bottom w:val="single" w:sz="4" w:space="0" w:color="0070C0"/>
              <w:right w:val="single" w:sz="4" w:space="0" w:color="0070C0"/>
            </w:tcBorders>
            <w:shd w:val="clear" w:color="auto" w:fill="auto"/>
            <w:hideMark/>
          </w:tcPr>
          <w:p w14:paraId="6EE0889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DR. JADEK D.O.O.</w:t>
            </w:r>
          </w:p>
        </w:tc>
        <w:tc>
          <w:tcPr>
            <w:tcW w:w="494" w:type="dxa"/>
            <w:tcBorders>
              <w:top w:val="nil"/>
              <w:left w:val="nil"/>
              <w:bottom w:val="single" w:sz="4" w:space="0" w:color="0070C0"/>
              <w:right w:val="single" w:sz="4" w:space="0" w:color="0070C0"/>
            </w:tcBorders>
            <w:shd w:val="clear" w:color="auto" w:fill="auto"/>
            <w:noWrap/>
            <w:hideMark/>
          </w:tcPr>
          <w:p w14:paraId="36E5ABB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1B9708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3B37D0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55181</w:t>
            </w:r>
          </w:p>
        </w:tc>
        <w:tc>
          <w:tcPr>
            <w:tcW w:w="1234" w:type="dxa"/>
            <w:tcBorders>
              <w:top w:val="nil"/>
              <w:left w:val="nil"/>
              <w:bottom w:val="single" w:sz="4" w:space="0" w:color="0070C0"/>
              <w:right w:val="single" w:sz="4" w:space="0" w:color="0070C0"/>
            </w:tcBorders>
            <w:shd w:val="clear" w:color="auto" w:fill="auto"/>
            <w:hideMark/>
          </w:tcPr>
          <w:p w14:paraId="57D01CE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CASERMAN,ZAS. PEDIATRIČNA AMB.</w:t>
            </w:r>
          </w:p>
        </w:tc>
        <w:tc>
          <w:tcPr>
            <w:tcW w:w="494" w:type="dxa"/>
            <w:tcBorders>
              <w:top w:val="nil"/>
              <w:left w:val="nil"/>
              <w:bottom w:val="single" w:sz="4" w:space="0" w:color="0070C0"/>
              <w:right w:val="single" w:sz="4" w:space="0" w:color="0070C0"/>
            </w:tcBorders>
            <w:shd w:val="clear" w:color="auto" w:fill="auto"/>
            <w:noWrap/>
            <w:hideMark/>
          </w:tcPr>
          <w:p w14:paraId="65F0CB7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48F280B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21E2FD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55163</w:t>
            </w:r>
          </w:p>
        </w:tc>
        <w:tc>
          <w:tcPr>
            <w:tcW w:w="1234" w:type="dxa"/>
            <w:tcBorders>
              <w:top w:val="nil"/>
              <w:left w:val="nil"/>
              <w:bottom w:val="single" w:sz="4" w:space="0" w:color="0070C0"/>
              <w:right w:val="single" w:sz="4" w:space="0" w:color="0070C0"/>
            </w:tcBorders>
            <w:shd w:val="clear" w:color="auto" w:fill="auto"/>
            <w:hideMark/>
          </w:tcPr>
          <w:p w14:paraId="7B1E850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PLANINEC KATARINA</w:t>
            </w:r>
          </w:p>
        </w:tc>
        <w:tc>
          <w:tcPr>
            <w:tcW w:w="494" w:type="dxa"/>
            <w:tcBorders>
              <w:top w:val="nil"/>
              <w:left w:val="nil"/>
              <w:bottom w:val="single" w:sz="4" w:space="0" w:color="0070C0"/>
              <w:right w:val="single" w:sz="4" w:space="0" w:color="0070C0"/>
            </w:tcBorders>
            <w:shd w:val="clear" w:color="auto" w:fill="auto"/>
            <w:noWrap/>
            <w:hideMark/>
          </w:tcPr>
          <w:p w14:paraId="5CE143C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76D89E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A40A84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31295</w:t>
            </w:r>
          </w:p>
        </w:tc>
        <w:tc>
          <w:tcPr>
            <w:tcW w:w="1234" w:type="dxa"/>
            <w:tcBorders>
              <w:top w:val="nil"/>
              <w:left w:val="nil"/>
              <w:bottom w:val="single" w:sz="4" w:space="0" w:color="0070C0"/>
              <w:right w:val="single" w:sz="4" w:space="0" w:color="0070C0"/>
            </w:tcBorders>
            <w:shd w:val="clear" w:color="auto" w:fill="auto"/>
            <w:hideMark/>
          </w:tcPr>
          <w:p w14:paraId="3D845D5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STEINER D.O.O.</w:t>
            </w:r>
          </w:p>
        </w:tc>
        <w:tc>
          <w:tcPr>
            <w:tcW w:w="494" w:type="dxa"/>
            <w:tcBorders>
              <w:top w:val="nil"/>
              <w:left w:val="nil"/>
              <w:bottom w:val="single" w:sz="4" w:space="0" w:color="0070C0"/>
              <w:right w:val="single" w:sz="4" w:space="0" w:color="0070C0"/>
            </w:tcBorders>
            <w:shd w:val="clear" w:color="auto" w:fill="auto"/>
            <w:noWrap/>
            <w:hideMark/>
          </w:tcPr>
          <w:p w14:paraId="19FCEF1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106,17</w:t>
            </w:r>
          </w:p>
        </w:tc>
      </w:tr>
      <w:tr w:rsidR="00FE461F" w:rsidRPr="005E4BEA" w14:paraId="35E5E1F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4FDAA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25328</w:t>
            </w:r>
          </w:p>
        </w:tc>
        <w:tc>
          <w:tcPr>
            <w:tcW w:w="1234" w:type="dxa"/>
            <w:tcBorders>
              <w:top w:val="nil"/>
              <w:left w:val="nil"/>
              <w:bottom w:val="single" w:sz="4" w:space="0" w:color="0070C0"/>
              <w:right w:val="single" w:sz="4" w:space="0" w:color="0070C0"/>
            </w:tcBorders>
            <w:shd w:val="clear" w:color="auto" w:fill="auto"/>
            <w:hideMark/>
          </w:tcPr>
          <w:p w14:paraId="7284F96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 ROSTAN PORTOROŽ</w:t>
            </w:r>
          </w:p>
        </w:tc>
        <w:tc>
          <w:tcPr>
            <w:tcW w:w="494" w:type="dxa"/>
            <w:tcBorders>
              <w:top w:val="nil"/>
              <w:left w:val="nil"/>
              <w:bottom w:val="single" w:sz="4" w:space="0" w:color="0070C0"/>
              <w:right w:val="single" w:sz="4" w:space="0" w:color="0070C0"/>
            </w:tcBorders>
            <w:shd w:val="clear" w:color="auto" w:fill="auto"/>
            <w:noWrap/>
            <w:hideMark/>
          </w:tcPr>
          <w:p w14:paraId="7262085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2A6A232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F1AB92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20711</w:t>
            </w:r>
          </w:p>
        </w:tc>
        <w:tc>
          <w:tcPr>
            <w:tcW w:w="1234" w:type="dxa"/>
            <w:tcBorders>
              <w:top w:val="nil"/>
              <w:left w:val="nil"/>
              <w:bottom w:val="single" w:sz="4" w:space="0" w:color="0070C0"/>
              <w:right w:val="single" w:sz="4" w:space="0" w:color="0070C0"/>
            </w:tcBorders>
            <w:shd w:val="clear" w:color="auto" w:fill="auto"/>
            <w:hideMark/>
          </w:tcPr>
          <w:p w14:paraId="4F3D6FF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ZASEBNA AMBULANTA ROJ D.O.O.</w:t>
            </w:r>
          </w:p>
        </w:tc>
        <w:tc>
          <w:tcPr>
            <w:tcW w:w="494" w:type="dxa"/>
            <w:tcBorders>
              <w:top w:val="nil"/>
              <w:left w:val="nil"/>
              <w:bottom w:val="single" w:sz="4" w:space="0" w:color="0070C0"/>
              <w:right w:val="single" w:sz="4" w:space="0" w:color="0070C0"/>
            </w:tcBorders>
            <w:shd w:val="clear" w:color="auto" w:fill="auto"/>
            <w:noWrap/>
            <w:hideMark/>
          </w:tcPr>
          <w:p w14:paraId="02FC76E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306,39</w:t>
            </w:r>
          </w:p>
        </w:tc>
      </w:tr>
      <w:tr w:rsidR="00FE461F" w:rsidRPr="005E4BEA" w14:paraId="173E7E7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4D47C7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31311</w:t>
            </w:r>
          </w:p>
        </w:tc>
        <w:tc>
          <w:tcPr>
            <w:tcW w:w="1234" w:type="dxa"/>
            <w:tcBorders>
              <w:top w:val="nil"/>
              <w:left w:val="nil"/>
              <w:bottom w:val="single" w:sz="4" w:space="0" w:color="0070C0"/>
              <w:right w:val="single" w:sz="4" w:space="0" w:color="0070C0"/>
            </w:tcBorders>
            <w:shd w:val="clear" w:color="auto" w:fill="auto"/>
            <w:hideMark/>
          </w:tcPr>
          <w:p w14:paraId="26B6FF0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MEDICINA ILJAŽ D.O.O.</w:t>
            </w:r>
          </w:p>
        </w:tc>
        <w:tc>
          <w:tcPr>
            <w:tcW w:w="494" w:type="dxa"/>
            <w:tcBorders>
              <w:top w:val="nil"/>
              <w:left w:val="nil"/>
              <w:bottom w:val="single" w:sz="4" w:space="0" w:color="0070C0"/>
              <w:right w:val="single" w:sz="4" w:space="0" w:color="0070C0"/>
            </w:tcBorders>
            <w:shd w:val="clear" w:color="auto" w:fill="auto"/>
            <w:noWrap/>
            <w:hideMark/>
          </w:tcPr>
          <w:p w14:paraId="556177D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265,09</w:t>
            </w:r>
          </w:p>
        </w:tc>
      </w:tr>
      <w:tr w:rsidR="00FE461F" w:rsidRPr="005E4BEA" w14:paraId="7EA8E95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385960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20709</w:t>
            </w:r>
          </w:p>
        </w:tc>
        <w:tc>
          <w:tcPr>
            <w:tcW w:w="1234" w:type="dxa"/>
            <w:tcBorders>
              <w:top w:val="nil"/>
              <w:left w:val="nil"/>
              <w:bottom w:val="single" w:sz="4" w:space="0" w:color="0070C0"/>
              <w:right w:val="single" w:sz="4" w:space="0" w:color="0070C0"/>
            </w:tcBorders>
            <w:shd w:val="clear" w:color="auto" w:fill="auto"/>
            <w:hideMark/>
          </w:tcPr>
          <w:p w14:paraId="46D8A63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MEDICA PRIMA, D.O.O.</w:t>
            </w:r>
          </w:p>
        </w:tc>
        <w:tc>
          <w:tcPr>
            <w:tcW w:w="494" w:type="dxa"/>
            <w:tcBorders>
              <w:top w:val="nil"/>
              <w:left w:val="nil"/>
              <w:bottom w:val="single" w:sz="4" w:space="0" w:color="0070C0"/>
              <w:right w:val="single" w:sz="4" w:space="0" w:color="0070C0"/>
            </w:tcBorders>
            <w:shd w:val="clear" w:color="auto" w:fill="auto"/>
            <w:noWrap/>
            <w:hideMark/>
          </w:tcPr>
          <w:p w14:paraId="006D5D8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122A20F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10B9EE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27266</w:t>
            </w:r>
          </w:p>
        </w:tc>
        <w:tc>
          <w:tcPr>
            <w:tcW w:w="1234" w:type="dxa"/>
            <w:tcBorders>
              <w:top w:val="nil"/>
              <w:left w:val="nil"/>
              <w:bottom w:val="single" w:sz="4" w:space="0" w:color="0070C0"/>
              <w:right w:val="single" w:sz="4" w:space="0" w:color="0070C0"/>
            </w:tcBorders>
            <w:shd w:val="clear" w:color="auto" w:fill="auto"/>
            <w:hideMark/>
          </w:tcPr>
          <w:p w14:paraId="25DB8DB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ADM MARN VODOVNIK D.O.O.</w:t>
            </w:r>
          </w:p>
        </w:tc>
        <w:tc>
          <w:tcPr>
            <w:tcW w:w="494" w:type="dxa"/>
            <w:tcBorders>
              <w:top w:val="nil"/>
              <w:left w:val="nil"/>
              <w:bottom w:val="single" w:sz="4" w:space="0" w:color="0070C0"/>
              <w:right w:val="single" w:sz="4" w:space="0" w:color="0070C0"/>
            </w:tcBorders>
            <w:shd w:val="clear" w:color="auto" w:fill="auto"/>
            <w:noWrap/>
            <w:hideMark/>
          </w:tcPr>
          <w:p w14:paraId="72D9374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8FDFB6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53F87E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55216</w:t>
            </w:r>
          </w:p>
        </w:tc>
        <w:tc>
          <w:tcPr>
            <w:tcW w:w="1234" w:type="dxa"/>
            <w:tcBorders>
              <w:top w:val="nil"/>
              <w:left w:val="nil"/>
              <w:bottom w:val="single" w:sz="4" w:space="0" w:color="0070C0"/>
              <w:right w:val="single" w:sz="4" w:space="0" w:color="0070C0"/>
            </w:tcBorders>
            <w:shd w:val="clear" w:color="auto" w:fill="auto"/>
            <w:hideMark/>
          </w:tcPr>
          <w:p w14:paraId="214DC9D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ZAVOD PROMEDICO PLUS</w:t>
            </w:r>
          </w:p>
        </w:tc>
        <w:tc>
          <w:tcPr>
            <w:tcW w:w="494" w:type="dxa"/>
            <w:tcBorders>
              <w:top w:val="nil"/>
              <w:left w:val="nil"/>
              <w:bottom w:val="single" w:sz="4" w:space="0" w:color="0070C0"/>
              <w:right w:val="single" w:sz="4" w:space="0" w:color="0070C0"/>
            </w:tcBorders>
            <w:shd w:val="clear" w:color="auto" w:fill="auto"/>
            <w:noWrap/>
            <w:hideMark/>
          </w:tcPr>
          <w:p w14:paraId="4046036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49,11</w:t>
            </w:r>
          </w:p>
        </w:tc>
      </w:tr>
      <w:tr w:rsidR="00FE461F" w:rsidRPr="005E4BEA" w14:paraId="3158BFD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2A3A9D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31304</w:t>
            </w:r>
          </w:p>
        </w:tc>
        <w:tc>
          <w:tcPr>
            <w:tcW w:w="1234" w:type="dxa"/>
            <w:tcBorders>
              <w:top w:val="nil"/>
              <w:left w:val="nil"/>
              <w:bottom w:val="single" w:sz="4" w:space="0" w:color="0070C0"/>
              <w:right w:val="single" w:sz="4" w:space="0" w:color="0070C0"/>
            </w:tcBorders>
            <w:shd w:val="clear" w:color="auto" w:fill="auto"/>
            <w:hideMark/>
          </w:tcPr>
          <w:p w14:paraId="7BB67E4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SAGADIN POLONA</w:t>
            </w:r>
          </w:p>
        </w:tc>
        <w:tc>
          <w:tcPr>
            <w:tcW w:w="494" w:type="dxa"/>
            <w:tcBorders>
              <w:top w:val="nil"/>
              <w:left w:val="nil"/>
              <w:bottom w:val="single" w:sz="4" w:space="0" w:color="0070C0"/>
              <w:right w:val="single" w:sz="4" w:space="0" w:color="0070C0"/>
            </w:tcBorders>
            <w:shd w:val="clear" w:color="auto" w:fill="auto"/>
            <w:noWrap/>
            <w:hideMark/>
          </w:tcPr>
          <w:p w14:paraId="231680D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1B5DC9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4C4AD3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17244</w:t>
            </w:r>
          </w:p>
        </w:tc>
        <w:tc>
          <w:tcPr>
            <w:tcW w:w="1234" w:type="dxa"/>
            <w:tcBorders>
              <w:top w:val="nil"/>
              <w:left w:val="nil"/>
              <w:bottom w:val="single" w:sz="4" w:space="0" w:color="0070C0"/>
              <w:right w:val="single" w:sz="4" w:space="0" w:color="0070C0"/>
            </w:tcBorders>
            <w:shd w:val="clear" w:color="auto" w:fill="auto"/>
            <w:hideMark/>
          </w:tcPr>
          <w:p w14:paraId="7835F87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ŽIVA V PARKU D.O.O.</w:t>
            </w:r>
          </w:p>
        </w:tc>
        <w:tc>
          <w:tcPr>
            <w:tcW w:w="494" w:type="dxa"/>
            <w:tcBorders>
              <w:top w:val="nil"/>
              <w:left w:val="nil"/>
              <w:bottom w:val="single" w:sz="4" w:space="0" w:color="0070C0"/>
              <w:right w:val="single" w:sz="4" w:space="0" w:color="0070C0"/>
            </w:tcBorders>
            <w:shd w:val="clear" w:color="auto" w:fill="auto"/>
            <w:noWrap/>
            <w:hideMark/>
          </w:tcPr>
          <w:p w14:paraId="4989ACC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C239C6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DCF46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31312</w:t>
            </w:r>
          </w:p>
        </w:tc>
        <w:tc>
          <w:tcPr>
            <w:tcW w:w="1234" w:type="dxa"/>
            <w:tcBorders>
              <w:top w:val="nil"/>
              <w:left w:val="nil"/>
              <w:bottom w:val="single" w:sz="4" w:space="0" w:color="0070C0"/>
              <w:right w:val="single" w:sz="4" w:space="0" w:color="0070C0"/>
            </w:tcBorders>
            <w:shd w:val="clear" w:color="auto" w:fill="auto"/>
            <w:hideMark/>
          </w:tcPr>
          <w:p w14:paraId="4F9837C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POLJČANE D.O.O.</w:t>
            </w:r>
          </w:p>
        </w:tc>
        <w:tc>
          <w:tcPr>
            <w:tcW w:w="494" w:type="dxa"/>
            <w:tcBorders>
              <w:top w:val="nil"/>
              <w:left w:val="nil"/>
              <w:bottom w:val="single" w:sz="4" w:space="0" w:color="0070C0"/>
              <w:right w:val="single" w:sz="4" w:space="0" w:color="0070C0"/>
            </w:tcBorders>
            <w:shd w:val="clear" w:color="auto" w:fill="auto"/>
            <w:noWrap/>
            <w:hideMark/>
          </w:tcPr>
          <w:p w14:paraId="1DA0C7F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FE6208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D330CA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29258</w:t>
            </w:r>
          </w:p>
        </w:tc>
        <w:tc>
          <w:tcPr>
            <w:tcW w:w="1234" w:type="dxa"/>
            <w:tcBorders>
              <w:top w:val="nil"/>
              <w:left w:val="nil"/>
              <w:bottom w:val="single" w:sz="4" w:space="0" w:color="0070C0"/>
              <w:right w:val="single" w:sz="4" w:space="0" w:color="0070C0"/>
            </w:tcBorders>
            <w:shd w:val="clear" w:color="auto" w:fill="auto"/>
            <w:hideMark/>
          </w:tcPr>
          <w:p w14:paraId="6A7A481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DRUŽINSKA MEDICINA ŽAGAR D.O.O.</w:t>
            </w:r>
          </w:p>
        </w:tc>
        <w:tc>
          <w:tcPr>
            <w:tcW w:w="494" w:type="dxa"/>
            <w:tcBorders>
              <w:top w:val="nil"/>
              <w:left w:val="nil"/>
              <w:bottom w:val="single" w:sz="4" w:space="0" w:color="0070C0"/>
              <w:right w:val="single" w:sz="4" w:space="0" w:color="0070C0"/>
            </w:tcBorders>
            <w:shd w:val="clear" w:color="auto" w:fill="auto"/>
            <w:noWrap/>
            <w:hideMark/>
          </w:tcPr>
          <w:p w14:paraId="702BEB1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335,19</w:t>
            </w:r>
          </w:p>
        </w:tc>
      </w:tr>
      <w:tr w:rsidR="00FE461F" w:rsidRPr="005E4BEA" w14:paraId="7CD1F88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A79BE3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29259</w:t>
            </w:r>
          </w:p>
        </w:tc>
        <w:tc>
          <w:tcPr>
            <w:tcW w:w="1234" w:type="dxa"/>
            <w:tcBorders>
              <w:top w:val="nil"/>
              <w:left w:val="nil"/>
              <w:bottom w:val="single" w:sz="4" w:space="0" w:color="0070C0"/>
              <w:right w:val="single" w:sz="4" w:space="0" w:color="0070C0"/>
            </w:tcBorders>
            <w:shd w:val="clear" w:color="auto" w:fill="auto"/>
            <w:hideMark/>
          </w:tcPr>
          <w:p w14:paraId="4B833D8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STRAŽA, D.O.O.</w:t>
            </w:r>
          </w:p>
        </w:tc>
        <w:tc>
          <w:tcPr>
            <w:tcW w:w="494" w:type="dxa"/>
            <w:tcBorders>
              <w:top w:val="nil"/>
              <w:left w:val="nil"/>
              <w:bottom w:val="single" w:sz="4" w:space="0" w:color="0070C0"/>
              <w:right w:val="single" w:sz="4" w:space="0" w:color="0070C0"/>
            </w:tcBorders>
            <w:shd w:val="clear" w:color="auto" w:fill="auto"/>
            <w:noWrap/>
            <w:hideMark/>
          </w:tcPr>
          <w:p w14:paraId="04DBBC4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335,19</w:t>
            </w:r>
          </w:p>
        </w:tc>
      </w:tr>
      <w:tr w:rsidR="00FE461F" w:rsidRPr="005E4BEA" w14:paraId="37857CF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E37667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20715</w:t>
            </w:r>
          </w:p>
        </w:tc>
        <w:tc>
          <w:tcPr>
            <w:tcW w:w="1234" w:type="dxa"/>
            <w:tcBorders>
              <w:top w:val="nil"/>
              <w:left w:val="nil"/>
              <w:bottom w:val="single" w:sz="4" w:space="0" w:color="0070C0"/>
              <w:right w:val="single" w:sz="4" w:space="0" w:color="0070C0"/>
            </w:tcBorders>
            <w:shd w:val="clear" w:color="auto" w:fill="auto"/>
            <w:hideMark/>
          </w:tcPr>
          <w:p w14:paraId="4E63024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SAFTIĆ, D.O.O.</w:t>
            </w:r>
          </w:p>
        </w:tc>
        <w:tc>
          <w:tcPr>
            <w:tcW w:w="494" w:type="dxa"/>
            <w:tcBorders>
              <w:top w:val="nil"/>
              <w:left w:val="nil"/>
              <w:bottom w:val="single" w:sz="4" w:space="0" w:color="0070C0"/>
              <w:right w:val="single" w:sz="4" w:space="0" w:color="0070C0"/>
            </w:tcBorders>
            <w:shd w:val="clear" w:color="auto" w:fill="auto"/>
            <w:noWrap/>
            <w:hideMark/>
          </w:tcPr>
          <w:p w14:paraId="475C35B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E55ADB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718785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14662</w:t>
            </w:r>
          </w:p>
        </w:tc>
        <w:tc>
          <w:tcPr>
            <w:tcW w:w="1234" w:type="dxa"/>
            <w:tcBorders>
              <w:top w:val="nil"/>
              <w:left w:val="nil"/>
              <w:bottom w:val="single" w:sz="4" w:space="0" w:color="0070C0"/>
              <w:right w:val="single" w:sz="4" w:space="0" w:color="0070C0"/>
            </w:tcBorders>
            <w:shd w:val="clear" w:color="auto" w:fill="auto"/>
            <w:hideMark/>
          </w:tcPr>
          <w:p w14:paraId="20CC415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 IGOR MIHAJLOVIĆ, D.O.O.</w:t>
            </w:r>
          </w:p>
        </w:tc>
        <w:tc>
          <w:tcPr>
            <w:tcW w:w="494" w:type="dxa"/>
            <w:tcBorders>
              <w:top w:val="nil"/>
              <w:left w:val="nil"/>
              <w:bottom w:val="single" w:sz="4" w:space="0" w:color="0070C0"/>
              <w:right w:val="single" w:sz="4" w:space="0" w:color="0070C0"/>
            </w:tcBorders>
            <w:shd w:val="clear" w:color="auto" w:fill="auto"/>
            <w:noWrap/>
            <w:hideMark/>
          </w:tcPr>
          <w:p w14:paraId="56F3B43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AA02EE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7F662D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29261</w:t>
            </w:r>
          </w:p>
        </w:tc>
        <w:tc>
          <w:tcPr>
            <w:tcW w:w="1234" w:type="dxa"/>
            <w:tcBorders>
              <w:top w:val="nil"/>
              <w:left w:val="nil"/>
              <w:bottom w:val="single" w:sz="4" w:space="0" w:color="0070C0"/>
              <w:right w:val="single" w:sz="4" w:space="0" w:color="0070C0"/>
            </w:tcBorders>
            <w:shd w:val="clear" w:color="auto" w:fill="auto"/>
            <w:hideMark/>
          </w:tcPr>
          <w:p w14:paraId="623A49F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IRENA VESTER, DR. MED.</w:t>
            </w:r>
          </w:p>
        </w:tc>
        <w:tc>
          <w:tcPr>
            <w:tcW w:w="494" w:type="dxa"/>
            <w:tcBorders>
              <w:top w:val="nil"/>
              <w:left w:val="nil"/>
              <w:bottom w:val="single" w:sz="4" w:space="0" w:color="0070C0"/>
              <w:right w:val="single" w:sz="4" w:space="0" w:color="0070C0"/>
            </w:tcBorders>
            <w:shd w:val="clear" w:color="auto" w:fill="auto"/>
            <w:noWrap/>
            <w:hideMark/>
          </w:tcPr>
          <w:p w14:paraId="71335DB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4142F90D"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E33DE2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55220</w:t>
            </w:r>
          </w:p>
        </w:tc>
        <w:tc>
          <w:tcPr>
            <w:tcW w:w="1234" w:type="dxa"/>
            <w:tcBorders>
              <w:top w:val="nil"/>
              <w:left w:val="nil"/>
              <w:bottom w:val="single" w:sz="4" w:space="0" w:color="0070C0"/>
              <w:right w:val="single" w:sz="4" w:space="0" w:color="0070C0"/>
            </w:tcBorders>
            <w:shd w:val="clear" w:color="auto" w:fill="auto"/>
            <w:hideMark/>
          </w:tcPr>
          <w:p w14:paraId="36DF867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MELANIJA NIKIĆ GAČEŠA</w:t>
            </w:r>
          </w:p>
        </w:tc>
        <w:tc>
          <w:tcPr>
            <w:tcW w:w="494" w:type="dxa"/>
            <w:tcBorders>
              <w:top w:val="nil"/>
              <w:left w:val="nil"/>
              <w:bottom w:val="single" w:sz="4" w:space="0" w:color="0070C0"/>
              <w:right w:val="single" w:sz="4" w:space="0" w:color="0070C0"/>
            </w:tcBorders>
            <w:shd w:val="clear" w:color="auto" w:fill="auto"/>
            <w:noWrap/>
            <w:hideMark/>
          </w:tcPr>
          <w:p w14:paraId="38376C5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E4F6FF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159463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31317</w:t>
            </w:r>
          </w:p>
        </w:tc>
        <w:tc>
          <w:tcPr>
            <w:tcW w:w="1234" w:type="dxa"/>
            <w:tcBorders>
              <w:top w:val="nil"/>
              <w:left w:val="nil"/>
              <w:bottom w:val="single" w:sz="4" w:space="0" w:color="0070C0"/>
              <w:right w:val="single" w:sz="4" w:space="0" w:color="0070C0"/>
            </w:tcBorders>
            <w:shd w:val="clear" w:color="auto" w:fill="auto"/>
            <w:hideMark/>
          </w:tcPr>
          <w:p w14:paraId="18E73AF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BLIMED D.O.O.</w:t>
            </w:r>
          </w:p>
        </w:tc>
        <w:tc>
          <w:tcPr>
            <w:tcW w:w="494" w:type="dxa"/>
            <w:tcBorders>
              <w:top w:val="nil"/>
              <w:left w:val="nil"/>
              <w:bottom w:val="single" w:sz="4" w:space="0" w:color="0070C0"/>
              <w:right w:val="single" w:sz="4" w:space="0" w:color="0070C0"/>
            </w:tcBorders>
            <w:shd w:val="clear" w:color="auto" w:fill="auto"/>
            <w:noWrap/>
            <w:hideMark/>
          </w:tcPr>
          <w:p w14:paraId="79CDFC2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3C2BC99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887EE4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20720</w:t>
            </w:r>
          </w:p>
        </w:tc>
        <w:tc>
          <w:tcPr>
            <w:tcW w:w="1234" w:type="dxa"/>
            <w:tcBorders>
              <w:top w:val="nil"/>
              <w:left w:val="nil"/>
              <w:bottom w:val="single" w:sz="4" w:space="0" w:color="0070C0"/>
              <w:right w:val="single" w:sz="4" w:space="0" w:color="0070C0"/>
            </w:tcBorders>
            <w:shd w:val="clear" w:color="auto" w:fill="auto"/>
            <w:hideMark/>
          </w:tcPr>
          <w:p w14:paraId="11CD5B5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SPLOŠNA MEDICINA D.O.O.</w:t>
            </w:r>
          </w:p>
        </w:tc>
        <w:tc>
          <w:tcPr>
            <w:tcW w:w="494" w:type="dxa"/>
            <w:tcBorders>
              <w:top w:val="nil"/>
              <w:left w:val="nil"/>
              <w:bottom w:val="single" w:sz="4" w:space="0" w:color="0070C0"/>
              <w:right w:val="single" w:sz="4" w:space="0" w:color="0070C0"/>
            </w:tcBorders>
            <w:shd w:val="clear" w:color="auto" w:fill="auto"/>
            <w:noWrap/>
            <w:hideMark/>
          </w:tcPr>
          <w:p w14:paraId="0E35AC9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A898BD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6E2904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31324</w:t>
            </w:r>
          </w:p>
        </w:tc>
        <w:tc>
          <w:tcPr>
            <w:tcW w:w="1234" w:type="dxa"/>
            <w:tcBorders>
              <w:top w:val="nil"/>
              <w:left w:val="nil"/>
              <w:bottom w:val="single" w:sz="4" w:space="0" w:color="0070C0"/>
              <w:right w:val="single" w:sz="4" w:space="0" w:color="0070C0"/>
            </w:tcBorders>
            <w:shd w:val="clear" w:color="auto" w:fill="auto"/>
            <w:hideMark/>
          </w:tcPr>
          <w:p w14:paraId="6CC60AD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ALEŠ BLAZNIK D.O.O.</w:t>
            </w:r>
          </w:p>
        </w:tc>
        <w:tc>
          <w:tcPr>
            <w:tcW w:w="494" w:type="dxa"/>
            <w:tcBorders>
              <w:top w:val="nil"/>
              <w:left w:val="nil"/>
              <w:bottom w:val="single" w:sz="4" w:space="0" w:color="0070C0"/>
              <w:right w:val="single" w:sz="4" w:space="0" w:color="0070C0"/>
            </w:tcBorders>
            <w:shd w:val="clear" w:color="auto" w:fill="auto"/>
            <w:noWrap/>
            <w:hideMark/>
          </w:tcPr>
          <w:p w14:paraId="049B07D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33BD2A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9C5A54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31328</w:t>
            </w:r>
          </w:p>
        </w:tc>
        <w:tc>
          <w:tcPr>
            <w:tcW w:w="1234" w:type="dxa"/>
            <w:tcBorders>
              <w:top w:val="nil"/>
              <w:left w:val="nil"/>
              <w:bottom w:val="single" w:sz="4" w:space="0" w:color="0070C0"/>
              <w:right w:val="single" w:sz="4" w:space="0" w:color="0070C0"/>
            </w:tcBorders>
            <w:shd w:val="clear" w:color="auto" w:fill="auto"/>
            <w:hideMark/>
          </w:tcPr>
          <w:p w14:paraId="4E631C5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VOMED, D.O.O.</w:t>
            </w:r>
          </w:p>
        </w:tc>
        <w:tc>
          <w:tcPr>
            <w:tcW w:w="494" w:type="dxa"/>
            <w:tcBorders>
              <w:top w:val="nil"/>
              <w:left w:val="nil"/>
              <w:bottom w:val="single" w:sz="4" w:space="0" w:color="0070C0"/>
              <w:right w:val="single" w:sz="4" w:space="0" w:color="0070C0"/>
            </w:tcBorders>
            <w:shd w:val="clear" w:color="auto" w:fill="auto"/>
            <w:noWrap/>
            <w:hideMark/>
          </w:tcPr>
          <w:p w14:paraId="4B4222B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479,70</w:t>
            </w:r>
          </w:p>
        </w:tc>
      </w:tr>
      <w:tr w:rsidR="00FE461F" w:rsidRPr="005E4BEA" w14:paraId="55615C1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90C2AC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31329</w:t>
            </w:r>
          </w:p>
        </w:tc>
        <w:tc>
          <w:tcPr>
            <w:tcW w:w="1234" w:type="dxa"/>
            <w:tcBorders>
              <w:top w:val="nil"/>
              <w:left w:val="nil"/>
              <w:bottom w:val="single" w:sz="4" w:space="0" w:color="0070C0"/>
              <w:right w:val="single" w:sz="4" w:space="0" w:color="0070C0"/>
            </w:tcBorders>
            <w:shd w:val="clear" w:color="auto" w:fill="auto"/>
            <w:hideMark/>
          </w:tcPr>
          <w:p w14:paraId="12D1E84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DOKTOR M D.O.O.</w:t>
            </w:r>
          </w:p>
        </w:tc>
        <w:tc>
          <w:tcPr>
            <w:tcW w:w="494" w:type="dxa"/>
            <w:tcBorders>
              <w:top w:val="nil"/>
              <w:left w:val="nil"/>
              <w:bottom w:val="single" w:sz="4" w:space="0" w:color="0070C0"/>
              <w:right w:val="single" w:sz="4" w:space="0" w:color="0070C0"/>
            </w:tcBorders>
            <w:shd w:val="clear" w:color="auto" w:fill="auto"/>
            <w:noWrap/>
            <w:hideMark/>
          </w:tcPr>
          <w:p w14:paraId="19C92A1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3265D84"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317027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31326</w:t>
            </w:r>
          </w:p>
        </w:tc>
        <w:tc>
          <w:tcPr>
            <w:tcW w:w="1234" w:type="dxa"/>
            <w:tcBorders>
              <w:top w:val="nil"/>
              <w:left w:val="nil"/>
              <w:bottom w:val="single" w:sz="4" w:space="0" w:color="0070C0"/>
              <w:right w:val="single" w:sz="4" w:space="0" w:color="0070C0"/>
            </w:tcBorders>
            <w:shd w:val="clear" w:color="auto" w:fill="auto"/>
            <w:hideMark/>
          </w:tcPr>
          <w:p w14:paraId="74C5C7A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DRUŽINSKA MEDICINA LONČAR D.O.O</w:t>
            </w:r>
          </w:p>
        </w:tc>
        <w:tc>
          <w:tcPr>
            <w:tcW w:w="494" w:type="dxa"/>
            <w:tcBorders>
              <w:top w:val="nil"/>
              <w:left w:val="nil"/>
              <w:bottom w:val="single" w:sz="4" w:space="0" w:color="0070C0"/>
              <w:right w:val="single" w:sz="4" w:space="0" w:color="0070C0"/>
            </w:tcBorders>
            <w:shd w:val="clear" w:color="auto" w:fill="auto"/>
            <w:noWrap/>
            <w:hideMark/>
          </w:tcPr>
          <w:p w14:paraId="6289FFC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1A531E4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1DE843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31330</w:t>
            </w:r>
          </w:p>
        </w:tc>
        <w:tc>
          <w:tcPr>
            <w:tcW w:w="1234" w:type="dxa"/>
            <w:tcBorders>
              <w:top w:val="nil"/>
              <w:left w:val="nil"/>
              <w:bottom w:val="single" w:sz="4" w:space="0" w:color="0070C0"/>
              <w:right w:val="single" w:sz="4" w:space="0" w:color="0070C0"/>
            </w:tcBorders>
            <w:shd w:val="clear" w:color="auto" w:fill="auto"/>
            <w:hideMark/>
          </w:tcPr>
          <w:p w14:paraId="6082339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MEDICINA BOŽIČEK  D.O.O.</w:t>
            </w:r>
          </w:p>
        </w:tc>
        <w:tc>
          <w:tcPr>
            <w:tcW w:w="494" w:type="dxa"/>
            <w:tcBorders>
              <w:top w:val="nil"/>
              <w:left w:val="nil"/>
              <w:bottom w:val="single" w:sz="4" w:space="0" w:color="0070C0"/>
              <w:right w:val="single" w:sz="4" w:space="0" w:color="0070C0"/>
            </w:tcBorders>
            <w:shd w:val="clear" w:color="auto" w:fill="auto"/>
            <w:noWrap/>
            <w:hideMark/>
          </w:tcPr>
          <w:p w14:paraId="7E017E3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5B1F93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1BE5D9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31327</w:t>
            </w:r>
          </w:p>
        </w:tc>
        <w:tc>
          <w:tcPr>
            <w:tcW w:w="1234" w:type="dxa"/>
            <w:tcBorders>
              <w:top w:val="nil"/>
              <w:left w:val="nil"/>
              <w:bottom w:val="single" w:sz="4" w:space="0" w:color="0070C0"/>
              <w:right w:val="single" w:sz="4" w:space="0" w:color="0070C0"/>
            </w:tcBorders>
            <w:shd w:val="clear" w:color="auto" w:fill="auto"/>
            <w:hideMark/>
          </w:tcPr>
          <w:p w14:paraId="7F19601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DRUŽINSKA MEDICINA BILIĆ,D.O.O.</w:t>
            </w:r>
          </w:p>
        </w:tc>
        <w:tc>
          <w:tcPr>
            <w:tcW w:w="494" w:type="dxa"/>
            <w:tcBorders>
              <w:top w:val="nil"/>
              <w:left w:val="nil"/>
              <w:bottom w:val="single" w:sz="4" w:space="0" w:color="0070C0"/>
              <w:right w:val="single" w:sz="4" w:space="0" w:color="0070C0"/>
            </w:tcBorders>
            <w:shd w:val="clear" w:color="auto" w:fill="auto"/>
            <w:noWrap/>
            <w:hideMark/>
          </w:tcPr>
          <w:p w14:paraId="0B88445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4A60057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7B1D3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w:t>
            </w:r>
          </w:p>
        </w:tc>
        <w:tc>
          <w:tcPr>
            <w:tcW w:w="1234" w:type="dxa"/>
            <w:tcBorders>
              <w:top w:val="nil"/>
              <w:left w:val="nil"/>
              <w:bottom w:val="single" w:sz="4" w:space="0" w:color="0070C0"/>
              <w:right w:val="single" w:sz="4" w:space="0" w:color="0070C0"/>
            </w:tcBorders>
            <w:shd w:val="clear" w:color="auto" w:fill="auto"/>
            <w:hideMark/>
          </w:tcPr>
          <w:p w14:paraId="1C01064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REMEDIA D.O.O.</w:t>
            </w:r>
          </w:p>
        </w:tc>
        <w:tc>
          <w:tcPr>
            <w:tcW w:w="494" w:type="dxa"/>
            <w:tcBorders>
              <w:top w:val="nil"/>
              <w:left w:val="nil"/>
              <w:bottom w:val="single" w:sz="4" w:space="0" w:color="0070C0"/>
              <w:right w:val="single" w:sz="4" w:space="0" w:color="0070C0"/>
            </w:tcBorders>
            <w:shd w:val="clear" w:color="auto" w:fill="auto"/>
            <w:noWrap/>
            <w:hideMark/>
          </w:tcPr>
          <w:p w14:paraId="6E5B949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9.058,37</w:t>
            </w:r>
          </w:p>
        </w:tc>
      </w:tr>
      <w:tr w:rsidR="00FE461F" w:rsidRPr="005E4BEA" w14:paraId="2CAAAE6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0BDE73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20735</w:t>
            </w:r>
          </w:p>
        </w:tc>
        <w:tc>
          <w:tcPr>
            <w:tcW w:w="1234" w:type="dxa"/>
            <w:tcBorders>
              <w:top w:val="nil"/>
              <w:left w:val="nil"/>
              <w:bottom w:val="single" w:sz="4" w:space="0" w:color="0070C0"/>
              <w:right w:val="single" w:sz="4" w:space="0" w:color="0070C0"/>
            </w:tcBorders>
            <w:shd w:val="clear" w:color="auto" w:fill="auto"/>
            <w:hideMark/>
          </w:tcPr>
          <w:p w14:paraId="705C0C0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 ZARJA, ZGORNJA KUNGOTA</w:t>
            </w:r>
          </w:p>
        </w:tc>
        <w:tc>
          <w:tcPr>
            <w:tcW w:w="494" w:type="dxa"/>
            <w:tcBorders>
              <w:top w:val="nil"/>
              <w:left w:val="nil"/>
              <w:bottom w:val="single" w:sz="4" w:space="0" w:color="0070C0"/>
              <w:right w:val="single" w:sz="4" w:space="0" w:color="0070C0"/>
            </w:tcBorders>
            <w:shd w:val="clear" w:color="auto" w:fill="auto"/>
            <w:noWrap/>
            <w:hideMark/>
          </w:tcPr>
          <w:p w14:paraId="1646940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FCD194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2AF0C28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55241</w:t>
            </w:r>
          </w:p>
        </w:tc>
        <w:tc>
          <w:tcPr>
            <w:tcW w:w="1234" w:type="dxa"/>
            <w:tcBorders>
              <w:top w:val="nil"/>
              <w:left w:val="nil"/>
              <w:bottom w:val="single" w:sz="4" w:space="0" w:color="0070C0"/>
              <w:right w:val="single" w:sz="4" w:space="0" w:color="0070C0"/>
            </w:tcBorders>
            <w:shd w:val="clear" w:color="auto" w:fill="auto"/>
            <w:hideMark/>
          </w:tcPr>
          <w:p w14:paraId="7162FE6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JABLANOV ZVEZDANA</w:t>
            </w:r>
          </w:p>
        </w:tc>
        <w:tc>
          <w:tcPr>
            <w:tcW w:w="494" w:type="dxa"/>
            <w:tcBorders>
              <w:top w:val="nil"/>
              <w:left w:val="nil"/>
              <w:bottom w:val="single" w:sz="4" w:space="0" w:color="0070C0"/>
              <w:right w:val="single" w:sz="4" w:space="0" w:color="0070C0"/>
            </w:tcBorders>
            <w:shd w:val="clear" w:color="auto" w:fill="auto"/>
            <w:noWrap/>
            <w:hideMark/>
          </w:tcPr>
          <w:p w14:paraId="7DC73F1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1254717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A4F4EE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55128</w:t>
            </w:r>
          </w:p>
        </w:tc>
        <w:tc>
          <w:tcPr>
            <w:tcW w:w="1234" w:type="dxa"/>
            <w:tcBorders>
              <w:top w:val="nil"/>
              <w:left w:val="nil"/>
              <w:bottom w:val="single" w:sz="4" w:space="0" w:color="0070C0"/>
              <w:right w:val="single" w:sz="4" w:space="0" w:color="0070C0"/>
            </w:tcBorders>
            <w:shd w:val="clear" w:color="auto" w:fill="auto"/>
            <w:hideMark/>
          </w:tcPr>
          <w:p w14:paraId="2F92976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ANDREJA BORINC BEDEN</w:t>
            </w:r>
          </w:p>
        </w:tc>
        <w:tc>
          <w:tcPr>
            <w:tcW w:w="494" w:type="dxa"/>
            <w:tcBorders>
              <w:top w:val="nil"/>
              <w:left w:val="nil"/>
              <w:bottom w:val="single" w:sz="4" w:space="0" w:color="0070C0"/>
              <w:right w:val="single" w:sz="4" w:space="0" w:color="0070C0"/>
            </w:tcBorders>
            <w:shd w:val="clear" w:color="auto" w:fill="auto"/>
            <w:noWrap/>
            <w:hideMark/>
          </w:tcPr>
          <w:p w14:paraId="25C85AE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45C903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C91AD6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20745</w:t>
            </w:r>
          </w:p>
        </w:tc>
        <w:tc>
          <w:tcPr>
            <w:tcW w:w="1234" w:type="dxa"/>
            <w:tcBorders>
              <w:top w:val="nil"/>
              <w:left w:val="nil"/>
              <w:bottom w:val="single" w:sz="4" w:space="0" w:color="0070C0"/>
              <w:right w:val="single" w:sz="4" w:space="0" w:color="0070C0"/>
            </w:tcBorders>
            <w:shd w:val="clear" w:color="auto" w:fill="auto"/>
            <w:hideMark/>
          </w:tcPr>
          <w:p w14:paraId="0BB5699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ZZ BARBUL MARICA, MIKLAVŽ NA DR</w:t>
            </w:r>
          </w:p>
        </w:tc>
        <w:tc>
          <w:tcPr>
            <w:tcW w:w="494" w:type="dxa"/>
            <w:tcBorders>
              <w:top w:val="nil"/>
              <w:left w:val="nil"/>
              <w:bottom w:val="single" w:sz="4" w:space="0" w:color="0070C0"/>
              <w:right w:val="single" w:sz="4" w:space="0" w:color="0070C0"/>
            </w:tcBorders>
            <w:shd w:val="clear" w:color="auto" w:fill="auto"/>
            <w:noWrap/>
            <w:hideMark/>
          </w:tcPr>
          <w:p w14:paraId="499F6E7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0DF383B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E15331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20742</w:t>
            </w:r>
          </w:p>
        </w:tc>
        <w:tc>
          <w:tcPr>
            <w:tcW w:w="1234" w:type="dxa"/>
            <w:tcBorders>
              <w:top w:val="nil"/>
              <w:left w:val="nil"/>
              <w:bottom w:val="single" w:sz="4" w:space="0" w:color="0070C0"/>
              <w:right w:val="single" w:sz="4" w:space="0" w:color="0070C0"/>
            </w:tcBorders>
            <w:shd w:val="clear" w:color="auto" w:fill="auto"/>
            <w:hideMark/>
          </w:tcPr>
          <w:p w14:paraId="3E55100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MOJ PEDIATER MATJAŽ HOMŠAK</w:t>
            </w:r>
          </w:p>
        </w:tc>
        <w:tc>
          <w:tcPr>
            <w:tcW w:w="494" w:type="dxa"/>
            <w:tcBorders>
              <w:top w:val="nil"/>
              <w:left w:val="nil"/>
              <w:bottom w:val="single" w:sz="4" w:space="0" w:color="0070C0"/>
              <w:right w:val="single" w:sz="4" w:space="0" w:color="0070C0"/>
            </w:tcBorders>
            <w:shd w:val="clear" w:color="auto" w:fill="auto"/>
            <w:noWrap/>
            <w:hideMark/>
          </w:tcPr>
          <w:p w14:paraId="6053E7E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176,75</w:t>
            </w:r>
          </w:p>
        </w:tc>
      </w:tr>
      <w:tr w:rsidR="00FE461F" w:rsidRPr="005E4BEA" w14:paraId="2D6C7B9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2101F2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31339</w:t>
            </w:r>
          </w:p>
        </w:tc>
        <w:tc>
          <w:tcPr>
            <w:tcW w:w="1234" w:type="dxa"/>
            <w:tcBorders>
              <w:top w:val="nil"/>
              <w:left w:val="nil"/>
              <w:bottom w:val="single" w:sz="4" w:space="0" w:color="0070C0"/>
              <w:right w:val="single" w:sz="4" w:space="0" w:color="0070C0"/>
            </w:tcBorders>
            <w:shd w:val="clear" w:color="auto" w:fill="auto"/>
            <w:hideMark/>
          </w:tcPr>
          <w:p w14:paraId="4F87ECB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KALAMED D.O.O</w:t>
            </w:r>
          </w:p>
        </w:tc>
        <w:tc>
          <w:tcPr>
            <w:tcW w:w="494" w:type="dxa"/>
            <w:tcBorders>
              <w:top w:val="nil"/>
              <w:left w:val="nil"/>
              <w:bottom w:val="single" w:sz="4" w:space="0" w:color="0070C0"/>
              <w:right w:val="single" w:sz="4" w:space="0" w:color="0070C0"/>
            </w:tcBorders>
            <w:shd w:val="clear" w:color="auto" w:fill="auto"/>
            <w:noWrap/>
            <w:hideMark/>
          </w:tcPr>
          <w:p w14:paraId="2C900DC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6B36444B"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5CDCE2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75</w:t>
            </w:r>
          </w:p>
        </w:tc>
        <w:tc>
          <w:tcPr>
            <w:tcW w:w="1234" w:type="dxa"/>
            <w:tcBorders>
              <w:top w:val="nil"/>
              <w:left w:val="nil"/>
              <w:bottom w:val="single" w:sz="4" w:space="0" w:color="0070C0"/>
              <w:right w:val="single" w:sz="4" w:space="0" w:color="0070C0"/>
            </w:tcBorders>
            <w:shd w:val="clear" w:color="auto" w:fill="auto"/>
            <w:hideMark/>
          </w:tcPr>
          <w:p w14:paraId="3369C16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ZDRAVSTVENI ZAVOD KOS, RUŠE</w:t>
            </w:r>
          </w:p>
        </w:tc>
        <w:tc>
          <w:tcPr>
            <w:tcW w:w="494" w:type="dxa"/>
            <w:tcBorders>
              <w:top w:val="nil"/>
              <w:left w:val="nil"/>
              <w:bottom w:val="single" w:sz="4" w:space="0" w:color="0070C0"/>
              <w:right w:val="single" w:sz="4" w:space="0" w:color="0070C0"/>
            </w:tcBorders>
            <w:shd w:val="clear" w:color="auto" w:fill="auto"/>
            <w:noWrap/>
            <w:hideMark/>
          </w:tcPr>
          <w:p w14:paraId="7B2C3D3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5C3214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BE6EA4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115</w:t>
            </w:r>
          </w:p>
        </w:tc>
        <w:tc>
          <w:tcPr>
            <w:tcW w:w="1234" w:type="dxa"/>
            <w:tcBorders>
              <w:top w:val="nil"/>
              <w:left w:val="nil"/>
              <w:bottom w:val="single" w:sz="4" w:space="0" w:color="0070C0"/>
              <w:right w:val="single" w:sz="4" w:space="0" w:color="0070C0"/>
            </w:tcBorders>
            <w:shd w:val="clear" w:color="auto" w:fill="auto"/>
            <w:hideMark/>
          </w:tcPr>
          <w:p w14:paraId="04B5A6F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PERUN MED D.O.O.</w:t>
            </w:r>
          </w:p>
        </w:tc>
        <w:tc>
          <w:tcPr>
            <w:tcW w:w="494" w:type="dxa"/>
            <w:tcBorders>
              <w:top w:val="nil"/>
              <w:left w:val="nil"/>
              <w:bottom w:val="single" w:sz="4" w:space="0" w:color="0070C0"/>
              <w:right w:val="single" w:sz="4" w:space="0" w:color="0070C0"/>
            </w:tcBorders>
            <w:shd w:val="clear" w:color="auto" w:fill="auto"/>
            <w:noWrap/>
            <w:hideMark/>
          </w:tcPr>
          <w:p w14:paraId="47D2318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218608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9E03F5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55274</w:t>
            </w:r>
          </w:p>
        </w:tc>
        <w:tc>
          <w:tcPr>
            <w:tcW w:w="1234" w:type="dxa"/>
            <w:tcBorders>
              <w:top w:val="nil"/>
              <w:left w:val="nil"/>
              <w:bottom w:val="single" w:sz="4" w:space="0" w:color="0070C0"/>
              <w:right w:val="single" w:sz="4" w:space="0" w:color="0070C0"/>
            </w:tcBorders>
            <w:shd w:val="clear" w:color="auto" w:fill="auto"/>
            <w:hideMark/>
          </w:tcPr>
          <w:p w14:paraId="7AEBB0D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POLHEK D.O.O.</w:t>
            </w:r>
          </w:p>
        </w:tc>
        <w:tc>
          <w:tcPr>
            <w:tcW w:w="494" w:type="dxa"/>
            <w:tcBorders>
              <w:top w:val="nil"/>
              <w:left w:val="nil"/>
              <w:bottom w:val="single" w:sz="4" w:space="0" w:color="0070C0"/>
              <w:right w:val="single" w:sz="4" w:space="0" w:color="0070C0"/>
            </w:tcBorders>
            <w:shd w:val="clear" w:color="auto" w:fill="auto"/>
            <w:noWrap/>
            <w:hideMark/>
          </w:tcPr>
          <w:p w14:paraId="3EEB408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452,75</w:t>
            </w:r>
          </w:p>
        </w:tc>
      </w:tr>
      <w:tr w:rsidR="00FE461F" w:rsidRPr="005E4BEA" w14:paraId="52049B42"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C3BE5D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55271</w:t>
            </w:r>
          </w:p>
        </w:tc>
        <w:tc>
          <w:tcPr>
            <w:tcW w:w="1234" w:type="dxa"/>
            <w:tcBorders>
              <w:top w:val="nil"/>
              <w:left w:val="nil"/>
              <w:bottom w:val="single" w:sz="4" w:space="0" w:color="0070C0"/>
              <w:right w:val="single" w:sz="4" w:space="0" w:color="0070C0"/>
            </w:tcBorders>
            <w:shd w:val="clear" w:color="auto" w:fill="auto"/>
            <w:hideMark/>
          </w:tcPr>
          <w:p w14:paraId="00EC8DC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NINA LOKOVŠEK</w:t>
            </w:r>
          </w:p>
        </w:tc>
        <w:tc>
          <w:tcPr>
            <w:tcW w:w="494" w:type="dxa"/>
            <w:tcBorders>
              <w:top w:val="nil"/>
              <w:left w:val="nil"/>
              <w:bottom w:val="single" w:sz="4" w:space="0" w:color="0070C0"/>
              <w:right w:val="single" w:sz="4" w:space="0" w:color="0070C0"/>
            </w:tcBorders>
            <w:shd w:val="clear" w:color="auto" w:fill="auto"/>
            <w:noWrap/>
            <w:hideMark/>
          </w:tcPr>
          <w:p w14:paraId="0E07884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223D1E9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5C51B8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9</w:t>
            </w:r>
          </w:p>
        </w:tc>
        <w:tc>
          <w:tcPr>
            <w:tcW w:w="1234" w:type="dxa"/>
            <w:tcBorders>
              <w:top w:val="nil"/>
              <w:left w:val="nil"/>
              <w:bottom w:val="single" w:sz="4" w:space="0" w:color="0070C0"/>
              <w:right w:val="single" w:sz="4" w:space="0" w:color="0070C0"/>
            </w:tcBorders>
            <w:shd w:val="clear" w:color="auto" w:fill="auto"/>
            <w:hideMark/>
          </w:tcPr>
          <w:p w14:paraId="45BE562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PEDIATRIJA MOJCA ŠVAB ZAVRATNIK</w:t>
            </w:r>
          </w:p>
        </w:tc>
        <w:tc>
          <w:tcPr>
            <w:tcW w:w="494" w:type="dxa"/>
            <w:tcBorders>
              <w:top w:val="nil"/>
              <w:left w:val="nil"/>
              <w:bottom w:val="single" w:sz="4" w:space="0" w:color="0070C0"/>
              <w:right w:val="single" w:sz="4" w:space="0" w:color="0070C0"/>
            </w:tcBorders>
            <w:shd w:val="clear" w:color="auto" w:fill="auto"/>
            <w:noWrap/>
            <w:hideMark/>
          </w:tcPr>
          <w:p w14:paraId="31FBC18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191,15</w:t>
            </w:r>
          </w:p>
        </w:tc>
      </w:tr>
      <w:tr w:rsidR="00FE461F" w:rsidRPr="005E4BEA" w14:paraId="738C94DC"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DCB043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lastRenderedPageBreak/>
              <w:t>197</w:t>
            </w:r>
          </w:p>
        </w:tc>
        <w:tc>
          <w:tcPr>
            <w:tcW w:w="1234" w:type="dxa"/>
            <w:tcBorders>
              <w:top w:val="nil"/>
              <w:left w:val="nil"/>
              <w:bottom w:val="single" w:sz="4" w:space="0" w:color="0070C0"/>
              <w:right w:val="single" w:sz="4" w:space="0" w:color="0070C0"/>
            </w:tcBorders>
            <w:shd w:val="clear" w:color="auto" w:fill="auto"/>
            <w:hideMark/>
          </w:tcPr>
          <w:p w14:paraId="106E3DE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DOLENC D.O.O.</w:t>
            </w:r>
          </w:p>
        </w:tc>
        <w:tc>
          <w:tcPr>
            <w:tcW w:w="494" w:type="dxa"/>
            <w:tcBorders>
              <w:top w:val="nil"/>
              <w:left w:val="nil"/>
              <w:bottom w:val="single" w:sz="4" w:space="0" w:color="0070C0"/>
              <w:right w:val="single" w:sz="4" w:space="0" w:color="0070C0"/>
            </w:tcBorders>
            <w:shd w:val="clear" w:color="auto" w:fill="auto"/>
            <w:noWrap/>
            <w:hideMark/>
          </w:tcPr>
          <w:p w14:paraId="704A758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172,36</w:t>
            </w:r>
          </w:p>
        </w:tc>
      </w:tr>
      <w:tr w:rsidR="00FE461F" w:rsidRPr="005E4BEA" w14:paraId="0CC8691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337B8D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24</w:t>
            </w:r>
          </w:p>
        </w:tc>
        <w:tc>
          <w:tcPr>
            <w:tcW w:w="1234" w:type="dxa"/>
            <w:tcBorders>
              <w:top w:val="nil"/>
              <w:left w:val="nil"/>
              <w:bottom w:val="single" w:sz="4" w:space="0" w:color="0070C0"/>
              <w:right w:val="single" w:sz="4" w:space="0" w:color="0070C0"/>
            </w:tcBorders>
            <w:shd w:val="clear" w:color="auto" w:fill="auto"/>
            <w:hideMark/>
          </w:tcPr>
          <w:p w14:paraId="3BBA6F1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MEDICINA ČERNE</w:t>
            </w:r>
          </w:p>
        </w:tc>
        <w:tc>
          <w:tcPr>
            <w:tcW w:w="494" w:type="dxa"/>
            <w:tcBorders>
              <w:top w:val="nil"/>
              <w:left w:val="nil"/>
              <w:bottom w:val="single" w:sz="4" w:space="0" w:color="0070C0"/>
              <w:right w:val="single" w:sz="4" w:space="0" w:color="0070C0"/>
            </w:tcBorders>
            <w:shd w:val="clear" w:color="auto" w:fill="auto"/>
            <w:noWrap/>
            <w:hideMark/>
          </w:tcPr>
          <w:p w14:paraId="7A438EC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280,20</w:t>
            </w:r>
          </w:p>
        </w:tc>
      </w:tr>
      <w:tr w:rsidR="00FE461F" w:rsidRPr="005E4BEA" w14:paraId="13F826A0"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F737AD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w:t>
            </w:r>
          </w:p>
        </w:tc>
        <w:tc>
          <w:tcPr>
            <w:tcW w:w="1234" w:type="dxa"/>
            <w:tcBorders>
              <w:top w:val="nil"/>
              <w:left w:val="nil"/>
              <w:bottom w:val="single" w:sz="4" w:space="0" w:color="0070C0"/>
              <w:right w:val="single" w:sz="4" w:space="0" w:color="0070C0"/>
            </w:tcBorders>
            <w:shd w:val="clear" w:color="auto" w:fill="auto"/>
            <w:hideMark/>
          </w:tcPr>
          <w:p w14:paraId="0C3C061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KOLARIĆ DAVORIN</w:t>
            </w:r>
          </w:p>
        </w:tc>
        <w:tc>
          <w:tcPr>
            <w:tcW w:w="494" w:type="dxa"/>
            <w:tcBorders>
              <w:top w:val="nil"/>
              <w:left w:val="nil"/>
              <w:bottom w:val="single" w:sz="4" w:space="0" w:color="0070C0"/>
              <w:right w:val="single" w:sz="4" w:space="0" w:color="0070C0"/>
            </w:tcBorders>
            <w:shd w:val="clear" w:color="auto" w:fill="auto"/>
            <w:noWrap/>
            <w:hideMark/>
          </w:tcPr>
          <w:p w14:paraId="75C14EC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5E7C0F8F"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1EE853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38</w:t>
            </w:r>
          </w:p>
        </w:tc>
        <w:tc>
          <w:tcPr>
            <w:tcW w:w="1234" w:type="dxa"/>
            <w:tcBorders>
              <w:top w:val="nil"/>
              <w:left w:val="nil"/>
              <w:bottom w:val="single" w:sz="4" w:space="0" w:color="0070C0"/>
              <w:right w:val="single" w:sz="4" w:space="0" w:color="0070C0"/>
            </w:tcBorders>
            <w:shd w:val="clear" w:color="auto" w:fill="auto"/>
            <w:hideMark/>
          </w:tcPr>
          <w:p w14:paraId="2678841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MILENKOVIĆ SUZANA</w:t>
            </w:r>
          </w:p>
        </w:tc>
        <w:tc>
          <w:tcPr>
            <w:tcW w:w="494" w:type="dxa"/>
            <w:tcBorders>
              <w:top w:val="nil"/>
              <w:left w:val="nil"/>
              <w:bottom w:val="single" w:sz="4" w:space="0" w:color="0070C0"/>
              <w:right w:val="single" w:sz="4" w:space="0" w:color="0070C0"/>
            </w:tcBorders>
            <w:shd w:val="clear" w:color="auto" w:fill="auto"/>
            <w:noWrap/>
            <w:hideMark/>
          </w:tcPr>
          <w:p w14:paraId="786F3CC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097B4D33"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6DDCA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56</w:t>
            </w:r>
          </w:p>
        </w:tc>
        <w:tc>
          <w:tcPr>
            <w:tcW w:w="1234" w:type="dxa"/>
            <w:tcBorders>
              <w:top w:val="nil"/>
              <w:left w:val="nil"/>
              <w:bottom w:val="single" w:sz="4" w:space="0" w:color="0070C0"/>
              <w:right w:val="single" w:sz="4" w:space="0" w:color="0070C0"/>
            </w:tcBorders>
            <w:shd w:val="clear" w:color="auto" w:fill="auto"/>
            <w:hideMark/>
          </w:tcPr>
          <w:p w14:paraId="09B6EE9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LAH, D.O.O.</w:t>
            </w:r>
          </w:p>
        </w:tc>
        <w:tc>
          <w:tcPr>
            <w:tcW w:w="494" w:type="dxa"/>
            <w:tcBorders>
              <w:top w:val="nil"/>
              <w:left w:val="nil"/>
              <w:bottom w:val="single" w:sz="4" w:space="0" w:color="0070C0"/>
              <w:right w:val="single" w:sz="4" w:space="0" w:color="0070C0"/>
            </w:tcBorders>
            <w:shd w:val="clear" w:color="auto" w:fill="auto"/>
            <w:noWrap/>
            <w:hideMark/>
          </w:tcPr>
          <w:p w14:paraId="49EC4E0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3E422738"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A4D566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57</w:t>
            </w:r>
          </w:p>
        </w:tc>
        <w:tc>
          <w:tcPr>
            <w:tcW w:w="1234" w:type="dxa"/>
            <w:tcBorders>
              <w:top w:val="nil"/>
              <w:left w:val="nil"/>
              <w:bottom w:val="single" w:sz="4" w:space="0" w:color="0070C0"/>
              <w:right w:val="single" w:sz="4" w:space="0" w:color="0070C0"/>
            </w:tcBorders>
            <w:shd w:val="clear" w:color="auto" w:fill="auto"/>
            <w:hideMark/>
          </w:tcPr>
          <w:p w14:paraId="63F85BB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IVAN MITROVIĆ, DR.MED.,S.P.</w:t>
            </w:r>
          </w:p>
        </w:tc>
        <w:tc>
          <w:tcPr>
            <w:tcW w:w="494" w:type="dxa"/>
            <w:tcBorders>
              <w:top w:val="nil"/>
              <w:left w:val="nil"/>
              <w:bottom w:val="single" w:sz="4" w:space="0" w:color="0070C0"/>
              <w:right w:val="single" w:sz="4" w:space="0" w:color="0070C0"/>
            </w:tcBorders>
            <w:shd w:val="clear" w:color="auto" w:fill="auto"/>
            <w:noWrap/>
            <w:hideMark/>
          </w:tcPr>
          <w:p w14:paraId="49E3ABC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42FC406"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AE76A1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54</w:t>
            </w:r>
          </w:p>
        </w:tc>
        <w:tc>
          <w:tcPr>
            <w:tcW w:w="1234" w:type="dxa"/>
            <w:tcBorders>
              <w:top w:val="nil"/>
              <w:left w:val="nil"/>
              <w:bottom w:val="single" w:sz="4" w:space="0" w:color="0070C0"/>
              <w:right w:val="single" w:sz="4" w:space="0" w:color="0070C0"/>
            </w:tcBorders>
            <w:shd w:val="clear" w:color="auto" w:fill="auto"/>
            <w:hideMark/>
          </w:tcPr>
          <w:p w14:paraId="6ADD803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VUKOVIČ MIRO</w:t>
            </w:r>
          </w:p>
        </w:tc>
        <w:tc>
          <w:tcPr>
            <w:tcW w:w="494" w:type="dxa"/>
            <w:tcBorders>
              <w:top w:val="nil"/>
              <w:left w:val="nil"/>
              <w:bottom w:val="single" w:sz="4" w:space="0" w:color="0070C0"/>
              <w:right w:val="single" w:sz="4" w:space="0" w:color="0070C0"/>
            </w:tcBorders>
            <w:shd w:val="clear" w:color="auto" w:fill="auto"/>
            <w:noWrap/>
            <w:hideMark/>
          </w:tcPr>
          <w:p w14:paraId="4E8BCC7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156,95</w:t>
            </w:r>
          </w:p>
        </w:tc>
      </w:tr>
      <w:tr w:rsidR="00FE461F" w:rsidRPr="005E4BEA" w14:paraId="523E41B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17800F5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63</w:t>
            </w:r>
          </w:p>
        </w:tc>
        <w:tc>
          <w:tcPr>
            <w:tcW w:w="1234" w:type="dxa"/>
            <w:tcBorders>
              <w:top w:val="nil"/>
              <w:left w:val="nil"/>
              <w:bottom w:val="single" w:sz="4" w:space="0" w:color="0070C0"/>
              <w:right w:val="single" w:sz="4" w:space="0" w:color="0070C0"/>
            </w:tcBorders>
            <w:shd w:val="clear" w:color="auto" w:fill="auto"/>
            <w:hideMark/>
          </w:tcPr>
          <w:p w14:paraId="26DA664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MOJCA IVANKOVIČ KACJAN, DR.MED.</w:t>
            </w:r>
          </w:p>
        </w:tc>
        <w:tc>
          <w:tcPr>
            <w:tcW w:w="494" w:type="dxa"/>
            <w:tcBorders>
              <w:top w:val="nil"/>
              <w:left w:val="nil"/>
              <w:bottom w:val="single" w:sz="4" w:space="0" w:color="0070C0"/>
              <w:right w:val="single" w:sz="4" w:space="0" w:color="0070C0"/>
            </w:tcBorders>
            <w:shd w:val="clear" w:color="auto" w:fill="auto"/>
            <w:noWrap/>
            <w:hideMark/>
          </w:tcPr>
          <w:p w14:paraId="2392CFE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162,34</w:t>
            </w:r>
          </w:p>
        </w:tc>
      </w:tr>
      <w:tr w:rsidR="00FE461F" w:rsidRPr="005E4BEA" w14:paraId="189649E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396B9B7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143</w:t>
            </w:r>
          </w:p>
        </w:tc>
        <w:tc>
          <w:tcPr>
            <w:tcW w:w="1234" w:type="dxa"/>
            <w:tcBorders>
              <w:top w:val="nil"/>
              <w:left w:val="nil"/>
              <w:bottom w:val="single" w:sz="4" w:space="0" w:color="0070C0"/>
              <w:right w:val="single" w:sz="4" w:space="0" w:color="0070C0"/>
            </w:tcBorders>
            <w:shd w:val="clear" w:color="auto" w:fill="auto"/>
            <w:hideMark/>
          </w:tcPr>
          <w:p w14:paraId="7037EE7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DRUŽINSKE MEDICINE SAŠO ŽITNIK</w:t>
            </w:r>
          </w:p>
        </w:tc>
        <w:tc>
          <w:tcPr>
            <w:tcW w:w="494" w:type="dxa"/>
            <w:tcBorders>
              <w:top w:val="nil"/>
              <w:left w:val="nil"/>
              <w:bottom w:val="single" w:sz="4" w:space="0" w:color="0070C0"/>
              <w:right w:val="single" w:sz="4" w:space="0" w:color="0070C0"/>
            </w:tcBorders>
            <w:shd w:val="clear" w:color="auto" w:fill="auto"/>
            <w:noWrap/>
            <w:hideMark/>
          </w:tcPr>
          <w:p w14:paraId="2CC4E51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0379069E"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89DD78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168</w:t>
            </w:r>
          </w:p>
        </w:tc>
        <w:tc>
          <w:tcPr>
            <w:tcW w:w="1234" w:type="dxa"/>
            <w:tcBorders>
              <w:top w:val="nil"/>
              <w:left w:val="nil"/>
              <w:bottom w:val="single" w:sz="4" w:space="0" w:color="0070C0"/>
              <w:right w:val="single" w:sz="4" w:space="0" w:color="0070C0"/>
            </w:tcBorders>
            <w:shd w:val="clear" w:color="auto" w:fill="auto"/>
            <w:hideMark/>
          </w:tcPr>
          <w:p w14:paraId="3A61D06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OTROŠKI ZDRAVNIK D.O.O.</w:t>
            </w:r>
          </w:p>
        </w:tc>
        <w:tc>
          <w:tcPr>
            <w:tcW w:w="494" w:type="dxa"/>
            <w:tcBorders>
              <w:top w:val="nil"/>
              <w:left w:val="nil"/>
              <w:bottom w:val="single" w:sz="4" w:space="0" w:color="0070C0"/>
              <w:right w:val="single" w:sz="4" w:space="0" w:color="0070C0"/>
            </w:tcBorders>
            <w:shd w:val="clear" w:color="auto" w:fill="auto"/>
            <w:noWrap/>
            <w:hideMark/>
          </w:tcPr>
          <w:p w14:paraId="5585A78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48,34</w:t>
            </w:r>
          </w:p>
        </w:tc>
      </w:tr>
      <w:tr w:rsidR="00FE461F" w:rsidRPr="005E4BEA" w14:paraId="1977108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4FF98B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186</w:t>
            </w:r>
          </w:p>
        </w:tc>
        <w:tc>
          <w:tcPr>
            <w:tcW w:w="1234" w:type="dxa"/>
            <w:tcBorders>
              <w:top w:val="nil"/>
              <w:left w:val="nil"/>
              <w:bottom w:val="single" w:sz="4" w:space="0" w:color="0070C0"/>
              <w:right w:val="single" w:sz="4" w:space="0" w:color="0070C0"/>
            </w:tcBorders>
            <w:shd w:val="clear" w:color="auto" w:fill="auto"/>
            <w:hideMark/>
          </w:tcPr>
          <w:p w14:paraId="6C91881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SIRAMED, MEDICINSKE STORITVE IN SVETOVANJE D. O. O</w:t>
            </w:r>
          </w:p>
        </w:tc>
        <w:tc>
          <w:tcPr>
            <w:tcW w:w="494" w:type="dxa"/>
            <w:tcBorders>
              <w:top w:val="nil"/>
              <w:left w:val="nil"/>
              <w:bottom w:val="single" w:sz="4" w:space="0" w:color="0070C0"/>
              <w:right w:val="single" w:sz="4" w:space="0" w:color="0070C0"/>
            </w:tcBorders>
            <w:shd w:val="clear" w:color="auto" w:fill="auto"/>
            <w:noWrap/>
            <w:hideMark/>
          </w:tcPr>
          <w:p w14:paraId="261F4A6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690382B5"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07C248E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w:t>
            </w:r>
          </w:p>
        </w:tc>
        <w:tc>
          <w:tcPr>
            <w:tcW w:w="1234" w:type="dxa"/>
            <w:tcBorders>
              <w:top w:val="nil"/>
              <w:left w:val="nil"/>
              <w:bottom w:val="single" w:sz="4" w:space="0" w:color="0070C0"/>
              <w:right w:val="single" w:sz="4" w:space="0" w:color="0070C0"/>
            </w:tcBorders>
            <w:shd w:val="clear" w:color="auto" w:fill="auto"/>
            <w:hideMark/>
          </w:tcPr>
          <w:p w14:paraId="4373F72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 MEDICINA</w:t>
            </w:r>
          </w:p>
        </w:tc>
        <w:tc>
          <w:tcPr>
            <w:tcW w:w="494" w:type="dxa"/>
            <w:tcBorders>
              <w:top w:val="nil"/>
              <w:left w:val="nil"/>
              <w:bottom w:val="single" w:sz="4" w:space="0" w:color="0070C0"/>
              <w:right w:val="single" w:sz="4" w:space="0" w:color="0070C0"/>
            </w:tcBorders>
            <w:shd w:val="clear" w:color="auto" w:fill="auto"/>
            <w:noWrap/>
            <w:hideMark/>
          </w:tcPr>
          <w:p w14:paraId="52DC505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64387649"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46BA36D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203</w:t>
            </w:r>
          </w:p>
        </w:tc>
        <w:tc>
          <w:tcPr>
            <w:tcW w:w="1234" w:type="dxa"/>
            <w:tcBorders>
              <w:top w:val="nil"/>
              <w:left w:val="nil"/>
              <w:bottom w:val="single" w:sz="4" w:space="0" w:color="0070C0"/>
              <w:right w:val="single" w:sz="4" w:space="0" w:color="0070C0"/>
            </w:tcBorders>
            <w:shd w:val="clear" w:color="auto" w:fill="auto"/>
            <w:hideMark/>
          </w:tcPr>
          <w:p w14:paraId="70D5BA5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AMBULANTA DRUŽINSKE MEDICINE URŠKA FERK</w:t>
            </w:r>
          </w:p>
        </w:tc>
        <w:tc>
          <w:tcPr>
            <w:tcW w:w="494" w:type="dxa"/>
            <w:tcBorders>
              <w:top w:val="nil"/>
              <w:left w:val="nil"/>
              <w:bottom w:val="single" w:sz="4" w:space="0" w:color="0070C0"/>
              <w:right w:val="single" w:sz="4" w:space="0" w:color="0070C0"/>
            </w:tcBorders>
            <w:shd w:val="clear" w:color="auto" w:fill="auto"/>
            <w:noWrap/>
            <w:hideMark/>
          </w:tcPr>
          <w:p w14:paraId="525A108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CC45C91"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651EC2A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202</w:t>
            </w:r>
          </w:p>
        </w:tc>
        <w:tc>
          <w:tcPr>
            <w:tcW w:w="1234" w:type="dxa"/>
            <w:tcBorders>
              <w:top w:val="nil"/>
              <w:left w:val="nil"/>
              <w:bottom w:val="single" w:sz="4" w:space="0" w:color="0070C0"/>
              <w:right w:val="single" w:sz="4" w:space="0" w:color="0070C0"/>
            </w:tcBorders>
            <w:shd w:val="clear" w:color="auto" w:fill="auto"/>
            <w:hideMark/>
          </w:tcPr>
          <w:p w14:paraId="681E95B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NOVAK JASNA</w:t>
            </w:r>
          </w:p>
        </w:tc>
        <w:tc>
          <w:tcPr>
            <w:tcW w:w="494" w:type="dxa"/>
            <w:tcBorders>
              <w:top w:val="nil"/>
              <w:left w:val="nil"/>
              <w:bottom w:val="single" w:sz="4" w:space="0" w:color="0070C0"/>
              <w:right w:val="single" w:sz="4" w:space="0" w:color="0070C0"/>
            </w:tcBorders>
            <w:shd w:val="clear" w:color="auto" w:fill="auto"/>
            <w:noWrap/>
            <w:hideMark/>
          </w:tcPr>
          <w:p w14:paraId="7861D8B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733888E7"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7420106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226</w:t>
            </w:r>
          </w:p>
        </w:tc>
        <w:tc>
          <w:tcPr>
            <w:tcW w:w="1234" w:type="dxa"/>
            <w:tcBorders>
              <w:top w:val="nil"/>
              <w:left w:val="nil"/>
              <w:bottom w:val="single" w:sz="4" w:space="0" w:color="0070C0"/>
              <w:right w:val="single" w:sz="4" w:space="0" w:color="0070C0"/>
            </w:tcBorders>
            <w:shd w:val="clear" w:color="auto" w:fill="auto"/>
            <w:hideMark/>
          </w:tcPr>
          <w:p w14:paraId="0D21FE3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SPLOŠNA IN DRUŽINSKA MEDICINA GORDANA ŠĆEPANOVIĆ,</w:t>
            </w:r>
          </w:p>
        </w:tc>
        <w:tc>
          <w:tcPr>
            <w:tcW w:w="494" w:type="dxa"/>
            <w:tcBorders>
              <w:top w:val="nil"/>
              <w:left w:val="nil"/>
              <w:bottom w:val="single" w:sz="4" w:space="0" w:color="0070C0"/>
              <w:right w:val="single" w:sz="4" w:space="0" w:color="0070C0"/>
            </w:tcBorders>
            <w:shd w:val="clear" w:color="auto" w:fill="auto"/>
            <w:noWrap/>
            <w:hideMark/>
          </w:tcPr>
          <w:p w14:paraId="6C22197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326,42</w:t>
            </w:r>
          </w:p>
        </w:tc>
      </w:tr>
      <w:tr w:rsidR="00FE461F" w:rsidRPr="005E4BEA" w14:paraId="555FB80A" w14:textId="77777777" w:rsidTr="00955869">
        <w:trPr>
          <w:trHeight w:val="211"/>
        </w:trPr>
        <w:tc>
          <w:tcPr>
            <w:tcW w:w="378" w:type="dxa"/>
            <w:tcBorders>
              <w:top w:val="nil"/>
              <w:left w:val="single" w:sz="4" w:space="0" w:color="0070C0"/>
              <w:bottom w:val="single" w:sz="4" w:space="0" w:color="0070C0"/>
              <w:right w:val="single" w:sz="4" w:space="0" w:color="0070C0"/>
            </w:tcBorders>
            <w:shd w:val="clear" w:color="auto" w:fill="auto"/>
            <w:noWrap/>
            <w:hideMark/>
          </w:tcPr>
          <w:p w14:paraId="5AE9049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325</w:t>
            </w:r>
          </w:p>
        </w:tc>
        <w:tc>
          <w:tcPr>
            <w:tcW w:w="1234" w:type="dxa"/>
            <w:tcBorders>
              <w:top w:val="nil"/>
              <w:left w:val="nil"/>
              <w:bottom w:val="single" w:sz="4" w:space="0" w:color="0070C0"/>
              <w:right w:val="single" w:sz="4" w:space="0" w:color="0070C0"/>
            </w:tcBorders>
            <w:shd w:val="clear" w:color="auto" w:fill="auto"/>
            <w:hideMark/>
          </w:tcPr>
          <w:p w14:paraId="3863279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MENS MEDICA, D.O.O.</w:t>
            </w:r>
          </w:p>
        </w:tc>
        <w:tc>
          <w:tcPr>
            <w:tcW w:w="494" w:type="dxa"/>
            <w:tcBorders>
              <w:top w:val="nil"/>
              <w:left w:val="nil"/>
              <w:bottom w:val="single" w:sz="4" w:space="0" w:color="0070C0"/>
              <w:right w:val="single" w:sz="4" w:space="0" w:color="0070C0"/>
            </w:tcBorders>
            <w:shd w:val="clear" w:color="auto" w:fill="auto"/>
            <w:noWrap/>
            <w:hideMark/>
          </w:tcPr>
          <w:p w14:paraId="4EF2D84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232,90</w:t>
            </w:r>
          </w:p>
        </w:tc>
      </w:tr>
      <w:tr w:rsidR="00FE461F" w:rsidRPr="005E4BEA" w14:paraId="5C4C7CA4" w14:textId="77777777" w:rsidTr="00955869">
        <w:trPr>
          <w:trHeight w:val="211"/>
        </w:trPr>
        <w:tc>
          <w:tcPr>
            <w:tcW w:w="37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42443D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291</w:t>
            </w:r>
          </w:p>
        </w:tc>
        <w:tc>
          <w:tcPr>
            <w:tcW w:w="1234" w:type="dxa"/>
            <w:tcBorders>
              <w:top w:val="single" w:sz="4" w:space="0" w:color="0070C0"/>
              <w:left w:val="nil"/>
              <w:bottom w:val="single" w:sz="4" w:space="0" w:color="0070C0"/>
              <w:right w:val="single" w:sz="4" w:space="0" w:color="0070C0"/>
            </w:tcBorders>
            <w:shd w:val="clear" w:color="auto" w:fill="auto"/>
            <w:hideMark/>
          </w:tcPr>
          <w:p w14:paraId="0E4B00F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AMBULANTA SPLOŠNE MEDICINE </w:t>
            </w:r>
            <w:r w:rsidRPr="005E4BEA">
              <w:rPr>
                <w:rFonts w:cs="Arial"/>
                <w:color w:val="000000"/>
                <w:szCs w:val="20"/>
              </w:rPr>
              <w:t>ALENKA SIMONIČ</w:t>
            </w:r>
          </w:p>
        </w:tc>
        <w:tc>
          <w:tcPr>
            <w:tcW w:w="494" w:type="dxa"/>
            <w:tcBorders>
              <w:top w:val="single" w:sz="4" w:space="0" w:color="0070C0"/>
              <w:left w:val="nil"/>
              <w:bottom w:val="single" w:sz="4" w:space="0" w:color="0070C0"/>
              <w:right w:val="single" w:sz="4" w:space="0" w:color="0070C0"/>
            </w:tcBorders>
            <w:shd w:val="clear" w:color="auto" w:fill="auto"/>
            <w:noWrap/>
            <w:hideMark/>
          </w:tcPr>
          <w:p w14:paraId="6E70111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315,54</w:t>
            </w:r>
          </w:p>
        </w:tc>
      </w:tr>
      <w:tr w:rsidR="00FE461F" w:rsidRPr="005E4BEA" w14:paraId="62F961C5" w14:textId="77777777" w:rsidTr="00955869">
        <w:trPr>
          <w:trHeight w:val="211"/>
        </w:trPr>
        <w:tc>
          <w:tcPr>
            <w:tcW w:w="378" w:type="dxa"/>
            <w:tcBorders>
              <w:top w:val="single" w:sz="4" w:space="0" w:color="0070C0"/>
              <w:left w:val="single" w:sz="4" w:space="0" w:color="0070C0"/>
              <w:bottom w:val="single" w:sz="4" w:space="0" w:color="0070C0"/>
              <w:right w:val="single" w:sz="4" w:space="0" w:color="0070C0"/>
            </w:tcBorders>
            <w:shd w:val="clear" w:color="auto" w:fill="auto"/>
            <w:noWrap/>
          </w:tcPr>
          <w:p w14:paraId="7D567EF5" w14:textId="77777777" w:rsidR="00FE461F" w:rsidRPr="005E4BEA" w:rsidRDefault="00FE461F" w:rsidP="00FE461F">
            <w:pPr>
              <w:spacing w:line="240" w:lineRule="auto"/>
              <w:jc w:val="both"/>
              <w:rPr>
                <w:rFonts w:cs="Arial"/>
                <w:color w:val="000000"/>
                <w:szCs w:val="20"/>
              </w:rPr>
            </w:pPr>
          </w:p>
        </w:tc>
        <w:tc>
          <w:tcPr>
            <w:tcW w:w="1234" w:type="dxa"/>
            <w:tcBorders>
              <w:top w:val="single" w:sz="4" w:space="0" w:color="0070C0"/>
              <w:left w:val="nil"/>
              <w:bottom w:val="single" w:sz="4" w:space="0" w:color="0070C0"/>
              <w:right w:val="single" w:sz="4" w:space="0" w:color="0070C0"/>
            </w:tcBorders>
            <w:shd w:val="clear" w:color="auto" w:fill="auto"/>
          </w:tcPr>
          <w:p w14:paraId="7A5185F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SKUPAJ</w:t>
            </w:r>
          </w:p>
        </w:tc>
        <w:tc>
          <w:tcPr>
            <w:tcW w:w="494" w:type="dxa"/>
            <w:tcBorders>
              <w:top w:val="single" w:sz="4" w:space="0" w:color="0070C0"/>
              <w:left w:val="nil"/>
              <w:bottom w:val="single" w:sz="4" w:space="0" w:color="0070C0"/>
              <w:right w:val="single" w:sz="4" w:space="0" w:color="0070C0"/>
            </w:tcBorders>
            <w:shd w:val="clear" w:color="auto" w:fill="auto"/>
            <w:noWrap/>
          </w:tcPr>
          <w:p w14:paraId="248D7CCC"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341.936,11</w:t>
            </w:r>
          </w:p>
        </w:tc>
      </w:tr>
    </w:tbl>
    <w:p w14:paraId="14289D3C" w14:textId="77777777" w:rsidR="00FE461F" w:rsidRPr="005E4BEA" w:rsidRDefault="00FE461F" w:rsidP="00FE461F">
      <w:pPr>
        <w:spacing w:line="240" w:lineRule="exact"/>
        <w:jc w:val="both"/>
        <w:rPr>
          <w:rFonts w:cs="Arial"/>
          <w:szCs w:val="20"/>
        </w:rPr>
        <w:sectPr w:rsidR="00FE461F" w:rsidRPr="005E4BEA" w:rsidSect="0016774B">
          <w:type w:val="continuous"/>
          <w:pgSz w:w="11906" w:h="16838"/>
          <w:pgMar w:top="2268" w:right="1701" w:bottom="1418" w:left="1701" w:header="284" w:footer="709" w:gutter="0"/>
          <w:cols w:num="3" w:space="708"/>
          <w:docGrid w:linePitch="360"/>
        </w:sectPr>
      </w:pPr>
    </w:p>
    <w:p w14:paraId="7524B207" w14:textId="77777777" w:rsidR="00FE461F" w:rsidRPr="005E4BEA" w:rsidRDefault="00FE461F" w:rsidP="00FE461F">
      <w:pPr>
        <w:spacing w:before="120" w:line="240" w:lineRule="exact"/>
        <w:jc w:val="both"/>
        <w:rPr>
          <w:rFonts w:cs="Arial"/>
          <w:szCs w:val="20"/>
        </w:rPr>
      </w:pPr>
      <w:r w:rsidRPr="005E4BEA">
        <w:rPr>
          <w:rFonts w:cs="Arial"/>
          <w:szCs w:val="20"/>
        </w:rPr>
        <w:lastRenderedPageBreak/>
        <w:t>Sprememba velja od 1. 1. 2022 do 31. 12. 2022.</w:t>
      </w:r>
    </w:p>
    <w:p w14:paraId="1BCEAF54" w14:textId="77777777" w:rsidR="00FE461F" w:rsidRPr="005E4BEA" w:rsidRDefault="00FE461F" w:rsidP="00FE461F">
      <w:pPr>
        <w:spacing w:line="240" w:lineRule="exact"/>
        <w:jc w:val="both"/>
        <w:rPr>
          <w:rFonts w:cs="Arial"/>
          <w:szCs w:val="20"/>
        </w:rPr>
      </w:pPr>
    </w:p>
    <w:p w14:paraId="6328FBDC"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365318AA"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da se izvajalcem ambulant družinske medicine in otroško – šolskih dispanzerjev namenijo enkratna sredstva za pokrivanje stroškov zdravstvenih aplikacij za </w:t>
      </w:r>
      <w:proofErr w:type="spellStart"/>
      <w:r w:rsidRPr="005E4BEA">
        <w:rPr>
          <w:rFonts w:eastAsiaTheme="minorHAnsi" w:cs="Arial"/>
          <w:i/>
          <w:color w:val="808080" w:themeColor="background1" w:themeShade="80"/>
          <w:szCs w:val="20"/>
        </w:rPr>
        <w:t>ePrijave</w:t>
      </w:r>
      <w:proofErr w:type="spellEnd"/>
      <w:r w:rsidRPr="005E4BEA">
        <w:rPr>
          <w:rFonts w:eastAsiaTheme="minorHAnsi" w:cs="Arial"/>
          <w:i/>
          <w:color w:val="808080" w:themeColor="background1" w:themeShade="80"/>
          <w:szCs w:val="20"/>
        </w:rPr>
        <w:t xml:space="preserve"> nezgod in poškodb pri delu zavarovanih oseb. Sredstva se izvajalcu zagotovijo pri prvem obračunu zdravstvenih storitev po sprejemu aneksa.</w:t>
      </w:r>
    </w:p>
    <w:p w14:paraId="2CE60142" w14:textId="77777777" w:rsidR="00FE461F" w:rsidRPr="005E4BEA" w:rsidRDefault="00FE461F" w:rsidP="00FE461F">
      <w:pPr>
        <w:spacing w:line="240" w:lineRule="auto"/>
        <w:jc w:val="both"/>
        <w:rPr>
          <w:rFonts w:eastAsiaTheme="minorHAnsi" w:cs="Arial"/>
          <w:i/>
          <w:color w:val="808080" w:themeColor="background1" w:themeShade="80"/>
          <w:szCs w:val="20"/>
        </w:rPr>
      </w:pPr>
    </w:p>
    <w:tbl>
      <w:tblPr>
        <w:tblW w:w="5048" w:type="dxa"/>
        <w:tblInd w:w="55" w:type="dxa"/>
        <w:tblCellMar>
          <w:left w:w="70" w:type="dxa"/>
          <w:right w:w="70" w:type="dxa"/>
        </w:tblCellMar>
        <w:tblLook w:val="04A0" w:firstRow="1" w:lastRow="0" w:firstColumn="1" w:lastColumn="0" w:noHBand="0" w:noVBand="1"/>
      </w:tblPr>
      <w:tblGrid>
        <w:gridCol w:w="2020"/>
        <w:gridCol w:w="813"/>
        <w:gridCol w:w="1074"/>
        <w:gridCol w:w="1141"/>
      </w:tblGrid>
      <w:tr w:rsidR="00FE461F" w:rsidRPr="005E4BEA" w14:paraId="12B6FC90" w14:textId="77777777" w:rsidTr="0016774B">
        <w:trPr>
          <w:trHeight w:val="255"/>
        </w:trPr>
        <w:tc>
          <w:tcPr>
            <w:tcW w:w="2020" w:type="dxa"/>
            <w:tcBorders>
              <w:top w:val="nil"/>
              <w:left w:val="nil"/>
              <w:bottom w:val="nil"/>
              <w:right w:val="nil"/>
            </w:tcBorders>
            <w:shd w:val="clear" w:color="auto" w:fill="auto"/>
            <w:noWrap/>
            <w:vAlign w:val="center"/>
            <w:hideMark/>
          </w:tcPr>
          <w:p w14:paraId="0ECB101B" w14:textId="77777777" w:rsidR="00FE461F" w:rsidRPr="005E4BEA" w:rsidRDefault="00FE461F" w:rsidP="00FE461F">
            <w:pPr>
              <w:spacing w:line="240" w:lineRule="auto"/>
              <w:jc w:val="both"/>
              <w:rPr>
                <w:rFonts w:eastAsiaTheme="minorHAnsi" w:cs="Arial"/>
                <w:i/>
                <w:color w:val="808080"/>
                <w:szCs w:val="20"/>
              </w:rPr>
            </w:pPr>
            <w:bookmarkStart w:id="38" w:name="_Hlk53560893"/>
            <w:r w:rsidRPr="005E4BEA">
              <w:rPr>
                <w:rFonts w:eastAsiaTheme="minorHAnsi" w:cs="Arial"/>
                <w:i/>
                <w:color w:val="808080"/>
                <w:szCs w:val="20"/>
              </w:rPr>
              <w:t>Finančne posledice:</w:t>
            </w:r>
          </w:p>
        </w:tc>
        <w:tc>
          <w:tcPr>
            <w:tcW w:w="820" w:type="dxa"/>
            <w:tcBorders>
              <w:top w:val="nil"/>
              <w:left w:val="nil"/>
              <w:bottom w:val="single" w:sz="4" w:space="0" w:color="8496B0" w:themeColor="text2" w:themeTint="99"/>
              <w:right w:val="single" w:sz="4" w:space="0" w:color="8496B0" w:themeColor="text2" w:themeTint="99"/>
            </w:tcBorders>
            <w:shd w:val="clear" w:color="auto" w:fill="auto"/>
            <w:vAlign w:val="center"/>
            <w:hideMark/>
          </w:tcPr>
          <w:p w14:paraId="1F358818" w14:textId="77777777" w:rsidR="00FE461F" w:rsidRPr="005E4BEA" w:rsidRDefault="00FE461F" w:rsidP="00FE461F">
            <w:pPr>
              <w:spacing w:line="240" w:lineRule="auto"/>
              <w:jc w:val="both"/>
              <w:rPr>
                <w:rFonts w:eastAsiaTheme="minorHAnsi" w:cs="Arial"/>
                <w:b/>
                <w:bCs/>
                <w:i/>
                <w:color w:val="808080"/>
                <w:szCs w:val="20"/>
              </w:rPr>
            </w:pPr>
            <w:r w:rsidRPr="005E4BEA">
              <w:rPr>
                <w:rFonts w:eastAsiaTheme="minorHAnsi" w:cs="Arial"/>
                <w:b/>
                <w:bCs/>
                <w:i/>
                <w:color w:val="808080"/>
                <w:szCs w:val="20"/>
              </w:rPr>
              <w:t> </w:t>
            </w:r>
          </w:p>
        </w:tc>
        <w:tc>
          <w:tcPr>
            <w:tcW w:w="107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63B2C19B" w14:textId="77777777" w:rsidR="00FE461F" w:rsidRPr="005E4BEA" w:rsidRDefault="00FE461F" w:rsidP="00FE461F">
            <w:pPr>
              <w:spacing w:line="240" w:lineRule="auto"/>
              <w:jc w:val="both"/>
              <w:rPr>
                <w:rFonts w:eastAsiaTheme="minorHAnsi" w:cs="Arial"/>
                <w:b/>
                <w:bCs/>
                <w:i/>
                <w:color w:val="808080"/>
                <w:szCs w:val="20"/>
              </w:rPr>
            </w:pPr>
            <w:r w:rsidRPr="005E4BEA">
              <w:rPr>
                <w:rFonts w:eastAsiaTheme="minorHAnsi" w:cs="Arial"/>
                <w:b/>
                <w:bCs/>
                <w:i/>
                <w:color w:val="808080"/>
                <w:szCs w:val="20"/>
              </w:rPr>
              <w:t>Letna raven</w:t>
            </w:r>
          </w:p>
        </w:tc>
        <w:tc>
          <w:tcPr>
            <w:tcW w:w="113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5BBA3CAF" w14:textId="77777777" w:rsidR="00FE461F" w:rsidRPr="005E4BEA" w:rsidRDefault="00FE461F" w:rsidP="00FE461F">
            <w:pPr>
              <w:spacing w:line="240" w:lineRule="auto"/>
              <w:jc w:val="both"/>
              <w:rPr>
                <w:rFonts w:eastAsiaTheme="minorHAnsi" w:cs="Arial"/>
                <w:b/>
                <w:bCs/>
                <w:i/>
                <w:color w:val="808080"/>
                <w:szCs w:val="20"/>
              </w:rPr>
            </w:pPr>
            <w:r w:rsidRPr="005E4BEA">
              <w:rPr>
                <w:rFonts w:eastAsiaTheme="minorHAnsi" w:cs="Arial"/>
                <w:b/>
                <w:bCs/>
                <w:i/>
                <w:color w:val="808080"/>
                <w:szCs w:val="20"/>
              </w:rPr>
              <w:t>2022</w:t>
            </w:r>
          </w:p>
        </w:tc>
      </w:tr>
      <w:tr w:rsidR="00FE461F" w:rsidRPr="005E4BEA" w14:paraId="442A4CBE" w14:textId="77777777" w:rsidTr="0016774B">
        <w:trPr>
          <w:trHeight w:val="300"/>
        </w:trPr>
        <w:tc>
          <w:tcPr>
            <w:tcW w:w="2020" w:type="dxa"/>
            <w:tcBorders>
              <w:top w:val="nil"/>
              <w:left w:val="nil"/>
              <w:bottom w:val="nil"/>
              <w:right w:val="single" w:sz="4" w:space="0" w:color="8496B0" w:themeColor="text2" w:themeTint="99"/>
            </w:tcBorders>
            <w:shd w:val="clear" w:color="auto" w:fill="auto"/>
            <w:noWrap/>
            <w:hideMark/>
          </w:tcPr>
          <w:p w14:paraId="1103E4E0" w14:textId="77777777" w:rsidR="00FE461F" w:rsidRPr="005E4BEA" w:rsidRDefault="00FE461F" w:rsidP="00FE461F">
            <w:pPr>
              <w:spacing w:line="240" w:lineRule="auto"/>
              <w:jc w:val="both"/>
              <w:rPr>
                <w:rFonts w:eastAsiaTheme="minorHAnsi" w:cs="Arial"/>
                <w:i/>
                <w:color w:val="000000"/>
                <w:szCs w:val="20"/>
              </w:rPr>
            </w:pPr>
          </w:p>
        </w:tc>
        <w:tc>
          <w:tcPr>
            <w:tcW w:w="820"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5D702091" w14:textId="77777777" w:rsidR="00FE461F" w:rsidRPr="005E4BEA" w:rsidRDefault="00FE461F" w:rsidP="00FE461F">
            <w:pPr>
              <w:spacing w:line="240" w:lineRule="auto"/>
              <w:jc w:val="both"/>
              <w:rPr>
                <w:rFonts w:eastAsiaTheme="minorHAnsi" w:cs="Arial"/>
                <w:i/>
                <w:color w:val="808080"/>
                <w:szCs w:val="20"/>
              </w:rPr>
            </w:pPr>
            <w:r w:rsidRPr="005E4BEA">
              <w:rPr>
                <w:rFonts w:eastAsiaTheme="minorHAnsi" w:cs="Arial"/>
                <w:i/>
                <w:color w:val="808080"/>
                <w:szCs w:val="20"/>
              </w:rPr>
              <w:t xml:space="preserve">Vred. </w:t>
            </w:r>
            <w:proofErr w:type="spellStart"/>
            <w:r w:rsidRPr="005E4BEA">
              <w:rPr>
                <w:rFonts w:eastAsiaTheme="minorHAnsi" w:cs="Arial"/>
                <w:i/>
                <w:color w:val="808080"/>
                <w:szCs w:val="20"/>
              </w:rPr>
              <w:t>sk</w:t>
            </w:r>
            <w:proofErr w:type="spellEnd"/>
            <w:r w:rsidRPr="005E4BEA">
              <w:rPr>
                <w:rFonts w:eastAsiaTheme="minorHAnsi" w:cs="Arial"/>
                <w:i/>
                <w:color w:val="808080"/>
                <w:szCs w:val="20"/>
              </w:rPr>
              <w:t>.</w:t>
            </w:r>
          </w:p>
        </w:tc>
        <w:tc>
          <w:tcPr>
            <w:tcW w:w="107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center"/>
          </w:tcPr>
          <w:p w14:paraId="319E478C" w14:textId="77777777" w:rsidR="00FE461F" w:rsidRPr="005E4BEA" w:rsidRDefault="00FE461F" w:rsidP="00FE461F">
            <w:pPr>
              <w:spacing w:line="240" w:lineRule="auto"/>
              <w:jc w:val="both"/>
              <w:rPr>
                <w:rFonts w:eastAsiaTheme="minorHAnsi" w:cs="Arial"/>
                <w:i/>
                <w:color w:val="808080"/>
                <w:szCs w:val="20"/>
              </w:rPr>
            </w:pPr>
          </w:p>
        </w:tc>
        <w:tc>
          <w:tcPr>
            <w:tcW w:w="113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center"/>
          </w:tcPr>
          <w:p w14:paraId="202B9CC7" w14:textId="77777777" w:rsidR="00FE461F" w:rsidRPr="005E4BEA" w:rsidRDefault="00FE461F" w:rsidP="00FE461F">
            <w:pPr>
              <w:spacing w:line="240" w:lineRule="auto"/>
              <w:jc w:val="both"/>
              <w:rPr>
                <w:rFonts w:eastAsiaTheme="minorHAnsi" w:cs="Arial"/>
                <w:i/>
                <w:color w:val="808080"/>
                <w:szCs w:val="20"/>
              </w:rPr>
            </w:pPr>
            <w:r w:rsidRPr="005E4BEA">
              <w:rPr>
                <w:rFonts w:eastAsiaTheme="minorHAnsi" w:cs="Arial"/>
                <w:i/>
                <w:color w:val="808080"/>
                <w:szCs w:val="20"/>
              </w:rPr>
              <w:t>341.936,11</w:t>
            </w:r>
          </w:p>
        </w:tc>
      </w:tr>
      <w:tr w:rsidR="00FE461F" w:rsidRPr="005E4BEA" w14:paraId="1DACCAB4" w14:textId="77777777" w:rsidTr="0016774B">
        <w:trPr>
          <w:trHeight w:val="300"/>
        </w:trPr>
        <w:tc>
          <w:tcPr>
            <w:tcW w:w="2020" w:type="dxa"/>
            <w:tcBorders>
              <w:top w:val="nil"/>
              <w:left w:val="nil"/>
              <w:bottom w:val="nil"/>
              <w:right w:val="single" w:sz="4" w:space="0" w:color="8496B0" w:themeColor="text2" w:themeTint="99"/>
            </w:tcBorders>
            <w:shd w:val="clear" w:color="auto" w:fill="auto"/>
            <w:noWrap/>
            <w:hideMark/>
          </w:tcPr>
          <w:p w14:paraId="25CEF5AF" w14:textId="77777777" w:rsidR="00FE461F" w:rsidRPr="005E4BEA" w:rsidRDefault="00FE461F" w:rsidP="00FE461F">
            <w:pPr>
              <w:spacing w:line="240" w:lineRule="auto"/>
              <w:jc w:val="both"/>
              <w:rPr>
                <w:rFonts w:cs="Arial"/>
                <w:color w:val="000000"/>
                <w:szCs w:val="20"/>
              </w:rPr>
            </w:pPr>
          </w:p>
        </w:tc>
        <w:tc>
          <w:tcPr>
            <w:tcW w:w="820"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vAlign w:val="center"/>
            <w:hideMark/>
          </w:tcPr>
          <w:p w14:paraId="0FB3FA31"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OZZ</w:t>
            </w:r>
          </w:p>
        </w:tc>
        <w:tc>
          <w:tcPr>
            <w:tcW w:w="107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center"/>
          </w:tcPr>
          <w:p w14:paraId="0691E573" w14:textId="77777777" w:rsidR="00FE461F" w:rsidRPr="005E4BEA" w:rsidRDefault="00FE461F" w:rsidP="00FE461F">
            <w:pPr>
              <w:spacing w:line="240" w:lineRule="auto"/>
              <w:jc w:val="both"/>
              <w:rPr>
                <w:rFonts w:cs="Arial"/>
                <w:color w:val="808080"/>
                <w:szCs w:val="20"/>
              </w:rPr>
            </w:pPr>
          </w:p>
        </w:tc>
        <w:tc>
          <w:tcPr>
            <w:tcW w:w="113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auto"/>
            <w:noWrap/>
            <w:vAlign w:val="center"/>
          </w:tcPr>
          <w:p w14:paraId="261C105F"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341.936,11</w:t>
            </w:r>
          </w:p>
        </w:tc>
      </w:tr>
      <w:bookmarkEnd w:id="38"/>
    </w:tbl>
    <w:p w14:paraId="08E92C18" w14:textId="02349231" w:rsidR="00FE461F" w:rsidRPr="005E4BEA" w:rsidRDefault="00FE461F" w:rsidP="00FE461F">
      <w:pPr>
        <w:spacing w:line="240" w:lineRule="auto"/>
        <w:rPr>
          <w:rFonts w:cs="Arial"/>
          <w:szCs w:val="20"/>
        </w:rPr>
      </w:pPr>
    </w:p>
    <w:p w14:paraId="35D90C70" w14:textId="62BEE5BA" w:rsidR="00442757" w:rsidRPr="005E4BEA" w:rsidRDefault="00442757" w:rsidP="00FE461F">
      <w:pPr>
        <w:spacing w:line="240" w:lineRule="auto"/>
        <w:rPr>
          <w:rFonts w:cs="Arial"/>
          <w:szCs w:val="20"/>
        </w:rPr>
      </w:pPr>
    </w:p>
    <w:p w14:paraId="6F466834" w14:textId="77777777" w:rsidR="00442757" w:rsidRPr="005E4BEA" w:rsidRDefault="00442757" w:rsidP="00442757">
      <w:pPr>
        <w:spacing w:line="240" w:lineRule="auto"/>
        <w:jc w:val="both"/>
        <w:rPr>
          <w:rFonts w:cs="Arial"/>
          <w:bCs/>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 v modificirani obliki, in sicer se v</w:t>
      </w:r>
      <w:r w:rsidRPr="005E4BEA">
        <w:rPr>
          <w:rFonts w:cs="Arial"/>
          <w:szCs w:val="20"/>
        </w:rPr>
        <w:t xml:space="preserve"> 53. členu se za </w:t>
      </w:r>
      <w:proofErr w:type="spellStart"/>
      <w:r w:rsidRPr="005E4BEA">
        <w:rPr>
          <w:rFonts w:cs="Arial"/>
          <w:bCs/>
          <w:szCs w:val="20"/>
        </w:rPr>
        <w:t>za</w:t>
      </w:r>
      <w:proofErr w:type="spellEnd"/>
      <w:r w:rsidRPr="005E4BEA">
        <w:rPr>
          <w:rFonts w:cs="Arial"/>
          <w:bCs/>
          <w:szCs w:val="20"/>
        </w:rPr>
        <w:t xml:space="preserve"> prvim  odstavkom doda nov drugi odstavek, ki se glasi:</w:t>
      </w:r>
    </w:p>
    <w:p w14:paraId="2A6FC7EA" w14:textId="77777777" w:rsidR="00442757" w:rsidRPr="005E4BEA" w:rsidRDefault="00442757" w:rsidP="00442757">
      <w:pPr>
        <w:spacing w:line="240" w:lineRule="auto"/>
        <w:jc w:val="both"/>
        <w:rPr>
          <w:rFonts w:cs="Arial"/>
          <w:szCs w:val="20"/>
        </w:rPr>
      </w:pPr>
    </w:p>
    <w:p w14:paraId="3860BC6D" w14:textId="7845D7AC" w:rsidR="00442757" w:rsidRPr="005E4BEA" w:rsidRDefault="00442757" w:rsidP="00442757">
      <w:pPr>
        <w:spacing w:line="240" w:lineRule="auto"/>
        <w:jc w:val="both"/>
        <w:rPr>
          <w:rFonts w:cs="Arial"/>
          <w:szCs w:val="20"/>
        </w:rPr>
      </w:pPr>
      <w:r w:rsidRPr="005E4BEA">
        <w:rPr>
          <w:rFonts w:cs="Arial"/>
          <w:szCs w:val="20"/>
        </w:rPr>
        <w:t xml:space="preserve">»(2) Izvajalci so se dolžni vključiti v sistem </w:t>
      </w:r>
      <w:proofErr w:type="spellStart"/>
      <w:r w:rsidRPr="005E4BEA">
        <w:rPr>
          <w:rFonts w:cs="Arial"/>
          <w:szCs w:val="20"/>
        </w:rPr>
        <w:t>ePrijava</w:t>
      </w:r>
      <w:proofErr w:type="spellEnd"/>
      <w:r w:rsidRPr="005E4BEA">
        <w:rPr>
          <w:rFonts w:cs="Arial"/>
          <w:szCs w:val="20"/>
        </w:rPr>
        <w:t xml:space="preserve"> NPD (elektronska prijava nezgode in poškodbe pri delu – poročilo zdravnika) v treh mesecih od objave navodil Zavoda.«</w:t>
      </w:r>
    </w:p>
    <w:p w14:paraId="72296BC6" w14:textId="77777777" w:rsidR="00442757" w:rsidRPr="005E4BEA" w:rsidRDefault="00442757" w:rsidP="00442757">
      <w:pPr>
        <w:spacing w:line="60" w:lineRule="exact"/>
        <w:jc w:val="both"/>
        <w:rPr>
          <w:rFonts w:cs="Arial"/>
          <w:szCs w:val="20"/>
        </w:rPr>
      </w:pPr>
    </w:p>
    <w:p w14:paraId="3A188464" w14:textId="3F0ECB46" w:rsidR="00442757" w:rsidRPr="005E4BEA" w:rsidRDefault="00442757" w:rsidP="00442757">
      <w:pPr>
        <w:spacing w:line="240" w:lineRule="exact"/>
        <w:jc w:val="both"/>
        <w:rPr>
          <w:rFonts w:cs="Arial"/>
          <w:szCs w:val="20"/>
        </w:rPr>
      </w:pPr>
      <w:r w:rsidRPr="005E4BEA">
        <w:rPr>
          <w:rFonts w:cs="Arial"/>
          <w:szCs w:val="20"/>
        </w:rPr>
        <w:t xml:space="preserve">Sprememba velja od 1. </w:t>
      </w:r>
      <w:r w:rsidR="007E7EFA">
        <w:rPr>
          <w:rFonts w:cs="Arial"/>
          <w:szCs w:val="20"/>
        </w:rPr>
        <w:t>7</w:t>
      </w:r>
      <w:r w:rsidRPr="005E4BEA">
        <w:rPr>
          <w:rFonts w:cs="Arial"/>
          <w:szCs w:val="20"/>
        </w:rPr>
        <w:t>. 2022 naprej.</w:t>
      </w:r>
    </w:p>
    <w:p w14:paraId="6A50380C" w14:textId="22830C96" w:rsidR="00C03EE0" w:rsidRPr="005E4BEA" w:rsidRDefault="00C03EE0" w:rsidP="00442757">
      <w:pPr>
        <w:spacing w:line="240" w:lineRule="exact"/>
        <w:jc w:val="both"/>
        <w:rPr>
          <w:rFonts w:cs="Arial"/>
          <w:szCs w:val="20"/>
        </w:rPr>
      </w:pPr>
    </w:p>
    <w:p w14:paraId="1886A35F" w14:textId="21AA0B6D" w:rsidR="00C03EE0" w:rsidRPr="005E4BEA" w:rsidRDefault="00C03EE0" w:rsidP="00442757">
      <w:pPr>
        <w:spacing w:line="240" w:lineRule="exact"/>
        <w:jc w:val="both"/>
        <w:rPr>
          <w:rFonts w:cs="Arial"/>
          <w:szCs w:val="20"/>
        </w:rPr>
      </w:pPr>
      <w:r w:rsidRPr="005E4BEA">
        <w:rPr>
          <w:rFonts w:cs="Arial"/>
          <w:szCs w:val="20"/>
        </w:rPr>
        <w:t>Obrazložitev:</w:t>
      </w:r>
    </w:p>
    <w:p w14:paraId="138510EB" w14:textId="2BDEACF5" w:rsidR="00C03EE0" w:rsidRPr="005E4BEA" w:rsidRDefault="00C03EE0" w:rsidP="00442757">
      <w:pPr>
        <w:spacing w:line="240" w:lineRule="exact"/>
        <w:jc w:val="both"/>
        <w:rPr>
          <w:rFonts w:cs="Arial"/>
          <w:szCs w:val="20"/>
        </w:rPr>
      </w:pPr>
      <w:proofErr w:type="spellStart"/>
      <w:r w:rsidRPr="005E4BEA">
        <w:rPr>
          <w:rFonts w:cs="Arial"/>
          <w:szCs w:val="20"/>
        </w:rPr>
        <w:t>ZDji</w:t>
      </w:r>
      <w:proofErr w:type="spellEnd"/>
      <w:r w:rsidRPr="005E4BEA">
        <w:rPr>
          <w:rFonts w:cs="Arial"/>
          <w:szCs w:val="20"/>
        </w:rPr>
        <w:t xml:space="preserve"> so v letu 2021 poslovali s 54 mio eur presežka prihodkov nad odhodki, zato menimo , da je potrebno sredstva iz OZZ prioritetno nameniti za </w:t>
      </w:r>
      <w:proofErr w:type="spellStart"/>
      <w:r w:rsidRPr="005E4BEA">
        <w:rPr>
          <w:rFonts w:cs="Arial"/>
          <w:szCs w:val="20"/>
        </w:rPr>
        <w:t>zdravstvne</w:t>
      </w:r>
      <w:proofErr w:type="spellEnd"/>
      <w:r w:rsidRPr="005E4BEA">
        <w:rPr>
          <w:rFonts w:cs="Arial"/>
          <w:szCs w:val="20"/>
        </w:rPr>
        <w:t xml:space="preserve"> storitve pacientov, stroške informatizacije za </w:t>
      </w:r>
      <w:proofErr w:type="spellStart"/>
      <w:r w:rsidRPr="005E4BEA">
        <w:rPr>
          <w:rFonts w:cs="Arial"/>
          <w:szCs w:val="20"/>
        </w:rPr>
        <w:t>ePrijavo</w:t>
      </w:r>
      <w:proofErr w:type="spellEnd"/>
      <w:r w:rsidRPr="005E4BEA">
        <w:rPr>
          <w:rFonts w:cs="Arial"/>
          <w:szCs w:val="20"/>
        </w:rPr>
        <w:t xml:space="preserve"> pa pokriti iz omenjenih presežkov.</w:t>
      </w:r>
    </w:p>
    <w:p w14:paraId="2D08F393" w14:textId="4B750A45" w:rsidR="00442757" w:rsidRPr="005E4BEA" w:rsidRDefault="00442757" w:rsidP="00442757">
      <w:pPr>
        <w:spacing w:line="240" w:lineRule="exact"/>
        <w:jc w:val="both"/>
        <w:rPr>
          <w:rFonts w:cs="Arial"/>
          <w:szCs w:val="20"/>
        </w:rPr>
      </w:pPr>
    </w:p>
    <w:p w14:paraId="54BBA774" w14:textId="79E9C245" w:rsidR="00442757" w:rsidRPr="005E4BEA" w:rsidRDefault="00442757" w:rsidP="00442757">
      <w:pPr>
        <w:spacing w:line="240" w:lineRule="auto"/>
        <w:jc w:val="both"/>
        <w:rPr>
          <w:rFonts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39" w:name="_Hlk102467080"/>
      <w:r w:rsidRPr="005E4BEA">
        <w:rPr>
          <w:rFonts w:eastAsia="Arial Narrow" w:cs="Arial"/>
          <w:szCs w:val="20"/>
        </w:rPr>
        <w:t>da</w:t>
      </w:r>
      <w:r w:rsidRPr="005E4BEA">
        <w:rPr>
          <w:rFonts w:eastAsia="Arial Narrow" w:cs="Arial"/>
          <w:b/>
          <w:szCs w:val="20"/>
        </w:rPr>
        <w:t xml:space="preserve"> </w:t>
      </w:r>
      <w:r w:rsidRPr="005E4BEA">
        <w:rPr>
          <w:rFonts w:eastAsia="Arial Narrow" w:cs="Arial"/>
          <w:bCs/>
          <w:szCs w:val="20"/>
        </w:rPr>
        <w:t>se v</w:t>
      </w:r>
      <w:r w:rsidRPr="005E4BEA">
        <w:rPr>
          <w:rFonts w:cs="Arial"/>
          <w:bCs/>
          <w:szCs w:val="20"/>
        </w:rPr>
        <w:t xml:space="preserve"> 53. členu se za prvim  odstavkom doda nov drugi odstavek, ki se glasi:</w:t>
      </w:r>
    </w:p>
    <w:p w14:paraId="3E1401BB" w14:textId="77777777" w:rsidR="00442757" w:rsidRPr="005E4BEA" w:rsidRDefault="00442757" w:rsidP="00442757">
      <w:pPr>
        <w:spacing w:line="60" w:lineRule="exact"/>
        <w:jc w:val="both"/>
        <w:rPr>
          <w:rFonts w:cs="Arial"/>
          <w:szCs w:val="20"/>
        </w:rPr>
      </w:pPr>
    </w:p>
    <w:p w14:paraId="20932EB0" w14:textId="77777777" w:rsidR="00442757" w:rsidRPr="005E4BEA" w:rsidRDefault="00442757" w:rsidP="00442757">
      <w:pPr>
        <w:spacing w:line="240" w:lineRule="exact"/>
        <w:jc w:val="both"/>
        <w:rPr>
          <w:rFonts w:cs="Arial"/>
          <w:szCs w:val="20"/>
        </w:rPr>
      </w:pPr>
      <w:r w:rsidRPr="005E4BEA">
        <w:rPr>
          <w:rFonts w:cs="Arial"/>
          <w:szCs w:val="20"/>
        </w:rPr>
        <w:t xml:space="preserve">»(2) Izvajalci so se dolžni vključiti v sistem </w:t>
      </w:r>
      <w:proofErr w:type="spellStart"/>
      <w:r w:rsidRPr="005E4BEA">
        <w:rPr>
          <w:rFonts w:cs="Arial"/>
          <w:szCs w:val="20"/>
        </w:rPr>
        <w:t>ePrijava</w:t>
      </w:r>
      <w:proofErr w:type="spellEnd"/>
      <w:r w:rsidRPr="005E4BEA">
        <w:rPr>
          <w:rFonts w:cs="Arial"/>
          <w:szCs w:val="20"/>
        </w:rPr>
        <w:t xml:space="preserve"> NPD (elektronska prijava nezgode in poškodbe pri delu – poročilo zdravnika) v treh mesecih od objave navodil Zavoda.«</w:t>
      </w:r>
    </w:p>
    <w:p w14:paraId="4972E1EA" w14:textId="77777777" w:rsidR="00442757" w:rsidRPr="005E4BEA" w:rsidRDefault="00442757" w:rsidP="00442757">
      <w:pPr>
        <w:spacing w:line="60" w:lineRule="exact"/>
        <w:jc w:val="both"/>
        <w:rPr>
          <w:rFonts w:cs="Arial"/>
          <w:szCs w:val="20"/>
        </w:rPr>
      </w:pPr>
    </w:p>
    <w:p w14:paraId="5751AEE4" w14:textId="4C06B19A" w:rsidR="00442757" w:rsidRPr="005E4BEA" w:rsidRDefault="00442757" w:rsidP="00442757">
      <w:pPr>
        <w:spacing w:line="240" w:lineRule="exact"/>
        <w:jc w:val="both"/>
        <w:rPr>
          <w:rFonts w:cs="Arial"/>
          <w:szCs w:val="20"/>
        </w:rPr>
      </w:pPr>
      <w:r w:rsidRPr="005E4BEA">
        <w:rPr>
          <w:rFonts w:cs="Arial"/>
          <w:szCs w:val="20"/>
        </w:rPr>
        <w:t xml:space="preserve">Sprememba velja od 1. </w:t>
      </w:r>
      <w:r w:rsidR="007E7EFA">
        <w:rPr>
          <w:rFonts w:cs="Arial"/>
          <w:szCs w:val="20"/>
        </w:rPr>
        <w:t>7</w:t>
      </w:r>
      <w:r w:rsidRPr="005E4BEA">
        <w:rPr>
          <w:rFonts w:cs="Arial"/>
          <w:szCs w:val="20"/>
        </w:rPr>
        <w:t>. 2022 naprej.</w:t>
      </w:r>
    </w:p>
    <w:bookmarkEnd w:id="39"/>
    <w:p w14:paraId="572C2226" w14:textId="7C7994CE" w:rsidR="00817CFF" w:rsidRPr="005E4BEA" w:rsidRDefault="00817CFF" w:rsidP="00442757">
      <w:pPr>
        <w:spacing w:line="240" w:lineRule="exact"/>
        <w:jc w:val="both"/>
        <w:rPr>
          <w:rFonts w:cs="Arial"/>
          <w:szCs w:val="20"/>
        </w:rPr>
      </w:pPr>
    </w:p>
    <w:p w14:paraId="5F4E8D75" w14:textId="77777777" w:rsidR="00D775A2" w:rsidRPr="005E4BEA" w:rsidRDefault="00D775A2" w:rsidP="00442757">
      <w:pPr>
        <w:spacing w:line="240" w:lineRule="exact"/>
        <w:jc w:val="both"/>
        <w:rPr>
          <w:rFonts w:cs="Arial"/>
          <w:szCs w:val="20"/>
        </w:rPr>
      </w:pPr>
    </w:p>
    <w:p w14:paraId="52E10536" w14:textId="6EB8B0F7" w:rsidR="00D775A2" w:rsidRPr="005E4BEA" w:rsidRDefault="00D775A2"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w:t>
      </w:r>
      <w:r w:rsidR="00A63B50" w:rsidRPr="005E4BEA">
        <w:rPr>
          <w:rFonts w:ascii="Arial" w:eastAsia="Arial Narrow" w:hAnsi="Arial" w:cs="Arial"/>
          <w:sz w:val="20"/>
        </w:rPr>
        <w:t>2</w:t>
      </w:r>
      <w:r w:rsidRPr="005E4BEA">
        <w:rPr>
          <w:rFonts w:ascii="Arial" w:eastAsia="Arial Narrow" w:hAnsi="Arial" w:cs="Arial"/>
          <w:sz w:val="20"/>
        </w:rPr>
        <w:t>)</w:t>
      </w:r>
    </w:p>
    <w:p w14:paraId="1D91D5F1" w14:textId="77777777" w:rsidR="00D775A2" w:rsidRPr="005E4BEA" w:rsidRDefault="00D775A2" w:rsidP="00D775A2">
      <w:pPr>
        <w:spacing w:line="0" w:lineRule="atLeast"/>
        <w:ind w:left="360"/>
        <w:contextualSpacing/>
        <w:jc w:val="both"/>
        <w:rPr>
          <w:rFonts w:eastAsia="Arial Narrow" w:cs="Arial"/>
          <w:bCs/>
          <w:szCs w:val="20"/>
        </w:rPr>
      </w:pPr>
    </w:p>
    <w:p w14:paraId="7EC9328C" w14:textId="013BAF86" w:rsidR="00D775A2" w:rsidRPr="005E4BEA" w:rsidRDefault="00D775A2" w:rsidP="00D775A2">
      <w:pPr>
        <w:spacing w:line="240" w:lineRule="auto"/>
        <w:jc w:val="both"/>
        <w:rPr>
          <w:rFonts w:cs="Arial"/>
          <w:bCs/>
          <w:szCs w:val="20"/>
        </w:rPr>
      </w:pPr>
      <w:r w:rsidRPr="005E4BEA">
        <w:rPr>
          <w:rFonts w:eastAsia="Arial Narrow" w:cs="Arial"/>
          <w:b/>
          <w:szCs w:val="20"/>
        </w:rPr>
        <w:t xml:space="preserve">Zavod za zdravstveno zavarovanje Slovenije predlaga, </w:t>
      </w:r>
      <w:r w:rsidRPr="005E4BEA">
        <w:rPr>
          <w:rFonts w:eastAsia="Arial Narrow" w:cs="Arial"/>
          <w:bCs/>
          <w:szCs w:val="20"/>
        </w:rPr>
        <w:t>da se v</w:t>
      </w:r>
      <w:r w:rsidRPr="005E4BEA">
        <w:rPr>
          <w:rFonts w:cs="Arial"/>
          <w:bCs/>
          <w:szCs w:val="20"/>
        </w:rPr>
        <w:t xml:space="preserve"> 24. členu v (</w:t>
      </w:r>
      <w:r w:rsidR="00A63B50" w:rsidRPr="005E4BEA">
        <w:rPr>
          <w:rFonts w:cs="Arial"/>
          <w:bCs/>
          <w:szCs w:val="20"/>
        </w:rPr>
        <w:t>6</w:t>
      </w:r>
      <w:r w:rsidRPr="005E4BEA">
        <w:rPr>
          <w:rFonts w:cs="Arial"/>
          <w:bCs/>
          <w:szCs w:val="20"/>
        </w:rPr>
        <w:t>) odstavku doda nova točka, ki se glasi:</w:t>
      </w:r>
    </w:p>
    <w:p w14:paraId="6C1DEB84" w14:textId="77777777" w:rsidR="00D775A2" w:rsidRPr="005E4BEA" w:rsidRDefault="00D775A2" w:rsidP="00FE461F">
      <w:pPr>
        <w:spacing w:line="240" w:lineRule="auto"/>
        <w:rPr>
          <w:rFonts w:cs="Arial"/>
          <w:szCs w:val="20"/>
        </w:rPr>
      </w:pPr>
    </w:p>
    <w:p w14:paraId="6CC73D30" w14:textId="69C95F6D" w:rsidR="00FE461F" w:rsidRPr="005E4BEA" w:rsidRDefault="00FE461F" w:rsidP="00FE461F">
      <w:pPr>
        <w:spacing w:after="60" w:line="240" w:lineRule="auto"/>
        <w:jc w:val="both"/>
        <w:rPr>
          <w:rFonts w:eastAsia="Calibri" w:cs="Arial"/>
          <w:b/>
          <w:szCs w:val="20"/>
        </w:rPr>
      </w:pPr>
    </w:p>
    <w:tbl>
      <w:tblPr>
        <w:tblW w:w="8487" w:type="dxa"/>
        <w:tblCellMar>
          <w:left w:w="70" w:type="dxa"/>
          <w:right w:w="70" w:type="dxa"/>
        </w:tblCellMar>
        <w:tblLook w:val="04A0" w:firstRow="1" w:lastRow="0" w:firstColumn="1" w:lastColumn="0" w:noHBand="0" w:noVBand="1"/>
      </w:tblPr>
      <w:tblGrid>
        <w:gridCol w:w="3038"/>
        <w:gridCol w:w="1932"/>
        <w:gridCol w:w="649"/>
        <w:gridCol w:w="618"/>
        <w:gridCol w:w="977"/>
        <w:gridCol w:w="1273"/>
      </w:tblGrid>
      <w:tr w:rsidR="00FE461F" w:rsidRPr="005E4BEA" w14:paraId="116AF447" w14:textId="77777777" w:rsidTr="0016774B">
        <w:trPr>
          <w:trHeight w:val="720"/>
        </w:trPr>
        <w:tc>
          <w:tcPr>
            <w:tcW w:w="3069" w:type="dxa"/>
            <w:tcBorders>
              <w:top w:val="single" w:sz="4" w:space="0" w:color="3399FF"/>
              <w:left w:val="single" w:sz="4" w:space="0" w:color="3399FF"/>
              <w:bottom w:val="single" w:sz="4" w:space="0" w:color="3399FF"/>
              <w:right w:val="nil"/>
            </w:tcBorders>
            <w:shd w:val="clear" w:color="000000" w:fill="FFFFFF"/>
            <w:vAlign w:val="center"/>
            <w:hideMark/>
          </w:tcPr>
          <w:p w14:paraId="32835240" w14:textId="77777777" w:rsidR="00FE461F" w:rsidRPr="005E4BEA" w:rsidRDefault="00FE461F" w:rsidP="00FE461F">
            <w:pPr>
              <w:spacing w:line="240" w:lineRule="auto"/>
              <w:jc w:val="both"/>
              <w:outlineLvl w:val="0"/>
              <w:rPr>
                <w:rFonts w:cs="Arial"/>
                <w:b/>
                <w:bCs/>
                <w:szCs w:val="20"/>
              </w:rPr>
            </w:pPr>
            <w:r w:rsidRPr="005E4BEA">
              <w:rPr>
                <w:rFonts w:cs="Arial"/>
                <w:b/>
                <w:bCs/>
                <w:szCs w:val="20"/>
              </w:rPr>
              <w:t>P  r  o  g  r  a  m</w:t>
            </w:r>
          </w:p>
        </w:tc>
        <w:tc>
          <w:tcPr>
            <w:tcW w:w="1945" w:type="dxa"/>
            <w:tcBorders>
              <w:top w:val="single" w:sz="4" w:space="0" w:color="3399FF"/>
              <w:left w:val="single" w:sz="4" w:space="0" w:color="3399FF"/>
              <w:bottom w:val="single" w:sz="4" w:space="0" w:color="3399FF"/>
              <w:right w:val="single" w:sz="4" w:space="0" w:color="3399FF"/>
            </w:tcBorders>
            <w:shd w:val="clear" w:color="000000" w:fill="FFFFFF"/>
            <w:vAlign w:val="center"/>
            <w:hideMark/>
          </w:tcPr>
          <w:p w14:paraId="72F725CE" w14:textId="77777777" w:rsidR="00FE461F" w:rsidRPr="005E4BEA" w:rsidRDefault="00FE461F" w:rsidP="00FE461F">
            <w:pPr>
              <w:spacing w:line="240" w:lineRule="auto"/>
              <w:jc w:val="both"/>
              <w:outlineLvl w:val="0"/>
              <w:rPr>
                <w:rFonts w:cs="Arial"/>
                <w:b/>
                <w:bCs/>
                <w:szCs w:val="20"/>
              </w:rPr>
            </w:pPr>
            <w:r w:rsidRPr="005E4BEA">
              <w:rPr>
                <w:rFonts w:cs="Arial"/>
                <w:b/>
                <w:bCs/>
                <w:szCs w:val="20"/>
              </w:rPr>
              <w:t>I z p o s t a v a</w:t>
            </w:r>
          </w:p>
        </w:tc>
        <w:tc>
          <w:tcPr>
            <w:tcW w:w="1218" w:type="dxa"/>
            <w:gridSpan w:val="2"/>
            <w:tcBorders>
              <w:top w:val="single" w:sz="4" w:space="0" w:color="3399FF"/>
              <w:left w:val="nil"/>
              <w:bottom w:val="single" w:sz="4" w:space="0" w:color="3399FF"/>
              <w:right w:val="single" w:sz="4" w:space="0" w:color="3399FF"/>
            </w:tcBorders>
            <w:shd w:val="clear" w:color="000000" w:fill="FFFFFF"/>
            <w:vAlign w:val="center"/>
            <w:hideMark/>
          </w:tcPr>
          <w:p w14:paraId="0E7257C2" w14:textId="77777777" w:rsidR="00FE461F" w:rsidRPr="005E4BEA" w:rsidRDefault="00FE461F" w:rsidP="00FE461F">
            <w:pPr>
              <w:spacing w:line="240" w:lineRule="auto"/>
              <w:jc w:val="both"/>
              <w:outlineLvl w:val="0"/>
              <w:rPr>
                <w:rFonts w:cs="Arial"/>
                <w:b/>
                <w:bCs/>
                <w:szCs w:val="20"/>
              </w:rPr>
            </w:pPr>
            <w:r w:rsidRPr="005E4BEA">
              <w:rPr>
                <w:rFonts w:cs="Arial"/>
                <w:b/>
                <w:bCs/>
                <w:szCs w:val="20"/>
              </w:rPr>
              <w:t>Obseg</w:t>
            </w:r>
          </w:p>
        </w:tc>
        <w:tc>
          <w:tcPr>
            <w:tcW w:w="979" w:type="dxa"/>
            <w:tcBorders>
              <w:top w:val="single" w:sz="4" w:space="0" w:color="3399FF"/>
              <w:left w:val="nil"/>
              <w:bottom w:val="single" w:sz="4" w:space="0" w:color="3399FF"/>
              <w:right w:val="single" w:sz="4" w:space="0" w:color="3399FF"/>
            </w:tcBorders>
            <w:shd w:val="clear" w:color="000000" w:fill="FFFFFF"/>
            <w:vAlign w:val="center"/>
            <w:hideMark/>
          </w:tcPr>
          <w:p w14:paraId="539D7422" w14:textId="77777777" w:rsidR="00FE461F" w:rsidRPr="005E4BEA" w:rsidRDefault="00FE461F" w:rsidP="00FE461F">
            <w:pPr>
              <w:spacing w:line="240" w:lineRule="auto"/>
              <w:ind w:left="-78"/>
              <w:jc w:val="right"/>
              <w:outlineLvl w:val="0"/>
              <w:rPr>
                <w:rFonts w:cs="Arial"/>
                <w:b/>
                <w:bCs/>
                <w:szCs w:val="20"/>
              </w:rPr>
            </w:pPr>
            <w:proofErr w:type="spellStart"/>
            <w:r w:rsidRPr="005E4BEA">
              <w:rPr>
                <w:rFonts w:cs="Arial"/>
                <w:b/>
                <w:bCs/>
                <w:szCs w:val="20"/>
              </w:rPr>
              <w:t>Dod</w:t>
            </w:r>
            <w:proofErr w:type="spellEnd"/>
            <w:r w:rsidRPr="005E4BEA">
              <w:rPr>
                <w:rFonts w:cs="Arial"/>
                <w:b/>
                <w:bCs/>
                <w:szCs w:val="20"/>
              </w:rPr>
              <w:t>. sred.</w:t>
            </w:r>
            <w:r w:rsidRPr="005E4BEA">
              <w:rPr>
                <w:rFonts w:cs="Arial"/>
                <w:b/>
                <w:bCs/>
                <w:szCs w:val="20"/>
              </w:rPr>
              <w:br/>
              <w:t xml:space="preserve">letna raven </w:t>
            </w:r>
          </w:p>
          <w:p w14:paraId="5A7D2134" w14:textId="77777777" w:rsidR="00FE461F" w:rsidRPr="005E4BEA" w:rsidRDefault="00FE461F" w:rsidP="00FE461F">
            <w:pPr>
              <w:spacing w:line="240" w:lineRule="auto"/>
              <w:ind w:left="-78"/>
              <w:jc w:val="right"/>
              <w:outlineLvl w:val="0"/>
              <w:rPr>
                <w:rFonts w:cs="Arial"/>
                <w:b/>
                <w:bCs/>
                <w:szCs w:val="20"/>
              </w:rPr>
            </w:pPr>
            <w:r w:rsidRPr="005E4BEA">
              <w:rPr>
                <w:rFonts w:cs="Arial"/>
                <w:b/>
                <w:bCs/>
                <w:szCs w:val="20"/>
              </w:rPr>
              <w:t>(v EUR)</w:t>
            </w:r>
          </w:p>
        </w:tc>
        <w:tc>
          <w:tcPr>
            <w:tcW w:w="1276" w:type="dxa"/>
            <w:tcBorders>
              <w:top w:val="single" w:sz="4" w:space="0" w:color="3399FF"/>
              <w:left w:val="nil"/>
              <w:bottom w:val="single" w:sz="4" w:space="0" w:color="3399FF"/>
              <w:right w:val="single" w:sz="4" w:space="0" w:color="3399FF"/>
            </w:tcBorders>
            <w:shd w:val="clear" w:color="000000" w:fill="FFFFFF"/>
            <w:vAlign w:val="center"/>
            <w:hideMark/>
          </w:tcPr>
          <w:p w14:paraId="0D6FB477" w14:textId="77777777" w:rsidR="00FE461F" w:rsidRPr="005E4BEA" w:rsidRDefault="00FE461F" w:rsidP="00FE461F">
            <w:pPr>
              <w:spacing w:line="240" w:lineRule="auto"/>
              <w:ind w:left="-75"/>
              <w:jc w:val="right"/>
              <w:outlineLvl w:val="0"/>
              <w:rPr>
                <w:rFonts w:cs="Arial"/>
                <w:b/>
                <w:bCs/>
                <w:szCs w:val="20"/>
              </w:rPr>
            </w:pPr>
            <w:proofErr w:type="spellStart"/>
            <w:r w:rsidRPr="005E4BEA">
              <w:rPr>
                <w:rFonts w:cs="Arial"/>
                <w:b/>
                <w:bCs/>
                <w:szCs w:val="20"/>
              </w:rPr>
              <w:t>Dod</w:t>
            </w:r>
            <w:proofErr w:type="spellEnd"/>
            <w:r w:rsidRPr="005E4BEA">
              <w:rPr>
                <w:rFonts w:cs="Arial"/>
                <w:b/>
                <w:bCs/>
                <w:szCs w:val="20"/>
              </w:rPr>
              <w:t>. sred.1.1.- 31.12.2022</w:t>
            </w:r>
            <w:r w:rsidRPr="005E4BEA">
              <w:rPr>
                <w:rFonts w:cs="Arial"/>
                <w:b/>
                <w:bCs/>
                <w:szCs w:val="20"/>
              </w:rPr>
              <w:br/>
              <w:t>(v EUR)</w:t>
            </w:r>
          </w:p>
        </w:tc>
      </w:tr>
      <w:tr w:rsidR="00FE461F" w:rsidRPr="005E4BEA" w14:paraId="6C9BC393" w14:textId="77777777" w:rsidTr="0016774B">
        <w:trPr>
          <w:trHeight w:val="330"/>
        </w:trPr>
        <w:tc>
          <w:tcPr>
            <w:tcW w:w="3069" w:type="dxa"/>
            <w:tcBorders>
              <w:top w:val="nil"/>
              <w:left w:val="single" w:sz="4" w:space="0" w:color="3399FF"/>
              <w:bottom w:val="nil"/>
              <w:right w:val="nil"/>
            </w:tcBorders>
            <w:shd w:val="clear" w:color="000000" w:fill="FFFFFF"/>
            <w:hideMark/>
          </w:tcPr>
          <w:p w14:paraId="4F2A005D" w14:textId="77777777" w:rsidR="00FE461F" w:rsidRPr="005E4BEA" w:rsidRDefault="00FE461F" w:rsidP="00FE461F">
            <w:pPr>
              <w:spacing w:line="240" w:lineRule="auto"/>
              <w:jc w:val="both"/>
              <w:outlineLvl w:val="0"/>
              <w:rPr>
                <w:rFonts w:cs="Arial"/>
                <w:szCs w:val="20"/>
              </w:rPr>
            </w:pPr>
            <w:r w:rsidRPr="005E4BEA">
              <w:rPr>
                <w:rFonts w:cs="Arial"/>
                <w:szCs w:val="20"/>
              </w:rPr>
              <w:t>Dispanzer za ženske</w:t>
            </w:r>
          </w:p>
          <w:p w14:paraId="195CCEF2" w14:textId="77777777" w:rsidR="00FE461F" w:rsidRPr="005E4BEA" w:rsidRDefault="00FE461F" w:rsidP="00FE461F">
            <w:pPr>
              <w:spacing w:line="240" w:lineRule="auto"/>
              <w:jc w:val="both"/>
              <w:outlineLvl w:val="0"/>
              <w:rPr>
                <w:rFonts w:cs="Arial"/>
                <w:szCs w:val="20"/>
              </w:rPr>
            </w:pPr>
            <w:r w:rsidRPr="005E4BEA">
              <w:rPr>
                <w:rFonts w:cs="Arial"/>
                <w:szCs w:val="20"/>
              </w:rPr>
              <w:t>Od 1. 7. 2022</w:t>
            </w:r>
          </w:p>
        </w:tc>
        <w:tc>
          <w:tcPr>
            <w:tcW w:w="1945" w:type="dxa"/>
            <w:tcBorders>
              <w:top w:val="nil"/>
              <w:left w:val="single" w:sz="4" w:space="0" w:color="3399FF"/>
              <w:bottom w:val="nil"/>
              <w:right w:val="single" w:sz="4" w:space="0" w:color="3399FF"/>
            </w:tcBorders>
            <w:shd w:val="clear" w:color="000000" w:fill="FFFFFF"/>
            <w:hideMark/>
          </w:tcPr>
          <w:p w14:paraId="187BE79E"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651" w:type="dxa"/>
            <w:tcBorders>
              <w:top w:val="nil"/>
              <w:left w:val="nil"/>
              <w:bottom w:val="nil"/>
              <w:right w:val="nil"/>
            </w:tcBorders>
            <w:shd w:val="clear" w:color="000000" w:fill="FFFFFF"/>
            <w:hideMark/>
          </w:tcPr>
          <w:p w14:paraId="647159BC" w14:textId="77777777" w:rsidR="00FE461F" w:rsidRPr="005E4BEA" w:rsidRDefault="00FE461F" w:rsidP="00FE461F">
            <w:pPr>
              <w:spacing w:line="240" w:lineRule="auto"/>
              <w:jc w:val="both"/>
              <w:outlineLvl w:val="0"/>
              <w:rPr>
                <w:rFonts w:cs="Arial"/>
                <w:szCs w:val="20"/>
              </w:rPr>
            </w:pPr>
            <w:r w:rsidRPr="005E4BEA">
              <w:rPr>
                <w:rFonts w:cs="Arial"/>
                <w:szCs w:val="20"/>
              </w:rPr>
              <w:t>3,50</w:t>
            </w:r>
          </w:p>
        </w:tc>
        <w:tc>
          <w:tcPr>
            <w:tcW w:w="567" w:type="dxa"/>
            <w:tcBorders>
              <w:top w:val="nil"/>
              <w:left w:val="nil"/>
              <w:bottom w:val="nil"/>
              <w:right w:val="nil"/>
            </w:tcBorders>
            <w:shd w:val="clear" w:color="000000" w:fill="FFFFFF"/>
            <w:hideMark/>
          </w:tcPr>
          <w:p w14:paraId="6B8C6A1F" w14:textId="77777777" w:rsidR="00FE461F" w:rsidRPr="005E4BEA" w:rsidRDefault="00FE461F" w:rsidP="00FE461F">
            <w:pPr>
              <w:spacing w:line="240" w:lineRule="auto"/>
              <w:jc w:val="both"/>
              <w:outlineLvl w:val="0"/>
              <w:rPr>
                <w:rFonts w:cs="Arial"/>
                <w:szCs w:val="20"/>
              </w:rPr>
            </w:pPr>
            <w:r w:rsidRPr="005E4BEA">
              <w:rPr>
                <w:rFonts w:cs="Arial"/>
                <w:szCs w:val="20"/>
              </w:rPr>
              <w:t>timov</w:t>
            </w:r>
          </w:p>
        </w:tc>
        <w:tc>
          <w:tcPr>
            <w:tcW w:w="979" w:type="dxa"/>
            <w:tcBorders>
              <w:top w:val="nil"/>
              <w:left w:val="single" w:sz="4" w:space="0" w:color="3399FF"/>
              <w:bottom w:val="nil"/>
              <w:right w:val="single" w:sz="4" w:space="0" w:color="3399FF"/>
            </w:tcBorders>
            <w:shd w:val="clear" w:color="000000" w:fill="FFFFFF"/>
            <w:hideMark/>
          </w:tcPr>
          <w:p w14:paraId="04D00587" w14:textId="77777777" w:rsidR="00FE461F" w:rsidRPr="005E4BEA" w:rsidRDefault="00FE461F" w:rsidP="00FE461F">
            <w:pPr>
              <w:spacing w:line="240" w:lineRule="auto"/>
              <w:jc w:val="right"/>
              <w:outlineLvl w:val="0"/>
              <w:rPr>
                <w:rFonts w:cs="Arial"/>
                <w:szCs w:val="20"/>
              </w:rPr>
            </w:pPr>
            <w:r w:rsidRPr="005E4BEA">
              <w:rPr>
                <w:rFonts w:cs="Arial"/>
                <w:szCs w:val="20"/>
              </w:rPr>
              <w:t>562.120</w:t>
            </w:r>
          </w:p>
        </w:tc>
        <w:tc>
          <w:tcPr>
            <w:tcW w:w="1276" w:type="dxa"/>
            <w:tcBorders>
              <w:top w:val="nil"/>
              <w:left w:val="nil"/>
              <w:bottom w:val="nil"/>
              <w:right w:val="single" w:sz="4" w:space="0" w:color="3399FF"/>
            </w:tcBorders>
            <w:shd w:val="clear" w:color="000000" w:fill="FFFFFF"/>
            <w:hideMark/>
          </w:tcPr>
          <w:p w14:paraId="3B70ACA3" w14:textId="77777777" w:rsidR="00FE461F" w:rsidRPr="005E4BEA" w:rsidRDefault="00FE461F" w:rsidP="00FE461F">
            <w:pPr>
              <w:spacing w:line="240" w:lineRule="auto"/>
              <w:jc w:val="right"/>
              <w:outlineLvl w:val="0"/>
              <w:rPr>
                <w:rFonts w:cs="Arial"/>
                <w:szCs w:val="20"/>
              </w:rPr>
            </w:pPr>
            <w:r w:rsidRPr="005E4BEA">
              <w:rPr>
                <w:rFonts w:cs="Arial"/>
                <w:szCs w:val="20"/>
              </w:rPr>
              <w:t>281.060</w:t>
            </w:r>
          </w:p>
        </w:tc>
      </w:tr>
      <w:tr w:rsidR="00FE461F" w:rsidRPr="005E4BEA" w14:paraId="6EBC7CFF"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2EAAE0DB" w14:textId="77777777" w:rsidR="00FE461F" w:rsidRPr="005E4BEA" w:rsidRDefault="00FE461F" w:rsidP="00FE461F">
            <w:pPr>
              <w:spacing w:line="240" w:lineRule="auto"/>
              <w:jc w:val="right"/>
              <w:outlineLvl w:val="0"/>
              <w:rPr>
                <w:rFonts w:cs="Arial"/>
                <w:szCs w:val="20"/>
              </w:rPr>
            </w:pPr>
            <w:r w:rsidRPr="005E4BEA">
              <w:rPr>
                <w:rFonts w:cs="Arial"/>
                <w:szCs w:val="20"/>
              </w:rPr>
              <w:t>od tega:</w:t>
            </w:r>
          </w:p>
        </w:tc>
        <w:tc>
          <w:tcPr>
            <w:tcW w:w="1945" w:type="dxa"/>
            <w:tcBorders>
              <w:top w:val="single" w:sz="4" w:space="0" w:color="D6DCE4"/>
              <w:left w:val="single" w:sz="4" w:space="0" w:color="3399FF"/>
              <w:bottom w:val="single" w:sz="4" w:space="0" w:color="D6DCE4"/>
              <w:right w:val="single" w:sz="4" w:space="0" w:color="3399FF"/>
            </w:tcBorders>
            <w:shd w:val="clear" w:color="000000" w:fill="FFFFFF"/>
            <w:vAlign w:val="center"/>
            <w:hideMark/>
          </w:tcPr>
          <w:p w14:paraId="6C80EE2C"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Šentjur pri Celju   </w:t>
            </w:r>
          </w:p>
        </w:tc>
        <w:tc>
          <w:tcPr>
            <w:tcW w:w="651" w:type="dxa"/>
            <w:tcBorders>
              <w:top w:val="single" w:sz="4" w:space="0" w:color="D9D9D9"/>
              <w:left w:val="nil"/>
              <w:bottom w:val="single" w:sz="4" w:space="0" w:color="D6DCE4"/>
              <w:right w:val="nil"/>
            </w:tcBorders>
            <w:shd w:val="clear" w:color="000000" w:fill="FFFFFF"/>
            <w:vAlign w:val="center"/>
            <w:hideMark/>
          </w:tcPr>
          <w:p w14:paraId="293E0C2A" w14:textId="77777777" w:rsidR="00FE461F" w:rsidRPr="005E4BEA" w:rsidRDefault="00FE461F" w:rsidP="00FE461F">
            <w:pPr>
              <w:spacing w:line="240" w:lineRule="auto"/>
              <w:jc w:val="both"/>
              <w:outlineLvl w:val="0"/>
              <w:rPr>
                <w:rFonts w:cs="Arial"/>
                <w:szCs w:val="20"/>
              </w:rPr>
            </w:pPr>
            <w:r w:rsidRPr="005E4BEA">
              <w:rPr>
                <w:rFonts w:cs="Arial"/>
                <w:szCs w:val="20"/>
              </w:rPr>
              <w:t>0,12</w:t>
            </w:r>
          </w:p>
        </w:tc>
        <w:tc>
          <w:tcPr>
            <w:tcW w:w="567" w:type="dxa"/>
            <w:tcBorders>
              <w:top w:val="single" w:sz="4" w:space="0" w:color="D6DCE4"/>
              <w:left w:val="nil"/>
              <w:bottom w:val="single" w:sz="4" w:space="0" w:color="D6DCE4"/>
              <w:right w:val="nil"/>
            </w:tcBorders>
            <w:shd w:val="clear" w:color="000000" w:fill="FFFFFF"/>
            <w:vAlign w:val="center"/>
            <w:hideMark/>
          </w:tcPr>
          <w:p w14:paraId="4C657C9A"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6C69F583"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37FC8D10"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2CAEC9A6"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501428D7"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306F90A8"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Ilirska Bistrica    </w:t>
            </w:r>
          </w:p>
        </w:tc>
        <w:tc>
          <w:tcPr>
            <w:tcW w:w="651" w:type="dxa"/>
            <w:tcBorders>
              <w:top w:val="nil"/>
              <w:left w:val="nil"/>
              <w:bottom w:val="single" w:sz="4" w:space="0" w:color="D6DCE4"/>
              <w:right w:val="nil"/>
            </w:tcBorders>
            <w:shd w:val="clear" w:color="000000" w:fill="FFFFFF"/>
            <w:vAlign w:val="center"/>
            <w:hideMark/>
          </w:tcPr>
          <w:p w14:paraId="430D3A9F" w14:textId="77777777" w:rsidR="00FE461F" w:rsidRPr="005E4BEA" w:rsidRDefault="00FE461F" w:rsidP="00FE461F">
            <w:pPr>
              <w:spacing w:line="240" w:lineRule="auto"/>
              <w:jc w:val="both"/>
              <w:outlineLvl w:val="0"/>
              <w:rPr>
                <w:rFonts w:cs="Arial"/>
                <w:szCs w:val="20"/>
              </w:rPr>
            </w:pPr>
            <w:r w:rsidRPr="005E4BEA">
              <w:rPr>
                <w:rFonts w:cs="Arial"/>
                <w:szCs w:val="20"/>
              </w:rPr>
              <w:t>0,52</w:t>
            </w:r>
          </w:p>
        </w:tc>
        <w:tc>
          <w:tcPr>
            <w:tcW w:w="567" w:type="dxa"/>
            <w:tcBorders>
              <w:top w:val="nil"/>
              <w:left w:val="nil"/>
              <w:bottom w:val="single" w:sz="4" w:space="0" w:color="D6DCE4"/>
              <w:right w:val="nil"/>
            </w:tcBorders>
            <w:shd w:val="clear" w:color="000000" w:fill="FFFFFF"/>
            <w:vAlign w:val="center"/>
            <w:hideMark/>
          </w:tcPr>
          <w:p w14:paraId="6D8ECB70"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1A1F7430"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43B90983"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572FFDF8"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487A9DBA"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2301B9CB"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OE Krško                      </w:t>
            </w:r>
          </w:p>
        </w:tc>
        <w:tc>
          <w:tcPr>
            <w:tcW w:w="651" w:type="dxa"/>
            <w:tcBorders>
              <w:top w:val="nil"/>
              <w:left w:val="nil"/>
              <w:bottom w:val="single" w:sz="4" w:space="0" w:color="D6DCE4"/>
              <w:right w:val="nil"/>
            </w:tcBorders>
            <w:shd w:val="clear" w:color="000000" w:fill="FFFFFF"/>
            <w:vAlign w:val="center"/>
            <w:hideMark/>
          </w:tcPr>
          <w:p w14:paraId="144176B1" w14:textId="77777777" w:rsidR="00FE461F" w:rsidRPr="005E4BEA" w:rsidRDefault="00FE461F" w:rsidP="00FE461F">
            <w:pPr>
              <w:spacing w:line="240" w:lineRule="auto"/>
              <w:jc w:val="both"/>
              <w:outlineLvl w:val="0"/>
              <w:rPr>
                <w:rFonts w:cs="Arial"/>
                <w:szCs w:val="20"/>
              </w:rPr>
            </w:pPr>
            <w:r w:rsidRPr="005E4BEA">
              <w:rPr>
                <w:rFonts w:cs="Arial"/>
                <w:szCs w:val="20"/>
              </w:rPr>
              <w:t>0,07</w:t>
            </w:r>
          </w:p>
        </w:tc>
        <w:tc>
          <w:tcPr>
            <w:tcW w:w="567" w:type="dxa"/>
            <w:tcBorders>
              <w:top w:val="nil"/>
              <w:left w:val="nil"/>
              <w:bottom w:val="single" w:sz="4" w:space="0" w:color="D6DCE4"/>
              <w:right w:val="nil"/>
            </w:tcBorders>
            <w:shd w:val="clear" w:color="000000" w:fill="FFFFFF"/>
            <w:vAlign w:val="center"/>
            <w:hideMark/>
          </w:tcPr>
          <w:p w14:paraId="2E7324E4"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125B0856"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495B85FC"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54ABC888"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672F02BC"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1188D8DE"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Sevnica             </w:t>
            </w:r>
          </w:p>
        </w:tc>
        <w:tc>
          <w:tcPr>
            <w:tcW w:w="651" w:type="dxa"/>
            <w:tcBorders>
              <w:top w:val="nil"/>
              <w:left w:val="nil"/>
              <w:bottom w:val="single" w:sz="4" w:space="0" w:color="D6DCE4"/>
              <w:right w:val="nil"/>
            </w:tcBorders>
            <w:shd w:val="clear" w:color="000000" w:fill="FFFFFF"/>
            <w:vAlign w:val="center"/>
            <w:hideMark/>
          </w:tcPr>
          <w:p w14:paraId="49F465B5" w14:textId="77777777" w:rsidR="00FE461F" w:rsidRPr="005E4BEA" w:rsidRDefault="00FE461F" w:rsidP="00FE461F">
            <w:pPr>
              <w:spacing w:line="240" w:lineRule="auto"/>
              <w:jc w:val="both"/>
              <w:outlineLvl w:val="0"/>
              <w:rPr>
                <w:rFonts w:cs="Arial"/>
                <w:szCs w:val="20"/>
              </w:rPr>
            </w:pPr>
            <w:r w:rsidRPr="005E4BEA">
              <w:rPr>
                <w:rFonts w:cs="Arial"/>
                <w:szCs w:val="20"/>
              </w:rPr>
              <w:t>0,20</w:t>
            </w:r>
          </w:p>
        </w:tc>
        <w:tc>
          <w:tcPr>
            <w:tcW w:w="567" w:type="dxa"/>
            <w:tcBorders>
              <w:top w:val="nil"/>
              <w:left w:val="nil"/>
              <w:bottom w:val="single" w:sz="4" w:space="0" w:color="D6DCE4"/>
              <w:right w:val="nil"/>
            </w:tcBorders>
            <w:shd w:val="clear" w:color="000000" w:fill="FFFFFF"/>
            <w:vAlign w:val="center"/>
            <w:hideMark/>
          </w:tcPr>
          <w:p w14:paraId="3FEEBF46"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452CB732"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5F7CE00A"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5A5DD127"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5D38EEA2"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6C27A5E6"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Cerknica            </w:t>
            </w:r>
          </w:p>
        </w:tc>
        <w:tc>
          <w:tcPr>
            <w:tcW w:w="651" w:type="dxa"/>
            <w:tcBorders>
              <w:top w:val="nil"/>
              <w:left w:val="nil"/>
              <w:bottom w:val="single" w:sz="4" w:space="0" w:color="D6DCE4"/>
              <w:right w:val="nil"/>
            </w:tcBorders>
            <w:shd w:val="clear" w:color="000000" w:fill="FFFFFF"/>
            <w:vAlign w:val="center"/>
            <w:hideMark/>
          </w:tcPr>
          <w:p w14:paraId="48145BB8" w14:textId="77777777" w:rsidR="00FE461F" w:rsidRPr="005E4BEA" w:rsidRDefault="00FE461F" w:rsidP="00FE461F">
            <w:pPr>
              <w:spacing w:line="240" w:lineRule="auto"/>
              <w:jc w:val="both"/>
              <w:outlineLvl w:val="0"/>
              <w:rPr>
                <w:rFonts w:cs="Arial"/>
                <w:szCs w:val="20"/>
              </w:rPr>
            </w:pPr>
            <w:r w:rsidRPr="005E4BEA">
              <w:rPr>
                <w:rFonts w:cs="Arial"/>
                <w:szCs w:val="20"/>
              </w:rPr>
              <w:t>0,30</w:t>
            </w:r>
          </w:p>
        </w:tc>
        <w:tc>
          <w:tcPr>
            <w:tcW w:w="567" w:type="dxa"/>
            <w:tcBorders>
              <w:top w:val="nil"/>
              <w:left w:val="nil"/>
              <w:bottom w:val="single" w:sz="4" w:space="0" w:color="D6DCE4"/>
              <w:right w:val="nil"/>
            </w:tcBorders>
            <w:shd w:val="clear" w:color="000000" w:fill="FFFFFF"/>
            <w:vAlign w:val="center"/>
            <w:hideMark/>
          </w:tcPr>
          <w:p w14:paraId="500F82BA"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7E16EE16"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50B8BDFF"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0C7CE802"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5C2DA620"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5E4AF51C"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Ptuj                </w:t>
            </w:r>
          </w:p>
        </w:tc>
        <w:tc>
          <w:tcPr>
            <w:tcW w:w="651" w:type="dxa"/>
            <w:tcBorders>
              <w:top w:val="nil"/>
              <w:left w:val="nil"/>
              <w:bottom w:val="single" w:sz="4" w:space="0" w:color="D6DCE4"/>
              <w:right w:val="nil"/>
            </w:tcBorders>
            <w:shd w:val="clear" w:color="000000" w:fill="FFFFFF"/>
            <w:vAlign w:val="center"/>
            <w:hideMark/>
          </w:tcPr>
          <w:p w14:paraId="7CAA2B0E" w14:textId="77777777" w:rsidR="00FE461F" w:rsidRPr="005E4BEA" w:rsidRDefault="00FE461F" w:rsidP="00FE461F">
            <w:pPr>
              <w:spacing w:line="240" w:lineRule="auto"/>
              <w:jc w:val="both"/>
              <w:outlineLvl w:val="0"/>
              <w:rPr>
                <w:rFonts w:cs="Arial"/>
                <w:szCs w:val="20"/>
              </w:rPr>
            </w:pPr>
            <w:r w:rsidRPr="005E4BEA">
              <w:rPr>
                <w:rFonts w:cs="Arial"/>
                <w:szCs w:val="20"/>
              </w:rPr>
              <w:t>0,70</w:t>
            </w:r>
          </w:p>
        </w:tc>
        <w:tc>
          <w:tcPr>
            <w:tcW w:w="567" w:type="dxa"/>
            <w:tcBorders>
              <w:top w:val="nil"/>
              <w:left w:val="nil"/>
              <w:bottom w:val="single" w:sz="4" w:space="0" w:color="D6DCE4"/>
              <w:right w:val="nil"/>
            </w:tcBorders>
            <w:shd w:val="clear" w:color="000000" w:fill="FFFFFF"/>
            <w:vAlign w:val="center"/>
            <w:hideMark/>
          </w:tcPr>
          <w:p w14:paraId="2742A9E7"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437CD976"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27AF55D7"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61D0CAF7"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2EDD5278" w14:textId="77777777" w:rsidR="00FE461F" w:rsidRPr="005E4BEA" w:rsidRDefault="00FE461F" w:rsidP="00FE461F">
            <w:pPr>
              <w:spacing w:line="240" w:lineRule="auto"/>
              <w:jc w:val="both"/>
              <w:outlineLvl w:val="0"/>
              <w:rPr>
                <w:rFonts w:cs="Arial"/>
                <w:szCs w:val="20"/>
              </w:rPr>
            </w:pPr>
            <w:r w:rsidRPr="005E4BEA">
              <w:rPr>
                <w:rFonts w:cs="Arial"/>
                <w:szCs w:val="20"/>
              </w:rPr>
              <w:lastRenderedPageBreak/>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7BB192D7"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Ajdovščina          </w:t>
            </w:r>
          </w:p>
        </w:tc>
        <w:tc>
          <w:tcPr>
            <w:tcW w:w="651" w:type="dxa"/>
            <w:tcBorders>
              <w:top w:val="nil"/>
              <w:left w:val="nil"/>
              <w:bottom w:val="single" w:sz="4" w:space="0" w:color="D6DCE4"/>
              <w:right w:val="nil"/>
            </w:tcBorders>
            <w:shd w:val="clear" w:color="000000" w:fill="FFFFFF"/>
            <w:vAlign w:val="center"/>
            <w:hideMark/>
          </w:tcPr>
          <w:p w14:paraId="665B4CB9" w14:textId="77777777" w:rsidR="00FE461F" w:rsidRPr="005E4BEA" w:rsidRDefault="00FE461F" w:rsidP="00FE461F">
            <w:pPr>
              <w:spacing w:line="240" w:lineRule="auto"/>
              <w:jc w:val="both"/>
              <w:outlineLvl w:val="0"/>
              <w:rPr>
                <w:rFonts w:cs="Arial"/>
                <w:szCs w:val="20"/>
              </w:rPr>
            </w:pPr>
            <w:r w:rsidRPr="005E4BEA">
              <w:rPr>
                <w:rFonts w:cs="Arial"/>
                <w:szCs w:val="20"/>
              </w:rPr>
              <w:t>0,19</w:t>
            </w:r>
          </w:p>
        </w:tc>
        <w:tc>
          <w:tcPr>
            <w:tcW w:w="567" w:type="dxa"/>
            <w:tcBorders>
              <w:top w:val="nil"/>
              <w:left w:val="nil"/>
              <w:bottom w:val="single" w:sz="4" w:space="0" w:color="D6DCE4"/>
              <w:right w:val="nil"/>
            </w:tcBorders>
            <w:shd w:val="clear" w:color="000000" w:fill="FFFFFF"/>
            <w:vAlign w:val="center"/>
            <w:hideMark/>
          </w:tcPr>
          <w:p w14:paraId="579B308B"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77A22E71"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23DC9F1C"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656B05B1" w14:textId="77777777" w:rsidTr="0016774B">
        <w:trPr>
          <w:trHeight w:val="210"/>
        </w:trPr>
        <w:tc>
          <w:tcPr>
            <w:tcW w:w="3069" w:type="dxa"/>
            <w:tcBorders>
              <w:top w:val="nil"/>
              <w:left w:val="single" w:sz="4" w:space="0" w:color="3399FF"/>
              <w:bottom w:val="nil"/>
              <w:right w:val="nil"/>
            </w:tcBorders>
            <w:shd w:val="clear" w:color="000000" w:fill="FFFFFF"/>
            <w:vAlign w:val="center"/>
            <w:hideMark/>
          </w:tcPr>
          <w:p w14:paraId="22073EBF"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D6DCE4"/>
              <w:right w:val="single" w:sz="4" w:space="0" w:color="3399FF"/>
            </w:tcBorders>
            <w:shd w:val="clear" w:color="000000" w:fill="FFFFFF"/>
            <w:vAlign w:val="center"/>
            <w:hideMark/>
          </w:tcPr>
          <w:p w14:paraId="0AFEF723"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OE Novo mesto                 </w:t>
            </w:r>
          </w:p>
        </w:tc>
        <w:tc>
          <w:tcPr>
            <w:tcW w:w="651" w:type="dxa"/>
            <w:tcBorders>
              <w:top w:val="nil"/>
              <w:left w:val="nil"/>
              <w:bottom w:val="single" w:sz="4" w:space="0" w:color="D6DCE4"/>
              <w:right w:val="nil"/>
            </w:tcBorders>
            <w:shd w:val="clear" w:color="000000" w:fill="FFFFFF"/>
            <w:vAlign w:val="center"/>
            <w:hideMark/>
          </w:tcPr>
          <w:p w14:paraId="725BB3B5" w14:textId="77777777" w:rsidR="00FE461F" w:rsidRPr="005E4BEA" w:rsidRDefault="00FE461F" w:rsidP="00FE461F">
            <w:pPr>
              <w:spacing w:line="240" w:lineRule="auto"/>
              <w:jc w:val="both"/>
              <w:outlineLvl w:val="0"/>
              <w:rPr>
                <w:rFonts w:cs="Arial"/>
                <w:szCs w:val="20"/>
              </w:rPr>
            </w:pPr>
            <w:r w:rsidRPr="005E4BEA">
              <w:rPr>
                <w:rFonts w:cs="Arial"/>
                <w:szCs w:val="20"/>
              </w:rPr>
              <w:t>0,77</w:t>
            </w:r>
          </w:p>
        </w:tc>
        <w:tc>
          <w:tcPr>
            <w:tcW w:w="567" w:type="dxa"/>
            <w:tcBorders>
              <w:top w:val="nil"/>
              <w:left w:val="nil"/>
              <w:bottom w:val="single" w:sz="4" w:space="0" w:color="D6DCE4"/>
              <w:right w:val="nil"/>
            </w:tcBorders>
            <w:shd w:val="clear" w:color="000000" w:fill="FFFFFF"/>
            <w:vAlign w:val="center"/>
            <w:hideMark/>
          </w:tcPr>
          <w:p w14:paraId="430A1739"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nil"/>
              <w:right w:val="single" w:sz="4" w:space="0" w:color="3399FF"/>
            </w:tcBorders>
            <w:shd w:val="clear" w:color="000000" w:fill="FFFFFF"/>
            <w:vAlign w:val="center"/>
            <w:hideMark/>
          </w:tcPr>
          <w:p w14:paraId="7529B1E8"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nil"/>
              <w:right w:val="single" w:sz="4" w:space="0" w:color="3399FF"/>
            </w:tcBorders>
            <w:shd w:val="clear" w:color="000000" w:fill="FFFFFF"/>
            <w:vAlign w:val="center"/>
            <w:hideMark/>
          </w:tcPr>
          <w:p w14:paraId="5B9B0711"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r w:rsidR="00FE461F" w:rsidRPr="005E4BEA" w14:paraId="3EFC9D83" w14:textId="77777777" w:rsidTr="0016774B">
        <w:trPr>
          <w:trHeight w:val="210"/>
        </w:trPr>
        <w:tc>
          <w:tcPr>
            <w:tcW w:w="3069" w:type="dxa"/>
            <w:tcBorders>
              <w:top w:val="nil"/>
              <w:left w:val="single" w:sz="4" w:space="0" w:color="3399FF"/>
              <w:bottom w:val="single" w:sz="4" w:space="0" w:color="0070C0"/>
              <w:right w:val="nil"/>
            </w:tcBorders>
            <w:shd w:val="clear" w:color="000000" w:fill="FFFFFF"/>
            <w:vAlign w:val="center"/>
            <w:hideMark/>
          </w:tcPr>
          <w:p w14:paraId="55C6546E"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945" w:type="dxa"/>
            <w:tcBorders>
              <w:top w:val="nil"/>
              <w:left w:val="single" w:sz="4" w:space="0" w:color="3399FF"/>
              <w:bottom w:val="single" w:sz="4" w:space="0" w:color="0070C0"/>
              <w:right w:val="single" w:sz="4" w:space="0" w:color="3399FF"/>
            </w:tcBorders>
            <w:shd w:val="clear" w:color="000000" w:fill="FFFFFF"/>
            <w:vAlign w:val="center"/>
            <w:hideMark/>
          </w:tcPr>
          <w:p w14:paraId="34A1E6D7" w14:textId="77777777" w:rsidR="00FE461F" w:rsidRPr="005E4BEA" w:rsidRDefault="00FE461F" w:rsidP="00FE461F">
            <w:pPr>
              <w:spacing w:line="240" w:lineRule="auto"/>
              <w:jc w:val="both"/>
              <w:outlineLvl w:val="0"/>
              <w:rPr>
                <w:rFonts w:cs="Arial"/>
                <w:szCs w:val="20"/>
              </w:rPr>
            </w:pPr>
            <w:r w:rsidRPr="005E4BEA">
              <w:rPr>
                <w:rFonts w:cs="Arial"/>
                <w:szCs w:val="20"/>
              </w:rPr>
              <w:t xml:space="preserve">izpostava Trebnje             </w:t>
            </w:r>
          </w:p>
        </w:tc>
        <w:tc>
          <w:tcPr>
            <w:tcW w:w="651" w:type="dxa"/>
            <w:tcBorders>
              <w:top w:val="nil"/>
              <w:left w:val="nil"/>
              <w:bottom w:val="single" w:sz="4" w:space="0" w:color="0070C0"/>
              <w:right w:val="nil"/>
            </w:tcBorders>
            <w:shd w:val="clear" w:color="000000" w:fill="FFFFFF"/>
            <w:vAlign w:val="center"/>
            <w:hideMark/>
          </w:tcPr>
          <w:p w14:paraId="422188A4" w14:textId="77777777" w:rsidR="00FE461F" w:rsidRPr="005E4BEA" w:rsidRDefault="00FE461F" w:rsidP="00FE461F">
            <w:pPr>
              <w:spacing w:line="240" w:lineRule="auto"/>
              <w:jc w:val="both"/>
              <w:outlineLvl w:val="0"/>
              <w:rPr>
                <w:rFonts w:cs="Arial"/>
                <w:szCs w:val="20"/>
              </w:rPr>
            </w:pPr>
            <w:r w:rsidRPr="005E4BEA">
              <w:rPr>
                <w:rFonts w:cs="Arial"/>
                <w:szCs w:val="20"/>
              </w:rPr>
              <w:t>0,63</w:t>
            </w:r>
          </w:p>
        </w:tc>
        <w:tc>
          <w:tcPr>
            <w:tcW w:w="567" w:type="dxa"/>
            <w:tcBorders>
              <w:top w:val="nil"/>
              <w:left w:val="nil"/>
              <w:bottom w:val="single" w:sz="4" w:space="0" w:color="0070C0"/>
              <w:right w:val="nil"/>
            </w:tcBorders>
            <w:shd w:val="clear" w:color="000000" w:fill="FFFFFF"/>
            <w:vAlign w:val="center"/>
            <w:hideMark/>
          </w:tcPr>
          <w:p w14:paraId="1B83E0CF"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979" w:type="dxa"/>
            <w:tcBorders>
              <w:top w:val="nil"/>
              <w:left w:val="single" w:sz="4" w:space="0" w:color="3399FF"/>
              <w:bottom w:val="single" w:sz="4" w:space="0" w:color="0070C0"/>
              <w:right w:val="single" w:sz="4" w:space="0" w:color="3399FF"/>
            </w:tcBorders>
            <w:shd w:val="clear" w:color="000000" w:fill="FFFFFF"/>
            <w:vAlign w:val="center"/>
            <w:hideMark/>
          </w:tcPr>
          <w:p w14:paraId="2D5427E3" w14:textId="77777777" w:rsidR="00FE461F" w:rsidRPr="005E4BEA" w:rsidRDefault="00FE461F" w:rsidP="00FE461F">
            <w:pPr>
              <w:spacing w:line="240" w:lineRule="auto"/>
              <w:jc w:val="both"/>
              <w:outlineLvl w:val="0"/>
              <w:rPr>
                <w:rFonts w:cs="Arial"/>
                <w:szCs w:val="20"/>
              </w:rPr>
            </w:pPr>
            <w:r w:rsidRPr="005E4BEA">
              <w:rPr>
                <w:rFonts w:cs="Arial"/>
                <w:szCs w:val="20"/>
              </w:rPr>
              <w:t> </w:t>
            </w:r>
          </w:p>
        </w:tc>
        <w:tc>
          <w:tcPr>
            <w:tcW w:w="1276" w:type="dxa"/>
            <w:tcBorders>
              <w:top w:val="nil"/>
              <w:left w:val="nil"/>
              <w:bottom w:val="single" w:sz="4" w:space="0" w:color="0070C0"/>
              <w:right w:val="single" w:sz="4" w:space="0" w:color="3399FF"/>
            </w:tcBorders>
            <w:shd w:val="clear" w:color="000000" w:fill="FFFFFF"/>
            <w:vAlign w:val="center"/>
            <w:hideMark/>
          </w:tcPr>
          <w:p w14:paraId="108AFC45" w14:textId="77777777" w:rsidR="00FE461F" w:rsidRPr="005E4BEA" w:rsidRDefault="00FE461F" w:rsidP="00FE461F">
            <w:pPr>
              <w:spacing w:line="240" w:lineRule="auto"/>
              <w:jc w:val="both"/>
              <w:outlineLvl w:val="0"/>
              <w:rPr>
                <w:rFonts w:cs="Arial"/>
                <w:szCs w:val="20"/>
              </w:rPr>
            </w:pPr>
            <w:r w:rsidRPr="005E4BEA">
              <w:rPr>
                <w:rFonts w:cs="Arial"/>
                <w:szCs w:val="20"/>
              </w:rPr>
              <w:t> </w:t>
            </w:r>
          </w:p>
        </w:tc>
      </w:tr>
    </w:tbl>
    <w:p w14:paraId="7C337823" w14:textId="77777777" w:rsidR="00FE461F" w:rsidRPr="005E4BEA" w:rsidRDefault="00FE461F" w:rsidP="00FE461F">
      <w:pPr>
        <w:spacing w:line="240" w:lineRule="auto"/>
        <w:jc w:val="both"/>
        <w:rPr>
          <w:rFonts w:cs="Arial"/>
          <w:szCs w:val="20"/>
        </w:rPr>
      </w:pPr>
    </w:p>
    <w:p w14:paraId="5D94D6D7"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3202E753"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širitev programa dispanzerja za ženske v višini 3,50 tima v izpostavah s podpovprečno preskrbljenostjo s tem programom. </w:t>
      </w:r>
    </w:p>
    <w:p w14:paraId="3471203D" w14:textId="77777777" w:rsidR="00FE461F" w:rsidRPr="005E4BEA" w:rsidRDefault="00FE461F" w:rsidP="00FE461F">
      <w:pPr>
        <w:spacing w:line="120" w:lineRule="auto"/>
        <w:rPr>
          <w:rFonts w:eastAsiaTheme="minorHAnsi" w:cs="Arial"/>
          <w:i/>
          <w:color w:val="808080" w:themeColor="background1" w:themeShade="80"/>
          <w:szCs w:val="20"/>
        </w:rPr>
      </w:pPr>
    </w:p>
    <w:tbl>
      <w:tblPr>
        <w:tblW w:w="5360" w:type="dxa"/>
        <w:tblCellMar>
          <w:left w:w="70" w:type="dxa"/>
          <w:right w:w="70" w:type="dxa"/>
        </w:tblCellMar>
        <w:tblLook w:val="04A0" w:firstRow="1" w:lastRow="0" w:firstColumn="1" w:lastColumn="0" w:noHBand="0" w:noVBand="1"/>
      </w:tblPr>
      <w:tblGrid>
        <w:gridCol w:w="2500"/>
        <w:gridCol w:w="820"/>
        <w:gridCol w:w="1000"/>
        <w:gridCol w:w="1040"/>
      </w:tblGrid>
      <w:tr w:rsidR="00FE461F" w:rsidRPr="005E4BEA" w14:paraId="39122712" w14:textId="77777777" w:rsidTr="0016774B">
        <w:trPr>
          <w:trHeight w:val="255"/>
        </w:trPr>
        <w:tc>
          <w:tcPr>
            <w:tcW w:w="2500" w:type="dxa"/>
            <w:tcBorders>
              <w:top w:val="nil"/>
              <w:left w:val="nil"/>
              <w:bottom w:val="nil"/>
              <w:right w:val="nil"/>
            </w:tcBorders>
            <w:shd w:val="clear" w:color="auto" w:fill="auto"/>
            <w:noWrap/>
            <w:vAlign w:val="center"/>
            <w:hideMark/>
          </w:tcPr>
          <w:p w14:paraId="72EE89C4" w14:textId="77777777" w:rsidR="00FE461F" w:rsidRPr="005E4BEA" w:rsidRDefault="00FE461F" w:rsidP="00FE461F">
            <w:pPr>
              <w:spacing w:line="240" w:lineRule="auto"/>
              <w:jc w:val="both"/>
              <w:rPr>
                <w:rFonts w:eastAsiaTheme="minorHAnsi" w:cs="Arial"/>
                <w:i/>
                <w:color w:val="808080"/>
                <w:szCs w:val="20"/>
              </w:rPr>
            </w:pPr>
            <w:r w:rsidRPr="005E4BEA">
              <w:rPr>
                <w:rFonts w:eastAsiaTheme="minorHAnsi" w:cs="Arial"/>
                <w:i/>
                <w:color w:val="808080"/>
                <w:szCs w:val="20"/>
              </w:rPr>
              <w:t>Finančne posledice:</w:t>
            </w:r>
          </w:p>
        </w:tc>
        <w:tc>
          <w:tcPr>
            <w:tcW w:w="820" w:type="dxa"/>
            <w:tcBorders>
              <w:top w:val="nil"/>
              <w:left w:val="nil"/>
              <w:bottom w:val="nil"/>
              <w:right w:val="nil"/>
            </w:tcBorders>
            <w:shd w:val="clear" w:color="auto" w:fill="auto"/>
            <w:vAlign w:val="center"/>
            <w:hideMark/>
          </w:tcPr>
          <w:p w14:paraId="44281A97" w14:textId="77777777" w:rsidR="00FE461F" w:rsidRPr="005E4BEA" w:rsidRDefault="00FE461F" w:rsidP="00FE461F">
            <w:pPr>
              <w:spacing w:line="240" w:lineRule="auto"/>
              <w:jc w:val="both"/>
              <w:rPr>
                <w:rFonts w:eastAsiaTheme="minorHAnsi" w:cs="Arial"/>
                <w:i/>
                <w:color w:val="808080"/>
                <w:szCs w:val="20"/>
              </w:rPr>
            </w:pPr>
          </w:p>
        </w:tc>
        <w:tc>
          <w:tcPr>
            <w:tcW w:w="1000"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5190EC65" w14:textId="77777777" w:rsidR="00FE461F" w:rsidRPr="005E4BEA" w:rsidRDefault="00FE461F" w:rsidP="00FE461F">
            <w:pPr>
              <w:spacing w:line="240" w:lineRule="auto"/>
              <w:jc w:val="both"/>
              <w:rPr>
                <w:rFonts w:eastAsiaTheme="minorHAnsi" w:cs="Arial"/>
                <w:i/>
                <w:color w:val="808080"/>
                <w:szCs w:val="20"/>
              </w:rPr>
            </w:pPr>
            <w:r w:rsidRPr="005E4BEA">
              <w:rPr>
                <w:rFonts w:eastAsiaTheme="minorHAnsi" w:cs="Arial"/>
                <w:i/>
                <w:color w:val="808080"/>
                <w:szCs w:val="20"/>
              </w:rPr>
              <w:t>Letna raven</w:t>
            </w:r>
          </w:p>
        </w:tc>
        <w:tc>
          <w:tcPr>
            <w:tcW w:w="1040" w:type="dxa"/>
            <w:tcBorders>
              <w:top w:val="single" w:sz="4" w:space="0" w:color="538DD5"/>
              <w:left w:val="nil"/>
              <w:bottom w:val="single" w:sz="4" w:space="0" w:color="538DD5"/>
              <w:right w:val="single" w:sz="4" w:space="0" w:color="538DD5"/>
            </w:tcBorders>
            <w:shd w:val="clear" w:color="auto" w:fill="auto"/>
            <w:vAlign w:val="center"/>
            <w:hideMark/>
          </w:tcPr>
          <w:p w14:paraId="3FC9BADB" w14:textId="77777777" w:rsidR="00FE461F" w:rsidRPr="005E4BEA" w:rsidRDefault="00FE461F" w:rsidP="00FE461F">
            <w:pPr>
              <w:spacing w:line="240" w:lineRule="auto"/>
              <w:jc w:val="both"/>
              <w:rPr>
                <w:rFonts w:eastAsiaTheme="minorHAnsi" w:cs="Arial"/>
                <w:i/>
                <w:color w:val="808080"/>
                <w:szCs w:val="20"/>
              </w:rPr>
            </w:pPr>
            <w:r w:rsidRPr="005E4BEA">
              <w:rPr>
                <w:rFonts w:eastAsiaTheme="minorHAnsi" w:cs="Arial"/>
                <w:i/>
                <w:color w:val="808080"/>
                <w:szCs w:val="20"/>
              </w:rPr>
              <w:t>2022</w:t>
            </w:r>
          </w:p>
        </w:tc>
      </w:tr>
      <w:tr w:rsidR="00FE461F" w:rsidRPr="005E4BEA" w14:paraId="729FD250" w14:textId="77777777" w:rsidTr="0016774B">
        <w:trPr>
          <w:trHeight w:val="300"/>
        </w:trPr>
        <w:tc>
          <w:tcPr>
            <w:tcW w:w="2500" w:type="dxa"/>
            <w:tcBorders>
              <w:top w:val="nil"/>
              <w:left w:val="nil"/>
              <w:bottom w:val="nil"/>
              <w:right w:val="nil"/>
            </w:tcBorders>
            <w:shd w:val="clear" w:color="auto" w:fill="auto"/>
            <w:noWrap/>
            <w:hideMark/>
          </w:tcPr>
          <w:p w14:paraId="0871AA45" w14:textId="77777777" w:rsidR="00FE461F" w:rsidRPr="005E4BEA" w:rsidRDefault="00FE461F" w:rsidP="00FE461F">
            <w:pPr>
              <w:spacing w:line="240" w:lineRule="auto"/>
              <w:jc w:val="both"/>
              <w:rPr>
                <w:rFonts w:cs="Arial"/>
                <w:b/>
                <w:bCs/>
                <w:color w:val="808080"/>
                <w:szCs w:val="20"/>
              </w:rPr>
            </w:pPr>
          </w:p>
        </w:tc>
        <w:tc>
          <w:tcPr>
            <w:tcW w:w="820"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0B9DCC8C"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 xml:space="preserve">Vred. </w:t>
            </w:r>
            <w:proofErr w:type="spellStart"/>
            <w:r w:rsidRPr="005E4BEA">
              <w:rPr>
                <w:rFonts w:cs="Arial"/>
                <w:color w:val="808080"/>
                <w:szCs w:val="20"/>
              </w:rPr>
              <w:t>sk</w:t>
            </w:r>
            <w:proofErr w:type="spellEnd"/>
            <w:r w:rsidRPr="005E4BEA">
              <w:rPr>
                <w:rFonts w:cs="Arial"/>
                <w:color w:val="808080"/>
                <w:szCs w:val="20"/>
              </w:rPr>
              <w:t>.</w:t>
            </w:r>
          </w:p>
        </w:tc>
        <w:tc>
          <w:tcPr>
            <w:tcW w:w="1000" w:type="dxa"/>
            <w:tcBorders>
              <w:top w:val="nil"/>
              <w:left w:val="nil"/>
              <w:bottom w:val="single" w:sz="4" w:space="0" w:color="538DD5"/>
              <w:right w:val="single" w:sz="4" w:space="0" w:color="538DD5"/>
            </w:tcBorders>
            <w:shd w:val="clear" w:color="auto" w:fill="auto"/>
            <w:noWrap/>
            <w:vAlign w:val="center"/>
            <w:hideMark/>
          </w:tcPr>
          <w:p w14:paraId="3FBCC22B"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562.120</w:t>
            </w:r>
          </w:p>
        </w:tc>
        <w:tc>
          <w:tcPr>
            <w:tcW w:w="1040" w:type="dxa"/>
            <w:tcBorders>
              <w:top w:val="nil"/>
              <w:left w:val="nil"/>
              <w:bottom w:val="single" w:sz="4" w:space="0" w:color="538DD5"/>
              <w:right w:val="single" w:sz="4" w:space="0" w:color="538DD5"/>
            </w:tcBorders>
            <w:shd w:val="clear" w:color="auto" w:fill="auto"/>
            <w:noWrap/>
            <w:vAlign w:val="center"/>
            <w:hideMark/>
          </w:tcPr>
          <w:p w14:paraId="4771C503"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281.060</w:t>
            </w:r>
          </w:p>
        </w:tc>
      </w:tr>
      <w:tr w:rsidR="00FE461F" w:rsidRPr="005E4BEA" w14:paraId="43C369F0" w14:textId="77777777" w:rsidTr="00D775A2">
        <w:trPr>
          <w:trHeight w:val="300"/>
        </w:trPr>
        <w:tc>
          <w:tcPr>
            <w:tcW w:w="2500" w:type="dxa"/>
            <w:tcBorders>
              <w:top w:val="nil"/>
              <w:left w:val="nil"/>
              <w:bottom w:val="nil"/>
              <w:right w:val="nil"/>
            </w:tcBorders>
            <w:shd w:val="clear" w:color="auto" w:fill="auto"/>
            <w:noWrap/>
            <w:hideMark/>
          </w:tcPr>
          <w:p w14:paraId="7854392D" w14:textId="77777777" w:rsidR="00FE461F" w:rsidRPr="005E4BEA" w:rsidRDefault="00FE461F" w:rsidP="00FE461F">
            <w:pPr>
              <w:spacing w:line="240" w:lineRule="auto"/>
              <w:jc w:val="both"/>
              <w:rPr>
                <w:rFonts w:cs="Arial"/>
                <w:color w:val="808080"/>
                <w:szCs w:val="20"/>
              </w:rPr>
            </w:pPr>
          </w:p>
        </w:tc>
        <w:tc>
          <w:tcPr>
            <w:tcW w:w="820" w:type="dxa"/>
            <w:tcBorders>
              <w:top w:val="nil"/>
              <w:left w:val="single" w:sz="4" w:space="0" w:color="538DD5"/>
              <w:bottom w:val="nil"/>
              <w:right w:val="single" w:sz="4" w:space="0" w:color="538DD5"/>
            </w:tcBorders>
            <w:shd w:val="clear" w:color="auto" w:fill="auto"/>
            <w:vAlign w:val="center"/>
            <w:hideMark/>
          </w:tcPr>
          <w:p w14:paraId="522265C3"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OZZ</w:t>
            </w:r>
          </w:p>
        </w:tc>
        <w:tc>
          <w:tcPr>
            <w:tcW w:w="1000" w:type="dxa"/>
            <w:tcBorders>
              <w:top w:val="nil"/>
              <w:left w:val="nil"/>
              <w:bottom w:val="nil"/>
              <w:right w:val="single" w:sz="4" w:space="0" w:color="538DD5"/>
            </w:tcBorders>
            <w:shd w:val="clear" w:color="auto" w:fill="auto"/>
            <w:noWrap/>
            <w:vAlign w:val="center"/>
            <w:hideMark/>
          </w:tcPr>
          <w:p w14:paraId="0CA6D1C5"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485.110</w:t>
            </w:r>
          </w:p>
        </w:tc>
        <w:tc>
          <w:tcPr>
            <w:tcW w:w="1040" w:type="dxa"/>
            <w:tcBorders>
              <w:top w:val="nil"/>
              <w:left w:val="nil"/>
              <w:bottom w:val="nil"/>
              <w:right w:val="single" w:sz="4" w:space="0" w:color="538DD5"/>
            </w:tcBorders>
            <w:shd w:val="clear" w:color="auto" w:fill="auto"/>
            <w:noWrap/>
            <w:vAlign w:val="center"/>
            <w:hideMark/>
          </w:tcPr>
          <w:p w14:paraId="76CA2391" w14:textId="77777777" w:rsidR="00FE461F" w:rsidRPr="005E4BEA" w:rsidRDefault="00FE461F" w:rsidP="00FE461F">
            <w:pPr>
              <w:spacing w:line="240" w:lineRule="auto"/>
              <w:jc w:val="both"/>
              <w:rPr>
                <w:rFonts w:cs="Arial"/>
                <w:color w:val="808080"/>
                <w:szCs w:val="20"/>
              </w:rPr>
            </w:pPr>
            <w:r w:rsidRPr="005E4BEA">
              <w:rPr>
                <w:rFonts w:cs="Arial"/>
                <w:color w:val="808080"/>
                <w:szCs w:val="20"/>
              </w:rPr>
              <w:t>242.555</w:t>
            </w:r>
          </w:p>
        </w:tc>
      </w:tr>
      <w:tr w:rsidR="00D775A2" w:rsidRPr="005E4BEA" w14:paraId="6EEDE90E" w14:textId="77777777" w:rsidTr="0016774B">
        <w:trPr>
          <w:trHeight w:val="300"/>
        </w:trPr>
        <w:tc>
          <w:tcPr>
            <w:tcW w:w="2500" w:type="dxa"/>
            <w:tcBorders>
              <w:top w:val="nil"/>
              <w:left w:val="nil"/>
              <w:bottom w:val="nil"/>
              <w:right w:val="nil"/>
            </w:tcBorders>
            <w:shd w:val="clear" w:color="auto" w:fill="auto"/>
            <w:noWrap/>
          </w:tcPr>
          <w:p w14:paraId="4F356E59" w14:textId="58ECD1D2" w:rsidR="00D775A2" w:rsidRPr="005E4BEA" w:rsidRDefault="00D775A2" w:rsidP="00FE461F">
            <w:pPr>
              <w:spacing w:line="240" w:lineRule="auto"/>
              <w:jc w:val="both"/>
              <w:rPr>
                <w:rFonts w:cs="Arial"/>
                <w:color w:val="808080"/>
                <w:szCs w:val="20"/>
              </w:rPr>
            </w:pPr>
          </w:p>
        </w:tc>
        <w:tc>
          <w:tcPr>
            <w:tcW w:w="820" w:type="dxa"/>
            <w:tcBorders>
              <w:top w:val="nil"/>
              <w:left w:val="single" w:sz="4" w:space="0" w:color="538DD5"/>
              <w:bottom w:val="single" w:sz="4" w:space="0" w:color="538DD5"/>
              <w:right w:val="single" w:sz="4" w:space="0" w:color="538DD5"/>
            </w:tcBorders>
            <w:shd w:val="clear" w:color="auto" w:fill="auto"/>
            <w:vAlign w:val="center"/>
          </w:tcPr>
          <w:p w14:paraId="4FD72B91" w14:textId="77777777" w:rsidR="00D775A2" w:rsidRPr="005E4BEA" w:rsidRDefault="00D775A2" w:rsidP="00FE461F">
            <w:pPr>
              <w:spacing w:line="240" w:lineRule="auto"/>
              <w:jc w:val="both"/>
              <w:rPr>
                <w:rFonts w:cs="Arial"/>
                <w:color w:val="808080"/>
                <w:szCs w:val="20"/>
              </w:rPr>
            </w:pPr>
          </w:p>
        </w:tc>
        <w:tc>
          <w:tcPr>
            <w:tcW w:w="1000" w:type="dxa"/>
            <w:tcBorders>
              <w:top w:val="nil"/>
              <w:left w:val="nil"/>
              <w:bottom w:val="single" w:sz="4" w:space="0" w:color="538DD5"/>
              <w:right w:val="single" w:sz="4" w:space="0" w:color="538DD5"/>
            </w:tcBorders>
            <w:shd w:val="clear" w:color="auto" w:fill="auto"/>
            <w:noWrap/>
            <w:vAlign w:val="center"/>
          </w:tcPr>
          <w:p w14:paraId="0CAF2E59" w14:textId="77777777" w:rsidR="00D775A2" w:rsidRPr="005E4BEA" w:rsidRDefault="00D775A2" w:rsidP="00FE461F">
            <w:pPr>
              <w:spacing w:line="240" w:lineRule="auto"/>
              <w:jc w:val="both"/>
              <w:rPr>
                <w:rFonts w:cs="Arial"/>
                <w:color w:val="808080"/>
                <w:szCs w:val="20"/>
              </w:rPr>
            </w:pPr>
          </w:p>
        </w:tc>
        <w:tc>
          <w:tcPr>
            <w:tcW w:w="1040" w:type="dxa"/>
            <w:tcBorders>
              <w:top w:val="nil"/>
              <w:left w:val="nil"/>
              <w:bottom w:val="single" w:sz="4" w:space="0" w:color="538DD5"/>
              <w:right w:val="single" w:sz="4" w:space="0" w:color="538DD5"/>
            </w:tcBorders>
            <w:shd w:val="clear" w:color="auto" w:fill="auto"/>
            <w:noWrap/>
            <w:vAlign w:val="center"/>
          </w:tcPr>
          <w:p w14:paraId="3791C98D" w14:textId="77777777" w:rsidR="00D775A2" w:rsidRPr="005E4BEA" w:rsidRDefault="00D775A2" w:rsidP="00FE461F">
            <w:pPr>
              <w:spacing w:line="240" w:lineRule="auto"/>
              <w:jc w:val="both"/>
              <w:rPr>
                <w:rFonts w:cs="Arial"/>
                <w:color w:val="808080"/>
                <w:szCs w:val="20"/>
              </w:rPr>
            </w:pPr>
          </w:p>
        </w:tc>
      </w:tr>
    </w:tbl>
    <w:p w14:paraId="3AC3E432" w14:textId="423D6D14" w:rsidR="00FE461F" w:rsidRPr="005E4BEA" w:rsidRDefault="00FE461F" w:rsidP="00FE461F">
      <w:pPr>
        <w:spacing w:line="240" w:lineRule="auto"/>
        <w:rPr>
          <w:rFonts w:cs="Arial"/>
          <w:szCs w:val="20"/>
        </w:rPr>
      </w:pPr>
    </w:p>
    <w:p w14:paraId="498E6D89" w14:textId="6D5EB7D5" w:rsidR="00D775A2" w:rsidRPr="005E4BEA" w:rsidRDefault="00D775A2" w:rsidP="00FE461F">
      <w:pPr>
        <w:spacing w:line="240" w:lineRule="auto"/>
        <w:rPr>
          <w:rFonts w:cs="Arial"/>
          <w:szCs w:val="20"/>
        </w:rPr>
      </w:pPr>
    </w:p>
    <w:p w14:paraId="3F510166" w14:textId="5704EFCF" w:rsidR="00A63B50" w:rsidRPr="005E4BEA" w:rsidRDefault="00A63B50" w:rsidP="00A63B50">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9722A5" w:rsidRPr="005E4BEA">
        <w:rPr>
          <w:rFonts w:eastAsia="Arial Narrow" w:cs="Arial"/>
          <w:szCs w:val="20"/>
        </w:rPr>
        <w:t xml:space="preserve"> in </w:t>
      </w:r>
      <w:r w:rsidR="002C063B" w:rsidRPr="005E4BEA">
        <w:rPr>
          <w:rFonts w:eastAsia="Arial Narrow" w:cs="Arial"/>
          <w:szCs w:val="20"/>
        </w:rPr>
        <w:t xml:space="preserve">je </w:t>
      </w:r>
      <w:r w:rsidR="009722A5" w:rsidRPr="005E4BEA">
        <w:rPr>
          <w:rFonts w:eastAsia="Arial Narrow" w:cs="Arial"/>
          <w:szCs w:val="20"/>
        </w:rPr>
        <w:t xml:space="preserve">pod spornim vprašanjem </w:t>
      </w:r>
      <w:r w:rsidR="002C063B" w:rsidRPr="005E4BEA">
        <w:rPr>
          <w:rFonts w:eastAsia="Arial Narrow" w:cs="Arial"/>
          <w:szCs w:val="20"/>
        </w:rPr>
        <w:t>št. 123</w:t>
      </w:r>
      <w:r w:rsidR="009722A5" w:rsidRPr="005E4BEA">
        <w:rPr>
          <w:rFonts w:eastAsia="Arial Narrow" w:cs="Arial"/>
          <w:szCs w:val="20"/>
        </w:rPr>
        <w:t xml:space="preserve"> </w:t>
      </w:r>
      <w:proofErr w:type="spellStart"/>
      <w:r w:rsidR="009722A5" w:rsidRPr="005E4BEA">
        <w:rPr>
          <w:rFonts w:eastAsia="Arial Narrow" w:cs="Arial"/>
          <w:szCs w:val="20"/>
        </w:rPr>
        <w:t>predlag</w:t>
      </w:r>
      <w:r w:rsidR="002C063B" w:rsidRPr="005E4BEA">
        <w:rPr>
          <w:rFonts w:eastAsia="Arial Narrow" w:cs="Arial"/>
          <w:szCs w:val="20"/>
        </w:rPr>
        <w:t>o</w:t>
      </w:r>
      <w:proofErr w:type="spellEnd"/>
      <w:r w:rsidR="009722A5" w:rsidRPr="005E4BEA">
        <w:rPr>
          <w:rFonts w:eastAsia="Arial Narrow" w:cs="Arial"/>
          <w:szCs w:val="20"/>
        </w:rPr>
        <w:t xml:space="preserve"> svoj predlog </w:t>
      </w:r>
      <w:r w:rsidR="002C063B" w:rsidRPr="005E4BEA">
        <w:rPr>
          <w:rFonts w:eastAsia="Arial Narrow" w:cs="Arial"/>
          <w:szCs w:val="20"/>
        </w:rPr>
        <w:t>na področju</w:t>
      </w:r>
      <w:r w:rsidR="009722A5" w:rsidRPr="005E4BEA">
        <w:rPr>
          <w:rFonts w:eastAsia="Arial Narrow" w:cs="Arial"/>
          <w:szCs w:val="20"/>
        </w:rPr>
        <w:t xml:space="preserve"> dispanzerje za ženske.</w:t>
      </w:r>
    </w:p>
    <w:p w14:paraId="21AF6E36" w14:textId="77777777" w:rsidR="00A63B50" w:rsidRPr="005E4BEA" w:rsidRDefault="00A63B50" w:rsidP="00A63B50">
      <w:pPr>
        <w:spacing w:line="0" w:lineRule="atLeast"/>
        <w:jc w:val="both"/>
        <w:rPr>
          <w:rFonts w:eastAsia="Arial Narrow" w:cs="Arial"/>
          <w:szCs w:val="20"/>
          <w:lang w:eastAsia="sl-SI"/>
        </w:rPr>
      </w:pPr>
    </w:p>
    <w:p w14:paraId="6223E462" w14:textId="15FD6A7B" w:rsidR="00A63B50" w:rsidRPr="005E4BEA" w:rsidRDefault="00A63B50" w:rsidP="00A63B50">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65BF4683" w14:textId="4E8DF7C4" w:rsidR="00A63B50" w:rsidRPr="005E4BEA" w:rsidRDefault="00A63B50" w:rsidP="00FE461F">
      <w:pPr>
        <w:spacing w:line="240" w:lineRule="auto"/>
        <w:rPr>
          <w:rFonts w:cs="Arial"/>
          <w:szCs w:val="20"/>
        </w:rPr>
      </w:pPr>
    </w:p>
    <w:p w14:paraId="65F67D1E" w14:textId="77777777" w:rsidR="00FE461F" w:rsidRPr="005E4BEA" w:rsidRDefault="00FE461F" w:rsidP="00FE461F">
      <w:pPr>
        <w:spacing w:line="240" w:lineRule="auto"/>
        <w:jc w:val="both"/>
        <w:rPr>
          <w:rFonts w:cs="Arial"/>
          <w:i/>
          <w:iCs/>
          <w:color w:val="808080" w:themeColor="background1" w:themeShade="80"/>
          <w:szCs w:val="20"/>
        </w:rPr>
      </w:pPr>
    </w:p>
    <w:p w14:paraId="19B377A9" w14:textId="72BE17F3" w:rsidR="00487C03" w:rsidRPr="005E4BEA" w:rsidRDefault="00487C0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(45)</w:t>
      </w:r>
    </w:p>
    <w:p w14:paraId="03E12381" w14:textId="77777777" w:rsidR="00FE461F" w:rsidRPr="005E4BEA" w:rsidRDefault="00FE461F" w:rsidP="00FE461F">
      <w:pPr>
        <w:spacing w:line="240" w:lineRule="auto"/>
        <w:jc w:val="both"/>
        <w:rPr>
          <w:rFonts w:cs="Arial"/>
          <w:i/>
          <w:iCs/>
          <w:color w:val="808080" w:themeColor="background1" w:themeShade="80"/>
          <w:szCs w:val="20"/>
        </w:rPr>
      </w:pPr>
    </w:p>
    <w:p w14:paraId="1601245C" w14:textId="233071EE" w:rsidR="00FE461F" w:rsidRPr="005E4BEA" w:rsidRDefault="00487C03" w:rsidP="00FE461F">
      <w:pPr>
        <w:spacing w:line="240" w:lineRule="auto"/>
        <w:jc w:val="both"/>
        <w:rPr>
          <w:rFonts w:cs="Arial"/>
          <w:szCs w:val="20"/>
        </w:rPr>
      </w:pPr>
      <w:r w:rsidRPr="005E4BEA">
        <w:rPr>
          <w:rFonts w:cs="Arial"/>
          <w:b/>
          <w:bCs/>
          <w:szCs w:val="20"/>
        </w:rPr>
        <w:t xml:space="preserve">Združenje zdravstvenih zavodov Slovenije </w:t>
      </w:r>
      <w:r w:rsidRPr="005E4BEA">
        <w:rPr>
          <w:rFonts w:cs="Arial"/>
          <w:szCs w:val="20"/>
        </w:rPr>
        <w:t xml:space="preserve">predlaga, da se v </w:t>
      </w:r>
      <w:r w:rsidR="00FE461F" w:rsidRPr="005E4BEA">
        <w:rPr>
          <w:rFonts w:cs="Arial"/>
          <w:szCs w:val="20"/>
        </w:rPr>
        <w:t>24. členu se v (5) petem odstavku v tabeli doda nova vrstica, ki se glasi:</w:t>
      </w:r>
    </w:p>
    <w:p w14:paraId="148F6C10" w14:textId="77777777" w:rsidR="00487C03" w:rsidRPr="005E4BEA" w:rsidRDefault="00487C03" w:rsidP="00FE461F">
      <w:pPr>
        <w:spacing w:line="240" w:lineRule="auto"/>
        <w:jc w:val="both"/>
        <w:rPr>
          <w:rFonts w:cs="Arial"/>
          <w:szCs w:val="20"/>
        </w:rPr>
      </w:pPr>
    </w:p>
    <w:tbl>
      <w:tblPr>
        <w:tblW w:w="8642" w:type="dxa"/>
        <w:tblInd w:w="-5" w:type="dxa"/>
        <w:tblCellMar>
          <w:left w:w="0" w:type="dxa"/>
          <w:right w:w="0" w:type="dxa"/>
        </w:tblCellMar>
        <w:tblLook w:val="04A0" w:firstRow="1" w:lastRow="0" w:firstColumn="1" w:lastColumn="0" w:noHBand="0" w:noVBand="1"/>
      </w:tblPr>
      <w:tblGrid>
        <w:gridCol w:w="271"/>
        <w:gridCol w:w="2151"/>
        <w:gridCol w:w="1713"/>
        <w:gridCol w:w="1063"/>
        <w:gridCol w:w="2225"/>
        <w:gridCol w:w="1219"/>
      </w:tblGrid>
      <w:tr w:rsidR="00FE461F" w:rsidRPr="005E4BEA" w14:paraId="7B88393B" w14:textId="77777777" w:rsidTr="00487C03">
        <w:trPr>
          <w:trHeight w:val="813"/>
        </w:trPr>
        <w:tc>
          <w:tcPr>
            <w:tcW w:w="271" w:type="dxa"/>
            <w:tcBorders>
              <w:top w:val="single" w:sz="8" w:space="0" w:color="auto"/>
              <w:left w:val="single" w:sz="8" w:space="0" w:color="auto"/>
              <w:bottom w:val="single" w:sz="8" w:space="0" w:color="auto"/>
              <w:right w:val="single" w:sz="8" w:space="0" w:color="auto"/>
            </w:tcBorders>
            <w:shd w:val="clear" w:color="auto" w:fill="D9E2F3"/>
            <w:noWrap/>
            <w:tcMar>
              <w:top w:w="0" w:type="dxa"/>
              <w:left w:w="70" w:type="dxa"/>
              <w:bottom w:w="0" w:type="dxa"/>
              <w:right w:w="70" w:type="dxa"/>
            </w:tcMar>
            <w:vAlign w:val="center"/>
            <w:hideMark/>
          </w:tcPr>
          <w:p w14:paraId="44DC9265" w14:textId="77777777" w:rsidR="00FE461F" w:rsidRPr="005E4BEA" w:rsidRDefault="00FE461F" w:rsidP="00FE461F">
            <w:pPr>
              <w:spacing w:line="240" w:lineRule="auto"/>
              <w:jc w:val="both"/>
              <w:rPr>
                <w:rFonts w:cs="Arial"/>
                <w:b/>
                <w:bCs/>
                <w:i/>
                <w:iCs/>
                <w:szCs w:val="20"/>
              </w:rPr>
            </w:pPr>
          </w:p>
        </w:tc>
        <w:tc>
          <w:tcPr>
            <w:tcW w:w="2476" w:type="dxa"/>
            <w:tcBorders>
              <w:top w:val="single" w:sz="8" w:space="0" w:color="auto"/>
              <w:left w:val="nil"/>
              <w:bottom w:val="single" w:sz="8" w:space="0" w:color="auto"/>
              <w:right w:val="single" w:sz="8" w:space="0" w:color="auto"/>
            </w:tcBorders>
            <w:shd w:val="clear" w:color="auto" w:fill="D9E2F3"/>
            <w:tcMar>
              <w:top w:w="0" w:type="dxa"/>
              <w:left w:w="70" w:type="dxa"/>
              <w:bottom w:w="0" w:type="dxa"/>
              <w:right w:w="70" w:type="dxa"/>
            </w:tcMar>
            <w:vAlign w:val="center"/>
            <w:hideMark/>
          </w:tcPr>
          <w:p w14:paraId="5CE916A3"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P r o g r a m</w:t>
            </w:r>
          </w:p>
        </w:tc>
        <w:tc>
          <w:tcPr>
            <w:tcW w:w="1713" w:type="dxa"/>
            <w:tcBorders>
              <w:top w:val="single" w:sz="8" w:space="0" w:color="auto"/>
              <w:left w:val="nil"/>
              <w:bottom w:val="single" w:sz="8" w:space="0" w:color="auto"/>
              <w:right w:val="single" w:sz="8" w:space="0" w:color="auto"/>
            </w:tcBorders>
            <w:shd w:val="clear" w:color="auto" w:fill="D9E2F3"/>
            <w:noWrap/>
            <w:tcMar>
              <w:top w:w="0" w:type="dxa"/>
              <w:left w:w="70" w:type="dxa"/>
              <w:bottom w:w="0" w:type="dxa"/>
              <w:right w:w="70" w:type="dxa"/>
            </w:tcMar>
            <w:vAlign w:val="center"/>
            <w:hideMark/>
          </w:tcPr>
          <w:p w14:paraId="75166545"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xml:space="preserve">I z v a j a l e c / izpostava </w:t>
            </w:r>
          </w:p>
        </w:tc>
        <w:tc>
          <w:tcPr>
            <w:tcW w:w="1063" w:type="dxa"/>
            <w:tcBorders>
              <w:top w:val="single" w:sz="8" w:space="0" w:color="auto"/>
              <w:left w:val="nil"/>
              <w:bottom w:val="single" w:sz="8" w:space="0" w:color="auto"/>
              <w:right w:val="single" w:sz="8" w:space="0" w:color="auto"/>
            </w:tcBorders>
            <w:shd w:val="clear" w:color="auto" w:fill="D9E2F3"/>
            <w:tcMar>
              <w:top w:w="0" w:type="dxa"/>
              <w:left w:w="70" w:type="dxa"/>
              <w:bottom w:w="0" w:type="dxa"/>
              <w:right w:w="70" w:type="dxa"/>
            </w:tcMar>
            <w:vAlign w:val="center"/>
            <w:hideMark/>
          </w:tcPr>
          <w:p w14:paraId="77380425"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Obseg programa</w:t>
            </w:r>
          </w:p>
        </w:tc>
        <w:tc>
          <w:tcPr>
            <w:tcW w:w="2225" w:type="dxa"/>
            <w:tcBorders>
              <w:top w:val="single" w:sz="8" w:space="0" w:color="auto"/>
              <w:left w:val="nil"/>
              <w:bottom w:val="single" w:sz="8" w:space="0" w:color="auto"/>
              <w:right w:val="single" w:sz="8" w:space="0" w:color="auto"/>
            </w:tcBorders>
            <w:shd w:val="clear" w:color="auto" w:fill="D9E2F3"/>
            <w:noWrap/>
            <w:tcMar>
              <w:top w:w="0" w:type="dxa"/>
              <w:left w:w="70" w:type="dxa"/>
              <w:bottom w:w="0" w:type="dxa"/>
              <w:right w:w="70" w:type="dxa"/>
            </w:tcMar>
            <w:vAlign w:val="center"/>
            <w:hideMark/>
          </w:tcPr>
          <w:p w14:paraId="3B03F7D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 na letni ravni</w:t>
            </w:r>
          </w:p>
          <w:p w14:paraId="22483C24"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c>
          <w:tcPr>
            <w:tcW w:w="894" w:type="dxa"/>
            <w:tcBorders>
              <w:top w:val="single" w:sz="8" w:space="0" w:color="auto"/>
              <w:left w:val="nil"/>
              <w:bottom w:val="single" w:sz="8" w:space="0" w:color="auto"/>
              <w:right w:val="single" w:sz="8" w:space="0" w:color="auto"/>
            </w:tcBorders>
            <w:shd w:val="clear" w:color="auto" w:fill="D9E2F3"/>
            <w:noWrap/>
            <w:tcMar>
              <w:top w:w="0" w:type="dxa"/>
              <w:left w:w="70" w:type="dxa"/>
              <w:bottom w:w="0" w:type="dxa"/>
              <w:right w:w="70" w:type="dxa"/>
            </w:tcMar>
            <w:vAlign w:val="center"/>
            <w:hideMark/>
          </w:tcPr>
          <w:p w14:paraId="4837F1AB"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 1.1.-31.12.2021</w:t>
            </w:r>
          </w:p>
          <w:p w14:paraId="253EF6A1"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r>
      <w:tr w:rsidR="00FE461F" w:rsidRPr="005E4BEA" w14:paraId="07016B50" w14:textId="77777777" w:rsidTr="00487C03">
        <w:trPr>
          <w:trHeight w:hRule="exact" w:val="1409"/>
        </w:trPr>
        <w:tc>
          <w:tcPr>
            <w:tcW w:w="2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0875DC"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w:t>
            </w:r>
          </w:p>
        </w:tc>
        <w:tc>
          <w:tcPr>
            <w:tcW w:w="24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9E424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Amortizacija v cenah zdravstvenih storitev se poveča za obračunano amortizacijo</w:t>
            </w:r>
          </w:p>
        </w:tc>
        <w:tc>
          <w:tcPr>
            <w:tcW w:w="171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96170F7" w14:textId="77777777" w:rsidR="00FE461F" w:rsidRPr="005E4BEA" w:rsidRDefault="00FE461F" w:rsidP="00FE461F">
            <w:pPr>
              <w:spacing w:line="240" w:lineRule="auto"/>
              <w:jc w:val="both"/>
              <w:rPr>
                <w:rFonts w:cs="Arial"/>
                <w:color w:val="000000"/>
                <w:szCs w:val="20"/>
              </w:rPr>
            </w:pPr>
          </w:p>
          <w:p w14:paraId="1A377F0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Izvajalci</w:t>
            </w:r>
          </w:p>
        </w:tc>
        <w:tc>
          <w:tcPr>
            <w:tcW w:w="10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1144CC" w14:textId="77777777" w:rsidR="00FE461F" w:rsidRPr="005E4BEA" w:rsidRDefault="00FE461F" w:rsidP="00FE461F">
            <w:pPr>
              <w:spacing w:line="240" w:lineRule="auto"/>
              <w:jc w:val="both"/>
              <w:rPr>
                <w:rFonts w:cs="Arial"/>
                <w:color w:val="000000"/>
                <w:szCs w:val="20"/>
              </w:rPr>
            </w:pPr>
          </w:p>
        </w:tc>
        <w:tc>
          <w:tcPr>
            <w:tcW w:w="222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893FB8" w14:textId="77777777" w:rsidR="00FE461F" w:rsidRPr="005E4BEA" w:rsidRDefault="00FE461F" w:rsidP="00FE461F">
            <w:pPr>
              <w:spacing w:line="240" w:lineRule="auto"/>
              <w:jc w:val="both"/>
              <w:rPr>
                <w:rFonts w:cs="Arial"/>
                <w:color w:val="000000"/>
                <w:szCs w:val="20"/>
              </w:rPr>
            </w:pPr>
            <w:r w:rsidRPr="005E4BEA">
              <w:rPr>
                <w:rFonts w:cs="Arial"/>
                <w:szCs w:val="20"/>
              </w:rPr>
              <w:t>11.700.000</w:t>
            </w:r>
          </w:p>
        </w:tc>
        <w:tc>
          <w:tcPr>
            <w:tcW w:w="8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5E481D" w14:textId="77777777" w:rsidR="00FE461F" w:rsidRPr="005E4BEA" w:rsidRDefault="00FE461F" w:rsidP="00FE461F">
            <w:pPr>
              <w:spacing w:line="240" w:lineRule="auto"/>
              <w:jc w:val="both"/>
              <w:rPr>
                <w:rFonts w:cs="Arial"/>
                <w:szCs w:val="20"/>
              </w:rPr>
            </w:pPr>
            <w:r w:rsidRPr="005E4BEA">
              <w:rPr>
                <w:rFonts w:cs="Arial"/>
                <w:szCs w:val="20"/>
              </w:rPr>
              <w:t>11.700.000*</w:t>
            </w:r>
          </w:p>
        </w:tc>
      </w:tr>
    </w:tbl>
    <w:p w14:paraId="5C7E8951" w14:textId="77777777" w:rsidR="00FE461F" w:rsidRPr="005E4BEA" w:rsidRDefault="00FE461F" w:rsidP="00FE461F">
      <w:pPr>
        <w:spacing w:line="240" w:lineRule="auto"/>
        <w:jc w:val="both"/>
        <w:rPr>
          <w:rFonts w:cs="Arial"/>
          <w:iCs/>
          <w:szCs w:val="20"/>
        </w:rPr>
      </w:pPr>
      <w:r w:rsidRPr="005E4BEA">
        <w:rPr>
          <w:rFonts w:cs="Arial"/>
          <w:iCs/>
          <w:szCs w:val="20"/>
        </w:rPr>
        <w:t>*Izračun samo za ZD in Bolnišnice</w:t>
      </w:r>
    </w:p>
    <w:p w14:paraId="7D66DD89" w14:textId="77777777" w:rsidR="00FE461F" w:rsidRPr="005E4BEA" w:rsidRDefault="00FE461F" w:rsidP="00FE461F">
      <w:pPr>
        <w:spacing w:line="240" w:lineRule="auto"/>
        <w:jc w:val="both"/>
        <w:rPr>
          <w:rFonts w:cs="Arial"/>
          <w:szCs w:val="20"/>
        </w:rPr>
      </w:pPr>
    </w:p>
    <w:p w14:paraId="6E4DCD4C"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9C9D89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Zaradi varčevalnih ukrepov v preteklih letih se je priznana vrednost amortizacije v cenah zdravstvenih storitev od leta 2009 do 2020 znižala za 25%.</w:t>
      </w:r>
    </w:p>
    <w:tbl>
      <w:tblPr>
        <w:tblW w:w="10065" w:type="dxa"/>
        <w:tblInd w:w="-147" w:type="dxa"/>
        <w:tblCellMar>
          <w:left w:w="0" w:type="dxa"/>
          <w:right w:w="0" w:type="dxa"/>
        </w:tblCellMar>
        <w:tblLook w:val="04A0" w:firstRow="1" w:lastRow="0" w:firstColumn="1" w:lastColumn="0" w:noHBand="0" w:noVBand="1"/>
      </w:tblPr>
      <w:tblGrid>
        <w:gridCol w:w="5616"/>
        <w:gridCol w:w="4449"/>
      </w:tblGrid>
      <w:tr w:rsidR="00FE461F" w:rsidRPr="005E4BEA" w14:paraId="310B360C" w14:textId="77777777" w:rsidTr="0016774B">
        <w:tc>
          <w:tcPr>
            <w:tcW w:w="5616" w:type="dxa"/>
            <w:tcMar>
              <w:top w:w="0" w:type="dxa"/>
              <w:left w:w="108" w:type="dxa"/>
              <w:bottom w:w="0" w:type="dxa"/>
              <w:right w:w="108" w:type="dxa"/>
            </w:tcMar>
            <w:hideMark/>
          </w:tcPr>
          <w:p w14:paraId="0F87F08E" w14:textId="77777777" w:rsidR="00FE461F" w:rsidRPr="005E4BEA" w:rsidRDefault="00FE461F" w:rsidP="00FE461F">
            <w:pPr>
              <w:spacing w:line="240" w:lineRule="auto"/>
              <w:jc w:val="both"/>
              <w:rPr>
                <w:rFonts w:cs="Arial"/>
                <w:szCs w:val="20"/>
              </w:rPr>
            </w:pPr>
            <w:r w:rsidRPr="005E4BEA">
              <w:rPr>
                <w:rFonts w:cs="Arial"/>
                <w:noProof/>
                <w:szCs w:val="20"/>
              </w:rPr>
              <w:drawing>
                <wp:inline distT="0" distB="0" distL="0" distR="0" wp14:anchorId="4A76D8E8" wp14:editId="4C6C0722">
                  <wp:extent cx="3413760" cy="1737360"/>
                  <wp:effectExtent l="0" t="0" r="15240" b="1524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13760" cy="1737360"/>
                          </a:xfrm>
                          <a:prstGeom prst="rect">
                            <a:avLst/>
                          </a:prstGeom>
                          <a:noFill/>
                          <a:ln>
                            <a:noFill/>
                          </a:ln>
                        </pic:spPr>
                      </pic:pic>
                    </a:graphicData>
                  </a:graphic>
                </wp:inline>
              </w:drawing>
            </w:r>
          </w:p>
        </w:tc>
        <w:tc>
          <w:tcPr>
            <w:tcW w:w="4449" w:type="dxa"/>
            <w:tcMar>
              <w:top w:w="0" w:type="dxa"/>
              <w:left w:w="108" w:type="dxa"/>
              <w:bottom w:w="0" w:type="dxa"/>
              <w:right w:w="108" w:type="dxa"/>
            </w:tcMar>
          </w:tcPr>
          <w:p w14:paraId="6D24322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Ob koncu leta 2020 imajo javni zdravstveni zavodi 80,5 % odpisano opremo. V letu 2021 amortiziramo samo še 19,5 % opreme.</w:t>
            </w:r>
          </w:p>
          <w:p w14:paraId="20A5EA3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Obračunana amortizacija v letu 2020 je znašala 111,7 mio €, priznana pa le 100,0 mio €. Razlika znaša 11,7 mio €.</w:t>
            </w:r>
          </w:p>
          <w:p w14:paraId="18167821" w14:textId="77777777" w:rsidR="00FE461F" w:rsidRPr="005E4BEA" w:rsidRDefault="00FE461F" w:rsidP="00FE461F">
            <w:pPr>
              <w:spacing w:line="240" w:lineRule="auto"/>
              <w:jc w:val="both"/>
              <w:rPr>
                <w:rFonts w:cs="Arial"/>
                <w:i/>
                <w:iCs/>
                <w:color w:val="808080"/>
                <w:szCs w:val="20"/>
              </w:rPr>
            </w:pPr>
            <w:r w:rsidRPr="005E4BEA">
              <w:rPr>
                <w:rFonts w:cs="Arial"/>
                <w:i/>
                <w:iCs/>
                <w:color w:val="808080" w:themeColor="background1" w:themeShade="80"/>
                <w:szCs w:val="20"/>
              </w:rPr>
              <w:t>Nobenega dvoma ni, da na ta način izvajalci ne morejo obnavljati svojih osnovnih sredstev, zato predlagamo povišanje amortizacije.</w:t>
            </w:r>
          </w:p>
        </w:tc>
      </w:tr>
    </w:tbl>
    <w:p w14:paraId="16253CB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ZZVZZ v 66. členu med drugim določa, da se pri elementih za oblikovanje cene programov oziroma storitev upošteva amortizacija, predpisana z zakonom. Gre za </w:t>
      </w:r>
      <w:proofErr w:type="spellStart"/>
      <w:r w:rsidRPr="005E4BEA">
        <w:rPr>
          <w:rFonts w:cs="Arial"/>
          <w:i/>
          <w:iCs/>
          <w:color w:val="808080" w:themeColor="background1" w:themeShade="80"/>
          <w:szCs w:val="20"/>
        </w:rPr>
        <w:t>kogentno</w:t>
      </w:r>
      <w:proofErr w:type="spellEnd"/>
      <w:r w:rsidRPr="005E4BEA">
        <w:rPr>
          <w:rFonts w:cs="Arial"/>
          <w:i/>
          <w:iCs/>
          <w:color w:val="808080" w:themeColor="background1" w:themeShade="80"/>
          <w:szCs w:val="20"/>
        </w:rPr>
        <w:t xml:space="preserve"> zakonsko normo, ki je korektno vsebinsko povzeta tudi v določbah 8. člena in prvega odstavka 9. člena SD 2021. </w:t>
      </w:r>
    </w:p>
    <w:p w14:paraId="2D96B72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Neupoštevanje </w:t>
      </w:r>
      <w:proofErr w:type="spellStart"/>
      <w:r w:rsidRPr="005E4BEA">
        <w:rPr>
          <w:rFonts w:cs="Arial"/>
          <w:i/>
          <w:iCs/>
          <w:color w:val="808080" w:themeColor="background1" w:themeShade="80"/>
          <w:szCs w:val="20"/>
        </w:rPr>
        <w:t>kogentne</w:t>
      </w:r>
      <w:proofErr w:type="spellEnd"/>
      <w:r w:rsidRPr="005E4BEA">
        <w:rPr>
          <w:rFonts w:cs="Arial"/>
          <w:i/>
          <w:iCs/>
          <w:color w:val="808080" w:themeColor="background1" w:themeShade="80"/>
          <w:szCs w:val="20"/>
        </w:rPr>
        <w:t xml:space="preserve"> zakonske norme je v nasprotju z Ustavo in pravnim redom Republike Slovenije, zato je neskladje potrebno odpraviti.</w:t>
      </w:r>
    </w:p>
    <w:p w14:paraId="09FC62D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Glede na sklep 1. seje partnerjev za sprejem Aneksa 1 k SD 2021 vam v nadaljevanju posredujemo podatke o razliki med priznano in obračunano amortizacij v letu 2020 po posameznih JZZ.</w:t>
      </w:r>
    </w:p>
    <w:p w14:paraId="3269145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11.7 mio €</w:t>
      </w:r>
    </w:p>
    <w:tbl>
      <w:tblPr>
        <w:tblW w:w="73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4951"/>
        <w:gridCol w:w="1262"/>
        <w:gridCol w:w="1272"/>
        <w:gridCol w:w="1003"/>
      </w:tblGrid>
      <w:tr w:rsidR="00FE461F" w:rsidRPr="005E4BEA" w14:paraId="2B76ECB8" w14:textId="77777777" w:rsidTr="0016774B">
        <w:trPr>
          <w:trHeight w:val="113"/>
        </w:trPr>
        <w:tc>
          <w:tcPr>
            <w:tcW w:w="5098" w:type="dxa"/>
            <w:shd w:val="clear" w:color="000000" w:fill="C5D9F1"/>
            <w:noWrap/>
            <w:vAlign w:val="bottom"/>
            <w:hideMark/>
          </w:tcPr>
          <w:p w14:paraId="043D607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ZDRAVSTVENI DOMOVI</w:t>
            </w:r>
          </w:p>
        </w:tc>
        <w:tc>
          <w:tcPr>
            <w:tcW w:w="171" w:type="dxa"/>
            <w:shd w:val="clear" w:color="000000" w:fill="C5D9F1"/>
            <w:vAlign w:val="bottom"/>
            <w:hideMark/>
          </w:tcPr>
          <w:p w14:paraId="41A9699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Priznana amortizacija 2020</w:t>
            </w:r>
          </w:p>
        </w:tc>
        <w:tc>
          <w:tcPr>
            <w:tcW w:w="1098" w:type="dxa"/>
            <w:shd w:val="clear" w:color="000000" w:fill="C5D9F1"/>
            <w:vAlign w:val="bottom"/>
            <w:hideMark/>
          </w:tcPr>
          <w:p w14:paraId="1B4411C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Obračunana amortizacija 2020</w:t>
            </w:r>
          </w:p>
        </w:tc>
        <w:tc>
          <w:tcPr>
            <w:tcW w:w="960" w:type="dxa"/>
            <w:shd w:val="clear" w:color="000000" w:fill="C5D9F1"/>
            <w:noWrap/>
            <w:vAlign w:val="bottom"/>
            <w:hideMark/>
          </w:tcPr>
          <w:p w14:paraId="1D6AF64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Razlika 2020</w:t>
            </w:r>
          </w:p>
        </w:tc>
      </w:tr>
      <w:tr w:rsidR="00FE461F" w:rsidRPr="005E4BEA" w14:paraId="48DFD8A6" w14:textId="77777777" w:rsidTr="0016774B">
        <w:trPr>
          <w:trHeight w:val="113"/>
        </w:trPr>
        <w:tc>
          <w:tcPr>
            <w:tcW w:w="5098" w:type="dxa"/>
            <w:shd w:val="clear" w:color="auto" w:fill="auto"/>
            <w:hideMark/>
          </w:tcPr>
          <w:p w14:paraId="0C640A0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Celje</w:t>
            </w:r>
          </w:p>
        </w:tc>
        <w:tc>
          <w:tcPr>
            <w:tcW w:w="171" w:type="dxa"/>
            <w:shd w:val="clear" w:color="auto" w:fill="auto"/>
            <w:noWrap/>
            <w:vAlign w:val="bottom"/>
            <w:hideMark/>
          </w:tcPr>
          <w:p w14:paraId="74E1E8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972.141</w:t>
            </w:r>
          </w:p>
        </w:tc>
        <w:tc>
          <w:tcPr>
            <w:tcW w:w="1098" w:type="dxa"/>
            <w:shd w:val="clear" w:color="auto" w:fill="auto"/>
            <w:noWrap/>
            <w:vAlign w:val="bottom"/>
            <w:hideMark/>
          </w:tcPr>
          <w:p w14:paraId="199383F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943.510</w:t>
            </w:r>
          </w:p>
        </w:tc>
        <w:tc>
          <w:tcPr>
            <w:tcW w:w="960" w:type="dxa"/>
            <w:shd w:val="clear" w:color="auto" w:fill="auto"/>
            <w:noWrap/>
            <w:vAlign w:val="bottom"/>
            <w:hideMark/>
          </w:tcPr>
          <w:p w14:paraId="4B3B9C1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28.631</w:t>
            </w:r>
          </w:p>
        </w:tc>
      </w:tr>
      <w:tr w:rsidR="00FE461F" w:rsidRPr="005E4BEA" w14:paraId="22C96BAF" w14:textId="77777777" w:rsidTr="0016774B">
        <w:trPr>
          <w:trHeight w:val="113"/>
        </w:trPr>
        <w:tc>
          <w:tcPr>
            <w:tcW w:w="5098" w:type="dxa"/>
            <w:shd w:val="clear" w:color="auto" w:fill="auto"/>
            <w:hideMark/>
          </w:tcPr>
          <w:p w14:paraId="4E873E4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Laško</w:t>
            </w:r>
          </w:p>
        </w:tc>
        <w:tc>
          <w:tcPr>
            <w:tcW w:w="171" w:type="dxa"/>
            <w:shd w:val="clear" w:color="auto" w:fill="auto"/>
            <w:noWrap/>
            <w:vAlign w:val="bottom"/>
            <w:hideMark/>
          </w:tcPr>
          <w:p w14:paraId="356D32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138.691</w:t>
            </w:r>
          </w:p>
        </w:tc>
        <w:tc>
          <w:tcPr>
            <w:tcW w:w="1098" w:type="dxa"/>
            <w:shd w:val="clear" w:color="auto" w:fill="auto"/>
            <w:noWrap/>
            <w:vAlign w:val="bottom"/>
            <w:hideMark/>
          </w:tcPr>
          <w:p w14:paraId="392A3F3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217.938</w:t>
            </w:r>
          </w:p>
        </w:tc>
        <w:tc>
          <w:tcPr>
            <w:tcW w:w="960" w:type="dxa"/>
            <w:shd w:val="clear" w:color="auto" w:fill="auto"/>
            <w:noWrap/>
            <w:vAlign w:val="bottom"/>
            <w:hideMark/>
          </w:tcPr>
          <w:p w14:paraId="24C7DF2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-79.247</w:t>
            </w:r>
          </w:p>
        </w:tc>
      </w:tr>
      <w:tr w:rsidR="00FE461F" w:rsidRPr="005E4BEA" w14:paraId="7D562DC2" w14:textId="77777777" w:rsidTr="0016774B">
        <w:trPr>
          <w:trHeight w:val="113"/>
        </w:trPr>
        <w:tc>
          <w:tcPr>
            <w:tcW w:w="5098" w:type="dxa"/>
            <w:shd w:val="clear" w:color="auto" w:fill="auto"/>
            <w:hideMark/>
          </w:tcPr>
          <w:p w14:paraId="2434E41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Radeče</w:t>
            </w:r>
          </w:p>
        </w:tc>
        <w:tc>
          <w:tcPr>
            <w:tcW w:w="171" w:type="dxa"/>
            <w:shd w:val="clear" w:color="auto" w:fill="auto"/>
            <w:noWrap/>
            <w:vAlign w:val="bottom"/>
            <w:hideMark/>
          </w:tcPr>
          <w:p w14:paraId="1C1F96E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53.576</w:t>
            </w:r>
          </w:p>
        </w:tc>
        <w:tc>
          <w:tcPr>
            <w:tcW w:w="1098" w:type="dxa"/>
            <w:shd w:val="clear" w:color="auto" w:fill="auto"/>
            <w:noWrap/>
            <w:vAlign w:val="bottom"/>
            <w:hideMark/>
          </w:tcPr>
          <w:p w14:paraId="02EC22F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117.836</w:t>
            </w:r>
          </w:p>
        </w:tc>
        <w:tc>
          <w:tcPr>
            <w:tcW w:w="960" w:type="dxa"/>
            <w:shd w:val="clear" w:color="auto" w:fill="auto"/>
            <w:noWrap/>
            <w:vAlign w:val="bottom"/>
            <w:hideMark/>
          </w:tcPr>
          <w:p w14:paraId="3806F0F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-64.260</w:t>
            </w:r>
          </w:p>
        </w:tc>
      </w:tr>
      <w:tr w:rsidR="00FE461F" w:rsidRPr="005E4BEA" w14:paraId="46B96435" w14:textId="77777777" w:rsidTr="0016774B">
        <w:trPr>
          <w:trHeight w:val="113"/>
        </w:trPr>
        <w:tc>
          <w:tcPr>
            <w:tcW w:w="5098" w:type="dxa"/>
            <w:shd w:val="clear" w:color="auto" w:fill="auto"/>
            <w:hideMark/>
          </w:tcPr>
          <w:p w14:paraId="6E26650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Slovenske Konjice</w:t>
            </w:r>
          </w:p>
        </w:tc>
        <w:tc>
          <w:tcPr>
            <w:tcW w:w="171" w:type="dxa"/>
            <w:shd w:val="clear" w:color="auto" w:fill="auto"/>
            <w:noWrap/>
            <w:vAlign w:val="bottom"/>
            <w:hideMark/>
          </w:tcPr>
          <w:p w14:paraId="51FDEF8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179.597</w:t>
            </w:r>
          </w:p>
        </w:tc>
        <w:tc>
          <w:tcPr>
            <w:tcW w:w="1098" w:type="dxa"/>
            <w:shd w:val="clear" w:color="auto" w:fill="auto"/>
            <w:noWrap/>
            <w:vAlign w:val="bottom"/>
            <w:hideMark/>
          </w:tcPr>
          <w:p w14:paraId="15DB7E0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233.473</w:t>
            </w:r>
          </w:p>
        </w:tc>
        <w:tc>
          <w:tcPr>
            <w:tcW w:w="960" w:type="dxa"/>
            <w:shd w:val="clear" w:color="auto" w:fill="auto"/>
            <w:noWrap/>
            <w:vAlign w:val="bottom"/>
            <w:hideMark/>
          </w:tcPr>
          <w:p w14:paraId="207F17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-53.876</w:t>
            </w:r>
          </w:p>
        </w:tc>
      </w:tr>
      <w:tr w:rsidR="00FE461F" w:rsidRPr="005E4BEA" w14:paraId="6C299AD7" w14:textId="77777777" w:rsidTr="0016774B">
        <w:trPr>
          <w:trHeight w:val="113"/>
        </w:trPr>
        <w:tc>
          <w:tcPr>
            <w:tcW w:w="5098" w:type="dxa"/>
            <w:shd w:val="clear" w:color="auto" w:fill="auto"/>
            <w:hideMark/>
          </w:tcPr>
          <w:p w14:paraId="514629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Šentjur</w:t>
            </w:r>
          </w:p>
        </w:tc>
        <w:tc>
          <w:tcPr>
            <w:tcW w:w="171" w:type="dxa"/>
            <w:shd w:val="clear" w:color="auto" w:fill="auto"/>
            <w:noWrap/>
            <w:vAlign w:val="bottom"/>
            <w:hideMark/>
          </w:tcPr>
          <w:p w14:paraId="0BAD7BA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162.858</w:t>
            </w:r>
          </w:p>
        </w:tc>
        <w:tc>
          <w:tcPr>
            <w:tcW w:w="1098" w:type="dxa"/>
            <w:shd w:val="clear" w:color="auto" w:fill="auto"/>
            <w:noWrap/>
            <w:vAlign w:val="bottom"/>
            <w:hideMark/>
          </w:tcPr>
          <w:p w14:paraId="196E59B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242.452</w:t>
            </w:r>
          </w:p>
        </w:tc>
        <w:tc>
          <w:tcPr>
            <w:tcW w:w="960" w:type="dxa"/>
            <w:shd w:val="clear" w:color="auto" w:fill="auto"/>
            <w:noWrap/>
            <w:vAlign w:val="bottom"/>
            <w:hideMark/>
          </w:tcPr>
          <w:p w14:paraId="397582D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-79.594</w:t>
            </w:r>
          </w:p>
        </w:tc>
      </w:tr>
      <w:tr w:rsidR="00FE461F" w:rsidRPr="005E4BEA" w14:paraId="33C680BB" w14:textId="77777777" w:rsidTr="0016774B">
        <w:trPr>
          <w:trHeight w:val="113"/>
        </w:trPr>
        <w:tc>
          <w:tcPr>
            <w:tcW w:w="5098" w:type="dxa"/>
            <w:shd w:val="clear" w:color="auto" w:fill="auto"/>
            <w:hideMark/>
          </w:tcPr>
          <w:p w14:paraId="13262C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 Jožeta Potrate Žalec</w:t>
            </w:r>
          </w:p>
        </w:tc>
        <w:tc>
          <w:tcPr>
            <w:tcW w:w="171" w:type="dxa"/>
            <w:shd w:val="clear" w:color="auto" w:fill="auto"/>
            <w:noWrap/>
            <w:hideMark/>
          </w:tcPr>
          <w:p w14:paraId="3A8266D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211.720</w:t>
            </w:r>
          </w:p>
        </w:tc>
        <w:tc>
          <w:tcPr>
            <w:tcW w:w="1098" w:type="dxa"/>
            <w:shd w:val="clear" w:color="auto" w:fill="auto"/>
            <w:noWrap/>
            <w:hideMark/>
          </w:tcPr>
          <w:p w14:paraId="37AF8C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219.040</w:t>
            </w:r>
          </w:p>
        </w:tc>
        <w:tc>
          <w:tcPr>
            <w:tcW w:w="960" w:type="dxa"/>
            <w:shd w:val="clear" w:color="auto" w:fill="auto"/>
            <w:noWrap/>
            <w:hideMark/>
          </w:tcPr>
          <w:p w14:paraId="64B5F6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-7.320</w:t>
            </w:r>
          </w:p>
        </w:tc>
      </w:tr>
      <w:tr w:rsidR="00FE461F" w:rsidRPr="005E4BEA" w14:paraId="58EC285C" w14:textId="77777777" w:rsidTr="0016774B">
        <w:trPr>
          <w:trHeight w:val="113"/>
        </w:trPr>
        <w:tc>
          <w:tcPr>
            <w:tcW w:w="5098" w:type="dxa"/>
            <w:shd w:val="clear" w:color="auto" w:fill="auto"/>
            <w:hideMark/>
          </w:tcPr>
          <w:p w14:paraId="61454CE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Šmarje pri Jelšah</w:t>
            </w:r>
          </w:p>
        </w:tc>
        <w:tc>
          <w:tcPr>
            <w:tcW w:w="171" w:type="dxa"/>
            <w:shd w:val="clear" w:color="auto" w:fill="auto"/>
            <w:noWrap/>
            <w:vAlign w:val="bottom"/>
            <w:hideMark/>
          </w:tcPr>
          <w:p w14:paraId="3AA3A13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468.188</w:t>
            </w:r>
          </w:p>
        </w:tc>
        <w:tc>
          <w:tcPr>
            <w:tcW w:w="1098" w:type="dxa"/>
            <w:shd w:val="clear" w:color="auto" w:fill="auto"/>
            <w:noWrap/>
            <w:vAlign w:val="bottom"/>
            <w:hideMark/>
          </w:tcPr>
          <w:p w14:paraId="326BB0E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501.669</w:t>
            </w:r>
          </w:p>
        </w:tc>
        <w:tc>
          <w:tcPr>
            <w:tcW w:w="960" w:type="dxa"/>
            <w:shd w:val="clear" w:color="auto" w:fill="auto"/>
            <w:noWrap/>
            <w:vAlign w:val="bottom"/>
            <w:hideMark/>
          </w:tcPr>
          <w:p w14:paraId="686DD7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-33.481</w:t>
            </w:r>
          </w:p>
        </w:tc>
      </w:tr>
      <w:tr w:rsidR="00FE461F" w:rsidRPr="005E4BEA" w14:paraId="07C9AA64" w14:textId="77777777" w:rsidTr="0016774B">
        <w:trPr>
          <w:trHeight w:val="113"/>
        </w:trPr>
        <w:tc>
          <w:tcPr>
            <w:tcW w:w="5098" w:type="dxa"/>
            <w:shd w:val="clear" w:color="auto" w:fill="auto"/>
            <w:hideMark/>
          </w:tcPr>
          <w:p w14:paraId="76D52AE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Koper</w:t>
            </w:r>
          </w:p>
        </w:tc>
        <w:tc>
          <w:tcPr>
            <w:tcW w:w="171" w:type="dxa"/>
            <w:shd w:val="clear" w:color="auto" w:fill="auto"/>
            <w:noWrap/>
            <w:vAlign w:val="bottom"/>
            <w:hideMark/>
          </w:tcPr>
          <w:p w14:paraId="6ADB1BA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404.288</w:t>
            </w:r>
          </w:p>
        </w:tc>
        <w:tc>
          <w:tcPr>
            <w:tcW w:w="1098" w:type="dxa"/>
            <w:shd w:val="clear" w:color="auto" w:fill="auto"/>
            <w:noWrap/>
            <w:vAlign w:val="bottom"/>
            <w:hideMark/>
          </w:tcPr>
          <w:p w14:paraId="72C0EA1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402.844</w:t>
            </w:r>
          </w:p>
        </w:tc>
        <w:tc>
          <w:tcPr>
            <w:tcW w:w="960" w:type="dxa"/>
            <w:shd w:val="clear" w:color="auto" w:fill="auto"/>
            <w:noWrap/>
            <w:vAlign w:val="bottom"/>
            <w:hideMark/>
          </w:tcPr>
          <w:p w14:paraId="6DE1BA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1.444</w:t>
            </w:r>
          </w:p>
        </w:tc>
      </w:tr>
      <w:tr w:rsidR="00FE461F" w:rsidRPr="005E4BEA" w14:paraId="60E5C55D" w14:textId="77777777" w:rsidTr="0016774B">
        <w:trPr>
          <w:trHeight w:val="113"/>
        </w:trPr>
        <w:tc>
          <w:tcPr>
            <w:tcW w:w="5098" w:type="dxa"/>
            <w:shd w:val="clear" w:color="auto" w:fill="auto"/>
            <w:hideMark/>
          </w:tcPr>
          <w:p w14:paraId="5E9A818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Izola</w:t>
            </w:r>
          </w:p>
        </w:tc>
        <w:tc>
          <w:tcPr>
            <w:tcW w:w="171" w:type="dxa"/>
            <w:shd w:val="clear" w:color="auto" w:fill="auto"/>
            <w:noWrap/>
            <w:vAlign w:val="bottom"/>
            <w:hideMark/>
          </w:tcPr>
          <w:p w14:paraId="6868625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234.881</w:t>
            </w:r>
          </w:p>
        </w:tc>
        <w:tc>
          <w:tcPr>
            <w:tcW w:w="1098" w:type="dxa"/>
            <w:shd w:val="clear" w:color="auto" w:fill="auto"/>
            <w:noWrap/>
            <w:vAlign w:val="bottom"/>
            <w:hideMark/>
          </w:tcPr>
          <w:p w14:paraId="0791DAA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312.990</w:t>
            </w:r>
          </w:p>
        </w:tc>
        <w:tc>
          <w:tcPr>
            <w:tcW w:w="960" w:type="dxa"/>
            <w:shd w:val="clear" w:color="auto" w:fill="auto"/>
            <w:noWrap/>
            <w:vAlign w:val="bottom"/>
            <w:hideMark/>
          </w:tcPr>
          <w:p w14:paraId="017E2F3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-78.109</w:t>
            </w:r>
          </w:p>
        </w:tc>
      </w:tr>
      <w:tr w:rsidR="00FE461F" w:rsidRPr="005E4BEA" w14:paraId="125DE120" w14:textId="77777777" w:rsidTr="0016774B">
        <w:trPr>
          <w:trHeight w:val="113"/>
        </w:trPr>
        <w:tc>
          <w:tcPr>
            <w:tcW w:w="5098" w:type="dxa"/>
            <w:shd w:val="clear" w:color="auto" w:fill="auto"/>
            <w:hideMark/>
          </w:tcPr>
          <w:p w14:paraId="69D17B1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Piran</w:t>
            </w:r>
          </w:p>
        </w:tc>
        <w:tc>
          <w:tcPr>
            <w:tcW w:w="171" w:type="dxa"/>
            <w:shd w:val="clear" w:color="auto" w:fill="auto"/>
            <w:noWrap/>
            <w:vAlign w:val="bottom"/>
            <w:hideMark/>
          </w:tcPr>
          <w:p w14:paraId="246B314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99.322</w:t>
            </w:r>
          </w:p>
        </w:tc>
        <w:tc>
          <w:tcPr>
            <w:tcW w:w="1098" w:type="dxa"/>
            <w:shd w:val="clear" w:color="auto" w:fill="auto"/>
            <w:noWrap/>
            <w:vAlign w:val="bottom"/>
            <w:hideMark/>
          </w:tcPr>
          <w:p w14:paraId="3F4DBB5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116.510</w:t>
            </w:r>
          </w:p>
        </w:tc>
        <w:tc>
          <w:tcPr>
            <w:tcW w:w="960" w:type="dxa"/>
            <w:shd w:val="clear" w:color="auto" w:fill="auto"/>
            <w:noWrap/>
            <w:vAlign w:val="bottom"/>
            <w:hideMark/>
          </w:tcPr>
          <w:p w14:paraId="2419F1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-17.188</w:t>
            </w:r>
          </w:p>
        </w:tc>
      </w:tr>
      <w:tr w:rsidR="00FE461F" w:rsidRPr="005E4BEA" w14:paraId="5A50C5B8" w14:textId="77777777" w:rsidTr="0016774B">
        <w:trPr>
          <w:trHeight w:val="113"/>
        </w:trPr>
        <w:tc>
          <w:tcPr>
            <w:tcW w:w="5098" w:type="dxa"/>
            <w:shd w:val="clear" w:color="auto" w:fill="auto"/>
            <w:hideMark/>
          </w:tcPr>
          <w:p w14:paraId="36923D1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 Franca Ambrožiča Postojna</w:t>
            </w:r>
          </w:p>
        </w:tc>
        <w:tc>
          <w:tcPr>
            <w:tcW w:w="171" w:type="dxa"/>
            <w:shd w:val="clear" w:color="auto" w:fill="auto"/>
            <w:noWrap/>
            <w:hideMark/>
          </w:tcPr>
          <w:p w14:paraId="233DE17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285.169</w:t>
            </w:r>
          </w:p>
        </w:tc>
        <w:tc>
          <w:tcPr>
            <w:tcW w:w="1098" w:type="dxa"/>
            <w:shd w:val="clear" w:color="auto" w:fill="auto"/>
            <w:noWrap/>
            <w:hideMark/>
          </w:tcPr>
          <w:p w14:paraId="17FE4FD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425.599</w:t>
            </w:r>
          </w:p>
        </w:tc>
        <w:tc>
          <w:tcPr>
            <w:tcW w:w="960" w:type="dxa"/>
            <w:shd w:val="clear" w:color="auto" w:fill="auto"/>
            <w:noWrap/>
            <w:hideMark/>
          </w:tcPr>
          <w:p w14:paraId="124ACAB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-140.430</w:t>
            </w:r>
          </w:p>
        </w:tc>
      </w:tr>
      <w:tr w:rsidR="00FE461F" w:rsidRPr="005E4BEA" w14:paraId="6BFC96A1" w14:textId="77777777" w:rsidTr="0016774B">
        <w:trPr>
          <w:trHeight w:val="113"/>
        </w:trPr>
        <w:tc>
          <w:tcPr>
            <w:tcW w:w="5098" w:type="dxa"/>
            <w:shd w:val="clear" w:color="auto" w:fill="auto"/>
            <w:hideMark/>
          </w:tcPr>
          <w:p w14:paraId="67BE16D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Ilirska Bistrica</w:t>
            </w:r>
          </w:p>
        </w:tc>
        <w:tc>
          <w:tcPr>
            <w:tcW w:w="171" w:type="dxa"/>
            <w:shd w:val="clear" w:color="auto" w:fill="auto"/>
            <w:noWrap/>
            <w:vAlign w:val="bottom"/>
            <w:hideMark/>
          </w:tcPr>
          <w:p w14:paraId="027FC8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181.171</w:t>
            </w:r>
          </w:p>
        </w:tc>
        <w:tc>
          <w:tcPr>
            <w:tcW w:w="1098" w:type="dxa"/>
            <w:shd w:val="clear" w:color="auto" w:fill="auto"/>
            <w:noWrap/>
            <w:vAlign w:val="bottom"/>
            <w:hideMark/>
          </w:tcPr>
          <w:p w14:paraId="7B46E98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281.824</w:t>
            </w:r>
          </w:p>
        </w:tc>
        <w:tc>
          <w:tcPr>
            <w:tcW w:w="960" w:type="dxa"/>
            <w:shd w:val="clear" w:color="auto" w:fill="auto"/>
            <w:noWrap/>
            <w:vAlign w:val="bottom"/>
            <w:hideMark/>
          </w:tcPr>
          <w:p w14:paraId="6A7A2C2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-100.653</w:t>
            </w:r>
          </w:p>
        </w:tc>
      </w:tr>
      <w:tr w:rsidR="00FE461F" w:rsidRPr="005E4BEA" w14:paraId="77659A73" w14:textId="77777777" w:rsidTr="0016774B">
        <w:trPr>
          <w:trHeight w:val="113"/>
        </w:trPr>
        <w:tc>
          <w:tcPr>
            <w:tcW w:w="5098" w:type="dxa"/>
            <w:shd w:val="clear" w:color="auto" w:fill="auto"/>
            <w:hideMark/>
          </w:tcPr>
          <w:p w14:paraId="542B7CB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Sežana</w:t>
            </w:r>
          </w:p>
        </w:tc>
        <w:tc>
          <w:tcPr>
            <w:tcW w:w="171" w:type="dxa"/>
            <w:shd w:val="clear" w:color="auto" w:fill="auto"/>
            <w:noWrap/>
            <w:vAlign w:val="bottom"/>
            <w:hideMark/>
          </w:tcPr>
          <w:p w14:paraId="235D98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251.370</w:t>
            </w:r>
          </w:p>
        </w:tc>
        <w:tc>
          <w:tcPr>
            <w:tcW w:w="1098" w:type="dxa"/>
            <w:shd w:val="clear" w:color="auto" w:fill="auto"/>
            <w:noWrap/>
            <w:vAlign w:val="bottom"/>
            <w:hideMark/>
          </w:tcPr>
          <w:p w14:paraId="58B832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471.424</w:t>
            </w:r>
          </w:p>
        </w:tc>
        <w:tc>
          <w:tcPr>
            <w:tcW w:w="960" w:type="dxa"/>
            <w:shd w:val="clear" w:color="auto" w:fill="auto"/>
            <w:noWrap/>
            <w:vAlign w:val="bottom"/>
            <w:hideMark/>
          </w:tcPr>
          <w:p w14:paraId="2D6784F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-220.054</w:t>
            </w:r>
          </w:p>
        </w:tc>
      </w:tr>
      <w:tr w:rsidR="00FE461F" w:rsidRPr="005E4BEA" w14:paraId="2D14318A" w14:textId="77777777" w:rsidTr="0016774B">
        <w:trPr>
          <w:trHeight w:val="113"/>
        </w:trPr>
        <w:tc>
          <w:tcPr>
            <w:tcW w:w="5098" w:type="dxa"/>
            <w:shd w:val="clear" w:color="auto" w:fill="auto"/>
            <w:hideMark/>
          </w:tcPr>
          <w:p w14:paraId="0FE324F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Osnovno zdravstvo Gorenjske Kranj</w:t>
            </w:r>
          </w:p>
        </w:tc>
        <w:tc>
          <w:tcPr>
            <w:tcW w:w="171" w:type="dxa"/>
            <w:shd w:val="clear" w:color="auto" w:fill="auto"/>
            <w:noWrap/>
            <w:vAlign w:val="bottom"/>
            <w:hideMark/>
          </w:tcPr>
          <w:p w14:paraId="180ED77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1.917.059</w:t>
            </w:r>
          </w:p>
        </w:tc>
        <w:tc>
          <w:tcPr>
            <w:tcW w:w="1098" w:type="dxa"/>
            <w:shd w:val="clear" w:color="auto" w:fill="auto"/>
            <w:noWrap/>
            <w:vAlign w:val="bottom"/>
            <w:hideMark/>
          </w:tcPr>
          <w:p w14:paraId="0C6C32F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2.559.967</w:t>
            </w:r>
          </w:p>
        </w:tc>
        <w:tc>
          <w:tcPr>
            <w:tcW w:w="960" w:type="dxa"/>
            <w:shd w:val="clear" w:color="auto" w:fill="auto"/>
            <w:noWrap/>
            <w:vAlign w:val="bottom"/>
            <w:hideMark/>
          </w:tcPr>
          <w:p w14:paraId="2DEB0B1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-642.908</w:t>
            </w:r>
          </w:p>
        </w:tc>
      </w:tr>
      <w:tr w:rsidR="00FE461F" w:rsidRPr="005E4BEA" w14:paraId="5243B0C3" w14:textId="77777777" w:rsidTr="0016774B">
        <w:trPr>
          <w:trHeight w:val="113"/>
        </w:trPr>
        <w:tc>
          <w:tcPr>
            <w:tcW w:w="5098" w:type="dxa"/>
            <w:shd w:val="clear" w:color="auto" w:fill="auto"/>
            <w:hideMark/>
          </w:tcPr>
          <w:p w14:paraId="7ABD54F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Brežice</w:t>
            </w:r>
          </w:p>
        </w:tc>
        <w:tc>
          <w:tcPr>
            <w:tcW w:w="171" w:type="dxa"/>
            <w:shd w:val="clear" w:color="auto" w:fill="auto"/>
            <w:noWrap/>
            <w:vAlign w:val="bottom"/>
            <w:hideMark/>
          </w:tcPr>
          <w:p w14:paraId="4C71A62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301.583</w:t>
            </w:r>
          </w:p>
        </w:tc>
        <w:tc>
          <w:tcPr>
            <w:tcW w:w="1098" w:type="dxa"/>
            <w:shd w:val="clear" w:color="auto" w:fill="auto"/>
            <w:noWrap/>
            <w:vAlign w:val="bottom"/>
            <w:hideMark/>
          </w:tcPr>
          <w:p w14:paraId="3EFF19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394.414</w:t>
            </w:r>
          </w:p>
        </w:tc>
        <w:tc>
          <w:tcPr>
            <w:tcW w:w="960" w:type="dxa"/>
            <w:shd w:val="clear" w:color="auto" w:fill="auto"/>
            <w:noWrap/>
            <w:vAlign w:val="bottom"/>
            <w:hideMark/>
          </w:tcPr>
          <w:p w14:paraId="5B832C3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-92.831</w:t>
            </w:r>
          </w:p>
        </w:tc>
      </w:tr>
      <w:tr w:rsidR="00FE461F" w:rsidRPr="005E4BEA" w14:paraId="6F97041A" w14:textId="77777777" w:rsidTr="0016774B">
        <w:trPr>
          <w:trHeight w:val="113"/>
        </w:trPr>
        <w:tc>
          <w:tcPr>
            <w:tcW w:w="5098" w:type="dxa"/>
            <w:shd w:val="clear" w:color="auto" w:fill="auto"/>
            <w:hideMark/>
          </w:tcPr>
          <w:p w14:paraId="09E11B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Sevnica</w:t>
            </w:r>
          </w:p>
        </w:tc>
        <w:tc>
          <w:tcPr>
            <w:tcW w:w="171" w:type="dxa"/>
            <w:shd w:val="clear" w:color="auto" w:fill="auto"/>
            <w:noWrap/>
            <w:vAlign w:val="bottom"/>
            <w:hideMark/>
          </w:tcPr>
          <w:p w14:paraId="1BF9534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321.139</w:t>
            </w:r>
          </w:p>
        </w:tc>
        <w:tc>
          <w:tcPr>
            <w:tcW w:w="1098" w:type="dxa"/>
            <w:shd w:val="clear" w:color="auto" w:fill="auto"/>
            <w:noWrap/>
            <w:vAlign w:val="bottom"/>
            <w:hideMark/>
          </w:tcPr>
          <w:p w14:paraId="46FD82A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460.725</w:t>
            </w:r>
          </w:p>
        </w:tc>
        <w:tc>
          <w:tcPr>
            <w:tcW w:w="960" w:type="dxa"/>
            <w:shd w:val="clear" w:color="auto" w:fill="auto"/>
            <w:noWrap/>
            <w:vAlign w:val="bottom"/>
            <w:hideMark/>
          </w:tcPr>
          <w:p w14:paraId="0689CD5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-139.586</w:t>
            </w:r>
          </w:p>
        </w:tc>
      </w:tr>
      <w:tr w:rsidR="00FE461F" w:rsidRPr="005E4BEA" w14:paraId="3032700E" w14:textId="77777777" w:rsidTr="0016774B">
        <w:trPr>
          <w:trHeight w:val="113"/>
        </w:trPr>
        <w:tc>
          <w:tcPr>
            <w:tcW w:w="5098" w:type="dxa"/>
            <w:shd w:val="clear" w:color="auto" w:fill="auto"/>
            <w:hideMark/>
          </w:tcPr>
          <w:p w14:paraId="0F854B9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Krško</w:t>
            </w:r>
          </w:p>
        </w:tc>
        <w:tc>
          <w:tcPr>
            <w:tcW w:w="171" w:type="dxa"/>
            <w:shd w:val="clear" w:color="auto" w:fill="auto"/>
            <w:noWrap/>
            <w:vAlign w:val="bottom"/>
            <w:hideMark/>
          </w:tcPr>
          <w:p w14:paraId="07B09F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263.971</w:t>
            </w:r>
          </w:p>
        </w:tc>
        <w:tc>
          <w:tcPr>
            <w:tcW w:w="1098" w:type="dxa"/>
            <w:shd w:val="clear" w:color="auto" w:fill="auto"/>
            <w:noWrap/>
            <w:vAlign w:val="bottom"/>
            <w:hideMark/>
          </w:tcPr>
          <w:p w14:paraId="1DDE9A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474.942</w:t>
            </w:r>
          </w:p>
        </w:tc>
        <w:tc>
          <w:tcPr>
            <w:tcW w:w="960" w:type="dxa"/>
            <w:shd w:val="clear" w:color="auto" w:fill="auto"/>
            <w:noWrap/>
            <w:vAlign w:val="bottom"/>
            <w:hideMark/>
          </w:tcPr>
          <w:p w14:paraId="7FDF2F9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-210.971</w:t>
            </w:r>
          </w:p>
        </w:tc>
      </w:tr>
      <w:tr w:rsidR="00FE461F" w:rsidRPr="005E4BEA" w14:paraId="3F0A6727" w14:textId="77777777" w:rsidTr="0016774B">
        <w:trPr>
          <w:trHeight w:val="113"/>
        </w:trPr>
        <w:tc>
          <w:tcPr>
            <w:tcW w:w="5098" w:type="dxa"/>
            <w:shd w:val="clear" w:color="auto" w:fill="auto"/>
            <w:hideMark/>
          </w:tcPr>
          <w:p w14:paraId="1A0190A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Ljubljana</w:t>
            </w:r>
          </w:p>
        </w:tc>
        <w:tc>
          <w:tcPr>
            <w:tcW w:w="171" w:type="dxa"/>
            <w:shd w:val="clear" w:color="auto" w:fill="auto"/>
            <w:noWrap/>
            <w:vAlign w:val="bottom"/>
            <w:hideMark/>
          </w:tcPr>
          <w:p w14:paraId="4916CF5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2.433.640</w:t>
            </w:r>
          </w:p>
        </w:tc>
        <w:tc>
          <w:tcPr>
            <w:tcW w:w="1098" w:type="dxa"/>
            <w:shd w:val="clear" w:color="auto" w:fill="auto"/>
            <w:noWrap/>
            <w:vAlign w:val="bottom"/>
            <w:hideMark/>
          </w:tcPr>
          <w:p w14:paraId="0B1C84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2.902.365</w:t>
            </w:r>
          </w:p>
        </w:tc>
        <w:tc>
          <w:tcPr>
            <w:tcW w:w="960" w:type="dxa"/>
            <w:shd w:val="clear" w:color="auto" w:fill="auto"/>
            <w:noWrap/>
            <w:vAlign w:val="bottom"/>
            <w:hideMark/>
          </w:tcPr>
          <w:p w14:paraId="601920C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-468.725</w:t>
            </w:r>
          </w:p>
        </w:tc>
      </w:tr>
      <w:tr w:rsidR="00FE461F" w:rsidRPr="005E4BEA" w14:paraId="2317B667" w14:textId="77777777" w:rsidTr="0016774B">
        <w:trPr>
          <w:trHeight w:val="113"/>
        </w:trPr>
        <w:tc>
          <w:tcPr>
            <w:tcW w:w="5098" w:type="dxa"/>
            <w:shd w:val="clear" w:color="auto" w:fill="auto"/>
            <w:hideMark/>
          </w:tcPr>
          <w:p w14:paraId="0D24113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Grosuplje</w:t>
            </w:r>
          </w:p>
        </w:tc>
        <w:tc>
          <w:tcPr>
            <w:tcW w:w="171" w:type="dxa"/>
            <w:shd w:val="clear" w:color="auto" w:fill="auto"/>
            <w:noWrap/>
            <w:vAlign w:val="bottom"/>
            <w:hideMark/>
          </w:tcPr>
          <w:p w14:paraId="3BB65BB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100.148</w:t>
            </w:r>
          </w:p>
        </w:tc>
        <w:tc>
          <w:tcPr>
            <w:tcW w:w="1098" w:type="dxa"/>
            <w:shd w:val="clear" w:color="auto" w:fill="auto"/>
            <w:noWrap/>
            <w:vAlign w:val="bottom"/>
            <w:hideMark/>
          </w:tcPr>
          <w:p w14:paraId="5DE8DC9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311.798</w:t>
            </w:r>
          </w:p>
        </w:tc>
        <w:tc>
          <w:tcPr>
            <w:tcW w:w="960" w:type="dxa"/>
            <w:shd w:val="clear" w:color="auto" w:fill="auto"/>
            <w:noWrap/>
            <w:vAlign w:val="bottom"/>
            <w:hideMark/>
          </w:tcPr>
          <w:p w14:paraId="49642C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-211.650</w:t>
            </w:r>
          </w:p>
        </w:tc>
      </w:tr>
      <w:tr w:rsidR="00FE461F" w:rsidRPr="005E4BEA" w14:paraId="7EC627E1" w14:textId="77777777" w:rsidTr="0016774B">
        <w:trPr>
          <w:trHeight w:val="113"/>
        </w:trPr>
        <w:tc>
          <w:tcPr>
            <w:tcW w:w="5098" w:type="dxa"/>
            <w:shd w:val="clear" w:color="auto" w:fill="auto"/>
            <w:hideMark/>
          </w:tcPr>
          <w:p w14:paraId="5FBD3F8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Ivančna Gorica</w:t>
            </w:r>
          </w:p>
        </w:tc>
        <w:tc>
          <w:tcPr>
            <w:tcW w:w="171" w:type="dxa"/>
            <w:shd w:val="clear" w:color="auto" w:fill="auto"/>
            <w:noWrap/>
            <w:vAlign w:val="bottom"/>
            <w:hideMark/>
          </w:tcPr>
          <w:p w14:paraId="7A3BA53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140.331</w:t>
            </w:r>
          </w:p>
        </w:tc>
        <w:tc>
          <w:tcPr>
            <w:tcW w:w="1098" w:type="dxa"/>
            <w:shd w:val="clear" w:color="auto" w:fill="auto"/>
            <w:noWrap/>
            <w:vAlign w:val="bottom"/>
            <w:hideMark/>
          </w:tcPr>
          <w:p w14:paraId="5D3D1F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89.732</w:t>
            </w:r>
          </w:p>
        </w:tc>
        <w:tc>
          <w:tcPr>
            <w:tcW w:w="960" w:type="dxa"/>
            <w:shd w:val="clear" w:color="auto" w:fill="auto"/>
            <w:noWrap/>
            <w:vAlign w:val="bottom"/>
            <w:hideMark/>
          </w:tcPr>
          <w:p w14:paraId="0CF3C48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50.599</w:t>
            </w:r>
          </w:p>
        </w:tc>
      </w:tr>
      <w:tr w:rsidR="00FE461F" w:rsidRPr="005E4BEA" w14:paraId="3792AC5E" w14:textId="77777777" w:rsidTr="0016774B">
        <w:trPr>
          <w:trHeight w:val="113"/>
        </w:trPr>
        <w:tc>
          <w:tcPr>
            <w:tcW w:w="5098" w:type="dxa"/>
            <w:shd w:val="clear" w:color="auto" w:fill="auto"/>
            <w:hideMark/>
          </w:tcPr>
          <w:p w14:paraId="12F4EA9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Medvode</w:t>
            </w:r>
          </w:p>
        </w:tc>
        <w:tc>
          <w:tcPr>
            <w:tcW w:w="171" w:type="dxa"/>
            <w:shd w:val="clear" w:color="auto" w:fill="auto"/>
            <w:noWrap/>
            <w:vAlign w:val="bottom"/>
            <w:hideMark/>
          </w:tcPr>
          <w:p w14:paraId="58D83C1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156.518</w:t>
            </w:r>
          </w:p>
        </w:tc>
        <w:tc>
          <w:tcPr>
            <w:tcW w:w="1098" w:type="dxa"/>
            <w:shd w:val="clear" w:color="auto" w:fill="auto"/>
            <w:noWrap/>
            <w:vAlign w:val="bottom"/>
            <w:hideMark/>
          </w:tcPr>
          <w:p w14:paraId="7A86B9D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151.050</w:t>
            </w:r>
          </w:p>
        </w:tc>
        <w:tc>
          <w:tcPr>
            <w:tcW w:w="960" w:type="dxa"/>
            <w:shd w:val="clear" w:color="auto" w:fill="auto"/>
            <w:noWrap/>
            <w:vAlign w:val="bottom"/>
            <w:hideMark/>
          </w:tcPr>
          <w:p w14:paraId="1D9350E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5.468</w:t>
            </w:r>
          </w:p>
        </w:tc>
      </w:tr>
      <w:tr w:rsidR="00FE461F" w:rsidRPr="005E4BEA" w14:paraId="1EE1DDA0" w14:textId="77777777" w:rsidTr="0016774B">
        <w:trPr>
          <w:trHeight w:val="113"/>
        </w:trPr>
        <w:tc>
          <w:tcPr>
            <w:tcW w:w="5098" w:type="dxa"/>
            <w:shd w:val="clear" w:color="auto" w:fill="auto"/>
            <w:hideMark/>
          </w:tcPr>
          <w:p w14:paraId="10EB69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za študente Univerze v Ljubljani</w:t>
            </w:r>
          </w:p>
        </w:tc>
        <w:tc>
          <w:tcPr>
            <w:tcW w:w="171" w:type="dxa"/>
            <w:shd w:val="clear" w:color="auto" w:fill="auto"/>
            <w:noWrap/>
            <w:hideMark/>
          </w:tcPr>
          <w:p w14:paraId="32473E5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81.857</w:t>
            </w:r>
          </w:p>
        </w:tc>
        <w:tc>
          <w:tcPr>
            <w:tcW w:w="1098" w:type="dxa"/>
            <w:shd w:val="clear" w:color="auto" w:fill="auto"/>
            <w:noWrap/>
            <w:hideMark/>
          </w:tcPr>
          <w:p w14:paraId="722F20B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84.134</w:t>
            </w:r>
          </w:p>
        </w:tc>
        <w:tc>
          <w:tcPr>
            <w:tcW w:w="960" w:type="dxa"/>
            <w:shd w:val="clear" w:color="auto" w:fill="auto"/>
            <w:noWrap/>
            <w:hideMark/>
          </w:tcPr>
          <w:p w14:paraId="1505E9A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-2.277</w:t>
            </w:r>
          </w:p>
        </w:tc>
      </w:tr>
      <w:tr w:rsidR="00FE461F" w:rsidRPr="005E4BEA" w14:paraId="684F6054" w14:textId="77777777" w:rsidTr="0016774B">
        <w:trPr>
          <w:trHeight w:val="113"/>
        </w:trPr>
        <w:tc>
          <w:tcPr>
            <w:tcW w:w="5098" w:type="dxa"/>
            <w:shd w:val="clear" w:color="auto" w:fill="auto"/>
            <w:hideMark/>
          </w:tcPr>
          <w:p w14:paraId="5A0005C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Domžale</w:t>
            </w:r>
          </w:p>
        </w:tc>
        <w:tc>
          <w:tcPr>
            <w:tcW w:w="171" w:type="dxa"/>
            <w:shd w:val="clear" w:color="auto" w:fill="auto"/>
            <w:noWrap/>
            <w:vAlign w:val="bottom"/>
            <w:hideMark/>
          </w:tcPr>
          <w:p w14:paraId="4DEBC95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598.062</w:t>
            </w:r>
          </w:p>
        </w:tc>
        <w:tc>
          <w:tcPr>
            <w:tcW w:w="1098" w:type="dxa"/>
            <w:shd w:val="clear" w:color="auto" w:fill="auto"/>
            <w:noWrap/>
            <w:vAlign w:val="bottom"/>
            <w:hideMark/>
          </w:tcPr>
          <w:p w14:paraId="6998D59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511.602</w:t>
            </w:r>
          </w:p>
        </w:tc>
        <w:tc>
          <w:tcPr>
            <w:tcW w:w="960" w:type="dxa"/>
            <w:shd w:val="clear" w:color="auto" w:fill="auto"/>
            <w:noWrap/>
            <w:vAlign w:val="bottom"/>
            <w:hideMark/>
          </w:tcPr>
          <w:p w14:paraId="2746F5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86.460</w:t>
            </w:r>
          </w:p>
        </w:tc>
      </w:tr>
      <w:tr w:rsidR="00FE461F" w:rsidRPr="005E4BEA" w14:paraId="5FEE5261" w14:textId="77777777" w:rsidTr="0016774B">
        <w:trPr>
          <w:trHeight w:val="113"/>
        </w:trPr>
        <w:tc>
          <w:tcPr>
            <w:tcW w:w="5098" w:type="dxa"/>
            <w:shd w:val="clear" w:color="auto" w:fill="auto"/>
            <w:hideMark/>
          </w:tcPr>
          <w:p w14:paraId="482F679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 Julija Polca Kamnik</w:t>
            </w:r>
          </w:p>
        </w:tc>
        <w:tc>
          <w:tcPr>
            <w:tcW w:w="171" w:type="dxa"/>
            <w:shd w:val="clear" w:color="auto" w:fill="auto"/>
            <w:noWrap/>
            <w:vAlign w:val="bottom"/>
            <w:hideMark/>
          </w:tcPr>
          <w:p w14:paraId="5DA59C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327.476</w:t>
            </w:r>
          </w:p>
        </w:tc>
        <w:tc>
          <w:tcPr>
            <w:tcW w:w="1098" w:type="dxa"/>
            <w:shd w:val="clear" w:color="auto" w:fill="auto"/>
            <w:noWrap/>
            <w:vAlign w:val="bottom"/>
            <w:hideMark/>
          </w:tcPr>
          <w:p w14:paraId="35770D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431.852</w:t>
            </w:r>
          </w:p>
        </w:tc>
        <w:tc>
          <w:tcPr>
            <w:tcW w:w="960" w:type="dxa"/>
            <w:shd w:val="clear" w:color="auto" w:fill="auto"/>
            <w:noWrap/>
            <w:vAlign w:val="bottom"/>
            <w:hideMark/>
          </w:tcPr>
          <w:p w14:paraId="334B043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-104.376</w:t>
            </w:r>
          </w:p>
        </w:tc>
      </w:tr>
      <w:tr w:rsidR="00FE461F" w:rsidRPr="005E4BEA" w14:paraId="6C46F43A" w14:textId="77777777" w:rsidTr="0016774B">
        <w:trPr>
          <w:trHeight w:val="113"/>
        </w:trPr>
        <w:tc>
          <w:tcPr>
            <w:tcW w:w="5098" w:type="dxa"/>
            <w:shd w:val="clear" w:color="auto" w:fill="auto"/>
            <w:hideMark/>
          </w:tcPr>
          <w:p w14:paraId="54DB323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Litija</w:t>
            </w:r>
          </w:p>
        </w:tc>
        <w:tc>
          <w:tcPr>
            <w:tcW w:w="171" w:type="dxa"/>
            <w:shd w:val="clear" w:color="auto" w:fill="auto"/>
            <w:noWrap/>
            <w:vAlign w:val="bottom"/>
            <w:hideMark/>
          </w:tcPr>
          <w:p w14:paraId="7823810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184.845</w:t>
            </w:r>
          </w:p>
        </w:tc>
        <w:tc>
          <w:tcPr>
            <w:tcW w:w="1098" w:type="dxa"/>
            <w:shd w:val="clear" w:color="auto" w:fill="auto"/>
            <w:noWrap/>
            <w:vAlign w:val="bottom"/>
            <w:hideMark/>
          </w:tcPr>
          <w:p w14:paraId="0519400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188.572</w:t>
            </w:r>
          </w:p>
        </w:tc>
        <w:tc>
          <w:tcPr>
            <w:tcW w:w="960" w:type="dxa"/>
            <w:shd w:val="clear" w:color="auto" w:fill="auto"/>
            <w:noWrap/>
            <w:vAlign w:val="bottom"/>
            <w:hideMark/>
          </w:tcPr>
          <w:p w14:paraId="34BA5B2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-3.727</w:t>
            </w:r>
          </w:p>
        </w:tc>
      </w:tr>
      <w:tr w:rsidR="00FE461F" w:rsidRPr="005E4BEA" w14:paraId="04BD8EA7" w14:textId="77777777" w:rsidTr="0016774B">
        <w:trPr>
          <w:trHeight w:val="113"/>
        </w:trPr>
        <w:tc>
          <w:tcPr>
            <w:tcW w:w="5098" w:type="dxa"/>
            <w:shd w:val="clear" w:color="auto" w:fill="auto"/>
            <w:hideMark/>
          </w:tcPr>
          <w:p w14:paraId="79143CD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Kočevje</w:t>
            </w:r>
          </w:p>
        </w:tc>
        <w:tc>
          <w:tcPr>
            <w:tcW w:w="171" w:type="dxa"/>
            <w:shd w:val="clear" w:color="auto" w:fill="auto"/>
            <w:noWrap/>
            <w:vAlign w:val="bottom"/>
            <w:hideMark/>
          </w:tcPr>
          <w:p w14:paraId="186F1A5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237.503</w:t>
            </w:r>
          </w:p>
        </w:tc>
        <w:tc>
          <w:tcPr>
            <w:tcW w:w="1098" w:type="dxa"/>
            <w:shd w:val="clear" w:color="auto" w:fill="auto"/>
            <w:noWrap/>
            <w:vAlign w:val="bottom"/>
            <w:hideMark/>
          </w:tcPr>
          <w:p w14:paraId="7952366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277.740</w:t>
            </w:r>
          </w:p>
        </w:tc>
        <w:tc>
          <w:tcPr>
            <w:tcW w:w="960" w:type="dxa"/>
            <w:shd w:val="clear" w:color="auto" w:fill="auto"/>
            <w:noWrap/>
            <w:vAlign w:val="bottom"/>
            <w:hideMark/>
          </w:tcPr>
          <w:p w14:paraId="61FEBDA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-40.237</w:t>
            </w:r>
          </w:p>
        </w:tc>
      </w:tr>
      <w:tr w:rsidR="00FE461F" w:rsidRPr="005E4BEA" w14:paraId="3BFC217C" w14:textId="77777777" w:rsidTr="0016774B">
        <w:trPr>
          <w:trHeight w:val="113"/>
        </w:trPr>
        <w:tc>
          <w:tcPr>
            <w:tcW w:w="5098" w:type="dxa"/>
            <w:shd w:val="clear" w:color="auto" w:fill="auto"/>
            <w:hideMark/>
          </w:tcPr>
          <w:p w14:paraId="771642E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 Janeza Oražma Ribnica</w:t>
            </w:r>
          </w:p>
        </w:tc>
        <w:tc>
          <w:tcPr>
            <w:tcW w:w="171" w:type="dxa"/>
            <w:shd w:val="clear" w:color="auto" w:fill="auto"/>
            <w:noWrap/>
            <w:hideMark/>
          </w:tcPr>
          <w:p w14:paraId="2C10A40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205.740</w:t>
            </w:r>
          </w:p>
        </w:tc>
        <w:tc>
          <w:tcPr>
            <w:tcW w:w="1098" w:type="dxa"/>
            <w:shd w:val="clear" w:color="auto" w:fill="auto"/>
            <w:noWrap/>
            <w:hideMark/>
          </w:tcPr>
          <w:p w14:paraId="157094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212.896</w:t>
            </w:r>
          </w:p>
        </w:tc>
        <w:tc>
          <w:tcPr>
            <w:tcW w:w="960" w:type="dxa"/>
            <w:shd w:val="clear" w:color="auto" w:fill="auto"/>
            <w:noWrap/>
            <w:hideMark/>
          </w:tcPr>
          <w:p w14:paraId="1AF8204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-7.156</w:t>
            </w:r>
          </w:p>
        </w:tc>
      </w:tr>
      <w:tr w:rsidR="00FE461F" w:rsidRPr="005E4BEA" w14:paraId="5E07BB84" w14:textId="77777777" w:rsidTr="0016774B">
        <w:trPr>
          <w:trHeight w:val="113"/>
        </w:trPr>
        <w:tc>
          <w:tcPr>
            <w:tcW w:w="5098" w:type="dxa"/>
            <w:shd w:val="clear" w:color="auto" w:fill="auto"/>
            <w:hideMark/>
          </w:tcPr>
          <w:p w14:paraId="529D61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Zagorje</w:t>
            </w:r>
          </w:p>
        </w:tc>
        <w:tc>
          <w:tcPr>
            <w:tcW w:w="171" w:type="dxa"/>
            <w:shd w:val="clear" w:color="auto" w:fill="auto"/>
            <w:noWrap/>
            <w:vAlign w:val="bottom"/>
            <w:hideMark/>
          </w:tcPr>
          <w:p w14:paraId="7A9FE7E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172.223</w:t>
            </w:r>
          </w:p>
        </w:tc>
        <w:tc>
          <w:tcPr>
            <w:tcW w:w="1098" w:type="dxa"/>
            <w:shd w:val="clear" w:color="auto" w:fill="auto"/>
            <w:noWrap/>
            <w:vAlign w:val="bottom"/>
            <w:hideMark/>
          </w:tcPr>
          <w:p w14:paraId="638FDEF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166.951</w:t>
            </w:r>
          </w:p>
        </w:tc>
        <w:tc>
          <w:tcPr>
            <w:tcW w:w="960" w:type="dxa"/>
            <w:shd w:val="clear" w:color="auto" w:fill="auto"/>
            <w:noWrap/>
            <w:vAlign w:val="bottom"/>
            <w:hideMark/>
          </w:tcPr>
          <w:p w14:paraId="216941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5.272</w:t>
            </w:r>
          </w:p>
        </w:tc>
      </w:tr>
      <w:tr w:rsidR="00FE461F" w:rsidRPr="005E4BEA" w14:paraId="458CF9BB" w14:textId="77777777" w:rsidTr="0016774B">
        <w:trPr>
          <w:trHeight w:val="113"/>
        </w:trPr>
        <w:tc>
          <w:tcPr>
            <w:tcW w:w="5098" w:type="dxa"/>
            <w:shd w:val="clear" w:color="auto" w:fill="auto"/>
            <w:hideMark/>
          </w:tcPr>
          <w:p w14:paraId="69B1A4B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Trbovlje</w:t>
            </w:r>
          </w:p>
        </w:tc>
        <w:tc>
          <w:tcPr>
            <w:tcW w:w="171" w:type="dxa"/>
            <w:shd w:val="clear" w:color="auto" w:fill="auto"/>
            <w:noWrap/>
            <w:vAlign w:val="bottom"/>
            <w:hideMark/>
          </w:tcPr>
          <w:p w14:paraId="5F092B0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357.324</w:t>
            </w:r>
          </w:p>
        </w:tc>
        <w:tc>
          <w:tcPr>
            <w:tcW w:w="1098" w:type="dxa"/>
            <w:shd w:val="clear" w:color="auto" w:fill="auto"/>
            <w:noWrap/>
            <w:vAlign w:val="bottom"/>
            <w:hideMark/>
          </w:tcPr>
          <w:p w14:paraId="7DC4222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267.251</w:t>
            </w:r>
          </w:p>
        </w:tc>
        <w:tc>
          <w:tcPr>
            <w:tcW w:w="960" w:type="dxa"/>
            <w:shd w:val="clear" w:color="auto" w:fill="auto"/>
            <w:noWrap/>
            <w:vAlign w:val="bottom"/>
            <w:hideMark/>
          </w:tcPr>
          <w:p w14:paraId="685FFD8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90.073</w:t>
            </w:r>
          </w:p>
        </w:tc>
      </w:tr>
      <w:tr w:rsidR="00FE461F" w:rsidRPr="005E4BEA" w14:paraId="0EF29789" w14:textId="77777777" w:rsidTr="0016774B">
        <w:trPr>
          <w:trHeight w:val="113"/>
        </w:trPr>
        <w:tc>
          <w:tcPr>
            <w:tcW w:w="5098" w:type="dxa"/>
            <w:shd w:val="clear" w:color="auto" w:fill="auto"/>
            <w:hideMark/>
          </w:tcPr>
          <w:p w14:paraId="4C5559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Hrastnik</w:t>
            </w:r>
          </w:p>
        </w:tc>
        <w:tc>
          <w:tcPr>
            <w:tcW w:w="171" w:type="dxa"/>
            <w:shd w:val="clear" w:color="auto" w:fill="auto"/>
            <w:noWrap/>
            <w:vAlign w:val="bottom"/>
            <w:hideMark/>
          </w:tcPr>
          <w:p w14:paraId="016298F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82.247</w:t>
            </w:r>
          </w:p>
        </w:tc>
        <w:tc>
          <w:tcPr>
            <w:tcW w:w="1098" w:type="dxa"/>
            <w:shd w:val="clear" w:color="auto" w:fill="auto"/>
            <w:noWrap/>
            <w:vAlign w:val="bottom"/>
            <w:hideMark/>
          </w:tcPr>
          <w:p w14:paraId="3E92010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123.805</w:t>
            </w:r>
          </w:p>
        </w:tc>
        <w:tc>
          <w:tcPr>
            <w:tcW w:w="960" w:type="dxa"/>
            <w:shd w:val="clear" w:color="auto" w:fill="auto"/>
            <w:noWrap/>
            <w:vAlign w:val="bottom"/>
            <w:hideMark/>
          </w:tcPr>
          <w:p w14:paraId="023D91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-41.558</w:t>
            </w:r>
          </w:p>
        </w:tc>
      </w:tr>
      <w:tr w:rsidR="00FE461F" w:rsidRPr="005E4BEA" w14:paraId="0948F825" w14:textId="77777777" w:rsidTr="0016774B">
        <w:trPr>
          <w:trHeight w:val="113"/>
        </w:trPr>
        <w:tc>
          <w:tcPr>
            <w:tcW w:w="5098" w:type="dxa"/>
            <w:shd w:val="clear" w:color="auto" w:fill="auto"/>
            <w:hideMark/>
          </w:tcPr>
          <w:p w14:paraId="0BAC274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Vrhnika</w:t>
            </w:r>
          </w:p>
        </w:tc>
        <w:tc>
          <w:tcPr>
            <w:tcW w:w="171" w:type="dxa"/>
            <w:shd w:val="clear" w:color="auto" w:fill="auto"/>
            <w:noWrap/>
            <w:vAlign w:val="bottom"/>
            <w:hideMark/>
          </w:tcPr>
          <w:p w14:paraId="666ADA3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154.410</w:t>
            </w:r>
          </w:p>
        </w:tc>
        <w:tc>
          <w:tcPr>
            <w:tcW w:w="1098" w:type="dxa"/>
            <w:shd w:val="clear" w:color="auto" w:fill="auto"/>
            <w:noWrap/>
            <w:vAlign w:val="bottom"/>
            <w:hideMark/>
          </w:tcPr>
          <w:p w14:paraId="2C41E4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189.902</w:t>
            </w:r>
          </w:p>
        </w:tc>
        <w:tc>
          <w:tcPr>
            <w:tcW w:w="960" w:type="dxa"/>
            <w:shd w:val="clear" w:color="auto" w:fill="auto"/>
            <w:noWrap/>
            <w:vAlign w:val="bottom"/>
            <w:hideMark/>
          </w:tcPr>
          <w:p w14:paraId="76F3FD4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-35.492</w:t>
            </w:r>
          </w:p>
        </w:tc>
      </w:tr>
      <w:tr w:rsidR="00FE461F" w:rsidRPr="005E4BEA" w14:paraId="433E54A9" w14:textId="77777777" w:rsidTr="0016774B">
        <w:trPr>
          <w:trHeight w:val="113"/>
        </w:trPr>
        <w:tc>
          <w:tcPr>
            <w:tcW w:w="5098" w:type="dxa"/>
            <w:shd w:val="clear" w:color="auto" w:fill="auto"/>
            <w:hideMark/>
          </w:tcPr>
          <w:p w14:paraId="4F646B7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Idrija</w:t>
            </w:r>
          </w:p>
        </w:tc>
        <w:tc>
          <w:tcPr>
            <w:tcW w:w="171" w:type="dxa"/>
            <w:shd w:val="clear" w:color="auto" w:fill="auto"/>
            <w:noWrap/>
            <w:vAlign w:val="bottom"/>
            <w:hideMark/>
          </w:tcPr>
          <w:p w14:paraId="5A7AE3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236.262</w:t>
            </w:r>
          </w:p>
        </w:tc>
        <w:tc>
          <w:tcPr>
            <w:tcW w:w="1098" w:type="dxa"/>
            <w:shd w:val="clear" w:color="auto" w:fill="auto"/>
            <w:noWrap/>
            <w:vAlign w:val="bottom"/>
            <w:hideMark/>
          </w:tcPr>
          <w:p w14:paraId="377AA0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402.515</w:t>
            </w:r>
          </w:p>
        </w:tc>
        <w:tc>
          <w:tcPr>
            <w:tcW w:w="960" w:type="dxa"/>
            <w:shd w:val="clear" w:color="auto" w:fill="auto"/>
            <w:noWrap/>
            <w:vAlign w:val="bottom"/>
            <w:hideMark/>
          </w:tcPr>
          <w:p w14:paraId="76695DB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-166.253</w:t>
            </w:r>
          </w:p>
        </w:tc>
      </w:tr>
      <w:tr w:rsidR="00FE461F" w:rsidRPr="005E4BEA" w14:paraId="2CF2FF0E" w14:textId="77777777" w:rsidTr="0016774B">
        <w:trPr>
          <w:trHeight w:val="113"/>
        </w:trPr>
        <w:tc>
          <w:tcPr>
            <w:tcW w:w="5098" w:type="dxa"/>
            <w:shd w:val="clear" w:color="auto" w:fill="auto"/>
            <w:hideMark/>
          </w:tcPr>
          <w:p w14:paraId="49429D0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Logatec</w:t>
            </w:r>
          </w:p>
        </w:tc>
        <w:tc>
          <w:tcPr>
            <w:tcW w:w="171" w:type="dxa"/>
            <w:shd w:val="clear" w:color="auto" w:fill="auto"/>
            <w:noWrap/>
            <w:vAlign w:val="bottom"/>
            <w:hideMark/>
          </w:tcPr>
          <w:p w14:paraId="1B8DFF6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229.434</w:t>
            </w:r>
          </w:p>
        </w:tc>
        <w:tc>
          <w:tcPr>
            <w:tcW w:w="1098" w:type="dxa"/>
            <w:shd w:val="clear" w:color="auto" w:fill="auto"/>
            <w:noWrap/>
            <w:vAlign w:val="bottom"/>
            <w:hideMark/>
          </w:tcPr>
          <w:p w14:paraId="318B52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298.624</w:t>
            </w:r>
          </w:p>
        </w:tc>
        <w:tc>
          <w:tcPr>
            <w:tcW w:w="960" w:type="dxa"/>
            <w:shd w:val="clear" w:color="auto" w:fill="auto"/>
            <w:noWrap/>
            <w:vAlign w:val="bottom"/>
            <w:hideMark/>
          </w:tcPr>
          <w:p w14:paraId="48E8FB0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-69.190</w:t>
            </w:r>
          </w:p>
        </w:tc>
      </w:tr>
      <w:tr w:rsidR="00FE461F" w:rsidRPr="005E4BEA" w14:paraId="236612C3" w14:textId="77777777" w:rsidTr="0016774B">
        <w:trPr>
          <w:trHeight w:val="113"/>
        </w:trPr>
        <w:tc>
          <w:tcPr>
            <w:tcW w:w="5098" w:type="dxa"/>
            <w:shd w:val="clear" w:color="auto" w:fill="auto"/>
            <w:hideMark/>
          </w:tcPr>
          <w:p w14:paraId="012F88D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 Božidarja Lavriča - Cerknica</w:t>
            </w:r>
          </w:p>
        </w:tc>
        <w:tc>
          <w:tcPr>
            <w:tcW w:w="171" w:type="dxa"/>
            <w:shd w:val="clear" w:color="auto" w:fill="auto"/>
            <w:noWrap/>
            <w:hideMark/>
          </w:tcPr>
          <w:p w14:paraId="17A06D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163.284</w:t>
            </w:r>
          </w:p>
        </w:tc>
        <w:tc>
          <w:tcPr>
            <w:tcW w:w="1098" w:type="dxa"/>
            <w:shd w:val="clear" w:color="auto" w:fill="auto"/>
            <w:noWrap/>
            <w:hideMark/>
          </w:tcPr>
          <w:p w14:paraId="0091DA1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333.506</w:t>
            </w:r>
          </w:p>
        </w:tc>
        <w:tc>
          <w:tcPr>
            <w:tcW w:w="960" w:type="dxa"/>
            <w:shd w:val="clear" w:color="auto" w:fill="auto"/>
            <w:noWrap/>
            <w:hideMark/>
          </w:tcPr>
          <w:p w14:paraId="7668893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-170.222</w:t>
            </w:r>
          </w:p>
        </w:tc>
      </w:tr>
      <w:tr w:rsidR="00FE461F" w:rsidRPr="005E4BEA" w14:paraId="7510AC6B" w14:textId="77777777" w:rsidTr="0016774B">
        <w:trPr>
          <w:trHeight w:val="113"/>
        </w:trPr>
        <w:tc>
          <w:tcPr>
            <w:tcW w:w="5098" w:type="dxa"/>
            <w:shd w:val="clear" w:color="auto" w:fill="auto"/>
            <w:hideMark/>
          </w:tcPr>
          <w:p w14:paraId="1DEA9A9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SŽ - Železniški zdravstveni dom Ljubljana</w:t>
            </w:r>
          </w:p>
        </w:tc>
        <w:tc>
          <w:tcPr>
            <w:tcW w:w="171" w:type="dxa"/>
            <w:shd w:val="clear" w:color="auto" w:fill="auto"/>
            <w:noWrap/>
            <w:hideMark/>
          </w:tcPr>
          <w:p w14:paraId="4C3914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135.725</w:t>
            </w:r>
          </w:p>
        </w:tc>
        <w:tc>
          <w:tcPr>
            <w:tcW w:w="1098" w:type="dxa"/>
            <w:shd w:val="clear" w:color="auto" w:fill="auto"/>
            <w:noWrap/>
            <w:hideMark/>
          </w:tcPr>
          <w:p w14:paraId="44D4728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267.642</w:t>
            </w:r>
          </w:p>
        </w:tc>
        <w:tc>
          <w:tcPr>
            <w:tcW w:w="960" w:type="dxa"/>
            <w:shd w:val="clear" w:color="auto" w:fill="auto"/>
            <w:noWrap/>
            <w:hideMark/>
          </w:tcPr>
          <w:p w14:paraId="253B755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-131.917</w:t>
            </w:r>
          </w:p>
        </w:tc>
      </w:tr>
      <w:tr w:rsidR="00FE461F" w:rsidRPr="005E4BEA" w14:paraId="2D3C68BB" w14:textId="77777777" w:rsidTr="0016774B">
        <w:trPr>
          <w:trHeight w:val="113"/>
        </w:trPr>
        <w:tc>
          <w:tcPr>
            <w:tcW w:w="5098" w:type="dxa"/>
            <w:shd w:val="clear" w:color="auto" w:fill="auto"/>
            <w:hideMark/>
          </w:tcPr>
          <w:p w14:paraId="1BB378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 Adolfa Drolca Maribor</w:t>
            </w:r>
          </w:p>
        </w:tc>
        <w:tc>
          <w:tcPr>
            <w:tcW w:w="171" w:type="dxa"/>
            <w:shd w:val="clear" w:color="auto" w:fill="auto"/>
            <w:noWrap/>
            <w:hideMark/>
          </w:tcPr>
          <w:p w14:paraId="4F2AB11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1.891.350</w:t>
            </w:r>
          </w:p>
        </w:tc>
        <w:tc>
          <w:tcPr>
            <w:tcW w:w="1098" w:type="dxa"/>
            <w:shd w:val="clear" w:color="auto" w:fill="auto"/>
            <w:noWrap/>
            <w:hideMark/>
          </w:tcPr>
          <w:p w14:paraId="33D78F9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1.499.189</w:t>
            </w:r>
          </w:p>
        </w:tc>
        <w:tc>
          <w:tcPr>
            <w:tcW w:w="960" w:type="dxa"/>
            <w:shd w:val="clear" w:color="auto" w:fill="auto"/>
            <w:noWrap/>
            <w:hideMark/>
          </w:tcPr>
          <w:p w14:paraId="6FABCF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392.161</w:t>
            </w:r>
          </w:p>
        </w:tc>
      </w:tr>
      <w:tr w:rsidR="00FE461F" w:rsidRPr="005E4BEA" w14:paraId="22A16452" w14:textId="77777777" w:rsidTr="0016774B">
        <w:trPr>
          <w:trHeight w:val="113"/>
        </w:trPr>
        <w:tc>
          <w:tcPr>
            <w:tcW w:w="5098" w:type="dxa"/>
            <w:shd w:val="clear" w:color="auto" w:fill="auto"/>
            <w:hideMark/>
          </w:tcPr>
          <w:p w14:paraId="018AAAC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Lenart</w:t>
            </w:r>
          </w:p>
        </w:tc>
        <w:tc>
          <w:tcPr>
            <w:tcW w:w="171" w:type="dxa"/>
            <w:shd w:val="clear" w:color="auto" w:fill="auto"/>
            <w:noWrap/>
            <w:hideMark/>
          </w:tcPr>
          <w:p w14:paraId="3FC623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175.771</w:t>
            </w:r>
          </w:p>
        </w:tc>
        <w:tc>
          <w:tcPr>
            <w:tcW w:w="1098" w:type="dxa"/>
            <w:shd w:val="clear" w:color="auto" w:fill="auto"/>
            <w:noWrap/>
            <w:hideMark/>
          </w:tcPr>
          <w:p w14:paraId="2F4A00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239.049</w:t>
            </w:r>
          </w:p>
        </w:tc>
        <w:tc>
          <w:tcPr>
            <w:tcW w:w="960" w:type="dxa"/>
            <w:shd w:val="clear" w:color="auto" w:fill="auto"/>
            <w:noWrap/>
            <w:hideMark/>
          </w:tcPr>
          <w:p w14:paraId="4513C60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-63.278</w:t>
            </w:r>
          </w:p>
        </w:tc>
      </w:tr>
      <w:tr w:rsidR="00FE461F" w:rsidRPr="005E4BEA" w14:paraId="0C309B02" w14:textId="77777777" w:rsidTr="0016774B">
        <w:trPr>
          <w:trHeight w:val="113"/>
        </w:trPr>
        <w:tc>
          <w:tcPr>
            <w:tcW w:w="5098" w:type="dxa"/>
            <w:shd w:val="clear" w:color="auto" w:fill="auto"/>
            <w:hideMark/>
          </w:tcPr>
          <w:p w14:paraId="24926C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Slovenska Bistrica</w:t>
            </w:r>
          </w:p>
        </w:tc>
        <w:tc>
          <w:tcPr>
            <w:tcW w:w="171" w:type="dxa"/>
            <w:shd w:val="clear" w:color="auto" w:fill="auto"/>
            <w:noWrap/>
            <w:hideMark/>
          </w:tcPr>
          <w:p w14:paraId="20663FC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228.014</w:t>
            </w:r>
          </w:p>
        </w:tc>
        <w:tc>
          <w:tcPr>
            <w:tcW w:w="1098" w:type="dxa"/>
            <w:shd w:val="clear" w:color="auto" w:fill="auto"/>
            <w:noWrap/>
            <w:hideMark/>
          </w:tcPr>
          <w:p w14:paraId="0DA9C70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397.196</w:t>
            </w:r>
          </w:p>
        </w:tc>
        <w:tc>
          <w:tcPr>
            <w:tcW w:w="960" w:type="dxa"/>
            <w:shd w:val="clear" w:color="auto" w:fill="auto"/>
            <w:noWrap/>
            <w:hideMark/>
          </w:tcPr>
          <w:p w14:paraId="45453C8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-169.182</w:t>
            </w:r>
          </w:p>
        </w:tc>
      </w:tr>
      <w:tr w:rsidR="00FE461F" w:rsidRPr="005E4BEA" w14:paraId="0AB251E9" w14:textId="77777777" w:rsidTr="0016774B">
        <w:trPr>
          <w:trHeight w:val="113"/>
        </w:trPr>
        <w:tc>
          <w:tcPr>
            <w:tcW w:w="5098" w:type="dxa"/>
            <w:shd w:val="clear" w:color="auto" w:fill="auto"/>
            <w:hideMark/>
          </w:tcPr>
          <w:p w14:paraId="3FB74E8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Ptuj</w:t>
            </w:r>
          </w:p>
        </w:tc>
        <w:tc>
          <w:tcPr>
            <w:tcW w:w="171" w:type="dxa"/>
            <w:shd w:val="clear" w:color="auto" w:fill="auto"/>
            <w:noWrap/>
            <w:hideMark/>
          </w:tcPr>
          <w:p w14:paraId="764C70B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c>
          <w:tcPr>
            <w:tcW w:w="1098" w:type="dxa"/>
            <w:shd w:val="clear" w:color="auto" w:fill="auto"/>
            <w:noWrap/>
            <w:hideMark/>
          </w:tcPr>
          <w:p w14:paraId="6D8D67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c>
          <w:tcPr>
            <w:tcW w:w="960" w:type="dxa"/>
            <w:shd w:val="clear" w:color="auto" w:fill="auto"/>
            <w:noWrap/>
            <w:hideMark/>
          </w:tcPr>
          <w:p w14:paraId="64CF95C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r>
      <w:tr w:rsidR="00FE461F" w:rsidRPr="005E4BEA" w14:paraId="77D55D95" w14:textId="77777777" w:rsidTr="0016774B">
        <w:trPr>
          <w:trHeight w:val="113"/>
        </w:trPr>
        <w:tc>
          <w:tcPr>
            <w:tcW w:w="5098" w:type="dxa"/>
            <w:shd w:val="clear" w:color="auto" w:fill="auto"/>
            <w:hideMark/>
          </w:tcPr>
          <w:p w14:paraId="75FCFDD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Ormož</w:t>
            </w:r>
          </w:p>
        </w:tc>
        <w:tc>
          <w:tcPr>
            <w:tcW w:w="171" w:type="dxa"/>
            <w:shd w:val="clear" w:color="auto" w:fill="auto"/>
            <w:noWrap/>
            <w:hideMark/>
          </w:tcPr>
          <w:p w14:paraId="05A3ACD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343.422</w:t>
            </w:r>
          </w:p>
        </w:tc>
        <w:tc>
          <w:tcPr>
            <w:tcW w:w="1098" w:type="dxa"/>
            <w:shd w:val="clear" w:color="auto" w:fill="auto"/>
            <w:noWrap/>
            <w:hideMark/>
          </w:tcPr>
          <w:p w14:paraId="7329F4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448.635</w:t>
            </w:r>
          </w:p>
        </w:tc>
        <w:tc>
          <w:tcPr>
            <w:tcW w:w="960" w:type="dxa"/>
            <w:shd w:val="clear" w:color="auto" w:fill="auto"/>
            <w:noWrap/>
            <w:hideMark/>
          </w:tcPr>
          <w:p w14:paraId="2B9B173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-105.213</w:t>
            </w:r>
          </w:p>
        </w:tc>
      </w:tr>
      <w:tr w:rsidR="00FE461F" w:rsidRPr="005E4BEA" w14:paraId="488C17FE" w14:textId="77777777" w:rsidTr="0016774B">
        <w:trPr>
          <w:trHeight w:val="113"/>
        </w:trPr>
        <w:tc>
          <w:tcPr>
            <w:tcW w:w="5098" w:type="dxa"/>
            <w:shd w:val="clear" w:color="auto" w:fill="auto"/>
            <w:hideMark/>
          </w:tcPr>
          <w:p w14:paraId="4F74127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Murska Sobota</w:t>
            </w:r>
          </w:p>
        </w:tc>
        <w:tc>
          <w:tcPr>
            <w:tcW w:w="171" w:type="dxa"/>
            <w:shd w:val="clear" w:color="auto" w:fill="auto"/>
            <w:noWrap/>
            <w:hideMark/>
          </w:tcPr>
          <w:p w14:paraId="32F54A7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627.942</w:t>
            </w:r>
          </w:p>
        </w:tc>
        <w:tc>
          <w:tcPr>
            <w:tcW w:w="1098" w:type="dxa"/>
            <w:shd w:val="clear" w:color="auto" w:fill="auto"/>
            <w:noWrap/>
            <w:hideMark/>
          </w:tcPr>
          <w:p w14:paraId="07361B3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643.228</w:t>
            </w:r>
          </w:p>
        </w:tc>
        <w:tc>
          <w:tcPr>
            <w:tcW w:w="960" w:type="dxa"/>
            <w:shd w:val="clear" w:color="auto" w:fill="auto"/>
            <w:noWrap/>
            <w:hideMark/>
          </w:tcPr>
          <w:p w14:paraId="41BE9C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-15.286</w:t>
            </w:r>
          </w:p>
        </w:tc>
      </w:tr>
      <w:tr w:rsidR="00FE461F" w:rsidRPr="005E4BEA" w14:paraId="7BDD19D6" w14:textId="77777777" w:rsidTr="0016774B">
        <w:trPr>
          <w:trHeight w:val="113"/>
        </w:trPr>
        <w:tc>
          <w:tcPr>
            <w:tcW w:w="5098" w:type="dxa"/>
            <w:shd w:val="clear" w:color="auto" w:fill="auto"/>
            <w:hideMark/>
          </w:tcPr>
          <w:p w14:paraId="418152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Gornja Radgona</w:t>
            </w:r>
          </w:p>
        </w:tc>
        <w:tc>
          <w:tcPr>
            <w:tcW w:w="171" w:type="dxa"/>
            <w:shd w:val="clear" w:color="auto" w:fill="auto"/>
            <w:noWrap/>
            <w:hideMark/>
          </w:tcPr>
          <w:p w14:paraId="1933A4F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264.344</w:t>
            </w:r>
          </w:p>
        </w:tc>
        <w:tc>
          <w:tcPr>
            <w:tcW w:w="1098" w:type="dxa"/>
            <w:shd w:val="clear" w:color="auto" w:fill="auto"/>
            <w:noWrap/>
            <w:hideMark/>
          </w:tcPr>
          <w:p w14:paraId="6D4C5ED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279.921</w:t>
            </w:r>
          </w:p>
        </w:tc>
        <w:tc>
          <w:tcPr>
            <w:tcW w:w="960" w:type="dxa"/>
            <w:shd w:val="clear" w:color="auto" w:fill="auto"/>
            <w:noWrap/>
            <w:hideMark/>
          </w:tcPr>
          <w:p w14:paraId="25DF200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-15.577</w:t>
            </w:r>
          </w:p>
        </w:tc>
      </w:tr>
      <w:tr w:rsidR="00FE461F" w:rsidRPr="005E4BEA" w14:paraId="3AD1B7E7" w14:textId="77777777" w:rsidTr="0016774B">
        <w:trPr>
          <w:trHeight w:val="113"/>
        </w:trPr>
        <w:tc>
          <w:tcPr>
            <w:tcW w:w="5098" w:type="dxa"/>
            <w:shd w:val="clear" w:color="auto" w:fill="auto"/>
            <w:hideMark/>
          </w:tcPr>
          <w:p w14:paraId="6C3530C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Lendava</w:t>
            </w:r>
          </w:p>
        </w:tc>
        <w:tc>
          <w:tcPr>
            <w:tcW w:w="171" w:type="dxa"/>
            <w:shd w:val="clear" w:color="auto" w:fill="auto"/>
            <w:noWrap/>
            <w:hideMark/>
          </w:tcPr>
          <w:p w14:paraId="4F9C72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234.881</w:t>
            </w:r>
          </w:p>
        </w:tc>
        <w:tc>
          <w:tcPr>
            <w:tcW w:w="1098" w:type="dxa"/>
            <w:shd w:val="clear" w:color="auto" w:fill="auto"/>
            <w:noWrap/>
            <w:hideMark/>
          </w:tcPr>
          <w:p w14:paraId="3FECBA6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312.990</w:t>
            </w:r>
          </w:p>
        </w:tc>
        <w:tc>
          <w:tcPr>
            <w:tcW w:w="960" w:type="dxa"/>
            <w:shd w:val="clear" w:color="auto" w:fill="auto"/>
            <w:noWrap/>
            <w:hideMark/>
          </w:tcPr>
          <w:p w14:paraId="77B6CC8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-78.109</w:t>
            </w:r>
          </w:p>
        </w:tc>
      </w:tr>
      <w:tr w:rsidR="00FE461F" w:rsidRPr="005E4BEA" w14:paraId="32FBFB28" w14:textId="77777777" w:rsidTr="0016774B">
        <w:trPr>
          <w:trHeight w:val="113"/>
        </w:trPr>
        <w:tc>
          <w:tcPr>
            <w:tcW w:w="5098" w:type="dxa"/>
            <w:shd w:val="clear" w:color="auto" w:fill="auto"/>
            <w:hideMark/>
          </w:tcPr>
          <w:p w14:paraId="1A88F6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lastRenderedPageBreak/>
              <w:t>Zdravstveni dom Ljutomer</w:t>
            </w:r>
          </w:p>
        </w:tc>
        <w:tc>
          <w:tcPr>
            <w:tcW w:w="171" w:type="dxa"/>
            <w:shd w:val="clear" w:color="auto" w:fill="auto"/>
            <w:noWrap/>
            <w:hideMark/>
          </w:tcPr>
          <w:p w14:paraId="1371072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184.442</w:t>
            </w:r>
          </w:p>
        </w:tc>
        <w:tc>
          <w:tcPr>
            <w:tcW w:w="1098" w:type="dxa"/>
            <w:shd w:val="clear" w:color="auto" w:fill="auto"/>
            <w:noWrap/>
            <w:hideMark/>
          </w:tcPr>
          <w:p w14:paraId="722CB74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350.134</w:t>
            </w:r>
          </w:p>
        </w:tc>
        <w:tc>
          <w:tcPr>
            <w:tcW w:w="960" w:type="dxa"/>
            <w:shd w:val="clear" w:color="auto" w:fill="auto"/>
            <w:noWrap/>
            <w:hideMark/>
          </w:tcPr>
          <w:p w14:paraId="3880745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-165.692</w:t>
            </w:r>
          </w:p>
        </w:tc>
      </w:tr>
      <w:tr w:rsidR="00FE461F" w:rsidRPr="005E4BEA" w14:paraId="461FB4E3" w14:textId="77777777" w:rsidTr="0016774B">
        <w:trPr>
          <w:trHeight w:val="113"/>
        </w:trPr>
        <w:tc>
          <w:tcPr>
            <w:tcW w:w="5098" w:type="dxa"/>
            <w:shd w:val="clear" w:color="auto" w:fill="auto"/>
            <w:hideMark/>
          </w:tcPr>
          <w:p w14:paraId="07DF074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Osnovno varstvo Nova Gorica</w:t>
            </w:r>
          </w:p>
        </w:tc>
        <w:tc>
          <w:tcPr>
            <w:tcW w:w="171" w:type="dxa"/>
            <w:shd w:val="clear" w:color="auto" w:fill="auto"/>
            <w:noWrap/>
            <w:hideMark/>
          </w:tcPr>
          <w:p w14:paraId="1227B95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617.072</w:t>
            </w:r>
          </w:p>
        </w:tc>
        <w:tc>
          <w:tcPr>
            <w:tcW w:w="1098" w:type="dxa"/>
            <w:shd w:val="clear" w:color="auto" w:fill="auto"/>
            <w:noWrap/>
            <w:hideMark/>
          </w:tcPr>
          <w:p w14:paraId="18FD0F9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699.568</w:t>
            </w:r>
          </w:p>
        </w:tc>
        <w:tc>
          <w:tcPr>
            <w:tcW w:w="960" w:type="dxa"/>
            <w:shd w:val="clear" w:color="auto" w:fill="auto"/>
            <w:noWrap/>
            <w:hideMark/>
          </w:tcPr>
          <w:p w14:paraId="3F4B484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-82.496</w:t>
            </w:r>
          </w:p>
        </w:tc>
      </w:tr>
      <w:tr w:rsidR="00FE461F" w:rsidRPr="005E4BEA" w14:paraId="4DDE89BD" w14:textId="77777777" w:rsidTr="0016774B">
        <w:trPr>
          <w:trHeight w:val="113"/>
        </w:trPr>
        <w:tc>
          <w:tcPr>
            <w:tcW w:w="5098" w:type="dxa"/>
            <w:shd w:val="clear" w:color="auto" w:fill="auto"/>
            <w:hideMark/>
          </w:tcPr>
          <w:p w14:paraId="496B490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Zobozdravstveno varstvo Nova Gorica</w:t>
            </w:r>
          </w:p>
        </w:tc>
        <w:tc>
          <w:tcPr>
            <w:tcW w:w="171" w:type="dxa"/>
            <w:shd w:val="clear" w:color="auto" w:fill="auto"/>
            <w:noWrap/>
            <w:hideMark/>
          </w:tcPr>
          <w:p w14:paraId="33DE305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219.901</w:t>
            </w:r>
          </w:p>
        </w:tc>
        <w:tc>
          <w:tcPr>
            <w:tcW w:w="1098" w:type="dxa"/>
            <w:shd w:val="clear" w:color="auto" w:fill="auto"/>
            <w:noWrap/>
            <w:hideMark/>
          </w:tcPr>
          <w:p w14:paraId="6DF26C4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219.901</w:t>
            </w:r>
          </w:p>
        </w:tc>
        <w:tc>
          <w:tcPr>
            <w:tcW w:w="960" w:type="dxa"/>
            <w:shd w:val="clear" w:color="auto" w:fill="auto"/>
            <w:noWrap/>
            <w:hideMark/>
          </w:tcPr>
          <w:p w14:paraId="0830A96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r>
      <w:tr w:rsidR="00FE461F" w:rsidRPr="005E4BEA" w14:paraId="430ED741" w14:textId="77777777" w:rsidTr="0016774B">
        <w:trPr>
          <w:trHeight w:val="113"/>
        </w:trPr>
        <w:tc>
          <w:tcPr>
            <w:tcW w:w="5098" w:type="dxa"/>
            <w:shd w:val="clear" w:color="auto" w:fill="auto"/>
            <w:hideMark/>
          </w:tcPr>
          <w:p w14:paraId="6D56E48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Ajdovščina</w:t>
            </w:r>
          </w:p>
        </w:tc>
        <w:tc>
          <w:tcPr>
            <w:tcW w:w="171" w:type="dxa"/>
            <w:shd w:val="clear" w:color="auto" w:fill="auto"/>
            <w:noWrap/>
            <w:hideMark/>
          </w:tcPr>
          <w:p w14:paraId="398A438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424.381</w:t>
            </w:r>
          </w:p>
        </w:tc>
        <w:tc>
          <w:tcPr>
            <w:tcW w:w="1098" w:type="dxa"/>
            <w:shd w:val="clear" w:color="auto" w:fill="auto"/>
            <w:noWrap/>
            <w:hideMark/>
          </w:tcPr>
          <w:p w14:paraId="084E1B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424.381</w:t>
            </w:r>
          </w:p>
        </w:tc>
        <w:tc>
          <w:tcPr>
            <w:tcW w:w="960" w:type="dxa"/>
            <w:shd w:val="clear" w:color="auto" w:fill="auto"/>
            <w:noWrap/>
            <w:hideMark/>
          </w:tcPr>
          <w:p w14:paraId="377C9FE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r>
      <w:tr w:rsidR="00FE461F" w:rsidRPr="005E4BEA" w14:paraId="40FCBEEE" w14:textId="77777777" w:rsidTr="0016774B">
        <w:trPr>
          <w:trHeight w:val="113"/>
        </w:trPr>
        <w:tc>
          <w:tcPr>
            <w:tcW w:w="5098" w:type="dxa"/>
            <w:shd w:val="clear" w:color="auto" w:fill="auto"/>
            <w:hideMark/>
          </w:tcPr>
          <w:p w14:paraId="2B64A1E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Tolmin</w:t>
            </w:r>
          </w:p>
        </w:tc>
        <w:tc>
          <w:tcPr>
            <w:tcW w:w="171" w:type="dxa"/>
            <w:shd w:val="clear" w:color="auto" w:fill="auto"/>
            <w:noWrap/>
            <w:hideMark/>
          </w:tcPr>
          <w:p w14:paraId="4EA39A6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264.727</w:t>
            </w:r>
          </w:p>
        </w:tc>
        <w:tc>
          <w:tcPr>
            <w:tcW w:w="1098" w:type="dxa"/>
            <w:shd w:val="clear" w:color="auto" w:fill="auto"/>
            <w:noWrap/>
            <w:hideMark/>
          </w:tcPr>
          <w:p w14:paraId="7566E41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217.923</w:t>
            </w:r>
          </w:p>
        </w:tc>
        <w:tc>
          <w:tcPr>
            <w:tcW w:w="960" w:type="dxa"/>
            <w:shd w:val="clear" w:color="auto" w:fill="auto"/>
            <w:noWrap/>
            <w:hideMark/>
          </w:tcPr>
          <w:p w14:paraId="074A1B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46.804</w:t>
            </w:r>
          </w:p>
        </w:tc>
      </w:tr>
      <w:tr w:rsidR="00FE461F" w:rsidRPr="005E4BEA" w14:paraId="51E11528" w14:textId="77777777" w:rsidTr="0016774B">
        <w:trPr>
          <w:trHeight w:val="113"/>
        </w:trPr>
        <w:tc>
          <w:tcPr>
            <w:tcW w:w="5098" w:type="dxa"/>
            <w:shd w:val="clear" w:color="auto" w:fill="auto"/>
            <w:hideMark/>
          </w:tcPr>
          <w:p w14:paraId="3B3577F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Črnomelj</w:t>
            </w:r>
          </w:p>
        </w:tc>
        <w:tc>
          <w:tcPr>
            <w:tcW w:w="171" w:type="dxa"/>
            <w:shd w:val="clear" w:color="auto" w:fill="auto"/>
            <w:noWrap/>
            <w:hideMark/>
          </w:tcPr>
          <w:p w14:paraId="0D473D5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207.215</w:t>
            </w:r>
          </w:p>
        </w:tc>
        <w:tc>
          <w:tcPr>
            <w:tcW w:w="1098" w:type="dxa"/>
            <w:shd w:val="clear" w:color="auto" w:fill="auto"/>
            <w:noWrap/>
            <w:hideMark/>
          </w:tcPr>
          <w:p w14:paraId="0108A51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303.687</w:t>
            </w:r>
          </w:p>
        </w:tc>
        <w:tc>
          <w:tcPr>
            <w:tcW w:w="960" w:type="dxa"/>
            <w:shd w:val="clear" w:color="auto" w:fill="auto"/>
            <w:noWrap/>
            <w:hideMark/>
          </w:tcPr>
          <w:p w14:paraId="43B3556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-96.472</w:t>
            </w:r>
          </w:p>
        </w:tc>
      </w:tr>
      <w:tr w:rsidR="00FE461F" w:rsidRPr="005E4BEA" w14:paraId="56359B41" w14:textId="77777777" w:rsidTr="0016774B">
        <w:trPr>
          <w:trHeight w:val="113"/>
        </w:trPr>
        <w:tc>
          <w:tcPr>
            <w:tcW w:w="5098" w:type="dxa"/>
            <w:shd w:val="clear" w:color="auto" w:fill="auto"/>
            <w:hideMark/>
          </w:tcPr>
          <w:p w14:paraId="42F58DA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Metlika</w:t>
            </w:r>
          </w:p>
        </w:tc>
        <w:tc>
          <w:tcPr>
            <w:tcW w:w="171" w:type="dxa"/>
            <w:shd w:val="clear" w:color="auto" w:fill="auto"/>
            <w:noWrap/>
            <w:hideMark/>
          </w:tcPr>
          <w:p w14:paraId="6149002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105.693</w:t>
            </w:r>
          </w:p>
        </w:tc>
        <w:tc>
          <w:tcPr>
            <w:tcW w:w="1098" w:type="dxa"/>
            <w:shd w:val="clear" w:color="auto" w:fill="auto"/>
            <w:noWrap/>
            <w:hideMark/>
          </w:tcPr>
          <w:p w14:paraId="489713D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114.150</w:t>
            </w:r>
          </w:p>
        </w:tc>
        <w:tc>
          <w:tcPr>
            <w:tcW w:w="960" w:type="dxa"/>
            <w:shd w:val="clear" w:color="auto" w:fill="auto"/>
            <w:noWrap/>
            <w:hideMark/>
          </w:tcPr>
          <w:p w14:paraId="66E0B96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-8.457</w:t>
            </w:r>
          </w:p>
        </w:tc>
      </w:tr>
      <w:tr w:rsidR="00FE461F" w:rsidRPr="005E4BEA" w14:paraId="7B0D750C" w14:textId="77777777" w:rsidTr="0016774B">
        <w:trPr>
          <w:trHeight w:val="113"/>
        </w:trPr>
        <w:tc>
          <w:tcPr>
            <w:tcW w:w="5098" w:type="dxa"/>
            <w:shd w:val="clear" w:color="auto" w:fill="auto"/>
            <w:hideMark/>
          </w:tcPr>
          <w:p w14:paraId="6191E99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Novo mesto</w:t>
            </w:r>
          </w:p>
        </w:tc>
        <w:tc>
          <w:tcPr>
            <w:tcW w:w="171" w:type="dxa"/>
            <w:shd w:val="clear" w:color="auto" w:fill="auto"/>
            <w:noWrap/>
            <w:hideMark/>
          </w:tcPr>
          <w:p w14:paraId="35BB7C6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849.106</w:t>
            </w:r>
          </w:p>
        </w:tc>
        <w:tc>
          <w:tcPr>
            <w:tcW w:w="1098" w:type="dxa"/>
            <w:shd w:val="clear" w:color="auto" w:fill="auto"/>
            <w:noWrap/>
            <w:hideMark/>
          </w:tcPr>
          <w:p w14:paraId="749F81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886.314</w:t>
            </w:r>
          </w:p>
        </w:tc>
        <w:tc>
          <w:tcPr>
            <w:tcW w:w="960" w:type="dxa"/>
            <w:shd w:val="clear" w:color="auto" w:fill="auto"/>
            <w:noWrap/>
            <w:hideMark/>
          </w:tcPr>
          <w:p w14:paraId="2632846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-37.208</w:t>
            </w:r>
          </w:p>
        </w:tc>
      </w:tr>
      <w:tr w:rsidR="00FE461F" w:rsidRPr="005E4BEA" w14:paraId="7EA72D3D" w14:textId="77777777" w:rsidTr="0016774B">
        <w:trPr>
          <w:trHeight w:val="113"/>
        </w:trPr>
        <w:tc>
          <w:tcPr>
            <w:tcW w:w="5098" w:type="dxa"/>
            <w:shd w:val="clear" w:color="auto" w:fill="auto"/>
            <w:hideMark/>
          </w:tcPr>
          <w:p w14:paraId="4E50383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Trebnje</w:t>
            </w:r>
          </w:p>
        </w:tc>
        <w:tc>
          <w:tcPr>
            <w:tcW w:w="171" w:type="dxa"/>
            <w:shd w:val="clear" w:color="auto" w:fill="auto"/>
            <w:noWrap/>
            <w:hideMark/>
          </w:tcPr>
          <w:p w14:paraId="768923F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320.453</w:t>
            </w:r>
          </w:p>
        </w:tc>
        <w:tc>
          <w:tcPr>
            <w:tcW w:w="1098" w:type="dxa"/>
            <w:shd w:val="clear" w:color="auto" w:fill="auto"/>
            <w:noWrap/>
            <w:hideMark/>
          </w:tcPr>
          <w:p w14:paraId="06369FD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317.820</w:t>
            </w:r>
          </w:p>
        </w:tc>
        <w:tc>
          <w:tcPr>
            <w:tcW w:w="960" w:type="dxa"/>
            <w:shd w:val="clear" w:color="auto" w:fill="auto"/>
            <w:noWrap/>
            <w:hideMark/>
          </w:tcPr>
          <w:p w14:paraId="789EC98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2.633</w:t>
            </w:r>
          </w:p>
        </w:tc>
      </w:tr>
      <w:tr w:rsidR="00FE461F" w:rsidRPr="005E4BEA" w14:paraId="6496C53B" w14:textId="77777777" w:rsidTr="0016774B">
        <w:trPr>
          <w:trHeight w:val="113"/>
        </w:trPr>
        <w:tc>
          <w:tcPr>
            <w:tcW w:w="5098" w:type="dxa"/>
            <w:shd w:val="clear" w:color="auto" w:fill="auto"/>
            <w:hideMark/>
          </w:tcPr>
          <w:p w14:paraId="6E7F89A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Velenje</w:t>
            </w:r>
          </w:p>
        </w:tc>
        <w:tc>
          <w:tcPr>
            <w:tcW w:w="171" w:type="dxa"/>
            <w:shd w:val="clear" w:color="auto" w:fill="auto"/>
            <w:noWrap/>
            <w:hideMark/>
          </w:tcPr>
          <w:p w14:paraId="2DD0955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637.831</w:t>
            </w:r>
          </w:p>
        </w:tc>
        <w:tc>
          <w:tcPr>
            <w:tcW w:w="1098" w:type="dxa"/>
            <w:shd w:val="clear" w:color="auto" w:fill="auto"/>
            <w:noWrap/>
            <w:hideMark/>
          </w:tcPr>
          <w:p w14:paraId="35FD59E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590.542</w:t>
            </w:r>
          </w:p>
        </w:tc>
        <w:tc>
          <w:tcPr>
            <w:tcW w:w="960" w:type="dxa"/>
            <w:shd w:val="clear" w:color="auto" w:fill="auto"/>
            <w:noWrap/>
            <w:hideMark/>
          </w:tcPr>
          <w:p w14:paraId="536F01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47.289</w:t>
            </w:r>
          </w:p>
        </w:tc>
      </w:tr>
      <w:tr w:rsidR="00FE461F" w:rsidRPr="005E4BEA" w14:paraId="4ECE1384" w14:textId="77777777" w:rsidTr="0016774B">
        <w:trPr>
          <w:trHeight w:val="113"/>
        </w:trPr>
        <w:tc>
          <w:tcPr>
            <w:tcW w:w="5098" w:type="dxa"/>
            <w:shd w:val="clear" w:color="auto" w:fill="auto"/>
            <w:hideMark/>
          </w:tcPr>
          <w:p w14:paraId="07195456" w14:textId="77777777" w:rsidR="00FE461F" w:rsidRPr="005E4BEA" w:rsidRDefault="00FE461F" w:rsidP="00FE461F">
            <w:pPr>
              <w:spacing w:line="240" w:lineRule="auto"/>
              <w:jc w:val="both"/>
              <w:rPr>
                <w:rFonts w:cs="Arial"/>
                <w:color w:val="808080" w:themeColor="background1" w:themeShade="80"/>
                <w:szCs w:val="20"/>
              </w:rPr>
            </w:pPr>
            <w:proofErr w:type="spellStart"/>
            <w:r w:rsidRPr="005E4BEA">
              <w:rPr>
                <w:rFonts w:cs="Arial"/>
                <w:color w:val="808080" w:themeColor="background1" w:themeShade="80"/>
                <w:szCs w:val="20"/>
              </w:rPr>
              <w:t>Zgornjesavinjski</w:t>
            </w:r>
            <w:proofErr w:type="spellEnd"/>
            <w:r w:rsidRPr="005E4BEA">
              <w:rPr>
                <w:rFonts w:cs="Arial"/>
                <w:color w:val="808080" w:themeColor="background1" w:themeShade="80"/>
                <w:szCs w:val="20"/>
              </w:rPr>
              <w:t xml:space="preserve"> zdravstveni dom Nazarje</w:t>
            </w:r>
          </w:p>
        </w:tc>
        <w:tc>
          <w:tcPr>
            <w:tcW w:w="171" w:type="dxa"/>
            <w:shd w:val="clear" w:color="auto" w:fill="auto"/>
            <w:noWrap/>
            <w:hideMark/>
          </w:tcPr>
          <w:p w14:paraId="71C509E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172.031</w:t>
            </w:r>
          </w:p>
        </w:tc>
        <w:tc>
          <w:tcPr>
            <w:tcW w:w="1098" w:type="dxa"/>
            <w:shd w:val="clear" w:color="auto" w:fill="auto"/>
            <w:noWrap/>
            <w:hideMark/>
          </w:tcPr>
          <w:p w14:paraId="2F1AF37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125.839</w:t>
            </w:r>
          </w:p>
        </w:tc>
        <w:tc>
          <w:tcPr>
            <w:tcW w:w="960" w:type="dxa"/>
            <w:shd w:val="clear" w:color="auto" w:fill="auto"/>
            <w:noWrap/>
            <w:hideMark/>
          </w:tcPr>
          <w:p w14:paraId="37FBB7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46.192</w:t>
            </w:r>
          </w:p>
        </w:tc>
      </w:tr>
      <w:tr w:rsidR="00FE461F" w:rsidRPr="005E4BEA" w14:paraId="00671F9D" w14:textId="77777777" w:rsidTr="0016774B">
        <w:trPr>
          <w:trHeight w:val="113"/>
        </w:trPr>
        <w:tc>
          <w:tcPr>
            <w:tcW w:w="5098" w:type="dxa"/>
            <w:shd w:val="clear" w:color="auto" w:fill="auto"/>
            <w:hideMark/>
          </w:tcPr>
          <w:p w14:paraId="52CF880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Dravograd</w:t>
            </w:r>
          </w:p>
        </w:tc>
        <w:tc>
          <w:tcPr>
            <w:tcW w:w="171" w:type="dxa"/>
            <w:shd w:val="clear" w:color="auto" w:fill="auto"/>
            <w:noWrap/>
            <w:hideMark/>
          </w:tcPr>
          <w:p w14:paraId="7EA2E6B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59.593</w:t>
            </w:r>
          </w:p>
        </w:tc>
        <w:tc>
          <w:tcPr>
            <w:tcW w:w="1098" w:type="dxa"/>
            <w:shd w:val="clear" w:color="auto" w:fill="auto"/>
            <w:noWrap/>
            <w:hideMark/>
          </w:tcPr>
          <w:p w14:paraId="4A79B05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71.219</w:t>
            </w:r>
          </w:p>
        </w:tc>
        <w:tc>
          <w:tcPr>
            <w:tcW w:w="960" w:type="dxa"/>
            <w:shd w:val="clear" w:color="auto" w:fill="auto"/>
            <w:noWrap/>
            <w:hideMark/>
          </w:tcPr>
          <w:p w14:paraId="396F5D9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-11.626</w:t>
            </w:r>
          </w:p>
        </w:tc>
      </w:tr>
      <w:tr w:rsidR="00FE461F" w:rsidRPr="005E4BEA" w14:paraId="3062F3B3" w14:textId="77777777" w:rsidTr="0016774B">
        <w:trPr>
          <w:trHeight w:val="113"/>
        </w:trPr>
        <w:tc>
          <w:tcPr>
            <w:tcW w:w="5098" w:type="dxa"/>
            <w:shd w:val="clear" w:color="auto" w:fill="auto"/>
            <w:hideMark/>
          </w:tcPr>
          <w:p w14:paraId="0F3479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Radlje ob Dravi</w:t>
            </w:r>
          </w:p>
        </w:tc>
        <w:tc>
          <w:tcPr>
            <w:tcW w:w="171" w:type="dxa"/>
            <w:shd w:val="clear" w:color="auto" w:fill="auto"/>
            <w:noWrap/>
            <w:hideMark/>
          </w:tcPr>
          <w:p w14:paraId="6B3022B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88.690</w:t>
            </w:r>
          </w:p>
        </w:tc>
        <w:tc>
          <w:tcPr>
            <w:tcW w:w="1098" w:type="dxa"/>
            <w:shd w:val="clear" w:color="auto" w:fill="auto"/>
            <w:noWrap/>
            <w:hideMark/>
          </w:tcPr>
          <w:p w14:paraId="30B12F9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87.925</w:t>
            </w:r>
          </w:p>
        </w:tc>
        <w:tc>
          <w:tcPr>
            <w:tcW w:w="960" w:type="dxa"/>
            <w:shd w:val="clear" w:color="auto" w:fill="auto"/>
            <w:noWrap/>
            <w:hideMark/>
          </w:tcPr>
          <w:p w14:paraId="187A8C3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765</w:t>
            </w:r>
          </w:p>
        </w:tc>
      </w:tr>
      <w:tr w:rsidR="00FE461F" w:rsidRPr="005E4BEA" w14:paraId="6DFB6BE9" w14:textId="77777777" w:rsidTr="0016774B">
        <w:trPr>
          <w:trHeight w:val="113"/>
        </w:trPr>
        <w:tc>
          <w:tcPr>
            <w:tcW w:w="5098" w:type="dxa"/>
            <w:shd w:val="clear" w:color="auto" w:fill="auto"/>
            <w:hideMark/>
          </w:tcPr>
          <w:p w14:paraId="5F2BF75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Ravne na Koroškem</w:t>
            </w:r>
          </w:p>
        </w:tc>
        <w:tc>
          <w:tcPr>
            <w:tcW w:w="171" w:type="dxa"/>
            <w:shd w:val="clear" w:color="auto" w:fill="auto"/>
            <w:noWrap/>
            <w:hideMark/>
          </w:tcPr>
          <w:p w14:paraId="34BB975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273.412</w:t>
            </w:r>
          </w:p>
        </w:tc>
        <w:tc>
          <w:tcPr>
            <w:tcW w:w="1098" w:type="dxa"/>
            <w:shd w:val="clear" w:color="auto" w:fill="auto"/>
            <w:noWrap/>
            <w:hideMark/>
          </w:tcPr>
          <w:p w14:paraId="1BAAF32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338.774</w:t>
            </w:r>
          </w:p>
        </w:tc>
        <w:tc>
          <w:tcPr>
            <w:tcW w:w="960" w:type="dxa"/>
            <w:shd w:val="clear" w:color="auto" w:fill="auto"/>
            <w:noWrap/>
            <w:hideMark/>
          </w:tcPr>
          <w:p w14:paraId="083ED84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-65.362</w:t>
            </w:r>
          </w:p>
        </w:tc>
      </w:tr>
      <w:tr w:rsidR="00FE461F" w:rsidRPr="005E4BEA" w14:paraId="7FE8F5F1" w14:textId="77777777" w:rsidTr="0016774B">
        <w:trPr>
          <w:trHeight w:val="113"/>
        </w:trPr>
        <w:tc>
          <w:tcPr>
            <w:tcW w:w="5098" w:type="dxa"/>
            <w:shd w:val="clear" w:color="auto" w:fill="auto"/>
            <w:hideMark/>
          </w:tcPr>
          <w:p w14:paraId="6167C73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Zdravstveni dom Slovenj Gradec</w:t>
            </w:r>
          </w:p>
        </w:tc>
        <w:tc>
          <w:tcPr>
            <w:tcW w:w="171" w:type="dxa"/>
            <w:shd w:val="clear" w:color="auto" w:fill="auto"/>
            <w:noWrap/>
            <w:hideMark/>
          </w:tcPr>
          <w:p w14:paraId="6552C00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253.598</w:t>
            </w:r>
          </w:p>
        </w:tc>
        <w:tc>
          <w:tcPr>
            <w:tcW w:w="1098" w:type="dxa"/>
            <w:shd w:val="clear" w:color="auto" w:fill="auto"/>
            <w:noWrap/>
            <w:hideMark/>
          </w:tcPr>
          <w:p w14:paraId="329DC31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260.101</w:t>
            </w:r>
          </w:p>
        </w:tc>
        <w:tc>
          <w:tcPr>
            <w:tcW w:w="960" w:type="dxa"/>
            <w:shd w:val="clear" w:color="auto" w:fill="auto"/>
            <w:noWrap/>
            <w:hideMark/>
          </w:tcPr>
          <w:p w14:paraId="6951BD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-6.502</w:t>
            </w:r>
          </w:p>
        </w:tc>
      </w:tr>
      <w:tr w:rsidR="00FE461F" w:rsidRPr="005E4BEA" w14:paraId="59FCD6F0" w14:textId="77777777" w:rsidTr="0016774B">
        <w:trPr>
          <w:trHeight w:val="113"/>
        </w:trPr>
        <w:tc>
          <w:tcPr>
            <w:tcW w:w="5098" w:type="dxa"/>
            <w:shd w:val="clear" w:color="auto" w:fill="auto"/>
            <w:hideMark/>
          </w:tcPr>
          <w:p w14:paraId="273009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Zdravstveno-reševalni center Koroške</w:t>
            </w:r>
          </w:p>
        </w:tc>
        <w:tc>
          <w:tcPr>
            <w:tcW w:w="171" w:type="dxa"/>
            <w:shd w:val="clear" w:color="auto" w:fill="auto"/>
            <w:noWrap/>
            <w:hideMark/>
          </w:tcPr>
          <w:p w14:paraId="78DCC91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234.834</w:t>
            </w:r>
          </w:p>
        </w:tc>
        <w:tc>
          <w:tcPr>
            <w:tcW w:w="1098" w:type="dxa"/>
            <w:shd w:val="clear" w:color="auto" w:fill="auto"/>
            <w:noWrap/>
            <w:hideMark/>
          </w:tcPr>
          <w:p w14:paraId="491BEE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238.038</w:t>
            </w:r>
          </w:p>
        </w:tc>
        <w:tc>
          <w:tcPr>
            <w:tcW w:w="960" w:type="dxa"/>
            <w:shd w:val="clear" w:color="auto" w:fill="auto"/>
            <w:noWrap/>
            <w:hideMark/>
          </w:tcPr>
          <w:p w14:paraId="4FA3CD0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-3.204</w:t>
            </w:r>
          </w:p>
        </w:tc>
      </w:tr>
      <w:tr w:rsidR="00FE461F" w:rsidRPr="005E4BEA" w14:paraId="762B4E1A" w14:textId="77777777" w:rsidTr="0016774B">
        <w:trPr>
          <w:trHeight w:val="113"/>
        </w:trPr>
        <w:tc>
          <w:tcPr>
            <w:tcW w:w="5098" w:type="dxa"/>
            <w:shd w:val="clear" w:color="auto" w:fill="auto"/>
            <w:hideMark/>
          </w:tcPr>
          <w:p w14:paraId="53CE8FC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Vsi zdravstveni domovi skupaj</w:t>
            </w:r>
          </w:p>
        </w:tc>
        <w:tc>
          <w:tcPr>
            <w:tcW w:w="171" w:type="dxa"/>
            <w:shd w:val="clear" w:color="auto" w:fill="auto"/>
            <w:noWrap/>
            <w:vAlign w:val="bottom"/>
            <w:hideMark/>
          </w:tcPr>
          <w:p w14:paraId="366E8FE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21.122.458</w:t>
            </w:r>
          </w:p>
        </w:tc>
        <w:tc>
          <w:tcPr>
            <w:tcW w:w="1098" w:type="dxa"/>
            <w:shd w:val="clear" w:color="auto" w:fill="auto"/>
            <w:noWrap/>
            <w:vAlign w:val="bottom"/>
            <w:hideMark/>
          </w:tcPr>
          <w:p w14:paraId="4A94274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24.655.619</w:t>
            </w:r>
          </w:p>
        </w:tc>
        <w:tc>
          <w:tcPr>
            <w:tcW w:w="960" w:type="dxa"/>
            <w:shd w:val="clear" w:color="000000" w:fill="FFFF00"/>
            <w:noWrap/>
            <w:vAlign w:val="bottom"/>
            <w:hideMark/>
          </w:tcPr>
          <w:p w14:paraId="30B3A0C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-3.533.161</w:t>
            </w:r>
          </w:p>
        </w:tc>
      </w:tr>
    </w:tbl>
    <w:p w14:paraId="76601F8C" w14:textId="77777777" w:rsidR="00FE461F" w:rsidRPr="005E4BEA" w:rsidRDefault="00FE461F" w:rsidP="00FE461F">
      <w:pPr>
        <w:spacing w:line="240" w:lineRule="auto"/>
        <w:jc w:val="both"/>
        <w:rPr>
          <w:rFonts w:cs="Arial"/>
          <w:i/>
          <w:iCs/>
          <w:color w:val="808080" w:themeColor="background1" w:themeShade="80"/>
          <w:szCs w:val="20"/>
        </w:rPr>
      </w:pPr>
    </w:p>
    <w:tbl>
      <w:tblPr>
        <w:tblW w:w="75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4951"/>
        <w:gridCol w:w="1262"/>
        <w:gridCol w:w="1272"/>
        <w:gridCol w:w="1003"/>
      </w:tblGrid>
      <w:tr w:rsidR="00FE461F" w:rsidRPr="005E4BEA" w14:paraId="4695640C" w14:textId="77777777" w:rsidTr="0016774B">
        <w:trPr>
          <w:trHeight w:val="113"/>
        </w:trPr>
        <w:tc>
          <w:tcPr>
            <w:tcW w:w="5098" w:type="dxa"/>
            <w:shd w:val="clear" w:color="000000" w:fill="C5D9F1"/>
            <w:noWrap/>
            <w:vAlign w:val="bottom"/>
            <w:hideMark/>
          </w:tcPr>
          <w:p w14:paraId="60A7317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BOLNIŠNICE</w:t>
            </w:r>
          </w:p>
        </w:tc>
        <w:tc>
          <w:tcPr>
            <w:tcW w:w="402" w:type="dxa"/>
            <w:shd w:val="clear" w:color="000000" w:fill="C5D9F1"/>
            <w:vAlign w:val="bottom"/>
            <w:hideMark/>
          </w:tcPr>
          <w:p w14:paraId="0921D34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Priznana amortizacija 2020</w:t>
            </w:r>
          </w:p>
        </w:tc>
        <w:tc>
          <w:tcPr>
            <w:tcW w:w="1100" w:type="dxa"/>
            <w:shd w:val="clear" w:color="000000" w:fill="C5D9F1"/>
            <w:vAlign w:val="bottom"/>
            <w:hideMark/>
          </w:tcPr>
          <w:p w14:paraId="71B379A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Obračunana amortizacija 2020</w:t>
            </w:r>
          </w:p>
        </w:tc>
        <w:tc>
          <w:tcPr>
            <w:tcW w:w="960" w:type="dxa"/>
            <w:shd w:val="clear" w:color="000000" w:fill="C5D9F1"/>
            <w:noWrap/>
            <w:vAlign w:val="bottom"/>
            <w:hideMark/>
          </w:tcPr>
          <w:p w14:paraId="0D4FB9B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Razlika 2020</w:t>
            </w:r>
          </w:p>
        </w:tc>
      </w:tr>
      <w:tr w:rsidR="00FE461F" w:rsidRPr="005E4BEA" w14:paraId="3A1F6516" w14:textId="77777777" w:rsidTr="0016774B">
        <w:trPr>
          <w:trHeight w:val="113"/>
        </w:trPr>
        <w:tc>
          <w:tcPr>
            <w:tcW w:w="5098" w:type="dxa"/>
            <w:shd w:val="clear" w:color="auto" w:fill="auto"/>
            <w:hideMark/>
          </w:tcPr>
          <w:p w14:paraId="6C2BF8C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Celje</w:t>
            </w:r>
          </w:p>
        </w:tc>
        <w:tc>
          <w:tcPr>
            <w:tcW w:w="402" w:type="dxa"/>
            <w:shd w:val="clear" w:color="auto" w:fill="auto"/>
            <w:noWrap/>
            <w:vAlign w:val="bottom"/>
            <w:hideMark/>
          </w:tcPr>
          <w:p w14:paraId="6DF3AAA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6.086.460</w:t>
            </w:r>
          </w:p>
        </w:tc>
        <w:tc>
          <w:tcPr>
            <w:tcW w:w="1100" w:type="dxa"/>
            <w:shd w:val="clear" w:color="auto" w:fill="auto"/>
            <w:noWrap/>
            <w:vAlign w:val="bottom"/>
            <w:hideMark/>
          </w:tcPr>
          <w:p w14:paraId="37E6CA1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6.913.512</w:t>
            </w:r>
          </w:p>
        </w:tc>
        <w:tc>
          <w:tcPr>
            <w:tcW w:w="960" w:type="dxa"/>
            <w:shd w:val="clear" w:color="auto" w:fill="auto"/>
            <w:noWrap/>
            <w:vAlign w:val="bottom"/>
            <w:hideMark/>
          </w:tcPr>
          <w:p w14:paraId="2BE2E2B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-827.052</w:t>
            </w:r>
          </w:p>
        </w:tc>
      </w:tr>
      <w:tr w:rsidR="00FE461F" w:rsidRPr="005E4BEA" w14:paraId="7A6DE77E" w14:textId="77777777" w:rsidTr="0016774B">
        <w:trPr>
          <w:trHeight w:val="113"/>
        </w:trPr>
        <w:tc>
          <w:tcPr>
            <w:tcW w:w="5098" w:type="dxa"/>
            <w:shd w:val="clear" w:color="auto" w:fill="auto"/>
            <w:hideMark/>
          </w:tcPr>
          <w:p w14:paraId="6175CD1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Psihiatrična bolnišnica Vojnik</w:t>
            </w:r>
          </w:p>
        </w:tc>
        <w:tc>
          <w:tcPr>
            <w:tcW w:w="402" w:type="dxa"/>
            <w:shd w:val="clear" w:color="auto" w:fill="auto"/>
            <w:noWrap/>
            <w:vAlign w:val="bottom"/>
            <w:hideMark/>
          </w:tcPr>
          <w:p w14:paraId="7F49CBD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259.968</w:t>
            </w:r>
          </w:p>
        </w:tc>
        <w:tc>
          <w:tcPr>
            <w:tcW w:w="1100" w:type="dxa"/>
            <w:shd w:val="clear" w:color="auto" w:fill="auto"/>
            <w:noWrap/>
            <w:vAlign w:val="bottom"/>
            <w:hideMark/>
          </w:tcPr>
          <w:p w14:paraId="4D1EB55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352.492</w:t>
            </w:r>
          </w:p>
        </w:tc>
        <w:tc>
          <w:tcPr>
            <w:tcW w:w="960" w:type="dxa"/>
            <w:shd w:val="clear" w:color="auto" w:fill="auto"/>
            <w:noWrap/>
            <w:vAlign w:val="bottom"/>
            <w:hideMark/>
          </w:tcPr>
          <w:p w14:paraId="2E1F1B7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-92.524</w:t>
            </w:r>
          </w:p>
        </w:tc>
      </w:tr>
      <w:tr w:rsidR="00FE461F" w:rsidRPr="005E4BEA" w14:paraId="4CE0ED3C" w14:textId="77777777" w:rsidTr="0016774B">
        <w:trPr>
          <w:trHeight w:val="113"/>
        </w:trPr>
        <w:tc>
          <w:tcPr>
            <w:tcW w:w="5098" w:type="dxa"/>
            <w:shd w:val="clear" w:color="auto" w:fill="auto"/>
            <w:hideMark/>
          </w:tcPr>
          <w:p w14:paraId="6556B43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Izola</w:t>
            </w:r>
          </w:p>
        </w:tc>
        <w:tc>
          <w:tcPr>
            <w:tcW w:w="402" w:type="dxa"/>
            <w:shd w:val="clear" w:color="auto" w:fill="auto"/>
            <w:noWrap/>
            <w:vAlign w:val="bottom"/>
            <w:hideMark/>
          </w:tcPr>
          <w:p w14:paraId="4A4DCF3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3.709.259</w:t>
            </w:r>
          </w:p>
        </w:tc>
        <w:tc>
          <w:tcPr>
            <w:tcW w:w="1100" w:type="dxa"/>
            <w:shd w:val="clear" w:color="auto" w:fill="auto"/>
            <w:noWrap/>
            <w:vAlign w:val="bottom"/>
            <w:hideMark/>
          </w:tcPr>
          <w:p w14:paraId="26146F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3.710.639</w:t>
            </w:r>
          </w:p>
        </w:tc>
        <w:tc>
          <w:tcPr>
            <w:tcW w:w="960" w:type="dxa"/>
            <w:shd w:val="clear" w:color="auto" w:fill="auto"/>
            <w:noWrap/>
            <w:vAlign w:val="bottom"/>
            <w:hideMark/>
          </w:tcPr>
          <w:p w14:paraId="78F793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-1.380</w:t>
            </w:r>
          </w:p>
        </w:tc>
      </w:tr>
      <w:tr w:rsidR="00FE461F" w:rsidRPr="005E4BEA" w14:paraId="304B8E0D" w14:textId="77777777" w:rsidTr="0016774B">
        <w:trPr>
          <w:trHeight w:val="113"/>
        </w:trPr>
        <w:tc>
          <w:tcPr>
            <w:tcW w:w="5098" w:type="dxa"/>
            <w:shd w:val="clear" w:color="auto" w:fill="auto"/>
            <w:hideMark/>
          </w:tcPr>
          <w:p w14:paraId="6BF9E8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Bolnišnica Sežana</w:t>
            </w:r>
          </w:p>
        </w:tc>
        <w:tc>
          <w:tcPr>
            <w:tcW w:w="402" w:type="dxa"/>
            <w:shd w:val="clear" w:color="auto" w:fill="auto"/>
            <w:noWrap/>
            <w:vAlign w:val="bottom"/>
            <w:hideMark/>
          </w:tcPr>
          <w:p w14:paraId="6D667C5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245.371</w:t>
            </w:r>
          </w:p>
        </w:tc>
        <w:tc>
          <w:tcPr>
            <w:tcW w:w="1100" w:type="dxa"/>
            <w:shd w:val="clear" w:color="auto" w:fill="auto"/>
            <w:noWrap/>
            <w:vAlign w:val="bottom"/>
            <w:hideMark/>
          </w:tcPr>
          <w:p w14:paraId="0FBCCF6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457.064</w:t>
            </w:r>
          </w:p>
        </w:tc>
        <w:tc>
          <w:tcPr>
            <w:tcW w:w="960" w:type="dxa"/>
            <w:shd w:val="clear" w:color="auto" w:fill="auto"/>
            <w:noWrap/>
            <w:vAlign w:val="bottom"/>
            <w:hideMark/>
          </w:tcPr>
          <w:p w14:paraId="596C71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-211.693</w:t>
            </w:r>
          </w:p>
        </w:tc>
      </w:tr>
      <w:tr w:rsidR="00FE461F" w:rsidRPr="005E4BEA" w14:paraId="6A33A4D2" w14:textId="77777777" w:rsidTr="0016774B">
        <w:trPr>
          <w:trHeight w:val="113"/>
        </w:trPr>
        <w:tc>
          <w:tcPr>
            <w:tcW w:w="5098" w:type="dxa"/>
            <w:shd w:val="clear" w:color="auto" w:fill="auto"/>
            <w:hideMark/>
          </w:tcPr>
          <w:p w14:paraId="5D954B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Bolnišnica za ženske bolezni in porodništvo Postojna</w:t>
            </w:r>
          </w:p>
        </w:tc>
        <w:tc>
          <w:tcPr>
            <w:tcW w:w="402" w:type="dxa"/>
            <w:shd w:val="clear" w:color="auto" w:fill="auto"/>
            <w:noWrap/>
            <w:vAlign w:val="bottom"/>
            <w:hideMark/>
          </w:tcPr>
          <w:p w14:paraId="438EE70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258.774</w:t>
            </w:r>
          </w:p>
        </w:tc>
        <w:tc>
          <w:tcPr>
            <w:tcW w:w="1100" w:type="dxa"/>
            <w:shd w:val="clear" w:color="auto" w:fill="auto"/>
            <w:noWrap/>
            <w:vAlign w:val="bottom"/>
            <w:hideMark/>
          </w:tcPr>
          <w:p w14:paraId="5C4254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256.124</w:t>
            </w:r>
          </w:p>
        </w:tc>
        <w:tc>
          <w:tcPr>
            <w:tcW w:w="960" w:type="dxa"/>
            <w:shd w:val="clear" w:color="auto" w:fill="auto"/>
            <w:noWrap/>
            <w:vAlign w:val="bottom"/>
            <w:hideMark/>
          </w:tcPr>
          <w:p w14:paraId="77C20B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2.650</w:t>
            </w:r>
          </w:p>
        </w:tc>
      </w:tr>
      <w:tr w:rsidR="00FE461F" w:rsidRPr="005E4BEA" w14:paraId="041D74A8" w14:textId="77777777" w:rsidTr="0016774B">
        <w:trPr>
          <w:trHeight w:val="113"/>
        </w:trPr>
        <w:tc>
          <w:tcPr>
            <w:tcW w:w="5098" w:type="dxa"/>
            <w:shd w:val="clear" w:color="auto" w:fill="auto"/>
            <w:hideMark/>
          </w:tcPr>
          <w:p w14:paraId="5A4706A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Ortopedska bolnišnica Valdoltra</w:t>
            </w:r>
          </w:p>
        </w:tc>
        <w:tc>
          <w:tcPr>
            <w:tcW w:w="402" w:type="dxa"/>
            <w:shd w:val="clear" w:color="auto" w:fill="auto"/>
            <w:noWrap/>
            <w:vAlign w:val="bottom"/>
            <w:hideMark/>
          </w:tcPr>
          <w:p w14:paraId="71D6D98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1.735.336</w:t>
            </w:r>
          </w:p>
        </w:tc>
        <w:tc>
          <w:tcPr>
            <w:tcW w:w="1100" w:type="dxa"/>
            <w:shd w:val="clear" w:color="auto" w:fill="auto"/>
            <w:noWrap/>
            <w:vAlign w:val="bottom"/>
            <w:hideMark/>
          </w:tcPr>
          <w:p w14:paraId="5A641E5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1.664.649</w:t>
            </w:r>
          </w:p>
        </w:tc>
        <w:tc>
          <w:tcPr>
            <w:tcW w:w="960" w:type="dxa"/>
            <w:shd w:val="clear" w:color="auto" w:fill="auto"/>
            <w:noWrap/>
            <w:vAlign w:val="bottom"/>
            <w:hideMark/>
          </w:tcPr>
          <w:p w14:paraId="4DEC7A5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70.687</w:t>
            </w:r>
          </w:p>
        </w:tc>
      </w:tr>
      <w:tr w:rsidR="00FE461F" w:rsidRPr="005E4BEA" w14:paraId="7640B145" w14:textId="77777777" w:rsidTr="0016774B">
        <w:trPr>
          <w:trHeight w:val="113"/>
        </w:trPr>
        <w:tc>
          <w:tcPr>
            <w:tcW w:w="5098" w:type="dxa"/>
            <w:shd w:val="clear" w:color="auto" w:fill="auto"/>
            <w:hideMark/>
          </w:tcPr>
          <w:p w14:paraId="791114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Jesenice</w:t>
            </w:r>
          </w:p>
        </w:tc>
        <w:tc>
          <w:tcPr>
            <w:tcW w:w="402" w:type="dxa"/>
            <w:shd w:val="clear" w:color="auto" w:fill="auto"/>
            <w:noWrap/>
            <w:vAlign w:val="bottom"/>
            <w:hideMark/>
          </w:tcPr>
          <w:p w14:paraId="1F5964B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2.310.791</w:t>
            </w:r>
          </w:p>
        </w:tc>
        <w:tc>
          <w:tcPr>
            <w:tcW w:w="1100" w:type="dxa"/>
            <w:shd w:val="clear" w:color="auto" w:fill="auto"/>
            <w:noWrap/>
            <w:vAlign w:val="bottom"/>
            <w:hideMark/>
          </w:tcPr>
          <w:p w14:paraId="43793D1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2.418.703</w:t>
            </w:r>
          </w:p>
        </w:tc>
        <w:tc>
          <w:tcPr>
            <w:tcW w:w="960" w:type="dxa"/>
            <w:shd w:val="clear" w:color="auto" w:fill="auto"/>
            <w:noWrap/>
            <w:vAlign w:val="bottom"/>
            <w:hideMark/>
          </w:tcPr>
          <w:p w14:paraId="1D2A2E5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-107.912</w:t>
            </w:r>
          </w:p>
        </w:tc>
      </w:tr>
      <w:tr w:rsidR="00FE461F" w:rsidRPr="005E4BEA" w14:paraId="745CD7CA" w14:textId="77777777" w:rsidTr="0016774B">
        <w:trPr>
          <w:trHeight w:val="113"/>
        </w:trPr>
        <w:tc>
          <w:tcPr>
            <w:tcW w:w="5098" w:type="dxa"/>
            <w:shd w:val="clear" w:color="auto" w:fill="auto"/>
            <w:hideMark/>
          </w:tcPr>
          <w:p w14:paraId="2ADD92F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Bolnišnica za ginekologijo in porodništvo Kranj</w:t>
            </w:r>
          </w:p>
        </w:tc>
        <w:tc>
          <w:tcPr>
            <w:tcW w:w="402" w:type="dxa"/>
            <w:shd w:val="clear" w:color="auto" w:fill="auto"/>
            <w:noWrap/>
            <w:vAlign w:val="bottom"/>
            <w:hideMark/>
          </w:tcPr>
          <w:p w14:paraId="115BBA9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264.313</w:t>
            </w:r>
          </w:p>
        </w:tc>
        <w:tc>
          <w:tcPr>
            <w:tcW w:w="1100" w:type="dxa"/>
            <w:shd w:val="clear" w:color="auto" w:fill="auto"/>
            <w:noWrap/>
            <w:vAlign w:val="bottom"/>
            <w:hideMark/>
          </w:tcPr>
          <w:p w14:paraId="0712EB4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266.174</w:t>
            </w:r>
          </w:p>
        </w:tc>
        <w:tc>
          <w:tcPr>
            <w:tcW w:w="960" w:type="dxa"/>
            <w:shd w:val="clear" w:color="auto" w:fill="auto"/>
            <w:noWrap/>
            <w:vAlign w:val="bottom"/>
            <w:hideMark/>
          </w:tcPr>
          <w:p w14:paraId="7BD9FA1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-1.861</w:t>
            </w:r>
          </w:p>
        </w:tc>
      </w:tr>
      <w:tr w:rsidR="00FE461F" w:rsidRPr="005E4BEA" w14:paraId="7D8E50BF" w14:textId="77777777" w:rsidTr="0016774B">
        <w:trPr>
          <w:trHeight w:val="113"/>
        </w:trPr>
        <w:tc>
          <w:tcPr>
            <w:tcW w:w="5098" w:type="dxa"/>
            <w:shd w:val="clear" w:color="auto" w:fill="auto"/>
            <w:hideMark/>
          </w:tcPr>
          <w:p w14:paraId="28CF557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Psihiatrična bolnišnica Begunje</w:t>
            </w:r>
          </w:p>
        </w:tc>
        <w:tc>
          <w:tcPr>
            <w:tcW w:w="402" w:type="dxa"/>
            <w:shd w:val="clear" w:color="auto" w:fill="auto"/>
            <w:noWrap/>
            <w:vAlign w:val="bottom"/>
            <w:hideMark/>
          </w:tcPr>
          <w:p w14:paraId="350FBF6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285.119</w:t>
            </w:r>
          </w:p>
        </w:tc>
        <w:tc>
          <w:tcPr>
            <w:tcW w:w="1100" w:type="dxa"/>
            <w:shd w:val="clear" w:color="auto" w:fill="auto"/>
            <w:noWrap/>
            <w:vAlign w:val="bottom"/>
            <w:hideMark/>
          </w:tcPr>
          <w:p w14:paraId="382DC8B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300.914</w:t>
            </w:r>
          </w:p>
        </w:tc>
        <w:tc>
          <w:tcPr>
            <w:tcW w:w="960" w:type="dxa"/>
            <w:shd w:val="clear" w:color="auto" w:fill="auto"/>
            <w:noWrap/>
            <w:vAlign w:val="bottom"/>
            <w:hideMark/>
          </w:tcPr>
          <w:p w14:paraId="4F795A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-15.795</w:t>
            </w:r>
          </w:p>
        </w:tc>
      </w:tr>
      <w:tr w:rsidR="00FE461F" w:rsidRPr="005E4BEA" w14:paraId="1A484D4D" w14:textId="77777777" w:rsidTr="0016774B">
        <w:trPr>
          <w:trHeight w:val="113"/>
        </w:trPr>
        <w:tc>
          <w:tcPr>
            <w:tcW w:w="5098" w:type="dxa"/>
            <w:shd w:val="clear" w:color="auto" w:fill="auto"/>
            <w:hideMark/>
          </w:tcPr>
          <w:p w14:paraId="57BCB11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Univerzitetna klinika za pljučne bolezni in alergijo Golnik</w:t>
            </w:r>
          </w:p>
        </w:tc>
        <w:tc>
          <w:tcPr>
            <w:tcW w:w="402" w:type="dxa"/>
            <w:shd w:val="clear" w:color="auto" w:fill="auto"/>
            <w:noWrap/>
            <w:hideMark/>
          </w:tcPr>
          <w:p w14:paraId="7CE2830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1.124.165</w:t>
            </w:r>
          </w:p>
        </w:tc>
        <w:tc>
          <w:tcPr>
            <w:tcW w:w="1100" w:type="dxa"/>
            <w:shd w:val="clear" w:color="auto" w:fill="auto"/>
            <w:noWrap/>
            <w:hideMark/>
          </w:tcPr>
          <w:p w14:paraId="18C90B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2.007.022</w:t>
            </w:r>
          </w:p>
        </w:tc>
        <w:tc>
          <w:tcPr>
            <w:tcW w:w="960" w:type="dxa"/>
            <w:shd w:val="clear" w:color="auto" w:fill="auto"/>
            <w:noWrap/>
            <w:hideMark/>
          </w:tcPr>
          <w:p w14:paraId="73BC4FA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-882.857</w:t>
            </w:r>
          </w:p>
        </w:tc>
      </w:tr>
      <w:tr w:rsidR="00FE461F" w:rsidRPr="005E4BEA" w14:paraId="5232C7C3" w14:textId="77777777" w:rsidTr="0016774B">
        <w:trPr>
          <w:trHeight w:val="113"/>
        </w:trPr>
        <w:tc>
          <w:tcPr>
            <w:tcW w:w="5098" w:type="dxa"/>
            <w:shd w:val="clear" w:color="auto" w:fill="auto"/>
            <w:hideMark/>
          </w:tcPr>
          <w:p w14:paraId="62CA4D3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Brežice</w:t>
            </w:r>
          </w:p>
        </w:tc>
        <w:tc>
          <w:tcPr>
            <w:tcW w:w="402" w:type="dxa"/>
            <w:shd w:val="clear" w:color="auto" w:fill="auto"/>
            <w:noWrap/>
            <w:vAlign w:val="bottom"/>
            <w:hideMark/>
          </w:tcPr>
          <w:p w14:paraId="060184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871.136</w:t>
            </w:r>
          </w:p>
        </w:tc>
        <w:tc>
          <w:tcPr>
            <w:tcW w:w="1100" w:type="dxa"/>
            <w:shd w:val="clear" w:color="auto" w:fill="auto"/>
            <w:noWrap/>
            <w:vAlign w:val="bottom"/>
            <w:hideMark/>
          </w:tcPr>
          <w:p w14:paraId="0336F2E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1.084.361</w:t>
            </w:r>
          </w:p>
        </w:tc>
        <w:tc>
          <w:tcPr>
            <w:tcW w:w="960" w:type="dxa"/>
            <w:shd w:val="clear" w:color="auto" w:fill="auto"/>
            <w:noWrap/>
            <w:vAlign w:val="bottom"/>
            <w:hideMark/>
          </w:tcPr>
          <w:p w14:paraId="6E12617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-213.225</w:t>
            </w:r>
          </w:p>
        </w:tc>
      </w:tr>
      <w:tr w:rsidR="00FE461F" w:rsidRPr="005E4BEA" w14:paraId="4CFD15D9" w14:textId="77777777" w:rsidTr="0016774B">
        <w:trPr>
          <w:trHeight w:val="113"/>
        </w:trPr>
        <w:tc>
          <w:tcPr>
            <w:tcW w:w="5098" w:type="dxa"/>
            <w:shd w:val="clear" w:color="auto" w:fill="auto"/>
            <w:hideMark/>
          </w:tcPr>
          <w:p w14:paraId="01265C0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Univerzitetni klinični center Ljubljana</w:t>
            </w:r>
          </w:p>
        </w:tc>
        <w:tc>
          <w:tcPr>
            <w:tcW w:w="402" w:type="dxa"/>
            <w:shd w:val="clear" w:color="auto" w:fill="auto"/>
            <w:noWrap/>
            <w:vAlign w:val="bottom"/>
            <w:hideMark/>
          </w:tcPr>
          <w:p w14:paraId="37A570B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20.217.141</w:t>
            </w:r>
          </w:p>
        </w:tc>
        <w:tc>
          <w:tcPr>
            <w:tcW w:w="1100" w:type="dxa"/>
            <w:shd w:val="clear" w:color="auto" w:fill="auto"/>
            <w:noWrap/>
            <w:vAlign w:val="bottom"/>
            <w:hideMark/>
          </w:tcPr>
          <w:p w14:paraId="60E276E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22.199.287</w:t>
            </w:r>
          </w:p>
        </w:tc>
        <w:tc>
          <w:tcPr>
            <w:tcW w:w="960" w:type="dxa"/>
            <w:shd w:val="clear" w:color="auto" w:fill="auto"/>
            <w:noWrap/>
            <w:vAlign w:val="bottom"/>
            <w:hideMark/>
          </w:tcPr>
          <w:p w14:paraId="6AF827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-1.982.146</w:t>
            </w:r>
          </w:p>
        </w:tc>
      </w:tr>
      <w:tr w:rsidR="00FE461F" w:rsidRPr="005E4BEA" w14:paraId="1438568D" w14:textId="77777777" w:rsidTr="0016774B">
        <w:trPr>
          <w:trHeight w:val="113"/>
        </w:trPr>
        <w:tc>
          <w:tcPr>
            <w:tcW w:w="5098" w:type="dxa"/>
            <w:shd w:val="clear" w:color="auto" w:fill="auto"/>
            <w:hideMark/>
          </w:tcPr>
          <w:p w14:paraId="243C009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Onkološki inštitut Ljubljana</w:t>
            </w:r>
          </w:p>
        </w:tc>
        <w:tc>
          <w:tcPr>
            <w:tcW w:w="402" w:type="dxa"/>
            <w:shd w:val="clear" w:color="auto" w:fill="auto"/>
            <w:noWrap/>
            <w:vAlign w:val="bottom"/>
            <w:hideMark/>
          </w:tcPr>
          <w:p w14:paraId="2CEEB9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8.729.789</w:t>
            </w:r>
          </w:p>
        </w:tc>
        <w:tc>
          <w:tcPr>
            <w:tcW w:w="1100" w:type="dxa"/>
            <w:shd w:val="clear" w:color="auto" w:fill="auto"/>
            <w:noWrap/>
            <w:vAlign w:val="bottom"/>
            <w:hideMark/>
          </w:tcPr>
          <w:p w14:paraId="5D533D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9.046.000</w:t>
            </w:r>
          </w:p>
        </w:tc>
        <w:tc>
          <w:tcPr>
            <w:tcW w:w="960" w:type="dxa"/>
            <w:shd w:val="clear" w:color="auto" w:fill="auto"/>
            <w:noWrap/>
            <w:vAlign w:val="bottom"/>
            <w:hideMark/>
          </w:tcPr>
          <w:p w14:paraId="5D6F5C6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-316.211</w:t>
            </w:r>
          </w:p>
        </w:tc>
      </w:tr>
      <w:tr w:rsidR="00FE461F" w:rsidRPr="005E4BEA" w14:paraId="36E9E15E" w14:textId="77777777" w:rsidTr="0016774B">
        <w:trPr>
          <w:trHeight w:val="113"/>
        </w:trPr>
        <w:tc>
          <w:tcPr>
            <w:tcW w:w="5098" w:type="dxa"/>
            <w:shd w:val="clear" w:color="auto" w:fill="auto"/>
            <w:hideMark/>
          </w:tcPr>
          <w:p w14:paraId="505D1A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Univerzitetna psihiatrična klinika Ljubljana</w:t>
            </w:r>
          </w:p>
        </w:tc>
        <w:tc>
          <w:tcPr>
            <w:tcW w:w="402" w:type="dxa"/>
            <w:shd w:val="clear" w:color="auto" w:fill="auto"/>
            <w:noWrap/>
            <w:vAlign w:val="bottom"/>
            <w:hideMark/>
          </w:tcPr>
          <w:p w14:paraId="1EBFC1E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963.900</w:t>
            </w:r>
          </w:p>
        </w:tc>
        <w:tc>
          <w:tcPr>
            <w:tcW w:w="1100" w:type="dxa"/>
            <w:shd w:val="clear" w:color="auto" w:fill="auto"/>
            <w:noWrap/>
            <w:vAlign w:val="bottom"/>
            <w:hideMark/>
          </w:tcPr>
          <w:p w14:paraId="3D7E559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1.115.566</w:t>
            </w:r>
          </w:p>
        </w:tc>
        <w:tc>
          <w:tcPr>
            <w:tcW w:w="960" w:type="dxa"/>
            <w:shd w:val="clear" w:color="auto" w:fill="auto"/>
            <w:noWrap/>
            <w:vAlign w:val="bottom"/>
            <w:hideMark/>
          </w:tcPr>
          <w:p w14:paraId="32A6752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-151.666</w:t>
            </w:r>
          </w:p>
        </w:tc>
      </w:tr>
      <w:tr w:rsidR="00FE461F" w:rsidRPr="005E4BEA" w14:paraId="3B9BD125" w14:textId="77777777" w:rsidTr="0016774B">
        <w:trPr>
          <w:trHeight w:val="113"/>
        </w:trPr>
        <w:tc>
          <w:tcPr>
            <w:tcW w:w="5098" w:type="dxa"/>
            <w:shd w:val="clear" w:color="auto" w:fill="auto"/>
            <w:hideMark/>
          </w:tcPr>
          <w:p w14:paraId="457798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Univerzitetni rehabilitacijski inštitut RS - Soča</w:t>
            </w:r>
          </w:p>
        </w:tc>
        <w:tc>
          <w:tcPr>
            <w:tcW w:w="402" w:type="dxa"/>
            <w:shd w:val="clear" w:color="auto" w:fill="auto"/>
            <w:noWrap/>
            <w:vAlign w:val="bottom"/>
            <w:hideMark/>
          </w:tcPr>
          <w:p w14:paraId="18209B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928.508</w:t>
            </w:r>
          </w:p>
        </w:tc>
        <w:tc>
          <w:tcPr>
            <w:tcW w:w="1100" w:type="dxa"/>
            <w:shd w:val="clear" w:color="auto" w:fill="auto"/>
            <w:noWrap/>
            <w:vAlign w:val="bottom"/>
            <w:hideMark/>
          </w:tcPr>
          <w:p w14:paraId="35E7D27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2.017.818</w:t>
            </w:r>
          </w:p>
        </w:tc>
        <w:tc>
          <w:tcPr>
            <w:tcW w:w="960" w:type="dxa"/>
            <w:shd w:val="clear" w:color="auto" w:fill="auto"/>
            <w:noWrap/>
            <w:vAlign w:val="bottom"/>
            <w:hideMark/>
          </w:tcPr>
          <w:p w14:paraId="19826C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-1.089.310</w:t>
            </w:r>
          </w:p>
        </w:tc>
      </w:tr>
      <w:tr w:rsidR="00FE461F" w:rsidRPr="005E4BEA" w14:paraId="48A7E9B1" w14:textId="77777777" w:rsidTr="0016774B">
        <w:trPr>
          <w:trHeight w:val="113"/>
        </w:trPr>
        <w:tc>
          <w:tcPr>
            <w:tcW w:w="5098" w:type="dxa"/>
            <w:shd w:val="clear" w:color="auto" w:fill="auto"/>
            <w:hideMark/>
          </w:tcPr>
          <w:p w14:paraId="63B34AD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Trbovlje</w:t>
            </w:r>
          </w:p>
        </w:tc>
        <w:tc>
          <w:tcPr>
            <w:tcW w:w="402" w:type="dxa"/>
            <w:shd w:val="clear" w:color="auto" w:fill="auto"/>
            <w:noWrap/>
            <w:vAlign w:val="bottom"/>
            <w:hideMark/>
          </w:tcPr>
          <w:p w14:paraId="704BD2A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1.008.715</w:t>
            </w:r>
          </w:p>
        </w:tc>
        <w:tc>
          <w:tcPr>
            <w:tcW w:w="1100" w:type="dxa"/>
            <w:shd w:val="clear" w:color="auto" w:fill="auto"/>
            <w:noWrap/>
            <w:vAlign w:val="bottom"/>
            <w:hideMark/>
          </w:tcPr>
          <w:p w14:paraId="27DC5C3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1.085.451</w:t>
            </w:r>
          </w:p>
        </w:tc>
        <w:tc>
          <w:tcPr>
            <w:tcW w:w="960" w:type="dxa"/>
            <w:shd w:val="clear" w:color="auto" w:fill="auto"/>
            <w:noWrap/>
            <w:vAlign w:val="bottom"/>
            <w:hideMark/>
          </w:tcPr>
          <w:p w14:paraId="4BCB131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-76.736</w:t>
            </w:r>
          </w:p>
        </w:tc>
      </w:tr>
      <w:tr w:rsidR="00FE461F" w:rsidRPr="005E4BEA" w14:paraId="34C9AF14" w14:textId="77777777" w:rsidTr="0016774B">
        <w:trPr>
          <w:trHeight w:val="113"/>
        </w:trPr>
        <w:tc>
          <w:tcPr>
            <w:tcW w:w="5098" w:type="dxa"/>
            <w:shd w:val="clear" w:color="auto" w:fill="auto"/>
            <w:hideMark/>
          </w:tcPr>
          <w:p w14:paraId="6CBCF5B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Psihiatrična bolnišnica Idrija</w:t>
            </w:r>
          </w:p>
        </w:tc>
        <w:tc>
          <w:tcPr>
            <w:tcW w:w="402" w:type="dxa"/>
            <w:shd w:val="clear" w:color="auto" w:fill="auto"/>
            <w:noWrap/>
            <w:vAlign w:val="bottom"/>
            <w:hideMark/>
          </w:tcPr>
          <w:p w14:paraId="282AE26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307.509</w:t>
            </w:r>
          </w:p>
        </w:tc>
        <w:tc>
          <w:tcPr>
            <w:tcW w:w="1100" w:type="dxa"/>
            <w:shd w:val="clear" w:color="auto" w:fill="auto"/>
            <w:noWrap/>
            <w:vAlign w:val="bottom"/>
            <w:hideMark/>
          </w:tcPr>
          <w:p w14:paraId="103BF4A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380.455</w:t>
            </w:r>
          </w:p>
        </w:tc>
        <w:tc>
          <w:tcPr>
            <w:tcW w:w="960" w:type="dxa"/>
            <w:shd w:val="clear" w:color="auto" w:fill="auto"/>
            <w:noWrap/>
            <w:vAlign w:val="bottom"/>
            <w:hideMark/>
          </w:tcPr>
          <w:p w14:paraId="6725EB8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-72.946</w:t>
            </w:r>
          </w:p>
        </w:tc>
      </w:tr>
      <w:tr w:rsidR="00FE461F" w:rsidRPr="005E4BEA" w14:paraId="3E24AD52" w14:textId="77777777" w:rsidTr="0016774B">
        <w:trPr>
          <w:trHeight w:val="113"/>
        </w:trPr>
        <w:tc>
          <w:tcPr>
            <w:tcW w:w="5098" w:type="dxa"/>
            <w:shd w:val="clear" w:color="auto" w:fill="auto"/>
            <w:hideMark/>
          </w:tcPr>
          <w:p w14:paraId="384E509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Center za zdravljenje bolezni otrok Šentvid pri Stični</w:t>
            </w:r>
          </w:p>
        </w:tc>
        <w:tc>
          <w:tcPr>
            <w:tcW w:w="402" w:type="dxa"/>
            <w:shd w:val="clear" w:color="auto" w:fill="auto"/>
            <w:noWrap/>
            <w:vAlign w:val="bottom"/>
            <w:hideMark/>
          </w:tcPr>
          <w:p w14:paraId="2F7728F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87.540</w:t>
            </w:r>
          </w:p>
        </w:tc>
        <w:tc>
          <w:tcPr>
            <w:tcW w:w="1100" w:type="dxa"/>
            <w:shd w:val="clear" w:color="auto" w:fill="auto"/>
            <w:noWrap/>
            <w:vAlign w:val="bottom"/>
            <w:hideMark/>
          </w:tcPr>
          <w:p w14:paraId="096A8F3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123.554</w:t>
            </w:r>
          </w:p>
        </w:tc>
        <w:tc>
          <w:tcPr>
            <w:tcW w:w="960" w:type="dxa"/>
            <w:shd w:val="clear" w:color="auto" w:fill="auto"/>
            <w:noWrap/>
            <w:vAlign w:val="bottom"/>
            <w:hideMark/>
          </w:tcPr>
          <w:p w14:paraId="580475B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-36.014</w:t>
            </w:r>
          </w:p>
        </w:tc>
      </w:tr>
      <w:tr w:rsidR="00FE461F" w:rsidRPr="005E4BEA" w14:paraId="10E80363" w14:textId="77777777" w:rsidTr="0016774B">
        <w:trPr>
          <w:trHeight w:val="113"/>
        </w:trPr>
        <w:tc>
          <w:tcPr>
            <w:tcW w:w="5098" w:type="dxa"/>
            <w:shd w:val="clear" w:color="auto" w:fill="auto"/>
            <w:hideMark/>
          </w:tcPr>
          <w:p w14:paraId="2019F35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Mladinsko klimatsko zdravilišče Rakitna</w:t>
            </w:r>
          </w:p>
        </w:tc>
        <w:tc>
          <w:tcPr>
            <w:tcW w:w="402" w:type="dxa"/>
            <w:shd w:val="clear" w:color="auto" w:fill="auto"/>
            <w:noWrap/>
            <w:vAlign w:val="bottom"/>
            <w:hideMark/>
          </w:tcPr>
          <w:p w14:paraId="1E990E3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69.020</w:t>
            </w:r>
          </w:p>
        </w:tc>
        <w:tc>
          <w:tcPr>
            <w:tcW w:w="1100" w:type="dxa"/>
            <w:shd w:val="clear" w:color="auto" w:fill="auto"/>
            <w:noWrap/>
            <w:vAlign w:val="bottom"/>
            <w:hideMark/>
          </w:tcPr>
          <w:p w14:paraId="70C279D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117.985</w:t>
            </w:r>
          </w:p>
        </w:tc>
        <w:tc>
          <w:tcPr>
            <w:tcW w:w="960" w:type="dxa"/>
            <w:shd w:val="clear" w:color="auto" w:fill="auto"/>
            <w:noWrap/>
            <w:vAlign w:val="bottom"/>
            <w:hideMark/>
          </w:tcPr>
          <w:p w14:paraId="6FC9199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-48.965</w:t>
            </w:r>
          </w:p>
        </w:tc>
      </w:tr>
      <w:tr w:rsidR="00FE461F" w:rsidRPr="005E4BEA" w14:paraId="1DA313B6" w14:textId="77777777" w:rsidTr="0016774B">
        <w:trPr>
          <w:trHeight w:val="113"/>
        </w:trPr>
        <w:tc>
          <w:tcPr>
            <w:tcW w:w="5098" w:type="dxa"/>
            <w:shd w:val="clear" w:color="auto" w:fill="auto"/>
            <w:hideMark/>
          </w:tcPr>
          <w:p w14:paraId="2FD6A9B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Univerzitetni klinični center Maribor</w:t>
            </w:r>
          </w:p>
        </w:tc>
        <w:tc>
          <w:tcPr>
            <w:tcW w:w="402" w:type="dxa"/>
            <w:shd w:val="clear" w:color="auto" w:fill="auto"/>
            <w:noWrap/>
            <w:vAlign w:val="bottom"/>
            <w:hideMark/>
          </w:tcPr>
          <w:p w14:paraId="593A50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10.647.589</w:t>
            </w:r>
          </w:p>
        </w:tc>
        <w:tc>
          <w:tcPr>
            <w:tcW w:w="1100" w:type="dxa"/>
            <w:shd w:val="clear" w:color="auto" w:fill="auto"/>
            <w:noWrap/>
            <w:vAlign w:val="bottom"/>
            <w:hideMark/>
          </w:tcPr>
          <w:p w14:paraId="2D363D0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11.443.438</w:t>
            </w:r>
          </w:p>
        </w:tc>
        <w:tc>
          <w:tcPr>
            <w:tcW w:w="960" w:type="dxa"/>
            <w:shd w:val="clear" w:color="auto" w:fill="auto"/>
            <w:noWrap/>
            <w:vAlign w:val="bottom"/>
            <w:hideMark/>
          </w:tcPr>
          <w:p w14:paraId="14D07E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-795.849</w:t>
            </w:r>
          </w:p>
        </w:tc>
      </w:tr>
      <w:tr w:rsidR="00FE461F" w:rsidRPr="005E4BEA" w14:paraId="3A3FCECE" w14:textId="77777777" w:rsidTr="0016774B">
        <w:trPr>
          <w:trHeight w:val="113"/>
        </w:trPr>
        <w:tc>
          <w:tcPr>
            <w:tcW w:w="5098" w:type="dxa"/>
            <w:shd w:val="clear" w:color="auto" w:fill="auto"/>
            <w:hideMark/>
          </w:tcPr>
          <w:p w14:paraId="1437E2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dr. Jožeta Potrča Ptuj</w:t>
            </w:r>
          </w:p>
        </w:tc>
        <w:tc>
          <w:tcPr>
            <w:tcW w:w="402" w:type="dxa"/>
            <w:shd w:val="clear" w:color="auto" w:fill="auto"/>
            <w:noWrap/>
            <w:vAlign w:val="bottom"/>
            <w:hideMark/>
          </w:tcPr>
          <w:p w14:paraId="3EE696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1.762.843</w:t>
            </w:r>
          </w:p>
        </w:tc>
        <w:tc>
          <w:tcPr>
            <w:tcW w:w="1100" w:type="dxa"/>
            <w:shd w:val="clear" w:color="auto" w:fill="auto"/>
            <w:noWrap/>
            <w:vAlign w:val="bottom"/>
            <w:hideMark/>
          </w:tcPr>
          <w:p w14:paraId="2F25F82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1.460.171</w:t>
            </w:r>
          </w:p>
        </w:tc>
        <w:tc>
          <w:tcPr>
            <w:tcW w:w="960" w:type="dxa"/>
            <w:shd w:val="clear" w:color="auto" w:fill="auto"/>
            <w:noWrap/>
            <w:vAlign w:val="bottom"/>
            <w:hideMark/>
          </w:tcPr>
          <w:p w14:paraId="5EAD526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302.672</w:t>
            </w:r>
          </w:p>
        </w:tc>
      </w:tr>
      <w:tr w:rsidR="00FE461F" w:rsidRPr="005E4BEA" w14:paraId="549C4BDF" w14:textId="77777777" w:rsidTr="0016774B">
        <w:trPr>
          <w:trHeight w:val="113"/>
        </w:trPr>
        <w:tc>
          <w:tcPr>
            <w:tcW w:w="5098" w:type="dxa"/>
            <w:shd w:val="clear" w:color="auto" w:fill="auto"/>
            <w:hideMark/>
          </w:tcPr>
          <w:p w14:paraId="3CED78F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Psihiatrična bolnišnica Ormož</w:t>
            </w:r>
          </w:p>
        </w:tc>
        <w:tc>
          <w:tcPr>
            <w:tcW w:w="402" w:type="dxa"/>
            <w:shd w:val="clear" w:color="auto" w:fill="auto"/>
            <w:noWrap/>
            <w:vAlign w:val="bottom"/>
            <w:hideMark/>
          </w:tcPr>
          <w:p w14:paraId="7D45BA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205.254</w:t>
            </w:r>
          </w:p>
        </w:tc>
        <w:tc>
          <w:tcPr>
            <w:tcW w:w="1100" w:type="dxa"/>
            <w:shd w:val="clear" w:color="auto" w:fill="auto"/>
            <w:noWrap/>
            <w:vAlign w:val="bottom"/>
            <w:hideMark/>
          </w:tcPr>
          <w:p w14:paraId="76FE57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207.693</w:t>
            </w:r>
          </w:p>
        </w:tc>
        <w:tc>
          <w:tcPr>
            <w:tcW w:w="960" w:type="dxa"/>
            <w:shd w:val="clear" w:color="auto" w:fill="auto"/>
            <w:noWrap/>
            <w:vAlign w:val="bottom"/>
            <w:hideMark/>
          </w:tcPr>
          <w:p w14:paraId="166C524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-2.439</w:t>
            </w:r>
          </w:p>
        </w:tc>
      </w:tr>
      <w:tr w:rsidR="00FE461F" w:rsidRPr="005E4BEA" w14:paraId="47801857" w14:textId="77777777" w:rsidTr="0016774B">
        <w:trPr>
          <w:trHeight w:val="113"/>
        </w:trPr>
        <w:tc>
          <w:tcPr>
            <w:tcW w:w="5098" w:type="dxa"/>
            <w:shd w:val="clear" w:color="auto" w:fill="auto"/>
            <w:hideMark/>
          </w:tcPr>
          <w:p w14:paraId="0B17961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Murska Sobota</w:t>
            </w:r>
          </w:p>
        </w:tc>
        <w:tc>
          <w:tcPr>
            <w:tcW w:w="402" w:type="dxa"/>
            <w:shd w:val="clear" w:color="auto" w:fill="auto"/>
            <w:noWrap/>
            <w:vAlign w:val="bottom"/>
            <w:hideMark/>
          </w:tcPr>
          <w:p w14:paraId="22E4947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3.375.795</w:t>
            </w:r>
          </w:p>
        </w:tc>
        <w:tc>
          <w:tcPr>
            <w:tcW w:w="1100" w:type="dxa"/>
            <w:shd w:val="clear" w:color="auto" w:fill="auto"/>
            <w:noWrap/>
            <w:vAlign w:val="bottom"/>
            <w:hideMark/>
          </w:tcPr>
          <w:p w14:paraId="361F88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3.701.765</w:t>
            </w:r>
          </w:p>
        </w:tc>
        <w:tc>
          <w:tcPr>
            <w:tcW w:w="960" w:type="dxa"/>
            <w:shd w:val="clear" w:color="auto" w:fill="auto"/>
            <w:noWrap/>
            <w:vAlign w:val="bottom"/>
            <w:hideMark/>
          </w:tcPr>
          <w:p w14:paraId="72C3402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-325.970</w:t>
            </w:r>
          </w:p>
        </w:tc>
      </w:tr>
      <w:tr w:rsidR="00FE461F" w:rsidRPr="005E4BEA" w14:paraId="3DA5EC62" w14:textId="77777777" w:rsidTr="0016774B">
        <w:trPr>
          <w:trHeight w:val="113"/>
        </w:trPr>
        <w:tc>
          <w:tcPr>
            <w:tcW w:w="5098" w:type="dxa"/>
            <w:shd w:val="clear" w:color="auto" w:fill="auto"/>
            <w:hideMark/>
          </w:tcPr>
          <w:p w14:paraId="1832A03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dr. Franca Derganca Nova Gorica</w:t>
            </w:r>
          </w:p>
        </w:tc>
        <w:tc>
          <w:tcPr>
            <w:tcW w:w="402" w:type="dxa"/>
            <w:shd w:val="clear" w:color="auto" w:fill="auto"/>
            <w:noWrap/>
            <w:vAlign w:val="bottom"/>
            <w:hideMark/>
          </w:tcPr>
          <w:p w14:paraId="693A2DC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2.502.987</w:t>
            </w:r>
          </w:p>
        </w:tc>
        <w:tc>
          <w:tcPr>
            <w:tcW w:w="1100" w:type="dxa"/>
            <w:shd w:val="clear" w:color="auto" w:fill="auto"/>
            <w:noWrap/>
            <w:vAlign w:val="bottom"/>
            <w:hideMark/>
          </w:tcPr>
          <w:p w14:paraId="77FC3C6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2.074.425</w:t>
            </w:r>
          </w:p>
        </w:tc>
        <w:tc>
          <w:tcPr>
            <w:tcW w:w="960" w:type="dxa"/>
            <w:shd w:val="clear" w:color="auto" w:fill="auto"/>
            <w:noWrap/>
            <w:vAlign w:val="bottom"/>
            <w:hideMark/>
          </w:tcPr>
          <w:p w14:paraId="22A561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428.562</w:t>
            </w:r>
          </w:p>
        </w:tc>
      </w:tr>
      <w:tr w:rsidR="00FE461F" w:rsidRPr="005E4BEA" w14:paraId="277909C5" w14:textId="77777777" w:rsidTr="0016774B">
        <w:trPr>
          <w:trHeight w:val="113"/>
        </w:trPr>
        <w:tc>
          <w:tcPr>
            <w:tcW w:w="5098" w:type="dxa"/>
            <w:shd w:val="clear" w:color="auto" w:fill="auto"/>
            <w:hideMark/>
          </w:tcPr>
          <w:p w14:paraId="216A4F8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Splošna bolnišnica Novo mesto</w:t>
            </w:r>
          </w:p>
        </w:tc>
        <w:tc>
          <w:tcPr>
            <w:tcW w:w="402" w:type="dxa"/>
            <w:shd w:val="clear" w:color="auto" w:fill="auto"/>
            <w:noWrap/>
            <w:vAlign w:val="bottom"/>
            <w:hideMark/>
          </w:tcPr>
          <w:p w14:paraId="067AE04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4.109.482</w:t>
            </w:r>
          </w:p>
        </w:tc>
        <w:tc>
          <w:tcPr>
            <w:tcW w:w="1100" w:type="dxa"/>
            <w:shd w:val="clear" w:color="auto" w:fill="auto"/>
            <w:noWrap/>
            <w:vAlign w:val="bottom"/>
            <w:hideMark/>
          </w:tcPr>
          <w:p w14:paraId="32FA56D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4.153.094</w:t>
            </w:r>
          </w:p>
        </w:tc>
        <w:tc>
          <w:tcPr>
            <w:tcW w:w="960" w:type="dxa"/>
            <w:shd w:val="clear" w:color="auto" w:fill="auto"/>
            <w:noWrap/>
            <w:vAlign w:val="bottom"/>
            <w:hideMark/>
          </w:tcPr>
          <w:p w14:paraId="48E22A2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-43.612</w:t>
            </w:r>
          </w:p>
        </w:tc>
      </w:tr>
      <w:tr w:rsidR="00FE461F" w:rsidRPr="005E4BEA" w14:paraId="3AC12908" w14:textId="77777777" w:rsidTr="0016774B">
        <w:trPr>
          <w:trHeight w:val="113"/>
        </w:trPr>
        <w:tc>
          <w:tcPr>
            <w:tcW w:w="5098" w:type="dxa"/>
            <w:shd w:val="clear" w:color="auto" w:fill="auto"/>
            <w:hideMark/>
          </w:tcPr>
          <w:p w14:paraId="697882F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lastRenderedPageBreak/>
              <w:t>Splošna bolnišnica Slovenj Gradec</w:t>
            </w:r>
          </w:p>
        </w:tc>
        <w:tc>
          <w:tcPr>
            <w:tcW w:w="402" w:type="dxa"/>
            <w:shd w:val="clear" w:color="auto" w:fill="auto"/>
            <w:noWrap/>
            <w:vAlign w:val="bottom"/>
            <w:hideMark/>
          </w:tcPr>
          <w:p w14:paraId="4F45F52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2.575.178</w:t>
            </w:r>
          </w:p>
        </w:tc>
        <w:tc>
          <w:tcPr>
            <w:tcW w:w="1100" w:type="dxa"/>
            <w:shd w:val="clear" w:color="auto" w:fill="auto"/>
            <w:noWrap/>
            <w:vAlign w:val="bottom"/>
            <w:hideMark/>
          </w:tcPr>
          <w:p w14:paraId="49D9EF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5.262.076</w:t>
            </w:r>
          </w:p>
        </w:tc>
        <w:tc>
          <w:tcPr>
            <w:tcW w:w="960" w:type="dxa"/>
            <w:shd w:val="clear" w:color="auto" w:fill="auto"/>
            <w:noWrap/>
            <w:vAlign w:val="bottom"/>
            <w:hideMark/>
          </w:tcPr>
          <w:p w14:paraId="48BDF73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-2.686.898</w:t>
            </w:r>
          </w:p>
        </w:tc>
      </w:tr>
      <w:tr w:rsidR="00FE461F" w:rsidRPr="005E4BEA" w14:paraId="5D2E1F6C" w14:textId="77777777" w:rsidTr="0016774B">
        <w:trPr>
          <w:trHeight w:val="113"/>
        </w:trPr>
        <w:tc>
          <w:tcPr>
            <w:tcW w:w="5098" w:type="dxa"/>
            <w:shd w:val="clear" w:color="auto" w:fill="auto"/>
            <w:hideMark/>
          </w:tcPr>
          <w:p w14:paraId="1F4FF90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Bolnišnica Topolšica</w:t>
            </w:r>
          </w:p>
        </w:tc>
        <w:tc>
          <w:tcPr>
            <w:tcW w:w="402" w:type="dxa"/>
            <w:shd w:val="clear" w:color="auto" w:fill="auto"/>
            <w:noWrap/>
            <w:vAlign w:val="bottom"/>
            <w:hideMark/>
          </w:tcPr>
          <w:p w14:paraId="5A10D18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584.647</w:t>
            </w:r>
          </w:p>
        </w:tc>
        <w:tc>
          <w:tcPr>
            <w:tcW w:w="1100" w:type="dxa"/>
            <w:shd w:val="clear" w:color="auto" w:fill="auto"/>
            <w:noWrap/>
            <w:vAlign w:val="bottom"/>
            <w:hideMark/>
          </w:tcPr>
          <w:p w14:paraId="52427E3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780.157</w:t>
            </w:r>
          </w:p>
        </w:tc>
        <w:tc>
          <w:tcPr>
            <w:tcW w:w="960" w:type="dxa"/>
            <w:shd w:val="clear" w:color="auto" w:fill="auto"/>
            <w:noWrap/>
            <w:vAlign w:val="bottom"/>
            <w:hideMark/>
          </w:tcPr>
          <w:p w14:paraId="5BF18FF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-195.510</w:t>
            </w:r>
          </w:p>
        </w:tc>
      </w:tr>
      <w:tr w:rsidR="00FE461F" w:rsidRPr="005E4BEA" w14:paraId="3F6E410D" w14:textId="77777777" w:rsidTr="0016774B">
        <w:trPr>
          <w:trHeight w:val="113"/>
        </w:trPr>
        <w:tc>
          <w:tcPr>
            <w:tcW w:w="5098" w:type="dxa"/>
            <w:shd w:val="clear" w:color="auto" w:fill="auto"/>
            <w:hideMark/>
          </w:tcPr>
          <w:p w14:paraId="4D7860C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Vse bolnišnice skupaj</w:t>
            </w:r>
          </w:p>
        </w:tc>
        <w:tc>
          <w:tcPr>
            <w:tcW w:w="402" w:type="dxa"/>
            <w:shd w:val="clear" w:color="000000" w:fill="FFFF00"/>
            <w:noWrap/>
            <w:vAlign w:val="bottom"/>
            <w:hideMark/>
          </w:tcPr>
          <w:p w14:paraId="1E24A2E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75.226.589</w:t>
            </w:r>
          </w:p>
        </w:tc>
        <w:tc>
          <w:tcPr>
            <w:tcW w:w="1100" w:type="dxa"/>
            <w:shd w:val="clear" w:color="000000" w:fill="FFFF00"/>
            <w:noWrap/>
            <w:vAlign w:val="bottom"/>
            <w:hideMark/>
          </w:tcPr>
          <w:p w14:paraId="7E89789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84.600.588</w:t>
            </w:r>
          </w:p>
        </w:tc>
        <w:tc>
          <w:tcPr>
            <w:tcW w:w="960" w:type="dxa"/>
            <w:shd w:val="clear" w:color="000000" w:fill="FFFF00"/>
            <w:noWrap/>
            <w:vAlign w:val="bottom"/>
            <w:hideMark/>
          </w:tcPr>
          <w:p w14:paraId="7AE507E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-9.373.998</w:t>
            </w:r>
          </w:p>
        </w:tc>
      </w:tr>
    </w:tbl>
    <w:p w14:paraId="03C278DA" w14:textId="77777777" w:rsidR="00FE461F" w:rsidRPr="005E4BEA" w:rsidRDefault="00FE461F" w:rsidP="00FE461F">
      <w:pPr>
        <w:spacing w:line="240" w:lineRule="auto"/>
        <w:jc w:val="both"/>
        <w:rPr>
          <w:rFonts w:cs="Arial"/>
          <w:i/>
          <w:iCs/>
          <w:color w:val="808080" w:themeColor="background1" w:themeShade="80"/>
          <w:szCs w:val="20"/>
        </w:rPr>
      </w:pPr>
    </w:p>
    <w:tbl>
      <w:tblPr>
        <w:tblW w:w="82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4951"/>
        <w:gridCol w:w="1262"/>
        <w:gridCol w:w="1272"/>
        <w:gridCol w:w="1003"/>
      </w:tblGrid>
      <w:tr w:rsidR="00FE461F" w:rsidRPr="005E4BEA" w14:paraId="1F3AC03C" w14:textId="77777777" w:rsidTr="0016774B">
        <w:trPr>
          <w:trHeight w:val="113"/>
        </w:trPr>
        <w:tc>
          <w:tcPr>
            <w:tcW w:w="5098" w:type="dxa"/>
            <w:shd w:val="clear" w:color="000000" w:fill="C5D9F1"/>
            <w:noWrap/>
            <w:vAlign w:val="bottom"/>
            <w:hideMark/>
          </w:tcPr>
          <w:p w14:paraId="56A2F09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DRUGI JZZ</w:t>
            </w:r>
          </w:p>
        </w:tc>
        <w:tc>
          <w:tcPr>
            <w:tcW w:w="1089" w:type="dxa"/>
            <w:shd w:val="clear" w:color="000000" w:fill="C5D9F1"/>
            <w:vAlign w:val="bottom"/>
            <w:hideMark/>
          </w:tcPr>
          <w:p w14:paraId="43F520A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Priznana amortizacija</w:t>
            </w:r>
          </w:p>
        </w:tc>
        <w:tc>
          <w:tcPr>
            <w:tcW w:w="1100" w:type="dxa"/>
            <w:shd w:val="clear" w:color="000000" w:fill="C5D9F1"/>
            <w:vAlign w:val="bottom"/>
            <w:hideMark/>
          </w:tcPr>
          <w:p w14:paraId="2DF1B4C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Obračunana amortizacija</w:t>
            </w:r>
          </w:p>
        </w:tc>
        <w:tc>
          <w:tcPr>
            <w:tcW w:w="960" w:type="dxa"/>
            <w:shd w:val="clear" w:color="000000" w:fill="C5D9F1"/>
            <w:noWrap/>
            <w:vAlign w:val="bottom"/>
            <w:hideMark/>
          </w:tcPr>
          <w:p w14:paraId="2CB10C8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Razlika</w:t>
            </w:r>
          </w:p>
        </w:tc>
      </w:tr>
      <w:tr w:rsidR="00FE461F" w:rsidRPr="005E4BEA" w14:paraId="4BFF3427" w14:textId="77777777" w:rsidTr="0016774B">
        <w:trPr>
          <w:trHeight w:val="113"/>
        </w:trPr>
        <w:tc>
          <w:tcPr>
            <w:tcW w:w="5098" w:type="dxa"/>
            <w:shd w:val="clear" w:color="auto" w:fill="auto"/>
            <w:hideMark/>
          </w:tcPr>
          <w:p w14:paraId="2BED76D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Nacionalni inštitut za javno zdravje</w:t>
            </w:r>
          </w:p>
        </w:tc>
        <w:tc>
          <w:tcPr>
            <w:tcW w:w="1089" w:type="dxa"/>
            <w:shd w:val="clear" w:color="auto" w:fill="auto"/>
            <w:noWrap/>
            <w:vAlign w:val="bottom"/>
            <w:hideMark/>
          </w:tcPr>
          <w:p w14:paraId="4FF4128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805.505</w:t>
            </w:r>
          </w:p>
        </w:tc>
        <w:tc>
          <w:tcPr>
            <w:tcW w:w="1100" w:type="dxa"/>
            <w:shd w:val="clear" w:color="auto" w:fill="auto"/>
            <w:noWrap/>
            <w:vAlign w:val="bottom"/>
            <w:hideMark/>
          </w:tcPr>
          <w:p w14:paraId="6177C6B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2.359.559</w:t>
            </w:r>
          </w:p>
        </w:tc>
        <w:tc>
          <w:tcPr>
            <w:tcW w:w="960" w:type="dxa"/>
            <w:shd w:val="clear" w:color="auto" w:fill="auto"/>
            <w:noWrap/>
            <w:vAlign w:val="bottom"/>
            <w:hideMark/>
          </w:tcPr>
          <w:p w14:paraId="4B1050F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-1.554.054</w:t>
            </w:r>
          </w:p>
        </w:tc>
      </w:tr>
      <w:tr w:rsidR="00FE461F" w:rsidRPr="005E4BEA" w14:paraId="625B4F09" w14:textId="77777777" w:rsidTr="0016774B">
        <w:trPr>
          <w:trHeight w:val="113"/>
        </w:trPr>
        <w:tc>
          <w:tcPr>
            <w:tcW w:w="5098" w:type="dxa"/>
            <w:shd w:val="clear" w:color="auto" w:fill="auto"/>
            <w:hideMark/>
          </w:tcPr>
          <w:p w14:paraId="188091E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Zavod RS za transfuzijsko medicino Ljubljana</w:t>
            </w:r>
          </w:p>
        </w:tc>
        <w:tc>
          <w:tcPr>
            <w:tcW w:w="1089" w:type="dxa"/>
            <w:shd w:val="clear" w:color="auto" w:fill="auto"/>
            <w:noWrap/>
            <w:vAlign w:val="bottom"/>
            <w:hideMark/>
          </w:tcPr>
          <w:p w14:paraId="1769838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00" w:type="dxa"/>
            <w:shd w:val="clear" w:color="auto" w:fill="auto"/>
            <w:noWrap/>
            <w:vAlign w:val="bottom"/>
            <w:hideMark/>
          </w:tcPr>
          <w:p w14:paraId="45E70E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960" w:type="dxa"/>
            <w:shd w:val="clear" w:color="auto" w:fill="auto"/>
            <w:noWrap/>
            <w:vAlign w:val="bottom"/>
            <w:hideMark/>
          </w:tcPr>
          <w:p w14:paraId="4C227E7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r>
      <w:tr w:rsidR="00FE461F" w:rsidRPr="005E4BEA" w14:paraId="2F55D582" w14:textId="77777777" w:rsidTr="0016774B">
        <w:trPr>
          <w:trHeight w:val="113"/>
        </w:trPr>
        <w:tc>
          <w:tcPr>
            <w:tcW w:w="5098" w:type="dxa"/>
            <w:shd w:val="clear" w:color="auto" w:fill="auto"/>
            <w:hideMark/>
          </w:tcPr>
          <w:p w14:paraId="63F3ED0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Slovenija - </w:t>
            </w:r>
            <w:proofErr w:type="spellStart"/>
            <w:r w:rsidRPr="005E4BEA">
              <w:rPr>
                <w:rFonts w:cs="Arial"/>
                <w:color w:val="808080" w:themeColor="background1" w:themeShade="80"/>
                <w:szCs w:val="20"/>
              </w:rPr>
              <w:t>Transplant</w:t>
            </w:r>
            <w:proofErr w:type="spellEnd"/>
          </w:p>
        </w:tc>
        <w:tc>
          <w:tcPr>
            <w:tcW w:w="1089" w:type="dxa"/>
            <w:shd w:val="clear" w:color="auto" w:fill="auto"/>
            <w:noWrap/>
            <w:vAlign w:val="bottom"/>
            <w:hideMark/>
          </w:tcPr>
          <w:p w14:paraId="1FD805F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59.324</w:t>
            </w:r>
          </w:p>
        </w:tc>
        <w:tc>
          <w:tcPr>
            <w:tcW w:w="1100" w:type="dxa"/>
            <w:shd w:val="clear" w:color="auto" w:fill="auto"/>
            <w:noWrap/>
            <w:vAlign w:val="bottom"/>
            <w:hideMark/>
          </w:tcPr>
          <w:p w14:paraId="3D68F2C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59.324</w:t>
            </w:r>
          </w:p>
        </w:tc>
        <w:tc>
          <w:tcPr>
            <w:tcW w:w="960" w:type="dxa"/>
            <w:shd w:val="clear" w:color="auto" w:fill="auto"/>
            <w:noWrap/>
            <w:vAlign w:val="bottom"/>
            <w:hideMark/>
          </w:tcPr>
          <w:p w14:paraId="7E376CC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r>
      <w:tr w:rsidR="00FE461F" w:rsidRPr="005E4BEA" w14:paraId="6AA8A374" w14:textId="77777777" w:rsidTr="0016774B">
        <w:trPr>
          <w:trHeight w:val="113"/>
        </w:trPr>
        <w:tc>
          <w:tcPr>
            <w:tcW w:w="5098" w:type="dxa"/>
            <w:shd w:val="clear" w:color="auto" w:fill="auto"/>
            <w:hideMark/>
          </w:tcPr>
          <w:p w14:paraId="0AEC986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Nacionalni laboratorij za zdravje, okolje in hrano</w:t>
            </w:r>
          </w:p>
        </w:tc>
        <w:tc>
          <w:tcPr>
            <w:tcW w:w="1089" w:type="dxa"/>
            <w:shd w:val="clear" w:color="auto" w:fill="auto"/>
            <w:noWrap/>
            <w:vAlign w:val="bottom"/>
            <w:hideMark/>
          </w:tcPr>
          <w:p w14:paraId="319F2F1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2.784.654</w:t>
            </w:r>
          </w:p>
        </w:tc>
        <w:tc>
          <w:tcPr>
            <w:tcW w:w="1100" w:type="dxa"/>
            <w:shd w:val="clear" w:color="auto" w:fill="auto"/>
            <w:noWrap/>
            <w:vAlign w:val="bottom"/>
            <w:hideMark/>
          </w:tcPr>
          <w:p w14:paraId="42DD408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c>
          <w:tcPr>
            <w:tcW w:w="960" w:type="dxa"/>
            <w:shd w:val="clear" w:color="auto" w:fill="auto"/>
            <w:noWrap/>
            <w:vAlign w:val="bottom"/>
            <w:hideMark/>
          </w:tcPr>
          <w:p w14:paraId="3D0101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2.784.654</w:t>
            </w:r>
          </w:p>
        </w:tc>
      </w:tr>
      <w:tr w:rsidR="00FE461F" w:rsidRPr="005E4BEA" w14:paraId="404806CA" w14:textId="77777777" w:rsidTr="0016774B">
        <w:trPr>
          <w:trHeight w:val="113"/>
        </w:trPr>
        <w:tc>
          <w:tcPr>
            <w:tcW w:w="5098" w:type="dxa"/>
            <w:shd w:val="clear" w:color="auto" w:fill="auto"/>
            <w:hideMark/>
          </w:tcPr>
          <w:p w14:paraId="62937FC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Vsi drugi zavodi skupaj</w:t>
            </w:r>
          </w:p>
        </w:tc>
        <w:tc>
          <w:tcPr>
            <w:tcW w:w="1089" w:type="dxa"/>
            <w:shd w:val="clear" w:color="auto" w:fill="auto"/>
            <w:noWrap/>
            <w:vAlign w:val="bottom"/>
            <w:hideMark/>
          </w:tcPr>
          <w:p w14:paraId="4F9A62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3.649.483</w:t>
            </w:r>
          </w:p>
        </w:tc>
        <w:tc>
          <w:tcPr>
            <w:tcW w:w="1100" w:type="dxa"/>
            <w:shd w:val="clear" w:color="auto" w:fill="auto"/>
            <w:noWrap/>
            <w:vAlign w:val="bottom"/>
            <w:hideMark/>
          </w:tcPr>
          <w:p w14:paraId="70CADE4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2.418.883</w:t>
            </w:r>
          </w:p>
        </w:tc>
        <w:tc>
          <w:tcPr>
            <w:tcW w:w="960" w:type="dxa"/>
            <w:shd w:val="clear" w:color="000000" w:fill="FFFF00"/>
            <w:noWrap/>
            <w:vAlign w:val="bottom"/>
            <w:hideMark/>
          </w:tcPr>
          <w:p w14:paraId="31BD252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1.230.600</w:t>
            </w:r>
          </w:p>
        </w:tc>
      </w:tr>
    </w:tbl>
    <w:p w14:paraId="26394C4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Obračunana amortizacija v letu 2020 je znašala 111,7 mio €, priznana pa le 100,0 mio €. Razlika znaša 11,7 mio €.</w:t>
      </w:r>
    </w:p>
    <w:p w14:paraId="7F2EF70E" w14:textId="77777777" w:rsidR="00FE461F" w:rsidRPr="005E4BEA" w:rsidRDefault="00FE461F" w:rsidP="00FE461F">
      <w:pPr>
        <w:spacing w:line="240" w:lineRule="auto"/>
        <w:jc w:val="both"/>
        <w:rPr>
          <w:rFonts w:cs="Arial"/>
          <w:i/>
          <w:iCs/>
          <w:color w:val="808080" w:themeColor="background1" w:themeShade="80"/>
          <w:szCs w:val="20"/>
        </w:rPr>
      </w:pPr>
    </w:p>
    <w:p w14:paraId="47C8E30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11,7 mio €</w:t>
      </w:r>
    </w:p>
    <w:p w14:paraId="00BB3315" w14:textId="77777777" w:rsidR="00FE461F" w:rsidRPr="005E4BEA" w:rsidRDefault="00FE461F" w:rsidP="00FE461F">
      <w:pPr>
        <w:spacing w:line="240" w:lineRule="auto"/>
        <w:jc w:val="both"/>
        <w:rPr>
          <w:rFonts w:cs="Arial"/>
          <w:i/>
          <w:iCs/>
          <w:color w:val="808080" w:themeColor="background1" w:themeShade="80"/>
          <w:szCs w:val="20"/>
        </w:rPr>
      </w:pPr>
    </w:p>
    <w:p w14:paraId="28A35970" w14:textId="5C353BD4" w:rsidR="00FE461F" w:rsidRPr="005E4BEA" w:rsidRDefault="00FE461F" w:rsidP="00FE461F">
      <w:pPr>
        <w:spacing w:line="240" w:lineRule="auto"/>
        <w:jc w:val="both"/>
        <w:rPr>
          <w:rFonts w:cs="Arial"/>
          <w:i/>
          <w:iCs/>
          <w:color w:val="808080" w:themeColor="background1" w:themeShade="80"/>
          <w:szCs w:val="20"/>
        </w:rPr>
      </w:pPr>
    </w:p>
    <w:p w14:paraId="10308514" w14:textId="77777777"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06E1CFE" w14:textId="77777777" w:rsidR="00487C03" w:rsidRPr="005E4BEA" w:rsidRDefault="00487C03" w:rsidP="00487C03">
      <w:pPr>
        <w:spacing w:line="0" w:lineRule="atLeast"/>
        <w:jc w:val="both"/>
        <w:rPr>
          <w:rFonts w:eastAsia="Arial Narrow" w:cs="Arial"/>
          <w:szCs w:val="20"/>
          <w:lang w:eastAsia="sl-SI"/>
        </w:rPr>
      </w:pPr>
    </w:p>
    <w:p w14:paraId="0B5B161E" w14:textId="43A63EA3" w:rsidR="00487C03" w:rsidRPr="005E4BEA" w:rsidRDefault="00487C03" w:rsidP="00487C03">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5BBDBD05" w14:textId="77777777" w:rsidR="00487C03" w:rsidRPr="005E4BEA" w:rsidRDefault="00487C03" w:rsidP="00487C03">
      <w:pPr>
        <w:spacing w:line="0" w:lineRule="atLeast"/>
        <w:jc w:val="both"/>
        <w:rPr>
          <w:rFonts w:eastAsia="Arial Narrow" w:cs="Arial"/>
          <w:szCs w:val="20"/>
        </w:rPr>
      </w:pPr>
    </w:p>
    <w:p w14:paraId="01452AB5" w14:textId="55840A70" w:rsidR="00487C03" w:rsidRPr="005E4BEA" w:rsidRDefault="00487C03" w:rsidP="00FE461F">
      <w:pPr>
        <w:spacing w:line="240" w:lineRule="auto"/>
        <w:jc w:val="both"/>
        <w:rPr>
          <w:rFonts w:cs="Arial"/>
          <w:i/>
          <w:iCs/>
          <w:color w:val="808080" w:themeColor="background1" w:themeShade="80"/>
          <w:szCs w:val="20"/>
        </w:rPr>
      </w:pPr>
    </w:p>
    <w:p w14:paraId="0658B7E6" w14:textId="12D35E44" w:rsidR="00487C03" w:rsidRPr="005E4BEA" w:rsidRDefault="00487C0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(46)</w:t>
      </w:r>
    </w:p>
    <w:p w14:paraId="1493A86E" w14:textId="77777777" w:rsidR="00487C03" w:rsidRPr="005E4BEA" w:rsidRDefault="00487C03" w:rsidP="00487C03">
      <w:pPr>
        <w:spacing w:line="240" w:lineRule="auto"/>
        <w:jc w:val="both"/>
        <w:rPr>
          <w:rFonts w:cs="Arial"/>
          <w:i/>
          <w:iCs/>
          <w:color w:val="808080" w:themeColor="background1" w:themeShade="80"/>
          <w:szCs w:val="20"/>
        </w:rPr>
      </w:pPr>
    </w:p>
    <w:p w14:paraId="738E4027" w14:textId="26FD1957" w:rsidR="00FE461F" w:rsidRPr="005E4BEA" w:rsidRDefault="00487C03" w:rsidP="00FE461F">
      <w:pPr>
        <w:spacing w:line="240" w:lineRule="auto"/>
        <w:jc w:val="both"/>
        <w:rPr>
          <w:rFonts w:cs="Arial"/>
          <w:szCs w:val="20"/>
        </w:rPr>
      </w:pPr>
      <w:r w:rsidRPr="005E4BEA">
        <w:rPr>
          <w:rFonts w:cs="Arial"/>
          <w:b/>
          <w:bCs/>
          <w:szCs w:val="20"/>
        </w:rPr>
        <w:t xml:space="preserve">Združenje zdravstvenih zavodov Slovenije </w:t>
      </w:r>
      <w:r w:rsidRPr="005E4BEA">
        <w:rPr>
          <w:rFonts w:cs="Arial"/>
          <w:szCs w:val="20"/>
        </w:rPr>
        <w:t xml:space="preserve">predlaga, da se v 24. členu </w:t>
      </w:r>
      <w:bookmarkStart w:id="40" w:name="_Hlk99517174"/>
      <w:r w:rsidRPr="005E4BEA">
        <w:rPr>
          <w:rFonts w:cs="Arial"/>
          <w:szCs w:val="20"/>
        </w:rPr>
        <w:t>v</w:t>
      </w:r>
      <w:r w:rsidR="00FE461F" w:rsidRPr="005E4BEA">
        <w:rPr>
          <w:rFonts w:cs="Arial"/>
          <w:szCs w:val="20"/>
        </w:rPr>
        <w:t xml:space="preserve"> 24. členu v (6) odstavku </w:t>
      </w:r>
      <w:r w:rsidRPr="005E4BEA">
        <w:rPr>
          <w:rFonts w:cs="Arial"/>
          <w:szCs w:val="20"/>
        </w:rPr>
        <w:t>z</w:t>
      </w:r>
      <w:r w:rsidR="00FE461F" w:rsidRPr="005E4BEA">
        <w:rPr>
          <w:rFonts w:cs="Arial"/>
          <w:szCs w:val="20"/>
        </w:rPr>
        <w:t>a nujne širitve programov oziroma uvajanje novih terapij pri zdravljenju v okviru prvega in drugega odstavka tega člena načrtujejo dodatna sredstva:</w:t>
      </w:r>
    </w:p>
    <w:p w14:paraId="7DF276F8" w14:textId="77777777" w:rsidR="00487C03" w:rsidRPr="005E4BEA" w:rsidRDefault="00487C03" w:rsidP="00FE461F">
      <w:pPr>
        <w:spacing w:line="240" w:lineRule="auto"/>
        <w:jc w:val="both"/>
        <w:rPr>
          <w:rFonts w:cs="Arial"/>
          <w:szCs w:val="20"/>
        </w:rPr>
      </w:pPr>
    </w:p>
    <w:tbl>
      <w:tblPr>
        <w:tblW w:w="9078" w:type="dxa"/>
        <w:tblInd w:w="137" w:type="dxa"/>
        <w:tblCellMar>
          <w:left w:w="70" w:type="dxa"/>
          <w:right w:w="70" w:type="dxa"/>
        </w:tblCellMar>
        <w:tblLook w:val="04A0" w:firstRow="1" w:lastRow="0" w:firstColumn="1" w:lastColumn="0" w:noHBand="0" w:noVBand="1"/>
      </w:tblPr>
      <w:tblGrid>
        <w:gridCol w:w="565"/>
        <w:gridCol w:w="2287"/>
        <w:gridCol w:w="2060"/>
        <w:gridCol w:w="1146"/>
        <w:gridCol w:w="1540"/>
        <w:gridCol w:w="1480"/>
      </w:tblGrid>
      <w:tr w:rsidR="00FE461F" w:rsidRPr="005E4BEA" w14:paraId="3784EDC4" w14:textId="77777777" w:rsidTr="0016774B">
        <w:trPr>
          <w:trHeight w:val="1178"/>
        </w:trPr>
        <w:tc>
          <w:tcPr>
            <w:tcW w:w="56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bookmarkEnd w:id="40"/>
          <w:p w14:paraId="33400663" w14:textId="77777777" w:rsidR="00FE461F" w:rsidRPr="005E4BEA" w:rsidRDefault="00FE461F" w:rsidP="00FE461F">
            <w:pPr>
              <w:widowControl w:val="0"/>
              <w:spacing w:line="240" w:lineRule="auto"/>
              <w:jc w:val="both"/>
              <w:rPr>
                <w:rFonts w:cs="Arial"/>
                <w:b/>
                <w:bCs/>
                <w:color w:val="000000"/>
                <w:szCs w:val="20"/>
              </w:rPr>
            </w:pPr>
            <w:proofErr w:type="spellStart"/>
            <w:r w:rsidRPr="005E4BEA">
              <w:rPr>
                <w:rFonts w:cs="Arial"/>
                <w:b/>
                <w:bCs/>
                <w:color w:val="000000"/>
                <w:szCs w:val="20"/>
              </w:rPr>
              <w:t>Zap</w:t>
            </w:r>
            <w:proofErr w:type="spellEnd"/>
            <w:r w:rsidRPr="005E4BEA">
              <w:rPr>
                <w:rFonts w:cs="Arial"/>
                <w:b/>
                <w:bCs/>
                <w:color w:val="000000"/>
                <w:szCs w:val="20"/>
              </w:rPr>
              <w:t>.</w:t>
            </w:r>
          </w:p>
          <w:p w14:paraId="3A41E54C"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št</w:t>
            </w:r>
          </w:p>
        </w:tc>
        <w:tc>
          <w:tcPr>
            <w:tcW w:w="22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066C94"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P r o g r a m</w:t>
            </w:r>
          </w:p>
        </w:tc>
        <w:tc>
          <w:tcPr>
            <w:tcW w:w="206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A8026AF"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I z v a j a l e c</w:t>
            </w:r>
          </w:p>
        </w:tc>
        <w:tc>
          <w:tcPr>
            <w:tcW w:w="11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58D4E7"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Obseg programa</w:t>
            </w:r>
          </w:p>
        </w:tc>
        <w:tc>
          <w:tcPr>
            <w:tcW w:w="15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7EC66C7"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Dodatna sredstva na letni ravni</w:t>
            </w:r>
          </w:p>
          <w:p w14:paraId="032FB75D"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(v EUR)</w:t>
            </w:r>
          </w:p>
        </w:tc>
        <w:tc>
          <w:tcPr>
            <w:tcW w:w="14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89A20CF"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Dodatna sredstva 1.1.-31.12.2022</w:t>
            </w:r>
          </w:p>
          <w:p w14:paraId="2BE97D9E"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(v EUR)</w:t>
            </w:r>
          </w:p>
        </w:tc>
      </w:tr>
      <w:tr w:rsidR="00FE461F" w:rsidRPr="005E4BEA" w14:paraId="7A6C1BDC" w14:textId="77777777" w:rsidTr="0016774B">
        <w:trPr>
          <w:trHeight w:hRule="exact" w:val="30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24A1B"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1</w:t>
            </w:r>
          </w:p>
        </w:tc>
        <w:tc>
          <w:tcPr>
            <w:tcW w:w="2287" w:type="dxa"/>
            <w:tcBorders>
              <w:top w:val="single" w:sz="4" w:space="0" w:color="auto"/>
              <w:left w:val="nil"/>
              <w:bottom w:val="single" w:sz="4" w:space="0" w:color="auto"/>
              <w:right w:val="single" w:sz="4" w:space="0" w:color="auto"/>
            </w:tcBorders>
            <w:shd w:val="clear" w:color="auto" w:fill="auto"/>
            <w:vAlign w:val="center"/>
            <w:hideMark/>
          </w:tcPr>
          <w:p w14:paraId="4A018F60"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Širitve programov</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38E63E1A" w14:textId="77777777" w:rsidR="00FE461F" w:rsidRPr="005E4BEA" w:rsidRDefault="00FE461F" w:rsidP="00FE461F">
            <w:pPr>
              <w:widowControl w:val="0"/>
              <w:spacing w:line="240" w:lineRule="auto"/>
              <w:jc w:val="both"/>
              <w:rPr>
                <w:rFonts w:cs="Arial"/>
                <w:color w:val="000000"/>
                <w:szCs w:val="20"/>
              </w:rPr>
            </w:pPr>
            <w:r w:rsidRPr="005E4BEA">
              <w:rPr>
                <w:rFonts w:cs="Arial"/>
                <w:color w:val="000000"/>
                <w:szCs w:val="20"/>
              </w:rPr>
              <w:t>BOLNIŠNICE</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73E943C8" w14:textId="77777777" w:rsidR="00FE461F" w:rsidRPr="005E4BEA" w:rsidRDefault="00FE461F" w:rsidP="00FE461F">
            <w:pPr>
              <w:widowControl w:val="0"/>
              <w:spacing w:line="240" w:lineRule="auto"/>
              <w:jc w:val="both"/>
              <w:rPr>
                <w:rFonts w:cs="Arial"/>
                <w:color w:val="00000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56DA55C7" w14:textId="77777777" w:rsidR="00FE461F" w:rsidRPr="005E4BEA" w:rsidRDefault="00FE461F" w:rsidP="00FE461F">
            <w:pPr>
              <w:spacing w:line="240" w:lineRule="auto"/>
              <w:jc w:val="both"/>
              <w:rPr>
                <w:rFonts w:cs="Arial"/>
                <w:b/>
                <w:bCs/>
                <w:szCs w:val="20"/>
              </w:rPr>
            </w:pPr>
            <w:r w:rsidRPr="005E4BEA">
              <w:rPr>
                <w:rFonts w:cs="Arial"/>
                <w:b/>
                <w:bCs/>
                <w:szCs w:val="20"/>
              </w:rPr>
              <w:t>105.512.369</w:t>
            </w:r>
          </w:p>
          <w:p w14:paraId="11199288" w14:textId="77777777" w:rsidR="00FE461F" w:rsidRPr="005E4BEA" w:rsidRDefault="00FE461F" w:rsidP="00FE461F">
            <w:pPr>
              <w:widowControl w:val="0"/>
              <w:spacing w:line="240" w:lineRule="auto"/>
              <w:jc w:val="both"/>
              <w:rPr>
                <w:rFonts w:cs="Arial"/>
                <w:b/>
                <w:bCs/>
                <w:color w:val="FF000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1D1719B7" w14:textId="77777777" w:rsidR="00FE461F" w:rsidRPr="005E4BEA" w:rsidRDefault="00FE461F" w:rsidP="00FE461F">
            <w:pPr>
              <w:spacing w:line="240" w:lineRule="auto"/>
              <w:jc w:val="both"/>
              <w:rPr>
                <w:rFonts w:cs="Arial"/>
                <w:b/>
                <w:bCs/>
                <w:szCs w:val="20"/>
              </w:rPr>
            </w:pPr>
            <w:r w:rsidRPr="005E4BEA">
              <w:rPr>
                <w:rFonts w:cs="Arial"/>
                <w:b/>
                <w:bCs/>
                <w:szCs w:val="20"/>
              </w:rPr>
              <w:t>105.512.369</w:t>
            </w:r>
          </w:p>
          <w:p w14:paraId="1A423EB3" w14:textId="77777777" w:rsidR="00FE461F" w:rsidRPr="005E4BEA" w:rsidRDefault="00FE461F" w:rsidP="00FE461F">
            <w:pPr>
              <w:widowControl w:val="0"/>
              <w:spacing w:line="240" w:lineRule="auto"/>
              <w:jc w:val="both"/>
              <w:rPr>
                <w:rFonts w:cs="Arial"/>
                <w:b/>
                <w:bCs/>
                <w:color w:val="FF0000"/>
                <w:szCs w:val="20"/>
              </w:rPr>
            </w:pPr>
          </w:p>
        </w:tc>
      </w:tr>
      <w:tr w:rsidR="00FE461F" w:rsidRPr="005E4BEA" w14:paraId="42E60ACE" w14:textId="77777777" w:rsidTr="00487C03">
        <w:trPr>
          <w:trHeight w:hRule="exact" w:val="693"/>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5C807"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2</w:t>
            </w:r>
          </w:p>
        </w:tc>
        <w:tc>
          <w:tcPr>
            <w:tcW w:w="2287" w:type="dxa"/>
            <w:tcBorders>
              <w:top w:val="single" w:sz="4" w:space="0" w:color="auto"/>
              <w:left w:val="nil"/>
              <w:bottom w:val="single" w:sz="4" w:space="0" w:color="auto"/>
              <w:right w:val="single" w:sz="4" w:space="0" w:color="auto"/>
            </w:tcBorders>
            <w:shd w:val="clear" w:color="auto" w:fill="auto"/>
            <w:vAlign w:val="center"/>
          </w:tcPr>
          <w:p w14:paraId="618766D1"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Širitve programov</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22805B8F" w14:textId="77777777" w:rsidR="00FE461F" w:rsidRPr="005E4BEA" w:rsidRDefault="00FE461F" w:rsidP="00FE461F">
            <w:pPr>
              <w:widowControl w:val="0"/>
              <w:spacing w:line="240" w:lineRule="auto"/>
              <w:jc w:val="both"/>
              <w:rPr>
                <w:rFonts w:cs="Arial"/>
                <w:color w:val="000000"/>
                <w:szCs w:val="20"/>
              </w:rPr>
            </w:pPr>
            <w:r w:rsidRPr="005E4BEA">
              <w:rPr>
                <w:rFonts w:cs="Arial"/>
                <w:color w:val="000000"/>
                <w:szCs w:val="20"/>
              </w:rPr>
              <w:t>ZDRAVSTVENI DOMOVI</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31454B8D" w14:textId="77777777" w:rsidR="00FE461F" w:rsidRPr="005E4BEA" w:rsidRDefault="00FE461F" w:rsidP="00FE461F">
            <w:pPr>
              <w:widowControl w:val="0"/>
              <w:spacing w:line="240" w:lineRule="auto"/>
              <w:jc w:val="both"/>
              <w:rPr>
                <w:rFonts w:cs="Arial"/>
                <w:color w:val="000000"/>
                <w:szCs w:val="20"/>
              </w:rPr>
            </w:pP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4A702874" w14:textId="56A4AA39" w:rsidR="00FE461F" w:rsidRPr="005E4BEA" w:rsidRDefault="00FE461F" w:rsidP="00FE461F">
            <w:pPr>
              <w:spacing w:line="240" w:lineRule="auto"/>
              <w:jc w:val="both"/>
              <w:rPr>
                <w:rFonts w:cs="Arial"/>
                <w:b/>
                <w:bCs/>
                <w:szCs w:val="20"/>
              </w:rPr>
            </w:pPr>
            <w:r w:rsidRPr="005E4BEA">
              <w:rPr>
                <w:rFonts w:cs="Arial"/>
                <w:b/>
                <w:bCs/>
                <w:szCs w:val="20"/>
              </w:rPr>
              <w:t xml:space="preserve">31.171.406                         </w:t>
            </w:r>
          </w:p>
          <w:p w14:paraId="4BCCC7E0" w14:textId="77777777" w:rsidR="00FE461F" w:rsidRPr="005E4BEA" w:rsidRDefault="00FE461F" w:rsidP="00FE461F">
            <w:pPr>
              <w:widowControl w:val="0"/>
              <w:spacing w:line="240" w:lineRule="auto"/>
              <w:jc w:val="both"/>
              <w:rPr>
                <w:rFonts w:cs="Arial"/>
                <w:b/>
                <w:bCs/>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0A1CBF22" w14:textId="5D9BF287" w:rsidR="00FE461F" w:rsidRPr="005E4BEA" w:rsidRDefault="00FE461F" w:rsidP="00FE461F">
            <w:pPr>
              <w:spacing w:line="240" w:lineRule="auto"/>
              <w:jc w:val="both"/>
              <w:rPr>
                <w:rFonts w:cs="Arial"/>
                <w:b/>
                <w:bCs/>
                <w:szCs w:val="20"/>
              </w:rPr>
            </w:pPr>
            <w:r w:rsidRPr="005E4BEA">
              <w:rPr>
                <w:rFonts w:cs="Arial"/>
                <w:b/>
                <w:bCs/>
                <w:szCs w:val="20"/>
              </w:rPr>
              <w:t>31.171.406</w:t>
            </w:r>
          </w:p>
          <w:p w14:paraId="0BDD3E44" w14:textId="31256D1F" w:rsidR="00FE461F" w:rsidRPr="005E4BEA" w:rsidRDefault="00FE461F" w:rsidP="00FE461F">
            <w:pPr>
              <w:spacing w:line="240" w:lineRule="auto"/>
              <w:jc w:val="both"/>
              <w:rPr>
                <w:rFonts w:cs="Arial"/>
                <w:b/>
                <w:bCs/>
                <w:szCs w:val="20"/>
              </w:rPr>
            </w:pPr>
            <w:r w:rsidRPr="005E4BEA">
              <w:rPr>
                <w:rFonts w:cs="Arial"/>
                <w:b/>
                <w:bCs/>
                <w:szCs w:val="20"/>
              </w:rPr>
              <w:t xml:space="preserve">                       </w:t>
            </w:r>
          </w:p>
          <w:p w14:paraId="41AA720C" w14:textId="77777777" w:rsidR="00FE461F" w:rsidRPr="005E4BEA" w:rsidRDefault="00FE461F" w:rsidP="00FE461F">
            <w:pPr>
              <w:widowControl w:val="0"/>
              <w:spacing w:line="240" w:lineRule="auto"/>
              <w:jc w:val="both"/>
              <w:rPr>
                <w:rFonts w:cs="Arial"/>
                <w:b/>
                <w:bCs/>
                <w:color w:val="FF0000"/>
                <w:szCs w:val="20"/>
              </w:rPr>
            </w:pPr>
          </w:p>
        </w:tc>
      </w:tr>
    </w:tbl>
    <w:p w14:paraId="0E394F84" w14:textId="77777777" w:rsidR="00FE461F" w:rsidRPr="005E4BEA" w:rsidRDefault="00FE461F" w:rsidP="00FE461F">
      <w:pPr>
        <w:widowControl w:val="0"/>
        <w:spacing w:line="240" w:lineRule="auto"/>
        <w:jc w:val="both"/>
        <w:rPr>
          <w:rFonts w:eastAsia="Calibri" w:cs="Arial"/>
          <w:i/>
          <w:color w:val="595959"/>
          <w:szCs w:val="20"/>
        </w:rPr>
      </w:pPr>
    </w:p>
    <w:p w14:paraId="0A05EA80" w14:textId="77777777" w:rsidR="00487C03" w:rsidRPr="005E4BEA" w:rsidRDefault="00487C03" w:rsidP="00FE461F">
      <w:pPr>
        <w:widowControl w:val="0"/>
        <w:spacing w:line="240" w:lineRule="auto"/>
        <w:jc w:val="both"/>
        <w:rPr>
          <w:rFonts w:cs="Arial"/>
          <w:b/>
          <w:i/>
          <w:color w:val="808080" w:themeColor="background1" w:themeShade="80"/>
          <w:szCs w:val="20"/>
          <w:u w:val="single"/>
        </w:rPr>
      </w:pPr>
      <w:bookmarkStart w:id="41" w:name="_Hlk99517175"/>
    </w:p>
    <w:p w14:paraId="47AC23CA" w14:textId="6B432596" w:rsidR="00FE461F" w:rsidRPr="005E4BEA" w:rsidRDefault="00FE461F" w:rsidP="00FE461F">
      <w:pPr>
        <w:widowControl w:val="0"/>
        <w:spacing w:line="240" w:lineRule="auto"/>
        <w:jc w:val="both"/>
        <w:rPr>
          <w:rFonts w:cs="Arial"/>
          <w:b/>
          <w:i/>
          <w:color w:val="808080" w:themeColor="background1" w:themeShade="80"/>
          <w:szCs w:val="20"/>
          <w:u w:val="single"/>
        </w:rPr>
      </w:pPr>
      <w:r w:rsidRPr="005E4BEA">
        <w:rPr>
          <w:rFonts w:cs="Arial"/>
          <w:b/>
          <w:i/>
          <w:color w:val="808080" w:themeColor="background1" w:themeShade="80"/>
          <w:szCs w:val="20"/>
          <w:u w:val="single"/>
        </w:rPr>
        <w:t>Obrazložitev:</w:t>
      </w:r>
      <w:r w:rsidRPr="005E4BEA">
        <w:rPr>
          <w:rFonts w:cs="Arial"/>
          <w:color w:val="000000"/>
          <w:szCs w:val="20"/>
        </w:rPr>
        <w:t xml:space="preserve"> </w:t>
      </w:r>
    </w:p>
    <w:bookmarkEnd w:id="41"/>
    <w:p w14:paraId="31E5D600" w14:textId="77777777" w:rsidR="00FE461F" w:rsidRPr="005E4BEA" w:rsidRDefault="00FE461F" w:rsidP="00FE461F">
      <w:pPr>
        <w:widowControl w:val="0"/>
        <w:spacing w:line="240" w:lineRule="auto"/>
        <w:jc w:val="both"/>
        <w:rPr>
          <w:rFonts w:cs="Arial"/>
          <w:b/>
          <w:i/>
          <w:color w:val="808080" w:themeColor="background1" w:themeShade="80"/>
          <w:szCs w:val="20"/>
          <w:u w:val="single"/>
        </w:rPr>
      </w:pPr>
      <w:r w:rsidRPr="005E4BEA">
        <w:rPr>
          <w:rFonts w:cs="Arial"/>
          <w:i/>
          <w:color w:val="808080" w:themeColor="background1" w:themeShade="80"/>
          <w:szCs w:val="20"/>
        </w:rPr>
        <w:t>Širitve programov za bolnišnice so v »Priloga1-siritve_BOL.xlsx«, obrazložitve k predlaganim širitvam v »Priloga2-širitve_BOL_obrazlozitve.docx«. Širitve programov za zdravstvene domove so v »Priloga3-širitve primarna raven.xlsx«.</w:t>
      </w:r>
    </w:p>
    <w:p w14:paraId="594F7AC4" w14:textId="77777777" w:rsidR="00FE461F" w:rsidRPr="005E4BEA" w:rsidRDefault="00FE461F" w:rsidP="00FE461F">
      <w:pPr>
        <w:spacing w:line="240" w:lineRule="auto"/>
        <w:jc w:val="both"/>
        <w:rPr>
          <w:rFonts w:cs="Arial"/>
          <w:i/>
          <w:color w:val="808080" w:themeColor="background1" w:themeShade="80"/>
          <w:szCs w:val="20"/>
        </w:rPr>
      </w:pPr>
    </w:p>
    <w:p w14:paraId="592596F4" w14:textId="77777777" w:rsidR="00FE461F" w:rsidRPr="005E4BEA" w:rsidRDefault="00FE461F" w:rsidP="00FE461F">
      <w:pPr>
        <w:spacing w:line="240" w:lineRule="auto"/>
        <w:jc w:val="both"/>
        <w:rPr>
          <w:rFonts w:cs="Arial"/>
          <w:i/>
          <w:color w:val="808080" w:themeColor="background1" w:themeShade="80"/>
          <w:szCs w:val="20"/>
        </w:rPr>
      </w:pPr>
      <w:r w:rsidRPr="005E4BEA">
        <w:rPr>
          <w:rFonts w:cs="Arial"/>
          <w:i/>
          <w:color w:val="808080" w:themeColor="background1" w:themeShade="80"/>
          <w:szCs w:val="20"/>
        </w:rPr>
        <w:t>Finančna ocena: 135</w:t>
      </w:r>
    </w:p>
    <w:p w14:paraId="121D021C" w14:textId="406C2835" w:rsidR="00FE461F" w:rsidRPr="005E4BEA" w:rsidRDefault="00FE461F" w:rsidP="00FE461F">
      <w:pPr>
        <w:spacing w:line="240" w:lineRule="auto"/>
        <w:jc w:val="both"/>
        <w:rPr>
          <w:rFonts w:cs="Arial"/>
          <w:i/>
          <w:color w:val="808080" w:themeColor="background1" w:themeShade="80"/>
          <w:szCs w:val="20"/>
        </w:rPr>
      </w:pPr>
    </w:p>
    <w:p w14:paraId="104F52A6" w14:textId="4E22522A" w:rsidR="00487C03" w:rsidRPr="005E4BEA" w:rsidRDefault="00487C03" w:rsidP="00FE461F">
      <w:pPr>
        <w:spacing w:line="240" w:lineRule="auto"/>
        <w:jc w:val="both"/>
        <w:rPr>
          <w:rFonts w:cs="Arial"/>
          <w:i/>
          <w:color w:val="808080" w:themeColor="background1" w:themeShade="80"/>
          <w:szCs w:val="20"/>
        </w:rPr>
      </w:pPr>
    </w:p>
    <w:p w14:paraId="29A2B9DB" w14:textId="679C51B5"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9722A5" w:rsidRPr="005E4BEA">
        <w:rPr>
          <w:rFonts w:eastAsia="Arial Narrow" w:cs="Arial"/>
          <w:szCs w:val="20"/>
        </w:rPr>
        <w:t xml:space="preserve"> Dogovor med partnerji </w:t>
      </w:r>
      <w:r w:rsidR="002C063B" w:rsidRPr="005E4BEA">
        <w:rPr>
          <w:rFonts w:eastAsia="Arial Narrow" w:cs="Arial"/>
          <w:szCs w:val="20"/>
        </w:rPr>
        <w:t xml:space="preserve">na prvi seji za Splošni dogovor za pogodbeno leto 2022 </w:t>
      </w:r>
      <w:r w:rsidR="009722A5" w:rsidRPr="005E4BEA">
        <w:rPr>
          <w:rFonts w:eastAsia="Arial Narrow" w:cs="Arial"/>
          <w:szCs w:val="20"/>
        </w:rPr>
        <w:t>je bil, da je prioriteta A1SD22 usmerjena na prihodkovno stran bolnišnic, ki izkazujejo najvišje kumulativne izgube. Prav tako je MZ s tem aneksom začelo vključevati predloge novih metod zdravljenja, ki jih je kot prioritet</w:t>
      </w:r>
      <w:r w:rsidR="002C063B" w:rsidRPr="005E4BEA">
        <w:rPr>
          <w:rFonts w:eastAsia="Arial Narrow" w:cs="Arial"/>
          <w:szCs w:val="20"/>
        </w:rPr>
        <w:t>o</w:t>
      </w:r>
      <w:r w:rsidR="009722A5" w:rsidRPr="005E4BEA">
        <w:rPr>
          <w:rFonts w:eastAsia="Arial Narrow" w:cs="Arial"/>
          <w:szCs w:val="20"/>
        </w:rPr>
        <w:t xml:space="preserve"> določil Zdravstveni svet. </w:t>
      </w:r>
    </w:p>
    <w:p w14:paraId="62C0C113" w14:textId="77777777" w:rsidR="00487C03" w:rsidRPr="005E4BEA" w:rsidRDefault="00487C03" w:rsidP="00487C03">
      <w:pPr>
        <w:spacing w:line="0" w:lineRule="atLeast"/>
        <w:jc w:val="both"/>
        <w:rPr>
          <w:rFonts w:eastAsia="Arial Narrow" w:cs="Arial"/>
          <w:szCs w:val="20"/>
          <w:lang w:eastAsia="sl-SI"/>
        </w:rPr>
      </w:pPr>
    </w:p>
    <w:p w14:paraId="17BBF0CA" w14:textId="77777777" w:rsidR="00487C03" w:rsidRPr="005E4BEA" w:rsidRDefault="00487C03" w:rsidP="00487C03">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15B70760" w14:textId="42B4034E" w:rsidR="00487C03" w:rsidRPr="005E4BEA" w:rsidRDefault="00487C03" w:rsidP="00FE461F">
      <w:pPr>
        <w:spacing w:line="240" w:lineRule="auto"/>
        <w:jc w:val="both"/>
        <w:rPr>
          <w:rFonts w:cs="Arial"/>
          <w:i/>
          <w:color w:val="808080" w:themeColor="background1" w:themeShade="80"/>
          <w:szCs w:val="20"/>
        </w:rPr>
      </w:pPr>
    </w:p>
    <w:p w14:paraId="0EEF8E26" w14:textId="172CEDDF" w:rsidR="00BE5D1E" w:rsidRPr="005E4BEA" w:rsidRDefault="00BE5D1E" w:rsidP="00FE461F">
      <w:pPr>
        <w:spacing w:line="240" w:lineRule="auto"/>
        <w:jc w:val="both"/>
        <w:rPr>
          <w:rFonts w:cs="Arial"/>
          <w:i/>
          <w:color w:val="808080" w:themeColor="background1" w:themeShade="80"/>
          <w:szCs w:val="20"/>
        </w:rPr>
      </w:pPr>
    </w:p>
    <w:p w14:paraId="0525F5FB" w14:textId="430B28C3" w:rsidR="00BE5D1E" w:rsidRPr="005E4BEA" w:rsidRDefault="00BE5D1E" w:rsidP="00F356C9">
      <w:pPr>
        <w:pStyle w:val="Naslov2"/>
        <w:numPr>
          <w:ilvl w:val="0"/>
          <w:numId w:val="79"/>
        </w:numPr>
        <w:ind w:left="0" w:firstLine="0"/>
        <w:rPr>
          <w:rFonts w:ascii="Arial" w:eastAsia="Arial Narrow" w:hAnsi="Arial" w:cs="Arial"/>
          <w:sz w:val="20"/>
        </w:rPr>
      </w:pPr>
      <w:bookmarkStart w:id="42" w:name="_Hlk102027783"/>
      <w:r w:rsidRPr="005E4BEA">
        <w:rPr>
          <w:rFonts w:ascii="Arial" w:eastAsia="Arial Narrow" w:hAnsi="Arial" w:cs="Arial"/>
          <w:sz w:val="20"/>
        </w:rPr>
        <w:t>SPORNO VPRAŠANJE (47)</w:t>
      </w:r>
    </w:p>
    <w:p w14:paraId="1C5A4FB7" w14:textId="77777777" w:rsidR="00BE5D1E" w:rsidRPr="005E4BEA" w:rsidRDefault="00BE5D1E" w:rsidP="00BE5D1E">
      <w:pPr>
        <w:spacing w:line="240" w:lineRule="auto"/>
        <w:jc w:val="both"/>
        <w:rPr>
          <w:rFonts w:cs="Arial"/>
          <w:i/>
          <w:iCs/>
          <w:color w:val="808080" w:themeColor="background1" w:themeShade="80"/>
          <w:szCs w:val="20"/>
        </w:rPr>
      </w:pPr>
    </w:p>
    <w:p w14:paraId="3B3A302F" w14:textId="73FF4F51" w:rsidR="00FE461F" w:rsidRPr="005E4BEA" w:rsidRDefault="00BE5D1E" w:rsidP="00FE461F">
      <w:pPr>
        <w:spacing w:line="240" w:lineRule="auto"/>
        <w:jc w:val="both"/>
        <w:rPr>
          <w:rFonts w:cs="Arial"/>
          <w:szCs w:val="20"/>
        </w:rPr>
      </w:pPr>
      <w:r w:rsidRPr="005E4BEA">
        <w:rPr>
          <w:rFonts w:cs="Arial"/>
          <w:b/>
          <w:bCs/>
          <w:szCs w:val="20"/>
        </w:rPr>
        <w:t xml:space="preserve">Združenje zdravstvenih zavodov Slovenije </w:t>
      </w:r>
      <w:r w:rsidRPr="005E4BEA">
        <w:rPr>
          <w:rFonts w:cs="Arial"/>
          <w:szCs w:val="20"/>
        </w:rPr>
        <w:t xml:space="preserve">predlaga, da se v </w:t>
      </w:r>
      <w:r w:rsidR="00FE461F" w:rsidRPr="005E4BEA">
        <w:rPr>
          <w:rFonts w:cs="Arial"/>
          <w:szCs w:val="20"/>
        </w:rPr>
        <w:t xml:space="preserve"> 24. členu se v (6) odstavku </w:t>
      </w:r>
      <w:r w:rsidRPr="005E4BEA">
        <w:rPr>
          <w:rFonts w:cs="Arial"/>
          <w:szCs w:val="20"/>
        </w:rPr>
        <w:t>z</w:t>
      </w:r>
      <w:r w:rsidR="00FE461F" w:rsidRPr="005E4BEA">
        <w:rPr>
          <w:rFonts w:cs="Arial"/>
          <w:szCs w:val="20"/>
        </w:rPr>
        <w:t>a nujne širitve programov oziroma uvajanje novih terapij pri zdravljenju v okviru prvega in drugega odstavka tega člena načrtujejo dodatna sredstva:</w:t>
      </w:r>
    </w:p>
    <w:p w14:paraId="157E1B9F" w14:textId="21F64F1F" w:rsidR="00BE5D1E" w:rsidRPr="005E4BEA" w:rsidRDefault="00BE5D1E" w:rsidP="00FE461F">
      <w:pPr>
        <w:spacing w:line="240" w:lineRule="auto"/>
        <w:jc w:val="both"/>
        <w:rPr>
          <w:rFonts w:cs="Arial"/>
          <w:b/>
          <w:bCs/>
          <w:szCs w:val="20"/>
        </w:rPr>
      </w:pPr>
    </w:p>
    <w:p w14:paraId="0146201F" w14:textId="77777777" w:rsidR="00BE5D1E" w:rsidRPr="005E4BEA" w:rsidRDefault="00BE5D1E" w:rsidP="00FE461F">
      <w:pPr>
        <w:spacing w:line="240" w:lineRule="auto"/>
        <w:jc w:val="both"/>
        <w:rPr>
          <w:rFonts w:cs="Arial"/>
          <w:szCs w:val="20"/>
        </w:rPr>
      </w:pPr>
    </w:p>
    <w:tbl>
      <w:tblPr>
        <w:tblW w:w="8800" w:type="dxa"/>
        <w:tblCellMar>
          <w:left w:w="70" w:type="dxa"/>
          <w:right w:w="70" w:type="dxa"/>
        </w:tblCellMar>
        <w:tblLook w:val="04A0" w:firstRow="1" w:lastRow="0" w:firstColumn="1" w:lastColumn="0" w:noHBand="0" w:noVBand="1"/>
      </w:tblPr>
      <w:tblGrid>
        <w:gridCol w:w="277"/>
        <w:gridCol w:w="2519"/>
        <w:gridCol w:w="1428"/>
        <w:gridCol w:w="654"/>
        <w:gridCol w:w="1056"/>
        <w:gridCol w:w="1725"/>
        <w:gridCol w:w="1141"/>
      </w:tblGrid>
      <w:tr w:rsidR="00FE461F" w:rsidRPr="005E4BEA" w14:paraId="466CCD9A" w14:textId="77777777" w:rsidTr="00BE5D1E">
        <w:trPr>
          <w:trHeight w:val="787"/>
          <w:tblHeader/>
        </w:trPr>
        <w:tc>
          <w:tcPr>
            <w:tcW w:w="278" w:type="dxa"/>
            <w:tcBorders>
              <w:top w:val="single" w:sz="4" w:space="0" w:color="538DD5"/>
              <w:left w:val="single" w:sz="4" w:space="0" w:color="538DD5"/>
              <w:bottom w:val="single" w:sz="4" w:space="0" w:color="538DD5"/>
              <w:right w:val="single" w:sz="4" w:space="0" w:color="538DD5"/>
            </w:tcBorders>
            <w:shd w:val="clear" w:color="auto" w:fill="FFFFFF"/>
            <w:vAlign w:val="bottom"/>
            <w:hideMark/>
          </w:tcPr>
          <w:p w14:paraId="42574EC5" w14:textId="77777777" w:rsidR="00FE461F" w:rsidRPr="005E4BEA" w:rsidRDefault="00FE461F" w:rsidP="00FE461F">
            <w:pPr>
              <w:spacing w:after="160" w:line="259" w:lineRule="auto"/>
              <w:jc w:val="center"/>
              <w:outlineLvl w:val="0"/>
              <w:rPr>
                <w:rFonts w:cs="Arial"/>
                <w:b/>
                <w:bCs/>
                <w:szCs w:val="20"/>
              </w:rPr>
            </w:pPr>
            <w:r w:rsidRPr="005E4BEA">
              <w:rPr>
                <w:rFonts w:cs="Arial"/>
                <w:szCs w:val="20"/>
              </w:rPr>
              <w:t xml:space="preserve"> </w:t>
            </w:r>
            <w:r w:rsidRPr="005E4BEA">
              <w:rPr>
                <w:rFonts w:cs="Arial"/>
                <w:b/>
                <w:bCs/>
                <w:szCs w:val="20"/>
              </w:rPr>
              <w:t> </w:t>
            </w:r>
          </w:p>
        </w:tc>
        <w:tc>
          <w:tcPr>
            <w:tcW w:w="2579" w:type="dxa"/>
            <w:tcBorders>
              <w:top w:val="single" w:sz="4" w:space="0" w:color="538DD5"/>
              <w:left w:val="nil"/>
              <w:bottom w:val="single" w:sz="4" w:space="0" w:color="538DD5"/>
              <w:right w:val="single" w:sz="4" w:space="0" w:color="538DD5"/>
            </w:tcBorders>
            <w:shd w:val="clear" w:color="auto" w:fill="FFFFFF"/>
            <w:vAlign w:val="center"/>
            <w:hideMark/>
          </w:tcPr>
          <w:p w14:paraId="2A75B149" w14:textId="77777777" w:rsidR="00FE461F" w:rsidRPr="005E4BEA" w:rsidRDefault="00FE461F" w:rsidP="00FE461F">
            <w:pPr>
              <w:spacing w:after="160" w:line="259" w:lineRule="auto"/>
              <w:outlineLvl w:val="0"/>
              <w:rPr>
                <w:rFonts w:cs="Arial"/>
                <w:b/>
                <w:bCs/>
                <w:szCs w:val="20"/>
              </w:rPr>
            </w:pPr>
            <w:r w:rsidRPr="005E4BEA">
              <w:rPr>
                <w:rFonts w:cs="Arial"/>
                <w:b/>
                <w:bCs/>
                <w:szCs w:val="20"/>
              </w:rPr>
              <w:t>P  r  o  g  r  a  m</w:t>
            </w:r>
          </w:p>
        </w:tc>
        <w:tc>
          <w:tcPr>
            <w:tcW w:w="1464" w:type="dxa"/>
            <w:tcBorders>
              <w:top w:val="single" w:sz="4" w:space="0" w:color="538DD5"/>
              <w:left w:val="nil"/>
              <w:bottom w:val="single" w:sz="4" w:space="0" w:color="538DD5"/>
              <w:right w:val="nil"/>
            </w:tcBorders>
            <w:shd w:val="clear" w:color="auto" w:fill="FFFFFF"/>
            <w:vAlign w:val="center"/>
            <w:hideMark/>
          </w:tcPr>
          <w:p w14:paraId="001F0F92" w14:textId="77777777" w:rsidR="00FE461F" w:rsidRPr="005E4BEA" w:rsidRDefault="00FE461F" w:rsidP="00FE461F">
            <w:pPr>
              <w:spacing w:after="160" w:line="259" w:lineRule="auto"/>
              <w:jc w:val="center"/>
              <w:outlineLvl w:val="0"/>
              <w:rPr>
                <w:rFonts w:cs="Arial"/>
                <w:b/>
                <w:bCs/>
                <w:szCs w:val="20"/>
              </w:rPr>
            </w:pPr>
            <w:r w:rsidRPr="005E4BEA">
              <w:rPr>
                <w:rFonts w:cs="Arial"/>
                <w:b/>
                <w:bCs/>
                <w:szCs w:val="20"/>
              </w:rPr>
              <w:t>I  z  v  a  j  a  l  e  c</w:t>
            </w:r>
          </w:p>
        </w:tc>
        <w:tc>
          <w:tcPr>
            <w:tcW w:w="1751" w:type="dxa"/>
            <w:gridSpan w:val="2"/>
            <w:tcBorders>
              <w:top w:val="single" w:sz="4" w:space="0" w:color="538DD5"/>
              <w:left w:val="single" w:sz="4" w:space="0" w:color="538DD5"/>
              <w:bottom w:val="single" w:sz="4" w:space="0" w:color="538DD5"/>
              <w:right w:val="single" w:sz="4" w:space="0" w:color="538DD5"/>
            </w:tcBorders>
            <w:shd w:val="clear" w:color="auto" w:fill="FFFFFF"/>
            <w:vAlign w:val="center"/>
            <w:hideMark/>
          </w:tcPr>
          <w:p w14:paraId="42A5038B" w14:textId="77777777" w:rsidR="00FE461F" w:rsidRPr="005E4BEA" w:rsidRDefault="00FE461F" w:rsidP="00FE461F">
            <w:pPr>
              <w:spacing w:after="160" w:line="259" w:lineRule="auto"/>
              <w:jc w:val="center"/>
              <w:outlineLvl w:val="0"/>
              <w:rPr>
                <w:rFonts w:cs="Arial"/>
                <w:b/>
                <w:bCs/>
                <w:szCs w:val="20"/>
              </w:rPr>
            </w:pPr>
            <w:r w:rsidRPr="005E4BEA">
              <w:rPr>
                <w:rFonts w:cs="Arial"/>
                <w:b/>
                <w:bCs/>
                <w:szCs w:val="20"/>
              </w:rPr>
              <w:t>Obseg</w:t>
            </w:r>
          </w:p>
        </w:tc>
        <w:tc>
          <w:tcPr>
            <w:tcW w:w="1599" w:type="dxa"/>
            <w:tcBorders>
              <w:top w:val="single" w:sz="4" w:space="0" w:color="538DD5"/>
              <w:left w:val="nil"/>
              <w:bottom w:val="single" w:sz="4" w:space="0" w:color="538DD5"/>
              <w:right w:val="single" w:sz="4" w:space="0" w:color="538DD5"/>
            </w:tcBorders>
            <w:shd w:val="clear" w:color="auto" w:fill="FFFFFF"/>
            <w:vAlign w:val="center"/>
            <w:hideMark/>
          </w:tcPr>
          <w:p w14:paraId="4F85CB7B" w14:textId="77777777" w:rsidR="00FE461F" w:rsidRPr="005E4BEA" w:rsidRDefault="00FE461F" w:rsidP="00FE461F">
            <w:pPr>
              <w:spacing w:after="160" w:line="259" w:lineRule="auto"/>
              <w:jc w:val="center"/>
              <w:outlineLvl w:val="0"/>
              <w:rPr>
                <w:rFonts w:cs="Arial"/>
                <w:b/>
                <w:bCs/>
                <w:szCs w:val="20"/>
              </w:rPr>
            </w:pPr>
            <w:proofErr w:type="spellStart"/>
            <w:r w:rsidRPr="005E4BEA">
              <w:rPr>
                <w:rFonts w:cs="Arial"/>
                <w:b/>
                <w:bCs/>
                <w:szCs w:val="20"/>
              </w:rPr>
              <w:t>Dod</w:t>
            </w:r>
            <w:proofErr w:type="spellEnd"/>
            <w:r w:rsidRPr="005E4BEA">
              <w:rPr>
                <w:rFonts w:cs="Arial"/>
                <w:b/>
                <w:bCs/>
                <w:szCs w:val="20"/>
              </w:rPr>
              <w:t>. sred.</w:t>
            </w:r>
            <w:r w:rsidRPr="005E4BEA">
              <w:rPr>
                <w:rFonts w:cs="Arial"/>
                <w:b/>
                <w:bCs/>
                <w:szCs w:val="20"/>
              </w:rPr>
              <w:br/>
              <w:t>letna raven</w:t>
            </w:r>
          </w:p>
        </w:tc>
        <w:tc>
          <w:tcPr>
            <w:tcW w:w="1129" w:type="dxa"/>
            <w:tcBorders>
              <w:top w:val="single" w:sz="4" w:space="0" w:color="538DD5"/>
              <w:left w:val="nil"/>
              <w:bottom w:val="single" w:sz="4" w:space="0" w:color="538DD5"/>
              <w:right w:val="single" w:sz="4" w:space="0" w:color="538DD5"/>
            </w:tcBorders>
            <w:shd w:val="clear" w:color="auto" w:fill="FFFFFF"/>
            <w:vAlign w:val="center"/>
            <w:hideMark/>
          </w:tcPr>
          <w:p w14:paraId="5ADC09B2" w14:textId="77777777" w:rsidR="00FE461F" w:rsidRPr="005E4BEA" w:rsidRDefault="00FE461F" w:rsidP="00FE461F">
            <w:pPr>
              <w:spacing w:after="160" w:line="259" w:lineRule="auto"/>
              <w:jc w:val="center"/>
              <w:outlineLvl w:val="0"/>
              <w:rPr>
                <w:rFonts w:cs="Arial"/>
                <w:b/>
                <w:bCs/>
                <w:szCs w:val="20"/>
              </w:rPr>
            </w:pPr>
            <w:proofErr w:type="spellStart"/>
            <w:r w:rsidRPr="005E4BEA">
              <w:rPr>
                <w:rFonts w:cs="Arial"/>
                <w:b/>
                <w:bCs/>
                <w:szCs w:val="20"/>
              </w:rPr>
              <w:t>Dod</w:t>
            </w:r>
            <w:proofErr w:type="spellEnd"/>
            <w:r w:rsidRPr="005E4BEA">
              <w:rPr>
                <w:rFonts w:cs="Arial"/>
                <w:b/>
                <w:bCs/>
                <w:szCs w:val="20"/>
              </w:rPr>
              <w:t>. sred.</w:t>
            </w:r>
            <w:r w:rsidRPr="005E4BEA">
              <w:rPr>
                <w:rFonts w:cs="Arial"/>
                <w:b/>
                <w:bCs/>
                <w:szCs w:val="20"/>
              </w:rPr>
              <w:br/>
              <w:t>1.1.- 31.12.2021</w:t>
            </w:r>
          </w:p>
        </w:tc>
      </w:tr>
      <w:tr w:rsidR="00FE461F" w:rsidRPr="005E4BEA" w14:paraId="0D309AD7" w14:textId="77777777" w:rsidTr="00BE5D1E">
        <w:trPr>
          <w:trHeight w:val="557"/>
        </w:trPr>
        <w:tc>
          <w:tcPr>
            <w:tcW w:w="278" w:type="dxa"/>
            <w:tcBorders>
              <w:top w:val="nil"/>
              <w:left w:val="single" w:sz="4" w:space="0" w:color="538DD5"/>
              <w:bottom w:val="single" w:sz="4" w:space="0" w:color="538DD5"/>
              <w:right w:val="nil"/>
            </w:tcBorders>
            <w:shd w:val="clear" w:color="auto" w:fill="FFFFFF"/>
            <w:hideMark/>
          </w:tcPr>
          <w:p w14:paraId="571861EA" w14:textId="77777777" w:rsidR="00FE461F" w:rsidRPr="005E4BEA" w:rsidRDefault="00FE461F" w:rsidP="00FE461F">
            <w:pPr>
              <w:spacing w:after="160" w:line="259" w:lineRule="auto"/>
              <w:jc w:val="center"/>
              <w:rPr>
                <w:rFonts w:cs="Arial"/>
                <w:color w:val="FF0000"/>
                <w:szCs w:val="20"/>
              </w:rPr>
            </w:pPr>
          </w:p>
        </w:tc>
        <w:tc>
          <w:tcPr>
            <w:tcW w:w="2579" w:type="dxa"/>
            <w:tcBorders>
              <w:top w:val="nil"/>
              <w:left w:val="nil"/>
              <w:bottom w:val="single" w:sz="4" w:space="0" w:color="538DD5"/>
              <w:right w:val="nil"/>
            </w:tcBorders>
            <w:vAlign w:val="center"/>
            <w:hideMark/>
          </w:tcPr>
          <w:p w14:paraId="5D712719" w14:textId="77777777" w:rsidR="00FE461F" w:rsidRPr="005E4BEA" w:rsidRDefault="00FE461F" w:rsidP="00FE461F">
            <w:pPr>
              <w:spacing w:after="160" w:line="259" w:lineRule="auto"/>
              <w:rPr>
                <w:rFonts w:cs="Arial"/>
                <w:color w:val="538DD5"/>
                <w:szCs w:val="20"/>
              </w:rPr>
            </w:pPr>
            <w:r w:rsidRPr="005E4BEA">
              <w:rPr>
                <w:rFonts w:cs="Arial"/>
                <w:color w:val="538DD5"/>
                <w:szCs w:val="20"/>
              </w:rPr>
              <w:t>NMP</w:t>
            </w:r>
          </w:p>
        </w:tc>
        <w:tc>
          <w:tcPr>
            <w:tcW w:w="1464" w:type="dxa"/>
            <w:tcBorders>
              <w:top w:val="nil"/>
              <w:left w:val="nil"/>
              <w:bottom w:val="single" w:sz="4" w:space="0" w:color="538DD5"/>
              <w:right w:val="nil"/>
            </w:tcBorders>
            <w:shd w:val="clear" w:color="auto" w:fill="FFFFFF"/>
            <w:hideMark/>
          </w:tcPr>
          <w:p w14:paraId="58F5C2CC" w14:textId="77777777" w:rsidR="00FE461F" w:rsidRPr="005E4BEA" w:rsidRDefault="00FE461F" w:rsidP="00FE461F">
            <w:pPr>
              <w:spacing w:after="160" w:line="259" w:lineRule="auto"/>
              <w:rPr>
                <w:rFonts w:cs="Arial"/>
                <w:color w:val="FF0000"/>
                <w:szCs w:val="20"/>
              </w:rPr>
            </w:pPr>
            <w:r w:rsidRPr="005E4BEA">
              <w:rPr>
                <w:rFonts w:cs="Arial"/>
                <w:color w:val="FF0000"/>
                <w:szCs w:val="20"/>
              </w:rPr>
              <w:t> </w:t>
            </w:r>
          </w:p>
        </w:tc>
        <w:tc>
          <w:tcPr>
            <w:tcW w:w="659" w:type="dxa"/>
            <w:tcBorders>
              <w:top w:val="nil"/>
              <w:left w:val="nil"/>
              <w:bottom w:val="single" w:sz="4" w:space="0" w:color="538DD5"/>
              <w:right w:val="nil"/>
            </w:tcBorders>
            <w:shd w:val="clear" w:color="auto" w:fill="FFFFFF"/>
            <w:hideMark/>
          </w:tcPr>
          <w:p w14:paraId="673EE858" w14:textId="77777777" w:rsidR="00FE461F" w:rsidRPr="005E4BEA" w:rsidRDefault="00FE461F" w:rsidP="00FE461F">
            <w:pPr>
              <w:spacing w:after="160" w:line="259" w:lineRule="auto"/>
              <w:rPr>
                <w:rFonts w:cs="Arial"/>
                <w:color w:val="FF0000"/>
                <w:szCs w:val="20"/>
              </w:rPr>
            </w:pPr>
            <w:r w:rsidRPr="005E4BEA">
              <w:rPr>
                <w:rFonts w:cs="Arial"/>
                <w:color w:val="FF0000"/>
                <w:szCs w:val="20"/>
              </w:rPr>
              <w:t> </w:t>
            </w:r>
          </w:p>
        </w:tc>
        <w:tc>
          <w:tcPr>
            <w:tcW w:w="1092" w:type="dxa"/>
            <w:tcBorders>
              <w:top w:val="nil"/>
              <w:left w:val="nil"/>
              <w:bottom w:val="single" w:sz="4" w:space="0" w:color="538DD5"/>
              <w:right w:val="nil"/>
            </w:tcBorders>
            <w:shd w:val="clear" w:color="auto" w:fill="FFFFFF"/>
            <w:hideMark/>
          </w:tcPr>
          <w:p w14:paraId="736468CF" w14:textId="77777777" w:rsidR="00FE461F" w:rsidRPr="005E4BEA" w:rsidRDefault="00FE461F" w:rsidP="00FE461F">
            <w:pPr>
              <w:spacing w:after="160" w:line="259" w:lineRule="auto"/>
              <w:rPr>
                <w:rFonts w:cs="Arial"/>
                <w:color w:val="FF0000"/>
                <w:szCs w:val="20"/>
              </w:rPr>
            </w:pPr>
            <w:r w:rsidRPr="005E4BEA">
              <w:rPr>
                <w:rFonts w:cs="Arial"/>
                <w:color w:val="FF0000"/>
                <w:szCs w:val="20"/>
              </w:rPr>
              <w:t> </w:t>
            </w:r>
          </w:p>
        </w:tc>
        <w:tc>
          <w:tcPr>
            <w:tcW w:w="1599" w:type="dxa"/>
            <w:tcBorders>
              <w:top w:val="nil"/>
              <w:left w:val="nil"/>
              <w:bottom w:val="single" w:sz="4" w:space="0" w:color="538DD5"/>
              <w:right w:val="nil"/>
            </w:tcBorders>
            <w:shd w:val="clear" w:color="auto" w:fill="FFFFFF"/>
            <w:hideMark/>
          </w:tcPr>
          <w:p w14:paraId="6E15BC2A" w14:textId="77777777" w:rsidR="00FE461F" w:rsidRPr="005E4BEA" w:rsidRDefault="00FE461F" w:rsidP="00FE461F">
            <w:pPr>
              <w:spacing w:after="160" w:line="259" w:lineRule="auto"/>
              <w:rPr>
                <w:rFonts w:cs="Arial"/>
                <w:color w:val="FF0000"/>
                <w:szCs w:val="20"/>
              </w:rPr>
            </w:pPr>
            <w:r w:rsidRPr="005E4BEA">
              <w:rPr>
                <w:rFonts w:cs="Arial"/>
                <w:color w:val="FF0000"/>
                <w:szCs w:val="20"/>
              </w:rPr>
              <w:t> </w:t>
            </w:r>
          </w:p>
        </w:tc>
        <w:tc>
          <w:tcPr>
            <w:tcW w:w="1129" w:type="dxa"/>
            <w:tcBorders>
              <w:top w:val="nil"/>
              <w:left w:val="nil"/>
              <w:bottom w:val="single" w:sz="4" w:space="0" w:color="538DD5"/>
              <w:right w:val="single" w:sz="4" w:space="0" w:color="538DD5"/>
            </w:tcBorders>
            <w:shd w:val="clear" w:color="auto" w:fill="FFFFFF"/>
            <w:hideMark/>
          </w:tcPr>
          <w:p w14:paraId="52E097E9" w14:textId="77777777" w:rsidR="00FE461F" w:rsidRPr="005E4BEA" w:rsidRDefault="00FE461F" w:rsidP="00FE461F">
            <w:pPr>
              <w:spacing w:after="160" w:line="259" w:lineRule="auto"/>
              <w:rPr>
                <w:rFonts w:cs="Arial"/>
                <w:color w:val="FF0000"/>
                <w:szCs w:val="20"/>
              </w:rPr>
            </w:pPr>
            <w:r w:rsidRPr="005E4BEA">
              <w:rPr>
                <w:rFonts w:cs="Arial"/>
                <w:color w:val="FF0000"/>
                <w:szCs w:val="20"/>
              </w:rPr>
              <w:t> </w:t>
            </w:r>
          </w:p>
        </w:tc>
      </w:tr>
      <w:tr w:rsidR="00FE461F" w:rsidRPr="005E4BEA" w14:paraId="4FCC09F1" w14:textId="77777777" w:rsidTr="00BE5D1E">
        <w:trPr>
          <w:trHeight w:val="420"/>
        </w:trPr>
        <w:tc>
          <w:tcPr>
            <w:tcW w:w="278" w:type="dxa"/>
            <w:tcBorders>
              <w:top w:val="single" w:sz="4" w:space="0" w:color="538DD5"/>
              <w:left w:val="single" w:sz="4" w:space="0" w:color="538DD5"/>
              <w:bottom w:val="nil"/>
              <w:right w:val="nil"/>
            </w:tcBorders>
            <w:shd w:val="clear" w:color="auto" w:fill="FFFFFF"/>
            <w:hideMark/>
          </w:tcPr>
          <w:p w14:paraId="1CB0F1BD" w14:textId="77777777" w:rsidR="00FE461F" w:rsidRPr="005E4BEA" w:rsidRDefault="00FE461F" w:rsidP="00FE461F">
            <w:pPr>
              <w:spacing w:after="160" w:line="259" w:lineRule="auto"/>
              <w:jc w:val="center"/>
              <w:outlineLvl w:val="0"/>
              <w:rPr>
                <w:rFonts w:cs="Arial"/>
                <w:szCs w:val="20"/>
              </w:rPr>
            </w:pPr>
            <w:r w:rsidRPr="005E4BEA">
              <w:rPr>
                <w:rFonts w:cs="Arial"/>
                <w:szCs w:val="20"/>
              </w:rPr>
              <w:t>1</w:t>
            </w:r>
          </w:p>
        </w:tc>
        <w:tc>
          <w:tcPr>
            <w:tcW w:w="2579" w:type="dxa"/>
            <w:tcBorders>
              <w:top w:val="single" w:sz="4" w:space="0" w:color="538DD5"/>
              <w:left w:val="single" w:sz="4" w:space="0" w:color="538DD5"/>
              <w:bottom w:val="nil"/>
              <w:right w:val="single" w:sz="4" w:space="0" w:color="538DD5"/>
            </w:tcBorders>
            <w:shd w:val="clear" w:color="auto" w:fill="FFFFFF"/>
            <w:hideMark/>
          </w:tcPr>
          <w:p w14:paraId="4B36AC03" w14:textId="77777777" w:rsidR="00FE461F" w:rsidRPr="005E4BEA" w:rsidRDefault="00FE461F" w:rsidP="00FE461F">
            <w:pPr>
              <w:spacing w:after="160" w:line="259" w:lineRule="auto"/>
              <w:outlineLvl w:val="0"/>
              <w:rPr>
                <w:rFonts w:cs="Arial"/>
                <w:szCs w:val="20"/>
              </w:rPr>
            </w:pPr>
            <w:r w:rsidRPr="005E4BEA">
              <w:rPr>
                <w:rFonts w:cs="Arial"/>
                <w:szCs w:val="20"/>
              </w:rPr>
              <w:t>338024 Nujna medicinska pomoč-helikopter NMP</w:t>
            </w:r>
          </w:p>
        </w:tc>
        <w:tc>
          <w:tcPr>
            <w:tcW w:w="1464" w:type="dxa"/>
            <w:tcBorders>
              <w:top w:val="single" w:sz="4" w:space="0" w:color="538DD5"/>
              <w:left w:val="nil"/>
              <w:bottom w:val="nil"/>
              <w:right w:val="single" w:sz="4" w:space="0" w:color="538DD5"/>
            </w:tcBorders>
            <w:shd w:val="clear" w:color="auto" w:fill="FFFFFF"/>
            <w:hideMark/>
          </w:tcPr>
          <w:p w14:paraId="0B71CC74" w14:textId="77777777" w:rsidR="00FE461F" w:rsidRPr="005E4BEA" w:rsidRDefault="00FE461F" w:rsidP="00FE461F">
            <w:pPr>
              <w:spacing w:after="160" w:line="259" w:lineRule="auto"/>
              <w:rPr>
                <w:rFonts w:cs="Arial"/>
                <w:szCs w:val="20"/>
              </w:rPr>
            </w:pPr>
            <w:r w:rsidRPr="005E4BEA">
              <w:rPr>
                <w:rFonts w:cs="Arial"/>
                <w:szCs w:val="20"/>
              </w:rPr>
              <w:t>SB Celje</w:t>
            </w:r>
          </w:p>
        </w:tc>
        <w:tc>
          <w:tcPr>
            <w:tcW w:w="659" w:type="dxa"/>
            <w:tcBorders>
              <w:top w:val="single" w:sz="4" w:space="0" w:color="538DD5"/>
              <w:left w:val="nil"/>
              <w:bottom w:val="nil"/>
              <w:right w:val="nil"/>
            </w:tcBorders>
            <w:shd w:val="clear" w:color="auto" w:fill="FFFFFF"/>
          </w:tcPr>
          <w:p w14:paraId="27BD3E0E" w14:textId="77777777" w:rsidR="00FE461F" w:rsidRPr="005E4BEA" w:rsidRDefault="00FE461F" w:rsidP="00FE461F">
            <w:pPr>
              <w:spacing w:after="160" w:line="259" w:lineRule="auto"/>
              <w:jc w:val="right"/>
              <w:outlineLvl w:val="0"/>
              <w:rPr>
                <w:rFonts w:cs="Arial"/>
                <w:szCs w:val="20"/>
              </w:rPr>
            </w:pPr>
            <w:r w:rsidRPr="005E4BEA">
              <w:rPr>
                <w:rFonts w:cs="Arial"/>
                <w:szCs w:val="20"/>
              </w:rPr>
              <w:t xml:space="preserve">1 TIM </w:t>
            </w:r>
          </w:p>
        </w:tc>
        <w:tc>
          <w:tcPr>
            <w:tcW w:w="1092" w:type="dxa"/>
            <w:tcBorders>
              <w:top w:val="single" w:sz="4" w:space="0" w:color="538DD5"/>
              <w:left w:val="nil"/>
              <w:bottom w:val="nil"/>
              <w:right w:val="single" w:sz="4" w:space="0" w:color="538DD5"/>
            </w:tcBorders>
            <w:shd w:val="clear" w:color="auto" w:fill="FFFFFF"/>
          </w:tcPr>
          <w:p w14:paraId="2202769B" w14:textId="77777777" w:rsidR="00FE461F" w:rsidRPr="005E4BEA" w:rsidRDefault="00FE461F" w:rsidP="00FE461F">
            <w:pPr>
              <w:spacing w:after="160" w:line="259" w:lineRule="auto"/>
              <w:outlineLvl w:val="0"/>
              <w:rPr>
                <w:rFonts w:cs="Arial"/>
                <w:szCs w:val="20"/>
              </w:rPr>
            </w:pPr>
          </w:p>
        </w:tc>
        <w:tc>
          <w:tcPr>
            <w:tcW w:w="1599" w:type="dxa"/>
            <w:tcBorders>
              <w:top w:val="single" w:sz="4" w:space="0" w:color="538DD5"/>
              <w:left w:val="nil"/>
              <w:bottom w:val="nil"/>
              <w:right w:val="single" w:sz="4" w:space="0" w:color="538DD5"/>
            </w:tcBorders>
            <w:shd w:val="clear" w:color="auto" w:fill="FFFFFF"/>
            <w:hideMark/>
          </w:tcPr>
          <w:p w14:paraId="538CD1C7" w14:textId="77777777" w:rsidR="00FE461F" w:rsidRPr="005E4BEA" w:rsidRDefault="00FE461F" w:rsidP="00F356C9">
            <w:pPr>
              <w:numPr>
                <w:ilvl w:val="1"/>
                <w:numId w:val="43"/>
              </w:numPr>
              <w:spacing w:after="160" w:line="259" w:lineRule="auto"/>
              <w:contextualSpacing/>
              <w:jc w:val="right"/>
              <w:outlineLvl w:val="0"/>
              <w:rPr>
                <w:rFonts w:cs="Arial"/>
                <w:szCs w:val="20"/>
              </w:rPr>
            </w:pPr>
            <w:r w:rsidRPr="005E4BEA">
              <w:rPr>
                <w:rFonts w:cs="Arial"/>
                <w:szCs w:val="20"/>
              </w:rPr>
              <w:t>R</w:t>
            </w:r>
          </w:p>
        </w:tc>
        <w:tc>
          <w:tcPr>
            <w:tcW w:w="1129" w:type="dxa"/>
            <w:tcBorders>
              <w:top w:val="single" w:sz="4" w:space="0" w:color="538DD5"/>
              <w:left w:val="nil"/>
              <w:bottom w:val="nil"/>
              <w:right w:val="single" w:sz="4" w:space="0" w:color="538DD5"/>
            </w:tcBorders>
            <w:shd w:val="clear" w:color="auto" w:fill="FFFFFF"/>
          </w:tcPr>
          <w:p w14:paraId="5C58A558" w14:textId="77777777" w:rsidR="00FE461F" w:rsidRPr="005E4BEA" w:rsidRDefault="00FE461F" w:rsidP="00FE461F">
            <w:pPr>
              <w:spacing w:after="160" w:line="259" w:lineRule="auto"/>
              <w:jc w:val="right"/>
              <w:outlineLvl w:val="0"/>
              <w:rPr>
                <w:rFonts w:cs="Arial"/>
                <w:szCs w:val="20"/>
              </w:rPr>
            </w:pPr>
          </w:p>
        </w:tc>
      </w:tr>
    </w:tbl>
    <w:p w14:paraId="61A64EBF" w14:textId="77777777" w:rsidR="00FE461F" w:rsidRPr="005E4BEA" w:rsidRDefault="00FE461F" w:rsidP="00FE461F">
      <w:pPr>
        <w:spacing w:after="160" w:line="259" w:lineRule="auto"/>
        <w:rPr>
          <w:rFonts w:cs="Arial"/>
          <w:szCs w:val="20"/>
        </w:rPr>
      </w:pPr>
    </w:p>
    <w:p w14:paraId="4427DA51" w14:textId="77777777" w:rsidR="00FE461F" w:rsidRPr="005E4BEA" w:rsidRDefault="00FE461F" w:rsidP="00FE461F">
      <w:pPr>
        <w:spacing w:after="160" w:line="259" w:lineRule="auto"/>
        <w:contextualSpacing/>
        <w:rPr>
          <w:rFonts w:cs="Arial"/>
          <w:szCs w:val="20"/>
        </w:rPr>
      </w:pPr>
      <w:r w:rsidRPr="005E4BEA">
        <w:rPr>
          <w:rFonts w:cs="Arial"/>
          <w:b/>
          <w:bCs/>
          <w:szCs w:val="20"/>
        </w:rPr>
        <w:t xml:space="preserve">V Prilogi ZD ZAS se 20. členu </w:t>
      </w:r>
      <w:r w:rsidRPr="005E4BEA">
        <w:rPr>
          <w:rFonts w:cs="Arial"/>
          <w:szCs w:val="20"/>
        </w:rPr>
        <w:t xml:space="preserve"> </w:t>
      </w:r>
      <w:r w:rsidRPr="005E4BEA">
        <w:rPr>
          <w:rFonts w:cs="Arial"/>
          <w:b/>
          <w:bCs/>
          <w:szCs w:val="20"/>
        </w:rPr>
        <w:t xml:space="preserve">v (3) odstavku </w:t>
      </w:r>
      <w:r w:rsidRPr="005E4BEA">
        <w:rPr>
          <w:rFonts w:cs="Arial"/>
          <w:szCs w:val="20"/>
        </w:rPr>
        <w:t>doda tretji odstavek, ki se glasi: »SB Celje izvaja helikopterske prevoze v skladu s standardom 338 024 Priloge I«</w:t>
      </w:r>
    </w:p>
    <w:p w14:paraId="47EF229A" w14:textId="77777777" w:rsidR="00FE461F" w:rsidRPr="005E4BEA" w:rsidRDefault="00FE461F" w:rsidP="00FE461F">
      <w:pPr>
        <w:spacing w:after="160" w:line="259" w:lineRule="auto"/>
        <w:contextualSpacing/>
        <w:rPr>
          <w:rFonts w:cs="Arial"/>
          <w:szCs w:val="20"/>
        </w:rPr>
      </w:pPr>
    </w:p>
    <w:p w14:paraId="3C0F4B3B" w14:textId="77777777" w:rsidR="00FE461F" w:rsidRPr="005E4BEA" w:rsidRDefault="00FE461F" w:rsidP="00FE461F">
      <w:pPr>
        <w:spacing w:line="240" w:lineRule="auto"/>
        <w:rPr>
          <w:rFonts w:cs="Arial"/>
          <w:b/>
          <w:bCs/>
          <w:i/>
          <w:color w:val="808080" w:themeColor="background1" w:themeShade="80"/>
          <w:szCs w:val="20"/>
          <w:u w:val="single"/>
        </w:rPr>
      </w:pPr>
      <w:r w:rsidRPr="005E4BEA">
        <w:rPr>
          <w:rFonts w:cs="Arial"/>
          <w:b/>
          <w:bCs/>
          <w:i/>
          <w:color w:val="808080" w:themeColor="background1" w:themeShade="80"/>
          <w:szCs w:val="20"/>
          <w:u w:val="single"/>
        </w:rPr>
        <w:t xml:space="preserve">Obrazložitev: </w:t>
      </w:r>
    </w:p>
    <w:p w14:paraId="31C5F5BE" w14:textId="77777777" w:rsidR="00FE461F" w:rsidRPr="005E4BEA" w:rsidRDefault="00FE461F" w:rsidP="00FE461F">
      <w:pPr>
        <w:spacing w:line="240" w:lineRule="auto"/>
        <w:jc w:val="both"/>
        <w:rPr>
          <w:rFonts w:cs="Arial"/>
          <w:i/>
          <w:color w:val="808080" w:themeColor="background1" w:themeShade="80"/>
          <w:szCs w:val="20"/>
        </w:rPr>
      </w:pPr>
      <w:r w:rsidRPr="005E4BEA">
        <w:rPr>
          <w:rFonts w:cs="Arial"/>
          <w:i/>
          <w:color w:val="808080" w:themeColor="background1" w:themeShade="80"/>
          <w:szCs w:val="20"/>
        </w:rPr>
        <w:t xml:space="preserve">SB Celje ima izgrajen </w:t>
      </w:r>
      <w:proofErr w:type="spellStart"/>
      <w:r w:rsidRPr="005E4BEA">
        <w:rPr>
          <w:rFonts w:cs="Arial"/>
          <w:i/>
          <w:color w:val="808080" w:themeColor="background1" w:themeShade="80"/>
          <w:szCs w:val="20"/>
        </w:rPr>
        <w:t>heliport</w:t>
      </w:r>
      <w:proofErr w:type="spellEnd"/>
      <w:r w:rsidRPr="005E4BEA">
        <w:rPr>
          <w:rFonts w:cs="Arial"/>
          <w:i/>
          <w:color w:val="808080" w:themeColor="background1" w:themeShade="80"/>
          <w:szCs w:val="20"/>
        </w:rPr>
        <w:t xml:space="preserve"> za izvajanje </w:t>
      </w:r>
      <w:proofErr w:type="spellStart"/>
      <w:r w:rsidRPr="005E4BEA">
        <w:rPr>
          <w:rFonts w:cs="Arial"/>
          <w:i/>
          <w:color w:val="808080" w:themeColor="background1" w:themeShade="80"/>
          <w:szCs w:val="20"/>
        </w:rPr>
        <w:t>helikoptrskih</w:t>
      </w:r>
      <w:proofErr w:type="spellEnd"/>
      <w:r w:rsidRPr="005E4BEA">
        <w:rPr>
          <w:rFonts w:cs="Arial"/>
          <w:i/>
          <w:color w:val="808080" w:themeColor="background1" w:themeShade="80"/>
          <w:szCs w:val="20"/>
        </w:rPr>
        <w:t xml:space="preserve"> prevozov na način kot jih izvaja UKC </w:t>
      </w:r>
      <w:proofErr w:type="spellStart"/>
      <w:r w:rsidRPr="005E4BEA">
        <w:rPr>
          <w:rFonts w:cs="Arial"/>
          <w:i/>
          <w:color w:val="808080" w:themeColor="background1" w:themeShade="80"/>
          <w:szCs w:val="20"/>
        </w:rPr>
        <w:t>Lj</w:t>
      </w:r>
      <w:proofErr w:type="spellEnd"/>
      <w:r w:rsidRPr="005E4BEA">
        <w:rPr>
          <w:rFonts w:cs="Arial"/>
          <w:i/>
          <w:color w:val="808080" w:themeColor="background1" w:themeShade="80"/>
          <w:szCs w:val="20"/>
        </w:rPr>
        <w:t xml:space="preserve"> (na strehi stavbe). Zato predlagamo financiranje na isti način kot je v UKC </w:t>
      </w:r>
      <w:proofErr w:type="spellStart"/>
      <w:r w:rsidRPr="005E4BEA">
        <w:rPr>
          <w:rFonts w:cs="Arial"/>
          <w:i/>
          <w:color w:val="808080" w:themeColor="background1" w:themeShade="80"/>
          <w:szCs w:val="20"/>
        </w:rPr>
        <w:t>Lj</w:t>
      </w:r>
      <w:proofErr w:type="spellEnd"/>
      <w:r w:rsidRPr="005E4BEA">
        <w:rPr>
          <w:rFonts w:cs="Arial"/>
          <w:i/>
          <w:color w:val="808080" w:themeColor="background1" w:themeShade="80"/>
          <w:szCs w:val="20"/>
        </w:rPr>
        <w:t xml:space="preserve">. z zagotovitvijo dodatnih materialnih stroškov za delovanja tehnično ustreznega in varnega </w:t>
      </w:r>
      <w:proofErr w:type="spellStart"/>
      <w:r w:rsidRPr="005E4BEA">
        <w:rPr>
          <w:rFonts w:cs="Arial"/>
          <w:i/>
          <w:color w:val="808080" w:themeColor="background1" w:themeShade="80"/>
          <w:szCs w:val="20"/>
        </w:rPr>
        <w:t>helioporta</w:t>
      </w:r>
      <w:proofErr w:type="spellEnd"/>
      <w:r w:rsidRPr="005E4BEA">
        <w:rPr>
          <w:rFonts w:cs="Arial"/>
          <w:i/>
          <w:color w:val="808080" w:themeColor="background1" w:themeShade="80"/>
          <w:szCs w:val="20"/>
        </w:rPr>
        <w:t>.</w:t>
      </w:r>
    </w:p>
    <w:p w14:paraId="127155AA" w14:textId="77777777" w:rsidR="00FE461F" w:rsidRPr="005E4BEA" w:rsidRDefault="00FE461F" w:rsidP="00FE461F">
      <w:pPr>
        <w:spacing w:line="240" w:lineRule="auto"/>
        <w:jc w:val="both"/>
        <w:rPr>
          <w:rFonts w:cs="Arial"/>
          <w:i/>
          <w:color w:val="808080" w:themeColor="background1" w:themeShade="80"/>
          <w:szCs w:val="20"/>
        </w:rPr>
      </w:pPr>
    </w:p>
    <w:p w14:paraId="20F013DB" w14:textId="77777777" w:rsidR="00FE461F" w:rsidRPr="005E4BEA" w:rsidRDefault="00FE461F" w:rsidP="00FE461F">
      <w:pPr>
        <w:spacing w:line="240" w:lineRule="auto"/>
        <w:jc w:val="both"/>
        <w:rPr>
          <w:rFonts w:cs="Arial"/>
          <w:i/>
          <w:color w:val="808080" w:themeColor="background1" w:themeShade="80"/>
          <w:szCs w:val="20"/>
        </w:rPr>
      </w:pPr>
    </w:p>
    <w:p w14:paraId="201124AA" w14:textId="77777777"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CB858D6" w14:textId="77777777" w:rsidR="00487C03" w:rsidRPr="005E4BEA" w:rsidRDefault="00487C03" w:rsidP="00487C03">
      <w:pPr>
        <w:spacing w:line="0" w:lineRule="atLeast"/>
        <w:jc w:val="both"/>
        <w:rPr>
          <w:rFonts w:eastAsia="Arial Narrow" w:cs="Arial"/>
          <w:szCs w:val="20"/>
          <w:lang w:eastAsia="sl-SI"/>
        </w:rPr>
      </w:pPr>
    </w:p>
    <w:p w14:paraId="5734E3BB" w14:textId="792ACA8C" w:rsidR="00487C03" w:rsidRPr="005E4BEA" w:rsidRDefault="00487C03" w:rsidP="00487C03">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 xml:space="preserve">se 24. člen </w:t>
      </w:r>
      <w:r w:rsidR="00BE5D1E" w:rsidRPr="005E4BEA">
        <w:rPr>
          <w:rFonts w:eastAsia="Arial Narrow" w:cs="Arial"/>
          <w:szCs w:val="20"/>
        </w:rPr>
        <w:t xml:space="preserve">in Priloga ZD ZAS </w:t>
      </w:r>
      <w:r w:rsidRPr="005E4BEA">
        <w:rPr>
          <w:rFonts w:eastAsia="Arial Narrow" w:cs="Arial"/>
          <w:szCs w:val="20"/>
        </w:rPr>
        <w:t>Splošnega dogovora za pogodbeno leto 2022 ne spremeni</w:t>
      </w:r>
      <w:r w:rsidR="00BE5D1E" w:rsidRPr="005E4BEA">
        <w:rPr>
          <w:rFonts w:eastAsia="Arial Narrow" w:cs="Arial"/>
          <w:szCs w:val="20"/>
        </w:rPr>
        <w:t>ta</w:t>
      </w:r>
      <w:r w:rsidRPr="005E4BEA">
        <w:rPr>
          <w:rFonts w:eastAsia="Arial Narrow" w:cs="Arial"/>
          <w:szCs w:val="20"/>
        </w:rPr>
        <w:t>.</w:t>
      </w:r>
    </w:p>
    <w:p w14:paraId="79A95EDB" w14:textId="71A8FD74" w:rsidR="00BE5D1E" w:rsidRPr="005E4BEA" w:rsidRDefault="00BE5D1E" w:rsidP="00487C03">
      <w:pPr>
        <w:spacing w:line="0" w:lineRule="atLeast"/>
        <w:jc w:val="both"/>
        <w:rPr>
          <w:rFonts w:eastAsia="Arial Narrow" w:cs="Arial"/>
          <w:szCs w:val="20"/>
        </w:rPr>
      </w:pPr>
    </w:p>
    <w:bookmarkEnd w:id="42"/>
    <w:p w14:paraId="7B103BC1" w14:textId="77777777" w:rsidR="00BE5D1E" w:rsidRPr="005E4BEA" w:rsidRDefault="00BE5D1E" w:rsidP="00487C03">
      <w:pPr>
        <w:spacing w:line="0" w:lineRule="atLeast"/>
        <w:jc w:val="both"/>
        <w:rPr>
          <w:rFonts w:eastAsia="Arial Narrow" w:cs="Arial"/>
          <w:szCs w:val="20"/>
        </w:rPr>
      </w:pPr>
    </w:p>
    <w:p w14:paraId="38D15B9E" w14:textId="51EB8B32" w:rsidR="00BE5D1E" w:rsidRPr="005E4BEA" w:rsidRDefault="00BE5D1E"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(48)</w:t>
      </w:r>
    </w:p>
    <w:p w14:paraId="52B483A8" w14:textId="77777777" w:rsidR="00BE5D1E" w:rsidRPr="005E4BEA" w:rsidRDefault="00BE5D1E" w:rsidP="00BE5D1E">
      <w:pPr>
        <w:spacing w:line="240" w:lineRule="auto"/>
        <w:jc w:val="both"/>
        <w:rPr>
          <w:rFonts w:cs="Arial"/>
          <w:i/>
          <w:iCs/>
          <w:color w:val="808080" w:themeColor="background1" w:themeShade="80"/>
          <w:szCs w:val="20"/>
        </w:rPr>
      </w:pPr>
    </w:p>
    <w:p w14:paraId="331577B1" w14:textId="7EDA288F" w:rsidR="00FE461F" w:rsidRPr="005E4BEA" w:rsidRDefault="00BE5D1E" w:rsidP="00FE461F">
      <w:pPr>
        <w:spacing w:line="240" w:lineRule="auto"/>
        <w:jc w:val="both"/>
        <w:rPr>
          <w:rFonts w:cs="Arial"/>
          <w:szCs w:val="20"/>
        </w:rPr>
      </w:pPr>
      <w:r w:rsidRPr="005E4BEA">
        <w:rPr>
          <w:rFonts w:cs="Arial"/>
          <w:b/>
          <w:bCs/>
          <w:szCs w:val="20"/>
        </w:rPr>
        <w:t xml:space="preserve">Združenje zdravstvenih zavodov Slovenije </w:t>
      </w:r>
      <w:r w:rsidRPr="005E4BEA">
        <w:rPr>
          <w:rFonts w:cs="Arial"/>
          <w:szCs w:val="20"/>
        </w:rPr>
        <w:t xml:space="preserve">predlaga, da se </w:t>
      </w:r>
      <w:bookmarkStart w:id="43" w:name="_Hlk99605726"/>
      <w:r w:rsidRPr="005E4BEA">
        <w:rPr>
          <w:rFonts w:cs="Arial"/>
          <w:szCs w:val="20"/>
        </w:rPr>
        <w:t>v</w:t>
      </w:r>
      <w:r w:rsidR="00FE461F" w:rsidRPr="005E4BEA">
        <w:rPr>
          <w:rFonts w:cs="Arial"/>
          <w:szCs w:val="20"/>
        </w:rPr>
        <w:t xml:space="preserve"> 24. členu se v (6) odstavku </w:t>
      </w:r>
      <w:r w:rsidRPr="005E4BEA">
        <w:rPr>
          <w:rFonts w:cs="Arial"/>
          <w:szCs w:val="20"/>
        </w:rPr>
        <w:t>z</w:t>
      </w:r>
      <w:r w:rsidR="00FE461F" w:rsidRPr="005E4BEA">
        <w:rPr>
          <w:rFonts w:cs="Arial"/>
          <w:szCs w:val="20"/>
        </w:rPr>
        <w:t>a nujne širitve programov oziroma uvajanje novih terapij pri zdravljenju v okviru prvega in drugega odstavka tega člena načrtujejo dodatna sredstva:</w:t>
      </w:r>
    </w:p>
    <w:p w14:paraId="4B56DEAF" w14:textId="631A4037" w:rsidR="00BE5D1E" w:rsidRPr="005E4BEA" w:rsidRDefault="00BE5D1E" w:rsidP="00FE461F">
      <w:pPr>
        <w:spacing w:line="240" w:lineRule="auto"/>
        <w:jc w:val="both"/>
        <w:rPr>
          <w:rFonts w:cs="Arial"/>
          <w:szCs w:val="20"/>
        </w:rPr>
      </w:pPr>
    </w:p>
    <w:p w14:paraId="011E799E" w14:textId="092C4AA3" w:rsidR="00BE5D1E" w:rsidRPr="005E4BEA" w:rsidRDefault="00BE5D1E" w:rsidP="00FE461F">
      <w:pPr>
        <w:spacing w:line="240" w:lineRule="auto"/>
        <w:jc w:val="both"/>
        <w:rPr>
          <w:rFonts w:cs="Arial"/>
          <w:szCs w:val="20"/>
        </w:rPr>
      </w:pPr>
    </w:p>
    <w:p w14:paraId="01C426B7" w14:textId="77777777" w:rsidR="00BE5D1E" w:rsidRPr="005E4BEA" w:rsidRDefault="00BE5D1E" w:rsidP="00FE461F">
      <w:pPr>
        <w:spacing w:line="240" w:lineRule="auto"/>
        <w:jc w:val="both"/>
        <w:rPr>
          <w:rFonts w:cs="Arial"/>
          <w:szCs w:val="20"/>
        </w:rPr>
      </w:pPr>
    </w:p>
    <w:p w14:paraId="347841F4" w14:textId="0486F760" w:rsidR="00BE5D1E" w:rsidRPr="005E4BEA" w:rsidRDefault="00BE5D1E" w:rsidP="00FE461F">
      <w:pPr>
        <w:spacing w:line="240" w:lineRule="auto"/>
        <w:jc w:val="both"/>
        <w:rPr>
          <w:rFonts w:cs="Arial"/>
          <w:szCs w:val="20"/>
        </w:rPr>
      </w:pPr>
    </w:p>
    <w:p w14:paraId="48CCC729" w14:textId="77777777" w:rsidR="00BE5D1E" w:rsidRPr="005E4BEA" w:rsidRDefault="00BE5D1E" w:rsidP="00FE461F">
      <w:pPr>
        <w:spacing w:line="240" w:lineRule="auto"/>
        <w:jc w:val="both"/>
        <w:rPr>
          <w:rFonts w:cs="Arial"/>
          <w:szCs w:val="20"/>
        </w:rPr>
      </w:pPr>
    </w:p>
    <w:tbl>
      <w:tblPr>
        <w:tblW w:w="8625" w:type="dxa"/>
        <w:tblInd w:w="-20" w:type="dxa"/>
        <w:tblCellMar>
          <w:left w:w="70" w:type="dxa"/>
          <w:right w:w="70" w:type="dxa"/>
        </w:tblCellMar>
        <w:tblLook w:val="04A0" w:firstRow="1" w:lastRow="0" w:firstColumn="1" w:lastColumn="0" w:noHBand="0" w:noVBand="1"/>
      </w:tblPr>
      <w:tblGrid>
        <w:gridCol w:w="552"/>
        <w:gridCol w:w="1675"/>
        <w:gridCol w:w="1903"/>
        <w:gridCol w:w="1063"/>
        <w:gridCol w:w="827"/>
        <w:gridCol w:w="1232"/>
        <w:gridCol w:w="1373"/>
      </w:tblGrid>
      <w:tr w:rsidR="00BE5D1E" w:rsidRPr="005E4BEA" w14:paraId="4CA04247" w14:textId="77777777" w:rsidTr="00BE5D1E">
        <w:trPr>
          <w:trHeight w:val="658"/>
        </w:trPr>
        <w:tc>
          <w:tcPr>
            <w:tcW w:w="430"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599D858F" w14:textId="77777777" w:rsidR="00BE5D1E" w:rsidRPr="005E4BEA" w:rsidRDefault="00BE5D1E" w:rsidP="00FE461F">
            <w:pPr>
              <w:spacing w:line="240" w:lineRule="auto"/>
              <w:jc w:val="both"/>
              <w:rPr>
                <w:rFonts w:cs="Arial"/>
                <w:b/>
                <w:bCs/>
                <w:color w:val="000000"/>
                <w:szCs w:val="20"/>
              </w:rPr>
            </w:pPr>
            <w:proofErr w:type="spellStart"/>
            <w:r w:rsidRPr="005E4BEA">
              <w:rPr>
                <w:rFonts w:cs="Arial"/>
                <w:b/>
                <w:bCs/>
                <w:color w:val="000000"/>
                <w:szCs w:val="20"/>
              </w:rPr>
              <w:lastRenderedPageBreak/>
              <w:t>Zap</w:t>
            </w:r>
            <w:proofErr w:type="spellEnd"/>
            <w:r w:rsidRPr="005E4BEA">
              <w:rPr>
                <w:rFonts w:cs="Arial"/>
                <w:b/>
                <w:bCs/>
                <w:color w:val="000000"/>
                <w:szCs w:val="20"/>
              </w:rPr>
              <w:t>.</w:t>
            </w:r>
          </w:p>
        </w:tc>
        <w:tc>
          <w:tcPr>
            <w:tcW w:w="148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0B19AB00"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P r o g r a m</w:t>
            </w:r>
          </w:p>
        </w:tc>
        <w:tc>
          <w:tcPr>
            <w:tcW w:w="1903" w:type="dxa"/>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72C1CFA0"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I z v a j a l e c</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104728E9"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Obseg programa</w:t>
            </w:r>
          </w:p>
        </w:tc>
        <w:tc>
          <w:tcPr>
            <w:tcW w:w="1232" w:type="dxa"/>
            <w:tcBorders>
              <w:top w:val="single" w:sz="4" w:space="0" w:color="auto"/>
              <w:left w:val="nil"/>
              <w:bottom w:val="single" w:sz="4" w:space="0" w:color="auto"/>
              <w:right w:val="nil"/>
            </w:tcBorders>
            <w:shd w:val="clear" w:color="000000" w:fill="DEEAF6"/>
          </w:tcPr>
          <w:p w14:paraId="5CE4F291" w14:textId="77777777" w:rsidR="00BE5D1E" w:rsidRPr="005E4BEA" w:rsidRDefault="00BE5D1E" w:rsidP="00FE461F">
            <w:pPr>
              <w:spacing w:line="240" w:lineRule="auto"/>
              <w:jc w:val="both"/>
              <w:rPr>
                <w:rFonts w:cs="Arial"/>
                <w:b/>
                <w:bCs/>
                <w:color w:val="000000"/>
                <w:szCs w:val="20"/>
              </w:rPr>
            </w:pPr>
          </w:p>
        </w:tc>
        <w:tc>
          <w:tcPr>
            <w:tcW w:w="1232" w:type="dxa"/>
            <w:tcBorders>
              <w:top w:val="single" w:sz="4" w:space="0" w:color="auto"/>
              <w:left w:val="nil"/>
              <w:bottom w:val="single" w:sz="4" w:space="0" w:color="auto"/>
              <w:right w:val="single" w:sz="4" w:space="0" w:color="auto"/>
            </w:tcBorders>
            <w:shd w:val="clear" w:color="000000" w:fill="DEEAF6"/>
            <w:noWrap/>
            <w:vAlign w:val="center"/>
            <w:hideMark/>
          </w:tcPr>
          <w:p w14:paraId="14F928D2" w14:textId="11F41C0E" w:rsidR="00BE5D1E" w:rsidRPr="005E4BEA" w:rsidRDefault="00BE5D1E" w:rsidP="00FE461F">
            <w:pPr>
              <w:spacing w:line="240" w:lineRule="auto"/>
              <w:jc w:val="both"/>
              <w:rPr>
                <w:rFonts w:cs="Arial"/>
                <w:b/>
                <w:bCs/>
                <w:color w:val="000000"/>
                <w:szCs w:val="20"/>
              </w:rPr>
            </w:pPr>
            <w:r w:rsidRPr="005E4BEA">
              <w:rPr>
                <w:rFonts w:cs="Arial"/>
                <w:b/>
                <w:bCs/>
                <w:color w:val="000000"/>
                <w:szCs w:val="20"/>
              </w:rPr>
              <w:t>Dodatna sredstva na letni ravni</w:t>
            </w:r>
          </w:p>
        </w:tc>
        <w:tc>
          <w:tcPr>
            <w:tcW w:w="1373" w:type="dxa"/>
            <w:tcBorders>
              <w:top w:val="single" w:sz="4" w:space="0" w:color="auto"/>
              <w:left w:val="nil"/>
              <w:bottom w:val="single" w:sz="4" w:space="0" w:color="auto"/>
              <w:right w:val="single" w:sz="4" w:space="0" w:color="auto"/>
            </w:tcBorders>
            <w:shd w:val="clear" w:color="000000" w:fill="DEEAF6"/>
            <w:noWrap/>
            <w:vAlign w:val="center"/>
            <w:hideMark/>
          </w:tcPr>
          <w:p w14:paraId="359FC047"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Dodatna sredstva 1.1.-31.12.2022</w:t>
            </w:r>
          </w:p>
        </w:tc>
      </w:tr>
      <w:tr w:rsidR="00BE5D1E" w:rsidRPr="005E4BEA" w14:paraId="06E61AEE" w14:textId="77777777" w:rsidTr="00BE5D1E">
        <w:trPr>
          <w:trHeight w:val="239"/>
        </w:trPr>
        <w:tc>
          <w:tcPr>
            <w:tcW w:w="430" w:type="dxa"/>
            <w:tcBorders>
              <w:top w:val="nil"/>
              <w:left w:val="single" w:sz="4" w:space="0" w:color="auto"/>
              <w:bottom w:val="single" w:sz="4" w:space="0" w:color="auto"/>
              <w:right w:val="single" w:sz="4" w:space="0" w:color="auto"/>
            </w:tcBorders>
            <w:shd w:val="clear" w:color="000000" w:fill="DEEAF6"/>
            <w:noWrap/>
            <w:vAlign w:val="center"/>
            <w:hideMark/>
          </w:tcPr>
          <w:p w14:paraId="3B1B7981"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št</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811304B" w14:textId="77777777" w:rsidR="00BE5D1E" w:rsidRPr="005E4BEA" w:rsidRDefault="00BE5D1E" w:rsidP="00FE461F">
            <w:pPr>
              <w:spacing w:line="240" w:lineRule="auto"/>
              <w:rPr>
                <w:rFonts w:cs="Arial"/>
                <w:b/>
                <w:bCs/>
                <w:color w:val="000000"/>
                <w:szCs w:val="20"/>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14:paraId="36766C56" w14:textId="77777777" w:rsidR="00BE5D1E" w:rsidRPr="005E4BEA" w:rsidRDefault="00BE5D1E" w:rsidP="00FE461F">
            <w:pPr>
              <w:spacing w:line="240" w:lineRule="auto"/>
              <w:rPr>
                <w:rFonts w:cs="Arial"/>
                <w:b/>
                <w:bCs/>
                <w:color w:val="000000"/>
                <w:szCs w:val="20"/>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826F6D5" w14:textId="77777777" w:rsidR="00BE5D1E" w:rsidRPr="005E4BEA" w:rsidRDefault="00BE5D1E" w:rsidP="00FE461F">
            <w:pPr>
              <w:spacing w:line="240" w:lineRule="auto"/>
              <w:rPr>
                <w:rFonts w:cs="Arial"/>
                <w:b/>
                <w:bCs/>
                <w:color w:val="000000"/>
                <w:szCs w:val="20"/>
              </w:rPr>
            </w:pPr>
          </w:p>
        </w:tc>
        <w:tc>
          <w:tcPr>
            <w:tcW w:w="1232" w:type="dxa"/>
            <w:tcBorders>
              <w:top w:val="nil"/>
              <w:left w:val="nil"/>
              <w:bottom w:val="single" w:sz="4" w:space="0" w:color="auto"/>
              <w:right w:val="nil"/>
            </w:tcBorders>
            <w:shd w:val="clear" w:color="000000" w:fill="DEEAF6"/>
          </w:tcPr>
          <w:p w14:paraId="1E8CEEB0" w14:textId="77777777" w:rsidR="00BE5D1E" w:rsidRPr="005E4BEA" w:rsidRDefault="00BE5D1E" w:rsidP="00FE461F">
            <w:pPr>
              <w:spacing w:line="240" w:lineRule="auto"/>
              <w:jc w:val="both"/>
              <w:rPr>
                <w:rFonts w:cs="Arial"/>
                <w:b/>
                <w:bCs/>
                <w:color w:val="000000"/>
                <w:szCs w:val="20"/>
              </w:rPr>
            </w:pPr>
          </w:p>
        </w:tc>
        <w:tc>
          <w:tcPr>
            <w:tcW w:w="1232" w:type="dxa"/>
            <w:tcBorders>
              <w:top w:val="nil"/>
              <w:left w:val="nil"/>
              <w:bottom w:val="single" w:sz="4" w:space="0" w:color="auto"/>
              <w:right w:val="single" w:sz="4" w:space="0" w:color="auto"/>
            </w:tcBorders>
            <w:shd w:val="clear" w:color="000000" w:fill="DEEAF6"/>
            <w:noWrap/>
            <w:vAlign w:val="center"/>
            <w:hideMark/>
          </w:tcPr>
          <w:p w14:paraId="09D8302F" w14:textId="563A8854" w:rsidR="00BE5D1E" w:rsidRPr="005E4BEA" w:rsidRDefault="00BE5D1E" w:rsidP="00FE461F">
            <w:pPr>
              <w:spacing w:line="240" w:lineRule="auto"/>
              <w:jc w:val="both"/>
              <w:rPr>
                <w:rFonts w:cs="Arial"/>
                <w:b/>
                <w:bCs/>
                <w:color w:val="000000"/>
                <w:szCs w:val="20"/>
              </w:rPr>
            </w:pPr>
            <w:r w:rsidRPr="005E4BEA">
              <w:rPr>
                <w:rFonts w:cs="Arial"/>
                <w:b/>
                <w:bCs/>
                <w:color w:val="000000"/>
                <w:szCs w:val="20"/>
              </w:rPr>
              <w:t>(v EUR)</w:t>
            </w:r>
          </w:p>
        </w:tc>
        <w:tc>
          <w:tcPr>
            <w:tcW w:w="1373" w:type="dxa"/>
            <w:tcBorders>
              <w:top w:val="nil"/>
              <w:left w:val="nil"/>
              <w:bottom w:val="single" w:sz="4" w:space="0" w:color="auto"/>
              <w:right w:val="single" w:sz="4" w:space="0" w:color="auto"/>
            </w:tcBorders>
            <w:shd w:val="clear" w:color="000000" w:fill="DEEAF6"/>
            <w:noWrap/>
            <w:vAlign w:val="center"/>
            <w:hideMark/>
          </w:tcPr>
          <w:p w14:paraId="45BD36A4"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(v EUR)</w:t>
            </w:r>
          </w:p>
        </w:tc>
      </w:tr>
      <w:tr w:rsidR="00BE5D1E" w:rsidRPr="005E4BEA" w14:paraId="7281F543" w14:textId="77777777" w:rsidTr="00BE5D1E">
        <w:trPr>
          <w:trHeight w:hRule="exact" w:val="1309"/>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4A3DEC6"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1</w:t>
            </w:r>
          </w:p>
        </w:tc>
        <w:tc>
          <w:tcPr>
            <w:tcW w:w="1484" w:type="dxa"/>
            <w:tcBorders>
              <w:top w:val="nil"/>
              <w:left w:val="nil"/>
              <w:bottom w:val="single" w:sz="4" w:space="0" w:color="auto"/>
              <w:right w:val="single" w:sz="4" w:space="0" w:color="auto"/>
            </w:tcBorders>
            <w:shd w:val="clear" w:color="auto" w:fill="auto"/>
            <w:vAlign w:val="center"/>
            <w:hideMark/>
          </w:tcPr>
          <w:p w14:paraId="5DA62240" w14:textId="77777777" w:rsidR="00BE5D1E" w:rsidRPr="005E4BEA" w:rsidRDefault="00BE5D1E" w:rsidP="00FE461F">
            <w:pPr>
              <w:spacing w:line="240" w:lineRule="auto"/>
              <w:jc w:val="both"/>
              <w:rPr>
                <w:rFonts w:cs="Arial"/>
                <w:b/>
                <w:bCs/>
                <w:color w:val="000000"/>
                <w:szCs w:val="20"/>
              </w:rPr>
            </w:pPr>
            <w:proofErr w:type="spellStart"/>
            <w:r w:rsidRPr="005E4BEA">
              <w:rPr>
                <w:rFonts w:cs="Arial"/>
                <w:b/>
                <w:bCs/>
                <w:color w:val="000000"/>
                <w:szCs w:val="20"/>
              </w:rPr>
              <w:t>Transkateterska</w:t>
            </w:r>
            <w:proofErr w:type="spellEnd"/>
            <w:r w:rsidRPr="005E4BEA">
              <w:rPr>
                <w:rFonts w:cs="Arial"/>
                <w:b/>
                <w:bCs/>
                <w:color w:val="000000"/>
                <w:szCs w:val="20"/>
              </w:rPr>
              <w:t xml:space="preserve"> implantacija aortne zaklopke TAVI</w:t>
            </w:r>
          </w:p>
        </w:tc>
        <w:tc>
          <w:tcPr>
            <w:tcW w:w="1903" w:type="dxa"/>
            <w:tcBorders>
              <w:top w:val="nil"/>
              <w:left w:val="nil"/>
              <w:bottom w:val="single" w:sz="4" w:space="0" w:color="auto"/>
              <w:right w:val="single" w:sz="4" w:space="0" w:color="auto"/>
            </w:tcBorders>
            <w:shd w:val="clear" w:color="auto" w:fill="auto"/>
            <w:noWrap/>
            <w:vAlign w:val="center"/>
            <w:hideMark/>
          </w:tcPr>
          <w:p w14:paraId="497CE6AA" w14:textId="77777777" w:rsidR="00BE5D1E" w:rsidRPr="005E4BEA" w:rsidRDefault="00BE5D1E" w:rsidP="00FE461F">
            <w:pPr>
              <w:spacing w:line="240" w:lineRule="auto"/>
              <w:jc w:val="both"/>
              <w:rPr>
                <w:rFonts w:cs="Arial"/>
                <w:color w:val="000000"/>
                <w:szCs w:val="20"/>
              </w:rPr>
            </w:pPr>
            <w:r w:rsidRPr="005E4BEA">
              <w:rPr>
                <w:rFonts w:cs="Arial"/>
                <w:color w:val="000000"/>
                <w:szCs w:val="20"/>
              </w:rPr>
              <w:t>SB IZOLA</w:t>
            </w:r>
          </w:p>
        </w:tc>
        <w:tc>
          <w:tcPr>
            <w:tcW w:w="971" w:type="dxa"/>
            <w:tcBorders>
              <w:top w:val="nil"/>
              <w:left w:val="nil"/>
              <w:bottom w:val="single" w:sz="4" w:space="0" w:color="auto"/>
              <w:right w:val="single" w:sz="4" w:space="0" w:color="auto"/>
            </w:tcBorders>
            <w:shd w:val="clear" w:color="auto" w:fill="auto"/>
            <w:noWrap/>
            <w:vAlign w:val="center"/>
            <w:hideMark/>
          </w:tcPr>
          <w:p w14:paraId="57A9D36F" w14:textId="77777777" w:rsidR="00BE5D1E" w:rsidRPr="005E4BEA" w:rsidRDefault="00BE5D1E" w:rsidP="00FE461F">
            <w:pPr>
              <w:spacing w:line="240" w:lineRule="auto"/>
              <w:rPr>
                <w:rFonts w:cs="Arial"/>
                <w:color w:val="000000"/>
                <w:szCs w:val="20"/>
              </w:rPr>
            </w:pPr>
            <w:r w:rsidRPr="005E4BEA">
              <w:rPr>
                <w:rFonts w:cs="Arial"/>
                <w:color w:val="000000"/>
                <w:szCs w:val="20"/>
              </w:rPr>
              <w:t>50</w:t>
            </w:r>
          </w:p>
        </w:tc>
        <w:tc>
          <w:tcPr>
            <w:tcW w:w="1232" w:type="dxa"/>
            <w:tcBorders>
              <w:top w:val="nil"/>
              <w:left w:val="nil"/>
              <w:bottom w:val="single" w:sz="4" w:space="0" w:color="auto"/>
              <w:right w:val="nil"/>
            </w:tcBorders>
          </w:tcPr>
          <w:p w14:paraId="5F01DEBD" w14:textId="77777777" w:rsidR="00BE5D1E" w:rsidRPr="005E4BEA" w:rsidRDefault="00BE5D1E" w:rsidP="00FE461F">
            <w:pPr>
              <w:spacing w:line="240" w:lineRule="auto"/>
              <w:jc w:val="both"/>
              <w:rPr>
                <w:rFonts w:cs="Arial"/>
                <w:b/>
                <w:bCs/>
                <w:color w:val="000000"/>
                <w:szCs w:val="20"/>
              </w:rPr>
            </w:pPr>
          </w:p>
        </w:tc>
        <w:tc>
          <w:tcPr>
            <w:tcW w:w="1232" w:type="dxa"/>
            <w:tcBorders>
              <w:top w:val="nil"/>
              <w:left w:val="nil"/>
              <w:bottom w:val="single" w:sz="4" w:space="0" w:color="auto"/>
              <w:right w:val="single" w:sz="4" w:space="0" w:color="auto"/>
            </w:tcBorders>
            <w:shd w:val="clear" w:color="auto" w:fill="auto"/>
            <w:noWrap/>
            <w:vAlign w:val="center"/>
            <w:hideMark/>
          </w:tcPr>
          <w:p w14:paraId="292134B3" w14:textId="1FAD8632" w:rsidR="00BE5D1E" w:rsidRPr="005E4BEA" w:rsidRDefault="00BE5D1E" w:rsidP="00FE461F">
            <w:pPr>
              <w:spacing w:line="240" w:lineRule="auto"/>
              <w:jc w:val="both"/>
              <w:rPr>
                <w:rFonts w:cs="Arial"/>
                <w:b/>
                <w:bCs/>
                <w:color w:val="000000"/>
                <w:szCs w:val="20"/>
              </w:rPr>
            </w:pPr>
            <w:r w:rsidRPr="005E4BEA">
              <w:rPr>
                <w:rFonts w:cs="Arial"/>
                <w:b/>
                <w:bCs/>
                <w:color w:val="000000"/>
                <w:szCs w:val="20"/>
              </w:rPr>
              <w:t>950.000</w:t>
            </w:r>
          </w:p>
        </w:tc>
        <w:tc>
          <w:tcPr>
            <w:tcW w:w="1373" w:type="dxa"/>
            <w:tcBorders>
              <w:top w:val="nil"/>
              <w:left w:val="nil"/>
              <w:bottom w:val="single" w:sz="4" w:space="0" w:color="auto"/>
              <w:right w:val="single" w:sz="4" w:space="0" w:color="auto"/>
            </w:tcBorders>
            <w:shd w:val="clear" w:color="auto" w:fill="auto"/>
            <w:noWrap/>
            <w:vAlign w:val="center"/>
            <w:hideMark/>
          </w:tcPr>
          <w:p w14:paraId="79EF75AA" w14:textId="77777777" w:rsidR="00BE5D1E" w:rsidRPr="005E4BEA" w:rsidRDefault="00BE5D1E" w:rsidP="00FE461F">
            <w:pPr>
              <w:spacing w:line="240" w:lineRule="auto"/>
              <w:jc w:val="both"/>
              <w:rPr>
                <w:rFonts w:cs="Arial"/>
                <w:b/>
                <w:bCs/>
                <w:color w:val="000000"/>
                <w:szCs w:val="20"/>
              </w:rPr>
            </w:pPr>
            <w:r w:rsidRPr="005E4BEA">
              <w:rPr>
                <w:rFonts w:cs="Arial"/>
                <w:b/>
                <w:bCs/>
                <w:color w:val="000000"/>
                <w:szCs w:val="20"/>
              </w:rPr>
              <w:t>950.000</w:t>
            </w:r>
          </w:p>
        </w:tc>
      </w:tr>
    </w:tbl>
    <w:p w14:paraId="7EAB0AF0" w14:textId="77777777" w:rsidR="00FE461F" w:rsidRPr="005E4BEA" w:rsidRDefault="00FE461F" w:rsidP="00FE461F">
      <w:pPr>
        <w:widowControl w:val="0"/>
        <w:spacing w:line="240" w:lineRule="auto"/>
        <w:jc w:val="both"/>
        <w:rPr>
          <w:rFonts w:cs="Arial"/>
          <w:b/>
          <w:i/>
          <w:color w:val="808080" w:themeColor="background1" w:themeShade="80"/>
          <w:szCs w:val="20"/>
          <w:u w:val="single"/>
        </w:rPr>
      </w:pPr>
    </w:p>
    <w:p w14:paraId="02CFA648" w14:textId="77777777" w:rsidR="00FE461F" w:rsidRPr="005E4BEA" w:rsidRDefault="00FE461F" w:rsidP="00FE461F">
      <w:pPr>
        <w:widowControl w:val="0"/>
        <w:spacing w:line="240" w:lineRule="auto"/>
        <w:jc w:val="both"/>
        <w:rPr>
          <w:rFonts w:cs="Arial"/>
          <w:b/>
          <w:i/>
          <w:color w:val="808080" w:themeColor="background1" w:themeShade="80"/>
          <w:szCs w:val="20"/>
          <w:u w:val="single"/>
        </w:rPr>
      </w:pPr>
      <w:r w:rsidRPr="005E4BEA">
        <w:rPr>
          <w:rFonts w:cs="Arial"/>
          <w:b/>
          <w:i/>
          <w:color w:val="808080" w:themeColor="background1" w:themeShade="80"/>
          <w:szCs w:val="20"/>
          <w:u w:val="single"/>
        </w:rPr>
        <w:t>Obrazložitev:</w:t>
      </w:r>
    </w:p>
    <w:bookmarkEnd w:id="43"/>
    <w:p w14:paraId="732ACCD4" w14:textId="77777777" w:rsidR="00FE461F" w:rsidRPr="005E4BEA" w:rsidRDefault="00FE461F" w:rsidP="00FE461F">
      <w:pPr>
        <w:widowControl w:val="0"/>
        <w:spacing w:line="240" w:lineRule="auto"/>
        <w:jc w:val="both"/>
        <w:rPr>
          <w:rFonts w:cs="Arial"/>
          <w:i/>
          <w:color w:val="808080" w:themeColor="background1" w:themeShade="80"/>
          <w:szCs w:val="20"/>
        </w:rPr>
      </w:pPr>
      <w:r w:rsidRPr="005E4BEA">
        <w:rPr>
          <w:rFonts w:cs="Arial"/>
          <w:i/>
          <w:color w:val="808080" w:themeColor="background1" w:themeShade="80"/>
          <w:szCs w:val="20"/>
        </w:rPr>
        <w:t xml:space="preserve">V SB Izola že več kot 15 let izvajamo program </w:t>
      </w:r>
      <w:proofErr w:type="spellStart"/>
      <w:r w:rsidRPr="005E4BEA">
        <w:rPr>
          <w:rFonts w:cs="Arial"/>
          <w:i/>
          <w:color w:val="808080" w:themeColor="background1" w:themeShade="80"/>
          <w:szCs w:val="20"/>
        </w:rPr>
        <w:t>koronarografij</w:t>
      </w:r>
      <w:proofErr w:type="spellEnd"/>
      <w:r w:rsidRPr="005E4BEA">
        <w:rPr>
          <w:rFonts w:cs="Arial"/>
          <w:i/>
          <w:color w:val="808080" w:themeColor="background1" w:themeShade="80"/>
          <w:szCs w:val="20"/>
        </w:rPr>
        <w:t xml:space="preserve"> s cca 1.200 posegi letno ter izvajamo program vstavitve srčnih spodbujevalcev (med 100-120 letno).</w:t>
      </w:r>
    </w:p>
    <w:p w14:paraId="4C00D575" w14:textId="77777777" w:rsidR="00FE461F" w:rsidRPr="005E4BEA" w:rsidRDefault="00FE461F" w:rsidP="00FE461F">
      <w:pPr>
        <w:widowControl w:val="0"/>
        <w:spacing w:line="240" w:lineRule="auto"/>
        <w:jc w:val="both"/>
        <w:rPr>
          <w:rFonts w:cs="Arial"/>
          <w:i/>
          <w:color w:val="808080" w:themeColor="background1" w:themeShade="80"/>
          <w:szCs w:val="20"/>
        </w:rPr>
      </w:pPr>
      <w:r w:rsidRPr="005E4BEA">
        <w:rPr>
          <w:rFonts w:cs="Arial"/>
          <w:i/>
          <w:color w:val="808080" w:themeColor="background1" w:themeShade="80"/>
          <w:szCs w:val="20"/>
        </w:rPr>
        <w:t xml:space="preserve">2017 pa smo pričeli izvajati tudi program vstavitve srčnih </w:t>
      </w:r>
      <w:proofErr w:type="spellStart"/>
      <w:r w:rsidRPr="005E4BEA">
        <w:rPr>
          <w:rFonts w:cs="Arial"/>
          <w:i/>
          <w:color w:val="808080" w:themeColor="background1" w:themeShade="80"/>
          <w:szCs w:val="20"/>
        </w:rPr>
        <w:t>defibrilatorjev</w:t>
      </w:r>
      <w:proofErr w:type="spellEnd"/>
      <w:r w:rsidRPr="005E4BEA">
        <w:rPr>
          <w:rFonts w:cs="Arial"/>
          <w:i/>
          <w:color w:val="808080" w:themeColor="background1" w:themeShade="80"/>
          <w:szCs w:val="20"/>
        </w:rPr>
        <w:t xml:space="preserve"> in </w:t>
      </w:r>
      <w:proofErr w:type="spellStart"/>
      <w:r w:rsidRPr="005E4BEA">
        <w:rPr>
          <w:rFonts w:cs="Arial"/>
          <w:i/>
          <w:color w:val="808080" w:themeColor="background1" w:themeShade="80"/>
          <w:szCs w:val="20"/>
        </w:rPr>
        <w:t>resinhronizatorjev</w:t>
      </w:r>
      <w:proofErr w:type="spellEnd"/>
      <w:r w:rsidRPr="005E4BEA">
        <w:rPr>
          <w:rFonts w:cs="Arial"/>
          <w:i/>
          <w:color w:val="808080" w:themeColor="background1" w:themeShade="80"/>
          <w:szCs w:val="20"/>
        </w:rPr>
        <w:t xml:space="preserve">. Program </w:t>
      </w:r>
      <w:proofErr w:type="spellStart"/>
      <w:r w:rsidRPr="005E4BEA">
        <w:rPr>
          <w:rFonts w:cs="Arial"/>
          <w:i/>
          <w:color w:val="808080" w:themeColor="background1" w:themeShade="80"/>
          <w:szCs w:val="20"/>
        </w:rPr>
        <w:t>kardiokirurških</w:t>
      </w:r>
      <w:proofErr w:type="spellEnd"/>
      <w:r w:rsidRPr="005E4BEA">
        <w:rPr>
          <w:rFonts w:cs="Arial"/>
          <w:i/>
          <w:color w:val="808080" w:themeColor="background1" w:themeShade="80"/>
          <w:szCs w:val="20"/>
        </w:rPr>
        <w:t xml:space="preserve"> posegov, program TAVI in pomenijo za SB Izola nove programe, za katere pa menimo, da obstaja utemeljitev za njihovo uvedbo in izvajanje tudi v SB Izola glede na patologijo in posledično daljših čakalnih dob. </w:t>
      </w:r>
    </w:p>
    <w:p w14:paraId="5709BE66" w14:textId="77777777" w:rsidR="00FE461F" w:rsidRPr="005E4BEA" w:rsidRDefault="00FE461F" w:rsidP="00FE461F">
      <w:pPr>
        <w:widowControl w:val="0"/>
        <w:spacing w:line="240" w:lineRule="auto"/>
        <w:jc w:val="both"/>
        <w:rPr>
          <w:rFonts w:cs="Arial"/>
          <w:i/>
          <w:color w:val="808080" w:themeColor="background1" w:themeShade="80"/>
          <w:szCs w:val="20"/>
        </w:rPr>
      </w:pPr>
      <w:r w:rsidRPr="005E4BEA">
        <w:rPr>
          <w:rFonts w:cs="Arial"/>
          <w:i/>
          <w:color w:val="808080" w:themeColor="background1" w:themeShade="80"/>
          <w:szCs w:val="20"/>
        </w:rPr>
        <w:t>Z izvajanjem navedenih programov v SB Izola poleg vpliva na skrajševanje čakalnih dob sledimo trendom, ki jih prinaša staranje prebivalstva z več pridruženimi boleznimi na eni strani in podaljševanjem delovne aktivnosti na drugi strani, kar pomeni vzročno-posledično razmerje. Vedno več bolnikov s srčnimi obolenji je med delovno aktivno populacijo, kjer se bo zdravstvena oskrba poslabševala v primeru, da ne sledimo razvojnim trendom in razpoložljivim metodam zdravljenja.</w:t>
      </w:r>
    </w:p>
    <w:p w14:paraId="2BDA212D" w14:textId="77777777" w:rsidR="00FE461F" w:rsidRPr="005E4BEA" w:rsidRDefault="00FE461F" w:rsidP="00FE461F">
      <w:pPr>
        <w:widowControl w:val="0"/>
        <w:spacing w:line="240" w:lineRule="auto"/>
        <w:jc w:val="both"/>
        <w:rPr>
          <w:rFonts w:cs="Arial"/>
          <w:i/>
          <w:color w:val="808080" w:themeColor="background1" w:themeShade="80"/>
          <w:szCs w:val="20"/>
        </w:rPr>
      </w:pPr>
    </w:p>
    <w:p w14:paraId="6A37982E" w14:textId="77777777" w:rsidR="00FE461F" w:rsidRPr="005E4BEA" w:rsidRDefault="00FE461F" w:rsidP="00FE461F">
      <w:pPr>
        <w:widowControl w:val="0"/>
        <w:spacing w:line="240" w:lineRule="auto"/>
        <w:jc w:val="both"/>
        <w:rPr>
          <w:rFonts w:cs="Arial"/>
          <w:i/>
          <w:color w:val="808080" w:themeColor="background1" w:themeShade="80"/>
          <w:szCs w:val="20"/>
        </w:rPr>
      </w:pPr>
      <w:r w:rsidRPr="005E4BEA">
        <w:rPr>
          <w:rFonts w:cs="Arial"/>
          <w:i/>
          <w:color w:val="808080" w:themeColor="background1" w:themeShade="80"/>
          <w:szCs w:val="20"/>
        </w:rPr>
        <w:t>Finančna ocena: 0,95 mio €</w:t>
      </w:r>
    </w:p>
    <w:p w14:paraId="71D61EEF" w14:textId="77777777" w:rsidR="00FE461F" w:rsidRPr="005E4BEA" w:rsidRDefault="00FE461F" w:rsidP="00FE461F">
      <w:pPr>
        <w:widowControl w:val="0"/>
        <w:spacing w:line="240" w:lineRule="auto"/>
        <w:jc w:val="both"/>
        <w:rPr>
          <w:rFonts w:cs="Arial"/>
          <w:i/>
          <w:color w:val="808080" w:themeColor="background1" w:themeShade="80"/>
          <w:szCs w:val="20"/>
        </w:rPr>
      </w:pPr>
    </w:p>
    <w:p w14:paraId="3E6DAB30" w14:textId="23115C8B" w:rsidR="00FE461F" w:rsidRPr="005E4BEA" w:rsidRDefault="00FE461F" w:rsidP="00FE461F">
      <w:pPr>
        <w:widowControl w:val="0"/>
        <w:spacing w:line="240" w:lineRule="auto"/>
        <w:jc w:val="both"/>
        <w:rPr>
          <w:rFonts w:cs="Arial"/>
          <w:i/>
          <w:color w:val="808080" w:themeColor="background1" w:themeShade="80"/>
          <w:szCs w:val="20"/>
        </w:rPr>
      </w:pPr>
    </w:p>
    <w:p w14:paraId="7269B5EA" w14:textId="77777777"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C74BD3B" w14:textId="77777777" w:rsidR="00487C03" w:rsidRPr="005E4BEA" w:rsidRDefault="00487C03" w:rsidP="00487C03">
      <w:pPr>
        <w:spacing w:line="0" w:lineRule="atLeast"/>
        <w:jc w:val="both"/>
        <w:rPr>
          <w:rFonts w:eastAsia="Arial Narrow" w:cs="Arial"/>
          <w:szCs w:val="20"/>
          <w:lang w:eastAsia="sl-SI"/>
        </w:rPr>
      </w:pPr>
    </w:p>
    <w:p w14:paraId="058C5794" w14:textId="060670EC" w:rsidR="00487C03" w:rsidRPr="005E4BEA" w:rsidRDefault="00487C03" w:rsidP="00487C03">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4026CED9" w14:textId="2BDA2EC1" w:rsidR="00BE5D1E" w:rsidRPr="005E4BEA" w:rsidRDefault="00BE5D1E" w:rsidP="00487C03">
      <w:pPr>
        <w:spacing w:line="0" w:lineRule="atLeast"/>
        <w:jc w:val="both"/>
        <w:rPr>
          <w:rFonts w:eastAsia="Arial Narrow" w:cs="Arial"/>
          <w:szCs w:val="20"/>
        </w:rPr>
      </w:pPr>
    </w:p>
    <w:p w14:paraId="6C40665F" w14:textId="7DA4368E" w:rsidR="00BE5D1E" w:rsidRPr="005E4BEA" w:rsidRDefault="00BE5D1E" w:rsidP="00487C03">
      <w:pPr>
        <w:spacing w:line="0" w:lineRule="atLeast"/>
        <w:jc w:val="both"/>
        <w:rPr>
          <w:rFonts w:eastAsia="Arial Narrow" w:cs="Arial"/>
          <w:szCs w:val="20"/>
        </w:rPr>
      </w:pPr>
    </w:p>
    <w:p w14:paraId="1FCDE318" w14:textId="388DCCC9" w:rsidR="00BE5D1E" w:rsidRPr="005E4BEA" w:rsidRDefault="00BE5D1E" w:rsidP="00487C03">
      <w:pPr>
        <w:spacing w:line="0" w:lineRule="atLeast"/>
        <w:jc w:val="both"/>
        <w:rPr>
          <w:rFonts w:eastAsia="Arial Narrow" w:cs="Arial"/>
          <w:szCs w:val="20"/>
        </w:rPr>
      </w:pPr>
    </w:p>
    <w:p w14:paraId="25C1AB23" w14:textId="47AF9185" w:rsidR="00BE5D1E" w:rsidRPr="005E4BEA" w:rsidRDefault="00BE5D1E"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(49)</w:t>
      </w:r>
    </w:p>
    <w:p w14:paraId="11CF3589" w14:textId="77777777" w:rsidR="00BE5D1E" w:rsidRPr="005E4BEA" w:rsidRDefault="00BE5D1E" w:rsidP="00BE5D1E">
      <w:pPr>
        <w:spacing w:line="240" w:lineRule="auto"/>
        <w:jc w:val="both"/>
        <w:rPr>
          <w:rFonts w:cs="Arial"/>
          <w:i/>
          <w:iCs/>
          <w:color w:val="808080" w:themeColor="background1" w:themeShade="80"/>
          <w:szCs w:val="20"/>
        </w:rPr>
      </w:pPr>
    </w:p>
    <w:p w14:paraId="34F1F064" w14:textId="7A7565AC" w:rsidR="00FE461F" w:rsidRPr="005E4BEA" w:rsidRDefault="00BE5D1E" w:rsidP="00FE461F">
      <w:pPr>
        <w:spacing w:line="240" w:lineRule="auto"/>
        <w:jc w:val="both"/>
        <w:rPr>
          <w:rFonts w:cs="Arial"/>
          <w:szCs w:val="20"/>
        </w:rPr>
      </w:pPr>
      <w:r w:rsidRPr="005E4BEA">
        <w:rPr>
          <w:rFonts w:cs="Arial"/>
          <w:b/>
          <w:bCs/>
          <w:szCs w:val="20"/>
        </w:rPr>
        <w:t xml:space="preserve">Združenje zdravstvenih zavodov Slovenije </w:t>
      </w:r>
      <w:r w:rsidRPr="005E4BEA">
        <w:rPr>
          <w:rFonts w:cs="Arial"/>
          <w:szCs w:val="20"/>
        </w:rPr>
        <w:t xml:space="preserve">predlaga, da se v </w:t>
      </w:r>
      <w:bookmarkStart w:id="44" w:name="_Hlk99812236"/>
      <w:r w:rsidR="00FE461F" w:rsidRPr="005E4BEA">
        <w:rPr>
          <w:rFonts w:cs="Arial"/>
          <w:szCs w:val="20"/>
        </w:rPr>
        <w:t>24. členu se v (6) odstavku Za nujne širitve programov oziroma uvajanje novih terapij pri zdravljenju v okviru prvega in drugega odstavka tega člena načrtujejo dodatna sredstva:</w:t>
      </w:r>
    </w:p>
    <w:p w14:paraId="04CA7D16" w14:textId="77777777" w:rsidR="00BE5D1E" w:rsidRPr="005E4BEA" w:rsidRDefault="00BE5D1E" w:rsidP="00FE461F">
      <w:pPr>
        <w:spacing w:line="240" w:lineRule="auto"/>
        <w:jc w:val="both"/>
        <w:rPr>
          <w:rFonts w:cs="Arial"/>
          <w:szCs w:val="20"/>
        </w:rPr>
      </w:pPr>
    </w:p>
    <w:tbl>
      <w:tblPr>
        <w:tblW w:w="9163" w:type="dxa"/>
        <w:tblInd w:w="137" w:type="dxa"/>
        <w:tblCellMar>
          <w:left w:w="70" w:type="dxa"/>
          <w:right w:w="70" w:type="dxa"/>
        </w:tblCellMar>
        <w:tblLook w:val="04A0" w:firstRow="1" w:lastRow="0" w:firstColumn="1" w:lastColumn="0" w:noHBand="0" w:noVBand="1"/>
      </w:tblPr>
      <w:tblGrid>
        <w:gridCol w:w="565"/>
        <w:gridCol w:w="1563"/>
        <w:gridCol w:w="3010"/>
        <w:gridCol w:w="1063"/>
        <w:gridCol w:w="1540"/>
        <w:gridCol w:w="1480"/>
      </w:tblGrid>
      <w:tr w:rsidR="00FE461F" w:rsidRPr="005E4BEA" w14:paraId="0DFE51CD" w14:textId="77777777" w:rsidTr="0016774B">
        <w:trPr>
          <w:trHeight w:val="1178"/>
        </w:trPr>
        <w:tc>
          <w:tcPr>
            <w:tcW w:w="56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bookmarkEnd w:id="44"/>
          <w:p w14:paraId="409FF682" w14:textId="77777777" w:rsidR="00FE461F" w:rsidRPr="005E4BEA" w:rsidRDefault="00FE461F" w:rsidP="00FE461F">
            <w:pPr>
              <w:widowControl w:val="0"/>
              <w:spacing w:line="240" w:lineRule="auto"/>
              <w:jc w:val="both"/>
              <w:rPr>
                <w:rFonts w:cs="Arial"/>
                <w:b/>
                <w:bCs/>
                <w:color w:val="000000"/>
                <w:szCs w:val="20"/>
              </w:rPr>
            </w:pPr>
            <w:proofErr w:type="spellStart"/>
            <w:r w:rsidRPr="005E4BEA">
              <w:rPr>
                <w:rFonts w:cs="Arial"/>
                <w:b/>
                <w:bCs/>
                <w:color w:val="000000"/>
                <w:szCs w:val="20"/>
              </w:rPr>
              <w:t>Zap</w:t>
            </w:r>
            <w:proofErr w:type="spellEnd"/>
            <w:r w:rsidRPr="005E4BEA">
              <w:rPr>
                <w:rFonts w:cs="Arial"/>
                <w:b/>
                <w:bCs/>
                <w:color w:val="000000"/>
                <w:szCs w:val="20"/>
              </w:rPr>
              <w:t>. št</w:t>
            </w:r>
          </w:p>
        </w:tc>
        <w:tc>
          <w:tcPr>
            <w:tcW w:w="15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C0AC52"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P r o g r a m</w:t>
            </w:r>
          </w:p>
        </w:tc>
        <w:tc>
          <w:tcPr>
            <w:tcW w:w="301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19FB07D"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I z v a j a l e c</w:t>
            </w:r>
          </w:p>
        </w:tc>
        <w:tc>
          <w:tcPr>
            <w:tcW w:w="10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427811"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Obseg programa</w:t>
            </w:r>
          </w:p>
        </w:tc>
        <w:tc>
          <w:tcPr>
            <w:tcW w:w="154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F04D0AF"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Dodatna sredstva na letni ravni</w:t>
            </w:r>
          </w:p>
          <w:p w14:paraId="36C69F5E"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(v EUR)</w:t>
            </w:r>
          </w:p>
        </w:tc>
        <w:tc>
          <w:tcPr>
            <w:tcW w:w="14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CDCB229"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Dodatna sredstva 1.7.-31.12.2022</w:t>
            </w:r>
          </w:p>
          <w:p w14:paraId="39ABC701"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(v EUR)</w:t>
            </w:r>
          </w:p>
        </w:tc>
      </w:tr>
      <w:tr w:rsidR="00FE461F" w:rsidRPr="005E4BEA" w14:paraId="04D1D6EE" w14:textId="77777777" w:rsidTr="0016774B">
        <w:trPr>
          <w:trHeight w:hRule="exact" w:val="509"/>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4D02E"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1</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18036315" w14:textId="77777777" w:rsidR="00FE461F" w:rsidRPr="005E4BEA" w:rsidRDefault="00FE461F" w:rsidP="00FE461F">
            <w:pPr>
              <w:widowControl w:val="0"/>
              <w:spacing w:line="240" w:lineRule="auto"/>
              <w:rPr>
                <w:rFonts w:cs="Arial"/>
                <w:b/>
                <w:bCs/>
                <w:color w:val="000000"/>
                <w:szCs w:val="20"/>
              </w:rPr>
            </w:pPr>
            <w:r w:rsidRPr="005E4BEA">
              <w:rPr>
                <w:rFonts w:cs="Arial"/>
                <w:b/>
                <w:bCs/>
                <w:color w:val="000000"/>
                <w:szCs w:val="20"/>
              </w:rPr>
              <w:t>Zobozdravstvo za odrasle</w:t>
            </w:r>
          </w:p>
        </w:tc>
        <w:tc>
          <w:tcPr>
            <w:tcW w:w="3010" w:type="dxa"/>
            <w:tcBorders>
              <w:top w:val="single" w:sz="4" w:space="0" w:color="auto"/>
              <w:left w:val="nil"/>
              <w:bottom w:val="single" w:sz="4" w:space="0" w:color="auto"/>
              <w:right w:val="single" w:sz="4" w:space="0" w:color="auto"/>
            </w:tcBorders>
            <w:shd w:val="clear" w:color="auto" w:fill="auto"/>
            <w:noWrap/>
            <w:vAlign w:val="center"/>
            <w:hideMark/>
          </w:tcPr>
          <w:p w14:paraId="54FCE588" w14:textId="77777777" w:rsidR="00FE461F" w:rsidRPr="005E4BEA" w:rsidRDefault="00FE461F" w:rsidP="00FE461F">
            <w:pPr>
              <w:widowControl w:val="0"/>
              <w:spacing w:line="240" w:lineRule="auto"/>
              <w:rPr>
                <w:rFonts w:cs="Arial"/>
                <w:color w:val="000000"/>
                <w:szCs w:val="20"/>
              </w:rPr>
            </w:pPr>
            <w:r w:rsidRPr="005E4BEA">
              <w:rPr>
                <w:rFonts w:cs="Arial"/>
                <w:color w:val="000000"/>
                <w:szCs w:val="20"/>
              </w:rPr>
              <w:t>Izvajalci in izpostave po seznamu v obrazložitvi</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04FE887F" w14:textId="77777777" w:rsidR="00FE461F" w:rsidRPr="005E4BEA" w:rsidRDefault="00FE461F" w:rsidP="00FE461F">
            <w:pPr>
              <w:widowControl w:val="0"/>
              <w:spacing w:line="240" w:lineRule="auto"/>
              <w:jc w:val="both"/>
              <w:rPr>
                <w:rFonts w:cs="Arial"/>
                <w:color w:val="000000"/>
                <w:szCs w:val="20"/>
              </w:rPr>
            </w:pPr>
            <w:r w:rsidRPr="005E4BEA">
              <w:rPr>
                <w:rFonts w:cs="Arial"/>
                <w:color w:val="000000"/>
                <w:szCs w:val="20"/>
              </w:rPr>
              <w:t xml:space="preserve">                         17</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33C72DC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1.024.216,92</w:t>
            </w:r>
          </w:p>
          <w:p w14:paraId="7B34FE1E" w14:textId="77777777" w:rsidR="00FE461F" w:rsidRPr="005E4BEA" w:rsidRDefault="00FE461F" w:rsidP="00FE461F">
            <w:pPr>
              <w:widowControl w:val="0"/>
              <w:spacing w:line="240" w:lineRule="auto"/>
              <w:jc w:val="both"/>
              <w:rPr>
                <w:rFonts w:cs="Arial"/>
                <w:b/>
                <w:bCs/>
                <w:color w:val="FF0000"/>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3B05AD4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512.108,46 </w:t>
            </w:r>
          </w:p>
          <w:p w14:paraId="63D53151" w14:textId="77777777" w:rsidR="00FE461F" w:rsidRPr="005E4BEA" w:rsidRDefault="00FE461F" w:rsidP="00FE461F">
            <w:pPr>
              <w:widowControl w:val="0"/>
              <w:spacing w:line="240" w:lineRule="auto"/>
              <w:jc w:val="both"/>
              <w:rPr>
                <w:rFonts w:cs="Arial"/>
                <w:b/>
                <w:bCs/>
                <w:color w:val="FF0000"/>
                <w:szCs w:val="20"/>
              </w:rPr>
            </w:pPr>
          </w:p>
        </w:tc>
      </w:tr>
      <w:tr w:rsidR="00FE461F" w:rsidRPr="005E4BEA" w14:paraId="20F39092" w14:textId="77777777" w:rsidTr="0016774B">
        <w:trPr>
          <w:trHeight w:hRule="exact" w:val="559"/>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F2E86" w14:textId="77777777" w:rsidR="00FE461F" w:rsidRPr="005E4BEA" w:rsidRDefault="00FE461F" w:rsidP="00FE461F">
            <w:pPr>
              <w:widowControl w:val="0"/>
              <w:spacing w:line="240" w:lineRule="auto"/>
              <w:jc w:val="both"/>
              <w:rPr>
                <w:rFonts w:cs="Arial"/>
                <w:b/>
                <w:bCs/>
                <w:color w:val="000000"/>
                <w:szCs w:val="20"/>
              </w:rPr>
            </w:pPr>
            <w:r w:rsidRPr="005E4BEA">
              <w:rPr>
                <w:rFonts w:cs="Arial"/>
                <w:b/>
                <w:bCs/>
                <w:color w:val="000000"/>
                <w:szCs w:val="20"/>
              </w:rPr>
              <w:t>2</w:t>
            </w:r>
          </w:p>
        </w:tc>
        <w:tc>
          <w:tcPr>
            <w:tcW w:w="1505" w:type="dxa"/>
            <w:tcBorders>
              <w:top w:val="single" w:sz="4" w:space="0" w:color="auto"/>
              <w:left w:val="nil"/>
              <w:bottom w:val="single" w:sz="4" w:space="0" w:color="auto"/>
              <w:right w:val="single" w:sz="4" w:space="0" w:color="auto"/>
            </w:tcBorders>
            <w:shd w:val="clear" w:color="auto" w:fill="auto"/>
            <w:vAlign w:val="center"/>
          </w:tcPr>
          <w:p w14:paraId="0A1877CA" w14:textId="77777777" w:rsidR="00FE461F" w:rsidRPr="005E4BEA" w:rsidRDefault="00FE461F" w:rsidP="00FE461F">
            <w:pPr>
              <w:widowControl w:val="0"/>
              <w:spacing w:line="240" w:lineRule="auto"/>
              <w:rPr>
                <w:rFonts w:cs="Arial"/>
                <w:b/>
                <w:bCs/>
                <w:color w:val="000000"/>
                <w:szCs w:val="20"/>
              </w:rPr>
            </w:pPr>
            <w:r w:rsidRPr="005E4BEA">
              <w:rPr>
                <w:rFonts w:cs="Arial"/>
                <w:b/>
                <w:bCs/>
                <w:color w:val="000000"/>
                <w:szCs w:val="20"/>
              </w:rPr>
              <w:t>Zobozdravstvo za mladino</w:t>
            </w:r>
          </w:p>
        </w:tc>
        <w:tc>
          <w:tcPr>
            <w:tcW w:w="3010" w:type="dxa"/>
            <w:tcBorders>
              <w:top w:val="single" w:sz="4" w:space="0" w:color="auto"/>
              <w:left w:val="nil"/>
              <w:bottom w:val="single" w:sz="4" w:space="0" w:color="auto"/>
              <w:right w:val="single" w:sz="4" w:space="0" w:color="auto"/>
            </w:tcBorders>
            <w:shd w:val="clear" w:color="auto" w:fill="auto"/>
            <w:noWrap/>
            <w:vAlign w:val="center"/>
          </w:tcPr>
          <w:p w14:paraId="67B84132" w14:textId="77777777" w:rsidR="00FE461F" w:rsidRPr="005E4BEA" w:rsidRDefault="00FE461F" w:rsidP="00FE461F">
            <w:pPr>
              <w:widowControl w:val="0"/>
              <w:spacing w:line="240" w:lineRule="auto"/>
              <w:rPr>
                <w:rFonts w:cs="Arial"/>
                <w:color w:val="000000"/>
                <w:szCs w:val="20"/>
              </w:rPr>
            </w:pPr>
            <w:r w:rsidRPr="005E4BEA">
              <w:rPr>
                <w:rFonts w:cs="Arial"/>
                <w:color w:val="000000"/>
                <w:szCs w:val="20"/>
              </w:rPr>
              <w:t>Izvajalci in izpostave po seznamu v obrazložitvi</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2AA0514" w14:textId="77777777" w:rsidR="00FE461F" w:rsidRPr="005E4BEA" w:rsidRDefault="00FE461F" w:rsidP="00FE461F">
            <w:pPr>
              <w:widowControl w:val="0"/>
              <w:spacing w:line="240" w:lineRule="auto"/>
              <w:jc w:val="both"/>
              <w:rPr>
                <w:rFonts w:cs="Arial"/>
                <w:color w:val="000000"/>
                <w:szCs w:val="20"/>
              </w:rPr>
            </w:pPr>
            <w:r w:rsidRPr="005E4BEA">
              <w:rPr>
                <w:rFonts w:cs="Arial"/>
                <w:color w:val="000000"/>
                <w:szCs w:val="20"/>
              </w:rPr>
              <w:t xml:space="preserve"> 15,58</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6F918D4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1.644.341,80</w:t>
            </w:r>
          </w:p>
          <w:p w14:paraId="3DE4F145" w14:textId="77777777" w:rsidR="00FE461F" w:rsidRPr="005E4BEA" w:rsidRDefault="00FE461F" w:rsidP="00FE461F">
            <w:pPr>
              <w:widowControl w:val="0"/>
              <w:spacing w:line="240" w:lineRule="auto"/>
              <w:jc w:val="both"/>
              <w:rPr>
                <w:rFonts w:cs="Arial"/>
                <w:b/>
                <w:bCs/>
                <w:szCs w:val="20"/>
              </w:rPr>
            </w:pP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1308CB3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822.170,90 </w:t>
            </w:r>
          </w:p>
          <w:p w14:paraId="5369E7EF" w14:textId="77777777" w:rsidR="00FE461F" w:rsidRPr="005E4BEA" w:rsidRDefault="00FE461F" w:rsidP="00FE461F">
            <w:pPr>
              <w:widowControl w:val="0"/>
              <w:spacing w:line="240" w:lineRule="auto"/>
              <w:jc w:val="both"/>
              <w:rPr>
                <w:rFonts w:cs="Arial"/>
                <w:b/>
                <w:bCs/>
                <w:color w:val="FF0000"/>
                <w:szCs w:val="20"/>
              </w:rPr>
            </w:pPr>
          </w:p>
        </w:tc>
      </w:tr>
    </w:tbl>
    <w:p w14:paraId="3AFDF539" w14:textId="77777777" w:rsidR="00FE461F" w:rsidRPr="005E4BEA" w:rsidRDefault="00FE461F" w:rsidP="00FE461F">
      <w:pPr>
        <w:spacing w:line="240" w:lineRule="auto"/>
        <w:jc w:val="both"/>
        <w:rPr>
          <w:rFonts w:cs="Arial"/>
          <w:b/>
          <w:bCs/>
          <w:szCs w:val="20"/>
        </w:rPr>
      </w:pPr>
    </w:p>
    <w:p w14:paraId="3BB570C9" w14:textId="77777777" w:rsidR="00FE461F" w:rsidRPr="005E4BEA" w:rsidRDefault="00FE461F" w:rsidP="00FE461F">
      <w:pPr>
        <w:widowControl w:val="0"/>
        <w:spacing w:line="240" w:lineRule="auto"/>
        <w:jc w:val="both"/>
        <w:rPr>
          <w:rFonts w:cs="Arial"/>
          <w:b/>
          <w:i/>
          <w:color w:val="808080" w:themeColor="background1" w:themeShade="80"/>
          <w:szCs w:val="20"/>
          <w:u w:val="single"/>
        </w:rPr>
      </w:pPr>
      <w:r w:rsidRPr="005E4BEA">
        <w:rPr>
          <w:rFonts w:cs="Arial"/>
          <w:b/>
          <w:i/>
          <w:color w:val="808080" w:themeColor="background1" w:themeShade="80"/>
          <w:szCs w:val="20"/>
          <w:u w:val="single"/>
        </w:rPr>
        <w:t xml:space="preserve">Obrazložitev: </w:t>
      </w:r>
    </w:p>
    <w:p w14:paraId="3AB4AA22" w14:textId="77777777" w:rsidR="00FE461F" w:rsidRPr="005E4BEA" w:rsidRDefault="00FE461F" w:rsidP="00FE461F">
      <w:pPr>
        <w:spacing w:line="240" w:lineRule="auto"/>
        <w:jc w:val="both"/>
        <w:rPr>
          <w:rFonts w:cs="Arial"/>
          <w:i/>
          <w:color w:val="808080" w:themeColor="background1" w:themeShade="80"/>
          <w:szCs w:val="20"/>
        </w:rPr>
      </w:pPr>
      <w:r w:rsidRPr="005E4BEA">
        <w:rPr>
          <w:rFonts w:cs="Arial"/>
          <w:i/>
          <w:color w:val="808080" w:themeColor="background1" w:themeShade="80"/>
          <w:szCs w:val="20"/>
        </w:rPr>
        <w:t xml:space="preserve">Združenje predlaga, da se za namen večje dostopnosti do zobozdravstvenih storitev na primarni ravni zagotovijo sredstva za širitev programov (zob. Za mladino in zob. Za odrasle) v obsegu, kot ga je na sestanku za ureditev področja zobozdravstvene dejavnosti predstavil ZZZS.  Predlagamo, da se prednostno širitve zagotovijo izvajalcem, ki so predlagali širitev.   Ostali </w:t>
      </w:r>
      <w:r w:rsidRPr="005E4BEA">
        <w:rPr>
          <w:rFonts w:cs="Arial"/>
          <w:i/>
          <w:color w:val="808080" w:themeColor="background1" w:themeShade="80"/>
          <w:szCs w:val="20"/>
        </w:rPr>
        <w:lastRenderedPageBreak/>
        <w:t xml:space="preserve">nerazdeljeni program pa se opredeli po izpostavah glede na največje odstopanje od republiškega povprečja. V nasprotnem se širitve ne bodo realizirane. (izkušnje s širitvami ADM, kjer kvoto nerazdeljenih programov prenašamo že v tretje leto). </w:t>
      </w:r>
    </w:p>
    <w:p w14:paraId="3FEFAF65" w14:textId="77777777" w:rsidR="00FE461F" w:rsidRPr="005E4BEA" w:rsidRDefault="00FE461F" w:rsidP="00FE461F">
      <w:pPr>
        <w:spacing w:line="240" w:lineRule="auto"/>
        <w:jc w:val="both"/>
        <w:rPr>
          <w:rFonts w:cs="Arial"/>
          <w:i/>
          <w:color w:val="808080" w:themeColor="background1" w:themeShade="80"/>
          <w:szCs w:val="20"/>
        </w:rPr>
      </w:pPr>
    </w:p>
    <w:tbl>
      <w:tblPr>
        <w:tblW w:w="9553" w:type="dxa"/>
        <w:tblCellMar>
          <w:left w:w="70" w:type="dxa"/>
          <w:right w:w="70" w:type="dxa"/>
        </w:tblCellMar>
        <w:tblLook w:val="04A0" w:firstRow="1" w:lastRow="0" w:firstColumn="1" w:lastColumn="0" w:noHBand="0" w:noVBand="1"/>
      </w:tblPr>
      <w:tblGrid>
        <w:gridCol w:w="1555"/>
        <w:gridCol w:w="1297"/>
        <w:gridCol w:w="858"/>
        <w:gridCol w:w="1163"/>
        <w:gridCol w:w="1241"/>
        <w:gridCol w:w="1196"/>
        <w:gridCol w:w="754"/>
        <w:gridCol w:w="1129"/>
        <w:gridCol w:w="710"/>
      </w:tblGrid>
      <w:tr w:rsidR="00FE461F" w:rsidRPr="005E4BEA" w14:paraId="0E0E4A2E" w14:textId="77777777" w:rsidTr="00BE5D1E">
        <w:trPr>
          <w:trHeight w:val="208"/>
        </w:trPr>
        <w:tc>
          <w:tcPr>
            <w:tcW w:w="2777" w:type="dxa"/>
            <w:gridSpan w:val="2"/>
            <w:tcBorders>
              <w:top w:val="nil"/>
              <w:left w:val="nil"/>
              <w:bottom w:val="nil"/>
              <w:right w:val="nil"/>
            </w:tcBorders>
            <w:shd w:val="clear" w:color="auto" w:fill="auto"/>
            <w:noWrap/>
            <w:vAlign w:val="bottom"/>
            <w:hideMark/>
          </w:tcPr>
          <w:p w14:paraId="692895BF" w14:textId="77777777" w:rsidR="00FE461F" w:rsidRPr="005E4BEA" w:rsidRDefault="00FE461F" w:rsidP="00FE461F">
            <w:pPr>
              <w:spacing w:line="240" w:lineRule="auto"/>
              <w:rPr>
                <w:rFonts w:cs="Arial"/>
                <w:b/>
                <w:bCs/>
                <w:szCs w:val="20"/>
              </w:rPr>
            </w:pPr>
            <w:r w:rsidRPr="005E4BEA">
              <w:rPr>
                <w:rFonts w:cs="Arial"/>
                <w:b/>
                <w:bCs/>
                <w:szCs w:val="20"/>
              </w:rPr>
              <w:t>Preskrbljenost 6/2021 - Mladina</w:t>
            </w:r>
          </w:p>
        </w:tc>
        <w:tc>
          <w:tcPr>
            <w:tcW w:w="858" w:type="dxa"/>
            <w:tcBorders>
              <w:top w:val="nil"/>
              <w:left w:val="nil"/>
              <w:bottom w:val="nil"/>
              <w:right w:val="nil"/>
            </w:tcBorders>
            <w:shd w:val="clear" w:color="auto" w:fill="auto"/>
            <w:noWrap/>
            <w:vAlign w:val="bottom"/>
            <w:hideMark/>
          </w:tcPr>
          <w:p w14:paraId="5505BB58" w14:textId="77777777" w:rsidR="00FE461F" w:rsidRPr="005E4BEA" w:rsidRDefault="00FE461F" w:rsidP="00FE461F">
            <w:pPr>
              <w:spacing w:line="240" w:lineRule="auto"/>
              <w:rPr>
                <w:rFonts w:cs="Arial"/>
                <w:b/>
                <w:bCs/>
                <w:szCs w:val="20"/>
              </w:rPr>
            </w:pPr>
          </w:p>
        </w:tc>
        <w:tc>
          <w:tcPr>
            <w:tcW w:w="1095" w:type="dxa"/>
            <w:tcBorders>
              <w:top w:val="nil"/>
              <w:left w:val="nil"/>
              <w:bottom w:val="nil"/>
              <w:right w:val="nil"/>
            </w:tcBorders>
            <w:shd w:val="clear" w:color="auto" w:fill="auto"/>
            <w:noWrap/>
            <w:vAlign w:val="bottom"/>
            <w:hideMark/>
          </w:tcPr>
          <w:p w14:paraId="57F0FB94" w14:textId="77777777" w:rsidR="00FE461F" w:rsidRPr="005E4BEA" w:rsidRDefault="00FE461F" w:rsidP="00FE461F">
            <w:pPr>
              <w:spacing w:line="240" w:lineRule="auto"/>
              <w:jc w:val="center"/>
              <w:rPr>
                <w:rFonts w:cs="Arial"/>
                <w:szCs w:val="20"/>
              </w:rPr>
            </w:pPr>
          </w:p>
        </w:tc>
        <w:tc>
          <w:tcPr>
            <w:tcW w:w="1169" w:type="dxa"/>
            <w:tcBorders>
              <w:top w:val="nil"/>
              <w:left w:val="nil"/>
              <w:bottom w:val="nil"/>
              <w:right w:val="nil"/>
            </w:tcBorders>
            <w:shd w:val="clear" w:color="auto" w:fill="auto"/>
            <w:noWrap/>
            <w:vAlign w:val="bottom"/>
            <w:hideMark/>
          </w:tcPr>
          <w:p w14:paraId="52F04A16" w14:textId="77777777" w:rsidR="00FE461F" w:rsidRPr="005E4BEA" w:rsidRDefault="00FE461F" w:rsidP="00FE461F">
            <w:pPr>
              <w:spacing w:line="240" w:lineRule="auto"/>
              <w:jc w:val="center"/>
              <w:rPr>
                <w:rFonts w:cs="Arial"/>
                <w:szCs w:val="20"/>
              </w:rPr>
            </w:pPr>
          </w:p>
        </w:tc>
        <w:tc>
          <w:tcPr>
            <w:tcW w:w="1127" w:type="dxa"/>
            <w:tcBorders>
              <w:top w:val="nil"/>
              <w:left w:val="nil"/>
              <w:bottom w:val="nil"/>
              <w:right w:val="nil"/>
            </w:tcBorders>
            <w:shd w:val="clear" w:color="auto" w:fill="auto"/>
            <w:noWrap/>
            <w:vAlign w:val="bottom"/>
            <w:hideMark/>
          </w:tcPr>
          <w:p w14:paraId="6757085B" w14:textId="77777777" w:rsidR="00FE461F" w:rsidRPr="005E4BEA" w:rsidRDefault="00FE461F" w:rsidP="00FE461F">
            <w:pPr>
              <w:spacing w:line="240" w:lineRule="auto"/>
              <w:jc w:val="center"/>
              <w:rPr>
                <w:rFonts w:cs="Arial"/>
                <w:szCs w:val="20"/>
              </w:rPr>
            </w:pPr>
          </w:p>
        </w:tc>
        <w:tc>
          <w:tcPr>
            <w:tcW w:w="754" w:type="dxa"/>
            <w:tcBorders>
              <w:top w:val="nil"/>
              <w:left w:val="nil"/>
              <w:bottom w:val="nil"/>
              <w:right w:val="nil"/>
            </w:tcBorders>
            <w:shd w:val="clear" w:color="auto" w:fill="auto"/>
            <w:noWrap/>
            <w:vAlign w:val="bottom"/>
            <w:hideMark/>
          </w:tcPr>
          <w:p w14:paraId="10E86726" w14:textId="77777777" w:rsidR="00FE461F" w:rsidRPr="005E4BEA" w:rsidRDefault="00FE461F" w:rsidP="00FE461F">
            <w:pPr>
              <w:spacing w:line="240" w:lineRule="auto"/>
              <w:jc w:val="center"/>
              <w:rPr>
                <w:rFonts w:cs="Arial"/>
                <w:szCs w:val="20"/>
              </w:rPr>
            </w:pPr>
          </w:p>
        </w:tc>
        <w:tc>
          <w:tcPr>
            <w:tcW w:w="1063" w:type="dxa"/>
            <w:tcBorders>
              <w:top w:val="nil"/>
              <w:left w:val="nil"/>
              <w:bottom w:val="nil"/>
              <w:right w:val="nil"/>
            </w:tcBorders>
            <w:shd w:val="clear" w:color="auto" w:fill="auto"/>
            <w:noWrap/>
            <w:vAlign w:val="bottom"/>
            <w:hideMark/>
          </w:tcPr>
          <w:p w14:paraId="3EC9D959" w14:textId="77777777" w:rsidR="00FE461F" w:rsidRPr="005E4BEA" w:rsidRDefault="00FE461F" w:rsidP="00FE461F">
            <w:pPr>
              <w:spacing w:line="240" w:lineRule="auto"/>
              <w:jc w:val="center"/>
              <w:rPr>
                <w:rFonts w:cs="Arial"/>
                <w:szCs w:val="20"/>
              </w:rPr>
            </w:pPr>
          </w:p>
        </w:tc>
        <w:tc>
          <w:tcPr>
            <w:tcW w:w="710" w:type="dxa"/>
            <w:tcBorders>
              <w:top w:val="nil"/>
              <w:left w:val="nil"/>
              <w:bottom w:val="nil"/>
              <w:right w:val="nil"/>
            </w:tcBorders>
            <w:shd w:val="clear" w:color="auto" w:fill="auto"/>
            <w:noWrap/>
            <w:vAlign w:val="bottom"/>
            <w:hideMark/>
          </w:tcPr>
          <w:p w14:paraId="60A3FC2E" w14:textId="77777777" w:rsidR="00FE461F" w:rsidRPr="005E4BEA" w:rsidRDefault="00FE461F" w:rsidP="00FE461F">
            <w:pPr>
              <w:spacing w:line="240" w:lineRule="auto"/>
              <w:rPr>
                <w:rFonts w:cs="Arial"/>
                <w:szCs w:val="20"/>
              </w:rPr>
            </w:pPr>
          </w:p>
        </w:tc>
      </w:tr>
      <w:tr w:rsidR="00FE461F" w:rsidRPr="005E4BEA" w14:paraId="56E07525" w14:textId="77777777" w:rsidTr="00BE5D1E">
        <w:trPr>
          <w:trHeight w:val="208"/>
        </w:trPr>
        <w:tc>
          <w:tcPr>
            <w:tcW w:w="2777" w:type="dxa"/>
            <w:gridSpan w:val="2"/>
            <w:tcBorders>
              <w:top w:val="nil"/>
              <w:left w:val="nil"/>
              <w:bottom w:val="nil"/>
              <w:right w:val="nil"/>
            </w:tcBorders>
            <w:shd w:val="clear" w:color="auto" w:fill="auto"/>
            <w:noWrap/>
            <w:vAlign w:val="bottom"/>
            <w:hideMark/>
          </w:tcPr>
          <w:p w14:paraId="5540758A" w14:textId="77777777" w:rsidR="00FE461F" w:rsidRPr="005E4BEA" w:rsidRDefault="00FE461F" w:rsidP="00FE461F">
            <w:pPr>
              <w:spacing w:line="240" w:lineRule="auto"/>
              <w:rPr>
                <w:rFonts w:cs="Arial"/>
                <w:color w:val="000000"/>
                <w:szCs w:val="20"/>
              </w:rPr>
            </w:pPr>
            <w:r w:rsidRPr="005E4BEA">
              <w:rPr>
                <w:rFonts w:cs="Arial"/>
                <w:color w:val="000000"/>
                <w:szCs w:val="20"/>
              </w:rPr>
              <w:t>zavarovane osebe na dan 30.06.2021</w:t>
            </w:r>
          </w:p>
        </w:tc>
        <w:tc>
          <w:tcPr>
            <w:tcW w:w="858" w:type="dxa"/>
            <w:tcBorders>
              <w:top w:val="nil"/>
              <w:left w:val="nil"/>
              <w:bottom w:val="nil"/>
              <w:right w:val="nil"/>
            </w:tcBorders>
            <w:shd w:val="clear" w:color="auto" w:fill="auto"/>
            <w:noWrap/>
            <w:vAlign w:val="bottom"/>
            <w:hideMark/>
          </w:tcPr>
          <w:p w14:paraId="24EA1D21" w14:textId="77777777" w:rsidR="00FE461F" w:rsidRPr="005E4BEA" w:rsidRDefault="00FE461F" w:rsidP="00FE461F">
            <w:pPr>
              <w:spacing w:line="240" w:lineRule="auto"/>
              <w:rPr>
                <w:rFonts w:cs="Arial"/>
                <w:color w:val="000000"/>
                <w:szCs w:val="20"/>
              </w:rPr>
            </w:pPr>
          </w:p>
        </w:tc>
        <w:tc>
          <w:tcPr>
            <w:tcW w:w="1095" w:type="dxa"/>
            <w:tcBorders>
              <w:top w:val="nil"/>
              <w:left w:val="nil"/>
              <w:bottom w:val="nil"/>
              <w:right w:val="nil"/>
            </w:tcBorders>
            <w:shd w:val="clear" w:color="auto" w:fill="auto"/>
            <w:noWrap/>
            <w:vAlign w:val="bottom"/>
            <w:hideMark/>
          </w:tcPr>
          <w:p w14:paraId="446C4757" w14:textId="77777777" w:rsidR="00FE461F" w:rsidRPr="005E4BEA" w:rsidRDefault="00FE461F" w:rsidP="00FE461F">
            <w:pPr>
              <w:spacing w:line="240" w:lineRule="auto"/>
              <w:jc w:val="center"/>
              <w:rPr>
                <w:rFonts w:cs="Arial"/>
                <w:szCs w:val="20"/>
              </w:rPr>
            </w:pPr>
          </w:p>
        </w:tc>
        <w:tc>
          <w:tcPr>
            <w:tcW w:w="1169" w:type="dxa"/>
            <w:tcBorders>
              <w:top w:val="nil"/>
              <w:left w:val="nil"/>
              <w:bottom w:val="nil"/>
              <w:right w:val="nil"/>
            </w:tcBorders>
            <w:shd w:val="clear" w:color="auto" w:fill="auto"/>
            <w:noWrap/>
            <w:vAlign w:val="bottom"/>
            <w:hideMark/>
          </w:tcPr>
          <w:p w14:paraId="08F9B1F8" w14:textId="77777777" w:rsidR="00FE461F" w:rsidRPr="005E4BEA" w:rsidRDefault="00FE461F" w:rsidP="00FE461F">
            <w:pPr>
              <w:spacing w:line="240" w:lineRule="auto"/>
              <w:jc w:val="center"/>
              <w:rPr>
                <w:rFonts w:cs="Arial"/>
                <w:szCs w:val="20"/>
              </w:rPr>
            </w:pPr>
          </w:p>
        </w:tc>
        <w:tc>
          <w:tcPr>
            <w:tcW w:w="1127" w:type="dxa"/>
            <w:tcBorders>
              <w:top w:val="nil"/>
              <w:left w:val="nil"/>
              <w:bottom w:val="nil"/>
              <w:right w:val="nil"/>
            </w:tcBorders>
            <w:shd w:val="clear" w:color="auto" w:fill="auto"/>
            <w:noWrap/>
            <w:vAlign w:val="bottom"/>
            <w:hideMark/>
          </w:tcPr>
          <w:p w14:paraId="6E2D3701" w14:textId="77777777" w:rsidR="00FE461F" w:rsidRPr="005E4BEA" w:rsidRDefault="00FE461F" w:rsidP="00FE461F">
            <w:pPr>
              <w:spacing w:line="240" w:lineRule="auto"/>
              <w:jc w:val="center"/>
              <w:rPr>
                <w:rFonts w:cs="Arial"/>
                <w:szCs w:val="20"/>
              </w:rPr>
            </w:pPr>
          </w:p>
        </w:tc>
        <w:tc>
          <w:tcPr>
            <w:tcW w:w="754" w:type="dxa"/>
            <w:tcBorders>
              <w:top w:val="nil"/>
              <w:left w:val="nil"/>
              <w:bottom w:val="nil"/>
              <w:right w:val="nil"/>
            </w:tcBorders>
            <w:shd w:val="clear" w:color="auto" w:fill="auto"/>
            <w:noWrap/>
            <w:vAlign w:val="bottom"/>
            <w:hideMark/>
          </w:tcPr>
          <w:p w14:paraId="57A41F3E" w14:textId="77777777" w:rsidR="00FE461F" w:rsidRPr="005E4BEA" w:rsidRDefault="00FE461F" w:rsidP="00FE461F">
            <w:pPr>
              <w:spacing w:line="240" w:lineRule="auto"/>
              <w:jc w:val="center"/>
              <w:rPr>
                <w:rFonts w:cs="Arial"/>
                <w:szCs w:val="20"/>
              </w:rPr>
            </w:pPr>
          </w:p>
        </w:tc>
        <w:tc>
          <w:tcPr>
            <w:tcW w:w="1063" w:type="dxa"/>
            <w:tcBorders>
              <w:top w:val="nil"/>
              <w:left w:val="nil"/>
              <w:bottom w:val="nil"/>
              <w:right w:val="nil"/>
            </w:tcBorders>
            <w:shd w:val="clear" w:color="auto" w:fill="auto"/>
            <w:noWrap/>
            <w:vAlign w:val="bottom"/>
            <w:hideMark/>
          </w:tcPr>
          <w:p w14:paraId="4E4F6D5B" w14:textId="77777777" w:rsidR="00FE461F" w:rsidRPr="005E4BEA" w:rsidRDefault="00FE461F" w:rsidP="00FE461F">
            <w:pPr>
              <w:spacing w:line="240" w:lineRule="auto"/>
              <w:jc w:val="center"/>
              <w:rPr>
                <w:rFonts w:cs="Arial"/>
                <w:szCs w:val="20"/>
              </w:rPr>
            </w:pPr>
          </w:p>
        </w:tc>
        <w:tc>
          <w:tcPr>
            <w:tcW w:w="710" w:type="dxa"/>
            <w:tcBorders>
              <w:top w:val="nil"/>
              <w:left w:val="nil"/>
              <w:bottom w:val="nil"/>
              <w:right w:val="nil"/>
            </w:tcBorders>
            <w:shd w:val="clear" w:color="auto" w:fill="auto"/>
            <w:noWrap/>
            <w:vAlign w:val="bottom"/>
            <w:hideMark/>
          </w:tcPr>
          <w:p w14:paraId="5823221C" w14:textId="77777777" w:rsidR="00FE461F" w:rsidRPr="005E4BEA" w:rsidRDefault="00FE461F" w:rsidP="00FE461F">
            <w:pPr>
              <w:spacing w:line="240" w:lineRule="auto"/>
              <w:rPr>
                <w:rFonts w:cs="Arial"/>
                <w:szCs w:val="20"/>
              </w:rPr>
            </w:pPr>
          </w:p>
        </w:tc>
      </w:tr>
      <w:tr w:rsidR="00FE461F" w:rsidRPr="005E4BEA" w14:paraId="5E272CFE" w14:textId="77777777" w:rsidTr="00BE5D1E">
        <w:trPr>
          <w:trHeight w:val="804"/>
        </w:trPr>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FAF8A2" w14:textId="77777777" w:rsidR="00FE461F" w:rsidRPr="005E4BEA" w:rsidRDefault="00FE461F" w:rsidP="00FE461F">
            <w:pPr>
              <w:spacing w:line="240" w:lineRule="auto"/>
              <w:jc w:val="center"/>
              <w:rPr>
                <w:rFonts w:cs="Arial"/>
                <w:b/>
                <w:bCs/>
                <w:szCs w:val="20"/>
              </w:rPr>
            </w:pPr>
            <w:r w:rsidRPr="005E4BEA">
              <w:rPr>
                <w:rFonts w:cs="Arial"/>
                <w:b/>
                <w:bCs/>
                <w:szCs w:val="20"/>
              </w:rPr>
              <w:t>IZPOSTAVA ZAVODA</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66216A24"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Število zavarovanih oseb (0-18)</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AF1DAB2"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Nosilci na stanje 6/2021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5F9C8F"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Št ZO/nosilca</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3E05CEC6"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Odstopanje od SLO povprečja</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7FDA5DF0"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upoštevani dodatni timi po An1 K SD22</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7752C27C"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ZZZS</w:t>
            </w:r>
          </w:p>
        </w:tc>
        <w:tc>
          <w:tcPr>
            <w:tcW w:w="1063" w:type="dxa"/>
            <w:tcBorders>
              <w:top w:val="single" w:sz="4" w:space="0" w:color="auto"/>
              <w:left w:val="nil"/>
              <w:bottom w:val="single" w:sz="4" w:space="0" w:color="auto"/>
              <w:right w:val="single" w:sz="4" w:space="0" w:color="auto"/>
            </w:tcBorders>
            <w:shd w:val="clear" w:color="000000" w:fill="D9E1F2"/>
            <w:vAlign w:val="center"/>
            <w:hideMark/>
          </w:tcPr>
          <w:p w14:paraId="3CFC0A74"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PREDLOG ZDRZZ</w:t>
            </w:r>
          </w:p>
        </w:tc>
        <w:tc>
          <w:tcPr>
            <w:tcW w:w="710" w:type="dxa"/>
            <w:tcBorders>
              <w:top w:val="single" w:sz="4" w:space="0" w:color="auto"/>
              <w:left w:val="nil"/>
              <w:bottom w:val="single" w:sz="4" w:space="0" w:color="auto"/>
              <w:right w:val="single" w:sz="4" w:space="0" w:color="auto"/>
            </w:tcBorders>
            <w:shd w:val="clear" w:color="000000" w:fill="F8CBAD"/>
            <w:noWrap/>
            <w:vAlign w:val="bottom"/>
            <w:hideMark/>
          </w:tcPr>
          <w:p w14:paraId="2C29E446" w14:textId="77777777" w:rsidR="00FE461F" w:rsidRPr="005E4BEA" w:rsidRDefault="00FE461F" w:rsidP="00FE461F">
            <w:pPr>
              <w:spacing w:line="240" w:lineRule="auto"/>
              <w:rPr>
                <w:rFonts w:cs="Arial"/>
                <w:color w:val="000000"/>
                <w:szCs w:val="20"/>
              </w:rPr>
            </w:pPr>
            <w:r w:rsidRPr="005E4BEA">
              <w:rPr>
                <w:rFonts w:cs="Arial"/>
                <w:color w:val="000000"/>
                <w:szCs w:val="20"/>
              </w:rPr>
              <w:t>ZZS</w:t>
            </w:r>
          </w:p>
        </w:tc>
      </w:tr>
      <w:tr w:rsidR="00FE461F" w:rsidRPr="005E4BEA" w14:paraId="43280E17" w14:textId="77777777" w:rsidTr="00BE5D1E">
        <w:trPr>
          <w:trHeight w:val="208"/>
        </w:trPr>
        <w:tc>
          <w:tcPr>
            <w:tcW w:w="1555" w:type="dxa"/>
            <w:tcBorders>
              <w:top w:val="nil"/>
              <w:left w:val="nil"/>
              <w:bottom w:val="nil"/>
              <w:right w:val="nil"/>
            </w:tcBorders>
            <w:shd w:val="clear" w:color="auto" w:fill="auto"/>
            <w:noWrap/>
            <w:vAlign w:val="bottom"/>
            <w:hideMark/>
          </w:tcPr>
          <w:p w14:paraId="1FF5E4C4" w14:textId="77777777" w:rsidR="00FE461F" w:rsidRPr="005E4BEA" w:rsidRDefault="00FE461F" w:rsidP="00FE461F">
            <w:pPr>
              <w:spacing w:line="240" w:lineRule="auto"/>
              <w:rPr>
                <w:rFonts w:cs="Arial"/>
                <w:color w:val="000000"/>
                <w:szCs w:val="20"/>
              </w:rPr>
            </w:pPr>
            <w:r w:rsidRPr="005E4BEA">
              <w:rPr>
                <w:rFonts w:cs="Arial"/>
                <w:color w:val="000000"/>
                <w:szCs w:val="20"/>
              </w:rPr>
              <w:t>PREDLOG ŠIRITEV 2022</w:t>
            </w:r>
          </w:p>
        </w:tc>
        <w:tc>
          <w:tcPr>
            <w:tcW w:w="1222" w:type="dxa"/>
            <w:tcBorders>
              <w:top w:val="nil"/>
              <w:left w:val="nil"/>
              <w:bottom w:val="nil"/>
              <w:right w:val="nil"/>
            </w:tcBorders>
            <w:shd w:val="clear" w:color="auto" w:fill="auto"/>
            <w:noWrap/>
            <w:vAlign w:val="bottom"/>
            <w:hideMark/>
          </w:tcPr>
          <w:p w14:paraId="3755FA89" w14:textId="77777777" w:rsidR="00FE461F" w:rsidRPr="005E4BEA" w:rsidRDefault="00FE461F" w:rsidP="00FE461F">
            <w:pPr>
              <w:spacing w:line="240" w:lineRule="auto"/>
              <w:rPr>
                <w:rFonts w:cs="Arial"/>
                <w:color w:val="000000"/>
                <w:szCs w:val="20"/>
              </w:rPr>
            </w:pPr>
          </w:p>
        </w:tc>
        <w:tc>
          <w:tcPr>
            <w:tcW w:w="858" w:type="dxa"/>
            <w:tcBorders>
              <w:top w:val="nil"/>
              <w:left w:val="nil"/>
              <w:bottom w:val="nil"/>
              <w:right w:val="nil"/>
            </w:tcBorders>
            <w:shd w:val="clear" w:color="auto" w:fill="auto"/>
            <w:noWrap/>
            <w:vAlign w:val="bottom"/>
            <w:hideMark/>
          </w:tcPr>
          <w:p w14:paraId="7879309C" w14:textId="77777777" w:rsidR="00FE461F" w:rsidRPr="005E4BEA" w:rsidRDefault="00FE461F" w:rsidP="00FE461F">
            <w:pPr>
              <w:spacing w:line="240" w:lineRule="auto"/>
              <w:jc w:val="center"/>
              <w:rPr>
                <w:rFonts w:cs="Arial"/>
                <w:szCs w:val="20"/>
              </w:rPr>
            </w:pPr>
          </w:p>
        </w:tc>
        <w:tc>
          <w:tcPr>
            <w:tcW w:w="1095" w:type="dxa"/>
            <w:tcBorders>
              <w:top w:val="nil"/>
              <w:left w:val="nil"/>
              <w:bottom w:val="nil"/>
              <w:right w:val="nil"/>
            </w:tcBorders>
            <w:shd w:val="clear" w:color="auto" w:fill="auto"/>
            <w:noWrap/>
            <w:vAlign w:val="bottom"/>
            <w:hideMark/>
          </w:tcPr>
          <w:p w14:paraId="5C4ABE8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 MIO €</w:t>
            </w:r>
          </w:p>
        </w:tc>
        <w:tc>
          <w:tcPr>
            <w:tcW w:w="1169" w:type="dxa"/>
            <w:tcBorders>
              <w:top w:val="nil"/>
              <w:left w:val="nil"/>
              <w:bottom w:val="nil"/>
              <w:right w:val="nil"/>
            </w:tcBorders>
            <w:shd w:val="clear" w:color="auto" w:fill="auto"/>
            <w:noWrap/>
            <w:vAlign w:val="bottom"/>
            <w:hideMark/>
          </w:tcPr>
          <w:p w14:paraId="3A7BB2E2" w14:textId="77777777" w:rsidR="00FE461F" w:rsidRPr="005E4BEA" w:rsidRDefault="00FE461F" w:rsidP="00FE461F">
            <w:pPr>
              <w:spacing w:line="240" w:lineRule="auto"/>
              <w:jc w:val="center"/>
              <w:rPr>
                <w:rFonts w:cs="Arial"/>
                <w:color w:val="000000"/>
                <w:szCs w:val="20"/>
              </w:rPr>
            </w:pPr>
          </w:p>
        </w:tc>
        <w:tc>
          <w:tcPr>
            <w:tcW w:w="1127" w:type="dxa"/>
            <w:tcBorders>
              <w:top w:val="nil"/>
              <w:left w:val="nil"/>
              <w:bottom w:val="nil"/>
              <w:right w:val="nil"/>
            </w:tcBorders>
            <w:shd w:val="clear" w:color="000000" w:fill="D9E1F2"/>
            <w:noWrap/>
            <w:vAlign w:val="bottom"/>
            <w:hideMark/>
          </w:tcPr>
          <w:p w14:paraId="368A5547"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54" w:type="dxa"/>
            <w:tcBorders>
              <w:top w:val="nil"/>
              <w:left w:val="nil"/>
              <w:bottom w:val="nil"/>
              <w:right w:val="nil"/>
            </w:tcBorders>
            <w:shd w:val="clear" w:color="000000" w:fill="D9E1F2"/>
            <w:noWrap/>
            <w:vAlign w:val="bottom"/>
            <w:hideMark/>
          </w:tcPr>
          <w:p w14:paraId="73F66213" w14:textId="77777777" w:rsidR="00FE461F" w:rsidRPr="005E4BEA" w:rsidRDefault="00FE461F" w:rsidP="00FE461F">
            <w:pPr>
              <w:spacing w:line="240" w:lineRule="auto"/>
              <w:jc w:val="right"/>
              <w:rPr>
                <w:rFonts w:cs="Arial"/>
                <w:color w:val="000000"/>
                <w:szCs w:val="20"/>
              </w:rPr>
            </w:pPr>
            <w:r w:rsidRPr="005E4BEA">
              <w:rPr>
                <w:rFonts w:cs="Arial"/>
                <w:color w:val="FF0000"/>
                <w:szCs w:val="20"/>
              </w:rPr>
              <w:t>15,58</w:t>
            </w:r>
          </w:p>
        </w:tc>
        <w:tc>
          <w:tcPr>
            <w:tcW w:w="1063" w:type="dxa"/>
            <w:tcBorders>
              <w:top w:val="nil"/>
              <w:left w:val="nil"/>
              <w:bottom w:val="nil"/>
              <w:right w:val="nil"/>
            </w:tcBorders>
            <w:shd w:val="clear" w:color="000000" w:fill="D9E1F2"/>
            <w:noWrap/>
            <w:vAlign w:val="bottom"/>
            <w:hideMark/>
          </w:tcPr>
          <w:p w14:paraId="4E1D789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w:t>
            </w:r>
          </w:p>
        </w:tc>
        <w:tc>
          <w:tcPr>
            <w:tcW w:w="710" w:type="dxa"/>
            <w:tcBorders>
              <w:top w:val="nil"/>
              <w:left w:val="nil"/>
              <w:bottom w:val="nil"/>
              <w:right w:val="nil"/>
            </w:tcBorders>
            <w:shd w:val="clear" w:color="000000" w:fill="D9E1F2"/>
            <w:noWrap/>
            <w:vAlign w:val="bottom"/>
            <w:hideMark/>
          </w:tcPr>
          <w:p w14:paraId="5BA77B0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2,762</w:t>
            </w:r>
          </w:p>
        </w:tc>
      </w:tr>
      <w:tr w:rsidR="00FE461F" w:rsidRPr="005E4BEA" w14:paraId="6AFCB2EC" w14:textId="77777777" w:rsidTr="00BE5D1E">
        <w:trPr>
          <w:trHeight w:val="208"/>
        </w:trPr>
        <w:tc>
          <w:tcPr>
            <w:tcW w:w="155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B171ED"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ZZZS V CELOTI</w:t>
            </w:r>
          </w:p>
        </w:tc>
        <w:tc>
          <w:tcPr>
            <w:tcW w:w="1222" w:type="dxa"/>
            <w:tcBorders>
              <w:top w:val="single" w:sz="4" w:space="0" w:color="auto"/>
              <w:left w:val="nil"/>
              <w:bottom w:val="nil"/>
              <w:right w:val="single" w:sz="4" w:space="0" w:color="auto"/>
            </w:tcBorders>
            <w:shd w:val="clear" w:color="000000" w:fill="FFFF99"/>
            <w:noWrap/>
            <w:vAlign w:val="bottom"/>
            <w:hideMark/>
          </w:tcPr>
          <w:p w14:paraId="1C6C8EAE"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390.530</w:t>
            </w:r>
          </w:p>
        </w:tc>
        <w:tc>
          <w:tcPr>
            <w:tcW w:w="858" w:type="dxa"/>
            <w:tcBorders>
              <w:top w:val="single" w:sz="4" w:space="0" w:color="auto"/>
              <w:left w:val="nil"/>
              <w:bottom w:val="single" w:sz="4" w:space="0" w:color="auto"/>
              <w:right w:val="single" w:sz="4" w:space="0" w:color="auto"/>
            </w:tcBorders>
            <w:shd w:val="clear" w:color="000000" w:fill="FFFF99"/>
            <w:noWrap/>
            <w:vAlign w:val="bottom"/>
            <w:hideMark/>
          </w:tcPr>
          <w:p w14:paraId="0BAA6D2D"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306,73</w:t>
            </w:r>
          </w:p>
        </w:tc>
        <w:tc>
          <w:tcPr>
            <w:tcW w:w="1095" w:type="dxa"/>
            <w:tcBorders>
              <w:top w:val="single" w:sz="4" w:space="0" w:color="auto"/>
              <w:left w:val="nil"/>
              <w:bottom w:val="single" w:sz="4" w:space="0" w:color="auto"/>
              <w:right w:val="single" w:sz="4" w:space="0" w:color="auto"/>
            </w:tcBorders>
            <w:shd w:val="clear" w:color="000000" w:fill="FFFF99"/>
            <w:noWrap/>
            <w:vAlign w:val="bottom"/>
            <w:hideMark/>
          </w:tcPr>
          <w:p w14:paraId="242B0129"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1.273,19</w:t>
            </w:r>
          </w:p>
        </w:tc>
        <w:tc>
          <w:tcPr>
            <w:tcW w:w="1169" w:type="dxa"/>
            <w:tcBorders>
              <w:top w:val="single" w:sz="4" w:space="0" w:color="auto"/>
              <w:left w:val="nil"/>
              <w:bottom w:val="single" w:sz="4" w:space="0" w:color="auto"/>
              <w:right w:val="single" w:sz="4" w:space="0" w:color="auto"/>
            </w:tcBorders>
            <w:shd w:val="clear" w:color="000000" w:fill="FFFF99"/>
            <w:noWrap/>
            <w:vAlign w:val="bottom"/>
            <w:hideMark/>
          </w:tcPr>
          <w:p w14:paraId="20D84302"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100,00</w:t>
            </w:r>
          </w:p>
        </w:tc>
        <w:tc>
          <w:tcPr>
            <w:tcW w:w="1127" w:type="dxa"/>
            <w:tcBorders>
              <w:top w:val="single" w:sz="4" w:space="0" w:color="auto"/>
              <w:left w:val="nil"/>
              <w:bottom w:val="single" w:sz="4" w:space="0" w:color="auto"/>
              <w:right w:val="single" w:sz="4" w:space="0" w:color="auto"/>
            </w:tcBorders>
            <w:shd w:val="clear" w:color="000000" w:fill="FFFF99"/>
            <w:noWrap/>
            <w:vAlign w:val="bottom"/>
            <w:hideMark/>
          </w:tcPr>
          <w:p w14:paraId="238F77A6"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single" w:sz="4" w:space="0" w:color="auto"/>
              <w:left w:val="nil"/>
              <w:bottom w:val="single" w:sz="4" w:space="0" w:color="auto"/>
              <w:right w:val="single" w:sz="4" w:space="0" w:color="auto"/>
            </w:tcBorders>
            <w:shd w:val="clear" w:color="000000" w:fill="FFFF99"/>
            <w:noWrap/>
            <w:vAlign w:val="bottom"/>
            <w:hideMark/>
          </w:tcPr>
          <w:p w14:paraId="51EDDF90"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single" w:sz="4" w:space="0" w:color="auto"/>
              <w:left w:val="nil"/>
              <w:bottom w:val="single" w:sz="4" w:space="0" w:color="auto"/>
              <w:right w:val="single" w:sz="4" w:space="0" w:color="auto"/>
            </w:tcBorders>
            <w:shd w:val="clear" w:color="000000" w:fill="FFFF99"/>
            <w:noWrap/>
            <w:vAlign w:val="bottom"/>
            <w:hideMark/>
          </w:tcPr>
          <w:p w14:paraId="2DA6835C"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single" w:sz="4" w:space="0" w:color="auto"/>
              <w:left w:val="nil"/>
              <w:bottom w:val="single" w:sz="4" w:space="0" w:color="auto"/>
              <w:right w:val="single" w:sz="4" w:space="0" w:color="auto"/>
            </w:tcBorders>
            <w:shd w:val="clear" w:color="000000" w:fill="FFFF99"/>
            <w:noWrap/>
            <w:vAlign w:val="bottom"/>
            <w:hideMark/>
          </w:tcPr>
          <w:p w14:paraId="680A3769"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00B03046"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7B690AA1"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CELJE</w:t>
            </w:r>
          </w:p>
        </w:tc>
        <w:tc>
          <w:tcPr>
            <w:tcW w:w="1222" w:type="dxa"/>
            <w:tcBorders>
              <w:top w:val="single" w:sz="4" w:space="0" w:color="auto"/>
              <w:left w:val="nil"/>
              <w:bottom w:val="single" w:sz="4" w:space="0" w:color="auto"/>
              <w:right w:val="single" w:sz="4" w:space="0" w:color="auto"/>
            </w:tcBorders>
            <w:shd w:val="clear" w:color="000000" w:fill="FFFF99"/>
            <w:noWrap/>
            <w:vAlign w:val="bottom"/>
            <w:hideMark/>
          </w:tcPr>
          <w:p w14:paraId="07C9CF4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37.938</w:t>
            </w:r>
          </w:p>
        </w:tc>
        <w:tc>
          <w:tcPr>
            <w:tcW w:w="858" w:type="dxa"/>
            <w:tcBorders>
              <w:top w:val="nil"/>
              <w:left w:val="nil"/>
              <w:bottom w:val="single" w:sz="4" w:space="0" w:color="auto"/>
              <w:right w:val="single" w:sz="4" w:space="0" w:color="auto"/>
            </w:tcBorders>
            <w:shd w:val="clear" w:color="000000" w:fill="FFFF99"/>
            <w:noWrap/>
            <w:vAlign w:val="bottom"/>
            <w:hideMark/>
          </w:tcPr>
          <w:p w14:paraId="6421BC5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27,95</w:t>
            </w:r>
          </w:p>
        </w:tc>
        <w:tc>
          <w:tcPr>
            <w:tcW w:w="1095" w:type="dxa"/>
            <w:tcBorders>
              <w:top w:val="nil"/>
              <w:left w:val="nil"/>
              <w:bottom w:val="single" w:sz="4" w:space="0" w:color="auto"/>
              <w:right w:val="single" w:sz="4" w:space="0" w:color="auto"/>
            </w:tcBorders>
            <w:shd w:val="clear" w:color="000000" w:fill="FFFF99"/>
            <w:noWrap/>
            <w:vAlign w:val="bottom"/>
            <w:hideMark/>
          </w:tcPr>
          <w:p w14:paraId="7D42745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1.357,35</w:t>
            </w:r>
          </w:p>
        </w:tc>
        <w:tc>
          <w:tcPr>
            <w:tcW w:w="1169" w:type="dxa"/>
            <w:tcBorders>
              <w:top w:val="nil"/>
              <w:left w:val="nil"/>
              <w:bottom w:val="single" w:sz="4" w:space="0" w:color="auto"/>
              <w:right w:val="single" w:sz="4" w:space="0" w:color="auto"/>
            </w:tcBorders>
            <w:shd w:val="clear" w:color="000000" w:fill="FFFF99"/>
            <w:noWrap/>
            <w:vAlign w:val="bottom"/>
            <w:hideMark/>
          </w:tcPr>
          <w:p w14:paraId="79765D0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93,80</w:t>
            </w:r>
          </w:p>
        </w:tc>
        <w:tc>
          <w:tcPr>
            <w:tcW w:w="1127" w:type="dxa"/>
            <w:tcBorders>
              <w:top w:val="nil"/>
              <w:left w:val="nil"/>
              <w:bottom w:val="single" w:sz="4" w:space="0" w:color="auto"/>
              <w:right w:val="single" w:sz="4" w:space="0" w:color="auto"/>
            </w:tcBorders>
            <w:shd w:val="clear" w:color="000000" w:fill="FFFF99"/>
            <w:noWrap/>
            <w:vAlign w:val="bottom"/>
            <w:hideMark/>
          </w:tcPr>
          <w:p w14:paraId="4CDB1E78"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0D2CCE78"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0AF9822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2102BA42"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39EC2B54"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238AD0C" w14:textId="77777777" w:rsidR="00FE461F" w:rsidRPr="005E4BEA" w:rsidRDefault="00FE461F" w:rsidP="00FE461F">
            <w:pPr>
              <w:spacing w:line="240" w:lineRule="auto"/>
              <w:rPr>
                <w:rFonts w:cs="Arial"/>
                <w:color w:val="000000"/>
                <w:szCs w:val="20"/>
              </w:rPr>
            </w:pPr>
            <w:r w:rsidRPr="005E4BEA">
              <w:rPr>
                <w:rFonts w:cs="Arial"/>
                <w:color w:val="000000"/>
                <w:szCs w:val="20"/>
              </w:rPr>
              <w:t>Celje</w:t>
            </w:r>
          </w:p>
        </w:tc>
        <w:tc>
          <w:tcPr>
            <w:tcW w:w="1222" w:type="dxa"/>
            <w:tcBorders>
              <w:top w:val="nil"/>
              <w:left w:val="nil"/>
              <w:bottom w:val="single" w:sz="4" w:space="0" w:color="auto"/>
              <w:right w:val="single" w:sz="4" w:space="0" w:color="auto"/>
            </w:tcBorders>
            <w:shd w:val="clear" w:color="auto" w:fill="auto"/>
            <w:noWrap/>
            <w:vAlign w:val="bottom"/>
            <w:hideMark/>
          </w:tcPr>
          <w:p w14:paraId="5353610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11.711</w:t>
            </w:r>
          </w:p>
        </w:tc>
        <w:tc>
          <w:tcPr>
            <w:tcW w:w="858" w:type="dxa"/>
            <w:tcBorders>
              <w:top w:val="nil"/>
              <w:left w:val="nil"/>
              <w:bottom w:val="single" w:sz="4" w:space="0" w:color="auto"/>
              <w:right w:val="single" w:sz="4" w:space="0" w:color="auto"/>
            </w:tcBorders>
            <w:shd w:val="clear" w:color="auto" w:fill="auto"/>
            <w:noWrap/>
            <w:vAlign w:val="bottom"/>
            <w:hideMark/>
          </w:tcPr>
          <w:p w14:paraId="40BD38D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11,36</w:t>
            </w:r>
          </w:p>
        </w:tc>
        <w:tc>
          <w:tcPr>
            <w:tcW w:w="1095" w:type="dxa"/>
            <w:tcBorders>
              <w:top w:val="nil"/>
              <w:left w:val="nil"/>
              <w:bottom w:val="single" w:sz="4" w:space="0" w:color="auto"/>
              <w:right w:val="single" w:sz="4" w:space="0" w:color="auto"/>
            </w:tcBorders>
            <w:shd w:val="clear" w:color="auto" w:fill="auto"/>
            <w:noWrap/>
            <w:vAlign w:val="bottom"/>
            <w:hideMark/>
          </w:tcPr>
          <w:p w14:paraId="3639862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1.030,90</w:t>
            </w:r>
          </w:p>
        </w:tc>
        <w:tc>
          <w:tcPr>
            <w:tcW w:w="1169" w:type="dxa"/>
            <w:tcBorders>
              <w:top w:val="nil"/>
              <w:left w:val="nil"/>
              <w:bottom w:val="single" w:sz="4" w:space="0" w:color="auto"/>
              <w:right w:val="single" w:sz="4" w:space="0" w:color="auto"/>
            </w:tcBorders>
            <w:shd w:val="clear" w:color="auto" w:fill="auto"/>
            <w:noWrap/>
            <w:vAlign w:val="bottom"/>
            <w:hideMark/>
          </w:tcPr>
          <w:p w14:paraId="57DCC3B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123,50</w:t>
            </w:r>
          </w:p>
        </w:tc>
        <w:tc>
          <w:tcPr>
            <w:tcW w:w="1127" w:type="dxa"/>
            <w:tcBorders>
              <w:top w:val="nil"/>
              <w:left w:val="nil"/>
              <w:bottom w:val="single" w:sz="4" w:space="0" w:color="auto"/>
              <w:right w:val="single" w:sz="4" w:space="0" w:color="auto"/>
            </w:tcBorders>
            <w:shd w:val="clear" w:color="auto" w:fill="auto"/>
            <w:noWrap/>
            <w:vAlign w:val="bottom"/>
            <w:hideMark/>
          </w:tcPr>
          <w:p w14:paraId="4B4DF24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853F4E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7E7A986"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D5F3E7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0,4</w:t>
            </w:r>
          </w:p>
        </w:tc>
      </w:tr>
      <w:tr w:rsidR="00FE461F" w:rsidRPr="005E4BEA" w14:paraId="4D81F26C"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4471606" w14:textId="77777777" w:rsidR="00FE461F" w:rsidRPr="005E4BEA" w:rsidRDefault="00FE461F" w:rsidP="00FE461F">
            <w:pPr>
              <w:spacing w:line="240" w:lineRule="auto"/>
              <w:rPr>
                <w:rFonts w:cs="Arial"/>
                <w:color w:val="000000"/>
                <w:szCs w:val="20"/>
              </w:rPr>
            </w:pPr>
            <w:r w:rsidRPr="005E4BEA">
              <w:rPr>
                <w:rFonts w:cs="Arial"/>
                <w:color w:val="000000"/>
                <w:szCs w:val="20"/>
              </w:rPr>
              <w:t>Laško</w:t>
            </w:r>
          </w:p>
        </w:tc>
        <w:tc>
          <w:tcPr>
            <w:tcW w:w="1222" w:type="dxa"/>
            <w:tcBorders>
              <w:top w:val="nil"/>
              <w:left w:val="nil"/>
              <w:bottom w:val="single" w:sz="4" w:space="0" w:color="auto"/>
              <w:right w:val="single" w:sz="4" w:space="0" w:color="auto"/>
            </w:tcBorders>
            <w:shd w:val="clear" w:color="auto" w:fill="auto"/>
            <w:noWrap/>
            <w:vAlign w:val="bottom"/>
            <w:hideMark/>
          </w:tcPr>
          <w:p w14:paraId="2624BC3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3.050</w:t>
            </w:r>
          </w:p>
        </w:tc>
        <w:tc>
          <w:tcPr>
            <w:tcW w:w="858" w:type="dxa"/>
            <w:tcBorders>
              <w:top w:val="nil"/>
              <w:left w:val="nil"/>
              <w:bottom w:val="single" w:sz="4" w:space="0" w:color="auto"/>
              <w:right w:val="single" w:sz="4" w:space="0" w:color="auto"/>
            </w:tcBorders>
            <w:shd w:val="clear" w:color="auto" w:fill="auto"/>
            <w:noWrap/>
            <w:vAlign w:val="bottom"/>
            <w:hideMark/>
          </w:tcPr>
          <w:p w14:paraId="6A559A9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2,20</w:t>
            </w:r>
          </w:p>
        </w:tc>
        <w:tc>
          <w:tcPr>
            <w:tcW w:w="1095" w:type="dxa"/>
            <w:tcBorders>
              <w:top w:val="nil"/>
              <w:left w:val="nil"/>
              <w:bottom w:val="single" w:sz="4" w:space="0" w:color="auto"/>
              <w:right w:val="single" w:sz="4" w:space="0" w:color="auto"/>
            </w:tcBorders>
            <w:shd w:val="clear" w:color="auto" w:fill="auto"/>
            <w:noWrap/>
            <w:vAlign w:val="bottom"/>
            <w:hideMark/>
          </w:tcPr>
          <w:p w14:paraId="7118826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1.386,36</w:t>
            </w:r>
          </w:p>
        </w:tc>
        <w:tc>
          <w:tcPr>
            <w:tcW w:w="1169" w:type="dxa"/>
            <w:tcBorders>
              <w:top w:val="nil"/>
              <w:left w:val="nil"/>
              <w:bottom w:val="single" w:sz="4" w:space="0" w:color="auto"/>
              <w:right w:val="single" w:sz="4" w:space="0" w:color="auto"/>
            </w:tcBorders>
            <w:shd w:val="clear" w:color="auto" w:fill="auto"/>
            <w:noWrap/>
            <w:vAlign w:val="bottom"/>
            <w:hideMark/>
          </w:tcPr>
          <w:p w14:paraId="545054D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91,84</w:t>
            </w:r>
          </w:p>
        </w:tc>
        <w:tc>
          <w:tcPr>
            <w:tcW w:w="1127" w:type="dxa"/>
            <w:tcBorders>
              <w:top w:val="nil"/>
              <w:left w:val="nil"/>
              <w:bottom w:val="single" w:sz="4" w:space="0" w:color="auto"/>
              <w:right w:val="single" w:sz="4" w:space="0" w:color="auto"/>
            </w:tcBorders>
            <w:shd w:val="clear" w:color="auto" w:fill="auto"/>
            <w:noWrap/>
            <w:vAlign w:val="bottom"/>
            <w:hideMark/>
          </w:tcPr>
          <w:p w14:paraId="28D342E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BBB45E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A74A30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710" w:type="dxa"/>
            <w:tcBorders>
              <w:top w:val="nil"/>
              <w:left w:val="nil"/>
              <w:bottom w:val="single" w:sz="4" w:space="0" w:color="auto"/>
              <w:right w:val="single" w:sz="4" w:space="0" w:color="auto"/>
            </w:tcBorders>
            <w:shd w:val="clear" w:color="auto" w:fill="auto"/>
            <w:noWrap/>
            <w:vAlign w:val="bottom"/>
            <w:hideMark/>
          </w:tcPr>
          <w:p w14:paraId="179F18A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666F75AD"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3DE9B6" w14:textId="77777777" w:rsidR="00FE461F" w:rsidRPr="005E4BEA" w:rsidRDefault="00FE461F" w:rsidP="00FE461F">
            <w:pPr>
              <w:spacing w:line="240" w:lineRule="auto"/>
              <w:rPr>
                <w:rFonts w:cs="Arial"/>
                <w:color w:val="000000"/>
                <w:szCs w:val="20"/>
              </w:rPr>
            </w:pPr>
            <w:r w:rsidRPr="005E4BEA">
              <w:rPr>
                <w:rFonts w:cs="Arial"/>
                <w:color w:val="000000"/>
                <w:szCs w:val="20"/>
              </w:rPr>
              <w:t>Slovenske Konjice</w:t>
            </w:r>
          </w:p>
        </w:tc>
        <w:tc>
          <w:tcPr>
            <w:tcW w:w="1222" w:type="dxa"/>
            <w:tcBorders>
              <w:top w:val="nil"/>
              <w:left w:val="nil"/>
              <w:bottom w:val="single" w:sz="4" w:space="0" w:color="auto"/>
              <w:right w:val="single" w:sz="4" w:space="0" w:color="auto"/>
            </w:tcBorders>
            <w:shd w:val="clear" w:color="auto" w:fill="auto"/>
            <w:noWrap/>
            <w:vAlign w:val="bottom"/>
            <w:hideMark/>
          </w:tcPr>
          <w:p w14:paraId="1B3BA1B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4.699</w:t>
            </w:r>
          </w:p>
        </w:tc>
        <w:tc>
          <w:tcPr>
            <w:tcW w:w="858" w:type="dxa"/>
            <w:tcBorders>
              <w:top w:val="nil"/>
              <w:left w:val="nil"/>
              <w:bottom w:val="single" w:sz="4" w:space="0" w:color="auto"/>
              <w:right w:val="single" w:sz="4" w:space="0" w:color="auto"/>
            </w:tcBorders>
            <w:shd w:val="clear" w:color="auto" w:fill="auto"/>
            <w:noWrap/>
            <w:vAlign w:val="bottom"/>
            <w:hideMark/>
          </w:tcPr>
          <w:p w14:paraId="59B8B97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3,80</w:t>
            </w:r>
          </w:p>
        </w:tc>
        <w:tc>
          <w:tcPr>
            <w:tcW w:w="1095" w:type="dxa"/>
            <w:tcBorders>
              <w:top w:val="nil"/>
              <w:left w:val="nil"/>
              <w:bottom w:val="single" w:sz="4" w:space="0" w:color="auto"/>
              <w:right w:val="single" w:sz="4" w:space="0" w:color="auto"/>
            </w:tcBorders>
            <w:shd w:val="clear" w:color="auto" w:fill="auto"/>
            <w:noWrap/>
            <w:vAlign w:val="bottom"/>
            <w:hideMark/>
          </w:tcPr>
          <w:p w14:paraId="1EAFA9A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1.236,58</w:t>
            </w:r>
          </w:p>
        </w:tc>
        <w:tc>
          <w:tcPr>
            <w:tcW w:w="1169" w:type="dxa"/>
            <w:tcBorders>
              <w:top w:val="nil"/>
              <w:left w:val="nil"/>
              <w:bottom w:val="single" w:sz="4" w:space="0" w:color="auto"/>
              <w:right w:val="single" w:sz="4" w:space="0" w:color="auto"/>
            </w:tcBorders>
            <w:shd w:val="clear" w:color="auto" w:fill="auto"/>
            <w:noWrap/>
            <w:vAlign w:val="bottom"/>
            <w:hideMark/>
          </w:tcPr>
          <w:p w14:paraId="540B3D1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102,96</w:t>
            </w:r>
          </w:p>
        </w:tc>
        <w:tc>
          <w:tcPr>
            <w:tcW w:w="1127" w:type="dxa"/>
            <w:tcBorders>
              <w:top w:val="nil"/>
              <w:left w:val="nil"/>
              <w:bottom w:val="single" w:sz="4" w:space="0" w:color="auto"/>
              <w:right w:val="single" w:sz="4" w:space="0" w:color="auto"/>
            </w:tcBorders>
            <w:shd w:val="clear" w:color="auto" w:fill="auto"/>
            <w:noWrap/>
            <w:vAlign w:val="bottom"/>
            <w:hideMark/>
          </w:tcPr>
          <w:p w14:paraId="4E33464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201C61C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BE08B93"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705776A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8AA188E"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0250AD" w14:textId="77777777" w:rsidR="00FE461F" w:rsidRPr="005E4BEA" w:rsidRDefault="00FE461F" w:rsidP="00FE461F">
            <w:pPr>
              <w:spacing w:line="240" w:lineRule="auto"/>
              <w:rPr>
                <w:rFonts w:cs="Arial"/>
                <w:color w:val="000000"/>
                <w:szCs w:val="20"/>
              </w:rPr>
            </w:pPr>
            <w:r w:rsidRPr="005E4BEA">
              <w:rPr>
                <w:rFonts w:cs="Arial"/>
                <w:color w:val="000000"/>
                <w:szCs w:val="20"/>
              </w:rPr>
              <w:t>Šentjur pri Celju</w:t>
            </w:r>
          </w:p>
        </w:tc>
        <w:tc>
          <w:tcPr>
            <w:tcW w:w="1222" w:type="dxa"/>
            <w:tcBorders>
              <w:top w:val="nil"/>
              <w:left w:val="nil"/>
              <w:bottom w:val="single" w:sz="4" w:space="0" w:color="auto"/>
              <w:right w:val="single" w:sz="4" w:space="0" w:color="auto"/>
            </w:tcBorders>
            <w:shd w:val="clear" w:color="auto" w:fill="auto"/>
            <w:noWrap/>
            <w:vAlign w:val="bottom"/>
            <w:hideMark/>
          </w:tcPr>
          <w:p w14:paraId="3CDDED1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3.950</w:t>
            </w:r>
          </w:p>
        </w:tc>
        <w:tc>
          <w:tcPr>
            <w:tcW w:w="858" w:type="dxa"/>
            <w:tcBorders>
              <w:top w:val="nil"/>
              <w:left w:val="nil"/>
              <w:bottom w:val="single" w:sz="4" w:space="0" w:color="auto"/>
              <w:right w:val="single" w:sz="4" w:space="0" w:color="auto"/>
            </w:tcBorders>
            <w:shd w:val="clear" w:color="auto" w:fill="auto"/>
            <w:noWrap/>
            <w:vAlign w:val="bottom"/>
            <w:hideMark/>
          </w:tcPr>
          <w:p w14:paraId="28DD68F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2,43</w:t>
            </w:r>
          </w:p>
        </w:tc>
        <w:tc>
          <w:tcPr>
            <w:tcW w:w="1095" w:type="dxa"/>
            <w:tcBorders>
              <w:top w:val="nil"/>
              <w:left w:val="nil"/>
              <w:bottom w:val="single" w:sz="4" w:space="0" w:color="auto"/>
              <w:right w:val="single" w:sz="4" w:space="0" w:color="auto"/>
            </w:tcBorders>
            <w:shd w:val="clear" w:color="auto" w:fill="auto"/>
            <w:noWrap/>
            <w:vAlign w:val="bottom"/>
            <w:hideMark/>
          </w:tcPr>
          <w:p w14:paraId="510FBA5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1.625,51</w:t>
            </w:r>
          </w:p>
        </w:tc>
        <w:tc>
          <w:tcPr>
            <w:tcW w:w="1169" w:type="dxa"/>
            <w:tcBorders>
              <w:top w:val="nil"/>
              <w:left w:val="nil"/>
              <w:bottom w:val="single" w:sz="4" w:space="0" w:color="auto"/>
              <w:right w:val="single" w:sz="4" w:space="0" w:color="auto"/>
            </w:tcBorders>
            <w:shd w:val="clear" w:color="auto" w:fill="auto"/>
            <w:noWrap/>
            <w:vAlign w:val="bottom"/>
            <w:hideMark/>
          </w:tcPr>
          <w:p w14:paraId="636D99A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78,33</w:t>
            </w:r>
          </w:p>
        </w:tc>
        <w:tc>
          <w:tcPr>
            <w:tcW w:w="1127" w:type="dxa"/>
            <w:tcBorders>
              <w:top w:val="nil"/>
              <w:left w:val="nil"/>
              <w:bottom w:val="single" w:sz="4" w:space="0" w:color="auto"/>
              <w:right w:val="single" w:sz="4" w:space="0" w:color="auto"/>
            </w:tcBorders>
            <w:shd w:val="clear" w:color="auto" w:fill="auto"/>
            <w:noWrap/>
            <w:vAlign w:val="bottom"/>
            <w:hideMark/>
          </w:tcPr>
          <w:p w14:paraId="7EACEFB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B751AF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0,67</w:t>
            </w:r>
          </w:p>
        </w:tc>
        <w:tc>
          <w:tcPr>
            <w:tcW w:w="1063" w:type="dxa"/>
            <w:tcBorders>
              <w:top w:val="nil"/>
              <w:left w:val="nil"/>
              <w:bottom w:val="single" w:sz="4" w:space="0" w:color="auto"/>
              <w:right w:val="single" w:sz="4" w:space="0" w:color="auto"/>
            </w:tcBorders>
            <w:shd w:val="clear" w:color="auto" w:fill="auto"/>
            <w:noWrap/>
            <w:vAlign w:val="bottom"/>
            <w:hideMark/>
          </w:tcPr>
          <w:p w14:paraId="66986DB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0B4F1B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02A36016"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07CCAF6" w14:textId="77777777" w:rsidR="00FE461F" w:rsidRPr="005E4BEA" w:rsidRDefault="00FE461F" w:rsidP="00FE461F">
            <w:pPr>
              <w:spacing w:line="240" w:lineRule="auto"/>
              <w:rPr>
                <w:rFonts w:cs="Arial"/>
                <w:color w:val="000000"/>
                <w:szCs w:val="20"/>
              </w:rPr>
            </w:pPr>
            <w:r w:rsidRPr="005E4BEA">
              <w:rPr>
                <w:rFonts w:cs="Arial"/>
                <w:color w:val="000000"/>
                <w:szCs w:val="20"/>
              </w:rPr>
              <w:t>Šmarje</w:t>
            </w:r>
          </w:p>
        </w:tc>
        <w:tc>
          <w:tcPr>
            <w:tcW w:w="1222" w:type="dxa"/>
            <w:tcBorders>
              <w:top w:val="nil"/>
              <w:left w:val="nil"/>
              <w:bottom w:val="single" w:sz="4" w:space="0" w:color="auto"/>
              <w:right w:val="single" w:sz="4" w:space="0" w:color="auto"/>
            </w:tcBorders>
            <w:shd w:val="clear" w:color="auto" w:fill="auto"/>
            <w:noWrap/>
            <w:vAlign w:val="bottom"/>
            <w:hideMark/>
          </w:tcPr>
          <w:p w14:paraId="7E8340B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6.197</w:t>
            </w:r>
          </w:p>
        </w:tc>
        <w:tc>
          <w:tcPr>
            <w:tcW w:w="858" w:type="dxa"/>
            <w:tcBorders>
              <w:top w:val="nil"/>
              <w:left w:val="nil"/>
              <w:bottom w:val="single" w:sz="4" w:space="0" w:color="auto"/>
              <w:right w:val="single" w:sz="4" w:space="0" w:color="auto"/>
            </w:tcBorders>
            <w:shd w:val="clear" w:color="auto" w:fill="auto"/>
            <w:noWrap/>
            <w:vAlign w:val="bottom"/>
            <w:hideMark/>
          </w:tcPr>
          <w:p w14:paraId="0C55B3E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3,41</w:t>
            </w:r>
          </w:p>
        </w:tc>
        <w:tc>
          <w:tcPr>
            <w:tcW w:w="1095" w:type="dxa"/>
            <w:tcBorders>
              <w:top w:val="nil"/>
              <w:left w:val="nil"/>
              <w:bottom w:val="single" w:sz="4" w:space="0" w:color="auto"/>
              <w:right w:val="single" w:sz="4" w:space="0" w:color="auto"/>
            </w:tcBorders>
            <w:shd w:val="clear" w:color="auto" w:fill="auto"/>
            <w:noWrap/>
            <w:vAlign w:val="bottom"/>
            <w:hideMark/>
          </w:tcPr>
          <w:p w14:paraId="4EE434A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1.817,30</w:t>
            </w:r>
          </w:p>
        </w:tc>
        <w:tc>
          <w:tcPr>
            <w:tcW w:w="1169" w:type="dxa"/>
            <w:tcBorders>
              <w:top w:val="nil"/>
              <w:left w:val="nil"/>
              <w:bottom w:val="single" w:sz="4" w:space="0" w:color="auto"/>
              <w:right w:val="single" w:sz="4" w:space="0" w:color="auto"/>
            </w:tcBorders>
            <w:shd w:val="clear" w:color="auto" w:fill="auto"/>
            <w:noWrap/>
            <w:vAlign w:val="bottom"/>
            <w:hideMark/>
          </w:tcPr>
          <w:p w14:paraId="23C5F02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70,06</w:t>
            </w:r>
          </w:p>
        </w:tc>
        <w:tc>
          <w:tcPr>
            <w:tcW w:w="1127" w:type="dxa"/>
            <w:tcBorders>
              <w:top w:val="nil"/>
              <w:left w:val="nil"/>
              <w:bottom w:val="single" w:sz="4" w:space="0" w:color="auto"/>
              <w:right w:val="single" w:sz="4" w:space="0" w:color="auto"/>
            </w:tcBorders>
            <w:shd w:val="clear" w:color="auto" w:fill="auto"/>
            <w:noWrap/>
            <w:vAlign w:val="bottom"/>
            <w:hideMark/>
          </w:tcPr>
          <w:p w14:paraId="7B9A9BB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7554F1B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1,46</w:t>
            </w:r>
          </w:p>
        </w:tc>
        <w:tc>
          <w:tcPr>
            <w:tcW w:w="1063" w:type="dxa"/>
            <w:tcBorders>
              <w:top w:val="nil"/>
              <w:left w:val="nil"/>
              <w:bottom w:val="single" w:sz="4" w:space="0" w:color="auto"/>
              <w:right w:val="single" w:sz="4" w:space="0" w:color="auto"/>
            </w:tcBorders>
            <w:shd w:val="clear" w:color="auto" w:fill="auto"/>
            <w:noWrap/>
            <w:vAlign w:val="bottom"/>
            <w:hideMark/>
          </w:tcPr>
          <w:p w14:paraId="56C97D0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ACD5786"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40655C96"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A9EC81" w14:textId="77777777" w:rsidR="00FE461F" w:rsidRPr="005E4BEA" w:rsidRDefault="00FE461F" w:rsidP="00FE461F">
            <w:pPr>
              <w:spacing w:line="240" w:lineRule="auto"/>
              <w:rPr>
                <w:rFonts w:cs="Arial"/>
                <w:color w:val="000000"/>
                <w:szCs w:val="20"/>
              </w:rPr>
            </w:pPr>
            <w:r w:rsidRPr="005E4BEA">
              <w:rPr>
                <w:rFonts w:cs="Arial"/>
                <w:color w:val="000000"/>
                <w:szCs w:val="20"/>
              </w:rPr>
              <w:t>Žalec</w:t>
            </w:r>
          </w:p>
        </w:tc>
        <w:tc>
          <w:tcPr>
            <w:tcW w:w="1222" w:type="dxa"/>
            <w:tcBorders>
              <w:top w:val="nil"/>
              <w:left w:val="nil"/>
              <w:bottom w:val="single" w:sz="4" w:space="0" w:color="auto"/>
              <w:right w:val="single" w:sz="4" w:space="0" w:color="auto"/>
            </w:tcBorders>
            <w:shd w:val="clear" w:color="auto" w:fill="auto"/>
            <w:noWrap/>
            <w:vAlign w:val="bottom"/>
            <w:hideMark/>
          </w:tcPr>
          <w:p w14:paraId="21E2F9C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8.331</w:t>
            </w:r>
          </w:p>
        </w:tc>
        <w:tc>
          <w:tcPr>
            <w:tcW w:w="858" w:type="dxa"/>
            <w:tcBorders>
              <w:top w:val="nil"/>
              <w:left w:val="nil"/>
              <w:bottom w:val="single" w:sz="4" w:space="0" w:color="auto"/>
              <w:right w:val="single" w:sz="4" w:space="0" w:color="auto"/>
            </w:tcBorders>
            <w:shd w:val="clear" w:color="auto" w:fill="auto"/>
            <w:noWrap/>
            <w:vAlign w:val="bottom"/>
            <w:hideMark/>
          </w:tcPr>
          <w:p w14:paraId="1B94AA1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4,75</w:t>
            </w:r>
          </w:p>
        </w:tc>
        <w:tc>
          <w:tcPr>
            <w:tcW w:w="1095" w:type="dxa"/>
            <w:tcBorders>
              <w:top w:val="nil"/>
              <w:left w:val="nil"/>
              <w:bottom w:val="single" w:sz="4" w:space="0" w:color="auto"/>
              <w:right w:val="single" w:sz="4" w:space="0" w:color="auto"/>
            </w:tcBorders>
            <w:shd w:val="clear" w:color="auto" w:fill="auto"/>
            <w:noWrap/>
            <w:vAlign w:val="bottom"/>
            <w:hideMark/>
          </w:tcPr>
          <w:p w14:paraId="314D548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1.753,89</w:t>
            </w:r>
          </w:p>
        </w:tc>
        <w:tc>
          <w:tcPr>
            <w:tcW w:w="1169" w:type="dxa"/>
            <w:tcBorders>
              <w:top w:val="nil"/>
              <w:left w:val="nil"/>
              <w:bottom w:val="single" w:sz="4" w:space="0" w:color="auto"/>
              <w:right w:val="single" w:sz="4" w:space="0" w:color="auto"/>
            </w:tcBorders>
            <w:shd w:val="clear" w:color="auto" w:fill="auto"/>
            <w:noWrap/>
            <w:vAlign w:val="bottom"/>
            <w:hideMark/>
          </w:tcPr>
          <w:p w14:paraId="7EB0664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72,59</w:t>
            </w:r>
          </w:p>
        </w:tc>
        <w:tc>
          <w:tcPr>
            <w:tcW w:w="1127" w:type="dxa"/>
            <w:tcBorders>
              <w:top w:val="nil"/>
              <w:left w:val="nil"/>
              <w:bottom w:val="single" w:sz="4" w:space="0" w:color="auto"/>
              <w:right w:val="single" w:sz="4" w:space="0" w:color="auto"/>
            </w:tcBorders>
            <w:shd w:val="clear" w:color="auto" w:fill="auto"/>
            <w:noWrap/>
            <w:vAlign w:val="bottom"/>
            <w:hideMark/>
          </w:tcPr>
          <w:p w14:paraId="50519F1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000000" w:fill="EDEDED"/>
            <w:noWrap/>
            <w:vAlign w:val="bottom"/>
            <w:hideMark/>
          </w:tcPr>
          <w:p w14:paraId="66503C3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1,79</w:t>
            </w:r>
          </w:p>
        </w:tc>
        <w:tc>
          <w:tcPr>
            <w:tcW w:w="1063" w:type="dxa"/>
            <w:tcBorders>
              <w:top w:val="nil"/>
              <w:left w:val="nil"/>
              <w:bottom w:val="single" w:sz="4" w:space="0" w:color="auto"/>
              <w:right w:val="single" w:sz="4" w:space="0" w:color="auto"/>
            </w:tcBorders>
            <w:shd w:val="clear" w:color="000000" w:fill="EDEDED"/>
            <w:noWrap/>
            <w:vAlign w:val="bottom"/>
            <w:hideMark/>
          </w:tcPr>
          <w:p w14:paraId="2F222F0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000000" w:fill="EDEDED"/>
            <w:noWrap/>
            <w:vAlign w:val="bottom"/>
            <w:hideMark/>
          </w:tcPr>
          <w:p w14:paraId="4D72990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0,09</w:t>
            </w:r>
          </w:p>
        </w:tc>
      </w:tr>
      <w:tr w:rsidR="00FE461F" w:rsidRPr="005E4BEA" w14:paraId="7CD8D2B8"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0B9DC56E"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KOPER</w:t>
            </w:r>
          </w:p>
        </w:tc>
        <w:tc>
          <w:tcPr>
            <w:tcW w:w="1222" w:type="dxa"/>
            <w:tcBorders>
              <w:top w:val="nil"/>
              <w:left w:val="nil"/>
              <w:bottom w:val="single" w:sz="4" w:space="0" w:color="auto"/>
              <w:right w:val="single" w:sz="4" w:space="0" w:color="auto"/>
            </w:tcBorders>
            <w:shd w:val="clear" w:color="000000" w:fill="FFFF99"/>
            <w:noWrap/>
            <w:vAlign w:val="bottom"/>
            <w:hideMark/>
          </w:tcPr>
          <w:p w14:paraId="3EABC5C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26.890,00</w:t>
            </w:r>
          </w:p>
        </w:tc>
        <w:tc>
          <w:tcPr>
            <w:tcW w:w="858" w:type="dxa"/>
            <w:tcBorders>
              <w:top w:val="nil"/>
              <w:left w:val="nil"/>
              <w:bottom w:val="single" w:sz="4" w:space="0" w:color="auto"/>
              <w:right w:val="single" w:sz="4" w:space="0" w:color="auto"/>
            </w:tcBorders>
            <w:shd w:val="clear" w:color="000000" w:fill="FFFF99"/>
            <w:noWrap/>
            <w:vAlign w:val="bottom"/>
            <w:hideMark/>
          </w:tcPr>
          <w:p w14:paraId="5ECE712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19,08</w:t>
            </w:r>
          </w:p>
        </w:tc>
        <w:tc>
          <w:tcPr>
            <w:tcW w:w="1095" w:type="dxa"/>
            <w:tcBorders>
              <w:top w:val="nil"/>
              <w:left w:val="nil"/>
              <w:bottom w:val="single" w:sz="4" w:space="0" w:color="auto"/>
              <w:right w:val="single" w:sz="4" w:space="0" w:color="auto"/>
            </w:tcBorders>
            <w:shd w:val="clear" w:color="000000" w:fill="FFFF99"/>
            <w:noWrap/>
            <w:vAlign w:val="bottom"/>
            <w:hideMark/>
          </w:tcPr>
          <w:p w14:paraId="30D8B30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1.409,33</w:t>
            </w:r>
          </w:p>
        </w:tc>
        <w:tc>
          <w:tcPr>
            <w:tcW w:w="1169" w:type="dxa"/>
            <w:tcBorders>
              <w:top w:val="nil"/>
              <w:left w:val="nil"/>
              <w:bottom w:val="single" w:sz="4" w:space="0" w:color="auto"/>
              <w:right w:val="single" w:sz="4" w:space="0" w:color="auto"/>
            </w:tcBorders>
            <w:shd w:val="clear" w:color="000000" w:fill="FFFF99"/>
            <w:noWrap/>
            <w:vAlign w:val="bottom"/>
            <w:hideMark/>
          </w:tcPr>
          <w:p w14:paraId="0459BC3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90,34</w:t>
            </w:r>
          </w:p>
        </w:tc>
        <w:tc>
          <w:tcPr>
            <w:tcW w:w="1127" w:type="dxa"/>
            <w:tcBorders>
              <w:top w:val="nil"/>
              <w:left w:val="nil"/>
              <w:bottom w:val="single" w:sz="4" w:space="0" w:color="auto"/>
              <w:right w:val="single" w:sz="4" w:space="0" w:color="auto"/>
            </w:tcBorders>
            <w:shd w:val="clear" w:color="000000" w:fill="FFFF99"/>
            <w:noWrap/>
            <w:vAlign w:val="bottom"/>
            <w:hideMark/>
          </w:tcPr>
          <w:p w14:paraId="0195355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542BEB0C"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33E51E2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77C28798"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5E77134D"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518CA77" w14:textId="77777777" w:rsidR="00FE461F" w:rsidRPr="005E4BEA" w:rsidRDefault="00FE461F" w:rsidP="00FE461F">
            <w:pPr>
              <w:spacing w:line="240" w:lineRule="auto"/>
              <w:rPr>
                <w:rFonts w:cs="Arial"/>
                <w:color w:val="000000"/>
                <w:szCs w:val="20"/>
              </w:rPr>
            </w:pPr>
            <w:r w:rsidRPr="005E4BEA">
              <w:rPr>
                <w:rFonts w:cs="Arial"/>
                <w:color w:val="000000"/>
                <w:szCs w:val="20"/>
              </w:rPr>
              <w:t>Koper</w:t>
            </w:r>
          </w:p>
        </w:tc>
        <w:tc>
          <w:tcPr>
            <w:tcW w:w="1222" w:type="dxa"/>
            <w:tcBorders>
              <w:top w:val="nil"/>
              <w:left w:val="nil"/>
              <w:bottom w:val="single" w:sz="4" w:space="0" w:color="auto"/>
              <w:right w:val="single" w:sz="4" w:space="0" w:color="auto"/>
            </w:tcBorders>
            <w:shd w:val="clear" w:color="auto" w:fill="auto"/>
            <w:noWrap/>
            <w:vAlign w:val="bottom"/>
            <w:hideMark/>
          </w:tcPr>
          <w:p w14:paraId="431C072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10.020</w:t>
            </w:r>
          </w:p>
        </w:tc>
        <w:tc>
          <w:tcPr>
            <w:tcW w:w="858" w:type="dxa"/>
            <w:tcBorders>
              <w:top w:val="nil"/>
              <w:left w:val="nil"/>
              <w:bottom w:val="single" w:sz="4" w:space="0" w:color="auto"/>
              <w:right w:val="single" w:sz="4" w:space="0" w:color="auto"/>
            </w:tcBorders>
            <w:shd w:val="clear" w:color="auto" w:fill="auto"/>
            <w:noWrap/>
            <w:vAlign w:val="bottom"/>
            <w:hideMark/>
          </w:tcPr>
          <w:p w14:paraId="254C424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6,00</w:t>
            </w:r>
          </w:p>
        </w:tc>
        <w:tc>
          <w:tcPr>
            <w:tcW w:w="1095" w:type="dxa"/>
            <w:tcBorders>
              <w:top w:val="nil"/>
              <w:left w:val="nil"/>
              <w:bottom w:val="single" w:sz="4" w:space="0" w:color="auto"/>
              <w:right w:val="single" w:sz="4" w:space="0" w:color="auto"/>
            </w:tcBorders>
            <w:shd w:val="clear" w:color="auto" w:fill="auto"/>
            <w:noWrap/>
            <w:vAlign w:val="bottom"/>
            <w:hideMark/>
          </w:tcPr>
          <w:p w14:paraId="7997A47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1.670,00</w:t>
            </w:r>
          </w:p>
        </w:tc>
        <w:tc>
          <w:tcPr>
            <w:tcW w:w="1169" w:type="dxa"/>
            <w:tcBorders>
              <w:top w:val="nil"/>
              <w:left w:val="nil"/>
              <w:bottom w:val="single" w:sz="4" w:space="0" w:color="auto"/>
              <w:right w:val="single" w:sz="4" w:space="0" w:color="auto"/>
            </w:tcBorders>
            <w:shd w:val="clear" w:color="auto" w:fill="auto"/>
            <w:noWrap/>
            <w:vAlign w:val="bottom"/>
            <w:hideMark/>
          </w:tcPr>
          <w:p w14:paraId="498C463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76,24</w:t>
            </w:r>
          </w:p>
        </w:tc>
        <w:tc>
          <w:tcPr>
            <w:tcW w:w="1127" w:type="dxa"/>
            <w:tcBorders>
              <w:top w:val="nil"/>
              <w:left w:val="nil"/>
              <w:bottom w:val="single" w:sz="4" w:space="0" w:color="auto"/>
              <w:right w:val="single" w:sz="4" w:space="0" w:color="auto"/>
            </w:tcBorders>
            <w:shd w:val="clear" w:color="auto" w:fill="auto"/>
            <w:noWrap/>
            <w:vAlign w:val="bottom"/>
            <w:hideMark/>
          </w:tcPr>
          <w:p w14:paraId="256D6FB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000000" w:fill="EDEDED"/>
            <w:noWrap/>
            <w:vAlign w:val="bottom"/>
            <w:hideMark/>
          </w:tcPr>
          <w:p w14:paraId="72627B0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1,87</w:t>
            </w:r>
          </w:p>
        </w:tc>
        <w:tc>
          <w:tcPr>
            <w:tcW w:w="1063" w:type="dxa"/>
            <w:tcBorders>
              <w:top w:val="nil"/>
              <w:left w:val="nil"/>
              <w:bottom w:val="single" w:sz="4" w:space="0" w:color="auto"/>
              <w:right w:val="single" w:sz="4" w:space="0" w:color="auto"/>
            </w:tcBorders>
            <w:shd w:val="clear" w:color="000000" w:fill="EDEDED"/>
            <w:noWrap/>
            <w:vAlign w:val="bottom"/>
            <w:hideMark/>
          </w:tcPr>
          <w:p w14:paraId="47163E9D"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000000" w:fill="EDEDED"/>
            <w:noWrap/>
            <w:vAlign w:val="bottom"/>
            <w:hideMark/>
          </w:tcPr>
          <w:p w14:paraId="3B6CF81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0,3</w:t>
            </w:r>
          </w:p>
        </w:tc>
      </w:tr>
      <w:tr w:rsidR="00FE461F" w:rsidRPr="005E4BEA" w14:paraId="1A5BC0D9"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192C559B" w14:textId="77777777" w:rsidR="00FE461F" w:rsidRPr="005E4BEA" w:rsidRDefault="00FE461F" w:rsidP="00FE461F">
            <w:pPr>
              <w:spacing w:line="240" w:lineRule="auto"/>
              <w:rPr>
                <w:rFonts w:cs="Arial"/>
                <w:color w:val="000000"/>
                <w:szCs w:val="20"/>
              </w:rPr>
            </w:pPr>
            <w:r w:rsidRPr="005E4BEA">
              <w:rPr>
                <w:rFonts w:cs="Arial"/>
                <w:color w:val="000000"/>
                <w:szCs w:val="20"/>
              </w:rPr>
              <w:t>Ilirska Bistrica</w:t>
            </w:r>
          </w:p>
        </w:tc>
        <w:tc>
          <w:tcPr>
            <w:tcW w:w="1222" w:type="dxa"/>
            <w:tcBorders>
              <w:top w:val="nil"/>
              <w:left w:val="nil"/>
              <w:bottom w:val="single" w:sz="4" w:space="0" w:color="auto"/>
              <w:right w:val="single" w:sz="4" w:space="0" w:color="auto"/>
            </w:tcBorders>
            <w:shd w:val="clear" w:color="000000" w:fill="FFFFFF"/>
            <w:noWrap/>
            <w:vAlign w:val="bottom"/>
            <w:hideMark/>
          </w:tcPr>
          <w:p w14:paraId="54DCCC9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2.223</w:t>
            </w:r>
          </w:p>
        </w:tc>
        <w:tc>
          <w:tcPr>
            <w:tcW w:w="858" w:type="dxa"/>
            <w:tcBorders>
              <w:top w:val="nil"/>
              <w:left w:val="nil"/>
              <w:bottom w:val="single" w:sz="4" w:space="0" w:color="auto"/>
              <w:right w:val="single" w:sz="4" w:space="0" w:color="auto"/>
            </w:tcBorders>
            <w:shd w:val="clear" w:color="auto" w:fill="auto"/>
            <w:noWrap/>
            <w:vAlign w:val="bottom"/>
            <w:hideMark/>
          </w:tcPr>
          <w:p w14:paraId="35A26A7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2,10</w:t>
            </w:r>
          </w:p>
        </w:tc>
        <w:tc>
          <w:tcPr>
            <w:tcW w:w="1095" w:type="dxa"/>
            <w:tcBorders>
              <w:top w:val="nil"/>
              <w:left w:val="nil"/>
              <w:bottom w:val="single" w:sz="4" w:space="0" w:color="auto"/>
              <w:right w:val="single" w:sz="4" w:space="0" w:color="auto"/>
            </w:tcBorders>
            <w:shd w:val="clear" w:color="auto" w:fill="auto"/>
            <w:noWrap/>
            <w:vAlign w:val="bottom"/>
            <w:hideMark/>
          </w:tcPr>
          <w:p w14:paraId="32DA4ED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1.058,57</w:t>
            </w:r>
          </w:p>
        </w:tc>
        <w:tc>
          <w:tcPr>
            <w:tcW w:w="1169" w:type="dxa"/>
            <w:tcBorders>
              <w:top w:val="nil"/>
              <w:left w:val="nil"/>
              <w:bottom w:val="single" w:sz="4" w:space="0" w:color="auto"/>
              <w:right w:val="single" w:sz="4" w:space="0" w:color="auto"/>
            </w:tcBorders>
            <w:shd w:val="clear" w:color="auto" w:fill="auto"/>
            <w:noWrap/>
            <w:vAlign w:val="bottom"/>
            <w:hideMark/>
          </w:tcPr>
          <w:p w14:paraId="7C1037A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120,27</w:t>
            </w:r>
          </w:p>
        </w:tc>
        <w:tc>
          <w:tcPr>
            <w:tcW w:w="1127" w:type="dxa"/>
            <w:tcBorders>
              <w:top w:val="nil"/>
              <w:left w:val="nil"/>
              <w:bottom w:val="single" w:sz="4" w:space="0" w:color="auto"/>
              <w:right w:val="single" w:sz="4" w:space="0" w:color="auto"/>
            </w:tcBorders>
            <w:shd w:val="clear" w:color="auto" w:fill="auto"/>
            <w:noWrap/>
            <w:vAlign w:val="bottom"/>
            <w:hideMark/>
          </w:tcPr>
          <w:p w14:paraId="15339A1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77AB6CF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67F852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6523680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0,19</w:t>
            </w:r>
          </w:p>
        </w:tc>
      </w:tr>
      <w:tr w:rsidR="00FE461F" w:rsidRPr="005E4BEA" w14:paraId="3F426487" w14:textId="77777777" w:rsidTr="00BE5D1E">
        <w:trPr>
          <w:trHeight w:val="44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D01FD8D" w14:textId="77777777" w:rsidR="00FE461F" w:rsidRPr="005E4BEA" w:rsidRDefault="00FE461F" w:rsidP="00FE461F">
            <w:pPr>
              <w:spacing w:line="240" w:lineRule="auto"/>
              <w:rPr>
                <w:rFonts w:cs="Arial"/>
                <w:color w:val="000000"/>
                <w:szCs w:val="20"/>
              </w:rPr>
            </w:pPr>
            <w:r w:rsidRPr="005E4BEA">
              <w:rPr>
                <w:rFonts w:cs="Arial"/>
                <w:color w:val="000000"/>
                <w:szCs w:val="20"/>
              </w:rPr>
              <w:t>Izola</w:t>
            </w:r>
          </w:p>
        </w:tc>
        <w:tc>
          <w:tcPr>
            <w:tcW w:w="1222" w:type="dxa"/>
            <w:tcBorders>
              <w:top w:val="nil"/>
              <w:left w:val="nil"/>
              <w:bottom w:val="single" w:sz="4" w:space="0" w:color="auto"/>
              <w:right w:val="single" w:sz="4" w:space="0" w:color="auto"/>
            </w:tcBorders>
            <w:shd w:val="clear" w:color="000000" w:fill="FFFFFF"/>
            <w:noWrap/>
            <w:vAlign w:val="bottom"/>
            <w:hideMark/>
          </w:tcPr>
          <w:p w14:paraId="6068F75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2.893</w:t>
            </w:r>
          </w:p>
        </w:tc>
        <w:tc>
          <w:tcPr>
            <w:tcW w:w="858" w:type="dxa"/>
            <w:tcBorders>
              <w:top w:val="nil"/>
              <w:left w:val="nil"/>
              <w:bottom w:val="single" w:sz="4" w:space="0" w:color="auto"/>
              <w:right w:val="single" w:sz="4" w:space="0" w:color="auto"/>
            </w:tcBorders>
            <w:shd w:val="clear" w:color="auto" w:fill="auto"/>
            <w:noWrap/>
            <w:vAlign w:val="bottom"/>
            <w:hideMark/>
          </w:tcPr>
          <w:p w14:paraId="35E4CA4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2,05</w:t>
            </w:r>
          </w:p>
        </w:tc>
        <w:tc>
          <w:tcPr>
            <w:tcW w:w="1095" w:type="dxa"/>
            <w:tcBorders>
              <w:top w:val="nil"/>
              <w:left w:val="nil"/>
              <w:bottom w:val="single" w:sz="4" w:space="0" w:color="auto"/>
              <w:right w:val="single" w:sz="4" w:space="0" w:color="auto"/>
            </w:tcBorders>
            <w:shd w:val="clear" w:color="auto" w:fill="auto"/>
            <w:noWrap/>
            <w:vAlign w:val="bottom"/>
            <w:hideMark/>
          </w:tcPr>
          <w:p w14:paraId="252FBB5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1.411,22</w:t>
            </w:r>
          </w:p>
        </w:tc>
        <w:tc>
          <w:tcPr>
            <w:tcW w:w="1169" w:type="dxa"/>
            <w:tcBorders>
              <w:top w:val="nil"/>
              <w:left w:val="nil"/>
              <w:bottom w:val="single" w:sz="4" w:space="0" w:color="auto"/>
              <w:right w:val="single" w:sz="4" w:space="0" w:color="auto"/>
            </w:tcBorders>
            <w:shd w:val="clear" w:color="auto" w:fill="auto"/>
            <w:noWrap/>
            <w:vAlign w:val="bottom"/>
            <w:hideMark/>
          </w:tcPr>
          <w:p w14:paraId="3332B40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90,22</w:t>
            </w:r>
          </w:p>
        </w:tc>
        <w:tc>
          <w:tcPr>
            <w:tcW w:w="1127" w:type="dxa"/>
            <w:tcBorders>
              <w:top w:val="nil"/>
              <w:left w:val="nil"/>
              <w:bottom w:val="single" w:sz="4" w:space="0" w:color="auto"/>
              <w:right w:val="single" w:sz="4" w:space="0" w:color="auto"/>
            </w:tcBorders>
            <w:shd w:val="clear" w:color="auto" w:fill="auto"/>
            <w:noWrap/>
            <w:vAlign w:val="bottom"/>
            <w:hideMark/>
          </w:tcPr>
          <w:p w14:paraId="3B31259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677C02C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B833582"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3A86BF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1469763E"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711776AB" w14:textId="77777777" w:rsidR="00FE461F" w:rsidRPr="005E4BEA" w:rsidRDefault="00FE461F" w:rsidP="00FE461F">
            <w:pPr>
              <w:spacing w:line="240" w:lineRule="auto"/>
              <w:rPr>
                <w:rFonts w:cs="Arial"/>
                <w:color w:val="000000"/>
                <w:szCs w:val="20"/>
              </w:rPr>
            </w:pPr>
            <w:r w:rsidRPr="005E4BEA">
              <w:rPr>
                <w:rFonts w:cs="Arial"/>
                <w:color w:val="000000"/>
                <w:szCs w:val="20"/>
              </w:rPr>
              <w:t>Piran</w:t>
            </w:r>
          </w:p>
        </w:tc>
        <w:tc>
          <w:tcPr>
            <w:tcW w:w="1222" w:type="dxa"/>
            <w:tcBorders>
              <w:top w:val="nil"/>
              <w:left w:val="nil"/>
              <w:bottom w:val="single" w:sz="4" w:space="0" w:color="auto"/>
              <w:right w:val="single" w:sz="4" w:space="0" w:color="auto"/>
            </w:tcBorders>
            <w:shd w:val="clear" w:color="000000" w:fill="FFFFFF"/>
            <w:noWrap/>
            <w:vAlign w:val="bottom"/>
            <w:hideMark/>
          </w:tcPr>
          <w:p w14:paraId="2C305FF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2.585</w:t>
            </w:r>
          </w:p>
        </w:tc>
        <w:tc>
          <w:tcPr>
            <w:tcW w:w="858" w:type="dxa"/>
            <w:tcBorders>
              <w:top w:val="nil"/>
              <w:left w:val="nil"/>
              <w:bottom w:val="single" w:sz="4" w:space="0" w:color="auto"/>
              <w:right w:val="single" w:sz="4" w:space="0" w:color="auto"/>
            </w:tcBorders>
            <w:shd w:val="clear" w:color="auto" w:fill="auto"/>
            <w:noWrap/>
            <w:vAlign w:val="bottom"/>
            <w:hideMark/>
          </w:tcPr>
          <w:p w14:paraId="56DEDC5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2,88</w:t>
            </w:r>
          </w:p>
        </w:tc>
        <w:tc>
          <w:tcPr>
            <w:tcW w:w="1095" w:type="dxa"/>
            <w:tcBorders>
              <w:top w:val="nil"/>
              <w:left w:val="nil"/>
              <w:bottom w:val="single" w:sz="4" w:space="0" w:color="auto"/>
              <w:right w:val="single" w:sz="4" w:space="0" w:color="auto"/>
            </w:tcBorders>
            <w:shd w:val="clear" w:color="auto" w:fill="auto"/>
            <w:noWrap/>
            <w:vAlign w:val="bottom"/>
            <w:hideMark/>
          </w:tcPr>
          <w:p w14:paraId="3EB83D1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897,57</w:t>
            </w:r>
          </w:p>
        </w:tc>
        <w:tc>
          <w:tcPr>
            <w:tcW w:w="1169" w:type="dxa"/>
            <w:tcBorders>
              <w:top w:val="nil"/>
              <w:left w:val="nil"/>
              <w:bottom w:val="single" w:sz="4" w:space="0" w:color="auto"/>
              <w:right w:val="single" w:sz="4" w:space="0" w:color="auto"/>
            </w:tcBorders>
            <w:shd w:val="clear" w:color="auto" w:fill="auto"/>
            <w:noWrap/>
            <w:vAlign w:val="bottom"/>
            <w:hideMark/>
          </w:tcPr>
          <w:p w14:paraId="3D0B7CE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141,85</w:t>
            </w:r>
          </w:p>
        </w:tc>
        <w:tc>
          <w:tcPr>
            <w:tcW w:w="1127" w:type="dxa"/>
            <w:tcBorders>
              <w:top w:val="nil"/>
              <w:left w:val="nil"/>
              <w:bottom w:val="single" w:sz="4" w:space="0" w:color="auto"/>
              <w:right w:val="single" w:sz="4" w:space="0" w:color="auto"/>
            </w:tcBorders>
            <w:shd w:val="clear" w:color="auto" w:fill="auto"/>
            <w:noWrap/>
            <w:vAlign w:val="bottom"/>
            <w:hideMark/>
          </w:tcPr>
          <w:p w14:paraId="7CC2BD6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55E9B17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14A55B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BC5F58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7424EF6"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2CE9F5F7" w14:textId="77777777" w:rsidR="00FE461F" w:rsidRPr="005E4BEA" w:rsidRDefault="00FE461F" w:rsidP="00FE461F">
            <w:pPr>
              <w:spacing w:line="240" w:lineRule="auto"/>
              <w:rPr>
                <w:rFonts w:cs="Arial"/>
                <w:color w:val="000000"/>
                <w:szCs w:val="20"/>
              </w:rPr>
            </w:pPr>
            <w:r w:rsidRPr="005E4BEA">
              <w:rPr>
                <w:rFonts w:cs="Arial"/>
                <w:color w:val="000000"/>
                <w:szCs w:val="20"/>
              </w:rPr>
              <w:t>Postojna</w:t>
            </w:r>
          </w:p>
        </w:tc>
        <w:tc>
          <w:tcPr>
            <w:tcW w:w="1222" w:type="dxa"/>
            <w:tcBorders>
              <w:top w:val="nil"/>
              <w:left w:val="nil"/>
              <w:bottom w:val="single" w:sz="4" w:space="0" w:color="auto"/>
              <w:right w:val="single" w:sz="4" w:space="0" w:color="auto"/>
            </w:tcBorders>
            <w:shd w:val="clear" w:color="000000" w:fill="FFFFFF"/>
            <w:noWrap/>
            <w:vAlign w:val="bottom"/>
            <w:hideMark/>
          </w:tcPr>
          <w:p w14:paraId="268DC0D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4.637</w:t>
            </w:r>
          </w:p>
        </w:tc>
        <w:tc>
          <w:tcPr>
            <w:tcW w:w="858" w:type="dxa"/>
            <w:tcBorders>
              <w:top w:val="nil"/>
              <w:left w:val="nil"/>
              <w:bottom w:val="single" w:sz="4" w:space="0" w:color="auto"/>
              <w:right w:val="single" w:sz="4" w:space="0" w:color="auto"/>
            </w:tcBorders>
            <w:shd w:val="clear" w:color="auto" w:fill="auto"/>
            <w:noWrap/>
            <w:vAlign w:val="bottom"/>
            <w:hideMark/>
          </w:tcPr>
          <w:p w14:paraId="272C9BF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3,00</w:t>
            </w:r>
          </w:p>
        </w:tc>
        <w:tc>
          <w:tcPr>
            <w:tcW w:w="1095" w:type="dxa"/>
            <w:tcBorders>
              <w:top w:val="nil"/>
              <w:left w:val="nil"/>
              <w:bottom w:val="single" w:sz="4" w:space="0" w:color="auto"/>
              <w:right w:val="single" w:sz="4" w:space="0" w:color="auto"/>
            </w:tcBorders>
            <w:shd w:val="clear" w:color="auto" w:fill="auto"/>
            <w:noWrap/>
            <w:vAlign w:val="bottom"/>
            <w:hideMark/>
          </w:tcPr>
          <w:p w14:paraId="756915D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1.545,67</w:t>
            </w:r>
          </w:p>
        </w:tc>
        <w:tc>
          <w:tcPr>
            <w:tcW w:w="1169" w:type="dxa"/>
            <w:tcBorders>
              <w:top w:val="nil"/>
              <w:left w:val="nil"/>
              <w:bottom w:val="single" w:sz="4" w:space="0" w:color="auto"/>
              <w:right w:val="single" w:sz="4" w:space="0" w:color="auto"/>
            </w:tcBorders>
            <w:shd w:val="clear" w:color="auto" w:fill="auto"/>
            <w:noWrap/>
            <w:vAlign w:val="bottom"/>
            <w:hideMark/>
          </w:tcPr>
          <w:p w14:paraId="5B786C0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82,37</w:t>
            </w:r>
          </w:p>
        </w:tc>
        <w:tc>
          <w:tcPr>
            <w:tcW w:w="1127" w:type="dxa"/>
            <w:tcBorders>
              <w:top w:val="nil"/>
              <w:left w:val="nil"/>
              <w:bottom w:val="single" w:sz="4" w:space="0" w:color="auto"/>
              <w:right w:val="single" w:sz="4" w:space="0" w:color="auto"/>
            </w:tcBorders>
            <w:shd w:val="clear" w:color="auto" w:fill="auto"/>
            <w:noWrap/>
            <w:vAlign w:val="bottom"/>
            <w:hideMark/>
          </w:tcPr>
          <w:p w14:paraId="35D6302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750109B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3DDFC3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621518D"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34ECD80"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05DC0AD0" w14:textId="77777777" w:rsidR="00FE461F" w:rsidRPr="005E4BEA" w:rsidRDefault="00FE461F" w:rsidP="00FE461F">
            <w:pPr>
              <w:spacing w:line="240" w:lineRule="auto"/>
              <w:rPr>
                <w:rFonts w:cs="Arial"/>
                <w:color w:val="000000"/>
                <w:szCs w:val="20"/>
              </w:rPr>
            </w:pPr>
            <w:r w:rsidRPr="005E4BEA">
              <w:rPr>
                <w:rFonts w:cs="Arial"/>
                <w:color w:val="000000"/>
                <w:szCs w:val="20"/>
              </w:rPr>
              <w:t>Sežana</w:t>
            </w:r>
          </w:p>
        </w:tc>
        <w:tc>
          <w:tcPr>
            <w:tcW w:w="1222" w:type="dxa"/>
            <w:tcBorders>
              <w:top w:val="nil"/>
              <w:left w:val="nil"/>
              <w:bottom w:val="single" w:sz="4" w:space="0" w:color="auto"/>
              <w:right w:val="single" w:sz="4" w:space="0" w:color="auto"/>
            </w:tcBorders>
            <w:shd w:val="clear" w:color="000000" w:fill="FFFFFF"/>
            <w:noWrap/>
            <w:vAlign w:val="bottom"/>
            <w:hideMark/>
          </w:tcPr>
          <w:p w14:paraId="6597801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4.532</w:t>
            </w:r>
          </w:p>
        </w:tc>
        <w:tc>
          <w:tcPr>
            <w:tcW w:w="858" w:type="dxa"/>
            <w:tcBorders>
              <w:top w:val="nil"/>
              <w:left w:val="nil"/>
              <w:bottom w:val="single" w:sz="4" w:space="0" w:color="auto"/>
              <w:right w:val="single" w:sz="4" w:space="0" w:color="auto"/>
            </w:tcBorders>
            <w:shd w:val="clear" w:color="auto" w:fill="auto"/>
            <w:noWrap/>
            <w:vAlign w:val="bottom"/>
            <w:hideMark/>
          </w:tcPr>
          <w:p w14:paraId="0018CFF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3,05</w:t>
            </w:r>
          </w:p>
        </w:tc>
        <w:tc>
          <w:tcPr>
            <w:tcW w:w="1095" w:type="dxa"/>
            <w:tcBorders>
              <w:top w:val="nil"/>
              <w:left w:val="nil"/>
              <w:bottom w:val="single" w:sz="4" w:space="0" w:color="auto"/>
              <w:right w:val="single" w:sz="4" w:space="0" w:color="auto"/>
            </w:tcBorders>
            <w:shd w:val="clear" w:color="auto" w:fill="auto"/>
            <w:noWrap/>
            <w:vAlign w:val="bottom"/>
            <w:hideMark/>
          </w:tcPr>
          <w:p w14:paraId="52EFDF2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1.485,90</w:t>
            </w:r>
          </w:p>
        </w:tc>
        <w:tc>
          <w:tcPr>
            <w:tcW w:w="1169" w:type="dxa"/>
            <w:tcBorders>
              <w:top w:val="nil"/>
              <w:left w:val="nil"/>
              <w:bottom w:val="single" w:sz="4" w:space="0" w:color="auto"/>
              <w:right w:val="single" w:sz="4" w:space="0" w:color="auto"/>
            </w:tcBorders>
            <w:shd w:val="clear" w:color="auto" w:fill="auto"/>
            <w:noWrap/>
            <w:vAlign w:val="bottom"/>
            <w:hideMark/>
          </w:tcPr>
          <w:p w14:paraId="57507E2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85,68</w:t>
            </w:r>
          </w:p>
        </w:tc>
        <w:tc>
          <w:tcPr>
            <w:tcW w:w="1127" w:type="dxa"/>
            <w:tcBorders>
              <w:top w:val="nil"/>
              <w:left w:val="nil"/>
              <w:bottom w:val="single" w:sz="4" w:space="0" w:color="auto"/>
              <w:right w:val="single" w:sz="4" w:space="0" w:color="auto"/>
            </w:tcBorders>
            <w:shd w:val="clear" w:color="auto" w:fill="auto"/>
            <w:noWrap/>
            <w:vAlign w:val="bottom"/>
            <w:hideMark/>
          </w:tcPr>
          <w:p w14:paraId="4604CBB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10785F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8AA485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7A51622"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2397D8DF"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712E7559"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KRŠKO</w:t>
            </w:r>
          </w:p>
        </w:tc>
        <w:tc>
          <w:tcPr>
            <w:tcW w:w="1222" w:type="dxa"/>
            <w:tcBorders>
              <w:top w:val="nil"/>
              <w:left w:val="nil"/>
              <w:bottom w:val="single" w:sz="4" w:space="0" w:color="auto"/>
              <w:right w:val="single" w:sz="4" w:space="0" w:color="auto"/>
            </w:tcBorders>
            <w:shd w:val="clear" w:color="000000" w:fill="FFFF99"/>
            <w:noWrap/>
            <w:vAlign w:val="bottom"/>
            <w:hideMark/>
          </w:tcPr>
          <w:p w14:paraId="1E58CCF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12.884,00</w:t>
            </w:r>
          </w:p>
        </w:tc>
        <w:tc>
          <w:tcPr>
            <w:tcW w:w="858" w:type="dxa"/>
            <w:tcBorders>
              <w:top w:val="nil"/>
              <w:left w:val="nil"/>
              <w:bottom w:val="single" w:sz="4" w:space="0" w:color="auto"/>
              <w:right w:val="single" w:sz="4" w:space="0" w:color="auto"/>
            </w:tcBorders>
            <w:shd w:val="clear" w:color="000000" w:fill="FFFF99"/>
            <w:noWrap/>
            <w:vAlign w:val="bottom"/>
            <w:hideMark/>
          </w:tcPr>
          <w:p w14:paraId="4FBC26D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10,45</w:t>
            </w:r>
          </w:p>
        </w:tc>
        <w:tc>
          <w:tcPr>
            <w:tcW w:w="1095" w:type="dxa"/>
            <w:tcBorders>
              <w:top w:val="nil"/>
              <w:left w:val="nil"/>
              <w:bottom w:val="single" w:sz="4" w:space="0" w:color="auto"/>
              <w:right w:val="single" w:sz="4" w:space="0" w:color="auto"/>
            </w:tcBorders>
            <w:shd w:val="clear" w:color="000000" w:fill="FFFF99"/>
            <w:noWrap/>
            <w:vAlign w:val="bottom"/>
            <w:hideMark/>
          </w:tcPr>
          <w:p w14:paraId="002A599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1.232,92</w:t>
            </w:r>
          </w:p>
        </w:tc>
        <w:tc>
          <w:tcPr>
            <w:tcW w:w="1169" w:type="dxa"/>
            <w:tcBorders>
              <w:top w:val="nil"/>
              <w:left w:val="nil"/>
              <w:bottom w:val="single" w:sz="4" w:space="0" w:color="auto"/>
              <w:right w:val="single" w:sz="4" w:space="0" w:color="auto"/>
            </w:tcBorders>
            <w:shd w:val="clear" w:color="000000" w:fill="FFFF99"/>
            <w:noWrap/>
            <w:vAlign w:val="bottom"/>
            <w:hideMark/>
          </w:tcPr>
          <w:p w14:paraId="73BC207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103,27</w:t>
            </w:r>
          </w:p>
        </w:tc>
        <w:tc>
          <w:tcPr>
            <w:tcW w:w="1127" w:type="dxa"/>
            <w:tcBorders>
              <w:top w:val="nil"/>
              <w:left w:val="nil"/>
              <w:bottom w:val="single" w:sz="4" w:space="0" w:color="auto"/>
              <w:right w:val="single" w:sz="4" w:space="0" w:color="auto"/>
            </w:tcBorders>
            <w:shd w:val="clear" w:color="000000" w:fill="FFFF99"/>
            <w:noWrap/>
            <w:vAlign w:val="bottom"/>
            <w:hideMark/>
          </w:tcPr>
          <w:p w14:paraId="133665ED"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28F0FE28"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4052FBD4"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4A93CFCD"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1378E3D7"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13679DFC" w14:textId="77777777" w:rsidR="00FE461F" w:rsidRPr="005E4BEA" w:rsidRDefault="00FE461F" w:rsidP="00FE461F">
            <w:pPr>
              <w:spacing w:line="240" w:lineRule="auto"/>
              <w:rPr>
                <w:rFonts w:cs="Arial"/>
                <w:color w:val="000000"/>
                <w:szCs w:val="20"/>
              </w:rPr>
            </w:pPr>
            <w:r w:rsidRPr="005E4BEA">
              <w:rPr>
                <w:rFonts w:cs="Arial"/>
                <w:color w:val="000000"/>
                <w:szCs w:val="20"/>
              </w:rPr>
              <w:t>Krško</w:t>
            </w:r>
          </w:p>
        </w:tc>
        <w:tc>
          <w:tcPr>
            <w:tcW w:w="1222" w:type="dxa"/>
            <w:tcBorders>
              <w:top w:val="nil"/>
              <w:left w:val="nil"/>
              <w:bottom w:val="single" w:sz="4" w:space="0" w:color="auto"/>
              <w:right w:val="single" w:sz="4" w:space="0" w:color="auto"/>
            </w:tcBorders>
            <w:shd w:val="clear" w:color="000000" w:fill="FFFFFF"/>
            <w:noWrap/>
            <w:vAlign w:val="bottom"/>
            <w:hideMark/>
          </w:tcPr>
          <w:p w14:paraId="09247E2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5.650</w:t>
            </w:r>
          </w:p>
        </w:tc>
        <w:tc>
          <w:tcPr>
            <w:tcW w:w="858" w:type="dxa"/>
            <w:tcBorders>
              <w:top w:val="nil"/>
              <w:left w:val="nil"/>
              <w:bottom w:val="single" w:sz="4" w:space="0" w:color="auto"/>
              <w:right w:val="single" w:sz="4" w:space="0" w:color="auto"/>
            </w:tcBorders>
            <w:shd w:val="clear" w:color="auto" w:fill="auto"/>
            <w:noWrap/>
            <w:vAlign w:val="bottom"/>
            <w:hideMark/>
          </w:tcPr>
          <w:p w14:paraId="58085B1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4,92</w:t>
            </w:r>
          </w:p>
        </w:tc>
        <w:tc>
          <w:tcPr>
            <w:tcW w:w="1095" w:type="dxa"/>
            <w:tcBorders>
              <w:top w:val="nil"/>
              <w:left w:val="nil"/>
              <w:bottom w:val="single" w:sz="4" w:space="0" w:color="auto"/>
              <w:right w:val="single" w:sz="4" w:space="0" w:color="auto"/>
            </w:tcBorders>
            <w:shd w:val="clear" w:color="auto" w:fill="auto"/>
            <w:noWrap/>
            <w:vAlign w:val="bottom"/>
            <w:hideMark/>
          </w:tcPr>
          <w:p w14:paraId="539B285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1.148,37</w:t>
            </w:r>
          </w:p>
        </w:tc>
        <w:tc>
          <w:tcPr>
            <w:tcW w:w="1169" w:type="dxa"/>
            <w:tcBorders>
              <w:top w:val="nil"/>
              <w:left w:val="nil"/>
              <w:bottom w:val="single" w:sz="4" w:space="0" w:color="auto"/>
              <w:right w:val="single" w:sz="4" w:space="0" w:color="auto"/>
            </w:tcBorders>
            <w:shd w:val="clear" w:color="auto" w:fill="auto"/>
            <w:noWrap/>
            <w:vAlign w:val="bottom"/>
            <w:hideMark/>
          </w:tcPr>
          <w:p w14:paraId="026696A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110,87</w:t>
            </w:r>
          </w:p>
        </w:tc>
        <w:tc>
          <w:tcPr>
            <w:tcW w:w="1127" w:type="dxa"/>
            <w:tcBorders>
              <w:top w:val="nil"/>
              <w:left w:val="nil"/>
              <w:bottom w:val="single" w:sz="4" w:space="0" w:color="auto"/>
              <w:right w:val="single" w:sz="4" w:space="0" w:color="auto"/>
            </w:tcBorders>
            <w:shd w:val="clear" w:color="auto" w:fill="auto"/>
            <w:noWrap/>
            <w:vAlign w:val="bottom"/>
            <w:hideMark/>
          </w:tcPr>
          <w:p w14:paraId="34AE355F"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1A4259E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E7FBBF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55B1D1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0,212</w:t>
            </w:r>
          </w:p>
        </w:tc>
      </w:tr>
      <w:tr w:rsidR="00FE461F" w:rsidRPr="005E4BEA" w14:paraId="6BF2C5B0"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1FC95DB7" w14:textId="77777777" w:rsidR="00FE461F" w:rsidRPr="005E4BEA" w:rsidRDefault="00FE461F" w:rsidP="00FE461F">
            <w:pPr>
              <w:spacing w:line="240" w:lineRule="auto"/>
              <w:rPr>
                <w:rFonts w:cs="Arial"/>
                <w:color w:val="000000"/>
                <w:szCs w:val="20"/>
              </w:rPr>
            </w:pPr>
            <w:r w:rsidRPr="005E4BEA">
              <w:rPr>
                <w:rFonts w:cs="Arial"/>
                <w:color w:val="000000"/>
                <w:szCs w:val="20"/>
              </w:rPr>
              <w:t>Brežice</w:t>
            </w:r>
          </w:p>
        </w:tc>
        <w:tc>
          <w:tcPr>
            <w:tcW w:w="1222" w:type="dxa"/>
            <w:tcBorders>
              <w:top w:val="nil"/>
              <w:left w:val="nil"/>
              <w:bottom w:val="single" w:sz="4" w:space="0" w:color="auto"/>
              <w:right w:val="single" w:sz="4" w:space="0" w:color="auto"/>
            </w:tcBorders>
            <w:shd w:val="clear" w:color="000000" w:fill="FFFFFF"/>
            <w:noWrap/>
            <w:vAlign w:val="bottom"/>
            <w:hideMark/>
          </w:tcPr>
          <w:p w14:paraId="0B1CE83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4.102</w:t>
            </w:r>
          </w:p>
        </w:tc>
        <w:tc>
          <w:tcPr>
            <w:tcW w:w="858" w:type="dxa"/>
            <w:tcBorders>
              <w:top w:val="nil"/>
              <w:left w:val="nil"/>
              <w:bottom w:val="single" w:sz="4" w:space="0" w:color="auto"/>
              <w:right w:val="single" w:sz="4" w:space="0" w:color="auto"/>
            </w:tcBorders>
            <w:shd w:val="clear" w:color="auto" w:fill="auto"/>
            <w:noWrap/>
            <w:vAlign w:val="bottom"/>
            <w:hideMark/>
          </w:tcPr>
          <w:p w14:paraId="6F0511F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3,27</w:t>
            </w:r>
          </w:p>
        </w:tc>
        <w:tc>
          <w:tcPr>
            <w:tcW w:w="1095" w:type="dxa"/>
            <w:tcBorders>
              <w:top w:val="nil"/>
              <w:left w:val="nil"/>
              <w:bottom w:val="single" w:sz="4" w:space="0" w:color="auto"/>
              <w:right w:val="single" w:sz="4" w:space="0" w:color="auto"/>
            </w:tcBorders>
            <w:shd w:val="clear" w:color="auto" w:fill="auto"/>
            <w:noWrap/>
            <w:vAlign w:val="bottom"/>
            <w:hideMark/>
          </w:tcPr>
          <w:p w14:paraId="308F335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1.254,43</w:t>
            </w:r>
          </w:p>
        </w:tc>
        <w:tc>
          <w:tcPr>
            <w:tcW w:w="1169" w:type="dxa"/>
            <w:tcBorders>
              <w:top w:val="nil"/>
              <w:left w:val="nil"/>
              <w:bottom w:val="single" w:sz="4" w:space="0" w:color="auto"/>
              <w:right w:val="single" w:sz="4" w:space="0" w:color="auto"/>
            </w:tcBorders>
            <w:shd w:val="clear" w:color="auto" w:fill="auto"/>
            <w:noWrap/>
            <w:vAlign w:val="bottom"/>
            <w:hideMark/>
          </w:tcPr>
          <w:p w14:paraId="00B10E7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101,50</w:t>
            </w:r>
          </w:p>
        </w:tc>
        <w:tc>
          <w:tcPr>
            <w:tcW w:w="1127" w:type="dxa"/>
            <w:tcBorders>
              <w:top w:val="nil"/>
              <w:left w:val="nil"/>
              <w:bottom w:val="single" w:sz="4" w:space="0" w:color="auto"/>
              <w:right w:val="single" w:sz="4" w:space="0" w:color="auto"/>
            </w:tcBorders>
            <w:shd w:val="clear" w:color="auto" w:fill="auto"/>
            <w:noWrap/>
            <w:vAlign w:val="bottom"/>
            <w:hideMark/>
          </w:tcPr>
          <w:p w14:paraId="238387E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80158A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6B2B25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07036CB"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703E6DF"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5B96D6C4" w14:textId="77777777" w:rsidR="00FE461F" w:rsidRPr="005E4BEA" w:rsidRDefault="00FE461F" w:rsidP="00FE461F">
            <w:pPr>
              <w:spacing w:line="240" w:lineRule="auto"/>
              <w:rPr>
                <w:rFonts w:cs="Arial"/>
                <w:color w:val="000000"/>
                <w:szCs w:val="20"/>
              </w:rPr>
            </w:pPr>
            <w:r w:rsidRPr="005E4BEA">
              <w:rPr>
                <w:rFonts w:cs="Arial"/>
                <w:color w:val="000000"/>
                <w:szCs w:val="20"/>
              </w:rPr>
              <w:t>Sevnica</w:t>
            </w:r>
          </w:p>
        </w:tc>
        <w:tc>
          <w:tcPr>
            <w:tcW w:w="1222" w:type="dxa"/>
            <w:tcBorders>
              <w:top w:val="nil"/>
              <w:left w:val="nil"/>
              <w:bottom w:val="single" w:sz="4" w:space="0" w:color="auto"/>
              <w:right w:val="single" w:sz="4" w:space="0" w:color="auto"/>
            </w:tcBorders>
            <w:shd w:val="clear" w:color="000000" w:fill="FFFFFF"/>
            <w:noWrap/>
            <w:vAlign w:val="bottom"/>
            <w:hideMark/>
          </w:tcPr>
          <w:p w14:paraId="44B9FCE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3.132</w:t>
            </w:r>
          </w:p>
        </w:tc>
        <w:tc>
          <w:tcPr>
            <w:tcW w:w="858" w:type="dxa"/>
            <w:tcBorders>
              <w:top w:val="nil"/>
              <w:left w:val="nil"/>
              <w:bottom w:val="single" w:sz="4" w:space="0" w:color="auto"/>
              <w:right w:val="single" w:sz="4" w:space="0" w:color="auto"/>
            </w:tcBorders>
            <w:shd w:val="clear" w:color="auto" w:fill="auto"/>
            <w:noWrap/>
            <w:vAlign w:val="bottom"/>
            <w:hideMark/>
          </w:tcPr>
          <w:p w14:paraId="2E27689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2,26</w:t>
            </w:r>
          </w:p>
        </w:tc>
        <w:tc>
          <w:tcPr>
            <w:tcW w:w="1095" w:type="dxa"/>
            <w:tcBorders>
              <w:top w:val="nil"/>
              <w:left w:val="nil"/>
              <w:bottom w:val="single" w:sz="4" w:space="0" w:color="auto"/>
              <w:right w:val="single" w:sz="4" w:space="0" w:color="auto"/>
            </w:tcBorders>
            <w:shd w:val="clear" w:color="auto" w:fill="auto"/>
            <w:noWrap/>
            <w:vAlign w:val="bottom"/>
            <w:hideMark/>
          </w:tcPr>
          <w:p w14:paraId="38E3E6F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1.385,84</w:t>
            </w:r>
          </w:p>
        </w:tc>
        <w:tc>
          <w:tcPr>
            <w:tcW w:w="1169" w:type="dxa"/>
            <w:tcBorders>
              <w:top w:val="nil"/>
              <w:left w:val="nil"/>
              <w:bottom w:val="single" w:sz="4" w:space="0" w:color="auto"/>
              <w:right w:val="single" w:sz="4" w:space="0" w:color="auto"/>
            </w:tcBorders>
            <w:shd w:val="clear" w:color="auto" w:fill="auto"/>
            <w:noWrap/>
            <w:vAlign w:val="bottom"/>
            <w:hideMark/>
          </w:tcPr>
          <w:p w14:paraId="1A2116A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91,87</w:t>
            </w:r>
          </w:p>
        </w:tc>
        <w:tc>
          <w:tcPr>
            <w:tcW w:w="1127" w:type="dxa"/>
            <w:tcBorders>
              <w:top w:val="nil"/>
              <w:left w:val="nil"/>
              <w:bottom w:val="single" w:sz="4" w:space="0" w:color="auto"/>
              <w:right w:val="single" w:sz="4" w:space="0" w:color="auto"/>
            </w:tcBorders>
            <w:shd w:val="clear" w:color="auto" w:fill="auto"/>
            <w:noWrap/>
            <w:vAlign w:val="bottom"/>
            <w:hideMark/>
          </w:tcPr>
          <w:p w14:paraId="026E0A7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529420E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7BEA45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7B49D5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5D74016F"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2BBCC690"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KRANJ</w:t>
            </w:r>
          </w:p>
        </w:tc>
        <w:tc>
          <w:tcPr>
            <w:tcW w:w="1222" w:type="dxa"/>
            <w:tcBorders>
              <w:top w:val="nil"/>
              <w:left w:val="nil"/>
              <w:bottom w:val="single" w:sz="4" w:space="0" w:color="auto"/>
              <w:right w:val="single" w:sz="4" w:space="0" w:color="auto"/>
            </w:tcBorders>
            <w:shd w:val="clear" w:color="000000" w:fill="FFFF99"/>
            <w:noWrap/>
            <w:vAlign w:val="bottom"/>
            <w:hideMark/>
          </w:tcPr>
          <w:p w14:paraId="041A5C1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40.702,00</w:t>
            </w:r>
          </w:p>
        </w:tc>
        <w:tc>
          <w:tcPr>
            <w:tcW w:w="858" w:type="dxa"/>
            <w:tcBorders>
              <w:top w:val="nil"/>
              <w:left w:val="nil"/>
              <w:bottom w:val="single" w:sz="4" w:space="0" w:color="auto"/>
              <w:right w:val="single" w:sz="4" w:space="0" w:color="auto"/>
            </w:tcBorders>
            <w:shd w:val="clear" w:color="000000" w:fill="FFFF99"/>
            <w:noWrap/>
            <w:vAlign w:val="bottom"/>
            <w:hideMark/>
          </w:tcPr>
          <w:p w14:paraId="024B35F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30,88</w:t>
            </w:r>
          </w:p>
        </w:tc>
        <w:tc>
          <w:tcPr>
            <w:tcW w:w="1095" w:type="dxa"/>
            <w:tcBorders>
              <w:top w:val="nil"/>
              <w:left w:val="nil"/>
              <w:bottom w:val="single" w:sz="4" w:space="0" w:color="auto"/>
              <w:right w:val="single" w:sz="4" w:space="0" w:color="auto"/>
            </w:tcBorders>
            <w:shd w:val="clear" w:color="000000" w:fill="FFFF99"/>
            <w:noWrap/>
            <w:vAlign w:val="bottom"/>
            <w:hideMark/>
          </w:tcPr>
          <w:p w14:paraId="1A62489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1.318,07</w:t>
            </w:r>
          </w:p>
        </w:tc>
        <w:tc>
          <w:tcPr>
            <w:tcW w:w="1169" w:type="dxa"/>
            <w:tcBorders>
              <w:top w:val="nil"/>
              <w:left w:val="nil"/>
              <w:bottom w:val="single" w:sz="4" w:space="0" w:color="auto"/>
              <w:right w:val="single" w:sz="4" w:space="0" w:color="auto"/>
            </w:tcBorders>
            <w:shd w:val="clear" w:color="000000" w:fill="FFFF99"/>
            <w:noWrap/>
            <w:vAlign w:val="bottom"/>
            <w:hideMark/>
          </w:tcPr>
          <w:p w14:paraId="4788302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96,60</w:t>
            </w:r>
          </w:p>
        </w:tc>
        <w:tc>
          <w:tcPr>
            <w:tcW w:w="1127" w:type="dxa"/>
            <w:tcBorders>
              <w:top w:val="nil"/>
              <w:left w:val="nil"/>
              <w:bottom w:val="single" w:sz="4" w:space="0" w:color="auto"/>
              <w:right w:val="single" w:sz="4" w:space="0" w:color="auto"/>
            </w:tcBorders>
            <w:shd w:val="clear" w:color="000000" w:fill="FFFF99"/>
            <w:noWrap/>
            <w:vAlign w:val="bottom"/>
            <w:hideMark/>
          </w:tcPr>
          <w:p w14:paraId="4EAC7B2C"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49FE1E80"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34E4F456"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4E7E46EE"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176D15AA"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667EB85" w14:textId="77777777" w:rsidR="00FE461F" w:rsidRPr="005E4BEA" w:rsidRDefault="00FE461F" w:rsidP="00FE461F">
            <w:pPr>
              <w:spacing w:line="240" w:lineRule="auto"/>
              <w:rPr>
                <w:rFonts w:cs="Arial"/>
                <w:color w:val="000000"/>
                <w:szCs w:val="20"/>
              </w:rPr>
            </w:pPr>
            <w:r w:rsidRPr="005E4BEA">
              <w:rPr>
                <w:rFonts w:cs="Arial"/>
                <w:color w:val="000000"/>
                <w:szCs w:val="20"/>
              </w:rPr>
              <w:t>Kranj</w:t>
            </w:r>
          </w:p>
        </w:tc>
        <w:tc>
          <w:tcPr>
            <w:tcW w:w="1222" w:type="dxa"/>
            <w:tcBorders>
              <w:top w:val="nil"/>
              <w:left w:val="nil"/>
              <w:bottom w:val="single" w:sz="4" w:space="0" w:color="auto"/>
              <w:right w:val="single" w:sz="4" w:space="0" w:color="auto"/>
            </w:tcBorders>
            <w:shd w:val="clear" w:color="000000" w:fill="FFFFFF"/>
            <w:noWrap/>
            <w:vAlign w:val="bottom"/>
            <w:hideMark/>
          </w:tcPr>
          <w:p w14:paraId="1BC3323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16.771</w:t>
            </w:r>
          </w:p>
        </w:tc>
        <w:tc>
          <w:tcPr>
            <w:tcW w:w="858" w:type="dxa"/>
            <w:tcBorders>
              <w:top w:val="nil"/>
              <w:left w:val="nil"/>
              <w:bottom w:val="single" w:sz="4" w:space="0" w:color="auto"/>
              <w:right w:val="single" w:sz="4" w:space="0" w:color="auto"/>
            </w:tcBorders>
            <w:shd w:val="clear" w:color="auto" w:fill="auto"/>
            <w:noWrap/>
            <w:vAlign w:val="bottom"/>
            <w:hideMark/>
          </w:tcPr>
          <w:p w14:paraId="2A6B681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13,50</w:t>
            </w:r>
          </w:p>
        </w:tc>
        <w:tc>
          <w:tcPr>
            <w:tcW w:w="1095" w:type="dxa"/>
            <w:tcBorders>
              <w:top w:val="nil"/>
              <w:left w:val="nil"/>
              <w:bottom w:val="single" w:sz="4" w:space="0" w:color="auto"/>
              <w:right w:val="single" w:sz="4" w:space="0" w:color="auto"/>
            </w:tcBorders>
            <w:shd w:val="clear" w:color="auto" w:fill="auto"/>
            <w:noWrap/>
            <w:vAlign w:val="bottom"/>
            <w:hideMark/>
          </w:tcPr>
          <w:p w14:paraId="75840B1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1.242,30</w:t>
            </w:r>
          </w:p>
        </w:tc>
        <w:tc>
          <w:tcPr>
            <w:tcW w:w="1169" w:type="dxa"/>
            <w:tcBorders>
              <w:top w:val="nil"/>
              <w:left w:val="nil"/>
              <w:bottom w:val="single" w:sz="4" w:space="0" w:color="auto"/>
              <w:right w:val="single" w:sz="4" w:space="0" w:color="auto"/>
            </w:tcBorders>
            <w:shd w:val="clear" w:color="auto" w:fill="auto"/>
            <w:noWrap/>
            <w:vAlign w:val="bottom"/>
            <w:hideMark/>
          </w:tcPr>
          <w:p w14:paraId="65AA9D6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102,49</w:t>
            </w:r>
          </w:p>
        </w:tc>
        <w:tc>
          <w:tcPr>
            <w:tcW w:w="1127" w:type="dxa"/>
            <w:tcBorders>
              <w:top w:val="nil"/>
              <w:left w:val="nil"/>
              <w:bottom w:val="single" w:sz="4" w:space="0" w:color="auto"/>
              <w:right w:val="single" w:sz="4" w:space="0" w:color="auto"/>
            </w:tcBorders>
            <w:shd w:val="clear" w:color="auto" w:fill="auto"/>
            <w:noWrap/>
            <w:vAlign w:val="bottom"/>
            <w:hideMark/>
          </w:tcPr>
          <w:p w14:paraId="5D64E0F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1,00</w:t>
            </w:r>
          </w:p>
        </w:tc>
        <w:tc>
          <w:tcPr>
            <w:tcW w:w="754" w:type="dxa"/>
            <w:tcBorders>
              <w:top w:val="nil"/>
              <w:left w:val="nil"/>
              <w:bottom w:val="single" w:sz="4" w:space="0" w:color="auto"/>
              <w:right w:val="single" w:sz="4" w:space="0" w:color="auto"/>
            </w:tcBorders>
            <w:shd w:val="clear" w:color="auto" w:fill="auto"/>
            <w:noWrap/>
            <w:vAlign w:val="bottom"/>
            <w:hideMark/>
          </w:tcPr>
          <w:p w14:paraId="0217433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1797203"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B17B44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w:t>
            </w:r>
          </w:p>
        </w:tc>
      </w:tr>
      <w:tr w:rsidR="00FE461F" w:rsidRPr="005E4BEA" w14:paraId="15185693"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EE4E1DD" w14:textId="77777777" w:rsidR="00FE461F" w:rsidRPr="005E4BEA" w:rsidRDefault="00FE461F" w:rsidP="00FE461F">
            <w:pPr>
              <w:spacing w:line="240" w:lineRule="auto"/>
              <w:rPr>
                <w:rFonts w:cs="Arial"/>
                <w:color w:val="000000"/>
                <w:szCs w:val="20"/>
              </w:rPr>
            </w:pPr>
            <w:r w:rsidRPr="005E4BEA">
              <w:rPr>
                <w:rFonts w:cs="Arial"/>
                <w:color w:val="000000"/>
                <w:szCs w:val="20"/>
              </w:rPr>
              <w:t>Jesenice</w:t>
            </w:r>
          </w:p>
        </w:tc>
        <w:tc>
          <w:tcPr>
            <w:tcW w:w="1222" w:type="dxa"/>
            <w:tcBorders>
              <w:top w:val="nil"/>
              <w:left w:val="nil"/>
              <w:bottom w:val="single" w:sz="4" w:space="0" w:color="auto"/>
              <w:right w:val="single" w:sz="4" w:space="0" w:color="auto"/>
            </w:tcBorders>
            <w:shd w:val="clear" w:color="000000" w:fill="FFFFFF"/>
            <w:noWrap/>
            <w:vAlign w:val="bottom"/>
            <w:hideMark/>
          </w:tcPr>
          <w:p w14:paraId="3DB9C39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5.554</w:t>
            </w:r>
          </w:p>
        </w:tc>
        <w:tc>
          <w:tcPr>
            <w:tcW w:w="858" w:type="dxa"/>
            <w:tcBorders>
              <w:top w:val="nil"/>
              <w:left w:val="nil"/>
              <w:bottom w:val="single" w:sz="4" w:space="0" w:color="auto"/>
              <w:right w:val="single" w:sz="4" w:space="0" w:color="auto"/>
            </w:tcBorders>
            <w:shd w:val="clear" w:color="auto" w:fill="auto"/>
            <w:noWrap/>
            <w:vAlign w:val="bottom"/>
            <w:hideMark/>
          </w:tcPr>
          <w:p w14:paraId="1A91255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3,64</w:t>
            </w:r>
          </w:p>
        </w:tc>
        <w:tc>
          <w:tcPr>
            <w:tcW w:w="1095" w:type="dxa"/>
            <w:tcBorders>
              <w:top w:val="nil"/>
              <w:left w:val="nil"/>
              <w:bottom w:val="single" w:sz="4" w:space="0" w:color="auto"/>
              <w:right w:val="single" w:sz="4" w:space="0" w:color="auto"/>
            </w:tcBorders>
            <w:shd w:val="clear" w:color="auto" w:fill="auto"/>
            <w:noWrap/>
            <w:vAlign w:val="bottom"/>
            <w:hideMark/>
          </w:tcPr>
          <w:p w14:paraId="4D5237E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1.525,82</w:t>
            </w:r>
          </w:p>
        </w:tc>
        <w:tc>
          <w:tcPr>
            <w:tcW w:w="1169" w:type="dxa"/>
            <w:tcBorders>
              <w:top w:val="nil"/>
              <w:left w:val="nil"/>
              <w:bottom w:val="single" w:sz="4" w:space="0" w:color="auto"/>
              <w:right w:val="single" w:sz="4" w:space="0" w:color="auto"/>
            </w:tcBorders>
            <w:shd w:val="clear" w:color="auto" w:fill="auto"/>
            <w:noWrap/>
            <w:vAlign w:val="bottom"/>
            <w:hideMark/>
          </w:tcPr>
          <w:p w14:paraId="66373C5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83,44</w:t>
            </w:r>
          </w:p>
        </w:tc>
        <w:tc>
          <w:tcPr>
            <w:tcW w:w="1127" w:type="dxa"/>
            <w:tcBorders>
              <w:top w:val="nil"/>
              <w:left w:val="nil"/>
              <w:bottom w:val="single" w:sz="4" w:space="0" w:color="auto"/>
              <w:right w:val="single" w:sz="4" w:space="0" w:color="auto"/>
            </w:tcBorders>
            <w:shd w:val="clear" w:color="auto" w:fill="auto"/>
            <w:noWrap/>
            <w:vAlign w:val="bottom"/>
            <w:hideMark/>
          </w:tcPr>
          <w:p w14:paraId="70136C0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3424949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A64964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7FE5270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74053775"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61BDFD13" w14:textId="77777777" w:rsidR="00FE461F" w:rsidRPr="005E4BEA" w:rsidRDefault="00FE461F" w:rsidP="00FE461F">
            <w:pPr>
              <w:spacing w:line="240" w:lineRule="auto"/>
              <w:rPr>
                <w:rFonts w:cs="Arial"/>
                <w:color w:val="000000"/>
                <w:szCs w:val="20"/>
              </w:rPr>
            </w:pPr>
            <w:r w:rsidRPr="005E4BEA">
              <w:rPr>
                <w:rFonts w:cs="Arial"/>
                <w:color w:val="000000"/>
                <w:szCs w:val="20"/>
              </w:rPr>
              <w:t>Radovljica</w:t>
            </w:r>
          </w:p>
        </w:tc>
        <w:tc>
          <w:tcPr>
            <w:tcW w:w="1222" w:type="dxa"/>
            <w:tcBorders>
              <w:top w:val="nil"/>
              <w:left w:val="nil"/>
              <w:bottom w:val="single" w:sz="4" w:space="0" w:color="auto"/>
              <w:right w:val="single" w:sz="4" w:space="0" w:color="auto"/>
            </w:tcBorders>
            <w:shd w:val="clear" w:color="000000" w:fill="FFFFFF"/>
            <w:noWrap/>
            <w:vAlign w:val="bottom"/>
            <w:hideMark/>
          </w:tcPr>
          <w:p w14:paraId="50A29A2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6.331</w:t>
            </w:r>
          </w:p>
        </w:tc>
        <w:tc>
          <w:tcPr>
            <w:tcW w:w="858" w:type="dxa"/>
            <w:tcBorders>
              <w:top w:val="nil"/>
              <w:left w:val="nil"/>
              <w:bottom w:val="single" w:sz="4" w:space="0" w:color="auto"/>
              <w:right w:val="single" w:sz="4" w:space="0" w:color="auto"/>
            </w:tcBorders>
            <w:shd w:val="clear" w:color="auto" w:fill="auto"/>
            <w:noWrap/>
            <w:vAlign w:val="bottom"/>
            <w:hideMark/>
          </w:tcPr>
          <w:p w14:paraId="09013C6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4,20</w:t>
            </w:r>
          </w:p>
        </w:tc>
        <w:tc>
          <w:tcPr>
            <w:tcW w:w="1095" w:type="dxa"/>
            <w:tcBorders>
              <w:top w:val="nil"/>
              <w:left w:val="nil"/>
              <w:bottom w:val="single" w:sz="4" w:space="0" w:color="auto"/>
              <w:right w:val="single" w:sz="4" w:space="0" w:color="auto"/>
            </w:tcBorders>
            <w:shd w:val="clear" w:color="auto" w:fill="auto"/>
            <w:noWrap/>
            <w:vAlign w:val="bottom"/>
            <w:hideMark/>
          </w:tcPr>
          <w:p w14:paraId="0F776B5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1.507,38</w:t>
            </w:r>
          </w:p>
        </w:tc>
        <w:tc>
          <w:tcPr>
            <w:tcW w:w="1169" w:type="dxa"/>
            <w:tcBorders>
              <w:top w:val="nil"/>
              <w:left w:val="nil"/>
              <w:bottom w:val="single" w:sz="4" w:space="0" w:color="auto"/>
              <w:right w:val="single" w:sz="4" w:space="0" w:color="auto"/>
            </w:tcBorders>
            <w:shd w:val="clear" w:color="auto" w:fill="auto"/>
            <w:noWrap/>
            <w:vAlign w:val="bottom"/>
            <w:hideMark/>
          </w:tcPr>
          <w:p w14:paraId="735E220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84,46</w:t>
            </w:r>
          </w:p>
        </w:tc>
        <w:tc>
          <w:tcPr>
            <w:tcW w:w="1127" w:type="dxa"/>
            <w:tcBorders>
              <w:top w:val="nil"/>
              <w:left w:val="nil"/>
              <w:bottom w:val="single" w:sz="4" w:space="0" w:color="auto"/>
              <w:right w:val="single" w:sz="4" w:space="0" w:color="auto"/>
            </w:tcBorders>
            <w:shd w:val="clear" w:color="auto" w:fill="auto"/>
            <w:noWrap/>
            <w:vAlign w:val="bottom"/>
            <w:hideMark/>
          </w:tcPr>
          <w:p w14:paraId="7D4D3C1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17062F0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3469A5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69D1A4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w:t>
            </w:r>
          </w:p>
        </w:tc>
      </w:tr>
      <w:tr w:rsidR="00FE461F" w:rsidRPr="005E4BEA" w14:paraId="43E25DE9"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072D6969" w14:textId="77777777" w:rsidR="00FE461F" w:rsidRPr="005E4BEA" w:rsidRDefault="00FE461F" w:rsidP="00FE461F">
            <w:pPr>
              <w:spacing w:line="240" w:lineRule="auto"/>
              <w:rPr>
                <w:rFonts w:cs="Arial"/>
                <w:color w:val="000000"/>
                <w:szCs w:val="20"/>
              </w:rPr>
            </w:pPr>
            <w:r w:rsidRPr="005E4BEA">
              <w:rPr>
                <w:rFonts w:cs="Arial"/>
                <w:color w:val="000000"/>
                <w:szCs w:val="20"/>
              </w:rPr>
              <w:t>Škofja Loka</w:t>
            </w:r>
          </w:p>
        </w:tc>
        <w:tc>
          <w:tcPr>
            <w:tcW w:w="1222" w:type="dxa"/>
            <w:tcBorders>
              <w:top w:val="nil"/>
              <w:left w:val="nil"/>
              <w:bottom w:val="single" w:sz="4" w:space="0" w:color="auto"/>
              <w:right w:val="single" w:sz="4" w:space="0" w:color="auto"/>
            </w:tcBorders>
            <w:shd w:val="clear" w:color="000000" w:fill="FFFFFF"/>
            <w:noWrap/>
            <w:vAlign w:val="bottom"/>
            <w:hideMark/>
          </w:tcPr>
          <w:p w14:paraId="743195D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9.350</w:t>
            </w:r>
          </w:p>
        </w:tc>
        <w:tc>
          <w:tcPr>
            <w:tcW w:w="858" w:type="dxa"/>
            <w:tcBorders>
              <w:top w:val="nil"/>
              <w:left w:val="nil"/>
              <w:bottom w:val="single" w:sz="4" w:space="0" w:color="auto"/>
              <w:right w:val="single" w:sz="4" w:space="0" w:color="auto"/>
            </w:tcBorders>
            <w:shd w:val="clear" w:color="auto" w:fill="auto"/>
            <w:noWrap/>
            <w:vAlign w:val="bottom"/>
            <w:hideMark/>
          </w:tcPr>
          <w:p w14:paraId="2D4D675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7,14</w:t>
            </w:r>
          </w:p>
        </w:tc>
        <w:tc>
          <w:tcPr>
            <w:tcW w:w="1095" w:type="dxa"/>
            <w:tcBorders>
              <w:top w:val="nil"/>
              <w:left w:val="nil"/>
              <w:bottom w:val="single" w:sz="4" w:space="0" w:color="auto"/>
              <w:right w:val="single" w:sz="4" w:space="0" w:color="auto"/>
            </w:tcBorders>
            <w:shd w:val="clear" w:color="auto" w:fill="auto"/>
            <w:noWrap/>
            <w:vAlign w:val="bottom"/>
            <w:hideMark/>
          </w:tcPr>
          <w:p w14:paraId="0D833F1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1.309,52</w:t>
            </w:r>
          </w:p>
        </w:tc>
        <w:tc>
          <w:tcPr>
            <w:tcW w:w="1169" w:type="dxa"/>
            <w:tcBorders>
              <w:top w:val="nil"/>
              <w:left w:val="nil"/>
              <w:bottom w:val="single" w:sz="4" w:space="0" w:color="auto"/>
              <w:right w:val="single" w:sz="4" w:space="0" w:color="auto"/>
            </w:tcBorders>
            <w:shd w:val="clear" w:color="auto" w:fill="auto"/>
            <w:noWrap/>
            <w:vAlign w:val="bottom"/>
            <w:hideMark/>
          </w:tcPr>
          <w:p w14:paraId="7F191DB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97,23</w:t>
            </w:r>
          </w:p>
        </w:tc>
        <w:tc>
          <w:tcPr>
            <w:tcW w:w="1127" w:type="dxa"/>
            <w:tcBorders>
              <w:top w:val="nil"/>
              <w:left w:val="nil"/>
              <w:bottom w:val="single" w:sz="4" w:space="0" w:color="auto"/>
              <w:right w:val="single" w:sz="4" w:space="0" w:color="auto"/>
            </w:tcBorders>
            <w:shd w:val="clear" w:color="auto" w:fill="auto"/>
            <w:noWrap/>
            <w:vAlign w:val="bottom"/>
            <w:hideMark/>
          </w:tcPr>
          <w:p w14:paraId="0194E73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8761F3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6974CD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56C396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w:t>
            </w:r>
          </w:p>
        </w:tc>
      </w:tr>
      <w:tr w:rsidR="00FE461F" w:rsidRPr="005E4BEA" w14:paraId="200A30C4"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5E399067" w14:textId="77777777" w:rsidR="00FE461F" w:rsidRPr="005E4BEA" w:rsidRDefault="00FE461F" w:rsidP="00FE461F">
            <w:pPr>
              <w:spacing w:line="240" w:lineRule="auto"/>
              <w:rPr>
                <w:rFonts w:cs="Arial"/>
                <w:color w:val="000000"/>
                <w:szCs w:val="20"/>
              </w:rPr>
            </w:pPr>
            <w:r w:rsidRPr="005E4BEA">
              <w:rPr>
                <w:rFonts w:cs="Arial"/>
                <w:color w:val="000000"/>
                <w:szCs w:val="20"/>
              </w:rPr>
              <w:t>Tržič</w:t>
            </w:r>
          </w:p>
        </w:tc>
        <w:tc>
          <w:tcPr>
            <w:tcW w:w="1222" w:type="dxa"/>
            <w:tcBorders>
              <w:top w:val="nil"/>
              <w:left w:val="nil"/>
              <w:bottom w:val="single" w:sz="4" w:space="0" w:color="auto"/>
              <w:right w:val="single" w:sz="4" w:space="0" w:color="auto"/>
            </w:tcBorders>
            <w:shd w:val="clear" w:color="000000" w:fill="FFFFFF"/>
            <w:noWrap/>
            <w:vAlign w:val="bottom"/>
            <w:hideMark/>
          </w:tcPr>
          <w:p w14:paraId="6165BAA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2.696</w:t>
            </w:r>
          </w:p>
        </w:tc>
        <w:tc>
          <w:tcPr>
            <w:tcW w:w="858" w:type="dxa"/>
            <w:tcBorders>
              <w:top w:val="nil"/>
              <w:left w:val="nil"/>
              <w:bottom w:val="single" w:sz="4" w:space="0" w:color="auto"/>
              <w:right w:val="single" w:sz="4" w:space="0" w:color="auto"/>
            </w:tcBorders>
            <w:shd w:val="clear" w:color="auto" w:fill="auto"/>
            <w:noWrap/>
            <w:vAlign w:val="bottom"/>
            <w:hideMark/>
          </w:tcPr>
          <w:p w14:paraId="16B750F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2,40</w:t>
            </w:r>
          </w:p>
        </w:tc>
        <w:tc>
          <w:tcPr>
            <w:tcW w:w="1095" w:type="dxa"/>
            <w:tcBorders>
              <w:top w:val="nil"/>
              <w:left w:val="nil"/>
              <w:bottom w:val="single" w:sz="4" w:space="0" w:color="auto"/>
              <w:right w:val="single" w:sz="4" w:space="0" w:color="auto"/>
            </w:tcBorders>
            <w:shd w:val="clear" w:color="auto" w:fill="auto"/>
            <w:noWrap/>
            <w:vAlign w:val="bottom"/>
            <w:hideMark/>
          </w:tcPr>
          <w:p w14:paraId="11AA16E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1.123,33</w:t>
            </w:r>
          </w:p>
        </w:tc>
        <w:tc>
          <w:tcPr>
            <w:tcW w:w="1169" w:type="dxa"/>
            <w:tcBorders>
              <w:top w:val="nil"/>
              <w:left w:val="nil"/>
              <w:bottom w:val="single" w:sz="4" w:space="0" w:color="auto"/>
              <w:right w:val="single" w:sz="4" w:space="0" w:color="auto"/>
            </w:tcBorders>
            <w:shd w:val="clear" w:color="auto" w:fill="auto"/>
            <w:noWrap/>
            <w:vAlign w:val="bottom"/>
            <w:hideMark/>
          </w:tcPr>
          <w:p w14:paraId="453E845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113,34</w:t>
            </w:r>
          </w:p>
        </w:tc>
        <w:tc>
          <w:tcPr>
            <w:tcW w:w="1127" w:type="dxa"/>
            <w:tcBorders>
              <w:top w:val="nil"/>
              <w:left w:val="nil"/>
              <w:bottom w:val="single" w:sz="4" w:space="0" w:color="auto"/>
              <w:right w:val="single" w:sz="4" w:space="0" w:color="auto"/>
            </w:tcBorders>
            <w:shd w:val="clear" w:color="auto" w:fill="auto"/>
            <w:noWrap/>
            <w:vAlign w:val="bottom"/>
            <w:hideMark/>
          </w:tcPr>
          <w:p w14:paraId="0A67322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33FBDF6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0B5649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9E06187"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4A20B9D1"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41FD95F0"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LJUBLJANA</w:t>
            </w:r>
          </w:p>
        </w:tc>
        <w:tc>
          <w:tcPr>
            <w:tcW w:w="1222" w:type="dxa"/>
            <w:tcBorders>
              <w:top w:val="nil"/>
              <w:left w:val="nil"/>
              <w:bottom w:val="single" w:sz="4" w:space="0" w:color="auto"/>
              <w:right w:val="single" w:sz="4" w:space="0" w:color="auto"/>
            </w:tcBorders>
            <w:shd w:val="clear" w:color="000000" w:fill="FFFF99"/>
            <w:noWrap/>
            <w:vAlign w:val="bottom"/>
            <w:hideMark/>
          </w:tcPr>
          <w:p w14:paraId="386DDDA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130.857,00</w:t>
            </w:r>
          </w:p>
        </w:tc>
        <w:tc>
          <w:tcPr>
            <w:tcW w:w="858" w:type="dxa"/>
            <w:tcBorders>
              <w:top w:val="nil"/>
              <w:left w:val="nil"/>
              <w:bottom w:val="single" w:sz="4" w:space="0" w:color="auto"/>
              <w:right w:val="single" w:sz="4" w:space="0" w:color="auto"/>
            </w:tcBorders>
            <w:shd w:val="clear" w:color="000000" w:fill="FFFF99"/>
            <w:noWrap/>
            <w:vAlign w:val="bottom"/>
            <w:hideMark/>
          </w:tcPr>
          <w:p w14:paraId="69DCEB6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113,58</w:t>
            </w:r>
          </w:p>
        </w:tc>
        <w:tc>
          <w:tcPr>
            <w:tcW w:w="1095" w:type="dxa"/>
            <w:tcBorders>
              <w:top w:val="nil"/>
              <w:left w:val="nil"/>
              <w:bottom w:val="single" w:sz="4" w:space="0" w:color="auto"/>
              <w:right w:val="single" w:sz="4" w:space="0" w:color="auto"/>
            </w:tcBorders>
            <w:shd w:val="clear" w:color="000000" w:fill="FFFF99"/>
            <w:noWrap/>
            <w:vAlign w:val="bottom"/>
            <w:hideMark/>
          </w:tcPr>
          <w:p w14:paraId="5B3F3D1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1.152,11</w:t>
            </w:r>
          </w:p>
        </w:tc>
        <w:tc>
          <w:tcPr>
            <w:tcW w:w="1169" w:type="dxa"/>
            <w:tcBorders>
              <w:top w:val="nil"/>
              <w:left w:val="nil"/>
              <w:bottom w:val="single" w:sz="4" w:space="0" w:color="auto"/>
              <w:right w:val="single" w:sz="4" w:space="0" w:color="auto"/>
            </w:tcBorders>
            <w:shd w:val="clear" w:color="000000" w:fill="FFFF99"/>
            <w:noWrap/>
            <w:vAlign w:val="bottom"/>
            <w:hideMark/>
          </w:tcPr>
          <w:p w14:paraId="2418369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110,51</w:t>
            </w:r>
          </w:p>
        </w:tc>
        <w:tc>
          <w:tcPr>
            <w:tcW w:w="1127" w:type="dxa"/>
            <w:tcBorders>
              <w:top w:val="nil"/>
              <w:left w:val="nil"/>
              <w:bottom w:val="single" w:sz="4" w:space="0" w:color="auto"/>
              <w:right w:val="single" w:sz="4" w:space="0" w:color="auto"/>
            </w:tcBorders>
            <w:shd w:val="clear" w:color="000000" w:fill="FFFF99"/>
            <w:noWrap/>
            <w:vAlign w:val="bottom"/>
            <w:hideMark/>
          </w:tcPr>
          <w:p w14:paraId="4FF2E30C"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33FD12EF"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0ECC30EC"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4A7D75E5"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5449BB73"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648568C8" w14:textId="77777777" w:rsidR="00FE461F" w:rsidRPr="005E4BEA" w:rsidRDefault="00FE461F" w:rsidP="00FE461F">
            <w:pPr>
              <w:spacing w:line="240" w:lineRule="auto"/>
              <w:rPr>
                <w:rFonts w:cs="Arial"/>
                <w:color w:val="000000"/>
                <w:szCs w:val="20"/>
              </w:rPr>
            </w:pPr>
            <w:r w:rsidRPr="005E4BEA">
              <w:rPr>
                <w:rFonts w:cs="Arial"/>
                <w:color w:val="000000"/>
                <w:szCs w:val="20"/>
              </w:rPr>
              <w:t>Ljubljana</w:t>
            </w:r>
          </w:p>
        </w:tc>
        <w:tc>
          <w:tcPr>
            <w:tcW w:w="1222" w:type="dxa"/>
            <w:tcBorders>
              <w:top w:val="nil"/>
              <w:left w:val="nil"/>
              <w:bottom w:val="single" w:sz="4" w:space="0" w:color="auto"/>
              <w:right w:val="single" w:sz="4" w:space="0" w:color="auto"/>
            </w:tcBorders>
            <w:shd w:val="clear" w:color="000000" w:fill="FFFFFF"/>
            <w:noWrap/>
            <w:vAlign w:val="bottom"/>
            <w:hideMark/>
          </w:tcPr>
          <w:p w14:paraId="6D11A30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68.657</w:t>
            </w:r>
          </w:p>
        </w:tc>
        <w:tc>
          <w:tcPr>
            <w:tcW w:w="858" w:type="dxa"/>
            <w:tcBorders>
              <w:top w:val="nil"/>
              <w:left w:val="nil"/>
              <w:bottom w:val="single" w:sz="4" w:space="0" w:color="auto"/>
              <w:right w:val="single" w:sz="4" w:space="0" w:color="auto"/>
            </w:tcBorders>
            <w:shd w:val="clear" w:color="auto" w:fill="auto"/>
            <w:noWrap/>
            <w:vAlign w:val="bottom"/>
            <w:hideMark/>
          </w:tcPr>
          <w:p w14:paraId="58A87D1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65,21</w:t>
            </w:r>
          </w:p>
        </w:tc>
        <w:tc>
          <w:tcPr>
            <w:tcW w:w="1095" w:type="dxa"/>
            <w:tcBorders>
              <w:top w:val="nil"/>
              <w:left w:val="nil"/>
              <w:bottom w:val="single" w:sz="4" w:space="0" w:color="auto"/>
              <w:right w:val="single" w:sz="4" w:space="0" w:color="auto"/>
            </w:tcBorders>
            <w:shd w:val="clear" w:color="auto" w:fill="auto"/>
            <w:noWrap/>
            <w:vAlign w:val="bottom"/>
            <w:hideMark/>
          </w:tcPr>
          <w:p w14:paraId="52D2C52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1.052,86</w:t>
            </w:r>
          </w:p>
        </w:tc>
        <w:tc>
          <w:tcPr>
            <w:tcW w:w="1169" w:type="dxa"/>
            <w:tcBorders>
              <w:top w:val="nil"/>
              <w:left w:val="nil"/>
              <w:bottom w:val="single" w:sz="4" w:space="0" w:color="auto"/>
              <w:right w:val="single" w:sz="4" w:space="0" w:color="auto"/>
            </w:tcBorders>
            <w:shd w:val="clear" w:color="auto" w:fill="auto"/>
            <w:noWrap/>
            <w:vAlign w:val="bottom"/>
            <w:hideMark/>
          </w:tcPr>
          <w:p w14:paraId="7AE12F3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120,93</w:t>
            </w:r>
          </w:p>
        </w:tc>
        <w:tc>
          <w:tcPr>
            <w:tcW w:w="1127" w:type="dxa"/>
            <w:tcBorders>
              <w:top w:val="nil"/>
              <w:left w:val="nil"/>
              <w:bottom w:val="single" w:sz="4" w:space="0" w:color="auto"/>
              <w:right w:val="single" w:sz="4" w:space="0" w:color="auto"/>
            </w:tcBorders>
            <w:shd w:val="clear" w:color="auto" w:fill="auto"/>
            <w:noWrap/>
            <w:vAlign w:val="bottom"/>
            <w:hideMark/>
          </w:tcPr>
          <w:p w14:paraId="2BDC717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0,20</w:t>
            </w:r>
          </w:p>
        </w:tc>
        <w:tc>
          <w:tcPr>
            <w:tcW w:w="754" w:type="dxa"/>
            <w:tcBorders>
              <w:top w:val="nil"/>
              <w:left w:val="nil"/>
              <w:bottom w:val="single" w:sz="4" w:space="0" w:color="auto"/>
              <w:right w:val="single" w:sz="4" w:space="0" w:color="auto"/>
            </w:tcBorders>
            <w:shd w:val="clear" w:color="auto" w:fill="auto"/>
            <w:noWrap/>
            <w:vAlign w:val="bottom"/>
            <w:hideMark/>
          </w:tcPr>
          <w:p w14:paraId="42F90BF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74DC02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CD075F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0,3</w:t>
            </w:r>
          </w:p>
        </w:tc>
      </w:tr>
      <w:tr w:rsidR="00FE461F" w:rsidRPr="005E4BEA" w14:paraId="2FF0C45A"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2BA91241" w14:textId="77777777" w:rsidR="00FE461F" w:rsidRPr="005E4BEA" w:rsidRDefault="00FE461F" w:rsidP="00FE461F">
            <w:pPr>
              <w:spacing w:line="240" w:lineRule="auto"/>
              <w:rPr>
                <w:rFonts w:cs="Arial"/>
                <w:color w:val="000000"/>
                <w:szCs w:val="20"/>
              </w:rPr>
            </w:pPr>
            <w:r w:rsidRPr="005E4BEA">
              <w:rPr>
                <w:rFonts w:cs="Arial"/>
                <w:color w:val="000000"/>
                <w:szCs w:val="20"/>
              </w:rPr>
              <w:t>Cerknica</w:t>
            </w:r>
          </w:p>
        </w:tc>
        <w:tc>
          <w:tcPr>
            <w:tcW w:w="1222" w:type="dxa"/>
            <w:tcBorders>
              <w:top w:val="nil"/>
              <w:left w:val="nil"/>
              <w:bottom w:val="single" w:sz="4" w:space="0" w:color="auto"/>
              <w:right w:val="single" w:sz="4" w:space="0" w:color="auto"/>
            </w:tcBorders>
            <w:shd w:val="clear" w:color="000000" w:fill="FFFFFF"/>
            <w:noWrap/>
            <w:vAlign w:val="bottom"/>
            <w:hideMark/>
          </w:tcPr>
          <w:p w14:paraId="102E1B8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3.224</w:t>
            </w:r>
          </w:p>
        </w:tc>
        <w:tc>
          <w:tcPr>
            <w:tcW w:w="858" w:type="dxa"/>
            <w:tcBorders>
              <w:top w:val="nil"/>
              <w:left w:val="nil"/>
              <w:bottom w:val="single" w:sz="4" w:space="0" w:color="auto"/>
              <w:right w:val="single" w:sz="4" w:space="0" w:color="auto"/>
            </w:tcBorders>
            <w:shd w:val="clear" w:color="auto" w:fill="auto"/>
            <w:noWrap/>
            <w:vAlign w:val="bottom"/>
            <w:hideMark/>
          </w:tcPr>
          <w:p w14:paraId="53E31B0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2,71</w:t>
            </w:r>
          </w:p>
        </w:tc>
        <w:tc>
          <w:tcPr>
            <w:tcW w:w="1095" w:type="dxa"/>
            <w:tcBorders>
              <w:top w:val="nil"/>
              <w:left w:val="nil"/>
              <w:bottom w:val="single" w:sz="4" w:space="0" w:color="auto"/>
              <w:right w:val="single" w:sz="4" w:space="0" w:color="auto"/>
            </w:tcBorders>
            <w:shd w:val="clear" w:color="auto" w:fill="auto"/>
            <w:noWrap/>
            <w:vAlign w:val="bottom"/>
            <w:hideMark/>
          </w:tcPr>
          <w:p w14:paraId="4A90C79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1.189,67</w:t>
            </w:r>
          </w:p>
        </w:tc>
        <w:tc>
          <w:tcPr>
            <w:tcW w:w="1169" w:type="dxa"/>
            <w:tcBorders>
              <w:top w:val="nil"/>
              <w:left w:val="nil"/>
              <w:bottom w:val="single" w:sz="4" w:space="0" w:color="auto"/>
              <w:right w:val="single" w:sz="4" w:space="0" w:color="auto"/>
            </w:tcBorders>
            <w:shd w:val="clear" w:color="auto" w:fill="auto"/>
            <w:noWrap/>
            <w:vAlign w:val="bottom"/>
            <w:hideMark/>
          </w:tcPr>
          <w:p w14:paraId="2F45C2D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107,02</w:t>
            </w:r>
          </w:p>
        </w:tc>
        <w:tc>
          <w:tcPr>
            <w:tcW w:w="1127" w:type="dxa"/>
            <w:tcBorders>
              <w:top w:val="nil"/>
              <w:left w:val="nil"/>
              <w:bottom w:val="single" w:sz="4" w:space="0" w:color="auto"/>
              <w:right w:val="single" w:sz="4" w:space="0" w:color="auto"/>
            </w:tcBorders>
            <w:shd w:val="clear" w:color="auto" w:fill="auto"/>
            <w:noWrap/>
            <w:vAlign w:val="bottom"/>
            <w:hideMark/>
          </w:tcPr>
          <w:p w14:paraId="2250D44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11EB77C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15F406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E355B0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0C854E30"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2A970C2" w14:textId="77777777" w:rsidR="00FE461F" w:rsidRPr="005E4BEA" w:rsidRDefault="00FE461F" w:rsidP="00FE461F">
            <w:pPr>
              <w:spacing w:line="240" w:lineRule="auto"/>
              <w:rPr>
                <w:rFonts w:cs="Arial"/>
                <w:color w:val="000000"/>
                <w:szCs w:val="20"/>
              </w:rPr>
            </w:pPr>
            <w:r w:rsidRPr="005E4BEA">
              <w:rPr>
                <w:rFonts w:cs="Arial"/>
                <w:color w:val="000000"/>
                <w:szCs w:val="20"/>
              </w:rPr>
              <w:t>Domžale</w:t>
            </w:r>
          </w:p>
        </w:tc>
        <w:tc>
          <w:tcPr>
            <w:tcW w:w="1222" w:type="dxa"/>
            <w:tcBorders>
              <w:top w:val="nil"/>
              <w:left w:val="nil"/>
              <w:bottom w:val="single" w:sz="4" w:space="0" w:color="auto"/>
              <w:right w:val="single" w:sz="4" w:space="0" w:color="auto"/>
            </w:tcBorders>
            <w:shd w:val="clear" w:color="auto" w:fill="auto"/>
            <w:noWrap/>
            <w:vAlign w:val="bottom"/>
            <w:hideMark/>
          </w:tcPr>
          <w:p w14:paraId="7957A7E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12.948</w:t>
            </w:r>
          </w:p>
        </w:tc>
        <w:tc>
          <w:tcPr>
            <w:tcW w:w="858" w:type="dxa"/>
            <w:tcBorders>
              <w:top w:val="nil"/>
              <w:left w:val="nil"/>
              <w:bottom w:val="single" w:sz="4" w:space="0" w:color="auto"/>
              <w:right w:val="single" w:sz="4" w:space="0" w:color="auto"/>
            </w:tcBorders>
            <w:shd w:val="clear" w:color="auto" w:fill="auto"/>
            <w:noWrap/>
            <w:vAlign w:val="bottom"/>
            <w:hideMark/>
          </w:tcPr>
          <w:p w14:paraId="32D22D0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7,75</w:t>
            </w:r>
          </w:p>
        </w:tc>
        <w:tc>
          <w:tcPr>
            <w:tcW w:w="1095" w:type="dxa"/>
            <w:tcBorders>
              <w:top w:val="nil"/>
              <w:left w:val="nil"/>
              <w:bottom w:val="single" w:sz="4" w:space="0" w:color="auto"/>
              <w:right w:val="single" w:sz="4" w:space="0" w:color="auto"/>
            </w:tcBorders>
            <w:shd w:val="clear" w:color="auto" w:fill="auto"/>
            <w:noWrap/>
            <w:vAlign w:val="bottom"/>
            <w:hideMark/>
          </w:tcPr>
          <w:p w14:paraId="4417329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1.670,71</w:t>
            </w:r>
          </w:p>
        </w:tc>
        <w:tc>
          <w:tcPr>
            <w:tcW w:w="1169" w:type="dxa"/>
            <w:tcBorders>
              <w:top w:val="nil"/>
              <w:left w:val="nil"/>
              <w:bottom w:val="single" w:sz="4" w:space="0" w:color="auto"/>
              <w:right w:val="single" w:sz="4" w:space="0" w:color="auto"/>
            </w:tcBorders>
            <w:shd w:val="clear" w:color="auto" w:fill="auto"/>
            <w:noWrap/>
            <w:vAlign w:val="bottom"/>
            <w:hideMark/>
          </w:tcPr>
          <w:p w14:paraId="48FD007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76,21</w:t>
            </w:r>
          </w:p>
        </w:tc>
        <w:tc>
          <w:tcPr>
            <w:tcW w:w="1127" w:type="dxa"/>
            <w:tcBorders>
              <w:top w:val="nil"/>
              <w:left w:val="nil"/>
              <w:bottom w:val="single" w:sz="4" w:space="0" w:color="auto"/>
              <w:right w:val="single" w:sz="4" w:space="0" w:color="auto"/>
            </w:tcBorders>
            <w:shd w:val="clear" w:color="auto" w:fill="auto"/>
            <w:noWrap/>
            <w:vAlign w:val="bottom"/>
            <w:hideMark/>
          </w:tcPr>
          <w:p w14:paraId="2D0853E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0,09</w:t>
            </w:r>
          </w:p>
        </w:tc>
        <w:tc>
          <w:tcPr>
            <w:tcW w:w="754" w:type="dxa"/>
            <w:tcBorders>
              <w:top w:val="nil"/>
              <w:left w:val="nil"/>
              <w:bottom w:val="single" w:sz="4" w:space="0" w:color="auto"/>
              <w:right w:val="single" w:sz="4" w:space="0" w:color="auto"/>
            </w:tcBorders>
            <w:shd w:val="clear" w:color="auto" w:fill="auto"/>
            <w:noWrap/>
            <w:vAlign w:val="bottom"/>
            <w:hideMark/>
          </w:tcPr>
          <w:p w14:paraId="3387FAB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2,42</w:t>
            </w:r>
          </w:p>
        </w:tc>
        <w:tc>
          <w:tcPr>
            <w:tcW w:w="1063" w:type="dxa"/>
            <w:tcBorders>
              <w:top w:val="nil"/>
              <w:left w:val="nil"/>
              <w:bottom w:val="single" w:sz="4" w:space="0" w:color="auto"/>
              <w:right w:val="single" w:sz="4" w:space="0" w:color="auto"/>
            </w:tcBorders>
            <w:shd w:val="clear" w:color="auto" w:fill="auto"/>
            <w:noWrap/>
            <w:vAlign w:val="bottom"/>
            <w:hideMark/>
          </w:tcPr>
          <w:p w14:paraId="02A94B7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3C0F50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2EBF7269"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711551D7" w14:textId="77777777" w:rsidR="00FE461F" w:rsidRPr="005E4BEA" w:rsidRDefault="00FE461F" w:rsidP="00FE461F">
            <w:pPr>
              <w:spacing w:line="240" w:lineRule="auto"/>
              <w:rPr>
                <w:rFonts w:cs="Arial"/>
                <w:color w:val="000000"/>
                <w:szCs w:val="20"/>
              </w:rPr>
            </w:pPr>
            <w:r w:rsidRPr="005E4BEA">
              <w:rPr>
                <w:rFonts w:cs="Arial"/>
                <w:color w:val="000000"/>
                <w:szCs w:val="20"/>
              </w:rPr>
              <w:t>Grosuplje</w:t>
            </w:r>
          </w:p>
        </w:tc>
        <w:tc>
          <w:tcPr>
            <w:tcW w:w="1222" w:type="dxa"/>
            <w:tcBorders>
              <w:top w:val="nil"/>
              <w:left w:val="nil"/>
              <w:bottom w:val="single" w:sz="4" w:space="0" w:color="auto"/>
              <w:right w:val="single" w:sz="4" w:space="0" w:color="auto"/>
            </w:tcBorders>
            <w:shd w:val="clear" w:color="000000" w:fill="FFFFFF"/>
            <w:noWrap/>
            <w:vAlign w:val="bottom"/>
            <w:hideMark/>
          </w:tcPr>
          <w:p w14:paraId="59F18D1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9.391</w:t>
            </w:r>
          </w:p>
        </w:tc>
        <w:tc>
          <w:tcPr>
            <w:tcW w:w="858" w:type="dxa"/>
            <w:tcBorders>
              <w:top w:val="nil"/>
              <w:left w:val="nil"/>
              <w:bottom w:val="single" w:sz="4" w:space="0" w:color="auto"/>
              <w:right w:val="single" w:sz="4" w:space="0" w:color="auto"/>
            </w:tcBorders>
            <w:shd w:val="clear" w:color="auto" w:fill="auto"/>
            <w:noWrap/>
            <w:vAlign w:val="bottom"/>
            <w:hideMark/>
          </w:tcPr>
          <w:p w14:paraId="22BF232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8,38</w:t>
            </w:r>
          </w:p>
        </w:tc>
        <w:tc>
          <w:tcPr>
            <w:tcW w:w="1095" w:type="dxa"/>
            <w:tcBorders>
              <w:top w:val="nil"/>
              <w:left w:val="nil"/>
              <w:bottom w:val="single" w:sz="4" w:space="0" w:color="auto"/>
              <w:right w:val="single" w:sz="4" w:space="0" w:color="auto"/>
            </w:tcBorders>
            <w:shd w:val="clear" w:color="auto" w:fill="auto"/>
            <w:noWrap/>
            <w:vAlign w:val="bottom"/>
            <w:hideMark/>
          </w:tcPr>
          <w:p w14:paraId="19B4103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1.120,64</w:t>
            </w:r>
          </w:p>
        </w:tc>
        <w:tc>
          <w:tcPr>
            <w:tcW w:w="1169" w:type="dxa"/>
            <w:tcBorders>
              <w:top w:val="nil"/>
              <w:left w:val="nil"/>
              <w:bottom w:val="single" w:sz="4" w:space="0" w:color="auto"/>
              <w:right w:val="single" w:sz="4" w:space="0" w:color="auto"/>
            </w:tcBorders>
            <w:shd w:val="clear" w:color="auto" w:fill="auto"/>
            <w:noWrap/>
            <w:vAlign w:val="bottom"/>
            <w:hideMark/>
          </w:tcPr>
          <w:p w14:paraId="2BDEFCA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113,61</w:t>
            </w:r>
          </w:p>
        </w:tc>
        <w:tc>
          <w:tcPr>
            <w:tcW w:w="1127" w:type="dxa"/>
            <w:tcBorders>
              <w:top w:val="nil"/>
              <w:left w:val="nil"/>
              <w:bottom w:val="single" w:sz="4" w:space="0" w:color="auto"/>
              <w:right w:val="single" w:sz="4" w:space="0" w:color="auto"/>
            </w:tcBorders>
            <w:shd w:val="clear" w:color="auto" w:fill="auto"/>
            <w:noWrap/>
            <w:vAlign w:val="bottom"/>
            <w:hideMark/>
          </w:tcPr>
          <w:p w14:paraId="248F510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2923985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598EB1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710" w:type="dxa"/>
            <w:tcBorders>
              <w:top w:val="nil"/>
              <w:left w:val="nil"/>
              <w:bottom w:val="single" w:sz="4" w:space="0" w:color="auto"/>
              <w:right w:val="single" w:sz="4" w:space="0" w:color="auto"/>
            </w:tcBorders>
            <w:shd w:val="clear" w:color="auto" w:fill="auto"/>
            <w:noWrap/>
            <w:vAlign w:val="bottom"/>
            <w:hideMark/>
          </w:tcPr>
          <w:p w14:paraId="667EEFB9"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5A0BF68"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0194F6B2" w14:textId="77777777" w:rsidR="00FE461F" w:rsidRPr="005E4BEA" w:rsidRDefault="00FE461F" w:rsidP="00FE461F">
            <w:pPr>
              <w:spacing w:line="240" w:lineRule="auto"/>
              <w:rPr>
                <w:rFonts w:cs="Arial"/>
                <w:color w:val="000000"/>
                <w:szCs w:val="20"/>
              </w:rPr>
            </w:pPr>
            <w:r w:rsidRPr="005E4BEA">
              <w:rPr>
                <w:rFonts w:cs="Arial"/>
                <w:color w:val="000000"/>
                <w:szCs w:val="20"/>
              </w:rPr>
              <w:t>Hrastnik</w:t>
            </w:r>
          </w:p>
        </w:tc>
        <w:tc>
          <w:tcPr>
            <w:tcW w:w="1222" w:type="dxa"/>
            <w:tcBorders>
              <w:top w:val="nil"/>
              <w:left w:val="nil"/>
              <w:bottom w:val="single" w:sz="4" w:space="0" w:color="auto"/>
              <w:right w:val="single" w:sz="4" w:space="0" w:color="auto"/>
            </w:tcBorders>
            <w:shd w:val="clear" w:color="000000" w:fill="FFFFFF"/>
            <w:noWrap/>
            <w:vAlign w:val="bottom"/>
            <w:hideMark/>
          </w:tcPr>
          <w:p w14:paraId="4AC8C84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1.439</w:t>
            </w:r>
          </w:p>
        </w:tc>
        <w:tc>
          <w:tcPr>
            <w:tcW w:w="858" w:type="dxa"/>
            <w:tcBorders>
              <w:top w:val="nil"/>
              <w:left w:val="nil"/>
              <w:bottom w:val="single" w:sz="4" w:space="0" w:color="auto"/>
              <w:right w:val="single" w:sz="4" w:space="0" w:color="auto"/>
            </w:tcBorders>
            <w:shd w:val="clear" w:color="auto" w:fill="auto"/>
            <w:noWrap/>
            <w:vAlign w:val="bottom"/>
            <w:hideMark/>
          </w:tcPr>
          <w:p w14:paraId="13B74B4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1,77</w:t>
            </w:r>
          </w:p>
        </w:tc>
        <w:tc>
          <w:tcPr>
            <w:tcW w:w="1095" w:type="dxa"/>
            <w:tcBorders>
              <w:top w:val="nil"/>
              <w:left w:val="nil"/>
              <w:bottom w:val="single" w:sz="4" w:space="0" w:color="auto"/>
              <w:right w:val="single" w:sz="4" w:space="0" w:color="auto"/>
            </w:tcBorders>
            <w:shd w:val="clear" w:color="auto" w:fill="auto"/>
            <w:noWrap/>
            <w:vAlign w:val="bottom"/>
            <w:hideMark/>
          </w:tcPr>
          <w:p w14:paraId="79D04DD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812,99</w:t>
            </w:r>
          </w:p>
        </w:tc>
        <w:tc>
          <w:tcPr>
            <w:tcW w:w="1169" w:type="dxa"/>
            <w:tcBorders>
              <w:top w:val="nil"/>
              <w:left w:val="nil"/>
              <w:bottom w:val="single" w:sz="4" w:space="0" w:color="auto"/>
              <w:right w:val="single" w:sz="4" w:space="0" w:color="auto"/>
            </w:tcBorders>
            <w:shd w:val="clear" w:color="auto" w:fill="auto"/>
            <w:noWrap/>
            <w:vAlign w:val="bottom"/>
            <w:hideMark/>
          </w:tcPr>
          <w:p w14:paraId="474729E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156,61</w:t>
            </w:r>
          </w:p>
        </w:tc>
        <w:tc>
          <w:tcPr>
            <w:tcW w:w="1127" w:type="dxa"/>
            <w:tcBorders>
              <w:top w:val="nil"/>
              <w:left w:val="nil"/>
              <w:bottom w:val="single" w:sz="4" w:space="0" w:color="auto"/>
              <w:right w:val="single" w:sz="4" w:space="0" w:color="auto"/>
            </w:tcBorders>
            <w:shd w:val="clear" w:color="auto" w:fill="auto"/>
            <w:noWrap/>
            <w:vAlign w:val="bottom"/>
            <w:hideMark/>
          </w:tcPr>
          <w:p w14:paraId="101EE22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BD7A3B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AB0E61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F770FA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15FDADC"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72DBB9AB" w14:textId="77777777" w:rsidR="00FE461F" w:rsidRPr="005E4BEA" w:rsidRDefault="00FE461F" w:rsidP="00FE461F">
            <w:pPr>
              <w:spacing w:line="240" w:lineRule="auto"/>
              <w:rPr>
                <w:rFonts w:cs="Arial"/>
                <w:color w:val="000000"/>
                <w:szCs w:val="20"/>
              </w:rPr>
            </w:pPr>
            <w:r w:rsidRPr="005E4BEA">
              <w:rPr>
                <w:rFonts w:cs="Arial"/>
                <w:color w:val="000000"/>
                <w:szCs w:val="20"/>
              </w:rPr>
              <w:t>Idrija</w:t>
            </w:r>
          </w:p>
        </w:tc>
        <w:tc>
          <w:tcPr>
            <w:tcW w:w="1222" w:type="dxa"/>
            <w:tcBorders>
              <w:top w:val="nil"/>
              <w:left w:val="nil"/>
              <w:bottom w:val="single" w:sz="4" w:space="0" w:color="auto"/>
              <w:right w:val="single" w:sz="4" w:space="0" w:color="auto"/>
            </w:tcBorders>
            <w:shd w:val="clear" w:color="000000" w:fill="FFFFFF"/>
            <w:noWrap/>
            <w:vAlign w:val="bottom"/>
            <w:hideMark/>
          </w:tcPr>
          <w:p w14:paraId="726EBA7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2.984</w:t>
            </w:r>
          </w:p>
        </w:tc>
        <w:tc>
          <w:tcPr>
            <w:tcW w:w="858" w:type="dxa"/>
            <w:tcBorders>
              <w:top w:val="nil"/>
              <w:left w:val="nil"/>
              <w:bottom w:val="single" w:sz="4" w:space="0" w:color="auto"/>
              <w:right w:val="single" w:sz="4" w:space="0" w:color="auto"/>
            </w:tcBorders>
            <w:shd w:val="clear" w:color="auto" w:fill="auto"/>
            <w:noWrap/>
            <w:vAlign w:val="bottom"/>
            <w:hideMark/>
          </w:tcPr>
          <w:p w14:paraId="1CF5913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2,54</w:t>
            </w:r>
          </w:p>
        </w:tc>
        <w:tc>
          <w:tcPr>
            <w:tcW w:w="1095" w:type="dxa"/>
            <w:tcBorders>
              <w:top w:val="nil"/>
              <w:left w:val="nil"/>
              <w:bottom w:val="single" w:sz="4" w:space="0" w:color="auto"/>
              <w:right w:val="single" w:sz="4" w:space="0" w:color="auto"/>
            </w:tcBorders>
            <w:shd w:val="clear" w:color="auto" w:fill="auto"/>
            <w:noWrap/>
            <w:vAlign w:val="bottom"/>
            <w:hideMark/>
          </w:tcPr>
          <w:p w14:paraId="13D01D2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1.174,80</w:t>
            </w:r>
          </w:p>
        </w:tc>
        <w:tc>
          <w:tcPr>
            <w:tcW w:w="1169" w:type="dxa"/>
            <w:tcBorders>
              <w:top w:val="nil"/>
              <w:left w:val="nil"/>
              <w:bottom w:val="single" w:sz="4" w:space="0" w:color="auto"/>
              <w:right w:val="single" w:sz="4" w:space="0" w:color="auto"/>
            </w:tcBorders>
            <w:shd w:val="clear" w:color="auto" w:fill="auto"/>
            <w:noWrap/>
            <w:vAlign w:val="bottom"/>
            <w:hideMark/>
          </w:tcPr>
          <w:p w14:paraId="31FA5F6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108,38</w:t>
            </w:r>
          </w:p>
        </w:tc>
        <w:tc>
          <w:tcPr>
            <w:tcW w:w="1127" w:type="dxa"/>
            <w:tcBorders>
              <w:top w:val="nil"/>
              <w:left w:val="nil"/>
              <w:bottom w:val="single" w:sz="4" w:space="0" w:color="auto"/>
              <w:right w:val="single" w:sz="4" w:space="0" w:color="auto"/>
            </w:tcBorders>
            <w:shd w:val="clear" w:color="auto" w:fill="auto"/>
            <w:noWrap/>
            <w:vAlign w:val="bottom"/>
            <w:hideMark/>
          </w:tcPr>
          <w:p w14:paraId="6D2A687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EF5FDE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E1AB07C"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0F13A8C"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58B56498"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55C0722" w14:textId="77777777" w:rsidR="00FE461F" w:rsidRPr="005E4BEA" w:rsidRDefault="00FE461F" w:rsidP="00FE461F">
            <w:pPr>
              <w:spacing w:line="240" w:lineRule="auto"/>
              <w:rPr>
                <w:rFonts w:cs="Arial"/>
                <w:color w:val="000000"/>
                <w:szCs w:val="20"/>
              </w:rPr>
            </w:pPr>
            <w:r w:rsidRPr="005E4BEA">
              <w:rPr>
                <w:rFonts w:cs="Arial"/>
                <w:color w:val="000000"/>
                <w:szCs w:val="20"/>
              </w:rPr>
              <w:t>Kamnik</w:t>
            </w:r>
          </w:p>
        </w:tc>
        <w:tc>
          <w:tcPr>
            <w:tcW w:w="1222" w:type="dxa"/>
            <w:tcBorders>
              <w:top w:val="nil"/>
              <w:left w:val="nil"/>
              <w:bottom w:val="single" w:sz="4" w:space="0" w:color="auto"/>
              <w:right w:val="single" w:sz="4" w:space="0" w:color="auto"/>
            </w:tcBorders>
            <w:shd w:val="clear" w:color="000000" w:fill="FFFFFF"/>
            <w:noWrap/>
            <w:vAlign w:val="bottom"/>
            <w:hideMark/>
          </w:tcPr>
          <w:p w14:paraId="768A7BB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7.833</w:t>
            </w:r>
          </w:p>
        </w:tc>
        <w:tc>
          <w:tcPr>
            <w:tcW w:w="858" w:type="dxa"/>
            <w:tcBorders>
              <w:top w:val="nil"/>
              <w:left w:val="nil"/>
              <w:bottom w:val="single" w:sz="4" w:space="0" w:color="auto"/>
              <w:right w:val="single" w:sz="4" w:space="0" w:color="auto"/>
            </w:tcBorders>
            <w:shd w:val="clear" w:color="auto" w:fill="auto"/>
            <w:noWrap/>
            <w:vAlign w:val="bottom"/>
            <w:hideMark/>
          </w:tcPr>
          <w:p w14:paraId="39B8150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5,34</w:t>
            </w:r>
          </w:p>
        </w:tc>
        <w:tc>
          <w:tcPr>
            <w:tcW w:w="1095" w:type="dxa"/>
            <w:tcBorders>
              <w:top w:val="nil"/>
              <w:left w:val="nil"/>
              <w:bottom w:val="single" w:sz="4" w:space="0" w:color="auto"/>
              <w:right w:val="single" w:sz="4" w:space="0" w:color="auto"/>
            </w:tcBorders>
            <w:shd w:val="clear" w:color="auto" w:fill="auto"/>
            <w:noWrap/>
            <w:vAlign w:val="bottom"/>
            <w:hideMark/>
          </w:tcPr>
          <w:p w14:paraId="660CBFA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1.466,85</w:t>
            </w:r>
          </w:p>
        </w:tc>
        <w:tc>
          <w:tcPr>
            <w:tcW w:w="1169" w:type="dxa"/>
            <w:tcBorders>
              <w:top w:val="nil"/>
              <w:left w:val="nil"/>
              <w:bottom w:val="single" w:sz="4" w:space="0" w:color="auto"/>
              <w:right w:val="single" w:sz="4" w:space="0" w:color="auto"/>
            </w:tcBorders>
            <w:shd w:val="clear" w:color="auto" w:fill="auto"/>
            <w:noWrap/>
            <w:vAlign w:val="bottom"/>
            <w:hideMark/>
          </w:tcPr>
          <w:p w14:paraId="1222713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86,80</w:t>
            </w:r>
          </w:p>
        </w:tc>
        <w:tc>
          <w:tcPr>
            <w:tcW w:w="1127" w:type="dxa"/>
            <w:tcBorders>
              <w:top w:val="nil"/>
              <w:left w:val="nil"/>
              <w:bottom w:val="single" w:sz="4" w:space="0" w:color="auto"/>
              <w:right w:val="single" w:sz="4" w:space="0" w:color="auto"/>
            </w:tcBorders>
            <w:shd w:val="clear" w:color="auto" w:fill="auto"/>
            <w:noWrap/>
            <w:vAlign w:val="bottom"/>
            <w:hideMark/>
          </w:tcPr>
          <w:p w14:paraId="4E5F3B1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366B3DA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B28BDAE"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750194C6"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64BE7056"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1E0EE04" w14:textId="77777777" w:rsidR="00FE461F" w:rsidRPr="005E4BEA" w:rsidRDefault="00FE461F" w:rsidP="00FE461F">
            <w:pPr>
              <w:spacing w:line="240" w:lineRule="auto"/>
              <w:rPr>
                <w:rFonts w:cs="Arial"/>
                <w:color w:val="000000"/>
                <w:szCs w:val="20"/>
              </w:rPr>
            </w:pPr>
            <w:r w:rsidRPr="005E4BEA">
              <w:rPr>
                <w:rFonts w:cs="Arial"/>
                <w:color w:val="000000"/>
                <w:szCs w:val="20"/>
              </w:rPr>
              <w:t>Kočevje</w:t>
            </w:r>
          </w:p>
        </w:tc>
        <w:tc>
          <w:tcPr>
            <w:tcW w:w="1222" w:type="dxa"/>
            <w:tcBorders>
              <w:top w:val="nil"/>
              <w:left w:val="nil"/>
              <w:bottom w:val="single" w:sz="4" w:space="0" w:color="auto"/>
              <w:right w:val="single" w:sz="4" w:space="0" w:color="auto"/>
            </w:tcBorders>
            <w:shd w:val="clear" w:color="000000" w:fill="FFFFFF"/>
            <w:noWrap/>
            <w:vAlign w:val="bottom"/>
            <w:hideMark/>
          </w:tcPr>
          <w:p w14:paraId="6D17DE4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2.989</w:t>
            </w:r>
          </w:p>
        </w:tc>
        <w:tc>
          <w:tcPr>
            <w:tcW w:w="858" w:type="dxa"/>
            <w:tcBorders>
              <w:top w:val="nil"/>
              <w:left w:val="nil"/>
              <w:bottom w:val="single" w:sz="4" w:space="0" w:color="auto"/>
              <w:right w:val="single" w:sz="4" w:space="0" w:color="auto"/>
            </w:tcBorders>
            <w:shd w:val="clear" w:color="auto" w:fill="auto"/>
            <w:noWrap/>
            <w:vAlign w:val="bottom"/>
            <w:hideMark/>
          </w:tcPr>
          <w:p w14:paraId="47B726E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2,00</w:t>
            </w:r>
          </w:p>
        </w:tc>
        <w:tc>
          <w:tcPr>
            <w:tcW w:w="1095" w:type="dxa"/>
            <w:tcBorders>
              <w:top w:val="nil"/>
              <w:left w:val="nil"/>
              <w:bottom w:val="single" w:sz="4" w:space="0" w:color="auto"/>
              <w:right w:val="single" w:sz="4" w:space="0" w:color="auto"/>
            </w:tcBorders>
            <w:shd w:val="clear" w:color="auto" w:fill="auto"/>
            <w:noWrap/>
            <w:vAlign w:val="bottom"/>
            <w:hideMark/>
          </w:tcPr>
          <w:p w14:paraId="585D49E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1.494,50</w:t>
            </w:r>
          </w:p>
        </w:tc>
        <w:tc>
          <w:tcPr>
            <w:tcW w:w="1169" w:type="dxa"/>
            <w:tcBorders>
              <w:top w:val="nil"/>
              <w:left w:val="nil"/>
              <w:bottom w:val="single" w:sz="4" w:space="0" w:color="auto"/>
              <w:right w:val="single" w:sz="4" w:space="0" w:color="auto"/>
            </w:tcBorders>
            <w:shd w:val="clear" w:color="auto" w:fill="auto"/>
            <w:noWrap/>
            <w:vAlign w:val="bottom"/>
            <w:hideMark/>
          </w:tcPr>
          <w:p w14:paraId="0DE9342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85,19</w:t>
            </w:r>
          </w:p>
        </w:tc>
        <w:tc>
          <w:tcPr>
            <w:tcW w:w="1127" w:type="dxa"/>
            <w:tcBorders>
              <w:top w:val="nil"/>
              <w:left w:val="nil"/>
              <w:bottom w:val="single" w:sz="4" w:space="0" w:color="auto"/>
              <w:right w:val="single" w:sz="4" w:space="0" w:color="auto"/>
            </w:tcBorders>
            <w:shd w:val="clear" w:color="auto" w:fill="auto"/>
            <w:noWrap/>
            <w:vAlign w:val="bottom"/>
            <w:hideMark/>
          </w:tcPr>
          <w:p w14:paraId="4681B09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785FE86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263413D"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4CA6CD9"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723B14CC"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78E87339" w14:textId="77777777" w:rsidR="00FE461F" w:rsidRPr="005E4BEA" w:rsidRDefault="00FE461F" w:rsidP="00FE461F">
            <w:pPr>
              <w:spacing w:line="240" w:lineRule="auto"/>
              <w:rPr>
                <w:rFonts w:cs="Arial"/>
                <w:color w:val="000000"/>
                <w:szCs w:val="20"/>
              </w:rPr>
            </w:pPr>
            <w:r w:rsidRPr="005E4BEA">
              <w:rPr>
                <w:rFonts w:cs="Arial"/>
                <w:color w:val="000000"/>
                <w:szCs w:val="20"/>
              </w:rPr>
              <w:t>Litija</w:t>
            </w:r>
          </w:p>
        </w:tc>
        <w:tc>
          <w:tcPr>
            <w:tcW w:w="1222" w:type="dxa"/>
            <w:tcBorders>
              <w:top w:val="nil"/>
              <w:left w:val="nil"/>
              <w:bottom w:val="single" w:sz="4" w:space="0" w:color="auto"/>
              <w:right w:val="single" w:sz="4" w:space="0" w:color="auto"/>
            </w:tcBorders>
            <w:shd w:val="clear" w:color="000000" w:fill="FFFFFF"/>
            <w:noWrap/>
            <w:vAlign w:val="bottom"/>
            <w:hideMark/>
          </w:tcPr>
          <w:p w14:paraId="089945B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4.214</w:t>
            </w:r>
          </w:p>
        </w:tc>
        <w:tc>
          <w:tcPr>
            <w:tcW w:w="858" w:type="dxa"/>
            <w:tcBorders>
              <w:top w:val="nil"/>
              <w:left w:val="nil"/>
              <w:bottom w:val="single" w:sz="4" w:space="0" w:color="auto"/>
              <w:right w:val="single" w:sz="4" w:space="0" w:color="auto"/>
            </w:tcBorders>
            <w:shd w:val="clear" w:color="auto" w:fill="auto"/>
            <w:noWrap/>
            <w:vAlign w:val="bottom"/>
            <w:hideMark/>
          </w:tcPr>
          <w:p w14:paraId="7B139E6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3,00</w:t>
            </w:r>
          </w:p>
        </w:tc>
        <w:tc>
          <w:tcPr>
            <w:tcW w:w="1095" w:type="dxa"/>
            <w:tcBorders>
              <w:top w:val="nil"/>
              <w:left w:val="nil"/>
              <w:bottom w:val="single" w:sz="4" w:space="0" w:color="auto"/>
              <w:right w:val="single" w:sz="4" w:space="0" w:color="auto"/>
            </w:tcBorders>
            <w:shd w:val="clear" w:color="auto" w:fill="auto"/>
            <w:noWrap/>
            <w:vAlign w:val="bottom"/>
            <w:hideMark/>
          </w:tcPr>
          <w:p w14:paraId="3AB075A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1.404,67</w:t>
            </w:r>
          </w:p>
        </w:tc>
        <w:tc>
          <w:tcPr>
            <w:tcW w:w="1169" w:type="dxa"/>
            <w:tcBorders>
              <w:top w:val="nil"/>
              <w:left w:val="nil"/>
              <w:bottom w:val="single" w:sz="4" w:space="0" w:color="auto"/>
              <w:right w:val="single" w:sz="4" w:space="0" w:color="auto"/>
            </w:tcBorders>
            <w:shd w:val="clear" w:color="auto" w:fill="auto"/>
            <w:noWrap/>
            <w:vAlign w:val="bottom"/>
            <w:hideMark/>
          </w:tcPr>
          <w:p w14:paraId="1E9DCC4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90,64</w:t>
            </w:r>
          </w:p>
        </w:tc>
        <w:tc>
          <w:tcPr>
            <w:tcW w:w="1127" w:type="dxa"/>
            <w:tcBorders>
              <w:top w:val="nil"/>
              <w:left w:val="nil"/>
              <w:bottom w:val="single" w:sz="4" w:space="0" w:color="auto"/>
              <w:right w:val="single" w:sz="4" w:space="0" w:color="auto"/>
            </w:tcBorders>
            <w:shd w:val="clear" w:color="auto" w:fill="auto"/>
            <w:noWrap/>
            <w:vAlign w:val="bottom"/>
            <w:hideMark/>
          </w:tcPr>
          <w:p w14:paraId="26B18B8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4421FB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7C89F3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710" w:type="dxa"/>
            <w:tcBorders>
              <w:top w:val="nil"/>
              <w:left w:val="nil"/>
              <w:bottom w:val="single" w:sz="4" w:space="0" w:color="auto"/>
              <w:right w:val="single" w:sz="4" w:space="0" w:color="auto"/>
            </w:tcBorders>
            <w:shd w:val="clear" w:color="auto" w:fill="auto"/>
            <w:noWrap/>
            <w:vAlign w:val="bottom"/>
            <w:hideMark/>
          </w:tcPr>
          <w:p w14:paraId="669160C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4A6F0194"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5F99DA22" w14:textId="77777777" w:rsidR="00FE461F" w:rsidRPr="005E4BEA" w:rsidRDefault="00FE461F" w:rsidP="00FE461F">
            <w:pPr>
              <w:spacing w:line="240" w:lineRule="auto"/>
              <w:rPr>
                <w:rFonts w:cs="Arial"/>
                <w:color w:val="000000"/>
                <w:szCs w:val="20"/>
              </w:rPr>
            </w:pPr>
            <w:r w:rsidRPr="005E4BEA">
              <w:rPr>
                <w:rFonts w:cs="Arial"/>
                <w:color w:val="000000"/>
                <w:szCs w:val="20"/>
              </w:rPr>
              <w:t>Logatec</w:t>
            </w:r>
          </w:p>
        </w:tc>
        <w:tc>
          <w:tcPr>
            <w:tcW w:w="1222" w:type="dxa"/>
            <w:tcBorders>
              <w:top w:val="nil"/>
              <w:left w:val="nil"/>
              <w:bottom w:val="single" w:sz="4" w:space="0" w:color="auto"/>
              <w:right w:val="single" w:sz="4" w:space="0" w:color="auto"/>
            </w:tcBorders>
            <w:shd w:val="clear" w:color="000000" w:fill="FFFFFF"/>
            <w:noWrap/>
            <w:vAlign w:val="bottom"/>
            <w:hideMark/>
          </w:tcPr>
          <w:p w14:paraId="2C52264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3.316</w:t>
            </w:r>
          </w:p>
        </w:tc>
        <w:tc>
          <w:tcPr>
            <w:tcW w:w="858" w:type="dxa"/>
            <w:tcBorders>
              <w:top w:val="nil"/>
              <w:left w:val="nil"/>
              <w:bottom w:val="single" w:sz="4" w:space="0" w:color="auto"/>
              <w:right w:val="single" w:sz="4" w:space="0" w:color="auto"/>
            </w:tcBorders>
            <w:shd w:val="clear" w:color="auto" w:fill="auto"/>
            <w:noWrap/>
            <w:vAlign w:val="bottom"/>
            <w:hideMark/>
          </w:tcPr>
          <w:p w14:paraId="6693B9D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2,85</w:t>
            </w:r>
          </w:p>
        </w:tc>
        <w:tc>
          <w:tcPr>
            <w:tcW w:w="1095" w:type="dxa"/>
            <w:tcBorders>
              <w:top w:val="nil"/>
              <w:left w:val="nil"/>
              <w:bottom w:val="single" w:sz="4" w:space="0" w:color="auto"/>
              <w:right w:val="single" w:sz="4" w:space="0" w:color="auto"/>
            </w:tcBorders>
            <w:shd w:val="clear" w:color="auto" w:fill="auto"/>
            <w:noWrap/>
            <w:vAlign w:val="bottom"/>
            <w:hideMark/>
          </w:tcPr>
          <w:p w14:paraId="4C4DB94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1.163,51</w:t>
            </w:r>
          </w:p>
        </w:tc>
        <w:tc>
          <w:tcPr>
            <w:tcW w:w="1169" w:type="dxa"/>
            <w:tcBorders>
              <w:top w:val="nil"/>
              <w:left w:val="nil"/>
              <w:bottom w:val="single" w:sz="4" w:space="0" w:color="auto"/>
              <w:right w:val="single" w:sz="4" w:space="0" w:color="auto"/>
            </w:tcBorders>
            <w:shd w:val="clear" w:color="auto" w:fill="auto"/>
            <w:noWrap/>
            <w:vAlign w:val="bottom"/>
            <w:hideMark/>
          </w:tcPr>
          <w:p w14:paraId="5CC9FE3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109,43</w:t>
            </w:r>
          </w:p>
        </w:tc>
        <w:tc>
          <w:tcPr>
            <w:tcW w:w="1127" w:type="dxa"/>
            <w:tcBorders>
              <w:top w:val="nil"/>
              <w:left w:val="nil"/>
              <w:bottom w:val="single" w:sz="4" w:space="0" w:color="auto"/>
              <w:right w:val="single" w:sz="4" w:space="0" w:color="auto"/>
            </w:tcBorders>
            <w:shd w:val="clear" w:color="auto" w:fill="auto"/>
            <w:noWrap/>
            <w:vAlign w:val="bottom"/>
            <w:hideMark/>
          </w:tcPr>
          <w:p w14:paraId="4C2B200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2D78C3C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CFA655C"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7D0F2E4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4251CAA8"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F9C75FE" w14:textId="77777777" w:rsidR="00FE461F" w:rsidRPr="005E4BEA" w:rsidRDefault="00FE461F" w:rsidP="00FE461F">
            <w:pPr>
              <w:spacing w:line="240" w:lineRule="auto"/>
              <w:rPr>
                <w:rFonts w:cs="Arial"/>
                <w:color w:val="000000"/>
                <w:szCs w:val="20"/>
              </w:rPr>
            </w:pPr>
            <w:r w:rsidRPr="005E4BEA">
              <w:rPr>
                <w:rFonts w:cs="Arial"/>
                <w:color w:val="000000"/>
                <w:szCs w:val="20"/>
              </w:rPr>
              <w:t>Ribnica</w:t>
            </w:r>
          </w:p>
        </w:tc>
        <w:tc>
          <w:tcPr>
            <w:tcW w:w="1222" w:type="dxa"/>
            <w:tcBorders>
              <w:top w:val="nil"/>
              <w:left w:val="nil"/>
              <w:bottom w:val="single" w:sz="4" w:space="0" w:color="auto"/>
              <w:right w:val="single" w:sz="4" w:space="0" w:color="auto"/>
            </w:tcBorders>
            <w:shd w:val="clear" w:color="auto" w:fill="auto"/>
            <w:noWrap/>
            <w:vAlign w:val="bottom"/>
            <w:hideMark/>
          </w:tcPr>
          <w:p w14:paraId="506741F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2.811</w:t>
            </w:r>
          </w:p>
        </w:tc>
        <w:tc>
          <w:tcPr>
            <w:tcW w:w="858" w:type="dxa"/>
            <w:tcBorders>
              <w:top w:val="nil"/>
              <w:left w:val="nil"/>
              <w:bottom w:val="single" w:sz="4" w:space="0" w:color="auto"/>
              <w:right w:val="single" w:sz="4" w:space="0" w:color="auto"/>
            </w:tcBorders>
            <w:shd w:val="clear" w:color="auto" w:fill="auto"/>
            <w:noWrap/>
            <w:vAlign w:val="bottom"/>
            <w:hideMark/>
          </w:tcPr>
          <w:p w14:paraId="245AF03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2,00</w:t>
            </w:r>
          </w:p>
        </w:tc>
        <w:tc>
          <w:tcPr>
            <w:tcW w:w="1095" w:type="dxa"/>
            <w:tcBorders>
              <w:top w:val="nil"/>
              <w:left w:val="nil"/>
              <w:bottom w:val="single" w:sz="4" w:space="0" w:color="auto"/>
              <w:right w:val="single" w:sz="4" w:space="0" w:color="auto"/>
            </w:tcBorders>
            <w:shd w:val="clear" w:color="auto" w:fill="auto"/>
            <w:noWrap/>
            <w:vAlign w:val="bottom"/>
            <w:hideMark/>
          </w:tcPr>
          <w:p w14:paraId="4FBDF9A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1.405,50</w:t>
            </w:r>
          </w:p>
        </w:tc>
        <w:tc>
          <w:tcPr>
            <w:tcW w:w="1169" w:type="dxa"/>
            <w:tcBorders>
              <w:top w:val="nil"/>
              <w:left w:val="nil"/>
              <w:bottom w:val="single" w:sz="4" w:space="0" w:color="auto"/>
              <w:right w:val="single" w:sz="4" w:space="0" w:color="auto"/>
            </w:tcBorders>
            <w:shd w:val="clear" w:color="auto" w:fill="auto"/>
            <w:noWrap/>
            <w:vAlign w:val="bottom"/>
            <w:hideMark/>
          </w:tcPr>
          <w:p w14:paraId="461FFBD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90,59</w:t>
            </w:r>
          </w:p>
        </w:tc>
        <w:tc>
          <w:tcPr>
            <w:tcW w:w="1127" w:type="dxa"/>
            <w:tcBorders>
              <w:top w:val="nil"/>
              <w:left w:val="nil"/>
              <w:bottom w:val="single" w:sz="4" w:space="0" w:color="auto"/>
              <w:right w:val="single" w:sz="4" w:space="0" w:color="auto"/>
            </w:tcBorders>
            <w:shd w:val="clear" w:color="auto" w:fill="auto"/>
            <w:noWrap/>
            <w:vAlign w:val="bottom"/>
            <w:hideMark/>
          </w:tcPr>
          <w:p w14:paraId="540D8EC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0,50</w:t>
            </w:r>
          </w:p>
        </w:tc>
        <w:tc>
          <w:tcPr>
            <w:tcW w:w="754" w:type="dxa"/>
            <w:tcBorders>
              <w:top w:val="nil"/>
              <w:left w:val="nil"/>
              <w:bottom w:val="single" w:sz="4" w:space="0" w:color="auto"/>
              <w:right w:val="single" w:sz="4" w:space="0" w:color="auto"/>
            </w:tcBorders>
            <w:shd w:val="clear" w:color="auto" w:fill="auto"/>
            <w:noWrap/>
            <w:vAlign w:val="bottom"/>
            <w:hideMark/>
          </w:tcPr>
          <w:p w14:paraId="272BEF3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B84F947"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75C130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28970043"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56D858D6" w14:textId="77777777" w:rsidR="00FE461F" w:rsidRPr="005E4BEA" w:rsidRDefault="00FE461F" w:rsidP="00FE461F">
            <w:pPr>
              <w:spacing w:line="240" w:lineRule="auto"/>
              <w:rPr>
                <w:rFonts w:cs="Arial"/>
                <w:color w:val="000000"/>
                <w:szCs w:val="20"/>
              </w:rPr>
            </w:pPr>
            <w:r w:rsidRPr="005E4BEA">
              <w:rPr>
                <w:rFonts w:cs="Arial"/>
                <w:color w:val="000000"/>
                <w:szCs w:val="20"/>
              </w:rPr>
              <w:t>Trbovlje</w:t>
            </w:r>
          </w:p>
        </w:tc>
        <w:tc>
          <w:tcPr>
            <w:tcW w:w="1222" w:type="dxa"/>
            <w:tcBorders>
              <w:top w:val="nil"/>
              <w:left w:val="nil"/>
              <w:bottom w:val="single" w:sz="4" w:space="0" w:color="auto"/>
              <w:right w:val="single" w:sz="4" w:space="0" w:color="auto"/>
            </w:tcBorders>
            <w:shd w:val="clear" w:color="000000" w:fill="FFFFFF"/>
            <w:noWrap/>
            <w:vAlign w:val="bottom"/>
            <w:hideMark/>
          </w:tcPr>
          <w:p w14:paraId="44D4E05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2.554</w:t>
            </w:r>
          </w:p>
        </w:tc>
        <w:tc>
          <w:tcPr>
            <w:tcW w:w="858" w:type="dxa"/>
            <w:tcBorders>
              <w:top w:val="nil"/>
              <w:left w:val="nil"/>
              <w:bottom w:val="single" w:sz="4" w:space="0" w:color="auto"/>
              <w:right w:val="single" w:sz="4" w:space="0" w:color="auto"/>
            </w:tcBorders>
            <w:shd w:val="clear" w:color="auto" w:fill="auto"/>
            <w:noWrap/>
            <w:vAlign w:val="bottom"/>
            <w:hideMark/>
          </w:tcPr>
          <w:p w14:paraId="35B0025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3,60</w:t>
            </w:r>
          </w:p>
        </w:tc>
        <w:tc>
          <w:tcPr>
            <w:tcW w:w="1095" w:type="dxa"/>
            <w:tcBorders>
              <w:top w:val="nil"/>
              <w:left w:val="nil"/>
              <w:bottom w:val="single" w:sz="4" w:space="0" w:color="auto"/>
              <w:right w:val="single" w:sz="4" w:space="0" w:color="auto"/>
            </w:tcBorders>
            <w:shd w:val="clear" w:color="auto" w:fill="auto"/>
            <w:noWrap/>
            <w:vAlign w:val="bottom"/>
            <w:hideMark/>
          </w:tcPr>
          <w:p w14:paraId="3C57749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709,44</w:t>
            </w:r>
          </w:p>
        </w:tc>
        <w:tc>
          <w:tcPr>
            <w:tcW w:w="1169" w:type="dxa"/>
            <w:tcBorders>
              <w:top w:val="nil"/>
              <w:left w:val="nil"/>
              <w:bottom w:val="single" w:sz="4" w:space="0" w:color="auto"/>
              <w:right w:val="single" w:sz="4" w:space="0" w:color="auto"/>
            </w:tcBorders>
            <w:shd w:val="clear" w:color="auto" w:fill="auto"/>
            <w:noWrap/>
            <w:vAlign w:val="bottom"/>
            <w:hideMark/>
          </w:tcPr>
          <w:p w14:paraId="021F9CC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179,46</w:t>
            </w:r>
          </w:p>
        </w:tc>
        <w:tc>
          <w:tcPr>
            <w:tcW w:w="1127" w:type="dxa"/>
            <w:tcBorders>
              <w:top w:val="nil"/>
              <w:left w:val="nil"/>
              <w:bottom w:val="single" w:sz="4" w:space="0" w:color="auto"/>
              <w:right w:val="single" w:sz="4" w:space="0" w:color="auto"/>
            </w:tcBorders>
            <w:shd w:val="clear" w:color="auto" w:fill="auto"/>
            <w:noWrap/>
            <w:vAlign w:val="bottom"/>
            <w:hideMark/>
          </w:tcPr>
          <w:p w14:paraId="11CEE17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8ACD4F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29732229"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40F2403B"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53F3BC7"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F1C23D" w14:textId="77777777" w:rsidR="00FE461F" w:rsidRPr="005E4BEA" w:rsidRDefault="00FE461F" w:rsidP="00FE461F">
            <w:pPr>
              <w:spacing w:line="240" w:lineRule="auto"/>
              <w:rPr>
                <w:rFonts w:cs="Arial"/>
                <w:color w:val="000000"/>
                <w:szCs w:val="20"/>
              </w:rPr>
            </w:pPr>
            <w:r w:rsidRPr="005E4BEA">
              <w:rPr>
                <w:rFonts w:cs="Arial"/>
                <w:color w:val="000000"/>
                <w:szCs w:val="20"/>
              </w:rPr>
              <w:lastRenderedPageBreak/>
              <w:t>Vrhnika</w:t>
            </w:r>
          </w:p>
        </w:tc>
        <w:tc>
          <w:tcPr>
            <w:tcW w:w="1222" w:type="dxa"/>
            <w:tcBorders>
              <w:top w:val="nil"/>
              <w:left w:val="nil"/>
              <w:bottom w:val="single" w:sz="4" w:space="0" w:color="auto"/>
              <w:right w:val="single" w:sz="4" w:space="0" w:color="auto"/>
            </w:tcBorders>
            <w:shd w:val="clear" w:color="auto" w:fill="auto"/>
            <w:noWrap/>
            <w:vAlign w:val="bottom"/>
            <w:hideMark/>
          </w:tcPr>
          <w:p w14:paraId="2CB564F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5.407</w:t>
            </w:r>
          </w:p>
        </w:tc>
        <w:tc>
          <w:tcPr>
            <w:tcW w:w="858" w:type="dxa"/>
            <w:tcBorders>
              <w:top w:val="nil"/>
              <w:left w:val="nil"/>
              <w:bottom w:val="single" w:sz="4" w:space="0" w:color="auto"/>
              <w:right w:val="single" w:sz="4" w:space="0" w:color="auto"/>
            </w:tcBorders>
            <w:shd w:val="clear" w:color="auto" w:fill="auto"/>
            <w:noWrap/>
            <w:vAlign w:val="bottom"/>
            <w:hideMark/>
          </w:tcPr>
          <w:p w14:paraId="45EF4A8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3,05</w:t>
            </w:r>
          </w:p>
        </w:tc>
        <w:tc>
          <w:tcPr>
            <w:tcW w:w="1095" w:type="dxa"/>
            <w:tcBorders>
              <w:top w:val="nil"/>
              <w:left w:val="nil"/>
              <w:bottom w:val="single" w:sz="4" w:space="0" w:color="auto"/>
              <w:right w:val="single" w:sz="4" w:space="0" w:color="auto"/>
            </w:tcBorders>
            <w:shd w:val="clear" w:color="auto" w:fill="auto"/>
            <w:noWrap/>
            <w:vAlign w:val="bottom"/>
            <w:hideMark/>
          </w:tcPr>
          <w:p w14:paraId="080AB4A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1.772,79</w:t>
            </w:r>
          </w:p>
        </w:tc>
        <w:tc>
          <w:tcPr>
            <w:tcW w:w="1169" w:type="dxa"/>
            <w:tcBorders>
              <w:top w:val="nil"/>
              <w:left w:val="nil"/>
              <w:bottom w:val="single" w:sz="4" w:space="0" w:color="auto"/>
              <w:right w:val="single" w:sz="4" w:space="0" w:color="auto"/>
            </w:tcBorders>
            <w:shd w:val="clear" w:color="auto" w:fill="auto"/>
            <w:noWrap/>
            <w:vAlign w:val="bottom"/>
            <w:hideMark/>
          </w:tcPr>
          <w:p w14:paraId="1DC1001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71,82</w:t>
            </w:r>
          </w:p>
        </w:tc>
        <w:tc>
          <w:tcPr>
            <w:tcW w:w="1127" w:type="dxa"/>
            <w:tcBorders>
              <w:top w:val="nil"/>
              <w:left w:val="nil"/>
              <w:bottom w:val="single" w:sz="4" w:space="0" w:color="auto"/>
              <w:right w:val="single" w:sz="4" w:space="0" w:color="auto"/>
            </w:tcBorders>
            <w:shd w:val="clear" w:color="auto" w:fill="auto"/>
            <w:noWrap/>
            <w:vAlign w:val="bottom"/>
            <w:hideMark/>
          </w:tcPr>
          <w:p w14:paraId="102D96F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005AAC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1,20</w:t>
            </w:r>
          </w:p>
        </w:tc>
        <w:tc>
          <w:tcPr>
            <w:tcW w:w="1063" w:type="dxa"/>
            <w:tcBorders>
              <w:top w:val="nil"/>
              <w:left w:val="nil"/>
              <w:bottom w:val="single" w:sz="4" w:space="0" w:color="auto"/>
              <w:right w:val="single" w:sz="4" w:space="0" w:color="auto"/>
            </w:tcBorders>
            <w:shd w:val="clear" w:color="auto" w:fill="auto"/>
            <w:noWrap/>
            <w:vAlign w:val="bottom"/>
            <w:hideMark/>
          </w:tcPr>
          <w:p w14:paraId="3475190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B4D72F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4DC39FC5"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55E50BEC" w14:textId="77777777" w:rsidR="00FE461F" w:rsidRPr="005E4BEA" w:rsidRDefault="00FE461F" w:rsidP="00FE461F">
            <w:pPr>
              <w:spacing w:line="240" w:lineRule="auto"/>
              <w:rPr>
                <w:rFonts w:cs="Arial"/>
                <w:color w:val="000000"/>
                <w:szCs w:val="20"/>
              </w:rPr>
            </w:pPr>
            <w:r w:rsidRPr="005E4BEA">
              <w:rPr>
                <w:rFonts w:cs="Arial"/>
                <w:color w:val="000000"/>
                <w:szCs w:val="20"/>
              </w:rPr>
              <w:t>Zagorje</w:t>
            </w:r>
          </w:p>
        </w:tc>
        <w:tc>
          <w:tcPr>
            <w:tcW w:w="1222" w:type="dxa"/>
            <w:tcBorders>
              <w:top w:val="nil"/>
              <w:left w:val="nil"/>
              <w:bottom w:val="single" w:sz="4" w:space="0" w:color="auto"/>
              <w:right w:val="single" w:sz="4" w:space="0" w:color="auto"/>
            </w:tcBorders>
            <w:shd w:val="clear" w:color="000000" w:fill="FFFFFF"/>
            <w:noWrap/>
            <w:vAlign w:val="bottom"/>
            <w:hideMark/>
          </w:tcPr>
          <w:p w14:paraId="4F07334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3.090</w:t>
            </w:r>
          </w:p>
        </w:tc>
        <w:tc>
          <w:tcPr>
            <w:tcW w:w="858" w:type="dxa"/>
            <w:tcBorders>
              <w:top w:val="nil"/>
              <w:left w:val="nil"/>
              <w:bottom w:val="single" w:sz="4" w:space="0" w:color="auto"/>
              <w:right w:val="single" w:sz="4" w:space="0" w:color="auto"/>
            </w:tcBorders>
            <w:shd w:val="clear" w:color="auto" w:fill="auto"/>
            <w:noWrap/>
            <w:vAlign w:val="bottom"/>
            <w:hideMark/>
          </w:tcPr>
          <w:p w14:paraId="6246FCC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3,38</w:t>
            </w:r>
          </w:p>
        </w:tc>
        <w:tc>
          <w:tcPr>
            <w:tcW w:w="1095" w:type="dxa"/>
            <w:tcBorders>
              <w:top w:val="nil"/>
              <w:left w:val="nil"/>
              <w:bottom w:val="single" w:sz="4" w:space="0" w:color="auto"/>
              <w:right w:val="single" w:sz="4" w:space="0" w:color="auto"/>
            </w:tcBorders>
            <w:shd w:val="clear" w:color="auto" w:fill="auto"/>
            <w:noWrap/>
            <w:vAlign w:val="bottom"/>
            <w:hideMark/>
          </w:tcPr>
          <w:p w14:paraId="585BBA1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914,20</w:t>
            </w:r>
          </w:p>
        </w:tc>
        <w:tc>
          <w:tcPr>
            <w:tcW w:w="1169" w:type="dxa"/>
            <w:tcBorders>
              <w:top w:val="nil"/>
              <w:left w:val="nil"/>
              <w:bottom w:val="single" w:sz="4" w:space="0" w:color="auto"/>
              <w:right w:val="single" w:sz="4" w:space="0" w:color="auto"/>
            </w:tcBorders>
            <w:shd w:val="clear" w:color="auto" w:fill="auto"/>
            <w:noWrap/>
            <w:vAlign w:val="bottom"/>
            <w:hideMark/>
          </w:tcPr>
          <w:p w14:paraId="51FF5B8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139,27</w:t>
            </w:r>
          </w:p>
        </w:tc>
        <w:tc>
          <w:tcPr>
            <w:tcW w:w="1127" w:type="dxa"/>
            <w:tcBorders>
              <w:top w:val="nil"/>
              <w:left w:val="nil"/>
              <w:bottom w:val="single" w:sz="4" w:space="0" w:color="auto"/>
              <w:right w:val="single" w:sz="4" w:space="0" w:color="auto"/>
            </w:tcBorders>
            <w:shd w:val="clear" w:color="auto" w:fill="auto"/>
            <w:noWrap/>
            <w:vAlign w:val="bottom"/>
            <w:hideMark/>
          </w:tcPr>
          <w:p w14:paraId="4C67FD7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C73EF3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16ACC5C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7D2D4BD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5E692CEB"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64D51D9C"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MARIBOR</w:t>
            </w:r>
          </w:p>
        </w:tc>
        <w:tc>
          <w:tcPr>
            <w:tcW w:w="1222" w:type="dxa"/>
            <w:tcBorders>
              <w:top w:val="nil"/>
              <w:left w:val="nil"/>
              <w:bottom w:val="single" w:sz="4" w:space="0" w:color="auto"/>
              <w:right w:val="single" w:sz="4" w:space="0" w:color="auto"/>
            </w:tcBorders>
            <w:shd w:val="clear" w:color="000000" w:fill="FFFF99"/>
            <w:noWrap/>
            <w:vAlign w:val="bottom"/>
            <w:hideMark/>
          </w:tcPr>
          <w:p w14:paraId="5EDDC9B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55.946,00</w:t>
            </w:r>
          </w:p>
        </w:tc>
        <w:tc>
          <w:tcPr>
            <w:tcW w:w="858" w:type="dxa"/>
            <w:tcBorders>
              <w:top w:val="nil"/>
              <w:left w:val="nil"/>
              <w:bottom w:val="single" w:sz="4" w:space="0" w:color="auto"/>
              <w:right w:val="single" w:sz="4" w:space="0" w:color="auto"/>
            </w:tcBorders>
            <w:shd w:val="clear" w:color="000000" w:fill="FFFF99"/>
            <w:noWrap/>
            <w:vAlign w:val="bottom"/>
            <w:hideMark/>
          </w:tcPr>
          <w:p w14:paraId="7D90DF8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41,78</w:t>
            </w:r>
          </w:p>
        </w:tc>
        <w:tc>
          <w:tcPr>
            <w:tcW w:w="1095" w:type="dxa"/>
            <w:tcBorders>
              <w:top w:val="nil"/>
              <w:left w:val="nil"/>
              <w:bottom w:val="single" w:sz="4" w:space="0" w:color="auto"/>
              <w:right w:val="single" w:sz="4" w:space="0" w:color="auto"/>
            </w:tcBorders>
            <w:shd w:val="clear" w:color="000000" w:fill="FFFF99"/>
            <w:noWrap/>
            <w:vAlign w:val="bottom"/>
            <w:hideMark/>
          </w:tcPr>
          <w:p w14:paraId="39DC1AA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1.339,06</w:t>
            </w:r>
          </w:p>
        </w:tc>
        <w:tc>
          <w:tcPr>
            <w:tcW w:w="1169" w:type="dxa"/>
            <w:tcBorders>
              <w:top w:val="nil"/>
              <w:left w:val="nil"/>
              <w:bottom w:val="single" w:sz="4" w:space="0" w:color="auto"/>
              <w:right w:val="single" w:sz="4" w:space="0" w:color="auto"/>
            </w:tcBorders>
            <w:shd w:val="clear" w:color="000000" w:fill="FFFF99"/>
            <w:noWrap/>
            <w:vAlign w:val="bottom"/>
            <w:hideMark/>
          </w:tcPr>
          <w:p w14:paraId="4BF765F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95,08</w:t>
            </w:r>
          </w:p>
        </w:tc>
        <w:tc>
          <w:tcPr>
            <w:tcW w:w="1127" w:type="dxa"/>
            <w:tcBorders>
              <w:top w:val="nil"/>
              <w:left w:val="nil"/>
              <w:bottom w:val="single" w:sz="4" w:space="0" w:color="auto"/>
              <w:right w:val="single" w:sz="4" w:space="0" w:color="auto"/>
            </w:tcBorders>
            <w:shd w:val="clear" w:color="000000" w:fill="FFFF99"/>
            <w:noWrap/>
            <w:vAlign w:val="bottom"/>
            <w:hideMark/>
          </w:tcPr>
          <w:p w14:paraId="6D107545"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2B6FDA85"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7D1EDCEE"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240E94A4"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14304482"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3ED2F4E" w14:textId="77777777" w:rsidR="00FE461F" w:rsidRPr="005E4BEA" w:rsidRDefault="00FE461F" w:rsidP="00FE461F">
            <w:pPr>
              <w:spacing w:line="240" w:lineRule="auto"/>
              <w:rPr>
                <w:rFonts w:cs="Arial"/>
                <w:color w:val="000000"/>
                <w:szCs w:val="20"/>
              </w:rPr>
            </w:pPr>
            <w:r w:rsidRPr="005E4BEA">
              <w:rPr>
                <w:rFonts w:cs="Arial"/>
                <w:color w:val="000000"/>
                <w:szCs w:val="20"/>
              </w:rPr>
              <w:t>Maribor</w:t>
            </w:r>
          </w:p>
        </w:tc>
        <w:tc>
          <w:tcPr>
            <w:tcW w:w="1222" w:type="dxa"/>
            <w:tcBorders>
              <w:top w:val="nil"/>
              <w:left w:val="nil"/>
              <w:bottom w:val="single" w:sz="4" w:space="0" w:color="auto"/>
              <w:right w:val="single" w:sz="4" w:space="0" w:color="auto"/>
            </w:tcBorders>
            <w:shd w:val="clear" w:color="auto" w:fill="auto"/>
            <w:noWrap/>
            <w:vAlign w:val="bottom"/>
            <w:hideMark/>
          </w:tcPr>
          <w:p w14:paraId="3D3C877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30.516</w:t>
            </w:r>
          </w:p>
        </w:tc>
        <w:tc>
          <w:tcPr>
            <w:tcW w:w="858" w:type="dxa"/>
            <w:tcBorders>
              <w:top w:val="nil"/>
              <w:left w:val="nil"/>
              <w:bottom w:val="single" w:sz="4" w:space="0" w:color="auto"/>
              <w:right w:val="single" w:sz="4" w:space="0" w:color="auto"/>
            </w:tcBorders>
            <w:shd w:val="clear" w:color="auto" w:fill="auto"/>
            <w:noWrap/>
            <w:vAlign w:val="bottom"/>
            <w:hideMark/>
          </w:tcPr>
          <w:p w14:paraId="5624FE8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24,18</w:t>
            </w:r>
          </w:p>
        </w:tc>
        <w:tc>
          <w:tcPr>
            <w:tcW w:w="1095" w:type="dxa"/>
            <w:tcBorders>
              <w:top w:val="nil"/>
              <w:left w:val="nil"/>
              <w:bottom w:val="single" w:sz="4" w:space="0" w:color="auto"/>
              <w:right w:val="single" w:sz="4" w:space="0" w:color="auto"/>
            </w:tcBorders>
            <w:shd w:val="clear" w:color="auto" w:fill="auto"/>
            <w:noWrap/>
            <w:vAlign w:val="bottom"/>
            <w:hideMark/>
          </w:tcPr>
          <w:p w14:paraId="644539E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1.262,03</w:t>
            </w:r>
          </w:p>
        </w:tc>
        <w:tc>
          <w:tcPr>
            <w:tcW w:w="1169" w:type="dxa"/>
            <w:tcBorders>
              <w:top w:val="nil"/>
              <w:left w:val="nil"/>
              <w:bottom w:val="single" w:sz="4" w:space="0" w:color="auto"/>
              <w:right w:val="single" w:sz="4" w:space="0" w:color="auto"/>
            </w:tcBorders>
            <w:shd w:val="clear" w:color="auto" w:fill="auto"/>
            <w:noWrap/>
            <w:vAlign w:val="bottom"/>
            <w:hideMark/>
          </w:tcPr>
          <w:p w14:paraId="4ECB9AA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100,88</w:t>
            </w:r>
          </w:p>
        </w:tc>
        <w:tc>
          <w:tcPr>
            <w:tcW w:w="1127" w:type="dxa"/>
            <w:tcBorders>
              <w:top w:val="nil"/>
              <w:left w:val="nil"/>
              <w:bottom w:val="single" w:sz="4" w:space="0" w:color="auto"/>
              <w:right w:val="single" w:sz="4" w:space="0" w:color="auto"/>
            </w:tcBorders>
            <w:shd w:val="clear" w:color="auto" w:fill="auto"/>
            <w:noWrap/>
            <w:vAlign w:val="bottom"/>
            <w:hideMark/>
          </w:tcPr>
          <w:p w14:paraId="73F9C26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0,50</w:t>
            </w:r>
          </w:p>
        </w:tc>
        <w:tc>
          <w:tcPr>
            <w:tcW w:w="754" w:type="dxa"/>
            <w:tcBorders>
              <w:top w:val="nil"/>
              <w:left w:val="nil"/>
              <w:bottom w:val="single" w:sz="4" w:space="0" w:color="auto"/>
              <w:right w:val="single" w:sz="4" w:space="0" w:color="auto"/>
            </w:tcBorders>
            <w:shd w:val="clear" w:color="auto" w:fill="auto"/>
            <w:noWrap/>
            <w:vAlign w:val="bottom"/>
            <w:hideMark/>
          </w:tcPr>
          <w:p w14:paraId="4FA4B8C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D5244D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710" w:type="dxa"/>
            <w:tcBorders>
              <w:top w:val="nil"/>
              <w:left w:val="nil"/>
              <w:bottom w:val="single" w:sz="4" w:space="0" w:color="auto"/>
              <w:right w:val="single" w:sz="4" w:space="0" w:color="auto"/>
            </w:tcBorders>
            <w:shd w:val="clear" w:color="auto" w:fill="auto"/>
            <w:noWrap/>
            <w:vAlign w:val="bottom"/>
            <w:hideMark/>
          </w:tcPr>
          <w:p w14:paraId="5828116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0,05</w:t>
            </w:r>
          </w:p>
        </w:tc>
      </w:tr>
      <w:tr w:rsidR="00FE461F" w:rsidRPr="005E4BEA" w14:paraId="6011E61B"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AC0E986" w14:textId="77777777" w:rsidR="00FE461F" w:rsidRPr="005E4BEA" w:rsidRDefault="00FE461F" w:rsidP="00FE461F">
            <w:pPr>
              <w:spacing w:line="240" w:lineRule="auto"/>
              <w:rPr>
                <w:rFonts w:cs="Arial"/>
                <w:color w:val="000000"/>
                <w:szCs w:val="20"/>
              </w:rPr>
            </w:pPr>
            <w:r w:rsidRPr="005E4BEA">
              <w:rPr>
                <w:rFonts w:cs="Arial"/>
                <w:color w:val="000000"/>
                <w:szCs w:val="20"/>
              </w:rPr>
              <w:t>Lenart</w:t>
            </w:r>
          </w:p>
        </w:tc>
        <w:tc>
          <w:tcPr>
            <w:tcW w:w="1222" w:type="dxa"/>
            <w:tcBorders>
              <w:top w:val="nil"/>
              <w:left w:val="nil"/>
              <w:bottom w:val="single" w:sz="4" w:space="0" w:color="auto"/>
              <w:right w:val="single" w:sz="4" w:space="0" w:color="auto"/>
            </w:tcBorders>
            <w:shd w:val="clear" w:color="auto" w:fill="auto"/>
            <w:noWrap/>
            <w:vAlign w:val="bottom"/>
            <w:hideMark/>
          </w:tcPr>
          <w:p w14:paraId="75CB794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3.722</w:t>
            </w:r>
          </w:p>
        </w:tc>
        <w:tc>
          <w:tcPr>
            <w:tcW w:w="858" w:type="dxa"/>
            <w:tcBorders>
              <w:top w:val="nil"/>
              <w:left w:val="nil"/>
              <w:bottom w:val="single" w:sz="4" w:space="0" w:color="auto"/>
              <w:right w:val="single" w:sz="4" w:space="0" w:color="auto"/>
            </w:tcBorders>
            <w:shd w:val="clear" w:color="auto" w:fill="auto"/>
            <w:noWrap/>
            <w:vAlign w:val="bottom"/>
            <w:hideMark/>
          </w:tcPr>
          <w:p w14:paraId="19F9144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2,67</w:t>
            </w:r>
          </w:p>
        </w:tc>
        <w:tc>
          <w:tcPr>
            <w:tcW w:w="1095" w:type="dxa"/>
            <w:tcBorders>
              <w:top w:val="nil"/>
              <w:left w:val="nil"/>
              <w:bottom w:val="single" w:sz="4" w:space="0" w:color="auto"/>
              <w:right w:val="single" w:sz="4" w:space="0" w:color="auto"/>
            </w:tcBorders>
            <w:shd w:val="clear" w:color="auto" w:fill="auto"/>
            <w:noWrap/>
            <w:vAlign w:val="bottom"/>
            <w:hideMark/>
          </w:tcPr>
          <w:p w14:paraId="038ACB9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1.394,01</w:t>
            </w:r>
          </w:p>
        </w:tc>
        <w:tc>
          <w:tcPr>
            <w:tcW w:w="1169" w:type="dxa"/>
            <w:tcBorders>
              <w:top w:val="nil"/>
              <w:left w:val="nil"/>
              <w:bottom w:val="single" w:sz="4" w:space="0" w:color="auto"/>
              <w:right w:val="single" w:sz="4" w:space="0" w:color="auto"/>
            </w:tcBorders>
            <w:shd w:val="clear" w:color="auto" w:fill="auto"/>
            <w:noWrap/>
            <w:vAlign w:val="bottom"/>
            <w:hideMark/>
          </w:tcPr>
          <w:p w14:paraId="7EB05E3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91,33</w:t>
            </w:r>
          </w:p>
        </w:tc>
        <w:tc>
          <w:tcPr>
            <w:tcW w:w="1127" w:type="dxa"/>
            <w:tcBorders>
              <w:top w:val="nil"/>
              <w:left w:val="nil"/>
              <w:bottom w:val="single" w:sz="4" w:space="0" w:color="auto"/>
              <w:right w:val="single" w:sz="4" w:space="0" w:color="auto"/>
            </w:tcBorders>
            <w:shd w:val="clear" w:color="auto" w:fill="auto"/>
            <w:noWrap/>
            <w:vAlign w:val="bottom"/>
            <w:hideMark/>
          </w:tcPr>
          <w:p w14:paraId="4F1BCE2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0,50</w:t>
            </w:r>
          </w:p>
        </w:tc>
        <w:tc>
          <w:tcPr>
            <w:tcW w:w="754" w:type="dxa"/>
            <w:tcBorders>
              <w:top w:val="nil"/>
              <w:left w:val="nil"/>
              <w:bottom w:val="single" w:sz="4" w:space="0" w:color="auto"/>
              <w:right w:val="single" w:sz="4" w:space="0" w:color="auto"/>
            </w:tcBorders>
            <w:shd w:val="clear" w:color="auto" w:fill="auto"/>
            <w:noWrap/>
            <w:vAlign w:val="bottom"/>
            <w:hideMark/>
          </w:tcPr>
          <w:p w14:paraId="78BFB9F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E4DAA0B"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481511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0AE19A75"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B57D77" w14:textId="77777777" w:rsidR="00FE461F" w:rsidRPr="005E4BEA" w:rsidRDefault="00FE461F" w:rsidP="00FE461F">
            <w:pPr>
              <w:spacing w:line="240" w:lineRule="auto"/>
              <w:rPr>
                <w:rFonts w:cs="Arial"/>
                <w:color w:val="000000"/>
                <w:szCs w:val="20"/>
              </w:rPr>
            </w:pPr>
            <w:r w:rsidRPr="005E4BEA">
              <w:rPr>
                <w:rFonts w:cs="Arial"/>
                <w:color w:val="000000"/>
                <w:szCs w:val="20"/>
              </w:rPr>
              <w:t>Ormož</w:t>
            </w:r>
          </w:p>
        </w:tc>
        <w:tc>
          <w:tcPr>
            <w:tcW w:w="1222" w:type="dxa"/>
            <w:tcBorders>
              <w:top w:val="nil"/>
              <w:left w:val="nil"/>
              <w:bottom w:val="single" w:sz="4" w:space="0" w:color="auto"/>
              <w:right w:val="single" w:sz="4" w:space="0" w:color="auto"/>
            </w:tcBorders>
            <w:shd w:val="clear" w:color="auto" w:fill="auto"/>
            <w:noWrap/>
            <w:vAlign w:val="bottom"/>
            <w:hideMark/>
          </w:tcPr>
          <w:p w14:paraId="329B080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2.699</w:t>
            </w:r>
          </w:p>
        </w:tc>
        <w:tc>
          <w:tcPr>
            <w:tcW w:w="858" w:type="dxa"/>
            <w:tcBorders>
              <w:top w:val="nil"/>
              <w:left w:val="nil"/>
              <w:bottom w:val="single" w:sz="4" w:space="0" w:color="auto"/>
              <w:right w:val="single" w:sz="4" w:space="0" w:color="auto"/>
            </w:tcBorders>
            <w:shd w:val="clear" w:color="auto" w:fill="auto"/>
            <w:noWrap/>
            <w:vAlign w:val="bottom"/>
            <w:hideMark/>
          </w:tcPr>
          <w:p w14:paraId="009017E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1,52</w:t>
            </w:r>
          </w:p>
        </w:tc>
        <w:tc>
          <w:tcPr>
            <w:tcW w:w="1095" w:type="dxa"/>
            <w:tcBorders>
              <w:top w:val="nil"/>
              <w:left w:val="nil"/>
              <w:bottom w:val="single" w:sz="4" w:space="0" w:color="auto"/>
              <w:right w:val="single" w:sz="4" w:space="0" w:color="auto"/>
            </w:tcBorders>
            <w:shd w:val="clear" w:color="auto" w:fill="auto"/>
            <w:noWrap/>
            <w:vAlign w:val="bottom"/>
            <w:hideMark/>
          </w:tcPr>
          <w:p w14:paraId="32F1386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1.775,66</w:t>
            </w:r>
          </w:p>
        </w:tc>
        <w:tc>
          <w:tcPr>
            <w:tcW w:w="1169" w:type="dxa"/>
            <w:tcBorders>
              <w:top w:val="nil"/>
              <w:left w:val="nil"/>
              <w:bottom w:val="single" w:sz="4" w:space="0" w:color="auto"/>
              <w:right w:val="single" w:sz="4" w:space="0" w:color="auto"/>
            </w:tcBorders>
            <w:shd w:val="clear" w:color="auto" w:fill="auto"/>
            <w:noWrap/>
            <w:vAlign w:val="bottom"/>
            <w:hideMark/>
          </w:tcPr>
          <w:p w14:paraId="6B0DB88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71,70</w:t>
            </w:r>
          </w:p>
        </w:tc>
        <w:tc>
          <w:tcPr>
            <w:tcW w:w="1127" w:type="dxa"/>
            <w:tcBorders>
              <w:top w:val="nil"/>
              <w:left w:val="nil"/>
              <w:bottom w:val="single" w:sz="4" w:space="0" w:color="auto"/>
              <w:right w:val="single" w:sz="4" w:space="0" w:color="auto"/>
            </w:tcBorders>
            <w:shd w:val="clear" w:color="auto" w:fill="auto"/>
            <w:noWrap/>
            <w:vAlign w:val="bottom"/>
            <w:hideMark/>
          </w:tcPr>
          <w:p w14:paraId="086E35E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717C3F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0,60</w:t>
            </w:r>
          </w:p>
        </w:tc>
        <w:tc>
          <w:tcPr>
            <w:tcW w:w="1063" w:type="dxa"/>
            <w:tcBorders>
              <w:top w:val="nil"/>
              <w:left w:val="nil"/>
              <w:bottom w:val="single" w:sz="4" w:space="0" w:color="auto"/>
              <w:right w:val="single" w:sz="4" w:space="0" w:color="auto"/>
            </w:tcBorders>
            <w:shd w:val="clear" w:color="auto" w:fill="auto"/>
            <w:noWrap/>
            <w:vAlign w:val="bottom"/>
            <w:hideMark/>
          </w:tcPr>
          <w:p w14:paraId="35C52EF9"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68A7DD4C"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59EEDC89"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BEF38EC" w14:textId="77777777" w:rsidR="00FE461F" w:rsidRPr="005E4BEA" w:rsidRDefault="00FE461F" w:rsidP="00FE461F">
            <w:pPr>
              <w:spacing w:line="240" w:lineRule="auto"/>
              <w:rPr>
                <w:rFonts w:cs="Arial"/>
                <w:color w:val="000000"/>
                <w:szCs w:val="20"/>
              </w:rPr>
            </w:pPr>
            <w:r w:rsidRPr="005E4BEA">
              <w:rPr>
                <w:rFonts w:cs="Arial"/>
                <w:color w:val="000000"/>
                <w:szCs w:val="20"/>
              </w:rPr>
              <w:t>Ptuj</w:t>
            </w:r>
          </w:p>
        </w:tc>
        <w:tc>
          <w:tcPr>
            <w:tcW w:w="1222" w:type="dxa"/>
            <w:tcBorders>
              <w:top w:val="nil"/>
              <w:left w:val="nil"/>
              <w:bottom w:val="single" w:sz="4" w:space="0" w:color="auto"/>
              <w:right w:val="single" w:sz="4" w:space="0" w:color="auto"/>
            </w:tcBorders>
            <w:shd w:val="clear" w:color="auto" w:fill="auto"/>
            <w:noWrap/>
            <w:vAlign w:val="bottom"/>
            <w:hideMark/>
          </w:tcPr>
          <w:p w14:paraId="736774F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12.035</w:t>
            </w:r>
          </w:p>
        </w:tc>
        <w:tc>
          <w:tcPr>
            <w:tcW w:w="858" w:type="dxa"/>
            <w:tcBorders>
              <w:top w:val="nil"/>
              <w:left w:val="nil"/>
              <w:bottom w:val="single" w:sz="4" w:space="0" w:color="auto"/>
              <w:right w:val="single" w:sz="4" w:space="0" w:color="auto"/>
            </w:tcBorders>
            <w:shd w:val="clear" w:color="auto" w:fill="auto"/>
            <w:noWrap/>
            <w:vAlign w:val="bottom"/>
            <w:hideMark/>
          </w:tcPr>
          <w:p w14:paraId="62FF59F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9,28</w:t>
            </w:r>
          </w:p>
        </w:tc>
        <w:tc>
          <w:tcPr>
            <w:tcW w:w="1095" w:type="dxa"/>
            <w:tcBorders>
              <w:top w:val="nil"/>
              <w:left w:val="nil"/>
              <w:bottom w:val="single" w:sz="4" w:space="0" w:color="auto"/>
              <w:right w:val="single" w:sz="4" w:space="0" w:color="auto"/>
            </w:tcBorders>
            <w:shd w:val="clear" w:color="auto" w:fill="auto"/>
            <w:noWrap/>
            <w:vAlign w:val="bottom"/>
            <w:hideMark/>
          </w:tcPr>
          <w:p w14:paraId="792BF72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1.296,88</w:t>
            </w:r>
          </w:p>
        </w:tc>
        <w:tc>
          <w:tcPr>
            <w:tcW w:w="1169" w:type="dxa"/>
            <w:tcBorders>
              <w:top w:val="nil"/>
              <w:left w:val="nil"/>
              <w:bottom w:val="single" w:sz="4" w:space="0" w:color="auto"/>
              <w:right w:val="single" w:sz="4" w:space="0" w:color="auto"/>
            </w:tcBorders>
            <w:shd w:val="clear" w:color="auto" w:fill="auto"/>
            <w:noWrap/>
            <w:vAlign w:val="bottom"/>
            <w:hideMark/>
          </w:tcPr>
          <w:p w14:paraId="26B6895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98,17</w:t>
            </w:r>
          </w:p>
        </w:tc>
        <w:tc>
          <w:tcPr>
            <w:tcW w:w="1127" w:type="dxa"/>
            <w:tcBorders>
              <w:top w:val="nil"/>
              <w:left w:val="nil"/>
              <w:bottom w:val="single" w:sz="4" w:space="0" w:color="auto"/>
              <w:right w:val="single" w:sz="4" w:space="0" w:color="auto"/>
            </w:tcBorders>
            <w:shd w:val="clear" w:color="auto" w:fill="auto"/>
            <w:noWrap/>
            <w:vAlign w:val="bottom"/>
            <w:hideMark/>
          </w:tcPr>
          <w:p w14:paraId="43C06CC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8191C4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65DB1EC"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537F691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0,22</w:t>
            </w:r>
          </w:p>
        </w:tc>
      </w:tr>
      <w:tr w:rsidR="00FE461F" w:rsidRPr="005E4BEA" w14:paraId="236067E2"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B8F5D6B" w14:textId="77777777" w:rsidR="00FE461F" w:rsidRPr="005E4BEA" w:rsidRDefault="00FE461F" w:rsidP="00FE461F">
            <w:pPr>
              <w:spacing w:line="240" w:lineRule="auto"/>
              <w:rPr>
                <w:rFonts w:cs="Arial"/>
                <w:color w:val="000000"/>
                <w:szCs w:val="20"/>
              </w:rPr>
            </w:pPr>
            <w:r w:rsidRPr="005E4BEA">
              <w:rPr>
                <w:rFonts w:cs="Arial"/>
                <w:color w:val="000000"/>
                <w:szCs w:val="20"/>
              </w:rPr>
              <w:t>Slovenska Bistrica</w:t>
            </w:r>
          </w:p>
        </w:tc>
        <w:tc>
          <w:tcPr>
            <w:tcW w:w="1222" w:type="dxa"/>
            <w:tcBorders>
              <w:top w:val="nil"/>
              <w:left w:val="nil"/>
              <w:bottom w:val="single" w:sz="4" w:space="0" w:color="auto"/>
              <w:right w:val="single" w:sz="4" w:space="0" w:color="auto"/>
            </w:tcBorders>
            <w:shd w:val="clear" w:color="auto" w:fill="auto"/>
            <w:noWrap/>
            <w:vAlign w:val="bottom"/>
            <w:hideMark/>
          </w:tcPr>
          <w:p w14:paraId="05FFB00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6.974</w:t>
            </w:r>
          </w:p>
        </w:tc>
        <w:tc>
          <w:tcPr>
            <w:tcW w:w="858" w:type="dxa"/>
            <w:tcBorders>
              <w:top w:val="nil"/>
              <w:left w:val="nil"/>
              <w:bottom w:val="single" w:sz="4" w:space="0" w:color="auto"/>
              <w:right w:val="single" w:sz="4" w:space="0" w:color="auto"/>
            </w:tcBorders>
            <w:shd w:val="clear" w:color="auto" w:fill="auto"/>
            <w:noWrap/>
            <w:vAlign w:val="bottom"/>
            <w:hideMark/>
          </w:tcPr>
          <w:p w14:paraId="3D11EF4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4,13</w:t>
            </w:r>
          </w:p>
        </w:tc>
        <w:tc>
          <w:tcPr>
            <w:tcW w:w="1095" w:type="dxa"/>
            <w:tcBorders>
              <w:top w:val="nil"/>
              <w:left w:val="nil"/>
              <w:bottom w:val="single" w:sz="4" w:space="0" w:color="auto"/>
              <w:right w:val="single" w:sz="4" w:space="0" w:color="auto"/>
            </w:tcBorders>
            <w:shd w:val="clear" w:color="auto" w:fill="auto"/>
            <w:noWrap/>
            <w:vAlign w:val="bottom"/>
            <w:hideMark/>
          </w:tcPr>
          <w:p w14:paraId="7415BA6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1.688,62</w:t>
            </w:r>
          </w:p>
        </w:tc>
        <w:tc>
          <w:tcPr>
            <w:tcW w:w="1169" w:type="dxa"/>
            <w:tcBorders>
              <w:top w:val="nil"/>
              <w:left w:val="nil"/>
              <w:bottom w:val="single" w:sz="4" w:space="0" w:color="auto"/>
              <w:right w:val="single" w:sz="4" w:space="0" w:color="auto"/>
            </w:tcBorders>
            <w:shd w:val="clear" w:color="auto" w:fill="auto"/>
            <w:noWrap/>
            <w:vAlign w:val="bottom"/>
            <w:hideMark/>
          </w:tcPr>
          <w:p w14:paraId="009DF1E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75,40</w:t>
            </w:r>
          </w:p>
        </w:tc>
        <w:tc>
          <w:tcPr>
            <w:tcW w:w="1127" w:type="dxa"/>
            <w:tcBorders>
              <w:top w:val="nil"/>
              <w:left w:val="nil"/>
              <w:bottom w:val="single" w:sz="4" w:space="0" w:color="auto"/>
              <w:right w:val="single" w:sz="4" w:space="0" w:color="auto"/>
            </w:tcBorders>
            <w:shd w:val="clear" w:color="auto" w:fill="auto"/>
            <w:noWrap/>
            <w:vAlign w:val="bottom"/>
            <w:hideMark/>
          </w:tcPr>
          <w:p w14:paraId="465683D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0,08</w:t>
            </w:r>
          </w:p>
        </w:tc>
        <w:tc>
          <w:tcPr>
            <w:tcW w:w="754" w:type="dxa"/>
            <w:tcBorders>
              <w:top w:val="nil"/>
              <w:left w:val="nil"/>
              <w:bottom w:val="single" w:sz="4" w:space="0" w:color="auto"/>
              <w:right w:val="single" w:sz="4" w:space="0" w:color="auto"/>
            </w:tcBorders>
            <w:shd w:val="clear" w:color="auto" w:fill="auto"/>
            <w:noWrap/>
            <w:vAlign w:val="bottom"/>
            <w:hideMark/>
          </w:tcPr>
          <w:p w14:paraId="000C7CD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1,35</w:t>
            </w:r>
          </w:p>
        </w:tc>
        <w:tc>
          <w:tcPr>
            <w:tcW w:w="1063" w:type="dxa"/>
            <w:tcBorders>
              <w:top w:val="nil"/>
              <w:left w:val="nil"/>
              <w:bottom w:val="single" w:sz="4" w:space="0" w:color="auto"/>
              <w:right w:val="single" w:sz="4" w:space="0" w:color="auto"/>
            </w:tcBorders>
            <w:shd w:val="clear" w:color="auto" w:fill="auto"/>
            <w:noWrap/>
            <w:vAlign w:val="bottom"/>
            <w:hideMark/>
          </w:tcPr>
          <w:p w14:paraId="7A1D153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48C4077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676DA6F5"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447E0D49"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MURSKA SOBOTA</w:t>
            </w:r>
          </w:p>
        </w:tc>
        <w:tc>
          <w:tcPr>
            <w:tcW w:w="1222" w:type="dxa"/>
            <w:tcBorders>
              <w:top w:val="nil"/>
              <w:left w:val="nil"/>
              <w:bottom w:val="single" w:sz="4" w:space="0" w:color="auto"/>
              <w:right w:val="single" w:sz="4" w:space="0" w:color="auto"/>
            </w:tcBorders>
            <w:shd w:val="clear" w:color="000000" w:fill="FFFF99"/>
            <w:noWrap/>
            <w:vAlign w:val="bottom"/>
            <w:hideMark/>
          </w:tcPr>
          <w:p w14:paraId="32D08E9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18.573,00</w:t>
            </w:r>
          </w:p>
        </w:tc>
        <w:tc>
          <w:tcPr>
            <w:tcW w:w="858" w:type="dxa"/>
            <w:tcBorders>
              <w:top w:val="nil"/>
              <w:left w:val="nil"/>
              <w:bottom w:val="single" w:sz="4" w:space="0" w:color="auto"/>
              <w:right w:val="single" w:sz="4" w:space="0" w:color="auto"/>
            </w:tcBorders>
            <w:shd w:val="clear" w:color="000000" w:fill="FFFF99"/>
            <w:noWrap/>
            <w:vAlign w:val="bottom"/>
            <w:hideMark/>
          </w:tcPr>
          <w:p w14:paraId="05FB5EB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10,36</w:t>
            </w:r>
          </w:p>
        </w:tc>
        <w:tc>
          <w:tcPr>
            <w:tcW w:w="1095" w:type="dxa"/>
            <w:tcBorders>
              <w:top w:val="nil"/>
              <w:left w:val="nil"/>
              <w:bottom w:val="single" w:sz="4" w:space="0" w:color="auto"/>
              <w:right w:val="single" w:sz="4" w:space="0" w:color="auto"/>
            </w:tcBorders>
            <w:shd w:val="clear" w:color="000000" w:fill="FFFF99"/>
            <w:noWrap/>
            <w:vAlign w:val="bottom"/>
            <w:hideMark/>
          </w:tcPr>
          <w:p w14:paraId="176CA7B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1.792,76</w:t>
            </w:r>
          </w:p>
        </w:tc>
        <w:tc>
          <w:tcPr>
            <w:tcW w:w="1169" w:type="dxa"/>
            <w:tcBorders>
              <w:top w:val="nil"/>
              <w:left w:val="nil"/>
              <w:bottom w:val="single" w:sz="4" w:space="0" w:color="auto"/>
              <w:right w:val="single" w:sz="4" w:space="0" w:color="auto"/>
            </w:tcBorders>
            <w:shd w:val="clear" w:color="000000" w:fill="FFFF99"/>
            <w:noWrap/>
            <w:vAlign w:val="bottom"/>
            <w:hideMark/>
          </w:tcPr>
          <w:p w14:paraId="3E6AAAD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71,02</w:t>
            </w:r>
          </w:p>
        </w:tc>
        <w:tc>
          <w:tcPr>
            <w:tcW w:w="1127" w:type="dxa"/>
            <w:tcBorders>
              <w:top w:val="nil"/>
              <w:left w:val="nil"/>
              <w:bottom w:val="single" w:sz="4" w:space="0" w:color="auto"/>
              <w:right w:val="single" w:sz="4" w:space="0" w:color="auto"/>
            </w:tcBorders>
            <w:shd w:val="clear" w:color="000000" w:fill="FFFF99"/>
            <w:noWrap/>
            <w:vAlign w:val="bottom"/>
            <w:hideMark/>
          </w:tcPr>
          <w:p w14:paraId="1D27C229"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19505525"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39DF3366"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42C3AA6B"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2BBC6DD5"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4AAE7E8" w14:textId="77777777" w:rsidR="00FE461F" w:rsidRPr="005E4BEA" w:rsidRDefault="00FE461F" w:rsidP="00FE461F">
            <w:pPr>
              <w:spacing w:line="240" w:lineRule="auto"/>
              <w:rPr>
                <w:rFonts w:cs="Arial"/>
                <w:color w:val="000000"/>
                <w:szCs w:val="20"/>
              </w:rPr>
            </w:pPr>
            <w:r w:rsidRPr="005E4BEA">
              <w:rPr>
                <w:rFonts w:cs="Arial"/>
                <w:color w:val="000000"/>
                <w:szCs w:val="20"/>
              </w:rPr>
              <w:t>Murska Sobota</w:t>
            </w:r>
          </w:p>
        </w:tc>
        <w:tc>
          <w:tcPr>
            <w:tcW w:w="1222" w:type="dxa"/>
            <w:tcBorders>
              <w:top w:val="nil"/>
              <w:left w:val="nil"/>
              <w:bottom w:val="single" w:sz="4" w:space="0" w:color="auto"/>
              <w:right w:val="single" w:sz="4" w:space="0" w:color="auto"/>
            </w:tcBorders>
            <w:shd w:val="clear" w:color="auto" w:fill="auto"/>
            <w:noWrap/>
            <w:vAlign w:val="bottom"/>
            <w:hideMark/>
          </w:tcPr>
          <w:p w14:paraId="5B8FA67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8.832</w:t>
            </w:r>
          </w:p>
        </w:tc>
        <w:tc>
          <w:tcPr>
            <w:tcW w:w="858" w:type="dxa"/>
            <w:tcBorders>
              <w:top w:val="nil"/>
              <w:left w:val="nil"/>
              <w:bottom w:val="single" w:sz="4" w:space="0" w:color="auto"/>
              <w:right w:val="single" w:sz="4" w:space="0" w:color="auto"/>
            </w:tcBorders>
            <w:shd w:val="clear" w:color="auto" w:fill="auto"/>
            <w:noWrap/>
            <w:vAlign w:val="bottom"/>
            <w:hideMark/>
          </w:tcPr>
          <w:p w14:paraId="30F3095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4,85</w:t>
            </w:r>
          </w:p>
        </w:tc>
        <w:tc>
          <w:tcPr>
            <w:tcW w:w="1095" w:type="dxa"/>
            <w:tcBorders>
              <w:top w:val="nil"/>
              <w:left w:val="nil"/>
              <w:bottom w:val="single" w:sz="4" w:space="0" w:color="auto"/>
              <w:right w:val="single" w:sz="4" w:space="0" w:color="auto"/>
            </w:tcBorders>
            <w:shd w:val="clear" w:color="auto" w:fill="auto"/>
            <w:noWrap/>
            <w:vAlign w:val="bottom"/>
            <w:hideMark/>
          </w:tcPr>
          <w:p w14:paraId="76B91E3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1.821,03</w:t>
            </w:r>
          </w:p>
        </w:tc>
        <w:tc>
          <w:tcPr>
            <w:tcW w:w="1169" w:type="dxa"/>
            <w:tcBorders>
              <w:top w:val="nil"/>
              <w:left w:val="nil"/>
              <w:bottom w:val="single" w:sz="4" w:space="0" w:color="auto"/>
              <w:right w:val="single" w:sz="4" w:space="0" w:color="auto"/>
            </w:tcBorders>
            <w:shd w:val="clear" w:color="auto" w:fill="auto"/>
            <w:noWrap/>
            <w:vAlign w:val="bottom"/>
            <w:hideMark/>
          </w:tcPr>
          <w:p w14:paraId="36C95A9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69,92</w:t>
            </w:r>
          </w:p>
        </w:tc>
        <w:tc>
          <w:tcPr>
            <w:tcW w:w="1127" w:type="dxa"/>
            <w:tcBorders>
              <w:top w:val="nil"/>
              <w:left w:val="nil"/>
              <w:bottom w:val="single" w:sz="4" w:space="0" w:color="auto"/>
              <w:right w:val="single" w:sz="4" w:space="0" w:color="auto"/>
            </w:tcBorders>
            <w:shd w:val="clear" w:color="auto" w:fill="auto"/>
            <w:noWrap/>
            <w:vAlign w:val="bottom"/>
            <w:hideMark/>
          </w:tcPr>
          <w:p w14:paraId="65A4D2E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7F3CD54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2,09</w:t>
            </w:r>
          </w:p>
        </w:tc>
        <w:tc>
          <w:tcPr>
            <w:tcW w:w="1063" w:type="dxa"/>
            <w:tcBorders>
              <w:top w:val="nil"/>
              <w:left w:val="nil"/>
              <w:bottom w:val="single" w:sz="4" w:space="0" w:color="auto"/>
              <w:right w:val="single" w:sz="4" w:space="0" w:color="auto"/>
            </w:tcBorders>
            <w:shd w:val="clear" w:color="auto" w:fill="auto"/>
            <w:noWrap/>
            <w:vAlign w:val="bottom"/>
            <w:hideMark/>
          </w:tcPr>
          <w:p w14:paraId="5BCE859E"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CE8D83D"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7E5B350E"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6CE5DC4" w14:textId="77777777" w:rsidR="00FE461F" w:rsidRPr="005E4BEA" w:rsidRDefault="00FE461F" w:rsidP="00FE461F">
            <w:pPr>
              <w:spacing w:line="240" w:lineRule="auto"/>
              <w:rPr>
                <w:rFonts w:cs="Arial"/>
                <w:color w:val="000000"/>
                <w:szCs w:val="20"/>
              </w:rPr>
            </w:pPr>
            <w:r w:rsidRPr="005E4BEA">
              <w:rPr>
                <w:rFonts w:cs="Arial"/>
                <w:color w:val="000000"/>
                <w:szCs w:val="20"/>
              </w:rPr>
              <w:t>Gornja Radgona</w:t>
            </w:r>
          </w:p>
        </w:tc>
        <w:tc>
          <w:tcPr>
            <w:tcW w:w="1222" w:type="dxa"/>
            <w:tcBorders>
              <w:top w:val="nil"/>
              <w:left w:val="nil"/>
              <w:bottom w:val="single" w:sz="4" w:space="0" w:color="auto"/>
              <w:right w:val="single" w:sz="4" w:space="0" w:color="auto"/>
            </w:tcBorders>
            <w:shd w:val="clear" w:color="auto" w:fill="auto"/>
            <w:noWrap/>
            <w:vAlign w:val="bottom"/>
            <w:hideMark/>
          </w:tcPr>
          <w:p w14:paraId="65F01CC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3.311</w:t>
            </w:r>
          </w:p>
        </w:tc>
        <w:tc>
          <w:tcPr>
            <w:tcW w:w="858" w:type="dxa"/>
            <w:tcBorders>
              <w:top w:val="nil"/>
              <w:left w:val="nil"/>
              <w:bottom w:val="single" w:sz="4" w:space="0" w:color="auto"/>
              <w:right w:val="single" w:sz="4" w:space="0" w:color="auto"/>
            </w:tcBorders>
            <w:shd w:val="clear" w:color="auto" w:fill="auto"/>
            <w:noWrap/>
            <w:vAlign w:val="bottom"/>
            <w:hideMark/>
          </w:tcPr>
          <w:p w14:paraId="478D638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2,00</w:t>
            </w:r>
          </w:p>
        </w:tc>
        <w:tc>
          <w:tcPr>
            <w:tcW w:w="1095" w:type="dxa"/>
            <w:tcBorders>
              <w:top w:val="nil"/>
              <w:left w:val="nil"/>
              <w:bottom w:val="single" w:sz="4" w:space="0" w:color="auto"/>
              <w:right w:val="single" w:sz="4" w:space="0" w:color="auto"/>
            </w:tcBorders>
            <w:shd w:val="clear" w:color="auto" w:fill="auto"/>
            <w:noWrap/>
            <w:vAlign w:val="bottom"/>
            <w:hideMark/>
          </w:tcPr>
          <w:p w14:paraId="162EF17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1.655,50</w:t>
            </w:r>
          </w:p>
        </w:tc>
        <w:tc>
          <w:tcPr>
            <w:tcW w:w="1169" w:type="dxa"/>
            <w:tcBorders>
              <w:top w:val="nil"/>
              <w:left w:val="nil"/>
              <w:bottom w:val="single" w:sz="4" w:space="0" w:color="auto"/>
              <w:right w:val="single" w:sz="4" w:space="0" w:color="auto"/>
            </w:tcBorders>
            <w:shd w:val="clear" w:color="auto" w:fill="auto"/>
            <w:noWrap/>
            <w:vAlign w:val="bottom"/>
            <w:hideMark/>
          </w:tcPr>
          <w:p w14:paraId="21F2B63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76,91</w:t>
            </w:r>
          </w:p>
        </w:tc>
        <w:tc>
          <w:tcPr>
            <w:tcW w:w="1127" w:type="dxa"/>
            <w:tcBorders>
              <w:top w:val="nil"/>
              <w:left w:val="nil"/>
              <w:bottom w:val="single" w:sz="4" w:space="0" w:color="auto"/>
              <w:right w:val="single" w:sz="4" w:space="0" w:color="auto"/>
            </w:tcBorders>
            <w:shd w:val="clear" w:color="auto" w:fill="auto"/>
            <w:noWrap/>
            <w:vAlign w:val="bottom"/>
            <w:hideMark/>
          </w:tcPr>
          <w:p w14:paraId="7744BD6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23233AC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0,60</w:t>
            </w:r>
          </w:p>
        </w:tc>
        <w:tc>
          <w:tcPr>
            <w:tcW w:w="1063" w:type="dxa"/>
            <w:tcBorders>
              <w:top w:val="nil"/>
              <w:left w:val="nil"/>
              <w:bottom w:val="single" w:sz="4" w:space="0" w:color="auto"/>
              <w:right w:val="single" w:sz="4" w:space="0" w:color="auto"/>
            </w:tcBorders>
            <w:shd w:val="clear" w:color="auto" w:fill="auto"/>
            <w:noWrap/>
            <w:vAlign w:val="bottom"/>
            <w:hideMark/>
          </w:tcPr>
          <w:p w14:paraId="1993228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CA0C2B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599B20A"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C0F51FA" w14:textId="77777777" w:rsidR="00FE461F" w:rsidRPr="005E4BEA" w:rsidRDefault="00FE461F" w:rsidP="00FE461F">
            <w:pPr>
              <w:spacing w:line="240" w:lineRule="auto"/>
              <w:rPr>
                <w:rFonts w:cs="Arial"/>
                <w:color w:val="000000"/>
                <w:szCs w:val="20"/>
              </w:rPr>
            </w:pPr>
            <w:r w:rsidRPr="005E4BEA">
              <w:rPr>
                <w:rFonts w:cs="Arial"/>
                <w:color w:val="000000"/>
                <w:szCs w:val="20"/>
              </w:rPr>
              <w:t>Lendava</w:t>
            </w:r>
          </w:p>
        </w:tc>
        <w:tc>
          <w:tcPr>
            <w:tcW w:w="1222" w:type="dxa"/>
            <w:tcBorders>
              <w:top w:val="nil"/>
              <w:left w:val="nil"/>
              <w:bottom w:val="single" w:sz="4" w:space="0" w:color="auto"/>
              <w:right w:val="single" w:sz="4" w:space="0" w:color="auto"/>
            </w:tcBorders>
            <w:shd w:val="clear" w:color="auto" w:fill="auto"/>
            <w:noWrap/>
            <w:vAlign w:val="bottom"/>
            <w:hideMark/>
          </w:tcPr>
          <w:p w14:paraId="42C888E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3.547</w:t>
            </w:r>
          </w:p>
        </w:tc>
        <w:tc>
          <w:tcPr>
            <w:tcW w:w="858" w:type="dxa"/>
            <w:tcBorders>
              <w:top w:val="nil"/>
              <w:left w:val="nil"/>
              <w:bottom w:val="single" w:sz="4" w:space="0" w:color="auto"/>
              <w:right w:val="single" w:sz="4" w:space="0" w:color="auto"/>
            </w:tcBorders>
            <w:shd w:val="clear" w:color="auto" w:fill="auto"/>
            <w:noWrap/>
            <w:vAlign w:val="bottom"/>
            <w:hideMark/>
          </w:tcPr>
          <w:p w14:paraId="2239291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1,88</w:t>
            </w:r>
          </w:p>
        </w:tc>
        <w:tc>
          <w:tcPr>
            <w:tcW w:w="1095" w:type="dxa"/>
            <w:tcBorders>
              <w:top w:val="nil"/>
              <w:left w:val="nil"/>
              <w:bottom w:val="single" w:sz="4" w:space="0" w:color="auto"/>
              <w:right w:val="single" w:sz="4" w:space="0" w:color="auto"/>
            </w:tcBorders>
            <w:shd w:val="clear" w:color="auto" w:fill="auto"/>
            <w:noWrap/>
            <w:vAlign w:val="bottom"/>
            <w:hideMark/>
          </w:tcPr>
          <w:p w14:paraId="05EB088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1.886,70</w:t>
            </w:r>
          </w:p>
        </w:tc>
        <w:tc>
          <w:tcPr>
            <w:tcW w:w="1169" w:type="dxa"/>
            <w:tcBorders>
              <w:top w:val="nil"/>
              <w:left w:val="nil"/>
              <w:bottom w:val="single" w:sz="4" w:space="0" w:color="auto"/>
              <w:right w:val="single" w:sz="4" w:space="0" w:color="auto"/>
            </w:tcBorders>
            <w:shd w:val="clear" w:color="auto" w:fill="auto"/>
            <w:noWrap/>
            <w:vAlign w:val="bottom"/>
            <w:hideMark/>
          </w:tcPr>
          <w:p w14:paraId="24B3692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67,48</w:t>
            </w:r>
          </w:p>
        </w:tc>
        <w:tc>
          <w:tcPr>
            <w:tcW w:w="1127" w:type="dxa"/>
            <w:tcBorders>
              <w:top w:val="nil"/>
              <w:left w:val="nil"/>
              <w:bottom w:val="single" w:sz="4" w:space="0" w:color="auto"/>
              <w:right w:val="single" w:sz="4" w:space="0" w:color="auto"/>
            </w:tcBorders>
            <w:shd w:val="clear" w:color="auto" w:fill="auto"/>
            <w:noWrap/>
            <w:vAlign w:val="bottom"/>
            <w:hideMark/>
          </w:tcPr>
          <w:p w14:paraId="11D5E0E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5521A85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0,91</w:t>
            </w:r>
          </w:p>
        </w:tc>
        <w:tc>
          <w:tcPr>
            <w:tcW w:w="1063" w:type="dxa"/>
            <w:tcBorders>
              <w:top w:val="nil"/>
              <w:left w:val="nil"/>
              <w:bottom w:val="single" w:sz="4" w:space="0" w:color="auto"/>
              <w:right w:val="single" w:sz="4" w:space="0" w:color="auto"/>
            </w:tcBorders>
            <w:shd w:val="clear" w:color="auto" w:fill="auto"/>
            <w:noWrap/>
            <w:vAlign w:val="bottom"/>
            <w:hideMark/>
          </w:tcPr>
          <w:p w14:paraId="0743710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4153596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C01A387"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44FF981" w14:textId="77777777" w:rsidR="00FE461F" w:rsidRPr="005E4BEA" w:rsidRDefault="00FE461F" w:rsidP="00FE461F">
            <w:pPr>
              <w:spacing w:line="240" w:lineRule="auto"/>
              <w:rPr>
                <w:rFonts w:cs="Arial"/>
                <w:color w:val="000000"/>
                <w:szCs w:val="20"/>
              </w:rPr>
            </w:pPr>
            <w:r w:rsidRPr="005E4BEA">
              <w:rPr>
                <w:rFonts w:cs="Arial"/>
                <w:color w:val="000000"/>
                <w:szCs w:val="20"/>
              </w:rPr>
              <w:t>Ljutomer</w:t>
            </w:r>
          </w:p>
        </w:tc>
        <w:tc>
          <w:tcPr>
            <w:tcW w:w="1222" w:type="dxa"/>
            <w:tcBorders>
              <w:top w:val="nil"/>
              <w:left w:val="nil"/>
              <w:bottom w:val="single" w:sz="4" w:space="0" w:color="auto"/>
              <w:right w:val="single" w:sz="4" w:space="0" w:color="auto"/>
            </w:tcBorders>
            <w:shd w:val="clear" w:color="auto" w:fill="auto"/>
            <w:noWrap/>
            <w:vAlign w:val="bottom"/>
            <w:hideMark/>
          </w:tcPr>
          <w:p w14:paraId="6B23BBD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2.883</w:t>
            </w:r>
          </w:p>
        </w:tc>
        <w:tc>
          <w:tcPr>
            <w:tcW w:w="858" w:type="dxa"/>
            <w:tcBorders>
              <w:top w:val="nil"/>
              <w:left w:val="nil"/>
              <w:bottom w:val="single" w:sz="4" w:space="0" w:color="auto"/>
              <w:right w:val="single" w:sz="4" w:space="0" w:color="auto"/>
            </w:tcBorders>
            <w:shd w:val="clear" w:color="auto" w:fill="auto"/>
            <w:noWrap/>
            <w:vAlign w:val="bottom"/>
            <w:hideMark/>
          </w:tcPr>
          <w:p w14:paraId="54E9986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1,63</w:t>
            </w:r>
          </w:p>
        </w:tc>
        <w:tc>
          <w:tcPr>
            <w:tcW w:w="1095" w:type="dxa"/>
            <w:tcBorders>
              <w:top w:val="nil"/>
              <w:left w:val="nil"/>
              <w:bottom w:val="single" w:sz="4" w:space="0" w:color="auto"/>
              <w:right w:val="single" w:sz="4" w:space="0" w:color="auto"/>
            </w:tcBorders>
            <w:shd w:val="clear" w:color="auto" w:fill="auto"/>
            <w:noWrap/>
            <w:vAlign w:val="bottom"/>
            <w:hideMark/>
          </w:tcPr>
          <w:p w14:paraId="208929F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1.768,71</w:t>
            </w:r>
          </w:p>
        </w:tc>
        <w:tc>
          <w:tcPr>
            <w:tcW w:w="1169" w:type="dxa"/>
            <w:tcBorders>
              <w:top w:val="nil"/>
              <w:left w:val="nil"/>
              <w:bottom w:val="single" w:sz="4" w:space="0" w:color="auto"/>
              <w:right w:val="single" w:sz="4" w:space="0" w:color="auto"/>
            </w:tcBorders>
            <w:shd w:val="clear" w:color="auto" w:fill="auto"/>
            <w:noWrap/>
            <w:vAlign w:val="bottom"/>
            <w:hideMark/>
          </w:tcPr>
          <w:p w14:paraId="491CEF6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71,98</w:t>
            </w:r>
          </w:p>
        </w:tc>
        <w:tc>
          <w:tcPr>
            <w:tcW w:w="1127" w:type="dxa"/>
            <w:tcBorders>
              <w:top w:val="nil"/>
              <w:left w:val="nil"/>
              <w:bottom w:val="single" w:sz="4" w:space="0" w:color="auto"/>
              <w:right w:val="single" w:sz="4" w:space="0" w:color="auto"/>
            </w:tcBorders>
            <w:shd w:val="clear" w:color="auto" w:fill="auto"/>
            <w:noWrap/>
            <w:vAlign w:val="bottom"/>
            <w:hideMark/>
          </w:tcPr>
          <w:p w14:paraId="7619457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428ADA8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0,63</w:t>
            </w:r>
          </w:p>
        </w:tc>
        <w:tc>
          <w:tcPr>
            <w:tcW w:w="1063" w:type="dxa"/>
            <w:tcBorders>
              <w:top w:val="nil"/>
              <w:left w:val="nil"/>
              <w:bottom w:val="single" w:sz="4" w:space="0" w:color="auto"/>
              <w:right w:val="single" w:sz="4" w:space="0" w:color="auto"/>
            </w:tcBorders>
            <w:shd w:val="clear" w:color="auto" w:fill="auto"/>
            <w:noWrap/>
            <w:vAlign w:val="bottom"/>
            <w:hideMark/>
          </w:tcPr>
          <w:p w14:paraId="63EDF68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B18A869"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48BB05A6"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25EB54A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NOVA GORICA</w:t>
            </w:r>
          </w:p>
        </w:tc>
        <w:tc>
          <w:tcPr>
            <w:tcW w:w="1222" w:type="dxa"/>
            <w:tcBorders>
              <w:top w:val="nil"/>
              <w:left w:val="nil"/>
              <w:bottom w:val="single" w:sz="4" w:space="0" w:color="auto"/>
              <w:right w:val="single" w:sz="4" w:space="0" w:color="auto"/>
            </w:tcBorders>
            <w:shd w:val="clear" w:color="000000" w:fill="FFFF99"/>
            <w:noWrap/>
            <w:vAlign w:val="bottom"/>
            <w:hideMark/>
          </w:tcPr>
          <w:p w14:paraId="501B3FA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18.723,00</w:t>
            </w:r>
          </w:p>
        </w:tc>
        <w:tc>
          <w:tcPr>
            <w:tcW w:w="858" w:type="dxa"/>
            <w:tcBorders>
              <w:top w:val="nil"/>
              <w:left w:val="nil"/>
              <w:bottom w:val="single" w:sz="4" w:space="0" w:color="auto"/>
              <w:right w:val="single" w:sz="4" w:space="0" w:color="auto"/>
            </w:tcBorders>
            <w:shd w:val="clear" w:color="000000" w:fill="FFFF99"/>
            <w:noWrap/>
            <w:vAlign w:val="bottom"/>
            <w:hideMark/>
          </w:tcPr>
          <w:p w14:paraId="4065608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16,35</w:t>
            </w:r>
          </w:p>
        </w:tc>
        <w:tc>
          <w:tcPr>
            <w:tcW w:w="1095" w:type="dxa"/>
            <w:tcBorders>
              <w:top w:val="nil"/>
              <w:left w:val="nil"/>
              <w:bottom w:val="single" w:sz="4" w:space="0" w:color="auto"/>
              <w:right w:val="single" w:sz="4" w:space="0" w:color="auto"/>
            </w:tcBorders>
            <w:shd w:val="clear" w:color="000000" w:fill="FFFF99"/>
            <w:noWrap/>
            <w:vAlign w:val="bottom"/>
            <w:hideMark/>
          </w:tcPr>
          <w:p w14:paraId="0C34EEB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1.145,14</w:t>
            </w:r>
          </w:p>
        </w:tc>
        <w:tc>
          <w:tcPr>
            <w:tcW w:w="1169" w:type="dxa"/>
            <w:tcBorders>
              <w:top w:val="nil"/>
              <w:left w:val="nil"/>
              <w:bottom w:val="single" w:sz="4" w:space="0" w:color="auto"/>
              <w:right w:val="single" w:sz="4" w:space="0" w:color="auto"/>
            </w:tcBorders>
            <w:shd w:val="clear" w:color="000000" w:fill="FFFF99"/>
            <w:noWrap/>
            <w:vAlign w:val="bottom"/>
            <w:hideMark/>
          </w:tcPr>
          <w:p w14:paraId="65B79E6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111,18</w:t>
            </w:r>
          </w:p>
        </w:tc>
        <w:tc>
          <w:tcPr>
            <w:tcW w:w="1127" w:type="dxa"/>
            <w:tcBorders>
              <w:top w:val="nil"/>
              <w:left w:val="nil"/>
              <w:bottom w:val="single" w:sz="4" w:space="0" w:color="auto"/>
              <w:right w:val="single" w:sz="4" w:space="0" w:color="auto"/>
            </w:tcBorders>
            <w:shd w:val="clear" w:color="000000" w:fill="FFFF99"/>
            <w:noWrap/>
            <w:vAlign w:val="bottom"/>
            <w:hideMark/>
          </w:tcPr>
          <w:p w14:paraId="5043C149"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525AE363"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03D22CF4"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311333E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3C183B2D"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9D49E40" w14:textId="77777777" w:rsidR="00FE461F" w:rsidRPr="005E4BEA" w:rsidRDefault="00FE461F" w:rsidP="00FE461F">
            <w:pPr>
              <w:spacing w:line="240" w:lineRule="auto"/>
              <w:rPr>
                <w:rFonts w:cs="Arial"/>
                <w:color w:val="000000"/>
                <w:szCs w:val="20"/>
              </w:rPr>
            </w:pPr>
            <w:r w:rsidRPr="005E4BEA">
              <w:rPr>
                <w:rFonts w:cs="Arial"/>
                <w:color w:val="000000"/>
                <w:szCs w:val="20"/>
              </w:rPr>
              <w:t>Nova Gorica</w:t>
            </w:r>
          </w:p>
        </w:tc>
        <w:tc>
          <w:tcPr>
            <w:tcW w:w="1222" w:type="dxa"/>
            <w:tcBorders>
              <w:top w:val="nil"/>
              <w:left w:val="nil"/>
              <w:bottom w:val="single" w:sz="4" w:space="0" w:color="auto"/>
              <w:right w:val="single" w:sz="4" w:space="0" w:color="auto"/>
            </w:tcBorders>
            <w:shd w:val="clear" w:color="000000" w:fill="FFFFFF"/>
            <w:noWrap/>
            <w:vAlign w:val="bottom"/>
            <w:hideMark/>
          </w:tcPr>
          <w:p w14:paraId="7CC7DB2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10.338</w:t>
            </w:r>
          </w:p>
        </w:tc>
        <w:tc>
          <w:tcPr>
            <w:tcW w:w="858" w:type="dxa"/>
            <w:tcBorders>
              <w:top w:val="nil"/>
              <w:left w:val="nil"/>
              <w:bottom w:val="single" w:sz="4" w:space="0" w:color="auto"/>
              <w:right w:val="single" w:sz="4" w:space="0" w:color="auto"/>
            </w:tcBorders>
            <w:shd w:val="clear" w:color="auto" w:fill="auto"/>
            <w:noWrap/>
            <w:vAlign w:val="bottom"/>
            <w:hideMark/>
          </w:tcPr>
          <w:p w14:paraId="1A2E980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10,26</w:t>
            </w:r>
          </w:p>
        </w:tc>
        <w:tc>
          <w:tcPr>
            <w:tcW w:w="1095" w:type="dxa"/>
            <w:tcBorders>
              <w:top w:val="nil"/>
              <w:left w:val="nil"/>
              <w:bottom w:val="single" w:sz="4" w:space="0" w:color="auto"/>
              <w:right w:val="single" w:sz="4" w:space="0" w:color="auto"/>
            </w:tcBorders>
            <w:shd w:val="clear" w:color="auto" w:fill="auto"/>
            <w:noWrap/>
            <w:vAlign w:val="bottom"/>
            <w:hideMark/>
          </w:tcPr>
          <w:p w14:paraId="088BBF0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1.007,60</w:t>
            </w:r>
          </w:p>
        </w:tc>
        <w:tc>
          <w:tcPr>
            <w:tcW w:w="1169" w:type="dxa"/>
            <w:tcBorders>
              <w:top w:val="nil"/>
              <w:left w:val="nil"/>
              <w:bottom w:val="single" w:sz="4" w:space="0" w:color="auto"/>
              <w:right w:val="single" w:sz="4" w:space="0" w:color="auto"/>
            </w:tcBorders>
            <w:shd w:val="clear" w:color="auto" w:fill="auto"/>
            <w:noWrap/>
            <w:vAlign w:val="bottom"/>
            <w:hideMark/>
          </w:tcPr>
          <w:p w14:paraId="742C51F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126,36</w:t>
            </w:r>
          </w:p>
        </w:tc>
        <w:tc>
          <w:tcPr>
            <w:tcW w:w="1127" w:type="dxa"/>
            <w:tcBorders>
              <w:top w:val="nil"/>
              <w:left w:val="nil"/>
              <w:bottom w:val="single" w:sz="4" w:space="0" w:color="auto"/>
              <w:right w:val="single" w:sz="4" w:space="0" w:color="auto"/>
            </w:tcBorders>
            <w:shd w:val="clear" w:color="auto" w:fill="auto"/>
            <w:noWrap/>
            <w:vAlign w:val="bottom"/>
            <w:hideMark/>
          </w:tcPr>
          <w:p w14:paraId="6352976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7287165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37021B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FC9CF0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w:t>
            </w:r>
          </w:p>
        </w:tc>
      </w:tr>
      <w:tr w:rsidR="00FE461F" w:rsidRPr="005E4BEA" w14:paraId="0D5847F6"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08A2FBF3" w14:textId="77777777" w:rsidR="00FE461F" w:rsidRPr="005E4BEA" w:rsidRDefault="00FE461F" w:rsidP="00FE461F">
            <w:pPr>
              <w:spacing w:line="240" w:lineRule="auto"/>
              <w:rPr>
                <w:rFonts w:cs="Arial"/>
                <w:color w:val="000000"/>
                <w:szCs w:val="20"/>
              </w:rPr>
            </w:pPr>
            <w:r w:rsidRPr="005E4BEA">
              <w:rPr>
                <w:rFonts w:cs="Arial"/>
                <w:color w:val="000000"/>
                <w:szCs w:val="20"/>
              </w:rPr>
              <w:t>Ajdovščina</w:t>
            </w:r>
          </w:p>
        </w:tc>
        <w:tc>
          <w:tcPr>
            <w:tcW w:w="1222" w:type="dxa"/>
            <w:tcBorders>
              <w:top w:val="nil"/>
              <w:left w:val="nil"/>
              <w:bottom w:val="single" w:sz="4" w:space="0" w:color="auto"/>
              <w:right w:val="single" w:sz="4" w:space="0" w:color="auto"/>
            </w:tcBorders>
            <w:shd w:val="clear" w:color="000000" w:fill="FFFFFF"/>
            <w:noWrap/>
            <w:vAlign w:val="bottom"/>
            <w:hideMark/>
          </w:tcPr>
          <w:p w14:paraId="6FA8618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5.386</w:t>
            </w:r>
          </w:p>
        </w:tc>
        <w:tc>
          <w:tcPr>
            <w:tcW w:w="858" w:type="dxa"/>
            <w:tcBorders>
              <w:top w:val="nil"/>
              <w:left w:val="nil"/>
              <w:bottom w:val="single" w:sz="4" w:space="0" w:color="auto"/>
              <w:right w:val="single" w:sz="4" w:space="0" w:color="auto"/>
            </w:tcBorders>
            <w:shd w:val="clear" w:color="auto" w:fill="auto"/>
            <w:noWrap/>
            <w:vAlign w:val="bottom"/>
            <w:hideMark/>
          </w:tcPr>
          <w:p w14:paraId="29B195F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3,69</w:t>
            </w:r>
          </w:p>
        </w:tc>
        <w:tc>
          <w:tcPr>
            <w:tcW w:w="1095" w:type="dxa"/>
            <w:tcBorders>
              <w:top w:val="nil"/>
              <w:left w:val="nil"/>
              <w:bottom w:val="single" w:sz="4" w:space="0" w:color="auto"/>
              <w:right w:val="single" w:sz="4" w:space="0" w:color="auto"/>
            </w:tcBorders>
            <w:shd w:val="clear" w:color="auto" w:fill="auto"/>
            <w:noWrap/>
            <w:vAlign w:val="bottom"/>
            <w:hideMark/>
          </w:tcPr>
          <w:p w14:paraId="1CD2E13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1.459,62</w:t>
            </w:r>
          </w:p>
        </w:tc>
        <w:tc>
          <w:tcPr>
            <w:tcW w:w="1169" w:type="dxa"/>
            <w:tcBorders>
              <w:top w:val="nil"/>
              <w:left w:val="nil"/>
              <w:bottom w:val="single" w:sz="4" w:space="0" w:color="auto"/>
              <w:right w:val="single" w:sz="4" w:space="0" w:color="auto"/>
            </w:tcBorders>
            <w:shd w:val="clear" w:color="auto" w:fill="auto"/>
            <w:noWrap/>
            <w:vAlign w:val="bottom"/>
            <w:hideMark/>
          </w:tcPr>
          <w:p w14:paraId="61162B6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87,23</w:t>
            </w:r>
          </w:p>
        </w:tc>
        <w:tc>
          <w:tcPr>
            <w:tcW w:w="1127" w:type="dxa"/>
            <w:tcBorders>
              <w:top w:val="nil"/>
              <w:left w:val="nil"/>
              <w:bottom w:val="single" w:sz="4" w:space="0" w:color="auto"/>
              <w:right w:val="single" w:sz="4" w:space="0" w:color="auto"/>
            </w:tcBorders>
            <w:shd w:val="clear" w:color="auto" w:fill="auto"/>
            <w:noWrap/>
            <w:vAlign w:val="bottom"/>
            <w:hideMark/>
          </w:tcPr>
          <w:p w14:paraId="2A8C125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5AA974F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31F9193F"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C4A66D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7C175EF4"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0ECD5387" w14:textId="77777777" w:rsidR="00FE461F" w:rsidRPr="005E4BEA" w:rsidRDefault="00FE461F" w:rsidP="00FE461F">
            <w:pPr>
              <w:spacing w:line="240" w:lineRule="auto"/>
              <w:rPr>
                <w:rFonts w:cs="Arial"/>
                <w:color w:val="000000"/>
                <w:szCs w:val="20"/>
              </w:rPr>
            </w:pPr>
            <w:r w:rsidRPr="005E4BEA">
              <w:rPr>
                <w:rFonts w:cs="Arial"/>
                <w:color w:val="000000"/>
                <w:szCs w:val="20"/>
              </w:rPr>
              <w:t>Tolmin</w:t>
            </w:r>
          </w:p>
        </w:tc>
        <w:tc>
          <w:tcPr>
            <w:tcW w:w="1222" w:type="dxa"/>
            <w:tcBorders>
              <w:top w:val="nil"/>
              <w:left w:val="nil"/>
              <w:bottom w:val="single" w:sz="4" w:space="0" w:color="auto"/>
              <w:right w:val="single" w:sz="4" w:space="0" w:color="auto"/>
            </w:tcBorders>
            <w:shd w:val="clear" w:color="000000" w:fill="FFFFFF"/>
            <w:noWrap/>
            <w:vAlign w:val="bottom"/>
            <w:hideMark/>
          </w:tcPr>
          <w:p w14:paraId="760A2D7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2.999</w:t>
            </w:r>
          </w:p>
        </w:tc>
        <w:tc>
          <w:tcPr>
            <w:tcW w:w="858" w:type="dxa"/>
            <w:tcBorders>
              <w:top w:val="nil"/>
              <w:left w:val="nil"/>
              <w:bottom w:val="single" w:sz="4" w:space="0" w:color="auto"/>
              <w:right w:val="single" w:sz="4" w:space="0" w:color="auto"/>
            </w:tcBorders>
            <w:shd w:val="clear" w:color="auto" w:fill="auto"/>
            <w:noWrap/>
            <w:vAlign w:val="bottom"/>
            <w:hideMark/>
          </w:tcPr>
          <w:p w14:paraId="7F80379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2,40</w:t>
            </w:r>
          </w:p>
        </w:tc>
        <w:tc>
          <w:tcPr>
            <w:tcW w:w="1095" w:type="dxa"/>
            <w:tcBorders>
              <w:top w:val="nil"/>
              <w:left w:val="nil"/>
              <w:bottom w:val="single" w:sz="4" w:space="0" w:color="auto"/>
              <w:right w:val="single" w:sz="4" w:space="0" w:color="auto"/>
            </w:tcBorders>
            <w:shd w:val="clear" w:color="auto" w:fill="auto"/>
            <w:noWrap/>
            <w:vAlign w:val="bottom"/>
            <w:hideMark/>
          </w:tcPr>
          <w:p w14:paraId="74E2007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1.249,58</w:t>
            </w:r>
          </w:p>
        </w:tc>
        <w:tc>
          <w:tcPr>
            <w:tcW w:w="1169" w:type="dxa"/>
            <w:tcBorders>
              <w:top w:val="nil"/>
              <w:left w:val="nil"/>
              <w:bottom w:val="single" w:sz="4" w:space="0" w:color="auto"/>
              <w:right w:val="single" w:sz="4" w:space="0" w:color="auto"/>
            </w:tcBorders>
            <w:shd w:val="clear" w:color="auto" w:fill="auto"/>
            <w:noWrap/>
            <w:vAlign w:val="bottom"/>
            <w:hideMark/>
          </w:tcPr>
          <w:p w14:paraId="1D388FE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101,89</w:t>
            </w:r>
          </w:p>
        </w:tc>
        <w:tc>
          <w:tcPr>
            <w:tcW w:w="1127" w:type="dxa"/>
            <w:tcBorders>
              <w:top w:val="nil"/>
              <w:left w:val="nil"/>
              <w:bottom w:val="single" w:sz="4" w:space="0" w:color="auto"/>
              <w:right w:val="single" w:sz="4" w:space="0" w:color="auto"/>
            </w:tcBorders>
            <w:shd w:val="clear" w:color="auto" w:fill="auto"/>
            <w:noWrap/>
            <w:vAlign w:val="bottom"/>
            <w:hideMark/>
          </w:tcPr>
          <w:p w14:paraId="1DF54D1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669B195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728CC7D"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339D119"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62418D50"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27A2C3A8"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NOVO MESTO</w:t>
            </w:r>
          </w:p>
        </w:tc>
        <w:tc>
          <w:tcPr>
            <w:tcW w:w="1222" w:type="dxa"/>
            <w:tcBorders>
              <w:top w:val="nil"/>
              <w:left w:val="nil"/>
              <w:bottom w:val="single" w:sz="4" w:space="0" w:color="auto"/>
              <w:right w:val="single" w:sz="4" w:space="0" w:color="auto"/>
            </w:tcBorders>
            <w:shd w:val="clear" w:color="000000" w:fill="FFFF99"/>
            <w:noWrap/>
            <w:vAlign w:val="bottom"/>
            <w:hideMark/>
          </w:tcPr>
          <w:p w14:paraId="2A38D82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23.434,00</w:t>
            </w:r>
          </w:p>
        </w:tc>
        <w:tc>
          <w:tcPr>
            <w:tcW w:w="858" w:type="dxa"/>
            <w:tcBorders>
              <w:top w:val="nil"/>
              <w:left w:val="nil"/>
              <w:bottom w:val="single" w:sz="4" w:space="0" w:color="auto"/>
              <w:right w:val="single" w:sz="4" w:space="0" w:color="auto"/>
            </w:tcBorders>
            <w:shd w:val="clear" w:color="000000" w:fill="FFFF99"/>
            <w:noWrap/>
            <w:vAlign w:val="bottom"/>
            <w:hideMark/>
          </w:tcPr>
          <w:p w14:paraId="61CA0F8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16,83</w:t>
            </w:r>
          </w:p>
        </w:tc>
        <w:tc>
          <w:tcPr>
            <w:tcW w:w="1095" w:type="dxa"/>
            <w:tcBorders>
              <w:top w:val="nil"/>
              <w:left w:val="nil"/>
              <w:bottom w:val="single" w:sz="4" w:space="0" w:color="auto"/>
              <w:right w:val="single" w:sz="4" w:space="0" w:color="auto"/>
            </w:tcBorders>
            <w:shd w:val="clear" w:color="000000" w:fill="FFFF99"/>
            <w:noWrap/>
            <w:vAlign w:val="bottom"/>
            <w:hideMark/>
          </w:tcPr>
          <w:p w14:paraId="1FC1F44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1.392,39</w:t>
            </w:r>
          </w:p>
        </w:tc>
        <w:tc>
          <w:tcPr>
            <w:tcW w:w="1169" w:type="dxa"/>
            <w:tcBorders>
              <w:top w:val="nil"/>
              <w:left w:val="nil"/>
              <w:bottom w:val="single" w:sz="4" w:space="0" w:color="auto"/>
              <w:right w:val="single" w:sz="4" w:space="0" w:color="auto"/>
            </w:tcBorders>
            <w:shd w:val="clear" w:color="000000" w:fill="FFFF99"/>
            <w:noWrap/>
            <w:vAlign w:val="bottom"/>
            <w:hideMark/>
          </w:tcPr>
          <w:p w14:paraId="6EC4F98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91,44</w:t>
            </w:r>
          </w:p>
        </w:tc>
        <w:tc>
          <w:tcPr>
            <w:tcW w:w="1127" w:type="dxa"/>
            <w:tcBorders>
              <w:top w:val="nil"/>
              <w:left w:val="nil"/>
              <w:bottom w:val="single" w:sz="4" w:space="0" w:color="auto"/>
              <w:right w:val="single" w:sz="4" w:space="0" w:color="auto"/>
            </w:tcBorders>
            <w:shd w:val="clear" w:color="000000" w:fill="FFFF99"/>
            <w:noWrap/>
            <w:vAlign w:val="bottom"/>
            <w:hideMark/>
          </w:tcPr>
          <w:p w14:paraId="15A63AB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252743A4"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6E5AB727"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2931456F"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07DBC114"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07D715AD" w14:textId="77777777" w:rsidR="00FE461F" w:rsidRPr="005E4BEA" w:rsidRDefault="00FE461F" w:rsidP="00FE461F">
            <w:pPr>
              <w:spacing w:line="240" w:lineRule="auto"/>
              <w:rPr>
                <w:rFonts w:cs="Arial"/>
                <w:color w:val="000000"/>
                <w:szCs w:val="20"/>
              </w:rPr>
            </w:pPr>
            <w:r w:rsidRPr="005E4BEA">
              <w:rPr>
                <w:rFonts w:cs="Arial"/>
                <w:color w:val="000000"/>
                <w:szCs w:val="20"/>
              </w:rPr>
              <w:t>Novo Mesto</w:t>
            </w:r>
          </w:p>
        </w:tc>
        <w:tc>
          <w:tcPr>
            <w:tcW w:w="1222" w:type="dxa"/>
            <w:tcBorders>
              <w:top w:val="nil"/>
              <w:left w:val="nil"/>
              <w:bottom w:val="single" w:sz="4" w:space="0" w:color="auto"/>
              <w:right w:val="single" w:sz="4" w:space="0" w:color="auto"/>
            </w:tcBorders>
            <w:shd w:val="clear" w:color="000000" w:fill="FFFFFF"/>
            <w:noWrap/>
            <w:vAlign w:val="bottom"/>
            <w:hideMark/>
          </w:tcPr>
          <w:p w14:paraId="616738A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13.979</w:t>
            </w:r>
          </w:p>
        </w:tc>
        <w:tc>
          <w:tcPr>
            <w:tcW w:w="858" w:type="dxa"/>
            <w:tcBorders>
              <w:top w:val="nil"/>
              <w:left w:val="nil"/>
              <w:bottom w:val="single" w:sz="4" w:space="0" w:color="auto"/>
              <w:right w:val="single" w:sz="4" w:space="0" w:color="auto"/>
            </w:tcBorders>
            <w:shd w:val="clear" w:color="auto" w:fill="auto"/>
            <w:noWrap/>
            <w:vAlign w:val="bottom"/>
            <w:hideMark/>
          </w:tcPr>
          <w:p w14:paraId="4FF46DD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9,40</w:t>
            </w:r>
          </w:p>
        </w:tc>
        <w:tc>
          <w:tcPr>
            <w:tcW w:w="1095" w:type="dxa"/>
            <w:tcBorders>
              <w:top w:val="nil"/>
              <w:left w:val="nil"/>
              <w:bottom w:val="single" w:sz="4" w:space="0" w:color="auto"/>
              <w:right w:val="single" w:sz="4" w:space="0" w:color="auto"/>
            </w:tcBorders>
            <w:shd w:val="clear" w:color="auto" w:fill="auto"/>
            <w:noWrap/>
            <w:vAlign w:val="bottom"/>
            <w:hideMark/>
          </w:tcPr>
          <w:p w14:paraId="6F2622B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1.487,13</w:t>
            </w:r>
          </w:p>
        </w:tc>
        <w:tc>
          <w:tcPr>
            <w:tcW w:w="1169" w:type="dxa"/>
            <w:tcBorders>
              <w:top w:val="nil"/>
              <w:left w:val="nil"/>
              <w:bottom w:val="single" w:sz="4" w:space="0" w:color="auto"/>
              <w:right w:val="single" w:sz="4" w:space="0" w:color="auto"/>
            </w:tcBorders>
            <w:shd w:val="clear" w:color="auto" w:fill="auto"/>
            <w:noWrap/>
            <w:vAlign w:val="bottom"/>
            <w:hideMark/>
          </w:tcPr>
          <w:p w14:paraId="250F02B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85,61</w:t>
            </w:r>
          </w:p>
        </w:tc>
        <w:tc>
          <w:tcPr>
            <w:tcW w:w="1127" w:type="dxa"/>
            <w:tcBorders>
              <w:top w:val="nil"/>
              <w:left w:val="nil"/>
              <w:bottom w:val="single" w:sz="4" w:space="0" w:color="auto"/>
              <w:right w:val="single" w:sz="4" w:space="0" w:color="auto"/>
            </w:tcBorders>
            <w:shd w:val="clear" w:color="auto" w:fill="auto"/>
            <w:noWrap/>
            <w:vAlign w:val="bottom"/>
            <w:hideMark/>
          </w:tcPr>
          <w:p w14:paraId="4BE771A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90011B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62B3C76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710" w:type="dxa"/>
            <w:tcBorders>
              <w:top w:val="nil"/>
              <w:left w:val="nil"/>
              <w:bottom w:val="single" w:sz="4" w:space="0" w:color="auto"/>
              <w:right w:val="single" w:sz="4" w:space="0" w:color="auto"/>
            </w:tcBorders>
            <w:shd w:val="clear" w:color="auto" w:fill="auto"/>
            <w:noWrap/>
            <w:vAlign w:val="bottom"/>
            <w:hideMark/>
          </w:tcPr>
          <w:p w14:paraId="25F6CB2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w:t>
            </w:r>
          </w:p>
        </w:tc>
      </w:tr>
      <w:tr w:rsidR="00FE461F" w:rsidRPr="005E4BEA" w14:paraId="518E3063"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148ADB0F" w14:textId="77777777" w:rsidR="00FE461F" w:rsidRPr="005E4BEA" w:rsidRDefault="00FE461F" w:rsidP="00FE461F">
            <w:pPr>
              <w:spacing w:line="240" w:lineRule="auto"/>
              <w:rPr>
                <w:rFonts w:cs="Arial"/>
                <w:color w:val="000000"/>
                <w:szCs w:val="20"/>
              </w:rPr>
            </w:pPr>
            <w:r w:rsidRPr="005E4BEA">
              <w:rPr>
                <w:rFonts w:cs="Arial"/>
                <w:color w:val="000000"/>
                <w:szCs w:val="20"/>
              </w:rPr>
              <w:t>Črnomelj</w:t>
            </w:r>
          </w:p>
        </w:tc>
        <w:tc>
          <w:tcPr>
            <w:tcW w:w="1222" w:type="dxa"/>
            <w:tcBorders>
              <w:top w:val="nil"/>
              <w:left w:val="nil"/>
              <w:bottom w:val="single" w:sz="4" w:space="0" w:color="auto"/>
              <w:right w:val="single" w:sz="4" w:space="0" w:color="auto"/>
            </w:tcBorders>
            <w:shd w:val="clear" w:color="000000" w:fill="FFFFFF"/>
            <w:noWrap/>
            <w:vAlign w:val="bottom"/>
            <w:hideMark/>
          </w:tcPr>
          <w:p w14:paraId="2E028A2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3.356</w:t>
            </w:r>
          </w:p>
        </w:tc>
        <w:tc>
          <w:tcPr>
            <w:tcW w:w="858" w:type="dxa"/>
            <w:tcBorders>
              <w:top w:val="nil"/>
              <w:left w:val="nil"/>
              <w:bottom w:val="single" w:sz="4" w:space="0" w:color="auto"/>
              <w:right w:val="single" w:sz="4" w:space="0" w:color="auto"/>
            </w:tcBorders>
            <w:shd w:val="clear" w:color="auto" w:fill="auto"/>
            <w:noWrap/>
            <w:vAlign w:val="bottom"/>
            <w:hideMark/>
          </w:tcPr>
          <w:p w14:paraId="327B648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2,83</w:t>
            </w:r>
          </w:p>
        </w:tc>
        <w:tc>
          <w:tcPr>
            <w:tcW w:w="1095" w:type="dxa"/>
            <w:tcBorders>
              <w:top w:val="nil"/>
              <w:left w:val="nil"/>
              <w:bottom w:val="single" w:sz="4" w:space="0" w:color="auto"/>
              <w:right w:val="single" w:sz="4" w:space="0" w:color="auto"/>
            </w:tcBorders>
            <w:shd w:val="clear" w:color="auto" w:fill="auto"/>
            <w:noWrap/>
            <w:vAlign w:val="bottom"/>
            <w:hideMark/>
          </w:tcPr>
          <w:p w14:paraId="42CD08E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1.185,87</w:t>
            </w:r>
          </w:p>
        </w:tc>
        <w:tc>
          <w:tcPr>
            <w:tcW w:w="1169" w:type="dxa"/>
            <w:tcBorders>
              <w:top w:val="nil"/>
              <w:left w:val="nil"/>
              <w:bottom w:val="single" w:sz="4" w:space="0" w:color="auto"/>
              <w:right w:val="single" w:sz="4" w:space="0" w:color="auto"/>
            </w:tcBorders>
            <w:shd w:val="clear" w:color="auto" w:fill="auto"/>
            <w:noWrap/>
            <w:vAlign w:val="bottom"/>
            <w:hideMark/>
          </w:tcPr>
          <w:p w14:paraId="4EDC638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107,36</w:t>
            </w:r>
          </w:p>
        </w:tc>
        <w:tc>
          <w:tcPr>
            <w:tcW w:w="1127" w:type="dxa"/>
            <w:tcBorders>
              <w:top w:val="nil"/>
              <w:left w:val="nil"/>
              <w:bottom w:val="single" w:sz="4" w:space="0" w:color="auto"/>
              <w:right w:val="single" w:sz="4" w:space="0" w:color="auto"/>
            </w:tcBorders>
            <w:shd w:val="clear" w:color="auto" w:fill="auto"/>
            <w:noWrap/>
            <w:vAlign w:val="bottom"/>
            <w:hideMark/>
          </w:tcPr>
          <w:p w14:paraId="77E346C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651F091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2ADD96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2794664"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15D918F1"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56E3196F" w14:textId="77777777" w:rsidR="00FE461F" w:rsidRPr="005E4BEA" w:rsidRDefault="00FE461F" w:rsidP="00FE461F">
            <w:pPr>
              <w:spacing w:line="240" w:lineRule="auto"/>
              <w:rPr>
                <w:rFonts w:cs="Arial"/>
                <w:color w:val="000000"/>
                <w:szCs w:val="20"/>
              </w:rPr>
            </w:pPr>
            <w:r w:rsidRPr="005E4BEA">
              <w:rPr>
                <w:rFonts w:cs="Arial"/>
                <w:color w:val="000000"/>
                <w:szCs w:val="20"/>
              </w:rPr>
              <w:t>Metlika</w:t>
            </w:r>
          </w:p>
        </w:tc>
        <w:tc>
          <w:tcPr>
            <w:tcW w:w="1222" w:type="dxa"/>
            <w:tcBorders>
              <w:top w:val="nil"/>
              <w:left w:val="nil"/>
              <w:bottom w:val="single" w:sz="4" w:space="0" w:color="auto"/>
              <w:right w:val="single" w:sz="4" w:space="0" w:color="auto"/>
            </w:tcBorders>
            <w:shd w:val="clear" w:color="000000" w:fill="FFFFFF"/>
            <w:noWrap/>
            <w:vAlign w:val="bottom"/>
            <w:hideMark/>
          </w:tcPr>
          <w:p w14:paraId="61539E8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1.553</w:t>
            </w:r>
          </w:p>
        </w:tc>
        <w:tc>
          <w:tcPr>
            <w:tcW w:w="858" w:type="dxa"/>
            <w:tcBorders>
              <w:top w:val="nil"/>
              <w:left w:val="nil"/>
              <w:bottom w:val="single" w:sz="4" w:space="0" w:color="auto"/>
              <w:right w:val="single" w:sz="4" w:space="0" w:color="auto"/>
            </w:tcBorders>
            <w:shd w:val="clear" w:color="auto" w:fill="auto"/>
            <w:noWrap/>
            <w:vAlign w:val="bottom"/>
            <w:hideMark/>
          </w:tcPr>
          <w:p w14:paraId="5FF472E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1,20</w:t>
            </w:r>
          </w:p>
        </w:tc>
        <w:tc>
          <w:tcPr>
            <w:tcW w:w="1095" w:type="dxa"/>
            <w:tcBorders>
              <w:top w:val="nil"/>
              <w:left w:val="nil"/>
              <w:bottom w:val="single" w:sz="4" w:space="0" w:color="auto"/>
              <w:right w:val="single" w:sz="4" w:space="0" w:color="auto"/>
            </w:tcBorders>
            <w:shd w:val="clear" w:color="auto" w:fill="auto"/>
            <w:noWrap/>
            <w:vAlign w:val="bottom"/>
            <w:hideMark/>
          </w:tcPr>
          <w:p w14:paraId="3FE9296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1.294,17</w:t>
            </w:r>
          </w:p>
        </w:tc>
        <w:tc>
          <w:tcPr>
            <w:tcW w:w="1169" w:type="dxa"/>
            <w:tcBorders>
              <w:top w:val="nil"/>
              <w:left w:val="nil"/>
              <w:bottom w:val="single" w:sz="4" w:space="0" w:color="auto"/>
              <w:right w:val="single" w:sz="4" w:space="0" w:color="auto"/>
            </w:tcBorders>
            <w:shd w:val="clear" w:color="auto" w:fill="auto"/>
            <w:noWrap/>
            <w:vAlign w:val="bottom"/>
            <w:hideMark/>
          </w:tcPr>
          <w:p w14:paraId="6EE5A58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98,38</w:t>
            </w:r>
          </w:p>
        </w:tc>
        <w:tc>
          <w:tcPr>
            <w:tcW w:w="1127" w:type="dxa"/>
            <w:tcBorders>
              <w:top w:val="nil"/>
              <w:left w:val="nil"/>
              <w:bottom w:val="single" w:sz="4" w:space="0" w:color="auto"/>
              <w:right w:val="single" w:sz="4" w:space="0" w:color="auto"/>
            </w:tcBorders>
            <w:shd w:val="clear" w:color="auto" w:fill="auto"/>
            <w:noWrap/>
            <w:vAlign w:val="bottom"/>
            <w:hideMark/>
          </w:tcPr>
          <w:p w14:paraId="7B0B77A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01FAB65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A30D0CA"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DC691EE"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3E298078"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449E96B3" w14:textId="77777777" w:rsidR="00FE461F" w:rsidRPr="005E4BEA" w:rsidRDefault="00FE461F" w:rsidP="00FE461F">
            <w:pPr>
              <w:spacing w:line="240" w:lineRule="auto"/>
              <w:rPr>
                <w:rFonts w:cs="Arial"/>
                <w:color w:val="000000"/>
                <w:szCs w:val="20"/>
              </w:rPr>
            </w:pPr>
            <w:r w:rsidRPr="005E4BEA">
              <w:rPr>
                <w:rFonts w:cs="Arial"/>
                <w:color w:val="000000"/>
                <w:szCs w:val="20"/>
              </w:rPr>
              <w:t>Trebnje</w:t>
            </w:r>
          </w:p>
        </w:tc>
        <w:tc>
          <w:tcPr>
            <w:tcW w:w="1222" w:type="dxa"/>
            <w:tcBorders>
              <w:top w:val="nil"/>
              <w:left w:val="nil"/>
              <w:bottom w:val="single" w:sz="4" w:space="0" w:color="auto"/>
              <w:right w:val="single" w:sz="4" w:space="0" w:color="auto"/>
            </w:tcBorders>
            <w:shd w:val="clear" w:color="000000" w:fill="FFFFFF"/>
            <w:noWrap/>
            <w:vAlign w:val="bottom"/>
            <w:hideMark/>
          </w:tcPr>
          <w:p w14:paraId="13083B9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4.546</w:t>
            </w:r>
          </w:p>
        </w:tc>
        <w:tc>
          <w:tcPr>
            <w:tcW w:w="858" w:type="dxa"/>
            <w:tcBorders>
              <w:top w:val="nil"/>
              <w:left w:val="nil"/>
              <w:bottom w:val="single" w:sz="4" w:space="0" w:color="auto"/>
              <w:right w:val="single" w:sz="4" w:space="0" w:color="auto"/>
            </w:tcBorders>
            <w:shd w:val="clear" w:color="auto" w:fill="auto"/>
            <w:noWrap/>
            <w:vAlign w:val="bottom"/>
            <w:hideMark/>
          </w:tcPr>
          <w:p w14:paraId="3DE3CB7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3,40</w:t>
            </w:r>
          </w:p>
        </w:tc>
        <w:tc>
          <w:tcPr>
            <w:tcW w:w="1095" w:type="dxa"/>
            <w:tcBorders>
              <w:top w:val="nil"/>
              <w:left w:val="nil"/>
              <w:bottom w:val="single" w:sz="4" w:space="0" w:color="auto"/>
              <w:right w:val="single" w:sz="4" w:space="0" w:color="auto"/>
            </w:tcBorders>
            <w:shd w:val="clear" w:color="auto" w:fill="auto"/>
            <w:noWrap/>
            <w:vAlign w:val="bottom"/>
            <w:hideMark/>
          </w:tcPr>
          <w:p w14:paraId="6700FDA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1.337,06</w:t>
            </w:r>
          </w:p>
        </w:tc>
        <w:tc>
          <w:tcPr>
            <w:tcW w:w="1169" w:type="dxa"/>
            <w:tcBorders>
              <w:top w:val="nil"/>
              <w:left w:val="nil"/>
              <w:bottom w:val="single" w:sz="4" w:space="0" w:color="auto"/>
              <w:right w:val="single" w:sz="4" w:space="0" w:color="auto"/>
            </w:tcBorders>
            <w:shd w:val="clear" w:color="auto" w:fill="auto"/>
            <w:noWrap/>
            <w:vAlign w:val="bottom"/>
            <w:hideMark/>
          </w:tcPr>
          <w:p w14:paraId="2C10BC3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95,22</w:t>
            </w:r>
          </w:p>
        </w:tc>
        <w:tc>
          <w:tcPr>
            <w:tcW w:w="1127" w:type="dxa"/>
            <w:tcBorders>
              <w:top w:val="nil"/>
              <w:left w:val="nil"/>
              <w:bottom w:val="single" w:sz="4" w:space="0" w:color="auto"/>
              <w:right w:val="single" w:sz="4" w:space="0" w:color="auto"/>
            </w:tcBorders>
            <w:shd w:val="clear" w:color="auto" w:fill="auto"/>
            <w:noWrap/>
            <w:vAlign w:val="bottom"/>
            <w:hideMark/>
          </w:tcPr>
          <w:p w14:paraId="1910CF0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34E281C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709A7BE6"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71900C0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0D704E6B"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99"/>
            <w:noWrap/>
            <w:vAlign w:val="bottom"/>
            <w:hideMark/>
          </w:tcPr>
          <w:p w14:paraId="59324A0B"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OE RAVNE</w:t>
            </w:r>
          </w:p>
        </w:tc>
        <w:tc>
          <w:tcPr>
            <w:tcW w:w="1222" w:type="dxa"/>
            <w:tcBorders>
              <w:top w:val="nil"/>
              <w:left w:val="nil"/>
              <w:bottom w:val="single" w:sz="4" w:space="0" w:color="auto"/>
              <w:right w:val="single" w:sz="4" w:space="0" w:color="auto"/>
            </w:tcBorders>
            <w:shd w:val="clear" w:color="000000" w:fill="FFFF99"/>
            <w:noWrap/>
            <w:vAlign w:val="bottom"/>
            <w:hideMark/>
          </w:tcPr>
          <w:p w14:paraId="794F68A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24.583,00</w:t>
            </w:r>
          </w:p>
        </w:tc>
        <w:tc>
          <w:tcPr>
            <w:tcW w:w="858" w:type="dxa"/>
            <w:tcBorders>
              <w:top w:val="nil"/>
              <w:left w:val="nil"/>
              <w:bottom w:val="single" w:sz="4" w:space="0" w:color="auto"/>
              <w:right w:val="single" w:sz="4" w:space="0" w:color="auto"/>
            </w:tcBorders>
            <w:shd w:val="clear" w:color="000000" w:fill="FFFF99"/>
            <w:noWrap/>
            <w:vAlign w:val="bottom"/>
            <w:hideMark/>
          </w:tcPr>
          <w:p w14:paraId="766EB4A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19,47</w:t>
            </w:r>
          </w:p>
        </w:tc>
        <w:tc>
          <w:tcPr>
            <w:tcW w:w="1095" w:type="dxa"/>
            <w:tcBorders>
              <w:top w:val="nil"/>
              <w:left w:val="nil"/>
              <w:bottom w:val="single" w:sz="4" w:space="0" w:color="auto"/>
              <w:right w:val="single" w:sz="4" w:space="0" w:color="auto"/>
            </w:tcBorders>
            <w:shd w:val="clear" w:color="000000" w:fill="FFFF99"/>
            <w:noWrap/>
            <w:vAlign w:val="bottom"/>
            <w:hideMark/>
          </w:tcPr>
          <w:p w14:paraId="1015000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1.262,44</w:t>
            </w:r>
          </w:p>
        </w:tc>
        <w:tc>
          <w:tcPr>
            <w:tcW w:w="1169" w:type="dxa"/>
            <w:tcBorders>
              <w:top w:val="nil"/>
              <w:left w:val="nil"/>
              <w:bottom w:val="single" w:sz="4" w:space="0" w:color="auto"/>
              <w:right w:val="single" w:sz="4" w:space="0" w:color="auto"/>
            </w:tcBorders>
            <w:shd w:val="clear" w:color="000000" w:fill="FFFF99"/>
            <w:noWrap/>
            <w:vAlign w:val="bottom"/>
            <w:hideMark/>
          </w:tcPr>
          <w:p w14:paraId="10AEB72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100,85</w:t>
            </w:r>
          </w:p>
        </w:tc>
        <w:tc>
          <w:tcPr>
            <w:tcW w:w="1127" w:type="dxa"/>
            <w:tcBorders>
              <w:top w:val="nil"/>
              <w:left w:val="nil"/>
              <w:bottom w:val="single" w:sz="4" w:space="0" w:color="auto"/>
              <w:right w:val="single" w:sz="4" w:space="0" w:color="auto"/>
            </w:tcBorders>
            <w:shd w:val="clear" w:color="000000" w:fill="FFFF99"/>
            <w:noWrap/>
            <w:vAlign w:val="bottom"/>
            <w:hideMark/>
          </w:tcPr>
          <w:p w14:paraId="19B620C0"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54" w:type="dxa"/>
            <w:tcBorders>
              <w:top w:val="nil"/>
              <w:left w:val="nil"/>
              <w:bottom w:val="single" w:sz="4" w:space="0" w:color="auto"/>
              <w:right w:val="single" w:sz="4" w:space="0" w:color="auto"/>
            </w:tcBorders>
            <w:shd w:val="clear" w:color="000000" w:fill="FFFF99"/>
            <w:noWrap/>
            <w:vAlign w:val="bottom"/>
            <w:hideMark/>
          </w:tcPr>
          <w:p w14:paraId="7B1332B3"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1063" w:type="dxa"/>
            <w:tcBorders>
              <w:top w:val="nil"/>
              <w:left w:val="nil"/>
              <w:bottom w:val="single" w:sz="4" w:space="0" w:color="auto"/>
              <w:right w:val="single" w:sz="4" w:space="0" w:color="auto"/>
            </w:tcBorders>
            <w:shd w:val="clear" w:color="000000" w:fill="FFFF99"/>
            <w:noWrap/>
            <w:vAlign w:val="bottom"/>
            <w:hideMark/>
          </w:tcPr>
          <w:p w14:paraId="2A8CEBC6"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c>
          <w:tcPr>
            <w:tcW w:w="710" w:type="dxa"/>
            <w:tcBorders>
              <w:top w:val="nil"/>
              <w:left w:val="nil"/>
              <w:bottom w:val="single" w:sz="4" w:space="0" w:color="auto"/>
              <w:right w:val="single" w:sz="4" w:space="0" w:color="auto"/>
            </w:tcBorders>
            <w:shd w:val="clear" w:color="000000" w:fill="FFFF99"/>
            <w:noWrap/>
            <w:vAlign w:val="bottom"/>
            <w:hideMark/>
          </w:tcPr>
          <w:p w14:paraId="7B3DD063"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 </w:t>
            </w:r>
          </w:p>
        </w:tc>
      </w:tr>
      <w:tr w:rsidR="00FE461F" w:rsidRPr="005E4BEA" w14:paraId="3462657A"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87D1A71" w14:textId="77777777" w:rsidR="00FE461F" w:rsidRPr="005E4BEA" w:rsidRDefault="00FE461F" w:rsidP="00FE461F">
            <w:pPr>
              <w:spacing w:line="240" w:lineRule="auto"/>
              <w:rPr>
                <w:rFonts w:cs="Arial"/>
                <w:color w:val="000000"/>
                <w:szCs w:val="20"/>
              </w:rPr>
            </w:pPr>
            <w:r w:rsidRPr="005E4BEA">
              <w:rPr>
                <w:rFonts w:cs="Arial"/>
                <w:color w:val="000000"/>
                <w:szCs w:val="20"/>
              </w:rPr>
              <w:t>Ravne</w:t>
            </w:r>
          </w:p>
        </w:tc>
        <w:tc>
          <w:tcPr>
            <w:tcW w:w="1222" w:type="dxa"/>
            <w:tcBorders>
              <w:top w:val="nil"/>
              <w:left w:val="nil"/>
              <w:bottom w:val="single" w:sz="4" w:space="0" w:color="auto"/>
              <w:right w:val="single" w:sz="4" w:space="0" w:color="auto"/>
            </w:tcBorders>
            <w:shd w:val="clear" w:color="auto" w:fill="auto"/>
            <w:noWrap/>
            <w:vAlign w:val="bottom"/>
            <w:hideMark/>
          </w:tcPr>
          <w:p w14:paraId="626C240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5.858</w:t>
            </w:r>
          </w:p>
        </w:tc>
        <w:tc>
          <w:tcPr>
            <w:tcW w:w="858" w:type="dxa"/>
            <w:tcBorders>
              <w:top w:val="nil"/>
              <w:left w:val="nil"/>
              <w:bottom w:val="single" w:sz="4" w:space="0" w:color="auto"/>
              <w:right w:val="single" w:sz="4" w:space="0" w:color="auto"/>
            </w:tcBorders>
            <w:shd w:val="clear" w:color="auto" w:fill="auto"/>
            <w:noWrap/>
            <w:vAlign w:val="bottom"/>
            <w:hideMark/>
          </w:tcPr>
          <w:p w14:paraId="69AF55F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4,39</w:t>
            </w:r>
          </w:p>
        </w:tc>
        <w:tc>
          <w:tcPr>
            <w:tcW w:w="1095" w:type="dxa"/>
            <w:tcBorders>
              <w:top w:val="nil"/>
              <w:left w:val="nil"/>
              <w:bottom w:val="single" w:sz="4" w:space="0" w:color="auto"/>
              <w:right w:val="single" w:sz="4" w:space="0" w:color="auto"/>
            </w:tcBorders>
            <w:shd w:val="clear" w:color="auto" w:fill="auto"/>
            <w:noWrap/>
            <w:vAlign w:val="bottom"/>
            <w:hideMark/>
          </w:tcPr>
          <w:p w14:paraId="0680F53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1.333,90</w:t>
            </w:r>
          </w:p>
        </w:tc>
        <w:tc>
          <w:tcPr>
            <w:tcW w:w="1169" w:type="dxa"/>
            <w:tcBorders>
              <w:top w:val="nil"/>
              <w:left w:val="nil"/>
              <w:bottom w:val="single" w:sz="4" w:space="0" w:color="auto"/>
              <w:right w:val="single" w:sz="4" w:space="0" w:color="auto"/>
            </w:tcBorders>
            <w:shd w:val="clear" w:color="auto" w:fill="auto"/>
            <w:noWrap/>
            <w:vAlign w:val="bottom"/>
            <w:hideMark/>
          </w:tcPr>
          <w:p w14:paraId="1C4CF43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95,45</w:t>
            </w:r>
          </w:p>
        </w:tc>
        <w:tc>
          <w:tcPr>
            <w:tcW w:w="1127" w:type="dxa"/>
            <w:tcBorders>
              <w:top w:val="nil"/>
              <w:left w:val="nil"/>
              <w:bottom w:val="single" w:sz="4" w:space="0" w:color="auto"/>
              <w:right w:val="single" w:sz="4" w:space="0" w:color="auto"/>
            </w:tcBorders>
            <w:shd w:val="clear" w:color="auto" w:fill="auto"/>
            <w:noWrap/>
            <w:vAlign w:val="bottom"/>
            <w:hideMark/>
          </w:tcPr>
          <w:p w14:paraId="4F41874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0,10</w:t>
            </w:r>
          </w:p>
        </w:tc>
        <w:tc>
          <w:tcPr>
            <w:tcW w:w="754" w:type="dxa"/>
            <w:tcBorders>
              <w:top w:val="nil"/>
              <w:left w:val="nil"/>
              <w:bottom w:val="single" w:sz="4" w:space="0" w:color="auto"/>
              <w:right w:val="single" w:sz="4" w:space="0" w:color="auto"/>
            </w:tcBorders>
            <w:shd w:val="clear" w:color="auto" w:fill="auto"/>
            <w:noWrap/>
            <w:vAlign w:val="bottom"/>
            <w:hideMark/>
          </w:tcPr>
          <w:p w14:paraId="1FF0339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CF91966"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5B50589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675014C6"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DDBD901" w14:textId="77777777" w:rsidR="00FE461F" w:rsidRPr="005E4BEA" w:rsidRDefault="00FE461F" w:rsidP="00FE461F">
            <w:pPr>
              <w:spacing w:line="240" w:lineRule="auto"/>
              <w:rPr>
                <w:rFonts w:cs="Arial"/>
                <w:color w:val="000000"/>
                <w:szCs w:val="20"/>
              </w:rPr>
            </w:pPr>
            <w:r w:rsidRPr="005E4BEA">
              <w:rPr>
                <w:rFonts w:cs="Arial"/>
                <w:color w:val="000000"/>
                <w:szCs w:val="20"/>
              </w:rPr>
              <w:t>Mozirje</w:t>
            </w:r>
          </w:p>
        </w:tc>
        <w:tc>
          <w:tcPr>
            <w:tcW w:w="1222" w:type="dxa"/>
            <w:tcBorders>
              <w:top w:val="nil"/>
              <w:left w:val="nil"/>
              <w:bottom w:val="single" w:sz="4" w:space="0" w:color="auto"/>
              <w:right w:val="single" w:sz="4" w:space="0" w:color="auto"/>
            </w:tcBorders>
            <w:shd w:val="clear" w:color="auto" w:fill="auto"/>
            <w:noWrap/>
            <w:vAlign w:val="bottom"/>
            <w:hideMark/>
          </w:tcPr>
          <w:p w14:paraId="3620D37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3.033</w:t>
            </w:r>
          </w:p>
        </w:tc>
        <w:tc>
          <w:tcPr>
            <w:tcW w:w="858" w:type="dxa"/>
            <w:tcBorders>
              <w:top w:val="nil"/>
              <w:left w:val="nil"/>
              <w:bottom w:val="single" w:sz="4" w:space="0" w:color="auto"/>
              <w:right w:val="single" w:sz="4" w:space="0" w:color="auto"/>
            </w:tcBorders>
            <w:shd w:val="clear" w:color="auto" w:fill="auto"/>
            <w:noWrap/>
            <w:vAlign w:val="bottom"/>
            <w:hideMark/>
          </w:tcPr>
          <w:p w14:paraId="245DE08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2,13</w:t>
            </w:r>
          </w:p>
        </w:tc>
        <w:tc>
          <w:tcPr>
            <w:tcW w:w="1095" w:type="dxa"/>
            <w:tcBorders>
              <w:top w:val="nil"/>
              <w:left w:val="nil"/>
              <w:bottom w:val="single" w:sz="4" w:space="0" w:color="auto"/>
              <w:right w:val="single" w:sz="4" w:space="0" w:color="auto"/>
            </w:tcBorders>
            <w:shd w:val="clear" w:color="auto" w:fill="auto"/>
            <w:noWrap/>
            <w:vAlign w:val="bottom"/>
            <w:hideMark/>
          </w:tcPr>
          <w:p w14:paraId="407BD33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1.423,94</w:t>
            </w:r>
          </w:p>
        </w:tc>
        <w:tc>
          <w:tcPr>
            <w:tcW w:w="1169" w:type="dxa"/>
            <w:tcBorders>
              <w:top w:val="nil"/>
              <w:left w:val="nil"/>
              <w:bottom w:val="single" w:sz="4" w:space="0" w:color="auto"/>
              <w:right w:val="single" w:sz="4" w:space="0" w:color="auto"/>
            </w:tcBorders>
            <w:shd w:val="clear" w:color="auto" w:fill="auto"/>
            <w:noWrap/>
            <w:vAlign w:val="bottom"/>
            <w:hideMark/>
          </w:tcPr>
          <w:p w14:paraId="6962D0F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89,41</w:t>
            </w:r>
          </w:p>
        </w:tc>
        <w:tc>
          <w:tcPr>
            <w:tcW w:w="1127" w:type="dxa"/>
            <w:tcBorders>
              <w:top w:val="nil"/>
              <w:left w:val="nil"/>
              <w:bottom w:val="single" w:sz="4" w:space="0" w:color="auto"/>
              <w:right w:val="single" w:sz="4" w:space="0" w:color="auto"/>
            </w:tcBorders>
            <w:shd w:val="clear" w:color="auto" w:fill="auto"/>
            <w:noWrap/>
            <w:vAlign w:val="bottom"/>
            <w:hideMark/>
          </w:tcPr>
          <w:p w14:paraId="0EF6F0A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327B834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768D6C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C042D7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73945936" w14:textId="77777777" w:rsidTr="00BE5D1E">
        <w:trPr>
          <w:trHeight w:val="20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39F023" w14:textId="77777777" w:rsidR="00FE461F" w:rsidRPr="005E4BEA" w:rsidRDefault="00FE461F" w:rsidP="00FE461F">
            <w:pPr>
              <w:spacing w:line="240" w:lineRule="auto"/>
              <w:rPr>
                <w:rFonts w:cs="Arial"/>
                <w:color w:val="000000"/>
                <w:szCs w:val="20"/>
              </w:rPr>
            </w:pPr>
            <w:r w:rsidRPr="005E4BEA">
              <w:rPr>
                <w:rFonts w:cs="Arial"/>
                <w:color w:val="000000"/>
                <w:szCs w:val="20"/>
              </w:rPr>
              <w:t>Radlje</w:t>
            </w:r>
          </w:p>
        </w:tc>
        <w:tc>
          <w:tcPr>
            <w:tcW w:w="1222" w:type="dxa"/>
            <w:tcBorders>
              <w:top w:val="nil"/>
              <w:left w:val="nil"/>
              <w:bottom w:val="single" w:sz="4" w:space="0" w:color="auto"/>
              <w:right w:val="single" w:sz="4" w:space="0" w:color="auto"/>
            </w:tcBorders>
            <w:shd w:val="clear" w:color="auto" w:fill="auto"/>
            <w:noWrap/>
            <w:vAlign w:val="bottom"/>
            <w:hideMark/>
          </w:tcPr>
          <w:p w14:paraId="77BE1A0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2.884</w:t>
            </w:r>
          </w:p>
        </w:tc>
        <w:tc>
          <w:tcPr>
            <w:tcW w:w="858" w:type="dxa"/>
            <w:tcBorders>
              <w:top w:val="nil"/>
              <w:left w:val="nil"/>
              <w:bottom w:val="single" w:sz="4" w:space="0" w:color="auto"/>
              <w:right w:val="single" w:sz="4" w:space="0" w:color="auto"/>
            </w:tcBorders>
            <w:shd w:val="clear" w:color="auto" w:fill="auto"/>
            <w:noWrap/>
            <w:vAlign w:val="bottom"/>
            <w:hideMark/>
          </w:tcPr>
          <w:p w14:paraId="52F9319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2,70</w:t>
            </w:r>
          </w:p>
        </w:tc>
        <w:tc>
          <w:tcPr>
            <w:tcW w:w="1095" w:type="dxa"/>
            <w:tcBorders>
              <w:top w:val="nil"/>
              <w:left w:val="nil"/>
              <w:bottom w:val="single" w:sz="4" w:space="0" w:color="auto"/>
              <w:right w:val="single" w:sz="4" w:space="0" w:color="auto"/>
            </w:tcBorders>
            <w:shd w:val="clear" w:color="auto" w:fill="auto"/>
            <w:noWrap/>
            <w:vAlign w:val="bottom"/>
            <w:hideMark/>
          </w:tcPr>
          <w:p w14:paraId="3CEF7C5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1.069,10</w:t>
            </w:r>
          </w:p>
        </w:tc>
        <w:tc>
          <w:tcPr>
            <w:tcW w:w="1169" w:type="dxa"/>
            <w:tcBorders>
              <w:top w:val="nil"/>
              <w:left w:val="nil"/>
              <w:bottom w:val="single" w:sz="4" w:space="0" w:color="auto"/>
              <w:right w:val="single" w:sz="4" w:space="0" w:color="auto"/>
            </w:tcBorders>
            <w:shd w:val="clear" w:color="auto" w:fill="auto"/>
            <w:noWrap/>
            <w:vAlign w:val="bottom"/>
            <w:hideMark/>
          </w:tcPr>
          <w:p w14:paraId="4A81E85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119,09</w:t>
            </w:r>
          </w:p>
        </w:tc>
        <w:tc>
          <w:tcPr>
            <w:tcW w:w="1127" w:type="dxa"/>
            <w:tcBorders>
              <w:top w:val="nil"/>
              <w:left w:val="nil"/>
              <w:bottom w:val="single" w:sz="4" w:space="0" w:color="auto"/>
              <w:right w:val="single" w:sz="4" w:space="0" w:color="auto"/>
            </w:tcBorders>
            <w:shd w:val="clear" w:color="auto" w:fill="auto"/>
            <w:noWrap/>
            <w:vAlign w:val="bottom"/>
            <w:hideMark/>
          </w:tcPr>
          <w:p w14:paraId="74BAA65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0,50</w:t>
            </w:r>
          </w:p>
        </w:tc>
        <w:tc>
          <w:tcPr>
            <w:tcW w:w="754" w:type="dxa"/>
            <w:tcBorders>
              <w:top w:val="nil"/>
              <w:left w:val="nil"/>
              <w:bottom w:val="single" w:sz="4" w:space="0" w:color="auto"/>
              <w:right w:val="single" w:sz="4" w:space="0" w:color="auto"/>
            </w:tcBorders>
            <w:shd w:val="clear" w:color="auto" w:fill="auto"/>
            <w:noWrap/>
            <w:vAlign w:val="bottom"/>
            <w:hideMark/>
          </w:tcPr>
          <w:p w14:paraId="378D6BC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476C35B7"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D557C7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1D9EB5FF"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1D2F5C1D" w14:textId="77777777" w:rsidR="00FE461F" w:rsidRPr="005E4BEA" w:rsidRDefault="00FE461F" w:rsidP="00FE461F">
            <w:pPr>
              <w:spacing w:line="240" w:lineRule="auto"/>
              <w:rPr>
                <w:rFonts w:cs="Arial"/>
                <w:color w:val="000000"/>
                <w:szCs w:val="20"/>
              </w:rPr>
            </w:pPr>
            <w:r w:rsidRPr="005E4BEA">
              <w:rPr>
                <w:rFonts w:cs="Arial"/>
                <w:color w:val="000000"/>
                <w:szCs w:val="20"/>
              </w:rPr>
              <w:t>Slovenj Gradec</w:t>
            </w:r>
          </w:p>
        </w:tc>
        <w:tc>
          <w:tcPr>
            <w:tcW w:w="1222" w:type="dxa"/>
            <w:tcBorders>
              <w:top w:val="nil"/>
              <w:left w:val="nil"/>
              <w:bottom w:val="single" w:sz="4" w:space="0" w:color="auto"/>
              <w:right w:val="single" w:sz="4" w:space="0" w:color="auto"/>
            </w:tcBorders>
            <w:shd w:val="clear" w:color="000000" w:fill="FFFFFF"/>
            <w:noWrap/>
            <w:vAlign w:val="bottom"/>
            <w:hideMark/>
          </w:tcPr>
          <w:p w14:paraId="3CED82C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4.062</w:t>
            </w:r>
          </w:p>
        </w:tc>
        <w:tc>
          <w:tcPr>
            <w:tcW w:w="858" w:type="dxa"/>
            <w:tcBorders>
              <w:top w:val="nil"/>
              <w:left w:val="nil"/>
              <w:bottom w:val="single" w:sz="4" w:space="0" w:color="auto"/>
              <w:right w:val="single" w:sz="4" w:space="0" w:color="auto"/>
            </w:tcBorders>
            <w:shd w:val="clear" w:color="auto" w:fill="auto"/>
            <w:noWrap/>
            <w:vAlign w:val="bottom"/>
            <w:hideMark/>
          </w:tcPr>
          <w:p w14:paraId="7EBFCA2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3,25</w:t>
            </w:r>
          </w:p>
        </w:tc>
        <w:tc>
          <w:tcPr>
            <w:tcW w:w="1095" w:type="dxa"/>
            <w:tcBorders>
              <w:top w:val="nil"/>
              <w:left w:val="nil"/>
              <w:bottom w:val="single" w:sz="4" w:space="0" w:color="auto"/>
              <w:right w:val="single" w:sz="4" w:space="0" w:color="auto"/>
            </w:tcBorders>
            <w:shd w:val="clear" w:color="auto" w:fill="auto"/>
            <w:noWrap/>
            <w:vAlign w:val="bottom"/>
            <w:hideMark/>
          </w:tcPr>
          <w:p w14:paraId="1EBA8E7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1.248,57</w:t>
            </w:r>
          </w:p>
        </w:tc>
        <w:tc>
          <w:tcPr>
            <w:tcW w:w="1169" w:type="dxa"/>
            <w:tcBorders>
              <w:top w:val="nil"/>
              <w:left w:val="nil"/>
              <w:bottom w:val="single" w:sz="4" w:space="0" w:color="auto"/>
              <w:right w:val="single" w:sz="4" w:space="0" w:color="auto"/>
            </w:tcBorders>
            <w:shd w:val="clear" w:color="auto" w:fill="auto"/>
            <w:noWrap/>
            <w:vAlign w:val="bottom"/>
            <w:hideMark/>
          </w:tcPr>
          <w:p w14:paraId="75F908E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101,97</w:t>
            </w:r>
          </w:p>
        </w:tc>
        <w:tc>
          <w:tcPr>
            <w:tcW w:w="1127" w:type="dxa"/>
            <w:tcBorders>
              <w:top w:val="nil"/>
              <w:left w:val="nil"/>
              <w:bottom w:val="single" w:sz="4" w:space="0" w:color="auto"/>
              <w:right w:val="single" w:sz="4" w:space="0" w:color="auto"/>
            </w:tcBorders>
            <w:shd w:val="clear" w:color="auto" w:fill="auto"/>
            <w:noWrap/>
            <w:vAlign w:val="bottom"/>
            <w:hideMark/>
          </w:tcPr>
          <w:p w14:paraId="6DD8832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262C503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0D0D9710"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5D68EED1"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654AB51B" w14:textId="77777777" w:rsidTr="00BE5D1E">
        <w:trPr>
          <w:trHeight w:val="208"/>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14:paraId="6CB8CAF4" w14:textId="77777777" w:rsidR="00FE461F" w:rsidRPr="005E4BEA" w:rsidRDefault="00FE461F" w:rsidP="00FE461F">
            <w:pPr>
              <w:spacing w:line="240" w:lineRule="auto"/>
              <w:rPr>
                <w:rFonts w:cs="Arial"/>
                <w:color w:val="000000"/>
                <w:szCs w:val="20"/>
              </w:rPr>
            </w:pPr>
            <w:r w:rsidRPr="005E4BEA">
              <w:rPr>
                <w:rFonts w:cs="Arial"/>
                <w:color w:val="000000"/>
                <w:szCs w:val="20"/>
              </w:rPr>
              <w:t>Velenje</w:t>
            </w:r>
          </w:p>
        </w:tc>
        <w:tc>
          <w:tcPr>
            <w:tcW w:w="1222" w:type="dxa"/>
            <w:tcBorders>
              <w:top w:val="nil"/>
              <w:left w:val="nil"/>
              <w:bottom w:val="single" w:sz="4" w:space="0" w:color="auto"/>
              <w:right w:val="single" w:sz="4" w:space="0" w:color="auto"/>
            </w:tcBorders>
            <w:shd w:val="clear" w:color="000000" w:fill="FFFFFF"/>
            <w:noWrap/>
            <w:vAlign w:val="bottom"/>
            <w:hideMark/>
          </w:tcPr>
          <w:p w14:paraId="084EF23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8.746</w:t>
            </w:r>
          </w:p>
        </w:tc>
        <w:tc>
          <w:tcPr>
            <w:tcW w:w="858" w:type="dxa"/>
            <w:tcBorders>
              <w:top w:val="nil"/>
              <w:left w:val="nil"/>
              <w:bottom w:val="single" w:sz="4" w:space="0" w:color="auto"/>
              <w:right w:val="single" w:sz="4" w:space="0" w:color="auto"/>
            </w:tcBorders>
            <w:shd w:val="clear" w:color="auto" w:fill="auto"/>
            <w:noWrap/>
            <w:vAlign w:val="bottom"/>
            <w:hideMark/>
          </w:tcPr>
          <w:p w14:paraId="57B01B4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7,00</w:t>
            </w:r>
          </w:p>
        </w:tc>
        <w:tc>
          <w:tcPr>
            <w:tcW w:w="1095" w:type="dxa"/>
            <w:tcBorders>
              <w:top w:val="nil"/>
              <w:left w:val="nil"/>
              <w:bottom w:val="single" w:sz="4" w:space="0" w:color="auto"/>
              <w:right w:val="single" w:sz="4" w:space="0" w:color="auto"/>
            </w:tcBorders>
            <w:shd w:val="clear" w:color="auto" w:fill="auto"/>
            <w:noWrap/>
            <w:vAlign w:val="bottom"/>
            <w:hideMark/>
          </w:tcPr>
          <w:p w14:paraId="1A12413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1.249,43</w:t>
            </w:r>
          </w:p>
        </w:tc>
        <w:tc>
          <w:tcPr>
            <w:tcW w:w="1169" w:type="dxa"/>
            <w:tcBorders>
              <w:top w:val="nil"/>
              <w:left w:val="nil"/>
              <w:bottom w:val="single" w:sz="4" w:space="0" w:color="auto"/>
              <w:right w:val="single" w:sz="4" w:space="0" w:color="auto"/>
            </w:tcBorders>
            <w:shd w:val="clear" w:color="auto" w:fill="auto"/>
            <w:noWrap/>
            <w:vAlign w:val="bottom"/>
            <w:hideMark/>
          </w:tcPr>
          <w:p w14:paraId="495CA21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101,90</w:t>
            </w:r>
          </w:p>
        </w:tc>
        <w:tc>
          <w:tcPr>
            <w:tcW w:w="1127" w:type="dxa"/>
            <w:tcBorders>
              <w:top w:val="nil"/>
              <w:left w:val="nil"/>
              <w:bottom w:val="single" w:sz="4" w:space="0" w:color="auto"/>
              <w:right w:val="single" w:sz="4" w:space="0" w:color="auto"/>
            </w:tcBorders>
            <w:shd w:val="clear" w:color="auto" w:fill="auto"/>
            <w:noWrap/>
            <w:vAlign w:val="bottom"/>
            <w:hideMark/>
          </w:tcPr>
          <w:p w14:paraId="01C30E4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14:paraId="3308271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1063" w:type="dxa"/>
            <w:tcBorders>
              <w:top w:val="nil"/>
              <w:left w:val="nil"/>
              <w:bottom w:val="single" w:sz="4" w:space="0" w:color="auto"/>
              <w:right w:val="single" w:sz="4" w:space="0" w:color="auto"/>
            </w:tcBorders>
            <w:shd w:val="clear" w:color="auto" w:fill="auto"/>
            <w:noWrap/>
            <w:vAlign w:val="bottom"/>
            <w:hideMark/>
          </w:tcPr>
          <w:p w14:paraId="5AD0810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710" w:type="dxa"/>
            <w:tcBorders>
              <w:top w:val="nil"/>
              <w:left w:val="nil"/>
              <w:bottom w:val="single" w:sz="4" w:space="0" w:color="auto"/>
              <w:right w:val="single" w:sz="4" w:space="0" w:color="auto"/>
            </w:tcBorders>
            <w:shd w:val="clear" w:color="auto" w:fill="auto"/>
            <w:noWrap/>
            <w:vAlign w:val="bottom"/>
            <w:hideMark/>
          </w:tcPr>
          <w:p w14:paraId="0BF230E7"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r>
      <w:tr w:rsidR="00FE461F" w:rsidRPr="005E4BEA" w14:paraId="762FCF53" w14:textId="77777777" w:rsidTr="00BE5D1E">
        <w:trPr>
          <w:trHeight w:val="208"/>
        </w:trPr>
        <w:tc>
          <w:tcPr>
            <w:tcW w:w="1555" w:type="dxa"/>
            <w:tcBorders>
              <w:top w:val="nil"/>
              <w:left w:val="nil"/>
              <w:bottom w:val="nil"/>
              <w:right w:val="nil"/>
            </w:tcBorders>
            <w:shd w:val="clear" w:color="auto" w:fill="auto"/>
            <w:noWrap/>
            <w:vAlign w:val="bottom"/>
            <w:hideMark/>
          </w:tcPr>
          <w:p w14:paraId="7E12A692" w14:textId="77777777" w:rsidR="00FE461F" w:rsidRPr="005E4BEA" w:rsidRDefault="00FE461F" w:rsidP="00FE461F">
            <w:pPr>
              <w:spacing w:line="240" w:lineRule="auto"/>
              <w:rPr>
                <w:rFonts w:cs="Arial"/>
                <w:color w:val="000000"/>
                <w:szCs w:val="20"/>
              </w:rPr>
            </w:pPr>
          </w:p>
        </w:tc>
        <w:tc>
          <w:tcPr>
            <w:tcW w:w="1222" w:type="dxa"/>
            <w:tcBorders>
              <w:top w:val="nil"/>
              <w:left w:val="nil"/>
              <w:bottom w:val="nil"/>
              <w:right w:val="nil"/>
            </w:tcBorders>
            <w:shd w:val="clear" w:color="auto" w:fill="auto"/>
            <w:noWrap/>
            <w:vAlign w:val="bottom"/>
            <w:hideMark/>
          </w:tcPr>
          <w:p w14:paraId="2C8D201B" w14:textId="77777777" w:rsidR="00FE461F" w:rsidRPr="005E4BEA" w:rsidRDefault="00FE461F" w:rsidP="00FE461F">
            <w:pPr>
              <w:spacing w:line="240" w:lineRule="auto"/>
              <w:rPr>
                <w:rFonts w:cs="Arial"/>
                <w:szCs w:val="20"/>
              </w:rPr>
            </w:pPr>
          </w:p>
        </w:tc>
        <w:tc>
          <w:tcPr>
            <w:tcW w:w="858" w:type="dxa"/>
            <w:tcBorders>
              <w:top w:val="nil"/>
              <w:left w:val="nil"/>
              <w:bottom w:val="nil"/>
              <w:right w:val="nil"/>
            </w:tcBorders>
            <w:shd w:val="clear" w:color="auto" w:fill="auto"/>
            <w:noWrap/>
            <w:vAlign w:val="bottom"/>
            <w:hideMark/>
          </w:tcPr>
          <w:p w14:paraId="3D158965" w14:textId="77777777" w:rsidR="00FE461F" w:rsidRPr="005E4BEA" w:rsidRDefault="00FE461F" w:rsidP="00FE461F">
            <w:pPr>
              <w:spacing w:line="240" w:lineRule="auto"/>
              <w:jc w:val="center"/>
              <w:rPr>
                <w:rFonts w:cs="Arial"/>
                <w:szCs w:val="20"/>
              </w:rPr>
            </w:pPr>
          </w:p>
        </w:tc>
        <w:tc>
          <w:tcPr>
            <w:tcW w:w="1095" w:type="dxa"/>
            <w:tcBorders>
              <w:top w:val="nil"/>
              <w:left w:val="nil"/>
              <w:bottom w:val="nil"/>
              <w:right w:val="nil"/>
            </w:tcBorders>
            <w:shd w:val="clear" w:color="auto" w:fill="auto"/>
            <w:noWrap/>
            <w:vAlign w:val="bottom"/>
            <w:hideMark/>
          </w:tcPr>
          <w:p w14:paraId="7E44BC82" w14:textId="77777777" w:rsidR="00FE461F" w:rsidRPr="005E4BEA" w:rsidRDefault="00FE461F" w:rsidP="00FE461F">
            <w:pPr>
              <w:spacing w:line="240" w:lineRule="auto"/>
              <w:jc w:val="center"/>
              <w:rPr>
                <w:rFonts w:cs="Arial"/>
                <w:szCs w:val="20"/>
              </w:rPr>
            </w:pPr>
          </w:p>
        </w:tc>
        <w:tc>
          <w:tcPr>
            <w:tcW w:w="1169" w:type="dxa"/>
            <w:tcBorders>
              <w:top w:val="nil"/>
              <w:left w:val="nil"/>
              <w:bottom w:val="nil"/>
              <w:right w:val="nil"/>
            </w:tcBorders>
            <w:shd w:val="clear" w:color="auto" w:fill="auto"/>
            <w:noWrap/>
            <w:vAlign w:val="bottom"/>
            <w:hideMark/>
          </w:tcPr>
          <w:p w14:paraId="2E00B8BF" w14:textId="77777777" w:rsidR="00FE461F" w:rsidRPr="005E4BEA" w:rsidRDefault="00FE461F" w:rsidP="00FE461F">
            <w:pPr>
              <w:spacing w:line="240" w:lineRule="auto"/>
              <w:jc w:val="center"/>
              <w:rPr>
                <w:rFonts w:cs="Arial"/>
                <w:szCs w:val="20"/>
              </w:rPr>
            </w:pPr>
          </w:p>
        </w:tc>
        <w:tc>
          <w:tcPr>
            <w:tcW w:w="1127" w:type="dxa"/>
            <w:tcBorders>
              <w:top w:val="nil"/>
              <w:left w:val="nil"/>
              <w:bottom w:val="nil"/>
              <w:right w:val="nil"/>
            </w:tcBorders>
            <w:shd w:val="clear" w:color="000000" w:fill="D9E1F2"/>
            <w:noWrap/>
            <w:vAlign w:val="bottom"/>
            <w:hideMark/>
          </w:tcPr>
          <w:p w14:paraId="6CBC320E" w14:textId="77777777" w:rsidR="00FE461F" w:rsidRPr="005E4BEA" w:rsidRDefault="00FE461F" w:rsidP="00FE461F">
            <w:pPr>
              <w:spacing w:line="240" w:lineRule="auto"/>
              <w:rPr>
                <w:rFonts w:cs="Arial"/>
                <w:color w:val="000000"/>
                <w:szCs w:val="20"/>
              </w:rPr>
            </w:pPr>
            <w:r w:rsidRPr="005E4BEA">
              <w:rPr>
                <w:rFonts w:cs="Arial"/>
                <w:color w:val="000000"/>
                <w:szCs w:val="20"/>
              </w:rPr>
              <w:t>skupaj</w:t>
            </w:r>
          </w:p>
        </w:tc>
        <w:tc>
          <w:tcPr>
            <w:tcW w:w="754" w:type="dxa"/>
            <w:tcBorders>
              <w:top w:val="nil"/>
              <w:left w:val="nil"/>
              <w:bottom w:val="nil"/>
              <w:right w:val="nil"/>
            </w:tcBorders>
            <w:shd w:val="clear" w:color="000000" w:fill="D9E1F2"/>
            <w:noWrap/>
            <w:vAlign w:val="bottom"/>
            <w:hideMark/>
          </w:tcPr>
          <w:p w14:paraId="0AD9258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15,58</w:t>
            </w:r>
          </w:p>
        </w:tc>
        <w:tc>
          <w:tcPr>
            <w:tcW w:w="1063" w:type="dxa"/>
            <w:tcBorders>
              <w:top w:val="nil"/>
              <w:left w:val="nil"/>
              <w:bottom w:val="nil"/>
              <w:right w:val="nil"/>
            </w:tcBorders>
            <w:shd w:val="clear" w:color="000000" w:fill="D9E1F2"/>
            <w:noWrap/>
            <w:vAlign w:val="bottom"/>
            <w:hideMark/>
          </w:tcPr>
          <w:p w14:paraId="4782130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6</w:t>
            </w:r>
          </w:p>
        </w:tc>
        <w:tc>
          <w:tcPr>
            <w:tcW w:w="710" w:type="dxa"/>
            <w:tcBorders>
              <w:top w:val="nil"/>
              <w:left w:val="nil"/>
              <w:bottom w:val="nil"/>
              <w:right w:val="nil"/>
            </w:tcBorders>
            <w:shd w:val="clear" w:color="auto" w:fill="auto"/>
            <w:noWrap/>
            <w:vAlign w:val="bottom"/>
            <w:hideMark/>
          </w:tcPr>
          <w:p w14:paraId="64218D1F"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2,762</w:t>
            </w:r>
          </w:p>
        </w:tc>
      </w:tr>
    </w:tbl>
    <w:p w14:paraId="2331A707" w14:textId="77777777" w:rsidR="00FE461F" w:rsidRPr="005E4BEA" w:rsidRDefault="00FE461F" w:rsidP="00FE461F">
      <w:pPr>
        <w:spacing w:line="240" w:lineRule="auto"/>
        <w:jc w:val="both"/>
        <w:rPr>
          <w:rFonts w:cs="Arial"/>
          <w:i/>
          <w:color w:val="808080" w:themeColor="background1" w:themeShade="80"/>
          <w:szCs w:val="20"/>
        </w:rPr>
      </w:pPr>
    </w:p>
    <w:tbl>
      <w:tblPr>
        <w:tblW w:w="9872" w:type="dxa"/>
        <w:tblInd w:w="-15" w:type="dxa"/>
        <w:tblCellMar>
          <w:left w:w="70" w:type="dxa"/>
          <w:right w:w="70" w:type="dxa"/>
        </w:tblCellMar>
        <w:tblLook w:val="04A0" w:firstRow="1" w:lastRow="0" w:firstColumn="1" w:lastColumn="0" w:noHBand="0" w:noVBand="1"/>
      </w:tblPr>
      <w:tblGrid>
        <w:gridCol w:w="1616"/>
        <w:gridCol w:w="931"/>
        <w:gridCol w:w="880"/>
        <w:gridCol w:w="927"/>
        <w:gridCol w:w="947"/>
        <w:gridCol w:w="983"/>
        <w:gridCol w:w="959"/>
        <w:gridCol w:w="1236"/>
        <w:gridCol w:w="855"/>
        <w:gridCol w:w="538"/>
      </w:tblGrid>
      <w:tr w:rsidR="00BE5D1E" w:rsidRPr="005E4BEA" w14:paraId="289FD8D7" w14:textId="77777777" w:rsidTr="0016774B">
        <w:trPr>
          <w:trHeight w:val="204"/>
        </w:trPr>
        <w:tc>
          <w:tcPr>
            <w:tcW w:w="2547" w:type="dxa"/>
            <w:gridSpan w:val="2"/>
            <w:tcBorders>
              <w:top w:val="nil"/>
              <w:left w:val="nil"/>
              <w:bottom w:val="nil"/>
              <w:right w:val="nil"/>
            </w:tcBorders>
            <w:noWrap/>
            <w:vAlign w:val="bottom"/>
            <w:hideMark/>
          </w:tcPr>
          <w:p w14:paraId="64D1A358" w14:textId="77777777" w:rsidR="00BE5D1E" w:rsidRPr="005E4BEA" w:rsidRDefault="00BE5D1E" w:rsidP="00BE5D1E">
            <w:pPr>
              <w:spacing w:line="240" w:lineRule="auto"/>
              <w:rPr>
                <w:rFonts w:ascii="Arial Narrow" w:hAnsi="Arial Narrow" w:cs="Calibri"/>
                <w:b/>
                <w:bCs/>
                <w:sz w:val="22"/>
                <w:szCs w:val="22"/>
              </w:rPr>
            </w:pPr>
            <w:r w:rsidRPr="005E4BEA">
              <w:rPr>
                <w:rFonts w:ascii="Arial Narrow" w:hAnsi="Arial Narrow" w:cs="Calibri"/>
                <w:b/>
                <w:bCs/>
                <w:sz w:val="22"/>
                <w:szCs w:val="22"/>
              </w:rPr>
              <w:t>Preskrbljenost 6/2021 - Odrasli</w:t>
            </w:r>
          </w:p>
        </w:tc>
        <w:tc>
          <w:tcPr>
            <w:tcW w:w="880" w:type="dxa"/>
            <w:tcBorders>
              <w:top w:val="nil"/>
              <w:left w:val="nil"/>
              <w:bottom w:val="nil"/>
              <w:right w:val="nil"/>
            </w:tcBorders>
            <w:noWrap/>
            <w:vAlign w:val="center"/>
            <w:hideMark/>
          </w:tcPr>
          <w:p w14:paraId="59745B68" w14:textId="77777777" w:rsidR="00BE5D1E" w:rsidRPr="005E4BEA" w:rsidRDefault="00BE5D1E" w:rsidP="00BE5D1E">
            <w:pPr>
              <w:spacing w:line="240" w:lineRule="auto"/>
              <w:rPr>
                <w:rFonts w:ascii="Arial Narrow" w:hAnsi="Arial Narrow" w:cs="Calibri"/>
                <w:b/>
                <w:bCs/>
                <w:sz w:val="16"/>
                <w:szCs w:val="16"/>
              </w:rPr>
            </w:pPr>
          </w:p>
        </w:tc>
        <w:tc>
          <w:tcPr>
            <w:tcW w:w="927" w:type="dxa"/>
            <w:tcBorders>
              <w:top w:val="nil"/>
              <w:left w:val="nil"/>
              <w:bottom w:val="nil"/>
              <w:right w:val="nil"/>
            </w:tcBorders>
            <w:noWrap/>
            <w:vAlign w:val="center"/>
            <w:hideMark/>
          </w:tcPr>
          <w:p w14:paraId="5FE388F5" w14:textId="77777777" w:rsidR="00BE5D1E" w:rsidRPr="005E4BEA" w:rsidRDefault="00BE5D1E" w:rsidP="00BE5D1E">
            <w:pPr>
              <w:spacing w:line="240" w:lineRule="auto"/>
              <w:jc w:val="center"/>
              <w:rPr>
                <w:rFonts w:ascii="Arial Narrow" w:hAnsi="Arial Narrow"/>
                <w:sz w:val="16"/>
                <w:szCs w:val="16"/>
              </w:rPr>
            </w:pPr>
          </w:p>
        </w:tc>
        <w:tc>
          <w:tcPr>
            <w:tcW w:w="947" w:type="dxa"/>
            <w:tcBorders>
              <w:top w:val="nil"/>
              <w:left w:val="nil"/>
              <w:bottom w:val="nil"/>
              <w:right w:val="nil"/>
            </w:tcBorders>
            <w:noWrap/>
            <w:vAlign w:val="center"/>
            <w:hideMark/>
          </w:tcPr>
          <w:p w14:paraId="370A1996" w14:textId="77777777" w:rsidR="00BE5D1E" w:rsidRPr="005E4BEA" w:rsidRDefault="00BE5D1E" w:rsidP="00BE5D1E">
            <w:pPr>
              <w:spacing w:line="240" w:lineRule="auto"/>
              <w:jc w:val="center"/>
              <w:rPr>
                <w:rFonts w:ascii="Arial Narrow" w:hAnsi="Arial Narrow"/>
                <w:sz w:val="16"/>
                <w:szCs w:val="16"/>
              </w:rPr>
            </w:pPr>
          </w:p>
        </w:tc>
        <w:tc>
          <w:tcPr>
            <w:tcW w:w="983" w:type="dxa"/>
            <w:tcBorders>
              <w:top w:val="nil"/>
              <w:left w:val="nil"/>
              <w:bottom w:val="nil"/>
              <w:right w:val="nil"/>
            </w:tcBorders>
            <w:noWrap/>
            <w:vAlign w:val="center"/>
            <w:hideMark/>
          </w:tcPr>
          <w:p w14:paraId="19846FA1" w14:textId="77777777" w:rsidR="00BE5D1E" w:rsidRPr="005E4BEA" w:rsidRDefault="00BE5D1E" w:rsidP="00BE5D1E">
            <w:pPr>
              <w:spacing w:line="240" w:lineRule="auto"/>
              <w:jc w:val="center"/>
              <w:rPr>
                <w:rFonts w:ascii="Arial Narrow" w:hAnsi="Arial Narrow"/>
                <w:sz w:val="16"/>
                <w:szCs w:val="16"/>
              </w:rPr>
            </w:pPr>
          </w:p>
        </w:tc>
        <w:tc>
          <w:tcPr>
            <w:tcW w:w="959" w:type="dxa"/>
            <w:tcBorders>
              <w:top w:val="nil"/>
              <w:left w:val="nil"/>
              <w:bottom w:val="nil"/>
              <w:right w:val="nil"/>
            </w:tcBorders>
            <w:noWrap/>
            <w:vAlign w:val="center"/>
            <w:hideMark/>
          </w:tcPr>
          <w:p w14:paraId="08BB28B1" w14:textId="77777777" w:rsidR="00BE5D1E" w:rsidRPr="005E4BEA" w:rsidRDefault="00BE5D1E" w:rsidP="00BE5D1E">
            <w:pPr>
              <w:spacing w:line="240" w:lineRule="auto"/>
              <w:jc w:val="center"/>
              <w:rPr>
                <w:rFonts w:ascii="Arial Narrow" w:hAnsi="Arial Narrow"/>
                <w:sz w:val="16"/>
                <w:szCs w:val="16"/>
              </w:rPr>
            </w:pPr>
          </w:p>
        </w:tc>
        <w:tc>
          <w:tcPr>
            <w:tcW w:w="1236" w:type="dxa"/>
            <w:tcBorders>
              <w:top w:val="nil"/>
              <w:left w:val="nil"/>
              <w:bottom w:val="nil"/>
              <w:right w:val="nil"/>
            </w:tcBorders>
            <w:noWrap/>
            <w:vAlign w:val="center"/>
            <w:hideMark/>
          </w:tcPr>
          <w:p w14:paraId="0F14C06E" w14:textId="77777777" w:rsidR="00BE5D1E" w:rsidRPr="005E4BEA" w:rsidRDefault="00BE5D1E" w:rsidP="00BE5D1E">
            <w:pPr>
              <w:spacing w:line="240" w:lineRule="auto"/>
              <w:jc w:val="center"/>
              <w:rPr>
                <w:rFonts w:ascii="Arial Narrow" w:hAnsi="Arial Narrow"/>
                <w:sz w:val="16"/>
                <w:szCs w:val="16"/>
              </w:rPr>
            </w:pPr>
          </w:p>
        </w:tc>
        <w:tc>
          <w:tcPr>
            <w:tcW w:w="855" w:type="dxa"/>
            <w:tcBorders>
              <w:top w:val="nil"/>
              <w:left w:val="nil"/>
              <w:bottom w:val="nil"/>
              <w:right w:val="nil"/>
            </w:tcBorders>
            <w:noWrap/>
            <w:vAlign w:val="bottom"/>
            <w:hideMark/>
          </w:tcPr>
          <w:p w14:paraId="2A27034B" w14:textId="77777777" w:rsidR="00BE5D1E" w:rsidRPr="005E4BEA" w:rsidRDefault="00BE5D1E" w:rsidP="00BE5D1E">
            <w:pPr>
              <w:spacing w:line="240" w:lineRule="auto"/>
              <w:jc w:val="center"/>
              <w:rPr>
                <w:rFonts w:ascii="Arial Narrow" w:hAnsi="Arial Narrow"/>
                <w:sz w:val="16"/>
                <w:szCs w:val="16"/>
              </w:rPr>
            </w:pPr>
          </w:p>
        </w:tc>
        <w:tc>
          <w:tcPr>
            <w:tcW w:w="538" w:type="dxa"/>
            <w:tcBorders>
              <w:top w:val="nil"/>
              <w:left w:val="nil"/>
              <w:bottom w:val="nil"/>
              <w:right w:val="nil"/>
            </w:tcBorders>
            <w:noWrap/>
            <w:vAlign w:val="bottom"/>
            <w:hideMark/>
          </w:tcPr>
          <w:p w14:paraId="35B62B17" w14:textId="77777777" w:rsidR="00BE5D1E" w:rsidRPr="005E4BEA" w:rsidRDefault="00BE5D1E" w:rsidP="00BE5D1E">
            <w:pPr>
              <w:spacing w:line="240" w:lineRule="auto"/>
              <w:rPr>
                <w:rFonts w:ascii="Arial Narrow" w:hAnsi="Arial Narrow"/>
                <w:sz w:val="16"/>
                <w:szCs w:val="16"/>
              </w:rPr>
            </w:pPr>
          </w:p>
        </w:tc>
      </w:tr>
      <w:tr w:rsidR="00BE5D1E" w:rsidRPr="005E4BEA" w14:paraId="38A7E136" w14:textId="77777777" w:rsidTr="0016774B">
        <w:trPr>
          <w:trHeight w:val="204"/>
        </w:trPr>
        <w:tc>
          <w:tcPr>
            <w:tcW w:w="2547" w:type="dxa"/>
            <w:gridSpan w:val="2"/>
            <w:tcBorders>
              <w:top w:val="nil"/>
              <w:left w:val="nil"/>
              <w:bottom w:val="nil"/>
              <w:right w:val="nil"/>
            </w:tcBorders>
            <w:noWrap/>
            <w:vAlign w:val="bottom"/>
            <w:hideMark/>
          </w:tcPr>
          <w:p w14:paraId="174E6E86" w14:textId="77777777" w:rsidR="00BE5D1E" w:rsidRPr="005E4BEA" w:rsidRDefault="00BE5D1E" w:rsidP="00BE5D1E">
            <w:pPr>
              <w:spacing w:line="240" w:lineRule="auto"/>
              <w:rPr>
                <w:rFonts w:ascii="Arial Narrow" w:hAnsi="Arial Narrow" w:cs="Calibri"/>
                <w:color w:val="000000"/>
                <w:sz w:val="22"/>
                <w:szCs w:val="22"/>
              </w:rPr>
            </w:pPr>
            <w:r w:rsidRPr="005E4BEA">
              <w:rPr>
                <w:rFonts w:ascii="Arial Narrow" w:hAnsi="Arial Narrow" w:cs="Calibri"/>
                <w:color w:val="000000"/>
                <w:sz w:val="22"/>
                <w:szCs w:val="22"/>
              </w:rPr>
              <w:t>zavarovane osebe na dan 30.06.2021</w:t>
            </w:r>
          </w:p>
        </w:tc>
        <w:tc>
          <w:tcPr>
            <w:tcW w:w="880" w:type="dxa"/>
            <w:tcBorders>
              <w:top w:val="nil"/>
              <w:left w:val="nil"/>
              <w:bottom w:val="nil"/>
              <w:right w:val="nil"/>
            </w:tcBorders>
            <w:noWrap/>
            <w:vAlign w:val="center"/>
            <w:hideMark/>
          </w:tcPr>
          <w:p w14:paraId="36F2C9EC" w14:textId="77777777" w:rsidR="00BE5D1E" w:rsidRPr="005E4BEA" w:rsidRDefault="00BE5D1E" w:rsidP="00BE5D1E">
            <w:pPr>
              <w:spacing w:line="240" w:lineRule="auto"/>
              <w:rPr>
                <w:rFonts w:ascii="Arial Narrow" w:hAnsi="Arial Narrow" w:cs="Calibri"/>
                <w:color w:val="000000"/>
                <w:sz w:val="16"/>
                <w:szCs w:val="16"/>
              </w:rPr>
            </w:pPr>
          </w:p>
        </w:tc>
        <w:tc>
          <w:tcPr>
            <w:tcW w:w="927" w:type="dxa"/>
            <w:tcBorders>
              <w:top w:val="nil"/>
              <w:left w:val="nil"/>
              <w:bottom w:val="nil"/>
              <w:right w:val="nil"/>
            </w:tcBorders>
            <w:noWrap/>
            <w:vAlign w:val="center"/>
            <w:hideMark/>
          </w:tcPr>
          <w:p w14:paraId="1B3921E7" w14:textId="77777777" w:rsidR="00BE5D1E" w:rsidRPr="005E4BEA" w:rsidRDefault="00BE5D1E" w:rsidP="00BE5D1E">
            <w:pPr>
              <w:spacing w:line="240" w:lineRule="auto"/>
              <w:jc w:val="center"/>
              <w:rPr>
                <w:rFonts w:ascii="Arial Narrow" w:hAnsi="Arial Narrow"/>
                <w:sz w:val="16"/>
                <w:szCs w:val="16"/>
              </w:rPr>
            </w:pPr>
          </w:p>
        </w:tc>
        <w:tc>
          <w:tcPr>
            <w:tcW w:w="947" w:type="dxa"/>
            <w:tcBorders>
              <w:top w:val="nil"/>
              <w:left w:val="nil"/>
              <w:bottom w:val="nil"/>
              <w:right w:val="nil"/>
            </w:tcBorders>
            <w:noWrap/>
            <w:vAlign w:val="center"/>
            <w:hideMark/>
          </w:tcPr>
          <w:p w14:paraId="79D6531C" w14:textId="77777777" w:rsidR="00BE5D1E" w:rsidRPr="005E4BEA" w:rsidRDefault="00BE5D1E" w:rsidP="00BE5D1E">
            <w:pPr>
              <w:spacing w:line="240" w:lineRule="auto"/>
              <w:jc w:val="center"/>
              <w:rPr>
                <w:rFonts w:ascii="Arial Narrow" w:hAnsi="Arial Narrow"/>
                <w:sz w:val="16"/>
                <w:szCs w:val="16"/>
              </w:rPr>
            </w:pPr>
          </w:p>
        </w:tc>
        <w:tc>
          <w:tcPr>
            <w:tcW w:w="983" w:type="dxa"/>
            <w:tcBorders>
              <w:top w:val="nil"/>
              <w:left w:val="nil"/>
              <w:bottom w:val="nil"/>
              <w:right w:val="nil"/>
            </w:tcBorders>
            <w:noWrap/>
            <w:vAlign w:val="center"/>
            <w:hideMark/>
          </w:tcPr>
          <w:p w14:paraId="2E3F6238" w14:textId="77777777" w:rsidR="00BE5D1E" w:rsidRPr="005E4BEA" w:rsidRDefault="00BE5D1E" w:rsidP="00BE5D1E">
            <w:pPr>
              <w:spacing w:line="240" w:lineRule="auto"/>
              <w:jc w:val="center"/>
              <w:rPr>
                <w:rFonts w:ascii="Arial Narrow" w:hAnsi="Arial Narrow"/>
                <w:sz w:val="16"/>
                <w:szCs w:val="16"/>
              </w:rPr>
            </w:pPr>
          </w:p>
        </w:tc>
        <w:tc>
          <w:tcPr>
            <w:tcW w:w="959" w:type="dxa"/>
            <w:tcBorders>
              <w:top w:val="nil"/>
              <w:left w:val="nil"/>
              <w:bottom w:val="nil"/>
              <w:right w:val="nil"/>
            </w:tcBorders>
            <w:noWrap/>
            <w:vAlign w:val="center"/>
            <w:hideMark/>
          </w:tcPr>
          <w:p w14:paraId="50A7BA5C" w14:textId="77777777" w:rsidR="00BE5D1E" w:rsidRPr="005E4BEA" w:rsidRDefault="00BE5D1E" w:rsidP="00BE5D1E">
            <w:pPr>
              <w:spacing w:line="240" w:lineRule="auto"/>
              <w:jc w:val="center"/>
              <w:rPr>
                <w:rFonts w:ascii="Arial Narrow" w:hAnsi="Arial Narrow"/>
                <w:sz w:val="16"/>
                <w:szCs w:val="16"/>
              </w:rPr>
            </w:pPr>
          </w:p>
        </w:tc>
        <w:tc>
          <w:tcPr>
            <w:tcW w:w="1236" w:type="dxa"/>
            <w:tcBorders>
              <w:top w:val="nil"/>
              <w:left w:val="nil"/>
              <w:bottom w:val="nil"/>
              <w:right w:val="nil"/>
            </w:tcBorders>
            <w:noWrap/>
            <w:vAlign w:val="center"/>
            <w:hideMark/>
          </w:tcPr>
          <w:p w14:paraId="4DA54838" w14:textId="77777777" w:rsidR="00BE5D1E" w:rsidRPr="005E4BEA" w:rsidRDefault="00BE5D1E" w:rsidP="00BE5D1E">
            <w:pPr>
              <w:spacing w:line="240" w:lineRule="auto"/>
              <w:jc w:val="center"/>
              <w:rPr>
                <w:rFonts w:ascii="Arial Narrow" w:hAnsi="Arial Narrow"/>
                <w:sz w:val="16"/>
                <w:szCs w:val="16"/>
              </w:rPr>
            </w:pPr>
          </w:p>
        </w:tc>
        <w:tc>
          <w:tcPr>
            <w:tcW w:w="855" w:type="dxa"/>
            <w:tcBorders>
              <w:top w:val="nil"/>
              <w:left w:val="nil"/>
              <w:bottom w:val="nil"/>
              <w:right w:val="nil"/>
            </w:tcBorders>
            <w:noWrap/>
            <w:vAlign w:val="bottom"/>
            <w:hideMark/>
          </w:tcPr>
          <w:p w14:paraId="58D05C4B" w14:textId="77777777" w:rsidR="00BE5D1E" w:rsidRPr="005E4BEA" w:rsidRDefault="00BE5D1E" w:rsidP="00BE5D1E">
            <w:pPr>
              <w:spacing w:line="240" w:lineRule="auto"/>
              <w:jc w:val="center"/>
              <w:rPr>
                <w:rFonts w:ascii="Arial Narrow" w:hAnsi="Arial Narrow"/>
                <w:sz w:val="16"/>
                <w:szCs w:val="16"/>
              </w:rPr>
            </w:pPr>
          </w:p>
        </w:tc>
        <w:tc>
          <w:tcPr>
            <w:tcW w:w="538" w:type="dxa"/>
            <w:tcBorders>
              <w:top w:val="nil"/>
              <w:left w:val="nil"/>
              <w:bottom w:val="nil"/>
              <w:right w:val="nil"/>
            </w:tcBorders>
            <w:noWrap/>
            <w:vAlign w:val="bottom"/>
            <w:hideMark/>
          </w:tcPr>
          <w:p w14:paraId="4C717BD1" w14:textId="77777777" w:rsidR="00BE5D1E" w:rsidRPr="005E4BEA" w:rsidRDefault="00BE5D1E" w:rsidP="00BE5D1E">
            <w:pPr>
              <w:spacing w:line="240" w:lineRule="auto"/>
              <w:rPr>
                <w:rFonts w:ascii="Arial Narrow" w:hAnsi="Arial Narrow"/>
                <w:sz w:val="16"/>
                <w:szCs w:val="16"/>
              </w:rPr>
            </w:pPr>
          </w:p>
        </w:tc>
      </w:tr>
      <w:tr w:rsidR="00BE5D1E" w:rsidRPr="005E4BEA" w14:paraId="0E048EF8" w14:textId="77777777" w:rsidTr="0016774B">
        <w:trPr>
          <w:trHeight w:val="1024"/>
        </w:trPr>
        <w:tc>
          <w:tcPr>
            <w:tcW w:w="16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797C1" w14:textId="77777777" w:rsidR="00BE5D1E" w:rsidRPr="005E4BEA" w:rsidRDefault="00BE5D1E" w:rsidP="00BE5D1E">
            <w:pPr>
              <w:spacing w:line="240" w:lineRule="auto"/>
              <w:jc w:val="center"/>
              <w:rPr>
                <w:rFonts w:ascii="Arial Narrow" w:hAnsi="Arial Narrow" w:cs="Calibri"/>
                <w:b/>
                <w:bCs/>
                <w:sz w:val="16"/>
                <w:szCs w:val="16"/>
              </w:rPr>
            </w:pPr>
            <w:r w:rsidRPr="005E4BEA">
              <w:rPr>
                <w:rFonts w:ascii="Arial Narrow" w:hAnsi="Arial Narrow" w:cs="Calibri"/>
                <w:b/>
                <w:bCs/>
                <w:sz w:val="16"/>
                <w:szCs w:val="16"/>
              </w:rPr>
              <w:t>IZPOSTAVA ZAVODA</w:t>
            </w:r>
          </w:p>
        </w:tc>
        <w:tc>
          <w:tcPr>
            <w:tcW w:w="930" w:type="dxa"/>
            <w:tcBorders>
              <w:top w:val="single" w:sz="4" w:space="0" w:color="auto"/>
              <w:left w:val="nil"/>
              <w:bottom w:val="single" w:sz="4" w:space="0" w:color="auto"/>
              <w:right w:val="single" w:sz="4" w:space="0" w:color="auto"/>
            </w:tcBorders>
            <w:vAlign w:val="center"/>
            <w:hideMark/>
          </w:tcPr>
          <w:p w14:paraId="5605975C"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19 in več</w:t>
            </w:r>
          </w:p>
        </w:tc>
        <w:tc>
          <w:tcPr>
            <w:tcW w:w="880" w:type="dxa"/>
            <w:tcBorders>
              <w:top w:val="single" w:sz="4" w:space="0" w:color="auto"/>
              <w:left w:val="nil"/>
              <w:bottom w:val="single" w:sz="4" w:space="0" w:color="auto"/>
              <w:right w:val="single" w:sz="4" w:space="0" w:color="auto"/>
            </w:tcBorders>
            <w:vAlign w:val="center"/>
            <w:hideMark/>
          </w:tcPr>
          <w:p w14:paraId="2F8C92DE"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skupaj</w:t>
            </w:r>
          </w:p>
        </w:tc>
        <w:tc>
          <w:tcPr>
            <w:tcW w:w="927" w:type="dxa"/>
            <w:tcBorders>
              <w:top w:val="single" w:sz="4" w:space="0" w:color="auto"/>
              <w:left w:val="nil"/>
              <w:bottom w:val="single" w:sz="4" w:space="0" w:color="auto"/>
              <w:right w:val="single" w:sz="4" w:space="0" w:color="auto"/>
            </w:tcBorders>
            <w:vAlign w:val="center"/>
            <w:hideMark/>
          </w:tcPr>
          <w:p w14:paraId="3EEB1E73"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Nosilci na stanje 6/2021</w:t>
            </w:r>
          </w:p>
        </w:tc>
        <w:tc>
          <w:tcPr>
            <w:tcW w:w="947" w:type="dxa"/>
            <w:tcBorders>
              <w:top w:val="single" w:sz="4" w:space="0" w:color="auto"/>
              <w:left w:val="nil"/>
              <w:bottom w:val="single" w:sz="4" w:space="0" w:color="auto"/>
              <w:right w:val="single" w:sz="4" w:space="0" w:color="auto"/>
            </w:tcBorders>
            <w:vAlign w:val="center"/>
            <w:hideMark/>
          </w:tcPr>
          <w:p w14:paraId="5CFBE669"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Št ZO/nosilca</w:t>
            </w:r>
          </w:p>
        </w:tc>
        <w:tc>
          <w:tcPr>
            <w:tcW w:w="983" w:type="dxa"/>
            <w:tcBorders>
              <w:top w:val="single" w:sz="4" w:space="0" w:color="auto"/>
              <w:left w:val="nil"/>
              <w:bottom w:val="single" w:sz="4" w:space="0" w:color="auto"/>
              <w:right w:val="single" w:sz="4" w:space="0" w:color="auto"/>
            </w:tcBorders>
            <w:vAlign w:val="center"/>
            <w:hideMark/>
          </w:tcPr>
          <w:p w14:paraId="46C332AB"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Odstopanje od SLO povprečja</w:t>
            </w:r>
          </w:p>
        </w:tc>
        <w:tc>
          <w:tcPr>
            <w:tcW w:w="959" w:type="dxa"/>
            <w:tcBorders>
              <w:top w:val="single" w:sz="4" w:space="0" w:color="auto"/>
              <w:left w:val="nil"/>
              <w:bottom w:val="single" w:sz="4" w:space="0" w:color="auto"/>
              <w:right w:val="single" w:sz="4" w:space="0" w:color="auto"/>
            </w:tcBorders>
            <w:vAlign w:val="center"/>
            <w:hideMark/>
          </w:tcPr>
          <w:p w14:paraId="497BB2DF"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upoštevani dodatni timi po An1 K SD22</w:t>
            </w:r>
          </w:p>
        </w:tc>
        <w:tc>
          <w:tcPr>
            <w:tcW w:w="1236" w:type="dxa"/>
            <w:tcBorders>
              <w:top w:val="single" w:sz="4" w:space="0" w:color="auto"/>
              <w:left w:val="nil"/>
              <w:bottom w:val="single" w:sz="4" w:space="0" w:color="auto"/>
              <w:right w:val="single" w:sz="4" w:space="0" w:color="auto"/>
            </w:tcBorders>
            <w:vAlign w:val="center"/>
            <w:hideMark/>
          </w:tcPr>
          <w:p w14:paraId="2989EC4E"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Glede na preskrbljenost predlagano dodatno št timov</w:t>
            </w:r>
          </w:p>
        </w:tc>
        <w:tc>
          <w:tcPr>
            <w:tcW w:w="855" w:type="dxa"/>
            <w:tcBorders>
              <w:top w:val="single" w:sz="4" w:space="0" w:color="auto"/>
              <w:left w:val="nil"/>
              <w:bottom w:val="single" w:sz="4" w:space="0" w:color="auto"/>
              <w:right w:val="nil"/>
            </w:tcBorders>
            <w:shd w:val="clear" w:color="000000" w:fill="D9E1F2"/>
            <w:vAlign w:val="center"/>
            <w:hideMark/>
          </w:tcPr>
          <w:p w14:paraId="2B3B3744"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PREDLOG ZDRZZ</w:t>
            </w:r>
          </w:p>
        </w:tc>
        <w:tc>
          <w:tcPr>
            <w:tcW w:w="538"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9C3F7C2"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ZZS</w:t>
            </w:r>
          </w:p>
        </w:tc>
      </w:tr>
      <w:tr w:rsidR="00BE5D1E" w:rsidRPr="005E4BEA" w14:paraId="4B2578F2"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5FED6A20" w14:textId="77777777" w:rsidR="00BE5D1E" w:rsidRPr="005E4BEA" w:rsidRDefault="00BE5D1E" w:rsidP="00BE5D1E">
            <w:pPr>
              <w:spacing w:line="240" w:lineRule="auto"/>
              <w:rPr>
                <w:rFonts w:ascii="Arial Narrow" w:hAnsi="Arial Narrow" w:cs="Calibri"/>
                <w:sz w:val="16"/>
                <w:szCs w:val="16"/>
              </w:rPr>
            </w:pPr>
            <w:r w:rsidRPr="005E4BEA">
              <w:rPr>
                <w:rFonts w:ascii="Arial Narrow" w:hAnsi="Arial Narrow" w:cs="Calibri"/>
                <w:sz w:val="16"/>
                <w:szCs w:val="16"/>
              </w:rPr>
              <w:t>PREDLOG ŠIRITEV 2022</w:t>
            </w:r>
          </w:p>
        </w:tc>
        <w:tc>
          <w:tcPr>
            <w:tcW w:w="930" w:type="dxa"/>
            <w:tcBorders>
              <w:top w:val="nil"/>
              <w:left w:val="nil"/>
              <w:bottom w:val="single" w:sz="4" w:space="0" w:color="auto"/>
              <w:right w:val="single" w:sz="4" w:space="0" w:color="auto"/>
            </w:tcBorders>
            <w:noWrap/>
            <w:vAlign w:val="center"/>
            <w:hideMark/>
          </w:tcPr>
          <w:p w14:paraId="320D4A0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880" w:type="dxa"/>
            <w:tcBorders>
              <w:top w:val="nil"/>
              <w:left w:val="nil"/>
              <w:bottom w:val="single" w:sz="4" w:space="0" w:color="auto"/>
              <w:right w:val="single" w:sz="4" w:space="0" w:color="auto"/>
            </w:tcBorders>
            <w:noWrap/>
            <w:vAlign w:val="center"/>
            <w:hideMark/>
          </w:tcPr>
          <w:p w14:paraId="42DCF64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927" w:type="dxa"/>
            <w:tcBorders>
              <w:top w:val="nil"/>
              <w:left w:val="nil"/>
              <w:bottom w:val="single" w:sz="4" w:space="0" w:color="auto"/>
              <w:right w:val="single" w:sz="4" w:space="0" w:color="auto"/>
            </w:tcBorders>
            <w:noWrap/>
            <w:vAlign w:val="center"/>
            <w:hideMark/>
          </w:tcPr>
          <w:p w14:paraId="31E113E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2,25 mio €</w:t>
            </w:r>
          </w:p>
        </w:tc>
        <w:tc>
          <w:tcPr>
            <w:tcW w:w="947" w:type="dxa"/>
            <w:tcBorders>
              <w:top w:val="nil"/>
              <w:left w:val="nil"/>
              <w:bottom w:val="single" w:sz="4" w:space="0" w:color="auto"/>
              <w:right w:val="single" w:sz="4" w:space="0" w:color="auto"/>
            </w:tcBorders>
            <w:noWrap/>
            <w:vAlign w:val="center"/>
            <w:hideMark/>
          </w:tcPr>
          <w:p w14:paraId="22C5666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983" w:type="dxa"/>
            <w:tcBorders>
              <w:top w:val="nil"/>
              <w:left w:val="nil"/>
              <w:bottom w:val="single" w:sz="4" w:space="0" w:color="auto"/>
              <w:right w:val="single" w:sz="4" w:space="0" w:color="auto"/>
            </w:tcBorders>
            <w:noWrap/>
            <w:vAlign w:val="center"/>
            <w:hideMark/>
          </w:tcPr>
          <w:p w14:paraId="09F63CF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959" w:type="dxa"/>
            <w:tcBorders>
              <w:top w:val="nil"/>
              <w:left w:val="nil"/>
              <w:bottom w:val="single" w:sz="4" w:space="0" w:color="auto"/>
              <w:right w:val="single" w:sz="4" w:space="0" w:color="auto"/>
            </w:tcBorders>
            <w:noWrap/>
            <w:vAlign w:val="center"/>
            <w:hideMark/>
          </w:tcPr>
          <w:p w14:paraId="468D5E0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nil"/>
              <w:right w:val="nil"/>
            </w:tcBorders>
            <w:shd w:val="clear" w:color="000000" w:fill="D9E1F2"/>
            <w:noWrap/>
            <w:vAlign w:val="center"/>
            <w:hideMark/>
          </w:tcPr>
          <w:p w14:paraId="385D9A12" w14:textId="77777777" w:rsidR="00BE5D1E" w:rsidRPr="005E4BEA" w:rsidRDefault="00BE5D1E" w:rsidP="00BE5D1E">
            <w:pPr>
              <w:spacing w:line="240" w:lineRule="auto"/>
              <w:jc w:val="center"/>
              <w:rPr>
                <w:rFonts w:ascii="Arial Narrow" w:hAnsi="Arial Narrow" w:cs="Calibri"/>
                <w:b/>
                <w:bCs/>
                <w:color w:val="FF0000"/>
                <w:sz w:val="16"/>
                <w:szCs w:val="16"/>
              </w:rPr>
            </w:pPr>
            <w:r w:rsidRPr="005E4BEA">
              <w:rPr>
                <w:rFonts w:ascii="Arial Narrow" w:hAnsi="Arial Narrow" w:cs="Calibri"/>
                <w:b/>
                <w:bCs/>
                <w:color w:val="FF0000"/>
                <w:sz w:val="16"/>
                <w:szCs w:val="16"/>
              </w:rPr>
              <w:t>17,0</w:t>
            </w:r>
          </w:p>
        </w:tc>
        <w:tc>
          <w:tcPr>
            <w:tcW w:w="855" w:type="dxa"/>
            <w:tcBorders>
              <w:top w:val="nil"/>
              <w:left w:val="nil"/>
              <w:bottom w:val="nil"/>
              <w:right w:val="nil"/>
            </w:tcBorders>
            <w:shd w:val="clear" w:color="000000" w:fill="D9E1F2"/>
            <w:noWrap/>
            <w:vAlign w:val="bottom"/>
            <w:hideMark/>
          </w:tcPr>
          <w:p w14:paraId="79EC88B7" w14:textId="77777777" w:rsidR="00BE5D1E" w:rsidRPr="005E4BEA" w:rsidRDefault="00BE5D1E" w:rsidP="00BE5D1E">
            <w:pPr>
              <w:spacing w:line="240" w:lineRule="auto"/>
              <w:jc w:val="center"/>
              <w:rPr>
                <w:rFonts w:ascii="Arial Narrow" w:hAnsi="Arial Narrow" w:cs="Calibri"/>
                <w:b/>
                <w:bCs/>
                <w:color w:val="FF0000"/>
                <w:sz w:val="16"/>
                <w:szCs w:val="16"/>
              </w:rPr>
            </w:pPr>
            <w:r w:rsidRPr="005E4BEA">
              <w:rPr>
                <w:rFonts w:ascii="Arial Narrow" w:hAnsi="Arial Narrow" w:cs="Calibri"/>
                <w:b/>
                <w:bCs/>
                <w:color w:val="FF0000"/>
                <w:sz w:val="16"/>
                <w:szCs w:val="16"/>
              </w:rPr>
              <w:t>9,22</w:t>
            </w:r>
          </w:p>
        </w:tc>
        <w:tc>
          <w:tcPr>
            <w:tcW w:w="538" w:type="dxa"/>
            <w:tcBorders>
              <w:top w:val="nil"/>
              <w:left w:val="single" w:sz="4" w:space="0" w:color="auto"/>
              <w:bottom w:val="single" w:sz="4" w:space="0" w:color="auto"/>
              <w:right w:val="single" w:sz="4" w:space="0" w:color="auto"/>
            </w:tcBorders>
            <w:shd w:val="clear" w:color="000000" w:fill="D9E1F2"/>
            <w:noWrap/>
            <w:vAlign w:val="bottom"/>
            <w:hideMark/>
          </w:tcPr>
          <w:p w14:paraId="0245CF11" w14:textId="77777777" w:rsidR="00BE5D1E" w:rsidRPr="005E4BEA" w:rsidRDefault="00BE5D1E" w:rsidP="00BE5D1E">
            <w:pPr>
              <w:spacing w:line="240" w:lineRule="auto"/>
              <w:jc w:val="center"/>
              <w:rPr>
                <w:rFonts w:ascii="Arial Narrow" w:hAnsi="Arial Narrow" w:cs="Calibri"/>
                <w:b/>
                <w:bCs/>
                <w:color w:val="FF0000"/>
                <w:sz w:val="16"/>
                <w:szCs w:val="16"/>
              </w:rPr>
            </w:pPr>
            <w:r w:rsidRPr="005E4BEA">
              <w:rPr>
                <w:rFonts w:ascii="Arial Narrow" w:hAnsi="Arial Narrow" w:cs="Calibri"/>
                <w:b/>
                <w:bCs/>
                <w:color w:val="FF0000"/>
                <w:sz w:val="16"/>
                <w:szCs w:val="16"/>
              </w:rPr>
              <w:t>9,49</w:t>
            </w:r>
          </w:p>
        </w:tc>
      </w:tr>
      <w:tr w:rsidR="00BE5D1E" w:rsidRPr="005E4BEA" w14:paraId="5B0A6668"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779DB77A"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ZZZS V CELOTI</w:t>
            </w:r>
          </w:p>
        </w:tc>
        <w:tc>
          <w:tcPr>
            <w:tcW w:w="930" w:type="dxa"/>
            <w:tcBorders>
              <w:top w:val="nil"/>
              <w:left w:val="nil"/>
              <w:bottom w:val="nil"/>
              <w:right w:val="single" w:sz="4" w:space="0" w:color="auto"/>
            </w:tcBorders>
            <w:shd w:val="clear" w:color="000000" w:fill="FFFF99"/>
            <w:noWrap/>
            <w:vAlign w:val="center"/>
            <w:hideMark/>
          </w:tcPr>
          <w:p w14:paraId="7894B2CF"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1.708.830</w:t>
            </w:r>
          </w:p>
        </w:tc>
        <w:tc>
          <w:tcPr>
            <w:tcW w:w="880" w:type="dxa"/>
            <w:tcBorders>
              <w:top w:val="nil"/>
              <w:left w:val="nil"/>
              <w:bottom w:val="nil"/>
              <w:right w:val="single" w:sz="4" w:space="0" w:color="auto"/>
            </w:tcBorders>
            <w:shd w:val="clear" w:color="000000" w:fill="FFFF99"/>
            <w:noWrap/>
            <w:vAlign w:val="center"/>
            <w:hideMark/>
          </w:tcPr>
          <w:p w14:paraId="7B9CBA30"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1.708.830</w:t>
            </w:r>
          </w:p>
        </w:tc>
        <w:tc>
          <w:tcPr>
            <w:tcW w:w="927" w:type="dxa"/>
            <w:tcBorders>
              <w:top w:val="nil"/>
              <w:left w:val="nil"/>
              <w:bottom w:val="single" w:sz="4" w:space="0" w:color="auto"/>
              <w:right w:val="single" w:sz="4" w:space="0" w:color="auto"/>
            </w:tcBorders>
            <w:shd w:val="clear" w:color="000000" w:fill="FFFF99"/>
            <w:noWrap/>
            <w:vAlign w:val="center"/>
            <w:hideMark/>
          </w:tcPr>
          <w:p w14:paraId="469FC18B"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704,45</w:t>
            </w:r>
          </w:p>
        </w:tc>
        <w:tc>
          <w:tcPr>
            <w:tcW w:w="947" w:type="dxa"/>
            <w:tcBorders>
              <w:top w:val="nil"/>
              <w:left w:val="nil"/>
              <w:bottom w:val="single" w:sz="4" w:space="0" w:color="auto"/>
              <w:right w:val="single" w:sz="4" w:space="0" w:color="auto"/>
            </w:tcBorders>
            <w:shd w:val="clear" w:color="000000" w:fill="FFFF99"/>
            <w:noWrap/>
            <w:vAlign w:val="center"/>
            <w:hideMark/>
          </w:tcPr>
          <w:p w14:paraId="79D0BFF1"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2.425,76</w:t>
            </w:r>
          </w:p>
        </w:tc>
        <w:tc>
          <w:tcPr>
            <w:tcW w:w="983" w:type="dxa"/>
            <w:tcBorders>
              <w:top w:val="nil"/>
              <w:left w:val="nil"/>
              <w:bottom w:val="single" w:sz="4" w:space="0" w:color="auto"/>
              <w:right w:val="single" w:sz="4" w:space="0" w:color="auto"/>
            </w:tcBorders>
            <w:shd w:val="clear" w:color="000000" w:fill="FFFF99"/>
            <w:noWrap/>
            <w:vAlign w:val="center"/>
            <w:hideMark/>
          </w:tcPr>
          <w:p w14:paraId="58608792" w14:textId="77777777" w:rsidR="00BE5D1E" w:rsidRPr="005E4BEA" w:rsidRDefault="00BE5D1E" w:rsidP="00BE5D1E">
            <w:pPr>
              <w:spacing w:line="240" w:lineRule="auto"/>
              <w:jc w:val="center"/>
              <w:rPr>
                <w:rFonts w:ascii="Arial Narrow" w:hAnsi="Arial Narrow" w:cs="Calibri"/>
                <w:b/>
                <w:bCs/>
                <w:color w:val="000000"/>
                <w:sz w:val="16"/>
                <w:szCs w:val="16"/>
              </w:rPr>
            </w:pPr>
            <w:r w:rsidRPr="005E4BEA">
              <w:rPr>
                <w:rFonts w:ascii="Arial Narrow" w:hAnsi="Arial Narrow" w:cs="Calibri"/>
                <w:b/>
                <w:bCs/>
                <w:color w:val="000000"/>
                <w:sz w:val="16"/>
                <w:szCs w:val="16"/>
              </w:rPr>
              <w:t>100,00</w:t>
            </w:r>
          </w:p>
        </w:tc>
        <w:tc>
          <w:tcPr>
            <w:tcW w:w="959" w:type="dxa"/>
            <w:tcBorders>
              <w:top w:val="nil"/>
              <w:left w:val="nil"/>
              <w:bottom w:val="single" w:sz="4" w:space="0" w:color="auto"/>
              <w:right w:val="single" w:sz="4" w:space="0" w:color="auto"/>
            </w:tcBorders>
            <w:shd w:val="clear" w:color="000000" w:fill="FFFF99"/>
            <w:noWrap/>
            <w:vAlign w:val="center"/>
            <w:hideMark/>
          </w:tcPr>
          <w:p w14:paraId="0A3DD22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single" w:sz="4" w:space="0" w:color="auto"/>
              <w:left w:val="nil"/>
              <w:bottom w:val="single" w:sz="4" w:space="0" w:color="auto"/>
              <w:right w:val="single" w:sz="4" w:space="0" w:color="auto"/>
            </w:tcBorders>
            <w:shd w:val="clear" w:color="000000" w:fill="FFFF99"/>
            <w:noWrap/>
            <w:vAlign w:val="center"/>
            <w:hideMark/>
          </w:tcPr>
          <w:p w14:paraId="00B4853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single" w:sz="4" w:space="0" w:color="auto"/>
              <w:left w:val="nil"/>
              <w:bottom w:val="single" w:sz="4" w:space="0" w:color="auto"/>
              <w:right w:val="nil"/>
            </w:tcBorders>
            <w:shd w:val="clear" w:color="000000" w:fill="FFFF99"/>
            <w:noWrap/>
            <w:vAlign w:val="center"/>
            <w:hideMark/>
          </w:tcPr>
          <w:p w14:paraId="2866DD9B"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0D504241"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AE63666"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39077B1C"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CELJE</w:t>
            </w:r>
          </w:p>
        </w:tc>
        <w:tc>
          <w:tcPr>
            <w:tcW w:w="930" w:type="dxa"/>
            <w:tcBorders>
              <w:top w:val="single" w:sz="4" w:space="0" w:color="auto"/>
              <w:left w:val="nil"/>
              <w:bottom w:val="single" w:sz="4" w:space="0" w:color="auto"/>
              <w:right w:val="single" w:sz="4" w:space="0" w:color="auto"/>
            </w:tcBorders>
            <w:shd w:val="clear" w:color="000000" w:fill="FFFF99"/>
            <w:noWrap/>
            <w:vAlign w:val="center"/>
            <w:hideMark/>
          </w:tcPr>
          <w:p w14:paraId="6F0AC2B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167.828</w:t>
            </w:r>
          </w:p>
        </w:tc>
        <w:tc>
          <w:tcPr>
            <w:tcW w:w="880" w:type="dxa"/>
            <w:tcBorders>
              <w:top w:val="single" w:sz="4" w:space="0" w:color="auto"/>
              <w:left w:val="nil"/>
              <w:bottom w:val="single" w:sz="4" w:space="0" w:color="auto"/>
              <w:right w:val="single" w:sz="4" w:space="0" w:color="auto"/>
            </w:tcBorders>
            <w:shd w:val="clear" w:color="000000" w:fill="FFFF99"/>
            <w:noWrap/>
            <w:vAlign w:val="center"/>
            <w:hideMark/>
          </w:tcPr>
          <w:p w14:paraId="0ADD467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167.828</w:t>
            </w:r>
          </w:p>
        </w:tc>
        <w:tc>
          <w:tcPr>
            <w:tcW w:w="927" w:type="dxa"/>
            <w:tcBorders>
              <w:top w:val="nil"/>
              <w:left w:val="nil"/>
              <w:bottom w:val="single" w:sz="4" w:space="0" w:color="auto"/>
              <w:right w:val="single" w:sz="4" w:space="0" w:color="auto"/>
            </w:tcBorders>
            <w:shd w:val="clear" w:color="000000" w:fill="FFFF99"/>
            <w:noWrap/>
            <w:vAlign w:val="center"/>
            <w:hideMark/>
          </w:tcPr>
          <w:p w14:paraId="65E4340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68,57</w:t>
            </w:r>
          </w:p>
        </w:tc>
        <w:tc>
          <w:tcPr>
            <w:tcW w:w="947" w:type="dxa"/>
            <w:tcBorders>
              <w:top w:val="nil"/>
              <w:left w:val="nil"/>
              <w:bottom w:val="single" w:sz="4" w:space="0" w:color="auto"/>
              <w:right w:val="single" w:sz="4" w:space="0" w:color="auto"/>
            </w:tcBorders>
            <w:shd w:val="clear" w:color="000000" w:fill="FFFF99"/>
            <w:noWrap/>
            <w:vAlign w:val="center"/>
            <w:hideMark/>
          </w:tcPr>
          <w:p w14:paraId="7EAD5F6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2.447,54</w:t>
            </w:r>
          </w:p>
        </w:tc>
        <w:tc>
          <w:tcPr>
            <w:tcW w:w="983" w:type="dxa"/>
            <w:tcBorders>
              <w:top w:val="nil"/>
              <w:left w:val="nil"/>
              <w:bottom w:val="single" w:sz="4" w:space="0" w:color="auto"/>
              <w:right w:val="single" w:sz="4" w:space="0" w:color="auto"/>
            </w:tcBorders>
            <w:shd w:val="clear" w:color="000000" w:fill="FFFF99"/>
            <w:noWrap/>
            <w:vAlign w:val="center"/>
            <w:hideMark/>
          </w:tcPr>
          <w:p w14:paraId="5C32420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99,11</w:t>
            </w:r>
          </w:p>
        </w:tc>
        <w:tc>
          <w:tcPr>
            <w:tcW w:w="959" w:type="dxa"/>
            <w:tcBorders>
              <w:top w:val="nil"/>
              <w:left w:val="nil"/>
              <w:bottom w:val="single" w:sz="4" w:space="0" w:color="auto"/>
              <w:right w:val="single" w:sz="4" w:space="0" w:color="auto"/>
            </w:tcBorders>
            <w:shd w:val="clear" w:color="000000" w:fill="FFFF99"/>
            <w:noWrap/>
            <w:vAlign w:val="center"/>
            <w:hideMark/>
          </w:tcPr>
          <w:p w14:paraId="0F1C866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545DC2B0"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2C02B18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7E616ED7"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66FDB42"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6CC1D07A"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Celje</w:t>
            </w:r>
          </w:p>
        </w:tc>
        <w:tc>
          <w:tcPr>
            <w:tcW w:w="930" w:type="dxa"/>
            <w:tcBorders>
              <w:top w:val="nil"/>
              <w:left w:val="nil"/>
              <w:bottom w:val="single" w:sz="4" w:space="0" w:color="auto"/>
              <w:right w:val="single" w:sz="4" w:space="0" w:color="auto"/>
            </w:tcBorders>
            <w:noWrap/>
            <w:vAlign w:val="center"/>
            <w:hideMark/>
          </w:tcPr>
          <w:p w14:paraId="6267C80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54.419</w:t>
            </w:r>
          </w:p>
        </w:tc>
        <w:tc>
          <w:tcPr>
            <w:tcW w:w="880" w:type="dxa"/>
            <w:tcBorders>
              <w:top w:val="nil"/>
              <w:left w:val="nil"/>
              <w:bottom w:val="single" w:sz="4" w:space="0" w:color="auto"/>
              <w:right w:val="single" w:sz="4" w:space="0" w:color="auto"/>
            </w:tcBorders>
            <w:noWrap/>
            <w:vAlign w:val="center"/>
            <w:hideMark/>
          </w:tcPr>
          <w:p w14:paraId="4271FAE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54.419</w:t>
            </w:r>
          </w:p>
        </w:tc>
        <w:tc>
          <w:tcPr>
            <w:tcW w:w="927" w:type="dxa"/>
            <w:tcBorders>
              <w:top w:val="nil"/>
              <w:left w:val="nil"/>
              <w:bottom w:val="single" w:sz="4" w:space="0" w:color="auto"/>
              <w:right w:val="single" w:sz="4" w:space="0" w:color="auto"/>
            </w:tcBorders>
            <w:noWrap/>
            <w:vAlign w:val="center"/>
            <w:hideMark/>
          </w:tcPr>
          <w:p w14:paraId="29B25C0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23,80</w:t>
            </w:r>
          </w:p>
        </w:tc>
        <w:tc>
          <w:tcPr>
            <w:tcW w:w="947" w:type="dxa"/>
            <w:tcBorders>
              <w:top w:val="nil"/>
              <w:left w:val="nil"/>
              <w:bottom w:val="single" w:sz="4" w:space="0" w:color="auto"/>
              <w:right w:val="single" w:sz="4" w:space="0" w:color="auto"/>
            </w:tcBorders>
            <w:noWrap/>
            <w:vAlign w:val="center"/>
            <w:hideMark/>
          </w:tcPr>
          <w:p w14:paraId="3A80A38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2.286,51</w:t>
            </w:r>
          </w:p>
        </w:tc>
        <w:tc>
          <w:tcPr>
            <w:tcW w:w="983" w:type="dxa"/>
            <w:tcBorders>
              <w:top w:val="nil"/>
              <w:left w:val="nil"/>
              <w:bottom w:val="single" w:sz="4" w:space="0" w:color="auto"/>
              <w:right w:val="single" w:sz="4" w:space="0" w:color="auto"/>
            </w:tcBorders>
            <w:noWrap/>
            <w:vAlign w:val="center"/>
            <w:hideMark/>
          </w:tcPr>
          <w:p w14:paraId="740D391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106,09</w:t>
            </w:r>
          </w:p>
        </w:tc>
        <w:tc>
          <w:tcPr>
            <w:tcW w:w="959" w:type="dxa"/>
            <w:tcBorders>
              <w:top w:val="nil"/>
              <w:left w:val="nil"/>
              <w:bottom w:val="single" w:sz="4" w:space="0" w:color="auto"/>
              <w:right w:val="single" w:sz="4" w:space="0" w:color="auto"/>
            </w:tcBorders>
            <w:noWrap/>
            <w:vAlign w:val="center"/>
            <w:hideMark/>
          </w:tcPr>
          <w:p w14:paraId="3A55290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70132E5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2AE54F5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3A219C2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55EAE501"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7C3B4612"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Laško</w:t>
            </w:r>
          </w:p>
        </w:tc>
        <w:tc>
          <w:tcPr>
            <w:tcW w:w="930" w:type="dxa"/>
            <w:tcBorders>
              <w:top w:val="nil"/>
              <w:left w:val="nil"/>
              <w:bottom w:val="single" w:sz="4" w:space="0" w:color="auto"/>
              <w:right w:val="single" w:sz="4" w:space="0" w:color="auto"/>
            </w:tcBorders>
            <w:noWrap/>
            <w:vAlign w:val="center"/>
            <w:hideMark/>
          </w:tcPr>
          <w:p w14:paraId="08FC0B3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14.403</w:t>
            </w:r>
          </w:p>
        </w:tc>
        <w:tc>
          <w:tcPr>
            <w:tcW w:w="880" w:type="dxa"/>
            <w:tcBorders>
              <w:top w:val="nil"/>
              <w:left w:val="nil"/>
              <w:bottom w:val="single" w:sz="4" w:space="0" w:color="auto"/>
              <w:right w:val="single" w:sz="4" w:space="0" w:color="auto"/>
            </w:tcBorders>
            <w:noWrap/>
            <w:vAlign w:val="center"/>
            <w:hideMark/>
          </w:tcPr>
          <w:p w14:paraId="4847EFD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14.403</w:t>
            </w:r>
          </w:p>
        </w:tc>
        <w:tc>
          <w:tcPr>
            <w:tcW w:w="927" w:type="dxa"/>
            <w:tcBorders>
              <w:top w:val="nil"/>
              <w:left w:val="nil"/>
              <w:bottom w:val="single" w:sz="4" w:space="0" w:color="auto"/>
              <w:right w:val="single" w:sz="4" w:space="0" w:color="auto"/>
            </w:tcBorders>
            <w:noWrap/>
            <w:vAlign w:val="center"/>
            <w:hideMark/>
          </w:tcPr>
          <w:p w14:paraId="0AC7D17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7,03</w:t>
            </w:r>
          </w:p>
        </w:tc>
        <w:tc>
          <w:tcPr>
            <w:tcW w:w="947" w:type="dxa"/>
            <w:tcBorders>
              <w:top w:val="nil"/>
              <w:left w:val="nil"/>
              <w:bottom w:val="single" w:sz="4" w:space="0" w:color="auto"/>
              <w:right w:val="single" w:sz="4" w:space="0" w:color="auto"/>
            </w:tcBorders>
            <w:noWrap/>
            <w:vAlign w:val="center"/>
            <w:hideMark/>
          </w:tcPr>
          <w:p w14:paraId="2EBA651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2.048,79</w:t>
            </w:r>
          </w:p>
        </w:tc>
        <w:tc>
          <w:tcPr>
            <w:tcW w:w="983" w:type="dxa"/>
            <w:tcBorders>
              <w:top w:val="nil"/>
              <w:left w:val="nil"/>
              <w:bottom w:val="single" w:sz="4" w:space="0" w:color="auto"/>
              <w:right w:val="single" w:sz="4" w:space="0" w:color="auto"/>
            </w:tcBorders>
            <w:noWrap/>
            <w:vAlign w:val="center"/>
            <w:hideMark/>
          </w:tcPr>
          <w:p w14:paraId="3FC608E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118,40</w:t>
            </w:r>
          </w:p>
        </w:tc>
        <w:tc>
          <w:tcPr>
            <w:tcW w:w="959" w:type="dxa"/>
            <w:tcBorders>
              <w:top w:val="nil"/>
              <w:left w:val="nil"/>
              <w:bottom w:val="single" w:sz="4" w:space="0" w:color="auto"/>
              <w:right w:val="single" w:sz="4" w:space="0" w:color="auto"/>
            </w:tcBorders>
            <w:noWrap/>
            <w:vAlign w:val="center"/>
            <w:hideMark/>
          </w:tcPr>
          <w:p w14:paraId="2B50CAC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557F2E78"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B26A211"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4240BF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2C0FEA33"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F604A01"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Slovenske Konjice</w:t>
            </w:r>
          </w:p>
        </w:tc>
        <w:tc>
          <w:tcPr>
            <w:tcW w:w="930" w:type="dxa"/>
            <w:tcBorders>
              <w:top w:val="nil"/>
              <w:left w:val="nil"/>
              <w:bottom w:val="single" w:sz="4" w:space="0" w:color="auto"/>
              <w:right w:val="single" w:sz="4" w:space="0" w:color="auto"/>
            </w:tcBorders>
            <w:noWrap/>
            <w:vAlign w:val="center"/>
            <w:hideMark/>
          </w:tcPr>
          <w:p w14:paraId="1C03DEC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19.669</w:t>
            </w:r>
          </w:p>
        </w:tc>
        <w:tc>
          <w:tcPr>
            <w:tcW w:w="880" w:type="dxa"/>
            <w:tcBorders>
              <w:top w:val="nil"/>
              <w:left w:val="nil"/>
              <w:bottom w:val="single" w:sz="4" w:space="0" w:color="auto"/>
              <w:right w:val="single" w:sz="4" w:space="0" w:color="auto"/>
            </w:tcBorders>
            <w:noWrap/>
            <w:vAlign w:val="center"/>
            <w:hideMark/>
          </w:tcPr>
          <w:p w14:paraId="5B857C8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19.669</w:t>
            </w:r>
          </w:p>
        </w:tc>
        <w:tc>
          <w:tcPr>
            <w:tcW w:w="927" w:type="dxa"/>
            <w:tcBorders>
              <w:top w:val="nil"/>
              <w:left w:val="nil"/>
              <w:bottom w:val="single" w:sz="4" w:space="0" w:color="auto"/>
              <w:right w:val="single" w:sz="4" w:space="0" w:color="auto"/>
            </w:tcBorders>
            <w:noWrap/>
            <w:vAlign w:val="center"/>
            <w:hideMark/>
          </w:tcPr>
          <w:p w14:paraId="2B0684B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8,74</w:t>
            </w:r>
          </w:p>
        </w:tc>
        <w:tc>
          <w:tcPr>
            <w:tcW w:w="947" w:type="dxa"/>
            <w:tcBorders>
              <w:top w:val="nil"/>
              <w:left w:val="nil"/>
              <w:bottom w:val="single" w:sz="4" w:space="0" w:color="auto"/>
              <w:right w:val="single" w:sz="4" w:space="0" w:color="auto"/>
            </w:tcBorders>
            <w:noWrap/>
            <w:vAlign w:val="center"/>
            <w:hideMark/>
          </w:tcPr>
          <w:p w14:paraId="341EDD4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2.250,46</w:t>
            </w:r>
          </w:p>
        </w:tc>
        <w:tc>
          <w:tcPr>
            <w:tcW w:w="983" w:type="dxa"/>
            <w:tcBorders>
              <w:top w:val="nil"/>
              <w:left w:val="nil"/>
              <w:bottom w:val="single" w:sz="4" w:space="0" w:color="auto"/>
              <w:right w:val="single" w:sz="4" w:space="0" w:color="auto"/>
            </w:tcBorders>
            <w:noWrap/>
            <w:vAlign w:val="center"/>
            <w:hideMark/>
          </w:tcPr>
          <w:p w14:paraId="1F1C342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107,79</w:t>
            </w:r>
          </w:p>
        </w:tc>
        <w:tc>
          <w:tcPr>
            <w:tcW w:w="959" w:type="dxa"/>
            <w:tcBorders>
              <w:top w:val="nil"/>
              <w:left w:val="nil"/>
              <w:bottom w:val="single" w:sz="4" w:space="0" w:color="auto"/>
              <w:right w:val="single" w:sz="4" w:space="0" w:color="auto"/>
            </w:tcBorders>
            <w:noWrap/>
            <w:vAlign w:val="center"/>
            <w:hideMark/>
          </w:tcPr>
          <w:p w14:paraId="180A897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6747D837"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A3EB535"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2BA9C6D"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17130D0" w14:textId="77777777" w:rsidTr="0016774B">
        <w:trPr>
          <w:trHeight w:val="195"/>
        </w:trPr>
        <w:tc>
          <w:tcPr>
            <w:tcW w:w="1616" w:type="dxa"/>
            <w:tcBorders>
              <w:top w:val="nil"/>
              <w:left w:val="single" w:sz="4" w:space="0" w:color="auto"/>
              <w:bottom w:val="single" w:sz="4" w:space="0" w:color="auto"/>
              <w:right w:val="single" w:sz="4" w:space="0" w:color="auto"/>
            </w:tcBorders>
            <w:noWrap/>
            <w:vAlign w:val="bottom"/>
            <w:hideMark/>
          </w:tcPr>
          <w:p w14:paraId="79986FE1"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Šentjur pri Celju</w:t>
            </w:r>
          </w:p>
          <w:p w14:paraId="68090445" w14:textId="77777777" w:rsidR="00BE5D1E" w:rsidRPr="005E4BEA" w:rsidRDefault="00BE5D1E" w:rsidP="00BE5D1E">
            <w:pPr>
              <w:spacing w:line="240" w:lineRule="auto"/>
              <w:rPr>
                <w:rFonts w:ascii="Arial Narrow" w:hAnsi="Arial Narrow" w:cs="Calibri"/>
                <w:color w:val="000000"/>
                <w:sz w:val="16"/>
                <w:szCs w:val="16"/>
              </w:rPr>
            </w:pPr>
          </w:p>
        </w:tc>
        <w:tc>
          <w:tcPr>
            <w:tcW w:w="930" w:type="dxa"/>
            <w:tcBorders>
              <w:top w:val="nil"/>
              <w:left w:val="nil"/>
              <w:bottom w:val="single" w:sz="4" w:space="0" w:color="auto"/>
              <w:right w:val="single" w:sz="4" w:space="0" w:color="auto"/>
            </w:tcBorders>
            <w:noWrap/>
            <w:vAlign w:val="center"/>
            <w:hideMark/>
          </w:tcPr>
          <w:p w14:paraId="3CF5BCE2" w14:textId="77777777" w:rsidR="00BE5D1E" w:rsidRPr="005E4BEA" w:rsidRDefault="00BE5D1E" w:rsidP="00BE5D1E">
            <w:pPr>
              <w:spacing w:line="240" w:lineRule="auto"/>
              <w:jc w:val="center"/>
              <w:rPr>
                <w:rFonts w:ascii="Arial Narrow" w:hAnsi="Arial Narrow" w:cs="Calibri"/>
                <w:color w:val="000000"/>
                <w:sz w:val="16"/>
                <w:szCs w:val="16"/>
              </w:rPr>
            </w:pPr>
          </w:p>
          <w:p w14:paraId="3A5C009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16.739</w:t>
            </w:r>
          </w:p>
        </w:tc>
        <w:tc>
          <w:tcPr>
            <w:tcW w:w="880" w:type="dxa"/>
            <w:tcBorders>
              <w:top w:val="nil"/>
              <w:left w:val="nil"/>
              <w:bottom w:val="single" w:sz="4" w:space="0" w:color="auto"/>
              <w:right w:val="single" w:sz="4" w:space="0" w:color="auto"/>
            </w:tcBorders>
            <w:noWrap/>
            <w:vAlign w:val="center"/>
            <w:hideMark/>
          </w:tcPr>
          <w:p w14:paraId="768EAC0A" w14:textId="77777777" w:rsidR="00BE5D1E" w:rsidRPr="005E4BEA" w:rsidRDefault="00BE5D1E" w:rsidP="00BE5D1E">
            <w:pPr>
              <w:spacing w:line="240" w:lineRule="auto"/>
              <w:jc w:val="center"/>
              <w:rPr>
                <w:rFonts w:ascii="Arial Narrow" w:hAnsi="Arial Narrow" w:cs="Calibri"/>
                <w:color w:val="000000"/>
                <w:sz w:val="16"/>
                <w:szCs w:val="16"/>
              </w:rPr>
            </w:pPr>
          </w:p>
          <w:p w14:paraId="5A6AF50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16.739</w:t>
            </w:r>
          </w:p>
        </w:tc>
        <w:tc>
          <w:tcPr>
            <w:tcW w:w="927" w:type="dxa"/>
            <w:tcBorders>
              <w:top w:val="nil"/>
              <w:left w:val="nil"/>
              <w:bottom w:val="single" w:sz="4" w:space="0" w:color="auto"/>
              <w:right w:val="single" w:sz="4" w:space="0" w:color="auto"/>
            </w:tcBorders>
            <w:noWrap/>
            <w:vAlign w:val="center"/>
            <w:hideMark/>
          </w:tcPr>
          <w:p w14:paraId="54467E2F" w14:textId="77777777" w:rsidR="00BE5D1E" w:rsidRPr="005E4BEA" w:rsidRDefault="00BE5D1E" w:rsidP="00BE5D1E">
            <w:pPr>
              <w:spacing w:line="240" w:lineRule="auto"/>
              <w:jc w:val="center"/>
              <w:rPr>
                <w:rFonts w:ascii="Arial Narrow" w:hAnsi="Arial Narrow" w:cs="Calibri"/>
                <w:color w:val="000000"/>
                <w:sz w:val="16"/>
                <w:szCs w:val="16"/>
              </w:rPr>
            </w:pPr>
          </w:p>
          <w:p w14:paraId="2F63A1D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5,86</w:t>
            </w:r>
          </w:p>
        </w:tc>
        <w:tc>
          <w:tcPr>
            <w:tcW w:w="947" w:type="dxa"/>
            <w:tcBorders>
              <w:top w:val="nil"/>
              <w:left w:val="nil"/>
              <w:bottom w:val="single" w:sz="4" w:space="0" w:color="auto"/>
              <w:right w:val="single" w:sz="4" w:space="0" w:color="auto"/>
            </w:tcBorders>
            <w:noWrap/>
            <w:vAlign w:val="center"/>
            <w:hideMark/>
          </w:tcPr>
          <w:p w14:paraId="1C44D455" w14:textId="77777777" w:rsidR="00BE5D1E" w:rsidRPr="005E4BEA" w:rsidRDefault="00BE5D1E" w:rsidP="00BE5D1E">
            <w:pPr>
              <w:spacing w:line="240" w:lineRule="auto"/>
              <w:jc w:val="center"/>
              <w:rPr>
                <w:rFonts w:ascii="Arial Narrow" w:hAnsi="Arial Narrow" w:cs="Calibri"/>
                <w:color w:val="000000"/>
                <w:sz w:val="16"/>
                <w:szCs w:val="16"/>
              </w:rPr>
            </w:pPr>
          </w:p>
          <w:p w14:paraId="179273D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2.856,48</w:t>
            </w:r>
          </w:p>
        </w:tc>
        <w:tc>
          <w:tcPr>
            <w:tcW w:w="983" w:type="dxa"/>
            <w:tcBorders>
              <w:top w:val="nil"/>
              <w:left w:val="nil"/>
              <w:bottom w:val="single" w:sz="4" w:space="0" w:color="auto"/>
              <w:right w:val="single" w:sz="4" w:space="0" w:color="auto"/>
            </w:tcBorders>
            <w:noWrap/>
            <w:vAlign w:val="center"/>
            <w:hideMark/>
          </w:tcPr>
          <w:p w14:paraId="687279A2" w14:textId="77777777" w:rsidR="00BE5D1E" w:rsidRPr="005E4BEA" w:rsidRDefault="00BE5D1E" w:rsidP="00BE5D1E">
            <w:pPr>
              <w:spacing w:line="240" w:lineRule="auto"/>
              <w:jc w:val="center"/>
              <w:rPr>
                <w:rFonts w:ascii="Arial Narrow" w:hAnsi="Arial Narrow" w:cs="Calibri"/>
                <w:color w:val="000000"/>
                <w:sz w:val="16"/>
                <w:szCs w:val="16"/>
              </w:rPr>
            </w:pPr>
          </w:p>
          <w:p w14:paraId="0AB1321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84,92</w:t>
            </w:r>
          </w:p>
        </w:tc>
        <w:tc>
          <w:tcPr>
            <w:tcW w:w="959" w:type="dxa"/>
            <w:tcBorders>
              <w:top w:val="nil"/>
              <w:left w:val="nil"/>
              <w:bottom w:val="single" w:sz="4" w:space="0" w:color="auto"/>
              <w:right w:val="single" w:sz="4" w:space="0" w:color="auto"/>
            </w:tcBorders>
            <w:noWrap/>
            <w:vAlign w:val="center"/>
            <w:hideMark/>
          </w:tcPr>
          <w:p w14:paraId="4ADB67F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5E300668" w14:textId="77777777" w:rsidR="00BE5D1E" w:rsidRPr="005E4BEA" w:rsidRDefault="00BE5D1E" w:rsidP="00BE5D1E">
            <w:pPr>
              <w:spacing w:line="240" w:lineRule="auto"/>
              <w:jc w:val="center"/>
              <w:rPr>
                <w:rFonts w:ascii="Arial Narrow" w:hAnsi="Arial Narrow" w:cs="Calibri"/>
                <w:color w:val="000000"/>
                <w:sz w:val="16"/>
                <w:szCs w:val="16"/>
              </w:rPr>
            </w:pPr>
          </w:p>
          <w:p w14:paraId="7372ACE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1,04</w:t>
            </w:r>
          </w:p>
        </w:tc>
        <w:tc>
          <w:tcPr>
            <w:tcW w:w="855" w:type="dxa"/>
            <w:tcBorders>
              <w:top w:val="nil"/>
              <w:left w:val="nil"/>
              <w:bottom w:val="single" w:sz="4" w:space="0" w:color="auto"/>
              <w:right w:val="nil"/>
            </w:tcBorders>
            <w:noWrap/>
            <w:vAlign w:val="bottom"/>
            <w:hideMark/>
          </w:tcPr>
          <w:p w14:paraId="1160140E"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2DEE138F"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835481C"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0E6A6991"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Šmarje</w:t>
            </w:r>
          </w:p>
        </w:tc>
        <w:tc>
          <w:tcPr>
            <w:tcW w:w="930" w:type="dxa"/>
            <w:tcBorders>
              <w:top w:val="nil"/>
              <w:left w:val="nil"/>
              <w:bottom w:val="single" w:sz="4" w:space="0" w:color="auto"/>
              <w:right w:val="single" w:sz="4" w:space="0" w:color="auto"/>
            </w:tcBorders>
            <w:noWrap/>
            <w:vAlign w:val="center"/>
            <w:hideMark/>
          </w:tcPr>
          <w:p w14:paraId="2360968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27.444</w:t>
            </w:r>
          </w:p>
        </w:tc>
        <w:tc>
          <w:tcPr>
            <w:tcW w:w="880" w:type="dxa"/>
            <w:tcBorders>
              <w:top w:val="nil"/>
              <w:left w:val="nil"/>
              <w:bottom w:val="single" w:sz="4" w:space="0" w:color="auto"/>
              <w:right w:val="single" w:sz="4" w:space="0" w:color="auto"/>
            </w:tcBorders>
            <w:noWrap/>
            <w:vAlign w:val="center"/>
            <w:hideMark/>
          </w:tcPr>
          <w:p w14:paraId="4B7B6B0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27.444</w:t>
            </w:r>
          </w:p>
        </w:tc>
        <w:tc>
          <w:tcPr>
            <w:tcW w:w="927" w:type="dxa"/>
            <w:tcBorders>
              <w:top w:val="nil"/>
              <w:left w:val="nil"/>
              <w:bottom w:val="single" w:sz="4" w:space="0" w:color="auto"/>
              <w:right w:val="single" w:sz="4" w:space="0" w:color="auto"/>
            </w:tcBorders>
            <w:noWrap/>
            <w:vAlign w:val="center"/>
            <w:hideMark/>
          </w:tcPr>
          <w:p w14:paraId="58C57E9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10,77</w:t>
            </w:r>
          </w:p>
        </w:tc>
        <w:tc>
          <w:tcPr>
            <w:tcW w:w="947" w:type="dxa"/>
            <w:tcBorders>
              <w:top w:val="nil"/>
              <w:left w:val="nil"/>
              <w:bottom w:val="single" w:sz="4" w:space="0" w:color="auto"/>
              <w:right w:val="single" w:sz="4" w:space="0" w:color="auto"/>
            </w:tcBorders>
            <w:noWrap/>
            <w:vAlign w:val="center"/>
            <w:hideMark/>
          </w:tcPr>
          <w:p w14:paraId="2B95AC7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2.548,19</w:t>
            </w:r>
          </w:p>
        </w:tc>
        <w:tc>
          <w:tcPr>
            <w:tcW w:w="983" w:type="dxa"/>
            <w:tcBorders>
              <w:top w:val="nil"/>
              <w:left w:val="nil"/>
              <w:bottom w:val="single" w:sz="4" w:space="0" w:color="auto"/>
              <w:right w:val="single" w:sz="4" w:space="0" w:color="auto"/>
            </w:tcBorders>
            <w:noWrap/>
            <w:vAlign w:val="center"/>
            <w:hideMark/>
          </w:tcPr>
          <w:p w14:paraId="2806FE2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95,20</w:t>
            </w:r>
          </w:p>
        </w:tc>
        <w:tc>
          <w:tcPr>
            <w:tcW w:w="959" w:type="dxa"/>
            <w:tcBorders>
              <w:top w:val="nil"/>
              <w:left w:val="nil"/>
              <w:bottom w:val="single" w:sz="4" w:space="0" w:color="auto"/>
              <w:right w:val="single" w:sz="4" w:space="0" w:color="auto"/>
            </w:tcBorders>
            <w:noWrap/>
            <w:vAlign w:val="center"/>
            <w:hideMark/>
          </w:tcPr>
          <w:p w14:paraId="2F5096E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41B9DE01"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1286AE26"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53D39CDA"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963FE22"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F1C501C"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Žalec</w:t>
            </w:r>
          </w:p>
        </w:tc>
        <w:tc>
          <w:tcPr>
            <w:tcW w:w="930" w:type="dxa"/>
            <w:tcBorders>
              <w:top w:val="nil"/>
              <w:left w:val="nil"/>
              <w:bottom w:val="single" w:sz="4" w:space="0" w:color="auto"/>
              <w:right w:val="single" w:sz="4" w:space="0" w:color="auto"/>
            </w:tcBorders>
            <w:noWrap/>
            <w:vAlign w:val="center"/>
            <w:hideMark/>
          </w:tcPr>
          <w:p w14:paraId="6C3A186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35.154</w:t>
            </w:r>
          </w:p>
        </w:tc>
        <w:tc>
          <w:tcPr>
            <w:tcW w:w="880" w:type="dxa"/>
            <w:tcBorders>
              <w:top w:val="nil"/>
              <w:left w:val="nil"/>
              <w:bottom w:val="single" w:sz="4" w:space="0" w:color="auto"/>
              <w:right w:val="single" w:sz="4" w:space="0" w:color="auto"/>
            </w:tcBorders>
            <w:noWrap/>
            <w:vAlign w:val="center"/>
            <w:hideMark/>
          </w:tcPr>
          <w:p w14:paraId="0BC776F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35.154</w:t>
            </w:r>
          </w:p>
        </w:tc>
        <w:tc>
          <w:tcPr>
            <w:tcW w:w="927" w:type="dxa"/>
            <w:tcBorders>
              <w:top w:val="nil"/>
              <w:left w:val="nil"/>
              <w:bottom w:val="single" w:sz="4" w:space="0" w:color="auto"/>
              <w:right w:val="single" w:sz="4" w:space="0" w:color="auto"/>
            </w:tcBorders>
            <w:noWrap/>
            <w:vAlign w:val="center"/>
            <w:hideMark/>
          </w:tcPr>
          <w:p w14:paraId="7E2BE7A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12,37</w:t>
            </w:r>
          </w:p>
        </w:tc>
        <w:tc>
          <w:tcPr>
            <w:tcW w:w="947" w:type="dxa"/>
            <w:tcBorders>
              <w:top w:val="nil"/>
              <w:left w:val="nil"/>
              <w:bottom w:val="single" w:sz="4" w:space="0" w:color="auto"/>
              <w:right w:val="single" w:sz="4" w:space="0" w:color="auto"/>
            </w:tcBorders>
            <w:noWrap/>
            <w:vAlign w:val="center"/>
            <w:hideMark/>
          </w:tcPr>
          <w:p w14:paraId="7561D5A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2.841,88</w:t>
            </w:r>
          </w:p>
        </w:tc>
        <w:tc>
          <w:tcPr>
            <w:tcW w:w="983" w:type="dxa"/>
            <w:tcBorders>
              <w:top w:val="nil"/>
              <w:left w:val="nil"/>
              <w:bottom w:val="single" w:sz="4" w:space="0" w:color="auto"/>
              <w:right w:val="single" w:sz="4" w:space="0" w:color="auto"/>
            </w:tcBorders>
            <w:noWrap/>
            <w:vAlign w:val="center"/>
            <w:hideMark/>
          </w:tcPr>
          <w:p w14:paraId="454ED4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85,36</w:t>
            </w:r>
          </w:p>
        </w:tc>
        <w:tc>
          <w:tcPr>
            <w:tcW w:w="959" w:type="dxa"/>
            <w:tcBorders>
              <w:top w:val="nil"/>
              <w:left w:val="nil"/>
              <w:bottom w:val="single" w:sz="4" w:space="0" w:color="auto"/>
              <w:right w:val="single" w:sz="4" w:space="0" w:color="auto"/>
            </w:tcBorders>
            <w:noWrap/>
            <w:vAlign w:val="center"/>
            <w:hideMark/>
          </w:tcPr>
          <w:p w14:paraId="7C35EC7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EDEDED"/>
            <w:noWrap/>
            <w:vAlign w:val="center"/>
            <w:hideMark/>
          </w:tcPr>
          <w:p w14:paraId="3BBE8F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2,12</w:t>
            </w:r>
          </w:p>
        </w:tc>
        <w:tc>
          <w:tcPr>
            <w:tcW w:w="855" w:type="dxa"/>
            <w:tcBorders>
              <w:top w:val="nil"/>
              <w:left w:val="nil"/>
              <w:bottom w:val="single" w:sz="4" w:space="0" w:color="auto"/>
              <w:right w:val="nil"/>
            </w:tcBorders>
            <w:shd w:val="clear" w:color="000000" w:fill="EDEDED"/>
            <w:noWrap/>
            <w:vAlign w:val="bottom"/>
            <w:hideMark/>
          </w:tcPr>
          <w:p w14:paraId="18948A9B"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EDEDED"/>
            <w:noWrap/>
            <w:vAlign w:val="bottom"/>
            <w:hideMark/>
          </w:tcPr>
          <w:p w14:paraId="1596130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0,31</w:t>
            </w:r>
          </w:p>
        </w:tc>
      </w:tr>
      <w:tr w:rsidR="00BE5D1E" w:rsidRPr="005E4BEA" w14:paraId="4019F427"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4C191FFD"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KOPER</w:t>
            </w:r>
          </w:p>
        </w:tc>
        <w:tc>
          <w:tcPr>
            <w:tcW w:w="930" w:type="dxa"/>
            <w:tcBorders>
              <w:top w:val="nil"/>
              <w:left w:val="nil"/>
              <w:bottom w:val="single" w:sz="4" w:space="0" w:color="auto"/>
              <w:right w:val="single" w:sz="4" w:space="0" w:color="auto"/>
            </w:tcBorders>
            <w:shd w:val="clear" w:color="000000" w:fill="FFFF99"/>
            <w:noWrap/>
            <w:vAlign w:val="center"/>
            <w:hideMark/>
          </w:tcPr>
          <w:p w14:paraId="7AED0B3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125.349,</w:t>
            </w:r>
          </w:p>
        </w:tc>
        <w:tc>
          <w:tcPr>
            <w:tcW w:w="880" w:type="dxa"/>
            <w:tcBorders>
              <w:top w:val="nil"/>
              <w:left w:val="nil"/>
              <w:bottom w:val="single" w:sz="4" w:space="0" w:color="auto"/>
              <w:right w:val="single" w:sz="4" w:space="0" w:color="auto"/>
            </w:tcBorders>
            <w:shd w:val="clear" w:color="000000" w:fill="FFFF99"/>
            <w:noWrap/>
            <w:vAlign w:val="center"/>
            <w:hideMark/>
          </w:tcPr>
          <w:p w14:paraId="72D53DA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125.349,</w:t>
            </w:r>
          </w:p>
        </w:tc>
        <w:tc>
          <w:tcPr>
            <w:tcW w:w="927" w:type="dxa"/>
            <w:tcBorders>
              <w:top w:val="nil"/>
              <w:left w:val="nil"/>
              <w:bottom w:val="single" w:sz="4" w:space="0" w:color="auto"/>
              <w:right w:val="single" w:sz="4" w:space="0" w:color="auto"/>
            </w:tcBorders>
            <w:shd w:val="clear" w:color="000000" w:fill="FFFF99"/>
            <w:noWrap/>
            <w:vAlign w:val="center"/>
            <w:hideMark/>
          </w:tcPr>
          <w:p w14:paraId="79AB6B3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49,36</w:t>
            </w:r>
          </w:p>
        </w:tc>
        <w:tc>
          <w:tcPr>
            <w:tcW w:w="947" w:type="dxa"/>
            <w:tcBorders>
              <w:top w:val="nil"/>
              <w:left w:val="nil"/>
              <w:bottom w:val="single" w:sz="4" w:space="0" w:color="auto"/>
              <w:right w:val="single" w:sz="4" w:space="0" w:color="auto"/>
            </w:tcBorders>
            <w:shd w:val="clear" w:color="000000" w:fill="FFFF99"/>
            <w:noWrap/>
            <w:vAlign w:val="center"/>
            <w:hideMark/>
          </w:tcPr>
          <w:p w14:paraId="403CE95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2.539,33</w:t>
            </w:r>
          </w:p>
        </w:tc>
        <w:tc>
          <w:tcPr>
            <w:tcW w:w="983" w:type="dxa"/>
            <w:tcBorders>
              <w:top w:val="nil"/>
              <w:left w:val="nil"/>
              <w:bottom w:val="single" w:sz="4" w:space="0" w:color="auto"/>
              <w:right w:val="single" w:sz="4" w:space="0" w:color="auto"/>
            </w:tcBorders>
            <w:shd w:val="clear" w:color="000000" w:fill="FFFF99"/>
            <w:noWrap/>
            <w:vAlign w:val="center"/>
            <w:hideMark/>
          </w:tcPr>
          <w:p w14:paraId="7BD03F5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95,53</w:t>
            </w:r>
          </w:p>
        </w:tc>
        <w:tc>
          <w:tcPr>
            <w:tcW w:w="959" w:type="dxa"/>
            <w:tcBorders>
              <w:top w:val="nil"/>
              <w:left w:val="nil"/>
              <w:bottom w:val="single" w:sz="4" w:space="0" w:color="auto"/>
              <w:right w:val="single" w:sz="4" w:space="0" w:color="auto"/>
            </w:tcBorders>
            <w:shd w:val="clear" w:color="000000" w:fill="FFFF99"/>
            <w:noWrap/>
            <w:vAlign w:val="center"/>
            <w:hideMark/>
          </w:tcPr>
          <w:p w14:paraId="7F19CD4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1BE6233F"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66E2EFBE"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2B142D48"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4CF9062C"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3EB86392"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Koper</w:t>
            </w:r>
          </w:p>
        </w:tc>
        <w:tc>
          <w:tcPr>
            <w:tcW w:w="930" w:type="dxa"/>
            <w:tcBorders>
              <w:top w:val="nil"/>
              <w:left w:val="nil"/>
              <w:bottom w:val="single" w:sz="4" w:space="0" w:color="auto"/>
              <w:right w:val="single" w:sz="4" w:space="0" w:color="auto"/>
            </w:tcBorders>
            <w:shd w:val="clear" w:color="000000" w:fill="FFFFFF"/>
            <w:noWrap/>
            <w:vAlign w:val="center"/>
            <w:hideMark/>
          </w:tcPr>
          <w:p w14:paraId="42D0A4F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45.567</w:t>
            </w:r>
          </w:p>
        </w:tc>
        <w:tc>
          <w:tcPr>
            <w:tcW w:w="880" w:type="dxa"/>
            <w:tcBorders>
              <w:top w:val="nil"/>
              <w:left w:val="nil"/>
              <w:bottom w:val="single" w:sz="4" w:space="0" w:color="auto"/>
              <w:right w:val="single" w:sz="4" w:space="0" w:color="auto"/>
            </w:tcBorders>
            <w:shd w:val="clear" w:color="000000" w:fill="FFFFFF"/>
            <w:noWrap/>
            <w:vAlign w:val="center"/>
            <w:hideMark/>
          </w:tcPr>
          <w:p w14:paraId="59566CA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45.567</w:t>
            </w:r>
          </w:p>
        </w:tc>
        <w:tc>
          <w:tcPr>
            <w:tcW w:w="927" w:type="dxa"/>
            <w:tcBorders>
              <w:top w:val="nil"/>
              <w:left w:val="nil"/>
              <w:bottom w:val="single" w:sz="4" w:space="0" w:color="auto"/>
              <w:right w:val="single" w:sz="4" w:space="0" w:color="auto"/>
            </w:tcBorders>
            <w:noWrap/>
            <w:vAlign w:val="center"/>
            <w:hideMark/>
          </w:tcPr>
          <w:p w14:paraId="63932E5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19,41</w:t>
            </w:r>
          </w:p>
        </w:tc>
        <w:tc>
          <w:tcPr>
            <w:tcW w:w="947" w:type="dxa"/>
            <w:tcBorders>
              <w:top w:val="nil"/>
              <w:left w:val="nil"/>
              <w:bottom w:val="single" w:sz="4" w:space="0" w:color="auto"/>
              <w:right w:val="single" w:sz="4" w:space="0" w:color="auto"/>
            </w:tcBorders>
            <w:noWrap/>
            <w:vAlign w:val="center"/>
            <w:hideMark/>
          </w:tcPr>
          <w:p w14:paraId="20659A1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2.347,09</w:t>
            </w:r>
          </w:p>
        </w:tc>
        <w:tc>
          <w:tcPr>
            <w:tcW w:w="983" w:type="dxa"/>
            <w:tcBorders>
              <w:top w:val="nil"/>
              <w:left w:val="nil"/>
              <w:bottom w:val="single" w:sz="4" w:space="0" w:color="auto"/>
              <w:right w:val="single" w:sz="4" w:space="0" w:color="auto"/>
            </w:tcBorders>
            <w:noWrap/>
            <w:vAlign w:val="center"/>
            <w:hideMark/>
          </w:tcPr>
          <w:p w14:paraId="74D65AE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103,35</w:t>
            </w:r>
          </w:p>
        </w:tc>
        <w:tc>
          <w:tcPr>
            <w:tcW w:w="959" w:type="dxa"/>
            <w:tcBorders>
              <w:top w:val="nil"/>
              <w:left w:val="nil"/>
              <w:bottom w:val="single" w:sz="4" w:space="0" w:color="auto"/>
              <w:right w:val="single" w:sz="4" w:space="0" w:color="auto"/>
            </w:tcBorders>
            <w:noWrap/>
            <w:vAlign w:val="center"/>
            <w:hideMark/>
          </w:tcPr>
          <w:p w14:paraId="5E6AEA6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46AF1CCD"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6F0C4D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1DBBE97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0,68</w:t>
            </w:r>
          </w:p>
        </w:tc>
      </w:tr>
      <w:tr w:rsidR="00BE5D1E" w:rsidRPr="005E4BEA" w14:paraId="7B6E09B4"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086EB4CF"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Ilirska Bistrica</w:t>
            </w:r>
          </w:p>
        </w:tc>
        <w:tc>
          <w:tcPr>
            <w:tcW w:w="930" w:type="dxa"/>
            <w:tcBorders>
              <w:top w:val="nil"/>
              <w:left w:val="nil"/>
              <w:bottom w:val="single" w:sz="4" w:space="0" w:color="auto"/>
              <w:right w:val="single" w:sz="4" w:space="0" w:color="auto"/>
            </w:tcBorders>
            <w:shd w:val="clear" w:color="000000" w:fill="FFFFFF"/>
            <w:noWrap/>
            <w:vAlign w:val="center"/>
            <w:hideMark/>
          </w:tcPr>
          <w:p w14:paraId="1A1B0F1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11.251</w:t>
            </w:r>
          </w:p>
        </w:tc>
        <w:tc>
          <w:tcPr>
            <w:tcW w:w="880" w:type="dxa"/>
            <w:tcBorders>
              <w:top w:val="nil"/>
              <w:left w:val="nil"/>
              <w:bottom w:val="single" w:sz="4" w:space="0" w:color="auto"/>
              <w:right w:val="single" w:sz="4" w:space="0" w:color="auto"/>
            </w:tcBorders>
            <w:shd w:val="clear" w:color="000000" w:fill="FFFFFF"/>
            <w:noWrap/>
            <w:vAlign w:val="center"/>
            <w:hideMark/>
          </w:tcPr>
          <w:p w14:paraId="1B1FA1E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11.251</w:t>
            </w:r>
          </w:p>
        </w:tc>
        <w:tc>
          <w:tcPr>
            <w:tcW w:w="927" w:type="dxa"/>
            <w:tcBorders>
              <w:top w:val="nil"/>
              <w:left w:val="nil"/>
              <w:bottom w:val="single" w:sz="4" w:space="0" w:color="auto"/>
              <w:right w:val="single" w:sz="4" w:space="0" w:color="auto"/>
            </w:tcBorders>
            <w:noWrap/>
            <w:vAlign w:val="center"/>
            <w:hideMark/>
          </w:tcPr>
          <w:p w14:paraId="2793EB7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4,80</w:t>
            </w:r>
          </w:p>
        </w:tc>
        <w:tc>
          <w:tcPr>
            <w:tcW w:w="947" w:type="dxa"/>
            <w:tcBorders>
              <w:top w:val="nil"/>
              <w:left w:val="nil"/>
              <w:bottom w:val="single" w:sz="4" w:space="0" w:color="auto"/>
              <w:right w:val="single" w:sz="4" w:space="0" w:color="auto"/>
            </w:tcBorders>
            <w:noWrap/>
            <w:vAlign w:val="center"/>
            <w:hideMark/>
          </w:tcPr>
          <w:p w14:paraId="70BE3E4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2.343,96</w:t>
            </w:r>
          </w:p>
        </w:tc>
        <w:tc>
          <w:tcPr>
            <w:tcW w:w="983" w:type="dxa"/>
            <w:tcBorders>
              <w:top w:val="nil"/>
              <w:left w:val="nil"/>
              <w:bottom w:val="single" w:sz="4" w:space="0" w:color="auto"/>
              <w:right w:val="single" w:sz="4" w:space="0" w:color="auto"/>
            </w:tcBorders>
            <w:noWrap/>
            <w:vAlign w:val="center"/>
            <w:hideMark/>
          </w:tcPr>
          <w:p w14:paraId="4D680D2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103,49</w:t>
            </w:r>
          </w:p>
        </w:tc>
        <w:tc>
          <w:tcPr>
            <w:tcW w:w="959" w:type="dxa"/>
            <w:tcBorders>
              <w:top w:val="nil"/>
              <w:left w:val="nil"/>
              <w:bottom w:val="single" w:sz="4" w:space="0" w:color="auto"/>
              <w:right w:val="single" w:sz="4" w:space="0" w:color="auto"/>
            </w:tcBorders>
            <w:noWrap/>
            <w:vAlign w:val="center"/>
            <w:hideMark/>
          </w:tcPr>
          <w:p w14:paraId="2BCD3F4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7C0048EC"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31FA7B4C"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7158EC4C"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B02F473"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47774663"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Izola</w:t>
            </w:r>
          </w:p>
        </w:tc>
        <w:tc>
          <w:tcPr>
            <w:tcW w:w="930" w:type="dxa"/>
            <w:tcBorders>
              <w:top w:val="nil"/>
              <w:left w:val="nil"/>
              <w:bottom w:val="single" w:sz="4" w:space="0" w:color="auto"/>
              <w:right w:val="single" w:sz="4" w:space="0" w:color="auto"/>
            </w:tcBorders>
            <w:shd w:val="clear" w:color="000000" w:fill="FFFFFF"/>
            <w:noWrap/>
            <w:vAlign w:val="center"/>
            <w:hideMark/>
          </w:tcPr>
          <w:p w14:paraId="45D411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13.719</w:t>
            </w:r>
          </w:p>
        </w:tc>
        <w:tc>
          <w:tcPr>
            <w:tcW w:w="880" w:type="dxa"/>
            <w:tcBorders>
              <w:top w:val="nil"/>
              <w:left w:val="nil"/>
              <w:bottom w:val="single" w:sz="4" w:space="0" w:color="auto"/>
              <w:right w:val="single" w:sz="4" w:space="0" w:color="auto"/>
            </w:tcBorders>
            <w:shd w:val="clear" w:color="000000" w:fill="FFFFFF"/>
            <w:noWrap/>
            <w:vAlign w:val="center"/>
            <w:hideMark/>
          </w:tcPr>
          <w:p w14:paraId="73B0CEB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13.719</w:t>
            </w:r>
          </w:p>
        </w:tc>
        <w:tc>
          <w:tcPr>
            <w:tcW w:w="927" w:type="dxa"/>
            <w:tcBorders>
              <w:top w:val="nil"/>
              <w:left w:val="nil"/>
              <w:bottom w:val="single" w:sz="4" w:space="0" w:color="auto"/>
              <w:right w:val="single" w:sz="4" w:space="0" w:color="auto"/>
            </w:tcBorders>
            <w:noWrap/>
            <w:vAlign w:val="center"/>
            <w:hideMark/>
          </w:tcPr>
          <w:p w14:paraId="60F7338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5,14</w:t>
            </w:r>
          </w:p>
        </w:tc>
        <w:tc>
          <w:tcPr>
            <w:tcW w:w="947" w:type="dxa"/>
            <w:tcBorders>
              <w:top w:val="nil"/>
              <w:left w:val="nil"/>
              <w:bottom w:val="single" w:sz="4" w:space="0" w:color="auto"/>
              <w:right w:val="single" w:sz="4" w:space="0" w:color="auto"/>
            </w:tcBorders>
            <w:noWrap/>
            <w:vAlign w:val="center"/>
            <w:hideMark/>
          </w:tcPr>
          <w:p w14:paraId="06815F7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2.669,07</w:t>
            </w:r>
          </w:p>
        </w:tc>
        <w:tc>
          <w:tcPr>
            <w:tcW w:w="983" w:type="dxa"/>
            <w:tcBorders>
              <w:top w:val="nil"/>
              <w:left w:val="nil"/>
              <w:bottom w:val="single" w:sz="4" w:space="0" w:color="auto"/>
              <w:right w:val="single" w:sz="4" w:space="0" w:color="auto"/>
            </w:tcBorders>
            <w:noWrap/>
            <w:vAlign w:val="center"/>
            <w:hideMark/>
          </w:tcPr>
          <w:p w14:paraId="2C376D3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90,88</w:t>
            </w:r>
          </w:p>
        </w:tc>
        <w:tc>
          <w:tcPr>
            <w:tcW w:w="959" w:type="dxa"/>
            <w:tcBorders>
              <w:top w:val="nil"/>
              <w:left w:val="nil"/>
              <w:bottom w:val="single" w:sz="4" w:space="0" w:color="auto"/>
              <w:right w:val="single" w:sz="4" w:space="0" w:color="auto"/>
            </w:tcBorders>
            <w:noWrap/>
            <w:vAlign w:val="center"/>
            <w:hideMark/>
          </w:tcPr>
          <w:p w14:paraId="656661F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23C8883D"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5F1F414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4D185F0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0,18</w:t>
            </w:r>
          </w:p>
        </w:tc>
      </w:tr>
      <w:tr w:rsidR="00BE5D1E" w:rsidRPr="005E4BEA" w14:paraId="09FE5417"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7B68B63E"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Piran</w:t>
            </w:r>
          </w:p>
        </w:tc>
        <w:tc>
          <w:tcPr>
            <w:tcW w:w="930" w:type="dxa"/>
            <w:tcBorders>
              <w:top w:val="nil"/>
              <w:left w:val="nil"/>
              <w:bottom w:val="single" w:sz="4" w:space="0" w:color="auto"/>
              <w:right w:val="single" w:sz="4" w:space="0" w:color="auto"/>
            </w:tcBorders>
            <w:noWrap/>
            <w:vAlign w:val="center"/>
            <w:hideMark/>
          </w:tcPr>
          <w:p w14:paraId="7B2459E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14.912</w:t>
            </w:r>
          </w:p>
        </w:tc>
        <w:tc>
          <w:tcPr>
            <w:tcW w:w="880" w:type="dxa"/>
            <w:tcBorders>
              <w:top w:val="nil"/>
              <w:left w:val="nil"/>
              <w:bottom w:val="single" w:sz="4" w:space="0" w:color="auto"/>
              <w:right w:val="single" w:sz="4" w:space="0" w:color="auto"/>
            </w:tcBorders>
            <w:noWrap/>
            <w:vAlign w:val="center"/>
            <w:hideMark/>
          </w:tcPr>
          <w:p w14:paraId="3C9952E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14.912</w:t>
            </w:r>
          </w:p>
        </w:tc>
        <w:tc>
          <w:tcPr>
            <w:tcW w:w="927" w:type="dxa"/>
            <w:tcBorders>
              <w:top w:val="nil"/>
              <w:left w:val="nil"/>
              <w:bottom w:val="single" w:sz="4" w:space="0" w:color="auto"/>
              <w:right w:val="single" w:sz="4" w:space="0" w:color="auto"/>
            </w:tcBorders>
            <w:noWrap/>
            <w:vAlign w:val="center"/>
            <w:hideMark/>
          </w:tcPr>
          <w:p w14:paraId="610F128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5,10</w:t>
            </w:r>
          </w:p>
        </w:tc>
        <w:tc>
          <w:tcPr>
            <w:tcW w:w="947" w:type="dxa"/>
            <w:tcBorders>
              <w:top w:val="nil"/>
              <w:left w:val="nil"/>
              <w:bottom w:val="single" w:sz="4" w:space="0" w:color="auto"/>
              <w:right w:val="single" w:sz="4" w:space="0" w:color="auto"/>
            </w:tcBorders>
            <w:noWrap/>
            <w:vAlign w:val="center"/>
            <w:hideMark/>
          </w:tcPr>
          <w:p w14:paraId="1A45D8D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2.923,92</w:t>
            </w:r>
          </w:p>
        </w:tc>
        <w:tc>
          <w:tcPr>
            <w:tcW w:w="983" w:type="dxa"/>
            <w:tcBorders>
              <w:top w:val="nil"/>
              <w:left w:val="nil"/>
              <w:bottom w:val="single" w:sz="4" w:space="0" w:color="auto"/>
              <w:right w:val="single" w:sz="4" w:space="0" w:color="auto"/>
            </w:tcBorders>
            <w:noWrap/>
            <w:vAlign w:val="center"/>
            <w:hideMark/>
          </w:tcPr>
          <w:p w14:paraId="049CCB9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82,96</w:t>
            </w:r>
          </w:p>
        </w:tc>
        <w:tc>
          <w:tcPr>
            <w:tcW w:w="959" w:type="dxa"/>
            <w:tcBorders>
              <w:top w:val="nil"/>
              <w:left w:val="nil"/>
              <w:bottom w:val="single" w:sz="4" w:space="0" w:color="auto"/>
              <w:right w:val="single" w:sz="4" w:space="0" w:color="auto"/>
            </w:tcBorders>
            <w:noWrap/>
            <w:vAlign w:val="center"/>
            <w:hideMark/>
          </w:tcPr>
          <w:p w14:paraId="0E3AE94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0,10</w:t>
            </w:r>
          </w:p>
        </w:tc>
        <w:tc>
          <w:tcPr>
            <w:tcW w:w="1236" w:type="dxa"/>
            <w:tcBorders>
              <w:top w:val="nil"/>
              <w:left w:val="nil"/>
              <w:bottom w:val="single" w:sz="4" w:space="0" w:color="auto"/>
              <w:right w:val="single" w:sz="4" w:space="0" w:color="auto"/>
            </w:tcBorders>
            <w:noWrap/>
            <w:vAlign w:val="center"/>
            <w:hideMark/>
          </w:tcPr>
          <w:p w14:paraId="0514DE1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1,05</w:t>
            </w:r>
          </w:p>
        </w:tc>
        <w:tc>
          <w:tcPr>
            <w:tcW w:w="855" w:type="dxa"/>
            <w:tcBorders>
              <w:top w:val="nil"/>
              <w:left w:val="nil"/>
              <w:bottom w:val="single" w:sz="4" w:space="0" w:color="auto"/>
              <w:right w:val="nil"/>
            </w:tcBorders>
            <w:noWrap/>
            <w:vAlign w:val="bottom"/>
            <w:hideMark/>
          </w:tcPr>
          <w:p w14:paraId="0C996EF4"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75424281"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918F9AB"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7CECA854"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lastRenderedPageBreak/>
              <w:t>Postojna</w:t>
            </w:r>
          </w:p>
        </w:tc>
        <w:tc>
          <w:tcPr>
            <w:tcW w:w="930" w:type="dxa"/>
            <w:tcBorders>
              <w:top w:val="nil"/>
              <w:left w:val="nil"/>
              <w:bottom w:val="single" w:sz="4" w:space="0" w:color="auto"/>
              <w:right w:val="single" w:sz="4" w:space="0" w:color="auto"/>
            </w:tcBorders>
            <w:noWrap/>
            <w:vAlign w:val="center"/>
            <w:hideMark/>
          </w:tcPr>
          <w:p w14:paraId="1E02A4A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18.382</w:t>
            </w:r>
          </w:p>
        </w:tc>
        <w:tc>
          <w:tcPr>
            <w:tcW w:w="880" w:type="dxa"/>
            <w:tcBorders>
              <w:top w:val="nil"/>
              <w:left w:val="nil"/>
              <w:bottom w:val="single" w:sz="4" w:space="0" w:color="auto"/>
              <w:right w:val="single" w:sz="4" w:space="0" w:color="auto"/>
            </w:tcBorders>
            <w:noWrap/>
            <w:vAlign w:val="center"/>
            <w:hideMark/>
          </w:tcPr>
          <w:p w14:paraId="6672E07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18.382</w:t>
            </w:r>
          </w:p>
        </w:tc>
        <w:tc>
          <w:tcPr>
            <w:tcW w:w="927" w:type="dxa"/>
            <w:tcBorders>
              <w:top w:val="nil"/>
              <w:left w:val="nil"/>
              <w:bottom w:val="single" w:sz="4" w:space="0" w:color="auto"/>
              <w:right w:val="single" w:sz="4" w:space="0" w:color="auto"/>
            </w:tcBorders>
            <w:noWrap/>
            <w:vAlign w:val="center"/>
            <w:hideMark/>
          </w:tcPr>
          <w:p w14:paraId="6019707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7,49</w:t>
            </w:r>
          </w:p>
        </w:tc>
        <w:tc>
          <w:tcPr>
            <w:tcW w:w="947" w:type="dxa"/>
            <w:tcBorders>
              <w:top w:val="nil"/>
              <w:left w:val="nil"/>
              <w:bottom w:val="single" w:sz="4" w:space="0" w:color="auto"/>
              <w:right w:val="single" w:sz="4" w:space="0" w:color="auto"/>
            </w:tcBorders>
            <w:noWrap/>
            <w:vAlign w:val="center"/>
            <w:hideMark/>
          </w:tcPr>
          <w:p w14:paraId="4AFBA8F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2.454,60</w:t>
            </w:r>
          </w:p>
        </w:tc>
        <w:tc>
          <w:tcPr>
            <w:tcW w:w="983" w:type="dxa"/>
            <w:tcBorders>
              <w:top w:val="nil"/>
              <w:left w:val="nil"/>
              <w:bottom w:val="single" w:sz="4" w:space="0" w:color="auto"/>
              <w:right w:val="single" w:sz="4" w:space="0" w:color="auto"/>
            </w:tcBorders>
            <w:noWrap/>
            <w:vAlign w:val="center"/>
            <w:hideMark/>
          </w:tcPr>
          <w:p w14:paraId="338F017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98,83</w:t>
            </w:r>
          </w:p>
        </w:tc>
        <w:tc>
          <w:tcPr>
            <w:tcW w:w="959" w:type="dxa"/>
            <w:tcBorders>
              <w:top w:val="nil"/>
              <w:left w:val="nil"/>
              <w:bottom w:val="single" w:sz="4" w:space="0" w:color="auto"/>
              <w:right w:val="single" w:sz="4" w:space="0" w:color="auto"/>
            </w:tcBorders>
            <w:noWrap/>
            <w:vAlign w:val="center"/>
            <w:hideMark/>
          </w:tcPr>
          <w:p w14:paraId="103859B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0,83</w:t>
            </w:r>
          </w:p>
        </w:tc>
        <w:tc>
          <w:tcPr>
            <w:tcW w:w="1236" w:type="dxa"/>
            <w:tcBorders>
              <w:top w:val="nil"/>
              <w:left w:val="nil"/>
              <w:bottom w:val="single" w:sz="4" w:space="0" w:color="auto"/>
              <w:right w:val="single" w:sz="4" w:space="0" w:color="auto"/>
            </w:tcBorders>
            <w:noWrap/>
            <w:vAlign w:val="center"/>
            <w:hideMark/>
          </w:tcPr>
          <w:p w14:paraId="5CD5DA3A"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1321D7BD"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145E1A0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0,134</w:t>
            </w:r>
          </w:p>
        </w:tc>
      </w:tr>
      <w:tr w:rsidR="00BE5D1E" w:rsidRPr="005E4BEA" w14:paraId="3A163DE6"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4E2F1CBE"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Sežana</w:t>
            </w:r>
          </w:p>
        </w:tc>
        <w:tc>
          <w:tcPr>
            <w:tcW w:w="930" w:type="dxa"/>
            <w:tcBorders>
              <w:top w:val="nil"/>
              <w:left w:val="nil"/>
              <w:bottom w:val="single" w:sz="4" w:space="0" w:color="auto"/>
              <w:right w:val="single" w:sz="4" w:space="0" w:color="auto"/>
            </w:tcBorders>
            <w:noWrap/>
            <w:vAlign w:val="center"/>
            <w:hideMark/>
          </w:tcPr>
          <w:p w14:paraId="006E762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21.518,00</w:t>
            </w:r>
          </w:p>
        </w:tc>
        <w:tc>
          <w:tcPr>
            <w:tcW w:w="880" w:type="dxa"/>
            <w:tcBorders>
              <w:top w:val="nil"/>
              <w:left w:val="nil"/>
              <w:bottom w:val="single" w:sz="4" w:space="0" w:color="auto"/>
              <w:right w:val="single" w:sz="4" w:space="0" w:color="auto"/>
            </w:tcBorders>
            <w:noWrap/>
            <w:vAlign w:val="center"/>
            <w:hideMark/>
          </w:tcPr>
          <w:p w14:paraId="28B844F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21518,00</w:t>
            </w:r>
          </w:p>
        </w:tc>
        <w:tc>
          <w:tcPr>
            <w:tcW w:w="927" w:type="dxa"/>
            <w:tcBorders>
              <w:top w:val="nil"/>
              <w:left w:val="nil"/>
              <w:bottom w:val="nil"/>
              <w:right w:val="nil"/>
            </w:tcBorders>
            <w:noWrap/>
            <w:vAlign w:val="center"/>
            <w:hideMark/>
          </w:tcPr>
          <w:p w14:paraId="403A561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7,42</w:t>
            </w:r>
          </w:p>
        </w:tc>
        <w:tc>
          <w:tcPr>
            <w:tcW w:w="947" w:type="dxa"/>
            <w:tcBorders>
              <w:top w:val="nil"/>
              <w:left w:val="nil"/>
              <w:bottom w:val="nil"/>
              <w:right w:val="nil"/>
            </w:tcBorders>
            <w:noWrap/>
            <w:vAlign w:val="center"/>
            <w:hideMark/>
          </w:tcPr>
          <w:p w14:paraId="190511E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2900,00</w:t>
            </w:r>
          </w:p>
        </w:tc>
        <w:tc>
          <w:tcPr>
            <w:tcW w:w="983" w:type="dxa"/>
            <w:tcBorders>
              <w:top w:val="nil"/>
              <w:left w:val="single" w:sz="4" w:space="0" w:color="auto"/>
              <w:bottom w:val="single" w:sz="4" w:space="0" w:color="auto"/>
              <w:right w:val="single" w:sz="4" w:space="0" w:color="auto"/>
            </w:tcBorders>
            <w:noWrap/>
            <w:vAlign w:val="center"/>
            <w:hideMark/>
          </w:tcPr>
          <w:p w14:paraId="728C716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83,65</w:t>
            </w:r>
          </w:p>
        </w:tc>
        <w:tc>
          <w:tcPr>
            <w:tcW w:w="959" w:type="dxa"/>
            <w:tcBorders>
              <w:top w:val="nil"/>
              <w:left w:val="nil"/>
              <w:bottom w:val="single" w:sz="4" w:space="0" w:color="auto"/>
              <w:right w:val="single" w:sz="4" w:space="0" w:color="auto"/>
            </w:tcBorders>
            <w:noWrap/>
            <w:vAlign w:val="center"/>
            <w:hideMark/>
          </w:tcPr>
          <w:p w14:paraId="10E870B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D9E1F2"/>
            <w:noWrap/>
            <w:vAlign w:val="center"/>
            <w:hideMark/>
          </w:tcPr>
          <w:p w14:paraId="4039CC2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1,45</w:t>
            </w:r>
          </w:p>
        </w:tc>
        <w:tc>
          <w:tcPr>
            <w:tcW w:w="855" w:type="dxa"/>
            <w:tcBorders>
              <w:top w:val="nil"/>
              <w:left w:val="nil"/>
              <w:bottom w:val="single" w:sz="4" w:space="0" w:color="auto"/>
              <w:right w:val="nil"/>
            </w:tcBorders>
            <w:shd w:val="clear" w:color="000000" w:fill="D9E1F2"/>
            <w:noWrap/>
            <w:vAlign w:val="bottom"/>
            <w:hideMark/>
          </w:tcPr>
          <w:p w14:paraId="045A48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16970136"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5B33965"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02516CC3"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KRŠKO</w:t>
            </w:r>
          </w:p>
        </w:tc>
        <w:tc>
          <w:tcPr>
            <w:tcW w:w="930" w:type="dxa"/>
            <w:tcBorders>
              <w:top w:val="nil"/>
              <w:left w:val="nil"/>
              <w:bottom w:val="single" w:sz="4" w:space="0" w:color="auto"/>
              <w:right w:val="single" w:sz="4" w:space="0" w:color="auto"/>
            </w:tcBorders>
            <w:shd w:val="clear" w:color="000000" w:fill="FFFF99"/>
            <w:noWrap/>
            <w:vAlign w:val="center"/>
            <w:hideMark/>
          </w:tcPr>
          <w:p w14:paraId="08C61DE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57.490,</w:t>
            </w:r>
          </w:p>
        </w:tc>
        <w:tc>
          <w:tcPr>
            <w:tcW w:w="880" w:type="dxa"/>
            <w:tcBorders>
              <w:top w:val="nil"/>
              <w:left w:val="nil"/>
              <w:bottom w:val="single" w:sz="4" w:space="0" w:color="auto"/>
              <w:right w:val="single" w:sz="4" w:space="0" w:color="auto"/>
            </w:tcBorders>
            <w:shd w:val="clear" w:color="000000" w:fill="FFFF99"/>
            <w:noWrap/>
            <w:vAlign w:val="center"/>
            <w:hideMark/>
          </w:tcPr>
          <w:p w14:paraId="3375EF1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57.490,</w:t>
            </w:r>
          </w:p>
        </w:tc>
        <w:tc>
          <w:tcPr>
            <w:tcW w:w="927" w:type="dxa"/>
            <w:tcBorders>
              <w:top w:val="single" w:sz="4" w:space="0" w:color="auto"/>
              <w:left w:val="nil"/>
              <w:bottom w:val="single" w:sz="4" w:space="0" w:color="auto"/>
              <w:right w:val="single" w:sz="4" w:space="0" w:color="auto"/>
            </w:tcBorders>
            <w:shd w:val="clear" w:color="000000" w:fill="FFFF99"/>
            <w:noWrap/>
            <w:vAlign w:val="center"/>
            <w:hideMark/>
          </w:tcPr>
          <w:p w14:paraId="4E6199A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22,89</w:t>
            </w:r>
          </w:p>
        </w:tc>
        <w:tc>
          <w:tcPr>
            <w:tcW w:w="947" w:type="dxa"/>
            <w:tcBorders>
              <w:top w:val="single" w:sz="4" w:space="0" w:color="auto"/>
              <w:left w:val="nil"/>
              <w:bottom w:val="single" w:sz="4" w:space="0" w:color="auto"/>
              <w:right w:val="single" w:sz="4" w:space="0" w:color="auto"/>
            </w:tcBorders>
            <w:shd w:val="clear" w:color="000000" w:fill="FFFF99"/>
            <w:noWrap/>
            <w:vAlign w:val="center"/>
            <w:hideMark/>
          </w:tcPr>
          <w:p w14:paraId="1150DD5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2.511,58</w:t>
            </w:r>
          </w:p>
        </w:tc>
        <w:tc>
          <w:tcPr>
            <w:tcW w:w="983" w:type="dxa"/>
            <w:tcBorders>
              <w:top w:val="nil"/>
              <w:left w:val="nil"/>
              <w:bottom w:val="single" w:sz="4" w:space="0" w:color="auto"/>
              <w:right w:val="single" w:sz="4" w:space="0" w:color="auto"/>
            </w:tcBorders>
            <w:shd w:val="clear" w:color="000000" w:fill="FFFF99"/>
            <w:noWrap/>
            <w:vAlign w:val="center"/>
            <w:hideMark/>
          </w:tcPr>
          <w:p w14:paraId="66476AC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96,58</w:t>
            </w:r>
          </w:p>
        </w:tc>
        <w:tc>
          <w:tcPr>
            <w:tcW w:w="959" w:type="dxa"/>
            <w:tcBorders>
              <w:top w:val="nil"/>
              <w:left w:val="nil"/>
              <w:bottom w:val="single" w:sz="4" w:space="0" w:color="auto"/>
              <w:right w:val="single" w:sz="4" w:space="0" w:color="auto"/>
            </w:tcBorders>
            <w:shd w:val="clear" w:color="000000" w:fill="FFFF99"/>
            <w:noWrap/>
            <w:vAlign w:val="center"/>
            <w:hideMark/>
          </w:tcPr>
          <w:p w14:paraId="5CD7516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4B5A5D0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64AF4DAC"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3443BCEA"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A55987F"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67ADB01B"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Krško</w:t>
            </w:r>
          </w:p>
        </w:tc>
        <w:tc>
          <w:tcPr>
            <w:tcW w:w="930" w:type="dxa"/>
            <w:tcBorders>
              <w:top w:val="nil"/>
              <w:left w:val="nil"/>
              <w:bottom w:val="single" w:sz="4" w:space="0" w:color="auto"/>
              <w:right w:val="single" w:sz="4" w:space="0" w:color="auto"/>
            </w:tcBorders>
            <w:shd w:val="clear" w:color="000000" w:fill="FFFFFF"/>
            <w:noWrap/>
            <w:vAlign w:val="center"/>
            <w:hideMark/>
          </w:tcPr>
          <w:p w14:paraId="0D49E28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23.328</w:t>
            </w:r>
          </w:p>
        </w:tc>
        <w:tc>
          <w:tcPr>
            <w:tcW w:w="880" w:type="dxa"/>
            <w:tcBorders>
              <w:top w:val="nil"/>
              <w:left w:val="nil"/>
              <w:bottom w:val="single" w:sz="4" w:space="0" w:color="auto"/>
              <w:right w:val="single" w:sz="4" w:space="0" w:color="auto"/>
            </w:tcBorders>
            <w:shd w:val="clear" w:color="000000" w:fill="FFFFFF"/>
            <w:noWrap/>
            <w:vAlign w:val="center"/>
            <w:hideMark/>
          </w:tcPr>
          <w:p w14:paraId="66847CB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23.328</w:t>
            </w:r>
          </w:p>
        </w:tc>
        <w:tc>
          <w:tcPr>
            <w:tcW w:w="927" w:type="dxa"/>
            <w:tcBorders>
              <w:top w:val="nil"/>
              <w:left w:val="nil"/>
              <w:bottom w:val="single" w:sz="4" w:space="0" w:color="auto"/>
              <w:right w:val="single" w:sz="4" w:space="0" w:color="auto"/>
            </w:tcBorders>
            <w:noWrap/>
            <w:vAlign w:val="center"/>
            <w:hideMark/>
          </w:tcPr>
          <w:p w14:paraId="03B1FF6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9,29</w:t>
            </w:r>
          </w:p>
        </w:tc>
        <w:tc>
          <w:tcPr>
            <w:tcW w:w="947" w:type="dxa"/>
            <w:tcBorders>
              <w:top w:val="nil"/>
              <w:left w:val="nil"/>
              <w:bottom w:val="single" w:sz="4" w:space="0" w:color="auto"/>
              <w:right w:val="single" w:sz="4" w:space="0" w:color="auto"/>
            </w:tcBorders>
            <w:noWrap/>
            <w:vAlign w:val="center"/>
            <w:hideMark/>
          </w:tcPr>
          <w:p w14:paraId="5E9FFAB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2.511,09</w:t>
            </w:r>
          </w:p>
        </w:tc>
        <w:tc>
          <w:tcPr>
            <w:tcW w:w="983" w:type="dxa"/>
            <w:tcBorders>
              <w:top w:val="nil"/>
              <w:left w:val="nil"/>
              <w:bottom w:val="single" w:sz="4" w:space="0" w:color="auto"/>
              <w:right w:val="single" w:sz="4" w:space="0" w:color="auto"/>
            </w:tcBorders>
            <w:noWrap/>
            <w:vAlign w:val="center"/>
            <w:hideMark/>
          </w:tcPr>
          <w:p w14:paraId="3A6238B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96,60</w:t>
            </w:r>
          </w:p>
        </w:tc>
        <w:tc>
          <w:tcPr>
            <w:tcW w:w="959" w:type="dxa"/>
            <w:tcBorders>
              <w:top w:val="nil"/>
              <w:left w:val="nil"/>
              <w:bottom w:val="single" w:sz="4" w:space="0" w:color="auto"/>
              <w:right w:val="single" w:sz="4" w:space="0" w:color="auto"/>
            </w:tcBorders>
            <w:noWrap/>
            <w:vAlign w:val="center"/>
            <w:hideMark/>
          </w:tcPr>
          <w:p w14:paraId="65259B9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6ECEE005"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11751CCD"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54DE970C"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4E49E72A"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40C84AFB"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Brežice</w:t>
            </w:r>
          </w:p>
        </w:tc>
        <w:tc>
          <w:tcPr>
            <w:tcW w:w="930" w:type="dxa"/>
            <w:tcBorders>
              <w:top w:val="nil"/>
              <w:left w:val="nil"/>
              <w:bottom w:val="single" w:sz="4" w:space="0" w:color="auto"/>
              <w:right w:val="single" w:sz="4" w:space="0" w:color="auto"/>
            </w:tcBorders>
            <w:noWrap/>
            <w:vAlign w:val="center"/>
            <w:hideMark/>
          </w:tcPr>
          <w:p w14:paraId="5EF148F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19.686</w:t>
            </w:r>
          </w:p>
        </w:tc>
        <w:tc>
          <w:tcPr>
            <w:tcW w:w="880" w:type="dxa"/>
            <w:tcBorders>
              <w:top w:val="nil"/>
              <w:left w:val="nil"/>
              <w:bottom w:val="single" w:sz="4" w:space="0" w:color="auto"/>
              <w:right w:val="single" w:sz="4" w:space="0" w:color="auto"/>
            </w:tcBorders>
            <w:noWrap/>
            <w:vAlign w:val="center"/>
            <w:hideMark/>
          </w:tcPr>
          <w:p w14:paraId="6989E88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19.686</w:t>
            </w:r>
          </w:p>
        </w:tc>
        <w:tc>
          <w:tcPr>
            <w:tcW w:w="927" w:type="dxa"/>
            <w:tcBorders>
              <w:top w:val="nil"/>
              <w:left w:val="nil"/>
              <w:bottom w:val="single" w:sz="4" w:space="0" w:color="auto"/>
              <w:right w:val="single" w:sz="4" w:space="0" w:color="auto"/>
            </w:tcBorders>
            <w:noWrap/>
            <w:vAlign w:val="center"/>
            <w:hideMark/>
          </w:tcPr>
          <w:p w14:paraId="6AAA5BF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7,70</w:t>
            </w:r>
          </w:p>
        </w:tc>
        <w:tc>
          <w:tcPr>
            <w:tcW w:w="947" w:type="dxa"/>
            <w:tcBorders>
              <w:top w:val="nil"/>
              <w:left w:val="nil"/>
              <w:bottom w:val="single" w:sz="4" w:space="0" w:color="auto"/>
              <w:right w:val="single" w:sz="4" w:space="0" w:color="auto"/>
            </w:tcBorders>
            <w:noWrap/>
            <w:vAlign w:val="center"/>
            <w:hideMark/>
          </w:tcPr>
          <w:p w14:paraId="24979D5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2.556,62</w:t>
            </w:r>
          </w:p>
        </w:tc>
        <w:tc>
          <w:tcPr>
            <w:tcW w:w="983" w:type="dxa"/>
            <w:tcBorders>
              <w:top w:val="nil"/>
              <w:left w:val="nil"/>
              <w:bottom w:val="single" w:sz="4" w:space="0" w:color="auto"/>
              <w:right w:val="single" w:sz="4" w:space="0" w:color="auto"/>
            </w:tcBorders>
            <w:noWrap/>
            <w:vAlign w:val="center"/>
            <w:hideMark/>
          </w:tcPr>
          <w:p w14:paraId="677B5DA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94,88</w:t>
            </w:r>
          </w:p>
        </w:tc>
        <w:tc>
          <w:tcPr>
            <w:tcW w:w="959" w:type="dxa"/>
            <w:tcBorders>
              <w:top w:val="nil"/>
              <w:left w:val="nil"/>
              <w:bottom w:val="single" w:sz="4" w:space="0" w:color="auto"/>
              <w:right w:val="single" w:sz="4" w:space="0" w:color="auto"/>
            </w:tcBorders>
            <w:noWrap/>
            <w:vAlign w:val="center"/>
            <w:hideMark/>
          </w:tcPr>
          <w:p w14:paraId="02C3D99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0,50</w:t>
            </w:r>
          </w:p>
        </w:tc>
        <w:tc>
          <w:tcPr>
            <w:tcW w:w="1236" w:type="dxa"/>
            <w:tcBorders>
              <w:top w:val="nil"/>
              <w:left w:val="nil"/>
              <w:bottom w:val="single" w:sz="4" w:space="0" w:color="auto"/>
              <w:right w:val="single" w:sz="4" w:space="0" w:color="auto"/>
            </w:tcBorders>
            <w:noWrap/>
            <w:vAlign w:val="center"/>
            <w:hideMark/>
          </w:tcPr>
          <w:p w14:paraId="2E7EF8C7"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581AC75B"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165ECF78"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049C6998"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0436156C"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Sevnica</w:t>
            </w:r>
          </w:p>
        </w:tc>
        <w:tc>
          <w:tcPr>
            <w:tcW w:w="930" w:type="dxa"/>
            <w:tcBorders>
              <w:top w:val="nil"/>
              <w:left w:val="nil"/>
              <w:bottom w:val="single" w:sz="4" w:space="0" w:color="auto"/>
              <w:right w:val="single" w:sz="4" w:space="0" w:color="auto"/>
            </w:tcBorders>
            <w:shd w:val="clear" w:color="000000" w:fill="FFFFFF"/>
            <w:noWrap/>
            <w:vAlign w:val="center"/>
            <w:hideMark/>
          </w:tcPr>
          <w:p w14:paraId="29E0779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14.476</w:t>
            </w:r>
          </w:p>
        </w:tc>
        <w:tc>
          <w:tcPr>
            <w:tcW w:w="880" w:type="dxa"/>
            <w:tcBorders>
              <w:top w:val="nil"/>
              <w:left w:val="nil"/>
              <w:bottom w:val="single" w:sz="4" w:space="0" w:color="auto"/>
              <w:right w:val="single" w:sz="4" w:space="0" w:color="auto"/>
            </w:tcBorders>
            <w:shd w:val="clear" w:color="000000" w:fill="FFFFFF"/>
            <w:noWrap/>
            <w:vAlign w:val="center"/>
            <w:hideMark/>
          </w:tcPr>
          <w:p w14:paraId="235803B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14.476</w:t>
            </w:r>
          </w:p>
        </w:tc>
        <w:tc>
          <w:tcPr>
            <w:tcW w:w="927" w:type="dxa"/>
            <w:tcBorders>
              <w:top w:val="nil"/>
              <w:left w:val="nil"/>
              <w:bottom w:val="single" w:sz="4" w:space="0" w:color="auto"/>
              <w:right w:val="single" w:sz="4" w:space="0" w:color="auto"/>
            </w:tcBorders>
            <w:noWrap/>
            <w:vAlign w:val="center"/>
            <w:hideMark/>
          </w:tcPr>
          <w:p w14:paraId="0294527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5,90</w:t>
            </w:r>
          </w:p>
        </w:tc>
        <w:tc>
          <w:tcPr>
            <w:tcW w:w="947" w:type="dxa"/>
            <w:tcBorders>
              <w:top w:val="nil"/>
              <w:left w:val="nil"/>
              <w:bottom w:val="single" w:sz="4" w:space="0" w:color="auto"/>
              <w:right w:val="single" w:sz="4" w:space="0" w:color="auto"/>
            </w:tcBorders>
            <w:noWrap/>
            <w:vAlign w:val="center"/>
            <w:hideMark/>
          </w:tcPr>
          <w:p w14:paraId="0F2D3D4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2.453,56</w:t>
            </w:r>
          </w:p>
        </w:tc>
        <w:tc>
          <w:tcPr>
            <w:tcW w:w="983" w:type="dxa"/>
            <w:tcBorders>
              <w:top w:val="nil"/>
              <w:left w:val="nil"/>
              <w:bottom w:val="single" w:sz="4" w:space="0" w:color="auto"/>
              <w:right w:val="single" w:sz="4" w:space="0" w:color="auto"/>
            </w:tcBorders>
            <w:noWrap/>
            <w:vAlign w:val="center"/>
            <w:hideMark/>
          </w:tcPr>
          <w:p w14:paraId="5595C68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98,87</w:t>
            </w:r>
          </w:p>
        </w:tc>
        <w:tc>
          <w:tcPr>
            <w:tcW w:w="959" w:type="dxa"/>
            <w:tcBorders>
              <w:top w:val="nil"/>
              <w:left w:val="nil"/>
              <w:bottom w:val="single" w:sz="4" w:space="0" w:color="auto"/>
              <w:right w:val="single" w:sz="4" w:space="0" w:color="auto"/>
            </w:tcBorders>
            <w:noWrap/>
            <w:vAlign w:val="center"/>
            <w:hideMark/>
          </w:tcPr>
          <w:p w14:paraId="6DED4CA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43A2A44B"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5185B460"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1165ACA1"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4931FDE"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7F8B9C2B"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KRANJ</w:t>
            </w:r>
          </w:p>
        </w:tc>
        <w:tc>
          <w:tcPr>
            <w:tcW w:w="930" w:type="dxa"/>
            <w:tcBorders>
              <w:top w:val="nil"/>
              <w:left w:val="nil"/>
              <w:bottom w:val="single" w:sz="4" w:space="0" w:color="auto"/>
              <w:right w:val="single" w:sz="4" w:space="0" w:color="auto"/>
            </w:tcBorders>
            <w:shd w:val="clear" w:color="000000" w:fill="FFFF99"/>
            <w:noWrap/>
            <w:vAlign w:val="center"/>
            <w:hideMark/>
          </w:tcPr>
          <w:p w14:paraId="29F3276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167.529,</w:t>
            </w:r>
          </w:p>
        </w:tc>
        <w:tc>
          <w:tcPr>
            <w:tcW w:w="880" w:type="dxa"/>
            <w:tcBorders>
              <w:top w:val="nil"/>
              <w:left w:val="nil"/>
              <w:bottom w:val="single" w:sz="4" w:space="0" w:color="auto"/>
              <w:right w:val="single" w:sz="4" w:space="0" w:color="auto"/>
            </w:tcBorders>
            <w:shd w:val="clear" w:color="000000" w:fill="FFFF99"/>
            <w:noWrap/>
            <w:vAlign w:val="center"/>
            <w:hideMark/>
          </w:tcPr>
          <w:p w14:paraId="703BE8D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167.529,</w:t>
            </w:r>
          </w:p>
        </w:tc>
        <w:tc>
          <w:tcPr>
            <w:tcW w:w="927" w:type="dxa"/>
            <w:tcBorders>
              <w:top w:val="nil"/>
              <w:left w:val="nil"/>
              <w:bottom w:val="single" w:sz="4" w:space="0" w:color="auto"/>
              <w:right w:val="single" w:sz="4" w:space="0" w:color="auto"/>
            </w:tcBorders>
            <w:shd w:val="clear" w:color="000000" w:fill="FFFF99"/>
            <w:noWrap/>
            <w:vAlign w:val="center"/>
            <w:hideMark/>
          </w:tcPr>
          <w:p w14:paraId="4560906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67,83</w:t>
            </w:r>
          </w:p>
        </w:tc>
        <w:tc>
          <w:tcPr>
            <w:tcW w:w="947" w:type="dxa"/>
            <w:tcBorders>
              <w:top w:val="nil"/>
              <w:left w:val="nil"/>
              <w:bottom w:val="single" w:sz="4" w:space="0" w:color="auto"/>
              <w:right w:val="single" w:sz="4" w:space="0" w:color="auto"/>
            </w:tcBorders>
            <w:shd w:val="clear" w:color="000000" w:fill="FFFF99"/>
            <w:noWrap/>
            <w:vAlign w:val="center"/>
            <w:hideMark/>
          </w:tcPr>
          <w:p w14:paraId="24912CB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2.469,84</w:t>
            </w:r>
          </w:p>
        </w:tc>
        <w:tc>
          <w:tcPr>
            <w:tcW w:w="983" w:type="dxa"/>
            <w:tcBorders>
              <w:top w:val="nil"/>
              <w:left w:val="nil"/>
              <w:bottom w:val="single" w:sz="4" w:space="0" w:color="auto"/>
              <w:right w:val="single" w:sz="4" w:space="0" w:color="auto"/>
            </w:tcBorders>
            <w:shd w:val="clear" w:color="000000" w:fill="FFFF99"/>
            <w:noWrap/>
            <w:vAlign w:val="center"/>
            <w:hideMark/>
          </w:tcPr>
          <w:p w14:paraId="706D4C2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98,22</w:t>
            </w:r>
          </w:p>
        </w:tc>
        <w:tc>
          <w:tcPr>
            <w:tcW w:w="959" w:type="dxa"/>
            <w:tcBorders>
              <w:top w:val="nil"/>
              <w:left w:val="nil"/>
              <w:bottom w:val="single" w:sz="4" w:space="0" w:color="auto"/>
              <w:right w:val="single" w:sz="4" w:space="0" w:color="auto"/>
            </w:tcBorders>
            <w:shd w:val="clear" w:color="000000" w:fill="FFFF99"/>
            <w:noWrap/>
            <w:vAlign w:val="center"/>
            <w:hideMark/>
          </w:tcPr>
          <w:p w14:paraId="2C0EA48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48CA5902"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15C581A3"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550B10DF"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9301966"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3B3A4DDB"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Kranj</w:t>
            </w:r>
          </w:p>
        </w:tc>
        <w:tc>
          <w:tcPr>
            <w:tcW w:w="930" w:type="dxa"/>
            <w:tcBorders>
              <w:top w:val="nil"/>
              <w:left w:val="nil"/>
              <w:bottom w:val="single" w:sz="4" w:space="0" w:color="auto"/>
              <w:right w:val="single" w:sz="4" w:space="0" w:color="auto"/>
            </w:tcBorders>
            <w:noWrap/>
            <w:vAlign w:val="center"/>
            <w:hideMark/>
          </w:tcPr>
          <w:p w14:paraId="46C9ABF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67.047</w:t>
            </w:r>
          </w:p>
        </w:tc>
        <w:tc>
          <w:tcPr>
            <w:tcW w:w="880" w:type="dxa"/>
            <w:tcBorders>
              <w:top w:val="nil"/>
              <w:left w:val="nil"/>
              <w:bottom w:val="single" w:sz="4" w:space="0" w:color="auto"/>
              <w:right w:val="single" w:sz="4" w:space="0" w:color="auto"/>
            </w:tcBorders>
            <w:noWrap/>
            <w:vAlign w:val="center"/>
            <w:hideMark/>
          </w:tcPr>
          <w:p w14:paraId="41D701A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67.047</w:t>
            </w:r>
          </w:p>
        </w:tc>
        <w:tc>
          <w:tcPr>
            <w:tcW w:w="927" w:type="dxa"/>
            <w:tcBorders>
              <w:top w:val="nil"/>
              <w:left w:val="nil"/>
              <w:bottom w:val="single" w:sz="4" w:space="0" w:color="auto"/>
              <w:right w:val="single" w:sz="4" w:space="0" w:color="auto"/>
            </w:tcBorders>
            <w:noWrap/>
            <w:vAlign w:val="center"/>
            <w:hideMark/>
          </w:tcPr>
          <w:p w14:paraId="7067B5E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25,70</w:t>
            </w:r>
          </w:p>
        </w:tc>
        <w:tc>
          <w:tcPr>
            <w:tcW w:w="947" w:type="dxa"/>
            <w:tcBorders>
              <w:top w:val="nil"/>
              <w:left w:val="nil"/>
              <w:bottom w:val="single" w:sz="4" w:space="0" w:color="auto"/>
              <w:right w:val="single" w:sz="4" w:space="0" w:color="auto"/>
            </w:tcBorders>
            <w:noWrap/>
            <w:vAlign w:val="center"/>
            <w:hideMark/>
          </w:tcPr>
          <w:p w14:paraId="55BAC61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2.608,83</w:t>
            </w:r>
          </w:p>
        </w:tc>
        <w:tc>
          <w:tcPr>
            <w:tcW w:w="983" w:type="dxa"/>
            <w:tcBorders>
              <w:top w:val="nil"/>
              <w:left w:val="nil"/>
              <w:bottom w:val="single" w:sz="4" w:space="0" w:color="auto"/>
              <w:right w:val="single" w:sz="4" w:space="0" w:color="auto"/>
            </w:tcBorders>
            <w:noWrap/>
            <w:vAlign w:val="center"/>
            <w:hideMark/>
          </w:tcPr>
          <w:p w14:paraId="794D885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92,98</w:t>
            </w:r>
          </w:p>
        </w:tc>
        <w:tc>
          <w:tcPr>
            <w:tcW w:w="959" w:type="dxa"/>
            <w:tcBorders>
              <w:top w:val="nil"/>
              <w:left w:val="nil"/>
              <w:bottom w:val="single" w:sz="4" w:space="0" w:color="auto"/>
              <w:right w:val="single" w:sz="4" w:space="0" w:color="auto"/>
            </w:tcBorders>
            <w:noWrap/>
            <w:vAlign w:val="center"/>
            <w:hideMark/>
          </w:tcPr>
          <w:p w14:paraId="2E7354D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1,00</w:t>
            </w:r>
          </w:p>
        </w:tc>
        <w:tc>
          <w:tcPr>
            <w:tcW w:w="1236" w:type="dxa"/>
            <w:tcBorders>
              <w:top w:val="nil"/>
              <w:left w:val="nil"/>
              <w:bottom w:val="single" w:sz="4" w:space="0" w:color="auto"/>
              <w:right w:val="single" w:sz="4" w:space="0" w:color="auto"/>
            </w:tcBorders>
            <w:noWrap/>
            <w:vAlign w:val="center"/>
            <w:hideMark/>
          </w:tcPr>
          <w:p w14:paraId="198B2FB3"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BB1AD36"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3A4EB986"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3BE72F4"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454B6872"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Jesenice</w:t>
            </w:r>
          </w:p>
        </w:tc>
        <w:tc>
          <w:tcPr>
            <w:tcW w:w="930" w:type="dxa"/>
            <w:tcBorders>
              <w:top w:val="nil"/>
              <w:left w:val="nil"/>
              <w:bottom w:val="single" w:sz="4" w:space="0" w:color="auto"/>
              <w:right w:val="single" w:sz="4" w:space="0" w:color="auto"/>
            </w:tcBorders>
            <w:noWrap/>
            <w:vAlign w:val="center"/>
            <w:hideMark/>
          </w:tcPr>
          <w:p w14:paraId="78F2CA2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25.959</w:t>
            </w:r>
          </w:p>
        </w:tc>
        <w:tc>
          <w:tcPr>
            <w:tcW w:w="880" w:type="dxa"/>
            <w:tcBorders>
              <w:top w:val="nil"/>
              <w:left w:val="nil"/>
              <w:bottom w:val="single" w:sz="4" w:space="0" w:color="auto"/>
              <w:right w:val="single" w:sz="4" w:space="0" w:color="auto"/>
            </w:tcBorders>
            <w:noWrap/>
            <w:vAlign w:val="center"/>
            <w:hideMark/>
          </w:tcPr>
          <w:p w14:paraId="154169B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25.959</w:t>
            </w:r>
          </w:p>
        </w:tc>
        <w:tc>
          <w:tcPr>
            <w:tcW w:w="927" w:type="dxa"/>
            <w:tcBorders>
              <w:top w:val="nil"/>
              <w:left w:val="nil"/>
              <w:bottom w:val="single" w:sz="4" w:space="0" w:color="auto"/>
              <w:right w:val="single" w:sz="4" w:space="0" w:color="auto"/>
            </w:tcBorders>
            <w:noWrap/>
            <w:vAlign w:val="center"/>
            <w:hideMark/>
          </w:tcPr>
          <w:p w14:paraId="0980A88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11,50</w:t>
            </w:r>
          </w:p>
        </w:tc>
        <w:tc>
          <w:tcPr>
            <w:tcW w:w="947" w:type="dxa"/>
            <w:tcBorders>
              <w:top w:val="nil"/>
              <w:left w:val="nil"/>
              <w:bottom w:val="single" w:sz="4" w:space="0" w:color="auto"/>
              <w:right w:val="single" w:sz="4" w:space="0" w:color="auto"/>
            </w:tcBorders>
            <w:noWrap/>
            <w:vAlign w:val="center"/>
            <w:hideMark/>
          </w:tcPr>
          <w:p w14:paraId="27CD4AB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2.257,30</w:t>
            </w:r>
          </w:p>
        </w:tc>
        <w:tc>
          <w:tcPr>
            <w:tcW w:w="983" w:type="dxa"/>
            <w:tcBorders>
              <w:top w:val="nil"/>
              <w:left w:val="nil"/>
              <w:bottom w:val="single" w:sz="4" w:space="0" w:color="auto"/>
              <w:right w:val="single" w:sz="4" w:space="0" w:color="auto"/>
            </w:tcBorders>
            <w:noWrap/>
            <w:vAlign w:val="center"/>
            <w:hideMark/>
          </w:tcPr>
          <w:p w14:paraId="09B7E68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107,46</w:t>
            </w:r>
          </w:p>
        </w:tc>
        <w:tc>
          <w:tcPr>
            <w:tcW w:w="959" w:type="dxa"/>
            <w:tcBorders>
              <w:top w:val="nil"/>
              <w:left w:val="nil"/>
              <w:bottom w:val="single" w:sz="4" w:space="0" w:color="auto"/>
              <w:right w:val="single" w:sz="4" w:space="0" w:color="auto"/>
            </w:tcBorders>
            <w:noWrap/>
            <w:vAlign w:val="center"/>
            <w:hideMark/>
          </w:tcPr>
          <w:p w14:paraId="6F13D50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66DF9341"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2A210340"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4F86718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775E703D"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6C4CE0D7"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Radovljica</w:t>
            </w:r>
          </w:p>
        </w:tc>
        <w:tc>
          <w:tcPr>
            <w:tcW w:w="930" w:type="dxa"/>
            <w:tcBorders>
              <w:top w:val="nil"/>
              <w:left w:val="nil"/>
              <w:bottom w:val="single" w:sz="4" w:space="0" w:color="auto"/>
              <w:right w:val="single" w:sz="4" w:space="0" w:color="auto"/>
            </w:tcBorders>
            <w:noWrap/>
            <w:vAlign w:val="center"/>
            <w:hideMark/>
          </w:tcPr>
          <w:p w14:paraId="5C5A8F0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28.353</w:t>
            </w:r>
          </w:p>
        </w:tc>
        <w:tc>
          <w:tcPr>
            <w:tcW w:w="880" w:type="dxa"/>
            <w:tcBorders>
              <w:top w:val="nil"/>
              <w:left w:val="nil"/>
              <w:bottom w:val="single" w:sz="4" w:space="0" w:color="auto"/>
              <w:right w:val="single" w:sz="4" w:space="0" w:color="auto"/>
            </w:tcBorders>
            <w:noWrap/>
            <w:vAlign w:val="center"/>
            <w:hideMark/>
          </w:tcPr>
          <w:p w14:paraId="192D707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28.353</w:t>
            </w:r>
          </w:p>
        </w:tc>
        <w:tc>
          <w:tcPr>
            <w:tcW w:w="927" w:type="dxa"/>
            <w:tcBorders>
              <w:top w:val="nil"/>
              <w:left w:val="nil"/>
              <w:bottom w:val="single" w:sz="4" w:space="0" w:color="auto"/>
              <w:right w:val="single" w:sz="4" w:space="0" w:color="auto"/>
            </w:tcBorders>
            <w:noWrap/>
            <w:vAlign w:val="center"/>
            <w:hideMark/>
          </w:tcPr>
          <w:p w14:paraId="7F410B5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12,13</w:t>
            </w:r>
          </w:p>
        </w:tc>
        <w:tc>
          <w:tcPr>
            <w:tcW w:w="947" w:type="dxa"/>
            <w:tcBorders>
              <w:top w:val="nil"/>
              <w:left w:val="nil"/>
              <w:bottom w:val="single" w:sz="4" w:space="0" w:color="auto"/>
              <w:right w:val="single" w:sz="4" w:space="0" w:color="auto"/>
            </w:tcBorders>
            <w:noWrap/>
            <w:vAlign w:val="center"/>
            <w:hideMark/>
          </w:tcPr>
          <w:p w14:paraId="7D5C7DE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2.337,43</w:t>
            </w:r>
          </w:p>
        </w:tc>
        <w:tc>
          <w:tcPr>
            <w:tcW w:w="983" w:type="dxa"/>
            <w:tcBorders>
              <w:top w:val="nil"/>
              <w:left w:val="nil"/>
              <w:bottom w:val="single" w:sz="4" w:space="0" w:color="auto"/>
              <w:right w:val="single" w:sz="4" w:space="0" w:color="auto"/>
            </w:tcBorders>
            <w:noWrap/>
            <w:vAlign w:val="center"/>
            <w:hideMark/>
          </w:tcPr>
          <w:p w14:paraId="60566EB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103,78</w:t>
            </w:r>
          </w:p>
        </w:tc>
        <w:tc>
          <w:tcPr>
            <w:tcW w:w="959" w:type="dxa"/>
            <w:tcBorders>
              <w:top w:val="nil"/>
              <w:left w:val="nil"/>
              <w:bottom w:val="single" w:sz="4" w:space="0" w:color="auto"/>
              <w:right w:val="single" w:sz="4" w:space="0" w:color="auto"/>
            </w:tcBorders>
            <w:noWrap/>
            <w:vAlign w:val="center"/>
            <w:hideMark/>
          </w:tcPr>
          <w:p w14:paraId="6EE2490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1,00</w:t>
            </w:r>
          </w:p>
        </w:tc>
        <w:tc>
          <w:tcPr>
            <w:tcW w:w="1236" w:type="dxa"/>
            <w:tcBorders>
              <w:top w:val="nil"/>
              <w:left w:val="nil"/>
              <w:bottom w:val="single" w:sz="4" w:space="0" w:color="auto"/>
              <w:right w:val="single" w:sz="4" w:space="0" w:color="auto"/>
            </w:tcBorders>
            <w:noWrap/>
            <w:vAlign w:val="center"/>
            <w:hideMark/>
          </w:tcPr>
          <w:p w14:paraId="7A199179"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1EEC4AB"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7FFBBBB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w:t>
            </w:r>
          </w:p>
        </w:tc>
      </w:tr>
      <w:tr w:rsidR="00BE5D1E" w:rsidRPr="005E4BEA" w14:paraId="4E39C2E9"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7D04DD0D"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Škofja Loka</w:t>
            </w:r>
          </w:p>
        </w:tc>
        <w:tc>
          <w:tcPr>
            <w:tcW w:w="930" w:type="dxa"/>
            <w:tcBorders>
              <w:top w:val="nil"/>
              <w:left w:val="nil"/>
              <w:bottom w:val="single" w:sz="4" w:space="0" w:color="auto"/>
              <w:right w:val="single" w:sz="4" w:space="0" w:color="auto"/>
            </w:tcBorders>
            <w:noWrap/>
            <w:vAlign w:val="center"/>
            <w:hideMark/>
          </w:tcPr>
          <w:p w14:paraId="3EA1368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33.799</w:t>
            </w:r>
          </w:p>
        </w:tc>
        <w:tc>
          <w:tcPr>
            <w:tcW w:w="880" w:type="dxa"/>
            <w:tcBorders>
              <w:top w:val="nil"/>
              <w:left w:val="nil"/>
              <w:bottom w:val="single" w:sz="4" w:space="0" w:color="auto"/>
              <w:right w:val="single" w:sz="4" w:space="0" w:color="auto"/>
            </w:tcBorders>
            <w:noWrap/>
            <w:vAlign w:val="center"/>
            <w:hideMark/>
          </w:tcPr>
          <w:p w14:paraId="49B5CE2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33.799</w:t>
            </w:r>
          </w:p>
        </w:tc>
        <w:tc>
          <w:tcPr>
            <w:tcW w:w="927" w:type="dxa"/>
            <w:tcBorders>
              <w:top w:val="nil"/>
              <w:left w:val="nil"/>
              <w:bottom w:val="single" w:sz="4" w:space="0" w:color="auto"/>
              <w:right w:val="single" w:sz="4" w:space="0" w:color="auto"/>
            </w:tcBorders>
            <w:noWrap/>
            <w:vAlign w:val="center"/>
            <w:hideMark/>
          </w:tcPr>
          <w:p w14:paraId="5EB2AAB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13,80</w:t>
            </w:r>
          </w:p>
        </w:tc>
        <w:tc>
          <w:tcPr>
            <w:tcW w:w="947" w:type="dxa"/>
            <w:tcBorders>
              <w:top w:val="nil"/>
              <w:left w:val="nil"/>
              <w:bottom w:val="single" w:sz="4" w:space="0" w:color="auto"/>
              <w:right w:val="single" w:sz="4" w:space="0" w:color="auto"/>
            </w:tcBorders>
            <w:noWrap/>
            <w:vAlign w:val="center"/>
            <w:hideMark/>
          </w:tcPr>
          <w:p w14:paraId="074B6A8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2.449,20</w:t>
            </w:r>
          </w:p>
        </w:tc>
        <w:tc>
          <w:tcPr>
            <w:tcW w:w="983" w:type="dxa"/>
            <w:tcBorders>
              <w:top w:val="nil"/>
              <w:left w:val="nil"/>
              <w:bottom w:val="single" w:sz="4" w:space="0" w:color="auto"/>
              <w:right w:val="single" w:sz="4" w:space="0" w:color="auto"/>
            </w:tcBorders>
            <w:noWrap/>
            <w:vAlign w:val="center"/>
            <w:hideMark/>
          </w:tcPr>
          <w:p w14:paraId="734253D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99,04</w:t>
            </w:r>
          </w:p>
        </w:tc>
        <w:tc>
          <w:tcPr>
            <w:tcW w:w="959" w:type="dxa"/>
            <w:tcBorders>
              <w:top w:val="nil"/>
              <w:left w:val="nil"/>
              <w:bottom w:val="single" w:sz="4" w:space="0" w:color="auto"/>
              <w:right w:val="single" w:sz="4" w:space="0" w:color="auto"/>
            </w:tcBorders>
            <w:noWrap/>
            <w:vAlign w:val="center"/>
            <w:hideMark/>
          </w:tcPr>
          <w:p w14:paraId="5296818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1,20</w:t>
            </w:r>
          </w:p>
        </w:tc>
        <w:tc>
          <w:tcPr>
            <w:tcW w:w="1236" w:type="dxa"/>
            <w:tcBorders>
              <w:top w:val="nil"/>
              <w:left w:val="nil"/>
              <w:bottom w:val="single" w:sz="4" w:space="0" w:color="auto"/>
              <w:right w:val="single" w:sz="4" w:space="0" w:color="auto"/>
            </w:tcBorders>
            <w:noWrap/>
            <w:vAlign w:val="center"/>
            <w:hideMark/>
          </w:tcPr>
          <w:p w14:paraId="72F3AA3F"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8D7386A"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439BE1F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0,4</w:t>
            </w:r>
          </w:p>
        </w:tc>
      </w:tr>
      <w:tr w:rsidR="00BE5D1E" w:rsidRPr="005E4BEA" w14:paraId="225C54CE"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18F7453B"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Tržič</w:t>
            </w:r>
          </w:p>
        </w:tc>
        <w:tc>
          <w:tcPr>
            <w:tcW w:w="930" w:type="dxa"/>
            <w:tcBorders>
              <w:top w:val="nil"/>
              <w:left w:val="nil"/>
              <w:bottom w:val="single" w:sz="4" w:space="0" w:color="auto"/>
              <w:right w:val="single" w:sz="4" w:space="0" w:color="auto"/>
            </w:tcBorders>
            <w:noWrap/>
            <w:vAlign w:val="center"/>
            <w:hideMark/>
          </w:tcPr>
          <w:p w14:paraId="6127A11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12.371</w:t>
            </w:r>
          </w:p>
        </w:tc>
        <w:tc>
          <w:tcPr>
            <w:tcW w:w="880" w:type="dxa"/>
            <w:tcBorders>
              <w:top w:val="nil"/>
              <w:left w:val="nil"/>
              <w:bottom w:val="single" w:sz="4" w:space="0" w:color="auto"/>
              <w:right w:val="single" w:sz="4" w:space="0" w:color="auto"/>
            </w:tcBorders>
            <w:noWrap/>
            <w:vAlign w:val="center"/>
            <w:hideMark/>
          </w:tcPr>
          <w:p w14:paraId="485B626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12.371</w:t>
            </w:r>
          </w:p>
        </w:tc>
        <w:tc>
          <w:tcPr>
            <w:tcW w:w="927" w:type="dxa"/>
            <w:tcBorders>
              <w:top w:val="nil"/>
              <w:left w:val="nil"/>
              <w:bottom w:val="single" w:sz="4" w:space="0" w:color="auto"/>
              <w:right w:val="single" w:sz="4" w:space="0" w:color="auto"/>
            </w:tcBorders>
            <w:noWrap/>
            <w:vAlign w:val="center"/>
            <w:hideMark/>
          </w:tcPr>
          <w:p w14:paraId="74DA864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4,70</w:t>
            </w:r>
          </w:p>
        </w:tc>
        <w:tc>
          <w:tcPr>
            <w:tcW w:w="947" w:type="dxa"/>
            <w:tcBorders>
              <w:top w:val="nil"/>
              <w:left w:val="nil"/>
              <w:bottom w:val="single" w:sz="4" w:space="0" w:color="auto"/>
              <w:right w:val="single" w:sz="4" w:space="0" w:color="auto"/>
            </w:tcBorders>
            <w:noWrap/>
            <w:vAlign w:val="center"/>
            <w:hideMark/>
          </w:tcPr>
          <w:p w14:paraId="7E5DED2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2.632,13</w:t>
            </w:r>
          </w:p>
        </w:tc>
        <w:tc>
          <w:tcPr>
            <w:tcW w:w="983" w:type="dxa"/>
            <w:tcBorders>
              <w:top w:val="nil"/>
              <w:left w:val="nil"/>
              <w:bottom w:val="single" w:sz="4" w:space="0" w:color="auto"/>
              <w:right w:val="single" w:sz="4" w:space="0" w:color="auto"/>
            </w:tcBorders>
            <w:noWrap/>
            <w:vAlign w:val="center"/>
            <w:hideMark/>
          </w:tcPr>
          <w:p w14:paraId="745F637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92,16</w:t>
            </w:r>
          </w:p>
        </w:tc>
        <w:tc>
          <w:tcPr>
            <w:tcW w:w="959" w:type="dxa"/>
            <w:tcBorders>
              <w:top w:val="nil"/>
              <w:left w:val="nil"/>
              <w:bottom w:val="single" w:sz="4" w:space="0" w:color="auto"/>
              <w:right w:val="single" w:sz="4" w:space="0" w:color="auto"/>
            </w:tcBorders>
            <w:noWrap/>
            <w:vAlign w:val="center"/>
            <w:hideMark/>
          </w:tcPr>
          <w:p w14:paraId="0A77503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1,10</w:t>
            </w:r>
          </w:p>
        </w:tc>
        <w:tc>
          <w:tcPr>
            <w:tcW w:w="1236" w:type="dxa"/>
            <w:tcBorders>
              <w:top w:val="nil"/>
              <w:left w:val="nil"/>
              <w:bottom w:val="single" w:sz="4" w:space="0" w:color="auto"/>
              <w:right w:val="single" w:sz="4" w:space="0" w:color="auto"/>
            </w:tcBorders>
            <w:noWrap/>
            <w:vAlign w:val="center"/>
            <w:hideMark/>
          </w:tcPr>
          <w:p w14:paraId="1E4CA67F"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7D9C142D"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7BEEB78"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07EED74"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4B2E2020"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LJUBLJANA</w:t>
            </w:r>
          </w:p>
        </w:tc>
        <w:tc>
          <w:tcPr>
            <w:tcW w:w="930" w:type="dxa"/>
            <w:tcBorders>
              <w:top w:val="nil"/>
              <w:left w:val="nil"/>
              <w:bottom w:val="single" w:sz="4" w:space="0" w:color="auto"/>
              <w:right w:val="single" w:sz="4" w:space="0" w:color="auto"/>
            </w:tcBorders>
            <w:shd w:val="clear" w:color="000000" w:fill="FFFF99"/>
            <w:noWrap/>
            <w:vAlign w:val="center"/>
            <w:hideMark/>
          </w:tcPr>
          <w:p w14:paraId="43935BC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542.420,</w:t>
            </w:r>
          </w:p>
        </w:tc>
        <w:tc>
          <w:tcPr>
            <w:tcW w:w="880" w:type="dxa"/>
            <w:tcBorders>
              <w:top w:val="nil"/>
              <w:left w:val="nil"/>
              <w:bottom w:val="single" w:sz="4" w:space="0" w:color="auto"/>
              <w:right w:val="single" w:sz="4" w:space="0" w:color="auto"/>
            </w:tcBorders>
            <w:shd w:val="clear" w:color="000000" w:fill="FFFF99"/>
            <w:noWrap/>
            <w:vAlign w:val="center"/>
            <w:hideMark/>
          </w:tcPr>
          <w:p w14:paraId="073551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542.420,</w:t>
            </w:r>
          </w:p>
        </w:tc>
        <w:tc>
          <w:tcPr>
            <w:tcW w:w="927" w:type="dxa"/>
            <w:tcBorders>
              <w:top w:val="nil"/>
              <w:left w:val="nil"/>
              <w:bottom w:val="single" w:sz="4" w:space="0" w:color="auto"/>
              <w:right w:val="single" w:sz="4" w:space="0" w:color="auto"/>
            </w:tcBorders>
            <w:shd w:val="clear" w:color="000000" w:fill="FFFF99"/>
            <w:noWrap/>
            <w:vAlign w:val="center"/>
            <w:hideMark/>
          </w:tcPr>
          <w:p w14:paraId="237F35B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210,23</w:t>
            </w:r>
          </w:p>
        </w:tc>
        <w:tc>
          <w:tcPr>
            <w:tcW w:w="947" w:type="dxa"/>
            <w:tcBorders>
              <w:top w:val="nil"/>
              <w:left w:val="nil"/>
              <w:bottom w:val="single" w:sz="4" w:space="0" w:color="auto"/>
              <w:right w:val="single" w:sz="4" w:space="0" w:color="auto"/>
            </w:tcBorders>
            <w:shd w:val="clear" w:color="000000" w:fill="FFFF99"/>
            <w:noWrap/>
            <w:vAlign w:val="center"/>
            <w:hideMark/>
          </w:tcPr>
          <w:p w14:paraId="623CEB5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2.580,17</w:t>
            </w:r>
          </w:p>
        </w:tc>
        <w:tc>
          <w:tcPr>
            <w:tcW w:w="983" w:type="dxa"/>
            <w:tcBorders>
              <w:top w:val="nil"/>
              <w:left w:val="nil"/>
              <w:bottom w:val="single" w:sz="4" w:space="0" w:color="auto"/>
              <w:right w:val="single" w:sz="4" w:space="0" w:color="auto"/>
            </w:tcBorders>
            <w:shd w:val="clear" w:color="000000" w:fill="FFFF99"/>
            <w:noWrap/>
            <w:vAlign w:val="center"/>
            <w:hideMark/>
          </w:tcPr>
          <w:p w14:paraId="561D99C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94,02</w:t>
            </w:r>
          </w:p>
        </w:tc>
        <w:tc>
          <w:tcPr>
            <w:tcW w:w="959" w:type="dxa"/>
            <w:tcBorders>
              <w:top w:val="nil"/>
              <w:left w:val="nil"/>
              <w:bottom w:val="single" w:sz="4" w:space="0" w:color="auto"/>
              <w:right w:val="single" w:sz="4" w:space="0" w:color="auto"/>
            </w:tcBorders>
            <w:shd w:val="clear" w:color="000000" w:fill="FFFF99"/>
            <w:noWrap/>
            <w:vAlign w:val="center"/>
            <w:hideMark/>
          </w:tcPr>
          <w:p w14:paraId="48A28A4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1EA02EE6"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0233E442"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1BC85C05"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1FA24425"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5068707A"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Ljubljana</w:t>
            </w:r>
          </w:p>
        </w:tc>
        <w:tc>
          <w:tcPr>
            <w:tcW w:w="930" w:type="dxa"/>
            <w:tcBorders>
              <w:top w:val="nil"/>
              <w:left w:val="nil"/>
              <w:bottom w:val="single" w:sz="4" w:space="0" w:color="auto"/>
              <w:right w:val="single" w:sz="4" w:space="0" w:color="auto"/>
            </w:tcBorders>
            <w:noWrap/>
            <w:vAlign w:val="center"/>
            <w:hideMark/>
          </w:tcPr>
          <w:p w14:paraId="51AFE38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297.071</w:t>
            </w:r>
          </w:p>
        </w:tc>
        <w:tc>
          <w:tcPr>
            <w:tcW w:w="880" w:type="dxa"/>
            <w:tcBorders>
              <w:top w:val="nil"/>
              <w:left w:val="nil"/>
              <w:bottom w:val="single" w:sz="4" w:space="0" w:color="auto"/>
              <w:right w:val="single" w:sz="4" w:space="0" w:color="auto"/>
            </w:tcBorders>
            <w:noWrap/>
            <w:vAlign w:val="center"/>
            <w:hideMark/>
          </w:tcPr>
          <w:p w14:paraId="63B9229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297.071</w:t>
            </w:r>
          </w:p>
        </w:tc>
        <w:tc>
          <w:tcPr>
            <w:tcW w:w="927" w:type="dxa"/>
            <w:tcBorders>
              <w:top w:val="nil"/>
              <w:left w:val="nil"/>
              <w:bottom w:val="single" w:sz="4" w:space="0" w:color="auto"/>
              <w:right w:val="single" w:sz="4" w:space="0" w:color="auto"/>
            </w:tcBorders>
            <w:noWrap/>
            <w:vAlign w:val="center"/>
            <w:hideMark/>
          </w:tcPr>
          <w:p w14:paraId="506FCAB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117,29</w:t>
            </w:r>
          </w:p>
        </w:tc>
        <w:tc>
          <w:tcPr>
            <w:tcW w:w="947" w:type="dxa"/>
            <w:tcBorders>
              <w:top w:val="nil"/>
              <w:left w:val="nil"/>
              <w:bottom w:val="single" w:sz="4" w:space="0" w:color="auto"/>
              <w:right w:val="single" w:sz="4" w:space="0" w:color="auto"/>
            </w:tcBorders>
            <w:noWrap/>
            <w:vAlign w:val="center"/>
            <w:hideMark/>
          </w:tcPr>
          <w:p w14:paraId="6BC00D7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2.532,87</w:t>
            </w:r>
          </w:p>
        </w:tc>
        <w:tc>
          <w:tcPr>
            <w:tcW w:w="983" w:type="dxa"/>
            <w:tcBorders>
              <w:top w:val="nil"/>
              <w:left w:val="nil"/>
              <w:bottom w:val="single" w:sz="4" w:space="0" w:color="auto"/>
              <w:right w:val="single" w:sz="4" w:space="0" w:color="auto"/>
            </w:tcBorders>
            <w:noWrap/>
            <w:vAlign w:val="center"/>
            <w:hideMark/>
          </w:tcPr>
          <w:p w14:paraId="41D08EC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95,77</w:t>
            </w:r>
          </w:p>
        </w:tc>
        <w:tc>
          <w:tcPr>
            <w:tcW w:w="959" w:type="dxa"/>
            <w:tcBorders>
              <w:top w:val="nil"/>
              <w:left w:val="nil"/>
              <w:bottom w:val="single" w:sz="4" w:space="0" w:color="auto"/>
              <w:right w:val="single" w:sz="4" w:space="0" w:color="auto"/>
            </w:tcBorders>
            <w:noWrap/>
            <w:vAlign w:val="center"/>
            <w:hideMark/>
          </w:tcPr>
          <w:p w14:paraId="7902435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1,64</w:t>
            </w:r>
          </w:p>
        </w:tc>
        <w:tc>
          <w:tcPr>
            <w:tcW w:w="1236" w:type="dxa"/>
            <w:tcBorders>
              <w:top w:val="nil"/>
              <w:left w:val="nil"/>
              <w:bottom w:val="single" w:sz="4" w:space="0" w:color="auto"/>
              <w:right w:val="single" w:sz="4" w:space="0" w:color="auto"/>
            </w:tcBorders>
            <w:noWrap/>
            <w:vAlign w:val="center"/>
            <w:hideMark/>
          </w:tcPr>
          <w:p w14:paraId="66DDE1F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693231F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45B3D94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0,31</w:t>
            </w:r>
          </w:p>
        </w:tc>
      </w:tr>
      <w:tr w:rsidR="00BE5D1E" w:rsidRPr="005E4BEA" w14:paraId="76E22EBD"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F1CF564"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Cerknica</w:t>
            </w:r>
          </w:p>
        </w:tc>
        <w:tc>
          <w:tcPr>
            <w:tcW w:w="930" w:type="dxa"/>
            <w:tcBorders>
              <w:top w:val="nil"/>
              <w:left w:val="nil"/>
              <w:bottom w:val="single" w:sz="4" w:space="0" w:color="auto"/>
              <w:right w:val="single" w:sz="4" w:space="0" w:color="auto"/>
            </w:tcBorders>
            <w:noWrap/>
            <w:vAlign w:val="center"/>
            <w:hideMark/>
          </w:tcPr>
          <w:p w14:paraId="04FECEC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13.847</w:t>
            </w:r>
          </w:p>
        </w:tc>
        <w:tc>
          <w:tcPr>
            <w:tcW w:w="880" w:type="dxa"/>
            <w:tcBorders>
              <w:top w:val="nil"/>
              <w:left w:val="nil"/>
              <w:bottom w:val="single" w:sz="4" w:space="0" w:color="auto"/>
              <w:right w:val="single" w:sz="4" w:space="0" w:color="auto"/>
            </w:tcBorders>
            <w:noWrap/>
            <w:vAlign w:val="center"/>
            <w:hideMark/>
          </w:tcPr>
          <w:p w14:paraId="3E4F6CC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13.847</w:t>
            </w:r>
          </w:p>
        </w:tc>
        <w:tc>
          <w:tcPr>
            <w:tcW w:w="927" w:type="dxa"/>
            <w:tcBorders>
              <w:top w:val="nil"/>
              <w:left w:val="nil"/>
              <w:bottom w:val="single" w:sz="4" w:space="0" w:color="auto"/>
              <w:right w:val="single" w:sz="4" w:space="0" w:color="auto"/>
            </w:tcBorders>
            <w:noWrap/>
            <w:vAlign w:val="center"/>
            <w:hideMark/>
          </w:tcPr>
          <w:p w14:paraId="080CE8E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5,14</w:t>
            </w:r>
          </w:p>
        </w:tc>
        <w:tc>
          <w:tcPr>
            <w:tcW w:w="947" w:type="dxa"/>
            <w:tcBorders>
              <w:top w:val="nil"/>
              <w:left w:val="nil"/>
              <w:bottom w:val="single" w:sz="4" w:space="0" w:color="auto"/>
              <w:right w:val="single" w:sz="4" w:space="0" w:color="auto"/>
            </w:tcBorders>
            <w:noWrap/>
            <w:vAlign w:val="center"/>
            <w:hideMark/>
          </w:tcPr>
          <w:p w14:paraId="724EF0B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2.693,97</w:t>
            </w:r>
          </w:p>
        </w:tc>
        <w:tc>
          <w:tcPr>
            <w:tcW w:w="983" w:type="dxa"/>
            <w:tcBorders>
              <w:top w:val="nil"/>
              <w:left w:val="nil"/>
              <w:bottom w:val="single" w:sz="4" w:space="0" w:color="auto"/>
              <w:right w:val="single" w:sz="4" w:space="0" w:color="auto"/>
            </w:tcBorders>
            <w:noWrap/>
            <w:vAlign w:val="center"/>
            <w:hideMark/>
          </w:tcPr>
          <w:p w14:paraId="59760C7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90,04</w:t>
            </w:r>
          </w:p>
        </w:tc>
        <w:tc>
          <w:tcPr>
            <w:tcW w:w="959" w:type="dxa"/>
            <w:tcBorders>
              <w:top w:val="nil"/>
              <w:left w:val="nil"/>
              <w:bottom w:val="single" w:sz="4" w:space="0" w:color="auto"/>
              <w:right w:val="single" w:sz="4" w:space="0" w:color="auto"/>
            </w:tcBorders>
            <w:noWrap/>
            <w:vAlign w:val="center"/>
            <w:hideMark/>
          </w:tcPr>
          <w:p w14:paraId="20C976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6BCECA0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7728DB6F"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75772563"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BD2B59D"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5E27F887"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Domžale</w:t>
            </w:r>
          </w:p>
        </w:tc>
        <w:tc>
          <w:tcPr>
            <w:tcW w:w="930" w:type="dxa"/>
            <w:tcBorders>
              <w:top w:val="nil"/>
              <w:left w:val="nil"/>
              <w:bottom w:val="single" w:sz="4" w:space="0" w:color="auto"/>
              <w:right w:val="single" w:sz="4" w:space="0" w:color="auto"/>
            </w:tcBorders>
            <w:noWrap/>
            <w:vAlign w:val="center"/>
            <w:hideMark/>
          </w:tcPr>
          <w:p w14:paraId="3E76343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47.496</w:t>
            </w:r>
          </w:p>
        </w:tc>
        <w:tc>
          <w:tcPr>
            <w:tcW w:w="880" w:type="dxa"/>
            <w:tcBorders>
              <w:top w:val="nil"/>
              <w:left w:val="nil"/>
              <w:bottom w:val="single" w:sz="4" w:space="0" w:color="auto"/>
              <w:right w:val="single" w:sz="4" w:space="0" w:color="auto"/>
            </w:tcBorders>
            <w:noWrap/>
            <w:vAlign w:val="center"/>
            <w:hideMark/>
          </w:tcPr>
          <w:p w14:paraId="57BE5F1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47.496</w:t>
            </w:r>
          </w:p>
        </w:tc>
        <w:tc>
          <w:tcPr>
            <w:tcW w:w="927" w:type="dxa"/>
            <w:tcBorders>
              <w:top w:val="nil"/>
              <w:left w:val="nil"/>
              <w:bottom w:val="single" w:sz="4" w:space="0" w:color="auto"/>
              <w:right w:val="single" w:sz="4" w:space="0" w:color="auto"/>
            </w:tcBorders>
            <w:noWrap/>
            <w:vAlign w:val="center"/>
            <w:hideMark/>
          </w:tcPr>
          <w:p w14:paraId="3D532D9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17,44</w:t>
            </w:r>
          </w:p>
        </w:tc>
        <w:tc>
          <w:tcPr>
            <w:tcW w:w="947" w:type="dxa"/>
            <w:tcBorders>
              <w:top w:val="nil"/>
              <w:left w:val="nil"/>
              <w:bottom w:val="single" w:sz="4" w:space="0" w:color="auto"/>
              <w:right w:val="single" w:sz="4" w:space="0" w:color="auto"/>
            </w:tcBorders>
            <w:noWrap/>
            <w:vAlign w:val="center"/>
            <w:hideMark/>
          </w:tcPr>
          <w:p w14:paraId="3B095FE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2.723,39</w:t>
            </w:r>
          </w:p>
        </w:tc>
        <w:tc>
          <w:tcPr>
            <w:tcW w:w="983" w:type="dxa"/>
            <w:tcBorders>
              <w:top w:val="nil"/>
              <w:left w:val="nil"/>
              <w:bottom w:val="single" w:sz="4" w:space="0" w:color="auto"/>
              <w:right w:val="single" w:sz="4" w:space="0" w:color="auto"/>
            </w:tcBorders>
            <w:noWrap/>
            <w:vAlign w:val="center"/>
            <w:hideMark/>
          </w:tcPr>
          <w:p w14:paraId="71B0535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89,07</w:t>
            </w:r>
          </w:p>
        </w:tc>
        <w:tc>
          <w:tcPr>
            <w:tcW w:w="959" w:type="dxa"/>
            <w:tcBorders>
              <w:top w:val="nil"/>
              <w:left w:val="nil"/>
              <w:bottom w:val="single" w:sz="4" w:space="0" w:color="auto"/>
              <w:right w:val="single" w:sz="4" w:space="0" w:color="auto"/>
            </w:tcBorders>
            <w:noWrap/>
            <w:vAlign w:val="center"/>
            <w:hideMark/>
          </w:tcPr>
          <w:p w14:paraId="147B171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0,25</w:t>
            </w:r>
          </w:p>
        </w:tc>
        <w:tc>
          <w:tcPr>
            <w:tcW w:w="1236" w:type="dxa"/>
            <w:tcBorders>
              <w:top w:val="nil"/>
              <w:left w:val="nil"/>
              <w:bottom w:val="single" w:sz="4" w:space="0" w:color="auto"/>
              <w:right w:val="single" w:sz="4" w:space="0" w:color="auto"/>
            </w:tcBorders>
            <w:shd w:val="clear" w:color="000000" w:fill="EDEDED"/>
            <w:noWrap/>
            <w:vAlign w:val="center"/>
            <w:hideMark/>
          </w:tcPr>
          <w:p w14:paraId="5130997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2,14</w:t>
            </w:r>
          </w:p>
        </w:tc>
        <w:tc>
          <w:tcPr>
            <w:tcW w:w="855" w:type="dxa"/>
            <w:tcBorders>
              <w:top w:val="nil"/>
              <w:left w:val="nil"/>
              <w:bottom w:val="single" w:sz="4" w:space="0" w:color="auto"/>
              <w:right w:val="nil"/>
            </w:tcBorders>
            <w:shd w:val="clear" w:color="000000" w:fill="EDEDED"/>
            <w:noWrap/>
            <w:vAlign w:val="bottom"/>
            <w:hideMark/>
          </w:tcPr>
          <w:p w14:paraId="507BCC69"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EDEDED"/>
            <w:noWrap/>
            <w:vAlign w:val="bottom"/>
            <w:hideMark/>
          </w:tcPr>
          <w:p w14:paraId="385DA6B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6AB38B04"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5D8E4C22"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Grosuplje</w:t>
            </w:r>
          </w:p>
        </w:tc>
        <w:tc>
          <w:tcPr>
            <w:tcW w:w="930" w:type="dxa"/>
            <w:tcBorders>
              <w:top w:val="nil"/>
              <w:left w:val="nil"/>
              <w:bottom w:val="single" w:sz="4" w:space="0" w:color="auto"/>
              <w:right w:val="single" w:sz="4" w:space="0" w:color="auto"/>
            </w:tcBorders>
            <w:noWrap/>
            <w:vAlign w:val="center"/>
            <w:hideMark/>
          </w:tcPr>
          <w:p w14:paraId="370B972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33.564</w:t>
            </w:r>
          </w:p>
        </w:tc>
        <w:tc>
          <w:tcPr>
            <w:tcW w:w="880" w:type="dxa"/>
            <w:tcBorders>
              <w:top w:val="nil"/>
              <w:left w:val="nil"/>
              <w:bottom w:val="single" w:sz="4" w:space="0" w:color="auto"/>
              <w:right w:val="single" w:sz="4" w:space="0" w:color="auto"/>
            </w:tcBorders>
            <w:noWrap/>
            <w:vAlign w:val="center"/>
            <w:hideMark/>
          </w:tcPr>
          <w:p w14:paraId="52B3AFF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33.564</w:t>
            </w:r>
          </w:p>
        </w:tc>
        <w:tc>
          <w:tcPr>
            <w:tcW w:w="927" w:type="dxa"/>
            <w:tcBorders>
              <w:top w:val="nil"/>
              <w:left w:val="nil"/>
              <w:bottom w:val="single" w:sz="4" w:space="0" w:color="auto"/>
              <w:right w:val="single" w:sz="4" w:space="0" w:color="auto"/>
            </w:tcBorders>
            <w:noWrap/>
            <w:vAlign w:val="center"/>
            <w:hideMark/>
          </w:tcPr>
          <w:p w14:paraId="5272013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11,94</w:t>
            </w:r>
          </w:p>
        </w:tc>
        <w:tc>
          <w:tcPr>
            <w:tcW w:w="947" w:type="dxa"/>
            <w:tcBorders>
              <w:top w:val="nil"/>
              <w:left w:val="nil"/>
              <w:bottom w:val="single" w:sz="4" w:space="0" w:color="auto"/>
              <w:right w:val="single" w:sz="4" w:space="0" w:color="auto"/>
            </w:tcBorders>
            <w:noWrap/>
            <w:vAlign w:val="center"/>
            <w:hideMark/>
          </w:tcPr>
          <w:p w14:paraId="7AA5E2E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2.811,06</w:t>
            </w:r>
          </w:p>
        </w:tc>
        <w:tc>
          <w:tcPr>
            <w:tcW w:w="983" w:type="dxa"/>
            <w:tcBorders>
              <w:top w:val="nil"/>
              <w:left w:val="nil"/>
              <w:bottom w:val="single" w:sz="4" w:space="0" w:color="auto"/>
              <w:right w:val="single" w:sz="4" w:space="0" w:color="auto"/>
            </w:tcBorders>
            <w:noWrap/>
            <w:vAlign w:val="center"/>
            <w:hideMark/>
          </w:tcPr>
          <w:p w14:paraId="48FE0FF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86,29</w:t>
            </w:r>
          </w:p>
        </w:tc>
        <w:tc>
          <w:tcPr>
            <w:tcW w:w="959" w:type="dxa"/>
            <w:tcBorders>
              <w:top w:val="nil"/>
              <w:left w:val="nil"/>
              <w:bottom w:val="single" w:sz="4" w:space="0" w:color="auto"/>
              <w:right w:val="single" w:sz="4" w:space="0" w:color="auto"/>
            </w:tcBorders>
            <w:noWrap/>
            <w:vAlign w:val="center"/>
            <w:hideMark/>
          </w:tcPr>
          <w:p w14:paraId="55B7F13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0,81</w:t>
            </w:r>
          </w:p>
        </w:tc>
        <w:tc>
          <w:tcPr>
            <w:tcW w:w="1236" w:type="dxa"/>
            <w:tcBorders>
              <w:top w:val="nil"/>
              <w:left w:val="nil"/>
              <w:bottom w:val="single" w:sz="4" w:space="0" w:color="auto"/>
              <w:right w:val="single" w:sz="4" w:space="0" w:color="auto"/>
            </w:tcBorders>
            <w:shd w:val="clear" w:color="000000" w:fill="EDEDED"/>
            <w:noWrap/>
            <w:vAlign w:val="center"/>
            <w:hideMark/>
          </w:tcPr>
          <w:p w14:paraId="0CADAD7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1,90</w:t>
            </w:r>
          </w:p>
        </w:tc>
        <w:tc>
          <w:tcPr>
            <w:tcW w:w="855" w:type="dxa"/>
            <w:tcBorders>
              <w:top w:val="nil"/>
              <w:left w:val="nil"/>
              <w:bottom w:val="single" w:sz="4" w:space="0" w:color="auto"/>
              <w:right w:val="nil"/>
            </w:tcBorders>
            <w:shd w:val="clear" w:color="000000" w:fill="EDEDED"/>
            <w:noWrap/>
            <w:vAlign w:val="bottom"/>
            <w:hideMark/>
          </w:tcPr>
          <w:p w14:paraId="7DE36F16"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EDEDED"/>
            <w:noWrap/>
            <w:vAlign w:val="bottom"/>
            <w:hideMark/>
          </w:tcPr>
          <w:p w14:paraId="1929913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w:t>
            </w:r>
          </w:p>
        </w:tc>
      </w:tr>
      <w:tr w:rsidR="00BE5D1E" w:rsidRPr="005E4BEA" w14:paraId="457ED8DF"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04E91B95"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Hrastnik</w:t>
            </w:r>
          </w:p>
        </w:tc>
        <w:tc>
          <w:tcPr>
            <w:tcW w:w="930" w:type="dxa"/>
            <w:tcBorders>
              <w:top w:val="nil"/>
              <w:left w:val="nil"/>
              <w:bottom w:val="single" w:sz="4" w:space="0" w:color="auto"/>
              <w:right w:val="single" w:sz="4" w:space="0" w:color="auto"/>
            </w:tcBorders>
            <w:noWrap/>
            <w:vAlign w:val="center"/>
            <w:hideMark/>
          </w:tcPr>
          <w:p w14:paraId="7DD3D1A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7.717</w:t>
            </w:r>
          </w:p>
        </w:tc>
        <w:tc>
          <w:tcPr>
            <w:tcW w:w="880" w:type="dxa"/>
            <w:tcBorders>
              <w:top w:val="nil"/>
              <w:left w:val="nil"/>
              <w:bottom w:val="single" w:sz="4" w:space="0" w:color="auto"/>
              <w:right w:val="single" w:sz="4" w:space="0" w:color="auto"/>
            </w:tcBorders>
            <w:noWrap/>
            <w:vAlign w:val="center"/>
            <w:hideMark/>
          </w:tcPr>
          <w:p w14:paraId="421F12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7.717</w:t>
            </w:r>
          </w:p>
        </w:tc>
        <w:tc>
          <w:tcPr>
            <w:tcW w:w="927" w:type="dxa"/>
            <w:tcBorders>
              <w:top w:val="nil"/>
              <w:left w:val="nil"/>
              <w:bottom w:val="single" w:sz="4" w:space="0" w:color="auto"/>
              <w:right w:val="single" w:sz="4" w:space="0" w:color="auto"/>
            </w:tcBorders>
            <w:noWrap/>
            <w:vAlign w:val="center"/>
            <w:hideMark/>
          </w:tcPr>
          <w:p w14:paraId="3D162EC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4,30</w:t>
            </w:r>
          </w:p>
        </w:tc>
        <w:tc>
          <w:tcPr>
            <w:tcW w:w="947" w:type="dxa"/>
            <w:tcBorders>
              <w:top w:val="nil"/>
              <w:left w:val="nil"/>
              <w:bottom w:val="single" w:sz="4" w:space="0" w:color="auto"/>
              <w:right w:val="single" w:sz="4" w:space="0" w:color="auto"/>
            </w:tcBorders>
            <w:noWrap/>
            <w:vAlign w:val="center"/>
            <w:hideMark/>
          </w:tcPr>
          <w:p w14:paraId="170DD73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1.794,65</w:t>
            </w:r>
          </w:p>
        </w:tc>
        <w:tc>
          <w:tcPr>
            <w:tcW w:w="983" w:type="dxa"/>
            <w:tcBorders>
              <w:top w:val="nil"/>
              <w:left w:val="nil"/>
              <w:bottom w:val="single" w:sz="4" w:space="0" w:color="auto"/>
              <w:right w:val="single" w:sz="4" w:space="0" w:color="auto"/>
            </w:tcBorders>
            <w:noWrap/>
            <w:vAlign w:val="center"/>
            <w:hideMark/>
          </w:tcPr>
          <w:p w14:paraId="090759E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135,17</w:t>
            </w:r>
          </w:p>
        </w:tc>
        <w:tc>
          <w:tcPr>
            <w:tcW w:w="959" w:type="dxa"/>
            <w:tcBorders>
              <w:top w:val="nil"/>
              <w:left w:val="nil"/>
              <w:bottom w:val="single" w:sz="4" w:space="0" w:color="auto"/>
              <w:right w:val="single" w:sz="4" w:space="0" w:color="auto"/>
            </w:tcBorders>
            <w:noWrap/>
            <w:vAlign w:val="center"/>
            <w:hideMark/>
          </w:tcPr>
          <w:p w14:paraId="7A1036A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5B0E6330"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52000845"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64A251E"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0936033D"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E52CF36"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Idrija</w:t>
            </w:r>
          </w:p>
        </w:tc>
        <w:tc>
          <w:tcPr>
            <w:tcW w:w="930" w:type="dxa"/>
            <w:tcBorders>
              <w:top w:val="nil"/>
              <w:left w:val="nil"/>
              <w:bottom w:val="single" w:sz="4" w:space="0" w:color="auto"/>
              <w:right w:val="single" w:sz="4" w:space="0" w:color="auto"/>
            </w:tcBorders>
            <w:noWrap/>
            <w:vAlign w:val="center"/>
            <w:hideMark/>
          </w:tcPr>
          <w:p w14:paraId="39E4092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13.572</w:t>
            </w:r>
          </w:p>
        </w:tc>
        <w:tc>
          <w:tcPr>
            <w:tcW w:w="880" w:type="dxa"/>
            <w:tcBorders>
              <w:top w:val="nil"/>
              <w:left w:val="nil"/>
              <w:bottom w:val="single" w:sz="4" w:space="0" w:color="auto"/>
              <w:right w:val="single" w:sz="4" w:space="0" w:color="auto"/>
            </w:tcBorders>
            <w:noWrap/>
            <w:vAlign w:val="center"/>
            <w:hideMark/>
          </w:tcPr>
          <w:p w14:paraId="7C411D3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13.572</w:t>
            </w:r>
          </w:p>
        </w:tc>
        <w:tc>
          <w:tcPr>
            <w:tcW w:w="927" w:type="dxa"/>
            <w:tcBorders>
              <w:top w:val="nil"/>
              <w:left w:val="nil"/>
              <w:bottom w:val="single" w:sz="4" w:space="0" w:color="auto"/>
              <w:right w:val="single" w:sz="4" w:space="0" w:color="auto"/>
            </w:tcBorders>
            <w:noWrap/>
            <w:vAlign w:val="center"/>
            <w:hideMark/>
          </w:tcPr>
          <w:p w14:paraId="690BFD8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4,83</w:t>
            </w:r>
          </w:p>
        </w:tc>
        <w:tc>
          <w:tcPr>
            <w:tcW w:w="947" w:type="dxa"/>
            <w:tcBorders>
              <w:top w:val="nil"/>
              <w:left w:val="nil"/>
              <w:bottom w:val="single" w:sz="4" w:space="0" w:color="auto"/>
              <w:right w:val="single" w:sz="4" w:space="0" w:color="auto"/>
            </w:tcBorders>
            <w:noWrap/>
            <w:vAlign w:val="center"/>
            <w:hideMark/>
          </w:tcPr>
          <w:p w14:paraId="0C0A502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2.809,94</w:t>
            </w:r>
          </w:p>
        </w:tc>
        <w:tc>
          <w:tcPr>
            <w:tcW w:w="983" w:type="dxa"/>
            <w:tcBorders>
              <w:top w:val="nil"/>
              <w:left w:val="nil"/>
              <w:bottom w:val="single" w:sz="4" w:space="0" w:color="auto"/>
              <w:right w:val="single" w:sz="4" w:space="0" w:color="auto"/>
            </w:tcBorders>
            <w:noWrap/>
            <w:vAlign w:val="center"/>
            <w:hideMark/>
          </w:tcPr>
          <w:p w14:paraId="02B1CAC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86,33</w:t>
            </w:r>
          </w:p>
        </w:tc>
        <w:tc>
          <w:tcPr>
            <w:tcW w:w="959" w:type="dxa"/>
            <w:tcBorders>
              <w:top w:val="nil"/>
              <w:left w:val="nil"/>
              <w:bottom w:val="single" w:sz="4" w:space="0" w:color="auto"/>
              <w:right w:val="single" w:sz="4" w:space="0" w:color="auto"/>
            </w:tcBorders>
            <w:noWrap/>
            <w:vAlign w:val="center"/>
            <w:hideMark/>
          </w:tcPr>
          <w:p w14:paraId="79BCE94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5F4DBFA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0,76</w:t>
            </w:r>
          </w:p>
        </w:tc>
        <w:tc>
          <w:tcPr>
            <w:tcW w:w="855" w:type="dxa"/>
            <w:tcBorders>
              <w:top w:val="nil"/>
              <w:left w:val="nil"/>
              <w:bottom w:val="single" w:sz="4" w:space="0" w:color="auto"/>
              <w:right w:val="nil"/>
            </w:tcBorders>
            <w:noWrap/>
            <w:vAlign w:val="bottom"/>
            <w:hideMark/>
          </w:tcPr>
          <w:p w14:paraId="44BE5471"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54BA46AB"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6FEC020"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7826EAF6"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Kamnik</w:t>
            </w:r>
          </w:p>
        </w:tc>
        <w:tc>
          <w:tcPr>
            <w:tcW w:w="930" w:type="dxa"/>
            <w:tcBorders>
              <w:top w:val="nil"/>
              <w:left w:val="nil"/>
              <w:bottom w:val="single" w:sz="4" w:space="0" w:color="auto"/>
              <w:right w:val="single" w:sz="4" w:space="0" w:color="auto"/>
            </w:tcBorders>
            <w:noWrap/>
            <w:vAlign w:val="center"/>
            <w:hideMark/>
          </w:tcPr>
          <w:p w14:paraId="0810DB3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28.724</w:t>
            </w:r>
          </w:p>
        </w:tc>
        <w:tc>
          <w:tcPr>
            <w:tcW w:w="880" w:type="dxa"/>
            <w:tcBorders>
              <w:top w:val="nil"/>
              <w:left w:val="nil"/>
              <w:bottom w:val="single" w:sz="4" w:space="0" w:color="auto"/>
              <w:right w:val="single" w:sz="4" w:space="0" w:color="auto"/>
            </w:tcBorders>
            <w:noWrap/>
            <w:vAlign w:val="center"/>
            <w:hideMark/>
          </w:tcPr>
          <w:p w14:paraId="09B6FD4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28.724</w:t>
            </w:r>
          </w:p>
        </w:tc>
        <w:tc>
          <w:tcPr>
            <w:tcW w:w="927" w:type="dxa"/>
            <w:tcBorders>
              <w:top w:val="nil"/>
              <w:left w:val="nil"/>
              <w:bottom w:val="single" w:sz="4" w:space="0" w:color="auto"/>
              <w:right w:val="single" w:sz="4" w:space="0" w:color="auto"/>
            </w:tcBorders>
            <w:noWrap/>
            <w:vAlign w:val="center"/>
            <w:hideMark/>
          </w:tcPr>
          <w:p w14:paraId="4C1FC2B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9,84</w:t>
            </w:r>
          </w:p>
        </w:tc>
        <w:tc>
          <w:tcPr>
            <w:tcW w:w="947" w:type="dxa"/>
            <w:tcBorders>
              <w:top w:val="nil"/>
              <w:left w:val="nil"/>
              <w:bottom w:val="single" w:sz="4" w:space="0" w:color="auto"/>
              <w:right w:val="single" w:sz="4" w:space="0" w:color="auto"/>
            </w:tcBorders>
            <w:noWrap/>
            <w:vAlign w:val="center"/>
            <w:hideMark/>
          </w:tcPr>
          <w:p w14:paraId="797DE79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2.919,11</w:t>
            </w:r>
          </w:p>
        </w:tc>
        <w:tc>
          <w:tcPr>
            <w:tcW w:w="983" w:type="dxa"/>
            <w:tcBorders>
              <w:top w:val="nil"/>
              <w:left w:val="nil"/>
              <w:bottom w:val="single" w:sz="4" w:space="0" w:color="auto"/>
              <w:right w:val="single" w:sz="4" w:space="0" w:color="auto"/>
            </w:tcBorders>
            <w:noWrap/>
            <w:vAlign w:val="center"/>
            <w:hideMark/>
          </w:tcPr>
          <w:p w14:paraId="6E2A17B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83,10</w:t>
            </w:r>
          </w:p>
        </w:tc>
        <w:tc>
          <w:tcPr>
            <w:tcW w:w="959" w:type="dxa"/>
            <w:tcBorders>
              <w:top w:val="nil"/>
              <w:left w:val="nil"/>
              <w:bottom w:val="single" w:sz="4" w:space="0" w:color="auto"/>
              <w:right w:val="single" w:sz="4" w:space="0" w:color="auto"/>
            </w:tcBorders>
            <w:noWrap/>
            <w:vAlign w:val="center"/>
            <w:hideMark/>
          </w:tcPr>
          <w:p w14:paraId="5FDBD61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0,16</w:t>
            </w:r>
          </w:p>
        </w:tc>
        <w:tc>
          <w:tcPr>
            <w:tcW w:w="1236" w:type="dxa"/>
            <w:tcBorders>
              <w:top w:val="nil"/>
              <w:left w:val="nil"/>
              <w:bottom w:val="single" w:sz="4" w:space="0" w:color="auto"/>
              <w:right w:val="single" w:sz="4" w:space="0" w:color="auto"/>
            </w:tcBorders>
            <w:shd w:val="clear" w:color="000000" w:fill="EDEDED"/>
            <w:noWrap/>
            <w:vAlign w:val="center"/>
            <w:hideMark/>
          </w:tcPr>
          <w:p w14:paraId="0FB1F74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2,00</w:t>
            </w:r>
          </w:p>
        </w:tc>
        <w:tc>
          <w:tcPr>
            <w:tcW w:w="855" w:type="dxa"/>
            <w:tcBorders>
              <w:top w:val="nil"/>
              <w:left w:val="nil"/>
              <w:bottom w:val="single" w:sz="4" w:space="0" w:color="auto"/>
              <w:right w:val="nil"/>
            </w:tcBorders>
            <w:shd w:val="clear" w:color="000000" w:fill="EDEDED"/>
            <w:noWrap/>
            <w:vAlign w:val="bottom"/>
            <w:hideMark/>
          </w:tcPr>
          <w:p w14:paraId="3967D8A6"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EDEDED"/>
            <w:noWrap/>
            <w:vAlign w:val="bottom"/>
            <w:hideMark/>
          </w:tcPr>
          <w:p w14:paraId="5FEF363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1,84</w:t>
            </w:r>
          </w:p>
        </w:tc>
      </w:tr>
      <w:tr w:rsidR="00BE5D1E" w:rsidRPr="005E4BEA" w14:paraId="61BF77BE"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61D9306"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Kočevje</w:t>
            </w:r>
          </w:p>
        </w:tc>
        <w:tc>
          <w:tcPr>
            <w:tcW w:w="930" w:type="dxa"/>
            <w:tcBorders>
              <w:top w:val="nil"/>
              <w:left w:val="nil"/>
              <w:bottom w:val="single" w:sz="4" w:space="0" w:color="auto"/>
              <w:right w:val="single" w:sz="4" w:space="0" w:color="auto"/>
            </w:tcBorders>
            <w:noWrap/>
            <w:vAlign w:val="center"/>
            <w:hideMark/>
          </w:tcPr>
          <w:p w14:paraId="579E095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13.594</w:t>
            </w:r>
          </w:p>
        </w:tc>
        <w:tc>
          <w:tcPr>
            <w:tcW w:w="880" w:type="dxa"/>
            <w:tcBorders>
              <w:top w:val="nil"/>
              <w:left w:val="nil"/>
              <w:bottom w:val="single" w:sz="4" w:space="0" w:color="auto"/>
              <w:right w:val="single" w:sz="4" w:space="0" w:color="auto"/>
            </w:tcBorders>
            <w:noWrap/>
            <w:vAlign w:val="center"/>
            <w:hideMark/>
          </w:tcPr>
          <w:p w14:paraId="64D96FB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13.594</w:t>
            </w:r>
          </w:p>
        </w:tc>
        <w:tc>
          <w:tcPr>
            <w:tcW w:w="927" w:type="dxa"/>
            <w:tcBorders>
              <w:top w:val="nil"/>
              <w:left w:val="nil"/>
              <w:bottom w:val="single" w:sz="4" w:space="0" w:color="auto"/>
              <w:right w:val="single" w:sz="4" w:space="0" w:color="auto"/>
            </w:tcBorders>
            <w:noWrap/>
            <w:vAlign w:val="center"/>
            <w:hideMark/>
          </w:tcPr>
          <w:p w14:paraId="049F141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5,50</w:t>
            </w:r>
          </w:p>
        </w:tc>
        <w:tc>
          <w:tcPr>
            <w:tcW w:w="947" w:type="dxa"/>
            <w:tcBorders>
              <w:top w:val="nil"/>
              <w:left w:val="nil"/>
              <w:bottom w:val="single" w:sz="4" w:space="0" w:color="auto"/>
              <w:right w:val="single" w:sz="4" w:space="0" w:color="auto"/>
            </w:tcBorders>
            <w:noWrap/>
            <w:vAlign w:val="center"/>
            <w:hideMark/>
          </w:tcPr>
          <w:p w14:paraId="65D2D66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2.471,64</w:t>
            </w:r>
          </w:p>
        </w:tc>
        <w:tc>
          <w:tcPr>
            <w:tcW w:w="983" w:type="dxa"/>
            <w:tcBorders>
              <w:top w:val="nil"/>
              <w:left w:val="nil"/>
              <w:bottom w:val="single" w:sz="4" w:space="0" w:color="auto"/>
              <w:right w:val="single" w:sz="4" w:space="0" w:color="auto"/>
            </w:tcBorders>
            <w:noWrap/>
            <w:vAlign w:val="center"/>
            <w:hideMark/>
          </w:tcPr>
          <w:p w14:paraId="647806A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98,14</w:t>
            </w:r>
          </w:p>
        </w:tc>
        <w:tc>
          <w:tcPr>
            <w:tcW w:w="959" w:type="dxa"/>
            <w:tcBorders>
              <w:top w:val="nil"/>
              <w:left w:val="nil"/>
              <w:bottom w:val="single" w:sz="4" w:space="0" w:color="auto"/>
              <w:right w:val="single" w:sz="4" w:space="0" w:color="auto"/>
            </w:tcBorders>
            <w:noWrap/>
            <w:vAlign w:val="center"/>
            <w:hideMark/>
          </w:tcPr>
          <w:p w14:paraId="6BA441A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1778AA92"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B346E5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7579EE7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0,368</w:t>
            </w:r>
          </w:p>
        </w:tc>
      </w:tr>
      <w:tr w:rsidR="00BE5D1E" w:rsidRPr="005E4BEA" w14:paraId="24535953"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0961ACBD"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Litija</w:t>
            </w:r>
          </w:p>
        </w:tc>
        <w:tc>
          <w:tcPr>
            <w:tcW w:w="930" w:type="dxa"/>
            <w:tcBorders>
              <w:top w:val="nil"/>
              <w:left w:val="nil"/>
              <w:bottom w:val="single" w:sz="4" w:space="0" w:color="auto"/>
              <w:right w:val="single" w:sz="4" w:space="0" w:color="auto"/>
            </w:tcBorders>
            <w:noWrap/>
            <w:vAlign w:val="center"/>
            <w:hideMark/>
          </w:tcPr>
          <w:p w14:paraId="032C73A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17.179</w:t>
            </w:r>
          </w:p>
        </w:tc>
        <w:tc>
          <w:tcPr>
            <w:tcW w:w="880" w:type="dxa"/>
            <w:tcBorders>
              <w:top w:val="nil"/>
              <w:left w:val="nil"/>
              <w:bottom w:val="single" w:sz="4" w:space="0" w:color="auto"/>
              <w:right w:val="single" w:sz="4" w:space="0" w:color="auto"/>
            </w:tcBorders>
            <w:noWrap/>
            <w:vAlign w:val="center"/>
            <w:hideMark/>
          </w:tcPr>
          <w:p w14:paraId="5B5E835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17.179</w:t>
            </w:r>
          </w:p>
        </w:tc>
        <w:tc>
          <w:tcPr>
            <w:tcW w:w="927" w:type="dxa"/>
            <w:tcBorders>
              <w:top w:val="nil"/>
              <w:left w:val="nil"/>
              <w:bottom w:val="single" w:sz="4" w:space="0" w:color="auto"/>
              <w:right w:val="single" w:sz="4" w:space="0" w:color="auto"/>
            </w:tcBorders>
            <w:noWrap/>
            <w:vAlign w:val="center"/>
            <w:hideMark/>
          </w:tcPr>
          <w:p w14:paraId="53E1BC7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4,90</w:t>
            </w:r>
          </w:p>
        </w:tc>
        <w:tc>
          <w:tcPr>
            <w:tcW w:w="947" w:type="dxa"/>
            <w:tcBorders>
              <w:top w:val="nil"/>
              <w:left w:val="nil"/>
              <w:bottom w:val="single" w:sz="4" w:space="0" w:color="auto"/>
              <w:right w:val="single" w:sz="4" w:space="0" w:color="auto"/>
            </w:tcBorders>
            <w:noWrap/>
            <w:vAlign w:val="center"/>
            <w:hideMark/>
          </w:tcPr>
          <w:p w14:paraId="1607BE2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3.505,92</w:t>
            </w:r>
          </w:p>
        </w:tc>
        <w:tc>
          <w:tcPr>
            <w:tcW w:w="983" w:type="dxa"/>
            <w:tcBorders>
              <w:top w:val="nil"/>
              <w:left w:val="nil"/>
              <w:bottom w:val="single" w:sz="4" w:space="0" w:color="auto"/>
              <w:right w:val="single" w:sz="4" w:space="0" w:color="auto"/>
            </w:tcBorders>
            <w:noWrap/>
            <w:vAlign w:val="center"/>
            <w:hideMark/>
          </w:tcPr>
          <w:p w14:paraId="4216BC5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69,19</w:t>
            </w:r>
          </w:p>
        </w:tc>
        <w:tc>
          <w:tcPr>
            <w:tcW w:w="959" w:type="dxa"/>
            <w:tcBorders>
              <w:top w:val="nil"/>
              <w:left w:val="nil"/>
              <w:bottom w:val="single" w:sz="4" w:space="0" w:color="auto"/>
              <w:right w:val="single" w:sz="4" w:space="0" w:color="auto"/>
            </w:tcBorders>
            <w:noWrap/>
            <w:vAlign w:val="center"/>
            <w:hideMark/>
          </w:tcPr>
          <w:p w14:paraId="7D44AEE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4EF67E1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2,18</w:t>
            </w:r>
          </w:p>
        </w:tc>
        <w:tc>
          <w:tcPr>
            <w:tcW w:w="855" w:type="dxa"/>
            <w:tcBorders>
              <w:top w:val="nil"/>
              <w:left w:val="nil"/>
              <w:bottom w:val="single" w:sz="4" w:space="0" w:color="auto"/>
              <w:right w:val="nil"/>
            </w:tcBorders>
            <w:noWrap/>
            <w:vAlign w:val="bottom"/>
            <w:hideMark/>
          </w:tcPr>
          <w:p w14:paraId="61508F79"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A9D019A"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137041F"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C96799B"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Logatec</w:t>
            </w:r>
          </w:p>
        </w:tc>
        <w:tc>
          <w:tcPr>
            <w:tcW w:w="930" w:type="dxa"/>
            <w:tcBorders>
              <w:top w:val="nil"/>
              <w:left w:val="nil"/>
              <w:bottom w:val="single" w:sz="4" w:space="0" w:color="auto"/>
              <w:right w:val="single" w:sz="4" w:space="0" w:color="auto"/>
            </w:tcBorders>
            <w:noWrap/>
            <w:vAlign w:val="center"/>
            <w:hideMark/>
          </w:tcPr>
          <w:p w14:paraId="23C3E87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11.178</w:t>
            </w:r>
          </w:p>
        </w:tc>
        <w:tc>
          <w:tcPr>
            <w:tcW w:w="880" w:type="dxa"/>
            <w:tcBorders>
              <w:top w:val="nil"/>
              <w:left w:val="nil"/>
              <w:bottom w:val="single" w:sz="4" w:space="0" w:color="auto"/>
              <w:right w:val="single" w:sz="4" w:space="0" w:color="auto"/>
            </w:tcBorders>
            <w:noWrap/>
            <w:vAlign w:val="center"/>
            <w:hideMark/>
          </w:tcPr>
          <w:p w14:paraId="2DBA80D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11.178</w:t>
            </w:r>
          </w:p>
        </w:tc>
        <w:tc>
          <w:tcPr>
            <w:tcW w:w="927" w:type="dxa"/>
            <w:tcBorders>
              <w:top w:val="nil"/>
              <w:left w:val="nil"/>
              <w:bottom w:val="single" w:sz="4" w:space="0" w:color="auto"/>
              <w:right w:val="single" w:sz="4" w:space="0" w:color="auto"/>
            </w:tcBorders>
            <w:noWrap/>
            <w:vAlign w:val="center"/>
            <w:hideMark/>
          </w:tcPr>
          <w:p w14:paraId="66EE716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5,20</w:t>
            </w:r>
          </w:p>
        </w:tc>
        <w:tc>
          <w:tcPr>
            <w:tcW w:w="947" w:type="dxa"/>
            <w:tcBorders>
              <w:top w:val="nil"/>
              <w:left w:val="nil"/>
              <w:bottom w:val="single" w:sz="4" w:space="0" w:color="auto"/>
              <w:right w:val="single" w:sz="4" w:space="0" w:color="auto"/>
            </w:tcBorders>
            <w:noWrap/>
            <w:vAlign w:val="center"/>
            <w:hideMark/>
          </w:tcPr>
          <w:p w14:paraId="648080E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2.149,62</w:t>
            </w:r>
          </w:p>
        </w:tc>
        <w:tc>
          <w:tcPr>
            <w:tcW w:w="983" w:type="dxa"/>
            <w:tcBorders>
              <w:top w:val="nil"/>
              <w:left w:val="nil"/>
              <w:bottom w:val="single" w:sz="4" w:space="0" w:color="auto"/>
              <w:right w:val="single" w:sz="4" w:space="0" w:color="auto"/>
            </w:tcBorders>
            <w:noWrap/>
            <w:vAlign w:val="center"/>
            <w:hideMark/>
          </w:tcPr>
          <w:p w14:paraId="30DF43D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112,85</w:t>
            </w:r>
          </w:p>
        </w:tc>
        <w:tc>
          <w:tcPr>
            <w:tcW w:w="959" w:type="dxa"/>
            <w:tcBorders>
              <w:top w:val="nil"/>
              <w:left w:val="nil"/>
              <w:bottom w:val="single" w:sz="4" w:space="0" w:color="auto"/>
              <w:right w:val="single" w:sz="4" w:space="0" w:color="auto"/>
            </w:tcBorders>
            <w:noWrap/>
            <w:vAlign w:val="center"/>
            <w:hideMark/>
          </w:tcPr>
          <w:p w14:paraId="003A61F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5ACD899D"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1A25250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1E0B43DC"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68496C63"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26A5F1C1"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Ribnica</w:t>
            </w:r>
          </w:p>
        </w:tc>
        <w:tc>
          <w:tcPr>
            <w:tcW w:w="930" w:type="dxa"/>
            <w:tcBorders>
              <w:top w:val="nil"/>
              <w:left w:val="nil"/>
              <w:bottom w:val="single" w:sz="4" w:space="0" w:color="auto"/>
              <w:right w:val="single" w:sz="4" w:space="0" w:color="auto"/>
            </w:tcBorders>
            <w:noWrap/>
            <w:vAlign w:val="center"/>
            <w:hideMark/>
          </w:tcPr>
          <w:p w14:paraId="4738407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10.751</w:t>
            </w:r>
          </w:p>
        </w:tc>
        <w:tc>
          <w:tcPr>
            <w:tcW w:w="880" w:type="dxa"/>
            <w:tcBorders>
              <w:top w:val="nil"/>
              <w:left w:val="nil"/>
              <w:bottom w:val="single" w:sz="4" w:space="0" w:color="auto"/>
              <w:right w:val="single" w:sz="4" w:space="0" w:color="auto"/>
            </w:tcBorders>
            <w:noWrap/>
            <w:vAlign w:val="center"/>
            <w:hideMark/>
          </w:tcPr>
          <w:p w14:paraId="540D2C4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10.751</w:t>
            </w:r>
          </w:p>
        </w:tc>
        <w:tc>
          <w:tcPr>
            <w:tcW w:w="927" w:type="dxa"/>
            <w:tcBorders>
              <w:top w:val="nil"/>
              <w:left w:val="nil"/>
              <w:bottom w:val="single" w:sz="4" w:space="0" w:color="auto"/>
              <w:right w:val="single" w:sz="4" w:space="0" w:color="auto"/>
            </w:tcBorders>
            <w:noWrap/>
            <w:vAlign w:val="center"/>
            <w:hideMark/>
          </w:tcPr>
          <w:p w14:paraId="1867A77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4,76</w:t>
            </w:r>
          </w:p>
        </w:tc>
        <w:tc>
          <w:tcPr>
            <w:tcW w:w="947" w:type="dxa"/>
            <w:tcBorders>
              <w:top w:val="nil"/>
              <w:left w:val="nil"/>
              <w:bottom w:val="single" w:sz="4" w:space="0" w:color="auto"/>
              <w:right w:val="single" w:sz="4" w:space="0" w:color="auto"/>
            </w:tcBorders>
            <w:noWrap/>
            <w:vAlign w:val="center"/>
            <w:hideMark/>
          </w:tcPr>
          <w:p w14:paraId="5B90184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2.258,61</w:t>
            </w:r>
          </w:p>
        </w:tc>
        <w:tc>
          <w:tcPr>
            <w:tcW w:w="983" w:type="dxa"/>
            <w:tcBorders>
              <w:top w:val="nil"/>
              <w:left w:val="nil"/>
              <w:bottom w:val="single" w:sz="4" w:space="0" w:color="auto"/>
              <w:right w:val="single" w:sz="4" w:space="0" w:color="auto"/>
            </w:tcBorders>
            <w:noWrap/>
            <w:vAlign w:val="center"/>
            <w:hideMark/>
          </w:tcPr>
          <w:p w14:paraId="420067C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107,40</w:t>
            </w:r>
          </w:p>
        </w:tc>
        <w:tc>
          <w:tcPr>
            <w:tcW w:w="959" w:type="dxa"/>
            <w:tcBorders>
              <w:top w:val="nil"/>
              <w:left w:val="nil"/>
              <w:bottom w:val="single" w:sz="4" w:space="0" w:color="auto"/>
              <w:right w:val="single" w:sz="4" w:space="0" w:color="auto"/>
            </w:tcBorders>
            <w:noWrap/>
            <w:vAlign w:val="center"/>
            <w:hideMark/>
          </w:tcPr>
          <w:p w14:paraId="2499630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2B77FBED"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35086F6A"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1FA717D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0A4FCA14"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63D00C65"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Trbovlje</w:t>
            </w:r>
          </w:p>
        </w:tc>
        <w:tc>
          <w:tcPr>
            <w:tcW w:w="930" w:type="dxa"/>
            <w:tcBorders>
              <w:top w:val="nil"/>
              <w:left w:val="nil"/>
              <w:bottom w:val="single" w:sz="4" w:space="0" w:color="auto"/>
              <w:right w:val="single" w:sz="4" w:space="0" w:color="auto"/>
            </w:tcBorders>
            <w:noWrap/>
            <w:vAlign w:val="center"/>
            <w:hideMark/>
          </w:tcPr>
          <w:p w14:paraId="3F78774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13.634</w:t>
            </w:r>
          </w:p>
        </w:tc>
        <w:tc>
          <w:tcPr>
            <w:tcW w:w="880" w:type="dxa"/>
            <w:tcBorders>
              <w:top w:val="nil"/>
              <w:left w:val="nil"/>
              <w:bottom w:val="single" w:sz="4" w:space="0" w:color="auto"/>
              <w:right w:val="single" w:sz="4" w:space="0" w:color="auto"/>
            </w:tcBorders>
            <w:noWrap/>
            <w:vAlign w:val="center"/>
            <w:hideMark/>
          </w:tcPr>
          <w:p w14:paraId="0B83B60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13.634</w:t>
            </w:r>
          </w:p>
        </w:tc>
        <w:tc>
          <w:tcPr>
            <w:tcW w:w="927" w:type="dxa"/>
            <w:tcBorders>
              <w:top w:val="nil"/>
              <w:left w:val="nil"/>
              <w:bottom w:val="single" w:sz="4" w:space="0" w:color="auto"/>
              <w:right w:val="single" w:sz="4" w:space="0" w:color="auto"/>
            </w:tcBorders>
            <w:noWrap/>
            <w:vAlign w:val="center"/>
            <w:hideMark/>
          </w:tcPr>
          <w:p w14:paraId="56EC0ED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6,30</w:t>
            </w:r>
          </w:p>
        </w:tc>
        <w:tc>
          <w:tcPr>
            <w:tcW w:w="947" w:type="dxa"/>
            <w:tcBorders>
              <w:top w:val="nil"/>
              <w:left w:val="nil"/>
              <w:bottom w:val="single" w:sz="4" w:space="0" w:color="auto"/>
              <w:right w:val="single" w:sz="4" w:space="0" w:color="auto"/>
            </w:tcBorders>
            <w:noWrap/>
            <w:vAlign w:val="center"/>
            <w:hideMark/>
          </w:tcPr>
          <w:p w14:paraId="3901A96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2.164,13</w:t>
            </w:r>
          </w:p>
        </w:tc>
        <w:tc>
          <w:tcPr>
            <w:tcW w:w="983" w:type="dxa"/>
            <w:tcBorders>
              <w:top w:val="nil"/>
              <w:left w:val="nil"/>
              <w:bottom w:val="single" w:sz="4" w:space="0" w:color="auto"/>
              <w:right w:val="single" w:sz="4" w:space="0" w:color="auto"/>
            </w:tcBorders>
            <w:noWrap/>
            <w:vAlign w:val="center"/>
            <w:hideMark/>
          </w:tcPr>
          <w:p w14:paraId="0FCC3B0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112,09</w:t>
            </w:r>
          </w:p>
        </w:tc>
        <w:tc>
          <w:tcPr>
            <w:tcW w:w="959" w:type="dxa"/>
            <w:tcBorders>
              <w:top w:val="nil"/>
              <w:left w:val="nil"/>
              <w:bottom w:val="single" w:sz="4" w:space="0" w:color="auto"/>
              <w:right w:val="single" w:sz="4" w:space="0" w:color="auto"/>
            </w:tcBorders>
            <w:noWrap/>
            <w:vAlign w:val="center"/>
            <w:hideMark/>
          </w:tcPr>
          <w:p w14:paraId="2900F28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2465ECDB"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753C5B0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0,7</w:t>
            </w:r>
          </w:p>
        </w:tc>
        <w:tc>
          <w:tcPr>
            <w:tcW w:w="538" w:type="dxa"/>
            <w:tcBorders>
              <w:top w:val="nil"/>
              <w:left w:val="single" w:sz="4" w:space="0" w:color="auto"/>
              <w:bottom w:val="single" w:sz="4" w:space="0" w:color="auto"/>
              <w:right w:val="single" w:sz="4" w:space="0" w:color="auto"/>
            </w:tcBorders>
            <w:noWrap/>
            <w:vAlign w:val="bottom"/>
            <w:hideMark/>
          </w:tcPr>
          <w:p w14:paraId="277D3B11"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4113E232"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32081F02"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Vrhnika</w:t>
            </w:r>
          </w:p>
        </w:tc>
        <w:tc>
          <w:tcPr>
            <w:tcW w:w="930" w:type="dxa"/>
            <w:tcBorders>
              <w:top w:val="nil"/>
              <w:left w:val="nil"/>
              <w:bottom w:val="single" w:sz="4" w:space="0" w:color="auto"/>
              <w:right w:val="single" w:sz="4" w:space="0" w:color="auto"/>
            </w:tcBorders>
            <w:noWrap/>
            <w:vAlign w:val="center"/>
            <w:hideMark/>
          </w:tcPr>
          <w:p w14:paraId="7C9A5CF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20.534</w:t>
            </w:r>
          </w:p>
        </w:tc>
        <w:tc>
          <w:tcPr>
            <w:tcW w:w="880" w:type="dxa"/>
            <w:tcBorders>
              <w:top w:val="nil"/>
              <w:left w:val="nil"/>
              <w:bottom w:val="single" w:sz="4" w:space="0" w:color="auto"/>
              <w:right w:val="single" w:sz="4" w:space="0" w:color="auto"/>
            </w:tcBorders>
            <w:noWrap/>
            <w:vAlign w:val="center"/>
            <w:hideMark/>
          </w:tcPr>
          <w:p w14:paraId="48EDC71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20.534</w:t>
            </w:r>
          </w:p>
        </w:tc>
        <w:tc>
          <w:tcPr>
            <w:tcW w:w="927" w:type="dxa"/>
            <w:tcBorders>
              <w:top w:val="nil"/>
              <w:left w:val="nil"/>
              <w:bottom w:val="single" w:sz="4" w:space="0" w:color="auto"/>
              <w:right w:val="single" w:sz="4" w:space="0" w:color="auto"/>
            </w:tcBorders>
            <w:noWrap/>
            <w:vAlign w:val="center"/>
            <w:hideMark/>
          </w:tcPr>
          <w:p w14:paraId="64FAFF3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7,79</w:t>
            </w:r>
          </w:p>
        </w:tc>
        <w:tc>
          <w:tcPr>
            <w:tcW w:w="947" w:type="dxa"/>
            <w:tcBorders>
              <w:top w:val="nil"/>
              <w:left w:val="nil"/>
              <w:bottom w:val="single" w:sz="4" w:space="0" w:color="auto"/>
              <w:right w:val="single" w:sz="4" w:space="0" w:color="auto"/>
            </w:tcBorders>
            <w:noWrap/>
            <w:vAlign w:val="center"/>
            <w:hideMark/>
          </w:tcPr>
          <w:p w14:paraId="0C1EB11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2.635,94</w:t>
            </w:r>
          </w:p>
        </w:tc>
        <w:tc>
          <w:tcPr>
            <w:tcW w:w="983" w:type="dxa"/>
            <w:tcBorders>
              <w:top w:val="nil"/>
              <w:left w:val="nil"/>
              <w:bottom w:val="single" w:sz="4" w:space="0" w:color="auto"/>
              <w:right w:val="single" w:sz="4" w:space="0" w:color="auto"/>
            </w:tcBorders>
            <w:noWrap/>
            <w:vAlign w:val="center"/>
            <w:hideMark/>
          </w:tcPr>
          <w:p w14:paraId="107D52D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92,03</w:t>
            </w:r>
          </w:p>
        </w:tc>
        <w:tc>
          <w:tcPr>
            <w:tcW w:w="959" w:type="dxa"/>
            <w:tcBorders>
              <w:top w:val="nil"/>
              <w:left w:val="nil"/>
              <w:bottom w:val="single" w:sz="4" w:space="0" w:color="auto"/>
              <w:right w:val="single" w:sz="4" w:space="0" w:color="auto"/>
            </w:tcBorders>
            <w:noWrap/>
            <w:vAlign w:val="center"/>
            <w:hideMark/>
          </w:tcPr>
          <w:p w14:paraId="32E0E4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1,00</w:t>
            </w:r>
          </w:p>
        </w:tc>
        <w:tc>
          <w:tcPr>
            <w:tcW w:w="1236" w:type="dxa"/>
            <w:tcBorders>
              <w:top w:val="nil"/>
              <w:left w:val="nil"/>
              <w:bottom w:val="single" w:sz="4" w:space="0" w:color="auto"/>
              <w:right w:val="single" w:sz="4" w:space="0" w:color="auto"/>
            </w:tcBorders>
            <w:noWrap/>
            <w:vAlign w:val="center"/>
            <w:hideMark/>
          </w:tcPr>
          <w:p w14:paraId="78A5BC31"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931A009"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4FD5330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01F30F3E"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32D970A8"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Zagorje</w:t>
            </w:r>
          </w:p>
        </w:tc>
        <w:tc>
          <w:tcPr>
            <w:tcW w:w="930" w:type="dxa"/>
            <w:tcBorders>
              <w:top w:val="nil"/>
              <w:left w:val="nil"/>
              <w:bottom w:val="single" w:sz="4" w:space="0" w:color="auto"/>
              <w:right w:val="single" w:sz="4" w:space="0" w:color="auto"/>
            </w:tcBorders>
            <w:noWrap/>
            <w:vAlign w:val="center"/>
            <w:hideMark/>
          </w:tcPr>
          <w:p w14:paraId="5AC3A45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13.559</w:t>
            </w:r>
          </w:p>
        </w:tc>
        <w:tc>
          <w:tcPr>
            <w:tcW w:w="880" w:type="dxa"/>
            <w:tcBorders>
              <w:top w:val="nil"/>
              <w:left w:val="nil"/>
              <w:bottom w:val="single" w:sz="4" w:space="0" w:color="auto"/>
              <w:right w:val="single" w:sz="4" w:space="0" w:color="auto"/>
            </w:tcBorders>
            <w:noWrap/>
            <w:vAlign w:val="center"/>
            <w:hideMark/>
          </w:tcPr>
          <w:p w14:paraId="1E855AA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13.559</w:t>
            </w:r>
          </w:p>
        </w:tc>
        <w:tc>
          <w:tcPr>
            <w:tcW w:w="927" w:type="dxa"/>
            <w:tcBorders>
              <w:top w:val="nil"/>
              <w:left w:val="nil"/>
              <w:bottom w:val="single" w:sz="4" w:space="0" w:color="auto"/>
              <w:right w:val="single" w:sz="4" w:space="0" w:color="auto"/>
            </w:tcBorders>
            <w:noWrap/>
            <w:vAlign w:val="center"/>
            <w:hideMark/>
          </w:tcPr>
          <w:p w14:paraId="7CF299F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5,00</w:t>
            </w:r>
          </w:p>
        </w:tc>
        <w:tc>
          <w:tcPr>
            <w:tcW w:w="947" w:type="dxa"/>
            <w:tcBorders>
              <w:top w:val="nil"/>
              <w:left w:val="nil"/>
              <w:bottom w:val="single" w:sz="4" w:space="0" w:color="auto"/>
              <w:right w:val="single" w:sz="4" w:space="0" w:color="auto"/>
            </w:tcBorders>
            <w:noWrap/>
            <w:vAlign w:val="center"/>
            <w:hideMark/>
          </w:tcPr>
          <w:p w14:paraId="0209A3E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2.711,80</w:t>
            </w:r>
          </w:p>
        </w:tc>
        <w:tc>
          <w:tcPr>
            <w:tcW w:w="983" w:type="dxa"/>
            <w:tcBorders>
              <w:top w:val="nil"/>
              <w:left w:val="nil"/>
              <w:bottom w:val="single" w:sz="4" w:space="0" w:color="auto"/>
              <w:right w:val="single" w:sz="4" w:space="0" w:color="auto"/>
            </w:tcBorders>
            <w:noWrap/>
            <w:vAlign w:val="center"/>
            <w:hideMark/>
          </w:tcPr>
          <w:p w14:paraId="46E087B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89,45</w:t>
            </w:r>
          </w:p>
        </w:tc>
        <w:tc>
          <w:tcPr>
            <w:tcW w:w="959" w:type="dxa"/>
            <w:tcBorders>
              <w:top w:val="nil"/>
              <w:left w:val="nil"/>
              <w:bottom w:val="single" w:sz="4" w:space="0" w:color="auto"/>
              <w:right w:val="single" w:sz="4" w:space="0" w:color="auto"/>
            </w:tcBorders>
            <w:noWrap/>
            <w:vAlign w:val="center"/>
            <w:hideMark/>
          </w:tcPr>
          <w:p w14:paraId="2EC2577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D9E1F2"/>
            <w:noWrap/>
            <w:vAlign w:val="center"/>
            <w:hideMark/>
          </w:tcPr>
          <w:p w14:paraId="70A12EC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0,59</w:t>
            </w:r>
          </w:p>
        </w:tc>
        <w:tc>
          <w:tcPr>
            <w:tcW w:w="855" w:type="dxa"/>
            <w:tcBorders>
              <w:top w:val="nil"/>
              <w:left w:val="nil"/>
              <w:bottom w:val="single" w:sz="4" w:space="0" w:color="auto"/>
              <w:right w:val="nil"/>
            </w:tcBorders>
            <w:shd w:val="clear" w:color="000000" w:fill="D9E1F2"/>
            <w:noWrap/>
            <w:vAlign w:val="bottom"/>
            <w:hideMark/>
          </w:tcPr>
          <w:p w14:paraId="728BEF3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7D640A7B"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F4A1D46"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649C690E"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MARIBOR</w:t>
            </w:r>
          </w:p>
        </w:tc>
        <w:tc>
          <w:tcPr>
            <w:tcW w:w="930" w:type="dxa"/>
            <w:tcBorders>
              <w:top w:val="nil"/>
              <w:left w:val="nil"/>
              <w:bottom w:val="single" w:sz="4" w:space="0" w:color="auto"/>
              <w:right w:val="single" w:sz="4" w:space="0" w:color="auto"/>
            </w:tcBorders>
            <w:shd w:val="clear" w:color="000000" w:fill="FFFF99"/>
            <w:noWrap/>
            <w:vAlign w:val="center"/>
            <w:hideMark/>
          </w:tcPr>
          <w:p w14:paraId="5F772C6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265.908,</w:t>
            </w:r>
          </w:p>
        </w:tc>
        <w:tc>
          <w:tcPr>
            <w:tcW w:w="880" w:type="dxa"/>
            <w:tcBorders>
              <w:top w:val="nil"/>
              <w:left w:val="nil"/>
              <w:bottom w:val="single" w:sz="4" w:space="0" w:color="auto"/>
              <w:right w:val="single" w:sz="4" w:space="0" w:color="auto"/>
            </w:tcBorders>
            <w:shd w:val="clear" w:color="000000" w:fill="FFFF99"/>
            <w:noWrap/>
            <w:vAlign w:val="center"/>
            <w:hideMark/>
          </w:tcPr>
          <w:p w14:paraId="79EE847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265.908,</w:t>
            </w:r>
          </w:p>
        </w:tc>
        <w:tc>
          <w:tcPr>
            <w:tcW w:w="927" w:type="dxa"/>
            <w:tcBorders>
              <w:top w:val="nil"/>
              <w:left w:val="nil"/>
              <w:bottom w:val="single" w:sz="4" w:space="0" w:color="auto"/>
              <w:right w:val="single" w:sz="4" w:space="0" w:color="auto"/>
            </w:tcBorders>
            <w:shd w:val="clear" w:color="000000" w:fill="FFFF99"/>
            <w:noWrap/>
            <w:vAlign w:val="center"/>
            <w:hideMark/>
          </w:tcPr>
          <w:p w14:paraId="4E5CB36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116,08</w:t>
            </w:r>
          </w:p>
        </w:tc>
        <w:tc>
          <w:tcPr>
            <w:tcW w:w="947" w:type="dxa"/>
            <w:tcBorders>
              <w:top w:val="nil"/>
              <w:left w:val="nil"/>
              <w:bottom w:val="single" w:sz="4" w:space="0" w:color="auto"/>
              <w:right w:val="single" w:sz="4" w:space="0" w:color="auto"/>
            </w:tcBorders>
            <w:shd w:val="clear" w:color="000000" w:fill="FFFF99"/>
            <w:noWrap/>
            <w:vAlign w:val="center"/>
            <w:hideMark/>
          </w:tcPr>
          <w:p w14:paraId="555B5F1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2.290,75</w:t>
            </w:r>
          </w:p>
        </w:tc>
        <w:tc>
          <w:tcPr>
            <w:tcW w:w="983" w:type="dxa"/>
            <w:tcBorders>
              <w:top w:val="nil"/>
              <w:left w:val="nil"/>
              <w:bottom w:val="single" w:sz="4" w:space="0" w:color="auto"/>
              <w:right w:val="single" w:sz="4" w:space="0" w:color="auto"/>
            </w:tcBorders>
            <w:shd w:val="clear" w:color="000000" w:fill="FFFF99"/>
            <w:noWrap/>
            <w:vAlign w:val="center"/>
            <w:hideMark/>
          </w:tcPr>
          <w:p w14:paraId="2D5BEC0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105,89</w:t>
            </w:r>
          </w:p>
        </w:tc>
        <w:tc>
          <w:tcPr>
            <w:tcW w:w="959" w:type="dxa"/>
            <w:tcBorders>
              <w:top w:val="nil"/>
              <w:left w:val="nil"/>
              <w:bottom w:val="single" w:sz="4" w:space="0" w:color="auto"/>
              <w:right w:val="single" w:sz="4" w:space="0" w:color="auto"/>
            </w:tcBorders>
            <w:shd w:val="clear" w:color="000000" w:fill="FFFF99"/>
            <w:noWrap/>
            <w:vAlign w:val="center"/>
            <w:hideMark/>
          </w:tcPr>
          <w:p w14:paraId="3A7B310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2315650A"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06D1F5A5"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3FC97995"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4243A515"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4951DF98"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Maribor</w:t>
            </w:r>
          </w:p>
        </w:tc>
        <w:tc>
          <w:tcPr>
            <w:tcW w:w="930" w:type="dxa"/>
            <w:tcBorders>
              <w:top w:val="nil"/>
              <w:left w:val="nil"/>
              <w:bottom w:val="single" w:sz="4" w:space="0" w:color="auto"/>
              <w:right w:val="single" w:sz="4" w:space="0" w:color="auto"/>
            </w:tcBorders>
            <w:noWrap/>
            <w:vAlign w:val="center"/>
            <w:hideMark/>
          </w:tcPr>
          <w:p w14:paraId="64FBA9E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150.620</w:t>
            </w:r>
          </w:p>
        </w:tc>
        <w:tc>
          <w:tcPr>
            <w:tcW w:w="880" w:type="dxa"/>
            <w:tcBorders>
              <w:top w:val="nil"/>
              <w:left w:val="nil"/>
              <w:bottom w:val="single" w:sz="4" w:space="0" w:color="auto"/>
              <w:right w:val="single" w:sz="4" w:space="0" w:color="auto"/>
            </w:tcBorders>
            <w:noWrap/>
            <w:vAlign w:val="center"/>
            <w:hideMark/>
          </w:tcPr>
          <w:p w14:paraId="25B1DB0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150.620</w:t>
            </w:r>
          </w:p>
        </w:tc>
        <w:tc>
          <w:tcPr>
            <w:tcW w:w="927" w:type="dxa"/>
            <w:tcBorders>
              <w:top w:val="nil"/>
              <w:left w:val="nil"/>
              <w:bottom w:val="single" w:sz="4" w:space="0" w:color="auto"/>
              <w:right w:val="single" w:sz="4" w:space="0" w:color="auto"/>
            </w:tcBorders>
            <w:noWrap/>
            <w:vAlign w:val="center"/>
            <w:hideMark/>
          </w:tcPr>
          <w:p w14:paraId="332CB32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68,03</w:t>
            </w:r>
          </w:p>
        </w:tc>
        <w:tc>
          <w:tcPr>
            <w:tcW w:w="947" w:type="dxa"/>
            <w:tcBorders>
              <w:top w:val="nil"/>
              <w:left w:val="nil"/>
              <w:bottom w:val="single" w:sz="4" w:space="0" w:color="auto"/>
              <w:right w:val="single" w:sz="4" w:space="0" w:color="auto"/>
            </w:tcBorders>
            <w:noWrap/>
            <w:vAlign w:val="center"/>
            <w:hideMark/>
          </w:tcPr>
          <w:p w14:paraId="54E097B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2.214,19</w:t>
            </w:r>
          </w:p>
        </w:tc>
        <w:tc>
          <w:tcPr>
            <w:tcW w:w="983" w:type="dxa"/>
            <w:tcBorders>
              <w:top w:val="nil"/>
              <w:left w:val="nil"/>
              <w:bottom w:val="single" w:sz="4" w:space="0" w:color="auto"/>
              <w:right w:val="single" w:sz="4" w:space="0" w:color="auto"/>
            </w:tcBorders>
            <w:noWrap/>
            <w:vAlign w:val="center"/>
            <w:hideMark/>
          </w:tcPr>
          <w:p w14:paraId="4728E6B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109,56</w:t>
            </w:r>
          </w:p>
        </w:tc>
        <w:tc>
          <w:tcPr>
            <w:tcW w:w="959" w:type="dxa"/>
            <w:tcBorders>
              <w:top w:val="nil"/>
              <w:left w:val="nil"/>
              <w:bottom w:val="single" w:sz="4" w:space="0" w:color="auto"/>
              <w:right w:val="single" w:sz="4" w:space="0" w:color="auto"/>
            </w:tcBorders>
            <w:noWrap/>
            <w:vAlign w:val="center"/>
            <w:hideMark/>
          </w:tcPr>
          <w:p w14:paraId="07283D9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0,50</w:t>
            </w:r>
          </w:p>
        </w:tc>
        <w:tc>
          <w:tcPr>
            <w:tcW w:w="1236" w:type="dxa"/>
            <w:tcBorders>
              <w:top w:val="nil"/>
              <w:left w:val="nil"/>
              <w:bottom w:val="single" w:sz="4" w:space="0" w:color="auto"/>
              <w:right w:val="single" w:sz="4" w:space="0" w:color="auto"/>
            </w:tcBorders>
            <w:noWrap/>
            <w:vAlign w:val="center"/>
            <w:hideMark/>
          </w:tcPr>
          <w:p w14:paraId="2DCFC9C2"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177BF3A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093E9E1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2,096</w:t>
            </w:r>
          </w:p>
        </w:tc>
      </w:tr>
      <w:tr w:rsidR="00BE5D1E" w:rsidRPr="005E4BEA" w14:paraId="72ED2CC2"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3820F078"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Lenart</w:t>
            </w:r>
          </w:p>
        </w:tc>
        <w:tc>
          <w:tcPr>
            <w:tcW w:w="930" w:type="dxa"/>
            <w:tcBorders>
              <w:top w:val="nil"/>
              <w:left w:val="nil"/>
              <w:bottom w:val="single" w:sz="4" w:space="0" w:color="auto"/>
              <w:right w:val="single" w:sz="4" w:space="0" w:color="auto"/>
            </w:tcBorders>
            <w:noWrap/>
            <w:vAlign w:val="center"/>
            <w:hideMark/>
          </w:tcPr>
          <w:p w14:paraId="62B5FD4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15.365</w:t>
            </w:r>
          </w:p>
        </w:tc>
        <w:tc>
          <w:tcPr>
            <w:tcW w:w="880" w:type="dxa"/>
            <w:tcBorders>
              <w:top w:val="nil"/>
              <w:left w:val="nil"/>
              <w:bottom w:val="single" w:sz="4" w:space="0" w:color="auto"/>
              <w:right w:val="single" w:sz="4" w:space="0" w:color="auto"/>
            </w:tcBorders>
            <w:noWrap/>
            <w:vAlign w:val="center"/>
            <w:hideMark/>
          </w:tcPr>
          <w:p w14:paraId="7AC1F31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15.365</w:t>
            </w:r>
          </w:p>
        </w:tc>
        <w:tc>
          <w:tcPr>
            <w:tcW w:w="927" w:type="dxa"/>
            <w:tcBorders>
              <w:top w:val="nil"/>
              <w:left w:val="nil"/>
              <w:bottom w:val="single" w:sz="4" w:space="0" w:color="auto"/>
              <w:right w:val="single" w:sz="4" w:space="0" w:color="auto"/>
            </w:tcBorders>
            <w:noWrap/>
            <w:vAlign w:val="center"/>
            <w:hideMark/>
          </w:tcPr>
          <w:p w14:paraId="7D97ADF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5,59</w:t>
            </w:r>
          </w:p>
        </w:tc>
        <w:tc>
          <w:tcPr>
            <w:tcW w:w="947" w:type="dxa"/>
            <w:tcBorders>
              <w:top w:val="nil"/>
              <w:left w:val="nil"/>
              <w:bottom w:val="single" w:sz="4" w:space="0" w:color="auto"/>
              <w:right w:val="single" w:sz="4" w:space="0" w:color="auto"/>
            </w:tcBorders>
            <w:noWrap/>
            <w:vAlign w:val="center"/>
            <w:hideMark/>
          </w:tcPr>
          <w:p w14:paraId="3EF8E8A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2.748,66</w:t>
            </w:r>
          </w:p>
        </w:tc>
        <w:tc>
          <w:tcPr>
            <w:tcW w:w="983" w:type="dxa"/>
            <w:tcBorders>
              <w:top w:val="nil"/>
              <w:left w:val="nil"/>
              <w:bottom w:val="single" w:sz="4" w:space="0" w:color="auto"/>
              <w:right w:val="single" w:sz="4" w:space="0" w:color="auto"/>
            </w:tcBorders>
            <w:noWrap/>
            <w:vAlign w:val="center"/>
            <w:hideMark/>
          </w:tcPr>
          <w:p w14:paraId="6E02B42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88,25</w:t>
            </w:r>
          </w:p>
        </w:tc>
        <w:tc>
          <w:tcPr>
            <w:tcW w:w="959" w:type="dxa"/>
            <w:tcBorders>
              <w:top w:val="nil"/>
              <w:left w:val="nil"/>
              <w:bottom w:val="single" w:sz="4" w:space="0" w:color="auto"/>
              <w:right w:val="single" w:sz="4" w:space="0" w:color="auto"/>
            </w:tcBorders>
            <w:noWrap/>
            <w:vAlign w:val="center"/>
            <w:hideMark/>
          </w:tcPr>
          <w:p w14:paraId="78C6E3D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0,50</w:t>
            </w:r>
          </w:p>
        </w:tc>
        <w:tc>
          <w:tcPr>
            <w:tcW w:w="1236" w:type="dxa"/>
            <w:tcBorders>
              <w:top w:val="nil"/>
              <w:left w:val="nil"/>
              <w:bottom w:val="single" w:sz="4" w:space="0" w:color="auto"/>
              <w:right w:val="single" w:sz="4" w:space="0" w:color="auto"/>
            </w:tcBorders>
            <w:noWrap/>
            <w:vAlign w:val="center"/>
            <w:hideMark/>
          </w:tcPr>
          <w:p w14:paraId="011F594B"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2AB14FEA"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F538A4A"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4B0446E6"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0FDAF80E"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Ormož</w:t>
            </w:r>
          </w:p>
        </w:tc>
        <w:tc>
          <w:tcPr>
            <w:tcW w:w="930" w:type="dxa"/>
            <w:tcBorders>
              <w:top w:val="nil"/>
              <w:left w:val="nil"/>
              <w:bottom w:val="single" w:sz="4" w:space="0" w:color="auto"/>
              <w:right w:val="single" w:sz="4" w:space="0" w:color="auto"/>
            </w:tcBorders>
            <w:noWrap/>
            <w:vAlign w:val="center"/>
            <w:hideMark/>
          </w:tcPr>
          <w:p w14:paraId="5E6AE20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13.283</w:t>
            </w:r>
          </w:p>
        </w:tc>
        <w:tc>
          <w:tcPr>
            <w:tcW w:w="880" w:type="dxa"/>
            <w:tcBorders>
              <w:top w:val="nil"/>
              <w:left w:val="nil"/>
              <w:bottom w:val="single" w:sz="4" w:space="0" w:color="auto"/>
              <w:right w:val="single" w:sz="4" w:space="0" w:color="auto"/>
            </w:tcBorders>
            <w:noWrap/>
            <w:vAlign w:val="center"/>
            <w:hideMark/>
          </w:tcPr>
          <w:p w14:paraId="456D7E6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13.283</w:t>
            </w:r>
          </w:p>
        </w:tc>
        <w:tc>
          <w:tcPr>
            <w:tcW w:w="927" w:type="dxa"/>
            <w:tcBorders>
              <w:top w:val="nil"/>
              <w:left w:val="nil"/>
              <w:bottom w:val="single" w:sz="4" w:space="0" w:color="auto"/>
              <w:right w:val="single" w:sz="4" w:space="0" w:color="auto"/>
            </w:tcBorders>
            <w:noWrap/>
            <w:vAlign w:val="center"/>
            <w:hideMark/>
          </w:tcPr>
          <w:p w14:paraId="149641A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5,88</w:t>
            </w:r>
          </w:p>
        </w:tc>
        <w:tc>
          <w:tcPr>
            <w:tcW w:w="947" w:type="dxa"/>
            <w:tcBorders>
              <w:top w:val="nil"/>
              <w:left w:val="nil"/>
              <w:bottom w:val="single" w:sz="4" w:space="0" w:color="auto"/>
              <w:right w:val="single" w:sz="4" w:space="0" w:color="auto"/>
            </w:tcBorders>
            <w:noWrap/>
            <w:vAlign w:val="center"/>
            <w:hideMark/>
          </w:tcPr>
          <w:p w14:paraId="63618B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2.259,01</w:t>
            </w:r>
          </w:p>
        </w:tc>
        <w:tc>
          <w:tcPr>
            <w:tcW w:w="983" w:type="dxa"/>
            <w:tcBorders>
              <w:top w:val="nil"/>
              <w:left w:val="nil"/>
              <w:bottom w:val="single" w:sz="4" w:space="0" w:color="auto"/>
              <w:right w:val="single" w:sz="4" w:space="0" w:color="auto"/>
            </w:tcBorders>
            <w:noWrap/>
            <w:vAlign w:val="center"/>
            <w:hideMark/>
          </w:tcPr>
          <w:p w14:paraId="30323DB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107,38</w:t>
            </w:r>
          </w:p>
        </w:tc>
        <w:tc>
          <w:tcPr>
            <w:tcW w:w="959" w:type="dxa"/>
            <w:tcBorders>
              <w:top w:val="nil"/>
              <w:left w:val="nil"/>
              <w:bottom w:val="single" w:sz="4" w:space="0" w:color="auto"/>
              <w:right w:val="single" w:sz="4" w:space="0" w:color="auto"/>
            </w:tcBorders>
            <w:noWrap/>
            <w:vAlign w:val="center"/>
            <w:hideMark/>
          </w:tcPr>
          <w:p w14:paraId="12766B8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6406D50E"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752865D4"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29D77DDD"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A802963"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7E20C78F"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Ptuj</w:t>
            </w:r>
          </w:p>
        </w:tc>
        <w:tc>
          <w:tcPr>
            <w:tcW w:w="930" w:type="dxa"/>
            <w:tcBorders>
              <w:top w:val="nil"/>
              <w:left w:val="nil"/>
              <w:bottom w:val="single" w:sz="4" w:space="0" w:color="auto"/>
              <w:right w:val="single" w:sz="4" w:space="0" w:color="auto"/>
            </w:tcBorders>
            <w:noWrap/>
            <w:vAlign w:val="center"/>
            <w:hideMark/>
          </w:tcPr>
          <w:p w14:paraId="4A94A94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57.078</w:t>
            </w:r>
          </w:p>
        </w:tc>
        <w:tc>
          <w:tcPr>
            <w:tcW w:w="880" w:type="dxa"/>
            <w:tcBorders>
              <w:top w:val="nil"/>
              <w:left w:val="nil"/>
              <w:bottom w:val="single" w:sz="4" w:space="0" w:color="auto"/>
              <w:right w:val="single" w:sz="4" w:space="0" w:color="auto"/>
            </w:tcBorders>
            <w:noWrap/>
            <w:vAlign w:val="center"/>
            <w:hideMark/>
          </w:tcPr>
          <w:p w14:paraId="442E7A5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57.078</w:t>
            </w:r>
          </w:p>
        </w:tc>
        <w:tc>
          <w:tcPr>
            <w:tcW w:w="927" w:type="dxa"/>
            <w:tcBorders>
              <w:top w:val="nil"/>
              <w:left w:val="nil"/>
              <w:bottom w:val="single" w:sz="4" w:space="0" w:color="auto"/>
              <w:right w:val="single" w:sz="4" w:space="0" w:color="auto"/>
            </w:tcBorders>
            <w:noWrap/>
            <w:vAlign w:val="center"/>
            <w:hideMark/>
          </w:tcPr>
          <w:p w14:paraId="4617E68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26,15</w:t>
            </w:r>
          </w:p>
        </w:tc>
        <w:tc>
          <w:tcPr>
            <w:tcW w:w="947" w:type="dxa"/>
            <w:tcBorders>
              <w:top w:val="nil"/>
              <w:left w:val="nil"/>
              <w:bottom w:val="single" w:sz="4" w:space="0" w:color="auto"/>
              <w:right w:val="single" w:sz="4" w:space="0" w:color="auto"/>
            </w:tcBorders>
            <w:noWrap/>
            <w:vAlign w:val="center"/>
            <w:hideMark/>
          </w:tcPr>
          <w:p w14:paraId="1DF4504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2.182,72</w:t>
            </w:r>
          </w:p>
        </w:tc>
        <w:tc>
          <w:tcPr>
            <w:tcW w:w="983" w:type="dxa"/>
            <w:tcBorders>
              <w:top w:val="nil"/>
              <w:left w:val="nil"/>
              <w:bottom w:val="single" w:sz="4" w:space="0" w:color="auto"/>
              <w:right w:val="single" w:sz="4" w:space="0" w:color="auto"/>
            </w:tcBorders>
            <w:noWrap/>
            <w:vAlign w:val="center"/>
            <w:hideMark/>
          </w:tcPr>
          <w:p w14:paraId="40B81E8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111,14</w:t>
            </w:r>
          </w:p>
        </w:tc>
        <w:tc>
          <w:tcPr>
            <w:tcW w:w="959" w:type="dxa"/>
            <w:tcBorders>
              <w:top w:val="nil"/>
              <w:left w:val="nil"/>
              <w:bottom w:val="single" w:sz="4" w:space="0" w:color="auto"/>
              <w:right w:val="single" w:sz="4" w:space="0" w:color="auto"/>
            </w:tcBorders>
            <w:noWrap/>
            <w:vAlign w:val="center"/>
            <w:hideMark/>
          </w:tcPr>
          <w:p w14:paraId="7277715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0,18</w:t>
            </w:r>
          </w:p>
        </w:tc>
        <w:tc>
          <w:tcPr>
            <w:tcW w:w="1236" w:type="dxa"/>
            <w:tcBorders>
              <w:top w:val="nil"/>
              <w:left w:val="nil"/>
              <w:bottom w:val="single" w:sz="4" w:space="0" w:color="auto"/>
              <w:right w:val="single" w:sz="4" w:space="0" w:color="auto"/>
            </w:tcBorders>
            <w:noWrap/>
            <w:vAlign w:val="center"/>
            <w:hideMark/>
          </w:tcPr>
          <w:p w14:paraId="6B42EF37"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1DFF337"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07823D8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0,52</w:t>
            </w:r>
          </w:p>
        </w:tc>
      </w:tr>
      <w:tr w:rsidR="00BE5D1E" w:rsidRPr="005E4BEA" w14:paraId="7E6A783E"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11C0794D"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Slovenska Bistrica</w:t>
            </w:r>
          </w:p>
        </w:tc>
        <w:tc>
          <w:tcPr>
            <w:tcW w:w="930" w:type="dxa"/>
            <w:tcBorders>
              <w:top w:val="nil"/>
              <w:left w:val="nil"/>
              <w:bottom w:val="single" w:sz="4" w:space="0" w:color="auto"/>
              <w:right w:val="single" w:sz="4" w:space="0" w:color="auto"/>
            </w:tcBorders>
            <w:noWrap/>
            <w:vAlign w:val="center"/>
            <w:hideMark/>
          </w:tcPr>
          <w:p w14:paraId="1FFA280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29.562</w:t>
            </w:r>
          </w:p>
        </w:tc>
        <w:tc>
          <w:tcPr>
            <w:tcW w:w="880" w:type="dxa"/>
            <w:tcBorders>
              <w:top w:val="nil"/>
              <w:left w:val="nil"/>
              <w:bottom w:val="single" w:sz="4" w:space="0" w:color="auto"/>
              <w:right w:val="single" w:sz="4" w:space="0" w:color="auto"/>
            </w:tcBorders>
            <w:noWrap/>
            <w:vAlign w:val="center"/>
            <w:hideMark/>
          </w:tcPr>
          <w:p w14:paraId="5ADD397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29.562</w:t>
            </w:r>
          </w:p>
        </w:tc>
        <w:tc>
          <w:tcPr>
            <w:tcW w:w="927" w:type="dxa"/>
            <w:tcBorders>
              <w:top w:val="nil"/>
              <w:left w:val="nil"/>
              <w:bottom w:val="single" w:sz="4" w:space="0" w:color="auto"/>
              <w:right w:val="single" w:sz="4" w:space="0" w:color="auto"/>
            </w:tcBorders>
            <w:noWrap/>
            <w:vAlign w:val="center"/>
            <w:hideMark/>
          </w:tcPr>
          <w:p w14:paraId="73F35C6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10,43</w:t>
            </w:r>
          </w:p>
        </w:tc>
        <w:tc>
          <w:tcPr>
            <w:tcW w:w="947" w:type="dxa"/>
            <w:tcBorders>
              <w:top w:val="nil"/>
              <w:left w:val="nil"/>
              <w:bottom w:val="single" w:sz="4" w:space="0" w:color="auto"/>
              <w:right w:val="single" w:sz="4" w:space="0" w:color="auto"/>
            </w:tcBorders>
            <w:noWrap/>
            <w:vAlign w:val="center"/>
            <w:hideMark/>
          </w:tcPr>
          <w:p w14:paraId="5A2D5B8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2.833,26</w:t>
            </w:r>
          </w:p>
        </w:tc>
        <w:tc>
          <w:tcPr>
            <w:tcW w:w="983" w:type="dxa"/>
            <w:tcBorders>
              <w:top w:val="nil"/>
              <w:left w:val="nil"/>
              <w:bottom w:val="single" w:sz="4" w:space="0" w:color="auto"/>
              <w:right w:val="single" w:sz="4" w:space="0" w:color="auto"/>
            </w:tcBorders>
            <w:noWrap/>
            <w:vAlign w:val="center"/>
            <w:hideMark/>
          </w:tcPr>
          <w:p w14:paraId="191CF7D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85,62</w:t>
            </w:r>
          </w:p>
        </w:tc>
        <w:tc>
          <w:tcPr>
            <w:tcW w:w="959" w:type="dxa"/>
            <w:tcBorders>
              <w:top w:val="nil"/>
              <w:left w:val="nil"/>
              <w:bottom w:val="single" w:sz="4" w:space="0" w:color="auto"/>
              <w:right w:val="single" w:sz="4" w:space="0" w:color="auto"/>
            </w:tcBorders>
            <w:noWrap/>
            <w:vAlign w:val="center"/>
            <w:hideMark/>
          </w:tcPr>
          <w:p w14:paraId="075C32D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0,08</w:t>
            </w:r>
          </w:p>
        </w:tc>
        <w:tc>
          <w:tcPr>
            <w:tcW w:w="1236" w:type="dxa"/>
            <w:tcBorders>
              <w:top w:val="nil"/>
              <w:left w:val="nil"/>
              <w:bottom w:val="single" w:sz="4" w:space="0" w:color="auto"/>
              <w:right w:val="single" w:sz="4" w:space="0" w:color="auto"/>
            </w:tcBorders>
            <w:noWrap/>
            <w:vAlign w:val="center"/>
            <w:hideMark/>
          </w:tcPr>
          <w:p w14:paraId="77165B9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1,75</w:t>
            </w:r>
          </w:p>
        </w:tc>
        <w:tc>
          <w:tcPr>
            <w:tcW w:w="855" w:type="dxa"/>
            <w:tcBorders>
              <w:top w:val="nil"/>
              <w:left w:val="nil"/>
              <w:bottom w:val="single" w:sz="4" w:space="0" w:color="auto"/>
              <w:right w:val="nil"/>
            </w:tcBorders>
            <w:noWrap/>
            <w:vAlign w:val="bottom"/>
            <w:hideMark/>
          </w:tcPr>
          <w:p w14:paraId="2FC547CA"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3E5FDB3D"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6AB83C3"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5593CE7E"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MURSKA SOBOTA</w:t>
            </w:r>
          </w:p>
        </w:tc>
        <w:tc>
          <w:tcPr>
            <w:tcW w:w="930" w:type="dxa"/>
            <w:tcBorders>
              <w:top w:val="nil"/>
              <w:left w:val="nil"/>
              <w:bottom w:val="single" w:sz="4" w:space="0" w:color="auto"/>
              <w:right w:val="single" w:sz="4" w:space="0" w:color="auto"/>
            </w:tcBorders>
            <w:shd w:val="clear" w:color="000000" w:fill="FFFF99"/>
            <w:noWrap/>
            <w:vAlign w:val="center"/>
            <w:hideMark/>
          </w:tcPr>
          <w:p w14:paraId="2265AE3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93.812,</w:t>
            </w:r>
          </w:p>
        </w:tc>
        <w:tc>
          <w:tcPr>
            <w:tcW w:w="880" w:type="dxa"/>
            <w:tcBorders>
              <w:top w:val="nil"/>
              <w:left w:val="nil"/>
              <w:bottom w:val="single" w:sz="4" w:space="0" w:color="auto"/>
              <w:right w:val="single" w:sz="4" w:space="0" w:color="auto"/>
            </w:tcBorders>
            <w:shd w:val="clear" w:color="000000" w:fill="FFFF99"/>
            <w:noWrap/>
            <w:vAlign w:val="center"/>
            <w:hideMark/>
          </w:tcPr>
          <w:p w14:paraId="31DA144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93.812,</w:t>
            </w:r>
          </w:p>
        </w:tc>
        <w:tc>
          <w:tcPr>
            <w:tcW w:w="927" w:type="dxa"/>
            <w:tcBorders>
              <w:top w:val="nil"/>
              <w:left w:val="nil"/>
              <w:bottom w:val="single" w:sz="4" w:space="0" w:color="auto"/>
              <w:right w:val="single" w:sz="4" w:space="0" w:color="auto"/>
            </w:tcBorders>
            <w:shd w:val="clear" w:color="000000" w:fill="FFFF99"/>
            <w:noWrap/>
            <w:vAlign w:val="center"/>
            <w:hideMark/>
          </w:tcPr>
          <w:p w14:paraId="1649CC6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44,94</w:t>
            </w:r>
          </w:p>
        </w:tc>
        <w:tc>
          <w:tcPr>
            <w:tcW w:w="947" w:type="dxa"/>
            <w:tcBorders>
              <w:top w:val="nil"/>
              <w:left w:val="nil"/>
              <w:bottom w:val="single" w:sz="4" w:space="0" w:color="auto"/>
              <w:right w:val="single" w:sz="4" w:space="0" w:color="auto"/>
            </w:tcBorders>
            <w:shd w:val="clear" w:color="000000" w:fill="FFFF99"/>
            <w:noWrap/>
            <w:vAlign w:val="center"/>
            <w:hideMark/>
          </w:tcPr>
          <w:p w14:paraId="2832692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2.087,49</w:t>
            </w:r>
          </w:p>
        </w:tc>
        <w:tc>
          <w:tcPr>
            <w:tcW w:w="983" w:type="dxa"/>
            <w:tcBorders>
              <w:top w:val="nil"/>
              <w:left w:val="nil"/>
              <w:bottom w:val="single" w:sz="4" w:space="0" w:color="auto"/>
              <w:right w:val="single" w:sz="4" w:space="0" w:color="auto"/>
            </w:tcBorders>
            <w:shd w:val="clear" w:color="000000" w:fill="FFFF99"/>
            <w:noWrap/>
            <w:vAlign w:val="center"/>
            <w:hideMark/>
          </w:tcPr>
          <w:p w14:paraId="30F7B9D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116,20</w:t>
            </w:r>
          </w:p>
        </w:tc>
        <w:tc>
          <w:tcPr>
            <w:tcW w:w="959" w:type="dxa"/>
            <w:tcBorders>
              <w:top w:val="nil"/>
              <w:left w:val="nil"/>
              <w:bottom w:val="single" w:sz="4" w:space="0" w:color="auto"/>
              <w:right w:val="single" w:sz="4" w:space="0" w:color="auto"/>
            </w:tcBorders>
            <w:shd w:val="clear" w:color="000000" w:fill="FFFF99"/>
            <w:noWrap/>
            <w:vAlign w:val="center"/>
            <w:hideMark/>
          </w:tcPr>
          <w:p w14:paraId="2AA0E59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79958B9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79189AE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3FFBB715"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EE1E4C2"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6CEA8F3A"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Murska Sobota</w:t>
            </w:r>
          </w:p>
        </w:tc>
        <w:tc>
          <w:tcPr>
            <w:tcW w:w="930" w:type="dxa"/>
            <w:tcBorders>
              <w:top w:val="nil"/>
              <w:left w:val="nil"/>
              <w:bottom w:val="single" w:sz="4" w:space="0" w:color="auto"/>
              <w:right w:val="single" w:sz="4" w:space="0" w:color="auto"/>
            </w:tcBorders>
            <w:shd w:val="clear" w:color="000000" w:fill="FFFFFF"/>
            <w:noWrap/>
            <w:vAlign w:val="center"/>
            <w:hideMark/>
          </w:tcPr>
          <w:p w14:paraId="7D85978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45.033</w:t>
            </w:r>
          </w:p>
        </w:tc>
        <w:tc>
          <w:tcPr>
            <w:tcW w:w="880" w:type="dxa"/>
            <w:tcBorders>
              <w:top w:val="nil"/>
              <w:left w:val="nil"/>
              <w:bottom w:val="single" w:sz="4" w:space="0" w:color="auto"/>
              <w:right w:val="single" w:sz="4" w:space="0" w:color="auto"/>
            </w:tcBorders>
            <w:shd w:val="clear" w:color="000000" w:fill="FFFFFF"/>
            <w:noWrap/>
            <w:vAlign w:val="center"/>
            <w:hideMark/>
          </w:tcPr>
          <w:p w14:paraId="0913392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45.033</w:t>
            </w:r>
          </w:p>
        </w:tc>
        <w:tc>
          <w:tcPr>
            <w:tcW w:w="927" w:type="dxa"/>
            <w:tcBorders>
              <w:top w:val="nil"/>
              <w:left w:val="nil"/>
              <w:bottom w:val="single" w:sz="4" w:space="0" w:color="auto"/>
              <w:right w:val="single" w:sz="4" w:space="0" w:color="auto"/>
            </w:tcBorders>
            <w:noWrap/>
            <w:vAlign w:val="center"/>
            <w:hideMark/>
          </w:tcPr>
          <w:p w14:paraId="4184C4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22,43</w:t>
            </w:r>
          </w:p>
        </w:tc>
        <w:tc>
          <w:tcPr>
            <w:tcW w:w="947" w:type="dxa"/>
            <w:tcBorders>
              <w:top w:val="nil"/>
              <w:left w:val="nil"/>
              <w:bottom w:val="single" w:sz="4" w:space="0" w:color="auto"/>
              <w:right w:val="single" w:sz="4" w:space="0" w:color="auto"/>
            </w:tcBorders>
            <w:noWrap/>
            <w:vAlign w:val="center"/>
            <w:hideMark/>
          </w:tcPr>
          <w:p w14:paraId="1D6E284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2.007,71</w:t>
            </w:r>
          </w:p>
        </w:tc>
        <w:tc>
          <w:tcPr>
            <w:tcW w:w="983" w:type="dxa"/>
            <w:tcBorders>
              <w:top w:val="nil"/>
              <w:left w:val="nil"/>
              <w:bottom w:val="single" w:sz="4" w:space="0" w:color="auto"/>
              <w:right w:val="single" w:sz="4" w:space="0" w:color="auto"/>
            </w:tcBorders>
            <w:noWrap/>
            <w:vAlign w:val="center"/>
            <w:hideMark/>
          </w:tcPr>
          <w:p w14:paraId="260B4B3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120,82</w:t>
            </w:r>
          </w:p>
        </w:tc>
        <w:tc>
          <w:tcPr>
            <w:tcW w:w="959" w:type="dxa"/>
            <w:tcBorders>
              <w:top w:val="nil"/>
              <w:left w:val="nil"/>
              <w:bottom w:val="single" w:sz="4" w:space="0" w:color="auto"/>
              <w:right w:val="single" w:sz="4" w:space="0" w:color="auto"/>
            </w:tcBorders>
            <w:noWrap/>
            <w:vAlign w:val="center"/>
            <w:hideMark/>
          </w:tcPr>
          <w:p w14:paraId="1A512B4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36F6731A"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27AA6F4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507BF7E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15215742"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7B11B4C6"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Gornja Radgona</w:t>
            </w:r>
          </w:p>
        </w:tc>
        <w:tc>
          <w:tcPr>
            <w:tcW w:w="930" w:type="dxa"/>
            <w:tcBorders>
              <w:top w:val="nil"/>
              <w:left w:val="nil"/>
              <w:bottom w:val="single" w:sz="4" w:space="0" w:color="auto"/>
              <w:right w:val="single" w:sz="4" w:space="0" w:color="auto"/>
            </w:tcBorders>
            <w:shd w:val="clear" w:color="000000" w:fill="FFFFFF"/>
            <w:noWrap/>
            <w:vAlign w:val="center"/>
            <w:hideMark/>
          </w:tcPr>
          <w:p w14:paraId="7151090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16.139</w:t>
            </w:r>
          </w:p>
        </w:tc>
        <w:tc>
          <w:tcPr>
            <w:tcW w:w="880" w:type="dxa"/>
            <w:tcBorders>
              <w:top w:val="nil"/>
              <w:left w:val="nil"/>
              <w:bottom w:val="single" w:sz="4" w:space="0" w:color="auto"/>
              <w:right w:val="single" w:sz="4" w:space="0" w:color="auto"/>
            </w:tcBorders>
            <w:shd w:val="clear" w:color="000000" w:fill="FFFFFF"/>
            <w:noWrap/>
            <w:vAlign w:val="center"/>
            <w:hideMark/>
          </w:tcPr>
          <w:p w14:paraId="4CD3A64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16.139</w:t>
            </w:r>
          </w:p>
        </w:tc>
        <w:tc>
          <w:tcPr>
            <w:tcW w:w="927" w:type="dxa"/>
            <w:tcBorders>
              <w:top w:val="nil"/>
              <w:left w:val="nil"/>
              <w:bottom w:val="single" w:sz="4" w:space="0" w:color="auto"/>
              <w:right w:val="single" w:sz="4" w:space="0" w:color="auto"/>
            </w:tcBorders>
            <w:noWrap/>
            <w:vAlign w:val="center"/>
            <w:hideMark/>
          </w:tcPr>
          <w:p w14:paraId="6EA0060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8,24</w:t>
            </w:r>
          </w:p>
        </w:tc>
        <w:tc>
          <w:tcPr>
            <w:tcW w:w="947" w:type="dxa"/>
            <w:tcBorders>
              <w:top w:val="nil"/>
              <w:left w:val="nil"/>
              <w:bottom w:val="single" w:sz="4" w:space="0" w:color="auto"/>
              <w:right w:val="single" w:sz="4" w:space="0" w:color="auto"/>
            </w:tcBorders>
            <w:noWrap/>
            <w:vAlign w:val="center"/>
            <w:hideMark/>
          </w:tcPr>
          <w:p w14:paraId="0C1438E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1.958,62</w:t>
            </w:r>
          </w:p>
        </w:tc>
        <w:tc>
          <w:tcPr>
            <w:tcW w:w="983" w:type="dxa"/>
            <w:tcBorders>
              <w:top w:val="nil"/>
              <w:left w:val="nil"/>
              <w:bottom w:val="single" w:sz="4" w:space="0" w:color="auto"/>
              <w:right w:val="single" w:sz="4" w:space="0" w:color="auto"/>
            </w:tcBorders>
            <w:noWrap/>
            <w:vAlign w:val="center"/>
            <w:hideMark/>
          </w:tcPr>
          <w:p w14:paraId="7ED6A67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123,85</w:t>
            </w:r>
          </w:p>
        </w:tc>
        <w:tc>
          <w:tcPr>
            <w:tcW w:w="959" w:type="dxa"/>
            <w:tcBorders>
              <w:top w:val="nil"/>
              <w:left w:val="nil"/>
              <w:bottom w:val="single" w:sz="4" w:space="0" w:color="auto"/>
              <w:right w:val="single" w:sz="4" w:space="0" w:color="auto"/>
            </w:tcBorders>
            <w:noWrap/>
            <w:vAlign w:val="center"/>
            <w:hideMark/>
          </w:tcPr>
          <w:p w14:paraId="0BBC185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49FD9831"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20C4758E"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2BDE95B0"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181D4620"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3B1D3C0B"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Lendava</w:t>
            </w:r>
          </w:p>
        </w:tc>
        <w:tc>
          <w:tcPr>
            <w:tcW w:w="930" w:type="dxa"/>
            <w:tcBorders>
              <w:top w:val="nil"/>
              <w:left w:val="nil"/>
              <w:bottom w:val="single" w:sz="4" w:space="0" w:color="auto"/>
              <w:right w:val="single" w:sz="4" w:space="0" w:color="auto"/>
            </w:tcBorders>
            <w:shd w:val="clear" w:color="000000" w:fill="FFFFFF"/>
            <w:noWrap/>
            <w:vAlign w:val="center"/>
            <w:hideMark/>
          </w:tcPr>
          <w:p w14:paraId="6B954D4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18.652</w:t>
            </w:r>
          </w:p>
        </w:tc>
        <w:tc>
          <w:tcPr>
            <w:tcW w:w="880" w:type="dxa"/>
            <w:tcBorders>
              <w:top w:val="nil"/>
              <w:left w:val="nil"/>
              <w:bottom w:val="single" w:sz="4" w:space="0" w:color="auto"/>
              <w:right w:val="single" w:sz="4" w:space="0" w:color="auto"/>
            </w:tcBorders>
            <w:shd w:val="clear" w:color="000000" w:fill="FFFFFF"/>
            <w:noWrap/>
            <w:vAlign w:val="center"/>
            <w:hideMark/>
          </w:tcPr>
          <w:p w14:paraId="59C1BFF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18.652</w:t>
            </w:r>
          </w:p>
        </w:tc>
        <w:tc>
          <w:tcPr>
            <w:tcW w:w="927" w:type="dxa"/>
            <w:tcBorders>
              <w:top w:val="nil"/>
              <w:left w:val="nil"/>
              <w:bottom w:val="single" w:sz="4" w:space="0" w:color="auto"/>
              <w:right w:val="single" w:sz="4" w:space="0" w:color="auto"/>
            </w:tcBorders>
            <w:noWrap/>
            <w:vAlign w:val="center"/>
            <w:hideMark/>
          </w:tcPr>
          <w:p w14:paraId="78EDF1E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8,07</w:t>
            </w:r>
          </w:p>
        </w:tc>
        <w:tc>
          <w:tcPr>
            <w:tcW w:w="947" w:type="dxa"/>
            <w:tcBorders>
              <w:top w:val="nil"/>
              <w:left w:val="nil"/>
              <w:bottom w:val="single" w:sz="4" w:space="0" w:color="auto"/>
              <w:right w:val="single" w:sz="4" w:space="0" w:color="auto"/>
            </w:tcBorders>
            <w:noWrap/>
            <w:vAlign w:val="center"/>
            <w:hideMark/>
          </w:tcPr>
          <w:p w14:paraId="5B65BA8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2.311,28</w:t>
            </w:r>
          </w:p>
        </w:tc>
        <w:tc>
          <w:tcPr>
            <w:tcW w:w="983" w:type="dxa"/>
            <w:tcBorders>
              <w:top w:val="nil"/>
              <w:left w:val="nil"/>
              <w:bottom w:val="single" w:sz="4" w:space="0" w:color="auto"/>
              <w:right w:val="single" w:sz="4" w:space="0" w:color="auto"/>
            </w:tcBorders>
            <w:noWrap/>
            <w:vAlign w:val="center"/>
            <w:hideMark/>
          </w:tcPr>
          <w:p w14:paraId="68B0B84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104,95</w:t>
            </w:r>
          </w:p>
        </w:tc>
        <w:tc>
          <w:tcPr>
            <w:tcW w:w="959" w:type="dxa"/>
            <w:tcBorders>
              <w:top w:val="nil"/>
              <w:left w:val="nil"/>
              <w:bottom w:val="single" w:sz="4" w:space="0" w:color="auto"/>
              <w:right w:val="single" w:sz="4" w:space="0" w:color="auto"/>
            </w:tcBorders>
            <w:noWrap/>
            <w:vAlign w:val="center"/>
            <w:hideMark/>
          </w:tcPr>
          <w:p w14:paraId="5E9B998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125E6A73"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B268868"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204BD453"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3C2BBA7"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36180887"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Ljutomer</w:t>
            </w:r>
          </w:p>
        </w:tc>
        <w:tc>
          <w:tcPr>
            <w:tcW w:w="930" w:type="dxa"/>
            <w:tcBorders>
              <w:top w:val="nil"/>
              <w:left w:val="nil"/>
              <w:bottom w:val="single" w:sz="4" w:space="0" w:color="auto"/>
              <w:right w:val="single" w:sz="4" w:space="0" w:color="auto"/>
            </w:tcBorders>
            <w:shd w:val="clear" w:color="000000" w:fill="FFFFFF"/>
            <w:noWrap/>
            <w:vAlign w:val="center"/>
            <w:hideMark/>
          </w:tcPr>
          <w:p w14:paraId="530BE0C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13.988</w:t>
            </w:r>
          </w:p>
        </w:tc>
        <w:tc>
          <w:tcPr>
            <w:tcW w:w="880" w:type="dxa"/>
            <w:tcBorders>
              <w:top w:val="nil"/>
              <w:left w:val="nil"/>
              <w:bottom w:val="single" w:sz="4" w:space="0" w:color="auto"/>
              <w:right w:val="single" w:sz="4" w:space="0" w:color="auto"/>
            </w:tcBorders>
            <w:shd w:val="clear" w:color="000000" w:fill="FFFFFF"/>
            <w:noWrap/>
            <w:vAlign w:val="center"/>
            <w:hideMark/>
          </w:tcPr>
          <w:p w14:paraId="09BB4C4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13.988</w:t>
            </w:r>
          </w:p>
        </w:tc>
        <w:tc>
          <w:tcPr>
            <w:tcW w:w="927" w:type="dxa"/>
            <w:tcBorders>
              <w:top w:val="nil"/>
              <w:left w:val="nil"/>
              <w:bottom w:val="single" w:sz="4" w:space="0" w:color="auto"/>
              <w:right w:val="single" w:sz="4" w:space="0" w:color="auto"/>
            </w:tcBorders>
            <w:noWrap/>
            <w:vAlign w:val="center"/>
            <w:hideMark/>
          </w:tcPr>
          <w:p w14:paraId="7169D75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6,20</w:t>
            </w:r>
          </w:p>
        </w:tc>
        <w:tc>
          <w:tcPr>
            <w:tcW w:w="947" w:type="dxa"/>
            <w:tcBorders>
              <w:top w:val="nil"/>
              <w:left w:val="nil"/>
              <w:bottom w:val="single" w:sz="4" w:space="0" w:color="auto"/>
              <w:right w:val="single" w:sz="4" w:space="0" w:color="auto"/>
            </w:tcBorders>
            <w:noWrap/>
            <w:vAlign w:val="center"/>
            <w:hideMark/>
          </w:tcPr>
          <w:p w14:paraId="04763FF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2.256,13</w:t>
            </w:r>
          </w:p>
        </w:tc>
        <w:tc>
          <w:tcPr>
            <w:tcW w:w="983" w:type="dxa"/>
            <w:tcBorders>
              <w:top w:val="nil"/>
              <w:left w:val="nil"/>
              <w:bottom w:val="single" w:sz="4" w:space="0" w:color="auto"/>
              <w:right w:val="single" w:sz="4" w:space="0" w:color="auto"/>
            </w:tcBorders>
            <w:noWrap/>
            <w:vAlign w:val="center"/>
            <w:hideMark/>
          </w:tcPr>
          <w:p w14:paraId="478135E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107,52</w:t>
            </w:r>
          </w:p>
        </w:tc>
        <w:tc>
          <w:tcPr>
            <w:tcW w:w="959" w:type="dxa"/>
            <w:tcBorders>
              <w:top w:val="nil"/>
              <w:left w:val="nil"/>
              <w:bottom w:val="single" w:sz="4" w:space="0" w:color="auto"/>
              <w:right w:val="single" w:sz="4" w:space="0" w:color="auto"/>
            </w:tcBorders>
            <w:noWrap/>
            <w:vAlign w:val="center"/>
            <w:hideMark/>
          </w:tcPr>
          <w:p w14:paraId="42FDE83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21C14A4A"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F4BABFD"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6511B7BD"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752DB79"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10A5E863"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NOVA GORICA</w:t>
            </w:r>
          </w:p>
        </w:tc>
        <w:tc>
          <w:tcPr>
            <w:tcW w:w="930" w:type="dxa"/>
            <w:tcBorders>
              <w:top w:val="nil"/>
              <w:left w:val="nil"/>
              <w:bottom w:val="single" w:sz="4" w:space="0" w:color="auto"/>
              <w:right w:val="single" w:sz="4" w:space="0" w:color="auto"/>
            </w:tcBorders>
            <w:shd w:val="clear" w:color="000000" w:fill="FFFF99"/>
            <w:noWrap/>
            <w:vAlign w:val="center"/>
            <w:hideMark/>
          </w:tcPr>
          <w:p w14:paraId="47D0D50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85.046,</w:t>
            </w:r>
          </w:p>
        </w:tc>
        <w:tc>
          <w:tcPr>
            <w:tcW w:w="880" w:type="dxa"/>
            <w:tcBorders>
              <w:top w:val="nil"/>
              <w:left w:val="nil"/>
              <w:bottom w:val="single" w:sz="4" w:space="0" w:color="auto"/>
              <w:right w:val="single" w:sz="4" w:space="0" w:color="auto"/>
            </w:tcBorders>
            <w:shd w:val="clear" w:color="000000" w:fill="FFFF99"/>
            <w:noWrap/>
            <w:vAlign w:val="center"/>
            <w:hideMark/>
          </w:tcPr>
          <w:p w14:paraId="3189A7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85.046,</w:t>
            </w:r>
          </w:p>
        </w:tc>
        <w:tc>
          <w:tcPr>
            <w:tcW w:w="927" w:type="dxa"/>
            <w:tcBorders>
              <w:top w:val="nil"/>
              <w:left w:val="nil"/>
              <w:bottom w:val="single" w:sz="4" w:space="0" w:color="auto"/>
              <w:right w:val="single" w:sz="4" w:space="0" w:color="auto"/>
            </w:tcBorders>
            <w:shd w:val="clear" w:color="000000" w:fill="FFFF99"/>
            <w:noWrap/>
            <w:vAlign w:val="center"/>
            <w:hideMark/>
          </w:tcPr>
          <w:p w14:paraId="08EC465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36,97</w:t>
            </w:r>
          </w:p>
        </w:tc>
        <w:tc>
          <w:tcPr>
            <w:tcW w:w="947" w:type="dxa"/>
            <w:tcBorders>
              <w:top w:val="nil"/>
              <w:left w:val="nil"/>
              <w:bottom w:val="single" w:sz="4" w:space="0" w:color="auto"/>
              <w:right w:val="single" w:sz="4" w:space="0" w:color="auto"/>
            </w:tcBorders>
            <w:shd w:val="clear" w:color="000000" w:fill="FFFF99"/>
            <w:noWrap/>
            <w:vAlign w:val="center"/>
            <w:hideMark/>
          </w:tcPr>
          <w:p w14:paraId="6B53A48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2.300,22</w:t>
            </w:r>
          </w:p>
        </w:tc>
        <w:tc>
          <w:tcPr>
            <w:tcW w:w="983" w:type="dxa"/>
            <w:tcBorders>
              <w:top w:val="nil"/>
              <w:left w:val="nil"/>
              <w:bottom w:val="single" w:sz="4" w:space="0" w:color="auto"/>
              <w:right w:val="single" w:sz="4" w:space="0" w:color="auto"/>
            </w:tcBorders>
            <w:shd w:val="clear" w:color="000000" w:fill="FFFF99"/>
            <w:noWrap/>
            <w:vAlign w:val="center"/>
            <w:hideMark/>
          </w:tcPr>
          <w:p w14:paraId="02DC24A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105,46</w:t>
            </w:r>
          </w:p>
        </w:tc>
        <w:tc>
          <w:tcPr>
            <w:tcW w:w="959" w:type="dxa"/>
            <w:tcBorders>
              <w:top w:val="nil"/>
              <w:left w:val="nil"/>
              <w:bottom w:val="single" w:sz="4" w:space="0" w:color="auto"/>
              <w:right w:val="single" w:sz="4" w:space="0" w:color="auto"/>
            </w:tcBorders>
            <w:shd w:val="clear" w:color="000000" w:fill="FFFF99"/>
            <w:noWrap/>
            <w:vAlign w:val="center"/>
            <w:hideMark/>
          </w:tcPr>
          <w:p w14:paraId="5277623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48FF3391"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016A27E2"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6088B349"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9117DAF"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40BAA219"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Nova Gorica</w:t>
            </w:r>
          </w:p>
        </w:tc>
        <w:tc>
          <w:tcPr>
            <w:tcW w:w="930" w:type="dxa"/>
            <w:tcBorders>
              <w:top w:val="nil"/>
              <w:left w:val="nil"/>
              <w:bottom w:val="single" w:sz="4" w:space="0" w:color="auto"/>
              <w:right w:val="single" w:sz="4" w:space="0" w:color="auto"/>
            </w:tcBorders>
            <w:shd w:val="clear" w:color="000000" w:fill="FFFFFF"/>
            <w:noWrap/>
            <w:vAlign w:val="center"/>
            <w:hideMark/>
          </w:tcPr>
          <w:p w14:paraId="52E97DB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49.115</w:t>
            </w:r>
          </w:p>
        </w:tc>
        <w:tc>
          <w:tcPr>
            <w:tcW w:w="880" w:type="dxa"/>
            <w:tcBorders>
              <w:top w:val="nil"/>
              <w:left w:val="nil"/>
              <w:bottom w:val="single" w:sz="4" w:space="0" w:color="auto"/>
              <w:right w:val="single" w:sz="4" w:space="0" w:color="auto"/>
            </w:tcBorders>
            <w:shd w:val="clear" w:color="000000" w:fill="FFFFFF"/>
            <w:noWrap/>
            <w:vAlign w:val="center"/>
            <w:hideMark/>
          </w:tcPr>
          <w:p w14:paraId="628886C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49.115</w:t>
            </w:r>
          </w:p>
        </w:tc>
        <w:tc>
          <w:tcPr>
            <w:tcW w:w="927" w:type="dxa"/>
            <w:tcBorders>
              <w:top w:val="nil"/>
              <w:left w:val="nil"/>
              <w:bottom w:val="single" w:sz="4" w:space="0" w:color="auto"/>
              <w:right w:val="single" w:sz="4" w:space="0" w:color="auto"/>
            </w:tcBorders>
            <w:noWrap/>
            <w:vAlign w:val="center"/>
            <w:hideMark/>
          </w:tcPr>
          <w:p w14:paraId="2AA7946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21,08</w:t>
            </w:r>
          </w:p>
        </w:tc>
        <w:tc>
          <w:tcPr>
            <w:tcW w:w="947" w:type="dxa"/>
            <w:tcBorders>
              <w:top w:val="nil"/>
              <w:left w:val="nil"/>
              <w:bottom w:val="single" w:sz="4" w:space="0" w:color="auto"/>
              <w:right w:val="single" w:sz="4" w:space="0" w:color="auto"/>
            </w:tcBorders>
            <w:noWrap/>
            <w:vAlign w:val="center"/>
            <w:hideMark/>
          </w:tcPr>
          <w:p w14:paraId="79F5F76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2.329,93</w:t>
            </w:r>
          </w:p>
        </w:tc>
        <w:tc>
          <w:tcPr>
            <w:tcW w:w="983" w:type="dxa"/>
            <w:tcBorders>
              <w:top w:val="nil"/>
              <w:left w:val="nil"/>
              <w:bottom w:val="single" w:sz="4" w:space="0" w:color="auto"/>
              <w:right w:val="single" w:sz="4" w:space="0" w:color="auto"/>
            </w:tcBorders>
            <w:noWrap/>
            <w:vAlign w:val="center"/>
            <w:hideMark/>
          </w:tcPr>
          <w:p w14:paraId="6C213A8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104,11</w:t>
            </w:r>
          </w:p>
        </w:tc>
        <w:tc>
          <w:tcPr>
            <w:tcW w:w="959" w:type="dxa"/>
            <w:tcBorders>
              <w:top w:val="nil"/>
              <w:left w:val="nil"/>
              <w:bottom w:val="single" w:sz="4" w:space="0" w:color="auto"/>
              <w:right w:val="single" w:sz="4" w:space="0" w:color="auto"/>
            </w:tcBorders>
            <w:noWrap/>
            <w:vAlign w:val="center"/>
            <w:hideMark/>
          </w:tcPr>
          <w:p w14:paraId="51CE4C1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7249F77A"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1AA7FD75"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39B327FA"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67E81A7"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1F0F7094"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Ajdovščina</w:t>
            </w:r>
          </w:p>
        </w:tc>
        <w:tc>
          <w:tcPr>
            <w:tcW w:w="930" w:type="dxa"/>
            <w:tcBorders>
              <w:top w:val="nil"/>
              <w:left w:val="nil"/>
              <w:bottom w:val="single" w:sz="4" w:space="0" w:color="auto"/>
              <w:right w:val="single" w:sz="4" w:space="0" w:color="auto"/>
            </w:tcBorders>
            <w:noWrap/>
            <w:vAlign w:val="center"/>
            <w:hideMark/>
          </w:tcPr>
          <w:p w14:paraId="2E5E949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20.661</w:t>
            </w:r>
          </w:p>
        </w:tc>
        <w:tc>
          <w:tcPr>
            <w:tcW w:w="880" w:type="dxa"/>
            <w:tcBorders>
              <w:top w:val="nil"/>
              <w:left w:val="nil"/>
              <w:bottom w:val="single" w:sz="4" w:space="0" w:color="auto"/>
              <w:right w:val="single" w:sz="4" w:space="0" w:color="auto"/>
            </w:tcBorders>
            <w:noWrap/>
            <w:vAlign w:val="center"/>
            <w:hideMark/>
          </w:tcPr>
          <w:p w14:paraId="7D78235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20.661</w:t>
            </w:r>
          </w:p>
        </w:tc>
        <w:tc>
          <w:tcPr>
            <w:tcW w:w="927" w:type="dxa"/>
            <w:tcBorders>
              <w:top w:val="nil"/>
              <w:left w:val="nil"/>
              <w:bottom w:val="single" w:sz="4" w:space="0" w:color="auto"/>
              <w:right w:val="single" w:sz="4" w:space="0" w:color="auto"/>
            </w:tcBorders>
            <w:noWrap/>
            <w:vAlign w:val="center"/>
            <w:hideMark/>
          </w:tcPr>
          <w:p w14:paraId="04F1F9A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8,50</w:t>
            </w:r>
          </w:p>
        </w:tc>
        <w:tc>
          <w:tcPr>
            <w:tcW w:w="947" w:type="dxa"/>
            <w:tcBorders>
              <w:top w:val="nil"/>
              <w:left w:val="nil"/>
              <w:bottom w:val="single" w:sz="4" w:space="0" w:color="auto"/>
              <w:right w:val="single" w:sz="4" w:space="0" w:color="auto"/>
            </w:tcBorders>
            <w:noWrap/>
            <w:vAlign w:val="center"/>
            <w:hideMark/>
          </w:tcPr>
          <w:p w14:paraId="52029B1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2.430,71</w:t>
            </w:r>
          </w:p>
        </w:tc>
        <w:tc>
          <w:tcPr>
            <w:tcW w:w="983" w:type="dxa"/>
            <w:tcBorders>
              <w:top w:val="nil"/>
              <w:left w:val="nil"/>
              <w:bottom w:val="single" w:sz="4" w:space="0" w:color="auto"/>
              <w:right w:val="single" w:sz="4" w:space="0" w:color="auto"/>
            </w:tcBorders>
            <w:noWrap/>
            <w:vAlign w:val="center"/>
            <w:hideMark/>
          </w:tcPr>
          <w:p w14:paraId="49046FA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99,80</w:t>
            </w:r>
          </w:p>
        </w:tc>
        <w:tc>
          <w:tcPr>
            <w:tcW w:w="959" w:type="dxa"/>
            <w:tcBorders>
              <w:top w:val="nil"/>
              <w:left w:val="nil"/>
              <w:bottom w:val="single" w:sz="4" w:space="0" w:color="auto"/>
              <w:right w:val="single" w:sz="4" w:space="0" w:color="auto"/>
            </w:tcBorders>
            <w:noWrap/>
            <w:vAlign w:val="center"/>
            <w:hideMark/>
          </w:tcPr>
          <w:p w14:paraId="4A3C89F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0,74</w:t>
            </w:r>
          </w:p>
        </w:tc>
        <w:tc>
          <w:tcPr>
            <w:tcW w:w="1236" w:type="dxa"/>
            <w:tcBorders>
              <w:top w:val="nil"/>
              <w:left w:val="nil"/>
              <w:bottom w:val="single" w:sz="4" w:space="0" w:color="auto"/>
              <w:right w:val="single" w:sz="4" w:space="0" w:color="auto"/>
            </w:tcBorders>
            <w:noWrap/>
            <w:vAlign w:val="center"/>
            <w:hideMark/>
          </w:tcPr>
          <w:p w14:paraId="0F85FEA9"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22874DC6"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3BBF5722"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2B4A23BB"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2E40B664"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Tolmin</w:t>
            </w:r>
          </w:p>
        </w:tc>
        <w:tc>
          <w:tcPr>
            <w:tcW w:w="930" w:type="dxa"/>
            <w:tcBorders>
              <w:top w:val="nil"/>
              <w:left w:val="nil"/>
              <w:bottom w:val="single" w:sz="4" w:space="0" w:color="auto"/>
              <w:right w:val="single" w:sz="4" w:space="0" w:color="auto"/>
            </w:tcBorders>
            <w:shd w:val="clear" w:color="000000" w:fill="FFFFFF"/>
            <w:noWrap/>
            <w:vAlign w:val="center"/>
            <w:hideMark/>
          </w:tcPr>
          <w:p w14:paraId="03A1E23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15.270</w:t>
            </w:r>
          </w:p>
        </w:tc>
        <w:tc>
          <w:tcPr>
            <w:tcW w:w="880" w:type="dxa"/>
            <w:tcBorders>
              <w:top w:val="nil"/>
              <w:left w:val="nil"/>
              <w:bottom w:val="single" w:sz="4" w:space="0" w:color="auto"/>
              <w:right w:val="single" w:sz="4" w:space="0" w:color="auto"/>
            </w:tcBorders>
            <w:shd w:val="clear" w:color="000000" w:fill="FFFFFF"/>
            <w:noWrap/>
            <w:vAlign w:val="center"/>
            <w:hideMark/>
          </w:tcPr>
          <w:p w14:paraId="746F065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15.270</w:t>
            </w:r>
          </w:p>
        </w:tc>
        <w:tc>
          <w:tcPr>
            <w:tcW w:w="927" w:type="dxa"/>
            <w:tcBorders>
              <w:top w:val="nil"/>
              <w:left w:val="nil"/>
              <w:bottom w:val="single" w:sz="4" w:space="0" w:color="auto"/>
              <w:right w:val="single" w:sz="4" w:space="0" w:color="auto"/>
            </w:tcBorders>
            <w:noWrap/>
            <w:vAlign w:val="center"/>
            <w:hideMark/>
          </w:tcPr>
          <w:p w14:paraId="6252BBE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7,39</w:t>
            </w:r>
          </w:p>
        </w:tc>
        <w:tc>
          <w:tcPr>
            <w:tcW w:w="947" w:type="dxa"/>
            <w:tcBorders>
              <w:top w:val="nil"/>
              <w:left w:val="nil"/>
              <w:bottom w:val="single" w:sz="4" w:space="0" w:color="auto"/>
              <w:right w:val="single" w:sz="4" w:space="0" w:color="auto"/>
            </w:tcBorders>
            <w:noWrap/>
            <w:vAlign w:val="center"/>
            <w:hideMark/>
          </w:tcPr>
          <w:p w14:paraId="1AFE67D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2.065,46</w:t>
            </w:r>
          </w:p>
        </w:tc>
        <w:tc>
          <w:tcPr>
            <w:tcW w:w="983" w:type="dxa"/>
            <w:tcBorders>
              <w:top w:val="nil"/>
              <w:left w:val="nil"/>
              <w:bottom w:val="single" w:sz="4" w:space="0" w:color="auto"/>
              <w:right w:val="single" w:sz="4" w:space="0" w:color="auto"/>
            </w:tcBorders>
            <w:noWrap/>
            <w:vAlign w:val="center"/>
            <w:hideMark/>
          </w:tcPr>
          <w:p w14:paraId="2CE2EA1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117,44</w:t>
            </w:r>
          </w:p>
        </w:tc>
        <w:tc>
          <w:tcPr>
            <w:tcW w:w="959" w:type="dxa"/>
            <w:tcBorders>
              <w:top w:val="nil"/>
              <w:left w:val="nil"/>
              <w:bottom w:val="single" w:sz="4" w:space="0" w:color="auto"/>
              <w:right w:val="single" w:sz="4" w:space="0" w:color="auto"/>
            </w:tcBorders>
            <w:noWrap/>
            <w:vAlign w:val="center"/>
            <w:hideMark/>
          </w:tcPr>
          <w:p w14:paraId="183C452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5B35FB94"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10133C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0,4</w:t>
            </w:r>
          </w:p>
        </w:tc>
        <w:tc>
          <w:tcPr>
            <w:tcW w:w="538" w:type="dxa"/>
            <w:tcBorders>
              <w:top w:val="nil"/>
              <w:left w:val="single" w:sz="4" w:space="0" w:color="auto"/>
              <w:bottom w:val="single" w:sz="4" w:space="0" w:color="auto"/>
              <w:right w:val="single" w:sz="4" w:space="0" w:color="auto"/>
            </w:tcBorders>
            <w:noWrap/>
            <w:vAlign w:val="bottom"/>
            <w:hideMark/>
          </w:tcPr>
          <w:p w14:paraId="662B6EE5"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564D20ED"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56497CEC"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NOVO MESTO</w:t>
            </w:r>
          </w:p>
        </w:tc>
        <w:tc>
          <w:tcPr>
            <w:tcW w:w="930" w:type="dxa"/>
            <w:tcBorders>
              <w:top w:val="nil"/>
              <w:left w:val="nil"/>
              <w:bottom w:val="single" w:sz="4" w:space="0" w:color="auto"/>
              <w:right w:val="single" w:sz="4" w:space="0" w:color="auto"/>
            </w:tcBorders>
            <w:shd w:val="clear" w:color="000000" w:fill="FFFF99"/>
            <w:noWrap/>
            <w:vAlign w:val="center"/>
            <w:hideMark/>
          </w:tcPr>
          <w:p w14:paraId="5C4A483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92.946,00</w:t>
            </w:r>
          </w:p>
        </w:tc>
        <w:tc>
          <w:tcPr>
            <w:tcW w:w="880" w:type="dxa"/>
            <w:tcBorders>
              <w:top w:val="nil"/>
              <w:left w:val="nil"/>
              <w:bottom w:val="single" w:sz="4" w:space="0" w:color="auto"/>
              <w:right w:val="single" w:sz="4" w:space="0" w:color="auto"/>
            </w:tcBorders>
            <w:shd w:val="clear" w:color="000000" w:fill="FFFF99"/>
            <w:noWrap/>
            <w:vAlign w:val="center"/>
            <w:hideMark/>
          </w:tcPr>
          <w:p w14:paraId="28C1680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92.946,00</w:t>
            </w:r>
          </w:p>
        </w:tc>
        <w:tc>
          <w:tcPr>
            <w:tcW w:w="927" w:type="dxa"/>
            <w:tcBorders>
              <w:top w:val="nil"/>
              <w:left w:val="nil"/>
              <w:bottom w:val="single" w:sz="4" w:space="0" w:color="auto"/>
              <w:right w:val="single" w:sz="4" w:space="0" w:color="auto"/>
            </w:tcBorders>
            <w:shd w:val="clear" w:color="000000" w:fill="FFFF99"/>
            <w:noWrap/>
            <w:vAlign w:val="center"/>
            <w:hideMark/>
          </w:tcPr>
          <w:p w14:paraId="1EC1C7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36,41</w:t>
            </w:r>
          </w:p>
        </w:tc>
        <w:tc>
          <w:tcPr>
            <w:tcW w:w="947" w:type="dxa"/>
            <w:tcBorders>
              <w:top w:val="nil"/>
              <w:left w:val="nil"/>
              <w:bottom w:val="single" w:sz="4" w:space="0" w:color="auto"/>
              <w:right w:val="single" w:sz="4" w:space="0" w:color="auto"/>
            </w:tcBorders>
            <w:shd w:val="clear" w:color="000000" w:fill="FFFF99"/>
            <w:noWrap/>
            <w:vAlign w:val="center"/>
            <w:hideMark/>
          </w:tcPr>
          <w:p w14:paraId="0B0FD20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2.552,76</w:t>
            </w:r>
          </w:p>
        </w:tc>
        <w:tc>
          <w:tcPr>
            <w:tcW w:w="983" w:type="dxa"/>
            <w:tcBorders>
              <w:top w:val="nil"/>
              <w:left w:val="nil"/>
              <w:bottom w:val="single" w:sz="4" w:space="0" w:color="auto"/>
              <w:right w:val="single" w:sz="4" w:space="0" w:color="auto"/>
            </w:tcBorders>
            <w:shd w:val="clear" w:color="000000" w:fill="FFFF99"/>
            <w:noWrap/>
            <w:vAlign w:val="center"/>
            <w:hideMark/>
          </w:tcPr>
          <w:p w14:paraId="78F9C79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95,03</w:t>
            </w:r>
          </w:p>
        </w:tc>
        <w:tc>
          <w:tcPr>
            <w:tcW w:w="959" w:type="dxa"/>
            <w:tcBorders>
              <w:top w:val="nil"/>
              <w:left w:val="nil"/>
              <w:bottom w:val="single" w:sz="4" w:space="0" w:color="auto"/>
              <w:right w:val="single" w:sz="4" w:space="0" w:color="auto"/>
            </w:tcBorders>
            <w:shd w:val="clear" w:color="000000" w:fill="FFFF99"/>
            <w:noWrap/>
            <w:vAlign w:val="center"/>
            <w:hideMark/>
          </w:tcPr>
          <w:p w14:paraId="216AAC4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14609B2E"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592DF6B2"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535DF357"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D7A3489"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67F51982"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Novo Mesto</w:t>
            </w:r>
          </w:p>
        </w:tc>
        <w:tc>
          <w:tcPr>
            <w:tcW w:w="930" w:type="dxa"/>
            <w:tcBorders>
              <w:top w:val="nil"/>
              <w:left w:val="nil"/>
              <w:bottom w:val="single" w:sz="4" w:space="0" w:color="auto"/>
              <w:right w:val="single" w:sz="4" w:space="0" w:color="auto"/>
            </w:tcBorders>
            <w:noWrap/>
            <w:vAlign w:val="center"/>
            <w:hideMark/>
          </w:tcPr>
          <w:p w14:paraId="40E0824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53.671</w:t>
            </w:r>
          </w:p>
        </w:tc>
        <w:tc>
          <w:tcPr>
            <w:tcW w:w="880" w:type="dxa"/>
            <w:tcBorders>
              <w:top w:val="nil"/>
              <w:left w:val="nil"/>
              <w:bottom w:val="single" w:sz="4" w:space="0" w:color="auto"/>
              <w:right w:val="single" w:sz="4" w:space="0" w:color="auto"/>
            </w:tcBorders>
            <w:noWrap/>
            <w:vAlign w:val="center"/>
            <w:hideMark/>
          </w:tcPr>
          <w:p w14:paraId="7FF2561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53.671</w:t>
            </w:r>
          </w:p>
        </w:tc>
        <w:tc>
          <w:tcPr>
            <w:tcW w:w="927" w:type="dxa"/>
            <w:tcBorders>
              <w:top w:val="nil"/>
              <w:left w:val="nil"/>
              <w:bottom w:val="single" w:sz="4" w:space="0" w:color="auto"/>
              <w:right w:val="single" w:sz="4" w:space="0" w:color="auto"/>
            </w:tcBorders>
            <w:noWrap/>
            <w:vAlign w:val="center"/>
            <w:hideMark/>
          </w:tcPr>
          <w:p w14:paraId="0EDCFBE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20,54</w:t>
            </w:r>
          </w:p>
        </w:tc>
        <w:tc>
          <w:tcPr>
            <w:tcW w:w="947" w:type="dxa"/>
            <w:tcBorders>
              <w:top w:val="nil"/>
              <w:left w:val="nil"/>
              <w:bottom w:val="single" w:sz="4" w:space="0" w:color="auto"/>
              <w:right w:val="single" w:sz="4" w:space="0" w:color="auto"/>
            </w:tcBorders>
            <w:noWrap/>
            <w:vAlign w:val="center"/>
            <w:hideMark/>
          </w:tcPr>
          <w:p w14:paraId="4EB8C76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2.613,00</w:t>
            </w:r>
          </w:p>
        </w:tc>
        <w:tc>
          <w:tcPr>
            <w:tcW w:w="983" w:type="dxa"/>
            <w:tcBorders>
              <w:top w:val="nil"/>
              <w:left w:val="nil"/>
              <w:bottom w:val="single" w:sz="4" w:space="0" w:color="auto"/>
              <w:right w:val="single" w:sz="4" w:space="0" w:color="auto"/>
            </w:tcBorders>
            <w:noWrap/>
            <w:vAlign w:val="center"/>
            <w:hideMark/>
          </w:tcPr>
          <w:p w14:paraId="21C779C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92,83</w:t>
            </w:r>
          </w:p>
        </w:tc>
        <w:tc>
          <w:tcPr>
            <w:tcW w:w="959" w:type="dxa"/>
            <w:tcBorders>
              <w:top w:val="nil"/>
              <w:left w:val="nil"/>
              <w:bottom w:val="single" w:sz="4" w:space="0" w:color="auto"/>
              <w:right w:val="single" w:sz="4" w:space="0" w:color="auto"/>
            </w:tcBorders>
            <w:noWrap/>
            <w:vAlign w:val="center"/>
            <w:hideMark/>
          </w:tcPr>
          <w:p w14:paraId="7C970D8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0,40</w:t>
            </w:r>
          </w:p>
        </w:tc>
        <w:tc>
          <w:tcPr>
            <w:tcW w:w="1236" w:type="dxa"/>
            <w:tcBorders>
              <w:top w:val="nil"/>
              <w:left w:val="nil"/>
              <w:bottom w:val="single" w:sz="4" w:space="0" w:color="auto"/>
              <w:right w:val="single" w:sz="4" w:space="0" w:color="auto"/>
            </w:tcBorders>
            <w:noWrap/>
            <w:vAlign w:val="center"/>
            <w:hideMark/>
          </w:tcPr>
          <w:p w14:paraId="49EEA5CC"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635B4DF6"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40CAC1D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0,2</w:t>
            </w:r>
          </w:p>
        </w:tc>
      </w:tr>
      <w:tr w:rsidR="00BE5D1E" w:rsidRPr="005E4BEA" w14:paraId="163B3763"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143E3BCC"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Črnomelj</w:t>
            </w:r>
          </w:p>
        </w:tc>
        <w:tc>
          <w:tcPr>
            <w:tcW w:w="930" w:type="dxa"/>
            <w:tcBorders>
              <w:top w:val="nil"/>
              <w:left w:val="nil"/>
              <w:bottom w:val="single" w:sz="4" w:space="0" w:color="auto"/>
              <w:right w:val="single" w:sz="4" w:space="0" w:color="auto"/>
            </w:tcBorders>
            <w:shd w:val="clear" w:color="000000" w:fill="FFFFFF"/>
            <w:noWrap/>
            <w:vAlign w:val="center"/>
            <w:hideMark/>
          </w:tcPr>
          <w:p w14:paraId="3288B44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14.987</w:t>
            </w:r>
          </w:p>
        </w:tc>
        <w:tc>
          <w:tcPr>
            <w:tcW w:w="880" w:type="dxa"/>
            <w:tcBorders>
              <w:top w:val="nil"/>
              <w:left w:val="nil"/>
              <w:bottom w:val="single" w:sz="4" w:space="0" w:color="auto"/>
              <w:right w:val="single" w:sz="4" w:space="0" w:color="auto"/>
            </w:tcBorders>
            <w:shd w:val="clear" w:color="000000" w:fill="FFFFFF"/>
            <w:noWrap/>
            <w:vAlign w:val="center"/>
            <w:hideMark/>
          </w:tcPr>
          <w:p w14:paraId="417930A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14.987</w:t>
            </w:r>
          </w:p>
        </w:tc>
        <w:tc>
          <w:tcPr>
            <w:tcW w:w="927" w:type="dxa"/>
            <w:tcBorders>
              <w:top w:val="nil"/>
              <w:left w:val="nil"/>
              <w:bottom w:val="single" w:sz="4" w:space="0" w:color="auto"/>
              <w:right w:val="single" w:sz="4" w:space="0" w:color="auto"/>
            </w:tcBorders>
            <w:noWrap/>
            <w:vAlign w:val="center"/>
            <w:hideMark/>
          </w:tcPr>
          <w:p w14:paraId="614D6D1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6,26</w:t>
            </w:r>
          </w:p>
        </w:tc>
        <w:tc>
          <w:tcPr>
            <w:tcW w:w="947" w:type="dxa"/>
            <w:tcBorders>
              <w:top w:val="nil"/>
              <w:left w:val="nil"/>
              <w:bottom w:val="single" w:sz="4" w:space="0" w:color="auto"/>
              <w:right w:val="single" w:sz="4" w:space="0" w:color="auto"/>
            </w:tcBorders>
            <w:noWrap/>
            <w:vAlign w:val="center"/>
            <w:hideMark/>
          </w:tcPr>
          <w:p w14:paraId="725EB1B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2.394,09</w:t>
            </w:r>
          </w:p>
        </w:tc>
        <w:tc>
          <w:tcPr>
            <w:tcW w:w="983" w:type="dxa"/>
            <w:tcBorders>
              <w:top w:val="nil"/>
              <w:left w:val="nil"/>
              <w:bottom w:val="single" w:sz="4" w:space="0" w:color="auto"/>
              <w:right w:val="single" w:sz="4" w:space="0" w:color="auto"/>
            </w:tcBorders>
            <w:noWrap/>
            <w:vAlign w:val="center"/>
            <w:hideMark/>
          </w:tcPr>
          <w:p w14:paraId="35D4B9A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101,32</w:t>
            </w:r>
          </w:p>
        </w:tc>
        <w:tc>
          <w:tcPr>
            <w:tcW w:w="959" w:type="dxa"/>
            <w:tcBorders>
              <w:top w:val="nil"/>
              <w:left w:val="nil"/>
              <w:bottom w:val="single" w:sz="4" w:space="0" w:color="auto"/>
              <w:right w:val="single" w:sz="4" w:space="0" w:color="auto"/>
            </w:tcBorders>
            <w:noWrap/>
            <w:vAlign w:val="center"/>
            <w:hideMark/>
          </w:tcPr>
          <w:p w14:paraId="3CE4405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1B846A26"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1E8FDE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w:t>
            </w:r>
          </w:p>
        </w:tc>
        <w:tc>
          <w:tcPr>
            <w:tcW w:w="538" w:type="dxa"/>
            <w:tcBorders>
              <w:top w:val="nil"/>
              <w:left w:val="single" w:sz="4" w:space="0" w:color="auto"/>
              <w:bottom w:val="single" w:sz="4" w:space="0" w:color="auto"/>
              <w:right w:val="single" w:sz="4" w:space="0" w:color="auto"/>
            </w:tcBorders>
            <w:noWrap/>
            <w:vAlign w:val="bottom"/>
            <w:hideMark/>
          </w:tcPr>
          <w:p w14:paraId="22619FC6"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6E71DB03"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78C89D3D"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Metlika</w:t>
            </w:r>
          </w:p>
        </w:tc>
        <w:tc>
          <w:tcPr>
            <w:tcW w:w="930" w:type="dxa"/>
            <w:tcBorders>
              <w:top w:val="nil"/>
              <w:left w:val="nil"/>
              <w:bottom w:val="single" w:sz="4" w:space="0" w:color="auto"/>
              <w:right w:val="single" w:sz="4" w:space="0" w:color="auto"/>
            </w:tcBorders>
            <w:shd w:val="clear" w:color="000000" w:fill="FFFFFF"/>
            <w:noWrap/>
            <w:vAlign w:val="center"/>
            <w:hideMark/>
          </w:tcPr>
          <w:p w14:paraId="434529E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7.135</w:t>
            </w:r>
          </w:p>
        </w:tc>
        <w:tc>
          <w:tcPr>
            <w:tcW w:w="880" w:type="dxa"/>
            <w:tcBorders>
              <w:top w:val="nil"/>
              <w:left w:val="nil"/>
              <w:bottom w:val="single" w:sz="4" w:space="0" w:color="auto"/>
              <w:right w:val="single" w:sz="4" w:space="0" w:color="auto"/>
            </w:tcBorders>
            <w:shd w:val="clear" w:color="000000" w:fill="FFFFFF"/>
            <w:noWrap/>
            <w:vAlign w:val="center"/>
            <w:hideMark/>
          </w:tcPr>
          <w:p w14:paraId="4F65E07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7.135</w:t>
            </w:r>
          </w:p>
        </w:tc>
        <w:tc>
          <w:tcPr>
            <w:tcW w:w="927" w:type="dxa"/>
            <w:tcBorders>
              <w:top w:val="nil"/>
              <w:left w:val="nil"/>
              <w:bottom w:val="single" w:sz="4" w:space="0" w:color="auto"/>
              <w:right w:val="single" w:sz="4" w:space="0" w:color="auto"/>
            </w:tcBorders>
            <w:noWrap/>
            <w:vAlign w:val="center"/>
            <w:hideMark/>
          </w:tcPr>
          <w:p w14:paraId="1261ACC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3,20</w:t>
            </w:r>
          </w:p>
        </w:tc>
        <w:tc>
          <w:tcPr>
            <w:tcW w:w="947" w:type="dxa"/>
            <w:tcBorders>
              <w:top w:val="nil"/>
              <w:left w:val="nil"/>
              <w:bottom w:val="single" w:sz="4" w:space="0" w:color="auto"/>
              <w:right w:val="single" w:sz="4" w:space="0" w:color="auto"/>
            </w:tcBorders>
            <w:noWrap/>
            <w:vAlign w:val="center"/>
            <w:hideMark/>
          </w:tcPr>
          <w:p w14:paraId="482EC6FB"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2.229,69</w:t>
            </w:r>
          </w:p>
        </w:tc>
        <w:tc>
          <w:tcPr>
            <w:tcW w:w="983" w:type="dxa"/>
            <w:tcBorders>
              <w:top w:val="nil"/>
              <w:left w:val="nil"/>
              <w:bottom w:val="single" w:sz="4" w:space="0" w:color="auto"/>
              <w:right w:val="single" w:sz="4" w:space="0" w:color="auto"/>
            </w:tcBorders>
            <w:noWrap/>
            <w:vAlign w:val="center"/>
            <w:hideMark/>
          </w:tcPr>
          <w:p w14:paraId="45945FD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108,79</w:t>
            </w:r>
          </w:p>
        </w:tc>
        <w:tc>
          <w:tcPr>
            <w:tcW w:w="959" w:type="dxa"/>
            <w:tcBorders>
              <w:top w:val="nil"/>
              <w:left w:val="nil"/>
              <w:bottom w:val="single" w:sz="4" w:space="0" w:color="auto"/>
              <w:right w:val="single" w:sz="4" w:space="0" w:color="auto"/>
            </w:tcBorders>
            <w:noWrap/>
            <w:vAlign w:val="center"/>
            <w:hideMark/>
          </w:tcPr>
          <w:p w14:paraId="682E11C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4A6CC221"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96046BA"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0D862624"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3445102B"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20EBFB2D"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Trebnje</w:t>
            </w:r>
          </w:p>
        </w:tc>
        <w:tc>
          <w:tcPr>
            <w:tcW w:w="930" w:type="dxa"/>
            <w:tcBorders>
              <w:top w:val="nil"/>
              <w:left w:val="nil"/>
              <w:bottom w:val="single" w:sz="4" w:space="0" w:color="auto"/>
              <w:right w:val="single" w:sz="4" w:space="0" w:color="auto"/>
            </w:tcBorders>
            <w:shd w:val="clear" w:color="000000" w:fill="FFFFFF"/>
            <w:noWrap/>
            <w:vAlign w:val="center"/>
            <w:hideMark/>
          </w:tcPr>
          <w:p w14:paraId="180FB53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17.153</w:t>
            </w:r>
          </w:p>
        </w:tc>
        <w:tc>
          <w:tcPr>
            <w:tcW w:w="880" w:type="dxa"/>
            <w:tcBorders>
              <w:top w:val="nil"/>
              <w:left w:val="nil"/>
              <w:bottom w:val="single" w:sz="4" w:space="0" w:color="auto"/>
              <w:right w:val="single" w:sz="4" w:space="0" w:color="auto"/>
            </w:tcBorders>
            <w:shd w:val="clear" w:color="000000" w:fill="FFFFFF"/>
            <w:noWrap/>
            <w:vAlign w:val="center"/>
            <w:hideMark/>
          </w:tcPr>
          <w:p w14:paraId="2DA76D2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17.153</w:t>
            </w:r>
          </w:p>
        </w:tc>
        <w:tc>
          <w:tcPr>
            <w:tcW w:w="927" w:type="dxa"/>
            <w:tcBorders>
              <w:top w:val="nil"/>
              <w:left w:val="nil"/>
              <w:bottom w:val="single" w:sz="4" w:space="0" w:color="auto"/>
              <w:right w:val="single" w:sz="4" w:space="0" w:color="auto"/>
            </w:tcBorders>
            <w:noWrap/>
            <w:vAlign w:val="center"/>
            <w:hideMark/>
          </w:tcPr>
          <w:p w14:paraId="0B131BC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6,41</w:t>
            </w:r>
          </w:p>
        </w:tc>
        <w:tc>
          <w:tcPr>
            <w:tcW w:w="947" w:type="dxa"/>
            <w:tcBorders>
              <w:top w:val="nil"/>
              <w:left w:val="nil"/>
              <w:bottom w:val="single" w:sz="4" w:space="0" w:color="auto"/>
              <w:right w:val="single" w:sz="4" w:space="0" w:color="auto"/>
            </w:tcBorders>
            <w:noWrap/>
            <w:vAlign w:val="center"/>
            <w:hideMark/>
          </w:tcPr>
          <w:p w14:paraId="771E6ED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2.675,98</w:t>
            </w:r>
          </w:p>
        </w:tc>
        <w:tc>
          <w:tcPr>
            <w:tcW w:w="983" w:type="dxa"/>
            <w:tcBorders>
              <w:top w:val="nil"/>
              <w:left w:val="nil"/>
              <w:bottom w:val="single" w:sz="4" w:space="0" w:color="auto"/>
              <w:right w:val="single" w:sz="4" w:space="0" w:color="auto"/>
            </w:tcBorders>
            <w:noWrap/>
            <w:vAlign w:val="center"/>
            <w:hideMark/>
          </w:tcPr>
          <w:p w14:paraId="65905453"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90,65</w:t>
            </w:r>
          </w:p>
        </w:tc>
        <w:tc>
          <w:tcPr>
            <w:tcW w:w="959" w:type="dxa"/>
            <w:tcBorders>
              <w:top w:val="nil"/>
              <w:left w:val="nil"/>
              <w:bottom w:val="single" w:sz="4" w:space="0" w:color="auto"/>
              <w:right w:val="single" w:sz="4" w:space="0" w:color="auto"/>
            </w:tcBorders>
            <w:noWrap/>
            <w:vAlign w:val="center"/>
            <w:hideMark/>
          </w:tcPr>
          <w:p w14:paraId="6CFFE2F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2FB336BC"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0947A0D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0,5</w:t>
            </w:r>
          </w:p>
        </w:tc>
        <w:tc>
          <w:tcPr>
            <w:tcW w:w="538" w:type="dxa"/>
            <w:tcBorders>
              <w:top w:val="nil"/>
              <w:left w:val="single" w:sz="4" w:space="0" w:color="auto"/>
              <w:bottom w:val="single" w:sz="4" w:space="0" w:color="auto"/>
              <w:right w:val="single" w:sz="4" w:space="0" w:color="auto"/>
            </w:tcBorders>
            <w:noWrap/>
            <w:vAlign w:val="bottom"/>
            <w:hideMark/>
          </w:tcPr>
          <w:p w14:paraId="1BF22A14"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07D3064E"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99"/>
            <w:noWrap/>
            <w:vAlign w:val="bottom"/>
            <w:hideMark/>
          </w:tcPr>
          <w:p w14:paraId="5889FF5C" w14:textId="77777777" w:rsidR="00BE5D1E" w:rsidRPr="005E4BEA" w:rsidRDefault="00BE5D1E" w:rsidP="00BE5D1E">
            <w:pPr>
              <w:spacing w:line="240" w:lineRule="auto"/>
              <w:rPr>
                <w:rFonts w:ascii="Arial Narrow" w:hAnsi="Arial Narrow" w:cs="Calibri"/>
                <w:b/>
                <w:bCs/>
                <w:color w:val="000000"/>
                <w:sz w:val="16"/>
                <w:szCs w:val="16"/>
              </w:rPr>
            </w:pPr>
            <w:r w:rsidRPr="005E4BEA">
              <w:rPr>
                <w:rFonts w:ascii="Arial Narrow" w:hAnsi="Arial Narrow" w:cs="Calibri"/>
                <w:b/>
                <w:bCs/>
                <w:color w:val="000000"/>
                <w:sz w:val="16"/>
                <w:szCs w:val="16"/>
              </w:rPr>
              <w:t>OE RAVNE</w:t>
            </w:r>
          </w:p>
        </w:tc>
        <w:tc>
          <w:tcPr>
            <w:tcW w:w="930" w:type="dxa"/>
            <w:tcBorders>
              <w:top w:val="nil"/>
              <w:left w:val="nil"/>
              <w:bottom w:val="single" w:sz="4" w:space="0" w:color="auto"/>
              <w:right w:val="single" w:sz="4" w:space="0" w:color="auto"/>
            </w:tcBorders>
            <w:shd w:val="clear" w:color="000000" w:fill="FFFF99"/>
            <w:noWrap/>
            <w:vAlign w:val="center"/>
            <w:hideMark/>
          </w:tcPr>
          <w:p w14:paraId="41166009"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110.502,</w:t>
            </w:r>
          </w:p>
        </w:tc>
        <w:tc>
          <w:tcPr>
            <w:tcW w:w="880" w:type="dxa"/>
            <w:tcBorders>
              <w:top w:val="nil"/>
              <w:left w:val="nil"/>
              <w:bottom w:val="single" w:sz="4" w:space="0" w:color="auto"/>
              <w:right w:val="single" w:sz="4" w:space="0" w:color="auto"/>
            </w:tcBorders>
            <w:shd w:val="clear" w:color="000000" w:fill="FFFF99"/>
            <w:noWrap/>
            <w:vAlign w:val="center"/>
            <w:hideMark/>
          </w:tcPr>
          <w:p w14:paraId="126F1D8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110.502,</w:t>
            </w:r>
          </w:p>
        </w:tc>
        <w:tc>
          <w:tcPr>
            <w:tcW w:w="927" w:type="dxa"/>
            <w:tcBorders>
              <w:top w:val="nil"/>
              <w:left w:val="nil"/>
              <w:bottom w:val="single" w:sz="4" w:space="0" w:color="auto"/>
              <w:right w:val="single" w:sz="4" w:space="0" w:color="auto"/>
            </w:tcBorders>
            <w:shd w:val="clear" w:color="000000" w:fill="FFFF99"/>
            <w:noWrap/>
            <w:vAlign w:val="center"/>
            <w:hideMark/>
          </w:tcPr>
          <w:p w14:paraId="4BCC78D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51,17</w:t>
            </w:r>
          </w:p>
        </w:tc>
        <w:tc>
          <w:tcPr>
            <w:tcW w:w="947" w:type="dxa"/>
            <w:tcBorders>
              <w:top w:val="nil"/>
              <w:left w:val="nil"/>
              <w:bottom w:val="single" w:sz="4" w:space="0" w:color="auto"/>
              <w:right w:val="single" w:sz="4" w:space="0" w:color="auto"/>
            </w:tcBorders>
            <w:shd w:val="clear" w:color="000000" w:fill="FFFF99"/>
            <w:noWrap/>
            <w:vAlign w:val="center"/>
            <w:hideMark/>
          </w:tcPr>
          <w:p w14:paraId="7E45B8A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2.159,57</w:t>
            </w:r>
          </w:p>
        </w:tc>
        <w:tc>
          <w:tcPr>
            <w:tcW w:w="983" w:type="dxa"/>
            <w:tcBorders>
              <w:top w:val="nil"/>
              <w:left w:val="nil"/>
              <w:bottom w:val="single" w:sz="4" w:space="0" w:color="auto"/>
              <w:right w:val="single" w:sz="4" w:space="0" w:color="auto"/>
            </w:tcBorders>
            <w:shd w:val="clear" w:color="000000" w:fill="FFFF99"/>
            <w:noWrap/>
            <w:vAlign w:val="center"/>
            <w:hideMark/>
          </w:tcPr>
          <w:p w14:paraId="53CA075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112,33</w:t>
            </w:r>
          </w:p>
        </w:tc>
        <w:tc>
          <w:tcPr>
            <w:tcW w:w="959" w:type="dxa"/>
            <w:tcBorders>
              <w:top w:val="nil"/>
              <w:left w:val="nil"/>
              <w:bottom w:val="single" w:sz="4" w:space="0" w:color="auto"/>
              <w:right w:val="single" w:sz="4" w:space="0" w:color="auto"/>
            </w:tcBorders>
            <w:shd w:val="clear" w:color="000000" w:fill="FFFF99"/>
            <w:noWrap/>
            <w:vAlign w:val="center"/>
            <w:hideMark/>
          </w:tcPr>
          <w:p w14:paraId="08881CE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shd w:val="clear" w:color="000000" w:fill="FFFF99"/>
            <w:noWrap/>
            <w:vAlign w:val="center"/>
            <w:hideMark/>
          </w:tcPr>
          <w:p w14:paraId="68CA69CA"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shd w:val="clear" w:color="000000" w:fill="FFFF99"/>
            <w:noWrap/>
            <w:vAlign w:val="center"/>
            <w:hideMark/>
          </w:tcPr>
          <w:p w14:paraId="38496557"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shd w:val="clear" w:color="000000" w:fill="FFFF99"/>
            <w:noWrap/>
            <w:vAlign w:val="center"/>
            <w:hideMark/>
          </w:tcPr>
          <w:p w14:paraId="72C19737"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65BFD57D"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45A59269"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Ravne</w:t>
            </w:r>
          </w:p>
        </w:tc>
        <w:tc>
          <w:tcPr>
            <w:tcW w:w="930" w:type="dxa"/>
            <w:tcBorders>
              <w:top w:val="nil"/>
              <w:left w:val="nil"/>
              <w:bottom w:val="single" w:sz="4" w:space="0" w:color="auto"/>
              <w:right w:val="single" w:sz="4" w:space="0" w:color="auto"/>
            </w:tcBorders>
            <w:shd w:val="clear" w:color="000000" w:fill="FFFFFF"/>
            <w:noWrap/>
            <w:vAlign w:val="center"/>
            <w:hideMark/>
          </w:tcPr>
          <w:p w14:paraId="7BEEA93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28.056</w:t>
            </w:r>
          </w:p>
        </w:tc>
        <w:tc>
          <w:tcPr>
            <w:tcW w:w="880" w:type="dxa"/>
            <w:tcBorders>
              <w:top w:val="nil"/>
              <w:left w:val="nil"/>
              <w:bottom w:val="single" w:sz="4" w:space="0" w:color="auto"/>
              <w:right w:val="single" w:sz="4" w:space="0" w:color="auto"/>
            </w:tcBorders>
            <w:shd w:val="clear" w:color="000000" w:fill="FFFFFF"/>
            <w:noWrap/>
            <w:vAlign w:val="center"/>
            <w:hideMark/>
          </w:tcPr>
          <w:p w14:paraId="0DDDE85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28.056</w:t>
            </w:r>
          </w:p>
        </w:tc>
        <w:tc>
          <w:tcPr>
            <w:tcW w:w="927" w:type="dxa"/>
            <w:tcBorders>
              <w:top w:val="nil"/>
              <w:left w:val="nil"/>
              <w:bottom w:val="single" w:sz="4" w:space="0" w:color="auto"/>
              <w:right w:val="single" w:sz="4" w:space="0" w:color="auto"/>
            </w:tcBorders>
            <w:noWrap/>
            <w:vAlign w:val="center"/>
            <w:hideMark/>
          </w:tcPr>
          <w:p w14:paraId="1526165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13,48</w:t>
            </w:r>
          </w:p>
        </w:tc>
        <w:tc>
          <w:tcPr>
            <w:tcW w:w="947" w:type="dxa"/>
            <w:tcBorders>
              <w:top w:val="nil"/>
              <w:left w:val="nil"/>
              <w:bottom w:val="single" w:sz="4" w:space="0" w:color="auto"/>
              <w:right w:val="single" w:sz="4" w:space="0" w:color="auto"/>
            </w:tcBorders>
            <w:noWrap/>
            <w:vAlign w:val="center"/>
            <w:hideMark/>
          </w:tcPr>
          <w:p w14:paraId="7134A45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2.081,31</w:t>
            </w:r>
          </w:p>
        </w:tc>
        <w:tc>
          <w:tcPr>
            <w:tcW w:w="983" w:type="dxa"/>
            <w:tcBorders>
              <w:top w:val="nil"/>
              <w:left w:val="nil"/>
              <w:bottom w:val="single" w:sz="4" w:space="0" w:color="auto"/>
              <w:right w:val="single" w:sz="4" w:space="0" w:color="auto"/>
            </w:tcBorders>
            <w:noWrap/>
            <w:vAlign w:val="center"/>
            <w:hideMark/>
          </w:tcPr>
          <w:p w14:paraId="0B9133B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116,55</w:t>
            </w:r>
          </w:p>
        </w:tc>
        <w:tc>
          <w:tcPr>
            <w:tcW w:w="959" w:type="dxa"/>
            <w:tcBorders>
              <w:top w:val="nil"/>
              <w:left w:val="nil"/>
              <w:bottom w:val="single" w:sz="4" w:space="0" w:color="auto"/>
              <w:right w:val="single" w:sz="4" w:space="0" w:color="auto"/>
            </w:tcBorders>
            <w:noWrap/>
            <w:vAlign w:val="center"/>
            <w:hideMark/>
          </w:tcPr>
          <w:p w14:paraId="5C79971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3FA57218"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916D36B"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0BB97B6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0,4</w:t>
            </w:r>
          </w:p>
        </w:tc>
      </w:tr>
      <w:tr w:rsidR="00BE5D1E" w:rsidRPr="005E4BEA" w14:paraId="0C6F17AE" w14:textId="77777777" w:rsidTr="0016774B">
        <w:trPr>
          <w:trHeight w:val="204"/>
        </w:trPr>
        <w:tc>
          <w:tcPr>
            <w:tcW w:w="1616" w:type="dxa"/>
            <w:tcBorders>
              <w:top w:val="nil"/>
              <w:left w:val="single" w:sz="4" w:space="0" w:color="auto"/>
              <w:bottom w:val="single" w:sz="4" w:space="0" w:color="auto"/>
              <w:right w:val="single" w:sz="4" w:space="0" w:color="auto"/>
            </w:tcBorders>
            <w:noWrap/>
            <w:vAlign w:val="bottom"/>
            <w:hideMark/>
          </w:tcPr>
          <w:p w14:paraId="0B6E09A9"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Mozirje</w:t>
            </w:r>
          </w:p>
        </w:tc>
        <w:tc>
          <w:tcPr>
            <w:tcW w:w="930" w:type="dxa"/>
            <w:tcBorders>
              <w:top w:val="nil"/>
              <w:left w:val="nil"/>
              <w:bottom w:val="single" w:sz="4" w:space="0" w:color="auto"/>
              <w:right w:val="single" w:sz="4" w:space="0" w:color="auto"/>
            </w:tcBorders>
            <w:noWrap/>
            <w:vAlign w:val="center"/>
            <w:hideMark/>
          </w:tcPr>
          <w:p w14:paraId="1775456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13.567</w:t>
            </w:r>
          </w:p>
        </w:tc>
        <w:tc>
          <w:tcPr>
            <w:tcW w:w="880" w:type="dxa"/>
            <w:tcBorders>
              <w:top w:val="nil"/>
              <w:left w:val="nil"/>
              <w:bottom w:val="single" w:sz="4" w:space="0" w:color="auto"/>
              <w:right w:val="single" w:sz="4" w:space="0" w:color="auto"/>
            </w:tcBorders>
            <w:noWrap/>
            <w:vAlign w:val="center"/>
            <w:hideMark/>
          </w:tcPr>
          <w:p w14:paraId="08F546CF"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13.567</w:t>
            </w:r>
          </w:p>
        </w:tc>
        <w:tc>
          <w:tcPr>
            <w:tcW w:w="927" w:type="dxa"/>
            <w:tcBorders>
              <w:top w:val="nil"/>
              <w:left w:val="nil"/>
              <w:bottom w:val="single" w:sz="4" w:space="0" w:color="auto"/>
              <w:right w:val="single" w:sz="4" w:space="0" w:color="auto"/>
            </w:tcBorders>
            <w:noWrap/>
            <w:vAlign w:val="center"/>
            <w:hideMark/>
          </w:tcPr>
          <w:p w14:paraId="44AA2F5E"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4,90</w:t>
            </w:r>
          </w:p>
        </w:tc>
        <w:tc>
          <w:tcPr>
            <w:tcW w:w="947" w:type="dxa"/>
            <w:tcBorders>
              <w:top w:val="nil"/>
              <w:left w:val="nil"/>
              <w:bottom w:val="single" w:sz="4" w:space="0" w:color="auto"/>
              <w:right w:val="single" w:sz="4" w:space="0" w:color="auto"/>
            </w:tcBorders>
            <w:noWrap/>
            <w:vAlign w:val="center"/>
            <w:hideMark/>
          </w:tcPr>
          <w:p w14:paraId="4FE7FD8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2.768,78</w:t>
            </w:r>
          </w:p>
        </w:tc>
        <w:tc>
          <w:tcPr>
            <w:tcW w:w="983" w:type="dxa"/>
            <w:tcBorders>
              <w:top w:val="nil"/>
              <w:left w:val="nil"/>
              <w:bottom w:val="single" w:sz="4" w:space="0" w:color="auto"/>
              <w:right w:val="single" w:sz="4" w:space="0" w:color="auto"/>
            </w:tcBorders>
            <w:noWrap/>
            <w:vAlign w:val="center"/>
            <w:hideMark/>
          </w:tcPr>
          <w:p w14:paraId="11F59F0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87,61</w:t>
            </w:r>
          </w:p>
        </w:tc>
        <w:tc>
          <w:tcPr>
            <w:tcW w:w="959" w:type="dxa"/>
            <w:tcBorders>
              <w:top w:val="nil"/>
              <w:left w:val="nil"/>
              <w:bottom w:val="single" w:sz="4" w:space="0" w:color="auto"/>
              <w:right w:val="single" w:sz="4" w:space="0" w:color="auto"/>
            </w:tcBorders>
            <w:noWrap/>
            <w:vAlign w:val="center"/>
            <w:hideMark/>
          </w:tcPr>
          <w:p w14:paraId="16E27C8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09CF13BE"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6835204F"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5925710E"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77AC892D"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1CEC2FC7"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Radlje</w:t>
            </w:r>
          </w:p>
        </w:tc>
        <w:tc>
          <w:tcPr>
            <w:tcW w:w="930" w:type="dxa"/>
            <w:tcBorders>
              <w:top w:val="nil"/>
              <w:left w:val="nil"/>
              <w:bottom w:val="single" w:sz="4" w:space="0" w:color="auto"/>
              <w:right w:val="single" w:sz="4" w:space="0" w:color="auto"/>
            </w:tcBorders>
            <w:shd w:val="clear" w:color="000000" w:fill="FFFFFF"/>
            <w:noWrap/>
            <w:vAlign w:val="center"/>
            <w:hideMark/>
          </w:tcPr>
          <w:p w14:paraId="2BF1964C"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12.902</w:t>
            </w:r>
          </w:p>
        </w:tc>
        <w:tc>
          <w:tcPr>
            <w:tcW w:w="880" w:type="dxa"/>
            <w:tcBorders>
              <w:top w:val="nil"/>
              <w:left w:val="nil"/>
              <w:bottom w:val="single" w:sz="4" w:space="0" w:color="auto"/>
              <w:right w:val="single" w:sz="4" w:space="0" w:color="auto"/>
            </w:tcBorders>
            <w:shd w:val="clear" w:color="000000" w:fill="FFFFFF"/>
            <w:noWrap/>
            <w:vAlign w:val="center"/>
            <w:hideMark/>
          </w:tcPr>
          <w:p w14:paraId="6E1FB38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12.902</w:t>
            </w:r>
          </w:p>
        </w:tc>
        <w:tc>
          <w:tcPr>
            <w:tcW w:w="927" w:type="dxa"/>
            <w:tcBorders>
              <w:top w:val="nil"/>
              <w:left w:val="nil"/>
              <w:bottom w:val="single" w:sz="4" w:space="0" w:color="auto"/>
              <w:right w:val="single" w:sz="4" w:space="0" w:color="auto"/>
            </w:tcBorders>
            <w:noWrap/>
            <w:vAlign w:val="center"/>
            <w:hideMark/>
          </w:tcPr>
          <w:p w14:paraId="51364A2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6,02</w:t>
            </w:r>
          </w:p>
        </w:tc>
        <w:tc>
          <w:tcPr>
            <w:tcW w:w="947" w:type="dxa"/>
            <w:tcBorders>
              <w:top w:val="nil"/>
              <w:left w:val="nil"/>
              <w:bottom w:val="single" w:sz="4" w:space="0" w:color="auto"/>
              <w:right w:val="single" w:sz="4" w:space="0" w:color="auto"/>
            </w:tcBorders>
            <w:noWrap/>
            <w:vAlign w:val="center"/>
            <w:hideMark/>
          </w:tcPr>
          <w:p w14:paraId="2AC7C8C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2.143,69</w:t>
            </w:r>
          </w:p>
        </w:tc>
        <w:tc>
          <w:tcPr>
            <w:tcW w:w="983" w:type="dxa"/>
            <w:tcBorders>
              <w:top w:val="nil"/>
              <w:left w:val="nil"/>
              <w:bottom w:val="single" w:sz="4" w:space="0" w:color="auto"/>
              <w:right w:val="single" w:sz="4" w:space="0" w:color="auto"/>
            </w:tcBorders>
            <w:noWrap/>
            <w:vAlign w:val="center"/>
            <w:hideMark/>
          </w:tcPr>
          <w:p w14:paraId="4D6D875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113,16</w:t>
            </w:r>
          </w:p>
        </w:tc>
        <w:tc>
          <w:tcPr>
            <w:tcW w:w="959" w:type="dxa"/>
            <w:tcBorders>
              <w:top w:val="nil"/>
              <w:left w:val="nil"/>
              <w:bottom w:val="single" w:sz="4" w:space="0" w:color="auto"/>
              <w:right w:val="single" w:sz="4" w:space="0" w:color="auto"/>
            </w:tcBorders>
            <w:noWrap/>
            <w:vAlign w:val="center"/>
            <w:hideMark/>
          </w:tcPr>
          <w:p w14:paraId="7DEE6F78"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3F373E63"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4561361B"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3D6570FE" w14:textId="77777777" w:rsidR="00BE5D1E" w:rsidRPr="005E4BEA" w:rsidRDefault="00BE5D1E" w:rsidP="00BE5D1E">
            <w:pPr>
              <w:spacing w:line="240" w:lineRule="auto"/>
              <w:jc w:val="center"/>
              <w:rPr>
                <w:rFonts w:ascii="Arial Narrow" w:hAnsi="Arial Narrow" w:cs="Calibri"/>
                <w:color w:val="000000"/>
                <w:sz w:val="16"/>
                <w:szCs w:val="16"/>
              </w:rPr>
            </w:pPr>
          </w:p>
        </w:tc>
      </w:tr>
      <w:tr w:rsidR="00BE5D1E" w:rsidRPr="005E4BEA" w14:paraId="6BFE2426"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31177970"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Slovenj Gradec</w:t>
            </w:r>
          </w:p>
        </w:tc>
        <w:tc>
          <w:tcPr>
            <w:tcW w:w="930" w:type="dxa"/>
            <w:tcBorders>
              <w:top w:val="nil"/>
              <w:left w:val="nil"/>
              <w:bottom w:val="single" w:sz="4" w:space="0" w:color="auto"/>
              <w:right w:val="single" w:sz="4" w:space="0" w:color="auto"/>
            </w:tcBorders>
            <w:shd w:val="clear" w:color="000000" w:fill="FFFFFF"/>
            <w:noWrap/>
            <w:vAlign w:val="center"/>
            <w:hideMark/>
          </w:tcPr>
          <w:p w14:paraId="6C9A7B5A"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17.762</w:t>
            </w:r>
          </w:p>
        </w:tc>
        <w:tc>
          <w:tcPr>
            <w:tcW w:w="880" w:type="dxa"/>
            <w:tcBorders>
              <w:top w:val="nil"/>
              <w:left w:val="nil"/>
              <w:bottom w:val="single" w:sz="4" w:space="0" w:color="auto"/>
              <w:right w:val="single" w:sz="4" w:space="0" w:color="auto"/>
            </w:tcBorders>
            <w:shd w:val="clear" w:color="000000" w:fill="FFFFFF"/>
            <w:noWrap/>
            <w:vAlign w:val="center"/>
            <w:hideMark/>
          </w:tcPr>
          <w:p w14:paraId="7D7B185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17.762</w:t>
            </w:r>
          </w:p>
        </w:tc>
        <w:tc>
          <w:tcPr>
            <w:tcW w:w="927" w:type="dxa"/>
            <w:tcBorders>
              <w:top w:val="nil"/>
              <w:left w:val="nil"/>
              <w:bottom w:val="single" w:sz="4" w:space="0" w:color="auto"/>
              <w:right w:val="single" w:sz="4" w:space="0" w:color="auto"/>
            </w:tcBorders>
            <w:noWrap/>
            <w:vAlign w:val="center"/>
            <w:hideMark/>
          </w:tcPr>
          <w:p w14:paraId="7661AA2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9,39</w:t>
            </w:r>
          </w:p>
        </w:tc>
        <w:tc>
          <w:tcPr>
            <w:tcW w:w="947" w:type="dxa"/>
            <w:tcBorders>
              <w:top w:val="nil"/>
              <w:left w:val="nil"/>
              <w:bottom w:val="single" w:sz="4" w:space="0" w:color="auto"/>
              <w:right w:val="single" w:sz="4" w:space="0" w:color="auto"/>
            </w:tcBorders>
            <w:noWrap/>
            <w:vAlign w:val="center"/>
            <w:hideMark/>
          </w:tcPr>
          <w:p w14:paraId="1BC89CD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1.891,59</w:t>
            </w:r>
          </w:p>
        </w:tc>
        <w:tc>
          <w:tcPr>
            <w:tcW w:w="983" w:type="dxa"/>
            <w:tcBorders>
              <w:top w:val="nil"/>
              <w:left w:val="nil"/>
              <w:bottom w:val="single" w:sz="4" w:space="0" w:color="auto"/>
              <w:right w:val="single" w:sz="4" w:space="0" w:color="auto"/>
            </w:tcBorders>
            <w:noWrap/>
            <w:vAlign w:val="center"/>
            <w:hideMark/>
          </w:tcPr>
          <w:p w14:paraId="7A34B5E5"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128,24</w:t>
            </w:r>
          </w:p>
        </w:tc>
        <w:tc>
          <w:tcPr>
            <w:tcW w:w="959" w:type="dxa"/>
            <w:tcBorders>
              <w:top w:val="nil"/>
              <w:left w:val="nil"/>
              <w:bottom w:val="single" w:sz="4" w:space="0" w:color="auto"/>
              <w:right w:val="single" w:sz="4" w:space="0" w:color="auto"/>
            </w:tcBorders>
            <w:noWrap/>
            <w:vAlign w:val="center"/>
            <w:hideMark/>
          </w:tcPr>
          <w:p w14:paraId="53330654"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6786B355"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359AB685" w14:textId="77777777" w:rsidR="00BE5D1E" w:rsidRPr="005E4BEA" w:rsidRDefault="00BE5D1E" w:rsidP="00BE5D1E">
            <w:pPr>
              <w:spacing w:line="240" w:lineRule="auto"/>
              <w:jc w:val="center"/>
              <w:rPr>
                <w:rFonts w:ascii="Arial Narrow" w:hAnsi="Arial Narrow" w:cs="Calibri"/>
                <w:color w:val="000000"/>
                <w:sz w:val="16"/>
                <w:szCs w:val="16"/>
              </w:rPr>
            </w:pPr>
          </w:p>
        </w:tc>
        <w:tc>
          <w:tcPr>
            <w:tcW w:w="538" w:type="dxa"/>
            <w:tcBorders>
              <w:top w:val="nil"/>
              <w:left w:val="single" w:sz="4" w:space="0" w:color="auto"/>
              <w:bottom w:val="single" w:sz="4" w:space="0" w:color="auto"/>
              <w:right w:val="single" w:sz="4" w:space="0" w:color="auto"/>
            </w:tcBorders>
            <w:noWrap/>
            <w:vAlign w:val="bottom"/>
            <w:hideMark/>
          </w:tcPr>
          <w:p w14:paraId="0B58E2B6"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0,4</w:t>
            </w:r>
          </w:p>
        </w:tc>
      </w:tr>
      <w:tr w:rsidR="00BE5D1E" w:rsidRPr="005E4BEA" w14:paraId="2A6020C3" w14:textId="77777777" w:rsidTr="0016774B">
        <w:trPr>
          <w:trHeight w:val="204"/>
        </w:trPr>
        <w:tc>
          <w:tcPr>
            <w:tcW w:w="1616" w:type="dxa"/>
            <w:tcBorders>
              <w:top w:val="nil"/>
              <w:left w:val="single" w:sz="4" w:space="0" w:color="auto"/>
              <w:bottom w:val="single" w:sz="4" w:space="0" w:color="auto"/>
              <w:right w:val="single" w:sz="4" w:space="0" w:color="auto"/>
            </w:tcBorders>
            <w:shd w:val="clear" w:color="000000" w:fill="FFFFFF"/>
            <w:noWrap/>
            <w:vAlign w:val="bottom"/>
            <w:hideMark/>
          </w:tcPr>
          <w:p w14:paraId="0FBDC350" w14:textId="77777777" w:rsidR="00BE5D1E" w:rsidRPr="005E4BEA" w:rsidRDefault="00BE5D1E" w:rsidP="00BE5D1E">
            <w:pPr>
              <w:spacing w:line="240" w:lineRule="auto"/>
              <w:rPr>
                <w:rFonts w:ascii="Arial Narrow" w:hAnsi="Arial Narrow" w:cs="Calibri"/>
                <w:color w:val="000000"/>
                <w:sz w:val="16"/>
                <w:szCs w:val="16"/>
              </w:rPr>
            </w:pPr>
            <w:r w:rsidRPr="005E4BEA">
              <w:rPr>
                <w:rFonts w:ascii="Arial Narrow" w:hAnsi="Arial Narrow" w:cs="Calibri"/>
                <w:color w:val="000000"/>
                <w:sz w:val="16"/>
                <w:szCs w:val="16"/>
              </w:rPr>
              <w:t>Velenje</w:t>
            </w:r>
          </w:p>
        </w:tc>
        <w:tc>
          <w:tcPr>
            <w:tcW w:w="930" w:type="dxa"/>
            <w:tcBorders>
              <w:top w:val="nil"/>
              <w:left w:val="nil"/>
              <w:bottom w:val="single" w:sz="4" w:space="0" w:color="auto"/>
              <w:right w:val="single" w:sz="4" w:space="0" w:color="auto"/>
            </w:tcBorders>
            <w:shd w:val="clear" w:color="000000" w:fill="FFFFFF"/>
            <w:noWrap/>
            <w:vAlign w:val="center"/>
            <w:hideMark/>
          </w:tcPr>
          <w:p w14:paraId="7DFA9120"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38.215</w:t>
            </w:r>
          </w:p>
        </w:tc>
        <w:tc>
          <w:tcPr>
            <w:tcW w:w="880" w:type="dxa"/>
            <w:tcBorders>
              <w:top w:val="nil"/>
              <w:left w:val="nil"/>
              <w:bottom w:val="single" w:sz="4" w:space="0" w:color="auto"/>
              <w:right w:val="single" w:sz="4" w:space="0" w:color="auto"/>
            </w:tcBorders>
            <w:shd w:val="clear" w:color="000000" w:fill="FFFFFF"/>
            <w:noWrap/>
            <w:vAlign w:val="center"/>
            <w:hideMark/>
          </w:tcPr>
          <w:p w14:paraId="109E7A4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38.215</w:t>
            </w:r>
          </w:p>
        </w:tc>
        <w:tc>
          <w:tcPr>
            <w:tcW w:w="927" w:type="dxa"/>
            <w:tcBorders>
              <w:top w:val="nil"/>
              <w:left w:val="nil"/>
              <w:bottom w:val="single" w:sz="4" w:space="0" w:color="auto"/>
              <w:right w:val="single" w:sz="4" w:space="0" w:color="auto"/>
            </w:tcBorders>
            <w:noWrap/>
            <w:vAlign w:val="center"/>
            <w:hideMark/>
          </w:tcPr>
          <w:p w14:paraId="2AC4CC62"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17,38</w:t>
            </w:r>
          </w:p>
        </w:tc>
        <w:tc>
          <w:tcPr>
            <w:tcW w:w="947" w:type="dxa"/>
            <w:tcBorders>
              <w:top w:val="nil"/>
              <w:left w:val="nil"/>
              <w:bottom w:val="single" w:sz="4" w:space="0" w:color="auto"/>
              <w:right w:val="single" w:sz="4" w:space="0" w:color="auto"/>
            </w:tcBorders>
            <w:noWrap/>
            <w:vAlign w:val="center"/>
            <w:hideMark/>
          </w:tcPr>
          <w:p w14:paraId="5AE18AFD"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2.198,79</w:t>
            </w:r>
          </w:p>
        </w:tc>
        <w:tc>
          <w:tcPr>
            <w:tcW w:w="983" w:type="dxa"/>
            <w:tcBorders>
              <w:top w:val="nil"/>
              <w:left w:val="nil"/>
              <w:bottom w:val="single" w:sz="4" w:space="0" w:color="auto"/>
              <w:right w:val="single" w:sz="4" w:space="0" w:color="auto"/>
            </w:tcBorders>
            <w:noWrap/>
            <w:vAlign w:val="center"/>
            <w:hideMark/>
          </w:tcPr>
          <w:p w14:paraId="199DFF6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110,32</w:t>
            </w:r>
          </w:p>
        </w:tc>
        <w:tc>
          <w:tcPr>
            <w:tcW w:w="959" w:type="dxa"/>
            <w:tcBorders>
              <w:top w:val="nil"/>
              <w:left w:val="nil"/>
              <w:bottom w:val="single" w:sz="4" w:space="0" w:color="auto"/>
              <w:right w:val="single" w:sz="4" w:space="0" w:color="auto"/>
            </w:tcBorders>
            <w:noWrap/>
            <w:vAlign w:val="center"/>
            <w:hideMark/>
          </w:tcPr>
          <w:p w14:paraId="5D5ADC3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 </w:t>
            </w:r>
          </w:p>
        </w:tc>
        <w:tc>
          <w:tcPr>
            <w:tcW w:w="1236" w:type="dxa"/>
            <w:tcBorders>
              <w:top w:val="nil"/>
              <w:left w:val="nil"/>
              <w:bottom w:val="single" w:sz="4" w:space="0" w:color="auto"/>
              <w:right w:val="single" w:sz="4" w:space="0" w:color="auto"/>
            </w:tcBorders>
            <w:noWrap/>
            <w:vAlign w:val="center"/>
            <w:hideMark/>
          </w:tcPr>
          <w:p w14:paraId="01BE273C" w14:textId="77777777" w:rsidR="00BE5D1E" w:rsidRPr="005E4BEA" w:rsidRDefault="00BE5D1E" w:rsidP="00BE5D1E">
            <w:pPr>
              <w:spacing w:line="240" w:lineRule="auto"/>
              <w:jc w:val="center"/>
              <w:rPr>
                <w:rFonts w:ascii="Arial Narrow" w:hAnsi="Arial Narrow" w:cs="Calibri"/>
                <w:color w:val="000000"/>
                <w:sz w:val="16"/>
                <w:szCs w:val="16"/>
              </w:rPr>
            </w:pPr>
          </w:p>
        </w:tc>
        <w:tc>
          <w:tcPr>
            <w:tcW w:w="855" w:type="dxa"/>
            <w:tcBorders>
              <w:top w:val="nil"/>
              <w:left w:val="nil"/>
              <w:bottom w:val="single" w:sz="4" w:space="0" w:color="auto"/>
              <w:right w:val="nil"/>
            </w:tcBorders>
            <w:noWrap/>
            <w:vAlign w:val="bottom"/>
            <w:hideMark/>
          </w:tcPr>
          <w:p w14:paraId="76F3DDB1"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0,62</w:t>
            </w:r>
          </w:p>
        </w:tc>
        <w:tc>
          <w:tcPr>
            <w:tcW w:w="538" w:type="dxa"/>
            <w:tcBorders>
              <w:top w:val="nil"/>
              <w:left w:val="single" w:sz="4" w:space="0" w:color="auto"/>
              <w:bottom w:val="single" w:sz="4" w:space="0" w:color="auto"/>
              <w:right w:val="single" w:sz="4" w:space="0" w:color="auto"/>
            </w:tcBorders>
            <w:noWrap/>
            <w:vAlign w:val="bottom"/>
            <w:hideMark/>
          </w:tcPr>
          <w:p w14:paraId="048CD8A7" w14:textId="77777777" w:rsidR="00BE5D1E" w:rsidRPr="005E4BEA" w:rsidRDefault="00BE5D1E" w:rsidP="00BE5D1E">
            <w:pPr>
              <w:spacing w:line="240" w:lineRule="auto"/>
              <w:jc w:val="center"/>
              <w:rPr>
                <w:rFonts w:ascii="Arial Narrow" w:hAnsi="Arial Narrow" w:cs="Calibri"/>
                <w:color w:val="000000"/>
                <w:sz w:val="16"/>
                <w:szCs w:val="16"/>
              </w:rPr>
            </w:pPr>
            <w:r w:rsidRPr="005E4BEA">
              <w:rPr>
                <w:rFonts w:ascii="Arial Narrow" w:hAnsi="Arial Narrow" w:cs="Calibri"/>
                <w:color w:val="000000"/>
                <w:sz w:val="16"/>
                <w:szCs w:val="16"/>
              </w:rPr>
              <w:t>0,05</w:t>
            </w:r>
          </w:p>
        </w:tc>
      </w:tr>
    </w:tbl>
    <w:p w14:paraId="44D5A51E" w14:textId="77777777" w:rsidR="00BE5D1E" w:rsidRPr="005E4BEA" w:rsidRDefault="00BE5D1E" w:rsidP="00BE5D1E">
      <w:pPr>
        <w:spacing w:line="240" w:lineRule="auto"/>
        <w:jc w:val="both"/>
        <w:rPr>
          <w:rFonts w:ascii="Arial Narrow" w:hAnsi="Arial Narrow" w:cstheme="minorBidi"/>
          <w:i/>
          <w:color w:val="808080" w:themeColor="background1" w:themeShade="80"/>
          <w:sz w:val="22"/>
        </w:rPr>
      </w:pPr>
    </w:p>
    <w:p w14:paraId="44CC9034" w14:textId="740885C1" w:rsidR="00FE461F" w:rsidRPr="005E4BEA" w:rsidRDefault="00FE461F" w:rsidP="00FE461F">
      <w:pPr>
        <w:spacing w:line="240" w:lineRule="auto"/>
        <w:jc w:val="both"/>
        <w:rPr>
          <w:rFonts w:cs="Arial"/>
          <w:i/>
          <w:color w:val="808080" w:themeColor="background1" w:themeShade="80"/>
          <w:szCs w:val="20"/>
        </w:rPr>
      </w:pPr>
    </w:p>
    <w:p w14:paraId="060037C6" w14:textId="516867BE" w:rsidR="00487C03" w:rsidRPr="005E4BEA" w:rsidRDefault="00487C03" w:rsidP="00FE461F">
      <w:pPr>
        <w:spacing w:line="240" w:lineRule="auto"/>
        <w:jc w:val="both"/>
        <w:rPr>
          <w:rFonts w:cs="Arial"/>
          <w:i/>
          <w:color w:val="808080" w:themeColor="background1" w:themeShade="80"/>
          <w:szCs w:val="20"/>
        </w:rPr>
      </w:pPr>
    </w:p>
    <w:p w14:paraId="6FBBB56F" w14:textId="0656D021"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proofErr w:type="spellStart"/>
      <w:r w:rsidR="00BE5D1E" w:rsidRPr="005E4BEA">
        <w:rPr>
          <w:rFonts w:eastAsia="Arial Narrow" w:cs="Arial"/>
          <w:szCs w:val="20"/>
        </w:rPr>
        <w:t>strinja.</w:t>
      </w:r>
      <w:r w:rsidRPr="005E4BEA">
        <w:rPr>
          <w:rFonts w:eastAsia="Arial Narrow" w:cs="Arial"/>
          <w:szCs w:val="20"/>
        </w:rPr>
        <w:t>s</w:t>
      </w:r>
      <w:proofErr w:type="spellEnd"/>
      <w:r w:rsidRPr="005E4BEA">
        <w:rPr>
          <w:rFonts w:eastAsia="Arial Narrow" w:cs="Arial"/>
          <w:szCs w:val="20"/>
        </w:rPr>
        <w:t xml:space="preserve"> predlogom</w:t>
      </w:r>
      <w:r w:rsidR="00BE5D1E" w:rsidRPr="005E4BEA">
        <w:rPr>
          <w:rFonts w:eastAsia="Arial Narrow" w:cs="Arial"/>
          <w:szCs w:val="20"/>
        </w:rPr>
        <w:t xml:space="preserve"> v modificirani obliki, in sicer se</w:t>
      </w:r>
      <w:r w:rsidR="00A209B4" w:rsidRPr="005E4BEA">
        <w:rPr>
          <w:rFonts w:eastAsia="Arial Narrow" w:cs="Arial"/>
          <w:szCs w:val="20"/>
        </w:rPr>
        <w:t xml:space="preserve"> v 24. členu se v šestem odstavku za nujne širitve programov oziroma uvajanje novih terapij pri zdravljenju v okviru prvega in drugega odstavka tega člena načrtujejo dodatna sredstva:</w:t>
      </w:r>
    </w:p>
    <w:p w14:paraId="4B7B3ADC" w14:textId="518DDE97" w:rsidR="00B962CF" w:rsidRPr="005E4BEA" w:rsidRDefault="00B962CF" w:rsidP="00487C03">
      <w:pPr>
        <w:autoSpaceDE w:val="0"/>
        <w:autoSpaceDN w:val="0"/>
        <w:adjustRightInd w:val="0"/>
        <w:spacing w:line="0" w:lineRule="atLeast"/>
        <w:jc w:val="both"/>
        <w:rPr>
          <w:rFonts w:eastAsia="Arial Narrow" w:cs="Arial"/>
          <w:szCs w:val="20"/>
        </w:rPr>
      </w:pPr>
    </w:p>
    <w:p w14:paraId="06BAC4C7" w14:textId="7367A982" w:rsidR="00B962CF" w:rsidRPr="005E4BEA" w:rsidRDefault="00B962CF" w:rsidP="00487C03">
      <w:pPr>
        <w:autoSpaceDE w:val="0"/>
        <w:autoSpaceDN w:val="0"/>
        <w:adjustRightInd w:val="0"/>
        <w:spacing w:line="0" w:lineRule="atLeast"/>
        <w:jc w:val="both"/>
        <w:rPr>
          <w:rFonts w:ascii="Times New Roman" w:hAnsi="Times New Roman"/>
          <w:szCs w:val="20"/>
          <w:lang w:eastAsia="sl-SI"/>
        </w:rPr>
      </w:pPr>
      <w:r w:rsidRPr="005E4BEA">
        <w:rPr>
          <w:rFonts w:eastAsia="Arial Narrow" w:cs="Arial"/>
          <w:szCs w:val="20"/>
        </w:rPr>
        <w:fldChar w:fldCharType="begin"/>
      </w:r>
      <w:r w:rsidRPr="005E4BEA">
        <w:rPr>
          <w:rFonts w:eastAsia="Arial Narrow" w:cs="Arial"/>
          <w:szCs w:val="20"/>
        </w:rPr>
        <w:instrText xml:space="preserve"> LINK </w:instrText>
      </w:r>
      <w:r w:rsidR="000C0CA0">
        <w:rPr>
          <w:rFonts w:eastAsia="Arial Narrow" w:cs="Arial"/>
          <w:szCs w:val="20"/>
        </w:rPr>
        <w:instrText xml:space="preserve">Excel.Sheet.12 "\\\\ad.sigov.si\\DAT\\MZ\\DZE_SKIZD\\Splošni dogovor\\ZOBOZDRAVSTVO\\Predlogi za A1SD22 + preskrbljenost.xlsx" "Predlog A1SD22 mladina!R1C1:R24C6" </w:instrText>
      </w:r>
      <w:r w:rsidRPr="005E4BEA">
        <w:rPr>
          <w:rFonts w:eastAsia="Arial Narrow" w:cs="Arial"/>
          <w:szCs w:val="20"/>
        </w:rPr>
        <w:instrText xml:space="preserve">\a \f 5 \h  \* MERGEFORMAT </w:instrText>
      </w:r>
      <w:r w:rsidRPr="005E4BEA">
        <w:rPr>
          <w:rFonts w:eastAsia="Arial Narrow" w:cs="Arial"/>
          <w:szCs w:val="20"/>
        </w:rPr>
        <w:fldChar w:fldCharType="separate"/>
      </w:r>
    </w:p>
    <w:tbl>
      <w:tblPr>
        <w:tblStyle w:val="Tabelamrea"/>
        <w:tblW w:w="9537" w:type="dxa"/>
        <w:tblLook w:val="04A0" w:firstRow="1" w:lastRow="0" w:firstColumn="1" w:lastColumn="0" w:noHBand="0" w:noVBand="1"/>
      </w:tblPr>
      <w:tblGrid>
        <w:gridCol w:w="838"/>
        <w:gridCol w:w="2070"/>
        <w:gridCol w:w="2922"/>
        <w:gridCol w:w="1072"/>
        <w:gridCol w:w="1341"/>
        <w:gridCol w:w="1294"/>
      </w:tblGrid>
      <w:tr w:rsidR="00B962CF" w:rsidRPr="005E4BEA" w14:paraId="33E329B8" w14:textId="77777777" w:rsidTr="00B962CF">
        <w:trPr>
          <w:trHeight w:val="293"/>
        </w:trPr>
        <w:tc>
          <w:tcPr>
            <w:tcW w:w="856" w:type="dxa"/>
            <w:hideMark/>
          </w:tcPr>
          <w:p w14:paraId="7FBC74E3" w14:textId="532D2A40"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vMerge w:val="restart"/>
            <w:hideMark/>
          </w:tcPr>
          <w:p w14:paraId="7BDD21B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P   r   o   g   r   a   m</w:t>
            </w:r>
          </w:p>
        </w:tc>
        <w:tc>
          <w:tcPr>
            <w:tcW w:w="2953" w:type="dxa"/>
            <w:hideMark/>
          </w:tcPr>
          <w:p w14:paraId="6D62A5F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I z v a j a l e c /</w:t>
            </w:r>
          </w:p>
        </w:tc>
        <w:tc>
          <w:tcPr>
            <w:tcW w:w="975" w:type="dxa"/>
            <w:vMerge w:val="restart"/>
            <w:hideMark/>
          </w:tcPr>
          <w:p w14:paraId="7C86021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Obseg programa</w:t>
            </w:r>
          </w:p>
        </w:tc>
        <w:tc>
          <w:tcPr>
            <w:tcW w:w="1352" w:type="dxa"/>
            <w:hideMark/>
          </w:tcPr>
          <w:p w14:paraId="3C0C2FCF" w14:textId="77777777" w:rsidR="00B962CF" w:rsidRPr="005E4BEA" w:rsidRDefault="00B962CF" w:rsidP="00B962CF">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c>
          <w:tcPr>
            <w:tcW w:w="1311" w:type="dxa"/>
            <w:hideMark/>
          </w:tcPr>
          <w:p w14:paraId="3A92FC3B" w14:textId="77777777" w:rsidR="00B962CF" w:rsidRPr="005E4BEA" w:rsidRDefault="00B962CF" w:rsidP="00B962CF">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r>
      <w:tr w:rsidR="00B962CF" w:rsidRPr="005E4BEA" w14:paraId="10CDD16D" w14:textId="77777777" w:rsidTr="00B962CF">
        <w:trPr>
          <w:trHeight w:val="528"/>
        </w:trPr>
        <w:tc>
          <w:tcPr>
            <w:tcW w:w="856" w:type="dxa"/>
            <w:hideMark/>
          </w:tcPr>
          <w:p w14:paraId="2CC439D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 </w:t>
            </w:r>
          </w:p>
        </w:tc>
        <w:tc>
          <w:tcPr>
            <w:tcW w:w="2090" w:type="dxa"/>
            <w:vMerge/>
            <w:hideMark/>
          </w:tcPr>
          <w:p w14:paraId="7EEC615E"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2953" w:type="dxa"/>
            <w:hideMark/>
          </w:tcPr>
          <w:p w14:paraId="4D60590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i z p o s t a v a</w:t>
            </w:r>
          </w:p>
        </w:tc>
        <w:tc>
          <w:tcPr>
            <w:tcW w:w="975" w:type="dxa"/>
            <w:vMerge/>
            <w:hideMark/>
          </w:tcPr>
          <w:p w14:paraId="0444EB9E"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352" w:type="dxa"/>
            <w:hideMark/>
          </w:tcPr>
          <w:p w14:paraId="630FC01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na letni ravni</w:t>
            </w:r>
          </w:p>
        </w:tc>
        <w:tc>
          <w:tcPr>
            <w:tcW w:w="1311" w:type="dxa"/>
            <w:hideMark/>
          </w:tcPr>
          <w:p w14:paraId="6E4965A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1.6.–31.12. 2022</w:t>
            </w:r>
          </w:p>
        </w:tc>
      </w:tr>
      <w:tr w:rsidR="00B962CF" w:rsidRPr="005E4BEA" w14:paraId="58EF6A7A" w14:textId="77777777" w:rsidTr="00B962CF">
        <w:trPr>
          <w:trHeight w:val="293"/>
        </w:trPr>
        <w:tc>
          <w:tcPr>
            <w:tcW w:w="856" w:type="dxa"/>
            <w:hideMark/>
          </w:tcPr>
          <w:p w14:paraId="42E7EB9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vMerge/>
            <w:hideMark/>
          </w:tcPr>
          <w:p w14:paraId="56459AAE"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2953" w:type="dxa"/>
            <w:hideMark/>
          </w:tcPr>
          <w:p w14:paraId="474BE01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 </w:t>
            </w:r>
          </w:p>
        </w:tc>
        <w:tc>
          <w:tcPr>
            <w:tcW w:w="975" w:type="dxa"/>
            <w:vMerge/>
            <w:hideMark/>
          </w:tcPr>
          <w:p w14:paraId="44E10595"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352" w:type="dxa"/>
            <w:hideMark/>
          </w:tcPr>
          <w:p w14:paraId="07A0118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c>
          <w:tcPr>
            <w:tcW w:w="1311" w:type="dxa"/>
            <w:hideMark/>
          </w:tcPr>
          <w:p w14:paraId="22CE21B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r>
      <w:tr w:rsidR="00B962CF" w:rsidRPr="005E4BEA" w14:paraId="10D8010B" w14:textId="77777777" w:rsidTr="00B962CF">
        <w:trPr>
          <w:trHeight w:val="528"/>
        </w:trPr>
        <w:tc>
          <w:tcPr>
            <w:tcW w:w="856" w:type="dxa"/>
            <w:hideMark/>
          </w:tcPr>
          <w:p w14:paraId="73D4A8B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2090" w:type="dxa"/>
            <w:hideMark/>
          </w:tcPr>
          <w:p w14:paraId="4059E2A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359F17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Laško</w:t>
            </w:r>
          </w:p>
        </w:tc>
        <w:tc>
          <w:tcPr>
            <w:tcW w:w="975" w:type="dxa"/>
            <w:hideMark/>
          </w:tcPr>
          <w:p w14:paraId="3C9174A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352" w:type="dxa"/>
            <w:hideMark/>
          </w:tcPr>
          <w:p w14:paraId="33348E9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c>
          <w:tcPr>
            <w:tcW w:w="1311" w:type="dxa"/>
            <w:hideMark/>
          </w:tcPr>
          <w:p w14:paraId="024E4C7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54.164</w:t>
            </w:r>
          </w:p>
        </w:tc>
      </w:tr>
      <w:tr w:rsidR="00B962CF" w:rsidRPr="005E4BEA" w14:paraId="07FBC023" w14:textId="77777777" w:rsidTr="00B962CF">
        <w:trPr>
          <w:trHeight w:val="528"/>
        </w:trPr>
        <w:tc>
          <w:tcPr>
            <w:tcW w:w="856" w:type="dxa"/>
            <w:hideMark/>
          </w:tcPr>
          <w:p w14:paraId="49ACC2F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w:t>
            </w:r>
          </w:p>
        </w:tc>
        <w:tc>
          <w:tcPr>
            <w:tcW w:w="2090" w:type="dxa"/>
            <w:hideMark/>
          </w:tcPr>
          <w:p w14:paraId="03C1330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25CFB2E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Maribor</w:t>
            </w:r>
          </w:p>
        </w:tc>
        <w:tc>
          <w:tcPr>
            <w:tcW w:w="975" w:type="dxa"/>
            <w:hideMark/>
          </w:tcPr>
          <w:p w14:paraId="2C0FA24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352" w:type="dxa"/>
            <w:hideMark/>
          </w:tcPr>
          <w:p w14:paraId="6ED0A35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c>
          <w:tcPr>
            <w:tcW w:w="1311" w:type="dxa"/>
            <w:hideMark/>
          </w:tcPr>
          <w:p w14:paraId="5517AAA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54.164</w:t>
            </w:r>
          </w:p>
        </w:tc>
      </w:tr>
      <w:tr w:rsidR="00B962CF" w:rsidRPr="005E4BEA" w14:paraId="1059D8B4" w14:textId="77777777" w:rsidTr="00B962CF">
        <w:trPr>
          <w:trHeight w:val="528"/>
        </w:trPr>
        <w:tc>
          <w:tcPr>
            <w:tcW w:w="856" w:type="dxa"/>
            <w:hideMark/>
          </w:tcPr>
          <w:p w14:paraId="6006B9E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w:t>
            </w:r>
          </w:p>
        </w:tc>
        <w:tc>
          <w:tcPr>
            <w:tcW w:w="2090" w:type="dxa"/>
            <w:hideMark/>
          </w:tcPr>
          <w:p w14:paraId="7D16E62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72883D1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Novo mesto</w:t>
            </w:r>
          </w:p>
        </w:tc>
        <w:tc>
          <w:tcPr>
            <w:tcW w:w="975" w:type="dxa"/>
            <w:hideMark/>
          </w:tcPr>
          <w:p w14:paraId="6F9C437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352" w:type="dxa"/>
            <w:hideMark/>
          </w:tcPr>
          <w:p w14:paraId="58D426C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c>
          <w:tcPr>
            <w:tcW w:w="1311" w:type="dxa"/>
            <w:hideMark/>
          </w:tcPr>
          <w:p w14:paraId="5DE0B3A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r>
      <w:tr w:rsidR="00B962CF" w:rsidRPr="005E4BEA" w14:paraId="66575C31" w14:textId="77777777" w:rsidTr="00B962CF">
        <w:trPr>
          <w:trHeight w:val="528"/>
        </w:trPr>
        <w:tc>
          <w:tcPr>
            <w:tcW w:w="856" w:type="dxa"/>
            <w:hideMark/>
          </w:tcPr>
          <w:p w14:paraId="61DB379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w:t>
            </w:r>
          </w:p>
        </w:tc>
        <w:tc>
          <w:tcPr>
            <w:tcW w:w="2090" w:type="dxa"/>
            <w:hideMark/>
          </w:tcPr>
          <w:p w14:paraId="31F0C9F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7D81CDD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ZASEBNA ZOBNA ORDINACIJA DAVID VIZJAK, DR. DENT. MED.</w:t>
            </w:r>
          </w:p>
        </w:tc>
        <w:tc>
          <w:tcPr>
            <w:tcW w:w="975" w:type="dxa"/>
            <w:hideMark/>
          </w:tcPr>
          <w:p w14:paraId="77C2B6A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03E50C5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051734F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4C527FA0" w14:textId="77777777" w:rsidTr="00B962CF">
        <w:trPr>
          <w:trHeight w:val="787"/>
        </w:trPr>
        <w:tc>
          <w:tcPr>
            <w:tcW w:w="856" w:type="dxa"/>
            <w:hideMark/>
          </w:tcPr>
          <w:p w14:paraId="40789EB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hideMark/>
          </w:tcPr>
          <w:p w14:paraId="6E6CAC7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A20311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ZASEBNA ZOBNA AMBULANTA ZA OTROKE IN MLADINO MOJCA DREV, DR.DENT.MED.</w:t>
            </w:r>
          </w:p>
        </w:tc>
        <w:tc>
          <w:tcPr>
            <w:tcW w:w="975" w:type="dxa"/>
            <w:hideMark/>
          </w:tcPr>
          <w:p w14:paraId="2008D2B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0D88A4A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4E20686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r>
      <w:tr w:rsidR="00B962CF" w:rsidRPr="005E4BEA" w14:paraId="0830F18E" w14:textId="77777777" w:rsidTr="00B962CF">
        <w:trPr>
          <w:trHeight w:val="528"/>
        </w:trPr>
        <w:tc>
          <w:tcPr>
            <w:tcW w:w="856" w:type="dxa"/>
            <w:hideMark/>
          </w:tcPr>
          <w:p w14:paraId="13F7042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w:t>
            </w:r>
          </w:p>
        </w:tc>
        <w:tc>
          <w:tcPr>
            <w:tcW w:w="2090" w:type="dxa"/>
            <w:hideMark/>
          </w:tcPr>
          <w:p w14:paraId="06671CA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3CC29C9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ZASEBNA ZOBNA AMBULANTA, SAŠA DOLAR, S.P.</w:t>
            </w:r>
          </w:p>
        </w:tc>
        <w:tc>
          <w:tcPr>
            <w:tcW w:w="975" w:type="dxa"/>
            <w:hideMark/>
          </w:tcPr>
          <w:p w14:paraId="10FD2A1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0,09</w:t>
            </w:r>
          </w:p>
        </w:tc>
        <w:tc>
          <w:tcPr>
            <w:tcW w:w="1352" w:type="dxa"/>
            <w:hideMark/>
          </w:tcPr>
          <w:p w14:paraId="5B45604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9.750</w:t>
            </w:r>
          </w:p>
        </w:tc>
        <w:tc>
          <w:tcPr>
            <w:tcW w:w="1311" w:type="dxa"/>
            <w:hideMark/>
          </w:tcPr>
          <w:p w14:paraId="0F8BFB3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4.875</w:t>
            </w:r>
          </w:p>
        </w:tc>
      </w:tr>
      <w:tr w:rsidR="00B962CF" w:rsidRPr="005E4BEA" w14:paraId="1A271825" w14:textId="77777777" w:rsidTr="00B962CF">
        <w:trPr>
          <w:trHeight w:val="528"/>
        </w:trPr>
        <w:tc>
          <w:tcPr>
            <w:tcW w:w="856" w:type="dxa"/>
            <w:hideMark/>
          </w:tcPr>
          <w:p w14:paraId="58AF8B2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7</w:t>
            </w:r>
          </w:p>
        </w:tc>
        <w:tc>
          <w:tcPr>
            <w:tcW w:w="2090" w:type="dxa"/>
            <w:hideMark/>
          </w:tcPr>
          <w:p w14:paraId="61797A2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0C5126F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ZDRAVSTVENI ZAVOD MIRADENT KOPER</w:t>
            </w:r>
          </w:p>
        </w:tc>
        <w:tc>
          <w:tcPr>
            <w:tcW w:w="975" w:type="dxa"/>
            <w:hideMark/>
          </w:tcPr>
          <w:p w14:paraId="20503C3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412351E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030962F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28B7DF2B" w14:textId="77777777" w:rsidTr="00B962CF">
        <w:trPr>
          <w:trHeight w:val="787"/>
        </w:trPr>
        <w:tc>
          <w:tcPr>
            <w:tcW w:w="856" w:type="dxa"/>
            <w:hideMark/>
          </w:tcPr>
          <w:p w14:paraId="68D5F89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hideMark/>
          </w:tcPr>
          <w:p w14:paraId="73ADBB3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6AF37C4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NIVES KREBELJ ŠKOF, DR.DENT.MED., ZOBNA AMBULANTA OLMO</w:t>
            </w:r>
          </w:p>
        </w:tc>
        <w:tc>
          <w:tcPr>
            <w:tcW w:w="975" w:type="dxa"/>
            <w:hideMark/>
          </w:tcPr>
          <w:p w14:paraId="19F3873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352" w:type="dxa"/>
            <w:hideMark/>
          </w:tcPr>
          <w:p w14:paraId="2E97E1B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c>
          <w:tcPr>
            <w:tcW w:w="1311" w:type="dxa"/>
            <w:hideMark/>
          </w:tcPr>
          <w:p w14:paraId="13BBDA7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5.416</w:t>
            </w:r>
          </w:p>
        </w:tc>
      </w:tr>
      <w:tr w:rsidR="00B962CF" w:rsidRPr="005E4BEA" w14:paraId="70CC30A2" w14:textId="77777777" w:rsidTr="00B962CF">
        <w:trPr>
          <w:trHeight w:val="1045"/>
        </w:trPr>
        <w:tc>
          <w:tcPr>
            <w:tcW w:w="856" w:type="dxa"/>
            <w:hideMark/>
          </w:tcPr>
          <w:p w14:paraId="30F93E5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8</w:t>
            </w:r>
          </w:p>
        </w:tc>
        <w:tc>
          <w:tcPr>
            <w:tcW w:w="2090" w:type="dxa"/>
            <w:hideMark/>
          </w:tcPr>
          <w:p w14:paraId="64D9D25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367570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JAKLJEVIĆ VLATKO - ZOBOZDRAVSTVENA AMBULANTA ZA OTROKE IN MLADINO</w:t>
            </w:r>
          </w:p>
        </w:tc>
        <w:tc>
          <w:tcPr>
            <w:tcW w:w="975" w:type="dxa"/>
            <w:hideMark/>
          </w:tcPr>
          <w:p w14:paraId="7E82984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0,19</w:t>
            </w:r>
          </w:p>
        </w:tc>
        <w:tc>
          <w:tcPr>
            <w:tcW w:w="1352" w:type="dxa"/>
            <w:hideMark/>
          </w:tcPr>
          <w:p w14:paraId="7319F6B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20.582</w:t>
            </w:r>
          </w:p>
        </w:tc>
        <w:tc>
          <w:tcPr>
            <w:tcW w:w="1311" w:type="dxa"/>
            <w:hideMark/>
          </w:tcPr>
          <w:p w14:paraId="461A0F5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10.291</w:t>
            </w:r>
          </w:p>
        </w:tc>
      </w:tr>
      <w:tr w:rsidR="00B962CF" w:rsidRPr="005E4BEA" w14:paraId="3BDC50D1" w14:textId="77777777" w:rsidTr="00B962CF">
        <w:trPr>
          <w:trHeight w:val="528"/>
        </w:trPr>
        <w:tc>
          <w:tcPr>
            <w:tcW w:w="856" w:type="dxa"/>
            <w:hideMark/>
          </w:tcPr>
          <w:p w14:paraId="6472AC7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9</w:t>
            </w:r>
          </w:p>
        </w:tc>
        <w:tc>
          <w:tcPr>
            <w:tcW w:w="2090" w:type="dxa"/>
            <w:hideMark/>
          </w:tcPr>
          <w:p w14:paraId="1E50182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01BB0A0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ZOBNA AMBULANTA ADELA GAŠPERIČ DR.DENT.MED</w:t>
            </w:r>
          </w:p>
        </w:tc>
        <w:tc>
          <w:tcPr>
            <w:tcW w:w="975" w:type="dxa"/>
            <w:hideMark/>
          </w:tcPr>
          <w:p w14:paraId="7F7C661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6264648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4070A0F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12465DE6" w14:textId="77777777" w:rsidTr="00B962CF">
        <w:trPr>
          <w:trHeight w:val="528"/>
        </w:trPr>
        <w:tc>
          <w:tcPr>
            <w:tcW w:w="856" w:type="dxa"/>
            <w:hideMark/>
          </w:tcPr>
          <w:p w14:paraId="0E152C0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w:t>
            </w:r>
          </w:p>
        </w:tc>
        <w:tc>
          <w:tcPr>
            <w:tcW w:w="2090" w:type="dxa"/>
            <w:hideMark/>
          </w:tcPr>
          <w:p w14:paraId="5D46FB0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071950B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IDENS, ZOBOZDRAVSTVENE STORITVE D.O.O.</w:t>
            </w:r>
          </w:p>
        </w:tc>
        <w:tc>
          <w:tcPr>
            <w:tcW w:w="975" w:type="dxa"/>
            <w:hideMark/>
          </w:tcPr>
          <w:p w14:paraId="713ABBD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75454A3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7E3D572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6779F6AA" w14:textId="77777777" w:rsidTr="00B962CF">
        <w:trPr>
          <w:trHeight w:val="1045"/>
        </w:trPr>
        <w:tc>
          <w:tcPr>
            <w:tcW w:w="856" w:type="dxa"/>
            <w:hideMark/>
          </w:tcPr>
          <w:p w14:paraId="308D007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11</w:t>
            </w:r>
          </w:p>
        </w:tc>
        <w:tc>
          <w:tcPr>
            <w:tcW w:w="2090" w:type="dxa"/>
            <w:hideMark/>
          </w:tcPr>
          <w:p w14:paraId="2C57D31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404AB90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BOBNAR MOJCA DR. DENT. MED., ZASEBNA ZOBOZDRAVSTVENA ORDINACIJA</w:t>
            </w:r>
          </w:p>
        </w:tc>
        <w:tc>
          <w:tcPr>
            <w:tcW w:w="975" w:type="dxa"/>
            <w:hideMark/>
          </w:tcPr>
          <w:p w14:paraId="0DA8416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0AE2687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2ACF22E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59B3252A" w14:textId="77777777" w:rsidTr="00B962CF">
        <w:trPr>
          <w:trHeight w:val="528"/>
        </w:trPr>
        <w:tc>
          <w:tcPr>
            <w:tcW w:w="856" w:type="dxa"/>
            <w:hideMark/>
          </w:tcPr>
          <w:p w14:paraId="4CF8CB4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12</w:t>
            </w:r>
          </w:p>
        </w:tc>
        <w:tc>
          <w:tcPr>
            <w:tcW w:w="2090" w:type="dxa"/>
            <w:hideMark/>
          </w:tcPr>
          <w:p w14:paraId="7F9BFFE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EB4D38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PETRINA KRAJNC REPA - ZASEBNA ZOBNA ORDINACIJA</w:t>
            </w:r>
          </w:p>
        </w:tc>
        <w:tc>
          <w:tcPr>
            <w:tcW w:w="975" w:type="dxa"/>
            <w:hideMark/>
          </w:tcPr>
          <w:p w14:paraId="1A22B12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352" w:type="dxa"/>
            <w:hideMark/>
          </w:tcPr>
          <w:p w14:paraId="3FF26B2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c>
          <w:tcPr>
            <w:tcW w:w="1311" w:type="dxa"/>
            <w:hideMark/>
          </w:tcPr>
          <w:p w14:paraId="5206608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5.416</w:t>
            </w:r>
          </w:p>
        </w:tc>
      </w:tr>
      <w:tr w:rsidR="00B962CF" w:rsidRPr="005E4BEA" w14:paraId="7AC522AA" w14:textId="77777777" w:rsidTr="00B962CF">
        <w:trPr>
          <w:trHeight w:val="528"/>
        </w:trPr>
        <w:tc>
          <w:tcPr>
            <w:tcW w:w="856" w:type="dxa"/>
            <w:hideMark/>
          </w:tcPr>
          <w:p w14:paraId="48A5A69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w:t>
            </w:r>
          </w:p>
        </w:tc>
        <w:tc>
          <w:tcPr>
            <w:tcW w:w="2090" w:type="dxa"/>
            <w:hideMark/>
          </w:tcPr>
          <w:p w14:paraId="15F4724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DD1DB7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TOPZOB, ZOBOZDRAVSTVO ZA MLADINO IN ODRASLE, D.O.O.</w:t>
            </w:r>
          </w:p>
        </w:tc>
        <w:tc>
          <w:tcPr>
            <w:tcW w:w="975" w:type="dxa"/>
            <w:hideMark/>
          </w:tcPr>
          <w:p w14:paraId="56DC9EB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0,16</w:t>
            </w:r>
          </w:p>
        </w:tc>
        <w:tc>
          <w:tcPr>
            <w:tcW w:w="1352" w:type="dxa"/>
            <w:hideMark/>
          </w:tcPr>
          <w:p w14:paraId="68C0FD4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17.333</w:t>
            </w:r>
          </w:p>
        </w:tc>
        <w:tc>
          <w:tcPr>
            <w:tcW w:w="1311" w:type="dxa"/>
            <w:hideMark/>
          </w:tcPr>
          <w:p w14:paraId="4EC1C59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8.666</w:t>
            </w:r>
          </w:p>
        </w:tc>
      </w:tr>
      <w:tr w:rsidR="00B962CF" w:rsidRPr="005E4BEA" w14:paraId="0E4979BC" w14:textId="77777777" w:rsidTr="00B962CF">
        <w:trPr>
          <w:trHeight w:val="787"/>
        </w:trPr>
        <w:tc>
          <w:tcPr>
            <w:tcW w:w="856" w:type="dxa"/>
            <w:hideMark/>
          </w:tcPr>
          <w:p w14:paraId="77CFCF8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14</w:t>
            </w:r>
          </w:p>
        </w:tc>
        <w:tc>
          <w:tcPr>
            <w:tcW w:w="2090" w:type="dxa"/>
            <w:hideMark/>
          </w:tcPr>
          <w:p w14:paraId="7A59BDA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FCE2F8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MARDENS ZDRAVSTVO, TRGOVINA, GOSTINSTVO, STORITVE D.O.O.</w:t>
            </w:r>
          </w:p>
        </w:tc>
        <w:tc>
          <w:tcPr>
            <w:tcW w:w="975" w:type="dxa"/>
            <w:hideMark/>
          </w:tcPr>
          <w:p w14:paraId="0402F36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352" w:type="dxa"/>
            <w:hideMark/>
          </w:tcPr>
          <w:p w14:paraId="003FFB8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c>
          <w:tcPr>
            <w:tcW w:w="1311" w:type="dxa"/>
            <w:hideMark/>
          </w:tcPr>
          <w:p w14:paraId="31A1265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5.416</w:t>
            </w:r>
          </w:p>
        </w:tc>
      </w:tr>
      <w:tr w:rsidR="00B962CF" w:rsidRPr="005E4BEA" w14:paraId="7DE59704" w14:textId="77777777" w:rsidTr="00B962CF">
        <w:trPr>
          <w:trHeight w:val="787"/>
        </w:trPr>
        <w:tc>
          <w:tcPr>
            <w:tcW w:w="856" w:type="dxa"/>
            <w:hideMark/>
          </w:tcPr>
          <w:p w14:paraId="33CFC8C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15</w:t>
            </w:r>
          </w:p>
        </w:tc>
        <w:tc>
          <w:tcPr>
            <w:tcW w:w="2090" w:type="dxa"/>
            <w:hideMark/>
          </w:tcPr>
          <w:p w14:paraId="4556964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25D09BD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MOJCA ZUPANČIČ, DR.DENT.MED. - ZASEBNI ZOBOZDRAVNIK</w:t>
            </w:r>
          </w:p>
        </w:tc>
        <w:tc>
          <w:tcPr>
            <w:tcW w:w="975" w:type="dxa"/>
            <w:hideMark/>
          </w:tcPr>
          <w:p w14:paraId="4EF6F30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72D6134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19AF874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2C69BF51" w14:textId="77777777" w:rsidTr="00B962CF">
        <w:trPr>
          <w:trHeight w:val="528"/>
        </w:trPr>
        <w:tc>
          <w:tcPr>
            <w:tcW w:w="856" w:type="dxa"/>
            <w:hideMark/>
          </w:tcPr>
          <w:p w14:paraId="6BDF67B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16</w:t>
            </w:r>
          </w:p>
        </w:tc>
        <w:tc>
          <w:tcPr>
            <w:tcW w:w="2090" w:type="dxa"/>
            <w:hideMark/>
          </w:tcPr>
          <w:p w14:paraId="7499D93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4D2F5D8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MEDICINSKI CENTER GORJANC</w:t>
            </w:r>
          </w:p>
        </w:tc>
        <w:tc>
          <w:tcPr>
            <w:tcW w:w="975" w:type="dxa"/>
            <w:hideMark/>
          </w:tcPr>
          <w:p w14:paraId="2D23438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3CE2832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58CF868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B962CF" w:rsidRPr="005E4BEA" w14:paraId="5438489E" w14:textId="77777777" w:rsidTr="00B962CF">
        <w:trPr>
          <w:trHeight w:val="528"/>
        </w:trPr>
        <w:tc>
          <w:tcPr>
            <w:tcW w:w="856" w:type="dxa"/>
            <w:hideMark/>
          </w:tcPr>
          <w:p w14:paraId="6FDD561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17</w:t>
            </w:r>
          </w:p>
        </w:tc>
        <w:tc>
          <w:tcPr>
            <w:tcW w:w="2090" w:type="dxa"/>
            <w:hideMark/>
          </w:tcPr>
          <w:p w14:paraId="193BF3F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2C0B154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HUMANIKDENT DENTALNA MEDICINA D.O.O.</w:t>
            </w:r>
          </w:p>
        </w:tc>
        <w:tc>
          <w:tcPr>
            <w:tcW w:w="975" w:type="dxa"/>
            <w:hideMark/>
          </w:tcPr>
          <w:p w14:paraId="403C611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0,16</w:t>
            </w:r>
          </w:p>
        </w:tc>
        <w:tc>
          <w:tcPr>
            <w:tcW w:w="1352" w:type="dxa"/>
            <w:hideMark/>
          </w:tcPr>
          <w:p w14:paraId="6765ABC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17.333</w:t>
            </w:r>
          </w:p>
        </w:tc>
        <w:tc>
          <w:tcPr>
            <w:tcW w:w="1311" w:type="dxa"/>
            <w:hideMark/>
          </w:tcPr>
          <w:p w14:paraId="427D191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8.666</w:t>
            </w:r>
          </w:p>
        </w:tc>
      </w:tr>
      <w:tr w:rsidR="00B962CF" w:rsidRPr="005E4BEA" w14:paraId="17791CBC" w14:textId="77777777" w:rsidTr="00B962CF">
        <w:trPr>
          <w:trHeight w:val="528"/>
        </w:trPr>
        <w:tc>
          <w:tcPr>
            <w:tcW w:w="856" w:type="dxa"/>
            <w:hideMark/>
          </w:tcPr>
          <w:p w14:paraId="0E46B74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18</w:t>
            </w:r>
          </w:p>
        </w:tc>
        <w:tc>
          <w:tcPr>
            <w:tcW w:w="2090" w:type="dxa"/>
            <w:hideMark/>
          </w:tcPr>
          <w:p w14:paraId="49F11AF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41A56F1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OE Murska Sobota</w:t>
            </w:r>
          </w:p>
        </w:tc>
        <w:tc>
          <w:tcPr>
            <w:tcW w:w="975" w:type="dxa"/>
            <w:hideMark/>
          </w:tcPr>
          <w:p w14:paraId="02A2D57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4,3</w:t>
            </w:r>
          </w:p>
        </w:tc>
        <w:tc>
          <w:tcPr>
            <w:tcW w:w="1352" w:type="dxa"/>
            <w:hideMark/>
          </w:tcPr>
          <w:p w14:paraId="3BE4EEF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465.814</w:t>
            </w:r>
          </w:p>
        </w:tc>
        <w:tc>
          <w:tcPr>
            <w:tcW w:w="1311" w:type="dxa"/>
            <w:hideMark/>
          </w:tcPr>
          <w:p w14:paraId="58B0F37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232.907</w:t>
            </w:r>
          </w:p>
        </w:tc>
      </w:tr>
      <w:tr w:rsidR="00B962CF" w:rsidRPr="005E4BEA" w14:paraId="51647734" w14:textId="77777777" w:rsidTr="00B962CF">
        <w:trPr>
          <w:trHeight w:val="528"/>
        </w:trPr>
        <w:tc>
          <w:tcPr>
            <w:tcW w:w="856" w:type="dxa"/>
            <w:hideMark/>
          </w:tcPr>
          <w:p w14:paraId="1C501F7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19</w:t>
            </w:r>
          </w:p>
        </w:tc>
        <w:tc>
          <w:tcPr>
            <w:tcW w:w="2090" w:type="dxa"/>
            <w:hideMark/>
          </w:tcPr>
          <w:p w14:paraId="48D47A9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A6FC29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OE Koper</w:t>
            </w:r>
          </w:p>
        </w:tc>
        <w:tc>
          <w:tcPr>
            <w:tcW w:w="975" w:type="dxa"/>
            <w:hideMark/>
          </w:tcPr>
          <w:p w14:paraId="4C888BC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w:t>
            </w:r>
          </w:p>
        </w:tc>
        <w:tc>
          <w:tcPr>
            <w:tcW w:w="1352" w:type="dxa"/>
            <w:hideMark/>
          </w:tcPr>
          <w:p w14:paraId="2D67D76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216.657</w:t>
            </w:r>
          </w:p>
        </w:tc>
        <w:tc>
          <w:tcPr>
            <w:tcW w:w="1311" w:type="dxa"/>
            <w:hideMark/>
          </w:tcPr>
          <w:p w14:paraId="03BEFFB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r>
      <w:tr w:rsidR="00B962CF" w:rsidRPr="005E4BEA" w14:paraId="67F5DD3F" w14:textId="77777777" w:rsidTr="00B962CF">
        <w:trPr>
          <w:trHeight w:val="528"/>
        </w:trPr>
        <w:tc>
          <w:tcPr>
            <w:tcW w:w="856" w:type="dxa"/>
            <w:hideMark/>
          </w:tcPr>
          <w:p w14:paraId="163DE56D"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c>
          <w:tcPr>
            <w:tcW w:w="2090" w:type="dxa"/>
            <w:hideMark/>
          </w:tcPr>
          <w:p w14:paraId="5F9750C6"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xml:space="preserve">Zobozdravstvo za odrasle </w:t>
            </w:r>
          </w:p>
        </w:tc>
        <w:tc>
          <w:tcPr>
            <w:tcW w:w="2953" w:type="dxa"/>
            <w:hideMark/>
          </w:tcPr>
          <w:p w14:paraId="4B02B563"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SKUPAJ</w:t>
            </w:r>
          </w:p>
        </w:tc>
        <w:tc>
          <w:tcPr>
            <w:tcW w:w="975" w:type="dxa"/>
            <w:hideMark/>
          </w:tcPr>
          <w:p w14:paraId="41F581AA"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11,8</w:t>
            </w:r>
          </w:p>
        </w:tc>
        <w:tc>
          <w:tcPr>
            <w:tcW w:w="1352" w:type="dxa"/>
            <w:hideMark/>
          </w:tcPr>
          <w:p w14:paraId="027C236A"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1.278.279</w:t>
            </w:r>
          </w:p>
        </w:tc>
        <w:tc>
          <w:tcPr>
            <w:tcW w:w="1311" w:type="dxa"/>
            <w:hideMark/>
          </w:tcPr>
          <w:p w14:paraId="6F674603"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574.142</w:t>
            </w:r>
          </w:p>
        </w:tc>
      </w:tr>
    </w:tbl>
    <w:p w14:paraId="4AA12A6F" w14:textId="5E35A9E7" w:rsidR="00B962CF" w:rsidRPr="005E4BEA" w:rsidRDefault="00B962CF" w:rsidP="00487C03">
      <w:pPr>
        <w:autoSpaceDE w:val="0"/>
        <w:autoSpaceDN w:val="0"/>
        <w:adjustRightInd w:val="0"/>
        <w:spacing w:line="0" w:lineRule="atLeast"/>
        <w:jc w:val="both"/>
        <w:rPr>
          <w:rFonts w:eastAsia="Arial Narrow" w:cs="Arial"/>
          <w:szCs w:val="20"/>
        </w:rPr>
      </w:pPr>
      <w:r w:rsidRPr="005E4BEA">
        <w:rPr>
          <w:rFonts w:eastAsia="Arial Narrow" w:cs="Arial"/>
          <w:szCs w:val="20"/>
        </w:rPr>
        <w:fldChar w:fldCharType="end"/>
      </w:r>
    </w:p>
    <w:p w14:paraId="271EE70B" w14:textId="684270D3" w:rsidR="00B962CF" w:rsidRPr="005E4BEA" w:rsidRDefault="00B962CF" w:rsidP="00487C03">
      <w:pPr>
        <w:autoSpaceDE w:val="0"/>
        <w:autoSpaceDN w:val="0"/>
        <w:adjustRightInd w:val="0"/>
        <w:spacing w:line="0" w:lineRule="atLeast"/>
        <w:jc w:val="both"/>
        <w:rPr>
          <w:rFonts w:eastAsia="Arial Narrow" w:cs="Arial"/>
          <w:szCs w:val="20"/>
        </w:rPr>
      </w:pPr>
      <w:r w:rsidRPr="005E4BEA">
        <w:rPr>
          <w:rFonts w:eastAsia="Arial Narrow" w:cs="Arial"/>
          <w:szCs w:val="20"/>
        </w:rPr>
        <w:t>¸</w:t>
      </w:r>
    </w:p>
    <w:p w14:paraId="57EF2DE3" w14:textId="0DC03223" w:rsidR="00B962CF" w:rsidRPr="005E4BEA" w:rsidRDefault="00B962CF" w:rsidP="00487C03">
      <w:pPr>
        <w:autoSpaceDE w:val="0"/>
        <w:autoSpaceDN w:val="0"/>
        <w:adjustRightInd w:val="0"/>
        <w:spacing w:line="0" w:lineRule="atLeast"/>
        <w:jc w:val="both"/>
        <w:rPr>
          <w:rFonts w:eastAsia="Arial Narrow" w:cs="Arial"/>
          <w:szCs w:val="20"/>
        </w:rPr>
      </w:pPr>
    </w:p>
    <w:p w14:paraId="215025EF" w14:textId="77777777" w:rsidR="00B962CF" w:rsidRPr="005E4BEA" w:rsidRDefault="00B962CF" w:rsidP="00487C03">
      <w:pPr>
        <w:autoSpaceDE w:val="0"/>
        <w:autoSpaceDN w:val="0"/>
        <w:adjustRightInd w:val="0"/>
        <w:spacing w:line="0" w:lineRule="atLeast"/>
        <w:jc w:val="both"/>
        <w:rPr>
          <w:rFonts w:eastAsia="Arial Narrow" w:cs="Arial"/>
          <w:szCs w:val="20"/>
        </w:rPr>
      </w:pPr>
    </w:p>
    <w:p w14:paraId="0695E2A0" w14:textId="3DA757E0" w:rsidR="00A209B4" w:rsidRPr="005E4BEA" w:rsidRDefault="00A209B4" w:rsidP="00487C03">
      <w:pPr>
        <w:autoSpaceDE w:val="0"/>
        <w:autoSpaceDN w:val="0"/>
        <w:adjustRightInd w:val="0"/>
        <w:spacing w:line="0" w:lineRule="atLeast"/>
        <w:jc w:val="both"/>
        <w:rPr>
          <w:rFonts w:eastAsia="Arial Narrow" w:cs="Arial"/>
          <w:szCs w:val="20"/>
        </w:rPr>
      </w:pPr>
    </w:p>
    <w:tbl>
      <w:tblPr>
        <w:tblStyle w:val="Tabelamrea"/>
        <w:tblW w:w="9425" w:type="dxa"/>
        <w:tblLook w:val="04A0" w:firstRow="1" w:lastRow="0" w:firstColumn="1" w:lastColumn="0" w:noHBand="0" w:noVBand="1"/>
      </w:tblPr>
      <w:tblGrid>
        <w:gridCol w:w="935"/>
        <w:gridCol w:w="2206"/>
        <w:gridCol w:w="3103"/>
        <w:gridCol w:w="1072"/>
        <w:gridCol w:w="1106"/>
        <w:gridCol w:w="1106"/>
      </w:tblGrid>
      <w:tr w:rsidR="00B962CF" w:rsidRPr="005E4BEA" w14:paraId="2C9B93BD" w14:textId="77777777" w:rsidTr="00B962CF">
        <w:trPr>
          <w:trHeight w:val="304"/>
        </w:trPr>
        <w:tc>
          <w:tcPr>
            <w:tcW w:w="935" w:type="dxa"/>
            <w:hideMark/>
          </w:tcPr>
          <w:p w14:paraId="470E293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206" w:type="dxa"/>
            <w:vMerge w:val="restart"/>
            <w:hideMark/>
          </w:tcPr>
          <w:p w14:paraId="054FE16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P   r   o   g   r   a   m</w:t>
            </w:r>
          </w:p>
        </w:tc>
        <w:tc>
          <w:tcPr>
            <w:tcW w:w="3103" w:type="dxa"/>
            <w:hideMark/>
          </w:tcPr>
          <w:p w14:paraId="6486C54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I z v a j a l e c /</w:t>
            </w:r>
          </w:p>
        </w:tc>
        <w:tc>
          <w:tcPr>
            <w:tcW w:w="1039" w:type="dxa"/>
            <w:vMerge w:val="restart"/>
            <w:hideMark/>
          </w:tcPr>
          <w:p w14:paraId="214BB3C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Obseg programa</w:t>
            </w:r>
          </w:p>
        </w:tc>
        <w:tc>
          <w:tcPr>
            <w:tcW w:w="1071" w:type="dxa"/>
            <w:hideMark/>
          </w:tcPr>
          <w:p w14:paraId="703C917D" w14:textId="77777777" w:rsidR="00B962CF" w:rsidRPr="005E4BEA" w:rsidRDefault="00B962CF" w:rsidP="00B962CF">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c>
          <w:tcPr>
            <w:tcW w:w="1071" w:type="dxa"/>
            <w:hideMark/>
          </w:tcPr>
          <w:p w14:paraId="5EA64B17" w14:textId="77777777" w:rsidR="00B962CF" w:rsidRPr="005E4BEA" w:rsidRDefault="00B962CF" w:rsidP="00B962CF">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r>
      <w:tr w:rsidR="00B962CF" w:rsidRPr="005E4BEA" w14:paraId="0AA207D2" w14:textId="77777777" w:rsidTr="00B962CF">
        <w:trPr>
          <w:trHeight w:val="548"/>
        </w:trPr>
        <w:tc>
          <w:tcPr>
            <w:tcW w:w="935" w:type="dxa"/>
            <w:hideMark/>
          </w:tcPr>
          <w:p w14:paraId="677F801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206" w:type="dxa"/>
            <w:vMerge/>
            <w:hideMark/>
          </w:tcPr>
          <w:p w14:paraId="2161E8AB"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3103" w:type="dxa"/>
            <w:hideMark/>
          </w:tcPr>
          <w:p w14:paraId="4427BAB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i z p o s t a v a</w:t>
            </w:r>
          </w:p>
        </w:tc>
        <w:tc>
          <w:tcPr>
            <w:tcW w:w="1039" w:type="dxa"/>
            <w:vMerge/>
            <w:hideMark/>
          </w:tcPr>
          <w:p w14:paraId="4331F895"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071" w:type="dxa"/>
            <w:hideMark/>
          </w:tcPr>
          <w:p w14:paraId="6F1A55A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na letni ravni</w:t>
            </w:r>
          </w:p>
        </w:tc>
        <w:tc>
          <w:tcPr>
            <w:tcW w:w="1071" w:type="dxa"/>
            <w:hideMark/>
          </w:tcPr>
          <w:p w14:paraId="6053D1B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1.6.–31.12. 2022</w:t>
            </w:r>
          </w:p>
        </w:tc>
      </w:tr>
      <w:tr w:rsidR="00B962CF" w:rsidRPr="005E4BEA" w14:paraId="4CA75B0E" w14:textId="77777777" w:rsidTr="00B962CF">
        <w:trPr>
          <w:trHeight w:val="304"/>
        </w:trPr>
        <w:tc>
          <w:tcPr>
            <w:tcW w:w="935" w:type="dxa"/>
            <w:hideMark/>
          </w:tcPr>
          <w:p w14:paraId="0512B3B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206" w:type="dxa"/>
            <w:vMerge/>
            <w:hideMark/>
          </w:tcPr>
          <w:p w14:paraId="3984742E"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3103" w:type="dxa"/>
            <w:hideMark/>
          </w:tcPr>
          <w:p w14:paraId="2969CB4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 </w:t>
            </w:r>
          </w:p>
        </w:tc>
        <w:tc>
          <w:tcPr>
            <w:tcW w:w="1039" w:type="dxa"/>
            <w:vMerge/>
            <w:hideMark/>
          </w:tcPr>
          <w:p w14:paraId="5AA7151D"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071" w:type="dxa"/>
            <w:hideMark/>
          </w:tcPr>
          <w:p w14:paraId="56E1E29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c>
          <w:tcPr>
            <w:tcW w:w="1071" w:type="dxa"/>
            <w:hideMark/>
          </w:tcPr>
          <w:p w14:paraId="32BE614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r>
      <w:tr w:rsidR="00B962CF" w:rsidRPr="005E4BEA" w14:paraId="1C4EAF10" w14:textId="77777777" w:rsidTr="00B962CF">
        <w:trPr>
          <w:trHeight w:val="548"/>
        </w:trPr>
        <w:tc>
          <w:tcPr>
            <w:tcW w:w="935" w:type="dxa"/>
            <w:hideMark/>
          </w:tcPr>
          <w:p w14:paraId="4B5CF5A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2206" w:type="dxa"/>
            <w:hideMark/>
          </w:tcPr>
          <w:p w14:paraId="484847F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17FE32E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Celje</w:t>
            </w:r>
          </w:p>
        </w:tc>
        <w:tc>
          <w:tcPr>
            <w:tcW w:w="1039" w:type="dxa"/>
            <w:hideMark/>
          </w:tcPr>
          <w:p w14:paraId="0DF30BF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401F43A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0A73ECC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B962CF" w:rsidRPr="005E4BEA" w14:paraId="7757D197" w14:textId="77777777" w:rsidTr="00B962CF">
        <w:trPr>
          <w:trHeight w:val="548"/>
        </w:trPr>
        <w:tc>
          <w:tcPr>
            <w:tcW w:w="935" w:type="dxa"/>
            <w:hideMark/>
          </w:tcPr>
          <w:p w14:paraId="119EB17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w:t>
            </w:r>
          </w:p>
        </w:tc>
        <w:tc>
          <w:tcPr>
            <w:tcW w:w="2206" w:type="dxa"/>
            <w:hideMark/>
          </w:tcPr>
          <w:p w14:paraId="100ABBA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6CCFF6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Koper</w:t>
            </w:r>
          </w:p>
        </w:tc>
        <w:tc>
          <w:tcPr>
            <w:tcW w:w="1039" w:type="dxa"/>
            <w:hideMark/>
          </w:tcPr>
          <w:p w14:paraId="0170070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41CAC99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1BA3D61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B962CF" w:rsidRPr="005E4BEA" w14:paraId="0D5AB381" w14:textId="77777777" w:rsidTr="00B962CF">
        <w:trPr>
          <w:trHeight w:val="548"/>
        </w:trPr>
        <w:tc>
          <w:tcPr>
            <w:tcW w:w="935" w:type="dxa"/>
            <w:hideMark/>
          </w:tcPr>
          <w:p w14:paraId="7F108D6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w:t>
            </w:r>
          </w:p>
        </w:tc>
        <w:tc>
          <w:tcPr>
            <w:tcW w:w="2206" w:type="dxa"/>
            <w:hideMark/>
          </w:tcPr>
          <w:p w14:paraId="390CC87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A72307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Sežana</w:t>
            </w:r>
          </w:p>
        </w:tc>
        <w:tc>
          <w:tcPr>
            <w:tcW w:w="1039" w:type="dxa"/>
            <w:hideMark/>
          </w:tcPr>
          <w:p w14:paraId="49B99BB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7097C9E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0A2A21A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B962CF" w:rsidRPr="005E4BEA" w14:paraId="2E2C7AF9" w14:textId="77777777" w:rsidTr="00B962CF">
        <w:trPr>
          <w:trHeight w:val="548"/>
        </w:trPr>
        <w:tc>
          <w:tcPr>
            <w:tcW w:w="935" w:type="dxa"/>
            <w:hideMark/>
          </w:tcPr>
          <w:p w14:paraId="6BA5248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w:t>
            </w:r>
          </w:p>
        </w:tc>
        <w:tc>
          <w:tcPr>
            <w:tcW w:w="2206" w:type="dxa"/>
            <w:hideMark/>
          </w:tcPr>
          <w:p w14:paraId="3977C9A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380E25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Logatec</w:t>
            </w:r>
          </w:p>
        </w:tc>
        <w:tc>
          <w:tcPr>
            <w:tcW w:w="1039" w:type="dxa"/>
            <w:hideMark/>
          </w:tcPr>
          <w:p w14:paraId="4277098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6BB6550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4CE9534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B962CF" w:rsidRPr="005E4BEA" w14:paraId="2DFFD2B1" w14:textId="77777777" w:rsidTr="00B962CF">
        <w:trPr>
          <w:trHeight w:val="548"/>
        </w:trPr>
        <w:tc>
          <w:tcPr>
            <w:tcW w:w="935" w:type="dxa"/>
            <w:hideMark/>
          </w:tcPr>
          <w:p w14:paraId="7B76746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w:t>
            </w:r>
          </w:p>
        </w:tc>
        <w:tc>
          <w:tcPr>
            <w:tcW w:w="2206" w:type="dxa"/>
            <w:hideMark/>
          </w:tcPr>
          <w:p w14:paraId="0A5D6ED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D72D21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Trbovlje</w:t>
            </w:r>
          </w:p>
        </w:tc>
        <w:tc>
          <w:tcPr>
            <w:tcW w:w="1039" w:type="dxa"/>
            <w:hideMark/>
          </w:tcPr>
          <w:p w14:paraId="78F303A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0,7</w:t>
            </w:r>
          </w:p>
        </w:tc>
        <w:tc>
          <w:tcPr>
            <w:tcW w:w="1071" w:type="dxa"/>
            <w:hideMark/>
          </w:tcPr>
          <w:p w14:paraId="1DE070E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95.134</w:t>
            </w:r>
          </w:p>
        </w:tc>
        <w:tc>
          <w:tcPr>
            <w:tcW w:w="1071" w:type="dxa"/>
            <w:hideMark/>
          </w:tcPr>
          <w:p w14:paraId="4657B67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47.567</w:t>
            </w:r>
          </w:p>
        </w:tc>
      </w:tr>
      <w:tr w:rsidR="00B962CF" w:rsidRPr="005E4BEA" w14:paraId="7C188764" w14:textId="77777777" w:rsidTr="00B962CF">
        <w:trPr>
          <w:trHeight w:val="548"/>
        </w:trPr>
        <w:tc>
          <w:tcPr>
            <w:tcW w:w="935" w:type="dxa"/>
            <w:hideMark/>
          </w:tcPr>
          <w:p w14:paraId="4A42938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w:t>
            </w:r>
          </w:p>
        </w:tc>
        <w:tc>
          <w:tcPr>
            <w:tcW w:w="2206" w:type="dxa"/>
            <w:hideMark/>
          </w:tcPr>
          <w:p w14:paraId="7721DFC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993CC2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Zagorje</w:t>
            </w:r>
          </w:p>
        </w:tc>
        <w:tc>
          <w:tcPr>
            <w:tcW w:w="1039" w:type="dxa"/>
            <w:hideMark/>
          </w:tcPr>
          <w:p w14:paraId="660C112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77FA808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6021647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B962CF" w:rsidRPr="005E4BEA" w14:paraId="29FDE229" w14:textId="77777777" w:rsidTr="00B962CF">
        <w:trPr>
          <w:trHeight w:val="548"/>
        </w:trPr>
        <w:tc>
          <w:tcPr>
            <w:tcW w:w="935" w:type="dxa"/>
            <w:hideMark/>
          </w:tcPr>
          <w:p w14:paraId="540EF6D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7</w:t>
            </w:r>
          </w:p>
        </w:tc>
        <w:tc>
          <w:tcPr>
            <w:tcW w:w="2206" w:type="dxa"/>
            <w:hideMark/>
          </w:tcPr>
          <w:p w14:paraId="5D1FBAE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552A10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Črnomelj</w:t>
            </w:r>
          </w:p>
        </w:tc>
        <w:tc>
          <w:tcPr>
            <w:tcW w:w="1039" w:type="dxa"/>
            <w:hideMark/>
          </w:tcPr>
          <w:p w14:paraId="6DF8C40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7B85917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4E2985C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B962CF" w:rsidRPr="005E4BEA" w14:paraId="21D842E1" w14:textId="77777777" w:rsidTr="00B962CF">
        <w:trPr>
          <w:trHeight w:val="548"/>
        </w:trPr>
        <w:tc>
          <w:tcPr>
            <w:tcW w:w="935" w:type="dxa"/>
            <w:hideMark/>
          </w:tcPr>
          <w:p w14:paraId="0BDA019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8</w:t>
            </w:r>
          </w:p>
        </w:tc>
        <w:tc>
          <w:tcPr>
            <w:tcW w:w="2206" w:type="dxa"/>
            <w:hideMark/>
          </w:tcPr>
          <w:p w14:paraId="457B7DE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D9AF44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 Trebnje</w:t>
            </w:r>
          </w:p>
        </w:tc>
        <w:tc>
          <w:tcPr>
            <w:tcW w:w="1039" w:type="dxa"/>
            <w:hideMark/>
          </w:tcPr>
          <w:p w14:paraId="2C99C89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0,5</w:t>
            </w:r>
          </w:p>
        </w:tc>
        <w:tc>
          <w:tcPr>
            <w:tcW w:w="1071" w:type="dxa"/>
            <w:hideMark/>
          </w:tcPr>
          <w:p w14:paraId="22B22F2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c>
          <w:tcPr>
            <w:tcW w:w="1071" w:type="dxa"/>
            <w:hideMark/>
          </w:tcPr>
          <w:p w14:paraId="28C828F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33.976</w:t>
            </w:r>
          </w:p>
        </w:tc>
      </w:tr>
      <w:tr w:rsidR="00B962CF" w:rsidRPr="005E4BEA" w14:paraId="4A4ACB79" w14:textId="77777777" w:rsidTr="00B962CF">
        <w:trPr>
          <w:trHeight w:val="548"/>
        </w:trPr>
        <w:tc>
          <w:tcPr>
            <w:tcW w:w="935" w:type="dxa"/>
            <w:hideMark/>
          </w:tcPr>
          <w:p w14:paraId="008A7F9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9</w:t>
            </w:r>
          </w:p>
        </w:tc>
        <w:tc>
          <w:tcPr>
            <w:tcW w:w="2206" w:type="dxa"/>
            <w:hideMark/>
          </w:tcPr>
          <w:p w14:paraId="5C4D932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712399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ŠMIGOC MOJCA DR.DENT.MED. - ZASEBNA ZOBNA ORDINACIJA</w:t>
            </w:r>
          </w:p>
        </w:tc>
        <w:tc>
          <w:tcPr>
            <w:tcW w:w="1039" w:type="dxa"/>
            <w:hideMark/>
          </w:tcPr>
          <w:p w14:paraId="0137808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4949FFB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36E3554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0956B39E" w14:textId="77777777" w:rsidTr="00B962CF">
        <w:trPr>
          <w:trHeight w:val="548"/>
        </w:trPr>
        <w:tc>
          <w:tcPr>
            <w:tcW w:w="935" w:type="dxa"/>
            <w:hideMark/>
          </w:tcPr>
          <w:p w14:paraId="326CBC8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w:t>
            </w:r>
          </w:p>
        </w:tc>
        <w:tc>
          <w:tcPr>
            <w:tcW w:w="2206" w:type="dxa"/>
            <w:hideMark/>
          </w:tcPr>
          <w:p w14:paraId="108912C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5A3568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ZOBOZDRAVSTVO BENEDEK, D.O.O.</w:t>
            </w:r>
          </w:p>
        </w:tc>
        <w:tc>
          <w:tcPr>
            <w:tcW w:w="1039" w:type="dxa"/>
            <w:hideMark/>
          </w:tcPr>
          <w:p w14:paraId="163B764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2343CD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290D969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13420633" w14:textId="77777777" w:rsidTr="00B962CF">
        <w:trPr>
          <w:trHeight w:val="548"/>
        </w:trPr>
        <w:tc>
          <w:tcPr>
            <w:tcW w:w="935" w:type="dxa"/>
            <w:hideMark/>
          </w:tcPr>
          <w:p w14:paraId="5E35649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11</w:t>
            </w:r>
          </w:p>
        </w:tc>
        <w:tc>
          <w:tcPr>
            <w:tcW w:w="2206" w:type="dxa"/>
            <w:hideMark/>
          </w:tcPr>
          <w:p w14:paraId="416053B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779489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ZASEBNA ZOBNA AMBULANTA, SAŠA DOLAR, S.P.</w:t>
            </w:r>
          </w:p>
        </w:tc>
        <w:tc>
          <w:tcPr>
            <w:tcW w:w="1039" w:type="dxa"/>
            <w:hideMark/>
          </w:tcPr>
          <w:p w14:paraId="72E17A0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0,11</w:t>
            </w:r>
          </w:p>
        </w:tc>
        <w:tc>
          <w:tcPr>
            <w:tcW w:w="1071" w:type="dxa"/>
            <w:hideMark/>
          </w:tcPr>
          <w:p w14:paraId="4F14385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14.950</w:t>
            </w:r>
          </w:p>
        </w:tc>
        <w:tc>
          <w:tcPr>
            <w:tcW w:w="1071" w:type="dxa"/>
            <w:hideMark/>
          </w:tcPr>
          <w:p w14:paraId="55C21F9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7.475</w:t>
            </w:r>
          </w:p>
        </w:tc>
      </w:tr>
      <w:tr w:rsidR="00B962CF" w:rsidRPr="005E4BEA" w14:paraId="2D8B3E1C" w14:textId="77777777" w:rsidTr="00B962CF">
        <w:trPr>
          <w:trHeight w:val="816"/>
        </w:trPr>
        <w:tc>
          <w:tcPr>
            <w:tcW w:w="935" w:type="dxa"/>
            <w:hideMark/>
          </w:tcPr>
          <w:p w14:paraId="66F4840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12</w:t>
            </w:r>
          </w:p>
        </w:tc>
        <w:tc>
          <w:tcPr>
            <w:tcW w:w="2206" w:type="dxa"/>
            <w:hideMark/>
          </w:tcPr>
          <w:p w14:paraId="4D7AE96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F58BF8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NIKA PODBREGAR, DR.DENT.MED. - ZASEBNA ZOBNA AMBULANTA</w:t>
            </w:r>
          </w:p>
        </w:tc>
        <w:tc>
          <w:tcPr>
            <w:tcW w:w="1039" w:type="dxa"/>
            <w:hideMark/>
          </w:tcPr>
          <w:p w14:paraId="0AB77C5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3C2A3D1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3B75B41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53A96BF0" w14:textId="77777777" w:rsidTr="00B962CF">
        <w:trPr>
          <w:trHeight w:val="816"/>
        </w:trPr>
        <w:tc>
          <w:tcPr>
            <w:tcW w:w="935" w:type="dxa"/>
            <w:hideMark/>
          </w:tcPr>
          <w:p w14:paraId="51DA8AE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w:t>
            </w:r>
          </w:p>
        </w:tc>
        <w:tc>
          <w:tcPr>
            <w:tcW w:w="2206" w:type="dxa"/>
            <w:hideMark/>
          </w:tcPr>
          <w:p w14:paraId="480F3B0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B591C9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A. MLINAR, ZOBOZDRAVSTVO, PROJEKTIRANJE IN DRUGE STORITVE D.O.O.</w:t>
            </w:r>
          </w:p>
        </w:tc>
        <w:tc>
          <w:tcPr>
            <w:tcW w:w="1039" w:type="dxa"/>
            <w:hideMark/>
          </w:tcPr>
          <w:p w14:paraId="74ABAA6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0,08</w:t>
            </w:r>
          </w:p>
        </w:tc>
        <w:tc>
          <w:tcPr>
            <w:tcW w:w="1071" w:type="dxa"/>
            <w:hideMark/>
          </w:tcPr>
          <w:p w14:paraId="78B4CC1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10.872</w:t>
            </w:r>
          </w:p>
        </w:tc>
        <w:tc>
          <w:tcPr>
            <w:tcW w:w="1071" w:type="dxa"/>
            <w:hideMark/>
          </w:tcPr>
          <w:p w14:paraId="4B0681A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5.436</w:t>
            </w:r>
          </w:p>
        </w:tc>
      </w:tr>
      <w:tr w:rsidR="00B962CF" w:rsidRPr="005E4BEA" w14:paraId="72CF5C20" w14:textId="77777777" w:rsidTr="00B962CF">
        <w:trPr>
          <w:trHeight w:val="816"/>
        </w:trPr>
        <w:tc>
          <w:tcPr>
            <w:tcW w:w="935" w:type="dxa"/>
            <w:hideMark/>
          </w:tcPr>
          <w:p w14:paraId="259EC8D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14</w:t>
            </w:r>
          </w:p>
        </w:tc>
        <w:tc>
          <w:tcPr>
            <w:tcW w:w="2206" w:type="dxa"/>
            <w:hideMark/>
          </w:tcPr>
          <w:p w14:paraId="578B436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14A5D72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ZOBOZDRAVSTVENA DEJAVNOST, KRISTINA ZIGANTE DR.DENT.MED.</w:t>
            </w:r>
          </w:p>
        </w:tc>
        <w:tc>
          <w:tcPr>
            <w:tcW w:w="1039" w:type="dxa"/>
            <w:hideMark/>
          </w:tcPr>
          <w:p w14:paraId="393CD6D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6E0B4C8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4284918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5E4125C6" w14:textId="77777777" w:rsidTr="00B962CF">
        <w:trPr>
          <w:trHeight w:val="548"/>
        </w:trPr>
        <w:tc>
          <w:tcPr>
            <w:tcW w:w="935" w:type="dxa"/>
            <w:hideMark/>
          </w:tcPr>
          <w:p w14:paraId="180E3C6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15</w:t>
            </w:r>
          </w:p>
        </w:tc>
        <w:tc>
          <w:tcPr>
            <w:tcW w:w="2206" w:type="dxa"/>
            <w:hideMark/>
          </w:tcPr>
          <w:p w14:paraId="752FE9C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A2921A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ZDRAVSTVENI ZAVOD DENTAN KOPER</w:t>
            </w:r>
          </w:p>
        </w:tc>
        <w:tc>
          <w:tcPr>
            <w:tcW w:w="1039" w:type="dxa"/>
            <w:hideMark/>
          </w:tcPr>
          <w:p w14:paraId="26FD0F4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553F400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7688195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3F6C63AB" w14:textId="77777777" w:rsidTr="00B962CF">
        <w:trPr>
          <w:trHeight w:val="548"/>
        </w:trPr>
        <w:tc>
          <w:tcPr>
            <w:tcW w:w="935" w:type="dxa"/>
            <w:hideMark/>
          </w:tcPr>
          <w:p w14:paraId="045310D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16</w:t>
            </w:r>
          </w:p>
        </w:tc>
        <w:tc>
          <w:tcPr>
            <w:tcW w:w="2206" w:type="dxa"/>
            <w:hideMark/>
          </w:tcPr>
          <w:p w14:paraId="01BA083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8DAB08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ZASEBNI ZDRAVSTVENI ZAVOD MARC</w:t>
            </w:r>
          </w:p>
        </w:tc>
        <w:tc>
          <w:tcPr>
            <w:tcW w:w="1039" w:type="dxa"/>
            <w:hideMark/>
          </w:tcPr>
          <w:p w14:paraId="58B1FC0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3F1DE3F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78BE811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526EFAEC" w14:textId="77777777" w:rsidTr="00B962CF">
        <w:trPr>
          <w:trHeight w:val="816"/>
        </w:trPr>
        <w:tc>
          <w:tcPr>
            <w:tcW w:w="935" w:type="dxa"/>
            <w:hideMark/>
          </w:tcPr>
          <w:p w14:paraId="3C38760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17</w:t>
            </w:r>
          </w:p>
        </w:tc>
        <w:tc>
          <w:tcPr>
            <w:tcW w:w="2206" w:type="dxa"/>
            <w:hideMark/>
          </w:tcPr>
          <w:p w14:paraId="5D15D63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9C8FC9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DIANA OKRETIČ - ZOBOZDRAVSTVENA ORDINACIJA</w:t>
            </w:r>
          </w:p>
        </w:tc>
        <w:tc>
          <w:tcPr>
            <w:tcW w:w="1039" w:type="dxa"/>
            <w:hideMark/>
          </w:tcPr>
          <w:p w14:paraId="1E8EEE3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0,18</w:t>
            </w:r>
          </w:p>
        </w:tc>
        <w:tc>
          <w:tcPr>
            <w:tcW w:w="1071" w:type="dxa"/>
            <w:hideMark/>
          </w:tcPr>
          <w:p w14:paraId="6C54B6A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24.463</w:t>
            </w:r>
          </w:p>
        </w:tc>
        <w:tc>
          <w:tcPr>
            <w:tcW w:w="1071" w:type="dxa"/>
            <w:hideMark/>
          </w:tcPr>
          <w:p w14:paraId="08EEF66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12.231</w:t>
            </w:r>
          </w:p>
        </w:tc>
      </w:tr>
      <w:tr w:rsidR="00B962CF" w:rsidRPr="005E4BEA" w14:paraId="52271292" w14:textId="77777777" w:rsidTr="00B962CF">
        <w:trPr>
          <w:trHeight w:val="548"/>
        </w:trPr>
        <w:tc>
          <w:tcPr>
            <w:tcW w:w="935" w:type="dxa"/>
            <w:hideMark/>
          </w:tcPr>
          <w:p w14:paraId="069D0A1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18</w:t>
            </w:r>
          </w:p>
        </w:tc>
        <w:tc>
          <w:tcPr>
            <w:tcW w:w="2206" w:type="dxa"/>
            <w:hideMark/>
          </w:tcPr>
          <w:p w14:paraId="51993D2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ECC7D8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JURIČEV MARIN - ZASEBNA ZOBNA AMBULANTA</w:t>
            </w:r>
          </w:p>
        </w:tc>
        <w:tc>
          <w:tcPr>
            <w:tcW w:w="1039" w:type="dxa"/>
            <w:hideMark/>
          </w:tcPr>
          <w:p w14:paraId="05F874E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0,134</w:t>
            </w:r>
          </w:p>
        </w:tc>
        <w:tc>
          <w:tcPr>
            <w:tcW w:w="1071" w:type="dxa"/>
            <w:hideMark/>
          </w:tcPr>
          <w:p w14:paraId="27A9285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18.211</w:t>
            </w:r>
          </w:p>
        </w:tc>
        <w:tc>
          <w:tcPr>
            <w:tcW w:w="1071" w:type="dxa"/>
            <w:hideMark/>
          </w:tcPr>
          <w:p w14:paraId="1F7E7A5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9.106</w:t>
            </w:r>
          </w:p>
        </w:tc>
      </w:tr>
      <w:tr w:rsidR="00B962CF" w:rsidRPr="005E4BEA" w14:paraId="3F068645" w14:textId="77777777" w:rsidTr="00B962CF">
        <w:trPr>
          <w:trHeight w:val="548"/>
        </w:trPr>
        <w:tc>
          <w:tcPr>
            <w:tcW w:w="935" w:type="dxa"/>
            <w:hideMark/>
          </w:tcPr>
          <w:p w14:paraId="40005E2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19</w:t>
            </w:r>
          </w:p>
        </w:tc>
        <w:tc>
          <w:tcPr>
            <w:tcW w:w="2206" w:type="dxa"/>
            <w:hideMark/>
          </w:tcPr>
          <w:p w14:paraId="6927F1D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C7523B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ZOBNA ORDINACIJA MILENA ŠIFRAR-KOPAČ, DR. DENT. MED.</w:t>
            </w:r>
          </w:p>
        </w:tc>
        <w:tc>
          <w:tcPr>
            <w:tcW w:w="1039" w:type="dxa"/>
            <w:hideMark/>
          </w:tcPr>
          <w:p w14:paraId="74E6F05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5A9E94B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10BD08C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554F53B7" w14:textId="77777777" w:rsidTr="00B962CF">
        <w:trPr>
          <w:trHeight w:val="816"/>
        </w:trPr>
        <w:tc>
          <w:tcPr>
            <w:tcW w:w="935" w:type="dxa"/>
            <w:hideMark/>
          </w:tcPr>
          <w:p w14:paraId="7859E5F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20</w:t>
            </w:r>
          </w:p>
        </w:tc>
        <w:tc>
          <w:tcPr>
            <w:tcW w:w="2206" w:type="dxa"/>
            <w:hideMark/>
          </w:tcPr>
          <w:p w14:paraId="2BD76FC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2E8BAC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ZOBOZDRAVSTVENA ORDINACIJA NIELS UDIR DR.DENT.MED.</w:t>
            </w:r>
          </w:p>
        </w:tc>
        <w:tc>
          <w:tcPr>
            <w:tcW w:w="1039" w:type="dxa"/>
            <w:hideMark/>
          </w:tcPr>
          <w:p w14:paraId="3551493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0,16</w:t>
            </w:r>
          </w:p>
        </w:tc>
        <w:tc>
          <w:tcPr>
            <w:tcW w:w="1071" w:type="dxa"/>
            <w:hideMark/>
          </w:tcPr>
          <w:p w14:paraId="0A71B6C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21.745</w:t>
            </w:r>
          </w:p>
        </w:tc>
        <w:tc>
          <w:tcPr>
            <w:tcW w:w="1071" w:type="dxa"/>
            <w:hideMark/>
          </w:tcPr>
          <w:p w14:paraId="477E59F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10.872</w:t>
            </w:r>
          </w:p>
        </w:tc>
      </w:tr>
      <w:tr w:rsidR="00B962CF" w:rsidRPr="005E4BEA" w14:paraId="26931F96" w14:textId="77777777" w:rsidTr="00B962CF">
        <w:trPr>
          <w:trHeight w:val="816"/>
        </w:trPr>
        <w:tc>
          <w:tcPr>
            <w:tcW w:w="935" w:type="dxa"/>
            <w:hideMark/>
          </w:tcPr>
          <w:p w14:paraId="5F4B89A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21</w:t>
            </w:r>
          </w:p>
        </w:tc>
        <w:tc>
          <w:tcPr>
            <w:tcW w:w="2206" w:type="dxa"/>
            <w:hideMark/>
          </w:tcPr>
          <w:p w14:paraId="6FEC439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5E946E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ZASEBNI ZOBOZDRAVSTVENI ZAVOD, LAPČEVIČ VLADO, DR.DENT.MED.</w:t>
            </w:r>
          </w:p>
        </w:tc>
        <w:tc>
          <w:tcPr>
            <w:tcW w:w="1039" w:type="dxa"/>
            <w:hideMark/>
          </w:tcPr>
          <w:p w14:paraId="7152DAE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12A56DF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F79969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69F04425" w14:textId="77777777" w:rsidTr="00B962CF">
        <w:trPr>
          <w:trHeight w:val="548"/>
        </w:trPr>
        <w:tc>
          <w:tcPr>
            <w:tcW w:w="935" w:type="dxa"/>
            <w:hideMark/>
          </w:tcPr>
          <w:p w14:paraId="752F735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22</w:t>
            </w:r>
          </w:p>
        </w:tc>
        <w:tc>
          <w:tcPr>
            <w:tcW w:w="2206" w:type="dxa"/>
            <w:hideMark/>
          </w:tcPr>
          <w:p w14:paraId="3869A7A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850943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ALENKA ŠUKLJE</w:t>
            </w:r>
          </w:p>
        </w:tc>
        <w:tc>
          <w:tcPr>
            <w:tcW w:w="1039" w:type="dxa"/>
            <w:hideMark/>
          </w:tcPr>
          <w:p w14:paraId="5653F6A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6E2B10C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052EA80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B962CF" w:rsidRPr="005E4BEA" w14:paraId="0A6BB20C" w14:textId="77777777" w:rsidTr="00B962CF">
        <w:trPr>
          <w:trHeight w:val="816"/>
        </w:trPr>
        <w:tc>
          <w:tcPr>
            <w:tcW w:w="935" w:type="dxa"/>
            <w:hideMark/>
          </w:tcPr>
          <w:p w14:paraId="41731D1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23</w:t>
            </w:r>
          </w:p>
        </w:tc>
        <w:tc>
          <w:tcPr>
            <w:tcW w:w="2206" w:type="dxa"/>
            <w:hideMark/>
          </w:tcPr>
          <w:p w14:paraId="78304A3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F9CA6D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STARDENT, ZOBOZDRAVSTVENE STORITVE, TRGOVINA IN POSREDNIŠTVO D.O.O.</w:t>
            </w:r>
          </w:p>
        </w:tc>
        <w:tc>
          <w:tcPr>
            <w:tcW w:w="1039" w:type="dxa"/>
            <w:hideMark/>
          </w:tcPr>
          <w:p w14:paraId="67B8F45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3D82D26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5ECD70C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01894CA5" w14:textId="77777777" w:rsidTr="00B962CF">
        <w:trPr>
          <w:trHeight w:val="548"/>
        </w:trPr>
        <w:tc>
          <w:tcPr>
            <w:tcW w:w="935" w:type="dxa"/>
            <w:hideMark/>
          </w:tcPr>
          <w:p w14:paraId="609A3B9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24</w:t>
            </w:r>
          </w:p>
        </w:tc>
        <w:tc>
          <w:tcPr>
            <w:tcW w:w="2206" w:type="dxa"/>
            <w:hideMark/>
          </w:tcPr>
          <w:p w14:paraId="17ED09C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B9C6BF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SANOS, ZOBOZDRAVSTVENE STORITVE, D.O.O.</w:t>
            </w:r>
          </w:p>
        </w:tc>
        <w:tc>
          <w:tcPr>
            <w:tcW w:w="1039" w:type="dxa"/>
            <w:hideMark/>
          </w:tcPr>
          <w:p w14:paraId="3AE77CD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5DACF2E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4EF0A8D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B962CF" w:rsidRPr="005E4BEA" w14:paraId="274A25FF" w14:textId="77777777" w:rsidTr="00B962CF">
        <w:trPr>
          <w:trHeight w:val="548"/>
        </w:trPr>
        <w:tc>
          <w:tcPr>
            <w:tcW w:w="935" w:type="dxa"/>
            <w:hideMark/>
          </w:tcPr>
          <w:p w14:paraId="0B4E0CF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25</w:t>
            </w:r>
          </w:p>
        </w:tc>
        <w:tc>
          <w:tcPr>
            <w:tcW w:w="2206" w:type="dxa"/>
            <w:hideMark/>
          </w:tcPr>
          <w:p w14:paraId="4C53397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FD06D4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DIDENT, ZOBOZDRAVSTVENA DEJAVNOST D.O.O.</w:t>
            </w:r>
          </w:p>
        </w:tc>
        <w:tc>
          <w:tcPr>
            <w:tcW w:w="1039" w:type="dxa"/>
            <w:hideMark/>
          </w:tcPr>
          <w:p w14:paraId="69FBF85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0272A4A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03246BD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B962CF" w:rsidRPr="005E4BEA" w14:paraId="2B53D3AE" w14:textId="77777777" w:rsidTr="00B962CF">
        <w:trPr>
          <w:trHeight w:val="548"/>
        </w:trPr>
        <w:tc>
          <w:tcPr>
            <w:tcW w:w="935" w:type="dxa"/>
            <w:hideMark/>
          </w:tcPr>
          <w:p w14:paraId="62A0810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26</w:t>
            </w:r>
          </w:p>
        </w:tc>
        <w:tc>
          <w:tcPr>
            <w:tcW w:w="2206" w:type="dxa"/>
            <w:hideMark/>
          </w:tcPr>
          <w:p w14:paraId="428289C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3103" w:type="dxa"/>
            <w:hideMark/>
          </w:tcPr>
          <w:p w14:paraId="24EBDBB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ZOBOZDRAVSTVENI CENTER JAVH, D.O.O.</w:t>
            </w:r>
          </w:p>
        </w:tc>
        <w:tc>
          <w:tcPr>
            <w:tcW w:w="1039" w:type="dxa"/>
            <w:hideMark/>
          </w:tcPr>
          <w:p w14:paraId="075938E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4E8B09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DCB4CF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75E570C8" w14:textId="77777777" w:rsidTr="00B962CF">
        <w:trPr>
          <w:trHeight w:val="548"/>
        </w:trPr>
        <w:tc>
          <w:tcPr>
            <w:tcW w:w="935" w:type="dxa"/>
            <w:hideMark/>
          </w:tcPr>
          <w:p w14:paraId="49EC861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w:t>
            </w:r>
          </w:p>
        </w:tc>
        <w:tc>
          <w:tcPr>
            <w:tcW w:w="2206" w:type="dxa"/>
            <w:hideMark/>
          </w:tcPr>
          <w:p w14:paraId="11E1E07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16C746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KRANJEC LEOPOLDINA - ZOBNA ORDINACIJA</w:t>
            </w:r>
          </w:p>
        </w:tc>
        <w:tc>
          <w:tcPr>
            <w:tcW w:w="1039" w:type="dxa"/>
            <w:hideMark/>
          </w:tcPr>
          <w:p w14:paraId="58BB022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0,11</w:t>
            </w:r>
          </w:p>
        </w:tc>
        <w:tc>
          <w:tcPr>
            <w:tcW w:w="1071" w:type="dxa"/>
            <w:hideMark/>
          </w:tcPr>
          <w:p w14:paraId="194DEDA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14.950</w:t>
            </w:r>
          </w:p>
        </w:tc>
        <w:tc>
          <w:tcPr>
            <w:tcW w:w="1071" w:type="dxa"/>
            <w:hideMark/>
          </w:tcPr>
          <w:p w14:paraId="5DA3F47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7.475</w:t>
            </w:r>
          </w:p>
        </w:tc>
      </w:tr>
      <w:tr w:rsidR="00B962CF" w:rsidRPr="005E4BEA" w14:paraId="7B85C912" w14:textId="77777777" w:rsidTr="00B962CF">
        <w:trPr>
          <w:trHeight w:val="816"/>
        </w:trPr>
        <w:tc>
          <w:tcPr>
            <w:tcW w:w="935" w:type="dxa"/>
            <w:hideMark/>
          </w:tcPr>
          <w:p w14:paraId="7E24B1C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28</w:t>
            </w:r>
          </w:p>
        </w:tc>
        <w:tc>
          <w:tcPr>
            <w:tcW w:w="2206" w:type="dxa"/>
            <w:hideMark/>
          </w:tcPr>
          <w:p w14:paraId="60C4E25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C2C866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SIEGL VLADIMIR - ZOBOZDRAVSTVENA ORDINACIJA</w:t>
            </w:r>
          </w:p>
        </w:tc>
        <w:tc>
          <w:tcPr>
            <w:tcW w:w="1039" w:type="dxa"/>
            <w:hideMark/>
          </w:tcPr>
          <w:p w14:paraId="532D63A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F55D5A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AF2B13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446CCE9F" w14:textId="77777777" w:rsidTr="00B962CF">
        <w:trPr>
          <w:trHeight w:val="816"/>
        </w:trPr>
        <w:tc>
          <w:tcPr>
            <w:tcW w:w="935" w:type="dxa"/>
            <w:hideMark/>
          </w:tcPr>
          <w:p w14:paraId="567FB0F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29</w:t>
            </w:r>
          </w:p>
        </w:tc>
        <w:tc>
          <w:tcPr>
            <w:tcW w:w="2206" w:type="dxa"/>
            <w:hideMark/>
          </w:tcPr>
          <w:p w14:paraId="7BB6116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12C6BCC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LEONARDO, RAZVOJ, RAZISKAVE, TRGOVINA IN STORITVE, D.O.O., KRANJ</w:t>
            </w:r>
          </w:p>
        </w:tc>
        <w:tc>
          <w:tcPr>
            <w:tcW w:w="1039" w:type="dxa"/>
            <w:hideMark/>
          </w:tcPr>
          <w:p w14:paraId="6D4479F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0,22</w:t>
            </w:r>
          </w:p>
        </w:tc>
        <w:tc>
          <w:tcPr>
            <w:tcW w:w="1071" w:type="dxa"/>
            <w:hideMark/>
          </w:tcPr>
          <w:p w14:paraId="77075BCE"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29.899</w:t>
            </w:r>
          </w:p>
        </w:tc>
        <w:tc>
          <w:tcPr>
            <w:tcW w:w="1071" w:type="dxa"/>
            <w:hideMark/>
          </w:tcPr>
          <w:p w14:paraId="7059E9D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14.950</w:t>
            </w:r>
          </w:p>
        </w:tc>
      </w:tr>
      <w:tr w:rsidR="00B962CF" w:rsidRPr="005E4BEA" w14:paraId="60C0F0FB" w14:textId="77777777" w:rsidTr="00B962CF">
        <w:trPr>
          <w:trHeight w:val="548"/>
        </w:trPr>
        <w:tc>
          <w:tcPr>
            <w:tcW w:w="935" w:type="dxa"/>
            <w:hideMark/>
          </w:tcPr>
          <w:p w14:paraId="1D3F8AC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30</w:t>
            </w:r>
          </w:p>
        </w:tc>
        <w:tc>
          <w:tcPr>
            <w:tcW w:w="2206" w:type="dxa"/>
            <w:hideMark/>
          </w:tcPr>
          <w:p w14:paraId="29BC703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D29484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ZUPET ŽNIDARŠIČ POLONA - ZASEBNA ZOBNA ORDINACIJA</w:t>
            </w:r>
          </w:p>
        </w:tc>
        <w:tc>
          <w:tcPr>
            <w:tcW w:w="1039" w:type="dxa"/>
            <w:hideMark/>
          </w:tcPr>
          <w:p w14:paraId="73C7311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0,17</w:t>
            </w:r>
          </w:p>
        </w:tc>
        <w:tc>
          <w:tcPr>
            <w:tcW w:w="1071" w:type="dxa"/>
            <w:hideMark/>
          </w:tcPr>
          <w:p w14:paraId="3BB278D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23.104</w:t>
            </w:r>
          </w:p>
        </w:tc>
        <w:tc>
          <w:tcPr>
            <w:tcW w:w="1071" w:type="dxa"/>
            <w:hideMark/>
          </w:tcPr>
          <w:p w14:paraId="48D2F9AB"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11.552</w:t>
            </w:r>
          </w:p>
        </w:tc>
      </w:tr>
      <w:tr w:rsidR="00B962CF" w:rsidRPr="005E4BEA" w14:paraId="22753EB7" w14:textId="77777777" w:rsidTr="00B962CF">
        <w:trPr>
          <w:trHeight w:val="548"/>
        </w:trPr>
        <w:tc>
          <w:tcPr>
            <w:tcW w:w="935" w:type="dxa"/>
            <w:hideMark/>
          </w:tcPr>
          <w:p w14:paraId="64E9C18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31</w:t>
            </w:r>
          </w:p>
        </w:tc>
        <w:tc>
          <w:tcPr>
            <w:tcW w:w="2206" w:type="dxa"/>
            <w:hideMark/>
          </w:tcPr>
          <w:p w14:paraId="76B2F51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A708BE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VRAN MOJCA DR. DENT. MED. ZASEBNA ZOBNA ORDINACIJA</w:t>
            </w:r>
          </w:p>
        </w:tc>
        <w:tc>
          <w:tcPr>
            <w:tcW w:w="1039" w:type="dxa"/>
            <w:hideMark/>
          </w:tcPr>
          <w:p w14:paraId="5AB3169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2375C51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7816EC5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6CC043E6" w14:textId="77777777" w:rsidTr="00B962CF">
        <w:trPr>
          <w:trHeight w:val="548"/>
        </w:trPr>
        <w:tc>
          <w:tcPr>
            <w:tcW w:w="935" w:type="dxa"/>
            <w:hideMark/>
          </w:tcPr>
          <w:p w14:paraId="06F3B10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32</w:t>
            </w:r>
          </w:p>
        </w:tc>
        <w:tc>
          <w:tcPr>
            <w:tcW w:w="2206" w:type="dxa"/>
            <w:hideMark/>
          </w:tcPr>
          <w:p w14:paraId="4DDBE68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827F30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ZOBOZDRAVSTVENI ZAVOD D IN G KOPER</w:t>
            </w:r>
          </w:p>
        </w:tc>
        <w:tc>
          <w:tcPr>
            <w:tcW w:w="1039" w:type="dxa"/>
            <w:hideMark/>
          </w:tcPr>
          <w:p w14:paraId="7FA43F6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5B20E15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1771330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781A8E31" w14:textId="77777777" w:rsidTr="00B962CF">
        <w:trPr>
          <w:trHeight w:val="548"/>
        </w:trPr>
        <w:tc>
          <w:tcPr>
            <w:tcW w:w="935" w:type="dxa"/>
            <w:hideMark/>
          </w:tcPr>
          <w:p w14:paraId="26F9C80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33</w:t>
            </w:r>
          </w:p>
        </w:tc>
        <w:tc>
          <w:tcPr>
            <w:tcW w:w="2206" w:type="dxa"/>
            <w:hideMark/>
          </w:tcPr>
          <w:p w14:paraId="577B05D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59CC2E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DENTALNI STUDIO BARBARA ŠKRLJ GOLOB</w:t>
            </w:r>
          </w:p>
        </w:tc>
        <w:tc>
          <w:tcPr>
            <w:tcW w:w="1039" w:type="dxa"/>
            <w:hideMark/>
          </w:tcPr>
          <w:p w14:paraId="09EE0D0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C76C21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4300286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0A4F6A8D" w14:textId="77777777" w:rsidTr="00B962CF">
        <w:trPr>
          <w:trHeight w:val="548"/>
        </w:trPr>
        <w:tc>
          <w:tcPr>
            <w:tcW w:w="935" w:type="dxa"/>
            <w:hideMark/>
          </w:tcPr>
          <w:p w14:paraId="2DCDF66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34</w:t>
            </w:r>
          </w:p>
        </w:tc>
        <w:tc>
          <w:tcPr>
            <w:tcW w:w="2206" w:type="dxa"/>
            <w:hideMark/>
          </w:tcPr>
          <w:p w14:paraId="51725FA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BCB5C4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ANKA PERPAR - BELI DENT ZOBNA ORDINACIJA</w:t>
            </w:r>
          </w:p>
        </w:tc>
        <w:tc>
          <w:tcPr>
            <w:tcW w:w="1039" w:type="dxa"/>
            <w:hideMark/>
          </w:tcPr>
          <w:p w14:paraId="33A02A3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22808E0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38D624D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B962CF" w:rsidRPr="005E4BEA" w14:paraId="59177772" w14:textId="77777777" w:rsidTr="00B962CF">
        <w:trPr>
          <w:trHeight w:val="816"/>
        </w:trPr>
        <w:tc>
          <w:tcPr>
            <w:tcW w:w="935" w:type="dxa"/>
            <w:hideMark/>
          </w:tcPr>
          <w:p w14:paraId="23B76A0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35</w:t>
            </w:r>
          </w:p>
        </w:tc>
        <w:tc>
          <w:tcPr>
            <w:tcW w:w="2206" w:type="dxa"/>
            <w:hideMark/>
          </w:tcPr>
          <w:p w14:paraId="4E6B8155"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D4D7E3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SPLOŠNO IN ESTETSKO ZOBOZDRAVSTVO, NINA KOTNIK-TRAVNIK, S.P.</w:t>
            </w:r>
          </w:p>
        </w:tc>
        <w:tc>
          <w:tcPr>
            <w:tcW w:w="1039" w:type="dxa"/>
            <w:hideMark/>
          </w:tcPr>
          <w:p w14:paraId="70EF996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0,184</w:t>
            </w:r>
          </w:p>
        </w:tc>
        <w:tc>
          <w:tcPr>
            <w:tcW w:w="1071" w:type="dxa"/>
            <w:hideMark/>
          </w:tcPr>
          <w:p w14:paraId="32DD290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25.007</w:t>
            </w:r>
          </w:p>
        </w:tc>
        <w:tc>
          <w:tcPr>
            <w:tcW w:w="1071" w:type="dxa"/>
            <w:hideMark/>
          </w:tcPr>
          <w:p w14:paraId="697C1AA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12.503</w:t>
            </w:r>
          </w:p>
        </w:tc>
      </w:tr>
      <w:tr w:rsidR="00B962CF" w:rsidRPr="005E4BEA" w14:paraId="0C0E121B" w14:textId="77777777" w:rsidTr="00B962CF">
        <w:trPr>
          <w:trHeight w:val="548"/>
        </w:trPr>
        <w:tc>
          <w:tcPr>
            <w:tcW w:w="935" w:type="dxa"/>
            <w:hideMark/>
          </w:tcPr>
          <w:p w14:paraId="744E372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36</w:t>
            </w:r>
          </w:p>
        </w:tc>
        <w:tc>
          <w:tcPr>
            <w:tcW w:w="2206" w:type="dxa"/>
            <w:hideMark/>
          </w:tcPr>
          <w:p w14:paraId="77A63B0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F33DC4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T DENT, ZOBNA ORDINACIJA, D.O.O.</w:t>
            </w:r>
          </w:p>
        </w:tc>
        <w:tc>
          <w:tcPr>
            <w:tcW w:w="1039" w:type="dxa"/>
            <w:hideMark/>
          </w:tcPr>
          <w:p w14:paraId="4395799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0,184</w:t>
            </w:r>
          </w:p>
        </w:tc>
        <w:tc>
          <w:tcPr>
            <w:tcW w:w="1071" w:type="dxa"/>
            <w:hideMark/>
          </w:tcPr>
          <w:p w14:paraId="58655BE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25.007</w:t>
            </w:r>
          </w:p>
        </w:tc>
        <w:tc>
          <w:tcPr>
            <w:tcW w:w="1071" w:type="dxa"/>
            <w:hideMark/>
          </w:tcPr>
          <w:p w14:paraId="4382CD6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12.503</w:t>
            </w:r>
          </w:p>
        </w:tc>
      </w:tr>
      <w:tr w:rsidR="00B962CF" w:rsidRPr="005E4BEA" w14:paraId="43236C9B" w14:textId="77777777" w:rsidTr="00B962CF">
        <w:trPr>
          <w:trHeight w:val="816"/>
        </w:trPr>
        <w:tc>
          <w:tcPr>
            <w:tcW w:w="935" w:type="dxa"/>
            <w:hideMark/>
          </w:tcPr>
          <w:p w14:paraId="12D93FB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37</w:t>
            </w:r>
          </w:p>
        </w:tc>
        <w:tc>
          <w:tcPr>
            <w:tcW w:w="2206" w:type="dxa"/>
            <w:hideMark/>
          </w:tcPr>
          <w:p w14:paraId="336D57B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4CC0A3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ZOBOZDRAVSTVO KOZINA, ZOBOZDRAVSTVENE STORITVE, D.O.O.</w:t>
            </w:r>
          </w:p>
        </w:tc>
        <w:tc>
          <w:tcPr>
            <w:tcW w:w="1039" w:type="dxa"/>
            <w:hideMark/>
          </w:tcPr>
          <w:p w14:paraId="22AF9813"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4569D310"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07D2F591"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25905D39" w14:textId="77777777" w:rsidTr="00B962CF">
        <w:trPr>
          <w:trHeight w:val="816"/>
        </w:trPr>
        <w:tc>
          <w:tcPr>
            <w:tcW w:w="935" w:type="dxa"/>
            <w:hideMark/>
          </w:tcPr>
          <w:p w14:paraId="410A413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38</w:t>
            </w:r>
          </w:p>
        </w:tc>
        <w:tc>
          <w:tcPr>
            <w:tcW w:w="2206" w:type="dxa"/>
            <w:hideMark/>
          </w:tcPr>
          <w:p w14:paraId="41758D36"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5B7387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LEGAT DENT, ZOBOZDRAVSTVENE STORITVE D.O.O.</w:t>
            </w:r>
          </w:p>
        </w:tc>
        <w:tc>
          <w:tcPr>
            <w:tcW w:w="1039" w:type="dxa"/>
            <w:hideMark/>
          </w:tcPr>
          <w:p w14:paraId="70FE23F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60B79D4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7F1A0DC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77CFFBE5" w14:textId="77777777" w:rsidTr="00B962CF">
        <w:trPr>
          <w:trHeight w:val="548"/>
        </w:trPr>
        <w:tc>
          <w:tcPr>
            <w:tcW w:w="935" w:type="dxa"/>
            <w:hideMark/>
          </w:tcPr>
          <w:p w14:paraId="2E550EFA"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39</w:t>
            </w:r>
          </w:p>
        </w:tc>
        <w:tc>
          <w:tcPr>
            <w:tcW w:w="2206" w:type="dxa"/>
            <w:hideMark/>
          </w:tcPr>
          <w:p w14:paraId="102C5A4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1090E86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ZASEBNA ZOBNA ORDINACIJA NADJA JUDEŽ, DR.DENT.MED.</w:t>
            </w:r>
          </w:p>
        </w:tc>
        <w:tc>
          <w:tcPr>
            <w:tcW w:w="1039" w:type="dxa"/>
            <w:hideMark/>
          </w:tcPr>
          <w:p w14:paraId="2230AC9C"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405A9372"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DD74DC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B962CF" w:rsidRPr="005E4BEA" w14:paraId="09ED5E3D" w14:textId="77777777" w:rsidTr="00B962CF">
        <w:trPr>
          <w:trHeight w:val="548"/>
        </w:trPr>
        <w:tc>
          <w:tcPr>
            <w:tcW w:w="935" w:type="dxa"/>
            <w:hideMark/>
          </w:tcPr>
          <w:p w14:paraId="00FF8558"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40</w:t>
            </w:r>
          </w:p>
        </w:tc>
        <w:tc>
          <w:tcPr>
            <w:tcW w:w="2206" w:type="dxa"/>
            <w:hideMark/>
          </w:tcPr>
          <w:p w14:paraId="65AB2BE7"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2C019D4"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OE Ljubljana</w:t>
            </w:r>
          </w:p>
        </w:tc>
        <w:tc>
          <w:tcPr>
            <w:tcW w:w="1039" w:type="dxa"/>
            <w:hideMark/>
          </w:tcPr>
          <w:p w14:paraId="4EABC84F"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5</w:t>
            </w:r>
          </w:p>
        </w:tc>
        <w:tc>
          <w:tcPr>
            <w:tcW w:w="1071" w:type="dxa"/>
            <w:hideMark/>
          </w:tcPr>
          <w:p w14:paraId="2F3066ED"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679.528</w:t>
            </w:r>
          </w:p>
        </w:tc>
        <w:tc>
          <w:tcPr>
            <w:tcW w:w="1071" w:type="dxa"/>
            <w:hideMark/>
          </w:tcPr>
          <w:p w14:paraId="6EE95EF9" w14:textId="77777777" w:rsidR="00B962CF" w:rsidRPr="005E4BEA" w:rsidRDefault="00B962CF" w:rsidP="00B962CF">
            <w:pPr>
              <w:autoSpaceDE w:val="0"/>
              <w:autoSpaceDN w:val="0"/>
              <w:adjustRightInd w:val="0"/>
              <w:spacing w:line="0" w:lineRule="atLeast"/>
              <w:jc w:val="both"/>
              <w:rPr>
                <w:rFonts w:eastAsia="Arial Narrow" w:cs="Arial"/>
                <w:szCs w:val="20"/>
              </w:rPr>
            </w:pPr>
            <w:r w:rsidRPr="005E4BEA">
              <w:rPr>
                <w:rFonts w:eastAsia="Arial Narrow" w:cs="Arial"/>
                <w:szCs w:val="20"/>
              </w:rPr>
              <w:t>339.764</w:t>
            </w:r>
          </w:p>
        </w:tc>
      </w:tr>
      <w:tr w:rsidR="00B962CF" w:rsidRPr="005E4BEA" w14:paraId="3E5F67B5" w14:textId="77777777" w:rsidTr="00B962CF">
        <w:trPr>
          <w:trHeight w:val="548"/>
        </w:trPr>
        <w:tc>
          <w:tcPr>
            <w:tcW w:w="935" w:type="dxa"/>
            <w:hideMark/>
          </w:tcPr>
          <w:p w14:paraId="7244ED4C"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c>
          <w:tcPr>
            <w:tcW w:w="2206" w:type="dxa"/>
            <w:hideMark/>
          </w:tcPr>
          <w:p w14:paraId="59508414"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xml:space="preserve">Zobozdravstvo za odrasle </w:t>
            </w:r>
          </w:p>
        </w:tc>
        <w:tc>
          <w:tcPr>
            <w:tcW w:w="3103" w:type="dxa"/>
            <w:hideMark/>
          </w:tcPr>
          <w:p w14:paraId="00E7DCB2"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SKUPAJ</w:t>
            </w:r>
          </w:p>
        </w:tc>
        <w:tc>
          <w:tcPr>
            <w:tcW w:w="1039" w:type="dxa"/>
            <w:hideMark/>
          </w:tcPr>
          <w:p w14:paraId="5A0A3B94"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17,5</w:t>
            </w:r>
          </w:p>
        </w:tc>
        <w:tc>
          <w:tcPr>
            <w:tcW w:w="1071" w:type="dxa"/>
            <w:hideMark/>
          </w:tcPr>
          <w:p w14:paraId="559C8F55"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2.382.695</w:t>
            </w:r>
          </w:p>
        </w:tc>
        <w:tc>
          <w:tcPr>
            <w:tcW w:w="1071" w:type="dxa"/>
            <w:hideMark/>
          </w:tcPr>
          <w:p w14:paraId="72338AC4"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1.191.348</w:t>
            </w:r>
          </w:p>
        </w:tc>
      </w:tr>
      <w:tr w:rsidR="00B962CF" w:rsidRPr="005E4BEA" w14:paraId="47F5E10D" w14:textId="77777777" w:rsidTr="00B962CF">
        <w:trPr>
          <w:trHeight w:val="304"/>
        </w:trPr>
        <w:tc>
          <w:tcPr>
            <w:tcW w:w="935" w:type="dxa"/>
            <w:noWrap/>
            <w:hideMark/>
          </w:tcPr>
          <w:p w14:paraId="6D1A50CF" w14:textId="77777777" w:rsidR="00B962CF" w:rsidRPr="005E4BEA" w:rsidRDefault="00B962CF" w:rsidP="00B962CF">
            <w:pPr>
              <w:autoSpaceDE w:val="0"/>
              <w:autoSpaceDN w:val="0"/>
              <w:adjustRightInd w:val="0"/>
              <w:spacing w:line="0" w:lineRule="atLeast"/>
              <w:jc w:val="both"/>
              <w:rPr>
                <w:rFonts w:eastAsia="Arial Narrow" w:cs="Arial"/>
                <w:b/>
                <w:bCs/>
                <w:szCs w:val="20"/>
              </w:rPr>
            </w:pPr>
          </w:p>
        </w:tc>
        <w:tc>
          <w:tcPr>
            <w:tcW w:w="2206" w:type="dxa"/>
            <w:noWrap/>
            <w:hideMark/>
          </w:tcPr>
          <w:p w14:paraId="259B0F09"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3103" w:type="dxa"/>
            <w:noWrap/>
            <w:hideMark/>
          </w:tcPr>
          <w:p w14:paraId="489C8D3B"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039" w:type="dxa"/>
            <w:noWrap/>
            <w:hideMark/>
          </w:tcPr>
          <w:p w14:paraId="38E2FCC8"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071" w:type="dxa"/>
            <w:hideMark/>
          </w:tcPr>
          <w:p w14:paraId="77085128"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c>
          <w:tcPr>
            <w:tcW w:w="1071" w:type="dxa"/>
            <w:hideMark/>
          </w:tcPr>
          <w:p w14:paraId="151E56D5"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r>
      <w:tr w:rsidR="00B962CF" w:rsidRPr="005E4BEA" w14:paraId="0C30B411" w14:textId="77777777" w:rsidTr="00B962CF">
        <w:trPr>
          <w:trHeight w:val="304"/>
        </w:trPr>
        <w:tc>
          <w:tcPr>
            <w:tcW w:w="935" w:type="dxa"/>
            <w:noWrap/>
            <w:hideMark/>
          </w:tcPr>
          <w:p w14:paraId="3EC787FD" w14:textId="77777777" w:rsidR="00B962CF" w:rsidRPr="005E4BEA" w:rsidRDefault="00B962CF" w:rsidP="00B962CF">
            <w:pPr>
              <w:autoSpaceDE w:val="0"/>
              <w:autoSpaceDN w:val="0"/>
              <w:adjustRightInd w:val="0"/>
              <w:spacing w:line="0" w:lineRule="atLeast"/>
              <w:jc w:val="both"/>
              <w:rPr>
                <w:rFonts w:eastAsia="Arial Narrow" w:cs="Arial"/>
                <w:b/>
                <w:bCs/>
                <w:szCs w:val="20"/>
              </w:rPr>
            </w:pPr>
          </w:p>
        </w:tc>
        <w:tc>
          <w:tcPr>
            <w:tcW w:w="2206" w:type="dxa"/>
            <w:noWrap/>
            <w:hideMark/>
          </w:tcPr>
          <w:p w14:paraId="07B8CDB4"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3103" w:type="dxa"/>
            <w:noWrap/>
            <w:hideMark/>
          </w:tcPr>
          <w:p w14:paraId="57B82F3B" w14:textId="77777777" w:rsidR="00B962CF" w:rsidRPr="005E4BEA" w:rsidRDefault="00B962CF" w:rsidP="00B962CF">
            <w:pPr>
              <w:autoSpaceDE w:val="0"/>
              <w:autoSpaceDN w:val="0"/>
              <w:adjustRightInd w:val="0"/>
              <w:spacing w:line="0" w:lineRule="atLeast"/>
              <w:jc w:val="both"/>
              <w:rPr>
                <w:rFonts w:eastAsia="Arial Narrow" w:cs="Arial"/>
                <w:szCs w:val="20"/>
              </w:rPr>
            </w:pPr>
          </w:p>
        </w:tc>
        <w:tc>
          <w:tcPr>
            <w:tcW w:w="1039" w:type="dxa"/>
            <w:hideMark/>
          </w:tcPr>
          <w:p w14:paraId="4FF8D727"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OZZ</w:t>
            </w:r>
          </w:p>
        </w:tc>
        <w:tc>
          <w:tcPr>
            <w:tcW w:w="1071" w:type="dxa"/>
            <w:hideMark/>
          </w:tcPr>
          <w:p w14:paraId="1862E284"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1.072.213</w:t>
            </w:r>
          </w:p>
        </w:tc>
        <w:tc>
          <w:tcPr>
            <w:tcW w:w="1071" w:type="dxa"/>
            <w:hideMark/>
          </w:tcPr>
          <w:p w14:paraId="24989249" w14:textId="77777777" w:rsidR="00B962CF" w:rsidRPr="005E4BEA" w:rsidRDefault="00B962CF" w:rsidP="00B962CF">
            <w:pPr>
              <w:autoSpaceDE w:val="0"/>
              <w:autoSpaceDN w:val="0"/>
              <w:adjustRightInd w:val="0"/>
              <w:spacing w:line="0" w:lineRule="atLeast"/>
              <w:jc w:val="both"/>
              <w:rPr>
                <w:rFonts w:eastAsia="Arial Narrow" w:cs="Arial"/>
                <w:b/>
                <w:bCs/>
                <w:szCs w:val="20"/>
              </w:rPr>
            </w:pPr>
            <w:r w:rsidRPr="005E4BEA">
              <w:rPr>
                <w:rFonts w:eastAsia="Arial Narrow" w:cs="Arial"/>
                <w:b/>
                <w:bCs/>
                <w:szCs w:val="20"/>
              </w:rPr>
              <w:t>536.106</w:t>
            </w:r>
          </w:p>
        </w:tc>
      </w:tr>
    </w:tbl>
    <w:p w14:paraId="1275D1F9" w14:textId="0D5ADD81" w:rsidR="00B962CF" w:rsidRPr="005E4BEA" w:rsidRDefault="00B962CF" w:rsidP="00487C03">
      <w:pPr>
        <w:autoSpaceDE w:val="0"/>
        <w:autoSpaceDN w:val="0"/>
        <w:adjustRightInd w:val="0"/>
        <w:spacing w:line="0" w:lineRule="atLeast"/>
        <w:jc w:val="both"/>
        <w:rPr>
          <w:rFonts w:eastAsia="Arial Narrow" w:cs="Arial"/>
          <w:szCs w:val="20"/>
        </w:rPr>
      </w:pPr>
    </w:p>
    <w:p w14:paraId="71F0523C" w14:textId="2B8FC6BA" w:rsidR="00B962CF" w:rsidRPr="005E4BEA" w:rsidRDefault="00B962CF" w:rsidP="00487C03">
      <w:pPr>
        <w:autoSpaceDE w:val="0"/>
        <w:autoSpaceDN w:val="0"/>
        <w:adjustRightInd w:val="0"/>
        <w:spacing w:line="0" w:lineRule="atLeast"/>
        <w:jc w:val="both"/>
        <w:rPr>
          <w:rFonts w:eastAsia="Arial Narrow" w:cs="Arial"/>
          <w:szCs w:val="20"/>
        </w:rPr>
      </w:pPr>
    </w:p>
    <w:p w14:paraId="45C79C05" w14:textId="15B94C7A" w:rsidR="00B962CF" w:rsidRPr="005E4BEA" w:rsidRDefault="00B962CF" w:rsidP="00487C03">
      <w:pPr>
        <w:autoSpaceDE w:val="0"/>
        <w:autoSpaceDN w:val="0"/>
        <w:adjustRightInd w:val="0"/>
        <w:spacing w:line="0" w:lineRule="atLeast"/>
        <w:jc w:val="both"/>
        <w:rPr>
          <w:rFonts w:eastAsia="Arial Narrow" w:cs="Arial"/>
          <w:szCs w:val="20"/>
        </w:rPr>
      </w:pPr>
    </w:p>
    <w:p w14:paraId="147710A1" w14:textId="77777777" w:rsidR="00B962CF" w:rsidRPr="005E4BEA" w:rsidRDefault="00B962CF" w:rsidP="00B962CF">
      <w:pPr>
        <w:widowControl w:val="0"/>
        <w:spacing w:line="240" w:lineRule="auto"/>
        <w:jc w:val="both"/>
        <w:rPr>
          <w:rFonts w:cs="Arial"/>
          <w:b/>
          <w:i/>
          <w:color w:val="808080" w:themeColor="background1" w:themeShade="80"/>
          <w:szCs w:val="20"/>
          <w:u w:val="single"/>
        </w:rPr>
      </w:pPr>
      <w:r w:rsidRPr="005E4BEA">
        <w:rPr>
          <w:rFonts w:cs="Arial"/>
          <w:b/>
          <w:i/>
          <w:color w:val="808080" w:themeColor="background1" w:themeShade="80"/>
          <w:szCs w:val="20"/>
          <w:u w:val="single"/>
        </w:rPr>
        <w:t xml:space="preserve">Obrazložitev: </w:t>
      </w:r>
    </w:p>
    <w:p w14:paraId="0F0ACF4E" w14:textId="76C02059" w:rsidR="00A175A9" w:rsidRPr="005E4BEA" w:rsidRDefault="002C063B" w:rsidP="00B962CF">
      <w:pPr>
        <w:widowControl w:val="0"/>
        <w:spacing w:line="240" w:lineRule="auto"/>
        <w:jc w:val="both"/>
        <w:rPr>
          <w:rFonts w:cs="Arial"/>
          <w:i/>
          <w:color w:val="808080" w:themeColor="background1" w:themeShade="80"/>
          <w:szCs w:val="20"/>
        </w:rPr>
      </w:pPr>
      <w:bookmarkStart w:id="45" w:name="_Hlk102382661"/>
      <w:r w:rsidRPr="005E4BEA">
        <w:rPr>
          <w:rFonts w:cs="Arial"/>
          <w:i/>
          <w:color w:val="808080" w:themeColor="background1" w:themeShade="80"/>
          <w:szCs w:val="20"/>
        </w:rPr>
        <w:t>V okviru delovne skupine za področje zobozdravstva je bilo dogovorjeno, da se z</w:t>
      </w:r>
      <w:r w:rsidR="00B962CF" w:rsidRPr="005E4BEA">
        <w:rPr>
          <w:rFonts w:cs="Arial"/>
          <w:i/>
          <w:color w:val="808080" w:themeColor="background1" w:themeShade="80"/>
          <w:szCs w:val="20"/>
        </w:rPr>
        <w:t xml:space="preserve">aradi slabše dostopnosti do zobozdravstvenih storitev predlaga širitve obsega programa </w:t>
      </w:r>
      <w:r w:rsidRPr="005E4BEA">
        <w:rPr>
          <w:rFonts w:cs="Arial"/>
          <w:i/>
          <w:color w:val="808080" w:themeColor="background1" w:themeShade="80"/>
          <w:szCs w:val="20"/>
        </w:rPr>
        <w:t>na tistih območjih, ki so po preskrbljenosti pod povprečjem RS in sicer p</w:t>
      </w:r>
      <w:r w:rsidR="00B962CF" w:rsidRPr="005E4BEA">
        <w:rPr>
          <w:rFonts w:cs="Arial"/>
          <w:i/>
          <w:color w:val="808080" w:themeColor="background1" w:themeShade="80"/>
          <w:szCs w:val="20"/>
        </w:rPr>
        <w:t xml:space="preserve">ri tistih </w:t>
      </w:r>
      <w:proofErr w:type="spellStart"/>
      <w:r w:rsidR="00B962CF" w:rsidRPr="005E4BEA">
        <w:rPr>
          <w:rFonts w:cs="Arial"/>
          <w:i/>
          <w:color w:val="808080" w:themeColor="background1" w:themeShade="80"/>
          <w:szCs w:val="20"/>
        </w:rPr>
        <w:t>izvjalcih</w:t>
      </w:r>
      <w:proofErr w:type="spellEnd"/>
      <w:r w:rsidR="00B962CF" w:rsidRPr="005E4BEA">
        <w:rPr>
          <w:rFonts w:cs="Arial"/>
          <w:i/>
          <w:color w:val="808080" w:themeColor="background1" w:themeShade="80"/>
          <w:szCs w:val="20"/>
        </w:rPr>
        <w:t xml:space="preserve">, kjer obstajajo kadrovske in prostorske možnosti za dodaten program in je tudi izražena pripravljenost prevzeti dodaten program. Pri izvajalcih s koncesijo gre za širitve do 20 % obstoječega programa, kolikor </w:t>
      </w:r>
      <w:r w:rsidR="00A175A9" w:rsidRPr="005E4BEA">
        <w:rPr>
          <w:rFonts w:cs="Arial"/>
          <w:i/>
          <w:color w:val="808080" w:themeColor="background1" w:themeShade="80"/>
          <w:szCs w:val="20"/>
        </w:rPr>
        <w:t>je glede na zakonodajo možno odobriti brez razpisa.</w:t>
      </w:r>
      <w:r w:rsidRPr="005E4BEA">
        <w:rPr>
          <w:rFonts w:cs="Arial"/>
          <w:i/>
          <w:color w:val="808080" w:themeColor="background1" w:themeShade="80"/>
          <w:szCs w:val="20"/>
        </w:rPr>
        <w:t xml:space="preserve"> Na območjih, kjer je preskrbljenost slaba in ni bilo konkretnih predlogov izvajalcev, ki bi bili pripravljeni prevzeti dodaten program, se izvede razpis na ravni OE. </w:t>
      </w:r>
    </w:p>
    <w:bookmarkEnd w:id="45"/>
    <w:p w14:paraId="4FAA1CF9" w14:textId="77777777" w:rsidR="00A175A9" w:rsidRPr="005E4BEA" w:rsidRDefault="00A175A9" w:rsidP="00B962CF">
      <w:pPr>
        <w:widowControl w:val="0"/>
        <w:spacing w:line="240" w:lineRule="auto"/>
        <w:jc w:val="both"/>
        <w:rPr>
          <w:rFonts w:cs="Arial"/>
          <w:i/>
          <w:color w:val="808080" w:themeColor="background1" w:themeShade="80"/>
          <w:szCs w:val="20"/>
        </w:rPr>
      </w:pPr>
    </w:p>
    <w:p w14:paraId="5B7E3677" w14:textId="7EB6BB2B" w:rsidR="002C063B" w:rsidRPr="005E4BEA" w:rsidRDefault="00487C03" w:rsidP="002C063B">
      <w:pPr>
        <w:autoSpaceDE w:val="0"/>
        <w:autoSpaceDN w:val="0"/>
        <w:adjustRightInd w:val="0"/>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46" w:name="_Hlk102467432"/>
      <w:r w:rsidRPr="005E4BEA">
        <w:rPr>
          <w:rFonts w:eastAsia="Arial Narrow" w:cs="Arial"/>
          <w:szCs w:val="20"/>
        </w:rPr>
        <w:t>da</w:t>
      </w:r>
      <w:r w:rsidRPr="005E4BEA">
        <w:rPr>
          <w:rFonts w:eastAsia="Arial Narrow" w:cs="Arial"/>
          <w:b/>
          <w:szCs w:val="20"/>
        </w:rPr>
        <w:t xml:space="preserve"> </w:t>
      </w:r>
      <w:r w:rsidR="002C063B" w:rsidRPr="005E4BEA">
        <w:rPr>
          <w:rFonts w:eastAsia="Arial Narrow" w:cs="Arial"/>
          <w:szCs w:val="20"/>
        </w:rPr>
        <w:t>se v 24. členu v šestem odstavku za nujne širitve programov oziroma uvajanje novih terapij pri zdravljenju v okviru prvega in drugega odstavka tega člena načrtujejo dodatna sredstva:</w:t>
      </w:r>
    </w:p>
    <w:p w14:paraId="13FC60A1" w14:textId="77777777" w:rsidR="002C063B" w:rsidRPr="005E4BEA" w:rsidRDefault="002C063B" w:rsidP="002C063B">
      <w:pPr>
        <w:autoSpaceDE w:val="0"/>
        <w:autoSpaceDN w:val="0"/>
        <w:adjustRightInd w:val="0"/>
        <w:spacing w:line="0" w:lineRule="atLeast"/>
        <w:jc w:val="both"/>
        <w:rPr>
          <w:rFonts w:eastAsia="Arial Narrow" w:cs="Arial"/>
          <w:szCs w:val="20"/>
        </w:rPr>
      </w:pPr>
    </w:p>
    <w:p w14:paraId="5413BB75" w14:textId="06C771AD" w:rsidR="002C063B" w:rsidRPr="005E4BEA" w:rsidRDefault="002C063B" w:rsidP="002C063B">
      <w:pPr>
        <w:autoSpaceDE w:val="0"/>
        <w:autoSpaceDN w:val="0"/>
        <w:adjustRightInd w:val="0"/>
        <w:spacing w:line="0" w:lineRule="atLeast"/>
        <w:jc w:val="both"/>
        <w:rPr>
          <w:rFonts w:ascii="Times New Roman" w:hAnsi="Times New Roman"/>
          <w:szCs w:val="20"/>
          <w:lang w:eastAsia="sl-SI"/>
        </w:rPr>
      </w:pPr>
      <w:r w:rsidRPr="005E4BEA">
        <w:rPr>
          <w:rFonts w:eastAsia="Arial Narrow" w:cs="Arial"/>
          <w:szCs w:val="20"/>
        </w:rPr>
        <w:fldChar w:fldCharType="begin"/>
      </w:r>
      <w:r w:rsidRPr="005E4BEA">
        <w:rPr>
          <w:rFonts w:eastAsia="Arial Narrow" w:cs="Arial"/>
          <w:szCs w:val="20"/>
        </w:rPr>
        <w:instrText xml:space="preserve"> LINK </w:instrText>
      </w:r>
      <w:r w:rsidR="000C0CA0">
        <w:rPr>
          <w:rFonts w:eastAsia="Arial Narrow" w:cs="Arial"/>
          <w:szCs w:val="20"/>
        </w:rPr>
        <w:instrText xml:space="preserve">Excel.Sheet.12 "\\\\ad.sigov.si\\DAT\\MZ\\DZE_SKIZD\\Splošni dogovor\\ZOBOZDRAVSTVO\\Predlogi za A1SD22 + preskrbljenost.xlsx" "Predlog A1SD22 mladina!R1C1:R24C6" </w:instrText>
      </w:r>
      <w:r w:rsidRPr="005E4BEA">
        <w:rPr>
          <w:rFonts w:eastAsia="Arial Narrow" w:cs="Arial"/>
          <w:szCs w:val="20"/>
        </w:rPr>
        <w:instrText xml:space="preserve">\a \f 5 \h  \* MERGEFORMAT </w:instrText>
      </w:r>
      <w:r w:rsidRPr="005E4BEA">
        <w:rPr>
          <w:rFonts w:eastAsia="Arial Narrow" w:cs="Arial"/>
          <w:szCs w:val="20"/>
        </w:rPr>
        <w:fldChar w:fldCharType="separate"/>
      </w:r>
    </w:p>
    <w:tbl>
      <w:tblPr>
        <w:tblStyle w:val="Tabelamrea"/>
        <w:tblW w:w="9537" w:type="dxa"/>
        <w:tblLook w:val="04A0" w:firstRow="1" w:lastRow="0" w:firstColumn="1" w:lastColumn="0" w:noHBand="0" w:noVBand="1"/>
      </w:tblPr>
      <w:tblGrid>
        <w:gridCol w:w="838"/>
        <w:gridCol w:w="2070"/>
        <w:gridCol w:w="2922"/>
        <w:gridCol w:w="1072"/>
        <w:gridCol w:w="1341"/>
        <w:gridCol w:w="1294"/>
      </w:tblGrid>
      <w:tr w:rsidR="002C063B" w:rsidRPr="005E4BEA" w14:paraId="30BC75CC" w14:textId="77777777" w:rsidTr="006F2C89">
        <w:trPr>
          <w:trHeight w:val="293"/>
        </w:trPr>
        <w:tc>
          <w:tcPr>
            <w:tcW w:w="856" w:type="dxa"/>
            <w:hideMark/>
          </w:tcPr>
          <w:p w14:paraId="140B4F7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vMerge w:val="restart"/>
            <w:hideMark/>
          </w:tcPr>
          <w:p w14:paraId="10F491E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P   r   o   g   r   a   m</w:t>
            </w:r>
          </w:p>
        </w:tc>
        <w:tc>
          <w:tcPr>
            <w:tcW w:w="2953" w:type="dxa"/>
            <w:hideMark/>
          </w:tcPr>
          <w:p w14:paraId="118D0BB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I z v a j a l e c /</w:t>
            </w:r>
          </w:p>
        </w:tc>
        <w:tc>
          <w:tcPr>
            <w:tcW w:w="975" w:type="dxa"/>
            <w:vMerge w:val="restart"/>
            <w:hideMark/>
          </w:tcPr>
          <w:p w14:paraId="6B06BD3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Obseg programa</w:t>
            </w:r>
          </w:p>
        </w:tc>
        <w:tc>
          <w:tcPr>
            <w:tcW w:w="1352" w:type="dxa"/>
            <w:hideMark/>
          </w:tcPr>
          <w:p w14:paraId="7C971750" w14:textId="77777777" w:rsidR="002C063B" w:rsidRPr="005E4BEA" w:rsidRDefault="002C063B" w:rsidP="006F2C89">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c>
          <w:tcPr>
            <w:tcW w:w="1311" w:type="dxa"/>
            <w:hideMark/>
          </w:tcPr>
          <w:p w14:paraId="4B665AF6" w14:textId="77777777" w:rsidR="002C063B" w:rsidRPr="005E4BEA" w:rsidRDefault="002C063B" w:rsidP="006F2C89">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r>
      <w:tr w:rsidR="002C063B" w:rsidRPr="005E4BEA" w14:paraId="57A5A4D5" w14:textId="77777777" w:rsidTr="006F2C89">
        <w:trPr>
          <w:trHeight w:val="528"/>
        </w:trPr>
        <w:tc>
          <w:tcPr>
            <w:tcW w:w="856" w:type="dxa"/>
            <w:hideMark/>
          </w:tcPr>
          <w:p w14:paraId="48FFD23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vMerge/>
            <w:hideMark/>
          </w:tcPr>
          <w:p w14:paraId="192FC61F"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2953" w:type="dxa"/>
            <w:hideMark/>
          </w:tcPr>
          <w:p w14:paraId="58D053B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i z p o s t a v a</w:t>
            </w:r>
          </w:p>
        </w:tc>
        <w:tc>
          <w:tcPr>
            <w:tcW w:w="975" w:type="dxa"/>
            <w:vMerge/>
            <w:hideMark/>
          </w:tcPr>
          <w:p w14:paraId="4B27DBF5"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352" w:type="dxa"/>
            <w:hideMark/>
          </w:tcPr>
          <w:p w14:paraId="532E2F5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na letni ravni</w:t>
            </w:r>
          </w:p>
        </w:tc>
        <w:tc>
          <w:tcPr>
            <w:tcW w:w="1311" w:type="dxa"/>
            <w:hideMark/>
          </w:tcPr>
          <w:p w14:paraId="2DDB785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1.6.–31.12. 2022</w:t>
            </w:r>
          </w:p>
        </w:tc>
      </w:tr>
      <w:tr w:rsidR="002C063B" w:rsidRPr="005E4BEA" w14:paraId="0591576E" w14:textId="77777777" w:rsidTr="006F2C89">
        <w:trPr>
          <w:trHeight w:val="293"/>
        </w:trPr>
        <w:tc>
          <w:tcPr>
            <w:tcW w:w="856" w:type="dxa"/>
            <w:hideMark/>
          </w:tcPr>
          <w:p w14:paraId="08B174C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vMerge/>
            <w:hideMark/>
          </w:tcPr>
          <w:p w14:paraId="1ADA5B6D"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2953" w:type="dxa"/>
            <w:hideMark/>
          </w:tcPr>
          <w:p w14:paraId="45F2299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 </w:t>
            </w:r>
          </w:p>
        </w:tc>
        <w:tc>
          <w:tcPr>
            <w:tcW w:w="975" w:type="dxa"/>
            <w:vMerge/>
            <w:hideMark/>
          </w:tcPr>
          <w:p w14:paraId="7633044F"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352" w:type="dxa"/>
            <w:hideMark/>
          </w:tcPr>
          <w:p w14:paraId="1E39453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c>
          <w:tcPr>
            <w:tcW w:w="1311" w:type="dxa"/>
            <w:hideMark/>
          </w:tcPr>
          <w:p w14:paraId="1620DB7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r>
      <w:tr w:rsidR="002C063B" w:rsidRPr="005E4BEA" w14:paraId="3BDA4123" w14:textId="77777777" w:rsidTr="006F2C89">
        <w:trPr>
          <w:trHeight w:val="528"/>
        </w:trPr>
        <w:tc>
          <w:tcPr>
            <w:tcW w:w="856" w:type="dxa"/>
            <w:hideMark/>
          </w:tcPr>
          <w:p w14:paraId="33D3C49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2090" w:type="dxa"/>
            <w:hideMark/>
          </w:tcPr>
          <w:p w14:paraId="5E29C67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03AEEB5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Laško</w:t>
            </w:r>
          </w:p>
        </w:tc>
        <w:tc>
          <w:tcPr>
            <w:tcW w:w="975" w:type="dxa"/>
            <w:hideMark/>
          </w:tcPr>
          <w:p w14:paraId="68873FF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352" w:type="dxa"/>
            <w:hideMark/>
          </w:tcPr>
          <w:p w14:paraId="27AE055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c>
          <w:tcPr>
            <w:tcW w:w="1311" w:type="dxa"/>
            <w:hideMark/>
          </w:tcPr>
          <w:p w14:paraId="5A103BF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54.164</w:t>
            </w:r>
          </w:p>
        </w:tc>
      </w:tr>
      <w:tr w:rsidR="002C063B" w:rsidRPr="005E4BEA" w14:paraId="04470823" w14:textId="77777777" w:rsidTr="006F2C89">
        <w:trPr>
          <w:trHeight w:val="528"/>
        </w:trPr>
        <w:tc>
          <w:tcPr>
            <w:tcW w:w="856" w:type="dxa"/>
            <w:hideMark/>
          </w:tcPr>
          <w:p w14:paraId="3F01A89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w:t>
            </w:r>
          </w:p>
        </w:tc>
        <w:tc>
          <w:tcPr>
            <w:tcW w:w="2090" w:type="dxa"/>
            <w:hideMark/>
          </w:tcPr>
          <w:p w14:paraId="3DAD90A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4692604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Maribor</w:t>
            </w:r>
          </w:p>
        </w:tc>
        <w:tc>
          <w:tcPr>
            <w:tcW w:w="975" w:type="dxa"/>
            <w:hideMark/>
          </w:tcPr>
          <w:p w14:paraId="7884844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352" w:type="dxa"/>
            <w:hideMark/>
          </w:tcPr>
          <w:p w14:paraId="0ED41EC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c>
          <w:tcPr>
            <w:tcW w:w="1311" w:type="dxa"/>
            <w:hideMark/>
          </w:tcPr>
          <w:p w14:paraId="7AAE1AC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54.164</w:t>
            </w:r>
          </w:p>
        </w:tc>
      </w:tr>
      <w:tr w:rsidR="002C063B" w:rsidRPr="005E4BEA" w14:paraId="00612B5C" w14:textId="77777777" w:rsidTr="006F2C89">
        <w:trPr>
          <w:trHeight w:val="528"/>
        </w:trPr>
        <w:tc>
          <w:tcPr>
            <w:tcW w:w="856" w:type="dxa"/>
            <w:hideMark/>
          </w:tcPr>
          <w:p w14:paraId="340FDC4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w:t>
            </w:r>
          </w:p>
        </w:tc>
        <w:tc>
          <w:tcPr>
            <w:tcW w:w="2090" w:type="dxa"/>
            <w:hideMark/>
          </w:tcPr>
          <w:p w14:paraId="5F82D7D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399F9F4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Novo mesto</w:t>
            </w:r>
          </w:p>
        </w:tc>
        <w:tc>
          <w:tcPr>
            <w:tcW w:w="975" w:type="dxa"/>
            <w:hideMark/>
          </w:tcPr>
          <w:p w14:paraId="3BAE8C3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352" w:type="dxa"/>
            <w:hideMark/>
          </w:tcPr>
          <w:p w14:paraId="3246B60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c>
          <w:tcPr>
            <w:tcW w:w="1311" w:type="dxa"/>
            <w:hideMark/>
          </w:tcPr>
          <w:p w14:paraId="5DC241B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r>
      <w:tr w:rsidR="002C063B" w:rsidRPr="005E4BEA" w14:paraId="1B785456" w14:textId="77777777" w:rsidTr="006F2C89">
        <w:trPr>
          <w:trHeight w:val="528"/>
        </w:trPr>
        <w:tc>
          <w:tcPr>
            <w:tcW w:w="856" w:type="dxa"/>
            <w:hideMark/>
          </w:tcPr>
          <w:p w14:paraId="2AC91C4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w:t>
            </w:r>
          </w:p>
        </w:tc>
        <w:tc>
          <w:tcPr>
            <w:tcW w:w="2090" w:type="dxa"/>
            <w:hideMark/>
          </w:tcPr>
          <w:p w14:paraId="004E779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D4E624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ZASEBNA ZOBNA ORDINACIJA DAVID VIZJAK, DR. DENT. MED.</w:t>
            </w:r>
          </w:p>
        </w:tc>
        <w:tc>
          <w:tcPr>
            <w:tcW w:w="975" w:type="dxa"/>
            <w:hideMark/>
          </w:tcPr>
          <w:p w14:paraId="231DEF4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4E714DB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6BBF0D9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2F44C037" w14:textId="77777777" w:rsidTr="006F2C89">
        <w:trPr>
          <w:trHeight w:val="787"/>
        </w:trPr>
        <w:tc>
          <w:tcPr>
            <w:tcW w:w="856" w:type="dxa"/>
            <w:hideMark/>
          </w:tcPr>
          <w:p w14:paraId="7248270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 </w:t>
            </w:r>
          </w:p>
        </w:tc>
        <w:tc>
          <w:tcPr>
            <w:tcW w:w="2090" w:type="dxa"/>
            <w:hideMark/>
          </w:tcPr>
          <w:p w14:paraId="550D414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788F358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ZASEBNA ZOBNA AMBULANTA ZA OTROKE IN MLADINO MOJCA DREV, DR.DENT.MED.</w:t>
            </w:r>
          </w:p>
        </w:tc>
        <w:tc>
          <w:tcPr>
            <w:tcW w:w="975" w:type="dxa"/>
            <w:hideMark/>
          </w:tcPr>
          <w:p w14:paraId="2906A23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7E88F35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66ED0E2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r>
      <w:tr w:rsidR="002C063B" w:rsidRPr="005E4BEA" w14:paraId="4F8FCAEF" w14:textId="77777777" w:rsidTr="006F2C89">
        <w:trPr>
          <w:trHeight w:val="528"/>
        </w:trPr>
        <w:tc>
          <w:tcPr>
            <w:tcW w:w="856" w:type="dxa"/>
            <w:hideMark/>
          </w:tcPr>
          <w:p w14:paraId="7B8ED3D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w:t>
            </w:r>
          </w:p>
        </w:tc>
        <w:tc>
          <w:tcPr>
            <w:tcW w:w="2090" w:type="dxa"/>
            <w:hideMark/>
          </w:tcPr>
          <w:p w14:paraId="31620BD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96C1EA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ZASEBNA ZOBNA AMBULANTA, SAŠA DOLAR, S.P.</w:t>
            </w:r>
          </w:p>
        </w:tc>
        <w:tc>
          <w:tcPr>
            <w:tcW w:w="975" w:type="dxa"/>
            <w:hideMark/>
          </w:tcPr>
          <w:p w14:paraId="63DFC7D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0,09</w:t>
            </w:r>
          </w:p>
        </w:tc>
        <w:tc>
          <w:tcPr>
            <w:tcW w:w="1352" w:type="dxa"/>
            <w:hideMark/>
          </w:tcPr>
          <w:p w14:paraId="1B01D27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9.750</w:t>
            </w:r>
          </w:p>
        </w:tc>
        <w:tc>
          <w:tcPr>
            <w:tcW w:w="1311" w:type="dxa"/>
            <w:hideMark/>
          </w:tcPr>
          <w:p w14:paraId="2FF4709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4.875</w:t>
            </w:r>
          </w:p>
        </w:tc>
      </w:tr>
      <w:tr w:rsidR="002C063B" w:rsidRPr="005E4BEA" w14:paraId="00AF5849" w14:textId="77777777" w:rsidTr="006F2C89">
        <w:trPr>
          <w:trHeight w:val="528"/>
        </w:trPr>
        <w:tc>
          <w:tcPr>
            <w:tcW w:w="856" w:type="dxa"/>
            <w:hideMark/>
          </w:tcPr>
          <w:p w14:paraId="5A69259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7</w:t>
            </w:r>
          </w:p>
        </w:tc>
        <w:tc>
          <w:tcPr>
            <w:tcW w:w="2090" w:type="dxa"/>
            <w:hideMark/>
          </w:tcPr>
          <w:p w14:paraId="0ED4DC5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716BDF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ZDRAVSTVENI ZAVOD MIRADENT KOPER</w:t>
            </w:r>
          </w:p>
        </w:tc>
        <w:tc>
          <w:tcPr>
            <w:tcW w:w="975" w:type="dxa"/>
            <w:hideMark/>
          </w:tcPr>
          <w:p w14:paraId="5E819E7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2DA8315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287A8E3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5D56AD26" w14:textId="77777777" w:rsidTr="006F2C89">
        <w:trPr>
          <w:trHeight w:val="787"/>
        </w:trPr>
        <w:tc>
          <w:tcPr>
            <w:tcW w:w="856" w:type="dxa"/>
            <w:hideMark/>
          </w:tcPr>
          <w:p w14:paraId="61DA9CB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090" w:type="dxa"/>
            <w:hideMark/>
          </w:tcPr>
          <w:p w14:paraId="1ABC160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3CA5797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NIVES KREBELJ ŠKOF, DR.DENT.MED., ZOBNA AMBULANTA OLMO</w:t>
            </w:r>
          </w:p>
        </w:tc>
        <w:tc>
          <w:tcPr>
            <w:tcW w:w="975" w:type="dxa"/>
            <w:hideMark/>
          </w:tcPr>
          <w:p w14:paraId="33316DD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352" w:type="dxa"/>
            <w:hideMark/>
          </w:tcPr>
          <w:p w14:paraId="0A4EF5D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c>
          <w:tcPr>
            <w:tcW w:w="1311" w:type="dxa"/>
            <w:hideMark/>
          </w:tcPr>
          <w:p w14:paraId="123A302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5.416</w:t>
            </w:r>
          </w:p>
        </w:tc>
      </w:tr>
      <w:tr w:rsidR="002C063B" w:rsidRPr="005E4BEA" w14:paraId="6634FF3C" w14:textId="77777777" w:rsidTr="006F2C89">
        <w:trPr>
          <w:trHeight w:val="1045"/>
        </w:trPr>
        <w:tc>
          <w:tcPr>
            <w:tcW w:w="856" w:type="dxa"/>
            <w:hideMark/>
          </w:tcPr>
          <w:p w14:paraId="613D683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8</w:t>
            </w:r>
          </w:p>
        </w:tc>
        <w:tc>
          <w:tcPr>
            <w:tcW w:w="2090" w:type="dxa"/>
            <w:hideMark/>
          </w:tcPr>
          <w:p w14:paraId="0BD4D96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7FA53E2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JAKLJEVIĆ VLATKO - ZOBOZDRAVSTVENA AMBULANTA ZA OTROKE IN MLADINO</w:t>
            </w:r>
          </w:p>
        </w:tc>
        <w:tc>
          <w:tcPr>
            <w:tcW w:w="975" w:type="dxa"/>
            <w:hideMark/>
          </w:tcPr>
          <w:p w14:paraId="014F248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0,19</w:t>
            </w:r>
          </w:p>
        </w:tc>
        <w:tc>
          <w:tcPr>
            <w:tcW w:w="1352" w:type="dxa"/>
            <w:hideMark/>
          </w:tcPr>
          <w:p w14:paraId="543A3E1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20.582</w:t>
            </w:r>
          </w:p>
        </w:tc>
        <w:tc>
          <w:tcPr>
            <w:tcW w:w="1311" w:type="dxa"/>
            <w:hideMark/>
          </w:tcPr>
          <w:p w14:paraId="596DD94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10.291</w:t>
            </w:r>
          </w:p>
        </w:tc>
      </w:tr>
      <w:tr w:rsidR="002C063B" w:rsidRPr="005E4BEA" w14:paraId="1CA92349" w14:textId="77777777" w:rsidTr="006F2C89">
        <w:trPr>
          <w:trHeight w:val="528"/>
        </w:trPr>
        <w:tc>
          <w:tcPr>
            <w:tcW w:w="856" w:type="dxa"/>
            <w:hideMark/>
          </w:tcPr>
          <w:p w14:paraId="1A30927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9</w:t>
            </w:r>
          </w:p>
        </w:tc>
        <w:tc>
          <w:tcPr>
            <w:tcW w:w="2090" w:type="dxa"/>
            <w:hideMark/>
          </w:tcPr>
          <w:p w14:paraId="546FA7C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A83B71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ZOBNA AMBULANTA ADELA GAŠPERIČ DR.DENT.MED</w:t>
            </w:r>
          </w:p>
        </w:tc>
        <w:tc>
          <w:tcPr>
            <w:tcW w:w="975" w:type="dxa"/>
            <w:hideMark/>
          </w:tcPr>
          <w:p w14:paraId="0A13994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2CEB8A1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631E4E2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6A9053A7" w14:textId="77777777" w:rsidTr="006F2C89">
        <w:trPr>
          <w:trHeight w:val="528"/>
        </w:trPr>
        <w:tc>
          <w:tcPr>
            <w:tcW w:w="856" w:type="dxa"/>
            <w:hideMark/>
          </w:tcPr>
          <w:p w14:paraId="1FBB575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w:t>
            </w:r>
          </w:p>
        </w:tc>
        <w:tc>
          <w:tcPr>
            <w:tcW w:w="2090" w:type="dxa"/>
            <w:hideMark/>
          </w:tcPr>
          <w:p w14:paraId="7111E0A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5E3FD7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IDENS, ZOBOZDRAVSTVENE STORITVE D.O.O.</w:t>
            </w:r>
          </w:p>
        </w:tc>
        <w:tc>
          <w:tcPr>
            <w:tcW w:w="975" w:type="dxa"/>
            <w:hideMark/>
          </w:tcPr>
          <w:p w14:paraId="267EE0A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6C7CF8C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1161A8A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5F1A2E85" w14:textId="77777777" w:rsidTr="006F2C89">
        <w:trPr>
          <w:trHeight w:val="1045"/>
        </w:trPr>
        <w:tc>
          <w:tcPr>
            <w:tcW w:w="856" w:type="dxa"/>
            <w:hideMark/>
          </w:tcPr>
          <w:p w14:paraId="3DE61BF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11</w:t>
            </w:r>
          </w:p>
        </w:tc>
        <w:tc>
          <w:tcPr>
            <w:tcW w:w="2090" w:type="dxa"/>
            <w:hideMark/>
          </w:tcPr>
          <w:p w14:paraId="3FCB949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0010581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BOBNAR MOJCA DR. DENT. MED., ZASEBNA ZOBOZDRAVSTVENA ORDINACIJA</w:t>
            </w:r>
          </w:p>
        </w:tc>
        <w:tc>
          <w:tcPr>
            <w:tcW w:w="975" w:type="dxa"/>
            <w:hideMark/>
          </w:tcPr>
          <w:p w14:paraId="0E10787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28EB699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6A3DC77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43607F18" w14:textId="77777777" w:rsidTr="006F2C89">
        <w:trPr>
          <w:trHeight w:val="528"/>
        </w:trPr>
        <w:tc>
          <w:tcPr>
            <w:tcW w:w="856" w:type="dxa"/>
            <w:hideMark/>
          </w:tcPr>
          <w:p w14:paraId="0A777BB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12</w:t>
            </w:r>
          </w:p>
        </w:tc>
        <w:tc>
          <w:tcPr>
            <w:tcW w:w="2090" w:type="dxa"/>
            <w:hideMark/>
          </w:tcPr>
          <w:p w14:paraId="24D0BA7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768E7BE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PETRINA KRAJNC REPA - ZASEBNA ZOBNA ORDINACIJA</w:t>
            </w:r>
          </w:p>
        </w:tc>
        <w:tc>
          <w:tcPr>
            <w:tcW w:w="975" w:type="dxa"/>
            <w:hideMark/>
          </w:tcPr>
          <w:p w14:paraId="53339BB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352" w:type="dxa"/>
            <w:hideMark/>
          </w:tcPr>
          <w:p w14:paraId="7DE8A24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c>
          <w:tcPr>
            <w:tcW w:w="1311" w:type="dxa"/>
            <w:hideMark/>
          </w:tcPr>
          <w:p w14:paraId="60A55FF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5.416</w:t>
            </w:r>
          </w:p>
        </w:tc>
      </w:tr>
      <w:tr w:rsidR="002C063B" w:rsidRPr="005E4BEA" w14:paraId="34B73168" w14:textId="77777777" w:rsidTr="006F2C89">
        <w:trPr>
          <w:trHeight w:val="528"/>
        </w:trPr>
        <w:tc>
          <w:tcPr>
            <w:tcW w:w="856" w:type="dxa"/>
            <w:hideMark/>
          </w:tcPr>
          <w:p w14:paraId="67F8A42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w:t>
            </w:r>
          </w:p>
        </w:tc>
        <w:tc>
          <w:tcPr>
            <w:tcW w:w="2090" w:type="dxa"/>
            <w:hideMark/>
          </w:tcPr>
          <w:p w14:paraId="48BEE76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EC035D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TOPZOB, ZOBOZDRAVSTVO ZA MLADINO IN ODRASLE, D.O.O.</w:t>
            </w:r>
          </w:p>
        </w:tc>
        <w:tc>
          <w:tcPr>
            <w:tcW w:w="975" w:type="dxa"/>
            <w:hideMark/>
          </w:tcPr>
          <w:p w14:paraId="0EDDF6F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0,16</w:t>
            </w:r>
          </w:p>
        </w:tc>
        <w:tc>
          <w:tcPr>
            <w:tcW w:w="1352" w:type="dxa"/>
            <w:hideMark/>
          </w:tcPr>
          <w:p w14:paraId="7456FE6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17.333</w:t>
            </w:r>
          </w:p>
        </w:tc>
        <w:tc>
          <w:tcPr>
            <w:tcW w:w="1311" w:type="dxa"/>
            <w:hideMark/>
          </w:tcPr>
          <w:p w14:paraId="486A652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8.666</w:t>
            </w:r>
          </w:p>
        </w:tc>
      </w:tr>
      <w:tr w:rsidR="002C063B" w:rsidRPr="005E4BEA" w14:paraId="03A096D9" w14:textId="77777777" w:rsidTr="006F2C89">
        <w:trPr>
          <w:trHeight w:val="787"/>
        </w:trPr>
        <w:tc>
          <w:tcPr>
            <w:tcW w:w="856" w:type="dxa"/>
            <w:hideMark/>
          </w:tcPr>
          <w:p w14:paraId="72EF2B0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14</w:t>
            </w:r>
          </w:p>
        </w:tc>
        <w:tc>
          <w:tcPr>
            <w:tcW w:w="2090" w:type="dxa"/>
            <w:hideMark/>
          </w:tcPr>
          <w:p w14:paraId="5C51EFD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4E6A547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MARDENS ZDRAVSTVO, TRGOVINA, GOSTINSTVO, STORITVE D.O.O.</w:t>
            </w:r>
          </w:p>
        </w:tc>
        <w:tc>
          <w:tcPr>
            <w:tcW w:w="975" w:type="dxa"/>
            <w:hideMark/>
          </w:tcPr>
          <w:p w14:paraId="6037E2E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352" w:type="dxa"/>
            <w:hideMark/>
          </w:tcPr>
          <w:p w14:paraId="5B097BA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c>
          <w:tcPr>
            <w:tcW w:w="1311" w:type="dxa"/>
            <w:hideMark/>
          </w:tcPr>
          <w:p w14:paraId="15DABD6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5.416</w:t>
            </w:r>
          </w:p>
        </w:tc>
      </w:tr>
      <w:tr w:rsidR="002C063B" w:rsidRPr="005E4BEA" w14:paraId="4D3254A2" w14:textId="77777777" w:rsidTr="006F2C89">
        <w:trPr>
          <w:trHeight w:val="787"/>
        </w:trPr>
        <w:tc>
          <w:tcPr>
            <w:tcW w:w="856" w:type="dxa"/>
            <w:hideMark/>
          </w:tcPr>
          <w:p w14:paraId="42C7BD6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15</w:t>
            </w:r>
          </w:p>
        </w:tc>
        <w:tc>
          <w:tcPr>
            <w:tcW w:w="2090" w:type="dxa"/>
            <w:hideMark/>
          </w:tcPr>
          <w:p w14:paraId="03BADA1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324D4F8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MOJCA ZUPANČIČ, DR.DENT.MED. - ZASEBNI ZOBOZDRAVNIK</w:t>
            </w:r>
          </w:p>
        </w:tc>
        <w:tc>
          <w:tcPr>
            <w:tcW w:w="975" w:type="dxa"/>
            <w:hideMark/>
          </w:tcPr>
          <w:p w14:paraId="5AF0466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4EC9DA3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30C6944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5C04521F" w14:textId="77777777" w:rsidTr="006F2C89">
        <w:trPr>
          <w:trHeight w:val="528"/>
        </w:trPr>
        <w:tc>
          <w:tcPr>
            <w:tcW w:w="856" w:type="dxa"/>
            <w:hideMark/>
          </w:tcPr>
          <w:p w14:paraId="1EE5AE9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16</w:t>
            </w:r>
          </w:p>
        </w:tc>
        <w:tc>
          <w:tcPr>
            <w:tcW w:w="2090" w:type="dxa"/>
            <w:hideMark/>
          </w:tcPr>
          <w:p w14:paraId="6C675AE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5417226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MEDICINSKI CENTER GORJANC</w:t>
            </w:r>
          </w:p>
        </w:tc>
        <w:tc>
          <w:tcPr>
            <w:tcW w:w="975" w:type="dxa"/>
            <w:hideMark/>
          </w:tcPr>
          <w:p w14:paraId="169015E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352" w:type="dxa"/>
            <w:hideMark/>
          </w:tcPr>
          <w:p w14:paraId="30A4E6C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21.666</w:t>
            </w:r>
          </w:p>
        </w:tc>
        <w:tc>
          <w:tcPr>
            <w:tcW w:w="1311" w:type="dxa"/>
            <w:hideMark/>
          </w:tcPr>
          <w:p w14:paraId="4136526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10.833</w:t>
            </w:r>
          </w:p>
        </w:tc>
      </w:tr>
      <w:tr w:rsidR="002C063B" w:rsidRPr="005E4BEA" w14:paraId="5B96DA4D" w14:textId="77777777" w:rsidTr="006F2C89">
        <w:trPr>
          <w:trHeight w:val="528"/>
        </w:trPr>
        <w:tc>
          <w:tcPr>
            <w:tcW w:w="856" w:type="dxa"/>
            <w:hideMark/>
          </w:tcPr>
          <w:p w14:paraId="2CCF502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17</w:t>
            </w:r>
          </w:p>
        </w:tc>
        <w:tc>
          <w:tcPr>
            <w:tcW w:w="2090" w:type="dxa"/>
            <w:hideMark/>
          </w:tcPr>
          <w:p w14:paraId="28426FF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7CE060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HUMANIKDENT DENTALNA MEDICINA D.O.O.</w:t>
            </w:r>
          </w:p>
        </w:tc>
        <w:tc>
          <w:tcPr>
            <w:tcW w:w="975" w:type="dxa"/>
            <w:hideMark/>
          </w:tcPr>
          <w:p w14:paraId="55C96C2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0,16</w:t>
            </w:r>
          </w:p>
        </w:tc>
        <w:tc>
          <w:tcPr>
            <w:tcW w:w="1352" w:type="dxa"/>
            <w:hideMark/>
          </w:tcPr>
          <w:p w14:paraId="2B47879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17.333</w:t>
            </w:r>
          </w:p>
        </w:tc>
        <w:tc>
          <w:tcPr>
            <w:tcW w:w="1311" w:type="dxa"/>
            <w:hideMark/>
          </w:tcPr>
          <w:p w14:paraId="722A4B4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8.666</w:t>
            </w:r>
          </w:p>
        </w:tc>
      </w:tr>
      <w:tr w:rsidR="002C063B" w:rsidRPr="005E4BEA" w14:paraId="3BD7E266" w14:textId="77777777" w:rsidTr="006F2C89">
        <w:trPr>
          <w:trHeight w:val="528"/>
        </w:trPr>
        <w:tc>
          <w:tcPr>
            <w:tcW w:w="856" w:type="dxa"/>
            <w:hideMark/>
          </w:tcPr>
          <w:p w14:paraId="4541B16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18</w:t>
            </w:r>
          </w:p>
        </w:tc>
        <w:tc>
          <w:tcPr>
            <w:tcW w:w="2090" w:type="dxa"/>
            <w:hideMark/>
          </w:tcPr>
          <w:p w14:paraId="043EEEA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7D55F4F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OE Murska Sobota</w:t>
            </w:r>
          </w:p>
        </w:tc>
        <w:tc>
          <w:tcPr>
            <w:tcW w:w="975" w:type="dxa"/>
            <w:hideMark/>
          </w:tcPr>
          <w:p w14:paraId="65A2F34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4,3</w:t>
            </w:r>
          </w:p>
        </w:tc>
        <w:tc>
          <w:tcPr>
            <w:tcW w:w="1352" w:type="dxa"/>
            <w:hideMark/>
          </w:tcPr>
          <w:p w14:paraId="375BE54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465.814</w:t>
            </w:r>
          </w:p>
        </w:tc>
        <w:tc>
          <w:tcPr>
            <w:tcW w:w="1311" w:type="dxa"/>
            <w:hideMark/>
          </w:tcPr>
          <w:p w14:paraId="5B78942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232.907</w:t>
            </w:r>
          </w:p>
        </w:tc>
      </w:tr>
      <w:tr w:rsidR="002C063B" w:rsidRPr="005E4BEA" w14:paraId="437BDE0F" w14:textId="77777777" w:rsidTr="006F2C89">
        <w:trPr>
          <w:trHeight w:val="528"/>
        </w:trPr>
        <w:tc>
          <w:tcPr>
            <w:tcW w:w="856" w:type="dxa"/>
            <w:hideMark/>
          </w:tcPr>
          <w:p w14:paraId="64153B2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19</w:t>
            </w:r>
          </w:p>
        </w:tc>
        <w:tc>
          <w:tcPr>
            <w:tcW w:w="2090" w:type="dxa"/>
            <w:hideMark/>
          </w:tcPr>
          <w:p w14:paraId="1D8BD1D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mladino  </w:t>
            </w:r>
          </w:p>
        </w:tc>
        <w:tc>
          <w:tcPr>
            <w:tcW w:w="2953" w:type="dxa"/>
            <w:hideMark/>
          </w:tcPr>
          <w:p w14:paraId="17FDEA3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OE Koper</w:t>
            </w:r>
          </w:p>
        </w:tc>
        <w:tc>
          <w:tcPr>
            <w:tcW w:w="975" w:type="dxa"/>
            <w:hideMark/>
          </w:tcPr>
          <w:p w14:paraId="030E1F6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w:t>
            </w:r>
          </w:p>
        </w:tc>
        <w:tc>
          <w:tcPr>
            <w:tcW w:w="1352" w:type="dxa"/>
            <w:hideMark/>
          </w:tcPr>
          <w:p w14:paraId="4FD7CF2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216.657</w:t>
            </w:r>
          </w:p>
        </w:tc>
        <w:tc>
          <w:tcPr>
            <w:tcW w:w="1311" w:type="dxa"/>
            <w:hideMark/>
          </w:tcPr>
          <w:p w14:paraId="25337E2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108.329</w:t>
            </w:r>
          </w:p>
        </w:tc>
      </w:tr>
      <w:tr w:rsidR="002C063B" w:rsidRPr="005E4BEA" w14:paraId="1E03D317" w14:textId="77777777" w:rsidTr="006F2C89">
        <w:trPr>
          <w:trHeight w:val="528"/>
        </w:trPr>
        <w:tc>
          <w:tcPr>
            <w:tcW w:w="856" w:type="dxa"/>
            <w:hideMark/>
          </w:tcPr>
          <w:p w14:paraId="0202C643"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c>
          <w:tcPr>
            <w:tcW w:w="2090" w:type="dxa"/>
            <w:hideMark/>
          </w:tcPr>
          <w:p w14:paraId="3F7C9F87"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xml:space="preserve">Zobozdravstvo za odrasle </w:t>
            </w:r>
          </w:p>
        </w:tc>
        <w:tc>
          <w:tcPr>
            <w:tcW w:w="2953" w:type="dxa"/>
            <w:hideMark/>
          </w:tcPr>
          <w:p w14:paraId="2B00D7D0"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SKUPAJ</w:t>
            </w:r>
          </w:p>
        </w:tc>
        <w:tc>
          <w:tcPr>
            <w:tcW w:w="975" w:type="dxa"/>
            <w:hideMark/>
          </w:tcPr>
          <w:p w14:paraId="5A6401E8"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11,8</w:t>
            </w:r>
          </w:p>
        </w:tc>
        <w:tc>
          <w:tcPr>
            <w:tcW w:w="1352" w:type="dxa"/>
            <w:hideMark/>
          </w:tcPr>
          <w:p w14:paraId="49A9F5BA"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1.278.279</w:t>
            </w:r>
          </w:p>
        </w:tc>
        <w:tc>
          <w:tcPr>
            <w:tcW w:w="1311" w:type="dxa"/>
            <w:hideMark/>
          </w:tcPr>
          <w:p w14:paraId="1844AF3F"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574.142</w:t>
            </w:r>
          </w:p>
        </w:tc>
      </w:tr>
    </w:tbl>
    <w:p w14:paraId="13C5CC9C" w14:textId="77777777" w:rsidR="002C063B" w:rsidRPr="005E4BEA" w:rsidRDefault="002C063B" w:rsidP="002C063B">
      <w:pPr>
        <w:autoSpaceDE w:val="0"/>
        <w:autoSpaceDN w:val="0"/>
        <w:adjustRightInd w:val="0"/>
        <w:spacing w:line="0" w:lineRule="atLeast"/>
        <w:jc w:val="both"/>
        <w:rPr>
          <w:rFonts w:eastAsia="Arial Narrow" w:cs="Arial"/>
          <w:szCs w:val="20"/>
        </w:rPr>
      </w:pPr>
      <w:r w:rsidRPr="005E4BEA">
        <w:rPr>
          <w:rFonts w:eastAsia="Arial Narrow" w:cs="Arial"/>
          <w:szCs w:val="20"/>
        </w:rPr>
        <w:fldChar w:fldCharType="end"/>
      </w:r>
    </w:p>
    <w:p w14:paraId="26473971" w14:textId="77777777" w:rsidR="002C063B" w:rsidRPr="005E4BEA" w:rsidRDefault="002C063B" w:rsidP="002C063B">
      <w:pPr>
        <w:autoSpaceDE w:val="0"/>
        <w:autoSpaceDN w:val="0"/>
        <w:adjustRightInd w:val="0"/>
        <w:spacing w:line="0" w:lineRule="atLeast"/>
        <w:jc w:val="both"/>
        <w:rPr>
          <w:rFonts w:eastAsia="Arial Narrow" w:cs="Arial"/>
          <w:szCs w:val="20"/>
        </w:rPr>
      </w:pPr>
      <w:r w:rsidRPr="005E4BEA">
        <w:rPr>
          <w:rFonts w:eastAsia="Arial Narrow" w:cs="Arial"/>
          <w:szCs w:val="20"/>
        </w:rPr>
        <w:t>¸</w:t>
      </w:r>
    </w:p>
    <w:p w14:paraId="15736371" w14:textId="77777777" w:rsidR="002C063B" w:rsidRPr="005E4BEA" w:rsidRDefault="002C063B" w:rsidP="002C063B">
      <w:pPr>
        <w:autoSpaceDE w:val="0"/>
        <w:autoSpaceDN w:val="0"/>
        <w:adjustRightInd w:val="0"/>
        <w:spacing w:line="0" w:lineRule="atLeast"/>
        <w:jc w:val="both"/>
        <w:rPr>
          <w:rFonts w:eastAsia="Arial Narrow" w:cs="Arial"/>
          <w:szCs w:val="20"/>
        </w:rPr>
      </w:pPr>
    </w:p>
    <w:p w14:paraId="06BAB328" w14:textId="77777777" w:rsidR="002C063B" w:rsidRPr="005E4BEA" w:rsidRDefault="002C063B" w:rsidP="002C063B">
      <w:pPr>
        <w:autoSpaceDE w:val="0"/>
        <w:autoSpaceDN w:val="0"/>
        <w:adjustRightInd w:val="0"/>
        <w:spacing w:line="0" w:lineRule="atLeast"/>
        <w:jc w:val="both"/>
        <w:rPr>
          <w:rFonts w:eastAsia="Arial Narrow" w:cs="Arial"/>
          <w:szCs w:val="20"/>
        </w:rPr>
      </w:pPr>
    </w:p>
    <w:p w14:paraId="4377B57C" w14:textId="77777777" w:rsidR="002C063B" w:rsidRPr="005E4BEA" w:rsidRDefault="002C063B" w:rsidP="002C063B">
      <w:pPr>
        <w:autoSpaceDE w:val="0"/>
        <w:autoSpaceDN w:val="0"/>
        <w:adjustRightInd w:val="0"/>
        <w:spacing w:line="0" w:lineRule="atLeast"/>
        <w:jc w:val="both"/>
        <w:rPr>
          <w:rFonts w:eastAsia="Arial Narrow" w:cs="Arial"/>
          <w:szCs w:val="20"/>
        </w:rPr>
      </w:pPr>
    </w:p>
    <w:tbl>
      <w:tblPr>
        <w:tblStyle w:val="Tabelamrea"/>
        <w:tblW w:w="9425" w:type="dxa"/>
        <w:tblLook w:val="04A0" w:firstRow="1" w:lastRow="0" w:firstColumn="1" w:lastColumn="0" w:noHBand="0" w:noVBand="1"/>
      </w:tblPr>
      <w:tblGrid>
        <w:gridCol w:w="935"/>
        <w:gridCol w:w="2206"/>
        <w:gridCol w:w="3103"/>
        <w:gridCol w:w="1072"/>
        <w:gridCol w:w="1106"/>
        <w:gridCol w:w="1106"/>
      </w:tblGrid>
      <w:tr w:rsidR="002C063B" w:rsidRPr="005E4BEA" w14:paraId="5FFC190E" w14:textId="77777777" w:rsidTr="006F2C89">
        <w:trPr>
          <w:trHeight w:val="304"/>
        </w:trPr>
        <w:tc>
          <w:tcPr>
            <w:tcW w:w="935" w:type="dxa"/>
            <w:hideMark/>
          </w:tcPr>
          <w:p w14:paraId="627A397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 </w:t>
            </w:r>
          </w:p>
        </w:tc>
        <w:tc>
          <w:tcPr>
            <w:tcW w:w="2206" w:type="dxa"/>
            <w:vMerge w:val="restart"/>
            <w:hideMark/>
          </w:tcPr>
          <w:p w14:paraId="05FBD89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P   r   o   g   r   a   m</w:t>
            </w:r>
          </w:p>
        </w:tc>
        <w:tc>
          <w:tcPr>
            <w:tcW w:w="3103" w:type="dxa"/>
            <w:hideMark/>
          </w:tcPr>
          <w:p w14:paraId="29B0AF1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I z v a j a l e c /</w:t>
            </w:r>
          </w:p>
        </w:tc>
        <w:tc>
          <w:tcPr>
            <w:tcW w:w="1039" w:type="dxa"/>
            <w:vMerge w:val="restart"/>
            <w:hideMark/>
          </w:tcPr>
          <w:p w14:paraId="7A3A9CF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Obseg programa</w:t>
            </w:r>
          </w:p>
        </w:tc>
        <w:tc>
          <w:tcPr>
            <w:tcW w:w="1071" w:type="dxa"/>
            <w:hideMark/>
          </w:tcPr>
          <w:p w14:paraId="35A56B41" w14:textId="77777777" w:rsidR="002C063B" w:rsidRPr="005E4BEA" w:rsidRDefault="002C063B" w:rsidP="006F2C89">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c>
          <w:tcPr>
            <w:tcW w:w="1071" w:type="dxa"/>
            <w:hideMark/>
          </w:tcPr>
          <w:p w14:paraId="26107242" w14:textId="77777777" w:rsidR="002C063B" w:rsidRPr="005E4BEA" w:rsidRDefault="002C063B" w:rsidP="006F2C89">
            <w:pPr>
              <w:autoSpaceDE w:val="0"/>
              <w:autoSpaceDN w:val="0"/>
              <w:adjustRightInd w:val="0"/>
              <w:spacing w:line="0" w:lineRule="atLeast"/>
              <w:jc w:val="both"/>
              <w:rPr>
                <w:rFonts w:eastAsia="Arial Narrow" w:cs="Arial"/>
                <w:szCs w:val="20"/>
              </w:rPr>
            </w:pPr>
            <w:proofErr w:type="spellStart"/>
            <w:r w:rsidRPr="005E4BEA">
              <w:rPr>
                <w:rFonts w:eastAsia="Arial Narrow" w:cs="Arial"/>
                <w:szCs w:val="20"/>
              </w:rPr>
              <w:t>Dod</w:t>
            </w:r>
            <w:proofErr w:type="spellEnd"/>
            <w:r w:rsidRPr="005E4BEA">
              <w:rPr>
                <w:rFonts w:eastAsia="Arial Narrow" w:cs="Arial"/>
                <w:szCs w:val="20"/>
              </w:rPr>
              <w:t>. sred.</w:t>
            </w:r>
          </w:p>
        </w:tc>
      </w:tr>
      <w:tr w:rsidR="002C063B" w:rsidRPr="005E4BEA" w14:paraId="2858DEB3" w14:textId="77777777" w:rsidTr="006F2C89">
        <w:trPr>
          <w:trHeight w:val="548"/>
        </w:trPr>
        <w:tc>
          <w:tcPr>
            <w:tcW w:w="935" w:type="dxa"/>
            <w:hideMark/>
          </w:tcPr>
          <w:p w14:paraId="655A081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206" w:type="dxa"/>
            <w:vMerge/>
            <w:hideMark/>
          </w:tcPr>
          <w:p w14:paraId="49F4A083"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3103" w:type="dxa"/>
            <w:hideMark/>
          </w:tcPr>
          <w:p w14:paraId="48BE92B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i z p o s t a v a</w:t>
            </w:r>
          </w:p>
        </w:tc>
        <w:tc>
          <w:tcPr>
            <w:tcW w:w="1039" w:type="dxa"/>
            <w:vMerge/>
            <w:hideMark/>
          </w:tcPr>
          <w:p w14:paraId="52102BA2"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071" w:type="dxa"/>
            <w:hideMark/>
          </w:tcPr>
          <w:p w14:paraId="5166D0E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na letni ravni</w:t>
            </w:r>
          </w:p>
        </w:tc>
        <w:tc>
          <w:tcPr>
            <w:tcW w:w="1071" w:type="dxa"/>
            <w:hideMark/>
          </w:tcPr>
          <w:p w14:paraId="7069DD3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1.6.–31.12. 2022</w:t>
            </w:r>
          </w:p>
        </w:tc>
      </w:tr>
      <w:tr w:rsidR="002C063B" w:rsidRPr="005E4BEA" w14:paraId="19462A57" w14:textId="77777777" w:rsidTr="006F2C89">
        <w:trPr>
          <w:trHeight w:val="304"/>
        </w:trPr>
        <w:tc>
          <w:tcPr>
            <w:tcW w:w="935" w:type="dxa"/>
            <w:hideMark/>
          </w:tcPr>
          <w:p w14:paraId="746450C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2206" w:type="dxa"/>
            <w:vMerge/>
            <w:hideMark/>
          </w:tcPr>
          <w:p w14:paraId="477B63F1"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3103" w:type="dxa"/>
            <w:hideMark/>
          </w:tcPr>
          <w:p w14:paraId="63B5EE6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 </w:t>
            </w:r>
          </w:p>
        </w:tc>
        <w:tc>
          <w:tcPr>
            <w:tcW w:w="1039" w:type="dxa"/>
            <w:vMerge/>
            <w:hideMark/>
          </w:tcPr>
          <w:p w14:paraId="55874400"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071" w:type="dxa"/>
            <w:hideMark/>
          </w:tcPr>
          <w:p w14:paraId="41488D6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c>
          <w:tcPr>
            <w:tcW w:w="1071" w:type="dxa"/>
            <w:hideMark/>
          </w:tcPr>
          <w:p w14:paraId="1765038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(v EUR)</w:t>
            </w:r>
          </w:p>
        </w:tc>
      </w:tr>
      <w:tr w:rsidR="002C063B" w:rsidRPr="005E4BEA" w14:paraId="241973CE" w14:textId="77777777" w:rsidTr="006F2C89">
        <w:trPr>
          <w:trHeight w:val="548"/>
        </w:trPr>
        <w:tc>
          <w:tcPr>
            <w:tcW w:w="935" w:type="dxa"/>
            <w:hideMark/>
          </w:tcPr>
          <w:p w14:paraId="33D3179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2206" w:type="dxa"/>
            <w:hideMark/>
          </w:tcPr>
          <w:p w14:paraId="443C900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26D979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Celje</w:t>
            </w:r>
          </w:p>
        </w:tc>
        <w:tc>
          <w:tcPr>
            <w:tcW w:w="1039" w:type="dxa"/>
            <w:hideMark/>
          </w:tcPr>
          <w:p w14:paraId="215E115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30CB1B8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7AEAFDD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2C063B" w:rsidRPr="005E4BEA" w14:paraId="3F768CD5" w14:textId="77777777" w:rsidTr="006F2C89">
        <w:trPr>
          <w:trHeight w:val="548"/>
        </w:trPr>
        <w:tc>
          <w:tcPr>
            <w:tcW w:w="935" w:type="dxa"/>
            <w:hideMark/>
          </w:tcPr>
          <w:p w14:paraId="7F7C76F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w:t>
            </w:r>
          </w:p>
        </w:tc>
        <w:tc>
          <w:tcPr>
            <w:tcW w:w="2206" w:type="dxa"/>
            <w:hideMark/>
          </w:tcPr>
          <w:p w14:paraId="64ED708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402898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Koper</w:t>
            </w:r>
          </w:p>
        </w:tc>
        <w:tc>
          <w:tcPr>
            <w:tcW w:w="1039" w:type="dxa"/>
            <w:hideMark/>
          </w:tcPr>
          <w:p w14:paraId="70634A3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2C2262E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3E39838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2C063B" w:rsidRPr="005E4BEA" w14:paraId="49C9FAA1" w14:textId="77777777" w:rsidTr="006F2C89">
        <w:trPr>
          <w:trHeight w:val="548"/>
        </w:trPr>
        <w:tc>
          <w:tcPr>
            <w:tcW w:w="935" w:type="dxa"/>
            <w:hideMark/>
          </w:tcPr>
          <w:p w14:paraId="42059E3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w:t>
            </w:r>
          </w:p>
        </w:tc>
        <w:tc>
          <w:tcPr>
            <w:tcW w:w="2206" w:type="dxa"/>
            <w:hideMark/>
          </w:tcPr>
          <w:p w14:paraId="6C93B83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A0DEE3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Sežana</w:t>
            </w:r>
          </w:p>
        </w:tc>
        <w:tc>
          <w:tcPr>
            <w:tcW w:w="1039" w:type="dxa"/>
            <w:hideMark/>
          </w:tcPr>
          <w:p w14:paraId="037899A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44ABAE9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09562B5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2C063B" w:rsidRPr="005E4BEA" w14:paraId="5FF0876A" w14:textId="77777777" w:rsidTr="006F2C89">
        <w:trPr>
          <w:trHeight w:val="548"/>
        </w:trPr>
        <w:tc>
          <w:tcPr>
            <w:tcW w:w="935" w:type="dxa"/>
            <w:hideMark/>
          </w:tcPr>
          <w:p w14:paraId="64A0D1A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w:t>
            </w:r>
          </w:p>
        </w:tc>
        <w:tc>
          <w:tcPr>
            <w:tcW w:w="2206" w:type="dxa"/>
            <w:hideMark/>
          </w:tcPr>
          <w:p w14:paraId="08979B0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B225D1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Logatec</w:t>
            </w:r>
          </w:p>
        </w:tc>
        <w:tc>
          <w:tcPr>
            <w:tcW w:w="1039" w:type="dxa"/>
            <w:hideMark/>
          </w:tcPr>
          <w:p w14:paraId="305917A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64ECA67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65BB5D2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2C063B" w:rsidRPr="005E4BEA" w14:paraId="58A3F106" w14:textId="77777777" w:rsidTr="006F2C89">
        <w:trPr>
          <w:trHeight w:val="548"/>
        </w:trPr>
        <w:tc>
          <w:tcPr>
            <w:tcW w:w="935" w:type="dxa"/>
            <w:hideMark/>
          </w:tcPr>
          <w:p w14:paraId="2987D1D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w:t>
            </w:r>
          </w:p>
        </w:tc>
        <w:tc>
          <w:tcPr>
            <w:tcW w:w="2206" w:type="dxa"/>
            <w:hideMark/>
          </w:tcPr>
          <w:p w14:paraId="5A89E0E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685AF7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Trbovlje</w:t>
            </w:r>
          </w:p>
        </w:tc>
        <w:tc>
          <w:tcPr>
            <w:tcW w:w="1039" w:type="dxa"/>
            <w:hideMark/>
          </w:tcPr>
          <w:p w14:paraId="01A884B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0,7</w:t>
            </w:r>
          </w:p>
        </w:tc>
        <w:tc>
          <w:tcPr>
            <w:tcW w:w="1071" w:type="dxa"/>
            <w:hideMark/>
          </w:tcPr>
          <w:p w14:paraId="38F8A50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95.134</w:t>
            </w:r>
          </w:p>
        </w:tc>
        <w:tc>
          <w:tcPr>
            <w:tcW w:w="1071" w:type="dxa"/>
            <w:hideMark/>
          </w:tcPr>
          <w:p w14:paraId="35DF754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47.567</w:t>
            </w:r>
          </w:p>
        </w:tc>
      </w:tr>
      <w:tr w:rsidR="002C063B" w:rsidRPr="005E4BEA" w14:paraId="39458D23" w14:textId="77777777" w:rsidTr="006F2C89">
        <w:trPr>
          <w:trHeight w:val="548"/>
        </w:trPr>
        <w:tc>
          <w:tcPr>
            <w:tcW w:w="935" w:type="dxa"/>
            <w:hideMark/>
          </w:tcPr>
          <w:p w14:paraId="24625C2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w:t>
            </w:r>
          </w:p>
        </w:tc>
        <w:tc>
          <w:tcPr>
            <w:tcW w:w="2206" w:type="dxa"/>
            <w:hideMark/>
          </w:tcPr>
          <w:p w14:paraId="6C76305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D2A44B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Zagorje</w:t>
            </w:r>
          </w:p>
        </w:tc>
        <w:tc>
          <w:tcPr>
            <w:tcW w:w="1039" w:type="dxa"/>
            <w:hideMark/>
          </w:tcPr>
          <w:p w14:paraId="299AEDB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379F033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6A4A239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2C063B" w:rsidRPr="005E4BEA" w14:paraId="0DCD6371" w14:textId="77777777" w:rsidTr="006F2C89">
        <w:trPr>
          <w:trHeight w:val="548"/>
        </w:trPr>
        <w:tc>
          <w:tcPr>
            <w:tcW w:w="935" w:type="dxa"/>
            <w:hideMark/>
          </w:tcPr>
          <w:p w14:paraId="3C4453A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7</w:t>
            </w:r>
          </w:p>
        </w:tc>
        <w:tc>
          <w:tcPr>
            <w:tcW w:w="2206" w:type="dxa"/>
            <w:hideMark/>
          </w:tcPr>
          <w:p w14:paraId="244A02A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654004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Črnomelj</w:t>
            </w:r>
          </w:p>
        </w:tc>
        <w:tc>
          <w:tcPr>
            <w:tcW w:w="1039" w:type="dxa"/>
            <w:hideMark/>
          </w:tcPr>
          <w:p w14:paraId="1F9C890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w:t>
            </w:r>
          </w:p>
        </w:tc>
        <w:tc>
          <w:tcPr>
            <w:tcW w:w="1071" w:type="dxa"/>
            <w:hideMark/>
          </w:tcPr>
          <w:p w14:paraId="534293F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135.906</w:t>
            </w:r>
          </w:p>
        </w:tc>
        <w:tc>
          <w:tcPr>
            <w:tcW w:w="1071" w:type="dxa"/>
            <w:hideMark/>
          </w:tcPr>
          <w:p w14:paraId="3C330ED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r>
      <w:tr w:rsidR="002C063B" w:rsidRPr="005E4BEA" w14:paraId="54B67747" w14:textId="77777777" w:rsidTr="006F2C89">
        <w:trPr>
          <w:trHeight w:val="548"/>
        </w:trPr>
        <w:tc>
          <w:tcPr>
            <w:tcW w:w="935" w:type="dxa"/>
            <w:hideMark/>
          </w:tcPr>
          <w:p w14:paraId="1B6C99E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8</w:t>
            </w:r>
          </w:p>
        </w:tc>
        <w:tc>
          <w:tcPr>
            <w:tcW w:w="2206" w:type="dxa"/>
            <w:hideMark/>
          </w:tcPr>
          <w:p w14:paraId="3059011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18AD45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 Trebnje</w:t>
            </w:r>
          </w:p>
        </w:tc>
        <w:tc>
          <w:tcPr>
            <w:tcW w:w="1039" w:type="dxa"/>
            <w:hideMark/>
          </w:tcPr>
          <w:p w14:paraId="2600444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0,5</w:t>
            </w:r>
          </w:p>
        </w:tc>
        <w:tc>
          <w:tcPr>
            <w:tcW w:w="1071" w:type="dxa"/>
            <w:hideMark/>
          </w:tcPr>
          <w:p w14:paraId="73472BC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67.953</w:t>
            </w:r>
          </w:p>
        </w:tc>
        <w:tc>
          <w:tcPr>
            <w:tcW w:w="1071" w:type="dxa"/>
            <w:hideMark/>
          </w:tcPr>
          <w:p w14:paraId="0C66898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33.976</w:t>
            </w:r>
          </w:p>
        </w:tc>
      </w:tr>
      <w:tr w:rsidR="002C063B" w:rsidRPr="005E4BEA" w14:paraId="0A8503B7" w14:textId="77777777" w:rsidTr="006F2C89">
        <w:trPr>
          <w:trHeight w:val="548"/>
        </w:trPr>
        <w:tc>
          <w:tcPr>
            <w:tcW w:w="935" w:type="dxa"/>
            <w:hideMark/>
          </w:tcPr>
          <w:p w14:paraId="770AAEF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9</w:t>
            </w:r>
          </w:p>
        </w:tc>
        <w:tc>
          <w:tcPr>
            <w:tcW w:w="2206" w:type="dxa"/>
            <w:hideMark/>
          </w:tcPr>
          <w:p w14:paraId="6FE7213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10F1C24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ŠMIGOC MOJCA DR.DENT.MED. - ZASEBNA ZOBNA ORDINACIJA</w:t>
            </w:r>
          </w:p>
        </w:tc>
        <w:tc>
          <w:tcPr>
            <w:tcW w:w="1039" w:type="dxa"/>
            <w:hideMark/>
          </w:tcPr>
          <w:p w14:paraId="25B5DC8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4CDAFC1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0806DE2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5428F8F3" w14:textId="77777777" w:rsidTr="006F2C89">
        <w:trPr>
          <w:trHeight w:val="548"/>
        </w:trPr>
        <w:tc>
          <w:tcPr>
            <w:tcW w:w="935" w:type="dxa"/>
            <w:hideMark/>
          </w:tcPr>
          <w:p w14:paraId="2BEC47E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w:t>
            </w:r>
          </w:p>
        </w:tc>
        <w:tc>
          <w:tcPr>
            <w:tcW w:w="2206" w:type="dxa"/>
            <w:hideMark/>
          </w:tcPr>
          <w:p w14:paraId="228EC97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AD30F8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ZOBOZDRAVSTVO BENEDEK, D.O.O.</w:t>
            </w:r>
          </w:p>
        </w:tc>
        <w:tc>
          <w:tcPr>
            <w:tcW w:w="1039" w:type="dxa"/>
            <w:hideMark/>
          </w:tcPr>
          <w:p w14:paraId="6E07843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3167E11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7933D2C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776E6907" w14:textId="77777777" w:rsidTr="006F2C89">
        <w:trPr>
          <w:trHeight w:val="548"/>
        </w:trPr>
        <w:tc>
          <w:tcPr>
            <w:tcW w:w="935" w:type="dxa"/>
            <w:hideMark/>
          </w:tcPr>
          <w:p w14:paraId="42E35D0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11</w:t>
            </w:r>
          </w:p>
        </w:tc>
        <w:tc>
          <w:tcPr>
            <w:tcW w:w="2206" w:type="dxa"/>
            <w:hideMark/>
          </w:tcPr>
          <w:p w14:paraId="27743B0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108FD1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ZASEBNA ZOBNA AMBULANTA, SAŠA DOLAR, S.P.</w:t>
            </w:r>
          </w:p>
        </w:tc>
        <w:tc>
          <w:tcPr>
            <w:tcW w:w="1039" w:type="dxa"/>
            <w:hideMark/>
          </w:tcPr>
          <w:p w14:paraId="40E33A9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0,11</w:t>
            </w:r>
          </w:p>
        </w:tc>
        <w:tc>
          <w:tcPr>
            <w:tcW w:w="1071" w:type="dxa"/>
            <w:hideMark/>
          </w:tcPr>
          <w:p w14:paraId="684CAD9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14.950</w:t>
            </w:r>
          </w:p>
        </w:tc>
        <w:tc>
          <w:tcPr>
            <w:tcW w:w="1071" w:type="dxa"/>
            <w:hideMark/>
          </w:tcPr>
          <w:p w14:paraId="60AD67A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7.475</w:t>
            </w:r>
          </w:p>
        </w:tc>
      </w:tr>
      <w:tr w:rsidR="002C063B" w:rsidRPr="005E4BEA" w14:paraId="4869A0C6" w14:textId="77777777" w:rsidTr="006F2C89">
        <w:trPr>
          <w:trHeight w:val="816"/>
        </w:trPr>
        <w:tc>
          <w:tcPr>
            <w:tcW w:w="935" w:type="dxa"/>
            <w:hideMark/>
          </w:tcPr>
          <w:p w14:paraId="61C018F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12</w:t>
            </w:r>
          </w:p>
        </w:tc>
        <w:tc>
          <w:tcPr>
            <w:tcW w:w="2206" w:type="dxa"/>
            <w:hideMark/>
          </w:tcPr>
          <w:p w14:paraId="2189C8D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DEBB50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NIKA PODBREGAR, DR.DENT.MED. - ZASEBNA ZOBNA AMBULANTA</w:t>
            </w:r>
          </w:p>
        </w:tc>
        <w:tc>
          <w:tcPr>
            <w:tcW w:w="1039" w:type="dxa"/>
            <w:hideMark/>
          </w:tcPr>
          <w:p w14:paraId="168CB93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2FAA4D7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336BC4C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046F07C6" w14:textId="77777777" w:rsidTr="006F2C89">
        <w:trPr>
          <w:trHeight w:val="816"/>
        </w:trPr>
        <w:tc>
          <w:tcPr>
            <w:tcW w:w="935" w:type="dxa"/>
            <w:hideMark/>
          </w:tcPr>
          <w:p w14:paraId="17499D8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w:t>
            </w:r>
          </w:p>
        </w:tc>
        <w:tc>
          <w:tcPr>
            <w:tcW w:w="2206" w:type="dxa"/>
            <w:hideMark/>
          </w:tcPr>
          <w:p w14:paraId="7E2D167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2C3A59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A. MLINAR, ZOBOZDRAVSTVO, PROJEKTIRANJE IN DRUGE STORITVE D.O.O.</w:t>
            </w:r>
          </w:p>
        </w:tc>
        <w:tc>
          <w:tcPr>
            <w:tcW w:w="1039" w:type="dxa"/>
            <w:hideMark/>
          </w:tcPr>
          <w:p w14:paraId="46B3EA3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0,08</w:t>
            </w:r>
          </w:p>
        </w:tc>
        <w:tc>
          <w:tcPr>
            <w:tcW w:w="1071" w:type="dxa"/>
            <w:hideMark/>
          </w:tcPr>
          <w:p w14:paraId="7F2D3CC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10.872</w:t>
            </w:r>
          </w:p>
        </w:tc>
        <w:tc>
          <w:tcPr>
            <w:tcW w:w="1071" w:type="dxa"/>
            <w:hideMark/>
          </w:tcPr>
          <w:p w14:paraId="0582C29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5.436</w:t>
            </w:r>
          </w:p>
        </w:tc>
      </w:tr>
      <w:tr w:rsidR="002C063B" w:rsidRPr="005E4BEA" w14:paraId="059CEFA4" w14:textId="77777777" w:rsidTr="006F2C89">
        <w:trPr>
          <w:trHeight w:val="816"/>
        </w:trPr>
        <w:tc>
          <w:tcPr>
            <w:tcW w:w="935" w:type="dxa"/>
            <w:hideMark/>
          </w:tcPr>
          <w:p w14:paraId="3289FB4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14</w:t>
            </w:r>
          </w:p>
        </w:tc>
        <w:tc>
          <w:tcPr>
            <w:tcW w:w="2206" w:type="dxa"/>
            <w:hideMark/>
          </w:tcPr>
          <w:p w14:paraId="72792C5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DA771E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ZOBOZDRAVSTVENA DEJAVNOST, KRISTINA ZIGANTE DR.DENT.MED.</w:t>
            </w:r>
          </w:p>
        </w:tc>
        <w:tc>
          <w:tcPr>
            <w:tcW w:w="1039" w:type="dxa"/>
            <w:hideMark/>
          </w:tcPr>
          <w:p w14:paraId="0BCA8D6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749F8F5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284BF90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269F6A65" w14:textId="77777777" w:rsidTr="006F2C89">
        <w:trPr>
          <w:trHeight w:val="548"/>
        </w:trPr>
        <w:tc>
          <w:tcPr>
            <w:tcW w:w="935" w:type="dxa"/>
            <w:hideMark/>
          </w:tcPr>
          <w:p w14:paraId="70A20A3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15</w:t>
            </w:r>
          </w:p>
        </w:tc>
        <w:tc>
          <w:tcPr>
            <w:tcW w:w="2206" w:type="dxa"/>
            <w:hideMark/>
          </w:tcPr>
          <w:p w14:paraId="136FD80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4C0110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ZDRAVSTVENI ZAVOD DENTAN KOPER</w:t>
            </w:r>
          </w:p>
        </w:tc>
        <w:tc>
          <w:tcPr>
            <w:tcW w:w="1039" w:type="dxa"/>
            <w:hideMark/>
          </w:tcPr>
          <w:p w14:paraId="175972F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5D9C1D2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491786E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17024BED" w14:textId="77777777" w:rsidTr="006F2C89">
        <w:trPr>
          <w:trHeight w:val="548"/>
        </w:trPr>
        <w:tc>
          <w:tcPr>
            <w:tcW w:w="935" w:type="dxa"/>
            <w:hideMark/>
          </w:tcPr>
          <w:p w14:paraId="4CC15EA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16</w:t>
            </w:r>
          </w:p>
        </w:tc>
        <w:tc>
          <w:tcPr>
            <w:tcW w:w="2206" w:type="dxa"/>
            <w:hideMark/>
          </w:tcPr>
          <w:p w14:paraId="315A500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0BD821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ZASEBNI ZDRAVSTVENI ZAVOD MARC</w:t>
            </w:r>
          </w:p>
        </w:tc>
        <w:tc>
          <w:tcPr>
            <w:tcW w:w="1039" w:type="dxa"/>
            <w:hideMark/>
          </w:tcPr>
          <w:p w14:paraId="3135CE1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782FC7F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5C17C58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103ACE70" w14:textId="77777777" w:rsidTr="006F2C89">
        <w:trPr>
          <w:trHeight w:val="816"/>
        </w:trPr>
        <w:tc>
          <w:tcPr>
            <w:tcW w:w="935" w:type="dxa"/>
            <w:hideMark/>
          </w:tcPr>
          <w:p w14:paraId="4E27823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17</w:t>
            </w:r>
          </w:p>
        </w:tc>
        <w:tc>
          <w:tcPr>
            <w:tcW w:w="2206" w:type="dxa"/>
            <w:hideMark/>
          </w:tcPr>
          <w:p w14:paraId="5CBA430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0AA4A5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DIANA OKRETIČ - ZOBOZDRAVSTVENA ORDINACIJA</w:t>
            </w:r>
          </w:p>
        </w:tc>
        <w:tc>
          <w:tcPr>
            <w:tcW w:w="1039" w:type="dxa"/>
            <w:hideMark/>
          </w:tcPr>
          <w:p w14:paraId="4FF2F3E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0,18</w:t>
            </w:r>
          </w:p>
        </w:tc>
        <w:tc>
          <w:tcPr>
            <w:tcW w:w="1071" w:type="dxa"/>
            <w:hideMark/>
          </w:tcPr>
          <w:p w14:paraId="3683A7F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24.463</w:t>
            </w:r>
          </w:p>
        </w:tc>
        <w:tc>
          <w:tcPr>
            <w:tcW w:w="1071" w:type="dxa"/>
            <w:hideMark/>
          </w:tcPr>
          <w:p w14:paraId="73D0117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12.231</w:t>
            </w:r>
          </w:p>
        </w:tc>
      </w:tr>
      <w:tr w:rsidR="002C063B" w:rsidRPr="005E4BEA" w14:paraId="3E2A6CD0" w14:textId="77777777" w:rsidTr="006F2C89">
        <w:trPr>
          <w:trHeight w:val="548"/>
        </w:trPr>
        <w:tc>
          <w:tcPr>
            <w:tcW w:w="935" w:type="dxa"/>
            <w:hideMark/>
          </w:tcPr>
          <w:p w14:paraId="3B0E47D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18</w:t>
            </w:r>
          </w:p>
        </w:tc>
        <w:tc>
          <w:tcPr>
            <w:tcW w:w="2206" w:type="dxa"/>
            <w:hideMark/>
          </w:tcPr>
          <w:p w14:paraId="2DE638C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41CFCF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JURIČEV MARIN - ZASEBNA ZOBNA AMBULANTA</w:t>
            </w:r>
          </w:p>
        </w:tc>
        <w:tc>
          <w:tcPr>
            <w:tcW w:w="1039" w:type="dxa"/>
            <w:hideMark/>
          </w:tcPr>
          <w:p w14:paraId="17206A7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0,134</w:t>
            </w:r>
          </w:p>
        </w:tc>
        <w:tc>
          <w:tcPr>
            <w:tcW w:w="1071" w:type="dxa"/>
            <w:hideMark/>
          </w:tcPr>
          <w:p w14:paraId="51A0303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18.211</w:t>
            </w:r>
          </w:p>
        </w:tc>
        <w:tc>
          <w:tcPr>
            <w:tcW w:w="1071" w:type="dxa"/>
            <w:hideMark/>
          </w:tcPr>
          <w:p w14:paraId="09668C8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9.106</w:t>
            </w:r>
          </w:p>
        </w:tc>
      </w:tr>
      <w:tr w:rsidR="002C063B" w:rsidRPr="005E4BEA" w14:paraId="059EC421" w14:textId="77777777" w:rsidTr="006F2C89">
        <w:trPr>
          <w:trHeight w:val="548"/>
        </w:trPr>
        <w:tc>
          <w:tcPr>
            <w:tcW w:w="935" w:type="dxa"/>
            <w:hideMark/>
          </w:tcPr>
          <w:p w14:paraId="7C9D49D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19</w:t>
            </w:r>
          </w:p>
        </w:tc>
        <w:tc>
          <w:tcPr>
            <w:tcW w:w="2206" w:type="dxa"/>
            <w:hideMark/>
          </w:tcPr>
          <w:p w14:paraId="3927AF7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283AF7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ZOBNA ORDINACIJA MILENA ŠIFRAR-KOPAČ, DR. DENT. MED.</w:t>
            </w:r>
          </w:p>
        </w:tc>
        <w:tc>
          <w:tcPr>
            <w:tcW w:w="1039" w:type="dxa"/>
            <w:hideMark/>
          </w:tcPr>
          <w:p w14:paraId="50EF416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5AC9F6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4A6AFDF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625E593D" w14:textId="77777777" w:rsidTr="006F2C89">
        <w:trPr>
          <w:trHeight w:val="816"/>
        </w:trPr>
        <w:tc>
          <w:tcPr>
            <w:tcW w:w="935" w:type="dxa"/>
            <w:hideMark/>
          </w:tcPr>
          <w:p w14:paraId="36D6EB1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20</w:t>
            </w:r>
          </w:p>
        </w:tc>
        <w:tc>
          <w:tcPr>
            <w:tcW w:w="2206" w:type="dxa"/>
            <w:hideMark/>
          </w:tcPr>
          <w:p w14:paraId="6E04FD8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07E5A9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ZOBOZDRAVSTVENA ORDINACIJA NIELS UDIR DR.DENT.MED.</w:t>
            </w:r>
          </w:p>
        </w:tc>
        <w:tc>
          <w:tcPr>
            <w:tcW w:w="1039" w:type="dxa"/>
            <w:hideMark/>
          </w:tcPr>
          <w:p w14:paraId="1A67129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0,16</w:t>
            </w:r>
          </w:p>
        </w:tc>
        <w:tc>
          <w:tcPr>
            <w:tcW w:w="1071" w:type="dxa"/>
            <w:hideMark/>
          </w:tcPr>
          <w:p w14:paraId="7F406D9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21.745</w:t>
            </w:r>
          </w:p>
        </w:tc>
        <w:tc>
          <w:tcPr>
            <w:tcW w:w="1071" w:type="dxa"/>
            <w:hideMark/>
          </w:tcPr>
          <w:p w14:paraId="65B8172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10.872</w:t>
            </w:r>
          </w:p>
        </w:tc>
      </w:tr>
      <w:tr w:rsidR="002C063B" w:rsidRPr="005E4BEA" w14:paraId="732F1AC0" w14:textId="77777777" w:rsidTr="006F2C89">
        <w:trPr>
          <w:trHeight w:val="816"/>
        </w:trPr>
        <w:tc>
          <w:tcPr>
            <w:tcW w:w="935" w:type="dxa"/>
            <w:hideMark/>
          </w:tcPr>
          <w:p w14:paraId="589259F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21</w:t>
            </w:r>
          </w:p>
        </w:tc>
        <w:tc>
          <w:tcPr>
            <w:tcW w:w="2206" w:type="dxa"/>
            <w:hideMark/>
          </w:tcPr>
          <w:p w14:paraId="01924CA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4932FB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ZASEBNI ZOBOZDRAVSTVENI ZAVOD, LAPČEVIČ VLADO, DR.DENT.MED.</w:t>
            </w:r>
          </w:p>
        </w:tc>
        <w:tc>
          <w:tcPr>
            <w:tcW w:w="1039" w:type="dxa"/>
            <w:hideMark/>
          </w:tcPr>
          <w:p w14:paraId="7D99FD7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179D5A7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0AA4E69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00D08A89" w14:textId="77777777" w:rsidTr="006F2C89">
        <w:trPr>
          <w:trHeight w:val="548"/>
        </w:trPr>
        <w:tc>
          <w:tcPr>
            <w:tcW w:w="935" w:type="dxa"/>
            <w:hideMark/>
          </w:tcPr>
          <w:p w14:paraId="7122272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22</w:t>
            </w:r>
          </w:p>
        </w:tc>
        <w:tc>
          <w:tcPr>
            <w:tcW w:w="2206" w:type="dxa"/>
            <w:hideMark/>
          </w:tcPr>
          <w:p w14:paraId="46457A5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273D7E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ALENKA ŠUKLJE</w:t>
            </w:r>
          </w:p>
        </w:tc>
        <w:tc>
          <w:tcPr>
            <w:tcW w:w="1039" w:type="dxa"/>
            <w:hideMark/>
          </w:tcPr>
          <w:p w14:paraId="612E0FB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3F1D707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67714E2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2C063B" w:rsidRPr="005E4BEA" w14:paraId="2E912B47" w14:textId="77777777" w:rsidTr="006F2C89">
        <w:trPr>
          <w:trHeight w:val="816"/>
        </w:trPr>
        <w:tc>
          <w:tcPr>
            <w:tcW w:w="935" w:type="dxa"/>
            <w:hideMark/>
          </w:tcPr>
          <w:p w14:paraId="5B5F651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23</w:t>
            </w:r>
          </w:p>
        </w:tc>
        <w:tc>
          <w:tcPr>
            <w:tcW w:w="2206" w:type="dxa"/>
            <w:hideMark/>
          </w:tcPr>
          <w:p w14:paraId="75B6DDF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036EC05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STARDENT, ZOBOZDRAVSTVENE STORITVE, TRGOVINA IN POSREDNIŠTVO D.O.O.</w:t>
            </w:r>
          </w:p>
        </w:tc>
        <w:tc>
          <w:tcPr>
            <w:tcW w:w="1039" w:type="dxa"/>
            <w:hideMark/>
          </w:tcPr>
          <w:p w14:paraId="4AD4F76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6724470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75C5566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4D92447E" w14:textId="77777777" w:rsidTr="006F2C89">
        <w:trPr>
          <w:trHeight w:val="548"/>
        </w:trPr>
        <w:tc>
          <w:tcPr>
            <w:tcW w:w="935" w:type="dxa"/>
            <w:hideMark/>
          </w:tcPr>
          <w:p w14:paraId="1236058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24</w:t>
            </w:r>
          </w:p>
        </w:tc>
        <w:tc>
          <w:tcPr>
            <w:tcW w:w="2206" w:type="dxa"/>
            <w:hideMark/>
          </w:tcPr>
          <w:p w14:paraId="3D7FEC5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F9B3BB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SANOS, ZOBOZDRAVSTVENE STORITVE, D.O.O.</w:t>
            </w:r>
          </w:p>
        </w:tc>
        <w:tc>
          <w:tcPr>
            <w:tcW w:w="1039" w:type="dxa"/>
            <w:hideMark/>
          </w:tcPr>
          <w:p w14:paraId="314FDC5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5FC3BF4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738EEFC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2C063B" w:rsidRPr="005E4BEA" w14:paraId="6A7910CD" w14:textId="77777777" w:rsidTr="006F2C89">
        <w:trPr>
          <w:trHeight w:val="548"/>
        </w:trPr>
        <w:tc>
          <w:tcPr>
            <w:tcW w:w="935" w:type="dxa"/>
            <w:hideMark/>
          </w:tcPr>
          <w:p w14:paraId="7F5A787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25</w:t>
            </w:r>
          </w:p>
        </w:tc>
        <w:tc>
          <w:tcPr>
            <w:tcW w:w="2206" w:type="dxa"/>
            <w:hideMark/>
          </w:tcPr>
          <w:p w14:paraId="4CCBDC7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3D4E73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DIDENT, ZOBOZDRAVSTVENA DEJAVNOST D.O.O.</w:t>
            </w:r>
          </w:p>
        </w:tc>
        <w:tc>
          <w:tcPr>
            <w:tcW w:w="1039" w:type="dxa"/>
            <w:hideMark/>
          </w:tcPr>
          <w:p w14:paraId="59B8099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0454DE6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46E56C5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2C063B" w:rsidRPr="005E4BEA" w14:paraId="2F7D3083" w14:textId="77777777" w:rsidTr="006F2C89">
        <w:trPr>
          <w:trHeight w:val="548"/>
        </w:trPr>
        <w:tc>
          <w:tcPr>
            <w:tcW w:w="935" w:type="dxa"/>
            <w:hideMark/>
          </w:tcPr>
          <w:p w14:paraId="41867D3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26</w:t>
            </w:r>
          </w:p>
        </w:tc>
        <w:tc>
          <w:tcPr>
            <w:tcW w:w="2206" w:type="dxa"/>
            <w:hideMark/>
          </w:tcPr>
          <w:p w14:paraId="5F7E5A4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w:t>
            </w:r>
          </w:p>
        </w:tc>
        <w:tc>
          <w:tcPr>
            <w:tcW w:w="3103" w:type="dxa"/>
            <w:hideMark/>
          </w:tcPr>
          <w:p w14:paraId="0D5B4C7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ZOBOZDRAVSTVENI CENTER JAVH, D.O.O.</w:t>
            </w:r>
          </w:p>
        </w:tc>
        <w:tc>
          <w:tcPr>
            <w:tcW w:w="1039" w:type="dxa"/>
            <w:hideMark/>
          </w:tcPr>
          <w:p w14:paraId="02901FF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6E26C77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0BF8C7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06E67178" w14:textId="77777777" w:rsidTr="006F2C89">
        <w:trPr>
          <w:trHeight w:val="548"/>
        </w:trPr>
        <w:tc>
          <w:tcPr>
            <w:tcW w:w="935" w:type="dxa"/>
            <w:hideMark/>
          </w:tcPr>
          <w:p w14:paraId="70BAE5A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w:t>
            </w:r>
          </w:p>
        </w:tc>
        <w:tc>
          <w:tcPr>
            <w:tcW w:w="2206" w:type="dxa"/>
            <w:hideMark/>
          </w:tcPr>
          <w:p w14:paraId="4D09569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A4BC2B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KRANJEC LEOPOLDINA - ZOBNA ORDINACIJA</w:t>
            </w:r>
          </w:p>
        </w:tc>
        <w:tc>
          <w:tcPr>
            <w:tcW w:w="1039" w:type="dxa"/>
            <w:hideMark/>
          </w:tcPr>
          <w:p w14:paraId="477A850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0,11</w:t>
            </w:r>
          </w:p>
        </w:tc>
        <w:tc>
          <w:tcPr>
            <w:tcW w:w="1071" w:type="dxa"/>
            <w:hideMark/>
          </w:tcPr>
          <w:p w14:paraId="424D67F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14.950</w:t>
            </w:r>
          </w:p>
        </w:tc>
        <w:tc>
          <w:tcPr>
            <w:tcW w:w="1071" w:type="dxa"/>
            <w:hideMark/>
          </w:tcPr>
          <w:p w14:paraId="2E9AE24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7.475</w:t>
            </w:r>
          </w:p>
        </w:tc>
      </w:tr>
      <w:tr w:rsidR="002C063B" w:rsidRPr="005E4BEA" w14:paraId="0354AB98" w14:textId="77777777" w:rsidTr="006F2C89">
        <w:trPr>
          <w:trHeight w:val="816"/>
        </w:trPr>
        <w:tc>
          <w:tcPr>
            <w:tcW w:w="935" w:type="dxa"/>
            <w:hideMark/>
          </w:tcPr>
          <w:p w14:paraId="519BAF4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28</w:t>
            </w:r>
          </w:p>
        </w:tc>
        <w:tc>
          <w:tcPr>
            <w:tcW w:w="2206" w:type="dxa"/>
            <w:hideMark/>
          </w:tcPr>
          <w:p w14:paraId="5C9F465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559C5B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SIEGL VLADIMIR - ZOBOZDRAVSTVENA ORDINACIJA</w:t>
            </w:r>
          </w:p>
        </w:tc>
        <w:tc>
          <w:tcPr>
            <w:tcW w:w="1039" w:type="dxa"/>
            <w:hideMark/>
          </w:tcPr>
          <w:p w14:paraId="4002654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36F43B4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529398A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31142CCF" w14:textId="77777777" w:rsidTr="006F2C89">
        <w:trPr>
          <w:trHeight w:val="816"/>
        </w:trPr>
        <w:tc>
          <w:tcPr>
            <w:tcW w:w="935" w:type="dxa"/>
            <w:hideMark/>
          </w:tcPr>
          <w:p w14:paraId="6247A70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29</w:t>
            </w:r>
          </w:p>
        </w:tc>
        <w:tc>
          <w:tcPr>
            <w:tcW w:w="2206" w:type="dxa"/>
            <w:hideMark/>
          </w:tcPr>
          <w:p w14:paraId="71DFBC5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F485B2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LEONARDO, RAZVOJ, RAZISKAVE, TRGOVINA IN STORITVE, D.O.O., KRANJ</w:t>
            </w:r>
          </w:p>
        </w:tc>
        <w:tc>
          <w:tcPr>
            <w:tcW w:w="1039" w:type="dxa"/>
            <w:hideMark/>
          </w:tcPr>
          <w:p w14:paraId="05DE889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0,22</w:t>
            </w:r>
          </w:p>
        </w:tc>
        <w:tc>
          <w:tcPr>
            <w:tcW w:w="1071" w:type="dxa"/>
            <w:hideMark/>
          </w:tcPr>
          <w:p w14:paraId="452BE2E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29.899</w:t>
            </w:r>
          </w:p>
        </w:tc>
        <w:tc>
          <w:tcPr>
            <w:tcW w:w="1071" w:type="dxa"/>
            <w:hideMark/>
          </w:tcPr>
          <w:p w14:paraId="3FAB7E2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14.950</w:t>
            </w:r>
          </w:p>
        </w:tc>
      </w:tr>
      <w:tr w:rsidR="002C063B" w:rsidRPr="005E4BEA" w14:paraId="459441C2" w14:textId="77777777" w:rsidTr="006F2C89">
        <w:trPr>
          <w:trHeight w:val="548"/>
        </w:trPr>
        <w:tc>
          <w:tcPr>
            <w:tcW w:w="935" w:type="dxa"/>
            <w:hideMark/>
          </w:tcPr>
          <w:p w14:paraId="6E07DE5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30</w:t>
            </w:r>
          </w:p>
        </w:tc>
        <w:tc>
          <w:tcPr>
            <w:tcW w:w="2206" w:type="dxa"/>
            <w:hideMark/>
          </w:tcPr>
          <w:p w14:paraId="3EE95A9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19461D11"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ZUPET ŽNIDARŠIČ POLONA - ZASEBNA ZOBNA ORDINACIJA</w:t>
            </w:r>
          </w:p>
        </w:tc>
        <w:tc>
          <w:tcPr>
            <w:tcW w:w="1039" w:type="dxa"/>
            <w:hideMark/>
          </w:tcPr>
          <w:p w14:paraId="31D5DB7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0,17</w:t>
            </w:r>
          </w:p>
        </w:tc>
        <w:tc>
          <w:tcPr>
            <w:tcW w:w="1071" w:type="dxa"/>
            <w:hideMark/>
          </w:tcPr>
          <w:p w14:paraId="7450FFE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23.104</w:t>
            </w:r>
          </w:p>
        </w:tc>
        <w:tc>
          <w:tcPr>
            <w:tcW w:w="1071" w:type="dxa"/>
            <w:hideMark/>
          </w:tcPr>
          <w:p w14:paraId="6275358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11.552</w:t>
            </w:r>
          </w:p>
        </w:tc>
      </w:tr>
      <w:tr w:rsidR="002C063B" w:rsidRPr="005E4BEA" w14:paraId="2E4960E0" w14:textId="77777777" w:rsidTr="006F2C89">
        <w:trPr>
          <w:trHeight w:val="548"/>
        </w:trPr>
        <w:tc>
          <w:tcPr>
            <w:tcW w:w="935" w:type="dxa"/>
            <w:hideMark/>
          </w:tcPr>
          <w:p w14:paraId="63AB79A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31</w:t>
            </w:r>
          </w:p>
        </w:tc>
        <w:tc>
          <w:tcPr>
            <w:tcW w:w="2206" w:type="dxa"/>
            <w:hideMark/>
          </w:tcPr>
          <w:p w14:paraId="4466F52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CD6B75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VRAN MOJCA DR. DENT. MED. ZASEBNA ZOBNA ORDINACIJA</w:t>
            </w:r>
          </w:p>
        </w:tc>
        <w:tc>
          <w:tcPr>
            <w:tcW w:w="1039" w:type="dxa"/>
            <w:hideMark/>
          </w:tcPr>
          <w:p w14:paraId="1443B7C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4EF2CB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692F18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7E044934" w14:textId="77777777" w:rsidTr="006F2C89">
        <w:trPr>
          <w:trHeight w:val="548"/>
        </w:trPr>
        <w:tc>
          <w:tcPr>
            <w:tcW w:w="935" w:type="dxa"/>
            <w:hideMark/>
          </w:tcPr>
          <w:p w14:paraId="5016431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32</w:t>
            </w:r>
          </w:p>
        </w:tc>
        <w:tc>
          <w:tcPr>
            <w:tcW w:w="2206" w:type="dxa"/>
            <w:hideMark/>
          </w:tcPr>
          <w:p w14:paraId="0119DCA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83189D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ZOBOZDRAVSTVENI ZAVOD D IN G KOPER</w:t>
            </w:r>
          </w:p>
        </w:tc>
        <w:tc>
          <w:tcPr>
            <w:tcW w:w="1039" w:type="dxa"/>
            <w:hideMark/>
          </w:tcPr>
          <w:p w14:paraId="7F82D5C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5950073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E318D3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7BB297EF" w14:textId="77777777" w:rsidTr="006F2C89">
        <w:trPr>
          <w:trHeight w:val="548"/>
        </w:trPr>
        <w:tc>
          <w:tcPr>
            <w:tcW w:w="935" w:type="dxa"/>
            <w:hideMark/>
          </w:tcPr>
          <w:p w14:paraId="05794D6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33</w:t>
            </w:r>
          </w:p>
        </w:tc>
        <w:tc>
          <w:tcPr>
            <w:tcW w:w="2206" w:type="dxa"/>
            <w:hideMark/>
          </w:tcPr>
          <w:p w14:paraId="199AFF2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A3A238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DENTALNI STUDIO BARBARA ŠKRLJ GOLOB</w:t>
            </w:r>
          </w:p>
        </w:tc>
        <w:tc>
          <w:tcPr>
            <w:tcW w:w="1039" w:type="dxa"/>
            <w:hideMark/>
          </w:tcPr>
          <w:p w14:paraId="5371AEA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4B46613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660C29F5"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47341B0B" w14:textId="77777777" w:rsidTr="006F2C89">
        <w:trPr>
          <w:trHeight w:val="548"/>
        </w:trPr>
        <w:tc>
          <w:tcPr>
            <w:tcW w:w="935" w:type="dxa"/>
            <w:hideMark/>
          </w:tcPr>
          <w:p w14:paraId="0D7B964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34</w:t>
            </w:r>
          </w:p>
        </w:tc>
        <w:tc>
          <w:tcPr>
            <w:tcW w:w="2206" w:type="dxa"/>
            <w:hideMark/>
          </w:tcPr>
          <w:p w14:paraId="5941BFC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4A67B4F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ANKA PERPAR - BELI DENT ZOBNA ORDINACIJA</w:t>
            </w:r>
          </w:p>
        </w:tc>
        <w:tc>
          <w:tcPr>
            <w:tcW w:w="1039" w:type="dxa"/>
            <w:hideMark/>
          </w:tcPr>
          <w:p w14:paraId="07959ED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w:t>
            </w:r>
          </w:p>
        </w:tc>
        <w:tc>
          <w:tcPr>
            <w:tcW w:w="1071" w:type="dxa"/>
            <w:hideMark/>
          </w:tcPr>
          <w:p w14:paraId="11FAE89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c>
          <w:tcPr>
            <w:tcW w:w="1071" w:type="dxa"/>
            <w:hideMark/>
          </w:tcPr>
          <w:p w14:paraId="61BA67F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w:t>
            </w:r>
          </w:p>
        </w:tc>
      </w:tr>
      <w:tr w:rsidR="002C063B" w:rsidRPr="005E4BEA" w14:paraId="4E8A9C61" w14:textId="77777777" w:rsidTr="006F2C89">
        <w:trPr>
          <w:trHeight w:val="816"/>
        </w:trPr>
        <w:tc>
          <w:tcPr>
            <w:tcW w:w="935" w:type="dxa"/>
            <w:hideMark/>
          </w:tcPr>
          <w:p w14:paraId="34FE4F6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35</w:t>
            </w:r>
          </w:p>
        </w:tc>
        <w:tc>
          <w:tcPr>
            <w:tcW w:w="2206" w:type="dxa"/>
            <w:hideMark/>
          </w:tcPr>
          <w:p w14:paraId="1B3A386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2391C006"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SPLOŠNO IN ESTETSKO ZOBOZDRAVSTVO, NINA KOTNIK-TRAVNIK, S.P.</w:t>
            </w:r>
          </w:p>
        </w:tc>
        <w:tc>
          <w:tcPr>
            <w:tcW w:w="1039" w:type="dxa"/>
            <w:hideMark/>
          </w:tcPr>
          <w:p w14:paraId="29807767"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0,184</w:t>
            </w:r>
          </w:p>
        </w:tc>
        <w:tc>
          <w:tcPr>
            <w:tcW w:w="1071" w:type="dxa"/>
            <w:hideMark/>
          </w:tcPr>
          <w:p w14:paraId="4071805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25.007</w:t>
            </w:r>
          </w:p>
        </w:tc>
        <w:tc>
          <w:tcPr>
            <w:tcW w:w="1071" w:type="dxa"/>
            <w:hideMark/>
          </w:tcPr>
          <w:p w14:paraId="5D56305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12.503</w:t>
            </w:r>
          </w:p>
        </w:tc>
      </w:tr>
      <w:tr w:rsidR="002C063B" w:rsidRPr="005E4BEA" w14:paraId="55C39BAE" w14:textId="77777777" w:rsidTr="006F2C89">
        <w:trPr>
          <w:trHeight w:val="548"/>
        </w:trPr>
        <w:tc>
          <w:tcPr>
            <w:tcW w:w="935" w:type="dxa"/>
            <w:hideMark/>
          </w:tcPr>
          <w:p w14:paraId="369E165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36</w:t>
            </w:r>
          </w:p>
        </w:tc>
        <w:tc>
          <w:tcPr>
            <w:tcW w:w="2206" w:type="dxa"/>
            <w:hideMark/>
          </w:tcPr>
          <w:p w14:paraId="69CC176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55AA46F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T DENT, ZOBNA ORDINACIJA, D.O.O.</w:t>
            </w:r>
          </w:p>
        </w:tc>
        <w:tc>
          <w:tcPr>
            <w:tcW w:w="1039" w:type="dxa"/>
            <w:hideMark/>
          </w:tcPr>
          <w:p w14:paraId="00718AA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0,184</w:t>
            </w:r>
          </w:p>
        </w:tc>
        <w:tc>
          <w:tcPr>
            <w:tcW w:w="1071" w:type="dxa"/>
            <w:hideMark/>
          </w:tcPr>
          <w:p w14:paraId="1EE144D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25.007</w:t>
            </w:r>
          </w:p>
        </w:tc>
        <w:tc>
          <w:tcPr>
            <w:tcW w:w="1071" w:type="dxa"/>
            <w:hideMark/>
          </w:tcPr>
          <w:p w14:paraId="4319F47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12.503</w:t>
            </w:r>
          </w:p>
        </w:tc>
      </w:tr>
      <w:tr w:rsidR="002C063B" w:rsidRPr="005E4BEA" w14:paraId="45C56E82" w14:textId="77777777" w:rsidTr="006F2C89">
        <w:trPr>
          <w:trHeight w:val="816"/>
        </w:trPr>
        <w:tc>
          <w:tcPr>
            <w:tcW w:w="935" w:type="dxa"/>
            <w:hideMark/>
          </w:tcPr>
          <w:p w14:paraId="4C3857B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37</w:t>
            </w:r>
          </w:p>
        </w:tc>
        <w:tc>
          <w:tcPr>
            <w:tcW w:w="2206" w:type="dxa"/>
            <w:hideMark/>
          </w:tcPr>
          <w:p w14:paraId="288940A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3482EDB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ZOBOZDRAVSTVO KOZINA, ZOBOZDRAVSTVENE STORITVE, D.O.O.</w:t>
            </w:r>
          </w:p>
        </w:tc>
        <w:tc>
          <w:tcPr>
            <w:tcW w:w="1039" w:type="dxa"/>
            <w:hideMark/>
          </w:tcPr>
          <w:p w14:paraId="1DE72AAD"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485CFF7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32C18984"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763887DD" w14:textId="77777777" w:rsidTr="006F2C89">
        <w:trPr>
          <w:trHeight w:val="816"/>
        </w:trPr>
        <w:tc>
          <w:tcPr>
            <w:tcW w:w="935" w:type="dxa"/>
            <w:hideMark/>
          </w:tcPr>
          <w:p w14:paraId="422D5E19"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38</w:t>
            </w:r>
          </w:p>
        </w:tc>
        <w:tc>
          <w:tcPr>
            <w:tcW w:w="2206" w:type="dxa"/>
            <w:hideMark/>
          </w:tcPr>
          <w:p w14:paraId="617FBBF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7C5C1A72"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LEGAT DENT, ZOBOZDRAVSTVENE STORITVE D.O.O.</w:t>
            </w:r>
          </w:p>
        </w:tc>
        <w:tc>
          <w:tcPr>
            <w:tcW w:w="1039" w:type="dxa"/>
            <w:hideMark/>
          </w:tcPr>
          <w:p w14:paraId="746F8E6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76B81E7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107511C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25BF110F" w14:textId="77777777" w:rsidTr="006F2C89">
        <w:trPr>
          <w:trHeight w:val="548"/>
        </w:trPr>
        <w:tc>
          <w:tcPr>
            <w:tcW w:w="935" w:type="dxa"/>
            <w:hideMark/>
          </w:tcPr>
          <w:p w14:paraId="71C1116F"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lastRenderedPageBreak/>
              <w:t>39</w:t>
            </w:r>
          </w:p>
        </w:tc>
        <w:tc>
          <w:tcPr>
            <w:tcW w:w="2206" w:type="dxa"/>
            <w:hideMark/>
          </w:tcPr>
          <w:p w14:paraId="16C6BBC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11D61E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ZASEBNA ZOBNA ORDINACIJA NADJA JUDEŽ, DR.DENT.MED.</w:t>
            </w:r>
          </w:p>
        </w:tc>
        <w:tc>
          <w:tcPr>
            <w:tcW w:w="1039" w:type="dxa"/>
            <w:hideMark/>
          </w:tcPr>
          <w:p w14:paraId="3F42D59B"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0,2</w:t>
            </w:r>
          </w:p>
        </w:tc>
        <w:tc>
          <w:tcPr>
            <w:tcW w:w="1071" w:type="dxa"/>
            <w:hideMark/>
          </w:tcPr>
          <w:p w14:paraId="0209759A"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27.181</w:t>
            </w:r>
          </w:p>
        </w:tc>
        <w:tc>
          <w:tcPr>
            <w:tcW w:w="1071" w:type="dxa"/>
            <w:hideMark/>
          </w:tcPr>
          <w:p w14:paraId="3FF143B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13.591</w:t>
            </w:r>
          </w:p>
        </w:tc>
      </w:tr>
      <w:tr w:rsidR="002C063B" w:rsidRPr="005E4BEA" w14:paraId="16765281" w14:textId="77777777" w:rsidTr="006F2C89">
        <w:trPr>
          <w:trHeight w:val="548"/>
        </w:trPr>
        <w:tc>
          <w:tcPr>
            <w:tcW w:w="935" w:type="dxa"/>
            <w:hideMark/>
          </w:tcPr>
          <w:p w14:paraId="2DFE2D90"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40</w:t>
            </w:r>
          </w:p>
        </w:tc>
        <w:tc>
          <w:tcPr>
            <w:tcW w:w="2206" w:type="dxa"/>
            <w:hideMark/>
          </w:tcPr>
          <w:p w14:paraId="0B26C13C"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Zobozdravstvo za odrasle </w:t>
            </w:r>
          </w:p>
        </w:tc>
        <w:tc>
          <w:tcPr>
            <w:tcW w:w="3103" w:type="dxa"/>
            <w:hideMark/>
          </w:tcPr>
          <w:p w14:paraId="68CFDF0E"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OE Ljubljana</w:t>
            </w:r>
          </w:p>
        </w:tc>
        <w:tc>
          <w:tcPr>
            <w:tcW w:w="1039" w:type="dxa"/>
            <w:hideMark/>
          </w:tcPr>
          <w:p w14:paraId="09AD082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5</w:t>
            </w:r>
          </w:p>
        </w:tc>
        <w:tc>
          <w:tcPr>
            <w:tcW w:w="1071" w:type="dxa"/>
            <w:hideMark/>
          </w:tcPr>
          <w:p w14:paraId="4E1DD758"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679.528</w:t>
            </w:r>
          </w:p>
        </w:tc>
        <w:tc>
          <w:tcPr>
            <w:tcW w:w="1071" w:type="dxa"/>
            <w:hideMark/>
          </w:tcPr>
          <w:p w14:paraId="69DB2063" w14:textId="77777777" w:rsidR="002C063B" w:rsidRPr="005E4BEA" w:rsidRDefault="002C063B" w:rsidP="006F2C89">
            <w:pPr>
              <w:autoSpaceDE w:val="0"/>
              <w:autoSpaceDN w:val="0"/>
              <w:adjustRightInd w:val="0"/>
              <w:spacing w:line="0" w:lineRule="atLeast"/>
              <w:jc w:val="both"/>
              <w:rPr>
                <w:rFonts w:eastAsia="Arial Narrow" w:cs="Arial"/>
                <w:szCs w:val="20"/>
              </w:rPr>
            </w:pPr>
            <w:r w:rsidRPr="005E4BEA">
              <w:rPr>
                <w:rFonts w:eastAsia="Arial Narrow" w:cs="Arial"/>
                <w:szCs w:val="20"/>
              </w:rPr>
              <w:t>339.764</w:t>
            </w:r>
          </w:p>
        </w:tc>
      </w:tr>
      <w:tr w:rsidR="002C063B" w:rsidRPr="005E4BEA" w14:paraId="27799C8A" w14:textId="77777777" w:rsidTr="006F2C89">
        <w:trPr>
          <w:trHeight w:val="548"/>
        </w:trPr>
        <w:tc>
          <w:tcPr>
            <w:tcW w:w="935" w:type="dxa"/>
            <w:hideMark/>
          </w:tcPr>
          <w:p w14:paraId="5447DEDA"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c>
          <w:tcPr>
            <w:tcW w:w="2206" w:type="dxa"/>
            <w:hideMark/>
          </w:tcPr>
          <w:p w14:paraId="643D2FAE"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xml:space="preserve">Zobozdravstvo za odrasle </w:t>
            </w:r>
          </w:p>
        </w:tc>
        <w:tc>
          <w:tcPr>
            <w:tcW w:w="3103" w:type="dxa"/>
            <w:hideMark/>
          </w:tcPr>
          <w:p w14:paraId="1A5B01ED"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SKUPAJ</w:t>
            </w:r>
          </w:p>
        </w:tc>
        <w:tc>
          <w:tcPr>
            <w:tcW w:w="1039" w:type="dxa"/>
            <w:hideMark/>
          </w:tcPr>
          <w:p w14:paraId="3065A12A"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17,5</w:t>
            </w:r>
          </w:p>
        </w:tc>
        <w:tc>
          <w:tcPr>
            <w:tcW w:w="1071" w:type="dxa"/>
            <w:hideMark/>
          </w:tcPr>
          <w:p w14:paraId="45E48759"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2.382.695</w:t>
            </w:r>
          </w:p>
        </w:tc>
        <w:tc>
          <w:tcPr>
            <w:tcW w:w="1071" w:type="dxa"/>
            <w:hideMark/>
          </w:tcPr>
          <w:p w14:paraId="6B2938EC"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1.191.348</w:t>
            </w:r>
          </w:p>
        </w:tc>
      </w:tr>
      <w:tr w:rsidR="002C063B" w:rsidRPr="005E4BEA" w14:paraId="3590DBE6" w14:textId="77777777" w:rsidTr="006F2C89">
        <w:trPr>
          <w:trHeight w:val="304"/>
        </w:trPr>
        <w:tc>
          <w:tcPr>
            <w:tcW w:w="935" w:type="dxa"/>
            <w:noWrap/>
            <w:hideMark/>
          </w:tcPr>
          <w:p w14:paraId="7F7715B2" w14:textId="77777777" w:rsidR="002C063B" w:rsidRPr="005E4BEA" w:rsidRDefault="002C063B" w:rsidP="006F2C89">
            <w:pPr>
              <w:autoSpaceDE w:val="0"/>
              <w:autoSpaceDN w:val="0"/>
              <w:adjustRightInd w:val="0"/>
              <w:spacing w:line="0" w:lineRule="atLeast"/>
              <w:jc w:val="both"/>
              <w:rPr>
                <w:rFonts w:eastAsia="Arial Narrow" w:cs="Arial"/>
                <w:b/>
                <w:bCs/>
                <w:szCs w:val="20"/>
              </w:rPr>
            </w:pPr>
          </w:p>
        </w:tc>
        <w:tc>
          <w:tcPr>
            <w:tcW w:w="2206" w:type="dxa"/>
            <w:noWrap/>
            <w:hideMark/>
          </w:tcPr>
          <w:p w14:paraId="16885D61"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3103" w:type="dxa"/>
            <w:noWrap/>
            <w:hideMark/>
          </w:tcPr>
          <w:p w14:paraId="087314B4"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039" w:type="dxa"/>
            <w:noWrap/>
            <w:hideMark/>
          </w:tcPr>
          <w:p w14:paraId="41EDF54A"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071" w:type="dxa"/>
            <w:hideMark/>
          </w:tcPr>
          <w:p w14:paraId="60E7DEB0"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c>
          <w:tcPr>
            <w:tcW w:w="1071" w:type="dxa"/>
            <w:hideMark/>
          </w:tcPr>
          <w:p w14:paraId="3A56F8BA"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 </w:t>
            </w:r>
          </w:p>
        </w:tc>
      </w:tr>
      <w:tr w:rsidR="002C063B" w:rsidRPr="005E4BEA" w14:paraId="01891300" w14:textId="77777777" w:rsidTr="006F2C89">
        <w:trPr>
          <w:trHeight w:val="304"/>
        </w:trPr>
        <w:tc>
          <w:tcPr>
            <w:tcW w:w="935" w:type="dxa"/>
            <w:noWrap/>
            <w:hideMark/>
          </w:tcPr>
          <w:p w14:paraId="1150E8B7" w14:textId="77777777" w:rsidR="002C063B" w:rsidRPr="005E4BEA" w:rsidRDefault="002C063B" w:rsidP="006F2C89">
            <w:pPr>
              <w:autoSpaceDE w:val="0"/>
              <w:autoSpaceDN w:val="0"/>
              <w:adjustRightInd w:val="0"/>
              <w:spacing w:line="0" w:lineRule="atLeast"/>
              <w:jc w:val="both"/>
              <w:rPr>
                <w:rFonts w:eastAsia="Arial Narrow" w:cs="Arial"/>
                <w:b/>
                <w:bCs/>
                <w:szCs w:val="20"/>
              </w:rPr>
            </w:pPr>
          </w:p>
        </w:tc>
        <w:tc>
          <w:tcPr>
            <w:tcW w:w="2206" w:type="dxa"/>
            <w:noWrap/>
            <w:hideMark/>
          </w:tcPr>
          <w:p w14:paraId="67FC6602"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3103" w:type="dxa"/>
            <w:noWrap/>
            <w:hideMark/>
          </w:tcPr>
          <w:p w14:paraId="58E23709" w14:textId="77777777" w:rsidR="002C063B" w:rsidRPr="005E4BEA" w:rsidRDefault="002C063B" w:rsidP="006F2C89">
            <w:pPr>
              <w:autoSpaceDE w:val="0"/>
              <w:autoSpaceDN w:val="0"/>
              <w:adjustRightInd w:val="0"/>
              <w:spacing w:line="0" w:lineRule="atLeast"/>
              <w:jc w:val="both"/>
              <w:rPr>
                <w:rFonts w:eastAsia="Arial Narrow" w:cs="Arial"/>
                <w:szCs w:val="20"/>
              </w:rPr>
            </w:pPr>
          </w:p>
        </w:tc>
        <w:tc>
          <w:tcPr>
            <w:tcW w:w="1039" w:type="dxa"/>
            <w:hideMark/>
          </w:tcPr>
          <w:p w14:paraId="79664C14"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OZZ</w:t>
            </w:r>
          </w:p>
        </w:tc>
        <w:tc>
          <w:tcPr>
            <w:tcW w:w="1071" w:type="dxa"/>
            <w:hideMark/>
          </w:tcPr>
          <w:p w14:paraId="6481861D"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1.072.213</w:t>
            </w:r>
          </w:p>
        </w:tc>
        <w:tc>
          <w:tcPr>
            <w:tcW w:w="1071" w:type="dxa"/>
            <w:hideMark/>
          </w:tcPr>
          <w:p w14:paraId="5802E146" w14:textId="77777777" w:rsidR="002C063B" w:rsidRPr="005E4BEA" w:rsidRDefault="002C063B" w:rsidP="006F2C89">
            <w:pPr>
              <w:autoSpaceDE w:val="0"/>
              <w:autoSpaceDN w:val="0"/>
              <w:adjustRightInd w:val="0"/>
              <w:spacing w:line="0" w:lineRule="atLeast"/>
              <w:jc w:val="both"/>
              <w:rPr>
                <w:rFonts w:eastAsia="Arial Narrow" w:cs="Arial"/>
                <w:b/>
                <w:bCs/>
                <w:szCs w:val="20"/>
              </w:rPr>
            </w:pPr>
            <w:r w:rsidRPr="005E4BEA">
              <w:rPr>
                <w:rFonts w:eastAsia="Arial Narrow" w:cs="Arial"/>
                <w:b/>
                <w:bCs/>
                <w:szCs w:val="20"/>
              </w:rPr>
              <w:t>536.106</w:t>
            </w:r>
          </w:p>
        </w:tc>
      </w:tr>
      <w:bookmarkEnd w:id="46"/>
    </w:tbl>
    <w:p w14:paraId="02AA8EF1" w14:textId="77777777" w:rsidR="002C063B" w:rsidRPr="005E4BEA" w:rsidRDefault="002C063B" w:rsidP="002C063B">
      <w:pPr>
        <w:autoSpaceDE w:val="0"/>
        <w:autoSpaceDN w:val="0"/>
        <w:adjustRightInd w:val="0"/>
        <w:spacing w:line="0" w:lineRule="atLeast"/>
        <w:jc w:val="both"/>
        <w:rPr>
          <w:rFonts w:eastAsia="Arial Narrow" w:cs="Arial"/>
          <w:szCs w:val="20"/>
        </w:rPr>
      </w:pPr>
    </w:p>
    <w:p w14:paraId="643A5FE8" w14:textId="77777777" w:rsidR="002C063B" w:rsidRPr="005E4BEA" w:rsidRDefault="002C063B" w:rsidP="002C063B">
      <w:pPr>
        <w:autoSpaceDE w:val="0"/>
        <w:autoSpaceDN w:val="0"/>
        <w:adjustRightInd w:val="0"/>
        <w:spacing w:line="0" w:lineRule="atLeast"/>
        <w:jc w:val="both"/>
        <w:rPr>
          <w:rFonts w:eastAsia="Arial Narrow" w:cs="Arial"/>
          <w:szCs w:val="20"/>
        </w:rPr>
      </w:pPr>
    </w:p>
    <w:p w14:paraId="2E7E4100" w14:textId="77777777" w:rsidR="002C063B" w:rsidRPr="005E4BEA" w:rsidRDefault="002C063B" w:rsidP="002C063B">
      <w:pPr>
        <w:autoSpaceDE w:val="0"/>
        <w:autoSpaceDN w:val="0"/>
        <w:adjustRightInd w:val="0"/>
        <w:spacing w:line="0" w:lineRule="atLeast"/>
        <w:jc w:val="both"/>
        <w:rPr>
          <w:rFonts w:eastAsia="Arial Narrow" w:cs="Arial"/>
          <w:szCs w:val="20"/>
        </w:rPr>
      </w:pPr>
    </w:p>
    <w:p w14:paraId="4AB171E4" w14:textId="569FD146" w:rsidR="00BE5D1E" w:rsidRPr="005E4BEA" w:rsidRDefault="00BE5D1E"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(50)</w:t>
      </w:r>
    </w:p>
    <w:p w14:paraId="146B2633" w14:textId="77777777" w:rsidR="00BE5D1E" w:rsidRPr="005E4BEA" w:rsidRDefault="00BE5D1E" w:rsidP="00BE5D1E">
      <w:pPr>
        <w:spacing w:line="240" w:lineRule="auto"/>
        <w:jc w:val="both"/>
        <w:rPr>
          <w:rFonts w:cs="Arial"/>
          <w:i/>
          <w:iCs/>
          <w:color w:val="808080" w:themeColor="background1" w:themeShade="80"/>
          <w:szCs w:val="20"/>
        </w:rPr>
      </w:pPr>
    </w:p>
    <w:p w14:paraId="7110BE37" w14:textId="04720CE6" w:rsidR="00FE461F" w:rsidRPr="005E4BEA" w:rsidRDefault="00BE5D1E" w:rsidP="00FE461F">
      <w:pPr>
        <w:spacing w:line="240" w:lineRule="auto"/>
        <w:jc w:val="both"/>
        <w:rPr>
          <w:rFonts w:cs="Arial"/>
          <w:i/>
          <w:color w:val="808080" w:themeColor="background1" w:themeShade="80"/>
          <w:szCs w:val="20"/>
        </w:rPr>
      </w:pPr>
      <w:r w:rsidRPr="005E4BEA">
        <w:rPr>
          <w:rFonts w:cs="Arial"/>
          <w:b/>
          <w:bCs/>
          <w:szCs w:val="20"/>
        </w:rPr>
        <w:t xml:space="preserve">Združenje zdravstvenih zavodov Slovenije </w:t>
      </w:r>
      <w:r w:rsidRPr="005E4BEA">
        <w:rPr>
          <w:rFonts w:cs="Arial"/>
          <w:szCs w:val="20"/>
        </w:rPr>
        <w:t xml:space="preserve">predlaga, </w:t>
      </w:r>
      <w:bookmarkStart w:id="47" w:name="_Hlk102548256"/>
      <w:r w:rsidRPr="005E4BEA">
        <w:rPr>
          <w:rFonts w:cs="Arial"/>
          <w:szCs w:val="20"/>
        </w:rPr>
        <w:t xml:space="preserve">da se v </w:t>
      </w:r>
      <w:r w:rsidR="00FE461F" w:rsidRPr="005E4BEA">
        <w:rPr>
          <w:rFonts w:cs="Arial"/>
          <w:szCs w:val="20"/>
        </w:rPr>
        <w:t xml:space="preserve">24. členu v (6) odstavku </w:t>
      </w:r>
      <w:r w:rsidRPr="005E4BEA">
        <w:rPr>
          <w:rFonts w:cs="Arial"/>
          <w:szCs w:val="20"/>
        </w:rPr>
        <w:t>z</w:t>
      </w:r>
      <w:r w:rsidR="00FE461F" w:rsidRPr="005E4BEA">
        <w:rPr>
          <w:rFonts w:cs="Arial"/>
          <w:szCs w:val="20"/>
        </w:rPr>
        <w:t>a nujne širitve programov oziroma uvajanje novih terapij pri zdravljenju v okviru prvega in drugega odstavka tega člena načrtujejo dodatna sredstva:</w:t>
      </w:r>
    </w:p>
    <w:p w14:paraId="2A5E45FC" w14:textId="77777777" w:rsidR="00FE461F" w:rsidRPr="005E4BEA" w:rsidRDefault="00FE461F" w:rsidP="00FE461F">
      <w:pPr>
        <w:spacing w:line="240" w:lineRule="auto"/>
        <w:jc w:val="both"/>
        <w:rPr>
          <w:rFonts w:cs="Arial"/>
          <w:b/>
          <w:bCs/>
          <w:szCs w:val="20"/>
        </w:rPr>
      </w:pPr>
    </w:p>
    <w:tbl>
      <w:tblPr>
        <w:tblW w:w="9339" w:type="dxa"/>
        <w:tblCellMar>
          <w:left w:w="70" w:type="dxa"/>
          <w:right w:w="70" w:type="dxa"/>
        </w:tblCellMar>
        <w:tblLook w:val="04A0" w:firstRow="1" w:lastRow="0" w:firstColumn="1" w:lastColumn="0" w:noHBand="0" w:noVBand="1"/>
      </w:tblPr>
      <w:tblGrid>
        <w:gridCol w:w="2178"/>
        <w:gridCol w:w="2409"/>
        <w:gridCol w:w="1584"/>
        <w:gridCol w:w="1584"/>
        <w:gridCol w:w="1584"/>
      </w:tblGrid>
      <w:tr w:rsidR="00FE461F" w:rsidRPr="005E4BEA" w14:paraId="1FCF8799" w14:textId="77777777" w:rsidTr="0016774B">
        <w:trPr>
          <w:trHeight w:val="588"/>
        </w:trPr>
        <w:tc>
          <w:tcPr>
            <w:tcW w:w="2178" w:type="dxa"/>
            <w:tcBorders>
              <w:top w:val="single" w:sz="4" w:space="0" w:color="auto"/>
              <w:left w:val="single" w:sz="4" w:space="0" w:color="auto"/>
              <w:bottom w:val="single" w:sz="4" w:space="0" w:color="auto"/>
              <w:right w:val="single" w:sz="4" w:space="0" w:color="auto"/>
            </w:tcBorders>
            <w:shd w:val="clear" w:color="000000" w:fill="8EAADB"/>
            <w:vAlign w:val="center"/>
            <w:hideMark/>
          </w:tcPr>
          <w:p w14:paraId="7DAF8DB7"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P r o g r a m</w:t>
            </w:r>
          </w:p>
        </w:tc>
        <w:tc>
          <w:tcPr>
            <w:tcW w:w="2409" w:type="dxa"/>
            <w:tcBorders>
              <w:top w:val="single" w:sz="4" w:space="0" w:color="auto"/>
              <w:left w:val="nil"/>
              <w:bottom w:val="single" w:sz="4" w:space="0" w:color="auto"/>
              <w:right w:val="single" w:sz="4" w:space="0" w:color="auto"/>
            </w:tcBorders>
            <w:shd w:val="clear" w:color="000000" w:fill="8EAADB"/>
            <w:noWrap/>
            <w:vAlign w:val="center"/>
            <w:hideMark/>
          </w:tcPr>
          <w:p w14:paraId="52DC9606"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I z v a j a l e c</w:t>
            </w:r>
          </w:p>
        </w:tc>
        <w:tc>
          <w:tcPr>
            <w:tcW w:w="1584" w:type="dxa"/>
            <w:tcBorders>
              <w:top w:val="single" w:sz="4" w:space="0" w:color="auto"/>
              <w:left w:val="nil"/>
              <w:bottom w:val="single" w:sz="4" w:space="0" w:color="auto"/>
              <w:right w:val="single" w:sz="4" w:space="0" w:color="auto"/>
            </w:tcBorders>
            <w:shd w:val="clear" w:color="000000" w:fill="8EAADB"/>
            <w:vAlign w:val="center"/>
            <w:hideMark/>
          </w:tcPr>
          <w:p w14:paraId="7374376C"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Obseg programa</w:t>
            </w:r>
          </w:p>
        </w:tc>
        <w:tc>
          <w:tcPr>
            <w:tcW w:w="1584" w:type="dxa"/>
            <w:tcBorders>
              <w:top w:val="single" w:sz="4" w:space="0" w:color="auto"/>
              <w:left w:val="nil"/>
              <w:bottom w:val="single" w:sz="4" w:space="0" w:color="auto"/>
              <w:right w:val="single" w:sz="4" w:space="0" w:color="auto"/>
            </w:tcBorders>
            <w:shd w:val="clear" w:color="000000" w:fill="8EAADB"/>
            <w:vAlign w:val="center"/>
            <w:hideMark/>
          </w:tcPr>
          <w:p w14:paraId="4C7F22DE"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Dodatna sredstva na letni ravni</w:t>
            </w:r>
          </w:p>
        </w:tc>
        <w:tc>
          <w:tcPr>
            <w:tcW w:w="1584" w:type="dxa"/>
            <w:tcBorders>
              <w:top w:val="single" w:sz="4" w:space="0" w:color="auto"/>
              <w:left w:val="nil"/>
              <w:bottom w:val="single" w:sz="4" w:space="0" w:color="auto"/>
              <w:right w:val="single" w:sz="4" w:space="0" w:color="auto"/>
            </w:tcBorders>
            <w:shd w:val="clear" w:color="000000" w:fill="8EAADB"/>
            <w:vAlign w:val="center"/>
            <w:hideMark/>
          </w:tcPr>
          <w:p w14:paraId="44698992"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Dodatna sredstva od 1.7.2022</w:t>
            </w:r>
          </w:p>
        </w:tc>
      </w:tr>
      <w:tr w:rsidR="00FE461F" w:rsidRPr="005E4BEA" w14:paraId="203BA521"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7791BF16"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2D5CAC46" w14:textId="77777777" w:rsidR="00FE461F" w:rsidRPr="005E4BEA" w:rsidRDefault="00FE461F" w:rsidP="00FE461F">
            <w:pPr>
              <w:spacing w:line="240" w:lineRule="auto"/>
              <w:rPr>
                <w:rFonts w:cs="Arial"/>
                <w:szCs w:val="20"/>
              </w:rPr>
            </w:pPr>
            <w:r w:rsidRPr="005E4BEA">
              <w:rPr>
                <w:rFonts w:cs="Arial"/>
                <w:szCs w:val="20"/>
              </w:rPr>
              <w:t>ZD CELJE</w:t>
            </w:r>
          </w:p>
        </w:tc>
        <w:tc>
          <w:tcPr>
            <w:tcW w:w="1584" w:type="dxa"/>
            <w:tcBorders>
              <w:top w:val="nil"/>
              <w:left w:val="nil"/>
              <w:bottom w:val="single" w:sz="4" w:space="0" w:color="auto"/>
              <w:right w:val="single" w:sz="4" w:space="0" w:color="auto"/>
            </w:tcBorders>
            <w:shd w:val="clear" w:color="000000" w:fill="FFFFFF"/>
            <w:vAlign w:val="bottom"/>
            <w:hideMark/>
          </w:tcPr>
          <w:p w14:paraId="5749C7E1"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4485E365" w14:textId="77777777" w:rsidR="00FE461F" w:rsidRPr="005E4BEA" w:rsidRDefault="00FE461F" w:rsidP="00FE461F">
            <w:pPr>
              <w:spacing w:line="240" w:lineRule="auto"/>
              <w:jc w:val="right"/>
              <w:rPr>
                <w:rFonts w:cs="Arial"/>
                <w:szCs w:val="20"/>
              </w:rPr>
            </w:pPr>
            <w:r w:rsidRPr="005E4BEA">
              <w:rPr>
                <w:rFonts w:cs="Arial"/>
                <w:szCs w:val="20"/>
              </w:rPr>
              <w:t xml:space="preserve">           35.278 </w:t>
            </w:r>
          </w:p>
        </w:tc>
        <w:tc>
          <w:tcPr>
            <w:tcW w:w="1584" w:type="dxa"/>
            <w:tcBorders>
              <w:top w:val="nil"/>
              <w:left w:val="nil"/>
              <w:bottom w:val="single" w:sz="4" w:space="0" w:color="auto"/>
              <w:right w:val="single" w:sz="4" w:space="0" w:color="auto"/>
            </w:tcBorders>
            <w:shd w:val="clear" w:color="000000" w:fill="FFFFFF"/>
            <w:vAlign w:val="bottom"/>
            <w:hideMark/>
          </w:tcPr>
          <w:p w14:paraId="5F717FAB" w14:textId="77777777" w:rsidR="00FE461F" w:rsidRPr="005E4BEA" w:rsidRDefault="00FE461F" w:rsidP="00FE461F">
            <w:pPr>
              <w:spacing w:line="240" w:lineRule="auto"/>
              <w:jc w:val="right"/>
              <w:rPr>
                <w:rFonts w:cs="Arial"/>
                <w:szCs w:val="20"/>
              </w:rPr>
            </w:pPr>
            <w:r w:rsidRPr="005E4BEA">
              <w:rPr>
                <w:rFonts w:cs="Arial"/>
                <w:szCs w:val="20"/>
              </w:rPr>
              <w:t xml:space="preserve">           17.639 </w:t>
            </w:r>
          </w:p>
        </w:tc>
      </w:tr>
      <w:tr w:rsidR="00FE461F" w:rsidRPr="005E4BEA" w14:paraId="3CD10D1B"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2B3AACF2"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05097E1C" w14:textId="77777777" w:rsidR="00FE461F" w:rsidRPr="005E4BEA" w:rsidRDefault="00FE461F" w:rsidP="00FE461F">
            <w:pPr>
              <w:spacing w:line="240" w:lineRule="auto"/>
              <w:rPr>
                <w:rFonts w:cs="Arial"/>
                <w:szCs w:val="20"/>
              </w:rPr>
            </w:pPr>
            <w:r w:rsidRPr="005E4BEA">
              <w:rPr>
                <w:rFonts w:cs="Arial"/>
                <w:szCs w:val="20"/>
              </w:rPr>
              <w:t xml:space="preserve">ZD POSTOJNA </w:t>
            </w:r>
          </w:p>
        </w:tc>
        <w:tc>
          <w:tcPr>
            <w:tcW w:w="1584" w:type="dxa"/>
            <w:tcBorders>
              <w:top w:val="nil"/>
              <w:left w:val="nil"/>
              <w:bottom w:val="single" w:sz="4" w:space="0" w:color="auto"/>
              <w:right w:val="single" w:sz="4" w:space="0" w:color="auto"/>
            </w:tcBorders>
            <w:shd w:val="clear" w:color="000000" w:fill="FFFFFF"/>
            <w:vAlign w:val="bottom"/>
            <w:hideMark/>
          </w:tcPr>
          <w:p w14:paraId="5837A281" w14:textId="77777777" w:rsidR="00FE461F" w:rsidRPr="005E4BEA" w:rsidRDefault="00FE461F" w:rsidP="00FE461F">
            <w:pPr>
              <w:spacing w:line="240" w:lineRule="auto"/>
              <w:jc w:val="right"/>
              <w:rPr>
                <w:rFonts w:cs="Arial"/>
                <w:szCs w:val="20"/>
              </w:rPr>
            </w:pPr>
            <w:r w:rsidRPr="005E4BEA">
              <w:rPr>
                <w:rFonts w:cs="Arial"/>
                <w:szCs w:val="20"/>
              </w:rPr>
              <w:t>1,88</w:t>
            </w:r>
          </w:p>
        </w:tc>
        <w:tc>
          <w:tcPr>
            <w:tcW w:w="1584" w:type="dxa"/>
            <w:tcBorders>
              <w:top w:val="nil"/>
              <w:left w:val="nil"/>
              <w:bottom w:val="single" w:sz="4" w:space="0" w:color="auto"/>
              <w:right w:val="single" w:sz="4" w:space="0" w:color="auto"/>
            </w:tcBorders>
            <w:shd w:val="clear" w:color="000000" w:fill="FFFFFF"/>
            <w:vAlign w:val="bottom"/>
            <w:hideMark/>
          </w:tcPr>
          <w:p w14:paraId="696220C1" w14:textId="77777777" w:rsidR="00FE461F" w:rsidRPr="005E4BEA" w:rsidRDefault="00FE461F" w:rsidP="00FE461F">
            <w:pPr>
              <w:spacing w:line="240" w:lineRule="auto"/>
              <w:jc w:val="right"/>
              <w:rPr>
                <w:rFonts w:cs="Arial"/>
                <w:szCs w:val="20"/>
              </w:rPr>
            </w:pPr>
            <w:r w:rsidRPr="005E4BEA">
              <w:rPr>
                <w:rFonts w:cs="Arial"/>
                <w:szCs w:val="20"/>
              </w:rPr>
              <w:t xml:space="preserve">           76.595 </w:t>
            </w:r>
          </w:p>
        </w:tc>
        <w:tc>
          <w:tcPr>
            <w:tcW w:w="1584" w:type="dxa"/>
            <w:tcBorders>
              <w:top w:val="nil"/>
              <w:left w:val="nil"/>
              <w:bottom w:val="single" w:sz="4" w:space="0" w:color="auto"/>
              <w:right w:val="single" w:sz="4" w:space="0" w:color="auto"/>
            </w:tcBorders>
            <w:shd w:val="clear" w:color="000000" w:fill="FFFFFF"/>
            <w:vAlign w:val="bottom"/>
            <w:hideMark/>
          </w:tcPr>
          <w:p w14:paraId="748F698C" w14:textId="77777777" w:rsidR="00FE461F" w:rsidRPr="005E4BEA" w:rsidRDefault="00FE461F" w:rsidP="00FE461F">
            <w:pPr>
              <w:spacing w:line="240" w:lineRule="auto"/>
              <w:jc w:val="right"/>
              <w:rPr>
                <w:rFonts w:cs="Arial"/>
                <w:szCs w:val="20"/>
              </w:rPr>
            </w:pPr>
            <w:r w:rsidRPr="005E4BEA">
              <w:rPr>
                <w:rFonts w:cs="Arial"/>
                <w:szCs w:val="20"/>
              </w:rPr>
              <w:t xml:space="preserve">           38.298 </w:t>
            </w:r>
          </w:p>
        </w:tc>
      </w:tr>
      <w:tr w:rsidR="00FE461F" w:rsidRPr="005E4BEA" w14:paraId="5BE6C89E" w14:textId="77777777" w:rsidTr="0016774B">
        <w:trPr>
          <w:trHeight w:val="275"/>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3AF0985B"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3B11A2D7" w14:textId="77777777" w:rsidR="00FE461F" w:rsidRPr="005E4BEA" w:rsidRDefault="00FE461F" w:rsidP="00FE461F">
            <w:pPr>
              <w:spacing w:line="240" w:lineRule="auto"/>
              <w:rPr>
                <w:rFonts w:cs="Arial"/>
                <w:szCs w:val="20"/>
              </w:rPr>
            </w:pPr>
            <w:r w:rsidRPr="005E4BEA">
              <w:rPr>
                <w:rFonts w:cs="Arial"/>
                <w:szCs w:val="20"/>
              </w:rPr>
              <w:t xml:space="preserve">ZD SLOVENJ GRADEC </w:t>
            </w:r>
          </w:p>
        </w:tc>
        <w:tc>
          <w:tcPr>
            <w:tcW w:w="1584" w:type="dxa"/>
            <w:tcBorders>
              <w:top w:val="nil"/>
              <w:left w:val="nil"/>
              <w:bottom w:val="single" w:sz="4" w:space="0" w:color="auto"/>
              <w:right w:val="single" w:sz="4" w:space="0" w:color="auto"/>
            </w:tcBorders>
            <w:shd w:val="clear" w:color="000000" w:fill="FFFFFF"/>
            <w:vAlign w:val="bottom"/>
            <w:hideMark/>
          </w:tcPr>
          <w:p w14:paraId="2EA0EC65" w14:textId="77777777" w:rsidR="00FE461F" w:rsidRPr="005E4BEA" w:rsidRDefault="00FE461F" w:rsidP="00FE461F">
            <w:pPr>
              <w:spacing w:line="240" w:lineRule="auto"/>
              <w:jc w:val="right"/>
              <w:rPr>
                <w:rFonts w:cs="Arial"/>
                <w:szCs w:val="20"/>
              </w:rPr>
            </w:pPr>
            <w:r w:rsidRPr="005E4BEA">
              <w:rPr>
                <w:rFonts w:cs="Arial"/>
                <w:szCs w:val="20"/>
              </w:rPr>
              <w:t>2,00</w:t>
            </w:r>
          </w:p>
        </w:tc>
        <w:tc>
          <w:tcPr>
            <w:tcW w:w="1584" w:type="dxa"/>
            <w:tcBorders>
              <w:top w:val="nil"/>
              <w:left w:val="nil"/>
              <w:bottom w:val="single" w:sz="4" w:space="0" w:color="auto"/>
              <w:right w:val="single" w:sz="4" w:space="0" w:color="auto"/>
            </w:tcBorders>
            <w:shd w:val="clear" w:color="000000" w:fill="FFFFFF"/>
            <w:vAlign w:val="bottom"/>
            <w:hideMark/>
          </w:tcPr>
          <w:p w14:paraId="6E99B3CF" w14:textId="77777777" w:rsidR="00FE461F" w:rsidRPr="005E4BEA" w:rsidRDefault="00FE461F" w:rsidP="00FE461F">
            <w:pPr>
              <w:spacing w:line="240" w:lineRule="auto"/>
              <w:jc w:val="right"/>
              <w:rPr>
                <w:rFonts w:cs="Arial"/>
                <w:szCs w:val="20"/>
              </w:rPr>
            </w:pPr>
            <w:r w:rsidRPr="005E4BEA">
              <w:rPr>
                <w:rFonts w:cs="Arial"/>
                <w:szCs w:val="20"/>
              </w:rPr>
              <w:t xml:space="preserve">           70.556 </w:t>
            </w:r>
          </w:p>
        </w:tc>
        <w:tc>
          <w:tcPr>
            <w:tcW w:w="1584" w:type="dxa"/>
            <w:tcBorders>
              <w:top w:val="nil"/>
              <w:left w:val="nil"/>
              <w:bottom w:val="single" w:sz="4" w:space="0" w:color="auto"/>
              <w:right w:val="single" w:sz="4" w:space="0" w:color="auto"/>
            </w:tcBorders>
            <w:shd w:val="clear" w:color="000000" w:fill="FFFFFF"/>
            <w:vAlign w:val="bottom"/>
            <w:hideMark/>
          </w:tcPr>
          <w:p w14:paraId="1993F33A" w14:textId="77777777" w:rsidR="00FE461F" w:rsidRPr="005E4BEA" w:rsidRDefault="00FE461F" w:rsidP="00FE461F">
            <w:pPr>
              <w:spacing w:line="240" w:lineRule="auto"/>
              <w:jc w:val="right"/>
              <w:rPr>
                <w:rFonts w:cs="Arial"/>
                <w:szCs w:val="20"/>
              </w:rPr>
            </w:pPr>
            <w:r w:rsidRPr="005E4BEA">
              <w:rPr>
                <w:rFonts w:cs="Arial"/>
                <w:szCs w:val="20"/>
              </w:rPr>
              <w:t xml:space="preserve">           35.278 </w:t>
            </w:r>
          </w:p>
        </w:tc>
      </w:tr>
      <w:tr w:rsidR="00FE461F" w:rsidRPr="005E4BEA" w14:paraId="4BEAC4D9"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3FAB395A"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26C41760" w14:textId="77777777" w:rsidR="00FE461F" w:rsidRPr="005E4BEA" w:rsidRDefault="00FE461F" w:rsidP="00FE461F">
            <w:pPr>
              <w:spacing w:line="240" w:lineRule="auto"/>
              <w:rPr>
                <w:rFonts w:cs="Arial"/>
                <w:szCs w:val="20"/>
              </w:rPr>
            </w:pPr>
            <w:r w:rsidRPr="005E4BEA">
              <w:rPr>
                <w:rFonts w:cs="Arial"/>
                <w:szCs w:val="20"/>
              </w:rPr>
              <w:t>OZG KRANJ</w:t>
            </w:r>
          </w:p>
        </w:tc>
        <w:tc>
          <w:tcPr>
            <w:tcW w:w="1584" w:type="dxa"/>
            <w:tcBorders>
              <w:top w:val="nil"/>
              <w:left w:val="nil"/>
              <w:bottom w:val="single" w:sz="4" w:space="0" w:color="auto"/>
              <w:right w:val="single" w:sz="4" w:space="0" w:color="auto"/>
            </w:tcBorders>
            <w:shd w:val="clear" w:color="000000" w:fill="FFFFFF"/>
            <w:vAlign w:val="bottom"/>
            <w:hideMark/>
          </w:tcPr>
          <w:p w14:paraId="4BC18402" w14:textId="77777777" w:rsidR="00FE461F" w:rsidRPr="005E4BEA" w:rsidRDefault="00FE461F" w:rsidP="00FE461F">
            <w:pPr>
              <w:spacing w:line="240" w:lineRule="auto"/>
              <w:jc w:val="right"/>
              <w:rPr>
                <w:rFonts w:cs="Arial"/>
                <w:szCs w:val="20"/>
              </w:rPr>
            </w:pPr>
            <w:r w:rsidRPr="005E4BEA">
              <w:rPr>
                <w:rFonts w:cs="Arial"/>
                <w:szCs w:val="20"/>
              </w:rPr>
              <w:t>6,00</w:t>
            </w:r>
          </w:p>
        </w:tc>
        <w:tc>
          <w:tcPr>
            <w:tcW w:w="1584" w:type="dxa"/>
            <w:tcBorders>
              <w:top w:val="nil"/>
              <w:left w:val="nil"/>
              <w:bottom w:val="single" w:sz="4" w:space="0" w:color="auto"/>
              <w:right w:val="single" w:sz="4" w:space="0" w:color="auto"/>
            </w:tcBorders>
            <w:shd w:val="clear" w:color="000000" w:fill="FFFFFF"/>
            <w:vAlign w:val="bottom"/>
            <w:hideMark/>
          </w:tcPr>
          <w:p w14:paraId="59F21B2A" w14:textId="77777777" w:rsidR="00FE461F" w:rsidRPr="005E4BEA" w:rsidRDefault="00FE461F" w:rsidP="00FE461F">
            <w:pPr>
              <w:spacing w:line="240" w:lineRule="auto"/>
              <w:jc w:val="right"/>
              <w:rPr>
                <w:rFonts w:cs="Arial"/>
                <w:szCs w:val="20"/>
              </w:rPr>
            </w:pPr>
            <w:r w:rsidRPr="005E4BEA">
              <w:rPr>
                <w:rFonts w:cs="Arial"/>
                <w:szCs w:val="20"/>
              </w:rPr>
              <w:t xml:space="preserve">         244.454 </w:t>
            </w:r>
          </w:p>
        </w:tc>
        <w:tc>
          <w:tcPr>
            <w:tcW w:w="1584" w:type="dxa"/>
            <w:tcBorders>
              <w:top w:val="nil"/>
              <w:left w:val="nil"/>
              <w:bottom w:val="single" w:sz="4" w:space="0" w:color="auto"/>
              <w:right w:val="single" w:sz="4" w:space="0" w:color="auto"/>
            </w:tcBorders>
            <w:shd w:val="clear" w:color="000000" w:fill="FFFFFF"/>
            <w:vAlign w:val="bottom"/>
            <w:hideMark/>
          </w:tcPr>
          <w:p w14:paraId="3808FD50" w14:textId="77777777" w:rsidR="00FE461F" w:rsidRPr="005E4BEA" w:rsidRDefault="00FE461F" w:rsidP="00FE461F">
            <w:pPr>
              <w:spacing w:line="240" w:lineRule="auto"/>
              <w:jc w:val="right"/>
              <w:rPr>
                <w:rFonts w:cs="Arial"/>
                <w:szCs w:val="20"/>
              </w:rPr>
            </w:pPr>
            <w:r w:rsidRPr="005E4BEA">
              <w:rPr>
                <w:rFonts w:cs="Arial"/>
                <w:szCs w:val="20"/>
              </w:rPr>
              <w:t xml:space="preserve">         122.227 </w:t>
            </w:r>
          </w:p>
        </w:tc>
      </w:tr>
      <w:tr w:rsidR="00FE461F" w:rsidRPr="005E4BEA" w14:paraId="5407FFFF"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088E8A0F" w14:textId="77777777" w:rsidR="00FE461F" w:rsidRPr="005E4BEA" w:rsidRDefault="00FE461F" w:rsidP="00FE461F">
            <w:pPr>
              <w:spacing w:line="240" w:lineRule="auto"/>
              <w:rPr>
                <w:rFonts w:cs="Arial"/>
                <w:szCs w:val="20"/>
              </w:rPr>
            </w:pPr>
            <w:r w:rsidRPr="005E4BEA">
              <w:rPr>
                <w:rFonts w:cs="Arial"/>
                <w:szCs w:val="20"/>
              </w:rPr>
              <w:t xml:space="preserve">FIZIOTERPIJA </w:t>
            </w:r>
          </w:p>
        </w:tc>
        <w:tc>
          <w:tcPr>
            <w:tcW w:w="2409" w:type="dxa"/>
            <w:tcBorders>
              <w:top w:val="nil"/>
              <w:left w:val="nil"/>
              <w:bottom w:val="single" w:sz="4" w:space="0" w:color="auto"/>
              <w:right w:val="single" w:sz="4" w:space="0" w:color="auto"/>
            </w:tcBorders>
            <w:shd w:val="clear" w:color="000000" w:fill="FFFFFF"/>
            <w:vAlign w:val="bottom"/>
            <w:hideMark/>
          </w:tcPr>
          <w:p w14:paraId="5F531107" w14:textId="77777777" w:rsidR="00FE461F" w:rsidRPr="005E4BEA" w:rsidRDefault="00FE461F" w:rsidP="00FE461F">
            <w:pPr>
              <w:spacing w:line="240" w:lineRule="auto"/>
              <w:rPr>
                <w:rFonts w:cs="Arial"/>
                <w:szCs w:val="20"/>
              </w:rPr>
            </w:pPr>
            <w:r w:rsidRPr="005E4BEA">
              <w:rPr>
                <w:rFonts w:cs="Arial"/>
                <w:szCs w:val="20"/>
              </w:rPr>
              <w:t xml:space="preserve">ZD HRASTNIK </w:t>
            </w:r>
          </w:p>
        </w:tc>
        <w:tc>
          <w:tcPr>
            <w:tcW w:w="1584" w:type="dxa"/>
            <w:tcBorders>
              <w:top w:val="nil"/>
              <w:left w:val="nil"/>
              <w:bottom w:val="single" w:sz="4" w:space="0" w:color="auto"/>
              <w:right w:val="single" w:sz="4" w:space="0" w:color="auto"/>
            </w:tcBorders>
            <w:shd w:val="clear" w:color="000000" w:fill="FFFFFF"/>
            <w:vAlign w:val="bottom"/>
            <w:hideMark/>
          </w:tcPr>
          <w:p w14:paraId="10C1207F" w14:textId="77777777" w:rsidR="00FE461F" w:rsidRPr="005E4BEA" w:rsidRDefault="00FE461F" w:rsidP="00FE461F">
            <w:pPr>
              <w:spacing w:line="240" w:lineRule="auto"/>
              <w:jc w:val="right"/>
              <w:rPr>
                <w:rFonts w:cs="Arial"/>
                <w:szCs w:val="20"/>
              </w:rPr>
            </w:pPr>
            <w:r w:rsidRPr="005E4BEA">
              <w:rPr>
                <w:rFonts w:cs="Arial"/>
                <w:szCs w:val="20"/>
              </w:rPr>
              <w:t>0,60</w:t>
            </w:r>
          </w:p>
        </w:tc>
        <w:tc>
          <w:tcPr>
            <w:tcW w:w="1584" w:type="dxa"/>
            <w:tcBorders>
              <w:top w:val="nil"/>
              <w:left w:val="nil"/>
              <w:bottom w:val="single" w:sz="4" w:space="0" w:color="auto"/>
              <w:right w:val="single" w:sz="4" w:space="0" w:color="auto"/>
            </w:tcBorders>
            <w:shd w:val="clear" w:color="000000" w:fill="FFFFFF"/>
            <w:vAlign w:val="bottom"/>
            <w:hideMark/>
          </w:tcPr>
          <w:p w14:paraId="5C0871A4" w14:textId="77777777" w:rsidR="00FE461F" w:rsidRPr="005E4BEA" w:rsidRDefault="00FE461F" w:rsidP="00FE461F">
            <w:pPr>
              <w:spacing w:line="240" w:lineRule="auto"/>
              <w:jc w:val="right"/>
              <w:rPr>
                <w:rFonts w:cs="Arial"/>
                <w:szCs w:val="20"/>
              </w:rPr>
            </w:pPr>
            <w:r w:rsidRPr="005E4BEA">
              <w:rPr>
                <w:rFonts w:cs="Arial"/>
                <w:szCs w:val="20"/>
              </w:rPr>
              <w:t xml:space="preserve">           24.445 </w:t>
            </w:r>
          </w:p>
        </w:tc>
        <w:tc>
          <w:tcPr>
            <w:tcW w:w="1584" w:type="dxa"/>
            <w:tcBorders>
              <w:top w:val="nil"/>
              <w:left w:val="nil"/>
              <w:bottom w:val="single" w:sz="4" w:space="0" w:color="auto"/>
              <w:right w:val="single" w:sz="4" w:space="0" w:color="auto"/>
            </w:tcBorders>
            <w:shd w:val="clear" w:color="000000" w:fill="FFFFFF"/>
            <w:vAlign w:val="bottom"/>
            <w:hideMark/>
          </w:tcPr>
          <w:p w14:paraId="4AFC81AF" w14:textId="77777777" w:rsidR="00FE461F" w:rsidRPr="005E4BEA" w:rsidRDefault="00FE461F" w:rsidP="00FE461F">
            <w:pPr>
              <w:spacing w:line="240" w:lineRule="auto"/>
              <w:jc w:val="right"/>
              <w:rPr>
                <w:rFonts w:cs="Arial"/>
                <w:szCs w:val="20"/>
              </w:rPr>
            </w:pPr>
            <w:r w:rsidRPr="005E4BEA">
              <w:rPr>
                <w:rFonts w:cs="Arial"/>
                <w:szCs w:val="20"/>
              </w:rPr>
              <w:t xml:space="preserve">           12.223 </w:t>
            </w:r>
          </w:p>
        </w:tc>
      </w:tr>
      <w:tr w:rsidR="00FE461F" w:rsidRPr="005E4BEA" w14:paraId="33E0A299" w14:textId="77777777" w:rsidTr="0016774B">
        <w:trPr>
          <w:trHeight w:val="275"/>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51F4C947"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36DA9B5C" w14:textId="77777777" w:rsidR="00FE461F" w:rsidRPr="005E4BEA" w:rsidRDefault="00FE461F" w:rsidP="00FE461F">
            <w:pPr>
              <w:spacing w:line="240" w:lineRule="auto"/>
              <w:rPr>
                <w:rFonts w:cs="Arial"/>
                <w:szCs w:val="20"/>
              </w:rPr>
            </w:pPr>
            <w:r w:rsidRPr="005E4BEA">
              <w:rPr>
                <w:rFonts w:cs="Arial"/>
                <w:szCs w:val="20"/>
              </w:rPr>
              <w:t xml:space="preserve">ZD ILIRSKA BISTRICA </w:t>
            </w:r>
          </w:p>
        </w:tc>
        <w:tc>
          <w:tcPr>
            <w:tcW w:w="1584" w:type="dxa"/>
            <w:tcBorders>
              <w:top w:val="nil"/>
              <w:left w:val="nil"/>
              <w:bottom w:val="single" w:sz="4" w:space="0" w:color="auto"/>
              <w:right w:val="single" w:sz="4" w:space="0" w:color="auto"/>
            </w:tcBorders>
            <w:shd w:val="clear" w:color="000000" w:fill="FFFFFF"/>
            <w:vAlign w:val="bottom"/>
            <w:hideMark/>
          </w:tcPr>
          <w:p w14:paraId="7B86E7D8" w14:textId="77777777" w:rsidR="00FE461F" w:rsidRPr="005E4BEA" w:rsidRDefault="00FE461F" w:rsidP="00FE461F">
            <w:pPr>
              <w:spacing w:line="240" w:lineRule="auto"/>
              <w:jc w:val="right"/>
              <w:rPr>
                <w:rFonts w:cs="Arial"/>
                <w:szCs w:val="20"/>
              </w:rPr>
            </w:pPr>
            <w:r w:rsidRPr="005E4BEA">
              <w:rPr>
                <w:rFonts w:cs="Arial"/>
                <w:szCs w:val="20"/>
              </w:rPr>
              <w:t>0,50</w:t>
            </w:r>
          </w:p>
        </w:tc>
        <w:tc>
          <w:tcPr>
            <w:tcW w:w="1584" w:type="dxa"/>
            <w:tcBorders>
              <w:top w:val="nil"/>
              <w:left w:val="nil"/>
              <w:bottom w:val="single" w:sz="4" w:space="0" w:color="auto"/>
              <w:right w:val="single" w:sz="4" w:space="0" w:color="auto"/>
            </w:tcBorders>
            <w:shd w:val="clear" w:color="000000" w:fill="FFFFFF"/>
            <w:vAlign w:val="bottom"/>
            <w:hideMark/>
          </w:tcPr>
          <w:p w14:paraId="017937FE" w14:textId="77777777" w:rsidR="00FE461F" w:rsidRPr="005E4BEA" w:rsidRDefault="00FE461F" w:rsidP="00FE461F">
            <w:pPr>
              <w:spacing w:line="240" w:lineRule="auto"/>
              <w:jc w:val="right"/>
              <w:rPr>
                <w:rFonts w:cs="Arial"/>
                <w:szCs w:val="20"/>
              </w:rPr>
            </w:pPr>
            <w:r w:rsidRPr="005E4BEA">
              <w:rPr>
                <w:rFonts w:cs="Arial"/>
                <w:szCs w:val="20"/>
              </w:rPr>
              <w:t xml:space="preserve">           21.241 </w:t>
            </w:r>
          </w:p>
        </w:tc>
        <w:tc>
          <w:tcPr>
            <w:tcW w:w="1584" w:type="dxa"/>
            <w:tcBorders>
              <w:top w:val="nil"/>
              <w:left w:val="nil"/>
              <w:bottom w:val="single" w:sz="4" w:space="0" w:color="auto"/>
              <w:right w:val="single" w:sz="4" w:space="0" w:color="auto"/>
            </w:tcBorders>
            <w:shd w:val="clear" w:color="000000" w:fill="FFFFFF"/>
            <w:vAlign w:val="bottom"/>
            <w:hideMark/>
          </w:tcPr>
          <w:p w14:paraId="2265BBC1" w14:textId="77777777" w:rsidR="00FE461F" w:rsidRPr="005E4BEA" w:rsidRDefault="00FE461F" w:rsidP="00FE461F">
            <w:pPr>
              <w:spacing w:line="240" w:lineRule="auto"/>
              <w:jc w:val="right"/>
              <w:rPr>
                <w:rFonts w:cs="Arial"/>
                <w:szCs w:val="20"/>
              </w:rPr>
            </w:pPr>
            <w:r w:rsidRPr="005E4BEA">
              <w:rPr>
                <w:rFonts w:cs="Arial"/>
                <w:szCs w:val="20"/>
              </w:rPr>
              <w:t xml:space="preserve">           10.620 </w:t>
            </w:r>
          </w:p>
        </w:tc>
      </w:tr>
      <w:tr w:rsidR="00FE461F" w:rsidRPr="005E4BEA" w14:paraId="1F60E424"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4BCA9180" w14:textId="77777777" w:rsidR="00FE461F" w:rsidRPr="005E4BEA" w:rsidRDefault="00FE461F" w:rsidP="00FE461F">
            <w:pPr>
              <w:spacing w:line="240" w:lineRule="auto"/>
              <w:rPr>
                <w:rFonts w:cs="Arial"/>
                <w:szCs w:val="20"/>
              </w:rPr>
            </w:pPr>
            <w:r w:rsidRPr="005E4BEA">
              <w:rPr>
                <w:rFonts w:cs="Arial"/>
                <w:szCs w:val="20"/>
              </w:rPr>
              <w:t xml:space="preserve">FIZIOTERAPIJA </w:t>
            </w:r>
          </w:p>
        </w:tc>
        <w:tc>
          <w:tcPr>
            <w:tcW w:w="2409" w:type="dxa"/>
            <w:tcBorders>
              <w:top w:val="nil"/>
              <w:left w:val="nil"/>
              <w:bottom w:val="single" w:sz="4" w:space="0" w:color="auto"/>
              <w:right w:val="single" w:sz="4" w:space="0" w:color="auto"/>
            </w:tcBorders>
            <w:shd w:val="clear" w:color="000000" w:fill="FFFFFF"/>
            <w:vAlign w:val="bottom"/>
            <w:hideMark/>
          </w:tcPr>
          <w:p w14:paraId="353CA964" w14:textId="77777777" w:rsidR="00FE461F" w:rsidRPr="005E4BEA" w:rsidRDefault="00FE461F" w:rsidP="00FE461F">
            <w:pPr>
              <w:spacing w:line="240" w:lineRule="auto"/>
              <w:rPr>
                <w:rFonts w:cs="Arial"/>
                <w:szCs w:val="20"/>
              </w:rPr>
            </w:pPr>
            <w:r w:rsidRPr="005E4BEA">
              <w:rPr>
                <w:rFonts w:cs="Arial"/>
                <w:szCs w:val="20"/>
              </w:rPr>
              <w:t>ZD KAMNIK</w:t>
            </w:r>
          </w:p>
        </w:tc>
        <w:tc>
          <w:tcPr>
            <w:tcW w:w="1584" w:type="dxa"/>
            <w:tcBorders>
              <w:top w:val="nil"/>
              <w:left w:val="nil"/>
              <w:bottom w:val="single" w:sz="4" w:space="0" w:color="auto"/>
              <w:right w:val="single" w:sz="4" w:space="0" w:color="auto"/>
            </w:tcBorders>
            <w:shd w:val="clear" w:color="000000" w:fill="FFFFFF"/>
            <w:vAlign w:val="bottom"/>
            <w:hideMark/>
          </w:tcPr>
          <w:p w14:paraId="733B20DD"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3E68BFB0" w14:textId="77777777" w:rsidR="00FE461F" w:rsidRPr="005E4BEA" w:rsidRDefault="00FE461F" w:rsidP="00FE461F">
            <w:pPr>
              <w:spacing w:line="240" w:lineRule="auto"/>
              <w:jc w:val="right"/>
              <w:rPr>
                <w:rFonts w:cs="Arial"/>
                <w:szCs w:val="20"/>
              </w:rPr>
            </w:pPr>
            <w:r w:rsidRPr="005E4BEA">
              <w:rPr>
                <w:rFonts w:cs="Arial"/>
                <w:szCs w:val="20"/>
              </w:rPr>
              <w:t xml:space="preserve">           40.742 </w:t>
            </w:r>
          </w:p>
        </w:tc>
        <w:tc>
          <w:tcPr>
            <w:tcW w:w="1584" w:type="dxa"/>
            <w:tcBorders>
              <w:top w:val="nil"/>
              <w:left w:val="nil"/>
              <w:bottom w:val="single" w:sz="4" w:space="0" w:color="auto"/>
              <w:right w:val="single" w:sz="4" w:space="0" w:color="auto"/>
            </w:tcBorders>
            <w:shd w:val="clear" w:color="000000" w:fill="FFFFFF"/>
            <w:vAlign w:val="bottom"/>
            <w:hideMark/>
          </w:tcPr>
          <w:p w14:paraId="538E9116"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2A3D7CC5"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631D092D"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6BF5E3DA" w14:textId="77777777" w:rsidR="00FE461F" w:rsidRPr="005E4BEA" w:rsidRDefault="00FE461F" w:rsidP="00FE461F">
            <w:pPr>
              <w:spacing w:line="240" w:lineRule="auto"/>
              <w:rPr>
                <w:rFonts w:cs="Arial"/>
                <w:szCs w:val="20"/>
              </w:rPr>
            </w:pPr>
            <w:r w:rsidRPr="005E4BEA">
              <w:rPr>
                <w:rFonts w:cs="Arial"/>
                <w:szCs w:val="20"/>
              </w:rPr>
              <w:t xml:space="preserve">ZD KOČEVJE </w:t>
            </w:r>
          </w:p>
        </w:tc>
        <w:tc>
          <w:tcPr>
            <w:tcW w:w="1584" w:type="dxa"/>
            <w:tcBorders>
              <w:top w:val="nil"/>
              <w:left w:val="nil"/>
              <w:bottom w:val="single" w:sz="4" w:space="0" w:color="auto"/>
              <w:right w:val="single" w:sz="4" w:space="0" w:color="auto"/>
            </w:tcBorders>
            <w:shd w:val="clear" w:color="000000" w:fill="FFFFFF"/>
            <w:vAlign w:val="bottom"/>
            <w:hideMark/>
          </w:tcPr>
          <w:p w14:paraId="53332099" w14:textId="77777777" w:rsidR="00FE461F" w:rsidRPr="005E4BEA" w:rsidRDefault="00FE461F" w:rsidP="00FE461F">
            <w:pPr>
              <w:spacing w:line="240" w:lineRule="auto"/>
              <w:jc w:val="right"/>
              <w:rPr>
                <w:rFonts w:cs="Arial"/>
                <w:szCs w:val="20"/>
              </w:rPr>
            </w:pPr>
            <w:r w:rsidRPr="005E4BEA">
              <w:rPr>
                <w:rFonts w:cs="Arial"/>
                <w:szCs w:val="20"/>
              </w:rPr>
              <w:t>0,50</w:t>
            </w:r>
          </w:p>
        </w:tc>
        <w:tc>
          <w:tcPr>
            <w:tcW w:w="1584" w:type="dxa"/>
            <w:tcBorders>
              <w:top w:val="nil"/>
              <w:left w:val="nil"/>
              <w:bottom w:val="single" w:sz="4" w:space="0" w:color="auto"/>
              <w:right w:val="single" w:sz="4" w:space="0" w:color="auto"/>
            </w:tcBorders>
            <w:shd w:val="clear" w:color="000000" w:fill="FFFFFF"/>
            <w:vAlign w:val="bottom"/>
            <w:hideMark/>
          </w:tcPr>
          <w:p w14:paraId="6B7677E7"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c>
          <w:tcPr>
            <w:tcW w:w="1584" w:type="dxa"/>
            <w:tcBorders>
              <w:top w:val="nil"/>
              <w:left w:val="nil"/>
              <w:bottom w:val="single" w:sz="4" w:space="0" w:color="auto"/>
              <w:right w:val="single" w:sz="4" w:space="0" w:color="auto"/>
            </w:tcBorders>
            <w:shd w:val="clear" w:color="000000" w:fill="FFFFFF"/>
            <w:vAlign w:val="bottom"/>
            <w:hideMark/>
          </w:tcPr>
          <w:p w14:paraId="3AE2CF75" w14:textId="77777777" w:rsidR="00FE461F" w:rsidRPr="005E4BEA" w:rsidRDefault="00FE461F" w:rsidP="00FE461F">
            <w:pPr>
              <w:spacing w:line="240" w:lineRule="auto"/>
              <w:jc w:val="right"/>
              <w:rPr>
                <w:rFonts w:cs="Arial"/>
                <w:szCs w:val="20"/>
              </w:rPr>
            </w:pPr>
            <w:r w:rsidRPr="005E4BEA">
              <w:rPr>
                <w:rFonts w:cs="Arial"/>
                <w:szCs w:val="20"/>
              </w:rPr>
              <w:t xml:space="preserve">           10.186 </w:t>
            </w:r>
          </w:p>
        </w:tc>
      </w:tr>
      <w:tr w:rsidR="00FE461F" w:rsidRPr="005E4BEA" w14:paraId="594FEB53"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13E84D10" w14:textId="77777777" w:rsidR="00FE461F" w:rsidRPr="005E4BEA" w:rsidRDefault="00FE461F" w:rsidP="00FE461F">
            <w:pPr>
              <w:spacing w:line="240" w:lineRule="auto"/>
              <w:rPr>
                <w:rFonts w:cs="Arial"/>
                <w:szCs w:val="20"/>
              </w:rPr>
            </w:pPr>
            <w:r w:rsidRPr="005E4BEA">
              <w:rPr>
                <w:rFonts w:cs="Arial"/>
                <w:szCs w:val="20"/>
              </w:rPr>
              <w:t xml:space="preserve">FIZIOTERAPIJA </w:t>
            </w:r>
          </w:p>
        </w:tc>
        <w:tc>
          <w:tcPr>
            <w:tcW w:w="2409" w:type="dxa"/>
            <w:tcBorders>
              <w:top w:val="nil"/>
              <w:left w:val="nil"/>
              <w:bottom w:val="single" w:sz="4" w:space="0" w:color="auto"/>
              <w:right w:val="single" w:sz="4" w:space="0" w:color="auto"/>
            </w:tcBorders>
            <w:shd w:val="clear" w:color="000000" w:fill="FFFFFF"/>
            <w:vAlign w:val="bottom"/>
            <w:hideMark/>
          </w:tcPr>
          <w:p w14:paraId="51E11AD4" w14:textId="77777777" w:rsidR="00FE461F" w:rsidRPr="005E4BEA" w:rsidRDefault="00FE461F" w:rsidP="00FE461F">
            <w:pPr>
              <w:spacing w:line="240" w:lineRule="auto"/>
              <w:rPr>
                <w:rFonts w:cs="Arial"/>
                <w:szCs w:val="20"/>
              </w:rPr>
            </w:pPr>
            <w:r w:rsidRPr="005E4BEA">
              <w:rPr>
                <w:rFonts w:cs="Arial"/>
                <w:szCs w:val="20"/>
              </w:rPr>
              <w:t>ZD KOPER</w:t>
            </w:r>
          </w:p>
        </w:tc>
        <w:tc>
          <w:tcPr>
            <w:tcW w:w="1584" w:type="dxa"/>
            <w:tcBorders>
              <w:top w:val="nil"/>
              <w:left w:val="nil"/>
              <w:bottom w:val="single" w:sz="4" w:space="0" w:color="auto"/>
              <w:right w:val="single" w:sz="4" w:space="0" w:color="auto"/>
            </w:tcBorders>
            <w:shd w:val="clear" w:color="000000" w:fill="FFFFFF"/>
            <w:vAlign w:val="bottom"/>
            <w:hideMark/>
          </w:tcPr>
          <w:p w14:paraId="43CF23D0"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noWrap/>
            <w:vAlign w:val="bottom"/>
            <w:hideMark/>
          </w:tcPr>
          <w:p w14:paraId="7C9DB282" w14:textId="77777777" w:rsidR="00FE461F" w:rsidRPr="005E4BEA" w:rsidRDefault="00FE461F" w:rsidP="00FE461F">
            <w:pPr>
              <w:spacing w:line="240" w:lineRule="auto"/>
              <w:jc w:val="right"/>
              <w:rPr>
                <w:rFonts w:cs="Arial"/>
                <w:szCs w:val="20"/>
              </w:rPr>
            </w:pPr>
            <w:r w:rsidRPr="005E4BEA">
              <w:rPr>
                <w:rFonts w:cs="Arial"/>
                <w:szCs w:val="20"/>
              </w:rPr>
              <w:t>40.742</w:t>
            </w:r>
          </w:p>
        </w:tc>
        <w:tc>
          <w:tcPr>
            <w:tcW w:w="1584" w:type="dxa"/>
            <w:tcBorders>
              <w:top w:val="nil"/>
              <w:left w:val="nil"/>
              <w:bottom w:val="single" w:sz="4" w:space="0" w:color="auto"/>
              <w:right w:val="single" w:sz="4" w:space="0" w:color="auto"/>
            </w:tcBorders>
            <w:shd w:val="clear" w:color="000000" w:fill="FFFFFF"/>
            <w:vAlign w:val="bottom"/>
            <w:hideMark/>
          </w:tcPr>
          <w:p w14:paraId="48D61E29"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434A0C11"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6A03C696" w14:textId="77777777" w:rsidR="00FE461F" w:rsidRPr="005E4BEA" w:rsidRDefault="00FE461F" w:rsidP="00FE461F">
            <w:pPr>
              <w:spacing w:line="240" w:lineRule="auto"/>
              <w:rPr>
                <w:rFonts w:cs="Arial"/>
                <w:szCs w:val="20"/>
              </w:rPr>
            </w:pPr>
            <w:r w:rsidRPr="005E4BEA">
              <w:rPr>
                <w:rFonts w:cs="Arial"/>
                <w:szCs w:val="20"/>
              </w:rPr>
              <w:t xml:space="preserve">FIZIOTERAPIJA </w:t>
            </w:r>
          </w:p>
        </w:tc>
        <w:tc>
          <w:tcPr>
            <w:tcW w:w="2409" w:type="dxa"/>
            <w:tcBorders>
              <w:top w:val="nil"/>
              <w:left w:val="nil"/>
              <w:bottom w:val="single" w:sz="4" w:space="0" w:color="auto"/>
              <w:right w:val="single" w:sz="4" w:space="0" w:color="auto"/>
            </w:tcBorders>
            <w:shd w:val="clear" w:color="000000" w:fill="FFFFFF"/>
            <w:vAlign w:val="bottom"/>
            <w:hideMark/>
          </w:tcPr>
          <w:p w14:paraId="2DE656DD" w14:textId="77777777" w:rsidR="00FE461F" w:rsidRPr="005E4BEA" w:rsidRDefault="00FE461F" w:rsidP="00FE461F">
            <w:pPr>
              <w:spacing w:line="240" w:lineRule="auto"/>
              <w:rPr>
                <w:rFonts w:cs="Arial"/>
                <w:szCs w:val="20"/>
              </w:rPr>
            </w:pPr>
            <w:r w:rsidRPr="005E4BEA">
              <w:rPr>
                <w:rFonts w:cs="Arial"/>
                <w:szCs w:val="20"/>
              </w:rPr>
              <w:t>ZD LJUTOMER</w:t>
            </w:r>
          </w:p>
        </w:tc>
        <w:tc>
          <w:tcPr>
            <w:tcW w:w="1584" w:type="dxa"/>
            <w:tcBorders>
              <w:top w:val="nil"/>
              <w:left w:val="nil"/>
              <w:bottom w:val="single" w:sz="4" w:space="0" w:color="auto"/>
              <w:right w:val="single" w:sz="4" w:space="0" w:color="auto"/>
            </w:tcBorders>
            <w:shd w:val="clear" w:color="000000" w:fill="FFFFFF"/>
            <w:vAlign w:val="bottom"/>
            <w:hideMark/>
          </w:tcPr>
          <w:p w14:paraId="789F251D"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noWrap/>
            <w:vAlign w:val="bottom"/>
            <w:hideMark/>
          </w:tcPr>
          <w:p w14:paraId="0C5FB8A8" w14:textId="77777777" w:rsidR="00FE461F" w:rsidRPr="005E4BEA" w:rsidRDefault="00FE461F" w:rsidP="00FE461F">
            <w:pPr>
              <w:spacing w:line="240" w:lineRule="auto"/>
              <w:jc w:val="right"/>
              <w:rPr>
                <w:rFonts w:cs="Arial"/>
                <w:szCs w:val="20"/>
              </w:rPr>
            </w:pPr>
            <w:r w:rsidRPr="005E4BEA">
              <w:rPr>
                <w:rFonts w:cs="Arial"/>
                <w:szCs w:val="20"/>
              </w:rPr>
              <w:t>40.742</w:t>
            </w:r>
          </w:p>
        </w:tc>
        <w:tc>
          <w:tcPr>
            <w:tcW w:w="1584" w:type="dxa"/>
            <w:tcBorders>
              <w:top w:val="nil"/>
              <w:left w:val="nil"/>
              <w:bottom w:val="single" w:sz="4" w:space="0" w:color="auto"/>
              <w:right w:val="single" w:sz="4" w:space="0" w:color="auto"/>
            </w:tcBorders>
            <w:shd w:val="clear" w:color="000000" w:fill="FFFFFF"/>
            <w:vAlign w:val="bottom"/>
            <w:hideMark/>
          </w:tcPr>
          <w:p w14:paraId="4F3BC6E5"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26881F4F"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0ABDCFF4" w14:textId="77777777" w:rsidR="00FE461F" w:rsidRPr="005E4BEA" w:rsidRDefault="00FE461F" w:rsidP="00FE461F">
            <w:pPr>
              <w:spacing w:line="240" w:lineRule="auto"/>
              <w:rPr>
                <w:rFonts w:cs="Arial"/>
                <w:szCs w:val="20"/>
              </w:rPr>
            </w:pPr>
            <w:r w:rsidRPr="005E4BEA">
              <w:rPr>
                <w:rFonts w:cs="Arial"/>
                <w:szCs w:val="20"/>
              </w:rPr>
              <w:t xml:space="preserve">FIZIOTERAPIJA </w:t>
            </w:r>
          </w:p>
        </w:tc>
        <w:tc>
          <w:tcPr>
            <w:tcW w:w="2409" w:type="dxa"/>
            <w:tcBorders>
              <w:top w:val="nil"/>
              <w:left w:val="nil"/>
              <w:bottom w:val="single" w:sz="4" w:space="0" w:color="auto"/>
              <w:right w:val="single" w:sz="4" w:space="0" w:color="auto"/>
            </w:tcBorders>
            <w:shd w:val="clear" w:color="000000" w:fill="FFFFFF"/>
            <w:vAlign w:val="bottom"/>
            <w:hideMark/>
          </w:tcPr>
          <w:p w14:paraId="2EDF8D12" w14:textId="77777777" w:rsidR="00FE461F" w:rsidRPr="005E4BEA" w:rsidRDefault="00FE461F" w:rsidP="00FE461F">
            <w:pPr>
              <w:spacing w:line="240" w:lineRule="auto"/>
              <w:rPr>
                <w:rFonts w:cs="Arial"/>
                <w:szCs w:val="20"/>
              </w:rPr>
            </w:pPr>
            <w:r w:rsidRPr="005E4BEA">
              <w:rPr>
                <w:rFonts w:cs="Arial"/>
                <w:szCs w:val="20"/>
              </w:rPr>
              <w:t>ZD NAZARJE</w:t>
            </w:r>
          </w:p>
        </w:tc>
        <w:tc>
          <w:tcPr>
            <w:tcW w:w="1584" w:type="dxa"/>
            <w:tcBorders>
              <w:top w:val="nil"/>
              <w:left w:val="nil"/>
              <w:bottom w:val="single" w:sz="4" w:space="0" w:color="auto"/>
              <w:right w:val="single" w:sz="4" w:space="0" w:color="auto"/>
            </w:tcBorders>
            <w:shd w:val="clear" w:color="000000" w:fill="FFFFFF"/>
            <w:vAlign w:val="bottom"/>
            <w:hideMark/>
          </w:tcPr>
          <w:p w14:paraId="5133C5AD" w14:textId="77777777" w:rsidR="00FE461F" w:rsidRPr="005E4BEA" w:rsidRDefault="00FE461F" w:rsidP="00FE461F">
            <w:pPr>
              <w:spacing w:line="240" w:lineRule="auto"/>
              <w:jc w:val="right"/>
              <w:rPr>
                <w:rFonts w:cs="Arial"/>
                <w:szCs w:val="20"/>
              </w:rPr>
            </w:pPr>
            <w:r w:rsidRPr="005E4BEA">
              <w:rPr>
                <w:rFonts w:cs="Arial"/>
                <w:szCs w:val="20"/>
              </w:rPr>
              <w:t>0,50</w:t>
            </w:r>
          </w:p>
        </w:tc>
        <w:tc>
          <w:tcPr>
            <w:tcW w:w="1584" w:type="dxa"/>
            <w:tcBorders>
              <w:top w:val="nil"/>
              <w:left w:val="nil"/>
              <w:bottom w:val="single" w:sz="4" w:space="0" w:color="auto"/>
              <w:right w:val="single" w:sz="4" w:space="0" w:color="auto"/>
            </w:tcBorders>
            <w:shd w:val="clear" w:color="000000" w:fill="FFFFFF"/>
            <w:vAlign w:val="bottom"/>
            <w:hideMark/>
          </w:tcPr>
          <w:p w14:paraId="4A336B64"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c>
          <w:tcPr>
            <w:tcW w:w="1584" w:type="dxa"/>
            <w:tcBorders>
              <w:top w:val="nil"/>
              <w:left w:val="nil"/>
              <w:bottom w:val="single" w:sz="4" w:space="0" w:color="auto"/>
              <w:right w:val="single" w:sz="4" w:space="0" w:color="auto"/>
            </w:tcBorders>
            <w:shd w:val="clear" w:color="000000" w:fill="FFFFFF"/>
            <w:vAlign w:val="bottom"/>
            <w:hideMark/>
          </w:tcPr>
          <w:p w14:paraId="31ABCA99" w14:textId="77777777" w:rsidR="00FE461F" w:rsidRPr="005E4BEA" w:rsidRDefault="00FE461F" w:rsidP="00FE461F">
            <w:pPr>
              <w:spacing w:line="240" w:lineRule="auto"/>
              <w:jc w:val="right"/>
              <w:rPr>
                <w:rFonts w:cs="Arial"/>
                <w:szCs w:val="20"/>
              </w:rPr>
            </w:pPr>
            <w:r w:rsidRPr="005E4BEA">
              <w:rPr>
                <w:rFonts w:cs="Arial"/>
                <w:szCs w:val="20"/>
              </w:rPr>
              <w:t xml:space="preserve">           10.186 </w:t>
            </w:r>
          </w:p>
        </w:tc>
      </w:tr>
      <w:tr w:rsidR="00FE461F" w:rsidRPr="005E4BEA" w14:paraId="2C3AC8B4"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4F25D75D"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79C3F76E" w14:textId="77777777" w:rsidR="00FE461F" w:rsidRPr="005E4BEA" w:rsidRDefault="00FE461F" w:rsidP="00FE461F">
            <w:pPr>
              <w:spacing w:line="240" w:lineRule="auto"/>
              <w:rPr>
                <w:rFonts w:cs="Arial"/>
                <w:szCs w:val="20"/>
              </w:rPr>
            </w:pPr>
            <w:r w:rsidRPr="005E4BEA">
              <w:rPr>
                <w:rFonts w:cs="Arial"/>
                <w:szCs w:val="20"/>
              </w:rPr>
              <w:t xml:space="preserve">ZD NOVO MESTO </w:t>
            </w:r>
          </w:p>
        </w:tc>
        <w:tc>
          <w:tcPr>
            <w:tcW w:w="1584" w:type="dxa"/>
            <w:tcBorders>
              <w:top w:val="nil"/>
              <w:left w:val="nil"/>
              <w:bottom w:val="single" w:sz="4" w:space="0" w:color="auto"/>
              <w:right w:val="single" w:sz="4" w:space="0" w:color="auto"/>
            </w:tcBorders>
            <w:shd w:val="clear" w:color="000000" w:fill="FFFFFF"/>
            <w:vAlign w:val="bottom"/>
            <w:hideMark/>
          </w:tcPr>
          <w:p w14:paraId="6DF81F55"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62D70121" w14:textId="77777777" w:rsidR="00FE461F" w:rsidRPr="005E4BEA" w:rsidRDefault="00FE461F" w:rsidP="00FE461F">
            <w:pPr>
              <w:spacing w:line="240" w:lineRule="auto"/>
              <w:jc w:val="right"/>
              <w:rPr>
                <w:rFonts w:cs="Arial"/>
                <w:szCs w:val="20"/>
              </w:rPr>
            </w:pPr>
            <w:r w:rsidRPr="005E4BEA">
              <w:rPr>
                <w:rFonts w:cs="Arial"/>
                <w:szCs w:val="20"/>
              </w:rPr>
              <w:t xml:space="preserve">           40.742 </w:t>
            </w:r>
          </w:p>
        </w:tc>
        <w:tc>
          <w:tcPr>
            <w:tcW w:w="1584" w:type="dxa"/>
            <w:tcBorders>
              <w:top w:val="nil"/>
              <w:left w:val="nil"/>
              <w:bottom w:val="single" w:sz="4" w:space="0" w:color="auto"/>
              <w:right w:val="single" w:sz="4" w:space="0" w:color="auto"/>
            </w:tcBorders>
            <w:shd w:val="clear" w:color="000000" w:fill="FFFFFF"/>
            <w:vAlign w:val="bottom"/>
            <w:hideMark/>
          </w:tcPr>
          <w:p w14:paraId="6D533590"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31C4C7BA"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663270BD"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381BEA36" w14:textId="77777777" w:rsidR="00FE461F" w:rsidRPr="005E4BEA" w:rsidRDefault="00FE461F" w:rsidP="00FE461F">
            <w:pPr>
              <w:spacing w:line="240" w:lineRule="auto"/>
              <w:rPr>
                <w:rFonts w:cs="Arial"/>
                <w:szCs w:val="20"/>
              </w:rPr>
            </w:pPr>
            <w:r w:rsidRPr="005E4BEA">
              <w:rPr>
                <w:rFonts w:cs="Arial"/>
                <w:szCs w:val="20"/>
              </w:rPr>
              <w:t xml:space="preserve">ZD ORMOŽ </w:t>
            </w:r>
          </w:p>
        </w:tc>
        <w:tc>
          <w:tcPr>
            <w:tcW w:w="1584" w:type="dxa"/>
            <w:tcBorders>
              <w:top w:val="nil"/>
              <w:left w:val="nil"/>
              <w:bottom w:val="single" w:sz="4" w:space="0" w:color="auto"/>
              <w:right w:val="single" w:sz="4" w:space="0" w:color="auto"/>
            </w:tcBorders>
            <w:shd w:val="clear" w:color="000000" w:fill="FFFFFF"/>
            <w:vAlign w:val="bottom"/>
            <w:hideMark/>
          </w:tcPr>
          <w:p w14:paraId="21F4F482"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4D54DF5D" w14:textId="77777777" w:rsidR="00FE461F" w:rsidRPr="005E4BEA" w:rsidRDefault="00FE461F" w:rsidP="00FE461F">
            <w:pPr>
              <w:spacing w:line="240" w:lineRule="auto"/>
              <w:jc w:val="right"/>
              <w:rPr>
                <w:rFonts w:cs="Arial"/>
                <w:szCs w:val="20"/>
              </w:rPr>
            </w:pPr>
            <w:r w:rsidRPr="005E4BEA">
              <w:rPr>
                <w:rFonts w:cs="Arial"/>
                <w:szCs w:val="20"/>
              </w:rPr>
              <w:t xml:space="preserve">           40.742 </w:t>
            </w:r>
          </w:p>
        </w:tc>
        <w:tc>
          <w:tcPr>
            <w:tcW w:w="1584" w:type="dxa"/>
            <w:tcBorders>
              <w:top w:val="nil"/>
              <w:left w:val="nil"/>
              <w:bottom w:val="single" w:sz="4" w:space="0" w:color="auto"/>
              <w:right w:val="single" w:sz="4" w:space="0" w:color="auto"/>
            </w:tcBorders>
            <w:shd w:val="clear" w:color="000000" w:fill="FFFFFF"/>
            <w:vAlign w:val="bottom"/>
            <w:hideMark/>
          </w:tcPr>
          <w:p w14:paraId="4C09DF35"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44189B34"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652EEB62"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5408ED03" w14:textId="77777777" w:rsidR="00FE461F" w:rsidRPr="005E4BEA" w:rsidRDefault="00FE461F" w:rsidP="00FE461F">
            <w:pPr>
              <w:spacing w:line="240" w:lineRule="auto"/>
              <w:rPr>
                <w:rFonts w:cs="Arial"/>
                <w:szCs w:val="20"/>
              </w:rPr>
            </w:pPr>
            <w:r w:rsidRPr="005E4BEA">
              <w:rPr>
                <w:rFonts w:cs="Arial"/>
                <w:szCs w:val="20"/>
              </w:rPr>
              <w:t xml:space="preserve">ZD PTUJ </w:t>
            </w:r>
          </w:p>
        </w:tc>
        <w:tc>
          <w:tcPr>
            <w:tcW w:w="1584" w:type="dxa"/>
            <w:tcBorders>
              <w:top w:val="nil"/>
              <w:left w:val="nil"/>
              <w:bottom w:val="single" w:sz="4" w:space="0" w:color="auto"/>
              <w:right w:val="single" w:sz="4" w:space="0" w:color="auto"/>
            </w:tcBorders>
            <w:shd w:val="clear" w:color="000000" w:fill="FFFFFF"/>
            <w:vAlign w:val="bottom"/>
            <w:hideMark/>
          </w:tcPr>
          <w:p w14:paraId="757960D5"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4C84B5ED" w14:textId="77777777" w:rsidR="00FE461F" w:rsidRPr="005E4BEA" w:rsidRDefault="00FE461F" w:rsidP="00FE461F">
            <w:pPr>
              <w:spacing w:line="240" w:lineRule="auto"/>
              <w:jc w:val="right"/>
              <w:rPr>
                <w:rFonts w:cs="Arial"/>
                <w:szCs w:val="20"/>
              </w:rPr>
            </w:pPr>
            <w:r w:rsidRPr="005E4BEA">
              <w:rPr>
                <w:rFonts w:cs="Arial"/>
                <w:szCs w:val="20"/>
              </w:rPr>
              <w:t xml:space="preserve">           40.742 </w:t>
            </w:r>
          </w:p>
        </w:tc>
        <w:tc>
          <w:tcPr>
            <w:tcW w:w="1584" w:type="dxa"/>
            <w:tcBorders>
              <w:top w:val="nil"/>
              <w:left w:val="nil"/>
              <w:bottom w:val="single" w:sz="4" w:space="0" w:color="auto"/>
              <w:right w:val="single" w:sz="4" w:space="0" w:color="auto"/>
            </w:tcBorders>
            <w:shd w:val="clear" w:color="000000" w:fill="FFFFFF"/>
            <w:vAlign w:val="bottom"/>
            <w:hideMark/>
          </w:tcPr>
          <w:p w14:paraId="1A442A54"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00617369" w14:textId="77777777" w:rsidTr="0016774B">
        <w:trPr>
          <w:trHeight w:val="275"/>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7F06E6B0" w14:textId="77777777" w:rsidR="00FE461F" w:rsidRPr="005E4BEA" w:rsidRDefault="00FE461F" w:rsidP="00FE461F">
            <w:pPr>
              <w:spacing w:line="240" w:lineRule="auto"/>
              <w:rPr>
                <w:rFonts w:cs="Arial"/>
                <w:szCs w:val="20"/>
              </w:rPr>
            </w:pPr>
            <w:r w:rsidRPr="005E4BEA">
              <w:rPr>
                <w:rFonts w:cs="Arial"/>
                <w:szCs w:val="20"/>
              </w:rPr>
              <w:t xml:space="preserve">FIZIOTERAPIJA </w:t>
            </w:r>
          </w:p>
        </w:tc>
        <w:tc>
          <w:tcPr>
            <w:tcW w:w="2409" w:type="dxa"/>
            <w:tcBorders>
              <w:top w:val="nil"/>
              <w:left w:val="nil"/>
              <w:bottom w:val="single" w:sz="4" w:space="0" w:color="auto"/>
              <w:right w:val="single" w:sz="4" w:space="0" w:color="auto"/>
            </w:tcBorders>
            <w:shd w:val="clear" w:color="000000" w:fill="FFFFFF"/>
            <w:vAlign w:val="bottom"/>
            <w:hideMark/>
          </w:tcPr>
          <w:p w14:paraId="46CCF51C" w14:textId="77777777" w:rsidR="00FE461F" w:rsidRPr="005E4BEA" w:rsidRDefault="00FE461F" w:rsidP="00FE461F">
            <w:pPr>
              <w:spacing w:line="240" w:lineRule="auto"/>
              <w:rPr>
                <w:rFonts w:cs="Arial"/>
                <w:szCs w:val="20"/>
              </w:rPr>
            </w:pPr>
            <w:r w:rsidRPr="005E4BEA">
              <w:rPr>
                <w:rFonts w:cs="Arial"/>
                <w:szCs w:val="20"/>
              </w:rPr>
              <w:t xml:space="preserve">ZD RADLJE OB DRAVI </w:t>
            </w:r>
          </w:p>
        </w:tc>
        <w:tc>
          <w:tcPr>
            <w:tcW w:w="1584" w:type="dxa"/>
            <w:tcBorders>
              <w:top w:val="nil"/>
              <w:left w:val="nil"/>
              <w:bottom w:val="single" w:sz="4" w:space="0" w:color="auto"/>
              <w:right w:val="single" w:sz="4" w:space="0" w:color="auto"/>
            </w:tcBorders>
            <w:shd w:val="clear" w:color="000000" w:fill="FFFFFF"/>
            <w:vAlign w:val="bottom"/>
            <w:hideMark/>
          </w:tcPr>
          <w:p w14:paraId="3FE400B9" w14:textId="77777777" w:rsidR="00FE461F" w:rsidRPr="005E4BEA" w:rsidRDefault="00FE461F" w:rsidP="00FE461F">
            <w:pPr>
              <w:spacing w:line="240" w:lineRule="auto"/>
              <w:jc w:val="right"/>
              <w:rPr>
                <w:rFonts w:cs="Arial"/>
                <w:szCs w:val="20"/>
              </w:rPr>
            </w:pPr>
            <w:r w:rsidRPr="005E4BEA">
              <w:rPr>
                <w:rFonts w:cs="Arial"/>
                <w:szCs w:val="20"/>
              </w:rPr>
              <w:t>0,75</w:t>
            </w:r>
          </w:p>
        </w:tc>
        <w:tc>
          <w:tcPr>
            <w:tcW w:w="1584" w:type="dxa"/>
            <w:tcBorders>
              <w:top w:val="nil"/>
              <w:left w:val="nil"/>
              <w:bottom w:val="single" w:sz="4" w:space="0" w:color="auto"/>
              <w:right w:val="single" w:sz="4" w:space="0" w:color="auto"/>
            </w:tcBorders>
            <w:shd w:val="clear" w:color="000000" w:fill="FFFFFF"/>
            <w:vAlign w:val="bottom"/>
            <w:hideMark/>
          </w:tcPr>
          <w:p w14:paraId="28FC92F9" w14:textId="77777777" w:rsidR="00FE461F" w:rsidRPr="005E4BEA" w:rsidRDefault="00FE461F" w:rsidP="00FE461F">
            <w:pPr>
              <w:spacing w:line="240" w:lineRule="auto"/>
              <w:jc w:val="right"/>
              <w:rPr>
                <w:rFonts w:cs="Arial"/>
                <w:szCs w:val="20"/>
              </w:rPr>
            </w:pPr>
            <w:r w:rsidRPr="005E4BEA">
              <w:rPr>
                <w:rFonts w:cs="Arial"/>
                <w:szCs w:val="20"/>
              </w:rPr>
              <w:t xml:space="preserve">           30.594 </w:t>
            </w:r>
          </w:p>
        </w:tc>
        <w:tc>
          <w:tcPr>
            <w:tcW w:w="1584" w:type="dxa"/>
            <w:tcBorders>
              <w:top w:val="nil"/>
              <w:left w:val="nil"/>
              <w:bottom w:val="single" w:sz="4" w:space="0" w:color="auto"/>
              <w:right w:val="single" w:sz="4" w:space="0" w:color="auto"/>
            </w:tcBorders>
            <w:shd w:val="clear" w:color="000000" w:fill="FFFFFF"/>
            <w:vAlign w:val="bottom"/>
            <w:hideMark/>
          </w:tcPr>
          <w:p w14:paraId="7C9F2528" w14:textId="77777777" w:rsidR="00FE461F" w:rsidRPr="005E4BEA" w:rsidRDefault="00FE461F" w:rsidP="00FE461F">
            <w:pPr>
              <w:spacing w:line="240" w:lineRule="auto"/>
              <w:jc w:val="right"/>
              <w:rPr>
                <w:rFonts w:cs="Arial"/>
                <w:szCs w:val="20"/>
              </w:rPr>
            </w:pPr>
            <w:r w:rsidRPr="005E4BEA">
              <w:rPr>
                <w:rFonts w:cs="Arial"/>
                <w:szCs w:val="20"/>
              </w:rPr>
              <w:t xml:space="preserve">           15.297 </w:t>
            </w:r>
          </w:p>
        </w:tc>
      </w:tr>
      <w:tr w:rsidR="00FE461F" w:rsidRPr="005E4BEA" w14:paraId="4500AB92"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35952AA2"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36915821" w14:textId="77777777" w:rsidR="00FE461F" w:rsidRPr="005E4BEA" w:rsidRDefault="00FE461F" w:rsidP="00FE461F">
            <w:pPr>
              <w:spacing w:line="240" w:lineRule="auto"/>
              <w:rPr>
                <w:rFonts w:cs="Arial"/>
                <w:szCs w:val="20"/>
              </w:rPr>
            </w:pPr>
            <w:r w:rsidRPr="005E4BEA">
              <w:rPr>
                <w:rFonts w:cs="Arial"/>
                <w:szCs w:val="20"/>
              </w:rPr>
              <w:t>ZD VELENJE</w:t>
            </w:r>
          </w:p>
        </w:tc>
        <w:tc>
          <w:tcPr>
            <w:tcW w:w="1584" w:type="dxa"/>
            <w:tcBorders>
              <w:top w:val="nil"/>
              <w:left w:val="nil"/>
              <w:bottom w:val="single" w:sz="4" w:space="0" w:color="auto"/>
              <w:right w:val="single" w:sz="4" w:space="0" w:color="auto"/>
            </w:tcBorders>
            <w:shd w:val="clear" w:color="000000" w:fill="FFFFFF"/>
            <w:vAlign w:val="bottom"/>
            <w:hideMark/>
          </w:tcPr>
          <w:p w14:paraId="00EEB299"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60464B6E" w14:textId="77777777" w:rsidR="00FE461F" w:rsidRPr="005E4BEA" w:rsidRDefault="00FE461F" w:rsidP="00FE461F">
            <w:pPr>
              <w:spacing w:line="240" w:lineRule="auto"/>
              <w:jc w:val="right"/>
              <w:rPr>
                <w:rFonts w:cs="Arial"/>
                <w:szCs w:val="20"/>
              </w:rPr>
            </w:pPr>
            <w:r w:rsidRPr="005E4BEA">
              <w:rPr>
                <w:rFonts w:cs="Arial"/>
                <w:szCs w:val="20"/>
              </w:rPr>
              <w:t xml:space="preserve">           40.742 </w:t>
            </w:r>
          </w:p>
        </w:tc>
        <w:tc>
          <w:tcPr>
            <w:tcW w:w="1584" w:type="dxa"/>
            <w:tcBorders>
              <w:top w:val="nil"/>
              <w:left w:val="nil"/>
              <w:bottom w:val="single" w:sz="4" w:space="0" w:color="auto"/>
              <w:right w:val="single" w:sz="4" w:space="0" w:color="auto"/>
            </w:tcBorders>
            <w:shd w:val="clear" w:color="000000" w:fill="FFFFFF"/>
            <w:vAlign w:val="bottom"/>
            <w:hideMark/>
          </w:tcPr>
          <w:p w14:paraId="03C8AF7B"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3C02F57B"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45C2C81F"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5C841D0F" w14:textId="77777777" w:rsidR="00FE461F" w:rsidRPr="005E4BEA" w:rsidRDefault="00FE461F" w:rsidP="00FE461F">
            <w:pPr>
              <w:spacing w:line="240" w:lineRule="auto"/>
              <w:rPr>
                <w:rFonts w:cs="Arial"/>
                <w:szCs w:val="20"/>
              </w:rPr>
            </w:pPr>
            <w:r w:rsidRPr="005E4BEA">
              <w:rPr>
                <w:rFonts w:cs="Arial"/>
                <w:szCs w:val="20"/>
              </w:rPr>
              <w:t xml:space="preserve">ZD VRHNIKA </w:t>
            </w:r>
          </w:p>
        </w:tc>
        <w:tc>
          <w:tcPr>
            <w:tcW w:w="1584" w:type="dxa"/>
            <w:tcBorders>
              <w:top w:val="nil"/>
              <w:left w:val="nil"/>
              <w:bottom w:val="single" w:sz="4" w:space="0" w:color="auto"/>
              <w:right w:val="single" w:sz="4" w:space="0" w:color="auto"/>
            </w:tcBorders>
            <w:shd w:val="clear" w:color="000000" w:fill="FFFFFF"/>
            <w:vAlign w:val="bottom"/>
            <w:hideMark/>
          </w:tcPr>
          <w:p w14:paraId="535BB372"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000004F1" w14:textId="77777777" w:rsidR="00FE461F" w:rsidRPr="005E4BEA" w:rsidRDefault="00FE461F" w:rsidP="00FE461F">
            <w:pPr>
              <w:spacing w:line="240" w:lineRule="auto"/>
              <w:jc w:val="right"/>
              <w:rPr>
                <w:rFonts w:cs="Arial"/>
                <w:szCs w:val="20"/>
              </w:rPr>
            </w:pPr>
            <w:r w:rsidRPr="005E4BEA">
              <w:rPr>
                <w:rFonts w:cs="Arial"/>
                <w:szCs w:val="20"/>
              </w:rPr>
              <w:t xml:space="preserve">           40.742 </w:t>
            </w:r>
          </w:p>
        </w:tc>
        <w:tc>
          <w:tcPr>
            <w:tcW w:w="1584" w:type="dxa"/>
            <w:tcBorders>
              <w:top w:val="nil"/>
              <w:left w:val="nil"/>
              <w:bottom w:val="single" w:sz="4" w:space="0" w:color="auto"/>
              <w:right w:val="single" w:sz="4" w:space="0" w:color="auto"/>
            </w:tcBorders>
            <w:shd w:val="clear" w:color="000000" w:fill="FFFFFF"/>
            <w:vAlign w:val="bottom"/>
            <w:hideMark/>
          </w:tcPr>
          <w:p w14:paraId="1BCA53F1"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12048277" w14:textId="77777777" w:rsidTr="0016774B">
        <w:trPr>
          <w:trHeight w:val="275"/>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58904866" w14:textId="77777777" w:rsidR="00FE461F" w:rsidRPr="005E4BEA" w:rsidRDefault="00FE461F" w:rsidP="00FE461F">
            <w:pPr>
              <w:spacing w:line="240" w:lineRule="auto"/>
              <w:rPr>
                <w:rFonts w:cs="Arial"/>
                <w:szCs w:val="20"/>
              </w:rPr>
            </w:pPr>
            <w:r w:rsidRPr="005E4BEA">
              <w:rPr>
                <w:rFonts w:cs="Arial"/>
                <w:szCs w:val="20"/>
              </w:rPr>
              <w:t>fizioterapija na domu</w:t>
            </w:r>
          </w:p>
        </w:tc>
        <w:tc>
          <w:tcPr>
            <w:tcW w:w="2409" w:type="dxa"/>
            <w:tcBorders>
              <w:top w:val="nil"/>
              <w:left w:val="nil"/>
              <w:bottom w:val="single" w:sz="4" w:space="0" w:color="auto"/>
              <w:right w:val="single" w:sz="4" w:space="0" w:color="auto"/>
            </w:tcBorders>
            <w:shd w:val="clear" w:color="000000" w:fill="FFFFFF"/>
            <w:vAlign w:val="bottom"/>
            <w:hideMark/>
          </w:tcPr>
          <w:p w14:paraId="32364D4B" w14:textId="77777777" w:rsidR="00FE461F" w:rsidRPr="005E4BEA" w:rsidRDefault="00FE461F" w:rsidP="00FE461F">
            <w:pPr>
              <w:spacing w:line="240" w:lineRule="auto"/>
              <w:rPr>
                <w:rFonts w:cs="Arial"/>
                <w:szCs w:val="20"/>
              </w:rPr>
            </w:pPr>
            <w:r w:rsidRPr="005E4BEA">
              <w:rPr>
                <w:rFonts w:cs="Arial"/>
                <w:szCs w:val="20"/>
              </w:rPr>
              <w:t>ZD SEVNICA</w:t>
            </w:r>
          </w:p>
        </w:tc>
        <w:tc>
          <w:tcPr>
            <w:tcW w:w="1584" w:type="dxa"/>
            <w:tcBorders>
              <w:top w:val="nil"/>
              <w:left w:val="nil"/>
              <w:bottom w:val="single" w:sz="4" w:space="0" w:color="auto"/>
              <w:right w:val="single" w:sz="4" w:space="0" w:color="auto"/>
            </w:tcBorders>
            <w:shd w:val="clear" w:color="000000" w:fill="FFFFFF"/>
            <w:vAlign w:val="bottom"/>
            <w:hideMark/>
          </w:tcPr>
          <w:p w14:paraId="684000B9"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7A68A82C" w14:textId="77777777" w:rsidR="00FE461F" w:rsidRPr="005E4BEA" w:rsidRDefault="00FE461F" w:rsidP="00FE461F">
            <w:pPr>
              <w:spacing w:line="240" w:lineRule="auto"/>
              <w:jc w:val="right"/>
              <w:rPr>
                <w:rFonts w:cs="Arial"/>
                <w:szCs w:val="20"/>
              </w:rPr>
            </w:pPr>
            <w:r w:rsidRPr="005E4BEA">
              <w:rPr>
                <w:rFonts w:cs="Arial"/>
                <w:szCs w:val="20"/>
              </w:rPr>
              <w:t xml:space="preserve">           40.000 </w:t>
            </w:r>
          </w:p>
        </w:tc>
        <w:tc>
          <w:tcPr>
            <w:tcW w:w="1584" w:type="dxa"/>
            <w:tcBorders>
              <w:top w:val="nil"/>
              <w:left w:val="nil"/>
              <w:bottom w:val="single" w:sz="4" w:space="0" w:color="auto"/>
              <w:right w:val="single" w:sz="4" w:space="0" w:color="auto"/>
            </w:tcBorders>
            <w:shd w:val="clear" w:color="000000" w:fill="FFFFFF"/>
            <w:vAlign w:val="bottom"/>
            <w:hideMark/>
          </w:tcPr>
          <w:p w14:paraId="1C08A090" w14:textId="77777777" w:rsidR="00FE461F" w:rsidRPr="005E4BEA" w:rsidRDefault="00FE461F" w:rsidP="00FE461F">
            <w:pPr>
              <w:spacing w:line="240" w:lineRule="auto"/>
              <w:jc w:val="right"/>
              <w:rPr>
                <w:rFonts w:cs="Arial"/>
                <w:szCs w:val="20"/>
              </w:rPr>
            </w:pPr>
            <w:r w:rsidRPr="005E4BEA">
              <w:rPr>
                <w:rFonts w:cs="Arial"/>
                <w:szCs w:val="20"/>
              </w:rPr>
              <w:t xml:space="preserve">           20.000 </w:t>
            </w:r>
          </w:p>
        </w:tc>
      </w:tr>
      <w:tr w:rsidR="00FE461F" w:rsidRPr="005E4BEA" w14:paraId="0F6281F6"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520DD404"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778B6D8C" w14:textId="77777777" w:rsidR="00FE461F" w:rsidRPr="005E4BEA" w:rsidRDefault="00FE461F" w:rsidP="00FE461F">
            <w:pPr>
              <w:spacing w:line="240" w:lineRule="auto"/>
              <w:rPr>
                <w:rFonts w:cs="Arial"/>
                <w:szCs w:val="20"/>
              </w:rPr>
            </w:pPr>
            <w:r w:rsidRPr="005E4BEA">
              <w:rPr>
                <w:rFonts w:cs="Arial"/>
                <w:szCs w:val="20"/>
              </w:rPr>
              <w:t>ZD RIBNICA</w:t>
            </w:r>
          </w:p>
        </w:tc>
        <w:tc>
          <w:tcPr>
            <w:tcW w:w="1584" w:type="dxa"/>
            <w:tcBorders>
              <w:top w:val="nil"/>
              <w:left w:val="nil"/>
              <w:bottom w:val="single" w:sz="4" w:space="0" w:color="auto"/>
              <w:right w:val="single" w:sz="4" w:space="0" w:color="auto"/>
            </w:tcBorders>
            <w:shd w:val="clear" w:color="000000" w:fill="FFFFFF"/>
            <w:vAlign w:val="bottom"/>
            <w:hideMark/>
          </w:tcPr>
          <w:p w14:paraId="3AF69ABB" w14:textId="77777777" w:rsidR="00FE461F" w:rsidRPr="005E4BEA" w:rsidRDefault="00FE461F" w:rsidP="00FE461F">
            <w:pPr>
              <w:spacing w:line="240" w:lineRule="auto"/>
              <w:jc w:val="right"/>
              <w:rPr>
                <w:rFonts w:cs="Arial"/>
                <w:szCs w:val="20"/>
              </w:rPr>
            </w:pPr>
            <w:r w:rsidRPr="005E4BEA">
              <w:rPr>
                <w:rFonts w:cs="Arial"/>
                <w:szCs w:val="20"/>
              </w:rPr>
              <w:t>0,90</w:t>
            </w:r>
          </w:p>
        </w:tc>
        <w:tc>
          <w:tcPr>
            <w:tcW w:w="1584" w:type="dxa"/>
            <w:tcBorders>
              <w:top w:val="nil"/>
              <w:left w:val="nil"/>
              <w:bottom w:val="single" w:sz="4" w:space="0" w:color="auto"/>
              <w:right w:val="single" w:sz="4" w:space="0" w:color="auto"/>
            </w:tcBorders>
            <w:shd w:val="clear" w:color="000000" w:fill="FFFFFF"/>
            <w:vAlign w:val="bottom"/>
            <w:hideMark/>
          </w:tcPr>
          <w:p w14:paraId="219ACFFA" w14:textId="77777777" w:rsidR="00FE461F" w:rsidRPr="005E4BEA" w:rsidRDefault="00FE461F" w:rsidP="00FE461F">
            <w:pPr>
              <w:spacing w:line="240" w:lineRule="auto"/>
              <w:jc w:val="right"/>
              <w:rPr>
                <w:rFonts w:cs="Arial"/>
                <w:szCs w:val="20"/>
              </w:rPr>
            </w:pPr>
            <w:r w:rsidRPr="005E4BEA">
              <w:rPr>
                <w:rFonts w:cs="Arial"/>
                <w:szCs w:val="20"/>
              </w:rPr>
              <w:t xml:space="preserve">           36.668 </w:t>
            </w:r>
          </w:p>
        </w:tc>
        <w:tc>
          <w:tcPr>
            <w:tcW w:w="1584" w:type="dxa"/>
            <w:tcBorders>
              <w:top w:val="nil"/>
              <w:left w:val="nil"/>
              <w:bottom w:val="single" w:sz="4" w:space="0" w:color="auto"/>
              <w:right w:val="single" w:sz="4" w:space="0" w:color="auto"/>
            </w:tcBorders>
            <w:shd w:val="clear" w:color="000000" w:fill="FFFFFF"/>
            <w:vAlign w:val="bottom"/>
            <w:hideMark/>
          </w:tcPr>
          <w:p w14:paraId="4B296DB4" w14:textId="77777777" w:rsidR="00FE461F" w:rsidRPr="005E4BEA" w:rsidRDefault="00FE461F" w:rsidP="00FE461F">
            <w:pPr>
              <w:spacing w:line="240" w:lineRule="auto"/>
              <w:jc w:val="right"/>
              <w:rPr>
                <w:rFonts w:cs="Arial"/>
                <w:szCs w:val="20"/>
              </w:rPr>
            </w:pPr>
            <w:r w:rsidRPr="005E4BEA">
              <w:rPr>
                <w:rFonts w:cs="Arial"/>
                <w:szCs w:val="20"/>
              </w:rPr>
              <w:t xml:space="preserve">           18.334 </w:t>
            </w:r>
          </w:p>
        </w:tc>
      </w:tr>
      <w:tr w:rsidR="00FE461F" w:rsidRPr="005E4BEA" w14:paraId="508836CD" w14:textId="77777777" w:rsidTr="0016774B">
        <w:trPr>
          <w:trHeight w:val="183"/>
        </w:trPr>
        <w:tc>
          <w:tcPr>
            <w:tcW w:w="2178" w:type="dxa"/>
            <w:tcBorders>
              <w:top w:val="nil"/>
              <w:left w:val="single" w:sz="4" w:space="0" w:color="auto"/>
              <w:bottom w:val="single" w:sz="4" w:space="0" w:color="auto"/>
              <w:right w:val="single" w:sz="4" w:space="0" w:color="auto"/>
            </w:tcBorders>
            <w:shd w:val="clear" w:color="000000" w:fill="FFFFFF"/>
            <w:vAlign w:val="bottom"/>
            <w:hideMark/>
          </w:tcPr>
          <w:p w14:paraId="51207F9A" w14:textId="77777777" w:rsidR="00FE461F" w:rsidRPr="005E4BEA" w:rsidRDefault="00FE461F" w:rsidP="00FE461F">
            <w:pPr>
              <w:spacing w:line="240" w:lineRule="auto"/>
              <w:rPr>
                <w:rFonts w:cs="Arial"/>
                <w:szCs w:val="20"/>
              </w:rPr>
            </w:pPr>
            <w:r w:rsidRPr="005E4BEA">
              <w:rPr>
                <w:rFonts w:cs="Arial"/>
                <w:szCs w:val="20"/>
              </w:rPr>
              <w:t>Fizioterapija</w:t>
            </w:r>
          </w:p>
        </w:tc>
        <w:tc>
          <w:tcPr>
            <w:tcW w:w="2409" w:type="dxa"/>
            <w:tcBorders>
              <w:top w:val="nil"/>
              <w:left w:val="nil"/>
              <w:bottom w:val="single" w:sz="4" w:space="0" w:color="auto"/>
              <w:right w:val="single" w:sz="4" w:space="0" w:color="auto"/>
            </w:tcBorders>
            <w:shd w:val="clear" w:color="000000" w:fill="FFFFFF"/>
            <w:vAlign w:val="bottom"/>
            <w:hideMark/>
          </w:tcPr>
          <w:p w14:paraId="66CC0A7D" w14:textId="77777777" w:rsidR="00FE461F" w:rsidRPr="005E4BEA" w:rsidRDefault="00FE461F" w:rsidP="00FE461F">
            <w:pPr>
              <w:spacing w:line="240" w:lineRule="auto"/>
              <w:rPr>
                <w:rFonts w:cs="Arial"/>
                <w:szCs w:val="20"/>
              </w:rPr>
            </w:pPr>
            <w:r w:rsidRPr="005E4BEA">
              <w:rPr>
                <w:rFonts w:cs="Arial"/>
                <w:szCs w:val="20"/>
              </w:rPr>
              <w:t>ZD LAŠKO</w:t>
            </w:r>
          </w:p>
        </w:tc>
        <w:tc>
          <w:tcPr>
            <w:tcW w:w="1584" w:type="dxa"/>
            <w:tcBorders>
              <w:top w:val="nil"/>
              <w:left w:val="nil"/>
              <w:bottom w:val="single" w:sz="4" w:space="0" w:color="auto"/>
              <w:right w:val="single" w:sz="4" w:space="0" w:color="auto"/>
            </w:tcBorders>
            <w:shd w:val="clear" w:color="000000" w:fill="FFFFFF"/>
            <w:vAlign w:val="bottom"/>
            <w:hideMark/>
          </w:tcPr>
          <w:p w14:paraId="3CBB4B8E" w14:textId="77777777" w:rsidR="00FE461F" w:rsidRPr="005E4BEA" w:rsidRDefault="00FE461F" w:rsidP="00FE461F">
            <w:pPr>
              <w:spacing w:line="240" w:lineRule="auto"/>
              <w:jc w:val="right"/>
              <w:rPr>
                <w:rFonts w:cs="Arial"/>
                <w:szCs w:val="20"/>
              </w:rPr>
            </w:pPr>
            <w:r w:rsidRPr="005E4BEA">
              <w:rPr>
                <w:rFonts w:cs="Arial"/>
                <w:szCs w:val="20"/>
              </w:rPr>
              <w:t>1,00</w:t>
            </w:r>
          </w:p>
        </w:tc>
        <w:tc>
          <w:tcPr>
            <w:tcW w:w="1584" w:type="dxa"/>
            <w:tcBorders>
              <w:top w:val="nil"/>
              <w:left w:val="nil"/>
              <w:bottom w:val="single" w:sz="4" w:space="0" w:color="auto"/>
              <w:right w:val="single" w:sz="4" w:space="0" w:color="auto"/>
            </w:tcBorders>
            <w:shd w:val="clear" w:color="000000" w:fill="FFFFFF"/>
            <w:vAlign w:val="bottom"/>
            <w:hideMark/>
          </w:tcPr>
          <w:p w14:paraId="784E60DF" w14:textId="77777777" w:rsidR="00FE461F" w:rsidRPr="005E4BEA" w:rsidRDefault="00FE461F" w:rsidP="00FE461F">
            <w:pPr>
              <w:spacing w:line="240" w:lineRule="auto"/>
              <w:jc w:val="right"/>
              <w:rPr>
                <w:rFonts w:cs="Arial"/>
                <w:szCs w:val="20"/>
              </w:rPr>
            </w:pPr>
            <w:r w:rsidRPr="005E4BEA">
              <w:rPr>
                <w:rFonts w:cs="Arial"/>
                <w:szCs w:val="20"/>
              </w:rPr>
              <w:t>40.742,26</w:t>
            </w:r>
          </w:p>
        </w:tc>
        <w:tc>
          <w:tcPr>
            <w:tcW w:w="1584" w:type="dxa"/>
            <w:tcBorders>
              <w:top w:val="nil"/>
              <w:left w:val="nil"/>
              <w:bottom w:val="single" w:sz="4" w:space="0" w:color="auto"/>
              <w:right w:val="single" w:sz="4" w:space="0" w:color="auto"/>
            </w:tcBorders>
            <w:shd w:val="clear" w:color="000000" w:fill="FFFFFF"/>
            <w:vAlign w:val="bottom"/>
            <w:hideMark/>
          </w:tcPr>
          <w:p w14:paraId="71E7467E"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4C2A06BE" w14:textId="77777777" w:rsidTr="0016774B">
        <w:trPr>
          <w:trHeight w:val="244"/>
        </w:trPr>
        <w:tc>
          <w:tcPr>
            <w:tcW w:w="2178" w:type="dxa"/>
            <w:tcBorders>
              <w:top w:val="nil"/>
              <w:left w:val="single" w:sz="4" w:space="0" w:color="auto"/>
              <w:bottom w:val="single" w:sz="4" w:space="0" w:color="auto"/>
              <w:right w:val="single" w:sz="4" w:space="0" w:color="auto"/>
            </w:tcBorders>
            <w:shd w:val="clear" w:color="000000" w:fill="FFFFFF"/>
            <w:vAlign w:val="center"/>
            <w:hideMark/>
          </w:tcPr>
          <w:p w14:paraId="14AB2706" w14:textId="77777777" w:rsidR="00FE461F" w:rsidRPr="005E4BEA" w:rsidRDefault="00FE461F" w:rsidP="00FE461F">
            <w:pPr>
              <w:spacing w:line="240" w:lineRule="auto"/>
              <w:rPr>
                <w:rFonts w:cs="Arial"/>
                <w:color w:val="000000"/>
                <w:szCs w:val="20"/>
              </w:rPr>
            </w:pPr>
            <w:r w:rsidRPr="005E4BEA">
              <w:rPr>
                <w:rFonts w:cs="Arial"/>
                <w:color w:val="000000"/>
                <w:szCs w:val="20"/>
              </w:rPr>
              <w:t>FIZIOTERAPIJA</w:t>
            </w:r>
          </w:p>
        </w:tc>
        <w:tc>
          <w:tcPr>
            <w:tcW w:w="2409" w:type="dxa"/>
            <w:tcBorders>
              <w:top w:val="nil"/>
              <w:left w:val="nil"/>
              <w:bottom w:val="single" w:sz="4" w:space="0" w:color="auto"/>
              <w:right w:val="single" w:sz="4" w:space="0" w:color="auto"/>
            </w:tcBorders>
            <w:shd w:val="clear" w:color="000000" w:fill="FFFFFF"/>
            <w:vAlign w:val="center"/>
            <w:hideMark/>
          </w:tcPr>
          <w:p w14:paraId="0504CEC6" w14:textId="77777777" w:rsidR="00FE461F" w:rsidRPr="005E4BEA" w:rsidRDefault="00FE461F" w:rsidP="00FE461F">
            <w:pPr>
              <w:spacing w:line="240" w:lineRule="auto"/>
              <w:rPr>
                <w:rFonts w:cs="Arial"/>
                <w:color w:val="000000"/>
                <w:szCs w:val="20"/>
              </w:rPr>
            </w:pPr>
            <w:r w:rsidRPr="005E4BEA">
              <w:rPr>
                <w:rFonts w:cs="Arial"/>
                <w:color w:val="000000"/>
                <w:szCs w:val="20"/>
              </w:rPr>
              <w:t>Splošna bolnišnica Novo mesto</w:t>
            </w:r>
          </w:p>
        </w:tc>
        <w:tc>
          <w:tcPr>
            <w:tcW w:w="1584" w:type="dxa"/>
            <w:tcBorders>
              <w:top w:val="nil"/>
              <w:left w:val="nil"/>
              <w:bottom w:val="single" w:sz="4" w:space="0" w:color="auto"/>
              <w:right w:val="single" w:sz="4" w:space="0" w:color="auto"/>
            </w:tcBorders>
            <w:shd w:val="clear" w:color="000000" w:fill="FFFFFF"/>
            <w:vAlign w:val="center"/>
            <w:hideMark/>
          </w:tcPr>
          <w:p w14:paraId="247D413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1,5</w:t>
            </w:r>
          </w:p>
        </w:tc>
        <w:tc>
          <w:tcPr>
            <w:tcW w:w="1584" w:type="dxa"/>
            <w:tcBorders>
              <w:top w:val="nil"/>
              <w:left w:val="nil"/>
              <w:bottom w:val="single" w:sz="4" w:space="0" w:color="auto"/>
              <w:right w:val="single" w:sz="4" w:space="0" w:color="auto"/>
            </w:tcBorders>
            <w:shd w:val="clear" w:color="000000" w:fill="FFFFFF"/>
            <w:vAlign w:val="center"/>
            <w:hideMark/>
          </w:tcPr>
          <w:p w14:paraId="743CD40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61.113,39</w:t>
            </w:r>
          </w:p>
        </w:tc>
        <w:tc>
          <w:tcPr>
            <w:tcW w:w="1584" w:type="dxa"/>
            <w:tcBorders>
              <w:top w:val="nil"/>
              <w:left w:val="nil"/>
              <w:bottom w:val="single" w:sz="4" w:space="0" w:color="auto"/>
              <w:right w:val="single" w:sz="4" w:space="0" w:color="auto"/>
            </w:tcBorders>
            <w:shd w:val="clear" w:color="000000" w:fill="FFFFFF"/>
            <w:vAlign w:val="bottom"/>
            <w:hideMark/>
          </w:tcPr>
          <w:p w14:paraId="5C9E9E41" w14:textId="77777777" w:rsidR="00FE461F" w:rsidRPr="005E4BEA" w:rsidRDefault="00FE461F" w:rsidP="00FE461F">
            <w:pPr>
              <w:spacing w:line="240" w:lineRule="auto"/>
              <w:jc w:val="right"/>
              <w:rPr>
                <w:rFonts w:cs="Arial"/>
                <w:szCs w:val="20"/>
              </w:rPr>
            </w:pPr>
            <w:r w:rsidRPr="005E4BEA">
              <w:rPr>
                <w:rFonts w:cs="Arial"/>
                <w:szCs w:val="20"/>
              </w:rPr>
              <w:t xml:space="preserve">           30.557 </w:t>
            </w:r>
          </w:p>
        </w:tc>
      </w:tr>
      <w:tr w:rsidR="00FE461F" w:rsidRPr="005E4BEA" w14:paraId="339D1829" w14:textId="77777777" w:rsidTr="0016774B">
        <w:trPr>
          <w:trHeight w:val="244"/>
        </w:trPr>
        <w:tc>
          <w:tcPr>
            <w:tcW w:w="2178" w:type="dxa"/>
            <w:tcBorders>
              <w:top w:val="nil"/>
              <w:left w:val="single" w:sz="4" w:space="0" w:color="auto"/>
              <w:bottom w:val="single" w:sz="4" w:space="0" w:color="auto"/>
              <w:right w:val="single" w:sz="4" w:space="0" w:color="auto"/>
            </w:tcBorders>
            <w:shd w:val="clear" w:color="000000" w:fill="FFFFFF"/>
            <w:vAlign w:val="center"/>
            <w:hideMark/>
          </w:tcPr>
          <w:p w14:paraId="03518CC8" w14:textId="77777777" w:rsidR="00FE461F" w:rsidRPr="005E4BEA" w:rsidRDefault="00FE461F" w:rsidP="00FE461F">
            <w:pPr>
              <w:spacing w:line="240" w:lineRule="auto"/>
              <w:rPr>
                <w:rFonts w:cs="Arial"/>
                <w:color w:val="000000"/>
                <w:szCs w:val="20"/>
              </w:rPr>
            </w:pPr>
            <w:r w:rsidRPr="005E4BEA">
              <w:rPr>
                <w:rFonts w:cs="Arial"/>
                <w:color w:val="000000"/>
                <w:szCs w:val="20"/>
              </w:rPr>
              <w:t>FIZIOTERAPIJA</w:t>
            </w:r>
          </w:p>
        </w:tc>
        <w:tc>
          <w:tcPr>
            <w:tcW w:w="2409" w:type="dxa"/>
            <w:tcBorders>
              <w:top w:val="nil"/>
              <w:left w:val="nil"/>
              <w:bottom w:val="single" w:sz="4" w:space="0" w:color="auto"/>
              <w:right w:val="single" w:sz="4" w:space="0" w:color="auto"/>
            </w:tcBorders>
            <w:shd w:val="clear" w:color="000000" w:fill="FFFFFF"/>
            <w:vAlign w:val="center"/>
            <w:hideMark/>
          </w:tcPr>
          <w:p w14:paraId="6A927B64" w14:textId="77777777" w:rsidR="00FE461F" w:rsidRPr="005E4BEA" w:rsidRDefault="00FE461F" w:rsidP="00FE461F">
            <w:pPr>
              <w:spacing w:line="240" w:lineRule="auto"/>
              <w:rPr>
                <w:rFonts w:cs="Arial"/>
                <w:color w:val="000000"/>
                <w:szCs w:val="20"/>
              </w:rPr>
            </w:pPr>
            <w:r w:rsidRPr="005E4BEA">
              <w:rPr>
                <w:rFonts w:cs="Arial"/>
                <w:color w:val="000000"/>
                <w:szCs w:val="20"/>
              </w:rPr>
              <w:t>Splošna bolnišnica Ptuj</w:t>
            </w:r>
          </w:p>
        </w:tc>
        <w:tc>
          <w:tcPr>
            <w:tcW w:w="1584" w:type="dxa"/>
            <w:tcBorders>
              <w:top w:val="nil"/>
              <w:left w:val="nil"/>
              <w:bottom w:val="single" w:sz="4" w:space="0" w:color="auto"/>
              <w:right w:val="single" w:sz="4" w:space="0" w:color="auto"/>
            </w:tcBorders>
            <w:shd w:val="clear" w:color="000000" w:fill="FFFFFF"/>
            <w:vAlign w:val="center"/>
            <w:hideMark/>
          </w:tcPr>
          <w:p w14:paraId="1094A80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w:t>
            </w:r>
          </w:p>
        </w:tc>
        <w:tc>
          <w:tcPr>
            <w:tcW w:w="1584" w:type="dxa"/>
            <w:tcBorders>
              <w:top w:val="nil"/>
              <w:left w:val="nil"/>
              <w:bottom w:val="single" w:sz="4" w:space="0" w:color="auto"/>
              <w:right w:val="single" w:sz="4" w:space="0" w:color="auto"/>
            </w:tcBorders>
            <w:shd w:val="clear" w:color="000000" w:fill="FFFFFF"/>
            <w:vAlign w:val="center"/>
            <w:hideMark/>
          </w:tcPr>
          <w:p w14:paraId="31FE4F2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40.742,26</w:t>
            </w:r>
          </w:p>
        </w:tc>
        <w:tc>
          <w:tcPr>
            <w:tcW w:w="1584" w:type="dxa"/>
            <w:tcBorders>
              <w:top w:val="nil"/>
              <w:left w:val="nil"/>
              <w:bottom w:val="single" w:sz="4" w:space="0" w:color="auto"/>
              <w:right w:val="single" w:sz="4" w:space="0" w:color="auto"/>
            </w:tcBorders>
            <w:shd w:val="clear" w:color="000000" w:fill="FFFFFF"/>
            <w:vAlign w:val="bottom"/>
            <w:hideMark/>
          </w:tcPr>
          <w:p w14:paraId="042FAA18" w14:textId="77777777" w:rsidR="00FE461F" w:rsidRPr="005E4BEA" w:rsidRDefault="00FE461F" w:rsidP="00FE461F">
            <w:pPr>
              <w:spacing w:line="240" w:lineRule="auto"/>
              <w:jc w:val="right"/>
              <w:rPr>
                <w:rFonts w:cs="Arial"/>
                <w:szCs w:val="20"/>
              </w:rPr>
            </w:pPr>
            <w:r w:rsidRPr="005E4BEA">
              <w:rPr>
                <w:rFonts w:cs="Arial"/>
                <w:szCs w:val="20"/>
              </w:rPr>
              <w:t xml:space="preserve">           20.371 </w:t>
            </w:r>
          </w:p>
        </w:tc>
      </w:tr>
      <w:tr w:rsidR="00FE461F" w:rsidRPr="005E4BEA" w14:paraId="7B73DFBE" w14:textId="77777777" w:rsidTr="0016774B">
        <w:trPr>
          <w:trHeight w:val="183"/>
        </w:trPr>
        <w:tc>
          <w:tcPr>
            <w:tcW w:w="2178" w:type="dxa"/>
            <w:tcBorders>
              <w:top w:val="nil"/>
              <w:left w:val="nil"/>
              <w:bottom w:val="nil"/>
              <w:right w:val="nil"/>
            </w:tcBorders>
            <w:shd w:val="clear" w:color="000000" w:fill="FFFFFF"/>
            <w:noWrap/>
            <w:vAlign w:val="bottom"/>
            <w:hideMark/>
          </w:tcPr>
          <w:p w14:paraId="2CB4B4A3"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2409" w:type="dxa"/>
            <w:tcBorders>
              <w:top w:val="nil"/>
              <w:left w:val="nil"/>
              <w:bottom w:val="nil"/>
              <w:right w:val="nil"/>
            </w:tcBorders>
            <w:shd w:val="clear" w:color="000000" w:fill="FFFFFF"/>
            <w:noWrap/>
            <w:vAlign w:val="bottom"/>
            <w:hideMark/>
          </w:tcPr>
          <w:p w14:paraId="2B829F97"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584" w:type="dxa"/>
            <w:tcBorders>
              <w:top w:val="nil"/>
              <w:left w:val="nil"/>
              <w:bottom w:val="nil"/>
              <w:right w:val="nil"/>
            </w:tcBorders>
            <w:shd w:val="clear" w:color="000000" w:fill="FFFFFF"/>
            <w:noWrap/>
            <w:vAlign w:val="bottom"/>
            <w:hideMark/>
          </w:tcPr>
          <w:p w14:paraId="4D313D8B"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584" w:type="dxa"/>
            <w:tcBorders>
              <w:top w:val="nil"/>
              <w:left w:val="single" w:sz="4" w:space="0" w:color="auto"/>
              <w:bottom w:val="single" w:sz="4" w:space="0" w:color="auto"/>
              <w:right w:val="single" w:sz="4" w:space="0" w:color="auto"/>
            </w:tcBorders>
            <w:shd w:val="clear" w:color="000000" w:fill="FFFFFF"/>
            <w:vAlign w:val="center"/>
            <w:hideMark/>
          </w:tcPr>
          <w:p w14:paraId="7512E79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1.089.107,67</w:t>
            </w:r>
          </w:p>
        </w:tc>
        <w:tc>
          <w:tcPr>
            <w:tcW w:w="1584" w:type="dxa"/>
            <w:tcBorders>
              <w:top w:val="nil"/>
              <w:left w:val="nil"/>
              <w:bottom w:val="single" w:sz="4" w:space="0" w:color="auto"/>
              <w:right w:val="single" w:sz="4" w:space="0" w:color="auto"/>
            </w:tcBorders>
            <w:shd w:val="clear" w:color="000000" w:fill="FFFFFF"/>
            <w:vAlign w:val="center"/>
            <w:hideMark/>
          </w:tcPr>
          <w:p w14:paraId="714B93D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544.553,84</w:t>
            </w:r>
          </w:p>
        </w:tc>
      </w:tr>
      <w:bookmarkEnd w:id="47"/>
    </w:tbl>
    <w:p w14:paraId="275B7C3A" w14:textId="77777777" w:rsidR="00FE461F" w:rsidRPr="005E4BEA" w:rsidRDefault="00FE461F" w:rsidP="00FE461F">
      <w:pPr>
        <w:spacing w:line="240" w:lineRule="auto"/>
        <w:jc w:val="both"/>
        <w:rPr>
          <w:rFonts w:cs="Arial"/>
          <w:b/>
          <w:bCs/>
          <w:szCs w:val="20"/>
        </w:rPr>
      </w:pPr>
    </w:p>
    <w:p w14:paraId="7BB98ED0" w14:textId="77777777" w:rsidR="00FE461F" w:rsidRPr="005E4BEA" w:rsidRDefault="00FE461F" w:rsidP="00FE461F">
      <w:pPr>
        <w:spacing w:line="240" w:lineRule="auto"/>
        <w:jc w:val="both"/>
        <w:rPr>
          <w:rFonts w:cs="Arial"/>
          <w:i/>
          <w:color w:val="808080" w:themeColor="background1" w:themeShade="80"/>
          <w:szCs w:val="20"/>
        </w:rPr>
      </w:pPr>
    </w:p>
    <w:p w14:paraId="18A8C849" w14:textId="77777777" w:rsidR="00FE461F" w:rsidRPr="005E4BEA" w:rsidRDefault="00FE461F" w:rsidP="00FE461F">
      <w:pPr>
        <w:spacing w:line="240" w:lineRule="auto"/>
        <w:ind w:left="616" w:hanging="616"/>
        <w:jc w:val="both"/>
        <w:rPr>
          <w:rFonts w:cs="Arial"/>
          <w:b/>
          <w:bCs/>
          <w:i/>
          <w:iCs/>
          <w:color w:val="808080"/>
          <w:szCs w:val="20"/>
          <w:u w:val="single"/>
        </w:rPr>
      </w:pPr>
      <w:r w:rsidRPr="005E4BEA">
        <w:rPr>
          <w:rFonts w:cs="Arial"/>
          <w:b/>
          <w:bCs/>
          <w:i/>
          <w:iCs/>
          <w:color w:val="808080"/>
          <w:szCs w:val="20"/>
          <w:u w:val="single"/>
        </w:rPr>
        <w:t xml:space="preserve">Obrazložitev: </w:t>
      </w:r>
    </w:p>
    <w:p w14:paraId="1E1862C7" w14:textId="77777777" w:rsidR="00FE461F" w:rsidRPr="005E4BEA" w:rsidRDefault="00FE461F" w:rsidP="00FE461F">
      <w:pPr>
        <w:spacing w:line="240" w:lineRule="auto"/>
        <w:jc w:val="both"/>
        <w:rPr>
          <w:rFonts w:cs="Arial"/>
          <w:i/>
          <w:iCs/>
          <w:color w:val="808080"/>
          <w:szCs w:val="20"/>
        </w:rPr>
      </w:pPr>
      <w:bookmarkStart w:id="48" w:name="_Hlk76468344"/>
      <w:r w:rsidRPr="005E4BEA">
        <w:rPr>
          <w:rFonts w:cs="Arial"/>
          <w:i/>
          <w:iCs/>
          <w:color w:val="808080"/>
          <w:szCs w:val="20"/>
        </w:rPr>
        <w:t xml:space="preserve">Združenje predlaga, da se v Splošni dogovor 2021 vključi 17,75 timov programa </w:t>
      </w:r>
      <w:bookmarkEnd w:id="48"/>
      <w:r w:rsidRPr="005E4BEA">
        <w:rPr>
          <w:rFonts w:cs="Arial"/>
          <w:i/>
          <w:iCs/>
          <w:color w:val="808080"/>
          <w:szCs w:val="20"/>
        </w:rPr>
        <w:t xml:space="preserve">fizioterapije, ker so na tem področju čakalne dobe zelo dolge in se vrste čakajočih še podaljšujejo. </w:t>
      </w:r>
    </w:p>
    <w:p w14:paraId="28921FFF" w14:textId="223A038B" w:rsidR="00FE461F" w:rsidRPr="005E4BEA" w:rsidRDefault="00FE461F" w:rsidP="00FE461F">
      <w:pPr>
        <w:spacing w:line="240" w:lineRule="auto"/>
        <w:jc w:val="both"/>
        <w:rPr>
          <w:rFonts w:cs="Arial"/>
          <w:b/>
          <w:bCs/>
          <w:i/>
          <w:iCs/>
          <w:color w:val="808080"/>
          <w:szCs w:val="20"/>
        </w:rPr>
      </w:pPr>
      <w:r w:rsidRPr="005E4BEA">
        <w:rPr>
          <w:rFonts w:cs="Arial"/>
          <w:i/>
          <w:iCs/>
          <w:color w:val="808080"/>
          <w:szCs w:val="20"/>
        </w:rPr>
        <w:t xml:space="preserve">Iz podatkov NIJZ Št. čakajočih na dan 20.5.2021 je razvidno, da je trenutno število čakajočih 30.132, </w:t>
      </w:r>
      <w:r w:rsidRPr="005E4BEA">
        <w:rPr>
          <w:rFonts w:cs="Arial"/>
          <w:b/>
          <w:bCs/>
          <w:i/>
          <w:iCs/>
          <w:color w:val="808080"/>
          <w:szCs w:val="20"/>
        </w:rPr>
        <w:t>vseh čakajočih NAD čakalno dobo 14.075 oseb</w:t>
      </w:r>
    </w:p>
    <w:p w14:paraId="26A69FCC" w14:textId="614D26B4" w:rsidR="00BE5D1E" w:rsidRPr="005E4BEA" w:rsidRDefault="00BE5D1E" w:rsidP="00FE461F">
      <w:pPr>
        <w:spacing w:line="240" w:lineRule="auto"/>
        <w:jc w:val="both"/>
        <w:rPr>
          <w:rFonts w:cs="Arial"/>
          <w:b/>
          <w:bCs/>
          <w:i/>
          <w:iCs/>
          <w:color w:val="808080"/>
          <w:szCs w:val="20"/>
        </w:rPr>
      </w:pPr>
    </w:p>
    <w:tbl>
      <w:tblPr>
        <w:tblW w:w="9057" w:type="dxa"/>
        <w:tblInd w:w="5" w:type="dxa"/>
        <w:tblCellMar>
          <w:left w:w="70" w:type="dxa"/>
          <w:right w:w="70" w:type="dxa"/>
        </w:tblCellMar>
        <w:tblLook w:val="04A0" w:firstRow="1" w:lastRow="0" w:firstColumn="1" w:lastColumn="0" w:noHBand="0" w:noVBand="1"/>
      </w:tblPr>
      <w:tblGrid>
        <w:gridCol w:w="1125"/>
        <w:gridCol w:w="768"/>
        <w:gridCol w:w="768"/>
        <w:gridCol w:w="768"/>
        <w:gridCol w:w="705"/>
        <w:gridCol w:w="705"/>
        <w:gridCol w:w="705"/>
        <w:gridCol w:w="705"/>
        <w:gridCol w:w="705"/>
        <w:gridCol w:w="705"/>
        <w:gridCol w:w="705"/>
        <w:gridCol w:w="705"/>
      </w:tblGrid>
      <w:tr w:rsidR="00BE5D1E" w:rsidRPr="005E4BEA" w14:paraId="5A88305D" w14:textId="77777777" w:rsidTr="0016774B">
        <w:trPr>
          <w:trHeight w:val="311"/>
        </w:trPr>
        <w:tc>
          <w:tcPr>
            <w:tcW w:w="1125"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15AA8F4" w14:textId="77777777" w:rsidR="00BE5D1E" w:rsidRPr="005E4BEA" w:rsidRDefault="00BE5D1E" w:rsidP="00BE5D1E">
            <w:pPr>
              <w:spacing w:line="240" w:lineRule="auto"/>
              <w:rPr>
                <w:rFonts w:ascii="Arial Narrow" w:hAnsi="Arial Narrow"/>
                <w:i/>
                <w:iCs/>
                <w:color w:val="808080"/>
                <w:sz w:val="16"/>
                <w:szCs w:val="16"/>
              </w:rPr>
            </w:pPr>
            <w:r w:rsidRPr="005E4BEA">
              <w:rPr>
                <w:rFonts w:ascii="Arial Narrow" w:hAnsi="Arial Narrow"/>
                <w:i/>
                <w:iCs/>
                <w:color w:val="808080"/>
                <w:sz w:val="16"/>
                <w:szCs w:val="16"/>
              </w:rPr>
              <w:lastRenderedPageBreak/>
              <w:t>VZS naziv*</w:t>
            </w:r>
          </w:p>
        </w:tc>
        <w:tc>
          <w:tcPr>
            <w:tcW w:w="764" w:type="dxa"/>
            <w:tcBorders>
              <w:top w:val="single" w:sz="4" w:space="0" w:color="auto"/>
              <w:left w:val="nil"/>
              <w:bottom w:val="single" w:sz="4" w:space="0" w:color="auto"/>
              <w:right w:val="single" w:sz="4" w:space="0" w:color="auto"/>
            </w:tcBorders>
            <w:shd w:val="clear" w:color="000000" w:fill="D9E1F2"/>
            <w:vAlign w:val="center"/>
            <w:hideMark/>
          </w:tcPr>
          <w:p w14:paraId="1E107FF8"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Povprečna ČD na prvi termin Zelo hitro</w:t>
            </w:r>
          </w:p>
        </w:tc>
        <w:tc>
          <w:tcPr>
            <w:tcW w:w="764" w:type="dxa"/>
            <w:tcBorders>
              <w:top w:val="single" w:sz="4" w:space="0" w:color="auto"/>
              <w:left w:val="nil"/>
              <w:bottom w:val="single" w:sz="4" w:space="0" w:color="auto"/>
              <w:right w:val="single" w:sz="4" w:space="0" w:color="auto"/>
            </w:tcBorders>
            <w:shd w:val="clear" w:color="000000" w:fill="D9E1F2"/>
            <w:vAlign w:val="center"/>
            <w:hideMark/>
          </w:tcPr>
          <w:p w14:paraId="7A0A1313"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Povprečna ČD na prvi termin Hitro</w:t>
            </w:r>
          </w:p>
        </w:tc>
        <w:tc>
          <w:tcPr>
            <w:tcW w:w="764" w:type="dxa"/>
            <w:tcBorders>
              <w:top w:val="single" w:sz="4" w:space="0" w:color="auto"/>
              <w:left w:val="nil"/>
              <w:bottom w:val="single" w:sz="4" w:space="0" w:color="auto"/>
              <w:right w:val="single" w:sz="4" w:space="0" w:color="auto"/>
            </w:tcBorders>
            <w:shd w:val="clear" w:color="000000" w:fill="D9E1F2"/>
            <w:vAlign w:val="center"/>
            <w:hideMark/>
          </w:tcPr>
          <w:p w14:paraId="6F8AB2C4"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Povprečna ČD na prvi termin Redno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36F8F494"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Zelo hitro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07CB907C"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Hitro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277299CC"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Redno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7282FC26"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skupna vsota</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2610443A"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Zelo hitro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591639D0"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Hitro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44B4CB1C"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Redno</w:t>
            </w:r>
          </w:p>
        </w:tc>
        <w:tc>
          <w:tcPr>
            <w:tcW w:w="705" w:type="dxa"/>
            <w:tcBorders>
              <w:top w:val="single" w:sz="4" w:space="0" w:color="auto"/>
              <w:left w:val="nil"/>
              <w:bottom w:val="single" w:sz="4" w:space="0" w:color="auto"/>
              <w:right w:val="single" w:sz="4" w:space="0" w:color="auto"/>
            </w:tcBorders>
            <w:shd w:val="clear" w:color="000000" w:fill="D9E1F2"/>
            <w:vAlign w:val="center"/>
            <w:hideMark/>
          </w:tcPr>
          <w:p w14:paraId="66E0D640"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skupna vsota</w:t>
            </w:r>
          </w:p>
        </w:tc>
      </w:tr>
      <w:tr w:rsidR="00BE5D1E" w:rsidRPr="005E4BEA" w14:paraId="6A596B56" w14:textId="77777777" w:rsidTr="0016774B">
        <w:trPr>
          <w:trHeight w:val="110"/>
        </w:trPr>
        <w:tc>
          <w:tcPr>
            <w:tcW w:w="1125" w:type="dxa"/>
            <w:tcBorders>
              <w:top w:val="single" w:sz="4" w:space="0" w:color="auto"/>
              <w:left w:val="single" w:sz="4" w:space="0" w:color="auto"/>
              <w:bottom w:val="single" w:sz="4" w:space="0" w:color="auto"/>
              <w:right w:val="single" w:sz="4" w:space="0" w:color="auto"/>
            </w:tcBorders>
            <w:noWrap/>
            <w:vAlign w:val="bottom"/>
            <w:hideMark/>
          </w:tcPr>
          <w:p w14:paraId="35B434D4" w14:textId="77777777" w:rsidR="00BE5D1E" w:rsidRPr="005E4BEA" w:rsidRDefault="00BE5D1E" w:rsidP="00BE5D1E">
            <w:pPr>
              <w:spacing w:line="240" w:lineRule="auto"/>
              <w:rPr>
                <w:rFonts w:ascii="Arial Narrow" w:hAnsi="Arial Narrow"/>
                <w:i/>
                <w:iCs/>
                <w:color w:val="808080"/>
                <w:sz w:val="16"/>
                <w:szCs w:val="16"/>
              </w:rPr>
            </w:pPr>
            <w:r w:rsidRPr="005E4BEA">
              <w:rPr>
                <w:rFonts w:ascii="Arial Narrow" w:hAnsi="Arial Narrow"/>
                <w:i/>
                <w:iCs/>
                <w:color w:val="808080"/>
                <w:sz w:val="16"/>
                <w:szCs w:val="16"/>
              </w:rPr>
              <w:t>Fizioterapevtska obravnava</w:t>
            </w:r>
          </w:p>
        </w:tc>
        <w:tc>
          <w:tcPr>
            <w:tcW w:w="764" w:type="dxa"/>
            <w:tcBorders>
              <w:top w:val="nil"/>
              <w:left w:val="nil"/>
              <w:bottom w:val="single" w:sz="4" w:space="0" w:color="auto"/>
              <w:right w:val="single" w:sz="4" w:space="0" w:color="auto"/>
            </w:tcBorders>
            <w:noWrap/>
            <w:vAlign w:val="bottom"/>
            <w:hideMark/>
          </w:tcPr>
          <w:p w14:paraId="5D5B8912"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35,8</w:t>
            </w:r>
          </w:p>
        </w:tc>
        <w:tc>
          <w:tcPr>
            <w:tcW w:w="764" w:type="dxa"/>
            <w:tcBorders>
              <w:top w:val="nil"/>
              <w:left w:val="nil"/>
              <w:bottom w:val="single" w:sz="4" w:space="0" w:color="auto"/>
              <w:right w:val="single" w:sz="4" w:space="0" w:color="auto"/>
            </w:tcBorders>
            <w:noWrap/>
            <w:vAlign w:val="bottom"/>
            <w:hideMark/>
          </w:tcPr>
          <w:p w14:paraId="1BA67280"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111,3</w:t>
            </w:r>
          </w:p>
        </w:tc>
        <w:tc>
          <w:tcPr>
            <w:tcW w:w="764" w:type="dxa"/>
            <w:tcBorders>
              <w:top w:val="nil"/>
              <w:left w:val="nil"/>
              <w:bottom w:val="single" w:sz="4" w:space="0" w:color="auto"/>
              <w:right w:val="single" w:sz="4" w:space="0" w:color="auto"/>
            </w:tcBorders>
            <w:noWrap/>
            <w:vAlign w:val="bottom"/>
            <w:hideMark/>
          </w:tcPr>
          <w:p w14:paraId="5B834EBF"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149,9</w:t>
            </w:r>
          </w:p>
        </w:tc>
        <w:tc>
          <w:tcPr>
            <w:tcW w:w="705" w:type="dxa"/>
            <w:tcBorders>
              <w:top w:val="nil"/>
              <w:left w:val="nil"/>
              <w:bottom w:val="single" w:sz="4" w:space="0" w:color="auto"/>
              <w:right w:val="single" w:sz="4" w:space="0" w:color="auto"/>
            </w:tcBorders>
            <w:noWrap/>
            <w:vAlign w:val="bottom"/>
            <w:hideMark/>
          </w:tcPr>
          <w:p w14:paraId="5770E2B5"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3.972</w:t>
            </w:r>
          </w:p>
        </w:tc>
        <w:tc>
          <w:tcPr>
            <w:tcW w:w="705" w:type="dxa"/>
            <w:tcBorders>
              <w:top w:val="nil"/>
              <w:left w:val="nil"/>
              <w:bottom w:val="single" w:sz="4" w:space="0" w:color="auto"/>
              <w:right w:val="single" w:sz="4" w:space="0" w:color="auto"/>
            </w:tcBorders>
            <w:noWrap/>
            <w:vAlign w:val="bottom"/>
            <w:hideMark/>
          </w:tcPr>
          <w:p w14:paraId="20B6141F"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18.275</w:t>
            </w:r>
          </w:p>
        </w:tc>
        <w:tc>
          <w:tcPr>
            <w:tcW w:w="705" w:type="dxa"/>
            <w:tcBorders>
              <w:top w:val="nil"/>
              <w:left w:val="nil"/>
              <w:bottom w:val="single" w:sz="4" w:space="0" w:color="auto"/>
              <w:right w:val="single" w:sz="4" w:space="0" w:color="auto"/>
            </w:tcBorders>
            <w:noWrap/>
            <w:vAlign w:val="bottom"/>
            <w:hideMark/>
          </w:tcPr>
          <w:p w14:paraId="042E9EFD"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7.885</w:t>
            </w:r>
          </w:p>
        </w:tc>
        <w:tc>
          <w:tcPr>
            <w:tcW w:w="705" w:type="dxa"/>
            <w:tcBorders>
              <w:top w:val="nil"/>
              <w:left w:val="nil"/>
              <w:bottom w:val="single" w:sz="4" w:space="0" w:color="auto"/>
              <w:right w:val="single" w:sz="4" w:space="0" w:color="auto"/>
            </w:tcBorders>
            <w:noWrap/>
            <w:vAlign w:val="bottom"/>
            <w:hideMark/>
          </w:tcPr>
          <w:p w14:paraId="0B960C75"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30.132</w:t>
            </w:r>
          </w:p>
        </w:tc>
        <w:tc>
          <w:tcPr>
            <w:tcW w:w="705" w:type="dxa"/>
            <w:tcBorders>
              <w:top w:val="nil"/>
              <w:left w:val="nil"/>
              <w:bottom w:val="single" w:sz="4" w:space="0" w:color="auto"/>
              <w:right w:val="single" w:sz="4" w:space="0" w:color="auto"/>
            </w:tcBorders>
            <w:noWrap/>
            <w:vAlign w:val="bottom"/>
            <w:hideMark/>
          </w:tcPr>
          <w:p w14:paraId="16688EFE"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2.759</w:t>
            </w:r>
          </w:p>
        </w:tc>
        <w:tc>
          <w:tcPr>
            <w:tcW w:w="705" w:type="dxa"/>
            <w:tcBorders>
              <w:top w:val="nil"/>
              <w:left w:val="nil"/>
              <w:bottom w:val="single" w:sz="4" w:space="0" w:color="auto"/>
              <w:right w:val="single" w:sz="4" w:space="0" w:color="auto"/>
            </w:tcBorders>
            <w:noWrap/>
            <w:vAlign w:val="bottom"/>
            <w:hideMark/>
          </w:tcPr>
          <w:p w14:paraId="44425960"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8.799</w:t>
            </w:r>
          </w:p>
        </w:tc>
        <w:tc>
          <w:tcPr>
            <w:tcW w:w="705" w:type="dxa"/>
            <w:tcBorders>
              <w:top w:val="nil"/>
              <w:left w:val="nil"/>
              <w:bottom w:val="single" w:sz="4" w:space="0" w:color="auto"/>
              <w:right w:val="single" w:sz="4" w:space="0" w:color="auto"/>
            </w:tcBorders>
            <w:noWrap/>
            <w:vAlign w:val="bottom"/>
            <w:hideMark/>
          </w:tcPr>
          <w:p w14:paraId="406B8D12"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2.517</w:t>
            </w:r>
          </w:p>
        </w:tc>
        <w:tc>
          <w:tcPr>
            <w:tcW w:w="705" w:type="dxa"/>
            <w:tcBorders>
              <w:top w:val="nil"/>
              <w:left w:val="nil"/>
              <w:bottom w:val="single" w:sz="4" w:space="0" w:color="auto"/>
              <w:right w:val="single" w:sz="4" w:space="0" w:color="auto"/>
            </w:tcBorders>
            <w:noWrap/>
            <w:vAlign w:val="bottom"/>
            <w:hideMark/>
          </w:tcPr>
          <w:p w14:paraId="790FB32B"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14.075</w:t>
            </w:r>
          </w:p>
        </w:tc>
      </w:tr>
    </w:tbl>
    <w:p w14:paraId="67D2C02C" w14:textId="77777777" w:rsidR="00BE5D1E" w:rsidRPr="005E4BEA" w:rsidRDefault="00BE5D1E" w:rsidP="00FE461F">
      <w:pPr>
        <w:spacing w:line="240" w:lineRule="auto"/>
        <w:jc w:val="both"/>
        <w:rPr>
          <w:rFonts w:cs="Arial"/>
          <w:i/>
          <w:iCs/>
          <w:color w:val="808080"/>
          <w:szCs w:val="20"/>
        </w:rPr>
      </w:pPr>
    </w:p>
    <w:p w14:paraId="06345F55" w14:textId="77777777" w:rsidR="00BE5D1E" w:rsidRPr="005E4BEA" w:rsidRDefault="00BE5D1E" w:rsidP="00FE461F">
      <w:pPr>
        <w:spacing w:line="240" w:lineRule="auto"/>
        <w:jc w:val="both"/>
        <w:rPr>
          <w:rFonts w:cs="Arial"/>
          <w:i/>
          <w:iCs/>
          <w:color w:val="808080"/>
          <w:szCs w:val="20"/>
        </w:rPr>
      </w:pPr>
    </w:p>
    <w:p w14:paraId="0EDDAFE4" w14:textId="292B8905"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*Podatki NIJZ </w:t>
      </w:r>
    </w:p>
    <w:p w14:paraId="69B179C5"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Z ustrezno in v hitrejšem času izvedeno fizioterapevtsko obravnavo lahko skrajšujemo bolniški stalež in tudi zmanjšamo stroške za zdravila. Predlagamo, da se širitve zagotovijo za izvajalce, ki so podali predlog širitev in zagotavljajo prostorske kapacitete ter v večini predlaganih primerih tudi kadrovske.  </w:t>
      </w:r>
    </w:p>
    <w:p w14:paraId="58996065" w14:textId="77777777" w:rsidR="00FE461F" w:rsidRPr="005E4BEA" w:rsidRDefault="00FE461F" w:rsidP="00FE461F">
      <w:pPr>
        <w:spacing w:line="240" w:lineRule="auto"/>
        <w:jc w:val="both"/>
        <w:rPr>
          <w:rFonts w:cs="Arial"/>
          <w:color w:val="AEAAAA" w:themeColor="background2" w:themeShade="BF"/>
          <w:szCs w:val="20"/>
        </w:rPr>
      </w:pPr>
    </w:p>
    <w:p w14:paraId="0F13D6C4"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Finančni učinek: 0,38 mio €</w:t>
      </w:r>
    </w:p>
    <w:p w14:paraId="0722C90A" w14:textId="4EEA4C65" w:rsidR="00FE461F" w:rsidRPr="005E4BEA" w:rsidRDefault="00FE461F" w:rsidP="00FE461F">
      <w:pPr>
        <w:spacing w:line="240" w:lineRule="auto"/>
        <w:jc w:val="both"/>
        <w:rPr>
          <w:rFonts w:cs="Arial"/>
          <w:i/>
          <w:iCs/>
          <w:color w:val="808080"/>
          <w:szCs w:val="20"/>
        </w:rPr>
      </w:pPr>
    </w:p>
    <w:p w14:paraId="08CC8414" w14:textId="77777777" w:rsidR="00A7164C" w:rsidRPr="005E4BEA" w:rsidRDefault="00487C03" w:rsidP="00A7164C">
      <w:pPr>
        <w:spacing w:line="240" w:lineRule="auto"/>
        <w:jc w:val="both"/>
        <w:rPr>
          <w:rFonts w:cs="Arial"/>
          <w:i/>
          <w:color w:val="808080" w:themeColor="background1" w:themeShade="80"/>
          <w:szCs w:val="20"/>
        </w:rPr>
      </w:pPr>
      <w:r w:rsidRPr="005E4BEA">
        <w:rPr>
          <w:rFonts w:eastAsia="Arial Narrow" w:cs="Arial"/>
          <w:b/>
          <w:szCs w:val="20"/>
        </w:rPr>
        <w:t>Stališče Ministrstva za zdravje:</w:t>
      </w:r>
      <w:r w:rsidRPr="005E4BEA">
        <w:rPr>
          <w:rFonts w:eastAsia="Arial Narrow" w:cs="Arial"/>
          <w:szCs w:val="20"/>
        </w:rPr>
        <w:t xml:space="preserve"> Ministrstvo za zdravje se s</w:t>
      </w:r>
      <w:r w:rsidR="00A7164C" w:rsidRPr="005E4BEA">
        <w:rPr>
          <w:rFonts w:eastAsia="Arial Narrow" w:cs="Arial"/>
          <w:szCs w:val="20"/>
        </w:rPr>
        <w:t xml:space="preserve">trinja s predlogom v modificirani obliki, in sicer se </w:t>
      </w:r>
      <w:r w:rsidRPr="005E4BEA">
        <w:rPr>
          <w:rFonts w:eastAsia="Arial Narrow" w:cs="Arial"/>
          <w:szCs w:val="20"/>
        </w:rPr>
        <w:t xml:space="preserve"> </w:t>
      </w:r>
      <w:r w:rsidR="00A7164C" w:rsidRPr="005E4BEA">
        <w:rPr>
          <w:rFonts w:cs="Arial"/>
          <w:szCs w:val="20"/>
        </w:rPr>
        <w:t>v 24. členu v šestem odstavku za nujne širitve programov oziroma uvajanje novih terapij pri zdravljenju v okviru prvega in drugega odstavka tega člena načrtujejo dodatna sredstva:</w:t>
      </w:r>
    </w:p>
    <w:p w14:paraId="44A22020" w14:textId="77001C66" w:rsidR="000819C3" w:rsidRPr="005E4BEA" w:rsidRDefault="000819C3" w:rsidP="00487C03">
      <w:pPr>
        <w:autoSpaceDE w:val="0"/>
        <w:autoSpaceDN w:val="0"/>
        <w:adjustRightInd w:val="0"/>
        <w:spacing w:line="0" w:lineRule="atLeast"/>
        <w:jc w:val="both"/>
        <w:rPr>
          <w:rFonts w:eastAsia="Arial Narrow" w:cs="Arial"/>
          <w:szCs w:val="20"/>
        </w:rPr>
      </w:pPr>
    </w:p>
    <w:tbl>
      <w:tblPr>
        <w:tblW w:w="8627" w:type="dxa"/>
        <w:tblCellMar>
          <w:left w:w="70" w:type="dxa"/>
          <w:right w:w="70" w:type="dxa"/>
        </w:tblCellMar>
        <w:tblLook w:val="04A0" w:firstRow="1" w:lastRow="0" w:firstColumn="1" w:lastColumn="0" w:noHBand="0" w:noVBand="1"/>
      </w:tblPr>
      <w:tblGrid>
        <w:gridCol w:w="2368"/>
        <w:gridCol w:w="1881"/>
        <w:gridCol w:w="1622"/>
        <w:gridCol w:w="1313"/>
        <w:gridCol w:w="1443"/>
      </w:tblGrid>
      <w:tr w:rsidR="000819C3" w:rsidRPr="000819C3" w14:paraId="28AB8F80" w14:textId="77777777" w:rsidTr="000819C3">
        <w:trPr>
          <w:trHeight w:val="1209"/>
        </w:trPr>
        <w:tc>
          <w:tcPr>
            <w:tcW w:w="2368"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1AB737D4" w14:textId="77777777" w:rsidR="000819C3" w:rsidRPr="000819C3" w:rsidRDefault="000819C3" w:rsidP="000819C3">
            <w:pPr>
              <w:spacing w:line="240" w:lineRule="auto"/>
              <w:jc w:val="center"/>
              <w:rPr>
                <w:rFonts w:cs="Arial"/>
                <w:b/>
                <w:bCs/>
                <w:color w:val="000000"/>
                <w:szCs w:val="20"/>
                <w:lang w:eastAsia="sl-SI"/>
              </w:rPr>
            </w:pPr>
            <w:bookmarkStart w:id="49" w:name="_Hlk103005489"/>
            <w:r w:rsidRPr="000819C3">
              <w:rPr>
                <w:rFonts w:cs="Arial"/>
                <w:b/>
                <w:bCs/>
                <w:color w:val="000000"/>
                <w:szCs w:val="20"/>
                <w:lang w:eastAsia="sl-SI"/>
              </w:rPr>
              <w:t>P r o g r a m</w:t>
            </w:r>
          </w:p>
        </w:tc>
        <w:tc>
          <w:tcPr>
            <w:tcW w:w="1881" w:type="dxa"/>
            <w:tcBorders>
              <w:top w:val="single" w:sz="8" w:space="0" w:color="auto"/>
              <w:left w:val="nil"/>
              <w:bottom w:val="single" w:sz="8" w:space="0" w:color="auto"/>
              <w:right w:val="single" w:sz="8" w:space="0" w:color="auto"/>
            </w:tcBorders>
            <w:shd w:val="clear" w:color="000000" w:fill="8EAADB"/>
            <w:noWrap/>
            <w:vAlign w:val="center"/>
            <w:hideMark/>
          </w:tcPr>
          <w:p w14:paraId="01E58F72" w14:textId="77777777" w:rsidR="000819C3" w:rsidRPr="000819C3" w:rsidRDefault="000819C3" w:rsidP="000819C3">
            <w:pPr>
              <w:spacing w:line="240" w:lineRule="auto"/>
              <w:jc w:val="center"/>
              <w:rPr>
                <w:rFonts w:cs="Arial"/>
                <w:b/>
                <w:bCs/>
                <w:color w:val="000000"/>
                <w:szCs w:val="20"/>
                <w:lang w:eastAsia="sl-SI"/>
              </w:rPr>
            </w:pPr>
            <w:r w:rsidRPr="000819C3">
              <w:rPr>
                <w:rFonts w:cs="Arial"/>
                <w:b/>
                <w:bCs/>
                <w:color w:val="000000"/>
                <w:szCs w:val="20"/>
                <w:lang w:eastAsia="sl-SI"/>
              </w:rPr>
              <w:t>I z v a j a l e c</w:t>
            </w:r>
          </w:p>
        </w:tc>
        <w:tc>
          <w:tcPr>
            <w:tcW w:w="1622" w:type="dxa"/>
            <w:tcBorders>
              <w:top w:val="single" w:sz="8" w:space="0" w:color="auto"/>
              <w:left w:val="nil"/>
              <w:bottom w:val="single" w:sz="8" w:space="0" w:color="auto"/>
              <w:right w:val="single" w:sz="8" w:space="0" w:color="auto"/>
            </w:tcBorders>
            <w:shd w:val="clear" w:color="000000" w:fill="8EAADB"/>
            <w:vAlign w:val="center"/>
            <w:hideMark/>
          </w:tcPr>
          <w:p w14:paraId="5EBCAA35" w14:textId="77777777" w:rsidR="000819C3" w:rsidRPr="000819C3" w:rsidRDefault="000819C3" w:rsidP="000819C3">
            <w:pPr>
              <w:spacing w:line="240" w:lineRule="auto"/>
              <w:jc w:val="center"/>
              <w:rPr>
                <w:rFonts w:cs="Arial"/>
                <w:b/>
                <w:bCs/>
                <w:color w:val="000000"/>
                <w:szCs w:val="20"/>
                <w:lang w:eastAsia="sl-SI"/>
              </w:rPr>
            </w:pPr>
            <w:r w:rsidRPr="000819C3">
              <w:rPr>
                <w:rFonts w:cs="Arial"/>
                <w:b/>
                <w:bCs/>
                <w:color w:val="000000"/>
                <w:szCs w:val="20"/>
                <w:lang w:eastAsia="sl-SI"/>
              </w:rPr>
              <w:t>Obseg programa</w:t>
            </w:r>
          </w:p>
        </w:tc>
        <w:tc>
          <w:tcPr>
            <w:tcW w:w="1313" w:type="dxa"/>
            <w:tcBorders>
              <w:top w:val="single" w:sz="8" w:space="0" w:color="auto"/>
              <w:left w:val="nil"/>
              <w:bottom w:val="single" w:sz="8" w:space="0" w:color="auto"/>
              <w:right w:val="single" w:sz="8" w:space="0" w:color="auto"/>
            </w:tcBorders>
            <w:shd w:val="clear" w:color="000000" w:fill="8EAADB"/>
            <w:vAlign w:val="center"/>
            <w:hideMark/>
          </w:tcPr>
          <w:p w14:paraId="06DA8A07" w14:textId="77777777" w:rsidR="000819C3" w:rsidRPr="000819C3" w:rsidRDefault="000819C3" w:rsidP="000819C3">
            <w:pPr>
              <w:spacing w:line="240" w:lineRule="auto"/>
              <w:jc w:val="center"/>
              <w:rPr>
                <w:rFonts w:cs="Arial"/>
                <w:b/>
                <w:bCs/>
                <w:color w:val="000000"/>
                <w:szCs w:val="20"/>
                <w:lang w:eastAsia="sl-SI"/>
              </w:rPr>
            </w:pPr>
            <w:r w:rsidRPr="000819C3">
              <w:rPr>
                <w:rFonts w:cs="Arial"/>
                <w:b/>
                <w:bCs/>
                <w:color w:val="000000"/>
                <w:szCs w:val="20"/>
                <w:lang w:eastAsia="sl-SI"/>
              </w:rPr>
              <w:t>Dodatna sredstva na letni ravni</w:t>
            </w:r>
          </w:p>
        </w:tc>
        <w:tc>
          <w:tcPr>
            <w:tcW w:w="1443" w:type="dxa"/>
            <w:tcBorders>
              <w:top w:val="single" w:sz="8" w:space="0" w:color="auto"/>
              <w:left w:val="nil"/>
              <w:bottom w:val="single" w:sz="8" w:space="0" w:color="auto"/>
              <w:right w:val="single" w:sz="8" w:space="0" w:color="auto"/>
            </w:tcBorders>
            <w:shd w:val="clear" w:color="000000" w:fill="8EAADB"/>
            <w:vAlign w:val="center"/>
            <w:hideMark/>
          </w:tcPr>
          <w:p w14:paraId="08EDDFB3" w14:textId="77777777" w:rsidR="000819C3" w:rsidRPr="000819C3" w:rsidRDefault="000819C3" w:rsidP="000819C3">
            <w:pPr>
              <w:spacing w:line="240" w:lineRule="auto"/>
              <w:jc w:val="center"/>
              <w:rPr>
                <w:rFonts w:cs="Arial"/>
                <w:b/>
                <w:bCs/>
                <w:color w:val="000000"/>
                <w:szCs w:val="20"/>
                <w:lang w:eastAsia="sl-SI"/>
              </w:rPr>
            </w:pPr>
            <w:r w:rsidRPr="000819C3">
              <w:rPr>
                <w:rFonts w:cs="Arial"/>
                <w:b/>
                <w:bCs/>
                <w:color w:val="000000"/>
                <w:szCs w:val="20"/>
                <w:lang w:eastAsia="sl-SI"/>
              </w:rPr>
              <w:t>Dodatna sredstva od 1.7.2022</w:t>
            </w:r>
          </w:p>
        </w:tc>
      </w:tr>
      <w:tr w:rsidR="000819C3" w:rsidRPr="000819C3" w14:paraId="36CD525A"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58ACE130"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7B47D769"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CELJE</w:t>
            </w:r>
          </w:p>
        </w:tc>
        <w:tc>
          <w:tcPr>
            <w:tcW w:w="1622" w:type="dxa"/>
            <w:tcBorders>
              <w:top w:val="nil"/>
              <w:left w:val="nil"/>
              <w:bottom w:val="single" w:sz="8" w:space="0" w:color="auto"/>
              <w:right w:val="single" w:sz="8" w:space="0" w:color="auto"/>
            </w:tcBorders>
            <w:shd w:val="clear" w:color="000000" w:fill="FFFFFF"/>
            <w:vAlign w:val="center"/>
            <w:hideMark/>
          </w:tcPr>
          <w:p w14:paraId="0E1FC358"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7395C588"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53C7E5F2"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2351E0B6"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7DDD0D93"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245EBA2A"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POSTOJNA </w:t>
            </w:r>
          </w:p>
        </w:tc>
        <w:tc>
          <w:tcPr>
            <w:tcW w:w="1622" w:type="dxa"/>
            <w:tcBorders>
              <w:top w:val="nil"/>
              <w:left w:val="nil"/>
              <w:bottom w:val="single" w:sz="8" w:space="0" w:color="auto"/>
              <w:right w:val="single" w:sz="8" w:space="0" w:color="auto"/>
            </w:tcBorders>
            <w:shd w:val="clear" w:color="000000" w:fill="FFFFFF"/>
            <w:vAlign w:val="center"/>
            <w:hideMark/>
          </w:tcPr>
          <w:p w14:paraId="6118972D"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1,88</w:t>
            </w:r>
          </w:p>
        </w:tc>
        <w:tc>
          <w:tcPr>
            <w:tcW w:w="1313" w:type="dxa"/>
            <w:tcBorders>
              <w:top w:val="nil"/>
              <w:left w:val="nil"/>
              <w:bottom w:val="single" w:sz="8" w:space="0" w:color="auto"/>
              <w:right w:val="single" w:sz="8" w:space="0" w:color="auto"/>
            </w:tcBorders>
            <w:shd w:val="clear" w:color="000000" w:fill="FFFFFF"/>
            <w:vAlign w:val="center"/>
            <w:hideMark/>
          </w:tcPr>
          <w:p w14:paraId="076C82DA"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77.262</w:t>
            </w:r>
          </w:p>
        </w:tc>
        <w:tc>
          <w:tcPr>
            <w:tcW w:w="1443" w:type="dxa"/>
            <w:tcBorders>
              <w:top w:val="nil"/>
              <w:left w:val="nil"/>
              <w:bottom w:val="single" w:sz="8" w:space="0" w:color="auto"/>
              <w:right w:val="single" w:sz="8" w:space="0" w:color="auto"/>
            </w:tcBorders>
            <w:shd w:val="clear" w:color="000000" w:fill="FFFFFF"/>
            <w:vAlign w:val="center"/>
            <w:hideMark/>
          </w:tcPr>
          <w:p w14:paraId="68E48F14"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38.631</w:t>
            </w:r>
          </w:p>
        </w:tc>
      </w:tr>
      <w:tr w:rsidR="000819C3" w:rsidRPr="000819C3" w14:paraId="59FD1119"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72675EB"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39867D02"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SLOVENJ GRADEC </w:t>
            </w:r>
          </w:p>
        </w:tc>
        <w:tc>
          <w:tcPr>
            <w:tcW w:w="1622" w:type="dxa"/>
            <w:tcBorders>
              <w:top w:val="nil"/>
              <w:left w:val="nil"/>
              <w:bottom w:val="single" w:sz="8" w:space="0" w:color="auto"/>
              <w:right w:val="single" w:sz="8" w:space="0" w:color="auto"/>
            </w:tcBorders>
            <w:shd w:val="clear" w:color="000000" w:fill="FFFFFF"/>
            <w:vAlign w:val="center"/>
            <w:hideMark/>
          </w:tcPr>
          <w:p w14:paraId="777677E3"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w:t>
            </w:r>
          </w:p>
        </w:tc>
        <w:tc>
          <w:tcPr>
            <w:tcW w:w="1313" w:type="dxa"/>
            <w:tcBorders>
              <w:top w:val="nil"/>
              <w:left w:val="nil"/>
              <w:bottom w:val="single" w:sz="8" w:space="0" w:color="auto"/>
              <w:right w:val="single" w:sz="8" w:space="0" w:color="auto"/>
            </w:tcBorders>
            <w:shd w:val="clear" w:color="000000" w:fill="FFFFFF"/>
            <w:vAlign w:val="center"/>
            <w:hideMark/>
          </w:tcPr>
          <w:p w14:paraId="16E22838"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82.194</w:t>
            </w:r>
          </w:p>
        </w:tc>
        <w:tc>
          <w:tcPr>
            <w:tcW w:w="1443" w:type="dxa"/>
            <w:tcBorders>
              <w:top w:val="nil"/>
              <w:left w:val="nil"/>
              <w:bottom w:val="single" w:sz="8" w:space="0" w:color="auto"/>
              <w:right w:val="single" w:sz="8" w:space="0" w:color="auto"/>
            </w:tcBorders>
            <w:shd w:val="clear" w:color="000000" w:fill="FFFFFF"/>
            <w:vAlign w:val="center"/>
            <w:hideMark/>
          </w:tcPr>
          <w:p w14:paraId="7D2D9D6B"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r>
      <w:tr w:rsidR="000819C3" w:rsidRPr="000819C3" w14:paraId="6CD6FFE7"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5C85D667"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157F23F5"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OZG KRANJ</w:t>
            </w:r>
          </w:p>
        </w:tc>
        <w:tc>
          <w:tcPr>
            <w:tcW w:w="1622" w:type="dxa"/>
            <w:tcBorders>
              <w:top w:val="nil"/>
              <w:left w:val="nil"/>
              <w:bottom w:val="single" w:sz="8" w:space="0" w:color="auto"/>
              <w:right w:val="single" w:sz="8" w:space="0" w:color="auto"/>
            </w:tcBorders>
            <w:shd w:val="clear" w:color="000000" w:fill="FFFFFF"/>
            <w:vAlign w:val="center"/>
            <w:hideMark/>
          </w:tcPr>
          <w:p w14:paraId="49932F1E"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6</w:t>
            </w:r>
          </w:p>
        </w:tc>
        <w:tc>
          <w:tcPr>
            <w:tcW w:w="1313" w:type="dxa"/>
            <w:tcBorders>
              <w:top w:val="nil"/>
              <w:left w:val="nil"/>
              <w:bottom w:val="single" w:sz="8" w:space="0" w:color="auto"/>
              <w:right w:val="single" w:sz="8" w:space="0" w:color="auto"/>
            </w:tcBorders>
            <w:shd w:val="clear" w:color="000000" w:fill="FFFFFF"/>
            <w:vAlign w:val="center"/>
            <w:hideMark/>
          </w:tcPr>
          <w:p w14:paraId="2E8365D2"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246.582</w:t>
            </w:r>
          </w:p>
        </w:tc>
        <w:tc>
          <w:tcPr>
            <w:tcW w:w="1443" w:type="dxa"/>
            <w:tcBorders>
              <w:top w:val="nil"/>
              <w:left w:val="nil"/>
              <w:bottom w:val="single" w:sz="8" w:space="0" w:color="auto"/>
              <w:right w:val="single" w:sz="8" w:space="0" w:color="auto"/>
            </w:tcBorders>
            <w:shd w:val="clear" w:color="000000" w:fill="FFFFFF"/>
            <w:vAlign w:val="center"/>
            <w:hideMark/>
          </w:tcPr>
          <w:p w14:paraId="01E5ED8E"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123.291</w:t>
            </w:r>
          </w:p>
        </w:tc>
      </w:tr>
      <w:tr w:rsidR="000819C3" w:rsidRPr="000819C3" w14:paraId="34122E53"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0F243E47"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7C75EFD9"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HRASTNIK </w:t>
            </w:r>
          </w:p>
        </w:tc>
        <w:tc>
          <w:tcPr>
            <w:tcW w:w="1622" w:type="dxa"/>
            <w:tcBorders>
              <w:top w:val="nil"/>
              <w:left w:val="nil"/>
              <w:bottom w:val="single" w:sz="8" w:space="0" w:color="auto"/>
              <w:right w:val="single" w:sz="8" w:space="0" w:color="auto"/>
            </w:tcBorders>
            <w:shd w:val="clear" w:color="000000" w:fill="FFFFFF"/>
            <w:vAlign w:val="center"/>
            <w:hideMark/>
          </w:tcPr>
          <w:p w14:paraId="537F51AA"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0,6</w:t>
            </w:r>
          </w:p>
        </w:tc>
        <w:tc>
          <w:tcPr>
            <w:tcW w:w="1313" w:type="dxa"/>
            <w:tcBorders>
              <w:top w:val="nil"/>
              <w:left w:val="nil"/>
              <w:bottom w:val="single" w:sz="8" w:space="0" w:color="auto"/>
              <w:right w:val="single" w:sz="8" w:space="0" w:color="auto"/>
            </w:tcBorders>
            <w:shd w:val="clear" w:color="000000" w:fill="FFFFFF"/>
            <w:vAlign w:val="center"/>
            <w:hideMark/>
          </w:tcPr>
          <w:p w14:paraId="566CCE15"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24.658</w:t>
            </w:r>
          </w:p>
        </w:tc>
        <w:tc>
          <w:tcPr>
            <w:tcW w:w="1443" w:type="dxa"/>
            <w:tcBorders>
              <w:top w:val="nil"/>
              <w:left w:val="nil"/>
              <w:bottom w:val="single" w:sz="8" w:space="0" w:color="auto"/>
              <w:right w:val="single" w:sz="8" w:space="0" w:color="auto"/>
            </w:tcBorders>
            <w:shd w:val="clear" w:color="000000" w:fill="FFFFFF"/>
            <w:vAlign w:val="center"/>
            <w:hideMark/>
          </w:tcPr>
          <w:p w14:paraId="272AE7FA"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12.329</w:t>
            </w:r>
          </w:p>
        </w:tc>
      </w:tr>
      <w:tr w:rsidR="000819C3" w:rsidRPr="000819C3" w14:paraId="28739042"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887EB16"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1528907"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ILIRSKA BISTRICA </w:t>
            </w:r>
          </w:p>
        </w:tc>
        <w:tc>
          <w:tcPr>
            <w:tcW w:w="1622" w:type="dxa"/>
            <w:tcBorders>
              <w:top w:val="nil"/>
              <w:left w:val="nil"/>
              <w:bottom w:val="single" w:sz="8" w:space="0" w:color="auto"/>
              <w:right w:val="single" w:sz="8" w:space="0" w:color="auto"/>
            </w:tcBorders>
            <w:shd w:val="clear" w:color="000000" w:fill="FFFFFF"/>
            <w:vAlign w:val="center"/>
            <w:hideMark/>
          </w:tcPr>
          <w:p w14:paraId="665FA9CE"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0,5</w:t>
            </w:r>
          </w:p>
        </w:tc>
        <w:tc>
          <w:tcPr>
            <w:tcW w:w="1313" w:type="dxa"/>
            <w:tcBorders>
              <w:top w:val="nil"/>
              <w:left w:val="nil"/>
              <w:bottom w:val="single" w:sz="8" w:space="0" w:color="auto"/>
              <w:right w:val="single" w:sz="8" w:space="0" w:color="auto"/>
            </w:tcBorders>
            <w:shd w:val="clear" w:color="000000" w:fill="FFFFFF"/>
            <w:vAlign w:val="center"/>
            <w:hideMark/>
          </w:tcPr>
          <w:p w14:paraId="7F0242F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c>
          <w:tcPr>
            <w:tcW w:w="1443" w:type="dxa"/>
            <w:tcBorders>
              <w:top w:val="nil"/>
              <w:left w:val="nil"/>
              <w:bottom w:val="single" w:sz="8" w:space="0" w:color="auto"/>
              <w:right w:val="single" w:sz="8" w:space="0" w:color="auto"/>
            </w:tcBorders>
            <w:shd w:val="clear" w:color="000000" w:fill="FFFFFF"/>
            <w:vAlign w:val="center"/>
            <w:hideMark/>
          </w:tcPr>
          <w:p w14:paraId="14D0C71E"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10.274</w:t>
            </w:r>
          </w:p>
        </w:tc>
      </w:tr>
      <w:tr w:rsidR="000819C3" w:rsidRPr="000819C3" w14:paraId="4391BDC0"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7471FCF4"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40219B2"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KAMNIK</w:t>
            </w:r>
          </w:p>
        </w:tc>
        <w:tc>
          <w:tcPr>
            <w:tcW w:w="1622" w:type="dxa"/>
            <w:tcBorders>
              <w:top w:val="nil"/>
              <w:left w:val="nil"/>
              <w:bottom w:val="single" w:sz="8" w:space="0" w:color="auto"/>
              <w:right w:val="single" w:sz="8" w:space="0" w:color="auto"/>
            </w:tcBorders>
            <w:shd w:val="clear" w:color="000000" w:fill="FFFFFF"/>
            <w:vAlign w:val="center"/>
            <w:hideMark/>
          </w:tcPr>
          <w:p w14:paraId="6FA0A1A5"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00662AEF"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6A89CD31"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5D4387C2"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492934A8"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4CD5FCED"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KOČEVJE </w:t>
            </w:r>
          </w:p>
        </w:tc>
        <w:tc>
          <w:tcPr>
            <w:tcW w:w="1622" w:type="dxa"/>
            <w:tcBorders>
              <w:top w:val="nil"/>
              <w:left w:val="nil"/>
              <w:bottom w:val="single" w:sz="8" w:space="0" w:color="auto"/>
              <w:right w:val="single" w:sz="8" w:space="0" w:color="auto"/>
            </w:tcBorders>
            <w:shd w:val="clear" w:color="000000" w:fill="FFFFFF"/>
            <w:vAlign w:val="center"/>
            <w:hideMark/>
          </w:tcPr>
          <w:p w14:paraId="4854FF84"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0,5</w:t>
            </w:r>
          </w:p>
        </w:tc>
        <w:tc>
          <w:tcPr>
            <w:tcW w:w="1313" w:type="dxa"/>
            <w:tcBorders>
              <w:top w:val="nil"/>
              <w:left w:val="nil"/>
              <w:bottom w:val="single" w:sz="8" w:space="0" w:color="auto"/>
              <w:right w:val="single" w:sz="8" w:space="0" w:color="auto"/>
            </w:tcBorders>
            <w:shd w:val="clear" w:color="000000" w:fill="FFFFFF"/>
            <w:vAlign w:val="center"/>
            <w:hideMark/>
          </w:tcPr>
          <w:p w14:paraId="7FDB489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c>
          <w:tcPr>
            <w:tcW w:w="1443" w:type="dxa"/>
            <w:tcBorders>
              <w:top w:val="nil"/>
              <w:left w:val="nil"/>
              <w:bottom w:val="single" w:sz="8" w:space="0" w:color="auto"/>
              <w:right w:val="single" w:sz="8" w:space="0" w:color="auto"/>
            </w:tcBorders>
            <w:shd w:val="clear" w:color="000000" w:fill="FFFFFF"/>
            <w:vAlign w:val="center"/>
            <w:hideMark/>
          </w:tcPr>
          <w:p w14:paraId="1A7D8AD3"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10.274</w:t>
            </w:r>
          </w:p>
        </w:tc>
      </w:tr>
      <w:tr w:rsidR="000819C3" w:rsidRPr="000819C3" w14:paraId="65B7A384"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02BC05C8"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2367724"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KOPER</w:t>
            </w:r>
          </w:p>
        </w:tc>
        <w:tc>
          <w:tcPr>
            <w:tcW w:w="1622" w:type="dxa"/>
            <w:tcBorders>
              <w:top w:val="nil"/>
              <w:left w:val="nil"/>
              <w:bottom w:val="single" w:sz="8" w:space="0" w:color="auto"/>
              <w:right w:val="single" w:sz="8" w:space="0" w:color="auto"/>
            </w:tcBorders>
            <w:shd w:val="clear" w:color="000000" w:fill="FFFFFF"/>
            <w:vAlign w:val="center"/>
            <w:hideMark/>
          </w:tcPr>
          <w:p w14:paraId="7E855D5E"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5D5BE650"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299F777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1DD64249"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5108E621"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D715E65"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LJUTOMER</w:t>
            </w:r>
          </w:p>
        </w:tc>
        <w:tc>
          <w:tcPr>
            <w:tcW w:w="1622" w:type="dxa"/>
            <w:tcBorders>
              <w:top w:val="nil"/>
              <w:left w:val="nil"/>
              <w:bottom w:val="single" w:sz="8" w:space="0" w:color="auto"/>
              <w:right w:val="single" w:sz="8" w:space="0" w:color="auto"/>
            </w:tcBorders>
            <w:shd w:val="clear" w:color="000000" w:fill="FFFFFF"/>
            <w:vAlign w:val="center"/>
            <w:hideMark/>
          </w:tcPr>
          <w:p w14:paraId="613F43C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5318D3A8"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7A7CB91B"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0181942B"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FB9BF90"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3F6D75F"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NAZARJE</w:t>
            </w:r>
          </w:p>
        </w:tc>
        <w:tc>
          <w:tcPr>
            <w:tcW w:w="1622" w:type="dxa"/>
            <w:tcBorders>
              <w:top w:val="nil"/>
              <w:left w:val="nil"/>
              <w:bottom w:val="single" w:sz="8" w:space="0" w:color="auto"/>
              <w:right w:val="single" w:sz="8" w:space="0" w:color="auto"/>
            </w:tcBorders>
            <w:shd w:val="clear" w:color="000000" w:fill="FFFFFF"/>
            <w:vAlign w:val="center"/>
            <w:hideMark/>
          </w:tcPr>
          <w:p w14:paraId="3FB12C1B"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0,5</w:t>
            </w:r>
          </w:p>
        </w:tc>
        <w:tc>
          <w:tcPr>
            <w:tcW w:w="1313" w:type="dxa"/>
            <w:tcBorders>
              <w:top w:val="nil"/>
              <w:left w:val="nil"/>
              <w:bottom w:val="single" w:sz="8" w:space="0" w:color="auto"/>
              <w:right w:val="single" w:sz="8" w:space="0" w:color="auto"/>
            </w:tcBorders>
            <w:shd w:val="clear" w:color="000000" w:fill="FFFFFF"/>
            <w:vAlign w:val="center"/>
            <w:hideMark/>
          </w:tcPr>
          <w:p w14:paraId="0AF5E46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c>
          <w:tcPr>
            <w:tcW w:w="1443" w:type="dxa"/>
            <w:tcBorders>
              <w:top w:val="nil"/>
              <w:left w:val="nil"/>
              <w:bottom w:val="single" w:sz="8" w:space="0" w:color="auto"/>
              <w:right w:val="single" w:sz="8" w:space="0" w:color="auto"/>
            </w:tcBorders>
            <w:shd w:val="clear" w:color="000000" w:fill="FFFFFF"/>
            <w:vAlign w:val="center"/>
            <w:hideMark/>
          </w:tcPr>
          <w:p w14:paraId="1648CA32"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10.274</w:t>
            </w:r>
          </w:p>
        </w:tc>
      </w:tr>
      <w:tr w:rsidR="000819C3" w:rsidRPr="000819C3" w14:paraId="53D0E35D"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631DEB58"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DDA71E1"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NOVO MESTO </w:t>
            </w:r>
          </w:p>
        </w:tc>
        <w:tc>
          <w:tcPr>
            <w:tcW w:w="1622" w:type="dxa"/>
            <w:tcBorders>
              <w:top w:val="nil"/>
              <w:left w:val="nil"/>
              <w:bottom w:val="single" w:sz="8" w:space="0" w:color="auto"/>
              <w:right w:val="single" w:sz="8" w:space="0" w:color="auto"/>
            </w:tcBorders>
            <w:shd w:val="clear" w:color="000000" w:fill="FFFFFF"/>
            <w:vAlign w:val="center"/>
            <w:hideMark/>
          </w:tcPr>
          <w:p w14:paraId="104F7AB1"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54228362"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4B173173"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0641EB18"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0FAF57C8"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4C743D6"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ORMOŽ </w:t>
            </w:r>
          </w:p>
        </w:tc>
        <w:tc>
          <w:tcPr>
            <w:tcW w:w="1622" w:type="dxa"/>
            <w:tcBorders>
              <w:top w:val="nil"/>
              <w:left w:val="nil"/>
              <w:bottom w:val="single" w:sz="8" w:space="0" w:color="auto"/>
              <w:right w:val="single" w:sz="8" w:space="0" w:color="auto"/>
            </w:tcBorders>
            <w:shd w:val="clear" w:color="000000" w:fill="FFFFFF"/>
            <w:vAlign w:val="center"/>
            <w:hideMark/>
          </w:tcPr>
          <w:p w14:paraId="7B823AB6"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4E134D61"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558C666B"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63511E6F"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29E4B17D"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4579E3F9"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PTUJ </w:t>
            </w:r>
          </w:p>
        </w:tc>
        <w:tc>
          <w:tcPr>
            <w:tcW w:w="1622" w:type="dxa"/>
            <w:tcBorders>
              <w:top w:val="nil"/>
              <w:left w:val="nil"/>
              <w:bottom w:val="single" w:sz="8" w:space="0" w:color="auto"/>
              <w:right w:val="single" w:sz="8" w:space="0" w:color="auto"/>
            </w:tcBorders>
            <w:shd w:val="clear" w:color="000000" w:fill="FFFFFF"/>
            <w:vAlign w:val="center"/>
            <w:hideMark/>
          </w:tcPr>
          <w:p w14:paraId="702B9FF2"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54A3F49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0EBDB84"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2900D63B"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A096D1A"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16AB640D"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RADLJE OB DRAVI </w:t>
            </w:r>
          </w:p>
        </w:tc>
        <w:tc>
          <w:tcPr>
            <w:tcW w:w="1622" w:type="dxa"/>
            <w:tcBorders>
              <w:top w:val="nil"/>
              <w:left w:val="nil"/>
              <w:bottom w:val="single" w:sz="8" w:space="0" w:color="auto"/>
              <w:right w:val="single" w:sz="8" w:space="0" w:color="auto"/>
            </w:tcBorders>
            <w:shd w:val="clear" w:color="000000" w:fill="FFFFFF"/>
            <w:vAlign w:val="center"/>
            <w:hideMark/>
          </w:tcPr>
          <w:p w14:paraId="482A05E3"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0,75</w:t>
            </w:r>
          </w:p>
        </w:tc>
        <w:tc>
          <w:tcPr>
            <w:tcW w:w="1313" w:type="dxa"/>
            <w:tcBorders>
              <w:top w:val="nil"/>
              <w:left w:val="nil"/>
              <w:bottom w:val="single" w:sz="8" w:space="0" w:color="auto"/>
              <w:right w:val="single" w:sz="8" w:space="0" w:color="auto"/>
            </w:tcBorders>
            <w:shd w:val="clear" w:color="000000" w:fill="FFFFFF"/>
            <w:vAlign w:val="center"/>
            <w:hideMark/>
          </w:tcPr>
          <w:p w14:paraId="0F30B407"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30.823</w:t>
            </w:r>
          </w:p>
        </w:tc>
        <w:tc>
          <w:tcPr>
            <w:tcW w:w="1443" w:type="dxa"/>
            <w:tcBorders>
              <w:top w:val="nil"/>
              <w:left w:val="nil"/>
              <w:bottom w:val="single" w:sz="8" w:space="0" w:color="auto"/>
              <w:right w:val="single" w:sz="8" w:space="0" w:color="auto"/>
            </w:tcBorders>
            <w:shd w:val="clear" w:color="000000" w:fill="FFFFFF"/>
            <w:vAlign w:val="center"/>
            <w:hideMark/>
          </w:tcPr>
          <w:p w14:paraId="5A772CD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15.411</w:t>
            </w:r>
          </w:p>
        </w:tc>
      </w:tr>
      <w:tr w:rsidR="000819C3" w:rsidRPr="000819C3" w14:paraId="728D61BD"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202754E6"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1FF0CFA0"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VELENJE</w:t>
            </w:r>
          </w:p>
        </w:tc>
        <w:tc>
          <w:tcPr>
            <w:tcW w:w="1622" w:type="dxa"/>
            <w:tcBorders>
              <w:top w:val="nil"/>
              <w:left w:val="nil"/>
              <w:bottom w:val="single" w:sz="8" w:space="0" w:color="auto"/>
              <w:right w:val="single" w:sz="8" w:space="0" w:color="auto"/>
            </w:tcBorders>
            <w:shd w:val="clear" w:color="000000" w:fill="FFFFFF"/>
            <w:vAlign w:val="center"/>
            <w:hideMark/>
          </w:tcPr>
          <w:p w14:paraId="7459FF52"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3BA4D098"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CE32EF6"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3420C229"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4EB8FB7"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4BF5234A"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 xml:space="preserve">ZD VRHNIKA </w:t>
            </w:r>
          </w:p>
        </w:tc>
        <w:tc>
          <w:tcPr>
            <w:tcW w:w="1622" w:type="dxa"/>
            <w:tcBorders>
              <w:top w:val="nil"/>
              <w:left w:val="nil"/>
              <w:bottom w:val="single" w:sz="8" w:space="0" w:color="auto"/>
              <w:right w:val="single" w:sz="8" w:space="0" w:color="auto"/>
            </w:tcBorders>
            <w:shd w:val="clear" w:color="000000" w:fill="FFFFFF"/>
            <w:vAlign w:val="center"/>
            <w:hideMark/>
          </w:tcPr>
          <w:p w14:paraId="1657B67C"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3E007C67"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3B14E97"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6B586BA9"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67C5676C"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1B1D93D8"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RIBNICA</w:t>
            </w:r>
          </w:p>
        </w:tc>
        <w:tc>
          <w:tcPr>
            <w:tcW w:w="1622" w:type="dxa"/>
            <w:tcBorders>
              <w:top w:val="nil"/>
              <w:left w:val="nil"/>
              <w:bottom w:val="single" w:sz="8" w:space="0" w:color="auto"/>
              <w:right w:val="single" w:sz="8" w:space="0" w:color="auto"/>
            </w:tcBorders>
            <w:shd w:val="clear" w:color="000000" w:fill="FFFFFF"/>
            <w:vAlign w:val="center"/>
            <w:hideMark/>
          </w:tcPr>
          <w:p w14:paraId="58BD97BD"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0,9</w:t>
            </w:r>
          </w:p>
        </w:tc>
        <w:tc>
          <w:tcPr>
            <w:tcW w:w="1313" w:type="dxa"/>
            <w:tcBorders>
              <w:top w:val="nil"/>
              <w:left w:val="nil"/>
              <w:bottom w:val="single" w:sz="8" w:space="0" w:color="auto"/>
              <w:right w:val="single" w:sz="8" w:space="0" w:color="auto"/>
            </w:tcBorders>
            <w:shd w:val="clear" w:color="000000" w:fill="FFFFFF"/>
            <w:vAlign w:val="center"/>
            <w:hideMark/>
          </w:tcPr>
          <w:p w14:paraId="7C73186E"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36.987</w:t>
            </w:r>
          </w:p>
        </w:tc>
        <w:tc>
          <w:tcPr>
            <w:tcW w:w="1443" w:type="dxa"/>
            <w:tcBorders>
              <w:top w:val="nil"/>
              <w:left w:val="nil"/>
              <w:bottom w:val="single" w:sz="8" w:space="0" w:color="auto"/>
              <w:right w:val="single" w:sz="8" w:space="0" w:color="auto"/>
            </w:tcBorders>
            <w:shd w:val="clear" w:color="000000" w:fill="FFFFFF"/>
            <w:vAlign w:val="center"/>
            <w:hideMark/>
          </w:tcPr>
          <w:p w14:paraId="667D2DF1"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18.494</w:t>
            </w:r>
          </w:p>
        </w:tc>
      </w:tr>
      <w:tr w:rsidR="000819C3" w:rsidRPr="000819C3" w14:paraId="6B7B08F8"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A272EED"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lastRenderedPageBreak/>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C400FBF" w14:textId="77777777" w:rsidR="000819C3" w:rsidRPr="000819C3" w:rsidRDefault="000819C3" w:rsidP="000819C3">
            <w:pPr>
              <w:spacing w:line="240" w:lineRule="auto"/>
              <w:rPr>
                <w:rFonts w:cs="Arial"/>
                <w:color w:val="000000"/>
                <w:szCs w:val="20"/>
                <w:lang w:eastAsia="sl-SI"/>
              </w:rPr>
            </w:pPr>
            <w:r w:rsidRPr="000819C3">
              <w:rPr>
                <w:rFonts w:cs="Arial"/>
                <w:szCs w:val="20"/>
                <w:lang w:eastAsia="sl-SI"/>
              </w:rPr>
              <w:t>ZD LAŠKO</w:t>
            </w:r>
          </w:p>
        </w:tc>
        <w:tc>
          <w:tcPr>
            <w:tcW w:w="1622" w:type="dxa"/>
            <w:tcBorders>
              <w:top w:val="nil"/>
              <w:left w:val="nil"/>
              <w:bottom w:val="single" w:sz="8" w:space="0" w:color="auto"/>
              <w:right w:val="single" w:sz="8" w:space="0" w:color="auto"/>
            </w:tcBorders>
            <w:shd w:val="clear" w:color="000000" w:fill="FFFFFF"/>
            <w:vAlign w:val="center"/>
            <w:hideMark/>
          </w:tcPr>
          <w:p w14:paraId="10A8B71B"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33853A6F"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191F93EF"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165E7EAC" w14:textId="77777777" w:rsidTr="000819C3">
        <w:trPr>
          <w:trHeight w:val="613"/>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6A14076E"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1D6DF230"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Splošna bolnišnica Novo mesto</w:t>
            </w:r>
          </w:p>
        </w:tc>
        <w:tc>
          <w:tcPr>
            <w:tcW w:w="1622" w:type="dxa"/>
            <w:tcBorders>
              <w:top w:val="nil"/>
              <w:left w:val="nil"/>
              <w:bottom w:val="single" w:sz="8" w:space="0" w:color="auto"/>
              <w:right w:val="single" w:sz="8" w:space="0" w:color="auto"/>
            </w:tcBorders>
            <w:shd w:val="clear" w:color="000000" w:fill="FFFFFF"/>
            <w:vAlign w:val="center"/>
            <w:hideMark/>
          </w:tcPr>
          <w:p w14:paraId="1DF0CC25" w14:textId="77777777" w:rsidR="000819C3" w:rsidRPr="000819C3" w:rsidRDefault="000819C3" w:rsidP="000819C3">
            <w:pPr>
              <w:spacing w:line="240" w:lineRule="auto"/>
              <w:jc w:val="center"/>
              <w:rPr>
                <w:rFonts w:cs="Arial"/>
                <w:color w:val="000000"/>
                <w:szCs w:val="20"/>
                <w:lang w:eastAsia="sl-SI"/>
              </w:rPr>
            </w:pPr>
            <w:r w:rsidRPr="000819C3">
              <w:rPr>
                <w:rFonts w:cs="Arial"/>
                <w:color w:val="000000"/>
                <w:szCs w:val="20"/>
                <w:lang w:eastAsia="sl-SI"/>
              </w:rPr>
              <w:t>1,5</w:t>
            </w:r>
          </w:p>
        </w:tc>
        <w:tc>
          <w:tcPr>
            <w:tcW w:w="1313" w:type="dxa"/>
            <w:tcBorders>
              <w:top w:val="nil"/>
              <w:left w:val="nil"/>
              <w:bottom w:val="single" w:sz="8" w:space="0" w:color="auto"/>
              <w:right w:val="single" w:sz="8" w:space="0" w:color="auto"/>
            </w:tcBorders>
            <w:shd w:val="clear" w:color="000000" w:fill="FFFFFF"/>
            <w:vAlign w:val="center"/>
            <w:hideMark/>
          </w:tcPr>
          <w:p w14:paraId="39D45D77" w14:textId="77777777" w:rsidR="000819C3" w:rsidRPr="000819C3" w:rsidRDefault="000819C3" w:rsidP="000819C3">
            <w:pPr>
              <w:spacing w:line="240" w:lineRule="auto"/>
              <w:jc w:val="right"/>
              <w:rPr>
                <w:rFonts w:cs="Arial"/>
                <w:color w:val="000000"/>
                <w:szCs w:val="20"/>
                <w:lang w:eastAsia="sl-SI"/>
              </w:rPr>
            </w:pPr>
            <w:r w:rsidRPr="000819C3">
              <w:rPr>
                <w:rFonts w:cs="Arial"/>
                <w:color w:val="000000"/>
                <w:szCs w:val="20"/>
                <w:lang w:eastAsia="sl-SI"/>
              </w:rPr>
              <w:t>61.646</w:t>
            </w:r>
          </w:p>
        </w:tc>
        <w:tc>
          <w:tcPr>
            <w:tcW w:w="1443" w:type="dxa"/>
            <w:tcBorders>
              <w:top w:val="nil"/>
              <w:left w:val="nil"/>
              <w:bottom w:val="single" w:sz="8" w:space="0" w:color="auto"/>
              <w:right w:val="single" w:sz="8" w:space="0" w:color="auto"/>
            </w:tcBorders>
            <w:shd w:val="clear" w:color="000000" w:fill="FFFFFF"/>
            <w:vAlign w:val="center"/>
            <w:hideMark/>
          </w:tcPr>
          <w:p w14:paraId="231276A6"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30.823</w:t>
            </w:r>
          </w:p>
        </w:tc>
      </w:tr>
      <w:tr w:rsidR="000819C3" w:rsidRPr="000819C3" w14:paraId="465A9F37" w14:textId="77777777" w:rsidTr="000819C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422E4116"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383B01A"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Splošna bolnišnica Ptuj</w:t>
            </w:r>
          </w:p>
        </w:tc>
        <w:tc>
          <w:tcPr>
            <w:tcW w:w="1622" w:type="dxa"/>
            <w:tcBorders>
              <w:top w:val="nil"/>
              <w:left w:val="nil"/>
              <w:bottom w:val="single" w:sz="8" w:space="0" w:color="auto"/>
              <w:right w:val="single" w:sz="8" w:space="0" w:color="auto"/>
            </w:tcBorders>
            <w:shd w:val="clear" w:color="000000" w:fill="FFFFFF"/>
            <w:vAlign w:val="center"/>
            <w:hideMark/>
          </w:tcPr>
          <w:p w14:paraId="6E079761" w14:textId="77777777" w:rsidR="000819C3" w:rsidRPr="000819C3" w:rsidRDefault="000819C3" w:rsidP="000819C3">
            <w:pPr>
              <w:spacing w:line="240" w:lineRule="auto"/>
              <w:jc w:val="center"/>
              <w:rPr>
                <w:rFonts w:cs="Arial"/>
                <w:color w:val="000000"/>
                <w:szCs w:val="20"/>
                <w:lang w:eastAsia="sl-SI"/>
              </w:rPr>
            </w:pPr>
            <w:r w:rsidRPr="000819C3">
              <w:rPr>
                <w:rFonts w:cs="Arial"/>
                <w:color w:val="000000"/>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34475E73" w14:textId="77777777" w:rsidR="000819C3" w:rsidRPr="000819C3" w:rsidRDefault="000819C3" w:rsidP="000819C3">
            <w:pPr>
              <w:spacing w:line="240" w:lineRule="auto"/>
              <w:jc w:val="right"/>
              <w:rPr>
                <w:rFonts w:cs="Arial"/>
                <w:color w:val="000000"/>
                <w:szCs w:val="20"/>
                <w:lang w:eastAsia="sl-SI"/>
              </w:rPr>
            </w:pPr>
            <w:r w:rsidRPr="000819C3">
              <w:rPr>
                <w:rFonts w:cs="Arial"/>
                <w:color w:val="000000"/>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0FF1F25" w14:textId="77777777" w:rsidR="000819C3" w:rsidRPr="000819C3" w:rsidRDefault="000819C3" w:rsidP="000819C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54012496" w14:textId="77777777" w:rsidTr="000819C3">
        <w:trPr>
          <w:trHeight w:val="368"/>
        </w:trPr>
        <w:tc>
          <w:tcPr>
            <w:tcW w:w="2368" w:type="dxa"/>
            <w:tcBorders>
              <w:top w:val="nil"/>
              <w:left w:val="nil"/>
              <w:bottom w:val="nil"/>
              <w:right w:val="nil"/>
            </w:tcBorders>
            <w:shd w:val="clear" w:color="000000" w:fill="FFFFFF"/>
            <w:noWrap/>
            <w:vAlign w:val="center"/>
            <w:hideMark/>
          </w:tcPr>
          <w:p w14:paraId="1D9AD37B"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 </w:t>
            </w:r>
          </w:p>
        </w:tc>
        <w:tc>
          <w:tcPr>
            <w:tcW w:w="1881" w:type="dxa"/>
            <w:tcBorders>
              <w:top w:val="nil"/>
              <w:left w:val="nil"/>
              <w:bottom w:val="nil"/>
              <w:right w:val="nil"/>
            </w:tcBorders>
            <w:shd w:val="clear" w:color="000000" w:fill="FFFFFF"/>
            <w:noWrap/>
            <w:vAlign w:val="center"/>
            <w:hideMark/>
          </w:tcPr>
          <w:p w14:paraId="57AFC8A2"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 </w:t>
            </w:r>
          </w:p>
        </w:tc>
        <w:tc>
          <w:tcPr>
            <w:tcW w:w="1622" w:type="dxa"/>
            <w:tcBorders>
              <w:top w:val="nil"/>
              <w:left w:val="nil"/>
              <w:bottom w:val="nil"/>
              <w:right w:val="nil"/>
            </w:tcBorders>
            <w:shd w:val="clear" w:color="000000" w:fill="FFFFFF"/>
            <w:noWrap/>
            <w:vAlign w:val="center"/>
            <w:hideMark/>
          </w:tcPr>
          <w:p w14:paraId="0DB0DC7A" w14:textId="77777777" w:rsidR="000819C3" w:rsidRPr="000819C3" w:rsidRDefault="000819C3" w:rsidP="000819C3">
            <w:pPr>
              <w:spacing w:line="240" w:lineRule="auto"/>
              <w:rPr>
                <w:rFonts w:cs="Arial"/>
                <w:color w:val="000000"/>
                <w:szCs w:val="20"/>
                <w:lang w:eastAsia="sl-SI"/>
              </w:rPr>
            </w:pPr>
            <w:r w:rsidRPr="000819C3">
              <w:rPr>
                <w:rFonts w:cs="Arial"/>
                <w:color w:val="000000"/>
                <w:szCs w:val="20"/>
                <w:lang w:eastAsia="sl-SI"/>
              </w:rPr>
              <w:t> </w:t>
            </w:r>
          </w:p>
        </w:tc>
        <w:tc>
          <w:tcPr>
            <w:tcW w:w="1313" w:type="dxa"/>
            <w:tcBorders>
              <w:top w:val="nil"/>
              <w:left w:val="single" w:sz="8" w:space="0" w:color="auto"/>
              <w:bottom w:val="single" w:sz="8" w:space="0" w:color="auto"/>
              <w:right w:val="single" w:sz="8" w:space="0" w:color="auto"/>
            </w:tcBorders>
            <w:shd w:val="clear" w:color="000000" w:fill="FFFFFF"/>
            <w:vAlign w:val="center"/>
            <w:hideMark/>
          </w:tcPr>
          <w:p w14:paraId="5506DDD4" w14:textId="77777777" w:rsidR="000819C3" w:rsidRPr="000819C3" w:rsidRDefault="000819C3" w:rsidP="000819C3">
            <w:pPr>
              <w:spacing w:line="240" w:lineRule="auto"/>
              <w:jc w:val="center"/>
              <w:rPr>
                <w:rFonts w:cs="Arial"/>
                <w:color w:val="000000"/>
                <w:szCs w:val="20"/>
                <w:lang w:eastAsia="sl-SI"/>
              </w:rPr>
            </w:pPr>
            <w:r w:rsidRPr="000819C3">
              <w:rPr>
                <w:rFonts w:cs="Arial"/>
                <w:color w:val="000000"/>
                <w:szCs w:val="20"/>
                <w:lang w:eastAsia="sl-SI"/>
              </w:rPr>
              <w:t>1.073.864,61</w:t>
            </w:r>
          </w:p>
        </w:tc>
        <w:tc>
          <w:tcPr>
            <w:tcW w:w="1443" w:type="dxa"/>
            <w:tcBorders>
              <w:top w:val="nil"/>
              <w:left w:val="nil"/>
              <w:bottom w:val="single" w:sz="8" w:space="0" w:color="auto"/>
              <w:right w:val="single" w:sz="8" w:space="0" w:color="auto"/>
            </w:tcBorders>
            <w:shd w:val="clear" w:color="000000" w:fill="FFFFFF"/>
            <w:vAlign w:val="center"/>
            <w:hideMark/>
          </w:tcPr>
          <w:p w14:paraId="0378FFFC" w14:textId="77777777" w:rsidR="000819C3" w:rsidRPr="000819C3" w:rsidRDefault="000819C3" w:rsidP="000819C3">
            <w:pPr>
              <w:spacing w:line="240" w:lineRule="auto"/>
              <w:jc w:val="center"/>
              <w:rPr>
                <w:rFonts w:cs="Arial"/>
                <w:color w:val="000000"/>
                <w:szCs w:val="20"/>
                <w:lang w:eastAsia="sl-SI"/>
              </w:rPr>
            </w:pPr>
            <w:r w:rsidRPr="000819C3">
              <w:rPr>
                <w:rFonts w:cs="Arial"/>
                <w:color w:val="000000"/>
                <w:szCs w:val="20"/>
                <w:lang w:eastAsia="sl-SI"/>
              </w:rPr>
              <w:t>536.932,31</w:t>
            </w:r>
          </w:p>
        </w:tc>
      </w:tr>
      <w:bookmarkEnd w:id="49"/>
    </w:tbl>
    <w:p w14:paraId="01EA0685" w14:textId="13BC94B8" w:rsidR="00487C03" w:rsidRPr="005E4BEA" w:rsidRDefault="00487C03" w:rsidP="00487C03">
      <w:pPr>
        <w:autoSpaceDE w:val="0"/>
        <w:autoSpaceDN w:val="0"/>
        <w:adjustRightInd w:val="0"/>
        <w:spacing w:line="0" w:lineRule="atLeast"/>
        <w:jc w:val="both"/>
        <w:rPr>
          <w:rFonts w:eastAsia="Arial Narrow" w:cs="Arial"/>
          <w:szCs w:val="20"/>
        </w:rPr>
      </w:pPr>
    </w:p>
    <w:p w14:paraId="0A08C78E" w14:textId="77777777" w:rsidR="00487C03" w:rsidRPr="005E4BEA" w:rsidRDefault="00487C03" w:rsidP="00487C03">
      <w:pPr>
        <w:spacing w:line="0" w:lineRule="atLeast"/>
        <w:jc w:val="both"/>
        <w:rPr>
          <w:rFonts w:eastAsia="Arial Narrow" w:cs="Arial"/>
          <w:szCs w:val="20"/>
          <w:lang w:eastAsia="sl-SI"/>
        </w:rPr>
      </w:pPr>
    </w:p>
    <w:p w14:paraId="71E0D6CC" w14:textId="661BAD7F" w:rsidR="0099737B" w:rsidRPr="005E4BEA" w:rsidRDefault="00487C03" w:rsidP="0099737B">
      <w:pPr>
        <w:spacing w:line="240" w:lineRule="auto"/>
        <w:jc w:val="both"/>
        <w:rPr>
          <w:rFonts w:cs="Arial"/>
          <w:i/>
          <w:color w:val="808080" w:themeColor="background1" w:themeShade="80"/>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0099737B" w:rsidRPr="005E4BEA">
        <w:rPr>
          <w:rFonts w:cs="Arial"/>
          <w:szCs w:val="20"/>
        </w:rPr>
        <w:t xml:space="preserve">da se </w:t>
      </w:r>
      <w:bookmarkStart w:id="50" w:name="_Hlk103003961"/>
      <w:r w:rsidR="0099737B" w:rsidRPr="005E4BEA">
        <w:rPr>
          <w:rFonts w:cs="Arial"/>
          <w:szCs w:val="20"/>
        </w:rPr>
        <w:t>v 24. členu v šestem odstavku za nujne širitve programov oziroma uvajanje novih terapij pri zdravljenju v okviru prvega in drugega odstavka tega člena načrtujejo dodatna sredstva:</w:t>
      </w:r>
    </w:p>
    <w:p w14:paraId="599D34BD" w14:textId="77777777" w:rsidR="0099737B" w:rsidRPr="005E4BEA" w:rsidRDefault="0099737B" w:rsidP="0099737B">
      <w:pPr>
        <w:spacing w:line="240" w:lineRule="auto"/>
        <w:jc w:val="both"/>
        <w:rPr>
          <w:rFonts w:cs="Arial"/>
          <w:b/>
          <w:bCs/>
          <w:szCs w:val="20"/>
        </w:rPr>
      </w:pPr>
    </w:p>
    <w:tbl>
      <w:tblPr>
        <w:tblW w:w="8627" w:type="dxa"/>
        <w:tblCellMar>
          <w:left w:w="70" w:type="dxa"/>
          <w:right w:w="70" w:type="dxa"/>
        </w:tblCellMar>
        <w:tblLook w:val="04A0" w:firstRow="1" w:lastRow="0" w:firstColumn="1" w:lastColumn="0" w:noHBand="0" w:noVBand="1"/>
      </w:tblPr>
      <w:tblGrid>
        <w:gridCol w:w="2368"/>
        <w:gridCol w:w="1881"/>
        <w:gridCol w:w="1622"/>
        <w:gridCol w:w="1313"/>
        <w:gridCol w:w="1443"/>
      </w:tblGrid>
      <w:tr w:rsidR="000819C3" w:rsidRPr="000819C3" w14:paraId="48245166" w14:textId="77777777" w:rsidTr="00F40403">
        <w:trPr>
          <w:trHeight w:val="1209"/>
        </w:trPr>
        <w:tc>
          <w:tcPr>
            <w:tcW w:w="2368" w:type="dxa"/>
            <w:tcBorders>
              <w:top w:val="single" w:sz="8" w:space="0" w:color="auto"/>
              <w:left w:val="single" w:sz="8" w:space="0" w:color="auto"/>
              <w:bottom w:val="single" w:sz="8" w:space="0" w:color="auto"/>
              <w:right w:val="single" w:sz="8" w:space="0" w:color="auto"/>
            </w:tcBorders>
            <w:shd w:val="clear" w:color="000000" w:fill="8EAADB"/>
            <w:vAlign w:val="center"/>
            <w:hideMark/>
          </w:tcPr>
          <w:bookmarkEnd w:id="50"/>
          <w:p w14:paraId="36B5DA8A" w14:textId="77777777" w:rsidR="000819C3" w:rsidRPr="000819C3" w:rsidRDefault="000819C3" w:rsidP="00F40403">
            <w:pPr>
              <w:spacing w:line="240" w:lineRule="auto"/>
              <w:jc w:val="center"/>
              <w:rPr>
                <w:rFonts w:cs="Arial"/>
                <w:b/>
                <w:bCs/>
                <w:color w:val="000000"/>
                <w:szCs w:val="20"/>
                <w:lang w:eastAsia="sl-SI"/>
              </w:rPr>
            </w:pPr>
            <w:r w:rsidRPr="000819C3">
              <w:rPr>
                <w:rFonts w:cs="Arial"/>
                <w:b/>
                <w:bCs/>
                <w:color w:val="000000"/>
                <w:szCs w:val="20"/>
                <w:lang w:eastAsia="sl-SI"/>
              </w:rPr>
              <w:t>P r o g r a m</w:t>
            </w:r>
          </w:p>
        </w:tc>
        <w:tc>
          <w:tcPr>
            <w:tcW w:w="1881" w:type="dxa"/>
            <w:tcBorders>
              <w:top w:val="single" w:sz="8" w:space="0" w:color="auto"/>
              <w:left w:val="nil"/>
              <w:bottom w:val="single" w:sz="8" w:space="0" w:color="auto"/>
              <w:right w:val="single" w:sz="8" w:space="0" w:color="auto"/>
            </w:tcBorders>
            <w:shd w:val="clear" w:color="000000" w:fill="8EAADB"/>
            <w:noWrap/>
            <w:vAlign w:val="center"/>
            <w:hideMark/>
          </w:tcPr>
          <w:p w14:paraId="798DA597" w14:textId="77777777" w:rsidR="000819C3" w:rsidRPr="000819C3" w:rsidRDefault="000819C3" w:rsidP="00F40403">
            <w:pPr>
              <w:spacing w:line="240" w:lineRule="auto"/>
              <w:jc w:val="center"/>
              <w:rPr>
                <w:rFonts w:cs="Arial"/>
                <w:b/>
                <w:bCs/>
                <w:color w:val="000000"/>
                <w:szCs w:val="20"/>
                <w:lang w:eastAsia="sl-SI"/>
              </w:rPr>
            </w:pPr>
            <w:r w:rsidRPr="000819C3">
              <w:rPr>
                <w:rFonts w:cs="Arial"/>
                <w:b/>
                <w:bCs/>
                <w:color w:val="000000"/>
                <w:szCs w:val="20"/>
                <w:lang w:eastAsia="sl-SI"/>
              </w:rPr>
              <w:t>I z v a j a l e c</w:t>
            </w:r>
          </w:p>
        </w:tc>
        <w:tc>
          <w:tcPr>
            <w:tcW w:w="1622" w:type="dxa"/>
            <w:tcBorders>
              <w:top w:val="single" w:sz="8" w:space="0" w:color="auto"/>
              <w:left w:val="nil"/>
              <w:bottom w:val="single" w:sz="8" w:space="0" w:color="auto"/>
              <w:right w:val="single" w:sz="8" w:space="0" w:color="auto"/>
            </w:tcBorders>
            <w:shd w:val="clear" w:color="000000" w:fill="8EAADB"/>
            <w:vAlign w:val="center"/>
            <w:hideMark/>
          </w:tcPr>
          <w:p w14:paraId="4A167A4E" w14:textId="77777777" w:rsidR="000819C3" w:rsidRPr="000819C3" w:rsidRDefault="000819C3" w:rsidP="00F40403">
            <w:pPr>
              <w:spacing w:line="240" w:lineRule="auto"/>
              <w:jc w:val="center"/>
              <w:rPr>
                <w:rFonts w:cs="Arial"/>
                <w:b/>
                <w:bCs/>
                <w:color w:val="000000"/>
                <w:szCs w:val="20"/>
                <w:lang w:eastAsia="sl-SI"/>
              </w:rPr>
            </w:pPr>
            <w:r w:rsidRPr="000819C3">
              <w:rPr>
                <w:rFonts w:cs="Arial"/>
                <w:b/>
                <w:bCs/>
                <w:color w:val="000000"/>
                <w:szCs w:val="20"/>
                <w:lang w:eastAsia="sl-SI"/>
              </w:rPr>
              <w:t>Obseg programa</w:t>
            </w:r>
          </w:p>
        </w:tc>
        <w:tc>
          <w:tcPr>
            <w:tcW w:w="1313" w:type="dxa"/>
            <w:tcBorders>
              <w:top w:val="single" w:sz="8" w:space="0" w:color="auto"/>
              <w:left w:val="nil"/>
              <w:bottom w:val="single" w:sz="8" w:space="0" w:color="auto"/>
              <w:right w:val="single" w:sz="8" w:space="0" w:color="auto"/>
            </w:tcBorders>
            <w:shd w:val="clear" w:color="000000" w:fill="8EAADB"/>
            <w:vAlign w:val="center"/>
            <w:hideMark/>
          </w:tcPr>
          <w:p w14:paraId="5B5EE444" w14:textId="77777777" w:rsidR="000819C3" w:rsidRPr="000819C3" w:rsidRDefault="000819C3" w:rsidP="00F40403">
            <w:pPr>
              <w:spacing w:line="240" w:lineRule="auto"/>
              <w:jc w:val="center"/>
              <w:rPr>
                <w:rFonts w:cs="Arial"/>
                <w:b/>
                <w:bCs/>
                <w:color w:val="000000"/>
                <w:szCs w:val="20"/>
                <w:lang w:eastAsia="sl-SI"/>
              </w:rPr>
            </w:pPr>
            <w:r w:rsidRPr="000819C3">
              <w:rPr>
                <w:rFonts w:cs="Arial"/>
                <w:b/>
                <w:bCs/>
                <w:color w:val="000000"/>
                <w:szCs w:val="20"/>
                <w:lang w:eastAsia="sl-SI"/>
              </w:rPr>
              <w:t>Dodatna sredstva na letni ravni</w:t>
            </w:r>
          </w:p>
        </w:tc>
        <w:tc>
          <w:tcPr>
            <w:tcW w:w="1443" w:type="dxa"/>
            <w:tcBorders>
              <w:top w:val="single" w:sz="8" w:space="0" w:color="auto"/>
              <w:left w:val="nil"/>
              <w:bottom w:val="single" w:sz="8" w:space="0" w:color="auto"/>
              <w:right w:val="single" w:sz="8" w:space="0" w:color="auto"/>
            </w:tcBorders>
            <w:shd w:val="clear" w:color="000000" w:fill="8EAADB"/>
            <w:vAlign w:val="center"/>
            <w:hideMark/>
          </w:tcPr>
          <w:p w14:paraId="6267EE0D" w14:textId="77777777" w:rsidR="000819C3" w:rsidRPr="000819C3" w:rsidRDefault="000819C3" w:rsidP="00F40403">
            <w:pPr>
              <w:spacing w:line="240" w:lineRule="auto"/>
              <w:jc w:val="center"/>
              <w:rPr>
                <w:rFonts w:cs="Arial"/>
                <w:b/>
                <w:bCs/>
                <w:color w:val="000000"/>
                <w:szCs w:val="20"/>
                <w:lang w:eastAsia="sl-SI"/>
              </w:rPr>
            </w:pPr>
            <w:r w:rsidRPr="000819C3">
              <w:rPr>
                <w:rFonts w:cs="Arial"/>
                <w:b/>
                <w:bCs/>
                <w:color w:val="000000"/>
                <w:szCs w:val="20"/>
                <w:lang w:eastAsia="sl-SI"/>
              </w:rPr>
              <w:t>Dodatna sredstva od 1.7.2022</w:t>
            </w:r>
          </w:p>
        </w:tc>
      </w:tr>
      <w:tr w:rsidR="000819C3" w:rsidRPr="000819C3" w14:paraId="344F26E4"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4538661"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357064B"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CELJE</w:t>
            </w:r>
          </w:p>
        </w:tc>
        <w:tc>
          <w:tcPr>
            <w:tcW w:w="1622" w:type="dxa"/>
            <w:tcBorders>
              <w:top w:val="nil"/>
              <w:left w:val="nil"/>
              <w:bottom w:val="single" w:sz="8" w:space="0" w:color="auto"/>
              <w:right w:val="single" w:sz="8" w:space="0" w:color="auto"/>
            </w:tcBorders>
            <w:shd w:val="clear" w:color="000000" w:fill="FFFFFF"/>
            <w:vAlign w:val="center"/>
            <w:hideMark/>
          </w:tcPr>
          <w:p w14:paraId="3C991090"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571D2952"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14C713CC"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438D3728"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5B93D1FE"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0EBDCF5"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POSTOJNA </w:t>
            </w:r>
          </w:p>
        </w:tc>
        <w:tc>
          <w:tcPr>
            <w:tcW w:w="1622" w:type="dxa"/>
            <w:tcBorders>
              <w:top w:val="nil"/>
              <w:left w:val="nil"/>
              <w:bottom w:val="single" w:sz="8" w:space="0" w:color="auto"/>
              <w:right w:val="single" w:sz="8" w:space="0" w:color="auto"/>
            </w:tcBorders>
            <w:shd w:val="clear" w:color="000000" w:fill="FFFFFF"/>
            <w:vAlign w:val="center"/>
            <w:hideMark/>
          </w:tcPr>
          <w:p w14:paraId="03887B20"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1,88</w:t>
            </w:r>
          </w:p>
        </w:tc>
        <w:tc>
          <w:tcPr>
            <w:tcW w:w="1313" w:type="dxa"/>
            <w:tcBorders>
              <w:top w:val="nil"/>
              <w:left w:val="nil"/>
              <w:bottom w:val="single" w:sz="8" w:space="0" w:color="auto"/>
              <w:right w:val="single" w:sz="8" w:space="0" w:color="auto"/>
            </w:tcBorders>
            <w:shd w:val="clear" w:color="000000" w:fill="FFFFFF"/>
            <w:vAlign w:val="center"/>
            <w:hideMark/>
          </w:tcPr>
          <w:p w14:paraId="25E81F1E"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77.262</w:t>
            </w:r>
          </w:p>
        </w:tc>
        <w:tc>
          <w:tcPr>
            <w:tcW w:w="1443" w:type="dxa"/>
            <w:tcBorders>
              <w:top w:val="nil"/>
              <w:left w:val="nil"/>
              <w:bottom w:val="single" w:sz="8" w:space="0" w:color="auto"/>
              <w:right w:val="single" w:sz="8" w:space="0" w:color="auto"/>
            </w:tcBorders>
            <w:shd w:val="clear" w:color="000000" w:fill="FFFFFF"/>
            <w:vAlign w:val="center"/>
            <w:hideMark/>
          </w:tcPr>
          <w:p w14:paraId="54FE86FB"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38.631</w:t>
            </w:r>
          </w:p>
        </w:tc>
      </w:tr>
      <w:tr w:rsidR="000819C3" w:rsidRPr="000819C3" w14:paraId="506C2B36"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B89C98F"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10062621"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SLOVENJ GRADEC </w:t>
            </w:r>
          </w:p>
        </w:tc>
        <w:tc>
          <w:tcPr>
            <w:tcW w:w="1622" w:type="dxa"/>
            <w:tcBorders>
              <w:top w:val="nil"/>
              <w:left w:val="nil"/>
              <w:bottom w:val="single" w:sz="8" w:space="0" w:color="auto"/>
              <w:right w:val="single" w:sz="8" w:space="0" w:color="auto"/>
            </w:tcBorders>
            <w:shd w:val="clear" w:color="000000" w:fill="FFFFFF"/>
            <w:vAlign w:val="center"/>
            <w:hideMark/>
          </w:tcPr>
          <w:p w14:paraId="56F175C9"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w:t>
            </w:r>
          </w:p>
        </w:tc>
        <w:tc>
          <w:tcPr>
            <w:tcW w:w="1313" w:type="dxa"/>
            <w:tcBorders>
              <w:top w:val="nil"/>
              <w:left w:val="nil"/>
              <w:bottom w:val="single" w:sz="8" w:space="0" w:color="auto"/>
              <w:right w:val="single" w:sz="8" w:space="0" w:color="auto"/>
            </w:tcBorders>
            <w:shd w:val="clear" w:color="000000" w:fill="FFFFFF"/>
            <w:vAlign w:val="center"/>
            <w:hideMark/>
          </w:tcPr>
          <w:p w14:paraId="084089E6"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82.194</w:t>
            </w:r>
          </w:p>
        </w:tc>
        <w:tc>
          <w:tcPr>
            <w:tcW w:w="1443" w:type="dxa"/>
            <w:tcBorders>
              <w:top w:val="nil"/>
              <w:left w:val="nil"/>
              <w:bottom w:val="single" w:sz="8" w:space="0" w:color="auto"/>
              <w:right w:val="single" w:sz="8" w:space="0" w:color="auto"/>
            </w:tcBorders>
            <w:shd w:val="clear" w:color="000000" w:fill="FFFFFF"/>
            <w:vAlign w:val="center"/>
            <w:hideMark/>
          </w:tcPr>
          <w:p w14:paraId="2EF6E2EB"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r>
      <w:tr w:rsidR="000819C3" w:rsidRPr="000819C3" w14:paraId="648D2084"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60C2884A"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21F35846"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OZG KRANJ</w:t>
            </w:r>
          </w:p>
        </w:tc>
        <w:tc>
          <w:tcPr>
            <w:tcW w:w="1622" w:type="dxa"/>
            <w:tcBorders>
              <w:top w:val="nil"/>
              <w:left w:val="nil"/>
              <w:bottom w:val="single" w:sz="8" w:space="0" w:color="auto"/>
              <w:right w:val="single" w:sz="8" w:space="0" w:color="auto"/>
            </w:tcBorders>
            <w:shd w:val="clear" w:color="000000" w:fill="FFFFFF"/>
            <w:vAlign w:val="center"/>
            <w:hideMark/>
          </w:tcPr>
          <w:p w14:paraId="0F8E43A8"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6</w:t>
            </w:r>
          </w:p>
        </w:tc>
        <w:tc>
          <w:tcPr>
            <w:tcW w:w="1313" w:type="dxa"/>
            <w:tcBorders>
              <w:top w:val="nil"/>
              <w:left w:val="nil"/>
              <w:bottom w:val="single" w:sz="8" w:space="0" w:color="auto"/>
              <w:right w:val="single" w:sz="8" w:space="0" w:color="auto"/>
            </w:tcBorders>
            <w:shd w:val="clear" w:color="000000" w:fill="FFFFFF"/>
            <w:vAlign w:val="center"/>
            <w:hideMark/>
          </w:tcPr>
          <w:p w14:paraId="5FC64FC8"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246.582</w:t>
            </w:r>
          </w:p>
        </w:tc>
        <w:tc>
          <w:tcPr>
            <w:tcW w:w="1443" w:type="dxa"/>
            <w:tcBorders>
              <w:top w:val="nil"/>
              <w:left w:val="nil"/>
              <w:bottom w:val="single" w:sz="8" w:space="0" w:color="auto"/>
              <w:right w:val="single" w:sz="8" w:space="0" w:color="auto"/>
            </w:tcBorders>
            <w:shd w:val="clear" w:color="000000" w:fill="FFFFFF"/>
            <w:vAlign w:val="center"/>
            <w:hideMark/>
          </w:tcPr>
          <w:p w14:paraId="55EF9DFF"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123.291</w:t>
            </w:r>
          </w:p>
        </w:tc>
      </w:tr>
      <w:tr w:rsidR="000819C3" w:rsidRPr="000819C3" w14:paraId="4851138D"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52562D7"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564D8162"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HRASTNIK </w:t>
            </w:r>
          </w:p>
        </w:tc>
        <w:tc>
          <w:tcPr>
            <w:tcW w:w="1622" w:type="dxa"/>
            <w:tcBorders>
              <w:top w:val="nil"/>
              <w:left w:val="nil"/>
              <w:bottom w:val="single" w:sz="8" w:space="0" w:color="auto"/>
              <w:right w:val="single" w:sz="8" w:space="0" w:color="auto"/>
            </w:tcBorders>
            <w:shd w:val="clear" w:color="000000" w:fill="FFFFFF"/>
            <w:vAlign w:val="center"/>
            <w:hideMark/>
          </w:tcPr>
          <w:p w14:paraId="76697E0A"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0,6</w:t>
            </w:r>
          </w:p>
        </w:tc>
        <w:tc>
          <w:tcPr>
            <w:tcW w:w="1313" w:type="dxa"/>
            <w:tcBorders>
              <w:top w:val="nil"/>
              <w:left w:val="nil"/>
              <w:bottom w:val="single" w:sz="8" w:space="0" w:color="auto"/>
              <w:right w:val="single" w:sz="8" w:space="0" w:color="auto"/>
            </w:tcBorders>
            <w:shd w:val="clear" w:color="000000" w:fill="FFFFFF"/>
            <w:vAlign w:val="center"/>
            <w:hideMark/>
          </w:tcPr>
          <w:p w14:paraId="481545FC"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24.658</w:t>
            </w:r>
          </w:p>
        </w:tc>
        <w:tc>
          <w:tcPr>
            <w:tcW w:w="1443" w:type="dxa"/>
            <w:tcBorders>
              <w:top w:val="nil"/>
              <w:left w:val="nil"/>
              <w:bottom w:val="single" w:sz="8" w:space="0" w:color="auto"/>
              <w:right w:val="single" w:sz="8" w:space="0" w:color="auto"/>
            </w:tcBorders>
            <w:shd w:val="clear" w:color="000000" w:fill="FFFFFF"/>
            <w:vAlign w:val="center"/>
            <w:hideMark/>
          </w:tcPr>
          <w:p w14:paraId="732AB43A"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12.329</w:t>
            </w:r>
          </w:p>
        </w:tc>
      </w:tr>
      <w:tr w:rsidR="000819C3" w:rsidRPr="000819C3" w14:paraId="6387B887"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6967D313"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4F196B59"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ILIRSKA BISTRICA </w:t>
            </w:r>
          </w:p>
        </w:tc>
        <w:tc>
          <w:tcPr>
            <w:tcW w:w="1622" w:type="dxa"/>
            <w:tcBorders>
              <w:top w:val="nil"/>
              <w:left w:val="nil"/>
              <w:bottom w:val="single" w:sz="8" w:space="0" w:color="auto"/>
              <w:right w:val="single" w:sz="8" w:space="0" w:color="auto"/>
            </w:tcBorders>
            <w:shd w:val="clear" w:color="000000" w:fill="FFFFFF"/>
            <w:vAlign w:val="center"/>
            <w:hideMark/>
          </w:tcPr>
          <w:p w14:paraId="1D38214E"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0,5</w:t>
            </w:r>
          </w:p>
        </w:tc>
        <w:tc>
          <w:tcPr>
            <w:tcW w:w="1313" w:type="dxa"/>
            <w:tcBorders>
              <w:top w:val="nil"/>
              <w:left w:val="nil"/>
              <w:bottom w:val="single" w:sz="8" w:space="0" w:color="auto"/>
              <w:right w:val="single" w:sz="8" w:space="0" w:color="auto"/>
            </w:tcBorders>
            <w:shd w:val="clear" w:color="000000" w:fill="FFFFFF"/>
            <w:vAlign w:val="center"/>
            <w:hideMark/>
          </w:tcPr>
          <w:p w14:paraId="0D627D5D"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c>
          <w:tcPr>
            <w:tcW w:w="1443" w:type="dxa"/>
            <w:tcBorders>
              <w:top w:val="nil"/>
              <w:left w:val="nil"/>
              <w:bottom w:val="single" w:sz="8" w:space="0" w:color="auto"/>
              <w:right w:val="single" w:sz="8" w:space="0" w:color="auto"/>
            </w:tcBorders>
            <w:shd w:val="clear" w:color="000000" w:fill="FFFFFF"/>
            <w:vAlign w:val="center"/>
            <w:hideMark/>
          </w:tcPr>
          <w:p w14:paraId="16700BF7"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10.274</w:t>
            </w:r>
          </w:p>
        </w:tc>
      </w:tr>
      <w:tr w:rsidR="000819C3" w:rsidRPr="000819C3" w14:paraId="789DA081"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68BEFCEA"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1F9901A"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KAMNIK</w:t>
            </w:r>
          </w:p>
        </w:tc>
        <w:tc>
          <w:tcPr>
            <w:tcW w:w="1622" w:type="dxa"/>
            <w:tcBorders>
              <w:top w:val="nil"/>
              <w:left w:val="nil"/>
              <w:bottom w:val="single" w:sz="8" w:space="0" w:color="auto"/>
              <w:right w:val="single" w:sz="8" w:space="0" w:color="auto"/>
            </w:tcBorders>
            <w:shd w:val="clear" w:color="000000" w:fill="FFFFFF"/>
            <w:vAlign w:val="center"/>
            <w:hideMark/>
          </w:tcPr>
          <w:p w14:paraId="5E19E8EB"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23097769"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D36C12D"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53461DEA"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522367CD"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335215E4"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KOČEVJE </w:t>
            </w:r>
          </w:p>
        </w:tc>
        <w:tc>
          <w:tcPr>
            <w:tcW w:w="1622" w:type="dxa"/>
            <w:tcBorders>
              <w:top w:val="nil"/>
              <w:left w:val="nil"/>
              <w:bottom w:val="single" w:sz="8" w:space="0" w:color="auto"/>
              <w:right w:val="single" w:sz="8" w:space="0" w:color="auto"/>
            </w:tcBorders>
            <w:shd w:val="clear" w:color="000000" w:fill="FFFFFF"/>
            <w:vAlign w:val="center"/>
            <w:hideMark/>
          </w:tcPr>
          <w:p w14:paraId="6F1E8D50"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0,5</w:t>
            </w:r>
          </w:p>
        </w:tc>
        <w:tc>
          <w:tcPr>
            <w:tcW w:w="1313" w:type="dxa"/>
            <w:tcBorders>
              <w:top w:val="nil"/>
              <w:left w:val="nil"/>
              <w:bottom w:val="single" w:sz="8" w:space="0" w:color="auto"/>
              <w:right w:val="single" w:sz="8" w:space="0" w:color="auto"/>
            </w:tcBorders>
            <w:shd w:val="clear" w:color="000000" w:fill="FFFFFF"/>
            <w:vAlign w:val="center"/>
            <w:hideMark/>
          </w:tcPr>
          <w:p w14:paraId="02202CD4"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c>
          <w:tcPr>
            <w:tcW w:w="1443" w:type="dxa"/>
            <w:tcBorders>
              <w:top w:val="nil"/>
              <w:left w:val="nil"/>
              <w:bottom w:val="single" w:sz="8" w:space="0" w:color="auto"/>
              <w:right w:val="single" w:sz="8" w:space="0" w:color="auto"/>
            </w:tcBorders>
            <w:shd w:val="clear" w:color="000000" w:fill="FFFFFF"/>
            <w:vAlign w:val="center"/>
            <w:hideMark/>
          </w:tcPr>
          <w:p w14:paraId="276470BF"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10.274</w:t>
            </w:r>
          </w:p>
        </w:tc>
      </w:tr>
      <w:tr w:rsidR="000819C3" w:rsidRPr="000819C3" w14:paraId="2BB313DE"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43F67246"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608AC038"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KOPER</w:t>
            </w:r>
          </w:p>
        </w:tc>
        <w:tc>
          <w:tcPr>
            <w:tcW w:w="1622" w:type="dxa"/>
            <w:tcBorders>
              <w:top w:val="nil"/>
              <w:left w:val="nil"/>
              <w:bottom w:val="single" w:sz="8" w:space="0" w:color="auto"/>
              <w:right w:val="single" w:sz="8" w:space="0" w:color="auto"/>
            </w:tcBorders>
            <w:shd w:val="clear" w:color="000000" w:fill="FFFFFF"/>
            <w:vAlign w:val="center"/>
            <w:hideMark/>
          </w:tcPr>
          <w:p w14:paraId="45FD078C"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17177295"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7993871B"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64B7A32D"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00DE546"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02155B2"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LJUTOMER</w:t>
            </w:r>
          </w:p>
        </w:tc>
        <w:tc>
          <w:tcPr>
            <w:tcW w:w="1622" w:type="dxa"/>
            <w:tcBorders>
              <w:top w:val="nil"/>
              <w:left w:val="nil"/>
              <w:bottom w:val="single" w:sz="8" w:space="0" w:color="auto"/>
              <w:right w:val="single" w:sz="8" w:space="0" w:color="auto"/>
            </w:tcBorders>
            <w:shd w:val="clear" w:color="000000" w:fill="FFFFFF"/>
            <w:vAlign w:val="center"/>
            <w:hideMark/>
          </w:tcPr>
          <w:p w14:paraId="19E14809"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729547DA"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63F26272"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1961453E"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73FBE789"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21EE6C15"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NAZARJE</w:t>
            </w:r>
          </w:p>
        </w:tc>
        <w:tc>
          <w:tcPr>
            <w:tcW w:w="1622" w:type="dxa"/>
            <w:tcBorders>
              <w:top w:val="nil"/>
              <w:left w:val="nil"/>
              <w:bottom w:val="single" w:sz="8" w:space="0" w:color="auto"/>
              <w:right w:val="single" w:sz="8" w:space="0" w:color="auto"/>
            </w:tcBorders>
            <w:shd w:val="clear" w:color="000000" w:fill="FFFFFF"/>
            <w:vAlign w:val="center"/>
            <w:hideMark/>
          </w:tcPr>
          <w:p w14:paraId="52B5181A"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0,5</w:t>
            </w:r>
          </w:p>
        </w:tc>
        <w:tc>
          <w:tcPr>
            <w:tcW w:w="1313" w:type="dxa"/>
            <w:tcBorders>
              <w:top w:val="nil"/>
              <w:left w:val="nil"/>
              <w:bottom w:val="single" w:sz="8" w:space="0" w:color="auto"/>
              <w:right w:val="single" w:sz="8" w:space="0" w:color="auto"/>
            </w:tcBorders>
            <w:shd w:val="clear" w:color="000000" w:fill="FFFFFF"/>
            <w:vAlign w:val="center"/>
            <w:hideMark/>
          </w:tcPr>
          <w:p w14:paraId="086A7950"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c>
          <w:tcPr>
            <w:tcW w:w="1443" w:type="dxa"/>
            <w:tcBorders>
              <w:top w:val="nil"/>
              <w:left w:val="nil"/>
              <w:bottom w:val="single" w:sz="8" w:space="0" w:color="auto"/>
              <w:right w:val="single" w:sz="8" w:space="0" w:color="auto"/>
            </w:tcBorders>
            <w:shd w:val="clear" w:color="000000" w:fill="FFFFFF"/>
            <w:vAlign w:val="center"/>
            <w:hideMark/>
          </w:tcPr>
          <w:p w14:paraId="77BC99B2"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10.274</w:t>
            </w:r>
          </w:p>
        </w:tc>
      </w:tr>
      <w:tr w:rsidR="000819C3" w:rsidRPr="000819C3" w14:paraId="5D1907C4"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43AA0D80"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6DD4C742"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NOVO MESTO </w:t>
            </w:r>
          </w:p>
        </w:tc>
        <w:tc>
          <w:tcPr>
            <w:tcW w:w="1622" w:type="dxa"/>
            <w:tcBorders>
              <w:top w:val="nil"/>
              <w:left w:val="nil"/>
              <w:bottom w:val="single" w:sz="8" w:space="0" w:color="auto"/>
              <w:right w:val="single" w:sz="8" w:space="0" w:color="auto"/>
            </w:tcBorders>
            <w:shd w:val="clear" w:color="000000" w:fill="FFFFFF"/>
            <w:vAlign w:val="center"/>
            <w:hideMark/>
          </w:tcPr>
          <w:p w14:paraId="16ED0E10"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1F41429F"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25A59A31"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0A4989CF"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244BCC5C"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AEBBD51"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ORMOŽ </w:t>
            </w:r>
          </w:p>
        </w:tc>
        <w:tc>
          <w:tcPr>
            <w:tcW w:w="1622" w:type="dxa"/>
            <w:tcBorders>
              <w:top w:val="nil"/>
              <w:left w:val="nil"/>
              <w:bottom w:val="single" w:sz="8" w:space="0" w:color="auto"/>
              <w:right w:val="single" w:sz="8" w:space="0" w:color="auto"/>
            </w:tcBorders>
            <w:shd w:val="clear" w:color="000000" w:fill="FFFFFF"/>
            <w:vAlign w:val="center"/>
            <w:hideMark/>
          </w:tcPr>
          <w:p w14:paraId="10CA8261"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43F86E52"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2CAD2AA3"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17724C29"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42386E77"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9F2A1C7"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PTUJ </w:t>
            </w:r>
          </w:p>
        </w:tc>
        <w:tc>
          <w:tcPr>
            <w:tcW w:w="1622" w:type="dxa"/>
            <w:tcBorders>
              <w:top w:val="nil"/>
              <w:left w:val="nil"/>
              <w:bottom w:val="single" w:sz="8" w:space="0" w:color="auto"/>
              <w:right w:val="single" w:sz="8" w:space="0" w:color="auto"/>
            </w:tcBorders>
            <w:shd w:val="clear" w:color="000000" w:fill="FFFFFF"/>
            <w:vAlign w:val="center"/>
            <w:hideMark/>
          </w:tcPr>
          <w:p w14:paraId="3C34FAE7"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578A3ED1"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6D98BC07"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301C0BDB"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6E07EDD"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3D6FA014"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RADLJE OB DRAVI </w:t>
            </w:r>
          </w:p>
        </w:tc>
        <w:tc>
          <w:tcPr>
            <w:tcW w:w="1622" w:type="dxa"/>
            <w:tcBorders>
              <w:top w:val="nil"/>
              <w:left w:val="nil"/>
              <w:bottom w:val="single" w:sz="8" w:space="0" w:color="auto"/>
              <w:right w:val="single" w:sz="8" w:space="0" w:color="auto"/>
            </w:tcBorders>
            <w:shd w:val="clear" w:color="000000" w:fill="FFFFFF"/>
            <w:vAlign w:val="center"/>
            <w:hideMark/>
          </w:tcPr>
          <w:p w14:paraId="7E5CF727"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0,75</w:t>
            </w:r>
          </w:p>
        </w:tc>
        <w:tc>
          <w:tcPr>
            <w:tcW w:w="1313" w:type="dxa"/>
            <w:tcBorders>
              <w:top w:val="nil"/>
              <w:left w:val="nil"/>
              <w:bottom w:val="single" w:sz="8" w:space="0" w:color="auto"/>
              <w:right w:val="single" w:sz="8" w:space="0" w:color="auto"/>
            </w:tcBorders>
            <w:shd w:val="clear" w:color="000000" w:fill="FFFFFF"/>
            <w:vAlign w:val="center"/>
            <w:hideMark/>
          </w:tcPr>
          <w:p w14:paraId="4F8295D8"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30.823</w:t>
            </w:r>
          </w:p>
        </w:tc>
        <w:tc>
          <w:tcPr>
            <w:tcW w:w="1443" w:type="dxa"/>
            <w:tcBorders>
              <w:top w:val="nil"/>
              <w:left w:val="nil"/>
              <w:bottom w:val="single" w:sz="8" w:space="0" w:color="auto"/>
              <w:right w:val="single" w:sz="8" w:space="0" w:color="auto"/>
            </w:tcBorders>
            <w:shd w:val="clear" w:color="000000" w:fill="FFFFFF"/>
            <w:vAlign w:val="center"/>
            <w:hideMark/>
          </w:tcPr>
          <w:p w14:paraId="5FBB50EA"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15.411</w:t>
            </w:r>
          </w:p>
        </w:tc>
      </w:tr>
      <w:tr w:rsidR="000819C3" w:rsidRPr="000819C3" w14:paraId="6ACB8442"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3EFFAB26"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71559B6E"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VELENJE</w:t>
            </w:r>
          </w:p>
        </w:tc>
        <w:tc>
          <w:tcPr>
            <w:tcW w:w="1622" w:type="dxa"/>
            <w:tcBorders>
              <w:top w:val="nil"/>
              <w:left w:val="nil"/>
              <w:bottom w:val="single" w:sz="8" w:space="0" w:color="auto"/>
              <w:right w:val="single" w:sz="8" w:space="0" w:color="auto"/>
            </w:tcBorders>
            <w:shd w:val="clear" w:color="000000" w:fill="FFFFFF"/>
            <w:vAlign w:val="center"/>
            <w:hideMark/>
          </w:tcPr>
          <w:p w14:paraId="7C38C7DD"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295861B2"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EA8BF9B"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430EBD5B"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C9DC7D9"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6C088AA6"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 xml:space="preserve">ZD VRHNIKA </w:t>
            </w:r>
          </w:p>
        </w:tc>
        <w:tc>
          <w:tcPr>
            <w:tcW w:w="1622" w:type="dxa"/>
            <w:tcBorders>
              <w:top w:val="nil"/>
              <w:left w:val="nil"/>
              <w:bottom w:val="single" w:sz="8" w:space="0" w:color="auto"/>
              <w:right w:val="single" w:sz="8" w:space="0" w:color="auto"/>
            </w:tcBorders>
            <w:shd w:val="clear" w:color="000000" w:fill="FFFFFF"/>
            <w:vAlign w:val="center"/>
            <w:hideMark/>
          </w:tcPr>
          <w:p w14:paraId="1EBBF2B3"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2B5A8230"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4A413804"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0EE209A0"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278325F9"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6D549A18"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RIBNICA</w:t>
            </w:r>
          </w:p>
        </w:tc>
        <w:tc>
          <w:tcPr>
            <w:tcW w:w="1622" w:type="dxa"/>
            <w:tcBorders>
              <w:top w:val="nil"/>
              <w:left w:val="nil"/>
              <w:bottom w:val="single" w:sz="8" w:space="0" w:color="auto"/>
              <w:right w:val="single" w:sz="8" w:space="0" w:color="auto"/>
            </w:tcBorders>
            <w:shd w:val="clear" w:color="000000" w:fill="FFFFFF"/>
            <w:vAlign w:val="center"/>
            <w:hideMark/>
          </w:tcPr>
          <w:p w14:paraId="61A88659"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0,9</w:t>
            </w:r>
          </w:p>
        </w:tc>
        <w:tc>
          <w:tcPr>
            <w:tcW w:w="1313" w:type="dxa"/>
            <w:tcBorders>
              <w:top w:val="nil"/>
              <w:left w:val="nil"/>
              <w:bottom w:val="single" w:sz="8" w:space="0" w:color="auto"/>
              <w:right w:val="single" w:sz="8" w:space="0" w:color="auto"/>
            </w:tcBorders>
            <w:shd w:val="clear" w:color="000000" w:fill="FFFFFF"/>
            <w:vAlign w:val="center"/>
            <w:hideMark/>
          </w:tcPr>
          <w:p w14:paraId="1936F973"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36.987</w:t>
            </w:r>
          </w:p>
        </w:tc>
        <w:tc>
          <w:tcPr>
            <w:tcW w:w="1443" w:type="dxa"/>
            <w:tcBorders>
              <w:top w:val="nil"/>
              <w:left w:val="nil"/>
              <w:bottom w:val="single" w:sz="8" w:space="0" w:color="auto"/>
              <w:right w:val="single" w:sz="8" w:space="0" w:color="auto"/>
            </w:tcBorders>
            <w:shd w:val="clear" w:color="000000" w:fill="FFFFFF"/>
            <w:vAlign w:val="center"/>
            <w:hideMark/>
          </w:tcPr>
          <w:p w14:paraId="6D0C6094"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18.494</w:t>
            </w:r>
          </w:p>
        </w:tc>
      </w:tr>
      <w:tr w:rsidR="000819C3" w:rsidRPr="000819C3" w14:paraId="12CA9F6A"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1097FC58"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31B87ECE" w14:textId="77777777" w:rsidR="000819C3" w:rsidRPr="000819C3" w:rsidRDefault="000819C3" w:rsidP="00F40403">
            <w:pPr>
              <w:spacing w:line="240" w:lineRule="auto"/>
              <w:rPr>
                <w:rFonts w:cs="Arial"/>
                <w:color w:val="000000"/>
                <w:szCs w:val="20"/>
                <w:lang w:eastAsia="sl-SI"/>
              </w:rPr>
            </w:pPr>
            <w:r w:rsidRPr="000819C3">
              <w:rPr>
                <w:rFonts w:cs="Arial"/>
                <w:szCs w:val="20"/>
                <w:lang w:eastAsia="sl-SI"/>
              </w:rPr>
              <w:t>ZD LAŠKO</w:t>
            </w:r>
          </w:p>
        </w:tc>
        <w:tc>
          <w:tcPr>
            <w:tcW w:w="1622" w:type="dxa"/>
            <w:tcBorders>
              <w:top w:val="nil"/>
              <w:left w:val="nil"/>
              <w:bottom w:val="single" w:sz="8" w:space="0" w:color="auto"/>
              <w:right w:val="single" w:sz="8" w:space="0" w:color="auto"/>
            </w:tcBorders>
            <w:shd w:val="clear" w:color="000000" w:fill="FFFFFF"/>
            <w:vAlign w:val="center"/>
            <w:hideMark/>
          </w:tcPr>
          <w:p w14:paraId="0DE57F94"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385C02F8"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3CEAB265"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1F545929" w14:textId="77777777" w:rsidTr="00F40403">
        <w:trPr>
          <w:trHeight w:val="613"/>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02526D5E"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2F3A6A0B"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Splošna bolnišnica Novo mesto</w:t>
            </w:r>
          </w:p>
        </w:tc>
        <w:tc>
          <w:tcPr>
            <w:tcW w:w="1622" w:type="dxa"/>
            <w:tcBorders>
              <w:top w:val="nil"/>
              <w:left w:val="nil"/>
              <w:bottom w:val="single" w:sz="8" w:space="0" w:color="auto"/>
              <w:right w:val="single" w:sz="8" w:space="0" w:color="auto"/>
            </w:tcBorders>
            <w:shd w:val="clear" w:color="000000" w:fill="FFFFFF"/>
            <w:vAlign w:val="center"/>
            <w:hideMark/>
          </w:tcPr>
          <w:p w14:paraId="6F02F8FE" w14:textId="77777777" w:rsidR="000819C3" w:rsidRPr="000819C3" w:rsidRDefault="000819C3" w:rsidP="00F40403">
            <w:pPr>
              <w:spacing w:line="240" w:lineRule="auto"/>
              <w:jc w:val="center"/>
              <w:rPr>
                <w:rFonts w:cs="Arial"/>
                <w:color w:val="000000"/>
                <w:szCs w:val="20"/>
                <w:lang w:eastAsia="sl-SI"/>
              </w:rPr>
            </w:pPr>
            <w:r w:rsidRPr="000819C3">
              <w:rPr>
                <w:rFonts w:cs="Arial"/>
                <w:color w:val="000000"/>
                <w:szCs w:val="20"/>
                <w:lang w:eastAsia="sl-SI"/>
              </w:rPr>
              <w:t>1,5</w:t>
            </w:r>
          </w:p>
        </w:tc>
        <w:tc>
          <w:tcPr>
            <w:tcW w:w="1313" w:type="dxa"/>
            <w:tcBorders>
              <w:top w:val="nil"/>
              <w:left w:val="nil"/>
              <w:bottom w:val="single" w:sz="8" w:space="0" w:color="auto"/>
              <w:right w:val="single" w:sz="8" w:space="0" w:color="auto"/>
            </w:tcBorders>
            <w:shd w:val="clear" w:color="000000" w:fill="FFFFFF"/>
            <w:vAlign w:val="center"/>
            <w:hideMark/>
          </w:tcPr>
          <w:p w14:paraId="601726AD" w14:textId="77777777" w:rsidR="000819C3" w:rsidRPr="000819C3" w:rsidRDefault="000819C3" w:rsidP="00F40403">
            <w:pPr>
              <w:spacing w:line="240" w:lineRule="auto"/>
              <w:jc w:val="right"/>
              <w:rPr>
                <w:rFonts w:cs="Arial"/>
                <w:color w:val="000000"/>
                <w:szCs w:val="20"/>
                <w:lang w:eastAsia="sl-SI"/>
              </w:rPr>
            </w:pPr>
            <w:r w:rsidRPr="000819C3">
              <w:rPr>
                <w:rFonts w:cs="Arial"/>
                <w:color w:val="000000"/>
                <w:szCs w:val="20"/>
                <w:lang w:eastAsia="sl-SI"/>
              </w:rPr>
              <w:t>61.646</w:t>
            </w:r>
          </w:p>
        </w:tc>
        <w:tc>
          <w:tcPr>
            <w:tcW w:w="1443" w:type="dxa"/>
            <w:tcBorders>
              <w:top w:val="nil"/>
              <w:left w:val="nil"/>
              <w:bottom w:val="single" w:sz="8" w:space="0" w:color="auto"/>
              <w:right w:val="single" w:sz="8" w:space="0" w:color="auto"/>
            </w:tcBorders>
            <w:shd w:val="clear" w:color="000000" w:fill="FFFFFF"/>
            <w:vAlign w:val="center"/>
            <w:hideMark/>
          </w:tcPr>
          <w:p w14:paraId="7333A52B"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30.823</w:t>
            </w:r>
          </w:p>
        </w:tc>
      </w:tr>
      <w:tr w:rsidR="000819C3" w:rsidRPr="000819C3" w14:paraId="02FCCBDC" w14:textId="77777777" w:rsidTr="00F40403">
        <w:trPr>
          <w:trHeight w:val="368"/>
        </w:trPr>
        <w:tc>
          <w:tcPr>
            <w:tcW w:w="2368" w:type="dxa"/>
            <w:tcBorders>
              <w:top w:val="nil"/>
              <w:left w:val="single" w:sz="8" w:space="0" w:color="auto"/>
              <w:bottom w:val="single" w:sz="8" w:space="0" w:color="auto"/>
              <w:right w:val="single" w:sz="8" w:space="0" w:color="auto"/>
            </w:tcBorders>
            <w:shd w:val="clear" w:color="000000" w:fill="FFFFFF"/>
            <w:vAlign w:val="center"/>
            <w:hideMark/>
          </w:tcPr>
          <w:p w14:paraId="01ED3B29"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FIZIOTERAPIJA</w:t>
            </w:r>
          </w:p>
        </w:tc>
        <w:tc>
          <w:tcPr>
            <w:tcW w:w="1881" w:type="dxa"/>
            <w:tcBorders>
              <w:top w:val="nil"/>
              <w:left w:val="nil"/>
              <w:bottom w:val="single" w:sz="8" w:space="0" w:color="auto"/>
              <w:right w:val="single" w:sz="8" w:space="0" w:color="auto"/>
            </w:tcBorders>
            <w:shd w:val="clear" w:color="000000" w:fill="FFFFFF"/>
            <w:vAlign w:val="center"/>
            <w:hideMark/>
          </w:tcPr>
          <w:p w14:paraId="05034F64"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Splošna bolnišnica Ptuj</w:t>
            </w:r>
          </w:p>
        </w:tc>
        <w:tc>
          <w:tcPr>
            <w:tcW w:w="1622" w:type="dxa"/>
            <w:tcBorders>
              <w:top w:val="nil"/>
              <w:left w:val="nil"/>
              <w:bottom w:val="single" w:sz="8" w:space="0" w:color="auto"/>
              <w:right w:val="single" w:sz="8" w:space="0" w:color="auto"/>
            </w:tcBorders>
            <w:shd w:val="clear" w:color="000000" w:fill="FFFFFF"/>
            <w:vAlign w:val="center"/>
            <w:hideMark/>
          </w:tcPr>
          <w:p w14:paraId="6B096B59" w14:textId="77777777" w:rsidR="000819C3" w:rsidRPr="000819C3" w:rsidRDefault="000819C3" w:rsidP="00F40403">
            <w:pPr>
              <w:spacing w:line="240" w:lineRule="auto"/>
              <w:jc w:val="center"/>
              <w:rPr>
                <w:rFonts w:cs="Arial"/>
                <w:color w:val="000000"/>
                <w:szCs w:val="20"/>
                <w:lang w:eastAsia="sl-SI"/>
              </w:rPr>
            </w:pPr>
            <w:r w:rsidRPr="000819C3">
              <w:rPr>
                <w:rFonts w:cs="Arial"/>
                <w:color w:val="000000"/>
                <w:szCs w:val="20"/>
                <w:lang w:eastAsia="sl-SI"/>
              </w:rPr>
              <w:t>1</w:t>
            </w:r>
          </w:p>
        </w:tc>
        <w:tc>
          <w:tcPr>
            <w:tcW w:w="1313" w:type="dxa"/>
            <w:tcBorders>
              <w:top w:val="nil"/>
              <w:left w:val="nil"/>
              <w:bottom w:val="single" w:sz="8" w:space="0" w:color="auto"/>
              <w:right w:val="single" w:sz="8" w:space="0" w:color="auto"/>
            </w:tcBorders>
            <w:shd w:val="clear" w:color="000000" w:fill="FFFFFF"/>
            <w:vAlign w:val="center"/>
            <w:hideMark/>
          </w:tcPr>
          <w:p w14:paraId="636812C2" w14:textId="77777777" w:rsidR="000819C3" w:rsidRPr="000819C3" w:rsidRDefault="000819C3" w:rsidP="00F40403">
            <w:pPr>
              <w:spacing w:line="240" w:lineRule="auto"/>
              <w:jc w:val="right"/>
              <w:rPr>
                <w:rFonts w:cs="Arial"/>
                <w:color w:val="000000"/>
                <w:szCs w:val="20"/>
                <w:lang w:eastAsia="sl-SI"/>
              </w:rPr>
            </w:pPr>
            <w:r w:rsidRPr="000819C3">
              <w:rPr>
                <w:rFonts w:cs="Arial"/>
                <w:color w:val="000000"/>
                <w:szCs w:val="20"/>
                <w:lang w:eastAsia="sl-SI"/>
              </w:rPr>
              <w:t>41.097</w:t>
            </w:r>
          </w:p>
        </w:tc>
        <w:tc>
          <w:tcPr>
            <w:tcW w:w="1443" w:type="dxa"/>
            <w:tcBorders>
              <w:top w:val="nil"/>
              <w:left w:val="nil"/>
              <w:bottom w:val="single" w:sz="8" w:space="0" w:color="auto"/>
              <w:right w:val="single" w:sz="8" w:space="0" w:color="auto"/>
            </w:tcBorders>
            <w:shd w:val="clear" w:color="000000" w:fill="FFFFFF"/>
            <w:vAlign w:val="center"/>
            <w:hideMark/>
          </w:tcPr>
          <w:p w14:paraId="2AA47A83" w14:textId="77777777" w:rsidR="000819C3" w:rsidRPr="000819C3" w:rsidRDefault="000819C3" w:rsidP="00F40403">
            <w:pPr>
              <w:spacing w:line="240" w:lineRule="auto"/>
              <w:jc w:val="right"/>
              <w:rPr>
                <w:rFonts w:cs="Arial"/>
                <w:color w:val="000000"/>
                <w:szCs w:val="20"/>
                <w:lang w:eastAsia="sl-SI"/>
              </w:rPr>
            </w:pPr>
            <w:r w:rsidRPr="000819C3">
              <w:rPr>
                <w:rFonts w:cs="Arial"/>
                <w:szCs w:val="20"/>
                <w:lang w:eastAsia="sl-SI"/>
              </w:rPr>
              <w:t>20.549</w:t>
            </w:r>
          </w:p>
        </w:tc>
      </w:tr>
      <w:tr w:rsidR="000819C3" w:rsidRPr="000819C3" w14:paraId="1B62E2FF" w14:textId="77777777" w:rsidTr="00F40403">
        <w:trPr>
          <w:trHeight w:val="368"/>
        </w:trPr>
        <w:tc>
          <w:tcPr>
            <w:tcW w:w="2368" w:type="dxa"/>
            <w:tcBorders>
              <w:top w:val="nil"/>
              <w:left w:val="nil"/>
              <w:bottom w:val="nil"/>
              <w:right w:val="nil"/>
            </w:tcBorders>
            <w:shd w:val="clear" w:color="000000" w:fill="FFFFFF"/>
            <w:noWrap/>
            <w:vAlign w:val="center"/>
            <w:hideMark/>
          </w:tcPr>
          <w:p w14:paraId="37256959"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 </w:t>
            </w:r>
          </w:p>
        </w:tc>
        <w:tc>
          <w:tcPr>
            <w:tcW w:w="1881" w:type="dxa"/>
            <w:tcBorders>
              <w:top w:val="nil"/>
              <w:left w:val="nil"/>
              <w:bottom w:val="nil"/>
              <w:right w:val="nil"/>
            </w:tcBorders>
            <w:shd w:val="clear" w:color="000000" w:fill="FFFFFF"/>
            <w:noWrap/>
            <w:vAlign w:val="center"/>
            <w:hideMark/>
          </w:tcPr>
          <w:p w14:paraId="31475E8A"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 </w:t>
            </w:r>
          </w:p>
        </w:tc>
        <w:tc>
          <w:tcPr>
            <w:tcW w:w="1622" w:type="dxa"/>
            <w:tcBorders>
              <w:top w:val="nil"/>
              <w:left w:val="nil"/>
              <w:bottom w:val="nil"/>
              <w:right w:val="nil"/>
            </w:tcBorders>
            <w:shd w:val="clear" w:color="000000" w:fill="FFFFFF"/>
            <w:noWrap/>
            <w:vAlign w:val="center"/>
            <w:hideMark/>
          </w:tcPr>
          <w:p w14:paraId="1A02B17F" w14:textId="77777777" w:rsidR="000819C3" w:rsidRPr="000819C3" w:rsidRDefault="000819C3" w:rsidP="00F40403">
            <w:pPr>
              <w:spacing w:line="240" w:lineRule="auto"/>
              <w:rPr>
                <w:rFonts w:cs="Arial"/>
                <w:color w:val="000000"/>
                <w:szCs w:val="20"/>
                <w:lang w:eastAsia="sl-SI"/>
              </w:rPr>
            </w:pPr>
            <w:r w:rsidRPr="000819C3">
              <w:rPr>
                <w:rFonts w:cs="Arial"/>
                <w:color w:val="000000"/>
                <w:szCs w:val="20"/>
                <w:lang w:eastAsia="sl-SI"/>
              </w:rPr>
              <w:t> </w:t>
            </w:r>
          </w:p>
        </w:tc>
        <w:tc>
          <w:tcPr>
            <w:tcW w:w="1313" w:type="dxa"/>
            <w:tcBorders>
              <w:top w:val="nil"/>
              <w:left w:val="single" w:sz="8" w:space="0" w:color="auto"/>
              <w:bottom w:val="single" w:sz="8" w:space="0" w:color="auto"/>
              <w:right w:val="single" w:sz="8" w:space="0" w:color="auto"/>
            </w:tcBorders>
            <w:shd w:val="clear" w:color="000000" w:fill="FFFFFF"/>
            <w:vAlign w:val="center"/>
            <w:hideMark/>
          </w:tcPr>
          <w:p w14:paraId="7460150C" w14:textId="77777777" w:rsidR="000819C3" w:rsidRPr="000819C3" w:rsidRDefault="000819C3" w:rsidP="00F40403">
            <w:pPr>
              <w:spacing w:line="240" w:lineRule="auto"/>
              <w:jc w:val="center"/>
              <w:rPr>
                <w:rFonts w:cs="Arial"/>
                <w:color w:val="000000"/>
                <w:szCs w:val="20"/>
                <w:lang w:eastAsia="sl-SI"/>
              </w:rPr>
            </w:pPr>
            <w:r w:rsidRPr="000819C3">
              <w:rPr>
                <w:rFonts w:cs="Arial"/>
                <w:color w:val="000000"/>
                <w:szCs w:val="20"/>
                <w:lang w:eastAsia="sl-SI"/>
              </w:rPr>
              <w:t>1.073.864,61</w:t>
            </w:r>
          </w:p>
        </w:tc>
        <w:tc>
          <w:tcPr>
            <w:tcW w:w="1443" w:type="dxa"/>
            <w:tcBorders>
              <w:top w:val="nil"/>
              <w:left w:val="nil"/>
              <w:bottom w:val="single" w:sz="8" w:space="0" w:color="auto"/>
              <w:right w:val="single" w:sz="8" w:space="0" w:color="auto"/>
            </w:tcBorders>
            <w:shd w:val="clear" w:color="000000" w:fill="FFFFFF"/>
            <w:vAlign w:val="center"/>
            <w:hideMark/>
          </w:tcPr>
          <w:p w14:paraId="25146B3E" w14:textId="77777777" w:rsidR="000819C3" w:rsidRPr="000819C3" w:rsidRDefault="000819C3" w:rsidP="00F40403">
            <w:pPr>
              <w:spacing w:line="240" w:lineRule="auto"/>
              <w:jc w:val="center"/>
              <w:rPr>
                <w:rFonts w:cs="Arial"/>
                <w:color w:val="000000"/>
                <w:szCs w:val="20"/>
                <w:lang w:eastAsia="sl-SI"/>
              </w:rPr>
            </w:pPr>
            <w:r w:rsidRPr="000819C3">
              <w:rPr>
                <w:rFonts w:cs="Arial"/>
                <w:color w:val="000000"/>
                <w:szCs w:val="20"/>
                <w:lang w:eastAsia="sl-SI"/>
              </w:rPr>
              <w:t>536.932,31</w:t>
            </w:r>
          </w:p>
        </w:tc>
      </w:tr>
    </w:tbl>
    <w:p w14:paraId="35A73C32" w14:textId="030F1942" w:rsidR="00BE5D1E" w:rsidRPr="005E4BEA" w:rsidRDefault="00BE5D1E"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(51)</w:t>
      </w:r>
    </w:p>
    <w:p w14:paraId="6BBD1ADC" w14:textId="77777777" w:rsidR="00BE5D1E" w:rsidRPr="005E4BEA" w:rsidRDefault="00BE5D1E" w:rsidP="00BE5D1E">
      <w:pPr>
        <w:spacing w:line="240" w:lineRule="auto"/>
        <w:jc w:val="both"/>
        <w:rPr>
          <w:rFonts w:cs="Arial"/>
          <w:i/>
          <w:iCs/>
          <w:color w:val="808080" w:themeColor="background1" w:themeShade="80"/>
          <w:szCs w:val="20"/>
        </w:rPr>
      </w:pPr>
    </w:p>
    <w:p w14:paraId="0E60DF1E" w14:textId="175B6B2E" w:rsidR="00FE461F" w:rsidRPr="005E4BEA" w:rsidRDefault="00BE5D1E" w:rsidP="00FE461F">
      <w:pPr>
        <w:spacing w:line="240" w:lineRule="auto"/>
        <w:jc w:val="both"/>
        <w:rPr>
          <w:rFonts w:cs="Arial"/>
          <w:b/>
          <w:bCs/>
          <w:i/>
          <w:iCs/>
          <w:szCs w:val="20"/>
        </w:rPr>
      </w:pPr>
      <w:r w:rsidRPr="005E4BEA">
        <w:rPr>
          <w:rFonts w:cs="Arial"/>
          <w:b/>
          <w:bCs/>
          <w:szCs w:val="20"/>
        </w:rPr>
        <w:t xml:space="preserve">Združenje zdravstvenih zavodov Slovenije </w:t>
      </w:r>
      <w:r w:rsidRPr="005E4BEA">
        <w:rPr>
          <w:rFonts w:cs="Arial"/>
          <w:szCs w:val="20"/>
        </w:rPr>
        <w:t xml:space="preserve">predlaga, da se v 24. členu v (6) odstavku </w:t>
      </w:r>
      <w:r w:rsidR="00FE461F" w:rsidRPr="005E4BEA">
        <w:rPr>
          <w:rFonts w:cs="Arial"/>
          <w:szCs w:val="20"/>
        </w:rPr>
        <w:t>v tabeli doda nova vrstica, ki določa nujne širitve programov oziroma uvajanje novih terapij</w:t>
      </w:r>
      <w:r w:rsidR="00FE461F" w:rsidRPr="005E4BEA">
        <w:rPr>
          <w:rFonts w:cs="Arial"/>
          <w:b/>
          <w:szCs w:val="20"/>
        </w:rPr>
        <w:t>:</w:t>
      </w:r>
    </w:p>
    <w:p w14:paraId="355C45A2" w14:textId="77777777" w:rsidR="00FE461F" w:rsidRPr="005E4BEA" w:rsidRDefault="00FE461F" w:rsidP="00FE461F">
      <w:pPr>
        <w:spacing w:line="240" w:lineRule="auto"/>
        <w:jc w:val="both"/>
        <w:rPr>
          <w:rFonts w:cs="Arial"/>
          <w:b/>
          <w:bCs/>
          <w:color w:val="4472C4"/>
          <w:szCs w:val="20"/>
        </w:rPr>
      </w:pPr>
    </w:p>
    <w:tbl>
      <w:tblPr>
        <w:tblW w:w="9733" w:type="dxa"/>
        <w:tblCellMar>
          <w:left w:w="70" w:type="dxa"/>
          <w:right w:w="70" w:type="dxa"/>
        </w:tblCellMar>
        <w:tblLook w:val="04A0" w:firstRow="1" w:lastRow="0" w:firstColumn="1" w:lastColumn="0" w:noHBand="0" w:noVBand="1"/>
      </w:tblPr>
      <w:tblGrid>
        <w:gridCol w:w="1975"/>
        <w:gridCol w:w="1417"/>
        <w:gridCol w:w="2694"/>
        <w:gridCol w:w="1842"/>
        <w:gridCol w:w="1805"/>
      </w:tblGrid>
      <w:tr w:rsidR="00FE461F" w:rsidRPr="005E4BEA" w14:paraId="4AEF8A07" w14:textId="77777777" w:rsidTr="0016774B">
        <w:trPr>
          <w:trHeight w:val="242"/>
        </w:trPr>
        <w:tc>
          <w:tcPr>
            <w:tcW w:w="1975" w:type="dxa"/>
            <w:vMerge w:val="restart"/>
            <w:tcBorders>
              <w:top w:val="single" w:sz="8" w:space="0" w:color="auto"/>
              <w:left w:val="single" w:sz="8" w:space="0" w:color="auto"/>
              <w:bottom w:val="nil"/>
              <w:right w:val="single" w:sz="8" w:space="0" w:color="auto"/>
            </w:tcBorders>
            <w:shd w:val="clear" w:color="000000" w:fill="8EAADB"/>
            <w:vAlign w:val="center"/>
            <w:hideMark/>
          </w:tcPr>
          <w:p w14:paraId="2FE8397C"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P r o g r a m</w:t>
            </w:r>
          </w:p>
        </w:tc>
        <w:tc>
          <w:tcPr>
            <w:tcW w:w="1417" w:type="dxa"/>
            <w:vMerge w:val="restart"/>
            <w:tcBorders>
              <w:top w:val="single" w:sz="8" w:space="0" w:color="auto"/>
              <w:left w:val="single" w:sz="8" w:space="0" w:color="auto"/>
              <w:bottom w:val="nil"/>
              <w:right w:val="single" w:sz="8" w:space="0" w:color="auto"/>
            </w:tcBorders>
            <w:shd w:val="clear" w:color="000000" w:fill="8EAADB"/>
            <w:noWrap/>
            <w:vAlign w:val="center"/>
            <w:hideMark/>
          </w:tcPr>
          <w:p w14:paraId="7AF21785"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I z v a j a l e c</w:t>
            </w:r>
          </w:p>
        </w:tc>
        <w:tc>
          <w:tcPr>
            <w:tcW w:w="2694" w:type="dxa"/>
            <w:vMerge w:val="restart"/>
            <w:tcBorders>
              <w:top w:val="single" w:sz="8" w:space="0" w:color="auto"/>
              <w:left w:val="single" w:sz="8" w:space="0" w:color="auto"/>
              <w:bottom w:val="nil"/>
              <w:right w:val="single" w:sz="8" w:space="0" w:color="auto"/>
            </w:tcBorders>
            <w:shd w:val="clear" w:color="000000" w:fill="8EAADB"/>
            <w:noWrap/>
            <w:vAlign w:val="center"/>
            <w:hideMark/>
          </w:tcPr>
          <w:p w14:paraId="347D427A"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Obseg programa</w:t>
            </w:r>
          </w:p>
        </w:tc>
        <w:tc>
          <w:tcPr>
            <w:tcW w:w="1842" w:type="dxa"/>
            <w:tcBorders>
              <w:top w:val="single" w:sz="8" w:space="0" w:color="auto"/>
              <w:left w:val="nil"/>
              <w:bottom w:val="nil"/>
              <w:right w:val="single" w:sz="8" w:space="0" w:color="auto"/>
            </w:tcBorders>
            <w:shd w:val="clear" w:color="000000" w:fill="8EAADB"/>
            <w:noWrap/>
            <w:vAlign w:val="center"/>
            <w:hideMark/>
          </w:tcPr>
          <w:p w14:paraId="446C1138"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Dodatna sredstva</w:t>
            </w:r>
          </w:p>
        </w:tc>
        <w:tc>
          <w:tcPr>
            <w:tcW w:w="1805" w:type="dxa"/>
            <w:tcBorders>
              <w:top w:val="single" w:sz="8" w:space="0" w:color="auto"/>
              <w:left w:val="nil"/>
              <w:bottom w:val="nil"/>
              <w:right w:val="single" w:sz="8" w:space="0" w:color="auto"/>
            </w:tcBorders>
            <w:shd w:val="clear" w:color="000000" w:fill="8EAADB"/>
            <w:noWrap/>
            <w:vAlign w:val="center"/>
            <w:hideMark/>
          </w:tcPr>
          <w:p w14:paraId="00DD7574"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Dodatna sredstva</w:t>
            </w:r>
          </w:p>
        </w:tc>
      </w:tr>
      <w:tr w:rsidR="00FE461F" w:rsidRPr="005E4BEA" w14:paraId="0031BB30" w14:textId="77777777" w:rsidTr="0016774B">
        <w:trPr>
          <w:trHeight w:val="252"/>
        </w:trPr>
        <w:tc>
          <w:tcPr>
            <w:tcW w:w="1975" w:type="dxa"/>
            <w:vMerge/>
            <w:tcBorders>
              <w:top w:val="single" w:sz="8" w:space="0" w:color="auto"/>
              <w:left w:val="single" w:sz="8" w:space="0" w:color="auto"/>
              <w:bottom w:val="nil"/>
              <w:right w:val="single" w:sz="8" w:space="0" w:color="auto"/>
            </w:tcBorders>
            <w:vAlign w:val="center"/>
            <w:hideMark/>
          </w:tcPr>
          <w:p w14:paraId="628F12CC" w14:textId="77777777" w:rsidR="00FE461F" w:rsidRPr="005E4BEA" w:rsidRDefault="00FE461F" w:rsidP="00FE461F">
            <w:pPr>
              <w:spacing w:line="240" w:lineRule="auto"/>
              <w:jc w:val="center"/>
              <w:rPr>
                <w:rFonts w:cs="Arial"/>
                <w:b/>
                <w:bCs/>
                <w:color w:val="000000"/>
                <w:szCs w:val="20"/>
              </w:rPr>
            </w:pPr>
          </w:p>
        </w:tc>
        <w:tc>
          <w:tcPr>
            <w:tcW w:w="1417" w:type="dxa"/>
            <w:vMerge/>
            <w:tcBorders>
              <w:top w:val="single" w:sz="8" w:space="0" w:color="auto"/>
              <w:left w:val="single" w:sz="8" w:space="0" w:color="auto"/>
              <w:bottom w:val="nil"/>
              <w:right w:val="single" w:sz="8" w:space="0" w:color="auto"/>
            </w:tcBorders>
            <w:vAlign w:val="center"/>
            <w:hideMark/>
          </w:tcPr>
          <w:p w14:paraId="25D102C3" w14:textId="77777777" w:rsidR="00FE461F" w:rsidRPr="005E4BEA" w:rsidRDefault="00FE461F" w:rsidP="00FE461F">
            <w:pPr>
              <w:spacing w:line="240" w:lineRule="auto"/>
              <w:jc w:val="center"/>
              <w:rPr>
                <w:rFonts w:cs="Arial"/>
                <w:b/>
                <w:bCs/>
                <w:color w:val="000000"/>
                <w:szCs w:val="20"/>
              </w:rPr>
            </w:pPr>
          </w:p>
        </w:tc>
        <w:tc>
          <w:tcPr>
            <w:tcW w:w="2694" w:type="dxa"/>
            <w:vMerge/>
            <w:tcBorders>
              <w:top w:val="single" w:sz="8" w:space="0" w:color="auto"/>
              <w:left w:val="single" w:sz="8" w:space="0" w:color="auto"/>
              <w:bottom w:val="nil"/>
              <w:right w:val="single" w:sz="8" w:space="0" w:color="auto"/>
            </w:tcBorders>
            <w:vAlign w:val="center"/>
            <w:hideMark/>
          </w:tcPr>
          <w:p w14:paraId="5E63C6D5" w14:textId="77777777" w:rsidR="00FE461F" w:rsidRPr="005E4BEA" w:rsidRDefault="00FE461F" w:rsidP="00FE461F">
            <w:pPr>
              <w:spacing w:line="240" w:lineRule="auto"/>
              <w:jc w:val="center"/>
              <w:rPr>
                <w:rFonts w:cs="Arial"/>
                <w:b/>
                <w:bCs/>
                <w:color w:val="000000"/>
                <w:szCs w:val="20"/>
              </w:rPr>
            </w:pPr>
          </w:p>
        </w:tc>
        <w:tc>
          <w:tcPr>
            <w:tcW w:w="1842" w:type="dxa"/>
            <w:tcBorders>
              <w:top w:val="nil"/>
              <w:left w:val="nil"/>
              <w:bottom w:val="nil"/>
              <w:right w:val="single" w:sz="8" w:space="0" w:color="auto"/>
            </w:tcBorders>
            <w:shd w:val="clear" w:color="000000" w:fill="8EAADB"/>
            <w:noWrap/>
            <w:vAlign w:val="center"/>
            <w:hideMark/>
          </w:tcPr>
          <w:p w14:paraId="34CFCAF9"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na letni ravni</w:t>
            </w:r>
          </w:p>
        </w:tc>
        <w:tc>
          <w:tcPr>
            <w:tcW w:w="1805" w:type="dxa"/>
            <w:tcBorders>
              <w:top w:val="nil"/>
              <w:left w:val="nil"/>
              <w:bottom w:val="nil"/>
              <w:right w:val="single" w:sz="8" w:space="0" w:color="auto"/>
            </w:tcBorders>
            <w:shd w:val="clear" w:color="000000" w:fill="8EAADB"/>
            <w:noWrap/>
            <w:vAlign w:val="center"/>
            <w:hideMark/>
          </w:tcPr>
          <w:p w14:paraId="22AA7405"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1.1.-31.12.2021</w:t>
            </w:r>
          </w:p>
        </w:tc>
      </w:tr>
      <w:tr w:rsidR="00FE461F" w:rsidRPr="005E4BEA" w14:paraId="195FD5C8" w14:textId="77777777" w:rsidTr="0016774B">
        <w:trPr>
          <w:trHeight w:val="39"/>
        </w:trPr>
        <w:tc>
          <w:tcPr>
            <w:tcW w:w="1975" w:type="dxa"/>
            <w:vMerge/>
            <w:tcBorders>
              <w:top w:val="single" w:sz="8" w:space="0" w:color="auto"/>
              <w:left w:val="single" w:sz="8" w:space="0" w:color="auto"/>
              <w:bottom w:val="nil"/>
              <w:right w:val="single" w:sz="8" w:space="0" w:color="auto"/>
            </w:tcBorders>
            <w:vAlign w:val="center"/>
            <w:hideMark/>
          </w:tcPr>
          <w:p w14:paraId="0EE6CBF9" w14:textId="77777777" w:rsidR="00FE461F" w:rsidRPr="005E4BEA" w:rsidRDefault="00FE461F" w:rsidP="00FE461F">
            <w:pPr>
              <w:spacing w:line="240" w:lineRule="auto"/>
              <w:jc w:val="center"/>
              <w:rPr>
                <w:rFonts w:cs="Arial"/>
                <w:b/>
                <w:bCs/>
                <w:color w:val="000000"/>
                <w:szCs w:val="20"/>
              </w:rPr>
            </w:pPr>
          </w:p>
        </w:tc>
        <w:tc>
          <w:tcPr>
            <w:tcW w:w="1417" w:type="dxa"/>
            <w:vMerge/>
            <w:tcBorders>
              <w:top w:val="single" w:sz="8" w:space="0" w:color="auto"/>
              <w:left w:val="single" w:sz="8" w:space="0" w:color="auto"/>
              <w:bottom w:val="nil"/>
              <w:right w:val="single" w:sz="8" w:space="0" w:color="auto"/>
            </w:tcBorders>
            <w:vAlign w:val="center"/>
            <w:hideMark/>
          </w:tcPr>
          <w:p w14:paraId="472BD764" w14:textId="77777777" w:rsidR="00FE461F" w:rsidRPr="005E4BEA" w:rsidRDefault="00FE461F" w:rsidP="00FE461F">
            <w:pPr>
              <w:spacing w:line="240" w:lineRule="auto"/>
              <w:jc w:val="center"/>
              <w:rPr>
                <w:rFonts w:cs="Arial"/>
                <w:b/>
                <w:bCs/>
                <w:color w:val="000000"/>
                <w:szCs w:val="20"/>
              </w:rPr>
            </w:pPr>
          </w:p>
        </w:tc>
        <w:tc>
          <w:tcPr>
            <w:tcW w:w="2694" w:type="dxa"/>
            <w:vMerge/>
            <w:tcBorders>
              <w:top w:val="single" w:sz="8" w:space="0" w:color="auto"/>
              <w:left w:val="single" w:sz="8" w:space="0" w:color="auto"/>
              <w:bottom w:val="nil"/>
              <w:right w:val="single" w:sz="8" w:space="0" w:color="auto"/>
            </w:tcBorders>
            <w:vAlign w:val="center"/>
            <w:hideMark/>
          </w:tcPr>
          <w:p w14:paraId="77F2E78E" w14:textId="77777777" w:rsidR="00FE461F" w:rsidRPr="005E4BEA" w:rsidRDefault="00FE461F" w:rsidP="00FE461F">
            <w:pPr>
              <w:spacing w:line="240" w:lineRule="auto"/>
              <w:jc w:val="center"/>
              <w:rPr>
                <w:rFonts w:cs="Arial"/>
                <w:b/>
                <w:bCs/>
                <w:color w:val="000000"/>
                <w:szCs w:val="20"/>
              </w:rPr>
            </w:pPr>
          </w:p>
        </w:tc>
        <w:tc>
          <w:tcPr>
            <w:tcW w:w="1842" w:type="dxa"/>
            <w:tcBorders>
              <w:top w:val="nil"/>
              <w:left w:val="nil"/>
              <w:bottom w:val="nil"/>
              <w:right w:val="single" w:sz="8" w:space="0" w:color="auto"/>
            </w:tcBorders>
            <w:shd w:val="clear" w:color="000000" w:fill="8EAADB"/>
            <w:noWrap/>
            <w:vAlign w:val="center"/>
            <w:hideMark/>
          </w:tcPr>
          <w:p w14:paraId="3CAA28E6"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(v EUR)</w:t>
            </w:r>
          </w:p>
        </w:tc>
        <w:tc>
          <w:tcPr>
            <w:tcW w:w="1805" w:type="dxa"/>
            <w:tcBorders>
              <w:top w:val="nil"/>
              <w:left w:val="nil"/>
              <w:bottom w:val="nil"/>
              <w:right w:val="single" w:sz="8" w:space="0" w:color="auto"/>
            </w:tcBorders>
            <w:shd w:val="clear" w:color="000000" w:fill="8EAADB"/>
            <w:noWrap/>
            <w:vAlign w:val="center"/>
            <w:hideMark/>
          </w:tcPr>
          <w:p w14:paraId="66EFD233"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(v EUR)</w:t>
            </w:r>
          </w:p>
        </w:tc>
      </w:tr>
      <w:tr w:rsidR="00FE461F" w:rsidRPr="005E4BEA" w14:paraId="09525514" w14:textId="77777777" w:rsidTr="0016774B">
        <w:trPr>
          <w:trHeight w:val="252"/>
        </w:trPr>
        <w:tc>
          <w:tcPr>
            <w:tcW w:w="19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9918AD"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FIZIOTERAPIJA</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14:paraId="68544F1B"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 xml:space="preserve">Vsi izvajalci </w:t>
            </w:r>
          </w:p>
        </w:tc>
        <w:tc>
          <w:tcPr>
            <w:tcW w:w="2694" w:type="dxa"/>
            <w:tcBorders>
              <w:top w:val="single" w:sz="4" w:space="0" w:color="auto"/>
              <w:left w:val="nil"/>
              <w:bottom w:val="single" w:sz="4" w:space="0" w:color="auto"/>
              <w:right w:val="single" w:sz="4" w:space="0" w:color="auto"/>
            </w:tcBorders>
            <w:shd w:val="clear" w:color="000000" w:fill="FFFFFF"/>
            <w:vAlign w:val="bottom"/>
            <w:hideMark/>
          </w:tcPr>
          <w:p w14:paraId="056BA9BC"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Plačilo 15% preseganja programa</w:t>
            </w:r>
          </w:p>
        </w:tc>
        <w:tc>
          <w:tcPr>
            <w:tcW w:w="1842" w:type="dxa"/>
            <w:tcBorders>
              <w:top w:val="single" w:sz="4" w:space="0" w:color="auto"/>
              <w:left w:val="nil"/>
              <w:bottom w:val="single" w:sz="4" w:space="0" w:color="auto"/>
              <w:right w:val="single" w:sz="4" w:space="0" w:color="auto"/>
            </w:tcBorders>
            <w:shd w:val="clear" w:color="000000" w:fill="FFFFFF"/>
            <w:vAlign w:val="bottom"/>
            <w:hideMark/>
          </w:tcPr>
          <w:p w14:paraId="0E5B4C7E"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3.515.670</w:t>
            </w:r>
          </w:p>
        </w:tc>
        <w:tc>
          <w:tcPr>
            <w:tcW w:w="1805" w:type="dxa"/>
            <w:tcBorders>
              <w:top w:val="single" w:sz="4" w:space="0" w:color="auto"/>
              <w:left w:val="nil"/>
              <w:bottom w:val="single" w:sz="4" w:space="0" w:color="auto"/>
              <w:right w:val="single" w:sz="4" w:space="0" w:color="auto"/>
            </w:tcBorders>
            <w:shd w:val="clear" w:color="000000" w:fill="FFFFFF"/>
            <w:vAlign w:val="bottom"/>
            <w:hideMark/>
          </w:tcPr>
          <w:p w14:paraId="5F924448"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3.515.670</w:t>
            </w:r>
          </w:p>
        </w:tc>
      </w:tr>
    </w:tbl>
    <w:p w14:paraId="3696885A" w14:textId="77777777" w:rsidR="00FE461F" w:rsidRPr="005E4BEA" w:rsidRDefault="00FE461F" w:rsidP="00FE461F">
      <w:pPr>
        <w:spacing w:line="240" w:lineRule="auto"/>
        <w:rPr>
          <w:rFonts w:cs="Arial"/>
          <w:szCs w:val="20"/>
        </w:rPr>
      </w:pPr>
    </w:p>
    <w:p w14:paraId="47F9C55A" w14:textId="77777777" w:rsidR="00FE461F" w:rsidRPr="005E4BEA" w:rsidRDefault="00FE461F" w:rsidP="00FE461F">
      <w:pPr>
        <w:spacing w:line="240" w:lineRule="auto"/>
        <w:jc w:val="both"/>
        <w:rPr>
          <w:rFonts w:cs="Arial"/>
          <w:b/>
          <w:bCs/>
          <w:szCs w:val="20"/>
        </w:rPr>
      </w:pPr>
      <w:r w:rsidRPr="005E4BEA">
        <w:rPr>
          <w:rFonts w:cs="Arial"/>
          <w:b/>
          <w:bCs/>
          <w:szCs w:val="20"/>
        </w:rPr>
        <w:t>V 3. odstavku priloge III/a se doda nova točka 4. točki, ki glasi:</w:t>
      </w:r>
    </w:p>
    <w:p w14:paraId="5414F3AC" w14:textId="77777777" w:rsidR="00FE461F" w:rsidRPr="005E4BEA" w:rsidRDefault="00FE461F" w:rsidP="00FE461F">
      <w:pPr>
        <w:spacing w:line="240" w:lineRule="auto"/>
        <w:rPr>
          <w:rFonts w:cs="Arial"/>
          <w:szCs w:val="20"/>
        </w:rPr>
      </w:pPr>
    </w:p>
    <w:p w14:paraId="42D4EF7E" w14:textId="77777777" w:rsidR="00FE461F" w:rsidRPr="005E4BEA" w:rsidRDefault="00FE461F" w:rsidP="00FE461F">
      <w:pPr>
        <w:widowControl w:val="0"/>
        <w:suppressAutoHyphens/>
        <w:spacing w:line="240" w:lineRule="auto"/>
        <w:jc w:val="both"/>
        <w:rPr>
          <w:rFonts w:cs="Arial"/>
          <w:szCs w:val="20"/>
        </w:rPr>
      </w:pPr>
      <w:r w:rsidRPr="005E4BEA">
        <w:rPr>
          <w:rFonts w:cs="Arial"/>
          <w:szCs w:val="20"/>
        </w:rPr>
        <w:t>(2) Zavod v dejavnosti  fizioterapije plača do 15 % preseganje pogodbeno dogovorjenega programa.</w:t>
      </w:r>
    </w:p>
    <w:p w14:paraId="7DF47EB9" w14:textId="77777777" w:rsidR="00FE461F" w:rsidRPr="005E4BEA" w:rsidRDefault="00FE461F" w:rsidP="00FE461F">
      <w:pPr>
        <w:spacing w:line="240" w:lineRule="auto"/>
        <w:jc w:val="both"/>
        <w:rPr>
          <w:rFonts w:cs="Arial"/>
          <w:i/>
          <w:iCs/>
          <w:color w:val="808080"/>
          <w:szCs w:val="20"/>
        </w:rPr>
      </w:pPr>
    </w:p>
    <w:p w14:paraId="27AE8A20" w14:textId="77777777" w:rsidR="00FE461F" w:rsidRPr="005E4BEA" w:rsidRDefault="00FE461F" w:rsidP="00FE461F">
      <w:pPr>
        <w:spacing w:line="240" w:lineRule="auto"/>
        <w:ind w:left="616" w:hanging="616"/>
        <w:jc w:val="both"/>
        <w:rPr>
          <w:rFonts w:cs="Arial"/>
          <w:b/>
          <w:bCs/>
          <w:i/>
          <w:iCs/>
          <w:color w:val="808080"/>
          <w:szCs w:val="20"/>
          <w:u w:val="single"/>
        </w:rPr>
      </w:pPr>
      <w:r w:rsidRPr="005E4BEA">
        <w:rPr>
          <w:rFonts w:cs="Arial"/>
          <w:b/>
          <w:bCs/>
          <w:i/>
          <w:iCs/>
          <w:color w:val="808080"/>
          <w:szCs w:val="20"/>
          <w:u w:val="single"/>
        </w:rPr>
        <w:t xml:space="preserve">Obrazložitev: </w:t>
      </w:r>
    </w:p>
    <w:p w14:paraId="6DF5BE78"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Združenje predlaga, da se v Splošni dogovor 2021 vključi dopustno 15 odstotno preseganje realizacije planiranega plana fizioterapije v letu 2021, ker so na tem področju čakalne dobe zelo dolge in se vrste še podaljšujejo.</w:t>
      </w:r>
    </w:p>
    <w:p w14:paraId="0799016D" w14:textId="22E082AD"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Iz podatkov NIJZ Št. čakajočih na dan 20.5.2021 je razvidno, da je trenutno število čakajočih 30.132, </w:t>
      </w:r>
      <w:bookmarkStart w:id="51" w:name="_Hlk78886151"/>
      <w:r w:rsidRPr="005E4BEA">
        <w:rPr>
          <w:rFonts w:cs="Arial"/>
          <w:b/>
          <w:bCs/>
          <w:i/>
          <w:iCs/>
          <w:color w:val="808080"/>
          <w:szCs w:val="20"/>
        </w:rPr>
        <w:t>vseh čakajočih NAD čakalno dobo 14.075 oseb</w:t>
      </w:r>
      <w:bookmarkEnd w:id="51"/>
      <w:r w:rsidRPr="005E4BEA">
        <w:rPr>
          <w:rFonts w:cs="Arial"/>
          <w:i/>
          <w:iCs/>
          <w:color w:val="808080"/>
          <w:szCs w:val="20"/>
        </w:rPr>
        <w:t xml:space="preserve">. </w:t>
      </w:r>
    </w:p>
    <w:p w14:paraId="1A01DDEC" w14:textId="54AB6D9E" w:rsidR="00BE5D1E" w:rsidRPr="005E4BEA" w:rsidRDefault="00BE5D1E" w:rsidP="00FE461F">
      <w:pPr>
        <w:spacing w:line="240" w:lineRule="auto"/>
        <w:jc w:val="both"/>
        <w:rPr>
          <w:rFonts w:cs="Arial"/>
          <w:i/>
          <w:iCs/>
          <w:color w:val="808080"/>
          <w:szCs w:val="20"/>
        </w:rPr>
      </w:pPr>
    </w:p>
    <w:tbl>
      <w:tblPr>
        <w:tblW w:w="8596" w:type="dxa"/>
        <w:tblInd w:w="5" w:type="dxa"/>
        <w:tblCellMar>
          <w:left w:w="70" w:type="dxa"/>
          <w:right w:w="70" w:type="dxa"/>
        </w:tblCellMar>
        <w:tblLook w:val="04A0" w:firstRow="1" w:lastRow="0" w:firstColumn="1" w:lastColumn="0" w:noHBand="0" w:noVBand="1"/>
      </w:tblPr>
      <w:tblGrid>
        <w:gridCol w:w="1096"/>
        <w:gridCol w:w="768"/>
        <w:gridCol w:w="768"/>
        <w:gridCol w:w="768"/>
        <w:gridCol w:w="688"/>
        <w:gridCol w:w="688"/>
        <w:gridCol w:w="688"/>
        <w:gridCol w:w="688"/>
        <w:gridCol w:w="688"/>
        <w:gridCol w:w="688"/>
        <w:gridCol w:w="688"/>
        <w:gridCol w:w="688"/>
      </w:tblGrid>
      <w:tr w:rsidR="00BE5D1E" w:rsidRPr="005E4BEA" w14:paraId="06D285B7" w14:textId="77777777" w:rsidTr="0016774B">
        <w:trPr>
          <w:trHeight w:val="311"/>
        </w:trPr>
        <w:tc>
          <w:tcPr>
            <w:tcW w:w="104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ABF5D56" w14:textId="77777777" w:rsidR="00BE5D1E" w:rsidRPr="005E4BEA" w:rsidRDefault="00BE5D1E" w:rsidP="00BE5D1E">
            <w:pPr>
              <w:spacing w:line="240" w:lineRule="auto"/>
              <w:rPr>
                <w:rFonts w:ascii="Arial Narrow" w:hAnsi="Arial Narrow"/>
                <w:i/>
                <w:iCs/>
                <w:color w:val="808080"/>
                <w:sz w:val="16"/>
                <w:szCs w:val="16"/>
              </w:rPr>
            </w:pPr>
            <w:r w:rsidRPr="005E4BEA">
              <w:rPr>
                <w:rFonts w:ascii="Arial Narrow" w:hAnsi="Arial Narrow"/>
                <w:i/>
                <w:iCs/>
                <w:color w:val="808080"/>
                <w:sz w:val="16"/>
                <w:szCs w:val="16"/>
              </w:rPr>
              <w:t>VZS naziv*</w:t>
            </w:r>
          </w:p>
        </w:tc>
        <w:tc>
          <w:tcPr>
            <w:tcW w:w="736" w:type="dxa"/>
            <w:tcBorders>
              <w:top w:val="single" w:sz="4" w:space="0" w:color="auto"/>
              <w:left w:val="nil"/>
              <w:bottom w:val="single" w:sz="4" w:space="0" w:color="auto"/>
              <w:right w:val="single" w:sz="4" w:space="0" w:color="auto"/>
            </w:tcBorders>
            <w:shd w:val="clear" w:color="000000" w:fill="D9E1F2"/>
            <w:vAlign w:val="center"/>
            <w:hideMark/>
          </w:tcPr>
          <w:p w14:paraId="6A6C62B6"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Povprečna ČD na prvi termin Zelo hitro</w:t>
            </w:r>
          </w:p>
        </w:tc>
        <w:tc>
          <w:tcPr>
            <w:tcW w:w="737" w:type="dxa"/>
            <w:tcBorders>
              <w:top w:val="single" w:sz="4" w:space="0" w:color="auto"/>
              <w:left w:val="nil"/>
              <w:bottom w:val="single" w:sz="4" w:space="0" w:color="auto"/>
              <w:right w:val="single" w:sz="4" w:space="0" w:color="auto"/>
            </w:tcBorders>
            <w:shd w:val="clear" w:color="000000" w:fill="D9E1F2"/>
            <w:vAlign w:val="center"/>
            <w:hideMark/>
          </w:tcPr>
          <w:p w14:paraId="5B13E257"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Povprečna ČD na prvi termin Hitro</w:t>
            </w:r>
          </w:p>
        </w:tc>
        <w:tc>
          <w:tcPr>
            <w:tcW w:w="737" w:type="dxa"/>
            <w:tcBorders>
              <w:top w:val="single" w:sz="4" w:space="0" w:color="auto"/>
              <w:left w:val="nil"/>
              <w:bottom w:val="single" w:sz="4" w:space="0" w:color="auto"/>
              <w:right w:val="single" w:sz="4" w:space="0" w:color="auto"/>
            </w:tcBorders>
            <w:shd w:val="clear" w:color="000000" w:fill="D9E1F2"/>
            <w:vAlign w:val="center"/>
            <w:hideMark/>
          </w:tcPr>
          <w:p w14:paraId="24DF17F9"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Povprečna ČD na prvi termin Redno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1DA7624F"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Zelo hitro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397322AD"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Hitro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1106269C"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Redno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3403E765"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Število čakajočih skupna vsota</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14D0D46D"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Zelo hitro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2A721F0F"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Hitro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771E4488"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Redno</w:t>
            </w:r>
          </w:p>
        </w:tc>
        <w:tc>
          <w:tcPr>
            <w:tcW w:w="668" w:type="dxa"/>
            <w:tcBorders>
              <w:top w:val="single" w:sz="4" w:space="0" w:color="auto"/>
              <w:left w:val="nil"/>
              <w:bottom w:val="single" w:sz="4" w:space="0" w:color="auto"/>
              <w:right w:val="single" w:sz="4" w:space="0" w:color="auto"/>
            </w:tcBorders>
            <w:shd w:val="clear" w:color="000000" w:fill="D9E1F2"/>
            <w:vAlign w:val="center"/>
            <w:hideMark/>
          </w:tcPr>
          <w:p w14:paraId="5F381D8D"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 xml:space="preserve">Število čakajočih NAD </w:t>
            </w:r>
            <w:proofErr w:type="spellStart"/>
            <w:r w:rsidRPr="005E4BEA">
              <w:rPr>
                <w:rFonts w:ascii="Arial Narrow" w:hAnsi="Arial Narrow"/>
                <w:i/>
                <w:iCs/>
                <w:color w:val="808080"/>
                <w:sz w:val="16"/>
                <w:szCs w:val="16"/>
              </w:rPr>
              <w:t>dop</w:t>
            </w:r>
            <w:proofErr w:type="spellEnd"/>
            <w:r w:rsidRPr="005E4BEA">
              <w:rPr>
                <w:rFonts w:ascii="Arial Narrow" w:hAnsi="Arial Narrow"/>
                <w:i/>
                <w:iCs/>
                <w:color w:val="808080"/>
                <w:sz w:val="16"/>
                <w:szCs w:val="16"/>
              </w:rPr>
              <w:t>. ČD skupna vsota</w:t>
            </w:r>
          </w:p>
        </w:tc>
      </w:tr>
      <w:tr w:rsidR="00BE5D1E" w:rsidRPr="005E4BEA" w14:paraId="44E1407C" w14:textId="77777777" w:rsidTr="0016774B">
        <w:trPr>
          <w:trHeight w:val="110"/>
        </w:trPr>
        <w:tc>
          <w:tcPr>
            <w:tcW w:w="1042" w:type="dxa"/>
            <w:tcBorders>
              <w:top w:val="single" w:sz="4" w:space="0" w:color="auto"/>
              <w:left w:val="single" w:sz="4" w:space="0" w:color="auto"/>
              <w:bottom w:val="single" w:sz="4" w:space="0" w:color="auto"/>
              <w:right w:val="single" w:sz="4" w:space="0" w:color="auto"/>
            </w:tcBorders>
            <w:noWrap/>
            <w:vAlign w:val="bottom"/>
            <w:hideMark/>
          </w:tcPr>
          <w:p w14:paraId="556068A3" w14:textId="77777777" w:rsidR="00BE5D1E" w:rsidRPr="005E4BEA" w:rsidRDefault="00BE5D1E" w:rsidP="00BE5D1E">
            <w:pPr>
              <w:spacing w:line="240" w:lineRule="auto"/>
              <w:rPr>
                <w:rFonts w:ascii="Arial Narrow" w:hAnsi="Arial Narrow"/>
                <w:i/>
                <w:iCs/>
                <w:color w:val="808080"/>
                <w:sz w:val="16"/>
                <w:szCs w:val="16"/>
              </w:rPr>
            </w:pPr>
            <w:r w:rsidRPr="005E4BEA">
              <w:rPr>
                <w:rFonts w:ascii="Arial Narrow" w:hAnsi="Arial Narrow"/>
                <w:i/>
                <w:iCs/>
                <w:color w:val="808080"/>
                <w:sz w:val="16"/>
                <w:szCs w:val="16"/>
              </w:rPr>
              <w:t>Fizioterapevtska obravnava</w:t>
            </w:r>
          </w:p>
        </w:tc>
        <w:tc>
          <w:tcPr>
            <w:tcW w:w="736" w:type="dxa"/>
            <w:tcBorders>
              <w:top w:val="nil"/>
              <w:left w:val="nil"/>
              <w:bottom w:val="single" w:sz="4" w:space="0" w:color="auto"/>
              <w:right w:val="single" w:sz="4" w:space="0" w:color="auto"/>
            </w:tcBorders>
            <w:noWrap/>
            <w:vAlign w:val="bottom"/>
            <w:hideMark/>
          </w:tcPr>
          <w:p w14:paraId="6E9B2707"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35,8</w:t>
            </w:r>
          </w:p>
        </w:tc>
        <w:tc>
          <w:tcPr>
            <w:tcW w:w="737" w:type="dxa"/>
            <w:tcBorders>
              <w:top w:val="nil"/>
              <w:left w:val="nil"/>
              <w:bottom w:val="single" w:sz="4" w:space="0" w:color="auto"/>
              <w:right w:val="single" w:sz="4" w:space="0" w:color="auto"/>
            </w:tcBorders>
            <w:noWrap/>
            <w:vAlign w:val="bottom"/>
            <w:hideMark/>
          </w:tcPr>
          <w:p w14:paraId="5135345F"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111,3</w:t>
            </w:r>
          </w:p>
        </w:tc>
        <w:tc>
          <w:tcPr>
            <w:tcW w:w="737" w:type="dxa"/>
            <w:tcBorders>
              <w:top w:val="nil"/>
              <w:left w:val="nil"/>
              <w:bottom w:val="single" w:sz="4" w:space="0" w:color="auto"/>
              <w:right w:val="single" w:sz="4" w:space="0" w:color="auto"/>
            </w:tcBorders>
            <w:noWrap/>
            <w:vAlign w:val="bottom"/>
            <w:hideMark/>
          </w:tcPr>
          <w:p w14:paraId="01271208"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149,9</w:t>
            </w:r>
          </w:p>
        </w:tc>
        <w:tc>
          <w:tcPr>
            <w:tcW w:w="668" w:type="dxa"/>
            <w:tcBorders>
              <w:top w:val="nil"/>
              <w:left w:val="nil"/>
              <w:bottom w:val="single" w:sz="4" w:space="0" w:color="auto"/>
              <w:right w:val="single" w:sz="4" w:space="0" w:color="auto"/>
            </w:tcBorders>
            <w:noWrap/>
            <w:vAlign w:val="bottom"/>
            <w:hideMark/>
          </w:tcPr>
          <w:p w14:paraId="52EB7780"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3.972</w:t>
            </w:r>
          </w:p>
        </w:tc>
        <w:tc>
          <w:tcPr>
            <w:tcW w:w="668" w:type="dxa"/>
            <w:tcBorders>
              <w:top w:val="nil"/>
              <w:left w:val="nil"/>
              <w:bottom w:val="single" w:sz="4" w:space="0" w:color="auto"/>
              <w:right w:val="single" w:sz="4" w:space="0" w:color="auto"/>
            </w:tcBorders>
            <w:noWrap/>
            <w:vAlign w:val="bottom"/>
            <w:hideMark/>
          </w:tcPr>
          <w:p w14:paraId="2E5444FD"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18.275</w:t>
            </w:r>
          </w:p>
        </w:tc>
        <w:tc>
          <w:tcPr>
            <w:tcW w:w="668" w:type="dxa"/>
            <w:tcBorders>
              <w:top w:val="nil"/>
              <w:left w:val="nil"/>
              <w:bottom w:val="single" w:sz="4" w:space="0" w:color="auto"/>
              <w:right w:val="single" w:sz="4" w:space="0" w:color="auto"/>
            </w:tcBorders>
            <w:noWrap/>
            <w:vAlign w:val="bottom"/>
            <w:hideMark/>
          </w:tcPr>
          <w:p w14:paraId="71E77AE5"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7.885</w:t>
            </w:r>
          </w:p>
        </w:tc>
        <w:tc>
          <w:tcPr>
            <w:tcW w:w="668" w:type="dxa"/>
            <w:tcBorders>
              <w:top w:val="nil"/>
              <w:left w:val="nil"/>
              <w:bottom w:val="single" w:sz="4" w:space="0" w:color="auto"/>
              <w:right w:val="single" w:sz="4" w:space="0" w:color="auto"/>
            </w:tcBorders>
            <w:noWrap/>
            <w:vAlign w:val="bottom"/>
            <w:hideMark/>
          </w:tcPr>
          <w:p w14:paraId="58628CFD"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30.132</w:t>
            </w:r>
          </w:p>
        </w:tc>
        <w:tc>
          <w:tcPr>
            <w:tcW w:w="668" w:type="dxa"/>
            <w:tcBorders>
              <w:top w:val="nil"/>
              <w:left w:val="nil"/>
              <w:bottom w:val="single" w:sz="4" w:space="0" w:color="auto"/>
              <w:right w:val="single" w:sz="4" w:space="0" w:color="auto"/>
            </w:tcBorders>
            <w:noWrap/>
            <w:vAlign w:val="bottom"/>
            <w:hideMark/>
          </w:tcPr>
          <w:p w14:paraId="57C7B208"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2.759</w:t>
            </w:r>
          </w:p>
        </w:tc>
        <w:tc>
          <w:tcPr>
            <w:tcW w:w="668" w:type="dxa"/>
            <w:tcBorders>
              <w:top w:val="nil"/>
              <w:left w:val="nil"/>
              <w:bottom w:val="single" w:sz="4" w:space="0" w:color="auto"/>
              <w:right w:val="single" w:sz="4" w:space="0" w:color="auto"/>
            </w:tcBorders>
            <w:noWrap/>
            <w:vAlign w:val="bottom"/>
            <w:hideMark/>
          </w:tcPr>
          <w:p w14:paraId="2305BADE"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8.799</w:t>
            </w:r>
          </w:p>
        </w:tc>
        <w:tc>
          <w:tcPr>
            <w:tcW w:w="668" w:type="dxa"/>
            <w:tcBorders>
              <w:top w:val="nil"/>
              <w:left w:val="nil"/>
              <w:bottom w:val="single" w:sz="4" w:space="0" w:color="auto"/>
              <w:right w:val="single" w:sz="4" w:space="0" w:color="auto"/>
            </w:tcBorders>
            <w:noWrap/>
            <w:vAlign w:val="bottom"/>
            <w:hideMark/>
          </w:tcPr>
          <w:p w14:paraId="2DDEA7F2"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2.517</w:t>
            </w:r>
          </w:p>
        </w:tc>
        <w:tc>
          <w:tcPr>
            <w:tcW w:w="668" w:type="dxa"/>
            <w:tcBorders>
              <w:top w:val="nil"/>
              <w:left w:val="nil"/>
              <w:bottom w:val="single" w:sz="4" w:space="0" w:color="auto"/>
              <w:right w:val="single" w:sz="4" w:space="0" w:color="auto"/>
            </w:tcBorders>
            <w:noWrap/>
            <w:vAlign w:val="bottom"/>
            <w:hideMark/>
          </w:tcPr>
          <w:p w14:paraId="51DDCBD3" w14:textId="77777777" w:rsidR="00BE5D1E" w:rsidRPr="005E4BEA" w:rsidRDefault="00BE5D1E" w:rsidP="00BE5D1E">
            <w:pPr>
              <w:spacing w:line="240" w:lineRule="auto"/>
              <w:jc w:val="center"/>
              <w:rPr>
                <w:rFonts w:ascii="Arial Narrow" w:hAnsi="Arial Narrow"/>
                <w:i/>
                <w:iCs/>
                <w:color w:val="808080"/>
                <w:sz w:val="16"/>
                <w:szCs w:val="16"/>
              </w:rPr>
            </w:pPr>
            <w:r w:rsidRPr="005E4BEA">
              <w:rPr>
                <w:rFonts w:ascii="Arial Narrow" w:hAnsi="Arial Narrow"/>
                <w:i/>
                <w:iCs/>
                <w:color w:val="808080"/>
                <w:sz w:val="16"/>
                <w:szCs w:val="16"/>
              </w:rPr>
              <w:t>14.075</w:t>
            </w:r>
          </w:p>
        </w:tc>
      </w:tr>
    </w:tbl>
    <w:p w14:paraId="4F9919CB" w14:textId="77777777" w:rsidR="00BE5D1E" w:rsidRPr="005E4BEA" w:rsidRDefault="00BE5D1E" w:rsidP="00FE461F">
      <w:pPr>
        <w:spacing w:line="240" w:lineRule="auto"/>
        <w:jc w:val="both"/>
        <w:rPr>
          <w:rFonts w:cs="Arial"/>
          <w:i/>
          <w:iCs/>
          <w:color w:val="808080"/>
          <w:szCs w:val="20"/>
        </w:rPr>
      </w:pPr>
    </w:p>
    <w:p w14:paraId="29B1118E"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Podatki NIJZ Št. čakajočih na dan 20.5.2021</w:t>
      </w:r>
    </w:p>
    <w:p w14:paraId="08FB3374"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Realizacija programa fizioterapije: </w:t>
      </w:r>
    </w:p>
    <w:tbl>
      <w:tblPr>
        <w:tblW w:w="9067" w:type="dxa"/>
        <w:tblCellMar>
          <w:left w:w="70" w:type="dxa"/>
          <w:right w:w="70" w:type="dxa"/>
        </w:tblCellMar>
        <w:tblLook w:val="04A0" w:firstRow="1" w:lastRow="0" w:firstColumn="1" w:lastColumn="0" w:noHBand="0" w:noVBand="1"/>
      </w:tblPr>
      <w:tblGrid>
        <w:gridCol w:w="1779"/>
        <w:gridCol w:w="1644"/>
        <w:gridCol w:w="1672"/>
        <w:gridCol w:w="2399"/>
        <w:gridCol w:w="1573"/>
      </w:tblGrid>
      <w:tr w:rsidR="00FE461F" w:rsidRPr="005E4BEA" w14:paraId="418BE93B" w14:textId="77777777" w:rsidTr="0016774B">
        <w:trPr>
          <w:trHeight w:val="380"/>
        </w:trPr>
        <w:tc>
          <w:tcPr>
            <w:tcW w:w="177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F1ABD4"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LETO </w:t>
            </w:r>
          </w:p>
        </w:tc>
        <w:tc>
          <w:tcPr>
            <w:tcW w:w="1644" w:type="dxa"/>
            <w:tcBorders>
              <w:top w:val="single" w:sz="4" w:space="0" w:color="auto"/>
              <w:left w:val="nil"/>
              <w:bottom w:val="single" w:sz="4" w:space="0" w:color="auto"/>
              <w:right w:val="single" w:sz="4" w:space="0" w:color="auto"/>
            </w:tcBorders>
            <w:shd w:val="clear" w:color="000000" w:fill="BFBFBF"/>
            <w:noWrap/>
            <w:vAlign w:val="bottom"/>
            <w:hideMark/>
          </w:tcPr>
          <w:p w14:paraId="7D59B0D0"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PLAN UTEŽI FTH </w:t>
            </w:r>
          </w:p>
        </w:tc>
        <w:tc>
          <w:tcPr>
            <w:tcW w:w="1672" w:type="dxa"/>
            <w:tcBorders>
              <w:top w:val="single" w:sz="4" w:space="0" w:color="auto"/>
              <w:left w:val="nil"/>
              <w:bottom w:val="single" w:sz="4" w:space="0" w:color="auto"/>
              <w:right w:val="single" w:sz="4" w:space="0" w:color="auto"/>
            </w:tcBorders>
            <w:shd w:val="clear" w:color="000000" w:fill="BFBFBF"/>
            <w:noWrap/>
            <w:vAlign w:val="bottom"/>
            <w:hideMark/>
          </w:tcPr>
          <w:p w14:paraId="74E122BB"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REALIZACIJA FTH </w:t>
            </w:r>
          </w:p>
        </w:tc>
        <w:tc>
          <w:tcPr>
            <w:tcW w:w="2399" w:type="dxa"/>
            <w:tcBorders>
              <w:top w:val="single" w:sz="4" w:space="0" w:color="auto"/>
              <w:left w:val="nil"/>
              <w:bottom w:val="single" w:sz="4" w:space="0" w:color="auto"/>
              <w:right w:val="single" w:sz="4" w:space="0" w:color="auto"/>
            </w:tcBorders>
            <w:shd w:val="clear" w:color="000000" w:fill="BFBFBF"/>
            <w:vAlign w:val="bottom"/>
            <w:hideMark/>
          </w:tcPr>
          <w:p w14:paraId="7BFE53D8"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INDEKS REALIZACIJE 2020</w:t>
            </w:r>
          </w:p>
        </w:tc>
        <w:tc>
          <w:tcPr>
            <w:tcW w:w="1573" w:type="dxa"/>
            <w:tcBorders>
              <w:top w:val="single" w:sz="4" w:space="0" w:color="auto"/>
              <w:left w:val="nil"/>
              <w:bottom w:val="single" w:sz="4" w:space="0" w:color="auto"/>
              <w:right w:val="single" w:sz="4" w:space="0" w:color="auto"/>
            </w:tcBorders>
            <w:shd w:val="clear" w:color="000000" w:fill="BFBFBF"/>
            <w:vAlign w:val="bottom"/>
            <w:hideMark/>
          </w:tcPr>
          <w:p w14:paraId="66E385AB" w14:textId="77777777" w:rsidR="00FE461F" w:rsidRPr="005E4BEA" w:rsidRDefault="00FE461F" w:rsidP="00FE461F">
            <w:pPr>
              <w:spacing w:line="240" w:lineRule="auto"/>
              <w:jc w:val="both"/>
              <w:rPr>
                <w:rFonts w:cs="Arial"/>
                <w:b/>
                <w:bCs/>
                <w:i/>
                <w:iCs/>
                <w:color w:val="808080"/>
                <w:szCs w:val="20"/>
              </w:rPr>
            </w:pPr>
            <w:r w:rsidRPr="005E4BEA">
              <w:rPr>
                <w:rFonts w:cs="Arial"/>
                <w:b/>
                <w:bCs/>
                <w:i/>
                <w:iCs/>
                <w:szCs w:val="20"/>
              </w:rPr>
              <w:t>REALIZACIJA OBRAVNAV</w:t>
            </w:r>
          </w:p>
        </w:tc>
      </w:tr>
      <w:tr w:rsidR="00FE461F" w:rsidRPr="005E4BEA" w14:paraId="5DEEF8AB" w14:textId="77777777" w:rsidTr="0016774B">
        <w:trPr>
          <w:trHeight w:val="190"/>
        </w:trPr>
        <w:tc>
          <w:tcPr>
            <w:tcW w:w="1779" w:type="dxa"/>
            <w:tcBorders>
              <w:top w:val="nil"/>
              <w:left w:val="single" w:sz="4" w:space="0" w:color="auto"/>
              <w:bottom w:val="single" w:sz="4" w:space="0" w:color="auto"/>
              <w:right w:val="single" w:sz="4" w:space="0" w:color="auto"/>
            </w:tcBorders>
            <w:noWrap/>
            <w:vAlign w:val="bottom"/>
            <w:hideMark/>
          </w:tcPr>
          <w:p w14:paraId="2F7F5CCB"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2019</w:t>
            </w:r>
          </w:p>
        </w:tc>
        <w:tc>
          <w:tcPr>
            <w:tcW w:w="1644" w:type="dxa"/>
            <w:tcBorders>
              <w:top w:val="nil"/>
              <w:left w:val="nil"/>
              <w:bottom w:val="single" w:sz="4" w:space="0" w:color="auto"/>
              <w:right w:val="single" w:sz="4" w:space="0" w:color="auto"/>
            </w:tcBorders>
            <w:noWrap/>
            <w:vAlign w:val="bottom"/>
            <w:hideMark/>
          </w:tcPr>
          <w:p w14:paraId="4417A1DA"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337.226 </w:t>
            </w:r>
          </w:p>
        </w:tc>
        <w:tc>
          <w:tcPr>
            <w:tcW w:w="1672" w:type="dxa"/>
            <w:tcBorders>
              <w:top w:val="nil"/>
              <w:left w:val="nil"/>
              <w:bottom w:val="single" w:sz="4" w:space="0" w:color="auto"/>
              <w:right w:val="single" w:sz="4" w:space="0" w:color="auto"/>
            </w:tcBorders>
            <w:noWrap/>
            <w:vAlign w:val="bottom"/>
            <w:hideMark/>
          </w:tcPr>
          <w:p w14:paraId="59A8F452"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367.192 </w:t>
            </w:r>
          </w:p>
        </w:tc>
        <w:tc>
          <w:tcPr>
            <w:tcW w:w="2399" w:type="dxa"/>
            <w:tcBorders>
              <w:top w:val="nil"/>
              <w:left w:val="nil"/>
              <w:bottom w:val="single" w:sz="4" w:space="0" w:color="auto"/>
              <w:right w:val="single" w:sz="4" w:space="0" w:color="auto"/>
            </w:tcBorders>
            <w:noWrap/>
            <w:vAlign w:val="bottom"/>
            <w:hideMark/>
          </w:tcPr>
          <w:p w14:paraId="41B1DC9C"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108,89 </w:t>
            </w:r>
          </w:p>
        </w:tc>
        <w:tc>
          <w:tcPr>
            <w:tcW w:w="1573" w:type="dxa"/>
            <w:tcBorders>
              <w:top w:val="nil"/>
              <w:left w:val="nil"/>
              <w:bottom w:val="single" w:sz="4" w:space="0" w:color="auto"/>
              <w:right w:val="single" w:sz="4" w:space="0" w:color="auto"/>
            </w:tcBorders>
            <w:noWrap/>
            <w:vAlign w:val="bottom"/>
            <w:hideMark/>
          </w:tcPr>
          <w:p w14:paraId="5F6918F3"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168.572 </w:t>
            </w:r>
          </w:p>
        </w:tc>
      </w:tr>
      <w:tr w:rsidR="00FE461F" w:rsidRPr="005E4BEA" w14:paraId="4AE05FF1" w14:textId="77777777" w:rsidTr="0016774B">
        <w:trPr>
          <w:trHeight w:val="190"/>
        </w:trPr>
        <w:tc>
          <w:tcPr>
            <w:tcW w:w="1779" w:type="dxa"/>
            <w:tcBorders>
              <w:top w:val="nil"/>
              <w:left w:val="single" w:sz="4" w:space="0" w:color="auto"/>
              <w:bottom w:val="single" w:sz="4" w:space="0" w:color="auto"/>
              <w:right w:val="single" w:sz="4" w:space="0" w:color="auto"/>
            </w:tcBorders>
            <w:noWrap/>
            <w:vAlign w:val="bottom"/>
            <w:hideMark/>
          </w:tcPr>
          <w:p w14:paraId="33C6A285"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2020</w:t>
            </w:r>
          </w:p>
        </w:tc>
        <w:tc>
          <w:tcPr>
            <w:tcW w:w="1644" w:type="dxa"/>
            <w:tcBorders>
              <w:top w:val="nil"/>
              <w:left w:val="nil"/>
              <w:bottom w:val="single" w:sz="4" w:space="0" w:color="auto"/>
              <w:right w:val="single" w:sz="4" w:space="0" w:color="auto"/>
            </w:tcBorders>
            <w:noWrap/>
            <w:vAlign w:val="bottom"/>
            <w:hideMark/>
          </w:tcPr>
          <w:p w14:paraId="66559F75"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336.719 </w:t>
            </w:r>
          </w:p>
        </w:tc>
        <w:tc>
          <w:tcPr>
            <w:tcW w:w="1672" w:type="dxa"/>
            <w:tcBorders>
              <w:top w:val="nil"/>
              <w:left w:val="nil"/>
              <w:bottom w:val="single" w:sz="4" w:space="0" w:color="auto"/>
              <w:right w:val="single" w:sz="4" w:space="0" w:color="auto"/>
            </w:tcBorders>
            <w:noWrap/>
            <w:vAlign w:val="bottom"/>
            <w:hideMark/>
          </w:tcPr>
          <w:p w14:paraId="7DD32EDB"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296.542 </w:t>
            </w:r>
          </w:p>
        </w:tc>
        <w:tc>
          <w:tcPr>
            <w:tcW w:w="2399" w:type="dxa"/>
            <w:tcBorders>
              <w:top w:val="nil"/>
              <w:left w:val="nil"/>
              <w:bottom w:val="single" w:sz="4" w:space="0" w:color="auto"/>
              <w:right w:val="single" w:sz="4" w:space="0" w:color="auto"/>
            </w:tcBorders>
            <w:noWrap/>
            <w:vAlign w:val="bottom"/>
            <w:hideMark/>
          </w:tcPr>
          <w:p w14:paraId="29B98238"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88,07 </w:t>
            </w:r>
          </w:p>
        </w:tc>
        <w:tc>
          <w:tcPr>
            <w:tcW w:w="1573" w:type="dxa"/>
            <w:tcBorders>
              <w:top w:val="nil"/>
              <w:left w:val="nil"/>
              <w:bottom w:val="single" w:sz="4" w:space="0" w:color="auto"/>
              <w:right w:val="single" w:sz="4" w:space="0" w:color="auto"/>
            </w:tcBorders>
            <w:noWrap/>
            <w:vAlign w:val="bottom"/>
            <w:hideMark/>
          </w:tcPr>
          <w:p w14:paraId="4CC55F28"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135.892 </w:t>
            </w:r>
          </w:p>
        </w:tc>
      </w:tr>
      <w:tr w:rsidR="00FE461F" w:rsidRPr="005E4BEA" w14:paraId="4645EDF2" w14:textId="77777777" w:rsidTr="0016774B">
        <w:trPr>
          <w:trHeight w:val="380"/>
        </w:trPr>
        <w:tc>
          <w:tcPr>
            <w:tcW w:w="1779" w:type="dxa"/>
            <w:tcBorders>
              <w:top w:val="nil"/>
              <w:left w:val="single" w:sz="4" w:space="0" w:color="auto"/>
              <w:bottom w:val="single" w:sz="4" w:space="0" w:color="auto"/>
              <w:right w:val="single" w:sz="4" w:space="0" w:color="auto"/>
            </w:tcBorders>
            <w:vAlign w:val="bottom"/>
            <w:hideMark/>
          </w:tcPr>
          <w:p w14:paraId="1CCD754C"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REA 1-4 2021*  </w:t>
            </w:r>
          </w:p>
        </w:tc>
        <w:tc>
          <w:tcPr>
            <w:tcW w:w="1644" w:type="dxa"/>
            <w:tcBorders>
              <w:top w:val="nil"/>
              <w:left w:val="nil"/>
              <w:bottom w:val="single" w:sz="4" w:space="0" w:color="auto"/>
              <w:right w:val="single" w:sz="4" w:space="0" w:color="auto"/>
            </w:tcBorders>
            <w:noWrap/>
            <w:vAlign w:val="bottom"/>
            <w:hideMark/>
          </w:tcPr>
          <w:p w14:paraId="1119A8CC"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113.360 </w:t>
            </w:r>
          </w:p>
        </w:tc>
        <w:tc>
          <w:tcPr>
            <w:tcW w:w="1672" w:type="dxa"/>
            <w:tcBorders>
              <w:top w:val="nil"/>
              <w:left w:val="nil"/>
              <w:bottom w:val="single" w:sz="4" w:space="0" w:color="auto"/>
              <w:right w:val="single" w:sz="4" w:space="0" w:color="auto"/>
            </w:tcBorders>
            <w:noWrap/>
            <w:vAlign w:val="bottom"/>
            <w:hideMark/>
          </w:tcPr>
          <w:p w14:paraId="206D58D4"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117.677 </w:t>
            </w:r>
          </w:p>
        </w:tc>
        <w:tc>
          <w:tcPr>
            <w:tcW w:w="2399" w:type="dxa"/>
            <w:tcBorders>
              <w:top w:val="nil"/>
              <w:left w:val="nil"/>
              <w:bottom w:val="single" w:sz="4" w:space="0" w:color="auto"/>
              <w:right w:val="single" w:sz="4" w:space="0" w:color="auto"/>
            </w:tcBorders>
            <w:noWrap/>
            <w:vAlign w:val="bottom"/>
            <w:hideMark/>
          </w:tcPr>
          <w:p w14:paraId="1DF571C4"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103,81 </w:t>
            </w:r>
          </w:p>
        </w:tc>
        <w:tc>
          <w:tcPr>
            <w:tcW w:w="1573" w:type="dxa"/>
            <w:tcBorders>
              <w:top w:val="nil"/>
              <w:left w:val="nil"/>
              <w:bottom w:val="single" w:sz="4" w:space="0" w:color="auto"/>
              <w:right w:val="single" w:sz="4" w:space="0" w:color="auto"/>
            </w:tcBorders>
            <w:shd w:val="clear" w:color="000000" w:fill="BFBFBF"/>
            <w:noWrap/>
            <w:vAlign w:val="bottom"/>
            <w:hideMark/>
          </w:tcPr>
          <w:p w14:paraId="6C1A413F"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160.779 </w:t>
            </w:r>
          </w:p>
        </w:tc>
      </w:tr>
      <w:tr w:rsidR="00FE461F" w:rsidRPr="005E4BEA" w14:paraId="10A0C796" w14:textId="77777777" w:rsidTr="0016774B">
        <w:trPr>
          <w:trHeight w:val="166"/>
        </w:trPr>
        <w:tc>
          <w:tcPr>
            <w:tcW w:w="5095" w:type="dxa"/>
            <w:gridSpan w:val="3"/>
            <w:tcBorders>
              <w:top w:val="nil"/>
              <w:left w:val="nil"/>
              <w:bottom w:val="nil"/>
              <w:right w:val="nil"/>
            </w:tcBorders>
            <w:noWrap/>
            <w:vAlign w:val="bottom"/>
            <w:hideMark/>
          </w:tcPr>
          <w:p w14:paraId="03C631A9" w14:textId="77777777" w:rsidR="00FE461F" w:rsidRPr="005E4BEA" w:rsidRDefault="00FE461F" w:rsidP="00FE461F">
            <w:pPr>
              <w:spacing w:line="240" w:lineRule="auto"/>
              <w:jc w:val="both"/>
              <w:rPr>
                <w:rFonts w:cs="Arial"/>
                <w:color w:val="000000"/>
                <w:szCs w:val="20"/>
              </w:rPr>
            </w:pPr>
            <w:r w:rsidRPr="005E4BEA">
              <w:rPr>
                <w:rFonts w:cs="Arial"/>
                <w:i/>
                <w:iCs/>
                <w:color w:val="808080"/>
                <w:szCs w:val="20"/>
              </w:rPr>
              <w:t>*Število obravnav preračunano na letno raven.</w:t>
            </w:r>
            <w:r w:rsidRPr="005E4BEA">
              <w:rPr>
                <w:rFonts w:cs="Arial"/>
                <w:color w:val="000000"/>
                <w:szCs w:val="20"/>
              </w:rPr>
              <w:t xml:space="preserve"> </w:t>
            </w:r>
          </w:p>
        </w:tc>
        <w:tc>
          <w:tcPr>
            <w:tcW w:w="2399" w:type="dxa"/>
            <w:tcBorders>
              <w:top w:val="nil"/>
              <w:left w:val="nil"/>
              <w:bottom w:val="nil"/>
              <w:right w:val="nil"/>
            </w:tcBorders>
            <w:noWrap/>
            <w:vAlign w:val="bottom"/>
            <w:hideMark/>
          </w:tcPr>
          <w:p w14:paraId="656BE494" w14:textId="77777777" w:rsidR="00FE461F" w:rsidRPr="005E4BEA" w:rsidRDefault="00FE461F" w:rsidP="00FE461F">
            <w:pPr>
              <w:spacing w:line="240" w:lineRule="auto"/>
              <w:rPr>
                <w:rFonts w:cs="Arial"/>
                <w:color w:val="000000"/>
                <w:szCs w:val="20"/>
              </w:rPr>
            </w:pPr>
          </w:p>
        </w:tc>
        <w:tc>
          <w:tcPr>
            <w:tcW w:w="1573" w:type="dxa"/>
            <w:tcBorders>
              <w:top w:val="nil"/>
              <w:left w:val="nil"/>
              <w:bottom w:val="nil"/>
              <w:right w:val="nil"/>
            </w:tcBorders>
            <w:noWrap/>
            <w:vAlign w:val="bottom"/>
            <w:hideMark/>
          </w:tcPr>
          <w:p w14:paraId="772CE6D7" w14:textId="77777777" w:rsidR="00FE461F" w:rsidRPr="005E4BEA" w:rsidRDefault="00FE461F" w:rsidP="00FE461F">
            <w:pPr>
              <w:spacing w:line="240" w:lineRule="auto"/>
              <w:rPr>
                <w:rFonts w:cs="Arial"/>
                <w:szCs w:val="20"/>
              </w:rPr>
            </w:pPr>
          </w:p>
        </w:tc>
      </w:tr>
    </w:tbl>
    <w:p w14:paraId="0315742D" w14:textId="77777777" w:rsidR="00FE461F" w:rsidRPr="005E4BEA" w:rsidRDefault="00FE461F" w:rsidP="00FE461F">
      <w:pPr>
        <w:spacing w:line="240" w:lineRule="auto"/>
        <w:jc w:val="both"/>
        <w:rPr>
          <w:rFonts w:cs="Arial"/>
          <w:i/>
          <w:iCs/>
          <w:color w:val="808080"/>
          <w:szCs w:val="20"/>
        </w:rPr>
      </w:pPr>
    </w:p>
    <w:p w14:paraId="69169C0A"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V primeru, da bi izvajalci želeli obravnavati dodatno vse čakajoče na dan 20.5.2021 v tem primeru, bi moralo biti glede na realizacijo obravnav v obdobju 1-4 2021 dopustno do 15 odstotno povečanje. </w:t>
      </w:r>
    </w:p>
    <w:p w14:paraId="236D2698" w14:textId="77777777" w:rsidR="00FE461F" w:rsidRPr="005E4BEA" w:rsidRDefault="00FE461F" w:rsidP="00FE461F">
      <w:pPr>
        <w:spacing w:line="240" w:lineRule="auto"/>
        <w:jc w:val="both"/>
        <w:rPr>
          <w:rFonts w:cs="Arial"/>
          <w:i/>
          <w:iCs/>
          <w:color w:val="808080"/>
          <w:szCs w:val="20"/>
        </w:rPr>
      </w:pPr>
    </w:p>
    <w:p w14:paraId="2D6E6279"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 xml:space="preserve"> Z ustrezno in v hitrejšem času izvedeno fizioterapevtsko obravnavo lahko skrajšujemo bolniški stalež in tudi zmanjšamo stroške za zdravila. Predlagamo, da se širitve zagotovijo za izvajalce, ki so podali predlog širitev in zagotavljajo prostorske kapacitete ter v večini predlaganih primerih tudi kadrovske. </w:t>
      </w:r>
    </w:p>
    <w:p w14:paraId="7EC479D8"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Na stanje SD 2021 = 575,27 tima x 0,15 x 40.742,26 EUR = 3.515.670 EUR</w:t>
      </w:r>
    </w:p>
    <w:p w14:paraId="52835505" w14:textId="77777777" w:rsidR="00FE461F" w:rsidRPr="005E4BEA" w:rsidRDefault="00FE461F" w:rsidP="00FE461F">
      <w:pPr>
        <w:spacing w:line="240" w:lineRule="auto"/>
        <w:jc w:val="both"/>
        <w:rPr>
          <w:rFonts w:cs="Arial"/>
          <w:i/>
          <w:iCs/>
          <w:color w:val="808080"/>
          <w:szCs w:val="20"/>
        </w:rPr>
      </w:pPr>
    </w:p>
    <w:p w14:paraId="13617CE8" w14:textId="77777777" w:rsidR="00FE461F" w:rsidRPr="005E4BEA" w:rsidRDefault="00FE461F" w:rsidP="00FE461F">
      <w:pPr>
        <w:spacing w:line="240" w:lineRule="auto"/>
        <w:jc w:val="both"/>
        <w:rPr>
          <w:rFonts w:cs="Arial"/>
          <w:i/>
          <w:iCs/>
          <w:color w:val="808080"/>
          <w:szCs w:val="20"/>
        </w:rPr>
      </w:pPr>
      <w:r w:rsidRPr="005E4BEA">
        <w:rPr>
          <w:rFonts w:cs="Arial"/>
          <w:i/>
          <w:iCs/>
          <w:color w:val="808080"/>
          <w:szCs w:val="20"/>
        </w:rPr>
        <w:t>Finančni učinek: 3,5 mio €</w:t>
      </w:r>
    </w:p>
    <w:p w14:paraId="1E018CD3" w14:textId="77777777" w:rsidR="00FE461F" w:rsidRPr="005E4BEA" w:rsidRDefault="00FE461F" w:rsidP="00FE461F">
      <w:pPr>
        <w:spacing w:line="240" w:lineRule="auto"/>
        <w:jc w:val="both"/>
        <w:rPr>
          <w:rFonts w:cs="Arial"/>
          <w:i/>
          <w:iCs/>
          <w:color w:val="808080"/>
          <w:szCs w:val="20"/>
        </w:rPr>
      </w:pPr>
    </w:p>
    <w:p w14:paraId="3C844B80" w14:textId="555C2948" w:rsidR="00FE461F" w:rsidRPr="005E4BEA" w:rsidRDefault="00FE461F" w:rsidP="00FE461F">
      <w:pPr>
        <w:spacing w:line="240" w:lineRule="auto"/>
        <w:jc w:val="both"/>
        <w:rPr>
          <w:rFonts w:cs="Arial"/>
          <w:i/>
          <w:iCs/>
          <w:color w:val="808080"/>
          <w:szCs w:val="20"/>
        </w:rPr>
      </w:pPr>
    </w:p>
    <w:p w14:paraId="50653285" w14:textId="531CACD6"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99737B" w:rsidRPr="005E4BEA">
        <w:rPr>
          <w:rFonts w:eastAsia="Arial Narrow" w:cs="Arial"/>
          <w:szCs w:val="20"/>
        </w:rPr>
        <w:t xml:space="preserve">ne </w:t>
      </w:r>
      <w:r w:rsidRPr="005E4BEA">
        <w:rPr>
          <w:rFonts w:eastAsia="Arial Narrow" w:cs="Arial"/>
          <w:szCs w:val="20"/>
        </w:rPr>
        <w:t>s</w:t>
      </w:r>
      <w:r w:rsidR="00BE5D1E" w:rsidRPr="005E4BEA">
        <w:rPr>
          <w:rFonts w:eastAsia="Arial Narrow" w:cs="Arial"/>
          <w:szCs w:val="20"/>
        </w:rPr>
        <w:t>trinja s</w:t>
      </w:r>
      <w:r w:rsidRPr="005E4BEA">
        <w:rPr>
          <w:rFonts w:eastAsia="Arial Narrow" w:cs="Arial"/>
          <w:szCs w:val="20"/>
        </w:rPr>
        <w:t xml:space="preserve"> predlogom.</w:t>
      </w:r>
    </w:p>
    <w:p w14:paraId="554FF740" w14:textId="77777777" w:rsidR="00487C03" w:rsidRPr="005E4BEA" w:rsidRDefault="00487C03" w:rsidP="00487C03">
      <w:pPr>
        <w:spacing w:line="0" w:lineRule="atLeast"/>
        <w:jc w:val="both"/>
        <w:rPr>
          <w:rFonts w:eastAsia="Arial Narrow" w:cs="Arial"/>
          <w:szCs w:val="20"/>
          <w:lang w:eastAsia="sl-SI"/>
        </w:rPr>
      </w:pPr>
    </w:p>
    <w:p w14:paraId="3EE149FC" w14:textId="0ED8FD94" w:rsidR="00BE5D1E" w:rsidRPr="005E4BEA" w:rsidRDefault="00487C03" w:rsidP="0099737B">
      <w:pPr>
        <w:spacing w:line="240" w:lineRule="auto"/>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00BE5D1E" w:rsidRPr="005E4BEA">
        <w:rPr>
          <w:rFonts w:cs="Arial"/>
          <w:szCs w:val="20"/>
        </w:rPr>
        <w:t xml:space="preserve">se </w:t>
      </w:r>
      <w:r w:rsidR="0099737B" w:rsidRPr="005E4BEA">
        <w:rPr>
          <w:rFonts w:eastAsia="Arial Narrow" w:cs="Arial"/>
          <w:szCs w:val="20"/>
        </w:rPr>
        <w:t>da</w:t>
      </w:r>
      <w:r w:rsidR="0099737B" w:rsidRPr="005E4BEA">
        <w:rPr>
          <w:rFonts w:eastAsia="Arial Narrow" w:cs="Arial"/>
          <w:b/>
          <w:szCs w:val="20"/>
        </w:rPr>
        <w:t xml:space="preserve"> </w:t>
      </w:r>
      <w:r w:rsidR="0099737B" w:rsidRPr="005E4BEA">
        <w:rPr>
          <w:rFonts w:eastAsia="Arial Narrow" w:cs="Arial"/>
          <w:szCs w:val="20"/>
        </w:rPr>
        <w:t xml:space="preserve">se </w:t>
      </w:r>
      <w:r w:rsidR="0099737B" w:rsidRPr="005E4BEA">
        <w:rPr>
          <w:rFonts w:eastAsia="Calibri" w:cs="Arial"/>
          <w:szCs w:val="20"/>
        </w:rPr>
        <w:t>24.</w:t>
      </w:r>
      <w:r w:rsidR="0099737B" w:rsidRPr="005E4BEA">
        <w:rPr>
          <w:rFonts w:eastAsia="Arial Narrow" w:cs="Arial"/>
          <w:szCs w:val="20"/>
        </w:rPr>
        <w:t xml:space="preserve"> člen Splošnega dogovora za pogodbeno leto 2022 ne spremeni.</w:t>
      </w:r>
    </w:p>
    <w:p w14:paraId="3584E0F2" w14:textId="45B68283" w:rsidR="0099737B" w:rsidRPr="005E4BEA" w:rsidRDefault="0099737B" w:rsidP="0099737B">
      <w:pPr>
        <w:spacing w:line="240" w:lineRule="auto"/>
        <w:jc w:val="both"/>
        <w:rPr>
          <w:rFonts w:eastAsia="Arial Narrow" w:cs="Arial"/>
          <w:szCs w:val="20"/>
        </w:rPr>
      </w:pPr>
    </w:p>
    <w:p w14:paraId="05B9AE9D" w14:textId="77777777" w:rsidR="0099737B" w:rsidRPr="005E4BEA" w:rsidRDefault="0099737B" w:rsidP="0099737B">
      <w:pPr>
        <w:spacing w:line="240" w:lineRule="auto"/>
        <w:jc w:val="both"/>
        <w:rPr>
          <w:rFonts w:cs="Arial"/>
          <w:szCs w:val="20"/>
        </w:rPr>
      </w:pPr>
    </w:p>
    <w:p w14:paraId="4BA88895" w14:textId="63E02621" w:rsidR="00487C03" w:rsidRPr="005E4BEA" w:rsidRDefault="00487C03" w:rsidP="00BE5D1E">
      <w:pPr>
        <w:spacing w:line="0" w:lineRule="atLeast"/>
        <w:jc w:val="both"/>
        <w:rPr>
          <w:rFonts w:cs="Arial"/>
          <w:i/>
          <w:iCs/>
          <w:color w:val="808080"/>
          <w:szCs w:val="20"/>
        </w:rPr>
      </w:pPr>
    </w:p>
    <w:p w14:paraId="385D26F4" w14:textId="30F95D52" w:rsidR="0065417A" w:rsidRPr="005E4BEA" w:rsidRDefault="0065417A"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(52)</w:t>
      </w:r>
    </w:p>
    <w:p w14:paraId="68AC2F30" w14:textId="77777777" w:rsidR="0065417A" w:rsidRPr="005E4BEA" w:rsidRDefault="0065417A" w:rsidP="0065417A">
      <w:pPr>
        <w:spacing w:line="240" w:lineRule="auto"/>
        <w:jc w:val="both"/>
        <w:rPr>
          <w:rFonts w:cs="Arial"/>
          <w:i/>
          <w:iCs/>
          <w:color w:val="808080" w:themeColor="background1" w:themeShade="80"/>
          <w:szCs w:val="20"/>
        </w:rPr>
      </w:pPr>
    </w:p>
    <w:p w14:paraId="49B70749" w14:textId="3BC809C2" w:rsidR="00FE461F" w:rsidRPr="005E4BEA" w:rsidRDefault="0065417A" w:rsidP="00FE461F">
      <w:pPr>
        <w:spacing w:line="240" w:lineRule="auto"/>
        <w:jc w:val="both"/>
        <w:rPr>
          <w:rFonts w:cs="Arial"/>
          <w:szCs w:val="20"/>
        </w:rPr>
      </w:pPr>
      <w:r w:rsidRPr="005E4BEA">
        <w:rPr>
          <w:rFonts w:cs="Arial"/>
          <w:b/>
          <w:bCs/>
          <w:szCs w:val="20"/>
        </w:rPr>
        <w:t xml:space="preserve">Združenje zdravstvenih zavodov Slovenije </w:t>
      </w:r>
      <w:r w:rsidRPr="005E4BEA">
        <w:rPr>
          <w:rFonts w:cs="Arial"/>
          <w:szCs w:val="20"/>
        </w:rPr>
        <w:t xml:space="preserve">predlaga, da se v 24. členu v </w:t>
      </w:r>
      <w:bookmarkStart w:id="52" w:name="_Hlk99708506"/>
      <w:r w:rsidR="00FE461F" w:rsidRPr="005E4BEA">
        <w:rPr>
          <w:rFonts w:cs="Arial"/>
          <w:szCs w:val="20"/>
        </w:rPr>
        <w:t xml:space="preserve">(6) odstavku </w:t>
      </w:r>
      <w:r w:rsidRPr="005E4BEA">
        <w:rPr>
          <w:rFonts w:cs="Arial"/>
          <w:szCs w:val="20"/>
        </w:rPr>
        <w:t>z</w:t>
      </w:r>
      <w:r w:rsidR="00FE461F" w:rsidRPr="005E4BEA">
        <w:rPr>
          <w:rFonts w:cs="Arial"/>
          <w:szCs w:val="20"/>
        </w:rPr>
        <w:t>a nujne širitve programov oziroma uvajanje novih terapij pri zdravljenju v okviru prvega in drugega odstavka tega člena načrtujejo dodatna sredstva:</w:t>
      </w:r>
    </w:p>
    <w:p w14:paraId="042B1A64" w14:textId="77777777" w:rsidR="0065417A" w:rsidRPr="005E4BEA" w:rsidRDefault="0065417A" w:rsidP="00FE461F">
      <w:pPr>
        <w:spacing w:line="240" w:lineRule="auto"/>
        <w:jc w:val="both"/>
        <w:rPr>
          <w:rFonts w:cs="Arial"/>
          <w:szCs w:val="20"/>
        </w:rPr>
      </w:pPr>
    </w:p>
    <w:tbl>
      <w:tblPr>
        <w:tblW w:w="9480" w:type="dxa"/>
        <w:tblInd w:w="-20" w:type="dxa"/>
        <w:tblCellMar>
          <w:left w:w="70" w:type="dxa"/>
          <w:right w:w="70" w:type="dxa"/>
        </w:tblCellMar>
        <w:tblLook w:val="04A0" w:firstRow="1" w:lastRow="0" w:firstColumn="1" w:lastColumn="0" w:noHBand="0" w:noVBand="1"/>
      </w:tblPr>
      <w:tblGrid>
        <w:gridCol w:w="552"/>
        <w:gridCol w:w="2298"/>
        <w:gridCol w:w="2045"/>
        <w:gridCol w:w="1245"/>
        <w:gridCol w:w="1580"/>
        <w:gridCol w:w="1760"/>
      </w:tblGrid>
      <w:tr w:rsidR="00FE461F" w:rsidRPr="005E4BEA" w14:paraId="3758657E" w14:textId="77777777" w:rsidTr="0065417A">
        <w:trPr>
          <w:trHeight w:val="792"/>
        </w:trPr>
        <w:tc>
          <w:tcPr>
            <w:tcW w:w="55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0D9F58E2" w14:textId="77777777" w:rsidR="00FE461F" w:rsidRPr="005E4BEA" w:rsidRDefault="00FE461F" w:rsidP="00FE461F">
            <w:pPr>
              <w:spacing w:line="240" w:lineRule="auto"/>
              <w:jc w:val="both"/>
              <w:rPr>
                <w:rFonts w:cs="Arial"/>
                <w:b/>
                <w:bCs/>
                <w:color w:val="000000"/>
                <w:szCs w:val="20"/>
              </w:rPr>
            </w:pPr>
            <w:bookmarkStart w:id="53" w:name="_Hlk99608798"/>
            <w:proofErr w:type="spellStart"/>
            <w:r w:rsidRPr="005E4BEA">
              <w:rPr>
                <w:rFonts w:cs="Arial"/>
                <w:b/>
                <w:bCs/>
                <w:color w:val="000000"/>
                <w:szCs w:val="20"/>
              </w:rPr>
              <w:t>Zap</w:t>
            </w:r>
            <w:proofErr w:type="spellEnd"/>
            <w:r w:rsidRPr="005E4BEA">
              <w:rPr>
                <w:rFonts w:cs="Arial"/>
                <w:b/>
                <w:bCs/>
                <w:color w:val="000000"/>
                <w:szCs w:val="20"/>
              </w:rPr>
              <w:t>.</w:t>
            </w:r>
          </w:p>
        </w:tc>
        <w:tc>
          <w:tcPr>
            <w:tcW w:w="2298"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35219604"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P r o g r a m</w:t>
            </w:r>
          </w:p>
        </w:tc>
        <w:tc>
          <w:tcPr>
            <w:tcW w:w="2045" w:type="dxa"/>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6484EEF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I z v a j a l e c</w:t>
            </w:r>
          </w:p>
        </w:tc>
        <w:tc>
          <w:tcPr>
            <w:tcW w:w="1245"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5AD07FED"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Obseg programa</w:t>
            </w:r>
          </w:p>
        </w:tc>
        <w:tc>
          <w:tcPr>
            <w:tcW w:w="1580" w:type="dxa"/>
            <w:tcBorders>
              <w:top w:val="single" w:sz="4" w:space="0" w:color="auto"/>
              <w:left w:val="nil"/>
              <w:bottom w:val="single" w:sz="4" w:space="0" w:color="auto"/>
              <w:right w:val="single" w:sz="4" w:space="0" w:color="auto"/>
            </w:tcBorders>
            <w:shd w:val="clear" w:color="000000" w:fill="DEEAF6"/>
            <w:noWrap/>
            <w:vAlign w:val="center"/>
            <w:hideMark/>
          </w:tcPr>
          <w:p w14:paraId="0BC88D2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 na letni ravni</w:t>
            </w:r>
          </w:p>
        </w:tc>
        <w:tc>
          <w:tcPr>
            <w:tcW w:w="1760" w:type="dxa"/>
            <w:tcBorders>
              <w:top w:val="single" w:sz="4" w:space="0" w:color="auto"/>
              <w:left w:val="nil"/>
              <w:bottom w:val="single" w:sz="4" w:space="0" w:color="auto"/>
              <w:right w:val="single" w:sz="4" w:space="0" w:color="auto"/>
            </w:tcBorders>
            <w:shd w:val="clear" w:color="000000" w:fill="DEEAF6"/>
            <w:noWrap/>
            <w:vAlign w:val="center"/>
            <w:hideMark/>
          </w:tcPr>
          <w:p w14:paraId="27DBD3C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 1.1.-31.12.2022</w:t>
            </w:r>
          </w:p>
        </w:tc>
      </w:tr>
      <w:tr w:rsidR="00FE461F" w:rsidRPr="005E4BEA" w14:paraId="7ED6FB5A" w14:textId="77777777" w:rsidTr="0065417A">
        <w:trPr>
          <w:trHeight w:val="288"/>
        </w:trPr>
        <w:tc>
          <w:tcPr>
            <w:tcW w:w="552" w:type="dxa"/>
            <w:tcBorders>
              <w:top w:val="nil"/>
              <w:left w:val="single" w:sz="4" w:space="0" w:color="auto"/>
              <w:bottom w:val="single" w:sz="4" w:space="0" w:color="auto"/>
              <w:right w:val="single" w:sz="4" w:space="0" w:color="auto"/>
            </w:tcBorders>
            <w:shd w:val="clear" w:color="000000" w:fill="DEEAF6"/>
            <w:noWrap/>
            <w:vAlign w:val="center"/>
            <w:hideMark/>
          </w:tcPr>
          <w:p w14:paraId="553A5156"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št</w:t>
            </w:r>
          </w:p>
        </w:tc>
        <w:tc>
          <w:tcPr>
            <w:tcW w:w="2298" w:type="dxa"/>
            <w:vMerge/>
            <w:tcBorders>
              <w:top w:val="single" w:sz="4" w:space="0" w:color="auto"/>
              <w:left w:val="single" w:sz="4" w:space="0" w:color="auto"/>
              <w:bottom w:val="single" w:sz="4" w:space="0" w:color="auto"/>
              <w:right w:val="single" w:sz="4" w:space="0" w:color="auto"/>
            </w:tcBorders>
            <w:vAlign w:val="center"/>
            <w:hideMark/>
          </w:tcPr>
          <w:p w14:paraId="394F43C8" w14:textId="77777777" w:rsidR="00FE461F" w:rsidRPr="005E4BEA" w:rsidRDefault="00FE461F" w:rsidP="00FE461F">
            <w:pPr>
              <w:spacing w:line="240" w:lineRule="auto"/>
              <w:rPr>
                <w:rFonts w:cs="Arial"/>
                <w:b/>
                <w:bCs/>
                <w:color w:val="000000"/>
                <w:szCs w:val="20"/>
              </w:rPr>
            </w:pPr>
          </w:p>
        </w:tc>
        <w:tc>
          <w:tcPr>
            <w:tcW w:w="2045" w:type="dxa"/>
            <w:vMerge/>
            <w:tcBorders>
              <w:top w:val="single" w:sz="4" w:space="0" w:color="auto"/>
              <w:left w:val="single" w:sz="4" w:space="0" w:color="auto"/>
              <w:bottom w:val="single" w:sz="4" w:space="0" w:color="auto"/>
              <w:right w:val="single" w:sz="4" w:space="0" w:color="auto"/>
            </w:tcBorders>
            <w:vAlign w:val="center"/>
            <w:hideMark/>
          </w:tcPr>
          <w:p w14:paraId="30E82CF1" w14:textId="77777777" w:rsidR="00FE461F" w:rsidRPr="005E4BEA" w:rsidRDefault="00FE461F" w:rsidP="00FE461F">
            <w:pPr>
              <w:spacing w:line="240" w:lineRule="auto"/>
              <w:rPr>
                <w:rFonts w:cs="Arial"/>
                <w:b/>
                <w:bCs/>
                <w:color w:val="000000"/>
                <w:szCs w:val="2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5610F8DC" w14:textId="77777777" w:rsidR="00FE461F" w:rsidRPr="005E4BEA" w:rsidRDefault="00FE461F" w:rsidP="00FE461F">
            <w:pPr>
              <w:spacing w:line="240" w:lineRule="auto"/>
              <w:rPr>
                <w:rFonts w:cs="Arial"/>
                <w:b/>
                <w:bCs/>
                <w:color w:val="000000"/>
                <w:szCs w:val="20"/>
              </w:rPr>
            </w:pPr>
          </w:p>
        </w:tc>
        <w:tc>
          <w:tcPr>
            <w:tcW w:w="1580" w:type="dxa"/>
            <w:tcBorders>
              <w:top w:val="nil"/>
              <w:left w:val="nil"/>
              <w:bottom w:val="single" w:sz="4" w:space="0" w:color="auto"/>
              <w:right w:val="single" w:sz="4" w:space="0" w:color="auto"/>
            </w:tcBorders>
            <w:shd w:val="clear" w:color="000000" w:fill="DEEAF6"/>
            <w:noWrap/>
            <w:vAlign w:val="center"/>
            <w:hideMark/>
          </w:tcPr>
          <w:p w14:paraId="6427EB8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c>
          <w:tcPr>
            <w:tcW w:w="1760" w:type="dxa"/>
            <w:tcBorders>
              <w:top w:val="nil"/>
              <w:left w:val="nil"/>
              <w:bottom w:val="single" w:sz="4" w:space="0" w:color="auto"/>
              <w:right w:val="single" w:sz="4" w:space="0" w:color="auto"/>
            </w:tcBorders>
            <w:shd w:val="clear" w:color="000000" w:fill="DEEAF6"/>
            <w:noWrap/>
            <w:vAlign w:val="center"/>
            <w:hideMark/>
          </w:tcPr>
          <w:p w14:paraId="6A84AC6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r>
      <w:tr w:rsidR="00FE461F" w:rsidRPr="005E4BEA" w14:paraId="3EC04BB4"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1875A94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w:t>
            </w:r>
          </w:p>
        </w:tc>
        <w:tc>
          <w:tcPr>
            <w:tcW w:w="2298" w:type="dxa"/>
            <w:tcBorders>
              <w:top w:val="nil"/>
              <w:left w:val="nil"/>
              <w:bottom w:val="single" w:sz="4" w:space="0" w:color="auto"/>
              <w:right w:val="single" w:sz="4" w:space="0" w:color="auto"/>
            </w:tcBorders>
            <w:shd w:val="clear" w:color="auto" w:fill="auto"/>
            <w:vAlign w:val="center"/>
          </w:tcPr>
          <w:p w14:paraId="74EBCCC0"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151AD84A" w14:textId="77777777" w:rsidR="00FE461F" w:rsidRPr="005E4BEA" w:rsidRDefault="00FE461F" w:rsidP="00FE461F">
            <w:pPr>
              <w:spacing w:line="240" w:lineRule="auto"/>
              <w:jc w:val="both"/>
              <w:rPr>
                <w:rFonts w:cs="Arial"/>
                <w:b/>
                <w:bCs/>
                <w:color w:val="000000"/>
                <w:szCs w:val="20"/>
              </w:rPr>
            </w:pPr>
            <w:r w:rsidRPr="005E4BEA">
              <w:rPr>
                <w:rFonts w:cs="Arial"/>
                <w:szCs w:val="20"/>
              </w:rPr>
              <w:t>Od 1. 7. 2022</w:t>
            </w:r>
          </w:p>
        </w:tc>
        <w:tc>
          <w:tcPr>
            <w:tcW w:w="2045" w:type="dxa"/>
            <w:tcBorders>
              <w:top w:val="nil"/>
              <w:left w:val="nil"/>
              <w:bottom w:val="single" w:sz="4" w:space="0" w:color="auto"/>
              <w:right w:val="single" w:sz="4" w:space="0" w:color="auto"/>
            </w:tcBorders>
            <w:shd w:val="clear" w:color="auto" w:fill="auto"/>
            <w:noWrap/>
            <w:vAlign w:val="center"/>
          </w:tcPr>
          <w:p w14:paraId="41E8502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UKC LJUBLJANA</w:t>
            </w:r>
          </w:p>
        </w:tc>
        <w:tc>
          <w:tcPr>
            <w:tcW w:w="1245" w:type="dxa"/>
            <w:tcBorders>
              <w:top w:val="nil"/>
              <w:left w:val="nil"/>
              <w:bottom w:val="single" w:sz="4" w:space="0" w:color="auto"/>
              <w:right w:val="single" w:sz="4" w:space="0" w:color="auto"/>
            </w:tcBorders>
            <w:shd w:val="clear" w:color="auto" w:fill="auto"/>
            <w:noWrap/>
            <w:vAlign w:val="center"/>
          </w:tcPr>
          <w:p w14:paraId="08577D4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744</w:t>
            </w:r>
          </w:p>
        </w:tc>
        <w:tc>
          <w:tcPr>
            <w:tcW w:w="1580" w:type="dxa"/>
            <w:tcBorders>
              <w:top w:val="nil"/>
              <w:left w:val="nil"/>
              <w:bottom w:val="single" w:sz="4" w:space="0" w:color="auto"/>
              <w:right w:val="single" w:sz="4" w:space="0" w:color="auto"/>
            </w:tcBorders>
            <w:shd w:val="clear" w:color="auto" w:fill="auto"/>
            <w:noWrap/>
            <w:vAlign w:val="center"/>
          </w:tcPr>
          <w:p w14:paraId="1F6EAEFE"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743C0CB4" w14:textId="77777777" w:rsidR="00FE461F" w:rsidRPr="005E4BEA" w:rsidRDefault="00FE461F" w:rsidP="00FE461F">
            <w:pPr>
              <w:spacing w:line="240" w:lineRule="auto"/>
              <w:jc w:val="both"/>
              <w:rPr>
                <w:rFonts w:cs="Arial"/>
                <w:b/>
                <w:bCs/>
                <w:color w:val="000000"/>
                <w:szCs w:val="20"/>
              </w:rPr>
            </w:pPr>
          </w:p>
        </w:tc>
      </w:tr>
      <w:tr w:rsidR="00FE461F" w:rsidRPr="005E4BEA" w14:paraId="23068E72" w14:textId="77777777" w:rsidTr="0065417A">
        <w:trPr>
          <w:trHeight w:hRule="exact" w:val="792"/>
        </w:trPr>
        <w:tc>
          <w:tcPr>
            <w:tcW w:w="552" w:type="dxa"/>
            <w:tcBorders>
              <w:top w:val="nil"/>
              <w:left w:val="single" w:sz="4" w:space="0" w:color="auto"/>
              <w:bottom w:val="nil"/>
              <w:right w:val="single" w:sz="4" w:space="0" w:color="auto"/>
            </w:tcBorders>
            <w:shd w:val="clear" w:color="auto" w:fill="auto"/>
            <w:noWrap/>
            <w:vAlign w:val="center"/>
          </w:tcPr>
          <w:p w14:paraId="72250B09"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2</w:t>
            </w:r>
          </w:p>
        </w:tc>
        <w:tc>
          <w:tcPr>
            <w:tcW w:w="2298" w:type="dxa"/>
            <w:tcBorders>
              <w:top w:val="nil"/>
              <w:left w:val="nil"/>
              <w:bottom w:val="nil"/>
              <w:right w:val="single" w:sz="4" w:space="0" w:color="auto"/>
            </w:tcBorders>
            <w:shd w:val="clear" w:color="auto" w:fill="auto"/>
            <w:vAlign w:val="center"/>
          </w:tcPr>
          <w:p w14:paraId="12253F86"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3A02B6D8" w14:textId="77777777" w:rsidR="00FE461F" w:rsidRPr="005E4BEA" w:rsidRDefault="00FE461F" w:rsidP="00FE461F">
            <w:pPr>
              <w:spacing w:line="240" w:lineRule="auto"/>
              <w:jc w:val="both"/>
              <w:rPr>
                <w:rFonts w:cs="Arial"/>
                <w:b/>
                <w:bCs/>
                <w:color w:val="000000"/>
                <w:szCs w:val="20"/>
              </w:rPr>
            </w:pPr>
            <w:r w:rsidRPr="005E4BEA">
              <w:rPr>
                <w:rFonts w:cs="Arial"/>
                <w:szCs w:val="20"/>
              </w:rPr>
              <w:t>Od 1. 7. 2022</w:t>
            </w:r>
          </w:p>
        </w:tc>
        <w:tc>
          <w:tcPr>
            <w:tcW w:w="2045" w:type="dxa"/>
            <w:tcBorders>
              <w:top w:val="nil"/>
              <w:left w:val="nil"/>
              <w:bottom w:val="nil"/>
              <w:right w:val="single" w:sz="4" w:space="0" w:color="auto"/>
            </w:tcBorders>
            <w:shd w:val="clear" w:color="auto" w:fill="auto"/>
            <w:noWrap/>
            <w:vAlign w:val="center"/>
          </w:tcPr>
          <w:p w14:paraId="152D5B0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UKC MARIBOR </w:t>
            </w:r>
          </w:p>
        </w:tc>
        <w:tc>
          <w:tcPr>
            <w:tcW w:w="1245" w:type="dxa"/>
            <w:tcBorders>
              <w:top w:val="nil"/>
              <w:left w:val="nil"/>
              <w:bottom w:val="nil"/>
              <w:right w:val="single" w:sz="4" w:space="0" w:color="auto"/>
            </w:tcBorders>
            <w:shd w:val="clear" w:color="auto" w:fill="auto"/>
            <w:noWrap/>
            <w:vAlign w:val="center"/>
          </w:tcPr>
          <w:p w14:paraId="0809FE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138</w:t>
            </w:r>
          </w:p>
        </w:tc>
        <w:tc>
          <w:tcPr>
            <w:tcW w:w="1580" w:type="dxa"/>
            <w:tcBorders>
              <w:top w:val="nil"/>
              <w:left w:val="nil"/>
              <w:bottom w:val="nil"/>
              <w:right w:val="single" w:sz="4" w:space="0" w:color="auto"/>
            </w:tcBorders>
            <w:shd w:val="clear" w:color="auto" w:fill="auto"/>
            <w:noWrap/>
            <w:vAlign w:val="center"/>
          </w:tcPr>
          <w:p w14:paraId="026AB304"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nil"/>
              <w:right w:val="single" w:sz="4" w:space="0" w:color="auto"/>
            </w:tcBorders>
            <w:shd w:val="clear" w:color="auto" w:fill="auto"/>
            <w:noWrap/>
            <w:vAlign w:val="center"/>
          </w:tcPr>
          <w:p w14:paraId="52625FEB" w14:textId="77777777" w:rsidR="00FE461F" w:rsidRPr="005E4BEA" w:rsidRDefault="00FE461F" w:rsidP="00FE461F">
            <w:pPr>
              <w:spacing w:line="240" w:lineRule="auto"/>
              <w:jc w:val="both"/>
              <w:rPr>
                <w:rFonts w:cs="Arial"/>
                <w:b/>
                <w:bCs/>
                <w:color w:val="000000"/>
                <w:szCs w:val="20"/>
              </w:rPr>
            </w:pPr>
          </w:p>
        </w:tc>
      </w:tr>
      <w:tr w:rsidR="00FE461F" w:rsidRPr="005E4BEA" w14:paraId="08626C2E" w14:textId="77777777" w:rsidTr="0065417A">
        <w:trPr>
          <w:trHeight w:hRule="exact" w:val="68"/>
        </w:trPr>
        <w:tc>
          <w:tcPr>
            <w:tcW w:w="552" w:type="dxa"/>
            <w:tcBorders>
              <w:top w:val="nil"/>
              <w:left w:val="single" w:sz="4" w:space="0" w:color="auto"/>
              <w:bottom w:val="single" w:sz="4" w:space="0" w:color="auto"/>
              <w:right w:val="single" w:sz="4" w:space="0" w:color="auto"/>
            </w:tcBorders>
            <w:shd w:val="clear" w:color="auto" w:fill="auto"/>
            <w:noWrap/>
            <w:vAlign w:val="center"/>
          </w:tcPr>
          <w:p w14:paraId="4D936E40" w14:textId="77777777" w:rsidR="00FE461F" w:rsidRPr="005E4BEA" w:rsidRDefault="00FE461F" w:rsidP="00FE461F">
            <w:pPr>
              <w:spacing w:line="240" w:lineRule="auto"/>
              <w:jc w:val="both"/>
              <w:rPr>
                <w:rFonts w:cs="Arial"/>
                <w:b/>
                <w:bCs/>
                <w:color w:val="000000"/>
                <w:szCs w:val="20"/>
              </w:rPr>
            </w:pPr>
          </w:p>
        </w:tc>
        <w:tc>
          <w:tcPr>
            <w:tcW w:w="2298" w:type="dxa"/>
            <w:tcBorders>
              <w:top w:val="nil"/>
              <w:left w:val="nil"/>
              <w:bottom w:val="single" w:sz="4" w:space="0" w:color="auto"/>
              <w:right w:val="single" w:sz="4" w:space="0" w:color="auto"/>
            </w:tcBorders>
            <w:shd w:val="clear" w:color="auto" w:fill="auto"/>
            <w:vAlign w:val="center"/>
          </w:tcPr>
          <w:p w14:paraId="2BF967FD" w14:textId="77777777" w:rsidR="00FE461F" w:rsidRPr="005E4BEA" w:rsidRDefault="00FE461F" w:rsidP="00FE461F">
            <w:pPr>
              <w:spacing w:line="240" w:lineRule="exact"/>
              <w:jc w:val="both"/>
              <w:rPr>
                <w:rFonts w:cs="Arial"/>
                <w:szCs w:val="20"/>
              </w:rPr>
            </w:pPr>
          </w:p>
        </w:tc>
        <w:tc>
          <w:tcPr>
            <w:tcW w:w="2045" w:type="dxa"/>
            <w:tcBorders>
              <w:top w:val="nil"/>
              <w:left w:val="nil"/>
              <w:bottom w:val="single" w:sz="4" w:space="0" w:color="auto"/>
              <w:right w:val="single" w:sz="4" w:space="0" w:color="auto"/>
            </w:tcBorders>
            <w:shd w:val="clear" w:color="auto" w:fill="auto"/>
            <w:noWrap/>
            <w:vAlign w:val="center"/>
          </w:tcPr>
          <w:p w14:paraId="1A172D7A" w14:textId="77777777" w:rsidR="00FE461F" w:rsidRPr="005E4BEA" w:rsidRDefault="00FE461F" w:rsidP="00FE461F">
            <w:pPr>
              <w:spacing w:line="240" w:lineRule="auto"/>
              <w:jc w:val="both"/>
              <w:rPr>
                <w:rFonts w:cs="Arial"/>
                <w:color w:val="000000"/>
                <w:szCs w:val="20"/>
              </w:rPr>
            </w:pPr>
          </w:p>
        </w:tc>
        <w:tc>
          <w:tcPr>
            <w:tcW w:w="1245" w:type="dxa"/>
            <w:tcBorders>
              <w:top w:val="nil"/>
              <w:left w:val="nil"/>
              <w:bottom w:val="single" w:sz="4" w:space="0" w:color="auto"/>
              <w:right w:val="single" w:sz="4" w:space="0" w:color="auto"/>
            </w:tcBorders>
            <w:shd w:val="clear" w:color="auto" w:fill="auto"/>
            <w:noWrap/>
            <w:vAlign w:val="center"/>
          </w:tcPr>
          <w:p w14:paraId="06386FA0" w14:textId="77777777" w:rsidR="00FE461F" w:rsidRPr="005E4BEA" w:rsidRDefault="00FE461F" w:rsidP="00FE461F">
            <w:pPr>
              <w:spacing w:line="240" w:lineRule="auto"/>
              <w:jc w:val="both"/>
              <w:rPr>
                <w:rFonts w:cs="Arial"/>
                <w:color w:val="000000"/>
                <w:szCs w:val="20"/>
              </w:rPr>
            </w:pPr>
          </w:p>
        </w:tc>
        <w:tc>
          <w:tcPr>
            <w:tcW w:w="1580" w:type="dxa"/>
            <w:tcBorders>
              <w:top w:val="nil"/>
              <w:left w:val="nil"/>
              <w:bottom w:val="single" w:sz="4" w:space="0" w:color="auto"/>
              <w:right w:val="single" w:sz="4" w:space="0" w:color="auto"/>
            </w:tcBorders>
            <w:shd w:val="clear" w:color="auto" w:fill="auto"/>
            <w:noWrap/>
            <w:vAlign w:val="center"/>
          </w:tcPr>
          <w:p w14:paraId="3E1EF97C"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4555D1E7" w14:textId="77777777" w:rsidR="00FE461F" w:rsidRPr="005E4BEA" w:rsidRDefault="00FE461F" w:rsidP="00FE461F">
            <w:pPr>
              <w:spacing w:line="240" w:lineRule="auto"/>
              <w:jc w:val="both"/>
              <w:rPr>
                <w:rFonts w:cs="Arial"/>
                <w:b/>
                <w:bCs/>
                <w:color w:val="000000"/>
                <w:szCs w:val="20"/>
              </w:rPr>
            </w:pPr>
          </w:p>
        </w:tc>
      </w:tr>
      <w:tr w:rsidR="00FE461F" w:rsidRPr="005E4BEA" w14:paraId="2A4EB07E"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DCCB5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3</w:t>
            </w:r>
          </w:p>
        </w:tc>
        <w:tc>
          <w:tcPr>
            <w:tcW w:w="2298" w:type="dxa"/>
            <w:tcBorders>
              <w:top w:val="nil"/>
              <w:left w:val="nil"/>
              <w:bottom w:val="single" w:sz="4" w:space="0" w:color="auto"/>
              <w:right w:val="single" w:sz="4" w:space="0" w:color="auto"/>
            </w:tcBorders>
            <w:shd w:val="clear" w:color="auto" w:fill="auto"/>
            <w:vAlign w:val="center"/>
            <w:hideMark/>
          </w:tcPr>
          <w:p w14:paraId="2B71D65F"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4939C776" w14:textId="77777777" w:rsidR="00FE461F" w:rsidRPr="005E4BEA" w:rsidRDefault="00FE461F" w:rsidP="00FE461F">
            <w:pPr>
              <w:spacing w:line="240" w:lineRule="auto"/>
              <w:jc w:val="both"/>
              <w:rPr>
                <w:rFonts w:cs="Arial"/>
                <w:b/>
                <w:bCs/>
                <w:color w:val="000000"/>
                <w:szCs w:val="20"/>
              </w:rPr>
            </w:pPr>
            <w:r w:rsidRPr="005E4BEA">
              <w:rPr>
                <w:rFonts w:cs="Arial"/>
                <w:szCs w:val="20"/>
              </w:rPr>
              <w:t>Od 1. 7. 2022</w:t>
            </w:r>
          </w:p>
        </w:tc>
        <w:tc>
          <w:tcPr>
            <w:tcW w:w="2045" w:type="dxa"/>
            <w:tcBorders>
              <w:top w:val="nil"/>
              <w:left w:val="nil"/>
              <w:bottom w:val="single" w:sz="4" w:space="0" w:color="auto"/>
              <w:right w:val="single" w:sz="4" w:space="0" w:color="auto"/>
            </w:tcBorders>
            <w:shd w:val="clear" w:color="auto" w:fill="auto"/>
            <w:noWrap/>
            <w:vAlign w:val="center"/>
            <w:hideMark/>
          </w:tcPr>
          <w:p w14:paraId="48A5E89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IZOLA</w:t>
            </w:r>
          </w:p>
        </w:tc>
        <w:tc>
          <w:tcPr>
            <w:tcW w:w="1245" w:type="dxa"/>
            <w:tcBorders>
              <w:top w:val="nil"/>
              <w:left w:val="nil"/>
              <w:bottom w:val="single" w:sz="4" w:space="0" w:color="auto"/>
              <w:right w:val="single" w:sz="4" w:space="0" w:color="auto"/>
            </w:tcBorders>
            <w:shd w:val="clear" w:color="auto" w:fill="auto"/>
            <w:noWrap/>
            <w:vAlign w:val="center"/>
            <w:hideMark/>
          </w:tcPr>
          <w:p w14:paraId="1FD9945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w:t>
            </w:r>
          </w:p>
        </w:tc>
        <w:tc>
          <w:tcPr>
            <w:tcW w:w="1580" w:type="dxa"/>
            <w:tcBorders>
              <w:top w:val="nil"/>
              <w:left w:val="nil"/>
              <w:bottom w:val="single" w:sz="4" w:space="0" w:color="auto"/>
              <w:right w:val="single" w:sz="4" w:space="0" w:color="auto"/>
            </w:tcBorders>
            <w:shd w:val="clear" w:color="auto" w:fill="auto"/>
            <w:noWrap/>
            <w:vAlign w:val="center"/>
          </w:tcPr>
          <w:p w14:paraId="791CCE7B"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612A2EB5" w14:textId="77777777" w:rsidR="00FE461F" w:rsidRPr="005E4BEA" w:rsidRDefault="00FE461F" w:rsidP="00FE461F">
            <w:pPr>
              <w:spacing w:line="240" w:lineRule="auto"/>
              <w:jc w:val="both"/>
              <w:rPr>
                <w:rFonts w:cs="Arial"/>
                <w:b/>
                <w:bCs/>
                <w:color w:val="000000"/>
                <w:szCs w:val="20"/>
              </w:rPr>
            </w:pPr>
          </w:p>
        </w:tc>
      </w:tr>
      <w:tr w:rsidR="00FE461F" w:rsidRPr="005E4BEA" w14:paraId="05E23899"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27D5AA5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4</w:t>
            </w:r>
          </w:p>
        </w:tc>
        <w:tc>
          <w:tcPr>
            <w:tcW w:w="2298" w:type="dxa"/>
            <w:tcBorders>
              <w:top w:val="nil"/>
              <w:left w:val="nil"/>
              <w:bottom w:val="single" w:sz="4" w:space="0" w:color="auto"/>
              <w:right w:val="single" w:sz="4" w:space="0" w:color="auto"/>
            </w:tcBorders>
            <w:shd w:val="clear" w:color="auto" w:fill="auto"/>
            <w:vAlign w:val="center"/>
          </w:tcPr>
          <w:p w14:paraId="4AF499E8"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24C12C01" w14:textId="77777777" w:rsidR="00FE461F" w:rsidRPr="005E4BEA" w:rsidRDefault="00FE461F" w:rsidP="00FE461F">
            <w:pPr>
              <w:spacing w:line="240" w:lineRule="exact"/>
              <w:jc w:val="both"/>
              <w:rPr>
                <w:rFonts w:cs="Arial"/>
                <w:szCs w:val="20"/>
              </w:rPr>
            </w:pPr>
            <w:r w:rsidRPr="005E4BEA">
              <w:rPr>
                <w:rFonts w:cs="Arial"/>
                <w:szCs w:val="20"/>
              </w:rPr>
              <w:t>Od 1. 7. 2022</w:t>
            </w:r>
          </w:p>
        </w:tc>
        <w:tc>
          <w:tcPr>
            <w:tcW w:w="2045" w:type="dxa"/>
            <w:tcBorders>
              <w:top w:val="nil"/>
              <w:left w:val="nil"/>
              <w:bottom w:val="single" w:sz="4" w:space="0" w:color="auto"/>
              <w:right w:val="single" w:sz="4" w:space="0" w:color="auto"/>
            </w:tcBorders>
            <w:shd w:val="clear" w:color="auto" w:fill="auto"/>
            <w:noWrap/>
            <w:vAlign w:val="center"/>
          </w:tcPr>
          <w:p w14:paraId="21C1EA3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NOVO MESTO</w:t>
            </w:r>
          </w:p>
        </w:tc>
        <w:tc>
          <w:tcPr>
            <w:tcW w:w="1245" w:type="dxa"/>
            <w:tcBorders>
              <w:top w:val="nil"/>
              <w:left w:val="nil"/>
              <w:bottom w:val="single" w:sz="4" w:space="0" w:color="auto"/>
              <w:right w:val="single" w:sz="4" w:space="0" w:color="auto"/>
            </w:tcBorders>
            <w:shd w:val="clear" w:color="auto" w:fill="auto"/>
            <w:noWrap/>
            <w:vAlign w:val="center"/>
          </w:tcPr>
          <w:p w14:paraId="2743479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w:t>
            </w:r>
          </w:p>
        </w:tc>
        <w:tc>
          <w:tcPr>
            <w:tcW w:w="1580" w:type="dxa"/>
            <w:tcBorders>
              <w:top w:val="nil"/>
              <w:left w:val="nil"/>
              <w:bottom w:val="single" w:sz="4" w:space="0" w:color="auto"/>
              <w:right w:val="single" w:sz="4" w:space="0" w:color="auto"/>
            </w:tcBorders>
            <w:shd w:val="clear" w:color="auto" w:fill="auto"/>
            <w:noWrap/>
            <w:vAlign w:val="center"/>
          </w:tcPr>
          <w:p w14:paraId="5B1EAFF1"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435097F4" w14:textId="77777777" w:rsidR="00FE461F" w:rsidRPr="005E4BEA" w:rsidRDefault="00FE461F" w:rsidP="00FE461F">
            <w:pPr>
              <w:spacing w:line="240" w:lineRule="auto"/>
              <w:jc w:val="both"/>
              <w:rPr>
                <w:rFonts w:cs="Arial"/>
                <w:b/>
                <w:bCs/>
                <w:color w:val="000000"/>
                <w:szCs w:val="20"/>
              </w:rPr>
            </w:pPr>
          </w:p>
        </w:tc>
      </w:tr>
      <w:tr w:rsidR="00FE461F" w:rsidRPr="005E4BEA" w14:paraId="16DDAD57"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52A1E799"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5</w:t>
            </w:r>
          </w:p>
        </w:tc>
        <w:tc>
          <w:tcPr>
            <w:tcW w:w="2298" w:type="dxa"/>
            <w:tcBorders>
              <w:top w:val="nil"/>
              <w:left w:val="nil"/>
              <w:bottom w:val="single" w:sz="4" w:space="0" w:color="auto"/>
              <w:right w:val="single" w:sz="4" w:space="0" w:color="auto"/>
            </w:tcBorders>
            <w:shd w:val="clear" w:color="auto" w:fill="auto"/>
            <w:vAlign w:val="center"/>
          </w:tcPr>
          <w:p w14:paraId="283EC441"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0AFBCC21" w14:textId="77777777" w:rsidR="00FE461F" w:rsidRPr="005E4BEA" w:rsidRDefault="00FE461F" w:rsidP="00FE461F">
            <w:pPr>
              <w:spacing w:line="240" w:lineRule="exact"/>
              <w:jc w:val="both"/>
              <w:rPr>
                <w:rFonts w:cs="Arial"/>
                <w:szCs w:val="20"/>
              </w:rPr>
            </w:pPr>
            <w:r w:rsidRPr="005E4BEA">
              <w:rPr>
                <w:rFonts w:cs="Arial"/>
                <w:szCs w:val="20"/>
              </w:rPr>
              <w:t>Od 1. 7. 2022</w:t>
            </w:r>
          </w:p>
        </w:tc>
        <w:tc>
          <w:tcPr>
            <w:tcW w:w="2045" w:type="dxa"/>
            <w:tcBorders>
              <w:top w:val="nil"/>
              <w:left w:val="nil"/>
              <w:bottom w:val="single" w:sz="4" w:space="0" w:color="auto"/>
              <w:right w:val="single" w:sz="4" w:space="0" w:color="auto"/>
            </w:tcBorders>
            <w:shd w:val="clear" w:color="auto" w:fill="auto"/>
            <w:noWrap/>
            <w:vAlign w:val="center"/>
          </w:tcPr>
          <w:p w14:paraId="78D2D1A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NOVA GORICA</w:t>
            </w:r>
          </w:p>
        </w:tc>
        <w:tc>
          <w:tcPr>
            <w:tcW w:w="1245" w:type="dxa"/>
            <w:tcBorders>
              <w:top w:val="nil"/>
              <w:left w:val="nil"/>
              <w:bottom w:val="single" w:sz="4" w:space="0" w:color="auto"/>
              <w:right w:val="single" w:sz="4" w:space="0" w:color="auto"/>
            </w:tcBorders>
            <w:shd w:val="clear" w:color="auto" w:fill="auto"/>
            <w:noWrap/>
            <w:vAlign w:val="center"/>
          </w:tcPr>
          <w:p w14:paraId="4AC1A7F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50</w:t>
            </w:r>
          </w:p>
        </w:tc>
        <w:tc>
          <w:tcPr>
            <w:tcW w:w="1580" w:type="dxa"/>
            <w:tcBorders>
              <w:top w:val="nil"/>
              <w:left w:val="nil"/>
              <w:bottom w:val="single" w:sz="4" w:space="0" w:color="auto"/>
              <w:right w:val="single" w:sz="4" w:space="0" w:color="auto"/>
            </w:tcBorders>
            <w:shd w:val="clear" w:color="auto" w:fill="auto"/>
            <w:noWrap/>
            <w:vAlign w:val="center"/>
          </w:tcPr>
          <w:p w14:paraId="0255A6D8"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2AEE6677" w14:textId="77777777" w:rsidR="00FE461F" w:rsidRPr="005E4BEA" w:rsidRDefault="00FE461F" w:rsidP="00FE461F">
            <w:pPr>
              <w:spacing w:line="240" w:lineRule="auto"/>
              <w:jc w:val="both"/>
              <w:rPr>
                <w:rFonts w:cs="Arial"/>
                <w:b/>
                <w:bCs/>
                <w:color w:val="000000"/>
                <w:szCs w:val="20"/>
              </w:rPr>
            </w:pPr>
          </w:p>
        </w:tc>
      </w:tr>
      <w:tr w:rsidR="00FE461F" w:rsidRPr="005E4BEA" w14:paraId="5E80A90A"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514F9F5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6</w:t>
            </w:r>
          </w:p>
        </w:tc>
        <w:tc>
          <w:tcPr>
            <w:tcW w:w="2298" w:type="dxa"/>
            <w:tcBorders>
              <w:top w:val="nil"/>
              <w:left w:val="nil"/>
              <w:bottom w:val="single" w:sz="4" w:space="0" w:color="auto"/>
              <w:right w:val="single" w:sz="4" w:space="0" w:color="auto"/>
            </w:tcBorders>
            <w:shd w:val="clear" w:color="auto" w:fill="auto"/>
            <w:vAlign w:val="center"/>
          </w:tcPr>
          <w:p w14:paraId="76A1E543"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3BE52ECE" w14:textId="77777777" w:rsidR="00FE461F" w:rsidRPr="005E4BEA" w:rsidRDefault="00FE461F" w:rsidP="00FE461F">
            <w:pPr>
              <w:spacing w:line="240" w:lineRule="exact"/>
              <w:jc w:val="both"/>
              <w:rPr>
                <w:rFonts w:cs="Arial"/>
                <w:szCs w:val="20"/>
              </w:rPr>
            </w:pPr>
            <w:r w:rsidRPr="005E4BEA">
              <w:rPr>
                <w:rFonts w:cs="Arial"/>
                <w:szCs w:val="20"/>
              </w:rPr>
              <w:t>Od 1. 7. 2022</w:t>
            </w:r>
          </w:p>
        </w:tc>
        <w:tc>
          <w:tcPr>
            <w:tcW w:w="2045" w:type="dxa"/>
            <w:tcBorders>
              <w:top w:val="nil"/>
              <w:left w:val="nil"/>
              <w:bottom w:val="single" w:sz="4" w:space="0" w:color="auto"/>
              <w:right w:val="single" w:sz="4" w:space="0" w:color="auto"/>
            </w:tcBorders>
            <w:shd w:val="clear" w:color="auto" w:fill="auto"/>
            <w:noWrap/>
            <w:vAlign w:val="center"/>
          </w:tcPr>
          <w:p w14:paraId="62416B3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CELJE</w:t>
            </w:r>
          </w:p>
        </w:tc>
        <w:tc>
          <w:tcPr>
            <w:tcW w:w="1245" w:type="dxa"/>
            <w:tcBorders>
              <w:top w:val="nil"/>
              <w:left w:val="nil"/>
              <w:bottom w:val="single" w:sz="4" w:space="0" w:color="auto"/>
              <w:right w:val="single" w:sz="4" w:space="0" w:color="auto"/>
            </w:tcBorders>
            <w:shd w:val="clear" w:color="auto" w:fill="auto"/>
            <w:noWrap/>
            <w:vAlign w:val="center"/>
          </w:tcPr>
          <w:p w14:paraId="02BB7A79"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250</w:t>
            </w:r>
          </w:p>
        </w:tc>
        <w:tc>
          <w:tcPr>
            <w:tcW w:w="1580" w:type="dxa"/>
            <w:tcBorders>
              <w:top w:val="nil"/>
              <w:left w:val="nil"/>
              <w:bottom w:val="single" w:sz="4" w:space="0" w:color="auto"/>
              <w:right w:val="single" w:sz="4" w:space="0" w:color="auto"/>
            </w:tcBorders>
            <w:shd w:val="clear" w:color="auto" w:fill="auto"/>
            <w:noWrap/>
            <w:vAlign w:val="center"/>
          </w:tcPr>
          <w:p w14:paraId="6D5624BC"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1CCC23A8" w14:textId="77777777" w:rsidR="00FE461F" w:rsidRPr="005E4BEA" w:rsidRDefault="00FE461F" w:rsidP="00FE461F">
            <w:pPr>
              <w:spacing w:line="240" w:lineRule="auto"/>
              <w:jc w:val="both"/>
              <w:rPr>
                <w:rFonts w:cs="Arial"/>
                <w:b/>
                <w:bCs/>
                <w:color w:val="000000"/>
                <w:szCs w:val="20"/>
              </w:rPr>
            </w:pPr>
          </w:p>
        </w:tc>
      </w:tr>
      <w:bookmarkEnd w:id="53"/>
    </w:tbl>
    <w:p w14:paraId="08E1C9A4" w14:textId="77777777" w:rsidR="00FE461F" w:rsidRPr="005E4BEA" w:rsidRDefault="00FE461F" w:rsidP="00FE461F">
      <w:pPr>
        <w:spacing w:line="240" w:lineRule="auto"/>
        <w:jc w:val="both"/>
        <w:rPr>
          <w:rFonts w:cs="Arial"/>
          <w:b/>
          <w:bCs/>
          <w:szCs w:val="20"/>
        </w:rPr>
      </w:pPr>
    </w:p>
    <w:p w14:paraId="5901465C" w14:textId="77777777" w:rsidR="00FE461F" w:rsidRPr="005E4BEA" w:rsidRDefault="00FE461F" w:rsidP="00FE461F">
      <w:pPr>
        <w:spacing w:line="240" w:lineRule="auto"/>
        <w:jc w:val="both"/>
        <w:rPr>
          <w:rFonts w:cs="Arial"/>
          <w:b/>
          <w:bCs/>
          <w:szCs w:val="20"/>
        </w:rPr>
      </w:pPr>
      <w:r w:rsidRPr="005E4BEA">
        <w:rPr>
          <w:rFonts w:cs="Arial"/>
          <w:b/>
          <w:bCs/>
          <w:szCs w:val="20"/>
        </w:rPr>
        <w:t>V prilogo I/b – Cenik storitev se vključi novo poglavje:</w:t>
      </w:r>
    </w:p>
    <w:tbl>
      <w:tblPr>
        <w:tblW w:w="9294" w:type="dxa"/>
        <w:tblInd w:w="75" w:type="dxa"/>
        <w:tblCellMar>
          <w:left w:w="70" w:type="dxa"/>
          <w:right w:w="70" w:type="dxa"/>
        </w:tblCellMar>
        <w:tblLook w:val="04A0" w:firstRow="1" w:lastRow="0" w:firstColumn="1" w:lastColumn="0" w:noHBand="0" w:noVBand="1"/>
      </w:tblPr>
      <w:tblGrid>
        <w:gridCol w:w="7291"/>
        <w:gridCol w:w="2003"/>
      </w:tblGrid>
      <w:tr w:rsidR="00FE461F" w:rsidRPr="005E4BEA" w14:paraId="7380D876" w14:textId="77777777" w:rsidTr="0016774B">
        <w:trPr>
          <w:trHeight w:val="92"/>
        </w:trPr>
        <w:tc>
          <w:tcPr>
            <w:tcW w:w="7291" w:type="dxa"/>
            <w:tcBorders>
              <w:top w:val="single" w:sz="4" w:space="0" w:color="auto"/>
              <w:left w:val="single" w:sz="4" w:space="0" w:color="auto"/>
              <w:bottom w:val="single" w:sz="4" w:space="0" w:color="auto"/>
              <w:right w:val="single" w:sz="4" w:space="0" w:color="auto"/>
            </w:tcBorders>
            <w:shd w:val="clear" w:color="auto" w:fill="auto"/>
            <w:vAlign w:val="bottom"/>
            <w:hideMark/>
          </w:tcPr>
          <w:bookmarkEnd w:id="52"/>
          <w:p w14:paraId="20F5109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 xml:space="preserve">Interventne </w:t>
            </w:r>
            <w:proofErr w:type="spellStart"/>
            <w:r w:rsidRPr="005E4BEA">
              <w:rPr>
                <w:rFonts w:cs="Arial"/>
                <w:b/>
                <w:bCs/>
                <w:color w:val="000000"/>
                <w:szCs w:val="20"/>
              </w:rPr>
              <w:t>elektrofiziološke</w:t>
            </w:r>
            <w:proofErr w:type="spellEnd"/>
            <w:r w:rsidRPr="005E4BEA">
              <w:rPr>
                <w:rFonts w:cs="Arial"/>
                <w:b/>
                <w:bCs/>
                <w:color w:val="000000"/>
                <w:szCs w:val="20"/>
              </w:rPr>
              <w:t xml:space="preserve"> preiskave</w:t>
            </w:r>
          </w:p>
        </w:tc>
        <w:tc>
          <w:tcPr>
            <w:tcW w:w="2003" w:type="dxa"/>
            <w:tcBorders>
              <w:top w:val="single" w:sz="4" w:space="0" w:color="auto"/>
              <w:left w:val="nil"/>
              <w:bottom w:val="single" w:sz="4" w:space="0" w:color="auto"/>
              <w:right w:val="single" w:sz="4" w:space="0" w:color="auto"/>
            </w:tcBorders>
            <w:shd w:val="clear" w:color="auto" w:fill="auto"/>
            <w:noWrap/>
            <w:vAlign w:val="bottom"/>
            <w:hideMark/>
          </w:tcPr>
          <w:p w14:paraId="748A2A2C"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cena dodatka</w:t>
            </w:r>
          </w:p>
        </w:tc>
      </w:tr>
      <w:tr w:rsidR="00FE461F" w:rsidRPr="005E4BEA" w14:paraId="0BDEA9C0"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30FD181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Dodatek za standardno </w:t>
            </w:r>
            <w:proofErr w:type="spellStart"/>
            <w:r w:rsidRPr="005E4BEA">
              <w:rPr>
                <w:rFonts w:cs="Arial"/>
                <w:color w:val="000000"/>
                <w:szCs w:val="20"/>
              </w:rPr>
              <w:t>elektrofiziološko</w:t>
            </w:r>
            <w:proofErr w:type="spellEnd"/>
            <w:r w:rsidRPr="005E4BEA">
              <w:rPr>
                <w:rFonts w:cs="Arial"/>
                <w:color w:val="000000"/>
                <w:szCs w:val="20"/>
              </w:rPr>
              <w:t xml:space="preserve"> preiskavo</w:t>
            </w:r>
          </w:p>
        </w:tc>
        <w:tc>
          <w:tcPr>
            <w:tcW w:w="2003" w:type="dxa"/>
            <w:tcBorders>
              <w:top w:val="nil"/>
              <w:left w:val="nil"/>
              <w:bottom w:val="single" w:sz="4" w:space="0" w:color="auto"/>
              <w:right w:val="single" w:sz="4" w:space="0" w:color="auto"/>
            </w:tcBorders>
            <w:shd w:val="clear" w:color="auto" w:fill="auto"/>
            <w:noWrap/>
            <w:vAlign w:val="bottom"/>
            <w:hideMark/>
          </w:tcPr>
          <w:p w14:paraId="7891C92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1.609,75</w:t>
            </w:r>
          </w:p>
        </w:tc>
      </w:tr>
      <w:tr w:rsidR="00FE461F" w:rsidRPr="005E4BEA" w14:paraId="13EFBEAF"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7822D07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Dodatek za </w:t>
            </w:r>
            <w:proofErr w:type="spellStart"/>
            <w:r w:rsidRPr="005E4BEA">
              <w:rPr>
                <w:rFonts w:cs="Arial"/>
                <w:color w:val="000000"/>
                <w:szCs w:val="20"/>
              </w:rPr>
              <w:t>elektrofiziološko</w:t>
            </w:r>
            <w:proofErr w:type="spellEnd"/>
            <w:r w:rsidRPr="005E4BEA">
              <w:rPr>
                <w:rFonts w:cs="Arial"/>
                <w:color w:val="000000"/>
                <w:szCs w:val="20"/>
              </w:rPr>
              <w:t xml:space="preserve"> preiskavo z RF ali </w:t>
            </w:r>
            <w:proofErr w:type="spellStart"/>
            <w:r w:rsidRPr="005E4BEA">
              <w:rPr>
                <w:rFonts w:cs="Arial"/>
                <w:color w:val="000000"/>
                <w:szCs w:val="20"/>
              </w:rPr>
              <w:t>krio</w:t>
            </w:r>
            <w:proofErr w:type="spellEnd"/>
            <w:r w:rsidRPr="005E4BEA">
              <w:rPr>
                <w:rFonts w:cs="Arial"/>
                <w:color w:val="000000"/>
                <w:szCs w:val="20"/>
              </w:rPr>
              <w:t xml:space="preserve"> ablacijo v desnih srčnih votlinah</w:t>
            </w:r>
          </w:p>
        </w:tc>
        <w:tc>
          <w:tcPr>
            <w:tcW w:w="2003" w:type="dxa"/>
            <w:tcBorders>
              <w:top w:val="nil"/>
              <w:left w:val="nil"/>
              <w:bottom w:val="single" w:sz="4" w:space="0" w:color="auto"/>
              <w:right w:val="single" w:sz="4" w:space="0" w:color="auto"/>
            </w:tcBorders>
            <w:shd w:val="clear" w:color="auto" w:fill="auto"/>
            <w:noWrap/>
            <w:vAlign w:val="bottom"/>
            <w:hideMark/>
          </w:tcPr>
          <w:p w14:paraId="6AA3408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3.076,85</w:t>
            </w:r>
          </w:p>
        </w:tc>
      </w:tr>
      <w:tr w:rsidR="00FE461F" w:rsidRPr="005E4BEA" w14:paraId="735AD264"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6F72FD2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Dodatek za </w:t>
            </w:r>
            <w:proofErr w:type="spellStart"/>
            <w:r w:rsidRPr="005E4BEA">
              <w:rPr>
                <w:rFonts w:cs="Arial"/>
                <w:color w:val="000000"/>
                <w:szCs w:val="20"/>
              </w:rPr>
              <w:t>elektrofiziološko</w:t>
            </w:r>
            <w:proofErr w:type="spellEnd"/>
            <w:r w:rsidRPr="005E4BEA">
              <w:rPr>
                <w:rFonts w:cs="Arial"/>
                <w:color w:val="000000"/>
                <w:szCs w:val="20"/>
              </w:rPr>
              <w:t xml:space="preserve"> preiskavo z RF ali </w:t>
            </w:r>
            <w:proofErr w:type="spellStart"/>
            <w:r w:rsidRPr="005E4BEA">
              <w:rPr>
                <w:rFonts w:cs="Arial"/>
                <w:color w:val="000000"/>
                <w:szCs w:val="20"/>
              </w:rPr>
              <w:t>krio</w:t>
            </w:r>
            <w:proofErr w:type="spellEnd"/>
            <w:r w:rsidRPr="005E4BEA">
              <w:rPr>
                <w:rFonts w:cs="Arial"/>
                <w:color w:val="000000"/>
                <w:szCs w:val="20"/>
              </w:rPr>
              <w:t xml:space="preserve"> ablacijo v levih srčnih votlinah</w:t>
            </w:r>
          </w:p>
        </w:tc>
        <w:tc>
          <w:tcPr>
            <w:tcW w:w="2003" w:type="dxa"/>
            <w:tcBorders>
              <w:top w:val="nil"/>
              <w:left w:val="nil"/>
              <w:bottom w:val="single" w:sz="4" w:space="0" w:color="auto"/>
              <w:right w:val="single" w:sz="4" w:space="0" w:color="auto"/>
            </w:tcBorders>
            <w:shd w:val="clear" w:color="auto" w:fill="auto"/>
            <w:noWrap/>
            <w:vAlign w:val="bottom"/>
            <w:hideMark/>
          </w:tcPr>
          <w:p w14:paraId="296719F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5.986,76</w:t>
            </w:r>
          </w:p>
        </w:tc>
      </w:tr>
      <w:tr w:rsidR="00FE461F" w:rsidRPr="005E4BEA" w14:paraId="26541CB0"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7E464E1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Dodatek za RF ablacijo atrijske fibrilacije s pomočjo kartografskega sistema - nezapletena</w:t>
            </w:r>
          </w:p>
        </w:tc>
        <w:tc>
          <w:tcPr>
            <w:tcW w:w="2003" w:type="dxa"/>
            <w:tcBorders>
              <w:top w:val="nil"/>
              <w:left w:val="nil"/>
              <w:bottom w:val="single" w:sz="4" w:space="0" w:color="auto"/>
              <w:right w:val="single" w:sz="4" w:space="0" w:color="auto"/>
            </w:tcBorders>
            <w:shd w:val="clear" w:color="auto" w:fill="auto"/>
            <w:noWrap/>
            <w:vAlign w:val="bottom"/>
            <w:hideMark/>
          </w:tcPr>
          <w:p w14:paraId="6A2EF40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7.041,78</w:t>
            </w:r>
          </w:p>
        </w:tc>
      </w:tr>
      <w:tr w:rsidR="00FE461F" w:rsidRPr="005E4BEA" w14:paraId="6C4BD6A9"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03DD609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Dodatek za </w:t>
            </w:r>
            <w:proofErr w:type="spellStart"/>
            <w:r w:rsidRPr="005E4BEA">
              <w:rPr>
                <w:rFonts w:cs="Arial"/>
                <w:color w:val="000000"/>
                <w:szCs w:val="20"/>
              </w:rPr>
              <w:t>krio</w:t>
            </w:r>
            <w:proofErr w:type="spellEnd"/>
            <w:r w:rsidRPr="005E4BEA">
              <w:rPr>
                <w:rFonts w:cs="Arial"/>
                <w:color w:val="000000"/>
                <w:szCs w:val="20"/>
              </w:rPr>
              <w:t xml:space="preserve"> ablacijo atrijske fibrilacije - nezapletena</w:t>
            </w:r>
          </w:p>
        </w:tc>
        <w:tc>
          <w:tcPr>
            <w:tcW w:w="2003" w:type="dxa"/>
            <w:tcBorders>
              <w:top w:val="nil"/>
              <w:left w:val="nil"/>
              <w:bottom w:val="single" w:sz="4" w:space="0" w:color="auto"/>
              <w:right w:val="single" w:sz="4" w:space="0" w:color="auto"/>
            </w:tcBorders>
            <w:shd w:val="clear" w:color="auto" w:fill="auto"/>
            <w:noWrap/>
            <w:vAlign w:val="bottom"/>
            <w:hideMark/>
          </w:tcPr>
          <w:p w14:paraId="5ECFFDE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8.318,16</w:t>
            </w:r>
          </w:p>
        </w:tc>
      </w:tr>
      <w:tr w:rsidR="00FE461F" w:rsidRPr="005E4BEA" w14:paraId="38C62990"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3477127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Dodatek za RF ablacijo kompleksne </w:t>
            </w:r>
            <w:proofErr w:type="spellStart"/>
            <w:r w:rsidRPr="005E4BEA">
              <w:rPr>
                <w:rFonts w:cs="Arial"/>
                <w:color w:val="000000"/>
                <w:szCs w:val="20"/>
              </w:rPr>
              <w:t>nadprekatne</w:t>
            </w:r>
            <w:proofErr w:type="spellEnd"/>
            <w:r w:rsidRPr="005E4BEA">
              <w:rPr>
                <w:rFonts w:cs="Arial"/>
                <w:color w:val="000000"/>
                <w:szCs w:val="20"/>
              </w:rPr>
              <w:t xml:space="preserve"> aritmije s pomočjo kartografskega sistema v desnem atriju</w:t>
            </w:r>
          </w:p>
        </w:tc>
        <w:tc>
          <w:tcPr>
            <w:tcW w:w="2003" w:type="dxa"/>
            <w:tcBorders>
              <w:top w:val="nil"/>
              <w:left w:val="nil"/>
              <w:bottom w:val="single" w:sz="4" w:space="0" w:color="auto"/>
              <w:right w:val="single" w:sz="4" w:space="0" w:color="auto"/>
            </w:tcBorders>
            <w:shd w:val="clear" w:color="auto" w:fill="auto"/>
            <w:noWrap/>
            <w:vAlign w:val="bottom"/>
            <w:hideMark/>
          </w:tcPr>
          <w:p w14:paraId="570D6AC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7.724,38</w:t>
            </w:r>
          </w:p>
        </w:tc>
      </w:tr>
      <w:tr w:rsidR="00FE461F" w:rsidRPr="005E4BEA" w14:paraId="1AED95E6"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253547E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Dodatek za RF ablacijo kompleksne </w:t>
            </w:r>
            <w:proofErr w:type="spellStart"/>
            <w:r w:rsidRPr="005E4BEA">
              <w:rPr>
                <w:rFonts w:cs="Arial"/>
                <w:color w:val="000000"/>
                <w:szCs w:val="20"/>
              </w:rPr>
              <w:t>nadprekatne</w:t>
            </w:r>
            <w:proofErr w:type="spellEnd"/>
            <w:r w:rsidRPr="005E4BEA">
              <w:rPr>
                <w:rFonts w:cs="Arial"/>
                <w:color w:val="000000"/>
                <w:szCs w:val="20"/>
              </w:rPr>
              <w:t xml:space="preserve"> aritmije s pomočjo kartografskega sistema v levem atriju</w:t>
            </w:r>
          </w:p>
        </w:tc>
        <w:tc>
          <w:tcPr>
            <w:tcW w:w="2003" w:type="dxa"/>
            <w:tcBorders>
              <w:top w:val="nil"/>
              <w:left w:val="nil"/>
              <w:bottom w:val="single" w:sz="4" w:space="0" w:color="auto"/>
              <w:right w:val="single" w:sz="4" w:space="0" w:color="auto"/>
            </w:tcBorders>
            <w:shd w:val="clear" w:color="auto" w:fill="auto"/>
            <w:noWrap/>
            <w:vAlign w:val="bottom"/>
            <w:hideMark/>
          </w:tcPr>
          <w:p w14:paraId="0814A43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9.707,12</w:t>
            </w:r>
          </w:p>
        </w:tc>
      </w:tr>
      <w:tr w:rsidR="00FE461F" w:rsidRPr="005E4BEA" w14:paraId="78616024"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279C54F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Dodatek za ablacijo prekatne aritmije v desnem prekatu</w:t>
            </w:r>
          </w:p>
        </w:tc>
        <w:tc>
          <w:tcPr>
            <w:tcW w:w="2003" w:type="dxa"/>
            <w:tcBorders>
              <w:top w:val="nil"/>
              <w:left w:val="nil"/>
              <w:bottom w:val="single" w:sz="4" w:space="0" w:color="auto"/>
              <w:right w:val="single" w:sz="4" w:space="0" w:color="auto"/>
            </w:tcBorders>
            <w:shd w:val="clear" w:color="auto" w:fill="auto"/>
            <w:noWrap/>
            <w:vAlign w:val="bottom"/>
            <w:hideMark/>
          </w:tcPr>
          <w:p w14:paraId="3373B13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7.350,26</w:t>
            </w:r>
          </w:p>
        </w:tc>
      </w:tr>
      <w:tr w:rsidR="00FE461F" w:rsidRPr="005E4BEA" w14:paraId="2DE03226" w14:textId="77777777" w:rsidTr="0016774B">
        <w:trPr>
          <w:trHeight w:val="92"/>
        </w:trPr>
        <w:tc>
          <w:tcPr>
            <w:tcW w:w="7291" w:type="dxa"/>
            <w:tcBorders>
              <w:top w:val="nil"/>
              <w:left w:val="single" w:sz="4" w:space="0" w:color="auto"/>
              <w:bottom w:val="single" w:sz="4" w:space="0" w:color="auto"/>
              <w:right w:val="single" w:sz="4" w:space="0" w:color="auto"/>
            </w:tcBorders>
            <w:shd w:val="clear" w:color="auto" w:fill="auto"/>
            <w:vAlign w:val="bottom"/>
            <w:hideMark/>
          </w:tcPr>
          <w:p w14:paraId="4AB23FE3"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Dodatek za ablacijo prekatne aritmije v levem prekatu</w:t>
            </w:r>
          </w:p>
        </w:tc>
        <w:tc>
          <w:tcPr>
            <w:tcW w:w="2003" w:type="dxa"/>
            <w:tcBorders>
              <w:top w:val="nil"/>
              <w:left w:val="nil"/>
              <w:bottom w:val="single" w:sz="4" w:space="0" w:color="auto"/>
              <w:right w:val="single" w:sz="4" w:space="0" w:color="auto"/>
            </w:tcBorders>
            <w:shd w:val="clear" w:color="auto" w:fill="auto"/>
            <w:noWrap/>
            <w:vAlign w:val="bottom"/>
            <w:hideMark/>
          </w:tcPr>
          <w:p w14:paraId="3349B63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9.707,12</w:t>
            </w:r>
          </w:p>
        </w:tc>
      </w:tr>
    </w:tbl>
    <w:p w14:paraId="0CF0B14D" w14:textId="77777777" w:rsidR="00FE461F" w:rsidRPr="005E4BEA" w:rsidRDefault="00FE461F" w:rsidP="00FE461F">
      <w:pPr>
        <w:spacing w:line="240" w:lineRule="auto"/>
        <w:jc w:val="both"/>
        <w:rPr>
          <w:rFonts w:cs="Arial"/>
          <w:szCs w:val="20"/>
        </w:rPr>
      </w:pPr>
    </w:p>
    <w:p w14:paraId="08CE941E" w14:textId="77777777" w:rsidR="00FE461F" w:rsidRPr="005E4BEA" w:rsidRDefault="00FE461F" w:rsidP="00FE461F">
      <w:pPr>
        <w:spacing w:line="240" w:lineRule="auto"/>
        <w:jc w:val="both"/>
        <w:rPr>
          <w:rFonts w:eastAsia="Calibri" w:cs="Arial"/>
          <w:b/>
          <w:bCs/>
          <w:i/>
          <w:iCs/>
          <w:color w:val="7F7F7F"/>
          <w:szCs w:val="20"/>
          <w:u w:val="single"/>
        </w:rPr>
      </w:pPr>
    </w:p>
    <w:p w14:paraId="7814FEC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Kirurgija:</w:t>
      </w:r>
    </w:p>
    <w:tbl>
      <w:tblPr>
        <w:tblW w:w="9280" w:type="dxa"/>
        <w:tblCellMar>
          <w:left w:w="70" w:type="dxa"/>
          <w:right w:w="70" w:type="dxa"/>
        </w:tblCellMar>
        <w:tblLook w:val="04A0" w:firstRow="1" w:lastRow="0" w:firstColumn="1" w:lastColumn="0" w:noHBand="0" w:noVBand="1"/>
      </w:tblPr>
      <w:tblGrid>
        <w:gridCol w:w="8060"/>
        <w:gridCol w:w="1220"/>
      </w:tblGrid>
      <w:tr w:rsidR="00FE461F" w:rsidRPr="005E4BEA" w14:paraId="1199E1EE" w14:textId="77777777" w:rsidTr="0016774B">
        <w:trPr>
          <w:trHeight w:val="300"/>
        </w:trPr>
        <w:tc>
          <w:tcPr>
            <w:tcW w:w="8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7E8410"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Dodatek za standardno </w:t>
            </w:r>
            <w:proofErr w:type="spellStart"/>
            <w:r w:rsidRPr="005E4BEA">
              <w:rPr>
                <w:rFonts w:cs="Arial"/>
                <w:color w:val="000000"/>
                <w:szCs w:val="20"/>
              </w:rPr>
              <w:t>elektrofiziološka</w:t>
            </w:r>
            <w:proofErr w:type="spellEnd"/>
            <w:r w:rsidRPr="005E4BEA">
              <w:rPr>
                <w:rFonts w:cs="Arial"/>
                <w:color w:val="000000"/>
                <w:szCs w:val="20"/>
              </w:rPr>
              <w:t xml:space="preserve"> preiskava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89D322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1.609,75</w:t>
            </w:r>
          </w:p>
        </w:tc>
      </w:tr>
      <w:tr w:rsidR="00FE461F" w:rsidRPr="005E4BEA" w14:paraId="5442D7A8"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577D202E"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Dodatek za </w:t>
            </w:r>
            <w:proofErr w:type="spellStart"/>
            <w:r w:rsidRPr="005E4BEA">
              <w:rPr>
                <w:rFonts w:cs="Arial"/>
                <w:color w:val="000000"/>
                <w:szCs w:val="20"/>
              </w:rPr>
              <w:t>elektrofiziološko</w:t>
            </w:r>
            <w:proofErr w:type="spellEnd"/>
            <w:r w:rsidRPr="005E4BEA">
              <w:rPr>
                <w:rFonts w:cs="Arial"/>
                <w:color w:val="000000"/>
                <w:szCs w:val="20"/>
              </w:rPr>
              <w:t xml:space="preserve"> preiskavo z RF ali </w:t>
            </w:r>
            <w:proofErr w:type="spellStart"/>
            <w:r w:rsidRPr="005E4BEA">
              <w:rPr>
                <w:rFonts w:cs="Arial"/>
                <w:color w:val="000000"/>
                <w:szCs w:val="20"/>
              </w:rPr>
              <w:t>krio</w:t>
            </w:r>
            <w:proofErr w:type="spellEnd"/>
            <w:r w:rsidRPr="005E4BEA">
              <w:rPr>
                <w:rFonts w:cs="Arial"/>
                <w:color w:val="000000"/>
                <w:szCs w:val="20"/>
              </w:rPr>
              <w:t xml:space="preserve"> ablacijo v desnih srčnih votlinah</w:t>
            </w:r>
          </w:p>
        </w:tc>
        <w:tc>
          <w:tcPr>
            <w:tcW w:w="1220" w:type="dxa"/>
            <w:tcBorders>
              <w:top w:val="nil"/>
              <w:left w:val="nil"/>
              <w:bottom w:val="single" w:sz="4" w:space="0" w:color="auto"/>
              <w:right w:val="single" w:sz="4" w:space="0" w:color="auto"/>
            </w:tcBorders>
            <w:shd w:val="clear" w:color="auto" w:fill="auto"/>
            <w:vAlign w:val="center"/>
            <w:hideMark/>
          </w:tcPr>
          <w:p w14:paraId="764871C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3.076,85</w:t>
            </w:r>
          </w:p>
        </w:tc>
      </w:tr>
      <w:tr w:rsidR="00FE461F" w:rsidRPr="005E4BEA" w14:paraId="3552DA89"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2358308F"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Dodatek za </w:t>
            </w:r>
            <w:proofErr w:type="spellStart"/>
            <w:r w:rsidRPr="005E4BEA">
              <w:rPr>
                <w:rFonts w:cs="Arial"/>
                <w:color w:val="000000"/>
                <w:szCs w:val="20"/>
              </w:rPr>
              <w:t>elektrofiziološko</w:t>
            </w:r>
            <w:proofErr w:type="spellEnd"/>
            <w:r w:rsidRPr="005E4BEA">
              <w:rPr>
                <w:rFonts w:cs="Arial"/>
                <w:color w:val="000000"/>
                <w:szCs w:val="20"/>
              </w:rPr>
              <w:t xml:space="preserve"> preiskavo z RF ali </w:t>
            </w:r>
            <w:proofErr w:type="spellStart"/>
            <w:r w:rsidRPr="005E4BEA">
              <w:rPr>
                <w:rFonts w:cs="Arial"/>
                <w:color w:val="000000"/>
                <w:szCs w:val="20"/>
              </w:rPr>
              <w:t>krio</w:t>
            </w:r>
            <w:proofErr w:type="spellEnd"/>
            <w:r w:rsidRPr="005E4BEA">
              <w:rPr>
                <w:rFonts w:cs="Arial"/>
                <w:color w:val="000000"/>
                <w:szCs w:val="20"/>
              </w:rPr>
              <w:t xml:space="preserve"> ablacijo v levih srčnih votlinah</w:t>
            </w:r>
          </w:p>
        </w:tc>
        <w:tc>
          <w:tcPr>
            <w:tcW w:w="1220" w:type="dxa"/>
            <w:tcBorders>
              <w:top w:val="nil"/>
              <w:left w:val="nil"/>
              <w:bottom w:val="single" w:sz="4" w:space="0" w:color="auto"/>
              <w:right w:val="single" w:sz="4" w:space="0" w:color="auto"/>
            </w:tcBorders>
            <w:shd w:val="clear" w:color="auto" w:fill="auto"/>
            <w:vAlign w:val="center"/>
            <w:hideMark/>
          </w:tcPr>
          <w:p w14:paraId="094BA05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5.986,76</w:t>
            </w:r>
          </w:p>
        </w:tc>
      </w:tr>
      <w:tr w:rsidR="00FE461F" w:rsidRPr="005E4BEA" w14:paraId="61B04E1D"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469684B3" w14:textId="77777777" w:rsidR="00FE461F" w:rsidRPr="005E4BEA" w:rsidRDefault="00FE461F" w:rsidP="00FE461F">
            <w:pPr>
              <w:spacing w:line="240" w:lineRule="auto"/>
              <w:rPr>
                <w:rFonts w:cs="Arial"/>
                <w:color w:val="000000"/>
                <w:szCs w:val="20"/>
              </w:rPr>
            </w:pPr>
            <w:r w:rsidRPr="005E4BEA">
              <w:rPr>
                <w:rFonts w:cs="Arial"/>
                <w:color w:val="000000"/>
                <w:szCs w:val="20"/>
              </w:rPr>
              <w:lastRenderedPageBreak/>
              <w:t>Dodatek za RF ablacijo atrijske fibrilacije s pomočjo kartografskega sistema - nezapletena</w:t>
            </w:r>
          </w:p>
        </w:tc>
        <w:tc>
          <w:tcPr>
            <w:tcW w:w="1220" w:type="dxa"/>
            <w:tcBorders>
              <w:top w:val="nil"/>
              <w:left w:val="nil"/>
              <w:bottom w:val="single" w:sz="4" w:space="0" w:color="auto"/>
              <w:right w:val="single" w:sz="4" w:space="0" w:color="auto"/>
            </w:tcBorders>
            <w:shd w:val="clear" w:color="auto" w:fill="auto"/>
            <w:vAlign w:val="center"/>
            <w:hideMark/>
          </w:tcPr>
          <w:p w14:paraId="176D931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7.041,78</w:t>
            </w:r>
          </w:p>
        </w:tc>
      </w:tr>
      <w:tr w:rsidR="00FE461F" w:rsidRPr="005E4BEA" w14:paraId="73B32A0B"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43B1A54C"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Dodatek za RF ablacijo kompleksne </w:t>
            </w:r>
            <w:proofErr w:type="spellStart"/>
            <w:r w:rsidRPr="005E4BEA">
              <w:rPr>
                <w:rFonts w:cs="Arial"/>
                <w:color w:val="000000"/>
                <w:szCs w:val="20"/>
              </w:rPr>
              <w:t>nadprekatne</w:t>
            </w:r>
            <w:proofErr w:type="spellEnd"/>
            <w:r w:rsidRPr="005E4BEA">
              <w:rPr>
                <w:rFonts w:cs="Arial"/>
                <w:color w:val="000000"/>
                <w:szCs w:val="20"/>
              </w:rPr>
              <w:t xml:space="preserve"> aritmije s pomočjo kartografskega sistema v desnem atriju</w:t>
            </w:r>
          </w:p>
        </w:tc>
        <w:tc>
          <w:tcPr>
            <w:tcW w:w="1220" w:type="dxa"/>
            <w:tcBorders>
              <w:top w:val="nil"/>
              <w:left w:val="nil"/>
              <w:bottom w:val="single" w:sz="4" w:space="0" w:color="auto"/>
              <w:right w:val="single" w:sz="4" w:space="0" w:color="auto"/>
            </w:tcBorders>
            <w:shd w:val="clear" w:color="auto" w:fill="auto"/>
            <w:vAlign w:val="center"/>
            <w:hideMark/>
          </w:tcPr>
          <w:p w14:paraId="111F2AA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7.724,38</w:t>
            </w:r>
          </w:p>
        </w:tc>
      </w:tr>
      <w:tr w:rsidR="00FE461F" w:rsidRPr="005E4BEA" w14:paraId="24545782"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3B60D3BE"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Dodatke za RF ablacijo kompleksne </w:t>
            </w:r>
            <w:proofErr w:type="spellStart"/>
            <w:r w:rsidRPr="005E4BEA">
              <w:rPr>
                <w:rFonts w:cs="Arial"/>
                <w:color w:val="000000"/>
                <w:szCs w:val="20"/>
              </w:rPr>
              <w:t>nadprekatne</w:t>
            </w:r>
            <w:proofErr w:type="spellEnd"/>
            <w:r w:rsidRPr="005E4BEA">
              <w:rPr>
                <w:rFonts w:cs="Arial"/>
                <w:color w:val="000000"/>
                <w:szCs w:val="20"/>
              </w:rPr>
              <w:t xml:space="preserve"> aritmije s pomočjo kartografskega sistema v levem atriju</w:t>
            </w:r>
          </w:p>
        </w:tc>
        <w:tc>
          <w:tcPr>
            <w:tcW w:w="1220" w:type="dxa"/>
            <w:tcBorders>
              <w:top w:val="nil"/>
              <w:left w:val="nil"/>
              <w:bottom w:val="single" w:sz="4" w:space="0" w:color="auto"/>
              <w:right w:val="single" w:sz="4" w:space="0" w:color="auto"/>
            </w:tcBorders>
            <w:shd w:val="clear" w:color="auto" w:fill="auto"/>
            <w:vAlign w:val="center"/>
            <w:hideMark/>
          </w:tcPr>
          <w:p w14:paraId="0CA801A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9.707,12</w:t>
            </w:r>
          </w:p>
        </w:tc>
      </w:tr>
      <w:tr w:rsidR="00FE461F" w:rsidRPr="005E4BEA" w14:paraId="1E76B580"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52ADE906" w14:textId="77777777" w:rsidR="00FE461F" w:rsidRPr="005E4BEA" w:rsidRDefault="00FE461F" w:rsidP="00FE461F">
            <w:pPr>
              <w:spacing w:line="240" w:lineRule="auto"/>
              <w:rPr>
                <w:rFonts w:cs="Arial"/>
                <w:color w:val="000000"/>
                <w:szCs w:val="20"/>
              </w:rPr>
            </w:pPr>
            <w:r w:rsidRPr="005E4BEA">
              <w:rPr>
                <w:rFonts w:cs="Arial"/>
                <w:color w:val="000000"/>
                <w:szCs w:val="20"/>
              </w:rPr>
              <w:t>Dodatek za ablacijo prekatne aritmije v desnem prekatu</w:t>
            </w:r>
          </w:p>
        </w:tc>
        <w:tc>
          <w:tcPr>
            <w:tcW w:w="1220" w:type="dxa"/>
            <w:tcBorders>
              <w:top w:val="nil"/>
              <w:left w:val="nil"/>
              <w:bottom w:val="single" w:sz="4" w:space="0" w:color="auto"/>
              <w:right w:val="single" w:sz="4" w:space="0" w:color="auto"/>
            </w:tcBorders>
            <w:shd w:val="clear" w:color="auto" w:fill="auto"/>
            <w:vAlign w:val="center"/>
            <w:hideMark/>
          </w:tcPr>
          <w:p w14:paraId="74D15A0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7.350,26</w:t>
            </w:r>
          </w:p>
        </w:tc>
      </w:tr>
      <w:tr w:rsidR="00FE461F" w:rsidRPr="005E4BEA" w14:paraId="79F7896D" w14:textId="77777777" w:rsidTr="0016774B">
        <w:trPr>
          <w:trHeight w:val="300"/>
        </w:trPr>
        <w:tc>
          <w:tcPr>
            <w:tcW w:w="8060" w:type="dxa"/>
            <w:tcBorders>
              <w:top w:val="nil"/>
              <w:left w:val="single" w:sz="8" w:space="0" w:color="000000"/>
              <w:bottom w:val="nil"/>
              <w:right w:val="nil"/>
            </w:tcBorders>
            <w:shd w:val="clear" w:color="000000" w:fill="FFFFFF"/>
            <w:vAlign w:val="center"/>
            <w:hideMark/>
          </w:tcPr>
          <w:p w14:paraId="4B1DC0F2" w14:textId="77777777" w:rsidR="00FE461F" w:rsidRPr="005E4BEA" w:rsidRDefault="00FE461F" w:rsidP="00FE461F">
            <w:pPr>
              <w:spacing w:line="240" w:lineRule="auto"/>
              <w:rPr>
                <w:rFonts w:cs="Arial"/>
                <w:color w:val="000000"/>
                <w:szCs w:val="20"/>
              </w:rPr>
            </w:pPr>
            <w:r w:rsidRPr="005E4BEA">
              <w:rPr>
                <w:rFonts w:cs="Arial"/>
                <w:color w:val="000000"/>
                <w:szCs w:val="20"/>
              </w:rPr>
              <w:t>Dodatek za ablacija prekatne aritmije v levem prekatu</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F7FEEC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9.707,12</w:t>
            </w:r>
          </w:p>
        </w:tc>
      </w:tr>
      <w:tr w:rsidR="00FE461F" w:rsidRPr="005E4BEA" w14:paraId="0B2FF908" w14:textId="77777777" w:rsidTr="0016774B">
        <w:trPr>
          <w:trHeight w:val="300"/>
        </w:trPr>
        <w:tc>
          <w:tcPr>
            <w:tcW w:w="8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600B97" w14:textId="77777777" w:rsidR="00FE461F" w:rsidRPr="005E4BEA" w:rsidRDefault="00FE461F" w:rsidP="00FE461F">
            <w:pPr>
              <w:spacing w:line="240" w:lineRule="auto"/>
              <w:rPr>
                <w:rFonts w:cs="Arial"/>
                <w:color w:val="000000"/>
                <w:szCs w:val="20"/>
              </w:rPr>
            </w:pPr>
            <w:r w:rsidRPr="005E4BEA">
              <w:rPr>
                <w:rFonts w:cs="Arial"/>
                <w:color w:val="000000"/>
                <w:szCs w:val="20"/>
              </w:rPr>
              <w:t>Dodatek za PSVT - otroci</w:t>
            </w:r>
          </w:p>
        </w:tc>
        <w:tc>
          <w:tcPr>
            <w:tcW w:w="1220" w:type="dxa"/>
            <w:tcBorders>
              <w:top w:val="nil"/>
              <w:left w:val="nil"/>
              <w:bottom w:val="single" w:sz="4" w:space="0" w:color="auto"/>
              <w:right w:val="single" w:sz="4" w:space="0" w:color="auto"/>
            </w:tcBorders>
            <w:shd w:val="clear" w:color="auto" w:fill="auto"/>
            <w:vAlign w:val="center"/>
            <w:hideMark/>
          </w:tcPr>
          <w:p w14:paraId="07A9766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7.013,12</w:t>
            </w:r>
          </w:p>
        </w:tc>
      </w:tr>
      <w:tr w:rsidR="00FE461F" w:rsidRPr="005E4BEA" w14:paraId="2D4242C9"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4A715071" w14:textId="77777777" w:rsidR="00FE461F" w:rsidRPr="005E4BEA" w:rsidRDefault="00FE461F" w:rsidP="00FE461F">
            <w:pPr>
              <w:spacing w:line="240" w:lineRule="auto"/>
              <w:rPr>
                <w:rFonts w:cs="Arial"/>
                <w:color w:val="000000"/>
                <w:szCs w:val="20"/>
              </w:rPr>
            </w:pPr>
            <w:r w:rsidRPr="005E4BEA">
              <w:rPr>
                <w:rFonts w:cs="Arial"/>
                <w:color w:val="000000"/>
                <w:szCs w:val="20"/>
              </w:rPr>
              <w:t>Dodatek za prekatno tahikardija - otroci</w:t>
            </w:r>
          </w:p>
        </w:tc>
        <w:tc>
          <w:tcPr>
            <w:tcW w:w="1220" w:type="dxa"/>
            <w:tcBorders>
              <w:top w:val="nil"/>
              <w:left w:val="nil"/>
              <w:bottom w:val="single" w:sz="4" w:space="0" w:color="auto"/>
              <w:right w:val="single" w:sz="4" w:space="0" w:color="auto"/>
            </w:tcBorders>
            <w:shd w:val="clear" w:color="auto" w:fill="auto"/>
            <w:vAlign w:val="center"/>
            <w:hideMark/>
          </w:tcPr>
          <w:p w14:paraId="7827E32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9.322,93</w:t>
            </w:r>
          </w:p>
        </w:tc>
      </w:tr>
      <w:tr w:rsidR="00FE461F" w:rsidRPr="005E4BEA" w14:paraId="29F9C848"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6208D6FC"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Dodatek za </w:t>
            </w:r>
            <w:proofErr w:type="spellStart"/>
            <w:r w:rsidRPr="005E4BEA">
              <w:rPr>
                <w:rFonts w:cs="Arial"/>
                <w:color w:val="000000"/>
                <w:szCs w:val="20"/>
              </w:rPr>
              <w:t>konkomitantno</w:t>
            </w:r>
            <w:proofErr w:type="spellEnd"/>
            <w:r w:rsidRPr="005E4BEA">
              <w:rPr>
                <w:rFonts w:cs="Arial"/>
                <w:color w:val="000000"/>
                <w:szCs w:val="20"/>
              </w:rPr>
              <w:t xml:space="preserve"> ablacija</w:t>
            </w:r>
          </w:p>
        </w:tc>
        <w:tc>
          <w:tcPr>
            <w:tcW w:w="1220" w:type="dxa"/>
            <w:tcBorders>
              <w:top w:val="nil"/>
              <w:left w:val="nil"/>
              <w:bottom w:val="single" w:sz="4" w:space="0" w:color="auto"/>
              <w:right w:val="single" w:sz="4" w:space="0" w:color="auto"/>
            </w:tcBorders>
            <w:shd w:val="clear" w:color="auto" w:fill="auto"/>
            <w:vAlign w:val="center"/>
            <w:hideMark/>
          </w:tcPr>
          <w:p w14:paraId="082C63B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10.869,67</w:t>
            </w:r>
          </w:p>
        </w:tc>
      </w:tr>
      <w:tr w:rsidR="00FE461F" w:rsidRPr="005E4BEA" w14:paraId="6AED218E" w14:textId="77777777" w:rsidTr="0016774B">
        <w:trPr>
          <w:trHeight w:val="300"/>
        </w:trPr>
        <w:tc>
          <w:tcPr>
            <w:tcW w:w="8060" w:type="dxa"/>
            <w:tcBorders>
              <w:top w:val="nil"/>
              <w:left w:val="single" w:sz="4" w:space="0" w:color="auto"/>
              <w:bottom w:val="single" w:sz="4" w:space="0" w:color="auto"/>
              <w:right w:val="single" w:sz="4" w:space="0" w:color="auto"/>
            </w:tcBorders>
            <w:shd w:val="clear" w:color="000000" w:fill="FFFFFF"/>
            <w:vAlign w:val="center"/>
            <w:hideMark/>
          </w:tcPr>
          <w:p w14:paraId="6E854E77" w14:textId="77777777" w:rsidR="00FE461F" w:rsidRPr="005E4BEA" w:rsidRDefault="00FE461F" w:rsidP="00FE461F">
            <w:pPr>
              <w:spacing w:line="240" w:lineRule="auto"/>
              <w:rPr>
                <w:rFonts w:cs="Arial"/>
                <w:color w:val="000000"/>
                <w:szCs w:val="20"/>
              </w:rPr>
            </w:pPr>
            <w:r w:rsidRPr="005E4BEA">
              <w:rPr>
                <w:rFonts w:cs="Arial"/>
                <w:color w:val="000000"/>
                <w:szCs w:val="20"/>
              </w:rPr>
              <w:t>Dodatek za hibridno ablacija</w:t>
            </w:r>
          </w:p>
        </w:tc>
        <w:tc>
          <w:tcPr>
            <w:tcW w:w="1220" w:type="dxa"/>
            <w:tcBorders>
              <w:top w:val="nil"/>
              <w:left w:val="nil"/>
              <w:bottom w:val="single" w:sz="4" w:space="0" w:color="auto"/>
              <w:right w:val="single" w:sz="4" w:space="0" w:color="auto"/>
            </w:tcBorders>
            <w:shd w:val="clear" w:color="auto" w:fill="auto"/>
            <w:vAlign w:val="center"/>
            <w:hideMark/>
          </w:tcPr>
          <w:p w14:paraId="0B20230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17.995,74</w:t>
            </w:r>
          </w:p>
        </w:tc>
      </w:tr>
    </w:tbl>
    <w:p w14:paraId="262D2625" w14:textId="77777777" w:rsidR="00FE461F" w:rsidRPr="005E4BEA" w:rsidRDefault="00FE461F" w:rsidP="00FE461F">
      <w:pPr>
        <w:spacing w:after="60" w:line="240" w:lineRule="auto"/>
        <w:jc w:val="both"/>
        <w:rPr>
          <w:rFonts w:cs="Arial"/>
          <w:b/>
          <w:bCs/>
          <w:szCs w:val="20"/>
        </w:rPr>
      </w:pPr>
    </w:p>
    <w:p w14:paraId="2D1D201A" w14:textId="77777777" w:rsidR="00FE461F" w:rsidRPr="005E4BEA" w:rsidRDefault="00FE461F" w:rsidP="00FE461F">
      <w:pPr>
        <w:spacing w:after="60" w:line="240" w:lineRule="auto"/>
        <w:jc w:val="both"/>
        <w:rPr>
          <w:rFonts w:cs="Arial"/>
          <w:b/>
          <w:bCs/>
          <w:szCs w:val="20"/>
        </w:rPr>
      </w:pPr>
      <w:r w:rsidRPr="005E4BEA">
        <w:rPr>
          <w:rFonts w:cs="Arial"/>
          <w:b/>
          <w:bCs/>
          <w:szCs w:val="20"/>
        </w:rPr>
        <w:t>V Prilogi III v (2) odstavku v 4. točki se doda nova alineja, ki se glasi:</w:t>
      </w:r>
    </w:p>
    <w:p w14:paraId="516543EF" w14:textId="77777777" w:rsidR="00FE461F" w:rsidRPr="005E4BEA" w:rsidRDefault="00FE461F" w:rsidP="00FE461F">
      <w:pPr>
        <w:spacing w:line="240" w:lineRule="auto"/>
        <w:jc w:val="both"/>
        <w:rPr>
          <w:rFonts w:cs="Arial"/>
          <w:szCs w:val="20"/>
        </w:rPr>
      </w:pPr>
      <w:r w:rsidRPr="005E4BEA">
        <w:rPr>
          <w:rFonts w:cs="Arial"/>
          <w:szCs w:val="20"/>
        </w:rPr>
        <w:t>»- dodatek za poseg katetrske ablacije aritmij«</w:t>
      </w:r>
    </w:p>
    <w:p w14:paraId="34EC1465" w14:textId="77777777" w:rsidR="00FE461F" w:rsidRPr="005E4BEA" w:rsidRDefault="00FE461F" w:rsidP="00FE461F">
      <w:pPr>
        <w:spacing w:line="240" w:lineRule="auto"/>
        <w:jc w:val="both"/>
        <w:rPr>
          <w:rFonts w:cs="Arial"/>
          <w:b/>
          <w:bCs/>
          <w:szCs w:val="20"/>
        </w:rPr>
      </w:pPr>
    </w:p>
    <w:p w14:paraId="5FD74819" w14:textId="77777777" w:rsidR="00FE461F" w:rsidRPr="005E4BEA" w:rsidRDefault="00FE461F" w:rsidP="00FE461F">
      <w:pPr>
        <w:spacing w:line="240" w:lineRule="auto"/>
        <w:jc w:val="both"/>
        <w:rPr>
          <w:rFonts w:cs="Arial"/>
          <w:b/>
          <w:bCs/>
          <w:szCs w:val="20"/>
        </w:rPr>
      </w:pPr>
    </w:p>
    <w:p w14:paraId="60F5C604"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Prilogo BOL – 2a </w:t>
      </w:r>
      <w:r w:rsidRPr="005E4BEA">
        <w:rPr>
          <w:rFonts w:cs="Arial"/>
          <w:szCs w:val="20"/>
        </w:rPr>
        <w:t xml:space="preserve">(Seznam posegov iz Klasifikacije terapevtskih in diagnostičnih postopkov in Seznam diagnoz iz Mednarodne klasifikacije bolezni za identificiranje </w:t>
      </w:r>
      <w:proofErr w:type="spellStart"/>
      <w:r w:rsidRPr="005E4BEA">
        <w:rPr>
          <w:rFonts w:cs="Arial"/>
          <w:szCs w:val="20"/>
        </w:rPr>
        <w:t>prospektivnega</w:t>
      </w:r>
      <w:proofErr w:type="spellEnd"/>
      <w:r w:rsidRPr="005E4BEA">
        <w:rPr>
          <w:rFonts w:cs="Arial"/>
          <w:szCs w:val="20"/>
        </w:rPr>
        <w:t xml:space="preserve"> programa) </w:t>
      </w:r>
      <w:r w:rsidRPr="005E4BEA">
        <w:rPr>
          <w:rFonts w:cs="Arial"/>
          <w:b/>
          <w:bCs/>
          <w:szCs w:val="20"/>
        </w:rPr>
        <w:t>se v okviru 4. točke »</w:t>
      </w:r>
      <w:proofErr w:type="spellStart"/>
      <w:r w:rsidRPr="005E4BEA">
        <w:rPr>
          <w:rFonts w:cs="Arial"/>
          <w:b/>
          <w:bCs/>
          <w:szCs w:val="20"/>
        </w:rPr>
        <w:t>Perkutani</w:t>
      </w:r>
      <w:proofErr w:type="spellEnd"/>
      <w:r w:rsidRPr="005E4BEA">
        <w:rPr>
          <w:rFonts w:cs="Arial"/>
          <w:b/>
          <w:bCs/>
          <w:szCs w:val="20"/>
        </w:rPr>
        <w:t xml:space="preserve"> posegi na srcu, srčnih zaklopkah in koronarnih arterijah« za prvo alinejo dodajo nove alineje, ki se glasijo:</w:t>
      </w:r>
    </w:p>
    <w:tbl>
      <w:tblPr>
        <w:tblW w:w="6946" w:type="dxa"/>
        <w:tblBorders>
          <w:top w:val="single" w:sz="4" w:space="0" w:color="auto"/>
        </w:tblBorders>
        <w:tblLayout w:type="fixed"/>
        <w:tblCellMar>
          <w:left w:w="70" w:type="dxa"/>
          <w:right w:w="70" w:type="dxa"/>
        </w:tblCellMar>
        <w:tblLook w:val="0000" w:firstRow="0" w:lastRow="0" w:firstColumn="0" w:lastColumn="0" w:noHBand="0" w:noVBand="0"/>
      </w:tblPr>
      <w:tblGrid>
        <w:gridCol w:w="426"/>
        <w:gridCol w:w="778"/>
        <w:gridCol w:w="5742"/>
      </w:tblGrid>
      <w:tr w:rsidR="00FE461F" w:rsidRPr="005E4BEA" w14:paraId="1FCEF877" w14:textId="77777777" w:rsidTr="0016774B">
        <w:trPr>
          <w:trHeight w:hRule="exact" w:val="283"/>
        </w:trPr>
        <w:tc>
          <w:tcPr>
            <w:tcW w:w="426" w:type="dxa"/>
            <w:tcBorders>
              <w:top w:val="single" w:sz="2" w:space="0" w:color="auto"/>
              <w:left w:val="nil"/>
              <w:bottom w:val="single" w:sz="2" w:space="0" w:color="auto"/>
              <w:right w:val="nil"/>
            </w:tcBorders>
          </w:tcPr>
          <w:p w14:paraId="4FBA669D" w14:textId="77777777" w:rsidR="00FE461F" w:rsidRPr="005E4BEA" w:rsidRDefault="00FE461F" w:rsidP="00FE461F">
            <w:pPr>
              <w:autoSpaceDE w:val="0"/>
              <w:autoSpaceDN w:val="0"/>
              <w:adjustRightInd w:val="0"/>
              <w:spacing w:line="240" w:lineRule="auto"/>
              <w:jc w:val="both"/>
              <w:rPr>
                <w:rFonts w:cs="Arial"/>
                <w:color w:val="000000"/>
                <w:szCs w:val="20"/>
              </w:rPr>
            </w:pPr>
            <w:r w:rsidRPr="005E4BEA">
              <w:rPr>
                <w:rFonts w:cs="Arial"/>
                <w:szCs w:val="20"/>
              </w:rPr>
              <w:t>2.</w:t>
            </w:r>
          </w:p>
        </w:tc>
        <w:tc>
          <w:tcPr>
            <w:tcW w:w="778" w:type="dxa"/>
            <w:tcBorders>
              <w:top w:val="single" w:sz="2" w:space="0" w:color="auto"/>
              <w:left w:val="nil"/>
              <w:bottom w:val="single" w:sz="2" w:space="0" w:color="auto"/>
              <w:right w:val="nil"/>
            </w:tcBorders>
          </w:tcPr>
          <w:p w14:paraId="3CFF62BC"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38287-02</w:t>
            </w:r>
          </w:p>
        </w:tc>
        <w:tc>
          <w:tcPr>
            <w:tcW w:w="5742" w:type="dxa"/>
            <w:tcBorders>
              <w:top w:val="single" w:sz="2" w:space="0" w:color="auto"/>
              <w:left w:val="nil"/>
              <w:bottom w:val="single" w:sz="2" w:space="0" w:color="auto"/>
              <w:right w:val="nil"/>
            </w:tcBorders>
          </w:tcPr>
          <w:p w14:paraId="2C7BAE00"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FE461F" w:rsidRPr="005E4BEA" w14:paraId="62194319" w14:textId="77777777" w:rsidTr="0016774B">
        <w:trPr>
          <w:trHeight w:hRule="exact" w:val="283"/>
        </w:trPr>
        <w:tc>
          <w:tcPr>
            <w:tcW w:w="426" w:type="dxa"/>
            <w:tcBorders>
              <w:top w:val="single" w:sz="2" w:space="0" w:color="auto"/>
              <w:left w:val="nil"/>
              <w:bottom w:val="single" w:sz="2" w:space="0" w:color="auto"/>
              <w:right w:val="nil"/>
            </w:tcBorders>
          </w:tcPr>
          <w:p w14:paraId="621EA520"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3.</w:t>
            </w:r>
          </w:p>
        </w:tc>
        <w:tc>
          <w:tcPr>
            <w:tcW w:w="778" w:type="dxa"/>
            <w:tcBorders>
              <w:top w:val="single" w:sz="2" w:space="0" w:color="auto"/>
              <w:left w:val="nil"/>
              <w:bottom w:val="single" w:sz="2" w:space="0" w:color="auto"/>
              <w:right w:val="nil"/>
            </w:tcBorders>
          </w:tcPr>
          <w:p w14:paraId="4CB1A9CC"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38290-01</w:t>
            </w:r>
          </w:p>
        </w:tc>
        <w:tc>
          <w:tcPr>
            <w:tcW w:w="5742" w:type="dxa"/>
            <w:tcBorders>
              <w:top w:val="single" w:sz="2" w:space="0" w:color="auto"/>
              <w:left w:val="nil"/>
              <w:bottom w:val="single" w:sz="2" w:space="0" w:color="auto"/>
              <w:right w:val="nil"/>
            </w:tcBorders>
          </w:tcPr>
          <w:p w14:paraId="56CBC389" w14:textId="77777777" w:rsidR="00FE461F" w:rsidRPr="005E4BEA" w:rsidRDefault="00FE461F" w:rsidP="00FE461F">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FE461F" w:rsidRPr="005E4BEA" w14:paraId="7E2AF195" w14:textId="77777777" w:rsidTr="0016774B">
        <w:trPr>
          <w:trHeight w:hRule="exact" w:val="283"/>
        </w:trPr>
        <w:tc>
          <w:tcPr>
            <w:tcW w:w="426" w:type="dxa"/>
            <w:tcBorders>
              <w:top w:val="single" w:sz="2" w:space="0" w:color="auto"/>
              <w:left w:val="nil"/>
              <w:bottom w:val="single" w:sz="2" w:space="0" w:color="auto"/>
              <w:right w:val="nil"/>
            </w:tcBorders>
          </w:tcPr>
          <w:p w14:paraId="7E2FF83C"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4.</w:t>
            </w:r>
          </w:p>
        </w:tc>
        <w:tc>
          <w:tcPr>
            <w:tcW w:w="778" w:type="dxa"/>
            <w:tcBorders>
              <w:top w:val="single" w:sz="2" w:space="0" w:color="auto"/>
              <w:left w:val="nil"/>
              <w:bottom w:val="single" w:sz="2" w:space="0" w:color="auto"/>
              <w:right w:val="nil"/>
            </w:tcBorders>
          </w:tcPr>
          <w:p w14:paraId="1153140E"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38287-01</w:t>
            </w:r>
          </w:p>
        </w:tc>
        <w:tc>
          <w:tcPr>
            <w:tcW w:w="5742" w:type="dxa"/>
            <w:tcBorders>
              <w:top w:val="single" w:sz="2" w:space="0" w:color="auto"/>
              <w:left w:val="nil"/>
              <w:bottom w:val="single" w:sz="2" w:space="0" w:color="auto"/>
              <w:right w:val="nil"/>
            </w:tcBorders>
          </w:tcPr>
          <w:p w14:paraId="3B35131C"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tc>
      </w:tr>
    </w:tbl>
    <w:p w14:paraId="5082EE38"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 xml:space="preserve">  5         38518-00   Katetrska ablacija prekatne mišice</w:t>
      </w:r>
    </w:p>
    <w:p w14:paraId="49F9B562" w14:textId="77777777" w:rsidR="00FE461F" w:rsidRPr="005E4BEA" w:rsidRDefault="00FE461F" w:rsidP="00FE461F">
      <w:pPr>
        <w:spacing w:line="240" w:lineRule="exact"/>
        <w:jc w:val="both"/>
        <w:rPr>
          <w:rFonts w:cs="Arial"/>
          <w:color w:val="000000"/>
          <w:szCs w:val="20"/>
        </w:rPr>
      </w:pPr>
      <w:r w:rsidRPr="005E4BEA">
        <w:rPr>
          <w:rFonts w:cs="Arial"/>
          <w:color w:val="000000"/>
          <w:szCs w:val="20"/>
        </w:rPr>
        <w:t>Ostale alineje se preštevilčijo.</w:t>
      </w:r>
    </w:p>
    <w:p w14:paraId="0BB03EAE" w14:textId="77777777" w:rsidR="00FE461F" w:rsidRPr="005E4BEA" w:rsidRDefault="00FE461F" w:rsidP="00FE461F">
      <w:pPr>
        <w:spacing w:line="240" w:lineRule="auto"/>
        <w:jc w:val="both"/>
        <w:rPr>
          <w:rFonts w:cs="Arial"/>
          <w:szCs w:val="20"/>
        </w:rPr>
      </w:pPr>
    </w:p>
    <w:p w14:paraId="03615708" w14:textId="77777777" w:rsidR="00FE461F" w:rsidRPr="005E4BEA" w:rsidRDefault="00FE461F" w:rsidP="00FE461F">
      <w:pPr>
        <w:spacing w:line="240" w:lineRule="exact"/>
        <w:jc w:val="both"/>
        <w:rPr>
          <w:rFonts w:cs="Arial"/>
          <w:b/>
          <w:bCs/>
          <w:szCs w:val="20"/>
        </w:rPr>
      </w:pPr>
      <w:r w:rsidRPr="005E4BEA">
        <w:rPr>
          <w:rFonts w:cs="Arial"/>
          <w:b/>
          <w:bCs/>
          <w:szCs w:val="20"/>
        </w:rPr>
        <w:t xml:space="preserve">V Prilogi BOL – 2b </w:t>
      </w:r>
      <w:r w:rsidRPr="005E4BEA">
        <w:rPr>
          <w:rFonts w:cs="Arial"/>
          <w:szCs w:val="20"/>
        </w:rPr>
        <w:t>(Seznam posegov iz Klasifikacije terapevtskih in diagnostičnih postopkov za identificiranje izbranih storitev iz Priloge I/b)</w:t>
      </w:r>
      <w:r w:rsidRPr="005E4BEA">
        <w:rPr>
          <w:rFonts w:cs="Arial"/>
          <w:b/>
          <w:bCs/>
          <w:szCs w:val="20"/>
        </w:rPr>
        <w:t xml:space="preserve"> se doda nova 3. točka, ki se glasi:</w:t>
      </w:r>
    </w:p>
    <w:p w14:paraId="48547BC3" w14:textId="77777777" w:rsidR="00FE461F" w:rsidRPr="005E4BEA" w:rsidRDefault="00FE461F" w:rsidP="00FE461F">
      <w:pPr>
        <w:spacing w:line="120" w:lineRule="auto"/>
        <w:jc w:val="both"/>
        <w:rPr>
          <w:rFonts w:cs="Arial"/>
          <w:b/>
          <w:bCs/>
          <w:szCs w:val="20"/>
        </w:rPr>
      </w:pPr>
    </w:p>
    <w:p w14:paraId="6C1CC7F8" w14:textId="77777777" w:rsidR="00FE461F" w:rsidRPr="005E4BEA" w:rsidRDefault="00FE461F" w:rsidP="00FE461F">
      <w:pPr>
        <w:spacing w:line="240" w:lineRule="exact"/>
        <w:jc w:val="both"/>
        <w:rPr>
          <w:rFonts w:cs="Arial"/>
          <w:szCs w:val="20"/>
        </w:rPr>
      </w:pPr>
      <w:r w:rsidRPr="005E4BEA">
        <w:rPr>
          <w:rFonts w:cs="Arial"/>
          <w:szCs w:val="20"/>
        </w:rPr>
        <w:t>»3.) Katetrske ablacije aritmij</w:t>
      </w:r>
    </w:p>
    <w:p w14:paraId="27307705" w14:textId="77777777" w:rsidR="00FE461F" w:rsidRPr="005E4BEA" w:rsidRDefault="00FE461F" w:rsidP="00FE461F">
      <w:pPr>
        <w:spacing w:line="120" w:lineRule="auto"/>
        <w:jc w:val="both"/>
        <w:rPr>
          <w:rFonts w:cs="Arial"/>
          <w:szCs w:val="20"/>
        </w:rPr>
      </w:pPr>
    </w:p>
    <w:p w14:paraId="0952D376" w14:textId="77777777" w:rsidR="00FE461F" w:rsidRPr="005E4BEA" w:rsidRDefault="00FE461F" w:rsidP="00FE461F">
      <w:pPr>
        <w:spacing w:line="240" w:lineRule="exact"/>
        <w:jc w:val="both"/>
        <w:rPr>
          <w:rFonts w:cs="Arial"/>
          <w:szCs w:val="20"/>
        </w:rPr>
      </w:pPr>
      <w:r w:rsidRPr="005E4BEA">
        <w:rPr>
          <w:rFonts w:cs="Arial"/>
          <w:szCs w:val="20"/>
        </w:rPr>
        <w:t>1.</w:t>
      </w:r>
      <w:r w:rsidRPr="005E4BEA">
        <w:rPr>
          <w:rFonts w:cs="Arial"/>
          <w:szCs w:val="20"/>
        </w:rPr>
        <w:tab/>
        <w:t>38287-02</w:t>
      </w:r>
      <w:r w:rsidRPr="005E4BEA">
        <w:rPr>
          <w:rFonts w:cs="Arial"/>
          <w:szCs w:val="20"/>
        </w:rPr>
        <w:tab/>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p w14:paraId="498704C6" w14:textId="77777777" w:rsidR="00FE461F" w:rsidRPr="005E4BEA" w:rsidRDefault="00FE461F" w:rsidP="00FE461F">
      <w:pPr>
        <w:spacing w:line="240" w:lineRule="exact"/>
        <w:jc w:val="both"/>
        <w:rPr>
          <w:rFonts w:cs="Arial"/>
          <w:szCs w:val="20"/>
        </w:rPr>
      </w:pPr>
      <w:r w:rsidRPr="005E4BEA">
        <w:rPr>
          <w:rFonts w:cs="Arial"/>
          <w:szCs w:val="20"/>
        </w:rPr>
        <w:t>2.</w:t>
      </w:r>
      <w:r w:rsidRPr="005E4BEA">
        <w:rPr>
          <w:rFonts w:cs="Arial"/>
          <w:szCs w:val="20"/>
        </w:rPr>
        <w:tab/>
        <w:t>38290-01</w:t>
      </w:r>
      <w:r w:rsidRPr="005E4BEA">
        <w:rPr>
          <w:rFonts w:cs="Arial"/>
          <w:szCs w:val="20"/>
        </w:rPr>
        <w:tab/>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p w14:paraId="5BCEEE87" w14:textId="77777777" w:rsidR="00FE461F" w:rsidRPr="005E4BEA" w:rsidRDefault="00FE461F" w:rsidP="00FE461F">
      <w:pPr>
        <w:spacing w:line="240" w:lineRule="exact"/>
        <w:jc w:val="both"/>
        <w:rPr>
          <w:rFonts w:cs="Arial"/>
          <w:szCs w:val="20"/>
        </w:rPr>
      </w:pPr>
      <w:r w:rsidRPr="005E4BEA">
        <w:rPr>
          <w:rFonts w:cs="Arial"/>
          <w:szCs w:val="20"/>
        </w:rPr>
        <w:t>3.</w:t>
      </w:r>
      <w:r w:rsidRPr="005E4BEA">
        <w:rPr>
          <w:rFonts w:cs="Arial"/>
          <w:szCs w:val="20"/>
        </w:rPr>
        <w:tab/>
        <w:t>38287-01</w:t>
      </w:r>
      <w:r w:rsidRPr="005E4BEA">
        <w:rPr>
          <w:rFonts w:cs="Arial"/>
          <w:szCs w:val="20"/>
        </w:rPr>
        <w:tab/>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p w14:paraId="2CA19FA3"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4.               38518-00                  Katetrska ablacija prekatne mišice</w:t>
      </w:r>
    </w:p>
    <w:p w14:paraId="4F760DF3" w14:textId="77777777" w:rsidR="00FE461F" w:rsidRPr="005E4BEA" w:rsidRDefault="00FE461F" w:rsidP="00FE461F">
      <w:pPr>
        <w:spacing w:line="240" w:lineRule="auto"/>
        <w:jc w:val="both"/>
        <w:rPr>
          <w:rFonts w:eastAsia="Calibri" w:cs="Arial"/>
          <w:b/>
          <w:bCs/>
          <w:i/>
          <w:iCs/>
          <w:color w:val="7F7F7F"/>
          <w:szCs w:val="20"/>
          <w:u w:val="single"/>
        </w:rPr>
      </w:pPr>
    </w:p>
    <w:p w14:paraId="7F020608"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BAE4A2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Na področju kardiologije zadnjih 20 let opažamo izjemen razmah interventnega zdravljenja bolezni, med njimi tudi motenj srčnega ritma. Zaradi napredka tehnologije in možnosti 3D prikaza vira aritmij v srcu je sedaj možno z izjemno natančnostjo locirati vir motnje ritma v srčnih votlinah in ga z ustreznim katetrom tudi uničiti (požgati, zamrzniti). Potrebe po teh posegih so izjemne, žal pa je plačilo storitev trenutno povsem neustrezno, saj temelji na 20 let starem modelu SPP, kjer moderne tehnike seveda niso zajete. V UKC Ljubljana opravijo več kot 500 teh posegov, čakalna doba pa znaša okoli 18 mesecev. V UKC Maribor opravijo do 300 teh posegov letno, čakalna doba na poseg pa je približno eno leto Ti posegi žal zavodom prinašajo le minus in stroške, zato ob trenutnem stanju ni pričakovati nadaljnjega razvoja in širitve stroke, ki pa bi bila glede na potrebe v populaciji nujno potrebna.</w:t>
      </w:r>
    </w:p>
    <w:tbl>
      <w:tblPr>
        <w:tblW w:w="4721" w:type="pct"/>
        <w:tblCellMar>
          <w:left w:w="70" w:type="dxa"/>
          <w:right w:w="70" w:type="dxa"/>
        </w:tblCellMar>
        <w:tblLook w:val="04A0" w:firstRow="1" w:lastRow="0" w:firstColumn="1" w:lastColumn="0" w:noHBand="0" w:noVBand="1"/>
      </w:tblPr>
      <w:tblGrid>
        <w:gridCol w:w="1686"/>
        <w:gridCol w:w="1207"/>
        <w:gridCol w:w="1063"/>
        <w:gridCol w:w="919"/>
        <w:gridCol w:w="986"/>
        <w:gridCol w:w="2153"/>
      </w:tblGrid>
      <w:tr w:rsidR="00FE461F" w:rsidRPr="005E4BEA" w14:paraId="6EDA2696" w14:textId="77777777" w:rsidTr="0016774B">
        <w:trPr>
          <w:trHeight w:val="85"/>
        </w:trPr>
        <w:tc>
          <w:tcPr>
            <w:tcW w:w="19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60A87E" w14:textId="77777777" w:rsidR="00FE461F" w:rsidRPr="005E4BEA" w:rsidRDefault="00FE461F" w:rsidP="00FE461F">
            <w:pPr>
              <w:spacing w:line="240" w:lineRule="auto"/>
              <w:jc w:val="both"/>
              <w:rPr>
                <w:rFonts w:cs="Arial"/>
                <w:b/>
                <w:bCs/>
                <w:i/>
                <w:iCs/>
                <w:color w:val="808080" w:themeColor="background1" w:themeShade="80"/>
                <w:szCs w:val="20"/>
              </w:rPr>
            </w:pPr>
            <w:r w:rsidRPr="005E4BEA">
              <w:rPr>
                <w:rFonts w:cs="Arial"/>
                <w:b/>
                <w:bCs/>
                <w:i/>
                <w:iCs/>
                <w:color w:val="808080" w:themeColor="background1" w:themeShade="80"/>
                <w:szCs w:val="20"/>
              </w:rPr>
              <w:t>KADROVSKI NORMATIV</w:t>
            </w:r>
          </w:p>
        </w:tc>
        <w:tc>
          <w:tcPr>
            <w:tcW w:w="567" w:type="pct"/>
            <w:tcBorders>
              <w:top w:val="single" w:sz="4" w:space="0" w:color="auto"/>
              <w:left w:val="nil"/>
              <w:bottom w:val="single" w:sz="4" w:space="0" w:color="auto"/>
              <w:right w:val="single" w:sz="4" w:space="0" w:color="auto"/>
            </w:tcBorders>
            <w:shd w:val="clear" w:color="auto" w:fill="auto"/>
            <w:vAlign w:val="bottom"/>
            <w:hideMark/>
          </w:tcPr>
          <w:p w14:paraId="6F2CC52F" w14:textId="77777777" w:rsidR="00FE461F" w:rsidRPr="005E4BEA" w:rsidRDefault="00FE461F" w:rsidP="00FE461F">
            <w:pPr>
              <w:spacing w:line="240" w:lineRule="auto"/>
              <w:jc w:val="both"/>
              <w:rPr>
                <w:rFonts w:cs="Arial"/>
                <w:b/>
                <w:bCs/>
                <w:i/>
                <w:iCs/>
                <w:color w:val="808080" w:themeColor="background1" w:themeShade="80"/>
                <w:szCs w:val="20"/>
              </w:rPr>
            </w:pPr>
            <w:r w:rsidRPr="005E4BEA">
              <w:rPr>
                <w:rFonts w:cs="Arial"/>
                <w:b/>
                <w:bCs/>
                <w:i/>
                <w:iCs/>
                <w:color w:val="808080" w:themeColor="background1" w:themeShade="80"/>
                <w:szCs w:val="20"/>
              </w:rPr>
              <w:t>ČASOVNI NORMATIV (min)</w:t>
            </w:r>
          </w:p>
        </w:tc>
        <w:tc>
          <w:tcPr>
            <w:tcW w:w="534" w:type="pct"/>
            <w:tcBorders>
              <w:top w:val="single" w:sz="4" w:space="0" w:color="auto"/>
              <w:left w:val="nil"/>
              <w:bottom w:val="single" w:sz="4" w:space="0" w:color="auto"/>
              <w:right w:val="single" w:sz="4" w:space="0" w:color="auto"/>
            </w:tcBorders>
            <w:shd w:val="clear" w:color="auto" w:fill="auto"/>
            <w:vAlign w:val="bottom"/>
            <w:hideMark/>
          </w:tcPr>
          <w:p w14:paraId="23958CF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kalkulacija brez terciarja</w:t>
            </w:r>
          </w:p>
        </w:tc>
        <w:tc>
          <w:tcPr>
            <w:tcW w:w="431" w:type="pct"/>
            <w:tcBorders>
              <w:top w:val="single" w:sz="4" w:space="0" w:color="auto"/>
              <w:left w:val="nil"/>
              <w:bottom w:val="single" w:sz="4" w:space="0" w:color="auto"/>
              <w:right w:val="single" w:sz="4" w:space="0" w:color="auto"/>
            </w:tcBorders>
            <w:shd w:val="clear" w:color="auto" w:fill="auto"/>
            <w:vAlign w:val="bottom"/>
            <w:hideMark/>
          </w:tcPr>
          <w:p w14:paraId="3B4EBBE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cena SPP</w:t>
            </w:r>
          </w:p>
        </w:tc>
        <w:tc>
          <w:tcPr>
            <w:tcW w:w="462" w:type="pct"/>
            <w:tcBorders>
              <w:top w:val="single" w:sz="4" w:space="0" w:color="auto"/>
              <w:left w:val="nil"/>
              <w:bottom w:val="single" w:sz="4" w:space="0" w:color="auto"/>
              <w:right w:val="single" w:sz="4" w:space="0" w:color="auto"/>
            </w:tcBorders>
            <w:shd w:val="clear" w:color="auto" w:fill="auto"/>
            <w:vAlign w:val="bottom"/>
            <w:hideMark/>
          </w:tcPr>
          <w:p w14:paraId="568C29C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cena dodatka</w:t>
            </w:r>
          </w:p>
        </w:tc>
        <w:tc>
          <w:tcPr>
            <w:tcW w:w="1011" w:type="pct"/>
            <w:tcBorders>
              <w:top w:val="single" w:sz="4" w:space="0" w:color="auto"/>
              <w:left w:val="nil"/>
              <w:bottom w:val="single" w:sz="4" w:space="0" w:color="auto"/>
              <w:right w:val="single" w:sz="4" w:space="0" w:color="auto"/>
            </w:tcBorders>
            <w:shd w:val="clear" w:color="auto" w:fill="auto"/>
            <w:vAlign w:val="bottom"/>
            <w:hideMark/>
          </w:tcPr>
          <w:p w14:paraId="5A2C4183" w14:textId="77777777" w:rsidR="00FE461F" w:rsidRPr="005E4BEA" w:rsidRDefault="00FE461F" w:rsidP="00FE461F">
            <w:pPr>
              <w:spacing w:line="240" w:lineRule="auto"/>
              <w:jc w:val="both"/>
              <w:rPr>
                <w:rFonts w:cs="Arial"/>
                <w:b/>
                <w:bCs/>
                <w:i/>
                <w:iCs/>
                <w:color w:val="808080" w:themeColor="background1" w:themeShade="80"/>
                <w:szCs w:val="20"/>
              </w:rPr>
            </w:pPr>
            <w:r w:rsidRPr="005E4BEA">
              <w:rPr>
                <w:rFonts w:cs="Arial"/>
                <w:b/>
                <w:bCs/>
                <w:i/>
                <w:iCs/>
                <w:color w:val="808080" w:themeColor="background1" w:themeShade="80"/>
                <w:szCs w:val="20"/>
              </w:rPr>
              <w:t>TRENUTNO PLAČILO, SPP, OSNOVNE ŠIFRE ZA IZRAČUN IN UTEŽ</w:t>
            </w:r>
          </w:p>
        </w:tc>
      </w:tr>
      <w:tr w:rsidR="00FE461F" w:rsidRPr="005E4BEA" w14:paraId="47570DCD"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42074D3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w:t>
            </w:r>
            <w:r w:rsidRPr="005E4BEA">
              <w:rPr>
                <w:rFonts w:cs="Arial"/>
                <w:i/>
                <w:iCs/>
                <w:color w:val="808080" w:themeColor="background1" w:themeShade="80"/>
                <w:szCs w:val="20"/>
              </w:rPr>
              <w:lastRenderedPageBreak/>
              <w:t xml:space="preserve">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w:t>
            </w:r>
          </w:p>
        </w:tc>
        <w:tc>
          <w:tcPr>
            <w:tcW w:w="567" w:type="pct"/>
            <w:tcBorders>
              <w:top w:val="nil"/>
              <w:left w:val="nil"/>
              <w:bottom w:val="single" w:sz="4" w:space="0" w:color="auto"/>
              <w:right w:val="single" w:sz="4" w:space="0" w:color="auto"/>
            </w:tcBorders>
            <w:shd w:val="clear" w:color="auto" w:fill="auto"/>
            <w:vAlign w:val="bottom"/>
            <w:hideMark/>
          </w:tcPr>
          <w:p w14:paraId="2D291EA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90</w:t>
            </w:r>
          </w:p>
        </w:tc>
        <w:tc>
          <w:tcPr>
            <w:tcW w:w="534" w:type="pct"/>
            <w:tcBorders>
              <w:top w:val="nil"/>
              <w:left w:val="nil"/>
              <w:bottom w:val="single" w:sz="4" w:space="0" w:color="auto"/>
              <w:right w:val="single" w:sz="4" w:space="0" w:color="auto"/>
            </w:tcBorders>
            <w:shd w:val="clear" w:color="auto" w:fill="auto"/>
            <w:noWrap/>
            <w:vAlign w:val="bottom"/>
            <w:hideMark/>
          </w:tcPr>
          <w:p w14:paraId="1D89BBF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2.668,94</w:t>
            </w:r>
          </w:p>
        </w:tc>
        <w:tc>
          <w:tcPr>
            <w:tcW w:w="431" w:type="pct"/>
            <w:tcBorders>
              <w:top w:val="nil"/>
              <w:left w:val="nil"/>
              <w:bottom w:val="single" w:sz="4" w:space="0" w:color="auto"/>
              <w:right w:val="single" w:sz="4" w:space="0" w:color="auto"/>
            </w:tcBorders>
            <w:shd w:val="clear" w:color="auto" w:fill="auto"/>
            <w:noWrap/>
            <w:vAlign w:val="bottom"/>
            <w:hideMark/>
          </w:tcPr>
          <w:p w14:paraId="47FBED2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1.059,19</w:t>
            </w:r>
          </w:p>
        </w:tc>
        <w:tc>
          <w:tcPr>
            <w:tcW w:w="462" w:type="pct"/>
            <w:tcBorders>
              <w:top w:val="nil"/>
              <w:left w:val="nil"/>
              <w:bottom w:val="single" w:sz="4" w:space="0" w:color="auto"/>
              <w:right w:val="single" w:sz="4" w:space="0" w:color="auto"/>
            </w:tcBorders>
            <w:shd w:val="clear" w:color="auto" w:fill="auto"/>
            <w:noWrap/>
            <w:vAlign w:val="bottom"/>
            <w:hideMark/>
          </w:tcPr>
          <w:p w14:paraId="26C5105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1.609,75</w:t>
            </w:r>
          </w:p>
        </w:tc>
        <w:tc>
          <w:tcPr>
            <w:tcW w:w="1011" w:type="pct"/>
            <w:tcBorders>
              <w:top w:val="nil"/>
              <w:left w:val="nil"/>
              <w:bottom w:val="single" w:sz="4" w:space="0" w:color="auto"/>
              <w:right w:val="single" w:sz="4" w:space="0" w:color="auto"/>
            </w:tcBorders>
            <w:shd w:val="clear" w:color="auto" w:fill="auto"/>
            <w:noWrap/>
            <w:vAlign w:val="bottom"/>
            <w:hideMark/>
          </w:tcPr>
          <w:p w14:paraId="71117F8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F42B; 0.78</w:t>
            </w:r>
          </w:p>
        </w:tc>
      </w:tr>
      <w:tr w:rsidR="00FE461F" w:rsidRPr="005E4BEA" w14:paraId="14CA7FBC"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71B959B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w:t>
            </w:r>
          </w:p>
        </w:tc>
        <w:tc>
          <w:tcPr>
            <w:tcW w:w="567" w:type="pct"/>
            <w:tcBorders>
              <w:top w:val="nil"/>
              <w:left w:val="nil"/>
              <w:bottom w:val="single" w:sz="4" w:space="0" w:color="auto"/>
              <w:right w:val="single" w:sz="4" w:space="0" w:color="auto"/>
            </w:tcBorders>
            <w:shd w:val="clear" w:color="auto" w:fill="auto"/>
            <w:vAlign w:val="bottom"/>
            <w:hideMark/>
          </w:tcPr>
          <w:p w14:paraId="6EB2F4E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120</w:t>
            </w:r>
          </w:p>
        </w:tc>
        <w:tc>
          <w:tcPr>
            <w:tcW w:w="534" w:type="pct"/>
            <w:tcBorders>
              <w:top w:val="nil"/>
              <w:left w:val="nil"/>
              <w:bottom w:val="single" w:sz="4" w:space="0" w:color="auto"/>
              <w:right w:val="single" w:sz="4" w:space="0" w:color="auto"/>
            </w:tcBorders>
            <w:shd w:val="clear" w:color="auto" w:fill="auto"/>
            <w:noWrap/>
            <w:vAlign w:val="bottom"/>
            <w:hideMark/>
          </w:tcPr>
          <w:p w14:paraId="626A29D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4.136,04</w:t>
            </w:r>
          </w:p>
        </w:tc>
        <w:tc>
          <w:tcPr>
            <w:tcW w:w="431" w:type="pct"/>
            <w:tcBorders>
              <w:top w:val="nil"/>
              <w:left w:val="nil"/>
              <w:bottom w:val="single" w:sz="4" w:space="0" w:color="auto"/>
              <w:right w:val="single" w:sz="4" w:space="0" w:color="auto"/>
            </w:tcBorders>
            <w:shd w:val="clear" w:color="auto" w:fill="auto"/>
            <w:noWrap/>
            <w:vAlign w:val="bottom"/>
            <w:hideMark/>
          </w:tcPr>
          <w:p w14:paraId="1DD41AE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1.059,19</w:t>
            </w:r>
          </w:p>
        </w:tc>
        <w:tc>
          <w:tcPr>
            <w:tcW w:w="462" w:type="pct"/>
            <w:tcBorders>
              <w:top w:val="nil"/>
              <w:left w:val="nil"/>
              <w:bottom w:val="single" w:sz="4" w:space="0" w:color="auto"/>
              <w:right w:val="single" w:sz="4" w:space="0" w:color="auto"/>
            </w:tcBorders>
            <w:shd w:val="clear" w:color="auto" w:fill="auto"/>
            <w:noWrap/>
            <w:vAlign w:val="bottom"/>
            <w:hideMark/>
          </w:tcPr>
          <w:p w14:paraId="6D19358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3.076,85</w:t>
            </w:r>
          </w:p>
        </w:tc>
        <w:tc>
          <w:tcPr>
            <w:tcW w:w="1011" w:type="pct"/>
            <w:tcBorders>
              <w:top w:val="nil"/>
              <w:left w:val="nil"/>
              <w:bottom w:val="single" w:sz="4" w:space="0" w:color="auto"/>
              <w:right w:val="single" w:sz="4" w:space="0" w:color="auto"/>
            </w:tcBorders>
            <w:shd w:val="clear" w:color="auto" w:fill="auto"/>
            <w:vAlign w:val="bottom"/>
            <w:hideMark/>
          </w:tcPr>
          <w:p w14:paraId="7B26A66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38287-01) F42B; 0.78</w:t>
            </w:r>
          </w:p>
        </w:tc>
      </w:tr>
      <w:tr w:rsidR="00FE461F" w:rsidRPr="005E4BEA" w14:paraId="30169A1F"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3792F95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w:t>
            </w:r>
          </w:p>
        </w:tc>
        <w:tc>
          <w:tcPr>
            <w:tcW w:w="567" w:type="pct"/>
            <w:tcBorders>
              <w:top w:val="nil"/>
              <w:left w:val="nil"/>
              <w:bottom w:val="single" w:sz="4" w:space="0" w:color="auto"/>
              <w:right w:val="single" w:sz="4" w:space="0" w:color="auto"/>
            </w:tcBorders>
            <w:shd w:val="clear" w:color="auto" w:fill="auto"/>
            <w:vAlign w:val="bottom"/>
            <w:hideMark/>
          </w:tcPr>
          <w:p w14:paraId="1C7407E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150</w:t>
            </w:r>
          </w:p>
        </w:tc>
        <w:tc>
          <w:tcPr>
            <w:tcW w:w="534" w:type="pct"/>
            <w:tcBorders>
              <w:top w:val="nil"/>
              <w:left w:val="nil"/>
              <w:bottom w:val="single" w:sz="4" w:space="0" w:color="auto"/>
              <w:right w:val="single" w:sz="4" w:space="0" w:color="auto"/>
            </w:tcBorders>
            <w:shd w:val="clear" w:color="auto" w:fill="auto"/>
            <w:noWrap/>
            <w:vAlign w:val="bottom"/>
            <w:hideMark/>
          </w:tcPr>
          <w:p w14:paraId="2A5FCA1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7.045,95</w:t>
            </w:r>
          </w:p>
        </w:tc>
        <w:tc>
          <w:tcPr>
            <w:tcW w:w="431" w:type="pct"/>
            <w:tcBorders>
              <w:top w:val="nil"/>
              <w:left w:val="nil"/>
              <w:bottom w:val="single" w:sz="4" w:space="0" w:color="auto"/>
              <w:right w:val="single" w:sz="4" w:space="0" w:color="auto"/>
            </w:tcBorders>
            <w:shd w:val="clear" w:color="auto" w:fill="auto"/>
            <w:noWrap/>
            <w:vAlign w:val="bottom"/>
            <w:hideMark/>
          </w:tcPr>
          <w:p w14:paraId="37D97FE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1.059,19</w:t>
            </w:r>
          </w:p>
        </w:tc>
        <w:tc>
          <w:tcPr>
            <w:tcW w:w="462" w:type="pct"/>
            <w:tcBorders>
              <w:top w:val="nil"/>
              <w:left w:val="nil"/>
              <w:bottom w:val="single" w:sz="4" w:space="0" w:color="auto"/>
              <w:right w:val="single" w:sz="4" w:space="0" w:color="auto"/>
            </w:tcBorders>
            <w:shd w:val="clear" w:color="auto" w:fill="auto"/>
            <w:noWrap/>
            <w:vAlign w:val="bottom"/>
            <w:hideMark/>
          </w:tcPr>
          <w:p w14:paraId="2E0D3BD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5.986,76</w:t>
            </w:r>
          </w:p>
        </w:tc>
        <w:tc>
          <w:tcPr>
            <w:tcW w:w="1011" w:type="pct"/>
            <w:tcBorders>
              <w:top w:val="nil"/>
              <w:left w:val="nil"/>
              <w:bottom w:val="single" w:sz="4" w:space="0" w:color="auto"/>
              <w:right w:val="single" w:sz="4" w:space="0" w:color="auto"/>
            </w:tcBorders>
            <w:shd w:val="clear" w:color="auto" w:fill="auto"/>
            <w:vAlign w:val="bottom"/>
            <w:hideMark/>
          </w:tcPr>
          <w:p w14:paraId="4CBE001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38287-02) F42B; 0.78</w:t>
            </w:r>
          </w:p>
        </w:tc>
      </w:tr>
      <w:tr w:rsidR="00FE461F" w:rsidRPr="005E4BEA" w14:paraId="3E9732E7"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6E23655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w:t>
            </w:r>
          </w:p>
        </w:tc>
        <w:tc>
          <w:tcPr>
            <w:tcW w:w="567" w:type="pct"/>
            <w:tcBorders>
              <w:top w:val="nil"/>
              <w:left w:val="nil"/>
              <w:bottom w:val="single" w:sz="4" w:space="0" w:color="auto"/>
              <w:right w:val="single" w:sz="4" w:space="0" w:color="auto"/>
            </w:tcBorders>
            <w:shd w:val="clear" w:color="auto" w:fill="auto"/>
            <w:vAlign w:val="bottom"/>
            <w:hideMark/>
          </w:tcPr>
          <w:p w14:paraId="5EF3786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180</w:t>
            </w:r>
          </w:p>
        </w:tc>
        <w:tc>
          <w:tcPr>
            <w:tcW w:w="534" w:type="pct"/>
            <w:tcBorders>
              <w:top w:val="nil"/>
              <w:left w:val="nil"/>
              <w:bottom w:val="single" w:sz="4" w:space="0" w:color="auto"/>
              <w:right w:val="single" w:sz="4" w:space="0" w:color="auto"/>
            </w:tcBorders>
            <w:shd w:val="clear" w:color="auto" w:fill="auto"/>
            <w:noWrap/>
            <w:vAlign w:val="bottom"/>
            <w:hideMark/>
          </w:tcPr>
          <w:p w14:paraId="3D5F9B8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w:t>
            </w:r>
          </w:p>
        </w:tc>
        <w:tc>
          <w:tcPr>
            <w:tcW w:w="431" w:type="pct"/>
            <w:tcBorders>
              <w:top w:val="nil"/>
              <w:left w:val="nil"/>
              <w:bottom w:val="single" w:sz="4" w:space="0" w:color="auto"/>
              <w:right w:val="single" w:sz="4" w:space="0" w:color="auto"/>
            </w:tcBorders>
            <w:shd w:val="clear" w:color="auto" w:fill="auto"/>
            <w:noWrap/>
            <w:vAlign w:val="bottom"/>
            <w:hideMark/>
          </w:tcPr>
          <w:p w14:paraId="17DE712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2.919,57</w:t>
            </w:r>
          </w:p>
        </w:tc>
        <w:tc>
          <w:tcPr>
            <w:tcW w:w="462" w:type="pct"/>
            <w:tcBorders>
              <w:top w:val="nil"/>
              <w:left w:val="nil"/>
              <w:bottom w:val="single" w:sz="4" w:space="0" w:color="auto"/>
              <w:right w:val="single" w:sz="4" w:space="0" w:color="auto"/>
            </w:tcBorders>
            <w:shd w:val="clear" w:color="auto" w:fill="auto"/>
            <w:noWrap/>
            <w:vAlign w:val="bottom"/>
            <w:hideMark/>
          </w:tcPr>
          <w:p w14:paraId="4BA76FE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-2.919,57</w:t>
            </w:r>
          </w:p>
        </w:tc>
        <w:tc>
          <w:tcPr>
            <w:tcW w:w="1011" w:type="pct"/>
            <w:tcBorders>
              <w:top w:val="nil"/>
              <w:left w:val="nil"/>
              <w:bottom w:val="single" w:sz="4" w:space="0" w:color="auto"/>
              <w:right w:val="single" w:sz="4" w:space="0" w:color="auto"/>
            </w:tcBorders>
            <w:shd w:val="clear" w:color="auto" w:fill="auto"/>
            <w:vAlign w:val="bottom"/>
            <w:hideMark/>
          </w:tcPr>
          <w:p w14:paraId="717C09F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38287-02, 38270-00) F19Z; 2.15</w:t>
            </w:r>
          </w:p>
        </w:tc>
      </w:tr>
      <w:tr w:rsidR="00FE461F" w:rsidRPr="005E4BEA" w14:paraId="3171F2A5" w14:textId="77777777" w:rsidTr="0016774B">
        <w:trPr>
          <w:trHeight w:val="641"/>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4988B09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 za potrebe kartografskega izrisovanja in podpore med ablacijo </w:t>
            </w:r>
          </w:p>
        </w:tc>
        <w:tc>
          <w:tcPr>
            <w:tcW w:w="567" w:type="pct"/>
            <w:tcBorders>
              <w:top w:val="nil"/>
              <w:left w:val="nil"/>
              <w:bottom w:val="single" w:sz="4" w:space="0" w:color="auto"/>
              <w:right w:val="single" w:sz="4" w:space="0" w:color="auto"/>
            </w:tcBorders>
            <w:shd w:val="clear" w:color="auto" w:fill="auto"/>
            <w:vAlign w:val="bottom"/>
            <w:hideMark/>
          </w:tcPr>
          <w:p w14:paraId="1BEB878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180</w:t>
            </w:r>
          </w:p>
        </w:tc>
        <w:tc>
          <w:tcPr>
            <w:tcW w:w="534" w:type="pct"/>
            <w:tcBorders>
              <w:top w:val="nil"/>
              <w:left w:val="nil"/>
              <w:bottom w:val="single" w:sz="4" w:space="0" w:color="auto"/>
              <w:right w:val="single" w:sz="4" w:space="0" w:color="auto"/>
            </w:tcBorders>
            <w:shd w:val="clear" w:color="auto" w:fill="auto"/>
            <w:noWrap/>
            <w:vAlign w:val="bottom"/>
            <w:hideMark/>
          </w:tcPr>
          <w:p w14:paraId="35BBAE8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9.961,35</w:t>
            </w:r>
          </w:p>
        </w:tc>
        <w:tc>
          <w:tcPr>
            <w:tcW w:w="431" w:type="pct"/>
            <w:tcBorders>
              <w:top w:val="nil"/>
              <w:left w:val="nil"/>
              <w:bottom w:val="single" w:sz="4" w:space="0" w:color="auto"/>
              <w:right w:val="single" w:sz="4" w:space="0" w:color="auto"/>
            </w:tcBorders>
            <w:shd w:val="clear" w:color="auto" w:fill="auto"/>
            <w:noWrap/>
            <w:vAlign w:val="bottom"/>
            <w:hideMark/>
          </w:tcPr>
          <w:p w14:paraId="7C23FC8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2.919,57</w:t>
            </w:r>
          </w:p>
        </w:tc>
        <w:tc>
          <w:tcPr>
            <w:tcW w:w="462" w:type="pct"/>
            <w:tcBorders>
              <w:top w:val="nil"/>
              <w:left w:val="nil"/>
              <w:bottom w:val="single" w:sz="4" w:space="0" w:color="auto"/>
              <w:right w:val="single" w:sz="4" w:space="0" w:color="auto"/>
            </w:tcBorders>
            <w:shd w:val="clear" w:color="auto" w:fill="auto"/>
            <w:noWrap/>
            <w:vAlign w:val="bottom"/>
            <w:hideMark/>
          </w:tcPr>
          <w:p w14:paraId="0B9BFF2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7.041,78</w:t>
            </w:r>
          </w:p>
        </w:tc>
        <w:tc>
          <w:tcPr>
            <w:tcW w:w="1011" w:type="pct"/>
            <w:tcBorders>
              <w:top w:val="nil"/>
              <w:left w:val="nil"/>
              <w:bottom w:val="single" w:sz="4" w:space="0" w:color="auto"/>
              <w:right w:val="single" w:sz="4" w:space="0" w:color="auto"/>
            </w:tcBorders>
            <w:shd w:val="clear" w:color="auto" w:fill="auto"/>
            <w:vAlign w:val="bottom"/>
            <w:hideMark/>
          </w:tcPr>
          <w:p w14:paraId="7A97ED2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38287-02, 38270-00) F19Z; 2.15</w:t>
            </w:r>
          </w:p>
        </w:tc>
      </w:tr>
      <w:tr w:rsidR="00FE461F" w:rsidRPr="005E4BEA" w14:paraId="5E1E4969"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7B7678F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w:t>
            </w:r>
          </w:p>
        </w:tc>
        <w:tc>
          <w:tcPr>
            <w:tcW w:w="567" w:type="pct"/>
            <w:tcBorders>
              <w:top w:val="nil"/>
              <w:left w:val="nil"/>
              <w:bottom w:val="single" w:sz="4" w:space="0" w:color="auto"/>
              <w:right w:val="single" w:sz="4" w:space="0" w:color="auto"/>
            </w:tcBorders>
            <w:shd w:val="clear" w:color="auto" w:fill="auto"/>
            <w:vAlign w:val="bottom"/>
            <w:hideMark/>
          </w:tcPr>
          <w:p w14:paraId="0B0C3B9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150</w:t>
            </w:r>
          </w:p>
        </w:tc>
        <w:tc>
          <w:tcPr>
            <w:tcW w:w="534" w:type="pct"/>
            <w:tcBorders>
              <w:top w:val="nil"/>
              <w:left w:val="nil"/>
              <w:bottom w:val="single" w:sz="4" w:space="0" w:color="auto"/>
              <w:right w:val="single" w:sz="4" w:space="0" w:color="auto"/>
            </w:tcBorders>
            <w:shd w:val="clear" w:color="auto" w:fill="auto"/>
            <w:noWrap/>
            <w:vAlign w:val="bottom"/>
            <w:hideMark/>
          </w:tcPr>
          <w:p w14:paraId="6F577E0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11.237,73</w:t>
            </w:r>
          </w:p>
        </w:tc>
        <w:tc>
          <w:tcPr>
            <w:tcW w:w="431" w:type="pct"/>
            <w:tcBorders>
              <w:top w:val="nil"/>
              <w:left w:val="nil"/>
              <w:bottom w:val="single" w:sz="4" w:space="0" w:color="auto"/>
              <w:right w:val="single" w:sz="4" w:space="0" w:color="auto"/>
            </w:tcBorders>
            <w:shd w:val="clear" w:color="auto" w:fill="auto"/>
            <w:noWrap/>
            <w:vAlign w:val="bottom"/>
            <w:hideMark/>
          </w:tcPr>
          <w:p w14:paraId="0A8BA34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2.919,57</w:t>
            </w:r>
          </w:p>
        </w:tc>
        <w:tc>
          <w:tcPr>
            <w:tcW w:w="462" w:type="pct"/>
            <w:tcBorders>
              <w:top w:val="nil"/>
              <w:left w:val="nil"/>
              <w:bottom w:val="single" w:sz="4" w:space="0" w:color="auto"/>
              <w:right w:val="single" w:sz="4" w:space="0" w:color="auto"/>
            </w:tcBorders>
            <w:shd w:val="clear" w:color="auto" w:fill="auto"/>
            <w:noWrap/>
            <w:vAlign w:val="bottom"/>
            <w:hideMark/>
          </w:tcPr>
          <w:p w14:paraId="2A03734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8.318,16</w:t>
            </w:r>
          </w:p>
        </w:tc>
        <w:tc>
          <w:tcPr>
            <w:tcW w:w="1011" w:type="pct"/>
            <w:tcBorders>
              <w:top w:val="nil"/>
              <w:left w:val="nil"/>
              <w:bottom w:val="single" w:sz="4" w:space="0" w:color="auto"/>
              <w:right w:val="single" w:sz="4" w:space="0" w:color="auto"/>
            </w:tcBorders>
            <w:shd w:val="clear" w:color="auto" w:fill="auto"/>
            <w:vAlign w:val="bottom"/>
            <w:hideMark/>
          </w:tcPr>
          <w:p w14:paraId="616AED4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 (38212-00, 38287-02, 38270-00) F19Z; 2.15</w:t>
            </w:r>
          </w:p>
        </w:tc>
      </w:tr>
      <w:tr w:rsidR="00FE461F" w:rsidRPr="005E4BEA" w14:paraId="1591995F"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4AF321F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w:t>
            </w:r>
            <w:r w:rsidRPr="005E4BEA">
              <w:rPr>
                <w:rFonts w:cs="Arial"/>
                <w:i/>
                <w:iCs/>
                <w:color w:val="808080" w:themeColor="background1" w:themeShade="80"/>
                <w:szCs w:val="20"/>
              </w:rPr>
              <w:lastRenderedPageBreak/>
              <w:t xml:space="preserve">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 za potrebe kartografskega izrisovanja in podpore med ablacijo </w:t>
            </w:r>
          </w:p>
        </w:tc>
        <w:tc>
          <w:tcPr>
            <w:tcW w:w="567" w:type="pct"/>
            <w:tcBorders>
              <w:top w:val="nil"/>
              <w:left w:val="nil"/>
              <w:bottom w:val="single" w:sz="4" w:space="0" w:color="auto"/>
              <w:right w:val="single" w:sz="4" w:space="0" w:color="auto"/>
            </w:tcBorders>
            <w:shd w:val="clear" w:color="auto" w:fill="auto"/>
            <w:vAlign w:val="bottom"/>
            <w:hideMark/>
          </w:tcPr>
          <w:p w14:paraId="6C6A5B3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210</w:t>
            </w:r>
          </w:p>
        </w:tc>
        <w:tc>
          <w:tcPr>
            <w:tcW w:w="534" w:type="pct"/>
            <w:tcBorders>
              <w:top w:val="nil"/>
              <w:left w:val="nil"/>
              <w:bottom w:val="single" w:sz="4" w:space="0" w:color="auto"/>
              <w:right w:val="single" w:sz="4" w:space="0" w:color="auto"/>
            </w:tcBorders>
            <w:shd w:val="clear" w:color="auto" w:fill="auto"/>
            <w:noWrap/>
            <w:vAlign w:val="bottom"/>
            <w:hideMark/>
          </w:tcPr>
          <w:p w14:paraId="4739409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8.783,57</w:t>
            </w:r>
          </w:p>
        </w:tc>
        <w:tc>
          <w:tcPr>
            <w:tcW w:w="431" w:type="pct"/>
            <w:tcBorders>
              <w:top w:val="nil"/>
              <w:left w:val="nil"/>
              <w:bottom w:val="single" w:sz="4" w:space="0" w:color="auto"/>
              <w:right w:val="single" w:sz="4" w:space="0" w:color="auto"/>
            </w:tcBorders>
            <w:shd w:val="clear" w:color="auto" w:fill="auto"/>
            <w:noWrap/>
            <w:vAlign w:val="bottom"/>
            <w:hideMark/>
          </w:tcPr>
          <w:p w14:paraId="7A6EC58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1.059,19</w:t>
            </w:r>
          </w:p>
        </w:tc>
        <w:tc>
          <w:tcPr>
            <w:tcW w:w="462" w:type="pct"/>
            <w:tcBorders>
              <w:top w:val="nil"/>
              <w:left w:val="nil"/>
              <w:bottom w:val="single" w:sz="4" w:space="0" w:color="auto"/>
              <w:right w:val="single" w:sz="4" w:space="0" w:color="auto"/>
            </w:tcBorders>
            <w:shd w:val="clear" w:color="auto" w:fill="auto"/>
            <w:noWrap/>
            <w:vAlign w:val="bottom"/>
            <w:hideMark/>
          </w:tcPr>
          <w:p w14:paraId="069CB77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7.724,38</w:t>
            </w:r>
          </w:p>
        </w:tc>
        <w:tc>
          <w:tcPr>
            <w:tcW w:w="1011" w:type="pct"/>
            <w:tcBorders>
              <w:top w:val="nil"/>
              <w:left w:val="nil"/>
              <w:bottom w:val="single" w:sz="4" w:space="0" w:color="auto"/>
              <w:right w:val="single" w:sz="4" w:space="0" w:color="auto"/>
            </w:tcBorders>
            <w:shd w:val="clear" w:color="auto" w:fill="auto"/>
            <w:vAlign w:val="bottom"/>
            <w:hideMark/>
          </w:tcPr>
          <w:p w14:paraId="4538228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38287-01) F42B; 0.78</w:t>
            </w:r>
          </w:p>
        </w:tc>
      </w:tr>
      <w:tr w:rsidR="00FE461F" w:rsidRPr="005E4BEA" w14:paraId="62D0E337"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0DB57C7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 za potrebe kartografskega izrisovanja in podpore med ablacijo </w:t>
            </w:r>
          </w:p>
        </w:tc>
        <w:tc>
          <w:tcPr>
            <w:tcW w:w="567" w:type="pct"/>
            <w:tcBorders>
              <w:top w:val="nil"/>
              <w:left w:val="nil"/>
              <w:bottom w:val="single" w:sz="4" w:space="0" w:color="auto"/>
              <w:right w:val="single" w:sz="4" w:space="0" w:color="auto"/>
            </w:tcBorders>
            <w:shd w:val="clear" w:color="auto" w:fill="auto"/>
            <w:vAlign w:val="bottom"/>
            <w:hideMark/>
          </w:tcPr>
          <w:p w14:paraId="0673FE5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240</w:t>
            </w:r>
          </w:p>
        </w:tc>
        <w:tc>
          <w:tcPr>
            <w:tcW w:w="534" w:type="pct"/>
            <w:tcBorders>
              <w:top w:val="nil"/>
              <w:left w:val="nil"/>
              <w:bottom w:val="single" w:sz="4" w:space="0" w:color="auto"/>
              <w:right w:val="single" w:sz="4" w:space="0" w:color="auto"/>
            </w:tcBorders>
            <w:shd w:val="clear" w:color="auto" w:fill="auto"/>
            <w:noWrap/>
            <w:vAlign w:val="bottom"/>
            <w:hideMark/>
          </w:tcPr>
          <w:p w14:paraId="2AF098F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12.626,69</w:t>
            </w:r>
          </w:p>
        </w:tc>
        <w:tc>
          <w:tcPr>
            <w:tcW w:w="431" w:type="pct"/>
            <w:tcBorders>
              <w:top w:val="nil"/>
              <w:left w:val="nil"/>
              <w:bottom w:val="single" w:sz="4" w:space="0" w:color="auto"/>
              <w:right w:val="single" w:sz="4" w:space="0" w:color="auto"/>
            </w:tcBorders>
            <w:shd w:val="clear" w:color="auto" w:fill="auto"/>
            <w:noWrap/>
            <w:vAlign w:val="bottom"/>
            <w:hideMark/>
          </w:tcPr>
          <w:p w14:paraId="6B29C56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2.919,57</w:t>
            </w:r>
          </w:p>
        </w:tc>
        <w:tc>
          <w:tcPr>
            <w:tcW w:w="462" w:type="pct"/>
            <w:tcBorders>
              <w:top w:val="nil"/>
              <w:left w:val="nil"/>
              <w:bottom w:val="single" w:sz="4" w:space="0" w:color="auto"/>
              <w:right w:val="single" w:sz="4" w:space="0" w:color="auto"/>
            </w:tcBorders>
            <w:shd w:val="clear" w:color="auto" w:fill="auto"/>
            <w:noWrap/>
            <w:vAlign w:val="bottom"/>
            <w:hideMark/>
          </w:tcPr>
          <w:p w14:paraId="3C87C42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9.707,12</w:t>
            </w:r>
          </w:p>
        </w:tc>
        <w:tc>
          <w:tcPr>
            <w:tcW w:w="1011" w:type="pct"/>
            <w:tcBorders>
              <w:top w:val="nil"/>
              <w:left w:val="nil"/>
              <w:bottom w:val="single" w:sz="4" w:space="0" w:color="auto"/>
              <w:right w:val="single" w:sz="4" w:space="0" w:color="auto"/>
            </w:tcBorders>
            <w:shd w:val="clear" w:color="auto" w:fill="auto"/>
            <w:vAlign w:val="bottom"/>
            <w:hideMark/>
          </w:tcPr>
          <w:p w14:paraId="3F7E13F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(38212-00, 38287-02. 38270-00) F19Z; 2.15 </w:t>
            </w:r>
          </w:p>
        </w:tc>
      </w:tr>
      <w:tr w:rsidR="00FE461F" w:rsidRPr="005E4BEA" w14:paraId="5B9218F1"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02A991D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 za potrebe kartografskega izrisovanja in podpore med ablacijo</w:t>
            </w:r>
          </w:p>
        </w:tc>
        <w:tc>
          <w:tcPr>
            <w:tcW w:w="567" w:type="pct"/>
            <w:tcBorders>
              <w:top w:val="nil"/>
              <w:left w:val="nil"/>
              <w:bottom w:val="single" w:sz="4" w:space="0" w:color="auto"/>
              <w:right w:val="single" w:sz="4" w:space="0" w:color="auto"/>
            </w:tcBorders>
            <w:shd w:val="clear" w:color="auto" w:fill="auto"/>
            <w:vAlign w:val="bottom"/>
            <w:hideMark/>
          </w:tcPr>
          <w:p w14:paraId="3E4BDAC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180</w:t>
            </w:r>
          </w:p>
        </w:tc>
        <w:tc>
          <w:tcPr>
            <w:tcW w:w="534" w:type="pct"/>
            <w:tcBorders>
              <w:top w:val="nil"/>
              <w:left w:val="nil"/>
              <w:bottom w:val="single" w:sz="4" w:space="0" w:color="auto"/>
              <w:right w:val="single" w:sz="4" w:space="0" w:color="auto"/>
            </w:tcBorders>
            <w:shd w:val="clear" w:color="auto" w:fill="auto"/>
            <w:noWrap/>
            <w:vAlign w:val="bottom"/>
            <w:hideMark/>
          </w:tcPr>
          <w:p w14:paraId="7F15456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8.409,45</w:t>
            </w:r>
          </w:p>
        </w:tc>
        <w:tc>
          <w:tcPr>
            <w:tcW w:w="431" w:type="pct"/>
            <w:tcBorders>
              <w:top w:val="nil"/>
              <w:left w:val="nil"/>
              <w:bottom w:val="single" w:sz="4" w:space="0" w:color="auto"/>
              <w:right w:val="single" w:sz="4" w:space="0" w:color="auto"/>
            </w:tcBorders>
            <w:shd w:val="clear" w:color="auto" w:fill="auto"/>
            <w:noWrap/>
            <w:vAlign w:val="bottom"/>
            <w:hideMark/>
          </w:tcPr>
          <w:p w14:paraId="6E13B4D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1.059,19</w:t>
            </w:r>
          </w:p>
        </w:tc>
        <w:tc>
          <w:tcPr>
            <w:tcW w:w="462" w:type="pct"/>
            <w:tcBorders>
              <w:top w:val="nil"/>
              <w:left w:val="nil"/>
              <w:bottom w:val="single" w:sz="4" w:space="0" w:color="auto"/>
              <w:right w:val="single" w:sz="4" w:space="0" w:color="auto"/>
            </w:tcBorders>
            <w:shd w:val="clear" w:color="auto" w:fill="auto"/>
            <w:noWrap/>
            <w:vAlign w:val="bottom"/>
            <w:hideMark/>
          </w:tcPr>
          <w:p w14:paraId="050C854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7.350,26</w:t>
            </w:r>
          </w:p>
        </w:tc>
        <w:tc>
          <w:tcPr>
            <w:tcW w:w="1011" w:type="pct"/>
            <w:tcBorders>
              <w:top w:val="nil"/>
              <w:left w:val="nil"/>
              <w:bottom w:val="single" w:sz="4" w:space="0" w:color="auto"/>
              <w:right w:val="single" w:sz="4" w:space="0" w:color="auto"/>
            </w:tcBorders>
            <w:shd w:val="clear" w:color="auto" w:fill="auto"/>
            <w:vAlign w:val="bottom"/>
            <w:hideMark/>
          </w:tcPr>
          <w:p w14:paraId="4C61B60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38212-00, 38287-01) F42B; 0.78</w:t>
            </w:r>
          </w:p>
        </w:tc>
      </w:tr>
      <w:tr w:rsidR="00FE461F" w:rsidRPr="005E4BEA" w14:paraId="3E7E4AD3" w14:textId="77777777" w:rsidTr="0016774B">
        <w:trPr>
          <w:trHeight w:val="85"/>
        </w:trPr>
        <w:tc>
          <w:tcPr>
            <w:tcW w:w="1995" w:type="pct"/>
            <w:tcBorders>
              <w:top w:val="nil"/>
              <w:left w:val="single" w:sz="4" w:space="0" w:color="auto"/>
              <w:bottom w:val="single" w:sz="4" w:space="0" w:color="auto"/>
              <w:right w:val="single" w:sz="4" w:space="0" w:color="auto"/>
            </w:tcBorders>
            <w:shd w:val="clear" w:color="auto" w:fill="auto"/>
            <w:vAlign w:val="bottom"/>
            <w:hideMark/>
          </w:tcPr>
          <w:p w14:paraId="0ED3B7E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specialist kardiolog, radiološki inženir, dve diplomirani medicinski sestri (merilka, </w:t>
            </w:r>
            <w:proofErr w:type="spellStart"/>
            <w:r w:rsidRPr="005E4BEA">
              <w:rPr>
                <w:rFonts w:cs="Arial"/>
                <w:i/>
                <w:iCs/>
                <w:color w:val="808080" w:themeColor="background1" w:themeShade="80"/>
                <w:szCs w:val="20"/>
              </w:rPr>
              <w:t>inštrumentarka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elektrofiziološki</w:t>
            </w:r>
            <w:proofErr w:type="spellEnd"/>
            <w:r w:rsidRPr="005E4BEA">
              <w:rPr>
                <w:rFonts w:cs="Arial"/>
                <w:i/>
                <w:iCs/>
                <w:color w:val="808080" w:themeColor="background1" w:themeShade="80"/>
                <w:szCs w:val="20"/>
              </w:rPr>
              <w:t xml:space="preserve"> inženir za potrebe kartografskega izrisovanja in podpore med ablacijo</w:t>
            </w:r>
          </w:p>
        </w:tc>
        <w:tc>
          <w:tcPr>
            <w:tcW w:w="567" w:type="pct"/>
            <w:tcBorders>
              <w:top w:val="nil"/>
              <w:left w:val="nil"/>
              <w:bottom w:val="single" w:sz="4" w:space="0" w:color="auto"/>
              <w:right w:val="single" w:sz="4" w:space="0" w:color="auto"/>
            </w:tcBorders>
            <w:shd w:val="clear" w:color="auto" w:fill="auto"/>
            <w:vAlign w:val="bottom"/>
            <w:hideMark/>
          </w:tcPr>
          <w:p w14:paraId="6B44124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240</w:t>
            </w:r>
          </w:p>
        </w:tc>
        <w:tc>
          <w:tcPr>
            <w:tcW w:w="534" w:type="pct"/>
            <w:tcBorders>
              <w:top w:val="nil"/>
              <w:left w:val="nil"/>
              <w:bottom w:val="single" w:sz="4" w:space="0" w:color="auto"/>
              <w:right w:val="single" w:sz="4" w:space="0" w:color="auto"/>
            </w:tcBorders>
            <w:shd w:val="clear" w:color="auto" w:fill="auto"/>
            <w:noWrap/>
            <w:vAlign w:val="bottom"/>
            <w:hideMark/>
          </w:tcPr>
          <w:p w14:paraId="2D7D3DE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12.626,69</w:t>
            </w:r>
          </w:p>
        </w:tc>
        <w:tc>
          <w:tcPr>
            <w:tcW w:w="431" w:type="pct"/>
            <w:tcBorders>
              <w:top w:val="nil"/>
              <w:left w:val="nil"/>
              <w:bottom w:val="single" w:sz="4" w:space="0" w:color="auto"/>
              <w:right w:val="single" w:sz="4" w:space="0" w:color="auto"/>
            </w:tcBorders>
            <w:shd w:val="clear" w:color="auto" w:fill="auto"/>
            <w:noWrap/>
            <w:vAlign w:val="bottom"/>
            <w:hideMark/>
          </w:tcPr>
          <w:p w14:paraId="38BD7FB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2.919,57</w:t>
            </w:r>
          </w:p>
        </w:tc>
        <w:tc>
          <w:tcPr>
            <w:tcW w:w="462" w:type="pct"/>
            <w:tcBorders>
              <w:top w:val="nil"/>
              <w:left w:val="nil"/>
              <w:bottom w:val="single" w:sz="4" w:space="0" w:color="auto"/>
              <w:right w:val="single" w:sz="4" w:space="0" w:color="auto"/>
            </w:tcBorders>
            <w:shd w:val="clear" w:color="auto" w:fill="auto"/>
            <w:noWrap/>
            <w:vAlign w:val="bottom"/>
            <w:hideMark/>
          </w:tcPr>
          <w:p w14:paraId="58DA834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9.707,12</w:t>
            </w:r>
          </w:p>
        </w:tc>
        <w:tc>
          <w:tcPr>
            <w:tcW w:w="1011" w:type="pct"/>
            <w:tcBorders>
              <w:top w:val="nil"/>
              <w:left w:val="nil"/>
              <w:bottom w:val="single" w:sz="4" w:space="0" w:color="auto"/>
              <w:right w:val="single" w:sz="4" w:space="0" w:color="auto"/>
            </w:tcBorders>
            <w:shd w:val="clear" w:color="auto" w:fill="auto"/>
            <w:vAlign w:val="bottom"/>
            <w:hideMark/>
          </w:tcPr>
          <w:p w14:paraId="51EAF9C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(38212-200, 38287-01)F42B;078  ALI OB TRANSSEPTALNEM PRISTOPU IN DODATNO 38270-00; F19Z; 2.15</w:t>
            </w:r>
          </w:p>
        </w:tc>
      </w:tr>
    </w:tbl>
    <w:p w14:paraId="0E094537" w14:textId="77777777" w:rsidR="00FE461F" w:rsidRPr="005E4BEA" w:rsidRDefault="00FE461F" w:rsidP="00FE461F">
      <w:pPr>
        <w:spacing w:line="240" w:lineRule="auto"/>
        <w:jc w:val="both"/>
        <w:rPr>
          <w:rFonts w:cs="Arial"/>
          <w:i/>
          <w:iCs/>
          <w:color w:val="808080" w:themeColor="background1" w:themeShade="80"/>
          <w:szCs w:val="20"/>
        </w:rPr>
      </w:pPr>
    </w:p>
    <w:p w14:paraId="14B10A2D" w14:textId="77777777" w:rsidR="00FE461F" w:rsidRPr="005E4BEA" w:rsidRDefault="00FE461F" w:rsidP="00FE461F">
      <w:pPr>
        <w:spacing w:line="240" w:lineRule="auto"/>
        <w:jc w:val="both"/>
        <w:rPr>
          <w:rFonts w:eastAsia="Calibri" w:cs="Arial"/>
          <w:b/>
          <w:bCs/>
          <w:i/>
          <w:iCs/>
          <w:color w:val="7F7F7F"/>
          <w:szCs w:val="20"/>
          <w:u w:val="single"/>
        </w:rPr>
      </w:pPr>
      <w:bookmarkStart w:id="54" w:name="_Toc87021384"/>
      <w:r w:rsidRPr="005E4BEA">
        <w:rPr>
          <w:rFonts w:eastAsia="Calibri" w:cs="Arial"/>
          <w:b/>
          <w:bCs/>
          <w:i/>
          <w:iCs/>
          <w:color w:val="7F7F7F"/>
          <w:szCs w:val="20"/>
          <w:u w:val="single"/>
        </w:rPr>
        <w:t>OBRAZLOŽITEV KATETERSKA ABLACIJA TAHIKARDIJ</w:t>
      </w:r>
      <w:bookmarkEnd w:id="54"/>
    </w:p>
    <w:p w14:paraId="66E026DA" w14:textId="77777777" w:rsidR="00FE461F" w:rsidRPr="005E4BEA" w:rsidRDefault="00FE461F" w:rsidP="00FE461F">
      <w:pPr>
        <w:spacing w:line="240" w:lineRule="auto"/>
        <w:rPr>
          <w:rFonts w:eastAsiaTheme="minorHAnsi" w:cs="Arial"/>
          <w:color w:val="AEAAAA" w:themeColor="background2" w:themeShade="BF"/>
          <w:szCs w:val="20"/>
          <w:lang w:eastAsia="x-none"/>
        </w:rPr>
      </w:pPr>
    </w:p>
    <w:tbl>
      <w:tblPr>
        <w:tblStyle w:val="Navadnatabela1"/>
        <w:tblW w:w="5074" w:type="pct"/>
        <w:tblInd w:w="0" w:type="dxa"/>
        <w:tblCellMar>
          <w:left w:w="0" w:type="dxa"/>
          <w:right w:w="0" w:type="dxa"/>
        </w:tblCellMar>
        <w:tblLook w:val="04A0" w:firstRow="1" w:lastRow="0" w:firstColumn="1" w:lastColumn="0" w:noHBand="0" w:noVBand="1"/>
      </w:tblPr>
      <w:tblGrid>
        <w:gridCol w:w="8624"/>
      </w:tblGrid>
      <w:tr w:rsidR="00FE461F" w:rsidRPr="005E4BEA" w14:paraId="7006DECE" w14:textId="77777777" w:rsidTr="0016774B">
        <w:trPr>
          <w:trHeight w:val="478"/>
        </w:trPr>
        <w:tc>
          <w:tcPr>
            <w:tcW w:w="5000" w:type="pct"/>
            <w:tcMar>
              <w:top w:w="0" w:type="dxa"/>
              <w:left w:w="70" w:type="dxa"/>
              <w:bottom w:w="0" w:type="dxa"/>
              <w:right w:w="70" w:type="dxa"/>
            </w:tcMar>
          </w:tcPr>
          <w:p w14:paraId="403F767A" w14:textId="77777777" w:rsidR="00FE461F" w:rsidRPr="005E4BEA" w:rsidRDefault="00FE461F" w:rsidP="00FE461F">
            <w:pPr>
              <w:spacing w:after="0" w:line="240" w:lineRule="auto"/>
              <w:rPr>
                <w:rFonts w:cs="Arial"/>
                <w:b/>
                <w:bCs/>
                <w:color w:val="AEAAAA" w:themeColor="background2" w:themeShade="BF"/>
                <w:sz w:val="20"/>
                <w:szCs w:val="20"/>
                <w:lang w:eastAsia="sl-SI"/>
              </w:rPr>
            </w:pPr>
            <w:r w:rsidRPr="005E4BEA">
              <w:rPr>
                <w:rFonts w:cs="Arial"/>
                <w:b/>
                <w:bCs/>
                <w:color w:val="AEAAAA" w:themeColor="background2" w:themeShade="BF"/>
                <w:sz w:val="20"/>
                <w:szCs w:val="20"/>
              </w:rPr>
              <w:t xml:space="preserve">1. Predlog - dodatek za program </w:t>
            </w:r>
            <w:proofErr w:type="spellStart"/>
            <w:r w:rsidRPr="005E4BEA">
              <w:rPr>
                <w:rFonts w:cs="Arial"/>
                <w:b/>
                <w:bCs/>
                <w:color w:val="AEAAAA" w:themeColor="background2" w:themeShade="BF"/>
                <w:sz w:val="20"/>
                <w:szCs w:val="20"/>
              </w:rPr>
              <w:t>Kateterske</w:t>
            </w:r>
            <w:proofErr w:type="spellEnd"/>
            <w:r w:rsidRPr="005E4BEA">
              <w:rPr>
                <w:rFonts w:cs="Arial"/>
                <w:b/>
                <w:bCs/>
                <w:color w:val="AEAAAA" w:themeColor="background2" w:themeShade="BF"/>
                <w:sz w:val="20"/>
                <w:szCs w:val="20"/>
              </w:rPr>
              <w:t xml:space="preserve"> ablacije tahikardij in širitev SPP programa </w:t>
            </w:r>
          </w:p>
          <w:p w14:paraId="5DB0F4C5"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lastRenderedPageBreak/>
              <w:t xml:space="preserve">Podajamo predlog za boljše vrednotenje intervencijskih posegov pri zdravljenju </w:t>
            </w:r>
            <w:proofErr w:type="spellStart"/>
            <w:r w:rsidRPr="005E4BEA">
              <w:rPr>
                <w:rFonts w:cs="Arial"/>
                <w:color w:val="AEAAAA" w:themeColor="background2" w:themeShade="BF"/>
                <w:sz w:val="20"/>
                <w:szCs w:val="20"/>
              </w:rPr>
              <w:t>tahikardnih</w:t>
            </w:r>
            <w:proofErr w:type="spellEnd"/>
            <w:r w:rsidRPr="005E4BEA">
              <w:rPr>
                <w:rFonts w:cs="Arial"/>
                <w:color w:val="AEAAAA" w:themeColor="background2" w:themeShade="BF"/>
                <w:sz w:val="20"/>
                <w:szCs w:val="20"/>
              </w:rPr>
              <w:t xml:space="preserve"> motenj srčnega ritma (Katetrska ablacija tahikardij) ter širitev po 24. členu Splošnega dogovora.</w:t>
            </w:r>
          </w:p>
          <w:p w14:paraId="68AB0A39"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Omenjeni program v UKC Ljubljana izvajamo v obsegu 650 - 800 primerov na leto, med katerimi je več kot 20 % posegov urgentnih. Obenem smo edini izvajalec za pediatrične posege in največji izvajalec tega zdravstvenega programa v Republiki Sloveniji. Poleg UKC Ljubljana tovrstne posege izvajajo še v UKC Maribor ter SB Izola. Število vseh čakajočih na omenjeno storitev na dan 31. 8. 2021 je bilo 1.009 od tega jih je bilo 858 z nedopustno čakalno dobo (85 % vseh čakajočih). Trenutna čakalna doba za stopnjo »hitro« je okoli 17 mesecev - na dan 31. 8. 2021. Za obvladovanje čakalnih dob bi bilo v UKC Ljubljana na letni ravni potrebno opraviti vsaj 1200 posegov oziroma dodatnih 400 primerov. </w:t>
            </w:r>
          </w:p>
          <w:p w14:paraId="04B412B0"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Program se izvaja v akutni bolnišnični obravnavi ter obračunava po modelu SPP. Primeri se v 73 % razvrstijo v SPP z utežjo 0,78 ter 27 % v SPP z utežjo 1,56. Prihodek iz naslova uteži v povprečju krije le 10% vrednosti celotnih stroškov zdravljenj. </w:t>
            </w:r>
          </w:p>
          <w:p w14:paraId="0B3DA595" w14:textId="77777777" w:rsidR="00FE461F" w:rsidRPr="005E4BEA" w:rsidRDefault="00FE461F" w:rsidP="00FE461F">
            <w:pPr>
              <w:spacing w:after="0" w:line="240" w:lineRule="auto"/>
              <w:rPr>
                <w:rFonts w:cs="Arial"/>
                <w:b/>
                <w:bCs/>
                <w:color w:val="AEAAAA" w:themeColor="background2" w:themeShade="BF"/>
                <w:sz w:val="20"/>
                <w:szCs w:val="20"/>
              </w:rPr>
            </w:pPr>
            <w:r w:rsidRPr="005E4BEA">
              <w:rPr>
                <w:rFonts w:cs="Arial"/>
                <w:b/>
                <w:bCs/>
                <w:color w:val="AEAAAA" w:themeColor="background2" w:themeShade="BF"/>
                <w:sz w:val="20"/>
                <w:szCs w:val="20"/>
              </w:rPr>
              <w:t xml:space="preserve">2. Strokovna stališča in obrazložitve </w:t>
            </w:r>
          </w:p>
          <w:p w14:paraId="57060F15"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Katetrska ablacija je osnova obravnave različnih tahikardij. Glavna prednost pred </w:t>
            </w:r>
            <w:proofErr w:type="spellStart"/>
            <w:r w:rsidRPr="005E4BEA">
              <w:rPr>
                <w:rFonts w:cs="Arial"/>
                <w:color w:val="AEAAAA" w:themeColor="background2" w:themeShade="BF"/>
                <w:sz w:val="20"/>
                <w:szCs w:val="20"/>
              </w:rPr>
              <w:t>medikamentoznim</w:t>
            </w:r>
            <w:proofErr w:type="spellEnd"/>
            <w:r w:rsidRPr="005E4BEA">
              <w:rPr>
                <w:rFonts w:cs="Arial"/>
                <w:color w:val="AEAAAA" w:themeColor="background2" w:themeShade="BF"/>
                <w:sz w:val="20"/>
                <w:szCs w:val="20"/>
              </w:rPr>
              <w:t xml:space="preserve"> zdravljenjem je predvsem večja učinkovitost, kar se v večini primerov prevede v boljše klinično stanje bolnikov (manj simptomov, v nekaterih primerih tudi manjša </w:t>
            </w:r>
            <w:proofErr w:type="spellStart"/>
            <w:r w:rsidRPr="005E4BEA">
              <w:rPr>
                <w:rFonts w:cs="Arial"/>
                <w:color w:val="AEAAAA" w:themeColor="background2" w:themeShade="BF"/>
                <w:sz w:val="20"/>
                <w:szCs w:val="20"/>
              </w:rPr>
              <w:t>zbolevnost</w:t>
            </w:r>
            <w:proofErr w:type="spellEnd"/>
            <w:r w:rsidRPr="005E4BEA">
              <w:rPr>
                <w:rFonts w:cs="Arial"/>
                <w:color w:val="AEAAAA" w:themeColor="background2" w:themeShade="BF"/>
                <w:sz w:val="20"/>
                <w:szCs w:val="20"/>
              </w:rPr>
              <w:t xml:space="preserve"> in smrtnost) in posledično manjšo obremenitev zdravstvenega sistema. Bolniki, ki jim uspešno opravimo katetrsko ablacijo tahikardij potrebujejo dolgoročno manj zdravljenja z zdravili, manjkrat poiščejo zdravstveno pomoč, imajo manjše število ponovno potrebnih hospitalizacij in so v nadaljevanju življenja lahko bolj delovno produktivni in aktivni.</w:t>
            </w:r>
          </w:p>
          <w:p w14:paraId="1E7D7D2F"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Omenjene prednosti katetrske ablacije so še bolj izražene pri pediatrični populaciji. Pri otrocih z uspešno in zgodnjo katetrsko ablacijo na daljši časovni rok primerljivo (z odraslo populacijo) bolj zmanjšamo obremenitev zdravstvenega sistema in izboljšamo več let prihodnjega življenja. Katetrske ablacije pri otrocih izvajamo le v UKC Ljubljana. </w:t>
            </w:r>
          </w:p>
          <w:p w14:paraId="4F3844C5"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Trenutni prihodki programa katetrskih ablacij ne pokrijejo stroškov izvajanja programa. To posebno velja za program katetrskih ablacij pri otrocih, kjer je za izvajanje posegov potrebno sodelovanje anesteziološke ekipe.</w:t>
            </w:r>
          </w:p>
          <w:p w14:paraId="3CB32B75" w14:textId="77777777" w:rsidR="00FE461F" w:rsidRPr="005E4BEA" w:rsidRDefault="00FE461F" w:rsidP="00FE461F">
            <w:pPr>
              <w:spacing w:after="0" w:line="240" w:lineRule="auto"/>
              <w:rPr>
                <w:rFonts w:cs="Arial"/>
                <w:b/>
                <w:bCs/>
                <w:color w:val="AEAAAA" w:themeColor="background2" w:themeShade="BF"/>
                <w:sz w:val="20"/>
                <w:szCs w:val="20"/>
              </w:rPr>
            </w:pPr>
            <w:r w:rsidRPr="005E4BEA">
              <w:rPr>
                <w:rFonts w:cs="Arial"/>
                <w:b/>
                <w:bCs/>
                <w:color w:val="AEAAAA" w:themeColor="background2" w:themeShade="BF"/>
                <w:sz w:val="20"/>
                <w:szCs w:val="20"/>
              </w:rPr>
              <w:t>3.Katetrska ablacija prekatnih tahikardij</w:t>
            </w:r>
          </w:p>
          <w:p w14:paraId="409704F1"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1. Prekatne tahikardije pri bolnikih s strukturno srčno boleznijo so motnje ritma, ki lahko vodijo v zastoj srca ali akutno srčno popuščanje. Kadar ocenimo, da je bolnih ogrožen za pojav prekatnih tahikardij prejme </w:t>
            </w:r>
            <w:proofErr w:type="spellStart"/>
            <w:r w:rsidRPr="005E4BEA">
              <w:rPr>
                <w:rFonts w:cs="Arial"/>
                <w:color w:val="AEAAAA" w:themeColor="background2" w:themeShade="BF"/>
                <w:sz w:val="20"/>
                <w:szCs w:val="20"/>
              </w:rPr>
              <w:t>vsadni</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defibrilator</w:t>
            </w:r>
            <w:proofErr w:type="spellEnd"/>
            <w:r w:rsidRPr="005E4BEA">
              <w:rPr>
                <w:rFonts w:cs="Arial"/>
                <w:color w:val="AEAAAA" w:themeColor="background2" w:themeShade="BF"/>
                <w:sz w:val="20"/>
                <w:szCs w:val="20"/>
              </w:rPr>
              <w:t xml:space="preserve"> (glede na smernice za primarno in sekundarno preventivo nenadne srčne smrti), ki te motnje ritma lahko prepozna in prekine (s stimulacijo ali elektrošokom). Takšne bolnike zdravimo z zdravili, ki preprečujejo nastanek prekatnih tahikardij, ki pa niso vedno dovolj učinkovita. Ob pogostih sprožitvah </w:t>
            </w:r>
            <w:proofErr w:type="spellStart"/>
            <w:r w:rsidRPr="005E4BEA">
              <w:rPr>
                <w:rFonts w:cs="Arial"/>
                <w:color w:val="AEAAAA" w:themeColor="background2" w:themeShade="BF"/>
                <w:sz w:val="20"/>
                <w:szCs w:val="20"/>
              </w:rPr>
              <w:t>vsadnega</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defibrilatorja</w:t>
            </w:r>
            <w:proofErr w:type="spellEnd"/>
            <w:r w:rsidRPr="005E4BEA">
              <w:rPr>
                <w:rFonts w:cs="Arial"/>
                <w:color w:val="AEAAAA" w:themeColor="background2" w:themeShade="BF"/>
                <w:sz w:val="20"/>
                <w:szCs w:val="20"/>
              </w:rPr>
              <w:t xml:space="preserve"> ob neučinkovitosti zdravil se pri bolnikih lahko razvije huda depresija, ki privede do dodatne zdravstvene obravnave bolnika. Na tem mestu nastopi zdravljenje s katetrsko ablacijo.</w:t>
            </w:r>
          </w:p>
          <w:p w14:paraId="7CA5586E"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Katetrska ablacija je oblika invazivnega </w:t>
            </w:r>
            <w:proofErr w:type="spellStart"/>
            <w:r w:rsidRPr="005E4BEA">
              <w:rPr>
                <w:rFonts w:cs="Arial"/>
                <w:color w:val="AEAAAA" w:themeColor="background2" w:themeShade="BF"/>
                <w:sz w:val="20"/>
                <w:szCs w:val="20"/>
              </w:rPr>
              <w:t>perkutanega</w:t>
            </w:r>
            <w:proofErr w:type="spellEnd"/>
            <w:r w:rsidRPr="005E4BEA">
              <w:rPr>
                <w:rFonts w:cs="Arial"/>
                <w:color w:val="AEAAAA" w:themeColor="background2" w:themeShade="BF"/>
                <w:sz w:val="20"/>
                <w:szCs w:val="20"/>
              </w:rPr>
              <w:t xml:space="preserve"> zdravljenja. Običajno do srca dostopamo skozi </w:t>
            </w:r>
            <w:proofErr w:type="spellStart"/>
            <w:r w:rsidRPr="005E4BEA">
              <w:rPr>
                <w:rFonts w:cs="Arial"/>
                <w:color w:val="AEAAAA" w:themeColor="background2" w:themeShade="BF"/>
                <w:sz w:val="20"/>
                <w:szCs w:val="20"/>
              </w:rPr>
              <w:t>femoralne</w:t>
            </w:r>
            <w:proofErr w:type="spellEnd"/>
            <w:r w:rsidRPr="005E4BEA">
              <w:rPr>
                <w:rFonts w:cs="Arial"/>
                <w:color w:val="AEAAAA" w:themeColor="background2" w:themeShade="BF"/>
                <w:sz w:val="20"/>
                <w:szCs w:val="20"/>
              </w:rPr>
              <w:t xml:space="preserve"> vene in arterije. Posege lahko opravimo v lokalni ali splošni anesteziji, odvisno od vrste posega in stanja bolnika. V srce napeljemo diagnostične in ablacijske katetre, s katerimi opravimo natančen pregled srčne mišice oziroma njene električne aktivnosti (</w:t>
            </w:r>
            <w:proofErr w:type="spellStart"/>
            <w:r w:rsidRPr="005E4BEA">
              <w:rPr>
                <w:rFonts w:cs="Arial"/>
                <w:color w:val="AEAAAA" w:themeColor="background2" w:themeShade="BF"/>
                <w:sz w:val="20"/>
                <w:szCs w:val="20"/>
              </w:rPr>
              <w:t>t.i</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voltažno</w:t>
            </w:r>
            <w:proofErr w:type="spellEnd"/>
            <w:r w:rsidRPr="005E4BEA">
              <w:rPr>
                <w:rFonts w:cs="Arial"/>
                <w:color w:val="AEAAAA" w:themeColor="background2" w:themeShade="BF"/>
                <w:sz w:val="20"/>
                <w:szCs w:val="20"/>
              </w:rPr>
              <w:t xml:space="preserve"> in aktivacijsko </w:t>
            </w:r>
            <w:proofErr w:type="spellStart"/>
            <w:r w:rsidRPr="005E4BEA">
              <w:rPr>
                <w:rFonts w:cs="Arial"/>
                <w:color w:val="AEAAAA" w:themeColor="background2" w:themeShade="BF"/>
                <w:sz w:val="20"/>
                <w:szCs w:val="20"/>
              </w:rPr>
              <w:t>mapiranje</w:t>
            </w:r>
            <w:proofErr w:type="spellEnd"/>
            <w:r w:rsidRPr="005E4BEA">
              <w:rPr>
                <w:rFonts w:cs="Arial"/>
                <w:color w:val="AEAAAA" w:themeColor="background2" w:themeShade="BF"/>
                <w:sz w:val="20"/>
                <w:szCs w:val="20"/>
              </w:rPr>
              <w:t xml:space="preserve">). S pregledom električne aktivnosti lahko odkrijemo področja </w:t>
            </w:r>
          </w:p>
          <w:p w14:paraId="6E3E6DB8"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srčne mišice, ki so poškodovana (v sklopu srčne bolezni) in povzročajo motnje ritma. Omenjena mesta nato </w:t>
            </w:r>
            <w:proofErr w:type="spellStart"/>
            <w:r w:rsidRPr="005E4BEA">
              <w:rPr>
                <w:rFonts w:cs="Arial"/>
                <w:color w:val="AEAAAA" w:themeColor="background2" w:themeShade="BF"/>
                <w:sz w:val="20"/>
                <w:szCs w:val="20"/>
              </w:rPr>
              <w:t>abliramo</w:t>
            </w:r>
            <w:proofErr w:type="spellEnd"/>
            <w:r w:rsidRPr="005E4BEA">
              <w:rPr>
                <w:rFonts w:cs="Arial"/>
                <w:color w:val="AEAAAA" w:themeColor="background2" w:themeShade="BF"/>
                <w:sz w:val="20"/>
                <w:szCs w:val="20"/>
              </w:rPr>
              <w:t xml:space="preserve"> z uporabo </w:t>
            </w:r>
            <w:proofErr w:type="spellStart"/>
            <w:r w:rsidRPr="005E4BEA">
              <w:rPr>
                <w:rFonts w:cs="Arial"/>
                <w:color w:val="AEAAAA" w:themeColor="background2" w:themeShade="BF"/>
                <w:sz w:val="20"/>
                <w:szCs w:val="20"/>
              </w:rPr>
              <w:t>radiofrekvenčne</w:t>
            </w:r>
            <w:proofErr w:type="spellEnd"/>
            <w:r w:rsidRPr="005E4BEA">
              <w:rPr>
                <w:rFonts w:cs="Arial"/>
                <w:color w:val="AEAAAA" w:themeColor="background2" w:themeShade="BF"/>
                <w:sz w:val="20"/>
                <w:szCs w:val="20"/>
              </w:rPr>
              <w:t xml:space="preserve"> energije; gre za ciljano in lokalizirano toplotno poškodbo majhnega dela srčne mišice.</w:t>
            </w:r>
          </w:p>
          <w:p w14:paraId="6C040C20"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S katetrsko ablacijo prekatnih tahikardij pri bolnikih s strukturno boleznijo srca lahko (dokazano s študijami) preprečujemo ponovitve motenj ritma. Na ta način zmanjšujemo verjetnost, da bo prišlo do ponovitve bolečih in stresnih sprožitev (šokov) </w:t>
            </w:r>
            <w:proofErr w:type="spellStart"/>
            <w:r w:rsidRPr="005E4BEA">
              <w:rPr>
                <w:rFonts w:cs="Arial"/>
                <w:color w:val="AEAAAA" w:themeColor="background2" w:themeShade="BF"/>
                <w:sz w:val="20"/>
                <w:szCs w:val="20"/>
              </w:rPr>
              <w:t>vsadnega</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defibrilatorja</w:t>
            </w:r>
            <w:proofErr w:type="spellEnd"/>
            <w:r w:rsidRPr="005E4BEA">
              <w:rPr>
                <w:rFonts w:cs="Arial"/>
                <w:color w:val="AEAAAA" w:themeColor="background2" w:themeShade="BF"/>
                <w:sz w:val="20"/>
                <w:szCs w:val="20"/>
              </w:rPr>
              <w:t xml:space="preserve">. Pri bolnikih, ki imajo zelo pogoste motnje ritma in sprožitve </w:t>
            </w:r>
            <w:proofErr w:type="spellStart"/>
            <w:r w:rsidRPr="005E4BEA">
              <w:rPr>
                <w:rFonts w:cs="Arial"/>
                <w:color w:val="AEAAAA" w:themeColor="background2" w:themeShade="BF"/>
                <w:sz w:val="20"/>
                <w:szCs w:val="20"/>
              </w:rPr>
              <w:t>vsadnega</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defibrilatorja</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t.i</w:t>
            </w:r>
            <w:proofErr w:type="spellEnd"/>
            <w:r w:rsidRPr="005E4BEA">
              <w:rPr>
                <w:rFonts w:cs="Arial"/>
                <w:color w:val="AEAAAA" w:themeColor="background2" w:themeShade="BF"/>
                <w:sz w:val="20"/>
                <w:szCs w:val="20"/>
              </w:rPr>
              <w:t xml:space="preserve">. električna nevihta) po nekaterih podatkih iz literature lahko zmanjšamo smrtnost in </w:t>
            </w:r>
            <w:proofErr w:type="spellStart"/>
            <w:r w:rsidRPr="005E4BEA">
              <w:rPr>
                <w:rFonts w:cs="Arial"/>
                <w:color w:val="AEAAAA" w:themeColor="background2" w:themeShade="BF"/>
                <w:sz w:val="20"/>
                <w:szCs w:val="20"/>
              </w:rPr>
              <w:t>zbolevnost</w:t>
            </w:r>
            <w:proofErr w:type="spellEnd"/>
            <w:r w:rsidRPr="005E4BEA">
              <w:rPr>
                <w:rFonts w:cs="Arial"/>
                <w:color w:val="AEAAAA" w:themeColor="background2" w:themeShade="BF"/>
                <w:sz w:val="20"/>
                <w:szCs w:val="20"/>
              </w:rPr>
              <w:t xml:space="preserve"> oziroma dodatne zaplete bolezni. Kot elektiven poseg ima katetrska ablacija prekatnih tahikardij pri bolnikih s strukturno boleznijo srca okrog 3% zapletov. Kot nujen poseg (ob električni nevihti, ki bolnika neposredno življenjsko ogroža) ima do 9% zapletov. Uspešnost katetrske ablacije pri teh bolnikih je v prvem letu okrog 80%.Katetrska ablacija prekatnih tahikardij pri bolnikih s strukturno boleznijo srca je v luči opisanega pomembna metoda, ki pripomore h ustrezni in kvalitetni obravnavi bolnikov. Na področju Slovenije te posege izvajamo le v UKC Ljubljana.</w:t>
            </w:r>
          </w:p>
          <w:p w14:paraId="72521132"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2. Prekatne tahikardije pri bolnikih brez strukturne srčne bolezni so motnje ritma, ki povzročajo moteče simptome, redkeje vrtoglavice, izgube zavesti in srčno popuščanje. V prvi vrsti jih </w:t>
            </w:r>
            <w:r w:rsidRPr="005E4BEA">
              <w:rPr>
                <w:rFonts w:cs="Arial"/>
                <w:color w:val="AEAAAA" w:themeColor="background2" w:themeShade="BF"/>
                <w:sz w:val="20"/>
                <w:szCs w:val="20"/>
              </w:rPr>
              <w:lastRenderedPageBreak/>
              <w:t xml:space="preserve">zdravimo z zdravili, ki preprečujejo nastanek prekatnih tahikardij, ki pa niso vedno dovolj učinkovita. Na tem mestu nastopi zdravljenje s </w:t>
            </w:r>
            <w:proofErr w:type="spellStart"/>
            <w:r w:rsidRPr="005E4BEA">
              <w:rPr>
                <w:rFonts w:cs="Arial"/>
                <w:color w:val="AEAAAA" w:themeColor="background2" w:themeShade="BF"/>
                <w:sz w:val="20"/>
                <w:szCs w:val="20"/>
              </w:rPr>
              <w:t>katetersko</w:t>
            </w:r>
            <w:proofErr w:type="spellEnd"/>
            <w:r w:rsidRPr="005E4BEA">
              <w:rPr>
                <w:rFonts w:cs="Arial"/>
                <w:color w:val="AEAAAA" w:themeColor="background2" w:themeShade="BF"/>
                <w:sz w:val="20"/>
                <w:szCs w:val="20"/>
              </w:rPr>
              <w:t xml:space="preserve"> ablacijo.</w:t>
            </w:r>
          </w:p>
          <w:p w14:paraId="516AA8D1"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Katetrska ablacija poteka na podoben način kot je opisano pod točko 1. S katetrsko ablacijo prekatnih tahikardij pri bolnikih s strukturno boleznijo srca lahko (dokazano s študijami) preprečujemo ponovitve motenj ritma. Na ta način zmanjšujemo pojav simptomov, vrtoglavice, izgube zavesti in srčnega popuščanja. Katetrska ablacija prekatnih tahikardij pri bolnikih brez strukturne bolezni srca ima okrog 1% zapletov. Uspešnost katetrske ablacije pri teh bolnikih je v prvem letu okrog 80%. Katetrska ablacija prekatnih tahikardij pri bolnikih brez strukturne bolezni srca je v luči opisanega pomembna metoda, ki pripomore h ustrezni in kvalitetni obravnavi bolnikov. V UKC Ljubljana te posege kot edini v Sloveniji izvajamo tudi na pediatrični populaciji.</w:t>
            </w:r>
          </w:p>
          <w:p w14:paraId="03DB4B4C" w14:textId="77777777" w:rsidR="00FE461F" w:rsidRPr="005E4BEA" w:rsidRDefault="00FE461F" w:rsidP="00FE461F">
            <w:pPr>
              <w:spacing w:after="0" w:line="240" w:lineRule="auto"/>
              <w:rPr>
                <w:rFonts w:cs="Arial"/>
                <w:b/>
                <w:bCs/>
                <w:color w:val="AEAAAA" w:themeColor="background2" w:themeShade="BF"/>
                <w:sz w:val="20"/>
                <w:szCs w:val="20"/>
              </w:rPr>
            </w:pPr>
            <w:r w:rsidRPr="005E4BEA">
              <w:rPr>
                <w:rFonts w:cs="Arial"/>
                <w:b/>
                <w:bCs/>
                <w:color w:val="AEAAAA" w:themeColor="background2" w:themeShade="BF"/>
                <w:sz w:val="20"/>
                <w:szCs w:val="20"/>
              </w:rPr>
              <w:t xml:space="preserve">Katetrska ablacija </w:t>
            </w:r>
            <w:proofErr w:type="spellStart"/>
            <w:r w:rsidRPr="005E4BEA">
              <w:rPr>
                <w:rFonts w:cs="Arial"/>
                <w:b/>
                <w:bCs/>
                <w:color w:val="AEAAAA" w:themeColor="background2" w:themeShade="BF"/>
                <w:sz w:val="20"/>
                <w:szCs w:val="20"/>
              </w:rPr>
              <w:t>nadprekatnih</w:t>
            </w:r>
            <w:proofErr w:type="spellEnd"/>
            <w:r w:rsidRPr="005E4BEA">
              <w:rPr>
                <w:rFonts w:cs="Arial"/>
                <w:b/>
                <w:bCs/>
                <w:color w:val="AEAAAA" w:themeColor="background2" w:themeShade="BF"/>
                <w:sz w:val="20"/>
                <w:szCs w:val="20"/>
              </w:rPr>
              <w:t xml:space="preserve"> tahikardij </w:t>
            </w:r>
          </w:p>
          <w:p w14:paraId="0EE44F45"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Katetrska ablacija žariščne atrijske tahikardije (AT), </w:t>
            </w:r>
            <w:proofErr w:type="spellStart"/>
            <w:r w:rsidRPr="005E4BEA">
              <w:rPr>
                <w:rFonts w:cs="Arial"/>
                <w:color w:val="AEAAAA" w:themeColor="background2" w:themeShade="BF"/>
                <w:sz w:val="20"/>
                <w:szCs w:val="20"/>
              </w:rPr>
              <w:t>atrioventrikularne</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nodalne</w:t>
            </w:r>
            <w:proofErr w:type="spellEnd"/>
            <w:r w:rsidRPr="005E4BEA">
              <w:rPr>
                <w:rFonts w:cs="Arial"/>
                <w:color w:val="AEAAAA" w:themeColor="background2" w:themeShade="BF"/>
                <w:sz w:val="20"/>
                <w:szCs w:val="20"/>
              </w:rPr>
              <w:t xml:space="preserve"> krožeče tahikardije (AVNRT), v sklopu sindroma Wolf-Parkinson-White (WPW), tipične atrijske </w:t>
            </w:r>
            <w:proofErr w:type="spellStart"/>
            <w:r w:rsidRPr="005E4BEA">
              <w:rPr>
                <w:rFonts w:cs="Arial"/>
                <w:color w:val="AEAAAA" w:themeColor="background2" w:themeShade="BF"/>
                <w:sz w:val="20"/>
                <w:szCs w:val="20"/>
              </w:rPr>
              <w:t>undulacije</w:t>
            </w:r>
            <w:proofErr w:type="spellEnd"/>
            <w:r w:rsidRPr="005E4BEA">
              <w:rPr>
                <w:rFonts w:cs="Arial"/>
                <w:color w:val="AEAAAA" w:themeColor="background2" w:themeShade="BF"/>
                <w:sz w:val="20"/>
                <w:szCs w:val="20"/>
              </w:rPr>
              <w:t xml:space="preserve"> (AU) je metoda, ki je v prvi vrsti namenjena zdravljenju simptomov bolezni. Pri nekaterih vrstah omenjenih tahikardij se lahko razvije t. i. </w:t>
            </w:r>
            <w:proofErr w:type="spellStart"/>
            <w:r w:rsidRPr="005E4BEA">
              <w:rPr>
                <w:rFonts w:cs="Arial"/>
                <w:color w:val="AEAAAA" w:themeColor="background2" w:themeShade="BF"/>
                <w:sz w:val="20"/>
                <w:szCs w:val="20"/>
              </w:rPr>
              <w:t>tahikardna</w:t>
            </w:r>
            <w:proofErr w:type="spellEnd"/>
            <w:r w:rsidRPr="005E4BEA">
              <w:rPr>
                <w:rFonts w:cs="Arial"/>
                <w:color w:val="AEAAAA" w:themeColor="background2" w:themeShade="BF"/>
                <w:sz w:val="20"/>
                <w:szCs w:val="20"/>
              </w:rPr>
              <w:t xml:space="preserve"> kardiomiopatija, ki vodi v srčno popuščanje in z njim povezano </w:t>
            </w:r>
            <w:proofErr w:type="spellStart"/>
            <w:r w:rsidRPr="005E4BEA">
              <w:rPr>
                <w:rFonts w:cs="Arial"/>
                <w:color w:val="AEAAAA" w:themeColor="background2" w:themeShade="BF"/>
                <w:sz w:val="20"/>
                <w:szCs w:val="20"/>
              </w:rPr>
              <w:t>zbolevnost</w:t>
            </w:r>
            <w:proofErr w:type="spellEnd"/>
            <w:r w:rsidRPr="005E4BEA">
              <w:rPr>
                <w:rFonts w:cs="Arial"/>
                <w:color w:val="AEAAAA" w:themeColor="background2" w:themeShade="BF"/>
                <w:sz w:val="20"/>
                <w:szCs w:val="20"/>
              </w:rPr>
              <w:t xml:space="preserve"> in povečano smrtnost. Redko (pri nekaterih oblikah sindroma WPW) lahko s katetrsko ablacijo preprečujemo pojav nenadne srčne smrti. Pri bolnikih z omenjenimi motnjami ritma je katetrska ablacija indicirana kot zdravljenje prvega izbora. Izsledki številnih študij namreč kažejo na veliko varnost (zapleti v manj kot 1% primerov) in učinkovitost (več kot 90% dolgoročna učinkovitost zdravljenja) katetrske ablacije pri teh bolnikih. Katetrska ablacija poteka na podoben način kot je opisano pod točko 1. prvega poglavja. Pri bolnikih z AVNRT in sindromom WPW pogosto uporabimo </w:t>
            </w:r>
            <w:proofErr w:type="spellStart"/>
            <w:r w:rsidRPr="005E4BEA">
              <w:rPr>
                <w:rFonts w:cs="Arial"/>
                <w:color w:val="AEAAAA" w:themeColor="background2" w:themeShade="BF"/>
                <w:sz w:val="20"/>
                <w:szCs w:val="20"/>
              </w:rPr>
              <w:t>krioablacijo</w:t>
            </w:r>
            <w:proofErr w:type="spellEnd"/>
            <w:r w:rsidRPr="005E4BEA">
              <w:rPr>
                <w:rFonts w:cs="Arial"/>
                <w:color w:val="AEAAAA" w:themeColor="background2" w:themeShade="BF"/>
                <w:sz w:val="20"/>
                <w:szCs w:val="20"/>
              </w:rPr>
              <w:t xml:space="preserve"> (ablacija s hlajenjem) namesto prej opisane </w:t>
            </w:r>
            <w:proofErr w:type="spellStart"/>
            <w:r w:rsidRPr="005E4BEA">
              <w:rPr>
                <w:rFonts w:cs="Arial"/>
                <w:color w:val="AEAAAA" w:themeColor="background2" w:themeShade="BF"/>
                <w:sz w:val="20"/>
                <w:szCs w:val="20"/>
              </w:rPr>
              <w:t>radiofrekvenčne</w:t>
            </w:r>
            <w:proofErr w:type="spellEnd"/>
            <w:r w:rsidRPr="005E4BEA">
              <w:rPr>
                <w:rFonts w:cs="Arial"/>
                <w:color w:val="AEAAAA" w:themeColor="background2" w:themeShade="BF"/>
                <w:sz w:val="20"/>
                <w:szCs w:val="20"/>
              </w:rPr>
              <w:t xml:space="preserve"> ablacije </w:t>
            </w:r>
          </w:p>
          <w:p w14:paraId="67C1C76E"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(ablacija s segrevanjem). Razlog za uporabo </w:t>
            </w:r>
            <w:proofErr w:type="spellStart"/>
            <w:r w:rsidRPr="005E4BEA">
              <w:rPr>
                <w:rFonts w:cs="Arial"/>
                <w:color w:val="AEAAAA" w:themeColor="background2" w:themeShade="BF"/>
                <w:sz w:val="20"/>
                <w:szCs w:val="20"/>
              </w:rPr>
              <w:t>krioablacije</w:t>
            </w:r>
            <w:proofErr w:type="spellEnd"/>
            <w:r w:rsidRPr="005E4BEA">
              <w:rPr>
                <w:rFonts w:cs="Arial"/>
                <w:color w:val="AEAAAA" w:themeColor="background2" w:themeShade="BF"/>
                <w:sz w:val="20"/>
                <w:szCs w:val="20"/>
              </w:rPr>
              <w:t xml:space="preserve"> je večja varnost posega v smislu poškodbe prevodnega sistema srca, s čimer preprečujemo zaplete, ki bi zahtevali vstavitev stalnega srčnega </w:t>
            </w:r>
            <w:proofErr w:type="spellStart"/>
            <w:r w:rsidRPr="005E4BEA">
              <w:rPr>
                <w:rFonts w:cs="Arial"/>
                <w:color w:val="AEAAAA" w:themeColor="background2" w:themeShade="BF"/>
                <w:sz w:val="20"/>
                <w:szCs w:val="20"/>
              </w:rPr>
              <w:t>spodbujevalnika.Katetrska</w:t>
            </w:r>
            <w:proofErr w:type="spellEnd"/>
            <w:r w:rsidRPr="005E4BEA">
              <w:rPr>
                <w:rFonts w:cs="Arial"/>
                <w:color w:val="AEAAAA" w:themeColor="background2" w:themeShade="BF"/>
                <w:sz w:val="20"/>
                <w:szCs w:val="20"/>
              </w:rPr>
              <w:t xml:space="preserve"> ablacija omenjenih </w:t>
            </w:r>
            <w:proofErr w:type="spellStart"/>
            <w:r w:rsidRPr="005E4BEA">
              <w:rPr>
                <w:rFonts w:cs="Arial"/>
                <w:color w:val="AEAAAA" w:themeColor="background2" w:themeShade="BF"/>
                <w:sz w:val="20"/>
                <w:szCs w:val="20"/>
              </w:rPr>
              <w:t>nadprekatnih</w:t>
            </w:r>
            <w:proofErr w:type="spellEnd"/>
            <w:r w:rsidRPr="005E4BEA">
              <w:rPr>
                <w:rFonts w:cs="Arial"/>
                <w:color w:val="AEAAAA" w:themeColor="background2" w:themeShade="BF"/>
                <w:sz w:val="20"/>
                <w:szCs w:val="20"/>
              </w:rPr>
              <w:t xml:space="preserve"> tahikardij je v luči opisanega pomembna metoda, ki pripomore h ustrezni in kvalitetni obravnavi bolnikov. V UKC Ljubljana te posege kot edini v Sloveniji izvajamo tudi na pediatrični populaciji</w:t>
            </w:r>
          </w:p>
          <w:p w14:paraId="100CBE1A" w14:textId="77777777" w:rsidR="00FE461F" w:rsidRPr="005E4BEA" w:rsidRDefault="00FE461F" w:rsidP="00FE461F">
            <w:pPr>
              <w:spacing w:after="0" w:line="240" w:lineRule="auto"/>
              <w:rPr>
                <w:rFonts w:cs="Arial"/>
                <w:b/>
                <w:bCs/>
                <w:color w:val="AEAAAA" w:themeColor="background2" w:themeShade="BF"/>
                <w:sz w:val="20"/>
                <w:szCs w:val="20"/>
              </w:rPr>
            </w:pPr>
            <w:r w:rsidRPr="005E4BEA">
              <w:rPr>
                <w:rFonts w:cs="Arial"/>
                <w:b/>
                <w:bCs/>
                <w:color w:val="AEAAAA" w:themeColor="background2" w:themeShade="BF"/>
                <w:sz w:val="20"/>
                <w:szCs w:val="20"/>
              </w:rPr>
              <w:t>Katetrska ablacija atrijske fibrilacije</w:t>
            </w:r>
          </w:p>
          <w:p w14:paraId="53E59794"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Katetrska ablacija atrijske fibrilacije je metoda, ki je v prvi vrsti namenjena zdravljenju simptomov bolezni. Pri bolnikih z atrijsko fibrilacijo je katetrska ablacija v prvi vrsti indicirana kot nadgradnja </w:t>
            </w:r>
            <w:proofErr w:type="spellStart"/>
            <w:r w:rsidRPr="005E4BEA">
              <w:rPr>
                <w:rFonts w:cs="Arial"/>
                <w:color w:val="AEAAAA" w:themeColor="background2" w:themeShade="BF"/>
                <w:sz w:val="20"/>
                <w:szCs w:val="20"/>
              </w:rPr>
              <w:t>medikamentoznega</w:t>
            </w:r>
            <w:proofErr w:type="spellEnd"/>
            <w:r w:rsidRPr="005E4BEA">
              <w:rPr>
                <w:rFonts w:cs="Arial"/>
                <w:color w:val="AEAAAA" w:themeColor="background2" w:themeShade="BF"/>
                <w:sz w:val="20"/>
                <w:szCs w:val="20"/>
              </w:rPr>
              <w:t xml:space="preserve"> zdravljenja. V manjšini primerov, kadar imajo bolniki izrazite simptome, so mladi, aktivni, jo lahko uporabimo kot zdravljenje prvega izbora. Izsledki številnih študij kažejo na varnost metode (zapleti se pojavljajo v 2-3%) in dokaj dobro učinkovitost (1-letna učinkovitost je okrog 80%; učinkovitost je bila v vseh študijah boljša od </w:t>
            </w:r>
            <w:proofErr w:type="spellStart"/>
            <w:r w:rsidRPr="005E4BEA">
              <w:rPr>
                <w:rFonts w:cs="Arial"/>
                <w:color w:val="AEAAAA" w:themeColor="background2" w:themeShade="BF"/>
                <w:sz w:val="20"/>
                <w:szCs w:val="20"/>
              </w:rPr>
              <w:t>medikamentoznega</w:t>
            </w:r>
            <w:proofErr w:type="spellEnd"/>
            <w:r w:rsidRPr="005E4BEA">
              <w:rPr>
                <w:rFonts w:cs="Arial"/>
                <w:color w:val="AEAAAA" w:themeColor="background2" w:themeShade="BF"/>
                <w:sz w:val="20"/>
                <w:szCs w:val="20"/>
              </w:rPr>
              <w:t xml:space="preserve"> zdravljenja).</w:t>
            </w:r>
          </w:p>
          <w:p w14:paraId="29F4E215"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Katetrska ablacija poteka na podoben način kot je opisano pod točko 1. prvega poglavja. Pri nekaterih bolnikih se lahko </w:t>
            </w:r>
          </w:p>
          <w:p w14:paraId="329206E3"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odločimo za balonsko </w:t>
            </w:r>
            <w:proofErr w:type="spellStart"/>
            <w:r w:rsidRPr="005E4BEA">
              <w:rPr>
                <w:rFonts w:cs="Arial"/>
                <w:color w:val="AEAAAA" w:themeColor="background2" w:themeShade="BF"/>
                <w:sz w:val="20"/>
                <w:szCs w:val="20"/>
              </w:rPr>
              <w:t>krioablacijo</w:t>
            </w:r>
            <w:proofErr w:type="spellEnd"/>
            <w:r w:rsidRPr="005E4BEA">
              <w:rPr>
                <w:rFonts w:cs="Arial"/>
                <w:color w:val="AEAAAA" w:themeColor="background2" w:themeShade="BF"/>
                <w:sz w:val="20"/>
                <w:szCs w:val="20"/>
              </w:rPr>
              <w:t xml:space="preserve"> z namenom izolacije pljučnih ven. Katetrska ablacija atrijske fibrilacije je v luči opisanega pomembna metoda, ki pripomore h ustrezni in kvalitetni obravnavi bolnikov.</w:t>
            </w:r>
          </w:p>
          <w:p w14:paraId="271F0257" w14:textId="77777777" w:rsidR="00FE461F" w:rsidRPr="005E4BEA" w:rsidRDefault="00FE461F" w:rsidP="00FE461F">
            <w:pPr>
              <w:spacing w:after="0" w:line="240" w:lineRule="auto"/>
              <w:rPr>
                <w:rFonts w:cs="Arial"/>
                <w:b/>
                <w:bCs/>
                <w:color w:val="AEAAAA" w:themeColor="background2" w:themeShade="BF"/>
                <w:sz w:val="20"/>
                <w:szCs w:val="20"/>
              </w:rPr>
            </w:pPr>
            <w:r w:rsidRPr="005E4BEA">
              <w:rPr>
                <w:rFonts w:cs="Arial"/>
                <w:b/>
                <w:bCs/>
                <w:color w:val="AEAAAA" w:themeColor="background2" w:themeShade="BF"/>
                <w:sz w:val="20"/>
                <w:szCs w:val="20"/>
              </w:rPr>
              <w:t>Hibridna ablacija atrijske fibrilacije</w:t>
            </w:r>
          </w:p>
          <w:p w14:paraId="6BA98F35"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Atrijska fibrilacija je najpogostejša </w:t>
            </w:r>
            <w:proofErr w:type="spellStart"/>
            <w:r w:rsidRPr="005E4BEA">
              <w:rPr>
                <w:rFonts w:cs="Arial"/>
                <w:color w:val="AEAAAA" w:themeColor="background2" w:themeShade="BF"/>
                <w:sz w:val="20"/>
                <w:szCs w:val="20"/>
              </w:rPr>
              <w:t>tahikardna</w:t>
            </w:r>
            <w:proofErr w:type="spellEnd"/>
            <w:r w:rsidRPr="005E4BEA">
              <w:rPr>
                <w:rFonts w:cs="Arial"/>
                <w:color w:val="AEAAAA" w:themeColor="background2" w:themeShade="BF"/>
                <w:sz w:val="20"/>
                <w:szCs w:val="20"/>
              </w:rPr>
              <w:t xml:space="preserve"> motnja ritma v odrasli populaciji. Zaradi pogostnosti predstavlja veliko breme za populacijo ter posledično tudi za zdravstveni sistem, zato je ključno, da za njeno zdravljenje uporabljamo najbolj učinkovite metode. Poseben problem predstavlja kronična oblika atrijske fibrilacije, </w:t>
            </w:r>
            <w:proofErr w:type="spellStart"/>
            <w:r w:rsidRPr="005E4BEA">
              <w:rPr>
                <w:rFonts w:cs="Arial"/>
                <w:color w:val="AEAAAA" w:themeColor="background2" w:themeShade="BF"/>
                <w:sz w:val="20"/>
                <w:szCs w:val="20"/>
              </w:rPr>
              <w:t>t.i</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perzistentna</w:t>
            </w:r>
            <w:proofErr w:type="spellEnd"/>
            <w:r w:rsidRPr="005E4BEA">
              <w:rPr>
                <w:rFonts w:cs="Arial"/>
                <w:color w:val="AEAAAA" w:themeColor="background2" w:themeShade="BF"/>
                <w:sz w:val="20"/>
                <w:szCs w:val="20"/>
              </w:rPr>
              <w:t xml:space="preserve"> oblika. Znano je, da so metode, ki jih sicer uporabljamo za zdravljenje atrijske fibrilacije, kot sta zdravljenje z </w:t>
            </w:r>
            <w:proofErr w:type="spellStart"/>
            <w:r w:rsidRPr="005E4BEA">
              <w:rPr>
                <w:rFonts w:cs="Arial"/>
                <w:color w:val="AEAAAA" w:themeColor="background2" w:themeShade="BF"/>
                <w:sz w:val="20"/>
                <w:szCs w:val="20"/>
              </w:rPr>
              <w:t>antiaritmičnimi</w:t>
            </w:r>
            <w:proofErr w:type="spellEnd"/>
            <w:r w:rsidRPr="005E4BEA">
              <w:rPr>
                <w:rFonts w:cs="Arial"/>
                <w:color w:val="AEAAAA" w:themeColor="background2" w:themeShade="BF"/>
                <w:sz w:val="20"/>
                <w:szCs w:val="20"/>
              </w:rPr>
              <w:t xml:space="preserve"> zdravili ter katetrska ablacija, pri tej obliki slabše učinkovite. Izsledki nedavne </w:t>
            </w:r>
            <w:proofErr w:type="spellStart"/>
            <w:r w:rsidRPr="005E4BEA">
              <w:rPr>
                <w:rFonts w:cs="Arial"/>
                <w:color w:val="AEAAAA" w:themeColor="background2" w:themeShade="BF"/>
                <w:sz w:val="20"/>
                <w:szCs w:val="20"/>
              </w:rPr>
              <w:t>multicentrične</w:t>
            </w:r>
            <w:proofErr w:type="spellEnd"/>
            <w:r w:rsidRPr="005E4BEA">
              <w:rPr>
                <w:rFonts w:cs="Arial"/>
                <w:color w:val="AEAAAA" w:themeColor="background2" w:themeShade="BF"/>
                <w:sz w:val="20"/>
                <w:szCs w:val="20"/>
              </w:rPr>
              <w:t xml:space="preserve"> </w:t>
            </w:r>
            <w:proofErr w:type="spellStart"/>
            <w:r w:rsidRPr="005E4BEA">
              <w:rPr>
                <w:rFonts w:cs="Arial"/>
                <w:color w:val="AEAAAA" w:themeColor="background2" w:themeShade="BF"/>
                <w:sz w:val="20"/>
                <w:szCs w:val="20"/>
              </w:rPr>
              <w:t>randomizirane</w:t>
            </w:r>
            <w:proofErr w:type="spellEnd"/>
            <w:r w:rsidRPr="005E4BEA">
              <w:rPr>
                <w:rFonts w:cs="Arial"/>
                <w:color w:val="AEAAAA" w:themeColor="background2" w:themeShade="BF"/>
                <w:sz w:val="20"/>
                <w:szCs w:val="20"/>
              </w:rPr>
              <w:t xml:space="preserve"> študije kažejo, da je uspešnost </w:t>
            </w:r>
            <w:proofErr w:type="spellStart"/>
            <w:r w:rsidRPr="005E4BEA">
              <w:rPr>
                <w:rFonts w:cs="Arial"/>
                <w:color w:val="AEAAAA" w:themeColor="background2" w:themeShade="BF"/>
                <w:sz w:val="20"/>
                <w:szCs w:val="20"/>
              </w:rPr>
              <w:t>t.i</w:t>
            </w:r>
            <w:proofErr w:type="spellEnd"/>
            <w:r w:rsidRPr="005E4BEA">
              <w:rPr>
                <w:rFonts w:cs="Arial"/>
                <w:color w:val="AEAAAA" w:themeColor="background2" w:themeShade="BF"/>
                <w:sz w:val="20"/>
                <w:szCs w:val="20"/>
              </w:rPr>
              <w:t xml:space="preserve">. hibridne ablacije za zdravljenje </w:t>
            </w:r>
            <w:proofErr w:type="spellStart"/>
            <w:r w:rsidRPr="005E4BEA">
              <w:rPr>
                <w:rFonts w:cs="Arial"/>
                <w:color w:val="AEAAAA" w:themeColor="background2" w:themeShade="BF"/>
                <w:sz w:val="20"/>
                <w:szCs w:val="20"/>
              </w:rPr>
              <w:t>perzistentne</w:t>
            </w:r>
            <w:proofErr w:type="spellEnd"/>
            <w:r w:rsidRPr="005E4BEA">
              <w:rPr>
                <w:rFonts w:cs="Arial"/>
                <w:color w:val="AEAAAA" w:themeColor="background2" w:themeShade="BF"/>
                <w:sz w:val="20"/>
                <w:szCs w:val="20"/>
              </w:rPr>
              <w:t xml:space="preserve"> atrijske fibrilacije pomembno boljša od katetrske ablacije (1). V omenjeni študiji so zabeležili odlično, približno 70% uspešnost pri dolgoročnem odpravljanju atrijske fibrilacije. Podobne rezultate s hibridno ablacijo pri bolnikih s </w:t>
            </w:r>
            <w:proofErr w:type="spellStart"/>
            <w:r w:rsidRPr="005E4BEA">
              <w:rPr>
                <w:rFonts w:cs="Arial"/>
                <w:color w:val="AEAAAA" w:themeColor="background2" w:themeShade="BF"/>
                <w:sz w:val="20"/>
                <w:szCs w:val="20"/>
              </w:rPr>
              <w:t>perzistentno</w:t>
            </w:r>
            <w:proofErr w:type="spellEnd"/>
            <w:r w:rsidRPr="005E4BEA">
              <w:rPr>
                <w:rFonts w:cs="Arial"/>
                <w:color w:val="AEAAAA" w:themeColor="background2" w:themeShade="BF"/>
                <w:sz w:val="20"/>
                <w:szCs w:val="20"/>
              </w:rPr>
              <w:t xml:space="preserve"> atrijsko fibrilacijo smo v preteklosti dosegli tudi v UKC Ljubljana (2, 3, 4).</w:t>
            </w:r>
          </w:p>
          <w:p w14:paraId="62E7C8A8"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Potrebno je omeniti, da je hibridna ablacija uveljavljen in multidisciplinaren pristop k zdravljenju atrijske fibrilacije, </w:t>
            </w:r>
            <w:proofErr w:type="spellStart"/>
            <w:r w:rsidRPr="005E4BEA">
              <w:rPr>
                <w:rFonts w:cs="Arial"/>
                <w:color w:val="AEAAAA" w:themeColor="background2" w:themeShade="BF"/>
                <w:sz w:val="20"/>
                <w:szCs w:val="20"/>
              </w:rPr>
              <w:t>kivključuje</w:t>
            </w:r>
            <w:proofErr w:type="spellEnd"/>
            <w:r w:rsidRPr="005E4BEA">
              <w:rPr>
                <w:rFonts w:cs="Arial"/>
                <w:color w:val="AEAAAA" w:themeColor="background2" w:themeShade="BF"/>
                <w:sz w:val="20"/>
                <w:szCs w:val="20"/>
              </w:rPr>
              <w:t xml:space="preserve"> sodelovanje kardiovaskularnega kirurga, kardiologa </w:t>
            </w:r>
            <w:proofErr w:type="spellStart"/>
            <w:r w:rsidRPr="005E4BEA">
              <w:rPr>
                <w:rFonts w:cs="Arial"/>
                <w:color w:val="AEAAAA" w:themeColor="background2" w:themeShade="BF"/>
                <w:sz w:val="20"/>
                <w:szCs w:val="20"/>
              </w:rPr>
              <w:t>elektrofiziologa</w:t>
            </w:r>
            <w:proofErr w:type="spellEnd"/>
            <w:r w:rsidRPr="005E4BEA">
              <w:rPr>
                <w:rFonts w:cs="Arial"/>
                <w:color w:val="AEAAAA" w:themeColor="background2" w:themeShade="BF"/>
                <w:sz w:val="20"/>
                <w:szCs w:val="20"/>
              </w:rPr>
              <w:t xml:space="preserve">, anesteziologa ter drugih članov multidisciplinarne ekipe. Sestavljena je iz </w:t>
            </w:r>
            <w:proofErr w:type="spellStart"/>
            <w:r w:rsidRPr="005E4BEA">
              <w:rPr>
                <w:rFonts w:cs="Arial"/>
                <w:color w:val="AEAAAA" w:themeColor="background2" w:themeShade="BF"/>
                <w:sz w:val="20"/>
                <w:szCs w:val="20"/>
              </w:rPr>
              <w:t>epikardialne</w:t>
            </w:r>
            <w:proofErr w:type="spellEnd"/>
            <w:r w:rsidRPr="005E4BEA">
              <w:rPr>
                <w:rFonts w:cs="Arial"/>
                <w:color w:val="AEAAAA" w:themeColor="background2" w:themeShade="BF"/>
                <w:sz w:val="20"/>
                <w:szCs w:val="20"/>
              </w:rPr>
              <w:t xml:space="preserve"> ablacije levega preddvora s </w:t>
            </w:r>
            <w:proofErr w:type="spellStart"/>
            <w:r w:rsidRPr="005E4BEA">
              <w:rPr>
                <w:rFonts w:cs="Arial"/>
                <w:color w:val="AEAAAA" w:themeColor="background2" w:themeShade="BF"/>
                <w:sz w:val="20"/>
                <w:szCs w:val="20"/>
              </w:rPr>
              <w:t>subksifoidnim</w:t>
            </w:r>
            <w:proofErr w:type="spellEnd"/>
            <w:r w:rsidRPr="005E4BEA">
              <w:rPr>
                <w:rFonts w:cs="Arial"/>
                <w:color w:val="AEAAAA" w:themeColor="background2" w:themeShade="BF"/>
                <w:sz w:val="20"/>
                <w:szCs w:val="20"/>
              </w:rPr>
              <w:t xml:space="preserve">, minimalno invazivnim </w:t>
            </w:r>
          </w:p>
          <w:p w14:paraId="7109BE27"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t xml:space="preserve">kirurškim pristopom ter </w:t>
            </w:r>
            <w:proofErr w:type="spellStart"/>
            <w:r w:rsidRPr="005E4BEA">
              <w:rPr>
                <w:rFonts w:cs="Arial"/>
                <w:color w:val="AEAAAA" w:themeColor="background2" w:themeShade="BF"/>
                <w:sz w:val="20"/>
                <w:szCs w:val="20"/>
              </w:rPr>
              <w:t>endokardialne</w:t>
            </w:r>
            <w:proofErr w:type="spellEnd"/>
            <w:r w:rsidRPr="005E4BEA">
              <w:rPr>
                <w:rFonts w:cs="Arial"/>
                <w:color w:val="AEAAAA" w:themeColor="background2" w:themeShade="BF"/>
                <w:sz w:val="20"/>
                <w:szCs w:val="20"/>
              </w:rPr>
              <w:t xml:space="preserve"> katetrske ablacije levega preddvora. Cilj posega je ablacija zadnje stene levega preddvora ter izolacija vseh pljučnih ven.</w:t>
            </w:r>
          </w:p>
          <w:p w14:paraId="1DD0D84E" w14:textId="77777777" w:rsidR="00FE461F" w:rsidRPr="005E4BEA" w:rsidRDefault="00FE461F" w:rsidP="00FE461F">
            <w:pPr>
              <w:spacing w:after="0" w:line="240" w:lineRule="auto"/>
              <w:rPr>
                <w:rFonts w:cs="Arial"/>
                <w:color w:val="AEAAAA" w:themeColor="background2" w:themeShade="BF"/>
                <w:sz w:val="20"/>
                <w:szCs w:val="20"/>
              </w:rPr>
            </w:pPr>
            <w:r w:rsidRPr="005E4BEA">
              <w:rPr>
                <w:rFonts w:cs="Arial"/>
                <w:color w:val="AEAAAA" w:themeColor="background2" w:themeShade="BF"/>
                <w:sz w:val="20"/>
                <w:szCs w:val="20"/>
              </w:rPr>
              <w:lastRenderedPageBreak/>
              <w:t xml:space="preserve">Bolniki, ki jim uspešno opravimo hibridno ablacijo atrijske fibrilacije potrebujejo dolgoročno manj zdravljenja z zdravili, manjkrat poiščejo zdravstveno pomoč, imajo manjše število ponovnih hospitalizacij in so v nadaljevanju življenja lahko bolj delovno produktivni in aktivni. Ocenjujemo, da je letno v Sloveniji 30-40 kandidatov za hibridno </w:t>
            </w:r>
            <w:proofErr w:type="spellStart"/>
            <w:r w:rsidRPr="005E4BEA">
              <w:rPr>
                <w:rFonts w:cs="Arial"/>
                <w:color w:val="AEAAAA" w:themeColor="background2" w:themeShade="BF"/>
                <w:sz w:val="20"/>
                <w:szCs w:val="20"/>
              </w:rPr>
              <w:t>ablacijo.Hibridne</w:t>
            </w:r>
            <w:proofErr w:type="spellEnd"/>
            <w:r w:rsidRPr="005E4BEA">
              <w:rPr>
                <w:rFonts w:cs="Arial"/>
                <w:color w:val="AEAAAA" w:themeColor="background2" w:themeShade="BF"/>
                <w:sz w:val="20"/>
                <w:szCs w:val="20"/>
              </w:rPr>
              <w:t xml:space="preserve"> ablacije v Sloveniji izvajamo le v UKC Ljubljana.</w:t>
            </w:r>
          </w:p>
        </w:tc>
      </w:tr>
    </w:tbl>
    <w:p w14:paraId="529E870F" w14:textId="77777777" w:rsidR="00FE461F" w:rsidRPr="005E4BEA" w:rsidRDefault="00FE461F" w:rsidP="00FE461F">
      <w:pPr>
        <w:spacing w:line="240" w:lineRule="auto"/>
        <w:jc w:val="both"/>
        <w:rPr>
          <w:rFonts w:cs="Arial"/>
          <w:i/>
          <w:iCs/>
          <w:color w:val="808080" w:themeColor="background1" w:themeShade="80"/>
          <w:szCs w:val="20"/>
        </w:rPr>
      </w:pPr>
    </w:p>
    <w:p w14:paraId="26B03EF7" w14:textId="4B59372B"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8-9 mio €</w:t>
      </w:r>
    </w:p>
    <w:p w14:paraId="38A63A79" w14:textId="77777777" w:rsidR="0065417A" w:rsidRPr="005E4BEA" w:rsidRDefault="0065417A" w:rsidP="00FE461F">
      <w:pPr>
        <w:spacing w:line="240" w:lineRule="auto"/>
        <w:jc w:val="both"/>
        <w:rPr>
          <w:rFonts w:cs="Arial"/>
          <w:i/>
          <w:iCs/>
          <w:color w:val="808080" w:themeColor="background1" w:themeShade="80"/>
          <w:szCs w:val="20"/>
        </w:rPr>
      </w:pPr>
    </w:p>
    <w:p w14:paraId="15ED56D9" w14:textId="16BC76AB" w:rsidR="00487C03" w:rsidRPr="005E4BEA" w:rsidRDefault="00487C03" w:rsidP="00487C0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2C063B" w:rsidRPr="005E4BEA">
        <w:rPr>
          <w:rFonts w:eastAsia="Arial Narrow" w:cs="Arial"/>
          <w:szCs w:val="20"/>
        </w:rPr>
        <w:t xml:space="preserve">, saj je podprlo predlog ZZZS v </w:t>
      </w:r>
      <w:proofErr w:type="spellStart"/>
      <w:r w:rsidR="002C063B" w:rsidRPr="005E4BEA">
        <w:rPr>
          <w:rFonts w:eastAsia="Arial Narrow" w:cs="Arial"/>
          <w:szCs w:val="20"/>
        </w:rPr>
        <w:t>ovkiru</w:t>
      </w:r>
      <w:proofErr w:type="spellEnd"/>
      <w:r w:rsidR="002C063B" w:rsidRPr="005E4BEA">
        <w:rPr>
          <w:rFonts w:eastAsia="Arial Narrow" w:cs="Arial"/>
          <w:szCs w:val="20"/>
        </w:rPr>
        <w:t xml:space="preserve"> 36 spornega vprašanja.</w:t>
      </w:r>
    </w:p>
    <w:p w14:paraId="4D29843E" w14:textId="77777777" w:rsidR="00487C03" w:rsidRPr="005E4BEA" w:rsidRDefault="00487C03" w:rsidP="00487C03">
      <w:pPr>
        <w:spacing w:line="0" w:lineRule="atLeast"/>
        <w:jc w:val="both"/>
        <w:rPr>
          <w:rFonts w:eastAsia="Arial Narrow" w:cs="Arial"/>
          <w:szCs w:val="20"/>
          <w:lang w:eastAsia="sl-SI"/>
        </w:rPr>
      </w:pPr>
    </w:p>
    <w:p w14:paraId="4CC32E51" w14:textId="629F784F" w:rsidR="00487C03" w:rsidRPr="005E4BEA" w:rsidRDefault="00487C03" w:rsidP="00487C03">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55" w:name="_Hlk102467659"/>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se 24. člen</w:t>
      </w:r>
      <w:r w:rsidR="0065417A" w:rsidRPr="005E4BEA">
        <w:rPr>
          <w:rFonts w:eastAsia="Arial Narrow" w:cs="Arial"/>
          <w:szCs w:val="20"/>
        </w:rPr>
        <w:t>, Priloga I/b, Priloga III in Priloga BOL</w:t>
      </w:r>
      <w:r w:rsidRPr="005E4BEA">
        <w:rPr>
          <w:rFonts w:eastAsia="Arial Narrow" w:cs="Arial"/>
          <w:szCs w:val="20"/>
        </w:rPr>
        <w:t xml:space="preserve"> Splošnega dogovora za pogodbeno leto 2022 ne spremeni</w:t>
      </w:r>
      <w:r w:rsidR="0065417A" w:rsidRPr="005E4BEA">
        <w:rPr>
          <w:rFonts w:eastAsia="Arial Narrow" w:cs="Arial"/>
          <w:szCs w:val="20"/>
        </w:rPr>
        <w:t>jo</w:t>
      </w:r>
      <w:bookmarkEnd w:id="55"/>
      <w:r w:rsidR="0065417A" w:rsidRPr="005E4BEA">
        <w:rPr>
          <w:rFonts w:eastAsia="Arial Narrow" w:cs="Arial"/>
          <w:szCs w:val="20"/>
        </w:rPr>
        <w:t>.</w:t>
      </w:r>
    </w:p>
    <w:p w14:paraId="1AD752BB" w14:textId="518D9637" w:rsidR="0065417A" w:rsidRPr="005E4BEA" w:rsidRDefault="0065417A" w:rsidP="00487C03">
      <w:pPr>
        <w:spacing w:line="0" w:lineRule="atLeast"/>
        <w:jc w:val="both"/>
        <w:rPr>
          <w:rFonts w:eastAsia="Arial Narrow" w:cs="Arial"/>
          <w:szCs w:val="20"/>
        </w:rPr>
      </w:pPr>
    </w:p>
    <w:p w14:paraId="6F19F11E" w14:textId="77777777" w:rsidR="0065417A" w:rsidRPr="005E4BEA" w:rsidRDefault="0065417A" w:rsidP="0065417A">
      <w:pPr>
        <w:spacing w:line="240" w:lineRule="auto"/>
        <w:jc w:val="both"/>
        <w:rPr>
          <w:rFonts w:cs="Arial"/>
          <w:i/>
          <w:iCs/>
          <w:color w:val="808080"/>
          <w:szCs w:val="20"/>
        </w:rPr>
      </w:pPr>
    </w:p>
    <w:p w14:paraId="51440103" w14:textId="073682D6" w:rsidR="0065417A" w:rsidRPr="005E4BEA" w:rsidRDefault="0065417A"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(53)</w:t>
      </w:r>
    </w:p>
    <w:p w14:paraId="38E7A655" w14:textId="77777777" w:rsidR="0065417A" w:rsidRPr="005E4BEA" w:rsidRDefault="0065417A" w:rsidP="0065417A">
      <w:pPr>
        <w:spacing w:line="240" w:lineRule="auto"/>
        <w:jc w:val="both"/>
        <w:rPr>
          <w:rFonts w:cs="Arial"/>
          <w:i/>
          <w:iCs/>
          <w:color w:val="808080" w:themeColor="background1" w:themeShade="80"/>
          <w:szCs w:val="20"/>
        </w:rPr>
      </w:pPr>
    </w:p>
    <w:p w14:paraId="2B94F035" w14:textId="379A5EE4" w:rsidR="00FE461F" w:rsidRPr="005E4BEA" w:rsidRDefault="0065417A" w:rsidP="0065417A">
      <w:pPr>
        <w:spacing w:line="0" w:lineRule="atLeast"/>
        <w:jc w:val="both"/>
        <w:rPr>
          <w:rFonts w:cs="Arial"/>
          <w:szCs w:val="20"/>
        </w:rPr>
      </w:pPr>
      <w:r w:rsidRPr="005E4BEA">
        <w:rPr>
          <w:rFonts w:cs="Arial"/>
          <w:b/>
          <w:bCs/>
          <w:szCs w:val="20"/>
        </w:rPr>
        <w:t xml:space="preserve">Združenje zdravstvenih zavodov Slovenije </w:t>
      </w:r>
      <w:r w:rsidRPr="005E4BEA">
        <w:rPr>
          <w:rFonts w:cs="Arial"/>
          <w:szCs w:val="20"/>
        </w:rPr>
        <w:t>predlaga, da se v 24. členu v (6) odstavku za nujne širitve programov oziroma uvajanje novih terapij pri zdravljenju v okviru prvega in drugega</w:t>
      </w:r>
      <w:r w:rsidRPr="005E4BEA">
        <w:rPr>
          <w:rFonts w:eastAsia="Arial Narrow" w:cs="Arial"/>
          <w:szCs w:val="20"/>
        </w:rPr>
        <w:t xml:space="preserve"> </w:t>
      </w:r>
      <w:r w:rsidR="00FE461F" w:rsidRPr="005E4BEA">
        <w:rPr>
          <w:rFonts w:cs="Arial"/>
          <w:szCs w:val="20"/>
        </w:rPr>
        <w:t>odstavka tega člena načrtujejo dodatna sredstva:</w:t>
      </w:r>
    </w:p>
    <w:p w14:paraId="38372366" w14:textId="77777777" w:rsidR="0065417A" w:rsidRPr="005E4BEA" w:rsidRDefault="0065417A" w:rsidP="0065417A">
      <w:pPr>
        <w:spacing w:line="0" w:lineRule="atLeast"/>
        <w:jc w:val="both"/>
        <w:rPr>
          <w:rFonts w:eastAsia="Arial Narrow" w:cs="Arial"/>
          <w:szCs w:val="20"/>
        </w:rPr>
      </w:pPr>
    </w:p>
    <w:tbl>
      <w:tblPr>
        <w:tblW w:w="9480" w:type="dxa"/>
        <w:tblInd w:w="-20" w:type="dxa"/>
        <w:tblCellMar>
          <w:left w:w="70" w:type="dxa"/>
          <w:right w:w="70" w:type="dxa"/>
        </w:tblCellMar>
        <w:tblLook w:val="04A0" w:firstRow="1" w:lastRow="0" w:firstColumn="1" w:lastColumn="0" w:noHBand="0" w:noVBand="1"/>
      </w:tblPr>
      <w:tblGrid>
        <w:gridCol w:w="552"/>
        <w:gridCol w:w="2440"/>
        <w:gridCol w:w="1903"/>
        <w:gridCol w:w="1245"/>
        <w:gridCol w:w="1580"/>
        <w:gridCol w:w="1760"/>
      </w:tblGrid>
      <w:tr w:rsidR="00FE461F" w:rsidRPr="005E4BEA" w14:paraId="269F6B4D" w14:textId="77777777" w:rsidTr="0065417A">
        <w:trPr>
          <w:trHeight w:val="792"/>
        </w:trPr>
        <w:tc>
          <w:tcPr>
            <w:tcW w:w="552"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0BCFEA76" w14:textId="77777777" w:rsidR="00FE461F" w:rsidRPr="005E4BEA" w:rsidRDefault="00FE461F" w:rsidP="00FE461F">
            <w:pPr>
              <w:spacing w:line="240" w:lineRule="auto"/>
              <w:jc w:val="both"/>
              <w:rPr>
                <w:rFonts w:cs="Arial"/>
                <w:b/>
                <w:bCs/>
                <w:color w:val="000000"/>
                <w:szCs w:val="20"/>
              </w:rPr>
            </w:pPr>
            <w:proofErr w:type="spellStart"/>
            <w:r w:rsidRPr="005E4BEA">
              <w:rPr>
                <w:rFonts w:cs="Arial"/>
                <w:b/>
                <w:bCs/>
                <w:color w:val="000000"/>
                <w:szCs w:val="20"/>
              </w:rPr>
              <w:t>Zap</w:t>
            </w:r>
            <w:proofErr w:type="spellEnd"/>
            <w:r w:rsidRPr="005E4BEA">
              <w:rPr>
                <w:rFonts w:cs="Arial"/>
                <w:b/>
                <w:bCs/>
                <w:color w:val="000000"/>
                <w:szCs w:val="20"/>
              </w:rPr>
              <w:t>.</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4262761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P r o g r a m</w:t>
            </w:r>
          </w:p>
        </w:tc>
        <w:tc>
          <w:tcPr>
            <w:tcW w:w="1903" w:type="dxa"/>
            <w:vMerge w:val="restart"/>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565996FD"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I z v a j a l e c</w:t>
            </w:r>
          </w:p>
        </w:tc>
        <w:tc>
          <w:tcPr>
            <w:tcW w:w="1245"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14:paraId="4602560E"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Obseg programa</w:t>
            </w:r>
          </w:p>
        </w:tc>
        <w:tc>
          <w:tcPr>
            <w:tcW w:w="1580" w:type="dxa"/>
            <w:tcBorders>
              <w:top w:val="single" w:sz="4" w:space="0" w:color="auto"/>
              <w:left w:val="nil"/>
              <w:bottom w:val="single" w:sz="4" w:space="0" w:color="auto"/>
              <w:right w:val="single" w:sz="4" w:space="0" w:color="auto"/>
            </w:tcBorders>
            <w:shd w:val="clear" w:color="000000" w:fill="DEEAF6"/>
            <w:noWrap/>
            <w:vAlign w:val="center"/>
            <w:hideMark/>
          </w:tcPr>
          <w:p w14:paraId="62AC315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 na letni ravni</w:t>
            </w:r>
          </w:p>
        </w:tc>
        <w:tc>
          <w:tcPr>
            <w:tcW w:w="1760" w:type="dxa"/>
            <w:tcBorders>
              <w:top w:val="single" w:sz="4" w:space="0" w:color="auto"/>
              <w:left w:val="nil"/>
              <w:bottom w:val="single" w:sz="4" w:space="0" w:color="auto"/>
              <w:right w:val="single" w:sz="4" w:space="0" w:color="auto"/>
            </w:tcBorders>
            <w:shd w:val="clear" w:color="000000" w:fill="DEEAF6"/>
            <w:noWrap/>
            <w:vAlign w:val="center"/>
            <w:hideMark/>
          </w:tcPr>
          <w:p w14:paraId="02EF04F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 1.1.-31.12.2022</w:t>
            </w:r>
          </w:p>
        </w:tc>
      </w:tr>
      <w:tr w:rsidR="00FE461F" w:rsidRPr="005E4BEA" w14:paraId="53F6F787" w14:textId="77777777" w:rsidTr="0065417A">
        <w:trPr>
          <w:trHeight w:val="288"/>
        </w:trPr>
        <w:tc>
          <w:tcPr>
            <w:tcW w:w="552" w:type="dxa"/>
            <w:tcBorders>
              <w:top w:val="nil"/>
              <w:left w:val="single" w:sz="4" w:space="0" w:color="auto"/>
              <w:bottom w:val="single" w:sz="4" w:space="0" w:color="auto"/>
              <w:right w:val="single" w:sz="4" w:space="0" w:color="auto"/>
            </w:tcBorders>
            <w:shd w:val="clear" w:color="000000" w:fill="DEEAF6"/>
            <w:noWrap/>
            <w:vAlign w:val="center"/>
            <w:hideMark/>
          </w:tcPr>
          <w:p w14:paraId="4CE43973"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št</w:t>
            </w: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6A7CBE67" w14:textId="77777777" w:rsidR="00FE461F" w:rsidRPr="005E4BEA" w:rsidRDefault="00FE461F" w:rsidP="00FE461F">
            <w:pPr>
              <w:spacing w:line="240" w:lineRule="auto"/>
              <w:rPr>
                <w:rFonts w:cs="Arial"/>
                <w:b/>
                <w:bCs/>
                <w:color w:val="000000"/>
                <w:szCs w:val="20"/>
              </w:rPr>
            </w:pPr>
          </w:p>
        </w:tc>
        <w:tc>
          <w:tcPr>
            <w:tcW w:w="1903" w:type="dxa"/>
            <w:vMerge/>
            <w:tcBorders>
              <w:top w:val="single" w:sz="4" w:space="0" w:color="auto"/>
              <w:left w:val="single" w:sz="4" w:space="0" w:color="auto"/>
              <w:bottom w:val="single" w:sz="4" w:space="0" w:color="auto"/>
              <w:right w:val="single" w:sz="4" w:space="0" w:color="auto"/>
            </w:tcBorders>
            <w:vAlign w:val="center"/>
            <w:hideMark/>
          </w:tcPr>
          <w:p w14:paraId="4EA15626" w14:textId="77777777" w:rsidR="00FE461F" w:rsidRPr="005E4BEA" w:rsidRDefault="00FE461F" w:rsidP="00FE461F">
            <w:pPr>
              <w:spacing w:line="240" w:lineRule="auto"/>
              <w:rPr>
                <w:rFonts w:cs="Arial"/>
                <w:b/>
                <w:bCs/>
                <w:color w:val="000000"/>
                <w:szCs w:val="2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1E72DCC1" w14:textId="77777777" w:rsidR="00FE461F" w:rsidRPr="005E4BEA" w:rsidRDefault="00FE461F" w:rsidP="00FE461F">
            <w:pPr>
              <w:spacing w:line="240" w:lineRule="auto"/>
              <w:rPr>
                <w:rFonts w:cs="Arial"/>
                <w:b/>
                <w:bCs/>
                <w:color w:val="000000"/>
                <w:szCs w:val="20"/>
              </w:rPr>
            </w:pPr>
          </w:p>
        </w:tc>
        <w:tc>
          <w:tcPr>
            <w:tcW w:w="1580" w:type="dxa"/>
            <w:tcBorders>
              <w:top w:val="nil"/>
              <w:left w:val="nil"/>
              <w:bottom w:val="single" w:sz="4" w:space="0" w:color="auto"/>
              <w:right w:val="single" w:sz="4" w:space="0" w:color="auto"/>
            </w:tcBorders>
            <w:shd w:val="clear" w:color="000000" w:fill="DEEAF6"/>
            <w:noWrap/>
            <w:vAlign w:val="center"/>
            <w:hideMark/>
          </w:tcPr>
          <w:p w14:paraId="378B8FA3"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c>
          <w:tcPr>
            <w:tcW w:w="1760" w:type="dxa"/>
            <w:tcBorders>
              <w:top w:val="nil"/>
              <w:left w:val="nil"/>
              <w:bottom w:val="single" w:sz="4" w:space="0" w:color="auto"/>
              <w:right w:val="single" w:sz="4" w:space="0" w:color="auto"/>
            </w:tcBorders>
            <w:shd w:val="clear" w:color="000000" w:fill="DEEAF6"/>
            <w:noWrap/>
            <w:vAlign w:val="center"/>
            <w:hideMark/>
          </w:tcPr>
          <w:p w14:paraId="00122A8C"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r>
      <w:tr w:rsidR="00FE461F" w:rsidRPr="005E4BEA" w14:paraId="56285C50"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4482D880"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w:t>
            </w:r>
          </w:p>
        </w:tc>
        <w:tc>
          <w:tcPr>
            <w:tcW w:w="2440" w:type="dxa"/>
            <w:tcBorders>
              <w:top w:val="nil"/>
              <w:left w:val="nil"/>
              <w:bottom w:val="single" w:sz="4" w:space="0" w:color="auto"/>
              <w:right w:val="single" w:sz="4" w:space="0" w:color="auto"/>
            </w:tcBorders>
            <w:shd w:val="clear" w:color="auto" w:fill="auto"/>
            <w:vAlign w:val="center"/>
          </w:tcPr>
          <w:p w14:paraId="6AB88189"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434E5935" w14:textId="77777777" w:rsidR="00FE461F" w:rsidRPr="005E4BEA" w:rsidRDefault="00FE461F" w:rsidP="00FE461F">
            <w:pPr>
              <w:spacing w:line="240" w:lineRule="auto"/>
              <w:jc w:val="both"/>
              <w:rPr>
                <w:rFonts w:cs="Arial"/>
                <w:b/>
                <w:bCs/>
                <w:color w:val="000000"/>
                <w:szCs w:val="20"/>
              </w:rPr>
            </w:pPr>
            <w:r w:rsidRPr="005E4BEA">
              <w:rPr>
                <w:rFonts w:cs="Arial"/>
                <w:szCs w:val="20"/>
              </w:rPr>
              <w:t>Od 1. 7. 2022</w:t>
            </w:r>
          </w:p>
        </w:tc>
        <w:tc>
          <w:tcPr>
            <w:tcW w:w="1903" w:type="dxa"/>
            <w:tcBorders>
              <w:top w:val="nil"/>
              <w:left w:val="nil"/>
              <w:bottom w:val="single" w:sz="4" w:space="0" w:color="auto"/>
              <w:right w:val="single" w:sz="4" w:space="0" w:color="auto"/>
            </w:tcBorders>
            <w:shd w:val="clear" w:color="auto" w:fill="auto"/>
            <w:noWrap/>
            <w:vAlign w:val="center"/>
          </w:tcPr>
          <w:p w14:paraId="2FC12A6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UKC LJUBLJANA</w:t>
            </w:r>
          </w:p>
        </w:tc>
        <w:tc>
          <w:tcPr>
            <w:tcW w:w="1245" w:type="dxa"/>
            <w:tcBorders>
              <w:top w:val="nil"/>
              <w:left w:val="nil"/>
              <w:bottom w:val="single" w:sz="4" w:space="0" w:color="auto"/>
              <w:right w:val="single" w:sz="4" w:space="0" w:color="auto"/>
            </w:tcBorders>
            <w:shd w:val="clear" w:color="auto" w:fill="auto"/>
            <w:noWrap/>
            <w:vAlign w:val="center"/>
          </w:tcPr>
          <w:p w14:paraId="2085B88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894</w:t>
            </w:r>
          </w:p>
        </w:tc>
        <w:tc>
          <w:tcPr>
            <w:tcW w:w="1580" w:type="dxa"/>
            <w:tcBorders>
              <w:top w:val="nil"/>
              <w:left w:val="nil"/>
              <w:bottom w:val="single" w:sz="4" w:space="0" w:color="auto"/>
              <w:right w:val="single" w:sz="4" w:space="0" w:color="auto"/>
            </w:tcBorders>
            <w:shd w:val="clear" w:color="auto" w:fill="auto"/>
            <w:noWrap/>
            <w:vAlign w:val="center"/>
          </w:tcPr>
          <w:p w14:paraId="45058CA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5.906.799,01</w:t>
            </w:r>
          </w:p>
          <w:p w14:paraId="00F0D80E"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329D4337" w14:textId="77777777" w:rsidR="00FE461F" w:rsidRPr="005E4BEA" w:rsidRDefault="00FE461F" w:rsidP="00FE461F">
            <w:pPr>
              <w:spacing w:line="240" w:lineRule="auto"/>
              <w:jc w:val="both"/>
              <w:rPr>
                <w:rFonts w:cs="Arial"/>
                <w:b/>
                <w:bCs/>
                <w:color w:val="000000"/>
                <w:szCs w:val="20"/>
              </w:rPr>
            </w:pPr>
          </w:p>
        </w:tc>
      </w:tr>
      <w:tr w:rsidR="00FE461F" w:rsidRPr="005E4BEA" w14:paraId="4C587837" w14:textId="77777777" w:rsidTr="0065417A">
        <w:trPr>
          <w:trHeight w:hRule="exact" w:val="792"/>
        </w:trPr>
        <w:tc>
          <w:tcPr>
            <w:tcW w:w="552" w:type="dxa"/>
            <w:tcBorders>
              <w:top w:val="nil"/>
              <w:left w:val="single" w:sz="4" w:space="0" w:color="auto"/>
              <w:bottom w:val="nil"/>
              <w:right w:val="single" w:sz="4" w:space="0" w:color="auto"/>
            </w:tcBorders>
            <w:shd w:val="clear" w:color="auto" w:fill="auto"/>
            <w:noWrap/>
            <w:vAlign w:val="center"/>
          </w:tcPr>
          <w:p w14:paraId="656A4B6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2</w:t>
            </w:r>
          </w:p>
        </w:tc>
        <w:tc>
          <w:tcPr>
            <w:tcW w:w="2440" w:type="dxa"/>
            <w:tcBorders>
              <w:top w:val="nil"/>
              <w:left w:val="nil"/>
              <w:bottom w:val="nil"/>
              <w:right w:val="single" w:sz="4" w:space="0" w:color="auto"/>
            </w:tcBorders>
            <w:shd w:val="clear" w:color="auto" w:fill="auto"/>
            <w:vAlign w:val="center"/>
          </w:tcPr>
          <w:p w14:paraId="39DBAAF3"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3B3A01C5" w14:textId="77777777" w:rsidR="00FE461F" w:rsidRPr="005E4BEA" w:rsidRDefault="00FE461F" w:rsidP="00FE461F">
            <w:pPr>
              <w:spacing w:line="240" w:lineRule="auto"/>
              <w:jc w:val="both"/>
              <w:rPr>
                <w:rFonts w:cs="Arial"/>
                <w:b/>
                <w:bCs/>
                <w:color w:val="000000"/>
                <w:szCs w:val="20"/>
              </w:rPr>
            </w:pPr>
            <w:r w:rsidRPr="005E4BEA">
              <w:rPr>
                <w:rFonts w:cs="Arial"/>
                <w:szCs w:val="20"/>
              </w:rPr>
              <w:t>Od 1. 7. 2022</w:t>
            </w:r>
          </w:p>
        </w:tc>
        <w:tc>
          <w:tcPr>
            <w:tcW w:w="1903" w:type="dxa"/>
            <w:tcBorders>
              <w:top w:val="nil"/>
              <w:left w:val="nil"/>
              <w:bottom w:val="nil"/>
              <w:right w:val="single" w:sz="4" w:space="0" w:color="auto"/>
            </w:tcBorders>
            <w:shd w:val="clear" w:color="auto" w:fill="auto"/>
            <w:noWrap/>
            <w:vAlign w:val="center"/>
          </w:tcPr>
          <w:p w14:paraId="3B62C61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UKC MARIBOR </w:t>
            </w:r>
          </w:p>
        </w:tc>
        <w:tc>
          <w:tcPr>
            <w:tcW w:w="1245" w:type="dxa"/>
            <w:tcBorders>
              <w:top w:val="nil"/>
              <w:left w:val="nil"/>
              <w:bottom w:val="nil"/>
              <w:right w:val="single" w:sz="4" w:space="0" w:color="auto"/>
            </w:tcBorders>
            <w:shd w:val="clear" w:color="auto" w:fill="auto"/>
            <w:noWrap/>
            <w:vAlign w:val="center"/>
          </w:tcPr>
          <w:p w14:paraId="575582C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138</w:t>
            </w:r>
          </w:p>
        </w:tc>
        <w:tc>
          <w:tcPr>
            <w:tcW w:w="1580" w:type="dxa"/>
            <w:tcBorders>
              <w:top w:val="nil"/>
              <w:left w:val="nil"/>
              <w:bottom w:val="nil"/>
              <w:right w:val="single" w:sz="4" w:space="0" w:color="auto"/>
            </w:tcBorders>
            <w:shd w:val="clear" w:color="auto" w:fill="auto"/>
            <w:noWrap/>
            <w:vAlign w:val="center"/>
          </w:tcPr>
          <w:p w14:paraId="06869E6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887.037,60 </w:t>
            </w:r>
          </w:p>
          <w:p w14:paraId="757893C9"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nil"/>
              <w:right w:val="single" w:sz="4" w:space="0" w:color="auto"/>
            </w:tcBorders>
            <w:shd w:val="clear" w:color="auto" w:fill="auto"/>
            <w:noWrap/>
            <w:vAlign w:val="center"/>
          </w:tcPr>
          <w:p w14:paraId="2DCA7E35" w14:textId="77777777" w:rsidR="00FE461F" w:rsidRPr="005E4BEA" w:rsidRDefault="00FE461F" w:rsidP="00FE461F">
            <w:pPr>
              <w:spacing w:line="240" w:lineRule="auto"/>
              <w:jc w:val="both"/>
              <w:rPr>
                <w:rFonts w:cs="Arial"/>
                <w:b/>
                <w:bCs/>
                <w:color w:val="000000"/>
                <w:szCs w:val="20"/>
              </w:rPr>
            </w:pPr>
          </w:p>
        </w:tc>
      </w:tr>
      <w:tr w:rsidR="00FE461F" w:rsidRPr="005E4BEA" w14:paraId="0449F126" w14:textId="77777777" w:rsidTr="0065417A">
        <w:trPr>
          <w:trHeight w:hRule="exact" w:val="68"/>
        </w:trPr>
        <w:tc>
          <w:tcPr>
            <w:tcW w:w="552" w:type="dxa"/>
            <w:tcBorders>
              <w:top w:val="nil"/>
              <w:left w:val="single" w:sz="4" w:space="0" w:color="auto"/>
              <w:bottom w:val="single" w:sz="4" w:space="0" w:color="auto"/>
              <w:right w:val="single" w:sz="4" w:space="0" w:color="auto"/>
            </w:tcBorders>
            <w:shd w:val="clear" w:color="auto" w:fill="auto"/>
            <w:noWrap/>
            <w:vAlign w:val="center"/>
          </w:tcPr>
          <w:p w14:paraId="7908C253" w14:textId="77777777" w:rsidR="00FE461F" w:rsidRPr="005E4BEA" w:rsidRDefault="00FE461F" w:rsidP="00FE461F">
            <w:pPr>
              <w:spacing w:line="240" w:lineRule="auto"/>
              <w:jc w:val="both"/>
              <w:rPr>
                <w:rFonts w:cs="Arial"/>
                <w:b/>
                <w:bCs/>
                <w:color w:val="000000"/>
                <w:szCs w:val="20"/>
              </w:rPr>
            </w:pPr>
          </w:p>
        </w:tc>
        <w:tc>
          <w:tcPr>
            <w:tcW w:w="2440" w:type="dxa"/>
            <w:tcBorders>
              <w:top w:val="nil"/>
              <w:left w:val="nil"/>
              <w:bottom w:val="single" w:sz="4" w:space="0" w:color="auto"/>
              <w:right w:val="single" w:sz="4" w:space="0" w:color="auto"/>
            </w:tcBorders>
            <w:shd w:val="clear" w:color="auto" w:fill="auto"/>
            <w:vAlign w:val="center"/>
          </w:tcPr>
          <w:p w14:paraId="6013DD04" w14:textId="77777777" w:rsidR="00FE461F" w:rsidRPr="005E4BEA" w:rsidRDefault="00FE461F" w:rsidP="00FE461F">
            <w:pPr>
              <w:spacing w:line="240" w:lineRule="exact"/>
              <w:jc w:val="both"/>
              <w:rPr>
                <w:rFonts w:cs="Arial"/>
                <w:szCs w:val="20"/>
              </w:rPr>
            </w:pPr>
          </w:p>
        </w:tc>
        <w:tc>
          <w:tcPr>
            <w:tcW w:w="1903" w:type="dxa"/>
            <w:tcBorders>
              <w:top w:val="nil"/>
              <w:left w:val="nil"/>
              <w:bottom w:val="single" w:sz="4" w:space="0" w:color="auto"/>
              <w:right w:val="single" w:sz="4" w:space="0" w:color="auto"/>
            </w:tcBorders>
            <w:shd w:val="clear" w:color="auto" w:fill="auto"/>
            <w:noWrap/>
            <w:vAlign w:val="center"/>
          </w:tcPr>
          <w:p w14:paraId="7512CDD3" w14:textId="77777777" w:rsidR="00FE461F" w:rsidRPr="005E4BEA" w:rsidRDefault="00FE461F" w:rsidP="00FE461F">
            <w:pPr>
              <w:spacing w:line="240" w:lineRule="auto"/>
              <w:jc w:val="both"/>
              <w:rPr>
                <w:rFonts w:cs="Arial"/>
                <w:color w:val="000000"/>
                <w:szCs w:val="20"/>
              </w:rPr>
            </w:pPr>
          </w:p>
        </w:tc>
        <w:tc>
          <w:tcPr>
            <w:tcW w:w="1245" w:type="dxa"/>
            <w:tcBorders>
              <w:top w:val="nil"/>
              <w:left w:val="nil"/>
              <w:bottom w:val="single" w:sz="4" w:space="0" w:color="auto"/>
              <w:right w:val="single" w:sz="4" w:space="0" w:color="auto"/>
            </w:tcBorders>
            <w:shd w:val="clear" w:color="auto" w:fill="auto"/>
            <w:noWrap/>
            <w:vAlign w:val="center"/>
          </w:tcPr>
          <w:p w14:paraId="6D6EFCA7" w14:textId="77777777" w:rsidR="00FE461F" w:rsidRPr="005E4BEA" w:rsidRDefault="00FE461F" w:rsidP="00FE461F">
            <w:pPr>
              <w:spacing w:line="240" w:lineRule="auto"/>
              <w:jc w:val="both"/>
              <w:rPr>
                <w:rFonts w:cs="Arial"/>
                <w:color w:val="000000"/>
                <w:szCs w:val="20"/>
              </w:rPr>
            </w:pPr>
          </w:p>
        </w:tc>
        <w:tc>
          <w:tcPr>
            <w:tcW w:w="1580" w:type="dxa"/>
            <w:tcBorders>
              <w:top w:val="nil"/>
              <w:left w:val="nil"/>
              <w:bottom w:val="single" w:sz="4" w:space="0" w:color="auto"/>
              <w:right w:val="single" w:sz="4" w:space="0" w:color="auto"/>
            </w:tcBorders>
            <w:shd w:val="clear" w:color="auto" w:fill="auto"/>
            <w:noWrap/>
            <w:vAlign w:val="center"/>
          </w:tcPr>
          <w:p w14:paraId="55DF8D2D"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7C37D095" w14:textId="77777777" w:rsidR="00FE461F" w:rsidRPr="005E4BEA" w:rsidRDefault="00FE461F" w:rsidP="00FE461F">
            <w:pPr>
              <w:spacing w:line="240" w:lineRule="auto"/>
              <w:jc w:val="both"/>
              <w:rPr>
                <w:rFonts w:cs="Arial"/>
                <w:b/>
                <w:bCs/>
                <w:color w:val="000000"/>
                <w:szCs w:val="20"/>
              </w:rPr>
            </w:pPr>
          </w:p>
        </w:tc>
      </w:tr>
      <w:tr w:rsidR="00FE461F" w:rsidRPr="005E4BEA" w14:paraId="0F1DEDFB"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B4EC9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3</w:t>
            </w:r>
          </w:p>
        </w:tc>
        <w:tc>
          <w:tcPr>
            <w:tcW w:w="2440" w:type="dxa"/>
            <w:tcBorders>
              <w:top w:val="nil"/>
              <w:left w:val="nil"/>
              <w:bottom w:val="single" w:sz="4" w:space="0" w:color="auto"/>
              <w:right w:val="single" w:sz="4" w:space="0" w:color="auto"/>
            </w:tcBorders>
            <w:shd w:val="clear" w:color="auto" w:fill="auto"/>
            <w:vAlign w:val="center"/>
            <w:hideMark/>
          </w:tcPr>
          <w:p w14:paraId="6EE50FA8"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64967FB6" w14:textId="77777777" w:rsidR="00FE461F" w:rsidRPr="005E4BEA" w:rsidRDefault="00FE461F" w:rsidP="00FE461F">
            <w:pPr>
              <w:spacing w:line="240" w:lineRule="auto"/>
              <w:jc w:val="both"/>
              <w:rPr>
                <w:rFonts w:cs="Arial"/>
                <w:b/>
                <w:bCs/>
                <w:color w:val="000000"/>
                <w:szCs w:val="20"/>
              </w:rPr>
            </w:pPr>
            <w:r w:rsidRPr="005E4BEA">
              <w:rPr>
                <w:rFonts w:cs="Arial"/>
                <w:szCs w:val="20"/>
              </w:rPr>
              <w:t>Od 1. 7. 2022</w:t>
            </w:r>
          </w:p>
        </w:tc>
        <w:tc>
          <w:tcPr>
            <w:tcW w:w="1903" w:type="dxa"/>
            <w:tcBorders>
              <w:top w:val="nil"/>
              <w:left w:val="nil"/>
              <w:bottom w:val="single" w:sz="4" w:space="0" w:color="auto"/>
              <w:right w:val="single" w:sz="4" w:space="0" w:color="auto"/>
            </w:tcBorders>
            <w:shd w:val="clear" w:color="auto" w:fill="auto"/>
            <w:noWrap/>
            <w:vAlign w:val="center"/>
            <w:hideMark/>
          </w:tcPr>
          <w:p w14:paraId="7CAE67A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IZOLA</w:t>
            </w:r>
          </w:p>
        </w:tc>
        <w:tc>
          <w:tcPr>
            <w:tcW w:w="1245" w:type="dxa"/>
            <w:tcBorders>
              <w:top w:val="nil"/>
              <w:left w:val="nil"/>
              <w:bottom w:val="single" w:sz="4" w:space="0" w:color="auto"/>
              <w:right w:val="single" w:sz="4" w:space="0" w:color="auto"/>
            </w:tcBorders>
            <w:shd w:val="clear" w:color="auto" w:fill="auto"/>
            <w:noWrap/>
            <w:vAlign w:val="center"/>
            <w:hideMark/>
          </w:tcPr>
          <w:p w14:paraId="49CC034E"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w:t>
            </w:r>
          </w:p>
        </w:tc>
        <w:tc>
          <w:tcPr>
            <w:tcW w:w="1580" w:type="dxa"/>
            <w:tcBorders>
              <w:top w:val="nil"/>
              <w:left w:val="nil"/>
              <w:bottom w:val="single" w:sz="4" w:space="0" w:color="auto"/>
              <w:right w:val="single" w:sz="4" w:space="0" w:color="auto"/>
            </w:tcBorders>
            <w:shd w:val="clear" w:color="auto" w:fill="auto"/>
            <w:noWrap/>
            <w:vAlign w:val="center"/>
          </w:tcPr>
          <w:p w14:paraId="32A7AEA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1.285.561,74 </w:t>
            </w:r>
          </w:p>
          <w:p w14:paraId="65E475BD"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0885C687" w14:textId="77777777" w:rsidR="00FE461F" w:rsidRPr="005E4BEA" w:rsidRDefault="00FE461F" w:rsidP="00FE461F">
            <w:pPr>
              <w:spacing w:line="240" w:lineRule="auto"/>
              <w:jc w:val="both"/>
              <w:rPr>
                <w:rFonts w:cs="Arial"/>
                <w:b/>
                <w:bCs/>
                <w:color w:val="000000"/>
                <w:szCs w:val="20"/>
              </w:rPr>
            </w:pPr>
          </w:p>
        </w:tc>
      </w:tr>
      <w:tr w:rsidR="00FE461F" w:rsidRPr="005E4BEA" w14:paraId="6828F442"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0A3F6DDC"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4</w:t>
            </w:r>
          </w:p>
        </w:tc>
        <w:tc>
          <w:tcPr>
            <w:tcW w:w="2440" w:type="dxa"/>
            <w:tcBorders>
              <w:top w:val="nil"/>
              <w:left w:val="nil"/>
              <w:bottom w:val="single" w:sz="4" w:space="0" w:color="auto"/>
              <w:right w:val="single" w:sz="4" w:space="0" w:color="auto"/>
            </w:tcBorders>
            <w:shd w:val="clear" w:color="auto" w:fill="auto"/>
            <w:vAlign w:val="center"/>
          </w:tcPr>
          <w:p w14:paraId="3E6642D3"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741E7171" w14:textId="77777777" w:rsidR="00FE461F" w:rsidRPr="005E4BEA" w:rsidRDefault="00FE461F" w:rsidP="00FE461F">
            <w:pPr>
              <w:spacing w:line="240" w:lineRule="exact"/>
              <w:jc w:val="both"/>
              <w:rPr>
                <w:rFonts w:cs="Arial"/>
                <w:szCs w:val="20"/>
              </w:rPr>
            </w:pPr>
            <w:r w:rsidRPr="005E4BEA">
              <w:rPr>
                <w:rFonts w:cs="Arial"/>
                <w:szCs w:val="20"/>
              </w:rPr>
              <w:t>Od 1. 7. 2022</w:t>
            </w:r>
          </w:p>
        </w:tc>
        <w:tc>
          <w:tcPr>
            <w:tcW w:w="1903" w:type="dxa"/>
            <w:tcBorders>
              <w:top w:val="nil"/>
              <w:left w:val="nil"/>
              <w:bottom w:val="single" w:sz="4" w:space="0" w:color="auto"/>
              <w:right w:val="single" w:sz="4" w:space="0" w:color="auto"/>
            </w:tcBorders>
            <w:shd w:val="clear" w:color="auto" w:fill="auto"/>
            <w:noWrap/>
            <w:vAlign w:val="center"/>
          </w:tcPr>
          <w:p w14:paraId="4EF2DF4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NOVO MESTO</w:t>
            </w:r>
          </w:p>
        </w:tc>
        <w:tc>
          <w:tcPr>
            <w:tcW w:w="1245" w:type="dxa"/>
            <w:tcBorders>
              <w:top w:val="nil"/>
              <w:left w:val="nil"/>
              <w:bottom w:val="single" w:sz="4" w:space="0" w:color="auto"/>
              <w:right w:val="single" w:sz="4" w:space="0" w:color="auto"/>
            </w:tcBorders>
            <w:shd w:val="clear" w:color="auto" w:fill="auto"/>
            <w:noWrap/>
            <w:vAlign w:val="center"/>
          </w:tcPr>
          <w:p w14:paraId="566BAD5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200</w:t>
            </w:r>
          </w:p>
        </w:tc>
        <w:tc>
          <w:tcPr>
            <w:tcW w:w="1580" w:type="dxa"/>
            <w:tcBorders>
              <w:top w:val="nil"/>
              <w:left w:val="nil"/>
              <w:bottom w:val="single" w:sz="4" w:space="0" w:color="auto"/>
              <w:right w:val="single" w:sz="4" w:space="0" w:color="auto"/>
            </w:tcBorders>
            <w:shd w:val="clear" w:color="auto" w:fill="auto"/>
            <w:noWrap/>
            <w:vAlign w:val="center"/>
          </w:tcPr>
          <w:p w14:paraId="7BE5853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1.285.561,74 </w:t>
            </w:r>
          </w:p>
          <w:p w14:paraId="2F34B267"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13ACD30A" w14:textId="77777777" w:rsidR="00FE461F" w:rsidRPr="005E4BEA" w:rsidRDefault="00FE461F" w:rsidP="00FE461F">
            <w:pPr>
              <w:spacing w:line="240" w:lineRule="auto"/>
              <w:jc w:val="both"/>
              <w:rPr>
                <w:rFonts w:cs="Arial"/>
                <w:b/>
                <w:bCs/>
                <w:color w:val="000000"/>
                <w:szCs w:val="20"/>
              </w:rPr>
            </w:pPr>
          </w:p>
        </w:tc>
      </w:tr>
      <w:tr w:rsidR="00FE461F" w:rsidRPr="005E4BEA" w14:paraId="5E6E1623"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062F68B6"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5</w:t>
            </w:r>
          </w:p>
        </w:tc>
        <w:tc>
          <w:tcPr>
            <w:tcW w:w="2440" w:type="dxa"/>
            <w:tcBorders>
              <w:top w:val="nil"/>
              <w:left w:val="nil"/>
              <w:bottom w:val="single" w:sz="4" w:space="0" w:color="auto"/>
              <w:right w:val="single" w:sz="4" w:space="0" w:color="auto"/>
            </w:tcBorders>
            <w:shd w:val="clear" w:color="auto" w:fill="auto"/>
            <w:vAlign w:val="center"/>
          </w:tcPr>
          <w:p w14:paraId="63D0D4B3"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5D7CB4E9" w14:textId="77777777" w:rsidR="00FE461F" w:rsidRPr="005E4BEA" w:rsidRDefault="00FE461F" w:rsidP="00FE461F">
            <w:pPr>
              <w:spacing w:line="240" w:lineRule="exact"/>
              <w:jc w:val="both"/>
              <w:rPr>
                <w:rFonts w:cs="Arial"/>
                <w:szCs w:val="20"/>
              </w:rPr>
            </w:pPr>
            <w:r w:rsidRPr="005E4BEA">
              <w:rPr>
                <w:rFonts w:cs="Arial"/>
                <w:szCs w:val="20"/>
              </w:rPr>
              <w:t>Od 1. 7. 2022</w:t>
            </w:r>
          </w:p>
        </w:tc>
        <w:tc>
          <w:tcPr>
            <w:tcW w:w="1903" w:type="dxa"/>
            <w:tcBorders>
              <w:top w:val="nil"/>
              <w:left w:val="nil"/>
              <w:bottom w:val="single" w:sz="4" w:space="0" w:color="auto"/>
              <w:right w:val="single" w:sz="4" w:space="0" w:color="auto"/>
            </w:tcBorders>
            <w:shd w:val="clear" w:color="auto" w:fill="auto"/>
            <w:noWrap/>
            <w:vAlign w:val="center"/>
          </w:tcPr>
          <w:p w14:paraId="14353F5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NOVA GORICA</w:t>
            </w:r>
          </w:p>
        </w:tc>
        <w:tc>
          <w:tcPr>
            <w:tcW w:w="1245" w:type="dxa"/>
            <w:tcBorders>
              <w:top w:val="nil"/>
              <w:left w:val="nil"/>
              <w:bottom w:val="single" w:sz="4" w:space="0" w:color="auto"/>
              <w:right w:val="single" w:sz="4" w:space="0" w:color="auto"/>
            </w:tcBorders>
            <w:shd w:val="clear" w:color="auto" w:fill="auto"/>
            <w:noWrap/>
            <w:vAlign w:val="center"/>
          </w:tcPr>
          <w:p w14:paraId="59CBA746"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50</w:t>
            </w:r>
          </w:p>
        </w:tc>
        <w:tc>
          <w:tcPr>
            <w:tcW w:w="1580" w:type="dxa"/>
            <w:tcBorders>
              <w:top w:val="nil"/>
              <w:left w:val="nil"/>
              <w:bottom w:val="single" w:sz="4" w:space="0" w:color="auto"/>
              <w:right w:val="single" w:sz="4" w:space="0" w:color="auto"/>
            </w:tcBorders>
            <w:shd w:val="clear" w:color="auto" w:fill="auto"/>
            <w:noWrap/>
            <w:vAlign w:val="center"/>
          </w:tcPr>
          <w:p w14:paraId="74DD0AE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321.390,43 </w:t>
            </w:r>
          </w:p>
          <w:p w14:paraId="5EF773DD"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5624D78D" w14:textId="77777777" w:rsidR="00FE461F" w:rsidRPr="005E4BEA" w:rsidRDefault="00FE461F" w:rsidP="00FE461F">
            <w:pPr>
              <w:spacing w:line="240" w:lineRule="auto"/>
              <w:jc w:val="both"/>
              <w:rPr>
                <w:rFonts w:cs="Arial"/>
                <w:b/>
                <w:bCs/>
                <w:color w:val="000000"/>
                <w:szCs w:val="20"/>
              </w:rPr>
            </w:pPr>
          </w:p>
        </w:tc>
      </w:tr>
      <w:tr w:rsidR="00FE461F" w:rsidRPr="005E4BEA" w14:paraId="1033F3B6" w14:textId="77777777" w:rsidTr="0065417A">
        <w:trPr>
          <w:trHeight w:hRule="exact" w:val="792"/>
        </w:trPr>
        <w:tc>
          <w:tcPr>
            <w:tcW w:w="552" w:type="dxa"/>
            <w:tcBorders>
              <w:top w:val="nil"/>
              <w:left w:val="single" w:sz="4" w:space="0" w:color="auto"/>
              <w:bottom w:val="nil"/>
              <w:right w:val="single" w:sz="4" w:space="0" w:color="auto"/>
            </w:tcBorders>
            <w:shd w:val="clear" w:color="auto" w:fill="auto"/>
            <w:noWrap/>
            <w:vAlign w:val="center"/>
          </w:tcPr>
          <w:p w14:paraId="4054155B"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6</w:t>
            </w:r>
          </w:p>
        </w:tc>
        <w:tc>
          <w:tcPr>
            <w:tcW w:w="2440" w:type="dxa"/>
            <w:tcBorders>
              <w:top w:val="nil"/>
              <w:left w:val="nil"/>
              <w:bottom w:val="nil"/>
              <w:right w:val="single" w:sz="4" w:space="0" w:color="auto"/>
            </w:tcBorders>
            <w:shd w:val="clear" w:color="auto" w:fill="auto"/>
            <w:vAlign w:val="center"/>
          </w:tcPr>
          <w:p w14:paraId="74C41953" w14:textId="77777777" w:rsidR="00FE461F" w:rsidRPr="005E4BEA" w:rsidRDefault="00FE461F" w:rsidP="00FE461F">
            <w:pPr>
              <w:spacing w:line="240" w:lineRule="exact"/>
              <w:jc w:val="both"/>
              <w:rPr>
                <w:rFonts w:cs="Arial"/>
                <w:szCs w:val="20"/>
              </w:rPr>
            </w:pPr>
            <w:r w:rsidRPr="005E4BEA">
              <w:rPr>
                <w:rFonts w:cs="Arial"/>
                <w:szCs w:val="20"/>
              </w:rPr>
              <w:t>Dodatek za poseg katetrske ablacije aritmij</w:t>
            </w:r>
          </w:p>
          <w:p w14:paraId="220C7A1E" w14:textId="77777777" w:rsidR="00FE461F" w:rsidRPr="005E4BEA" w:rsidRDefault="00FE461F" w:rsidP="00FE461F">
            <w:pPr>
              <w:spacing w:line="240" w:lineRule="exact"/>
              <w:jc w:val="both"/>
              <w:rPr>
                <w:rFonts w:cs="Arial"/>
                <w:szCs w:val="20"/>
              </w:rPr>
            </w:pPr>
            <w:r w:rsidRPr="005E4BEA">
              <w:rPr>
                <w:rFonts w:cs="Arial"/>
                <w:szCs w:val="20"/>
              </w:rPr>
              <w:t>Od 1. 7. 2022</w:t>
            </w:r>
          </w:p>
        </w:tc>
        <w:tc>
          <w:tcPr>
            <w:tcW w:w="1903" w:type="dxa"/>
            <w:tcBorders>
              <w:top w:val="nil"/>
              <w:left w:val="nil"/>
              <w:bottom w:val="nil"/>
              <w:right w:val="single" w:sz="4" w:space="0" w:color="auto"/>
            </w:tcBorders>
            <w:shd w:val="clear" w:color="auto" w:fill="auto"/>
            <w:noWrap/>
            <w:vAlign w:val="center"/>
          </w:tcPr>
          <w:p w14:paraId="53B59934"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SB CELJE</w:t>
            </w:r>
          </w:p>
        </w:tc>
        <w:tc>
          <w:tcPr>
            <w:tcW w:w="1245" w:type="dxa"/>
            <w:tcBorders>
              <w:top w:val="nil"/>
              <w:left w:val="nil"/>
              <w:bottom w:val="nil"/>
              <w:right w:val="single" w:sz="4" w:space="0" w:color="auto"/>
            </w:tcBorders>
            <w:shd w:val="clear" w:color="auto" w:fill="auto"/>
            <w:noWrap/>
            <w:vAlign w:val="center"/>
          </w:tcPr>
          <w:p w14:paraId="78C3449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250</w:t>
            </w:r>
          </w:p>
        </w:tc>
        <w:tc>
          <w:tcPr>
            <w:tcW w:w="1580" w:type="dxa"/>
            <w:tcBorders>
              <w:top w:val="nil"/>
              <w:left w:val="nil"/>
              <w:bottom w:val="nil"/>
              <w:right w:val="single" w:sz="4" w:space="0" w:color="auto"/>
            </w:tcBorders>
            <w:shd w:val="clear" w:color="auto" w:fill="auto"/>
            <w:noWrap/>
            <w:vAlign w:val="center"/>
          </w:tcPr>
          <w:p w14:paraId="762B59DA"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1.606.952,17 </w:t>
            </w:r>
          </w:p>
          <w:p w14:paraId="7822E9EB" w14:textId="77777777" w:rsidR="00FE461F" w:rsidRPr="005E4BEA" w:rsidRDefault="00FE461F" w:rsidP="00FE461F">
            <w:pPr>
              <w:spacing w:line="240" w:lineRule="auto"/>
              <w:jc w:val="both"/>
              <w:rPr>
                <w:rFonts w:cs="Arial"/>
                <w:b/>
                <w:bCs/>
                <w:color w:val="000000"/>
                <w:szCs w:val="20"/>
              </w:rPr>
            </w:pPr>
          </w:p>
        </w:tc>
        <w:tc>
          <w:tcPr>
            <w:tcW w:w="1760" w:type="dxa"/>
            <w:tcBorders>
              <w:top w:val="nil"/>
              <w:left w:val="nil"/>
              <w:bottom w:val="nil"/>
              <w:right w:val="single" w:sz="4" w:space="0" w:color="auto"/>
            </w:tcBorders>
            <w:shd w:val="clear" w:color="auto" w:fill="auto"/>
            <w:noWrap/>
            <w:vAlign w:val="center"/>
          </w:tcPr>
          <w:p w14:paraId="6E74C199" w14:textId="77777777" w:rsidR="00FE461F" w:rsidRPr="005E4BEA" w:rsidRDefault="00FE461F" w:rsidP="00FE461F">
            <w:pPr>
              <w:spacing w:line="240" w:lineRule="auto"/>
              <w:jc w:val="both"/>
              <w:rPr>
                <w:rFonts w:cs="Arial"/>
                <w:b/>
                <w:bCs/>
                <w:color w:val="000000"/>
                <w:szCs w:val="20"/>
              </w:rPr>
            </w:pPr>
          </w:p>
        </w:tc>
      </w:tr>
      <w:tr w:rsidR="00FE461F" w:rsidRPr="005E4BEA" w14:paraId="1A0B5807" w14:textId="77777777" w:rsidTr="0065417A">
        <w:trPr>
          <w:trHeight w:hRule="exact" w:val="792"/>
        </w:trPr>
        <w:tc>
          <w:tcPr>
            <w:tcW w:w="552" w:type="dxa"/>
            <w:tcBorders>
              <w:top w:val="nil"/>
              <w:left w:val="single" w:sz="4" w:space="0" w:color="auto"/>
              <w:bottom w:val="single" w:sz="4" w:space="0" w:color="auto"/>
              <w:right w:val="single" w:sz="4" w:space="0" w:color="auto"/>
            </w:tcBorders>
            <w:shd w:val="clear" w:color="auto" w:fill="auto"/>
            <w:noWrap/>
            <w:vAlign w:val="center"/>
          </w:tcPr>
          <w:p w14:paraId="34193A9A" w14:textId="77777777" w:rsidR="00FE461F" w:rsidRPr="005E4BEA" w:rsidRDefault="00FE461F" w:rsidP="00FE461F">
            <w:pPr>
              <w:spacing w:line="240" w:lineRule="auto"/>
              <w:jc w:val="both"/>
              <w:rPr>
                <w:rFonts w:cs="Arial"/>
                <w:b/>
                <w:bCs/>
                <w:color w:val="000000"/>
                <w:szCs w:val="20"/>
              </w:rPr>
            </w:pPr>
          </w:p>
        </w:tc>
        <w:tc>
          <w:tcPr>
            <w:tcW w:w="2440" w:type="dxa"/>
            <w:tcBorders>
              <w:top w:val="nil"/>
              <w:left w:val="nil"/>
              <w:bottom w:val="single" w:sz="4" w:space="0" w:color="auto"/>
              <w:right w:val="single" w:sz="4" w:space="0" w:color="auto"/>
            </w:tcBorders>
            <w:shd w:val="clear" w:color="auto" w:fill="auto"/>
            <w:vAlign w:val="center"/>
          </w:tcPr>
          <w:p w14:paraId="46E9E33D" w14:textId="77777777" w:rsidR="00FE461F" w:rsidRPr="005E4BEA" w:rsidRDefault="00FE461F" w:rsidP="00FE461F">
            <w:pPr>
              <w:spacing w:line="240" w:lineRule="exact"/>
              <w:jc w:val="both"/>
              <w:rPr>
                <w:rFonts w:cs="Arial"/>
                <w:szCs w:val="20"/>
              </w:rPr>
            </w:pPr>
            <w:r w:rsidRPr="005E4BEA">
              <w:rPr>
                <w:rFonts w:cs="Arial"/>
                <w:szCs w:val="20"/>
              </w:rPr>
              <w:t>SKUPAJ NA LETNI RAVNI</w:t>
            </w:r>
          </w:p>
        </w:tc>
        <w:tc>
          <w:tcPr>
            <w:tcW w:w="1903" w:type="dxa"/>
            <w:tcBorders>
              <w:top w:val="nil"/>
              <w:left w:val="nil"/>
              <w:bottom w:val="single" w:sz="4" w:space="0" w:color="auto"/>
              <w:right w:val="single" w:sz="4" w:space="0" w:color="auto"/>
            </w:tcBorders>
            <w:shd w:val="clear" w:color="auto" w:fill="auto"/>
            <w:noWrap/>
            <w:vAlign w:val="center"/>
          </w:tcPr>
          <w:p w14:paraId="15BF64F8" w14:textId="77777777" w:rsidR="00FE461F" w:rsidRPr="005E4BEA" w:rsidRDefault="00FE461F" w:rsidP="00FE461F">
            <w:pPr>
              <w:spacing w:line="240" w:lineRule="auto"/>
              <w:jc w:val="both"/>
              <w:rPr>
                <w:rFonts w:cs="Arial"/>
                <w:color w:val="000000"/>
                <w:szCs w:val="20"/>
              </w:rPr>
            </w:pPr>
          </w:p>
        </w:tc>
        <w:tc>
          <w:tcPr>
            <w:tcW w:w="1245" w:type="dxa"/>
            <w:tcBorders>
              <w:top w:val="nil"/>
              <w:left w:val="nil"/>
              <w:bottom w:val="single" w:sz="4" w:space="0" w:color="auto"/>
              <w:right w:val="single" w:sz="4" w:space="0" w:color="auto"/>
            </w:tcBorders>
            <w:shd w:val="clear" w:color="auto" w:fill="auto"/>
            <w:noWrap/>
            <w:vAlign w:val="center"/>
          </w:tcPr>
          <w:p w14:paraId="6A912E58" w14:textId="77777777" w:rsidR="00FE461F" w:rsidRPr="005E4BEA" w:rsidRDefault="00FE461F" w:rsidP="00FE461F">
            <w:pPr>
              <w:spacing w:line="240" w:lineRule="auto"/>
              <w:jc w:val="both"/>
              <w:rPr>
                <w:rFonts w:cs="Arial"/>
                <w:color w:val="000000"/>
                <w:szCs w:val="20"/>
              </w:rPr>
            </w:pPr>
          </w:p>
        </w:tc>
        <w:tc>
          <w:tcPr>
            <w:tcW w:w="1580" w:type="dxa"/>
            <w:tcBorders>
              <w:top w:val="nil"/>
              <w:left w:val="nil"/>
              <w:bottom w:val="single" w:sz="4" w:space="0" w:color="auto"/>
              <w:right w:val="single" w:sz="4" w:space="0" w:color="auto"/>
            </w:tcBorders>
            <w:shd w:val="clear" w:color="auto" w:fill="auto"/>
            <w:noWrap/>
            <w:vAlign w:val="center"/>
          </w:tcPr>
          <w:p w14:paraId="5EABE545"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11.293.302,69</w:t>
            </w:r>
          </w:p>
          <w:p w14:paraId="03877936" w14:textId="77777777" w:rsidR="00FE461F" w:rsidRPr="005E4BEA" w:rsidRDefault="00FE461F" w:rsidP="00FE461F">
            <w:pPr>
              <w:spacing w:line="240" w:lineRule="auto"/>
              <w:jc w:val="both"/>
              <w:rPr>
                <w:rFonts w:cs="Arial"/>
                <w:color w:val="000000"/>
                <w:szCs w:val="20"/>
              </w:rPr>
            </w:pPr>
          </w:p>
        </w:tc>
        <w:tc>
          <w:tcPr>
            <w:tcW w:w="1760" w:type="dxa"/>
            <w:tcBorders>
              <w:top w:val="nil"/>
              <w:left w:val="nil"/>
              <w:bottom w:val="single" w:sz="4" w:space="0" w:color="auto"/>
              <w:right w:val="single" w:sz="4" w:space="0" w:color="auto"/>
            </w:tcBorders>
            <w:shd w:val="clear" w:color="auto" w:fill="auto"/>
            <w:noWrap/>
            <w:vAlign w:val="center"/>
          </w:tcPr>
          <w:p w14:paraId="7F41CABB" w14:textId="77777777" w:rsidR="00FE461F" w:rsidRPr="005E4BEA" w:rsidRDefault="00FE461F" w:rsidP="00FE461F">
            <w:pPr>
              <w:spacing w:line="240" w:lineRule="auto"/>
              <w:jc w:val="both"/>
              <w:rPr>
                <w:rFonts w:cs="Arial"/>
                <w:b/>
                <w:bCs/>
                <w:color w:val="000000"/>
                <w:szCs w:val="20"/>
              </w:rPr>
            </w:pPr>
          </w:p>
        </w:tc>
      </w:tr>
    </w:tbl>
    <w:p w14:paraId="403CD431" w14:textId="77777777" w:rsidR="00FE461F" w:rsidRPr="005E4BEA" w:rsidRDefault="00FE461F" w:rsidP="00FE461F">
      <w:pPr>
        <w:spacing w:line="240" w:lineRule="auto"/>
        <w:jc w:val="both"/>
        <w:rPr>
          <w:rFonts w:cs="Arial"/>
          <w:b/>
          <w:bCs/>
          <w:szCs w:val="20"/>
        </w:rPr>
      </w:pPr>
    </w:p>
    <w:p w14:paraId="78A538DC" w14:textId="77777777" w:rsidR="00FE461F" w:rsidRPr="005E4BEA" w:rsidRDefault="00FE461F" w:rsidP="00FE461F">
      <w:pPr>
        <w:spacing w:line="240" w:lineRule="auto"/>
        <w:jc w:val="both"/>
        <w:rPr>
          <w:rFonts w:cs="Arial"/>
          <w:b/>
          <w:bCs/>
          <w:szCs w:val="20"/>
        </w:rPr>
      </w:pPr>
      <w:r w:rsidRPr="005E4BEA">
        <w:rPr>
          <w:rFonts w:cs="Arial"/>
          <w:b/>
          <w:bCs/>
          <w:szCs w:val="20"/>
        </w:rPr>
        <w:t>V prilogo I/b – Cenik storitev se vključi novo poglavje:</w:t>
      </w:r>
    </w:p>
    <w:tbl>
      <w:tblPr>
        <w:tblW w:w="924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874"/>
        <w:gridCol w:w="38"/>
        <w:gridCol w:w="1321"/>
        <w:gridCol w:w="1207"/>
        <w:gridCol w:w="2902"/>
        <w:gridCol w:w="1580"/>
        <w:gridCol w:w="1320"/>
      </w:tblGrid>
      <w:tr w:rsidR="00FE461F" w:rsidRPr="005E4BEA" w14:paraId="3BB455D4" w14:textId="77777777" w:rsidTr="0016774B">
        <w:trPr>
          <w:trHeight w:val="18"/>
        </w:trPr>
        <w:tc>
          <w:tcPr>
            <w:tcW w:w="874" w:type="dxa"/>
            <w:noWrap/>
            <w:vAlign w:val="center"/>
            <w:hideMark/>
          </w:tcPr>
          <w:p w14:paraId="758340B0" w14:textId="77777777" w:rsidR="00FE461F" w:rsidRPr="005E4BEA" w:rsidRDefault="00FE461F" w:rsidP="00FE461F">
            <w:pPr>
              <w:spacing w:line="240" w:lineRule="auto"/>
              <w:jc w:val="both"/>
              <w:rPr>
                <w:rFonts w:cs="Arial"/>
                <w:szCs w:val="20"/>
              </w:rPr>
            </w:pPr>
            <w:r w:rsidRPr="005E4BEA">
              <w:rPr>
                <w:rFonts w:cs="Arial"/>
                <w:szCs w:val="20"/>
              </w:rPr>
              <w:t>Vrsta</w:t>
            </w:r>
          </w:p>
        </w:tc>
        <w:tc>
          <w:tcPr>
            <w:tcW w:w="1359" w:type="dxa"/>
            <w:gridSpan w:val="2"/>
            <w:noWrap/>
            <w:vAlign w:val="center"/>
            <w:hideMark/>
          </w:tcPr>
          <w:p w14:paraId="47558803" w14:textId="77777777" w:rsidR="00FE461F" w:rsidRPr="005E4BEA" w:rsidRDefault="00FE461F" w:rsidP="00FE461F">
            <w:pPr>
              <w:spacing w:line="240" w:lineRule="auto"/>
              <w:jc w:val="both"/>
              <w:rPr>
                <w:rFonts w:cs="Arial"/>
                <w:szCs w:val="20"/>
              </w:rPr>
            </w:pPr>
            <w:r w:rsidRPr="005E4BEA">
              <w:rPr>
                <w:rFonts w:cs="Arial"/>
                <w:szCs w:val="20"/>
              </w:rPr>
              <w:t>Podvrsta</w:t>
            </w:r>
          </w:p>
        </w:tc>
        <w:tc>
          <w:tcPr>
            <w:tcW w:w="1207" w:type="dxa"/>
            <w:noWrap/>
            <w:vAlign w:val="center"/>
            <w:hideMark/>
          </w:tcPr>
          <w:p w14:paraId="374FC078" w14:textId="77777777" w:rsidR="00FE461F" w:rsidRPr="005E4BEA" w:rsidRDefault="00FE461F" w:rsidP="00FE461F">
            <w:pPr>
              <w:spacing w:line="240" w:lineRule="auto"/>
              <w:jc w:val="both"/>
              <w:rPr>
                <w:rFonts w:cs="Arial"/>
                <w:szCs w:val="20"/>
              </w:rPr>
            </w:pPr>
            <w:r w:rsidRPr="005E4BEA">
              <w:rPr>
                <w:rFonts w:cs="Arial"/>
                <w:szCs w:val="20"/>
              </w:rPr>
              <w:t>Storitev</w:t>
            </w:r>
          </w:p>
        </w:tc>
        <w:tc>
          <w:tcPr>
            <w:tcW w:w="2902" w:type="dxa"/>
            <w:noWrap/>
            <w:vAlign w:val="center"/>
            <w:hideMark/>
          </w:tcPr>
          <w:p w14:paraId="09978C38" w14:textId="77777777" w:rsidR="00FE461F" w:rsidRPr="005E4BEA" w:rsidRDefault="00FE461F" w:rsidP="00FE461F">
            <w:pPr>
              <w:spacing w:line="240" w:lineRule="auto"/>
              <w:jc w:val="both"/>
              <w:rPr>
                <w:rFonts w:cs="Arial"/>
                <w:szCs w:val="20"/>
              </w:rPr>
            </w:pPr>
            <w:r w:rsidRPr="005E4BEA">
              <w:rPr>
                <w:rFonts w:cs="Arial"/>
                <w:szCs w:val="20"/>
              </w:rPr>
              <w:t>Naziv</w:t>
            </w:r>
          </w:p>
        </w:tc>
        <w:tc>
          <w:tcPr>
            <w:tcW w:w="1580" w:type="dxa"/>
            <w:vAlign w:val="center"/>
          </w:tcPr>
          <w:p w14:paraId="15EB04E8" w14:textId="77777777" w:rsidR="00FE461F" w:rsidRPr="005E4BEA" w:rsidRDefault="00FE461F" w:rsidP="00FE461F">
            <w:pPr>
              <w:spacing w:line="240" w:lineRule="auto"/>
              <w:jc w:val="both"/>
              <w:rPr>
                <w:rFonts w:cs="Arial"/>
                <w:szCs w:val="20"/>
              </w:rPr>
            </w:pPr>
            <w:r w:rsidRPr="005E4BEA">
              <w:rPr>
                <w:rFonts w:cs="Arial"/>
                <w:szCs w:val="20"/>
              </w:rPr>
              <w:t>Enota mere</w:t>
            </w:r>
          </w:p>
        </w:tc>
        <w:tc>
          <w:tcPr>
            <w:tcW w:w="1320" w:type="dxa"/>
            <w:vAlign w:val="center"/>
          </w:tcPr>
          <w:p w14:paraId="7427F379" w14:textId="77777777" w:rsidR="00FE461F" w:rsidRPr="005E4BEA" w:rsidRDefault="00FE461F" w:rsidP="00FE461F">
            <w:pPr>
              <w:spacing w:line="240" w:lineRule="auto"/>
              <w:jc w:val="both"/>
              <w:rPr>
                <w:rFonts w:cs="Arial"/>
                <w:szCs w:val="20"/>
              </w:rPr>
            </w:pPr>
            <w:r w:rsidRPr="005E4BEA">
              <w:rPr>
                <w:rFonts w:cs="Arial"/>
                <w:szCs w:val="20"/>
              </w:rPr>
              <w:t>Cena</w:t>
            </w:r>
          </w:p>
        </w:tc>
      </w:tr>
      <w:tr w:rsidR="00FE461F" w:rsidRPr="005E4BEA" w14:paraId="66F8EEC3" w14:textId="77777777" w:rsidTr="0016774B">
        <w:trPr>
          <w:trHeight w:val="101"/>
        </w:trPr>
        <w:tc>
          <w:tcPr>
            <w:tcW w:w="912" w:type="dxa"/>
            <w:gridSpan w:val="2"/>
            <w:noWrap/>
            <w:hideMark/>
          </w:tcPr>
          <w:p w14:paraId="104D7D03" w14:textId="77777777" w:rsidR="00FE461F" w:rsidRPr="005E4BEA" w:rsidRDefault="00FE461F" w:rsidP="00FE461F">
            <w:pPr>
              <w:spacing w:line="240" w:lineRule="auto"/>
              <w:jc w:val="both"/>
              <w:rPr>
                <w:rFonts w:cs="Arial"/>
                <w:szCs w:val="20"/>
              </w:rPr>
            </w:pPr>
            <w:r w:rsidRPr="005E4BEA">
              <w:rPr>
                <w:rFonts w:cs="Arial"/>
                <w:szCs w:val="20"/>
              </w:rPr>
              <w:t>101</w:t>
            </w:r>
          </w:p>
        </w:tc>
        <w:tc>
          <w:tcPr>
            <w:tcW w:w="1321" w:type="dxa"/>
            <w:noWrap/>
            <w:hideMark/>
          </w:tcPr>
          <w:p w14:paraId="07C18B26" w14:textId="77777777" w:rsidR="00FE461F" w:rsidRPr="005E4BEA" w:rsidRDefault="00FE461F" w:rsidP="00FE461F">
            <w:pPr>
              <w:spacing w:line="240" w:lineRule="auto"/>
              <w:jc w:val="both"/>
              <w:rPr>
                <w:rFonts w:cs="Arial"/>
                <w:szCs w:val="20"/>
              </w:rPr>
            </w:pPr>
            <w:r w:rsidRPr="005E4BEA">
              <w:rPr>
                <w:rFonts w:cs="Arial"/>
                <w:szCs w:val="20"/>
              </w:rPr>
              <w:t>300</w:t>
            </w:r>
          </w:p>
        </w:tc>
        <w:tc>
          <w:tcPr>
            <w:tcW w:w="1207" w:type="dxa"/>
            <w:noWrap/>
            <w:hideMark/>
          </w:tcPr>
          <w:p w14:paraId="2703E6FB" w14:textId="77777777" w:rsidR="00FE461F" w:rsidRPr="005E4BEA" w:rsidRDefault="00FE461F" w:rsidP="00FE461F">
            <w:pPr>
              <w:spacing w:line="240" w:lineRule="auto"/>
              <w:jc w:val="both"/>
              <w:rPr>
                <w:rFonts w:cs="Arial"/>
                <w:szCs w:val="20"/>
              </w:rPr>
            </w:pPr>
            <w:r w:rsidRPr="005E4BEA">
              <w:rPr>
                <w:rFonts w:cs="Arial"/>
                <w:szCs w:val="20"/>
              </w:rPr>
              <w:t>E0xxx</w:t>
            </w:r>
          </w:p>
        </w:tc>
        <w:tc>
          <w:tcPr>
            <w:tcW w:w="2902" w:type="dxa"/>
            <w:noWrap/>
            <w:hideMark/>
          </w:tcPr>
          <w:p w14:paraId="5BC0EB2C" w14:textId="77777777" w:rsidR="00FE461F" w:rsidRPr="005E4BEA" w:rsidRDefault="00FE461F" w:rsidP="00FE461F">
            <w:pPr>
              <w:spacing w:line="240" w:lineRule="auto"/>
              <w:jc w:val="both"/>
              <w:rPr>
                <w:rFonts w:cs="Arial"/>
                <w:szCs w:val="20"/>
              </w:rPr>
            </w:pPr>
            <w:r w:rsidRPr="005E4BEA">
              <w:rPr>
                <w:rFonts w:cs="Arial"/>
                <w:szCs w:val="20"/>
              </w:rPr>
              <w:t>Dodatek za poseg katetrske ablacije aritmij  INTERNISTIKA</w:t>
            </w:r>
          </w:p>
        </w:tc>
        <w:tc>
          <w:tcPr>
            <w:tcW w:w="1580" w:type="dxa"/>
          </w:tcPr>
          <w:p w14:paraId="130AD579" w14:textId="77777777" w:rsidR="00FE461F" w:rsidRPr="005E4BEA" w:rsidRDefault="00FE461F" w:rsidP="00FE461F">
            <w:pPr>
              <w:spacing w:line="240" w:lineRule="auto"/>
              <w:jc w:val="both"/>
              <w:rPr>
                <w:rFonts w:cs="Arial"/>
                <w:szCs w:val="20"/>
              </w:rPr>
            </w:pPr>
            <w:r w:rsidRPr="005E4BEA">
              <w:rPr>
                <w:rFonts w:cs="Arial"/>
                <w:szCs w:val="20"/>
              </w:rPr>
              <w:t>primer</w:t>
            </w:r>
          </w:p>
        </w:tc>
        <w:tc>
          <w:tcPr>
            <w:tcW w:w="1320" w:type="dxa"/>
          </w:tcPr>
          <w:p w14:paraId="21AC384F" w14:textId="77777777" w:rsidR="00FE461F" w:rsidRPr="005E4BEA" w:rsidRDefault="00FE461F" w:rsidP="00FE461F">
            <w:pPr>
              <w:spacing w:line="240" w:lineRule="auto"/>
              <w:jc w:val="both"/>
              <w:rPr>
                <w:rFonts w:cs="Arial"/>
                <w:color w:val="FF0000"/>
                <w:szCs w:val="20"/>
              </w:rPr>
            </w:pPr>
            <w:r w:rsidRPr="005E4BEA">
              <w:rPr>
                <w:rFonts w:cs="Arial"/>
                <w:szCs w:val="20"/>
              </w:rPr>
              <w:t>6.427,81</w:t>
            </w:r>
          </w:p>
        </w:tc>
      </w:tr>
      <w:tr w:rsidR="00FE461F" w:rsidRPr="005E4BEA" w14:paraId="2023AAA5" w14:textId="77777777" w:rsidTr="0016774B">
        <w:trPr>
          <w:trHeight w:val="101"/>
        </w:trPr>
        <w:tc>
          <w:tcPr>
            <w:tcW w:w="912" w:type="dxa"/>
            <w:gridSpan w:val="2"/>
            <w:noWrap/>
          </w:tcPr>
          <w:p w14:paraId="76EC944A" w14:textId="77777777" w:rsidR="00FE461F" w:rsidRPr="005E4BEA" w:rsidRDefault="00FE461F" w:rsidP="00FE461F">
            <w:pPr>
              <w:spacing w:line="240" w:lineRule="auto"/>
              <w:jc w:val="both"/>
              <w:rPr>
                <w:rFonts w:cs="Arial"/>
                <w:szCs w:val="20"/>
              </w:rPr>
            </w:pPr>
            <w:r w:rsidRPr="005E4BEA">
              <w:rPr>
                <w:rFonts w:cs="Arial"/>
                <w:szCs w:val="20"/>
              </w:rPr>
              <w:t>101</w:t>
            </w:r>
          </w:p>
        </w:tc>
        <w:tc>
          <w:tcPr>
            <w:tcW w:w="1321" w:type="dxa"/>
            <w:noWrap/>
          </w:tcPr>
          <w:p w14:paraId="6D01D8D6" w14:textId="77777777" w:rsidR="00FE461F" w:rsidRPr="005E4BEA" w:rsidRDefault="00FE461F" w:rsidP="00FE461F">
            <w:pPr>
              <w:spacing w:line="240" w:lineRule="auto"/>
              <w:jc w:val="both"/>
              <w:rPr>
                <w:rFonts w:cs="Arial"/>
                <w:szCs w:val="20"/>
              </w:rPr>
            </w:pPr>
            <w:r w:rsidRPr="005E4BEA">
              <w:rPr>
                <w:rFonts w:cs="Arial"/>
                <w:szCs w:val="20"/>
              </w:rPr>
              <w:t>300</w:t>
            </w:r>
          </w:p>
        </w:tc>
        <w:tc>
          <w:tcPr>
            <w:tcW w:w="1207" w:type="dxa"/>
            <w:noWrap/>
          </w:tcPr>
          <w:p w14:paraId="7AE8709E" w14:textId="77777777" w:rsidR="00FE461F" w:rsidRPr="005E4BEA" w:rsidRDefault="00FE461F" w:rsidP="00FE461F">
            <w:pPr>
              <w:spacing w:line="240" w:lineRule="auto"/>
              <w:jc w:val="both"/>
              <w:rPr>
                <w:rFonts w:cs="Arial"/>
                <w:szCs w:val="20"/>
              </w:rPr>
            </w:pPr>
            <w:r w:rsidRPr="005E4BEA">
              <w:rPr>
                <w:rFonts w:cs="Arial"/>
                <w:szCs w:val="20"/>
              </w:rPr>
              <w:t>E0xxx</w:t>
            </w:r>
          </w:p>
        </w:tc>
        <w:tc>
          <w:tcPr>
            <w:tcW w:w="2902" w:type="dxa"/>
            <w:noWrap/>
          </w:tcPr>
          <w:p w14:paraId="42354660" w14:textId="77777777" w:rsidR="00FE461F" w:rsidRPr="005E4BEA" w:rsidRDefault="00FE461F" w:rsidP="00FE461F">
            <w:pPr>
              <w:spacing w:line="240" w:lineRule="auto"/>
              <w:jc w:val="both"/>
              <w:rPr>
                <w:rFonts w:cs="Arial"/>
                <w:szCs w:val="20"/>
              </w:rPr>
            </w:pPr>
            <w:r w:rsidRPr="005E4BEA">
              <w:rPr>
                <w:rFonts w:cs="Arial"/>
                <w:szCs w:val="20"/>
              </w:rPr>
              <w:t>Dodatek za poseg katetrske ablacije aritmij  KIRURGIJA</w:t>
            </w:r>
          </w:p>
        </w:tc>
        <w:tc>
          <w:tcPr>
            <w:tcW w:w="1580" w:type="dxa"/>
          </w:tcPr>
          <w:p w14:paraId="10D996C9" w14:textId="77777777" w:rsidR="00FE461F" w:rsidRPr="005E4BEA" w:rsidRDefault="00FE461F" w:rsidP="00FE461F">
            <w:pPr>
              <w:spacing w:line="240" w:lineRule="auto"/>
              <w:jc w:val="both"/>
              <w:rPr>
                <w:rFonts w:cs="Arial"/>
                <w:szCs w:val="20"/>
              </w:rPr>
            </w:pPr>
            <w:r w:rsidRPr="005E4BEA">
              <w:rPr>
                <w:rFonts w:cs="Arial"/>
                <w:szCs w:val="20"/>
              </w:rPr>
              <w:t>primer</w:t>
            </w:r>
          </w:p>
        </w:tc>
        <w:tc>
          <w:tcPr>
            <w:tcW w:w="1320" w:type="dxa"/>
          </w:tcPr>
          <w:p w14:paraId="067A628F" w14:textId="77777777" w:rsidR="00FE461F" w:rsidRPr="005E4BEA" w:rsidRDefault="00FE461F" w:rsidP="00FE461F">
            <w:pPr>
              <w:spacing w:line="240" w:lineRule="auto"/>
              <w:jc w:val="both"/>
              <w:rPr>
                <w:rFonts w:cs="Arial"/>
                <w:szCs w:val="20"/>
              </w:rPr>
            </w:pPr>
            <w:r w:rsidRPr="005E4BEA">
              <w:rPr>
                <w:rFonts w:cs="Arial"/>
                <w:szCs w:val="20"/>
              </w:rPr>
              <w:t>7.705,05</w:t>
            </w:r>
          </w:p>
        </w:tc>
      </w:tr>
    </w:tbl>
    <w:p w14:paraId="1356333E" w14:textId="77777777" w:rsidR="00FE461F" w:rsidRPr="005E4BEA" w:rsidRDefault="00FE461F" w:rsidP="00FE461F">
      <w:pPr>
        <w:spacing w:after="60" w:line="240" w:lineRule="auto"/>
        <w:jc w:val="both"/>
        <w:rPr>
          <w:rFonts w:cs="Arial"/>
          <w:b/>
          <w:bCs/>
          <w:szCs w:val="20"/>
        </w:rPr>
      </w:pPr>
      <w:r w:rsidRPr="005E4BEA">
        <w:rPr>
          <w:rFonts w:cs="Arial"/>
          <w:b/>
          <w:bCs/>
          <w:szCs w:val="20"/>
        </w:rPr>
        <w:t>V Prilogi III v (2) odstavku v 4. točki se doda nova alineja, ki se glasi:</w:t>
      </w:r>
    </w:p>
    <w:p w14:paraId="6CF886F2" w14:textId="77777777" w:rsidR="00FE461F" w:rsidRPr="005E4BEA" w:rsidRDefault="00FE461F" w:rsidP="00FE461F">
      <w:pPr>
        <w:spacing w:line="240" w:lineRule="auto"/>
        <w:jc w:val="both"/>
        <w:rPr>
          <w:rFonts w:cs="Arial"/>
          <w:szCs w:val="20"/>
        </w:rPr>
      </w:pPr>
      <w:r w:rsidRPr="005E4BEA">
        <w:rPr>
          <w:rFonts w:cs="Arial"/>
          <w:szCs w:val="20"/>
        </w:rPr>
        <w:lastRenderedPageBreak/>
        <w:t>»- dodatek za poseg katetrske ablacije aritmij«</w:t>
      </w:r>
    </w:p>
    <w:p w14:paraId="155DDF50" w14:textId="77777777" w:rsidR="00FE461F" w:rsidRPr="005E4BEA" w:rsidRDefault="00FE461F" w:rsidP="00FE461F">
      <w:pPr>
        <w:spacing w:line="240" w:lineRule="auto"/>
        <w:jc w:val="both"/>
        <w:rPr>
          <w:rFonts w:cs="Arial"/>
          <w:b/>
          <w:bCs/>
          <w:szCs w:val="20"/>
        </w:rPr>
      </w:pPr>
    </w:p>
    <w:p w14:paraId="4D4CBB08" w14:textId="77777777" w:rsidR="00FE461F" w:rsidRPr="005E4BEA" w:rsidRDefault="00FE461F" w:rsidP="00FE461F">
      <w:pPr>
        <w:spacing w:line="240" w:lineRule="auto"/>
        <w:jc w:val="both"/>
        <w:rPr>
          <w:rFonts w:cs="Arial"/>
          <w:b/>
          <w:bCs/>
          <w:szCs w:val="20"/>
        </w:rPr>
      </w:pPr>
    </w:p>
    <w:p w14:paraId="13AFF9E0"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Prilogo BOL – 2a </w:t>
      </w:r>
      <w:r w:rsidRPr="005E4BEA">
        <w:rPr>
          <w:rFonts w:cs="Arial"/>
          <w:szCs w:val="20"/>
        </w:rPr>
        <w:t xml:space="preserve">(Seznam posegov iz Klasifikacije terapevtskih in diagnostičnih postopkov in Seznam diagnoz iz Mednarodne klasifikacije bolezni za identificiranje </w:t>
      </w:r>
      <w:proofErr w:type="spellStart"/>
      <w:r w:rsidRPr="005E4BEA">
        <w:rPr>
          <w:rFonts w:cs="Arial"/>
          <w:szCs w:val="20"/>
        </w:rPr>
        <w:t>prospektivnega</w:t>
      </w:r>
      <w:proofErr w:type="spellEnd"/>
      <w:r w:rsidRPr="005E4BEA">
        <w:rPr>
          <w:rFonts w:cs="Arial"/>
          <w:szCs w:val="20"/>
        </w:rPr>
        <w:t xml:space="preserve"> programa) </w:t>
      </w:r>
      <w:r w:rsidRPr="005E4BEA">
        <w:rPr>
          <w:rFonts w:cs="Arial"/>
          <w:b/>
          <w:bCs/>
          <w:szCs w:val="20"/>
        </w:rPr>
        <w:t>se v okviru 4. točke »</w:t>
      </w:r>
      <w:proofErr w:type="spellStart"/>
      <w:r w:rsidRPr="005E4BEA">
        <w:rPr>
          <w:rFonts w:cs="Arial"/>
          <w:b/>
          <w:bCs/>
          <w:szCs w:val="20"/>
        </w:rPr>
        <w:t>Perkutani</w:t>
      </w:r>
      <w:proofErr w:type="spellEnd"/>
      <w:r w:rsidRPr="005E4BEA">
        <w:rPr>
          <w:rFonts w:cs="Arial"/>
          <w:b/>
          <w:bCs/>
          <w:szCs w:val="20"/>
        </w:rPr>
        <w:t xml:space="preserve"> posegi na srcu, srčnih zaklopkah in koronarnih arterijah« za prvo alinejo dodajo nove alineje, ki se glasijo:</w:t>
      </w:r>
    </w:p>
    <w:tbl>
      <w:tblPr>
        <w:tblW w:w="6946" w:type="dxa"/>
        <w:tblBorders>
          <w:top w:val="single" w:sz="4" w:space="0" w:color="auto"/>
        </w:tblBorders>
        <w:tblLayout w:type="fixed"/>
        <w:tblCellMar>
          <w:left w:w="70" w:type="dxa"/>
          <w:right w:w="70" w:type="dxa"/>
        </w:tblCellMar>
        <w:tblLook w:val="0000" w:firstRow="0" w:lastRow="0" w:firstColumn="0" w:lastColumn="0" w:noHBand="0" w:noVBand="0"/>
      </w:tblPr>
      <w:tblGrid>
        <w:gridCol w:w="426"/>
        <w:gridCol w:w="778"/>
        <w:gridCol w:w="5742"/>
      </w:tblGrid>
      <w:tr w:rsidR="00FE461F" w:rsidRPr="005E4BEA" w14:paraId="1AF5A669" w14:textId="77777777" w:rsidTr="0016774B">
        <w:trPr>
          <w:trHeight w:hRule="exact" w:val="283"/>
        </w:trPr>
        <w:tc>
          <w:tcPr>
            <w:tcW w:w="426" w:type="dxa"/>
            <w:tcBorders>
              <w:top w:val="single" w:sz="2" w:space="0" w:color="auto"/>
              <w:left w:val="nil"/>
              <w:bottom w:val="single" w:sz="2" w:space="0" w:color="auto"/>
              <w:right w:val="nil"/>
            </w:tcBorders>
          </w:tcPr>
          <w:p w14:paraId="6111C34A" w14:textId="77777777" w:rsidR="00FE461F" w:rsidRPr="005E4BEA" w:rsidRDefault="00FE461F" w:rsidP="00FE461F">
            <w:pPr>
              <w:autoSpaceDE w:val="0"/>
              <w:autoSpaceDN w:val="0"/>
              <w:adjustRightInd w:val="0"/>
              <w:spacing w:line="240" w:lineRule="auto"/>
              <w:jc w:val="both"/>
              <w:rPr>
                <w:rFonts w:cs="Arial"/>
                <w:color w:val="000000"/>
                <w:szCs w:val="20"/>
              </w:rPr>
            </w:pPr>
            <w:r w:rsidRPr="005E4BEA">
              <w:rPr>
                <w:rFonts w:cs="Arial"/>
                <w:szCs w:val="20"/>
              </w:rPr>
              <w:t>2.</w:t>
            </w:r>
          </w:p>
        </w:tc>
        <w:tc>
          <w:tcPr>
            <w:tcW w:w="778" w:type="dxa"/>
            <w:tcBorders>
              <w:top w:val="single" w:sz="2" w:space="0" w:color="auto"/>
              <w:left w:val="nil"/>
              <w:bottom w:val="single" w:sz="2" w:space="0" w:color="auto"/>
              <w:right w:val="nil"/>
            </w:tcBorders>
          </w:tcPr>
          <w:p w14:paraId="017DE194"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38287-02</w:t>
            </w:r>
          </w:p>
        </w:tc>
        <w:tc>
          <w:tcPr>
            <w:tcW w:w="5742" w:type="dxa"/>
            <w:tcBorders>
              <w:top w:val="single" w:sz="2" w:space="0" w:color="auto"/>
              <w:left w:val="nil"/>
              <w:bottom w:val="single" w:sz="2" w:space="0" w:color="auto"/>
              <w:right w:val="nil"/>
            </w:tcBorders>
          </w:tcPr>
          <w:p w14:paraId="55438943"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tc>
      </w:tr>
      <w:tr w:rsidR="00FE461F" w:rsidRPr="005E4BEA" w14:paraId="0A11BDA0" w14:textId="77777777" w:rsidTr="0016774B">
        <w:trPr>
          <w:trHeight w:hRule="exact" w:val="283"/>
        </w:trPr>
        <w:tc>
          <w:tcPr>
            <w:tcW w:w="426" w:type="dxa"/>
            <w:tcBorders>
              <w:top w:val="single" w:sz="2" w:space="0" w:color="auto"/>
              <w:left w:val="nil"/>
              <w:bottom w:val="single" w:sz="2" w:space="0" w:color="auto"/>
              <w:right w:val="nil"/>
            </w:tcBorders>
          </w:tcPr>
          <w:p w14:paraId="5CFDCBA1"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3.</w:t>
            </w:r>
          </w:p>
        </w:tc>
        <w:tc>
          <w:tcPr>
            <w:tcW w:w="778" w:type="dxa"/>
            <w:tcBorders>
              <w:top w:val="single" w:sz="2" w:space="0" w:color="auto"/>
              <w:left w:val="nil"/>
              <w:bottom w:val="single" w:sz="2" w:space="0" w:color="auto"/>
              <w:right w:val="nil"/>
            </w:tcBorders>
          </w:tcPr>
          <w:p w14:paraId="0F79D641"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38290-01</w:t>
            </w:r>
          </w:p>
        </w:tc>
        <w:tc>
          <w:tcPr>
            <w:tcW w:w="5742" w:type="dxa"/>
            <w:tcBorders>
              <w:top w:val="single" w:sz="2" w:space="0" w:color="auto"/>
              <w:left w:val="nil"/>
              <w:bottom w:val="single" w:sz="2" w:space="0" w:color="auto"/>
              <w:right w:val="nil"/>
            </w:tcBorders>
          </w:tcPr>
          <w:p w14:paraId="501D2B44" w14:textId="77777777" w:rsidR="00FE461F" w:rsidRPr="005E4BEA" w:rsidRDefault="00FE461F" w:rsidP="00FE461F">
            <w:pPr>
              <w:spacing w:line="240" w:lineRule="auto"/>
              <w:jc w:val="both"/>
              <w:rPr>
                <w:rFonts w:cs="Arial"/>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tc>
      </w:tr>
      <w:tr w:rsidR="00FE461F" w:rsidRPr="005E4BEA" w14:paraId="63381D11" w14:textId="77777777" w:rsidTr="0016774B">
        <w:trPr>
          <w:trHeight w:hRule="exact" w:val="283"/>
        </w:trPr>
        <w:tc>
          <w:tcPr>
            <w:tcW w:w="426" w:type="dxa"/>
            <w:tcBorders>
              <w:top w:val="single" w:sz="2" w:space="0" w:color="auto"/>
              <w:left w:val="nil"/>
              <w:bottom w:val="single" w:sz="2" w:space="0" w:color="auto"/>
              <w:right w:val="nil"/>
            </w:tcBorders>
          </w:tcPr>
          <w:p w14:paraId="65A46882"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4.</w:t>
            </w:r>
          </w:p>
        </w:tc>
        <w:tc>
          <w:tcPr>
            <w:tcW w:w="778" w:type="dxa"/>
            <w:tcBorders>
              <w:top w:val="single" w:sz="2" w:space="0" w:color="auto"/>
              <w:left w:val="nil"/>
              <w:bottom w:val="single" w:sz="2" w:space="0" w:color="auto"/>
              <w:right w:val="nil"/>
            </w:tcBorders>
          </w:tcPr>
          <w:p w14:paraId="6F4A24B5"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38287-01</w:t>
            </w:r>
          </w:p>
        </w:tc>
        <w:tc>
          <w:tcPr>
            <w:tcW w:w="5742" w:type="dxa"/>
            <w:tcBorders>
              <w:top w:val="single" w:sz="2" w:space="0" w:color="auto"/>
              <w:left w:val="nil"/>
              <w:bottom w:val="single" w:sz="2" w:space="0" w:color="auto"/>
              <w:right w:val="nil"/>
            </w:tcBorders>
          </w:tcPr>
          <w:p w14:paraId="0A6F19A9" w14:textId="77777777" w:rsidR="00FE461F" w:rsidRPr="005E4BEA" w:rsidRDefault="00FE461F" w:rsidP="00FE461F">
            <w:pPr>
              <w:autoSpaceDE w:val="0"/>
              <w:autoSpaceDN w:val="0"/>
              <w:adjustRightInd w:val="0"/>
              <w:spacing w:line="240" w:lineRule="auto"/>
              <w:jc w:val="both"/>
              <w:rPr>
                <w:rFonts w:cs="Arial"/>
                <w:color w:val="FF0000"/>
                <w:szCs w:val="20"/>
              </w:rPr>
            </w:pPr>
            <w:r w:rsidRPr="005E4BEA">
              <w:rPr>
                <w:rFonts w:cs="Arial"/>
                <w:szCs w:val="20"/>
              </w:rPr>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tc>
      </w:tr>
    </w:tbl>
    <w:p w14:paraId="7AC0099C"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 xml:space="preserve">  5         38518-00   Katetrska ablacija prekatne mišice</w:t>
      </w:r>
    </w:p>
    <w:p w14:paraId="343DB037" w14:textId="77777777" w:rsidR="00FE461F" w:rsidRPr="005E4BEA" w:rsidRDefault="00FE461F" w:rsidP="00FE461F">
      <w:pPr>
        <w:spacing w:line="240" w:lineRule="exact"/>
        <w:jc w:val="both"/>
        <w:rPr>
          <w:rFonts w:cs="Arial"/>
          <w:color w:val="000000"/>
          <w:szCs w:val="20"/>
        </w:rPr>
      </w:pPr>
      <w:r w:rsidRPr="005E4BEA">
        <w:rPr>
          <w:rFonts w:cs="Arial"/>
          <w:color w:val="000000"/>
          <w:szCs w:val="20"/>
        </w:rPr>
        <w:t>Ostale alineje se preštevilčijo.</w:t>
      </w:r>
    </w:p>
    <w:p w14:paraId="3D9E0246" w14:textId="77777777" w:rsidR="00FE461F" w:rsidRPr="005E4BEA" w:rsidRDefault="00FE461F" w:rsidP="00FE461F">
      <w:pPr>
        <w:spacing w:line="240" w:lineRule="auto"/>
        <w:jc w:val="both"/>
        <w:rPr>
          <w:rFonts w:cs="Arial"/>
          <w:szCs w:val="20"/>
        </w:rPr>
      </w:pPr>
    </w:p>
    <w:p w14:paraId="71CA1E87" w14:textId="77777777" w:rsidR="00FE461F" w:rsidRPr="005E4BEA" w:rsidRDefault="00FE461F" w:rsidP="00FE461F">
      <w:pPr>
        <w:spacing w:line="240" w:lineRule="exact"/>
        <w:jc w:val="both"/>
        <w:rPr>
          <w:rFonts w:cs="Arial"/>
          <w:b/>
          <w:bCs/>
          <w:szCs w:val="20"/>
        </w:rPr>
      </w:pPr>
      <w:r w:rsidRPr="005E4BEA">
        <w:rPr>
          <w:rFonts w:cs="Arial"/>
          <w:b/>
          <w:bCs/>
          <w:szCs w:val="20"/>
        </w:rPr>
        <w:t xml:space="preserve">V Prilogi BOL – 2b </w:t>
      </w:r>
      <w:r w:rsidRPr="005E4BEA">
        <w:rPr>
          <w:rFonts w:cs="Arial"/>
          <w:szCs w:val="20"/>
        </w:rPr>
        <w:t>(Seznam posegov iz Klasifikacije terapevtskih in diagnostičnih postopkov za identificiranje izbranih storitev iz Priloge I/b)</w:t>
      </w:r>
      <w:r w:rsidRPr="005E4BEA">
        <w:rPr>
          <w:rFonts w:cs="Arial"/>
          <w:b/>
          <w:bCs/>
          <w:szCs w:val="20"/>
        </w:rPr>
        <w:t xml:space="preserve"> se doda nova 3. točka, ki se glasi:</w:t>
      </w:r>
    </w:p>
    <w:p w14:paraId="72021ED8" w14:textId="77777777" w:rsidR="00FE461F" w:rsidRPr="005E4BEA" w:rsidRDefault="00FE461F" w:rsidP="00FE461F">
      <w:pPr>
        <w:spacing w:line="120" w:lineRule="auto"/>
        <w:jc w:val="both"/>
        <w:rPr>
          <w:rFonts w:cs="Arial"/>
          <w:b/>
          <w:bCs/>
          <w:szCs w:val="20"/>
        </w:rPr>
      </w:pPr>
    </w:p>
    <w:p w14:paraId="566643C5" w14:textId="77777777" w:rsidR="00FE461F" w:rsidRPr="005E4BEA" w:rsidRDefault="00FE461F" w:rsidP="00FE461F">
      <w:pPr>
        <w:spacing w:line="240" w:lineRule="exact"/>
        <w:jc w:val="both"/>
        <w:rPr>
          <w:rFonts w:cs="Arial"/>
          <w:szCs w:val="20"/>
        </w:rPr>
      </w:pPr>
      <w:r w:rsidRPr="005E4BEA">
        <w:rPr>
          <w:rFonts w:cs="Arial"/>
          <w:szCs w:val="20"/>
        </w:rPr>
        <w:t>»3.) Katetrske ablacije aritmij</w:t>
      </w:r>
    </w:p>
    <w:p w14:paraId="2C42CDC9" w14:textId="77777777" w:rsidR="00FE461F" w:rsidRPr="005E4BEA" w:rsidRDefault="00FE461F" w:rsidP="00FE461F">
      <w:pPr>
        <w:spacing w:line="120" w:lineRule="auto"/>
        <w:jc w:val="both"/>
        <w:rPr>
          <w:rFonts w:cs="Arial"/>
          <w:szCs w:val="20"/>
        </w:rPr>
      </w:pPr>
    </w:p>
    <w:p w14:paraId="19DD5D1B" w14:textId="77777777" w:rsidR="00FE461F" w:rsidRPr="005E4BEA" w:rsidRDefault="00FE461F" w:rsidP="00FE461F">
      <w:pPr>
        <w:spacing w:line="240" w:lineRule="exact"/>
        <w:jc w:val="both"/>
        <w:rPr>
          <w:rFonts w:cs="Arial"/>
          <w:szCs w:val="20"/>
        </w:rPr>
      </w:pPr>
      <w:r w:rsidRPr="005E4BEA">
        <w:rPr>
          <w:rFonts w:cs="Arial"/>
          <w:szCs w:val="20"/>
        </w:rPr>
        <w:t>1.</w:t>
      </w:r>
      <w:r w:rsidRPr="005E4BEA">
        <w:rPr>
          <w:rFonts w:cs="Arial"/>
          <w:szCs w:val="20"/>
        </w:rPr>
        <w:tab/>
        <w:t>38287-02</w:t>
      </w:r>
      <w:r w:rsidRPr="005E4BEA">
        <w:rPr>
          <w:rFonts w:cs="Arial"/>
          <w:szCs w:val="20"/>
        </w:rPr>
        <w:tab/>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levo </w:t>
      </w:r>
      <w:proofErr w:type="spellStart"/>
      <w:r w:rsidRPr="005E4BEA">
        <w:rPr>
          <w:rFonts w:cs="Arial"/>
          <w:szCs w:val="20"/>
        </w:rPr>
        <w:t>preddvorno</w:t>
      </w:r>
      <w:proofErr w:type="spellEnd"/>
      <w:r w:rsidRPr="005E4BEA">
        <w:rPr>
          <w:rFonts w:cs="Arial"/>
          <w:szCs w:val="20"/>
        </w:rPr>
        <w:t xml:space="preserve"> votlino</w:t>
      </w:r>
    </w:p>
    <w:p w14:paraId="5C499A6A" w14:textId="77777777" w:rsidR="00FE461F" w:rsidRPr="005E4BEA" w:rsidRDefault="00FE461F" w:rsidP="00FE461F">
      <w:pPr>
        <w:spacing w:line="240" w:lineRule="exact"/>
        <w:jc w:val="both"/>
        <w:rPr>
          <w:rFonts w:cs="Arial"/>
          <w:szCs w:val="20"/>
        </w:rPr>
      </w:pPr>
      <w:r w:rsidRPr="005E4BEA">
        <w:rPr>
          <w:rFonts w:cs="Arial"/>
          <w:szCs w:val="20"/>
        </w:rPr>
        <w:t>2.</w:t>
      </w:r>
      <w:r w:rsidRPr="005E4BEA">
        <w:rPr>
          <w:rFonts w:cs="Arial"/>
          <w:szCs w:val="20"/>
        </w:rPr>
        <w:tab/>
        <w:t>38290-01</w:t>
      </w:r>
      <w:r w:rsidRPr="005E4BEA">
        <w:rPr>
          <w:rFonts w:cs="Arial"/>
          <w:szCs w:val="20"/>
        </w:rPr>
        <w:tab/>
        <w:t xml:space="preserve">Katetrska ablacija </w:t>
      </w:r>
      <w:proofErr w:type="spellStart"/>
      <w:r w:rsidRPr="005E4BEA">
        <w:rPr>
          <w:rFonts w:cs="Arial"/>
          <w:szCs w:val="20"/>
        </w:rPr>
        <w:t>aritmogene</w:t>
      </w:r>
      <w:proofErr w:type="spellEnd"/>
      <w:r w:rsidRPr="005E4BEA">
        <w:rPr>
          <w:rFonts w:cs="Arial"/>
          <w:szCs w:val="20"/>
        </w:rPr>
        <w:t xml:space="preserve"> zanke ali žarišča, ki zajema obe </w:t>
      </w:r>
      <w:proofErr w:type="spellStart"/>
      <w:r w:rsidRPr="005E4BEA">
        <w:rPr>
          <w:rFonts w:cs="Arial"/>
          <w:szCs w:val="20"/>
        </w:rPr>
        <w:t>preddvorni</w:t>
      </w:r>
      <w:proofErr w:type="spellEnd"/>
      <w:r w:rsidRPr="005E4BEA">
        <w:rPr>
          <w:rFonts w:cs="Arial"/>
          <w:szCs w:val="20"/>
        </w:rPr>
        <w:t xml:space="preserve"> votlini</w:t>
      </w:r>
    </w:p>
    <w:p w14:paraId="0EB5CAE6" w14:textId="77777777" w:rsidR="00FE461F" w:rsidRPr="005E4BEA" w:rsidRDefault="00FE461F" w:rsidP="00FE461F">
      <w:pPr>
        <w:spacing w:line="240" w:lineRule="exact"/>
        <w:jc w:val="both"/>
        <w:rPr>
          <w:rFonts w:cs="Arial"/>
          <w:szCs w:val="20"/>
        </w:rPr>
      </w:pPr>
      <w:r w:rsidRPr="005E4BEA">
        <w:rPr>
          <w:rFonts w:cs="Arial"/>
          <w:szCs w:val="20"/>
        </w:rPr>
        <w:t>3.</w:t>
      </w:r>
      <w:r w:rsidRPr="005E4BEA">
        <w:rPr>
          <w:rFonts w:cs="Arial"/>
          <w:szCs w:val="20"/>
        </w:rPr>
        <w:tab/>
        <w:t>38287-01</w:t>
      </w:r>
      <w:r w:rsidRPr="005E4BEA">
        <w:rPr>
          <w:rFonts w:cs="Arial"/>
          <w:szCs w:val="20"/>
        </w:rPr>
        <w:tab/>
        <w:t xml:space="preserve">Katetrska ablacija </w:t>
      </w:r>
      <w:proofErr w:type="spellStart"/>
      <w:r w:rsidRPr="005E4BEA">
        <w:rPr>
          <w:rFonts w:cs="Arial"/>
          <w:szCs w:val="20"/>
        </w:rPr>
        <w:t>aritmogene</w:t>
      </w:r>
      <w:proofErr w:type="spellEnd"/>
      <w:r w:rsidRPr="005E4BEA">
        <w:rPr>
          <w:rFonts w:cs="Arial"/>
          <w:szCs w:val="20"/>
        </w:rPr>
        <w:t xml:space="preserve"> zanke ali žarišča, ki ni uvrščena drugje</w:t>
      </w:r>
    </w:p>
    <w:p w14:paraId="6F358CBA" w14:textId="77777777" w:rsidR="00FE461F" w:rsidRPr="005E4BEA" w:rsidRDefault="00FE461F" w:rsidP="00FE461F">
      <w:pPr>
        <w:autoSpaceDE w:val="0"/>
        <w:autoSpaceDN w:val="0"/>
        <w:adjustRightInd w:val="0"/>
        <w:spacing w:line="240" w:lineRule="auto"/>
        <w:jc w:val="both"/>
        <w:rPr>
          <w:rFonts w:cs="Arial"/>
          <w:szCs w:val="20"/>
        </w:rPr>
      </w:pPr>
      <w:r w:rsidRPr="005E4BEA">
        <w:rPr>
          <w:rFonts w:cs="Arial"/>
          <w:szCs w:val="20"/>
        </w:rPr>
        <w:t>4.               38518-00                  Katetrska ablacija prekatne mišice</w:t>
      </w:r>
    </w:p>
    <w:p w14:paraId="7464BE18" w14:textId="77777777" w:rsidR="00FE461F" w:rsidRPr="005E4BEA" w:rsidRDefault="00FE461F" w:rsidP="00FE461F">
      <w:pPr>
        <w:spacing w:line="240" w:lineRule="auto"/>
        <w:jc w:val="both"/>
        <w:rPr>
          <w:rFonts w:cs="Arial"/>
          <w:szCs w:val="20"/>
        </w:rPr>
      </w:pPr>
    </w:p>
    <w:p w14:paraId="57DD88BE"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t xml:space="preserve">Obrazložitev: </w:t>
      </w:r>
    </w:p>
    <w:p w14:paraId="68D3BBC2" w14:textId="77777777" w:rsidR="00FE461F" w:rsidRPr="005E4BEA" w:rsidRDefault="00FE461F" w:rsidP="00FE461F">
      <w:pPr>
        <w:spacing w:line="252" w:lineRule="auto"/>
        <w:jc w:val="both"/>
        <w:rPr>
          <w:rFonts w:cs="Arial"/>
          <w:i/>
          <w:iCs/>
          <w:color w:val="808080" w:themeColor="background1" w:themeShade="80"/>
          <w:szCs w:val="20"/>
        </w:rPr>
      </w:pPr>
      <w:r w:rsidRPr="005E4BEA">
        <w:rPr>
          <w:rFonts w:cs="Arial"/>
          <w:i/>
          <w:iCs/>
          <w:color w:val="808080" w:themeColor="background1" w:themeShade="80"/>
          <w:szCs w:val="20"/>
        </w:rPr>
        <w:t xml:space="preserve">Združenje na podlagi izračunov za UKC Ljubljana, dokazuje, da je predlagana povprečna cena , ki jo predlaga ZZZS v višini 5.450 € prenizka. </w:t>
      </w:r>
    </w:p>
    <w:p w14:paraId="1DD70068"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S povprečnim dodatkom 5.450,00 € bi na podlagi realizacije v letu 2021 </w:t>
      </w:r>
      <w:proofErr w:type="spellStart"/>
      <w:r w:rsidRPr="005E4BEA">
        <w:rPr>
          <w:rFonts w:cs="Arial"/>
          <w:i/>
          <w:iCs/>
          <w:color w:val="808080" w:themeColor="background1" w:themeShade="80"/>
          <w:szCs w:val="20"/>
        </w:rPr>
        <w:t>uatvarili</w:t>
      </w:r>
      <w:proofErr w:type="spellEnd"/>
      <w:r w:rsidRPr="005E4BEA">
        <w:rPr>
          <w:rFonts w:cs="Arial"/>
          <w:i/>
          <w:iCs/>
          <w:color w:val="808080" w:themeColor="background1" w:themeShade="80"/>
          <w:szCs w:val="20"/>
        </w:rPr>
        <w:t xml:space="preserve"> na IK cca 500.000 € izgube, na KK pa 793.778,09 € izgube. Skupaj za UKCL torej kar 1.279.749,01 € izgube, če pristanejo na omenjeni dodatek. </w:t>
      </w:r>
    </w:p>
    <w:p w14:paraId="5C376414" w14:textId="77777777" w:rsidR="00FE461F" w:rsidRPr="005E4BEA" w:rsidRDefault="00FE461F" w:rsidP="00FE461F">
      <w:pPr>
        <w:spacing w:line="240" w:lineRule="auto"/>
        <w:rPr>
          <w:rFonts w:cs="Arial"/>
          <w:i/>
          <w:iCs/>
          <w:color w:val="808080" w:themeColor="background1" w:themeShade="80"/>
          <w:szCs w:val="20"/>
        </w:rPr>
      </w:pPr>
    </w:p>
    <w:p w14:paraId="54074C59"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V kolikor se ne strinjate z našim predlogom, da se cene dodatkov za posege katetrske ablacije aritmije obračunavajo po dejanski vrednosti, predlagamo popravek in dopolnitev ZZZS predloga za sprejem v Aneksu 1 k SD 2022 in sicer predlagamo:</w:t>
      </w:r>
    </w:p>
    <w:p w14:paraId="3708E08D" w14:textId="77777777" w:rsidR="00FE461F" w:rsidRPr="005E4BEA" w:rsidRDefault="00FE461F" w:rsidP="00F356C9">
      <w:pPr>
        <w:numPr>
          <w:ilvl w:val="0"/>
          <w:numId w:val="41"/>
        </w:num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povprečni dodatek za  Interno kliniko v višini 6.427,81 €. </w:t>
      </w:r>
    </w:p>
    <w:p w14:paraId="6A9B627A" w14:textId="77777777" w:rsidR="00FE461F" w:rsidRPr="005E4BEA" w:rsidRDefault="00FE461F" w:rsidP="00F356C9">
      <w:pPr>
        <w:numPr>
          <w:ilvl w:val="0"/>
          <w:numId w:val="41"/>
        </w:num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povprečni dodatek za  Kirurško kliniko pa je 7.705,05 €. </w:t>
      </w:r>
    </w:p>
    <w:p w14:paraId="661DD9AE" w14:textId="77777777" w:rsidR="00FE461F" w:rsidRPr="005E4BEA" w:rsidRDefault="00FE461F" w:rsidP="00FE461F">
      <w:pPr>
        <w:spacing w:line="240" w:lineRule="auto"/>
        <w:jc w:val="both"/>
        <w:rPr>
          <w:rFonts w:cs="Arial"/>
          <w:i/>
          <w:iCs/>
          <w:color w:val="808080" w:themeColor="background1" w:themeShade="80"/>
          <w:szCs w:val="20"/>
        </w:rPr>
      </w:pPr>
    </w:p>
    <w:p w14:paraId="655BDB85" w14:textId="77777777" w:rsidR="0065417A" w:rsidRPr="005E4BEA" w:rsidRDefault="0065417A" w:rsidP="00487C03">
      <w:pPr>
        <w:autoSpaceDE w:val="0"/>
        <w:autoSpaceDN w:val="0"/>
        <w:adjustRightInd w:val="0"/>
        <w:spacing w:line="0" w:lineRule="atLeast"/>
        <w:jc w:val="both"/>
        <w:rPr>
          <w:rFonts w:eastAsia="Arial Narrow" w:cs="Arial"/>
          <w:b/>
          <w:szCs w:val="20"/>
        </w:rPr>
      </w:pPr>
    </w:p>
    <w:p w14:paraId="0F92AC33" w14:textId="77777777" w:rsidR="002C063B" w:rsidRPr="005E4BEA" w:rsidRDefault="002C063B" w:rsidP="002C063B">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 saj je podprlo predlog ZZZS v </w:t>
      </w:r>
      <w:proofErr w:type="spellStart"/>
      <w:r w:rsidRPr="005E4BEA">
        <w:rPr>
          <w:rFonts w:eastAsia="Arial Narrow" w:cs="Arial"/>
          <w:szCs w:val="20"/>
        </w:rPr>
        <w:t>ovkiru</w:t>
      </w:r>
      <w:proofErr w:type="spellEnd"/>
      <w:r w:rsidRPr="005E4BEA">
        <w:rPr>
          <w:rFonts w:eastAsia="Arial Narrow" w:cs="Arial"/>
          <w:szCs w:val="20"/>
        </w:rPr>
        <w:t xml:space="preserve"> 36 spornega vprašanja.</w:t>
      </w:r>
    </w:p>
    <w:p w14:paraId="3FE3FC61" w14:textId="77777777" w:rsidR="0065417A" w:rsidRPr="005E4BEA" w:rsidRDefault="0065417A" w:rsidP="0065417A">
      <w:pPr>
        <w:spacing w:line="0" w:lineRule="atLeast"/>
        <w:jc w:val="both"/>
        <w:rPr>
          <w:rFonts w:eastAsia="Arial Narrow" w:cs="Arial"/>
          <w:szCs w:val="20"/>
          <w:lang w:eastAsia="sl-SI"/>
        </w:rPr>
      </w:pPr>
    </w:p>
    <w:p w14:paraId="2855DC1F" w14:textId="562F6DC3" w:rsidR="0065417A" w:rsidRPr="005E4BEA" w:rsidRDefault="0065417A" w:rsidP="0065417A">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Priloga I/b, Priloga III in Priloga BOL Splošnega dogovora za pogodbeno leto 2022 ne spremenijo.</w:t>
      </w:r>
    </w:p>
    <w:p w14:paraId="7492C381" w14:textId="77777777" w:rsidR="003758BB" w:rsidRPr="005E4BEA" w:rsidRDefault="003758BB" w:rsidP="0065417A">
      <w:pPr>
        <w:spacing w:line="0" w:lineRule="atLeast"/>
        <w:jc w:val="both"/>
        <w:rPr>
          <w:rFonts w:eastAsia="Arial Narrow" w:cs="Arial"/>
          <w:szCs w:val="20"/>
        </w:rPr>
      </w:pPr>
    </w:p>
    <w:p w14:paraId="00EA64A9" w14:textId="77777777" w:rsidR="0065417A" w:rsidRPr="005E4BEA" w:rsidRDefault="0065417A" w:rsidP="0065417A">
      <w:pPr>
        <w:spacing w:line="0" w:lineRule="atLeast"/>
        <w:jc w:val="both"/>
        <w:rPr>
          <w:rFonts w:eastAsia="Arial Narrow" w:cs="Arial"/>
          <w:szCs w:val="20"/>
        </w:rPr>
      </w:pPr>
    </w:p>
    <w:p w14:paraId="1CBB0A90" w14:textId="33AC970E" w:rsidR="003758BB" w:rsidRPr="005E4BEA" w:rsidRDefault="003758BB"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(54)</w:t>
      </w:r>
    </w:p>
    <w:p w14:paraId="4E90EDC2" w14:textId="77777777" w:rsidR="003758BB" w:rsidRPr="005E4BEA" w:rsidRDefault="003758BB" w:rsidP="003758BB">
      <w:pPr>
        <w:spacing w:line="240" w:lineRule="auto"/>
        <w:jc w:val="both"/>
        <w:rPr>
          <w:rFonts w:cs="Arial"/>
          <w:i/>
          <w:iCs/>
          <w:color w:val="808080" w:themeColor="background1" w:themeShade="80"/>
          <w:szCs w:val="20"/>
        </w:rPr>
      </w:pPr>
    </w:p>
    <w:p w14:paraId="77523C19" w14:textId="58B8CEF9" w:rsidR="00FE461F" w:rsidRPr="005E4BEA" w:rsidRDefault="003758BB" w:rsidP="00FE461F">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 xml:space="preserve">predlaga, da se v </w:t>
      </w:r>
      <w:r w:rsidR="00FE461F" w:rsidRPr="005E4BEA">
        <w:rPr>
          <w:rFonts w:cs="Arial"/>
          <w:szCs w:val="20"/>
        </w:rPr>
        <w:t>petem odstavku 24. člena doda nova alinea:</w:t>
      </w:r>
    </w:p>
    <w:p w14:paraId="28D8751B" w14:textId="77777777" w:rsidR="00FE461F" w:rsidRPr="005E4BEA" w:rsidRDefault="00FE461F" w:rsidP="00FE461F">
      <w:pPr>
        <w:spacing w:line="240" w:lineRule="auto"/>
        <w:jc w:val="both"/>
        <w:rPr>
          <w:rFonts w:eastAsiaTheme="minorHAnsi" w:cs="Arial"/>
          <w:szCs w:val="20"/>
        </w:rPr>
      </w:pPr>
    </w:p>
    <w:p w14:paraId="1311678D"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rPr>
        <w:t>Za boljše vrednotenje že dogovorjenih programov se v času epidemije dodatna sredstva namenijo za:</w:t>
      </w:r>
    </w:p>
    <w:p w14:paraId="1DBE3E6D" w14:textId="77777777" w:rsidR="00FE461F" w:rsidRPr="005E4BEA" w:rsidRDefault="00FE461F" w:rsidP="00FE461F">
      <w:pPr>
        <w:spacing w:line="240" w:lineRule="auto"/>
        <w:jc w:val="both"/>
        <w:rPr>
          <w:rFonts w:eastAsiaTheme="minorHAnsi" w:cs="Arial"/>
          <w:szCs w:val="20"/>
          <w:u w:val="single"/>
        </w:rPr>
      </w:pPr>
    </w:p>
    <w:p w14:paraId="266DA9E6" w14:textId="77777777" w:rsidR="00FE461F" w:rsidRPr="005E4BEA" w:rsidRDefault="00FE461F" w:rsidP="00FE461F">
      <w:pPr>
        <w:spacing w:line="240" w:lineRule="auto"/>
        <w:jc w:val="both"/>
        <w:rPr>
          <w:rFonts w:eastAsiaTheme="minorHAnsi" w:cs="Arial"/>
          <w:szCs w:val="20"/>
          <w:u w:val="single"/>
        </w:rPr>
      </w:pPr>
      <w:r w:rsidRPr="005E4BEA">
        <w:rPr>
          <w:rFonts w:eastAsiaTheme="minorHAnsi" w:cs="Arial"/>
          <w:szCs w:val="20"/>
          <w:u w:val="single"/>
        </w:rPr>
        <w:t>ZOBOZDRAVSTVO</w:t>
      </w:r>
    </w:p>
    <w:p w14:paraId="581BAF46" w14:textId="77777777" w:rsidR="00FE461F" w:rsidRPr="005E4BEA" w:rsidRDefault="00FE461F" w:rsidP="00FE461F">
      <w:pPr>
        <w:spacing w:line="240" w:lineRule="auto"/>
        <w:jc w:val="both"/>
        <w:rPr>
          <w:rFonts w:eastAsiaTheme="minorHAnsi" w:cs="Arial"/>
          <w:i/>
          <w:iCs/>
          <w:szCs w:val="20"/>
        </w:rPr>
      </w:pPr>
      <w:r w:rsidRPr="005E4BEA">
        <w:rPr>
          <w:rFonts w:eastAsiaTheme="minorHAnsi" w:cs="Arial"/>
          <w:szCs w:val="20"/>
        </w:rPr>
        <w:t xml:space="preserve">V zobozdravstvenih dejavnostih zobozdravstvo za odrasle, zobozdravstvo za študente, mladinskem zobozdravstvu, </w:t>
      </w:r>
      <w:proofErr w:type="spellStart"/>
      <w:r w:rsidRPr="005E4BEA">
        <w:rPr>
          <w:rFonts w:eastAsiaTheme="minorHAnsi" w:cs="Arial"/>
          <w:szCs w:val="20"/>
        </w:rPr>
        <w:t>parodontologija</w:t>
      </w:r>
      <w:proofErr w:type="spellEnd"/>
      <w:r w:rsidRPr="005E4BEA">
        <w:rPr>
          <w:rFonts w:eastAsiaTheme="minorHAnsi" w:cs="Arial"/>
          <w:szCs w:val="20"/>
        </w:rPr>
        <w:t xml:space="preserve">/zobne bolezni in </w:t>
      </w:r>
      <w:proofErr w:type="spellStart"/>
      <w:r w:rsidRPr="005E4BEA">
        <w:rPr>
          <w:rFonts w:eastAsiaTheme="minorHAnsi" w:cs="Arial"/>
          <w:szCs w:val="20"/>
        </w:rPr>
        <w:t>endodontija</w:t>
      </w:r>
      <w:proofErr w:type="spellEnd"/>
      <w:r w:rsidRPr="005E4BEA">
        <w:rPr>
          <w:rFonts w:eastAsiaTheme="minorHAnsi" w:cs="Arial"/>
          <w:szCs w:val="20"/>
        </w:rPr>
        <w:t xml:space="preserve">, </w:t>
      </w:r>
      <w:proofErr w:type="spellStart"/>
      <w:r w:rsidRPr="005E4BEA">
        <w:rPr>
          <w:rFonts w:eastAsiaTheme="minorHAnsi" w:cs="Arial"/>
          <w:szCs w:val="20"/>
        </w:rPr>
        <w:t>pedontologija</w:t>
      </w:r>
      <w:proofErr w:type="spellEnd"/>
      <w:r w:rsidRPr="005E4BEA">
        <w:rPr>
          <w:rFonts w:eastAsiaTheme="minorHAnsi" w:cs="Arial"/>
          <w:szCs w:val="20"/>
        </w:rPr>
        <w:t xml:space="preserve">, </w:t>
      </w:r>
      <w:proofErr w:type="spellStart"/>
      <w:r w:rsidRPr="005E4BEA">
        <w:rPr>
          <w:rFonts w:eastAsiaTheme="minorHAnsi" w:cs="Arial"/>
          <w:szCs w:val="20"/>
        </w:rPr>
        <w:t>ortodontija</w:t>
      </w:r>
      <w:proofErr w:type="spellEnd"/>
      <w:r w:rsidRPr="005E4BEA">
        <w:rPr>
          <w:rFonts w:eastAsiaTheme="minorHAnsi" w:cs="Arial"/>
          <w:szCs w:val="20"/>
        </w:rPr>
        <w:t xml:space="preserve"> ter oralna in maksilofacialna kirurgija </w:t>
      </w:r>
      <w:r w:rsidRPr="005E4BEA">
        <w:rPr>
          <w:rFonts w:eastAsiaTheme="minorHAnsi" w:cs="Arial"/>
          <w:i/>
          <w:iCs/>
          <w:szCs w:val="20"/>
        </w:rPr>
        <w:t>izvajalci pri vsakem obisku zaračunajo stroške OVO in dezinfekcije v višini 12,70 EUR na obisk.</w:t>
      </w:r>
    </w:p>
    <w:p w14:paraId="391FFEA6" w14:textId="77777777" w:rsidR="00FE461F" w:rsidRPr="005E4BEA" w:rsidRDefault="00FE461F" w:rsidP="00FE461F">
      <w:pPr>
        <w:spacing w:line="240" w:lineRule="auto"/>
        <w:jc w:val="both"/>
        <w:rPr>
          <w:rFonts w:eastAsiaTheme="minorHAnsi" w:cs="Arial"/>
          <w:i/>
          <w:iCs/>
          <w:szCs w:val="20"/>
        </w:rPr>
      </w:pPr>
    </w:p>
    <w:p w14:paraId="1B790790" w14:textId="7491EC89"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38 mio EUR dodatnih sredstev.</w:t>
      </w:r>
    </w:p>
    <w:p w14:paraId="1D2C49BE" w14:textId="77777777" w:rsidR="003758BB" w:rsidRPr="005E4BEA" w:rsidRDefault="003758BB" w:rsidP="00FE461F">
      <w:pPr>
        <w:spacing w:line="240" w:lineRule="auto"/>
        <w:jc w:val="both"/>
        <w:rPr>
          <w:rFonts w:eastAsiaTheme="minorHAnsi" w:cs="Arial"/>
          <w:i/>
          <w:iCs/>
          <w:color w:val="808080" w:themeColor="background1" w:themeShade="80"/>
          <w:szCs w:val="20"/>
        </w:rPr>
      </w:pPr>
    </w:p>
    <w:p w14:paraId="5CD7CED0" w14:textId="75222CD4" w:rsidR="003758BB" w:rsidRPr="005E4BEA" w:rsidRDefault="003758BB" w:rsidP="003758BB">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9722A5" w:rsidRPr="005E4BEA">
        <w:rPr>
          <w:rFonts w:eastAsia="Arial Narrow" w:cs="Arial"/>
          <w:szCs w:val="20"/>
        </w:rPr>
        <w:t xml:space="preserve"> </w:t>
      </w:r>
    </w:p>
    <w:p w14:paraId="5E25ED15" w14:textId="77777777" w:rsidR="003758BB" w:rsidRPr="005E4BEA" w:rsidRDefault="003758BB" w:rsidP="003758BB">
      <w:pPr>
        <w:spacing w:line="0" w:lineRule="atLeast"/>
        <w:jc w:val="both"/>
        <w:rPr>
          <w:rFonts w:eastAsia="Arial Narrow" w:cs="Arial"/>
          <w:szCs w:val="20"/>
          <w:lang w:eastAsia="sl-SI"/>
        </w:rPr>
      </w:pPr>
    </w:p>
    <w:p w14:paraId="70053191" w14:textId="3CBDBA75" w:rsidR="003758BB" w:rsidRPr="005E4BEA" w:rsidRDefault="003758BB" w:rsidP="003758BB">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124B79F2" w14:textId="77777777" w:rsidR="003758BB" w:rsidRPr="005E4BEA" w:rsidRDefault="003758BB" w:rsidP="003758BB">
      <w:pPr>
        <w:spacing w:line="0" w:lineRule="atLeast"/>
        <w:jc w:val="both"/>
        <w:rPr>
          <w:rFonts w:eastAsia="Arial Narrow" w:cs="Arial"/>
          <w:szCs w:val="20"/>
        </w:rPr>
      </w:pPr>
    </w:p>
    <w:p w14:paraId="4C83C96A" w14:textId="6C74728B" w:rsidR="003758BB" w:rsidRPr="005E4BEA" w:rsidRDefault="003758BB"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(55)</w:t>
      </w:r>
    </w:p>
    <w:p w14:paraId="76D2BD39" w14:textId="77777777" w:rsidR="003758BB" w:rsidRPr="005E4BEA" w:rsidRDefault="003758BB" w:rsidP="003758BB">
      <w:pPr>
        <w:spacing w:line="240" w:lineRule="auto"/>
        <w:jc w:val="both"/>
        <w:rPr>
          <w:rFonts w:cs="Arial"/>
          <w:i/>
          <w:iCs/>
          <w:color w:val="808080" w:themeColor="background1" w:themeShade="80"/>
          <w:szCs w:val="20"/>
        </w:rPr>
      </w:pPr>
    </w:p>
    <w:p w14:paraId="262E2300" w14:textId="7ACDD98C" w:rsidR="00FE461F" w:rsidRPr="005E4BEA" w:rsidRDefault="003758BB" w:rsidP="00FE461F">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 xml:space="preserve">predlaga, da se v petem odstavku 24. člena doda nova alinea, </w:t>
      </w:r>
      <w:r w:rsidR="00FE461F" w:rsidRPr="005E4BEA">
        <w:rPr>
          <w:rFonts w:cs="Arial"/>
          <w:szCs w:val="20"/>
        </w:rPr>
        <w:t>ki se glasi:</w:t>
      </w:r>
    </w:p>
    <w:p w14:paraId="53016B26" w14:textId="77777777" w:rsidR="00FE461F" w:rsidRPr="005E4BEA" w:rsidRDefault="00FE461F" w:rsidP="00FE461F">
      <w:pPr>
        <w:spacing w:before="120" w:after="60" w:line="240" w:lineRule="auto"/>
        <w:jc w:val="both"/>
        <w:rPr>
          <w:rFonts w:eastAsiaTheme="minorHAnsi" w:cs="Arial"/>
          <w:szCs w:val="20"/>
        </w:rPr>
      </w:pPr>
      <w:r w:rsidRPr="005E4BEA">
        <w:rPr>
          <w:rFonts w:eastAsiaTheme="minorHAnsi" w:cs="Arial"/>
          <w:szCs w:val="20"/>
        </w:rPr>
        <w:t>Za boljše vrednotenje že dogovorjenih programov se dodatna sredstva namenijo za:</w:t>
      </w:r>
    </w:p>
    <w:p w14:paraId="78787AD3" w14:textId="77777777" w:rsidR="00FE461F" w:rsidRPr="005E4BEA" w:rsidRDefault="00FE461F" w:rsidP="00F356C9">
      <w:pPr>
        <w:numPr>
          <w:ilvl w:val="0"/>
          <w:numId w:val="31"/>
        </w:numPr>
        <w:spacing w:before="180" w:after="60" w:line="240" w:lineRule="auto"/>
        <w:contextualSpacing/>
        <w:jc w:val="both"/>
        <w:rPr>
          <w:rFonts w:eastAsiaTheme="minorHAnsi" w:cs="Arial"/>
          <w:szCs w:val="20"/>
        </w:rPr>
      </w:pPr>
      <w:r w:rsidRPr="005E4BEA">
        <w:rPr>
          <w:rFonts w:eastAsiaTheme="minorHAnsi" w:cs="Arial"/>
          <w:szCs w:val="20"/>
        </w:rPr>
        <w:t xml:space="preserve">dodatna sredstva za povečanje priznanega ADMINISTRATIVNO TEHNIČNEGA DELAVCA iz ur v vseh zobozdravstvenih standardih iz Priloge I za 0,50 </w:t>
      </w:r>
    </w:p>
    <w:p w14:paraId="410CF1AE" w14:textId="77777777" w:rsidR="00FE461F" w:rsidRPr="005E4BEA" w:rsidRDefault="00FE461F" w:rsidP="00F356C9">
      <w:pPr>
        <w:numPr>
          <w:ilvl w:val="0"/>
          <w:numId w:val="31"/>
        </w:numPr>
        <w:spacing w:before="180" w:after="60" w:line="240" w:lineRule="auto"/>
        <w:contextualSpacing/>
        <w:jc w:val="both"/>
        <w:rPr>
          <w:rFonts w:eastAsiaTheme="minorHAnsi" w:cs="Arial"/>
          <w:szCs w:val="20"/>
        </w:rPr>
      </w:pPr>
    </w:p>
    <w:p w14:paraId="28A071F6"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2E40A45D"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Na dodatno zaposlene </w:t>
      </w:r>
      <w:proofErr w:type="spellStart"/>
      <w:r w:rsidRPr="005E4BEA">
        <w:rPr>
          <w:rFonts w:eastAsiaTheme="minorHAnsi" w:cs="Arial"/>
          <w:i/>
          <w:iCs/>
          <w:color w:val="808080" w:themeColor="background1" w:themeShade="80"/>
          <w:szCs w:val="20"/>
        </w:rPr>
        <w:t>administratvno</w:t>
      </w:r>
      <w:proofErr w:type="spellEnd"/>
      <w:r w:rsidRPr="005E4BEA">
        <w:rPr>
          <w:rFonts w:eastAsiaTheme="minorHAnsi" w:cs="Arial"/>
          <w:i/>
          <w:iCs/>
          <w:color w:val="808080" w:themeColor="background1" w:themeShade="80"/>
          <w:szCs w:val="20"/>
        </w:rPr>
        <w:t xml:space="preserve">-tehnične delavce bi zobozdravniki in zobne asistentke prenesli </w:t>
      </w:r>
      <w:proofErr w:type="spellStart"/>
      <w:r w:rsidRPr="005E4BEA">
        <w:rPr>
          <w:rFonts w:eastAsiaTheme="minorHAnsi" w:cs="Arial"/>
          <w:i/>
          <w:iCs/>
          <w:color w:val="808080" w:themeColor="background1" w:themeShade="80"/>
          <w:szCs w:val="20"/>
        </w:rPr>
        <w:t>administratvne</w:t>
      </w:r>
      <w:proofErr w:type="spellEnd"/>
      <w:r w:rsidRPr="005E4BEA">
        <w:rPr>
          <w:rFonts w:eastAsiaTheme="minorHAnsi" w:cs="Arial"/>
          <w:i/>
          <w:iCs/>
          <w:color w:val="808080" w:themeColor="background1" w:themeShade="80"/>
          <w:szCs w:val="20"/>
        </w:rPr>
        <w:t xml:space="preserve"> zadolžitve, ki jih je vse več (izpolnjevanje administrativnih obrazcev, naročanje, iskanje podatkov za paciente…). Tako bi se lahko zobozdravniki in zobne asistentke v celoti posvetili neposrednemu in štiriročnemu delu s pacienti, ki ga predvideva sodobna zobozdravstvena stroka.</w:t>
      </w:r>
    </w:p>
    <w:p w14:paraId="00EE4DE5"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512EEFF4" w14:textId="461FB982"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Finančni učinki: 12 mio </w:t>
      </w:r>
    </w:p>
    <w:p w14:paraId="4A1C8E90" w14:textId="77777777" w:rsidR="003758BB" w:rsidRPr="005E4BEA" w:rsidRDefault="003758BB" w:rsidP="00FE461F">
      <w:pPr>
        <w:spacing w:line="240" w:lineRule="auto"/>
        <w:jc w:val="both"/>
        <w:rPr>
          <w:rFonts w:eastAsiaTheme="minorHAnsi" w:cs="Arial"/>
          <w:i/>
          <w:iCs/>
          <w:color w:val="808080" w:themeColor="background1" w:themeShade="80"/>
          <w:szCs w:val="20"/>
        </w:rPr>
      </w:pPr>
    </w:p>
    <w:p w14:paraId="186EC491" w14:textId="77777777" w:rsidR="003758BB" w:rsidRPr="005E4BEA" w:rsidRDefault="003758BB" w:rsidP="003758BB">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C77AFB6" w14:textId="77777777" w:rsidR="003758BB" w:rsidRPr="005E4BEA" w:rsidRDefault="003758BB" w:rsidP="003758BB">
      <w:pPr>
        <w:spacing w:line="0" w:lineRule="atLeast"/>
        <w:jc w:val="both"/>
        <w:rPr>
          <w:rFonts w:eastAsia="Arial Narrow" w:cs="Arial"/>
          <w:szCs w:val="20"/>
          <w:lang w:eastAsia="sl-SI"/>
        </w:rPr>
      </w:pPr>
    </w:p>
    <w:p w14:paraId="469CCC6F" w14:textId="77777777" w:rsidR="003758BB" w:rsidRPr="005E4BEA" w:rsidRDefault="003758BB" w:rsidP="003758BB">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10B85277"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0A40509D" w14:textId="4495F817" w:rsidR="00FE461F" w:rsidRPr="005E4BEA" w:rsidRDefault="00FE461F" w:rsidP="00FE461F">
      <w:pPr>
        <w:spacing w:line="240" w:lineRule="auto"/>
        <w:jc w:val="both"/>
        <w:rPr>
          <w:rFonts w:eastAsiaTheme="minorHAnsi" w:cs="Arial"/>
          <w:i/>
          <w:iCs/>
          <w:color w:val="808080" w:themeColor="background1" w:themeShade="80"/>
          <w:szCs w:val="20"/>
        </w:rPr>
      </w:pPr>
    </w:p>
    <w:p w14:paraId="0FB1F135" w14:textId="1C55C0EA" w:rsidR="003758BB" w:rsidRPr="005E4BEA" w:rsidRDefault="003758BB"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(56)</w:t>
      </w:r>
    </w:p>
    <w:p w14:paraId="387F3D0B" w14:textId="77777777" w:rsidR="003758BB" w:rsidRPr="005E4BEA" w:rsidRDefault="003758BB" w:rsidP="003758BB">
      <w:pPr>
        <w:spacing w:line="240" w:lineRule="auto"/>
        <w:jc w:val="both"/>
        <w:rPr>
          <w:rFonts w:cs="Arial"/>
          <w:i/>
          <w:iCs/>
          <w:color w:val="808080" w:themeColor="background1" w:themeShade="80"/>
          <w:szCs w:val="20"/>
        </w:rPr>
      </w:pPr>
    </w:p>
    <w:p w14:paraId="0455B115" w14:textId="28C40B86" w:rsidR="003758BB" w:rsidRPr="005E4BEA" w:rsidRDefault="003758BB" w:rsidP="003758BB">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predlaga, da se v petem odstavku 24. člena doda nova alinea, ki se glas</w:t>
      </w:r>
      <w:r w:rsidR="000F255D" w:rsidRPr="005E4BEA">
        <w:rPr>
          <w:rFonts w:cs="Arial"/>
          <w:szCs w:val="20"/>
        </w:rPr>
        <w:t>i:</w:t>
      </w:r>
    </w:p>
    <w:p w14:paraId="4FA71923" w14:textId="77777777" w:rsidR="00FE461F" w:rsidRPr="005E4BEA" w:rsidRDefault="00FE461F" w:rsidP="00FE461F">
      <w:pPr>
        <w:spacing w:before="120" w:after="60" w:line="240" w:lineRule="auto"/>
        <w:jc w:val="both"/>
        <w:rPr>
          <w:rFonts w:eastAsiaTheme="minorHAnsi" w:cs="Arial"/>
          <w:b/>
          <w:bCs/>
          <w:szCs w:val="20"/>
        </w:rPr>
      </w:pPr>
      <w:r w:rsidRPr="005E4BEA">
        <w:rPr>
          <w:rFonts w:eastAsiaTheme="minorHAnsi" w:cs="Arial"/>
          <w:b/>
          <w:bCs/>
          <w:szCs w:val="20"/>
        </w:rPr>
        <w:t>Za boljše vrednotenje že dogovorjenih programov se  dodatna sredstva namenijo za:</w:t>
      </w:r>
    </w:p>
    <w:p w14:paraId="587C2131" w14:textId="77777777" w:rsidR="00FE461F" w:rsidRPr="005E4BEA" w:rsidRDefault="00FE461F" w:rsidP="00F356C9">
      <w:pPr>
        <w:numPr>
          <w:ilvl w:val="0"/>
          <w:numId w:val="31"/>
        </w:numPr>
        <w:spacing w:before="180" w:after="60" w:line="240" w:lineRule="auto"/>
        <w:contextualSpacing/>
        <w:jc w:val="both"/>
        <w:rPr>
          <w:rFonts w:eastAsiaTheme="minorHAnsi" w:cs="Arial"/>
          <w:szCs w:val="20"/>
          <w:u w:val="single"/>
        </w:rPr>
      </w:pPr>
      <w:r w:rsidRPr="005E4BEA">
        <w:rPr>
          <w:rFonts w:eastAsiaTheme="minorHAnsi" w:cs="Arial"/>
          <w:szCs w:val="20"/>
        </w:rPr>
        <w:t>dodatna sredstva za povečanje materialnih stroškov v zobozdravstvu za odrasle ter zobozdravstvu za študente za 3.070 EUR letno in povečanje materialnih stroškov v otroškem in mladinskem zobozdravstvu za 7.980 EUR letno</w:t>
      </w:r>
    </w:p>
    <w:p w14:paraId="2D122799" w14:textId="77777777" w:rsidR="00FE461F" w:rsidRPr="005E4BEA" w:rsidRDefault="00FE461F" w:rsidP="00FE461F">
      <w:pPr>
        <w:spacing w:before="180" w:after="60" w:line="240" w:lineRule="auto"/>
        <w:ind w:left="785"/>
        <w:contextualSpacing/>
        <w:jc w:val="both"/>
        <w:rPr>
          <w:rFonts w:eastAsiaTheme="minorHAnsi" w:cs="Arial"/>
          <w:szCs w:val="20"/>
          <w:u w:val="single"/>
        </w:rPr>
      </w:pPr>
    </w:p>
    <w:p w14:paraId="2C85E768" w14:textId="77777777" w:rsidR="00FE461F" w:rsidRPr="005E4BEA" w:rsidRDefault="00FE461F" w:rsidP="00FE461F">
      <w:pPr>
        <w:spacing w:before="180"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 xml:space="preserve">Obrazložitev: </w:t>
      </w:r>
    </w:p>
    <w:p w14:paraId="280B5DEB" w14:textId="77777777" w:rsidR="00FE461F" w:rsidRPr="005E4BEA" w:rsidRDefault="00FE461F" w:rsidP="00FE461F">
      <w:pPr>
        <w:spacing w:line="240" w:lineRule="auto"/>
        <w:jc w:val="both"/>
        <w:rPr>
          <w:rFonts w:eastAsiaTheme="minorHAnsi" w:cs="Arial"/>
          <w:i/>
          <w:iCs/>
          <w:szCs w:val="20"/>
        </w:rPr>
      </w:pPr>
      <w:r w:rsidRPr="005E4BEA">
        <w:rPr>
          <w:rFonts w:eastAsiaTheme="minorHAnsi" w:cs="Arial"/>
          <w:i/>
          <w:iCs/>
          <w:color w:val="808080" w:themeColor="background1" w:themeShade="80"/>
          <w:szCs w:val="20"/>
        </w:rPr>
        <w:t>Z uvedbo kompozita kot standardnega materiala pri otrocih, nosečnicah in doječih materah se bodo povečali materialni stroški v ambulantah zobozdravstva za odrasle ter ambulantah otroškega in mladinskega zobozdravstva.. Materialni stroški pri kompozitni zalivki se v primerjavi z amalgamsko zalivko v povprečju povečajo za 18,06 eur. Ocenjeno je, da se v otroškem in mladinskem zobozdravstvu v povprečju opravi 500 kompozitnih zalivk letno na tim ter pri zobozdravstvu za odrasle 170. Pri 500 kompozitnih zalivkah pri zobozdravstvu za mladino je potrebno materialne stroške povečati za 9.030 EUR ter pri 170 zalivkah pri zobozdravstvu za odrasle za 3.070 EUR. Na pogajanjih za sprejem Dogovora je bilo že sprejeto, da se pri mladinskem zobozdravstvu materialni stroški povečajo za 1.050 EUR, zato je predlog za povečanje materialnih stroškov v mladinskem zobozdravstvu 7.980 EUR.</w:t>
      </w:r>
    </w:p>
    <w:p w14:paraId="571ED1BE" w14:textId="77777777" w:rsidR="00FE461F" w:rsidRPr="005E4BEA" w:rsidRDefault="00FE461F" w:rsidP="00FE461F">
      <w:pPr>
        <w:spacing w:line="240" w:lineRule="auto"/>
        <w:jc w:val="both"/>
        <w:rPr>
          <w:rFonts w:eastAsiaTheme="minorHAnsi" w:cs="Arial"/>
          <w:i/>
          <w:iCs/>
          <w:szCs w:val="20"/>
        </w:rPr>
      </w:pPr>
    </w:p>
    <w:p w14:paraId="546149E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MATERIALNI STROŠKI ZA AMALGAM IN KOMPOZITNE ZALIVKE</w:t>
      </w:r>
    </w:p>
    <w:p w14:paraId="335D01A1"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21447BF"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Nabor materiala, inštrumentov  in aparatur ,ki se uporabljajo za večino storitev – OSNOVNI SET</w:t>
      </w:r>
    </w:p>
    <w:p w14:paraId="2F111E1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sesalec                                                   0,03€</w:t>
      </w:r>
    </w:p>
    <w:p w14:paraId="3EBC189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kirurški sesalec                                     0,04€</w:t>
      </w:r>
    </w:p>
    <w:p w14:paraId="5107661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kozarček                                                0,02€</w:t>
      </w:r>
    </w:p>
    <w:p w14:paraId="23E3698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pokrivalo(slinček)                                 0,05€</w:t>
      </w:r>
    </w:p>
    <w:p w14:paraId="6654213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par rokavic                                            0,28€</w:t>
      </w:r>
    </w:p>
    <w:p w14:paraId="448BAF5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zaščitna maska                                     0,38€</w:t>
      </w:r>
    </w:p>
    <w:p w14:paraId="3DD1C34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zaščitna očala                                       0,08€</w:t>
      </w:r>
    </w:p>
    <w:p w14:paraId="333DDA4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sonda                                                     0,01€</w:t>
      </w:r>
    </w:p>
    <w:p w14:paraId="66ECB5C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držalo ogledalca                                   0,01€</w:t>
      </w:r>
    </w:p>
    <w:p w14:paraId="2207870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ogledalce                                              0,01€</w:t>
      </w:r>
    </w:p>
    <w:p w14:paraId="15D35C8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pinceta                                                  0,01€</w:t>
      </w:r>
    </w:p>
    <w:p w14:paraId="68906F3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6x dezinfekcijski robček                           0,54€</w:t>
      </w:r>
    </w:p>
    <w:p w14:paraId="0808881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razkužilo za roke                                  1,08€</w:t>
      </w:r>
    </w:p>
    <w:p w14:paraId="4A58FF9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milo za roke                                          0,22€</w:t>
      </w:r>
    </w:p>
    <w:p w14:paraId="53532B8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10x zobna rolica                                       0,29€</w:t>
      </w:r>
    </w:p>
    <w:p w14:paraId="38B915A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2x pinceta                                                  0,06€  </w:t>
      </w:r>
    </w:p>
    <w:p w14:paraId="2F7FC7E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6x papirnata brisača                                 0,04€</w:t>
      </w:r>
    </w:p>
    <w:p w14:paraId="54250A3D"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10x vatni bavški                                        0,30€</w:t>
      </w:r>
    </w:p>
    <w:p w14:paraId="2C06A2C6"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zaščitna halja                                       0,50€</w:t>
      </w:r>
    </w:p>
    <w:p w14:paraId="159F4CE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zaščitne hlače                                      0,60€</w:t>
      </w:r>
    </w:p>
    <w:p w14:paraId="1B557AD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2x zaščitna obuvala                                 0,16€</w:t>
      </w:r>
    </w:p>
    <w:p w14:paraId="3955F31A"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1x vrečka za sterilizacijo                          0,24€     </w:t>
      </w:r>
    </w:p>
    <w:p w14:paraId="315C0F5A"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33C5C08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OSNOVNI SET                                        4,95€ + 22% DDV = 6,03€</w:t>
      </w:r>
    </w:p>
    <w:p w14:paraId="44786DF6"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5B1F4B8F"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MATERIALNI STROŠKI ZA AMALGAMSKO ZALIVKO</w:t>
      </w:r>
    </w:p>
    <w:p w14:paraId="5AA29AF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lopatka za modeliranje                            0,02€</w:t>
      </w:r>
    </w:p>
    <w:p w14:paraId="2B1F024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tlačilec                                                        0,02€</w:t>
      </w:r>
    </w:p>
    <w:p w14:paraId="5FA6C81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podajalec amalgama                                0,02€</w:t>
      </w:r>
    </w:p>
    <w:p w14:paraId="1C55F418"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matrični sistem                                          0,29€</w:t>
      </w:r>
    </w:p>
    <w:p w14:paraId="2881EDE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interdentalna zagozda                             0,24€</w:t>
      </w:r>
    </w:p>
    <w:p w14:paraId="1B8F63D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2x oblikovalec </w:t>
      </w:r>
      <w:proofErr w:type="spellStart"/>
      <w:r w:rsidRPr="005E4BEA">
        <w:rPr>
          <w:rFonts w:eastAsiaTheme="minorHAnsi" w:cs="Arial"/>
          <w:i/>
          <w:iCs/>
          <w:color w:val="808080" w:themeColor="background1" w:themeShade="80"/>
          <w:szCs w:val="20"/>
        </w:rPr>
        <w:t>okluzalne</w:t>
      </w:r>
      <w:proofErr w:type="spellEnd"/>
      <w:r w:rsidRPr="005E4BEA">
        <w:rPr>
          <w:rFonts w:eastAsiaTheme="minorHAnsi" w:cs="Arial"/>
          <w:i/>
          <w:iCs/>
          <w:color w:val="808080" w:themeColor="background1" w:themeShade="80"/>
          <w:szCs w:val="20"/>
        </w:rPr>
        <w:t xml:space="preserve"> ploskve                0,06€</w:t>
      </w:r>
    </w:p>
    <w:p w14:paraId="66F63B8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3x diamantni sveder                                     3,37€</w:t>
      </w:r>
    </w:p>
    <w:p w14:paraId="0F56464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3x karbidni sveder                                         3,30€</w:t>
      </w:r>
    </w:p>
    <w:p w14:paraId="7BD3711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1x </w:t>
      </w:r>
      <w:proofErr w:type="spellStart"/>
      <w:r w:rsidRPr="005E4BEA">
        <w:rPr>
          <w:rFonts w:eastAsiaTheme="minorHAnsi" w:cs="Arial"/>
          <w:i/>
          <w:iCs/>
          <w:color w:val="808080" w:themeColor="background1" w:themeShade="80"/>
          <w:szCs w:val="20"/>
        </w:rPr>
        <w:t>ekskavator</w:t>
      </w:r>
      <w:proofErr w:type="spellEnd"/>
      <w:r w:rsidRPr="005E4BEA">
        <w:rPr>
          <w:rFonts w:eastAsiaTheme="minorHAnsi" w:cs="Arial"/>
          <w:i/>
          <w:iCs/>
          <w:color w:val="808080" w:themeColor="background1" w:themeShade="80"/>
          <w:szCs w:val="20"/>
        </w:rPr>
        <w:t xml:space="preserve">                                                 0,02€</w:t>
      </w:r>
    </w:p>
    <w:p w14:paraId="79A5F13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6E22D86A"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7,32€  + 22% DDV =   8,93€</w:t>
      </w:r>
    </w:p>
    <w:p w14:paraId="49D53ED6"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4D879FA"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fosfatni cement                                          0,46€</w:t>
      </w:r>
    </w:p>
    <w:p w14:paraId="4FCC245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amalgam v kapsuli                                     2,47€</w:t>
      </w:r>
    </w:p>
    <w:p w14:paraId="659A0F9D"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6255F238"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2,93€ + 9 % DDV = 3,19€</w:t>
      </w:r>
    </w:p>
    <w:p w14:paraId="163A35A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8,93€</w:t>
      </w:r>
    </w:p>
    <w:p w14:paraId="5229CD7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osnovni set                                                                                  6,03€</w:t>
      </w:r>
    </w:p>
    <w:p w14:paraId="28BC411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591A210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MATERIALNI STROŠKI ZA AMALGAMSKO ZALIVKO 3PL            18,15€  </w:t>
      </w:r>
    </w:p>
    <w:p w14:paraId="5A71747D"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ZZZS plačilo   12,64 x 2,46€ = 31,09€ za odrasle</w:t>
      </w:r>
    </w:p>
    <w:p w14:paraId="4D8EB7AD"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772940A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MATERIALNI STROŠKI ZA KOMPOZITNO ZALIVKO</w:t>
      </w:r>
    </w:p>
    <w:p w14:paraId="04A1906D"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lopatka za modeliranje                                         0,02€</w:t>
      </w:r>
    </w:p>
    <w:p w14:paraId="452E4598"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matrični sistem                                                      0,29€</w:t>
      </w:r>
    </w:p>
    <w:p w14:paraId="1B30A13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interdentalna zagozda                                           0,24€</w:t>
      </w:r>
    </w:p>
    <w:p w14:paraId="33A4F838"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3x diamantni sveder                                                  3,37€</w:t>
      </w:r>
    </w:p>
    <w:p w14:paraId="5AD35C4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3x karbidni sveder                                                      3,30€</w:t>
      </w:r>
    </w:p>
    <w:p w14:paraId="7986F04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2x oblikovalec </w:t>
      </w:r>
      <w:proofErr w:type="spellStart"/>
      <w:r w:rsidRPr="005E4BEA">
        <w:rPr>
          <w:rFonts w:eastAsiaTheme="minorHAnsi" w:cs="Arial"/>
          <w:i/>
          <w:iCs/>
          <w:color w:val="808080" w:themeColor="background1" w:themeShade="80"/>
          <w:szCs w:val="20"/>
        </w:rPr>
        <w:t>okluzalne</w:t>
      </w:r>
      <w:proofErr w:type="spellEnd"/>
      <w:r w:rsidRPr="005E4BEA">
        <w:rPr>
          <w:rFonts w:eastAsiaTheme="minorHAnsi" w:cs="Arial"/>
          <w:i/>
          <w:iCs/>
          <w:color w:val="808080" w:themeColor="background1" w:themeShade="80"/>
          <w:szCs w:val="20"/>
        </w:rPr>
        <w:t xml:space="preserve"> površine                            0,06€</w:t>
      </w:r>
    </w:p>
    <w:p w14:paraId="48BC6BE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lučka za strjevanje                                                 2,30€</w:t>
      </w:r>
    </w:p>
    <w:p w14:paraId="7F85031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polirne gumice po zalivki                                     2,95€</w:t>
      </w:r>
    </w:p>
    <w:p w14:paraId="2CD478B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artikulacijski papir                                                 0,10€</w:t>
      </w:r>
    </w:p>
    <w:p w14:paraId="6E2741D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1x aplikacijske konice za kislino                               0,57€</w:t>
      </w:r>
    </w:p>
    <w:p w14:paraId="7316CF7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1x </w:t>
      </w:r>
      <w:proofErr w:type="spellStart"/>
      <w:r w:rsidRPr="005E4BEA">
        <w:rPr>
          <w:rFonts w:eastAsiaTheme="minorHAnsi" w:cs="Arial"/>
          <w:i/>
          <w:iCs/>
          <w:color w:val="808080" w:themeColor="background1" w:themeShade="80"/>
          <w:szCs w:val="20"/>
        </w:rPr>
        <w:t>cocoa</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butter</w:t>
      </w:r>
      <w:proofErr w:type="spellEnd"/>
      <w:r w:rsidRPr="005E4BEA">
        <w:rPr>
          <w:rFonts w:eastAsiaTheme="minorHAnsi" w:cs="Arial"/>
          <w:i/>
          <w:iCs/>
          <w:color w:val="808080" w:themeColor="background1" w:themeShade="80"/>
          <w:szCs w:val="20"/>
        </w:rPr>
        <w:t xml:space="preserve">                                                         0,34€</w:t>
      </w:r>
    </w:p>
    <w:p w14:paraId="4D22F9B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51D23BA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13,54€ + 22% DDV = 16,51€</w:t>
      </w:r>
    </w:p>
    <w:p w14:paraId="0946E6D6"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0012549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kislina za jedkanje                                                 1,72€</w:t>
      </w:r>
    </w:p>
    <w:p w14:paraId="5A431AB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1x </w:t>
      </w:r>
      <w:proofErr w:type="spellStart"/>
      <w:r w:rsidRPr="005E4BEA">
        <w:rPr>
          <w:rFonts w:eastAsiaTheme="minorHAnsi" w:cs="Arial"/>
          <w:i/>
          <w:iCs/>
          <w:color w:val="808080" w:themeColor="background1" w:themeShade="80"/>
          <w:szCs w:val="20"/>
        </w:rPr>
        <w:t>bond</w:t>
      </w:r>
      <w:proofErr w:type="spellEnd"/>
      <w:r w:rsidRPr="005E4BEA">
        <w:rPr>
          <w:rFonts w:eastAsiaTheme="minorHAnsi" w:cs="Arial"/>
          <w:i/>
          <w:iCs/>
          <w:color w:val="808080" w:themeColor="background1" w:themeShade="80"/>
          <w:szCs w:val="20"/>
        </w:rPr>
        <w:t>(lepljenje)                                                      2,48€</w:t>
      </w:r>
    </w:p>
    <w:p w14:paraId="5B63ADE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1x </w:t>
      </w:r>
      <w:proofErr w:type="spellStart"/>
      <w:r w:rsidRPr="005E4BEA">
        <w:rPr>
          <w:rFonts w:eastAsiaTheme="minorHAnsi" w:cs="Arial"/>
          <w:i/>
          <w:iCs/>
          <w:color w:val="808080" w:themeColor="background1" w:themeShade="80"/>
          <w:szCs w:val="20"/>
        </w:rPr>
        <w:t>nanohibridni</w:t>
      </w:r>
      <w:proofErr w:type="spellEnd"/>
      <w:r w:rsidRPr="005E4BEA">
        <w:rPr>
          <w:rFonts w:eastAsiaTheme="minorHAnsi" w:cs="Arial"/>
          <w:i/>
          <w:iCs/>
          <w:color w:val="808080" w:themeColor="background1" w:themeShade="80"/>
          <w:szCs w:val="20"/>
        </w:rPr>
        <w:t xml:space="preserve"> kompozit                                        3,52€</w:t>
      </w:r>
    </w:p>
    <w:p w14:paraId="1A124CF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1x kompoziti </w:t>
      </w:r>
      <w:proofErr w:type="spellStart"/>
      <w:r w:rsidRPr="005E4BEA">
        <w:rPr>
          <w:rFonts w:eastAsiaTheme="minorHAnsi" w:cs="Arial"/>
          <w:i/>
          <w:iCs/>
          <w:color w:val="808080" w:themeColor="background1" w:themeShade="80"/>
          <w:szCs w:val="20"/>
        </w:rPr>
        <w:t>flow</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bulk,sdr</w:t>
      </w:r>
      <w:proofErr w:type="spellEnd"/>
      <w:r w:rsidRPr="005E4BEA">
        <w:rPr>
          <w:rFonts w:eastAsiaTheme="minorHAnsi" w:cs="Arial"/>
          <w:i/>
          <w:iCs/>
          <w:color w:val="808080" w:themeColor="background1" w:themeShade="80"/>
          <w:szCs w:val="20"/>
        </w:rPr>
        <w:t xml:space="preserve">                                      3,25€</w:t>
      </w:r>
    </w:p>
    <w:p w14:paraId="4B20148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1x premaz za zapiranje robov                                  1,58€</w:t>
      </w:r>
    </w:p>
    <w:p w14:paraId="28C01C4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6D093065"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12,55€ + 9% DDV = 13,67€ </w:t>
      </w:r>
    </w:p>
    <w:p w14:paraId="14928EC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16,51€</w:t>
      </w:r>
    </w:p>
    <w:p w14:paraId="557C13FA"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41733B1"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1X osnovni set                                                                                        6,03€</w:t>
      </w:r>
    </w:p>
    <w:p w14:paraId="5926C6E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w:t>
      </w:r>
    </w:p>
    <w:p w14:paraId="3FAA195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MATERIALNI STROŠKI ZA KOMPOZITNO ZALIVKO  3PL                      36,21€  </w:t>
      </w:r>
    </w:p>
    <w:p w14:paraId="7B9BBF2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ZZZS plačilo 12,64 x 2,46€ = 31,09€                                                                                                            </w:t>
      </w:r>
    </w:p>
    <w:p w14:paraId="2101281E"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446CBE9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KOMPOZITNA ZALIVKA NA TREH ALI VEČ PLOSKVAH  DO 1.1.2019</w:t>
      </w:r>
    </w:p>
    <w:p w14:paraId="1AD7BF4F"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ODRASLI  15,80 X 2,51 € = 39,65€                ODRASLI  15,80 X 2,90€ = 45,82€</w:t>
      </w:r>
    </w:p>
    <w:p w14:paraId="61D2EC20"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ŠOLARJI    18,80 X 2,51€ = 47,19€                 ŠOLARJI   18,96 X 2,90€   =  54,98€</w:t>
      </w:r>
    </w:p>
    <w:p w14:paraId="73B96AD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OTROCI     20,54 X 2,46€ =51,55€                OTROCI    20,54 X 2,90€    =  59,56€   </w:t>
      </w:r>
    </w:p>
    <w:p w14:paraId="2B4433BD"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7281A2B6"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KOMPOZITNA ZALIVKA NA TREH PLOSKVAH PO 1.1.2019</w:t>
      </w:r>
    </w:p>
    <w:p w14:paraId="724C242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                                               PO 1.1.2019</w:t>
      </w:r>
    </w:p>
    <w:p w14:paraId="6E13550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17,70 X 2,51€  = 44,42€                                     17,70 X 2,90€ = 51,33€</w:t>
      </w:r>
    </w:p>
    <w:p w14:paraId="76B14F7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18,01 X 2,51€ =  45,20€                                     18,01 X 2,90€ = 52,22€</w:t>
      </w:r>
    </w:p>
    <w:p w14:paraId="0B439B46"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18,96 X 2,46€ =  47,58€                                     18,96 X 2,90€ = 54,98€</w:t>
      </w:r>
    </w:p>
    <w:p w14:paraId="3BA881B4"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4A84B5D9"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 materiale ,ki so pakirani v pakete z določenim številom kosov, smo pridobljeno ceno delili z določenim številom kosov v paketu in dobili ceno za 1 kos </w:t>
      </w:r>
    </w:p>
    <w:p w14:paraId="60412F68"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 inštrumente in aparature smo  izračunali ceno na podlagi pridobljene cene, pri tem smo upoštevali, da  se obrabijo ali amortizirajo v 5 letih, leto ima 11 delovnih mesecev in 20 delovnih dni</w:t>
      </w:r>
    </w:p>
    <w:p w14:paraId="3FC48000"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Pri svedrih smo upoštevali, da se obrabijo v 2 mesecih, mesec ima 20 delovnih dni</w:t>
      </w:r>
    </w:p>
    <w:p w14:paraId="706F43F5"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 razkužila smo izračunali ceno ,za pakiranje 0,5l,uporaba  4 na mesec za zobozdravnika in asistentke</w:t>
      </w:r>
    </w:p>
    <w:p w14:paraId="778F048A"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 oblačila in obuvala smo izračunali ceno na podlagi pridobljene cene in da se obrabijo v 2 letih za zobozdravnika in asistentko</w:t>
      </w:r>
    </w:p>
    <w:p w14:paraId="44AE09C2"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Ceno za kompozite smo izračunali na podlagi pridobljene povprečne cene v brizgi in da je v brizgi povprečno materiala za 15 zalivk.</w:t>
      </w:r>
    </w:p>
    <w:p w14:paraId="63B93968" w14:textId="77777777" w:rsidR="00FE461F" w:rsidRPr="005E4BEA" w:rsidRDefault="00FE461F" w:rsidP="00F356C9">
      <w:pPr>
        <w:numPr>
          <w:ilvl w:val="0"/>
          <w:numId w:val="32"/>
        </w:numPr>
        <w:spacing w:before="240" w:after="80" w:line="240" w:lineRule="auto"/>
        <w:contextualSpacing/>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Ceno za </w:t>
      </w:r>
      <w:proofErr w:type="spellStart"/>
      <w:r w:rsidRPr="005E4BEA">
        <w:rPr>
          <w:rFonts w:eastAsiaTheme="minorHAnsi" w:cs="Arial"/>
          <w:i/>
          <w:iCs/>
          <w:color w:val="808080" w:themeColor="background1" w:themeShade="80"/>
          <w:szCs w:val="20"/>
        </w:rPr>
        <w:t>bonde</w:t>
      </w:r>
      <w:proofErr w:type="spellEnd"/>
      <w:r w:rsidRPr="005E4BEA">
        <w:rPr>
          <w:rFonts w:eastAsiaTheme="minorHAnsi" w:cs="Arial"/>
          <w:i/>
          <w:iCs/>
          <w:color w:val="808080" w:themeColor="background1" w:themeShade="80"/>
          <w:szCs w:val="20"/>
        </w:rPr>
        <w:t xml:space="preserve"> in  premaz na koncu izdelave zalivke na podlagi pridobljene povprečne cene in da je v steklenički povprečno za 15 zalivk</w:t>
      </w:r>
    </w:p>
    <w:p w14:paraId="53DC3421" w14:textId="77777777" w:rsidR="00FE461F" w:rsidRPr="005E4BEA" w:rsidRDefault="00FE461F" w:rsidP="00FE461F">
      <w:pPr>
        <w:spacing w:before="24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Pri tem je treba upoštevati, da v tej oceni stroškov niso bili upoštevani posredni  stroški  kot so amortizacija zobozdravniškega stola z nastavki, stroški sterilizacije, računalniška oprema in programi, elektrike, vode, ogrevanja, plača in prispevki asistentke,  </w:t>
      </w:r>
      <w:proofErr w:type="spellStart"/>
      <w:r w:rsidRPr="005E4BEA">
        <w:rPr>
          <w:rFonts w:eastAsiaTheme="minorHAnsi" w:cs="Arial"/>
          <w:i/>
          <w:iCs/>
          <w:color w:val="808080" w:themeColor="background1" w:themeShade="80"/>
          <w:szCs w:val="20"/>
        </w:rPr>
        <w:t>klimatiziranje</w:t>
      </w:r>
      <w:proofErr w:type="spellEnd"/>
      <w:r w:rsidRPr="005E4BEA">
        <w:rPr>
          <w:rFonts w:eastAsiaTheme="minorHAnsi" w:cs="Arial"/>
          <w:i/>
          <w:iCs/>
          <w:color w:val="808080" w:themeColor="background1" w:themeShade="80"/>
          <w:szCs w:val="20"/>
        </w:rPr>
        <w:t xml:space="preserve"> prostorov, stroški računovodstva, čiščenja prostorov itd.</w:t>
      </w:r>
    </w:p>
    <w:p w14:paraId="41C8BEAA"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4D475015" w14:textId="18E0AAC2"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Finančni učinki: 4,3  mio </w:t>
      </w:r>
    </w:p>
    <w:p w14:paraId="7E03912A" w14:textId="77777777" w:rsidR="000F255D" w:rsidRPr="005E4BEA" w:rsidRDefault="000F255D" w:rsidP="00FE461F">
      <w:pPr>
        <w:spacing w:line="240" w:lineRule="auto"/>
        <w:jc w:val="both"/>
        <w:rPr>
          <w:rFonts w:eastAsiaTheme="minorHAnsi" w:cs="Arial"/>
          <w:i/>
          <w:iCs/>
          <w:color w:val="808080" w:themeColor="background1" w:themeShade="80"/>
          <w:szCs w:val="20"/>
        </w:rPr>
      </w:pPr>
    </w:p>
    <w:p w14:paraId="085B86C9" w14:textId="77777777" w:rsidR="003758BB" w:rsidRPr="005E4BEA" w:rsidRDefault="003758BB" w:rsidP="003758BB">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A4E72EF" w14:textId="77777777" w:rsidR="003758BB" w:rsidRPr="005E4BEA" w:rsidRDefault="003758BB" w:rsidP="003758BB">
      <w:pPr>
        <w:spacing w:line="0" w:lineRule="atLeast"/>
        <w:jc w:val="both"/>
        <w:rPr>
          <w:rFonts w:eastAsia="Arial Narrow" w:cs="Arial"/>
          <w:szCs w:val="20"/>
          <w:lang w:eastAsia="sl-SI"/>
        </w:rPr>
      </w:pPr>
    </w:p>
    <w:p w14:paraId="6E9C1137" w14:textId="69E4FD67" w:rsidR="003758BB" w:rsidRPr="005E4BEA" w:rsidRDefault="003758BB" w:rsidP="003758BB">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10DA5015" w14:textId="223EEC2E" w:rsidR="000F255D" w:rsidRPr="005E4BEA" w:rsidRDefault="000F255D" w:rsidP="003758BB">
      <w:pPr>
        <w:spacing w:line="0" w:lineRule="atLeast"/>
        <w:jc w:val="both"/>
        <w:rPr>
          <w:rFonts w:eastAsia="Arial Narrow" w:cs="Arial"/>
          <w:szCs w:val="20"/>
        </w:rPr>
      </w:pPr>
    </w:p>
    <w:p w14:paraId="62F75D2D" w14:textId="77777777" w:rsidR="000F255D" w:rsidRPr="005E4BEA" w:rsidRDefault="000F255D" w:rsidP="003758BB">
      <w:pPr>
        <w:spacing w:line="0" w:lineRule="atLeast"/>
        <w:jc w:val="both"/>
        <w:rPr>
          <w:rFonts w:eastAsia="Arial Narrow" w:cs="Arial"/>
          <w:szCs w:val="20"/>
        </w:rPr>
      </w:pPr>
    </w:p>
    <w:p w14:paraId="46BE7797" w14:textId="001DE6BD" w:rsidR="000F255D" w:rsidRPr="005E4BEA" w:rsidRDefault="000F255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(57)</w:t>
      </w:r>
    </w:p>
    <w:p w14:paraId="13FEB972" w14:textId="77777777" w:rsidR="000F255D" w:rsidRPr="005E4BEA" w:rsidRDefault="000F255D" w:rsidP="000F255D">
      <w:pPr>
        <w:spacing w:line="240" w:lineRule="auto"/>
        <w:jc w:val="both"/>
        <w:rPr>
          <w:rFonts w:cs="Arial"/>
          <w:i/>
          <w:iCs/>
          <w:color w:val="808080" w:themeColor="background1" w:themeShade="80"/>
          <w:szCs w:val="20"/>
        </w:rPr>
      </w:pPr>
    </w:p>
    <w:p w14:paraId="2E1CF8DF" w14:textId="6451620A" w:rsidR="000F255D" w:rsidRPr="005E4BEA" w:rsidRDefault="000F255D" w:rsidP="000F255D">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predlaga, da se v šestem odstavku 24. člena doda nova alinea, ki se glasi:</w:t>
      </w:r>
    </w:p>
    <w:p w14:paraId="19C8C4A6" w14:textId="77777777" w:rsidR="00FE461F" w:rsidRPr="005E4BEA" w:rsidRDefault="00FE461F" w:rsidP="00FE461F">
      <w:pPr>
        <w:spacing w:line="240" w:lineRule="auto"/>
        <w:jc w:val="both"/>
        <w:rPr>
          <w:rFonts w:eastAsiaTheme="minorHAnsi" w:cs="Arial"/>
          <w:b/>
          <w:bCs/>
          <w:i/>
          <w:iCs/>
          <w:szCs w:val="20"/>
        </w:rPr>
      </w:pPr>
    </w:p>
    <w:p w14:paraId="462CD498" w14:textId="77777777" w:rsidR="00FE461F" w:rsidRPr="005E4BEA" w:rsidRDefault="00FE461F" w:rsidP="00FE461F">
      <w:pPr>
        <w:shd w:val="clear" w:color="auto" w:fill="FFFFFF" w:themeFill="background1"/>
        <w:spacing w:line="240" w:lineRule="auto"/>
        <w:jc w:val="both"/>
        <w:rPr>
          <w:rFonts w:eastAsiaTheme="minorHAnsi" w:cs="Arial"/>
          <w:szCs w:val="20"/>
        </w:rPr>
      </w:pPr>
      <w:r w:rsidRPr="005E4BEA">
        <w:rPr>
          <w:rFonts w:eastAsiaTheme="minorHAnsi" w:cs="Arial"/>
          <w:szCs w:val="20"/>
        </w:rPr>
        <w:t>- dodatna sredstva za povečanje naslednjih programov (obrazložitve izvajalcev, ki imajo na voljo kapacitete ter zdravnike in zobozdravnike za izvajanje predlaganih programov so v prilogi):</w:t>
      </w:r>
    </w:p>
    <w:p w14:paraId="40E49F37" w14:textId="77777777" w:rsidR="00FE461F" w:rsidRPr="005E4BEA" w:rsidRDefault="00FE461F" w:rsidP="00FE461F">
      <w:pPr>
        <w:shd w:val="clear" w:color="auto" w:fill="FFFFFF" w:themeFill="background1"/>
        <w:spacing w:line="240" w:lineRule="auto"/>
        <w:jc w:val="both"/>
        <w:rPr>
          <w:rFonts w:eastAsiaTheme="minorHAnsi" w:cs="Arial"/>
          <w:szCs w:val="20"/>
        </w:rPr>
      </w:pPr>
      <w:r w:rsidRPr="005E4BEA">
        <w:rPr>
          <w:rFonts w:eastAsiaTheme="minorHAnsi" w:cs="Arial"/>
          <w:noProof/>
          <w:szCs w:val="20"/>
        </w:rPr>
        <w:lastRenderedPageBreak/>
        <w:drawing>
          <wp:inline distT="0" distB="0" distL="0" distR="0" wp14:anchorId="675A8ECC" wp14:editId="18251415">
            <wp:extent cx="5760720" cy="7994015"/>
            <wp:effectExtent l="0" t="0" r="0" b="698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994015"/>
                    </a:xfrm>
                    <a:prstGeom prst="rect">
                      <a:avLst/>
                    </a:prstGeom>
                    <a:noFill/>
                    <a:ln>
                      <a:noFill/>
                    </a:ln>
                  </pic:spPr>
                </pic:pic>
              </a:graphicData>
            </a:graphic>
          </wp:inline>
        </w:drawing>
      </w:r>
    </w:p>
    <w:p w14:paraId="1DBCCC36" w14:textId="77777777" w:rsidR="00FE461F" w:rsidRPr="005E4BEA" w:rsidRDefault="00FE461F" w:rsidP="00FE461F">
      <w:pPr>
        <w:spacing w:line="240" w:lineRule="auto"/>
        <w:jc w:val="both"/>
        <w:rPr>
          <w:rFonts w:eastAsiaTheme="minorHAnsi" w:cs="Arial"/>
          <w:szCs w:val="20"/>
        </w:rPr>
      </w:pPr>
      <w:r w:rsidRPr="005E4BEA">
        <w:rPr>
          <w:rFonts w:eastAsiaTheme="minorHAnsi" w:cs="Arial"/>
          <w:color w:val="808080" w:themeColor="background1" w:themeShade="80"/>
          <w:szCs w:val="20"/>
        </w:rPr>
        <w:t>Finančni učinki: 19 mio</w:t>
      </w:r>
    </w:p>
    <w:p w14:paraId="6EF2F52D" w14:textId="77777777" w:rsidR="00FE461F" w:rsidRPr="005E4BEA" w:rsidRDefault="00FE461F" w:rsidP="00FE461F">
      <w:pPr>
        <w:shd w:val="clear" w:color="auto" w:fill="FFFFFF" w:themeFill="background1"/>
        <w:spacing w:line="240" w:lineRule="auto"/>
        <w:jc w:val="both"/>
        <w:rPr>
          <w:rFonts w:eastAsiaTheme="minorHAnsi" w:cs="Arial"/>
          <w:szCs w:val="20"/>
        </w:rPr>
      </w:pPr>
      <w:r w:rsidRPr="005E4BEA">
        <w:rPr>
          <w:rFonts w:eastAsiaTheme="minorHAnsi" w:cs="Arial"/>
          <w:noProof/>
          <w:szCs w:val="20"/>
        </w:rPr>
        <w:lastRenderedPageBreak/>
        <w:drawing>
          <wp:inline distT="0" distB="0" distL="0" distR="0" wp14:anchorId="618039A7" wp14:editId="0F309536">
            <wp:extent cx="5707380" cy="8892540"/>
            <wp:effectExtent l="0" t="0" r="762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380" cy="8892540"/>
                    </a:xfrm>
                    <a:prstGeom prst="rect">
                      <a:avLst/>
                    </a:prstGeom>
                    <a:noFill/>
                    <a:ln>
                      <a:noFill/>
                    </a:ln>
                  </pic:spPr>
                </pic:pic>
              </a:graphicData>
            </a:graphic>
          </wp:inline>
        </w:drawing>
      </w:r>
    </w:p>
    <w:p w14:paraId="79B4BD13" w14:textId="77777777" w:rsidR="00FE461F" w:rsidRPr="005E4BEA" w:rsidRDefault="00FE461F" w:rsidP="00FE461F">
      <w:pPr>
        <w:shd w:val="clear" w:color="auto" w:fill="FFFFFF" w:themeFill="background1"/>
        <w:spacing w:line="240" w:lineRule="auto"/>
        <w:jc w:val="both"/>
        <w:rPr>
          <w:rFonts w:eastAsiaTheme="minorHAnsi" w:cs="Arial"/>
          <w:szCs w:val="20"/>
        </w:rPr>
      </w:pPr>
    </w:p>
    <w:p w14:paraId="25C67A50" w14:textId="77777777" w:rsidR="00FE461F" w:rsidRPr="005E4BEA" w:rsidRDefault="00FE461F" w:rsidP="00FE461F">
      <w:pPr>
        <w:spacing w:line="240" w:lineRule="auto"/>
        <w:jc w:val="both"/>
        <w:rPr>
          <w:rFonts w:eastAsiaTheme="minorHAnsi" w:cs="Arial"/>
          <w:color w:val="808080" w:themeColor="background1" w:themeShade="80"/>
          <w:szCs w:val="20"/>
        </w:rPr>
      </w:pPr>
      <w:r w:rsidRPr="005E4BEA">
        <w:rPr>
          <w:rFonts w:eastAsiaTheme="minorHAnsi" w:cs="Arial"/>
          <w:color w:val="808080" w:themeColor="background1" w:themeShade="80"/>
          <w:szCs w:val="20"/>
        </w:rPr>
        <w:t>Finančni učinki: 2,4 mio</w:t>
      </w:r>
    </w:p>
    <w:p w14:paraId="4A4F2501" w14:textId="77777777" w:rsidR="00FE461F" w:rsidRPr="005E4BEA" w:rsidRDefault="00FE461F" w:rsidP="00FE461F">
      <w:pPr>
        <w:spacing w:line="240" w:lineRule="auto"/>
        <w:jc w:val="both"/>
        <w:rPr>
          <w:rFonts w:eastAsiaTheme="minorHAnsi" w:cs="Arial"/>
          <w:szCs w:val="20"/>
        </w:rPr>
      </w:pPr>
    </w:p>
    <w:p w14:paraId="594B7E50" w14:textId="77777777" w:rsidR="00FE461F" w:rsidRPr="005E4BEA" w:rsidRDefault="00FE461F" w:rsidP="00FE461F">
      <w:pPr>
        <w:spacing w:line="240" w:lineRule="auto"/>
        <w:jc w:val="both"/>
        <w:rPr>
          <w:rFonts w:eastAsiaTheme="minorHAnsi" w:cs="Arial"/>
          <w:b/>
          <w:bCs/>
          <w:szCs w:val="20"/>
        </w:rPr>
      </w:pPr>
      <w:r w:rsidRPr="005E4BEA">
        <w:rPr>
          <w:rFonts w:eastAsiaTheme="minorHAnsi" w:cs="Arial"/>
          <w:b/>
          <w:bCs/>
          <w:szCs w:val="20"/>
        </w:rPr>
        <w:t>Predlogi širitve programov do 20% na obstoječi program zobozdravstva na primarni ravni:</w:t>
      </w:r>
    </w:p>
    <w:p w14:paraId="4039B2EE" w14:textId="77777777" w:rsidR="00FE461F" w:rsidRPr="005E4BEA" w:rsidRDefault="00FE461F" w:rsidP="00FE461F">
      <w:pPr>
        <w:spacing w:line="240" w:lineRule="auto"/>
        <w:jc w:val="both"/>
        <w:rPr>
          <w:rFonts w:eastAsiaTheme="minorHAnsi" w:cs="Arial"/>
          <w:b/>
          <w:bCs/>
          <w:szCs w:val="20"/>
        </w:rPr>
      </w:pPr>
    </w:p>
    <w:p w14:paraId="00923592" w14:textId="77777777" w:rsidR="00FE461F" w:rsidRPr="005E4BEA" w:rsidRDefault="00FE461F" w:rsidP="00FE461F">
      <w:pPr>
        <w:spacing w:line="240" w:lineRule="auto"/>
        <w:jc w:val="both"/>
        <w:rPr>
          <w:rFonts w:eastAsiaTheme="minorHAnsi" w:cs="Arial"/>
          <w:szCs w:val="20"/>
        </w:rPr>
      </w:pPr>
      <w:r w:rsidRPr="005E4BEA">
        <w:rPr>
          <w:rFonts w:eastAsiaTheme="minorHAnsi" w:cs="Arial"/>
          <w:i/>
          <w:noProof/>
          <w:szCs w:val="20"/>
        </w:rPr>
        <w:drawing>
          <wp:inline distT="0" distB="0" distL="0" distR="0" wp14:anchorId="55D8EE6A" wp14:editId="7E3F4261">
            <wp:extent cx="5760720" cy="7559675"/>
            <wp:effectExtent l="0" t="0" r="0" b="317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559675"/>
                    </a:xfrm>
                    <a:prstGeom prst="rect">
                      <a:avLst/>
                    </a:prstGeom>
                    <a:noFill/>
                    <a:ln>
                      <a:noFill/>
                    </a:ln>
                  </pic:spPr>
                </pic:pic>
              </a:graphicData>
            </a:graphic>
          </wp:inline>
        </w:drawing>
      </w:r>
    </w:p>
    <w:p w14:paraId="041DE51B" w14:textId="77777777" w:rsidR="00FE461F" w:rsidRPr="005E4BEA" w:rsidRDefault="00FE461F" w:rsidP="00FE461F">
      <w:pPr>
        <w:spacing w:line="240" w:lineRule="auto"/>
        <w:jc w:val="both"/>
        <w:rPr>
          <w:rFonts w:eastAsiaTheme="minorHAnsi" w:cs="Arial"/>
          <w:color w:val="808080" w:themeColor="background1" w:themeShade="80"/>
          <w:szCs w:val="20"/>
        </w:rPr>
      </w:pPr>
      <w:r w:rsidRPr="005E4BEA">
        <w:rPr>
          <w:rFonts w:eastAsiaTheme="minorHAnsi" w:cs="Arial"/>
          <w:color w:val="808080" w:themeColor="background1" w:themeShade="80"/>
          <w:szCs w:val="20"/>
        </w:rPr>
        <w:t>Finančni učinki: 1,7 mio</w:t>
      </w:r>
    </w:p>
    <w:p w14:paraId="09EADFBB" w14:textId="77777777" w:rsidR="00FE461F" w:rsidRPr="005E4BEA" w:rsidRDefault="00FE461F" w:rsidP="00FE461F">
      <w:pPr>
        <w:spacing w:line="240" w:lineRule="auto"/>
        <w:jc w:val="center"/>
        <w:rPr>
          <w:rFonts w:eastAsiaTheme="minorHAnsi" w:cs="Arial"/>
          <w:szCs w:val="20"/>
        </w:rPr>
      </w:pPr>
    </w:p>
    <w:p w14:paraId="744D5560" w14:textId="77777777" w:rsidR="003758BB" w:rsidRPr="005E4BEA" w:rsidRDefault="003758BB" w:rsidP="003758BB">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5D14161" w14:textId="77777777" w:rsidR="003758BB" w:rsidRPr="005E4BEA" w:rsidRDefault="003758BB" w:rsidP="003758BB">
      <w:pPr>
        <w:spacing w:line="0" w:lineRule="atLeast"/>
        <w:jc w:val="both"/>
        <w:rPr>
          <w:rFonts w:eastAsia="Arial Narrow" w:cs="Arial"/>
          <w:szCs w:val="20"/>
          <w:lang w:eastAsia="sl-SI"/>
        </w:rPr>
      </w:pPr>
    </w:p>
    <w:p w14:paraId="57C609AB" w14:textId="212B04B5" w:rsidR="003758BB" w:rsidRPr="005E4BEA" w:rsidRDefault="003758BB" w:rsidP="003758BB">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0A605CE3" w14:textId="2DD82EBB" w:rsidR="000F255D" w:rsidRPr="005E4BEA" w:rsidRDefault="000F255D" w:rsidP="003758BB">
      <w:pPr>
        <w:spacing w:line="0" w:lineRule="atLeast"/>
        <w:jc w:val="both"/>
        <w:rPr>
          <w:rFonts w:eastAsia="Arial Narrow" w:cs="Arial"/>
          <w:szCs w:val="20"/>
        </w:rPr>
      </w:pPr>
    </w:p>
    <w:p w14:paraId="747C4259" w14:textId="202754E7" w:rsidR="000F255D" w:rsidRPr="005E4BEA" w:rsidRDefault="000F255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(58)</w:t>
      </w:r>
    </w:p>
    <w:p w14:paraId="5E0A5481" w14:textId="77777777" w:rsidR="000F255D" w:rsidRPr="005E4BEA" w:rsidRDefault="000F255D" w:rsidP="000F255D">
      <w:pPr>
        <w:spacing w:line="240" w:lineRule="auto"/>
        <w:jc w:val="both"/>
        <w:rPr>
          <w:rFonts w:cs="Arial"/>
          <w:i/>
          <w:iCs/>
          <w:color w:val="808080" w:themeColor="background1" w:themeShade="80"/>
          <w:szCs w:val="20"/>
        </w:rPr>
      </w:pPr>
    </w:p>
    <w:p w14:paraId="4D58C296" w14:textId="77777777" w:rsidR="000F255D" w:rsidRPr="005E4BEA" w:rsidRDefault="000F255D" w:rsidP="000F255D">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predlaga, da se v petem odstavku 24. člena doda nova alinea, ki se glasi:</w:t>
      </w:r>
    </w:p>
    <w:p w14:paraId="59859399" w14:textId="77777777" w:rsidR="000F255D" w:rsidRPr="005E4BEA" w:rsidRDefault="000F255D" w:rsidP="003758BB">
      <w:pPr>
        <w:spacing w:line="0" w:lineRule="atLeast"/>
        <w:jc w:val="both"/>
        <w:rPr>
          <w:rFonts w:eastAsia="Arial Narrow" w:cs="Arial"/>
          <w:szCs w:val="20"/>
        </w:rPr>
      </w:pPr>
    </w:p>
    <w:p w14:paraId="6587A57A" w14:textId="77777777" w:rsidR="00FE461F" w:rsidRPr="005E4BEA" w:rsidRDefault="00FE461F" w:rsidP="00FE461F">
      <w:pPr>
        <w:spacing w:before="120" w:after="60" w:line="240" w:lineRule="auto"/>
        <w:jc w:val="both"/>
        <w:rPr>
          <w:rFonts w:eastAsiaTheme="minorHAnsi" w:cs="Arial"/>
          <w:szCs w:val="20"/>
        </w:rPr>
      </w:pPr>
      <w:r w:rsidRPr="005E4BEA">
        <w:rPr>
          <w:rFonts w:eastAsiaTheme="minorHAnsi" w:cs="Arial"/>
          <w:szCs w:val="20"/>
        </w:rPr>
        <w:t>Za boljše vrednotenje že dogovorjenih programov se  dodatna sredstva namenijo za:</w:t>
      </w:r>
    </w:p>
    <w:p w14:paraId="1FE41CFA" w14:textId="77777777" w:rsidR="00FE461F" w:rsidRPr="005E4BEA" w:rsidRDefault="00FE461F" w:rsidP="00F356C9">
      <w:pPr>
        <w:numPr>
          <w:ilvl w:val="0"/>
          <w:numId w:val="30"/>
        </w:numPr>
        <w:shd w:val="clear" w:color="auto" w:fill="FFFFFF"/>
        <w:spacing w:line="240" w:lineRule="auto"/>
        <w:contextualSpacing/>
        <w:jc w:val="both"/>
        <w:rPr>
          <w:rFonts w:eastAsiaTheme="minorHAnsi" w:cs="Arial"/>
          <w:szCs w:val="20"/>
        </w:rPr>
      </w:pPr>
      <w:r w:rsidRPr="005E4BEA">
        <w:rPr>
          <w:rFonts w:eastAsiaTheme="minorHAnsi" w:cs="Arial"/>
          <w:szCs w:val="20"/>
        </w:rPr>
        <w:t xml:space="preserve"> ohranitev obstoječega modela financiranja dispanzerja za žene s prilagoditvijo 100% financiranja programa ob pogoju doseganja 1550 </w:t>
      </w:r>
      <w:proofErr w:type="spellStart"/>
      <w:r w:rsidRPr="005E4BEA">
        <w:rPr>
          <w:rFonts w:eastAsiaTheme="minorHAnsi" w:cs="Arial"/>
          <w:szCs w:val="20"/>
        </w:rPr>
        <w:t>glavarinskih</w:t>
      </w:r>
      <w:proofErr w:type="spellEnd"/>
      <w:r w:rsidRPr="005E4BEA">
        <w:rPr>
          <w:rFonts w:eastAsiaTheme="minorHAnsi" w:cs="Arial"/>
          <w:szCs w:val="20"/>
        </w:rPr>
        <w:t xml:space="preserve"> količnikov mesečno glede na obstoječo </w:t>
      </w:r>
      <w:proofErr w:type="spellStart"/>
      <w:r w:rsidRPr="005E4BEA">
        <w:rPr>
          <w:rFonts w:eastAsiaTheme="minorHAnsi" w:cs="Arial"/>
          <w:szCs w:val="20"/>
        </w:rPr>
        <w:t>glavarinsko</w:t>
      </w:r>
      <w:proofErr w:type="spellEnd"/>
      <w:r w:rsidRPr="005E4BEA">
        <w:rPr>
          <w:rFonts w:eastAsiaTheme="minorHAnsi" w:cs="Arial"/>
          <w:szCs w:val="20"/>
        </w:rPr>
        <w:t xml:space="preserve"> lestvico.</w:t>
      </w:r>
    </w:p>
    <w:p w14:paraId="0D386CA1" w14:textId="77777777" w:rsidR="00FE461F" w:rsidRPr="005E4BEA" w:rsidRDefault="00FE461F" w:rsidP="00FE461F">
      <w:pPr>
        <w:shd w:val="clear" w:color="auto" w:fill="FFFFFF"/>
        <w:spacing w:after="60" w:line="240" w:lineRule="auto"/>
        <w:jc w:val="both"/>
        <w:rPr>
          <w:rFonts w:eastAsiaTheme="minorHAnsi" w:cs="Arial"/>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AC0CBE" w14:textId="77777777" w:rsidR="00FE461F" w:rsidRPr="005E4BEA" w:rsidRDefault="00FE461F" w:rsidP="00FE461F">
      <w:pPr>
        <w:shd w:val="clear" w:color="auto" w:fill="FFFFFF"/>
        <w:spacing w:after="60" w:line="240" w:lineRule="auto"/>
        <w:jc w:val="both"/>
        <w:rPr>
          <w:rFonts w:eastAsiaTheme="minorHAnsi" w:cs="Arial"/>
          <w:szCs w:val="20"/>
        </w:rPr>
      </w:pPr>
      <w:r w:rsidRPr="005E4BEA">
        <w:rPr>
          <w:rFonts w:eastAsiaTheme="minorHAnsi" w:cs="Arial"/>
          <w:b/>
          <w:bCs/>
          <w:szCs w:val="20"/>
        </w:rPr>
        <w:t>V Prilogi I se v standardu 306 007 DISPANZER ZA ŽENE količniki iz glavarine znižajo iz 25572 na 18600</w:t>
      </w:r>
      <w:r w:rsidRPr="005E4BEA">
        <w:rPr>
          <w:rFonts w:eastAsiaTheme="minorHAnsi" w:cs="Arial"/>
          <w:szCs w:val="20"/>
        </w:rPr>
        <w:t xml:space="preserve">. Skupna vrednost programa ostane nespremenjena. Zaradi znižanja letnega števila količnikov iz glavarine se na novo izračunata visoka in nizka cena količnika. </w:t>
      </w:r>
    </w:p>
    <w:p w14:paraId="0B71ADF8" w14:textId="77777777" w:rsidR="00FE461F" w:rsidRPr="005E4BEA" w:rsidRDefault="00FE461F" w:rsidP="00FE461F">
      <w:pPr>
        <w:shd w:val="clear" w:color="auto" w:fill="FFFFFF"/>
        <w:spacing w:after="60" w:line="240" w:lineRule="auto"/>
        <w:jc w:val="both"/>
        <w:rPr>
          <w:rFonts w:eastAsiaTheme="minorHAnsi" w:cs="Arial"/>
          <w:szCs w:val="20"/>
        </w:rPr>
      </w:pPr>
    </w:p>
    <w:p w14:paraId="232BA783"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2,8 mio EUR</w:t>
      </w:r>
    </w:p>
    <w:p w14:paraId="5CC60AB4" w14:textId="77777777" w:rsidR="00FE461F" w:rsidRPr="005E4BEA" w:rsidRDefault="00FE461F" w:rsidP="00FE461F">
      <w:pPr>
        <w:shd w:val="clear" w:color="auto" w:fill="FFFFFF"/>
        <w:spacing w:after="60" w:line="240" w:lineRule="auto"/>
        <w:jc w:val="both"/>
        <w:rPr>
          <w:rFonts w:eastAsiaTheme="minorHAnsi" w:cs="Arial"/>
          <w:b/>
          <w:bCs/>
          <w:i/>
          <w:iCs/>
          <w:szCs w:val="20"/>
        </w:rPr>
      </w:pPr>
      <w:r w:rsidRPr="005E4BEA">
        <w:rPr>
          <w:rFonts w:eastAsiaTheme="minorHAnsi" w:cs="Arial"/>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34958B7C" w14:textId="77777777" w:rsidR="00FE461F" w:rsidRPr="005E4BEA" w:rsidRDefault="00FE461F" w:rsidP="00FE461F">
      <w:pPr>
        <w:shd w:val="clear" w:color="auto" w:fill="FFFFFF"/>
        <w:spacing w:after="60" w:line="240" w:lineRule="auto"/>
        <w:ind w:left="720" w:hanging="360"/>
        <w:jc w:val="both"/>
        <w:rPr>
          <w:rFonts w:eastAsiaTheme="minorHAnsi" w:cs="Arial"/>
          <w:b/>
          <w:bCs/>
          <w:i/>
          <w:iCs/>
          <w:szCs w:val="20"/>
        </w:rPr>
      </w:pPr>
      <w:r w:rsidRPr="005E4BEA">
        <w:rPr>
          <w:rFonts w:eastAsiaTheme="minorHAnsi" w:cs="Arial"/>
          <w:b/>
          <w:bCs/>
          <w:i/>
          <w:iCs/>
          <w:szCs w:val="20"/>
        </w:rPr>
        <w:t>-  priznani materialni stroški za informatizacijo v dispanzerjih za žene se povečajo za z namenom zagotovitve zadostnih sredstev za plačilo potrebnih sprememb računalniških programov v okviru zahtev ZZZS, NIJZ in programa ZORA.</w:t>
      </w:r>
    </w:p>
    <w:p w14:paraId="6814E3B2" w14:textId="77777777" w:rsidR="00FE461F" w:rsidRPr="005E4BEA" w:rsidRDefault="00FE461F" w:rsidP="00FE461F">
      <w:pPr>
        <w:shd w:val="clear" w:color="auto" w:fill="FFFFFF"/>
        <w:spacing w:after="60" w:line="240" w:lineRule="auto"/>
        <w:ind w:left="720" w:hanging="360"/>
        <w:jc w:val="both"/>
        <w:rPr>
          <w:rFonts w:eastAsiaTheme="minorHAnsi" w:cs="Arial"/>
          <w:b/>
          <w:bCs/>
          <w:i/>
          <w:iCs/>
          <w:szCs w:val="20"/>
        </w:rPr>
      </w:pPr>
      <w:r w:rsidRPr="005E4BEA">
        <w:rPr>
          <w:rFonts w:eastAsiaTheme="minorHAnsi" w:cs="Arial"/>
          <w:b/>
          <w:bCs/>
          <w:i/>
          <w:iCs/>
          <w:szCs w:val="20"/>
        </w:rPr>
        <w:t>-  priznana amortizacija v dispanzerjih za žene se poveča z namenom pokritja amortizacije za UZ aparate.</w:t>
      </w:r>
    </w:p>
    <w:p w14:paraId="047000BB" w14:textId="77777777" w:rsidR="00FE461F" w:rsidRPr="005E4BEA" w:rsidRDefault="00FE461F" w:rsidP="00FE461F">
      <w:pPr>
        <w:shd w:val="clear" w:color="auto" w:fill="FFFFFF"/>
        <w:spacing w:after="60" w:line="240" w:lineRule="auto"/>
        <w:ind w:left="720" w:hanging="360"/>
        <w:jc w:val="both"/>
        <w:rPr>
          <w:rFonts w:eastAsiaTheme="minorHAnsi" w:cs="Arial"/>
          <w:b/>
          <w:bCs/>
          <w:i/>
          <w:iCs/>
          <w:szCs w:val="20"/>
        </w:rPr>
      </w:pPr>
      <w:r w:rsidRPr="005E4BEA">
        <w:rPr>
          <w:rFonts w:eastAsiaTheme="minorHAnsi" w:cs="Arial"/>
          <w:b/>
          <w:bCs/>
          <w:i/>
          <w:iCs/>
          <w:szCs w:val="20"/>
        </w:rPr>
        <w:t>- priznani materialni stroški za laboratorij ostanejo kot ločeno zaračunljiv material se dodajo nekatere priporočene laboratorijske preiskave, ki so v celoti plačane.</w:t>
      </w:r>
    </w:p>
    <w:p w14:paraId="57D8A9F9" w14:textId="77777777" w:rsidR="00FE461F" w:rsidRPr="005E4BEA" w:rsidRDefault="00FE461F" w:rsidP="00FE461F">
      <w:pPr>
        <w:shd w:val="clear" w:color="auto" w:fill="FFFFFF"/>
        <w:spacing w:after="60" w:line="240" w:lineRule="auto"/>
        <w:ind w:left="720"/>
        <w:jc w:val="both"/>
        <w:rPr>
          <w:rFonts w:eastAsiaTheme="minorHAnsi" w:cs="Arial"/>
          <w:b/>
          <w:bCs/>
          <w:i/>
          <w:iCs/>
          <w:szCs w:val="20"/>
        </w:rPr>
      </w:pPr>
      <w:r w:rsidRPr="005E4BEA">
        <w:rPr>
          <w:rFonts w:eastAsiaTheme="minorHAnsi" w:cs="Arial"/>
          <w:b/>
          <w:bCs/>
          <w:i/>
          <w:iCs/>
          <w:szCs w:val="20"/>
        </w:rPr>
        <w:t> </w:t>
      </w:r>
    </w:p>
    <w:p w14:paraId="2DFD9D75" w14:textId="77777777" w:rsidR="00FE461F" w:rsidRPr="005E4BEA" w:rsidRDefault="00FE461F" w:rsidP="00FE461F">
      <w:pPr>
        <w:shd w:val="clear" w:color="auto" w:fill="FFFFFF"/>
        <w:spacing w:after="60" w:line="240" w:lineRule="auto"/>
        <w:jc w:val="both"/>
        <w:rPr>
          <w:rFonts w:eastAsiaTheme="minorHAnsi" w:cs="Arial"/>
          <w:b/>
          <w:bCs/>
          <w:i/>
          <w:iCs/>
          <w:szCs w:val="20"/>
        </w:rPr>
      </w:pPr>
      <w:r w:rsidRPr="005E4BEA">
        <w:rPr>
          <w:rFonts w:eastAsiaTheme="minorHAnsi" w:cs="Arial"/>
          <w:b/>
          <w:bCs/>
          <w:i/>
          <w:iCs/>
          <w:szCs w:val="20"/>
        </w:rPr>
        <w:t>V drugem odstavku 16. člena se v prvem odstavku doda nova točka:</w:t>
      </w:r>
    </w:p>
    <w:p w14:paraId="758E6FD6" w14:textId="77777777" w:rsidR="00FE461F" w:rsidRPr="005E4BEA" w:rsidRDefault="00FE461F" w:rsidP="00FE461F">
      <w:pPr>
        <w:shd w:val="clear" w:color="auto" w:fill="FFFFFF"/>
        <w:spacing w:line="233" w:lineRule="atLeast"/>
        <w:ind w:left="720" w:hanging="360"/>
        <w:rPr>
          <w:rFonts w:eastAsiaTheme="minorHAnsi" w:cs="Arial"/>
          <w:b/>
          <w:bCs/>
          <w:i/>
          <w:iCs/>
          <w:szCs w:val="20"/>
        </w:rPr>
      </w:pPr>
      <w:r w:rsidRPr="005E4BEA">
        <w:rPr>
          <w:rFonts w:eastAsiaTheme="minorHAnsi" w:cs="Arial"/>
          <w:b/>
          <w:bCs/>
          <w:i/>
          <w:iCs/>
          <w:szCs w:val="20"/>
        </w:rPr>
        <w:t xml:space="preserve">-  izvajalci dispanzerja za žene obračunavajo: krvno skupino, </w:t>
      </w:r>
      <w:proofErr w:type="spellStart"/>
      <w:r w:rsidRPr="005E4BEA">
        <w:rPr>
          <w:rFonts w:eastAsiaTheme="minorHAnsi" w:cs="Arial"/>
          <w:b/>
          <w:bCs/>
          <w:i/>
          <w:iCs/>
          <w:szCs w:val="20"/>
        </w:rPr>
        <w:t>Rh</w:t>
      </w:r>
      <w:proofErr w:type="spellEnd"/>
      <w:r w:rsidRPr="005E4BEA">
        <w:rPr>
          <w:rFonts w:eastAsiaTheme="minorHAnsi" w:cs="Arial"/>
          <w:b/>
          <w:bCs/>
          <w:i/>
          <w:iCs/>
          <w:szCs w:val="20"/>
        </w:rPr>
        <w:t xml:space="preserve"> faktor, </w:t>
      </w:r>
      <w:proofErr w:type="spellStart"/>
      <w:r w:rsidRPr="005E4BEA">
        <w:rPr>
          <w:rFonts w:eastAsiaTheme="minorHAnsi" w:cs="Arial"/>
          <w:b/>
          <w:bCs/>
          <w:i/>
          <w:iCs/>
          <w:szCs w:val="20"/>
        </w:rPr>
        <w:t>Kell</w:t>
      </w:r>
      <w:proofErr w:type="spellEnd"/>
      <w:r w:rsidRPr="005E4BEA">
        <w:rPr>
          <w:rFonts w:eastAsiaTheme="minorHAnsi" w:cs="Arial"/>
          <w:b/>
          <w:bCs/>
          <w:i/>
          <w:iCs/>
          <w:szCs w:val="20"/>
        </w:rPr>
        <w:t xml:space="preserve"> faktor, TPHA (VDRL) - sifilis, OGTT ter materinsko knjižico, tumorske markerje ( Ca 125, CEA, HE4, Ca 19.9, Ca 15.3), določitev hormonov (FSH, LH, estrogen, progesteron, PRL, testosteron, beta HCG) in PCR v </w:t>
      </w:r>
      <w:proofErr w:type="spellStart"/>
      <w:r w:rsidRPr="005E4BEA">
        <w:rPr>
          <w:rFonts w:eastAsiaTheme="minorHAnsi" w:cs="Arial"/>
          <w:b/>
          <w:bCs/>
          <w:i/>
          <w:iCs/>
          <w:szCs w:val="20"/>
        </w:rPr>
        <w:t>multipleksu</w:t>
      </w:r>
      <w:proofErr w:type="spellEnd"/>
      <w:r w:rsidRPr="005E4BEA">
        <w:rPr>
          <w:rFonts w:eastAsiaTheme="minorHAnsi" w:cs="Arial"/>
          <w:b/>
          <w:bCs/>
          <w:i/>
          <w:iCs/>
          <w:szCs w:val="20"/>
        </w:rPr>
        <w:t xml:space="preserve"> (</w:t>
      </w:r>
      <w:proofErr w:type="spellStart"/>
      <w:r w:rsidRPr="005E4BEA">
        <w:rPr>
          <w:rFonts w:eastAsiaTheme="minorHAnsi" w:cs="Arial"/>
          <w:b/>
          <w:bCs/>
          <w:i/>
          <w:iCs/>
          <w:szCs w:val="20"/>
        </w:rPr>
        <w:t>trihomonas</w:t>
      </w:r>
      <w:proofErr w:type="spellEnd"/>
      <w:r w:rsidRPr="005E4BEA">
        <w:rPr>
          <w:rFonts w:eastAsiaTheme="minorHAnsi" w:cs="Arial"/>
          <w:b/>
          <w:bCs/>
          <w:i/>
          <w:iCs/>
          <w:szCs w:val="20"/>
        </w:rPr>
        <w:t xml:space="preserve"> in bakterijski povzročitelji spolno prenosljivih bolezni)</w:t>
      </w:r>
    </w:p>
    <w:p w14:paraId="746558E1" w14:textId="77777777" w:rsidR="00FE461F" w:rsidRPr="005E4BEA" w:rsidRDefault="00FE461F" w:rsidP="00FE461F">
      <w:pPr>
        <w:shd w:val="clear" w:color="auto" w:fill="FFFFFF"/>
        <w:spacing w:line="233" w:lineRule="atLeast"/>
        <w:ind w:left="720" w:hanging="360"/>
        <w:rPr>
          <w:rFonts w:eastAsiaTheme="minorHAnsi" w:cs="Arial"/>
          <w:b/>
          <w:bCs/>
          <w:i/>
          <w:iCs/>
          <w:color w:val="808080" w:themeColor="background1" w:themeShade="80"/>
          <w:szCs w:val="20"/>
        </w:rPr>
      </w:pPr>
    </w:p>
    <w:p w14:paraId="6F0F9E8E"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11 mio EUR</w:t>
      </w:r>
    </w:p>
    <w:p w14:paraId="4542A04D" w14:textId="77777777" w:rsidR="00FE461F" w:rsidRPr="005E4BEA" w:rsidRDefault="00FE461F" w:rsidP="00FE461F">
      <w:pPr>
        <w:shd w:val="clear" w:color="auto" w:fill="FFFFFF"/>
        <w:spacing w:after="60" w:line="240" w:lineRule="auto"/>
        <w:ind w:left="720" w:hanging="360"/>
        <w:jc w:val="both"/>
        <w:rPr>
          <w:rFonts w:eastAsiaTheme="minorHAnsi" w:cs="Arial"/>
          <w:b/>
          <w:bCs/>
          <w:i/>
          <w:iCs/>
          <w:color w:val="808080" w:themeColor="background1" w:themeShade="80"/>
          <w:szCs w:val="20"/>
        </w:rPr>
      </w:pPr>
    </w:p>
    <w:p w14:paraId="280C8769" w14:textId="77777777" w:rsidR="00FE461F" w:rsidRPr="005E4BEA" w:rsidRDefault="00FE461F" w:rsidP="00FE461F">
      <w:pPr>
        <w:shd w:val="clear" w:color="auto" w:fill="FFFFFF"/>
        <w:spacing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03B38E08" w14:textId="77777777" w:rsidR="00FE461F" w:rsidRPr="005E4BEA" w:rsidRDefault="00FE461F" w:rsidP="00FE461F">
      <w:pPr>
        <w:shd w:val="clear" w:color="auto" w:fill="FFFFFF"/>
        <w:spacing w:line="233" w:lineRule="atLeast"/>
        <w:ind w:left="720" w:hanging="360"/>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1. Zagotovitev 100% plačila ob doseganju 1550 </w:t>
      </w:r>
      <w:proofErr w:type="spellStart"/>
      <w:r w:rsidRPr="005E4BEA">
        <w:rPr>
          <w:rFonts w:eastAsiaTheme="minorHAnsi" w:cs="Arial"/>
          <w:i/>
          <w:iCs/>
          <w:color w:val="808080" w:themeColor="background1" w:themeShade="80"/>
          <w:szCs w:val="20"/>
        </w:rPr>
        <w:t>glavarinskih</w:t>
      </w:r>
      <w:proofErr w:type="spellEnd"/>
      <w:r w:rsidRPr="005E4BEA">
        <w:rPr>
          <w:rFonts w:eastAsiaTheme="minorHAnsi" w:cs="Arial"/>
          <w:i/>
          <w:iCs/>
          <w:color w:val="808080" w:themeColor="background1" w:themeShade="80"/>
          <w:szCs w:val="20"/>
        </w:rPr>
        <w:t xml:space="preserve"> količnikov bo omogočil približevanje k strokovnemu normativu 4000 opredeljenih žensk na ginekologa primarne ravni (sprejet je bil na 8. seji RSK leta 2009). Dokler se presegajo zahtevani normativi, naj se zagotovi sredstva za stimulacijo bolj obremenjenih timov</w:t>
      </w:r>
    </w:p>
    <w:p w14:paraId="1A5C75F1" w14:textId="77777777" w:rsidR="00FE461F" w:rsidRPr="005E4BEA" w:rsidRDefault="00FE461F" w:rsidP="00FE461F">
      <w:pPr>
        <w:shd w:val="clear" w:color="auto" w:fill="FFFFFF"/>
        <w:spacing w:line="233" w:lineRule="atLeast"/>
        <w:ind w:left="720" w:hanging="360"/>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2. Materialni stroški za laboratorij naj se formirajo kot ločeno zaračunljiv material (LZM) oz. naj bodo v celoti plačani. Med stroške LZM se doda  krvno skupino, </w:t>
      </w:r>
      <w:proofErr w:type="spellStart"/>
      <w:r w:rsidRPr="005E4BEA">
        <w:rPr>
          <w:rFonts w:eastAsiaTheme="minorHAnsi" w:cs="Arial"/>
          <w:i/>
          <w:iCs/>
          <w:color w:val="808080" w:themeColor="background1" w:themeShade="80"/>
          <w:szCs w:val="20"/>
        </w:rPr>
        <w:t>Rh</w:t>
      </w:r>
      <w:proofErr w:type="spellEnd"/>
      <w:r w:rsidRPr="005E4BEA">
        <w:rPr>
          <w:rFonts w:eastAsiaTheme="minorHAnsi" w:cs="Arial"/>
          <w:i/>
          <w:iCs/>
          <w:color w:val="808080" w:themeColor="background1" w:themeShade="80"/>
          <w:szCs w:val="20"/>
        </w:rPr>
        <w:t xml:space="preserve"> faktor, </w:t>
      </w:r>
      <w:proofErr w:type="spellStart"/>
      <w:r w:rsidRPr="005E4BEA">
        <w:rPr>
          <w:rFonts w:eastAsiaTheme="minorHAnsi" w:cs="Arial"/>
          <w:i/>
          <w:iCs/>
          <w:color w:val="808080" w:themeColor="background1" w:themeShade="80"/>
          <w:szCs w:val="20"/>
        </w:rPr>
        <w:t>Kell</w:t>
      </w:r>
      <w:proofErr w:type="spellEnd"/>
      <w:r w:rsidRPr="005E4BEA">
        <w:rPr>
          <w:rFonts w:eastAsiaTheme="minorHAnsi" w:cs="Arial"/>
          <w:i/>
          <w:iCs/>
          <w:color w:val="808080" w:themeColor="background1" w:themeShade="80"/>
          <w:szCs w:val="20"/>
        </w:rPr>
        <w:t xml:space="preserve"> faktor, TPHA (VDRL) – sifilis, OGTT in materinsko knjižico. tumorske markerje( Ca 125, CEA, HE4, Ca 19.9, Ca 15.3), določitev hormonov (FSH, LH, estrogen, progesteron, PRL, testosteron, beta HCG) in PCR v </w:t>
      </w:r>
      <w:proofErr w:type="spellStart"/>
      <w:r w:rsidRPr="005E4BEA">
        <w:rPr>
          <w:rFonts w:eastAsiaTheme="minorHAnsi" w:cs="Arial"/>
          <w:i/>
          <w:iCs/>
          <w:color w:val="808080" w:themeColor="background1" w:themeShade="80"/>
          <w:szCs w:val="20"/>
        </w:rPr>
        <w:t>multipleksu</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trihomonas</w:t>
      </w:r>
      <w:proofErr w:type="spellEnd"/>
      <w:r w:rsidRPr="005E4BEA">
        <w:rPr>
          <w:rFonts w:eastAsiaTheme="minorHAnsi" w:cs="Arial"/>
          <w:i/>
          <w:iCs/>
          <w:color w:val="808080" w:themeColor="background1" w:themeShade="80"/>
          <w:szCs w:val="20"/>
        </w:rPr>
        <w:t xml:space="preserve"> in bakterijski povzročitelji spolno prenosljivih bolezni)</w:t>
      </w:r>
    </w:p>
    <w:p w14:paraId="68255865" w14:textId="77777777" w:rsidR="00FE461F" w:rsidRPr="005E4BEA" w:rsidRDefault="00FE461F" w:rsidP="00FE461F">
      <w:pPr>
        <w:shd w:val="clear" w:color="auto" w:fill="FFFFFF"/>
        <w:spacing w:line="233" w:lineRule="atLeast"/>
        <w:ind w:left="720" w:hanging="360"/>
        <w:rPr>
          <w:rFonts w:eastAsiaTheme="minorHAnsi" w:cs="Arial"/>
          <w:i/>
          <w:iCs/>
          <w:color w:val="808080" w:themeColor="background1" w:themeShade="80"/>
          <w:szCs w:val="20"/>
        </w:rPr>
      </w:pPr>
    </w:p>
    <w:p w14:paraId="7BBCFD38" w14:textId="77777777" w:rsidR="00FE461F" w:rsidRPr="005E4BEA" w:rsidRDefault="00FE461F" w:rsidP="00FE461F">
      <w:pPr>
        <w:shd w:val="clear" w:color="auto" w:fill="FFFFFF"/>
        <w:spacing w:line="233" w:lineRule="atLeast"/>
        <w:ind w:left="720" w:hanging="360"/>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3. </w:t>
      </w:r>
      <w:proofErr w:type="spellStart"/>
      <w:r w:rsidRPr="005E4BEA">
        <w:rPr>
          <w:rFonts w:eastAsiaTheme="minorHAnsi" w:cs="Arial"/>
          <w:i/>
          <w:iCs/>
          <w:color w:val="808080" w:themeColor="background1" w:themeShade="80"/>
          <w:szCs w:val="20"/>
        </w:rPr>
        <w:t>Utrezno</w:t>
      </w:r>
      <w:proofErr w:type="spellEnd"/>
      <w:r w:rsidRPr="005E4BEA">
        <w:rPr>
          <w:rFonts w:eastAsiaTheme="minorHAnsi" w:cs="Arial"/>
          <w:i/>
          <w:iCs/>
          <w:color w:val="808080" w:themeColor="background1" w:themeShade="80"/>
          <w:szCs w:val="20"/>
        </w:rPr>
        <w:t xml:space="preserve"> naj se vrednotijo vse ultrazvočne storitve, ki so sedaj prenizke. UZ aparati naj se upošteva pri stroških za delo ambulante.</w:t>
      </w:r>
    </w:p>
    <w:p w14:paraId="1C4B4814" w14:textId="77777777" w:rsidR="00FE461F" w:rsidRPr="005E4BEA" w:rsidRDefault="00FE461F" w:rsidP="00FE461F">
      <w:pPr>
        <w:shd w:val="clear" w:color="auto" w:fill="FFFFFF"/>
        <w:spacing w:line="233" w:lineRule="atLeast"/>
        <w:ind w:left="720" w:hanging="360"/>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4.Zagotoviti je potrebno dodatna sredstva ob potrebnih spremembah informatizacije v okviru zahtev ZZZS, NIJZ in programa ZORA.</w:t>
      </w:r>
    </w:p>
    <w:p w14:paraId="0F18EF20" w14:textId="77777777" w:rsidR="00FE461F" w:rsidRPr="005E4BEA" w:rsidRDefault="00FE461F" w:rsidP="00FE461F">
      <w:pPr>
        <w:shd w:val="clear" w:color="auto" w:fill="FFFFFF"/>
        <w:spacing w:after="60" w:line="240" w:lineRule="auto"/>
        <w:jc w:val="both"/>
        <w:rPr>
          <w:rFonts w:eastAsiaTheme="minorHAnsi" w:cs="Arial"/>
          <w:szCs w:val="20"/>
        </w:rPr>
      </w:pPr>
      <w:r w:rsidRPr="005E4BEA">
        <w:rPr>
          <w:rFonts w:eastAsiaTheme="minorHAnsi" w:cs="Arial"/>
          <w:szCs w:val="20"/>
        </w:rPr>
        <w:lastRenderedPageBreak/>
        <w:t> </w:t>
      </w:r>
    </w:p>
    <w:p w14:paraId="4A9A5985" w14:textId="77777777" w:rsidR="00FE461F" w:rsidRPr="005E4BEA" w:rsidRDefault="00FE461F" w:rsidP="00FE461F">
      <w:pPr>
        <w:spacing w:before="120" w:after="60" w:line="240" w:lineRule="auto"/>
        <w:jc w:val="both"/>
        <w:rPr>
          <w:rFonts w:eastAsiaTheme="minorHAnsi" w:cs="Arial"/>
          <w:b/>
          <w:bCs/>
          <w:szCs w:val="20"/>
        </w:rPr>
      </w:pPr>
      <w:r w:rsidRPr="005E4BEA">
        <w:rPr>
          <w:rFonts w:eastAsiaTheme="minorHAnsi" w:cs="Arial"/>
          <w:b/>
          <w:bCs/>
          <w:szCs w:val="20"/>
        </w:rPr>
        <w:t>Četrti odstavek v prvi točki Priloge III/a se nadomesti z naslednjim besedilom:</w:t>
      </w:r>
    </w:p>
    <w:p w14:paraId="1E691451" w14:textId="77777777" w:rsidR="00FE461F" w:rsidRPr="005E4BEA" w:rsidRDefault="00FE461F" w:rsidP="00FE461F">
      <w:pPr>
        <w:spacing w:before="120" w:after="60" w:line="240" w:lineRule="auto"/>
        <w:jc w:val="both"/>
        <w:rPr>
          <w:rFonts w:eastAsiaTheme="minorHAnsi" w:cs="Arial"/>
          <w:szCs w:val="20"/>
        </w:rPr>
      </w:pPr>
      <w:r w:rsidRPr="005E4BEA">
        <w:rPr>
          <w:rFonts w:eastAsiaTheme="minorHAnsi" w:cs="Arial"/>
          <w:szCs w:val="20"/>
        </w:rPr>
        <w:t>(4) Posamezni izvajalec za poln program ekipe v dispanzerjih za žene pri izračunu obveznosti lahko preseže povprečno število opredeljenih zavarovanih oseb na nosilca. Pripadajoči količniki iz glavarine se priznajo v celoti.</w:t>
      </w:r>
    </w:p>
    <w:p w14:paraId="403D2877" w14:textId="77777777" w:rsidR="00FE461F" w:rsidRPr="005E4BEA" w:rsidRDefault="00FE461F" w:rsidP="00FE461F">
      <w:pPr>
        <w:spacing w:before="120" w:after="60" w:line="240" w:lineRule="auto"/>
        <w:jc w:val="both"/>
        <w:rPr>
          <w:rFonts w:eastAsiaTheme="minorHAnsi" w:cs="Arial"/>
          <w:b/>
          <w:bCs/>
          <w:i/>
          <w:iCs/>
          <w:szCs w:val="20"/>
        </w:rPr>
      </w:pPr>
      <w:r w:rsidRPr="005E4BEA">
        <w:rPr>
          <w:rFonts w:eastAsiaTheme="minorHAnsi" w:cs="Arial"/>
          <w:b/>
          <w:bCs/>
          <w:i/>
          <w:iCs/>
          <w:szCs w:val="20"/>
        </w:rPr>
        <w:t> </w:t>
      </w:r>
    </w:p>
    <w:p w14:paraId="05462A30" w14:textId="77777777" w:rsidR="00FE461F" w:rsidRPr="005E4BEA" w:rsidRDefault="00FE461F" w:rsidP="00FE461F">
      <w:pPr>
        <w:spacing w:before="120" w:after="60" w:line="240" w:lineRule="auto"/>
        <w:jc w:val="both"/>
        <w:rPr>
          <w:rFonts w:eastAsiaTheme="minorHAnsi" w:cs="Arial"/>
          <w:b/>
          <w:bCs/>
          <w:i/>
          <w:iCs/>
          <w:szCs w:val="20"/>
        </w:rPr>
      </w:pPr>
      <w:r w:rsidRPr="005E4BEA">
        <w:rPr>
          <w:rFonts w:eastAsiaTheme="minorHAnsi" w:cs="Arial"/>
          <w:b/>
          <w:bCs/>
          <w:i/>
          <w:iCs/>
          <w:szCs w:val="20"/>
        </w:rPr>
        <w:t>Besedilo, ki se črta se glasi:</w:t>
      </w:r>
    </w:p>
    <w:p w14:paraId="6FCD1574" w14:textId="77777777" w:rsidR="00FE461F" w:rsidRPr="005E4BEA" w:rsidRDefault="00FE461F" w:rsidP="00FE461F">
      <w:pPr>
        <w:spacing w:before="120" w:after="60" w:line="240" w:lineRule="auto"/>
        <w:jc w:val="both"/>
        <w:rPr>
          <w:rFonts w:eastAsiaTheme="minorHAnsi" w:cs="Arial"/>
          <w:b/>
          <w:bCs/>
          <w:i/>
          <w:iCs/>
          <w:szCs w:val="20"/>
        </w:rPr>
      </w:pPr>
      <w:r w:rsidRPr="005E4BEA">
        <w:rPr>
          <w:rFonts w:eastAsiaTheme="minorHAnsi" w:cs="Arial"/>
          <w:b/>
          <w:bCs/>
          <w:i/>
          <w:iCs/>
          <w:szCs w:val="20"/>
        </w:rPr>
        <w:t>(4) V dispanzerjih za ženske posamezen izvajalec za polni program ekipe ne more preseči 2.925 količnikov iz glavarine mesečno na nosilca.</w:t>
      </w:r>
    </w:p>
    <w:p w14:paraId="29BCEED0" w14:textId="77777777" w:rsidR="00FE461F" w:rsidRPr="005E4BEA" w:rsidRDefault="00FE461F" w:rsidP="00FE461F">
      <w:pPr>
        <w:spacing w:before="120" w:after="60" w:line="240" w:lineRule="auto"/>
        <w:jc w:val="both"/>
        <w:rPr>
          <w:rFonts w:eastAsiaTheme="minorHAnsi" w:cs="Arial"/>
          <w:b/>
          <w:bCs/>
          <w:szCs w:val="20"/>
        </w:rPr>
      </w:pPr>
    </w:p>
    <w:p w14:paraId="50227C26"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u w:val="single"/>
        </w:rPr>
      </w:pPr>
      <w:r w:rsidRPr="005E4BEA">
        <w:rPr>
          <w:rFonts w:eastAsiaTheme="minorHAnsi" w:cs="Arial"/>
          <w:i/>
          <w:iCs/>
          <w:color w:val="808080" w:themeColor="background1" w:themeShade="80"/>
          <w:szCs w:val="20"/>
          <w:u w:val="single"/>
        </w:rPr>
        <w:t>Obrazložitev:</w:t>
      </w:r>
    </w:p>
    <w:p w14:paraId="5601AECC" w14:textId="77777777" w:rsidR="00FE461F" w:rsidRPr="005E4BEA" w:rsidRDefault="00FE461F" w:rsidP="00FE461F">
      <w:pPr>
        <w:shd w:val="clear" w:color="auto" w:fill="FFFFFF"/>
        <w:spacing w:line="240" w:lineRule="auto"/>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Zagotoviti je potrebno plačilo vseh pregledov po enotni ceni vsem ginekologom ne glede na število </w:t>
      </w:r>
      <w:proofErr w:type="spellStart"/>
      <w:r w:rsidRPr="005E4BEA">
        <w:rPr>
          <w:rFonts w:eastAsiaTheme="minorHAnsi" w:cs="Arial"/>
          <w:i/>
          <w:iCs/>
          <w:color w:val="808080" w:themeColor="background1" w:themeShade="80"/>
          <w:szCs w:val="20"/>
        </w:rPr>
        <w:t>glavarinskih</w:t>
      </w:r>
      <w:proofErr w:type="spellEnd"/>
      <w:r w:rsidRPr="005E4BEA">
        <w:rPr>
          <w:rFonts w:eastAsiaTheme="minorHAnsi" w:cs="Arial"/>
          <w:i/>
          <w:iCs/>
          <w:color w:val="808080" w:themeColor="background1" w:themeShade="80"/>
          <w:szCs w:val="20"/>
        </w:rPr>
        <w:t xml:space="preserve"> količnikov.</w:t>
      </w:r>
    </w:p>
    <w:p w14:paraId="199B9EA7" w14:textId="77777777" w:rsidR="00FE461F" w:rsidRPr="005E4BEA" w:rsidRDefault="00FE461F" w:rsidP="00FE461F">
      <w:pPr>
        <w:shd w:val="clear" w:color="auto" w:fill="FFFFFF"/>
        <w:spacing w:after="60" w:line="240" w:lineRule="auto"/>
        <w:jc w:val="both"/>
        <w:rPr>
          <w:rFonts w:eastAsiaTheme="minorHAnsi" w:cs="Arial"/>
          <w:szCs w:val="20"/>
        </w:rPr>
      </w:pPr>
      <w:r w:rsidRPr="005E4BEA">
        <w:rPr>
          <w:rFonts w:eastAsiaTheme="minorHAnsi" w:cs="Arial"/>
          <w:szCs w:val="20"/>
        </w:rPr>
        <w:t> </w:t>
      </w:r>
    </w:p>
    <w:p w14:paraId="02223EA5" w14:textId="77777777" w:rsidR="00FE461F" w:rsidRPr="005E4BEA" w:rsidRDefault="00FE461F" w:rsidP="00FE461F">
      <w:pPr>
        <w:shd w:val="clear" w:color="auto" w:fill="FFFFFF"/>
        <w:spacing w:line="240" w:lineRule="auto"/>
        <w:jc w:val="both"/>
        <w:rPr>
          <w:rFonts w:eastAsiaTheme="minorHAnsi" w:cs="Arial"/>
          <w:b/>
          <w:bCs/>
          <w:szCs w:val="20"/>
        </w:rPr>
      </w:pPr>
      <w:r w:rsidRPr="005E4BEA">
        <w:rPr>
          <w:rFonts w:eastAsiaTheme="minorHAnsi" w:cs="Arial"/>
          <w:b/>
          <w:bCs/>
          <w:szCs w:val="20"/>
        </w:rPr>
        <w:t>Doda se nov 9. odstavek v prvi točki Priloge III/a, ki se glasi:</w:t>
      </w:r>
    </w:p>
    <w:p w14:paraId="76C9E879" w14:textId="77777777" w:rsidR="00FE461F" w:rsidRPr="005E4BEA" w:rsidRDefault="00FE461F" w:rsidP="00FE461F">
      <w:pPr>
        <w:shd w:val="clear" w:color="auto" w:fill="FFFFFF"/>
        <w:spacing w:line="240" w:lineRule="auto"/>
        <w:jc w:val="both"/>
        <w:rPr>
          <w:rFonts w:eastAsiaTheme="minorHAnsi" w:cs="Arial"/>
          <w:szCs w:val="20"/>
        </w:rPr>
      </w:pPr>
      <w:r w:rsidRPr="005E4BEA">
        <w:rPr>
          <w:rFonts w:eastAsiaTheme="minorHAnsi" w:cs="Arial"/>
          <w:szCs w:val="20"/>
        </w:rPr>
        <w:t xml:space="preserve">(9) Prvi dve leti po prevzemu ambulante dispanzerja za žene, ginekolog sprejema le pacientke svojega predhodnika in v primeru, da v dogovorjenem času ne doseže polne glavarine, prične z </w:t>
      </w:r>
      <w:proofErr w:type="spellStart"/>
      <w:r w:rsidRPr="005E4BEA">
        <w:rPr>
          <w:rFonts w:eastAsiaTheme="minorHAnsi" w:cs="Arial"/>
          <w:szCs w:val="20"/>
        </w:rPr>
        <w:t>opredeljavnjem</w:t>
      </w:r>
      <w:proofErr w:type="spellEnd"/>
      <w:r w:rsidRPr="005E4BEA">
        <w:rPr>
          <w:rFonts w:eastAsiaTheme="minorHAnsi" w:cs="Arial"/>
          <w:szCs w:val="20"/>
        </w:rPr>
        <w:t xml:space="preserve"> novih pacientk.</w:t>
      </w:r>
    </w:p>
    <w:p w14:paraId="3AE8746D" w14:textId="77777777" w:rsidR="00FE461F" w:rsidRPr="005E4BEA" w:rsidRDefault="00FE461F" w:rsidP="00FE461F">
      <w:pPr>
        <w:shd w:val="clear" w:color="auto" w:fill="FFFFFF"/>
        <w:spacing w:after="60" w:line="240" w:lineRule="auto"/>
        <w:rPr>
          <w:rFonts w:eastAsiaTheme="minorHAnsi" w:cs="Arial"/>
          <w:szCs w:val="20"/>
        </w:rPr>
      </w:pPr>
      <w:r w:rsidRPr="005E4BEA">
        <w:rPr>
          <w:rFonts w:eastAsiaTheme="minorHAnsi" w:cs="Arial"/>
          <w:szCs w:val="20"/>
        </w:rPr>
        <w:t>(10) Ob daljši odsotnosti ginekologa v dispanzerju za žene dobi izvajalec plačilo za opravljene storitve le v primeru, ko odsotnega ginekologa nadomesti ginekolog, ki nima svoje ambulante pri izvajalcu, kjer je zaposlen odsotni ginekolog in sicer le v obsegu, v kakršnem zagotovi nadomeščanje.</w:t>
      </w:r>
    </w:p>
    <w:p w14:paraId="02C75DEE" w14:textId="77777777" w:rsidR="00FE461F" w:rsidRPr="005E4BEA" w:rsidRDefault="00FE461F" w:rsidP="00FE461F">
      <w:pPr>
        <w:shd w:val="clear" w:color="auto" w:fill="FFFFFF"/>
        <w:spacing w:line="240" w:lineRule="auto"/>
        <w:jc w:val="both"/>
        <w:rPr>
          <w:rFonts w:eastAsiaTheme="minorHAnsi" w:cs="Arial"/>
          <w:b/>
          <w:bCs/>
          <w:i/>
          <w:iCs/>
          <w:szCs w:val="20"/>
        </w:rPr>
      </w:pPr>
      <w:r w:rsidRPr="005E4BEA">
        <w:rPr>
          <w:rFonts w:eastAsiaTheme="minorHAnsi" w:cs="Arial"/>
          <w:b/>
          <w:bCs/>
          <w:i/>
          <w:iCs/>
          <w:szCs w:val="20"/>
        </w:rPr>
        <w:t> </w:t>
      </w:r>
    </w:p>
    <w:p w14:paraId="356B2F41" w14:textId="77777777" w:rsidR="00FE461F" w:rsidRPr="005E4BEA" w:rsidRDefault="00FE461F" w:rsidP="00FE461F">
      <w:pPr>
        <w:shd w:val="clear" w:color="auto" w:fill="FFFFFF"/>
        <w:spacing w:after="60" w:line="240" w:lineRule="auto"/>
        <w:rPr>
          <w:rFonts w:eastAsiaTheme="minorHAnsi" w:cs="Arial"/>
          <w:b/>
          <w:bCs/>
          <w:szCs w:val="20"/>
        </w:rPr>
      </w:pPr>
      <w:r w:rsidRPr="005E4BEA">
        <w:rPr>
          <w:rFonts w:eastAsiaTheme="minorHAnsi" w:cs="Arial"/>
          <w:b/>
          <w:bCs/>
          <w:szCs w:val="20"/>
        </w:rPr>
        <w:t>Odstavki od  9 do 18  se preštevilčijo.</w:t>
      </w:r>
    </w:p>
    <w:p w14:paraId="6C00A881" w14:textId="77777777" w:rsidR="00FE461F" w:rsidRPr="005E4BEA" w:rsidRDefault="00FE461F" w:rsidP="00FE461F">
      <w:pPr>
        <w:shd w:val="clear" w:color="auto" w:fill="FFFFFF"/>
        <w:spacing w:after="60" w:line="240" w:lineRule="auto"/>
        <w:jc w:val="both"/>
        <w:rPr>
          <w:rFonts w:eastAsiaTheme="minorHAnsi" w:cs="Arial"/>
          <w:i/>
          <w:iCs/>
          <w:szCs w:val="20"/>
        </w:rPr>
      </w:pPr>
      <w:r w:rsidRPr="005E4BEA">
        <w:rPr>
          <w:rFonts w:eastAsiaTheme="minorHAnsi" w:cs="Arial"/>
          <w:i/>
          <w:iCs/>
          <w:szCs w:val="20"/>
        </w:rPr>
        <w:t> </w:t>
      </w:r>
    </w:p>
    <w:p w14:paraId="704D502D" w14:textId="77777777" w:rsidR="00FE461F" w:rsidRPr="005E4BEA" w:rsidRDefault="00FE461F" w:rsidP="00FE461F">
      <w:pPr>
        <w:shd w:val="clear" w:color="auto" w:fill="FFFFFF"/>
        <w:spacing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6109BD2A"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Pri menjavi ginekologa v ambulanti predlagamo avtomatičen prenos glavarine na novega izvajalca za prehodno obdobje 2-3. let. V tem času morajo pacientke, ki želijo ostati pri novem izvajalcu, to potrditi s podpisom izjave ali pa lahko izberejo drugega, o čemer so ob menjavi obveščene. Po preteku tega obdobja, pa bi ginekolog, v kolikor še ne dosega zadostne glavarine, moral pričeti z opredeljevanjem novih pacientk. </w:t>
      </w:r>
    </w:p>
    <w:p w14:paraId="4DAAE6F9"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Druga možnost pa je, da npr. prvi dve leti po prevzemu ambulante sprejema le pacientke svojega predhodnika in če v dogovorjenem času ne doseže polne glavarine, se objavi, da ambulanta sprejema nove pacientke.</w:t>
      </w:r>
    </w:p>
    <w:p w14:paraId="306BBBD2" w14:textId="77777777" w:rsidR="00FE461F" w:rsidRPr="005E4BEA" w:rsidRDefault="00FE461F" w:rsidP="00FE461F">
      <w:pPr>
        <w:shd w:val="clear" w:color="auto" w:fill="FFFFFF"/>
        <w:spacing w:line="240" w:lineRule="auto"/>
        <w:rPr>
          <w:rFonts w:eastAsiaTheme="minorHAnsi" w:cs="Arial"/>
          <w:szCs w:val="20"/>
        </w:rPr>
      </w:pPr>
      <w:r w:rsidRPr="005E4BEA">
        <w:rPr>
          <w:rFonts w:eastAsiaTheme="minorHAnsi" w:cs="Arial"/>
          <w:szCs w:val="20"/>
        </w:rPr>
        <w:t> </w:t>
      </w:r>
    </w:p>
    <w:p w14:paraId="30112734" w14:textId="77777777" w:rsidR="00FE461F" w:rsidRPr="005E4BEA" w:rsidRDefault="00FE461F" w:rsidP="00FE461F">
      <w:pPr>
        <w:shd w:val="clear" w:color="auto" w:fill="FFFFFF"/>
        <w:spacing w:line="240" w:lineRule="auto"/>
        <w:rPr>
          <w:rFonts w:eastAsiaTheme="minorHAnsi" w:cs="Arial"/>
          <w:b/>
          <w:bCs/>
          <w:szCs w:val="20"/>
        </w:rPr>
      </w:pPr>
      <w:r w:rsidRPr="005E4BEA">
        <w:rPr>
          <w:rFonts w:eastAsiaTheme="minorHAnsi" w:cs="Arial"/>
          <w:b/>
          <w:bCs/>
          <w:szCs w:val="20"/>
        </w:rPr>
        <w:t>V Prilogi ZD ZAS v 5. členu:</w:t>
      </w:r>
    </w:p>
    <w:p w14:paraId="1D19CD69" w14:textId="77777777" w:rsidR="00FE461F" w:rsidRPr="005E4BEA" w:rsidRDefault="00FE461F" w:rsidP="00FE461F">
      <w:pPr>
        <w:shd w:val="clear" w:color="auto" w:fill="FFFFFF"/>
        <w:spacing w:line="240" w:lineRule="atLeast"/>
        <w:rPr>
          <w:rFonts w:eastAsiaTheme="minorHAnsi" w:cs="Arial"/>
          <w:b/>
          <w:bCs/>
          <w:i/>
          <w:iCs/>
          <w:szCs w:val="20"/>
        </w:rPr>
      </w:pPr>
      <w:r w:rsidRPr="005E4BEA">
        <w:rPr>
          <w:rFonts w:eastAsiaTheme="minorHAnsi" w:cs="Arial"/>
          <w:b/>
          <w:bCs/>
          <w:i/>
          <w:iCs/>
          <w:szCs w:val="20"/>
        </w:rPr>
        <w:t> </w:t>
      </w:r>
    </w:p>
    <w:p w14:paraId="01E9EE9E" w14:textId="77777777" w:rsidR="00FE461F" w:rsidRPr="005E4BEA" w:rsidRDefault="00FE461F" w:rsidP="00FE461F">
      <w:pPr>
        <w:shd w:val="clear" w:color="auto" w:fill="FFFFFF"/>
        <w:spacing w:line="240" w:lineRule="auto"/>
        <w:jc w:val="both"/>
        <w:rPr>
          <w:rFonts w:eastAsiaTheme="minorHAnsi" w:cs="Arial"/>
          <w:szCs w:val="20"/>
        </w:rPr>
      </w:pPr>
      <w:r w:rsidRPr="005E4BEA">
        <w:rPr>
          <w:rFonts w:eastAsiaTheme="minorHAnsi" w:cs="Arial"/>
          <w:szCs w:val="20"/>
        </w:rPr>
        <w:t>se (3) odstavek spremeni tako, da se glasi:</w:t>
      </w:r>
    </w:p>
    <w:p w14:paraId="0673E317" w14:textId="77777777" w:rsidR="00FE461F" w:rsidRPr="005E4BEA" w:rsidRDefault="00FE461F" w:rsidP="00FE461F">
      <w:pPr>
        <w:shd w:val="clear" w:color="auto" w:fill="FFFFFF"/>
        <w:spacing w:line="231" w:lineRule="atLeast"/>
        <w:jc w:val="both"/>
        <w:rPr>
          <w:rFonts w:eastAsiaTheme="minorHAnsi" w:cs="Arial"/>
          <w:szCs w:val="20"/>
        </w:rPr>
      </w:pPr>
      <w:r w:rsidRPr="005E4BEA">
        <w:rPr>
          <w:rFonts w:eastAsiaTheme="minorHAnsi" w:cs="Arial"/>
          <w:szCs w:val="20"/>
        </w:rPr>
        <w:t xml:space="preserve">»(3) Ciljni normativ v dispanzerju za žene je 4000 opredeljenih žensk. Dokler  ne bo  dosežen ciljni normativ, izvajalci dispanzerja za žene prenehajo z opredeljevanjem novih oseb ko dosežejo obremenitev slovenskega povprečja </w:t>
      </w:r>
      <w:proofErr w:type="spellStart"/>
      <w:r w:rsidRPr="005E4BEA">
        <w:rPr>
          <w:rFonts w:eastAsiaTheme="minorHAnsi" w:cs="Arial"/>
          <w:szCs w:val="20"/>
        </w:rPr>
        <w:t>glavarinskih</w:t>
      </w:r>
      <w:proofErr w:type="spellEnd"/>
      <w:r w:rsidRPr="005E4BEA">
        <w:rPr>
          <w:rFonts w:eastAsiaTheme="minorHAnsi" w:cs="Arial"/>
          <w:szCs w:val="20"/>
        </w:rPr>
        <w:t xml:space="preserve"> količnikov v dispanzerjih za žene.«</w:t>
      </w:r>
    </w:p>
    <w:p w14:paraId="26DBABF9" w14:textId="77777777" w:rsidR="00FE461F" w:rsidRPr="005E4BEA" w:rsidRDefault="00FE461F" w:rsidP="00FE461F">
      <w:pPr>
        <w:shd w:val="clear" w:color="auto" w:fill="FFFFFF"/>
        <w:spacing w:line="240" w:lineRule="auto"/>
        <w:jc w:val="both"/>
        <w:rPr>
          <w:rFonts w:eastAsiaTheme="minorHAnsi" w:cs="Arial"/>
          <w:szCs w:val="20"/>
        </w:rPr>
      </w:pPr>
      <w:r w:rsidRPr="005E4BEA">
        <w:rPr>
          <w:rFonts w:eastAsiaTheme="minorHAnsi" w:cs="Arial"/>
          <w:szCs w:val="20"/>
        </w:rPr>
        <w:t> </w:t>
      </w:r>
    </w:p>
    <w:p w14:paraId="546125EB" w14:textId="77777777" w:rsidR="00FE461F" w:rsidRPr="005E4BEA" w:rsidRDefault="00FE461F" w:rsidP="00FE461F">
      <w:pPr>
        <w:shd w:val="clear" w:color="auto" w:fill="FFFFFF"/>
        <w:spacing w:line="240" w:lineRule="auto"/>
        <w:jc w:val="both"/>
        <w:rPr>
          <w:rFonts w:eastAsiaTheme="minorHAnsi" w:cs="Arial"/>
          <w:szCs w:val="20"/>
        </w:rPr>
      </w:pPr>
      <w:r w:rsidRPr="005E4BEA">
        <w:rPr>
          <w:rFonts w:eastAsiaTheme="minorHAnsi" w:cs="Arial"/>
          <w:szCs w:val="20"/>
        </w:rPr>
        <w:t>Besedilo, ki se črta se glasi:</w:t>
      </w:r>
    </w:p>
    <w:p w14:paraId="2DF89B5A" w14:textId="77777777" w:rsidR="00FE461F" w:rsidRPr="005E4BEA" w:rsidRDefault="00FE461F" w:rsidP="00FE461F">
      <w:pPr>
        <w:shd w:val="clear" w:color="auto" w:fill="FFFFFF"/>
        <w:spacing w:line="240" w:lineRule="auto"/>
        <w:jc w:val="both"/>
        <w:rPr>
          <w:rFonts w:eastAsiaTheme="minorHAnsi" w:cs="Arial"/>
          <w:szCs w:val="20"/>
        </w:rPr>
      </w:pPr>
      <w:r w:rsidRPr="005E4BEA">
        <w:rPr>
          <w:rFonts w:eastAsiaTheme="minorHAnsi" w:cs="Arial"/>
          <w:szCs w:val="20"/>
        </w:rPr>
        <w:t xml:space="preserve">»(3) Za druge specialnosti na primarni ravni zdravstvene dejavnosti velja, da lahko prenehajo z opredeljevanjem novih oseb, ko dosežejo obremenitev slovenskega povprečja </w:t>
      </w:r>
      <w:proofErr w:type="spellStart"/>
      <w:r w:rsidRPr="005E4BEA">
        <w:rPr>
          <w:rFonts w:eastAsiaTheme="minorHAnsi" w:cs="Arial"/>
          <w:szCs w:val="20"/>
        </w:rPr>
        <w:t>glavarinskih</w:t>
      </w:r>
      <w:proofErr w:type="spellEnd"/>
      <w:r w:rsidRPr="005E4BEA">
        <w:rPr>
          <w:rFonts w:eastAsiaTheme="minorHAnsi" w:cs="Arial"/>
          <w:szCs w:val="20"/>
        </w:rPr>
        <w:t xml:space="preserve"> količnikov po posameznih specialnostih.«</w:t>
      </w:r>
    </w:p>
    <w:p w14:paraId="356C87F0" w14:textId="77777777" w:rsidR="00FE461F" w:rsidRPr="005E4BEA" w:rsidRDefault="00FE461F" w:rsidP="00FE461F">
      <w:pPr>
        <w:shd w:val="clear" w:color="auto" w:fill="FFFFFF"/>
        <w:spacing w:after="60" w:line="240" w:lineRule="auto"/>
        <w:jc w:val="both"/>
        <w:rPr>
          <w:rFonts w:eastAsiaTheme="minorHAnsi" w:cs="Arial"/>
          <w:b/>
          <w:bCs/>
          <w:i/>
          <w:iCs/>
          <w:szCs w:val="20"/>
        </w:rPr>
      </w:pPr>
    </w:p>
    <w:p w14:paraId="1FA7DD87" w14:textId="77777777" w:rsidR="00FE461F" w:rsidRPr="005E4BEA" w:rsidRDefault="00FE461F" w:rsidP="00FE461F">
      <w:pPr>
        <w:shd w:val="clear" w:color="auto" w:fill="FFFFFF"/>
        <w:spacing w:after="60" w:line="240" w:lineRule="auto"/>
        <w:jc w:val="both"/>
        <w:rPr>
          <w:rFonts w:eastAsiaTheme="minorHAnsi" w:cs="Arial"/>
          <w:b/>
          <w:bCs/>
          <w:color w:val="808080" w:themeColor="background1" w:themeShade="80"/>
          <w:szCs w:val="20"/>
          <w:u w:val="single"/>
        </w:rPr>
      </w:pPr>
      <w:r w:rsidRPr="005E4BEA">
        <w:rPr>
          <w:rFonts w:eastAsiaTheme="minorHAnsi" w:cs="Arial"/>
          <w:b/>
          <w:bCs/>
          <w:color w:val="808080" w:themeColor="background1" w:themeShade="80"/>
          <w:szCs w:val="20"/>
          <w:u w:val="single"/>
        </w:rPr>
        <w:t>Obrazložitev:</w:t>
      </w:r>
    </w:p>
    <w:p w14:paraId="05EA47A2" w14:textId="77777777" w:rsidR="00FE461F" w:rsidRPr="005E4BEA" w:rsidRDefault="00FE461F" w:rsidP="00FE461F">
      <w:pPr>
        <w:shd w:val="clear" w:color="auto" w:fill="FFFFFF"/>
        <w:spacing w:line="240" w:lineRule="auto"/>
        <w:rPr>
          <w:rFonts w:eastAsiaTheme="minorHAnsi" w:cs="Arial"/>
          <w:color w:val="808080" w:themeColor="background1" w:themeShade="80"/>
          <w:szCs w:val="20"/>
        </w:rPr>
      </w:pPr>
      <w:r w:rsidRPr="005E4BEA">
        <w:rPr>
          <w:rFonts w:eastAsiaTheme="minorHAnsi" w:cs="Arial"/>
          <w:i/>
          <w:iCs/>
          <w:color w:val="808080" w:themeColor="background1" w:themeShade="80"/>
          <w:szCs w:val="20"/>
        </w:rPr>
        <w:t>Normativ glavarine je 4000 opredeljenih žensk na ginekologa primarne ravni (cca 1550 GK), normativ sprejet na</w:t>
      </w:r>
      <w:r w:rsidRPr="005E4BEA">
        <w:rPr>
          <w:rFonts w:eastAsiaTheme="minorHAnsi" w:cs="Arial"/>
          <w:color w:val="808080" w:themeColor="background1" w:themeShade="80"/>
          <w:szCs w:val="20"/>
        </w:rPr>
        <w:t xml:space="preserve"> 8. seji RSK, 2009. V vmesnem času predlagamo upoštevanje nacionalnega povprečja opredeljenosti pacientk.</w:t>
      </w:r>
    </w:p>
    <w:p w14:paraId="07CABF30" w14:textId="77777777" w:rsidR="00FE461F" w:rsidRPr="005E4BEA" w:rsidRDefault="00FE461F" w:rsidP="00FE461F">
      <w:pPr>
        <w:shd w:val="clear" w:color="auto" w:fill="FFFFFF"/>
        <w:spacing w:line="231" w:lineRule="atLeast"/>
        <w:ind w:left="709"/>
        <w:jc w:val="both"/>
        <w:rPr>
          <w:rFonts w:eastAsiaTheme="minorHAnsi" w:cs="Arial"/>
          <w:color w:val="808080" w:themeColor="background1" w:themeShade="80"/>
          <w:szCs w:val="20"/>
        </w:rPr>
      </w:pPr>
      <w:r w:rsidRPr="005E4BEA">
        <w:rPr>
          <w:rFonts w:eastAsiaTheme="minorHAnsi" w:cs="Arial"/>
          <w:color w:val="808080" w:themeColor="background1" w:themeShade="80"/>
          <w:szCs w:val="20"/>
        </w:rPr>
        <w:t> </w:t>
      </w:r>
    </w:p>
    <w:p w14:paraId="081543CC" w14:textId="77777777" w:rsidR="00FE461F" w:rsidRPr="005E4BEA" w:rsidRDefault="00FE461F" w:rsidP="00FE461F">
      <w:pPr>
        <w:shd w:val="clear" w:color="auto" w:fill="FFFFFF"/>
        <w:spacing w:line="240" w:lineRule="auto"/>
        <w:jc w:val="both"/>
        <w:rPr>
          <w:rFonts w:eastAsiaTheme="minorHAnsi" w:cs="Arial"/>
          <w:i/>
          <w:iCs/>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4BEA">
        <w:rPr>
          <w:rFonts w:eastAsiaTheme="minorHAnsi" w:cs="Arial"/>
          <w:i/>
          <w:iCs/>
          <w:szCs w:val="2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p>
    <w:p w14:paraId="32D694CB" w14:textId="77777777" w:rsidR="00FE461F" w:rsidRPr="005E4BEA" w:rsidRDefault="00FE461F" w:rsidP="00FE461F">
      <w:pPr>
        <w:shd w:val="clear" w:color="auto" w:fill="FFFFFF"/>
        <w:spacing w:line="240" w:lineRule="auto"/>
        <w:ind w:left="720" w:hanging="360"/>
        <w:jc w:val="both"/>
        <w:rPr>
          <w:rFonts w:eastAsiaTheme="minorHAnsi" w:cs="Arial"/>
          <w:szCs w:val="20"/>
        </w:rPr>
      </w:pPr>
      <w:r w:rsidRPr="005E4BEA">
        <w:rPr>
          <w:rFonts w:eastAsiaTheme="minorHAnsi" w:cs="Arial"/>
          <w:szCs w:val="20"/>
        </w:rPr>
        <w:lastRenderedPageBreak/>
        <w:t xml:space="preserve">  Spremeni se vrednotenje </w:t>
      </w:r>
      <w:proofErr w:type="spellStart"/>
      <w:r w:rsidRPr="005E4BEA">
        <w:rPr>
          <w:rFonts w:eastAsiaTheme="minorHAnsi" w:cs="Arial"/>
          <w:szCs w:val="20"/>
        </w:rPr>
        <w:t>glavarinskih</w:t>
      </w:r>
      <w:proofErr w:type="spellEnd"/>
      <w:r w:rsidRPr="005E4BEA">
        <w:rPr>
          <w:rFonts w:eastAsiaTheme="minorHAnsi" w:cs="Arial"/>
          <w:szCs w:val="20"/>
        </w:rPr>
        <w:t xml:space="preserve"> količnikov tako, da se prizna višji količnik za ženske v starostni skupini 13 – 19, 40-64 let ter po 65. letu in količnik nosečnic.</w:t>
      </w:r>
    </w:p>
    <w:tbl>
      <w:tblPr>
        <w:tblW w:w="0" w:type="auto"/>
        <w:tblInd w:w="720" w:type="dxa"/>
        <w:shd w:val="clear" w:color="auto" w:fill="FFFFFF"/>
        <w:tblCellMar>
          <w:left w:w="0" w:type="dxa"/>
          <w:right w:w="0" w:type="dxa"/>
        </w:tblCellMar>
        <w:tblLook w:val="04A0" w:firstRow="1" w:lastRow="0" w:firstColumn="1" w:lastColumn="0" w:noHBand="0" w:noVBand="1"/>
      </w:tblPr>
      <w:tblGrid>
        <w:gridCol w:w="2604"/>
        <w:gridCol w:w="2585"/>
        <w:gridCol w:w="2569"/>
      </w:tblGrid>
      <w:tr w:rsidR="00FE461F" w:rsidRPr="005E4BEA" w14:paraId="36F5E0A8" w14:textId="77777777" w:rsidTr="0016774B">
        <w:tc>
          <w:tcPr>
            <w:tcW w:w="30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17059D"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Starost / nosečnost</w:t>
            </w:r>
          </w:p>
        </w:tc>
        <w:tc>
          <w:tcPr>
            <w:tcW w:w="30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3F3805"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Obstoječi količnik</w:t>
            </w:r>
          </w:p>
        </w:tc>
        <w:tc>
          <w:tcPr>
            <w:tcW w:w="30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F54E584"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Predlog novega količnika</w:t>
            </w:r>
          </w:p>
        </w:tc>
      </w:tr>
      <w:tr w:rsidR="00FE461F" w:rsidRPr="005E4BEA" w14:paraId="77F0B6B0" w14:textId="77777777" w:rsidTr="0016774B">
        <w:tc>
          <w:tcPr>
            <w:tcW w:w="30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B84F7F"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13-19 let</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CE7308"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0,20</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1FE714"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0,57</w:t>
            </w:r>
          </w:p>
        </w:tc>
      </w:tr>
      <w:tr w:rsidR="00FE461F" w:rsidRPr="005E4BEA" w14:paraId="4F7B18BB" w14:textId="77777777" w:rsidTr="0016774B">
        <w:tc>
          <w:tcPr>
            <w:tcW w:w="30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9D88A1"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20-39 let</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8F6AB7"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0,55</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FDF3B4"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0,55</w:t>
            </w:r>
          </w:p>
        </w:tc>
      </w:tr>
      <w:tr w:rsidR="00FE461F" w:rsidRPr="005E4BEA" w14:paraId="73B1A27C" w14:textId="77777777" w:rsidTr="0016774B">
        <w:tc>
          <w:tcPr>
            <w:tcW w:w="30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709DB1"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40-64 let</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5E6E63"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0,26</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BD92B3"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0,40</w:t>
            </w:r>
          </w:p>
        </w:tc>
      </w:tr>
      <w:tr w:rsidR="00FE461F" w:rsidRPr="005E4BEA" w14:paraId="0165F6E6" w14:textId="77777777" w:rsidTr="0016774B">
        <w:tc>
          <w:tcPr>
            <w:tcW w:w="30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B35780" w14:textId="77777777" w:rsidR="00FE461F" w:rsidRPr="005E4BEA" w:rsidRDefault="00FE461F" w:rsidP="00FE461F">
            <w:pPr>
              <w:spacing w:before="100" w:beforeAutospacing="1" w:after="100" w:afterAutospacing="1" w:line="240" w:lineRule="auto"/>
              <w:jc w:val="both"/>
              <w:rPr>
                <w:rFonts w:eastAsiaTheme="minorHAnsi" w:cs="Arial"/>
                <w:szCs w:val="20"/>
              </w:rPr>
            </w:pPr>
            <w:r w:rsidRPr="005E4BEA">
              <w:rPr>
                <w:rFonts w:eastAsiaTheme="minorHAnsi" w:cs="Arial"/>
                <w:szCs w:val="20"/>
              </w:rPr>
              <w:t>65 let in več</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308511"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0,17</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6DC688"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0,20</w:t>
            </w:r>
          </w:p>
        </w:tc>
      </w:tr>
      <w:tr w:rsidR="00FE461F" w:rsidRPr="005E4BEA" w14:paraId="2A36C862" w14:textId="77777777" w:rsidTr="0016774B">
        <w:tc>
          <w:tcPr>
            <w:tcW w:w="30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BD7E77" w14:textId="77777777" w:rsidR="00FE461F" w:rsidRPr="005E4BEA" w:rsidRDefault="00FE461F" w:rsidP="00FE461F">
            <w:pPr>
              <w:spacing w:before="100" w:beforeAutospacing="1" w:after="100" w:afterAutospacing="1" w:line="240" w:lineRule="auto"/>
              <w:rPr>
                <w:rFonts w:eastAsiaTheme="minorHAnsi" w:cs="Arial"/>
                <w:szCs w:val="20"/>
              </w:rPr>
            </w:pPr>
            <w:r w:rsidRPr="005E4BEA">
              <w:rPr>
                <w:rFonts w:eastAsiaTheme="minorHAnsi" w:cs="Arial"/>
                <w:szCs w:val="20"/>
              </w:rPr>
              <w:t>Dodatni količnik za nosečnice</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A97BD0"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2,20</w:t>
            </w:r>
          </w:p>
        </w:tc>
        <w:tc>
          <w:tcPr>
            <w:tcW w:w="3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FFC508" w14:textId="77777777" w:rsidR="00FE461F" w:rsidRPr="005E4BEA" w:rsidRDefault="00FE461F" w:rsidP="00FE461F">
            <w:pPr>
              <w:spacing w:before="100" w:beforeAutospacing="1" w:after="100" w:afterAutospacing="1" w:line="240" w:lineRule="auto"/>
              <w:jc w:val="center"/>
              <w:rPr>
                <w:rFonts w:eastAsiaTheme="minorHAnsi" w:cs="Arial"/>
                <w:szCs w:val="20"/>
              </w:rPr>
            </w:pPr>
            <w:r w:rsidRPr="005E4BEA">
              <w:rPr>
                <w:rFonts w:eastAsiaTheme="minorHAnsi" w:cs="Arial"/>
                <w:szCs w:val="20"/>
              </w:rPr>
              <w:t>9,40</w:t>
            </w:r>
          </w:p>
        </w:tc>
      </w:tr>
    </w:tbl>
    <w:p w14:paraId="12B2107A" w14:textId="77777777" w:rsidR="00FE461F" w:rsidRPr="005E4BEA" w:rsidRDefault="00FE461F" w:rsidP="00FE461F">
      <w:pPr>
        <w:shd w:val="clear" w:color="auto" w:fill="FFFFFF"/>
        <w:spacing w:line="240" w:lineRule="auto"/>
        <w:ind w:left="720" w:hanging="360"/>
        <w:jc w:val="both"/>
        <w:rPr>
          <w:rFonts w:eastAsiaTheme="minorHAnsi" w:cs="Arial"/>
          <w:szCs w:val="20"/>
        </w:rPr>
      </w:pPr>
    </w:p>
    <w:p w14:paraId="542EC6A0" w14:textId="77777777" w:rsidR="00FE461F" w:rsidRPr="005E4BEA" w:rsidRDefault="00FE461F" w:rsidP="00FE461F">
      <w:pPr>
        <w:shd w:val="clear" w:color="auto" w:fill="FFFFFF"/>
        <w:spacing w:line="240" w:lineRule="auto"/>
        <w:ind w:left="720" w:hanging="360"/>
        <w:jc w:val="both"/>
        <w:rPr>
          <w:rFonts w:eastAsiaTheme="minorHAnsi" w:cs="Arial"/>
          <w:color w:val="808080" w:themeColor="background1" w:themeShade="80"/>
          <w:szCs w:val="20"/>
        </w:rPr>
      </w:pPr>
      <w:r w:rsidRPr="005E4BEA">
        <w:rPr>
          <w:rFonts w:eastAsiaTheme="minorHAnsi" w:cs="Arial"/>
          <w:color w:val="808080" w:themeColor="background1" w:themeShade="80"/>
          <w:szCs w:val="20"/>
        </w:rPr>
        <w:t>Ustrezno se spremeni vrednotenje vseh ultrazvočnih storitev.</w:t>
      </w:r>
    </w:p>
    <w:p w14:paraId="2186CBB5" w14:textId="77777777" w:rsidR="00FE461F" w:rsidRPr="005E4BEA" w:rsidRDefault="00FE461F" w:rsidP="00FE461F">
      <w:pPr>
        <w:shd w:val="clear" w:color="auto" w:fill="FFFFFF"/>
        <w:spacing w:line="240" w:lineRule="auto"/>
        <w:ind w:left="720" w:hanging="360"/>
        <w:jc w:val="both"/>
        <w:rPr>
          <w:rFonts w:eastAsiaTheme="minorHAnsi" w:cs="Arial"/>
          <w:color w:val="808080" w:themeColor="background1" w:themeShade="80"/>
          <w:szCs w:val="20"/>
        </w:rPr>
      </w:pPr>
    </w:p>
    <w:p w14:paraId="4B41A197" w14:textId="77777777" w:rsidR="00FE461F" w:rsidRPr="005E4BEA" w:rsidRDefault="00FE461F" w:rsidP="00FE461F">
      <w:pPr>
        <w:shd w:val="clear" w:color="auto" w:fill="FFFFFF"/>
        <w:spacing w:after="60" w:line="240" w:lineRule="auto"/>
        <w:jc w:val="both"/>
        <w:rPr>
          <w:rFonts w:eastAsiaTheme="minorHAnsi" w:cs="Arial"/>
          <w:b/>
          <w:bCs/>
          <w:i/>
          <w:iCs/>
          <w:color w:val="808080" w:themeColor="background1" w:themeShade="80"/>
          <w:szCs w:val="20"/>
        </w:rPr>
      </w:pPr>
      <w:r w:rsidRPr="005E4BEA">
        <w:rPr>
          <w:rFonts w:eastAsiaTheme="minorHAnsi" w:cs="Arial"/>
          <w:b/>
          <w:bCs/>
          <w:i/>
          <w:iCs/>
          <w:color w:val="808080" w:themeColor="background1" w:themeShade="80"/>
          <w:szCs w:val="20"/>
          <w:u w:val="single"/>
        </w:rPr>
        <w:t>Obrazložitev</w:t>
      </w:r>
      <w:r w:rsidRPr="005E4BEA">
        <w:rPr>
          <w:rFonts w:eastAsiaTheme="minorHAnsi" w:cs="Arial"/>
          <w:b/>
          <w:bCs/>
          <w:i/>
          <w:iCs/>
          <w:color w:val="808080" w:themeColor="background1" w:themeShade="80"/>
          <w:szCs w:val="20"/>
        </w:rPr>
        <w:t>:</w:t>
      </w:r>
    </w:p>
    <w:p w14:paraId="2FE0F898" w14:textId="77777777" w:rsidR="00FE461F" w:rsidRPr="005E4BEA" w:rsidRDefault="00FE461F" w:rsidP="00FE461F">
      <w:pPr>
        <w:spacing w:line="240" w:lineRule="auto"/>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Nujen in takojšnji popravek vrednotenja </w:t>
      </w:r>
      <w:proofErr w:type="spellStart"/>
      <w:r w:rsidRPr="005E4BEA">
        <w:rPr>
          <w:rFonts w:eastAsiaTheme="minorHAnsi" w:cs="Arial"/>
          <w:i/>
          <w:iCs/>
          <w:color w:val="808080" w:themeColor="background1" w:themeShade="80"/>
          <w:szCs w:val="20"/>
        </w:rPr>
        <w:t>glavarinskih</w:t>
      </w:r>
      <w:proofErr w:type="spellEnd"/>
      <w:r w:rsidRPr="005E4BEA">
        <w:rPr>
          <w:rFonts w:eastAsiaTheme="minorHAnsi" w:cs="Arial"/>
          <w:i/>
          <w:iCs/>
          <w:color w:val="808080" w:themeColor="background1" w:themeShade="80"/>
          <w:szCs w:val="20"/>
        </w:rPr>
        <w:t xml:space="preserve"> količnikov po starostnih skupinah na primarni ravni  Potrebno bi torej bilo korigirati </w:t>
      </w:r>
      <w:proofErr w:type="spellStart"/>
      <w:r w:rsidRPr="005E4BEA">
        <w:rPr>
          <w:rFonts w:eastAsiaTheme="minorHAnsi" w:cs="Arial"/>
          <w:i/>
          <w:iCs/>
          <w:color w:val="808080" w:themeColor="background1" w:themeShade="80"/>
          <w:szCs w:val="20"/>
        </w:rPr>
        <w:t>glavarinski</w:t>
      </w:r>
      <w:proofErr w:type="spellEnd"/>
      <w:r w:rsidRPr="005E4BEA">
        <w:rPr>
          <w:rFonts w:eastAsiaTheme="minorHAnsi" w:cs="Arial"/>
          <w:i/>
          <w:iCs/>
          <w:color w:val="808080" w:themeColor="background1" w:themeShade="80"/>
          <w:szCs w:val="20"/>
        </w:rPr>
        <w:t xml:space="preserve"> količnik v starostnih skupinah do 19 let in 40-64 let. Izračuni kažejo, da bi se morala po podatkih za leto 2017 </w:t>
      </w:r>
      <w:proofErr w:type="spellStart"/>
      <w:r w:rsidRPr="005E4BEA">
        <w:rPr>
          <w:rFonts w:eastAsiaTheme="minorHAnsi" w:cs="Arial"/>
          <w:i/>
          <w:iCs/>
          <w:color w:val="808080" w:themeColor="background1" w:themeShade="80"/>
          <w:szCs w:val="20"/>
        </w:rPr>
        <w:t>glavarinska</w:t>
      </w:r>
      <w:proofErr w:type="spellEnd"/>
      <w:r w:rsidRPr="005E4BEA">
        <w:rPr>
          <w:rFonts w:eastAsiaTheme="minorHAnsi" w:cs="Arial"/>
          <w:i/>
          <w:iCs/>
          <w:color w:val="808080" w:themeColor="background1" w:themeShade="80"/>
          <w:szCs w:val="20"/>
        </w:rPr>
        <w:t xml:space="preserve"> količnika v starostni skupini do 19 let povečati iz 0,2 na 0,57 in v starostni skupini 40-64 let iz 0,26 na 0,40. Ker v letu 2017 še ni bilo preventivnih pregledov nad 74 leti v starostni skupini 64 +, je pričakovati porast obiskov v tej starostni skupini, zato predlagamo dvig količnika iz 0,17 na 0,2.</w:t>
      </w:r>
    </w:p>
    <w:p w14:paraId="64ADB7C8" w14:textId="77777777" w:rsidR="00FE461F" w:rsidRPr="005E4BEA" w:rsidRDefault="00FE461F" w:rsidP="00FE461F">
      <w:pPr>
        <w:suppressAutoHyphens/>
        <w:spacing w:before="120"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Še posebej pa je potrebno opozoriti, da je zelo podcenjen dodatni količnik za nosečnice, ki je trenutno 2,2 na mesec. Nosečnica opravi v času nosečnosti 10 preventivnih obiskov, do 3 </w:t>
      </w:r>
      <w:proofErr w:type="spellStart"/>
      <w:r w:rsidRPr="005E4BEA">
        <w:rPr>
          <w:rFonts w:eastAsiaTheme="minorHAnsi" w:cs="Arial"/>
          <w:i/>
          <w:iCs/>
          <w:color w:val="808080" w:themeColor="background1" w:themeShade="80"/>
          <w:szCs w:val="20"/>
        </w:rPr>
        <w:t>poterminske</w:t>
      </w:r>
      <w:proofErr w:type="spellEnd"/>
      <w:r w:rsidRPr="005E4BEA">
        <w:rPr>
          <w:rFonts w:eastAsiaTheme="minorHAnsi" w:cs="Arial"/>
          <w:i/>
          <w:iCs/>
          <w:color w:val="808080" w:themeColor="background1" w:themeShade="80"/>
          <w:szCs w:val="20"/>
        </w:rPr>
        <w:t xml:space="preserve"> obiske in poporodni pregled. Povprečno število pregledov na nosečnico je 11. Večina nosečnic sodi v starostni razred 20-39 let, ki ima </w:t>
      </w:r>
      <w:proofErr w:type="spellStart"/>
      <w:r w:rsidRPr="005E4BEA">
        <w:rPr>
          <w:rFonts w:eastAsiaTheme="minorHAnsi" w:cs="Arial"/>
          <w:i/>
          <w:iCs/>
          <w:color w:val="808080" w:themeColor="background1" w:themeShade="80"/>
          <w:szCs w:val="20"/>
        </w:rPr>
        <w:t>glavarinski</w:t>
      </w:r>
      <w:proofErr w:type="spellEnd"/>
      <w:r w:rsidRPr="005E4BEA">
        <w:rPr>
          <w:rFonts w:eastAsiaTheme="minorHAnsi" w:cs="Arial"/>
          <w:i/>
          <w:iCs/>
          <w:color w:val="808080" w:themeColor="background1" w:themeShade="80"/>
          <w:szCs w:val="20"/>
        </w:rPr>
        <w:t xml:space="preserve"> količnik 0,55. V letu 2017 je bilo v starostni skupini 20-39 let obiskov brez nosečnosti 185.182 porazdeljenih med 140,71 ginekoloških timov, kar predstavlja 1320,5 obiskov na tim. V istem letu je bilo na ginekologa opredeljenih povprečno 1510 žensk v tej starostni skupini. Iz tega lahko sklepamo, da je prišla v tej </w:t>
      </w:r>
      <w:proofErr w:type="spellStart"/>
      <w:r w:rsidRPr="005E4BEA">
        <w:rPr>
          <w:rFonts w:eastAsiaTheme="minorHAnsi" w:cs="Arial"/>
          <w:i/>
          <w:iCs/>
          <w:color w:val="808080" w:themeColor="background1" w:themeShade="80"/>
          <w:szCs w:val="20"/>
        </w:rPr>
        <w:t>straostni</w:t>
      </w:r>
      <w:proofErr w:type="spellEnd"/>
      <w:r w:rsidRPr="005E4BEA">
        <w:rPr>
          <w:rFonts w:eastAsiaTheme="minorHAnsi" w:cs="Arial"/>
          <w:i/>
          <w:iCs/>
          <w:color w:val="808080" w:themeColor="background1" w:themeShade="80"/>
          <w:szCs w:val="20"/>
        </w:rPr>
        <w:t xml:space="preserve"> skupini vsaka </w:t>
      </w:r>
      <w:proofErr w:type="spellStart"/>
      <w:r w:rsidRPr="005E4BEA">
        <w:rPr>
          <w:rFonts w:eastAsiaTheme="minorHAnsi" w:cs="Arial"/>
          <w:i/>
          <w:iCs/>
          <w:color w:val="808080" w:themeColor="background1" w:themeShade="80"/>
          <w:szCs w:val="20"/>
        </w:rPr>
        <w:t>ženksa</w:t>
      </w:r>
      <w:proofErr w:type="spellEnd"/>
      <w:r w:rsidRPr="005E4BEA">
        <w:rPr>
          <w:rFonts w:eastAsiaTheme="minorHAnsi" w:cs="Arial"/>
          <w:i/>
          <w:iCs/>
          <w:color w:val="808080" w:themeColor="background1" w:themeShade="80"/>
          <w:szCs w:val="20"/>
        </w:rPr>
        <w:t xml:space="preserve"> k ginekologu povprečno 1x letno. Ker pa nosečnice pridejo povprečno 11x, je potrebno količnik za nosečnice temu prilagoditi. Predlagamo naslednji izračun:</w:t>
      </w:r>
    </w:p>
    <w:p w14:paraId="77706851" w14:textId="77777777" w:rsidR="00FE461F" w:rsidRPr="005E4BEA" w:rsidRDefault="00FE461F" w:rsidP="00FE461F">
      <w:pPr>
        <w:suppressAutoHyphens/>
        <w:spacing w:before="120" w:line="276" w:lineRule="auto"/>
        <w:jc w:val="both"/>
        <w:rPr>
          <w:rFonts w:eastAsiaTheme="minorHAnsi" w:cs="Arial"/>
          <w:i/>
          <w:iCs/>
          <w:color w:val="808080" w:themeColor="background1" w:themeShade="80"/>
          <w:szCs w:val="20"/>
        </w:rPr>
      </w:pPr>
    </w:p>
    <w:p w14:paraId="2E5EE483" w14:textId="77777777" w:rsidR="00FE461F" w:rsidRPr="005E4BEA" w:rsidRDefault="00FE461F" w:rsidP="00FE461F">
      <w:pPr>
        <w:suppressAutoHyphens/>
        <w:spacing w:before="120" w:line="276" w:lineRule="auto"/>
        <w:jc w:val="both"/>
        <w:rPr>
          <w:rFonts w:eastAsiaTheme="minorHAnsi" w:cs="Arial"/>
          <w:i/>
          <w:iCs/>
          <w:color w:val="808080" w:themeColor="background1" w:themeShade="80"/>
          <w:szCs w:val="20"/>
        </w:rPr>
      </w:pPr>
      <w:proofErr w:type="spellStart"/>
      <w:r w:rsidRPr="005E4BEA">
        <w:rPr>
          <w:rFonts w:eastAsiaTheme="minorHAnsi" w:cs="Arial"/>
          <w:i/>
          <w:iCs/>
          <w:color w:val="808080" w:themeColor="background1" w:themeShade="80"/>
          <w:szCs w:val="20"/>
        </w:rPr>
        <w:t>Nenoseča</w:t>
      </w:r>
      <w:proofErr w:type="spellEnd"/>
      <w:r w:rsidRPr="005E4BEA">
        <w:rPr>
          <w:rFonts w:eastAsiaTheme="minorHAnsi" w:cs="Arial"/>
          <w:i/>
          <w:iCs/>
          <w:color w:val="808080" w:themeColor="background1" w:themeShade="80"/>
          <w:szCs w:val="20"/>
        </w:rPr>
        <w:t xml:space="preserve"> ženska v starostnem obdobju 20-39 let prinese letno 12x0,55 količnika = 6,6 količnika/leto.</w:t>
      </w:r>
    </w:p>
    <w:p w14:paraId="09713D73" w14:textId="77777777" w:rsidR="00FE461F" w:rsidRPr="005E4BEA" w:rsidRDefault="00FE461F" w:rsidP="00FE461F">
      <w:pPr>
        <w:suppressAutoHyphens/>
        <w:spacing w:before="120"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Nosečnice povprečno obravnavamo 7 mesecev, za kar sedaj prejme tim dodatno 7x2,2 količnika=15,4 količnika/nosečnost.</w:t>
      </w:r>
    </w:p>
    <w:p w14:paraId="584F1FAB" w14:textId="77777777" w:rsidR="00FE461F" w:rsidRPr="005E4BEA" w:rsidRDefault="00FE461F" w:rsidP="00FE461F">
      <w:pPr>
        <w:suppressAutoHyphens/>
        <w:spacing w:before="120"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 en obisk ženske v starostni skupini 20-39 torej zavarovalnica plača timu 6,6 količnika letno. Ker nosečnica opravi 10 obiskov več (skupaj 11), bi morala biti vrednotena z dodatnimi 66 količniki. Zato je potrebno količnik za nosečnice povišati iz sedanjega 2,2 na 9,4 (kar je 66 količnikov deljeno s 7 mesecev).</w:t>
      </w:r>
    </w:p>
    <w:p w14:paraId="6E7EDA7B" w14:textId="77777777" w:rsidR="00FE461F" w:rsidRPr="005E4BEA" w:rsidRDefault="00FE461F" w:rsidP="00FE461F">
      <w:pPr>
        <w:shd w:val="clear" w:color="auto" w:fill="FFFFFF"/>
        <w:spacing w:line="240" w:lineRule="auto"/>
        <w:rPr>
          <w:rFonts w:eastAsiaTheme="minorHAnsi" w:cs="Arial"/>
          <w:color w:val="808080" w:themeColor="background1" w:themeShade="80"/>
          <w:szCs w:val="20"/>
        </w:rPr>
      </w:pPr>
    </w:p>
    <w:p w14:paraId="13908816" w14:textId="77777777" w:rsidR="00FE461F" w:rsidRPr="005E4BEA" w:rsidRDefault="00FE461F" w:rsidP="00FE461F">
      <w:pPr>
        <w:shd w:val="clear" w:color="auto" w:fill="FFFFFF"/>
        <w:spacing w:after="60" w:line="240" w:lineRule="auto"/>
        <w:jc w:val="both"/>
        <w:rPr>
          <w:rFonts w:eastAsiaTheme="minorHAnsi" w:cs="Arial"/>
          <w:szCs w:val="20"/>
        </w:rPr>
      </w:pPr>
      <w:r w:rsidRPr="005E4BEA">
        <w:rPr>
          <w:rFonts w:eastAsiaTheme="minorHAnsi" w:cs="Arial"/>
          <w:szCs w:val="20"/>
        </w:rPr>
        <w:t> </w:t>
      </w:r>
    </w:p>
    <w:p w14:paraId="2AC180F2" w14:textId="77777777" w:rsidR="00FE461F" w:rsidRPr="005E4BEA" w:rsidRDefault="00FE461F" w:rsidP="00F356C9">
      <w:pPr>
        <w:numPr>
          <w:ilvl w:val="0"/>
          <w:numId w:val="30"/>
        </w:numPr>
        <w:shd w:val="clear" w:color="auto" w:fill="FFFFFF"/>
        <w:spacing w:after="160" w:line="240" w:lineRule="auto"/>
        <w:contextualSpacing/>
        <w:jc w:val="both"/>
        <w:rPr>
          <w:rFonts w:eastAsiaTheme="minorHAnsi" w:cs="Arial"/>
          <w:b/>
          <w:bCs/>
          <w:szCs w:val="20"/>
        </w:rPr>
      </w:pPr>
      <w:r w:rsidRPr="005E4BEA">
        <w:rPr>
          <w:rFonts w:eastAsiaTheme="minorHAnsi" w:cs="Arial"/>
          <w:b/>
          <w:bCs/>
          <w:szCs w:val="20"/>
        </w:rPr>
        <w:t>priznana sredstva za informatizacijo se povečajo za 50%</w:t>
      </w:r>
    </w:p>
    <w:p w14:paraId="5C7C8C4B" w14:textId="77777777" w:rsidR="00FE461F" w:rsidRPr="005E4BEA" w:rsidRDefault="00FE461F" w:rsidP="00FE461F">
      <w:pPr>
        <w:shd w:val="clear" w:color="auto" w:fill="FFFFFF"/>
        <w:spacing w:after="160" w:line="240" w:lineRule="auto"/>
        <w:ind w:left="720"/>
        <w:contextualSpacing/>
        <w:jc w:val="both"/>
        <w:rPr>
          <w:rFonts w:eastAsiaTheme="minorHAnsi" w:cs="Arial"/>
          <w:b/>
          <w:bCs/>
          <w:szCs w:val="20"/>
        </w:rPr>
      </w:pPr>
    </w:p>
    <w:p w14:paraId="311F04EB"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73.871 EUR</w:t>
      </w:r>
    </w:p>
    <w:p w14:paraId="0E0C85E3" w14:textId="77777777" w:rsidR="00FE461F" w:rsidRPr="005E4BEA" w:rsidRDefault="00FE461F" w:rsidP="00FE461F">
      <w:pPr>
        <w:shd w:val="clear" w:color="auto" w:fill="FFFFFF"/>
        <w:spacing w:before="100" w:beforeAutospacing="1" w:after="60" w:line="240" w:lineRule="auto"/>
        <w:ind w:left="785" w:hanging="360"/>
        <w:jc w:val="both"/>
        <w:rPr>
          <w:rFonts w:eastAsiaTheme="minorHAnsi" w:cs="Arial"/>
          <w:b/>
          <w:bCs/>
          <w:i/>
          <w:iCs/>
          <w:szCs w:val="20"/>
        </w:rPr>
      </w:pPr>
    </w:p>
    <w:p w14:paraId="11791921" w14:textId="77777777" w:rsidR="00FE461F" w:rsidRPr="005E4BEA" w:rsidRDefault="00FE461F" w:rsidP="00FE461F">
      <w:pPr>
        <w:shd w:val="clear" w:color="auto" w:fill="FFFFFF"/>
        <w:spacing w:after="60" w:line="240" w:lineRule="auto"/>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6DC5BB49"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Priznana  sredstva za informatizacijo ne zadoščajo izkazanim potrebam. V preteklih letih so bili uvedli številni projekti (on-line poročanje za ZZZS, v sklopu </w:t>
      </w:r>
      <w:proofErr w:type="spellStart"/>
      <w:r w:rsidRPr="005E4BEA">
        <w:rPr>
          <w:rFonts w:eastAsiaTheme="minorHAnsi" w:cs="Arial"/>
          <w:i/>
          <w:iCs/>
          <w:color w:val="808080" w:themeColor="background1" w:themeShade="80"/>
          <w:szCs w:val="20"/>
        </w:rPr>
        <w:t>eZdravja</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eRecept</w:t>
      </w:r>
      <w:proofErr w:type="spellEnd"/>
      <w:r w:rsidRPr="005E4BEA">
        <w:rPr>
          <w:rFonts w:eastAsiaTheme="minorHAnsi" w:cs="Arial"/>
          <w:i/>
          <w:iCs/>
          <w:color w:val="808080" w:themeColor="background1" w:themeShade="80"/>
          <w:szCs w:val="20"/>
        </w:rPr>
        <w:t xml:space="preserve">, </w:t>
      </w:r>
      <w:proofErr w:type="spellStart"/>
      <w:r w:rsidRPr="005E4BEA">
        <w:rPr>
          <w:rFonts w:eastAsiaTheme="minorHAnsi" w:cs="Arial"/>
          <w:i/>
          <w:iCs/>
          <w:color w:val="808080" w:themeColor="background1" w:themeShade="80"/>
          <w:szCs w:val="20"/>
        </w:rPr>
        <w:t>eNapotnica</w:t>
      </w:r>
      <w:proofErr w:type="spellEnd"/>
      <w:r w:rsidRPr="005E4BEA">
        <w:rPr>
          <w:rFonts w:eastAsiaTheme="minorHAnsi" w:cs="Arial"/>
          <w:i/>
          <w:iCs/>
          <w:color w:val="808080" w:themeColor="background1" w:themeShade="80"/>
          <w:szCs w:val="20"/>
        </w:rPr>
        <w:t>…), ki so izvajalcem zdravstvene dejavnosti povzročili povečanje stroškov za informatizacijo (dvig cen vzdrževalnih pogodb za zdravstvene informacijske sisteme, nabava ustreznejše in zmogljivejše informacijske opreme (nakup zmogljivejših računalnikov, strežnikov, čitalnikov…). </w:t>
      </w:r>
    </w:p>
    <w:p w14:paraId="55AED77B" w14:textId="77777777" w:rsidR="00FE461F" w:rsidRPr="005E4BEA" w:rsidRDefault="00FE461F" w:rsidP="00FE461F">
      <w:pPr>
        <w:shd w:val="clear" w:color="auto" w:fill="FFFFFF"/>
        <w:spacing w:after="60" w:line="240" w:lineRule="auto"/>
        <w:jc w:val="both"/>
        <w:rPr>
          <w:rFonts w:eastAsiaTheme="minorHAnsi" w:cs="Arial"/>
          <w:szCs w:val="20"/>
        </w:rPr>
      </w:pPr>
      <w:r w:rsidRPr="005E4BEA">
        <w:rPr>
          <w:rFonts w:eastAsiaTheme="minorHAnsi" w:cs="Arial"/>
          <w:szCs w:val="20"/>
        </w:rPr>
        <w:t> </w:t>
      </w:r>
    </w:p>
    <w:p w14:paraId="2F8D5C2E" w14:textId="77777777" w:rsidR="00FE461F" w:rsidRPr="005E4BEA" w:rsidRDefault="00FE461F" w:rsidP="00FE461F">
      <w:pPr>
        <w:shd w:val="clear" w:color="auto" w:fill="FFFFFF"/>
        <w:spacing w:after="60" w:line="240" w:lineRule="auto"/>
        <w:ind w:left="785" w:hanging="360"/>
        <w:jc w:val="both"/>
        <w:rPr>
          <w:rFonts w:eastAsiaTheme="minorHAnsi" w:cs="Arial"/>
          <w:b/>
          <w:bCs/>
          <w:szCs w:val="20"/>
        </w:rPr>
      </w:pPr>
      <w:r w:rsidRPr="005E4BEA">
        <w:rPr>
          <w:rFonts w:eastAsiaTheme="minorHAnsi" w:cs="Arial"/>
          <w:b/>
          <w:bCs/>
          <w:szCs w:val="20"/>
        </w:rPr>
        <w:t>-  priznana sredstva za amortizacijo se povečajo na 30000 EUR na tim</w:t>
      </w:r>
    </w:p>
    <w:p w14:paraId="5D162A06" w14:textId="77777777" w:rsidR="00FE461F" w:rsidRPr="005E4BEA" w:rsidRDefault="00FE461F" w:rsidP="00FE461F">
      <w:pPr>
        <w:shd w:val="clear" w:color="auto" w:fill="FFFFFF"/>
        <w:spacing w:after="60" w:line="240" w:lineRule="auto"/>
        <w:jc w:val="both"/>
        <w:rPr>
          <w:rFonts w:eastAsiaTheme="minorHAnsi" w:cs="Arial"/>
          <w:b/>
          <w:bCs/>
          <w:szCs w:val="20"/>
        </w:rPr>
      </w:pPr>
    </w:p>
    <w:p w14:paraId="365715CD"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3,6 mio EUR</w:t>
      </w:r>
    </w:p>
    <w:p w14:paraId="45EC2959" w14:textId="77777777" w:rsidR="00FE461F" w:rsidRPr="005E4BEA" w:rsidRDefault="00FE461F" w:rsidP="00FE461F">
      <w:pPr>
        <w:shd w:val="clear" w:color="auto" w:fill="FFFFFF"/>
        <w:spacing w:after="60" w:line="240" w:lineRule="auto"/>
        <w:jc w:val="both"/>
        <w:rPr>
          <w:rFonts w:eastAsiaTheme="minorHAnsi" w:cs="Arial"/>
          <w:b/>
          <w:bCs/>
          <w:color w:val="808080" w:themeColor="background1" w:themeShade="80"/>
          <w:szCs w:val="20"/>
        </w:rPr>
      </w:pPr>
    </w:p>
    <w:p w14:paraId="0FFB06F0" w14:textId="77777777" w:rsidR="00FE461F" w:rsidRPr="005E4BEA" w:rsidRDefault="00FE461F" w:rsidP="00FE461F">
      <w:pPr>
        <w:shd w:val="clear" w:color="auto" w:fill="FFFFFF"/>
        <w:spacing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2C45E33B" w14:textId="77777777" w:rsidR="00FE461F" w:rsidRPr="005E4BEA" w:rsidRDefault="00FE461F" w:rsidP="00FE461F">
      <w:pPr>
        <w:spacing w:line="240" w:lineRule="auto"/>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Priznana sredstva za amortizacijo ne zadoščajo za redno obnavljanje aparatur. Glede na ocene vrednosti aparatov v gin. ambulanti je predlagana vrednost </w:t>
      </w:r>
      <w:proofErr w:type="spellStart"/>
      <w:r w:rsidRPr="005E4BEA">
        <w:rPr>
          <w:rFonts w:eastAsiaTheme="minorHAnsi" w:cs="Arial"/>
          <w:i/>
          <w:iCs/>
          <w:color w:val="808080" w:themeColor="background1" w:themeShade="80"/>
          <w:szCs w:val="20"/>
        </w:rPr>
        <w:t>amortizaciije</w:t>
      </w:r>
      <w:proofErr w:type="spellEnd"/>
      <w:r w:rsidRPr="005E4BEA">
        <w:rPr>
          <w:rFonts w:eastAsiaTheme="minorHAnsi" w:cs="Arial"/>
          <w:i/>
          <w:iCs/>
          <w:color w:val="808080" w:themeColor="background1" w:themeShade="80"/>
          <w:szCs w:val="20"/>
        </w:rPr>
        <w:t xml:space="preserve"> precej večja kot 100% - okvirna ocean 30.000 EUR letno na </w:t>
      </w:r>
      <w:proofErr w:type="spellStart"/>
      <w:r w:rsidRPr="005E4BEA">
        <w:rPr>
          <w:rFonts w:eastAsiaTheme="minorHAnsi" w:cs="Arial"/>
          <w:i/>
          <w:iCs/>
          <w:color w:val="808080" w:themeColor="background1" w:themeShade="80"/>
          <w:szCs w:val="20"/>
        </w:rPr>
        <w:t>tiim</w:t>
      </w:r>
      <w:proofErr w:type="spellEnd"/>
    </w:p>
    <w:p w14:paraId="102B1133" w14:textId="77777777"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8 mio EUR</w:t>
      </w:r>
    </w:p>
    <w:p w14:paraId="5F3F7EEF" w14:textId="77777777" w:rsidR="00FE461F" w:rsidRPr="005E4BEA" w:rsidRDefault="00FE461F" w:rsidP="00FE461F">
      <w:pPr>
        <w:spacing w:line="240" w:lineRule="auto"/>
        <w:rPr>
          <w:rFonts w:cs="Arial"/>
          <w:bCs/>
          <w:szCs w:val="20"/>
          <w:lang w:eastAsia="sl-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F57383" w14:textId="77777777" w:rsidR="00FE461F" w:rsidRPr="005E4BEA" w:rsidRDefault="00FE461F" w:rsidP="00FE461F">
      <w:pPr>
        <w:spacing w:line="240" w:lineRule="auto"/>
        <w:rPr>
          <w:rFonts w:eastAsiaTheme="minorHAnsi" w:cs="Arial"/>
          <w:b/>
          <w:bCs/>
          <w:szCs w:val="20"/>
        </w:rPr>
      </w:pPr>
      <w:r w:rsidRPr="005E4BEA">
        <w:rPr>
          <w:rFonts w:eastAsiaTheme="minorHAnsi" w:cs="Arial"/>
          <w:b/>
          <w:bCs/>
          <w:szCs w:val="20"/>
        </w:rPr>
        <w:t>Dogovoru je potrebno dodati tudi možnost odpiranja novih programov, v kolikor zavod oz. občina najde izvajalca spec. ginekologije in porodništva.</w:t>
      </w:r>
    </w:p>
    <w:p w14:paraId="605D3683" w14:textId="77777777" w:rsidR="00FE461F" w:rsidRPr="005E4BEA" w:rsidRDefault="00FE461F" w:rsidP="00FE461F">
      <w:pPr>
        <w:spacing w:line="240" w:lineRule="auto"/>
        <w:rPr>
          <w:rFonts w:eastAsiaTheme="minorHAnsi" w:cs="Arial"/>
          <w:b/>
          <w:bCs/>
          <w:i/>
          <w:iCs/>
          <w:color w:val="808080" w:themeColor="background1" w:themeShade="80"/>
          <w:szCs w:val="20"/>
        </w:rPr>
      </w:pPr>
    </w:p>
    <w:p w14:paraId="73013C31" w14:textId="77777777" w:rsidR="00FE461F" w:rsidRPr="005E4BEA" w:rsidRDefault="00FE461F" w:rsidP="00FE461F">
      <w:pPr>
        <w:shd w:val="clear" w:color="auto" w:fill="FFFFFF"/>
        <w:spacing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Obrazložitev:</w:t>
      </w:r>
    </w:p>
    <w:p w14:paraId="116F26A1" w14:textId="77777777" w:rsidR="00FE461F" w:rsidRPr="005E4BEA" w:rsidRDefault="00FE461F" w:rsidP="00FE461F">
      <w:pPr>
        <w:spacing w:line="240" w:lineRule="auto"/>
        <w:rPr>
          <w:rFonts w:eastAsiaTheme="minorHAnsi" w:cs="Arial"/>
          <w:b/>
          <w:bCs/>
          <w:i/>
          <w:iCs/>
          <w:color w:val="808080" w:themeColor="background1" w:themeShade="80"/>
          <w:szCs w:val="20"/>
        </w:rPr>
      </w:pPr>
      <w:r w:rsidRPr="005E4BEA">
        <w:rPr>
          <w:rFonts w:eastAsiaTheme="minorHAnsi" w:cs="Arial"/>
          <w:i/>
          <w:iCs/>
          <w:color w:val="808080" w:themeColor="background1" w:themeShade="80"/>
          <w:szCs w:val="20"/>
        </w:rPr>
        <w:t xml:space="preserve">V Sloveniji je bilo januarja 2021 </w:t>
      </w:r>
      <w:r w:rsidRPr="005E4BEA">
        <w:rPr>
          <w:rFonts w:eastAsiaTheme="minorHAnsi" w:cs="Arial"/>
          <w:b/>
          <w:bCs/>
          <w:i/>
          <w:iCs/>
          <w:color w:val="808080" w:themeColor="background1" w:themeShade="80"/>
          <w:szCs w:val="20"/>
        </w:rPr>
        <w:t>914.890</w:t>
      </w:r>
      <w:r w:rsidRPr="005E4BEA">
        <w:rPr>
          <w:rFonts w:eastAsiaTheme="minorHAnsi" w:cs="Arial"/>
          <w:i/>
          <w:iCs/>
          <w:color w:val="808080" w:themeColor="background1" w:themeShade="80"/>
          <w:szCs w:val="20"/>
        </w:rPr>
        <w:t xml:space="preserve"> žensk, starih 13 let in več. Od teh je pri ginekologih opredeljenih </w:t>
      </w:r>
      <w:r w:rsidRPr="005E4BEA">
        <w:rPr>
          <w:rFonts w:eastAsiaTheme="minorHAnsi" w:cs="Arial"/>
          <w:b/>
          <w:bCs/>
          <w:i/>
          <w:iCs/>
          <w:color w:val="808080" w:themeColor="background1" w:themeShade="80"/>
          <w:szCs w:val="20"/>
        </w:rPr>
        <w:t>713.393</w:t>
      </w:r>
      <w:r w:rsidRPr="005E4BEA">
        <w:rPr>
          <w:rFonts w:eastAsiaTheme="minorHAnsi" w:cs="Arial"/>
          <w:i/>
          <w:iCs/>
          <w:color w:val="808080" w:themeColor="background1" w:themeShade="80"/>
          <w:szCs w:val="20"/>
        </w:rPr>
        <w:t xml:space="preserve">, in sicer </w:t>
      </w:r>
      <w:r w:rsidRPr="005E4BEA">
        <w:rPr>
          <w:rFonts w:eastAsiaTheme="minorHAnsi" w:cs="Arial"/>
          <w:b/>
          <w:bCs/>
          <w:i/>
          <w:iCs/>
          <w:color w:val="808080" w:themeColor="background1" w:themeShade="80"/>
          <w:szCs w:val="20"/>
        </w:rPr>
        <w:t>690.930</w:t>
      </w:r>
      <w:r w:rsidRPr="005E4BEA">
        <w:rPr>
          <w:rFonts w:eastAsiaTheme="minorHAnsi" w:cs="Arial"/>
          <w:i/>
          <w:iCs/>
          <w:color w:val="808080" w:themeColor="background1" w:themeShade="80"/>
          <w:szCs w:val="20"/>
        </w:rPr>
        <w:t xml:space="preserve"> pri aktivnih in dodatnih </w:t>
      </w:r>
      <w:r w:rsidRPr="005E4BEA">
        <w:rPr>
          <w:rFonts w:eastAsiaTheme="minorHAnsi" w:cs="Arial"/>
          <w:b/>
          <w:bCs/>
          <w:i/>
          <w:iCs/>
          <w:color w:val="808080" w:themeColor="background1" w:themeShade="80"/>
          <w:szCs w:val="20"/>
        </w:rPr>
        <w:t>22.463</w:t>
      </w:r>
      <w:r w:rsidRPr="005E4BEA">
        <w:rPr>
          <w:rFonts w:eastAsiaTheme="minorHAnsi" w:cs="Arial"/>
          <w:i/>
          <w:iCs/>
          <w:color w:val="808080" w:themeColor="background1" w:themeShade="80"/>
          <w:szCs w:val="20"/>
        </w:rPr>
        <w:t xml:space="preserve"> pri ginekologih, ki so v zadnjih dveh letih prenehali opravljati to dejavnost. Vseh opredeljenih žensk na tim je bila v RS v povprečju 4.603 žensk na tim. Za doseganje sprejetega normativa RSK za ginekologijo in porodništvo 4.000 opredeljenih žensk na ginekologa bi danes potrebovali 178,3 ginekološkega tima, kar pomeni 28,2 novih timov. Če bi želeli zagotoviti zadostno število timov za vse že opredeljene in dodatno še vse v starostni skupini 20 – 64 let, ki trenutno še niso opredeljene, vendar jih aktivno vabimo v program ZORA, bi potrebovali skupno 200,1 timov, kar bi pomenilo </w:t>
      </w:r>
      <w:r w:rsidRPr="005E4BEA">
        <w:rPr>
          <w:rFonts w:eastAsiaTheme="minorHAnsi" w:cs="Arial"/>
          <w:b/>
          <w:bCs/>
          <w:i/>
          <w:iCs/>
          <w:color w:val="808080" w:themeColor="background1" w:themeShade="80"/>
          <w:szCs w:val="20"/>
        </w:rPr>
        <w:t>50 novih timov.</w:t>
      </w:r>
    </w:p>
    <w:p w14:paraId="7029A7A8" w14:textId="77777777" w:rsidR="00FE461F" w:rsidRPr="005E4BEA" w:rsidRDefault="00FE461F" w:rsidP="00FE461F">
      <w:pPr>
        <w:spacing w:line="240" w:lineRule="auto"/>
        <w:rPr>
          <w:rFonts w:eastAsiaTheme="minorHAnsi" w:cs="Arial"/>
          <w:b/>
          <w:bCs/>
          <w:i/>
          <w:iCs/>
          <w:color w:val="808080" w:themeColor="background1" w:themeShade="80"/>
          <w:szCs w:val="20"/>
        </w:rPr>
      </w:pPr>
    </w:p>
    <w:p w14:paraId="0911C894" w14:textId="22D0968F" w:rsidR="00FE461F" w:rsidRPr="005E4BEA" w:rsidRDefault="00FE461F" w:rsidP="00FE461F">
      <w:pPr>
        <w:shd w:val="clear" w:color="auto" w:fill="FFFFFF"/>
        <w:spacing w:after="60"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8 mio EUR</w:t>
      </w:r>
    </w:p>
    <w:p w14:paraId="21DF6172" w14:textId="77777777" w:rsidR="00DC6855" w:rsidRPr="005E4BEA" w:rsidRDefault="00DC6855" w:rsidP="00DC685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 in je pod spornim vprašanjem št. 123 </w:t>
      </w:r>
      <w:proofErr w:type="spellStart"/>
      <w:r w:rsidRPr="005E4BEA">
        <w:rPr>
          <w:rFonts w:eastAsia="Arial Narrow" w:cs="Arial"/>
          <w:szCs w:val="20"/>
        </w:rPr>
        <w:t>predlago</w:t>
      </w:r>
      <w:proofErr w:type="spellEnd"/>
      <w:r w:rsidRPr="005E4BEA">
        <w:rPr>
          <w:rFonts w:eastAsia="Arial Narrow" w:cs="Arial"/>
          <w:szCs w:val="20"/>
        </w:rPr>
        <w:t xml:space="preserve"> svoj predlog na področju dispanzerje za ženske.</w:t>
      </w:r>
    </w:p>
    <w:p w14:paraId="047A5296" w14:textId="72D30FB7" w:rsidR="003758BB" w:rsidRPr="005E4BEA" w:rsidRDefault="00A31D9C" w:rsidP="003758BB">
      <w:pPr>
        <w:spacing w:line="0" w:lineRule="atLeast"/>
        <w:jc w:val="both"/>
        <w:rPr>
          <w:rFonts w:eastAsia="Arial Narrow" w:cs="Arial"/>
          <w:szCs w:val="20"/>
          <w:lang w:eastAsia="sl-SI"/>
        </w:rPr>
      </w:pPr>
      <w:r w:rsidRPr="005E4BEA">
        <w:rPr>
          <w:rFonts w:eastAsia="Arial Narrow" w:cs="Arial"/>
          <w:szCs w:val="20"/>
          <w:lang w:eastAsia="sl-SI"/>
        </w:rPr>
        <w:t xml:space="preserve"> </w:t>
      </w:r>
    </w:p>
    <w:p w14:paraId="63BEF5F1" w14:textId="51F055DC" w:rsidR="003758BB" w:rsidRPr="005E4BEA" w:rsidRDefault="003758BB" w:rsidP="003758BB">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56" w:name="_Hlk102467877"/>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w:t>
      </w:r>
      <w:r w:rsidR="000F255D" w:rsidRPr="005E4BEA">
        <w:rPr>
          <w:rFonts w:eastAsia="Arial Narrow" w:cs="Arial"/>
          <w:szCs w:val="20"/>
        </w:rPr>
        <w:t xml:space="preserve">16. člen, </w:t>
      </w:r>
      <w:r w:rsidRPr="005E4BEA">
        <w:rPr>
          <w:rFonts w:eastAsia="Arial Narrow" w:cs="Arial"/>
          <w:szCs w:val="20"/>
        </w:rPr>
        <w:t>24. člen</w:t>
      </w:r>
      <w:r w:rsidR="000F255D" w:rsidRPr="005E4BEA">
        <w:rPr>
          <w:rFonts w:eastAsia="Arial Narrow" w:cs="Arial"/>
          <w:szCs w:val="20"/>
        </w:rPr>
        <w:t xml:space="preserve">, Priloga III/a in Priloga ZD ZAS </w:t>
      </w:r>
      <w:r w:rsidRPr="005E4BEA">
        <w:rPr>
          <w:rFonts w:eastAsia="Arial Narrow" w:cs="Arial"/>
          <w:szCs w:val="20"/>
        </w:rPr>
        <w:t xml:space="preserve"> Splošnega dogovora za pogodbeno leto 2022 ne spremeni</w:t>
      </w:r>
      <w:r w:rsidR="000F255D" w:rsidRPr="005E4BEA">
        <w:rPr>
          <w:rFonts w:eastAsia="Arial Narrow" w:cs="Arial"/>
          <w:szCs w:val="20"/>
        </w:rPr>
        <w:t>jo</w:t>
      </w:r>
      <w:bookmarkEnd w:id="56"/>
      <w:r w:rsidRPr="005E4BEA">
        <w:rPr>
          <w:rFonts w:eastAsia="Arial Narrow" w:cs="Arial"/>
          <w:szCs w:val="20"/>
        </w:rPr>
        <w:t>.</w:t>
      </w:r>
    </w:p>
    <w:p w14:paraId="0C1AB0AB" w14:textId="76F83821" w:rsidR="000F255D" w:rsidRPr="005E4BEA" w:rsidRDefault="000F255D" w:rsidP="003758BB">
      <w:pPr>
        <w:spacing w:line="0" w:lineRule="atLeast"/>
        <w:jc w:val="both"/>
        <w:rPr>
          <w:rFonts w:eastAsia="Arial Narrow" w:cs="Arial"/>
          <w:szCs w:val="20"/>
        </w:rPr>
      </w:pPr>
    </w:p>
    <w:p w14:paraId="2B8E4A0B" w14:textId="0CBB4BCF" w:rsidR="000F255D" w:rsidRPr="005E4BEA" w:rsidRDefault="000F255D" w:rsidP="003758BB">
      <w:pPr>
        <w:spacing w:line="0" w:lineRule="atLeast"/>
        <w:jc w:val="both"/>
        <w:rPr>
          <w:rFonts w:eastAsia="Arial Narrow" w:cs="Arial"/>
          <w:szCs w:val="20"/>
        </w:rPr>
      </w:pPr>
    </w:p>
    <w:p w14:paraId="33FBC00B" w14:textId="25081DAF" w:rsidR="000F255D" w:rsidRPr="005E4BEA" w:rsidRDefault="000F255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(59)</w:t>
      </w:r>
    </w:p>
    <w:p w14:paraId="5C03392A" w14:textId="77777777" w:rsidR="000F255D" w:rsidRPr="005E4BEA" w:rsidRDefault="000F255D" w:rsidP="000F255D">
      <w:pPr>
        <w:spacing w:line="240" w:lineRule="auto"/>
        <w:jc w:val="both"/>
        <w:rPr>
          <w:rFonts w:cs="Arial"/>
          <w:i/>
          <w:iCs/>
          <w:color w:val="808080" w:themeColor="background1" w:themeShade="80"/>
          <w:szCs w:val="20"/>
        </w:rPr>
      </w:pPr>
    </w:p>
    <w:p w14:paraId="02B4F1EE" w14:textId="1A42A42F" w:rsidR="000F255D" w:rsidRPr="005E4BEA" w:rsidRDefault="000F255D" w:rsidP="000F255D">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predlaga, da se v šestem odstavku 24. člena doda nova alinea, ki se glasi:</w:t>
      </w:r>
    </w:p>
    <w:p w14:paraId="043A43D9" w14:textId="77777777" w:rsidR="00FE461F" w:rsidRPr="005E4BEA" w:rsidRDefault="00FE461F" w:rsidP="00FE461F">
      <w:pPr>
        <w:spacing w:line="240" w:lineRule="auto"/>
        <w:jc w:val="both"/>
        <w:rPr>
          <w:rFonts w:eastAsiaTheme="minorHAnsi" w:cs="Arial"/>
          <w:b/>
          <w:bCs/>
          <w:i/>
          <w:iCs/>
          <w:szCs w:val="20"/>
        </w:rPr>
      </w:pPr>
    </w:p>
    <w:p w14:paraId="4A498BA3" w14:textId="77777777" w:rsidR="00FE461F" w:rsidRPr="005E4BEA" w:rsidRDefault="00FE461F" w:rsidP="00F356C9">
      <w:pPr>
        <w:numPr>
          <w:ilvl w:val="0"/>
          <w:numId w:val="32"/>
        </w:numPr>
        <w:spacing w:line="240" w:lineRule="auto"/>
        <w:jc w:val="both"/>
        <w:rPr>
          <w:rFonts w:eastAsiaTheme="minorHAnsi" w:cs="Arial"/>
          <w:szCs w:val="20"/>
          <w:u w:val="single"/>
        </w:rPr>
      </w:pPr>
      <w:r w:rsidRPr="005E4BEA">
        <w:rPr>
          <w:rFonts w:eastAsiaTheme="minorHAnsi" w:cs="Arial"/>
          <w:szCs w:val="20"/>
        </w:rPr>
        <w:t xml:space="preserve">dodatna sredstva za optimizacijo dostopnosti specialistične ambulantne obravnave in za </w:t>
      </w:r>
      <w:proofErr w:type="spellStart"/>
      <w:r w:rsidRPr="005E4BEA">
        <w:rPr>
          <w:rFonts w:eastAsiaTheme="minorHAnsi" w:cs="Arial"/>
          <w:szCs w:val="20"/>
        </w:rPr>
        <w:t>prospektivni</w:t>
      </w:r>
      <w:proofErr w:type="spellEnd"/>
      <w:r w:rsidRPr="005E4BEA">
        <w:rPr>
          <w:rFonts w:eastAsiaTheme="minorHAnsi" w:cs="Arial"/>
          <w:szCs w:val="20"/>
        </w:rPr>
        <w:t xml:space="preserve"> program</w:t>
      </w:r>
    </w:p>
    <w:p w14:paraId="027EC1B6" w14:textId="77777777" w:rsidR="00FE461F" w:rsidRPr="005E4BEA" w:rsidRDefault="00FE461F" w:rsidP="00FE461F">
      <w:pPr>
        <w:spacing w:line="240" w:lineRule="auto"/>
        <w:ind w:left="720"/>
        <w:jc w:val="both"/>
        <w:rPr>
          <w:rFonts w:eastAsiaTheme="minorHAnsi" w:cs="Arial"/>
          <w:szCs w:val="20"/>
          <w:u w:val="single"/>
        </w:rPr>
      </w:pPr>
    </w:p>
    <w:p w14:paraId="53DA2042" w14:textId="77777777" w:rsidR="00FE461F" w:rsidRPr="005E4BEA" w:rsidRDefault="00FE461F" w:rsidP="00FE461F">
      <w:pPr>
        <w:spacing w:before="180"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 xml:space="preserve">Obrazložitev: </w:t>
      </w:r>
    </w:p>
    <w:p w14:paraId="72146635"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3A1F51F"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SPECIALISTIČNA AMBULANTNA OBRAVNAVA</w:t>
      </w:r>
    </w:p>
    <w:p w14:paraId="47454F19"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Vse specialnosti redno šifrirajo in vnašajo</w:t>
      </w:r>
    </w:p>
    <w:p w14:paraId="48F84BB2"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proofErr w:type="spellStart"/>
      <w:r w:rsidRPr="005E4BEA">
        <w:rPr>
          <w:rFonts w:eastAsiaTheme="minorHAnsi" w:cs="Arial"/>
          <w:i/>
          <w:iCs/>
          <w:color w:val="808080" w:themeColor="background1" w:themeShade="80"/>
          <w:szCs w:val="20"/>
        </w:rPr>
        <w:t>napotne</w:t>
      </w:r>
      <w:proofErr w:type="spellEnd"/>
      <w:r w:rsidRPr="005E4BEA">
        <w:rPr>
          <w:rFonts w:eastAsiaTheme="minorHAnsi" w:cs="Arial"/>
          <w:i/>
          <w:iCs/>
          <w:color w:val="808080" w:themeColor="background1" w:themeShade="80"/>
          <w:szCs w:val="20"/>
        </w:rPr>
        <w:t xml:space="preserve"> diagnoze, delovne in končne diagnoze pri prvem pregledu</w:t>
      </w:r>
    </w:p>
    <w:p w14:paraId="787CCECB"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diagnozo kontrolnega pregleda</w:t>
      </w:r>
    </w:p>
    <w:p w14:paraId="6716277F"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Vse specialnosti s seznami čakajočih so plačane po realizaciji. Določi se MPP</w:t>
      </w:r>
    </w:p>
    <w:p w14:paraId="57F626C0"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Vse stomatološke specialnosti s seznami čakajočih so plačane po realizaciji. Določi se MPP.</w:t>
      </w:r>
    </w:p>
    <w:p w14:paraId="19397802"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Izračun MPP: (število vseh realiziranih PP predhodnega leta + število vseh nedopustno čakajočih)/število teamov </w:t>
      </w:r>
    </w:p>
    <w:p w14:paraId="4CBD998D"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Pogoj plačila realizacije:</w:t>
      </w:r>
    </w:p>
    <w:p w14:paraId="20B8923D"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Zagotovi a</w:t>
      </w:r>
    </w:p>
    <w:p w14:paraId="63CEE3BB"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DOSEŽE MPP ali</w:t>
      </w:r>
    </w:p>
    <w:p w14:paraId="13037845"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NE DOSEŽE MPP in NIMA NEDOPUSTNO ČAKAJOČIH</w:t>
      </w:r>
    </w:p>
    <w:p w14:paraId="0729A1CC"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 xml:space="preserve">V kolikor ne doseže nobenega izmed gornjih dveh pogojev dobi 20% </w:t>
      </w:r>
    </w:p>
    <w:p w14:paraId="6330C176"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Vse specialnosti, kjer se ne vodijo seznami čakajočih se plača do 20% preseganje </w:t>
      </w:r>
    </w:p>
    <w:p w14:paraId="607AA81A"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Vse stomatološke specialnosti, kjer se ne vodijo seznami čakajočih se plača do 20% preseganja.</w:t>
      </w:r>
    </w:p>
    <w:p w14:paraId="5C8FDE49" w14:textId="77777777" w:rsidR="00FE461F" w:rsidRPr="005E4BEA" w:rsidRDefault="00FE461F" w:rsidP="00F356C9">
      <w:pPr>
        <w:numPr>
          <w:ilvl w:val="0"/>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Pogoj plačila 20% realizacije:</w:t>
      </w:r>
    </w:p>
    <w:p w14:paraId="164F857E"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Zagotovi a</w:t>
      </w:r>
    </w:p>
    <w:p w14:paraId="03C0E6A1"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Vzpostavi lastne seznam čakajočih pacientov</w:t>
      </w:r>
    </w:p>
    <w:p w14:paraId="1A5C5647" w14:textId="77777777" w:rsidR="00FE461F" w:rsidRPr="005E4BEA" w:rsidRDefault="00FE461F" w:rsidP="00F356C9">
      <w:pPr>
        <w:numPr>
          <w:ilvl w:val="1"/>
          <w:numId w:val="34"/>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 kolikor seznama ne vzpostavi, se mu plača le 10%</w:t>
      </w:r>
    </w:p>
    <w:p w14:paraId="6366A693" w14:textId="77777777" w:rsidR="00FE461F" w:rsidRPr="005E4BEA" w:rsidRDefault="00FE461F" w:rsidP="00FE461F">
      <w:pPr>
        <w:spacing w:line="276" w:lineRule="auto"/>
        <w:ind w:left="2160"/>
        <w:jc w:val="both"/>
        <w:rPr>
          <w:rFonts w:eastAsiaTheme="minorHAnsi" w:cs="Arial"/>
          <w:i/>
          <w:iCs/>
          <w:color w:val="808080" w:themeColor="background1" w:themeShade="80"/>
          <w:szCs w:val="20"/>
        </w:rPr>
      </w:pPr>
    </w:p>
    <w:p w14:paraId="74114BD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PROSPEKTIVNI PROGRAM</w:t>
      </w:r>
    </w:p>
    <w:p w14:paraId="56983DCB" w14:textId="77777777" w:rsidR="00FE461F" w:rsidRPr="005E4BEA" w:rsidRDefault="00FE461F" w:rsidP="00F356C9">
      <w:pPr>
        <w:numPr>
          <w:ilvl w:val="0"/>
          <w:numId w:val="33"/>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Obseg posamezne storitve v perspektivnem programu se načrtuje tako, da se realiziran obseg leta 2021 poveča za vse nedopustno čakajoče na nacionalni ravni </w:t>
      </w:r>
    </w:p>
    <w:p w14:paraId="29876CCA" w14:textId="77777777" w:rsidR="00FE461F" w:rsidRPr="005E4BEA" w:rsidRDefault="00FE461F" w:rsidP="00F356C9">
      <w:pPr>
        <w:numPr>
          <w:ilvl w:val="0"/>
          <w:numId w:val="33"/>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Določi se nacionalna rast (NKR) = (število nedopustno čakajočih 31. 12. 2021 /realizirano število storitev v letu 2021)*100</w:t>
      </w:r>
    </w:p>
    <w:p w14:paraId="4B654544" w14:textId="77777777" w:rsidR="00FE461F" w:rsidRPr="005E4BEA" w:rsidRDefault="00FE461F" w:rsidP="00F356C9">
      <w:pPr>
        <w:numPr>
          <w:ilvl w:val="0"/>
          <w:numId w:val="33"/>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Vsakemu pogodbenemu izvajalcu se poveča plan za 2022 za NR.</w:t>
      </w:r>
    </w:p>
    <w:p w14:paraId="071F3146" w14:textId="77777777" w:rsidR="00FE461F" w:rsidRPr="005E4BEA" w:rsidRDefault="00FE461F" w:rsidP="00F356C9">
      <w:pPr>
        <w:numPr>
          <w:ilvl w:val="0"/>
          <w:numId w:val="33"/>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ZZZS izvaja korekcijo programa vsake tri mesece ter prenaša program od izvajalcev, ki dosegajo manj kot 75% trimesečnega program k tistim, ki ga presegajo.</w:t>
      </w:r>
    </w:p>
    <w:p w14:paraId="52B20FAA" w14:textId="77777777" w:rsidR="00FE461F" w:rsidRPr="005E4BEA" w:rsidRDefault="00FE461F" w:rsidP="00F356C9">
      <w:pPr>
        <w:numPr>
          <w:ilvl w:val="0"/>
          <w:numId w:val="33"/>
        </w:numPr>
        <w:suppressAutoHyphens/>
        <w:autoSpaceDN w:val="0"/>
        <w:spacing w:line="276"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Uvede se obvezno spremljanje </w:t>
      </w:r>
      <w:proofErr w:type="spellStart"/>
      <w:r w:rsidRPr="005E4BEA">
        <w:rPr>
          <w:rFonts w:eastAsiaTheme="minorHAnsi" w:cs="Arial"/>
          <w:i/>
          <w:iCs/>
          <w:color w:val="808080" w:themeColor="background1" w:themeShade="80"/>
          <w:szCs w:val="20"/>
        </w:rPr>
        <w:t>PROMov</w:t>
      </w:r>
      <w:proofErr w:type="spellEnd"/>
      <w:r w:rsidRPr="005E4BEA">
        <w:rPr>
          <w:rFonts w:eastAsiaTheme="minorHAnsi" w:cs="Arial"/>
          <w:i/>
          <w:iCs/>
          <w:color w:val="808080" w:themeColor="background1" w:themeShade="80"/>
          <w:szCs w:val="20"/>
        </w:rPr>
        <w:t xml:space="preserve"> za tiste storitve, ki so bile vpeljani za Nacionalni razpis 2021.</w:t>
      </w:r>
    </w:p>
    <w:p w14:paraId="140FC04E" w14:textId="77777777" w:rsidR="00FE461F" w:rsidRPr="005E4BEA" w:rsidRDefault="00FE461F" w:rsidP="00FE461F">
      <w:pPr>
        <w:spacing w:line="240" w:lineRule="auto"/>
        <w:jc w:val="both"/>
        <w:rPr>
          <w:rFonts w:eastAsiaTheme="minorHAnsi" w:cs="Arial"/>
          <w:color w:val="808080" w:themeColor="background1" w:themeShade="80"/>
          <w:szCs w:val="20"/>
        </w:rPr>
      </w:pPr>
    </w:p>
    <w:p w14:paraId="3B51381E" w14:textId="77777777" w:rsidR="00FE461F" w:rsidRPr="005E4BEA" w:rsidRDefault="00FE461F" w:rsidP="00FE461F">
      <w:pPr>
        <w:spacing w:line="240" w:lineRule="auto"/>
        <w:jc w:val="both"/>
        <w:rPr>
          <w:rFonts w:eastAsiaTheme="minorHAnsi" w:cs="Arial"/>
          <w:color w:val="808080" w:themeColor="background1" w:themeShade="80"/>
          <w:szCs w:val="20"/>
        </w:rPr>
      </w:pPr>
    </w:p>
    <w:p w14:paraId="2FEE1A42" w14:textId="77777777" w:rsidR="003758BB" w:rsidRPr="005E4BEA" w:rsidRDefault="003758BB" w:rsidP="003758BB">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C722B8B" w14:textId="77777777" w:rsidR="003758BB" w:rsidRPr="005E4BEA" w:rsidRDefault="003758BB" w:rsidP="003758BB">
      <w:pPr>
        <w:spacing w:line="0" w:lineRule="atLeast"/>
        <w:jc w:val="both"/>
        <w:rPr>
          <w:rFonts w:eastAsia="Arial Narrow" w:cs="Arial"/>
          <w:szCs w:val="20"/>
          <w:lang w:eastAsia="sl-SI"/>
        </w:rPr>
      </w:pPr>
    </w:p>
    <w:p w14:paraId="22FD5DF9" w14:textId="09A155DA" w:rsidR="003758BB" w:rsidRPr="005E4BEA" w:rsidRDefault="003758BB" w:rsidP="003758BB">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0D673735" w14:textId="4BBDA9C5" w:rsidR="000F255D" w:rsidRPr="005E4BEA" w:rsidRDefault="000F255D" w:rsidP="003758BB">
      <w:pPr>
        <w:spacing w:line="0" w:lineRule="atLeast"/>
        <w:jc w:val="both"/>
        <w:rPr>
          <w:rFonts w:eastAsia="Arial Narrow" w:cs="Arial"/>
          <w:szCs w:val="20"/>
        </w:rPr>
      </w:pPr>
    </w:p>
    <w:p w14:paraId="4626C947" w14:textId="5904730C" w:rsidR="000F255D" w:rsidRPr="005E4BEA" w:rsidRDefault="000F255D" w:rsidP="003758BB">
      <w:pPr>
        <w:spacing w:line="0" w:lineRule="atLeast"/>
        <w:jc w:val="both"/>
        <w:rPr>
          <w:rFonts w:eastAsia="Arial Narrow" w:cs="Arial"/>
          <w:szCs w:val="20"/>
        </w:rPr>
      </w:pPr>
    </w:p>
    <w:p w14:paraId="1678AED0" w14:textId="7870E880" w:rsidR="000F255D" w:rsidRPr="005E4BEA" w:rsidRDefault="000F255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(60)</w:t>
      </w:r>
    </w:p>
    <w:p w14:paraId="2ED72E97" w14:textId="77777777" w:rsidR="000F255D" w:rsidRPr="005E4BEA" w:rsidRDefault="000F255D" w:rsidP="000F255D">
      <w:pPr>
        <w:spacing w:line="240" w:lineRule="auto"/>
        <w:jc w:val="both"/>
        <w:rPr>
          <w:rFonts w:cs="Arial"/>
          <w:i/>
          <w:iCs/>
          <w:color w:val="808080" w:themeColor="background1" w:themeShade="80"/>
          <w:szCs w:val="20"/>
        </w:rPr>
      </w:pPr>
    </w:p>
    <w:p w14:paraId="10232635" w14:textId="02523E69" w:rsidR="000F255D" w:rsidRPr="005E4BEA" w:rsidRDefault="000F255D" w:rsidP="000F255D">
      <w:pPr>
        <w:spacing w:line="240" w:lineRule="auto"/>
        <w:jc w:val="both"/>
        <w:rPr>
          <w:rFonts w:cs="Arial"/>
          <w:szCs w:val="20"/>
        </w:rPr>
      </w:pPr>
      <w:r w:rsidRPr="005E4BEA">
        <w:rPr>
          <w:rFonts w:cs="Arial"/>
          <w:b/>
          <w:bCs/>
          <w:szCs w:val="20"/>
        </w:rPr>
        <w:t xml:space="preserve">Zdravniška zbornica Slovenije </w:t>
      </w:r>
      <w:r w:rsidRPr="005E4BEA">
        <w:rPr>
          <w:rFonts w:cs="Arial"/>
          <w:szCs w:val="20"/>
        </w:rPr>
        <w:t>predlaga, da se v šestem odstavku 24. člena doda nova alinea, ki se glasi:</w:t>
      </w:r>
    </w:p>
    <w:p w14:paraId="1ABE6D6D" w14:textId="77777777" w:rsidR="000F255D" w:rsidRPr="005E4BEA" w:rsidRDefault="000F255D" w:rsidP="003758BB">
      <w:pPr>
        <w:spacing w:line="0" w:lineRule="atLeast"/>
        <w:jc w:val="both"/>
        <w:rPr>
          <w:rFonts w:eastAsia="Arial Narrow" w:cs="Arial"/>
          <w:szCs w:val="20"/>
        </w:rPr>
      </w:pPr>
    </w:p>
    <w:p w14:paraId="2967B037" w14:textId="77777777" w:rsidR="00FE461F" w:rsidRPr="005E4BEA" w:rsidRDefault="00FE461F" w:rsidP="00FE461F">
      <w:pPr>
        <w:spacing w:line="240" w:lineRule="auto"/>
        <w:jc w:val="both"/>
        <w:rPr>
          <w:rFonts w:eastAsiaTheme="minorHAnsi" w:cs="Arial"/>
          <w:b/>
          <w:bCs/>
          <w:i/>
          <w:iCs/>
          <w:szCs w:val="20"/>
        </w:rPr>
      </w:pPr>
    </w:p>
    <w:p w14:paraId="09DFF16B" w14:textId="77777777" w:rsidR="00FE461F" w:rsidRPr="005E4BEA" w:rsidRDefault="00FE461F" w:rsidP="00F356C9">
      <w:pPr>
        <w:numPr>
          <w:ilvl w:val="0"/>
          <w:numId w:val="32"/>
        </w:numPr>
        <w:spacing w:line="240" w:lineRule="auto"/>
        <w:jc w:val="both"/>
        <w:rPr>
          <w:rFonts w:eastAsiaTheme="minorHAnsi" w:cs="Arial"/>
          <w:szCs w:val="20"/>
          <w:u w:val="single"/>
        </w:rPr>
      </w:pPr>
      <w:r w:rsidRPr="005E4BEA">
        <w:rPr>
          <w:rFonts w:eastAsiaTheme="minorHAnsi" w:cs="Arial"/>
          <w:szCs w:val="20"/>
        </w:rPr>
        <w:t xml:space="preserve">dodatna sredstva za plačilo dodatnih programov zobozdravstva za odrasle ter zobozdravstva za mladino (dodatni programi zobozdravstva za mladino samo za OE Ljubljana in OE Maribor) v skupnem obsegu 100 timov in 10 timov </w:t>
      </w:r>
      <w:proofErr w:type="spellStart"/>
      <w:r w:rsidRPr="005E4BEA">
        <w:rPr>
          <w:rFonts w:eastAsiaTheme="minorHAnsi" w:cs="Arial"/>
          <w:szCs w:val="20"/>
        </w:rPr>
        <w:t>ortodontije</w:t>
      </w:r>
      <w:proofErr w:type="spellEnd"/>
    </w:p>
    <w:p w14:paraId="6F3D5BA0" w14:textId="77777777" w:rsidR="00FE461F" w:rsidRPr="005E4BEA" w:rsidRDefault="00FE461F" w:rsidP="00FE461F">
      <w:pPr>
        <w:spacing w:line="240" w:lineRule="auto"/>
        <w:ind w:left="720"/>
        <w:jc w:val="both"/>
        <w:rPr>
          <w:rFonts w:eastAsiaTheme="minorHAnsi" w:cs="Arial"/>
          <w:szCs w:val="20"/>
          <w:u w:val="single"/>
        </w:rPr>
      </w:pPr>
    </w:p>
    <w:p w14:paraId="1FF10D73" w14:textId="77777777" w:rsidR="00FE461F" w:rsidRPr="005E4BEA" w:rsidRDefault="00FE461F" w:rsidP="00FE461F">
      <w:pPr>
        <w:spacing w:before="180" w:after="60"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 xml:space="preserve">Obrazložitev: </w:t>
      </w:r>
    </w:p>
    <w:p w14:paraId="7D9DC63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 skrajšanje čakalnih dob na področju zobozdravstva bi potrebovali najmanj 100 dodatnih programov zobozdravstva za odrasle ter zobozdravstva za mladino (le za OE Ljubljana in OE Maribor) ter 10 timov </w:t>
      </w:r>
      <w:proofErr w:type="spellStart"/>
      <w:r w:rsidRPr="005E4BEA">
        <w:rPr>
          <w:rFonts w:eastAsiaTheme="minorHAnsi" w:cs="Arial"/>
          <w:i/>
          <w:iCs/>
          <w:color w:val="808080" w:themeColor="background1" w:themeShade="80"/>
          <w:szCs w:val="20"/>
        </w:rPr>
        <w:t>ortodontije</w:t>
      </w:r>
      <w:proofErr w:type="spellEnd"/>
      <w:r w:rsidRPr="005E4BEA">
        <w:rPr>
          <w:rFonts w:eastAsiaTheme="minorHAnsi" w:cs="Arial"/>
          <w:i/>
          <w:iCs/>
          <w:color w:val="808080" w:themeColor="background1" w:themeShade="80"/>
          <w:szCs w:val="20"/>
        </w:rPr>
        <w:t>. Širitev omenjenih programov je potrebna tudi zaradi uveljavljanja novih pravic pacientov, ki dodatno zmanjševala dostopnost pacientov do zobozdravstvenih storitev.</w:t>
      </w:r>
    </w:p>
    <w:p w14:paraId="28CA638E"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Za ureditev celotne mreže primarnega nivoja zobozdravstva in zagotovitev ustrezne dostopnosti do storitev in primerne obremenitve zobozdravnikov na primarnem nivoju bi v prihodnjih letih potrebovali dodatnih </w:t>
      </w:r>
      <w:r w:rsidRPr="005E4BEA">
        <w:rPr>
          <w:rFonts w:eastAsiaTheme="minorHAnsi" w:cs="Arial"/>
          <w:b/>
          <w:bCs/>
          <w:i/>
          <w:iCs/>
          <w:color w:val="808080" w:themeColor="background1" w:themeShade="80"/>
          <w:szCs w:val="20"/>
        </w:rPr>
        <w:t>367 programov</w:t>
      </w:r>
      <w:r w:rsidRPr="005E4BEA">
        <w:rPr>
          <w:rFonts w:eastAsiaTheme="minorHAnsi" w:cs="Arial"/>
          <w:i/>
          <w:iCs/>
          <w:color w:val="808080" w:themeColor="background1" w:themeShade="80"/>
          <w:szCs w:val="20"/>
        </w:rPr>
        <w:t>.</w:t>
      </w:r>
    </w:p>
    <w:p w14:paraId="775A1952" w14:textId="77777777" w:rsidR="00FE461F" w:rsidRPr="005E4BEA" w:rsidRDefault="00FE461F" w:rsidP="00FE461F">
      <w:pPr>
        <w:spacing w:line="240" w:lineRule="auto"/>
        <w:jc w:val="both"/>
        <w:rPr>
          <w:rFonts w:eastAsiaTheme="minorHAnsi" w:cs="Arial"/>
          <w:b/>
          <w:bCs/>
          <w:i/>
          <w:iCs/>
          <w:color w:val="808080" w:themeColor="background1" w:themeShade="80"/>
          <w:szCs w:val="20"/>
        </w:rPr>
      </w:pPr>
      <w:r w:rsidRPr="005E4BEA">
        <w:rPr>
          <w:rFonts w:eastAsiaTheme="minorHAnsi" w:cs="Arial"/>
          <w:i/>
          <w:iCs/>
          <w:color w:val="808080" w:themeColor="background1" w:themeShade="80"/>
          <w:szCs w:val="20"/>
        </w:rPr>
        <w:t xml:space="preserve">Za ureditev mreže sekundarnega nivoja zobozdravstva bi v prihodnjih 5-7 letih potrebovali dodatnih </w:t>
      </w:r>
      <w:r w:rsidRPr="005E4BEA">
        <w:rPr>
          <w:rFonts w:eastAsiaTheme="minorHAnsi" w:cs="Arial"/>
          <w:b/>
          <w:bCs/>
          <w:i/>
          <w:iCs/>
          <w:color w:val="808080" w:themeColor="background1" w:themeShade="80"/>
          <w:szCs w:val="20"/>
        </w:rPr>
        <w:t xml:space="preserve">40 programov </w:t>
      </w:r>
      <w:proofErr w:type="spellStart"/>
      <w:r w:rsidRPr="005E4BEA">
        <w:rPr>
          <w:rFonts w:eastAsiaTheme="minorHAnsi" w:cs="Arial"/>
          <w:b/>
          <w:bCs/>
          <w:i/>
          <w:iCs/>
          <w:color w:val="808080" w:themeColor="background1" w:themeShade="80"/>
          <w:szCs w:val="20"/>
        </w:rPr>
        <w:t>ortodontije</w:t>
      </w:r>
      <w:proofErr w:type="spellEnd"/>
      <w:r w:rsidRPr="005E4BEA">
        <w:rPr>
          <w:rFonts w:eastAsiaTheme="minorHAnsi" w:cs="Arial"/>
          <w:b/>
          <w:bCs/>
          <w:i/>
          <w:iCs/>
          <w:color w:val="808080" w:themeColor="background1" w:themeShade="80"/>
          <w:szCs w:val="20"/>
        </w:rPr>
        <w:t xml:space="preserve">, 15 programov </w:t>
      </w:r>
      <w:proofErr w:type="spellStart"/>
      <w:r w:rsidRPr="005E4BEA">
        <w:rPr>
          <w:rFonts w:eastAsiaTheme="minorHAnsi" w:cs="Arial"/>
          <w:b/>
          <w:bCs/>
          <w:i/>
          <w:iCs/>
          <w:color w:val="808080" w:themeColor="background1" w:themeShade="80"/>
          <w:szCs w:val="20"/>
        </w:rPr>
        <w:t>parodontologije</w:t>
      </w:r>
      <w:proofErr w:type="spellEnd"/>
      <w:r w:rsidRPr="005E4BEA">
        <w:rPr>
          <w:rFonts w:eastAsiaTheme="minorHAnsi" w:cs="Arial"/>
          <w:b/>
          <w:bCs/>
          <w:i/>
          <w:iCs/>
          <w:color w:val="808080" w:themeColor="background1" w:themeShade="80"/>
          <w:szCs w:val="20"/>
        </w:rPr>
        <w:t xml:space="preserve"> in 15 programov </w:t>
      </w:r>
      <w:proofErr w:type="spellStart"/>
      <w:r w:rsidRPr="005E4BEA">
        <w:rPr>
          <w:rFonts w:eastAsiaTheme="minorHAnsi" w:cs="Arial"/>
          <w:b/>
          <w:bCs/>
          <w:i/>
          <w:iCs/>
          <w:color w:val="808080" w:themeColor="background1" w:themeShade="80"/>
          <w:szCs w:val="20"/>
        </w:rPr>
        <w:t>endodontije</w:t>
      </w:r>
      <w:proofErr w:type="spellEnd"/>
    </w:p>
    <w:p w14:paraId="568A5DB7" w14:textId="77777777" w:rsidR="00FE461F" w:rsidRPr="005E4BEA" w:rsidRDefault="00FE461F" w:rsidP="00FE461F">
      <w:pPr>
        <w:spacing w:line="240" w:lineRule="auto"/>
        <w:jc w:val="both"/>
        <w:rPr>
          <w:rFonts w:eastAsiaTheme="minorHAnsi" w:cs="Arial"/>
          <w:b/>
          <w:bCs/>
          <w:i/>
          <w:iCs/>
          <w:color w:val="808080" w:themeColor="background1" w:themeShade="80"/>
          <w:szCs w:val="20"/>
        </w:rPr>
      </w:pPr>
    </w:p>
    <w:p w14:paraId="153A2A4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Finančni učinki: 11,5 mio </w:t>
      </w:r>
    </w:p>
    <w:p w14:paraId="73755FE7" w14:textId="2830F120" w:rsidR="00FE461F" w:rsidRPr="005E4BEA" w:rsidRDefault="00FE461F" w:rsidP="00FE461F">
      <w:pPr>
        <w:spacing w:line="240" w:lineRule="auto"/>
        <w:jc w:val="both"/>
        <w:rPr>
          <w:rFonts w:eastAsiaTheme="minorHAnsi" w:cs="Arial"/>
          <w:i/>
          <w:iCs/>
          <w:szCs w:val="20"/>
        </w:rPr>
      </w:pPr>
    </w:p>
    <w:p w14:paraId="021DAF7B" w14:textId="16DF96F2" w:rsidR="00DC6855" w:rsidRPr="005E4BEA" w:rsidRDefault="000F255D" w:rsidP="00DC6855">
      <w:pPr>
        <w:widowControl w:val="0"/>
        <w:spacing w:line="240" w:lineRule="auto"/>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r w:rsidR="00A31D9C" w:rsidRPr="005E4BEA">
        <w:rPr>
          <w:rFonts w:eastAsia="Arial Narrow" w:cs="Arial"/>
          <w:szCs w:val="20"/>
        </w:rPr>
        <w:t xml:space="preserve"> </w:t>
      </w:r>
      <w:r w:rsidR="00DC6855" w:rsidRPr="005E4BEA">
        <w:rPr>
          <w:rFonts w:eastAsia="Arial Narrow" w:cs="Arial"/>
          <w:szCs w:val="20"/>
        </w:rPr>
        <w:t xml:space="preserve">V okviru delovne skupine za področje zobozdravstva je bilo dogovorjeno, da se zaradi slabše dostopnosti </w:t>
      </w:r>
      <w:r w:rsidR="00DC6855" w:rsidRPr="005E4BEA">
        <w:rPr>
          <w:rFonts w:eastAsia="Arial Narrow" w:cs="Arial"/>
          <w:szCs w:val="20"/>
        </w:rPr>
        <w:lastRenderedPageBreak/>
        <w:t xml:space="preserve">do zobozdravstvenih storitev predlaga širitve obsega programa na tistih območjih, ki so po preskrbljenosti pod povprečjem RS in sicer pri tistih </w:t>
      </w:r>
      <w:proofErr w:type="spellStart"/>
      <w:r w:rsidR="00DC6855" w:rsidRPr="005E4BEA">
        <w:rPr>
          <w:rFonts w:eastAsia="Arial Narrow" w:cs="Arial"/>
          <w:szCs w:val="20"/>
        </w:rPr>
        <w:t>izvjalcih</w:t>
      </w:r>
      <w:proofErr w:type="spellEnd"/>
      <w:r w:rsidR="00DC6855" w:rsidRPr="005E4BEA">
        <w:rPr>
          <w:rFonts w:eastAsia="Arial Narrow" w:cs="Arial"/>
          <w:szCs w:val="20"/>
        </w:rPr>
        <w:t>, kjer obstajajo kadrovske in prostorske možnosti za dodaten program in je tudi izražena pripravljenost prevzeti dodaten program. Pri izvajalcih s koncesijo gre za širitve do 20 % obstoječega programa, kolikor je glede na zakonodajo možno odobriti brez razpisa. Na območjih, kjer je preskrbljenost slaba in ni bilo konkretnih predlogov izvajalcev, ki bi bili pripravljeni prevzeti dodaten program, se izvede razpis na ravni OE. Predlog širitev je podan v spornem vprašanju št. 43.</w:t>
      </w:r>
    </w:p>
    <w:p w14:paraId="46A891A3" w14:textId="47E1B11D" w:rsidR="000F255D" w:rsidRPr="005E4BEA" w:rsidRDefault="000F255D" w:rsidP="000F255D">
      <w:pPr>
        <w:autoSpaceDE w:val="0"/>
        <w:autoSpaceDN w:val="0"/>
        <w:adjustRightInd w:val="0"/>
        <w:spacing w:line="0" w:lineRule="atLeast"/>
        <w:jc w:val="both"/>
        <w:rPr>
          <w:rFonts w:eastAsia="Arial Narrow" w:cs="Arial"/>
          <w:szCs w:val="20"/>
        </w:rPr>
      </w:pPr>
    </w:p>
    <w:p w14:paraId="4BE7F567" w14:textId="77777777" w:rsidR="000F255D" w:rsidRPr="005E4BEA" w:rsidRDefault="000F255D" w:rsidP="000F255D">
      <w:pPr>
        <w:spacing w:line="0" w:lineRule="atLeast"/>
        <w:jc w:val="both"/>
        <w:rPr>
          <w:rFonts w:eastAsia="Arial Narrow" w:cs="Arial"/>
          <w:szCs w:val="20"/>
          <w:lang w:eastAsia="sl-SI"/>
        </w:rPr>
      </w:pPr>
    </w:p>
    <w:p w14:paraId="1CBE4C6F" w14:textId="77777777" w:rsidR="000F255D" w:rsidRPr="005E4BEA" w:rsidRDefault="000F255D" w:rsidP="000F255D">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02A2EBD7" w14:textId="77777777" w:rsidR="000F255D" w:rsidRPr="005E4BEA" w:rsidRDefault="000F255D" w:rsidP="00FE461F">
      <w:pPr>
        <w:spacing w:line="240" w:lineRule="auto"/>
        <w:jc w:val="both"/>
        <w:rPr>
          <w:rFonts w:eastAsiaTheme="minorHAnsi" w:cs="Arial"/>
          <w:i/>
          <w:iCs/>
          <w:szCs w:val="20"/>
        </w:rPr>
      </w:pPr>
    </w:p>
    <w:p w14:paraId="22B4E663" w14:textId="77777777" w:rsidR="00A87F6B" w:rsidRPr="005E4BEA" w:rsidRDefault="00A87F6B" w:rsidP="00FE461F">
      <w:pPr>
        <w:spacing w:line="240" w:lineRule="auto"/>
        <w:jc w:val="both"/>
        <w:rPr>
          <w:rFonts w:eastAsiaTheme="minorHAnsi" w:cs="Arial"/>
          <w:i/>
          <w:iCs/>
          <w:color w:val="808080" w:themeColor="background1" w:themeShade="80"/>
          <w:szCs w:val="20"/>
        </w:rPr>
      </w:pPr>
    </w:p>
    <w:p w14:paraId="10F73A83" w14:textId="73DEB1E0" w:rsidR="00A87F6B" w:rsidRPr="005E4BEA" w:rsidRDefault="00A87F6B" w:rsidP="00F356C9">
      <w:pPr>
        <w:pStyle w:val="Naslov2"/>
        <w:numPr>
          <w:ilvl w:val="0"/>
          <w:numId w:val="79"/>
        </w:numPr>
        <w:ind w:left="0" w:firstLine="0"/>
        <w:rPr>
          <w:rFonts w:ascii="Arial" w:eastAsia="Arial Narrow" w:hAnsi="Arial" w:cs="Arial"/>
          <w:sz w:val="20"/>
        </w:rPr>
      </w:pPr>
      <w:bookmarkStart w:id="57" w:name="_Hlk103000805"/>
      <w:r w:rsidRPr="005E4BEA">
        <w:rPr>
          <w:rFonts w:ascii="Arial" w:eastAsia="Arial Narrow" w:hAnsi="Arial" w:cs="Arial"/>
          <w:sz w:val="20"/>
        </w:rPr>
        <w:t>SPORNO VPRAŠANJE (62)</w:t>
      </w:r>
    </w:p>
    <w:p w14:paraId="778C5F32" w14:textId="77777777" w:rsidR="00A87F6B" w:rsidRPr="005E4BEA" w:rsidRDefault="00A87F6B" w:rsidP="00A87F6B">
      <w:pPr>
        <w:spacing w:line="240" w:lineRule="auto"/>
        <w:jc w:val="both"/>
        <w:rPr>
          <w:rFonts w:cs="Arial"/>
          <w:i/>
          <w:iCs/>
          <w:color w:val="808080" w:themeColor="background1" w:themeShade="80"/>
          <w:szCs w:val="20"/>
        </w:rPr>
      </w:pPr>
    </w:p>
    <w:p w14:paraId="6574C1A1" w14:textId="77777777" w:rsidR="00FE461F" w:rsidRPr="005E4BEA" w:rsidRDefault="00A87F6B" w:rsidP="00FE461F">
      <w:pPr>
        <w:spacing w:line="240" w:lineRule="auto"/>
        <w:jc w:val="both"/>
        <w:rPr>
          <w:rFonts w:cs="Arial"/>
          <w:szCs w:val="20"/>
        </w:rPr>
      </w:pPr>
      <w:r w:rsidRPr="005E4BEA">
        <w:rPr>
          <w:rFonts w:cs="Arial"/>
          <w:b/>
          <w:bCs/>
          <w:szCs w:val="20"/>
        </w:rPr>
        <w:t xml:space="preserve">Ministrstvo za zdravje </w:t>
      </w:r>
      <w:r w:rsidRPr="005E4BEA">
        <w:rPr>
          <w:rFonts w:cs="Arial"/>
          <w:szCs w:val="20"/>
        </w:rPr>
        <w:t xml:space="preserve">predlaga, da se v </w:t>
      </w:r>
      <w:r w:rsidR="00FE461F" w:rsidRPr="005E4BEA">
        <w:rPr>
          <w:rFonts w:eastAsia="MS Mincho" w:cs="Arial"/>
          <w:szCs w:val="20"/>
        </w:rPr>
        <w:t>24. členu v šestem odstavku v tabeli dodajo nove vrstice za nujne širitve programov oziroma uvajanje novih terapij:</w:t>
      </w:r>
    </w:p>
    <w:p w14:paraId="4B351EAB" w14:textId="77777777" w:rsidR="00FE461F" w:rsidRPr="005E4BEA" w:rsidRDefault="00FE461F" w:rsidP="00FE461F">
      <w:pPr>
        <w:spacing w:line="240" w:lineRule="auto"/>
        <w:jc w:val="both"/>
        <w:rPr>
          <w:rFonts w:eastAsia="MS Mincho" w:cs="Arial"/>
          <w:szCs w:val="20"/>
        </w:rPr>
      </w:pPr>
    </w:p>
    <w:tbl>
      <w:tblPr>
        <w:tblW w:w="8854" w:type="dxa"/>
        <w:jc w:val="center"/>
        <w:tblCellMar>
          <w:left w:w="70" w:type="dxa"/>
          <w:right w:w="70" w:type="dxa"/>
        </w:tblCellMar>
        <w:tblLook w:val="00A0" w:firstRow="1" w:lastRow="0" w:firstColumn="1" w:lastColumn="0" w:noHBand="0" w:noVBand="0"/>
      </w:tblPr>
      <w:tblGrid>
        <w:gridCol w:w="412"/>
        <w:gridCol w:w="3013"/>
        <w:gridCol w:w="1533"/>
        <w:gridCol w:w="1227"/>
        <w:gridCol w:w="1417"/>
        <w:gridCol w:w="1252"/>
      </w:tblGrid>
      <w:tr w:rsidR="00FE461F" w:rsidRPr="005E4BEA" w14:paraId="417E35C3" w14:textId="77777777" w:rsidTr="0016774B">
        <w:trPr>
          <w:trHeight w:val="300"/>
          <w:jc w:val="center"/>
        </w:trPr>
        <w:tc>
          <w:tcPr>
            <w:tcW w:w="412" w:type="dxa"/>
            <w:tcBorders>
              <w:top w:val="single" w:sz="4" w:space="0" w:color="000000"/>
              <w:left w:val="single" w:sz="4" w:space="0" w:color="000000"/>
              <w:right w:val="single" w:sz="4" w:space="0" w:color="000000"/>
            </w:tcBorders>
          </w:tcPr>
          <w:p w14:paraId="4FE67683" w14:textId="77777777" w:rsidR="00FE461F" w:rsidRPr="005E4BEA" w:rsidRDefault="00FE461F" w:rsidP="00FE461F">
            <w:pPr>
              <w:jc w:val="both"/>
              <w:rPr>
                <w:rFonts w:eastAsia="Calibri" w:cs="Arial"/>
                <w:szCs w:val="20"/>
                <w:lang w:eastAsia="sl-SI"/>
              </w:rPr>
            </w:pPr>
            <w:bookmarkStart w:id="58" w:name="_Hlk99351900"/>
          </w:p>
        </w:tc>
        <w:tc>
          <w:tcPr>
            <w:tcW w:w="3013" w:type="dxa"/>
            <w:vMerge w:val="restart"/>
            <w:tcBorders>
              <w:top w:val="single" w:sz="4" w:space="0" w:color="000000"/>
              <w:left w:val="single" w:sz="4" w:space="0" w:color="000000"/>
              <w:bottom w:val="single" w:sz="4" w:space="0" w:color="000000"/>
              <w:right w:val="single" w:sz="4" w:space="0" w:color="000000"/>
            </w:tcBorders>
            <w:vAlign w:val="center"/>
            <w:hideMark/>
          </w:tcPr>
          <w:p w14:paraId="575D6B1C"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P   r   o   g   r   a   m</w:t>
            </w:r>
          </w:p>
        </w:tc>
        <w:tc>
          <w:tcPr>
            <w:tcW w:w="1533" w:type="dxa"/>
            <w:tcBorders>
              <w:top w:val="single" w:sz="4" w:space="0" w:color="000000"/>
              <w:left w:val="single" w:sz="4" w:space="0" w:color="000000"/>
              <w:bottom w:val="single" w:sz="4" w:space="0" w:color="000000"/>
              <w:right w:val="single" w:sz="4" w:space="0" w:color="000000"/>
            </w:tcBorders>
            <w:vAlign w:val="center"/>
            <w:hideMark/>
          </w:tcPr>
          <w:p w14:paraId="35E3041D"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I z v a j a l e c /</w:t>
            </w:r>
          </w:p>
        </w:tc>
        <w:tc>
          <w:tcPr>
            <w:tcW w:w="1227" w:type="dxa"/>
            <w:vMerge w:val="restart"/>
            <w:tcBorders>
              <w:top w:val="single" w:sz="4" w:space="0" w:color="000000"/>
              <w:left w:val="single" w:sz="4" w:space="0" w:color="000000"/>
              <w:bottom w:val="single" w:sz="4" w:space="0" w:color="000000"/>
              <w:right w:val="single" w:sz="4" w:space="0" w:color="000000"/>
            </w:tcBorders>
            <w:vAlign w:val="center"/>
            <w:hideMark/>
          </w:tcPr>
          <w:p w14:paraId="61219870"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Obseg programa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0E1DA9A" w14:textId="77777777" w:rsidR="00FE461F" w:rsidRPr="005E4BEA" w:rsidRDefault="00FE461F" w:rsidP="00FE461F">
            <w:pPr>
              <w:jc w:val="both"/>
              <w:rPr>
                <w:rFonts w:eastAsia="Calibri" w:cs="Arial"/>
                <w:szCs w:val="20"/>
                <w:lang w:eastAsia="sl-SI"/>
              </w:rPr>
            </w:pPr>
            <w:proofErr w:type="spellStart"/>
            <w:r w:rsidRPr="005E4BEA">
              <w:rPr>
                <w:rFonts w:eastAsia="Calibri" w:cs="Arial"/>
                <w:szCs w:val="20"/>
                <w:lang w:eastAsia="sl-SI"/>
              </w:rPr>
              <w:t>Dod</w:t>
            </w:r>
            <w:proofErr w:type="spellEnd"/>
            <w:r w:rsidRPr="005E4BEA">
              <w:rPr>
                <w:rFonts w:eastAsia="Calibri" w:cs="Arial"/>
                <w:szCs w:val="20"/>
                <w:lang w:eastAsia="sl-SI"/>
              </w:rPr>
              <w:t>. sred.</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38C1E96" w14:textId="77777777" w:rsidR="00FE461F" w:rsidRPr="005E4BEA" w:rsidRDefault="00FE461F" w:rsidP="00FE461F">
            <w:pPr>
              <w:jc w:val="both"/>
              <w:rPr>
                <w:rFonts w:eastAsia="Calibri" w:cs="Arial"/>
                <w:szCs w:val="20"/>
                <w:lang w:eastAsia="sl-SI"/>
              </w:rPr>
            </w:pPr>
            <w:proofErr w:type="spellStart"/>
            <w:r w:rsidRPr="005E4BEA">
              <w:rPr>
                <w:rFonts w:eastAsia="Calibri" w:cs="Arial"/>
                <w:szCs w:val="20"/>
                <w:lang w:eastAsia="sl-SI"/>
              </w:rPr>
              <w:t>Dod</w:t>
            </w:r>
            <w:proofErr w:type="spellEnd"/>
            <w:r w:rsidRPr="005E4BEA">
              <w:rPr>
                <w:rFonts w:eastAsia="Calibri" w:cs="Arial"/>
                <w:szCs w:val="20"/>
                <w:lang w:eastAsia="sl-SI"/>
              </w:rPr>
              <w:t>. sred.</w:t>
            </w:r>
          </w:p>
        </w:tc>
      </w:tr>
      <w:tr w:rsidR="00FE461F" w:rsidRPr="005E4BEA" w14:paraId="1581755E" w14:textId="77777777" w:rsidTr="0016774B">
        <w:trPr>
          <w:trHeight w:val="300"/>
          <w:jc w:val="center"/>
        </w:trPr>
        <w:tc>
          <w:tcPr>
            <w:tcW w:w="412" w:type="dxa"/>
            <w:tcBorders>
              <w:left w:val="single" w:sz="4" w:space="0" w:color="000000"/>
              <w:right w:val="single" w:sz="4" w:space="0" w:color="000000"/>
            </w:tcBorders>
          </w:tcPr>
          <w:p w14:paraId="21E14871" w14:textId="77777777" w:rsidR="00FE461F" w:rsidRPr="005E4BEA" w:rsidRDefault="00FE461F" w:rsidP="00FE461F">
            <w:pPr>
              <w:jc w:val="both"/>
              <w:rPr>
                <w:rFonts w:eastAsia="Calibri" w:cs="Arial"/>
                <w:szCs w:val="20"/>
                <w:lang w:eastAsia="sl-SI"/>
              </w:rPr>
            </w:pPr>
          </w:p>
        </w:tc>
        <w:tc>
          <w:tcPr>
            <w:tcW w:w="3013" w:type="dxa"/>
            <w:vMerge/>
            <w:tcBorders>
              <w:top w:val="single" w:sz="4" w:space="0" w:color="000000"/>
              <w:left w:val="single" w:sz="4" w:space="0" w:color="000000"/>
              <w:bottom w:val="single" w:sz="4" w:space="0" w:color="000000"/>
              <w:right w:val="single" w:sz="4" w:space="0" w:color="000000"/>
            </w:tcBorders>
            <w:vAlign w:val="center"/>
            <w:hideMark/>
          </w:tcPr>
          <w:p w14:paraId="5AA4DF48" w14:textId="77777777" w:rsidR="00FE461F" w:rsidRPr="005E4BEA" w:rsidRDefault="00FE461F" w:rsidP="00FE461F">
            <w:pPr>
              <w:jc w:val="both"/>
              <w:rPr>
                <w:rFonts w:eastAsia="Calibri" w:cs="Arial"/>
                <w:szCs w:val="20"/>
                <w:lang w:eastAsia="sl-SI"/>
              </w:rPr>
            </w:pPr>
          </w:p>
        </w:tc>
        <w:tc>
          <w:tcPr>
            <w:tcW w:w="1533" w:type="dxa"/>
            <w:tcBorders>
              <w:top w:val="single" w:sz="4" w:space="0" w:color="000000"/>
              <w:left w:val="single" w:sz="4" w:space="0" w:color="000000"/>
              <w:bottom w:val="single" w:sz="4" w:space="0" w:color="000000"/>
              <w:right w:val="single" w:sz="4" w:space="0" w:color="000000"/>
            </w:tcBorders>
            <w:vAlign w:val="center"/>
            <w:hideMark/>
          </w:tcPr>
          <w:p w14:paraId="0216AAE5"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i z p o s t a v a</w:t>
            </w:r>
          </w:p>
        </w:tc>
        <w:tc>
          <w:tcPr>
            <w:tcW w:w="1227" w:type="dxa"/>
            <w:vMerge/>
            <w:tcBorders>
              <w:top w:val="single" w:sz="4" w:space="0" w:color="000000"/>
              <w:left w:val="single" w:sz="4" w:space="0" w:color="000000"/>
              <w:bottom w:val="single" w:sz="4" w:space="0" w:color="000000"/>
              <w:right w:val="single" w:sz="4" w:space="0" w:color="000000"/>
            </w:tcBorders>
            <w:vAlign w:val="center"/>
            <w:hideMark/>
          </w:tcPr>
          <w:p w14:paraId="3AA6CF96"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C767068"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na letni ravni</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56C31820"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1.4.–31.12. 2022</w:t>
            </w:r>
          </w:p>
        </w:tc>
      </w:tr>
      <w:tr w:rsidR="00FE461F" w:rsidRPr="005E4BEA" w14:paraId="5C6D0BA3" w14:textId="77777777" w:rsidTr="0016774B">
        <w:trPr>
          <w:trHeight w:val="300"/>
          <w:jc w:val="center"/>
        </w:trPr>
        <w:tc>
          <w:tcPr>
            <w:tcW w:w="412" w:type="dxa"/>
            <w:tcBorders>
              <w:left w:val="single" w:sz="4" w:space="0" w:color="000000"/>
              <w:bottom w:val="single" w:sz="4" w:space="0" w:color="000000"/>
              <w:right w:val="single" w:sz="4" w:space="0" w:color="000000"/>
            </w:tcBorders>
          </w:tcPr>
          <w:p w14:paraId="228066A6" w14:textId="77777777" w:rsidR="00FE461F" w:rsidRPr="005E4BEA" w:rsidRDefault="00FE461F" w:rsidP="00FE461F">
            <w:pPr>
              <w:jc w:val="both"/>
              <w:rPr>
                <w:rFonts w:eastAsia="Calibri" w:cs="Arial"/>
                <w:szCs w:val="20"/>
                <w:lang w:eastAsia="sl-SI"/>
              </w:rPr>
            </w:pPr>
          </w:p>
        </w:tc>
        <w:tc>
          <w:tcPr>
            <w:tcW w:w="3013" w:type="dxa"/>
            <w:vMerge/>
            <w:tcBorders>
              <w:top w:val="single" w:sz="4" w:space="0" w:color="000000"/>
              <w:left w:val="single" w:sz="4" w:space="0" w:color="000000"/>
              <w:bottom w:val="single" w:sz="4" w:space="0" w:color="000000"/>
              <w:right w:val="single" w:sz="4" w:space="0" w:color="000000"/>
            </w:tcBorders>
            <w:vAlign w:val="center"/>
            <w:hideMark/>
          </w:tcPr>
          <w:p w14:paraId="32EEBD6E" w14:textId="77777777" w:rsidR="00FE461F" w:rsidRPr="005E4BEA" w:rsidRDefault="00FE461F" w:rsidP="00FE461F">
            <w:pPr>
              <w:jc w:val="both"/>
              <w:rPr>
                <w:rFonts w:eastAsia="Calibri" w:cs="Arial"/>
                <w:szCs w:val="20"/>
                <w:lang w:eastAsia="sl-SI"/>
              </w:rPr>
            </w:pPr>
          </w:p>
        </w:tc>
        <w:tc>
          <w:tcPr>
            <w:tcW w:w="1533" w:type="dxa"/>
            <w:tcBorders>
              <w:top w:val="single" w:sz="4" w:space="0" w:color="000000"/>
              <w:left w:val="single" w:sz="4" w:space="0" w:color="000000"/>
              <w:bottom w:val="single" w:sz="4" w:space="0" w:color="000000"/>
              <w:right w:val="single" w:sz="4" w:space="0" w:color="000000"/>
            </w:tcBorders>
            <w:vAlign w:val="center"/>
            <w:hideMark/>
          </w:tcPr>
          <w:p w14:paraId="0BE5F79C"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 xml:space="preserve"> </w:t>
            </w:r>
          </w:p>
        </w:tc>
        <w:tc>
          <w:tcPr>
            <w:tcW w:w="1227" w:type="dxa"/>
            <w:vMerge/>
            <w:tcBorders>
              <w:top w:val="single" w:sz="4" w:space="0" w:color="000000"/>
              <w:left w:val="single" w:sz="4" w:space="0" w:color="000000"/>
              <w:bottom w:val="single" w:sz="4" w:space="0" w:color="000000"/>
              <w:right w:val="single" w:sz="4" w:space="0" w:color="000000"/>
            </w:tcBorders>
            <w:vAlign w:val="center"/>
            <w:hideMark/>
          </w:tcPr>
          <w:p w14:paraId="1058DC90"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123F5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(v EUR)</w:t>
            </w:r>
          </w:p>
        </w:tc>
        <w:tc>
          <w:tcPr>
            <w:tcW w:w="1252" w:type="dxa"/>
            <w:tcBorders>
              <w:top w:val="single" w:sz="4" w:space="0" w:color="000000"/>
              <w:left w:val="single" w:sz="4" w:space="0" w:color="000000"/>
              <w:bottom w:val="single" w:sz="4" w:space="0" w:color="000000"/>
              <w:right w:val="single" w:sz="4" w:space="0" w:color="000000"/>
            </w:tcBorders>
            <w:vAlign w:val="center"/>
            <w:hideMark/>
          </w:tcPr>
          <w:p w14:paraId="23144A2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(v EUR)</w:t>
            </w:r>
          </w:p>
        </w:tc>
      </w:tr>
      <w:tr w:rsidR="00FE461F" w:rsidRPr="005E4BEA" w14:paraId="0216D1A3"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5E644DC5"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w:t>
            </w:r>
          </w:p>
        </w:tc>
        <w:tc>
          <w:tcPr>
            <w:tcW w:w="3013" w:type="dxa"/>
            <w:tcBorders>
              <w:top w:val="single" w:sz="4" w:space="0" w:color="000000"/>
              <w:left w:val="single" w:sz="4" w:space="0" w:color="000000"/>
              <w:bottom w:val="single" w:sz="4" w:space="0" w:color="000000"/>
              <w:right w:val="single" w:sz="4" w:space="0" w:color="000000"/>
            </w:tcBorders>
            <w:vAlign w:val="center"/>
          </w:tcPr>
          <w:p w14:paraId="49086B70" w14:textId="77777777" w:rsidR="00FE461F" w:rsidRPr="005E4BEA" w:rsidRDefault="00FE461F" w:rsidP="00FE461F">
            <w:pPr>
              <w:spacing w:line="240" w:lineRule="auto"/>
              <w:jc w:val="both"/>
              <w:rPr>
                <w:rFonts w:eastAsia="Calibri" w:cs="Arial"/>
                <w:szCs w:val="20"/>
              </w:rPr>
            </w:pPr>
            <w:r w:rsidRPr="005E4BEA">
              <w:rPr>
                <w:rFonts w:eastAsia="Calibri" w:cs="Arial"/>
                <w:szCs w:val="20"/>
              </w:rPr>
              <w:t>338 024 NMP HELIKOPTER (zdravnik GRS) *</w:t>
            </w:r>
          </w:p>
          <w:p w14:paraId="630E7E9A" w14:textId="77777777" w:rsidR="00FE461F" w:rsidRPr="005E4BEA" w:rsidRDefault="00FE461F" w:rsidP="00FE461F">
            <w:pPr>
              <w:spacing w:line="240" w:lineRule="auto"/>
              <w:jc w:val="both"/>
              <w:rPr>
                <w:rFonts w:eastAsia="Calibri" w:cs="Arial"/>
                <w:szCs w:val="20"/>
              </w:rPr>
            </w:pPr>
            <w:r w:rsidRPr="005E4BEA">
              <w:rPr>
                <w:rFonts w:eastAsia="Calibri" w:cs="Arial"/>
                <w:szCs w:val="20"/>
              </w:rPr>
              <w:t>Od 1.1.2022</w:t>
            </w:r>
          </w:p>
        </w:tc>
        <w:tc>
          <w:tcPr>
            <w:tcW w:w="1533" w:type="dxa"/>
            <w:tcBorders>
              <w:top w:val="single" w:sz="4" w:space="0" w:color="000000"/>
              <w:left w:val="single" w:sz="4" w:space="0" w:color="000000"/>
              <w:bottom w:val="single" w:sz="4" w:space="0" w:color="000000"/>
              <w:right w:val="single" w:sz="4" w:space="0" w:color="000000"/>
            </w:tcBorders>
            <w:vAlign w:val="center"/>
          </w:tcPr>
          <w:p w14:paraId="3E1BCEC2"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OZG ZD Kranj</w:t>
            </w:r>
          </w:p>
        </w:tc>
        <w:tc>
          <w:tcPr>
            <w:tcW w:w="1227" w:type="dxa"/>
            <w:tcBorders>
              <w:top w:val="single" w:sz="4" w:space="0" w:color="000000"/>
              <w:left w:val="single" w:sz="4" w:space="0" w:color="000000"/>
              <w:bottom w:val="single" w:sz="4" w:space="0" w:color="000000"/>
              <w:right w:val="single" w:sz="4" w:space="0" w:color="000000"/>
            </w:tcBorders>
            <w:vAlign w:val="bottom"/>
          </w:tcPr>
          <w:p w14:paraId="4BD7C922"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0,43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304C0355" w14:textId="77777777" w:rsidR="00FE461F" w:rsidRPr="005E4BEA" w:rsidRDefault="00FE461F" w:rsidP="00FE461F">
            <w:pPr>
              <w:jc w:val="both"/>
              <w:rPr>
                <w:rFonts w:eastAsia="Calibri" w:cs="Arial"/>
                <w:szCs w:val="20"/>
              </w:rPr>
            </w:pPr>
            <w:r w:rsidRPr="005E4BEA">
              <w:rPr>
                <w:rFonts w:eastAsia="Calibri" w:cs="Arial"/>
                <w:szCs w:val="20"/>
              </w:rPr>
              <w:t>41.910</w:t>
            </w:r>
          </w:p>
        </w:tc>
        <w:tc>
          <w:tcPr>
            <w:tcW w:w="1252" w:type="dxa"/>
            <w:tcBorders>
              <w:top w:val="single" w:sz="4" w:space="0" w:color="000000"/>
              <w:left w:val="single" w:sz="4" w:space="0" w:color="000000"/>
              <w:bottom w:val="single" w:sz="4" w:space="0" w:color="000000"/>
              <w:right w:val="single" w:sz="4" w:space="0" w:color="000000"/>
            </w:tcBorders>
            <w:vAlign w:val="center"/>
          </w:tcPr>
          <w:p w14:paraId="6F288F85" w14:textId="77777777" w:rsidR="00FE461F" w:rsidRPr="005E4BEA" w:rsidRDefault="00FE461F" w:rsidP="00FE461F">
            <w:pPr>
              <w:jc w:val="both"/>
              <w:rPr>
                <w:rFonts w:eastAsia="Calibri" w:cs="Arial"/>
                <w:szCs w:val="20"/>
              </w:rPr>
            </w:pPr>
            <w:r w:rsidRPr="005E4BEA">
              <w:rPr>
                <w:rFonts w:eastAsia="Calibri" w:cs="Arial"/>
                <w:szCs w:val="20"/>
              </w:rPr>
              <w:t>41.910</w:t>
            </w:r>
          </w:p>
        </w:tc>
      </w:tr>
      <w:tr w:rsidR="00FE461F" w:rsidRPr="005E4BEA" w14:paraId="2FC45537"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4075187B"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2</w:t>
            </w:r>
          </w:p>
        </w:tc>
        <w:tc>
          <w:tcPr>
            <w:tcW w:w="3013" w:type="dxa"/>
            <w:tcBorders>
              <w:top w:val="single" w:sz="4" w:space="0" w:color="000000"/>
              <w:left w:val="single" w:sz="4" w:space="0" w:color="000000"/>
              <w:bottom w:val="single" w:sz="4" w:space="0" w:color="000000"/>
              <w:right w:val="single" w:sz="4" w:space="0" w:color="000000"/>
            </w:tcBorders>
            <w:vAlign w:val="center"/>
            <w:hideMark/>
          </w:tcPr>
          <w:p w14:paraId="6738FE5A" w14:textId="77777777" w:rsidR="00FE461F" w:rsidRPr="005E4BEA" w:rsidRDefault="00FE461F" w:rsidP="00FE461F">
            <w:pPr>
              <w:spacing w:line="240" w:lineRule="auto"/>
              <w:jc w:val="both"/>
              <w:rPr>
                <w:rFonts w:eastAsia="Calibri" w:cs="Arial"/>
                <w:szCs w:val="20"/>
              </w:rPr>
            </w:pPr>
            <w:r w:rsidRPr="005E4BEA">
              <w:rPr>
                <w:rFonts w:eastAsia="Calibri" w:cs="Arial"/>
                <w:szCs w:val="20"/>
              </w:rPr>
              <w:t xml:space="preserve">401 110 </w:t>
            </w:r>
            <w:proofErr w:type="spellStart"/>
            <w:r w:rsidRPr="005E4BEA">
              <w:rPr>
                <w:rFonts w:eastAsia="Calibri" w:cs="Arial"/>
                <w:szCs w:val="20"/>
              </w:rPr>
              <w:t>Ortodontija</w:t>
            </w:r>
            <w:proofErr w:type="spellEnd"/>
          </w:p>
        </w:tc>
        <w:tc>
          <w:tcPr>
            <w:tcW w:w="1533" w:type="dxa"/>
            <w:tcBorders>
              <w:top w:val="single" w:sz="4" w:space="0" w:color="000000"/>
              <w:left w:val="single" w:sz="4" w:space="0" w:color="000000"/>
              <w:bottom w:val="single" w:sz="4" w:space="0" w:color="000000"/>
              <w:right w:val="single" w:sz="4" w:space="0" w:color="000000"/>
            </w:tcBorders>
            <w:vAlign w:val="center"/>
          </w:tcPr>
          <w:p w14:paraId="1082A11C"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ZD Trbovlje</w:t>
            </w:r>
          </w:p>
        </w:tc>
        <w:tc>
          <w:tcPr>
            <w:tcW w:w="1227" w:type="dxa"/>
            <w:tcBorders>
              <w:top w:val="single" w:sz="4" w:space="0" w:color="000000"/>
              <w:left w:val="single" w:sz="4" w:space="0" w:color="000000"/>
              <w:bottom w:val="single" w:sz="4" w:space="0" w:color="000000"/>
              <w:right w:val="single" w:sz="4" w:space="0" w:color="000000"/>
            </w:tcBorders>
            <w:vAlign w:val="bottom"/>
            <w:hideMark/>
          </w:tcPr>
          <w:p w14:paraId="7E6B5D8D"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0,44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77F0D4C5" w14:textId="77777777" w:rsidR="00FE461F" w:rsidRPr="005E4BEA" w:rsidRDefault="00FE461F" w:rsidP="00FE461F">
            <w:pPr>
              <w:jc w:val="both"/>
              <w:rPr>
                <w:rFonts w:eastAsia="Calibri" w:cs="Arial"/>
                <w:szCs w:val="20"/>
              </w:rPr>
            </w:pPr>
            <w:r w:rsidRPr="005E4BEA">
              <w:rPr>
                <w:rFonts w:eastAsia="Calibri" w:cs="Arial"/>
                <w:szCs w:val="20"/>
              </w:rPr>
              <w:t>72.290</w:t>
            </w:r>
          </w:p>
        </w:tc>
        <w:tc>
          <w:tcPr>
            <w:tcW w:w="1252" w:type="dxa"/>
            <w:tcBorders>
              <w:top w:val="single" w:sz="4" w:space="0" w:color="000000"/>
              <w:left w:val="single" w:sz="4" w:space="0" w:color="000000"/>
              <w:bottom w:val="single" w:sz="4" w:space="0" w:color="000000"/>
              <w:right w:val="single" w:sz="4" w:space="0" w:color="000000"/>
            </w:tcBorders>
            <w:vAlign w:val="center"/>
          </w:tcPr>
          <w:p w14:paraId="6D1F6ECB" w14:textId="77777777" w:rsidR="00FE461F" w:rsidRPr="005E4BEA" w:rsidRDefault="00FE461F" w:rsidP="00FE461F">
            <w:pPr>
              <w:spacing w:line="240" w:lineRule="auto"/>
              <w:jc w:val="both"/>
              <w:rPr>
                <w:rFonts w:eastAsia="MS Mincho" w:cs="Arial"/>
                <w:color w:val="000000"/>
                <w:szCs w:val="20"/>
              </w:rPr>
            </w:pPr>
          </w:p>
          <w:p w14:paraId="69EA4ADE" w14:textId="77777777" w:rsidR="00FE461F" w:rsidRPr="005E4BEA" w:rsidRDefault="00FE461F" w:rsidP="00FE461F">
            <w:pPr>
              <w:spacing w:line="240" w:lineRule="auto"/>
              <w:jc w:val="both"/>
              <w:rPr>
                <w:rFonts w:cs="Arial"/>
                <w:color w:val="000000"/>
                <w:szCs w:val="20"/>
                <w:lang w:eastAsia="sl-SI"/>
              </w:rPr>
            </w:pPr>
            <w:r w:rsidRPr="005E4BEA">
              <w:rPr>
                <w:rFonts w:eastAsia="MS Mincho" w:cs="Arial"/>
                <w:color w:val="000000"/>
                <w:szCs w:val="20"/>
              </w:rPr>
              <w:t>54.218</w:t>
            </w:r>
          </w:p>
          <w:p w14:paraId="5C4720DB" w14:textId="77777777" w:rsidR="00FE461F" w:rsidRPr="005E4BEA" w:rsidRDefault="00FE461F" w:rsidP="00FE461F">
            <w:pPr>
              <w:jc w:val="both"/>
              <w:rPr>
                <w:rFonts w:eastAsia="Calibri" w:cs="Arial"/>
                <w:szCs w:val="20"/>
              </w:rPr>
            </w:pPr>
          </w:p>
        </w:tc>
      </w:tr>
      <w:tr w:rsidR="00FE461F" w:rsidRPr="005E4BEA" w14:paraId="26BF8E54"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1A05E8CA"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3</w:t>
            </w:r>
          </w:p>
        </w:tc>
        <w:tc>
          <w:tcPr>
            <w:tcW w:w="3013" w:type="dxa"/>
            <w:tcBorders>
              <w:top w:val="single" w:sz="4" w:space="0" w:color="000000"/>
              <w:left w:val="single" w:sz="4" w:space="0" w:color="000000"/>
              <w:bottom w:val="single" w:sz="4" w:space="0" w:color="000000"/>
              <w:right w:val="single" w:sz="4" w:space="0" w:color="000000"/>
            </w:tcBorders>
            <w:vAlign w:val="center"/>
          </w:tcPr>
          <w:p w14:paraId="6FC03DA2" w14:textId="77777777" w:rsidR="00FE461F" w:rsidRPr="005E4BEA" w:rsidRDefault="00FE461F" w:rsidP="00FE461F">
            <w:pPr>
              <w:spacing w:line="240" w:lineRule="auto"/>
              <w:jc w:val="both"/>
              <w:rPr>
                <w:rFonts w:eastAsia="Calibri" w:cs="Arial"/>
                <w:szCs w:val="20"/>
              </w:rPr>
            </w:pPr>
            <w:r w:rsidRPr="005E4BEA">
              <w:rPr>
                <w:rFonts w:eastAsia="Calibri" w:cs="Arial"/>
                <w:szCs w:val="20"/>
              </w:rPr>
              <w:t xml:space="preserve">NRV </w:t>
            </w:r>
          </w:p>
        </w:tc>
        <w:tc>
          <w:tcPr>
            <w:tcW w:w="1533" w:type="dxa"/>
            <w:tcBorders>
              <w:top w:val="single" w:sz="4" w:space="0" w:color="000000"/>
              <w:left w:val="single" w:sz="4" w:space="0" w:color="000000"/>
              <w:bottom w:val="single" w:sz="4" w:space="0" w:color="000000"/>
              <w:right w:val="single" w:sz="4" w:space="0" w:color="000000"/>
            </w:tcBorders>
            <w:vAlign w:val="center"/>
          </w:tcPr>
          <w:p w14:paraId="3D096F28"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ZD Litija</w:t>
            </w:r>
          </w:p>
        </w:tc>
        <w:tc>
          <w:tcPr>
            <w:tcW w:w="1227" w:type="dxa"/>
            <w:tcBorders>
              <w:top w:val="single" w:sz="4" w:space="0" w:color="000000"/>
              <w:left w:val="single" w:sz="4" w:space="0" w:color="000000"/>
              <w:bottom w:val="single" w:sz="4" w:space="0" w:color="000000"/>
              <w:right w:val="single" w:sz="4" w:space="0" w:color="000000"/>
            </w:tcBorders>
            <w:vAlign w:val="bottom"/>
          </w:tcPr>
          <w:p w14:paraId="2DFA1C63"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0,2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6F1FC70C" w14:textId="77777777" w:rsidR="00FE461F" w:rsidRPr="005E4BEA" w:rsidRDefault="00FE461F" w:rsidP="00FE461F">
            <w:pPr>
              <w:jc w:val="both"/>
              <w:rPr>
                <w:rFonts w:eastAsia="Calibri" w:cs="Arial"/>
                <w:szCs w:val="20"/>
              </w:rPr>
            </w:pPr>
            <w:r w:rsidRPr="005E4BEA">
              <w:rPr>
                <w:rFonts w:eastAsia="Calibri" w:cs="Arial"/>
                <w:szCs w:val="20"/>
              </w:rPr>
              <w:t xml:space="preserve">16.498,00 </w:t>
            </w:r>
          </w:p>
        </w:tc>
        <w:tc>
          <w:tcPr>
            <w:tcW w:w="1252" w:type="dxa"/>
            <w:tcBorders>
              <w:top w:val="single" w:sz="4" w:space="0" w:color="000000"/>
              <w:left w:val="single" w:sz="4" w:space="0" w:color="000000"/>
              <w:bottom w:val="single" w:sz="4" w:space="0" w:color="000000"/>
              <w:right w:val="single" w:sz="4" w:space="0" w:color="000000"/>
            </w:tcBorders>
            <w:vAlign w:val="center"/>
          </w:tcPr>
          <w:p w14:paraId="31240355" w14:textId="77777777" w:rsidR="00FE461F" w:rsidRPr="005E4BEA" w:rsidRDefault="00FE461F" w:rsidP="00FE461F">
            <w:pPr>
              <w:spacing w:line="240" w:lineRule="auto"/>
              <w:jc w:val="both"/>
              <w:rPr>
                <w:rFonts w:cs="Arial"/>
                <w:color w:val="000000"/>
                <w:szCs w:val="20"/>
                <w:lang w:eastAsia="sl-SI"/>
              </w:rPr>
            </w:pPr>
            <w:r w:rsidRPr="005E4BEA">
              <w:rPr>
                <w:rFonts w:eastAsia="MS Mincho" w:cs="Arial"/>
                <w:color w:val="000000"/>
                <w:szCs w:val="20"/>
              </w:rPr>
              <w:t>12.374</w:t>
            </w:r>
          </w:p>
          <w:p w14:paraId="4DA0A3FA" w14:textId="77777777" w:rsidR="00FE461F" w:rsidRPr="005E4BEA" w:rsidRDefault="00FE461F" w:rsidP="00FE461F">
            <w:pPr>
              <w:jc w:val="both"/>
              <w:rPr>
                <w:rFonts w:eastAsia="Calibri" w:cs="Arial"/>
                <w:szCs w:val="20"/>
              </w:rPr>
            </w:pPr>
          </w:p>
        </w:tc>
      </w:tr>
      <w:tr w:rsidR="00FE461F" w:rsidRPr="005E4BEA" w14:paraId="7D9D0081"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1DC4048F"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4</w:t>
            </w:r>
          </w:p>
        </w:tc>
        <w:tc>
          <w:tcPr>
            <w:tcW w:w="3013" w:type="dxa"/>
            <w:tcBorders>
              <w:top w:val="single" w:sz="4" w:space="0" w:color="000000"/>
              <w:left w:val="single" w:sz="4" w:space="0" w:color="000000"/>
              <w:bottom w:val="single" w:sz="4" w:space="0" w:color="000000"/>
              <w:right w:val="single" w:sz="4" w:space="0" w:color="000000"/>
            </w:tcBorders>
            <w:vAlign w:val="center"/>
          </w:tcPr>
          <w:p w14:paraId="03EFA5D7"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eastAsia="MS Mincho" w:cs="Arial"/>
                <w:color w:val="000000"/>
                <w:szCs w:val="20"/>
              </w:rPr>
              <w:t>Artroskopska</w:t>
            </w:r>
            <w:proofErr w:type="spellEnd"/>
            <w:r w:rsidRPr="005E4BEA">
              <w:rPr>
                <w:rFonts w:eastAsia="MS Mincho" w:cs="Arial"/>
                <w:color w:val="000000"/>
                <w:szCs w:val="20"/>
              </w:rPr>
              <w:t xml:space="preserve"> operacija kolena</w:t>
            </w:r>
          </w:p>
          <w:p w14:paraId="1BB9CBF3" w14:textId="77777777" w:rsidR="00FE461F" w:rsidRPr="005E4BEA" w:rsidRDefault="00FE461F" w:rsidP="00FE461F">
            <w:pPr>
              <w:spacing w:line="240" w:lineRule="auto"/>
              <w:jc w:val="both"/>
              <w:rPr>
                <w:rFonts w:eastAsia="Calibri" w:cs="Arial"/>
                <w:szCs w:val="20"/>
              </w:rPr>
            </w:pPr>
          </w:p>
        </w:tc>
        <w:tc>
          <w:tcPr>
            <w:tcW w:w="1533" w:type="dxa"/>
            <w:tcBorders>
              <w:top w:val="single" w:sz="4" w:space="0" w:color="000000"/>
              <w:left w:val="single" w:sz="4" w:space="0" w:color="000000"/>
              <w:bottom w:val="single" w:sz="4" w:space="0" w:color="000000"/>
              <w:right w:val="single" w:sz="4" w:space="0" w:color="000000"/>
            </w:tcBorders>
            <w:vAlign w:val="center"/>
          </w:tcPr>
          <w:p w14:paraId="41D1EE83" w14:textId="77777777" w:rsidR="00FE461F" w:rsidRPr="005E4BEA" w:rsidRDefault="00FE461F" w:rsidP="00FE461F">
            <w:pPr>
              <w:spacing w:line="240" w:lineRule="auto"/>
              <w:jc w:val="both"/>
              <w:rPr>
                <w:rFonts w:cs="Arial"/>
                <w:color w:val="000000"/>
                <w:szCs w:val="20"/>
                <w:lang w:eastAsia="sl-SI"/>
              </w:rPr>
            </w:pPr>
            <w:r w:rsidRPr="005E4BEA">
              <w:rPr>
                <w:rFonts w:eastAsia="MS Mincho" w:cs="Arial"/>
                <w:color w:val="000000"/>
                <w:szCs w:val="20"/>
              </w:rPr>
              <w:t>ARBOR MEA d.o.o.</w:t>
            </w:r>
          </w:p>
          <w:p w14:paraId="2DB7EB23" w14:textId="77777777" w:rsidR="00FE461F" w:rsidRPr="005E4BEA" w:rsidRDefault="00FE461F" w:rsidP="00FE461F">
            <w:pPr>
              <w:jc w:val="both"/>
              <w:rPr>
                <w:rFonts w:eastAsia="SimSun" w:cs="Arial"/>
                <w:szCs w:val="20"/>
                <w:lang w:eastAsia="zh-CN" w:bidi="hi-IN"/>
              </w:rPr>
            </w:pPr>
          </w:p>
        </w:tc>
        <w:tc>
          <w:tcPr>
            <w:tcW w:w="1227" w:type="dxa"/>
            <w:tcBorders>
              <w:top w:val="single" w:sz="4" w:space="0" w:color="000000"/>
              <w:left w:val="single" w:sz="4" w:space="0" w:color="000000"/>
              <w:bottom w:val="single" w:sz="4" w:space="0" w:color="000000"/>
              <w:right w:val="single" w:sz="4" w:space="0" w:color="000000"/>
            </w:tcBorders>
            <w:vAlign w:val="bottom"/>
          </w:tcPr>
          <w:p w14:paraId="03C46580"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100 uteži</w:t>
            </w:r>
          </w:p>
        </w:tc>
        <w:tc>
          <w:tcPr>
            <w:tcW w:w="1417" w:type="dxa"/>
            <w:tcBorders>
              <w:top w:val="single" w:sz="4" w:space="0" w:color="000000"/>
              <w:left w:val="single" w:sz="4" w:space="0" w:color="000000"/>
              <w:bottom w:val="single" w:sz="4" w:space="0" w:color="000000"/>
              <w:right w:val="single" w:sz="4" w:space="0" w:color="000000"/>
            </w:tcBorders>
            <w:vAlign w:val="center"/>
          </w:tcPr>
          <w:p w14:paraId="2076936D" w14:textId="77777777" w:rsidR="00FE461F" w:rsidRPr="005E4BEA" w:rsidRDefault="00FE461F" w:rsidP="00FE461F">
            <w:pPr>
              <w:jc w:val="both"/>
              <w:rPr>
                <w:rFonts w:eastAsia="Calibri" w:cs="Arial"/>
                <w:szCs w:val="20"/>
              </w:rPr>
            </w:pPr>
            <w:r w:rsidRPr="005E4BEA">
              <w:rPr>
                <w:rFonts w:eastAsia="Calibri" w:cs="Arial"/>
                <w:szCs w:val="20"/>
              </w:rPr>
              <w:t>146.503</w:t>
            </w:r>
          </w:p>
        </w:tc>
        <w:tc>
          <w:tcPr>
            <w:tcW w:w="1252" w:type="dxa"/>
            <w:tcBorders>
              <w:top w:val="single" w:sz="4" w:space="0" w:color="000000"/>
              <w:left w:val="single" w:sz="4" w:space="0" w:color="000000"/>
              <w:bottom w:val="single" w:sz="4" w:space="0" w:color="000000"/>
              <w:right w:val="single" w:sz="4" w:space="0" w:color="000000"/>
            </w:tcBorders>
            <w:vAlign w:val="center"/>
          </w:tcPr>
          <w:p w14:paraId="000291B8" w14:textId="77777777" w:rsidR="00FE461F" w:rsidRPr="005E4BEA" w:rsidRDefault="00FE461F" w:rsidP="00FE461F">
            <w:pPr>
              <w:jc w:val="both"/>
              <w:rPr>
                <w:rFonts w:eastAsia="Calibri" w:cs="Arial"/>
                <w:szCs w:val="20"/>
              </w:rPr>
            </w:pPr>
            <w:r w:rsidRPr="005E4BEA">
              <w:rPr>
                <w:rFonts w:eastAsia="Calibri" w:cs="Arial"/>
                <w:szCs w:val="20"/>
              </w:rPr>
              <w:t>109.877</w:t>
            </w:r>
          </w:p>
        </w:tc>
      </w:tr>
      <w:tr w:rsidR="00FE461F" w:rsidRPr="005E4BEA" w14:paraId="0D809425"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0B294BB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5</w:t>
            </w:r>
          </w:p>
        </w:tc>
        <w:tc>
          <w:tcPr>
            <w:tcW w:w="3013" w:type="dxa"/>
            <w:tcBorders>
              <w:top w:val="single" w:sz="4" w:space="0" w:color="000000"/>
              <w:left w:val="single" w:sz="4" w:space="0" w:color="000000"/>
              <w:bottom w:val="single" w:sz="4" w:space="0" w:color="000000"/>
              <w:right w:val="single" w:sz="4" w:space="0" w:color="000000"/>
            </w:tcBorders>
            <w:vAlign w:val="center"/>
          </w:tcPr>
          <w:p w14:paraId="4A49FCF3"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Splošna kirurgija</w:t>
            </w:r>
          </w:p>
        </w:tc>
        <w:tc>
          <w:tcPr>
            <w:tcW w:w="1533" w:type="dxa"/>
            <w:tcBorders>
              <w:top w:val="single" w:sz="4" w:space="0" w:color="000000"/>
              <w:left w:val="single" w:sz="4" w:space="0" w:color="000000"/>
              <w:bottom w:val="single" w:sz="4" w:space="0" w:color="000000"/>
              <w:right w:val="single" w:sz="4" w:space="0" w:color="000000"/>
            </w:tcBorders>
            <w:vAlign w:val="center"/>
          </w:tcPr>
          <w:p w14:paraId="1379D7D6" w14:textId="77777777" w:rsidR="00FE461F" w:rsidRPr="005E4BEA" w:rsidRDefault="00FE461F" w:rsidP="00FE461F">
            <w:pPr>
              <w:spacing w:line="240" w:lineRule="auto"/>
              <w:jc w:val="both"/>
              <w:rPr>
                <w:rFonts w:cs="Arial"/>
                <w:color w:val="000000"/>
                <w:szCs w:val="20"/>
                <w:lang w:eastAsia="sl-SI"/>
              </w:rPr>
            </w:pPr>
            <w:r w:rsidRPr="005E4BEA">
              <w:rPr>
                <w:rFonts w:eastAsia="MS Mincho" w:cs="Arial"/>
                <w:color w:val="000000"/>
                <w:szCs w:val="20"/>
              </w:rPr>
              <w:t>ARBOR MEA d.o.o.</w:t>
            </w:r>
          </w:p>
          <w:p w14:paraId="4459F340" w14:textId="77777777" w:rsidR="00FE461F" w:rsidRPr="005E4BEA" w:rsidRDefault="00FE461F" w:rsidP="00FE461F">
            <w:pPr>
              <w:spacing w:line="240" w:lineRule="auto"/>
              <w:jc w:val="both"/>
              <w:rPr>
                <w:rFonts w:eastAsia="MS Mincho" w:cs="Arial"/>
                <w:color w:val="000000"/>
                <w:szCs w:val="20"/>
              </w:rPr>
            </w:pPr>
          </w:p>
        </w:tc>
        <w:tc>
          <w:tcPr>
            <w:tcW w:w="1227" w:type="dxa"/>
            <w:tcBorders>
              <w:top w:val="single" w:sz="4" w:space="0" w:color="000000"/>
              <w:left w:val="single" w:sz="4" w:space="0" w:color="000000"/>
              <w:bottom w:val="single" w:sz="4" w:space="0" w:color="000000"/>
              <w:right w:val="single" w:sz="4" w:space="0" w:color="000000"/>
            </w:tcBorders>
            <w:vAlign w:val="bottom"/>
          </w:tcPr>
          <w:p w14:paraId="49D5B52B"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0,12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26940113" w14:textId="77777777" w:rsidR="00FE461F" w:rsidRPr="005E4BEA" w:rsidRDefault="00FE461F" w:rsidP="00FE461F">
            <w:pPr>
              <w:jc w:val="both"/>
              <w:rPr>
                <w:rFonts w:eastAsia="Calibri" w:cs="Arial"/>
                <w:szCs w:val="20"/>
              </w:rPr>
            </w:pPr>
            <w:r w:rsidRPr="005E4BEA">
              <w:rPr>
                <w:rFonts w:eastAsia="Calibri" w:cs="Arial"/>
                <w:szCs w:val="20"/>
              </w:rPr>
              <w:t>20.022</w:t>
            </w:r>
          </w:p>
        </w:tc>
        <w:tc>
          <w:tcPr>
            <w:tcW w:w="1252" w:type="dxa"/>
            <w:tcBorders>
              <w:top w:val="single" w:sz="4" w:space="0" w:color="000000"/>
              <w:left w:val="single" w:sz="4" w:space="0" w:color="000000"/>
              <w:bottom w:val="single" w:sz="4" w:space="0" w:color="000000"/>
              <w:right w:val="single" w:sz="4" w:space="0" w:color="000000"/>
            </w:tcBorders>
            <w:vAlign w:val="center"/>
          </w:tcPr>
          <w:p w14:paraId="16F9F033" w14:textId="77777777" w:rsidR="00FE461F" w:rsidRPr="005E4BEA" w:rsidRDefault="00FE461F" w:rsidP="00FE461F">
            <w:pPr>
              <w:jc w:val="both"/>
              <w:rPr>
                <w:rFonts w:eastAsia="Calibri" w:cs="Arial"/>
                <w:szCs w:val="20"/>
              </w:rPr>
            </w:pPr>
            <w:r w:rsidRPr="005E4BEA">
              <w:rPr>
                <w:rFonts w:eastAsia="Calibri" w:cs="Arial"/>
                <w:szCs w:val="20"/>
              </w:rPr>
              <w:t>15.017</w:t>
            </w:r>
          </w:p>
        </w:tc>
      </w:tr>
      <w:tr w:rsidR="00FE461F" w:rsidRPr="005E4BEA" w14:paraId="48DF1208"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18C00B16"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6</w:t>
            </w:r>
          </w:p>
        </w:tc>
        <w:tc>
          <w:tcPr>
            <w:tcW w:w="3013" w:type="dxa"/>
            <w:tcBorders>
              <w:top w:val="single" w:sz="4" w:space="0" w:color="000000"/>
              <w:left w:val="single" w:sz="4" w:space="0" w:color="000000"/>
              <w:bottom w:val="single" w:sz="4" w:space="0" w:color="000000"/>
              <w:right w:val="single" w:sz="4" w:space="0" w:color="000000"/>
            </w:tcBorders>
            <w:vAlign w:val="center"/>
          </w:tcPr>
          <w:p w14:paraId="1A7614F3"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Pulmologija brez RTG</w:t>
            </w:r>
          </w:p>
        </w:tc>
        <w:tc>
          <w:tcPr>
            <w:tcW w:w="1533" w:type="dxa"/>
            <w:tcBorders>
              <w:top w:val="single" w:sz="4" w:space="0" w:color="000000"/>
              <w:left w:val="single" w:sz="4" w:space="0" w:color="000000"/>
              <w:bottom w:val="single" w:sz="4" w:space="0" w:color="000000"/>
              <w:right w:val="single" w:sz="4" w:space="0" w:color="000000"/>
            </w:tcBorders>
            <w:vAlign w:val="center"/>
          </w:tcPr>
          <w:p w14:paraId="3F0E6C78"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Arjana Maček Cafuta</w:t>
            </w:r>
          </w:p>
        </w:tc>
        <w:tc>
          <w:tcPr>
            <w:tcW w:w="1227" w:type="dxa"/>
            <w:tcBorders>
              <w:top w:val="single" w:sz="4" w:space="0" w:color="000000"/>
              <w:left w:val="single" w:sz="4" w:space="0" w:color="000000"/>
              <w:bottom w:val="single" w:sz="4" w:space="0" w:color="000000"/>
              <w:right w:val="single" w:sz="4" w:space="0" w:color="000000"/>
            </w:tcBorders>
            <w:vAlign w:val="bottom"/>
          </w:tcPr>
          <w:p w14:paraId="2764084B"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0,18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439EF0C6" w14:textId="77777777" w:rsidR="00FE461F" w:rsidRPr="005E4BEA" w:rsidRDefault="00FE461F" w:rsidP="00FE461F">
            <w:pPr>
              <w:jc w:val="both"/>
              <w:rPr>
                <w:rFonts w:eastAsia="Calibri" w:cs="Arial"/>
                <w:szCs w:val="20"/>
              </w:rPr>
            </w:pPr>
            <w:r w:rsidRPr="005E4BEA">
              <w:rPr>
                <w:rFonts w:eastAsia="Calibri" w:cs="Arial"/>
                <w:szCs w:val="20"/>
              </w:rPr>
              <w:t>27.814</w:t>
            </w:r>
          </w:p>
        </w:tc>
        <w:tc>
          <w:tcPr>
            <w:tcW w:w="1252" w:type="dxa"/>
            <w:tcBorders>
              <w:top w:val="single" w:sz="4" w:space="0" w:color="000000"/>
              <w:left w:val="single" w:sz="4" w:space="0" w:color="000000"/>
              <w:bottom w:val="single" w:sz="4" w:space="0" w:color="000000"/>
              <w:right w:val="single" w:sz="4" w:space="0" w:color="000000"/>
            </w:tcBorders>
            <w:vAlign w:val="center"/>
          </w:tcPr>
          <w:p w14:paraId="4387B95E" w14:textId="77777777" w:rsidR="00FE461F" w:rsidRPr="005E4BEA" w:rsidRDefault="00FE461F" w:rsidP="00FE461F">
            <w:pPr>
              <w:jc w:val="both"/>
              <w:rPr>
                <w:rFonts w:eastAsia="Calibri" w:cs="Arial"/>
                <w:szCs w:val="20"/>
              </w:rPr>
            </w:pPr>
            <w:r w:rsidRPr="005E4BEA">
              <w:rPr>
                <w:rFonts w:eastAsia="Calibri" w:cs="Arial"/>
                <w:szCs w:val="20"/>
              </w:rPr>
              <w:t>20.861</w:t>
            </w:r>
          </w:p>
        </w:tc>
      </w:tr>
      <w:tr w:rsidR="00FE461F" w:rsidRPr="005E4BEA" w14:paraId="05AA639E"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30C3904D"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7</w:t>
            </w:r>
          </w:p>
        </w:tc>
        <w:tc>
          <w:tcPr>
            <w:tcW w:w="3013" w:type="dxa"/>
            <w:tcBorders>
              <w:top w:val="single" w:sz="4" w:space="0" w:color="000000"/>
              <w:left w:val="single" w:sz="4" w:space="0" w:color="000000"/>
              <w:bottom w:val="single" w:sz="4" w:space="0" w:color="000000"/>
              <w:right w:val="single" w:sz="4" w:space="0" w:color="000000"/>
            </w:tcBorders>
            <w:vAlign w:val="center"/>
          </w:tcPr>
          <w:p w14:paraId="5983BA2E"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Pulmologija z RTG</w:t>
            </w:r>
          </w:p>
        </w:tc>
        <w:tc>
          <w:tcPr>
            <w:tcW w:w="1533" w:type="dxa"/>
            <w:tcBorders>
              <w:top w:val="single" w:sz="4" w:space="0" w:color="000000"/>
              <w:left w:val="single" w:sz="4" w:space="0" w:color="000000"/>
              <w:bottom w:val="single" w:sz="4" w:space="0" w:color="000000"/>
              <w:right w:val="single" w:sz="4" w:space="0" w:color="000000"/>
            </w:tcBorders>
            <w:vAlign w:val="center"/>
          </w:tcPr>
          <w:p w14:paraId="2D8A593E"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Arjana Maček Cafuta</w:t>
            </w:r>
          </w:p>
        </w:tc>
        <w:tc>
          <w:tcPr>
            <w:tcW w:w="1227" w:type="dxa"/>
            <w:tcBorders>
              <w:top w:val="single" w:sz="4" w:space="0" w:color="000000"/>
              <w:left w:val="single" w:sz="4" w:space="0" w:color="000000"/>
              <w:bottom w:val="single" w:sz="4" w:space="0" w:color="000000"/>
              <w:right w:val="single" w:sz="4" w:space="0" w:color="000000"/>
            </w:tcBorders>
            <w:vAlign w:val="bottom"/>
          </w:tcPr>
          <w:p w14:paraId="2F8E73E5"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0,02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0700DFE7" w14:textId="77777777" w:rsidR="00FE461F" w:rsidRPr="005E4BEA" w:rsidRDefault="00FE461F" w:rsidP="00FE461F">
            <w:pPr>
              <w:jc w:val="both"/>
              <w:rPr>
                <w:rFonts w:eastAsia="Calibri" w:cs="Arial"/>
                <w:szCs w:val="20"/>
              </w:rPr>
            </w:pPr>
            <w:r w:rsidRPr="005E4BEA">
              <w:rPr>
                <w:rFonts w:eastAsia="Calibri" w:cs="Arial"/>
                <w:szCs w:val="20"/>
              </w:rPr>
              <w:t>4.397</w:t>
            </w:r>
          </w:p>
        </w:tc>
        <w:tc>
          <w:tcPr>
            <w:tcW w:w="1252" w:type="dxa"/>
            <w:tcBorders>
              <w:top w:val="single" w:sz="4" w:space="0" w:color="000000"/>
              <w:left w:val="single" w:sz="4" w:space="0" w:color="000000"/>
              <w:bottom w:val="single" w:sz="4" w:space="0" w:color="000000"/>
              <w:right w:val="single" w:sz="4" w:space="0" w:color="000000"/>
            </w:tcBorders>
            <w:vAlign w:val="center"/>
          </w:tcPr>
          <w:p w14:paraId="479A4DE0" w14:textId="77777777" w:rsidR="00FE461F" w:rsidRPr="005E4BEA" w:rsidRDefault="00FE461F" w:rsidP="00FE461F">
            <w:pPr>
              <w:jc w:val="both"/>
              <w:rPr>
                <w:rFonts w:eastAsia="Calibri" w:cs="Arial"/>
                <w:szCs w:val="20"/>
              </w:rPr>
            </w:pPr>
            <w:r w:rsidRPr="005E4BEA">
              <w:rPr>
                <w:rFonts w:eastAsia="Calibri" w:cs="Arial"/>
                <w:szCs w:val="20"/>
              </w:rPr>
              <w:t>3.298</w:t>
            </w:r>
          </w:p>
        </w:tc>
      </w:tr>
      <w:tr w:rsidR="00FE461F" w:rsidRPr="005E4BEA" w14:paraId="01C71F2F"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74BC64AF"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8</w:t>
            </w:r>
          </w:p>
        </w:tc>
        <w:tc>
          <w:tcPr>
            <w:tcW w:w="3013" w:type="dxa"/>
            <w:tcBorders>
              <w:top w:val="single" w:sz="4" w:space="0" w:color="000000"/>
              <w:left w:val="single" w:sz="4" w:space="0" w:color="000000"/>
              <w:bottom w:val="single" w:sz="4" w:space="0" w:color="000000"/>
              <w:right w:val="single" w:sz="4" w:space="0" w:color="000000"/>
            </w:tcBorders>
            <w:vAlign w:val="center"/>
          </w:tcPr>
          <w:p w14:paraId="7A6F87EE" w14:textId="71081C49"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 xml:space="preserve">Dermatovenerologija in </w:t>
            </w:r>
            <w:proofErr w:type="spellStart"/>
            <w:r w:rsidRPr="005E4BEA">
              <w:rPr>
                <w:rFonts w:eastAsia="MS Mincho" w:cs="Arial"/>
                <w:color w:val="000000"/>
                <w:szCs w:val="20"/>
              </w:rPr>
              <w:t>alergologija</w:t>
            </w:r>
            <w:proofErr w:type="spellEnd"/>
            <w:r w:rsidRPr="005E4BEA">
              <w:rPr>
                <w:rFonts w:eastAsia="MS Mincho" w:cs="Arial"/>
                <w:color w:val="000000"/>
                <w:szCs w:val="20"/>
              </w:rPr>
              <w:t xml:space="preserve"> </w:t>
            </w:r>
          </w:p>
        </w:tc>
        <w:tc>
          <w:tcPr>
            <w:tcW w:w="1533" w:type="dxa"/>
            <w:tcBorders>
              <w:top w:val="single" w:sz="4" w:space="0" w:color="000000"/>
              <w:left w:val="single" w:sz="4" w:space="0" w:color="000000"/>
              <w:bottom w:val="single" w:sz="4" w:space="0" w:color="000000"/>
              <w:right w:val="single" w:sz="4" w:space="0" w:color="000000"/>
            </w:tcBorders>
            <w:vAlign w:val="center"/>
          </w:tcPr>
          <w:p w14:paraId="23BEA721"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Dermis</w:t>
            </w:r>
            <w:proofErr w:type="spellEnd"/>
            <w:r w:rsidRPr="005E4BEA">
              <w:rPr>
                <w:rFonts w:eastAsia="MS Mincho" w:cs="Arial"/>
                <w:color w:val="000000"/>
                <w:szCs w:val="20"/>
              </w:rPr>
              <w:t xml:space="preserve">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641E6598"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7D2C526E" w14:textId="77777777" w:rsidR="00FE461F" w:rsidRPr="005E4BEA" w:rsidRDefault="00FE461F" w:rsidP="00FE461F">
            <w:pPr>
              <w:jc w:val="both"/>
              <w:rPr>
                <w:rFonts w:eastAsia="Calibri" w:cs="Arial"/>
                <w:szCs w:val="20"/>
              </w:rPr>
            </w:pPr>
            <w:r w:rsidRPr="005E4BEA">
              <w:rPr>
                <w:rFonts w:eastAsia="Calibri" w:cs="Arial"/>
                <w:szCs w:val="20"/>
              </w:rPr>
              <w:t>13.230</w:t>
            </w:r>
          </w:p>
        </w:tc>
        <w:tc>
          <w:tcPr>
            <w:tcW w:w="1252" w:type="dxa"/>
            <w:tcBorders>
              <w:top w:val="single" w:sz="4" w:space="0" w:color="000000"/>
              <w:left w:val="single" w:sz="4" w:space="0" w:color="000000"/>
              <w:bottom w:val="single" w:sz="4" w:space="0" w:color="000000"/>
              <w:right w:val="single" w:sz="4" w:space="0" w:color="000000"/>
            </w:tcBorders>
            <w:vAlign w:val="center"/>
          </w:tcPr>
          <w:p w14:paraId="28633A7A" w14:textId="77777777" w:rsidR="00FE461F" w:rsidRPr="005E4BEA" w:rsidRDefault="00FE461F" w:rsidP="00FE461F">
            <w:pPr>
              <w:jc w:val="both"/>
              <w:rPr>
                <w:rFonts w:eastAsia="Calibri" w:cs="Arial"/>
                <w:szCs w:val="20"/>
              </w:rPr>
            </w:pPr>
            <w:r w:rsidRPr="005E4BEA">
              <w:rPr>
                <w:rFonts w:eastAsia="Calibri" w:cs="Arial"/>
                <w:szCs w:val="20"/>
              </w:rPr>
              <w:t>9.923</w:t>
            </w:r>
          </w:p>
        </w:tc>
      </w:tr>
      <w:tr w:rsidR="00FE461F" w:rsidRPr="005E4BEA" w14:paraId="77A01F73"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4F03FEC7"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9</w:t>
            </w:r>
          </w:p>
        </w:tc>
        <w:tc>
          <w:tcPr>
            <w:tcW w:w="3013" w:type="dxa"/>
            <w:tcBorders>
              <w:top w:val="single" w:sz="4" w:space="0" w:color="000000"/>
              <w:left w:val="single" w:sz="4" w:space="0" w:color="000000"/>
              <w:bottom w:val="single" w:sz="4" w:space="0" w:color="000000"/>
              <w:right w:val="single" w:sz="4" w:space="0" w:color="000000"/>
            </w:tcBorders>
            <w:vAlign w:val="center"/>
          </w:tcPr>
          <w:p w14:paraId="6751F4AE"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Paradontologija</w:t>
            </w:r>
            <w:proofErr w:type="spellEnd"/>
          </w:p>
        </w:tc>
        <w:tc>
          <w:tcPr>
            <w:tcW w:w="1533" w:type="dxa"/>
            <w:tcBorders>
              <w:top w:val="single" w:sz="4" w:space="0" w:color="000000"/>
              <w:left w:val="single" w:sz="4" w:space="0" w:color="000000"/>
              <w:bottom w:val="single" w:sz="4" w:space="0" w:color="000000"/>
              <w:right w:val="single" w:sz="4" w:space="0" w:color="000000"/>
            </w:tcBorders>
            <w:vAlign w:val="center"/>
          </w:tcPr>
          <w:p w14:paraId="4E24A6A1"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Dr.  Čok DENTAL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6F194C25"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 xml:space="preserve">0,12 </w:t>
            </w:r>
            <w:proofErr w:type="spellStart"/>
            <w:r w:rsidRPr="005E4BEA">
              <w:rPr>
                <w:rFonts w:eastAsia="SimSun" w:cs="Arial"/>
                <w:szCs w:val="20"/>
                <w:lang w:eastAsia="zh-CN" w:bidi="hi-IN"/>
              </w:rPr>
              <w:t>tma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388B2998" w14:textId="77777777" w:rsidR="00FE461F" w:rsidRPr="005E4BEA" w:rsidRDefault="00FE461F" w:rsidP="00FE461F">
            <w:pPr>
              <w:jc w:val="both"/>
              <w:rPr>
                <w:rFonts w:eastAsia="Calibri" w:cs="Arial"/>
                <w:szCs w:val="20"/>
              </w:rPr>
            </w:pPr>
            <w:r w:rsidRPr="005E4BEA">
              <w:rPr>
                <w:rFonts w:eastAsia="Calibri" w:cs="Arial"/>
                <w:szCs w:val="20"/>
              </w:rPr>
              <w:t>16.750</w:t>
            </w:r>
          </w:p>
        </w:tc>
        <w:tc>
          <w:tcPr>
            <w:tcW w:w="1252" w:type="dxa"/>
            <w:tcBorders>
              <w:top w:val="single" w:sz="4" w:space="0" w:color="000000"/>
              <w:left w:val="single" w:sz="4" w:space="0" w:color="000000"/>
              <w:bottom w:val="single" w:sz="4" w:space="0" w:color="000000"/>
              <w:right w:val="single" w:sz="4" w:space="0" w:color="000000"/>
            </w:tcBorders>
            <w:vAlign w:val="center"/>
          </w:tcPr>
          <w:p w14:paraId="4DC77353" w14:textId="77777777" w:rsidR="00FE461F" w:rsidRPr="005E4BEA" w:rsidRDefault="00FE461F" w:rsidP="00FE461F">
            <w:pPr>
              <w:jc w:val="both"/>
              <w:rPr>
                <w:rFonts w:eastAsia="Calibri" w:cs="Arial"/>
                <w:szCs w:val="20"/>
              </w:rPr>
            </w:pPr>
            <w:r w:rsidRPr="005E4BEA">
              <w:rPr>
                <w:rFonts w:eastAsia="Calibri" w:cs="Arial"/>
                <w:szCs w:val="20"/>
              </w:rPr>
              <w:t>12.563</w:t>
            </w:r>
          </w:p>
        </w:tc>
      </w:tr>
      <w:tr w:rsidR="00FE461F" w:rsidRPr="005E4BEA" w14:paraId="1B87954F"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54E378FC"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10</w:t>
            </w:r>
          </w:p>
        </w:tc>
        <w:tc>
          <w:tcPr>
            <w:tcW w:w="3013" w:type="dxa"/>
            <w:tcBorders>
              <w:top w:val="single" w:sz="4" w:space="0" w:color="000000"/>
              <w:left w:val="single" w:sz="4" w:space="0" w:color="000000"/>
              <w:bottom w:val="single" w:sz="4" w:space="0" w:color="000000"/>
              <w:right w:val="single" w:sz="4" w:space="0" w:color="000000"/>
            </w:tcBorders>
            <w:vAlign w:val="center"/>
          </w:tcPr>
          <w:p w14:paraId="35A53F47"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Pulmologija z RTG</w:t>
            </w:r>
          </w:p>
        </w:tc>
        <w:tc>
          <w:tcPr>
            <w:tcW w:w="1533" w:type="dxa"/>
            <w:tcBorders>
              <w:top w:val="single" w:sz="4" w:space="0" w:color="000000"/>
              <w:left w:val="single" w:sz="4" w:space="0" w:color="000000"/>
              <w:bottom w:val="single" w:sz="4" w:space="0" w:color="000000"/>
              <w:right w:val="single" w:sz="4" w:space="0" w:color="000000"/>
            </w:tcBorders>
            <w:vAlign w:val="center"/>
          </w:tcPr>
          <w:p w14:paraId="1F795791"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 xml:space="preserve">Dr. </w:t>
            </w:r>
            <w:proofErr w:type="spellStart"/>
            <w:r w:rsidRPr="005E4BEA">
              <w:rPr>
                <w:rFonts w:eastAsia="MS Mincho" w:cs="Arial"/>
                <w:color w:val="000000"/>
                <w:szCs w:val="20"/>
              </w:rPr>
              <w:t>Šegota</w:t>
            </w:r>
            <w:proofErr w:type="spellEnd"/>
            <w:r w:rsidRPr="005E4BEA">
              <w:rPr>
                <w:rFonts w:eastAsia="MS Mincho" w:cs="Arial"/>
                <w:color w:val="000000"/>
                <w:szCs w:val="20"/>
              </w:rPr>
              <w:t xml:space="preserve"> – pulmolog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0D21282D"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4C0EF94C" w14:textId="77777777" w:rsidR="00FE461F" w:rsidRPr="005E4BEA" w:rsidRDefault="00FE461F" w:rsidP="00FE461F">
            <w:pPr>
              <w:jc w:val="both"/>
              <w:rPr>
                <w:rFonts w:eastAsia="Calibri" w:cs="Arial"/>
                <w:szCs w:val="20"/>
              </w:rPr>
            </w:pPr>
            <w:r w:rsidRPr="005E4BEA">
              <w:rPr>
                <w:rFonts w:eastAsia="Calibri" w:cs="Arial"/>
                <w:szCs w:val="20"/>
              </w:rPr>
              <w:t>21.989</w:t>
            </w:r>
          </w:p>
        </w:tc>
        <w:tc>
          <w:tcPr>
            <w:tcW w:w="1252" w:type="dxa"/>
            <w:tcBorders>
              <w:top w:val="single" w:sz="4" w:space="0" w:color="000000"/>
              <w:left w:val="single" w:sz="4" w:space="0" w:color="000000"/>
              <w:bottom w:val="single" w:sz="4" w:space="0" w:color="000000"/>
              <w:right w:val="single" w:sz="4" w:space="0" w:color="000000"/>
            </w:tcBorders>
            <w:vAlign w:val="center"/>
          </w:tcPr>
          <w:p w14:paraId="757EC63A" w14:textId="77777777" w:rsidR="00FE461F" w:rsidRPr="005E4BEA" w:rsidRDefault="00FE461F" w:rsidP="00FE461F">
            <w:pPr>
              <w:jc w:val="both"/>
              <w:rPr>
                <w:rFonts w:eastAsia="Calibri" w:cs="Arial"/>
                <w:szCs w:val="20"/>
              </w:rPr>
            </w:pPr>
            <w:r w:rsidRPr="005E4BEA">
              <w:rPr>
                <w:rFonts w:eastAsia="Calibri" w:cs="Arial"/>
                <w:szCs w:val="20"/>
              </w:rPr>
              <w:t>16.492</w:t>
            </w:r>
          </w:p>
        </w:tc>
      </w:tr>
      <w:tr w:rsidR="00FE461F" w:rsidRPr="005E4BEA" w14:paraId="4987D1E3"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shd w:val="clear" w:color="auto" w:fill="auto"/>
          </w:tcPr>
          <w:p w14:paraId="3B77C37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11</w:t>
            </w:r>
          </w:p>
        </w:tc>
        <w:tc>
          <w:tcPr>
            <w:tcW w:w="3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2051D"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Pulmologija z RTG</w:t>
            </w:r>
          </w:p>
        </w:tc>
        <w:tc>
          <w:tcPr>
            <w:tcW w:w="1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B30C9"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KAMBIČ KAFOL d.o.o.</w:t>
            </w:r>
          </w:p>
        </w:tc>
        <w:tc>
          <w:tcPr>
            <w:tcW w:w="1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EB3D40"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0,09 tima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99CDC" w14:textId="77777777" w:rsidR="00FE461F" w:rsidRPr="005E4BEA" w:rsidRDefault="00FE461F" w:rsidP="00FE461F">
            <w:pPr>
              <w:jc w:val="both"/>
              <w:rPr>
                <w:rFonts w:eastAsia="Calibri" w:cs="Arial"/>
                <w:szCs w:val="20"/>
              </w:rPr>
            </w:pPr>
            <w:r w:rsidRPr="005E4BEA">
              <w:rPr>
                <w:rFonts w:eastAsia="Calibri" w:cs="Arial"/>
                <w:szCs w:val="20"/>
              </w:rPr>
              <w:t>19.790</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3913F" w14:textId="77777777" w:rsidR="00FE461F" w:rsidRPr="005E4BEA" w:rsidRDefault="00FE461F" w:rsidP="00FE461F">
            <w:pPr>
              <w:jc w:val="both"/>
              <w:rPr>
                <w:rFonts w:eastAsia="Calibri" w:cs="Arial"/>
                <w:szCs w:val="20"/>
              </w:rPr>
            </w:pPr>
            <w:r w:rsidRPr="005E4BEA">
              <w:rPr>
                <w:rFonts w:eastAsia="Calibri" w:cs="Arial"/>
                <w:szCs w:val="20"/>
              </w:rPr>
              <w:t>14.843</w:t>
            </w:r>
          </w:p>
        </w:tc>
      </w:tr>
      <w:tr w:rsidR="00FE461F" w:rsidRPr="005E4BEA" w14:paraId="6C9DC77E"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7A8BCD8C"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12</w:t>
            </w:r>
          </w:p>
        </w:tc>
        <w:tc>
          <w:tcPr>
            <w:tcW w:w="3013" w:type="dxa"/>
            <w:tcBorders>
              <w:top w:val="single" w:sz="4" w:space="0" w:color="000000"/>
              <w:left w:val="single" w:sz="4" w:space="0" w:color="000000"/>
              <w:bottom w:val="single" w:sz="4" w:space="0" w:color="000000"/>
              <w:right w:val="single" w:sz="4" w:space="0" w:color="000000"/>
            </w:tcBorders>
            <w:vAlign w:val="center"/>
          </w:tcPr>
          <w:p w14:paraId="60597D20"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Pediatrija</w:t>
            </w:r>
          </w:p>
        </w:tc>
        <w:tc>
          <w:tcPr>
            <w:tcW w:w="1533" w:type="dxa"/>
            <w:tcBorders>
              <w:top w:val="single" w:sz="4" w:space="0" w:color="000000"/>
              <w:left w:val="single" w:sz="4" w:space="0" w:color="000000"/>
              <w:bottom w:val="single" w:sz="4" w:space="0" w:color="000000"/>
              <w:right w:val="single" w:sz="4" w:space="0" w:color="000000"/>
            </w:tcBorders>
            <w:vAlign w:val="center"/>
          </w:tcPr>
          <w:p w14:paraId="64222BD6"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Inštitut za avtizem</w:t>
            </w:r>
          </w:p>
        </w:tc>
        <w:tc>
          <w:tcPr>
            <w:tcW w:w="1227" w:type="dxa"/>
            <w:tcBorders>
              <w:top w:val="single" w:sz="4" w:space="0" w:color="000000"/>
              <w:left w:val="single" w:sz="4" w:space="0" w:color="000000"/>
              <w:bottom w:val="single" w:sz="4" w:space="0" w:color="000000"/>
              <w:right w:val="single" w:sz="4" w:space="0" w:color="000000"/>
            </w:tcBorders>
            <w:vAlign w:val="bottom"/>
          </w:tcPr>
          <w:p w14:paraId="0DF88A36"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0,144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12DAE873" w14:textId="77777777" w:rsidR="00FE461F" w:rsidRPr="005E4BEA" w:rsidRDefault="00FE461F" w:rsidP="00FE461F">
            <w:pPr>
              <w:jc w:val="both"/>
              <w:rPr>
                <w:rFonts w:eastAsia="Calibri" w:cs="Arial"/>
                <w:szCs w:val="20"/>
              </w:rPr>
            </w:pPr>
            <w:r w:rsidRPr="005E4BEA">
              <w:rPr>
                <w:rFonts w:eastAsia="Calibri" w:cs="Arial"/>
                <w:szCs w:val="20"/>
              </w:rPr>
              <w:t>20.832</w:t>
            </w:r>
          </w:p>
        </w:tc>
        <w:tc>
          <w:tcPr>
            <w:tcW w:w="1252" w:type="dxa"/>
            <w:tcBorders>
              <w:top w:val="single" w:sz="4" w:space="0" w:color="000000"/>
              <w:left w:val="single" w:sz="4" w:space="0" w:color="000000"/>
              <w:bottom w:val="single" w:sz="4" w:space="0" w:color="000000"/>
              <w:right w:val="single" w:sz="4" w:space="0" w:color="000000"/>
            </w:tcBorders>
            <w:vAlign w:val="center"/>
          </w:tcPr>
          <w:p w14:paraId="73144B68" w14:textId="77777777" w:rsidR="00FE461F" w:rsidRPr="005E4BEA" w:rsidRDefault="00FE461F" w:rsidP="00FE461F">
            <w:pPr>
              <w:jc w:val="both"/>
              <w:rPr>
                <w:rFonts w:eastAsia="Calibri" w:cs="Arial"/>
                <w:szCs w:val="20"/>
              </w:rPr>
            </w:pPr>
            <w:r w:rsidRPr="005E4BEA">
              <w:rPr>
                <w:rFonts w:eastAsia="Calibri" w:cs="Arial"/>
                <w:szCs w:val="20"/>
              </w:rPr>
              <w:t>15.625</w:t>
            </w:r>
          </w:p>
        </w:tc>
      </w:tr>
      <w:tr w:rsidR="00FE461F" w:rsidRPr="005E4BEA" w14:paraId="57FEFE8D"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7BFB3092"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13</w:t>
            </w:r>
          </w:p>
        </w:tc>
        <w:tc>
          <w:tcPr>
            <w:tcW w:w="3013" w:type="dxa"/>
            <w:tcBorders>
              <w:top w:val="single" w:sz="4" w:space="0" w:color="000000"/>
              <w:left w:val="single" w:sz="4" w:space="0" w:color="000000"/>
              <w:bottom w:val="single" w:sz="4" w:space="0" w:color="000000"/>
              <w:right w:val="single" w:sz="4" w:space="0" w:color="000000"/>
            </w:tcBorders>
          </w:tcPr>
          <w:p w14:paraId="6E833E5B"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Oftamologija</w:t>
            </w:r>
            <w:proofErr w:type="spellEnd"/>
            <w:r w:rsidRPr="005E4BEA">
              <w:rPr>
                <w:rFonts w:eastAsia="MS Mincho" w:cs="Arial"/>
                <w:color w:val="000000"/>
                <w:szCs w:val="20"/>
              </w:rPr>
              <w:t xml:space="preserve"> – okulistična ambulanta</w:t>
            </w:r>
          </w:p>
        </w:tc>
        <w:tc>
          <w:tcPr>
            <w:tcW w:w="1533" w:type="dxa"/>
            <w:tcBorders>
              <w:top w:val="single" w:sz="4" w:space="0" w:color="000000"/>
              <w:left w:val="single" w:sz="4" w:space="0" w:color="000000"/>
              <w:bottom w:val="single" w:sz="4" w:space="0" w:color="000000"/>
              <w:right w:val="single" w:sz="4" w:space="0" w:color="000000"/>
            </w:tcBorders>
            <w:vAlign w:val="center"/>
          </w:tcPr>
          <w:p w14:paraId="3BFC29DC"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Kameleon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53DEC00D"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0,24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237A987A" w14:textId="77777777" w:rsidR="00FE461F" w:rsidRPr="005E4BEA" w:rsidRDefault="00FE461F" w:rsidP="00FE461F">
            <w:pPr>
              <w:jc w:val="both"/>
              <w:rPr>
                <w:rFonts w:eastAsia="Calibri" w:cs="Arial"/>
                <w:szCs w:val="20"/>
              </w:rPr>
            </w:pPr>
            <w:r w:rsidRPr="005E4BEA">
              <w:rPr>
                <w:rFonts w:eastAsia="Calibri" w:cs="Arial"/>
                <w:szCs w:val="20"/>
              </w:rPr>
              <w:t>32.261</w:t>
            </w:r>
          </w:p>
        </w:tc>
        <w:tc>
          <w:tcPr>
            <w:tcW w:w="1252" w:type="dxa"/>
            <w:tcBorders>
              <w:top w:val="single" w:sz="4" w:space="0" w:color="000000"/>
              <w:left w:val="single" w:sz="4" w:space="0" w:color="000000"/>
              <w:bottom w:val="single" w:sz="4" w:space="0" w:color="000000"/>
              <w:right w:val="single" w:sz="4" w:space="0" w:color="000000"/>
            </w:tcBorders>
            <w:vAlign w:val="center"/>
          </w:tcPr>
          <w:p w14:paraId="31384D6C" w14:textId="77777777" w:rsidR="00FE461F" w:rsidRPr="005E4BEA" w:rsidRDefault="00FE461F" w:rsidP="00FE461F">
            <w:pPr>
              <w:jc w:val="both"/>
              <w:rPr>
                <w:rFonts w:eastAsia="Calibri" w:cs="Arial"/>
                <w:szCs w:val="20"/>
              </w:rPr>
            </w:pPr>
            <w:r w:rsidRPr="005E4BEA">
              <w:rPr>
                <w:rFonts w:eastAsia="Calibri" w:cs="Arial"/>
                <w:szCs w:val="20"/>
              </w:rPr>
              <w:t>24.195</w:t>
            </w:r>
          </w:p>
        </w:tc>
      </w:tr>
      <w:tr w:rsidR="00FE461F" w:rsidRPr="005E4BEA" w14:paraId="1D630531"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6C784AA6"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14</w:t>
            </w:r>
          </w:p>
        </w:tc>
        <w:tc>
          <w:tcPr>
            <w:tcW w:w="3013" w:type="dxa"/>
            <w:tcBorders>
              <w:top w:val="single" w:sz="4" w:space="0" w:color="000000"/>
              <w:left w:val="single" w:sz="4" w:space="0" w:color="000000"/>
              <w:bottom w:val="single" w:sz="4" w:space="0" w:color="000000"/>
              <w:right w:val="single" w:sz="4" w:space="0" w:color="000000"/>
            </w:tcBorders>
          </w:tcPr>
          <w:p w14:paraId="5DD4C3EE"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Oftamologija</w:t>
            </w:r>
            <w:proofErr w:type="spellEnd"/>
            <w:r w:rsidRPr="005E4BEA">
              <w:rPr>
                <w:rFonts w:eastAsia="MS Mincho" w:cs="Arial"/>
                <w:color w:val="000000"/>
                <w:szCs w:val="20"/>
              </w:rPr>
              <w:t xml:space="preserve"> – okulistična ambulanta</w:t>
            </w:r>
          </w:p>
        </w:tc>
        <w:tc>
          <w:tcPr>
            <w:tcW w:w="1533" w:type="dxa"/>
            <w:tcBorders>
              <w:top w:val="single" w:sz="4" w:space="0" w:color="000000"/>
              <w:left w:val="single" w:sz="4" w:space="0" w:color="000000"/>
              <w:bottom w:val="single" w:sz="4" w:space="0" w:color="000000"/>
              <w:right w:val="single" w:sz="4" w:space="0" w:color="000000"/>
            </w:tcBorders>
            <w:vAlign w:val="center"/>
          </w:tcPr>
          <w:p w14:paraId="466D6497"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Ophtacom</w:t>
            </w:r>
            <w:proofErr w:type="spellEnd"/>
            <w:r w:rsidRPr="005E4BEA">
              <w:rPr>
                <w:rFonts w:eastAsia="MS Mincho" w:cs="Arial"/>
                <w:color w:val="000000"/>
                <w:szCs w:val="20"/>
              </w:rPr>
              <w:t xml:space="preserve"> d.o.o. </w:t>
            </w:r>
          </w:p>
        </w:tc>
        <w:tc>
          <w:tcPr>
            <w:tcW w:w="1227" w:type="dxa"/>
            <w:tcBorders>
              <w:top w:val="single" w:sz="4" w:space="0" w:color="000000"/>
              <w:left w:val="single" w:sz="4" w:space="0" w:color="000000"/>
              <w:bottom w:val="single" w:sz="4" w:space="0" w:color="000000"/>
              <w:right w:val="single" w:sz="4" w:space="0" w:color="000000"/>
            </w:tcBorders>
            <w:vAlign w:val="bottom"/>
          </w:tcPr>
          <w:p w14:paraId="6DB8DA9B"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0,2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67A75FC5" w14:textId="77777777" w:rsidR="00FE461F" w:rsidRPr="005E4BEA" w:rsidRDefault="00FE461F" w:rsidP="00FE461F">
            <w:pPr>
              <w:jc w:val="both"/>
              <w:rPr>
                <w:rFonts w:eastAsia="Calibri" w:cs="Arial"/>
                <w:szCs w:val="20"/>
              </w:rPr>
            </w:pPr>
            <w:r w:rsidRPr="005E4BEA">
              <w:rPr>
                <w:rFonts w:eastAsia="Calibri" w:cs="Arial"/>
                <w:szCs w:val="20"/>
              </w:rPr>
              <w:t>26.883</w:t>
            </w:r>
          </w:p>
        </w:tc>
        <w:tc>
          <w:tcPr>
            <w:tcW w:w="1252" w:type="dxa"/>
            <w:tcBorders>
              <w:top w:val="single" w:sz="4" w:space="0" w:color="000000"/>
              <w:left w:val="single" w:sz="4" w:space="0" w:color="000000"/>
              <w:bottom w:val="single" w:sz="4" w:space="0" w:color="000000"/>
              <w:right w:val="single" w:sz="4" w:space="0" w:color="000000"/>
            </w:tcBorders>
            <w:vAlign w:val="center"/>
          </w:tcPr>
          <w:p w14:paraId="1B120553" w14:textId="77777777" w:rsidR="00FE461F" w:rsidRPr="005E4BEA" w:rsidRDefault="00FE461F" w:rsidP="00FE461F">
            <w:pPr>
              <w:jc w:val="both"/>
              <w:rPr>
                <w:rFonts w:eastAsia="Calibri" w:cs="Arial"/>
                <w:szCs w:val="20"/>
              </w:rPr>
            </w:pPr>
            <w:r w:rsidRPr="005E4BEA">
              <w:rPr>
                <w:rFonts w:eastAsia="Calibri" w:cs="Arial"/>
                <w:szCs w:val="20"/>
              </w:rPr>
              <w:t>20.163</w:t>
            </w:r>
          </w:p>
        </w:tc>
      </w:tr>
      <w:tr w:rsidR="00FE461F" w:rsidRPr="005E4BEA" w14:paraId="3FD5E45B"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7ACAD993"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15</w:t>
            </w:r>
          </w:p>
        </w:tc>
        <w:tc>
          <w:tcPr>
            <w:tcW w:w="3013" w:type="dxa"/>
            <w:tcBorders>
              <w:top w:val="single" w:sz="4" w:space="0" w:color="000000"/>
              <w:left w:val="single" w:sz="4" w:space="0" w:color="000000"/>
              <w:bottom w:val="single" w:sz="4" w:space="0" w:color="000000"/>
              <w:right w:val="single" w:sz="4" w:space="0" w:color="000000"/>
            </w:tcBorders>
          </w:tcPr>
          <w:p w14:paraId="5309E61F"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Oftamologija</w:t>
            </w:r>
            <w:proofErr w:type="spellEnd"/>
            <w:r w:rsidRPr="005E4BEA">
              <w:rPr>
                <w:rFonts w:eastAsia="MS Mincho" w:cs="Arial"/>
                <w:color w:val="000000"/>
                <w:szCs w:val="20"/>
              </w:rPr>
              <w:t xml:space="preserve"> – operacija katarakte</w:t>
            </w:r>
          </w:p>
        </w:tc>
        <w:tc>
          <w:tcPr>
            <w:tcW w:w="1533" w:type="dxa"/>
            <w:tcBorders>
              <w:top w:val="single" w:sz="4" w:space="0" w:color="000000"/>
              <w:left w:val="single" w:sz="4" w:space="0" w:color="000000"/>
              <w:bottom w:val="single" w:sz="4" w:space="0" w:color="000000"/>
              <w:right w:val="single" w:sz="4" w:space="0" w:color="000000"/>
            </w:tcBorders>
            <w:vAlign w:val="center"/>
          </w:tcPr>
          <w:p w14:paraId="3DCE07B5"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Novak Brecelj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240A796E"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0,186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40E14029" w14:textId="77777777" w:rsidR="00FE461F" w:rsidRPr="005E4BEA" w:rsidRDefault="00FE461F" w:rsidP="00FE461F">
            <w:pPr>
              <w:jc w:val="both"/>
              <w:rPr>
                <w:rFonts w:eastAsia="Calibri" w:cs="Arial"/>
                <w:szCs w:val="20"/>
              </w:rPr>
            </w:pPr>
            <w:r w:rsidRPr="005E4BEA">
              <w:rPr>
                <w:rFonts w:eastAsia="Calibri" w:cs="Arial"/>
                <w:szCs w:val="20"/>
              </w:rPr>
              <w:t>19.711</w:t>
            </w:r>
          </w:p>
        </w:tc>
        <w:tc>
          <w:tcPr>
            <w:tcW w:w="1252" w:type="dxa"/>
            <w:tcBorders>
              <w:top w:val="single" w:sz="4" w:space="0" w:color="000000"/>
              <w:left w:val="single" w:sz="4" w:space="0" w:color="000000"/>
              <w:bottom w:val="single" w:sz="4" w:space="0" w:color="000000"/>
              <w:right w:val="single" w:sz="4" w:space="0" w:color="000000"/>
            </w:tcBorders>
            <w:vAlign w:val="center"/>
          </w:tcPr>
          <w:p w14:paraId="1C673E83" w14:textId="77777777" w:rsidR="00FE461F" w:rsidRPr="005E4BEA" w:rsidRDefault="00FE461F" w:rsidP="00FE461F">
            <w:pPr>
              <w:jc w:val="both"/>
              <w:rPr>
                <w:rFonts w:eastAsia="Calibri" w:cs="Arial"/>
                <w:szCs w:val="20"/>
              </w:rPr>
            </w:pPr>
            <w:r w:rsidRPr="005E4BEA">
              <w:rPr>
                <w:rFonts w:eastAsia="Calibri" w:cs="Arial"/>
                <w:szCs w:val="20"/>
              </w:rPr>
              <w:t>14.783</w:t>
            </w:r>
          </w:p>
        </w:tc>
      </w:tr>
      <w:tr w:rsidR="00FE461F" w:rsidRPr="005E4BEA" w14:paraId="322D32BB"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0BA65CD1"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lastRenderedPageBreak/>
              <w:t>16</w:t>
            </w:r>
          </w:p>
        </w:tc>
        <w:tc>
          <w:tcPr>
            <w:tcW w:w="3013" w:type="dxa"/>
            <w:tcBorders>
              <w:top w:val="single" w:sz="4" w:space="0" w:color="000000"/>
              <w:left w:val="single" w:sz="4" w:space="0" w:color="000000"/>
              <w:bottom w:val="single" w:sz="4" w:space="0" w:color="000000"/>
              <w:right w:val="single" w:sz="4" w:space="0" w:color="000000"/>
            </w:tcBorders>
            <w:vAlign w:val="center"/>
          </w:tcPr>
          <w:p w14:paraId="084364AB"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Gastroenterologija</w:t>
            </w:r>
            <w:proofErr w:type="spellEnd"/>
          </w:p>
        </w:tc>
        <w:tc>
          <w:tcPr>
            <w:tcW w:w="1533" w:type="dxa"/>
            <w:tcBorders>
              <w:top w:val="single" w:sz="4" w:space="0" w:color="000000"/>
              <w:left w:val="single" w:sz="4" w:space="0" w:color="000000"/>
              <w:bottom w:val="single" w:sz="4" w:space="0" w:color="000000"/>
              <w:right w:val="single" w:sz="4" w:space="0" w:color="000000"/>
            </w:tcBorders>
            <w:vAlign w:val="center"/>
          </w:tcPr>
          <w:p w14:paraId="1C79A414"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Klinika Doktor 24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01985056"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4B4EA824" w14:textId="77777777" w:rsidR="00FE461F" w:rsidRPr="005E4BEA" w:rsidRDefault="00FE461F" w:rsidP="00FE461F">
            <w:pPr>
              <w:jc w:val="both"/>
              <w:rPr>
                <w:rFonts w:eastAsia="Calibri" w:cs="Arial"/>
                <w:szCs w:val="20"/>
              </w:rPr>
            </w:pPr>
            <w:r w:rsidRPr="005E4BEA">
              <w:rPr>
                <w:rFonts w:eastAsia="Calibri" w:cs="Arial"/>
                <w:szCs w:val="20"/>
              </w:rPr>
              <w:t>20.572</w:t>
            </w:r>
          </w:p>
        </w:tc>
        <w:tc>
          <w:tcPr>
            <w:tcW w:w="1252" w:type="dxa"/>
            <w:tcBorders>
              <w:top w:val="single" w:sz="4" w:space="0" w:color="000000"/>
              <w:left w:val="single" w:sz="4" w:space="0" w:color="000000"/>
              <w:bottom w:val="single" w:sz="4" w:space="0" w:color="000000"/>
              <w:right w:val="single" w:sz="4" w:space="0" w:color="000000"/>
            </w:tcBorders>
            <w:vAlign w:val="center"/>
          </w:tcPr>
          <w:p w14:paraId="23955010" w14:textId="77777777" w:rsidR="00FE461F" w:rsidRPr="005E4BEA" w:rsidRDefault="00FE461F" w:rsidP="00FE461F">
            <w:pPr>
              <w:jc w:val="both"/>
              <w:rPr>
                <w:rFonts w:eastAsia="Calibri" w:cs="Arial"/>
                <w:szCs w:val="20"/>
              </w:rPr>
            </w:pPr>
            <w:r w:rsidRPr="005E4BEA">
              <w:rPr>
                <w:rFonts w:eastAsia="Calibri" w:cs="Arial"/>
                <w:szCs w:val="20"/>
              </w:rPr>
              <w:t>15.430</w:t>
            </w:r>
          </w:p>
        </w:tc>
      </w:tr>
      <w:tr w:rsidR="00FE461F" w:rsidRPr="005E4BEA" w14:paraId="581982DC"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0AFFFD43"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17</w:t>
            </w:r>
          </w:p>
        </w:tc>
        <w:tc>
          <w:tcPr>
            <w:tcW w:w="3013" w:type="dxa"/>
            <w:tcBorders>
              <w:top w:val="single" w:sz="4" w:space="0" w:color="000000"/>
              <w:left w:val="single" w:sz="4" w:space="0" w:color="000000"/>
              <w:bottom w:val="single" w:sz="4" w:space="0" w:color="000000"/>
              <w:right w:val="single" w:sz="4" w:space="0" w:color="000000"/>
            </w:tcBorders>
            <w:vAlign w:val="center"/>
          </w:tcPr>
          <w:p w14:paraId="19A3B834"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Oralna in maksilofacialna kirurgija</w:t>
            </w:r>
          </w:p>
        </w:tc>
        <w:tc>
          <w:tcPr>
            <w:tcW w:w="1533" w:type="dxa"/>
            <w:tcBorders>
              <w:top w:val="single" w:sz="4" w:space="0" w:color="000000"/>
              <w:left w:val="single" w:sz="4" w:space="0" w:color="000000"/>
              <w:bottom w:val="single" w:sz="4" w:space="0" w:color="000000"/>
              <w:right w:val="single" w:sz="4" w:space="0" w:color="000000"/>
            </w:tcBorders>
            <w:vAlign w:val="center"/>
          </w:tcPr>
          <w:p w14:paraId="38DE5398"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 xml:space="preserve">Samo </w:t>
            </w:r>
            <w:proofErr w:type="spellStart"/>
            <w:r w:rsidRPr="005E4BEA">
              <w:rPr>
                <w:rFonts w:eastAsia="MS Mincho" w:cs="Arial"/>
                <w:color w:val="000000"/>
                <w:szCs w:val="20"/>
              </w:rPr>
              <w:t>Tetičković</w:t>
            </w:r>
            <w:proofErr w:type="spellEnd"/>
          </w:p>
        </w:tc>
        <w:tc>
          <w:tcPr>
            <w:tcW w:w="1227" w:type="dxa"/>
            <w:tcBorders>
              <w:top w:val="single" w:sz="4" w:space="0" w:color="000000"/>
              <w:left w:val="single" w:sz="4" w:space="0" w:color="000000"/>
              <w:bottom w:val="single" w:sz="4" w:space="0" w:color="000000"/>
              <w:right w:val="single" w:sz="4" w:space="0" w:color="000000"/>
            </w:tcBorders>
            <w:vAlign w:val="bottom"/>
          </w:tcPr>
          <w:p w14:paraId="4439CA9B"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0,12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781E74B9" w14:textId="77777777" w:rsidR="00FE461F" w:rsidRPr="005E4BEA" w:rsidRDefault="00FE461F" w:rsidP="00FE461F">
            <w:pPr>
              <w:jc w:val="both"/>
              <w:rPr>
                <w:rFonts w:eastAsia="Calibri" w:cs="Arial"/>
                <w:szCs w:val="20"/>
              </w:rPr>
            </w:pPr>
            <w:r w:rsidRPr="005E4BEA">
              <w:rPr>
                <w:rFonts w:eastAsia="Calibri" w:cs="Arial"/>
                <w:szCs w:val="20"/>
              </w:rPr>
              <w:t>23.216</w:t>
            </w:r>
          </w:p>
        </w:tc>
        <w:tc>
          <w:tcPr>
            <w:tcW w:w="1252" w:type="dxa"/>
            <w:tcBorders>
              <w:top w:val="single" w:sz="4" w:space="0" w:color="000000"/>
              <w:left w:val="single" w:sz="4" w:space="0" w:color="000000"/>
              <w:bottom w:val="single" w:sz="4" w:space="0" w:color="000000"/>
              <w:right w:val="single" w:sz="4" w:space="0" w:color="000000"/>
            </w:tcBorders>
            <w:vAlign w:val="center"/>
          </w:tcPr>
          <w:p w14:paraId="4370C3EF" w14:textId="77777777" w:rsidR="00FE461F" w:rsidRPr="005E4BEA" w:rsidRDefault="00FE461F" w:rsidP="00FE461F">
            <w:pPr>
              <w:jc w:val="both"/>
              <w:rPr>
                <w:rFonts w:eastAsia="Calibri" w:cs="Arial"/>
                <w:szCs w:val="20"/>
              </w:rPr>
            </w:pPr>
            <w:r w:rsidRPr="005E4BEA">
              <w:rPr>
                <w:rFonts w:eastAsia="Calibri" w:cs="Arial"/>
                <w:szCs w:val="20"/>
              </w:rPr>
              <w:t>17.412</w:t>
            </w:r>
          </w:p>
        </w:tc>
      </w:tr>
      <w:tr w:rsidR="00FE461F" w:rsidRPr="005E4BEA" w14:paraId="33061532"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65BE265C"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18</w:t>
            </w:r>
          </w:p>
        </w:tc>
        <w:tc>
          <w:tcPr>
            <w:tcW w:w="3013" w:type="dxa"/>
            <w:tcBorders>
              <w:top w:val="single" w:sz="4" w:space="0" w:color="000000"/>
              <w:left w:val="single" w:sz="4" w:space="0" w:color="000000"/>
              <w:bottom w:val="single" w:sz="4" w:space="0" w:color="000000"/>
              <w:right w:val="single" w:sz="4" w:space="0" w:color="000000"/>
            </w:tcBorders>
            <w:vAlign w:val="center"/>
          </w:tcPr>
          <w:p w14:paraId="4AD27B9A"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 xml:space="preserve">Zobne bolezni in </w:t>
            </w:r>
            <w:proofErr w:type="spellStart"/>
            <w:r w:rsidRPr="005E4BEA">
              <w:rPr>
                <w:rFonts w:eastAsia="MS Mincho" w:cs="Arial"/>
                <w:color w:val="000000"/>
                <w:szCs w:val="20"/>
              </w:rPr>
              <w:t>endodontija</w:t>
            </w:r>
            <w:proofErr w:type="spellEnd"/>
          </w:p>
        </w:tc>
        <w:tc>
          <w:tcPr>
            <w:tcW w:w="1533" w:type="dxa"/>
            <w:tcBorders>
              <w:top w:val="single" w:sz="4" w:space="0" w:color="000000"/>
              <w:left w:val="single" w:sz="4" w:space="0" w:color="000000"/>
              <w:bottom w:val="single" w:sz="4" w:space="0" w:color="000000"/>
              <w:right w:val="single" w:sz="4" w:space="0" w:color="000000"/>
            </w:tcBorders>
            <w:vAlign w:val="center"/>
          </w:tcPr>
          <w:p w14:paraId="07DC972B"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SIMED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34A00664"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0,4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7A2205E3" w14:textId="77777777" w:rsidR="00FE461F" w:rsidRPr="005E4BEA" w:rsidRDefault="00FE461F" w:rsidP="00FE461F">
            <w:pPr>
              <w:jc w:val="both"/>
              <w:rPr>
                <w:rFonts w:eastAsia="Calibri" w:cs="Arial"/>
                <w:szCs w:val="20"/>
              </w:rPr>
            </w:pPr>
            <w:r w:rsidRPr="005E4BEA">
              <w:rPr>
                <w:rFonts w:eastAsia="Calibri" w:cs="Arial"/>
                <w:szCs w:val="20"/>
              </w:rPr>
              <w:t xml:space="preserve">55.834 </w:t>
            </w:r>
          </w:p>
        </w:tc>
        <w:tc>
          <w:tcPr>
            <w:tcW w:w="1252" w:type="dxa"/>
            <w:tcBorders>
              <w:top w:val="single" w:sz="4" w:space="0" w:color="000000"/>
              <w:left w:val="single" w:sz="4" w:space="0" w:color="000000"/>
              <w:bottom w:val="single" w:sz="4" w:space="0" w:color="000000"/>
              <w:right w:val="single" w:sz="4" w:space="0" w:color="000000"/>
            </w:tcBorders>
            <w:vAlign w:val="center"/>
          </w:tcPr>
          <w:p w14:paraId="0648D453" w14:textId="77777777" w:rsidR="00FE461F" w:rsidRPr="005E4BEA" w:rsidRDefault="00FE461F" w:rsidP="00FE461F">
            <w:pPr>
              <w:jc w:val="both"/>
              <w:rPr>
                <w:rFonts w:eastAsia="Calibri" w:cs="Arial"/>
                <w:szCs w:val="20"/>
              </w:rPr>
            </w:pPr>
            <w:r w:rsidRPr="005E4BEA">
              <w:rPr>
                <w:rFonts w:eastAsia="Calibri" w:cs="Arial"/>
                <w:szCs w:val="20"/>
              </w:rPr>
              <w:t>41.876</w:t>
            </w:r>
          </w:p>
        </w:tc>
      </w:tr>
      <w:tr w:rsidR="00FE461F" w:rsidRPr="005E4BEA" w14:paraId="681BF187" w14:textId="77777777" w:rsidTr="0016774B">
        <w:trPr>
          <w:trHeight w:val="243"/>
          <w:jc w:val="center"/>
        </w:trPr>
        <w:tc>
          <w:tcPr>
            <w:tcW w:w="412" w:type="dxa"/>
            <w:tcBorders>
              <w:top w:val="single" w:sz="4" w:space="0" w:color="000000"/>
              <w:left w:val="single" w:sz="4" w:space="0" w:color="000000"/>
              <w:bottom w:val="single" w:sz="4" w:space="0" w:color="000000"/>
              <w:right w:val="single" w:sz="4" w:space="0" w:color="000000"/>
            </w:tcBorders>
          </w:tcPr>
          <w:p w14:paraId="0B67FCFA"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19</w:t>
            </w:r>
          </w:p>
        </w:tc>
        <w:tc>
          <w:tcPr>
            <w:tcW w:w="3013" w:type="dxa"/>
            <w:tcBorders>
              <w:top w:val="single" w:sz="4" w:space="0" w:color="000000"/>
              <w:left w:val="single" w:sz="4" w:space="0" w:color="000000"/>
              <w:bottom w:val="single" w:sz="4" w:space="0" w:color="000000"/>
              <w:right w:val="single" w:sz="4" w:space="0" w:color="000000"/>
            </w:tcBorders>
            <w:vAlign w:val="center"/>
          </w:tcPr>
          <w:p w14:paraId="2F60C62F" w14:textId="77777777" w:rsidR="00FE461F" w:rsidRPr="005E4BEA" w:rsidRDefault="00FE461F" w:rsidP="00FE461F">
            <w:pPr>
              <w:spacing w:line="240" w:lineRule="auto"/>
              <w:jc w:val="both"/>
              <w:rPr>
                <w:rFonts w:eastAsia="MS Mincho" w:cs="Arial"/>
                <w:color w:val="000000"/>
                <w:szCs w:val="20"/>
              </w:rPr>
            </w:pPr>
            <w:proofErr w:type="spellStart"/>
            <w:r w:rsidRPr="005E4BEA">
              <w:rPr>
                <w:rFonts w:eastAsia="MS Mincho" w:cs="Arial"/>
                <w:color w:val="000000"/>
                <w:szCs w:val="20"/>
              </w:rPr>
              <w:t>Oftamologija</w:t>
            </w:r>
            <w:proofErr w:type="spellEnd"/>
            <w:r w:rsidRPr="005E4BEA">
              <w:rPr>
                <w:rFonts w:eastAsia="MS Mincho" w:cs="Arial"/>
                <w:color w:val="000000"/>
                <w:szCs w:val="20"/>
              </w:rPr>
              <w:t xml:space="preserve"> – okulistična ambulanta</w:t>
            </w:r>
          </w:p>
        </w:tc>
        <w:tc>
          <w:tcPr>
            <w:tcW w:w="1533" w:type="dxa"/>
            <w:tcBorders>
              <w:top w:val="single" w:sz="4" w:space="0" w:color="000000"/>
              <w:left w:val="single" w:sz="4" w:space="0" w:color="000000"/>
              <w:bottom w:val="single" w:sz="4" w:space="0" w:color="000000"/>
              <w:right w:val="single" w:sz="4" w:space="0" w:color="000000"/>
            </w:tcBorders>
            <w:vAlign w:val="center"/>
          </w:tcPr>
          <w:p w14:paraId="2E9FB7DE"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Vid d.o.o.</w:t>
            </w:r>
          </w:p>
        </w:tc>
        <w:tc>
          <w:tcPr>
            <w:tcW w:w="1227" w:type="dxa"/>
            <w:tcBorders>
              <w:top w:val="single" w:sz="4" w:space="0" w:color="000000"/>
              <w:left w:val="single" w:sz="4" w:space="0" w:color="000000"/>
              <w:bottom w:val="single" w:sz="4" w:space="0" w:color="000000"/>
              <w:right w:val="single" w:sz="4" w:space="0" w:color="000000"/>
            </w:tcBorders>
            <w:vAlign w:val="bottom"/>
          </w:tcPr>
          <w:p w14:paraId="405D7B5E" w14:textId="77777777" w:rsidR="00FE461F" w:rsidRPr="005E4BEA" w:rsidRDefault="00FE461F" w:rsidP="00FE461F">
            <w:pPr>
              <w:jc w:val="both"/>
              <w:rPr>
                <w:rFonts w:eastAsia="SimSun" w:cs="Arial"/>
                <w:szCs w:val="20"/>
                <w:lang w:eastAsia="zh-CN" w:bidi="hi-IN"/>
              </w:rPr>
            </w:pPr>
            <w:r w:rsidRPr="005E4BEA">
              <w:rPr>
                <w:rFonts w:eastAsia="SimSun" w:cs="Arial"/>
                <w:szCs w:val="20"/>
                <w:lang w:eastAsia="zh-CN" w:bidi="hi-IN"/>
              </w:rPr>
              <w:t>0,13 tima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5D529612" w14:textId="77777777" w:rsidR="00FE461F" w:rsidRPr="005E4BEA" w:rsidRDefault="00FE461F" w:rsidP="00FE461F">
            <w:pPr>
              <w:jc w:val="both"/>
              <w:rPr>
                <w:rFonts w:eastAsia="Calibri" w:cs="Arial"/>
                <w:szCs w:val="20"/>
              </w:rPr>
            </w:pPr>
            <w:r w:rsidRPr="005E4BEA">
              <w:rPr>
                <w:rFonts w:eastAsia="Calibri" w:cs="Arial"/>
                <w:szCs w:val="20"/>
              </w:rPr>
              <w:t>17.790</w:t>
            </w:r>
          </w:p>
        </w:tc>
        <w:tc>
          <w:tcPr>
            <w:tcW w:w="1252" w:type="dxa"/>
            <w:tcBorders>
              <w:top w:val="single" w:sz="4" w:space="0" w:color="000000"/>
              <w:left w:val="single" w:sz="4" w:space="0" w:color="000000"/>
              <w:bottom w:val="single" w:sz="4" w:space="0" w:color="000000"/>
              <w:right w:val="single" w:sz="4" w:space="0" w:color="000000"/>
            </w:tcBorders>
            <w:vAlign w:val="center"/>
          </w:tcPr>
          <w:p w14:paraId="445410F9" w14:textId="77777777" w:rsidR="00FE461F" w:rsidRPr="005E4BEA" w:rsidRDefault="00FE461F" w:rsidP="00FE461F">
            <w:pPr>
              <w:jc w:val="both"/>
              <w:rPr>
                <w:rFonts w:eastAsia="Calibri" w:cs="Arial"/>
                <w:szCs w:val="20"/>
              </w:rPr>
            </w:pPr>
            <w:r w:rsidRPr="005E4BEA">
              <w:rPr>
                <w:rFonts w:eastAsia="Calibri" w:cs="Arial"/>
                <w:szCs w:val="20"/>
              </w:rPr>
              <w:t>13.343</w:t>
            </w:r>
          </w:p>
        </w:tc>
      </w:tr>
    </w:tbl>
    <w:bookmarkEnd w:id="58"/>
    <w:p w14:paraId="130DB66A"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 Velja od 1.1.2022</w:t>
      </w:r>
    </w:p>
    <w:p w14:paraId="101BC957" w14:textId="77777777" w:rsidR="00FE461F" w:rsidRPr="005E4BEA" w:rsidRDefault="00FE461F" w:rsidP="00FE461F">
      <w:pPr>
        <w:spacing w:line="240" w:lineRule="auto"/>
        <w:jc w:val="both"/>
        <w:rPr>
          <w:rFonts w:eastAsia="MS Mincho" w:cs="Arial"/>
          <w:szCs w:val="20"/>
        </w:rPr>
      </w:pPr>
    </w:p>
    <w:p w14:paraId="1507D75D"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ab/>
      </w:r>
    </w:p>
    <w:p w14:paraId="68DDCC92" w14:textId="77777777" w:rsidR="00FE461F" w:rsidRPr="005E4BEA" w:rsidRDefault="00FE461F" w:rsidP="00FE461F">
      <w:pPr>
        <w:spacing w:line="240" w:lineRule="auto"/>
        <w:jc w:val="both"/>
        <w:rPr>
          <w:rFonts w:eastAsia="MS Mincho" w:cs="Arial"/>
          <w:szCs w:val="20"/>
        </w:rPr>
      </w:pPr>
      <w:r w:rsidRPr="005E4BEA">
        <w:rPr>
          <w:rFonts w:eastAsia="Calibri" w:cs="Arial"/>
          <w:b/>
          <w:bCs/>
          <w:i/>
          <w:iCs/>
          <w:color w:val="7F7F7F" w:themeColor="text1" w:themeTint="80"/>
          <w:szCs w:val="20"/>
        </w:rPr>
        <w:t>Obrazložitve:</w:t>
      </w:r>
    </w:p>
    <w:p w14:paraId="1FFDE950"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K točki 1:</w:t>
      </w:r>
    </w:p>
    <w:p w14:paraId="6AEC679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OZG ZD Kranj se prizna dodatna sredstva za zdravnika, ki sodeluje v sistemu reševanja v gorah. Stalna prisotnosti zdravnika GRS v helikopterski enoti za gorsko reševanje se bo zaradi porasta števila intervencij v gorah od 1.1.2022 izvajala v terminih od 1. junija do 30 septembra ter 14 dni v času zimskih počitnic.  </w:t>
      </w:r>
    </w:p>
    <w:p w14:paraId="0A4F21A4"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8CA47F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K točkam 2-19:</w:t>
      </w:r>
    </w:p>
    <w:p w14:paraId="23371809" w14:textId="10F96E29"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Širitve programa na področjih, kjer je zaradi čakalnih dob oziroma dostopnosti to najbolj potrebno in kjer obstajajo možnosti za širitev.</w:t>
      </w:r>
    </w:p>
    <w:p w14:paraId="4C03DC9B" w14:textId="4B330B9C" w:rsidR="00A87F6B" w:rsidRPr="005E4BEA" w:rsidRDefault="00A87F6B" w:rsidP="00FE461F">
      <w:pPr>
        <w:spacing w:line="240" w:lineRule="auto"/>
        <w:jc w:val="both"/>
        <w:rPr>
          <w:rFonts w:eastAsiaTheme="minorHAnsi" w:cs="Arial"/>
          <w:i/>
          <w:color w:val="808080" w:themeColor="background1" w:themeShade="80"/>
          <w:szCs w:val="20"/>
        </w:rPr>
      </w:pPr>
    </w:p>
    <w:p w14:paraId="00514FB2" w14:textId="77777777" w:rsidR="00A87F6B" w:rsidRPr="005E4BEA" w:rsidRDefault="00A87F6B" w:rsidP="00FE461F">
      <w:pPr>
        <w:spacing w:line="240" w:lineRule="auto"/>
        <w:jc w:val="both"/>
        <w:rPr>
          <w:rFonts w:eastAsiaTheme="minorHAnsi" w:cs="Arial"/>
          <w:i/>
          <w:color w:val="808080" w:themeColor="background1" w:themeShade="80"/>
          <w:szCs w:val="20"/>
        </w:rPr>
      </w:pPr>
    </w:p>
    <w:p w14:paraId="40C56AD7" w14:textId="77777777" w:rsidR="00A87F6B" w:rsidRPr="005E4BEA" w:rsidRDefault="00A87F6B" w:rsidP="00A87F6B">
      <w:pPr>
        <w:spacing w:line="240" w:lineRule="auto"/>
        <w:jc w:val="both"/>
        <w:rPr>
          <w:rFonts w:eastAsiaTheme="minorHAnsi" w:cs="Arial"/>
          <w:i/>
          <w:iCs/>
          <w:color w:val="808080" w:themeColor="background1" w:themeShade="80"/>
          <w:szCs w:val="20"/>
        </w:rPr>
      </w:pPr>
    </w:p>
    <w:p w14:paraId="51328A77" w14:textId="3359DB19" w:rsidR="00A87F6B" w:rsidRPr="005E4BEA" w:rsidRDefault="00A87F6B" w:rsidP="00A87F6B">
      <w:pPr>
        <w:spacing w:line="240" w:lineRule="auto"/>
        <w:jc w:val="both"/>
        <w:rPr>
          <w:rFonts w:eastAsia="MS Mincho"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 v modificirani obliki, in sicer se </w:t>
      </w:r>
      <w:r w:rsidRPr="005E4BEA">
        <w:rPr>
          <w:rFonts w:cs="Arial"/>
          <w:szCs w:val="20"/>
        </w:rPr>
        <w:t xml:space="preserve">v </w:t>
      </w:r>
      <w:r w:rsidRPr="005E4BEA">
        <w:rPr>
          <w:rFonts w:eastAsia="MS Mincho" w:cs="Arial"/>
          <w:szCs w:val="20"/>
        </w:rPr>
        <w:t>24. členu v šestem odstavku v tabeli dodajo nove vrstice za nujne širitve programov oziroma uvajanje novih terapij:</w:t>
      </w:r>
    </w:p>
    <w:p w14:paraId="19370A2D" w14:textId="6F8E2DBF" w:rsidR="00CC2D9A" w:rsidRPr="005E4BEA" w:rsidRDefault="00CC2D9A" w:rsidP="00A87F6B">
      <w:pPr>
        <w:spacing w:line="240" w:lineRule="auto"/>
        <w:jc w:val="both"/>
        <w:rPr>
          <w:rFonts w:eastAsia="MS Mincho" w:cs="Arial"/>
          <w:szCs w:val="20"/>
        </w:rPr>
      </w:pPr>
    </w:p>
    <w:tbl>
      <w:tblPr>
        <w:tblW w:w="9420" w:type="dxa"/>
        <w:tblCellMar>
          <w:left w:w="70" w:type="dxa"/>
          <w:right w:w="70" w:type="dxa"/>
        </w:tblCellMar>
        <w:tblLook w:val="04A0" w:firstRow="1" w:lastRow="0" w:firstColumn="1" w:lastColumn="0" w:noHBand="0" w:noVBand="1"/>
      </w:tblPr>
      <w:tblGrid>
        <w:gridCol w:w="960"/>
        <w:gridCol w:w="2340"/>
        <w:gridCol w:w="1820"/>
        <w:gridCol w:w="1340"/>
        <w:gridCol w:w="1420"/>
        <w:gridCol w:w="1540"/>
      </w:tblGrid>
      <w:tr w:rsidR="00944C8E" w:rsidRPr="00944C8E" w14:paraId="3D96B615" w14:textId="77777777" w:rsidTr="00944C8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B4A21" w14:textId="77777777" w:rsidR="00944C8E" w:rsidRPr="00944C8E" w:rsidRDefault="00944C8E" w:rsidP="00944C8E">
            <w:pPr>
              <w:spacing w:line="240" w:lineRule="auto"/>
              <w:jc w:val="both"/>
              <w:rPr>
                <w:rFonts w:cs="Arial"/>
                <w:color w:val="000000"/>
                <w:szCs w:val="20"/>
                <w:lang w:eastAsia="sl-SI"/>
              </w:rPr>
            </w:pPr>
            <w:bookmarkStart w:id="59" w:name="RANGE!A1"/>
            <w:bookmarkStart w:id="60" w:name="_Hlk103063757"/>
            <w:r w:rsidRPr="00944C8E">
              <w:rPr>
                <w:rFonts w:cs="Arial"/>
                <w:color w:val="000000"/>
                <w:szCs w:val="20"/>
                <w:lang w:eastAsia="sl-SI"/>
              </w:rPr>
              <w:t> </w:t>
            </w:r>
            <w:bookmarkEnd w:id="59"/>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7945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   r   o   g   r   a   m</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A031BA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I z v a j a l e c /</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8E98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Obseg programa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C32BBCD"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Dod</w:t>
            </w:r>
            <w:proofErr w:type="spellEnd"/>
            <w:r w:rsidRPr="00944C8E">
              <w:rPr>
                <w:rFonts w:cs="Arial"/>
                <w:color w:val="000000"/>
                <w:szCs w:val="20"/>
                <w:lang w:eastAsia="sl-SI"/>
              </w:rPr>
              <w:t>. sred.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15B7B51"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Dod</w:t>
            </w:r>
            <w:proofErr w:type="spellEnd"/>
            <w:r w:rsidRPr="00944C8E">
              <w:rPr>
                <w:rFonts w:cs="Arial"/>
                <w:color w:val="000000"/>
                <w:szCs w:val="20"/>
                <w:lang w:eastAsia="sl-SI"/>
              </w:rPr>
              <w:t>. sred.</w:t>
            </w:r>
          </w:p>
        </w:tc>
      </w:tr>
      <w:tr w:rsidR="00944C8E" w:rsidRPr="00944C8E" w14:paraId="557DA7DB"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D40D6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71431F1" w14:textId="77777777" w:rsidR="00944C8E" w:rsidRPr="00944C8E" w:rsidRDefault="00944C8E" w:rsidP="00944C8E">
            <w:pPr>
              <w:spacing w:line="240" w:lineRule="auto"/>
              <w:rPr>
                <w:rFonts w:cs="Arial"/>
                <w:color w:val="000000"/>
                <w:szCs w:val="20"/>
                <w:lang w:eastAsia="sl-SI"/>
              </w:rPr>
            </w:pPr>
          </w:p>
        </w:tc>
        <w:tc>
          <w:tcPr>
            <w:tcW w:w="1820" w:type="dxa"/>
            <w:tcBorders>
              <w:top w:val="nil"/>
              <w:left w:val="nil"/>
              <w:bottom w:val="single" w:sz="4" w:space="0" w:color="auto"/>
              <w:right w:val="single" w:sz="4" w:space="0" w:color="auto"/>
            </w:tcBorders>
            <w:shd w:val="clear" w:color="auto" w:fill="auto"/>
            <w:vAlign w:val="center"/>
            <w:hideMark/>
          </w:tcPr>
          <w:p w14:paraId="1CCCC37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i z p o s t a v a</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7674838D" w14:textId="77777777" w:rsidR="00944C8E" w:rsidRPr="00944C8E" w:rsidRDefault="00944C8E" w:rsidP="00944C8E">
            <w:pPr>
              <w:spacing w:line="240" w:lineRule="auto"/>
              <w:rPr>
                <w:rFonts w:cs="Arial"/>
                <w:color w:val="000000"/>
                <w:szCs w:val="20"/>
                <w:lang w:eastAsia="sl-SI"/>
              </w:rPr>
            </w:pPr>
          </w:p>
        </w:tc>
        <w:tc>
          <w:tcPr>
            <w:tcW w:w="1420" w:type="dxa"/>
            <w:tcBorders>
              <w:top w:val="nil"/>
              <w:left w:val="nil"/>
              <w:bottom w:val="single" w:sz="4" w:space="0" w:color="auto"/>
              <w:right w:val="single" w:sz="4" w:space="0" w:color="auto"/>
            </w:tcBorders>
            <w:shd w:val="clear" w:color="auto" w:fill="auto"/>
            <w:vAlign w:val="center"/>
            <w:hideMark/>
          </w:tcPr>
          <w:p w14:paraId="6EE79CB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na letni ravni</w:t>
            </w:r>
          </w:p>
        </w:tc>
        <w:tc>
          <w:tcPr>
            <w:tcW w:w="1540" w:type="dxa"/>
            <w:tcBorders>
              <w:top w:val="nil"/>
              <w:left w:val="nil"/>
              <w:bottom w:val="single" w:sz="4" w:space="0" w:color="auto"/>
              <w:right w:val="single" w:sz="4" w:space="0" w:color="auto"/>
            </w:tcBorders>
            <w:shd w:val="clear" w:color="auto" w:fill="auto"/>
            <w:vAlign w:val="center"/>
            <w:hideMark/>
          </w:tcPr>
          <w:p w14:paraId="46736F3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1.6.–31.12. 2022</w:t>
            </w:r>
          </w:p>
        </w:tc>
      </w:tr>
      <w:tr w:rsidR="00944C8E" w:rsidRPr="00944C8E" w14:paraId="7DF224B7" w14:textId="77777777" w:rsidTr="00944C8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9D5C7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FF12E40" w14:textId="77777777" w:rsidR="00944C8E" w:rsidRPr="00944C8E" w:rsidRDefault="00944C8E" w:rsidP="00944C8E">
            <w:pPr>
              <w:spacing w:line="240" w:lineRule="auto"/>
              <w:rPr>
                <w:rFonts w:cs="Arial"/>
                <w:color w:val="000000"/>
                <w:szCs w:val="20"/>
                <w:lang w:eastAsia="sl-SI"/>
              </w:rPr>
            </w:pPr>
          </w:p>
        </w:tc>
        <w:tc>
          <w:tcPr>
            <w:tcW w:w="1820" w:type="dxa"/>
            <w:tcBorders>
              <w:top w:val="nil"/>
              <w:left w:val="nil"/>
              <w:bottom w:val="single" w:sz="4" w:space="0" w:color="auto"/>
              <w:right w:val="single" w:sz="4" w:space="0" w:color="auto"/>
            </w:tcBorders>
            <w:shd w:val="clear" w:color="auto" w:fill="auto"/>
            <w:vAlign w:val="center"/>
            <w:hideMark/>
          </w:tcPr>
          <w:p w14:paraId="2288321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 </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DF6FC04" w14:textId="77777777" w:rsidR="00944C8E" w:rsidRPr="00944C8E" w:rsidRDefault="00944C8E" w:rsidP="00944C8E">
            <w:pPr>
              <w:spacing w:line="240" w:lineRule="auto"/>
              <w:rPr>
                <w:rFonts w:cs="Arial"/>
                <w:color w:val="000000"/>
                <w:szCs w:val="20"/>
                <w:lang w:eastAsia="sl-SI"/>
              </w:rPr>
            </w:pPr>
          </w:p>
        </w:tc>
        <w:tc>
          <w:tcPr>
            <w:tcW w:w="1420" w:type="dxa"/>
            <w:tcBorders>
              <w:top w:val="nil"/>
              <w:left w:val="nil"/>
              <w:bottom w:val="single" w:sz="4" w:space="0" w:color="auto"/>
              <w:right w:val="single" w:sz="4" w:space="0" w:color="auto"/>
            </w:tcBorders>
            <w:shd w:val="clear" w:color="auto" w:fill="auto"/>
            <w:vAlign w:val="center"/>
            <w:hideMark/>
          </w:tcPr>
          <w:p w14:paraId="672F06D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(v EUR)</w:t>
            </w:r>
          </w:p>
        </w:tc>
        <w:tc>
          <w:tcPr>
            <w:tcW w:w="1540" w:type="dxa"/>
            <w:tcBorders>
              <w:top w:val="nil"/>
              <w:left w:val="nil"/>
              <w:bottom w:val="single" w:sz="4" w:space="0" w:color="auto"/>
              <w:right w:val="single" w:sz="4" w:space="0" w:color="auto"/>
            </w:tcBorders>
            <w:shd w:val="clear" w:color="auto" w:fill="auto"/>
            <w:vAlign w:val="center"/>
            <w:hideMark/>
          </w:tcPr>
          <w:p w14:paraId="122704D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(v EUR)</w:t>
            </w:r>
          </w:p>
        </w:tc>
      </w:tr>
      <w:tr w:rsidR="00944C8E" w:rsidRPr="00944C8E" w14:paraId="093C7339"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77748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w:t>
            </w:r>
          </w:p>
        </w:tc>
        <w:tc>
          <w:tcPr>
            <w:tcW w:w="2340" w:type="dxa"/>
            <w:tcBorders>
              <w:top w:val="nil"/>
              <w:left w:val="nil"/>
              <w:bottom w:val="single" w:sz="4" w:space="0" w:color="auto"/>
              <w:right w:val="single" w:sz="4" w:space="0" w:color="auto"/>
            </w:tcBorders>
            <w:shd w:val="clear" w:color="auto" w:fill="auto"/>
            <w:vAlign w:val="center"/>
            <w:hideMark/>
          </w:tcPr>
          <w:p w14:paraId="7ABEE04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338 024 NMP HELIKOPTER (zdravnik GRS) *     od 1.1.2022</w:t>
            </w:r>
          </w:p>
        </w:tc>
        <w:tc>
          <w:tcPr>
            <w:tcW w:w="1820" w:type="dxa"/>
            <w:tcBorders>
              <w:top w:val="nil"/>
              <w:left w:val="nil"/>
              <w:bottom w:val="single" w:sz="4" w:space="0" w:color="auto"/>
              <w:right w:val="single" w:sz="4" w:space="0" w:color="auto"/>
            </w:tcBorders>
            <w:shd w:val="clear" w:color="auto" w:fill="auto"/>
            <w:vAlign w:val="center"/>
            <w:hideMark/>
          </w:tcPr>
          <w:p w14:paraId="07AEA6D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OZG ZD Kranj</w:t>
            </w:r>
          </w:p>
        </w:tc>
        <w:tc>
          <w:tcPr>
            <w:tcW w:w="1340" w:type="dxa"/>
            <w:tcBorders>
              <w:top w:val="nil"/>
              <w:left w:val="nil"/>
              <w:bottom w:val="single" w:sz="4" w:space="0" w:color="auto"/>
              <w:right w:val="single" w:sz="4" w:space="0" w:color="auto"/>
            </w:tcBorders>
            <w:shd w:val="clear" w:color="auto" w:fill="auto"/>
            <w:vAlign w:val="center"/>
            <w:hideMark/>
          </w:tcPr>
          <w:p w14:paraId="5244200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0,43 tima</w:t>
            </w:r>
          </w:p>
        </w:tc>
        <w:tc>
          <w:tcPr>
            <w:tcW w:w="1420" w:type="dxa"/>
            <w:tcBorders>
              <w:top w:val="nil"/>
              <w:left w:val="nil"/>
              <w:bottom w:val="single" w:sz="4" w:space="0" w:color="auto"/>
              <w:right w:val="single" w:sz="4" w:space="0" w:color="auto"/>
            </w:tcBorders>
            <w:shd w:val="clear" w:color="auto" w:fill="auto"/>
            <w:vAlign w:val="center"/>
            <w:hideMark/>
          </w:tcPr>
          <w:p w14:paraId="1A8ECCF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41.910</w:t>
            </w:r>
          </w:p>
        </w:tc>
        <w:tc>
          <w:tcPr>
            <w:tcW w:w="1540" w:type="dxa"/>
            <w:tcBorders>
              <w:top w:val="nil"/>
              <w:left w:val="nil"/>
              <w:bottom w:val="single" w:sz="4" w:space="0" w:color="auto"/>
              <w:right w:val="single" w:sz="4" w:space="0" w:color="auto"/>
            </w:tcBorders>
            <w:shd w:val="clear" w:color="auto" w:fill="auto"/>
            <w:vAlign w:val="center"/>
            <w:hideMark/>
          </w:tcPr>
          <w:p w14:paraId="735B1B8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41.910</w:t>
            </w:r>
          </w:p>
        </w:tc>
      </w:tr>
      <w:tr w:rsidR="00944C8E" w:rsidRPr="00944C8E" w14:paraId="2F917D95" w14:textId="77777777" w:rsidTr="00944C8E">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D0F5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w:t>
            </w:r>
          </w:p>
        </w:tc>
        <w:tc>
          <w:tcPr>
            <w:tcW w:w="2340" w:type="dxa"/>
            <w:tcBorders>
              <w:top w:val="nil"/>
              <w:left w:val="nil"/>
              <w:bottom w:val="single" w:sz="4" w:space="0" w:color="auto"/>
              <w:right w:val="single" w:sz="4" w:space="0" w:color="auto"/>
            </w:tcBorders>
            <w:shd w:val="clear" w:color="auto" w:fill="auto"/>
            <w:vAlign w:val="center"/>
            <w:hideMark/>
          </w:tcPr>
          <w:p w14:paraId="48E39C2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401 110 </w:t>
            </w:r>
            <w:proofErr w:type="spellStart"/>
            <w:r w:rsidRPr="00944C8E">
              <w:rPr>
                <w:rFonts w:cs="Arial"/>
                <w:color w:val="000000"/>
                <w:szCs w:val="20"/>
                <w:lang w:eastAsia="sl-SI"/>
              </w:rPr>
              <w:t>Ortodontija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5EEA930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Trbovlje</w:t>
            </w:r>
          </w:p>
        </w:tc>
        <w:tc>
          <w:tcPr>
            <w:tcW w:w="1340" w:type="dxa"/>
            <w:tcBorders>
              <w:top w:val="nil"/>
              <w:left w:val="nil"/>
              <w:bottom w:val="single" w:sz="4" w:space="0" w:color="auto"/>
              <w:right w:val="single" w:sz="4" w:space="0" w:color="auto"/>
            </w:tcBorders>
            <w:shd w:val="clear" w:color="auto" w:fill="auto"/>
            <w:vAlign w:val="center"/>
            <w:hideMark/>
          </w:tcPr>
          <w:p w14:paraId="681868D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0,44 tima</w:t>
            </w:r>
          </w:p>
        </w:tc>
        <w:tc>
          <w:tcPr>
            <w:tcW w:w="1420" w:type="dxa"/>
            <w:tcBorders>
              <w:top w:val="nil"/>
              <w:left w:val="nil"/>
              <w:bottom w:val="single" w:sz="4" w:space="0" w:color="auto"/>
              <w:right w:val="single" w:sz="4" w:space="0" w:color="auto"/>
            </w:tcBorders>
            <w:shd w:val="clear" w:color="auto" w:fill="auto"/>
            <w:vAlign w:val="center"/>
            <w:hideMark/>
          </w:tcPr>
          <w:p w14:paraId="0B7AB10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72.290</w:t>
            </w:r>
          </w:p>
        </w:tc>
        <w:tc>
          <w:tcPr>
            <w:tcW w:w="1540" w:type="dxa"/>
            <w:tcBorders>
              <w:top w:val="nil"/>
              <w:left w:val="nil"/>
              <w:bottom w:val="single" w:sz="4" w:space="0" w:color="auto"/>
              <w:right w:val="single" w:sz="4" w:space="0" w:color="auto"/>
            </w:tcBorders>
            <w:shd w:val="clear" w:color="auto" w:fill="auto"/>
            <w:vAlign w:val="center"/>
            <w:hideMark/>
          </w:tcPr>
          <w:p w14:paraId="7CE6713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42.169</w:t>
            </w:r>
          </w:p>
        </w:tc>
      </w:tr>
      <w:tr w:rsidR="00944C8E" w:rsidRPr="00944C8E" w14:paraId="7CF4C328" w14:textId="77777777" w:rsidTr="00944C8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8B7EB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w:t>
            </w:r>
          </w:p>
        </w:tc>
        <w:tc>
          <w:tcPr>
            <w:tcW w:w="2340" w:type="dxa"/>
            <w:tcBorders>
              <w:top w:val="nil"/>
              <w:left w:val="nil"/>
              <w:bottom w:val="single" w:sz="4" w:space="0" w:color="auto"/>
              <w:right w:val="single" w:sz="4" w:space="0" w:color="auto"/>
            </w:tcBorders>
            <w:shd w:val="clear" w:color="auto" w:fill="auto"/>
            <w:vAlign w:val="center"/>
            <w:hideMark/>
          </w:tcPr>
          <w:p w14:paraId="318823A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NRV </w:t>
            </w:r>
          </w:p>
        </w:tc>
        <w:tc>
          <w:tcPr>
            <w:tcW w:w="1820" w:type="dxa"/>
            <w:tcBorders>
              <w:top w:val="nil"/>
              <w:left w:val="nil"/>
              <w:bottom w:val="single" w:sz="4" w:space="0" w:color="auto"/>
              <w:right w:val="single" w:sz="4" w:space="0" w:color="auto"/>
            </w:tcBorders>
            <w:shd w:val="clear" w:color="auto" w:fill="auto"/>
            <w:vAlign w:val="center"/>
            <w:hideMark/>
          </w:tcPr>
          <w:p w14:paraId="4ECD292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Litija</w:t>
            </w:r>
          </w:p>
        </w:tc>
        <w:tc>
          <w:tcPr>
            <w:tcW w:w="1340" w:type="dxa"/>
            <w:tcBorders>
              <w:top w:val="nil"/>
              <w:left w:val="nil"/>
              <w:bottom w:val="single" w:sz="4" w:space="0" w:color="auto"/>
              <w:right w:val="single" w:sz="4" w:space="0" w:color="auto"/>
            </w:tcBorders>
            <w:shd w:val="clear" w:color="auto" w:fill="auto"/>
            <w:vAlign w:val="center"/>
            <w:hideMark/>
          </w:tcPr>
          <w:p w14:paraId="2FB12C7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0,2 tima</w:t>
            </w:r>
          </w:p>
        </w:tc>
        <w:tc>
          <w:tcPr>
            <w:tcW w:w="1420" w:type="dxa"/>
            <w:tcBorders>
              <w:top w:val="nil"/>
              <w:left w:val="nil"/>
              <w:bottom w:val="single" w:sz="4" w:space="0" w:color="auto"/>
              <w:right w:val="single" w:sz="4" w:space="0" w:color="auto"/>
            </w:tcBorders>
            <w:shd w:val="clear" w:color="auto" w:fill="auto"/>
            <w:vAlign w:val="center"/>
            <w:hideMark/>
          </w:tcPr>
          <w:p w14:paraId="3B04976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16.498,00</w:t>
            </w:r>
          </w:p>
        </w:tc>
        <w:tc>
          <w:tcPr>
            <w:tcW w:w="1540" w:type="dxa"/>
            <w:tcBorders>
              <w:top w:val="nil"/>
              <w:left w:val="nil"/>
              <w:bottom w:val="single" w:sz="4" w:space="0" w:color="auto"/>
              <w:right w:val="single" w:sz="4" w:space="0" w:color="auto"/>
            </w:tcBorders>
            <w:shd w:val="clear" w:color="auto" w:fill="auto"/>
            <w:vAlign w:val="center"/>
            <w:hideMark/>
          </w:tcPr>
          <w:p w14:paraId="3A30CB5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9.624</w:t>
            </w:r>
          </w:p>
        </w:tc>
      </w:tr>
      <w:tr w:rsidR="00944C8E" w:rsidRPr="00944C8E" w14:paraId="308B45B9" w14:textId="77777777" w:rsidTr="00944C8E">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EFC27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4</w:t>
            </w:r>
          </w:p>
        </w:tc>
        <w:tc>
          <w:tcPr>
            <w:tcW w:w="2340" w:type="dxa"/>
            <w:tcBorders>
              <w:top w:val="nil"/>
              <w:left w:val="nil"/>
              <w:bottom w:val="single" w:sz="4" w:space="0" w:color="auto"/>
              <w:right w:val="single" w:sz="4" w:space="0" w:color="auto"/>
            </w:tcBorders>
            <w:shd w:val="clear" w:color="auto" w:fill="auto"/>
            <w:vAlign w:val="center"/>
            <w:hideMark/>
          </w:tcPr>
          <w:p w14:paraId="0D04A05C"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Artroskopska</w:t>
            </w:r>
            <w:proofErr w:type="spellEnd"/>
            <w:r w:rsidRPr="00944C8E">
              <w:rPr>
                <w:rFonts w:cs="Arial"/>
                <w:color w:val="000000"/>
                <w:szCs w:val="20"/>
                <w:lang w:eastAsia="sl-SI"/>
              </w:rPr>
              <w:t xml:space="preserve"> operacija kolena</w:t>
            </w:r>
          </w:p>
        </w:tc>
        <w:tc>
          <w:tcPr>
            <w:tcW w:w="1820" w:type="dxa"/>
            <w:tcBorders>
              <w:top w:val="nil"/>
              <w:left w:val="nil"/>
              <w:bottom w:val="single" w:sz="4" w:space="0" w:color="auto"/>
              <w:right w:val="single" w:sz="4" w:space="0" w:color="auto"/>
            </w:tcBorders>
            <w:shd w:val="clear" w:color="auto" w:fill="auto"/>
            <w:vAlign w:val="center"/>
            <w:hideMark/>
          </w:tcPr>
          <w:p w14:paraId="05889B5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ARBOR MEA d.o.o.</w:t>
            </w:r>
          </w:p>
        </w:tc>
        <w:tc>
          <w:tcPr>
            <w:tcW w:w="1340" w:type="dxa"/>
            <w:tcBorders>
              <w:top w:val="nil"/>
              <w:left w:val="nil"/>
              <w:bottom w:val="single" w:sz="4" w:space="0" w:color="auto"/>
              <w:right w:val="single" w:sz="4" w:space="0" w:color="auto"/>
            </w:tcBorders>
            <w:shd w:val="clear" w:color="auto" w:fill="auto"/>
            <w:vAlign w:val="center"/>
            <w:hideMark/>
          </w:tcPr>
          <w:p w14:paraId="64BB97F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100 uteži</w:t>
            </w:r>
          </w:p>
        </w:tc>
        <w:tc>
          <w:tcPr>
            <w:tcW w:w="1420" w:type="dxa"/>
            <w:tcBorders>
              <w:top w:val="nil"/>
              <w:left w:val="nil"/>
              <w:bottom w:val="single" w:sz="4" w:space="0" w:color="auto"/>
              <w:right w:val="single" w:sz="4" w:space="0" w:color="auto"/>
            </w:tcBorders>
            <w:shd w:val="clear" w:color="auto" w:fill="auto"/>
            <w:vAlign w:val="center"/>
            <w:hideMark/>
          </w:tcPr>
          <w:p w14:paraId="0BC0DBC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146.503</w:t>
            </w:r>
          </w:p>
        </w:tc>
        <w:tc>
          <w:tcPr>
            <w:tcW w:w="1540" w:type="dxa"/>
            <w:tcBorders>
              <w:top w:val="nil"/>
              <w:left w:val="nil"/>
              <w:bottom w:val="single" w:sz="4" w:space="0" w:color="auto"/>
              <w:right w:val="single" w:sz="4" w:space="0" w:color="auto"/>
            </w:tcBorders>
            <w:shd w:val="clear" w:color="auto" w:fill="auto"/>
            <w:vAlign w:val="center"/>
            <w:hideMark/>
          </w:tcPr>
          <w:p w14:paraId="00BB67D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85.460</w:t>
            </w:r>
          </w:p>
        </w:tc>
      </w:tr>
      <w:tr w:rsidR="00944C8E" w:rsidRPr="00944C8E" w14:paraId="69CFF962"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FEA0E6" w14:textId="77777777" w:rsidR="00944C8E" w:rsidRPr="00944C8E" w:rsidRDefault="00944C8E" w:rsidP="00944C8E">
            <w:pPr>
              <w:spacing w:line="240" w:lineRule="auto"/>
              <w:jc w:val="both"/>
              <w:rPr>
                <w:rFonts w:cs="Arial"/>
                <w:color w:val="000000"/>
                <w:szCs w:val="20"/>
                <w:lang w:eastAsia="sl-SI"/>
              </w:rPr>
            </w:pPr>
            <w:bookmarkStart w:id="61" w:name="RANGE!A8"/>
            <w:r w:rsidRPr="00944C8E">
              <w:rPr>
                <w:rFonts w:cs="Arial"/>
                <w:color w:val="000000"/>
                <w:szCs w:val="20"/>
                <w:lang w:eastAsia="sl-SI"/>
              </w:rPr>
              <w:t>5</w:t>
            </w:r>
            <w:bookmarkEnd w:id="61"/>
          </w:p>
        </w:tc>
        <w:tc>
          <w:tcPr>
            <w:tcW w:w="2340" w:type="dxa"/>
            <w:tcBorders>
              <w:top w:val="nil"/>
              <w:left w:val="nil"/>
              <w:bottom w:val="single" w:sz="4" w:space="0" w:color="auto"/>
              <w:right w:val="single" w:sz="4" w:space="0" w:color="auto"/>
            </w:tcBorders>
            <w:shd w:val="clear" w:color="auto" w:fill="auto"/>
            <w:vAlign w:val="center"/>
            <w:hideMark/>
          </w:tcPr>
          <w:p w14:paraId="686F82F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Splošna kirurgija</w:t>
            </w:r>
          </w:p>
        </w:tc>
        <w:tc>
          <w:tcPr>
            <w:tcW w:w="1820" w:type="dxa"/>
            <w:tcBorders>
              <w:top w:val="nil"/>
              <w:left w:val="nil"/>
              <w:bottom w:val="single" w:sz="4" w:space="0" w:color="auto"/>
              <w:right w:val="single" w:sz="4" w:space="0" w:color="auto"/>
            </w:tcBorders>
            <w:shd w:val="clear" w:color="auto" w:fill="auto"/>
            <w:vAlign w:val="center"/>
            <w:hideMark/>
          </w:tcPr>
          <w:p w14:paraId="1900130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ARBOR MEA d.o.o.</w:t>
            </w:r>
          </w:p>
        </w:tc>
        <w:tc>
          <w:tcPr>
            <w:tcW w:w="1340" w:type="dxa"/>
            <w:tcBorders>
              <w:top w:val="nil"/>
              <w:left w:val="nil"/>
              <w:bottom w:val="single" w:sz="4" w:space="0" w:color="auto"/>
              <w:right w:val="single" w:sz="4" w:space="0" w:color="auto"/>
            </w:tcBorders>
            <w:shd w:val="clear" w:color="auto" w:fill="auto"/>
            <w:vAlign w:val="center"/>
            <w:hideMark/>
          </w:tcPr>
          <w:p w14:paraId="32E5B59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0,12 tima</w:t>
            </w:r>
          </w:p>
        </w:tc>
        <w:tc>
          <w:tcPr>
            <w:tcW w:w="1420" w:type="dxa"/>
            <w:tcBorders>
              <w:top w:val="nil"/>
              <w:left w:val="nil"/>
              <w:bottom w:val="single" w:sz="4" w:space="0" w:color="auto"/>
              <w:right w:val="single" w:sz="4" w:space="0" w:color="auto"/>
            </w:tcBorders>
            <w:shd w:val="clear" w:color="auto" w:fill="auto"/>
            <w:vAlign w:val="center"/>
            <w:hideMark/>
          </w:tcPr>
          <w:p w14:paraId="31749D2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20.022</w:t>
            </w:r>
          </w:p>
        </w:tc>
        <w:tc>
          <w:tcPr>
            <w:tcW w:w="1540" w:type="dxa"/>
            <w:tcBorders>
              <w:top w:val="nil"/>
              <w:left w:val="nil"/>
              <w:bottom w:val="single" w:sz="4" w:space="0" w:color="auto"/>
              <w:right w:val="single" w:sz="4" w:space="0" w:color="auto"/>
            </w:tcBorders>
            <w:shd w:val="clear" w:color="auto" w:fill="auto"/>
            <w:vAlign w:val="center"/>
            <w:hideMark/>
          </w:tcPr>
          <w:p w14:paraId="61BEA51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11.680</w:t>
            </w:r>
          </w:p>
        </w:tc>
      </w:tr>
      <w:tr w:rsidR="00944C8E" w:rsidRPr="00944C8E" w14:paraId="0EC9A14E"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9F0DE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6</w:t>
            </w:r>
          </w:p>
        </w:tc>
        <w:tc>
          <w:tcPr>
            <w:tcW w:w="2340" w:type="dxa"/>
            <w:tcBorders>
              <w:top w:val="nil"/>
              <w:left w:val="nil"/>
              <w:bottom w:val="single" w:sz="4" w:space="0" w:color="auto"/>
              <w:right w:val="single" w:sz="4" w:space="0" w:color="auto"/>
            </w:tcBorders>
            <w:shd w:val="clear" w:color="auto" w:fill="auto"/>
            <w:vAlign w:val="center"/>
            <w:hideMark/>
          </w:tcPr>
          <w:p w14:paraId="72E42C1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Pulmologija brez RTG</w:t>
            </w:r>
          </w:p>
        </w:tc>
        <w:tc>
          <w:tcPr>
            <w:tcW w:w="1820" w:type="dxa"/>
            <w:tcBorders>
              <w:top w:val="nil"/>
              <w:left w:val="nil"/>
              <w:bottom w:val="single" w:sz="4" w:space="0" w:color="auto"/>
              <w:right w:val="single" w:sz="4" w:space="0" w:color="auto"/>
            </w:tcBorders>
            <w:shd w:val="clear" w:color="auto" w:fill="auto"/>
            <w:vAlign w:val="center"/>
            <w:hideMark/>
          </w:tcPr>
          <w:p w14:paraId="367BF61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Arjana Maček Cafuta</w:t>
            </w:r>
          </w:p>
        </w:tc>
        <w:tc>
          <w:tcPr>
            <w:tcW w:w="1340" w:type="dxa"/>
            <w:tcBorders>
              <w:top w:val="nil"/>
              <w:left w:val="nil"/>
              <w:bottom w:val="single" w:sz="4" w:space="0" w:color="auto"/>
              <w:right w:val="single" w:sz="4" w:space="0" w:color="auto"/>
            </w:tcBorders>
            <w:shd w:val="clear" w:color="auto" w:fill="auto"/>
            <w:vAlign w:val="center"/>
            <w:hideMark/>
          </w:tcPr>
          <w:p w14:paraId="4C9C05A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0,18 tima</w:t>
            </w:r>
          </w:p>
        </w:tc>
        <w:tc>
          <w:tcPr>
            <w:tcW w:w="1420" w:type="dxa"/>
            <w:tcBorders>
              <w:top w:val="nil"/>
              <w:left w:val="nil"/>
              <w:bottom w:val="single" w:sz="4" w:space="0" w:color="auto"/>
              <w:right w:val="single" w:sz="4" w:space="0" w:color="auto"/>
            </w:tcBorders>
            <w:shd w:val="clear" w:color="auto" w:fill="auto"/>
            <w:vAlign w:val="center"/>
            <w:hideMark/>
          </w:tcPr>
          <w:p w14:paraId="1891ADD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27.814</w:t>
            </w:r>
          </w:p>
        </w:tc>
        <w:tc>
          <w:tcPr>
            <w:tcW w:w="1540" w:type="dxa"/>
            <w:tcBorders>
              <w:top w:val="nil"/>
              <w:left w:val="nil"/>
              <w:bottom w:val="single" w:sz="4" w:space="0" w:color="auto"/>
              <w:right w:val="single" w:sz="4" w:space="0" w:color="auto"/>
            </w:tcBorders>
            <w:shd w:val="clear" w:color="auto" w:fill="auto"/>
            <w:vAlign w:val="center"/>
            <w:hideMark/>
          </w:tcPr>
          <w:p w14:paraId="27C6C03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16.225</w:t>
            </w:r>
          </w:p>
        </w:tc>
      </w:tr>
      <w:tr w:rsidR="00944C8E" w:rsidRPr="00944C8E" w14:paraId="05AB0DDC"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3DE93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7</w:t>
            </w:r>
          </w:p>
        </w:tc>
        <w:tc>
          <w:tcPr>
            <w:tcW w:w="2340" w:type="dxa"/>
            <w:tcBorders>
              <w:top w:val="nil"/>
              <w:left w:val="nil"/>
              <w:bottom w:val="single" w:sz="4" w:space="0" w:color="auto"/>
              <w:right w:val="single" w:sz="4" w:space="0" w:color="auto"/>
            </w:tcBorders>
            <w:shd w:val="clear" w:color="auto" w:fill="auto"/>
            <w:vAlign w:val="center"/>
            <w:hideMark/>
          </w:tcPr>
          <w:p w14:paraId="2A284EC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Pulmologija z RTG</w:t>
            </w:r>
          </w:p>
        </w:tc>
        <w:tc>
          <w:tcPr>
            <w:tcW w:w="1820" w:type="dxa"/>
            <w:tcBorders>
              <w:top w:val="nil"/>
              <w:left w:val="nil"/>
              <w:bottom w:val="single" w:sz="4" w:space="0" w:color="auto"/>
              <w:right w:val="single" w:sz="4" w:space="0" w:color="auto"/>
            </w:tcBorders>
            <w:shd w:val="clear" w:color="auto" w:fill="auto"/>
            <w:vAlign w:val="center"/>
            <w:hideMark/>
          </w:tcPr>
          <w:p w14:paraId="6761F3F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Arjana Maček Cafuta</w:t>
            </w:r>
          </w:p>
        </w:tc>
        <w:tc>
          <w:tcPr>
            <w:tcW w:w="1340" w:type="dxa"/>
            <w:tcBorders>
              <w:top w:val="nil"/>
              <w:left w:val="nil"/>
              <w:bottom w:val="single" w:sz="4" w:space="0" w:color="auto"/>
              <w:right w:val="single" w:sz="4" w:space="0" w:color="auto"/>
            </w:tcBorders>
            <w:shd w:val="clear" w:color="auto" w:fill="auto"/>
            <w:vAlign w:val="center"/>
            <w:hideMark/>
          </w:tcPr>
          <w:p w14:paraId="33D8366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0,02 tima</w:t>
            </w:r>
          </w:p>
        </w:tc>
        <w:tc>
          <w:tcPr>
            <w:tcW w:w="1420" w:type="dxa"/>
            <w:tcBorders>
              <w:top w:val="nil"/>
              <w:left w:val="nil"/>
              <w:bottom w:val="single" w:sz="4" w:space="0" w:color="auto"/>
              <w:right w:val="single" w:sz="4" w:space="0" w:color="auto"/>
            </w:tcBorders>
            <w:shd w:val="clear" w:color="auto" w:fill="auto"/>
            <w:vAlign w:val="center"/>
            <w:hideMark/>
          </w:tcPr>
          <w:p w14:paraId="08AAC1D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4.397</w:t>
            </w:r>
          </w:p>
        </w:tc>
        <w:tc>
          <w:tcPr>
            <w:tcW w:w="1540" w:type="dxa"/>
            <w:tcBorders>
              <w:top w:val="nil"/>
              <w:left w:val="nil"/>
              <w:bottom w:val="single" w:sz="4" w:space="0" w:color="auto"/>
              <w:right w:val="single" w:sz="4" w:space="0" w:color="auto"/>
            </w:tcBorders>
            <w:shd w:val="clear" w:color="auto" w:fill="auto"/>
            <w:vAlign w:val="center"/>
            <w:hideMark/>
          </w:tcPr>
          <w:p w14:paraId="19DB1B1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2.565</w:t>
            </w:r>
          </w:p>
        </w:tc>
      </w:tr>
      <w:tr w:rsidR="00944C8E" w:rsidRPr="00944C8E" w14:paraId="08779A33"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3F75D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w:t>
            </w:r>
          </w:p>
        </w:tc>
        <w:tc>
          <w:tcPr>
            <w:tcW w:w="2340" w:type="dxa"/>
            <w:tcBorders>
              <w:top w:val="nil"/>
              <w:left w:val="nil"/>
              <w:bottom w:val="single" w:sz="4" w:space="0" w:color="auto"/>
              <w:right w:val="single" w:sz="4" w:space="0" w:color="auto"/>
            </w:tcBorders>
            <w:shd w:val="clear" w:color="auto" w:fill="auto"/>
            <w:vAlign w:val="center"/>
            <w:hideMark/>
          </w:tcPr>
          <w:p w14:paraId="3399309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Dermatovenerologija in </w:t>
            </w:r>
            <w:proofErr w:type="spellStart"/>
            <w:r w:rsidRPr="00944C8E">
              <w:rPr>
                <w:rFonts w:cs="Arial"/>
                <w:color w:val="000000"/>
                <w:szCs w:val="20"/>
                <w:lang w:eastAsia="sl-SI"/>
              </w:rPr>
              <w:t>alergologija</w:t>
            </w:r>
            <w:proofErr w:type="spellEnd"/>
            <w:r w:rsidRPr="00944C8E">
              <w:rPr>
                <w:rFonts w:cs="Arial"/>
                <w:color w:val="000000"/>
                <w:szCs w:val="20"/>
                <w:lang w:eastAsia="sl-SI"/>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16EA0F7D"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Dermis</w:t>
            </w:r>
            <w:proofErr w:type="spellEnd"/>
            <w:r w:rsidRPr="00944C8E">
              <w:rPr>
                <w:rFonts w:cs="Arial"/>
                <w:color w:val="000000"/>
                <w:szCs w:val="20"/>
                <w:lang w:eastAsia="sl-SI"/>
              </w:rPr>
              <w:t xml:space="preserve"> d.o.o.</w:t>
            </w:r>
          </w:p>
        </w:tc>
        <w:tc>
          <w:tcPr>
            <w:tcW w:w="1340" w:type="dxa"/>
            <w:tcBorders>
              <w:top w:val="nil"/>
              <w:left w:val="nil"/>
              <w:bottom w:val="single" w:sz="4" w:space="0" w:color="auto"/>
              <w:right w:val="single" w:sz="4" w:space="0" w:color="auto"/>
            </w:tcBorders>
            <w:shd w:val="clear" w:color="auto" w:fill="auto"/>
            <w:vAlign w:val="center"/>
            <w:hideMark/>
          </w:tcPr>
          <w:p w14:paraId="2C60E0D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 tima</w:t>
            </w:r>
          </w:p>
        </w:tc>
        <w:tc>
          <w:tcPr>
            <w:tcW w:w="1420" w:type="dxa"/>
            <w:tcBorders>
              <w:top w:val="nil"/>
              <w:left w:val="nil"/>
              <w:bottom w:val="single" w:sz="4" w:space="0" w:color="auto"/>
              <w:right w:val="single" w:sz="4" w:space="0" w:color="auto"/>
            </w:tcBorders>
            <w:shd w:val="clear" w:color="auto" w:fill="auto"/>
            <w:vAlign w:val="center"/>
            <w:hideMark/>
          </w:tcPr>
          <w:p w14:paraId="1B9E54F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13.230</w:t>
            </w:r>
          </w:p>
        </w:tc>
        <w:tc>
          <w:tcPr>
            <w:tcW w:w="1540" w:type="dxa"/>
            <w:tcBorders>
              <w:top w:val="nil"/>
              <w:left w:val="nil"/>
              <w:bottom w:val="single" w:sz="4" w:space="0" w:color="auto"/>
              <w:right w:val="single" w:sz="4" w:space="0" w:color="auto"/>
            </w:tcBorders>
            <w:shd w:val="clear" w:color="auto" w:fill="auto"/>
            <w:vAlign w:val="center"/>
            <w:hideMark/>
          </w:tcPr>
          <w:p w14:paraId="242DB4A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7.718</w:t>
            </w:r>
          </w:p>
        </w:tc>
      </w:tr>
      <w:tr w:rsidR="00944C8E" w:rsidRPr="00944C8E" w14:paraId="45C38BDB"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6346D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9</w:t>
            </w:r>
          </w:p>
        </w:tc>
        <w:tc>
          <w:tcPr>
            <w:tcW w:w="2340" w:type="dxa"/>
            <w:tcBorders>
              <w:top w:val="nil"/>
              <w:left w:val="nil"/>
              <w:bottom w:val="single" w:sz="4" w:space="0" w:color="auto"/>
              <w:right w:val="single" w:sz="4" w:space="0" w:color="auto"/>
            </w:tcBorders>
            <w:shd w:val="clear" w:color="auto" w:fill="auto"/>
            <w:vAlign w:val="center"/>
            <w:hideMark/>
          </w:tcPr>
          <w:p w14:paraId="4EA21F77"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Paradontologija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3C9E054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Dr.  Čok DENTAL d.o.o.</w:t>
            </w:r>
          </w:p>
        </w:tc>
        <w:tc>
          <w:tcPr>
            <w:tcW w:w="1340" w:type="dxa"/>
            <w:tcBorders>
              <w:top w:val="nil"/>
              <w:left w:val="nil"/>
              <w:bottom w:val="single" w:sz="4" w:space="0" w:color="auto"/>
              <w:right w:val="single" w:sz="4" w:space="0" w:color="auto"/>
            </w:tcBorders>
            <w:shd w:val="clear" w:color="auto" w:fill="auto"/>
            <w:vAlign w:val="center"/>
            <w:hideMark/>
          </w:tcPr>
          <w:p w14:paraId="153C4D1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0,12 </w:t>
            </w:r>
            <w:proofErr w:type="spellStart"/>
            <w:r w:rsidRPr="00944C8E">
              <w:rPr>
                <w:rFonts w:cs="Arial"/>
                <w:color w:val="000000"/>
                <w:szCs w:val="20"/>
                <w:lang w:eastAsia="sl-SI"/>
              </w:rPr>
              <w:t>tma</w:t>
            </w:r>
            <w:proofErr w:type="spellEnd"/>
          </w:p>
        </w:tc>
        <w:tc>
          <w:tcPr>
            <w:tcW w:w="1420" w:type="dxa"/>
            <w:tcBorders>
              <w:top w:val="nil"/>
              <w:left w:val="nil"/>
              <w:bottom w:val="single" w:sz="4" w:space="0" w:color="auto"/>
              <w:right w:val="single" w:sz="4" w:space="0" w:color="auto"/>
            </w:tcBorders>
            <w:shd w:val="clear" w:color="auto" w:fill="auto"/>
            <w:vAlign w:val="center"/>
            <w:hideMark/>
          </w:tcPr>
          <w:p w14:paraId="4566CB0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16.750</w:t>
            </w:r>
          </w:p>
        </w:tc>
        <w:tc>
          <w:tcPr>
            <w:tcW w:w="1540" w:type="dxa"/>
            <w:tcBorders>
              <w:top w:val="nil"/>
              <w:left w:val="nil"/>
              <w:bottom w:val="single" w:sz="4" w:space="0" w:color="auto"/>
              <w:right w:val="single" w:sz="4" w:space="0" w:color="auto"/>
            </w:tcBorders>
            <w:shd w:val="clear" w:color="auto" w:fill="auto"/>
            <w:vAlign w:val="center"/>
            <w:hideMark/>
          </w:tcPr>
          <w:p w14:paraId="138739D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9.771</w:t>
            </w:r>
          </w:p>
        </w:tc>
      </w:tr>
      <w:tr w:rsidR="00944C8E" w:rsidRPr="00944C8E" w14:paraId="7CDB2E8A"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D92FB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w:t>
            </w:r>
          </w:p>
        </w:tc>
        <w:tc>
          <w:tcPr>
            <w:tcW w:w="2340" w:type="dxa"/>
            <w:tcBorders>
              <w:top w:val="nil"/>
              <w:left w:val="nil"/>
              <w:bottom w:val="single" w:sz="4" w:space="0" w:color="auto"/>
              <w:right w:val="single" w:sz="4" w:space="0" w:color="auto"/>
            </w:tcBorders>
            <w:shd w:val="clear" w:color="auto" w:fill="auto"/>
            <w:vAlign w:val="center"/>
            <w:hideMark/>
          </w:tcPr>
          <w:p w14:paraId="1C08738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Pulmologija z RTG</w:t>
            </w:r>
          </w:p>
        </w:tc>
        <w:tc>
          <w:tcPr>
            <w:tcW w:w="1820" w:type="dxa"/>
            <w:tcBorders>
              <w:top w:val="nil"/>
              <w:left w:val="nil"/>
              <w:bottom w:val="single" w:sz="4" w:space="0" w:color="auto"/>
              <w:right w:val="single" w:sz="4" w:space="0" w:color="auto"/>
            </w:tcBorders>
            <w:shd w:val="clear" w:color="auto" w:fill="auto"/>
            <w:vAlign w:val="center"/>
            <w:hideMark/>
          </w:tcPr>
          <w:p w14:paraId="0B45834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Dr. </w:t>
            </w:r>
            <w:proofErr w:type="spellStart"/>
            <w:r w:rsidRPr="00944C8E">
              <w:rPr>
                <w:rFonts w:cs="Arial"/>
                <w:color w:val="000000"/>
                <w:szCs w:val="20"/>
                <w:lang w:eastAsia="sl-SI"/>
              </w:rPr>
              <w:t>Šegota</w:t>
            </w:r>
            <w:proofErr w:type="spellEnd"/>
            <w:r w:rsidRPr="00944C8E">
              <w:rPr>
                <w:rFonts w:cs="Arial"/>
                <w:color w:val="000000"/>
                <w:szCs w:val="20"/>
                <w:lang w:eastAsia="sl-SI"/>
              </w:rPr>
              <w:t xml:space="preserve"> – pulmolog d.o.o</w:t>
            </w:r>
          </w:p>
        </w:tc>
        <w:tc>
          <w:tcPr>
            <w:tcW w:w="1340" w:type="dxa"/>
            <w:tcBorders>
              <w:top w:val="nil"/>
              <w:left w:val="nil"/>
              <w:bottom w:val="single" w:sz="4" w:space="0" w:color="auto"/>
              <w:right w:val="single" w:sz="4" w:space="0" w:color="auto"/>
            </w:tcBorders>
            <w:shd w:val="clear" w:color="auto" w:fill="auto"/>
            <w:vAlign w:val="center"/>
            <w:hideMark/>
          </w:tcPr>
          <w:p w14:paraId="04C9DDD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 tima</w:t>
            </w:r>
          </w:p>
        </w:tc>
        <w:tc>
          <w:tcPr>
            <w:tcW w:w="1420" w:type="dxa"/>
            <w:tcBorders>
              <w:top w:val="nil"/>
              <w:left w:val="nil"/>
              <w:bottom w:val="single" w:sz="4" w:space="0" w:color="auto"/>
              <w:right w:val="single" w:sz="4" w:space="0" w:color="auto"/>
            </w:tcBorders>
            <w:shd w:val="clear" w:color="auto" w:fill="auto"/>
            <w:vAlign w:val="center"/>
            <w:hideMark/>
          </w:tcPr>
          <w:p w14:paraId="4F511B0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21.989</w:t>
            </w:r>
          </w:p>
        </w:tc>
        <w:tc>
          <w:tcPr>
            <w:tcW w:w="1540" w:type="dxa"/>
            <w:tcBorders>
              <w:top w:val="nil"/>
              <w:left w:val="nil"/>
              <w:bottom w:val="single" w:sz="4" w:space="0" w:color="auto"/>
              <w:right w:val="single" w:sz="4" w:space="0" w:color="auto"/>
            </w:tcBorders>
            <w:shd w:val="clear" w:color="auto" w:fill="auto"/>
            <w:vAlign w:val="center"/>
            <w:hideMark/>
          </w:tcPr>
          <w:p w14:paraId="7587FBF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12.827</w:t>
            </w:r>
          </w:p>
        </w:tc>
      </w:tr>
      <w:tr w:rsidR="00944C8E" w:rsidRPr="00944C8E" w14:paraId="0DCB1A19"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955A4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11</w:t>
            </w:r>
          </w:p>
        </w:tc>
        <w:tc>
          <w:tcPr>
            <w:tcW w:w="2340" w:type="dxa"/>
            <w:tcBorders>
              <w:top w:val="nil"/>
              <w:left w:val="nil"/>
              <w:bottom w:val="single" w:sz="4" w:space="0" w:color="auto"/>
              <w:right w:val="single" w:sz="4" w:space="0" w:color="auto"/>
            </w:tcBorders>
            <w:shd w:val="clear" w:color="auto" w:fill="auto"/>
            <w:vAlign w:val="center"/>
            <w:hideMark/>
          </w:tcPr>
          <w:p w14:paraId="1FB5DA5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Pulmologija z RTG</w:t>
            </w:r>
          </w:p>
        </w:tc>
        <w:tc>
          <w:tcPr>
            <w:tcW w:w="1820" w:type="dxa"/>
            <w:tcBorders>
              <w:top w:val="nil"/>
              <w:left w:val="nil"/>
              <w:bottom w:val="single" w:sz="4" w:space="0" w:color="auto"/>
              <w:right w:val="single" w:sz="4" w:space="0" w:color="auto"/>
            </w:tcBorders>
            <w:shd w:val="clear" w:color="auto" w:fill="auto"/>
            <w:vAlign w:val="center"/>
            <w:hideMark/>
          </w:tcPr>
          <w:p w14:paraId="1E8544F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KAMBIČ KAFOL d.o.o.</w:t>
            </w:r>
          </w:p>
        </w:tc>
        <w:tc>
          <w:tcPr>
            <w:tcW w:w="1340" w:type="dxa"/>
            <w:tcBorders>
              <w:top w:val="nil"/>
              <w:left w:val="nil"/>
              <w:bottom w:val="single" w:sz="4" w:space="0" w:color="auto"/>
              <w:right w:val="single" w:sz="4" w:space="0" w:color="auto"/>
            </w:tcBorders>
            <w:shd w:val="clear" w:color="auto" w:fill="auto"/>
            <w:vAlign w:val="center"/>
            <w:hideMark/>
          </w:tcPr>
          <w:p w14:paraId="79B4AFD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0,09 tima</w:t>
            </w:r>
          </w:p>
        </w:tc>
        <w:tc>
          <w:tcPr>
            <w:tcW w:w="1420" w:type="dxa"/>
            <w:tcBorders>
              <w:top w:val="nil"/>
              <w:left w:val="nil"/>
              <w:bottom w:val="single" w:sz="4" w:space="0" w:color="auto"/>
              <w:right w:val="single" w:sz="4" w:space="0" w:color="auto"/>
            </w:tcBorders>
            <w:shd w:val="clear" w:color="auto" w:fill="auto"/>
            <w:vAlign w:val="center"/>
            <w:hideMark/>
          </w:tcPr>
          <w:p w14:paraId="23CBD18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19.790</w:t>
            </w:r>
          </w:p>
        </w:tc>
        <w:tc>
          <w:tcPr>
            <w:tcW w:w="1540" w:type="dxa"/>
            <w:tcBorders>
              <w:top w:val="nil"/>
              <w:left w:val="nil"/>
              <w:bottom w:val="single" w:sz="4" w:space="0" w:color="auto"/>
              <w:right w:val="single" w:sz="4" w:space="0" w:color="auto"/>
            </w:tcBorders>
            <w:shd w:val="clear" w:color="auto" w:fill="auto"/>
            <w:vAlign w:val="center"/>
            <w:hideMark/>
          </w:tcPr>
          <w:p w14:paraId="5D3322C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11.544</w:t>
            </w:r>
          </w:p>
        </w:tc>
      </w:tr>
      <w:tr w:rsidR="00944C8E" w:rsidRPr="00944C8E" w14:paraId="38EBF7FC" w14:textId="77777777" w:rsidTr="00944C8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B4DBB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12</w:t>
            </w:r>
          </w:p>
        </w:tc>
        <w:tc>
          <w:tcPr>
            <w:tcW w:w="2340" w:type="dxa"/>
            <w:tcBorders>
              <w:top w:val="nil"/>
              <w:left w:val="nil"/>
              <w:bottom w:val="single" w:sz="4" w:space="0" w:color="auto"/>
              <w:right w:val="single" w:sz="4" w:space="0" w:color="auto"/>
            </w:tcBorders>
            <w:shd w:val="clear" w:color="auto" w:fill="auto"/>
            <w:vAlign w:val="center"/>
            <w:hideMark/>
          </w:tcPr>
          <w:p w14:paraId="0C5DE2E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Pediatrija</w:t>
            </w:r>
          </w:p>
        </w:tc>
        <w:tc>
          <w:tcPr>
            <w:tcW w:w="1820" w:type="dxa"/>
            <w:tcBorders>
              <w:top w:val="nil"/>
              <w:left w:val="nil"/>
              <w:bottom w:val="single" w:sz="4" w:space="0" w:color="auto"/>
              <w:right w:val="single" w:sz="4" w:space="0" w:color="auto"/>
            </w:tcBorders>
            <w:shd w:val="clear" w:color="auto" w:fill="auto"/>
            <w:vAlign w:val="center"/>
            <w:hideMark/>
          </w:tcPr>
          <w:p w14:paraId="08D5C50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Inštitut za avtizem</w:t>
            </w:r>
          </w:p>
        </w:tc>
        <w:tc>
          <w:tcPr>
            <w:tcW w:w="1340" w:type="dxa"/>
            <w:tcBorders>
              <w:top w:val="nil"/>
              <w:left w:val="nil"/>
              <w:bottom w:val="single" w:sz="4" w:space="0" w:color="auto"/>
              <w:right w:val="single" w:sz="4" w:space="0" w:color="auto"/>
            </w:tcBorders>
            <w:shd w:val="clear" w:color="auto" w:fill="auto"/>
            <w:vAlign w:val="center"/>
            <w:hideMark/>
          </w:tcPr>
          <w:p w14:paraId="0BF5727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0,144 tima</w:t>
            </w:r>
          </w:p>
        </w:tc>
        <w:tc>
          <w:tcPr>
            <w:tcW w:w="1420" w:type="dxa"/>
            <w:tcBorders>
              <w:top w:val="nil"/>
              <w:left w:val="nil"/>
              <w:bottom w:val="single" w:sz="4" w:space="0" w:color="auto"/>
              <w:right w:val="single" w:sz="4" w:space="0" w:color="auto"/>
            </w:tcBorders>
            <w:shd w:val="clear" w:color="auto" w:fill="auto"/>
            <w:vAlign w:val="center"/>
            <w:hideMark/>
          </w:tcPr>
          <w:p w14:paraId="62352AE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20.832</w:t>
            </w:r>
          </w:p>
        </w:tc>
        <w:tc>
          <w:tcPr>
            <w:tcW w:w="1540" w:type="dxa"/>
            <w:tcBorders>
              <w:top w:val="nil"/>
              <w:left w:val="nil"/>
              <w:bottom w:val="single" w:sz="4" w:space="0" w:color="auto"/>
              <w:right w:val="single" w:sz="4" w:space="0" w:color="auto"/>
            </w:tcBorders>
            <w:shd w:val="clear" w:color="auto" w:fill="auto"/>
            <w:vAlign w:val="center"/>
            <w:hideMark/>
          </w:tcPr>
          <w:p w14:paraId="2CBBBA6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12.152</w:t>
            </w:r>
          </w:p>
        </w:tc>
      </w:tr>
      <w:tr w:rsidR="00944C8E" w:rsidRPr="00944C8E" w14:paraId="628C5BB0"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95593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lastRenderedPageBreak/>
              <w:t>13</w:t>
            </w:r>
          </w:p>
        </w:tc>
        <w:tc>
          <w:tcPr>
            <w:tcW w:w="2340" w:type="dxa"/>
            <w:tcBorders>
              <w:top w:val="nil"/>
              <w:left w:val="nil"/>
              <w:bottom w:val="single" w:sz="4" w:space="0" w:color="auto"/>
              <w:right w:val="single" w:sz="4" w:space="0" w:color="auto"/>
            </w:tcBorders>
            <w:shd w:val="clear" w:color="auto" w:fill="auto"/>
            <w:vAlign w:val="center"/>
            <w:hideMark/>
          </w:tcPr>
          <w:p w14:paraId="2F8C3E37"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okulistična ambulanta</w:t>
            </w:r>
          </w:p>
        </w:tc>
        <w:tc>
          <w:tcPr>
            <w:tcW w:w="1820" w:type="dxa"/>
            <w:tcBorders>
              <w:top w:val="nil"/>
              <w:left w:val="nil"/>
              <w:bottom w:val="single" w:sz="4" w:space="0" w:color="auto"/>
              <w:right w:val="single" w:sz="4" w:space="0" w:color="auto"/>
            </w:tcBorders>
            <w:shd w:val="clear" w:color="auto" w:fill="auto"/>
            <w:vAlign w:val="center"/>
            <w:hideMark/>
          </w:tcPr>
          <w:p w14:paraId="323B966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Kameleon d.o.o.</w:t>
            </w:r>
          </w:p>
        </w:tc>
        <w:tc>
          <w:tcPr>
            <w:tcW w:w="1340" w:type="dxa"/>
            <w:tcBorders>
              <w:top w:val="nil"/>
              <w:left w:val="nil"/>
              <w:bottom w:val="single" w:sz="4" w:space="0" w:color="auto"/>
              <w:right w:val="single" w:sz="4" w:space="0" w:color="auto"/>
            </w:tcBorders>
            <w:shd w:val="clear" w:color="auto" w:fill="auto"/>
            <w:vAlign w:val="center"/>
            <w:hideMark/>
          </w:tcPr>
          <w:p w14:paraId="3305BFC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0,24 tima</w:t>
            </w:r>
          </w:p>
        </w:tc>
        <w:tc>
          <w:tcPr>
            <w:tcW w:w="1420" w:type="dxa"/>
            <w:tcBorders>
              <w:top w:val="nil"/>
              <w:left w:val="nil"/>
              <w:bottom w:val="single" w:sz="4" w:space="0" w:color="auto"/>
              <w:right w:val="single" w:sz="4" w:space="0" w:color="auto"/>
            </w:tcBorders>
            <w:shd w:val="clear" w:color="auto" w:fill="auto"/>
            <w:vAlign w:val="center"/>
            <w:hideMark/>
          </w:tcPr>
          <w:p w14:paraId="7E9A8D9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32.261</w:t>
            </w:r>
          </w:p>
        </w:tc>
        <w:tc>
          <w:tcPr>
            <w:tcW w:w="1540" w:type="dxa"/>
            <w:tcBorders>
              <w:top w:val="nil"/>
              <w:left w:val="nil"/>
              <w:bottom w:val="single" w:sz="4" w:space="0" w:color="auto"/>
              <w:right w:val="single" w:sz="4" w:space="0" w:color="auto"/>
            </w:tcBorders>
            <w:shd w:val="clear" w:color="auto" w:fill="auto"/>
            <w:vAlign w:val="center"/>
            <w:hideMark/>
          </w:tcPr>
          <w:p w14:paraId="0A365CA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18.819</w:t>
            </w:r>
          </w:p>
        </w:tc>
      </w:tr>
      <w:tr w:rsidR="00944C8E" w:rsidRPr="00944C8E" w14:paraId="3E56934B"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A6488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14</w:t>
            </w:r>
          </w:p>
        </w:tc>
        <w:tc>
          <w:tcPr>
            <w:tcW w:w="2340" w:type="dxa"/>
            <w:tcBorders>
              <w:top w:val="nil"/>
              <w:left w:val="nil"/>
              <w:bottom w:val="single" w:sz="4" w:space="0" w:color="auto"/>
              <w:right w:val="single" w:sz="4" w:space="0" w:color="auto"/>
            </w:tcBorders>
            <w:shd w:val="clear" w:color="auto" w:fill="auto"/>
            <w:vAlign w:val="center"/>
            <w:hideMark/>
          </w:tcPr>
          <w:p w14:paraId="2F3A2C5B"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okulistična ambulanta</w:t>
            </w:r>
          </w:p>
        </w:tc>
        <w:tc>
          <w:tcPr>
            <w:tcW w:w="1820" w:type="dxa"/>
            <w:tcBorders>
              <w:top w:val="nil"/>
              <w:left w:val="nil"/>
              <w:bottom w:val="single" w:sz="4" w:space="0" w:color="auto"/>
              <w:right w:val="single" w:sz="4" w:space="0" w:color="auto"/>
            </w:tcBorders>
            <w:shd w:val="clear" w:color="auto" w:fill="auto"/>
            <w:vAlign w:val="center"/>
            <w:hideMark/>
          </w:tcPr>
          <w:p w14:paraId="65C45E72"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Ophtacom</w:t>
            </w:r>
            <w:proofErr w:type="spellEnd"/>
            <w:r w:rsidRPr="00944C8E">
              <w:rPr>
                <w:rFonts w:cs="Arial"/>
                <w:color w:val="000000"/>
                <w:szCs w:val="20"/>
                <w:lang w:eastAsia="sl-SI"/>
              </w:rPr>
              <w:t xml:space="preserve"> d.o.o. </w:t>
            </w:r>
          </w:p>
        </w:tc>
        <w:tc>
          <w:tcPr>
            <w:tcW w:w="1340" w:type="dxa"/>
            <w:tcBorders>
              <w:top w:val="nil"/>
              <w:left w:val="nil"/>
              <w:bottom w:val="single" w:sz="4" w:space="0" w:color="auto"/>
              <w:right w:val="single" w:sz="4" w:space="0" w:color="auto"/>
            </w:tcBorders>
            <w:shd w:val="clear" w:color="auto" w:fill="auto"/>
            <w:vAlign w:val="center"/>
            <w:hideMark/>
          </w:tcPr>
          <w:p w14:paraId="39682EE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0,2 tima</w:t>
            </w:r>
          </w:p>
        </w:tc>
        <w:tc>
          <w:tcPr>
            <w:tcW w:w="1420" w:type="dxa"/>
            <w:tcBorders>
              <w:top w:val="nil"/>
              <w:left w:val="nil"/>
              <w:bottom w:val="single" w:sz="4" w:space="0" w:color="auto"/>
              <w:right w:val="single" w:sz="4" w:space="0" w:color="auto"/>
            </w:tcBorders>
            <w:shd w:val="clear" w:color="auto" w:fill="auto"/>
            <w:vAlign w:val="center"/>
            <w:hideMark/>
          </w:tcPr>
          <w:p w14:paraId="6CDB440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26.883</w:t>
            </w:r>
          </w:p>
        </w:tc>
        <w:tc>
          <w:tcPr>
            <w:tcW w:w="1540" w:type="dxa"/>
            <w:tcBorders>
              <w:top w:val="nil"/>
              <w:left w:val="nil"/>
              <w:bottom w:val="single" w:sz="4" w:space="0" w:color="auto"/>
              <w:right w:val="single" w:sz="4" w:space="0" w:color="auto"/>
            </w:tcBorders>
            <w:shd w:val="clear" w:color="auto" w:fill="auto"/>
            <w:vAlign w:val="center"/>
            <w:hideMark/>
          </w:tcPr>
          <w:p w14:paraId="32CEB08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15.682</w:t>
            </w:r>
          </w:p>
        </w:tc>
      </w:tr>
      <w:tr w:rsidR="00944C8E" w:rsidRPr="00944C8E" w14:paraId="73C14A98"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5D67D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15</w:t>
            </w:r>
          </w:p>
        </w:tc>
        <w:tc>
          <w:tcPr>
            <w:tcW w:w="2340" w:type="dxa"/>
            <w:tcBorders>
              <w:top w:val="nil"/>
              <w:left w:val="nil"/>
              <w:bottom w:val="single" w:sz="4" w:space="0" w:color="auto"/>
              <w:right w:val="single" w:sz="4" w:space="0" w:color="auto"/>
            </w:tcBorders>
            <w:shd w:val="clear" w:color="auto" w:fill="auto"/>
            <w:vAlign w:val="center"/>
            <w:hideMark/>
          </w:tcPr>
          <w:p w14:paraId="0C652A14"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operacija katarakte</w:t>
            </w:r>
          </w:p>
        </w:tc>
        <w:tc>
          <w:tcPr>
            <w:tcW w:w="1820" w:type="dxa"/>
            <w:tcBorders>
              <w:top w:val="nil"/>
              <w:left w:val="nil"/>
              <w:bottom w:val="single" w:sz="4" w:space="0" w:color="auto"/>
              <w:right w:val="single" w:sz="4" w:space="0" w:color="auto"/>
            </w:tcBorders>
            <w:shd w:val="clear" w:color="auto" w:fill="auto"/>
            <w:vAlign w:val="center"/>
            <w:hideMark/>
          </w:tcPr>
          <w:p w14:paraId="200BF09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Novak Brecelj d.o.o.</w:t>
            </w:r>
          </w:p>
        </w:tc>
        <w:tc>
          <w:tcPr>
            <w:tcW w:w="1340" w:type="dxa"/>
            <w:tcBorders>
              <w:top w:val="nil"/>
              <w:left w:val="nil"/>
              <w:bottom w:val="single" w:sz="4" w:space="0" w:color="auto"/>
              <w:right w:val="single" w:sz="4" w:space="0" w:color="auto"/>
            </w:tcBorders>
            <w:shd w:val="clear" w:color="auto" w:fill="auto"/>
            <w:vAlign w:val="center"/>
            <w:hideMark/>
          </w:tcPr>
          <w:p w14:paraId="051AD5D0" w14:textId="299DE468" w:rsidR="00944C8E" w:rsidRPr="00944C8E" w:rsidRDefault="0051508B" w:rsidP="00944C8E">
            <w:pPr>
              <w:spacing w:line="240" w:lineRule="auto"/>
              <w:jc w:val="both"/>
              <w:rPr>
                <w:rFonts w:cs="Arial"/>
                <w:color w:val="000000"/>
                <w:szCs w:val="20"/>
                <w:lang w:eastAsia="sl-SI"/>
              </w:rPr>
            </w:pPr>
            <w:r>
              <w:rPr>
                <w:rFonts w:cs="Arial"/>
                <w:color w:val="000000"/>
                <w:szCs w:val="20"/>
                <w:lang w:eastAsia="sl-SI"/>
              </w:rPr>
              <w:t>31 operacij</w:t>
            </w:r>
          </w:p>
        </w:tc>
        <w:tc>
          <w:tcPr>
            <w:tcW w:w="1420" w:type="dxa"/>
            <w:tcBorders>
              <w:top w:val="nil"/>
              <w:left w:val="nil"/>
              <w:bottom w:val="single" w:sz="4" w:space="0" w:color="auto"/>
              <w:right w:val="single" w:sz="4" w:space="0" w:color="auto"/>
            </w:tcBorders>
            <w:shd w:val="clear" w:color="auto" w:fill="auto"/>
            <w:vAlign w:val="center"/>
            <w:hideMark/>
          </w:tcPr>
          <w:p w14:paraId="71893C1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19.711</w:t>
            </w:r>
          </w:p>
        </w:tc>
        <w:tc>
          <w:tcPr>
            <w:tcW w:w="1540" w:type="dxa"/>
            <w:tcBorders>
              <w:top w:val="nil"/>
              <w:left w:val="nil"/>
              <w:bottom w:val="single" w:sz="4" w:space="0" w:color="auto"/>
              <w:right w:val="single" w:sz="4" w:space="0" w:color="auto"/>
            </w:tcBorders>
            <w:shd w:val="clear" w:color="auto" w:fill="auto"/>
            <w:vAlign w:val="center"/>
            <w:hideMark/>
          </w:tcPr>
          <w:p w14:paraId="38D2382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11.498</w:t>
            </w:r>
          </w:p>
        </w:tc>
      </w:tr>
      <w:tr w:rsidR="00944C8E" w:rsidRPr="00944C8E" w14:paraId="7CA4E148"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5790E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16</w:t>
            </w:r>
          </w:p>
        </w:tc>
        <w:tc>
          <w:tcPr>
            <w:tcW w:w="2340" w:type="dxa"/>
            <w:tcBorders>
              <w:top w:val="nil"/>
              <w:left w:val="nil"/>
              <w:bottom w:val="single" w:sz="4" w:space="0" w:color="auto"/>
              <w:right w:val="single" w:sz="4" w:space="0" w:color="auto"/>
            </w:tcBorders>
            <w:shd w:val="clear" w:color="auto" w:fill="auto"/>
            <w:vAlign w:val="center"/>
            <w:hideMark/>
          </w:tcPr>
          <w:p w14:paraId="0F5F7033"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Gastroenterologija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5B600C6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Klinika Doktor 24 d.o.o.</w:t>
            </w:r>
          </w:p>
        </w:tc>
        <w:tc>
          <w:tcPr>
            <w:tcW w:w="1340" w:type="dxa"/>
            <w:tcBorders>
              <w:top w:val="nil"/>
              <w:left w:val="nil"/>
              <w:bottom w:val="single" w:sz="4" w:space="0" w:color="auto"/>
              <w:right w:val="single" w:sz="4" w:space="0" w:color="auto"/>
            </w:tcBorders>
            <w:shd w:val="clear" w:color="auto" w:fill="auto"/>
            <w:vAlign w:val="center"/>
            <w:hideMark/>
          </w:tcPr>
          <w:p w14:paraId="0EC9786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 tima</w:t>
            </w:r>
          </w:p>
        </w:tc>
        <w:tc>
          <w:tcPr>
            <w:tcW w:w="1420" w:type="dxa"/>
            <w:tcBorders>
              <w:top w:val="nil"/>
              <w:left w:val="nil"/>
              <w:bottom w:val="single" w:sz="4" w:space="0" w:color="auto"/>
              <w:right w:val="single" w:sz="4" w:space="0" w:color="auto"/>
            </w:tcBorders>
            <w:shd w:val="clear" w:color="auto" w:fill="auto"/>
            <w:vAlign w:val="center"/>
            <w:hideMark/>
          </w:tcPr>
          <w:p w14:paraId="621CFA3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20.572</w:t>
            </w:r>
          </w:p>
        </w:tc>
        <w:tc>
          <w:tcPr>
            <w:tcW w:w="1540" w:type="dxa"/>
            <w:tcBorders>
              <w:top w:val="nil"/>
              <w:left w:val="nil"/>
              <w:bottom w:val="single" w:sz="4" w:space="0" w:color="auto"/>
              <w:right w:val="single" w:sz="4" w:space="0" w:color="auto"/>
            </w:tcBorders>
            <w:shd w:val="clear" w:color="auto" w:fill="auto"/>
            <w:vAlign w:val="center"/>
            <w:hideMark/>
          </w:tcPr>
          <w:p w14:paraId="0CB7A79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12.000</w:t>
            </w:r>
          </w:p>
        </w:tc>
      </w:tr>
      <w:tr w:rsidR="00944C8E" w:rsidRPr="00944C8E" w14:paraId="68E32902"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63856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17</w:t>
            </w:r>
          </w:p>
        </w:tc>
        <w:tc>
          <w:tcPr>
            <w:tcW w:w="2340" w:type="dxa"/>
            <w:tcBorders>
              <w:top w:val="nil"/>
              <w:left w:val="nil"/>
              <w:bottom w:val="single" w:sz="4" w:space="0" w:color="auto"/>
              <w:right w:val="single" w:sz="4" w:space="0" w:color="auto"/>
            </w:tcBorders>
            <w:shd w:val="clear" w:color="auto" w:fill="auto"/>
            <w:vAlign w:val="center"/>
            <w:hideMark/>
          </w:tcPr>
          <w:p w14:paraId="7101E98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Oralna in maksilofacialna kirurgija</w:t>
            </w:r>
          </w:p>
        </w:tc>
        <w:tc>
          <w:tcPr>
            <w:tcW w:w="1820" w:type="dxa"/>
            <w:tcBorders>
              <w:top w:val="nil"/>
              <w:left w:val="nil"/>
              <w:bottom w:val="single" w:sz="4" w:space="0" w:color="auto"/>
              <w:right w:val="single" w:sz="4" w:space="0" w:color="auto"/>
            </w:tcBorders>
            <w:shd w:val="clear" w:color="auto" w:fill="auto"/>
            <w:vAlign w:val="center"/>
            <w:hideMark/>
          </w:tcPr>
          <w:p w14:paraId="7168DED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Samo </w:t>
            </w:r>
            <w:proofErr w:type="spellStart"/>
            <w:r w:rsidRPr="00944C8E">
              <w:rPr>
                <w:rFonts w:cs="Arial"/>
                <w:color w:val="000000"/>
                <w:szCs w:val="20"/>
                <w:lang w:eastAsia="sl-SI"/>
              </w:rPr>
              <w:t>Tetičković</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5F39050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0,12 tima</w:t>
            </w:r>
          </w:p>
        </w:tc>
        <w:tc>
          <w:tcPr>
            <w:tcW w:w="1420" w:type="dxa"/>
            <w:tcBorders>
              <w:top w:val="nil"/>
              <w:left w:val="nil"/>
              <w:bottom w:val="single" w:sz="4" w:space="0" w:color="auto"/>
              <w:right w:val="single" w:sz="4" w:space="0" w:color="auto"/>
            </w:tcBorders>
            <w:shd w:val="clear" w:color="auto" w:fill="auto"/>
            <w:vAlign w:val="center"/>
            <w:hideMark/>
          </w:tcPr>
          <w:p w14:paraId="2982457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23.216</w:t>
            </w:r>
          </w:p>
        </w:tc>
        <w:tc>
          <w:tcPr>
            <w:tcW w:w="1540" w:type="dxa"/>
            <w:tcBorders>
              <w:top w:val="nil"/>
              <w:left w:val="nil"/>
              <w:bottom w:val="single" w:sz="4" w:space="0" w:color="auto"/>
              <w:right w:val="single" w:sz="4" w:space="0" w:color="auto"/>
            </w:tcBorders>
            <w:shd w:val="clear" w:color="auto" w:fill="auto"/>
            <w:vAlign w:val="center"/>
            <w:hideMark/>
          </w:tcPr>
          <w:p w14:paraId="05B0C0D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13.543</w:t>
            </w:r>
          </w:p>
        </w:tc>
      </w:tr>
      <w:tr w:rsidR="00944C8E" w:rsidRPr="00944C8E" w14:paraId="46A9B385"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A92C4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18</w:t>
            </w:r>
          </w:p>
        </w:tc>
        <w:tc>
          <w:tcPr>
            <w:tcW w:w="2340" w:type="dxa"/>
            <w:tcBorders>
              <w:top w:val="nil"/>
              <w:left w:val="nil"/>
              <w:bottom w:val="single" w:sz="4" w:space="0" w:color="auto"/>
              <w:right w:val="single" w:sz="4" w:space="0" w:color="auto"/>
            </w:tcBorders>
            <w:shd w:val="clear" w:color="auto" w:fill="auto"/>
            <w:vAlign w:val="center"/>
            <w:hideMark/>
          </w:tcPr>
          <w:p w14:paraId="0E15B2D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Zobne bolezni in </w:t>
            </w:r>
            <w:proofErr w:type="spellStart"/>
            <w:r w:rsidRPr="00944C8E">
              <w:rPr>
                <w:rFonts w:cs="Arial"/>
                <w:color w:val="000000"/>
                <w:szCs w:val="20"/>
                <w:lang w:eastAsia="sl-SI"/>
              </w:rPr>
              <w:t>endodontija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717A710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SIMED d.o.o.</w:t>
            </w:r>
          </w:p>
        </w:tc>
        <w:tc>
          <w:tcPr>
            <w:tcW w:w="1340" w:type="dxa"/>
            <w:tcBorders>
              <w:top w:val="nil"/>
              <w:left w:val="nil"/>
              <w:bottom w:val="single" w:sz="4" w:space="0" w:color="auto"/>
              <w:right w:val="single" w:sz="4" w:space="0" w:color="auto"/>
            </w:tcBorders>
            <w:shd w:val="clear" w:color="auto" w:fill="auto"/>
            <w:vAlign w:val="center"/>
            <w:hideMark/>
          </w:tcPr>
          <w:p w14:paraId="014E85E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0,4 tima</w:t>
            </w:r>
          </w:p>
        </w:tc>
        <w:tc>
          <w:tcPr>
            <w:tcW w:w="1420" w:type="dxa"/>
            <w:tcBorders>
              <w:top w:val="nil"/>
              <w:left w:val="nil"/>
              <w:bottom w:val="single" w:sz="4" w:space="0" w:color="auto"/>
              <w:right w:val="single" w:sz="4" w:space="0" w:color="auto"/>
            </w:tcBorders>
            <w:shd w:val="clear" w:color="auto" w:fill="auto"/>
            <w:vAlign w:val="center"/>
            <w:hideMark/>
          </w:tcPr>
          <w:p w14:paraId="3C74255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55.834</w:t>
            </w:r>
          </w:p>
        </w:tc>
        <w:tc>
          <w:tcPr>
            <w:tcW w:w="1540" w:type="dxa"/>
            <w:tcBorders>
              <w:top w:val="nil"/>
              <w:left w:val="nil"/>
              <w:bottom w:val="single" w:sz="4" w:space="0" w:color="auto"/>
              <w:right w:val="single" w:sz="4" w:space="0" w:color="auto"/>
            </w:tcBorders>
            <w:shd w:val="clear" w:color="auto" w:fill="auto"/>
            <w:vAlign w:val="center"/>
            <w:hideMark/>
          </w:tcPr>
          <w:p w14:paraId="4ECA6C4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32.570</w:t>
            </w:r>
          </w:p>
        </w:tc>
      </w:tr>
      <w:tr w:rsidR="00944C8E" w:rsidRPr="005E4BEA" w14:paraId="5346203E"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58BE3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19</w:t>
            </w:r>
          </w:p>
        </w:tc>
        <w:tc>
          <w:tcPr>
            <w:tcW w:w="2340" w:type="dxa"/>
            <w:tcBorders>
              <w:top w:val="nil"/>
              <w:left w:val="nil"/>
              <w:bottom w:val="single" w:sz="4" w:space="0" w:color="auto"/>
              <w:right w:val="single" w:sz="4" w:space="0" w:color="auto"/>
            </w:tcBorders>
            <w:shd w:val="clear" w:color="auto" w:fill="auto"/>
            <w:vAlign w:val="center"/>
            <w:hideMark/>
          </w:tcPr>
          <w:p w14:paraId="2286606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Zobne bolezni in </w:t>
            </w:r>
            <w:proofErr w:type="spellStart"/>
            <w:r w:rsidRPr="00944C8E">
              <w:rPr>
                <w:rFonts w:cs="Arial"/>
                <w:color w:val="000000"/>
                <w:szCs w:val="20"/>
                <w:lang w:eastAsia="sl-SI"/>
              </w:rPr>
              <w:t>endodontija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182E3FF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Novo mesto</w:t>
            </w:r>
          </w:p>
        </w:tc>
        <w:tc>
          <w:tcPr>
            <w:tcW w:w="1340" w:type="dxa"/>
            <w:tcBorders>
              <w:top w:val="nil"/>
              <w:left w:val="nil"/>
              <w:bottom w:val="single" w:sz="4" w:space="0" w:color="auto"/>
              <w:right w:val="single" w:sz="4" w:space="0" w:color="auto"/>
            </w:tcBorders>
            <w:shd w:val="clear" w:color="auto" w:fill="auto"/>
            <w:vAlign w:val="center"/>
            <w:hideMark/>
          </w:tcPr>
          <w:p w14:paraId="4159B98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 tim</w:t>
            </w:r>
          </w:p>
        </w:tc>
        <w:tc>
          <w:tcPr>
            <w:tcW w:w="1420" w:type="dxa"/>
            <w:tcBorders>
              <w:top w:val="nil"/>
              <w:left w:val="nil"/>
              <w:bottom w:val="single" w:sz="4" w:space="0" w:color="auto"/>
              <w:right w:val="single" w:sz="4" w:space="0" w:color="auto"/>
            </w:tcBorders>
            <w:shd w:val="clear" w:color="auto" w:fill="auto"/>
            <w:vAlign w:val="center"/>
            <w:hideMark/>
          </w:tcPr>
          <w:p w14:paraId="2A3064F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139.585</w:t>
            </w:r>
          </w:p>
        </w:tc>
        <w:tc>
          <w:tcPr>
            <w:tcW w:w="1540" w:type="dxa"/>
            <w:tcBorders>
              <w:top w:val="nil"/>
              <w:left w:val="nil"/>
              <w:bottom w:val="single" w:sz="4" w:space="0" w:color="auto"/>
              <w:right w:val="single" w:sz="4" w:space="0" w:color="auto"/>
            </w:tcBorders>
            <w:shd w:val="clear" w:color="auto" w:fill="auto"/>
            <w:vAlign w:val="center"/>
            <w:hideMark/>
          </w:tcPr>
          <w:p w14:paraId="1D9E0C2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81.425</w:t>
            </w:r>
          </w:p>
        </w:tc>
      </w:tr>
      <w:tr w:rsidR="00944C8E" w:rsidRPr="00944C8E" w14:paraId="75093420"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4FDB1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20</w:t>
            </w:r>
          </w:p>
        </w:tc>
        <w:tc>
          <w:tcPr>
            <w:tcW w:w="2340" w:type="dxa"/>
            <w:tcBorders>
              <w:top w:val="nil"/>
              <w:left w:val="nil"/>
              <w:bottom w:val="single" w:sz="4" w:space="0" w:color="auto"/>
              <w:right w:val="single" w:sz="4" w:space="0" w:color="auto"/>
            </w:tcBorders>
            <w:shd w:val="clear" w:color="auto" w:fill="auto"/>
            <w:vAlign w:val="center"/>
            <w:hideMark/>
          </w:tcPr>
          <w:p w14:paraId="4693EE45"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okulistična ambulanta</w:t>
            </w:r>
          </w:p>
        </w:tc>
        <w:tc>
          <w:tcPr>
            <w:tcW w:w="1820" w:type="dxa"/>
            <w:tcBorders>
              <w:top w:val="nil"/>
              <w:left w:val="nil"/>
              <w:bottom w:val="single" w:sz="4" w:space="0" w:color="auto"/>
              <w:right w:val="single" w:sz="4" w:space="0" w:color="auto"/>
            </w:tcBorders>
            <w:shd w:val="clear" w:color="auto" w:fill="auto"/>
            <w:vAlign w:val="center"/>
            <w:hideMark/>
          </w:tcPr>
          <w:p w14:paraId="3428B7C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Vid d.o.o.</w:t>
            </w:r>
          </w:p>
        </w:tc>
        <w:tc>
          <w:tcPr>
            <w:tcW w:w="1340" w:type="dxa"/>
            <w:tcBorders>
              <w:top w:val="nil"/>
              <w:left w:val="nil"/>
              <w:bottom w:val="single" w:sz="4" w:space="0" w:color="auto"/>
              <w:right w:val="single" w:sz="4" w:space="0" w:color="auto"/>
            </w:tcBorders>
            <w:shd w:val="clear" w:color="auto" w:fill="auto"/>
            <w:vAlign w:val="center"/>
            <w:hideMark/>
          </w:tcPr>
          <w:p w14:paraId="191EA6D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0,13 tima</w:t>
            </w:r>
          </w:p>
        </w:tc>
        <w:tc>
          <w:tcPr>
            <w:tcW w:w="1420" w:type="dxa"/>
            <w:tcBorders>
              <w:top w:val="nil"/>
              <w:left w:val="nil"/>
              <w:bottom w:val="single" w:sz="4" w:space="0" w:color="auto"/>
              <w:right w:val="single" w:sz="4" w:space="0" w:color="auto"/>
            </w:tcBorders>
            <w:shd w:val="clear" w:color="auto" w:fill="auto"/>
            <w:vAlign w:val="center"/>
            <w:hideMark/>
          </w:tcPr>
          <w:p w14:paraId="47F3F26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17.790</w:t>
            </w:r>
          </w:p>
        </w:tc>
        <w:tc>
          <w:tcPr>
            <w:tcW w:w="1540" w:type="dxa"/>
            <w:tcBorders>
              <w:top w:val="nil"/>
              <w:left w:val="nil"/>
              <w:bottom w:val="single" w:sz="4" w:space="0" w:color="auto"/>
              <w:right w:val="single" w:sz="4" w:space="0" w:color="auto"/>
            </w:tcBorders>
            <w:shd w:val="clear" w:color="auto" w:fill="auto"/>
            <w:vAlign w:val="center"/>
            <w:hideMark/>
          </w:tcPr>
          <w:p w14:paraId="74A83BC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10.378</w:t>
            </w:r>
          </w:p>
        </w:tc>
      </w:tr>
      <w:tr w:rsidR="00944C8E" w:rsidRPr="005E4BEA" w14:paraId="6E665D69"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21A7B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21</w:t>
            </w:r>
          </w:p>
        </w:tc>
        <w:tc>
          <w:tcPr>
            <w:tcW w:w="2340" w:type="dxa"/>
            <w:tcBorders>
              <w:top w:val="nil"/>
              <w:left w:val="nil"/>
              <w:bottom w:val="single" w:sz="4" w:space="0" w:color="auto"/>
              <w:right w:val="single" w:sz="4" w:space="0" w:color="auto"/>
            </w:tcBorders>
            <w:shd w:val="clear" w:color="auto" w:fill="auto"/>
            <w:vAlign w:val="center"/>
            <w:hideMark/>
          </w:tcPr>
          <w:p w14:paraId="0F2CB7BC"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Ambulanta družinske medicine / </w:t>
            </w:r>
            <w:r w:rsidRPr="00944C8E">
              <w:rPr>
                <w:rFonts w:cs="Arial"/>
                <w:color w:val="000000"/>
                <w:szCs w:val="20"/>
                <w:lang w:eastAsia="sl-SI"/>
              </w:rPr>
              <w:br/>
              <w:t>Splošna ambulanta SA</w:t>
            </w:r>
          </w:p>
        </w:tc>
        <w:tc>
          <w:tcPr>
            <w:tcW w:w="1820" w:type="dxa"/>
            <w:tcBorders>
              <w:top w:val="nil"/>
              <w:left w:val="nil"/>
              <w:bottom w:val="single" w:sz="4" w:space="0" w:color="auto"/>
              <w:right w:val="single" w:sz="4" w:space="0" w:color="auto"/>
            </w:tcBorders>
            <w:shd w:val="clear" w:color="auto" w:fill="auto"/>
            <w:vAlign w:val="center"/>
            <w:hideMark/>
          </w:tcPr>
          <w:p w14:paraId="4191521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OE Celje / Braslovče</w:t>
            </w:r>
          </w:p>
        </w:tc>
        <w:tc>
          <w:tcPr>
            <w:tcW w:w="1340" w:type="dxa"/>
            <w:tcBorders>
              <w:top w:val="nil"/>
              <w:left w:val="nil"/>
              <w:bottom w:val="single" w:sz="4" w:space="0" w:color="auto"/>
              <w:right w:val="single" w:sz="4" w:space="0" w:color="auto"/>
            </w:tcBorders>
            <w:shd w:val="clear" w:color="auto" w:fill="auto"/>
            <w:vAlign w:val="center"/>
            <w:hideMark/>
          </w:tcPr>
          <w:p w14:paraId="7F06BE9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 tima</w:t>
            </w:r>
          </w:p>
        </w:tc>
        <w:tc>
          <w:tcPr>
            <w:tcW w:w="1420" w:type="dxa"/>
            <w:tcBorders>
              <w:top w:val="nil"/>
              <w:left w:val="nil"/>
              <w:bottom w:val="single" w:sz="4" w:space="0" w:color="auto"/>
              <w:right w:val="single" w:sz="4" w:space="0" w:color="auto"/>
            </w:tcBorders>
            <w:shd w:val="clear" w:color="auto" w:fill="auto"/>
            <w:vAlign w:val="center"/>
            <w:hideMark/>
          </w:tcPr>
          <w:p w14:paraId="40CB050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294.259</w:t>
            </w:r>
          </w:p>
        </w:tc>
        <w:tc>
          <w:tcPr>
            <w:tcW w:w="1540" w:type="dxa"/>
            <w:tcBorders>
              <w:top w:val="nil"/>
              <w:left w:val="nil"/>
              <w:bottom w:val="single" w:sz="4" w:space="0" w:color="auto"/>
              <w:right w:val="single" w:sz="4" w:space="0" w:color="auto"/>
            </w:tcBorders>
            <w:shd w:val="clear" w:color="auto" w:fill="auto"/>
            <w:vAlign w:val="center"/>
            <w:hideMark/>
          </w:tcPr>
          <w:p w14:paraId="478C5A0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171.651</w:t>
            </w:r>
          </w:p>
        </w:tc>
      </w:tr>
      <w:tr w:rsidR="00944C8E" w:rsidRPr="005E4BEA" w14:paraId="7B9693DE"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1A7F0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22</w:t>
            </w:r>
          </w:p>
        </w:tc>
        <w:tc>
          <w:tcPr>
            <w:tcW w:w="2340" w:type="dxa"/>
            <w:tcBorders>
              <w:top w:val="nil"/>
              <w:left w:val="nil"/>
              <w:bottom w:val="single" w:sz="4" w:space="0" w:color="auto"/>
              <w:right w:val="single" w:sz="4" w:space="0" w:color="auto"/>
            </w:tcBorders>
            <w:shd w:val="clear" w:color="auto" w:fill="auto"/>
            <w:vAlign w:val="center"/>
            <w:hideMark/>
          </w:tcPr>
          <w:p w14:paraId="5B8903F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Stomatološko protetična dejavnost </w:t>
            </w:r>
          </w:p>
        </w:tc>
        <w:tc>
          <w:tcPr>
            <w:tcW w:w="1820" w:type="dxa"/>
            <w:tcBorders>
              <w:top w:val="nil"/>
              <w:left w:val="nil"/>
              <w:bottom w:val="single" w:sz="4" w:space="0" w:color="auto"/>
              <w:right w:val="single" w:sz="4" w:space="0" w:color="auto"/>
            </w:tcBorders>
            <w:shd w:val="clear" w:color="auto" w:fill="auto"/>
            <w:vAlign w:val="center"/>
            <w:hideMark/>
          </w:tcPr>
          <w:p w14:paraId="326915C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Celje</w:t>
            </w:r>
          </w:p>
        </w:tc>
        <w:tc>
          <w:tcPr>
            <w:tcW w:w="1340" w:type="dxa"/>
            <w:tcBorders>
              <w:top w:val="nil"/>
              <w:left w:val="nil"/>
              <w:bottom w:val="single" w:sz="4" w:space="0" w:color="auto"/>
              <w:right w:val="single" w:sz="4" w:space="0" w:color="auto"/>
            </w:tcBorders>
            <w:shd w:val="clear" w:color="auto" w:fill="auto"/>
            <w:vAlign w:val="center"/>
            <w:hideMark/>
          </w:tcPr>
          <w:p w14:paraId="0476773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0,5</w:t>
            </w:r>
          </w:p>
        </w:tc>
        <w:tc>
          <w:tcPr>
            <w:tcW w:w="1420" w:type="dxa"/>
            <w:tcBorders>
              <w:top w:val="nil"/>
              <w:left w:val="nil"/>
              <w:bottom w:val="single" w:sz="4" w:space="0" w:color="auto"/>
              <w:right w:val="single" w:sz="4" w:space="0" w:color="auto"/>
            </w:tcBorders>
            <w:shd w:val="clear" w:color="auto" w:fill="auto"/>
            <w:vAlign w:val="center"/>
            <w:hideMark/>
          </w:tcPr>
          <w:p w14:paraId="4FC7A09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115.669</w:t>
            </w:r>
          </w:p>
        </w:tc>
        <w:tc>
          <w:tcPr>
            <w:tcW w:w="1540" w:type="dxa"/>
            <w:tcBorders>
              <w:top w:val="nil"/>
              <w:left w:val="nil"/>
              <w:bottom w:val="single" w:sz="4" w:space="0" w:color="auto"/>
              <w:right w:val="single" w:sz="4" w:space="0" w:color="auto"/>
            </w:tcBorders>
            <w:shd w:val="clear" w:color="auto" w:fill="auto"/>
            <w:vAlign w:val="center"/>
            <w:hideMark/>
          </w:tcPr>
          <w:p w14:paraId="3867A7A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67.474</w:t>
            </w:r>
          </w:p>
        </w:tc>
      </w:tr>
      <w:tr w:rsidR="00944C8E" w:rsidRPr="005E4BEA" w14:paraId="0F728920"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B3975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23</w:t>
            </w:r>
          </w:p>
        </w:tc>
        <w:tc>
          <w:tcPr>
            <w:tcW w:w="2340" w:type="dxa"/>
            <w:tcBorders>
              <w:top w:val="nil"/>
              <w:left w:val="nil"/>
              <w:bottom w:val="single" w:sz="4" w:space="0" w:color="auto"/>
              <w:right w:val="single" w:sz="4" w:space="0" w:color="auto"/>
            </w:tcBorders>
            <w:shd w:val="clear" w:color="auto" w:fill="auto"/>
            <w:vAlign w:val="center"/>
            <w:hideMark/>
          </w:tcPr>
          <w:p w14:paraId="36C0FF61"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Parodontologija</w:t>
            </w:r>
            <w:proofErr w:type="spellEnd"/>
            <w:r w:rsidRPr="00944C8E">
              <w:rPr>
                <w:rFonts w:cs="Arial"/>
                <w:color w:val="000000"/>
                <w:szCs w:val="20"/>
                <w:lang w:eastAsia="sl-SI"/>
              </w:rPr>
              <w:t xml:space="preserve"> / zobne bolezni in </w:t>
            </w:r>
            <w:proofErr w:type="spellStart"/>
            <w:r w:rsidRPr="00944C8E">
              <w:rPr>
                <w:rFonts w:cs="Arial"/>
                <w:color w:val="000000"/>
                <w:szCs w:val="20"/>
                <w:lang w:eastAsia="sl-SI"/>
              </w:rPr>
              <w:t>endodontija</w:t>
            </w:r>
            <w:proofErr w:type="spellEnd"/>
            <w:r w:rsidRPr="00944C8E">
              <w:rPr>
                <w:rFonts w:cs="Arial"/>
                <w:color w:val="000000"/>
                <w:szCs w:val="20"/>
                <w:lang w:eastAsia="sl-SI"/>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2511F6D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Celje</w:t>
            </w:r>
          </w:p>
        </w:tc>
        <w:tc>
          <w:tcPr>
            <w:tcW w:w="1340" w:type="dxa"/>
            <w:tcBorders>
              <w:top w:val="nil"/>
              <w:left w:val="nil"/>
              <w:bottom w:val="single" w:sz="4" w:space="0" w:color="auto"/>
              <w:right w:val="single" w:sz="4" w:space="0" w:color="auto"/>
            </w:tcBorders>
            <w:shd w:val="clear" w:color="auto" w:fill="auto"/>
            <w:vAlign w:val="center"/>
            <w:hideMark/>
          </w:tcPr>
          <w:p w14:paraId="3D38793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w:t>
            </w:r>
          </w:p>
        </w:tc>
        <w:tc>
          <w:tcPr>
            <w:tcW w:w="1420" w:type="dxa"/>
            <w:tcBorders>
              <w:top w:val="nil"/>
              <w:left w:val="nil"/>
              <w:bottom w:val="single" w:sz="4" w:space="0" w:color="auto"/>
              <w:right w:val="single" w:sz="4" w:space="0" w:color="auto"/>
            </w:tcBorders>
            <w:shd w:val="clear" w:color="auto" w:fill="auto"/>
            <w:vAlign w:val="center"/>
            <w:hideMark/>
          </w:tcPr>
          <w:p w14:paraId="3A8E1EC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139.586</w:t>
            </w:r>
          </w:p>
        </w:tc>
        <w:tc>
          <w:tcPr>
            <w:tcW w:w="1540" w:type="dxa"/>
            <w:tcBorders>
              <w:top w:val="nil"/>
              <w:left w:val="nil"/>
              <w:bottom w:val="single" w:sz="4" w:space="0" w:color="auto"/>
              <w:right w:val="single" w:sz="4" w:space="0" w:color="auto"/>
            </w:tcBorders>
            <w:shd w:val="clear" w:color="auto" w:fill="auto"/>
            <w:vAlign w:val="center"/>
            <w:hideMark/>
          </w:tcPr>
          <w:p w14:paraId="793F60D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81.425</w:t>
            </w:r>
          </w:p>
        </w:tc>
      </w:tr>
      <w:tr w:rsidR="00944C8E" w:rsidRPr="005E4BEA" w14:paraId="22AA050A" w14:textId="77777777" w:rsidTr="00944C8E">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03378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24</w:t>
            </w:r>
          </w:p>
        </w:tc>
        <w:tc>
          <w:tcPr>
            <w:tcW w:w="2340" w:type="dxa"/>
            <w:tcBorders>
              <w:top w:val="nil"/>
              <w:left w:val="nil"/>
              <w:bottom w:val="single" w:sz="4" w:space="0" w:color="auto"/>
              <w:right w:val="single" w:sz="4" w:space="0" w:color="auto"/>
            </w:tcBorders>
            <w:shd w:val="clear" w:color="auto" w:fill="auto"/>
            <w:vAlign w:val="center"/>
            <w:hideMark/>
          </w:tcPr>
          <w:p w14:paraId="6E7580D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Zdravljenje s </w:t>
            </w:r>
            <w:proofErr w:type="spellStart"/>
            <w:r w:rsidRPr="00944C8E">
              <w:rPr>
                <w:rFonts w:cs="Arial"/>
                <w:color w:val="000000"/>
                <w:szCs w:val="20"/>
                <w:lang w:eastAsia="sl-SI"/>
              </w:rPr>
              <w:t>hiperbarično</w:t>
            </w:r>
            <w:proofErr w:type="spellEnd"/>
            <w:r w:rsidRPr="00944C8E">
              <w:rPr>
                <w:rFonts w:cs="Arial"/>
                <w:color w:val="000000"/>
                <w:szCs w:val="20"/>
                <w:lang w:eastAsia="sl-SI"/>
              </w:rPr>
              <w:t xml:space="preserve"> komoro Od 1.9.2022</w:t>
            </w:r>
          </w:p>
        </w:tc>
        <w:tc>
          <w:tcPr>
            <w:tcW w:w="1820" w:type="dxa"/>
            <w:tcBorders>
              <w:top w:val="nil"/>
              <w:left w:val="nil"/>
              <w:bottom w:val="single" w:sz="4" w:space="0" w:color="auto"/>
              <w:right w:val="single" w:sz="4" w:space="0" w:color="auto"/>
            </w:tcBorders>
            <w:shd w:val="clear" w:color="auto" w:fill="auto"/>
            <w:vAlign w:val="center"/>
            <w:hideMark/>
          </w:tcPr>
          <w:p w14:paraId="2CDCB9A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OB Valdoltra</w:t>
            </w:r>
          </w:p>
        </w:tc>
        <w:tc>
          <w:tcPr>
            <w:tcW w:w="1340" w:type="dxa"/>
            <w:tcBorders>
              <w:top w:val="nil"/>
              <w:left w:val="nil"/>
              <w:bottom w:val="single" w:sz="4" w:space="0" w:color="auto"/>
              <w:right w:val="single" w:sz="4" w:space="0" w:color="auto"/>
            </w:tcBorders>
            <w:shd w:val="clear" w:color="auto" w:fill="auto"/>
            <w:vAlign w:val="center"/>
            <w:hideMark/>
          </w:tcPr>
          <w:p w14:paraId="2ACB3E1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70 primerov</w:t>
            </w:r>
          </w:p>
        </w:tc>
        <w:tc>
          <w:tcPr>
            <w:tcW w:w="1420" w:type="dxa"/>
            <w:tcBorders>
              <w:top w:val="nil"/>
              <w:left w:val="nil"/>
              <w:bottom w:val="single" w:sz="4" w:space="0" w:color="auto"/>
              <w:right w:val="single" w:sz="4" w:space="0" w:color="auto"/>
            </w:tcBorders>
            <w:shd w:val="clear" w:color="auto" w:fill="auto"/>
            <w:vAlign w:val="center"/>
            <w:hideMark/>
          </w:tcPr>
          <w:p w14:paraId="521AE7C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220.000</w:t>
            </w:r>
          </w:p>
        </w:tc>
        <w:tc>
          <w:tcPr>
            <w:tcW w:w="1540" w:type="dxa"/>
            <w:tcBorders>
              <w:top w:val="nil"/>
              <w:left w:val="nil"/>
              <w:bottom w:val="single" w:sz="4" w:space="0" w:color="auto"/>
              <w:right w:val="single" w:sz="4" w:space="0" w:color="auto"/>
            </w:tcBorders>
            <w:shd w:val="clear" w:color="auto" w:fill="auto"/>
            <w:vAlign w:val="center"/>
            <w:hideMark/>
          </w:tcPr>
          <w:p w14:paraId="6D3B9AA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73.333</w:t>
            </w:r>
          </w:p>
        </w:tc>
      </w:tr>
      <w:tr w:rsidR="00944C8E" w:rsidRPr="005E4BEA" w14:paraId="64AB2388" w14:textId="77777777" w:rsidTr="00944C8E">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9025F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25</w:t>
            </w:r>
          </w:p>
        </w:tc>
        <w:tc>
          <w:tcPr>
            <w:tcW w:w="2340" w:type="dxa"/>
            <w:tcBorders>
              <w:top w:val="nil"/>
              <w:left w:val="nil"/>
              <w:bottom w:val="single" w:sz="4" w:space="0" w:color="auto"/>
              <w:right w:val="single" w:sz="4" w:space="0" w:color="auto"/>
            </w:tcBorders>
            <w:shd w:val="clear" w:color="auto" w:fill="auto"/>
            <w:vAlign w:val="center"/>
            <w:hideMark/>
          </w:tcPr>
          <w:p w14:paraId="080DBD6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Zdravljenje bolnikov s težko astmo s pomočjo bronhialne </w:t>
            </w:r>
            <w:proofErr w:type="spellStart"/>
            <w:r w:rsidRPr="00944C8E">
              <w:rPr>
                <w:rFonts w:cs="Arial"/>
                <w:color w:val="000000"/>
                <w:szCs w:val="20"/>
                <w:lang w:eastAsia="sl-SI"/>
              </w:rPr>
              <w:t>termoplastike</w:t>
            </w:r>
            <w:proofErr w:type="spellEnd"/>
            <w:r w:rsidRPr="00944C8E">
              <w:rPr>
                <w:rFonts w:cs="Arial"/>
                <w:color w:val="000000"/>
                <w:szCs w:val="20"/>
                <w:lang w:eastAsia="sl-SI"/>
              </w:rPr>
              <w:t xml:space="preserve"> (BT) - BT elektroda</w:t>
            </w:r>
          </w:p>
        </w:tc>
        <w:tc>
          <w:tcPr>
            <w:tcW w:w="1820" w:type="dxa"/>
            <w:tcBorders>
              <w:top w:val="nil"/>
              <w:left w:val="nil"/>
              <w:bottom w:val="single" w:sz="4" w:space="0" w:color="auto"/>
              <w:right w:val="single" w:sz="4" w:space="0" w:color="auto"/>
            </w:tcBorders>
            <w:shd w:val="clear" w:color="auto" w:fill="auto"/>
            <w:vAlign w:val="center"/>
            <w:hideMark/>
          </w:tcPr>
          <w:p w14:paraId="1227699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UK Golnik</w:t>
            </w:r>
          </w:p>
        </w:tc>
        <w:tc>
          <w:tcPr>
            <w:tcW w:w="1340" w:type="dxa"/>
            <w:tcBorders>
              <w:top w:val="nil"/>
              <w:left w:val="nil"/>
              <w:bottom w:val="single" w:sz="4" w:space="0" w:color="auto"/>
              <w:right w:val="single" w:sz="4" w:space="0" w:color="auto"/>
            </w:tcBorders>
            <w:shd w:val="clear" w:color="auto" w:fill="auto"/>
            <w:vAlign w:val="center"/>
            <w:hideMark/>
          </w:tcPr>
          <w:p w14:paraId="0D0A8B8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 primerov</w:t>
            </w:r>
          </w:p>
        </w:tc>
        <w:tc>
          <w:tcPr>
            <w:tcW w:w="1420" w:type="dxa"/>
            <w:tcBorders>
              <w:top w:val="nil"/>
              <w:left w:val="nil"/>
              <w:bottom w:val="single" w:sz="4" w:space="0" w:color="auto"/>
              <w:right w:val="single" w:sz="4" w:space="0" w:color="auto"/>
            </w:tcBorders>
            <w:shd w:val="clear" w:color="auto" w:fill="auto"/>
            <w:vAlign w:val="center"/>
            <w:hideMark/>
          </w:tcPr>
          <w:p w14:paraId="6898041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90.000</w:t>
            </w:r>
          </w:p>
        </w:tc>
        <w:tc>
          <w:tcPr>
            <w:tcW w:w="1540" w:type="dxa"/>
            <w:tcBorders>
              <w:top w:val="nil"/>
              <w:left w:val="nil"/>
              <w:bottom w:val="single" w:sz="4" w:space="0" w:color="auto"/>
              <w:right w:val="single" w:sz="4" w:space="0" w:color="auto"/>
            </w:tcBorders>
            <w:shd w:val="clear" w:color="auto" w:fill="auto"/>
            <w:vAlign w:val="center"/>
            <w:hideMark/>
          </w:tcPr>
          <w:p w14:paraId="2AE3150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30.000</w:t>
            </w:r>
          </w:p>
        </w:tc>
      </w:tr>
      <w:tr w:rsidR="00944C8E" w:rsidRPr="005E4BEA" w14:paraId="2A503A32" w14:textId="77777777" w:rsidTr="00944C8E">
        <w:trPr>
          <w:trHeight w:val="178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7EFEC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26</w:t>
            </w:r>
          </w:p>
        </w:tc>
        <w:tc>
          <w:tcPr>
            <w:tcW w:w="2340" w:type="dxa"/>
            <w:tcBorders>
              <w:top w:val="nil"/>
              <w:left w:val="nil"/>
              <w:bottom w:val="single" w:sz="4" w:space="0" w:color="auto"/>
              <w:right w:val="single" w:sz="4" w:space="0" w:color="auto"/>
            </w:tcBorders>
            <w:shd w:val="clear" w:color="auto" w:fill="auto"/>
            <w:vAlign w:val="center"/>
            <w:hideMark/>
          </w:tcPr>
          <w:p w14:paraId="670036F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Multidisciplinarni tim (MDT) za težko obliko obstruktivne bolezni pljuč – bolnik s problematičnim potekom dihalne poti (VZD 101 300 - ABO)</w:t>
            </w:r>
          </w:p>
        </w:tc>
        <w:tc>
          <w:tcPr>
            <w:tcW w:w="1820" w:type="dxa"/>
            <w:tcBorders>
              <w:top w:val="nil"/>
              <w:left w:val="nil"/>
              <w:bottom w:val="single" w:sz="4" w:space="0" w:color="auto"/>
              <w:right w:val="single" w:sz="4" w:space="0" w:color="auto"/>
            </w:tcBorders>
            <w:shd w:val="clear" w:color="auto" w:fill="auto"/>
            <w:vAlign w:val="center"/>
            <w:hideMark/>
          </w:tcPr>
          <w:p w14:paraId="0E49571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UK Golnik</w:t>
            </w:r>
          </w:p>
        </w:tc>
        <w:tc>
          <w:tcPr>
            <w:tcW w:w="1340" w:type="dxa"/>
            <w:tcBorders>
              <w:top w:val="nil"/>
              <w:left w:val="nil"/>
              <w:bottom w:val="single" w:sz="4" w:space="0" w:color="auto"/>
              <w:right w:val="single" w:sz="4" w:space="0" w:color="auto"/>
            </w:tcBorders>
            <w:shd w:val="clear" w:color="auto" w:fill="auto"/>
            <w:vAlign w:val="center"/>
            <w:hideMark/>
          </w:tcPr>
          <w:p w14:paraId="2E9E80B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167 primerov</w:t>
            </w:r>
          </w:p>
        </w:tc>
        <w:tc>
          <w:tcPr>
            <w:tcW w:w="1420" w:type="dxa"/>
            <w:tcBorders>
              <w:top w:val="nil"/>
              <w:left w:val="nil"/>
              <w:bottom w:val="single" w:sz="4" w:space="0" w:color="auto"/>
              <w:right w:val="single" w:sz="4" w:space="0" w:color="auto"/>
            </w:tcBorders>
            <w:shd w:val="clear" w:color="auto" w:fill="auto"/>
            <w:vAlign w:val="center"/>
            <w:hideMark/>
          </w:tcPr>
          <w:p w14:paraId="11BBEBC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268.528</w:t>
            </w:r>
          </w:p>
        </w:tc>
        <w:tc>
          <w:tcPr>
            <w:tcW w:w="1540" w:type="dxa"/>
            <w:tcBorders>
              <w:top w:val="nil"/>
              <w:left w:val="nil"/>
              <w:bottom w:val="single" w:sz="4" w:space="0" w:color="auto"/>
              <w:right w:val="single" w:sz="4" w:space="0" w:color="auto"/>
            </w:tcBorders>
            <w:shd w:val="clear" w:color="auto" w:fill="auto"/>
            <w:vAlign w:val="center"/>
            <w:hideMark/>
          </w:tcPr>
          <w:p w14:paraId="715022B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89.509</w:t>
            </w:r>
          </w:p>
        </w:tc>
      </w:tr>
      <w:tr w:rsidR="00944C8E" w:rsidRPr="005E4BEA" w14:paraId="5A90F3F1"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D54BB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27</w:t>
            </w:r>
          </w:p>
        </w:tc>
        <w:tc>
          <w:tcPr>
            <w:tcW w:w="2340" w:type="dxa"/>
            <w:tcBorders>
              <w:top w:val="nil"/>
              <w:left w:val="nil"/>
              <w:bottom w:val="single" w:sz="4" w:space="0" w:color="auto"/>
              <w:right w:val="single" w:sz="4" w:space="0" w:color="auto"/>
            </w:tcBorders>
            <w:shd w:val="clear" w:color="auto" w:fill="auto"/>
            <w:vAlign w:val="center"/>
            <w:hideMark/>
          </w:tcPr>
          <w:p w14:paraId="2BC72E4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PUC (razen zagotavljanja zdravnikov)  (od 1.6.2022)</w:t>
            </w:r>
          </w:p>
        </w:tc>
        <w:tc>
          <w:tcPr>
            <w:tcW w:w="1820" w:type="dxa"/>
            <w:tcBorders>
              <w:top w:val="nil"/>
              <w:left w:val="nil"/>
              <w:bottom w:val="single" w:sz="4" w:space="0" w:color="auto"/>
              <w:right w:val="single" w:sz="4" w:space="0" w:color="auto"/>
            </w:tcBorders>
            <w:shd w:val="clear" w:color="auto" w:fill="auto"/>
            <w:vAlign w:val="center"/>
            <w:hideMark/>
          </w:tcPr>
          <w:p w14:paraId="134768D6"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SB Novo mesto</w:t>
            </w:r>
          </w:p>
        </w:tc>
        <w:tc>
          <w:tcPr>
            <w:tcW w:w="1340" w:type="dxa"/>
            <w:tcBorders>
              <w:top w:val="nil"/>
              <w:left w:val="nil"/>
              <w:bottom w:val="single" w:sz="4" w:space="0" w:color="auto"/>
              <w:right w:val="single" w:sz="4" w:space="0" w:color="auto"/>
            </w:tcBorders>
            <w:shd w:val="clear" w:color="auto" w:fill="auto"/>
            <w:vAlign w:val="center"/>
            <w:hideMark/>
          </w:tcPr>
          <w:p w14:paraId="358D83B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11025F7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184.509</w:t>
            </w:r>
          </w:p>
        </w:tc>
        <w:tc>
          <w:tcPr>
            <w:tcW w:w="1540" w:type="dxa"/>
            <w:tcBorders>
              <w:top w:val="nil"/>
              <w:left w:val="nil"/>
              <w:bottom w:val="single" w:sz="4" w:space="0" w:color="auto"/>
              <w:right w:val="single" w:sz="4" w:space="0" w:color="auto"/>
            </w:tcBorders>
            <w:shd w:val="clear" w:color="auto" w:fill="auto"/>
            <w:vAlign w:val="center"/>
            <w:hideMark/>
          </w:tcPr>
          <w:p w14:paraId="23143DB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107.630</w:t>
            </w:r>
          </w:p>
        </w:tc>
      </w:tr>
      <w:tr w:rsidR="00944C8E" w:rsidRPr="005E4BEA" w14:paraId="1F853707"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EB498F"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28</w:t>
            </w:r>
          </w:p>
        </w:tc>
        <w:tc>
          <w:tcPr>
            <w:tcW w:w="2340" w:type="dxa"/>
            <w:tcBorders>
              <w:top w:val="nil"/>
              <w:left w:val="nil"/>
              <w:bottom w:val="single" w:sz="4" w:space="0" w:color="auto"/>
              <w:right w:val="single" w:sz="4" w:space="0" w:color="auto"/>
            </w:tcBorders>
            <w:shd w:val="clear" w:color="auto" w:fill="auto"/>
            <w:vAlign w:val="center"/>
            <w:hideMark/>
          </w:tcPr>
          <w:p w14:paraId="2E71A0B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582FFF1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Metlika</w:t>
            </w:r>
          </w:p>
        </w:tc>
        <w:tc>
          <w:tcPr>
            <w:tcW w:w="1340" w:type="dxa"/>
            <w:tcBorders>
              <w:top w:val="nil"/>
              <w:left w:val="nil"/>
              <w:bottom w:val="single" w:sz="4" w:space="0" w:color="auto"/>
              <w:right w:val="single" w:sz="4" w:space="0" w:color="auto"/>
            </w:tcBorders>
            <w:shd w:val="clear" w:color="auto" w:fill="auto"/>
            <w:vAlign w:val="center"/>
            <w:hideMark/>
          </w:tcPr>
          <w:p w14:paraId="445A41C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5599D45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8.160</w:t>
            </w:r>
          </w:p>
        </w:tc>
        <w:tc>
          <w:tcPr>
            <w:tcW w:w="1540" w:type="dxa"/>
            <w:tcBorders>
              <w:top w:val="nil"/>
              <w:left w:val="nil"/>
              <w:bottom w:val="single" w:sz="4" w:space="0" w:color="auto"/>
              <w:right w:val="single" w:sz="4" w:space="0" w:color="auto"/>
            </w:tcBorders>
            <w:shd w:val="clear" w:color="auto" w:fill="auto"/>
            <w:vAlign w:val="center"/>
            <w:hideMark/>
          </w:tcPr>
          <w:p w14:paraId="097318A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4.760</w:t>
            </w:r>
          </w:p>
        </w:tc>
      </w:tr>
      <w:tr w:rsidR="00944C8E" w:rsidRPr="005E4BEA" w14:paraId="464EE0FC"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9CCD2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29</w:t>
            </w:r>
          </w:p>
        </w:tc>
        <w:tc>
          <w:tcPr>
            <w:tcW w:w="2340" w:type="dxa"/>
            <w:tcBorders>
              <w:top w:val="nil"/>
              <w:left w:val="nil"/>
              <w:bottom w:val="single" w:sz="4" w:space="0" w:color="auto"/>
              <w:right w:val="single" w:sz="4" w:space="0" w:color="auto"/>
            </w:tcBorders>
            <w:shd w:val="clear" w:color="auto" w:fill="auto"/>
            <w:vAlign w:val="center"/>
            <w:hideMark/>
          </w:tcPr>
          <w:p w14:paraId="1E77213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5B412E5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Trebnje</w:t>
            </w:r>
          </w:p>
        </w:tc>
        <w:tc>
          <w:tcPr>
            <w:tcW w:w="1340" w:type="dxa"/>
            <w:tcBorders>
              <w:top w:val="nil"/>
              <w:left w:val="nil"/>
              <w:bottom w:val="single" w:sz="4" w:space="0" w:color="auto"/>
              <w:right w:val="single" w:sz="4" w:space="0" w:color="auto"/>
            </w:tcBorders>
            <w:shd w:val="clear" w:color="auto" w:fill="auto"/>
            <w:vAlign w:val="center"/>
            <w:hideMark/>
          </w:tcPr>
          <w:p w14:paraId="6E9B9BC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62B3981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17.679</w:t>
            </w:r>
          </w:p>
        </w:tc>
        <w:tc>
          <w:tcPr>
            <w:tcW w:w="1540" w:type="dxa"/>
            <w:tcBorders>
              <w:top w:val="nil"/>
              <w:left w:val="nil"/>
              <w:bottom w:val="single" w:sz="4" w:space="0" w:color="auto"/>
              <w:right w:val="single" w:sz="4" w:space="0" w:color="auto"/>
            </w:tcBorders>
            <w:shd w:val="clear" w:color="auto" w:fill="auto"/>
            <w:vAlign w:val="center"/>
            <w:hideMark/>
          </w:tcPr>
          <w:p w14:paraId="1EDE041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10.313</w:t>
            </w:r>
          </w:p>
        </w:tc>
      </w:tr>
      <w:tr w:rsidR="00944C8E" w:rsidRPr="005E4BEA" w14:paraId="5E611D95"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19F11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30</w:t>
            </w:r>
          </w:p>
        </w:tc>
        <w:tc>
          <w:tcPr>
            <w:tcW w:w="2340" w:type="dxa"/>
            <w:tcBorders>
              <w:top w:val="nil"/>
              <w:left w:val="nil"/>
              <w:bottom w:val="single" w:sz="4" w:space="0" w:color="auto"/>
              <w:right w:val="single" w:sz="4" w:space="0" w:color="auto"/>
            </w:tcBorders>
            <w:shd w:val="clear" w:color="auto" w:fill="auto"/>
            <w:vAlign w:val="center"/>
            <w:hideMark/>
          </w:tcPr>
          <w:p w14:paraId="0D4325D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640FC089"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Črnomelj</w:t>
            </w:r>
          </w:p>
        </w:tc>
        <w:tc>
          <w:tcPr>
            <w:tcW w:w="1340" w:type="dxa"/>
            <w:tcBorders>
              <w:top w:val="nil"/>
              <w:left w:val="nil"/>
              <w:bottom w:val="single" w:sz="4" w:space="0" w:color="auto"/>
              <w:right w:val="single" w:sz="4" w:space="0" w:color="auto"/>
            </w:tcBorders>
            <w:shd w:val="clear" w:color="auto" w:fill="auto"/>
            <w:vAlign w:val="center"/>
            <w:hideMark/>
          </w:tcPr>
          <w:p w14:paraId="4B5A254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5C55090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17.679</w:t>
            </w:r>
          </w:p>
        </w:tc>
        <w:tc>
          <w:tcPr>
            <w:tcW w:w="1540" w:type="dxa"/>
            <w:tcBorders>
              <w:top w:val="nil"/>
              <w:left w:val="nil"/>
              <w:bottom w:val="single" w:sz="4" w:space="0" w:color="auto"/>
              <w:right w:val="single" w:sz="4" w:space="0" w:color="auto"/>
            </w:tcBorders>
            <w:shd w:val="clear" w:color="auto" w:fill="auto"/>
            <w:vAlign w:val="center"/>
            <w:hideMark/>
          </w:tcPr>
          <w:p w14:paraId="4547610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10.313</w:t>
            </w:r>
          </w:p>
        </w:tc>
      </w:tr>
      <w:tr w:rsidR="00944C8E" w:rsidRPr="005E4BEA" w14:paraId="4BF63C9F" w14:textId="77777777" w:rsidTr="00944C8E">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B8BC2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31</w:t>
            </w:r>
          </w:p>
        </w:tc>
        <w:tc>
          <w:tcPr>
            <w:tcW w:w="2340" w:type="dxa"/>
            <w:tcBorders>
              <w:top w:val="nil"/>
              <w:left w:val="nil"/>
              <w:bottom w:val="single" w:sz="4" w:space="0" w:color="auto"/>
              <w:right w:val="single" w:sz="4" w:space="0" w:color="auto"/>
            </w:tcBorders>
            <w:shd w:val="clear" w:color="auto" w:fill="auto"/>
            <w:vAlign w:val="center"/>
            <w:hideMark/>
          </w:tcPr>
          <w:p w14:paraId="201670D8"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17F3D80D"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Novo mesto</w:t>
            </w:r>
          </w:p>
        </w:tc>
        <w:tc>
          <w:tcPr>
            <w:tcW w:w="1340" w:type="dxa"/>
            <w:tcBorders>
              <w:top w:val="nil"/>
              <w:left w:val="nil"/>
              <w:bottom w:val="single" w:sz="4" w:space="0" w:color="auto"/>
              <w:right w:val="single" w:sz="4" w:space="0" w:color="auto"/>
            </w:tcBorders>
            <w:shd w:val="clear" w:color="auto" w:fill="auto"/>
            <w:vAlign w:val="center"/>
            <w:hideMark/>
          </w:tcPr>
          <w:p w14:paraId="00B42C7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1B1983A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92.476</w:t>
            </w:r>
          </w:p>
        </w:tc>
        <w:tc>
          <w:tcPr>
            <w:tcW w:w="1540" w:type="dxa"/>
            <w:tcBorders>
              <w:top w:val="nil"/>
              <w:left w:val="nil"/>
              <w:bottom w:val="single" w:sz="4" w:space="0" w:color="auto"/>
              <w:right w:val="single" w:sz="4" w:space="0" w:color="auto"/>
            </w:tcBorders>
            <w:shd w:val="clear" w:color="auto" w:fill="auto"/>
            <w:vAlign w:val="center"/>
            <w:hideMark/>
          </w:tcPr>
          <w:p w14:paraId="3CDB812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53.944</w:t>
            </w:r>
          </w:p>
        </w:tc>
      </w:tr>
      <w:tr w:rsidR="00944C8E" w:rsidRPr="005E4BEA" w14:paraId="1EEDF58B" w14:textId="77777777" w:rsidTr="00944C8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808F8E"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lastRenderedPageBreak/>
              <w:t>32</w:t>
            </w:r>
          </w:p>
        </w:tc>
        <w:tc>
          <w:tcPr>
            <w:tcW w:w="2340" w:type="dxa"/>
            <w:tcBorders>
              <w:top w:val="nil"/>
              <w:left w:val="nil"/>
              <w:bottom w:val="single" w:sz="4" w:space="0" w:color="auto"/>
              <w:right w:val="single" w:sz="4" w:space="0" w:color="auto"/>
            </w:tcBorders>
            <w:shd w:val="clear" w:color="auto" w:fill="auto"/>
            <w:vAlign w:val="center"/>
            <w:hideMark/>
          </w:tcPr>
          <w:p w14:paraId="1F1014BA" w14:textId="77777777" w:rsidR="00944C8E" w:rsidRPr="00944C8E" w:rsidRDefault="00944C8E" w:rsidP="00944C8E">
            <w:pPr>
              <w:spacing w:line="240" w:lineRule="auto"/>
              <w:jc w:val="both"/>
              <w:rPr>
                <w:rFonts w:cs="Arial"/>
                <w:color w:val="000000"/>
                <w:szCs w:val="20"/>
                <w:lang w:eastAsia="sl-SI"/>
              </w:rPr>
            </w:pPr>
            <w:proofErr w:type="spellStart"/>
            <w:r w:rsidRPr="00944C8E">
              <w:rPr>
                <w:rFonts w:cs="Arial"/>
                <w:color w:val="000000"/>
                <w:szCs w:val="20"/>
                <w:lang w:eastAsia="sl-SI"/>
              </w:rPr>
              <w:t>Spec</w:t>
            </w:r>
            <w:proofErr w:type="spellEnd"/>
            <w:r w:rsidRPr="00944C8E">
              <w:rPr>
                <w:rFonts w:cs="Arial"/>
                <w:color w:val="000000"/>
                <w:szCs w:val="20"/>
                <w:lang w:eastAsia="sl-SI"/>
              </w:rPr>
              <w:t xml:space="preserve"> - Rentgen</w:t>
            </w:r>
          </w:p>
        </w:tc>
        <w:tc>
          <w:tcPr>
            <w:tcW w:w="1820" w:type="dxa"/>
            <w:tcBorders>
              <w:top w:val="nil"/>
              <w:left w:val="nil"/>
              <w:bottom w:val="single" w:sz="4" w:space="0" w:color="auto"/>
              <w:right w:val="single" w:sz="4" w:space="0" w:color="auto"/>
            </w:tcBorders>
            <w:shd w:val="clear" w:color="auto" w:fill="auto"/>
            <w:vAlign w:val="center"/>
            <w:hideMark/>
          </w:tcPr>
          <w:p w14:paraId="46F7EAC1"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Ljutomer</w:t>
            </w:r>
          </w:p>
        </w:tc>
        <w:tc>
          <w:tcPr>
            <w:tcW w:w="1340" w:type="dxa"/>
            <w:tcBorders>
              <w:top w:val="nil"/>
              <w:left w:val="nil"/>
              <w:bottom w:val="single" w:sz="4" w:space="0" w:color="auto"/>
              <w:right w:val="single" w:sz="4" w:space="0" w:color="auto"/>
            </w:tcBorders>
            <w:shd w:val="clear" w:color="auto" w:fill="auto"/>
            <w:vAlign w:val="center"/>
            <w:hideMark/>
          </w:tcPr>
          <w:p w14:paraId="2FF5B70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0,3 tima</w:t>
            </w:r>
          </w:p>
        </w:tc>
        <w:tc>
          <w:tcPr>
            <w:tcW w:w="1420" w:type="dxa"/>
            <w:tcBorders>
              <w:top w:val="nil"/>
              <w:left w:val="nil"/>
              <w:bottom w:val="single" w:sz="4" w:space="0" w:color="auto"/>
              <w:right w:val="single" w:sz="4" w:space="0" w:color="auto"/>
            </w:tcBorders>
            <w:shd w:val="clear" w:color="auto" w:fill="auto"/>
            <w:vAlign w:val="center"/>
            <w:hideMark/>
          </w:tcPr>
          <w:p w14:paraId="007B0A8B"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105.192</w:t>
            </w:r>
          </w:p>
        </w:tc>
        <w:tc>
          <w:tcPr>
            <w:tcW w:w="1540" w:type="dxa"/>
            <w:tcBorders>
              <w:top w:val="nil"/>
              <w:left w:val="nil"/>
              <w:bottom w:val="single" w:sz="4" w:space="0" w:color="auto"/>
              <w:right w:val="single" w:sz="4" w:space="0" w:color="auto"/>
            </w:tcBorders>
            <w:shd w:val="clear" w:color="auto" w:fill="auto"/>
            <w:vAlign w:val="center"/>
            <w:hideMark/>
          </w:tcPr>
          <w:p w14:paraId="0B50342A"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35.064</w:t>
            </w:r>
          </w:p>
        </w:tc>
      </w:tr>
      <w:tr w:rsidR="00944C8E" w:rsidRPr="005E4BEA" w14:paraId="6D61B656" w14:textId="77777777" w:rsidTr="00944C8E">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F1A303"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33</w:t>
            </w:r>
          </w:p>
        </w:tc>
        <w:tc>
          <w:tcPr>
            <w:tcW w:w="2340" w:type="dxa"/>
            <w:tcBorders>
              <w:top w:val="nil"/>
              <w:left w:val="nil"/>
              <w:bottom w:val="single" w:sz="4" w:space="0" w:color="auto"/>
              <w:right w:val="single" w:sz="4" w:space="0" w:color="auto"/>
            </w:tcBorders>
            <w:shd w:val="clear" w:color="auto" w:fill="auto"/>
            <w:vAlign w:val="center"/>
            <w:hideMark/>
          </w:tcPr>
          <w:p w14:paraId="36076D30"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 xml:space="preserve">Klinična psihologija </w:t>
            </w:r>
          </w:p>
        </w:tc>
        <w:tc>
          <w:tcPr>
            <w:tcW w:w="1820" w:type="dxa"/>
            <w:tcBorders>
              <w:top w:val="nil"/>
              <w:left w:val="nil"/>
              <w:bottom w:val="single" w:sz="4" w:space="0" w:color="auto"/>
              <w:right w:val="single" w:sz="4" w:space="0" w:color="auto"/>
            </w:tcBorders>
            <w:shd w:val="clear" w:color="auto" w:fill="auto"/>
            <w:vAlign w:val="center"/>
            <w:hideMark/>
          </w:tcPr>
          <w:p w14:paraId="55F4AA62"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ZD Ljutomer</w:t>
            </w:r>
          </w:p>
        </w:tc>
        <w:tc>
          <w:tcPr>
            <w:tcW w:w="1340" w:type="dxa"/>
            <w:tcBorders>
              <w:top w:val="nil"/>
              <w:left w:val="nil"/>
              <w:bottom w:val="single" w:sz="4" w:space="0" w:color="auto"/>
              <w:right w:val="single" w:sz="4" w:space="0" w:color="auto"/>
            </w:tcBorders>
            <w:shd w:val="clear" w:color="auto" w:fill="auto"/>
            <w:vAlign w:val="center"/>
            <w:hideMark/>
          </w:tcPr>
          <w:p w14:paraId="26394EF7"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1 tim</w:t>
            </w:r>
          </w:p>
        </w:tc>
        <w:tc>
          <w:tcPr>
            <w:tcW w:w="1420" w:type="dxa"/>
            <w:tcBorders>
              <w:top w:val="nil"/>
              <w:left w:val="nil"/>
              <w:bottom w:val="single" w:sz="4" w:space="0" w:color="auto"/>
              <w:right w:val="single" w:sz="4" w:space="0" w:color="auto"/>
            </w:tcBorders>
            <w:shd w:val="clear" w:color="auto" w:fill="auto"/>
            <w:vAlign w:val="center"/>
            <w:hideMark/>
          </w:tcPr>
          <w:p w14:paraId="7F9719A4"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80.885</w:t>
            </w:r>
          </w:p>
        </w:tc>
        <w:tc>
          <w:tcPr>
            <w:tcW w:w="1540" w:type="dxa"/>
            <w:tcBorders>
              <w:top w:val="nil"/>
              <w:left w:val="nil"/>
              <w:bottom w:val="single" w:sz="4" w:space="0" w:color="auto"/>
              <w:right w:val="single" w:sz="4" w:space="0" w:color="auto"/>
            </w:tcBorders>
            <w:shd w:val="clear" w:color="auto" w:fill="auto"/>
            <w:vAlign w:val="center"/>
            <w:hideMark/>
          </w:tcPr>
          <w:p w14:paraId="62BFA675" w14:textId="77777777" w:rsidR="00944C8E" w:rsidRPr="00944C8E" w:rsidRDefault="00944C8E" w:rsidP="00944C8E">
            <w:pPr>
              <w:spacing w:line="240" w:lineRule="auto"/>
              <w:jc w:val="both"/>
              <w:rPr>
                <w:rFonts w:cs="Arial"/>
                <w:color w:val="000000"/>
                <w:szCs w:val="20"/>
                <w:lang w:eastAsia="sl-SI"/>
              </w:rPr>
            </w:pPr>
            <w:r w:rsidRPr="00944C8E">
              <w:rPr>
                <w:rFonts w:cs="Arial"/>
                <w:color w:val="000000"/>
                <w:szCs w:val="20"/>
                <w:lang w:eastAsia="sl-SI"/>
              </w:rPr>
              <w:t>26.962</w:t>
            </w:r>
          </w:p>
        </w:tc>
      </w:tr>
      <w:tr w:rsidR="00944C8E" w:rsidRPr="00944C8E" w14:paraId="42115C49" w14:textId="77777777" w:rsidTr="00944C8E">
        <w:trPr>
          <w:trHeight w:val="300"/>
        </w:trPr>
        <w:tc>
          <w:tcPr>
            <w:tcW w:w="960" w:type="dxa"/>
            <w:tcBorders>
              <w:top w:val="nil"/>
              <w:left w:val="nil"/>
              <w:bottom w:val="nil"/>
              <w:right w:val="nil"/>
            </w:tcBorders>
            <w:shd w:val="clear" w:color="auto" w:fill="auto"/>
            <w:noWrap/>
            <w:vAlign w:val="bottom"/>
            <w:hideMark/>
          </w:tcPr>
          <w:p w14:paraId="589CE74B" w14:textId="77777777" w:rsidR="00944C8E" w:rsidRPr="00944C8E" w:rsidRDefault="00944C8E" w:rsidP="00944C8E">
            <w:pPr>
              <w:spacing w:line="240" w:lineRule="auto"/>
              <w:jc w:val="both"/>
              <w:rPr>
                <w:rFonts w:cs="Arial"/>
                <w:color w:val="000000"/>
                <w:szCs w:val="20"/>
                <w:lang w:eastAsia="sl-SI"/>
              </w:rPr>
            </w:pP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16621160" w14:textId="77777777" w:rsidR="00944C8E" w:rsidRPr="00944C8E" w:rsidRDefault="00944C8E" w:rsidP="00944C8E">
            <w:pPr>
              <w:spacing w:line="240" w:lineRule="auto"/>
              <w:jc w:val="both"/>
              <w:rPr>
                <w:rFonts w:cs="Arial"/>
                <w:b/>
                <w:bCs/>
                <w:color w:val="000000"/>
                <w:szCs w:val="20"/>
                <w:lang w:eastAsia="sl-SI"/>
              </w:rPr>
            </w:pPr>
            <w:r w:rsidRPr="00944C8E">
              <w:rPr>
                <w:rFonts w:cs="Arial"/>
                <w:b/>
                <w:bCs/>
                <w:color w:val="000000"/>
                <w:szCs w:val="20"/>
                <w:lang w:eastAsia="sl-SI"/>
              </w:rPr>
              <w:t>SKUPAJ</w:t>
            </w:r>
          </w:p>
        </w:tc>
        <w:tc>
          <w:tcPr>
            <w:tcW w:w="1820" w:type="dxa"/>
            <w:tcBorders>
              <w:top w:val="nil"/>
              <w:left w:val="nil"/>
              <w:bottom w:val="single" w:sz="4" w:space="0" w:color="auto"/>
              <w:right w:val="single" w:sz="4" w:space="0" w:color="auto"/>
            </w:tcBorders>
            <w:shd w:val="clear" w:color="auto" w:fill="auto"/>
            <w:noWrap/>
            <w:vAlign w:val="bottom"/>
            <w:hideMark/>
          </w:tcPr>
          <w:p w14:paraId="4B413D48" w14:textId="77777777" w:rsidR="00944C8E" w:rsidRPr="00944C8E" w:rsidRDefault="00944C8E" w:rsidP="00944C8E">
            <w:pPr>
              <w:spacing w:line="240" w:lineRule="auto"/>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D8CFD8" w14:textId="77777777" w:rsidR="00944C8E" w:rsidRPr="00944C8E" w:rsidRDefault="00944C8E" w:rsidP="00944C8E">
            <w:pPr>
              <w:spacing w:line="240" w:lineRule="auto"/>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 </w:t>
            </w:r>
          </w:p>
        </w:tc>
        <w:tc>
          <w:tcPr>
            <w:tcW w:w="1420" w:type="dxa"/>
            <w:tcBorders>
              <w:top w:val="nil"/>
              <w:left w:val="nil"/>
              <w:bottom w:val="single" w:sz="4" w:space="0" w:color="auto"/>
              <w:right w:val="single" w:sz="4" w:space="0" w:color="auto"/>
            </w:tcBorders>
            <w:shd w:val="clear" w:color="auto" w:fill="auto"/>
            <w:noWrap/>
            <w:vAlign w:val="bottom"/>
            <w:hideMark/>
          </w:tcPr>
          <w:p w14:paraId="38AA5F65" w14:textId="77777777" w:rsidR="00944C8E" w:rsidRPr="00944C8E" w:rsidRDefault="00944C8E" w:rsidP="00944C8E">
            <w:pPr>
              <w:spacing w:line="240" w:lineRule="auto"/>
              <w:jc w:val="right"/>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2.392.499</w:t>
            </w:r>
          </w:p>
        </w:tc>
        <w:tc>
          <w:tcPr>
            <w:tcW w:w="1540" w:type="dxa"/>
            <w:tcBorders>
              <w:top w:val="nil"/>
              <w:left w:val="nil"/>
              <w:bottom w:val="single" w:sz="4" w:space="0" w:color="auto"/>
              <w:right w:val="single" w:sz="4" w:space="0" w:color="auto"/>
            </w:tcBorders>
            <w:shd w:val="clear" w:color="auto" w:fill="auto"/>
            <w:noWrap/>
            <w:vAlign w:val="bottom"/>
            <w:hideMark/>
          </w:tcPr>
          <w:p w14:paraId="7B1A7BEE" w14:textId="77777777" w:rsidR="00944C8E" w:rsidRPr="00944C8E" w:rsidRDefault="00944C8E" w:rsidP="00944C8E">
            <w:pPr>
              <w:spacing w:line="240" w:lineRule="auto"/>
              <w:jc w:val="right"/>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1.221.935</w:t>
            </w:r>
          </w:p>
        </w:tc>
      </w:tr>
      <w:bookmarkEnd w:id="60"/>
    </w:tbl>
    <w:p w14:paraId="1D0A394A" w14:textId="0277EE72" w:rsidR="00A87F6B" w:rsidRPr="005E4BEA" w:rsidRDefault="00A87F6B" w:rsidP="00A87F6B">
      <w:pPr>
        <w:autoSpaceDE w:val="0"/>
        <w:autoSpaceDN w:val="0"/>
        <w:adjustRightInd w:val="0"/>
        <w:spacing w:line="0" w:lineRule="atLeast"/>
        <w:jc w:val="both"/>
        <w:rPr>
          <w:rFonts w:eastAsia="Arial Narrow" w:cs="Arial"/>
          <w:szCs w:val="20"/>
        </w:rPr>
      </w:pPr>
    </w:p>
    <w:p w14:paraId="587AEAD7" w14:textId="2F5AFD11" w:rsidR="00ED4F97" w:rsidRPr="005E4BEA" w:rsidRDefault="00ED4F97" w:rsidP="00A87F6B">
      <w:pPr>
        <w:autoSpaceDE w:val="0"/>
        <w:autoSpaceDN w:val="0"/>
        <w:adjustRightInd w:val="0"/>
        <w:spacing w:line="0" w:lineRule="atLeast"/>
        <w:jc w:val="both"/>
        <w:rPr>
          <w:rFonts w:eastAsia="Arial Narrow" w:cs="Arial"/>
          <w:szCs w:val="20"/>
        </w:rPr>
      </w:pPr>
    </w:p>
    <w:p w14:paraId="32531EE5" w14:textId="14276200" w:rsidR="00ED4F97" w:rsidRPr="005E4BEA" w:rsidRDefault="00ED4F97" w:rsidP="00A87F6B">
      <w:pPr>
        <w:autoSpaceDE w:val="0"/>
        <w:autoSpaceDN w:val="0"/>
        <w:adjustRightInd w:val="0"/>
        <w:spacing w:line="0" w:lineRule="atLeast"/>
        <w:jc w:val="both"/>
        <w:rPr>
          <w:rFonts w:eastAsia="MS Mincho" w:cs="Arial"/>
          <w:szCs w:val="20"/>
        </w:rPr>
      </w:pPr>
      <w:r w:rsidRPr="005E4BEA">
        <w:rPr>
          <w:rFonts w:eastAsia="MS Mincho" w:cs="Arial"/>
          <w:b/>
          <w:bCs/>
          <w:szCs w:val="20"/>
        </w:rPr>
        <w:t>V Prilogi 1/b se doda nova vrstica, ki se glasi:</w:t>
      </w:r>
    </w:p>
    <w:p w14:paraId="50E6620A" w14:textId="314BFC17" w:rsidR="00ED4F97" w:rsidRPr="005E4BEA" w:rsidRDefault="00ED4F97" w:rsidP="00A87F6B">
      <w:pPr>
        <w:autoSpaceDE w:val="0"/>
        <w:autoSpaceDN w:val="0"/>
        <w:adjustRightInd w:val="0"/>
        <w:spacing w:line="0" w:lineRule="atLeast"/>
        <w:jc w:val="both"/>
        <w:rPr>
          <w:rFonts w:eastAsia="MS Mincho" w:cs="Arial"/>
          <w:szCs w:val="20"/>
        </w:rPr>
      </w:pPr>
    </w:p>
    <w:tbl>
      <w:tblPr>
        <w:tblStyle w:val="Tabelamrea"/>
        <w:tblW w:w="9498" w:type="dxa"/>
        <w:tblLook w:val="04A0" w:firstRow="1" w:lastRow="0" w:firstColumn="1" w:lastColumn="0" w:noHBand="0" w:noVBand="1"/>
      </w:tblPr>
      <w:tblGrid>
        <w:gridCol w:w="2374"/>
        <w:gridCol w:w="3569"/>
        <w:gridCol w:w="1180"/>
        <w:gridCol w:w="2375"/>
      </w:tblGrid>
      <w:tr w:rsidR="008F1BAE" w:rsidRPr="005E4BEA" w14:paraId="3169AA71" w14:textId="77777777" w:rsidTr="008F1BAE">
        <w:trPr>
          <w:trHeight w:val="855"/>
        </w:trPr>
        <w:tc>
          <w:tcPr>
            <w:tcW w:w="2374" w:type="dxa"/>
          </w:tcPr>
          <w:p w14:paraId="0B24C0DE" w14:textId="3D9415B8" w:rsidR="008F1BAE" w:rsidRPr="005E4BEA" w:rsidRDefault="008F1BAE" w:rsidP="00A87F6B">
            <w:pPr>
              <w:autoSpaceDE w:val="0"/>
              <w:autoSpaceDN w:val="0"/>
              <w:adjustRightInd w:val="0"/>
              <w:spacing w:line="0" w:lineRule="atLeast"/>
              <w:jc w:val="both"/>
              <w:rPr>
                <w:rFonts w:eastAsia="MS Mincho" w:cs="Arial"/>
                <w:szCs w:val="20"/>
              </w:rPr>
            </w:pPr>
            <w:r w:rsidRPr="005E4BEA">
              <w:rPr>
                <w:rFonts w:eastAsia="MS Mincho" w:cs="Arial"/>
                <w:szCs w:val="20"/>
              </w:rPr>
              <w:t>E00xx</w:t>
            </w:r>
          </w:p>
        </w:tc>
        <w:tc>
          <w:tcPr>
            <w:tcW w:w="3569" w:type="dxa"/>
          </w:tcPr>
          <w:p w14:paraId="1C07CAEF" w14:textId="1B59C1E2" w:rsidR="008F1BAE" w:rsidRPr="005E4BEA" w:rsidRDefault="008F1BAE" w:rsidP="00A87F6B">
            <w:pPr>
              <w:autoSpaceDE w:val="0"/>
              <w:autoSpaceDN w:val="0"/>
              <w:adjustRightInd w:val="0"/>
              <w:spacing w:line="0" w:lineRule="atLeast"/>
              <w:jc w:val="both"/>
              <w:rPr>
                <w:rFonts w:eastAsia="MS Mincho" w:cs="Arial"/>
                <w:szCs w:val="20"/>
              </w:rPr>
            </w:pPr>
            <w:r w:rsidRPr="005E4BEA">
              <w:rPr>
                <w:rFonts w:eastAsia="MS Mincho" w:cs="Arial"/>
                <w:szCs w:val="20"/>
              </w:rPr>
              <w:t>Dodatek za  </w:t>
            </w:r>
            <w:proofErr w:type="spellStart"/>
            <w:r w:rsidRPr="005E4BEA">
              <w:rPr>
                <w:rFonts w:eastAsia="MS Mincho" w:cs="Arial"/>
                <w:szCs w:val="20"/>
              </w:rPr>
              <w:t>zdavljenje</w:t>
            </w:r>
            <w:proofErr w:type="spellEnd"/>
            <w:r w:rsidRPr="005E4BEA">
              <w:rPr>
                <w:rFonts w:eastAsia="MS Mincho" w:cs="Arial"/>
                <w:szCs w:val="20"/>
              </w:rPr>
              <w:t xml:space="preserve"> bolnikov s težko astmo s pomočjo bronhialne </w:t>
            </w:r>
            <w:proofErr w:type="spellStart"/>
            <w:r w:rsidRPr="005E4BEA">
              <w:rPr>
                <w:rFonts w:eastAsia="MS Mincho" w:cs="Arial"/>
                <w:szCs w:val="20"/>
              </w:rPr>
              <w:t>termoplastike</w:t>
            </w:r>
            <w:proofErr w:type="spellEnd"/>
            <w:r w:rsidRPr="005E4BEA">
              <w:rPr>
                <w:rFonts w:eastAsia="MS Mincho" w:cs="Arial"/>
                <w:szCs w:val="20"/>
              </w:rPr>
              <w:t xml:space="preserve"> (BT) - BT elektroda</w:t>
            </w:r>
          </w:p>
        </w:tc>
        <w:tc>
          <w:tcPr>
            <w:tcW w:w="1180" w:type="dxa"/>
          </w:tcPr>
          <w:p w14:paraId="7200F4D5" w14:textId="69B872E1" w:rsidR="008F1BAE" w:rsidRPr="005E4BEA" w:rsidRDefault="008F1BAE" w:rsidP="00A87F6B">
            <w:pPr>
              <w:autoSpaceDE w:val="0"/>
              <w:autoSpaceDN w:val="0"/>
              <w:adjustRightInd w:val="0"/>
              <w:spacing w:line="0" w:lineRule="atLeast"/>
              <w:jc w:val="both"/>
              <w:rPr>
                <w:rFonts w:eastAsia="MS Mincho" w:cs="Arial"/>
                <w:szCs w:val="20"/>
              </w:rPr>
            </w:pPr>
            <w:r w:rsidRPr="005E4BEA">
              <w:rPr>
                <w:rFonts w:eastAsia="MS Mincho" w:cs="Arial"/>
                <w:szCs w:val="20"/>
              </w:rPr>
              <w:t>primer</w:t>
            </w:r>
          </w:p>
        </w:tc>
        <w:tc>
          <w:tcPr>
            <w:tcW w:w="2375" w:type="dxa"/>
          </w:tcPr>
          <w:p w14:paraId="29BD908F" w14:textId="44C0E817" w:rsidR="008F1BAE" w:rsidRPr="005E4BEA" w:rsidRDefault="008F1BAE" w:rsidP="00A87F6B">
            <w:pPr>
              <w:autoSpaceDE w:val="0"/>
              <w:autoSpaceDN w:val="0"/>
              <w:adjustRightInd w:val="0"/>
              <w:spacing w:line="0" w:lineRule="atLeast"/>
              <w:jc w:val="both"/>
              <w:rPr>
                <w:rFonts w:eastAsia="MS Mincho" w:cs="Arial"/>
                <w:szCs w:val="20"/>
              </w:rPr>
            </w:pPr>
            <w:r w:rsidRPr="005E4BEA">
              <w:rPr>
                <w:rFonts w:eastAsia="MS Mincho" w:cs="Arial"/>
                <w:szCs w:val="20"/>
              </w:rPr>
              <w:t>9.000 eur</w:t>
            </w:r>
          </w:p>
        </w:tc>
      </w:tr>
    </w:tbl>
    <w:p w14:paraId="59DA2DC9" w14:textId="2250812B" w:rsidR="00A87F6B" w:rsidRPr="005E4BEA" w:rsidRDefault="00A87F6B" w:rsidP="00A87F6B">
      <w:pPr>
        <w:spacing w:line="0" w:lineRule="atLeast"/>
        <w:jc w:val="both"/>
        <w:rPr>
          <w:rFonts w:eastAsia="Arial Narrow" w:cs="Arial"/>
          <w:szCs w:val="20"/>
          <w:lang w:eastAsia="sl-SI"/>
        </w:rPr>
      </w:pPr>
    </w:p>
    <w:p w14:paraId="05780326" w14:textId="47F030ED" w:rsidR="002E2CF3" w:rsidRPr="005E4BEA" w:rsidRDefault="002E2CF3" w:rsidP="00A87F6B">
      <w:pPr>
        <w:spacing w:line="0" w:lineRule="atLeast"/>
        <w:jc w:val="both"/>
        <w:rPr>
          <w:rFonts w:eastAsia="Arial Narrow" w:cs="Arial"/>
          <w:szCs w:val="20"/>
          <w:lang w:eastAsia="sl-SI"/>
        </w:rPr>
      </w:pPr>
      <w:bookmarkStart w:id="62" w:name="_Hlk102717816"/>
    </w:p>
    <w:p w14:paraId="6491DB46" w14:textId="6FC5CCBB" w:rsidR="002E2CF3" w:rsidRPr="005E4BEA" w:rsidRDefault="002E2CF3" w:rsidP="00A87F6B">
      <w:pPr>
        <w:spacing w:line="0" w:lineRule="atLeast"/>
        <w:jc w:val="both"/>
        <w:rPr>
          <w:rFonts w:eastAsia="Arial Narrow" w:cs="Arial"/>
          <w:b/>
          <w:bCs/>
          <w:szCs w:val="20"/>
          <w:lang w:eastAsia="sl-SI"/>
        </w:rPr>
      </w:pPr>
      <w:r w:rsidRPr="005E4BEA">
        <w:rPr>
          <w:rFonts w:eastAsia="Arial Narrow" w:cs="Arial"/>
          <w:b/>
          <w:bCs/>
          <w:szCs w:val="20"/>
          <w:lang w:eastAsia="sl-SI"/>
        </w:rPr>
        <w:t xml:space="preserve">V Prilogo </w:t>
      </w:r>
      <w:r w:rsidR="00C043A0" w:rsidRPr="005E4BEA">
        <w:rPr>
          <w:rFonts w:eastAsia="Arial Narrow" w:cs="Arial"/>
          <w:b/>
          <w:bCs/>
          <w:szCs w:val="20"/>
          <w:lang w:eastAsia="sl-SI"/>
        </w:rPr>
        <w:t>I</w:t>
      </w:r>
      <w:r w:rsidRPr="005E4BEA">
        <w:rPr>
          <w:rFonts w:eastAsia="Arial Narrow" w:cs="Arial"/>
          <w:b/>
          <w:bCs/>
          <w:szCs w:val="20"/>
          <w:lang w:eastAsia="sl-SI"/>
        </w:rPr>
        <w:t xml:space="preserve"> se doda nov standard:</w:t>
      </w:r>
    </w:p>
    <w:p w14:paraId="12954F78" w14:textId="77777777" w:rsidR="002E2CF3" w:rsidRPr="005E4BEA" w:rsidRDefault="002E2CF3" w:rsidP="00A87F6B">
      <w:pPr>
        <w:spacing w:line="0" w:lineRule="atLeast"/>
        <w:jc w:val="both"/>
        <w:rPr>
          <w:rFonts w:eastAsia="Arial Narrow" w:cs="Arial"/>
          <w:szCs w:val="20"/>
          <w:lang w:eastAsia="sl-SI"/>
        </w:rPr>
      </w:pPr>
    </w:p>
    <w:tbl>
      <w:tblPr>
        <w:tblW w:w="9598" w:type="dxa"/>
        <w:tblInd w:w="-5" w:type="dxa"/>
        <w:tblCellMar>
          <w:left w:w="70" w:type="dxa"/>
          <w:right w:w="70" w:type="dxa"/>
        </w:tblCellMar>
        <w:tblLook w:val="04A0" w:firstRow="1" w:lastRow="0" w:firstColumn="1" w:lastColumn="0" w:noHBand="0" w:noVBand="1"/>
      </w:tblPr>
      <w:tblGrid>
        <w:gridCol w:w="341"/>
        <w:gridCol w:w="341"/>
        <w:gridCol w:w="587"/>
        <w:gridCol w:w="417"/>
        <w:gridCol w:w="1621"/>
        <w:gridCol w:w="760"/>
        <w:gridCol w:w="514"/>
        <w:gridCol w:w="481"/>
        <w:gridCol w:w="307"/>
        <w:gridCol w:w="741"/>
        <w:gridCol w:w="674"/>
        <w:gridCol w:w="674"/>
        <w:gridCol w:w="608"/>
        <w:gridCol w:w="508"/>
        <w:gridCol w:w="741"/>
        <w:gridCol w:w="674"/>
      </w:tblGrid>
      <w:tr w:rsidR="008F1BAE" w:rsidRPr="005E4BEA" w14:paraId="252F08AD" w14:textId="77777777" w:rsidTr="008F1BAE">
        <w:trPr>
          <w:trHeight w:val="597"/>
        </w:trPr>
        <w:tc>
          <w:tcPr>
            <w:tcW w:w="322" w:type="dxa"/>
            <w:tcBorders>
              <w:top w:val="single" w:sz="4" w:space="0" w:color="808080"/>
              <w:left w:val="single" w:sz="4" w:space="0" w:color="808080"/>
              <w:bottom w:val="single" w:sz="4" w:space="0" w:color="808080"/>
              <w:right w:val="single" w:sz="4" w:space="0" w:color="808080"/>
            </w:tcBorders>
            <w:shd w:val="clear" w:color="000000" w:fill="D9D9D9"/>
            <w:noWrap/>
            <w:textDirection w:val="btLr"/>
            <w:vAlign w:val="bottom"/>
            <w:hideMark/>
          </w:tcPr>
          <w:p w14:paraId="2AA23556" w14:textId="77777777" w:rsidR="008F1BAE" w:rsidRPr="005E4BEA" w:rsidRDefault="008F1BAE" w:rsidP="008F1BAE">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Vrsta</w:t>
            </w:r>
          </w:p>
        </w:tc>
        <w:tc>
          <w:tcPr>
            <w:tcW w:w="322" w:type="dxa"/>
            <w:tcBorders>
              <w:top w:val="single" w:sz="4" w:space="0" w:color="808080"/>
              <w:left w:val="nil"/>
              <w:bottom w:val="single" w:sz="4" w:space="0" w:color="808080"/>
              <w:right w:val="single" w:sz="4" w:space="0" w:color="808080"/>
            </w:tcBorders>
            <w:shd w:val="clear" w:color="000000" w:fill="D9D9D9"/>
            <w:noWrap/>
            <w:textDirection w:val="btLr"/>
            <w:vAlign w:val="bottom"/>
            <w:hideMark/>
          </w:tcPr>
          <w:p w14:paraId="2BE4FED5" w14:textId="77777777" w:rsidR="008F1BAE" w:rsidRPr="005E4BEA" w:rsidRDefault="008F1BAE" w:rsidP="008F1BAE">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Podvrsta</w:t>
            </w:r>
          </w:p>
        </w:tc>
        <w:tc>
          <w:tcPr>
            <w:tcW w:w="555" w:type="dxa"/>
            <w:tcBorders>
              <w:top w:val="single" w:sz="4" w:space="0" w:color="808080"/>
              <w:left w:val="nil"/>
              <w:bottom w:val="single" w:sz="4" w:space="0" w:color="808080"/>
              <w:right w:val="single" w:sz="4" w:space="0" w:color="808080"/>
            </w:tcBorders>
            <w:shd w:val="clear" w:color="000000" w:fill="D9D9D9"/>
            <w:noWrap/>
            <w:vAlign w:val="bottom"/>
            <w:hideMark/>
          </w:tcPr>
          <w:p w14:paraId="0B10FC03" w14:textId="77777777" w:rsidR="008F1BAE" w:rsidRPr="005E4BEA" w:rsidRDefault="008F1BAE" w:rsidP="008F1BAE">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Storitev</w:t>
            </w:r>
          </w:p>
        </w:tc>
        <w:tc>
          <w:tcPr>
            <w:tcW w:w="417" w:type="dxa"/>
            <w:tcBorders>
              <w:top w:val="single" w:sz="4" w:space="0" w:color="808080"/>
              <w:left w:val="nil"/>
              <w:bottom w:val="single" w:sz="4" w:space="0" w:color="808080"/>
              <w:right w:val="single" w:sz="4" w:space="0" w:color="808080"/>
            </w:tcBorders>
            <w:shd w:val="clear" w:color="000000" w:fill="D9D9D9"/>
            <w:noWrap/>
            <w:vAlign w:val="bottom"/>
            <w:hideMark/>
          </w:tcPr>
          <w:p w14:paraId="25A0AF45" w14:textId="77777777" w:rsidR="008F1BAE" w:rsidRPr="005E4BEA" w:rsidRDefault="008F1BAE" w:rsidP="008F1BAE">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4. nivo</w:t>
            </w:r>
          </w:p>
        </w:tc>
        <w:tc>
          <w:tcPr>
            <w:tcW w:w="1621" w:type="dxa"/>
            <w:tcBorders>
              <w:top w:val="single" w:sz="4" w:space="0" w:color="808080"/>
              <w:left w:val="nil"/>
              <w:bottom w:val="single" w:sz="4" w:space="0" w:color="808080"/>
              <w:right w:val="single" w:sz="4" w:space="0" w:color="808080"/>
            </w:tcBorders>
            <w:shd w:val="clear" w:color="000000" w:fill="D9D9D9"/>
            <w:noWrap/>
            <w:vAlign w:val="bottom"/>
            <w:hideMark/>
          </w:tcPr>
          <w:p w14:paraId="2070BC0A" w14:textId="77777777" w:rsidR="008F1BAE" w:rsidRPr="005E4BEA" w:rsidRDefault="008F1BAE" w:rsidP="008F1BAE">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Naziv</w:t>
            </w:r>
          </w:p>
        </w:tc>
        <w:tc>
          <w:tcPr>
            <w:tcW w:w="760" w:type="dxa"/>
            <w:tcBorders>
              <w:top w:val="single" w:sz="4" w:space="0" w:color="808080"/>
              <w:left w:val="nil"/>
              <w:bottom w:val="single" w:sz="4" w:space="0" w:color="808080"/>
              <w:right w:val="single" w:sz="4" w:space="0" w:color="808080"/>
            </w:tcBorders>
            <w:shd w:val="clear" w:color="000000" w:fill="D9D9D9"/>
            <w:vAlign w:val="bottom"/>
            <w:hideMark/>
          </w:tcPr>
          <w:p w14:paraId="1FEA9A89"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Nor-</w:t>
            </w:r>
            <w:proofErr w:type="spellStart"/>
            <w:r w:rsidRPr="005E4BEA">
              <w:rPr>
                <w:rFonts w:ascii="Arial CE" w:hAnsi="Arial CE" w:cs="Arial CE"/>
                <w:b/>
                <w:bCs/>
                <w:color w:val="7030A0"/>
                <w:sz w:val="12"/>
                <w:szCs w:val="12"/>
                <w:lang w:eastAsia="sl-SI"/>
              </w:rPr>
              <w:t>mativ</w:t>
            </w:r>
            <w:proofErr w:type="spellEnd"/>
            <w:r w:rsidRPr="005E4BEA">
              <w:rPr>
                <w:rFonts w:ascii="Arial CE" w:hAnsi="Arial CE" w:cs="Arial CE"/>
                <w:b/>
                <w:bCs/>
                <w:color w:val="7030A0"/>
                <w:sz w:val="12"/>
                <w:szCs w:val="12"/>
                <w:lang w:eastAsia="sl-SI"/>
              </w:rPr>
              <w:t xml:space="preserve"> / kol.</w:t>
            </w:r>
          </w:p>
        </w:tc>
        <w:tc>
          <w:tcPr>
            <w:tcW w:w="486" w:type="dxa"/>
            <w:tcBorders>
              <w:top w:val="single" w:sz="4" w:space="0" w:color="808080"/>
              <w:left w:val="nil"/>
              <w:bottom w:val="single" w:sz="4" w:space="0" w:color="808080"/>
              <w:right w:val="single" w:sz="4" w:space="0" w:color="808080"/>
            </w:tcBorders>
            <w:shd w:val="clear" w:color="000000" w:fill="D9D9D9"/>
            <w:vAlign w:val="bottom"/>
            <w:hideMark/>
          </w:tcPr>
          <w:p w14:paraId="06373784"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Enota mere</w:t>
            </w:r>
          </w:p>
        </w:tc>
        <w:tc>
          <w:tcPr>
            <w:tcW w:w="454" w:type="dxa"/>
            <w:tcBorders>
              <w:top w:val="single" w:sz="4" w:space="0" w:color="808080"/>
              <w:left w:val="nil"/>
              <w:bottom w:val="single" w:sz="4" w:space="0" w:color="808080"/>
              <w:right w:val="nil"/>
            </w:tcBorders>
            <w:shd w:val="clear" w:color="000000" w:fill="D9D9D9"/>
            <w:vAlign w:val="bottom"/>
            <w:hideMark/>
          </w:tcPr>
          <w:p w14:paraId="0F5969D8"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Kader</w:t>
            </w:r>
          </w:p>
        </w:tc>
        <w:tc>
          <w:tcPr>
            <w:tcW w:w="296" w:type="dxa"/>
            <w:tcBorders>
              <w:top w:val="single" w:sz="4" w:space="0" w:color="808080"/>
              <w:left w:val="single" w:sz="4" w:space="0" w:color="808080"/>
              <w:bottom w:val="single" w:sz="4" w:space="0" w:color="808080"/>
              <w:right w:val="nil"/>
            </w:tcBorders>
            <w:shd w:val="clear" w:color="000000" w:fill="D9D9D9"/>
            <w:vAlign w:val="bottom"/>
            <w:hideMark/>
          </w:tcPr>
          <w:p w14:paraId="743E415B"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PR</w:t>
            </w:r>
          </w:p>
        </w:tc>
        <w:tc>
          <w:tcPr>
            <w:tcW w:w="700" w:type="dxa"/>
            <w:tcBorders>
              <w:top w:val="single" w:sz="4" w:space="0" w:color="808080"/>
              <w:left w:val="single" w:sz="4" w:space="0" w:color="808080"/>
              <w:bottom w:val="single" w:sz="4" w:space="0" w:color="808080"/>
              <w:right w:val="single" w:sz="4" w:space="0" w:color="808080"/>
            </w:tcBorders>
            <w:shd w:val="clear" w:color="000000" w:fill="D9D9D9"/>
            <w:vAlign w:val="bottom"/>
            <w:hideMark/>
          </w:tcPr>
          <w:p w14:paraId="135E419D"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 xml:space="preserve">Bruto </w:t>
            </w:r>
            <w:r w:rsidRPr="005E4BEA">
              <w:rPr>
                <w:rFonts w:ascii="Arial CE" w:hAnsi="Arial CE" w:cs="Arial CE"/>
                <w:b/>
                <w:bCs/>
                <w:color w:val="7030A0"/>
                <w:sz w:val="12"/>
                <w:szCs w:val="12"/>
                <w:lang w:eastAsia="sl-SI"/>
              </w:rPr>
              <w:br/>
              <w:t>plača II</w:t>
            </w:r>
          </w:p>
        </w:tc>
        <w:tc>
          <w:tcPr>
            <w:tcW w:w="637" w:type="dxa"/>
            <w:tcBorders>
              <w:top w:val="single" w:sz="4" w:space="0" w:color="808080"/>
              <w:left w:val="nil"/>
              <w:bottom w:val="single" w:sz="4" w:space="0" w:color="808080"/>
              <w:right w:val="single" w:sz="4" w:space="0" w:color="808080"/>
            </w:tcBorders>
            <w:shd w:val="clear" w:color="000000" w:fill="D9D9D9"/>
            <w:vAlign w:val="bottom"/>
            <w:hideMark/>
          </w:tcPr>
          <w:p w14:paraId="2207D9C3"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Regres, jubilejne, PDPZ</w:t>
            </w:r>
          </w:p>
        </w:tc>
        <w:tc>
          <w:tcPr>
            <w:tcW w:w="637" w:type="dxa"/>
            <w:tcBorders>
              <w:top w:val="single" w:sz="4" w:space="0" w:color="808080"/>
              <w:left w:val="nil"/>
              <w:bottom w:val="single" w:sz="4" w:space="0" w:color="808080"/>
              <w:right w:val="single" w:sz="4" w:space="0" w:color="808080"/>
            </w:tcBorders>
            <w:shd w:val="clear" w:color="000000" w:fill="D9D9D9"/>
            <w:noWrap/>
            <w:vAlign w:val="bottom"/>
            <w:hideMark/>
          </w:tcPr>
          <w:p w14:paraId="2239CA62"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MS</w:t>
            </w:r>
          </w:p>
        </w:tc>
        <w:tc>
          <w:tcPr>
            <w:tcW w:w="574" w:type="dxa"/>
            <w:tcBorders>
              <w:top w:val="single" w:sz="4" w:space="0" w:color="808080"/>
              <w:left w:val="nil"/>
              <w:bottom w:val="single" w:sz="4" w:space="0" w:color="808080"/>
              <w:right w:val="single" w:sz="4" w:space="0" w:color="808080"/>
            </w:tcBorders>
            <w:shd w:val="clear" w:color="000000" w:fill="D9D9D9"/>
            <w:noWrap/>
            <w:vAlign w:val="bottom"/>
            <w:hideMark/>
          </w:tcPr>
          <w:p w14:paraId="1E15E274"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AM</w:t>
            </w:r>
          </w:p>
        </w:tc>
        <w:tc>
          <w:tcPr>
            <w:tcW w:w="480" w:type="dxa"/>
            <w:tcBorders>
              <w:top w:val="single" w:sz="4" w:space="0" w:color="808080"/>
              <w:left w:val="nil"/>
              <w:bottom w:val="single" w:sz="4" w:space="0" w:color="808080"/>
              <w:right w:val="single" w:sz="4" w:space="0" w:color="808080"/>
            </w:tcBorders>
            <w:shd w:val="clear" w:color="000000" w:fill="D9D9D9"/>
            <w:noWrap/>
            <w:vAlign w:val="bottom"/>
            <w:hideMark/>
          </w:tcPr>
          <w:p w14:paraId="489D2F3E"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INF</w:t>
            </w:r>
          </w:p>
        </w:tc>
        <w:tc>
          <w:tcPr>
            <w:tcW w:w="700" w:type="dxa"/>
            <w:tcBorders>
              <w:top w:val="single" w:sz="4" w:space="0" w:color="808080"/>
              <w:left w:val="nil"/>
              <w:bottom w:val="single" w:sz="4" w:space="0" w:color="808080"/>
              <w:right w:val="single" w:sz="4" w:space="0" w:color="808080"/>
            </w:tcBorders>
            <w:shd w:val="clear" w:color="000000" w:fill="D9D9D9"/>
            <w:vAlign w:val="bottom"/>
            <w:hideMark/>
          </w:tcPr>
          <w:p w14:paraId="512A32B7"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SKUPAJ</w:t>
            </w:r>
            <w:r w:rsidRPr="005E4BEA">
              <w:rPr>
                <w:rFonts w:ascii="Arial CE" w:hAnsi="Arial CE" w:cs="Arial CE"/>
                <w:b/>
                <w:bCs/>
                <w:color w:val="7030A0"/>
                <w:sz w:val="12"/>
                <w:szCs w:val="12"/>
                <w:lang w:eastAsia="sl-SI"/>
              </w:rPr>
              <w:br/>
              <w:t>(v eur)</w:t>
            </w:r>
          </w:p>
        </w:tc>
        <w:tc>
          <w:tcPr>
            <w:tcW w:w="637" w:type="dxa"/>
            <w:tcBorders>
              <w:top w:val="single" w:sz="4" w:space="0" w:color="808080"/>
              <w:left w:val="nil"/>
              <w:bottom w:val="single" w:sz="4" w:space="0" w:color="808080"/>
              <w:right w:val="nil"/>
            </w:tcBorders>
            <w:shd w:val="clear" w:color="000000" w:fill="D9D9D9"/>
            <w:noWrap/>
            <w:vAlign w:val="bottom"/>
            <w:hideMark/>
          </w:tcPr>
          <w:p w14:paraId="5AE88479" w14:textId="77777777" w:rsidR="008F1BAE" w:rsidRPr="005E4BEA" w:rsidRDefault="008F1BAE" w:rsidP="008F1BAE">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CENA</w:t>
            </w:r>
          </w:p>
        </w:tc>
      </w:tr>
      <w:tr w:rsidR="008F1BAE" w:rsidRPr="005E4BEA" w14:paraId="01B00BF0" w14:textId="77777777" w:rsidTr="008F1BAE">
        <w:trPr>
          <w:trHeight w:val="854"/>
        </w:trPr>
        <w:tc>
          <w:tcPr>
            <w:tcW w:w="3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6C8BD9"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238</w:t>
            </w:r>
          </w:p>
        </w:tc>
        <w:tc>
          <w:tcPr>
            <w:tcW w:w="322" w:type="dxa"/>
            <w:tcBorders>
              <w:top w:val="single" w:sz="4" w:space="0" w:color="auto"/>
              <w:left w:val="nil"/>
              <w:bottom w:val="single" w:sz="4" w:space="0" w:color="auto"/>
              <w:right w:val="single" w:sz="4" w:space="0" w:color="auto"/>
            </w:tcBorders>
            <w:shd w:val="clear" w:color="000000" w:fill="FFFFFF"/>
            <w:noWrap/>
            <w:vAlign w:val="bottom"/>
            <w:hideMark/>
          </w:tcPr>
          <w:p w14:paraId="173DC3C0"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277</w:t>
            </w:r>
          </w:p>
        </w:tc>
        <w:tc>
          <w:tcPr>
            <w:tcW w:w="555" w:type="dxa"/>
            <w:tcBorders>
              <w:top w:val="single" w:sz="4" w:space="0" w:color="auto"/>
              <w:left w:val="nil"/>
              <w:bottom w:val="single" w:sz="4" w:space="0" w:color="auto"/>
              <w:right w:val="single" w:sz="4" w:space="0" w:color="auto"/>
            </w:tcBorders>
            <w:shd w:val="clear" w:color="000000" w:fill="FFFFFF"/>
            <w:noWrap/>
            <w:vAlign w:val="bottom"/>
          </w:tcPr>
          <w:p w14:paraId="378B4DE7" w14:textId="77777777" w:rsidR="008F1BAE" w:rsidRPr="005E4BEA" w:rsidRDefault="008F1BAE" w:rsidP="008F1BAE">
            <w:pPr>
              <w:spacing w:line="240" w:lineRule="auto"/>
              <w:jc w:val="right"/>
              <w:rPr>
                <w:rFonts w:ascii="Arial CE" w:hAnsi="Arial CE" w:cs="Arial CE"/>
                <w:b/>
                <w:bCs/>
                <w:color w:val="000099"/>
                <w:sz w:val="12"/>
                <w:szCs w:val="12"/>
                <w:lang w:eastAsia="sl-SI"/>
              </w:rPr>
            </w:pPr>
          </w:p>
        </w:tc>
        <w:tc>
          <w:tcPr>
            <w:tcW w:w="417" w:type="dxa"/>
            <w:tcBorders>
              <w:top w:val="single" w:sz="4" w:space="0" w:color="auto"/>
              <w:left w:val="nil"/>
              <w:bottom w:val="single" w:sz="4" w:space="0" w:color="auto"/>
              <w:right w:val="single" w:sz="4" w:space="0" w:color="auto"/>
            </w:tcBorders>
            <w:shd w:val="clear" w:color="000000" w:fill="FFFFFF"/>
            <w:noWrap/>
            <w:vAlign w:val="bottom"/>
            <w:hideMark/>
          </w:tcPr>
          <w:p w14:paraId="763876C0" w14:textId="77777777" w:rsidR="008F1BAE" w:rsidRPr="005E4BEA" w:rsidRDefault="008F1BAE" w:rsidP="008F1BAE">
            <w:pPr>
              <w:spacing w:line="240" w:lineRule="auto"/>
              <w:jc w:val="right"/>
              <w:rPr>
                <w:rFonts w:ascii="Arial CE" w:hAnsi="Arial CE" w:cs="Arial CE"/>
                <w:b/>
                <w:bCs/>
                <w:color w:val="000099"/>
                <w:sz w:val="12"/>
                <w:szCs w:val="12"/>
                <w:lang w:eastAsia="sl-SI"/>
              </w:rPr>
            </w:pPr>
          </w:p>
        </w:tc>
        <w:tc>
          <w:tcPr>
            <w:tcW w:w="1621" w:type="dxa"/>
            <w:tcBorders>
              <w:top w:val="single" w:sz="4" w:space="0" w:color="auto"/>
              <w:left w:val="nil"/>
              <w:bottom w:val="single" w:sz="4" w:space="0" w:color="auto"/>
              <w:right w:val="single" w:sz="4" w:space="0" w:color="auto"/>
            </w:tcBorders>
            <w:shd w:val="clear" w:color="000000" w:fill="FFFFFF"/>
            <w:vAlign w:val="bottom"/>
            <w:hideMark/>
          </w:tcPr>
          <w:p w14:paraId="6F3089CD" w14:textId="77777777" w:rsidR="008F1BAE" w:rsidRPr="005E4BEA" w:rsidRDefault="008F1BAE" w:rsidP="008F1BAE">
            <w:pPr>
              <w:spacing w:line="240" w:lineRule="auto"/>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 xml:space="preserve">PUC pediatrična urgentna ambulanta </w:t>
            </w:r>
            <w:r w:rsidRPr="005E4BEA">
              <w:rPr>
                <w:rFonts w:ascii="Arial CE" w:hAnsi="Arial CE" w:cs="Arial CE"/>
                <w:b/>
                <w:bCs/>
                <w:color w:val="000099"/>
                <w:sz w:val="12"/>
                <w:szCs w:val="12"/>
                <w:lang w:eastAsia="sl-SI"/>
              </w:rPr>
              <w:br/>
              <w:t>SB Novo Mesto</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236699"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12</w:t>
            </w:r>
          </w:p>
        </w:tc>
        <w:tc>
          <w:tcPr>
            <w:tcW w:w="486" w:type="dxa"/>
            <w:tcBorders>
              <w:top w:val="single" w:sz="4" w:space="0" w:color="auto"/>
              <w:left w:val="nil"/>
              <w:bottom w:val="single" w:sz="4" w:space="0" w:color="auto"/>
              <w:right w:val="single" w:sz="4" w:space="0" w:color="auto"/>
            </w:tcBorders>
            <w:shd w:val="clear" w:color="000000" w:fill="FFFFFF"/>
            <w:noWrap/>
            <w:vAlign w:val="bottom"/>
            <w:hideMark/>
          </w:tcPr>
          <w:p w14:paraId="4D23CF6D" w14:textId="77777777" w:rsidR="008F1BAE" w:rsidRPr="005E4BEA" w:rsidRDefault="008F1BAE" w:rsidP="008F1BAE">
            <w:pPr>
              <w:spacing w:line="240" w:lineRule="auto"/>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pavšal</w:t>
            </w:r>
          </w:p>
        </w:tc>
        <w:tc>
          <w:tcPr>
            <w:tcW w:w="454" w:type="dxa"/>
            <w:tcBorders>
              <w:top w:val="single" w:sz="4" w:space="0" w:color="auto"/>
              <w:left w:val="nil"/>
              <w:bottom w:val="single" w:sz="4" w:space="0" w:color="auto"/>
              <w:right w:val="single" w:sz="4" w:space="0" w:color="auto"/>
            </w:tcBorders>
            <w:shd w:val="clear" w:color="000000" w:fill="FFFFFF"/>
            <w:noWrap/>
            <w:vAlign w:val="bottom"/>
            <w:hideMark/>
          </w:tcPr>
          <w:p w14:paraId="71D96C40"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6,72</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3D1AC36B" w14:textId="77777777" w:rsidR="008F1BAE" w:rsidRPr="005E4BEA" w:rsidRDefault="008F1BAE" w:rsidP="008F1BAE">
            <w:pPr>
              <w:spacing w:line="240" w:lineRule="auto"/>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46C7B690"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293.326,07</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14:paraId="76B39238"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11.369,41</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14:paraId="61FD5B5D"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12.602,88</w:t>
            </w:r>
          </w:p>
        </w:tc>
        <w:tc>
          <w:tcPr>
            <w:tcW w:w="574" w:type="dxa"/>
            <w:tcBorders>
              <w:top w:val="single" w:sz="4" w:space="0" w:color="auto"/>
              <w:left w:val="nil"/>
              <w:bottom w:val="single" w:sz="4" w:space="0" w:color="auto"/>
              <w:right w:val="single" w:sz="4" w:space="0" w:color="auto"/>
            </w:tcBorders>
            <w:shd w:val="clear" w:color="000000" w:fill="FFFFFF"/>
            <w:noWrap/>
            <w:vAlign w:val="bottom"/>
            <w:hideMark/>
          </w:tcPr>
          <w:p w14:paraId="4FA6E3B7"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2.229,29</w:t>
            </w:r>
          </w:p>
        </w:tc>
        <w:tc>
          <w:tcPr>
            <w:tcW w:w="480" w:type="dxa"/>
            <w:tcBorders>
              <w:top w:val="single" w:sz="4" w:space="0" w:color="auto"/>
              <w:left w:val="nil"/>
              <w:bottom w:val="single" w:sz="4" w:space="0" w:color="auto"/>
              <w:right w:val="single" w:sz="4" w:space="0" w:color="auto"/>
            </w:tcBorders>
            <w:shd w:val="clear" w:color="000000" w:fill="FFFFFF"/>
            <w:noWrap/>
            <w:vAlign w:val="bottom"/>
            <w:hideMark/>
          </w:tcPr>
          <w:p w14:paraId="507AB0A8"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974,81</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0DD7FA52"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320.502,46</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14:paraId="31AAD4BC"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26.708,54</w:t>
            </w:r>
          </w:p>
        </w:tc>
      </w:tr>
      <w:tr w:rsidR="008F1BAE" w:rsidRPr="005E4BEA" w14:paraId="5747CE8A" w14:textId="77777777" w:rsidTr="008F1BAE">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59C6AF48"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63F46BC"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34896227" w14:textId="77777777" w:rsidR="008F1BAE" w:rsidRPr="005E4BEA" w:rsidRDefault="008F1BAE" w:rsidP="008F1BAE">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1587536E"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03984D99"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xml:space="preserve">zdravnik specialist  </w:t>
            </w:r>
          </w:p>
        </w:tc>
        <w:tc>
          <w:tcPr>
            <w:tcW w:w="760" w:type="dxa"/>
            <w:tcBorders>
              <w:top w:val="nil"/>
              <w:left w:val="nil"/>
              <w:bottom w:val="single" w:sz="4" w:space="0" w:color="auto"/>
              <w:right w:val="single" w:sz="4" w:space="0" w:color="auto"/>
            </w:tcBorders>
            <w:shd w:val="clear" w:color="000000" w:fill="FFFFFF"/>
            <w:noWrap/>
            <w:vAlign w:val="bottom"/>
            <w:hideMark/>
          </w:tcPr>
          <w:p w14:paraId="04E5A7A0"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795C4BB6" w14:textId="77777777" w:rsidR="008F1BAE" w:rsidRPr="005E4BEA" w:rsidRDefault="008F1BAE" w:rsidP="008F1BAE">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64D173DC"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1,83</w:t>
            </w:r>
          </w:p>
        </w:tc>
        <w:tc>
          <w:tcPr>
            <w:tcW w:w="296" w:type="dxa"/>
            <w:tcBorders>
              <w:top w:val="nil"/>
              <w:left w:val="nil"/>
              <w:bottom w:val="single" w:sz="4" w:space="0" w:color="auto"/>
              <w:right w:val="single" w:sz="4" w:space="0" w:color="auto"/>
            </w:tcBorders>
            <w:shd w:val="clear" w:color="auto" w:fill="auto"/>
            <w:noWrap/>
            <w:vAlign w:val="bottom"/>
            <w:hideMark/>
          </w:tcPr>
          <w:p w14:paraId="5256AABE"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54</w:t>
            </w:r>
          </w:p>
        </w:tc>
        <w:tc>
          <w:tcPr>
            <w:tcW w:w="700" w:type="dxa"/>
            <w:tcBorders>
              <w:top w:val="nil"/>
              <w:left w:val="nil"/>
              <w:bottom w:val="single" w:sz="4" w:space="0" w:color="auto"/>
              <w:right w:val="single" w:sz="4" w:space="0" w:color="auto"/>
            </w:tcBorders>
            <w:shd w:val="clear" w:color="000000" w:fill="FFFFFF"/>
            <w:noWrap/>
            <w:vAlign w:val="bottom"/>
            <w:hideMark/>
          </w:tcPr>
          <w:p w14:paraId="61E12379"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132.889,73</w:t>
            </w:r>
          </w:p>
        </w:tc>
        <w:tc>
          <w:tcPr>
            <w:tcW w:w="637" w:type="dxa"/>
            <w:tcBorders>
              <w:top w:val="nil"/>
              <w:left w:val="nil"/>
              <w:bottom w:val="single" w:sz="4" w:space="0" w:color="auto"/>
              <w:right w:val="single" w:sz="4" w:space="0" w:color="auto"/>
            </w:tcBorders>
            <w:shd w:val="clear" w:color="000000" w:fill="FFFFFF"/>
            <w:noWrap/>
            <w:vAlign w:val="bottom"/>
            <w:hideMark/>
          </w:tcPr>
          <w:p w14:paraId="151ABABE"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3.103,75</w:t>
            </w:r>
          </w:p>
        </w:tc>
        <w:tc>
          <w:tcPr>
            <w:tcW w:w="637" w:type="dxa"/>
            <w:tcBorders>
              <w:top w:val="nil"/>
              <w:left w:val="nil"/>
              <w:bottom w:val="single" w:sz="4" w:space="0" w:color="auto"/>
              <w:right w:val="single" w:sz="4" w:space="0" w:color="auto"/>
            </w:tcBorders>
            <w:shd w:val="clear" w:color="000000" w:fill="FFFFFF"/>
            <w:noWrap/>
            <w:vAlign w:val="bottom"/>
            <w:hideMark/>
          </w:tcPr>
          <w:p w14:paraId="3D7AC013"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29276375"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671F4F13"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3729885C"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4F60FFF2"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4DC91EC6" w14:textId="77777777" w:rsidTr="008F1BAE">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78CB65FC"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2E147D4B"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63176CC0" w14:textId="77777777" w:rsidR="008F1BAE" w:rsidRPr="005E4BEA" w:rsidRDefault="008F1BAE" w:rsidP="008F1BAE">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14B3FF08"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584BA45B"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xml:space="preserve">dipl. med. sestra / višja med. sestra  </w:t>
            </w:r>
          </w:p>
        </w:tc>
        <w:tc>
          <w:tcPr>
            <w:tcW w:w="760" w:type="dxa"/>
            <w:tcBorders>
              <w:top w:val="nil"/>
              <w:left w:val="nil"/>
              <w:bottom w:val="single" w:sz="4" w:space="0" w:color="auto"/>
              <w:right w:val="single" w:sz="4" w:space="0" w:color="auto"/>
            </w:tcBorders>
            <w:shd w:val="clear" w:color="000000" w:fill="FFFFFF"/>
            <w:noWrap/>
            <w:vAlign w:val="bottom"/>
            <w:hideMark/>
          </w:tcPr>
          <w:p w14:paraId="68ED17B7"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6AB3AD75" w14:textId="77777777" w:rsidR="008F1BAE" w:rsidRPr="005E4BEA" w:rsidRDefault="008F1BAE" w:rsidP="008F1BAE">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0A124384"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1,70</w:t>
            </w:r>
          </w:p>
        </w:tc>
        <w:tc>
          <w:tcPr>
            <w:tcW w:w="296" w:type="dxa"/>
            <w:tcBorders>
              <w:top w:val="nil"/>
              <w:left w:val="nil"/>
              <w:bottom w:val="single" w:sz="4" w:space="0" w:color="auto"/>
              <w:right w:val="single" w:sz="4" w:space="0" w:color="auto"/>
            </w:tcBorders>
            <w:shd w:val="clear" w:color="auto" w:fill="auto"/>
            <w:noWrap/>
            <w:vAlign w:val="bottom"/>
            <w:hideMark/>
          </w:tcPr>
          <w:p w14:paraId="79B4C28A"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42</w:t>
            </w:r>
          </w:p>
        </w:tc>
        <w:tc>
          <w:tcPr>
            <w:tcW w:w="700" w:type="dxa"/>
            <w:tcBorders>
              <w:top w:val="nil"/>
              <w:left w:val="nil"/>
              <w:bottom w:val="single" w:sz="4" w:space="0" w:color="auto"/>
              <w:right w:val="single" w:sz="4" w:space="0" w:color="auto"/>
            </w:tcBorders>
            <w:shd w:val="clear" w:color="000000" w:fill="FFFFFF"/>
            <w:noWrap/>
            <w:vAlign w:val="bottom"/>
            <w:hideMark/>
          </w:tcPr>
          <w:p w14:paraId="2698330D"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76.731,98</w:t>
            </w:r>
          </w:p>
        </w:tc>
        <w:tc>
          <w:tcPr>
            <w:tcW w:w="637" w:type="dxa"/>
            <w:tcBorders>
              <w:top w:val="nil"/>
              <w:left w:val="nil"/>
              <w:bottom w:val="single" w:sz="4" w:space="0" w:color="auto"/>
              <w:right w:val="single" w:sz="4" w:space="0" w:color="auto"/>
            </w:tcBorders>
            <w:shd w:val="clear" w:color="000000" w:fill="FFFFFF"/>
            <w:noWrap/>
            <w:vAlign w:val="bottom"/>
            <w:hideMark/>
          </w:tcPr>
          <w:p w14:paraId="37EB4A92"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2.869,29</w:t>
            </w:r>
          </w:p>
        </w:tc>
        <w:tc>
          <w:tcPr>
            <w:tcW w:w="637" w:type="dxa"/>
            <w:tcBorders>
              <w:top w:val="nil"/>
              <w:left w:val="nil"/>
              <w:bottom w:val="single" w:sz="4" w:space="0" w:color="auto"/>
              <w:right w:val="single" w:sz="4" w:space="0" w:color="auto"/>
            </w:tcBorders>
            <w:shd w:val="clear" w:color="000000" w:fill="FFFFFF"/>
            <w:noWrap/>
            <w:vAlign w:val="bottom"/>
            <w:hideMark/>
          </w:tcPr>
          <w:p w14:paraId="58989C81"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71B8D60E"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5AF8C514"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14AD82FC"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5F86B48B"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31E20F8C" w14:textId="77777777" w:rsidTr="008F1BAE">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37AE6972"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9101A40"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39CBC8F1" w14:textId="77777777" w:rsidR="008F1BAE" w:rsidRPr="005E4BEA" w:rsidRDefault="008F1BAE" w:rsidP="008F1BAE">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59E88829"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48BC7917"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xml:space="preserve">tehnik zdravstvene nege  </w:t>
            </w:r>
          </w:p>
        </w:tc>
        <w:tc>
          <w:tcPr>
            <w:tcW w:w="760" w:type="dxa"/>
            <w:tcBorders>
              <w:top w:val="nil"/>
              <w:left w:val="nil"/>
              <w:bottom w:val="single" w:sz="4" w:space="0" w:color="auto"/>
              <w:right w:val="single" w:sz="4" w:space="0" w:color="auto"/>
            </w:tcBorders>
            <w:shd w:val="clear" w:color="000000" w:fill="FFFFFF"/>
            <w:noWrap/>
            <w:vAlign w:val="bottom"/>
            <w:hideMark/>
          </w:tcPr>
          <w:p w14:paraId="017E4C4A"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654159B2" w14:textId="77777777" w:rsidR="008F1BAE" w:rsidRPr="005E4BEA" w:rsidRDefault="008F1BAE" w:rsidP="008F1BAE">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171ADEF4"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1,70</w:t>
            </w:r>
          </w:p>
        </w:tc>
        <w:tc>
          <w:tcPr>
            <w:tcW w:w="296" w:type="dxa"/>
            <w:tcBorders>
              <w:top w:val="nil"/>
              <w:left w:val="nil"/>
              <w:bottom w:val="single" w:sz="4" w:space="0" w:color="auto"/>
              <w:right w:val="single" w:sz="4" w:space="0" w:color="auto"/>
            </w:tcBorders>
            <w:shd w:val="clear" w:color="auto" w:fill="auto"/>
            <w:noWrap/>
            <w:vAlign w:val="bottom"/>
            <w:hideMark/>
          </w:tcPr>
          <w:p w14:paraId="7CE7FB0C"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33</w:t>
            </w:r>
          </w:p>
        </w:tc>
        <w:tc>
          <w:tcPr>
            <w:tcW w:w="700" w:type="dxa"/>
            <w:tcBorders>
              <w:top w:val="nil"/>
              <w:left w:val="nil"/>
              <w:bottom w:val="single" w:sz="4" w:space="0" w:color="auto"/>
              <w:right w:val="single" w:sz="4" w:space="0" w:color="auto"/>
            </w:tcBorders>
            <w:shd w:val="clear" w:color="000000" w:fill="FFFFFF"/>
            <w:noWrap/>
            <w:vAlign w:val="bottom"/>
            <w:hideMark/>
          </w:tcPr>
          <w:p w14:paraId="6A96F557"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53.911,02</w:t>
            </w:r>
          </w:p>
        </w:tc>
        <w:tc>
          <w:tcPr>
            <w:tcW w:w="637" w:type="dxa"/>
            <w:tcBorders>
              <w:top w:val="nil"/>
              <w:left w:val="nil"/>
              <w:bottom w:val="single" w:sz="4" w:space="0" w:color="auto"/>
              <w:right w:val="single" w:sz="4" w:space="0" w:color="auto"/>
            </w:tcBorders>
            <w:shd w:val="clear" w:color="000000" w:fill="FFFFFF"/>
            <w:noWrap/>
            <w:vAlign w:val="bottom"/>
            <w:hideMark/>
          </w:tcPr>
          <w:p w14:paraId="3C4EFFB8"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2.869,29</w:t>
            </w:r>
          </w:p>
        </w:tc>
        <w:tc>
          <w:tcPr>
            <w:tcW w:w="637" w:type="dxa"/>
            <w:tcBorders>
              <w:top w:val="nil"/>
              <w:left w:val="nil"/>
              <w:bottom w:val="single" w:sz="4" w:space="0" w:color="auto"/>
              <w:right w:val="single" w:sz="4" w:space="0" w:color="auto"/>
            </w:tcBorders>
            <w:shd w:val="clear" w:color="000000" w:fill="FFFFFF"/>
            <w:noWrap/>
            <w:vAlign w:val="bottom"/>
            <w:hideMark/>
          </w:tcPr>
          <w:p w14:paraId="3DB50C03"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659AA495"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78A8CBA1"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7E98E814"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4B0C4C90"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5FE923F0" w14:textId="77777777" w:rsidTr="008F1BAE">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487B4287"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BB418A0"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072174F7" w14:textId="77777777" w:rsidR="008F1BAE" w:rsidRPr="005E4BEA" w:rsidRDefault="008F1BAE" w:rsidP="008F1BAE">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2990DC1B"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3558D060" w14:textId="77777777" w:rsidR="008F1BAE" w:rsidRPr="005E4BEA" w:rsidRDefault="008F1BAE" w:rsidP="008F1BAE">
            <w:pPr>
              <w:spacing w:line="240" w:lineRule="auto"/>
              <w:rPr>
                <w:rFonts w:ascii="Calibri" w:hAnsi="Calibri" w:cs="Calibri"/>
                <w:color w:val="000000"/>
                <w:sz w:val="12"/>
                <w:szCs w:val="12"/>
                <w:lang w:eastAsia="sl-SI"/>
              </w:rPr>
            </w:pPr>
            <w:proofErr w:type="spellStart"/>
            <w:r w:rsidRPr="005E4BEA">
              <w:rPr>
                <w:rFonts w:ascii="Calibri" w:hAnsi="Calibri" w:cs="Calibri"/>
                <w:color w:val="000000"/>
                <w:sz w:val="12"/>
                <w:szCs w:val="12"/>
                <w:lang w:eastAsia="sl-SI"/>
              </w:rPr>
              <w:t>admin</w:t>
            </w:r>
            <w:proofErr w:type="spellEnd"/>
            <w:r w:rsidRPr="005E4BEA">
              <w:rPr>
                <w:rFonts w:ascii="Calibri" w:hAnsi="Calibri" w:cs="Calibri"/>
                <w:color w:val="000000"/>
                <w:sz w:val="12"/>
                <w:szCs w:val="12"/>
                <w:lang w:eastAsia="sl-SI"/>
              </w:rPr>
              <w:t xml:space="preserve">. tehnični delavci  </w:t>
            </w:r>
          </w:p>
        </w:tc>
        <w:tc>
          <w:tcPr>
            <w:tcW w:w="760" w:type="dxa"/>
            <w:tcBorders>
              <w:top w:val="nil"/>
              <w:left w:val="nil"/>
              <w:bottom w:val="single" w:sz="4" w:space="0" w:color="auto"/>
              <w:right w:val="single" w:sz="4" w:space="0" w:color="auto"/>
            </w:tcBorders>
            <w:shd w:val="clear" w:color="000000" w:fill="FFFFFF"/>
            <w:noWrap/>
            <w:vAlign w:val="bottom"/>
            <w:hideMark/>
          </w:tcPr>
          <w:p w14:paraId="2B3EC12D"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2185AE12" w14:textId="77777777" w:rsidR="008F1BAE" w:rsidRPr="005E4BEA" w:rsidRDefault="008F1BAE" w:rsidP="008F1BAE">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2073B066"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0,80</w:t>
            </w:r>
          </w:p>
        </w:tc>
        <w:tc>
          <w:tcPr>
            <w:tcW w:w="296" w:type="dxa"/>
            <w:tcBorders>
              <w:top w:val="nil"/>
              <w:left w:val="nil"/>
              <w:bottom w:val="single" w:sz="4" w:space="0" w:color="auto"/>
              <w:right w:val="single" w:sz="4" w:space="0" w:color="auto"/>
            </w:tcBorders>
            <w:shd w:val="clear" w:color="auto" w:fill="auto"/>
            <w:noWrap/>
            <w:vAlign w:val="bottom"/>
            <w:hideMark/>
          </w:tcPr>
          <w:p w14:paraId="1142F3F4"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w:t>
            </w:r>
          </w:p>
        </w:tc>
        <w:tc>
          <w:tcPr>
            <w:tcW w:w="700" w:type="dxa"/>
            <w:tcBorders>
              <w:top w:val="nil"/>
              <w:left w:val="nil"/>
              <w:bottom w:val="single" w:sz="4" w:space="0" w:color="auto"/>
              <w:right w:val="single" w:sz="4" w:space="0" w:color="auto"/>
            </w:tcBorders>
            <w:shd w:val="clear" w:color="000000" w:fill="FFFFFF"/>
            <w:noWrap/>
            <w:vAlign w:val="bottom"/>
            <w:hideMark/>
          </w:tcPr>
          <w:p w14:paraId="50958246"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15.700,74</w:t>
            </w:r>
          </w:p>
        </w:tc>
        <w:tc>
          <w:tcPr>
            <w:tcW w:w="637" w:type="dxa"/>
            <w:tcBorders>
              <w:top w:val="nil"/>
              <w:left w:val="nil"/>
              <w:bottom w:val="single" w:sz="4" w:space="0" w:color="auto"/>
              <w:right w:val="single" w:sz="4" w:space="0" w:color="auto"/>
            </w:tcBorders>
            <w:shd w:val="clear" w:color="000000" w:fill="FFFFFF"/>
            <w:noWrap/>
            <w:vAlign w:val="bottom"/>
            <w:hideMark/>
          </w:tcPr>
          <w:p w14:paraId="12B39ED5"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1.353,28</w:t>
            </w:r>
          </w:p>
        </w:tc>
        <w:tc>
          <w:tcPr>
            <w:tcW w:w="637" w:type="dxa"/>
            <w:tcBorders>
              <w:top w:val="nil"/>
              <w:left w:val="nil"/>
              <w:bottom w:val="single" w:sz="4" w:space="0" w:color="auto"/>
              <w:right w:val="single" w:sz="4" w:space="0" w:color="auto"/>
            </w:tcBorders>
            <w:shd w:val="clear" w:color="000000" w:fill="FFFFFF"/>
            <w:noWrap/>
            <w:vAlign w:val="bottom"/>
            <w:hideMark/>
          </w:tcPr>
          <w:p w14:paraId="0FE11E55"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11.377,62</w:t>
            </w:r>
          </w:p>
        </w:tc>
        <w:tc>
          <w:tcPr>
            <w:tcW w:w="574" w:type="dxa"/>
            <w:tcBorders>
              <w:top w:val="nil"/>
              <w:left w:val="nil"/>
              <w:bottom w:val="single" w:sz="4" w:space="0" w:color="auto"/>
              <w:right w:val="single" w:sz="4" w:space="0" w:color="auto"/>
            </w:tcBorders>
            <w:shd w:val="clear" w:color="000000" w:fill="FFFFFF"/>
            <w:noWrap/>
            <w:vAlign w:val="bottom"/>
            <w:hideMark/>
          </w:tcPr>
          <w:p w14:paraId="4A556B42"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2.027,52</w:t>
            </w:r>
          </w:p>
        </w:tc>
        <w:tc>
          <w:tcPr>
            <w:tcW w:w="480" w:type="dxa"/>
            <w:tcBorders>
              <w:top w:val="nil"/>
              <w:left w:val="nil"/>
              <w:bottom w:val="single" w:sz="4" w:space="0" w:color="auto"/>
              <w:right w:val="single" w:sz="4" w:space="0" w:color="auto"/>
            </w:tcBorders>
            <w:shd w:val="clear" w:color="000000" w:fill="FFFFFF"/>
            <w:noWrap/>
            <w:vAlign w:val="bottom"/>
            <w:hideMark/>
          </w:tcPr>
          <w:p w14:paraId="4A00AEA6"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1738F0D2"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7E7B6BF2"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030761BB" w14:textId="77777777" w:rsidTr="008F1BAE">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0E14A64D"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493C91F8"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33B8A133" w14:textId="77777777" w:rsidR="008F1BAE" w:rsidRPr="005E4BEA" w:rsidRDefault="008F1BAE" w:rsidP="008F1BAE">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4D0CEDA7"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04060E7E"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laboratorijski tehnik</w:t>
            </w:r>
          </w:p>
        </w:tc>
        <w:tc>
          <w:tcPr>
            <w:tcW w:w="760" w:type="dxa"/>
            <w:tcBorders>
              <w:top w:val="nil"/>
              <w:left w:val="nil"/>
              <w:bottom w:val="single" w:sz="4" w:space="0" w:color="auto"/>
              <w:right w:val="single" w:sz="4" w:space="0" w:color="auto"/>
            </w:tcBorders>
            <w:shd w:val="clear" w:color="000000" w:fill="FFFFFF"/>
            <w:noWrap/>
            <w:vAlign w:val="bottom"/>
            <w:hideMark/>
          </w:tcPr>
          <w:p w14:paraId="77669DAF"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36BC3F55" w14:textId="77777777" w:rsidR="008F1BAE" w:rsidRPr="005E4BEA" w:rsidRDefault="008F1BAE" w:rsidP="008F1BAE">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6ED663FC"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0,60</w:t>
            </w:r>
          </w:p>
        </w:tc>
        <w:tc>
          <w:tcPr>
            <w:tcW w:w="296" w:type="dxa"/>
            <w:tcBorders>
              <w:top w:val="nil"/>
              <w:left w:val="nil"/>
              <w:bottom w:val="single" w:sz="4" w:space="0" w:color="auto"/>
              <w:right w:val="single" w:sz="4" w:space="0" w:color="auto"/>
            </w:tcBorders>
            <w:shd w:val="clear" w:color="auto" w:fill="auto"/>
            <w:noWrap/>
            <w:vAlign w:val="bottom"/>
            <w:hideMark/>
          </w:tcPr>
          <w:p w14:paraId="31C6BF05"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29</w:t>
            </w:r>
          </w:p>
        </w:tc>
        <w:tc>
          <w:tcPr>
            <w:tcW w:w="700" w:type="dxa"/>
            <w:tcBorders>
              <w:top w:val="nil"/>
              <w:left w:val="nil"/>
              <w:bottom w:val="single" w:sz="4" w:space="0" w:color="auto"/>
              <w:right w:val="single" w:sz="4" w:space="0" w:color="auto"/>
            </w:tcBorders>
            <w:shd w:val="clear" w:color="000000" w:fill="FFFFFF"/>
            <w:noWrap/>
            <w:vAlign w:val="bottom"/>
            <w:hideMark/>
          </w:tcPr>
          <w:p w14:paraId="309B020D"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12.326,26</w:t>
            </w:r>
          </w:p>
        </w:tc>
        <w:tc>
          <w:tcPr>
            <w:tcW w:w="637" w:type="dxa"/>
            <w:tcBorders>
              <w:top w:val="nil"/>
              <w:left w:val="nil"/>
              <w:bottom w:val="single" w:sz="4" w:space="0" w:color="auto"/>
              <w:right w:val="single" w:sz="4" w:space="0" w:color="auto"/>
            </w:tcBorders>
            <w:shd w:val="clear" w:color="000000" w:fill="FFFFFF"/>
            <w:noWrap/>
            <w:vAlign w:val="bottom"/>
            <w:hideMark/>
          </w:tcPr>
          <w:p w14:paraId="45AA8164"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1.021,56</w:t>
            </w:r>
          </w:p>
        </w:tc>
        <w:tc>
          <w:tcPr>
            <w:tcW w:w="637" w:type="dxa"/>
            <w:tcBorders>
              <w:top w:val="nil"/>
              <w:left w:val="nil"/>
              <w:bottom w:val="single" w:sz="4" w:space="0" w:color="auto"/>
              <w:right w:val="single" w:sz="4" w:space="0" w:color="auto"/>
            </w:tcBorders>
            <w:shd w:val="clear" w:color="000000" w:fill="FFFFFF"/>
            <w:noWrap/>
            <w:vAlign w:val="bottom"/>
            <w:hideMark/>
          </w:tcPr>
          <w:p w14:paraId="3932BCE9"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6A85F97A"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30C0BE6C"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6D560DCC"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195C3FC7"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0CBDEC6F" w14:textId="77777777" w:rsidTr="008F1BAE">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4D3CEB65"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51F5ED5" w14:textId="77777777" w:rsidR="008F1BAE" w:rsidRPr="005E4BEA" w:rsidRDefault="008F1BAE" w:rsidP="008F1BAE">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0F85D365" w14:textId="77777777" w:rsidR="008F1BAE" w:rsidRPr="005E4BEA" w:rsidRDefault="008F1BAE" w:rsidP="008F1BAE">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1C0B7E25"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7FF30A9C" w14:textId="77777777" w:rsidR="008F1BAE" w:rsidRPr="005E4BEA" w:rsidRDefault="008F1BAE" w:rsidP="008F1BAE">
            <w:pPr>
              <w:spacing w:line="240" w:lineRule="auto"/>
              <w:rPr>
                <w:rFonts w:ascii="Calibri" w:hAnsi="Calibri" w:cs="Calibri"/>
                <w:color w:val="000000"/>
                <w:sz w:val="12"/>
                <w:szCs w:val="12"/>
                <w:lang w:eastAsia="sl-SI"/>
              </w:rPr>
            </w:pPr>
            <w:proofErr w:type="spellStart"/>
            <w:r w:rsidRPr="005E4BEA">
              <w:rPr>
                <w:rFonts w:ascii="Calibri" w:hAnsi="Calibri" w:cs="Calibri"/>
                <w:color w:val="000000"/>
                <w:sz w:val="12"/>
                <w:szCs w:val="12"/>
                <w:lang w:eastAsia="sl-SI"/>
              </w:rPr>
              <w:t>admin</w:t>
            </w:r>
            <w:proofErr w:type="spellEnd"/>
            <w:r w:rsidRPr="005E4BEA">
              <w:rPr>
                <w:rFonts w:ascii="Calibri" w:hAnsi="Calibri" w:cs="Calibri"/>
                <w:color w:val="000000"/>
                <w:sz w:val="12"/>
                <w:szCs w:val="12"/>
                <w:lang w:eastAsia="sl-SI"/>
              </w:rPr>
              <w:t xml:space="preserve">. tehnični delavci </w:t>
            </w:r>
            <w:proofErr w:type="spellStart"/>
            <w:r w:rsidRPr="005E4BEA">
              <w:rPr>
                <w:rFonts w:ascii="Calibri" w:hAnsi="Calibri" w:cs="Calibri"/>
                <w:color w:val="000000"/>
                <w:sz w:val="12"/>
                <w:szCs w:val="12"/>
                <w:lang w:eastAsia="sl-SI"/>
              </w:rPr>
              <w:t>lab</w:t>
            </w:r>
            <w:proofErr w:type="spellEnd"/>
            <w:r w:rsidRPr="005E4BEA">
              <w:rPr>
                <w:rFonts w:ascii="Calibri" w:hAnsi="Calibri" w:cs="Calibri"/>
                <w:color w:val="000000"/>
                <w:sz w:val="12"/>
                <w:szCs w:val="12"/>
                <w:lang w:eastAsia="sl-SI"/>
              </w:rPr>
              <w:t>/RTG</w:t>
            </w:r>
          </w:p>
        </w:tc>
        <w:tc>
          <w:tcPr>
            <w:tcW w:w="760" w:type="dxa"/>
            <w:tcBorders>
              <w:top w:val="nil"/>
              <w:left w:val="nil"/>
              <w:bottom w:val="single" w:sz="4" w:space="0" w:color="auto"/>
              <w:right w:val="single" w:sz="4" w:space="0" w:color="auto"/>
            </w:tcBorders>
            <w:shd w:val="clear" w:color="000000" w:fill="FFFFFF"/>
            <w:noWrap/>
            <w:vAlign w:val="bottom"/>
            <w:hideMark/>
          </w:tcPr>
          <w:p w14:paraId="29EAF337"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3581583A" w14:textId="77777777" w:rsidR="008F1BAE" w:rsidRPr="005E4BEA" w:rsidRDefault="008F1BAE" w:rsidP="008F1BAE">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3E227B58"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0,09</w:t>
            </w:r>
          </w:p>
        </w:tc>
        <w:tc>
          <w:tcPr>
            <w:tcW w:w="296" w:type="dxa"/>
            <w:tcBorders>
              <w:top w:val="nil"/>
              <w:left w:val="nil"/>
              <w:bottom w:val="single" w:sz="4" w:space="0" w:color="auto"/>
              <w:right w:val="single" w:sz="4" w:space="0" w:color="auto"/>
            </w:tcBorders>
            <w:shd w:val="clear" w:color="auto" w:fill="auto"/>
            <w:noWrap/>
            <w:vAlign w:val="bottom"/>
            <w:hideMark/>
          </w:tcPr>
          <w:p w14:paraId="4BE2A361"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w:t>
            </w:r>
          </w:p>
        </w:tc>
        <w:tc>
          <w:tcPr>
            <w:tcW w:w="700" w:type="dxa"/>
            <w:tcBorders>
              <w:top w:val="nil"/>
              <w:left w:val="nil"/>
              <w:bottom w:val="single" w:sz="4" w:space="0" w:color="auto"/>
              <w:right w:val="single" w:sz="4" w:space="0" w:color="auto"/>
            </w:tcBorders>
            <w:shd w:val="clear" w:color="000000" w:fill="FFFFFF"/>
            <w:noWrap/>
            <w:vAlign w:val="bottom"/>
            <w:hideMark/>
          </w:tcPr>
          <w:p w14:paraId="50A293DC"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1.766,33</w:t>
            </w:r>
          </w:p>
        </w:tc>
        <w:tc>
          <w:tcPr>
            <w:tcW w:w="637" w:type="dxa"/>
            <w:tcBorders>
              <w:top w:val="nil"/>
              <w:left w:val="nil"/>
              <w:bottom w:val="single" w:sz="4" w:space="0" w:color="auto"/>
              <w:right w:val="single" w:sz="4" w:space="0" w:color="auto"/>
            </w:tcBorders>
            <w:shd w:val="clear" w:color="000000" w:fill="FFFFFF"/>
            <w:noWrap/>
            <w:vAlign w:val="bottom"/>
            <w:hideMark/>
          </w:tcPr>
          <w:p w14:paraId="080F2DAD"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152,24</w:t>
            </w:r>
          </w:p>
        </w:tc>
        <w:tc>
          <w:tcPr>
            <w:tcW w:w="637" w:type="dxa"/>
            <w:tcBorders>
              <w:top w:val="nil"/>
              <w:left w:val="nil"/>
              <w:bottom w:val="single" w:sz="4" w:space="0" w:color="auto"/>
              <w:right w:val="single" w:sz="4" w:space="0" w:color="auto"/>
            </w:tcBorders>
            <w:shd w:val="clear" w:color="000000" w:fill="FFFFFF"/>
            <w:noWrap/>
            <w:vAlign w:val="bottom"/>
            <w:hideMark/>
          </w:tcPr>
          <w:p w14:paraId="4957F5A7"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1.225,26</w:t>
            </w:r>
          </w:p>
        </w:tc>
        <w:tc>
          <w:tcPr>
            <w:tcW w:w="574" w:type="dxa"/>
            <w:tcBorders>
              <w:top w:val="nil"/>
              <w:left w:val="nil"/>
              <w:bottom w:val="single" w:sz="4" w:space="0" w:color="auto"/>
              <w:right w:val="single" w:sz="4" w:space="0" w:color="auto"/>
            </w:tcBorders>
            <w:shd w:val="clear" w:color="000000" w:fill="FFFFFF"/>
            <w:noWrap/>
            <w:vAlign w:val="bottom"/>
            <w:hideMark/>
          </w:tcPr>
          <w:p w14:paraId="4E77DD29" w14:textId="77777777" w:rsidR="008F1BAE" w:rsidRPr="005E4BEA" w:rsidRDefault="008F1BAE" w:rsidP="008F1BAE">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201,77</w:t>
            </w:r>
          </w:p>
        </w:tc>
        <w:tc>
          <w:tcPr>
            <w:tcW w:w="480" w:type="dxa"/>
            <w:tcBorders>
              <w:top w:val="nil"/>
              <w:left w:val="nil"/>
              <w:bottom w:val="single" w:sz="4" w:space="0" w:color="auto"/>
              <w:right w:val="single" w:sz="4" w:space="0" w:color="auto"/>
            </w:tcBorders>
            <w:shd w:val="clear" w:color="000000" w:fill="FFFFFF"/>
            <w:noWrap/>
            <w:vAlign w:val="bottom"/>
            <w:hideMark/>
          </w:tcPr>
          <w:p w14:paraId="676C5166"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417B9849"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3D8E0761" w14:textId="77777777" w:rsidR="008F1BAE" w:rsidRPr="005E4BEA" w:rsidRDefault="008F1BAE" w:rsidP="008F1BAE">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bl>
    <w:p w14:paraId="2755B8EB" w14:textId="051BE280" w:rsidR="002E2CF3" w:rsidRPr="005E4BEA" w:rsidRDefault="002E2CF3" w:rsidP="0099737B">
      <w:pPr>
        <w:spacing w:line="240" w:lineRule="auto"/>
        <w:jc w:val="both"/>
        <w:rPr>
          <w:rFonts w:eastAsia="Arial Narrow" w:cs="Arial"/>
          <w:b/>
          <w:szCs w:val="20"/>
        </w:rPr>
      </w:pPr>
    </w:p>
    <w:p w14:paraId="67F57E1D" w14:textId="4E57E55C"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Opombe:</w:t>
      </w:r>
    </w:p>
    <w:p w14:paraId="602CEE48" w14:textId="36BE3AAA"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 Pavšal predstavlja opravljanje storitev od ponedeljka do petka od 15:00-21:00 in sobota, nedelja in prazniki med 7:00-19:00.</w:t>
      </w:r>
    </w:p>
    <w:p w14:paraId="58EF0A9A" w14:textId="5A75916B"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 xml:space="preserve">- SB Novo Mesto zagotavlja vse iz standarda razen zdravnikov. </w:t>
      </w:r>
    </w:p>
    <w:p w14:paraId="6576975A" w14:textId="3F4BEDC4"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 Zdravnike zagotavljajo navedeni zdravstveni domovi, v obsegu naslednjih deležev (količina ur se lahko razlikuje glede na število dni in praznikov v letu, delež ostaja nespremenjen):</w:t>
      </w:r>
    </w:p>
    <w:p w14:paraId="119936A2"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Metlika 6 %, kar predstavlja 172 ur letno v PUC</w:t>
      </w:r>
    </w:p>
    <w:p w14:paraId="3DD19DA6"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Trebnje 13 %, kar predstavlja 374 ure letno v PUC</w:t>
      </w:r>
    </w:p>
    <w:p w14:paraId="2D99B702"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Črnomelj 13 %, kar predstavlja 374 ure letno v PUC</w:t>
      </w:r>
      <w:r w:rsidRPr="005E4BEA">
        <w:rPr>
          <w:rFonts w:eastAsiaTheme="minorHAnsi" w:cs="Arial"/>
          <w:sz w:val="18"/>
          <w:szCs w:val="18"/>
        </w:rPr>
        <w:tab/>
      </w:r>
    </w:p>
    <w:p w14:paraId="7D0E8910"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Novo Mesto 68 %, kar predstavlja 1.960 ur letno v PUC</w:t>
      </w:r>
    </w:p>
    <w:bookmarkEnd w:id="62"/>
    <w:p w14:paraId="4C3EB7FB" w14:textId="77777777" w:rsidR="002E2CF3" w:rsidRPr="005E4BEA" w:rsidRDefault="002E2CF3" w:rsidP="002E2CF3">
      <w:pPr>
        <w:rPr>
          <w:rFonts w:eastAsiaTheme="minorHAnsi" w:cs="Arial"/>
          <w:b/>
          <w:bCs/>
          <w:i/>
          <w:color w:val="808080" w:themeColor="background1" w:themeShade="80"/>
          <w:szCs w:val="20"/>
          <w:u w:val="single"/>
        </w:rPr>
      </w:pPr>
    </w:p>
    <w:p w14:paraId="258CFAC0" w14:textId="54B03EB9" w:rsidR="002E2CF3" w:rsidRPr="005E4BEA" w:rsidRDefault="002E2CF3" w:rsidP="002E2CF3">
      <w:pPr>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r w:rsidR="008F1BAE" w:rsidRPr="005E4BEA">
        <w:rPr>
          <w:rFonts w:eastAsiaTheme="minorHAnsi" w:cs="Arial"/>
          <w:b/>
          <w:bCs/>
          <w:i/>
          <w:color w:val="808080" w:themeColor="background1" w:themeShade="80"/>
          <w:szCs w:val="20"/>
          <w:u w:val="single"/>
        </w:rPr>
        <w:t xml:space="preserve"> točk</w:t>
      </w:r>
      <w:r w:rsidR="002D5F50" w:rsidRPr="005E4BEA">
        <w:rPr>
          <w:rFonts w:eastAsiaTheme="minorHAnsi" w:cs="Arial"/>
          <w:b/>
          <w:bCs/>
          <w:i/>
          <w:color w:val="808080" w:themeColor="background1" w:themeShade="80"/>
          <w:szCs w:val="20"/>
          <w:u w:val="single"/>
        </w:rPr>
        <w:t>e 25</w:t>
      </w:r>
      <w:r w:rsidRPr="005E4BEA">
        <w:rPr>
          <w:rFonts w:eastAsiaTheme="minorHAnsi" w:cs="Arial"/>
          <w:b/>
          <w:bCs/>
          <w:i/>
          <w:color w:val="808080" w:themeColor="background1" w:themeShade="80"/>
          <w:szCs w:val="20"/>
          <w:u w:val="single"/>
        </w:rPr>
        <w:t>:</w:t>
      </w:r>
    </w:p>
    <w:p w14:paraId="2899629E"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Zdravljenje bolnikov s težko astmo s pomočjo bronhialne </w:t>
      </w:r>
      <w:proofErr w:type="spellStart"/>
      <w:r w:rsidRPr="005E4BEA">
        <w:rPr>
          <w:rFonts w:eastAsiaTheme="minorHAnsi" w:cs="Arial"/>
          <w:i/>
          <w:color w:val="808080" w:themeColor="background1" w:themeShade="80"/>
          <w:szCs w:val="20"/>
        </w:rPr>
        <w:t>termoplastike</w:t>
      </w:r>
      <w:proofErr w:type="spellEnd"/>
      <w:r w:rsidRPr="005E4BEA">
        <w:rPr>
          <w:rFonts w:eastAsiaTheme="minorHAnsi" w:cs="Arial"/>
          <w:i/>
          <w:color w:val="808080" w:themeColor="background1" w:themeShade="80"/>
          <w:szCs w:val="20"/>
        </w:rPr>
        <w:t xml:space="preserve"> (BT) je v svetu že uveljavljena metoda zdravljenja, sprejeta v smernicah GINA (Global </w:t>
      </w:r>
      <w:proofErr w:type="spellStart"/>
      <w:r w:rsidRPr="005E4BEA">
        <w:rPr>
          <w:rFonts w:eastAsiaTheme="minorHAnsi" w:cs="Arial"/>
          <w:i/>
          <w:color w:val="808080" w:themeColor="background1" w:themeShade="80"/>
          <w:szCs w:val="20"/>
        </w:rPr>
        <w:t>Initiative</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for</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Asthma</w:t>
      </w:r>
      <w:proofErr w:type="spellEnd"/>
      <w:r w:rsidRPr="005E4BEA">
        <w:rPr>
          <w:rFonts w:eastAsiaTheme="minorHAnsi" w:cs="Arial"/>
          <w:i/>
          <w:color w:val="808080" w:themeColor="background1" w:themeShade="80"/>
          <w:szCs w:val="20"/>
        </w:rPr>
        <w:t xml:space="preserve">) in v Britanskih smernicah za zdravljenje astme. Zdravstveni svet je na seji, dne 5. oktobra 2016, sprejel sklep, da odobri program Univerzitetne klinike za pljučne bolezni in alergijo Golnik:  Zdravljenje bolnikov s težko astmo s pomočjo bronhialne </w:t>
      </w:r>
      <w:proofErr w:type="spellStart"/>
      <w:r w:rsidRPr="005E4BEA">
        <w:rPr>
          <w:rFonts w:eastAsiaTheme="minorHAnsi" w:cs="Arial"/>
          <w:i/>
          <w:color w:val="808080" w:themeColor="background1" w:themeShade="80"/>
          <w:szCs w:val="20"/>
        </w:rPr>
        <w:t>termoplastike</w:t>
      </w:r>
      <w:proofErr w:type="spellEnd"/>
      <w:r w:rsidRPr="005E4BEA">
        <w:rPr>
          <w:rFonts w:eastAsiaTheme="minorHAnsi" w:cs="Arial"/>
          <w:i/>
          <w:color w:val="808080" w:themeColor="background1" w:themeShade="80"/>
          <w:szCs w:val="20"/>
        </w:rPr>
        <w:t xml:space="preserve"> (BT), in sicer za 10 pacientov letno v skupni vrednosti 44.683,20 EUR. Program je ocenjen s 25 točkami.</w:t>
      </w:r>
    </w:p>
    <w:p w14:paraId="1F68FE40"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Metoda temelji na dovajanju </w:t>
      </w:r>
      <w:proofErr w:type="spellStart"/>
      <w:r w:rsidRPr="005E4BEA">
        <w:rPr>
          <w:rFonts w:eastAsiaTheme="minorHAnsi" w:cs="Arial"/>
          <w:i/>
          <w:color w:val="808080" w:themeColor="background1" w:themeShade="80"/>
          <w:szCs w:val="20"/>
        </w:rPr>
        <w:t>radiofrekvenčne</w:t>
      </w:r>
      <w:proofErr w:type="spellEnd"/>
      <w:r w:rsidRPr="005E4BEA">
        <w:rPr>
          <w:rFonts w:eastAsiaTheme="minorHAnsi" w:cs="Arial"/>
          <w:i/>
          <w:color w:val="808080" w:themeColor="background1" w:themeShade="80"/>
          <w:szCs w:val="20"/>
        </w:rPr>
        <w:t xml:space="preserve"> energije v steno dihalne poti prek posebne elektrode, kar ima za posledico zmanjšanje mase gladkih mišic v steni dihalne poti. Gladke mišice imajo ključno vlogo pri poslabšanjih astme. Z zdravljenjem dosežemo zmanjšanje poslabšanj astme, predvsem težjih poslabšanj astme, saj oslabljene gladke mišice zmorejo manj kontrakcije in vpliva na bronhialno steno prek mediatorjev.</w:t>
      </w:r>
    </w:p>
    <w:p w14:paraId="19EE8F3B"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Korist za bolnike se kaže prek izboljšane kvalitete življenja, manjše odsotnosti z dela, šolanja ali opuščanja dnevnih aktivnosti (66%), zmanjšanja obiskov urgence (84%), zmanjšanja hospitalizacij (73%) in zmanjšanja poslabšanj astme (32%).</w:t>
      </w:r>
    </w:p>
    <w:p w14:paraId="6FF983D3"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lastRenderedPageBreak/>
        <w:t xml:space="preserve">Poleg ekonomskih koristi, ki jih prinaša zgoraj opisano izboljšanje zdravja je zdravljenje z BT stroškovno učinkovitejše od trenutno že uvedenih novih tarčnih (bioloških) zdravil za astmo. V primerjavi s </w:t>
      </w:r>
      <w:proofErr w:type="spellStart"/>
      <w:r w:rsidRPr="005E4BEA">
        <w:rPr>
          <w:rFonts w:eastAsiaTheme="minorHAnsi" w:cs="Arial"/>
          <w:i/>
          <w:color w:val="808080" w:themeColor="background1" w:themeShade="80"/>
          <w:szCs w:val="20"/>
        </w:rPr>
        <w:t>Xolairjem</w:t>
      </w:r>
      <w:proofErr w:type="spellEnd"/>
      <w:r w:rsidRPr="005E4BEA">
        <w:rPr>
          <w:rFonts w:eastAsiaTheme="minorHAnsi" w:cs="Arial"/>
          <w:i/>
          <w:color w:val="808080" w:themeColor="background1" w:themeShade="80"/>
          <w:szCs w:val="20"/>
        </w:rPr>
        <w:t xml:space="preserve"> je v prvem letu zdravljenje z BT dražje, gledano daljše časovno obdobje pa bistveno cenejše, saj gre pri BT za enkratno zdravljenje s trajnim učinkom. Strošek elektrod, ki predstavlja večino stroška zdravljenja z BT, je primerljiv strošku dveh let zdravljenja z zdravilom </w:t>
      </w:r>
      <w:proofErr w:type="spellStart"/>
      <w:r w:rsidRPr="005E4BEA">
        <w:rPr>
          <w:rFonts w:eastAsiaTheme="minorHAnsi" w:cs="Arial"/>
          <w:i/>
          <w:color w:val="808080" w:themeColor="background1" w:themeShade="80"/>
          <w:szCs w:val="20"/>
        </w:rPr>
        <w:t>Xolair</w:t>
      </w:r>
      <w:proofErr w:type="spellEnd"/>
      <w:r w:rsidRPr="005E4BEA">
        <w:rPr>
          <w:rFonts w:eastAsiaTheme="minorHAnsi" w:cs="Arial"/>
          <w:i/>
          <w:color w:val="808080" w:themeColor="background1" w:themeShade="80"/>
          <w:szCs w:val="20"/>
        </w:rPr>
        <w:t>. Optimizira se tudi število  obiskov zdravstvene ustanove, kar tudi predstavlja pomembne prihranke zdravstveni blagajni.</w:t>
      </w:r>
    </w:p>
    <w:p w14:paraId="52433B19"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Glavni strošek posega za 10 bolnikov predstavlja strošek BT elektrode, in sicer 90.000 EUR  oz. 9.000 EUR na bolnika. Naš predlog je, da se nakup elektrod BT financira iz obveznega zdravstvenega zavarovanja in sicer le kot posebej zaračunljiv material, torej predvideno v višini 90.000 evrov letno. Stroške ostalega zdravstvenega materiala, stroške dela in oskrbe bolnika ob posegu se bodo pokrili preko obračuna SPP v okviru dosedanjega zdravstvenega programa.</w:t>
      </w:r>
    </w:p>
    <w:p w14:paraId="783F1B40" w14:textId="08632E7B"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Širša obrazložitev za Zdravljenje bolnikov s težko astmo s pomočjo bronhialne </w:t>
      </w:r>
      <w:proofErr w:type="spellStart"/>
      <w:r w:rsidRPr="005E4BEA">
        <w:rPr>
          <w:rFonts w:eastAsiaTheme="minorHAnsi" w:cs="Arial"/>
          <w:i/>
          <w:color w:val="808080" w:themeColor="background1" w:themeShade="80"/>
          <w:szCs w:val="20"/>
        </w:rPr>
        <w:t>termoplastike</w:t>
      </w:r>
      <w:proofErr w:type="spellEnd"/>
      <w:r w:rsidRPr="005E4BEA">
        <w:rPr>
          <w:rFonts w:eastAsiaTheme="minorHAnsi" w:cs="Arial"/>
          <w:i/>
          <w:color w:val="808080" w:themeColor="background1" w:themeShade="80"/>
          <w:szCs w:val="20"/>
        </w:rPr>
        <w:t xml:space="preserve"> (BT) – je v Priloga 1. </w:t>
      </w:r>
    </w:p>
    <w:p w14:paraId="5FFACE0B" w14:textId="77777777" w:rsidR="002D5F50" w:rsidRPr="005E4BEA" w:rsidRDefault="002D5F50" w:rsidP="002D5F50">
      <w:pPr>
        <w:jc w:val="both"/>
        <w:rPr>
          <w:rFonts w:eastAsiaTheme="minorHAnsi" w:cs="Arial"/>
          <w:i/>
          <w:color w:val="808080" w:themeColor="background1" w:themeShade="80"/>
          <w:szCs w:val="20"/>
        </w:rPr>
      </w:pPr>
    </w:p>
    <w:p w14:paraId="22CA2F4F" w14:textId="58059786"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Finančna ocena: 90.000 eur za 10 primerov na leto.</w:t>
      </w:r>
    </w:p>
    <w:p w14:paraId="6992C7B8" w14:textId="3F04C818" w:rsidR="002D5F50" w:rsidRPr="005E4BEA" w:rsidRDefault="002D5F50" w:rsidP="002D5F50">
      <w:pPr>
        <w:rPr>
          <w:rFonts w:eastAsiaTheme="minorHAnsi" w:cs="Arial"/>
          <w:b/>
          <w:bCs/>
          <w:i/>
          <w:color w:val="808080" w:themeColor="background1" w:themeShade="80"/>
          <w:szCs w:val="20"/>
          <w:u w:val="single"/>
        </w:rPr>
      </w:pPr>
    </w:p>
    <w:p w14:paraId="4FD3B2D3" w14:textId="1644E698" w:rsidR="002D5F50" w:rsidRPr="005E4BEA" w:rsidRDefault="002D5F50" w:rsidP="002D5F50">
      <w:pPr>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 točke 26:</w:t>
      </w:r>
    </w:p>
    <w:p w14:paraId="6C4F1F65" w14:textId="32745F27" w:rsidR="002D5F50" w:rsidRPr="005E4BEA" w:rsidRDefault="002D5F50" w:rsidP="002D5F50">
      <w:pPr>
        <w:rPr>
          <w:rFonts w:eastAsiaTheme="minorHAnsi" w:cs="Arial"/>
          <w:b/>
          <w:bCs/>
          <w:i/>
          <w:color w:val="808080" w:themeColor="background1" w:themeShade="80"/>
          <w:szCs w:val="20"/>
          <w:u w:val="single"/>
        </w:rPr>
      </w:pPr>
    </w:p>
    <w:p w14:paraId="3B8DC78B"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Obstoječ način obravnave bolnika s težko obliko obstruktivne bolezni pljuč oz. s problematičnim potekom dihalne poti poteka v dvodnevni do tridnevni hospitalizaciji, saj se pri pregledu bolnika, dokumentacije in ambulantnih preiskav ugotovi, da je celotno diagnostiko, testiranje primernosti MP na domu (inhalacijski pripomočki, TZKD in podobno), pouk o bolezni in uporabi pripomočkov, meritev telesne sestave in nasvet kliničnega dietetika, ocena telesne zmogljivosti in opredelitev primernosti in potrebe po rehabilitaciji, psihološko mnenje, nasvet fizioterapevta (glede dihalnih vaj, fizične aktivnosti), primernost za biološko ali drugo tarčno terapijo/intervencijo ter </w:t>
      </w:r>
      <w:proofErr w:type="spellStart"/>
      <w:r w:rsidRPr="005E4BEA">
        <w:rPr>
          <w:rFonts w:eastAsiaTheme="minorHAnsi" w:cs="Arial"/>
          <w:i/>
          <w:color w:val="808080" w:themeColor="background1" w:themeShade="80"/>
          <w:szCs w:val="20"/>
        </w:rPr>
        <w:t>farmakoterapevtski</w:t>
      </w:r>
      <w:proofErr w:type="spellEnd"/>
      <w:r w:rsidRPr="005E4BEA">
        <w:rPr>
          <w:rFonts w:eastAsiaTheme="minorHAnsi" w:cs="Arial"/>
          <w:i/>
          <w:color w:val="808080" w:themeColor="background1" w:themeShade="80"/>
          <w:szCs w:val="20"/>
        </w:rPr>
        <w:t xml:space="preserve"> pregled v sklopu ambulante nemogoče opraviti. </w:t>
      </w:r>
    </w:p>
    <w:p w14:paraId="492CFD62"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Ker mora pacient več dni bivati v bolnišnici, to pomeni tudi nekaj dnevno odsotnost v službi, se neradi odločajo za zdravljenje in posledično pride zaradi poslabšanja zdravstvenega stanja do urgentne hospitalizacije na intenzivnem oddelku. V ta namen bi z uvedbo MDO bolnika v sklopu multidisciplinarnega tima  optimizirali obravnavo na en dan za 180 pacientov s tem pa nočitve pacientov ne bi bile več potrebne. Obravnava bolnika se zaključi na dan obravnave s posvetom vseh članov MDT, mnenja posameznih članov so zavedena v bolnikovi dokumentaciji. Enodnevna obravnava pomeni tudi boljšo stroškovno učinkovitost, manj odsotnosti od dela in optimizirano celostno obravnavo bolnika. Zaradi kompleksnosti bolezenskih stanj vse bolnike ni mogoče obravnavati na tak način zaradi tega bo za 40 % bolnikov še vedno potrebna večdnevna hospitalizacija.</w:t>
      </w:r>
    </w:p>
    <w:p w14:paraId="5E0162EE"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MDO poteka na eni lokaciji, kjer se nahaja bolnik in se bolnika  za postopke obravnave ne premešča med enotami ali ustanovami. V sklopu MDO sodelujejo: zdravnik, DMS, respiratorni fizioterapevt, klinični farmacevt, dietetik in klinični psiholog. Na posvetu po potrebi sodelujeta tudi torakalni radiolog in interventni pulmolog. V sklopu obravnave se opravi vrsta funkcionalne in laboratorijske diagnostike, ki je del klinične poti.  Ocena celotnega števila obravnavanih bolnikov je 180 na leto.</w:t>
      </w:r>
    </w:p>
    <w:p w14:paraId="763D257D" w14:textId="77777777"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S tovrstno terciarno obravnavo se sproščajo posteljne kapacitete za obravnave bolnikov z rakom pljuč, KOPB, CF, sindromom nočne </w:t>
      </w:r>
      <w:proofErr w:type="spellStart"/>
      <w:r w:rsidRPr="005E4BEA">
        <w:rPr>
          <w:rFonts w:eastAsiaTheme="minorHAnsi" w:cs="Arial"/>
          <w:i/>
          <w:color w:val="808080" w:themeColor="background1" w:themeShade="80"/>
          <w:szCs w:val="20"/>
        </w:rPr>
        <w:t>hipoventilacije</w:t>
      </w:r>
      <w:proofErr w:type="spellEnd"/>
      <w:r w:rsidRPr="005E4BEA">
        <w:rPr>
          <w:rFonts w:eastAsiaTheme="minorHAnsi" w:cs="Arial"/>
          <w:i/>
          <w:color w:val="808080" w:themeColor="background1" w:themeShade="80"/>
          <w:szCs w:val="20"/>
        </w:rPr>
        <w:t xml:space="preserve"> ter akutno </w:t>
      </w:r>
      <w:proofErr w:type="spellStart"/>
      <w:r w:rsidRPr="005E4BEA">
        <w:rPr>
          <w:rFonts w:eastAsiaTheme="minorHAnsi" w:cs="Arial"/>
          <w:i/>
          <w:color w:val="808080" w:themeColor="background1" w:themeShade="80"/>
          <w:szCs w:val="20"/>
        </w:rPr>
        <w:t>hiperkapnično</w:t>
      </w:r>
      <w:proofErr w:type="spellEnd"/>
      <w:r w:rsidRPr="005E4BEA">
        <w:rPr>
          <w:rFonts w:eastAsiaTheme="minorHAnsi" w:cs="Arial"/>
          <w:i/>
          <w:color w:val="808080" w:themeColor="background1" w:themeShade="80"/>
          <w:szCs w:val="20"/>
        </w:rPr>
        <w:t xml:space="preserve"> odpovedjo …  </w:t>
      </w:r>
    </w:p>
    <w:p w14:paraId="35731F94" w14:textId="22D4353B" w:rsidR="002D5F50" w:rsidRPr="005E4BEA" w:rsidRDefault="002D5F50" w:rsidP="002D5F5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Finančna ocena: 268.527 eur za 180 primerov na leto.</w:t>
      </w:r>
    </w:p>
    <w:p w14:paraId="357D09ED" w14:textId="18F28E56" w:rsidR="002D5F50" w:rsidRPr="005E4BEA" w:rsidRDefault="002D5F50" w:rsidP="002D5F50">
      <w:pPr>
        <w:rPr>
          <w:rFonts w:eastAsiaTheme="minorHAnsi" w:cs="Arial"/>
          <w:b/>
          <w:bCs/>
          <w:i/>
          <w:color w:val="808080" w:themeColor="background1" w:themeShade="80"/>
          <w:szCs w:val="20"/>
          <w:u w:val="single"/>
        </w:rPr>
      </w:pPr>
    </w:p>
    <w:p w14:paraId="5A0DEB61" w14:textId="77777777" w:rsidR="002D5F50" w:rsidRPr="005E4BEA" w:rsidRDefault="002D5F50" w:rsidP="002D5F50">
      <w:pPr>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 točk 27 do 31:</w:t>
      </w:r>
    </w:p>
    <w:p w14:paraId="2C4B266D" w14:textId="77777777" w:rsidR="002D5F50" w:rsidRPr="005E4BEA" w:rsidRDefault="002D5F50" w:rsidP="002D5F50">
      <w:pPr>
        <w:rPr>
          <w:rFonts w:eastAsiaTheme="minorHAnsi" w:cs="Arial"/>
          <w:b/>
          <w:bCs/>
          <w:i/>
          <w:color w:val="808080" w:themeColor="background1" w:themeShade="80"/>
          <w:szCs w:val="20"/>
          <w:u w:val="single"/>
        </w:rPr>
      </w:pPr>
    </w:p>
    <w:p w14:paraId="3BA81BCD" w14:textId="77777777" w:rsidR="008F1BAE" w:rsidRPr="005E4BEA" w:rsidRDefault="008F1BAE" w:rsidP="008F1BAE">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začetku leta 2022 je bilo ministrstvo s strani vodstva SB NM obveščeno o odpovedi 2 specialistk pediatrije in napovedjo še ene dodatne (vse so odšle na primarni nivo), od skupaj 6, kar vitalno ogroža obstoj Otroškega oddelka in posledično tudi porodnišnice. Kot glavni razlog so bile navedene velike obremenitve v času dežurne službe. Poleg dela na oddelku (25 bolniških postelj), </w:t>
      </w:r>
      <w:r w:rsidRPr="005E4BEA">
        <w:rPr>
          <w:rFonts w:eastAsiaTheme="minorHAnsi" w:cs="Arial"/>
          <w:i/>
          <w:color w:val="808080" w:themeColor="background1" w:themeShade="80"/>
          <w:szCs w:val="20"/>
        </w:rPr>
        <w:lastRenderedPageBreak/>
        <w:t xml:space="preserve">so morale zagotavljati še obravnavo otrok v okviru Urgentnega centra in oskrbo novorojenčkov v porodnišnici (več kot 1.300 porodov letno, s tendenco naraščanja). Vodstvo bolnišnice in Urgentnega centra je predlagalo </w:t>
      </w:r>
      <w:bookmarkStart w:id="63" w:name="_Hlk103069727"/>
      <w:r w:rsidRPr="005E4BEA">
        <w:rPr>
          <w:rFonts w:eastAsiaTheme="minorHAnsi" w:cs="Arial"/>
          <w:i/>
          <w:color w:val="808080" w:themeColor="background1" w:themeShade="80"/>
          <w:szCs w:val="20"/>
        </w:rPr>
        <w:t>vzpostavitev Pediatričnega urgentnega centra (PUC), kamor pa bi se vključevali tudi pediatri primernega nivoja v regiji. S tem bi, v času delovanja te oblike organizacije, razbremenili pediatra na oddelku.</w:t>
      </w:r>
    </w:p>
    <w:bookmarkEnd w:id="63"/>
    <w:p w14:paraId="3B3F64FC" w14:textId="77777777" w:rsidR="008F1BAE" w:rsidRPr="005E4BEA" w:rsidRDefault="008F1BAE" w:rsidP="008F1BAE">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Ministrstvo je pridobilo podatke o številu obravnav v Urgentnem centru za zadnje 3 leta – povprečje 7.179 obravnav letno, obseg pogodbenih programov pediatrije v regiji (4 zdravstveni domovi: ZD NM, ZD Črnomelj, ZD Trebnje in ZD Metlika in 1 koncesionar) – skupaj 17,9 tima, analizo napotitev v urgentni center iz posameznih občin v regiji. Izdelan je predlog organiziranja PUC za celotno regijo – delovniki med 15.00 in 21.00 uro in vikendi in prazniki 7.00 – 19.00 in delitev med posamezne zdravstvene domove (upoštevan obseg pogodbenega programa in število napotitev v urgentni enter iz posameznih občin). Predlog je bil predstavljen na skupnem sestanku vodstev bolnišnice in 4 ZD v regiji in je bil podprt. Začetek dela po novi organizaciji je predviden s 1.6.2022, pred tem bo še skupna predstavitev javnosti v NM.</w:t>
      </w:r>
    </w:p>
    <w:p w14:paraId="0DD55538" w14:textId="0A11E567" w:rsidR="002E2CF3" w:rsidRPr="005E4BEA" w:rsidRDefault="008F1BAE" w:rsidP="008F1BAE">
      <w:pPr>
        <w:spacing w:line="240" w:lineRule="auto"/>
        <w:jc w:val="both"/>
        <w:rPr>
          <w:rFonts w:eastAsia="Arial Narrow" w:cs="Arial"/>
          <w:b/>
          <w:szCs w:val="20"/>
        </w:rPr>
      </w:pPr>
      <w:r w:rsidRPr="005E4BEA">
        <w:rPr>
          <w:rFonts w:eastAsiaTheme="minorHAnsi" w:cs="Arial"/>
          <w:i/>
          <w:color w:val="808080" w:themeColor="background1" w:themeShade="80"/>
          <w:szCs w:val="20"/>
        </w:rPr>
        <w:t>Poleg tega pa je ministrstvo pristopilo k iskanju pediatrov za vključevanje v dežurno službo na Otroškem oddelku (oba UKC).</w:t>
      </w:r>
    </w:p>
    <w:bookmarkEnd w:id="57"/>
    <w:p w14:paraId="5C5AAC9F" w14:textId="77777777" w:rsidR="002E2CF3" w:rsidRPr="005E4BEA" w:rsidRDefault="002E2CF3" w:rsidP="0099737B">
      <w:pPr>
        <w:spacing w:line="240" w:lineRule="auto"/>
        <w:jc w:val="both"/>
        <w:rPr>
          <w:rFonts w:eastAsia="Arial Narrow" w:cs="Arial"/>
          <w:b/>
          <w:szCs w:val="20"/>
        </w:rPr>
      </w:pPr>
    </w:p>
    <w:p w14:paraId="7A8C3B02" w14:textId="4C33052F" w:rsidR="0099737B" w:rsidRPr="005E4BEA" w:rsidRDefault="00A87F6B" w:rsidP="0099737B">
      <w:pPr>
        <w:spacing w:line="240" w:lineRule="auto"/>
        <w:jc w:val="both"/>
        <w:rPr>
          <w:rFonts w:eastAsia="MS Mincho"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64" w:name="_Hlk102644620"/>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se</w:t>
      </w:r>
      <w:r w:rsidR="0099737B" w:rsidRPr="005E4BEA">
        <w:rPr>
          <w:rFonts w:eastAsia="Arial Narrow" w:cs="Arial"/>
          <w:szCs w:val="20"/>
        </w:rPr>
        <w:t xml:space="preserve"> </w:t>
      </w:r>
      <w:proofErr w:type="spellStart"/>
      <w:r w:rsidR="0099737B" w:rsidRPr="005E4BEA">
        <w:rPr>
          <w:rFonts w:eastAsia="Arial Narrow" w:cs="Arial"/>
          <w:szCs w:val="20"/>
        </w:rPr>
        <w:t>se</w:t>
      </w:r>
      <w:proofErr w:type="spellEnd"/>
      <w:r w:rsidR="0099737B" w:rsidRPr="005E4BEA">
        <w:rPr>
          <w:rFonts w:eastAsia="Arial Narrow" w:cs="Arial"/>
          <w:szCs w:val="20"/>
        </w:rPr>
        <w:t xml:space="preserve"> </w:t>
      </w:r>
      <w:r w:rsidR="0099737B" w:rsidRPr="005E4BEA">
        <w:rPr>
          <w:rFonts w:cs="Arial"/>
          <w:szCs w:val="20"/>
        </w:rPr>
        <w:t xml:space="preserve">v </w:t>
      </w:r>
      <w:r w:rsidR="0099737B" w:rsidRPr="005E4BEA">
        <w:rPr>
          <w:rFonts w:eastAsia="MS Mincho" w:cs="Arial"/>
          <w:szCs w:val="20"/>
        </w:rPr>
        <w:t>24. členu v šestem odstavku v tabeli dodajo nove vrstice za nujne širitve programov oziroma uvajanje novih terapij:</w:t>
      </w:r>
    </w:p>
    <w:p w14:paraId="70C0C751" w14:textId="77777777" w:rsidR="0099737B" w:rsidRPr="005E4BEA" w:rsidRDefault="0099737B" w:rsidP="0099737B">
      <w:pPr>
        <w:spacing w:line="240" w:lineRule="auto"/>
        <w:jc w:val="both"/>
        <w:rPr>
          <w:rFonts w:eastAsia="MS Mincho" w:cs="Arial"/>
          <w:szCs w:val="20"/>
        </w:rPr>
      </w:pPr>
    </w:p>
    <w:tbl>
      <w:tblPr>
        <w:tblW w:w="9420" w:type="dxa"/>
        <w:tblCellMar>
          <w:left w:w="70" w:type="dxa"/>
          <w:right w:w="70" w:type="dxa"/>
        </w:tblCellMar>
        <w:tblLook w:val="04A0" w:firstRow="1" w:lastRow="0" w:firstColumn="1" w:lastColumn="0" w:noHBand="0" w:noVBand="1"/>
      </w:tblPr>
      <w:tblGrid>
        <w:gridCol w:w="960"/>
        <w:gridCol w:w="2340"/>
        <w:gridCol w:w="1820"/>
        <w:gridCol w:w="1340"/>
        <w:gridCol w:w="1420"/>
        <w:gridCol w:w="1540"/>
      </w:tblGrid>
      <w:tr w:rsidR="00944C8E" w:rsidRPr="00944C8E" w14:paraId="0F414AAB" w14:textId="77777777" w:rsidTr="00F4040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6244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AA75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   r   o   g   r   a   m</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FF3600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I z v a j a l e c /</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7735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Obseg programa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6D17E90"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Dod</w:t>
            </w:r>
            <w:proofErr w:type="spellEnd"/>
            <w:r w:rsidRPr="00944C8E">
              <w:rPr>
                <w:rFonts w:cs="Arial"/>
                <w:color w:val="000000"/>
                <w:szCs w:val="20"/>
                <w:lang w:eastAsia="sl-SI"/>
              </w:rPr>
              <w:t>. sred.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DF15B1D"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Dod</w:t>
            </w:r>
            <w:proofErr w:type="spellEnd"/>
            <w:r w:rsidRPr="00944C8E">
              <w:rPr>
                <w:rFonts w:cs="Arial"/>
                <w:color w:val="000000"/>
                <w:szCs w:val="20"/>
                <w:lang w:eastAsia="sl-SI"/>
              </w:rPr>
              <w:t>. sred.</w:t>
            </w:r>
          </w:p>
        </w:tc>
      </w:tr>
      <w:tr w:rsidR="00944C8E" w:rsidRPr="00944C8E" w14:paraId="290EECBF"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DA418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E100BB2" w14:textId="77777777" w:rsidR="00944C8E" w:rsidRPr="00944C8E" w:rsidRDefault="00944C8E" w:rsidP="00F40403">
            <w:pPr>
              <w:spacing w:line="240" w:lineRule="auto"/>
              <w:rPr>
                <w:rFonts w:cs="Arial"/>
                <w:color w:val="000000"/>
                <w:szCs w:val="20"/>
                <w:lang w:eastAsia="sl-SI"/>
              </w:rPr>
            </w:pPr>
          </w:p>
        </w:tc>
        <w:tc>
          <w:tcPr>
            <w:tcW w:w="1820" w:type="dxa"/>
            <w:tcBorders>
              <w:top w:val="nil"/>
              <w:left w:val="nil"/>
              <w:bottom w:val="single" w:sz="4" w:space="0" w:color="auto"/>
              <w:right w:val="single" w:sz="4" w:space="0" w:color="auto"/>
            </w:tcBorders>
            <w:shd w:val="clear" w:color="auto" w:fill="auto"/>
            <w:vAlign w:val="center"/>
            <w:hideMark/>
          </w:tcPr>
          <w:p w14:paraId="189D5B9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i z p o s t a v a</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7D09FD4" w14:textId="77777777" w:rsidR="00944C8E" w:rsidRPr="00944C8E" w:rsidRDefault="00944C8E" w:rsidP="00F40403">
            <w:pPr>
              <w:spacing w:line="240" w:lineRule="auto"/>
              <w:rPr>
                <w:rFonts w:cs="Arial"/>
                <w:color w:val="000000"/>
                <w:szCs w:val="20"/>
                <w:lang w:eastAsia="sl-SI"/>
              </w:rPr>
            </w:pPr>
          </w:p>
        </w:tc>
        <w:tc>
          <w:tcPr>
            <w:tcW w:w="1420" w:type="dxa"/>
            <w:tcBorders>
              <w:top w:val="nil"/>
              <w:left w:val="nil"/>
              <w:bottom w:val="single" w:sz="4" w:space="0" w:color="auto"/>
              <w:right w:val="single" w:sz="4" w:space="0" w:color="auto"/>
            </w:tcBorders>
            <w:shd w:val="clear" w:color="auto" w:fill="auto"/>
            <w:vAlign w:val="center"/>
            <w:hideMark/>
          </w:tcPr>
          <w:p w14:paraId="4990634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na letni ravni</w:t>
            </w:r>
          </w:p>
        </w:tc>
        <w:tc>
          <w:tcPr>
            <w:tcW w:w="1540" w:type="dxa"/>
            <w:tcBorders>
              <w:top w:val="nil"/>
              <w:left w:val="nil"/>
              <w:bottom w:val="single" w:sz="4" w:space="0" w:color="auto"/>
              <w:right w:val="single" w:sz="4" w:space="0" w:color="auto"/>
            </w:tcBorders>
            <w:shd w:val="clear" w:color="auto" w:fill="auto"/>
            <w:vAlign w:val="center"/>
            <w:hideMark/>
          </w:tcPr>
          <w:p w14:paraId="433D7DC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1.6.–31.12. 2022</w:t>
            </w:r>
          </w:p>
        </w:tc>
      </w:tr>
      <w:tr w:rsidR="00944C8E" w:rsidRPr="00944C8E" w14:paraId="4A440BBC" w14:textId="77777777" w:rsidTr="00F4040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D30B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75634B80" w14:textId="77777777" w:rsidR="00944C8E" w:rsidRPr="00944C8E" w:rsidRDefault="00944C8E" w:rsidP="00F40403">
            <w:pPr>
              <w:spacing w:line="240" w:lineRule="auto"/>
              <w:rPr>
                <w:rFonts w:cs="Arial"/>
                <w:color w:val="000000"/>
                <w:szCs w:val="20"/>
                <w:lang w:eastAsia="sl-SI"/>
              </w:rPr>
            </w:pPr>
          </w:p>
        </w:tc>
        <w:tc>
          <w:tcPr>
            <w:tcW w:w="1820" w:type="dxa"/>
            <w:tcBorders>
              <w:top w:val="nil"/>
              <w:left w:val="nil"/>
              <w:bottom w:val="single" w:sz="4" w:space="0" w:color="auto"/>
              <w:right w:val="single" w:sz="4" w:space="0" w:color="auto"/>
            </w:tcBorders>
            <w:shd w:val="clear" w:color="auto" w:fill="auto"/>
            <w:vAlign w:val="center"/>
            <w:hideMark/>
          </w:tcPr>
          <w:p w14:paraId="7D5457F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 </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27BFC9A5" w14:textId="77777777" w:rsidR="00944C8E" w:rsidRPr="00944C8E" w:rsidRDefault="00944C8E" w:rsidP="00F40403">
            <w:pPr>
              <w:spacing w:line="240" w:lineRule="auto"/>
              <w:rPr>
                <w:rFonts w:cs="Arial"/>
                <w:color w:val="000000"/>
                <w:szCs w:val="20"/>
                <w:lang w:eastAsia="sl-SI"/>
              </w:rPr>
            </w:pPr>
          </w:p>
        </w:tc>
        <w:tc>
          <w:tcPr>
            <w:tcW w:w="1420" w:type="dxa"/>
            <w:tcBorders>
              <w:top w:val="nil"/>
              <w:left w:val="nil"/>
              <w:bottom w:val="single" w:sz="4" w:space="0" w:color="auto"/>
              <w:right w:val="single" w:sz="4" w:space="0" w:color="auto"/>
            </w:tcBorders>
            <w:shd w:val="clear" w:color="auto" w:fill="auto"/>
            <w:vAlign w:val="center"/>
            <w:hideMark/>
          </w:tcPr>
          <w:p w14:paraId="03A77ED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(v EUR)</w:t>
            </w:r>
          </w:p>
        </w:tc>
        <w:tc>
          <w:tcPr>
            <w:tcW w:w="1540" w:type="dxa"/>
            <w:tcBorders>
              <w:top w:val="nil"/>
              <w:left w:val="nil"/>
              <w:bottom w:val="single" w:sz="4" w:space="0" w:color="auto"/>
              <w:right w:val="single" w:sz="4" w:space="0" w:color="auto"/>
            </w:tcBorders>
            <w:shd w:val="clear" w:color="auto" w:fill="auto"/>
            <w:vAlign w:val="center"/>
            <w:hideMark/>
          </w:tcPr>
          <w:p w14:paraId="4BBA6F1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(v EUR)</w:t>
            </w:r>
          </w:p>
        </w:tc>
      </w:tr>
      <w:tr w:rsidR="00944C8E" w:rsidRPr="00944C8E" w14:paraId="313051D7"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83115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w:t>
            </w:r>
          </w:p>
        </w:tc>
        <w:tc>
          <w:tcPr>
            <w:tcW w:w="2340" w:type="dxa"/>
            <w:tcBorders>
              <w:top w:val="nil"/>
              <w:left w:val="nil"/>
              <w:bottom w:val="single" w:sz="4" w:space="0" w:color="auto"/>
              <w:right w:val="single" w:sz="4" w:space="0" w:color="auto"/>
            </w:tcBorders>
            <w:shd w:val="clear" w:color="auto" w:fill="auto"/>
            <w:vAlign w:val="center"/>
            <w:hideMark/>
          </w:tcPr>
          <w:p w14:paraId="523D6C4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338 024 NMP HELIKOPTER (zdravnik GRS) *     od 1.1.2022</w:t>
            </w:r>
          </w:p>
        </w:tc>
        <w:tc>
          <w:tcPr>
            <w:tcW w:w="1820" w:type="dxa"/>
            <w:tcBorders>
              <w:top w:val="nil"/>
              <w:left w:val="nil"/>
              <w:bottom w:val="single" w:sz="4" w:space="0" w:color="auto"/>
              <w:right w:val="single" w:sz="4" w:space="0" w:color="auto"/>
            </w:tcBorders>
            <w:shd w:val="clear" w:color="auto" w:fill="auto"/>
            <w:vAlign w:val="center"/>
            <w:hideMark/>
          </w:tcPr>
          <w:p w14:paraId="1970D88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OZG ZD Kranj</w:t>
            </w:r>
          </w:p>
        </w:tc>
        <w:tc>
          <w:tcPr>
            <w:tcW w:w="1340" w:type="dxa"/>
            <w:tcBorders>
              <w:top w:val="nil"/>
              <w:left w:val="nil"/>
              <w:bottom w:val="single" w:sz="4" w:space="0" w:color="auto"/>
              <w:right w:val="single" w:sz="4" w:space="0" w:color="auto"/>
            </w:tcBorders>
            <w:shd w:val="clear" w:color="auto" w:fill="auto"/>
            <w:vAlign w:val="center"/>
            <w:hideMark/>
          </w:tcPr>
          <w:p w14:paraId="192FBE5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0,43 tima</w:t>
            </w:r>
          </w:p>
        </w:tc>
        <w:tc>
          <w:tcPr>
            <w:tcW w:w="1420" w:type="dxa"/>
            <w:tcBorders>
              <w:top w:val="nil"/>
              <w:left w:val="nil"/>
              <w:bottom w:val="single" w:sz="4" w:space="0" w:color="auto"/>
              <w:right w:val="single" w:sz="4" w:space="0" w:color="auto"/>
            </w:tcBorders>
            <w:shd w:val="clear" w:color="auto" w:fill="auto"/>
            <w:vAlign w:val="center"/>
            <w:hideMark/>
          </w:tcPr>
          <w:p w14:paraId="57A5B66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41.910</w:t>
            </w:r>
          </w:p>
        </w:tc>
        <w:tc>
          <w:tcPr>
            <w:tcW w:w="1540" w:type="dxa"/>
            <w:tcBorders>
              <w:top w:val="nil"/>
              <w:left w:val="nil"/>
              <w:bottom w:val="single" w:sz="4" w:space="0" w:color="auto"/>
              <w:right w:val="single" w:sz="4" w:space="0" w:color="auto"/>
            </w:tcBorders>
            <w:shd w:val="clear" w:color="auto" w:fill="auto"/>
            <w:vAlign w:val="center"/>
            <w:hideMark/>
          </w:tcPr>
          <w:p w14:paraId="0B54042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41.910</w:t>
            </w:r>
          </w:p>
        </w:tc>
      </w:tr>
      <w:tr w:rsidR="00944C8E" w:rsidRPr="00944C8E" w14:paraId="18701197" w14:textId="77777777" w:rsidTr="00F40403">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C080B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w:t>
            </w:r>
          </w:p>
        </w:tc>
        <w:tc>
          <w:tcPr>
            <w:tcW w:w="2340" w:type="dxa"/>
            <w:tcBorders>
              <w:top w:val="nil"/>
              <w:left w:val="nil"/>
              <w:bottom w:val="single" w:sz="4" w:space="0" w:color="auto"/>
              <w:right w:val="single" w:sz="4" w:space="0" w:color="auto"/>
            </w:tcBorders>
            <w:shd w:val="clear" w:color="auto" w:fill="auto"/>
            <w:vAlign w:val="center"/>
            <w:hideMark/>
          </w:tcPr>
          <w:p w14:paraId="6517D87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401 110 </w:t>
            </w:r>
            <w:proofErr w:type="spellStart"/>
            <w:r w:rsidRPr="00944C8E">
              <w:rPr>
                <w:rFonts w:cs="Arial"/>
                <w:color w:val="000000"/>
                <w:szCs w:val="20"/>
                <w:lang w:eastAsia="sl-SI"/>
              </w:rPr>
              <w:t>Ortodontija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5ED8D04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Trbovlje</w:t>
            </w:r>
          </w:p>
        </w:tc>
        <w:tc>
          <w:tcPr>
            <w:tcW w:w="1340" w:type="dxa"/>
            <w:tcBorders>
              <w:top w:val="nil"/>
              <w:left w:val="nil"/>
              <w:bottom w:val="single" w:sz="4" w:space="0" w:color="auto"/>
              <w:right w:val="single" w:sz="4" w:space="0" w:color="auto"/>
            </w:tcBorders>
            <w:shd w:val="clear" w:color="auto" w:fill="auto"/>
            <w:vAlign w:val="center"/>
            <w:hideMark/>
          </w:tcPr>
          <w:p w14:paraId="3EBA4B3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0,44 tima</w:t>
            </w:r>
          </w:p>
        </w:tc>
        <w:tc>
          <w:tcPr>
            <w:tcW w:w="1420" w:type="dxa"/>
            <w:tcBorders>
              <w:top w:val="nil"/>
              <w:left w:val="nil"/>
              <w:bottom w:val="single" w:sz="4" w:space="0" w:color="auto"/>
              <w:right w:val="single" w:sz="4" w:space="0" w:color="auto"/>
            </w:tcBorders>
            <w:shd w:val="clear" w:color="auto" w:fill="auto"/>
            <w:vAlign w:val="center"/>
            <w:hideMark/>
          </w:tcPr>
          <w:p w14:paraId="0BE3812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72.290</w:t>
            </w:r>
          </w:p>
        </w:tc>
        <w:tc>
          <w:tcPr>
            <w:tcW w:w="1540" w:type="dxa"/>
            <w:tcBorders>
              <w:top w:val="nil"/>
              <w:left w:val="nil"/>
              <w:bottom w:val="single" w:sz="4" w:space="0" w:color="auto"/>
              <w:right w:val="single" w:sz="4" w:space="0" w:color="auto"/>
            </w:tcBorders>
            <w:shd w:val="clear" w:color="auto" w:fill="auto"/>
            <w:vAlign w:val="center"/>
            <w:hideMark/>
          </w:tcPr>
          <w:p w14:paraId="31DD78C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42.169</w:t>
            </w:r>
          </w:p>
        </w:tc>
      </w:tr>
      <w:tr w:rsidR="00944C8E" w:rsidRPr="00944C8E" w14:paraId="2DFD6D58" w14:textId="77777777" w:rsidTr="00F4040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5F7B6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w:t>
            </w:r>
          </w:p>
        </w:tc>
        <w:tc>
          <w:tcPr>
            <w:tcW w:w="2340" w:type="dxa"/>
            <w:tcBorders>
              <w:top w:val="nil"/>
              <w:left w:val="nil"/>
              <w:bottom w:val="single" w:sz="4" w:space="0" w:color="auto"/>
              <w:right w:val="single" w:sz="4" w:space="0" w:color="auto"/>
            </w:tcBorders>
            <w:shd w:val="clear" w:color="auto" w:fill="auto"/>
            <w:vAlign w:val="center"/>
            <w:hideMark/>
          </w:tcPr>
          <w:p w14:paraId="500E55C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NRV </w:t>
            </w:r>
          </w:p>
        </w:tc>
        <w:tc>
          <w:tcPr>
            <w:tcW w:w="1820" w:type="dxa"/>
            <w:tcBorders>
              <w:top w:val="nil"/>
              <w:left w:val="nil"/>
              <w:bottom w:val="single" w:sz="4" w:space="0" w:color="auto"/>
              <w:right w:val="single" w:sz="4" w:space="0" w:color="auto"/>
            </w:tcBorders>
            <w:shd w:val="clear" w:color="auto" w:fill="auto"/>
            <w:vAlign w:val="center"/>
            <w:hideMark/>
          </w:tcPr>
          <w:p w14:paraId="50FD2C4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Litija</w:t>
            </w:r>
          </w:p>
        </w:tc>
        <w:tc>
          <w:tcPr>
            <w:tcW w:w="1340" w:type="dxa"/>
            <w:tcBorders>
              <w:top w:val="nil"/>
              <w:left w:val="nil"/>
              <w:bottom w:val="single" w:sz="4" w:space="0" w:color="auto"/>
              <w:right w:val="single" w:sz="4" w:space="0" w:color="auto"/>
            </w:tcBorders>
            <w:shd w:val="clear" w:color="auto" w:fill="auto"/>
            <w:vAlign w:val="center"/>
            <w:hideMark/>
          </w:tcPr>
          <w:p w14:paraId="1B976A3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0,2 tima</w:t>
            </w:r>
          </w:p>
        </w:tc>
        <w:tc>
          <w:tcPr>
            <w:tcW w:w="1420" w:type="dxa"/>
            <w:tcBorders>
              <w:top w:val="nil"/>
              <w:left w:val="nil"/>
              <w:bottom w:val="single" w:sz="4" w:space="0" w:color="auto"/>
              <w:right w:val="single" w:sz="4" w:space="0" w:color="auto"/>
            </w:tcBorders>
            <w:shd w:val="clear" w:color="auto" w:fill="auto"/>
            <w:vAlign w:val="center"/>
            <w:hideMark/>
          </w:tcPr>
          <w:p w14:paraId="1AD3A1F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16.498,00</w:t>
            </w:r>
          </w:p>
        </w:tc>
        <w:tc>
          <w:tcPr>
            <w:tcW w:w="1540" w:type="dxa"/>
            <w:tcBorders>
              <w:top w:val="nil"/>
              <w:left w:val="nil"/>
              <w:bottom w:val="single" w:sz="4" w:space="0" w:color="auto"/>
              <w:right w:val="single" w:sz="4" w:space="0" w:color="auto"/>
            </w:tcBorders>
            <w:shd w:val="clear" w:color="auto" w:fill="auto"/>
            <w:vAlign w:val="center"/>
            <w:hideMark/>
          </w:tcPr>
          <w:p w14:paraId="43F8771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9.624</w:t>
            </w:r>
          </w:p>
        </w:tc>
      </w:tr>
      <w:tr w:rsidR="00944C8E" w:rsidRPr="00944C8E" w14:paraId="4F5787E8" w14:textId="77777777" w:rsidTr="00F40403">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58A77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4</w:t>
            </w:r>
          </w:p>
        </w:tc>
        <w:tc>
          <w:tcPr>
            <w:tcW w:w="2340" w:type="dxa"/>
            <w:tcBorders>
              <w:top w:val="nil"/>
              <w:left w:val="nil"/>
              <w:bottom w:val="single" w:sz="4" w:space="0" w:color="auto"/>
              <w:right w:val="single" w:sz="4" w:space="0" w:color="auto"/>
            </w:tcBorders>
            <w:shd w:val="clear" w:color="auto" w:fill="auto"/>
            <w:vAlign w:val="center"/>
            <w:hideMark/>
          </w:tcPr>
          <w:p w14:paraId="5A1CE8DA"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Artroskopska</w:t>
            </w:r>
            <w:proofErr w:type="spellEnd"/>
            <w:r w:rsidRPr="00944C8E">
              <w:rPr>
                <w:rFonts w:cs="Arial"/>
                <w:color w:val="000000"/>
                <w:szCs w:val="20"/>
                <w:lang w:eastAsia="sl-SI"/>
              </w:rPr>
              <w:t xml:space="preserve"> operacija kolena</w:t>
            </w:r>
          </w:p>
        </w:tc>
        <w:tc>
          <w:tcPr>
            <w:tcW w:w="1820" w:type="dxa"/>
            <w:tcBorders>
              <w:top w:val="nil"/>
              <w:left w:val="nil"/>
              <w:bottom w:val="single" w:sz="4" w:space="0" w:color="auto"/>
              <w:right w:val="single" w:sz="4" w:space="0" w:color="auto"/>
            </w:tcBorders>
            <w:shd w:val="clear" w:color="auto" w:fill="auto"/>
            <w:vAlign w:val="center"/>
            <w:hideMark/>
          </w:tcPr>
          <w:p w14:paraId="221DD9A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ARBOR MEA d.o.o.</w:t>
            </w:r>
          </w:p>
        </w:tc>
        <w:tc>
          <w:tcPr>
            <w:tcW w:w="1340" w:type="dxa"/>
            <w:tcBorders>
              <w:top w:val="nil"/>
              <w:left w:val="nil"/>
              <w:bottom w:val="single" w:sz="4" w:space="0" w:color="auto"/>
              <w:right w:val="single" w:sz="4" w:space="0" w:color="auto"/>
            </w:tcBorders>
            <w:shd w:val="clear" w:color="auto" w:fill="auto"/>
            <w:vAlign w:val="center"/>
            <w:hideMark/>
          </w:tcPr>
          <w:p w14:paraId="6E328E3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100 uteži</w:t>
            </w:r>
          </w:p>
        </w:tc>
        <w:tc>
          <w:tcPr>
            <w:tcW w:w="1420" w:type="dxa"/>
            <w:tcBorders>
              <w:top w:val="nil"/>
              <w:left w:val="nil"/>
              <w:bottom w:val="single" w:sz="4" w:space="0" w:color="auto"/>
              <w:right w:val="single" w:sz="4" w:space="0" w:color="auto"/>
            </w:tcBorders>
            <w:shd w:val="clear" w:color="auto" w:fill="auto"/>
            <w:vAlign w:val="center"/>
            <w:hideMark/>
          </w:tcPr>
          <w:p w14:paraId="2486AB9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146.503</w:t>
            </w:r>
          </w:p>
        </w:tc>
        <w:tc>
          <w:tcPr>
            <w:tcW w:w="1540" w:type="dxa"/>
            <w:tcBorders>
              <w:top w:val="nil"/>
              <w:left w:val="nil"/>
              <w:bottom w:val="single" w:sz="4" w:space="0" w:color="auto"/>
              <w:right w:val="single" w:sz="4" w:space="0" w:color="auto"/>
            </w:tcBorders>
            <w:shd w:val="clear" w:color="auto" w:fill="auto"/>
            <w:vAlign w:val="center"/>
            <w:hideMark/>
          </w:tcPr>
          <w:p w14:paraId="5D70E6E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85.460</w:t>
            </w:r>
          </w:p>
        </w:tc>
      </w:tr>
      <w:tr w:rsidR="00944C8E" w:rsidRPr="00944C8E" w14:paraId="0478827E"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05B48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5</w:t>
            </w:r>
          </w:p>
        </w:tc>
        <w:tc>
          <w:tcPr>
            <w:tcW w:w="2340" w:type="dxa"/>
            <w:tcBorders>
              <w:top w:val="nil"/>
              <w:left w:val="nil"/>
              <w:bottom w:val="single" w:sz="4" w:space="0" w:color="auto"/>
              <w:right w:val="single" w:sz="4" w:space="0" w:color="auto"/>
            </w:tcBorders>
            <w:shd w:val="clear" w:color="auto" w:fill="auto"/>
            <w:vAlign w:val="center"/>
            <w:hideMark/>
          </w:tcPr>
          <w:p w14:paraId="31EAC84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Splošna kirurgija</w:t>
            </w:r>
          </w:p>
        </w:tc>
        <w:tc>
          <w:tcPr>
            <w:tcW w:w="1820" w:type="dxa"/>
            <w:tcBorders>
              <w:top w:val="nil"/>
              <w:left w:val="nil"/>
              <w:bottom w:val="single" w:sz="4" w:space="0" w:color="auto"/>
              <w:right w:val="single" w:sz="4" w:space="0" w:color="auto"/>
            </w:tcBorders>
            <w:shd w:val="clear" w:color="auto" w:fill="auto"/>
            <w:vAlign w:val="center"/>
            <w:hideMark/>
          </w:tcPr>
          <w:p w14:paraId="171218B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ARBOR MEA d.o.o.</w:t>
            </w:r>
          </w:p>
        </w:tc>
        <w:tc>
          <w:tcPr>
            <w:tcW w:w="1340" w:type="dxa"/>
            <w:tcBorders>
              <w:top w:val="nil"/>
              <w:left w:val="nil"/>
              <w:bottom w:val="single" w:sz="4" w:space="0" w:color="auto"/>
              <w:right w:val="single" w:sz="4" w:space="0" w:color="auto"/>
            </w:tcBorders>
            <w:shd w:val="clear" w:color="auto" w:fill="auto"/>
            <w:vAlign w:val="center"/>
            <w:hideMark/>
          </w:tcPr>
          <w:p w14:paraId="2C4C1FC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0,12 tima</w:t>
            </w:r>
          </w:p>
        </w:tc>
        <w:tc>
          <w:tcPr>
            <w:tcW w:w="1420" w:type="dxa"/>
            <w:tcBorders>
              <w:top w:val="nil"/>
              <w:left w:val="nil"/>
              <w:bottom w:val="single" w:sz="4" w:space="0" w:color="auto"/>
              <w:right w:val="single" w:sz="4" w:space="0" w:color="auto"/>
            </w:tcBorders>
            <w:shd w:val="clear" w:color="auto" w:fill="auto"/>
            <w:vAlign w:val="center"/>
            <w:hideMark/>
          </w:tcPr>
          <w:p w14:paraId="7F6B8DD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20.022</w:t>
            </w:r>
          </w:p>
        </w:tc>
        <w:tc>
          <w:tcPr>
            <w:tcW w:w="1540" w:type="dxa"/>
            <w:tcBorders>
              <w:top w:val="nil"/>
              <w:left w:val="nil"/>
              <w:bottom w:val="single" w:sz="4" w:space="0" w:color="auto"/>
              <w:right w:val="single" w:sz="4" w:space="0" w:color="auto"/>
            </w:tcBorders>
            <w:shd w:val="clear" w:color="auto" w:fill="auto"/>
            <w:vAlign w:val="center"/>
            <w:hideMark/>
          </w:tcPr>
          <w:p w14:paraId="5C2EA4E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11.680</w:t>
            </w:r>
          </w:p>
        </w:tc>
      </w:tr>
      <w:tr w:rsidR="00944C8E" w:rsidRPr="00944C8E" w14:paraId="5D518731"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32D01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6</w:t>
            </w:r>
          </w:p>
        </w:tc>
        <w:tc>
          <w:tcPr>
            <w:tcW w:w="2340" w:type="dxa"/>
            <w:tcBorders>
              <w:top w:val="nil"/>
              <w:left w:val="nil"/>
              <w:bottom w:val="single" w:sz="4" w:space="0" w:color="auto"/>
              <w:right w:val="single" w:sz="4" w:space="0" w:color="auto"/>
            </w:tcBorders>
            <w:shd w:val="clear" w:color="auto" w:fill="auto"/>
            <w:vAlign w:val="center"/>
            <w:hideMark/>
          </w:tcPr>
          <w:p w14:paraId="1E653A8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Pulmologija brez RTG</w:t>
            </w:r>
          </w:p>
        </w:tc>
        <w:tc>
          <w:tcPr>
            <w:tcW w:w="1820" w:type="dxa"/>
            <w:tcBorders>
              <w:top w:val="nil"/>
              <w:left w:val="nil"/>
              <w:bottom w:val="single" w:sz="4" w:space="0" w:color="auto"/>
              <w:right w:val="single" w:sz="4" w:space="0" w:color="auto"/>
            </w:tcBorders>
            <w:shd w:val="clear" w:color="auto" w:fill="auto"/>
            <w:vAlign w:val="center"/>
            <w:hideMark/>
          </w:tcPr>
          <w:p w14:paraId="2C8212E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Arjana Maček Cafuta</w:t>
            </w:r>
          </w:p>
        </w:tc>
        <w:tc>
          <w:tcPr>
            <w:tcW w:w="1340" w:type="dxa"/>
            <w:tcBorders>
              <w:top w:val="nil"/>
              <w:left w:val="nil"/>
              <w:bottom w:val="single" w:sz="4" w:space="0" w:color="auto"/>
              <w:right w:val="single" w:sz="4" w:space="0" w:color="auto"/>
            </w:tcBorders>
            <w:shd w:val="clear" w:color="auto" w:fill="auto"/>
            <w:vAlign w:val="center"/>
            <w:hideMark/>
          </w:tcPr>
          <w:p w14:paraId="151CBA1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0,18 tima</w:t>
            </w:r>
          </w:p>
        </w:tc>
        <w:tc>
          <w:tcPr>
            <w:tcW w:w="1420" w:type="dxa"/>
            <w:tcBorders>
              <w:top w:val="nil"/>
              <w:left w:val="nil"/>
              <w:bottom w:val="single" w:sz="4" w:space="0" w:color="auto"/>
              <w:right w:val="single" w:sz="4" w:space="0" w:color="auto"/>
            </w:tcBorders>
            <w:shd w:val="clear" w:color="auto" w:fill="auto"/>
            <w:vAlign w:val="center"/>
            <w:hideMark/>
          </w:tcPr>
          <w:p w14:paraId="0A1B830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27.814</w:t>
            </w:r>
          </w:p>
        </w:tc>
        <w:tc>
          <w:tcPr>
            <w:tcW w:w="1540" w:type="dxa"/>
            <w:tcBorders>
              <w:top w:val="nil"/>
              <w:left w:val="nil"/>
              <w:bottom w:val="single" w:sz="4" w:space="0" w:color="auto"/>
              <w:right w:val="single" w:sz="4" w:space="0" w:color="auto"/>
            </w:tcBorders>
            <w:shd w:val="clear" w:color="auto" w:fill="auto"/>
            <w:vAlign w:val="center"/>
            <w:hideMark/>
          </w:tcPr>
          <w:p w14:paraId="5C7DB33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16.225</w:t>
            </w:r>
          </w:p>
        </w:tc>
      </w:tr>
      <w:tr w:rsidR="00944C8E" w:rsidRPr="00944C8E" w14:paraId="05695464"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BC5BD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7</w:t>
            </w:r>
          </w:p>
        </w:tc>
        <w:tc>
          <w:tcPr>
            <w:tcW w:w="2340" w:type="dxa"/>
            <w:tcBorders>
              <w:top w:val="nil"/>
              <w:left w:val="nil"/>
              <w:bottom w:val="single" w:sz="4" w:space="0" w:color="auto"/>
              <w:right w:val="single" w:sz="4" w:space="0" w:color="auto"/>
            </w:tcBorders>
            <w:shd w:val="clear" w:color="auto" w:fill="auto"/>
            <w:vAlign w:val="center"/>
            <w:hideMark/>
          </w:tcPr>
          <w:p w14:paraId="241AFB7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Pulmologija z RTG</w:t>
            </w:r>
          </w:p>
        </w:tc>
        <w:tc>
          <w:tcPr>
            <w:tcW w:w="1820" w:type="dxa"/>
            <w:tcBorders>
              <w:top w:val="nil"/>
              <w:left w:val="nil"/>
              <w:bottom w:val="single" w:sz="4" w:space="0" w:color="auto"/>
              <w:right w:val="single" w:sz="4" w:space="0" w:color="auto"/>
            </w:tcBorders>
            <w:shd w:val="clear" w:color="auto" w:fill="auto"/>
            <w:vAlign w:val="center"/>
            <w:hideMark/>
          </w:tcPr>
          <w:p w14:paraId="3A2D502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Arjana Maček Cafuta</w:t>
            </w:r>
          </w:p>
        </w:tc>
        <w:tc>
          <w:tcPr>
            <w:tcW w:w="1340" w:type="dxa"/>
            <w:tcBorders>
              <w:top w:val="nil"/>
              <w:left w:val="nil"/>
              <w:bottom w:val="single" w:sz="4" w:space="0" w:color="auto"/>
              <w:right w:val="single" w:sz="4" w:space="0" w:color="auto"/>
            </w:tcBorders>
            <w:shd w:val="clear" w:color="auto" w:fill="auto"/>
            <w:vAlign w:val="center"/>
            <w:hideMark/>
          </w:tcPr>
          <w:p w14:paraId="7768DF2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0,02 tima</w:t>
            </w:r>
          </w:p>
        </w:tc>
        <w:tc>
          <w:tcPr>
            <w:tcW w:w="1420" w:type="dxa"/>
            <w:tcBorders>
              <w:top w:val="nil"/>
              <w:left w:val="nil"/>
              <w:bottom w:val="single" w:sz="4" w:space="0" w:color="auto"/>
              <w:right w:val="single" w:sz="4" w:space="0" w:color="auto"/>
            </w:tcBorders>
            <w:shd w:val="clear" w:color="auto" w:fill="auto"/>
            <w:vAlign w:val="center"/>
            <w:hideMark/>
          </w:tcPr>
          <w:p w14:paraId="0D45C61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4.397</w:t>
            </w:r>
          </w:p>
        </w:tc>
        <w:tc>
          <w:tcPr>
            <w:tcW w:w="1540" w:type="dxa"/>
            <w:tcBorders>
              <w:top w:val="nil"/>
              <w:left w:val="nil"/>
              <w:bottom w:val="single" w:sz="4" w:space="0" w:color="auto"/>
              <w:right w:val="single" w:sz="4" w:space="0" w:color="auto"/>
            </w:tcBorders>
            <w:shd w:val="clear" w:color="auto" w:fill="auto"/>
            <w:vAlign w:val="center"/>
            <w:hideMark/>
          </w:tcPr>
          <w:p w14:paraId="48CD41F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2.565</w:t>
            </w:r>
          </w:p>
        </w:tc>
      </w:tr>
      <w:tr w:rsidR="00944C8E" w:rsidRPr="00944C8E" w14:paraId="0F55E8D9"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D72CC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w:t>
            </w:r>
          </w:p>
        </w:tc>
        <w:tc>
          <w:tcPr>
            <w:tcW w:w="2340" w:type="dxa"/>
            <w:tcBorders>
              <w:top w:val="nil"/>
              <w:left w:val="nil"/>
              <w:bottom w:val="single" w:sz="4" w:space="0" w:color="auto"/>
              <w:right w:val="single" w:sz="4" w:space="0" w:color="auto"/>
            </w:tcBorders>
            <w:shd w:val="clear" w:color="auto" w:fill="auto"/>
            <w:vAlign w:val="center"/>
            <w:hideMark/>
          </w:tcPr>
          <w:p w14:paraId="3DDD03A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Dermatovenerologija in </w:t>
            </w:r>
            <w:proofErr w:type="spellStart"/>
            <w:r w:rsidRPr="00944C8E">
              <w:rPr>
                <w:rFonts w:cs="Arial"/>
                <w:color w:val="000000"/>
                <w:szCs w:val="20"/>
                <w:lang w:eastAsia="sl-SI"/>
              </w:rPr>
              <w:t>alergologija</w:t>
            </w:r>
            <w:proofErr w:type="spellEnd"/>
            <w:r w:rsidRPr="00944C8E">
              <w:rPr>
                <w:rFonts w:cs="Arial"/>
                <w:color w:val="000000"/>
                <w:szCs w:val="20"/>
                <w:lang w:eastAsia="sl-SI"/>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62E26DE4"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Dermis</w:t>
            </w:r>
            <w:proofErr w:type="spellEnd"/>
            <w:r w:rsidRPr="00944C8E">
              <w:rPr>
                <w:rFonts w:cs="Arial"/>
                <w:color w:val="000000"/>
                <w:szCs w:val="20"/>
                <w:lang w:eastAsia="sl-SI"/>
              </w:rPr>
              <w:t xml:space="preserve"> d.o.o.</w:t>
            </w:r>
          </w:p>
        </w:tc>
        <w:tc>
          <w:tcPr>
            <w:tcW w:w="1340" w:type="dxa"/>
            <w:tcBorders>
              <w:top w:val="nil"/>
              <w:left w:val="nil"/>
              <w:bottom w:val="single" w:sz="4" w:space="0" w:color="auto"/>
              <w:right w:val="single" w:sz="4" w:space="0" w:color="auto"/>
            </w:tcBorders>
            <w:shd w:val="clear" w:color="auto" w:fill="auto"/>
            <w:vAlign w:val="center"/>
            <w:hideMark/>
          </w:tcPr>
          <w:p w14:paraId="239EBB9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 tima</w:t>
            </w:r>
          </w:p>
        </w:tc>
        <w:tc>
          <w:tcPr>
            <w:tcW w:w="1420" w:type="dxa"/>
            <w:tcBorders>
              <w:top w:val="nil"/>
              <w:left w:val="nil"/>
              <w:bottom w:val="single" w:sz="4" w:space="0" w:color="auto"/>
              <w:right w:val="single" w:sz="4" w:space="0" w:color="auto"/>
            </w:tcBorders>
            <w:shd w:val="clear" w:color="auto" w:fill="auto"/>
            <w:vAlign w:val="center"/>
            <w:hideMark/>
          </w:tcPr>
          <w:p w14:paraId="1B8E673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13.230</w:t>
            </w:r>
          </w:p>
        </w:tc>
        <w:tc>
          <w:tcPr>
            <w:tcW w:w="1540" w:type="dxa"/>
            <w:tcBorders>
              <w:top w:val="nil"/>
              <w:left w:val="nil"/>
              <w:bottom w:val="single" w:sz="4" w:space="0" w:color="auto"/>
              <w:right w:val="single" w:sz="4" w:space="0" w:color="auto"/>
            </w:tcBorders>
            <w:shd w:val="clear" w:color="auto" w:fill="auto"/>
            <w:vAlign w:val="center"/>
            <w:hideMark/>
          </w:tcPr>
          <w:p w14:paraId="4119A18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7.718</w:t>
            </w:r>
          </w:p>
        </w:tc>
      </w:tr>
      <w:tr w:rsidR="00944C8E" w:rsidRPr="00944C8E" w14:paraId="028EB7AB"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D2808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9</w:t>
            </w:r>
          </w:p>
        </w:tc>
        <w:tc>
          <w:tcPr>
            <w:tcW w:w="2340" w:type="dxa"/>
            <w:tcBorders>
              <w:top w:val="nil"/>
              <w:left w:val="nil"/>
              <w:bottom w:val="single" w:sz="4" w:space="0" w:color="auto"/>
              <w:right w:val="single" w:sz="4" w:space="0" w:color="auto"/>
            </w:tcBorders>
            <w:shd w:val="clear" w:color="auto" w:fill="auto"/>
            <w:vAlign w:val="center"/>
            <w:hideMark/>
          </w:tcPr>
          <w:p w14:paraId="3F99C7FC"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Paradontologija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0999DBA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Dr.  Čok DENTAL d.o.o.</w:t>
            </w:r>
          </w:p>
        </w:tc>
        <w:tc>
          <w:tcPr>
            <w:tcW w:w="1340" w:type="dxa"/>
            <w:tcBorders>
              <w:top w:val="nil"/>
              <w:left w:val="nil"/>
              <w:bottom w:val="single" w:sz="4" w:space="0" w:color="auto"/>
              <w:right w:val="single" w:sz="4" w:space="0" w:color="auto"/>
            </w:tcBorders>
            <w:shd w:val="clear" w:color="auto" w:fill="auto"/>
            <w:vAlign w:val="center"/>
            <w:hideMark/>
          </w:tcPr>
          <w:p w14:paraId="6E8C459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0,12 </w:t>
            </w:r>
            <w:proofErr w:type="spellStart"/>
            <w:r w:rsidRPr="00944C8E">
              <w:rPr>
                <w:rFonts w:cs="Arial"/>
                <w:color w:val="000000"/>
                <w:szCs w:val="20"/>
                <w:lang w:eastAsia="sl-SI"/>
              </w:rPr>
              <w:t>tma</w:t>
            </w:r>
            <w:proofErr w:type="spellEnd"/>
          </w:p>
        </w:tc>
        <w:tc>
          <w:tcPr>
            <w:tcW w:w="1420" w:type="dxa"/>
            <w:tcBorders>
              <w:top w:val="nil"/>
              <w:left w:val="nil"/>
              <w:bottom w:val="single" w:sz="4" w:space="0" w:color="auto"/>
              <w:right w:val="single" w:sz="4" w:space="0" w:color="auto"/>
            </w:tcBorders>
            <w:shd w:val="clear" w:color="auto" w:fill="auto"/>
            <w:vAlign w:val="center"/>
            <w:hideMark/>
          </w:tcPr>
          <w:p w14:paraId="1657C83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16.750</w:t>
            </w:r>
          </w:p>
        </w:tc>
        <w:tc>
          <w:tcPr>
            <w:tcW w:w="1540" w:type="dxa"/>
            <w:tcBorders>
              <w:top w:val="nil"/>
              <w:left w:val="nil"/>
              <w:bottom w:val="single" w:sz="4" w:space="0" w:color="auto"/>
              <w:right w:val="single" w:sz="4" w:space="0" w:color="auto"/>
            </w:tcBorders>
            <w:shd w:val="clear" w:color="auto" w:fill="auto"/>
            <w:vAlign w:val="center"/>
            <w:hideMark/>
          </w:tcPr>
          <w:p w14:paraId="40A7DB2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9.771</w:t>
            </w:r>
          </w:p>
        </w:tc>
      </w:tr>
      <w:tr w:rsidR="00944C8E" w:rsidRPr="00944C8E" w14:paraId="17653EE2"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28C87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w:t>
            </w:r>
          </w:p>
        </w:tc>
        <w:tc>
          <w:tcPr>
            <w:tcW w:w="2340" w:type="dxa"/>
            <w:tcBorders>
              <w:top w:val="nil"/>
              <w:left w:val="nil"/>
              <w:bottom w:val="single" w:sz="4" w:space="0" w:color="auto"/>
              <w:right w:val="single" w:sz="4" w:space="0" w:color="auto"/>
            </w:tcBorders>
            <w:shd w:val="clear" w:color="auto" w:fill="auto"/>
            <w:vAlign w:val="center"/>
            <w:hideMark/>
          </w:tcPr>
          <w:p w14:paraId="0F9EDFD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Pulmologija z RTG</w:t>
            </w:r>
          </w:p>
        </w:tc>
        <w:tc>
          <w:tcPr>
            <w:tcW w:w="1820" w:type="dxa"/>
            <w:tcBorders>
              <w:top w:val="nil"/>
              <w:left w:val="nil"/>
              <w:bottom w:val="single" w:sz="4" w:space="0" w:color="auto"/>
              <w:right w:val="single" w:sz="4" w:space="0" w:color="auto"/>
            </w:tcBorders>
            <w:shd w:val="clear" w:color="auto" w:fill="auto"/>
            <w:vAlign w:val="center"/>
            <w:hideMark/>
          </w:tcPr>
          <w:p w14:paraId="5CFEE3F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Dr. </w:t>
            </w:r>
            <w:proofErr w:type="spellStart"/>
            <w:r w:rsidRPr="00944C8E">
              <w:rPr>
                <w:rFonts w:cs="Arial"/>
                <w:color w:val="000000"/>
                <w:szCs w:val="20"/>
                <w:lang w:eastAsia="sl-SI"/>
              </w:rPr>
              <w:t>Šegota</w:t>
            </w:r>
            <w:proofErr w:type="spellEnd"/>
            <w:r w:rsidRPr="00944C8E">
              <w:rPr>
                <w:rFonts w:cs="Arial"/>
                <w:color w:val="000000"/>
                <w:szCs w:val="20"/>
                <w:lang w:eastAsia="sl-SI"/>
              </w:rPr>
              <w:t xml:space="preserve"> – pulmolog d.o.o</w:t>
            </w:r>
          </w:p>
        </w:tc>
        <w:tc>
          <w:tcPr>
            <w:tcW w:w="1340" w:type="dxa"/>
            <w:tcBorders>
              <w:top w:val="nil"/>
              <w:left w:val="nil"/>
              <w:bottom w:val="single" w:sz="4" w:space="0" w:color="auto"/>
              <w:right w:val="single" w:sz="4" w:space="0" w:color="auto"/>
            </w:tcBorders>
            <w:shd w:val="clear" w:color="auto" w:fill="auto"/>
            <w:vAlign w:val="center"/>
            <w:hideMark/>
          </w:tcPr>
          <w:p w14:paraId="397C944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 tima</w:t>
            </w:r>
          </w:p>
        </w:tc>
        <w:tc>
          <w:tcPr>
            <w:tcW w:w="1420" w:type="dxa"/>
            <w:tcBorders>
              <w:top w:val="nil"/>
              <w:left w:val="nil"/>
              <w:bottom w:val="single" w:sz="4" w:space="0" w:color="auto"/>
              <w:right w:val="single" w:sz="4" w:space="0" w:color="auto"/>
            </w:tcBorders>
            <w:shd w:val="clear" w:color="auto" w:fill="auto"/>
            <w:vAlign w:val="center"/>
            <w:hideMark/>
          </w:tcPr>
          <w:p w14:paraId="7B5088C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21.989</w:t>
            </w:r>
          </w:p>
        </w:tc>
        <w:tc>
          <w:tcPr>
            <w:tcW w:w="1540" w:type="dxa"/>
            <w:tcBorders>
              <w:top w:val="nil"/>
              <w:left w:val="nil"/>
              <w:bottom w:val="single" w:sz="4" w:space="0" w:color="auto"/>
              <w:right w:val="single" w:sz="4" w:space="0" w:color="auto"/>
            </w:tcBorders>
            <w:shd w:val="clear" w:color="auto" w:fill="auto"/>
            <w:vAlign w:val="center"/>
            <w:hideMark/>
          </w:tcPr>
          <w:p w14:paraId="5B9C549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12.827</w:t>
            </w:r>
          </w:p>
        </w:tc>
      </w:tr>
      <w:tr w:rsidR="00944C8E" w:rsidRPr="00944C8E" w14:paraId="7D25C4DC"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2A0F6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11</w:t>
            </w:r>
          </w:p>
        </w:tc>
        <w:tc>
          <w:tcPr>
            <w:tcW w:w="2340" w:type="dxa"/>
            <w:tcBorders>
              <w:top w:val="nil"/>
              <w:left w:val="nil"/>
              <w:bottom w:val="single" w:sz="4" w:space="0" w:color="auto"/>
              <w:right w:val="single" w:sz="4" w:space="0" w:color="auto"/>
            </w:tcBorders>
            <w:shd w:val="clear" w:color="auto" w:fill="auto"/>
            <w:vAlign w:val="center"/>
            <w:hideMark/>
          </w:tcPr>
          <w:p w14:paraId="429E088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Pulmologija z RTG</w:t>
            </w:r>
          </w:p>
        </w:tc>
        <w:tc>
          <w:tcPr>
            <w:tcW w:w="1820" w:type="dxa"/>
            <w:tcBorders>
              <w:top w:val="nil"/>
              <w:left w:val="nil"/>
              <w:bottom w:val="single" w:sz="4" w:space="0" w:color="auto"/>
              <w:right w:val="single" w:sz="4" w:space="0" w:color="auto"/>
            </w:tcBorders>
            <w:shd w:val="clear" w:color="auto" w:fill="auto"/>
            <w:vAlign w:val="center"/>
            <w:hideMark/>
          </w:tcPr>
          <w:p w14:paraId="43BA3DF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KAMBIČ KAFOL d.o.o.</w:t>
            </w:r>
          </w:p>
        </w:tc>
        <w:tc>
          <w:tcPr>
            <w:tcW w:w="1340" w:type="dxa"/>
            <w:tcBorders>
              <w:top w:val="nil"/>
              <w:left w:val="nil"/>
              <w:bottom w:val="single" w:sz="4" w:space="0" w:color="auto"/>
              <w:right w:val="single" w:sz="4" w:space="0" w:color="auto"/>
            </w:tcBorders>
            <w:shd w:val="clear" w:color="auto" w:fill="auto"/>
            <w:vAlign w:val="center"/>
            <w:hideMark/>
          </w:tcPr>
          <w:p w14:paraId="5AE92B6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0,09 tima</w:t>
            </w:r>
          </w:p>
        </w:tc>
        <w:tc>
          <w:tcPr>
            <w:tcW w:w="1420" w:type="dxa"/>
            <w:tcBorders>
              <w:top w:val="nil"/>
              <w:left w:val="nil"/>
              <w:bottom w:val="single" w:sz="4" w:space="0" w:color="auto"/>
              <w:right w:val="single" w:sz="4" w:space="0" w:color="auto"/>
            </w:tcBorders>
            <w:shd w:val="clear" w:color="auto" w:fill="auto"/>
            <w:vAlign w:val="center"/>
            <w:hideMark/>
          </w:tcPr>
          <w:p w14:paraId="3E32674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19.790</w:t>
            </w:r>
          </w:p>
        </w:tc>
        <w:tc>
          <w:tcPr>
            <w:tcW w:w="1540" w:type="dxa"/>
            <w:tcBorders>
              <w:top w:val="nil"/>
              <w:left w:val="nil"/>
              <w:bottom w:val="single" w:sz="4" w:space="0" w:color="auto"/>
              <w:right w:val="single" w:sz="4" w:space="0" w:color="auto"/>
            </w:tcBorders>
            <w:shd w:val="clear" w:color="auto" w:fill="auto"/>
            <w:vAlign w:val="center"/>
            <w:hideMark/>
          </w:tcPr>
          <w:p w14:paraId="2EB1FC3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11.544</w:t>
            </w:r>
          </w:p>
        </w:tc>
      </w:tr>
      <w:tr w:rsidR="00944C8E" w:rsidRPr="00944C8E" w14:paraId="5CFB91A0" w14:textId="77777777" w:rsidTr="00F4040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FE27E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12</w:t>
            </w:r>
          </w:p>
        </w:tc>
        <w:tc>
          <w:tcPr>
            <w:tcW w:w="2340" w:type="dxa"/>
            <w:tcBorders>
              <w:top w:val="nil"/>
              <w:left w:val="nil"/>
              <w:bottom w:val="single" w:sz="4" w:space="0" w:color="auto"/>
              <w:right w:val="single" w:sz="4" w:space="0" w:color="auto"/>
            </w:tcBorders>
            <w:shd w:val="clear" w:color="auto" w:fill="auto"/>
            <w:vAlign w:val="center"/>
            <w:hideMark/>
          </w:tcPr>
          <w:p w14:paraId="2D4EA09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Pediatrija</w:t>
            </w:r>
          </w:p>
        </w:tc>
        <w:tc>
          <w:tcPr>
            <w:tcW w:w="1820" w:type="dxa"/>
            <w:tcBorders>
              <w:top w:val="nil"/>
              <w:left w:val="nil"/>
              <w:bottom w:val="single" w:sz="4" w:space="0" w:color="auto"/>
              <w:right w:val="single" w:sz="4" w:space="0" w:color="auto"/>
            </w:tcBorders>
            <w:shd w:val="clear" w:color="auto" w:fill="auto"/>
            <w:vAlign w:val="center"/>
            <w:hideMark/>
          </w:tcPr>
          <w:p w14:paraId="3C7487F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Inštitut za avtizem</w:t>
            </w:r>
          </w:p>
        </w:tc>
        <w:tc>
          <w:tcPr>
            <w:tcW w:w="1340" w:type="dxa"/>
            <w:tcBorders>
              <w:top w:val="nil"/>
              <w:left w:val="nil"/>
              <w:bottom w:val="single" w:sz="4" w:space="0" w:color="auto"/>
              <w:right w:val="single" w:sz="4" w:space="0" w:color="auto"/>
            </w:tcBorders>
            <w:shd w:val="clear" w:color="auto" w:fill="auto"/>
            <w:vAlign w:val="center"/>
            <w:hideMark/>
          </w:tcPr>
          <w:p w14:paraId="5D91F6C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0,144 tima</w:t>
            </w:r>
          </w:p>
        </w:tc>
        <w:tc>
          <w:tcPr>
            <w:tcW w:w="1420" w:type="dxa"/>
            <w:tcBorders>
              <w:top w:val="nil"/>
              <w:left w:val="nil"/>
              <w:bottom w:val="single" w:sz="4" w:space="0" w:color="auto"/>
              <w:right w:val="single" w:sz="4" w:space="0" w:color="auto"/>
            </w:tcBorders>
            <w:shd w:val="clear" w:color="auto" w:fill="auto"/>
            <w:vAlign w:val="center"/>
            <w:hideMark/>
          </w:tcPr>
          <w:p w14:paraId="43B4685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20.832</w:t>
            </w:r>
          </w:p>
        </w:tc>
        <w:tc>
          <w:tcPr>
            <w:tcW w:w="1540" w:type="dxa"/>
            <w:tcBorders>
              <w:top w:val="nil"/>
              <w:left w:val="nil"/>
              <w:bottom w:val="single" w:sz="4" w:space="0" w:color="auto"/>
              <w:right w:val="single" w:sz="4" w:space="0" w:color="auto"/>
            </w:tcBorders>
            <w:shd w:val="clear" w:color="auto" w:fill="auto"/>
            <w:vAlign w:val="center"/>
            <w:hideMark/>
          </w:tcPr>
          <w:p w14:paraId="7B14833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12.152</w:t>
            </w:r>
          </w:p>
        </w:tc>
      </w:tr>
      <w:tr w:rsidR="00944C8E" w:rsidRPr="00944C8E" w14:paraId="61F6812C"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E98A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13</w:t>
            </w:r>
          </w:p>
        </w:tc>
        <w:tc>
          <w:tcPr>
            <w:tcW w:w="2340" w:type="dxa"/>
            <w:tcBorders>
              <w:top w:val="nil"/>
              <w:left w:val="nil"/>
              <w:bottom w:val="single" w:sz="4" w:space="0" w:color="auto"/>
              <w:right w:val="single" w:sz="4" w:space="0" w:color="auto"/>
            </w:tcBorders>
            <w:shd w:val="clear" w:color="auto" w:fill="auto"/>
            <w:vAlign w:val="center"/>
            <w:hideMark/>
          </w:tcPr>
          <w:p w14:paraId="5D02AC89"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okulistična ambulanta</w:t>
            </w:r>
          </w:p>
        </w:tc>
        <w:tc>
          <w:tcPr>
            <w:tcW w:w="1820" w:type="dxa"/>
            <w:tcBorders>
              <w:top w:val="nil"/>
              <w:left w:val="nil"/>
              <w:bottom w:val="single" w:sz="4" w:space="0" w:color="auto"/>
              <w:right w:val="single" w:sz="4" w:space="0" w:color="auto"/>
            </w:tcBorders>
            <w:shd w:val="clear" w:color="auto" w:fill="auto"/>
            <w:vAlign w:val="center"/>
            <w:hideMark/>
          </w:tcPr>
          <w:p w14:paraId="4AA1DF4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Kameleon d.o.o.</w:t>
            </w:r>
          </w:p>
        </w:tc>
        <w:tc>
          <w:tcPr>
            <w:tcW w:w="1340" w:type="dxa"/>
            <w:tcBorders>
              <w:top w:val="nil"/>
              <w:left w:val="nil"/>
              <w:bottom w:val="single" w:sz="4" w:space="0" w:color="auto"/>
              <w:right w:val="single" w:sz="4" w:space="0" w:color="auto"/>
            </w:tcBorders>
            <w:shd w:val="clear" w:color="auto" w:fill="auto"/>
            <w:vAlign w:val="center"/>
            <w:hideMark/>
          </w:tcPr>
          <w:p w14:paraId="3EFEB88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0,24 tima</w:t>
            </w:r>
          </w:p>
        </w:tc>
        <w:tc>
          <w:tcPr>
            <w:tcW w:w="1420" w:type="dxa"/>
            <w:tcBorders>
              <w:top w:val="nil"/>
              <w:left w:val="nil"/>
              <w:bottom w:val="single" w:sz="4" w:space="0" w:color="auto"/>
              <w:right w:val="single" w:sz="4" w:space="0" w:color="auto"/>
            </w:tcBorders>
            <w:shd w:val="clear" w:color="auto" w:fill="auto"/>
            <w:vAlign w:val="center"/>
            <w:hideMark/>
          </w:tcPr>
          <w:p w14:paraId="4CF8D1F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32.261</w:t>
            </w:r>
          </w:p>
        </w:tc>
        <w:tc>
          <w:tcPr>
            <w:tcW w:w="1540" w:type="dxa"/>
            <w:tcBorders>
              <w:top w:val="nil"/>
              <w:left w:val="nil"/>
              <w:bottom w:val="single" w:sz="4" w:space="0" w:color="auto"/>
              <w:right w:val="single" w:sz="4" w:space="0" w:color="auto"/>
            </w:tcBorders>
            <w:shd w:val="clear" w:color="auto" w:fill="auto"/>
            <w:vAlign w:val="center"/>
            <w:hideMark/>
          </w:tcPr>
          <w:p w14:paraId="009B541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18.819</w:t>
            </w:r>
          </w:p>
        </w:tc>
      </w:tr>
      <w:tr w:rsidR="00944C8E" w:rsidRPr="00944C8E" w14:paraId="306578C4"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C66E5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14</w:t>
            </w:r>
          </w:p>
        </w:tc>
        <w:tc>
          <w:tcPr>
            <w:tcW w:w="2340" w:type="dxa"/>
            <w:tcBorders>
              <w:top w:val="nil"/>
              <w:left w:val="nil"/>
              <w:bottom w:val="single" w:sz="4" w:space="0" w:color="auto"/>
              <w:right w:val="single" w:sz="4" w:space="0" w:color="auto"/>
            </w:tcBorders>
            <w:shd w:val="clear" w:color="auto" w:fill="auto"/>
            <w:vAlign w:val="center"/>
            <w:hideMark/>
          </w:tcPr>
          <w:p w14:paraId="7F84FB57"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okulistična ambulanta</w:t>
            </w:r>
          </w:p>
        </w:tc>
        <w:tc>
          <w:tcPr>
            <w:tcW w:w="1820" w:type="dxa"/>
            <w:tcBorders>
              <w:top w:val="nil"/>
              <w:left w:val="nil"/>
              <w:bottom w:val="single" w:sz="4" w:space="0" w:color="auto"/>
              <w:right w:val="single" w:sz="4" w:space="0" w:color="auto"/>
            </w:tcBorders>
            <w:shd w:val="clear" w:color="auto" w:fill="auto"/>
            <w:vAlign w:val="center"/>
            <w:hideMark/>
          </w:tcPr>
          <w:p w14:paraId="2BAB27BA"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Ophtacom</w:t>
            </w:r>
            <w:proofErr w:type="spellEnd"/>
            <w:r w:rsidRPr="00944C8E">
              <w:rPr>
                <w:rFonts w:cs="Arial"/>
                <w:color w:val="000000"/>
                <w:szCs w:val="20"/>
                <w:lang w:eastAsia="sl-SI"/>
              </w:rPr>
              <w:t xml:space="preserve"> d.o.o. </w:t>
            </w:r>
          </w:p>
        </w:tc>
        <w:tc>
          <w:tcPr>
            <w:tcW w:w="1340" w:type="dxa"/>
            <w:tcBorders>
              <w:top w:val="nil"/>
              <w:left w:val="nil"/>
              <w:bottom w:val="single" w:sz="4" w:space="0" w:color="auto"/>
              <w:right w:val="single" w:sz="4" w:space="0" w:color="auto"/>
            </w:tcBorders>
            <w:shd w:val="clear" w:color="auto" w:fill="auto"/>
            <w:vAlign w:val="center"/>
            <w:hideMark/>
          </w:tcPr>
          <w:p w14:paraId="601FCC6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0,2 tima</w:t>
            </w:r>
          </w:p>
        </w:tc>
        <w:tc>
          <w:tcPr>
            <w:tcW w:w="1420" w:type="dxa"/>
            <w:tcBorders>
              <w:top w:val="nil"/>
              <w:left w:val="nil"/>
              <w:bottom w:val="single" w:sz="4" w:space="0" w:color="auto"/>
              <w:right w:val="single" w:sz="4" w:space="0" w:color="auto"/>
            </w:tcBorders>
            <w:shd w:val="clear" w:color="auto" w:fill="auto"/>
            <w:vAlign w:val="center"/>
            <w:hideMark/>
          </w:tcPr>
          <w:p w14:paraId="3EF28B3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26.883</w:t>
            </w:r>
          </w:p>
        </w:tc>
        <w:tc>
          <w:tcPr>
            <w:tcW w:w="1540" w:type="dxa"/>
            <w:tcBorders>
              <w:top w:val="nil"/>
              <w:left w:val="nil"/>
              <w:bottom w:val="single" w:sz="4" w:space="0" w:color="auto"/>
              <w:right w:val="single" w:sz="4" w:space="0" w:color="auto"/>
            </w:tcBorders>
            <w:shd w:val="clear" w:color="auto" w:fill="auto"/>
            <w:vAlign w:val="center"/>
            <w:hideMark/>
          </w:tcPr>
          <w:p w14:paraId="79D30B4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15.682</w:t>
            </w:r>
          </w:p>
        </w:tc>
      </w:tr>
      <w:tr w:rsidR="00944C8E" w:rsidRPr="00944C8E" w14:paraId="3CB06317"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D6D15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15</w:t>
            </w:r>
          </w:p>
        </w:tc>
        <w:tc>
          <w:tcPr>
            <w:tcW w:w="2340" w:type="dxa"/>
            <w:tcBorders>
              <w:top w:val="nil"/>
              <w:left w:val="nil"/>
              <w:bottom w:val="single" w:sz="4" w:space="0" w:color="auto"/>
              <w:right w:val="single" w:sz="4" w:space="0" w:color="auto"/>
            </w:tcBorders>
            <w:shd w:val="clear" w:color="auto" w:fill="auto"/>
            <w:vAlign w:val="center"/>
            <w:hideMark/>
          </w:tcPr>
          <w:p w14:paraId="2F29E427"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operacija katarakte</w:t>
            </w:r>
          </w:p>
        </w:tc>
        <w:tc>
          <w:tcPr>
            <w:tcW w:w="1820" w:type="dxa"/>
            <w:tcBorders>
              <w:top w:val="nil"/>
              <w:left w:val="nil"/>
              <w:bottom w:val="single" w:sz="4" w:space="0" w:color="auto"/>
              <w:right w:val="single" w:sz="4" w:space="0" w:color="auto"/>
            </w:tcBorders>
            <w:shd w:val="clear" w:color="auto" w:fill="auto"/>
            <w:vAlign w:val="center"/>
            <w:hideMark/>
          </w:tcPr>
          <w:p w14:paraId="7522751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Novak Brecelj d.o.o.</w:t>
            </w:r>
          </w:p>
        </w:tc>
        <w:tc>
          <w:tcPr>
            <w:tcW w:w="1340" w:type="dxa"/>
            <w:tcBorders>
              <w:top w:val="nil"/>
              <w:left w:val="nil"/>
              <w:bottom w:val="single" w:sz="4" w:space="0" w:color="auto"/>
              <w:right w:val="single" w:sz="4" w:space="0" w:color="auto"/>
            </w:tcBorders>
            <w:shd w:val="clear" w:color="auto" w:fill="auto"/>
            <w:vAlign w:val="center"/>
            <w:hideMark/>
          </w:tcPr>
          <w:p w14:paraId="45F229A0" w14:textId="3FA0B84D" w:rsidR="00944C8E" w:rsidRPr="00944C8E" w:rsidRDefault="0051508B" w:rsidP="00F40403">
            <w:pPr>
              <w:spacing w:line="240" w:lineRule="auto"/>
              <w:jc w:val="both"/>
              <w:rPr>
                <w:rFonts w:cs="Arial"/>
                <w:color w:val="000000"/>
                <w:szCs w:val="20"/>
                <w:lang w:eastAsia="sl-SI"/>
              </w:rPr>
            </w:pPr>
            <w:r>
              <w:rPr>
                <w:rFonts w:cs="Arial"/>
                <w:color w:val="000000"/>
                <w:szCs w:val="20"/>
                <w:lang w:eastAsia="sl-SI"/>
              </w:rPr>
              <w:t xml:space="preserve">31 </w:t>
            </w:r>
            <w:proofErr w:type="spellStart"/>
            <w:r>
              <w:rPr>
                <w:rFonts w:cs="Arial"/>
                <w:color w:val="000000"/>
                <w:szCs w:val="20"/>
                <w:lang w:eastAsia="sl-SI"/>
              </w:rPr>
              <w:t>operacijj</w:t>
            </w:r>
            <w:proofErr w:type="spellEnd"/>
          </w:p>
        </w:tc>
        <w:tc>
          <w:tcPr>
            <w:tcW w:w="1420" w:type="dxa"/>
            <w:tcBorders>
              <w:top w:val="nil"/>
              <w:left w:val="nil"/>
              <w:bottom w:val="single" w:sz="4" w:space="0" w:color="auto"/>
              <w:right w:val="single" w:sz="4" w:space="0" w:color="auto"/>
            </w:tcBorders>
            <w:shd w:val="clear" w:color="auto" w:fill="auto"/>
            <w:vAlign w:val="center"/>
            <w:hideMark/>
          </w:tcPr>
          <w:p w14:paraId="7633C32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19.711</w:t>
            </w:r>
          </w:p>
        </w:tc>
        <w:tc>
          <w:tcPr>
            <w:tcW w:w="1540" w:type="dxa"/>
            <w:tcBorders>
              <w:top w:val="nil"/>
              <w:left w:val="nil"/>
              <w:bottom w:val="single" w:sz="4" w:space="0" w:color="auto"/>
              <w:right w:val="single" w:sz="4" w:space="0" w:color="auto"/>
            </w:tcBorders>
            <w:shd w:val="clear" w:color="auto" w:fill="auto"/>
            <w:vAlign w:val="center"/>
            <w:hideMark/>
          </w:tcPr>
          <w:p w14:paraId="3AD29BD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11.498</w:t>
            </w:r>
          </w:p>
        </w:tc>
      </w:tr>
      <w:tr w:rsidR="00944C8E" w:rsidRPr="00944C8E" w14:paraId="68F347DB"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D62BB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lastRenderedPageBreak/>
              <w:t>16</w:t>
            </w:r>
          </w:p>
        </w:tc>
        <w:tc>
          <w:tcPr>
            <w:tcW w:w="2340" w:type="dxa"/>
            <w:tcBorders>
              <w:top w:val="nil"/>
              <w:left w:val="nil"/>
              <w:bottom w:val="single" w:sz="4" w:space="0" w:color="auto"/>
              <w:right w:val="single" w:sz="4" w:space="0" w:color="auto"/>
            </w:tcBorders>
            <w:shd w:val="clear" w:color="auto" w:fill="auto"/>
            <w:vAlign w:val="center"/>
            <w:hideMark/>
          </w:tcPr>
          <w:p w14:paraId="1458EF51"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Gastroenterologija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32E1C15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Klinika Doktor 24 d.o.o.</w:t>
            </w:r>
          </w:p>
        </w:tc>
        <w:tc>
          <w:tcPr>
            <w:tcW w:w="1340" w:type="dxa"/>
            <w:tcBorders>
              <w:top w:val="nil"/>
              <w:left w:val="nil"/>
              <w:bottom w:val="single" w:sz="4" w:space="0" w:color="auto"/>
              <w:right w:val="single" w:sz="4" w:space="0" w:color="auto"/>
            </w:tcBorders>
            <w:shd w:val="clear" w:color="auto" w:fill="auto"/>
            <w:vAlign w:val="center"/>
            <w:hideMark/>
          </w:tcPr>
          <w:p w14:paraId="19C38C1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 tima</w:t>
            </w:r>
          </w:p>
        </w:tc>
        <w:tc>
          <w:tcPr>
            <w:tcW w:w="1420" w:type="dxa"/>
            <w:tcBorders>
              <w:top w:val="nil"/>
              <w:left w:val="nil"/>
              <w:bottom w:val="single" w:sz="4" w:space="0" w:color="auto"/>
              <w:right w:val="single" w:sz="4" w:space="0" w:color="auto"/>
            </w:tcBorders>
            <w:shd w:val="clear" w:color="auto" w:fill="auto"/>
            <w:vAlign w:val="center"/>
            <w:hideMark/>
          </w:tcPr>
          <w:p w14:paraId="7DE2F60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20.572</w:t>
            </w:r>
          </w:p>
        </w:tc>
        <w:tc>
          <w:tcPr>
            <w:tcW w:w="1540" w:type="dxa"/>
            <w:tcBorders>
              <w:top w:val="nil"/>
              <w:left w:val="nil"/>
              <w:bottom w:val="single" w:sz="4" w:space="0" w:color="auto"/>
              <w:right w:val="single" w:sz="4" w:space="0" w:color="auto"/>
            </w:tcBorders>
            <w:shd w:val="clear" w:color="auto" w:fill="auto"/>
            <w:vAlign w:val="center"/>
            <w:hideMark/>
          </w:tcPr>
          <w:p w14:paraId="0705149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12.000</w:t>
            </w:r>
          </w:p>
        </w:tc>
      </w:tr>
      <w:tr w:rsidR="00944C8E" w:rsidRPr="00944C8E" w14:paraId="01AA6FF8"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18917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17</w:t>
            </w:r>
          </w:p>
        </w:tc>
        <w:tc>
          <w:tcPr>
            <w:tcW w:w="2340" w:type="dxa"/>
            <w:tcBorders>
              <w:top w:val="nil"/>
              <w:left w:val="nil"/>
              <w:bottom w:val="single" w:sz="4" w:space="0" w:color="auto"/>
              <w:right w:val="single" w:sz="4" w:space="0" w:color="auto"/>
            </w:tcBorders>
            <w:shd w:val="clear" w:color="auto" w:fill="auto"/>
            <w:vAlign w:val="center"/>
            <w:hideMark/>
          </w:tcPr>
          <w:p w14:paraId="4190AA0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Oralna in maksilofacialna kirurgija</w:t>
            </w:r>
          </w:p>
        </w:tc>
        <w:tc>
          <w:tcPr>
            <w:tcW w:w="1820" w:type="dxa"/>
            <w:tcBorders>
              <w:top w:val="nil"/>
              <w:left w:val="nil"/>
              <w:bottom w:val="single" w:sz="4" w:space="0" w:color="auto"/>
              <w:right w:val="single" w:sz="4" w:space="0" w:color="auto"/>
            </w:tcBorders>
            <w:shd w:val="clear" w:color="auto" w:fill="auto"/>
            <w:vAlign w:val="center"/>
            <w:hideMark/>
          </w:tcPr>
          <w:p w14:paraId="65D8237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Samo </w:t>
            </w:r>
            <w:proofErr w:type="spellStart"/>
            <w:r w:rsidRPr="00944C8E">
              <w:rPr>
                <w:rFonts w:cs="Arial"/>
                <w:color w:val="000000"/>
                <w:szCs w:val="20"/>
                <w:lang w:eastAsia="sl-SI"/>
              </w:rPr>
              <w:t>Tetičković</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2FD654C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0,12 tima</w:t>
            </w:r>
          </w:p>
        </w:tc>
        <w:tc>
          <w:tcPr>
            <w:tcW w:w="1420" w:type="dxa"/>
            <w:tcBorders>
              <w:top w:val="nil"/>
              <w:left w:val="nil"/>
              <w:bottom w:val="single" w:sz="4" w:space="0" w:color="auto"/>
              <w:right w:val="single" w:sz="4" w:space="0" w:color="auto"/>
            </w:tcBorders>
            <w:shd w:val="clear" w:color="auto" w:fill="auto"/>
            <w:vAlign w:val="center"/>
            <w:hideMark/>
          </w:tcPr>
          <w:p w14:paraId="4C7FB62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23.216</w:t>
            </w:r>
          </w:p>
        </w:tc>
        <w:tc>
          <w:tcPr>
            <w:tcW w:w="1540" w:type="dxa"/>
            <w:tcBorders>
              <w:top w:val="nil"/>
              <w:left w:val="nil"/>
              <w:bottom w:val="single" w:sz="4" w:space="0" w:color="auto"/>
              <w:right w:val="single" w:sz="4" w:space="0" w:color="auto"/>
            </w:tcBorders>
            <w:shd w:val="clear" w:color="auto" w:fill="auto"/>
            <w:vAlign w:val="center"/>
            <w:hideMark/>
          </w:tcPr>
          <w:p w14:paraId="5A7CD2A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13.543</w:t>
            </w:r>
          </w:p>
        </w:tc>
      </w:tr>
      <w:tr w:rsidR="00944C8E" w:rsidRPr="00944C8E" w14:paraId="6AA0DD91"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96370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18</w:t>
            </w:r>
          </w:p>
        </w:tc>
        <w:tc>
          <w:tcPr>
            <w:tcW w:w="2340" w:type="dxa"/>
            <w:tcBorders>
              <w:top w:val="nil"/>
              <w:left w:val="nil"/>
              <w:bottom w:val="single" w:sz="4" w:space="0" w:color="auto"/>
              <w:right w:val="single" w:sz="4" w:space="0" w:color="auto"/>
            </w:tcBorders>
            <w:shd w:val="clear" w:color="auto" w:fill="auto"/>
            <w:vAlign w:val="center"/>
            <w:hideMark/>
          </w:tcPr>
          <w:p w14:paraId="57C9579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Zobne bolezni in </w:t>
            </w:r>
            <w:proofErr w:type="spellStart"/>
            <w:r w:rsidRPr="00944C8E">
              <w:rPr>
                <w:rFonts w:cs="Arial"/>
                <w:color w:val="000000"/>
                <w:szCs w:val="20"/>
                <w:lang w:eastAsia="sl-SI"/>
              </w:rPr>
              <w:t>endodontija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6232231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SIMED d.o.o.</w:t>
            </w:r>
          </w:p>
        </w:tc>
        <w:tc>
          <w:tcPr>
            <w:tcW w:w="1340" w:type="dxa"/>
            <w:tcBorders>
              <w:top w:val="nil"/>
              <w:left w:val="nil"/>
              <w:bottom w:val="single" w:sz="4" w:space="0" w:color="auto"/>
              <w:right w:val="single" w:sz="4" w:space="0" w:color="auto"/>
            </w:tcBorders>
            <w:shd w:val="clear" w:color="auto" w:fill="auto"/>
            <w:vAlign w:val="center"/>
            <w:hideMark/>
          </w:tcPr>
          <w:p w14:paraId="38797A2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0,4 tima</w:t>
            </w:r>
          </w:p>
        </w:tc>
        <w:tc>
          <w:tcPr>
            <w:tcW w:w="1420" w:type="dxa"/>
            <w:tcBorders>
              <w:top w:val="nil"/>
              <w:left w:val="nil"/>
              <w:bottom w:val="single" w:sz="4" w:space="0" w:color="auto"/>
              <w:right w:val="single" w:sz="4" w:space="0" w:color="auto"/>
            </w:tcBorders>
            <w:shd w:val="clear" w:color="auto" w:fill="auto"/>
            <w:vAlign w:val="center"/>
            <w:hideMark/>
          </w:tcPr>
          <w:p w14:paraId="2751197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55.834</w:t>
            </w:r>
          </w:p>
        </w:tc>
        <w:tc>
          <w:tcPr>
            <w:tcW w:w="1540" w:type="dxa"/>
            <w:tcBorders>
              <w:top w:val="nil"/>
              <w:left w:val="nil"/>
              <w:bottom w:val="single" w:sz="4" w:space="0" w:color="auto"/>
              <w:right w:val="single" w:sz="4" w:space="0" w:color="auto"/>
            </w:tcBorders>
            <w:shd w:val="clear" w:color="auto" w:fill="auto"/>
            <w:vAlign w:val="center"/>
            <w:hideMark/>
          </w:tcPr>
          <w:p w14:paraId="6D4AD38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32.570</w:t>
            </w:r>
          </w:p>
        </w:tc>
      </w:tr>
      <w:tr w:rsidR="00944C8E" w:rsidRPr="005E4BEA" w14:paraId="2414E831"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60FE7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19</w:t>
            </w:r>
          </w:p>
        </w:tc>
        <w:tc>
          <w:tcPr>
            <w:tcW w:w="2340" w:type="dxa"/>
            <w:tcBorders>
              <w:top w:val="nil"/>
              <w:left w:val="nil"/>
              <w:bottom w:val="single" w:sz="4" w:space="0" w:color="auto"/>
              <w:right w:val="single" w:sz="4" w:space="0" w:color="auto"/>
            </w:tcBorders>
            <w:shd w:val="clear" w:color="auto" w:fill="auto"/>
            <w:vAlign w:val="center"/>
            <w:hideMark/>
          </w:tcPr>
          <w:p w14:paraId="7C0FA9B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Zobne bolezni in </w:t>
            </w:r>
            <w:proofErr w:type="spellStart"/>
            <w:r w:rsidRPr="00944C8E">
              <w:rPr>
                <w:rFonts w:cs="Arial"/>
                <w:color w:val="000000"/>
                <w:szCs w:val="20"/>
                <w:lang w:eastAsia="sl-SI"/>
              </w:rPr>
              <w:t>endodontija</w:t>
            </w:r>
            <w:proofErr w:type="spellEnd"/>
          </w:p>
        </w:tc>
        <w:tc>
          <w:tcPr>
            <w:tcW w:w="1820" w:type="dxa"/>
            <w:tcBorders>
              <w:top w:val="nil"/>
              <w:left w:val="nil"/>
              <w:bottom w:val="single" w:sz="4" w:space="0" w:color="auto"/>
              <w:right w:val="single" w:sz="4" w:space="0" w:color="auto"/>
            </w:tcBorders>
            <w:shd w:val="clear" w:color="auto" w:fill="auto"/>
            <w:vAlign w:val="center"/>
            <w:hideMark/>
          </w:tcPr>
          <w:p w14:paraId="7FEEED6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Novo mesto</w:t>
            </w:r>
          </w:p>
        </w:tc>
        <w:tc>
          <w:tcPr>
            <w:tcW w:w="1340" w:type="dxa"/>
            <w:tcBorders>
              <w:top w:val="nil"/>
              <w:left w:val="nil"/>
              <w:bottom w:val="single" w:sz="4" w:space="0" w:color="auto"/>
              <w:right w:val="single" w:sz="4" w:space="0" w:color="auto"/>
            </w:tcBorders>
            <w:shd w:val="clear" w:color="auto" w:fill="auto"/>
            <w:vAlign w:val="center"/>
            <w:hideMark/>
          </w:tcPr>
          <w:p w14:paraId="0C16887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 tim</w:t>
            </w:r>
          </w:p>
        </w:tc>
        <w:tc>
          <w:tcPr>
            <w:tcW w:w="1420" w:type="dxa"/>
            <w:tcBorders>
              <w:top w:val="nil"/>
              <w:left w:val="nil"/>
              <w:bottom w:val="single" w:sz="4" w:space="0" w:color="auto"/>
              <w:right w:val="single" w:sz="4" w:space="0" w:color="auto"/>
            </w:tcBorders>
            <w:shd w:val="clear" w:color="auto" w:fill="auto"/>
            <w:vAlign w:val="center"/>
            <w:hideMark/>
          </w:tcPr>
          <w:p w14:paraId="577E4DC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139.585</w:t>
            </w:r>
          </w:p>
        </w:tc>
        <w:tc>
          <w:tcPr>
            <w:tcW w:w="1540" w:type="dxa"/>
            <w:tcBorders>
              <w:top w:val="nil"/>
              <w:left w:val="nil"/>
              <w:bottom w:val="single" w:sz="4" w:space="0" w:color="auto"/>
              <w:right w:val="single" w:sz="4" w:space="0" w:color="auto"/>
            </w:tcBorders>
            <w:shd w:val="clear" w:color="auto" w:fill="auto"/>
            <w:vAlign w:val="center"/>
            <w:hideMark/>
          </w:tcPr>
          <w:p w14:paraId="237A40C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81.425</w:t>
            </w:r>
          </w:p>
        </w:tc>
      </w:tr>
      <w:tr w:rsidR="00944C8E" w:rsidRPr="00944C8E" w14:paraId="52731B41"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1C72F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20</w:t>
            </w:r>
          </w:p>
        </w:tc>
        <w:tc>
          <w:tcPr>
            <w:tcW w:w="2340" w:type="dxa"/>
            <w:tcBorders>
              <w:top w:val="nil"/>
              <w:left w:val="nil"/>
              <w:bottom w:val="single" w:sz="4" w:space="0" w:color="auto"/>
              <w:right w:val="single" w:sz="4" w:space="0" w:color="auto"/>
            </w:tcBorders>
            <w:shd w:val="clear" w:color="auto" w:fill="auto"/>
            <w:vAlign w:val="center"/>
            <w:hideMark/>
          </w:tcPr>
          <w:p w14:paraId="4B7385C2"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Oftamologija</w:t>
            </w:r>
            <w:proofErr w:type="spellEnd"/>
            <w:r w:rsidRPr="00944C8E">
              <w:rPr>
                <w:rFonts w:cs="Arial"/>
                <w:color w:val="000000"/>
                <w:szCs w:val="20"/>
                <w:lang w:eastAsia="sl-SI"/>
              </w:rPr>
              <w:t xml:space="preserve"> – okulistična ambulanta</w:t>
            </w:r>
          </w:p>
        </w:tc>
        <w:tc>
          <w:tcPr>
            <w:tcW w:w="1820" w:type="dxa"/>
            <w:tcBorders>
              <w:top w:val="nil"/>
              <w:left w:val="nil"/>
              <w:bottom w:val="single" w:sz="4" w:space="0" w:color="auto"/>
              <w:right w:val="single" w:sz="4" w:space="0" w:color="auto"/>
            </w:tcBorders>
            <w:shd w:val="clear" w:color="auto" w:fill="auto"/>
            <w:vAlign w:val="center"/>
            <w:hideMark/>
          </w:tcPr>
          <w:p w14:paraId="29DF525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Vid d.o.o.</w:t>
            </w:r>
          </w:p>
        </w:tc>
        <w:tc>
          <w:tcPr>
            <w:tcW w:w="1340" w:type="dxa"/>
            <w:tcBorders>
              <w:top w:val="nil"/>
              <w:left w:val="nil"/>
              <w:bottom w:val="single" w:sz="4" w:space="0" w:color="auto"/>
              <w:right w:val="single" w:sz="4" w:space="0" w:color="auto"/>
            </w:tcBorders>
            <w:shd w:val="clear" w:color="auto" w:fill="auto"/>
            <w:vAlign w:val="center"/>
            <w:hideMark/>
          </w:tcPr>
          <w:p w14:paraId="7767D9C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0,13 tima</w:t>
            </w:r>
          </w:p>
        </w:tc>
        <w:tc>
          <w:tcPr>
            <w:tcW w:w="1420" w:type="dxa"/>
            <w:tcBorders>
              <w:top w:val="nil"/>
              <w:left w:val="nil"/>
              <w:bottom w:val="single" w:sz="4" w:space="0" w:color="auto"/>
              <w:right w:val="single" w:sz="4" w:space="0" w:color="auto"/>
            </w:tcBorders>
            <w:shd w:val="clear" w:color="auto" w:fill="auto"/>
            <w:vAlign w:val="center"/>
            <w:hideMark/>
          </w:tcPr>
          <w:p w14:paraId="6619B9B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17.790</w:t>
            </w:r>
          </w:p>
        </w:tc>
        <w:tc>
          <w:tcPr>
            <w:tcW w:w="1540" w:type="dxa"/>
            <w:tcBorders>
              <w:top w:val="nil"/>
              <w:left w:val="nil"/>
              <w:bottom w:val="single" w:sz="4" w:space="0" w:color="auto"/>
              <w:right w:val="single" w:sz="4" w:space="0" w:color="auto"/>
            </w:tcBorders>
            <w:shd w:val="clear" w:color="auto" w:fill="auto"/>
            <w:vAlign w:val="center"/>
            <w:hideMark/>
          </w:tcPr>
          <w:p w14:paraId="03F7BF5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10.378</w:t>
            </w:r>
          </w:p>
        </w:tc>
      </w:tr>
      <w:tr w:rsidR="00944C8E" w:rsidRPr="005E4BEA" w14:paraId="32B6F0CF"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E9797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21</w:t>
            </w:r>
          </w:p>
        </w:tc>
        <w:tc>
          <w:tcPr>
            <w:tcW w:w="2340" w:type="dxa"/>
            <w:tcBorders>
              <w:top w:val="nil"/>
              <w:left w:val="nil"/>
              <w:bottom w:val="single" w:sz="4" w:space="0" w:color="auto"/>
              <w:right w:val="single" w:sz="4" w:space="0" w:color="auto"/>
            </w:tcBorders>
            <w:shd w:val="clear" w:color="auto" w:fill="auto"/>
            <w:vAlign w:val="center"/>
            <w:hideMark/>
          </w:tcPr>
          <w:p w14:paraId="2BE660F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Ambulanta družinske medicine / </w:t>
            </w:r>
            <w:r w:rsidRPr="00944C8E">
              <w:rPr>
                <w:rFonts w:cs="Arial"/>
                <w:color w:val="000000"/>
                <w:szCs w:val="20"/>
                <w:lang w:eastAsia="sl-SI"/>
              </w:rPr>
              <w:br/>
              <w:t>Splošna ambulanta SA</w:t>
            </w:r>
          </w:p>
        </w:tc>
        <w:tc>
          <w:tcPr>
            <w:tcW w:w="1820" w:type="dxa"/>
            <w:tcBorders>
              <w:top w:val="nil"/>
              <w:left w:val="nil"/>
              <w:bottom w:val="single" w:sz="4" w:space="0" w:color="auto"/>
              <w:right w:val="single" w:sz="4" w:space="0" w:color="auto"/>
            </w:tcBorders>
            <w:shd w:val="clear" w:color="auto" w:fill="auto"/>
            <w:vAlign w:val="center"/>
            <w:hideMark/>
          </w:tcPr>
          <w:p w14:paraId="4022B22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OE Celje / Braslovče</w:t>
            </w:r>
          </w:p>
        </w:tc>
        <w:tc>
          <w:tcPr>
            <w:tcW w:w="1340" w:type="dxa"/>
            <w:tcBorders>
              <w:top w:val="nil"/>
              <w:left w:val="nil"/>
              <w:bottom w:val="single" w:sz="4" w:space="0" w:color="auto"/>
              <w:right w:val="single" w:sz="4" w:space="0" w:color="auto"/>
            </w:tcBorders>
            <w:shd w:val="clear" w:color="auto" w:fill="auto"/>
            <w:vAlign w:val="center"/>
            <w:hideMark/>
          </w:tcPr>
          <w:p w14:paraId="0E1A6F5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 tima</w:t>
            </w:r>
          </w:p>
        </w:tc>
        <w:tc>
          <w:tcPr>
            <w:tcW w:w="1420" w:type="dxa"/>
            <w:tcBorders>
              <w:top w:val="nil"/>
              <w:left w:val="nil"/>
              <w:bottom w:val="single" w:sz="4" w:space="0" w:color="auto"/>
              <w:right w:val="single" w:sz="4" w:space="0" w:color="auto"/>
            </w:tcBorders>
            <w:shd w:val="clear" w:color="auto" w:fill="auto"/>
            <w:vAlign w:val="center"/>
            <w:hideMark/>
          </w:tcPr>
          <w:p w14:paraId="272F4F2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294.259</w:t>
            </w:r>
          </w:p>
        </w:tc>
        <w:tc>
          <w:tcPr>
            <w:tcW w:w="1540" w:type="dxa"/>
            <w:tcBorders>
              <w:top w:val="nil"/>
              <w:left w:val="nil"/>
              <w:bottom w:val="single" w:sz="4" w:space="0" w:color="auto"/>
              <w:right w:val="single" w:sz="4" w:space="0" w:color="auto"/>
            </w:tcBorders>
            <w:shd w:val="clear" w:color="auto" w:fill="auto"/>
            <w:vAlign w:val="center"/>
            <w:hideMark/>
          </w:tcPr>
          <w:p w14:paraId="5CFB60A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171.651</w:t>
            </w:r>
          </w:p>
        </w:tc>
      </w:tr>
      <w:tr w:rsidR="00944C8E" w:rsidRPr="005E4BEA" w14:paraId="72F5111E"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40F36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22</w:t>
            </w:r>
          </w:p>
        </w:tc>
        <w:tc>
          <w:tcPr>
            <w:tcW w:w="2340" w:type="dxa"/>
            <w:tcBorders>
              <w:top w:val="nil"/>
              <w:left w:val="nil"/>
              <w:bottom w:val="single" w:sz="4" w:space="0" w:color="auto"/>
              <w:right w:val="single" w:sz="4" w:space="0" w:color="auto"/>
            </w:tcBorders>
            <w:shd w:val="clear" w:color="auto" w:fill="auto"/>
            <w:vAlign w:val="center"/>
            <w:hideMark/>
          </w:tcPr>
          <w:p w14:paraId="69C6140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Stomatološko protetična dejavnost </w:t>
            </w:r>
          </w:p>
        </w:tc>
        <w:tc>
          <w:tcPr>
            <w:tcW w:w="1820" w:type="dxa"/>
            <w:tcBorders>
              <w:top w:val="nil"/>
              <w:left w:val="nil"/>
              <w:bottom w:val="single" w:sz="4" w:space="0" w:color="auto"/>
              <w:right w:val="single" w:sz="4" w:space="0" w:color="auto"/>
            </w:tcBorders>
            <w:shd w:val="clear" w:color="auto" w:fill="auto"/>
            <w:vAlign w:val="center"/>
            <w:hideMark/>
          </w:tcPr>
          <w:p w14:paraId="6EFB1C1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Celje</w:t>
            </w:r>
          </w:p>
        </w:tc>
        <w:tc>
          <w:tcPr>
            <w:tcW w:w="1340" w:type="dxa"/>
            <w:tcBorders>
              <w:top w:val="nil"/>
              <w:left w:val="nil"/>
              <w:bottom w:val="single" w:sz="4" w:space="0" w:color="auto"/>
              <w:right w:val="single" w:sz="4" w:space="0" w:color="auto"/>
            </w:tcBorders>
            <w:shd w:val="clear" w:color="auto" w:fill="auto"/>
            <w:vAlign w:val="center"/>
            <w:hideMark/>
          </w:tcPr>
          <w:p w14:paraId="3270BBF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0,5</w:t>
            </w:r>
          </w:p>
        </w:tc>
        <w:tc>
          <w:tcPr>
            <w:tcW w:w="1420" w:type="dxa"/>
            <w:tcBorders>
              <w:top w:val="nil"/>
              <w:left w:val="nil"/>
              <w:bottom w:val="single" w:sz="4" w:space="0" w:color="auto"/>
              <w:right w:val="single" w:sz="4" w:space="0" w:color="auto"/>
            </w:tcBorders>
            <w:shd w:val="clear" w:color="auto" w:fill="auto"/>
            <w:vAlign w:val="center"/>
            <w:hideMark/>
          </w:tcPr>
          <w:p w14:paraId="29E82CC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115.669</w:t>
            </w:r>
          </w:p>
        </w:tc>
        <w:tc>
          <w:tcPr>
            <w:tcW w:w="1540" w:type="dxa"/>
            <w:tcBorders>
              <w:top w:val="nil"/>
              <w:left w:val="nil"/>
              <w:bottom w:val="single" w:sz="4" w:space="0" w:color="auto"/>
              <w:right w:val="single" w:sz="4" w:space="0" w:color="auto"/>
            </w:tcBorders>
            <w:shd w:val="clear" w:color="auto" w:fill="auto"/>
            <w:vAlign w:val="center"/>
            <w:hideMark/>
          </w:tcPr>
          <w:p w14:paraId="4B0AA8A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67.474</w:t>
            </w:r>
          </w:p>
        </w:tc>
      </w:tr>
      <w:tr w:rsidR="00944C8E" w:rsidRPr="005E4BEA" w14:paraId="59F77A77"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9E8EC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23</w:t>
            </w:r>
          </w:p>
        </w:tc>
        <w:tc>
          <w:tcPr>
            <w:tcW w:w="2340" w:type="dxa"/>
            <w:tcBorders>
              <w:top w:val="nil"/>
              <w:left w:val="nil"/>
              <w:bottom w:val="single" w:sz="4" w:space="0" w:color="auto"/>
              <w:right w:val="single" w:sz="4" w:space="0" w:color="auto"/>
            </w:tcBorders>
            <w:shd w:val="clear" w:color="auto" w:fill="auto"/>
            <w:vAlign w:val="center"/>
            <w:hideMark/>
          </w:tcPr>
          <w:p w14:paraId="63D945AF"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Parodontologija</w:t>
            </w:r>
            <w:proofErr w:type="spellEnd"/>
            <w:r w:rsidRPr="00944C8E">
              <w:rPr>
                <w:rFonts w:cs="Arial"/>
                <w:color w:val="000000"/>
                <w:szCs w:val="20"/>
                <w:lang w:eastAsia="sl-SI"/>
              </w:rPr>
              <w:t xml:space="preserve"> / zobne bolezni in </w:t>
            </w:r>
            <w:proofErr w:type="spellStart"/>
            <w:r w:rsidRPr="00944C8E">
              <w:rPr>
                <w:rFonts w:cs="Arial"/>
                <w:color w:val="000000"/>
                <w:szCs w:val="20"/>
                <w:lang w:eastAsia="sl-SI"/>
              </w:rPr>
              <w:t>endodontija</w:t>
            </w:r>
            <w:proofErr w:type="spellEnd"/>
            <w:r w:rsidRPr="00944C8E">
              <w:rPr>
                <w:rFonts w:cs="Arial"/>
                <w:color w:val="000000"/>
                <w:szCs w:val="20"/>
                <w:lang w:eastAsia="sl-SI"/>
              </w:rPr>
              <w:t xml:space="preserve"> </w:t>
            </w:r>
          </w:p>
        </w:tc>
        <w:tc>
          <w:tcPr>
            <w:tcW w:w="1820" w:type="dxa"/>
            <w:tcBorders>
              <w:top w:val="nil"/>
              <w:left w:val="nil"/>
              <w:bottom w:val="single" w:sz="4" w:space="0" w:color="auto"/>
              <w:right w:val="single" w:sz="4" w:space="0" w:color="auto"/>
            </w:tcBorders>
            <w:shd w:val="clear" w:color="auto" w:fill="auto"/>
            <w:vAlign w:val="center"/>
            <w:hideMark/>
          </w:tcPr>
          <w:p w14:paraId="2153240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Celje</w:t>
            </w:r>
          </w:p>
        </w:tc>
        <w:tc>
          <w:tcPr>
            <w:tcW w:w="1340" w:type="dxa"/>
            <w:tcBorders>
              <w:top w:val="nil"/>
              <w:left w:val="nil"/>
              <w:bottom w:val="single" w:sz="4" w:space="0" w:color="auto"/>
              <w:right w:val="single" w:sz="4" w:space="0" w:color="auto"/>
            </w:tcBorders>
            <w:shd w:val="clear" w:color="auto" w:fill="auto"/>
            <w:vAlign w:val="center"/>
            <w:hideMark/>
          </w:tcPr>
          <w:p w14:paraId="0D9A68D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w:t>
            </w:r>
          </w:p>
        </w:tc>
        <w:tc>
          <w:tcPr>
            <w:tcW w:w="1420" w:type="dxa"/>
            <w:tcBorders>
              <w:top w:val="nil"/>
              <w:left w:val="nil"/>
              <w:bottom w:val="single" w:sz="4" w:space="0" w:color="auto"/>
              <w:right w:val="single" w:sz="4" w:space="0" w:color="auto"/>
            </w:tcBorders>
            <w:shd w:val="clear" w:color="auto" w:fill="auto"/>
            <w:vAlign w:val="center"/>
            <w:hideMark/>
          </w:tcPr>
          <w:p w14:paraId="77B454A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139.586</w:t>
            </w:r>
          </w:p>
        </w:tc>
        <w:tc>
          <w:tcPr>
            <w:tcW w:w="1540" w:type="dxa"/>
            <w:tcBorders>
              <w:top w:val="nil"/>
              <w:left w:val="nil"/>
              <w:bottom w:val="single" w:sz="4" w:space="0" w:color="auto"/>
              <w:right w:val="single" w:sz="4" w:space="0" w:color="auto"/>
            </w:tcBorders>
            <w:shd w:val="clear" w:color="auto" w:fill="auto"/>
            <w:vAlign w:val="center"/>
            <w:hideMark/>
          </w:tcPr>
          <w:p w14:paraId="5C2030A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81.425</w:t>
            </w:r>
          </w:p>
        </w:tc>
      </w:tr>
      <w:tr w:rsidR="00944C8E" w:rsidRPr="005E4BEA" w14:paraId="40A294E6" w14:textId="77777777" w:rsidTr="00F40403">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22147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24</w:t>
            </w:r>
          </w:p>
        </w:tc>
        <w:tc>
          <w:tcPr>
            <w:tcW w:w="2340" w:type="dxa"/>
            <w:tcBorders>
              <w:top w:val="nil"/>
              <w:left w:val="nil"/>
              <w:bottom w:val="single" w:sz="4" w:space="0" w:color="auto"/>
              <w:right w:val="single" w:sz="4" w:space="0" w:color="auto"/>
            </w:tcBorders>
            <w:shd w:val="clear" w:color="auto" w:fill="auto"/>
            <w:vAlign w:val="center"/>
            <w:hideMark/>
          </w:tcPr>
          <w:p w14:paraId="64785FB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Zdravljenje s </w:t>
            </w:r>
            <w:proofErr w:type="spellStart"/>
            <w:r w:rsidRPr="00944C8E">
              <w:rPr>
                <w:rFonts w:cs="Arial"/>
                <w:color w:val="000000"/>
                <w:szCs w:val="20"/>
                <w:lang w:eastAsia="sl-SI"/>
              </w:rPr>
              <w:t>hiperbarično</w:t>
            </w:r>
            <w:proofErr w:type="spellEnd"/>
            <w:r w:rsidRPr="00944C8E">
              <w:rPr>
                <w:rFonts w:cs="Arial"/>
                <w:color w:val="000000"/>
                <w:szCs w:val="20"/>
                <w:lang w:eastAsia="sl-SI"/>
              </w:rPr>
              <w:t xml:space="preserve"> komoro Od 1.9.2022</w:t>
            </w:r>
          </w:p>
        </w:tc>
        <w:tc>
          <w:tcPr>
            <w:tcW w:w="1820" w:type="dxa"/>
            <w:tcBorders>
              <w:top w:val="nil"/>
              <w:left w:val="nil"/>
              <w:bottom w:val="single" w:sz="4" w:space="0" w:color="auto"/>
              <w:right w:val="single" w:sz="4" w:space="0" w:color="auto"/>
            </w:tcBorders>
            <w:shd w:val="clear" w:color="auto" w:fill="auto"/>
            <w:vAlign w:val="center"/>
            <w:hideMark/>
          </w:tcPr>
          <w:p w14:paraId="78FCCFAF"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OB Valdoltra</w:t>
            </w:r>
          </w:p>
        </w:tc>
        <w:tc>
          <w:tcPr>
            <w:tcW w:w="1340" w:type="dxa"/>
            <w:tcBorders>
              <w:top w:val="nil"/>
              <w:left w:val="nil"/>
              <w:bottom w:val="single" w:sz="4" w:space="0" w:color="auto"/>
              <w:right w:val="single" w:sz="4" w:space="0" w:color="auto"/>
            </w:tcBorders>
            <w:shd w:val="clear" w:color="auto" w:fill="auto"/>
            <w:vAlign w:val="center"/>
            <w:hideMark/>
          </w:tcPr>
          <w:p w14:paraId="15B8757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70 primerov</w:t>
            </w:r>
          </w:p>
        </w:tc>
        <w:tc>
          <w:tcPr>
            <w:tcW w:w="1420" w:type="dxa"/>
            <w:tcBorders>
              <w:top w:val="nil"/>
              <w:left w:val="nil"/>
              <w:bottom w:val="single" w:sz="4" w:space="0" w:color="auto"/>
              <w:right w:val="single" w:sz="4" w:space="0" w:color="auto"/>
            </w:tcBorders>
            <w:shd w:val="clear" w:color="auto" w:fill="auto"/>
            <w:vAlign w:val="center"/>
            <w:hideMark/>
          </w:tcPr>
          <w:p w14:paraId="607F510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220.000</w:t>
            </w:r>
          </w:p>
        </w:tc>
        <w:tc>
          <w:tcPr>
            <w:tcW w:w="1540" w:type="dxa"/>
            <w:tcBorders>
              <w:top w:val="nil"/>
              <w:left w:val="nil"/>
              <w:bottom w:val="single" w:sz="4" w:space="0" w:color="auto"/>
              <w:right w:val="single" w:sz="4" w:space="0" w:color="auto"/>
            </w:tcBorders>
            <w:shd w:val="clear" w:color="auto" w:fill="auto"/>
            <w:vAlign w:val="center"/>
            <w:hideMark/>
          </w:tcPr>
          <w:p w14:paraId="0F54BB5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73.333</w:t>
            </w:r>
          </w:p>
        </w:tc>
      </w:tr>
      <w:tr w:rsidR="00944C8E" w:rsidRPr="005E4BEA" w14:paraId="12D0EEB9" w14:textId="77777777" w:rsidTr="00F40403">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37152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25</w:t>
            </w:r>
          </w:p>
        </w:tc>
        <w:tc>
          <w:tcPr>
            <w:tcW w:w="2340" w:type="dxa"/>
            <w:tcBorders>
              <w:top w:val="nil"/>
              <w:left w:val="nil"/>
              <w:bottom w:val="single" w:sz="4" w:space="0" w:color="auto"/>
              <w:right w:val="single" w:sz="4" w:space="0" w:color="auto"/>
            </w:tcBorders>
            <w:shd w:val="clear" w:color="auto" w:fill="auto"/>
            <w:vAlign w:val="center"/>
            <w:hideMark/>
          </w:tcPr>
          <w:p w14:paraId="3433F5C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Zdravljenje bolnikov s težko astmo s pomočjo bronhialne </w:t>
            </w:r>
            <w:proofErr w:type="spellStart"/>
            <w:r w:rsidRPr="00944C8E">
              <w:rPr>
                <w:rFonts w:cs="Arial"/>
                <w:color w:val="000000"/>
                <w:szCs w:val="20"/>
                <w:lang w:eastAsia="sl-SI"/>
              </w:rPr>
              <w:t>termoplastike</w:t>
            </w:r>
            <w:proofErr w:type="spellEnd"/>
            <w:r w:rsidRPr="00944C8E">
              <w:rPr>
                <w:rFonts w:cs="Arial"/>
                <w:color w:val="000000"/>
                <w:szCs w:val="20"/>
                <w:lang w:eastAsia="sl-SI"/>
              </w:rPr>
              <w:t xml:space="preserve"> (BT) - BT elektroda</w:t>
            </w:r>
          </w:p>
        </w:tc>
        <w:tc>
          <w:tcPr>
            <w:tcW w:w="1820" w:type="dxa"/>
            <w:tcBorders>
              <w:top w:val="nil"/>
              <w:left w:val="nil"/>
              <w:bottom w:val="single" w:sz="4" w:space="0" w:color="auto"/>
              <w:right w:val="single" w:sz="4" w:space="0" w:color="auto"/>
            </w:tcBorders>
            <w:shd w:val="clear" w:color="auto" w:fill="auto"/>
            <w:vAlign w:val="center"/>
            <w:hideMark/>
          </w:tcPr>
          <w:p w14:paraId="4867AC8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UK Golnik</w:t>
            </w:r>
          </w:p>
        </w:tc>
        <w:tc>
          <w:tcPr>
            <w:tcW w:w="1340" w:type="dxa"/>
            <w:tcBorders>
              <w:top w:val="nil"/>
              <w:left w:val="nil"/>
              <w:bottom w:val="single" w:sz="4" w:space="0" w:color="auto"/>
              <w:right w:val="single" w:sz="4" w:space="0" w:color="auto"/>
            </w:tcBorders>
            <w:shd w:val="clear" w:color="auto" w:fill="auto"/>
            <w:vAlign w:val="center"/>
            <w:hideMark/>
          </w:tcPr>
          <w:p w14:paraId="4C519DF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 primerov</w:t>
            </w:r>
          </w:p>
        </w:tc>
        <w:tc>
          <w:tcPr>
            <w:tcW w:w="1420" w:type="dxa"/>
            <w:tcBorders>
              <w:top w:val="nil"/>
              <w:left w:val="nil"/>
              <w:bottom w:val="single" w:sz="4" w:space="0" w:color="auto"/>
              <w:right w:val="single" w:sz="4" w:space="0" w:color="auto"/>
            </w:tcBorders>
            <w:shd w:val="clear" w:color="auto" w:fill="auto"/>
            <w:vAlign w:val="center"/>
            <w:hideMark/>
          </w:tcPr>
          <w:p w14:paraId="7225E30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90.000</w:t>
            </w:r>
          </w:p>
        </w:tc>
        <w:tc>
          <w:tcPr>
            <w:tcW w:w="1540" w:type="dxa"/>
            <w:tcBorders>
              <w:top w:val="nil"/>
              <w:left w:val="nil"/>
              <w:bottom w:val="single" w:sz="4" w:space="0" w:color="auto"/>
              <w:right w:val="single" w:sz="4" w:space="0" w:color="auto"/>
            </w:tcBorders>
            <w:shd w:val="clear" w:color="auto" w:fill="auto"/>
            <w:vAlign w:val="center"/>
            <w:hideMark/>
          </w:tcPr>
          <w:p w14:paraId="328426C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30.000</w:t>
            </w:r>
          </w:p>
        </w:tc>
      </w:tr>
      <w:tr w:rsidR="00944C8E" w:rsidRPr="005E4BEA" w14:paraId="7FA293E9" w14:textId="77777777" w:rsidTr="00F40403">
        <w:trPr>
          <w:trHeight w:val="178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62F2C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26</w:t>
            </w:r>
          </w:p>
        </w:tc>
        <w:tc>
          <w:tcPr>
            <w:tcW w:w="2340" w:type="dxa"/>
            <w:tcBorders>
              <w:top w:val="nil"/>
              <w:left w:val="nil"/>
              <w:bottom w:val="single" w:sz="4" w:space="0" w:color="auto"/>
              <w:right w:val="single" w:sz="4" w:space="0" w:color="auto"/>
            </w:tcBorders>
            <w:shd w:val="clear" w:color="auto" w:fill="auto"/>
            <w:vAlign w:val="center"/>
            <w:hideMark/>
          </w:tcPr>
          <w:p w14:paraId="1309297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Multidisciplinarni tim (MDT) za težko obliko obstruktivne bolezni pljuč – bolnik s problematičnim potekom dihalne poti (VZD 101 300 - ABO)</w:t>
            </w:r>
          </w:p>
        </w:tc>
        <w:tc>
          <w:tcPr>
            <w:tcW w:w="1820" w:type="dxa"/>
            <w:tcBorders>
              <w:top w:val="nil"/>
              <w:left w:val="nil"/>
              <w:bottom w:val="single" w:sz="4" w:space="0" w:color="auto"/>
              <w:right w:val="single" w:sz="4" w:space="0" w:color="auto"/>
            </w:tcBorders>
            <w:shd w:val="clear" w:color="auto" w:fill="auto"/>
            <w:vAlign w:val="center"/>
            <w:hideMark/>
          </w:tcPr>
          <w:p w14:paraId="6187A9D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UK Golnik</w:t>
            </w:r>
          </w:p>
        </w:tc>
        <w:tc>
          <w:tcPr>
            <w:tcW w:w="1340" w:type="dxa"/>
            <w:tcBorders>
              <w:top w:val="nil"/>
              <w:left w:val="nil"/>
              <w:bottom w:val="single" w:sz="4" w:space="0" w:color="auto"/>
              <w:right w:val="single" w:sz="4" w:space="0" w:color="auto"/>
            </w:tcBorders>
            <w:shd w:val="clear" w:color="auto" w:fill="auto"/>
            <w:vAlign w:val="center"/>
            <w:hideMark/>
          </w:tcPr>
          <w:p w14:paraId="2C8B9C7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167 primerov</w:t>
            </w:r>
          </w:p>
        </w:tc>
        <w:tc>
          <w:tcPr>
            <w:tcW w:w="1420" w:type="dxa"/>
            <w:tcBorders>
              <w:top w:val="nil"/>
              <w:left w:val="nil"/>
              <w:bottom w:val="single" w:sz="4" w:space="0" w:color="auto"/>
              <w:right w:val="single" w:sz="4" w:space="0" w:color="auto"/>
            </w:tcBorders>
            <w:shd w:val="clear" w:color="auto" w:fill="auto"/>
            <w:vAlign w:val="center"/>
            <w:hideMark/>
          </w:tcPr>
          <w:p w14:paraId="02FF12C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268.528</w:t>
            </w:r>
          </w:p>
        </w:tc>
        <w:tc>
          <w:tcPr>
            <w:tcW w:w="1540" w:type="dxa"/>
            <w:tcBorders>
              <w:top w:val="nil"/>
              <w:left w:val="nil"/>
              <w:bottom w:val="single" w:sz="4" w:space="0" w:color="auto"/>
              <w:right w:val="single" w:sz="4" w:space="0" w:color="auto"/>
            </w:tcBorders>
            <w:shd w:val="clear" w:color="auto" w:fill="auto"/>
            <w:vAlign w:val="center"/>
            <w:hideMark/>
          </w:tcPr>
          <w:p w14:paraId="0E80D61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89.509</w:t>
            </w:r>
          </w:p>
        </w:tc>
      </w:tr>
      <w:tr w:rsidR="00944C8E" w:rsidRPr="005E4BEA" w14:paraId="3B34AC7F"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115B24"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27</w:t>
            </w:r>
          </w:p>
        </w:tc>
        <w:tc>
          <w:tcPr>
            <w:tcW w:w="2340" w:type="dxa"/>
            <w:tcBorders>
              <w:top w:val="nil"/>
              <w:left w:val="nil"/>
              <w:bottom w:val="single" w:sz="4" w:space="0" w:color="auto"/>
              <w:right w:val="single" w:sz="4" w:space="0" w:color="auto"/>
            </w:tcBorders>
            <w:shd w:val="clear" w:color="auto" w:fill="auto"/>
            <w:vAlign w:val="center"/>
            <w:hideMark/>
          </w:tcPr>
          <w:p w14:paraId="03E2338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PUC (razen zagotavljanja zdravnikov)  (od 1.6.2022)</w:t>
            </w:r>
          </w:p>
        </w:tc>
        <w:tc>
          <w:tcPr>
            <w:tcW w:w="1820" w:type="dxa"/>
            <w:tcBorders>
              <w:top w:val="nil"/>
              <w:left w:val="nil"/>
              <w:bottom w:val="single" w:sz="4" w:space="0" w:color="auto"/>
              <w:right w:val="single" w:sz="4" w:space="0" w:color="auto"/>
            </w:tcBorders>
            <w:shd w:val="clear" w:color="auto" w:fill="auto"/>
            <w:vAlign w:val="center"/>
            <w:hideMark/>
          </w:tcPr>
          <w:p w14:paraId="17E02F92"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SB Novo mesto</w:t>
            </w:r>
          </w:p>
        </w:tc>
        <w:tc>
          <w:tcPr>
            <w:tcW w:w="1340" w:type="dxa"/>
            <w:tcBorders>
              <w:top w:val="nil"/>
              <w:left w:val="nil"/>
              <w:bottom w:val="single" w:sz="4" w:space="0" w:color="auto"/>
              <w:right w:val="single" w:sz="4" w:space="0" w:color="auto"/>
            </w:tcBorders>
            <w:shd w:val="clear" w:color="auto" w:fill="auto"/>
            <w:vAlign w:val="center"/>
            <w:hideMark/>
          </w:tcPr>
          <w:p w14:paraId="0E8D9FE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6A3B11D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184.509</w:t>
            </w:r>
          </w:p>
        </w:tc>
        <w:tc>
          <w:tcPr>
            <w:tcW w:w="1540" w:type="dxa"/>
            <w:tcBorders>
              <w:top w:val="nil"/>
              <w:left w:val="nil"/>
              <w:bottom w:val="single" w:sz="4" w:space="0" w:color="auto"/>
              <w:right w:val="single" w:sz="4" w:space="0" w:color="auto"/>
            </w:tcBorders>
            <w:shd w:val="clear" w:color="auto" w:fill="auto"/>
            <w:vAlign w:val="center"/>
            <w:hideMark/>
          </w:tcPr>
          <w:p w14:paraId="772756A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107.630</w:t>
            </w:r>
          </w:p>
        </w:tc>
      </w:tr>
      <w:tr w:rsidR="00944C8E" w:rsidRPr="005E4BEA" w14:paraId="02150467"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CA5DF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28</w:t>
            </w:r>
          </w:p>
        </w:tc>
        <w:tc>
          <w:tcPr>
            <w:tcW w:w="2340" w:type="dxa"/>
            <w:tcBorders>
              <w:top w:val="nil"/>
              <w:left w:val="nil"/>
              <w:bottom w:val="single" w:sz="4" w:space="0" w:color="auto"/>
              <w:right w:val="single" w:sz="4" w:space="0" w:color="auto"/>
            </w:tcBorders>
            <w:shd w:val="clear" w:color="auto" w:fill="auto"/>
            <w:vAlign w:val="center"/>
            <w:hideMark/>
          </w:tcPr>
          <w:p w14:paraId="6484117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399FE85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Metlika</w:t>
            </w:r>
          </w:p>
        </w:tc>
        <w:tc>
          <w:tcPr>
            <w:tcW w:w="1340" w:type="dxa"/>
            <w:tcBorders>
              <w:top w:val="nil"/>
              <w:left w:val="nil"/>
              <w:bottom w:val="single" w:sz="4" w:space="0" w:color="auto"/>
              <w:right w:val="single" w:sz="4" w:space="0" w:color="auto"/>
            </w:tcBorders>
            <w:shd w:val="clear" w:color="auto" w:fill="auto"/>
            <w:vAlign w:val="center"/>
            <w:hideMark/>
          </w:tcPr>
          <w:p w14:paraId="46A02139"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0827719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8.160</w:t>
            </w:r>
          </w:p>
        </w:tc>
        <w:tc>
          <w:tcPr>
            <w:tcW w:w="1540" w:type="dxa"/>
            <w:tcBorders>
              <w:top w:val="nil"/>
              <w:left w:val="nil"/>
              <w:bottom w:val="single" w:sz="4" w:space="0" w:color="auto"/>
              <w:right w:val="single" w:sz="4" w:space="0" w:color="auto"/>
            </w:tcBorders>
            <w:shd w:val="clear" w:color="auto" w:fill="auto"/>
            <w:vAlign w:val="center"/>
            <w:hideMark/>
          </w:tcPr>
          <w:p w14:paraId="6C3D2DD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4.760</w:t>
            </w:r>
          </w:p>
        </w:tc>
      </w:tr>
      <w:tr w:rsidR="00944C8E" w:rsidRPr="005E4BEA" w14:paraId="7F9CE193"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568EC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29</w:t>
            </w:r>
          </w:p>
        </w:tc>
        <w:tc>
          <w:tcPr>
            <w:tcW w:w="2340" w:type="dxa"/>
            <w:tcBorders>
              <w:top w:val="nil"/>
              <w:left w:val="nil"/>
              <w:bottom w:val="single" w:sz="4" w:space="0" w:color="auto"/>
              <w:right w:val="single" w:sz="4" w:space="0" w:color="auto"/>
            </w:tcBorders>
            <w:shd w:val="clear" w:color="auto" w:fill="auto"/>
            <w:vAlign w:val="center"/>
            <w:hideMark/>
          </w:tcPr>
          <w:p w14:paraId="42B12ED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225E829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Trebnje</w:t>
            </w:r>
          </w:p>
        </w:tc>
        <w:tc>
          <w:tcPr>
            <w:tcW w:w="1340" w:type="dxa"/>
            <w:tcBorders>
              <w:top w:val="nil"/>
              <w:left w:val="nil"/>
              <w:bottom w:val="single" w:sz="4" w:space="0" w:color="auto"/>
              <w:right w:val="single" w:sz="4" w:space="0" w:color="auto"/>
            </w:tcBorders>
            <w:shd w:val="clear" w:color="auto" w:fill="auto"/>
            <w:vAlign w:val="center"/>
            <w:hideMark/>
          </w:tcPr>
          <w:p w14:paraId="1EC3985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50B82D2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17.679</w:t>
            </w:r>
          </w:p>
        </w:tc>
        <w:tc>
          <w:tcPr>
            <w:tcW w:w="1540" w:type="dxa"/>
            <w:tcBorders>
              <w:top w:val="nil"/>
              <w:left w:val="nil"/>
              <w:bottom w:val="single" w:sz="4" w:space="0" w:color="auto"/>
              <w:right w:val="single" w:sz="4" w:space="0" w:color="auto"/>
            </w:tcBorders>
            <w:shd w:val="clear" w:color="auto" w:fill="auto"/>
            <w:vAlign w:val="center"/>
            <w:hideMark/>
          </w:tcPr>
          <w:p w14:paraId="44A81791"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10.313</w:t>
            </w:r>
          </w:p>
        </w:tc>
      </w:tr>
      <w:tr w:rsidR="00944C8E" w:rsidRPr="005E4BEA" w14:paraId="1C55EB9D"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86C4A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30</w:t>
            </w:r>
          </w:p>
        </w:tc>
        <w:tc>
          <w:tcPr>
            <w:tcW w:w="2340" w:type="dxa"/>
            <w:tcBorders>
              <w:top w:val="nil"/>
              <w:left w:val="nil"/>
              <w:bottom w:val="single" w:sz="4" w:space="0" w:color="auto"/>
              <w:right w:val="single" w:sz="4" w:space="0" w:color="auto"/>
            </w:tcBorders>
            <w:shd w:val="clear" w:color="auto" w:fill="auto"/>
            <w:vAlign w:val="center"/>
            <w:hideMark/>
          </w:tcPr>
          <w:p w14:paraId="0D341FD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23B6C37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Črnomelj</w:t>
            </w:r>
          </w:p>
        </w:tc>
        <w:tc>
          <w:tcPr>
            <w:tcW w:w="1340" w:type="dxa"/>
            <w:tcBorders>
              <w:top w:val="nil"/>
              <w:left w:val="nil"/>
              <w:bottom w:val="single" w:sz="4" w:space="0" w:color="auto"/>
              <w:right w:val="single" w:sz="4" w:space="0" w:color="auto"/>
            </w:tcBorders>
            <w:shd w:val="clear" w:color="auto" w:fill="auto"/>
            <w:vAlign w:val="center"/>
            <w:hideMark/>
          </w:tcPr>
          <w:p w14:paraId="35757AD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76F6059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17.679</w:t>
            </w:r>
          </w:p>
        </w:tc>
        <w:tc>
          <w:tcPr>
            <w:tcW w:w="1540" w:type="dxa"/>
            <w:tcBorders>
              <w:top w:val="nil"/>
              <w:left w:val="nil"/>
              <w:bottom w:val="single" w:sz="4" w:space="0" w:color="auto"/>
              <w:right w:val="single" w:sz="4" w:space="0" w:color="auto"/>
            </w:tcBorders>
            <w:shd w:val="clear" w:color="auto" w:fill="auto"/>
            <w:vAlign w:val="center"/>
            <w:hideMark/>
          </w:tcPr>
          <w:p w14:paraId="57420F6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10.313</w:t>
            </w:r>
          </w:p>
        </w:tc>
      </w:tr>
      <w:tr w:rsidR="00944C8E" w:rsidRPr="005E4BEA" w14:paraId="23C9A3F8" w14:textId="77777777" w:rsidTr="00F4040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3CAFE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31</w:t>
            </w:r>
          </w:p>
        </w:tc>
        <w:tc>
          <w:tcPr>
            <w:tcW w:w="2340" w:type="dxa"/>
            <w:tcBorders>
              <w:top w:val="nil"/>
              <w:left w:val="nil"/>
              <w:bottom w:val="single" w:sz="4" w:space="0" w:color="auto"/>
              <w:right w:val="single" w:sz="4" w:space="0" w:color="auto"/>
            </w:tcBorders>
            <w:shd w:val="clear" w:color="auto" w:fill="auto"/>
            <w:vAlign w:val="center"/>
            <w:hideMark/>
          </w:tcPr>
          <w:p w14:paraId="5E358197"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zagotavljanje zdravnikov za PUC Novo mesto (od 1.6.2022)</w:t>
            </w:r>
          </w:p>
        </w:tc>
        <w:tc>
          <w:tcPr>
            <w:tcW w:w="1820" w:type="dxa"/>
            <w:tcBorders>
              <w:top w:val="nil"/>
              <w:left w:val="nil"/>
              <w:bottom w:val="single" w:sz="4" w:space="0" w:color="auto"/>
              <w:right w:val="single" w:sz="4" w:space="0" w:color="auto"/>
            </w:tcBorders>
            <w:shd w:val="clear" w:color="auto" w:fill="auto"/>
            <w:vAlign w:val="center"/>
            <w:hideMark/>
          </w:tcPr>
          <w:p w14:paraId="45B9790A"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Novo mesto</w:t>
            </w:r>
          </w:p>
        </w:tc>
        <w:tc>
          <w:tcPr>
            <w:tcW w:w="1340" w:type="dxa"/>
            <w:tcBorders>
              <w:top w:val="nil"/>
              <w:left w:val="nil"/>
              <w:bottom w:val="single" w:sz="4" w:space="0" w:color="auto"/>
              <w:right w:val="single" w:sz="4" w:space="0" w:color="auto"/>
            </w:tcBorders>
            <w:shd w:val="clear" w:color="auto" w:fill="auto"/>
            <w:vAlign w:val="center"/>
            <w:hideMark/>
          </w:tcPr>
          <w:p w14:paraId="77653FC8"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w:t>
            </w:r>
          </w:p>
        </w:tc>
        <w:tc>
          <w:tcPr>
            <w:tcW w:w="1420" w:type="dxa"/>
            <w:tcBorders>
              <w:top w:val="nil"/>
              <w:left w:val="nil"/>
              <w:bottom w:val="single" w:sz="4" w:space="0" w:color="auto"/>
              <w:right w:val="single" w:sz="4" w:space="0" w:color="auto"/>
            </w:tcBorders>
            <w:shd w:val="clear" w:color="auto" w:fill="auto"/>
            <w:vAlign w:val="center"/>
            <w:hideMark/>
          </w:tcPr>
          <w:p w14:paraId="024CE2F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92.476</w:t>
            </w:r>
          </w:p>
        </w:tc>
        <w:tc>
          <w:tcPr>
            <w:tcW w:w="1540" w:type="dxa"/>
            <w:tcBorders>
              <w:top w:val="nil"/>
              <w:left w:val="nil"/>
              <w:bottom w:val="single" w:sz="4" w:space="0" w:color="auto"/>
              <w:right w:val="single" w:sz="4" w:space="0" w:color="auto"/>
            </w:tcBorders>
            <w:shd w:val="clear" w:color="auto" w:fill="auto"/>
            <w:vAlign w:val="center"/>
            <w:hideMark/>
          </w:tcPr>
          <w:p w14:paraId="5AAC6C7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53.944</w:t>
            </w:r>
          </w:p>
        </w:tc>
      </w:tr>
      <w:tr w:rsidR="00944C8E" w:rsidRPr="005E4BEA" w14:paraId="636A0BAE" w14:textId="77777777" w:rsidTr="00F4040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A414F3"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32</w:t>
            </w:r>
          </w:p>
        </w:tc>
        <w:tc>
          <w:tcPr>
            <w:tcW w:w="2340" w:type="dxa"/>
            <w:tcBorders>
              <w:top w:val="nil"/>
              <w:left w:val="nil"/>
              <w:bottom w:val="single" w:sz="4" w:space="0" w:color="auto"/>
              <w:right w:val="single" w:sz="4" w:space="0" w:color="auto"/>
            </w:tcBorders>
            <w:shd w:val="clear" w:color="auto" w:fill="auto"/>
            <w:vAlign w:val="center"/>
            <w:hideMark/>
          </w:tcPr>
          <w:p w14:paraId="76C45610" w14:textId="77777777" w:rsidR="00944C8E" w:rsidRPr="00944C8E" w:rsidRDefault="00944C8E" w:rsidP="00F40403">
            <w:pPr>
              <w:spacing w:line="240" w:lineRule="auto"/>
              <w:jc w:val="both"/>
              <w:rPr>
                <w:rFonts w:cs="Arial"/>
                <w:color w:val="000000"/>
                <w:szCs w:val="20"/>
                <w:lang w:eastAsia="sl-SI"/>
              </w:rPr>
            </w:pPr>
            <w:proofErr w:type="spellStart"/>
            <w:r w:rsidRPr="00944C8E">
              <w:rPr>
                <w:rFonts w:cs="Arial"/>
                <w:color w:val="000000"/>
                <w:szCs w:val="20"/>
                <w:lang w:eastAsia="sl-SI"/>
              </w:rPr>
              <w:t>Spec</w:t>
            </w:r>
            <w:proofErr w:type="spellEnd"/>
            <w:r w:rsidRPr="00944C8E">
              <w:rPr>
                <w:rFonts w:cs="Arial"/>
                <w:color w:val="000000"/>
                <w:szCs w:val="20"/>
                <w:lang w:eastAsia="sl-SI"/>
              </w:rPr>
              <w:t xml:space="preserve"> - Rentgen</w:t>
            </w:r>
          </w:p>
        </w:tc>
        <w:tc>
          <w:tcPr>
            <w:tcW w:w="1820" w:type="dxa"/>
            <w:tcBorders>
              <w:top w:val="nil"/>
              <w:left w:val="nil"/>
              <w:bottom w:val="single" w:sz="4" w:space="0" w:color="auto"/>
              <w:right w:val="single" w:sz="4" w:space="0" w:color="auto"/>
            </w:tcBorders>
            <w:shd w:val="clear" w:color="auto" w:fill="auto"/>
            <w:vAlign w:val="center"/>
            <w:hideMark/>
          </w:tcPr>
          <w:p w14:paraId="65268EF5"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Ljutomer</w:t>
            </w:r>
          </w:p>
        </w:tc>
        <w:tc>
          <w:tcPr>
            <w:tcW w:w="1340" w:type="dxa"/>
            <w:tcBorders>
              <w:top w:val="nil"/>
              <w:left w:val="nil"/>
              <w:bottom w:val="single" w:sz="4" w:space="0" w:color="auto"/>
              <w:right w:val="single" w:sz="4" w:space="0" w:color="auto"/>
            </w:tcBorders>
            <w:shd w:val="clear" w:color="auto" w:fill="auto"/>
            <w:vAlign w:val="center"/>
            <w:hideMark/>
          </w:tcPr>
          <w:p w14:paraId="1347439E"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0,3 tima</w:t>
            </w:r>
          </w:p>
        </w:tc>
        <w:tc>
          <w:tcPr>
            <w:tcW w:w="1420" w:type="dxa"/>
            <w:tcBorders>
              <w:top w:val="nil"/>
              <w:left w:val="nil"/>
              <w:bottom w:val="single" w:sz="4" w:space="0" w:color="auto"/>
              <w:right w:val="single" w:sz="4" w:space="0" w:color="auto"/>
            </w:tcBorders>
            <w:shd w:val="clear" w:color="auto" w:fill="auto"/>
            <w:vAlign w:val="center"/>
            <w:hideMark/>
          </w:tcPr>
          <w:p w14:paraId="2FF9CC7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105.192</w:t>
            </w:r>
          </w:p>
        </w:tc>
        <w:tc>
          <w:tcPr>
            <w:tcW w:w="1540" w:type="dxa"/>
            <w:tcBorders>
              <w:top w:val="nil"/>
              <w:left w:val="nil"/>
              <w:bottom w:val="single" w:sz="4" w:space="0" w:color="auto"/>
              <w:right w:val="single" w:sz="4" w:space="0" w:color="auto"/>
            </w:tcBorders>
            <w:shd w:val="clear" w:color="auto" w:fill="auto"/>
            <w:vAlign w:val="center"/>
            <w:hideMark/>
          </w:tcPr>
          <w:p w14:paraId="1D265A7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35.064</w:t>
            </w:r>
          </w:p>
        </w:tc>
      </w:tr>
      <w:tr w:rsidR="00944C8E" w:rsidRPr="005E4BEA" w14:paraId="213B5266" w14:textId="77777777" w:rsidTr="00F4040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4EFAB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33</w:t>
            </w:r>
          </w:p>
        </w:tc>
        <w:tc>
          <w:tcPr>
            <w:tcW w:w="2340" w:type="dxa"/>
            <w:tcBorders>
              <w:top w:val="nil"/>
              <w:left w:val="nil"/>
              <w:bottom w:val="single" w:sz="4" w:space="0" w:color="auto"/>
              <w:right w:val="single" w:sz="4" w:space="0" w:color="auto"/>
            </w:tcBorders>
            <w:shd w:val="clear" w:color="auto" w:fill="auto"/>
            <w:vAlign w:val="center"/>
            <w:hideMark/>
          </w:tcPr>
          <w:p w14:paraId="4EF5E70C"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 xml:space="preserve">Klinična psihologija </w:t>
            </w:r>
          </w:p>
        </w:tc>
        <w:tc>
          <w:tcPr>
            <w:tcW w:w="1820" w:type="dxa"/>
            <w:tcBorders>
              <w:top w:val="nil"/>
              <w:left w:val="nil"/>
              <w:bottom w:val="single" w:sz="4" w:space="0" w:color="auto"/>
              <w:right w:val="single" w:sz="4" w:space="0" w:color="auto"/>
            </w:tcBorders>
            <w:shd w:val="clear" w:color="auto" w:fill="auto"/>
            <w:vAlign w:val="center"/>
            <w:hideMark/>
          </w:tcPr>
          <w:p w14:paraId="4AAD8ECD"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ZD Ljutomer</w:t>
            </w:r>
          </w:p>
        </w:tc>
        <w:tc>
          <w:tcPr>
            <w:tcW w:w="1340" w:type="dxa"/>
            <w:tcBorders>
              <w:top w:val="nil"/>
              <w:left w:val="nil"/>
              <w:bottom w:val="single" w:sz="4" w:space="0" w:color="auto"/>
              <w:right w:val="single" w:sz="4" w:space="0" w:color="auto"/>
            </w:tcBorders>
            <w:shd w:val="clear" w:color="auto" w:fill="auto"/>
            <w:vAlign w:val="center"/>
            <w:hideMark/>
          </w:tcPr>
          <w:p w14:paraId="7F4C2756"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1 tim</w:t>
            </w:r>
          </w:p>
        </w:tc>
        <w:tc>
          <w:tcPr>
            <w:tcW w:w="1420" w:type="dxa"/>
            <w:tcBorders>
              <w:top w:val="nil"/>
              <w:left w:val="nil"/>
              <w:bottom w:val="single" w:sz="4" w:space="0" w:color="auto"/>
              <w:right w:val="single" w:sz="4" w:space="0" w:color="auto"/>
            </w:tcBorders>
            <w:shd w:val="clear" w:color="auto" w:fill="auto"/>
            <w:vAlign w:val="center"/>
            <w:hideMark/>
          </w:tcPr>
          <w:p w14:paraId="278DF86B"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80.885</w:t>
            </w:r>
          </w:p>
        </w:tc>
        <w:tc>
          <w:tcPr>
            <w:tcW w:w="1540" w:type="dxa"/>
            <w:tcBorders>
              <w:top w:val="nil"/>
              <w:left w:val="nil"/>
              <w:bottom w:val="single" w:sz="4" w:space="0" w:color="auto"/>
              <w:right w:val="single" w:sz="4" w:space="0" w:color="auto"/>
            </w:tcBorders>
            <w:shd w:val="clear" w:color="auto" w:fill="auto"/>
            <w:vAlign w:val="center"/>
            <w:hideMark/>
          </w:tcPr>
          <w:p w14:paraId="0C7FE330" w14:textId="77777777" w:rsidR="00944C8E" w:rsidRPr="00944C8E" w:rsidRDefault="00944C8E" w:rsidP="00F40403">
            <w:pPr>
              <w:spacing w:line="240" w:lineRule="auto"/>
              <w:jc w:val="both"/>
              <w:rPr>
                <w:rFonts w:cs="Arial"/>
                <w:color w:val="000000"/>
                <w:szCs w:val="20"/>
                <w:lang w:eastAsia="sl-SI"/>
              </w:rPr>
            </w:pPr>
            <w:r w:rsidRPr="00944C8E">
              <w:rPr>
                <w:rFonts w:cs="Arial"/>
                <w:color w:val="000000"/>
                <w:szCs w:val="20"/>
                <w:lang w:eastAsia="sl-SI"/>
              </w:rPr>
              <w:t>26.962</w:t>
            </w:r>
          </w:p>
        </w:tc>
      </w:tr>
      <w:tr w:rsidR="00944C8E" w:rsidRPr="00944C8E" w14:paraId="0133A6E4" w14:textId="77777777" w:rsidTr="00F40403">
        <w:trPr>
          <w:trHeight w:val="300"/>
        </w:trPr>
        <w:tc>
          <w:tcPr>
            <w:tcW w:w="960" w:type="dxa"/>
            <w:tcBorders>
              <w:top w:val="nil"/>
              <w:left w:val="nil"/>
              <w:bottom w:val="nil"/>
              <w:right w:val="nil"/>
            </w:tcBorders>
            <w:shd w:val="clear" w:color="auto" w:fill="auto"/>
            <w:noWrap/>
            <w:vAlign w:val="bottom"/>
            <w:hideMark/>
          </w:tcPr>
          <w:p w14:paraId="7BD4E21A" w14:textId="77777777" w:rsidR="00944C8E" w:rsidRPr="00944C8E" w:rsidRDefault="00944C8E" w:rsidP="00F40403">
            <w:pPr>
              <w:spacing w:line="240" w:lineRule="auto"/>
              <w:jc w:val="both"/>
              <w:rPr>
                <w:rFonts w:cs="Arial"/>
                <w:color w:val="000000"/>
                <w:szCs w:val="20"/>
                <w:lang w:eastAsia="sl-SI"/>
              </w:rPr>
            </w:pPr>
          </w:p>
        </w:tc>
        <w:tc>
          <w:tcPr>
            <w:tcW w:w="2340" w:type="dxa"/>
            <w:tcBorders>
              <w:top w:val="nil"/>
              <w:left w:val="single" w:sz="4" w:space="0" w:color="auto"/>
              <w:bottom w:val="single" w:sz="4" w:space="0" w:color="auto"/>
              <w:right w:val="single" w:sz="4" w:space="0" w:color="auto"/>
            </w:tcBorders>
            <w:shd w:val="clear" w:color="auto" w:fill="auto"/>
            <w:vAlign w:val="center"/>
            <w:hideMark/>
          </w:tcPr>
          <w:p w14:paraId="30F2F17D" w14:textId="77777777" w:rsidR="00944C8E" w:rsidRPr="00944C8E" w:rsidRDefault="00944C8E" w:rsidP="00F40403">
            <w:pPr>
              <w:spacing w:line="240" w:lineRule="auto"/>
              <w:jc w:val="both"/>
              <w:rPr>
                <w:rFonts w:cs="Arial"/>
                <w:b/>
                <w:bCs/>
                <w:color w:val="000000"/>
                <w:szCs w:val="20"/>
                <w:lang w:eastAsia="sl-SI"/>
              </w:rPr>
            </w:pPr>
            <w:r w:rsidRPr="00944C8E">
              <w:rPr>
                <w:rFonts w:cs="Arial"/>
                <w:b/>
                <w:bCs/>
                <w:color w:val="000000"/>
                <w:szCs w:val="20"/>
                <w:lang w:eastAsia="sl-SI"/>
              </w:rPr>
              <w:t>SKUPAJ</w:t>
            </w:r>
          </w:p>
        </w:tc>
        <w:tc>
          <w:tcPr>
            <w:tcW w:w="1820" w:type="dxa"/>
            <w:tcBorders>
              <w:top w:val="nil"/>
              <w:left w:val="nil"/>
              <w:bottom w:val="single" w:sz="4" w:space="0" w:color="auto"/>
              <w:right w:val="single" w:sz="4" w:space="0" w:color="auto"/>
            </w:tcBorders>
            <w:shd w:val="clear" w:color="auto" w:fill="auto"/>
            <w:noWrap/>
            <w:vAlign w:val="bottom"/>
            <w:hideMark/>
          </w:tcPr>
          <w:p w14:paraId="73270D91" w14:textId="77777777" w:rsidR="00944C8E" w:rsidRPr="00944C8E" w:rsidRDefault="00944C8E" w:rsidP="00F40403">
            <w:pPr>
              <w:spacing w:line="240" w:lineRule="auto"/>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 </w:t>
            </w:r>
          </w:p>
        </w:tc>
        <w:tc>
          <w:tcPr>
            <w:tcW w:w="1340" w:type="dxa"/>
            <w:tcBorders>
              <w:top w:val="nil"/>
              <w:left w:val="nil"/>
              <w:bottom w:val="single" w:sz="4" w:space="0" w:color="auto"/>
              <w:right w:val="single" w:sz="4" w:space="0" w:color="auto"/>
            </w:tcBorders>
            <w:shd w:val="clear" w:color="auto" w:fill="auto"/>
            <w:noWrap/>
            <w:vAlign w:val="bottom"/>
            <w:hideMark/>
          </w:tcPr>
          <w:p w14:paraId="3C40669E" w14:textId="77777777" w:rsidR="00944C8E" w:rsidRPr="00944C8E" w:rsidRDefault="00944C8E" w:rsidP="00F40403">
            <w:pPr>
              <w:spacing w:line="240" w:lineRule="auto"/>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 </w:t>
            </w:r>
          </w:p>
        </w:tc>
        <w:tc>
          <w:tcPr>
            <w:tcW w:w="1420" w:type="dxa"/>
            <w:tcBorders>
              <w:top w:val="nil"/>
              <w:left w:val="nil"/>
              <w:bottom w:val="single" w:sz="4" w:space="0" w:color="auto"/>
              <w:right w:val="single" w:sz="4" w:space="0" w:color="auto"/>
            </w:tcBorders>
            <w:shd w:val="clear" w:color="auto" w:fill="auto"/>
            <w:noWrap/>
            <w:vAlign w:val="bottom"/>
            <w:hideMark/>
          </w:tcPr>
          <w:p w14:paraId="0DAD8774" w14:textId="77777777" w:rsidR="00944C8E" w:rsidRPr="00944C8E" w:rsidRDefault="00944C8E" w:rsidP="00F40403">
            <w:pPr>
              <w:spacing w:line="240" w:lineRule="auto"/>
              <w:jc w:val="right"/>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2.392.499</w:t>
            </w:r>
          </w:p>
        </w:tc>
        <w:tc>
          <w:tcPr>
            <w:tcW w:w="1540" w:type="dxa"/>
            <w:tcBorders>
              <w:top w:val="nil"/>
              <w:left w:val="nil"/>
              <w:bottom w:val="single" w:sz="4" w:space="0" w:color="auto"/>
              <w:right w:val="single" w:sz="4" w:space="0" w:color="auto"/>
            </w:tcBorders>
            <w:shd w:val="clear" w:color="auto" w:fill="auto"/>
            <w:noWrap/>
            <w:vAlign w:val="bottom"/>
            <w:hideMark/>
          </w:tcPr>
          <w:p w14:paraId="55322EA1" w14:textId="77777777" w:rsidR="00944C8E" w:rsidRPr="00944C8E" w:rsidRDefault="00944C8E" w:rsidP="00F40403">
            <w:pPr>
              <w:spacing w:line="240" w:lineRule="auto"/>
              <w:jc w:val="right"/>
              <w:rPr>
                <w:rFonts w:ascii="Calibri" w:hAnsi="Calibri" w:cs="Calibri"/>
                <w:b/>
                <w:bCs/>
                <w:color w:val="000000"/>
                <w:sz w:val="22"/>
                <w:szCs w:val="22"/>
                <w:lang w:eastAsia="sl-SI"/>
              </w:rPr>
            </w:pPr>
            <w:r w:rsidRPr="00944C8E">
              <w:rPr>
                <w:rFonts w:ascii="Calibri" w:hAnsi="Calibri" w:cs="Calibri"/>
                <w:b/>
                <w:bCs/>
                <w:color w:val="000000"/>
                <w:sz w:val="22"/>
                <w:szCs w:val="22"/>
                <w:lang w:eastAsia="sl-SI"/>
              </w:rPr>
              <w:t>1.221.935</w:t>
            </w:r>
          </w:p>
        </w:tc>
      </w:tr>
    </w:tbl>
    <w:p w14:paraId="7A1FFF3D" w14:textId="77777777" w:rsidR="008F1BAE" w:rsidRPr="005E4BEA" w:rsidRDefault="008F1BAE" w:rsidP="00ED4F97">
      <w:pPr>
        <w:autoSpaceDE w:val="0"/>
        <w:autoSpaceDN w:val="0"/>
        <w:adjustRightInd w:val="0"/>
        <w:spacing w:line="0" w:lineRule="atLeast"/>
        <w:jc w:val="both"/>
        <w:rPr>
          <w:rFonts w:eastAsia="MS Mincho" w:cs="Arial"/>
          <w:b/>
          <w:bCs/>
          <w:szCs w:val="20"/>
        </w:rPr>
      </w:pPr>
    </w:p>
    <w:p w14:paraId="1171B6C1" w14:textId="6AC3F1CC" w:rsidR="00ED4F97" w:rsidRPr="005E4BEA" w:rsidRDefault="00ED4F97" w:rsidP="00ED4F97">
      <w:pPr>
        <w:autoSpaceDE w:val="0"/>
        <w:autoSpaceDN w:val="0"/>
        <w:adjustRightInd w:val="0"/>
        <w:spacing w:line="0" w:lineRule="atLeast"/>
        <w:jc w:val="both"/>
        <w:rPr>
          <w:rFonts w:eastAsia="MS Mincho" w:cs="Arial"/>
          <w:szCs w:val="20"/>
        </w:rPr>
      </w:pPr>
      <w:r w:rsidRPr="005E4BEA">
        <w:rPr>
          <w:rFonts w:eastAsia="MS Mincho" w:cs="Arial"/>
          <w:b/>
          <w:bCs/>
          <w:szCs w:val="20"/>
        </w:rPr>
        <w:t>V Prilogi 1/b se doda nova vrstica, ki se glasi:</w:t>
      </w:r>
    </w:p>
    <w:p w14:paraId="527CB1E6" w14:textId="77777777" w:rsidR="00ED4F97" w:rsidRPr="005E4BEA" w:rsidRDefault="00ED4F97" w:rsidP="00ED4F97">
      <w:pPr>
        <w:autoSpaceDE w:val="0"/>
        <w:autoSpaceDN w:val="0"/>
        <w:adjustRightInd w:val="0"/>
        <w:spacing w:line="0" w:lineRule="atLeast"/>
        <w:jc w:val="both"/>
        <w:rPr>
          <w:rFonts w:eastAsia="MS Mincho" w:cs="Arial"/>
          <w:szCs w:val="20"/>
        </w:rPr>
      </w:pPr>
    </w:p>
    <w:tbl>
      <w:tblPr>
        <w:tblStyle w:val="Tabelamrea"/>
        <w:tblW w:w="8926" w:type="dxa"/>
        <w:tblLook w:val="04A0" w:firstRow="1" w:lastRow="0" w:firstColumn="1" w:lastColumn="0" w:noHBand="0" w:noVBand="1"/>
      </w:tblPr>
      <w:tblGrid>
        <w:gridCol w:w="1660"/>
        <w:gridCol w:w="4140"/>
        <w:gridCol w:w="1283"/>
        <w:gridCol w:w="1843"/>
      </w:tblGrid>
      <w:tr w:rsidR="00ED4F97" w:rsidRPr="005E4BEA" w14:paraId="66DA23E5" w14:textId="77777777" w:rsidTr="00ED4F97">
        <w:tc>
          <w:tcPr>
            <w:tcW w:w="1660" w:type="dxa"/>
          </w:tcPr>
          <w:p w14:paraId="14C1AFB5" w14:textId="77777777" w:rsidR="00ED4F97" w:rsidRPr="005E4BEA" w:rsidRDefault="00ED4F97" w:rsidP="006F2C89">
            <w:pPr>
              <w:autoSpaceDE w:val="0"/>
              <w:autoSpaceDN w:val="0"/>
              <w:adjustRightInd w:val="0"/>
              <w:spacing w:line="0" w:lineRule="atLeast"/>
              <w:jc w:val="both"/>
              <w:rPr>
                <w:rFonts w:eastAsia="MS Mincho" w:cs="Arial"/>
                <w:szCs w:val="20"/>
              </w:rPr>
            </w:pPr>
            <w:r w:rsidRPr="005E4BEA">
              <w:rPr>
                <w:rFonts w:eastAsia="MS Mincho" w:cs="Arial"/>
                <w:szCs w:val="20"/>
              </w:rPr>
              <w:lastRenderedPageBreak/>
              <w:t>E00xx</w:t>
            </w:r>
          </w:p>
        </w:tc>
        <w:tc>
          <w:tcPr>
            <w:tcW w:w="4140" w:type="dxa"/>
          </w:tcPr>
          <w:p w14:paraId="657E5C7D" w14:textId="77777777" w:rsidR="00ED4F97" w:rsidRPr="005E4BEA" w:rsidRDefault="00ED4F97" w:rsidP="006F2C89">
            <w:pPr>
              <w:autoSpaceDE w:val="0"/>
              <w:autoSpaceDN w:val="0"/>
              <w:adjustRightInd w:val="0"/>
              <w:spacing w:line="0" w:lineRule="atLeast"/>
              <w:jc w:val="both"/>
              <w:rPr>
                <w:rFonts w:eastAsia="MS Mincho" w:cs="Arial"/>
                <w:szCs w:val="20"/>
              </w:rPr>
            </w:pPr>
            <w:r w:rsidRPr="005E4BEA">
              <w:rPr>
                <w:rFonts w:eastAsia="MS Mincho" w:cs="Arial"/>
                <w:szCs w:val="20"/>
              </w:rPr>
              <w:t>Dodatek za  </w:t>
            </w:r>
            <w:proofErr w:type="spellStart"/>
            <w:r w:rsidRPr="005E4BEA">
              <w:rPr>
                <w:rFonts w:eastAsia="MS Mincho" w:cs="Arial"/>
                <w:szCs w:val="20"/>
              </w:rPr>
              <w:t>zdavljenje</w:t>
            </w:r>
            <w:proofErr w:type="spellEnd"/>
            <w:r w:rsidRPr="005E4BEA">
              <w:rPr>
                <w:rFonts w:eastAsia="MS Mincho" w:cs="Arial"/>
                <w:szCs w:val="20"/>
              </w:rPr>
              <w:t xml:space="preserve"> bolnikov s težko astmo s pomočjo bronhialne </w:t>
            </w:r>
            <w:proofErr w:type="spellStart"/>
            <w:r w:rsidRPr="005E4BEA">
              <w:rPr>
                <w:rFonts w:eastAsia="MS Mincho" w:cs="Arial"/>
                <w:szCs w:val="20"/>
              </w:rPr>
              <w:t>termoplastike</w:t>
            </w:r>
            <w:proofErr w:type="spellEnd"/>
            <w:r w:rsidRPr="005E4BEA">
              <w:rPr>
                <w:rFonts w:eastAsia="MS Mincho" w:cs="Arial"/>
                <w:szCs w:val="20"/>
              </w:rPr>
              <w:t xml:space="preserve"> (BT) - BT elektroda</w:t>
            </w:r>
          </w:p>
        </w:tc>
        <w:tc>
          <w:tcPr>
            <w:tcW w:w="1283" w:type="dxa"/>
          </w:tcPr>
          <w:p w14:paraId="3BAF07EB" w14:textId="77777777" w:rsidR="00ED4F97" w:rsidRPr="005E4BEA" w:rsidRDefault="00ED4F97" w:rsidP="006F2C89">
            <w:pPr>
              <w:autoSpaceDE w:val="0"/>
              <w:autoSpaceDN w:val="0"/>
              <w:adjustRightInd w:val="0"/>
              <w:spacing w:line="0" w:lineRule="atLeast"/>
              <w:jc w:val="both"/>
              <w:rPr>
                <w:rFonts w:eastAsia="MS Mincho" w:cs="Arial"/>
                <w:szCs w:val="20"/>
              </w:rPr>
            </w:pPr>
            <w:r w:rsidRPr="005E4BEA">
              <w:rPr>
                <w:rFonts w:eastAsia="MS Mincho" w:cs="Arial"/>
                <w:szCs w:val="20"/>
              </w:rPr>
              <w:t>primer</w:t>
            </w:r>
          </w:p>
        </w:tc>
        <w:tc>
          <w:tcPr>
            <w:tcW w:w="1843" w:type="dxa"/>
          </w:tcPr>
          <w:p w14:paraId="44CF9A69" w14:textId="77777777" w:rsidR="00ED4F97" w:rsidRPr="005E4BEA" w:rsidRDefault="00ED4F97" w:rsidP="006F2C89">
            <w:pPr>
              <w:autoSpaceDE w:val="0"/>
              <w:autoSpaceDN w:val="0"/>
              <w:adjustRightInd w:val="0"/>
              <w:spacing w:line="0" w:lineRule="atLeast"/>
              <w:jc w:val="both"/>
              <w:rPr>
                <w:rFonts w:eastAsia="MS Mincho" w:cs="Arial"/>
                <w:szCs w:val="20"/>
              </w:rPr>
            </w:pPr>
            <w:r w:rsidRPr="005E4BEA">
              <w:rPr>
                <w:rFonts w:eastAsia="MS Mincho" w:cs="Arial"/>
                <w:szCs w:val="20"/>
              </w:rPr>
              <w:t>9.000 eur</w:t>
            </w:r>
          </w:p>
        </w:tc>
      </w:tr>
      <w:bookmarkEnd w:id="64"/>
    </w:tbl>
    <w:p w14:paraId="437CF14C" w14:textId="06034AEC" w:rsidR="00ED4F97" w:rsidRPr="005E4BEA" w:rsidRDefault="00ED4F97" w:rsidP="00FE461F">
      <w:pPr>
        <w:spacing w:after="160" w:line="259" w:lineRule="auto"/>
        <w:jc w:val="both"/>
        <w:rPr>
          <w:rFonts w:eastAsiaTheme="minorHAnsi" w:cs="Arial"/>
          <w:b/>
          <w:bCs/>
          <w:szCs w:val="20"/>
          <w:lang w:eastAsia="sl-SI"/>
        </w:rPr>
      </w:pPr>
    </w:p>
    <w:p w14:paraId="57F59D09" w14:textId="77777777" w:rsidR="008F1BAE" w:rsidRPr="005E4BEA" w:rsidRDefault="008F1BAE" w:rsidP="008F1BAE">
      <w:pPr>
        <w:spacing w:line="0" w:lineRule="atLeast"/>
        <w:jc w:val="both"/>
        <w:rPr>
          <w:rFonts w:eastAsia="Arial Narrow" w:cs="Arial"/>
          <w:szCs w:val="20"/>
          <w:lang w:eastAsia="sl-SI"/>
        </w:rPr>
      </w:pPr>
    </w:p>
    <w:p w14:paraId="049650CB" w14:textId="77777777" w:rsidR="008F1BAE" w:rsidRPr="005E4BEA" w:rsidRDefault="008F1BAE" w:rsidP="008F1BAE">
      <w:pPr>
        <w:spacing w:line="0" w:lineRule="atLeast"/>
        <w:jc w:val="both"/>
        <w:rPr>
          <w:rFonts w:eastAsia="Arial Narrow" w:cs="Arial"/>
          <w:b/>
          <w:bCs/>
          <w:szCs w:val="20"/>
          <w:lang w:eastAsia="sl-SI"/>
        </w:rPr>
      </w:pPr>
      <w:r w:rsidRPr="005E4BEA">
        <w:rPr>
          <w:rFonts w:eastAsia="Arial Narrow" w:cs="Arial"/>
          <w:b/>
          <w:bCs/>
          <w:szCs w:val="20"/>
          <w:lang w:eastAsia="sl-SI"/>
        </w:rPr>
        <w:t>V Prilogo I se doda nov standard:</w:t>
      </w:r>
    </w:p>
    <w:p w14:paraId="15A62C27" w14:textId="77777777" w:rsidR="008F1BAE" w:rsidRPr="005E4BEA" w:rsidRDefault="008F1BAE" w:rsidP="008F1BAE">
      <w:pPr>
        <w:spacing w:line="0" w:lineRule="atLeast"/>
        <w:jc w:val="both"/>
        <w:rPr>
          <w:rFonts w:eastAsia="Arial Narrow" w:cs="Arial"/>
          <w:szCs w:val="20"/>
          <w:lang w:eastAsia="sl-SI"/>
        </w:rPr>
      </w:pPr>
    </w:p>
    <w:tbl>
      <w:tblPr>
        <w:tblW w:w="9598" w:type="dxa"/>
        <w:tblInd w:w="-5" w:type="dxa"/>
        <w:tblCellMar>
          <w:left w:w="70" w:type="dxa"/>
          <w:right w:w="70" w:type="dxa"/>
        </w:tblCellMar>
        <w:tblLook w:val="04A0" w:firstRow="1" w:lastRow="0" w:firstColumn="1" w:lastColumn="0" w:noHBand="0" w:noVBand="1"/>
      </w:tblPr>
      <w:tblGrid>
        <w:gridCol w:w="341"/>
        <w:gridCol w:w="341"/>
        <w:gridCol w:w="587"/>
        <w:gridCol w:w="417"/>
        <w:gridCol w:w="1621"/>
        <w:gridCol w:w="760"/>
        <w:gridCol w:w="514"/>
        <w:gridCol w:w="481"/>
        <w:gridCol w:w="307"/>
        <w:gridCol w:w="741"/>
        <w:gridCol w:w="674"/>
        <w:gridCol w:w="674"/>
        <w:gridCol w:w="608"/>
        <w:gridCol w:w="508"/>
        <w:gridCol w:w="741"/>
        <w:gridCol w:w="674"/>
      </w:tblGrid>
      <w:tr w:rsidR="008F1BAE" w:rsidRPr="005E4BEA" w14:paraId="65769AE5" w14:textId="77777777" w:rsidTr="00D97662">
        <w:trPr>
          <w:trHeight w:val="597"/>
        </w:trPr>
        <w:tc>
          <w:tcPr>
            <w:tcW w:w="322" w:type="dxa"/>
            <w:tcBorders>
              <w:top w:val="single" w:sz="4" w:space="0" w:color="808080"/>
              <w:left w:val="single" w:sz="4" w:space="0" w:color="808080"/>
              <w:bottom w:val="single" w:sz="4" w:space="0" w:color="808080"/>
              <w:right w:val="single" w:sz="4" w:space="0" w:color="808080"/>
            </w:tcBorders>
            <w:shd w:val="clear" w:color="000000" w:fill="D9D9D9"/>
            <w:noWrap/>
            <w:textDirection w:val="btLr"/>
            <w:vAlign w:val="bottom"/>
            <w:hideMark/>
          </w:tcPr>
          <w:p w14:paraId="22F894AF" w14:textId="77777777" w:rsidR="008F1BAE" w:rsidRPr="005E4BEA" w:rsidRDefault="008F1BAE" w:rsidP="00D97662">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Vrsta</w:t>
            </w:r>
          </w:p>
        </w:tc>
        <w:tc>
          <w:tcPr>
            <w:tcW w:w="322" w:type="dxa"/>
            <w:tcBorders>
              <w:top w:val="single" w:sz="4" w:space="0" w:color="808080"/>
              <w:left w:val="nil"/>
              <w:bottom w:val="single" w:sz="4" w:space="0" w:color="808080"/>
              <w:right w:val="single" w:sz="4" w:space="0" w:color="808080"/>
            </w:tcBorders>
            <w:shd w:val="clear" w:color="000000" w:fill="D9D9D9"/>
            <w:noWrap/>
            <w:textDirection w:val="btLr"/>
            <w:vAlign w:val="bottom"/>
            <w:hideMark/>
          </w:tcPr>
          <w:p w14:paraId="356CC01D" w14:textId="77777777" w:rsidR="008F1BAE" w:rsidRPr="005E4BEA" w:rsidRDefault="008F1BAE" w:rsidP="00D97662">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Podvrsta</w:t>
            </w:r>
          </w:p>
        </w:tc>
        <w:tc>
          <w:tcPr>
            <w:tcW w:w="555" w:type="dxa"/>
            <w:tcBorders>
              <w:top w:val="single" w:sz="4" w:space="0" w:color="808080"/>
              <w:left w:val="nil"/>
              <w:bottom w:val="single" w:sz="4" w:space="0" w:color="808080"/>
              <w:right w:val="single" w:sz="4" w:space="0" w:color="808080"/>
            </w:tcBorders>
            <w:shd w:val="clear" w:color="000000" w:fill="D9D9D9"/>
            <w:noWrap/>
            <w:vAlign w:val="bottom"/>
            <w:hideMark/>
          </w:tcPr>
          <w:p w14:paraId="2812D767" w14:textId="77777777" w:rsidR="008F1BAE" w:rsidRPr="005E4BEA" w:rsidRDefault="008F1BAE" w:rsidP="00D97662">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Storitev</w:t>
            </w:r>
          </w:p>
        </w:tc>
        <w:tc>
          <w:tcPr>
            <w:tcW w:w="417" w:type="dxa"/>
            <w:tcBorders>
              <w:top w:val="single" w:sz="4" w:space="0" w:color="808080"/>
              <w:left w:val="nil"/>
              <w:bottom w:val="single" w:sz="4" w:space="0" w:color="808080"/>
              <w:right w:val="single" w:sz="4" w:space="0" w:color="808080"/>
            </w:tcBorders>
            <w:shd w:val="clear" w:color="000000" w:fill="D9D9D9"/>
            <w:noWrap/>
            <w:vAlign w:val="bottom"/>
            <w:hideMark/>
          </w:tcPr>
          <w:p w14:paraId="75DE4D1A" w14:textId="77777777" w:rsidR="008F1BAE" w:rsidRPr="005E4BEA" w:rsidRDefault="008F1BAE" w:rsidP="00D97662">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4. nivo</w:t>
            </w:r>
          </w:p>
        </w:tc>
        <w:tc>
          <w:tcPr>
            <w:tcW w:w="1621" w:type="dxa"/>
            <w:tcBorders>
              <w:top w:val="single" w:sz="4" w:space="0" w:color="808080"/>
              <w:left w:val="nil"/>
              <w:bottom w:val="single" w:sz="4" w:space="0" w:color="808080"/>
              <w:right w:val="single" w:sz="4" w:space="0" w:color="808080"/>
            </w:tcBorders>
            <w:shd w:val="clear" w:color="000000" w:fill="D9D9D9"/>
            <w:noWrap/>
            <w:vAlign w:val="bottom"/>
            <w:hideMark/>
          </w:tcPr>
          <w:p w14:paraId="6C40D19C" w14:textId="77777777" w:rsidR="008F1BAE" w:rsidRPr="005E4BEA" w:rsidRDefault="008F1BAE" w:rsidP="00D97662">
            <w:pPr>
              <w:spacing w:line="240" w:lineRule="auto"/>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Naziv</w:t>
            </w:r>
          </w:p>
        </w:tc>
        <w:tc>
          <w:tcPr>
            <w:tcW w:w="760" w:type="dxa"/>
            <w:tcBorders>
              <w:top w:val="single" w:sz="4" w:space="0" w:color="808080"/>
              <w:left w:val="nil"/>
              <w:bottom w:val="single" w:sz="4" w:space="0" w:color="808080"/>
              <w:right w:val="single" w:sz="4" w:space="0" w:color="808080"/>
            </w:tcBorders>
            <w:shd w:val="clear" w:color="000000" w:fill="D9D9D9"/>
            <w:vAlign w:val="bottom"/>
            <w:hideMark/>
          </w:tcPr>
          <w:p w14:paraId="0DB62E8F"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Nor-</w:t>
            </w:r>
            <w:proofErr w:type="spellStart"/>
            <w:r w:rsidRPr="005E4BEA">
              <w:rPr>
                <w:rFonts w:ascii="Arial CE" w:hAnsi="Arial CE" w:cs="Arial CE"/>
                <w:b/>
                <w:bCs/>
                <w:color w:val="7030A0"/>
                <w:sz w:val="12"/>
                <w:szCs w:val="12"/>
                <w:lang w:eastAsia="sl-SI"/>
              </w:rPr>
              <w:t>mativ</w:t>
            </w:r>
            <w:proofErr w:type="spellEnd"/>
            <w:r w:rsidRPr="005E4BEA">
              <w:rPr>
                <w:rFonts w:ascii="Arial CE" w:hAnsi="Arial CE" w:cs="Arial CE"/>
                <w:b/>
                <w:bCs/>
                <w:color w:val="7030A0"/>
                <w:sz w:val="12"/>
                <w:szCs w:val="12"/>
                <w:lang w:eastAsia="sl-SI"/>
              </w:rPr>
              <w:t xml:space="preserve"> / kol.</w:t>
            </w:r>
          </w:p>
        </w:tc>
        <w:tc>
          <w:tcPr>
            <w:tcW w:w="486" w:type="dxa"/>
            <w:tcBorders>
              <w:top w:val="single" w:sz="4" w:space="0" w:color="808080"/>
              <w:left w:val="nil"/>
              <w:bottom w:val="single" w:sz="4" w:space="0" w:color="808080"/>
              <w:right w:val="single" w:sz="4" w:space="0" w:color="808080"/>
            </w:tcBorders>
            <w:shd w:val="clear" w:color="000000" w:fill="D9D9D9"/>
            <w:vAlign w:val="bottom"/>
            <w:hideMark/>
          </w:tcPr>
          <w:p w14:paraId="2124D22F"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Enota mere</w:t>
            </w:r>
          </w:p>
        </w:tc>
        <w:tc>
          <w:tcPr>
            <w:tcW w:w="454" w:type="dxa"/>
            <w:tcBorders>
              <w:top w:val="single" w:sz="4" w:space="0" w:color="808080"/>
              <w:left w:val="nil"/>
              <w:bottom w:val="single" w:sz="4" w:space="0" w:color="808080"/>
              <w:right w:val="nil"/>
            </w:tcBorders>
            <w:shd w:val="clear" w:color="000000" w:fill="D9D9D9"/>
            <w:vAlign w:val="bottom"/>
            <w:hideMark/>
          </w:tcPr>
          <w:p w14:paraId="1CA00B53"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Kader</w:t>
            </w:r>
          </w:p>
        </w:tc>
        <w:tc>
          <w:tcPr>
            <w:tcW w:w="296" w:type="dxa"/>
            <w:tcBorders>
              <w:top w:val="single" w:sz="4" w:space="0" w:color="808080"/>
              <w:left w:val="single" w:sz="4" w:space="0" w:color="808080"/>
              <w:bottom w:val="single" w:sz="4" w:space="0" w:color="808080"/>
              <w:right w:val="nil"/>
            </w:tcBorders>
            <w:shd w:val="clear" w:color="000000" w:fill="D9D9D9"/>
            <w:vAlign w:val="bottom"/>
            <w:hideMark/>
          </w:tcPr>
          <w:p w14:paraId="42DF361C"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PR</w:t>
            </w:r>
          </w:p>
        </w:tc>
        <w:tc>
          <w:tcPr>
            <w:tcW w:w="700" w:type="dxa"/>
            <w:tcBorders>
              <w:top w:val="single" w:sz="4" w:space="0" w:color="808080"/>
              <w:left w:val="single" w:sz="4" w:space="0" w:color="808080"/>
              <w:bottom w:val="single" w:sz="4" w:space="0" w:color="808080"/>
              <w:right w:val="single" w:sz="4" w:space="0" w:color="808080"/>
            </w:tcBorders>
            <w:shd w:val="clear" w:color="000000" w:fill="D9D9D9"/>
            <w:vAlign w:val="bottom"/>
            <w:hideMark/>
          </w:tcPr>
          <w:p w14:paraId="082BAA8A"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 xml:space="preserve">Bruto </w:t>
            </w:r>
            <w:r w:rsidRPr="005E4BEA">
              <w:rPr>
                <w:rFonts w:ascii="Arial CE" w:hAnsi="Arial CE" w:cs="Arial CE"/>
                <w:b/>
                <w:bCs/>
                <w:color w:val="7030A0"/>
                <w:sz w:val="12"/>
                <w:szCs w:val="12"/>
                <w:lang w:eastAsia="sl-SI"/>
              </w:rPr>
              <w:br/>
              <w:t>plača II</w:t>
            </w:r>
          </w:p>
        </w:tc>
        <w:tc>
          <w:tcPr>
            <w:tcW w:w="637" w:type="dxa"/>
            <w:tcBorders>
              <w:top w:val="single" w:sz="4" w:space="0" w:color="808080"/>
              <w:left w:val="nil"/>
              <w:bottom w:val="single" w:sz="4" w:space="0" w:color="808080"/>
              <w:right w:val="single" w:sz="4" w:space="0" w:color="808080"/>
            </w:tcBorders>
            <w:shd w:val="clear" w:color="000000" w:fill="D9D9D9"/>
            <w:vAlign w:val="bottom"/>
            <w:hideMark/>
          </w:tcPr>
          <w:p w14:paraId="0E3A25DC"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Regres, jubilejne, PDPZ</w:t>
            </w:r>
          </w:p>
        </w:tc>
        <w:tc>
          <w:tcPr>
            <w:tcW w:w="637" w:type="dxa"/>
            <w:tcBorders>
              <w:top w:val="single" w:sz="4" w:space="0" w:color="808080"/>
              <w:left w:val="nil"/>
              <w:bottom w:val="single" w:sz="4" w:space="0" w:color="808080"/>
              <w:right w:val="single" w:sz="4" w:space="0" w:color="808080"/>
            </w:tcBorders>
            <w:shd w:val="clear" w:color="000000" w:fill="D9D9D9"/>
            <w:noWrap/>
            <w:vAlign w:val="bottom"/>
            <w:hideMark/>
          </w:tcPr>
          <w:p w14:paraId="67CB2576"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MS</w:t>
            </w:r>
          </w:p>
        </w:tc>
        <w:tc>
          <w:tcPr>
            <w:tcW w:w="574" w:type="dxa"/>
            <w:tcBorders>
              <w:top w:val="single" w:sz="4" w:space="0" w:color="808080"/>
              <w:left w:val="nil"/>
              <w:bottom w:val="single" w:sz="4" w:space="0" w:color="808080"/>
              <w:right w:val="single" w:sz="4" w:space="0" w:color="808080"/>
            </w:tcBorders>
            <w:shd w:val="clear" w:color="000000" w:fill="D9D9D9"/>
            <w:noWrap/>
            <w:vAlign w:val="bottom"/>
            <w:hideMark/>
          </w:tcPr>
          <w:p w14:paraId="77691713"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AM</w:t>
            </w:r>
          </w:p>
        </w:tc>
        <w:tc>
          <w:tcPr>
            <w:tcW w:w="480" w:type="dxa"/>
            <w:tcBorders>
              <w:top w:val="single" w:sz="4" w:space="0" w:color="808080"/>
              <w:left w:val="nil"/>
              <w:bottom w:val="single" w:sz="4" w:space="0" w:color="808080"/>
              <w:right w:val="single" w:sz="4" w:space="0" w:color="808080"/>
            </w:tcBorders>
            <w:shd w:val="clear" w:color="000000" w:fill="D9D9D9"/>
            <w:noWrap/>
            <w:vAlign w:val="bottom"/>
            <w:hideMark/>
          </w:tcPr>
          <w:p w14:paraId="15A733BC"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INF</w:t>
            </w:r>
          </w:p>
        </w:tc>
        <w:tc>
          <w:tcPr>
            <w:tcW w:w="700" w:type="dxa"/>
            <w:tcBorders>
              <w:top w:val="single" w:sz="4" w:space="0" w:color="808080"/>
              <w:left w:val="nil"/>
              <w:bottom w:val="single" w:sz="4" w:space="0" w:color="808080"/>
              <w:right w:val="single" w:sz="4" w:space="0" w:color="808080"/>
            </w:tcBorders>
            <w:shd w:val="clear" w:color="000000" w:fill="D9D9D9"/>
            <w:vAlign w:val="bottom"/>
            <w:hideMark/>
          </w:tcPr>
          <w:p w14:paraId="4A786247"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SKUPAJ</w:t>
            </w:r>
            <w:r w:rsidRPr="005E4BEA">
              <w:rPr>
                <w:rFonts w:ascii="Arial CE" w:hAnsi="Arial CE" w:cs="Arial CE"/>
                <w:b/>
                <w:bCs/>
                <w:color w:val="7030A0"/>
                <w:sz w:val="12"/>
                <w:szCs w:val="12"/>
                <w:lang w:eastAsia="sl-SI"/>
              </w:rPr>
              <w:br/>
              <w:t>(v eur)</w:t>
            </w:r>
          </w:p>
        </w:tc>
        <w:tc>
          <w:tcPr>
            <w:tcW w:w="637" w:type="dxa"/>
            <w:tcBorders>
              <w:top w:val="single" w:sz="4" w:space="0" w:color="808080"/>
              <w:left w:val="nil"/>
              <w:bottom w:val="single" w:sz="4" w:space="0" w:color="808080"/>
              <w:right w:val="nil"/>
            </w:tcBorders>
            <w:shd w:val="clear" w:color="000000" w:fill="D9D9D9"/>
            <w:noWrap/>
            <w:vAlign w:val="bottom"/>
            <w:hideMark/>
          </w:tcPr>
          <w:p w14:paraId="075F135D" w14:textId="77777777" w:rsidR="008F1BAE" w:rsidRPr="005E4BEA" w:rsidRDefault="008F1BAE" w:rsidP="00D97662">
            <w:pPr>
              <w:spacing w:line="240" w:lineRule="auto"/>
              <w:jc w:val="center"/>
              <w:rPr>
                <w:rFonts w:ascii="Arial CE" w:hAnsi="Arial CE" w:cs="Arial CE"/>
                <w:b/>
                <w:bCs/>
                <w:color w:val="7030A0"/>
                <w:sz w:val="12"/>
                <w:szCs w:val="12"/>
                <w:lang w:eastAsia="sl-SI"/>
              </w:rPr>
            </w:pPr>
            <w:r w:rsidRPr="005E4BEA">
              <w:rPr>
                <w:rFonts w:ascii="Arial CE" w:hAnsi="Arial CE" w:cs="Arial CE"/>
                <w:b/>
                <w:bCs/>
                <w:color w:val="7030A0"/>
                <w:sz w:val="12"/>
                <w:szCs w:val="12"/>
                <w:lang w:eastAsia="sl-SI"/>
              </w:rPr>
              <w:t>CENA</w:t>
            </w:r>
          </w:p>
        </w:tc>
      </w:tr>
      <w:tr w:rsidR="008F1BAE" w:rsidRPr="005E4BEA" w14:paraId="71C36582" w14:textId="77777777" w:rsidTr="00D97662">
        <w:trPr>
          <w:trHeight w:val="854"/>
        </w:trPr>
        <w:tc>
          <w:tcPr>
            <w:tcW w:w="3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21214E"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238</w:t>
            </w:r>
          </w:p>
        </w:tc>
        <w:tc>
          <w:tcPr>
            <w:tcW w:w="322" w:type="dxa"/>
            <w:tcBorders>
              <w:top w:val="single" w:sz="4" w:space="0" w:color="auto"/>
              <w:left w:val="nil"/>
              <w:bottom w:val="single" w:sz="4" w:space="0" w:color="auto"/>
              <w:right w:val="single" w:sz="4" w:space="0" w:color="auto"/>
            </w:tcBorders>
            <w:shd w:val="clear" w:color="000000" w:fill="FFFFFF"/>
            <w:noWrap/>
            <w:vAlign w:val="bottom"/>
            <w:hideMark/>
          </w:tcPr>
          <w:p w14:paraId="1C076636"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277</w:t>
            </w:r>
          </w:p>
        </w:tc>
        <w:tc>
          <w:tcPr>
            <w:tcW w:w="555" w:type="dxa"/>
            <w:tcBorders>
              <w:top w:val="single" w:sz="4" w:space="0" w:color="auto"/>
              <w:left w:val="nil"/>
              <w:bottom w:val="single" w:sz="4" w:space="0" w:color="auto"/>
              <w:right w:val="single" w:sz="4" w:space="0" w:color="auto"/>
            </w:tcBorders>
            <w:shd w:val="clear" w:color="000000" w:fill="FFFFFF"/>
            <w:noWrap/>
            <w:vAlign w:val="bottom"/>
          </w:tcPr>
          <w:p w14:paraId="62E8D3EC" w14:textId="77777777" w:rsidR="008F1BAE" w:rsidRPr="005E4BEA" w:rsidRDefault="008F1BAE" w:rsidP="00D97662">
            <w:pPr>
              <w:spacing w:line="240" w:lineRule="auto"/>
              <w:jc w:val="right"/>
              <w:rPr>
                <w:rFonts w:ascii="Arial CE" w:hAnsi="Arial CE" w:cs="Arial CE"/>
                <w:b/>
                <w:bCs/>
                <w:color w:val="000099"/>
                <w:sz w:val="12"/>
                <w:szCs w:val="12"/>
                <w:lang w:eastAsia="sl-SI"/>
              </w:rPr>
            </w:pPr>
          </w:p>
        </w:tc>
        <w:tc>
          <w:tcPr>
            <w:tcW w:w="417" w:type="dxa"/>
            <w:tcBorders>
              <w:top w:val="single" w:sz="4" w:space="0" w:color="auto"/>
              <w:left w:val="nil"/>
              <w:bottom w:val="single" w:sz="4" w:space="0" w:color="auto"/>
              <w:right w:val="single" w:sz="4" w:space="0" w:color="auto"/>
            </w:tcBorders>
            <w:shd w:val="clear" w:color="000000" w:fill="FFFFFF"/>
            <w:noWrap/>
            <w:vAlign w:val="bottom"/>
            <w:hideMark/>
          </w:tcPr>
          <w:p w14:paraId="1916E851" w14:textId="77777777" w:rsidR="008F1BAE" w:rsidRPr="005E4BEA" w:rsidRDefault="008F1BAE" w:rsidP="00D97662">
            <w:pPr>
              <w:spacing w:line="240" w:lineRule="auto"/>
              <w:jc w:val="right"/>
              <w:rPr>
                <w:rFonts w:ascii="Arial CE" w:hAnsi="Arial CE" w:cs="Arial CE"/>
                <w:b/>
                <w:bCs/>
                <w:color w:val="000099"/>
                <w:sz w:val="12"/>
                <w:szCs w:val="12"/>
                <w:lang w:eastAsia="sl-SI"/>
              </w:rPr>
            </w:pPr>
          </w:p>
        </w:tc>
        <w:tc>
          <w:tcPr>
            <w:tcW w:w="1621" w:type="dxa"/>
            <w:tcBorders>
              <w:top w:val="single" w:sz="4" w:space="0" w:color="auto"/>
              <w:left w:val="nil"/>
              <w:bottom w:val="single" w:sz="4" w:space="0" w:color="auto"/>
              <w:right w:val="single" w:sz="4" w:space="0" w:color="auto"/>
            </w:tcBorders>
            <w:shd w:val="clear" w:color="000000" w:fill="FFFFFF"/>
            <w:vAlign w:val="bottom"/>
            <w:hideMark/>
          </w:tcPr>
          <w:p w14:paraId="1EDB2E44" w14:textId="77777777" w:rsidR="008F1BAE" w:rsidRPr="005E4BEA" w:rsidRDefault="008F1BAE" w:rsidP="00D97662">
            <w:pPr>
              <w:spacing w:line="240" w:lineRule="auto"/>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 xml:space="preserve">PUC pediatrična urgentna ambulanta </w:t>
            </w:r>
            <w:r w:rsidRPr="005E4BEA">
              <w:rPr>
                <w:rFonts w:ascii="Arial CE" w:hAnsi="Arial CE" w:cs="Arial CE"/>
                <w:b/>
                <w:bCs/>
                <w:color w:val="000099"/>
                <w:sz w:val="12"/>
                <w:szCs w:val="12"/>
                <w:lang w:eastAsia="sl-SI"/>
              </w:rPr>
              <w:br/>
              <w:t>SB Novo Mesto</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598A9B14"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12</w:t>
            </w:r>
          </w:p>
        </w:tc>
        <w:tc>
          <w:tcPr>
            <w:tcW w:w="486" w:type="dxa"/>
            <w:tcBorders>
              <w:top w:val="single" w:sz="4" w:space="0" w:color="auto"/>
              <w:left w:val="nil"/>
              <w:bottom w:val="single" w:sz="4" w:space="0" w:color="auto"/>
              <w:right w:val="single" w:sz="4" w:space="0" w:color="auto"/>
            </w:tcBorders>
            <w:shd w:val="clear" w:color="000000" w:fill="FFFFFF"/>
            <w:noWrap/>
            <w:vAlign w:val="bottom"/>
            <w:hideMark/>
          </w:tcPr>
          <w:p w14:paraId="356C26D5" w14:textId="77777777" w:rsidR="008F1BAE" w:rsidRPr="005E4BEA" w:rsidRDefault="008F1BAE" w:rsidP="00D97662">
            <w:pPr>
              <w:spacing w:line="240" w:lineRule="auto"/>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pavšal</w:t>
            </w:r>
          </w:p>
        </w:tc>
        <w:tc>
          <w:tcPr>
            <w:tcW w:w="454" w:type="dxa"/>
            <w:tcBorders>
              <w:top w:val="single" w:sz="4" w:space="0" w:color="auto"/>
              <w:left w:val="nil"/>
              <w:bottom w:val="single" w:sz="4" w:space="0" w:color="auto"/>
              <w:right w:val="single" w:sz="4" w:space="0" w:color="auto"/>
            </w:tcBorders>
            <w:shd w:val="clear" w:color="000000" w:fill="FFFFFF"/>
            <w:noWrap/>
            <w:vAlign w:val="bottom"/>
            <w:hideMark/>
          </w:tcPr>
          <w:p w14:paraId="111A87AF"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6,72</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41D3F0EF" w14:textId="77777777" w:rsidR="008F1BAE" w:rsidRPr="005E4BEA" w:rsidRDefault="008F1BAE" w:rsidP="00D97662">
            <w:pPr>
              <w:spacing w:line="240" w:lineRule="auto"/>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7ACEC8AD"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293.326,07</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14:paraId="69F59C77"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11.369,41</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14:paraId="0E8078BF"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12.602,88</w:t>
            </w:r>
          </w:p>
        </w:tc>
        <w:tc>
          <w:tcPr>
            <w:tcW w:w="574" w:type="dxa"/>
            <w:tcBorders>
              <w:top w:val="single" w:sz="4" w:space="0" w:color="auto"/>
              <w:left w:val="nil"/>
              <w:bottom w:val="single" w:sz="4" w:space="0" w:color="auto"/>
              <w:right w:val="single" w:sz="4" w:space="0" w:color="auto"/>
            </w:tcBorders>
            <w:shd w:val="clear" w:color="000000" w:fill="FFFFFF"/>
            <w:noWrap/>
            <w:vAlign w:val="bottom"/>
            <w:hideMark/>
          </w:tcPr>
          <w:p w14:paraId="71A4DFFF"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2.229,29</w:t>
            </w:r>
          </w:p>
        </w:tc>
        <w:tc>
          <w:tcPr>
            <w:tcW w:w="480" w:type="dxa"/>
            <w:tcBorders>
              <w:top w:val="single" w:sz="4" w:space="0" w:color="auto"/>
              <w:left w:val="nil"/>
              <w:bottom w:val="single" w:sz="4" w:space="0" w:color="auto"/>
              <w:right w:val="single" w:sz="4" w:space="0" w:color="auto"/>
            </w:tcBorders>
            <w:shd w:val="clear" w:color="000000" w:fill="FFFFFF"/>
            <w:noWrap/>
            <w:vAlign w:val="bottom"/>
            <w:hideMark/>
          </w:tcPr>
          <w:p w14:paraId="5D3224B5"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974,81</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14:paraId="67B72352"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320.502,46</w:t>
            </w:r>
          </w:p>
        </w:tc>
        <w:tc>
          <w:tcPr>
            <w:tcW w:w="637" w:type="dxa"/>
            <w:tcBorders>
              <w:top w:val="single" w:sz="4" w:space="0" w:color="auto"/>
              <w:left w:val="nil"/>
              <w:bottom w:val="single" w:sz="4" w:space="0" w:color="auto"/>
              <w:right w:val="single" w:sz="4" w:space="0" w:color="auto"/>
            </w:tcBorders>
            <w:shd w:val="clear" w:color="000000" w:fill="FFFFFF"/>
            <w:noWrap/>
            <w:vAlign w:val="bottom"/>
            <w:hideMark/>
          </w:tcPr>
          <w:p w14:paraId="77D2EC62"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26.708,54</w:t>
            </w:r>
          </w:p>
        </w:tc>
      </w:tr>
      <w:tr w:rsidR="008F1BAE" w:rsidRPr="005E4BEA" w14:paraId="163D1DE8" w14:textId="77777777" w:rsidTr="00D97662">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701A1A72"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47568BF"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17403F6E" w14:textId="77777777" w:rsidR="008F1BAE" w:rsidRPr="005E4BEA" w:rsidRDefault="008F1BAE" w:rsidP="00D97662">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16CE22D9"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7D1BA809"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xml:space="preserve">zdravnik specialist  </w:t>
            </w:r>
          </w:p>
        </w:tc>
        <w:tc>
          <w:tcPr>
            <w:tcW w:w="760" w:type="dxa"/>
            <w:tcBorders>
              <w:top w:val="nil"/>
              <w:left w:val="nil"/>
              <w:bottom w:val="single" w:sz="4" w:space="0" w:color="auto"/>
              <w:right w:val="single" w:sz="4" w:space="0" w:color="auto"/>
            </w:tcBorders>
            <w:shd w:val="clear" w:color="000000" w:fill="FFFFFF"/>
            <w:noWrap/>
            <w:vAlign w:val="bottom"/>
            <w:hideMark/>
          </w:tcPr>
          <w:p w14:paraId="290A4CDE"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0B33B432" w14:textId="77777777" w:rsidR="008F1BAE" w:rsidRPr="005E4BEA" w:rsidRDefault="008F1BAE" w:rsidP="00D97662">
            <w:pPr>
              <w:spacing w:line="240" w:lineRule="auto"/>
              <w:jc w:val="right"/>
              <w:rPr>
                <w:rFonts w:ascii="Arial CE" w:hAnsi="Arial CE" w:cs="Arial CE"/>
                <w:b/>
                <w:bCs/>
                <w:color w:val="000099"/>
                <w:sz w:val="12"/>
                <w:szCs w:val="12"/>
                <w:lang w:eastAsia="sl-SI"/>
              </w:rPr>
            </w:pPr>
            <w:r w:rsidRPr="005E4BEA">
              <w:rPr>
                <w:rFonts w:ascii="Arial CE" w:hAnsi="Arial CE" w:cs="Arial CE"/>
                <w:b/>
                <w:bCs/>
                <w:color w:val="000099"/>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5994A9F2"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1,83</w:t>
            </w:r>
          </w:p>
        </w:tc>
        <w:tc>
          <w:tcPr>
            <w:tcW w:w="296" w:type="dxa"/>
            <w:tcBorders>
              <w:top w:val="nil"/>
              <w:left w:val="nil"/>
              <w:bottom w:val="single" w:sz="4" w:space="0" w:color="auto"/>
              <w:right w:val="single" w:sz="4" w:space="0" w:color="auto"/>
            </w:tcBorders>
            <w:shd w:val="clear" w:color="auto" w:fill="auto"/>
            <w:noWrap/>
            <w:vAlign w:val="bottom"/>
            <w:hideMark/>
          </w:tcPr>
          <w:p w14:paraId="37488334"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54</w:t>
            </w:r>
          </w:p>
        </w:tc>
        <w:tc>
          <w:tcPr>
            <w:tcW w:w="700" w:type="dxa"/>
            <w:tcBorders>
              <w:top w:val="nil"/>
              <w:left w:val="nil"/>
              <w:bottom w:val="single" w:sz="4" w:space="0" w:color="auto"/>
              <w:right w:val="single" w:sz="4" w:space="0" w:color="auto"/>
            </w:tcBorders>
            <w:shd w:val="clear" w:color="000000" w:fill="FFFFFF"/>
            <w:noWrap/>
            <w:vAlign w:val="bottom"/>
            <w:hideMark/>
          </w:tcPr>
          <w:p w14:paraId="73DE3702"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132.889,73</w:t>
            </w:r>
          </w:p>
        </w:tc>
        <w:tc>
          <w:tcPr>
            <w:tcW w:w="637" w:type="dxa"/>
            <w:tcBorders>
              <w:top w:val="nil"/>
              <w:left w:val="nil"/>
              <w:bottom w:val="single" w:sz="4" w:space="0" w:color="auto"/>
              <w:right w:val="single" w:sz="4" w:space="0" w:color="auto"/>
            </w:tcBorders>
            <w:shd w:val="clear" w:color="000000" w:fill="FFFFFF"/>
            <w:noWrap/>
            <w:vAlign w:val="bottom"/>
            <w:hideMark/>
          </w:tcPr>
          <w:p w14:paraId="2EF12EC1"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3.103,75</w:t>
            </w:r>
          </w:p>
        </w:tc>
        <w:tc>
          <w:tcPr>
            <w:tcW w:w="637" w:type="dxa"/>
            <w:tcBorders>
              <w:top w:val="nil"/>
              <w:left w:val="nil"/>
              <w:bottom w:val="single" w:sz="4" w:space="0" w:color="auto"/>
              <w:right w:val="single" w:sz="4" w:space="0" w:color="auto"/>
            </w:tcBorders>
            <w:shd w:val="clear" w:color="000000" w:fill="FFFFFF"/>
            <w:noWrap/>
            <w:vAlign w:val="bottom"/>
            <w:hideMark/>
          </w:tcPr>
          <w:p w14:paraId="759B72A9"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678AA159"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4C5CB929"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1C382DF7"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32482EEE"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02AD7F9C" w14:textId="77777777" w:rsidTr="00D97662">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41B0FEA9"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E2667C5"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6267CA41" w14:textId="77777777" w:rsidR="008F1BAE" w:rsidRPr="005E4BEA" w:rsidRDefault="008F1BAE" w:rsidP="00D97662">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42C709B6"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68CC6CBF"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xml:space="preserve">dipl. med. sestra / višja med. sestra  </w:t>
            </w:r>
          </w:p>
        </w:tc>
        <w:tc>
          <w:tcPr>
            <w:tcW w:w="760" w:type="dxa"/>
            <w:tcBorders>
              <w:top w:val="nil"/>
              <w:left w:val="nil"/>
              <w:bottom w:val="single" w:sz="4" w:space="0" w:color="auto"/>
              <w:right w:val="single" w:sz="4" w:space="0" w:color="auto"/>
            </w:tcBorders>
            <w:shd w:val="clear" w:color="000000" w:fill="FFFFFF"/>
            <w:noWrap/>
            <w:vAlign w:val="bottom"/>
            <w:hideMark/>
          </w:tcPr>
          <w:p w14:paraId="0574CF3B"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6D3EB6DD" w14:textId="77777777" w:rsidR="008F1BAE" w:rsidRPr="005E4BEA" w:rsidRDefault="008F1BAE" w:rsidP="00D97662">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19FA317A"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1,70</w:t>
            </w:r>
          </w:p>
        </w:tc>
        <w:tc>
          <w:tcPr>
            <w:tcW w:w="296" w:type="dxa"/>
            <w:tcBorders>
              <w:top w:val="nil"/>
              <w:left w:val="nil"/>
              <w:bottom w:val="single" w:sz="4" w:space="0" w:color="auto"/>
              <w:right w:val="single" w:sz="4" w:space="0" w:color="auto"/>
            </w:tcBorders>
            <w:shd w:val="clear" w:color="auto" w:fill="auto"/>
            <w:noWrap/>
            <w:vAlign w:val="bottom"/>
            <w:hideMark/>
          </w:tcPr>
          <w:p w14:paraId="2E48CC18"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42</w:t>
            </w:r>
          </w:p>
        </w:tc>
        <w:tc>
          <w:tcPr>
            <w:tcW w:w="700" w:type="dxa"/>
            <w:tcBorders>
              <w:top w:val="nil"/>
              <w:left w:val="nil"/>
              <w:bottom w:val="single" w:sz="4" w:space="0" w:color="auto"/>
              <w:right w:val="single" w:sz="4" w:space="0" w:color="auto"/>
            </w:tcBorders>
            <w:shd w:val="clear" w:color="000000" w:fill="FFFFFF"/>
            <w:noWrap/>
            <w:vAlign w:val="bottom"/>
            <w:hideMark/>
          </w:tcPr>
          <w:p w14:paraId="39CA8617"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76.731,98</w:t>
            </w:r>
          </w:p>
        </w:tc>
        <w:tc>
          <w:tcPr>
            <w:tcW w:w="637" w:type="dxa"/>
            <w:tcBorders>
              <w:top w:val="nil"/>
              <w:left w:val="nil"/>
              <w:bottom w:val="single" w:sz="4" w:space="0" w:color="auto"/>
              <w:right w:val="single" w:sz="4" w:space="0" w:color="auto"/>
            </w:tcBorders>
            <w:shd w:val="clear" w:color="000000" w:fill="FFFFFF"/>
            <w:noWrap/>
            <w:vAlign w:val="bottom"/>
            <w:hideMark/>
          </w:tcPr>
          <w:p w14:paraId="2987043D"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2.869,29</w:t>
            </w:r>
          </w:p>
        </w:tc>
        <w:tc>
          <w:tcPr>
            <w:tcW w:w="637" w:type="dxa"/>
            <w:tcBorders>
              <w:top w:val="nil"/>
              <w:left w:val="nil"/>
              <w:bottom w:val="single" w:sz="4" w:space="0" w:color="auto"/>
              <w:right w:val="single" w:sz="4" w:space="0" w:color="auto"/>
            </w:tcBorders>
            <w:shd w:val="clear" w:color="000000" w:fill="FFFFFF"/>
            <w:noWrap/>
            <w:vAlign w:val="bottom"/>
            <w:hideMark/>
          </w:tcPr>
          <w:p w14:paraId="3BBA5082"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75AF557A"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626F29BF"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5DA16B1D"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14971280"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5978968E" w14:textId="77777777" w:rsidTr="00D97662">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5505459C"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464C4585"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7713D39C" w14:textId="77777777" w:rsidR="008F1BAE" w:rsidRPr="005E4BEA" w:rsidRDefault="008F1BAE" w:rsidP="00D97662">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4EA9EEC6"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6839F95E"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xml:space="preserve">tehnik zdravstvene nege  </w:t>
            </w:r>
          </w:p>
        </w:tc>
        <w:tc>
          <w:tcPr>
            <w:tcW w:w="760" w:type="dxa"/>
            <w:tcBorders>
              <w:top w:val="nil"/>
              <w:left w:val="nil"/>
              <w:bottom w:val="single" w:sz="4" w:space="0" w:color="auto"/>
              <w:right w:val="single" w:sz="4" w:space="0" w:color="auto"/>
            </w:tcBorders>
            <w:shd w:val="clear" w:color="000000" w:fill="FFFFFF"/>
            <w:noWrap/>
            <w:vAlign w:val="bottom"/>
            <w:hideMark/>
          </w:tcPr>
          <w:p w14:paraId="13208A61"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62696F0C" w14:textId="77777777" w:rsidR="008F1BAE" w:rsidRPr="005E4BEA" w:rsidRDefault="008F1BAE" w:rsidP="00D97662">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01D607F7"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1,70</w:t>
            </w:r>
          </w:p>
        </w:tc>
        <w:tc>
          <w:tcPr>
            <w:tcW w:w="296" w:type="dxa"/>
            <w:tcBorders>
              <w:top w:val="nil"/>
              <w:left w:val="nil"/>
              <w:bottom w:val="single" w:sz="4" w:space="0" w:color="auto"/>
              <w:right w:val="single" w:sz="4" w:space="0" w:color="auto"/>
            </w:tcBorders>
            <w:shd w:val="clear" w:color="auto" w:fill="auto"/>
            <w:noWrap/>
            <w:vAlign w:val="bottom"/>
            <w:hideMark/>
          </w:tcPr>
          <w:p w14:paraId="0AFC31BA"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33</w:t>
            </w:r>
          </w:p>
        </w:tc>
        <w:tc>
          <w:tcPr>
            <w:tcW w:w="700" w:type="dxa"/>
            <w:tcBorders>
              <w:top w:val="nil"/>
              <w:left w:val="nil"/>
              <w:bottom w:val="single" w:sz="4" w:space="0" w:color="auto"/>
              <w:right w:val="single" w:sz="4" w:space="0" w:color="auto"/>
            </w:tcBorders>
            <w:shd w:val="clear" w:color="000000" w:fill="FFFFFF"/>
            <w:noWrap/>
            <w:vAlign w:val="bottom"/>
            <w:hideMark/>
          </w:tcPr>
          <w:p w14:paraId="080C5962"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53.911,02</w:t>
            </w:r>
          </w:p>
        </w:tc>
        <w:tc>
          <w:tcPr>
            <w:tcW w:w="637" w:type="dxa"/>
            <w:tcBorders>
              <w:top w:val="nil"/>
              <w:left w:val="nil"/>
              <w:bottom w:val="single" w:sz="4" w:space="0" w:color="auto"/>
              <w:right w:val="single" w:sz="4" w:space="0" w:color="auto"/>
            </w:tcBorders>
            <w:shd w:val="clear" w:color="000000" w:fill="FFFFFF"/>
            <w:noWrap/>
            <w:vAlign w:val="bottom"/>
            <w:hideMark/>
          </w:tcPr>
          <w:p w14:paraId="5CCDC089"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2.869,29</w:t>
            </w:r>
          </w:p>
        </w:tc>
        <w:tc>
          <w:tcPr>
            <w:tcW w:w="637" w:type="dxa"/>
            <w:tcBorders>
              <w:top w:val="nil"/>
              <w:left w:val="nil"/>
              <w:bottom w:val="single" w:sz="4" w:space="0" w:color="auto"/>
              <w:right w:val="single" w:sz="4" w:space="0" w:color="auto"/>
            </w:tcBorders>
            <w:shd w:val="clear" w:color="000000" w:fill="FFFFFF"/>
            <w:noWrap/>
            <w:vAlign w:val="bottom"/>
            <w:hideMark/>
          </w:tcPr>
          <w:p w14:paraId="5C601E57"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6E78C8FE"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2AC3ACDD"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2FCB660A"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2916599D"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279DD2B5" w14:textId="77777777" w:rsidTr="00D97662">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02349A1C"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708D374"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68A4D438" w14:textId="77777777" w:rsidR="008F1BAE" w:rsidRPr="005E4BEA" w:rsidRDefault="008F1BAE" w:rsidP="00D97662">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166E5957"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22660EC9" w14:textId="77777777" w:rsidR="008F1BAE" w:rsidRPr="005E4BEA" w:rsidRDefault="008F1BAE" w:rsidP="00D97662">
            <w:pPr>
              <w:spacing w:line="240" w:lineRule="auto"/>
              <w:rPr>
                <w:rFonts w:ascii="Calibri" w:hAnsi="Calibri" w:cs="Calibri"/>
                <w:color w:val="000000"/>
                <w:sz w:val="12"/>
                <w:szCs w:val="12"/>
                <w:lang w:eastAsia="sl-SI"/>
              </w:rPr>
            </w:pPr>
            <w:proofErr w:type="spellStart"/>
            <w:r w:rsidRPr="005E4BEA">
              <w:rPr>
                <w:rFonts w:ascii="Calibri" w:hAnsi="Calibri" w:cs="Calibri"/>
                <w:color w:val="000000"/>
                <w:sz w:val="12"/>
                <w:szCs w:val="12"/>
                <w:lang w:eastAsia="sl-SI"/>
              </w:rPr>
              <w:t>admin</w:t>
            </w:r>
            <w:proofErr w:type="spellEnd"/>
            <w:r w:rsidRPr="005E4BEA">
              <w:rPr>
                <w:rFonts w:ascii="Calibri" w:hAnsi="Calibri" w:cs="Calibri"/>
                <w:color w:val="000000"/>
                <w:sz w:val="12"/>
                <w:szCs w:val="12"/>
                <w:lang w:eastAsia="sl-SI"/>
              </w:rPr>
              <w:t xml:space="preserve">. tehnični delavci  </w:t>
            </w:r>
          </w:p>
        </w:tc>
        <w:tc>
          <w:tcPr>
            <w:tcW w:w="760" w:type="dxa"/>
            <w:tcBorders>
              <w:top w:val="nil"/>
              <w:left w:val="nil"/>
              <w:bottom w:val="single" w:sz="4" w:space="0" w:color="auto"/>
              <w:right w:val="single" w:sz="4" w:space="0" w:color="auto"/>
            </w:tcBorders>
            <w:shd w:val="clear" w:color="000000" w:fill="FFFFFF"/>
            <w:noWrap/>
            <w:vAlign w:val="bottom"/>
            <w:hideMark/>
          </w:tcPr>
          <w:p w14:paraId="405206FE"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25E30D2D" w14:textId="77777777" w:rsidR="008F1BAE" w:rsidRPr="005E4BEA" w:rsidRDefault="008F1BAE" w:rsidP="00D97662">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127D3517"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0,80</w:t>
            </w:r>
          </w:p>
        </w:tc>
        <w:tc>
          <w:tcPr>
            <w:tcW w:w="296" w:type="dxa"/>
            <w:tcBorders>
              <w:top w:val="nil"/>
              <w:left w:val="nil"/>
              <w:bottom w:val="single" w:sz="4" w:space="0" w:color="auto"/>
              <w:right w:val="single" w:sz="4" w:space="0" w:color="auto"/>
            </w:tcBorders>
            <w:shd w:val="clear" w:color="auto" w:fill="auto"/>
            <w:noWrap/>
            <w:vAlign w:val="bottom"/>
            <w:hideMark/>
          </w:tcPr>
          <w:p w14:paraId="686A809B"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w:t>
            </w:r>
          </w:p>
        </w:tc>
        <w:tc>
          <w:tcPr>
            <w:tcW w:w="700" w:type="dxa"/>
            <w:tcBorders>
              <w:top w:val="nil"/>
              <w:left w:val="nil"/>
              <w:bottom w:val="single" w:sz="4" w:space="0" w:color="auto"/>
              <w:right w:val="single" w:sz="4" w:space="0" w:color="auto"/>
            </w:tcBorders>
            <w:shd w:val="clear" w:color="000000" w:fill="FFFFFF"/>
            <w:noWrap/>
            <w:vAlign w:val="bottom"/>
            <w:hideMark/>
          </w:tcPr>
          <w:p w14:paraId="58D49E90"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15.700,74</w:t>
            </w:r>
          </w:p>
        </w:tc>
        <w:tc>
          <w:tcPr>
            <w:tcW w:w="637" w:type="dxa"/>
            <w:tcBorders>
              <w:top w:val="nil"/>
              <w:left w:val="nil"/>
              <w:bottom w:val="single" w:sz="4" w:space="0" w:color="auto"/>
              <w:right w:val="single" w:sz="4" w:space="0" w:color="auto"/>
            </w:tcBorders>
            <w:shd w:val="clear" w:color="000000" w:fill="FFFFFF"/>
            <w:noWrap/>
            <w:vAlign w:val="bottom"/>
            <w:hideMark/>
          </w:tcPr>
          <w:p w14:paraId="6FD3D57F"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1.353,28</w:t>
            </w:r>
          </w:p>
        </w:tc>
        <w:tc>
          <w:tcPr>
            <w:tcW w:w="637" w:type="dxa"/>
            <w:tcBorders>
              <w:top w:val="nil"/>
              <w:left w:val="nil"/>
              <w:bottom w:val="single" w:sz="4" w:space="0" w:color="auto"/>
              <w:right w:val="single" w:sz="4" w:space="0" w:color="auto"/>
            </w:tcBorders>
            <w:shd w:val="clear" w:color="000000" w:fill="FFFFFF"/>
            <w:noWrap/>
            <w:vAlign w:val="bottom"/>
            <w:hideMark/>
          </w:tcPr>
          <w:p w14:paraId="2CB26B83"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11.377,62</w:t>
            </w:r>
          </w:p>
        </w:tc>
        <w:tc>
          <w:tcPr>
            <w:tcW w:w="574" w:type="dxa"/>
            <w:tcBorders>
              <w:top w:val="nil"/>
              <w:left w:val="nil"/>
              <w:bottom w:val="single" w:sz="4" w:space="0" w:color="auto"/>
              <w:right w:val="single" w:sz="4" w:space="0" w:color="auto"/>
            </w:tcBorders>
            <w:shd w:val="clear" w:color="000000" w:fill="FFFFFF"/>
            <w:noWrap/>
            <w:vAlign w:val="bottom"/>
            <w:hideMark/>
          </w:tcPr>
          <w:p w14:paraId="53D35C87"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2.027,52</w:t>
            </w:r>
          </w:p>
        </w:tc>
        <w:tc>
          <w:tcPr>
            <w:tcW w:w="480" w:type="dxa"/>
            <w:tcBorders>
              <w:top w:val="nil"/>
              <w:left w:val="nil"/>
              <w:bottom w:val="single" w:sz="4" w:space="0" w:color="auto"/>
              <w:right w:val="single" w:sz="4" w:space="0" w:color="auto"/>
            </w:tcBorders>
            <w:shd w:val="clear" w:color="000000" w:fill="FFFFFF"/>
            <w:noWrap/>
            <w:vAlign w:val="bottom"/>
            <w:hideMark/>
          </w:tcPr>
          <w:p w14:paraId="6E917C02"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5E4F582E"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24F6B581"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21DA428F" w14:textId="77777777" w:rsidTr="00D97662">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6CA9301C"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31A79184"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04864BCD" w14:textId="77777777" w:rsidR="008F1BAE" w:rsidRPr="005E4BEA" w:rsidRDefault="008F1BAE" w:rsidP="00D97662">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2F169898"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10E8BDA3"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laboratorijski tehnik</w:t>
            </w:r>
          </w:p>
        </w:tc>
        <w:tc>
          <w:tcPr>
            <w:tcW w:w="760" w:type="dxa"/>
            <w:tcBorders>
              <w:top w:val="nil"/>
              <w:left w:val="nil"/>
              <w:bottom w:val="single" w:sz="4" w:space="0" w:color="auto"/>
              <w:right w:val="single" w:sz="4" w:space="0" w:color="auto"/>
            </w:tcBorders>
            <w:shd w:val="clear" w:color="000000" w:fill="FFFFFF"/>
            <w:noWrap/>
            <w:vAlign w:val="bottom"/>
            <w:hideMark/>
          </w:tcPr>
          <w:p w14:paraId="4BBFD574"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196CA8AC" w14:textId="77777777" w:rsidR="008F1BAE" w:rsidRPr="005E4BEA" w:rsidRDefault="008F1BAE" w:rsidP="00D97662">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788F86AD"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0,60</w:t>
            </w:r>
          </w:p>
        </w:tc>
        <w:tc>
          <w:tcPr>
            <w:tcW w:w="296" w:type="dxa"/>
            <w:tcBorders>
              <w:top w:val="nil"/>
              <w:left w:val="nil"/>
              <w:bottom w:val="single" w:sz="4" w:space="0" w:color="auto"/>
              <w:right w:val="single" w:sz="4" w:space="0" w:color="auto"/>
            </w:tcBorders>
            <w:shd w:val="clear" w:color="auto" w:fill="auto"/>
            <w:noWrap/>
            <w:vAlign w:val="bottom"/>
            <w:hideMark/>
          </w:tcPr>
          <w:p w14:paraId="352EA3E4"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29</w:t>
            </w:r>
          </w:p>
        </w:tc>
        <w:tc>
          <w:tcPr>
            <w:tcW w:w="700" w:type="dxa"/>
            <w:tcBorders>
              <w:top w:val="nil"/>
              <w:left w:val="nil"/>
              <w:bottom w:val="single" w:sz="4" w:space="0" w:color="auto"/>
              <w:right w:val="single" w:sz="4" w:space="0" w:color="auto"/>
            </w:tcBorders>
            <w:shd w:val="clear" w:color="000000" w:fill="FFFFFF"/>
            <w:noWrap/>
            <w:vAlign w:val="bottom"/>
            <w:hideMark/>
          </w:tcPr>
          <w:p w14:paraId="59524435"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12.326,26</w:t>
            </w:r>
          </w:p>
        </w:tc>
        <w:tc>
          <w:tcPr>
            <w:tcW w:w="637" w:type="dxa"/>
            <w:tcBorders>
              <w:top w:val="nil"/>
              <w:left w:val="nil"/>
              <w:bottom w:val="single" w:sz="4" w:space="0" w:color="auto"/>
              <w:right w:val="single" w:sz="4" w:space="0" w:color="auto"/>
            </w:tcBorders>
            <w:shd w:val="clear" w:color="000000" w:fill="FFFFFF"/>
            <w:noWrap/>
            <w:vAlign w:val="bottom"/>
            <w:hideMark/>
          </w:tcPr>
          <w:p w14:paraId="440F920D"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1.021,56</w:t>
            </w:r>
          </w:p>
        </w:tc>
        <w:tc>
          <w:tcPr>
            <w:tcW w:w="637" w:type="dxa"/>
            <w:tcBorders>
              <w:top w:val="nil"/>
              <w:left w:val="nil"/>
              <w:bottom w:val="single" w:sz="4" w:space="0" w:color="auto"/>
              <w:right w:val="single" w:sz="4" w:space="0" w:color="auto"/>
            </w:tcBorders>
            <w:shd w:val="clear" w:color="000000" w:fill="FFFFFF"/>
            <w:noWrap/>
            <w:vAlign w:val="bottom"/>
            <w:hideMark/>
          </w:tcPr>
          <w:p w14:paraId="2462CCAC"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574" w:type="dxa"/>
            <w:tcBorders>
              <w:top w:val="nil"/>
              <w:left w:val="nil"/>
              <w:bottom w:val="single" w:sz="4" w:space="0" w:color="auto"/>
              <w:right w:val="single" w:sz="4" w:space="0" w:color="auto"/>
            </w:tcBorders>
            <w:shd w:val="clear" w:color="000000" w:fill="FFFFFF"/>
            <w:noWrap/>
            <w:vAlign w:val="bottom"/>
            <w:hideMark/>
          </w:tcPr>
          <w:p w14:paraId="7D52B50D"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0" w:type="dxa"/>
            <w:tcBorders>
              <w:top w:val="nil"/>
              <w:left w:val="nil"/>
              <w:bottom w:val="single" w:sz="4" w:space="0" w:color="auto"/>
              <w:right w:val="single" w:sz="4" w:space="0" w:color="auto"/>
            </w:tcBorders>
            <w:shd w:val="clear" w:color="000000" w:fill="FFFFFF"/>
            <w:noWrap/>
            <w:vAlign w:val="bottom"/>
            <w:hideMark/>
          </w:tcPr>
          <w:p w14:paraId="68F8BA5E"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291291B9"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486D3D6C"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r w:rsidR="008F1BAE" w:rsidRPr="005E4BEA" w14:paraId="7889ACFA" w14:textId="77777777" w:rsidTr="00D97662">
        <w:trPr>
          <w:trHeight w:val="298"/>
        </w:trPr>
        <w:tc>
          <w:tcPr>
            <w:tcW w:w="322" w:type="dxa"/>
            <w:tcBorders>
              <w:top w:val="nil"/>
              <w:left w:val="single" w:sz="4" w:space="0" w:color="auto"/>
              <w:bottom w:val="single" w:sz="4" w:space="0" w:color="auto"/>
              <w:right w:val="single" w:sz="4" w:space="0" w:color="auto"/>
            </w:tcBorders>
            <w:shd w:val="clear" w:color="000000" w:fill="FFFFFF"/>
            <w:noWrap/>
            <w:vAlign w:val="bottom"/>
            <w:hideMark/>
          </w:tcPr>
          <w:p w14:paraId="4D38381F"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238</w:t>
            </w:r>
          </w:p>
        </w:tc>
        <w:tc>
          <w:tcPr>
            <w:tcW w:w="322" w:type="dxa"/>
            <w:tcBorders>
              <w:top w:val="nil"/>
              <w:left w:val="nil"/>
              <w:bottom w:val="single" w:sz="4" w:space="0" w:color="auto"/>
              <w:right w:val="single" w:sz="4" w:space="0" w:color="auto"/>
            </w:tcBorders>
            <w:shd w:val="clear" w:color="000000" w:fill="FFFFFF"/>
            <w:noWrap/>
            <w:vAlign w:val="bottom"/>
            <w:hideMark/>
          </w:tcPr>
          <w:p w14:paraId="00CDE4BE" w14:textId="77777777" w:rsidR="008F1BAE" w:rsidRPr="005E4BEA" w:rsidRDefault="008F1BAE" w:rsidP="00D97662">
            <w:pPr>
              <w:spacing w:line="240" w:lineRule="auto"/>
              <w:jc w:val="right"/>
              <w:rPr>
                <w:rFonts w:ascii="Arial CE" w:hAnsi="Arial CE" w:cs="Arial CE"/>
                <w:b/>
                <w:bCs/>
                <w:color w:val="BFBFBF"/>
                <w:sz w:val="12"/>
                <w:szCs w:val="12"/>
                <w:lang w:eastAsia="sl-SI"/>
              </w:rPr>
            </w:pPr>
            <w:r w:rsidRPr="005E4BEA">
              <w:rPr>
                <w:rFonts w:ascii="Arial CE" w:hAnsi="Arial CE" w:cs="Arial CE"/>
                <w:b/>
                <w:bCs/>
                <w:color w:val="BFBFBF"/>
                <w:sz w:val="12"/>
                <w:szCs w:val="12"/>
                <w:lang w:eastAsia="sl-SI"/>
              </w:rPr>
              <w:t>277</w:t>
            </w:r>
          </w:p>
        </w:tc>
        <w:tc>
          <w:tcPr>
            <w:tcW w:w="555" w:type="dxa"/>
            <w:tcBorders>
              <w:top w:val="nil"/>
              <w:left w:val="nil"/>
              <w:bottom w:val="single" w:sz="4" w:space="0" w:color="auto"/>
              <w:right w:val="single" w:sz="4" w:space="0" w:color="auto"/>
            </w:tcBorders>
            <w:shd w:val="clear" w:color="000000" w:fill="FFFFFF"/>
            <w:noWrap/>
            <w:vAlign w:val="bottom"/>
          </w:tcPr>
          <w:p w14:paraId="75CCFA94" w14:textId="77777777" w:rsidR="008F1BAE" w:rsidRPr="005E4BEA" w:rsidRDefault="008F1BAE" w:rsidP="00D97662">
            <w:pPr>
              <w:spacing w:line="240" w:lineRule="auto"/>
              <w:jc w:val="right"/>
              <w:rPr>
                <w:rFonts w:ascii="Arial CE" w:hAnsi="Arial CE" w:cs="Arial CE"/>
                <w:b/>
                <w:bCs/>
                <w:color w:val="BFBFBF"/>
                <w:sz w:val="12"/>
                <w:szCs w:val="12"/>
                <w:lang w:eastAsia="sl-SI"/>
              </w:rPr>
            </w:pPr>
          </w:p>
        </w:tc>
        <w:tc>
          <w:tcPr>
            <w:tcW w:w="417" w:type="dxa"/>
            <w:tcBorders>
              <w:top w:val="nil"/>
              <w:left w:val="nil"/>
              <w:bottom w:val="single" w:sz="4" w:space="0" w:color="auto"/>
              <w:right w:val="single" w:sz="4" w:space="0" w:color="auto"/>
            </w:tcBorders>
            <w:shd w:val="clear" w:color="000000" w:fill="FFFFFF"/>
            <w:noWrap/>
            <w:vAlign w:val="bottom"/>
            <w:hideMark/>
          </w:tcPr>
          <w:p w14:paraId="53B5EA64"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1621" w:type="dxa"/>
            <w:tcBorders>
              <w:top w:val="nil"/>
              <w:left w:val="nil"/>
              <w:bottom w:val="single" w:sz="4" w:space="0" w:color="auto"/>
              <w:right w:val="single" w:sz="4" w:space="0" w:color="auto"/>
            </w:tcBorders>
            <w:shd w:val="clear" w:color="000000" w:fill="FFFFFF"/>
            <w:noWrap/>
            <w:vAlign w:val="bottom"/>
            <w:hideMark/>
          </w:tcPr>
          <w:p w14:paraId="04EDCFA1" w14:textId="77777777" w:rsidR="008F1BAE" w:rsidRPr="005E4BEA" w:rsidRDefault="008F1BAE" w:rsidP="00D97662">
            <w:pPr>
              <w:spacing w:line="240" w:lineRule="auto"/>
              <w:rPr>
                <w:rFonts w:ascii="Calibri" w:hAnsi="Calibri" w:cs="Calibri"/>
                <w:color w:val="000000"/>
                <w:sz w:val="12"/>
                <w:szCs w:val="12"/>
                <w:lang w:eastAsia="sl-SI"/>
              </w:rPr>
            </w:pPr>
            <w:proofErr w:type="spellStart"/>
            <w:r w:rsidRPr="005E4BEA">
              <w:rPr>
                <w:rFonts w:ascii="Calibri" w:hAnsi="Calibri" w:cs="Calibri"/>
                <w:color w:val="000000"/>
                <w:sz w:val="12"/>
                <w:szCs w:val="12"/>
                <w:lang w:eastAsia="sl-SI"/>
              </w:rPr>
              <w:t>admin</w:t>
            </w:r>
            <w:proofErr w:type="spellEnd"/>
            <w:r w:rsidRPr="005E4BEA">
              <w:rPr>
                <w:rFonts w:ascii="Calibri" w:hAnsi="Calibri" w:cs="Calibri"/>
                <w:color w:val="000000"/>
                <w:sz w:val="12"/>
                <w:szCs w:val="12"/>
                <w:lang w:eastAsia="sl-SI"/>
              </w:rPr>
              <w:t xml:space="preserve">. tehnični delavci </w:t>
            </w:r>
            <w:proofErr w:type="spellStart"/>
            <w:r w:rsidRPr="005E4BEA">
              <w:rPr>
                <w:rFonts w:ascii="Calibri" w:hAnsi="Calibri" w:cs="Calibri"/>
                <w:color w:val="000000"/>
                <w:sz w:val="12"/>
                <w:szCs w:val="12"/>
                <w:lang w:eastAsia="sl-SI"/>
              </w:rPr>
              <w:t>lab</w:t>
            </w:r>
            <w:proofErr w:type="spellEnd"/>
            <w:r w:rsidRPr="005E4BEA">
              <w:rPr>
                <w:rFonts w:ascii="Calibri" w:hAnsi="Calibri" w:cs="Calibri"/>
                <w:color w:val="000000"/>
                <w:sz w:val="12"/>
                <w:szCs w:val="12"/>
                <w:lang w:eastAsia="sl-SI"/>
              </w:rPr>
              <w:t>/RTG</w:t>
            </w:r>
          </w:p>
        </w:tc>
        <w:tc>
          <w:tcPr>
            <w:tcW w:w="760" w:type="dxa"/>
            <w:tcBorders>
              <w:top w:val="nil"/>
              <w:left w:val="nil"/>
              <w:bottom w:val="single" w:sz="4" w:space="0" w:color="auto"/>
              <w:right w:val="single" w:sz="4" w:space="0" w:color="auto"/>
            </w:tcBorders>
            <w:shd w:val="clear" w:color="000000" w:fill="FFFFFF"/>
            <w:noWrap/>
            <w:vAlign w:val="bottom"/>
            <w:hideMark/>
          </w:tcPr>
          <w:p w14:paraId="32430A0A"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486" w:type="dxa"/>
            <w:tcBorders>
              <w:top w:val="nil"/>
              <w:left w:val="nil"/>
              <w:bottom w:val="single" w:sz="4" w:space="0" w:color="auto"/>
              <w:right w:val="single" w:sz="4" w:space="0" w:color="auto"/>
            </w:tcBorders>
            <w:shd w:val="clear" w:color="000000" w:fill="FFFFFF"/>
            <w:noWrap/>
            <w:vAlign w:val="bottom"/>
            <w:hideMark/>
          </w:tcPr>
          <w:p w14:paraId="50E4DE19" w14:textId="77777777" w:rsidR="008F1BAE" w:rsidRPr="005E4BEA" w:rsidRDefault="008F1BAE" w:rsidP="00D97662">
            <w:pPr>
              <w:spacing w:line="240" w:lineRule="auto"/>
              <w:jc w:val="right"/>
              <w:rPr>
                <w:rFonts w:ascii="Arial CE" w:hAnsi="Arial CE" w:cs="Arial CE"/>
                <w:sz w:val="12"/>
                <w:szCs w:val="12"/>
                <w:lang w:eastAsia="sl-SI"/>
              </w:rPr>
            </w:pPr>
            <w:r w:rsidRPr="005E4BEA">
              <w:rPr>
                <w:rFonts w:ascii="Arial CE" w:hAnsi="Arial CE" w:cs="Arial CE"/>
                <w:sz w:val="12"/>
                <w:szCs w:val="12"/>
                <w:lang w:eastAsia="sl-SI"/>
              </w:rPr>
              <w:t> </w:t>
            </w:r>
          </w:p>
        </w:tc>
        <w:tc>
          <w:tcPr>
            <w:tcW w:w="454" w:type="dxa"/>
            <w:tcBorders>
              <w:top w:val="nil"/>
              <w:left w:val="nil"/>
              <w:bottom w:val="single" w:sz="4" w:space="0" w:color="auto"/>
              <w:right w:val="single" w:sz="4" w:space="0" w:color="auto"/>
            </w:tcBorders>
            <w:shd w:val="clear" w:color="000000" w:fill="FFFFFF"/>
            <w:noWrap/>
            <w:vAlign w:val="bottom"/>
            <w:hideMark/>
          </w:tcPr>
          <w:p w14:paraId="77295552"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0,09</w:t>
            </w:r>
          </w:p>
        </w:tc>
        <w:tc>
          <w:tcPr>
            <w:tcW w:w="296" w:type="dxa"/>
            <w:tcBorders>
              <w:top w:val="nil"/>
              <w:left w:val="nil"/>
              <w:bottom w:val="single" w:sz="4" w:space="0" w:color="auto"/>
              <w:right w:val="single" w:sz="4" w:space="0" w:color="auto"/>
            </w:tcBorders>
            <w:shd w:val="clear" w:color="auto" w:fill="auto"/>
            <w:noWrap/>
            <w:vAlign w:val="bottom"/>
            <w:hideMark/>
          </w:tcPr>
          <w:p w14:paraId="07BB2EBE"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28</w:t>
            </w:r>
          </w:p>
        </w:tc>
        <w:tc>
          <w:tcPr>
            <w:tcW w:w="700" w:type="dxa"/>
            <w:tcBorders>
              <w:top w:val="nil"/>
              <w:left w:val="nil"/>
              <w:bottom w:val="single" w:sz="4" w:space="0" w:color="auto"/>
              <w:right w:val="single" w:sz="4" w:space="0" w:color="auto"/>
            </w:tcBorders>
            <w:shd w:val="clear" w:color="000000" w:fill="FFFFFF"/>
            <w:noWrap/>
            <w:vAlign w:val="bottom"/>
            <w:hideMark/>
          </w:tcPr>
          <w:p w14:paraId="32FCDD8E"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1.766,33</w:t>
            </w:r>
          </w:p>
        </w:tc>
        <w:tc>
          <w:tcPr>
            <w:tcW w:w="637" w:type="dxa"/>
            <w:tcBorders>
              <w:top w:val="nil"/>
              <w:left w:val="nil"/>
              <w:bottom w:val="single" w:sz="4" w:space="0" w:color="auto"/>
              <w:right w:val="single" w:sz="4" w:space="0" w:color="auto"/>
            </w:tcBorders>
            <w:shd w:val="clear" w:color="000000" w:fill="FFFFFF"/>
            <w:noWrap/>
            <w:vAlign w:val="bottom"/>
            <w:hideMark/>
          </w:tcPr>
          <w:p w14:paraId="29CC62B6"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152,24</w:t>
            </w:r>
          </w:p>
        </w:tc>
        <w:tc>
          <w:tcPr>
            <w:tcW w:w="637" w:type="dxa"/>
            <w:tcBorders>
              <w:top w:val="nil"/>
              <w:left w:val="nil"/>
              <w:bottom w:val="single" w:sz="4" w:space="0" w:color="auto"/>
              <w:right w:val="single" w:sz="4" w:space="0" w:color="auto"/>
            </w:tcBorders>
            <w:shd w:val="clear" w:color="000000" w:fill="FFFFFF"/>
            <w:noWrap/>
            <w:vAlign w:val="bottom"/>
            <w:hideMark/>
          </w:tcPr>
          <w:p w14:paraId="20F39698"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1.225,26</w:t>
            </w:r>
          </w:p>
        </w:tc>
        <w:tc>
          <w:tcPr>
            <w:tcW w:w="574" w:type="dxa"/>
            <w:tcBorders>
              <w:top w:val="nil"/>
              <w:left w:val="nil"/>
              <w:bottom w:val="single" w:sz="4" w:space="0" w:color="auto"/>
              <w:right w:val="single" w:sz="4" w:space="0" w:color="auto"/>
            </w:tcBorders>
            <w:shd w:val="clear" w:color="000000" w:fill="FFFFFF"/>
            <w:noWrap/>
            <w:vAlign w:val="bottom"/>
            <w:hideMark/>
          </w:tcPr>
          <w:p w14:paraId="3BE4FAB8" w14:textId="77777777" w:rsidR="008F1BAE" w:rsidRPr="005E4BEA" w:rsidRDefault="008F1BAE" w:rsidP="00D97662">
            <w:pPr>
              <w:spacing w:line="240" w:lineRule="auto"/>
              <w:jc w:val="right"/>
              <w:rPr>
                <w:rFonts w:ascii="Calibri" w:hAnsi="Calibri" w:cs="Calibri"/>
                <w:color w:val="000000"/>
                <w:sz w:val="12"/>
                <w:szCs w:val="12"/>
                <w:lang w:eastAsia="sl-SI"/>
              </w:rPr>
            </w:pPr>
            <w:r w:rsidRPr="005E4BEA">
              <w:rPr>
                <w:rFonts w:ascii="Calibri" w:hAnsi="Calibri" w:cs="Calibri"/>
                <w:color w:val="000000"/>
                <w:sz w:val="12"/>
                <w:szCs w:val="12"/>
                <w:lang w:eastAsia="sl-SI"/>
              </w:rPr>
              <w:t>201,77</w:t>
            </w:r>
          </w:p>
        </w:tc>
        <w:tc>
          <w:tcPr>
            <w:tcW w:w="480" w:type="dxa"/>
            <w:tcBorders>
              <w:top w:val="nil"/>
              <w:left w:val="nil"/>
              <w:bottom w:val="single" w:sz="4" w:space="0" w:color="auto"/>
              <w:right w:val="single" w:sz="4" w:space="0" w:color="auto"/>
            </w:tcBorders>
            <w:shd w:val="clear" w:color="000000" w:fill="FFFFFF"/>
            <w:noWrap/>
            <w:vAlign w:val="bottom"/>
            <w:hideMark/>
          </w:tcPr>
          <w:p w14:paraId="5A7332D8"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14:paraId="107265AF"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c>
          <w:tcPr>
            <w:tcW w:w="637" w:type="dxa"/>
            <w:tcBorders>
              <w:top w:val="nil"/>
              <w:left w:val="nil"/>
              <w:bottom w:val="single" w:sz="4" w:space="0" w:color="auto"/>
              <w:right w:val="single" w:sz="4" w:space="0" w:color="auto"/>
            </w:tcBorders>
            <w:shd w:val="clear" w:color="auto" w:fill="auto"/>
            <w:noWrap/>
            <w:vAlign w:val="bottom"/>
            <w:hideMark/>
          </w:tcPr>
          <w:p w14:paraId="0FB39C8E" w14:textId="77777777" w:rsidR="008F1BAE" w:rsidRPr="005E4BEA" w:rsidRDefault="008F1BAE" w:rsidP="00D97662">
            <w:pPr>
              <w:spacing w:line="240" w:lineRule="auto"/>
              <w:rPr>
                <w:rFonts w:ascii="Calibri" w:hAnsi="Calibri" w:cs="Calibri"/>
                <w:color w:val="000000"/>
                <w:sz w:val="12"/>
                <w:szCs w:val="12"/>
                <w:lang w:eastAsia="sl-SI"/>
              </w:rPr>
            </w:pPr>
            <w:r w:rsidRPr="005E4BEA">
              <w:rPr>
                <w:rFonts w:ascii="Calibri" w:hAnsi="Calibri" w:cs="Calibri"/>
                <w:color w:val="000000"/>
                <w:sz w:val="12"/>
                <w:szCs w:val="12"/>
                <w:lang w:eastAsia="sl-SI"/>
              </w:rPr>
              <w:t> </w:t>
            </w:r>
          </w:p>
        </w:tc>
      </w:tr>
    </w:tbl>
    <w:p w14:paraId="54BDF844" w14:textId="77777777" w:rsidR="008F1BAE" w:rsidRPr="005E4BEA" w:rsidRDefault="008F1BAE" w:rsidP="008F1BAE">
      <w:pPr>
        <w:spacing w:line="240" w:lineRule="auto"/>
        <w:jc w:val="both"/>
        <w:rPr>
          <w:rFonts w:eastAsia="Arial Narrow" w:cs="Arial"/>
          <w:b/>
          <w:szCs w:val="20"/>
        </w:rPr>
      </w:pPr>
    </w:p>
    <w:p w14:paraId="16EA35E0" w14:textId="77777777"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Opombe:</w:t>
      </w:r>
    </w:p>
    <w:p w14:paraId="32219ECE" w14:textId="77777777"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 Pavšal predstavlja opravljanje storitev od ponedeljka do petka od 15:00-21:00 in sobota, nedelja in prazniki med 7:00-19:00.</w:t>
      </w:r>
    </w:p>
    <w:p w14:paraId="4ED602CD" w14:textId="77777777"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 xml:space="preserve">- SB Novo Mesto zagotavlja vse iz standarda razen zdravnikov. </w:t>
      </w:r>
    </w:p>
    <w:p w14:paraId="033654A2" w14:textId="77777777" w:rsidR="008F1BAE" w:rsidRPr="005E4BEA" w:rsidRDefault="008F1BAE" w:rsidP="008F1BAE">
      <w:pPr>
        <w:spacing w:line="240" w:lineRule="auto"/>
        <w:rPr>
          <w:rFonts w:eastAsiaTheme="minorHAnsi" w:cs="Arial"/>
          <w:sz w:val="18"/>
          <w:szCs w:val="18"/>
        </w:rPr>
      </w:pPr>
      <w:r w:rsidRPr="005E4BEA">
        <w:rPr>
          <w:rFonts w:eastAsiaTheme="minorHAnsi" w:cs="Arial"/>
          <w:sz w:val="18"/>
          <w:szCs w:val="18"/>
        </w:rPr>
        <w:t>- Zdravnike zagotavljajo navedeni zdravstveni domovi, v obsegu naslednjih deležev (količina ur se lahko razlikuje glede na število dni in praznikov v letu, delež ostaja nespremenjen):</w:t>
      </w:r>
    </w:p>
    <w:p w14:paraId="56597C61"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Metlika 6 %, kar predstavlja 172 ur letno v PUC</w:t>
      </w:r>
    </w:p>
    <w:p w14:paraId="4205718D"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Trebnje 13 %, kar predstavlja 374 ure letno v PUC</w:t>
      </w:r>
    </w:p>
    <w:p w14:paraId="65E216AC"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Črnomelj 13 %, kar predstavlja 374 ure letno v PUC</w:t>
      </w:r>
      <w:r w:rsidRPr="005E4BEA">
        <w:rPr>
          <w:rFonts w:eastAsiaTheme="minorHAnsi" w:cs="Arial"/>
          <w:sz w:val="18"/>
          <w:szCs w:val="18"/>
        </w:rPr>
        <w:tab/>
      </w:r>
    </w:p>
    <w:p w14:paraId="2D8CA644" w14:textId="77777777" w:rsidR="008F1BAE" w:rsidRPr="005E4BEA" w:rsidRDefault="008F1BAE" w:rsidP="008F1BAE">
      <w:pPr>
        <w:spacing w:line="240" w:lineRule="auto"/>
        <w:ind w:left="720"/>
        <w:rPr>
          <w:rFonts w:eastAsiaTheme="minorHAnsi" w:cs="Arial"/>
          <w:sz w:val="18"/>
          <w:szCs w:val="18"/>
        </w:rPr>
      </w:pPr>
      <w:r w:rsidRPr="005E4BEA">
        <w:rPr>
          <w:rFonts w:eastAsiaTheme="minorHAnsi" w:cs="Arial"/>
          <w:sz w:val="18"/>
          <w:szCs w:val="18"/>
        </w:rPr>
        <w:t>- ZD Novo Mesto 68 %, kar predstavlja 1.960 ur letno v PUC</w:t>
      </w:r>
    </w:p>
    <w:p w14:paraId="15C4122B" w14:textId="7CC63DA0" w:rsidR="00ED4F97" w:rsidRPr="005E4BEA" w:rsidRDefault="00ED4F97" w:rsidP="00FE461F">
      <w:pPr>
        <w:spacing w:after="160" w:line="259" w:lineRule="auto"/>
        <w:jc w:val="both"/>
        <w:rPr>
          <w:rFonts w:eastAsiaTheme="minorHAnsi" w:cs="Arial"/>
          <w:b/>
          <w:bCs/>
          <w:szCs w:val="20"/>
          <w:lang w:eastAsia="sl-SI"/>
        </w:rPr>
      </w:pPr>
    </w:p>
    <w:p w14:paraId="4EA9C7E4" w14:textId="3CA7FE8E" w:rsidR="00CC2D9A" w:rsidRPr="005E4BEA" w:rsidRDefault="00CC2D9A" w:rsidP="00F356C9">
      <w:pPr>
        <w:pStyle w:val="Naslov2"/>
        <w:numPr>
          <w:ilvl w:val="0"/>
          <w:numId w:val="79"/>
        </w:numPr>
        <w:ind w:left="0" w:firstLine="0"/>
        <w:rPr>
          <w:rFonts w:ascii="Arial" w:eastAsia="Arial Narrow" w:hAnsi="Arial" w:cs="Arial"/>
          <w:sz w:val="20"/>
        </w:rPr>
      </w:pPr>
      <w:bookmarkStart w:id="65" w:name="_Hlk102568910"/>
      <w:r w:rsidRPr="005E4BEA">
        <w:rPr>
          <w:rFonts w:ascii="Arial" w:eastAsia="Arial Narrow" w:hAnsi="Arial" w:cs="Arial"/>
          <w:sz w:val="20"/>
        </w:rPr>
        <w:t>SPORNO VPRAŠANJE (63)</w:t>
      </w:r>
    </w:p>
    <w:p w14:paraId="13DD6721" w14:textId="77777777" w:rsidR="00CC2D9A" w:rsidRPr="005E4BEA" w:rsidRDefault="00CC2D9A" w:rsidP="00CC2D9A">
      <w:pPr>
        <w:spacing w:line="0" w:lineRule="atLeast"/>
        <w:ind w:left="360"/>
        <w:contextualSpacing/>
        <w:jc w:val="both"/>
        <w:rPr>
          <w:rFonts w:eastAsia="Arial Narrow" w:cs="Arial"/>
          <w:b/>
          <w:szCs w:val="20"/>
        </w:rPr>
      </w:pPr>
    </w:p>
    <w:p w14:paraId="7F9AA495" w14:textId="1E36F028" w:rsidR="00CC2D9A" w:rsidRPr="005E4BEA" w:rsidRDefault="00CC2D9A" w:rsidP="00FE461F">
      <w:pPr>
        <w:spacing w:after="160" w:line="259" w:lineRule="auto"/>
        <w:jc w:val="both"/>
        <w:rPr>
          <w:rFonts w:eastAsiaTheme="minorHAnsi" w:cs="Arial"/>
          <w:b/>
          <w:bCs/>
          <w:szCs w:val="20"/>
          <w:lang w:eastAsia="sl-SI"/>
        </w:rPr>
      </w:pPr>
      <w:r w:rsidRPr="005E4BEA">
        <w:rPr>
          <w:rFonts w:cs="Arial"/>
          <w:b/>
          <w:bCs/>
          <w:szCs w:val="20"/>
        </w:rPr>
        <w:t xml:space="preserve">Ministrstvo za zdravje </w:t>
      </w:r>
      <w:r w:rsidRPr="005E4BEA">
        <w:rPr>
          <w:rFonts w:cs="Arial"/>
          <w:szCs w:val="20"/>
        </w:rPr>
        <w:t xml:space="preserve">predlaga, da se v </w:t>
      </w:r>
      <w:r w:rsidRPr="005E4BEA">
        <w:rPr>
          <w:rFonts w:eastAsia="MS Mincho" w:cs="Arial"/>
          <w:szCs w:val="20"/>
        </w:rPr>
        <w:t>24. členu v šestem odstavku v tabeli dodajo nove vrstice</w:t>
      </w:r>
    </w:p>
    <w:p w14:paraId="725C15CB" w14:textId="77777777" w:rsidR="00FE461F" w:rsidRPr="005E4BEA" w:rsidRDefault="00FE461F" w:rsidP="00FE461F">
      <w:pPr>
        <w:spacing w:line="240" w:lineRule="auto"/>
        <w:jc w:val="both"/>
        <w:rPr>
          <w:rFonts w:eastAsia="MS Mincho" w:cs="Arial"/>
          <w:szCs w:val="20"/>
        </w:rPr>
      </w:pPr>
    </w:p>
    <w:tbl>
      <w:tblPr>
        <w:tblW w:w="8717" w:type="dxa"/>
        <w:jc w:val="center"/>
        <w:tblCellMar>
          <w:left w:w="70" w:type="dxa"/>
          <w:right w:w="70" w:type="dxa"/>
        </w:tblCellMar>
        <w:tblLook w:val="00A0" w:firstRow="1" w:lastRow="0" w:firstColumn="1" w:lastColumn="0" w:noHBand="0" w:noVBand="0"/>
      </w:tblPr>
      <w:tblGrid>
        <w:gridCol w:w="275"/>
        <w:gridCol w:w="3013"/>
        <w:gridCol w:w="1533"/>
        <w:gridCol w:w="1133"/>
        <w:gridCol w:w="1417"/>
        <w:gridCol w:w="1346"/>
      </w:tblGrid>
      <w:tr w:rsidR="00FE461F" w:rsidRPr="005E4BEA" w14:paraId="032F4EFA" w14:textId="77777777" w:rsidTr="0016774B">
        <w:trPr>
          <w:trHeight w:val="300"/>
          <w:jc w:val="center"/>
        </w:trPr>
        <w:tc>
          <w:tcPr>
            <w:tcW w:w="275" w:type="dxa"/>
            <w:tcBorders>
              <w:top w:val="single" w:sz="4" w:space="0" w:color="000000"/>
              <w:left w:val="single" w:sz="4" w:space="0" w:color="000000"/>
              <w:right w:val="single" w:sz="4" w:space="0" w:color="000000"/>
            </w:tcBorders>
          </w:tcPr>
          <w:p w14:paraId="51BCF44C" w14:textId="77777777" w:rsidR="00FE461F" w:rsidRPr="005E4BEA" w:rsidRDefault="00FE461F" w:rsidP="00FE461F">
            <w:pPr>
              <w:jc w:val="both"/>
              <w:rPr>
                <w:rFonts w:eastAsia="Calibri" w:cs="Arial"/>
                <w:szCs w:val="20"/>
                <w:lang w:eastAsia="sl-SI"/>
              </w:rPr>
            </w:pPr>
          </w:p>
        </w:tc>
        <w:tc>
          <w:tcPr>
            <w:tcW w:w="3013" w:type="dxa"/>
            <w:vMerge w:val="restart"/>
            <w:tcBorders>
              <w:top w:val="single" w:sz="4" w:space="0" w:color="000000"/>
              <w:left w:val="single" w:sz="4" w:space="0" w:color="000000"/>
              <w:bottom w:val="single" w:sz="4" w:space="0" w:color="000000"/>
              <w:right w:val="single" w:sz="4" w:space="0" w:color="000000"/>
            </w:tcBorders>
            <w:vAlign w:val="center"/>
            <w:hideMark/>
          </w:tcPr>
          <w:p w14:paraId="58F4E2A5"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P   r   o   g   r   a   m</w:t>
            </w:r>
          </w:p>
        </w:tc>
        <w:tc>
          <w:tcPr>
            <w:tcW w:w="1533" w:type="dxa"/>
            <w:tcBorders>
              <w:top w:val="single" w:sz="4" w:space="0" w:color="000000"/>
              <w:left w:val="single" w:sz="4" w:space="0" w:color="000000"/>
              <w:bottom w:val="single" w:sz="4" w:space="0" w:color="000000"/>
              <w:right w:val="single" w:sz="4" w:space="0" w:color="000000"/>
            </w:tcBorders>
            <w:vAlign w:val="center"/>
            <w:hideMark/>
          </w:tcPr>
          <w:p w14:paraId="45A7C861"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I z v a j a l e c /</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50BF156B"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Obseg programa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A57E17" w14:textId="77777777" w:rsidR="00FE461F" w:rsidRPr="005E4BEA" w:rsidRDefault="00FE461F" w:rsidP="00FE461F">
            <w:pPr>
              <w:jc w:val="both"/>
              <w:rPr>
                <w:rFonts w:eastAsia="Calibri" w:cs="Arial"/>
                <w:szCs w:val="20"/>
                <w:lang w:eastAsia="sl-SI"/>
              </w:rPr>
            </w:pPr>
            <w:proofErr w:type="spellStart"/>
            <w:r w:rsidRPr="005E4BEA">
              <w:rPr>
                <w:rFonts w:eastAsia="Calibri" w:cs="Arial"/>
                <w:szCs w:val="20"/>
                <w:lang w:eastAsia="sl-SI"/>
              </w:rPr>
              <w:t>Dod</w:t>
            </w:r>
            <w:proofErr w:type="spellEnd"/>
            <w:r w:rsidRPr="005E4BEA">
              <w:rPr>
                <w:rFonts w:eastAsia="Calibri" w:cs="Arial"/>
                <w:szCs w:val="20"/>
                <w:lang w:eastAsia="sl-SI"/>
              </w:rPr>
              <w:t>. sred.</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60E3187D" w14:textId="77777777" w:rsidR="00FE461F" w:rsidRPr="005E4BEA" w:rsidRDefault="00FE461F" w:rsidP="00FE461F">
            <w:pPr>
              <w:jc w:val="both"/>
              <w:rPr>
                <w:rFonts w:eastAsia="Calibri" w:cs="Arial"/>
                <w:szCs w:val="20"/>
                <w:lang w:eastAsia="sl-SI"/>
              </w:rPr>
            </w:pPr>
            <w:proofErr w:type="spellStart"/>
            <w:r w:rsidRPr="005E4BEA">
              <w:rPr>
                <w:rFonts w:eastAsia="Calibri" w:cs="Arial"/>
                <w:szCs w:val="20"/>
                <w:lang w:eastAsia="sl-SI"/>
              </w:rPr>
              <w:t>Dod</w:t>
            </w:r>
            <w:proofErr w:type="spellEnd"/>
            <w:r w:rsidRPr="005E4BEA">
              <w:rPr>
                <w:rFonts w:eastAsia="Calibri" w:cs="Arial"/>
                <w:szCs w:val="20"/>
                <w:lang w:eastAsia="sl-SI"/>
              </w:rPr>
              <w:t>. sred.</w:t>
            </w:r>
          </w:p>
        </w:tc>
      </w:tr>
      <w:tr w:rsidR="00FE461F" w:rsidRPr="005E4BEA" w14:paraId="46F3132B" w14:textId="77777777" w:rsidTr="0016774B">
        <w:trPr>
          <w:trHeight w:val="300"/>
          <w:jc w:val="center"/>
        </w:trPr>
        <w:tc>
          <w:tcPr>
            <w:tcW w:w="275" w:type="dxa"/>
            <w:tcBorders>
              <w:left w:val="single" w:sz="4" w:space="0" w:color="000000"/>
              <w:right w:val="single" w:sz="4" w:space="0" w:color="000000"/>
            </w:tcBorders>
          </w:tcPr>
          <w:p w14:paraId="48F57EF2" w14:textId="77777777" w:rsidR="00FE461F" w:rsidRPr="005E4BEA" w:rsidRDefault="00FE461F" w:rsidP="00FE461F">
            <w:pPr>
              <w:jc w:val="both"/>
              <w:rPr>
                <w:rFonts w:eastAsia="Calibri" w:cs="Arial"/>
                <w:szCs w:val="20"/>
                <w:lang w:eastAsia="sl-SI"/>
              </w:rPr>
            </w:pPr>
          </w:p>
        </w:tc>
        <w:tc>
          <w:tcPr>
            <w:tcW w:w="3013" w:type="dxa"/>
            <w:vMerge/>
            <w:tcBorders>
              <w:top w:val="single" w:sz="4" w:space="0" w:color="000000"/>
              <w:left w:val="single" w:sz="4" w:space="0" w:color="000000"/>
              <w:bottom w:val="single" w:sz="4" w:space="0" w:color="000000"/>
              <w:right w:val="single" w:sz="4" w:space="0" w:color="000000"/>
            </w:tcBorders>
            <w:vAlign w:val="center"/>
            <w:hideMark/>
          </w:tcPr>
          <w:p w14:paraId="0D13F79D" w14:textId="77777777" w:rsidR="00FE461F" w:rsidRPr="005E4BEA" w:rsidRDefault="00FE461F" w:rsidP="00FE461F">
            <w:pPr>
              <w:jc w:val="both"/>
              <w:rPr>
                <w:rFonts w:eastAsia="Calibri" w:cs="Arial"/>
                <w:szCs w:val="20"/>
                <w:lang w:eastAsia="sl-SI"/>
              </w:rPr>
            </w:pPr>
          </w:p>
        </w:tc>
        <w:tc>
          <w:tcPr>
            <w:tcW w:w="1533" w:type="dxa"/>
            <w:tcBorders>
              <w:top w:val="single" w:sz="4" w:space="0" w:color="000000"/>
              <w:left w:val="single" w:sz="4" w:space="0" w:color="000000"/>
              <w:bottom w:val="single" w:sz="4" w:space="0" w:color="000000"/>
              <w:right w:val="single" w:sz="4" w:space="0" w:color="000000"/>
            </w:tcBorders>
            <w:vAlign w:val="center"/>
            <w:hideMark/>
          </w:tcPr>
          <w:p w14:paraId="520F098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i z p o s t a v a</w:t>
            </w: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5ECF1BC"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E02788A"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na letni ravni</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FD7054D"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1.4.–31.12. 2022</w:t>
            </w:r>
          </w:p>
        </w:tc>
      </w:tr>
      <w:tr w:rsidR="00FE461F" w:rsidRPr="005E4BEA" w14:paraId="4AB167FF" w14:textId="77777777" w:rsidTr="0016774B">
        <w:trPr>
          <w:trHeight w:val="300"/>
          <w:jc w:val="center"/>
        </w:trPr>
        <w:tc>
          <w:tcPr>
            <w:tcW w:w="275" w:type="dxa"/>
            <w:tcBorders>
              <w:left w:val="single" w:sz="4" w:space="0" w:color="000000"/>
              <w:bottom w:val="single" w:sz="4" w:space="0" w:color="000000"/>
              <w:right w:val="single" w:sz="4" w:space="0" w:color="000000"/>
            </w:tcBorders>
          </w:tcPr>
          <w:p w14:paraId="76333B4C" w14:textId="77777777" w:rsidR="00FE461F" w:rsidRPr="005E4BEA" w:rsidRDefault="00FE461F" w:rsidP="00FE461F">
            <w:pPr>
              <w:jc w:val="both"/>
              <w:rPr>
                <w:rFonts w:eastAsia="Calibri" w:cs="Arial"/>
                <w:szCs w:val="20"/>
                <w:lang w:eastAsia="sl-SI"/>
              </w:rPr>
            </w:pPr>
          </w:p>
        </w:tc>
        <w:tc>
          <w:tcPr>
            <w:tcW w:w="3013" w:type="dxa"/>
            <w:vMerge/>
            <w:tcBorders>
              <w:top w:val="single" w:sz="4" w:space="0" w:color="000000"/>
              <w:left w:val="single" w:sz="4" w:space="0" w:color="000000"/>
              <w:bottom w:val="single" w:sz="4" w:space="0" w:color="000000"/>
              <w:right w:val="single" w:sz="4" w:space="0" w:color="000000"/>
            </w:tcBorders>
            <w:vAlign w:val="center"/>
            <w:hideMark/>
          </w:tcPr>
          <w:p w14:paraId="2676DB48" w14:textId="77777777" w:rsidR="00FE461F" w:rsidRPr="005E4BEA" w:rsidRDefault="00FE461F" w:rsidP="00FE461F">
            <w:pPr>
              <w:jc w:val="both"/>
              <w:rPr>
                <w:rFonts w:eastAsia="Calibri" w:cs="Arial"/>
                <w:szCs w:val="20"/>
                <w:lang w:eastAsia="sl-SI"/>
              </w:rPr>
            </w:pPr>
          </w:p>
        </w:tc>
        <w:tc>
          <w:tcPr>
            <w:tcW w:w="1533" w:type="dxa"/>
            <w:tcBorders>
              <w:top w:val="single" w:sz="4" w:space="0" w:color="000000"/>
              <w:left w:val="single" w:sz="4" w:space="0" w:color="000000"/>
              <w:bottom w:val="single" w:sz="4" w:space="0" w:color="000000"/>
              <w:right w:val="single" w:sz="4" w:space="0" w:color="000000"/>
            </w:tcBorders>
            <w:vAlign w:val="center"/>
            <w:hideMark/>
          </w:tcPr>
          <w:p w14:paraId="38C7189F"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 xml:space="preserve"> </w:t>
            </w: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49085FD5"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1514093"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(v EUR)</w:t>
            </w:r>
          </w:p>
        </w:tc>
        <w:tc>
          <w:tcPr>
            <w:tcW w:w="1346" w:type="dxa"/>
            <w:tcBorders>
              <w:top w:val="single" w:sz="4" w:space="0" w:color="000000"/>
              <w:left w:val="single" w:sz="4" w:space="0" w:color="000000"/>
              <w:bottom w:val="single" w:sz="4" w:space="0" w:color="000000"/>
              <w:right w:val="single" w:sz="4" w:space="0" w:color="000000"/>
            </w:tcBorders>
            <w:vAlign w:val="center"/>
            <w:hideMark/>
          </w:tcPr>
          <w:p w14:paraId="05272B36"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(v EUR)</w:t>
            </w:r>
          </w:p>
        </w:tc>
      </w:tr>
      <w:tr w:rsidR="00FE461F" w:rsidRPr="005E4BEA" w14:paraId="68845F87" w14:textId="77777777" w:rsidTr="0016774B">
        <w:trPr>
          <w:trHeight w:val="300"/>
          <w:jc w:val="center"/>
        </w:trPr>
        <w:tc>
          <w:tcPr>
            <w:tcW w:w="275" w:type="dxa"/>
            <w:tcBorders>
              <w:left w:val="single" w:sz="4" w:space="0" w:color="000000"/>
              <w:bottom w:val="single" w:sz="4" w:space="0" w:color="000000"/>
              <w:right w:val="single" w:sz="4" w:space="0" w:color="000000"/>
            </w:tcBorders>
          </w:tcPr>
          <w:p w14:paraId="12EF700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w:t>
            </w:r>
          </w:p>
        </w:tc>
        <w:tc>
          <w:tcPr>
            <w:tcW w:w="3013" w:type="dxa"/>
            <w:tcBorders>
              <w:top w:val="single" w:sz="4" w:space="0" w:color="000000"/>
              <w:left w:val="single" w:sz="4" w:space="0" w:color="000000"/>
              <w:bottom w:val="single" w:sz="4" w:space="0" w:color="000000"/>
              <w:right w:val="single" w:sz="4" w:space="0" w:color="000000"/>
            </w:tcBorders>
            <w:vAlign w:val="center"/>
          </w:tcPr>
          <w:p w14:paraId="06A8FCC8" w14:textId="77777777" w:rsidR="00FE461F" w:rsidRPr="005E4BEA" w:rsidRDefault="00FE461F" w:rsidP="00FE461F">
            <w:pPr>
              <w:jc w:val="both"/>
              <w:rPr>
                <w:rFonts w:eastAsia="Calibri" w:cs="Arial"/>
                <w:szCs w:val="20"/>
                <w:lang w:eastAsia="sl-SI"/>
              </w:rPr>
            </w:pPr>
            <w:bookmarkStart w:id="66" w:name="_Hlk102988066"/>
            <w:r w:rsidRPr="005E4BEA">
              <w:rPr>
                <w:rFonts w:eastAsia="MS Mincho" w:cs="Arial"/>
                <w:color w:val="000000"/>
                <w:szCs w:val="20"/>
              </w:rPr>
              <w:t xml:space="preserve">Genetsko presejalno odkrivanje in celostna obravnava otrok in mladostnikov z družinsko </w:t>
            </w:r>
            <w:proofErr w:type="spellStart"/>
            <w:r w:rsidRPr="005E4BEA">
              <w:rPr>
                <w:rFonts w:eastAsia="MS Mincho" w:cs="Arial"/>
                <w:color w:val="000000"/>
                <w:szCs w:val="20"/>
              </w:rPr>
              <w:t>hiperholesterolemijo</w:t>
            </w:r>
            <w:proofErr w:type="spellEnd"/>
            <w:r w:rsidRPr="005E4BEA">
              <w:rPr>
                <w:rFonts w:eastAsia="MS Mincho" w:cs="Arial"/>
                <w:color w:val="000000"/>
                <w:szCs w:val="20"/>
              </w:rPr>
              <w:t>*</w:t>
            </w:r>
            <w:bookmarkEnd w:id="66"/>
          </w:p>
        </w:tc>
        <w:tc>
          <w:tcPr>
            <w:tcW w:w="1533" w:type="dxa"/>
            <w:tcBorders>
              <w:top w:val="single" w:sz="4" w:space="0" w:color="000000"/>
              <w:left w:val="single" w:sz="4" w:space="0" w:color="000000"/>
              <w:bottom w:val="single" w:sz="4" w:space="0" w:color="000000"/>
              <w:right w:val="single" w:sz="4" w:space="0" w:color="000000"/>
            </w:tcBorders>
            <w:vAlign w:val="center"/>
          </w:tcPr>
          <w:p w14:paraId="1BF64865" w14:textId="77777777" w:rsidR="00FE461F" w:rsidRPr="005E4BEA" w:rsidRDefault="00FE461F" w:rsidP="00FE461F">
            <w:pPr>
              <w:jc w:val="both"/>
              <w:rPr>
                <w:rFonts w:eastAsia="Calibri" w:cs="Arial"/>
                <w:szCs w:val="20"/>
                <w:lang w:eastAsia="sl-SI"/>
              </w:rPr>
            </w:pPr>
            <w:r w:rsidRPr="005E4BEA">
              <w:rPr>
                <w:rFonts w:eastAsia="MS Mincho" w:cs="Arial"/>
                <w:color w:val="000000"/>
                <w:szCs w:val="20"/>
              </w:rPr>
              <w:t xml:space="preserve">UKC </w:t>
            </w:r>
            <w:proofErr w:type="spellStart"/>
            <w:r w:rsidRPr="005E4BEA">
              <w:rPr>
                <w:rFonts w:eastAsia="MS Mincho" w:cs="Arial"/>
                <w:color w:val="000000"/>
                <w:szCs w:val="20"/>
              </w:rPr>
              <w:t>Lubljana</w:t>
            </w:r>
            <w:proofErr w:type="spellEnd"/>
            <w:r w:rsidRPr="005E4BEA">
              <w:rPr>
                <w:rFonts w:eastAsia="MS Mincho" w:cs="Arial"/>
                <w:color w:val="000000"/>
                <w:szCs w:val="20"/>
              </w:rPr>
              <w:t xml:space="preserve"> / PEK Ljubljana</w:t>
            </w:r>
          </w:p>
        </w:tc>
        <w:tc>
          <w:tcPr>
            <w:tcW w:w="1133" w:type="dxa"/>
            <w:tcBorders>
              <w:top w:val="single" w:sz="4" w:space="0" w:color="000000"/>
              <w:left w:val="single" w:sz="4" w:space="0" w:color="000000"/>
              <w:bottom w:val="single" w:sz="4" w:space="0" w:color="000000"/>
              <w:right w:val="single" w:sz="4" w:space="0" w:color="000000"/>
            </w:tcBorders>
            <w:vAlign w:val="center"/>
          </w:tcPr>
          <w:p w14:paraId="524405F5"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6A57BD9" w14:textId="77777777" w:rsidR="00FE461F" w:rsidRPr="005E4BEA" w:rsidRDefault="00FE461F" w:rsidP="00FE461F">
            <w:pPr>
              <w:jc w:val="both"/>
              <w:rPr>
                <w:rFonts w:eastAsia="Calibri" w:cs="Arial"/>
                <w:szCs w:val="20"/>
                <w:lang w:eastAsia="sl-SI"/>
              </w:rPr>
            </w:pPr>
            <w:r w:rsidRPr="005E4BEA">
              <w:rPr>
                <w:rFonts w:eastAsia="Calibri" w:cs="Arial"/>
                <w:szCs w:val="20"/>
              </w:rPr>
              <w:t>299.250</w:t>
            </w:r>
          </w:p>
        </w:tc>
        <w:tc>
          <w:tcPr>
            <w:tcW w:w="1346" w:type="dxa"/>
            <w:tcBorders>
              <w:top w:val="single" w:sz="4" w:space="0" w:color="000000"/>
              <w:left w:val="single" w:sz="4" w:space="0" w:color="000000"/>
              <w:bottom w:val="single" w:sz="4" w:space="0" w:color="000000"/>
              <w:right w:val="single" w:sz="4" w:space="0" w:color="000000"/>
            </w:tcBorders>
            <w:vAlign w:val="center"/>
          </w:tcPr>
          <w:p w14:paraId="658CE043" w14:textId="77777777" w:rsidR="00FE461F" w:rsidRPr="005E4BEA" w:rsidRDefault="00FE461F" w:rsidP="00FE461F">
            <w:pPr>
              <w:jc w:val="both"/>
              <w:rPr>
                <w:rFonts w:eastAsia="Calibri" w:cs="Arial"/>
                <w:szCs w:val="20"/>
                <w:lang w:eastAsia="sl-SI"/>
              </w:rPr>
            </w:pPr>
            <w:r w:rsidRPr="005E4BEA">
              <w:rPr>
                <w:rFonts w:eastAsia="Calibri" w:cs="Arial"/>
                <w:szCs w:val="20"/>
              </w:rPr>
              <w:t>224.437</w:t>
            </w:r>
          </w:p>
        </w:tc>
      </w:tr>
      <w:tr w:rsidR="00FE461F" w:rsidRPr="005E4BEA" w14:paraId="382D841D" w14:textId="77777777" w:rsidTr="0016774B">
        <w:trPr>
          <w:trHeight w:val="300"/>
          <w:jc w:val="center"/>
        </w:trPr>
        <w:tc>
          <w:tcPr>
            <w:tcW w:w="275" w:type="dxa"/>
            <w:tcBorders>
              <w:left w:val="single" w:sz="4" w:space="0" w:color="000000"/>
              <w:bottom w:val="single" w:sz="4" w:space="0" w:color="000000"/>
              <w:right w:val="single" w:sz="4" w:space="0" w:color="000000"/>
            </w:tcBorders>
          </w:tcPr>
          <w:p w14:paraId="39519B2E"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2</w:t>
            </w:r>
          </w:p>
        </w:tc>
        <w:tc>
          <w:tcPr>
            <w:tcW w:w="3013" w:type="dxa"/>
            <w:tcBorders>
              <w:top w:val="single" w:sz="4" w:space="0" w:color="000000"/>
              <w:left w:val="single" w:sz="4" w:space="0" w:color="000000"/>
              <w:bottom w:val="single" w:sz="4" w:space="0" w:color="000000"/>
              <w:right w:val="single" w:sz="4" w:space="0" w:color="000000"/>
            </w:tcBorders>
            <w:vAlign w:val="center"/>
          </w:tcPr>
          <w:p w14:paraId="0ABB0516" w14:textId="77777777" w:rsidR="00FE461F" w:rsidRPr="005E4BEA" w:rsidRDefault="00FE461F" w:rsidP="00FE461F">
            <w:pPr>
              <w:jc w:val="both"/>
              <w:rPr>
                <w:rFonts w:eastAsia="MS Mincho" w:cs="Arial"/>
                <w:color w:val="000000"/>
                <w:szCs w:val="20"/>
              </w:rPr>
            </w:pPr>
            <w:bookmarkStart w:id="67" w:name="_Hlk102988084"/>
            <w:proofErr w:type="spellStart"/>
            <w:r w:rsidRPr="005E4BEA">
              <w:rPr>
                <w:rFonts w:eastAsia="MS Mincho" w:cs="Arial"/>
                <w:color w:val="000000"/>
                <w:szCs w:val="20"/>
              </w:rPr>
              <w:t>Eozinofilne</w:t>
            </w:r>
            <w:proofErr w:type="spellEnd"/>
            <w:r w:rsidRPr="005E4BEA">
              <w:rPr>
                <w:rFonts w:eastAsia="MS Mincho" w:cs="Arial"/>
                <w:color w:val="000000"/>
                <w:szCs w:val="20"/>
              </w:rPr>
              <w:t xml:space="preserve"> bolezni prebavil: Diagnostika in zdravljenje pri otrocih in mladostnikih</w:t>
            </w:r>
            <w:bookmarkEnd w:id="67"/>
            <w:r w:rsidRPr="005E4BEA">
              <w:rPr>
                <w:rFonts w:eastAsia="MS Mincho" w:cs="Arial"/>
                <w:color w:val="000000"/>
                <w:szCs w:val="20"/>
              </w:rPr>
              <w:t>*</w:t>
            </w:r>
          </w:p>
        </w:tc>
        <w:tc>
          <w:tcPr>
            <w:tcW w:w="1533" w:type="dxa"/>
            <w:tcBorders>
              <w:top w:val="single" w:sz="4" w:space="0" w:color="000000"/>
              <w:left w:val="single" w:sz="4" w:space="0" w:color="000000"/>
              <w:bottom w:val="single" w:sz="4" w:space="0" w:color="000000"/>
              <w:right w:val="single" w:sz="4" w:space="0" w:color="000000"/>
            </w:tcBorders>
            <w:vAlign w:val="center"/>
          </w:tcPr>
          <w:p w14:paraId="43BEDA82" w14:textId="77777777" w:rsidR="00FE461F" w:rsidRPr="005E4BEA" w:rsidRDefault="00FE461F" w:rsidP="00FE461F">
            <w:pPr>
              <w:jc w:val="both"/>
              <w:rPr>
                <w:rFonts w:eastAsia="MS Mincho" w:cs="Arial"/>
                <w:color w:val="000000"/>
                <w:szCs w:val="20"/>
              </w:rPr>
            </w:pPr>
            <w:r w:rsidRPr="005E4BEA">
              <w:rPr>
                <w:rFonts w:eastAsia="MS Mincho" w:cs="Arial"/>
                <w:color w:val="000000"/>
                <w:szCs w:val="20"/>
              </w:rPr>
              <w:t xml:space="preserve">UKC </w:t>
            </w:r>
            <w:proofErr w:type="spellStart"/>
            <w:r w:rsidRPr="005E4BEA">
              <w:rPr>
                <w:rFonts w:eastAsia="MS Mincho" w:cs="Arial"/>
                <w:color w:val="000000"/>
                <w:szCs w:val="20"/>
              </w:rPr>
              <w:t>Lubljana</w:t>
            </w:r>
            <w:proofErr w:type="spellEnd"/>
            <w:r w:rsidRPr="005E4BEA">
              <w:rPr>
                <w:rFonts w:eastAsia="MS Mincho" w:cs="Arial"/>
                <w:color w:val="000000"/>
                <w:szCs w:val="20"/>
              </w:rPr>
              <w:t xml:space="preserve"> / PEK Ljubljana</w:t>
            </w:r>
          </w:p>
        </w:tc>
        <w:tc>
          <w:tcPr>
            <w:tcW w:w="1133" w:type="dxa"/>
            <w:tcBorders>
              <w:top w:val="single" w:sz="4" w:space="0" w:color="000000"/>
              <w:left w:val="single" w:sz="4" w:space="0" w:color="000000"/>
              <w:bottom w:val="single" w:sz="4" w:space="0" w:color="000000"/>
              <w:right w:val="single" w:sz="4" w:space="0" w:color="000000"/>
            </w:tcBorders>
            <w:vAlign w:val="center"/>
          </w:tcPr>
          <w:p w14:paraId="0BD18BF0"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0F24072" w14:textId="77777777" w:rsidR="00FE461F" w:rsidRPr="005E4BEA" w:rsidRDefault="00FE461F" w:rsidP="00FE461F">
            <w:pPr>
              <w:jc w:val="both"/>
              <w:rPr>
                <w:rFonts w:eastAsia="Calibri" w:cs="Arial"/>
                <w:szCs w:val="20"/>
              </w:rPr>
            </w:pPr>
            <w:r w:rsidRPr="005E4BEA">
              <w:rPr>
                <w:rFonts w:eastAsia="Calibri" w:cs="Arial"/>
                <w:szCs w:val="20"/>
              </w:rPr>
              <w:t>209.447</w:t>
            </w:r>
          </w:p>
        </w:tc>
        <w:tc>
          <w:tcPr>
            <w:tcW w:w="1346" w:type="dxa"/>
            <w:tcBorders>
              <w:top w:val="single" w:sz="4" w:space="0" w:color="000000"/>
              <w:left w:val="single" w:sz="4" w:space="0" w:color="000000"/>
              <w:bottom w:val="single" w:sz="4" w:space="0" w:color="000000"/>
              <w:right w:val="single" w:sz="4" w:space="0" w:color="000000"/>
            </w:tcBorders>
            <w:vAlign w:val="center"/>
          </w:tcPr>
          <w:p w14:paraId="689F091D" w14:textId="77777777" w:rsidR="00FE461F" w:rsidRPr="005E4BEA" w:rsidRDefault="00FE461F" w:rsidP="00FE461F">
            <w:pPr>
              <w:jc w:val="both"/>
              <w:rPr>
                <w:rFonts w:eastAsia="Calibri" w:cs="Arial"/>
                <w:szCs w:val="20"/>
              </w:rPr>
            </w:pPr>
            <w:r w:rsidRPr="005E4BEA">
              <w:rPr>
                <w:rFonts w:eastAsia="Calibri" w:cs="Arial"/>
                <w:szCs w:val="20"/>
              </w:rPr>
              <w:t>157.085</w:t>
            </w:r>
          </w:p>
        </w:tc>
      </w:tr>
      <w:tr w:rsidR="00FE461F" w:rsidRPr="005E4BEA" w14:paraId="51DE189F"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45322507"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3</w:t>
            </w:r>
          </w:p>
        </w:tc>
        <w:tc>
          <w:tcPr>
            <w:tcW w:w="3013" w:type="dxa"/>
            <w:tcBorders>
              <w:top w:val="single" w:sz="4" w:space="0" w:color="000000"/>
              <w:left w:val="single" w:sz="4" w:space="0" w:color="000000"/>
              <w:bottom w:val="single" w:sz="4" w:space="0" w:color="000000"/>
              <w:right w:val="single" w:sz="4" w:space="0" w:color="000000"/>
            </w:tcBorders>
            <w:vAlign w:val="center"/>
          </w:tcPr>
          <w:p w14:paraId="2FC344E0" w14:textId="77777777" w:rsidR="00FE461F" w:rsidRPr="005E4BEA" w:rsidRDefault="00FE461F" w:rsidP="00FE461F">
            <w:pPr>
              <w:spacing w:line="240" w:lineRule="auto"/>
              <w:jc w:val="both"/>
              <w:rPr>
                <w:rFonts w:eastAsia="MS Mincho" w:cs="Arial"/>
                <w:color w:val="000000"/>
                <w:szCs w:val="20"/>
              </w:rPr>
            </w:pPr>
            <w:bookmarkStart w:id="68" w:name="_Hlk102988096"/>
            <w:r w:rsidRPr="005E4BEA">
              <w:rPr>
                <w:rFonts w:eastAsia="MS Mincho" w:cs="Arial"/>
                <w:color w:val="000000"/>
                <w:szCs w:val="20"/>
              </w:rPr>
              <w:t>Humana mlečna banka</w:t>
            </w:r>
            <w:bookmarkEnd w:id="68"/>
            <w:r w:rsidRPr="005E4BEA">
              <w:rPr>
                <w:rFonts w:eastAsia="MS Mincho" w:cs="Arial"/>
                <w:color w:val="000000"/>
                <w:szCs w:val="20"/>
              </w:rPr>
              <w:t>*</w:t>
            </w:r>
          </w:p>
        </w:tc>
        <w:tc>
          <w:tcPr>
            <w:tcW w:w="1533" w:type="dxa"/>
            <w:tcBorders>
              <w:top w:val="single" w:sz="4" w:space="0" w:color="000000"/>
              <w:left w:val="single" w:sz="4" w:space="0" w:color="000000"/>
              <w:bottom w:val="single" w:sz="4" w:space="0" w:color="000000"/>
              <w:right w:val="single" w:sz="4" w:space="0" w:color="000000"/>
            </w:tcBorders>
            <w:vAlign w:val="center"/>
          </w:tcPr>
          <w:p w14:paraId="71361C37"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UKC Ljubljana</w:t>
            </w:r>
          </w:p>
        </w:tc>
        <w:tc>
          <w:tcPr>
            <w:tcW w:w="1133" w:type="dxa"/>
            <w:tcBorders>
              <w:top w:val="single" w:sz="4" w:space="0" w:color="000000"/>
              <w:left w:val="single" w:sz="4" w:space="0" w:color="000000"/>
              <w:bottom w:val="single" w:sz="4" w:space="0" w:color="000000"/>
              <w:right w:val="single" w:sz="4" w:space="0" w:color="000000"/>
            </w:tcBorders>
            <w:vAlign w:val="bottom"/>
          </w:tcPr>
          <w:p w14:paraId="43E557D3" w14:textId="77777777" w:rsidR="00FE461F" w:rsidRPr="005E4BEA" w:rsidRDefault="00FE461F" w:rsidP="00FE461F">
            <w:pPr>
              <w:jc w:val="both"/>
              <w:rPr>
                <w:rFonts w:eastAsia="SimSun" w:cs="Arial"/>
                <w:szCs w:val="20"/>
                <w:lang w:eastAsia="zh-CN" w:bidi="hi-I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671E94" w14:textId="77777777" w:rsidR="00FE461F" w:rsidRPr="005E4BEA" w:rsidRDefault="00FE461F" w:rsidP="00FE461F">
            <w:pPr>
              <w:jc w:val="both"/>
              <w:rPr>
                <w:rFonts w:eastAsia="Calibri" w:cs="Arial"/>
                <w:szCs w:val="20"/>
              </w:rPr>
            </w:pPr>
            <w:r w:rsidRPr="005E4BEA">
              <w:rPr>
                <w:rFonts w:eastAsia="Calibri" w:cs="Arial"/>
                <w:szCs w:val="20"/>
              </w:rPr>
              <w:t>36.000</w:t>
            </w:r>
          </w:p>
        </w:tc>
        <w:tc>
          <w:tcPr>
            <w:tcW w:w="1346" w:type="dxa"/>
            <w:tcBorders>
              <w:top w:val="single" w:sz="4" w:space="0" w:color="000000"/>
              <w:left w:val="single" w:sz="4" w:space="0" w:color="000000"/>
              <w:bottom w:val="single" w:sz="4" w:space="0" w:color="000000"/>
              <w:right w:val="single" w:sz="4" w:space="0" w:color="000000"/>
            </w:tcBorders>
            <w:vAlign w:val="center"/>
          </w:tcPr>
          <w:p w14:paraId="1F0D074F" w14:textId="77777777" w:rsidR="00FE461F" w:rsidRPr="005E4BEA" w:rsidRDefault="00FE461F" w:rsidP="00FE461F">
            <w:pPr>
              <w:jc w:val="both"/>
              <w:rPr>
                <w:rFonts w:eastAsia="Calibri" w:cs="Arial"/>
                <w:szCs w:val="20"/>
              </w:rPr>
            </w:pPr>
            <w:r w:rsidRPr="005E4BEA">
              <w:rPr>
                <w:rFonts w:eastAsia="Calibri" w:cs="Arial"/>
                <w:szCs w:val="20"/>
              </w:rPr>
              <w:t>27.000</w:t>
            </w:r>
          </w:p>
        </w:tc>
      </w:tr>
      <w:tr w:rsidR="00FE461F" w:rsidRPr="005E4BEA" w14:paraId="6201DF8F"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50636B12"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4</w:t>
            </w:r>
          </w:p>
        </w:tc>
        <w:tc>
          <w:tcPr>
            <w:tcW w:w="3013" w:type="dxa"/>
            <w:tcBorders>
              <w:top w:val="single" w:sz="4" w:space="0" w:color="000000"/>
              <w:left w:val="single" w:sz="4" w:space="0" w:color="000000"/>
              <w:bottom w:val="single" w:sz="4" w:space="0" w:color="000000"/>
              <w:right w:val="single" w:sz="4" w:space="0" w:color="000000"/>
            </w:tcBorders>
            <w:vAlign w:val="center"/>
          </w:tcPr>
          <w:p w14:paraId="110F6D2E" w14:textId="77777777" w:rsidR="00FE461F" w:rsidRPr="005E4BEA" w:rsidRDefault="00FE461F" w:rsidP="00FE461F">
            <w:pPr>
              <w:spacing w:line="240" w:lineRule="auto"/>
              <w:jc w:val="both"/>
              <w:rPr>
                <w:rFonts w:eastAsia="MS Mincho" w:cs="Arial"/>
                <w:color w:val="000000"/>
                <w:szCs w:val="20"/>
              </w:rPr>
            </w:pPr>
            <w:bookmarkStart w:id="69" w:name="_Hlk102988226"/>
            <w:r w:rsidRPr="005E4BEA">
              <w:rPr>
                <w:rFonts w:eastAsia="MS Mincho" w:cs="Arial"/>
                <w:color w:val="000000"/>
                <w:szCs w:val="20"/>
              </w:rPr>
              <w:t xml:space="preserve">Celostna obravnava otrok in mladostnikov s cistično </w:t>
            </w:r>
            <w:proofErr w:type="spellStart"/>
            <w:r w:rsidRPr="005E4BEA">
              <w:rPr>
                <w:rFonts w:eastAsia="MS Mincho" w:cs="Arial"/>
                <w:color w:val="000000"/>
                <w:szCs w:val="20"/>
              </w:rPr>
              <w:t>fibrozo</w:t>
            </w:r>
            <w:bookmarkEnd w:id="69"/>
            <w:proofErr w:type="spellEnd"/>
            <w:r w:rsidRPr="005E4BEA">
              <w:rPr>
                <w:rFonts w:eastAsia="MS Mincho" w:cs="Arial"/>
                <w:color w:val="000000"/>
                <w:szCs w:val="20"/>
              </w:rPr>
              <w:t>*</w:t>
            </w:r>
          </w:p>
        </w:tc>
        <w:tc>
          <w:tcPr>
            <w:tcW w:w="1533" w:type="dxa"/>
            <w:tcBorders>
              <w:top w:val="single" w:sz="4" w:space="0" w:color="000000"/>
              <w:left w:val="single" w:sz="4" w:space="0" w:color="000000"/>
              <w:bottom w:val="single" w:sz="4" w:space="0" w:color="000000"/>
              <w:right w:val="single" w:sz="4" w:space="0" w:color="000000"/>
            </w:tcBorders>
            <w:vAlign w:val="center"/>
          </w:tcPr>
          <w:p w14:paraId="17DC36CF"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PEK Ljubljana</w:t>
            </w:r>
          </w:p>
        </w:tc>
        <w:tc>
          <w:tcPr>
            <w:tcW w:w="1133" w:type="dxa"/>
            <w:tcBorders>
              <w:top w:val="single" w:sz="4" w:space="0" w:color="000000"/>
              <w:left w:val="single" w:sz="4" w:space="0" w:color="000000"/>
              <w:bottom w:val="single" w:sz="4" w:space="0" w:color="000000"/>
              <w:right w:val="single" w:sz="4" w:space="0" w:color="000000"/>
            </w:tcBorders>
            <w:vAlign w:val="bottom"/>
          </w:tcPr>
          <w:p w14:paraId="762F6668" w14:textId="77777777" w:rsidR="00FE461F" w:rsidRPr="005E4BEA" w:rsidRDefault="00FE461F" w:rsidP="00FE461F">
            <w:pPr>
              <w:jc w:val="both"/>
              <w:rPr>
                <w:rFonts w:eastAsia="SimSun" w:cs="Arial"/>
                <w:szCs w:val="20"/>
                <w:lang w:eastAsia="zh-CN" w:bidi="hi-I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78A15D" w14:textId="77777777" w:rsidR="00FE461F" w:rsidRPr="005E4BEA" w:rsidRDefault="00FE461F" w:rsidP="00FE461F">
            <w:pPr>
              <w:jc w:val="both"/>
              <w:rPr>
                <w:rFonts w:eastAsia="Calibri" w:cs="Arial"/>
                <w:szCs w:val="20"/>
              </w:rPr>
            </w:pPr>
            <w:r w:rsidRPr="005E4BEA">
              <w:rPr>
                <w:rFonts w:eastAsia="Calibri" w:cs="Arial"/>
                <w:szCs w:val="20"/>
              </w:rPr>
              <w:t>764.000</w:t>
            </w:r>
          </w:p>
        </w:tc>
        <w:tc>
          <w:tcPr>
            <w:tcW w:w="1346" w:type="dxa"/>
            <w:tcBorders>
              <w:top w:val="single" w:sz="4" w:space="0" w:color="000000"/>
              <w:left w:val="single" w:sz="4" w:space="0" w:color="000000"/>
              <w:bottom w:val="single" w:sz="4" w:space="0" w:color="000000"/>
              <w:right w:val="single" w:sz="4" w:space="0" w:color="000000"/>
            </w:tcBorders>
            <w:vAlign w:val="center"/>
          </w:tcPr>
          <w:p w14:paraId="15D330BF" w14:textId="77777777" w:rsidR="00FE461F" w:rsidRPr="005E4BEA" w:rsidRDefault="00FE461F" w:rsidP="00FE461F">
            <w:pPr>
              <w:jc w:val="both"/>
              <w:rPr>
                <w:rFonts w:eastAsia="Calibri" w:cs="Arial"/>
                <w:szCs w:val="20"/>
              </w:rPr>
            </w:pPr>
            <w:r w:rsidRPr="005E4BEA">
              <w:rPr>
                <w:rFonts w:eastAsia="Calibri" w:cs="Arial"/>
                <w:szCs w:val="20"/>
              </w:rPr>
              <w:t>573.000</w:t>
            </w:r>
          </w:p>
        </w:tc>
      </w:tr>
      <w:tr w:rsidR="00FE461F" w:rsidRPr="005E4BEA" w14:paraId="74C39CAA"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7CEA586C" w14:textId="77777777" w:rsidR="00FE461F" w:rsidRPr="005E4BEA" w:rsidRDefault="00FE461F" w:rsidP="00FE461F">
            <w:pPr>
              <w:jc w:val="both"/>
              <w:rPr>
                <w:rFonts w:eastAsia="Calibri" w:cs="Arial"/>
                <w:szCs w:val="20"/>
                <w:lang w:eastAsia="sl-SI"/>
              </w:rPr>
            </w:pPr>
            <w:bookmarkStart w:id="70" w:name="_Hlk102988122"/>
            <w:r w:rsidRPr="005E4BEA">
              <w:rPr>
                <w:rFonts w:eastAsia="Calibri" w:cs="Arial"/>
                <w:szCs w:val="20"/>
                <w:lang w:eastAsia="sl-SI"/>
              </w:rPr>
              <w:t>5</w:t>
            </w:r>
          </w:p>
        </w:tc>
        <w:tc>
          <w:tcPr>
            <w:tcW w:w="3013" w:type="dxa"/>
            <w:tcBorders>
              <w:top w:val="single" w:sz="4" w:space="0" w:color="000000"/>
              <w:left w:val="single" w:sz="4" w:space="0" w:color="000000"/>
              <w:bottom w:val="single" w:sz="4" w:space="0" w:color="000000"/>
              <w:right w:val="single" w:sz="4" w:space="0" w:color="000000"/>
            </w:tcBorders>
            <w:vAlign w:val="center"/>
          </w:tcPr>
          <w:p w14:paraId="454F218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 xml:space="preserve">CAR-T celična terapija za zdravljenje akutne </w:t>
            </w:r>
            <w:proofErr w:type="spellStart"/>
            <w:r w:rsidRPr="005E4BEA">
              <w:rPr>
                <w:rFonts w:eastAsia="Calibri" w:cs="Arial"/>
                <w:szCs w:val="20"/>
                <w:lang w:eastAsia="sl-SI"/>
              </w:rPr>
              <w:t>limfoblastne</w:t>
            </w:r>
            <w:proofErr w:type="spellEnd"/>
            <w:r w:rsidRPr="005E4BEA">
              <w:rPr>
                <w:rFonts w:eastAsia="Calibri" w:cs="Arial"/>
                <w:szCs w:val="20"/>
                <w:lang w:eastAsia="sl-SI"/>
              </w:rPr>
              <w:t xml:space="preserve"> </w:t>
            </w:r>
            <w:r w:rsidRPr="005E4BEA">
              <w:rPr>
                <w:rFonts w:eastAsia="Calibri" w:cs="Arial"/>
                <w:szCs w:val="20"/>
                <w:lang w:eastAsia="sl-SI"/>
              </w:rPr>
              <w:lastRenderedPageBreak/>
              <w:t xml:space="preserve">levkemije in </w:t>
            </w:r>
            <w:proofErr w:type="spellStart"/>
            <w:r w:rsidRPr="005E4BEA">
              <w:rPr>
                <w:rFonts w:eastAsia="Calibri" w:cs="Arial"/>
                <w:szCs w:val="20"/>
                <w:lang w:eastAsia="sl-SI"/>
              </w:rPr>
              <w:t>neHodgkinov</w:t>
            </w:r>
            <w:proofErr w:type="spellEnd"/>
            <w:r w:rsidRPr="005E4BEA">
              <w:rPr>
                <w:rFonts w:eastAsia="Calibri" w:cs="Arial"/>
                <w:szCs w:val="20"/>
                <w:lang w:eastAsia="sl-SI"/>
              </w:rPr>
              <w:t xml:space="preserve"> limfomov**</w:t>
            </w:r>
          </w:p>
          <w:p w14:paraId="07C5AF9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Financiranje od 1.9.2022</w:t>
            </w:r>
          </w:p>
        </w:tc>
        <w:tc>
          <w:tcPr>
            <w:tcW w:w="1533" w:type="dxa"/>
            <w:tcBorders>
              <w:top w:val="single" w:sz="4" w:space="0" w:color="000000"/>
              <w:left w:val="single" w:sz="4" w:space="0" w:color="000000"/>
              <w:bottom w:val="single" w:sz="4" w:space="0" w:color="000000"/>
              <w:right w:val="single" w:sz="4" w:space="0" w:color="000000"/>
            </w:tcBorders>
            <w:vAlign w:val="center"/>
          </w:tcPr>
          <w:p w14:paraId="45ED8673"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lastRenderedPageBreak/>
              <w:t>UKC Ljubljana</w:t>
            </w:r>
          </w:p>
        </w:tc>
        <w:tc>
          <w:tcPr>
            <w:tcW w:w="1133" w:type="dxa"/>
            <w:tcBorders>
              <w:top w:val="single" w:sz="4" w:space="0" w:color="000000"/>
              <w:left w:val="single" w:sz="4" w:space="0" w:color="000000"/>
              <w:bottom w:val="single" w:sz="4" w:space="0" w:color="000000"/>
              <w:right w:val="single" w:sz="4" w:space="0" w:color="000000"/>
            </w:tcBorders>
            <w:vAlign w:val="bottom"/>
          </w:tcPr>
          <w:p w14:paraId="444BC0C5"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2F1AFD"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3.558.256</w:t>
            </w:r>
          </w:p>
          <w:p w14:paraId="0F2B1216" w14:textId="77777777" w:rsidR="00FE461F" w:rsidRPr="005E4BEA" w:rsidRDefault="00FE461F" w:rsidP="00FE461F">
            <w:pPr>
              <w:jc w:val="both"/>
              <w:rPr>
                <w:rFonts w:eastAsia="Calibri" w:cs="Arial"/>
                <w:szCs w:val="20"/>
                <w:lang w:eastAsia="sl-SI"/>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026195FC"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1.186.085</w:t>
            </w:r>
          </w:p>
        </w:tc>
      </w:tr>
      <w:bookmarkEnd w:id="70"/>
      <w:tr w:rsidR="00FE461F" w:rsidRPr="005E4BEA" w14:paraId="0BB9EBEE"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0F5E27D7" w14:textId="77777777" w:rsidR="00FE461F" w:rsidRPr="005E4BEA" w:rsidRDefault="00FE461F" w:rsidP="00FE461F">
            <w:pPr>
              <w:jc w:val="both"/>
              <w:rPr>
                <w:rFonts w:eastAsia="Calibri" w:cs="Arial"/>
                <w:szCs w:val="20"/>
                <w:lang w:eastAsia="sl-SI"/>
              </w:rPr>
            </w:pPr>
          </w:p>
        </w:tc>
        <w:tc>
          <w:tcPr>
            <w:tcW w:w="3013" w:type="dxa"/>
            <w:tcBorders>
              <w:top w:val="single" w:sz="4" w:space="0" w:color="000000"/>
              <w:left w:val="single" w:sz="4" w:space="0" w:color="000000"/>
              <w:bottom w:val="single" w:sz="4" w:space="0" w:color="000000"/>
              <w:right w:val="single" w:sz="4" w:space="0" w:color="000000"/>
            </w:tcBorders>
            <w:vAlign w:val="center"/>
          </w:tcPr>
          <w:p w14:paraId="2A2B13E3" w14:textId="77777777" w:rsidR="00FE461F" w:rsidRPr="005E4BEA" w:rsidRDefault="00FE461F" w:rsidP="00FE461F">
            <w:pPr>
              <w:spacing w:line="240" w:lineRule="auto"/>
              <w:jc w:val="both"/>
              <w:rPr>
                <w:rFonts w:eastAsia="MS Mincho" w:cs="Arial"/>
                <w:color w:val="000000"/>
                <w:szCs w:val="20"/>
              </w:rPr>
            </w:pPr>
          </w:p>
        </w:tc>
        <w:tc>
          <w:tcPr>
            <w:tcW w:w="1533" w:type="dxa"/>
            <w:tcBorders>
              <w:top w:val="single" w:sz="4" w:space="0" w:color="000000"/>
              <w:left w:val="single" w:sz="4" w:space="0" w:color="000000"/>
              <w:bottom w:val="single" w:sz="4" w:space="0" w:color="000000"/>
              <w:right w:val="single" w:sz="4" w:space="0" w:color="000000"/>
            </w:tcBorders>
            <w:vAlign w:val="center"/>
          </w:tcPr>
          <w:p w14:paraId="51A6A875" w14:textId="77777777" w:rsidR="00FE461F" w:rsidRPr="005E4BEA" w:rsidRDefault="00FE461F" w:rsidP="00FE461F">
            <w:pPr>
              <w:spacing w:line="240" w:lineRule="auto"/>
              <w:jc w:val="both"/>
              <w:rPr>
                <w:rFonts w:eastAsia="MS Mincho" w:cs="Arial"/>
                <w:color w:val="000000"/>
                <w:szCs w:val="20"/>
              </w:rPr>
            </w:pPr>
          </w:p>
        </w:tc>
        <w:tc>
          <w:tcPr>
            <w:tcW w:w="1133" w:type="dxa"/>
            <w:tcBorders>
              <w:top w:val="single" w:sz="4" w:space="0" w:color="000000"/>
              <w:left w:val="single" w:sz="4" w:space="0" w:color="000000"/>
              <w:bottom w:val="single" w:sz="4" w:space="0" w:color="000000"/>
              <w:right w:val="single" w:sz="4" w:space="0" w:color="000000"/>
            </w:tcBorders>
            <w:vAlign w:val="bottom"/>
          </w:tcPr>
          <w:p w14:paraId="019964CD" w14:textId="77777777" w:rsidR="00FE461F" w:rsidRPr="005E4BEA" w:rsidRDefault="00FE461F" w:rsidP="00FE461F">
            <w:pPr>
              <w:jc w:val="both"/>
              <w:rPr>
                <w:rFonts w:eastAsia="SimSun" w:cs="Arial"/>
                <w:szCs w:val="20"/>
                <w:lang w:eastAsia="zh-CN" w:bidi="hi-I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4BCCD35" w14:textId="77777777" w:rsidR="00FE461F" w:rsidRPr="005E4BEA" w:rsidRDefault="00FE461F" w:rsidP="00FE461F">
            <w:pPr>
              <w:jc w:val="both"/>
              <w:rPr>
                <w:rFonts w:eastAsia="Calibri" w:cs="Arial"/>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0A196810" w14:textId="77777777" w:rsidR="00FE461F" w:rsidRPr="005E4BEA" w:rsidRDefault="00FE461F" w:rsidP="00FE461F">
            <w:pPr>
              <w:jc w:val="both"/>
              <w:rPr>
                <w:rFonts w:eastAsia="Calibri" w:cs="Arial"/>
                <w:szCs w:val="20"/>
              </w:rPr>
            </w:pPr>
          </w:p>
        </w:tc>
      </w:tr>
      <w:tr w:rsidR="00FE461F" w:rsidRPr="005E4BEA" w14:paraId="3F507588"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769CD330"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6</w:t>
            </w:r>
          </w:p>
        </w:tc>
        <w:tc>
          <w:tcPr>
            <w:tcW w:w="3013" w:type="dxa"/>
            <w:tcBorders>
              <w:top w:val="single" w:sz="4" w:space="0" w:color="000000"/>
              <w:left w:val="single" w:sz="4" w:space="0" w:color="000000"/>
              <w:bottom w:val="single" w:sz="4" w:space="0" w:color="000000"/>
              <w:right w:val="single" w:sz="4" w:space="0" w:color="000000"/>
            </w:tcBorders>
            <w:vAlign w:val="center"/>
          </w:tcPr>
          <w:p w14:paraId="795ECE72" w14:textId="77777777" w:rsidR="00FE461F" w:rsidRPr="005E4BEA" w:rsidRDefault="00FE461F" w:rsidP="00FE461F">
            <w:pPr>
              <w:spacing w:line="240" w:lineRule="auto"/>
              <w:jc w:val="both"/>
              <w:rPr>
                <w:rFonts w:eastAsia="MS Mincho" w:cs="Arial"/>
                <w:color w:val="000000"/>
                <w:szCs w:val="20"/>
              </w:rPr>
            </w:pPr>
            <w:bookmarkStart w:id="71" w:name="_Hlk102988141"/>
            <w:r w:rsidRPr="005E4BEA">
              <w:rPr>
                <w:rFonts w:eastAsia="MS Mincho" w:cs="Arial"/>
                <w:color w:val="000000"/>
                <w:szCs w:val="20"/>
              </w:rPr>
              <w:t xml:space="preserve">Uvedba programa </w:t>
            </w:r>
            <w:proofErr w:type="spellStart"/>
            <w:r w:rsidRPr="005E4BEA">
              <w:rPr>
                <w:rFonts w:eastAsia="MS Mincho" w:cs="Arial"/>
                <w:color w:val="000000"/>
                <w:szCs w:val="20"/>
              </w:rPr>
              <w:t>presejanja</w:t>
            </w:r>
            <w:proofErr w:type="spellEnd"/>
            <w:r w:rsidRPr="005E4BEA">
              <w:rPr>
                <w:rFonts w:eastAsia="MS Mincho" w:cs="Arial"/>
                <w:color w:val="000000"/>
                <w:szCs w:val="20"/>
              </w:rPr>
              <w:t xml:space="preserve"> novorojencev za </w:t>
            </w:r>
            <w:proofErr w:type="spellStart"/>
            <w:r w:rsidRPr="005E4BEA">
              <w:rPr>
                <w:rFonts w:eastAsia="MS Mincho" w:cs="Arial"/>
                <w:color w:val="000000"/>
                <w:szCs w:val="20"/>
              </w:rPr>
              <w:t>spinalno</w:t>
            </w:r>
            <w:proofErr w:type="spellEnd"/>
            <w:r w:rsidRPr="005E4BEA">
              <w:rPr>
                <w:rFonts w:eastAsia="MS Mincho" w:cs="Arial"/>
                <w:color w:val="000000"/>
                <w:szCs w:val="20"/>
              </w:rPr>
              <w:t xml:space="preserve"> mišično atrofijo, težke prirojene okvare imunosti, cistično </w:t>
            </w:r>
            <w:proofErr w:type="spellStart"/>
            <w:r w:rsidRPr="005E4BEA">
              <w:rPr>
                <w:rFonts w:eastAsia="MS Mincho" w:cs="Arial"/>
                <w:color w:val="000000"/>
                <w:szCs w:val="20"/>
              </w:rPr>
              <w:t>fibrozo</w:t>
            </w:r>
            <w:proofErr w:type="spellEnd"/>
            <w:r w:rsidRPr="005E4BEA">
              <w:rPr>
                <w:rFonts w:eastAsia="MS Mincho" w:cs="Arial"/>
                <w:color w:val="000000"/>
                <w:szCs w:val="20"/>
              </w:rPr>
              <w:t xml:space="preserve"> in kongenitalno adrenalno hiperplazijo</w:t>
            </w:r>
            <w:bookmarkEnd w:id="71"/>
            <w:r w:rsidRPr="005E4BEA">
              <w:rPr>
                <w:rFonts w:eastAsia="MS Mincho" w:cs="Arial"/>
                <w:color w:val="000000"/>
                <w:szCs w:val="20"/>
              </w:rPr>
              <w:t>*</w:t>
            </w:r>
          </w:p>
          <w:p w14:paraId="4522EEEA" w14:textId="77777777" w:rsidR="00FE461F" w:rsidRPr="005E4BEA" w:rsidRDefault="00FE461F" w:rsidP="00FE461F">
            <w:pPr>
              <w:spacing w:line="240" w:lineRule="auto"/>
              <w:jc w:val="both"/>
              <w:rPr>
                <w:rFonts w:eastAsia="MS Mincho" w:cs="Arial"/>
                <w:color w:val="000000"/>
                <w:szCs w:val="20"/>
              </w:rPr>
            </w:pPr>
          </w:p>
        </w:tc>
        <w:tc>
          <w:tcPr>
            <w:tcW w:w="1533" w:type="dxa"/>
            <w:tcBorders>
              <w:top w:val="single" w:sz="4" w:space="0" w:color="000000"/>
              <w:left w:val="single" w:sz="4" w:space="0" w:color="000000"/>
              <w:bottom w:val="single" w:sz="4" w:space="0" w:color="000000"/>
              <w:right w:val="single" w:sz="4" w:space="0" w:color="000000"/>
            </w:tcBorders>
            <w:vAlign w:val="center"/>
          </w:tcPr>
          <w:p w14:paraId="68345874"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 xml:space="preserve">UKC </w:t>
            </w:r>
            <w:proofErr w:type="spellStart"/>
            <w:r w:rsidRPr="005E4BEA">
              <w:rPr>
                <w:rFonts w:eastAsia="MS Mincho" w:cs="Arial"/>
                <w:color w:val="000000"/>
                <w:szCs w:val="20"/>
              </w:rPr>
              <w:t>Lubljana</w:t>
            </w:r>
            <w:proofErr w:type="spellEnd"/>
            <w:r w:rsidRPr="005E4BEA">
              <w:rPr>
                <w:rFonts w:eastAsia="MS Mincho" w:cs="Arial"/>
                <w:color w:val="000000"/>
                <w:szCs w:val="20"/>
              </w:rPr>
              <w:t xml:space="preserve"> / PEK Ljubljana</w:t>
            </w:r>
          </w:p>
        </w:tc>
        <w:tc>
          <w:tcPr>
            <w:tcW w:w="1133" w:type="dxa"/>
            <w:tcBorders>
              <w:top w:val="single" w:sz="4" w:space="0" w:color="000000"/>
              <w:left w:val="single" w:sz="4" w:space="0" w:color="000000"/>
              <w:bottom w:val="single" w:sz="4" w:space="0" w:color="000000"/>
              <w:right w:val="single" w:sz="4" w:space="0" w:color="000000"/>
            </w:tcBorders>
            <w:vAlign w:val="bottom"/>
          </w:tcPr>
          <w:p w14:paraId="3B3244FD" w14:textId="77777777" w:rsidR="00FE461F" w:rsidRPr="005E4BEA" w:rsidRDefault="00FE461F" w:rsidP="00FE461F">
            <w:pPr>
              <w:jc w:val="both"/>
              <w:rPr>
                <w:rFonts w:eastAsia="SimSun" w:cs="Arial"/>
                <w:szCs w:val="20"/>
                <w:lang w:eastAsia="zh-CN" w:bidi="hi-I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28D7880" w14:textId="77777777" w:rsidR="00FE461F" w:rsidRPr="005E4BEA" w:rsidRDefault="00FE461F" w:rsidP="00FE461F">
            <w:pPr>
              <w:jc w:val="both"/>
              <w:rPr>
                <w:rFonts w:eastAsia="Calibri" w:cs="Arial"/>
                <w:szCs w:val="20"/>
              </w:rPr>
            </w:pPr>
            <w:r w:rsidRPr="005E4BEA">
              <w:rPr>
                <w:rFonts w:eastAsia="MS Mincho" w:cs="Arial"/>
                <w:color w:val="000000"/>
                <w:szCs w:val="20"/>
              </w:rPr>
              <w:t>1.926.937</w:t>
            </w:r>
          </w:p>
        </w:tc>
        <w:tc>
          <w:tcPr>
            <w:tcW w:w="1346" w:type="dxa"/>
            <w:tcBorders>
              <w:top w:val="single" w:sz="4" w:space="0" w:color="000000"/>
              <w:left w:val="single" w:sz="4" w:space="0" w:color="000000"/>
              <w:bottom w:val="single" w:sz="4" w:space="0" w:color="000000"/>
              <w:right w:val="single" w:sz="4" w:space="0" w:color="000000"/>
            </w:tcBorders>
            <w:vAlign w:val="center"/>
          </w:tcPr>
          <w:p w14:paraId="58549121" w14:textId="77777777" w:rsidR="00FE461F" w:rsidRPr="005E4BEA" w:rsidRDefault="00FE461F" w:rsidP="00FE461F">
            <w:pPr>
              <w:jc w:val="both"/>
              <w:rPr>
                <w:rFonts w:eastAsia="Calibri" w:cs="Arial"/>
                <w:szCs w:val="20"/>
              </w:rPr>
            </w:pPr>
            <w:r w:rsidRPr="005E4BEA">
              <w:rPr>
                <w:rFonts w:eastAsia="Calibri" w:cs="Arial"/>
                <w:szCs w:val="20"/>
              </w:rPr>
              <w:t>1.445.203</w:t>
            </w:r>
          </w:p>
        </w:tc>
      </w:tr>
      <w:tr w:rsidR="00FE461F" w:rsidRPr="005E4BEA" w14:paraId="582789EC"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0CB9B462" w14:textId="77777777" w:rsidR="00FE461F" w:rsidRPr="005E4BEA" w:rsidRDefault="00FE461F" w:rsidP="00FE461F">
            <w:pPr>
              <w:jc w:val="both"/>
              <w:rPr>
                <w:rFonts w:eastAsia="Calibri" w:cs="Arial"/>
                <w:szCs w:val="20"/>
                <w:lang w:eastAsia="sl-SI"/>
              </w:rPr>
            </w:pPr>
            <w:bookmarkStart w:id="72" w:name="_Hlk102988158"/>
            <w:r w:rsidRPr="005E4BEA">
              <w:rPr>
                <w:rFonts w:eastAsia="Calibri" w:cs="Arial"/>
                <w:szCs w:val="20"/>
                <w:lang w:eastAsia="sl-SI"/>
              </w:rPr>
              <w:t>7</w:t>
            </w:r>
          </w:p>
        </w:tc>
        <w:tc>
          <w:tcPr>
            <w:tcW w:w="3013" w:type="dxa"/>
            <w:tcBorders>
              <w:top w:val="single" w:sz="4" w:space="0" w:color="000000"/>
              <w:left w:val="single" w:sz="4" w:space="0" w:color="000000"/>
              <w:bottom w:val="single" w:sz="4" w:space="0" w:color="000000"/>
              <w:right w:val="single" w:sz="4" w:space="0" w:color="000000"/>
            </w:tcBorders>
            <w:vAlign w:val="center"/>
          </w:tcPr>
          <w:p w14:paraId="4B49BC23" w14:textId="79EE0A3D"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 xml:space="preserve">Specializirani </w:t>
            </w:r>
            <w:proofErr w:type="spellStart"/>
            <w:r w:rsidRPr="005E4BEA">
              <w:rPr>
                <w:rFonts w:eastAsia="MS Mincho" w:cs="Arial"/>
                <w:color w:val="000000"/>
                <w:szCs w:val="20"/>
              </w:rPr>
              <w:t>multidisclipinarni</w:t>
            </w:r>
            <w:proofErr w:type="spellEnd"/>
            <w:r w:rsidRPr="005E4BEA">
              <w:rPr>
                <w:rFonts w:eastAsia="MS Mincho" w:cs="Arial"/>
                <w:color w:val="000000"/>
                <w:szCs w:val="20"/>
              </w:rPr>
              <w:t xml:space="preserve"> timi za obravnavo redkih bolezni – 1x UKC-odrasli, 1x UKC Ljubljana- PEK, 1x OI, 1x UKC MB (4 x 322.376 EUR)**</w:t>
            </w:r>
          </w:p>
        </w:tc>
        <w:tc>
          <w:tcPr>
            <w:tcW w:w="1533" w:type="dxa"/>
            <w:tcBorders>
              <w:top w:val="single" w:sz="4" w:space="0" w:color="000000"/>
              <w:left w:val="single" w:sz="4" w:space="0" w:color="000000"/>
              <w:bottom w:val="single" w:sz="4" w:space="0" w:color="000000"/>
              <w:right w:val="single" w:sz="4" w:space="0" w:color="000000"/>
            </w:tcBorders>
            <w:vAlign w:val="center"/>
          </w:tcPr>
          <w:p w14:paraId="66C36ED1" w14:textId="77777777" w:rsidR="00FE461F" w:rsidRPr="005E4BEA" w:rsidRDefault="00FE461F" w:rsidP="00FE461F">
            <w:pPr>
              <w:spacing w:line="240" w:lineRule="auto"/>
              <w:jc w:val="both"/>
              <w:rPr>
                <w:rFonts w:eastAsia="MS Mincho" w:cs="Arial"/>
                <w:color w:val="000000"/>
                <w:szCs w:val="20"/>
              </w:rPr>
            </w:pPr>
            <w:r w:rsidRPr="005E4BEA">
              <w:rPr>
                <w:rFonts w:eastAsia="MS Mincho" w:cs="Arial"/>
                <w:color w:val="000000"/>
                <w:szCs w:val="20"/>
              </w:rPr>
              <w:t>UKC Ljubljana, OI Ljubljana, UKC Maribor</w:t>
            </w:r>
          </w:p>
        </w:tc>
        <w:tc>
          <w:tcPr>
            <w:tcW w:w="1133" w:type="dxa"/>
            <w:tcBorders>
              <w:top w:val="single" w:sz="4" w:space="0" w:color="000000"/>
              <w:left w:val="single" w:sz="4" w:space="0" w:color="000000"/>
              <w:bottom w:val="single" w:sz="4" w:space="0" w:color="000000"/>
              <w:right w:val="single" w:sz="4" w:space="0" w:color="000000"/>
            </w:tcBorders>
            <w:vAlign w:val="bottom"/>
          </w:tcPr>
          <w:p w14:paraId="727F3B8A" w14:textId="77777777" w:rsidR="00FE461F" w:rsidRPr="005E4BEA" w:rsidRDefault="00FE461F" w:rsidP="00FE461F">
            <w:pPr>
              <w:jc w:val="both"/>
              <w:rPr>
                <w:rFonts w:eastAsia="SimSun" w:cs="Arial"/>
                <w:szCs w:val="20"/>
                <w:lang w:eastAsia="zh-CN" w:bidi="hi-IN"/>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61C0164" w14:textId="77777777" w:rsidR="00FE461F" w:rsidRPr="005E4BEA" w:rsidRDefault="00FE461F" w:rsidP="00FE461F">
            <w:pPr>
              <w:jc w:val="both"/>
              <w:rPr>
                <w:rFonts w:eastAsia="Calibri" w:cs="Arial"/>
                <w:szCs w:val="20"/>
              </w:rPr>
            </w:pPr>
            <w:r w:rsidRPr="005E4BEA">
              <w:rPr>
                <w:rFonts w:eastAsia="Calibri" w:cs="Arial"/>
                <w:szCs w:val="20"/>
              </w:rPr>
              <w:t>1.289.504</w:t>
            </w:r>
          </w:p>
        </w:tc>
        <w:tc>
          <w:tcPr>
            <w:tcW w:w="1346" w:type="dxa"/>
            <w:tcBorders>
              <w:top w:val="single" w:sz="4" w:space="0" w:color="000000"/>
              <w:left w:val="single" w:sz="4" w:space="0" w:color="000000"/>
              <w:bottom w:val="single" w:sz="4" w:space="0" w:color="000000"/>
              <w:right w:val="single" w:sz="4" w:space="0" w:color="000000"/>
            </w:tcBorders>
            <w:vAlign w:val="center"/>
          </w:tcPr>
          <w:p w14:paraId="4B6E0E4D" w14:textId="77777777" w:rsidR="00FE461F" w:rsidRPr="005E4BEA" w:rsidRDefault="00FE461F" w:rsidP="00FE461F">
            <w:pPr>
              <w:jc w:val="both"/>
              <w:rPr>
                <w:rFonts w:eastAsia="Calibri" w:cs="Arial"/>
                <w:szCs w:val="20"/>
              </w:rPr>
            </w:pPr>
            <w:r w:rsidRPr="005E4BEA">
              <w:rPr>
                <w:rFonts w:eastAsia="Calibri" w:cs="Arial"/>
                <w:szCs w:val="20"/>
              </w:rPr>
              <w:t>967.128</w:t>
            </w:r>
          </w:p>
        </w:tc>
      </w:tr>
      <w:bookmarkEnd w:id="72"/>
      <w:tr w:rsidR="00FE461F" w:rsidRPr="005E4BEA" w14:paraId="05EE95F0"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7FE2F66D"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8</w:t>
            </w:r>
          </w:p>
        </w:tc>
        <w:tc>
          <w:tcPr>
            <w:tcW w:w="3013" w:type="dxa"/>
            <w:tcBorders>
              <w:top w:val="single" w:sz="4" w:space="0" w:color="000000"/>
              <w:left w:val="single" w:sz="4" w:space="0" w:color="000000"/>
              <w:bottom w:val="single" w:sz="4" w:space="0" w:color="000000"/>
              <w:right w:val="single" w:sz="4" w:space="0" w:color="000000"/>
            </w:tcBorders>
            <w:vAlign w:val="center"/>
          </w:tcPr>
          <w:p w14:paraId="4114AFAE" w14:textId="3C0BB069" w:rsidR="00FE461F" w:rsidRPr="005E4BEA" w:rsidRDefault="00FE461F" w:rsidP="00FE461F">
            <w:pPr>
              <w:jc w:val="both"/>
              <w:rPr>
                <w:rFonts w:eastAsia="Calibri" w:cs="Arial"/>
                <w:szCs w:val="20"/>
                <w:lang w:eastAsia="sl-SI"/>
              </w:rPr>
            </w:pPr>
            <w:bookmarkStart w:id="73" w:name="_Hlk102988205"/>
            <w:r w:rsidRPr="005E4BEA">
              <w:rPr>
                <w:rFonts w:eastAsia="Calibri" w:cs="Arial"/>
                <w:szCs w:val="20"/>
                <w:lang w:eastAsia="sl-SI"/>
              </w:rPr>
              <w:t>ERM vozlišče</w:t>
            </w:r>
            <w:bookmarkEnd w:id="73"/>
          </w:p>
        </w:tc>
        <w:tc>
          <w:tcPr>
            <w:tcW w:w="1533" w:type="dxa"/>
            <w:tcBorders>
              <w:top w:val="single" w:sz="4" w:space="0" w:color="000000"/>
              <w:left w:val="single" w:sz="4" w:space="0" w:color="000000"/>
              <w:bottom w:val="single" w:sz="4" w:space="0" w:color="000000"/>
              <w:right w:val="single" w:sz="4" w:space="0" w:color="000000"/>
            </w:tcBorders>
            <w:vAlign w:val="center"/>
          </w:tcPr>
          <w:p w14:paraId="51A47842"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UKC Ljubljana</w:t>
            </w:r>
          </w:p>
        </w:tc>
        <w:tc>
          <w:tcPr>
            <w:tcW w:w="1133" w:type="dxa"/>
            <w:tcBorders>
              <w:top w:val="single" w:sz="4" w:space="0" w:color="000000"/>
              <w:left w:val="single" w:sz="4" w:space="0" w:color="000000"/>
              <w:bottom w:val="single" w:sz="4" w:space="0" w:color="000000"/>
              <w:right w:val="single" w:sz="4" w:space="0" w:color="000000"/>
            </w:tcBorders>
            <w:vAlign w:val="bottom"/>
          </w:tcPr>
          <w:p w14:paraId="2DA651D9"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09EAB73"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82.159</w:t>
            </w:r>
          </w:p>
        </w:tc>
        <w:tc>
          <w:tcPr>
            <w:tcW w:w="1346" w:type="dxa"/>
            <w:tcBorders>
              <w:top w:val="single" w:sz="4" w:space="0" w:color="000000"/>
              <w:left w:val="single" w:sz="4" w:space="0" w:color="000000"/>
              <w:bottom w:val="single" w:sz="4" w:space="0" w:color="000000"/>
              <w:right w:val="single" w:sz="4" w:space="0" w:color="000000"/>
            </w:tcBorders>
            <w:vAlign w:val="center"/>
          </w:tcPr>
          <w:p w14:paraId="42244EC4"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61.619</w:t>
            </w:r>
          </w:p>
        </w:tc>
      </w:tr>
      <w:tr w:rsidR="00FE461F" w:rsidRPr="005E4BEA" w14:paraId="250EDD20" w14:textId="77777777" w:rsidTr="0016774B">
        <w:trPr>
          <w:trHeight w:val="243"/>
          <w:jc w:val="center"/>
        </w:trPr>
        <w:tc>
          <w:tcPr>
            <w:tcW w:w="275" w:type="dxa"/>
            <w:tcBorders>
              <w:top w:val="single" w:sz="4" w:space="0" w:color="000000"/>
              <w:left w:val="single" w:sz="4" w:space="0" w:color="000000"/>
              <w:bottom w:val="single" w:sz="4" w:space="0" w:color="000000"/>
              <w:right w:val="single" w:sz="4" w:space="0" w:color="000000"/>
            </w:tcBorders>
          </w:tcPr>
          <w:p w14:paraId="2CFADEC5"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9</w:t>
            </w:r>
          </w:p>
        </w:tc>
        <w:tc>
          <w:tcPr>
            <w:tcW w:w="3013" w:type="dxa"/>
            <w:tcBorders>
              <w:top w:val="single" w:sz="4" w:space="0" w:color="000000"/>
              <w:left w:val="single" w:sz="4" w:space="0" w:color="000000"/>
              <w:bottom w:val="single" w:sz="4" w:space="0" w:color="000000"/>
              <w:right w:val="single" w:sz="4" w:space="0" w:color="000000"/>
            </w:tcBorders>
            <w:vAlign w:val="center"/>
          </w:tcPr>
          <w:p w14:paraId="2F410974" w14:textId="465782AC" w:rsidR="00FE461F" w:rsidRPr="005E4BEA" w:rsidRDefault="00FE461F" w:rsidP="00FE461F">
            <w:pPr>
              <w:jc w:val="both"/>
              <w:rPr>
                <w:rFonts w:eastAsia="Calibri" w:cs="Arial"/>
                <w:szCs w:val="20"/>
                <w:lang w:eastAsia="sl-SI"/>
              </w:rPr>
            </w:pPr>
            <w:bookmarkStart w:id="74" w:name="_Hlk102988184"/>
            <w:r w:rsidRPr="005E4BEA">
              <w:rPr>
                <w:rFonts w:eastAsia="Calibri" w:cs="Arial"/>
                <w:szCs w:val="20"/>
                <w:lang w:eastAsia="sl-SI"/>
              </w:rPr>
              <w:t xml:space="preserve">Center za </w:t>
            </w:r>
            <w:proofErr w:type="spellStart"/>
            <w:r w:rsidRPr="005E4BEA">
              <w:rPr>
                <w:rFonts w:eastAsia="Calibri" w:cs="Arial"/>
                <w:szCs w:val="20"/>
                <w:lang w:eastAsia="sl-SI"/>
              </w:rPr>
              <w:t>nediagnosticirane</w:t>
            </w:r>
            <w:proofErr w:type="spellEnd"/>
            <w:r w:rsidRPr="005E4BEA">
              <w:rPr>
                <w:rFonts w:eastAsia="Calibri" w:cs="Arial"/>
                <w:szCs w:val="20"/>
                <w:lang w:eastAsia="sl-SI"/>
              </w:rPr>
              <w:t xml:space="preserve"> redke bolezni</w:t>
            </w:r>
            <w:bookmarkEnd w:id="74"/>
          </w:p>
        </w:tc>
        <w:tc>
          <w:tcPr>
            <w:tcW w:w="1533" w:type="dxa"/>
            <w:tcBorders>
              <w:top w:val="single" w:sz="4" w:space="0" w:color="000000"/>
              <w:left w:val="single" w:sz="4" w:space="0" w:color="000000"/>
              <w:bottom w:val="single" w:sz="4" w:space="0" w:color="000000"/>
              <w:right w:val="single" w:sz="4" w:space="0" w:color="000000"/>
            </w:tcBorders>
            <w:vAlign w:val="center"/>
          </w:tcPr>
          <w:p w14:paraId="6D147178"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UKC Ljubljana</w:t>
            </w:r>
          </w:p>
        </w:tc>
        <w:tc>
          <w:tcPr>
            <w:tcW w:w="1133" w:type="dxa"/>
            <w:tcBorders>
              <w:top w:val="single" w:sz="4" w:space="0" w:color="000000"/>
              <w:left w:val="single" w:sz="4" w:space="0" w:color="000000"/>
              <w:bottom w:val="single" w:sz="4" w:space="0" w:color="000000"/>
              <w:right w:val="single" w:sz="4" w:space="0" w:color="000000"/>
            </w:tcBorders>
            <w:vAlign w:val="bottom"/>
          </w:tcPr>
          <w:p w14:paraId="4451E9A0" w14:textId="77777777" w:rsidR="00FE461F" w:rsidRPr="005E4BEA" w:rsidRDefault="00FE461F" w:rsidP="00FE461F">
            <w:pPr>
              <w:jc w:val="both"/>
              <w:rPr>
                <w:rFonts w:eastAsia="Calibri" w:cs="Arial"/>
                <w:szCs w:val="20"/>
                <w:lang w:eastAsia="sl-SI"/>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57C81A9"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92.188</w:t>
            </w:r>
          </w:p>
        </w:tc>
        <w:tc>
          <w:tcPr>
            <w:tcW w:w="1346" w:type="dxa"/>
            <w:tcBorders>
              <w:top w:val="single" w:sz="4" w:space="0" w:color="000000"/>
              <w:left w:val="single" w:sz="4" w:space="0" w:color="000000"/>
              <w:bottom w:val="single" w:sz="4" w:space="0" w:color="000000"/>
              <w:right w:val="single" w:sz="4" w:space="0" w:color="000000"/>
            </w:tcBorders>
            <w:vAlign w:val="center"/>
          </w:tcPr>
          <w:p w14:paraId="6486DE66" w14:textId="77777777" w:rsidR="00FE461F" w:rsidRPr="005E4BEA" w:rsidRDefault="00FE461F" w:rsidP="00FE461F">
            <w:pPr>
              <w:jc w:val="both"/>
              <w:rPr>
                <w:rFonts w:eastAsia="Calibri" w:cs="Arial"/>
                <w:szCs w:val="20"/>
                <w:lang w:eastAsia="sl-SI"/>
              </w:rPr>
            </w:pPr>
            <w:r w:rsidRPr="005E4BEA">
              <w:rPr>
                <w:rFonts w:eastAsia="Calibri" w:cs="Arial"/>
                <w:szCs w:val="20"/>
                <w:lang w:eastAsia="sl-SI"/>
              </w:rPr>
              <w:t>69.141</w:t>
            </w:r>
          </w:p>
        </w:tc>
      </w:tr>
    </w:tbl>
    <w:p w14:paraId="4645E7F2" w14:textId="77777777" w:rsidR="00FE461F" w:rsidRPr="005E4BEA" w:rsidRDefault="00FE461F" w:rsidP="00FE461F">
      <w:pPr>
        <w:spacing w:line="240" w:lineRule="auto"/>
        <w:jc w:val="both"/>
        <w:rPr>
          <w:rFonts w:eastAsia="MS Mincho" w:cs="Arial"/>
          <w:color w:val="000000"/>
          <w:szCs w:val="20"/>
          <w:lang w:eastAsia="sl-SI"/>
        </w:rPr>
      </w:pPr>
    </w:p>
    <w:p w14:paraId="02E00828" w14:textId="77777777" w:rsidR="00FE461F" w:rsidRPr="005E4BEA" w:rsidRDefault="00FE461F" w:rsidP="00FE461F">
      <w:pPr>
        <w:spacing w:line="240" w:lineRule="auto"/>
        <w:jc w:val="both"/>
        <w:rPr>
          <w:rFonts w:eastAsia="MS Mincho" w:cs="Arial"/>
          <w:color w:val="000000"/>
          <w:szCs w:val="20"/>
          <w:lang w:eastAsia="sl-SI"/>
        </w:rPr>
      </w:pPr>
      <w:r w:rsidRPr="005E4BEA">
        <w:rPr>
          <w:rFonts w:eastAsia="MS Mincho" w:cs="Arial"/>
          <w:color w:val="000000"/>
          <w:szCs w:val="20"/>
          <w:lang w:eastAsia="sl-SI"/>
        </w:rPr>
        <w:t>* Uveljavitev 1. 4. 2022</w:t>
      </w:r>
    </w:p>
    <w:p w14:paraId="67A5A6D1" w14:textId="77777777" w:rsidR="00FE461F" w:rsidRPr="005E4BEA" w:rsidRDefault="00FE461F" w:rsidP="00FE461F">
      <w:pPr>
        <w:spacing w:line="240" w:lineRule="auto"/>
        <w:jc w:val="both"/>
        <w:rPr>
          <w:rFonts w:cs="Arial"/>
          <w:color w:val="000000"/>
          <w:szCs w:val="20"/>
          <w:lang w:eastAsia="sl-SI"/>
        </w:rPr>
      </w:pPr>
      <w:r w:rsidRPr="005E4BEA">
        <w:rPr>
          <w:rFonts w:eastAsia="MS Mincho" w:cs="Arial"/>
          <w:color w:val="000000"/>
          <w:szCs w:val="20"/>
          <w:lang w:eastAsia="sl-SI"/>
        </w:rPr>
        <w:t>** Uveljavitev 1. 9. 2022</w:t>
      </w:r>
    </w:p>
    <w:p w14:paraId="58FD9A49"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 xml:space="preserve"> </w:t>
      </w:r>
    </w:p>
    <w:p w14:paraId="1414C4C1" w14:textId="77777777" w:rsidR="00FE461F" w:rsidRPr="005E4BEA" w:rsidRDefault="00FE461F" w:rsidP="00FE461F">
      <w:pPr>
        <w:spacing w:line="240" w:lineRule="auto"/>
        <w:jc w:val="both"/>
        <w:rPr>
          <w:rFonts w:eastAsia="MS Mincho" w:cs="Arial"/>
          <w:szCs w:val="20"/>
        </w:rPr>
      </w:pPr>
    </w:p>
    <w:p w14:paraId="7BCCD89B"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S predlaganimi širitvami sledimo vključitev prioritetnih programov, ki jih je potrdil Zdravstveni svet, v redno financiranje iz sredstev OZZ.</w:t>
      </w:r>
    </w:p>
    <w:p w14:paraId="7C9EB0DC" w14:textId="77777777" w:rsidR="00FE461F" w:rsidRPr="005E4BEA" w:rsidRDefault="00FE461F" w:rsidP="00FE461F">
      <w:pPr>
        <w:spacing w:line="240" w:lineRule="auto"/>
        <w:jc w:val="both"/>
        <w:rPr>
          <w:rFonts w:eastAsia="MS Mincho" w:cs="Arial"/>
          <w:szCs w:val="20"/>
        </w:rPr>
      </w:pPr>
    </w:p>
    <w:p w14:paraId="6EF3E02E"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1:</w:t>
      </w:r>
    </w:p>
    <w:p w14:paraId="1CEC3315" w14:textId="77777777" w:rsidR="00FE461F" w:rsidRPr="005E4BEA" w:rsidRDefault="00FE461F" w:rsidP="00FE461F">
      <w:pPr>
        <w:spacing w:line="240" w:lineRule="auto"/>
        <w:jc w:val="both"/>
        <w:rPr>
          <w:rFonts w:eastAsiaTheme="minorHAnsi" w:cs="Arial"/>
          <w:i/>
          <w:color w:val="808080" w:themeColor="background1" w:themeShade="80"/>
          <w:szCs w:val="20"/>
        </w:rPr>
      </w:pPr>
      <w:proofErr w:type="spellStart"/>
      <w:r w:rsidRPr="005E4BEA">
        <w:rPr>
          <w:rFonts w:eastAsiaTheme="minorHAnsi" w:cs="Arial"/>
          <w:i/>
          <w:color w:val="808080" w:themeColor="background1" w:themeShade="80"/>
          <w:szCs w:val="20"/>
        </w:rPr>
        <w:t>Hiperholesterolemija</w:t>
      </w:r>
      <w:proofErr w:type="spellEnd"/>
      <w:r w:rsidRPr="005E4BEA">
        <w:rPr>
          <w:rFonts w:eastAsiaTheme="minorHAnsi" w:cs="Arial"/>
          <w:i/>
          <w:color w:val="808080" w:themeColor="background1" w:themeShade="80"/>
          <w:szCs w:val="20"/>
        </w:rPr>
        <w:t xml:space="preserve"> je najpogostejša prirojena bolezen presnove in hkrati najpogostejša </w:t>
      </w:r>
      <w:proofErr w:type="spellStart"/>
      <w:r w:rsidRPr="005E4BEA">
        <w:rPr>
          <w:rFonts w:eastAsiaTheme="minorHAnsi" w:cs="Arial"/>
          <w:i/>
          <w:color w:val="808080" w:themeColor="background1" w:themeShade="80"/>
          <w:szCs w:val="20"/>
        </w:rPr>
        <w:t>monogenska</w:t>
      </w:r>
      <w:proofErr w:type="spellEnd"/>
      <w:r w:rsidRPr="005E4BEA">
        <w:rPr>
          <w:rFonts w:eastAsiaTheme="minorHAnsi" w:cs="Arial"/>
          <w:i/>
          <w:color w:val="808080" w:themeColor="background1" w:themeShade="80"/>
          <w:szCs w:val="20"/>
        </w:rPr>
        <w:t xml:space="preserve"> bolezen, s pojavnostjo 1/250, vendar pa je izrazito pod-diagnosticirana. Nezdravljena bolezen je v starostni skupini mladih odraslih (20-39 let) povezana z do 100-krat povečanim tveganjem za srčno-žilne zaplete, ki pa jih lahko preprečimo z učinkovitim zdravljenjem, v kolikor bolezen odkrijemo dovolj zgodaj. Otroška doba je glede na dokaze v literaturi najprimernejši čas za odkrivanje družinske </w:t>
      </w:r>
      <w:proofErr w:type="spellStart"/>
      <w:r w:rsidRPr="005E4BEA">
        <w:rPr>
          <w:rFonts w:eastAsiaTheme="minorHAnsi" w:cs="Arial"/>
          <w:i/>
          <w:color w:val="808080" w:themeColor="background1" w:themeShade="80"/>
          <w:szCs w:val="20"/>
        </w:rPr>
        <w:t>hiperholesterolemije</w:t>
      </w:r>
      <w:proofErr w:type="spellEnd"/>
      <w:r w:rsidRPr="005E4BEA">
        <w:rPr>
          <w:rFonts w:eastAsiaTheme="minorHAnsi" w:cs="Arial"/>
          <w:i/>
          <w:color w:val="808080" w:themeColor="background1" w:themeShade="80"/>
          <w:szCs w:val="20"/>
        </w:rPr>
        <w:t xml:space="preserve">, ki omogoča zgodnjo obravnavo z ukrepi primarne preventive </w:t>
      </w:r>
      <w:proofErr w:type="spellStart"/>
      <w:r w:rsidRPr="005E4BEA">
        <w:rPr>
          <w:rFonts w:eastAsiaTheme="minorHAnsi" w:cs="Arial"/>
          <w:i/>
          <w:color w:val="808080" w:themeColor="background1" w:themeShade="80"/>
          <w:szCs w:val="20"/>
        </w:rPr>
        <w:t>srčnožilnih</w:t>
      </w:r>
      <w:proofErr w:type="spellEnd"/>
      <w:r w:rsidRPr="005E4BEA">
        <w:rPr>
          <w:rFonts w:eastAsiaTheme="minorHAnsi" w:cs="Arial"/>
          <w:i/>
          <w:color w:val="808080" w:themeColor="background1" w:themeShade="80"/>
          <w:szCs w:val="20"/>
        </w:rPr>
        <w:t xml:space="preserve"> bolezni. Slovenija je trenutno edina država v svetu, kjer poteka univerzalno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predšolskih otrok za holesterol na nivoju celotne države. Predlagani nov program bi omogočil genetsko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družinske </w:t>
      </w:r>
      <w:proofErr w:type="spellStart"/>
      <w:r w:rsidRPr="005E4BEA">
        <w:rPr>
          <w:rFonts w:eastAsiaTheme="minorHAnsi" w:cs="Arial"/>
          <w:i/>
          <w:color w:val="808080" w:themeColor="background1" w:themeShade="80"/>
          <w:szCs w:val="20"/>
        </w:rPr>
        <w:t>hiperholesterolemije</w:t>
      </w:r>
      <w:proofErr w:type="spellEnd"/>
      <w:r w:rsidRPr="005E4BEA">
        <w:rPr>
          <w:rFonts w:eastAsiaTheme="minorHAnsi" w:cs="Arial"/>
          <w:i/>
          <w:color w:val="808080" w:themeColor="background1" w:themeShade="80"/>
          <w:szCs w:val="20"/>
        </w:rPr>
        <w:t xml:space="preserve"> pri otrocih z ugotovljenim povišanim holesterolom ter nadaljnjo celostno obravnavo otrok in mladostnikov s potrjeno boleznijo, ki bo vključevala tudi njihovo longitudinalno sledenje v okviru Nacionalnega registra družinske </w:t>
      </w:r>
      <w:proofErr w:type="spellStart"/>
      <w:r w:rsidRPr="005E4BEA">
        <w:rPr>
          <w:rFonts w:eastAsiaTheme="minorHAnsi" w:cs="Arial"/>
          <w:i/>
          <w:color w:val="808080" w:themeColor="background1" w:themeShade="80"/>
          <w:szCs w:val="20"/>
        </w:rPr>
        <w:t>hiperholesterolemije</w:t>
      </w:r>
      <w:proofErr w:type="spellEnd"/>
      <w:r w:rsidRPr="005E4BEA">
        <w:rPr>
          <w:rFonts w:eastAsiaTheme="minorHAnsi" w:cs="Arial"/>
          <w:i/>
          <w:color w:val="808080" w:themeColor="background1" w:themeShade="80"/>
          <w:szCs w:val="20"/>
        </w:rPr>
        <w:t xml:space="preserve">, ki smo ga nedavno vzpostavili na NIJZ za vso državo. </w:t>
      </w:r>
    </w:p>
    <w:p w14:paraId="2C70758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159D87E"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Zdravstvene koristi programa: Pričakujemo, da bomo letno v sklopu programa genetskega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odkrili 80 otrok z družinsko </w:t>
      </w:r>
      <w:proofErr w:type="spellStart"/>
      <w:r w:rsidRPr="005E4BEA">
        <w:rPr>
          <w:rFonts w:eastAsiaTheme="minorHAnsi" w:cs="Arial"/>
          <w:i/>
          <w:color w:val="808080" w:themeColor="background1" w:themeShade="80"/>
          <w:szCs w:val="20"/>
        </w:rPr>
        <w:t>hiperholesterolemijo</w:t>
      </w:r>
      <w:proofErr w:type="spellEnd"/>
      <w:r w:rsidRPr="005E4BEA">
        <w:rPr>
          <w:rFonts w:eastAsiaTheme="minorHAnsi" w:cs="Arial"/>
          <w:i/>
          <w:color w:val="808080" w:themeColor="background1" w:themeShade="80"/>
          <w:szCs w:val="20"/>
        </w:rPr>
        <w:t>, pri vsakem otroku pa tudi še enega od staršev. S tem bomo lahko v okviru nadaljnje obravnave otrok s pravočasnim in učinkovitim zdravljenjem preprečili sicer pričakovane srčno-žilne zaplete pri tej skupini bolnikov. Glede na trenutno visoko pod-</w:t>
      </w:r>
      <w:proofErr w:type="spellStart"/>
      <w:r w:rsidRPr="005E4BEA">
        <w:rPr>
          <w:rFonts w:eastAsiaTheme="minorHAnsi" w:cs="Arial"/>
          <w:i/>
          <w:color w:val="808080" w:themeColor="background1" w:themeShade="80"/>
          <w:szCs w:val="20"/>
        </w:rPr>
        <w:t>diagnosticiranost</w:t>
      </w:r>
      <w:proofErr w:type="spellEnd"/>
      <w:r w:rsidRPr="005E4BEA">
        <w:rPr>
          <w:rFonts w:eastAsiaTheme="minorHAnsi" w:cs="Arial"/>
          <w:i/>
          <w:color w:val="808080" w:themeColor="background1" w:themeShade="80"/>
          <w:szCs w:val="20"/>
        </w:rPr>
        <w:t xml:space="preserve"> družinske </w:t>
      </w:r>
      <w:proofErr w:type="spellStart"/>
      <w:r w:rsidRPr="005E4BEA">
        <w:rPr>
          <w:rFonts w:eastAsiaTheme="minorHAnsi" w:cs="Arial"/>
          <w:i/>
          <w:color w:val="808080" w:themeColor="background1" w:themeShade="80"/>
          <w:szCs w:val="20"/>
        </w:rPr>
        <w:t>hiperholesterolemije</w:t>
      </w:r>
      <w:proofErr w:type="spellEnd"/>
      <w:r w:rsidRPr="005E4BEA">
        <w:rPr>
          <w:rFonts w:eastAsiaTheme="minorHAnsi" w:cs="Arial"/>
          <w:i/>
          <w:color w:val="808080" w:themeColor="background1" w:themeShade="80"/>
          <w:szCs w:val="20"/>
        </w:rPr>
        <w:t xml:space="preserve"> pričakujemo pomembne zdravstvene koristi za populacijo bolnikov z družinsko </w:t>
      </w:r>
      <w:proofErr w:type="spellStart"/>
      <w:r w:rsidRPr="005E4BEA">
        <w:rPr>
          <w:rFonts w:eastAsiaTheme="minorHAnsi" w:cs="Arial"/>
          <w:i/>
          <w:color w:val="808080" w:themeColor="background1" w:themeShade="80"/>
          <w:szCs w:val="20"/>
        </w:rPr>
        <w:t>hiperholesterolemijo</w:t>
      </w:r>
      <w:proofErr w:type="spellEnd"/>
      <w:r w:rsidRPr="005E4BEA">
        <w:rPr>
          <w:rFonts w:eastAsiaTheme="minorHAnsi" w:cs="Arial"/>
          <w:i/>
          <w:color w:val="808080" w:themeColor="background1" w:themeShade="80"/>
          <w:szCs w:val="20"/>
        </w:rPr>
        <w:t xml:space="preserve">. </w:t>
      </w:r>
    </w:p>
    <w:p w14:paraId="1ED33DC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8F6CE3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Ekonomske koristi oziroma stroški programa: Glede na najnovejše podatke iz </w:t>
      </w:r>
      <w:proofErr w:type="spellStart"/>
      <w:r w:rsidRPr="005E4BEA">
        <w:rPr>
          <w:rFonts w:eastAsiaTheme="minorHAnsi" w:cs="Arial"/>
          <w:i/>
          <w:color w:val="808080" w:themeColor="background1" w:themeShade="80"/>
          <w:szCs w:val="20"/>
        </w:rPr>
        <w:t>literatureje</w:t>
      </w:r>
      <w:proofErr w:type="spellEnd"/>
      <w:r w:rsidRPr="005E4BEA">
        <w:rPr>
          <w:rFonts w:eastAsiaTheme="minorHAnsi" w:cs="Arial"/>
          <w:i/>
          <w:color w:val="808080" w:themeColor="background1" w:themeShade="80"/>
          <w:szCs w:val="20"/>
        </w:rPr>
        <w:t xml:space="preserve"> presejalno odkrivanje družinske </w:t>
      </w:r>
      <w:proofErr w:type="spellStart"/>
      <w:r w:rsidRPr="005E4BEA">
        <w:rPr>
          <w:rFonts w:eastAsiaTheme="minorHAnsi" w:cs="Arial"/>
          <w:i/>
          <w:color w:val="808080" w:themeColor="background1" w:themeShade="80"/>
          <w:szCs w:val="20"/>
        </w:rPr>
        <w:t>hiperholesterolemije</w:t>
      </w:r>
      <w:proofErr w:type="spellEnd"/>
      <w:r w:rsidRPr="005E4BEA">
        <w:rPr>
          <w:rFonts w:eastAsiaTheme="minorHAnsi" w:cs="Arial"/>
          <w:i/>
          <w:color w:val="808080" w:themeColor="background1" w:themeShade="80"/>
          <w:szCs w:val="20"/>
        </w:rPr>
        <w:t xml:space="preserve"> visoko stroškovno učinkovito. Trenutno ne obstajajo alternative za dosego istih ciljev. </w:t>
      </w:r>
    </w:p>
    <w:p w14:paraId="1F511D26"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5D7EB23"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Sloveniji je ob pojavnosti družinske </w:t>
      </w:r>
      <w:proofErr w:type="spellStart"/>
      <w:r w:rsidRPr="005E4BEA">
        <w:rPr>
          <w:rFonts w:eastAsiaTheme="minorHAnsi" w:cs="Arial"/>
          <w:i/>
          <w:color w:val="808080" w:themeColor="background1" w:themeShade="80"/>
          <w:szCs w:val="20"/>
        </w:rPr>
        <w:t>hiperholesterolemije</w:t>
      </w:r>
      <w:proofErr w:type="spellEnd"/>
      <w:r w:rsidRPr="005E4BEA">
        <w:rPr>
          <w:rFonts w:eastAsiaTheme="minorHAnsi" w:cs="Arial"/>
          <w:i/>
          <w:color w:val="808080" w:themeColor="background1" w:themeShade="80"/>
          <w:szCs w:val="20"/>
        </w:rPr>
        <w:t xml:space="preserve"> 1/250 trenutno skupaj okrog 1600 otrok in mladostnikov z družinsko </w:t>
      </w:r>
      <w:proofErr w:type="spellStart"/>
      <w:r w:rsidRPr="005E4BEA">
        <w:rPr>
          <w:rFonts w:eastAsiaTheme="minorHAnsi" w:cs="Arial"/>
          <w:i/>
          <w:color w:val="808080" w:themeColor="background1" w:themeShade="80"/>
          <w:szCs w:val="20"/>
        </w:rPr>
        <w:t>hiperholesterolemijo</w:t>
      </w:r>
      <w:proofErr w:type="spellEnd"/>
      <w:r w:rsidRPr="005E4BEA">
        <w:rPr>
          <w:rFonts w:eastAsiaTheme="minorHAnsi" w:cs="Arial"/>
          <w:i/>
          <w:color w:val="808080" w:themeColor="background1" w:themeShade="80"/>
          <w:szCs w:val="20"/>
        </w:rPr>
        <w:t xml:space="preserve">. Načrtujemo, da bomo obravnavali 200 otrok letno v sklopu genetskega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skupna populacija otrok in mladostnikov z družinsko </w:t>
      </w:r>
      <w:proofErr w:type="spellStart"/>
      <w:r w:rsidRPr="005E4BEA">
        <w:rPr>
          <w:rFonts w:eastAsiaTheme="minorHAnsi" w:cs="Arial"/>
          <w:i/>
          <w:color w:val="808080" w:themeColor="background1" w:themeShade="80"/>
          <w:szCs w:val="20"/>
        </w:rPr>
        <w:t>hiperholesterolemijo</w:t>
      </w:r>
      <w:proofErr w:type="spellEnd"/>
      <w:r w:rsidRPr="005E4BEA">
        <w:rPr>
          <w:rFonts w:eastAsiaTheme="minorHAnsi" w:cs="Arial"/>
          <w:i/>
          <w:color w:val="808080" w:themeColor="background1" w:themeShade="80"/>
          <w:szCs w:val="20"/>
        </w:rPr>
        <w:t xml:space="preserve">, ki jo bomo sčasoma celostno letno obravnavali pa bo po izračunih 1.120 (80 bolnikov na letno generacijo, starosti med 6 in 20 let). </w:t>
      </w:r>
    </w:p>
    <w:p w14:paraId="47645742"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6F746BFF"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299.249,62 eur na letni ravni.</w:t>
      </w:r>
    </w:p>
    <w:p w14:paraId="605FFA7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D197A21"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2:</w:t>
      </w:r>
    </w:p>
    <w:p w14:paraId="356F3355" w14:textId="77777777" w:rsidR="00FE461F" w:rsidRPr="005E4BEA" w:rsidRDefault="00FE461F" w:rsidP="00FE461F">
      <w:pPr>
        <w:spacing w:line="240" w:lineRule="auto"/>
        <w:jc w:val="both"/>
        <w:rPr>
          <w:rFonts w:eastAsiaTheme="minorHAnsi" w:cs="Arial"/>
          <w:i/>
          <w:color w:val="808080" w:themeColor="background1" w:themeShade="80"/>
          <w:szCs w:val="20"/>
        </w:rPr>
      </w:pPr>
      <w:proofErr w:type="spellStart"/>
      <w:r w:rsidRPr="005E4BEA">
        <w:rPr>
          <w:rFonts w:eastAsiaTheme="minorHAnsi" w:cs="Arial"/>
          <w:i/>
          <w:color w:val="808080" w:themeColor="background1" w:themeShade="80"/>
          <w:szCs w:val="20"/>
        </w:rPr>
        <w:t>Eozinofilne</w:t>
      </w:r>
      <w:proofErr w:type="spellEnd"/>
      <w:r w:rsidRPr="005E4BEA">
        <w:rPr>
          <w:rFonts w:eastAsiaTheme="minorHAnsi" w:cs="Arial"/>
          <w:i/>
          <w:color w:val="808080" w:themeColor="background1" w:themeShade="80"/>
          <w:szCs w:val="20"/>
        </w:rPr>
        <w:t xml:space="preserve"> bolezni prebavil so kronične bolezni, za katere so značilni </w:t>
      </w:r>
      <w:proofErr w:type="spellStart"/>
      <w:r w:rsidRPr="005E4BEA">
        <w:rPr>
          <w:rFonts w:eastAsiaTheme="minorHAnsi" w:cs="Arial"/>
          <w:i/>
          <w:color w:val="808080" w:themeColor="background1" w:themeShade="80"/>
          <w:szCs w:val="20"/>
        </w:rPr>
        <w:t>eozinofilno</w:t>
      </w:r>
      <w:proofErr w:type="spellEnd"/>
      <w:r w:rsidRPr="005E4BEA">
        <w:rPr>
          <w:rFonts w:eastAsiaTheme="minorHAnsi" w:cs="Arial"/>
          <w:i/>
          <w:color w:val="808080" w:themeColor="background1" w:themeShade="80"/>
          <w:szCs w:val="20"/>
        </w:rPr>
        <w:t xml:space="preserve"> vnetje in simptomi značilni za prizadeti del prebavil. Daleč najpogostejša izmed teh bolezni je </w:t>
      </w:r>
      <w:proofErr w:type="spellStart"/>
      <w:r w:rsidRPr="005E4BEA">
        <w:rPr>
          <w:rFonts w:eastAsiaTheme="minorHAnsi" w:cs="Arial"/>
          <w:i/>
          <w:color w:val="808080" w:themeColor="background1" w:themeShade="80"/>
          <w:szCs w:val="20"/>
        </w:rPr>
        <w:t>eozinofilni</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ezofagitis</w:t>
      </w:r>
      <w:proofErr w:type="spellEnd"/>
      <w:r w:rsidRPr="005E4BEA">
        <w:rPr>
          <w:rFonts w:eastAsiaTheme="minorHAnsi" w:cs="Arial"/>
          <w:i/>
          <w:color w:val="808080" w:themeColor="background1" w:themeShade="80"/>
          <w:szCs w:val="20"/>
        </w:rPr>
        <w:t xml:space="preserve">. Pogostnost </w:t>
      </w:r>
      <w:proofErr w:type="spellStart"/>
      <w:r w:rsidRPr="005E4BEA">
        <w:rPr>
          <w:rFonts w:eastAsiaTheme="minorHAnsi" w:cs="Arial"/>
          <w:i/>
          <w:color w:val="808080" w:themeColor="background1" w:themeShade="80"/>
          <w:szCs w:val="20"/>
        </w:rPr>
        <w:t>eozinofilnega</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ezofagitisa</w:t>
      </w:r>
      <w:proofErr w:type="spellEnd"/>
      <w:r w:rsidRPr="005E4BEA">
        <w:rPr>
          <w:rFonts w:eastAsiaTheme="minorHAnsi" w:cs="Arial"/>
          <w:i/>
          <w:color w:val="808080" w:themeColor="background1" w:themeShade="80"/>
          <w:szCs w:val="20"/>
        </w:rPr>
        <w:t xml:space="preserve"> povsod po svetu strmo narašča. Epidemiološki podatki kažejo, da se je incidenca </w:t>
      </w:r>
      <w:proofErr w:type="spellStart"/>
      <w:r w:rsidRPr="005E4BEA">
        <w:rPr>
          <w:rFonts w:eastAsiaTheme="minorHAnsi" w:cs="Arial"/>
          <w:i/>
          <w:color w:val="808080" w:themeColor="background1" w:themeShade="80"/>
          <w:szCs w:val="20"/>
        </w:rPr>
        <w:t>eozinofilnega</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ezofagitisa</w:t>
      </w:r>
      <w:proofErr w:type="spellEnd"/>
      <w:r w:rsidRPr="005E4BEA">
        <w:rPr>
          <w:rFonts w:eastAsiaTheme="minorHAnsi" w:cs="Arial"/>
          <w:i/>
          <w:color w:val="808080" w:themeColor="background1" w:themeShade="80"/>
          <w:szCs w:val="20"/>
        </w:rPr>
        <w:t xml:space="preserve"> pri otrocih in mladostnikih do dopolnjenega 18. leta starosti od leta 2005 do leta 2018 narastla za 27-kratnik iz 0,24 na 6,44/100.000. Ker gre za kronično bolezen, ki terja dolgotrajno (morda celo trajno) zdravljenje in spremljanje, se seveda zelo povečuje tudi prevalenca, se pravi skupno število bolnikov, ki potrebujejo dolgotrajno zdravstveno obravnavo. Ker so bile </w:t>
      </w:r>
      <w:proofErr w:type="spellStart"/>
      <w:r w:rsidRPr="005E4BEA">
        <w:rPr>
          <w:rFonts w:eastAsiaTheme="minorHAnsi" w:cs="Arial"/>
          <w:i/>
          <w:color w:val="808080" w:themeColor="background1" w:themeShade="80"/>
          <w:szCs w:val="20"/>
        </w:rPr>
        <w:t>eozinofilne</w:t>
      </w:r>
      <w:proofErr w:type="spellEnd"/>
      <w:r w:rsidRPr="005E4BEA">
        <w:rPr>
          <w:rFonts w:eastAsiaTheme="minorHAnsi" w:cs="Arial"/>
          <w:i/>
          <w:color w:val="808080" w:themeColor="background1" w:themeShade="80"/>
          <w:szCs w:val="20"/>
        </w:rPr>
        <w:t xml:space="preserve"> bolezni še pred dobrim desetletjem izjemno redke, zdaj pa so že relativno pogoste (pogostnost je že podobna kroničnim vnetnim črevesnim boleznim), se hitro veča število raziskav in novih spoznanj, kar vodi v pogoste spremembe smernic (in možnosti) diagnostike in zlasti zdravljenja. Zato je smiselno, da se vsi bolniki obravnavajo v centrih, ki imajo strokovnjake, ki se usmerjeno ukvarjajo s temi boleznimi in nenehno nadgrajujejo znanje. Poleg tega je zaradi kompleksnosti potreben tim usposobljenih strokovnjakov, ki vključuje gastroenterologa, alergologa, patologa, kliničnega dietetika in še nekatere druge strokovnjake s specialnimi znanji s področja teh bolezni. V Sloveniji lahko tako obravnavo redno zagotavlja le KO za </w:t>
      </w:r>
      <w:proofErr w:type="spellStart"/>
      <w:r w:rsidRPr="005E4BEA">
        <w:rPr>
          <w:rFonts w:eastAsiaTheme="minorHAnsi" w:cs="Arial"/>
          <w:i/>
          <w:color w:val="808080" w:themeColor="background1" w:themeShade="80"/>
          <w:szCs w:val="20"/>
        </w:rPr>
        <w:t>gastroenterologijo</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hepatologijo</w:t>
      </w:r>
      <w:proofErr w:type="spellEnd"/>
      <w:r w:rsidRPr="005E4BEA">
        <w:rPr>
          <w:rFonts w:eastAsiaTheme="minorHAnsi" w:cs="Arial"/>
          <w:i/>
          <w:color w:val="808080" w:themeColor="background1" w:themeShade="80"/>
          <w:szCs w:val="20"/>
        </w:rPr>
        <w:t xml:space="preserve"> in </w:t>
      </w:r>
      <w:proofErr w:type="spellStart"/>
      <w:r w:rsidRPr="005E4BEA">
        <w:rPr>
          <w:rFonts w:eastAsiaTheme="minorHAnsi" w:cs="Arial"/>
          <w:i/>
          <w:color w:val="808080" w:themeColor="background1" w:themeShade="80"/>
          <w:szCs w:val="20"/>
        </w:rPr>
        <w:t>nutricionistiko</w:t>
      </w:r>
      <w:proofErr w:type="spellEnd"/>
      <w:r w:rsidRPr="005E4BEA">
        <w:rPr>
          <w:rFonts w:eastAsiaTheme="minorHAnsi" w:cs="Arial"/>
          <w:i/>
          <w:color w:val="808080" w:themeColor="background1" w:themeShade="80"/>
          <w:szCs w:val="20"/>
        </w:rPr>
        <w:t xml:space="preserve"> Pediatrične klinike UKC Ljubljana.</w:t>
      </w:r>
    </w:p>
    <w:p w14:paraId="06111A93"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93532F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primeru, ko bolezen ni ustrezno zdravljena, to pa pomeni ne le odsotnost simptomov ampak tudi umiritev </w:t>
      </w:r>
      <w:proofErr w:type="spellStart"/>
      <w:r w:rsidRPr="005E4BEA">
        <w:rPr>
          <w:rFonts w:eastAsiaTheme="minorHAnsi" w:cs="Arial"/>
          <w:i/>
          <w:color w:val="808080" w:themeColor="background1" w:themeShade="80"/>
          <w:szCs w:val="20"/>
        </w:rPr>
        <w:t>eozinofilnega</w:t>
      </w:r>
      <w:proofErr w:type="spellEnd"/>
      <w:r w:rsidRPr="005E4BEA">
        <w:rPr>
          <w:rFonts w:eastAsiaTheme="minorHAnsi" w:cs="Arial"/>
          <w:i/>
          <w:color w:val="808080" w:themeColor="background1" w:themeShade="80"/>
          <w:szCs w:val="20"/>
        </w:rPr>
        <w:t xml:space="preserve"> vnetja, pride do vezivnega preoblikovanja in trajne okvare strukture in funkcije organa (npr. hude motnje gibljivosti in mehanske zožitve požiralnika), ki je v veliki meri trajna. Taka okvara povzroča hud in trajen upad kvalitete življenja bolnika in dodatne intervencije (npr. mehanske širitve), ki pa ne morejo dolgotrajno rešiti nastalih težav. Izboljšanje zdravstvenega stanja, preprečevanje pojava zapletov in trajnih posledic ter invalidnosti, ima srednjeročno ne le vpliv na kvaliteto življenja bolnikov ampak tudi na stroške dolgotrajnega zdravljenja.</w:t>
      </w:r>
    </w:p>
    <w:p w14:paraId="68F05AEF"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67DD67AD"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Glede na epidemiološke podatke, se trenutno nudi stalno zdravljenje in spremljanje približno 100 otrokom in mladostnikom z </w:t>
      </w:r>
      <w:proofErr w:type="spellStart"/>
      <w:r w:rsidRPr="005E4BEA">
        <w:rPr>
          <w:rFonts w:eastAsiaTheme="minorHAnsi" w:cs="Arial"/>
          <w:i/>
          <w:color w:val="808080" w:themeColor="background1" w:themeShade="80"/>
          <w:szCs w:val="20"/>
        </w:rPr>
        <w:t>eozinofilnimi</w:t>
      </w:r>
      <w:proofErr w:type="spellEnd"/>
      <w:r w:rsidRPr="005E4BEA">
        <w:rPr>
          <w:rFonts w:eastAsiaTheme="minorHAnsi" w:cs="Arial"/>
          <w:i/>
          <w:color w:val="808080" w:themeColor="background1" w:themeShade="80"/>
          <w:szCs w:val="20"/>
        </w:rPr>
        <w:t xml:space="preserve"> boleznimi prebavil, v veliki večini z </w:t>
      </w:r>
      <w:proofErr w:type="spellStart"/>
      <w:r w:rsidRPr="005E4BEA">
        <w:rPr>
          <w:rFonts w:eastAsiaTheme="minorHAnsi" w:cs="Arial"/>
          <w:i/>
          <w:color w:val="808080" w:themeColor="background1" w:themeShade="80"/>
          <w:szCs w:val="20"/>
        </w:rPr>
        <w:t>eozinofilnim</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ezofagitisom</w:t>
      </w:r>
      <w:proofErr w:type="spellEnd"/>
      <w:r w:rsidRPr="005E4BEA">
        <w:rPr>
          <w:rFonts w:eastAsiaTheme="minorHAnsi" w:cs="Arial"/>
          <w:i/>
          <w:color w:val="808080" w:themeColor="background1" w:themeShade="80"/>
          <w:szCs w:val="20"/>
        </w:rPr>
        <w:t xml:space="preserve">. Če se bodo epidemiološki trendi nadaljevali, lahko računamo, da se to število lahko že v nekaj letih podvoji. Zato diagnostična in terapevtska obravnava teh bolnikov v skladu z mednarodnimi smernicami prispeva k ogromnemu povečanju potreb po nekaterih zdravstvenih storitvah (ambulantnih pregledih, </w:t>
      </w:r>
      <w:proofErr w:type="spellStart"/>
      <w:r w:rsidRPr="005E4BEA">
        <w:rPr>
          <w:rFonts w:eastAsiaTheme="minorHAnsi" w:cs="Arial"/>
          <w:i/>
          <w:color w:val="808080" w:themeColor="background1" w:themeShade="80"/>
          <w:szCs w:val="20"/>
        </w:rPr>
        <w:t>endskopskih</w:t>
      </w:r>
      <w:proofErr w:type="spellEnd"/>
      <w:r w:rsidRPr="005E4BEA">
        <w:rPr>
          <w:rFonts w:eastAsiaTheme="minorHAnsi" w:cs="Arial"/>
          <w:i/>
          <w:color w:val="808080" w:themeColor="background1" w:themeShade="80"/>
          <w:szCs w:val="20"/>
        </w:rPr>
        <w:t xml:space="preserve"> preiskavah, prehranskih obravnavah itd. (podrobnosti so prikazane v ustreznih poglavjih), Da bi jih lahko izvajali, ne da bi prizadeli ostale segmente našega dela in poslabšali dosegljivost le teh za bolnike, je potrebno zagotoviti dodatna sredstva in kadre. Stroške programa bi bilo potrebno pokriti iz obveznega zdravstvenega zavarovanja.</w:t>
      </w:r>
    </w:p>
    <w:p w14:paraId="33DF446B"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7509E48"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209.447 eur letno.</w:t>
      </w:r>
    </w:p>
    <w:p w14:paraId="0AD4E8BB" w14:textId="77777777" w:rsidR="00FE461F" w:rsidRPr="005E4BEA" w:rsidRDefault="00FE461F" w:rsidP="00FE461F">
      <w:pPr>
        <w:spacing w:line="240" w:lineRule="auto"/>
        <w:jc w:val="both"/>
        <w:rPr>
          <w:rFonts w:eastAsiaTheme="minorHAnsi" w:cs="Arial"/>
          <w:b/>
          <w:bCs/>
          <w:i/>
          <w:color w:val="808080" w:themeColor="background1" w:themeShade="80"/>
          <w:szCs w:val="20"/>
        </w:rPr>
      </w:pPr>
    </w:p>
    <w:p w14:paraId="24F106BB"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3:</w:t>
      </w:r>
    </w:p>
    <w:p w14:paraId="4D9C01A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Humana mlečna banka je namenjen prezgodaj rojenim otrokom, ki so praviloma hospitalizirani v dveh terciarnih centrih v Sloveniji, UKC Ljubljana in UKC Maribor. Novost je širitev dejavnosti </w:t>
      </w:r>
      <w:proofErr w:type="spellStart"/>
      <w:r w:rsidRPr="005E4BEA">
        <w:rPr>
          <w:rFonts w:eastAsiaTheme="minorHAnsi" w:cs="Arial"/>
          <w:i/>
          <w:color w:val="808080" w:themeColor="background1" w:themeShade="80"/>
          <w:szCs w:val="20"/>
        </w:rPr>
        <w:t>laktarija</w:t>
      </w:r>
      <w:proofErr w:type="spellEnd"/>
      <w:r w:rsidRPr="005E4BEA">
        <w:rPr>
          <w:rFonts w:eastAsiaTheme="minorHAnsi" w:cs="Arial"/>
          <w:i/>
          <w:color w:val="808080" w:themeColor="background1" w:themeShade="80"/>
          <w:szCs w:val="20"/>
        </w:rPr>
        <w:t>. Zdravstvene koristi programa so hranjenje nedonošenčkov s humanim mlekom, kar omogoča boljšo in kakovostnejšo prehrano nedonošenčkov in pripomore k izboljšanju izidov zdravljenja. V Sloveniji se vsako leto rodi cca 150 nedonošenčkov, lažjih od 1500 g, poleg tega pa se letno rodi tudi okrog 1000 otrok s porodno težo med 1500 in 2000 g, ki potrebujejo optimalno prehransko podporo. Hospitalizacija takih otrok lahko traja zelo različno, vendar za najlažje otroke povprečno med dva in tri mesece. Trenutno situacijo rešujemo s črpanjem materinega mleka, kadar pa tega ni dovolj, s pomočjo adaptiranih mlečnih formul.</w:t>
      </w:r>
    </w:p>
    <w:p w14:paraId="74F78B8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7B1890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Ekonomske koristi novega programa so znižanje stroškov intenzivnega zdravljenja novorojenčkov na račun skrajšanja trajanja potrebe po </w:t>
      </w:r>
      <w:proofErr w:type="spellStart"/>
      <w:r w:rsidRPr="005E4BEA">
        <w:rPr>
          <w:rFonts w:eastAsiaTheme="minorHAnsi" w:cs="Arial"/>
          <w:i/>
          <w:color w:val="808080" w:themeColor="background1" w:themeShade="80"/>
          <w:szCs w:val="20"/>
        </w:rPr>
        <w:t>parenteralni</w:t>
      </w:r>
      <w:proofErr w:type="spellEnd"/>
      <w:r w:rsidRPr="005E4BEA">
        <w:rPr>
          <w:rFonts w:eastAsiaTheme="minorHAnsi" w:cs="Arial"/>
          <w:i/>
          <w:color w:val="808080" w:themeColor="background1" w:themeShade="80"/>
          <w:szCs w:val="20"/>
        </w:rPr>
        <w:t xml:space="preserve"> prehrani, saj nedonošenčki bolje prenašajo hranjenje s humanim mlekom kot z adaptiranim/kravjim mlekom. Število pacientov v RS je približno 150 na leto.</w:t>
      </w:r>
    </w:p>
    <w:p w14:paraId="50E36FB2"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040CD71"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Prvi korak je izbira darovalke s pomočjo presejalne anamneze in serološkega testiranja, po izbiri darovalke sledi izobraževanje o pomembnosti osebne higiene, umivanja in razkuževanja rok in učenje </w:t>
      </w:r>
      <w:proofErr w:type="spellStart"/>
      <w:r w:rsidRPr="005E4BEA">
        <w:rPr>
          <w:rFonts w:eastAsiaTheme="minorHAnsi" w:cs="Arial"/>
          <w:i/>
          <w:color w:val="808080" w:themeColor="background1" w:themeShade="80"/>
          <w:szCs w:val="20"/>
        </w:rPr>
        <w:t>izbrizgavanja</w:t>
      </w:r>
      <w:proofErr w:type="spellEnd"/>
      <w:r w:rsidRPr="005E4BEA">
        <w:rPr>
          <w:rFonts w:eastAsiaTheme="minorHAnsi" w:cs="Arial"/>
          <w:i/>
          <w:color w:val="808080" w:themeColor="background1" w:themeShade="80"/>
          <w:szCs w:val="20"/>
        </w:rPr>
        <w:t xml:space="preserve"> mleka. </w:t>
      </w:r>
      <w:proofErr w:type="spellStart"/>
      <w:r w:rsidRPr="005E4BEA">
        <w:rPr>
          <w:rFonts w:eastAsiaTheme="minorHAnsi" w:cs="Arial"/>
          <w:i/>
          <w:color w:val="808080" w:themeColor="background1" w:themeShade="80"/>
          <w:szCs w:val="20"/>
        </w:rPr>
        <w:t>Donirano</w:t>
      </w:r>
      <w:proofErr w:type="spellEnd"/>
      <w:r w:rsidRPr="005E4BEA">
        <w:rPr>
          <w:rFonts w:eastAsiaTheme="minorHAnsi" w:cs="Arial"/>
          <w:i/>
          <w:color w:val="808080" w:themeColor="background1" w:themeShade="80"/>
          <w:szCs w:val="20"/>
        </w:rPr>
        <w:t xml:space="preserve"> mleko se nato shranjuje, pred uporabo pa se odmrzne, mikrobiološko testira in pasterizira. Ob soglasju staršev prejemnika, se </w:t>
      </w:r>
      <w:proofErr w:type="spellStart"/>
      <w:r w:rsidRPr="005E4BEA">
        <w:rPr>
          <w:rFonts w:eastAsiaTheme="minorHAnsi" w:cs="Arial"/>
          <w:i/>
          <w:color w:val="808080" w:themeColor="background1" w:themeShade="80"/>
          <w:szCs w:val="20"/>
        </w:rPr>
        <w:t>donirano</w:t>
      </w:r>
      <w:proofErr w:type="spellEnd"/>
      <w:r w:rsidRPr="005E4BEA">
        <w:rPr>
          <w:rFonts w:eastAsiaTheme="minorHAnsi" w:cs="Arial"/>
          <w:i/>
          <w:color w:val="808080" w:themeColor="background1" w:themeShade="80"/>
          <w:szCs w:val="20"/>
        </w:rPr>
        <w:t xml:space="preserve"> mleko lahko uporabi po individualnem protokolu hranjenja nedonošenčkov in bolnih novorojencev na EINT.</w:t>
      </w:r>
    </w:p>
    <w:p w14:paraId="1116305C"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B49F7C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Oprema je bila večinoma darovana. Potrebno je zagotoviti mikrobiološko testiranje darovalk in testiranje mleka na čistost, kar izvaja Nacionalni inštitut za javno zdravje (NIJZ).</w:t>
      </w:r>
    </w:p>
    <w:p w14:paraId="7FB2D27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A41559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Izvajalec je UKCL, Ginekološka klinika, KO za </w:t>
      </w:r>
      <w:proofErr w:type="spellStart"/>
      <w:r w:rsidRPr="005E4BEA">
        <w:rPr>
          <w:rFonts w:eastAsiaTheme="minorHAnsi" w:cs="Arial"/>
          <w:i/>
          <w:color w:val="808080" w:themeColor="background1" w:themeShade="80"/>
          <w:szCs w:val="20"/>
        </w:rPr>
        <w:t>perinatologijo</w:t>
      </w:r>
      <w:proofErr w:type="spellEnd"/>
      <w:r w:rsidRPr="005E4BEA">
        <w:rPr>
          <w:rFonts w:eastAsiaTheme="minorHAnsi" w:cs="Arial"/>
          <w:i/>
          <w:color w:val="808080" w:themeColor="background1" w:themeShade="80"/>
          <w:szCs w:val="20"/>
        </w:rPr>
        <w:t>.</w:t>
      </w:r>
    </w:p>
    <w:p w14:paraId="077DF9A6"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6DEFCB9"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36.331 eur letno</w:t>
      </w:r>
    </w:p>
    <w:p w14:paraId="3391E72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F5D8181"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13E36DC"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ACB7FA6"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4:</w:t>
      </w:r>
    </w:p>
    <w:p w14:paraId="3BECC21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Pediatrična klinika UKC Ljubljana kot osrednja ustanova v državi sistematično in centralizirano obravnava vse otroke in mladostnike s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(CF) od leta 1985.</w:t>
      </w:r>
    </w:p>
    <w:p w14:paraId="04DEF4C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8622D6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Zaradi nenehnega izpopolnjevanja in izrazitega napredka pri zdravljenju bolezni, so se dejavnosti z leti korenito spremenile in dosegale raven organizacije in strokovne obravnave sodobnega CF centra. Temu so botrovali tesni stiki z mednarodno strokovno javnostjo (Evropsko združenje za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in </w:t>
      </w:r>
      <w:proofErr w:type="spellStart"/>
      <w:r w:rsidRPr="005E4BEA">
        <w:rPr>
          <w:rFonts w:eastAsiaTheme="minorHAnsi" w:cs="Arial"/>
          <w:i/>
          <w:color w:val="808080" w:themeColor="background1" w:themeShade="80"/>
          <w:szCs w:val="20"/>
        </w:rPr>
        <w:t>stremenje</w:t>
      </w:r>
      <w:proofErr w:type="spellEnd"/>
      <w:r w:rsidRPr="005E4BEA">
        <w:rPr>
          <w:rFonts w:eastAsiaTheme="minorHAnsi" w:cs="Arial"/>
          <w:i/>
          <w:color w:val="808080" w:themeColor="background1" w:themeShade="80"/>
          <w:szCs w:val="20"/>
        </w:rPr>
        <w:t xml:space="preserve"> klinike po zagotavljanju najboljše možne oskrbe bolnikom. Ključni kazalniki dela centra so od leta 2007 javno objavljeni v poročilih Registra bolnikov Evropskega združenja za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(dostopno na: </w:t>
      </w:r>
      <w:hyperlink r:id="rId22" w:history="1">
        <w:r w:rsidRPr="005E4BEA">
          <w:rPr>
            <w:rFonts w:eastAsiaTheme="minorHAnsi" w:cs="Arial"/>
            <w:i/>
            <w:color w:val="0000FF"/>
            <w:szCs w:val="20"/>
            <w:u w:val="single"/>
          </w:rPr>
          <w:t>https://www.ecfs.eu/projects/ecfs-patient-registry/annual-reports</w:t>
        </w:r>
      </w:hyperlink>
      <w:r w:rsidRPr="005E4BEA">
        <w:rPr>
          <w:rFonts w:eastAsiaTheme="minorHAnsi" w:cs="Arial"/>
          <w:i/>
          <w:color w:val="808080" w:themeColor="background1" w:themeShade="80"/>
          <w:szCs w:val="20"/>
        </w:rPr>
        <w:t>).</w:t>
      </w:r>
    </w:p>
    <w:p w14:paraId="69745C1F"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FFF08C6"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CF je najpogostejša redka bolezen. Na svetu je danes okrog 70.000 bolnikov s CF, 35.000 jih je v Evropi. Pojavnost CF je v Sloveniji 1:4500 novorojenih otrok. Na leto na novo diagnosticiramo od 3-5 otrok s CF. Trenutno je znanih okoli 100 bolnikov s CF, 83 je otrok in mladostnikov, ostali so odrasli. Glede na podatke iz Evropskega registra bolnikov s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v katerega so vključeni tudi vsi bolniki iz Slovenije, se v naslednjem desetletju zaradi boljše obravnave in zdravljenja pričakuje podaljšanje življenjske dobe bolnikov s CF. Ob enakem številu novih bolnikov se bo skupno število bolnikov zato ustrezno povečalo.</w:t>
      </w:r>
    </w:p>
    <w:p w14:paraId="660062E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7DF22FE"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CF je zaradi pogostih poslabšanj, številnih zapletov, ki naraščajo z otrokovo starostjo, ter obsežne in drage terapije zelo kompleksna bolezen, kjer je potreben multidisciplinaren pristop, ki po smernicah ECFS zahteva obravnavo izključno na terciarni ravni. Otroci in mladostniki s CF potrebujejo celostno obravnavo, ki vsebuje kakovostne zdravstvene storitve, ki jih lahko zagotavlja le multidisciplinarna skupina strokovnjakov s posebnimi znanji s področja cistične </w:t>
      </w:r>
      <w:proofErr w:type="spellStart"/>
      <w:r w:rsidRPr="005E4BEA">
        <w:rPr>
          <w:rFonts w:eastAsiaTheme="minorHAnsi" w:cs="Arial"/>
          <w:i/>
          <w:color w:val="808080" w:themeColor="background1" w:themeShade="80"/>
          <w:szCs w:val="20"/>
        </w:rPr>
        <w:t>fibroze</w:t>
      </w:r>
      <w:proofErr w:type="spellEnd"/>
      <w:r w:rsidRPr="005E4BEA">
        <w:rPr>
          <w:rFonts w:eastAsiaTheme="minorHAnsi" w:cs="Arial"/>
          <w:i/>
          <w:color w:val="808080" w:themeColor="background1" w:themeShade="80"/>
          <w:szCs w:val="20"/>
        </w:rPr>
        <w:t xml:space="preserve"> – CF tim. Hkrati je izredno pomembno stalno izobraževanje otrok in staršev o bolezni in o vsakodnevnem zdravljenju, ki ga bolniki in njihovi starši izvajajo doma. CF je kronična bolezen, pri kateri na dolgoročni izhod pomembno vplivajo dejavniki kot so redno vsakodnevno jemanje zdravil ter redno izvajanje respiratorne in </w:t>
      </w:r>
      <w:proofErr w:type="spellStart"/>
      <w:r w:rsidRPr="005E4BEA">
        <w:rPr>
          <w:rFonts w:eastAsiaTheme="minorHAnsi" w:cs="Arial"/>
          <w:i/>
          <w:color w:val="808080" w:themeColor="background1" w:themeShade="80"/>
          <w:szCs w:val="20"/>
        </w:rPr>
        <w:t>inhalatorne</w:t>
      </w:r>
      <w:proofErr w:type="spellEnd"/>
      <w:r w:rsidRPr="005E4BEA">
        <w:rPr>
          <w:rFonts w:eastAsiaTheme="minorHAnsi" w:cs="Arial"/>
          <w:i/>
          <w:color w:val="808080" w:themeColor="background1" w:themeShade="80"/>
          <w:szCs w:val="20"/>
        </w:rPr>
        <w:t xml:space="preserve"> terapije.</w:t>
      </w:r>
    </w:p>
    <w:p w14:paraId="064E3368"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116DB0D"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Navedene dejavnosti na Pediatrični kliniki izvajajo že več let z nezadostnim številom ljudi in sredstev. Obstoječi kader je namenjen pokrivanju potreb vseh pulmoloških bolnikov in ne le bolnikov s CF. Osebje izvaja delo na oddelku intenzivne nege, specialističnih ambulant in respiratorne funkcionalne diagnostike v ter raziskovalne dejavnosti. V letu 2016 smo v bolnišnično obravnavali 1403 otrok, 4930 smo jih pregledali v specialistični ambulanti in opravili okoli 6300 preiskav v funkcionalni diagnostiki. Sredstva za zdravljenje bolnikov s CF zagotavlja ZZZS v okviru obveznega zavarovanja, vendar pa je sedanji program z vidika celostne zdravstvene oskrbe z edukacijo, vključitvijo psihologa in dietetika že sedaj močno podcenjen.</w:t>
      </w:r>
    </w:p>
    <w:p w14:paraId="64DE3306"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B585AF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Že vrsto let  se zaradi nezadostnih finančnih virov ustvarja presežek stroškov nad prihodkih oz. izguba. Zaradi strokovnih utemeljitev in vpliva na poslovanje je nujno predlagano financiranje Centra za otroke in mladostnike s CF.</w:t>
      </w:r>
    </w:p>
    <w:p w14:paraId="47A6058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72FD3EE"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lastRenderedPageBreak/>
        <w:t>Finančne posledice: 764.000 eur na letni ravni</w:t>
      </w:r>
    </w:p>
    <w:p w14:paraId="10E225E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ED503F5"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5:</w:t>
      </w:r>
    </w:p>
    <w:p w14:paraId="5D059D3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Akutna </w:t>
      </w:r>
      <w:proofErr w:type="spellStart"/>
      <w:r w:rsidRPr="005E4BEA">
        <w:rPr>
          <w:rFonts w:eastAsiaTheme="minorHAnsi" w:cs="Arial"/>
          <w:i/>
          <w:color w:val="808080" w:themeColor="background1" w:themeShade="80"/>
          <w:szCs w:val="20"/>
        </w:rPr>
        <w:t>limfoblastna</w:t>
      </w:r>
      <w:proofErr w:type="spellEnd"/>
      <w:r w:rsidRPr="005E4BEA">
        <w:rPr>
          <w:rFonts w:eastAsiaTheme="minorHAnsi" w:cs="Arial"/>
          <w:i/>
          <w:color w:val="808080" w:themeColor="background1" w:themeShade="80"/>
          <w:szCs w:val="20"/>
        </w:rPr>
        <w:t xml:space="preserve"> levkemija (ALL) je redka vrsta levkemije, pri kateri so maligne celice predvsem </w:t>
      </w:r>
      <w:proofErr w:type="spellStart"/>
      <w:r w:rsidRPr="005E4BEA">
        <w:rPr>
          <w:rFonts w:eastAsiaTheme="minorHAnsi" w:cs="Arial"/>
          <w:i/>
          <w:color w:val="808080" w:themeColor="background1" w:themeShade="80"/>
          <w:szCs w:val="20"/>
        </w:rPr>
        <w:t>blastne</w:t>
      </w:r>
      <w:proofErr w:type="spellEnd"/>
      <w:r w:rsidRPr="005E4BEA">
        <w:rPr>
          <w:rFonts w:eastAsiaTheme="minorHAnsi" w:cs="Arial"/>
          <w:i/>
          <w:color w:val="808080" w:themeColor="background1" w:themeShade="80"/>
          <w:szCs w:val="20"/>
        </w:rPr>
        <w:t xml:space="preserve"> oblike limfatične vrste; gre za rakavo spremenjene limfocite vrste B ali T. Nezdravljena bolezen privede do smrti. Predstavlja najpogostejšo vrsto levkemije v otroštvu, pri odraslih pa zajema 20 % vseh akutnih levkemij. Standarden intenziven protokol zdravljenja ALL pri odraslih v Sloveniji je UKALL. ALL je pri 10% bolnikih neobčutljiva na začetno zdravljenje, približno polovica bolnikov pa ima ponovitev bolezni po dosegu prve remisije. Mlajše bolnike zdravimo za </w:t>
      </w:r>
      <w:proofErr w:type="spellStart"/>
      <w:r w:rsidRPr="005E4BEA">
        <w:rPr>
          <w:rFonts w:eastAsiaTheme="minorHAnsi" w:cs="Arial"/>
          <w:i/>
          <w:color w:val="808080" w:themeColor="background1" w:themeShade="80"/>
          <w:szCs w:val="20"/>
        </w:rPr>
        <w:t>alogensko</w:t>
      </w:r>
      <w:proofErr w:type="spellEnd"/>
      <w:r w:rsidRPr="005E4BEA">
        <w:rPr>
          <w:rFonts w:eastAsiaTheme="minorHAnsi" w:cs="Arial"/>
          <w:i/>
          <w:color w:val="808080" w:themeColor="background1" w:themeShade="80"/>
          <w:szCs w:val="20"/>
        </w:rPr>
        <w:t xml:space="preserve"> presaditvijo krvotvornih matičnih celic. Dolgoročno preživetje odraslih znaša &lt;20%.</w:t>
      </w:r>
    </w:p>
    <w:p w14:paraId="3B6CAD81" w14:textId="77777777" w:rsidR="00FE461F" w:rsidRPr="005E4BEA" w:rsidRDefault="00FE461F" w:rsidP="00FE461F">
      <w:pPr>
        <w:spacing w:line="240" w:lineRule="auto"/>
        <w:jc w:val="both"/>
        <w:rPr>
          <w:rFonts w:eastAsiaTheme="minorHAnsi" w:cs="Arial"/>
          <w:i/>
          <w:color w:val="808080" w:themeColor="background1" w:themeShade="80"/>
          <w:szCs w:val="20"/>
        </w:rPr>
      </w:pPr>
      <w:proofErr w:type="spellStart"/>
      <w:r w:rsidRPr="005E4BEA">
        <w:rPr>
          <w:rFonts w:eastAsiaTheme="minorHAnsi" w:cs="Arial"/>
          <w:i/>
          <w:color w:val="808080" w:themeColor="background1" w:themeShade="80"/>
          <w:szCs w:val="20"/>
        </w:rPr>
        <w:t>NeHodgkinovi</w:t>
      </w:r>
      <w:proofErr w:type="spellEnd"/>
      <w:r w:rsidRPr="005E4BEA">
        <w:rPr>
          <w:rFonts w:eastAsiaTheme="minorHAnsi" w:cs="Arial"/>
          <w:i/>
          <w:color w:val="808080" w:themeColor="background1" w:themeShade="80"/>
          <w:szCs w:val="20"/>
        </w:rPr>
        <w:t xml:space="preserve"> limfomi (NHL) so heterogena skupina novotvorb nastalih z maligno preobrazbo celic limfatične vrste B, T ali NK (naravnih celic ubijalk). Predstavljajo od 2,5 do 5% vseh tumorskih novotvorb za katerimi zbolevajo bolniki, nekoliko pogosteje moški. Incidenca NHL narašča eksponentno s starostjo med 20. in 79. letom. Povprečno število novih primerov v Sloveniji v obdobju 2013-2017 je bilo 417, incidenca znaša 20,2/100.000 prebivalcev na leto. Zdravljenje NHL obsega standardno kemoterapijo (npr. CHOP, DHAP, CVP, </w:t>
      </w:r>
      <w:proofErr w:type="spellStart"/>
      <w:r w:rsidRPr="005E4BEA">
        <w:rPr>
          <w:rFonts w:eastAsiaTheme="minorHAnsi" w:cs="Arial"/>
          <w:i/>
          <w:color w:val="808080" w:themeColor="background1" w:themeShade="80"/>
          <w:szCs w:val="20"/>
        </w:rPr>
        <w:t>Hyper</w:t>
      </w:r>
      <w:proofErr w:type="spellEnd"/>
      <w:r w:rsidRPr="005E4BEA">
        <w:rPr>
          <w:rFonts w:eastAsiaTheme="minorHAnsi" w:cs="Arial"/>
          <w:i/>
          <w:color w:val="808080" w:themeColor="background1" w:themeShade="80"/>
          <w:szCs w:val="20"/>
        </w:rPr>
        <w:t xml:space="preserve">-CVAD) v kombinaciji z </w:t>
      </w:r>
      <w:proofErr w:type="spellStart"/>
      <w:r w:rsidRPr="005E4BEA">
        <w:rPr>
          <w:rFonts w:eastAsiaTheme="minorHAnsi" w:cs="Arial"/>
          <w:i/>
          <w:color w:val="808080" w:themeColor="background1" w:themeShade="80"/>
          <w:szCs w:val="20"/>
        </w:rPr>
        <w:t>monoklonskimi</w:t>
      </w:r>
      <w:proofErr w:type="spellEnd"/>
      <w:r w:rsidRPr="005E4BEA">
        <w:rPr>
          <w:rFonts w:eastAsiaTheme="minorHAnsi" w:cs="Arial"/>
          <w:i/>
          <w:color w:val="808080" w:themeColor="background1" w:themeShade="80"/>
          <w:szCs w:val="20"/>
        </w:rPr>
        <w:t xml:space="preserve"> protitelesi (npr. </w:t>
      </w:r>
      <w:proofErr w:type="spellStart"/>
      <w:r w:rsidRPr="005E4BEA">
        <w:rPr>
          <w:rFonts w:eastAsiaTheme="minorHAnsi" w:cs="Arial"/>
          <w:i/>
          <w:color w:val="808080" w:themeColor="background1" w:themeShade="80"/>
          <w:szCs w:val="20"/>
        </w:rPr>
        <w:t>rituximab</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obinotuzumab</w:t>
      </w:r>
      <w:proofErr w:type="spellEnd"/>
      <w:r w:rsidRPr="005E4BEA">
        <w:rPr>
          <w:rFonts w:eastAsiaTheme="minorHAnsi" w:cs="Arial"/>
          <w:i/>
          <w:color w:val="808080" w:themeColor="background1" w:themeShade="80"/>
          <w:szCs w:val="20"/>
        </w:rPr>
        <w:t xml:space="preserve">), obsevanje z ionizirajočim sevanjem, tarčne molekule (npr. </w:t>
      </w:r>
      <w:proofErr w:type="spellStart"/>
      <w:r w:rsidRPr="005E4BEA">
        <w:rPr>
          <w:rFonts w:eastAsiaTheme="minorHAnsi" w:cs="Arial"/>
          <w:i/>
          <w:color w:val="808080" w:themeColor="background1" w:themeShade="80"/>
          <w:szCs w:val="20"/>
        </w:rPr>
        <w:t>ibrutinib</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venetoklax</w:t>
      </w:r>
      <w:proofErr w:type="spellEnd"/>
      <w:r w:rsidRPr="005E4BEA">
        <w:rPr>
          <w:rFonts w:eastAsiaTheme="minorHAnsi" w:cs="Arial"/>
          <w:i/>
          <w:color w:val="808080" w:themeColor="background1" w:themeShade="80"/>
          <w:szCs w:val="20"/>
        </w:rPr>
        <w:t xml:space="preserve">). Delež bolnikov z neugodnim potekom, rezistentno boleznijo ali ponovitvijo bolezni zdravimo z </w:t>
      </w:r>
      <w:proofErr w:type="spellStart"/>
      <w:r w:rsidRPr="005E4BEA">
        <w:rPr>
          <w:rFonts w:eastAsiaTheme="minorHAnsi" w:cs="Arial"/>
          <w:i/>
          <w:color w:val="808080" w:themeColor="background1" w:themeShade="80"/>
          <w:szCs w:val="20"/>
        </w:rPr>
        <w:t>avtologno</w:t>
      </w:r>
      <w:proofErr w:type="spellEnd"/>
      <w:r w:rsidRPr="005E4BEA">
        <w:rPr>
          <w:rFonts w:eastAsiaTheme="minorHAnsi" w:cs="Arial"/>
          <w:i/>
          <w:color w:val="808080" w:themeColor="background1" w:themeShade="80"/>
          <w:szCs w:val="20"/>
        </w:rPr>
        <w:t xml:space="preserve"> presaditvijo krvotvornih matičnih celic (PKMC).</w:t>
      </w:r>
    </w:p>
    <w:p w14:paraId="534910F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51DC60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Nov pristop zdravljenja je uporaba </w:t>
      </w:r>
      <w:proofErr w:type="spellStart"/>
      <w:r w:rsidRPr="005E4BEA">
        <w:rPr>
          <w:rFonts w:eastAsiaTheme="minorHAnsi" w:cs="Arial"/>
          <w:i/>
          <w:color w:val="808080" w:themeColor="background1" w:themeShade="80"/>
          <w:szCs w:val="20"/>
        </w:rPr>
        <w:t>himernih</w:t>
      </w:r>
      <w:proofErr w:type="spellEnd"/>
      <w:r w:rsidRPr="005E4BEA">
        <w:rPr>
          <w:rFonts w:eastAsiaTheme="minorHAnsi" w:cs="Arial"/>
          <w:i/>
          <w:color w:val="808080" w:themeColor="background1" w:themeShade="80"/>
          <w:szCs w:val="20"/>
        </w:rPr>
        <w:t xml:space="preserve"> limfocitov T proti antigenu CD19 na limfatičnih celicah. Uspešnost zdravljenja je med novimi pristopi najvišja in dosega 80% pri ALL in 60% pri NHL. Zdravljenje v Slovenij poteka s komercialnim produktom od 2020, vendar pa je drago v obsegu 240.000 EUR na bolnika. Iz navedenih razlogov se centri po svetu odločajo za pristop z lastno izdelavo CAR-T. Trenutno je najpogostejši pristop izdelave z uporabo platforme podjetja </w:t>
      </w:r>
      <w:proofErr w:type="spellStart"/>
      <w:r w:rsidRPr="005E4BEA">
        <w:rPr>
          <w:rFonts w:eastAsiaTheme="minorHAnsi" w:cs="Arial"/>
          <w:i/>
          <w:color w:val="808080" w:themeColor="background1" w:themeShade="80"/>
          <w:szCs w:val="20"/>
        </w:rPr>
        <w:t>CliniMACS</w:t>
      </w:r>
      <w:proofErr w:type="spellEnd"/>
      <w:r w:rsidRPr="005E4BEA">
        <w:rPr>
          <w:rFonts w:eastAsiaTheme="minorHAnsi" w:cs="Arial"/>
          <w:i/>
          <w:color w:val="808080" w:themeColor="background1" w:themeShade="80"/>
          <w:szCs w:val="20"/>
        </w:rPr>
        <w:t>.</w:t>
      </w:r>
    </w:p>
    <w:p w14:paraId="5242C7A5"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66F1DB4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Aparat </w:t>
      </w:r>
      <w:proofErr w:type="spellStart"/>
      <w:r w:rsidRPr="005E4BEA">
        <w:rPr>
          <w:rFonts w:eastAsiaTheme="minorHAnsi" w:cs="Arial"/>
          <w:i/>
          <w:color w:val="808080" w:themeColor="background1" w:themeShade="80"/>
          <w:szCs w:val="20"/>
        </w:rPr>
        <w:t>CliniMACS</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Prodigy</w:t>
      </w:r>
      <w:proofErr w:type="spellEnd"/>
      <w:r w:rsidRPr="005E4BEA">
        <w:rPr>
          <w:rFonts w:eastAsiaTheme="minorHAnsi" w:cs="Arial"/>
          <w:i/>
          <w:color w:val="808080" w:themeColor="background1" w:themeShade="80"/>
          <w:szCs w:val="20"/>
        </w:rPr>
        <w:t xml:space="preserve"> uporabljamo za izdelavo naprednih načinov zdravljenja s celicami. Omogoča nam pripravo gensko </w:t>
      </w:r>
      <w:proofErr w:type="spellStart"/>
      <w:r w:rsidRPr="005E4BEA">
        <w:rPr>
          <w:rFonts w:eastAsiaTheme="minorHAnsi" w:cs="Arial"/>
          <w:i/>
          <w:color w:val="808080" w:themeColor="background1" w:themeShade="80"/>
          <w:szCs w:val="20"/>
        </w:rPr>
        <w:t>modificirnih</w:t>
      </w:r>
      <w:proofErr w:type="spellEnd"/>
      <w:r w:rsidRPr="005E4BEA">
        <w:rPr>
          <w:rFonts w:eastAsiaTheme="minorHAnsi" w:cs="Arial"/>
          <w:i/>
          <w:color w:val="808080" w:themeColor="background1" w:themeShade="80"/>
          <w:szCs w:val="20"/>
        </w:rPr>
        <w:t xml:space="preserve">, virusno specifičnih, antigensko specifičnih T celic in dendritičnih celic. Ob tem je mogoče z njim opravljati tudi nekatere že uveljavljene postopke. Postopki so standardizirani s strani proizvajalca. Nakup </w:t>
      </w:r>
      <w:proofErr w:type="spellStart"/>
      <w:r w:rsidRPr="005E4BEA">
        <w:rPr>
          <w:rFonts w:eastAsiaTheme="minorHAnsi" w:cs="Arial"/>
          <w:i/>
          <w:color w:val="808080" w:themeColor="background1" w:themeShade="80"/>
          <w:szCs w:val="20"/>
        </w:rPr>
        <w:t>CliniMACS</w:t>
      </w:r>
      <w:proofErr w:type="spellEnd"/>
      <w:r w:rsidRPr="005E4BEA">
        <w:rPr>
          <w:rFonts w:eastAsiaTheme="minorHAnsi" w:cs="Arial"/>
          <w:i/>
          <w:color w:val="808080" w:themeColor="background1" w:themeShade="80"/>
          <w:szCs w:val="20"/>
        </w:rPr>
        <w:t xml:space="preserve"> so omogočila </w:t>
      </w:r>
      <w:proofErr w:type="spellStart"/>
      <w:r w:rsidRPr="005E4BEA">
        <w:rPr>
          <w:rFonts w:eastAsiaTheme="minorHAnsi" w:cs="Arial"/>
          <w:i/>
          <w:color w:val="808080" w:themeColor="background1" w:themeShade="80"/>
          <w:szCs w:val="20"/>
        </w:rPr>
        <w:t>donacijske</w:t>
      </w:r>
      <w:proofErr w:type="spellEnd"/>
      <w:r w:rsidRPr="005E4BEA">
        <w:rPr>
          <w:rFonts w:eastAsiaTheme="minorHAnsi" w:cs="Arial"/>
          <w:i/>
          <w:color w:val="808080" w:themeColor="background1" w:themeShade="80"/>
          <w:szCs w:val="20"/>
        </w:rPr>
        <w:t xml:space="preserve"> sredstva, ki jih je zbralo Društvo bolnikov s krvnimi boleznimi Slovenije. Z aparaturo bi omogočili izdelavo lastnih CAR-T za zdravljenje rezistentnih bolnikov z ALL in agresivnimi NHL.</w:t>
      </w:r>
    </w:p>
    <w:p w14:paraId="67755668"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B80AF0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CAR-T celična terapija je napredna celična terapija, katere uvedba bi takoj omogočila razširjenje zdravljenja številnih bolnikov z ALL in NHL. Bolezni zdravimo tako na KO za hematologijo kot na Onkološkem inštitutu. Novo zdravljenje bi pomembno vplivalo na obravnavo omenjenih bolezni.</w:t>
      </w:r>
    </w:p>
    <w:p w14:paraId="32C81BFA"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1E61DA3"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 menjavo konstrukta CAR-T z drugim tumorskim antigenom je mogoče po predlaganem postopku razviti CAR-T, ki delujejo proti drugim hematološkim novotvorbam in proti številnim solidnim tumorjem z izboljšanjem trenutne obravnave bolezni.</w:t>
      </w:r>
    </w:p>
    <w:p w14:paraId="340BCB8F"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38D028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Pri izvajanju terapije CAR-T pri nas pričakujemo, da bodo stroški bistveno nižji od trenutnih na tržišču. Ocena izdelave produkta je 41.000 EUR brez </w:t>
      </w:r>
      <w:proofErr w:type="spellStart"/>
      <w:r w:rsidRPr="005E4BEA">
        <w:rPr>
          <w:rFonts w:eastAsiaTheme="minorHAnsi" w:cs="Arial"/>
          <w:i/>
          <w:color w:val="808080" w:themeColor="background1" w:themeShade="80"/>
          <w:szCs w:val="20"/>
        </w:rPr>
        <w:t>lentivirusnega</w:t>
      </w:r>
      <w:proofErr w:type="spellEnd"/>
      <w:r w:rsidRPr="005E4BEA">
        <w:rPr>
          <w:rFonts w:eastAsiaTheme="minorHAnsi" w:cs="Arial"/>
          <w:i/>
          <w:color w:val="808080" w:themeColor="background1" w:themeShade="80"/>
          <w:szCs w:val="20"/>
        </w:rPr>
        <w:t xml:space="preserve"> vektorja, ki stane dodatnih 30.000 EUR. Pričakovano je nihanje v ceni vektorja, ± 5.000 EUR. Za prvih 30 bolnikov bomo prejeli vektorje brezplačno v sklopu sodelovanja z </w:t>
      </w:r>
      <w:proofErr w:type="spellStart"/>
      <w:r w:rsidRPr="005E4BEA">
        <w:rPr>
          <w:rFonts w:eastAsiaTheme="minorHAnsi" w:cs="Arial"/>
          <w:i/>
          <w:color w:val="808080" w:themeColor="background1" w:themeShade="80"/>
          <w:szCs w:val="20"/>
        </w:rPr>
        <w:t>Miltenyi</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Biotec</w:t>
      </w:r>
      <w:proofErr w:type="spellEnd"/>
      <w:r w:rsidRPr="005E4BEA">
        <w:rPr>
          <w:rFonts w:eastAsiaTheme="minorHAnsi" w:cs="Arial"/>
          <w:i/>
          <w:color w:val="808080" w:themeColor="background1" w:themeShade="80"/>
          <w:szCs w:val="20"/>
        </w:rPr>
        <w:t xml:space="preserve">. Zdravljenje, ki je primerljivo z </w:t>
      </w:r>
      <w:proofErr w:type="spellStart"/>
      <w:r w:rsidRPr="005E4BEA">
        <w:rPr>
          <w:rFonts w:eastAsiaTheme="minorHAnsi" w:cs="Arial"/>
          <w:i/>
          <w:color w:val="808080" w:themeColor="background1" w:themeShade="80"/>
          <w:szCs w:val="20"/>
        </w:rPr>
        <w:t>avtologno</w:t>
      </w:r>
      <w:proofErr w:type="spellEnd"/>
      <w:r w:rsidRPr="005E4BEA">
        <w:rPr>
          <w:rFonts w:eastAsiaTheme="minorHAnsi" w:cs="Arial"/>
          <w:i/>
          <w:color w:val="808080" w:themeColor="background1" w:themeShade="80"/>
          <w:szCs w:val="20"/>
        </w:rPr>
        <w:t xml:space="preserve"> presaditvijo stane okvirno 75.000 EUR. Celotno zdravljenje z enkratnim odmerkom je ocenjeno na 120.000 EUR (brez </w:t>
      </w:r>
      <w:proofErr w:type="spellStart"/>
      <w:r w:rsidRPr="005E4BEA">
        <w:rPr>
          <w:rFonts w:eastAsiaTheme="minorHAnsi" w:cs="Arial"/>
          <w:i/>
          <w:color w:val="808080" w:themeColor="background1" w:themeShade="80"/>
          <w:szCs w:val="20"/>
        </w:rPr>
        <w:t>lentivirusnega</w:t>
      </w:r>
      <w:proofErr w:type="spellEnd"/>
      <w:r w:rsidRPr="005E4BEA">
        <w:rPr>
          <w:rFonts w:eastAsiaTheme="minorHAnsi" w:cs="Arial"/>
          <w:i/>
          <w:color w:val="808080" w:themeColor="background1" w:themeShade="80"/>
          <w:szCs w:val="20"/>
        </w:rPr>
        <w:t xml:space="preserve"> vektorja) - 150.000 EUR (z </w:t>
      </w:r>
      <w:proofErr w:type="spellStart"/>
      <w:r w:rsidRPr="005E4BEA">
        <w:rPr>
          <w:rFonts w:eastAsiaTheme="minorHAnsi" w:cs="Arial"/>
          <w:i/>
          <w:color w:val="808080" w:themeColor="background1" w:themeShade="80"/>
          <w:szCs w:val="20"/>
        </w:rPr>
        <w:t>lentivirusnim</w:t>
      </w:r>
      <w:proofErr w:type="spellEnd"/>
      <w:r w:rsidRPr="005E4BEA">
        <w:rPr>
          <w:rFonts w:eastAsiaTheme="minorHAnsi" w:cs="Arial"/>
          <w:i/>
          <w:color w:val="808080" w:themeColor="background1" w:themeShade="80"/>
          <w:szCs w:val="20"/>
        </w:rPr>
        <w:t xml:space="preserve"> vektorjem). Ob trenutnih podatkih cene komercialnega produkta CAR-T v Sloveniji 240.000 EUR bi predstavljal prihranek vsaj 170.000 EUR na bolnika. S CAR-T pristopom bi letno zdravili do deset bolnikov z ALL in 20 bolnikov z NHL. Na letni ravni bi bila ocena prihranka v primerjavi s komercialnim produktom  približno 5,1 milj. EUR.</w:t>
      </w:r>
    </w:p>
    <w:p w14:paraId="13A66C6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29A6FB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S CAR-T pristopom bi letno zdravili do 10 bolnikov z ALL in 20 bolnikov z NHL. Na letni ravni bi bila ocena prihranka v primerjavi s komercialnim produktom  približno 5,1 </w:t>
      </w:r>
      <w:proofErr w:type="spellStart"/>
      <w:r w:rsidRPr="005E4BEA">
        <w:rPr>
          <w:rFonts w:eastAsiaTheme="minorHAnsi" w:cs="Arial"/>
          <w:i/>
          <w:color w:val="808080" w:themeColor="background1" w:themeShade="80"/>
          <w:szCs w:val="20"/>
        </w:rPr>
        <w:t>miio</w:t>
      </w:r>
      <w:proofErr w:type="spellEnd"/>
      <w:r w:rsidRPr="005E4BEA">
        <w:rPr>
          <w:rFonts w:eastAsiaTheme="minorHAnsi" w:cs="Arial"/>
          <w:i/>
          <w:color w:val="808080" w:themeColor="background1" w:themeShade="80"/>
          <w:szCs w:val="20"/>
        </w:rPr>
        <w:t xml:space="preserve"> EUR.</w:t>
      </w:r>
    </w:p>
    <w:p w14:paraId="29BC51F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8A22BA8"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 xml:space="preserve">Finančne posledice: na letni ravni znašajo 3.558.256,65 eur. </w:t>
      </w:r>
    </w:p>
    <w:p w14:paraId="4071903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FB6730F"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6:</w:t>
      </w:r>
    </w:p>
    <w:p w14:paraId="7568E18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Pravočasna, tj. pred simptomatska prepoznava bolezni, ki jo mogoča le populacijsko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novorojencev, je pogoj za preprečevanje obolevnosti in umrljivosti bolnikov. </w:t>
      </w:r>
    </w:p>
    <w:p w14:paraId="53A2265B"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EA6513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Sloveniji program populacijskega biokemijskega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novorojencev že več kot 30 let vključuje dve bolezni (</w:t>
      </w:r>
      <w:proofErr w:type="spellStart"/>
      <w:r w:rsidRPr="005E4BEA">
        <w:rPr>
          <w:rFonts w:eastAsiaTheme="minorHAnsi" w:cs="Arial"/>
          <w:i/>
          <w:color w:val="808080" w:themeColor="background1" w:themeShade="80"/>
          <w:szCs w:val="20"/>
        </w:rPr>
        <w:t>fenilketonurijo</w:t>
      </w:r>
      <w:proofErr w:type="spellEnd"/>
      <w:r w:rsidRPr="005E4BEA">
        <w:rPr>
          <w:rFonts w:eastAsiaTheme="minorHAnsi" w:cs="Arial"/>
          <w:i/>
          <w:color w:val="808080" w:themeColor="background1" w:themeShade="80"/>
          <w:szCs w:val="20"/>
        </w:rPr>
        <w:t xml:space="preserve"> in kongenitalni hipotiroidizem), zadnji dve leti pa dodatnih 17 vrojenih bolezni presnove, ki jih odkrivamo z metodo tandemske masne spektrometrije in potrditveno genetsko diagnostiko. Kljub drugačnim strokovnih priporočilom nekaterih najpomembnejših pristojnih inštitucij v razvitem svetu v zadnjem desetletju, pa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novorojencev na </w:t>
      </w:r>
      <w:proofErr w:type="spellStart"/>
      <w:r w:rsidRPr="005E4BEA">
        <w:rPr>
          <w:rFonts w:eastAsiaTheme="minorHAnsi" w:cs="Arial"/>
          <w:i/>
          <w:color w:val="808080" w:themeColor="background1" w:themeShade="80"/>
          <w:szCs w:val="20"/>
        </w:rPr>
        <w:t>spinalno</w:t>
      </w:r>
      <w:proofErr w:type="spellEnd"/>
      <w:r w:rsidRPr="005E4BEA">
        <w:rPr>
          <w:rFonts w:eastAsiaTheme="minorHAnsi" w:cs="Arial"/>
          <w:i/>
          <w:color w:val="808080" w:themeColor="background1" w:themeShade="80"/>
          <w:szCs w:val="20"/>
        </w:rPr>
        <w:t xml:space="preserve"> mišično atrofijo (SMA), težke prirojene okvare imunosti (POI),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(CF) in kongenitalno hiperplazijo (KAH) doslej pri nas še ni bilo uvedeno.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na omenjene bolezni je tudi zaradi znatnega tehnološkega razvoja v zadnjih nekaj letih postalo bolj dostopno in utemeljeno kot strokovni standard, posledično pa uvedeno v večini držav EU in v ZDA. Omogočena je hkratna diagnostika teh bolezni iz enega vzorca posušene kapilarne krvi na filtrskem papirju s pomočjo implementacije dveh dodatnih diagnostičnih metod (PCR v realnem času (za odkrivanje SMA in POI) in imuno metoda </w:t>
      </w:r>
      <w:proofErr w:type="spellStart"/>
      <w:r w:rsidRPr="005E4BEA">
        <w:rPr>
          <w:rFonts w:eastAsiaTheme="minorHAnsi" w:cs="Arial"/>
          <w:i/>
          <w:color w:val="808080" w:themeColor="background1" w:themeShade="80"/>
          <w:szCs w:val="20"/>
        </w:rPr>
        <w:t>autoDELFIA</w:t>
      </w:r>
      <w:proofErr w:type="spellEnd"/>
      <w:r w:rsidRPr="005E4BEA">
        <w:rPr>
          <w:rFonts w:eastAsiaTheme="minorHAnsi" w:cs="Arial"/>
          <w:i/>
          <w:color w:val="808080" w:themeColor="background1" w:themeShade="80"/>
          <w:szCs w:val="20"/>
        </w:rPr>
        <w:t xml:space="preserve"> (za odkrivanje CF in KAH)). Širitev programa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novorojencev na te bolezni je tudi dokazano stroškovno učinkovita. Glede na kumulativno pojavnost SMA 1/10000, POI 1/7500 - 1/10000, CF 1/4500 in klasične KAH 1/10000-1/20000, bi v Sloveniji letno pričakovali okrog 15-20 novih bolnikov z eno od teh bolezni, ki pa so doslej večinoma ostajali neprepoznani ali prepoznani po praviloma že ireverzibilni klinični manifestaciji. </w:t>
      </w:r>
    </w:p>
    <w:p w14:paraId="1D85A05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A65E84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Zdravstvene koristi programa: Večja možnost (verjetnost) ali hitrejša ozdravitev oziroma za ozdravitev; hitrejša medicinska obravnava; odstranitev ali zmanjšanje težko obvladljivih simptomov in težav; preprečitev ali zmanjšanje obolevanja; boljše obvladovanje kronične bolezni; preprečitev ali zmanjšanje invalidnosti; povečanje let življenja brez bolezenskih obremenitev; upočasnitev poteka neozdravljive bolezni in preprečitev prezgodnje smrti (podaljšanje dobe preživetja); povečanje zmožnosti samooskrbe (gibanje, prehranjevanje, osebna higiena), običajnih delovnih in družinskih dejavnosti ter uživanja prostega časa; dodano telesno ali duševno zdravje, višja kakovost življenja. </w:t>
      </w:r>
    </w:p>
    <w:p w14:paraId="228CB320"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AC0A97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Ekonomske koristi oziroma stroški programa: Glede na vrsto dokazov v literaturi je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novorojencev na predlagane prirojene bolezni (SMA, POI, CF in KAH) izrazito stroškovno učinkovito. Istega cilja - tj. pred simptomatskega odkrivanja teh bolezni, ni mogoče doseči na drug, primerljivo učinkovit na način.  </w:t>
      </w:r>
    </w:p>
    <w:p w14:paraId="1C322814"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B3845AE"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bo obsegal vključitev vseh novorojencev, ki se letno rodijo na področju Republike Slovenije (cca. 19.500 novorojencev v letu 2019), med katerimi naj bi - glede na v literaturi ocenjeno kumulativno pojavnost teh bolezni letno odkrili 15-20 bolnikov. </w:t>
      </w:r>
    </w:p>
    <w:p w14:paraId="48D609D0"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643561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Izvajalec je Klinični oddelek za otroško, mladostniško in razvojno nevrologijo (KOOMRN); Kliničnem oddelku za otroško </w:t>
      </w:r>
      <w:proofErr w:type="spellStart"/>
      <w:r w:rsidRPr="005E4BEA">
        <w:rPr>
          <w:rFonts w:eastAsiaTheme="minorHAnsi" w:cs="Arial"/>
          <w:i/>
          <w:color w:val="808080" w:themeColor="background1" w:themeShade="80"/>
          <w:szCs w:val="20"/>
        </w:rPr>
        <w:t>alergologijo</w:t>
      </w:r>
      <w:proofErr w:type="spellEnd"/>
      <w:r w:rsidRPr="005E4BEA">
        <w:rPr>
          <w:rFonts w:eastAsiaTheme="minorHAnsi" w:cs="Arial"/>
          <w:i/>
          <w:color w:val="808080" w:themeColor="background1" w:themeShade="80"/>
          <w:szCs w:val="20"/>
        </w:rPr>
        <w:t>, revmatologijo in klinično imunologijo (KOOARKI); Služba za pljučne bolezni (SPB); Klinični oddelek za endokrinologijo, diabetes in bolezni presnove (KOEDBP); Klinični inštitut za specialno laboratorijsko diagnostiko (KISLD) (VSE Pediatrična klinika, UKCL.</w:t>
      </w:r>
    </w:p>
    <w:p w14:paraId="704A8EEA"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75989AF"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1.926.937,90 na letni ravni.</w:t>
      </w:r>
    </w:p>
    <w:p w14:paraId="41040752" w14:textId="6409A5B8" w:rsidR="00FE461F" w:rsidRPr="005E4BEA" w:rsidRDefault="00FE461F" w:rsidP="00FE461F">
      <w:pPr>
        <w:spacing w:line="240" w:lineRule="auto"/>
        <w:jc w:val="both"/>
        <w:rPr>
          <w:rFonts w:eastAsiaTheme="minorHAnsi" w:cs="Arial"/>
          <w:i/>
          <w:color w:val="808080" w:themeColor="background1" w:themeShade="80"/>
          <w:szCs w:val="20"/>
        </w:rPr>
      </w:pPr>
    </w:p>
    <w:p w14:paraId="6023BFA3" w14:textId="77777777" w:rsidR="005208D5" w:rsidRPr="005E4BEA" w:rsidRDefault="005208D5" w:rsidP="00FE461F">
      <w:pPr>
        <w:spacing w:line="240" w:lineRule="auto"/>
        <w:jc w:val="both"/>
        <w:rPr>
          <w:rFonts w:eastAsiaTheme="minorHAnsi" w:cs="Arial"/>
          <w:i/>
          <w:color w:val="808080" w:themeColor="background1" w:themeShade="80"/>
          <w:szCs w:val="20"/>
        </w:rPr>
      </w:pPr>
    </w:p>
    <w:p w14:paraId="52999B4C"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7-9:</w:t>
      </w:r>
    </w:p>
    <w:p w14:paraId="69E78986"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Skladno z Načrtom dela in Akcijskim načrtom za področje redkih bolezni, ki sta bila potrjena na januarski seji Zdravstvenega sveta, so kot dodatni program predlagane uvedbe:</w:t>
      </w:r>
    </w:p>
    <w:p w14:paraId="7293CE7D"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 xml:space="preserve">4 specializiranih </w:t>
      </w:r>
      <w:proofErr w:type="spellStart"/>
      <w:r w:rsidRPr="005E4BEA">
        <w:rPr>
          <w:rFonts w:eastAsiaTheme="minorHAnsi" w:cs="Arial"/>
          <w:i/>
          <w:color w:val="808080" w:themeColor="background1" w:themeShade="80"/>
          <w:szCs w:val="20"/>
        </w:rPr>
        <w:t>multidisclipinarnih</w:t>
      </w:r>
      <w:proofErr w:type="spellEnd"/>
      <w:r w:rsidRPr="005E4BEA">
        <w:rPr>
          <w:rFonts w:eastAsiaTheme="minorHAnsi" w:cs="Arial"/>
          <w:i/>
          <w:color w:val="808080" w:themeColor="background1" w:themeShade="80"/>
          <w:szCs w:val="20"/>
        </w:rPr>
        <w:t xml:space="preserve"> timov za obravnavo redkih bolezni - 2x UKC </w:t>
      </w:r>
      <w:proofErr w:type="spellStart"/>
      <w:r w:rsidRPr="005E4BEA">
        <w:rPr>
          <w:rFonts w:eastAsiaTheme="minorHAnsi" w:cs="Arial"/>
          <w:i/>
          <w:color w:val="808080" w:themeColor="background1" w:themeShade="80"/>
          <w:szCs w:val="20"/>
        </w:rPr>
        <w:t>Lj</w:t>
      </w:r>
      <w:proofErr w:type="spellEnd"/>
      <w:r w:rsidRPr="005E4BEA">
        <w:rPr>
          <w:rFonts w:eastAsiaTheme="minorHAnsi" w:cs="Arial"/>
          <w:i/>
          <w:color w:val="808080" w:themeColor="background1" w:themeShade="80"/>
          <w:szCs w:val="20"/>
        </w:rPr>
        <w:t xml:space="preserve">, 1x OI Ljubljana, 1x UKC MB </w:t>
      </w:r>
    </w:p>
    <w:p w14:paraId="2B65986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slovenskega vozlišča za ERM</w:t>
      </w:r>
    </w:p>
    <w:p w14:paraId="73959A16"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 xml:space="preserve">Centra za </w:t>
      </w:r>
      <w:proofErr w:type="spellStart"/>
      <w:r w:rsidRPr="005E4BEA">
        <w:rPr>
          <w:rFonts w:eastAsiaTheme="minorHAnsi" w:cs="Arial"/>
          <w:i/>
          <w:color w:val="808080" w:themeColor="background1" w:themeShade="80"/>
          <w:szCs w:val="20"/>
        </w:rPr>
        <w:t>nediagnosticirane</w:t>
      </w:r>
      <w:proofErr w:type="spellEnd"/>
      <w:r w:rsidRPr="005E4BEA">
        <w:rPr>
          <w:rFonts w:eastAsiaTheme="minorHAnsi" w:cs="Arial"/>
          <w:i/>
          <w:color w:val="808080" w:themeColor="background1" w:themeShade="80"/>
          <w:szCs w:val="20"/>
        </w:rPr>
        <w:t xml:space="preserve"> redke bolezni v okviru UKC Ljubljana </w:t>
      </w:r>
    </w:p>
    <w:p w14:paraId="4D452DEF"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200120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lastRenderedPageBreak/>
        <w:t xml:space="preserve">Ker Slovenija nima specializiranih ambulant za paciente z redkimi boleznimi, so tovrstni pacienti obravnavani v okviru specialističnih ambulant na specialističnem področju, glede na poglavitne simptome in znake, ki se pri določeni bolezni pojavljajo. Ker se večina redkih bolezni pojavi že v zgodnjem otroštvu, so to v glavnem </w:t>
      </w:r>
      <w:proofErr w:type="spellStart"/>
      <w:r w:rsidRPr="005E4BEA">
        <w:rPr>
          <w:rFonts w:eastAsiaTheme="minorHAnsi" w:cs="Arial"/>
          <w:i/>
          <w:color w:val="808080" w:themeColor="background1" w:themeShade="80"/>
          <w:szCs w:val="20"/>
        </w:rPr>
        <w:t>subspecialistične</w:t>
      </w:r>
      <w:proofErr w:type="spellEnd"/>
      <w:r w:rsidRPr="005E4BEA">
        <w:rPr>
          <w:rFonts w:eastAsiaTheme="minorHAnsi" w:cs="Arial"/>
          <w:i/>
          <w:color w:val="808080" w:themeColor="background1" w:themeShade="80"/>
          <w:szCs w:val="20"/>
        </w:rPr>
        <w:t xml:space="preserve"> pediatrične ambulante. Zaradi vse boljših metod zdravljenja in razvoja novih zdravil, imamo vse več bolnikov z redkimi boleznimi tudi v odraslem obdobju. Ugotavljamo, da bi bilo potrebno oblikovati </w:t>
      </w:r>
      <w:r w:rsidRPr="005E4BEA">
        <w:rPr>
          <w:rFonts w:eastAsiaTheme="minorHAnsi" w:cs="Arial"/>
          <w:b/>
          <w:bCs/>
          <w:i/>
          <w:color w:val="808080" w:themeColor="background1" w:themeShade="80"/>
          <w:szCs w:val="20"/>
        </w:rPr>
        <w:t xml:space="preserve">specializirane </w:t>
      </w:r>
      <w:proofErr w:type="spellStart"/>
      <w:r w:rsidRPr="005E4BEA">
        <w:rPr>
          <w:rFonts w:eastAsiaTheme="minorHAnsi" w:cs="Arial"/>
          <w:b/>
          <w:bCs/>
          <w:i/>
          <w:color w:val="808080" w:themeColor="background1" w:themeShade="80"/>
          <w:szCs w:val="20"/>
        </w:rPr>
        <w:t>multidisclipinarne</w:t>
      </w:r>
      <w:proofErr w:type="spellEnd"/>
      <w:r w:rsidRPr="005E4BEA">
        <w:rPr>
          <w:rFonts w:eastAsiaTheme="minorHAnsi" w:cs="Arial"/>
          <w:b/>
          <w:bCs/>
          <w:i/>
          <w:color w:val="808080" w:themeColor="background1" w:themeShade="80"/>
          <w:szCs w:val="20"/>
        </w:rPr>
        <w:t xml:space="preserve"> time</w:t>
      </w:r>
      <w:r w:rsidRPr="005E4BEA">
        <w:rPr>
          <w:rFonts w:eastAsiaTheme="minorHAnsi" w:cs="Arial"/>
          <w:i/>
          <w:color w:val="808080" w:themeColor="background1" w:themeShade="80"/>
          <w:szCs w:val="20"/>
        </w:rPr>
        <w:t xml:space="preserve"> za obravnavo redkih bolezni, ki bi obravnavale tako otroke kot tudi odrasle bolnike z redkimi boleznimi. Ti timi bi morali biti organizirani na način, da ne bi bolniki hodili v različne ambulante k različnim specialistom, ampak bi vsi specialisti in drugi zdravstveni delavci, ki bi jih potreboval posamezni bolnik z neko redko boleznijo, bolnika obravnavali skupaj, torej timsko. Specifika teh obolenj namreč narekuje, da se v dobrobit teh bolnikov poveže zdravstvena stroka različnih specialnosti, saj lahko le tako pri redkih bolezenskih stanjih dosežemo optimalno obravnavo bolnikov in s tem poskrbimo za njihovo najboljšo oskrbo. Taka organiziranost bi omogočala celovito obravnavo bolnikov z redkimi boleznimi in bolniku prijazen in nemoten prehod iz otroške v odraslo dobo.</w:t>
      </w:r>
    </w:p>
    <w:p w14:paraId="07C1499A"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D315A83"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1.289.504 eur na letni ravni.</w:t>
      </w:r>
    </w:p>
    <w:p w14:paraId="096A049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33F0D1E" w14:textId="77777777" w:rsidR="00FE461F" w:rsidRPr="005E4BEA" w:rsidRDefault="00FE461F" w:rsidP="00FE461F">
      <w:pPr>
        <w:autoSpaceDE w:val="0"/>
        <w:autoSpaceDN w:val="0"/>
        <w:adjustRightInd w:val="0"/>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Leta 2017 je bilo na ravni EU ustanovljenih 24 </w:t>
      </w:r>
      <w:r w:rsidRPr="005E4BEA">
        <w:rPr>
          <w:rFonts w:eastAsiaTheme="minorHAnsi" w:cs="Arial"/>
          <w:b/>
          <w:bCs/>
          <w:i/>
          <w:color w:val="808080" w:themeColor="background1" w:themeShade="80"/>
          <w:szCs w:val="20"/>
        </w:rPr>
        <w:t>evropskih referenčnih mrež (v nadaljnjem besedilu ERM)</w:t>
      </w:r>
      <w:r w:rsidRPr="005E4BEA">
        <w:rPr>
          <w:rFonts w:eastAsiaTheme="minorHAnsi" w:cs="Arial"/>
          <w:i/>
          <w:color w:val="808080" w:themeColor="background1" w:themeShade="80"/>
          <w:szCs w:val="20"/>
        </w:rPr>
        <w:t xml:space="preserve">, ki povezujejo izvajalce zdravstvenih storitev po vsej Evropi s ciljem zdravljenja kompleksnih in redkih boleznih, ki zahtevajo visoko specializirano obravnavo ter koncentracijo znanja in virov. Glavni namen evropskih referenčnih mrež je dostop do vrhunskih zdravstvenih storitev ne glede na to, kje v EU biva posameznik. Slovenija ima kot majhna država, v kateri je težko zagotavljati eksperte za vsako posamezno redko bolezen, velik interes vključevanja v evropske referenčne mreže. </w:t>
      </w:r>
    </w:p>
    <w:p w14:paraId="64E6FFD4" w14:textId="77777777" w:rsidR="00FE461F" w:rsidRPr="005E4BEA" w:rsidRDefault="00FE461F" w:rsidP="00FE461F">
      <w:pPr>
        <w:spacing w:line="240" w:lineRule="auto"/>
        <w:contextualSpacing/>
        <w:jc w:val="both"/>
        <w:rPr>
          <w:rFonts w:eastAsiaTheme="minorHAnsi" w:cs="Arial"/>
          <w:i/>
          <w:color w:val="808080" w:themeColor="background1" w:themeShade="80"/>
          <w:szCs w:val="20"/>
        </w:rPr>
      </w:pPr>
    </w:p>
    <w:p w14:paraId="0CF1503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Vozlišče za ERM je namenjeno obravnavi bolnikov in predstavitev le-teh v tistih ERM, v katerih država članica nima ne polnopravnega ne pridruženega izvajalca zdravstvene dejavnosti. Takih ERM je trenutno za Slovenijo sedem. Glavni namen slovenskega vozlišča za evropske referenčne mreže je torej podpora in strokovna in klinična pomoč bolnikom z redkimi boleznimi, ki potrebujejo storitve ERM, v katerih Slovenija nima polnopravnih ali pridruženih članov. Pod strokovno in klinično pomoč sodi zbiranje in priprava dokumentacije o pacientu, zbiranje izvidov vseh do sedaj opravljenih preiskav, posredovanje dokumentacije v sistem ERM, komunikacija in sodelovanje s kliniki v ERM, ki bodo dotičnega pacienta obravnavali, prejem pripravljene ekspertize iz tujine, obrazložitev ekspertize bolniku, usmeritev bolnika v nadaljnje obravnave pri specialistih v Sloveniji, ki jih bo bolnik potreboval. Pomen vozlišča pa je tudi širši, in sicer pri vključevanju slovenskih zdravstvenih institucij v ERM in koordinacija te aktivnosti. </w:t>
      </w:r>
    </w:p>
    <w:p w14:paraId="20A0276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3B145BD5"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Zato predlagamo, da se v okviru UKC Ljubljana ustanovi slovensko vozlišče za ERM (slovenski ERN – HUB) v sestavi enega zdravnika specialista in enega administratorja.</w:t>
      </w:r>
    </w:p>
    <w:p w14:paraId="1713C3D0"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6C4BB656"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na letni ravni znašajo 82.159 eur.</w:t>
      </w:r>
    </w:p>
    <w:p w14:paraId="2F9EEECA"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F3B846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Kljub temu, da smo v slovenski zdravstveni sistem že vpeljali napredne </w:t>
      </w:r>
      <w:proofErr w:type="spellStart"/>
      <w:r w:rsidRPr="005E4BEA">
        <w:rPr>
          <w:rFonts w:eastAsiaTheme="minorHAnsi" w:cs="Arial"/>
          <w:i/>
          <w:color w:val="808080" w:themeColor="background1" w:themeShade="80"/>
          <w:szCs w:val="20"/>
        </w:rPr>
        <w:t>genomske</w:t>
      </w:r>
      <w:proofErr w:type="spellEnd"/>
      <w:r w:rsidRPr="005E4BEA">
        <w:rPr>
          <w:rFonts w:eastAsiaTheme="minorHAnsi" w:cs="Arial"/>
          <w:i/>
          <w:color w:val="808080" w:themeColor="background1" w:themeShade="80"/>
          <w:szCs w:val="20"/>
        </w:rPr>
        <w:t xml:space="preserve"> tehnologije za diagnostiko genetskih bolezni, ostaja del bolnikov z redkimi boleznimi brez diagnoze. Za namen zagotovitve diagnostike vsem osebam z redkimi boleznimi, pri katerih diagnostična obravnava na sekundarnem in terciarnem nivoju ni bila uspešna, je v okviru Univerzitetnega kliničnega centra Ljubljana že ustanovljen nacionalni </w:t>
      </w:r>
      <w:r w:rsidRPr="005E4BEA">
        <w:rPr>
          <w:rFonts w:eastAsiaTheme="minorHAnsi" w:cs="Arial"/>
          <w:b/>
          <w:bCs/>
          <w:i/>
          <w:color w:val="808080" w:themeColor="background1" w:themeShade="80"/>
          <w:szCs w:val="20"/>
        </w:rPr>
        <w:t xml:space="preserve">Center za </w:t>
      </w:r>
      <w:proofErr w:type="spellStart"/>
      <w:r w:rsidRPr="005E4BEA">
        <w:rPr>
          <w:rFonts w:eastAsiaTheme="minorHAnsi" w:cs="Arial"/>
          <w:b/>
          <w:bCs/>
          <w:i/>
          <w:color w:val="808080" w:themeColor="background1" w:themeShade="80"/>
          <w:szCs w:val="20"/>
        </w:rPr>
        <w:t>nediagnosticirane</w:t>
      </w:r>
      <w:proofErr w:type="spellEnd"/>
      <w:r w:rsidRPr="005E4BEA">
        <w:rPr>
          <w:rFonts w:eastAsiaTheme="minorHAnsi" w:cs="Arial"/>
          <w:b/>
          <w:bCs/>
          <w:i/>
          <w:color w:val="808080" w:themeColor="background1" w:themeShade="80"/>
          <w:szCs w:val="20"/>
        </w:rPr>
        <w:t xml:space="preserve"> redke bolezni</w:t>
      </w:r>
      <w:r w:rsidRPr="005E4BEA">
        <w:rPr>
          <w:rFonts w:eastAsiaTheme="minorHAnsi" w:cs="Arial"/>
          <w:i/>
          <w:color w:val="808080" w:themeColor="background1" w:themeShade="80"/>
          <w:szCs w:val="20"/>
        </w:rPr>
        <w:t xml:space="preserve">, ki ima za cilj  združevati strokovno ekspertizo na nivoju slovenskega zdravstvenega sistema in po potrebi sodelovati z evropskimi referenčnimi mrežami in drugimi mednarodnimi ustanovami pri zagotavljanju vrhunske diagnostične medicine, hkrati pa z ostalimi terciarnimi ustanovami in laboratoriji na nacionalni ravni, ki izvajajo genetsko diagnostiko. </w:t>
      </w:r>
    </w:p>
    <w:p w14:paraId="29549A5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DB22445"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Akcijski načrt za 2022 za načrt dela na področju redkih bolezni je predvidel, da Center za </w:t>
      </w:r>
      <w:proofErr w:type="spellStart"/>
      <w:r w:rsidRPr="005E4BEA">
        <w:rPr>
          <w:rFonts w:eastAsiaTheme="minorHAnsi" w:cs="Arial"/>
          <w:i/>
          <w:color w:val="808080" w:themeColor="background1" w:themeShade="80"/>
          <w:szCs w:val="20"/>
        </w:rPr>
        <w:t>nediagnosticirane</w:t>
      </w:r>
      <w:proofErr w:type="spellEnd"/>
      <w:r w:rsidRPr="005E4BEA">
        <w:rPr>
          <w:rFonts w:eastAsiaTheme="minorHAnsi" w:cs="Arial"/>
          <w:i/>
          <w:color w:val="808080" w:themeColor="background1" w:themeShade="80"/>
          <w:szCs w:val="20"/>
        </w:rPr>
        <w:t xml:space="preserve"> redke bolezni v okviru UKC Ljubljana potrebuje: </w:t>
      </w:r>
    </w:p>
    <w:p w14:paraId="2626400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473725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 enega zdravnika (klinični genetik) in </w:t>
      </w:r>
    </w:p>
    <w:p w14:paraId="7BF70C2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 eno diplomirano medicinsko sestro s posebnimi znanji </w:t>
      </w:r>
      <w:proofErr w:type="spellStart"/>
      <w:r w:rsidRPr="005E4BEA">
        <w:rPr>
          <w:rFonts w:eastAsiaTheme="minorHAnsi" w:cs="Arial"/>
          <w:i/>
          <w:color w:val="808080" w:themeColor="background1" w:themeShade="80"/>
          <w:szCs w:val="20"/>
        </w:rPr>
        <w:t>Genomski</w:t>
      </w:r>
      <w:proofErr w:type="spellEnd"/>
      <w:r w:rsidRPr="005E4BEA">
        <w:rPr>
          <w:rFonts w:eastAsiaTheme="minorHAnsi" w:cs="Arial"/>
          <w:i/>
          <w:color w:val="808080" w:themeColor="background1" w:themeShade="80"/>
          <w:szCs w:val="20"/>
        </w:rPr>
        <w:t xml:space="preserve"> svetovalec.</w:t>
      </w:r>
    </w:p>
    <w:p w14:paraId="4F9976F3"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D753932"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lastRenderedPageBreak/>
        <w:t>Finančne posledice na letni ravni znašajo 92.188 eur.</w:t>
      </w:r>
    </w:p>
    <w:p w14:paraId="252002B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815E2C0" w14:textId="77777777" w:rsidR="00FE461F" w:rsidRPr="005E4BEA" w:rsidRDefault="00FE461F" w:rsidP="00FE461F">
      <w:pPr>
        <w:spacing w:line="240" w:lineRule="auto"/>
        <w:jc w:val="both"/>
        <w:rPr>
          <w:rFonts w:eastAsia="MS Mincho" w:cs="Arial"/>
          <w:b/>
          <w:bCs/>
          <w:szCs w:val="20"/>
        </w:rPr>
      </w:pPr>
    </w:p>
    <w:p w14:paraId="5AA8D4A3" w14:textId="77777777" w:rsidR="00FE461F" w:rsidRPr="005E4BEA" w:rsidRDefault="00FE461F" w:rsidP="00FE461F">
      <w:pPr>
        <w:spacing w:line="240" w:lineRule="auto"/>
        <w:jc w:val="both"/>
        <w:rPr>
          <w:rFonts w:eastAsia="MS Mincho" w:cs="Arial"/>
          <w:b/>
          <w:bCs/>
          <w:szCs w:val="20"/>
        </w:rPr>
      </w:pPr>
      <w:r w:rsidRPr="005E4BEA">
        <w:rPr>
          <w:rFonts w:eastAsia="MS Mincho" w:cs="Arial"/>
          <w:b/>
          <w:bCs/>
          <w:szCs w:val="20"/>
        </w:rPr>
        <w:t>V Prilogi BOL-3 se v Tabeli 1 pod razdelek Univerzitetni klinični center Ljubljana doda nov razdelek Univerzitetni klinični center Ljubljana – Pediatrična klinika in znotraj njega nova  alineja, ki se glasi:</w:t>
      </w:r>
    </w:p>
    <w:p w14:paraId="19F258D8"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 xml:space="preserve">» IVZ… Register redkih </w:t>
      </w:r>
      <w:proofErr w:type="spellStart"/>
      <w:r w:rsidRPr="005E4BEA">
        <w:rPr>
          <w:rFonts w:eastAsia="MS Mincho" w:cs="Arial"/>
          <w:szCs w:val="20"/>
        </w:rPr>
        <w:t>nemalignih</w:t>
      </w:r>
      <w:proofErr w:type="spellEnd"/>
      <w:r w:rsidRPr="005E4BEA">
        <w:rPr>
          <w:rFonts w:eastAsia="MS Mincho" w:cs="Arial"/>
          <w:szCs w:val="20"/>
        </w:rPr>
        <w:t xml:space="preserve"> bolezni »</w:t>
      </w:r>
    </w:p>
    <w:p w14:paraId="014711F7" w14:textId="77777777" w:rsidR="00FE461F" w:rsidRPr="005E4BEA" w:rsidRDefault="00FE461F" w:rsidP="00FE461F">
      <w:pPr>
        <w:spacing w:line="240" w:lineRule="auto"/>
        <w:jc w:val="both"/>
        <w:rPr>
          <w:rFonts w:eastAsia="MS Mincho" w:cs="Arial"/>
          <w:szCs w:val="20"/>
        </w:rPr>
      </w:pPr>
    </w:p>
    <w:p w14:paraId="1E88ECC0"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 xml:space="preserve">in </w:t>
      </w:r>
    </w:p>
    <w:p w14:paraId="05EF4830" w14:textId="77777777" w:rsidR="00FE461F" w:rsidRPr="005E4BEA" w:rsidRDefault="00FE461F" w:rsidP="00FE461F">
      <w:pPr>
        <w:spacing w:line="240" w:lineRule="auto"/>
        <w:jc w:val="both"/>
        <w:rPr>
          <w:rFonts w:eastAsia="MS Mincho" w:cs="Arial"/>
          <w:szCs w:val="20"/>
        </w:rPr>
      </w:pPr>
    </w:p>
    <w:p w14:paraId="47B10E86"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 xml:space="preserve">V Prilogi BOL-3 se v poglavju Sredstva za terciar v Tabeli 2 v delu, ki se nanaša na Univerzitetni klinični center Ljubljana, znesek »18.143« spremeni v »18.323«. </w:t>
      </w:r>
    </w:p>
    <w:p w14:paraId="6E870BE6"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DE05736"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w:t>
      </w:r>
    </w:p>
    <w:p w14:paraId="327E98B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Skladno z Načrtom dela na področju redkih bolezni v RS  obdobju 2021-2030 je potrebno zagotoviti standardizirane, dostopne in </w:t>
      </w:r>
      <w:proofErr w:type="spellStart"/>
      <w:r w:rsidRPr="005E4BEA">
        <w:rPr>
          <w:rFonts w:eastAsiaTheme="minorHAnsi" w:cs="Arial"/>
          <w:i/>
          <w:color w:val="808080" w:themeColor="background1" w:themeShade="80"/>
          <w:szCs w:val="20"/>
        </w:rPr>
        <w:t>interoperabilne</w:t>
      </w:r>
      <w:proofErr w:type="spellEnd"/>
      <w:r w:rsidRPr="005E4BEA">
        <w:rPr>
          <w:rFonts w:eastAsiaTheme="minorHAnsi" w:cs="Arial"/>
          <w:i/>
          <w:color w:val="808080" w:themeColor="background1" w:themeShade="80"/>
          <w:szCs w:val="20"/>
        </w:rPr>
        <w:t xml:space="preserve"> podatkovne vire (FAIR princip), združene v nacionalno podatkovno bazo, ki bodo omogočali zdravstvenim delavcem celovit pregled nad evolucijo bolezni posameznika, epidemiologijo posamezne in celotne skupine redkih bolezni v Sloveniji, nacionalno (druge podatkovne baze, bolnišnični informacijski sistemi) in mednarodno izmenjavo podatkov, strokovno spremljanje poti obravnave bolnikov z RB, razvojno in raziskovalno delo vključno z aplikacijo pristopov umetne inteligence (AI) na področju redkih bolezni, bolnikom motivacijo in podatke za aktivno vključevanje v spoprijemanje z boleznijo in  vključevanje v nacionalne in mednarodne klinične raziskave in deljenje izkušenj z drugimi bolniki, ZZZS pregled nad finančnimi kazalniki in njihovo optimizacijo, snovalcem zdravstvenih politik pa pregled nad področjem, ki bo omogočal optimalni razvoj novih politik in ukrepov. Aktivnost vključuje vzpostavitev registra za redke </w:t>
      </w:r>
      <w:proofErr w:type="spellStart"/>
      <w:r w:rsidRPr="005E4BEA">
        <w:rPr>
          <w:rFonts w:eastAsiaTheme="minorHAnsi" w:cs="Arial"/>
          <w:i/>
          <w:color w:val="808080" w:themeColor="background1" w:themeShade="80"/>
          <w:szCs w:val="20"/>
        </w:rPr>
        <w:t>nemaligne</w:t>
      </w:r>
      <w:proofErr w:type="spellEnd"/>
      <w:r w:rsidRPr="005E4BEA">
        <w:rPr>
          <w:rFonts w:eastAsiaTheme="minorHAnsi" w:cs="Arial"/>
          <w:i/>
          <w:color w:val="808080" w:themeColor="background1" w:themeShade="80"/>
          <w:szCs w:val="20"/>
        </w:rPr>
        <w:t xml:space="preserve"> bolezni in integracijo v nacionalno bazo za RB. </w:t>
      </w:r>
    </w:p>
    <w:p w14:paraId="3DB6A0F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24A0BC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Kot upravljalec registra je določen UKC Ljubljana- PEK, v okviru katerega je za vodenje registra predvidena zaposlitev 1,5 zdravnika specialista, dveh strokovnih sodelavcev in enega administrativno tehničnega delavca. Sredstva se zagotavljajo v okviru sredstev za Terciar I. </w:t>
      </w:r>
    </w:p>
    <w:p w14:paraId="0DB3C324"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45205BC" w14:textId="201B749D"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na letni ravni znašajo 179.630  eur.</w:t>
      </w:r>
    </w:p>
    <w:p w14:paraId="585571C4" w14:textId="60FA5806" w:rsidR="00731EB1" w:rsidRPr="005E4BEA" w:rsidRDefault="00731EB1" w:rsidP="00FE461F">
      <w:pPr>
        <w:spacing w:line="240" w:lineRule="auto"/>
        <w:jc w:val="both"/>
        <w:rPr>
          <w:rFonts w:eastAsiaTheme="minorHAnsi" w:cs="Arial"/>
          <w:b/>
          <w:bCs/>
          <w:i/>
          <w:color w:val="808080" w:themeColor="background1" w:themeShade="80"/>
          <w:szCs w:val="20"/>
        </w:rPr>
      </w:pPr>
    </w:p>
    <w:p w14:paraId="1A617AD6" w14:textId="77777777" w:rsidR="00731EB1" w:rsidRPr="005E4BEA" w:rsidRDefault="00731EB1" w:rsidP="00731EB1">
      <w:pPr>
        <w:autoSpaceDE w:val="0"/>
        <w:autoSpaceDN w:val="0"/>
        <w:adjustRightInd w:val="0"/>
        <w:spacing w:line="240" w:lineRule="auto"/>
        <w:jc w:val="both"/>
        <w:rPr>
          <w:rFonts w:eastAsiaTheme="minorHAnsi" w:cs="Arial"/>
          <w:b/>
          <w:bCs/>
          <w:i/>
          <w:color w:val="7F7F7F" w:themeColor="text1" w:themeTint="80"/>
          <w:szCs w:val="20"/>
        </w:rPr>
      </w:pPr>
    </w:p>
    <w:p w14:paraId="7CCFAF68" w14:textId="3F1BE7E6" w:rsidR="00CC2D9A" w:rsidRPr="005E4BEA" w:rsidRDefault="00731EB1" w:rsidP="00731EB1">
      <w:pPr>
        <w:spacing w:after="160" w:line="259" w:lineRule="auto"/>
        <w:jc w:val="both"/>
        <w:rPr>
          <w:rFonts w:eastAsia="MS Mincho"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 v modificirani obliki, in sicer </w:t>
      </w:r>
      <w:bookmarkStart w:id="75" w:name="_Hlk102558953"/>
      <w:r w:rsidRPr="005E4BEA">
        <w:rPr>
          <w:rFonts w:eastAsia="Arial Narrow" w:cs="Arial"/>
          <w:szCs w:val="20"/>
        </w:rPr>
        <w:t xml:space="preserve">se </w:t>
      </w:r>
      <w:r w:rsidRPr="005E4BEA">
        <w:rPr>
          <w:rFonts w:cs="Arial"/>
          <w:szCs w:val="20"/>
        </w:rPr>
        <w:t xml:space="preserve">v </w:t>
      </w:r>
      <w:r w:rsidRPr="005E4BEA">
        <w:rPr>
          <w:rFonts w:eastAsia="MS Mincho" w:cs="Arial"/>
          <w:szCs w:val="20"/>
        </w:rPr>
        <w:t>24. členu v šestem odstavku v tabeli dodajo nove vrstice:</w:t>
      </w:r>
    </w:p>
    <w:tbl>
      <w:tblPr>
        <w:tblW w:w="9260" w:type="dxa"/>
        <w:tblCellMar>
          <w:left w:w="70" w:type="dxa"/>
          <w:right w:w="70" w:type="dxa"/>
        </w:tblCellMar>
        <w:tblLook w:val="04A0" w:firstRow="1" w:lastRow="0" w:firstColumn="1" w:lastColumn="0" w:noHBand="0" w:noVBand="1"/>
      </w:tblPr>
      <w:tblGrid>
        <w:gridCol w:w="1310"/>
        <w:gridCol w:w="2702"/>
        <w:gridCol w:w="1455"/>
        <w:gridCol w:w="1132"/>
        <w:gridCol w:w="1400"/>
        <w:gridCol w:w="1115"/>
        <w:gridCol w:w="146"/>
      </w:tblGrid>
      <w:tr w:rsidR="001D0816" w:rsidRPr="001D0816" w14:paraId="1208CD94" w14:textId="77777777" w:rsidTr="001D0816">
        <w:trPr>
          <w:gridAfter w:val="1"/>
          <w:wAfter w:w="16" w:type="dxa"/>
          <w:trHeight w:val="315"/>
        </w:trPr>
        <w:tc>
          <w:tcPr>
            <w:tcW w:w="1355" w:type="dxa"/>
            <w:tcBorders>
              <w:top w:val="single" w:sz="8" w:space="0" w:color="000000"/>
              <w:left w:val="single" w:sz="8" w:space="0" w:color="000000"/>
              <w:bottom w:val="nil"/>
              <w:right w:val="single" w:sz="8" w:space="0" w:color="000000"/>
            </w:tcBorders>
            <w:shd w:val="clear" w:color="auto" w:fill="auto"/>
            <w:vAlign w:val="center"/>
            <w:hideMark/>
          </w:tcPr>
          <w:p w14:paraId="0685B8C5" w14:textId="77777777" w:rsidR="001D0816" w:rsidRPr="001D0816" w:rsidRDefault="001D0816" w:rsidP="001D0816">
            <w:pPr>
              <w:spacing w:line="240" w:lineRule="auto"/>
              <w:jc w:val="both"/>
              <w:rPr>
                <w:rFonts w:cs="Arial"/>
                <w:color w:val="000000"/>
                <w:szCs w:val="20"/>
                <w:lang w:eastAsia="sl-SI"/>
              </w:rPr>
            </w:pPr>
            <w:bookmarkStart w:id="76" w:name="_Hlk103062394"/>
            <w:r w:rsidRPr="001D0816">
              <w:rPr>
                <w:rFonts w:cs="Arial"/>
                <w:color w:val="000000"/>
                <w:szCs w:val="20"/>
                <w:lang w:eastAsia="sl-SI"/>
              </w:rPr>
              <w:t> </w:t>
            </w: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0E08B9"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P   r   o   g   r   a   m</w:t>
            </w:r>
          </w:p>
        </w:tc>
        <w:tc>
          <w:tcPr>
            <w:tcW w:w="1477" w:type="dxa"/>
            <w:tcBorders>
              <w:top w:val="single" w:sz="8" w:space="0" w:color="000000"/>
              <w:left w:val="nil"/>
              <w:bottom w:val="single" w:sz="8" w:space="0" w:color="000000"/>
              <w:right w:val="single" w:sz="8" w:space="0" w:color="000000"/>
            </w:tcBorders>
            <w:shd w:val="clear" w:color="auto" w:fill="auto"/>
            <w:vAlign w:val="center"/>
            <w:hideMark/>
          </w:tcPr>
          <w:p w14:paraId="5C719306"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I z v a j a l e c /</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2223A7"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Obseg programa</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14:paraId="14BE6250" w14:textId="77777777" w:rsidR="001D0816" w:rsidRPr="001D0816" w:rsidRDefault="001D0816" w:rsidP="001D0816">
            <w:pPr>
              <w:spacing w:line="240" w:lineRule="auto"/>
              <w:jc w:val="both"/>
              <w:rPr>
                <w:rFonts w:cs="Arial"/>
                <w:color w:val="000000"/>
                <w:szCs w:val="20"/>
                <w:lang w:eastAsia="sl-SI"/>
              </w:rPr>
            </w:pPr>
            <w:proofErr w:type="spellStart"/>
            <w:r w:rsidRPr="001D0816">
              <w:rPr>
                <w:rFonts w:cs="Arial"/>
                <w:color w:val="000000"/>
                <w:szCs w:val="20"/>
                <w:lang w:eastAsia="sl-SI"/>
              </w:rPr>
              <w:t>Dod</w:t>
            </w:r>
            <w:proofErr w:type="spellEnd"/>
            <w:r w:rsidRPr="001D0816">
              <w:rPr>
                <w:rFonts w:cs="Arial"/>
                <w:color w:val="000000"/>
                <w:szCs w:val="20"/>
                <w:lang w:eastAsia="sl-SI"/>
              </w:rPr>
              <w:t>. sred.</w:t>
            </w:r>
          </w:p>
        </w:tc>
        <w:tc>
          <w:tcPr>
            <w:tcW w:w="1119" w:type="dxa"/>
            <w:tcBorders>
              <w:top w:val="single" w:sz="8" w:space="0" w:color="000000"/>
              <w:left w:val="nil"/>
              <w:bottom w:val="single" w:sz="8" w:space="0" w:color="000000"/>
              <w:right w:val="single" w:sz="8" w:space="0" w:color="000000"/>
            </w:tcBorders>
            <w:shd w:val="clear" w:color="auto" w:fill="auto"/>
            <w:vAlign w:val="center"/>
            <w:hideMark/>
          </w:tcPr>
          <w:p w14:paraId="66CE43B8" w14:textId="77777777" w:rsidR="001D0816" w:rsidRPr="001D0816" w:rsidRDefault="001D0816" w:rsidP="001D0816">
            <w:pPr>
              <w:spacing w:line="240" w:lineRule="auto"/>
              <w:jc w:val="both"/>
              <w:rPr>
                <w:rFonts w:cs="Arial"/>
                <w:color w:val="000000"/>
                <w:szCs w:val="20"/>
                <w:lang w:eastAsia="sl-SI"/>
              </w:rPr>
            </w:pPr>
            <w:proofErr w:type="spellStart"/>
            <w:r w:rsidRPr="001D0816">
              <w:rPr>
                <w:rFonts w:cs="Arial"/>
                <w:color w:val="000000"/>
                <w:szCs w:val="20"/>
                <w:lang w:eastAsia="sl-SI"/>
              </w:rPr>
              <w:t>Dod</w:t>
            </w:r>
            <w:proofErr w:type="spellEnd"/>
            <w:r w:rsidRPr="001D0816">
              <w:rPr>
                <w:rFonts w:cs="Arial"/>
                <w:color w:val="000000"/>
                <w:szCs w:val="20"/>
                <w:lang w:eastAsia="sl-SI"/>
              </w:rPr>
              <w:t>. sred.</w:t>
            </w:r>
          </w:p>
        </w:tc>
      </w:tr>
      <w:tr w:rsidR="001D0816" w:rsidRPr="001D0816" w14:paraId="2241487C" w14:textId="77777777" w:rsidTr="001D0816">
        <w:trPr>
          <w:gridAfter w:val="1"/>
          <w:wAfter w:w="16" w:type="dxa"/>
          <w:trHeight w:val="525"/>
        </w:trPr>
        <w:tc>
          <w:tcPr>
            <w:tcW w:w="1355" w:type="dxa"/>
            <w:tcBorders>
              <w:top w:val="nil"/>
              <w:left w:val="single" w:sz="8" w:space="0" w:color="000000"/>
              <w:bottom w:val="nil"/>
              <w:right w:val="single" w:sz="8" w:space="0" w:color="000000"/>
            </w:tcBorders>
            <w:shd w:val="clear" w:color="auto" w:fill="auto"/>
            <w:vAlign w:val="center"/>
            <w:hideMark/>
          </w:tcPr>
          <w:p w14:paraId="76C3512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3E0DFDD8" w14:textId="77777777" w:rsidR="001D0816" w:rsidRPr="001D0816" w:rsidRDefault="001D0816" w:rsidP="001D0816">
            <w:pPr>
              <w:spacing w:line="240" w:lineRule="auto"/>
              <w:rPr>
                <w:rFonts w:cs="Arial"/>
                <w:color w:val="000000"/>
                <w:szCs w:val="20"/>
                <w:lang w:eastAsia="sl-SI"/>
              </w:rPr>
            </w:pPr>
          </w:p>
        </w:tc>
        <w:tc>
          <w:tcPr>
            <w:tcW w:w="1477" w:type="dxa"/>
            <w:tcBorders>
              <w:top w:val="nil"/>
              <w:left w:val="nil"/>
              <w:bottom w:val="single" w:sz="8" w:space="0" w:color="000000"/>
              <w:right w:val="single" w:sz="8" w:space="0" w:color="000000"/>
            </w:tcBorders>
            <w:shd w:val="clear" w:color="auto" w:fill="auto"/>
            <w:vAlign w:val="center"/>
            <w:hideMark/>
          </w:tcPr>
          <w:p w14:paraId="39D020D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i z p o s t a v a</w:t>
            </w:r>
          </w:p>
        </w:tc>
        <w:tc>
          <w:tcPr>
            <w:tcW w:w="1139" w:type="dxa"/>
            <w:vMerge/>
            <w:tcBorders>
              <w:top w:val="single" w:sz="8" w:space="0" w:color="000000"/>
              <w:left w:val="single" w:sz="8" w:space="0" w:color="000000"/>
              <w:bottom w:val="single" w:sz="8" w:space="0" w:color="000000"/>
              <w:right w:val="single" w:sz="8" w:space="0" w:color="000000"/>
            </w:tcBorders>
            <w:vAlign w:val="center"/>
            <w:hideMark/>
          </w:tcPr>
          <w:p w14:paraId="00896627" w14:textId="77777777" w:rsidR="001D0816" w:rsidRPr="001D0816" w:rsidRDefault="001D0816" w:rsidP="001D0816">
            <w:pPr>
              <w:spacing w:line="240" w:lineRule="auto"/>
              <w:rPr>
                <w:rFonts w:cs="Arial"/>
                <w:color w:val="000000"/>
                <w:szCs w:val="20"/>
                <w:lang w:eastAsia="sl-SI"/>
              </w:rPr>
            </w:pPr>
          </w:p>
        </w:tc>
        <w:tc>
          <w:tcPr>
            <w:tcW w:w="1418" w:type="dxa"/>
            <w:tcBorders>
              <w:top w:val="nil"/>
              <w:left w:val="nil"/>
              <w:bottom w:val="single" w:sz="8" w:space="0" w:color="000000"/>
              <w:right w:val="single" w:sz="8" w:space="0" w:color="000000"/>
            </w:tcBorders>
            <w:shd w:val="clear" w:color="auto" w:fill="auto"/>
            <w:vAlign w:val="center"/>
            <w:hideMark/>
          </w:tcPr>
          <w:p w14:paraId="32208B8F"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na letni ravni</w:t>
            </w:r>
          </w:p>
        </w:tc>
        <w:tc>
          <w:tcPr>
            <w:tcW w:w="1119" w:type="dxa"/>
            <w:tcBorders>
              <w:top w:val="nil"/>
              <w:left w:val="nil"/>
              <w:bottom w:val="single" w:sz="8" w:space="0" w:color="000000"/>
              <w:right w:val="single" w:sz="8" w:space="0" w:color="000000"/>
            </w:tcBorders>
            <w:shd w:val="clear" w:color="auto" w:fill="auto"/>
            <w:vAlign w:val="center"/>
            <w:hideMark/>
          </w:tcPr>
          <w:p w14:paraId="2596B8EE" w14:textId="71D8E563"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w:t>
            </w:r>
            <w:r w:rsidRPr="005E4BEA">
              <w:rPr>
                <w:rFonts w:cs="Arial"/>
                <w:color w:val="000000"/>
                <w:szCs w:val="20"/>
                <w:lang w:eastAsia="sl-SI"/>
              </w:rPr>
              <w:t>9</w:t>
            </w:r>
            <w:r w:rsidRPr="001D0816">
              <w:rPr>
                <w:rFonts w:cs="Arial"/>
                <w:color w:val="000000"/>
                <w:szCs w:val="20"/>
                <w:lang w:eastAsia="sl-SI"/>
              </w:rPr>
              <w:t>.–31.12. 2022</w:t>
            </w:r>
          </w:p>
        </w:tc>
      </w:tr>
      <w:tr w:rsidR="001D0816" w:rsidRPr="001D0816" w14:paraId="0C852465" w14:textId="77777777" w:rsidTr="001D0816">
        <w:trPr>
          <w:gridAfter w:val="1"/>
          <w:wAfter w:w="16" w:type="dxa"/>
          <w:trHeight w:val="31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3D8679DA"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6AFD7640" w14:textId="77777777" w:rsidR="001D0816" w:rsidRPr="001D0816" w:rsidRDefault="001D0816" w:rsidP="001D0816">
            <w:pPr>
              <w:spacing w:line="240" w:lineRule="auto"/>
              <w:rPr>
                <w:rFonts w:cs="Arial"/>
                <w:color w:val="000000"/>
                <w:szCs w:val="20"/>
                <w:lang w:eastAsia="sl-SI"/>
              </w:rPr>
            </w:pPr>
          </w:p>
        </w:tc>
        <w:tc>
          <w:tcPr>
            <w:tcW w:w="1477" w:type="dxa"/>
            <w:tcBorders>
              <w:top w:val="nil"/>
              <w:left w:val="nil"/>
              <w:bottom w:val="single" w:sz="8" w:space="0" w:color="000000"/>
              <w:right w:val="single" w:sz="8" w:space="0" w:color="000000"/>
            </w:tcBorders>
            <w:shd w:val="clear" w:color="auto" w:fill="auto"/>
            <w:vAlign w:val="center"/>
            <w:hideMark/>
          </w:tcPr>
          <w:p w14:paraId="18AE5383"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 </w:t>
            </w:r>
          </w:p>
        </w:tc>
        <w:tc>
          <w:tcPr>
            <w:tcW w:w="1139" w:type="dxa"/>
            <w:vMerge/>
            <w:tcBorders>
              <w:top w:val="single" w:sz="8" w:space="0" w:color="000000"/>
              <w:left w:val="single" w:sz="8" w:space="0" w:color="000000"/>
              <w:bottom w:val="single" w:sz="8" w:space="0" w:color="000000"/>
              <w:right w:val="single" w:sz="8" w:space="0" w:color="000000"/>
            </w:tcBorders>
            <w:vAlign w:val="center"/>
            <w:hideMark/>
          </w:tcPr>
          <w:p w14:paraId="72C68F8B" w14:textId="77777777" w:rsidR="001D0816" w:rsidRPr="001D0816" w:rsidRDefault="001D0816" w:rsidP="001D0816">
            <w:pPr>
              <w:spacing w:line="240" w:lineRule="auto"/>
              <w:rPr>
                <w:rFonts w:cs="Arial"/>
                <w:color w:val="000000"/>
                <w:szCs w:val="20"/>
                <w:lang w:eastAsia="sl-SI"/>
              </w:rPr>
            </w:pPr>
          </w:p>
        </w:tc>
        <w:tc>
          <w:tcPr>
            <w:tcW w:w="1418" w:type="dxa"/>
            <w:tcBorders>
              <w:top w:val="nil"/>
              <w:left w:val="nil"/>
              <w:bottom w:val="single" w:sz="8" w:space="0" w:color="000000"/>
              <w:right w:val="single" w:sz="8" w:space="0" w:color="000000"/>
            </w:tcBorders>
            <w:shd w:val="clear" w:color="auto" w:fill="auto"/>
            <w:vAlign w:val="center"/>
            <w:hideMark/>
          </w:tcPr>
          <w:p w14:paraId="467DC839"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(v EUR)</w:t>
            </w:r>
          </w:p>
        </w:tc>
        <w:tc>
          <w:tcPr>
            <w:tcW w:w="1119" w:type="dxa"/>
            <w:tcBorders>
              <w:top w:val="nil"/>
              <w:left w:val="nil"/>
              <w:bottom w:val="single" w:sz="8" w:space="0" w:color="000000"/>
              <w:right w:val="single" w:sz="8" w:space="0" w:color="000000"/>
            </w:tcBorders>
            <w:shd w:val="clear" w:color="auto" w:fill="auto"/>
            <w:vAlign w:val="center"/>
            <w:hideMark/>
          </w:tcPr>
          <w:p w14:paraId="62770EF1"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(v EUR)</w:t>
            </w:r>
          </w:p>
        </w:tc>
      </w:tr>
      <w:tr w:rsidR="001D0816" w:rsidRPr="001D0816" w14:paraId="29C88201" w14:textId="77777777" w:rsidTr="001D0816">
        <w:trPr>
          <w:gridAfter w:val="1"/>
          <w:wAfter w:w="16" w:type="dxa"/>
          <w:trHeight w:val="154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6AD1FF4B"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w:t>
            </w:r>
          </w:p>
        </w:tc>
        <w:tc>
          <w:tcPr>
            <w:tcW w:w="2736" w:type="dxa"/>
            <w:tcBorders>
              <w:top w:val="nil"/>
              <w:left w:val="nil"/>
              <w:bottom w:val="single" w:sz="8" w:space="0" w:color="000000"/>
              <w:right w:val="single" w:sz="8" w:space="0" w:color="000000"/>
            </w:tcBorders>
            <w:shd w:val="clear" w:color="auto" w:fill="auto"/>
            <w:vAlign w:val="center"/>
            <w:hideMark/>
          </w:tcPr>
          <w:p w14:paraId="153BE0D3"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Genetsko presejalno odkrivanje in celostna obravnava otrok in mladostnikov z družinsko </w:t>
            </w:r>
            <w:proofErr w:type="spellStart"/>
            <w:r w:rsidRPr="001D0816">
              <w:rPr>
                <w:rFonts w:cs="Arial"/>
                <w:color w:val="000000"/>
                <w:szCs w:val="20"/>
                <w:lang w:eastAsia="sl-SI"/>
              </w:rPr>
              <w:t>hiperholesterolemijo</w:t>
            </w:r>
            <w:proofErr w:type="spellEnd"/>
            <w:r w:rsidRPr="001D0816">
              <w:rPr>
                <w:rFonts w:cs="Arial"/>
                <w:color w:val="000000"/>
                <w:szCs w:val="20"/>
                <w:lang w:eastAsia="sl-SI"/>
              </w:rPr>
              <w:t>*</w:t>
            </w:r>
          </w:p>
        </w:tc>
        <w:tc>
          <w:tcPr>
            <w:tcW w:w="1477" w:type="dxa"/>
            <w:tcBorders>
              <w:top w:val="nil"/>
              <w:left w:val="nil"/>
              <w:bottom w:val="single" w:sz="8" w:space="0" w:color="000000"/>
              <w:right w:val="single" w:sz="8" w:space="0" w:color="000000"/>
            </w:tcBorders>
            <w:shd w:val="clear" w:color="auto" w:fill="auto"/>
            <w:vAlign w:val="center"/>
            <w:hideMark/>
          </w:tcPr>
          <w:p w14:paraId="352CCCCE"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UKC </w:t>
            </w:r>
            <w:proofErr w:type="spellStart"/>
            <w:r w:rsidRPr="001D0816">
              <w:rPr>
                <w:rFonts w:cs="Arial"/>
                <w:color w:val="000000"/>
                <w:szCs w:val="20"/>
                <w:lang w:eastAsia="sl-SI"/>
              </w:rPr>
              <w:t>Lubljana</w:t>
            </w:r>
            <w:proofErr w:type="spellEnd"/>
            <w:r w:rsidRPr="001D0816">
              <w:rPr>
                <w:rFonts w:cs="Arial"/>
                <w:color w:val="000000"/>
                <w:szCs w:val="20"/>
                <w:lang w:eastAsia="sl-SI"/>
              </w:rPr>
              <w:t xml:space="preserve"> / PEK Ljubljana</w:t>
            </w:r>
          </w:p>
        </w:tc>
        <w:tc>
          <w:tcPr>
            <w:tcW w:w="1139" w:type="dxa"/>
            <w:tcBorders>
              <w:top w:val="nil"/>
              <w:left w:val="nil"/>
              <w:bottom w:val="single" w:sz="8" w:space="0" w:color="000000"/>
              <w:right w:val="single" w:sz="8" w:space="0" w:color="000000"/>
            </w:tcBorders>
            <w:shd w:val="clear" w:color="auto" w:fill="auto"/>
            <w:vAlign w:val="center"/>
            <w:hideMark/>
          </w:tcPr>
          <w:p w14:paraId="12B9BFA0"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7AF906DB"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299.250</w:t>
            </w:r>
          </w:p>
        </w:tc>
        <w:tc>
          <w:tcPr>
            <w:tcW w:w="1119" w:type="dxa"/>
            <w:tcBorders>
              <w:top w:val="nil"/>
              <w:left w:val="nil"/>
              <w:bottom w:val="single" w:sz="8" w:space="0" w:color="000000"/>
              <w:right w:val="single" w:sz="8" w:space="0" w:color="000000"/>
            </w:tcBorders>
            <w:shd w:val="clear" w:color="auto" w:fill="auto"/>
            <w:vAlign w:val="center"/>
            <w:hideMark/>
          </w:tcPr>
          <w:p w14:paraId="3E89066E"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99.750</w:t>
            </w:r>
          </w:p>
        </w:tc>
      </w:tr>
      <w:tr w:rsidR="001D0816" w:rsidRPr="001D0816" w14:paraId="5A170A11" w14:textId="77777777" w:rsidTr="001D0816">
        <w:trPr>
          <w:gridAfter w:val="1"/>
          <w:wAfter w:w="16" w:type="dxa"/>
          <w:trHeight w:val="78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0C302440"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2</w:t>
            </w:r>
          </w:p>
        </w:tc>
        <w:tc>
          <w:tcPr>
            <w:tcW w:w="2736" w:type="dxa"/>
            <w:tcBorders>
              <w:top w:val="nil"/>
              <w:left w:val="nil"/>
              <w:bottom w:val="single" w:sz="8" w:space="0" w:color="000000"/>
              <w:right w:val="single" w:sz="8" w:space="0" w:color="000000"/>
            </w:tcBorders>
            <w:shd w:val="clear" w:color="auto" w:fill="auto"/>
            <w:vAlign w:val="center"/>
            <w:hideMark/>
          </w:tcPr>
          <w:p w14:paraId="2DEB7475" w14:textId="77777777" w:rsidR="001D0816" w:rsidRPr="001D0816" w:rsidRDefault="001D0816" w:rsidP="001D0816">
            <w:pPr>
              <w:spacing w:line="240" w:lineRule="auto"/>
              <w:jc w:val="both"/>
              <w:rPr>
                <w:rFonts w:cs="Arial"/>
                <w:color w:val="000000"/>
                <w:szCs w:val="20"/>
                <w:lang w:eastAsia="sl-SI"/>
              </w:rPr>
            </w:pPr>
            <w:proofErr w:type="spellStart"/>
            <w:r w:rsidRPr="001D0816">
              <w:rPr>
                <w:rFonts w:cs="Arial"/>
                <w:color w:val="000000"/>
                <w:szCs w:val="20"/>
                <w:lang w:eastAsia="sl-SI"/>
              </w:rPr>
              <w:t>Eozinofilne</w:t>
            </w:r>
            <w:proofErr w:type="spellEnd"/>
            <w:r w:rsidRPr="001D0816">
              <w:rPr>
                <w:rFonts w:cs="Arial"/>
                <w:color w:val="000000"/>
                <w:szCs w:val="20"/>
                <w:lang w:eastAsia="sl-SI"/>
              </w:rPr>
              <w:t xml:space="preserve"> bolezni prebavil: Diagnostika in zdravljenje pri otrocih in mladostnikih*</w:t>
            </w:r>
          </w:p>
        </w:tc>
        <w:tc>
          <w:tcPr>
            <w:tcW w:w="1477" w:type="dxa"/>
            <w:tcBorders>
              <w:top w:val="nil"/>
              <w:left w:val="nil"/>
              <w:bottom w:val="single" w:sz="8" w:space="0" w:color="000000"/>
              <w:right w:val="single" w:sz="8" w:space="0" w:color="000000"/>
            </w:tcBorders>
            <w:shd w:val="clear" w:color="auto" w:fill="auto"/>
            <w:vAlign w:val="center"/>
            <w:hideMark/>
          </w:tcPr>
          <w:p w14:paraId="3CDF71B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UKC </w:t>
            </w:r>
            <w:proofErr w:type="spellStart"/>
            <w:r w:rsidRPr="001D0816">
              <w:rPr>
                <w:rFonts w:cs="Arial"/>
                <w:color w:val="000000"/>
                <w:szCs w:val="20"/>
                <w:lang w:eastAsia="sl-SI"/>
              </w:rPr>
              <w:t>Lubljana</w:t>
            </w:r>
            <w:proofErr w:type="spellEnd"/>
            <w:r w:rsidRPr="001D0816">
              <w:rPr>
                <w:rFonts w:cs="Arial"/>
                <w:color w:val="000000"/>
                <w:szCs w:val="20"/>
                <w:lang w:eastAsia="sl-SI"/>
              </w:rPr>
              <w:t xml:space="preserve"> / PEK Ljubljana</w:t>
            </w:r>
          </w:p>
        </w:tc>
        <w:tc>
          <w:tcPr>
            <w:tcW w:w="1139" w:type="dxa"/>
            <w:tcBorders>
              <w:top w:val="nil"/>
              <w:left w:val="nil"/>
              <w:bottom w:val="single" w:sz="8" w:space="0" w:color="000000"/>
              <w:right w:val="single" w:sz="8" w:space="0" w:color="000000"/>
            </w:tcBorders>
            <w:shd w:val="clear" w:color="auto" w:fill="auto"/>
            <w:vAlign w:val="center"/>
            <w:hideMark/>
          </w:tcPr>
          <w:p w14:paraId="631B3334"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2588400A"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209.447</w:t>
            </w:r>
          </w:p>
        </w:tc>
        <w:tc>
          <w:tcPr>
            <w:tcW w:w="1119" w:type="dxa"/>
            <w:tcBorders>
              <w:top w:val="nil"/>
              <w:left w:val="nil"/>
              <w:bottom w:val="single" w:sz="8" w:space="0" w:color="000000"/>
              <w:right w:val="single" w:sz="8" w:space="0" w:color="000000"/>
            </w:tcBorders>
            <w:shd w:val="clear" w:color="auto" w:fill="auto"/>
            <w:vAlign w:val="center"/>
            <w:hideMark/>
          </w:tcPr>
          <w:p w14:paraId="770D738E"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69.816</w:t>
            </w:r>
          </w:p>
        </w:tc>
      </w:tr>
      <w:tr w:rsidR="001D0816" w:rsidRPr="001D0816" w14:paraId="131BF162" w14:textId="77777777" w:rsidTr="001D0816">
        <w:trPr>
          <w:gridAfter w:val="1"/>
          <w:wAfter w:w="16" w:type="dxa"/>
          <w:trHeight w:val="31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40EA1534"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3</w:t>
            </w:r>
          </w:p>
        </w:tc>
        <w:tc>
          <w:tcPr>
            <w:tcW w:w="2736" w:type="dxa"/>
            <w:tcBorders>
              <w:top w:val="nil"/>
              <w:left w:val="nil"/>
              <w:bottom w:val="single" w:sz="8" w:space="0" w:color="000000"/>
              <w:right w:val="single" w:sz="8" w:space="0" w:color="000000"/>
            </w:tcBorders>
            <w:shd w:val="clear" w:color="auto" w:fill="auto"/>
            <w:vAlign w:val="center"/>
            <w:hideMark/>
          </w:tcPr>
          <w:p w14:paraId="6F3C3C5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Humana mlečna banka*</w:t>
            </w:r>
          </w:p>
        </w:tc>
        <w:tc>
          <w:tcPr>
            <w:tcW w:w="1477" w:type="dxa"/>
            <w:tcBorders>
              <w:top w:val="nil"/>
              <w:left w:val="nil"/>
              <w:bottom w:val="single" w:sz="8" w:space="0" w:color="000000"/>
              <w:right w:val="single" w:sz="8" w:space="0" w:color="000000"/>
            </w:tcBorders>
            <w:shd w:val="clear" w:color="auto" w:fill="auto"/>
            <w:vAlign w:val="center"/>
            <w:hideMark/>
          </w:tcPr>
          <w:p w14:paraId="74E498C5"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00C5A772"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39B566DA"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36.000</w:t>
            </w:r>
          </w:p>
        </w:tc>
        <w:tc>
          <w:tcPr>
            <w:tcW w:w="1119" w:type="dxa"/>
            <w:tcBorders>
              <w:top w:val="nil"/>
              <w:left w:val="nil"/>
              <w:bottom w:val="single" w:sz="8" w:space="0" w:color="000000"/>
              <w:right w:val="single" w:sz="8" w:space="0" w:color="000000"/>
            </w:tcBorders>
            <w:shd w:val="clear" w:color="auto" w:fill="auto"/>
            <w:vAlign w:val="center"/>
            <w:hideMark/>
          </w:tcPr>
          <w:p w14:paraId="7F379A00"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12.000</w:t>
            </w:r>
          </w:p>
        </w:tc>
      </w:tr>
      <w:tr w:rsidR="001D0816" w:rsidRPr="001D0816" w14:paraId="30E2437C" w14:textId="77777777" w:rsidTr="001D0816">
        <w:trPr>
          <w:gridAfter w:val="1"/>
          <w:wAfter w:w="16" w:type="dxa"/>
          <w:trHeight w:val="78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3207E7F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4</w:t>
            </w:r>
          </w:p>
        </w:tc>
        <w:tc>
          <w:tcPr>
            <w:tcW w:w="2736" w:type="dxa"/>
            <w:tcBorders>
              <w:top w:val="nil"/>
              <w:left w:val="nil"/>
              <w:bottom w:val="single" w:sz="8" w:space="0" w:color="000000"/>
              <w:right w:val="single" w:sz="8" w:space="0" w:color="000000"/>
            </w:tcBorders>
            <w:shd w:val="clear" w:color="auto" w:fill="auto"/>
            <w:vAlign w:val="center"/>
            <w:hideMark/>
          </w:tcPr>
          <w:p w14:paraId="745B8EE7"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Celostna obravnava otrok in mladostnikov s cistično </w:t>
            </w:r>
            <w:proofErr w:type="spellStart"/>
            <w:r w:rsidRPr="001D0816">
              <w:rPr>
                <w:rFonts w:cs="Arial"/>
                <w:color w:val="000000"/>
                <w:szCs w:val="20"/>
                <w:lang w:eastAsia="sl-SI"/>
              </w:rPr>
              <w:t>fibrozo</w:t>
            </w:r>
            <w:proofErr w:type="spellEnd"/>
            <w:r w:rsidRPr="001D0816">
              <w:rPr>
                <w:rFonts w:cs="Arial"/>
                <w:color w:val="000000"/>
                <w:szCs w:val="20"/>
                <w:lang w:eastAsia="sl-SI"/>
              </w:rPr>
              <w:t xml:space="preserve"> (uveljavitev s 1.1.2023)</w:t>
            </w:r>
          </w:p>
        </w:tc>
        <w:tc>
          <w:tcPr>
            <w:tcW w:w="1477" w:type="dxa"/>
            <w:tcBorders>
              <w:top w:val="nil"/>
              <w:left w:val="nil"/>
              <w:bottom w:val="single" w:sz="8" w:space="0" w:color="000000"/>
              <w:right w:val="single" w:sz="8" w:space="0" w:color="000000"/>
            </w:tcBorders>
            <w:shd w:val="clear" w:color="auto" w:fill="auto"/>
            <w:vAlign w:val="center"/>
            <w:hideMark/>
          </w:tcPr>
          <w:p w14:paraId="77862462"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PEK Ljubljana</w:t>
            </w:r>
          </w:p>
        </w:tc>
        <w:tc>
          <w:tcPr>
            <w:tcW w:w="1139" w:type="dxa"/>
            <w:tcBorders>
              <w:top w:val="nil"/>
              <w:left w:val="nil"/>
              <w:bottom w:val="single" w:sz="8" w:space="0" w:color="000000"/>
              <w:right w:val="single" w:sz="8" w:space="0" w:color="000000"/>
            </w:tcBorders>
            <w:shd w:val="clear" w:color="auto" w:fill="auto"/>
            <w:vAlign w:val="center"/>
            <w:hideMark/>
          </w:tcPr>
          <w:p w14:paraId="702EB62A"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4B0F5F1F"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764.000</w:t>
            </w:r>
          </w:p>
        </w:tc>
        <w:tc>
          <w:tcPr>
            <w:tcW w:w="1119" w:type="dxa"/>
            <w:tcBorders>
              <w:top w:val="nil"/>
              <w:left w:val="nil"/>
              <w:bottom w:val="single" w:sz="8" w:space="0" w:color="000000"/>
              <w:right w:val="single" w:sz="8" w:space="0" w:color="000000"/>
            </w:tcBorders>
            <w:shd w:val="clear" w:color="auto" w:fill="auto"/>
            <w:vAlign w:val="center"/>
            <w:hideMark/>
          </w:tcPr>
          <w:p w14:paraId="27C0F776"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0</w:t>
            </w:r>
          </w:p>
        </w:tc>
      </w:tr>
      <w:tr w:rsidR="001D0816" w:rsidRPr="001D0816" w14:paraId="32F73E39" w14:textId="77777777" w:rsidTr="001D0816">
        <w:trPr>
          <w:gridAfter w:val="1"/>
          <w:wAfter w:w="16" w:type="dxa"/>
          <w:trHeight w:val="1035"/>
        </w:trPr>
        <w:tc>
          <w:tcPr>
            <w:tcW w:w="1355" w:type="dxa"/>
            <w:tcBorders>
              <w:top w:val="nil"/>
              <w:left w:val="single" w:sz="8" w:space="0" w:color="000000"/>
              <w:bottom w:val="nil"/>
              <w:right w:val="single" w:sz="8" w:space="0" w:color="000000"/>
            </w:tcBorders>
            <w:shd w:val="clear" w:color="auto" w:fill="auto"/>
            <w:vAlign w:val="center"/>
            <w:hideMark/>
          </w:tcPr>
          <w:p w14:paraId="7343A8D0"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lastRenderedPageBreak/>
              <w:t>5</w:t>
            </w:r>
          </w:p>
        </w:tc>
        <w:tc>
          <w:tcPr>
            <w:tcW w:w="2736" w:type="dxa"/>
            <w:tcBorders>
              <w:top w:val="nil"/>
              <w:left w:val="nil"/>
              <w:bottom w:val="nil"/>
              <w:right w:val="single" w:sz="8" w:space="0" w:color="000000"/>
            </w:tcBorders>
            <w:shd w:val="clear" w:color="auto" w:fill="auto"/>
            <w:vAlign w:val="center"/>
            <w:hideMark/>
          </w:tcPr>
          <w:p w14:paraId="05B01952"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CAR-T celična terapija za zdravljenje akutne </w:t>
            </w:r>
            <w:proofErr w:type="spellStart"/>
            <w:r w:rsidRPr="001D0816">
              <w:rPr>
                <w:rFonts w:cs="Arial"/>
                <w:color w:val="000000"/>
                <w:szCs w:val="20"/>
                <w:lang w:eastAsia="sl-SI"/>
              </w:rPr>
              <w:t>limfoblastne</w:t>
            </w:r>
            <w:proofErr w:type="spellEnd"/>
            <w:r w:rsidRPr="001D0816">
              <w:rPr>
                <w:rFonts w:cs="Arial"/>
                <w:color w:val="000000"/>
                <w:szCs w:val="20"/>
                <w:lang w:eastAsia="sl-SI"/>
              </w:rPr>
              <w:t xml:space="preserve"> levkemije in </w:t>
            </w:r>
            <w:proofErr w:type="spellStart"/>
            <w:r w:rsidRPr="001D0816">
              <w:rPr>
                <w:rFonts w:cs="Arial"/>
                <w:color w:val="000000"/>
                <w:szCs w:val="20"/>
                <w:lang w:eastAsia="sl-SI"/>
              </w:rPr>
              <w:t>neHodgkinov</w:t>
            </w:r>
            <w:proofErr w:type="spellEnd"/>
            <w:r w:rsidRPr="001D0816">
              <w:rPr>
                <w:rFonts w:cs="Arial"/>
                <w:color w:val="000000"/>
                <w:szCs w:val="20"/>
                <w:lang w:eastAsia="sl-SI"/>
              </w:rPr>
              <w:t xml:space="preserve"> limfomov**</w:t>
            </w:r>
          </w:p>
        </w:tc>
        <w:tc>
          <w:tcPr>
            <w:tcW w:w="1477" w:type="dxa"/>
            <w:tcBorders>
              <w:top w:val="nil"/>
              <w:left w:val="nil"/>
              <w:bottom w:val="nil"/>
              <w:right w:val="single" w:sz="8" w:space="0" w:color="000000"/>
            </w:tcBorders>
            <w:shd w:val="clear" w:color="auto" w:fill="auto"/>
            <w:vAlign w:val="center"/>
            <w:hideMark/>
          </w:tcPr>
          <w:p w14:paraId="4FC805A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nil"/>
              <w:right w:val="single" w:sz="8" w:space="0" w:color="000000"/>
            </w:tcBorders>
            <w:shd w:val="clear" w:color="auto" w:fill="auto"/>
            <w:vAlign w:val="center"/>
            <w:hideMark/>
          </w:tcPr>
          <w:p w14:paraId="478EA21A"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nil"/>
              <w:right w:val="single" w:sz="8" w:space="0" w:color="000000"/>
            </w:tcBorders>
            <w:shd w:val="clear" w:color="auto" w:fill="auto"/>
            <w:vAlign w:val="center"/>
            <w:hideMark/>
          </w:tcPr>
          <w:p w14:paraId="45ED9AA2"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3.558.256</w:t>
            </w:r>
          </w:p>
        </w:tc>
        <w:tc>
          <w:tcPr>
            <w:tcW w:w="1119" w:type="dxa"/>
            <w:tcBorders>
              <w:top w:val="nil"/>
              <w:left w:val="nil"/>
              <w:bottom w:val="nil"/>
              <w:right w:val="single" w:sz="8" w:space="0" w:color="000000"/>
            </w:tcBorders>
            <w:shd w:val="clear" w:color="auto" w:fill="auto"/>
            <w:vAlign w:val="center"/>
            <w:hideMark/>
          </w:tcPr>
          <w:p w14:paraId="475214D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1.186.085</w:t>
            </w:r>
          </w:p>
        </w:tc>
      </w:tr>
      <w:tr w:rsidR="001D0816" w:rsidRPr="001D0816" w14:paraId="397CFCDF" w14:textId="77777777" w:rsidTr="001D0816">
        <w:trPr>
          <w:gridAfter w:val="1"/>
          <w:wAfter w:w="16" w:type="dxa"/>
          <w:trHeight w:val="154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1AE5A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6</w:t>
            </w: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E9F6EF"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Uvedba programa </w:t>
            </w:r>
            <w:proofErr w:type="spellStart"/>
            <w:r w:rsidRPr="001D0816">
              <w:rPr>
                <w:rFonts w:cs="Arial"/>
                <w:color w:val="000000"/>
                <w:szCs w:val="20"/>
                <w:lang w:eastAsia="sl-SI"/>
              </w:rPr>
              <w:t>presejanja</w:t>
            </w:r>
            <w:proofErr w:type="spellEnd"/>
            <w:r w:rsidRPr="001D0816">
              <w:rPr>
                <w:rFonts w:cs="Arial"/>
                <w:color w:val="000000"/>
                <w:szCs w:val="20"/>
                <w:lang w:eastAsia="sl-SI"/>
              </w:rPr>
              <w:t xml:space="preserve"> novorojencev za </w:t>
            </w:r>
            <w:proofErr w:type="spellStart"/>
            <w:r w:rsidRPr="001D0816">
              <w:rPr>
                <w:rFonts w:cs="Arial"/>
                <w:color w:val="000000"/>
                <w:szCs w:val="20"/>
                <w:lang w:eastAsia="sl-SI"/>
              </w:rPr>
              <w:t>spinalno</w:t>
            </w:r>
            <w:proofErr w:type="spellEnd"/>
            <w:r w:rsidRPr="001D0816">
              <w:rPr>
                <w:rFonts w:cs="Arial"/>
                <w:color w:val="000000"/>
                <w:szCs w:val="20"/>
                <w:lang w:eastAsia="sl-SI"/>
              </w:rPr>
              <w:t xml:space="preserve"> mišično atrofijo, težke prirojene okvare imunosti, cistično </w:t>
            </w:r>
            <w:proofErr w:type="spellStart"/>
            <w:r w:rsidRPr="001D0816">
              <w:rPr>
                <w:rFonts w:cs="Arial"/>
                <w:color w:val="000000"/>
                <w:szCs w:val="20"/>
                <w:lang w:eastAsia="sl-SI"/>
              </w:rPr>
              <w:t>fibrozo</w:t>
            </w:r>
            <w:proofErr w:type="spellEnd"/>
            <w:r w:rsidRPr="001D0816">
              <w:rPr>
                <w:rFonts w:cs="Arial"/>
                <w:color w:val="000000"/>
                <w:szCs w:val="20"/>
                <w:lang w:eastAsia="sl-SI"/>
              </w:rPr>
              <w:t xml:space="preserve"> in kongenitalno adrenalno hiperplazijo*</w:t>
            </w:r>
          </w:p>
        </w:tc>
        <w:tc>
          <w:tcPr>
            <w:tcW w:w="14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B32DE7"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UKC </w:t>
            </w:r>
            <w:proofErr w:type="spellStart"/>
            <w:r w:rsidRPr="001D0816">
              <w:rPr>
                <w:rFonts w:cs="Arial"/>
                <w:color w:val="000000"/>
                <w:szCs w:val="20"/>
                <w:lang w:eastAsia="sl-SI"/>
              </w:rPr>
              <w:t>Lubljana</w:t>
            </w:r>
            <w:proofErr w:type="spellEnd"/>
            <w:r w:rsidRPr="001D0816">
              <w:rPr>
                <w:rFonts w:cs="Arial"/>
                <w:color w:val="000000"/>
                <w:szCs w:val="20"/>
                <w:lang w:eastAsia="sl-SI"/>
              </w:rPr>
              <w:t xml:space="preserve"> / PEK Ljubljana</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F4D329"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557004"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1.926.937</w:t>
            </w:r>
          </w:p>
        </w:tc>
        <w:tc>
          <w:tcPr>
            <w:tcW w:w="11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B6EBB3"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642.312</w:t>
            </w:r>
          </w:p>
        </w:tc>
      </w:tr>
      <w:tr w:rsidR="001D0816" w:rsidRPr="001D0816" w14:paraId="021E65C8" w14:textId="77777777" w:rsidTr="001D0816">
        <w:trPr>
          <w:trHeight w:val="315"/>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0AFDD32D" w14:textId="77777777" w:rsidR="001D0816" w:rsidRPr="001D0816" w:rsidRDefault="001D0816" w:rsidP="001D0816">
            <w:pPr>
              <w:spacing w:line="240" w:lineRule="auto"/>
              <w:rPr>
                <w:rFonts w:cs="Arial"/>
                <w:color w:val="000000"/>
                <w:szCs w:val="20"/>
                <w:lang w:eastAsia="sl-SI"/>
              </w:rPr>
            </w:pP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469B28DC" w14:textId="77777777" w:rsidR="001D0816" w:rsidRPr="001D0816" w:rsidRDefault="001D0816" w:rsidP="001D0816">
            <w:pPr>
              <w:spacing w:line="240" w:lineRule="auto"/>
              <w:rPr>
                <w:rFonts w:cs="Arial"/>
                <w:color w:val="000000"/>
                <w:szCs w:val="20"/>
                <w:lang w:eastAsia="sl-SI"/>
              </w:rPr>
            </w:pPr>
          </w:p>
        </w:tc>
        <w:tc>
          <w:tcPr>
            <w:tcW w:w="1477" w:type="dxa"/>
            <w:vMerge/>
            <w:tcBorders>
              <w:top w:val="single" w:sz="8" w:space="0" w:color="000000"/>
              <w:left w:val="single" w:sz="8" w:space="0" w:color="000000"/>
              <w:bottom w:val="single" w:sz="8" w:space="0" w:color="000000"/>
              <w:right w:val="single" w:sz="8" w:space="0" w:color="000000"/>
            </w:tcBorders>
            <w:vAlign w:val="center"/>
            <w:hideMark/>
          </w:tcPr>
          <w:p w14:paraId="497B4CA6" w14:textId="77777777" w:rsidR="001D0816" w:rsidRPr="001D0816" w:rsidRDefault="001D0816" w:rsidP="001D0816">
            <w:pPr>
              <w:spacing w:line="240" w:lineRule="auto"/>
              <w:rPr>
                <w:rFonts w:cs="Arial"/>
                <w:color w:val="000000"/>
                <w:szCs w:val="20"/>
                <w:lang w:eastAsia="sl-SI"/>
              </w:rPr>
            </w:pPr>
          </w:p>
        </w:tc>
        <w:tc>
          <w:tcPr>
            <w:tcW w:w="1139" w:type="dxa"/>
            <w:vMerge/>
            <w:tcBorders>
              <w:top w:val="single" w:sz="8" w:space="0" w:color="000000"/>
              <w:left w:val="single" w:sz="8" w:space="0" w:color="000000"/>
              <w:bottom w:val="single" w:sz="8" w:space="0" w:color="000000"/>
              <w:right w:val="single" w:sz="8" w:space="0" w:color="000000"/>
            </w:tcBorders>
            <w:vAlign w:val="center"/>
            <w:hideMark/>
          </w:tcPr>
          <w:p w14:paraId="1A385625" w14:textId="77777777" w:rsidR="001D0816" w:rsidRPr="001D0816" w:rsidRDefault="001D0816" w:rsidP="001D0816">
            <w:pPr>
              <w:spacing w:line="240" w:lineRule="auto"/>
              <w:rPr>
                <w:rFonts w:cs="Arial"/>
                <w:color w:val="000000"/>
                <w:szCs w:val="20"/>
                <w:lang w:eastAsia="sl-SI"/>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E4D9B1C" w14:textId="77777777" w:rsidR="001D0816" w:rsidRPr="001D0816" w:rsidRDefault="001D0816" w:rsidP="001D0816">
            <w:pPr>
              <w:spacing w:line="240" w:lineRule="auto"/>
              <w:rPr>
                <w:rFonts w:cs="Arial"/>
                <w:color w:val="000000"/>
                <w:szCs w:val="20"/>
                <w:lang w:eastAsia="sl-SI"/>
              </w:rPr>
            </w:pPr>
          </w:p>
        </w:tc>
        <w:tc>
          <w:tcPr>
            <w:tcW w:w="1119" w:type="dxa"/>
            <w:vMerge/>
            <w:tcBorders>
              <w:top w:val="single" w:sz="8" w:space="0" w:color="000000"/>
              <w:left w:val="single" w:sz="8" w:space="0" w:color="000000"/>
              <w:bottom w:val="single" w:sz="8" w:space="0" w:color="000000"/>
              <w:right w:val="single" w:sz="8" w:space="0" w:color="000000"/>
            </w:tcBorders>
            <w:vAlign w:val="center"/>
            <w:hideMark/>
          </w:tcPr>
          <w:p w14:paraId="024480EE" w14:textId="77777777" w:rsidR="001D0816" w:rsidRPr="001D0816" w:rsidRDefault="001D0816" w:rsidP="001D0816">
            <w:pPr>
              <w:spacing w:line="240" w:lineRule="auto"/>
              <w:rPr>
                <w:rFonts w:cs="Arial"/>
                <w:color w:val="000000"/>
                <w:szCs w:val="20"/>
                <w:lang w:eastAsia="sl-SI"/>
              </w:rPr>
            </w:pPr>
          </w:p>
        </w:tc>
        <w:tc>
          <w:tcPr>
            <w:tcW w:w="16" w:type="dxa"/>
            <w:tcBorders>
              <w:top w:val="nil"/>
              <w:left w:val="nil"/>
              <w:bottom w:val="nil"/>
              <w:right w:val="nil"/>
            </w:tcBorders>
            <w:shd w:val="clear" w:color="auto" w:fill="auto"/>
            <w:noWrap/>
            <w:vAlign w:val="bottom"/>
            <w:hideMark/>
          </w:tcPr>
          <w:p w14:paraId="1912D267" w14:textId="77777777" w:rsidR="001D0816" w:rsidRPr="001D0816" w:rsidRDefault="001D0816" w:rsidP="001D0816">
            <w:pPr>
              <w:spacing w:line="240" w:lineRule="auto"/>
              <w:jc w:val="both"/>
              <w:rPr>
                <w:rFonts w:cs="Arial"/>
                <w:color w:val="000000"/>
                <w:szCs w:val="20"/>
                <w:lang w:eastAsia="sl-SI"/>
              </w:rPr>
            </w:pPr>
          </w:p>
        </w:tc>
      </w:tr>
      <w:tr w:rsidR="001D0816" w:rsidRPr="001D0816" w14:paraId="51A0CD52" w14:textId="77777777" w:rsidTr="001D0816">
        <w:trPr>
          <w:trHeight w:val="180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63336226"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7</w:t>
            </w:r>
          </w:p>
        </w:tc>
        <w:tc>
          <w:tcPr>
            <w:tcW w:w="2736" w:type="dxa"/>
            <w:tcBorders>
              <w:top w:val="nil"/>
              <w:left w:val="nil"/>
              <w:bottom w:val="single" w:sz="8" w:space="0" w:color="000000"/>
              <w:right w:val="single" w:sz="8" w:space="0" w:color="000000"/>
            </w:tcBorders>
            <w:shd w:val="clear" w:color="auto" w:fill="auto"/>
            <w:vAlign w:val="center"/>
            <w:hideMark/>
          </w:tcPr>
          <w:p w14:paraId="45494A5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Specializirani </w:t>
            </w:r>
            <w:proofErr w:type="spellStart"/>
            <w:r w:rsidRPr="001D0816">
              <w:rPr>
                <w:rFonts w:cs="Arial"/>
                <w:color w:val="000000"/>
                <w:szCs w:val="20"/>
                <w:lang w:eastAsia="sl-SI"/>
              </w:rPr>
              <w:t>multidisclipinarni</w:t>
            </w:r>
            <w:proofErr w:type="spellEnd"/>
            <w:r w:rsidRPr="001D0816">
              <w:rPr>
                <w:rFonts w:cs="Arial"/>
                <w:color w:val="000000"/>
                <w:szCs w:val="20"/>
                <w:lang w:eastAsia="sl-SI"/>
              </w:rPr>
              <w:t xml:space="preserve"> timi za obravnavo redkih bolezni – 1x UKC Ljubljana-odrasli, 1x UKC Ljubljana- PEK, 1x OI, 1x UKC MB (4 x 322.376 EUR)**</w:t>
            </w:r>
          </w:p>
        </w:tc>
        <w:tc>
          <w:tcPr>
            <w:tcW w:w="1477" w:type="dxa"/>
            <w:tcBorders>
              <w:top w:val="nil"/>
              <w:left w:val="nil"/>
              <w:bottom w:val="single" w:sz="8" w:space="0" w:color="000000"/>
              <w:right w:val="single" w:sz="8" w:space="0" w:color="000000"/>
            </w:tcBorders>
            <w:shd w:val="clear" w:color="auto" w:fill="auto"/>
            <w:vAlign w:val="center"/>
            <w:hideMark/>
          </w:tcPr>
          <w:p w14:paraId="27B69440"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UKC Ljubljana, OI Ljubljana, UKC Maribor</w:t>
            </w:r>
          </w:p>
        </w:tc>
        <w:tc>
          <w:tcPr>
            <w:tcW w:w="1139" w:type="dxa"/>
            <w:tcBorders>
              <w:top w:val="nil"/>
              <w:left w:val="nil"/>
              <w:bottom w:val="single" w:sz="8" w:space="0" w:color="000000"/>
              <w:right w:val="single" w:sz="8" w:space="0" w:color="000000"/>
            </w:tcBorders>
            <w:shd w:val="clear" w:color="auto" w:fill="auto"/>
            <w:vAlign w:val="center"/>
            <w:hideMark/>
          </w:tcPr>
          <w:p w14:paraId="22621326"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27855F9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1.289.504</w:t>
            </w:r>
          </w:p>
        </w:tc>
        <w:tc>
          <w:tcPr>
            <w:tcW w:w="1119" w:type="dxa"/>
            <w:tcBorders>
              <w:top w:val="nil"/>
              <w:left w:val="nil"/>
              <w:bottom w:val="single" w:sz="8" w:space="0" w:color="000000"/>
              <w:right w:val="single" w:sz="8" w:space="0" w:color="000000"/>
            </w:tcBorders>
            <w:shd w:val="clear" w:color="auto" w:fill="auto"/>
            <w:vAlign w:val="center"/>
            <w:hideMark/>
          </w:tcPr>
          <w:p w14:paraId="42B1D676"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429.835</w:t>
            </w:r>
          </w:p>
        </w:tc>
        <w:tc>
          <w:tcPr>
            <w:tcW w:w="16" w:type="dxa"/>
            <w:vAlign w:val="center"/>
            <w:hideMark/>
          </w:tcPr>
          <w:p w14:paraId="3B7D5132" w14:textId="77777777" w:rsidR="001D0816" w:rsidRPr="001D0816" w:rsidRDefault="001D0816" w:rsidP="001D0816">
            <w:pPr>
              <w:spacing w:line="240" w:lineRule="auto"/>
              <w:jc w:val="both"/>
              <w:rPr>
                <w:rFonts w:cs="Arial"/>
                <w:color w:val="000000"/>
                <w:szCs w:val="20"/>
                <w:lang w:eastAsia="sl-SI"/>
              </w:rPr>
            </w:pPr>
          </w:p>
        </w:tc>
      </w:tr>
      <w:tr w:rsidR="001D0816" w:rsidRPr="001D0816" w14:paraId="1DA0FCFC" w14:textId="77777777" w:rsidTr="001D0816">
        <w:trPr>
          <w:trHeight w:val="52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20F19AAF"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8</w:t>
            </w:r>
          </w:p>
        </w:tc>
        <w:tc>
          <w:tcPr>
            <w:tcW w:w="2736" w:type="dxa"/>
            <w:tcBorders>
              <w:top w:val="nil"/>
              <w:left w:val="nil"/>
              <w:bottom w:val="single" w:sz="8" w:space="0" w:color="000000"/>
              <w:right w:val="single" w:sz="8" w:space="0" w:color="000000"/>
            </w:tcBorders>
            <w:shd w:val="clear" w:color="auto" w:fill="auto"/>
            <w:vAlign w:val="center"/>
            <w:hideMark/>
          </w:tcPr>
          <w:p w14:paraId="6FC7E185"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ERM vozlišče – priznanje timov</w:t>
            </w:r>
          </w:p>
        </w:tc>
        <w:tc>
          <w:tcPr>
            <w:tcW w:w="1477" w:type="dxa"/>
            <w:tcBorders>
              <w:top w:val="nil"/>
              <w:left w:val="nil"/>
              <w:bottom w:val="single" w:sz="8" w:space="0" w:color="000000"/>
              <w:right w:val="single" w:sz="8" w:space="0" w:color="000000"/>
            </w:tcBorders>
            <w:shd w:val="clear" w:color="auto" w:fill="auto"/>
            <w:vAlign w:val="center"/>
            <w:hideMark/>
          </w:tcPr>
          <w:p w14:paraId="6223A320"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0C35ED8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0BE6F56B"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82.159</w:t>
            </w:r>
          </w:p>
        </w:tc>
        <w:tc>
          <w:tcPr>
            <w:tcW w:w="1119" w:type="dxa"/>
            <w:tcBorders>
              <w:top w:val="nil"/>
              <w:left w:val="nil"/>
              <w:bottom w:val="single" w:sz="8" w:space="0" w:color="000000"/>
              <w:right w:val="single" w:sz="8" w:space="0" w:color="000000"/>
            </w:tcBorders>
            <w:shd w:val="clear" w:color="auto" w:fill="auto"/>
            <w:vAlign w:val="center"/>
            <w:hideMark/>
          </w:tcPr>
          <w:p w14:paraId="3661D061"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41.080</w:t>
            </w:r>
          </w:p>
        </w:tc>
        <w:tc>
          <w:tcPr>
            <w:tcW w:w="16" w:type="dxa"/>
            <w:vAlign w:val="center"/>
            <w:hideMark/>
          </w:tcPr>
          <w:p w14:paraId="6183F027" w14:textId="77777777" w:rsidR="001D0816" w:rsidRPr="001D0816" w:rsidRDefault="001D0816" w:rsidP="001D0816">
            <w:pPr>
              <w:spacing w:line="240" w:lineRule="auto"/>
              <w:jc w:val="both"/>
              <w:rPr>
                <w:rFonts w:cs="Arial"/>
                <w:color w:val="000000"/>
                <w:szCs w:val="20"/>
                <w:lang w:eastAsia="sl-SI"/>
              </w:rPr>
            </w:pPr>
          </w:p>
        </w:tc>
      </w:tr>
      <w:tr w:rsidR="001D0816" w:rsidRPr="001D0816" w14:paraId="623FBEE6" w14:textId="77777777" w:rsidTr="001D0816">
        <w:trPr>
          <w:trHeight w:val="103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441609D7"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9</w:t>
            </w:r>
          </w:p>
        </w:tc>
        <w:tc>
          <w:tcPr>
            <w:tcW w:w="2736" w:type="dxa"/>
            <w:tcBorders>
              <w:top w:val="nil"/>
              <w:left w:val="nil"/>
              <w:bottom w:val="single" w:sz="8" w:space="0" w:color="000000"/>
              <w:right w:val="single" w:sz="8" w:space="0" w:color="000000"/>
            </w:tcBorders>
            <w:shd w:val="clear" w:color="auto" w:fill="auto"/>
            <w:vAlign w:val="center"/>
            <w:hideMark/>
          </w:tcPr>
          <w:p w14:paraId="1C846316"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Center za </w:t>
            </w:r>
            <w:proofErr w:type="spellStart"/>
            <w:r w:rsidRPr="001D0816">
              <w:rPr>
                <w:rFonts w:cs="Arial"/>
                <w:color w:val="000000"/>
                <w:szCs w:val="20"/>
                <w:lang w:eastAsia="sl-SI"/>
              </w:rPr>
              <w:t>nediagnosticirane</w:t>
            </w:r>
            <w:proofErr w:type="spellEnd"/>
            <w:r w:rsidRPr="001D0816">
              <w:rPr>
                <w:rFonts w:cs="Arial"/>
                <w:color w:val="000000"/>
                <w:szCs w:val="20"/>
                <w:lang w:eastAsia="sl-SI"/>
              </w:rPr>
              <w:t xml:space="preserve"> redke bolezni – priznanje timov</w:t>
            </w:r>
          </w:p>
        </w:tc>
        <w:tc>
          <w:tcPr>
            <w:tcW w:w="1477" w:type="dxa"/>
            <w:tcBorders>
              <w:top w:val="nil"/>
              <w:left w:val="nil"/>
              <w:bottom w:val="single" w:sz="8" w:space="0" w:color="000000"/>
              <w:right w:val="single" w:sz="8" w:space="0" w:color="000000"/>
            </w:tcBorders>
            <w:shd w:val="clear" w:color="auto" w:fill="auto"/>
            <w:vAlign w:val="center"/>
            <w:hideMark/>
          </w:tcPr>
          <w:p w14:paraId="1DD9FEA3"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4F0A7D2B"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6070BF2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92.188</w:t>
            </w:r>
          </w:p>
        </w:tc>
        <w:tc>
          <w:tcPr>
            <w:tcW w:w="1119" w:type="dxa"/>
            <w:tcBorders>
              <w:top w:val="nil"/>
              <w:left w:val="nil"/>
              <w:bottom w:val="single" w:sz="8" w:space="0" w:color="000000"/>
              <w:right w:val="single" w:sz="8" w:space="0" w:color="000000"/>
            </w:tcBorders>
            <w:shd w:val="clear" w:color="auto" w:fill="auto"/>
            <w:vAlign w:val="center"/>
            <w:hideMark/>
          </w:tcPr>
          <w:p w14:paraId="6062F20B"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30.729</w:t>
            </w:r>
          </w:p>
        </w:tc>
        <w:tc>
          <w:tcPr>
            <w:tcW w:w="16" w:type="dxa"/>
            <w:vAlign w:val="center"/>
            <w:hideMark/>
          </w:tcPr>
          <w:p w14:paraId="4EEC81E3" w14:textId="77777777" w:rsidR="001D0816" w:rsidRPr="001D0816" w:rsidRDefault="001D0816" w:rsidP="001D0816">
            <w:pPr>
              <w:spacing w:line="240" w:lineRule="auto"/>
              <w:jc w:val="both"/>
              <w:rPr>
                <w:rFonts w:cs="Arial"/>
                <w:color w:val="000000"/>
                <w:szCs w:val="20"/>
                <w:lang w:eastAsia="sl-SI"/>
              </w:rPr>
            </w:pPr>
          </w:p>
        </w:tc>
      </w:tr>
      <w:tr w:rsidR="001D0816" w:rsidRPr="001D0816" w14:paraId="1FB276C7" w14:textId="77777777" w:rsidTr="001D0816">
        <w:trPr>
          <w:trHeight w:val="78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428B6AC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10</w:t>
            </w:r>
          </w:p>
        </w:tc>
        <w:tc>
          <w:tcPr>
            <w:tcW w:w="2736" w:type="dxa"/>
            <w:tcBorders>
              <w:top w:val="nil"/>
              <w:left w:val="nil"/>
              <w:bottom w:val="single" w:sz="8" w:space="0" w:color="000000"/>
              <w:right w:val="single" w:sz="8" w:space="0" w:color="000000"/>
            </w:tcBorders>
            <w:shd w:val="clear" w:color="auto" w:fill="auto"/>
            <w:vAlign w:val="center"/>
            <w:hideMark/>
          </w:tcPr>
          <w:p w14:paraId="798D0DDD"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xml:space="preserve">Register redkih </w:t>
            </w:r>
            <w:proofErr w:type="spellStart"/>
            <w:r w:rsidRPr="001D0816">
              <w:rPr>
                <w:rFonts w:cs="Arial"/>
                <w:color w:val="000000"/>
                <w:szCs w:val="20"/>
                <w:lang w:eastAsia="sl-SI"/>
              </w:rPr>
              <w:t>nemalignih</w:t>
            </w:r>
            <w:proofErr w:type="spellEnd"/>
            <w:r w:rsidRPr="001D0816">
              <w:rPr>
                <w:rFonts w:cs="Arial"/>
                <w:color w:val="000000"/>
                <w:szCs w:val="20"/>
                <w:lang w:eastAsia="sl-SI"/>
              </w:rPr>
              <w:t xml:space="preserve"> boleni  priznanje timov</w:t>
            </w:r>
          </w:p>
        </w:tc>
        <w:tc>
          <w:tcPr>
            <w:tcW w:w="1477" w:type="dxa"/>
            <w:tcBorders>
              <w:top w:val="nil"/>
              <w:left w:val="nil"/>
              <w:bottom w:val="single" w:sz="8" w:space="0" w:color="000000"/>
              <w:right w:val="single" w:sz="8" w:space="0" w:color="000000"/>
            </w:tcBorders>
            <w:shd w:val="clear" w:color="auto" w:fill="auto"/>
            <w:vAlign w:val="center"/>
            <w:hideMark/>
          </w:tcPr>
          <w:p w14:paraId="3359DDDC"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19A0FD18"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501A2FB9"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179.630</w:t>
            </w:r>
          </w:p>
        </w:tc>
        <w:tc>
          <w:tcPr>
            <w:tcW w:w="1119" w:type="dxa"/>
            <w:tcBorders>
              <w:top w:val="nil"/>
              <w:left w:val="nil"/>
              <w:bottom w:val="single" w:sz="8" w:space="0" w:color="000000"/>
              <w:right w:val="single" w:sz="8" w:space="0" w:color="000000"/>
            </w:tcBorders>
            <w:shd w:val="clear" w:color="auto" w:fill="auto"/>
            <w:vAlign w:val="center"/>
            <w:hideMark/>
          </w:tcPr>
          <w:p w14:paraId="17A5BA48" w14:textId="77777777" w:rsidR="001D0816" w:rsidRPr="001D0816" w:rsidRDefault="001D0816" w:rsidP="001D0816">
            <w:pPr>
              <w:spacing w:line="240" w:lineRule="auto"/>
              <w:jc w:val="both"/>
              <w:rPr>
                <w:rFonts w:cs="Arial"/>
                <w:color w:val="000000"/>
                <w:szCs w:val="20"/>
                <w:lang w:eastAsia="sl-SI"/>
              </w:rPr>
            </w:pPr>
            <w:r w:rsidRPr="001D0816">
              <w:rPr>
                <w:rFonts w:cs="Arial"/>
                <w:color w:val="000000"/>
                <w:szCs w:val="20"/>
                <w:lang w:eastAsia="sl-SI"/>
              </w:rPr>
              <w:t>59.877</w:t>
            </w:r>
          </w:p>
        </w:tc>
        <w:tc>
          <w:tcPr>
            <w:tcW w:w="16" w:type="dxa"/>
            <w:vAlign w:val="center"/>
            <w:hideMark/>
          </w:tcPr>
          <w:p w14:paraId="4BE8091D" w14:textId="77777777" w:rsidR="001D0816" w:rsidRPr="001D0816" w:rsidRDefault="001D0816" w:rsidP="001D0816">
            <w:pPr>
              <w:spacing w:line="240" w:lineRule="auto"/>
              <w:jc w:val="both"/>
              <w:rPr>
                <w:rFonts w:cs="Arial"/>
                <w:color w:val="000000"/>
                <w:szCs w:val="20"/>
                <w:lang w:eastAsia="sl-SI"/>
              </w:rPr>
            </w:pPr>
          </w:p>
        </w:tc>
      </w:tr>
      <w:bookmarkEnd w:id="76"/>
    </w:tbl>
    <w:p w14:paraId="3D986F52" w14:textId="77777777" w:rsidR="00FC03D4" w:rsidRPr="005E4BEA" w:rsidRDefault="00FC03D4" w:rsidP="00731EB1">
      <w:pPr>
        <w:spacing w:after="160" w:line="259" w:lineRule="auto"/>
        <w:jc w:val="both"/>
        <w:rPr>
          <w:rFonts w:eastAsiaTheme="minorHAnsi" w:cs="Arial"/>
          <w:b/>
          <w:bCs/>
          <w:i/>
          <w:color w:val="808080" w:themeColor="background1" w:themeShade="80"/>
          <w:szCs w:val="20"/>
        </w:rPr>
      </w:pPr>
    </w:p>
    <w:p w14:paraId="44884BAA" w14:textId="18B5CACB" w:rsidR="00692030" w:rsidRPr="005E4BEA" w:rsidRDefault="00692030" w:rsidP="00692030">
      <w:pPr>
        <w:spacing w:after="120" w:line="240" w:lineRule="auto"/>
        <w:jc w:val="both"/>
        <w:rPr>
          <w:rFonts w:eastAsia="Arial Narrow" w:cs="Arial"/>
          <w:szCs w:val="20"/>
          <w:lang w:eastAsia="sl-SI"/>
        </w:rPr>
      </w:pPr>
      <w:r w:rsidRPr="005E4BEA">
        <w:rPr>
          <w:rFonts w:eastAsia="Arial Narrow" w:cs="Arial"/>
          <w:szCs w:val="20"/>
          <w:lang w:eastAsia="sl-SI"/>
        </w:rPr>
        <w:t>*Zavod plača vse opravljene storitve do planirane letne vrednosti programa.</w:t>
      </w:r>
    </w:p>
    <w:p w14:paraId="77DDEABD" w14:textId="77BFE661" w:rsidR="00C602CB" w:rsidRPr="005E4BEA" w:rsidRDefault="00C602CB" w:rsidP="00692030">
      <w:pPr>
        <w:spacing w:after="120" w:line="240" w:lineRule="auto"/>
        <w:jc w:val="both"/>
        <w:rPr>
          <w:rFonts w:eastAsia="Arial Narrow" w:cs="Arial"/>
          <w:szCs w:val="20"/>
          <w:lang w:eastAsia="sl-SI"/>
        </w:rPr>
      </w:pPr>
      <w:r w:rsidRPr="005E4BEA">
        <w:rPr>
          <w:rFonts w:eastAsia="Arial Narrow" w:cs="Arial"/>
          <w:szCs w:val="20"/>
          <w:lang w:eastAsia="sl-SI"/>
        </w:rPr>
        <w:t>** Zavod plača vse opravljene storitve do planirane letne vrednosti programa. Pred začetkom izvajanja programa ZZZS pripravi seznam storitev s cenami (v sodelovanju z UKC LJ, Pediatrična klinika).</w:t>
      </w:r>
    </w:p>
    <w:p w14:paraId="17F60516" w14:textId="34A5531A" w:rsidR="00C602CB" w:rsidRPr="005E4BEA" w:rsidRDefault="00C602CB" w:rsidP="00692030">
      <w:pPr>
        <w:spacing w:after="120" w:line="240" w:lineRule="auto"/>
        <w:jc w:val="both"/>
        <w:rPr>
          <w:rFonts w:eastAsia="Arial Narrow" w:cs="Arial"/>
          <w:szCs w:val="20"/>
          <w:lang w:eastAsia="sl-SI"/>
        </w:rPr>
      </w:pPr>
      <w:r w:rsidRPr="005E4BEA">
        <w:rPr>
          <w:rFonts w:eastAsia="Arial Narrow" w:cs="Arial"/>
          <w:szCs w:val="20"/>
          <w:lang w:eastAsia="sl-SI"/>
        </w:rPr>
        <w:t>***Pred začetkom izvajanja programa izvajalec predloži Zavodu klinično pot.</w:t>
      </w:r>
    </w:p>
    <w:p w14:paraId="4571E84F" w14:textId="5D835BA1" w:rsidR="00C602CB" w:rsidRPr="005E4BEA" w:rsidRDefault="00C602CB" w:rsidP="00692030">
      <w:pPr>
        <w:spacing w:after="120" w:line="240" w:lineRule="auto"/>
        <w:jc w:val="both"/>
        <w:rPr>
          <w:rFonts w:eastAsia="Arial Narrow" w:cs="Arial"/>
          <w:szCs w:val="20"/>
          <w:lang w:eastAsia="sl-SI"/>
        </w:rPr>
      </w:pPr>
    </w:p>
    <w:p w14:paraId="41237F9C" w14:textId="56A483AB" w:rsidR="006D0A29" w:rsidRPr="005E4BEA" w:rsidRDefault="006D0A29" w:rsidP="006D0A29">
      <w:pPr>
        <w:spacing w:line="240" w:lineRule="auto"/>
        <w:jc w:val="both"/>
        <w:rPr>
          <w:rFonts w:cs="Arial"/>
          <w:b/>
          <w:bCs/>
          <w:szCs w:val="20"/>
        </w:rPr>
      </w:pPr>
      <w:bookmarkStart w:id="77" w:name="_Hlk103062937"/>
      <w:r w:rsidRPr="005E4BEA">
        <w:rPr>
          <w:rFonts w:eastAsia="Arial Narrow" w:cs="Arial"/>
          <w:b/>
          <w:bCs/>
          <w:szCs w:val="20"/>
        </w:rPr>
        <w:t xml:space="preserve">V </w:t>
      </w:r>
      <w:r w:rsidRPr="005E4BEA">
        <w:rPr>
          <w:rFonts w:cs="Arial"/>
          <w:b/>
          <w:bCs/>
          <w:szCs w:val="20"/>
        </w:rPr>
        <w:t>47. členu se za tretjim odstavkom doda nov četrti odstavek, ki se glasi:</w:t>
      </w:r>
    </w:p>
    <w:p w14:paraId="09E3525A" w14:textId="77777777" w:rsidR="006D0A29" w:rsidRPr="005E4BEA" w:rsidRDefault="006D0A29" w:rsidP="006D0A29">
      <w:pPr>
        <w:spacing w:line="240" w:lineRule="auto"/>
        <w:jc w:val="both"/>
        <w:rPr>
          <w:rFonts w:cs="Arial"/>
          <w:szCs w:val="20"/>
        </w:rPr>
      </w:pPr>
    </w:p>
    <w:p w14:paraId="70DAEF87" w14:textId="77777777" w:rsidR="006D0A29" w:rsidRPr="005E4BEA" w:rsidRDefault="006D0A29" w:rsidP="006D0A29">
      <w:pPr>
        <w:spacing w:line="240" w:lineRule="auto"/>
        <w:jc w:val="both"/>
        <w:rPr>
          <w:rFonts w:cs="Arial"/>
          <w:szCs w:val="20"/>
        </w:rPr>
      </w:pPr>
      <w:r w:rsidRPr="005E4BEA">
        <w:rPr>
          <w:rFonts w:cs="Arial"/>
          <w:szCs w:val="20"/>
        </w:rPr>
        <w:t>» V letu 2022 bolnišnice pričnejo spremljati storilnost po posameznem nosilcu programa (zdravniku, fizioterapevtu itd.). Poročilo o storilnosti posameznih nosilcev programa je sestavni del letnega poročila izvajalca. Za leto 2022 izvajalci vključijo delno poročilo (od 1.9.2022), poročilo za leto 2023 in naprej pa objavijo tudi na svoji spletni strani.</w:t>
      </w:r>
    </w:p>
    <w:p w14:paraId="1A240E06" w14:textId="77777777" w:rsidR="006D0A29" w:rsidRPr="005E4BEA" w:rsidRDefault="006D0A29" w:rsidP="006D0A29">
      <w:pPr>
        <w:spacing w:line="240" w:lineRule="auto"/>
        <w:jc w:val="both"/>
        <w:rPr>
          <w:rFonts w:cs="Arial"/>
          <w:szCs w:val="20"/>
        </w:rPr>
      </w:pPr>
      <w:r w:rsidRPr="005E4BEA">
        <w:br/>
      </w:r>
      <w:r w:rsidRPr="005E4BEA">
        <w:rPr>
          <w:rFonts w:cs="Arial"/>
          <w:szCs w:val="20"/>
        </w:rPr>
        <w:t>Metodologijo za spremljanje storilnosti posameznega nosilca programa, po vrstah zdravstvenih dejavnosti, pripravijo predstavniki Zavoda, Ministrstva za zdravje in Združenja zdravstvenih zavodov Slovenije, in sicer v treh mesecih od sprejema Aneksa št. 1 k Dogovoru 2022. Pri tem je potrebno posebej upoštevati dejavnosti, ki niso del VZD (npr. terciar, vodenje…). «</w:t>
      </w:r>
    </w:p>
    <w:p w14:paraId="743AB8F2" w14:textId="77777777" w:rsidR="006D0A29" w:rsidRPr="005E4BEA" w:rsidRDefault="006D0A29" w:rsidP="006D0A29">
      <w:pPr>
        <w:spacing w:line="240" w:lineRule="auto"/>
        <w:jc w:val="both"/>
        <w:rPr>
          <w:rFonts w:cs="Arial"/>
          <w:szCs w:val="20"/>
        </w:rPr>
      </w:pPr>
      <w:r w:rsidRPr="005E4BEA">
        <w:br/>
      </w:r>
      <w:r w:rsidRPr="005E4BEA">
        <w:rPr>
          <w:rFonts w:cs="Arial"/>
          <w:szCs w:val="20"/>
        </w:rPr>
        <w:t>Sedanja četrti in peti odstavek postaneta nova peti in šesti odstavek.</w:t>
      </w:r>
    </w:p>
    <w:p w14:paraId="0BD601AC" w14:textId="77777777" w:rsidR="006D0A29" w:rsidRPr="005E4BEA" w:rsidRDefault="006D0A29" w:rsidP="006D0A29">
      <w:pPr>
        <w:spacing w:line="240" w:lineRule="auto"/>
        <w:jc w:val="both"/>
        <w:rPr>
          <w:rFonts w:cs="Arial"/>
          <w:szCs w:val="20"/>
        </w:rPr>
      </w:pPr>
    </w:p>
    <w:p w14:paraId="2C0ACA60" w14:textId="6287921D" w:rsidR="006D0A29" w:rsidRPr="005E4BEA" w:rsidRDefault="006D0A29" w:rsidP="006D0A29">
      <w:pPr>
        <w:spacing w:line="240" w:lineRule="auto"/>
        <w:jc w:val="both"/>
        <w:rPr>
          <w:rFonts w:cs="Arial"/>
          <w:szCs w:val="20"/>
        </w:rPr>
      </w:pPr>
      <w:r w:rsidRPr="005E4BEA">
        <w:rPr>
          <w:rFonts w:cs="Arial"/>
          <w:szCs w:val="20"/>
        </w:rPr>
        <w:t>Določba velja od 1.</w:t>
      </w:r>
      <w:r w:rsidR="0051508B">
        <w:rPr>
          <w:rFonts w:cs="Arial"/>
          <w:szCs w:val="20"/>
        </w:rPr>
        <w:t>9</w:t>
      </w:r>
      <w:r w:rsidRPr="005E4BEA">
        <w:rPr>
          <w:rFonts w:cs="Arial"/>
          <w:szCs w:val="20"/>
        </w:rPr>
        <w:t>. 2022.</w:t>
      </w:r>
    </w:p>
    <w:bookmarkEnd w:id="77"/>
    <w:p w14:paraId="350282C4" w14:textId="77777777" w:rsidR="006D0A29" w:rsidRPr="005E4BEA" w:rsidRDefault="006D0A29" w:rsidP="006D0A29">
      <w:pPr>
        <w:spacing w:line="240" w:lineRule="auto"/>
        <w:jc w:val="both"/>
        <w:rPr>
          <w:rFonts w:eastAsiaTheme="minorHAnsi" w:cs="Arial"/>
          <w:i/>
          <w:color w:val="808080" w:themeColor="background1" w:themeShade="80"/>
          <w:szCs w:val="20"/>
        </w:rPr>
      </w:pPr>
      <w:r w:rsidRPr="005E4BEA">
        <w:br/>
      </w:r>
      <w:r w:rsidRPr="005E4BEA">
        <w:br/>
      </w:r>
      <w:r w:rsidRPr="005E4BEA">
        <w:rPr>
          <w:rFonts w:eastAsiaTheme="minorHAnsi" w:cs="Arial"/>
          <w:b/>
          <w:bCs/>
          <w:i/>
          <w:color w:val="808080" w:themeColor="background1" w:themeShade="80"/>
          <w:szCs w:val="20"/>
        </w:rPr>
        <w:t>Obrazložitev:</w:t>
      </w:r>
      <w:r w:rsidRPr="005E4BEA">
        <w:rPr>
          <w:rFonts w:eastAsiaTheme="minorHAnsi" w:cs="Arial"/>
          <w:b/>
          <w:bCs/>
          <w:i/>
          <w:color w:val="808080" w:themeColor="background1" w:themeShade="80"/>
          <w:szCs w:val="20"/>
        </w:rPr>
        <w:br/>
      </w:r>
      <w:r w:rsidRPr="005E4BEA">
        <w:rPr>
          <w:rFonts w:eastAsiaTheme="minorHAnsi" w:cs="Arial"/>
          <w:i/>
          <w:color w:val="808080" w:themeColor="background1" w:themeShade="80"/>
          <w:szCs w:val="20"/>
        </w:rPr>
        <w:lastRenderedPageBreak/>
        <w:t>Predlagamo določbo v SD, na osnovi katere bodo izvajalci zavezani sporočati ali objavljati konkretne podatke o storilnosti po nosilcu. Glede na to, da izvajalci te podatke že spremljajo, sporočanje ne bi smelo biti težava, podatki pa bodo osnova za pripravo izhodišč za potencialno variabilno nagrajevanje.</w:t>
      </w:r>
    </w:p>
    <w:p w14:paraId="135F1133" w14:textId="77777777" w:rsidR="006D0A29" w:rsidRPr="005E4BEA" w:rsidRDefault="006D0A29" w:rsidP="00692030">
      <w:pPr>
        <w:spacing w:after="120" w:line="240" w:lineRule="auto"/>
        <w:jc w:val="both"/>
        <w:rPr>
          <w:rFonts w:eastAsia="Arial Narrow" w:cs="Arial"/>
          <w:szCs w:val="20"/>
          <w:lang w:eastAsia="sl-SI"/>
        </w:rPr>
      </w:pPr>
    </w:p>
    <w:p w14:paraId="612574B0" w14:textId="734F7B9F" w:rsidR="00692030" w:rsidRPr="005E4BEA" w:rsidRDefault="00692030" w:rsidP="00692030">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1</w:t>
      </w:r>
      <w:r w:rsidRPr="005E4BEA">
        <w:t xml:space="preserve"> (</w:t>
      </w:r>
      <w:r w:rsidRPr="005E4BEA">
        <w:rPr>
          <w:rFonts w:eastAsiaTheme="minorHAnsi" w:cs="Arial"/>
          <w:b/>
          <w:bCs/>
          <w:i/>
          <w:color w:val="808080" w:themeColor="background1" w:themeShade="80"/>
          <w:szCs w:val="20"/>
        </w:rPr>
        <w:t xml:space="preserve">Genetsko presejalno odkrivanje in celostna obravnava otrok in mladostnikov z družinsko </w:t>
      </w:r>
      <w:proofErr w:type="spellStart"/>
      <w:r w:rsidRPr="005E4BEA">
        <w:rPr>
          <w:rFonts w:eastAsiaTheme="minorHAnsi" w:cs="Arial"/>
          <w:b/>
          <w:bCs/>
          <w:i/>
          <w:color w:val="808080" w:themeColor="background1" w:themeShade="80"/>
          <w:szCs w:val="20"/>
        </w:rPr>
        <w:t>hiperholesterolemijo</w:t>
      </w:r>
      <w:proofErr w:type="spellEnd"/>
      <w:r w:rsidRPr="005E4BEA">
        <w:rPr>
          <w:rFonts w:eastAsiaTheme="minorHAnsi" w:cs="Arial"/>
          <w:b/>
          <w:bCs/>
          <w:i/>
          <w:color w:val="808080" w:themeColor="background1" w:themeShade="80"/>
          <w:szCs w:val="20"/>
        </w:rPr>
        <w:t>):</w:t>
      </w:r>
    </w:p>
    <w:p w14:paraId="0EC1F1CB" w14:textId="77777777" w:rsidR="00692030" w:rsidRPr="005E4BEA" w:rsidRDefault="00692030" w:rsidP="0069203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genetsko presejalno odkrivanje in celostna obravnava otrok in mladostnikov z družinsko </w:t>
      </w:r>
      <w:proofErr w:type="spellStart"/>
      <w:r w:rsidRPr="005E4BEA">
        <w:rPr>
          <w:rFonts w:eastAsiaTheme="minorHAnsi" w:cs="Arial"/>
          <w:i/>
          <w:color w:val="808080" w:themeColor="background1" w:themeShade="80"/>
          <w:szCs w:val="20"/>
        </w:rPr>
        <w:t>hiperholesterolemijo</w:t>
      </w:r>
      <w:proofErr w:type="spellEnd"/>
      <w:r w:rsidRPr="005E4BEA">
        <w:rPr>
          <w:rFonts w:eastAsiaTheme="minorHAnsi" w:cs="Arial"/>
          <w:i/>
          <w:color w:val="808080" w:themeColor="background1" w:themeShade="80"/>
          <w:szCs w:val="20"/>
        </w:rPr>
        <w:t xml:space="preserve"> bo izvajal UKC LJ, Pediatrična klinika, Klinični oddelek za KO za endokrinologijo, diabetes in bolezni presnove in Služba za specialno laboratorijsko diagnostiko. Izvajalec ima pripravljeno klinično pot. Za namen evidentiranja in obračunavanja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bo ZZZS opredelil dve novi E storitvi, tj. E0XXX Genetsko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in E0XXX Nadaljnja celostna obravnava. Storitvi se bosta evidentirali in obračunali v okviru specialistične </w:t>
      </w:r>
      <w:proofErr w:type="spellStart"/>
      <w:r w:rsidRPr="005E4BEA">
        <w:rPr>
          <w:rFonts w:eastAsiaTheme="minorHAnsi" w:cs="Arial"/>
          <w:i/>
          <w:color w:val="808080" w:themeColor="background1" w:themeShade="80"/>
          <w:szCs w:val="20"/>
        </w:rPr>
        <w:t>zunajbolnišnične</w:t>
      </w:r>
      <w:proofErr w:type="spellEnd"/>
      <w:r w:rsidRPr="005E4BEA">
        <w:rPr>
          <w:rFonts w:eastAsiaTheme="minorHAnsi" w:cs="Arial"/>
          <w:i/>
          <w:color w:val="808080" w:themeColor="background1" w:themeShade="80"/>
          <w:szCs w:val="20"/>
        </w:rPr>
        <w:t xml:space="preserve"> zdravstvene dejavnosti pediatrije. Ceni storitev, po dodatnih </w:t>
      </w:r>
      <w:proofErr w:type="spellStart"/>
      <w:r w:rsidRPr="005E4BEA">
        <w:rPr>
          <w:rFonts w:eastAsiaTheme="minorHAnsi" w:cs="Arial"/>
          <w:i/>
          <w:color w:val="808080" w:themeColor="background1" w:themeShade="80"/>
          <w:szCs w:val="20"/>
        </w:rPr>
        <w:t>preverkah</w:t>
      </w:r>
      <w:proofErr w:type="spellEnd"/>
      <w:r w:rsidRPr="005E4BEA">
        <w:rPr>
          <w:rFonts w:eastAsiaTheme="minorHAnsi" w:cs="Arial"/>
          <w:i/>
          <w:color w:val="808080" w:themeColor="background1" w:themeShade="80"/>
          <w:szCs w:val="20"/>
        </w:rPr>
        <w:t xml:space="preserve"> ZZZS, znašata 766,82 EUR oz. 76,20 EUR. ZZZS bo plačal vse izvedene storitve (letni plan 1.600 storitev) do planirane letne vrednosti programa (299.250,00 EUR).</w:t>
      </w:r>
    </w:p>
    <w:p w14:paraId="2C762263" w14:textId="77777777" w:rsidR="00692030" w:rsidRPr="005E4BEA" w:rsidRDefault="00692030" w:rsidP="00692030">
      <w:pPr>
        <w:spacing w:line="240" w:lineRule="auto"/>
        <w:jc w:val="both"/>
        <w:rPr>
          <w:rFonts w:eastAsiaTheme="minorHAnsi" w:cs="Arial"/>
          <w:i/>
          <w:color w:val="808080" w:themeColor="background1" w:themeShade="80"/>
          <w:szCs w:val="20"/>
        </w:rPr>
      </w:pPr>
    </w:p>
    <w:p w14:paraId="4B11F293" w14:textId="1FF4C28B" w:rsidR="00692030" w:rsidRPr="005E4BEA" w:rsidRDefault="00692030" w:rsidP="00692030">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299.249,62 eur na letni ravni.</w:t>
      </w:r>
    </w:p>
    <w:p w14:paraId="0BD80BDE" w14:textId="77777777" w:rsidR="00692030" w:rsidRPr="005E4BEA" w:rsidRDefault="00692030" w:rsidP="00692030">
      <w:pPr>
        <w:spacing w:line="240" w:lineRule="auto"/>
        <w:jc w:val="both"/>
        <w:rPr>
          <w:rFonts w:eastAsiaTheme="minorHAnsi" w:cs="Arial"/>
          <w:b/>
          <w:bCs/>
          <w:i/>
          <w:color w:val="808080" w:themeColor="background1" w:themeShade="80"/>
          <w:szCs w:val="20"/>
        </w:rPr>
      </w:pPr>
    </w:p>
    <w:p w14:paraId="274A8D9B" w14:textId="77777777" w:rsidR="00692030" w:rsidRPr="005E4BEA" w:rsidRDefault="00692030" w:rsidP="00692030">
      <w:pPr>
        <w:spacing w:after="120" w:line="240" w:lineRule="auto"/>
        <w:jc w:val="both"/>
        <w:rPr>
          <w:rFonts w:eastAsia="Arial Narrow" w:cs="Arial"/>
          <w:b/>
          <w:bCs/>
          <w:color w:val="000000" w:themeColor="text1"/>
          <w:szCs w:val="20"/>
          <w:lang w:eastAsia="sl-SI"/>
        </w:rPr>
      </w:pPr>
      <w:r w:rsidRPr="005E4BEA">
        <w:rPr>
          <w:rFonts w:eastAsia="Arial Narrow" w:cs="Arial"/>
          <w:b/>
          <w:bCs/>
          <w:color w:val="000000" w:themeColor="text1"/>
          <w:szCs w:val="20"/>
          <w:lang w:eastAsia="sl-SI"/>
        </w:rPr>
        <w:t>V Prilogo 1/b - Cenik storitev se vneseta naslednji storitvi:</w:t>
      </w:r>
    </w:p>
    <w:tbl>
      <w:tblPr>
        <w:tblW w:w="10005" w:type="dxa"/>
        <w:tblCellMar>
          <w:left w:w="70" w:type="dxa"/>
          <w:right w:w="70" w:type="dxa"/>
        </w:tblCellMar>
        <w:tblLook w:val="04A0" w:firstRow="1" w:lastRow="0" w:firstColumn="1" w:lastColumn="0" w:noHBand="0" w:noVBand="1"/>
      </w:tblPr>
      <w:tblGrid>
        <w:gridCol w:w="960"/>
        <w:gridCol w:w="996"/>
        <w:gridCol w:w="960"/>
        <w:gridCol w:w="6046"/>
        <w:gridCol w:w="1079"/>
      </w:tblGrid>
      <w:tr w:rsidR="00692030" w:rsidRPr="005E4BEA" w14:paraId="5AB9621B" w14:textId="77777777" w:rsidTr="006F2C89">
        <w:trPr>
          <w:trHeight w:val="852"/>
        </w:trPr>
        <w:tc>
          <w:tcPr>
            <w:tcW w:w="960" w:type="dxa"/>
            <w:tcBorders>
              <w:top w:val="single" w:sz="4" w:space="0" w:color="808080"/>
              <w:left w:val="single" w:sz="4" w:space="0" w:color="808080"/>
              <w:bottom w:val="nil"/>
              <w:right w:val="single" w:sz="4" w:space="0" w:color="808080"/>
            </w:tcBorders>
            <w:shd w:val="clear" w:color="auto" w:fill="auto"/>
            <w:noWrap/>
            <w:vAlign w:val="bottom"/>
            <w:hideMark/>
          </w:tcPr>
          <w:p w14:paraId="72274D5F" w14:textId="77777777" w:rsidR="00692030" w:rsidRPr="005E4BEA" w:rsidRDefault="00692030" w:rsidP="006F2C89">
            <w:pPr>
              <w:spacing w:line="240" w:lineRule="auto"/>
              <w:rPr>
                <w:rFonts w:cs="Arial"/>
                <w:b/>
                <w:bCs/>
                <w:szCs w:val="20"/>
                <w:lang w:eastAsia="sl-SI"/>
              </w:rPr>
            </w:pPr>
            <w:r w:rsidRPr="005E4BEA">
              <w:rPr>
                <w:rFonts w:cs="Arial"/>
                <w:b/>
                <w:bCs/>
                <w:szCs w:val="20"/>
                <w:lang w:eastAsia="sl-SI"/>
              </w:rPr>
              <w:t>Vrsta</w:t>
            </w:r>
          </w:p>
        </w:tc>
        <w:tc>
          <w:tcPr>
            <w:tcW w:w="960" w:type="dxa"/>
            <w:tcBorders>
              <w:top w:val="single" w:sz="4" w:space="0" w:color="808080"/>
              <w:left w:val="nil"/>
              <w:bottom w:val="nil"/>
              <w:right w:val="single" w:sz="4" w:space="0" w:color="808080"/>
            </w:tcBorders>
            <w:shd w:val="clear" w:color="auto" w:fill="auto"/>
            <w:noWrap/>
            <w:vAlign w:val="bottom"/>
            <w:hideMark/>
          </w:tcPr>
          <w:p w14:paraId="68D01C16" w14:textId="77777777" w:rsidR="00692030" w:rsidRPr="005E4BEA" w:rsidRDefault="00692030" w:rsidP="006F2C89">
            <w:pPr>
              <w:spacing w:line="240" w:lineRule="auto"/>
              <w:rPr>
                <w:rFonts w:cs="Arial"/>
                <w:b/>
                <w:bCs/>
                <w:szCs w:val="20"/>
                <w:lang w:eastAsia="sl-SI"/>
              </w:rPr>
            </w:pPr>
            <w:r w:rsidRPr="005E4BEA">
              <w:rPr>
                <w:rFonts w:cs="Arial"/>
                <w:b/>
                <w:bCs/>
                <w:szCs w:val="20"/>
                <w:lang w:eastAsia="sl-SI"/>
              </w:rPr>
              <w:t>Podvrsta</w:t>
            </w:r>
          </w:p>
        </w:tc>
        <w:tc>
          <w:tcPr>
            <w:tcW w:w="960" w:type="dxa"/>
            <w:tcBorders>
              <w:top w:val="single" w:sz="4" w:space="0" w:color="808080"/>
              <w:left w:val="nil"/>
              <w:bottom w:val="nil"/>
              <w:right w:val="single" w:sz="4" w:space="0" w:color="808080"/>
            </w:tcBorders>
            <w:shd w:val="clear" w:color="auto" w:fill="auto"/>
            <w:noWrap/>
            <w:vAlign w:val="bottom"/>
            <w:hideMark/>
          </w:tcPr>
          <w:p w14:paraId="12D26B76" w14:textId="77777777" w:rsidR="00692030" w:rsidRPr="005E4BEA" w:rsidRDefault="00692030" w:rsidP="006F2C89">
            <w:pPr>
              <w:spacing w:line="240" w:lineRule="auto"/>
              <w:rPr>
                <w:rFonts w:cs="Arial"/>
                <w:b/>
                <w:bCs/>
                <w:szCs w:val="20"/>
                <w:lang w:eastAsia="sl-SI"/>
              </w:rPr>
            </w:pPr>
            <w:r w:rsidRPr="005E4BEA">
              <w:rPr>
                <w:rFonts w:cs="Arial"/>
                <w:b/>
                <w:bCs/>
                <w:szCs w:val="20"/>
                <w:lang w:eastAsia="sl-SI"/>
              </w:rPr>
              <w:t>Storitev</w:t>
            </w:r>
          </w:p>
        </w:tc>
        <w:tc>
          <w:tcPr>
            <w:tcW w:w="6046" w:type="dxa"/>
            <w:tcBorders>
              <w:top w:val="single" w:sz="4" w:space="0" w:color="808080"/>
              <w:left w:val="nil"/>
              <w:bottom w:val="single" w:sz="4" w:space="0" w:color="808080"/>
              <w:right w:val="nil"/>
            </w:tcBorders>
            <w:shd w:val="clear" w:color="auto" w:fill="auto"/>
            <w:noWrap/>
            <w:vAlign w:val="bottom"/>
            <w:hideMark/>
          </w:tcPr>
          <w:p w14:paraId="2D713DD3" w14:textId="77777777" w:rsidR="00692030" w:rsidRPr="005E4BEA" w:rsidRDefault="00692030" w:rsidP="006F2C89">
            <w:pPr>
              <w:spacing w:line="240" w:lineRule="auto"/>
              <w:rPr>
                <w:rFonts w:cs="Arial"/>
                <w:b/>
                <w:bCs/>
                <w:szCs w:val="20"/>
                <w:lang w:eastAsia="sl-SI"/>
              </w:rPr>
            </w:pPr>
            <w:r w:rsidRPr="005E4BEA">
              <w:rPr>
                <w:rFonts w:cs="Arial"/>
                <w:b/>
                <w:bCs/>
                <w:szCs w:val="20"/>
                <w:lang w:eastAsia="sl-SI"/>
              </w:rPr>
              <w:t>Naziv</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D84B7" w14:textId="77777777" w:rsidR="00692030" w:rsidRPr="005E4BEA" w:rsidRDefault="00692030" w:rsidP="006F2C89">
            <w:pPr>
              <w:spacing w:line="240" w:lineRule="auto"/>
              <w:jc w:val="center"/>
              <w:rPr>
                <w:rFonts w:cs="Arial"/>
                <w:b/>
                <w:bCs/>
                <w:szCs w:val="20"/>
                <w:lang w:eastAsia="sl-SI"/>
              </w:rPr>
            </w:pPr>
            <w:r w:rsidRPr="005E4BEA">
              <w:rPr>
                <w:rFonts w:cs="Arial"/>
                <w:b/>
                <w:bCs/>
                <w:szCs w:val="20"/>
                <w:lang w:eastAsia="sl-SI"/>
              </w:rPr>
              <w:t>CENA v EUR</w:t>
            </w:r>
          </w:p>
        </w:tc>
      </w:tr>
      <w:tr w:rsidR="00692030" w:rsidRPr="005E4BEA" w14:paraId="08BD7216" w14:textId="77777777" w:rsidTr="006F2C89">
        <w:trPr>
          <w:trHeight w:val="559"/>
        </w:trPr>
        <w:tc>
          <w:tcPr>
            <w:tcW w:w="960" w:type="dxa"/>
            <w:tcBorders>
              <w:top w:val="single" w:sz="4" w:space="0" w:color="auto"/>
              <w:left w:val="single" w:sz="4" w:space="0" w:color="auto"/>
              <w:bottom w:val="nil"/>
              <w:right w:val="nil"/>
            </w:tcBorders>
            <w:shd w:val="clear" w:color="auto" w:fill="auto"/>
            <w:noWrap/>
            <w:vAlign w:val="bottom"/>
            <w:hideMark/>
          </w:tcPr>
          <w:p w14:paraId="14F588F1" w14:textId="77777777" w:rsidR="00692030" w:rsidRPr="005E4BEA" w:rsidRDefault="00692030" w:rsidP="006F2C89">
            <w:pPr>
              <w:spacing w:line="240" w:lineRule="auto"/>
              <w:rPr>
                <w:rFonts w:cs="Arial"/>
                <w:color w:val="BFBFBF"/>
                <w:szCs w:val="20"/>
                <w:lang w:eastAsia="sl-SI"/>
              </w:rPr>
            </w:pPr>
            <w:r w:rsidRPr="005E4BEA">
              <w:rPr>
                <w:rFonts w:cs="Arial"/>
                <w:color w:val="BFBFBF"/>
                <w:szCs w:val="20"/>
                <w:lang w:eastAsia="sl-SI"/>
              </w:rPr>
              <w:t xml:space="preserve">  </w:t>
            </w:r>
          </w:p>
        </w:tc>
        <w:tc>
          <w:tcPr>
            <w:tcW w:w="960" w:type="dxa"/>
            <w:tcBorders>
              <w:top w:val="single" w:sz="4" w:space="0" w:color="auto"/>
              <w:left w:val="nil"/>
              <w:bottom w:val="nil"/>
              <w:right w:val="nil"/>
            </w:tcBorders>
            <w:shd w:val="clear" w:color="auto" w:fill="auto"/>
            <w:noWrap/>
            <w:vAlign w:val="bottom"/>
            <w:hideMark/>
          </w:tcPr>
          <w:p w14:paraId="2A9344F1" w14:textId="77777777" w:rsidR="00692030" w:rsidRPr="005E4BEA" w:rsidRDefault="00692030" w:rsidP="006F2C89">
            <w:pPr>
              <w:spacing w:line="240" w:lineRule="auto"/>
              <w:rPr>
                <w:rFonts w:cs="Arial"/>
                <w:color w:val="BFBFBF"/>
                <w:szCs w:val="20"/>
                <w:lang w:eastAsia="sl-SI"/>
              </w:rPr>
            </w:pPr>
            <w:r w:rsidRPr="005E4BEA">
              <w:rPr>
                <w:rFonts w:cs="Arial"/>
                <w:color w:val="BFBFBF"/>
                <w:szCs w:val="20"/>
                <w:lang w:eastAsia="sl-SI"/>
              </w:rPr>
              <w:t> </w:t>
            </w:r>
          </w:p>
        </w:tc>
        <w:tc>
          <w:tcPr>
            <w:tcW w:w="960" w:type="dxa"/>
            <w:tcBorders>
              <w:top w:val="single" w:sz="4" w:space="0" w:color="auto"/>
              <w:left w:val="nil"/>
              <w:bottom w:val="nil"/>
              <w:right w:val="single" w:sz="4" w:space="0" w:color="auto"/>
            </w:tcBorders>
            <w:shd w:val="clear" w:color="auto" w:fill="auto"/>
            <w:noWrap/>
            <w:vAlign w:val="bottom"/>
            <w:hideMark/>
          </w:tcPr>
          <w:p w14:paraId="6EC89EA6" w14:textId="77777777" w:rsidR="00692030" w:rsidRPr="005E4BEA" w:rsidRDefault="00692030" w:rsidP="006F2C89">
            <w:pPr>
              <w:spacing w:line="240" w:lineRule="auto"/>
              <w:rPr>
                <w:rFonts w:cs="Arial"/>
                <w:color w:val="BFBFBF"/>
                <w:szCs w:val="20"/>
                <w:lang w:eastAsia="sl-SI"/>
              </w:rPr>
            </w:pPr>
            <w:r w:rsidRPr="005E4BEA">
              <w:rPr>
                <w:rFonts w:cs="Arial"/>
                <w:color w:val="BFBFBF"/>
                <w:szCs w:val="20"/>
                <w:lang w:eastAsia="sl-SI"/>
              </w:rPr>
              <w:t> </w:t>
            </w:r>
          </w:p>
        </w:tc>
        <w:tc>
          <w:tcPr>
            <w:tcW w:w="6046" w:type="dxa"/>
            <w:tcBorders>
              <w:top w:val="nil"/>
              <w:left w:val="nil"/>
              <w:bottom w:val="nil"/>
              <w:right w:val="nil"/>
            </w:tcBorders>
            <w:shd w:val="clear" w:color="auto" w:fill="auto"/>
            <w:vAlign w:val="bottom"/>
            <w:hideMark/>
          </w:tcPr>
          <w:p w14:paraId="217B42FD" w14:textId="77777777" w:rsidR="00692030" w:rsidRPr="005E4BEA" w:rsidRDefault="00692030" w:rsidP="006F2C89">
            <w:pPr>
              <w:spacing w:line="240" w:lineRule="auto"/>
              <w:rPr>
                <w:rFonts w:cs="Arial"/>
                <w:b/>
                <w:bCs/>
                <w:color w:val="000000"/>
                <w:szCs w:val="20"/>
                <w:lang w:eastAsia="sl-SI"/>
              </w:rPr>
            </w:pPr>
            <w:r w:rsidRPr="005E4BEA">
              <w:rPr>
                <w:rFonts w:eastAsia="Arial Narrow" w:cs="Arial"/>
                <w:b/>
                <w:bCs/>
                <w:color w:val="000000" w:themeColor="text1"/>
                <w:szCs w:val="20"/>
              </w:rPr>
              <w:t>G</w:t>
            </w:r>
            <w:r w:rsidRPr="005E4BEA">
              <w:rPr>
                <w:rFonts w:eastAsia="Arial Narrow" w:cs="Arial"/>
                <w:b/>
                <w:bCs/>
                <w:color w:val="000000" w:themeColor="text1"/>
                <w:szCs w:val="20"/>
                <w:lang w:eastAsia="sl-SI"/>
              </w:rPr>
              <w:t xml:space="preserve">enetsko presejalno odkrivanje in celostna obravnava otrok in mladostnikov z družinsko </w:t>
            </w:r>
            <w:proofErr w:type="spellStart"/>
            <w:r w:rsidRPr="005E4BEA">
              <w:rPr>
                <w:rFonts w:eastAsia="Arial Narrow" w:cs="Arial"/>
                <w:b/>
                <w:bCs/>
                <w:color w:val="000000" w:themeColor="text1"/>
                <w:szCs w:val="20"/>
                <w:lang w:eastAsia="sl-SI"/>
              </w:rPr>
              <w:t>hiperholesterolemijo</w:t>
            </w:r>
            <w:proofErr w:type="spellEnd"/>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0C5A0FB" w14:textId="77777777" w:rsidR="00692030" w:rsidRPr="005E4BEA" w:rsidRDefault="00692030" w:rsidP="006F2C89">
            <w:pPr>
              <w:spacing w:line="240" w:lineRule="auto"/>
              <w:rPr>
                <w:rFonts w:cs="Arial"/>
                <w:color w:val="000000"/>
                <w:szCs w:val="20"/>
                <w:lang w:eastAsia="sl-SI"/>
              </w:rPr>
            </w:pPr>
            <w:r w:rsidRPr="005E4BEA">
              <w:rPr>
                <w:rFonts w:cs="Arial"/>
                <w:color w:val="000000"/>
                <w:szCs w:val="20"/>
                <w:lang w:eastAsia="sl-SI"/>
              </w:rPr>
              <w:t> </w:t>
            </w:r>
          </w:p>
        </w:tc>
      </w:tr>
      <w:tr w:rsidR="00692030" w:rsidRPr="005E4BEA" w14:paraId="48339BAF" w14:textId="77777777" w:rsidTr="006F2C8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E729B" w14:textId="77777777" w:rsidR="00692030" w:rsidRPr="005E4BEA" w:rsidRDefault="00692030" w:rsidP="006F2C89">
            <w:pPr>
              <w:spacing w:line="240" w:lineRule="auto"/>
              <w:jc w:val="right"/>
              <w:rPr>
                <w:rFonts w:cs="Arial"/>
                <w:color w:val="000000"/>
                <w:szCs w:val="20"/>
                <w:lang w:eastAsia="sl-SI"/>
              </w:rPr>
            </w:pPr>
            <w:r w:rsidRPr="005E4BEA">
              <w:rPr>
                <w:rFonts w:cs="Arial"/>
                <w:color w:val="000000"/>
                <w:szCs w:val="20"/>
                <w:lang w:eastAsia="sl-SI"/>
              </w:rPr>
              <w:t>227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90FA27E" w14:textId="77777777" w:rsidR="00692030" w:rsidRPr="005E4BEA" w:rsidRDefault="00692030" w:rsidP="006F2C89">
            <w:pPr>
              <w:spacing w:line="240" w:lineRule="auto"/>
              <w:jc w:val="right"/>
              <w:rPr>
                <w:rFonts w:cs="Arial"/>
                <w:color w:val="000000"/>
                <w:szCs w:val="20"/>
                <w:lang w:eastAsia="sl-SI"/>
              </w:rPr>
            </w:pPr>
            <w:r w:rsidRPr="005E4BEA">
              <w:rPr>
                <w:rFonts w:cs="Arial"/>
                <w:color w:val="000000"/>
                <w:szCs w:val="20"/>
                <w:lang w:eastAsia="sl-SI"/>
              </w:rPr>
              <w:t>237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7D96AC2" w14:textId="77777777" w:rsidR="00692030" w:rsidRPr="005E4BEA" w:rsidRDefault="00692030"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tcBorders>
              <w:top w:val="single" w:sz="4" w:space="0" w:color="auto"/>
              <w:left w:val="nil"/>
              <w:bottom w:val="single" w:sz="4" w:space="0" w:color="auto"/>
              <w:right w:val="single" w:sz="4" w:space="0" w:color="auto"/>
            </w:tcBorders>
            <w:shd w:val="clear" w:color="auto" w:fill="auto"/>
            <w:noWrap/>
            <w:vAlign w:val="bottom"/>
          </w:tcPr>
          <w:p w14:paraId="3AE143AF" w14:textId="77777777" w:rsidR="00692030" w:rsidRPr="005E4BEA" w:rsidRDefault="00692030" w:rsidP="006F2C89">
            <w:pPr>
              <w:spacing w:line="240" w:lineRule="auto"/>
              <w:rPr>
                <w:rFonts w:cs="Arial"/>
                <w:color w:val="000000"/>
                <w:szCs w:val="20"/>
                <w:lang w:eastAsia="sl-SI"/>
              </w:rPr>
            </w:pPr>
            <w:r w:rsidRPr="005E4BEA">
              <w:rPr>
                <w:rFonts w:cs="Arial"/>
                <w:color w:val="000000"/>
                <w:szCs w:val="20"/>
                <w:lang w:eastAsia="sl-SI"/>
              </w:rPr>
              <w:t xml:space="preserve">Genetsko </w:t>
            </w:r>
            <w:proofErr w:type="spellStart"/>
            <w:r w:rsidRPr="005E4BEA">
              <w:rPr>
                <w:rFonts w:cs="Arial"/>
                <w:color w:val="000000"/>
                <w:szCs w:val="20"/>
                <w:lang w:eastAsia="sl-SI"/>
              </w:rPr>
              <w:t>presejanje</w:t>
            </w:r>
            <w:proofErr w:type="spellEnd"/>
          </w:p>
        </w:tc>
        <w:tc>
          <w:tcPr>
            <w:tcW w:w="1079" w:type="dxa"/>
            <w:tcBorders>
              <w:top w:val="nil"/>
              <w:left w:val="nil"/>
              <w:bottom w:val="single" w:sz="4" w:space="0" w:color="auto"/>
              <w:right w:val="single" w:sz="4" w:space="0" w:color="auto"/>
            </w:tcBorders>
            <w:shd w:val="clear" w:color="auto" w:fill="auto"/>
            <w:noWrap/>
            <w:vAlign w:val="bottom"/>
          </w:tcPr>
          <w:p w14:paraId="6EEE54AE" w14:textId="77777777" w:rsidR="00692030" w:rsidRPr="005E4BEA" w:rsidRDefault="00692030" w:rsidP="006F2C89">
            <w:pPr>
              <w:spacing w:line="240" w:lineRule="auto"/>
              <w:jc w:val="right"/>
              <w:rPr>
                <w:rFonts w:cs="Arial"/>
                <w:szCs w:val="20"/>
                <w:lang w:eastAsia="sl-SI"/>
              </w:rPr>
            </w:pPr>
            <w:r w:rsidRPr="005E4BEA">
              <w:rPr>
                <w:rFonts w:cs="Arial"/>
                <w:szCs w:val="20"/>
                <w:lang w:eastAsia="sl-SI"/>
              </w:rPr>
              <w:t>766,82</w:t>
            </w:r>
          </w:p>
        </w:tc>
      </w:tr>
      <w:tr w:rsidR="00692030" w:rsidRPr="005E4BEA" w14:paraId="342C5ACF" w14:textId="77777777" w:rsidTr="006F2C8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867CE" w14:textId="77777777" w:rsidR="00692030" w:rsidRPr="005E4BEA" w:rsidRDefault="00692030" w:rsidP="006F2C89">
            <w:pPr>
              <w:spacing w:line="240" w:lineRule="auto"/>
              <w:jc w:val="right"/>
              <w:rPr>
                <w:rFonts w:cs="Arial"/>
                <w:color w:val="000000"/>
                <w:szCs w:val="20"/>
                <w:lang w:eastAsia="sl-SI"/>
              </w:rPr>
            </w:pPr>
            <w:r w:rsidRPr="005E4BEA">
              <w:rPr>
                <w:rFonts w:cs="Arial"/>
                <w:color w:val="000000"/>
                <w:szCs w:val="20"/>
                <w:lang w:eastAsia="sl-SI"/>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E344DF" w14:textId="77777777" w:rsidR="00692030" w:rsidRPr="005E4BEA" w:rsidRDefault="00692030" w:rsidP="006F2C89">
            <w:pPr>
              <w:spacing w:line="240" w:lineRule="auto"/>
              <w:jc w:val="right"/>
              <w:rPr>
                <w:rFonts w:cs="Arial"/>
                <w:color w:val="000000"/>
                <w:szCs w:val="20"/>
                <w:lang w:eastAsia="sl-SI"/>
              </w:rPr>
            </w:pPr>
            <w:r w:rsidRPr="005E4BEA">
              <w:rPr>
                <w:rFonts w:cs="Arial"/>
                <w:color w:val="000000"/>
                <w:szCs w:val="20"/>
                <w:lang w:eastAsia="sl-SI"/>
              </w:rPr>
              <w:t>237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D5DC62" w14:textId="77777777" w:rsidR="00692030" w:rsidRPr="005E4BEA" w:rsidRDefault="00692030"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tcBorders>
              <w:top w:val="single" w:sz="4" w:space="0" w:color="auto"/>
              <w:left w:val="nil"/>
              <w:bottom w:val="single" w:sz="4" w:space="0" w:color="auto"/>
              <w:right w:val="single" w:sz="4" w:space="0" w:color="auto"/>
            </w:tcBorders>
            <w:shd w:val="clear" w:color="auto" w:fill="auto"/>
            <w:noWrap/>
            <w:vAlign w:val="bottom"/>
            <w:hideMark/>
          </w:tcPr>
          <w:p w14:paraId="60744602" w14:textId="77777777" w:rsidR="00692030" w:rsidRPr="005E4BEA" w:rsidRDefault="00692030" w:rsidP="006F2C89">
            <w:pPr>
              <w:spacing w:line="240" w:lineRule="auto"/>
              <w:rPr>
                <w:rFonts w:cs="Arial"/>
                <w:color w:val="000000"/>
                <w:szCs w:val="20"/>
                <w:lang w:eastAsia="sl-SI"/>
              </w:rPr>
            </w:pPr>
            <w:r w:rsidRPr="005E4BEA">
              <w:rPr>
                <w:rFonts w:cs="Arial"/>
                <w:color w:val="000000"/>
                <w:szCs w:val="20"/>
                <w:lang w:eastAsia="sl-SI"/>
              </w:rPr>
              <w:t>Nadaljnja celostna obravnava</w:t>
            </w:r>
          </w:p>
        </w:tc>
        <w:tc>
          <w:tcPr>
            <w:tcW w:w="1079" w:type="dxa"/>
            <w:tcBorders>
              <w:top w:val="nil"/>
              <w:left w:val="nil"/>
              <w:bottom w:val="single" w:sz="4" w:space="0" w:color="auto"/>
              <w:right w:val="single" w:sz="4" w:space="0" w:color="auto"/>
            </w:tcBorders>
            <w:shd w:val="clear" w:color="auto" w:fill="auto"/>
            <w:noWrap/>
            <w:vAlign w:val="bottom"/>
            <w:hideMark/>
          </w:tcPr>
          <w:p w14:paraId="67AEB395" w14:textId="77777777" w:rsidR="00692030" w:rsidRPr="005E4BEA" w:rsidRDefault="00692030" w:rsidP="006F2C89">
            <w:pPr>
              <w:spacing w:line="240" w:lineRule="auto"/>
              <w:jc w:val="right"/>
              <w:rPr>
                <w:rFonts w:cs="Arial"/>
                <w:szCs w:val="20"/>
                <w:lang w:eastAsia="sl-SI"/>
              </w:rPr>
            </w:pPr>
            <w:r w:rsidRPr="005E4BEA">
              <w:rPr>
                <w:rFonts w:cs="Arial"/>
                <w:szCs w:val="20"/>
                <w:lang w:eastAsia="sl-SI"/>
              </w:rPr>
              <w:t>76,20</w:t>
            </w:r>
          </w:p>
        </w:tc>
      </w:tr>
    </w:tbl>
    <w:p w14:paraId="24A47E75" w14:textId="77777777" w:rsidR="00692030" w:rsidRPr="005E4BEA" w:rsidRDefault="00692030" w:rsidP="00692030">
      <w:pPr>
        <w:pStyle w:val="Brezrazmikov"/>
        <w:rPr>
          <w:rFonts w:ascii="Arial Narrow" w:hAnsi="Arial Narrow"/>
          <w:lang w:eastAsia="sl-SI"/>
        </w:rPr>
      </w:pPr>
    </w:p>
    <w:p w14:paraId="6E7D06B2" w14:textId="4B4676AD" w:rsidR="00692030" w:rsidRPr="005E4BEA" w:rsidRDefault="00692030" w:rsidP="00692030">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2 (</w:t>
      </w:r>
      <w:proofErr w:type="spellStart"/>
      <w:r w:rsidRPr="005E4BEA">
        <w:rPr>
          <w:rFonts w:eastAsiaTheme="minorHAnsi" w:cs="Arial"/>
          <w:b/>
          <w:bCs/>
          <w:i/>
          <w:color w:val="808080" w:themeColor="background1" w:themeShade="80"/>
          <w:szCs w:val="20"/>
        </w:rPr>
        <w:t>Eozinofilne</w:t>
      </w:r>
      <w:proofErr w:type="spellEnd"/>
      <w:r w:rsidRPr="005E4BEA">
        <w:rPr>
          <w:rFonts w:eastAsiaTheme="minorHAnsi" w:cs="Arial"/>
          <w:b/>
          <w:bCs/>
          <w:i/>
          <w:color w:val="808080" w:themeColor="background1" w:themeShade="80"/>
          <w:szCs w:val="20"/>
        </w:rPr>
        <w:t xml:space="preserve"> bolezni prebavil: Diagnostika in zdravljenje pri otrocih in mladostnikih):</w:t>
      </w:r>
    </w:p>
    <w:p w14:paraId="5BEEC930" w14:textId="5F23B473" w:rsidR="00692030" w:rsidRPr="005E4BEA" w:rsidRDefault="00692030" w:rsidP="00692030">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w:t>
      </w:r>
      <w:proofErr w:type="spellStart"/>
      <w:r w:rsidRPr="005E4BEA">
        <w:rPr>
          <w:rFonts w:eastAsiaTheme="minorHAnsi" w:cs="Arial"/>
          <w:i/>
          <w:color w:val="808080" w:themeColor="background1" w:themeShade="80"/>
          <w:szCs w:val="20"/>
        </w:rPr>
        <w:t>Eozinofilne</w:t>
      </w:r>
      <w:proofErr w:type="spellEnd"/>
      <w:r w:rsidRPr="005E4BEA">
        <w:rPr>
          <w:rFonts w:eastAsiaTheme="minorHAnsi" w:cs="Arial"/>
          <w:i/>
          <w:color w:val="808080" w:themeColor="background1" w:themeShade="80"/>
          <w:szCs w:val="20"/>
        </w:rPr>
        <w:t xml:space="preserve"> bolezni prebavil: diagnostika in zdravljenje pri otrocih in mladostnikih bo izvajal UKC LJ, Pediatrična klinika, Klinični oddelek za </w:t>
      </w:r>
      <w:proofErr w:type="spellStart"/>
      <w:r w:rsidRPr="005E4BEA">
        <w:rPr>
          <w:rFonts w:eastAsiaTheme="minorHAnsi" w:cs="Arial"/>
          <w:i/>
          <w:color w:val="808080" w:themeColor="background1" w:themeShade="80"/>
          <w:szCs w:val="20"/>
        </w:rPr>
        <w:t>gastroenterologijo</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hepatologijo</w:t>
      </w:r>
      <w:proofErr w:type="spellEnd"/>
      <w:r w:rsidRPr="005E4BEA">
        <w:rPr>
          <w:rFonts w:eastAsiaTheme="minorHAnsi" w:cs="Arial"/>
          <w:i/>
          <w:color w:val="808080" w:themeColor="background1" w:themeShade="80"/>
          <w:szCs w:val="20"/>
        </w:rPr>
        <w:t xml:space="preserve"> in </w:t>
      </w:r>
      <w:proofErr w:type="spellStart"/>
      <w:r w:rsidRPr="005E4BEA">
        <w:rPr>
          <w:rFonts w:eastAsiaTheme="minorHAnsi" w:cs="Arial"/>
          <w:i/>
          <w:color w:val="808080" w:themeColor="background1" w:themeShade="80"/>
          <w:szCs w:val="20"/>
        </w:rPr>
        <w:t>nutricionistiko</w:t>
      </w:r>
      <w:proofErr w:type="spellEnd"/>
      <w:r w:rsidRPr="005E4BEA">
        <w:rPr>
          <w:rFonts w:eastAsiaTheme="minorHAnsi" w:cs="Arial"/>
          <w:i/>
          <w:color w:val="808080" w:themeColor="background1" w:themeShade="80"/>
          <w:szCs w:val="20"/>
        </w:rPr>
        <w:t xml:space="preserve">. Izvajalec ima pripravljeno klinično pot za obravnavo bolnikov z </w:t>
      </w:r>
      <w:proofErr w:type="spellStart"/>
      <w:r w:rsidRPr="005E4BEA">
        <w:rPr>
          <w:rFonts w:eastAsiaTheme="minorHAnsi" w:cs="Arial"/>
          <w:i/>
          <w:color w:val="808080" w:themeColor="background1" w:themeShade="80"/>
          <w:szCs w:val="20"/>
        </w:rPr>
        <w:t>eozinofilnim</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ezofagitisom</w:t>
      </w:r>
      <w:proofErr w:type="spellEnd"/>
      <w:r w:rsidRPr="005E4BEA">
        <w:rPr>
          <w:rFonts w:eastAsiaTheme="minorHAnsi" w:cs="Arial"/>
          <w:i/>
          <w:color w:val="808080" w:themeColor="background1" w:themeShade="80"/>
          <w:szCs w:val="20"/>
        </w:rPr>
        <w:t>. ZZZS je vzpostavil sodelovanje s predlagateljem programa, ki želi aktivno sodelovati pri pripravi vsebine – seznama storitev; v času priprave tega gradiva, se pripravljajo izhodišča.</w:t>
      </w:r>
    </w:p>
    <w:p w14:paraId="77CE8441" w14:textId="77777777" w:rsidR="00692030" w:rsidRPr="005E4BEA" w:rsidRDefault="00692030" w:rsidP="00692030">
      <w:pPr>
        <w:spacing w:line="240" w:lineRule="auto"/>
        <w:jc w:val="both"/>
        <w:rPr>
          <w:rFonts w:eastAsiaTheme="minorHAnsi" w:cs="Arial"/>
          <w:i/>
          <w:color w:val="808080" w:themeColor="background1" w:themeShade="80"/>
          <w:szCs w:val="20"/>
        </w:rPr>
      </w:pPr>
    </w:p>
    <w:p w14:paraId="18481785" w14:textId="71B6D0BB" w:rsidR="00692030" w:rsidRPr="005E4BEA" w:rsidRDefault="00692030" w:rsidP="00692030">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 namen evidentiranja in obračunavanja storitev v okviru tega programa je ZZZS preveril vrednost programa in predvideno število obravnavanih bolnikov (storitev). V okviru nove specializirane </w:t>
      </w:r>
      <w:proofErr w:type="spellStart"/>
      <w:r w:rsidRPr="005E4BEA">
        <w:rPr>
          <w:rFonts w:eastAsiaTheme="minorHAnsi" w:cs="Arial"/>
          <w:i/>
          <w:color w:val="808080" w:themeColor="background1" w:themeShade="80"/>
          <w:szCs w:val="20"/>
        </w:rPr>
        <w:t>gastroenterološke</w:t>
      </w:r>
      <w:proofErr w:type="spellEnd"/>
      <w:r w:rsidRPr="005E4BEA">
        <w:rPr>
          <w:rFonts w:eastAsiaTheme="minorHAnsi" w:cs="Arial"/>
          <w:i/>
          <w:color w:val="808080" w:themeColor="background1" w:themeShade="80"/>
          <w:szCs w:val="20"/>
        </w:rPr>
        <w:t xml:space="preserve"> ambulante za </w:t>
      </w:r>
      <w:proofErr w:type="spellStart"/>
      <w:r w:rsidRPr="005E4BEA">
        <w:rPr>
          <w:rFonts w:eastAsiaTheme="minorHAnsi" w:cs="Arial"/>
          <w:i/>
          <w:color w:val="808080" w:themeColor="background1" w:themeShade="80"/>
          <w:szCs w:val="20"/>
        </w:rPr>
        <w:t>eozinofilne</w:t>
      </w:r>
      <w:proofErr w:type="spellEnd"/>
      <w:r w:rsidRPr="005E4BEA">
        <w:rPr>
          <w:rFonts w:eastAsiaTheme="minorHAnsi" w:cs="Arial"/>
          <w:i/>
          <w:color w:val="808080" w:themeColor="background1" w:themeShade="80"/>
          <w:szCs w:val="20"/>
        </w:rPr>
        <w:t xml:space="preserve"> bolezni prebavil bo obravnavanih 100 bolnikov (300 do 400 obravnav tj. storitev), vrednost programa na letni ravni znaša 209.446,50 EUR (na bolnika 2.094,46 EUR). </w:t>
      </w:r>
    </w:p>
    <w:p w14:paraId="0D7285E1" w14:textId="689EF012" w:rsidR="00C602CB" w:rsidRPr="005E4BEA" w:rsidRDefault="00C602CB" w:rsidP="00692030">
      <w:pPr>
        <w:spacing w:line="240" w:lineRule="auto"/>
        <w:jc w:val="both"/>
        <w:rPr>
          <w:rFonts w:eastAsiaTheme="minorHAnsi" w:cs="Arial"/>
          <w:i/>
          <w:color w:val="808080" w:themeColor="background1" w:themeShade="80"/>
          <w:szCs w:val="20"/>
        </w:rPr>
      </w:pPr>
    </w:p>
    <w:p w14:paraId="1911941A" w14:textId="113FF59F" w:rsidR="00B364C7" w:rsidRPr="005E4BEA" w:rsidRDefault="00B364C7" w:rsidP="00B364C7">
      <w:pPr>
        <w:pStyle w:val="Brezrazmikov"/>
        <w:rPr>
          <w:rFonts w:ascii="Arial" w:hAnsi="Arial"/>
          <w:b/>
          <w:bCs/>
          <w:sz w:val="20"/>
          <w:szCs w:val="20"/>
          <w:lang w:eastAsia="sl-SI"/>
        </w:rPr>
      </w:pPr>
      <w:r w:rsidRPr="005E4BEA">
        <w:rPr>
          <w:rFonts w:ascii="Arial" w:hAnsi="Arial"/>
          <w:b/>
          <w:bCs/>
          <w:sz w:val="20"/>
          <w:szCs w:val="20"/>
          <w:lang w:eastAsia="sl-SI"/>
        </w:rPr>
        <w:t xml:space="preserve">V Prilogi III/b se  </w:t>
      </w:r>
      <w:r w:rsidR="004E4944" w:rsidRPr="005E4BEA">
        <w:rPr>
          <w:rFonts w:ascii="Arial" w:hAnsi="Arial"/>
          <w:b/>
          <w:bCs/>
          <w:sz w:val="20"/>
          <w:szCs w:val="20"/>
          <w:lang w:eastAsia="sl-SI"/>
        </w:rPr>
        <w:t xml:space="preserve">za točko 7. </w:t>
      </w:r>
      <w:r w:rsidRPr="005E4BEA">
        <w:rPr>
          <w:rFonts w:ascii="Arial" w:hAnsi="Arial"/>
          <w:b/>
          <w:bCs/>
          <w:sz w:val="20"/>
          <w:szCs w:val="20"/>
          <w:lang w:eastAsia="sl-SI"/>
        </w:rPr>
        <w:t>doda nova 8. točka, ki se glasi:</w:t>
      </w:r>
    </w:p>
    <w:p w14:paraId="526B7978" w14:textId="1F89BDB0" w:rsidR="00B364C7" w:rsidRPr="005E4BEA" w:rsidRDefault="00B364C7" w:rsidP="00B364C7">
      <w:pPr>
        <w:pStyle w:val="Brezrazmikov"/>
        <w:jc w:val="both"/>
        <w:rPr>
          <w:rFonts w:ascii="Arial" w:hAnsi="Arial"/>
          <w:sz w:val="20"/>
          <w:szCs w:val="20"/>
          <w:lang w:eastAsia="sl-SI"/>
        </w:rPr>
      </w:pPr>
      <w:r w:rsidRPr="005E4BEA">
        <w:rPr>
          <w:rFonts w:ascii="Arial" w:hAnsi="Arial"/>
          <w:sz w:val="20"/>
          <w:szCs w:val="20"/>
          <w:lang w:eastAsia="sl-SI"/>
        </w:rPr>
        <w:t xml:space="preserve">»8. </w:t>
      </w:r>
      <w:proofErr w:type="spellStart"/>
      <w:r w:rsidRPr="005E4BEA">
        <w:rPr>
          <w:rFonts w:ascii="Arial" w:hAnsi="Arial"/>
          <w:sz w:val="20"/>
          <w:szCs w:val="20"/>
          <w:lang w:eastAsia="sl-SI"/>
        </w:rPr>
        <w:t>Eozinofilne</w:t>
      </w:r>
      <w:proofErr w:type="spellEnd"/>
      <w:r w:rsidRPr="005E4BEA">
        <w:rPr>
          <w:rFonts w:ascii="Arial" w:hAnsi="Arial"/>
          <w:sz w:val="20"/>
          <w:szCs w:val="20"/>
          <w:lang w:eastAsia="sl-SI"/>
        </w:rPr>
        <w:t xml:space="preserve"> bolezni prebavil: diagnostika in zdravljenje pri otrocih in mladostnikih, genetsko presejalno odkrivanje in celostna obravnava otrok in mladostnikov z družinsko </w:t>
      </w:r>
      <w:proofErr w:type="spellStart"/>
      <w:r w:rsidRPr="005E4BEA">
        <w:rPr>
          <w:rFonts w:ascii="Arial" w:hAnsi="Arial"/>
          <w:sz w:val="20"/>
          <w:szCs w:val="20"/>
          <w:lang w:eastAsia="sl-SI"/>
        </w:rPr>
        <w:t>hiperholesterolemijo</w:t>
      </w:r>
      <w:proofErr w:type="spellEnd"/>
      <w:r w:rsidRPr="005E4BEA">
        <w:rPr>
          <w:rFonts w:ascii="Arial" w:hAnsi="Arial"/>
          <w:sz w:val="20"/>
          <w:szCs w:val="20"/>
          <w:lang w:eastAsia="sl-SI"/>
        </w:rPr>
        <w:t>.«</w:t>
      </w:r>
    </w:p>
    <w:p w14:paraId="346CDFE5" w14:textId="77777777" w:rsidR="00B364C7" w:rsidRPr="005E4BEA" w:rsidRDefault="00B364C7" w:rsidP="00692030">
      <w:pPr>
        <w:spacing w:line="240" w:lineRule="auto"/>
        <w:jc w:val="both"/>
        <w:rPr>
          <w:rFonts w:eastAsiaTheme="minorHAnsi" w:cs="Arial"/>
          <w:i/>
          <w:color w:val="808080" w:themeColor="background1" w:themeShade="80"/>
          <w:szCs w:val="20"/>
        </w:rPr>
      </w:pPr>
    </w:p>
    <w:p w14:paraId="371742D3" w14:textId="0CC7C074" w:rsidR="00C602CB" w:rsidRPr="005E4BEA" w:rsidRDefault="004E4944" w:rsidP="00F356C9">
      <w:pPr>
        <w:pStyle w:val="Odstavekseznama"/>
        <w:numPr>
          <w:ilvl w:val="0"/>
          <w:numId w:val="82"/>
        </w:numPr>
        <w:jc w:val="both"/>
        <w:rPr>
          <w:rFonts w:ascii="Arial" w:eastAsia="Calibri" w:hAnsi="Arial" w:cs="Arial"/>
          <w:sz w:val="20"/>
          <w:szCs w:val="20"/>
          <w:lang w:eastAsia="sl-SI"/>
        </w:rPr>
      </w:pPr>
      <w:r w:rsidRPr="005E4BEA">
        <w:rPr>
          <w:rFonts w:ascii="Arial" w:eastAsia="Calibri" w:hAnsi="Arial" w:cs="Arial"/>
          <w:sz w:val="20"/>
          <w:szCs w:val="20"/>
          <w:lang w:eastAsia="sl-SI"/>
        </w:rPr>
        <w:t>Zavod plača vse opravljene storitve do planirane letne vrednosti programa.</w:t>
      </w:r>
    </w:p>
    <w:p w14:paraId="1F43F2D6" w14:textId="77777777" w:rsidR="004E4944" w:rsidRPr="005E4BEA" w:rsidRDefault="004E4944" w:rsidP="004E4944">
      <w:pPr>
        <w:ind w:left="360"/>
        <w:jc w:val="both"/>
        <w:rPr>
          <w:rFonts w:eastAsiaTheme="minorHAnsi" w:cs="Arial"/>
          <w:i/>
          <w:color w:val="808080" w:themeColor="background1" w:themeShade="80"/>
          <w:szCs w:val="20"/>
        </w:rPr>
      </w:pPr>
    </w:p>
    <w:p w14:paraId="22E2892D" w14:textId="1C1AA667" w:rsidR="00C602CB" w:rsidRPr="005E4BEA" w:rsidRDefault="00C602CB" w:rsidP="00C602CB">
      <w:pPr>
        <w:spacing w:line="240" w:lineRule="auto"/>
        <w:jc w:val="both"/>
        <w:rPr>
          <w:rFonts w:eastAsiaTheme="minorHAnsi" w:cs="Arial"/>
          <w:b/>
          <w:bCs/>
          <w:i/>
          <w:color w:val="808080" w:themeColor="background1" w:themeShade="80"/>
          <w:szCs w:val="20"/>
        </w:rPr>
      </w:pPr>
      <w:bookmarkStart w:id="78" w:name="_Hlk102637373"/>
      <w:r w:rsidRPr="005E4BEA">
        <w:rPr>
          <w:rFonts w:eastAsiaTheme="minorHAnsi" w:cs="Arial"/>
          <w:b/>
          <w:bCs/>
          <w:i/>
          <w:color w:val="808080" w:themeColor="background1" w:themeShade="80"/>
          <w:szCs w:val="20"/>
        </w:rPr>
        <w:t>Obrazložitev k točki 3 (Humana mlečna banka):</w:t>
      </w:r>
    </w:p>
    <w:bookmarkEnd w:id="78"/>
    <w:p w14:paraId="049DCF5B" w14:textId="12EAEECB" w:rsidR="00C602CB" w:rsidRPr="005E4BEA" w:rsidRDefault="00C602CB" w:rsidP="00C602CB">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Humana mlečna banka bo izvajal UKC LJ (Ginekološka klinika: Klinični oddelek za </w:t>
      </w:r>
      <w:proofErr w:type="spellStart"/>
      <w:r w:rsidRPr="005E4BEA">
        <w:rPr>
          <w:rFonts w:eastAsiaTheme="minorHAnsi" w:cs="Arial"/>
          <w:i/>
          <w:color w:val="808080" w:themeColor="background1" w:themeShade="80"/>
          <w:szCs w:val="20"/>
        </w:rPr>
        <w:t>perinatologijo</w:t>
      </w:r>
      <w:proofErr w:type="spellEnd"/>
      <w:r w:rsidRPr="005E4BEA">
        <w:rPr>
          <w:rFonts w:eastAsiaTheme="minorHAnsi" w:cs="Arial"/>
          <w:i/>
          <w:color w:val="808080" w:themeColor="background1" w:themeShade="80"/>
          <w:szCs w:val="20"/>
        </w:rPr>
        <w:t xml:space="preserve">, Pediatrična klinika: Klinični oddelek za </w:t>
      </w:r>
      <w:proofErr w:type="spellStart"/>
      <w:r w:rsidRPr="005E4BEA">
        <w:rPr>
          <w:rFonts w:eastAsiaTheme="minorHAnsi" w:cs="Arial"/>
          <w:i/>
          <w:color w:val="808080" w:themeColor="background1" w:themeShade="80"/>
          <w:szCs w:val="20"/>
        </w:rPr>
        <w:t>neonatologijo</w:t>
      </w:r>
      <w:proofErr w:type="spellEnd"/>
      <w:r w:rsidRPr="005E4BEA">
        <w:rPr>
          <w:rFonts w:eastAsiaTheme="minorHAnsi" w:cs="Arial"/>
          <w:i/>
          <w:color w:val="808080" w:themeColor="background1" w:themeShade="80"/>
          <w:szCs w:val="20"/>
        </w:rPr>
        <w:t xml:space="preserve">, Klinični oddelek za intenzivno terapijo otrok). Do začetka izvajanja programa bo izvajalec pripravil klinično pot. Za namen evidentiranja in obračunavanja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bo ZZZS opredelil novo storitev E storitev, tj. </w:t>
      </w:r>
      <w:r w:rsidRPr="005E4BEA">
        <w:rPr>
          <w:rFonts w:eastAsiaTheme="minorHAnsi" w:cs="Arial"/>
          <w:i/>
          <w:color w:val="808080" w:themeColor="background1" w:themeShade="80"/>
          <w:szCs w:val="20"/>
        </w:rPr>
        <w:lastRenderedPageBreak/>
        <w:t xml:space="preserve">E0XXX Analiza </w:t>
      </w:r>
      <w:proofErr w:type="spellStart"/>
      <w:r w:rsidRPr="005E4BEA">
        <w:rPr>
          <w:rFonts w:eastAsiaTheme="minorHAnsi" w:cs="Arial"/>
          <w:i/>
          <w:color w:val="808080" w:themeColor="background1" w:themeShade="80"/>
          <w:szCs w:val="20"/>
        </w:rPr>
        <w:t>donorskega</w:t>
      </w:r>
      <w:proofErr w:type="spellEnd"/>
      <w:r w:rsidRPr="005E4BEA">
        <w:rPr>
          <w:rFonts w:eastAsiaTheme="minorHAnsi" w:cs="Arial"/>
          <w:i/>
          <w:color w:val="808080" w:themeColor="background1" w:themeShade="80"/>
          <w:szCs w:val="20"/>
        </w:rPr>
        <w:t xml:space="preserve"> mleka. Storitev se bo evidentirala in obračunala po realizaciji v okviru specialistične </w:t>
      </w:r>
      <w:proofErr w:type="spellStart"/>
      <w:r w:rsidRPr="005E4BEA">
        <w:rPr>
          <w:rFonts w:eastAsiaTheme="minorHAnsi" w:cs="Arial"/>
          <w:i/>
          <w:color w:val="808080" w:themeColor="background1" w:themeShade="80"/>
          <w:szCs w:val="20"/>
        </w:rPr>
        <w:t>zunajbolnišnične</w:t>
      </w:r>
      <w:proofErr w:type="spellEnd"/>
      <w:r w:rsidRPr="005E4BEA">
        <w:rPr>
          <w:rFonts w:eastAsiaTheme="minorHAnsi" w:cs="Arial"/>
          <w:i/>
          <w:color w:val="808080" w:themeColor="background1" w:themeShade="80"/>
          <w:szCs w:val="20"/>
        </w:rPr>
        <w:t xml:space="preserve"> zdravstvene dejavnosti ginekologije in porodništva ter pediatrije. Cena storitve, po dodatnih </w:t>
      </w:r>
      <w:proofErr w:type="spellStart"/>
      <w:r w:rsidRPr="005E4BEA">
        <w:rPr>
          <w:rFonts w:eastAsiaTheme="minorHAnsi" w:cs="Arial"/>
          <w:i/>
          <w:color w:val="808080" w:themeColor="background1" w:themeShade="80"/>
          <w:szCs w:val="20"/>
        </w:rPr>
        <w:t>preverkah</w:t>
      </w:r>
      <w:proofErr w:type="spellEnd"/>
      <w:r w:rsidRPr="005E4BEA">
        <w:rPr>
          <w:rFonts w:eastAsiaTheme="minorHAnsi" w:cs="Arial"/>
          <w:i/>
          <w:color w:val="808080" w:themeColor="background1" w:themeShade="80"/>
          <w:szCs w:val="20"/>
        </w:rPr>
        <w:t xml:space="preserve"> ZZZS, znaša 726,61 EUR.</w:t>
      </w:r>
    </w:p>
    <w:p w14:paraId="7516D22B" w14:textId="58EFB111" w:rsidR="00692030" w:rsidRPr="005E4BEA" w:rsidRDefault="00692030" w:rsidP="00692030">
      <w:pPr>
        <w:spacing w:line="240" w:lineRule="auto"/>
        <w:jc w:val="both"/>
        <w:rPr>
          <w:rFonts w:eastAsiaTheme="minorHAnsi" w:cs="Arial"/>
          <w:i/>
          <w:color w:val="808080" w:themeColor="background1" w:themeShade="80"/>
          <w:szCs w:val="20"/>
        </w:rPr>
      </w:pPr>
    </w:p>
    <w:p w14:paraId="08BB62C1" w14:textId="77777777" w:rsidR="00C602CB" w:rsidRPr="005E4BEA" w:rsidRDefault="00C602CB" w:rsidP="00C602CB">
      <w:pPr>
        <w:spacing w:after="120" w:line="240" w:lineRule="auto"/>
        <w:jc w:val="both"/>
        <w:rPr>
          <w:rFonts w:eastAsia="Arial Narrow" w:cs="Arial"/>
          <w:b/>
          <w:bCs/>
          <w:color w:val="000000" w:themeColor="text1"/>
          <w:szCs w:val="20"/>
          <w:lang w:eastAsia="sl-SI"/>
        </w:rPr>
      </w:pPr>
      <w:r w:rsidRPr="005E4BEA">
        <w:rPr>
          <w:rFonts w:eastAsia="Arial Narrow" w:cs="Arial"/>
          <w:b/>
          <w:bCs/>
          <w:color w:val="000000" w:themeColor="text1"/>
          <w:szCs w:val="20"/>
          <w:lang w:eastAsia="sl-SI"/>
        </w:rPr>
        <w:t>V Prilogo 1/b - Cenik storitev se vnese naslednja storitev:</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96"/>
        <w:gridCol w:w="960"/>
        <w:gridCol w:w="6046"/>
        <w:gridCol w:w="1079"/>
      </w:tblGrid>
      <w:tr w:rsidR="00C602CB" w:rsidRPr="005E4BEA" w14:paraId="0E1105CF" w14:textId="77777777" w:rsidTr="006F2C89">
        <w:trPr>
          <w:trHeight w:val="852"/>
        </w:trPr>
        <w:tc>
          <w:tcPr>
            <w:tcW w:w="960" w:type="dxa"/>
            <w:shd w:val="clear" w:color="auto" w:fill="auto"/>
            <w:noWrap/>
            <w:vAlign w:val="bottom"/>
            <w:hideMark/>
          </w:tcPr>
          <w:p w14:paraId="17C84BF3" w14:textId="77777777" w:rsidR="00C602CB" w:rsidRPr="005E4BEA" w:rsidRDefault="00C602CB" w:rsidP="006F2C89">
            <w:pPr>
              <w:spacing w:line="240" w:lineRule="auto"/>
              <w:rPr>
                <w:rFonts w:cs="Arial"/>
                <w:b/>
                <w:bCs/>
                <w:szCs w:val="20"/>
                <w:lang w:eastAsia="sl-SI"/>
              </w:rPr>
            </w:pPr>
            <w:r w:rsidRPr="005E4BEA">
              <w:rPr>
                <w:rFonts w:cs="Arial"/>
                <w:b/>
                <w:bCs/>
                <w:szCs w:val="20"/>
                <w:lang w:eastAsia="sl-SI"/>
              </w:rPr>
              <w:t>Vrsta</w:t>
            </w:r>
          </w:p>
        </w:tc>
        <w:tc>
          <w:tcPr>
            <w:tcW w:w="960" w:type="dxa"/>
            <w:shd w:val="clear" w:color="auto" w:fill="auto"/>
            <w:noWrap/>
            <w:vAlign w:val="bottom"/>
            <w:hideMark/>
          </w:tcPr>
          <w:p w14:paraId="7A1667D7" w14:textId="77777777" w:rsidR="00C602CB" w:rsidRPr="005E4BEA" w:rsidRDefault="00C602CB" w:rsidP="006F2C89">
            <w:pPr>
              <w:spacing w:line="240" w:lineRule="auto"/>
              <w:rPr>
                <w:rFonts w:cs="Arial"/>
                <w:b/>
                <w:bCs/>
                <w:szCs w:val="20"/>
                <w:lang w:eastAsia="sl-SI"/>
              </w:rPr>
            </w:pPr>
            <w:r w:rsidRPr="005E4BEA">
              <w:rPr>
                <w:rFonts w:cs="Arial"/>
                <w:b/>
                <w:bCs/>
                <w:szCs w:val="20"/>
                <w:lang w:eastAsia="sl-SI"/>
              </w:rPr>
              <w:t>Podvrsta</w:t>
            </w:r>
          </w:p>
        </w:tc>
        <w:tc>
          <w:tcPr>
            <w:tcW w:w="960" w:type="dxa"/>
            <w:shd w:val="clear" w:color="auto" w:fill="auto"/>
            <w:noWrap/>
            <w:vAlign w:val="bottom"/>
            <w:hideMark/>
          </w:tcPr>
          <w:p w14:paraId="489A96A5" w14:textId="77777777" w:rsidR="00C602CB" w:rsidRPr="005E4BEA" w:rsidRDefault="00C602CB" w:rsidP="006F2C89">
            <w:pPr>
              <w:spacing w:line="240" w:lineRule="auto"/>
              <w:rPr>
                <w:rFonts w:cs="Arial"/>
                <w:b/>
                <w:bCs/>
                <w:szCs w:val="20"/>
                <w:lang w:eastAsia="sl-SI"/>
              </w:rPr>
            </w:pPr>
            <w:r w:rsidRPr="005E4BEA">
              <w:rPr>
                <w:rFonts w:cs="Arial"/>
                <w:b/>
                <w:bCs/>
                <w:szCs w:val="20"/>
                <w:lang w:eastAsia="sl-SI"/>
              </w:rPr>
              <w:t>Storitev</w:t>
            </w:r>
          </w:p>
        </w:tc>
        <w:tc>
          <w:tcPr>
            <w:tcW w:w="6046" w:type="dxa"/>
            <w:shd w:val="clear" w:color="auto" w:fill="auto"/>
            <w:noWrap/>
            <w:vAlign w:val="bottom"/>
            <w:hideMark/>
          </w:tcPr>
          <w:p w14:paraId="6D921560" w14:textId="77777777" w:rsidR="00C602CB" w:rsidRPr="005E4BEA" w:rsidRDefault="00C602CB" w:rsidP="006F2C89">
            <w:pPr>
              <w:spacing w:line="240" w:lineRule="auto"/>
              <w:rPr>
                <w:rFonts w:cs="Arial"/>
                <w:b/>
                <w:bCs/>
                <w:szCs w:val="20"/>
                <w:lang w:eastAsia="sl-SI"/>
              </w:rPr>
            </w:pPr>
            <w:r w:rsidRPr="005E4BEA">
              <w:rPr>
                <w:rFonts w:cs="Arial"/>
                <w:b/>
                <w:bCs/>
                <w:szCs w:val="20"/>
                <w:lang w:eastAsia="sl-SI"/>
              </w:rPr>
              <w:t>Naziv</w:t>
            </w:r>
          </w:p>
        </w:tc>
        <w:tc>
          <w:tcPr>
            <w:tcW w:w="1079" w:type="dxa"/>
            <w:shd w:val="clear" w:color="auto" w:fill="auto"/>
            <w:noWrap/>
            <w:vAlign w:val="bottom"/>
            <w:hideMark/>
          </w:tcPr>
          <w:p w14:paraId="184AF120" w14:textId="77777777" w:rsidR="00C602CB" w:rsidRPr="005E4BEA" w:rsidRDefault="00C602CB" w:rsidP="006F2C89">
            <w:pPr>
              <w:spacing w:line="240" w:lineRule="auto"/>
              <w:jc w:val="center"/>
              <w:rPr>
                <w:rFonts w:cs="Arial"/>
                <w:b/>
                <w:bCs/>
                <w:szCs w:val="20"/>
                <w:lang w:eastAsia="sl-SI"/>
              </w:rPr>
            </w:pPr>
            <w:r w:rsidRPr="005E4BEA">
              <w:rPr>
                <w:rFonts w:cs="Arial"/>
                <w:b/>
                <w:bCs/>
                <w:szCs w:val="20"/>
                <w:lang w:eastAsia="sl-SI"/>
              </w:rPr>
              <w:t>CENA v EUR</w:t>
            </w:r>
          </w:p>
        </w:tc>
      </w:tr>
      <w:tr w:rsidR="00C602CB" w:rsidRPr="005E4BEA" w14:paraId="4B96FAEE" w14:textId="77777777" w:rsidTr="006F2C89">
        <w:trPr>
          <w:trHeight w:val="375"/>
        </w:trPr>
        <w:tc>
          <w:tcPr>
            <w:tcW w:w="2880" w:type="dxa"/>
            <w:gridSpan w:val="3"/>
            <w:shd w:val="clear" w:color="auto" w:fill="auto"/>
            <w:noWrap/>
            <w:vAlign w:val="bottom"/>
            <w:hideMark/>
          </w:tcPr>
          <w:p w14:paraId="3E189DFB" w14:textId="77777777" w:rsidR="00C602CB" w:rsidRPr="005E4BEA" w:rsidRDefault="00C602CB" w:rsidP="006F2C89">
            <w:pPr>
              <w:spacing w:line="240" w:lineRule="auto"/>
              <w:rPr>
                <w:rFonts w:cs="Arial"/>
                <w:color w:val="BFBFBF"/>
                <w:szCs w:val="20"/>
                <w:lang w:eastAsia="sl-SI"/>
              </w:rPr>
            </w:pPr>
            <w:r w:rsidRPr="005E4BEA">
              <w:rPr>
                <w:rFonts w:cs="Arial"/>
                <w:color w:val="BFBFBF"/>
                <w:szCs w:val="20"/>
                <w:lang w:eastAsia="sl-SI"/>
              </w:rPr>
              <w:t xml:space="preserve"> </w:t>
            </w:r>
          </w:p>
        </w:tc>
        <w:tc>
          <w:tcPr>
            <w:tcW w:w="6046" w:type="dxa"/>
            <w:shd w:val="clear" w:color="auto" w:fill="auto"/>
            <w:vAlign w:val="bottom"/>
            <w:hideMark/>
          </w:tcPr>
          <w:p w14:paraId="51718079" w14:textId="77777777" w:rsidR="00C602CB" w:rsidRPr="005E4BEA" w:rsidRDefault="00C602CB" w:rsidP="006F2C89">
            <w:pPr>
              <w:spacing w:line="240" w:lineRule="auto"/>
              <w:rPr>
                <w:rFonts w:cs="Arial"/>
                <w:b/>
                <w:bCs/>
                <w:color w:val="000000"/>
                <w:szCs w:val="20"/>
                <w:lang w:eastAsia="sl-SI"/>
              </w:rPr>
            </w:pPr>
            <w:r w:rsidRPr="005E4BEA">
              <w:rPr>
                <w:rFonts w:cs="Arial"/>
                <w:b/>
                <w:bCs/>
                <w:color w:val="000000"/>
                <w:szCs w:val="20"/>
                <w:lang w:eastAsia="sl-SI"/>
              </w:rPr>
              <w:t>Humana mlečna banka</w:t>
            </w:r>
          </w:p>
        </w:tc>
        <w:tc>
          <w:tcPr>
            <w:tcW w:w="1079" w:type="dxa"/>
            <w:shd w:val="clear" w:color="auto" w:fill="auto"/>
            <w:noWrap/>
            <w:vAlign w:val="bottom"/>
            <w:hideMark/>
          </w:tcPr>
          <w:p w14:paraId="0A5A7714" w14:textId="77777777" w:rsidR="00C602CB" w:rsidRPr="005E4BEA" w:rsidRDefault="00C602CB" w:rsidP="006F2C89">
            <w:pPr>
              <w:spacing w:line="240" w:lineRule="auto"/>
              <w:rPr>
                <w:rFonts w:cs="Arial"/>
                <w:color w:val="000000"/>
                <w:szCs w:val="20"/>
                <w:lang w:eastAsia="sl-SI"/>
              </w:rPr>
            </w:pPr>
            <w:r w:rsidRPr="005E4BEA">
              <w:rPr>
                <w:rFonts w:cs="Arial"/>
                <w:color w:val="000000"/>
                <w:szCs w:val="20"/>
                <w:lang w:eastAsia="sl-SI"/>
              </w:rPr>
              <w:t> </w:t>
            </w:r>
          </w:p>
        </w:tc>
      </w:tr>
      <w:tr w:rsidR="00C602CB" w:rsidRPr="005E4BEA" w14:paraId="3C010B30" w14:textId="77777777" w:rsidTr="006F2C89">
        <w:trPr>
          <w:trHeight w:val="288"/>
        </w:trPr>
        <w:tc>
          <w:tcPr>
            <w:tcW w:w="1920" w:type="dxa"/>
            <w:gridSpan w:val="2"/>
            <w:shd w:val="clear" w:color="auto" w:fill="auto"/>
            <w:noWrap/>
            <w:vAlign w:val="bottom"/>
            <w:hideMark/>
          </w:tcPr>
          <w:p w14:paraId="7A254CEE" w14:textId="77777777" w:rsidR="00C602CB" w:rsidRPr="005E4BEA" w:rsidRDefault="00C602CB" w:rsidP="006F2C89">
            <w:pPr>
              <w:spacing w:line="240" w:lineRule="auto"/>
              <w:jc w:val="right"/>
              <w:rPr>
                <w:rFonts w:cs="Arial"/>
                <w:color w:val="000000"/>
                <w:szCs w:val="20"/>
                <w:lang w:eastAsia="sl-SI"/>
              </w:rPr>
            </w:pPr>
            <w:r w:rsidRPr="005E4BEA">
              <w:rPr>
                <w:rFonts w:cs="Arial"/>
                <w:color w:val="000000"/>
                <w:szCs w:val="20"/>
                <w:lang w:eastAsia="sl-SI"/>
              </w:rPr>
              <w:t xml:space="preserve">206 209, 206 263, </w:t>
            </w:r>
          </w:p>
          <w:p w14:paraId="040549D0" w14:textId="77777777" w:rsidR="00C602CB" w:rsidRPr="005E4BEA" w:rsidRDefault="00C602CB" w:rsidP="006F2C89">
            <w:pPr>
              <w:spacing w:line="240" w:lineRule="auto"/>
              <w:jc w:val="right"/>
              <w:rPr>
                <w:rFonts w:cs="Arial"/>
                <w:color w:val="000000"/>
                <w:szCs w:val="20"/>
                <w:lang w:eastAsia="sl-SI"/>
              </w:rPr>
            </w:pPr>
            <w:r w:rsidRPr="005E4BEA">
              <w:rPr>
                <w:rFonts w:cs="Arial"/>
                <w:color w:val="000000"/>
                <w:szCs w:val="20"/>
                <w:lang w:eastAsia="sl-SI"/>
              </w:rPr>
              <w:t>227 237</w:t>
            </w:r>
          </w:p>
        </w:tc>
        <w:tc>
          <w:tcPr>
            <w:tcW w:w="960" w:type="dxa"/>
            <w:shd w:val="clear" w:color="auto" w:fill="auto"/>
            <w:noWrap/>
            <w:vAlign w:val="bottom"/>
            <w:hideMark/>
          </w:tcPr>
          <w:p w14:paraId="59ED7412" w14:textId="77777777" w:rsidR="00C602CB" w:rsidRPr="005E4BEA" w:rsidRDefault="00C602CB"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shd w:val="clear" w:color="auto" w:fill="auto"/>
            <w:noWrap/>
            <w:vAlign w:val="bottom"/>
            <w:hideMark/>
          </w:tcPr>
          <w:p w14:paraId="058AC9A2" w14:textId="77777777" w:rsidR="00C602CB" w:rsidRPr="005E4BEA" w:rsidRDefault="00C602CB" w:rsidP="006F2C89">
            <w:pPr>
              <w:spacing w:line="240" w:lineRule="auto"/>
              <w:rPr>
                <w:rFonts w:cs="Arial"/>
                <w:color w:val="000000"/>
                <w:szCs w:val="20"/>
                <w:lang w:eastAsia="sl-SI"/>
              </w:rPr>
            </w:pPr>
            <w:r w:rsidRPr="005E4BEA">
              <w:rPr>
                <w:rFonts w:cs="Arial"/>
                <w:color w:val="000000"/>
                <w:szCs w:val="20"/>
                <w:lang w:eastAsia="sl-SI"/>
              </w:rPr>
              <w:t xml:space="preserve">Analiza </w:t>
            </w:r>
            <w:proofErr w:type="spellStart"/>
            <w:r w:rsidRPr="005E4BEA">
              <w:rPr>
                <w:rFonts w:cs="Arial"/>
                <w:color w:val="000000"/>
                <w:szCs w:val="20"/>
                <w:lang w:eastAsia="sl-SI"/>
              </w:rPr>
              <w:t>donorskega</w:t>
            </w:r>
            <w:proofErr w:type="spellEnd"/>
            <w:r w:rsidRPr="005E4BEA">
              <w:rPr>
                <w:rFonts w:cs="Arial"/>
                <w:color w:val="000000"/>
                <w:szCs w:val="20"/>
                <w:lang w:eastAsia="sl-SI"/>
              </w:rPr>
              <w:t xml:space="preserve"> mleka</w:t>
            </w:r>
          </w:p>
        </w:tc>
        <w:tc>
          <w:tcPr>
            <w:tcW w:w="1079" w:type="dxa"/>
            <w:shd w:val="clear" w:color="auto" w:fill="auto"/>
            <w:noWrap/>
            <w:vAlign w:val="bottom"/>
            <w:hideMark/>
          </w:tcPr>
          <w:p w14:paraId="3865FF54" w14:textId="77777777" w:rsidR="00C602CB" w:rsidRPr="005E4BEA" w:rsidRDefault="00C602CB" w:rsidP="006F2C89">
            <w:pPr>
              <w:spacing w:line="240" w:lineRule="auto"/>
              <w:jc w:val="right"/>
              <w:rPr>
                <w:rFonts w:cs="Arial"/>
                <w:szCs w:val="20"/>
                <w:lang w:eastAsia="sl-SI"/>
              </w:rPr>
            </w:pPr>
            <w:r w:rsidRPr="005E4BEA">
              <w:rPr>
                <w:rFonts w:cs="Arial"/>
                <w:szCs w:val="20"/>
                <w:lang w:eastAsia="sl-SI"/>
              </w:rPr>
              <w:t>726,61</w:t>
            </w:r>
          </w:p>
        </w:tc>
      </w:tr>
    </w:tbl>
    <w:p w14:paraId="0F1709D5" w14:textId="77777777" w:rsidR="00C602CB" w:rsidRPr="005E4BEA" w:rsidRDefault="00C602CB" w:rsidP="00C602CB">
      <w:pPr>
        <w:pStyle w:val="Brezrazmikov"/>
        <w:rPr>
          <w:rFonts w:ascii="Arial" w:hAnsi="Arial"/>
          <w:sz w:val="20"/>
          <w:szCs w:val="20"/>
          <w:lang w:eastAsia="sl-SI"/>
        </w:rPr>
      </w:pPr>
    </w:p>
    <w:p w14:paraId="01E0D83F" w14:textId="77777777" w:rsidR="00C602CB" w:rsidRPr="005E4BEA" w:rsidRDefault="00C602CB" w:rsidP="00C602CB">
      <w:pPr>
        <w:pStyle w:val="Brezrazmikov"/>
        <w:rPr>
          <w:rFonts w:ascii="Arial" w:hAnsi="Arial"/>
          <w:b/>
          <w:bCs/>
          <w:sz w:val="20"/>
          <w:szCs w:val="20"/>
          <w:lang w:eastAsia="sl-SI"/>
        </w:rPr>
      </w:pPr>
      <w:r w:rsidRPr="005E4BEA">
        <w:rPr>
          <w:rFonts w:ascii="Arial" w:hAnsi="Arial"/>
          <w:b/>
          <w:bCs/>
          <w:sz w:val="20"/>
          <w:szCs w:val="20"/>
          <w:lang w:eastAsia="sl-SI"/>
        </w:rPr>
        <w:t>3. točka drugega odstavka Priloge III se dopolni z naslednjim besedilom:</w:t>
      </w:r>
    </w:p>
    <w:p w14:paraId="29D48E47" w14:textId="77777777" w:rsidR="00C602CB" w:rsidRPr="005E4BEA" w:rsidRDefault="00C602CB" w:rsidP="00C602CB">
      <w:pPr>
        <w:pStyle w:val="Brezrazmikov"/>
        <w:rPr>
          <w:rFonts w:ascii="Arial" w:hAnsi="Arial"/>
          <w:sz w:val="20"/>
          <w:szCs w:val="20"/>
          <w:lang w:eastAsia="sl-SI"/>
        </w:rPr>
      </w:pPr>
    </w:p>
    <w:p w14:paraId="5A6305C5" w14:textId="77777777" w:rsidR="00C602CB" w:rsidRPr="005E4BEA" w:rsidRDefault="00C602CB" w:rsidP="00F356C9">
      <w:pPr>
        <w:pStyle w:val="Brezrazmikov"/>
        <w:numPr>
          <w:ilvl w:val="0"/>
          <w:numId w:val="80"/>
        </w:numPr>
        <w:rPr>
          <w:rFonts w:ascii="Arial" w:hAnsi="Arial"/>
          <w:sz w:val="20"/>
          <w:szCs w:val="20"/>
          <w:lang w:eastAsia="sl-SI"/>
        </w:rPr>
      </w:pPr>
      <w:r w:rsidRPr="005E4BEA">
        <w:rPr>
          <w:rFonts w:ascii="Arial" w:hAnsi="Arial"/>
          <w:bCs/>
          <w:sz w:val="20"/>
          <w:szCs w:val="20"/>
          <w:lang w:eastAsia="sl-SI"/>
        </w:rPr>
        <w:t>p</w:t>
      </w:r>
      <w:r w:rsidRPr="005E4BEA">
        <w:rPr>
          <w:rFonts w:ascii="Arial" w:eastAsia="Times New Roman" w:hAnsi="Arial"/>
          <w:color w:val="000000"/>
          <w:sz w:val="20"/>
          <w:szCs w:val="20"/>
          <w:lang w:eastAsia="sl-SI"/>
        </w:rPr>
        <w:t xml:space="preserve">rogram Humana mlečna banka </w:t>
      </w:r>
      <w:r w:rsidRPr="005E4BEA">
        <w:rPr>
          <w:rFonts w:ascii="Arial" w:hAnsi="Arial"/>
          <w:bCs/>
          <w:sz w:val="20"/>
          <w:szCs w:val="20"/>
          <w:lang w:eastAsia="sl-SI"/>
        </w:rPr>
        <w:t>v dejavnosti ginekologija 206 209, porodništvo 206 263 in pediatrija 227 237</w:t>
      </w:r>
    </w:p>
    <w:p w14:paraId="7E68BE7A" w14:textId="77777777" w:rsidR="00C602CB" w:rsidRPr="005E4BEA" w:rsidRDefault="00C602CB" w:rsidP="00692030">
      <w:pPr>
        <w:spacing w:line="240" w:lineRule="auto"/>
        <w:jc w:val="both"/>
        <w:rPr>
          <w:rFonts w:eastAsiaTheme="minorHAnsi" w:cs="Arial"/>
          <w:i/>
          <w:color w:val="808080" w:themeColor="background1" w:themeShade="80"/>
          <w:szCs w:val="20"/>
        </w:rPr>
      </w:pPr>
    </w:p>
    <w:p w14:paraId="516BDA3E" w14:textId="55ADF7AA" w:rsidR="00692030" w:rsidRPr="005E4BEA" w:rsidRDefault="00692030" w:rsidP="00692030">
      <w:pPr>
        <w:spacing w:line="240" w:lineRule="auto"/>
        <w:jc w:val="both"/>
        <w:rPr>
          <w:rFonts w:eastAsiaTheme="minorHAnsi" w:cs="Arial"/>
          <w:b/>
          <w:bCs/>
          <w:i/>
          <w:color w:val="808080" w:themeColor="background1" w:themeShade="80"/>
          <w:szCs w:val="20"/>
        </w:rPr>
      </w:pPr>
    </w:p>
    <w:p w14:paraId="1C3EA355" w14:textId="66882ED8" w:rsidR="00C602CB" w:rsidRPr="005E4BEA" w:rsidRDefault="00C602CB" w:rsidP="00C602CB">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 xml:space="preserve">Obrazložitev k točki 4 (Celostna obravnava otrok in mladostnikov s cistično </w:t>
      </w:r>
      <w:proofErr w:type="spellStart"/>
      <w:r w:rsidRPr="005E4BEA">
        <w:rPr>
          <w:rFonts w:eastAsiaTheme="minorHAnsi" w:cs="Arial"/>
          <w:b/>
          <w:bCs/>
          <w:i/>
          <w:color w:val="808080" w:themeColor="background1" w:themeShade="80"/>
          <w:szCs w:val="20"/>
        </w:rPr>
        <w:t>fibrozo</w:t>
      </w:r>
      <w:proofErr w:type="spellEnd"/>
      <w:r w:rsidRPr="005E4BEA">
        <w:rPr>
          <w:rFonts w:eastAsiaTheme="minorHAnsi" w:cs="Arial"/>
          <w:b/>
          <w:bCs/>
          <w:i/>
          <w:color w:val="808080" w:themeColor="background1" w:themeShade="80"/>
          <w:szCs w:val="20"/>
        </w:rPr>
        <w:t>):</w:t>
      </w:r>
    </w:p>
    <w:p w14:paraId="7EDDA431" w14:textId="17F0E27D" w:rsidR="00C602CB" w:rsidRPr="005E4BEA" w:rsidRDefault="00C602CB" w:rsidP="00692030">
      <w:pPr>
        <w:spacing w:line="240" w:lineRule="auto"/>
        <w:jc w:val="both"/>
        <w:rPr>
          <w:rFonts w:eastAsiaTheme="minorHAnsi" w:cs="Arial"/>
          <w:b/>
          <w:bCs/>
          <w:i/>
          <w:color w:val="808080" w:themeColor="background1" w:themeShade="80"/>
          <w:szCs w:val="20"/>
        </w:rPr>
      </w:pPr>
    </w:p>
    <w:p w14:paraId="69CE8AA6" w14:textId="6898BF4B" w:rsidR="00C602CB" w:rsidRPr="005E4BEA" w:rsidRDefault="00C602CB" w:rsidP="00C602CB">
      <w:pPr>
        <w:spacing w:after="120"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Financiranje tega programa (</w:t>
      </w:r>
      <w:proofErr w:type="spellStart"/>
      <w:r w:rsidRPr="005E4BEA">
        <w:rPr>
          <w:rFonts w:eastAsiaTheme="minorHAnsi" w:cs="Arial"/>
          <w:i/>
          <w:color w:val="808080" w:themeColor="background1" w:themeShade="80"/>
          <w:szCs w:val="20"/>
        </w:rPr>
        <w:t>subspecialistični</w:t>
      </w:r>
      <w:proofErr w:type="spellEnd"/>
      <w:r w:rsidRPr="005E4BEA">
        <w:rPr>
          <w:rFonts w:eastAsiaTheme="minorHAnsi" w:cs="Arial"/>
          <w:i/>
          <w:color w:val="808080" w:themeColor="background1" w:themeShade="80"/>
          <w:szCs w:val="20"/>
        </w:rPr>
        <w:t xml:space="preserve"> nivo terciarnih izvajalcev) je vključeno v nov model plačevanja za specialistično </w:t>
      </w:r>
      <w:proofErr w:type="spellStart"/>
      <w:r w:rsidRPr="005E4BEA">
        <w:rPr>
          <w:rFonts w:eastAsiaTheme="minorHAnsi" w:cs="Arial"/>
          <w:i/>
          <w:color w:val="808080" w:themeColor="background1" w:themeShade="80"/>
          <w:szCs w:val="20"/>
        </w:rPr>
        <w:t>zunajbolnišnično</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pnevmološko</w:t>
      </w:r>
      <w:proofErr w:type="spellEnd"/>
      <w:r w:rsidRPr="005E4BEA">
        <w:rPr>
          <w:rFonts w:eastAsiaTheme="minorHAnsi" w:cs="Arial"/>
          <w:i/>
          <w:color w:val="808080" w:themeColor="background1" w:themeShade="80"/>
          <w:szCs w:val="20"/>
        </w:rPr>
        <w:t xml:space="preserve"> dejavnost. Novi seznam storitev vključuje 3 storitve v zvezi s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ki se plačujejo po realizaciji. Vsebina je usklajena z delovno skupino medicinskih ekspertov, ki jo je imenoval RSK internističnih strok. Vsebino podpira tudi Zdravniška zbornica Slovenije. Bolnišnične obravnave so plačane v okviru SPP.</w:t>
      </w:r>
    </w:p>
    <w:p w14:paraId="46EF9DD3" w14:textId="77777777" w:rsidR="00C602CB" w:rsidRPr="005E4BEA" w:rsidRDefault="00C602CB" w:rsidP="00C602CB">
      <w:pPr>
        <w:spacing w:after="120" w:line="240" w:lineRule="auto"/>
        <w:jc w:val="both"/>
        <w:rPr>
          <w:rFonts w:eastAsiaTheme="minorHAnsi" w:cs="Arial"/>
          <w:i/>
          <w:color w:val="808080" w:themeColor="background1" w:themeShade="80"/>
          <w:szCs w:val="20"/>
        </w:rPr>
      </w:pPr>
    </w:p>
    <w:p w14:paraId="36A88A5D" w14:textId="2FC99CA9" w:rsidR="00C602CB" w:rsidRPr="005E4BEA" w:rsidRDefault="00C602CB" w:rsidP="00C602CB">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 xml:space="preserve">Obrazložitev k točki 5 (CAR-T celična terapija za zdravljenje akutne </w:t>
      </w:r>
      <w:proofErr w:type="spellStart"/>
      <w:r w:rsidRPr="005E4BEA">
        <w:rPr>
          <w:rFonts w:eastAsiaTheme="minorHAnsi" w:cs="Arial"/>
          <w:b/>
          <w:bCs/>
          <w:i/>
          <w:color w:val="808080" w:themeColor="background1" w:themeShade="80"/>
          <w:szCs w:val="20"/>
        </w:rPr>
        <w:t>limfoblastne</w:t>
      </w:r>
      <w:proofErr w:type="spellEnd"/>
      <w:r w:rsidRPr="005E4BEA">
        <w:rPr>
          <w:rFonts w:eastAsiaTheme="minorHAnsi" w:cs="Arial"/>
          <w:b/>
          <w:bCs/>
          <w:i/>
          <w:color w:val="808080" w:themeColor="background1" w:themeShade="80"/>
          <w:szCs w:val="20"/>
        </w:rPr>
        <w:t xml:space="preserve"> levkemije in </w:t>
      </w:r>
      <w:proofErr w:type="spellStart"/>
      <w:r w:rsidRPr="005E4BEA">
        <w:rPr>
          <w:rFonts w:eastAsiaTheme="minorHAnsi" w:cs="Arial"/>
          <w:b/>
          <w:bCs/>
          <w:i/>
          <w:color w:val="808080" w:themeColor="background1" w:themeShade="80"/>
          <w:szCs w:val="20"/>
        </w:rPr>
        <w:t>neHodgkinov</w:t>
      </w:r>
      <w:proofErr w:type="spellEnd"/>
      <w:r w:rsidRPr="005E4BEA">
        <w:rPr>
          <w:rFonts w:eastAsiaTheme="minorHAnsi" w:cs="Arial"/>
          <w:b/>
          <w:bCs/>
          <w:i/>
          <w:color w:val="808080" w:themeColor="background1" w:themeShade="80"/>
          <w:szCs w:val="20"/>
        </w:rPr>
        <w:t xml:space="preserve"> limfomov):</w:t>
      </w:r>
    </w:p>
    <w:p w14:paraId="1FAA6BF4" w14:textId="7BF8ECA0" w:rsidR="00C602CB" w:rsidRPr="005E4BEA" w:rsidRDefault="00C602CB" w:rsidP="00C602CB">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Program CAR-T celična terapija za zdravljenje akutne </w:t>
      </w:r>
      <w:proofErr w:type="spellStart"/>
      <w:r w:rsidRPr="005E4BEA">
        <w:rPr>
          <w:rFonts w:eastAsiaTheme="minorHAnsi" w:cs="Arial"/>
          <w:i/>
          <w:color w:val="808080" w:themeColor="background1" w:themeShade="80"/>
          <w:szCs w:val="20"/>
        </w:rPr>
        <w:t>limfoblastne</w:t>
      </w:r>
      <w:proofErr w:type="spellEnd"/>
      <w:r w:rsidRPr="005E4BEA">
        <w:rPr>
          <w:rFonts w:eastAsiaTheme="minorHAnsi" w:cs="Arial"/>
          <w:i/>
          <w:color w:val="808080" w:themeColor="background1" w:themeShade="80"/>
          <w:szCs w:val="20"/>
        </w:rPr>
        <w:t xml:space="preserve"> levkemije in </w:t>
      </w:r>
      <w:proofErr w:type="spellStart"/>
      <w:r w:rsidRPr="005E4BEA">
        <w:rPr>
          <w:rFonts w:eastAsiaTheme="minorHAnsi" w:cs="Arial"/>
          <w:i/>
          <w:color w:val="808080" w:themeColor="background1" w:themeShade="80"/>
          <w:szCs w:val="20"/>
        </w:rPr>
        <w:t>neHodgkinov</w:t>
      </w:r>
      <w:proofErr w:type="spellEnd"/>
      <w:r w:rsidRPr="005E4BEA">
        <w:rPr>
          <w:rFonts w:eastAsiaTheme="minorHAnsi" w:cs="Arial"/>
          <w:i/>
          <w:color w:val="808080" w:themeColor="background1" w:themeShade="80"/>
          <w:szCs w:val="20"/>
        </w:rPr>
        <w:t xml:space="preserve"> limfomov bo izvajal izključno UKC LJ, Klinični oddelek za hematologijo. Do začetka izvajanja programa, bo izvajalec pripravil klinično pot. Za namen evidentiranja in obračunavanja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bo ZZZS opredelil dodatek k plačilu SPP. Storitev se bo evidentirala in obračunala do plana, ki na letni ravni znaša 30 primerov. Cena dodatka po dodatnih </w:t>
      </w:r>
      <w:proofErr w:type="spellStart"/>
      <w:r w:rsidRPr="005E4BEA">
        <w:rPr>
          <w:rFonts w:eastAsiaTheme="minorHAnsi" w:cs="Arial"/>
          <w:i/>
          <w:color w:val="808080" w:themeColor="background1" w:themeShade="80"/>
          <w:szCs w:val="20"/>
        </w:rPr>
        <w:t>preverkah</w:t>
      </w:r>
      <w:proofErr w:type="spellEnd"/>
      <w:r w:rsidRPr="005E4BEA">
        <w:rPr>
          <w:rFonts w:eastAsiaTheme="minorHAnsi" w:cs="Arial"/>
          <w:i/>
          <w:color w:val="808080" w:themeColor="background1" w:themeShade="80"/>
          <w:szCs w:val="20"/>
        </w:rPr>
        <w:t xml:space="preserve"> ZZZS znaša 113.530,60 EUR.</w:t>
      </w:r>
    </w:p>
    <w:p w14:paraId="758048FD" w14:textId="77777777" w:rsidR="00C602CB" w:rsidRPr="005E4BEA" w:rsidRDefault="00C602CB" w:rsidP="00C602CB">
      <w:pPr>
        <w:rPr>
          <w:rFonts w:cs="Arial"/>
          <w:b/>
          <w:bCs/>
          <w:szCs w:val="20"/>
        </w:rPr>
      </w:pPr>
      <w:r w:rsidRPr="005E4BEA">
        <w:rPr>
          <w:rFonts w:cs="Arial"/>
          <w:b/>
          <w:bCs/>
          <w:szCs w:val="20"/>
        </w:rPr>
        <w:t xml:space="preserve">V prilogo </w:t>
      </w:r>
      <w:proofErr w:type="spellStart"/>
      <w:r w:rsidRPr="005E4BEA">
        <w:rPr>
          <w:rFonts w:cs="Arial"/>
          <w:b/>
          <w:bCs/>
          <w:szCs w:val="20"/>
        </w:rPr>
        <w:t>Ib</w:t>
      </w:r>
      <w:proofErr w:type="spellEnd"/>
      <w:r w:rsidRPr="005E4BEA">
        <w:rPr>
          <w:rFonts w:cs="Arial"/>
          <w:b/>
          <w:bCs/>
          <w:szCs w:val="20"/>
        </w:rPr>
        <w:t xml:space="preserve"> – Cenik storitev se doda nov dodatek:</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1108"/>
        <w:gridCol w:w="641"/>
        <w:gridCol w:w="28"/>
        <w:gridCol w:w="968"/>
        <w:gridCol w:w="885"/>
        <w:gridCol w:w="872"/>
        <w:gridCol w:w="2127"/>
        <w:gridCol w:w="707"/>
        <w:gridCol w:w="1141"/>
      </w:tblGrid>
      <w:tr w:rsidR="00C602CB" w:rsidRPr="005E4BEA" w14:paraId="09674604" w14:textId="77777777" w:rsidTr="008671ED">
        <w:trPr>
          <w:trHeight w:val="561"/>
        </w:trPr>
        <w:tc>
          <w:tcPr>
            <w:tcW w:w="1163" w:type="dxa"/>
            <w:shd w:val="clear" w:color="auto" w:fill="auto"/>
            <w:noWrap/>
            <w:vAlign w:val="bottom"/>
            <w:hideMark/>
          </w:tcPr>
          <w:p w14:paraId="557D15C8" w14:textId="77777777" w:rsidR="00C602CB" w:rsidRPr="005E4BEA" w:rsidRDefault="00C602CB" w:rsidP="006F2C89">
            <w:pPr>
              <w:rPr>
                <w:rFonts w:cs="Arial"/>
                <w:b/>
                <w:bCs/>
                <w:szCs w:val="20"/>
              </w:rPr>
            </w:pPr>
            <w:r w:rsidRPr="005E4BEA">
              <w:rPr>
                <w:rFonts w:cs="Arial"/>
                <w:b/>
                <w:bCs/>
                <w:szCs w:val="20"/>
              </w:rPr>
              <w:t>Dejavnost</w:t>
            </w:r>
          </w:p>
        </w:tc>
        <w:tc>
          <w:tcPr>
            <w:tcW w:w="1108" w:type="dxa"/>
            <w:shd w:val="clear" w:color="auto" w:fill="auto"/>
            <w:noWrap/>
            <w:vAlign w:val="bottom"/>
            <w:hideMark/>
          </w:tcPr>
          <w:p w14:paraId="3AB98DDF" w14:textId="77777777" w:rsidR="00C602CB" w:rsidRPr="005E4BEA" w:rsidRDefault="00C602CB" w:rsidP="006F2C89">
            <w:pPr>
              <w:rPr>
                <w:rFonts w:cs="Arial"/>
                <w:b/>
                <w:bCs/>
                <w:szCs w:val="20"/>
              </w:rPr>
            </w:pPr>
            <w:r w:rsidRPr="005E4BEA">
              <w:rPr>
                <w:rFonts w:cs="Arial"/>
                <w:b/>
                <w:bCs/>
                <w:szCs w:val="20"/>
              </w:rPr>
              <w:t>Program</w:t>
            </w:r>
          </w:p>
        </w:tc>
        <w:tc>
          <w:tcPr>
            <w:tcW w:w="641" w:type="dxa"/>
            <w:shd w:val="clear" w:color="auto" w:fill="auto"/>
            <w:noWrap/>
            <w:vAlign w:val="bottom"/>
            <w:hideMark/>
          </w:tcPr>
          <w:p w14:paraId="7B847348" w14:textId="77777777" w:rsidR="00C602CB" w:rsidRPr="005E4BEA" w:rsidRDefault="00C602CB" w:rsidP="006F2C89">
            <w:pPr>
              <w:rPr>
                <w:rFonts w:cs="Arial"/>
                <w:b/>
                <w:bCs/>
                <w:szCs w:val="20"/>
              </w:rPr>
            </w:pPr>
            <w:r w:rsidRPr="005E4BEA">
              <w:rPr>
                <w:rFonts w:cs="Arial"/>
                <w:b/>
                <w:bCs/>
                <w:szCs w:val="20"/>
              </w:rPr>
              <w:t>Vrsta</w:t>
            </w:r>
          </w:p>
        </w:tc>
        <w:tc>
          <w:tcPr>
            <w:tcW w:w="996" w:type="dxa"/>
            <w:gridSpan w:val="2"/>
            <w:shd w:val="clear" w:color="auto" w:fill="auto"/>
            <w:noWrap/>
            <w:vAlign w:val="bottom"/>
            <w:hideMark/>
          </w:tcPr>
          <w:p w14:paraId="2347981B" w14:textId="77777777" w:rsidR="00C602CB" w:rsidRPr="005E4BEA" w:rsidRDefault="00C602CB" w:rsidP="006F2C89">
            <w:pPr>
              <w:rPr>
                <w:rFonts w:cs="Arial"/>
                <w:b/>
                <w:bCs/>
                <w:szCs w:val="20"/>
              </w:rPr>
            </w:pPr>
            <w:r w:rsidRPr="005E4BEA">
              <w:rPr>
                <w:rFonts w:cs="Arial"/>
                <w:b/>
                <w:bCs/>
                <w:szCs w:val="20"/>
              </w:rPr>
              <w:t>Podvrsta</w:t>
            </w:r>
          </w:p>
        </w:tc>
        <w:tc>
          <w:tcPr>
            <w:tcW w:w="885" w:type="dxa"/>
            <w:shd w:val="clear" w:color="auto" w:fill="auto"/>
            <w:noWrap/>
            <w:vAlign w:val="bottom"/>
            <w:hideMark/>
          </w:tcPr>
          <w:p w14:paraId="0CA2FC88" w14:textId="77777777" w:rsidR="00C602CB" w:rsidRPr="005E4BEA" w:rsidRDefault="00C602CB" w:rsidP="006F2C89">
            <w:pPr>
              <w:rPr>
                <w:rFonts w:cs="Arial"/>
                <w:b/>
                <w:bCs/>
                <w:szCs w:val="20"/>
              </w:rPr>
            </w:pPr>
            <w:r w:rsidRPr="005E4BEA">
              <w:rPr>
                <w:rFonts w:cs="Arial"/>
                <w:b/>
                <w:bCs/>
                <w:szCs w:val="20"/>
              </w:rPr>
              <w:t>Storitev</w:t>
            </w:r>
          </w:p>
        </w:tc>
        <w:tc>
          <w:tcPr>
            <w:tcW w:w="872" w:type="dxa"/>
            <w:shd w:val="clear" w:color="auto" w:fill="auto"/>
            <w:noWrap/>
            <w:vAlign w:val="bottom"/>
            <w:hideMark/>
          </w:tcPr>
          <w:p w14:paraId="63BEB423" w14:textId="77777777" w:rsidR="00C602CB" w:rsidRPr="005E4BEA" w:rsidRDefault="00C602CB" w:rsidP="006F2C89">
            <w:pPr>
              <w:rPr>
                <w:rFonts w:cs="Arial"/>
                <w:b/>
                <w:bCs/>
                <w:szCs w:val="20"/>
              </w:rPr>
            </w:pPr>
            <w:r w:rsidRPr="005E4BEA">
              <w:rPr>
                <w:rFonts w:cs="Arial"/>
                <w:b/>
                <w:bCs/>
                <w:szCs w:val="20"/>
              </w:rPr>
              <w:t>4. nivo</w:t>
            </w:r>
          </w:p>
        </w:tc>
        <w:tc>
          <w:tcPr>
            <w:tcW w:w="2127" w:type="dxa"/>
            <w:shd w:val="clear" w:color="auto" w:fill="auto"/>
            <w:noWrap/>
            <w:vAlign w:val="bottom"/>
            <w:hideMark/>
          </w:tcPr>
          <w:p w14:paraId="26118E8A" w14:textId="77777777" w:rsidR="00C602CB" w:rsidRPr="005E4BEA" w:rsidRDefault="00C602CB" w:rsidP="006F2C89">
            <w:pPr>
              <w:rPr>
                <w:rFonts w:cs="Arial"/>
                <w:b/>
                <w:bCs/>
                <w:szCs w:val="20"/>
              </w:rPr>
            </w:pPr>
            <w:r w:rsidRPr="005E4BEA">
              <w:rPr>
                <w:rFonts w:cs="Arial"/>
                <w:b/>
                <w:bCs/>
                <w:szCs w:val="20"/>
              </w:rPr>
              <w:t>Naziv</w:t>
            </w:r>
          </w:p>
        </w:tc>
        <w:tc>
          <w:tcPr>
            <w:tcW w:w="985" w:type="dxa"/>
            <w:shd w:val="clear" w:color="auto" w:fill="auto"/>
          </w:tcPr>
          <w:p w14:paraId="0A960639" w14:textId="77777777" w:rsidR="00C602CB" w:rsidRPr="005E4BEA" w:rsidRDefault="00C602CB" w:rsidP="006F2C89">
            <w:pPr>
              <w:rPr>
                <w:rFonts w:cs="Arial"/>
                <w:b/>
                <w:bCs/>
                <w:szCs w:val="20"/>
              </w:rPr>
            </w:pPr>
          </w:p>
          <w:p w14:paraId="38797420" w14:textId="77777777" w:rsidR="00C602CB" w:rsidRPr="005E4BEA" w:rsidRDefault="00C602CB" w:rsidP="006F2C89">
            <w:pPr>
              <w:rPr>
                <w:rFonts w:cs="Arial"/>
                <w:b/>
                <w:bCs/>
                <w:szCs w:val="20"/>
              </w:rPr>
            </w:pPr>
            <w:r w:rsidRPr="005E4BEA">
              <w:rPr>
                <w:rFonts w:cs="Arial"/>
                <w:b/>
                <w:bCs/>
                <w:szCs w:val="20"/>
              </w:rPr>
              <w:t>Info</w:t>
            </w:r>
          </w:p>
        </w:tc>
        <w:tc>
          <w:tcPr>
            <w:tcW w:w="290" w:type="dxa"/>
            <w:shd w:val="clear" w:color="auto" w:fill="auto"/>
          </w:tcPr>
          <w:p w14:paraId="2668CB0A" w14:textId="77777777" w:rsidR="00C602CB" w:rsidRPr="005E4BEA" w:rsidRDefault="00C602CB" w:rsidP="006F2C89">
            <w:pPr>
              <w:rPr>
                <w:rFonts w:cs="Arial"/>
                <w:b/>
                <w:bCs/>
                <w:szCs w:val="20"/>
              </w:rPr>
            </w:pPr>
          </w:p>
          <w:p w14:paraId="1D420930" w14:textId="77777777" w:rsidR="00C602CB" w:rsidRPr="005E4BEA" w:rsidRDefault="00C602CB" w:rsidP="006F2C89">
            <w:pPr>
              <w:rPr>
                <w:rFonts w:cs="Arial"/>
                <w:b/>
                <w:bCs/>
                <w:szCs w:val="20"/>
              </w:rPr>
            </w:pPr>
            <w:r w:rsidRPr="005E4BEA">
              <w:rPr>
                <w:rFonts w:cs="Arial"/>
                <w:b/>
                <w:bCs/>
                <w:szCs w:val="20"/>
              </w:rPr>
              <w:t>Cena</w:t>
            </w:r>
          </w:p>
        </w:tc>
      </w:tr>
      <w:tr w:rsidR="00C602CB" w:rsidRPr="005E4BEA" w14:paraId="7DE1C232" w14:textId="77777777" w:rsidTr="008671ED">
        <w:trPr>
          <w:trHeight w:val="109"/>
        </w:trPr>
        <w:tc>
          <w:tcPr>
            <w:tcW w:w="1163" w:type="dxa"/>
            <w:shd w:val="clear" w:color="auto" w:fill="auto"/>
            <w:noWrap/>
            <w:vAlign w:val="bottom"/>
            <w:hideMark/>
          </w:tcPr>
          <w:p w14:paraId="59F5B72E" w14:textId="77777777" w:rsidR="00C602CB" w:rsidRPr="005E4BEA" w:rsidRDefault="00C602CB" w:rsidP="006F2C89">
            <w:pPr>
              <w:jc w:val="center"/>
              <w:rPr>
                <w:rFonts w:cs="Arial"/>
                <w:szCs w:val="20"/>
              </w:rPr>
            </w:pPr>
            <w:r w:rsidRPr="005E4BEA">
              <w:rPr>
                <w:rFonts w:cs="Arial"/>
                <w:szCs w:val="20"/>
              </w:rPr>
              <w:t>Bolnišnična dejavnost</w:t>
            </w:r>
          </w:p>
        </w:tc>
        <w:tc>
          <w:tcPr>
            <w:tcW w:w="1108" w:type="dxa"/>
            <w:shd w:val="clear" w:color="auto" w:fill="auto"/>
            <w:noWrap/>
            <w:vAlign w:val="bottom"/>
            <w:hideMark/>
          </w:tcPr>
          <w:p w14:paraId="42815499" w14:textId="77777777" w:rsidR="00C602CB" w:rsidRPr="005E4BEA" w:rsidRDefault="00C602CB" w:rsidP="006F2C89">
            <w:pPr>
              <w:jc w:val="center"/>
              <w:rPr>
                <w:rFonts w:cs="Arial"/>
                <w:szCs w:val="20"/>
              </w:rPr>
            </w:pPr>
            <w:r w:rsidRPr="005E4BEA">
              <w:rPr>
                <w:rFonts w:cs="Arial"/>
                <w:szCs w:val="20"/>
              </w:rPr>
              <w:t>Razno v bolnišnični dejavnosti</w:t>
            </w:r>
          </w:p>
        </w:tc>
        <w:tc>
          <w:tcPr>
            <w:tcW w:w="669" w:type="dxa"/>
            <w:gridSpan w:val="2"/>
            <w:shd w:val="clear" w:color="auto" w:fill="auto"/>
            <w:noWrap/>
            <w:vAlign w:val="bottom"/>
            <w:hideMark/>
          </w:tcPr>
          <w:p w14:paraId="76975934" w14:textId="77777777" w:rsidR="00C602CB" w:rsidRPr="005E4BEA" w:rsidRDefault="00C602CB" w:rsidP="006F2C89">
            <w:pPr>
              <w:jc w:val="center"/>
              <w:rPr>
                <w:rFonts w:cs="Arial"/>
                <w:szCs w:val="20"/>
              </w:rPr>
            </w:pPr>
            <w:r w:rsidRPr="005E4BEA">
              <w:rPr>
                <w:rFonts w:cs="Arial"/>
                <w:szCs w:val="20"/>
              </w:rPr>
              <w:t>111</w:t>
            </w:r>
          </w:p>
        </w:tc>
        <w:tc>
          <w:tcPr>
            <w:tcW w:w="968" w:type="dxa"/>
            <w:shd w:val="clear" w:color="auto" w:fill="auto"/>
            <w:noWrap/>
            <w:vAlign w:val="bottom"/>
            <w:hideMark/>
          </w:tcPr>
          <w:p w14:paraId="2746281D" w14:textId="77777777" w:rsidR="00C602CB" w:rsidRPr="005E4BEA" w:rsidRDefault="00C602CB" w:rsidP="006F2C89">
            <w:pPr>
              <w:jc w:val="center"/>
              <w:rPr>
                <w:rFonts w:cs="Arial"/>
                <w:szCs w:val="20"/>
              </w:rPr>
            </w:pPr>
            <w:r w:rsidRPr="005E4BEA">
              <w:rPr>
                <w:rFonts w:cs="Arial"/>
                <w:szCs w:val="20"/>
              </w:rPr>
              <w:t>301</w:t>
            </w:r>
          </w:p>
        </w:tc>
        <w:tc>
          <w:tcPr>
            <w:tcW w:w="885" w:type="dxa"/>
            <w:shd w:val="clear" w:color="auto" w:fill="auto"/>
            <w:noWrap/>
            <w:vAlign w:val="bottom"/>
            <w:hideMark/>
          </w:tcPr>
          <w:p w14:paraId="497D9CB4" w14:textId="77777777" w:rsidR="00C602CB" w:rsidRPr="005E4BEA" w:rsidRDefault="00C602CB" w:rsidP="006F2C89">
            <w:pPr>
              <w:jc w:val="center"/>
              <w:rPr>
                <w:rFonts w:cs="Arial"/>
                <w:szCs w:val="20"/>
              </w:rPr>
            </w:pPr>
            <w:r w:rsidRPr="005E4BEA">
              <w:rPr>
                <w:rFonts w:cs="Arial"/>
                <w:szCs w:val="20"/>
              </w:rPr>
              <w:t>E0XXX</w:t>
            </w:r>
          </w:p>
        </w:tc>
        <w:tc>
          <w:tcPr>
            <w:tcW w:w="872" w:type="dxa"/>
            <w:shd w:val="clear" w:color="auto" w:fill="auto"/>
            <w:noWrap/>
            <w:vAlign w:val="bottom"/>
            <w:hideMark/>
          </w:tcPr>
          <w:p w14:paraId="72F179C2" w14:textId="77777777" w:rsidR="00C602CB" w:rsidRPr="005E4BEA" w:rsidRDefault="00C602CB" w:rsidP="006F2C89">
            <w:pPr>
              <w:jc w:val="center"/>
              <w:rPr>
                <w:rFonts w:cs="Arial"/>
                <w:szCs w:val="20"/>
              </w:rPr>
            </w:pPr>
            <w:r w:rsidRPr="005E4BEA">
              <w:rPr>
                <w:rFonts w:cs="Arial"/>
                <w:szCs w:val="20"/>
              </w:rPr>
              <w:t>PD</w:t>
            </w:r>
          </w:p>
        </w:tc>
        <w:tc>
          <w:tcPr>
            <w:tcW w:w="2127" w:type="dxa"/>
            <w:shd w:val="clear" w:color="auto" w:fill="auto"/>
            <w:noWrap/>
            <w:vAlign w:val="bottom"/>
            <w:hideMark/>
          </w:tcPr>
          <w:p w14:paraId="34D8F58C" w14:textId="77777777" w:rsidR="00C602CB" w:rsidRPr="005E4BEA" w:rsidRDefault="00C602CB" w:rsidP="006F2C89">
            <w:pPr>
              <w:jc w:val="center"/>
              <w:rPr>
                <w:rFonts w:cs="Arial"/>
                <w:szCs w:val="20"/>
              </w:rPr>
            </w:pPr>
            <w:r w:rsidRPr="005E4BEA">
              <w:rPr>
                <w:rFonts w:cs="Arial"/>
                <w:szCs w:val="20"/>
              </w:rPr>
              <w:t>Dodatek za poseg CAR-T</w:t>
            </w:r>
          </w:p>
          <w:p w14:paraId="0250CF42" w14:textId="77777777" w:rsidR="00C602CB" w:rsidRPr="005E4BEA" w:rsidRDefault="00C602CB" w:rsidP="006F2C89">
            <w:pPr>
              <w:jc w:val="center"/>
              <w:rPr>
                <w:rFonts w:cs="Arial"/>
                <w:szCs w:val="20"/>
              </w:rPr>
            </w:pPr>
          </w:p>
        </w:tc>
        <w:tc>
          <w:tcPr>
            <w:tcW w:w="985" w:type="dxa"/>
            <w:shd w:val="clear" w:color="auto" w:fill="auto"/>
          </w:tcPr>
          <w:p w14:paraId="712BD0D2" w14:textId="77777777" w:rsidR="00C602CB" w:rsidRPr="005E4BEA" w:rsidRDefault="00C602CB" w:rsidP="006F2C89">
            <w:pPr>
              <w:jc w:val="center"/>
              <w:rPr>
                <w:rFonts w:cs="Arial"/>
                <w:szCs w:val="20"/>
              </w:rPr>
            </w:pPr>
          </w:p>
          <w:p w14:paraId="38F6EAD3" w14:textId="77777777" w:rsidR="00C602CB" w:rsidRPr="005E4BEA" w:rsidRDefault="00C602CB" w:rsidP="006F2C89">
            <w:pPr>
              <w:jc w:val="center"/>
              <w:rPr>
                <w:rFonts w:cs="Arial"/>
                <w:szCs w:val="20"/>
              </w:rPr>
            </w:pPr>
            <w:r w:rsidRPr="005E4BEA">
              <w:rPr>
                <w:rFonts w:cs="Arial"/>
                <w:szCs w:val="20"/>
              </w:rPr>
              <w:t>primer</w:t>
            </w:r>
          </w:p>
        </w:tc>
        <w:tc>
          <w:tcPr>
            <w:tcW w:w="290" w:type="dxa"/>
            <w:shd w:val="clear" w:color="auto" w:fill="auto"/>
          </w:tcPr>
          <w:p w14:paraId="739B65A9" w14:textId="77777777" w:rsidR="00C602CB" w:rsidRPr="005E4BEA" w:rsidRDefault="00C602CB" w:rsidP="006F2C89">
            <w:pPr>
              <w:jc w:val="center"/>
              <w:rPr>
                <w:rFonts w:cs="Arial"/>
                <w:szCs w:val="20"/>
              </w:rPr>
            </w:pPr>
          </w:p>
          <w:p w14:paraId="2B97E966" w14:textId="77777777" w:rsidR="00C602CB" w:rsidRPr="005E4BEA" w:rsidRDefault="00C602CB" w:rsidP="006F2C89">
            <w:pPr>
              <w:rPr>
                <w:rFonts w:cs="Arial"/>
                <w:color w:val="FF0000"/>
                <w:szCs w:val="20"/>
              </w:rPr>
            </w:pPr>
            <w:r w:rsidRPr="005E4BEA">
              <w:rPr>
                <w:rFonts w:cs="Arial"/>
                <w:szCs w:val="20"/>
              </w:rPr>
              <w:t>113.530,60</w:t>
            </w:r>
          </w:p>
        </w:tc>
      </w:tr>
    </w:tbl>
    <w:p w14:paraId="58E3F7B1" w14:textId="77777777" w:rsidR="00C602CB" w:rsidRPr="005E4BEA" w:rsidRDefault="00C602CB" w:rsidP="00C602CB">
      <w:pPr>
        <w:rPr>
          <w:rFonts w:cs="Arial"/>
          <w:szCs w:val="20"/>
        </w:rPr>
      </w:pPr>
      <w:r w:rsidRPr="005E4BEA">
        <w:rPr>
          <w:rFonts w:cs="Arial"/>
          <w:szCs w:val="20"/>
        </w:rPr>
        <w:t xml:space="preserve">Opomba: Dodatek se v okviru bolnišničnega zdravljenja obračuna največ enkrat. </w:t>
      </w:r>
      <w:bookmarkStart w:id="79" w:name="_Hlk96935680"/>
      <w:r w:rsidRPr="005E4BEA">
        <w:rPr>
          <w:rFonts w:cs="Arial"/>
          <w:szCs w:val="20"/>
        </w:rPr>
        <w:t>Pogoj za obračun je opravljen postopek iz Priloge BOL – 2b, točke 3.</w:t>
      </w:r>
    </w:p>
    <w:bookmarkEnd w:id="79"/>
    <w:p w14:paraId="7B56666B" w14:textId="77777777" w:rsidR="00C602CB" w:rsidRPr="005E4BEA" w:rsidRDefault="00C602CB" w:rsidP="00C602CB">
      <w:pPr>
        <w:rPr>
          <w:rFonts w:cs="Arial"/>
        </w:rPr>
      </w:pPr>
    </w:p>
    <w:p w14:paraId="3CA22122" w14:textId="1A9ED5DD" w:rsidR="00C602CB" w:rsidRPr="005E4BEA" w:rsidRDefault="00C602CB" w:rsidP="00C602CB">
      <w:pPr>
        <w:rPr>
          <w:rFonts w:cs="Arial"/>
          <w:b/>
          <w:bCs/>
        </w:rPr>
      </w:pPr>
      <w:r w:rsidRPr="005E4BEA">
        <w:rPr>
          <w:rFonts w:cs="Arial"/>
          <w:b/>
          <w:bCs/>
        </w:rPr>
        <w:t>V Prilogo BOL – 2b (Seznam posegov iz Klasifikacije terapevtskih in diagnostičnih postopkov za identificiranje izbranih storitev iz Priloge I/b) se doda nove točka 4, ki se glasi:</w:t>
      </w:r>
    </w:p>
    <w:p w14:paraId="5A7F4677" w14:textId="77777777" w:rsidR="00650658" w:rsidRPr="005E4BEA" w:rsidRDefault="00650658" w:rsidP="00C602CB">
      <w:pPr>
        <w:rPr>
          <w:rFonts w:cs="Arial"/>
          <w:b/>
          <w:bCs/>
        </w:rPr>
      </w:pPr>
    </w:p>
    <w:tbl>
      <w:tblPr>
        <w:tblW w:w="6946" w:type="dxa"/>
        <w:tblBorders>
          <w:top w:val="single" w:sz="4" w:space="0" w:color="auto"/>
        </w:tblBorders>
        <w:tblLayout w:type="fixed"/>
        <w:tblCellMar>
          <w:left w:w="70" w:type="dxa"/>
          <w:right w:w="70" w:type="dxa"/>
        </w:tblCellMar>
        <w:tblLook w:val="0000" w:firstRow="0" w:lastRow="0" w:firstColumn="0" w:lastColumn="0" w:noHBand="0" w:noVBand="0"/>
      </w:tblPr>
      <w:tblGrid>
        <w:gridCol w:w="6946"/>
      </w:tblGrid>
      <w:tr w:rsidR="00C602CB" w:rsidRPr="005E4BEA" w14:paraId="09028765" w14:textId="77777777" w:rsidTr="006F2C89">
        <w:trPr>
          <w:trHeight w:val="355"/>
        </w:trPr>
        <w:tc>
          <w:tcPr>
            <w:tcW w:w="6946" w:type="dxa"/>
            <w:tcBorders>
              <w:top w:val="single" w:sz="12" w:space="0" w:color="auto"/>
              <w:left w:val="nil"/>
              <w:bottom w:val="single" w:sz="4" w:space="0" w:color="auto"/>
              <w:right w:val="nil"/>
            </w:tcBorders>
            <w:vAlign w:val="center"/>
          </w:tcPr>
          <w:p w14:paraId="32DDFB68" w14:textId="77777777" w:rsidR="00C602CB" w:rsidRPr="005E4BEA" w:rsidRDefault="00C602CB" w:rsidP="006F2C89">
            <w:pPr>
              <w:autoSpaceDE w:val="0"/>
              <w:autoSpaceDN w:val="0"/>
              <w:adjustRightInd w:val="0"/>
              <w:ind w:right="-45"/>
              <w:rPr>
                <w:rFonts w:ascii="Arial Narrow" w:hAnsi="Arial Narrow" w:cstheme="minorHAnsi"/>
                <w:b/>
                <w:bCs/>
                <w:sz w:val="16"/>
                <w:szCs w:val="16"/>
              </w:rPr>
            </w:pPr>
            <w:r w:rsidRPr="005E4BEA">
              <w:rPr>
                <w:rFonts w:ascii="Arial Narrow" w:hAnsi="Arial Narrow" w:cstheme="minorHAnsi"/>
                <w:b/>
                <w:bCs/>
                <w:sz w:val="16"/>
                <w:szCs w:val="16"/>
              </w:rPr>
              <w:t xml:space="preserve">4.) Zdravljenje </w:t>
            </w:r>
            <w:proofErr w:type="spellStart"/>
            <w:r w:rsidRPr="005E4BEA">
              <w:rPr>
                <w:rFonts w:ascii="Arial Narrow" w:hAnsi="Arial Narrow" w:cstheme="minorHAnsi"/>
                <w:b/>
                <w:bCs/>
                <w:sz w:val="16"/>
                <w:szCs w:val="16"/>
              </w:rPr>
              <w:t>klonalnih</w:t>
            </w:r>
            <w:proofErr w:type="spellEnd"/>
            <w:r w:rsidRPr="005E4BEA">
              <w:rPr>
                <w:rFonts w:ascii="Arial Narrow" w:hAnsi="Arial Narrow" w:cstheme="minorHAnsi"/>
                <w:b/>
                <w:bCs/>
                <w:sz w:val="16"/>
                <w:szCs w:val="16"/>
              </w:rPr>
              <w:t xml:space="preserve"> krvnih novotvorb s celično terapijo CAR-T*</w:t>
            </w:r>
          </w:p>
        </w:tc>
      </w:tr>
    </w:tbl>
    <w:p w14:paraId="4110F386" w14:textId="77777777" w:rsidR="00C602CB" w:rsidRPr="005E4BEA" w:rsidRDefault="00C602CB" w:rsidP="00F356C9">
      <w:pPr>
        <w:numPr>
          <w:ilvl w:val="0"/>
          <w:numId w:val="81"/>
        </w:numPr>
        <w:tabs>
          <w:tab w:val="num" w:pos="720"/>
        </w:tabs>
        <w:spacing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30087-00 Punkcija kostnega mozga ali / in 13700-00 Odvzem kostnega mozga za presaditev</w:t>
      </w:r>
    </w:p>
    <w:p w14:paraId="425B409C" w14:textId="77777777" w:rsidR="00C602CB" w:rsidRPr="005E4BEA" w:rsidRDefault="00C602CB" w:rsidP="00F356C9">
      <w:pPr>
        <w:numPr>
          <w:ilvl w:val="0"/>
          <w:numId w:val="81"/>
        </w:numPr>
        <w:tabs>
          <w:tab w:val="num" w:pos="720"/>
        </w:tabs>
        <w:spacing w:before="100"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 xml:space="preserve">13706-08 </w:t>
      </w:r>
      <w:proofErr w:type="spellStart"/>
      <w:r w:rsidRPr="005E4BEA">
        <w:rPr>
          <w:rFonts w:ascii="Arial Narrow" w:hAnsi="Arial Narrow"/>
          <w:sz w:val="16"/>
          <w:szCs w:val="16"/>
          <w:lang w:eastAsia="sl-SI"/>
        </w:rPr>
        <w:t>Avtologna</w:t>
      </w:r>
      <w:proofErr w:type="spellEnd"/>
      <w:r w:rsidRPr="005E4BEA">
        <w:rPr>
          <w:rFonts w:ascii="Arial Narrow" w:hAnsi="Arial Narrow"/>
          <w:sz w:val="16"/>
          <w:szCs w:val="16"/>
          <w:lang w:eastAsia="sl-SI"/>
        </w:rPr>
        <w:t xml:space="preserve"> presaditev matičnih krvnih celic, s pripravo matičnih celic in vitro </w:t>
      </w:r>
    </w:p>
    <w:p w14:paraId="41CA6DD9" w14:textId="77777777" w:rsidR="00C602CB" w:rsidRPr="005E4BEA" w:rsidRDefault="00C602CB" w:rsidP="00F356C9">
      <w:pPr>
        <w:numPr>
          <w:ilvl w:val="0"/>
          <w:numId w:val="81"/>
        </w:numPr>
        <w:tabs>
          <w:tab w:val="num" w:pos="720"/>
        </w:tabs>
        <w:spacing w:before="100"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13706-04 Transfuzija levkocitov</w:t>
      </w:r>
    </w:p>
    <w:p w14:paraId="0DE4FB1F" w14:textId="77777777" w:rsidR="00C602CB" w:rsidRPr="005E4BEA" w:rsidRDefault="00C602CB" w:rsidP="00F356C9">
      <w:pPr>
        <w:numPr>
          <w:ilvl w:val="0"/>
          <w:numId w:val="81"/>
        </w:numPr>
        <w:tabs>
          <w:tab w:val="num" w:pos="720"/>
        </w:tabs>
        <w:spacing w:before="100"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lastRenderedPageBreak/>
        <w:t xml:space="preserve">13750-05 </w:t>
      </w:r>
      <w:proofErr w:type="spellStart"/>
      <w:r w:rsidRPr="005E4BEA">
        <w:rPr>
          <w:rFonts w:ascii="Arial Narrow" w:hAnsi="Arial Narrow"/>
          <w:sz w:val="16"/>
          <w:szCs w:val="16"/>
          <w:lang w:eastAsia="sl-SI"/>
        </w:rPr>
        <w:t>Afereza</w:t>
      </w:r>
      <w:proofErr w:type="spellEnd"/>
      <w:r w:rsidRPr="005E4BEA">
        <w:rPr>
          <w:rFonts w:ascii="Arial Narrow" w:hAnsi="Arial Narrow"/>
          <w:sz w:val="16"/>
          <w:szCs w:val="16"/>
          <w:lang w:eastAsia="sl-SI"/>
        </w:rPr>
        <w:t xml:space="preserve"> matičnih celic z </w:t>
      </w:r>
      <w:proofErr w:type="spellStart"/>
      <w:r w:rsidRPr="005E4BEA">
        <w:rPr>
          <w:rFonts w:ascii="Arial Narrow" w:hAnsi="Arial Narrow"/>
          <w:sz w:val="16"/>
          <w:szCs w:val="16"/>
          <w:lang w:eastAsia="sl-SI"/>
        </w:rPr>
        <w:t>krioohranitvijo</w:t>
      </w:r>
      <w:proofErr w:type="spellEnd"/>
    </w:p>
    <w:p w14:paraId="24828D36" w14:textId="77777777" w:rsidR="00C602CB" w:rsidRPr="005E4BEA" w:rsidRDefault="00C602CB" w:rsidP="00C602CB">
      <w:pPr>
        <w:pStyle w:val="Odstavekseznama"/>
        <w:ind w:left="0"/>
        <w:rPr>
          <w:rFonts w:ascii="Arial Narrow" w:eastAsia="Arial Narrow" w:hAnsi="Arial Narrow"/>
          <w:sz w:val="16"/>
          <w:szCs w:val="16"/>
          <w:lang w:eastAsia="sl-SI"/>
        </w:rPr>
      </w:pPr>
      <w:r w:rsidRPr="005E4BEA">
        <w:rPr>
          <w:rFonts w:ascii="Arial Narrow" w:eastAsia="Arial Narrow" w:hAnsi="Arial Narrow"/>
          <w:sz w:val="16"/>
          <w:szCs w:val="16"/>
          <w:lang w:eastAsia="sl-SI"/>
        </w:rPr>
        <w:t xml:space="preserve">*za izplačilo dodatka morajo biti evidentirani vsi zgoraj navedeni posegi. </w:t>
      </w:r>
    </w:p>
    <w:p w14:paraId="179ABAAD" w14:textId="25F84C66" w:rsidR="00C602CB" w:rsidRPr="005E4BEA" w:rsidRDefault="00C602CB" w:rsidP="00C602CB">
      <w:pPr>
        <w:jc w:val="both"/>
        <w:rPr>
          <w:rFonts w:eastAsiaTheme="minorHAnsi" w:cs="Arial"/>
          <w:i/>
          <w:color w:val="808080" w:themeColor="background1" w:themeShade="80"/>
          <w:szCs w:val="20"/>
        </w:rPr>
      </w:pPr>
    </w:p>
    <w:p w14:paraId="4197BED2" w14:textId="77777777" w:rsidR="00C602CB" w:rsidRPr="005E4BEA" w:rsidRDefault="00C602CB" w:rsidP="00C602CB">
      <w:pPr>
        <w:jc w:val="both"/>
        <w:rPr>
          <w:rFonts w:eastAsiaTheme="minorHAnsi" w:cs="Arial"/>
          <w:i/>
          <w:color w:val="808080" w:themeColor="background1" w:themeShade="80"/>
          <w:szCs w:val="20"/>
        </w:rPr>
      </w:pPr>
    </w:p>
    <w:p w14:paraId="0F2DA476" w14:textId="7245C485" w:rsidR="00C602CB" w:rsidRPr="005E4BEA" w:rsidRDefault="00650658" w:rsidP="00692030">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 xml:space="preserve">Obrazložitev k točki 6 (Uvedba programa </w:t>
      </w:r>
      <w:proofErr w:type="spellStart"/>
      <w:r w:rsidRPr="005E4BEA">
        <w:rPr>
          <w:rFonts w:eastAsiaTheme="minorHAnsi" w:cs="Arial"/>
          <w:b/>
          <w:bCs/>
          <w:i/>
          <w:color w:val="808080" w:themeColor="background1" w:themeShade="80"/>
          <w:szCs w:val="20"/>
        </w:rPr>
        <w:t>presejanja</w:t>
      </w:r>
      <w:proofErr w:type="spellEnd"/>
      <w:r w:rsidRPr="005E4BEA">
        <w:rPr>
          <w:rFonts w:eastAsiaTheme="minorHAnsi" w:cs="Arial"/>
          <w:b/>
          <w:bCs/>
          <w:i/>
          <w:color w:val="808080" w:themeColor="background1" w:themeShade="80"/>
          <w:szCs w:val="20"/>
        </w:rPr>
        <w:t xml:space="preserve"> novorojencev za </w:t>
      </w:r>
      <w:proofErr w:type="spellStart"/>
      <w:r w:rsidRPr="005E4BEA">
        <w:rPr>
          <w:rFonts w:eastAsiaTheme="minorHAnsi" w:cs="Arial"/>
          <w:b/>
          <w:bCs/>
          <w:i/>
          <w:color w:val="808080" w:themeColor="background1" w:themeShade="80"/>
          <w:szCs w:val="20"/>
        </w:rPr>
        <w:t>spinalno</w:t>
      </w:r>
      <w:proofErr w:type="spellEnd"/>
      <w:r w:rsidRPr="005E4BEA">
        <w:rPr>
          <w:rFonts w:eastAsiaTheme="minorHAnsi" w:cs="Arial"/>
          <w:b/>
          <w:bCs/>
          <w:i/>
          <w:color w:val="808080" w:themeColor="background1" w:themeShade="80"/>
          <w:szCs w:val="20"/>
        </w:rPr>
        <w:t xml:space="preserve"> mišično atrofijo, težke prirojene okvare imunosti, cistično </w:t>
      </w:r>
      <w:proofErr w:type="spellStart"/>
      <w:r w:rsidRPr="005E4BEA">
        <w:rPr>
          <w:rFonts w:eastAsiaTheme="minorHAnsi" w:cs="Arial"/>
          <w:b/>
          <w:bCs/>
          <w:i/>
          <w:color w:val="808080" w:themeColor="background1" w:themeShade="80"/>
          <w:szCs w:val="20"/>
        </w:rPr>
        <w:t>fibrozo</w:t>
      </w:r>
      <w:proofErr w:type="spellEnd"/>
      <w:r w:rsidRPr="005E4BEA">
        <w:rPr>
          <w:rFonts w:eastAsiaTheme="minorHAnsi" w:cs="Arial"/>
          <w:b/>
          <w:bCs/>
          <w:i/>
          <w:color w:val="808080" w:themeColor="background1" w:themeShade="80"/>
          <w:szCs w:val="20"/>
        </w:rPr>
        <w:t xml:space="preserve"> in kongenitalno adrenalno hiperplazijo):</w:t>
      </w:r>
    </w:p>
    <w:p w14:paraId="79910E23" w14:textId="4CD83D3D" w:rsidR="00650658" w:rsidRPr="005E4BEA" w:rsidRDefault="00650658" w:rsidP="00692030">
      <w:pPr>
        <w:spacing w:line="240" w:lineRule="auto"/>
        <w:jc w:val="both"/>
        <w:rPr>
          <w:rFonts w:eastAsiaTheme="minorHAnsi" w:cs="Arial"/>
          <w:b/>
          <w:bCs/>
          <w:i/>
          <w:color w:val="808080" w:themeColor="background1" w:themeShade="80"/>
          <w:szCs w:val="20"/>
        </w:rPr>
      </w:pPr>
    </w:p>
    <w:p w14:paraId="1EB235FD" w14:textId="6F473BB2" w:rsidR="00650658" w:rsidRPr="005E4BEA" w:rsidRDefault="00650658" w:rsidP="00692030">
      <w:pPr>
        <w:spacing w:line="240" w:lineRule="auto"/>
        <w:jc w:val="both"/>
        <w:rPr>
          <w:rFonts w:eastAsiaTheme="minorHAnsi" w:cs="Arial"/>
          <w:b/>
          <w:bCs/>
          <w:i/>
          <w:color w:val="808080" w:themeColor="background1" w:themeShade="80"/>
          <w:szCs w:val="20"/>
        </w:rPr>
      </w:pPr>
      <w:r w:rsidRPr="005E4BEA">
        <w:rPr>
          <w:rFonts w:eastAsiaTheme="minorHAnsi" w:cs="Arial"/>
          <w:i/>
          <w:color w:val="808080" w:themeColor="background1" w:themeShade="80"/>
          <w:szCs w:val="20"/>
        </w:rPr>
        <w:t xml:space="preserve">Program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novorojencev za </w:t>
      </w:r>
      <w:proofErr w:type="spellStart"/>
      <w:r w:rsidRPr="005E4BEA">
        <w:rPr>
          <w:rFonts w:eastAsiaTheme="minorHAnsi" w:cs="Arial"/>
          <w:i/>
          <w:color w:val="808080" w:themeColor="background1" w:themeShade="80"/>
          <w:szCs w:val="20"/>
        </w:rPr>
        <w:t>spinalno</w:t>
      </w:r>
      <w:proofErr w:type="spellEnd"/>
      <w:r w:rsidRPr="005E4BEA">
        <w:rPr>
          <w:rFonts w:eastAsiaTheme="minorHAnsi" w:cs="Arial"/>
          <w:i/>
          <w:color w:val="808080" w:themeColor="background1" w:themeShade="80"/>
          <w:szCs w:val="20"/>
        </w:rPr>
        <w:t xml:space="preserve"> mišično atrofijo, težke prirojene okvare imunosti, cistično </w:t>
      </w:r>
      <w:proofErr w:type="spellStart"/>
      <w:r w:rsidRPr="005E4BEA">
        <w:rPr>
          <w:rFonts w:eastAsiaTheme="minorHAnsi" w:cs="Arial"/>
          <w:i/>
          <w:color w:val="808080" w:themeColor="background1" w:themeShade="80"/>
          <w:szCs w:val="20"/>
        </w:rPr>
        <w:t>fibrozo</w:t>
      </w:r>
      <w:proofErr w:type="spellEnd"/>
      <w:r w:rsidRPr="005E4BEA">
        <w:rPr>
          <w:rFonts w:eastAsiaTheme="minorHAnsi" w:cs="Arial"/>
          <w:i/>
          <w:color w:val="808080" w:themeColor="background1" w:themeShade="80"/>
          <w:szCs w:val="20"/>
        </w:rPr>
        <w:t xml:space="preserve"> in kongenitalno adrenalno hiperplazijo bo izvajal izključno UKC LJ, Pediatrična klinika. Pediatrična klinika je v ta namen pripravila skupno klinično pot. Za namen evidentiranja in obračunavanja </w:t>
      </w:r>
      <w:proofErr w:type="spellStart"/>
      <w:r w:rsidRPr="005E4BEA">
        <w:rPr>
          <w:rFonts w:eastAsiaTheme="minorHAnsi" w:cs="Arial"/>
          <w:i/>
          <w:color w:val="808080" w:themeColor="background1" w:themeShade="80"/>
          <w:szCs w:val="20"/>
        </w:rPr>
        <w:t>presejanja</w:t>
      </w:r>
      <w:proofErr w:type="spellEnd"/>
      <w:r w:rsidRPr="005E4BEA">
        <w:rPr>
          <w:rFonts w:eastAsiaTheme="minorHAnsi" w:cs="Arial"/>
          <w:i/>
          <w:color w:val="808080" w:themeColor="background1" w:themeShade="80"/>
          <w:szCs w:val="20"/>
        </w:rPr>
        <w:t xml:space="preserve"> bo ZZZS opredelil novo storitev E storitev, tj. E0XXX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novorojencev SICK. Storitev se bo evidentirala in obračunala po realizaciji v okviru specialistične </w:t>
      </w:r>
      <w:proofErr w:type="spellStart"/>
      <w:r w:rsidRPr="005E4BEA">
        <w:rPr>
          <w:rFonts w:eastAsiaTheme="minorHAnsi" w:cs="Arial"/>
          <w:i/>
          <w:color w:val="808080" w:themeColor="background1" w:themeShade="80"/>
          <w:szCs w:val="20"/>
        </w:rPr>
        <w:t>zunajbolnišnične</w:t>
      </w:r>
      <w:proofErr w:type="spellEnd"/>
      <w:r w:rsidRPr="005E4BEA">
        <w:rPr>
          <w:rFonts w:eastAsiaTheme="minorHAnsi" w:cs="Arial"/>
          <w:i/>
          <w:color w:val="808080" w:themeColor="background1" w:themeShade="80"/>
          <w:szCs w:val="20"/>
        </w:rPr>
        <w:t xml:space="preserve"> zdravstvene dejavnosti pediatrije. Cena storitve, po dodatnih </w:t>
      </w:r>
      <w:proofErr w:type="spellStart"/>
      <w:r w:rsidRPr="005E4BEA">
        <w:rPr>
          <w:rFonts w:eastAsiaTheme="minorHAnsi" w:cs="Arial"/>
          <w:i/>
          <w:color w:val="808080" w:themeColor="background1" w:themeShade="80"/>
          <w:szCs w:val="20"/>
        </w:rPr>
        <w:t>preverkah</w:t>
      </w:r>
      <w:proofErr w:type="spellEnd"/>
      <w:r w:rsidRPr="005E4BEA">
        <w:rPr>
          <w:rFonts w:eastAsiaTheme="minorHAnsi" w:cs="Arial"/>
          <w:i/>
          <w:color w:val="808080" w:themeColor="background1" w:themeShade="80"/>
          <w:szCs w:val="20"/>
        </w:rPr>
        <w:t xml:space="preserve"> ZZZS, znaša 91,76 EUR</w:t>
      </w:r>
      <w:r w:rsidRPr="005E4BEA">
        <w:rPr>
          <w:rFonts w:eastAsiaTheme="minorHAnsi" w:cs="Arial"/>
          <w:b/>
          <w:bCs/>
          <w:i/>
          <w:color w:val="808080" w:themeColor="background1" w:themeShade="80"/>
          <w:szCs w:val="20"/>
        </w:rPr>
        <w:t>.</w:t>
      </w:r>
    </w:p>
    <w:p w14:paraId="1ACA010B" w14:textId="5296D3B1" w:rsidR="00650658" w:rsidRPr="005E4BEA" w:rsidRDefault="00650658" w:rsidP="00692030">
      <w:pPr>
        <w:spacing w:line="240" w:lineRule="auto"/>
        <w:jc w:val="both"/>
        <w:rPr>
          <w:rFonts w:eastAsiaTheme="minorHAnsi" w:cs="Arial"/>
          <w:b/>
          <w:bCs/>
          <w:i/>
          <w:color w:val="808080" w:themeColor="background1" w:themeShade="80"/>
          <w:szCs w:val="20"/>
        </w:rPr>
      </w:pPr>
    </w:p>
    <w:p w14:paraId="298F64D1" w14:textId="77777777" w:rsidR="00650658" w:rsidRPr="005E4BEA" w:rsidRDefault="00650658" w:rsidP="00650658">
      <w:pPr>
        <w:spacing w:after="120" w:line="240" w:lineRule="auto"/>
        <w:jc w:val="both"/>
        <w:rPr>
          <w:rFonts w:eastAsia="Arial Narrow" w:cs="Arial"/>
          <w:b/>
          <w:bCs/>
          <w:color w:val="000000" w:themeColor="text1"/>
          <w:szCs w:val="20"/>
          <w:lang w:eastAsia="sl-SI"/>
        </w:rPr>
      </w:pPr>
      <w:r w:rsidRPr="005E4BEA">
        <w:rPr>
          <w:rFonts w:eastAsia="Arial Narrow" w:cs="Arial"/>
          <w:b/>
          <w:bCs/>
          <w:color w:val="000000" w:themeColor="text1"/>
          <w:szCs w:val="20"/>
          <w:lang w:eastAsia="sl-SI"/>
        </w:rPr>
        <w:t>V Prilogo 1/b - Cenik storitev se vnese naslednja storitev:</w:t>
      </w:r>
    </w:p>
    <w:tbl>
      <w:tblPr>
        <w:tblW w:w="10005" w:type="dxa"/>
        <w:tblCellMar>
          <w:left w:w="70" w:type="dxa"/>
          <w:right w:w="70" w:type="dxa"/>
        </w:tblCellMar>
        <w:tblLook w:val="04A0" w:firstRow="1" w:lastRow="0" w:firstColumn="1" w:lastColumn="0" w:noHBand="0" w:noVBand="1"/>
      </w:tblPr>
      <w:tblGrid>
        <w:gridCol w:w="960"/>
        <w:gridCol w:w="996"/>
        <w:gridCol w:w="960"/>
        <w:gridCol w:w="6046"/>
        <w:gridCol w:w="1079"/>
      </w:tblGrid>
      <w:tr w:rsidR="00650658" w:rsidRPr="005E4BEA" w14:paraId="0BAA7D6B" w14:textId="77777777" w:rsidTr="006F2C89">
        <w:trPr>
          <w:trHeight w:val="852"/>
        </w:trPr>
        <w:tc>
          <w:tcPr>
            <w:tcW w:w="960" w:type="dxa"/>
            <w:tcBorders>
              <w:top w:val="single" w:sz="4" w:space="0" w:color="808080"/>
              <w:left w:val="single" w:sz="4" w:space="0" w:color="808080"/>
              <w:bottom w:val="nil"/>
              <w:right w:val="single" w:sz="4" w:space="0" w:color="808080"/>
            </w:tcBorders>
            <w:shd w:val="clear" w:color="auto" w:fill="auto"/>
            <w:noWrap/>
            <w:vAlign w:val="bottom"/>
            <w:hideMark/>
          </w:tcPr>
          <w:p w14:paraId="7D1B634A" w14:textId="77777777" w:rsidR="00650658" w:rsidRPr="005E4BEA" w:rsidRDefault="00650658" w:rsidP="006F2C89">
            <w:pPr>
              <w:spacing w:line="240" w:lineRule="auto"/>
              <w:rPr>
                <w:rFonts w:cs="Arial"/>
                <w:b/>
                <w:bCs/>
                <w:szCs w:val="20"/>
                <w:lang w:eastAsia="sl-SI"/>
              </w:rPr>
            </w:pPr>
            <w:r w:rsidRPr="005E4BEA">
              <w:rPr>
                <w:rFonts w:cs="Arial"/>
                <w:b/>
                <w:bCs/>
                <w:szCs w:val="20"/>
                <w:lang w:eastAsia="sl-SI"/>
              </w:rPr>
              <w:t>Vrsta</w:t>
            </w:r>
          </w:p>
        </w:tc>
        <w:tc>
          <w:tcPr>
            <w:tcW w:w="960" w:type="dxa"/>
            <w:tcBorders>
              <w:top w:val="single" w:sz="4" w:space="0" w:color="808080"/>
              <w:left w:val="nil"/>
              <w:bottom w:val="nil"/>
              <w:right w:val="single" w:sz="4" w:space="0" w:color="808080"/>
            </w:tcBorders>
            <w:shd w:val="clear" w:color="auto" w:fill="auto"/>
            <w:noWrap/>
            <w:vAlign w:val="bottom"/>
            <w:hideMark/>
          </w:tcPr>
          <w:p w14:paraId="1EBD0505" w14:textId="77777777" w:rsidR="00650658" w:rsidRPr="005E4BEA" w:rsidRDefault="00650658" w:rsidP="006F2C89">
            <w:pPr>
              <w:spacing w:line="240" w:lineRule="auto"/>
              <w:rPr>
                <w:rFonts w:cs="Arial"/>
                <w:b/>
                <w:bCs/>
                <w:szCs w:val="20"/>
                <w:lang w:eastAsia="sl-SI"/>
              </w:rPr>
            </w:pPr>
            <w:r w:rsidRPr="005E4BEA">
              <w:rPr>
                <w:rFonts w:cs="Arial"/>
                <w:b/>
                <w:bCs/>
                <w:szCs w:val="20"/>
                <w:lang w:eastAsia="sl-SI"/>
              </w:rPr>
              <w:t>Podvrsta</w:t>
            </w:r>
          </w:p>
        </w:tc>
        <w:tc>
          <w:tcPr>
            <w:tcW w:w="960" w:type="dxa"/>
            <w:tcBorders>
              <w:top w:val="single" w:sz="4" w:space="0" w:color="808080"/>
              <w:left w:val="nil"/>
              <w:bottom w:val="nil"/>
              <w:right w:val="single" w:sz="4" w:space="0" w:color="808080"/>
            </w:tcBorders>
            <w:shd w:val="clear" w:color="auto" w:fill="auto"/>
            <w:noWrap/>
            <w:vAlign w:val="bottom"/>
            <w:hideMark/>
          </w:tcPr>
          <w:p w14:paraId="54766376" w14:textId="77777777" w:rsidR="00650658" w:rsidRPr="005E4BEA" w:rsidRDefault="00650658" w:rsidP="006F2C89">
            <w:pPr>
              <w:spacing w:line="240" w:lineRule="auto"/>
              <w:rPr>
                <w:rFonts w:cs="Arial"/>
                <w:b/>
                <w:bCs/>
                <w:szCs w:val="20"/>
                <w:lang w:eastAsia="sl-SI"/>
              </w:rPr>
            </w:pPr>
            <w:r w:rsidRPr="005E4BEA">
              <w:rPr>
                <w:rFonts w:cs="Arial"/>
                <w:b/>
                <w:bCs/>
                <w:szCs w:val="20"/>
                <w:lang w:eastAsia="sl-SI"/>
              </w:rPr>
              <w:t>Storitev</w:t>
            </w:r>
          </w:p>
        </w:tc>
        <w:tc>
          <w:tcPr>
            <w:tcW w:w="6046" w:type="dxa"/>
            <w:tcBorders>
              <w:top w:val="single" w:sz="4" w:space="0" w:color="808080"/>
              <w:left w:val="nil"/>
              <w:bottom w:val="single" w:sz="4" w:space="0" w:color="808080"/>
              <w:right w:val="nil"/>
            </w:tcBorders>
            <w:shd w:val="clear" w:color="auto" w:fill="auto"/>
            <w:noWrap/>
            <w:vAlign w:val="bottom"/>
            <w:hideMark/>
          </w:tcPr>
          <w:p w14:paraId="5CD28D1E" w14:textId="77777777" w:rsidR="00650658" w:rsidRPr="005E4BEA" w:rsidRDefault="00650658" w:rsidP="006F2C89">
            <w:pPr>
              <w:spacing w:line="240" w:lineRule="auto"/>
              <w:rPr>
                <w:rFonts w:cs="Arial"/>
                <w:b/>
                <w:bCs/>
                <w:szCs w:val="20"/>
                <w:lang w:eastAsia="sl-SI"/>
              </w:rPr>
            </w:pPr>
            <w:r w:rsidRPr="005E4BEA">
              <w:rPr>
                <w:rFonts w:cs="Arial"/>
                <w:b/>
                <w:bCs/>
                <w:szCs w:val="20"/>
                <w:lang w:eastAsia="sl-SI"/>
              </w:rPr>
              <w:t>Naziv</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9D48" w14:textId="77777777" w:rsidR="00650658" w:rsidRPr="005E4BEA" w:rsidRDefault="00650658" w:rsidP="006F2C89">
            <w:pPr>
              <w:spacing w:line="240" w:lineRule="auto"/>
              <w:jc w:val="center"/>
              <w:rPr>
                <w:rFonts w:cs="Arial"/>
                <w:b/>
                <w:bCs/>
                <w:szCs w:val="20"/>
                <w:lang w:eastAsia="sl-SI"/>
              </w:rPr>
            </w:pPr>
            <w:r w:rsidRPr="005E4BEA">
              <w:rPr>
                <w:rFonts w:cs="Arial"/>
                <w:b/>
                <w:bCs/>
                <w:szCs w:val="20"/>
                <w:lang w:eastAsia="sl-SI"/>
              </w:rPr>
              <w:t>CENA v EUR</w:t>
            </w:r>
          </w:p>
        </w:tc>
      </w:tr>
      <w:tr w:rsidR="00650658" w:rsidRPr="005E4BEA" w14:paraId="440F7B11" w14:textId="77777777" w:rsidTr="006F2C89">
        <w:trPr>
          <w:trHeight w:val="784"/>
        </w:trPr>
        <w:tc>
          <w:tcPr>
            <w:tcW w:w="960" w:type="dxa"/>
            <w:tcBorders>
              <w:top w:val="single" w:sz="4" w:space="0" w:color="auto"/>
              <w:left w:val="single" w:sz="4" w:space="0" w:color="auto"/>
              <w:bottom w:val="nil"/>
              <w:right w:val="nil"/>
            </w:tcBorders>
            <w:shd w:val="clear" w:color="auto" w:fill="auto"/>
            <w:noWrap/>
            <w:vAlign w:val="bottom"/>
            <w:hideMark/>
          </w:tcPr>
          <w:p w14:paraId="269A366F" w14:textId="77777777" w:rsidR="00650658" w:rsidRPr="005E4BEA" w:rsidRDefault="00650658" w:rsidP="006F2C89">
            <w:pPr>
              <w:spacing w:line="240" w:lineRule="auto"/>
              <w:rPr>
                <w:rFonts w:cs="Arial"/>
                <w:color w:val="BFBFBF"/>
                <w:szCs w:val="20"/>
                <w:lang w:eastAsia="sl-SI"/>
              </w:rPr>
            </w:pPr>
            <w:r w:rsidRPr="005E4BEA">
              <w:rPr>
                <w:rFonts w:cs="Arial"/>
                <w:color w:val="BFBFBF"/>
                <w:szCs w:val="20"/>
                <w:lang w:eastAsia="sl-SI"/>
              </w:rPr>
              <w:t xml:space="preserve">  </w:t>
            </w:r>
          </w:p>
        </w:tc>
        <w:tc>
          <w:tcPr>
            <w:tcW w:w="960" w:type="dxa"/>
            <w:tcBorders>
              <w:top w:val="single" w:sz="4" w:space="0" w:color="auto"/>
              <w:left w:val="nil"/>
              <w:bottom w:val="nil"/>
              <w:right w:val="nil"/>
            </w:tcBorders>
            <w:shd w:val="clear" w:color="auto" w:fill="auto"/>
            <w:noWrap/>
            <w:vAlign w:val="bottom"/>
            <w:hideMark/>
          </w:tcPr>
          <w:p w14:paraId="0526FB86" w14:textId="77777777" w:rsidR="00650658" w:rsidRPr="005E4BEA" w:rsidRDefault="00650658" w:rsidP="006F2C89">
            <w:pPr>
              <w:spacing w:line="240" w:lineRule="auto"/>
              <w:rPr>
                <w:rFonts w:cs="Arial"/>
                <w:color w:val="BFBFBF"/>
                <w:szCs w:val="20"/>
                <w:lang w:eastAsia="sl-SI"/>
              </w:rPr>
            </w:pPr>
            <w:r w:rsidRPr="005E4BEA">
              <w:rPr>
                <w:rFonts w:cs="Arial"/>
                <w:color w:val="BFBFBF"/>
                <w:szCs w:val="20"/>
                <w:lang w:eastAsia="sl-SI"/>
              </w:rPr>
              <w:t> </w:t>
            </w:r>
          </w:p>
        </w:tc>
        <w:tc>
          <w:tcPr>
            <w:tcW w:w="960" w:type="dxa"/>
            <w:tcBorders>
              <w:top w:val="single" w:sz="4" w:space="0" w:color="auto"/>
              <w:left w:val="nil"/>
              <w:bottom w:val="nil"/>
              <w:right w:val="single" w:sz="4" w:space="0" w:color="auto"/>
            </w:tcBorders>
            <w:shd w:val="clear" w:color="auto" w:fill="auto"/>
            <w:noWrap/>
            <w:vAlign w:val="bottom"/>
            <w:hideMark/>
          </w:tcPr>
          <w:p w14:paraId="438BE3D3" w14:textId="77777777" w:rsidR="00650658" w:rsidRPr="005E4BEA" w:rsidRDefault="00650658" w:rsidP="006F2C89">
            <w:pPr>
              <w:spacing w:line="240" w:lineRule="auto"/>
              <w:rPr>
                <w:rFonts w:cs="Arial"/>
                <w:color w:val="BFBFBF"/>
                <w:szCs w:val="20"/>
                <w:lang w:eastAsia="sl-SI"/>
              </w:rPr>
            </w:pPr>
            <w:r w:rsidRPr="005E4BEA">
              <w:rPr>
                <w:rFonts w:cs="Arial"/>
                <w:color w:val="BFBFBF"/>
                <w:szCs w:val="20"/>
                <w:lang w:eastAsia="sl-SI"/>
              </w:rPr>
              <w:t> </w:t>
            </w:r>
          </w:p>
        </w:tc>
        <w:tc>
          <w:tcPr>
            <w:tcW w:w="6046" w:type="dxa"/>
            <w:tcBorders>
              <w:top w:val="nil"/>
              <w:left w:val="nil"/>
              <w:bottom w:val="nil"/>
              <w:right w:val="nil"/>
            </w:tcBorders>
            <w:shd w:val="clear" w:color="auto" w:fill="auto"/>
            <w:vAlign w:val="bottom"/>
            <w:hideMark/>
          </w:tcPr>
          <w:p w14:paraId="68AFEC91" w14:textId="77777777" w:rsidR="00650658" w:rsidRPr="005E4BEA" w:rsidRDefault="00650658" w:rsidP="006F2C89">
            <w:pPr>
              <w:spacing w:line="240" w:lineRule="auto"/>
              <w:rPr>
                <w:rFonts w:cs="Arial"/>
                <w:b/>
                <w:bCs/>
                <w:color w:val="000000"/>
                <w:szCs w:val="20"/>
                <w:lang w:eastAsia="sl-SI"/>
              </w:rPr>
            </w:pPr>
            <w:bookmarkStart w:id="80" w:name="_Hlk102466650"/>
            <w:r w:rsidRPr="005E4BEA">
              <w:rPr>
                <w:rFonts w:cs="Arial"/>
                <w:b/>
                <w:bCs/>
                <w:color w:val="000000"/>
                <w:szCs w:val="20"/>
                <w:lang w:eastAsia="sl-SI"/>
              </w:rPr>
              <w:t xml:space="preserve">Program </w:t>
            </w:r>
            <w:proofErr w:type="spellStart"/>
            <w:r w:rsidRPr="005E4BEA">
              <w:rPr>
                <w:rFonts w:cs="Arial"/>
                <w:b/>
                <w:bCs/>
                <w:color w:val="000000"/>
                <w:szCs w:val="20"/>
                <w:lang w:eastAsia="sl-SI"/>
              </w:rPr>
              <w:t>presejanja</w:t>
            </w:r>
            <w:proofErr w:type="spellEnd"/>
            <w:r w:rsidRPr="005E4BEA">
              <w:rPr>
                <w:rFonts w:cs="Arial"/>
                <w:b/>
                <w:bCs/>
                <w:color w:val="000000"/>
                <w:szCs w:val="20"/>
                <w:lang w:eastAsia="sl-SI"/>
              </w:rPr>
              <w:t xml:space="preserve"> novorojencev za </w:t>
            </w:r>
            <w:proofErr w:type="spellStart"/>
            <w:r w:rsidRPr="005E4BEA">
              <w:rPr>
                <w:rFonts w:cs="Arial"/>
                <w:b/>
                <w:bCs/>
                <w:color w:val="000000"/>
                <w:szCs w:val="20"/>
                <w:lang w:eastAsia="sl-SI"/>
              </w:rPr>
              <w:t>spinalno</w:t>
            </w:r>
            <w:proofErr w:type="spellEnd"/>
            <w:r w:rsidRPr="005E4BEA">
              <w:rPr>
                <w:rFonts w:cs="Arial"/>
                <w:b/>
                <w:bCs/>
                <w:color w:val="000000"/>
                <w:szCs w:val="20"/>
                <w:lang w:eastAsia="sl-SI"/>
              </w:rPr>
              <w:t xml:space="preserve"> mišično atrofijo, težke prirojene okvare imunosti, cistično </w:t>
            </w:r>
            <w:proofErr w:type="spellStart"/>
            <w:r w:rsidRPr="005E4BEA">
              <w:rPr>
                <w:rFonts w:cs="Arial"/>
                <w:b/>
                <w:bCs/>
                <w:color w:val="000000"/>
                <w:szCs w:val="20"/>
                <w:lang w:eastAsia="sl-SI"/>
              </w:rPr>
              <w:t>fibrozo</w:t>
            </w:r>
            <w:proofErr w:type="spellEnd"/>
            <w:r w:rsidRPr="005E4BEA">
              <w:rPr>
                <w:rFonts w:cs="Arial"/>
                <w:b/>
                <w:bCs/>
                <w:color w:val="000000"/>
                <w:szCs w:val="20"/>
                <w:lang w:eastAsia="sl-SI"/>
              </w:rPr>
              <w:t xml:space="preserve"> in kongenitalno adrenalno hiperplazijo</w:t>
            </w:r>
            <w:bookmarkEnd w:id="80"/>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0136B7D" w14:textId="77777777" w:rsidR="00650658" w:rsidRPr="005E4BEA" w:rsidRDefault="00650658" w:rsidP="006F2C89">
            <w:pPr>
              <w:spacing w:line="240" w:lineRule="auto"/>
              <w:rPr>
                <w:rFonts w:cs="Arial"/>
                <w:color w:val="000000"/>
                <w:szCs w:val="20"/>
                <w:lang w:eastAsia="sl-SI"/>
              </w:rPr>
            </w:pPr>
            <w:r w:rsidRPr="005E4BEA">
              <w:rPr>
                <w:rFonts w:cs="Arial"/>
                <w:color w:val="000000"/>
                <w:szCs w:val="20"/>
                <w:lang w:eastAsia="sl-SI"/>
              </w:rPr>
              <w:t> </w:t>
            </w:r>
          </w:p>
        </w:tc>
      </w:tr>
      <w:tr w:rsidR="00650658" w:rsidRPr="005E4BEA" w14:paraId="0569B0A1" w14:textId="77777777" w:rsidTr="006F2C8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12128" w14:textId="77777777" w:rsidR="00650658" w:rsidRPr="005E4BEA" w:rsidRDefault="00650658" w:rsidP="006F2C89">
            <w:pPr>
              <w:spacing w:line="240" w:lineRule="auto"/>
              <w:jc w:val="right"/>
              <w:rPr>
                <w:rFonts w:cs="Arial"/>
                <w:color w:val="000000"/>
                <w:szCs w:val="20"/>
                <w:lang w:eastAsia="sl-SI"/>
              </w:rPr>
            </w:pPr>
            <w:r w:rsidRPr="005E4BEA">
              <w:rPr>
                <w:rFonts w:cs="Arial"/>
                <w:color w:val="000000"/>
                <w:szCs w:val="20"/>
                <w:lang w:eastAsia="sl-SI"/>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91B72C" w14:textId="77777777" w:rsidR="00650658" w:rsidRPr="005E4BEA" w:rsidRDefault="00650658" w:rsidP="006F2C89">
            <w:pPr>
              <w:spacing w:line="240" w:lineRule="auto"/>
              <w:jc w:val="right"/>
              <w:rPr>
                <w:rFonts w:cs="Arial"/>
                <w:color w:val="000000"/>
                <w:szCs w:val="20"/>
                <w:lang w:eastAsia="sl-SI"/>
              </w:rPr>
            </w:pPr>
            <w:r w:rsidRPr="005E4BEA">
              <w:rPr>
                <w:rFonts w:cs="Arial"/>
                <w:color w:val="000000"/>
                <w:szCs w:val="20"/>
                <w:lang w:eastAsia="sl-SI"/>
              </w:rPr>
              <w:t>237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2D034D" w14:textId="77777777" w:rsidR="00650658" w:rsidRPr="005E4BEA" w:rsidRDefault="00650658"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tcBorders>
              <w:top w:val="single" w:sz="4" w:space="0" w:color="auto"/>
              <w:left w:val="nil"/>
              <w:bottom w:val="single" w:sz="4" w:space="0" w:color="auto"/>
              <w:right w:val="single" w:sz="4" w:space="0" w:color="auto"/>
            </w:tcBorders>
            <w:shd w:val="clear" w:color="auto" w:fill="auto"/>
            <w:noWrap/>
            <w:vAlign w:val="bottom"/>
            <w:hideMark/>
          </w:tcPr>
          <w:p w14:paraId="6BE48586" w14:textId="77777777" w:rsidR="00650658" w:rsidRPr="005E4BEA" w:rsidRDefault="00650658" w:rsidP="006F2C89">
            <w:pPr>
              <w:spacing w:line="240" w:lineRule="auto"/>
              <w:rPr>
                <w:rFonts w:cs="Arial"/>
                <w:color w:val="000000"/>
                <w:szCs w:val="20"/>
                <w:lang w:eastAsia="sl-SI"/>
              </w:rPr>
            </w:pPr>
            <w:proofErr w:type="spellStart"/>
            <w:r w:rsidRPr="005E4BEA">
              <w:rPr>
                <w:rFonts w:cs="Arial"/>
                <w:color w:val="000000"/>
                <w:szCs w:val="20"/>
                <w:lang w:eastAsia="sl-SI"/>
              </w:rPr>
              <w:t>Presejanje</w:t>
            </w:r>
            <w:proofErr w:type="spellEnd"/>
            <w:r w:rsidRPr="005E4BEA">
              <w:rPr>
                <w:rFonts w:cs="Arial"/>
                <w:color w:val="000000"/>
                <w:szCs w:val="20"/>
                <w:lang w:eastAsia="sl-SI"/>
              </w:rPr>
              <w:t xml:space="preserve"> novorojencev SICK</w:t>
            </w:r>
          </w:p>
        </w:tc>
        <w:tc>
          <w:tcPr>
            <w:tcW w:w="1079" w:type="dxa"/>
            <w:tcBorders>
              <w:top w:val="nil"/>
              <w:left w:val="nil"/>
              <w:bottom w:val="single" w:sz="4" w:space="0" w:color="auto"/>
              <w:right w:val="single" w:sz="4" w:space="0" w:color="auto"/>
            </w:tcBorders>
            <w:shd w:val="clear" w:color="auto" w:fill="auto"/>
            <w:noWrap/>
            <w:vAlign w:val="bottom"/>
            <w:hideMark/>
          </w:tcPr>
          <w:p w14:paraId="38E35CBE" w14:textId="77777777" w:rsidR="00650658" w:rsidRPr="005E4BEA" w:rsidRDefault="00650658" w:rsidP="006F2C89">
            <w:pPr>
              <w:spacing w:line="240" w:lineRule="auto"/>
              <w:jc w:val="right"/>
              <w:rPr>
                <w:rFonts w:cs="Arial"/>
                <w:szCs w:val="20"/>
                <w:lang w:eastAsia="sl-SI"/>
              </w:rPr>
            </w:pPr>
            <w:r w:rsidRPr="005E4BEA">
              <w:rPr>
                <w:rFonts w:cs="Arial"/>
                <w:szCs w:val="20"/>
                <w:lang w:eastAsia="sl-SI"/>
              </w:rPr>
              <w:t>91,76</w:t>
            </w:r>
          </w:p>
        </w:tc>
      </w:tr>
    </w:tbl>
    <w:p w14:paraId="2525E08B" w14:textId="77777777" w:rsidR="00650658" w:rsidRPr="005E4BEA" w:rsidRDefault="00650658" w:rsidP="00650658">
      <w:pPr>
        <w:pStyle w:val="Brezrazmikov"/>
        <w:rPr>
          <w:rFonts w:ascii="Arial" w:hAnsi="Arial"/>
          <w:sz w:val="20"/>
          <w:szCs w:val="20"/>
          <w:lang w:eastAsia="sl-SI"/>
        </w:rPr>
      </w:pPr>
    </w:p>
    <w:p w14:paraId="42A9CE87" w14:textId="3BB83714" w:rsidR="00650658" w:rsidRPr="005E4BEA" w:rsidRDefault="00650658" w:rsidP="00650658">
      <w:pPr>
        <w:pStyle w:val="Brezrazmikov"/>
        <w:rPr>
          <w:rFonts w:ascii="Arial" w:hAnsi="Arial"/>
          <w:b/>
          <w:bCs/>
          <w:sz w:val="20"/>
          <w:szCs w:val="20"/>
          <w:lang w:eastAsia="sl-SI"/>
        </w:rPr>
      </w:pPr>
      <w:r w:rsidRPr="005E4BEA">
        <w:rPr>
          <w:rFonts w:ascii="Arial" w:hAnsi="Arial"/>
          <w:b/>
          <w:bCs/>
          <w:sz w:val="20"/>
          <w:szCs w:val="20"/>
          <w:lang w:eastAsia="sl-SI"/>
        </w:rPr>
        <w:t>3. točka drugega odstavka Priloge III se dopolni z naslednjim besedilom:</w:t>
      </w:r>
    </w:p>
    <w:p w14:paraId="0764FA2C" w14:textId="77777777" w:rsidR="00650658" w:rsidRPr="005E4BEA" w:rsidRDefault="00650658" w:rsidP="00650658">
      <w:pPr>
        <w:pStyle w:val="Brezrazmikov"/>
        <w:rPr>
          <w:rFonts w:ascii="Arial" w:hAnsi="Arial"/>
          <w:sz w:val="20"/>
          <w:szCs w:val="20"/>
          <w:lang w:eastAsia="sl-SI"/>
        </w:rPr>
      </w:pPr>
    </w:p>
    <w:p w14:paraId="47DE1764" w14:textId="77777777" w:rsidR="00650658" w:rsidRPr="005E4BEA" w:rsidRDefault="00650658" w:rsidP="00F356C9">
      <w:pPr>
        <w:pStyle w:val="Brezrazmikov"/>
        <w:numPr>
          <w:ilvl w:val="0"/>
          <w:numId w:val="80"/>
        </w:numPr>
        <w:rPr>
          <w:rFonts w:ascii="Arial" w:hAnsi="Arial"/>
          <w:sz w:val="20"/>
          <w:szCs w:val="20"/>
          <w:lang w:eastAsia="sl-SI"/>
        </w:rPr>
      </w:pPr>
      <w:r w:rsidRPr="005E4BEA">
        <w:rPr>
          <w:rFonts w:ascii="Arial" w:hAnsi="Arial"/>
          <w:bCs/>
          <w:sz w:val="20"/>
          <w:szCs w:val="20"/>
          <w:lang w:eastAsia="sl-SI"/>
        </w:rPr>
        <w:t>p</w:t>
      </w:r>
      <w:r w:rsidRPr="005E4BEA">
        <w:rPr>
          <w:rFonts w:ascii="Arial" w:eastAsia="Times New Roman" w:hAnsi="Arial"/>
          <w:color w:val="000000"/>
          <w:sz w:val="20"/>
          <w:szCs w:val="20"/>
          <w:lang w:eastAsia="sl-SI"/>
        </w:rPr>
        <w:t xml:space="preserve">rogram </w:t>
      </w:r>
      <w:proofErr w:type="spellStart"/>
      <w:r w:rsidRPr="005E4BEA">
        <w:rPr>
          <w:rFonts w:ascii="Arial" w:eastAsia="Times New Roman" w:hAnsi="Arial"/>
          <w:color w:val="000000"/>
          <w:sz w:val="20"/>
          <w:szCs w:val="20"/>
          <w:lang w:eastAsia="sl-SI"/>
        </w:rPr>
        <w:t>presejanja</w:t>
      </w:r>
      <w:proofErr w:type="spellEnd"/>
      <w:r w:rsidRPr="005E4BEA">
        <w:rPr>
          <w:rFonts w:ascii="Arial" w:eastAsia="Times New Roman" w:hAnsi="Arial"/>
          <w:color w:val="000000"/>
          <w:sz w:val="20"/>
          <w:szCs w:val="20"/>
          <w:lang w:eastAsia="sl-SI"/>
        </w:rPr>
        <w:t xml:space="preserve"> novorojencev za </w:t>
      </w:r>
      <w:proofErr w:type="spellStart"/>
      <w:r w:rsidRPr="005E4BEA">
        <w:rPr>
          <w:rFonts w:ascii="Arial" w:eastAsia="Times New Roman" w:hAnsi="Arial"/>
          <w:color w:val="000000"/>
          <w:sz w:val="20"/>
          <w:szCs w:val="20"/>
          <w:lang w:eastAsia="sl-SI"/>
        </w:rPr>
        <w:t>spinalno</w:t>
      </w:r>
      <w:proofErr w:type="spellEnd"/>
      <w:r w:rsidRPr="005E4BEA">
        <w:rPr>
          <w:rFonts w:ascii="Arial" w:eastAsia="Times New Roman" w:hAnsi="Arial"/>
          <w:color w:val="000000"/>
          <w:sz w:val="20"/>
          <w:szCs w:val="20"/>
          <w:lang w:eastAsia="sl-SI"/>
        </w:rPr>
        <w:t xml:space="preserve"> mišično atrofijo, težke prirojene okvare imunosti, cistično </w:t>
      </w:r>
      <w:proofErr w:type="spellStart"/>
      <w:r w:rsidRPr="005E4BEA">
        <w:rPr>
          <w:rFonts w:ascii="Arial" w:eastAsia="Times New Roman" w:hAnsi="Arial"/>
          <w:color w:val="000000"/>
          <w:sz w:val="20"/>
          <w:szCs w:val="20"/>
          <w:lang w:eastAsia="sl-SI"/>
        </w:rPr>
        <w:t>fibrozo</w:t>
      </w:r>
      <w:proofErr w:type="spellEnd"/>
      <w:r w:rsidRPr="005E4BEA">
        <w:rPr>
          <w:rFonts w:ascii="Arial" w:eastAsia="Times New Roman" w:hAnsi="Arial"/>
          <w:color w:val="000000"/>
          <w:sz w:val="20"/>
          <w:szCs w:val="20"/>
          <w:lang w:eastAsia="sl-SI"/>
        </w:rPr>
        <w:t xml:space="preserve"> in kongenitalno adrenalno hiperplazijo </w:t>
      </w:r>
      <w:r w:rsidRPr="005E4BEA">
        <w:rPr>
          <w:rFonts w:ascii="Arial" w:hAnsi="Arial"/>
          <w:bCs/>
          <w:sz w:val="20"/>
          <w:szCs w:val="20"/>
          <w:lang w:eastAsia="sl-SI"/>
        </w:rPr>
        <w:t>v dejavnosti pediatrija 227 237</w:t>
      </w:r>
    </w:p>
    <w:p w14:paraId="7F441F30" w14:textId="77777777" w:rsidR="00650658" w:rsidRPr="005E4BEA" w:rsidRDefault="00650658" w:rsidP="00692030">
      <w:pPr>
        <w:spacing w:line="240" w:lineRule="auto"/>
        <w:jc w:val="both"/>
        <w:rPr>
          <w:rFonts w:eastAsiaTheme="minorHAnsi" w:cs="Arial"/>
          <w:b/>
          <w:bCs/>
          <w:i/>
          <w:color w:val="808080" w:themeColor="background1" w:themeShade="80"/>
          <w:szCs w:val="20"/>
        </w:rPr>
      </w:pPr>
    </w:p>
    <w:p w14:paraId="4C40DE59" w14:textId="77777777" w:rsidR="00650658" w:rsidRPr="005E4BEA" w:rsidRDefault="00650658" w:rsidP="00692030">
      <w:pPr>
        <w:spacing w:line="240" w:lineRule="auto"/>
        <w:jc w:val="both"/>
        <w:rPr>
          <w:rFonts w:eastAsiaTheme="minorHAnsi" w:cs="Arial"/>
          <w:b/>
          <w:bCs/>
          <w:i/>
          <w:color w:val="808080" w:themeColor="background1" w:themeShade="80"/>
          <w:szCs w:val="20"/>
        </w:rPr>
      </w:pPr>
    </w:p>
    <w:p w14:paraId="7439D5DE" w14:textId="77777777" w:rsidR="00C602CB" w:rsidRPr="005E4BEA" w:rsidRDefault="00C602CB" w:rsidP="00692030">
      <w:pPr>
        <w:spacing w:line="240" w:lineRule="auto"/>
        <w:jc w:val="both"/>
        <w:rPr>
          <w:rFonts w:eastAsiaTheme="minorHAnsi" w:cs="Arial"/>
          <w:b/>
          <w:bCs/>
          <w:i/>
          <w:color w:val="808080" w:themeColor="background1" w:themeShade="80"/>
          <w:szCs w:val="20"/>
        </w:rPr>
      </w:pPr>
    </w:p>
    <w:p w14:paraId="05F0236C" w14:textId="26C32AD8" w:rsidR="00650658" w:rsidRPr="005E4BEA" w:rsidRDefault="00650658" w:rsidP="00650658">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 k točki 7-</w:t>
      </w:r>
      <w:r w:rsidR="008671ED" w:rsidRPr="005E4BEA">
        <w:rPr>
          <w:rFonts w:eastAsiaTheme="minorHAnsi" w:cs="Arial"/>
          <w:b/>
          <w:bCs/>
          <w:i/>
          <w:color w:val="808080" w:themeColor="background1" w:themeShade="80"/>
          <w:szCs w:val="20"/>
        </w:rPr>
        <w:t>10</w:t>
      </w:r>
      <w:r w:rsidRPr="005E4BEA">
        <w:rPr>
          <w:rFonts w:eastAsiaTheme="minorHAnsi" w:cs="Arial"/>
          <w:b/>
          <w:bCs/>
          <w:i/>
          <w:color w:val="808080" w:themeColor="background1" w:themeShade="80"/>
          <w:szCs w:val="20"/>
        </w:rPr>
        <w:t>:</w:t>
      </w:r>
    </w:p>
    <w:p w14:paraId="688B9AD5"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Skladno z Načrtom dela in Akcijskim načrtom za področje redkih bolezni, ki sta bila potrjena na januarski seji Zdravstvenega sveta, so kot dodatni program predlagane uvedbe:</w:t>
      </w:r>
    </w:p>
    <w:p w14:paraId="4EBFCAD9"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 xml:space="preserve">4 specializiranih </w:t>
      </w:r>
      <w:proofErr w:type="spellStart"/>
      <w:r w:rsidRPr="005E4BEA">
        <w:rPr>
          <w:rFonts w:eastAsiaTheme="minorHAnsi" w:cs="Arial"/>
          <w:i/>
          <w:color w:val="808080" w:themeColor="background1" w:themeShade="80"/>
          <w:szCs w:val="20"/>
        </w:rPr>
        <w:t>multidisclipinarnih</w:t>
      </w:r>
      <w:proofErr w:type="spellEnd"/>
      <w:r w:rsidRPr="005E4BEA">
        <w:rPr>
          <w:rFonts w:eastAsiaTheme="minorHAnsi" w:cs="Arial"/>
          <w:i/>
          <w:color w:val="808080" w:themeColor="background1" w:themeShade="80"/>
          <w:szCs w:val="20"/>
        </w:rPr>
        <w:t xml:space="preserve"> timov za obravnavo redkih bolezni - 2x UKC </w:t>
      </w:r>
      <w:proofErr w:type="spellStart"/>
      <w:r w:rsidRPr="005E4BEA">
        <w:rPr>
          <w:rFonts w:eastAsiaTheme="minorHAnsi" w:cs="Arial"/>
          <w:i/>
          <w:color w:val="808080" w:themeColor="background1" w:themeShade="80"/>
          <w:szCs w:val="20"/>
        </w:rPr>
        <w:t>Lj</w:t>
      </w:r>
      <w:proofErr w:type="spellEnd"/>
      <w:r w:rsidRPr="005E4BEA">
        <w:rPr>
          <w:rFonts w:eastAsiaTheme="minorHAnsi" w:cs="Arial"/>
          <w:i/>
          <w:color w:val="808080" w:themeColor="background1" w:themeShade="80"/>
          <w:szCs w:val="20"/>
        </w:rPr>
        <w:t xml:space="preserve">, 1x OI Ljubljana, 1x UKC MB </w:t>
      </w:r>
    </w:p>
    <w:p w14:paraId="2ED5CF22"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slovenskega vozlišča za ERM</w:t>
      </w:r>
    </w:p>
    <w:p w14:paraId="5B781F32"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r w:rsidRPr="005E4BEA">
        <w:rPr>
          <w:rFonts w:eastAsiaTheme="minorHAnsi" w:cs="Arial"/>
          <w:i/>
          <w:color w:val="808080" w:themeColor="background1" w:themeShade="80"/>
          <w:szCs w:val="20"/>
        </w:rPr>
        <w:tab/>
        <w:t xml:space="preserve">Centra za </w:t>
      </w:r>
      <w:proofErr w:type="spellStart"/>
      <w:r w:rsidRPr="005E4BEA">
        <w:rPr>
          <w:rFonts w:eastAsiaTheme="minorHAnsi" w:cs="Arial"/>
          <w:i/>
          <w:color w:val="808080" w:themeColor="background1" w:themeShade="80"/>
          <w:szCs w:val="20"/>
        </w:rPr>
        <w:t>nediagnosticirane</w:t>
      </w:r>
      <w:proofErr w:type="spellEnd"/>
      <w:r w:rsidRPr="005E4BEA">
        <w:rPr>
          <w:rFonts w:eastAsiaTheme="minorHAnsi" w:cs="Arial"/>
          <w:i/>
          <w:color w:val="808080" w:themeColor="background1" w:themeShade="80"/>
          <w:szCs w:val="20"/>
        </w:rPr>
        <w:t xml:space="preserve"> redke bolezni v okviru UKC Ljubljana </w:t>
      </w:r>
    </w:p>
    <w:p w14:paraId="2A51A4D2"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192CD619"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Ker Slovenija nima specializiranih ambulant za paciente z redkimi boleznimi, so tovrstni pacienti obravnavani v okviru specialističnih ambulant na specialističnem področju, glede na poglavitne simptome in znake, ki se pri določeni bolezni pojavljajo. Ker se večina redkih bolezni pojavi že v zgodnjem otroštvu, so to v glavnem </w:t>
      </w:r>
      <w:proofErr w:type="spellStart"/>
      <w:r w:rsidRPr="005E4BEA">
        <w:rPr>
          <w:rFonts w:eastAsiaTheme="minorHAnsi" w:cs="Arial"/>
          <w:i/>
          <w:color w:val="808080" w:themeColor="background1" w:themeShade="80"/>
          <w:szCs w:val="20"/>
        </w:rPr>
        <w:t>subspecialistične</w:t>
      </w:r>
      <w:proofErr w:type="spellEnd"/>
      <w:r w:rsidRPr="005E4BEA">
        <w:rPr>
          <w:rFonts w:eastAsiaTheme="minorHAnsi" w:cs="Arial"/>
          <w:i/>
          <w:color w:val="808080" w:themeColor="background1" w:themeShade="80"/>
          <w:szCs w:val="20"/>
        </w:rPr>
        <w:t xml:space="preserve"> pediatrične ambulante. Zaradi vse boljših metod zdravljenja in razvoja novih zdravil, imamo vse več bolnikov z redkimi boleznimi tudi v odraslem obdobju. Ugotavljamo, da bi bilo potrebno oblikovati </w:t>
      </w:r>
      <w:r w:rsidRPr="005E4BEA">
        <w:rPr>
          <w:rFonts w:eastAsiaTheme="minorHAnsi" w:cs="Arial"/>
          <w:b/>
          <w:bCs/>
          <w:i/>
          <w:color w:val="808080" w:themeColor="background1" w:themeShade="80"/>
          <w:szCs w:val="20"/>
        </w:rPr>
        <w:t xml:space="preserve">specializirane </w:t>
      </w:r>
      <w:proofErr w:type="spellStart"/>
      <w:r w:rsidRPr="005E4BEA">
        <w:rPr>
          <w:rFonts w:eastAsiaTheme="minorHAnsi" w:cs="Arial"/>
          <w:b/>
          <w:bCs/>
          <w:i/>
          <w:color w:val="808080" w:themeColor="background1" w:themeShade="80"/>
          <w:szCs w:val="20"/>
        </w:rPr>
        <w:t>multidisclipinarne</w:t>
      </w:r>
      <w:proofErr w:type="spellEnd"/>
      <w:r w:rsidRPr="005E4BEA">
        <w:rPr>
          <w:rFonts w:eastAsiaTheme="minorHAnsi" w:cs="Arial"/>
          <w:b/>
          <w:bCs/>
          <w:i/>
          <w:color w:val="808080" w:themeColor="background1" w:themeShade="80"/>
          <w:szCs w:val="20"/>
        </w:rPr>
        <w:t xml:space="preserve"> time</w:t>
      </w:r>
      <w:r w:rsidRPr="005E4BEA">
        <w:rPr>
          <w:rFonts w:eastAsiaTheme="minorHAnsi" w:cs="Arial"/>
          <w:i/>
          <w:color w:val="808080" w:themeColor="background1" w:themeShade="80"/>
          <w:szCs w:val="20"/>
        </w:rPr>
        <w:t xml:space="preserve"> za obravnavo redkih bolezni, ki bi obravnavale tako otroke kot tudi odrasle bolnike z redkimi boleznimi. Ti timi bi morali biti organizirani na način, da ne bi bolniki hodili v različne ambulante k različnim specialistom, ampak bi vsi specialisti in drugi zdravstveni delavci, ki bi jih potreboval posamezni bolnik z neko redko boleznijo, bolnika obravnavali skupaj, torej timsko. Specifika teh obolenj namreč narekuje, da se v dobrobit teh bolnikov poveže zdravstvena stroka različnih specialnosti, saj lahko le tako pri redkih bolezenskih stanjih dosežemo optimalno obravnavo bolnikov in s tem poskrbimo za njihovo najboljšo oskrbo. Taka organiziranost bi omogočala celovito obravnavo bolnikov z redkimi boleznimi in bolniku prijazen in nemoten prehod iz otroške v odraslo dobo.</w:t>
      </w:r>
    </w:p>
    <w:p w14:paraId="681E2D55"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68BE152E" w14:textId="77777777" w:rsidR="00650658" w:rsidRPr="005E4BEA" w:rsidRDefault="00650658" w:rsidP="00650658">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1.289.504 eur na letni ravni.</w:t>
      </w:r>
    </w:p>
    <w:p w14:paraId="5F3F76DA"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20BF6DAD" w14:textId="77777777" w:rsidR="00650658" w:rsidRPr="005E4BEA" w:rsidRDefault="00650658" w:rsidP="00650658">
      <w:pPr>
        <w:autoSpaceDE w:val="0"/>
        <w:autoSpaceDN w:val="0"/>
        <w:adjustRightInd w:val="0"/>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Leta 2017 je bilo na ravni EU ustanovljenih 24 </w:t>
      </w:r>
      <w:r w:rsidRPr="005E4BEA">
        <w:rPr>
          <w:rFonts w:eastAsiaTheme="minorHAnsi" w:cs="Arial"/>
          <w:b/>
          <w:bCs/>
          <w:i/>
          <w:color w:val="808080" w:themeColor="background1" w:themeShade="80"/>
          <w:szCs w:val="20"/>
        </w:rPr>
        <w:t>evropskih referenčnih mrež (v nadaljnjem besedilu ERM)</w:t>
      </w:r>
      <w:r w:rsidRPr="005E4BEA">
        <w:rPr>
          <w:rFonts w:eastAsiaTheme="minorHAnsi" w:cs="Arial"/>
          <w:i/>
          <w:color w:val="808080" w:themeColor="background1" w:themeShade="80"/>
          <w:szCs w:val="20"/>
        </w:rPr>
        <w:t xml:space="preserve">, ki povezujejo izvajalce zdravstvenih storitev po vsej Evropi s ciljem zdravljenja kompleksnih in redkih boleznih, ki zahtevajo visoko specializirano obravnavo ter koncentracijo znanja in virov. Glavni namen evropskih referenčnih mrež je dostop do vrhunskih zdravstvenih storitev ne glede na to, kje v EU biva posameznik. Slovenija ima kot majhna država, v kateri je težko zagotavljati eksperte za vsako posamezno redko bolezen, velik interes vključevanja v evropske referenčne mreže. </w:t>
      </w:r>
    </w:p>
    <w:p w14:paraId="6ADF4F93" w14:textId="77777777" w:rsidR="00650658" w:rsidRPr="005E4BEA" w:rsidRDefault="00650658" w:rsidP="00650658">
      <w:pPr>
        <w:spacing w:line="240" w:lineRule="auto"/>
        <w:contextualSpacing/>
        <w:jc w:val="both"/>
        <w:rPr>
          <w:rFonts w:eastAsiaTheme="minorHAnsi" w:cs="Arial"/>
          <w:i/>
          <w:color w:val="808080" w:themeColor="background1" w:themeShade="80"/>
          <w:szCs w:val="20"/>
        </w:rPr>
      </w:pPr>
    </w:p>
    <w:p w14:paraId="13FCB06B"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Vozlišče za ERM je namenjeno obravnavi bolnikov in predstavitev le-teh v tistih ERM, v katerih država članica nima ne polnopravnega ne pridruženega izvajalca zdravstvene dejavnosti. Takih ERM je trenutno za Slovenijo sedem. Glavni namen slovenskega vozlišča za evropske referenčne mreže je torej podpora in strokovna in klinična pomoč bolnikom z redkimi boleznimi, ki potrebujejo storitve ERM, v katerih Slovenija nima polnopravnih ali pridruženih članov. Pod strokovno in klinično pomoč sodi zbiranje in priprava dokumentacije o pacientu, zbiranje izvidov vseh do sedaj opravljenih preiskav, posredovanje dokumentacije v sistem ERM, komunikacija in sodelovanje s kliniki v ERM, ki bodo dotičnega pacienta obravnavali, prejem pripravljene ekspertize iz tujine, obrazložitev ekspertize bolniku, usmeritev bolnika v nadaljnje obravnave pri specialistih v Sloveniji, ki jih bo bolnik potreboval. Pomen vozlišča pa je tudi širši, in sicer pri vključevanju slovenskih zdravstvenih institucij v ERM in koordinacija te aktivnosti. </w:t>
      </w:r>
    </w:p>
    <w:p w14:paraId="6008AFA4"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48471E50"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Zato predlagamo, da se v okviru UKC Ljubljana ustanovi slovensko vozlišče za ERM (slovenski ERN – HUB) v sestavi enega zdravnika specialista in enega administratorja.</w:t>
      </w:r>
    </w:p>
    <w:p w14:paraId="6B62C6F1"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4776EA43"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na letni ravni znašajo 82.159 eur.</w:t>
      </w:r>
    </w:p>
    <w:p w14:paraId="3805D698"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53065F48"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Kljub temu, da smo v slovenski zdravstveni sistem že vpeljali napredne </w:t>
      </w:r>
      <w:proofErr w:type="spellStart"/>
      <w:r w:rsidRPr="005E4BEA">
        <w:rPr>
          <w:rFonts w:eastAsiaTheme="minorHAnsi" w:cs="Arial"/>
          <w:i/>
          <w:color w:val="808080" w:themeColor="background1" w:themeShade="80"/>
          <w:szCs w:val="20"/>
        </w:rPr>
        <w:t>genomske</w:t>
      </w:r>
      <w:proofErr w:type="spellEnd"/>
      <w:r w:rsidRPr="005E4BEA">
        <w:rPr>
          <w:rFonts w:eastAsiaTheme="minorHAnsi" w:cs="Arial"/>
          <w:i/>
          <w:color w:val="808080" w:themeColor="background1" w:themeShade="80"/>
          <w:szCs w:val="20"/>
        </w:rPr>
        <w:t xml:space="preserve"> tehnologije za diagnostiko genetskih bolezni, ostaja del bolnikov z redkimi boleznimi brez diagnoze. Za namen zagotovitve diagnostike vsem osebam z redkimi boleznimi, pri katerih diagnostična obravnava na sekundarnem in terciarnem nivoju ni bila uspešna, je v okviru Univerzitetnega kliničnega centra Ljubljana že ustanovljen nacionalni </w:t>
      </w:r>
      <w:r w:rsidRPr="005E4BEA">
        <w:rPr>
          <w:rFonts w:eastAsiaTheme="minorHAnsi" w:cs="Arial"/>
          <w:b/>
          <w:bCs/>
          <w:i/>
          <w:color w:val="808080" w:themeColor="background1" w:themeShade="80"/>
          <w:szCs w:val="20"/>
        </w:rPr>
        <w:t xml:space="preserve">Center za </w:t>
      </w:r>
      <w:proofErr w:type="spellStart"/>
      <w:r w:rsidRPr="005E4BEA">
        <w:rPr>
          <w:rFonts w:eastAsiaTheme="minorHAnsi" w:cs="Arial"/>
          <w:b/>
          <w:bCs/>
          <w:i/>
          <w:color w:val="808080" w:themeColor="background1" w:themeShade="80"/>
          <w:szCs w:val="20"/>
        </w:rPr>
        <w:t>nediagnosticirane</w:t>
      </w:r>
      <w:proofErr w:type="spellEnd"/>
      <w:r w:rsidRPr="005E4BEA">
        <w:rPr>
          <w:rFonts w:eastAsiaTheme="minorHAnsi" w:cs="Arial"/>
          <w:b/>
          <w:bCs/>
          <w:i/>
          <w:color w:val="808080" w:themeColor="background1" w:themeShade="80"/>
          <w:szCs w:val="20"/>
        </w:rPr>
        <w:t xml:space="preserve"> redke bolezni</w:t>
      </w:r>
      <w:r w:rsidRPr="005E4BEA">
        <w:rPr>
          <w:rFonts w:eastAsiaTheme="minorHAnsi" w:cs="Arial"/>
          <w:i/>
          <w:color w:val="808080" w:themeColor="background1" w:themeShade="80"/>
          <w:szCs w:val="20"/>
        </w:rPr>
        <w:t xml:space="preserve">, ki ima za cilj  združevati strokovno ekspertizo na nivoju slovenskega zdravstvenega sistema in po potrebi sodelovati z evropskimi referenčnimi mrežami in drugimi mednarodnimi ustanovami pri zagotavljanju vrhunske diagnostične medicine, hkrati pa z ostalimi terciarnimi ustanovami in laboratoriji na nacionalni ravni, ki izvajajo genetsko diagnostiko. </w:t>
      </w:r>
    </w:p>
    <w:p w14:paraId="368233BC"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3C078053"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Akcijski načrt za 2022 za načrt dela na področju redkih bolezni je predvidel, da Center za </w:t>
      </w:r>
      <w:proofErr w:type="spellStart"/>
      <w:r w:rsidRPr="005E4BEA">
        <w:rPr>
          <w:rFonts w:eastAsiaTheme="minorHAnsi" w:cs="Arial"/>
          <w:i/>
          <w:color w:val="808080" w:themeColor="background1" w:themeShade="80"/>
          <w:szCs w:val="20"/>
        </w:rPr>
        <w:t>nediagnosticirane</w:t>
      </w:r>
      <w:proofErr w:type="spellEnd"/>
      <w:r w:rsidRPr="005E4BEA">
        <w:rPr>
          <w:rFonts w:eastAsiaTheme="minorHAnsi" w:cs="Arial"/>
          <w:i/>
          <w:color w:val="808080" w:themeColor="background1" w:themeShade="80"/>
          <w:szCs w:val="20"/>
        </w:rPr>
        <w:t xml:space="preserve"> redke bolezni v okviru UKC Ljubljana potrebuje: </w:t>
      </w:r>
    </w:p>
    <w:p w14:paraId="06D2BF81"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5E09790D"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 enega zdravnika (klinični genetik) in </w:t>
      </w:r>
    </w:p>
    <w:p w14:paraId="2C75C29D"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 eno diplomirano medicinsko sestro s posebnimi znanji </w:t>
      </w:r>
      <w:proofErr w:type="spellStart"/>
      <w:r w:rsidRPr="005E4BEA">
        <w:rPr>
          <w:rFonts w:eastAsiaTheme="minorHAnsi" w:cs="Arial"/>
          <w:i/>
          <w:color w:val="808080" w:themeColor="background1" w:themeShade="80"/>
          <w:szCs w:val="20"/>
        </w:rPr>
        <w:t>Genomski</w:t>
      </w:r>
      <w:proofErr w:type="spellEnd"/>
      <w:r w:rsidRPr="005E4BEA">
        <w:rPr>
          <w:rFonts w:eastAsiaTheme="minorHAnsi" w:cs="Arial"/>
          <w:i/>
          <w:color w:val="808080" w:themeColor="background1" w:themeShade="80"/>
          <w:szCs w:val="20"/>
        </w:rPr>
        <w:t xml:space="preserve"> svetovalec.</w:t>
      </w:r>
    </w:p>
    <w:p w14:paraId="3CB7C12D"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707AA167" w14:textId="77777777" w:rsidR="00650658" w:rsidRPr="005E4BEA" w:rsidRDefault="00650658" w:rsidP="00650658">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na letni ravni znašajo 92.188 eur.</w:t>
      </w:r>
    </w:p>
    <w:p w14:paraId="2B8EE641" w14:textId="223169C3" w:rsidR="00650658" w:rsidRPr="005E4BEA" w:rsidRDefault="00650658" w:rsidP="00650658">
      <w:pPr>
        <w:spacing w:line="240" w:lineRule="auto"/>
        <w:jc w:val="both"/>
        <w:rPr>
          <w:rFonts w:eastAsiaTheme="minorHAnsi" w:cs="Arial"/>
          <w:i/>
          <w:color w:val="808080" w:themeColor="background1" w:themeShade="80"/>
          <w:szCs w:val="20"/>
        </w:rPr>
      </w:pPr>
    </w:p>
    <w:p w14:paraId="5C471BC1" w14:textId="77777777" w:rsidR="00650658" w:rsidRPr="005E4BEA" w:rsidRDefault="00650658" w:rsidP="00650658">
      <w:pPr>
        <w:spacing w:line="240" w:lineRule="auto"/>
        <w:jc w:val="both"/>
        <w:rPr>
          <w:rFonts w:eastAsiaTheme="minorHAnsi" w:cs="Arial"/>
          <w:b/>
          <w:bCs/>
          <w:iCs/>
          <w:szCs w:val="20"/>
        </w:rPr>
      </w:pPr>
      <w:r w:rsidRPr="005E4BEA">
        <w:rPr>
          <w:rFonts w:eastAsiaTheme="minorHAnsi" w:cs="Arial"/>
          <w:b/>
          <w:bCs/>
          <w:iCs/>
          <w:szCs w:val="20"/>
        </w:rPr>
        <w:t xml:space="preserve">V Prilogi BOL-3 se v Tabeli 2 v stolpcu Terciar II pod razdelek Univerzitetni klinični center Ljubljana dodata novi </w:t>
      </w:r>
      <w:proofErr w:type="spellStart"/>
      <w:r w:rsidRPr="005E4BEA">
        <w:rPr>
          <w:rFonts w:eastAsiaTheme="minorHAnsi" w:cs="Arial"/>
          <w:b/>
          <w:bCs/>
          <w:iCs/>
          <w:szCs w:val="20"/>
        </w:rPr>
        <w:t>allineji</w:t>
      </w:r>
      <w:proofErr w:type="spellEnd"/>
      <w:r w:rsidRPr="005E4BEA">
        <w:rPr>
          <w:rFonts w:eastAsiaTheme="minorHAnsi" w:cs="Arial"/>
          <w:b/>
          <w:bCs/>
          <w:iCs/>
          <w:szCs w:val="20"/>
        </w:rPr>
        <w:t>, ki se glasita:</w:t>
      </w:r>
    </w:p>
    <w:p w14:paraId="2F0091CF" w14:textId="77777777" w:rsidR="00650658" w:rsidRPr="005E4BEA" w:rsidRDefault="00650658" w:rsidP="00F356C9">
      <w:pPr>
        <w:pStyle w:val="Odstavekseznama"/>
        <w:numPr>
          <w:ilvl w:val="0"/>
          <w:numId w:val="32"/>
        </w:numPr>
        <w:jc w:val="both"/>
        <w:rPr>
          <w:rFonts w:ascii="Arial" w:eastAsiaTheme="minorHAnsi" w:hAnsi="Arial" w:cs="Arial"/>
          <w:b/>
          <w:bCs/>
          <w:iCs/>
          <w:sz w:val="20"/>
          <w:szCs w:val="20"/>
        </w:rPr>
      </w:pPr>
      <w:r w:rsidRPr="005E4BEA">
        <w:rPr>
          <w:rFonts w:ascii="Arial" w:eastAsiaTheme="minorHAnsi" w:hAnsi="Arial" w:cs="Arial"/>
          <w:b/>
          <w:bCs/>
          <w:iCs/>
          <w:sz w:val="20"/>
          <w:szCs w:val="20"/>
        </w:rPr>
        <w:t>ERM vozlišče 82.159</w:t>
      </w:r>
    </w:p>
    <w:p w14:paraId="43E66BBF" w14:textId="77777777" w:rsidR="00650658" w:rsidRPr="005E4BEA" w:rsidRDefault="00650658" w:rsidP="00F356C9">
      <w:pPr>
        <w:pStyle w:val="Odstavekseznama"/>
        <w:numPr>
          <w:ilvl w:val="0"/>
          <w:numId w:val="32"/>
        </w:numPr>
        <w:jc w:val="both"/>
        <w:rPr>
          <w:rFonts w:ascii="Arial" w:eastAsiaTheme="minorHAnsi" w:hAnsi="Arial" w:cs="Arial"/>
          <w:b/>
          <w:bCs/>
          <w:iCs/>
          <w:sz w:val="20"/>
          <w:szCs w:val="20"/>
        </w:rPr>
      </w:pPr>
      <w:r w:rsidRPr="005E4BEA">
        <w:rPr>
          <w:rFonts w:ascii="Arial" w:eastAsiaTheme="minorHAnsi" w:hAnsi="Arial" w:cs="Arial"/>
          <w:b/>
          <w:bCs/>
          <w:iCs/>
          <w:sz w:val="20"/>
          <w:szCs w:val="20"/>
        </w:rPr>
        <w:t xml:space="preserve">Center za </w:t>
      </w:r>
      <w:proofErr w:type="spellStart"/>
      <w:r w:rsidRPr="005E4BEA">
        <w:rPr>
          <w:rFonts w:ascii="Arial" w:eastAsiaTheme="minorHAnsi" w:hAnsi="Arial" w:cs="Arial"/>
          <w:b/>
          <w:bCs/>
          <w:iCs/>
          <w:sz w:val="20"/>
          <w:szCs w:val="20"/>
        </w:rPr>
        <w:t>nediagnosticirane</w:t>
      </w:r>
      <w:proofErr w:type="spellEnd"/>
      <w:r w:rsidRPr="005E4BEA">
        <w:rPr>
          <w:rFonts w:ascii="Arial" w:eastAsiaTheme="minorHAnsi" w:hAnsi="Arial" w:cs="Arial"/>
          <w:b/>
          <w:bCs/>
          <w:iCs/>
          <w:sz w:val="20"/>
          <w:szCs w:val="20"/>
        </w:rPr>
        <w:t xml:space="preserve"> redke bolezni 92.188</w:t>
      </w:r>
    </w:p>
    <w:p w14:paraId="5CB31583" w14:textId="55A86589" w:rsidR="00650658" w:rsidRPr="005E4BEA" w:rsidRDefault="00650658" w:rsidP="00650658">
      <w:pPr>
        <w:spacing w:line="240" w:lineRule="auto"/>
        <w:jc w:val="both"/>
        <w:rPr>
          <w:rFonts w:eastAsiaTheme="minorHAnsi" w:cs="Arial"/>
          <w:i/>
          <w:color w:val="808080" w:themeColor="background1" w:themeShade="80"/>
          <w:szCs w:val="20"/>
        </w:rPr>
      </w:pPr>
    </w:p>
    <w:p w14:paraId="0A52057E"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Skladno z Načrtom dela na področju redkih bolezni v RS  obdobju 2021-2030 je potrebno zagotoviti standardizirane, dostopne in </w:t>
      </w:r>
      <w:proofErr w:type="spellStart"/>
      <w:r w:rsidRPr="005E4BEA">
        <w:rPr>
          <w:rFonts w:eastAsiaTheme="minorHAnsi" w:cs="Arial"/>
          <w:i/>
          <w:color w:val="808080" w:themeColor="background1" w:themeShade="80"/>
          <w:szCs w:val="20"/>
        </w:rPr>
        <w:t>interoperabilne</w:t>
      </w:r>
      <w:proofErr w:type="spellEnd"/>
      <w:r w:rsidRPr="005E4BEA">
        <w:rPr>
          <w:rFonts w:eastAsiaTheme="minorHAnsi" w:cs="Arial"/>
          <w:i/>
          <w:color w:val="808080" w:themeColor="background1" w:themeShade="80"/>
          <w:szCs w:val="20"/>
        </w:rPr>
        <w:t xml:space="preserve"> podatkovne vire (FAIR princip), združene v nacionalno podatkovno bazo, ki bodo omogočali zdravstvenim delavcem celovit pregled nad evolucijo bolezni posameznika, epidemiologijo posamezne in celotne skupine redkih bolezni v Sloveniji, nacionalno (druge podatkovne baze, bolnišnični informacijski sistemi) in mednarodno izmenjavo podatkov, strokovno spremljanje poti obravnave bolnikov z RB, razvojno in raziskovalno delo vključno z aplikacijo pristopov umetne inteligence (AI) na področju redkih bolezni, bolnikom motivacijo in podatke za aktivno vključevanje v spoprijemanje z boleznijo in  </w:t>
      </w:r>
      <w:r w:rsidRPr="005E4BEA">
        <w:rPr>
          <w:rFonts w:eastAsiaTheme="minorHAnsi" w:cs="Arial"/>
          <w:i/>
          <w:color w:val="808080" w:themeColor="background1" w:themeShade="80"/>
          <w:szCs w:val="20"/>
        </w:rPr>
        <w:lastRenderedPageBreak/>
        <w:t xml:space="preserve">vključevanje v nacionalne in mednarodne klinične raziskave in deljenje izkušenj z drugimi bolniki, ZZZS pregled nad finančnimi kazalniki in njihovo optimizacijo, snovalcem zdravstvenih politik pa pregled nad področjem, ki bo omogočal optimalni razvoj novih politik in ukrepov. Aktivnost vključuje vzpostavitev registra za redke </w:t>
      </w:r>
      <w:proofErr w:type="spellStart"/>
      <w:r w:rsidRPr="005E4BEA">
        <w:rPr>
          <w:rFonts w:eastAsiaTheme="minorHAnsi" w:cs="Arial"/>
          <w:i/>
          <w:color w:val="808080" w:themeColor="background1" w:themeShade="80"/>
          <w:szCs w:val="20"/>
        </w:rPr>
        <w:t>nemaligne</w:t>
      </w:r>
      <w:proofErr w:type="spellEnd"/>
      <w:r w:rsidRPr="005E4BEA">
        <w:rPr>
          <w:rFonts w:eastAsiaTheme="minorHAnsi" w:cs="Arial"/>
          <w:i/>
          <w:color w:val="808080" w:themeColor="background1" w:themeShade="80"/>
          <w:szCs w:val="20"/>
        </w:rPr>
        <w:t xml:space="preserve"> bolezni in integracijo v nacionalno bazo za RB. </w:t>
      </w:r>
    </w:p>
    <w:p w14:paraId="07A9632E"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084E9C3A" w14:textId="77777777" w:rsidR="00650658" w:rsidRPr="005E4BEA" w:rsidRDefault="00650658" w:rsidP="00650658">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Kot upravljalec registra je določen UKC Ljubljana- PEK, v okviru katerega je za vodenje registra predvidena zaposlitev 1,5 zdravnika specialista, dveh strokovnih sodelavcev in enega administrativno tehničnega delavca. Sredstva se zagotavljajo v okviru sredstev za Terciar I. </w:t>
      </w:r>
    </w:p>
    <w:p w14:paraId="4ACC1F9B"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13E5628A" w14:textId="77777777" w:rsidR="00650658" w:rsidRPr="005E4BEA" w:rsidRDefault="00650658" w:rsidP="00650658">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Finančne posledice na letni ravni znašajo 179.630  eur.</w:t>
      </w:r>
    </w:p>
    <w:p w14:paraId="384C257E" w14:textId="77777777" w:rsidR="00650658" w:rsidRPr="005E4BEA" w:rsidRDefault="00650658" w:rsidP="00650658">
      <w:pPr>
        <w:spacing w:line="240" w:lineRule="auto"/>
        <w:jc w:val="both"/>
        <w:rPr>
          <w:rFonts w:eastAsiaTheme="minorHAnsi" w:cs="Arial"/>
          <w:i/>
          <w:color w:val="808080" w:themeColor="background1" w:themeShade="80"/>
          <w:szCs w:val="20"/>
        </w:rPr>
      </w:pPr>
    </w:p>
    <w:p w14:paraId="24240C94" w14:textId="77777777" w:rsidR="00650658" w:rsidRPr="005E4BEA" w:rsidRDefault="00650658" w:rsidP="00650658">
      <w:pPr>
        <w:spacing w:line="240" w:lineRule="auto"/>
        <w:jc w:val="both"/>
        <w:rPr>
          <w:rFonts w:eastAsia="MS Mincho" w:cs="Arial"/>
          <w:b/>
          <w:bCs/>
          <w:szCs w:val="20"/>
        </w:rPr>
      </w:pPr>
    </w:p>
    <w:p w14:paraId="16034FC0" w14:textId="77777777" w:rsidR="00650658" w:rsidRPr="005E4BEA" w:rsidRDefault="00650658" w:rsidP="00650658">
      <w:pPr>
        <w:spacing w:line="240" w:lineRule="auto"/>
        <w:jc w:val="both"/>
        <w:rPr>
          <w:rFonts w:eastAsia="MS Mincho" w:cs="Arial"/>
          <w:b/>
          <w:bCs/>
          <w:szCs w:val="20"/>
        </w:rPr>
      </w:pPr>
      <w:r w:rsidRPr="005E4BEA">
        <w:rPr>
          <w:rFonts w:eastAsia="MS Mincho" w:cs="Arial"/>
          <w:b/>
          <w:bCs/>
          <w:szCs w:val="20"/>
        </w:rPr>
        <w:t>V Prilogi BOL-3 se v Tabeli 1 pod razdelek Univerzitetni klinični center Ljubljana doda nov razdelek Univerzitetni klinični center Ljubljana – Pediatrična klinika in znotraj njega nova  alineja, ki se glasi:</w:t>
      </w:r>
    </w:p>
    <w:p w14:paraId="18174541" w14:textId="77777777" w:rsidR="00650658" w:rsidRPr="005E4BEA" w:rsidRDefault="00650658" w:rsidP="00650658">
      <w:pPr>
        <w:spacing w:line="240" w:lineRule="auto"/>
        <w:jc w:val="both"/>
        <w:rPr>
          <w:rFonts w:eastAsia="MS Mincho" w:cs="Arial"/>
          <w:szCs w:val="20"/>
        </w:rPr>
      </w:pPr>
      <w:r w:rsidRPr="005E4BEA">
        <w:rPr>
          <w:rFonts w:eastAsia="MS Mincho" w:cs="Arial"/>
          <w:szCs w:val="20"/>
        </w:rPr>
        <w:t xml:space="preserve">» IVZ… Register redkih </w:t>
      </w:r>
      <w:proofErr w:type="spellStart"/>
      <w:r w:rsidRPr="005E4BEA">
        <w:rPr>
          <w:rFonts w:eastAsia="MS Mincho" w:cs="Arial"/>
          <w:szCs w:val="20"/>
        </w:rPr>
        <w:t>nemalignih</w:t>
      </w:r>
      <w:proofErr w:type="spellEnd"/>
      <w:r w:rsidRPr="005E4BEA">
        <w:rPr>
          <w:rFonts w:eastAsia="MS Mincho" w:cs="Arial"/>
          <w:szCs w:val="20"/>
        </w:rPr>
        <w:t xml:space="preserve"> bolezni »</w:t>
      </w:r>
    </w:p>
    <w:p w14:paraId="4FC8938C" w14:textId="77777777" w:rsidR="00650658" w:rsidRPr="005E4BEA" w:rsidRDefault="00650658" w:rsidP="00650658">
      <w:pPr>
        <w:spacing w:line="240" w:lineRule="auto"/>
        <w:jc w:val="both"/>
        <w:rPr>
          <w:rFonts w:eastAsia="MS Mincho" w:cs="Arial"/>
          <w:szCs w:val="20"/>
        </w:rPr>
      </w:pPr>
    </w:p>
    <w:p w14:paraId="5CD13FE5" w14:textId="77777777" w:rsidR="00650658" w:rsidRPr="005E4BEA" w:rsidRDefault="00650658" w:rsidP="00650658">
      <w:pPr>
        <w:spacing w:line="240" w:lineRule="auto"/>
        <w:jc w:val="both"/>
        <w:rPr>
          <w:rFonts w:eastAsia="MS Mincho" w:cs="Arial"/>
          <w:szCs w:val="20"/>
        </w:rPr>
      </w:pPr>
      <w:r w:rsidRPr="005E4BEA">
        <w:rPr>
          <w:rFonts w:eastAsia="MS Mincho" w:cs="Arial"/>
          <w:szCs w:val="20"/>
        </w:rPr>
        <w:t xml:space="preserve">in </w:t>
      </w:r>
    </w:p>
    <w:p w14:paraId="628D0C75" w14:textId="77777777" w:rsidR="00650658" w:rsidRPr="005E4BEA" w:rsidRDefault="00650658" w:rsidP="00650658">
      <w:pPr>
        <w:spacing w:line="240" w:lineRule="auto"/>
        <w:jc w:val="both"/>
        <w:rPr>
          <w:rFonts w:eastAsia="MS Mincho" w:cs="Arial"/>
          <w:szCs w:val="20"/>
        </w:rPr>
      </w:pPr>
    </w:p>
    <w:p w14:paraId="5823BD4B" w14:textId="77777777" w:rsidR="00650658" w:rsidRPr="005E4BEA" w:rsidRDefault="00650658" w:rsidP="00650658">
      <w:pPr>
        <w:spacing w:line="240" w:lineRule="auto"/>
        <w:jc w:val="both"/>
        <w:rPr>
          <w:rFonts w:eastAsia="MS Mincho" w:cs="Arial"/>
          <w:b/>
          <w:bCs/>
          <w:szCs w:val="20"/>
        </w:rPr>
      </w:pPr>
      <w:r w:rsidRPr="005E4BEA">
        <w:rPr>
          <w:rFonts w:eastAsia="MS Mincho" w:cs="Arial"/>
          <w:b/>
          <w:bCs/>
          <w:szCs w:val="20"/>
        </w:rPr>
        <w:t xml:space="preserve">V Prilogi BOL-3 se v poglavju Sredstva za terciar v Tabeli 2 v delu, ki se nanaša na Univerzitetni klinični center Ljubljana, znesek »18.143« spremeni v »18.323«. </w:t>
      </w:r>
    </w:p>
    <w:p w14:paraId="6E21C973" w14:textId="77777777" w:rsidR="00650658" w:rsidRPr="005E4BEA" w:rsidRDefault="00650658" w:rsidP="00650658">
      <w:pPr>
        <w:spacing w:line="240" w:lineRule="auto"/>
        <w:jc w:val="both"/>
        <w:rPr>
          <w:rFonts w:eastAsiaTheme="minorHAnsi" w:cs="Arial"/>
          <w:i/>
          <w:color w:val="808080" w:themeColor="background1" w:themeShade="80"/>
          <w:szCs w:val="20"/>
        </w:rPr>
      </w:pPr>
    </w:p>
    <w:bookmarkEnd w:id="75"/>
    <w:p w14:paraId="6EE6CD65" w14:textId="4E40DE8D" w:rsidR="00ED4F97" w:rsidRPr="005E4BEA" w:rsidRDefault="00ED4F97" w:rsidP="00ED4F97">
      <w:pPr>
        <w:spacing w:after="160" w:line="259" w:lineRule="auto"/>
        <w:jc w:val="both"/>
        <w:rPr>
          <w:rFonts w:eastAsia="MS Mincho"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81" w:name="_Hlk102644832"/>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w:t>
      </w:r>
      <w:r w:rsidRPr="005E4BEA">
        <w:rPr>
          <w:rFonts w:cs="Arial"/>
          <w:szCs w:val="20"/>
        </w:rPr>
        <w:t xml:space="preserve">v </w:t>
      </w:r>
      <w:r w:rsidRPr="005E4BEA">
        <w:rPr>
          <w:rFonts w:eastAsia="MS Mincho" w:cs="Arial"/>
          <w:szCs w:val="20"/>
        </w:rPr>
        <w:t>24. členu v šestem odstavku v tabeli dodajo nove vrstice:</w:t>
      </w:r>
    </w:p>
    <w:tbl>
      <w:tblPr>
        <w:tblW w:w="9260" w:type="dxa"/>
        <w:tblCellMar>
          <w:left w:w="70" w:type="dxa"/>
          <w:right w:w="70" w:type="dxa"/>
        </w:tblCellMar>
        <w:tblLook w:val="04A0" w:firstRow="1" w:lastRow="0" w:firstColumn="1" w:lastColumn="0" w:noHBand="0" w:noVBand="1"/>
      </w:tblPr>
      <w:tblGrid>
        <w:gridCol w:w="1310"/>
        <w:gridCol w:w="2702"/>
        <w:gridCol w:w="1455"/>
        <w:gridCol w:w="1132"/>
        <w:gridCol w:w="1400"/>
        <w:gridCol w:w="1115"/>
        <w:gridCol w:w="146"/>
      </w:tblGrid>
      <w:tr w:rsidR="001D0816" w:rsidRPr="001D0816" w14:paraId="299D5154" w14:textId="77777777" w:rsidTr="00F40403">
        <w:trPr>
          <w:gridAfter w:val="1"/>
          <w:wAfter w:w="16" w:type="dxa"/>
          <w:trHeight w:val="315"/>
        </w:trPr>
        <w:tc>
          <w:tcPr>
            <w:tcW w:w="1355" w:type="dxa"/>
            <w:tcBorders>
              <w:top w:val="single" w:sz="8" w:space="0" w:color="000000"/>
              <w:left w:val="single" w:sz="8" w:space="0" w:color="000000"/>
              <w:bottom w:val="nil"/>
              <w:right w:val="single" w:sz="8" w:space="0" w:color="000000"/>
            </w:tcBorders>
            <w:shd w:val="clear" w:color="auto" w:fill="auto"/>
            <w:vAlign w:val="center"/>
            <w:hideMark/>
          </w:tcPr>
          <w:p w14:paraId="12A4AC7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77FB9C"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P   r   o   g   r   a   m</w:t>
            </w:r>
          </w:p>
        </w:tc>
        <w:tc>
          <w:tcPr>
            <w:tcW w:w="1477" w:type="dxa"/>
            <w:tcBorders>
              <w:top w:val="single" w:sz="8" w:space="0" w:color="000000"/>
              <w:left w:val="nil"/>
              <w:bottom w:val="single" w:sz="8" w:space="0" w:color="000000"/>
              <w:right w:val="single" w:sz="8" w:space="0" w:color="000000"/>
            </w:tcBorders>
            <w:shd w:val="clear" w:color="auto" w:fill="auto"/>
            <w:vAlign w:val="center"/>
            <w:hideMark/>
          </w:tcPr>
          <w:p w14:paraId="5FFC6EFB"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I z v a j a l e c /</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3A6ED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Obseg programa</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14:paraId="46BA4DBF" w14:textId="77777777" w:rsidR="001D0816" w:rsidRPr="001D0816" w:rsidRDefault="001D0816" w:rsidP="00F40403">
            <w:pPr>
              <w:spacing w:line="240" w:lineRule="auto"/>
              <w:jc w:val="both"/>
              <w:rPr>
                <w:rFonts w:cs="Arial"/>
                <w:color w:val="000000"/>
                <w:szCs w:val="20"/>
                <w:lang w:eastAsia="sl-SI"/>
              </w:rPr>
            </w:pPr>
            <w:proofErr w:type="spellStart"/>
            <w:r w:rsidRPr="001D0816">
              <w:rPr>
                <w:rFonts w:cs="Arial"/>
                <w:color w:val="000000"/>
                <w:szCs w:val="20"/>
                <w:lang w:eastAsia="sl-SI"/>
              </w:rPr>
              <w:t>Dod</w:t>
            </w:r>
            <w:proofErr w:type="spellEnd"/>
            <w:r w:rsidRPr="001D0816">
              <w:rPr>
                <w:rFonts w:cs="Arial"/>
                <w:color w:val="000000"/>
                <w:szCs w:val="20"/>
                <w:lang w:eastAsia="sl-SI"/>
              </w:rPr>
              <w:t>. sred.</w:t>
            </w:r>
          </w:p>
        </w:tc>
        <w:tc>
          <w:tcPr>
            <w:tcW w:w="1119" w:type="dxa"/>
            <w:tcBorders>
              <w:top w:val="single" w:sz="8" w:space="0" w:color="000000"/>
              <w:left w:val="nil"/>
              <w:bottom w:val="single" w:sz="8" w:space="0" w:color="000000"/>
              <w:right w:val="single" w:sz="8" w:space="0" w:color="000000"/>
            </w:tcBorders>
            <w:shd w:val="clear" w:color="auto" w:fill="auto"/>
            <w:vAlign w:val="center"/>
            <w:hideMark/>
          </w:tcPr>
          <w:p w14:paraId="7445821C" w14:textId="77777777" w:rsidR="001D0816" w:rsidRPr="001D0816" w:rsidRDefault="001D0816" w:rsidP="00F40403">
            <w:pPr>
              <w:spacing w:line="240" w:lineRule="auto"/>
              <w:jc w:val="both"/>
              <w:rPr>
                <w:rFonts w:cs="Arial"/>
                <w:color w:val="000000"/>
                <w:szCs w:val="20"/>
                <w:lang w:eastAsia="sl-SI"/>
              </w:rPr>
            </w:pPr>
            <w:proofErr w:type="spellStart"/>
            <w:r w:rsidRPr="001D0816">
              <w:rPr>
                <w:rFonts w:cs="Arial"/>
                <w:color w:val="000000"/>
                <w:szCs w:val="20"/>
                <w:lang w:eastAsia="sl-SI"/>
              </w:rPr>
              <w:t>Dod</w:t>
            </w:r>
            <w:proofErr w:type="spellEnd"/>
            <w:r w:rsidRPr="001D0816">
              <w:rPr>
                <w:rFonts w:cs="Arial"/>
                <w:color w:val="000000"/>
                <w:szCs w:val="20"/>
                <w:lang w:eastAsia="sl-SI"/>
              </w:rPr>
              <w:t>. sred.</w:t>
            </w:r>
          </w:p>
        </w:tc>
      </w:tr>
      <w:tr w:rsidR="001D0816" w:rsidRPr="001D0816" w14:paraId="08A6A8A1" w14:textId="77777777" w:rsidTr="00F40403">
        <w:trPr>
          <w:gridAfter w:val="1"/>
          <w:wAfter w:w="16" w:type="dxa"/>
          <w:trHeight w:val="525"/>
        </w:trPr>
        <w:tc>
          <w:tcPr>
            <w:tcW w:w="1355" w:type="dxa"/>
            <w:tcBorders>
              <w:top w:val="nil"/>
              <w:left w:val="single" w:sz="8" w:space="0" w:color="000000"/>
              <w:bottom w:val="nil"/>
              <w:right w:val="single" w:sz="8" w:space="0" w:color="000000"/>
            </w:tcBorders>
            <w:shd w:val="clear" w:color="auto" w:fill="auto"/>
            <w:vAlign w:val="center"/>
            <w:hideMark/>
          </w:tcPr>
          <w:p w14:paraId="1345BF63"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75CBF175" w14:textId="77777777" w:rsidR="001D0816" w:rsidRPr="001D0816" w:rsidRDefault="001D0816" w:rsidP="00F40403">
            <w:pPr>
              <w:spacing w:line="240" w:lineRule="auto"/>
              <w:rPr>
                <w:rFonts w:cs="Arial"/>
                <w:color w:val="000000"/>
                <w:szCs w:val="20"/>
                <w:lang w:eastAsia="sl-SI"/>
              </w:rPr>
            </w:pPr>
          </w:p>
        </w:tc>
        <w:tc>
          <w:tcPr>
            <w:tcW w:w="1477" w:type="dxa"/>
            <w:tcBorders>
              <w:top w:val="nil"/>
              <w:left w:val="nil"/>
              <w:bottom w:val="single" w:sz="8" w:space="0" w:color="000000"/>
              <w:right w:val="single" w:sz="8" w:space="0" w:color="000000"/>
            </w:tcBorders>
            <w:shd w:val="clear" w:color="auto" w:fill="auto"/>
            <w:vAlign w:val="center"/>
            <w:hideMark/>
          </w:tcPr>
          <w:p w14:paraId="2BFB140F"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i z p o s t a v a</w:t>
            </w:r>
          </w:p>
        </w:tc>
        <w:tc>
          <w:tcPr>
            <w:tcW w:w="1139" w:type="dxa"/>
            <w:vMerge/>
            <w:tcBorders>
              <w:top w:val="single" w:sz="8" w:space="0" w:color="000000"/>
              <w:left w:val="single" w:sz="8" w:space="0" w:color="000000"/>
              <w:bottom w:val="single" w:sz="8" w:space="0" w:color="000000"/>
              <w:right w:val="single" w:sz="8" w:space="0" w:color="000000"/>
            </w:tcBorders>
            <w:vAlign w:val="center"/>
            <w:hideMark/>
          </w:tcPr>
          <w:p w14:paraId="5A3D5558" w14:textId="77777777" w:rsidR="001D0816" w:rsidRPr="001D0816" w:rsidRDefault="001D0816" w:rsidP="00F40403">
            <w:pPr>
              <w:spacing w:line="240" w:lineRule="auto"/>
              <w:rPr>
                <w:rFonts w:cs="Arial"/>
                <w:color w:val="000000"/>
                <w:szCs w:val="20"/>
                <w:lang w:eastAsia="sl-SI"/>
              </w:rPr>
            </w:pPr>
          </w:p>
        </w:tc>
        <w:tc>
          <w:tcPr>
            <w:tcW w:w="1418" w:type="dxa"/>
            <w:tcBorders>
              <w:top w:val="nil"/>
              <w:left w:val="nil"/>
              <w:bottom w:val="single" w:sz="8" w:space="0" w:color="000000"/>
              <w:right w:val="single" w:sz="8" w:space="0" w:color="000000"/>
            </w:tcBorders>
            <w:shd w:val="clear" w:color="auto" w:fill="auto"/>
            <w:vAlign w:val="center"/>
            <w:hideMark/>
          </w:tcPr>
          <w:p w14:paraId="7DFFFF4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na letni ravni</w:t>
            </w:r>
          </w:p>
        </w:tc>
        <w:tc>
          <w:tcPr>
            <w:tcW w:w="1119" w:type="dxa"/>
            <w:tcBorders>
              <w:top w:val="nil"/>
              <w:left w:val="nil"/>
              <w:bottom w:val="single" w:sz="8" w:space="0" w:color="000000"/>
              <w:right w:val="single" w:sz="8" w:space="0" w:color="000000"/>
            </w:tcBorders>
            <w:shd w:val="clear" w:color="auto" w:fill="auto"/>
            <w:vAlign w:val="center"/>
            <w:hideMark/>
          </w:tcPr>
          <w:p w14:paraId="60F0959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w:t>
            </w:r>
            <w:r w:rsidRPr="005E4BEA">
              <w:rPr>
                <w:rFonts w:cs="Arial"/>
                <w:color w:val="000000"/>
                <w:szCs w:val="20"/>
                <w:lang w:eastAsia="sl-SI"/>
              </w:rPr>
              <w:t>9</w:t>
            </w:r>
            <w:r w:rsidRPr="001D0816">
              <w:rPr>
                <w:rFonts w:cs="Arial"/>
                <w:color w:val="000000"/>
                <w:szCs w:val="20"/>
                <w:lang w:eastAsia="sl-SI"/>
              </w:rPr>
              <w:t>.–31.12. 2022</w:t>
            </w:r>
          </w:p>
        </w:tc>
      </w:tr>
      <w:tr w:rsidR="001D0816" w:rsidRPr="001D0816" w14:paraId="7FB975FA" w14:textId="77777777" w:rsidTr="00F40403">
        <w:trPr>
          <w:gridAfter w:val="1"/>
          <w:wAfter w:w="16" w:type="dxa"/>
          <w:trHeight w:val="31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7C9FF0DE"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1EE86053" w14:textId="77777777" w:rsidR="001D0816" w:rsidRPr="001D0816" w:rsidRDefault="001D0816" w:rsidP="00F40403">
            <w:pPr>
              <w:spacing w:line="240" w:lineRule="auto"/>
              <w:rPr>
                <w:rFonts w:cs="Arial"/>
                <w:color w:val="000000"/>
                <w:szCs w:val="20"/>
                <w:lang w:eastAsia="sl-SI"/>
              </w:rPr>
            </w:pPr>
          </w:p>
        </w:tc>
        <w:tc>
          <w:tcPr>
            <w:tcW w:w="1477" w:type="dxa"/>
            <w:tcBorders>
              <w:top w:val="nil"/>
              <w:left w:val="nil"/>
              <w:bottom w:val="single" w:sz="8" w:space="0" w:color="000000"/>
              <w:right w:val="single" w:sz="8" w:space="0" w:color="000000"/>
            </w:tcBorders>
            <w:shd w:val="clear" w:color="auto" w:fill="auto"/>
            <w:vAlign w:val="center"/>
            <w:hideMark/>
          </w:tcPr>
          <w:p w14:paraId="53C4046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 </w:t>
            </w:r>
          </w:p>
        </w:tc>
        <w:tc>
          <w:tcPr>
            <w:tcW w:w="1139" w:type="dxa"/>
            <w:vMerge/>
            <w:tcBorders>
              <w:top w:val="single" w:sz="8" w:space="0" w:color="000000"/>
              <w:left w:val="single" w:sz="8" w:space="0" w:color="000000"/>
              <w:bottom w:val="single" w:sz="8" w:space="0" w:color="000000"/>
              <w:right w:val="single" w:sz="8" w:space="0" w:color="000000"/>
            </w:tcBorders>
            <w:vAlign w:val="center"/>
            <w:hideMark/>
          </w:tcPr>
          <w:p w14:paraId="21E8C7DE" w14:textId="77777777" w:rsidR="001D0816" w:rsidRPr="001D0816" w:rsidRDefault="001D0816" w:rsidP="00F40403">
            <w:pPr>
              <w:spacing w:line="240" w:lineRule="auto"/>
              <w:rPr>
                <w:rFonts w:cs="Arial"/>
                <w:color w:val="000000"/>
                <w:szCs w:val="20"/>
                <w:lang w:eastAsia="sl-SI"/>
              </w:rPr>
            </w:pPr>
          </w:p>
        </w:tc>
        <w:tc>
          <w:tcPr>
            <w:tcW w:w="1418" w:type="dxa"/>
            <w:tcBorders>
              <w:top w:val="nil"/>
              <w:left w:val="nil"/>
              <w:bottom w:val="single" w:sz="8" w:space="0" w:color="000000"/>
              <w:right w:val="single" w:sz="8" w:space="0" w:color="000000"/>
            </w:tcBorders>
            <w:shd w:val="clear" w:color="auto" w:fill="auto"/>
            <w:vAlign w:val="center"/>
            <w:hideMark/>
          </w:tcPr>
          <w:p w14:paraId="7A48663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(v EUR)</w:t>
            </w:r>
          </w:p>
        </w:tc>
        <w:tc>
          <w:tcPr>
            <w:tcW w:w="1119" w:type="dxa"/>
            <w:tcBorders>
              <w:top w:val="nil"/>
              <w:left w:val="nil"/>
              <w:bottom w:val="single" w:sz="8" w:space="0" w:color="000000"/>
              <w:right w:val="single" w:sz="8" w:space="0" w:color="000000"/>
            </w:tcBorders>
            <w:shd w:val="clear" w:color="auto" w:fill="auto"/>
            <w:vAlign w:val="center"/>
            <w:hideMark/>
          </w:tcPr>
          <w:p w14:paraId="468537C6"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(v EUR)</w:t>
            </w:r>
          </w:p>
        </w:tc>
      </w:tr>
      <w:tr w:rsidR="001D0816" w:rsidRPr="001D0816" w14:paraId="60F869DB" w14:textId="77777777" w:rsidTr="00F40403">
        <w:trPr>
          <w:gridAfter w:val="1"/>
          <w:wAfter w:w="16" w:type="dxa"/>
          <w:trHeight w:val="154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08EFE9DD"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w:t>
            </w:r>
          </w:p>
        </w:tc>
        <w:tc>
          <w:tcPr>
            <w:tcW w:w="2736" w:type="dxa"/>
            <w:tcBorders>
              <w:top w:val="nil"/>
              <w:left w:val="nil"/>
              <w:bottom w:val="single" w:sz="8" w:space="0" w:color="000000"/>
              <w:right w:val="single" w:sz="8" w:space="0" w:color="000000"/>
            </w:tcBorders>
            <w:shd w:val="clear" w:color="auto" w:fill="auto"/>
            <w:vAlign w:val="center"/>
            <w:hideMark/>
          </w:tcPr>
          <w:p w14:paraId="76EB887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Genetsko presejalno odkrivanje in celostna obravnava otrok in mladostnikov z družinsko </w:t>
            </w:r>
            <w:proofErr w:type="spellStart"/>
            <w:r w:rsidRPr="001D0816">
              <w:rPr>
                <w:rFonts w:cs="Arial"/>
                <w:color w:val="000000"/>
                <w:szCs w:val="20"/>
                <w:lang w:eastAsia="sl-SI"/>
              </w:rPr>
              <w:t>hiperholesterolemijo</w:t>
            </w:r>
            <w:proofErr w:type="spellEnd"/>
            <w:r w:rsidRPr="001D0816">
              <w:rPr>
                <w:rFonts w:cs="Arial"/>
                <w:color w:val="000000"/>
                <w:szCs w:val="20"/>
                <w:lang w:eastAsia="sl-SI"/>
              </w:rPr>
              <w:t>*</w:t>
            </w:r>
          </w:p>
        </w:tc>
        <w:tc>
          <w:tcPr>
            <w:tcW w:w="1477" w:type="dxa"/>
            <w:tcBorders>
              <w:top w:val="nil"/>
              <w:left w:val="nil"/>
              <w:bottom w:val="single" w:sz="8" w:space="0" w:color="000000"/>
              <w:right w:val="single" w:sz="8" w:space="0" w:color="000000"/>
            </w:tcBorders>
            <w:shd w:val="clear" w:color="auto" w:fill="auto"/>
            <w:vAlign w:val="center"/>
            <w:hideMark/>
          </w:tcPr>
          <w:p w14:paraId="44DE49FE"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UKC </w:t>
            </w:r>
            <w:proofErr w:type="spellStart"/>
            <w:r w:rsidRPr="001D0816">
              <w:rPr>
                <w:rFonts w:cs="Arial"/>
                <w:color w:val="000000"/>
                <w:szCs w:val="20"/>
                <w:lang w:eastAsia="sl-SI"/>
              </w:rPr>
              <w:t>Lubljana</w:t>
            </w:r>
            <w:proofErr w:type="spellEnd"/>
            <w:r w:rsidRPr="001D0816">
              <w:rPr>
                <w:rFonts w:cs="Arial"/>
                <w:color w:val="000000"/>
                <w:szCs w:val="20"/>
                <w:lang w:eastAsia="sl-SI"/>
              </w:rPr>
              <w:t xml:space="preserve"> / PEK Ljubljana</w:t>
            </w:r>
          </w:p>
        </w:tc>
        <w:tc>
          <w:tcPr>
            <w:tcW w:w="1139" w:type="dxa"/>
            <w:tcBorders>
              <w:top w:val="nil"/>
              <w:left w:val="nil"/>
              <w:bottom w:val="single" w:sz="8" w:space="0" w:color="000000"/>
              <w:right w:val="single" w:sz="8" w:space="0" w:color="000000"/>
            </w:tcBorders>
            <w:shd w:val="clear" w:color="auto" w:fill="auto"/>
            <w:vAlign w:val="center"/>
            <w:hideMark/>
          </w:tcPr>
          <w:p w14:paraId="1EC96154"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2EA7950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299.250</w:t>
            </w:r>
          </w:p>
        </w:tc>
        <w:tc>
          <w:tcPr>
            <w:tcW w:w="1119" w:type="dxa"/>
            <w:tcBorders>
              <w:top w:val="nil"/>
              <w:left w:val="nil"/>
              <w:bottom w:val="single" w:sz="8" w:space="0" w:color="000000"/>
              <w:right w:val="single" w:sz="8" w:space="0" w:color="000000"/>
            </w:tcBorders>
            <w:shd w:val="clear" w:color="auto" w:fill="auto"/>
            <w:vAlign w:val="center"/>
            <w:hideMark/>
          </w:tcPr>
          <w:p w14:paraId="6E0C17C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99.750</w:t>
            </w:r>
          </w:p>
        </w:tc>
      </w:tr>
      <w:tr w:rsidR="001D0816" w:rsidRPr="001D0816" w14:paraId="390A6B9A" w14:textId="77777777" w:rsidTr="00F40403">
        <w:trPr>
          <w:gridAfter w:val="1"/>
          <w:wAfter w:w="16" w:type="dxa"/>
          <w:trHeight w:val="78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3501E47B"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2</w:t>
            </w:r>
          </w:p>
        </w:tc>
        <w:tc>
          <w:tcPr>
            <w:tcW w:w="2736" w:type="dxa"/>
            <w:tcBorders>
              <w:top w:val="nil"/>
              <w:left w:val="nil"/>
              <w:bottom w:val="single" w:sz="8" w:space="0" w:color="000000"/>
              <w:right w:val="single" w:sz="8" w:space="0" w:color="000000"/>
            </w:tcBorders>
            <w:shd w:val="clear" w:color="auto" w:fill="auto"/>
            <w:vAlign w:val="center"/>
            <w:hideMark/>
          </w:tcPr>
          <w:p w14:paraId="24A70812" w14:textId="77777777" w:rsidR="001D0816" w:rsidRPr="001D0816" w:rsidRDefault="001D0816" w:rsidP="00F40403">
            <w:pPr>
              <w:spacing w:line="240" w:lineRule="auto"/>
              <w:jc w:val="both"/>
              <w:rPr>
                <w:rFonts w:cs="Arial"/>
                <w:color w:val="000000"/>
                <w:szCs w:val="20"/>
                <w:lang w:eastAsia="sl-SI"/>
              </w:rPr>
            </w:pPr>
            <w:proofErr w:type="spellStart"/>
            <w:r w:rsidRPr="001D0816">
              <w:rPr>
                <w:rFonts w:cs="Arial"/>
                <w:color w:val="000000"/>
                <w:szCs w:val="20"/>
                <w:lang w:eastAsia="sl-SI"/>
              </w:rPr>
              <w:t>Eozinofilne</w:t>
            </w:r>
            <w:proofErr w:type="spellEnd"/>
            <w:r w:rsidRPr="001D0816">
              <w:rPr>
                <w:rFonts w:cs="Arial"/>
                <w:color w:val="000000"/>
                <w:szCs w:val="20"/>
                <w:lang w:eastAsia="sl-SI"/>
              </w:rPr>
              <w:t xml:space="preserve"> bolezni prebavil: Diagnostika in zdravljenje pri otrocih in mladostnikih*</w:t>
            </w:r>
          </w:p>
        </w:tc>
        <w:tc>
          <w:tcPr>
            <w:tcW w:w="1477" w:type="dxa"/>
            <w:tcBorders>
              <w:top w:val="nil"/>
              <w:left w:val="nil"/>
              <w:bottom w:val="single" w:sz="8" w:space="0" w:color="000000"/>
              <w:right w:val="single" w:sz="8" w:space="0" w:color="000000"/>
            </w:tcBorders>
            <w:shd w:val="clear" w:color="auto" w:fill="auto"/>
            <w:vAlign w:val="center"/>
            <w:hideMark/>
          </w:tcPr>
          <w:p w14:paraId="36ED55A9"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UKC </w:t>
            </w:r>
            <w:proofErr w:type="spellStart"/>
            <w:r w:rsidRPr="001D0816">
              <w:rPr>
                <w:rFonts w:cs="Arial"/>
                <w:color w:val="000000"/>
                <w:szCs w:val="20"/>
                <w:lang w:eastAsia="sl-SI"/>
              </w:rPr>
              <w:t>Lubljana</w:t>
            </w:r>
            <w:proofErr w:type="spellEnd"/>
            <w:r w:rsidRPr="001D0816">
              <w:rPr>
                <w:rFonts w:cs="Arial"/>
                <w:color w:val="000000"/>
                <w:szCs w:val="20"/>
                <w:lang w:eastAsia="sl-SI"/>
              </w:rPr>
              <w:t xml:space="preserve"> / PEK Ljubljana</w:t>
            </w:r>
          </w:p>
        </w:tc>
        <w:tc>
          <w:tcPr>
            <w:tcW w:w="1139" w:type="dxa"/>
            <w:tcBorders>
              <w:top w:val="nil"/>
              <w:left w:val="nil"/>
              <w:bottom w:val="single" w:sz="8" w:space="0" w:color="000000"/>
              <w:right w:val="single" w:sz="8" w:space="0" w:color="000000"/>
            </w:tcBorders>
            <w:shd w:val="clear" w:color="auto" w:fill="auto"/>
            <w:vAlign w:val="center"/>
            <w:hideMark/>
          </w:tcPr>
          <w:p w14:paraId="49FBF3EF"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61C9F2DC"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209.447</w:t>
            </w:r>
          </w:p>
        </w:tc>
        <w:tc>
          <w:tcPr>
            <w:tcW w:w="1119" w:type="dxa"/>
            <w:tcBorders>
              <w:top w:val="nil"/>
              <w:left w:val="nil"/>
              <w:bottom w:val="single" w:sz="8" w:space="0" w:color="000000"/>
              <w:right w:val="single" w:sz="8" w:space="0" w:color="000000"/>
            </w:tcBorders>
            <w:shd w:val="clear" w:color="auto" w:fill="auto"/>
            <w:vAlign w:val="center"/>
            <w:hideMark/>
          </w:tcPr>
          <w:p w14:paraId="1B76D65D"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69.816</w:t>
            </w:r>
          </w:p>
        </w:tc>
      </w:tr>
      <w:tr w:rsidR="001D0816" w:rsidRPr="001D0816" w14:paraId="0EC10C5E" w14:textId="77777777" w:rsidTr="00F40403">
        <w:trPr>
          <w:gridAfter w:val="1"/>
          <w:wAfter w:w="16" w:type="dxa"/>
          <w:trHeight w:val="31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5FCEC72A"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3</w:t>
            </w:r>
          </w:p>
        </w:tc>
        <w:tc>
          <w:tcPr>
            <w:tcW w:w="2736" w:type="dxa"/>
            <w:tcBorders>
              <w:top w:val="nil"/>
              <w:left w:val="nil"/>
              <w:bottom w:val="single" w:sz="8" w:space="0" w:color="000000"/>
              <w:right w:val="single" w:sz="8" w:space="0" w:color="000000"/>
            </w:tcBorders>
            <w:shd w:val="clear" w:color="auto" w:fill="auto"/>
            <w:vAlign w:val="center"/>
            <w:hideMark/>
          </w:tcPr>
          <w:p w14:paraId="1ABB7665"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Humana mlečna banka*</w:t>
            </w:r>
          </w:p>
        </w:tc>
        <w:tc>
          <w:tcPr>
            <w:tcW w:w="1477" w:type="dxa"/>
            <w:tcBorders>
              <w:top w:val="nil"/>
              <w:left w:val="nil"/>
              <w:bottom w:val="single" w:sz="8" w:space="0" w:color="000000"/>
              <w:right w:val="single" w:sz="8" w:space="0" w:color="000000"/>
            </w:tcBorders>
            <w:shd w:val="clear" w:color="auto" w:fill="auto"/>
            <w:vAlign w:val="center"/>
            <w:hideMark/>
          </w:tcPr>
          <w:p w14:paraId="24B9B5E4"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0383C453"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710F451E"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36.000</w:t>
            </w:r>
          </w:p>
        </w:tc>
        <w:tc>
          <w:tcPr>
            <w:tcW w:w="1119" w:type="dxa"/>
            <w:tcBorders>
              <w:top w:val="nil"/>
              <w:left w:val="nil"/>
              <w:bottom w:val="single" w:sz="8" w:space="0" w:color="000000"/>
              <w:right w:val="single" w:sz="8" w:space="0" w:color="000000"/>
            </w:tcBorders>
            <w:shd w:val="clear" w:color="auto" w:fill="auto"/>
            <w:vAlign w:val="center"/>
            <w:hideMark/>
          </w:tcPr>
          <w:p w14:paraId="71DB8D1A"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12.000</w:t>
            </w:r>
          </w:p>
        </w:tc>
      </w:tr>
      <w:tr w:rsidR="001D0816" w:rsidRPr="001D0816" w14:paraId="04AD2A26" w14:textId="77777777" w:rsidTr="00F40403">
        <w:trPr>
          <w:gridAfter w:val="1"/>
          <w:wAfter w:w="16" w:type="dxa"/>
          <w:trHeight w:val="78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1F04379C"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4</w:t>
            </w:r>
          </w:p>
        </w:tc>
        <w:tc>
          <w:tcPr>
            <w:tcW w:w="2736" w:type="dxa"/>
            <w:tcBorders>
              <w:top w:val="nil"/>
              <w:left w:val="nil"/>
              <w:bottom w:val="single" w:sz="8" w:space="0" w:color="000000"/>
              <w:right w:val="single" w:sz="8" w:space="0" w:color="000000"/>
            </w:tcBorders>
            <w:shd w:val="clear" w:color="auto" w:fill="auto"/>
            <w:vAlign w:val="center"/>
            <w:hideMark/>
          </w:tcPr>
          <w:p w14:paraId="7FD61DC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Celostna obravnava otrok in mladostnikov s cistično </w:t>
            </w:r>
            <w:proofErr w:type="spellStart"/>
            <w:r w:rsidRPr="001D0816">
              <w:rPr>
                <w:rFonts w:cs="Arial"/>
                <w:color w:val="000000"/>
                <w:szCs w:val="20"/>
                <w:lang w:eastAsia="sl-SI"/>
              </w:rPr>
              <w:t>fibrozo</w:t>
            </w:r>
            <w:proofErr w:type="spellEnd"/>
            <w:r w:rsidRPr="001D0816">
              <w:rPr>
                <w:rFonts w:cs="Arial"/>
                <w:color w:val="000000"/>
                <w:szCs w:val="20"/>
                <w:lang w:eastAsia="sl-SI"/>
              </w:rPr>
              <w:t xml:space="preserve"> (uveljavitev s 1.1.2023)</w:t>
            </w:r>
          </w:p>
        </w:tc>
        <w:tc>
          <w:tcPr>
            <w:tcW w:w="1477" w:type="dxa"/>
            <w:tcBorders>
              <w:top w:val="nil"/>
              <w:left w:val="nil"/>
              <w:bottom w:val="single" w:sz="8" w:space="0" w:color="000000"/>
              <w:right w:val="single" w:sz="8" w:space="0" w:color="000000"/>
            </w:tcBorders>
            <w:shd w:val="clear" w:color="auto" w:fill="auto"/>
            <w:vAlign w:val="center"/>
            <w:hideMark/>
          </w:tcPr>
          <w:p w14:paraId="54407D4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PEK Ljubljana</w:t>
            </w:r>
          </w:p>
        </w:tc>
        <w:tc>
          <w:tcPr>
            <w:tcW w:w="1139" w:type="dxa"/>
            <w:tcBorders>
              <w:top w:val="nil"/>
              <w:left w:val="nil"/>
              <w:bottom w:val="single" w:sz="8" w:space="0" w:color="000000"/>
              <w:right w:val="single" w:sz="8" w:space="0" w:color="000000"/>
            </w:tcBorders>
            <w:shd w:val="clear" w:color="auto" w:fill="auto"/>
            <w:vAlign w:val="center"/>
            <w:hideMark/>
          </w:tcPr>
          <w:p w14:paraId="49122877"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58A72EC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764.000</w:t>
            </w:r>
          </w:p>
        </w:tc>
        <w:tc>
          <w:tcPr>
            <w:tcW w:w="1119" w:type="dxa"/>
            <w:tcBorders>
              <w:top w:val="nil"/>
              <w:left w:val="nil"/>
              <w:bottom w:val="single" w:sz="8" w:space="0" w:color="000000"/>
              <w:right w:val="single" w:sz="8" w:space="0" w:color="000000"/>
            </w:tcBorders>
            <w:shd w:val="clear" w:color="auto" w:fill="auto"/>
            <w:vAlign w:val="center"/>
            <w:hideMark/>
          </w:tcPr>
          <w:p w14:paraId="20B96D9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0</w:t>
            </w:r>
          </w:p>
        </w:tc>
      </w:tr>
      <w:tr w:rsidR="001D0816" w:rsidRPr="001D0816" w14:paraId="5C2F7C35" w14:textId="77777777" w:rsidTr="00F40403">
        <w:trPr>
          <w:gridAfter w:val="1"/>
          <w:wAfter w:w="16" w:type="dxa"/>
          <w:trHeight w:val="1035"/>
        </w:trPr>
        <w:tc>
          <w:tcPr>
            <w:tcW w:w="1355" w:type="dxa"/>
            <w:tcBorders>
              <w:top w:val="nil"/>
              <w:left w:val="single" w:sz="8" w:space="0" w:color="000000"/>
              <w:bottom w:val="nil"/>
              <w:right w:val="single" w:sz="8" w:space="0" w:color="000000"/>
            </w:tcBorders>
            <w:shd w:val="clear" w:color="auto" w:fill="auto"/>
            <w:vAlign w:val="center"/>
            <w:hideMark/>
          </w:tcPr>
          <w:p w14:paraId="02369873"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5</w:t>
            </w:r>
          </w:p>
        </w:tc>
        <w:tc>
          <w:tcPr>
            <w:tcW w:w="2736" w:type="dxa"/>
            <w:tcBorders>
              <w:top w:val="nil"/>
              <w:left w:val="nil"/>
              <w:bottom w:val="nil"/>
              <w:right w:val="single" w:sz="8" w:space="0" w:color="000000"/>
            </w:tcBorders>
            <w:shd w:val="clear" w:color="auto" w:fill="auto"/>
            <w:vAlign w:val="center"/>
            <w:hideMark/>
          </w:tcPr>
          <w:p w14:paraId="0383207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CAR-T celična terapija za zdravljenje akutne </w:t>
            </w:r>
            <w:proofErr w:type="spellStart"/>
            <w:r w:rsidRPr="001D0816">
              <w:rPr>
                <w:rFonts w:cs="Arial"/>
                <w:color w:val="000000"/>
                <w:szCs w:val="20"/>
                <w:lang w:eastAsia="sl-SI"/>
              </w:rPr>
              <w:t>limfoblastne</w:t>
            </w:r>
            <w:proofErr w:type="spellEnd"/>
            <w:r w:rsidRPr="001D0816">
              <w:rPr>
                <w:rFonts w:cs="Arial"/>
                <w:color w:val="000000"/>
                <w:szCs w:val="20"/>
                <w:lang w:eastAsia="sl-SI"/>
              </w:rPr>
              <w:t xml:space="preserve"> levkemije in </w:t>
            </w:r>
            <w:proofErr w:type="spellStart"/>
            <w:r w:rsidRPr="001D0816">
              <w:rPr>
                <w:rFonts w:cs="Arial"/>
                <w:color w:val="000000"/>
                <w:szCs w:val="20"/>
                <w:lang w:eastAsia="sl-SI"/>
              </w:rPr>
              <w:t>neHodgkinov</w:t>
            </w:r>
            <w:proofErr w:type="spellEnd"/>
            <w:r w:rsidRPr="001D0816">
              <w:rPr>
                <w:rFonts w:cs="Arial"/>
                <w:color w:val="000000"/>
                <w:szCs w:val="20"/>
                <w:lang w:eastAsia="sl-SI"/>
              </w:rPr>
              <w:t xml:space="preserve"> limfomov**</w:t>
            </w:r>
          </w:p>
        </w:tc>
        <w:tc>
          <w:tcPr>
            <w:tcW w:w="1477" w:type="dxa"/>
            <w:tcBorders>
              <w:top w:val="nil"/>
              <w:left w:val="nil"/>
              <w:bottom w:val="nil"/>
              <w:right w:val="single" w:sz="8" w:space="0" w:color="000000"/>
            </w:tcBorders>
            <w:shd w:val="clear" w:color="auto" w:fill="auto"/>
            <w:vAlign w:val="center"/>
            <w:hideMark/>
          </w:tcPr>
          <w:p w14:paraId="5880260E"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nil"/>
              <w:right w:val="single" w:sz="8" w:space="0" w:color="000000"/>
            </w:tcBorders>
            <w:shd w:val="clear" w:color="auto" w:fill="auto"/>
            <w:vAlign w:val="center"/>
            <w:hideMark/>
          </w:tcPr>
          <w:p w14:paraId="4740CEDA"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nil"/>
              <w:right w:val="single" w:sz="8" w:space="0" w:color="000000"/>
            </w:tcBorders>
            <w:shd w:val="clear" w:color="auto" w:fill="auto"/>
            <w:vAlign w:val="center"/>
            <w:hideMark/>
          </w:tcPr>
          <w:p w14:paraId="1C4C61B5"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3.558.256</w:t>
            </w:r>
          </w:p>
        </w:tc>
        <w:tc>
          <w:tcPr>
            <w:tcW w:w="1119" w:type="dxa"/>
            <w:tcBorders>
              <w:top w:val="nil"/>
              <w:left w:val="nil"/>
              <w:bottom w:val="nil"/>
              <w:right w:val="single" w:sz="8" w:space="0" w:color="000000"/>
            </w:tcBorders>
            <w:shd w:val="clear" w:color="auto" w:fill="auto"/>
            <w:vAlign w:val="center"/>
            <w:hideMark/>
          </w:tcPr>
          <w:p w14:paraId="394D0E6F"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1.186.085</w:t>
            </w:r>
          </w:p>
        </w:tc>
      </w:tr>
      <w:tr w:rsidR="001D0816" w:rsidRPr="001D0816" w14:paraId="6F93F079" w14:textId="77777777" w:rsidTr="00F40403">
        <w:trPr>
          <w:gridAfter w:val="1"/>
          <w:wAfter w:w="16" w:type="dxa"/>
          <w:trHeight w:val="154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BCECD3"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6</w:t>
            </w:r>
          </w:p>
        </w:tc>
        <w:tc>
          <w:tcPr>
            <w:tcW w:w="273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D61FE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Uvedba programa </w:t>
            </w:r>
            <w:proofErr w:type="spellStart"/>
            <w:r w:rsidRPr="001D0816">
              <w:rPr>
                <w:rFonts w:cs="Arial"/>
                <w:color w:val="000000"/>
                <w:szCs w:val="20"/>
                <w:lang w:eastAsia="sl-SI"/>
              </w:rPr>
              <w:t>presejanja</w:t>
            </w:r>
            <w:proofErr w:type="spellEnd"/>
            <w:r w:rsidRPr="001D0816">
              <w:rPr>
                <w:rFonts w:cs="Arial"/>
                <w:color w:val="000000"/>
                <w:szCs w:val="20"/>
                <w:lang w:eastAsia="sl-SI"/>
              </w:rPr>
              <w:t xml:space="preserve"> novorojencev za </w:t>
            </w:r>
            <w:proofErr w:type="spellStart"/>
            <w:r w:rsidRPr="001D0816">
              <w:rPr>
                <w:rFonts w:cs="Arial"/>
                <w:color w:val="000000"/>
                <w:szCs w:val="20"/>
                <w:lang w:eastAsia="sl-SI"/>
              </w:rPr>
              <w:t>spinalno</w:t>
            </w:r>
            <w:proofErr w:type="spellEnd"/>
            <w:r w:rsidRPr="001D0816">
              <w:rPr>
                <w:rFonts w:cs="Arial"/>
                <w:color w:val="000000"/>
                <w:szCs w:val="20"/>
                <w:lang w:eastAsia="sl-SI"/>
              </w:rPr>
              <w:t xml:space="preserve"> mišično atrofijo, težke prirojene okvare imunosti, cistično </w:t>
            </w:r>
            <w:proofErr w:type="spellStart"/>
            <w:r w:rsidRPr="001D0816">
              <w:rPr>
                <w:rFonts w:cs="Arial"/>
                <w:color w:val="000000"/>
                <w:szCs w:val="20"/>
                <w:lang w:eastAsia="sl-SI"/>
              </w:rPr>
              <w:t>fibrozo</w:t>
            </w:r>
            <w:proofErr w:type="spellEnd"/>
            <w:r w:rsidRPr="001D0816">
              <w:rPr>
                <w:rFonts w:cs="Arial"/>
                <w:color w:val="000000"/>
                <w:szCs w:val="20"/>
                <w:lang w:eastAsia="sl-SI"/>
              </w:rPr>
              <w:t xml:space="preserve"> in </w:t>
            </w:r>
            <w:r w:rsidRPr="001D0816">
              <w:rPr>
                <w:rFonts w:cs="Arial"/>
                <w:color w:val="000000"/>
                <w:szCs w:val="20"/>
                <w:lang w:eastAsia="sl-SI"/>
              </w:rPr>
              <w:lastRenderedPageBreak/>
              <w:t>kongenitalno adrenalno hiperplazijo*</w:t>
            </w:r>
          </w:p>
        </w:tc>
        <w:tc>
          <w:tcPr>
            <w:tcW w:w="14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21B0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lastRenderedPageBreak/>
              <w:t xml:space="preserve">UKC </w:t>
            </w:r>
            <w:proofErr w:type="spellStart"/>
            <w:r w:rsidRPr="001D0816">
              <w:rPr>
                <w:rFonts w:cs="Arial"/>
                <w:color w:val="000000"/>
                <w:szCs w:val="20"/>
                <w:lang w:eastAsia="sl-SI"/>
              </w:rPr>
              <w:t>Lubljana</w:t>
            </w:r>
            <w:proofErr w:type="spellEnd"/>
            <w:r w:rsidRPr="001D0816">
              <w:rPr>
                <w:rFonts w:cs="Arial"/>
                <w:color w:val="000000"/>
                <w:szCs w:val="20"/>
                <w:lang w:eastAsia="sl-SI"/>
              </w:rPr>
              <w:t xml:space="preserve"> / PEK Ljubljana</w:t>
            </w:r>
          </w:p>
        </w:tc>
        <w:tc>
          <w:tcPr>
            <w:tcW w:w="11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2309F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416A3F"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1.926.937</w:t>
            </w:r>
          </w:p>
        </w:tc>
        <w:tc>
          <w:tcPr>
            <w:tcW w:w="11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95CADA"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642.312</w:t>
            </w:r>
          </w:p>
        </w:tc>
      </w:tr>
      <w:tr w:rsidR="001D0816" w:rsidRPr="001D0816" w14:paraId="591A7259" w14:textId="77777777" w:rsidTr="00F40403">
        <w:trPr>
          <w:trHeight w:val="315"/>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197D45A6" w14:textId="77777777" w:rsidR="001D0816" w:rsidRPr="001D0816" w:rsidRDefault="001D0816" w:rsidP="00F40403">
            <w:pPr>
              <w:spacing w:line="240" w:lineRule="auto"/>
              <w:rPr>
                <w:rFonts w:cs="Arial"/>
                <w:color w:val="000000"/>
                <w:szCs w:val="20"/>
                <w:lang w:eastAsia="sl-SI"/>
              </w:rPr>
            </w:pPr>
          </w:p>
        </w:tc>
        <w:tc>
          <w:tcPr>
            <w:tcW w:w="2736" w:type="dxa"/>
            <w:vMerge/>
            <w:tcBorders>
              <w:top w:val="single" w:sz="8" w:space="0" w:color="000000"/>
              <w:left w:val="single" w:sz="8" w:space="0" w:color="000000"/>
              <w:bottom w:val="single" w:sz="8" w:space="0" w:color="000000"/>
              <w:right w:val="single" w:sz="8" w:space="0" w:color="000000"/>
            </w:tcBorders>
            <w:vAlign w:val="center"/>
            <w:hideMark/>
          </w:tcPr>
          <w:p w14:paraId="75E5B629" w14:textId="77777777" w:rsidR="001D0816" w:rsidRPr="001D0816" w:rsidRDefault="001D0816" w:rsidP="00F40403">
            <w:pPr>
              <w:spacing w:line="240" w:lineRule="auto"/>
              <w:rPr>
                <w:rFonts w:cs="Arial"/>
                <w:color w:val="000000"/>
                <w:szCs w:val="20"/>
                <w:lang w:eastAsia="sl-SI"/>
              </w:rPr>
            </w:pPr>
          </w:p>
        </w:tc>
        <w:tc>
          <w:tcPr>
            <w:tcW w:w="1477" w:type="dxa"/>
            <w:vMerge/>
            <w:tcBorders>
              <w:top w:val="single" w:sz="8" w:space="0" w:color="000000"/>
              <w:left w:val="single" w:sz="8" w:space="0" w:color="000000"/>
              <w:bottom w:val="single" w:sz="8" w:space="0" w:color="000000"/>
              <w:right w:val="single" w:sz="8" w:space="0" w:color="000000"/>
            </w:tcBorders>
            <w:vAlign w:val="center"/>
            <w:hideMark/>
          </w:tcPr>
          <w:p w14:paraId="088A4054" w14:textId="77777777" w:rsidR="001D0816" w:rsidRPr="001D0816" w:rsidRDefault="001D0816" w:rsidP="00F40403">
            <w:pPr>
              <w:spacing w:line="240" w:lineRule="auto"/>
              <w:rPr>
                <w:rFonts w:cs="Arial"/>
                <w:color w:val="000000"/>
                <w:szCs w:val="20"/>
                <w:lang w:eastAsia="sl-SI"/>
              </w:rPr>
            </w:pPr>
          </w:p>
        </w:tc>
        <w:tc>
          <w:tcPr>
            <w:tcW w:w="1139" w:type="dxa"/>
            <w:vMerge/>
            <w:tcBorders>
              <w:top w:val="single" w:sz="8" w:space="0" w:color="000000"/>
              <w:left w:val="single" w:sz="8" w:space="0" w:color="000000"/>
              <w:bottom w:val="single" w:sz="8" w:space="0" w:color="000000"/>
              <w:right w:val="single" w:sz="8" w:space="0" w:color="000000"/>
            </w:tcBorders>
            <w:vAlign w:val="center"/>
            <w:hideMark/>
          </w:tcPr>
          <w:p w14:paraId="3AD28CB0" w14:textId="77777777" w:rsidR="001D0816" w:rsidRPr="001D0816" w:rsidRDefault="001D0816" w:rsidP="00F40403">
            <w:pPr>
              <w:spacing w:line="240" w:lineRule="auto"/>
              <w:rPr>
                <w:rFonts w:cs="Arial"/>
                <w:color w:val="000000"/>
                <w:szCs w:val="20"/>
                <w:lang w:eastAsia="sl-SI"/>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3A6C224A" w14:textId="77777777" w:rsidR="001D0816" w:rsidRPr="001D0816" w:rsidRDefault="001D0816" w:rsidP="00F40403">
            <w:pPr>
              <w:spacing w:line="240" w:lineRule="auto"/>
              <w:rPr>
                <w:rFonts w:cs="Arial"/>
                <w:color w:val="000000"/>
                <w:szCs w:val="20"/>
                <w:lang w:eastAsia="sl-SI"/>
              </w:rPr>
            </w:pPr>
          </w:p>
        </w:tc>
        <w:tc>
          <w:tcPr>
            <w:tcW w:w="1119" w:type="dxa"/>
            <w:vMerge/>
            <w:tcBorders>
              <w:top w:val="single" w:sz="8" w:space="0" w:color="000000"/>
              <w:left w:val="single" w:sz="8" w:space="0" w:color="000000"/>
              <w:bottom w:val="single" w:sz="8" w:space="0" w:color="000000"/>
              <w:right w:val="single" w:sz="8" w:space="0" w:color="000000"/>
            </w:tcBorders>
            <w:vAlign w:val="center"/>
            <w:hideMark/>
          </w:tcPr>
          <w:p w14:paraId="616C4F5E" w14:textId="77777777" w:rsidR="001D0816" w:rsidRPr="001D0816" w:rsidRDefault="001D0816" w:rsidP="00F40403">
            <w:pPr>
              <w:spacing w:line="240" w:lineRule="auto"/>
              <w:rPr>
                <w:rFonts w:cs="Arial"/>
                <w:color w:val="000000"/>
                <w:szCs w:val="20"/>
                <w:lang w:eastAsia="sl-SI"/>
              </w:rPr>
            </w:pPr>
          </w:p>
        </w:tc>
        <w:tc>
          <w:tcPr>
            <w:tcW w:w="16" w:type="dxa"/>
            <w:tcBorders>
              <w:top w:val="nil"/>
              <w:left w:val="nil"/>
              <w:bottom w:val="nil"/>
              <w:right w:val="nil"/>
            </w:tcBorders>
            <w:shd w:val="clear" w:color="auto" w:fill="auto"/>
            <w:noWrap/>
            <w:vAlign w:val="bottom"/>
            <w:hideMark/>
          </w:tcPr>
          <w:p w14:paraId="132DA4DD" w14:textId="77777777" w:rsidR="001D0816" w:rsidRPr="001D0816" w:rsidRDefault="001D0816" w:rsidP="00F40403">
            <w:pPr>
              <w:spacing w:line="240" w:lineRule="auto"/>
              <w:jc w:val="both"/>
              <w:rPr>
                <w:rFonts w:cs="Arial"/>
                <w:color w:val="000000"/>
                <w:szCs w:val="20"/>
                <w:lang w:eastAsia="sl-SI"/>
              </w:rPr>
            </w:pPr>
          </w:p>
        </w:tc>
      </w:tr>
      <w:tr w:rsidR="001D0816" w:rsidRPr="001D0816" w14:paraId="3845F9F8" w14:textId="77777777" w:rsidTr="00F40403">
        <w:trPr>
          <w:trHeight w:val="180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66A1A5C8"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7</w:t>
            </w:r>
          </w:p>
        </w:tc>
        <w:tc>
          <w:tcPr>
            <w:tcW w:w="2736" w:type="dxa"/>
            <w:tcBorders>
              <w:top w:val="nil"/>
              <w:left w:val="nil"/>
              <w:bottom w:val="single" w:sz="8" w:space="0" w:color="000000"/>
              <w:right w:val="single" w:sz="8" w:space="0" w:color="000000"/>
            </w:tcBorders>
            <w:shd w:val="clear" w:color="auto" w:fill="auto"/>
            <w:vAlign w:val="center"/>
            <w:hideMark/>
          </w:tcPr>
          <w:p w14:paraId="6261E79C"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Specializirani </w:t>
            </w:r>
            <w:proofErr w:type="spellStart"/>
            <w:r w:rsidRPr="001D0816">
              <w:rPr>
                <w:rFonts w:cs="Arial"/>
                <w:color w:val="000000"/>
                <w:szCs w:val="20"/>
                <w:lang w:eastAsia="sl-SI"/>
              </w:rPr>
              <w:t>multidisclipinarni</w:t>
            </w:r>
            <w:proofErr w:type="spellEnd"/>
            <w:r w:rsidRPr="001D0816">
              <w:rPr>
                <w:rFonts w:cs="Arial"/>
                <w:color w:val="000000"/>
                <w:szCs w:val="20"/>
                <w:lang w:eastAsia="sl-SI"/>
              </w:rPr>
              <w:t xml:space="preserve"> timi za obravnavo redkih bolezni – 1x UKC Ljubljana-odrasli, 1x UKC Ljubljana- PEK, 1x OI, 1x UKC MB (4 x 322.376 EUR)**</w:t>
            </w:r>
          </w:p>
        </w:tc>
        <w:tc>
          <w:tcPr>
            <w:tcW w:w="1477" w:type="dxa"/>
            <w:tcBorders>
              <w:top w:val="nil"/>
              <w:left w:val="nil"/>
              <w:bottom w:val="single" w:sz="8" w:space="0" w:color="000000"/>
              <w:right w:val="single" w:sz="8" w:space="0" w:color="000000"/>
            </w:tcBorders>
            <w:shd w:val="clear" w:color="auto" w:fill="auto"/>
            <w:vAlign w:val="center"/>
            <w:hideMark/>
          </w:tcPr>
          <w:p w14:paraId="60FF3279"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UKC Ljubljana, OI Ljubljana, UKC Maribor</w:t>
            </w:r>
          </w:p>
        </w:tc>
        <w:tc>
          <w:tcPr>
            <w:tcW w:w="1139" w:type="dxa"/>
            <w:tcBorders>
              <w:top w:val="nil"/>
              <w:left w:val="nil"/>
              <w:bottom w:val="single" w:sz="8" w:space="0" w:color="000000"/>
              <w:right w:val="single" w:sz="8" w:space="0" w:color="000000"/>
            </w:tcBorders>
            <w:shd w:val="clear" w:color="auto" w:fill="auto"/>
            <w:vAlign w:val="center"/>
            <w:hideMark/>
          </w:tcPr>
          <w:p w14:paraId="39402DE4"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6E2D46D0"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1.289.504</w:t>
            </w:r>
          </w:p>
        </w:tc>
        <w:tc>
          <w:tcPr>
            <w:tcW w:w="1119" w:type="dxa"/>
            <w:tcBorders>
              <w:top w:val="nil"/>
              <w:left w:val="nil"/>
              <w:bottom w:val="single" w:sz="8" w:space="0" w:color="000000"/>
              <w:right w:val="single" w:sz="8" w:space="0" w:color="000000"/>
            </w:tcBorders>
            <w:shd w:val="clear" w:color="auto" w:fill="auto"/>
            <w:vAlign w:val="center"/>
            <w:hideMark/>
          </w:tcPr>
          <w:p w14:paraId="5A02823C"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429.835</w:t>
            </w:r>
          </w:p>
        </w:tc>
        <w:tc>
          <w:tcPr>
            <w:tcW w:w="16" w:type="dxa"/>
            <w:vAlign w:val="center"/>
            <w:hideMark/>
          </w:tcPr>
          <w:p w14:paraId="2D4B2E8F" w14:textId="77777777" w:rsidR="001D0816" w:rsidRPr="001D0816" w:rsidRDefault="001D0816" w:rsidP="00F40403">
            <w:pPr>
              <w:spacing w:line="240" w:lineRule="auto"/>
              <w:jc w:val="both"/>
              <w:rPr>
                <w:rFonts w:cs="Arial"/>
                <w:color w:val="000000"/>
                <w:szCs w:val="20"/>
                <w:lang w:eastAsia="sl-SI"/>
              </w:rPr>
            </w:pPr>
          </w:p>
        </w:tc>
      </w:tr>
      <w:tr w:rsidR="001D0816" w:rsidRPr="001D0816" w14:paraId="35FCF87B" w14:textId="77777777" w:rsidTr="00F40403">
        <w:trPr>
          <w:trHeight w:val="52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6F9366A6"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8</w:t>
            </w:r>
          </w:p>
        </w:tc>
        <w:tc>
          <w:tcPr>
            <w:tcW w:w="2736" w:type="dxa"/>
            <w:tcBorders>
              <w:top w:val="nil"/>
              <w:left w:val="nil"/>
              <w:bottom w:val="single" w:sz="8" w:space="0" w:color="000000"/>
              <w:right w:val="single" w:sz="8" w:space="0" w:color="000000"/>
            </w:tcBorders>
            <w:shd w:val="clear" w:color="auto" w:fill="auto"/>
            <w:vAlign w:val="center"/>
            <w:hideMark/>
          </w:tcPr>
          <w:p w14:paraId="04D5DA0E"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ERM vozlišče – priznanje timov</w:t>
            </w:r>
          </w:p>
        </w:tc>
        <w:tc>
          <w:tcPr>
            <w:tcW w:w="1477" w:type="dxa"/>
            <w:tcBorders>
              <w:top w:val="nil"/>
              <w:left w:val="nil"/>
              <w:bottom w:val="single" w:sz="8" w:space="0" w:color="000000"/>
              <w:right w:val="single" w:sz="8" w:space="0" w:color="000000"/>
            </w:tcBorders>
            <w:shd w:val="clear" w:color="auto" w:fill="auto"/>
            <w:vAlign w:val="center"/>
            <w:hideMark/>
          </w:tcPr>
          <w:p w14:paraId="1B1B065B"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76CF9E88"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1601C09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82.159</w:t>
            </w:r>
          </w:p>
        </w:tc>
        <w:tc>
          <w:tcPr>
            <w:tcW w:w="1119" w:type="dxa"/>
            <w:tcBorders>
              <w:top w:val="nil"/>
              <w:left w:val="nil"/>
              <w:bottom w:val="single" w:sz="8" w:space="0" w:color="000000"/>
              <w:right w:val="single" w:sz="8" w:space="0" w:color="000000"/>
            </w:tcBorders>
            <w:shd w:val="clear" w:color="auto" w:fill="auto"/>
            <w:vAlign w:val="center"/>
            <w:hideMark/>
          </w:tcPr>
          <w:p w14:paraId="5C454993"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41.080</w:t>
            </w:r>
          </w:p>
        </w:tc>
        <w:tc>
          <w:tcPr>
            <w:tcW w:w="16" w:type="dxa"/>
            <w:vAlign w:val="center"/>
            <w:hideMark/>
          </w:tcPr>
          <w:p w14:paraId="69247081" w14:textId="77777777" w:rsidR="001D0816" w:rsidRPr="001D0816" w:rsidRDefault="001D0816" w:rsidP="00F40403">
            <w:pPr>
              <w:spacing w:line="240" w:lineRule="auto"/>
              <w:jc w:val="both"/>
              <w:rPr>
                <w:rFonts w:cs="Arial"/>
                <w:color w:val="000000"/>
                <w:szCs w:val="20"/>
                <w:lang w:eastAsia="sl-SI"/>
              </w:rPr>
            </w:pPr>
          </w:p>
        </w:tc>
      </w:tr>
      <w:tr w:rsidR="001D0816" w:rsidRPr="001D0816" w14:paraId="33637E15" w14:textId="77777777" w:rsidTr="00F40403">
        <w:trPr>
          <w:trHeight w:val="1035"/>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44D54493"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9</w:t>
            </w:r>
          </w:p>
        </w:tc>
        <w:tc>
          <w:tcPr>
            <w:tcW w:w="2736" w:type="dxa"/>
            <w:tcBorders>
              <w:top w:val="nil"/>
              <w:left w:val="nil"/>
              <w:bottom w:val="single" w:sz="8" w:space="0" w:color="000000"/>
              <w:right w:val="single" w:sz="8" w:space="0" w:color="000000"/>
            </w:tcBorders>
            <w:shd w:val="clear" w:color="auto" w:fill="auto"/>
            <w:vAlign w:val="center"/>
            <w:hideMark/>
          </w:tcPr>
          <w:p w14:paraId="44B49697"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Center za </w:t>
            </w:r>
            <w:proofErr w:type="spellStart"/>
            <w:r w:rsidRPr="001D0816">
              <w:rPr>
                <w:rFonts w:cs="Arial"/>
                <w:color w:val="000000"/>
                <w:szCs w:val="20"/>
                <w:lang w:eastAsia="sl-SI"/>
              </w:rPr>
              <w:t>nediagnosticirane</w:t>
            </w:r>
            <w:proofErr w:type="spellEnd"/>
            <w:r w:rsidRPr="001D0816">
              <w:rPr>
                <w:rFonts w:cs="Arial"/>
                <w:color w:val="000000"/>
                <w:szCs w:val="20"/>
                <w:lang w:eastAsia="sl-SI"/>
              </w:rPr>
              <w:t xml:space="preserve"> redke bolezni – priznanje timov</w:t>
            </w:r>
          </w:p>
        </w:tc>
        <w:tc>
          <w:tcPr>
            <w:tcW w:w="1477" w:type="dxa"/>
            <w:tcBorders>
              <w:top w:val="nil"/>
              <w:left w:val="nil"/>
              <w:bottom w:val="single" w:sz="8" w:space="0" w:color="000000"/>
              <w:right w:val="single" w:sz="8" w:space="0" w:color="000000"/>
            </w:tcBorders>
            <w:shd w:val="clear" w:color="auto" w:fill="auto"/>
            <w:vAlign w:val="center"/>
            <w:hideMark/>
          </w:tcPr>
          <w:p w14:paraId="5F01FADE"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6A01F295"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67C43975"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92.188</w:t>
            </w:r>
          </w:p>
        </w:tc>
        <w:tc>
          <w:tcPr>
            <w:tcW w:w="1119" w:type="dxa"/>
            <w:tcBorders>
              <w:top w:val="nil"/>
              <w:left w:val="nil"/>
              <w:bottom w:val="single" w:sz="8" w:space="0" w:color="000000"/>
              <w:right w:val="single" w:sz="8" w:space="0" w:color="000000"/>
            </w:tcBorders>
            <w:shd w:val="clear" w:color="auto" w:fill="auto"/>
            <w:vAlign w:val="center"/>
            <w:hideMark/>
          </w:tcPr>
          <w:p w14:paraId="6DDD3CF4"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30.729</w:t>
            </w:r>
          </w:p>
        </w:tc>
        <w:tc>
          <w:tcPr>
            <w:tcW w:w="16" w:type="dxa"/>
            <w:vAlign w:val="center"/>
            <w:hideMark/>
          </w:tcPr>
          <w:p w14:paraId="5B785BB8" w14:textId="77777777" w:rsidR="001D0816" w:rsidRPr="001D0816" w:rsidRDefault="001D0816" w:rsidP="00F40403">
            <w:pPr>
              <w:spacing w:line="240" w:lineRule="auto"/>
              <w:jc w:val="both"/>
              <w:rPr>
                <w:rFonts w:cs="Arial"/>
                <w:color w:val="000000"/>
                <w:szCs w:val="20"/>
                <w:lang w:eastAsia="sl-SI"/>
              </w:rPr>
            </w:pPr>
          </w:p>
        </w:tc>
      </w:tr>
      <w:tr w:rsidR="001D0816" w:rsidRPr="001D0816" w14:paraId="6C6AEF03" w14:textId="77777777" w:rsidTr="00F40403">
        <w:trPr>
          <w:trHeight w:val="780"/>
        </w:trPr>
        <w:tc>
          <w:tcPr>
            <w:tcW w:w="1355" w:type="dxa"/>
            <w:tcBorders>
              <w:top w:val="nil"/>
              <w:left w:val="single" w:sz="8" w:space="0" w:color="000000"/>
              <w:bottom w:val="single" w:sz="8" w:space="0" w:color="000000"/>
              <w:right w:val="single" w:sz="8" w:space="0" w:color="000000"/>
            </w:tcBorders>
            <w:shd w:val="clear" w:color="auto" w:fill="auto"/>
            <w:vAlign w:val="center"/>
            <w:hideMark/>
          </w:tcPr>
          <w:p w14:paraId="0AE8B61C"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10</w:t>
            </w:r>
          </w:p>
        </w:tc>
        <w:tc>
          <w:tcPr>
            <w:tcW w:w="2736" w:type="dxa"/>
            <w:tcBorders>
              <w:top w:val="nil"/>
              <w:left w:val="nil"/>
              <w:bottom w:val="single" w:sz="8" w:space="0" w:color="000000"/>
              <w:right w:val="single" w:sz="8" w:space="0" w:color="000000"/>
            </w:tcBorders>
            <w:shd w:val="clear" w:color="auto" w:fill="auto"/>
            <w:vAlign w:val="center"/>
            <w:hideMark/>
          </w:tcPr>
          <w:p w14:paraId="1C9F18C8"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xml:space="preserve">Register redkih </w:t>
            </w:r>
            <w:proofErr w:type="spellStart"/>
            <w:r w:rsidRPr="001D0816">
              <w:rPr>
                <w:rFonts w:cs="Arial"/>
                <w:color w:val="000000"/>
                <w:szCs w:val="20"/>
                <w:lang w:eastAsia="sl-SI"/>
              </w:rPr>
              <w:t>nemalignih</w:t>
            </w:r>
            <w:proofErr w:type="spellEnd"/>
            <w:r w:rsidRPr="001D0816">
              <w:rPr>
                <w:rFonts w:cs="Arial"/>
                <w:color w:val="000000"/>
                <w:szCs w:val="20"/>
                <w:lang w:eastAsia="sl-SI"/>
              </w:rPr>
              <w:t xml:space="preserve"> boleni  priznanje timov</w:t>
            </w:r>
          </w:p>
        </w:tc>
        <w:tc>
          <w:tcPr>
            <w:tcW w:w="1477" w:type="dxa"/>
            <w:tcBorders>
              <w:top w:val="nil"/>
              <w:left w:val="nil"/>
              <w:bottom w:val="single" w:sz="8" w:space="0" w:color="000000"/>
              <w:right w:val="single" w:sz="8" w:space="0" w:color="000000"/>
            </w:tcBorders>
            <w:shd w:val="clear" w:color="auto" w:fill="auto"/>
            <w:vAlign w:val="center"/>
            <w:hideMark/>
          </w:tcPr>
          <w:p w14:paraId="1E866482"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UKC Ljubljana</w:t>
            </w:r>
          </w:p>
        </w:tc>
        <w:tc>
          <w:tcPr>
            <w:tcW w:w="1139" w:type="dxa"/>
            <w:tcBorders>
              <w:top w:val="nil"/>
              <w:left w:val="nil"/>
              <w:bottom w:val="single" w:sz="8" w:space="0" w:color="000000"/>
              <w:right w:val="single" w:sz="8" w:space="0" w:color="000000"/>
            </w:tcBorders>
            <w:shd w:val="clear" w:color="auto" w:fill="auto"/>
            <w:vAlign w:val="center"/>
            <w:hideMark/>
          </w:tcPr>
          <w:p w14:paraId="24CA9D61"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 </w:t>
            </w:r>
          </w:p>
        </w:tc>
        <w:tc>
          <w:tcPr>
            <w:tcW w:w="1418" w:type="dxa"/>
            <w:tcBorders>
              <w:top w:val="nil"/>
              <w:left w:val="nil"/>
              <w:bottom w:val="single" w:sz="8" w:space="0" w:color="000000"/>
              <w:right w:val="single" w:sz="8" w:space="0" w:color="000000"/>
            </w:tcBorders>
            <w:shd w:val="clear" w:color="auto" w:fill="auto"/>
            <w:vAlign w:val="center"/>
            <w:hideMark/>
          </w:tcPr>
          <w:p w14:paraId="0C045707"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179.630</w:t>
            </w:r>
          </w:p>
        </w:tc>
        <w:tc>
          <w:tcPr>
            <w:tcW w:w="1119" w:type="dxa"/>
            <w:tcBorders>
              <w:top w:val="nil"/>
              <w:left w:val="nil"/>
              <w:bottom w:val="single" w:sz="8" w:space="0" w:color="000000"/>
              <w:right w:val="single" w:sz="8" w:space="0" w:color="000000"/>
            </w:tcBorders>
            <w:shd w:val="clear" w:color="auto" w:fill="auto"/>
            <w:vAlign w:val="center"/>
            <w:hideMark/>
          </w:tcPr>
          <w:p w14:paraId="1D8B5148" w14:textId="77777777" w:rsidR="001D0816" w:rsidRPr="001D0816" w:rsidRDefault="001D0816" w:rsidP="00F40403">
            <w:pPr>
              <w:spacing w:line="240" w:lineRule="auto"/>
              <w:jc w:val="both"/>
              <w:rPr>
                <w:rFonts w:cs="Arial"/>
                <w:color w:val="000000"/>
                <w:szCs w:val="20"/>
                <w:lang w:eastAsia="sl-SI"/>
              </w:rPr>
            </w:pPr>
            <w:r w:rsidRPr="001D0816">
              <w:rPr>
                <w:rFonts w:cs="Arial"/>
                <w:color w:val="000000"/>
                <w:szCs w:val="20"/>
                <w:lang w:eastAsia="sl-SI"/>
              </w:rPr>
              <w:t>59.877</w:t>
            </w:r>
          </w:p>
        </w:tc>
        <w:tc>
          <w:tcPr>
            <w:tcW w:w="16" w:type="dxa"/>
            <w:vAlign w:val="center"/>
            <w:hideMark/>
          </w:tcPr>
          <w:p w14:paraId="04B9F14E" w14:textId="77777777" w:rsidR="001D0816" w:rsidRPr="001D0816" w:rsidRDefault="001D0816" w:rsidP="00F40403">
            <w:pPr>
              <w:spacing w:line="240" w:lineRule="auto"/>
              <w:jc w:val="both"/>
              <w:rPr>
                <w:rFonts w:cs="Arial"/>
                <w:color w:val="000000"/>
                <w:szCs w:val="20"/>
                <w:lang w:eastAsia="sl-SI"/>
              </w:rPr>
            </w:pPr>
          </w:p>
        </w:tc>
      </w:tr>
    </w:tbl>
    <w:p w14:paraId="7781FB43" w14:textId="77777777" w:rsidR="00ED4F97" w:rsidRPr="005E4BEA" w:rsidRDefault="00ED4F97" w:rsidP="00ED4F97">
      <w:pPr>
        <w:spacing w:after="120" w:line="240" w:lineRule="auto"/>
        <w:jc w:val="both"/>
        <w:rPr>
          <w:rFonts w:eastAsia="Arial Narrow" w:cs="Arial"/>
          <w:szCs w:val="20"/>
          <w:lang w:eastAsia="sl-SI"/>
        </w:rPr>
      </w:pPr>
      <w:r w:rsidRPr="005E4BEA">
        <w:rPr>
          <w:rFonts w:eastAsia="Arial Narrow" w:cs="Arial"/>
          <w:szCs w:val="20"/>
          <w:lang w:eastAsia="sl-SI"/>
        </w:rPr>
        <w:t>*Zavod plača vse opravljene storitve do planirane letne vrednosti programa.</w:t>
      </w:r>
    </w:p>
    <w:p w14:paraId="50912D67" w14:textId="77777777" w:rsidR="00ED4F97" w:rsidRPr="005E4BEA" w:rsidRDefault="00ED4F97" w:rsidP="00ED4F97">
      <w:pPr>
        <w:spacing w:after="120" w:line="240" w:lineRule="auto"/>
        <w:jc w:val="both"/>
        <w:rPr>
          <w:rFonts w:eastAsia="Arial Narrow" w:cs="Arial"/>
          <w:szCs w:val="20"/>
          <w:lang w:eastAsia="sl-SI"/>
        </w:rPr>
      </w:pPr>
      <w:r w:rsidRPr="005E4BEA">
        <w:rPr>
          <w:rFonts w:eastAsia="Arial Narrow" w:cs="Arial"/>
          <w:szCs w:val="20"/>
          <w:lang w:eastAsia="sl-SI"/>
        </w:rPr>
        <w:t>** Zavod plača vse opravljene storitve do planirane letne vrednosti programa. Pred začetkom izvajanja programa ZZZS pripravi seznam storitev s cenami (v sodelovanju z UKC LJ, Pediatrična klinika).</w:t>
      </w:r>
    </w:p>
    <w:p w14:paraId="6C87B031" w14:textId="2D9E337D" w:rsidR="00ED4F97" w:rsidRPr="005E4BEA" w:rsidRDefault="00ED4F97" w:rsidP="00ED4F97">
      <w:pPr>
        <w:spacing w:after="120" w:line="240" w:lineRule="auto"/>
        <w:jc w:val="both"/>
        <w:rPr>
          <w:rFonts w:eastAsia="Arial Narrow" w:cs="Arial"/>
          <w:szCs w:val="20"/>
          <w:lang w:eastAsia="sl-SI"/>
        </w:rPr>
      </w:pPr>
      <w:r w:rsidRPr="005E4BEA">
        <w:rPr>
          <w:rFonts w:eastAsia="Arial Narrow" w:cs="Arial"/>
          <w:szCs w:val="20"/>
          <w:lang w:eastAsia="sl-SI"/>
        </w:rPr>
        <w:t>***Pred začetkom izvajanja programa izvajalec predloži Zavodu klinično pot.</w:t>
      </w:r>
    </w:p>
    <w:p w14:paraId="292A1668" w14:textId="77777777" w:rsidR="006D0A29" w:rsidRPr="005E4BEA" w:rsidRDefault="006D0A29" w:rsidP="00ED4F97">
      <w:pPr>
        <w:spacing w:after="120" w:line="240" w:lineRule="auto"/>
        <w:jc w:val="both"/>
        <w:rPr>
          <w:rFonts w:eastAsia="Arial Narrow" w:cs="Arial"/>
          <w:szCs w:val="20"/>
          <w:lang w:eastAsia="sl-SI"/>
        </w:rPr>
      </w:pPr>
    </w:p>
    <w:p w14:paraId="0FCF6B9D" w14:textId="77777777" w:rsidR="006D0A29" w:rsidRPr="005E4BEA" w:rsidRDefault="006D0A29" w:rsidP="006D0A29">
      <w:pPr>
        <w:spacing w:line="240" w:lineRule="auto"/>
        <w:jc w:val="both"/>
        <w:rPr>
          <w:rFonts w:cs="Arial"/>
          <w:b/>
          <w:bCs/>
          <w:szCs w:val="20"/>
        </w:rPr>
      </w:pPr>
      <w:bookmarkStart w:id="82" w:name="_Hlk103006413"/>
      <w:r w:rsidRPr="005E4BEA">
        <w:rPr>
          <w:rFonts w:eastAsia="Arial Narrow" w:cs="Arial"/>
          <w:b/>
          <w:bCs/>
          <w:szCs w:val="20"/>
        </w:rPr>
        <w:t xml:space="preserve">V </w:t>
      </w:r>
      <w:r w:rsidRPr="005E4BEA">
        <w:rPr>
          <w:rFonts w:cs="Arial"/>
          <w:b/>
          <w:bCs/>
          <w:szCs w:val="20"/>
        </w:rPr>
        <w:t>47. členu se za tretjim odstavkom doda nov četrti odstavek, ki se glasi:</w:t>
      </w:r>
    </w:p>
    <w:p w14:paraId="2360183D" w14:textId="77777777" w:rsidR="006D0A29" w:rsidRPr="005E4BEA" w:rsidRDefault="006D0A29" w:rsidP="006D0A29">
      <w:pPr>
        <w:spacing w:line="240" w:lineRule="auto"/>
        <w:jc w:val="both"/>
        <w:rPr>
          <w:rFonts w:cs="Arial"/>
          <w:szCs w:val="20"/>
        </w:rPr>
      </w:pPr>
    </w:p>
    <w:p w14:paraId="388EAA76" w14:textId="77777777" w:rsidR="006D0A29" w:rsidRPr="005E4BEA" w:rsidRDefault="006D0A29" w:rsidP="006D0A29">
      <w:pPr>
        <w:spacing w:line="240" w:lineRule="auto"/>
        <w:jc w:val="both"/>
        <w:rPr>
          <w:rFonts w:cs="Arial"/>
          <w:szCs w:val="20"/>
        </w:rPr>
      </w:pPr>
      <w:r w:rsidRPr="005E4BEA">
        <w:rPr>
          <w:rFonts w:cs="Arial"/>
          <w:szCs w:val="20"/>
        </w:rPr>
        <w:t>» V letu 2022 bolnišnice pričnejo spremljati storilnost po posameznem nosilcu programa (zdravniku, fizioterapevtu itd.). Poročilo o storilnosti posameznih nosilcev programa je sestavni del letnega poročila izvajalca. Za leto 2022 izvajalci vključijo delno poročilo (od 1.9.2022), poročilo za leto 2023 in naprej pa objavijo tudi na svoji spletni strani.</w:t>
      </w:r>
    </w:p>
    <w:p w14:paraId="542E4396" w14:textId="77777777" w:rsidR="006D0A29" w:rsidRPr="005E4BEA" w:rsidRDefault="006D0A29" w:rsidP="006D0A29">
      <w:pPr>
        <w:spacing w:line="240" w:lineRule="auto"/>
        <w:jc w:val="both"/>
        <w:rPr>
          <w:rFonts w:cs="Arial"/>
          <w:szCs w:val="20"/>
        </w:rPr>
      </w:pPr>
      <w:r w:rsidRPr="005E4BEA">
        <w:br/>
      </w:r>
      <w:r w:rsidRPr="005E4BEA">
        <w:rPr>
          <w:rFonts w:cs="Arial"/>
          <w:szCs w:val="20"/>
        </w:rPr>
        <w:t>Metodologijo za spremljanje storilnosti posameznega nosilca programa, po vrstah zdravstvenih dejavnosti, pripravijo predstavniki Zavoda, Ministrstva za zdravje in Združenja zdravstvenih zavodov Slovenije, in sicer v treh mesecih od sprejema Aneksa št. 1 k Dogovoru 2022. Pri tem je potrebno posebej upoštevati dejavnosti, ki niso del VZD (npr. terciar, vodenje…). «</w:t>
      </w:r>
    </w:p>
    <w:p w14:paraId="0DE3BFB7" w14:textId="77777777" w:rsidR="006D0A29" w:rsidRPr="005E4BEA" w:rsidRDefault="006D0A29" w:rsidP="006D0A29">
      <w:pPr>
        <w:spacing w:line="240" w:lineRule="auto"/>
        <w:jc w:val="both"/>
        <w:rPr>
          <w:rFonts w:cs="Arial"/>
          <w:szCs w:val="20"/>
        </w:rPr>
      </w:pPr>
      <w:r w:rsidRPr="005E4BEA">
        <w:br/>
      </w:r>
      <w:r w:rsidRPr="005E4BEA">
        <w:rPr>
          <w:rFonts w:cs="Arial"/>
          <w:szCs w:val="20"/>
        </w:rPr>
        <w:t>Sedanja četrti in peti odstavek postaneta nova peti in šesti odstavek.</w:t>
      </w:r>
    </w:p>
    <w:p w14:paraId="753E8A5F" w14:textId="77777777" w:rsidR="006D0A29" w:rsidRPr="005E4BEA" w:rsidRDefault="006D0A29" w:rsidP="006D0A29">
      <w:pPr>
        <w:spacing w:line="240" w:lineRule="auto"/>
        <w:jc w:val="both"/>
        <w:rPr>
          <w:rFonts w:cs="Arial"/>
          <w:szCs w:val="20"/>
        </w:rPr>
      </w:pPr>
    </w:p>
    <w:p w14:paraId="7B4F55DF" w14:textId="75F54ACA" w:rsidR="006D0A29" w:rsidRPr="005E4BEA" w:rsidRDefault="006D0A29" w:rsidP="006D0A29">
      <w:pPr>
        <w:spacing w:line="240" w:lineRule="auto"/>
        <w:jc w:val="both"/>
        <w:rPr>
          <w:rFonts w:cs="Arial"/>
          <w:szCs w:val="20"/>
        </w:rPr>
      </w:pPr>
      <w:r w:rsidRPr="005E4BEA">
        <w:rPr>
          <w:rFonts w:cs="Arial"/>
          <w:szCs w:val="20"/>
        </w:rPr>
        <w:t>Določba velja od 1.</w:t>
      </w:r>
      <w:r w:rsidR="00661B8B">
        <w:rPr>
          <w:rFonts w:cs="Arial"/>
          <w:szCs w:val="20"/>
        </w:rPr>
        <w:t>9</w:t>
      </w:r>
      <w:r w:rsidRPr="005E4BEA">
        <w:rPr>
          <w:rFonts w:cs="Arial"/>
          <w:szCs w:val="20"/>
        </w:rPr>
        <w:t>. 2022.</w:t>
      </w:r>
    </w:p>
    <w:p w14:paraId="5644286B" w14:textId="77777777" w:rsidR="006D0A29" w:rsidRPr="005E4BEA" w:rsidRDefault="006D0A29" w:rsidP="00ED4F97">
      <w:pPr>
        <w:spacing w:after="120" w:line="240" w:lineRule="auto"/>
        <w:jc w:val="both"/>
        <w:rPr>
          <w:rFonts w:eastAsia="Arial Narrow" w:cs="Arial"/>
          <w:szCs w:val="20"/>
          <w:lang w:eastAsia="sl-SI"/>
        </w:rPr>
      </w:pPr>
    </w:p>
    <w:p w14:paraId="58867E84" w14:textId="77777777" w:rsidR="00ED4F97" w:rsidRPr="005E4BEA" w:rsidRDefault="00ED4F97" w:rsidP="00ED4F97">
      <w:pPr>
        <w:spacing w:after="120" w:line="240" w:lineRule="auto"/>
        <w:jc w:val="both"/>
        <w:rPr>
          <w:rFonts w:eastAsia="Arial Narrow" w:cs="Arial"/>
          <w:b/>
          <w:bCs/>
          <w:color w:val="000000" w:themeColor="text1"/>
          <w:szCs w:val="20"/>
          <w:lang w:eastAsia="sl-SI"/>
        </w:rPr>
      </w:pPr>
      <w:r w:rsidRPr="005E4BEA">
        <w:rPr>
          <w:rFonts w:eastAsia="Arial Narrow" w:cs="Arial"/>
          <w:b/>
          <w:bCs/>
          <w:color w:val="000000" w:themeColor="text1"/>
          <w:szCs w:val="20"/>
          <w:lang w:eastAsia="sl-SI"/>
        </w:rPr>
        <w:t>V Prilogo 1/b - Cenik storitev se vneseta naslednji storitvi:</w:t>
      </w:r>
    </w:p>
    <w:tbl>
      <w:tblPr>
        <w:tblW w:w="10005" w:type="dxa"/>
        <w:tblCellMar>
          <w:left w:w="70" w:type="dxa"/>
          <w:right w:w="70" w:type="dxa"/>
        </w:tblCellMar>
        <w:tblLook w:val="04A0" w:firstRow="1" w:lastRow="0" w:firstColumn="1" w:lastColumn="0" w:noHBand="0" w:noVBand="1"/>
      </w:tblPr>
      <w:tblGrid>
        <w:gridCol w:w="960"/>
        <w:gridCol w:w="996"/>
        <w:gridCol w:w="960"/>
        <w:gridCol w:w="6046"/>
        <w:gridCol w:w="1079"/>
      </w:tblGrid>
      <w:tr w:rsidR="00ED4F97" w:rsidRPr="005E4BEA" w14:paraId="335DD3CA" w14:textId="77777777" w:rsidTr="006F2C89">
        <w:trPr>
          <w:trHeight w:val="852"/>
        </w:trPr>
        <w:tc>
          <w:tcPr>
            <w:tcW w:w="960" w:type="dxa"/>
            <w:tcBorders>
              <w:top w:val="single" w:sz="4" w:space="0" w:color="808080"/>
              <w:left w:val="single" w:sz="4" w:space="0" w:color="808080"/>
              <w:bottom w:val="nil"/>
              <w:right w:val="single" w:sz="4" w:space="0" w:color="808080"/>
            </w:tcBorders>
            <w:shd w:val="clear" w:color="auto" w:fill="auto"/>
            <w:noWrap/>
            <w:vAlign w:val="bottom"/>
            <w:hideMark/>
          </w:tcPr>
          <w:p w14:paraId="3AB07654"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Vrsta</w:t>
            </w:r>
          </w:p>
        </w:tc>
        <w:tc>
          <w:tcPr>
            <w:tcW w:w="960" w:type="dxa"/>
            <w:tcBorders>
              <w:top w:val="single" w:sz="4" w:space="0" w:color="808080"/>
              <w:left w:val="nil"/>
              <w:bottom w:val="nil"/>
              <w:right w:val="single" w:sz="4" w:space="0" w:color="808080"/>
            </w:tcBorders>
            <w:shd w:val="clear" w:color="auto" w:fill="auto"/>
            <w:noWrap/>
            <w:vAlign w:val="bottom"/>
            <w:hideMark/>
          </w:tcPr>
          <w:p w14:paraId="1EB84F55"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Podvrsta</w:t>
            </w:r>
          </w:p>
        </w:tc>
        <w:tc>
          <w:tcPr>
            <w:tcW w:w="960" w:type="dxa"/>
            <w:tcBorders>
              <w:top w:val="single" w:sz="4" w:space="0" w:color="808080"/>
              <w:left w:val="nil"/>
              <w:bottom w:val="nil"/>
              <w:right w:val="single" w:sz="4" w:space="0" w:color="808080"/>
            </w:tcBorders>
            <w:shd w:val="clear" w:color="auto" w:fill="auto"/>
            <w:noWrap/>
            <w:vAlign w:val="bottom"/>
            <w:hideMark/>
          </w:tcPr>
          <w:p w14:paraId="1FC8290D"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Storitev</w:t>
            </w:r>
          </w:p>
        </w:tc>
        <w:tc>
          <w:tcPr>
            <w:tcW w:w="6046" w:type="dxa"/>
            <w:tcBorders>
              <w:top w:val="single" w:sz="4" w:space="0" w:color="808080"/>
              <w:left w:val="nil"/>
              <w:bottom w:val="single" w:sz="4" w:space="0" w:color="808080"/>
              <w:right w:val="nil"/>
            </w:tcBorders>
            <w:shd w:val="clear" w:color="auto" w:fill="auto"/>
            <w:noWrap/>
            <w:vAlign w:val="bottom"/>
            <w:hideMark/>
          </w:tcPr>
          <w:p w14:paraId="5CDBA1E6"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Naziv</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EEE03" w14:textId="77777777" w:rsidR="00ED4F97" w:rsidRPr="005E4BEA" w:rsidRDefault="00ED4F97" w:rsidP="006F2C89">
            <w:pPr>
              <w:spacing w:line="240" w:lineRule="auto"/>
              <w:jc w:val="center"/>
              <w:rPr>
                <w:rFonts w:cs="Arial"/>
                <w:b/>
                <w:bCs/>
                <w:szCs w:val="20"/>
                <w:lang w:eastAsia="sl-SI"/>
              </w:rPr>
            </w:pPr>
            <w:r w:rsidRPr="005E4BEA">
              <w:rPr>
                <w:rFonts w:cs="Arial"/>
                <w:b/>
                <w:bCs/>
                <w:szCs w:val="20"/>
                <w:lang w:eastAsia="sl-SI"/>
              </w:rPr>
              <w:t>CENA v EUR</w:t>
            </w:r>
          </w:p>
        </w:tc>
      </w:tr>
      <w:tr w:rsidR="00ED4F97" w:rsidRPr="005E4BEA" w14:paraId="793F543D" w14:textId="77777777" w:rsidTr="006F2C89">
        <w:trPr>
          <w:trHeight w:val="559"/>
        </w:trPr>
        <w:tc>
          <w:tcPr>
            <w:tcW w:w="960" w:type="dxa"/>
            <w:tcBorders>
              <w:top w:val="single" w:sz="4" w:space="0" w:color="auto"/>
              <w:left w:val="single" w:sz="4" w:space="0" w:color="auto"/>
              <w:bottom w:val="nil"/>
              <w:right w:val="nil"/>
            </w:tcBorders>
            <w:shd w:val="clear" w:color="auto" w:fill="auto"/>
            <w:noWrap/>
            <w:vAlign w:val="bottom"/>
            <w:hideMark/>
          </w:tcPr>
          <w:p w14:paraId="3192B909"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xml:space="preserve">  </w:t>
            </w:r>
          </w:p>
        </w:tc>
        <w:tc>
          <w:tcPr>
            <w:tcW w:w="960" w:type="dxa"/>
            <w:tcBorders>
              <w:top w:val="single" w:sz="4" w:space="0" w:color="auto"/>
              <w:left w:val="nil"/>
              <w:bottom w:val="nil"/>
              <w:right w:val="nil"/>
            </w:tcBorders>
            <w:shd w:val="clear" w:color="auto" w:fill="auto"/>
            <w:noWrap/>
            <w:vAlign w:val="bottom"/>
            <w:hideMark/>
          </w:tcPr>
          <w:p w14:paraId="64D16123"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w:t>
            </w:r>
          </w:p>
        </w:tc>
        <w:tc>
          <w:tcPr>
            <w:tcW w:w="960" w:type="dxa"/>
            <w:tcBorders>
              <w:top w:val="single" w:sz="4" w:space="0" w:color="auto"/>
              <w:left w:val="nil"/>
              <w:bottom w:val="nil"/>
              <w:right w:val="single" w:sz="4" w:space="0" w:color="auto"/>
            </w:tcBorders>
            <w:shd w:val="clear" w:color="auto" w:fill="auto"/>
            <w:noWrap/>
            <w:vAlign w:val="bottom"/>
            <w:hideMark/>
          </w:tcPr>
          <w:p w14:paraId="4F8877DF"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w:t>
            </w:r>
          </w:p>
        </w:tc>
        <w:tc>
          <w:tcPr>
            <w:tcW w:w="6046" w:type="dxa"/>
            <w:tcBorders>
              <w:top w:val="nil"/>
              <w:left w:val="nil"/>
              <w:bottom w:val="nil"/>
              <w:right w:val="nil"/>
            </w:tcBorders>
            <w:shd w:val="clear" w:color="auto" w:fill="auto"/>
            <w:vAlign w:val="bottom"/>
            <w:hideMark/>
          </w:tcPr>
          <w:p w14:paraId="416B7F07" w14:textId="77777777" w:rsidR="00ED4F97" w:rsidRPr="005E4BEA" w:rsidRDefault="00ED4F97" w:rsidP="006F2C89">
            <w:pPr>
              <w:spacing w:line="240" w:lineRule="auto"/>
              <w:rPr>
                <w:rFonts w:cs="Arial"/>
                <w:b/>
                <w:bCs/>
                <w:color w:val="000000"/>
                <w:szCs w:val="20"/>
                <w:lang w:eastAsia="sl-SI"/>
              </w:rPr>
            </w:pPr>
            <w:r w:rsidRPr="005E4BEA">
              <w:rPr>
                <w:rFonts w:eastAsia="Arial Narrow" w:cs="Arial"/>
                <w:b/>
                <w:bCs/>
                <w:color w:val="000000" w:themeColor="text1"/>
                <w:szCs w:val="20"/>
              </w:rPr>
              <w:t>G</w:t>
            </w:r>
            <w:r w:rsidRPr="005E4BEA">
              <w:rPr>
                <w:rFonts w:eastAsia="Arial Narrow" w:cs="Arial"/>
                <w:b/>
                <w:bCs/>
                <w:color w:val="000000" w:themeColor="text1"/>
                <w:szCs w:val="20"/>
                <w:lang w:eastAsia="sl-SI"/>
              </w:rPr>
              <w:t xml:space="preserve">enetsko presejalno odkrivanje in celostna obravnava otrok in mladostnikov z družinsko </w:t>
            </w:r>
            <w:proofErr w:type="spellStart"/>
            <w:r w:rsidRPr="005E4BEA">
              <w:rPr>
                <w:rFonts w:eastAsia="Arial Narrow" w:cs="Arial"/>
                <w:b/>
                <w:bCs/>
                <w:color w:val="000000" w:themeColor="text1"/>
                <w:szCs w:val="20"/>
                <w:lang w:eastAsia="sl-SI"/>
              </w:rPr>
              <w:t>hiperholesterolemijo</w:t>
            </w:r>
            <w:proofErr w:type="spellEnd"/>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3F5014A"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 </w:t>
            </w:r>
          </w:p>
        </w:tc>
      </w:tr>
      <w:tr w:rsidR="00ED4F97" w:rsidRPr="005E4BEA" w14:paraId="19F3141F" w14:textId="77777777" w:rsidTr="006F2C8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F98A2"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227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8DF24B0"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237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38F69BB"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tcBorders>
              <w:top w:val="single" w:sz="4" w:space="0" w:color="auto"/>
              <w:left w:val="nil"/>
              <w:bottom w:val="single" w:sz="4" w:space="0" w:color="auto"/>
              <w:right w:val="single" w:sz="4" w:space="0" w:color="auto"/>
            </w:tcBorders>
            <w:shd w:val="clear" w:color="auto" w:fill="auto"/>
            <w:noWrap/>
            <w:vAlign w:val="bottom"/>
          </w:tcPr>
          <w:p w14:paraId="2FD7CCBA"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 xml:space="preserve">Genetsko </w:t>
            </w:r>
            <w:proofErr w:type="spellStart"/>
            <w:r w:rsidRPr="005E4BEA">
              <w:rPr>
                <w:rFonts w:cs="Arial"/>
                <w:color w:val="000000"/>
                <w:szCs w:val="20"/>
                <w:lang w:eastAsia="sl-SI"/>
              </w:rPr>
              <w:t>presejanje</w:t>
            </w:r>
            <w:proofErr w:type="spellEnd"/>
          </w:p>
        </w:tc>
        <w:tc>
          <w:tcPr>
            <w:tcW w:w="1079" w:type="dxa"/>
            <w:tcBorders>
              <w:top w:val="nil"/>
              <w:left w:val="nil"/>
              <w:bottom w:val="single" w:sz="4" w:space="0" w:color="auto"/>
              <w:right w:val="single" w:sz="4" w:space="0" w:color="auto"/>
            </w:tcBorders>
            <w:shd w:val="clear" w:color="auto" w:fill="auto"/>
            <w:noWrap/>
            <w:vAlign w:val="bottom"/>
          </w:tcPr>
          <w:p w14:paraId="04D5D257" w14:textId="77777777" w:rsidR="00ED4F97" w:rsidRPr="005E4BEA" w:rsidRDefault="00ED4F97" w:rsidP="006F2C89">
            <w:pPr>
              <w:spacing w:line="240" w:lineRule="auto"/>
              <w:jc w:val="right"/>
              <w:rPr>
                <w:rFonts w:cs="Arial"/>
                <w:szCs w:val="20"/>
                <w:lang w:eastAsia="sl-SI"/>
              </w:rPr>
            </w:pPr>
            <w:r w:rsidRPr="005E4BEA">
              <w:rPr>
                <w:rFonts w:cs="Arial"/>
                <w:szCs w:val="20"/>
                <w:lang w:eastAsia="sl-SI"/>
              </w:rPr>
              <w:t>766,82</w:t>
            </w:r>
          </w:p>
        </w:tc>
      </w:tr>
      <w:tr w:rsidR="00ED4F97" w:rsidRPr="005E4BEA" w14:paraId="3C53642C" w14:textId="77777777" w:rsidTr="006F2C8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ABCD"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669656"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A24A4B"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tcBorders>
              <w:top w:val="single" w:sz="4" w:space="0" w:color="auto"/>
              <w:left w:val="nil"/>
              <w:bottom w:val="single" w:sz="4" w:space="0" w:color="auto"/>
              <w:right w:val="single" w:sz="4" w:space="0" w:color="auto"/>
            </w:tcBorders>
            <w:shd w:val="clear" w:color="auto" w:fill="auto"/>
            <w:noWrap/>
            <w:vAlign w:val="bottom"/>
            <w:hideMark/>
          </w:tcPr>
          <w:p w14:paraId="7E08EC0B"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Nadaljnja celostna obravnava</w:t>
            </w:r>
          </w:p>
        </w:tc>
        <w:tc>
          <w:tcPr>
            <w:tcW w:w="1079" w:type="dxa"/>
            <w:tcBorders>
              <w:top w:val="nil"/>
              <w:left w:val="nil"/>
              <w:bottom w:val="single" w:sz="4" w:space="0" w:color="auto"/>
              <w:right w:val="single" w:sz="4" w:space="0" w:color="auto"/>
            </w:tcBorders>
            <w:shd w:val="clear" w:color="auto" w:fill="auto"/>
            <w:noWrap/>
            <w:vAlign w:val="bottom"/>
            <w:hideMark/>
          </w:tcPr>
          <w:p w14:paraId="3754692B" w14:textId="77777777" w:rsidR="00ED4F97" w:rsidRPr="005E4BEA" w:rsidRDefault="00ED4F97" w:rsidP="006F2C89">
            <w:pPr>
              <w:spacing w:line="240" w:lineRule="auto"/>
              <w:jc w:val="right"/>
              <w:rPr>
                <w:rFonts w:cs="Arial"/>
                <w:szCs w:val="20"/>
                <w:lang w:eastAsia="sl-SI"/>
              </w:rPr>
            </w:pPr>
            <w:r w:rsidRPr="005E4BEA">
              <w:rPr>
                <w:rFonts w:cs="Arial"/>
                <w:szCs w:val="20"/>
                <w:lang w:eastAsia="sl-SI"/>
              </w:rPr>
              <w:t>76,20</w:t>
            </w:r>
          </w:p>
        </w:tc>
      </w:tr>
    </w:tbl>
    <w:p w14:paraId="6636C5BF" w14:textId="77777777" w:rsidR="00ED4F97" w:rsidRPr="005E4BEA" w:rsidRDefault="00ED4F97" w:rsidP="00ED4F97">
      <w:pPr>
        <w:pStyle w:val="Brezrazmikov"/>
        <w:rPr>
          <w:rFonts w:ascii="Arial Narrow" w:hAnsi="Arial Narrow"/>
          <w:lang w:eastAsia="sl-SI"/>
        </w:rPr>
      </w:pPr>
    </w:p>
    <w:p w14:paraId="775BCA6F" w14:textId="77777777" w:rsidR="00ED4F97" w:rsidRPr="005E4BEA" w:rsidRDefault="00ED4F97" w:rsidP="00ED4F97">
      <w:pPr>
        <w:spacing w:line="240" w:lineRule="auto"/>
        <w:jc w:val="both"/>
        <w:rPr>
          <w:rFonts w:eastAsiaTheme="minorHAnsi" w:cs="Arial"/>
          <w:i/>
          <w:color w:val="808080" w:themeColor="background1" w:themeShade="80"/>
          <w:szCs w:val="20"/>
        </w:rPr>
      </w:pPr>
    </w:p>
    <w:p w14:paraId="177209B4" w14:textId="77777777" w:rsidR="00ED4F97" w:rsidRPr="005E4BEA" w:rsidRDefault="00ED4F97" w:rsidP="00ED4F97">
      <w:pPr>
        <w:pStyle w:val="Brezrazmikov"/>
        <w:rPr>
          <w:rFonts w:ascii="Arial" w:hAnsi="Arial"/>
          <w:b/>
          <w:bCs/>
          <w:sz w:val="20"/>
          <w:szCs w:val="20"/>
          <w:lang w:eastAsia="sl-SI"/>
        </w:rPr>
      </w:pPr>
      <w:r w:rsidRPr="005E4BEA">
        <w:rPr>
          <w:rFonts w:ascii="Arial" w:hAnsi="Arial"/>
          <w:b/>
          <w:bCs/>
          <w:sz w:val="20"/>
          <w:szCs w:val="20"/>
          <w:lang w:eastAsia="sl-SI"/>
        </w:rPr>
        <w:t>V Prilogi III/b se  za točko 7. doda nova 8. točka, ki se glasi:</w:t>
      </w:r>
    </w:p>
    <w:p w14:paraId="0CEAEEDF" w14:textId="77777777" w:rsidR="00ED4F97" w:rsidRPr="005E4BEA" w:rsidRDefault="00ED4F97" w:rsidP="00ED4F97">
      <w:pPr>
        <w:pStyle w:val="Brezrazmikov"/>
        <w:jc w:val="both"/>
        <w:rPr>
          <w:rFonts w:ascii="Arial" w:hAnsi="Arial"/>
          <w:sz w:val="20"/>
          <w:szCs w:val="20"/>
          <w:lang w:eastAsia="sl-SI"/>
        </w:rPr>
      </w:pPr>
      <w:r w:rsidRPr="005E4BEA">
        <w:rPr>
          <w:rFonts w:ascii="Arial" w:hAnsi="Arial"/>
          <w:sz w:val="20"/>
          <w:szCs w:val="20"/>
          <w:lang w:eastAsia="sl-SI"/>
        </w:rPr>
        <w:lastRenderedPageBreak/>
        <w:t xml:space="preserve">»8. </w:t>
      </w:r>
      <w:proofErr w:type="spellStart"/>
      <w:r w:rsidRPr="005E4BEA">
        <w:rPr>
          <w:rFonts w:ascii="Arial" w:hAnsi="Arial"/>
          <w:sz w:val="20"/>
          <w:szCs w:val="20"/>
          <w:lang w:eastAsia="sl-SI"/>
        </w:rPr>
        <w:t>Eozinofilne</w:t>
      </w:r>
      <w:proofErr w:type="spellEnd"/>
      <w:r w:rsidRPr="005E4BEA">
        <w:rPr>
          <w:rFonts w:ascii="Arial" w:hAnsi="Arial"/>
          <w:sz w:val="20"/>
          <w:szCs w:val="20"/>
          <w:lang w:eastAsia="sl-SI"/>
        </w:rPr>
        <w:t xml:space="preserve"> bolezni prebavil: diagnostika in zdravljenje pri otrocih in mladostnikih, genetsko presejalno odkrivanje in celostna obravnava otrok in mladostnikov z družinsko </w:t>
      </w:r>
      <w:proofErr w:type="spellStart"/>
      <w:r w:rsidRPr="005E4BEA">
        <w:rPr>
          <w:rFonts w:ascii="Arial" w:hAnsi="Arial"/>
          <w:sz w:val="20"/>
          <w:szCs w:val="20"/>
          <w:lang w:eastAsia="sl-SI"/>
        </w:rPr>
        <w:t>hiperholesterolemijo</w:t>
      </w:r>
      <w:proofErr w:type="spellEnd"/>
      <w:r w:rsidRPr="005E4BEA">
        <w:rPr>
          <w:rFonts w:ascii="Arial" w:hAnsi="Arial"/>
          <w:sz w:val="20"/>
          <w:szCs w:val="20"/>
          <w:lang w:eastAsia="sl-SI"/>
        </w:rPr>
        <w:t>.«</w:t>
      </w:r>
    </w:p>
    <w:p w14:paraId="2BDAA87F" w14:textId="77777777" w:rsidR="00ED4F97" w:rsidRPr="005E4BEA" w:rsidRDefault="00ED4F97" w:rsidP="00ED4F97">
      <w:pPr>
        <w:spacing w:line="240" w:lineRule="auto"/>
        <w:jc w:val="both"/>
        <w:rPr>
          <w:rFonts w:eastAsiaTheme="minorHAnsi" w:cs="Arial"/>
          <w:i/>
          <w:color w:val="808080" w:themeColor="background1" w:themeShade="80"/>
          <w:szCs w:val="20"/>
        </w:rPr>
      </w:pPr>
    </w:p>
    <w:p w14:paraId="7E7ECE8C" w14:textId="5C541541" w:rsidR="00ED4F97" w:rsidRPr="005E4BEA" w:rsidRDefault="00ED4F97" w:rsidP="00F356C9">
      <w:pPr>
        <w:pStyle w:val="Odstavekseznama"/>
        <w:numPr>
          <w:ilvl w:val="0"/>
          <w:numId w:val="83"/>
        </w:numPr>
        <w:jc w:val="both"/>
        <w:rPr>
          <w:rFonts w:ascii="Arial" w:eastAsia="Calibri" w:hAnsi="Arial" w:cs="Arial"/>
          <w:sz w:val="20"/>
          <w:szCs w:val="20"/>
          <w:lang w:eastAsia="sl-SI"/>
        </w:rPr>
      </w:pPr>
      <w:r w:rsidRPr="005E4BEA">
        <w:rPr>
          <w:rFonts w:ascii="Arial" w:eastAsia="Calibri" w:hAnsi="Arial" w:cs="Arial"/>
          <w:sz w:val="20"/>
          <w:szCs w:val="20"/>
          <w:lang w:eastAsia="sl-SI"/>
        </w:rPr>
        <w:t>Zavod plača vse opravljene storitve do planirane letne vrednosti programa.</w:t>
      </w:r>
    </w:p>
    <w:p w14:paraId="61C6DCD3" w14:textId="77777777" w:rsidR="00ED4F97" w:rsidRPr="005E4BEA" w:rsidRDefault="00ED4F97" w:rsidP="00ED4F97">
      <w:pPr>
        <w:ind w:left="360"/>
        <w:jc w:val="both"/>
        <w:rPr>
          <w:rFonts w:eastAsiaTheme="minorHAnsi" w:cs="Arial"/>
          <w:i/>
          <w:color w:val="808080" w:themeColor="background1" w:themeShade="80"/>
          <w:szCs w:val="20"/>
        </w:rPr>
      </w:pPr>
    </w:p>
    <w:p w14:paraId="2C6681B2" w14:textId="77777777" w:rsidR="00ED4F97" w:rsidRPr="005E4BEA" w:rsidRDefault="00ED4F97" w:rsidP="00ED4F97">
      <w:pPr>
        <w:spacing w:after="120" w:line="240" w:lineRule="auto"/>
        <w:jc w:val="both"/>
        <w:rPr>
          <w:rFonts w:eastAsia="Arial Narrow" w:cs="Arial"/>
          <w:b/>
          <w:bCs/>
          <w:color w:val="000000" w:themeColor="text1"/>
          <w:szCs w:val="20"/>
          <w:lang w:eastAsia="sl-SI"/>
        </w:rPr>
      </w:pPr>
      <w:r w:rsidRPr="005E4BEA">
        <w:rPr>
          <w:rFonts w:eastAsia="Arial Narrow" w:cs="Arial"/>
          <w:b/>
          <w:bCs/>
          <w:color w:val="000000" w:themeColor="text1"/>
          <w:szCs w:val="20"/>
          <w:lang w:eastAsia="sl-SI"/>
        </w:rPr>
        <w:t>V Prilogo 1/b - Cenik storitev se vnese naslednja storitev:</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96"/>
        <w:gridCol w:w="960"/>
        <w:gridCol w:w="6046"/>
        <w:gridCol w:w="1079"/>
      </w:tblGrid>
      <w:tr w:rsidR="00ED4F97" w:rsidRPr="005E4BEA" w14:paraId="523770C5" w14:textId="77777777" w:rsidTr="006F2C89">
        <w:trPr>
          <w:trHeight w:val="852"/>
        </w:trPr>
        <w:tc>
          <w:tcPr>
            <w:tcW w:w="960" w:type="dxa"/>
            <w:shd w:val="clear" w:color="auto" w:fill="auto"/>
            <w:noWrap/>
            <w:vAlign w:val="bottom"/>
            <w:hideMark/>
          </w:tcPr>
          <w:p w14:paraId="738A4920"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Vrsta</w:t>
            </w:r>
          </w:p>
        </w:tc>
        <w:tc>
          <w:tcPr>
            <w:tcW w:w="960" w:type="dxa"/>
            <w:shd w:val="clear" w:color="auto" w:fill="auto"/>
            <w:noWrap/>
            <w:vAlign w:val="bottom"/>
            <w:hideMark/>
          </w:tcPr>
          <w:p w14:paraId="1B244B0F"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Podvrsta</w:t>
            </w:r>
          </w:p>
        </w:tc>
        <w:tc>
          <w:tcPr>
            <w:tcW w:w="960" w:type="dxa"/>
            <w:shd w:val="clear" w:color="auto" w:fill="auto"/>
            <w:noWrap/>
            <w:vAlign w:val="bottom"/>
            <w:hideMark/>
          </w:tcPr>
          <w:p w14:paraId="5A6050CB"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Storitev</w:t>
            </w:r>
          </w:p>
        </w:tc>
        <w:tc>
          <w:tcPr>
            <w:tcW w:w="6046" w:type="dxa"/>
            <w:shd w:val="clear" w:color="auto" w:fill="auto"/>
            <w:noWrap/>
            <w:vAlign w:val="bottom"/>
            <w:hideMark/>
          </w:tcPr>
          <w:p w14:paraId="3C086D7D"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Naziv</w:t>
            </w:r>
          </w:p>
        </w:tc>
        <w:tc>
          <w:tcPr>
            <w:tcW w:w="1079" w:type="dxa"/>
            <w:shd w:val="clear" w:color="auto" w:fill="auto"/>
            <w:noWrap/>
            <w:vAlign w:val="bottom"/>
            <w:hideMark/>
          </w:tcPr>
          <w:p w14:paraId="2A5D23E9" w14:textId="77777777" w:rsidR="00ED4F97" w:rsidRPr="005E4BEA" w:rsidRDefault="00ED4F97" w:rsidP="006F2C89">
            <w:pPr>
              <w:spacing w:line="240" w:lineRule="auto"/>
              <w:jc w:val="center"/>
              <w:rPr>
                <w:rFonts w:cs="Arial"/>
                <w:b/>
                <w:bCs/>
                <w:szCs w:val="20"/>
                <w:lang w:eastAsia="sl-SI"/>
              </w:rPr>
            </w:pPr>
            <w:r w:rsidRPr="005E4BEA">
              <w:rPr>
                <w:rFonts w:cs="Arial"/>
                <w:b/>
                <w:bCs/>
                <w:szCs w:val="20"/>
                <w:lang w:eastAsia="sl-SI"/>
              </w:rPr>
              <w:t>CENA v EUR</w:t>
            </w:r>
          </w:p>
        </w:tc>
      </w:tr>
      <w:tr w:rsidR="00ED4F97" w:rsidRPr="005E4BEA" w14:paraId="2BF6B52B" w14:textId="77777777" w:rsidTr="006F2C89">
        <w:trPr>
          <w:trHeight w:val="375"/>
        </w:trPr>
        <w:tc>
          <w:tcPr>
            <w:tcW w:w="2880" w:type="dxa"/>
            <w:gridSpan w:val="3"/>
            <w:shd w:val="clear" w:color="auto" w:fill="auto"/>
            <w:noWrap/>
            <w:vAlign w:val="bottom"/>
            <w:hideMark/>
          </w:tcPr>
          <w:p w14:paraId="33EE0837"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xml:space="preserve"> </w:t>
            </w:r>
          </w:p>
        </w:tc>
        <w:tc>
          <w:tcPr>
            <w:tcW w:w="6046" w:type="dxa"/>
            <w:shd w:val="clear" w:color="auto" w:fill="auto"/>
            <w:vAlign w:val="bottom"/>
            <w:hideMark/>
          </w:tcPr>
          <w:p w14:paraId="4DBDE6DE" w14:textId="77777777" w:rsidR="00ED4F97" w:rsidRPr="005E4BEA" w:rsidRDefault="00ED4F97" w:rsidP="006F2C89">
            <w:pPr>
              <w:spacing w:line="240" w:lineRule="auto"/>
              <w:rPr>
                <w:rFonts w:cs="Arial"/>
                <w:b/>
                <w:bCs/>
                <w:color w:val="000000"/>
                <w:szCs w:val="20"/>
                <w:lang w:eastAsia="sl-SI"/>
              </w:rPr>
            </w:pPr>
            <w:r w:rsidRPr="005E4BEA">
              <w:rPr>
                <w:rFonts w:cs="Arial"/>
                <w:b/>
                <w:bCs/>
                <w:color w:val="000000"/>
                <w:szCs w:val="20"/>
                <w:lang w:eastAsia="sl-SI"/>
              </w:rPr>
              <w:t>Humana mlečna banka</w:t>
            </w:r>
          </w:p>
        </w:tc>
        <w:tc>
          <w:tcPr>
            <w:tcW w:w="1079" w:type="dxa"/>
            <w:shd w:val="clear" w:color="auto" w:fill="auto"/>
            <w:noWrap/>
            <w:vAlign w:val="bottom"/>
            <w:hideMark/>
          </w:tcPr>
          <w:p w14:paraId="094EB808"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 </w:t>
            </w:r>
          </w:p>
        </w:tc>
      </w:tr>
      <w:tr w:rsidR="00ED4F97" w:rsidRPr="005E4BEA" w14:paraId="3DD356B5" w14:textId="77777777" w:rsidTr="006F2C89">
        <w:trPr>
          <w:trHeight w:val="288"/>
        </w:trPr>
        <w:tc>
          <w:tcPr>
            <w:tcW w:w="1920" w:type="dxa"/>
            <w:gridSpan w:val="2"/>
            <w:shd w:val="clear" w:color="auto" w:fill="auto"/>
            <w:noWrap/>
            <w:vAlign w:val="bottom"/>
            <w:hideMark/>
          </w:tcPr>
          <w:p w14:paraId="3290F72E"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 xml:space="preserve">206 209, 206 263, </w:t>
            </w:r>
          </w:p>
          <w:p w14:paraId="7E678144"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227 237</w:t>
            </w:r>
          </w:p>
        </w:tc>
        <w:tc>
          <w:tcPr>
            <w:tcW w:w="960" w:type="dxa"/>
            <w:shd w:val="clear" w:color="auto" w:fill="auto"/>
            <w:noWrap/>
            <w:vAlign w:val="bottom"/>
            <w:hideMark/>
          </w:tcPr>
          <w:p w14:paraId="63D6FA92"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shd w:val="clear" w:color="auto" w:fill="auto"/>
            <w:noWrap/>
            <w:vAlign w:val="bottom"/>
            <w:hideMark/>
          </w:tcPr>
          <w:p w14:paraId="4957B065"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 xml:space="preserve">Analiza </w:t>
            </w:r>
            <w:proofErr w:type="spellStart"/>
            <w:r w:rsidRPr="005E4BEA">
              <w:rPr>
                <w:rFonts w:cs="Arial"/>
                <w:color w:val="000000"/>
                <w:szCs w:val="20"/>
                <w:lang w:eastAsia="sl-SI"/>
              </w:rPr>
              <w:t>donorskega</w:t>
            </w:r>
            <w:proofErr w:type="spellEnd"/>
            <w:r w:rsidRPr="005E4BEA">
              <w:rPr>
                <w:rFonts w:cs="Arial"/>
                <w:color w:val="000000"/>
                <w:szCs w:val="20"/>
                <w:lang w:eastAsia="sl-SI"/>
              </w:rPr>
              <w:t xml:space="preserve"> mleka</w:t>
            </w:r>
          </w:p>
        </w:tc>
        <w:tc>
          <w:tcPr>
            <w:tcW w:w="1079" w:type="dxa"/>
            <w:shd w:val="clear" w:color="auto" w:fill="auto"/>
            <w:noWrap/>
            <w:vAlign w:val="bottom"/>
            <w:hideMark/>
          </w:tcPr>
          <w:p w14:paraId="4416E81C" w14:textId="77777777" w:rsidR="00ED4F97" w:rsidRPr="005E4BEA" w:rsidRDefault="00ED4F97" w:rsidP="006F2C89">
            <w:pPr>
              <w:spacing w:line="240" w:lineRule="auto"/>
              <w:jc w:val="right"/>
              <w:rPr>
                <w:rFonts w:cs="Arial"/>
                <w:szCs w:val="20"/>
                <w:lang w:eastAsia="sl-SI"/>
              </w:rPr>
            </w:pPr>
            <w:r w:rsidRPr="005E4BEA">
              <w:rPr>
                <w:rFonts w:cs="Arial"/>
                <w:szCs w:val="20"/>
                <w:lang w:eastAsia="sl-SI"/>
              </w:rPr>
              <w:t>726,61</w:t>
            </w:r>
          </w:p>
        </w:tc>
      </w:tr>
    </w:tbl>
    <w:p w14:paraId="6FB2441A" w14:textId="77777777" w:rsidR="00ED4F97" w:rsidRPr="005E4BEA" w:rsidRDefault="00ED4F97" w:rsidP="00ED4F97">
      <w:pPr>
        <w:pStyle w:val="Brezrazmikov"/>
        <w:rPr>
          <w:rFonts w:ascii="Arial" w:hAnsi="Arial"/>
          <w:sz w:val="20"/>
          <w:szCs w:val="20"/>
          <w:lang w:eastAsia="sl-SI"/>
        </w:rPr>
      </w:pPr>
    </w:p>
    <w:p w14:paraId="24EB9E4C" w14:textId="77777777" w:rsidR="00ED4F97" w:rsidRPr="005E4BEA" w:rsidRDefault="00ED4F97" w:rsidP="00ED4F97">
      <w:pPr>
        <w:pStyle w:val="Brezrazmikov"/>
        <w:rPr>
          <w:rFonts w:ascii="Arial" w:hAnsi="Arial"/>
          <w:b/>
          <w:bCs/>
          <w:sz w:val="20"/>
          <w:szCs w:val="20"/>
          <w:lang w:eastAsia="sl-SI"/>
        </w:rPr>
      </w:pPr>
      <w:r w:rsidRPr="005E4BEA">
        <w:rPr>
          <w:rFonts w:ascii="Arial" w:hAnsi="Arial"/>
          <w:b/>
          <w:bCs/>
          <w:sz w:val="20"/>
          <w:szCs w:val="20"/>
          <w:lang w:eastAsia="sl-SI"/>
        </w:rPr>
        <w:t>3. točka drugega odstavka Priloge III se dopolni z naslednjim besedilom:</w:t>
      </w:r>
    </w:p>
    <w:p w14:paraId="7E247F08" w14:textId="77777777" w:rsidR="00ED4F97" w:rsidRPr="005E4BEA" w:rsidRDefault="00ED4F97" w:rsidP="00ED4F97">
      <w:pPr>
        <w:pStyle w:val="Brezrazmikov"/>
        <w:rPr>
          <w:rFonts w:ascii="Arial" w:hAnsi="Arial"/>
          <w:sz w:val="20"/>
          <w:szCs w:val="20"/>
          <w:lang w:eastAsia="sl-SI"/>
        </w:rPr>
      </w:pPr>
    </w:p>
    <w:p w14:paraId="592A434D" w14:textId="77777777" w:rsidR="00ED4F97" w:rsidRPr="005E4BEA" w:rsidRDefault="00ED4F97" w:rsidP="00F356C9">
      <w:pPr>
        <w:pStyle w:val="Brezrazmikov"/>
        <w:numPr>
          <w:ilvl w:val="0"/>
          <w:numId w:val="80"/>
        </w:numPr>
        <w:rPr>
          <w:rFonts w:ascii="Arial" w:hAnsi="Arial"/>
          <w:sz w:val="20"/>
          <w:szCs w:val="20"/>
          <w:lang w:eastAsia="sl-SI"/>
        </w:rPr>
      </w:pPr>
      <w:r w:rsidRPr="005E4BEA">
        <w:rPr>
          <w:rFonts w:ascii="Arial" w:hAnsi="Arial"/>
          <w:bCs/>
          <w:sz w:val="20"/>
          <w:szCs w:val="20"/>
          <w:lang w:eastAsia="sl-SI"/>
        </w:rPr>
        <w:t>p</w:t>
      </w:r>
      <w:r w:rsidRPr="005E4BEA">
        <w:rPr>
          <w:rFonts w:ascii="Arial" w:eastAsia="Times New Roman" w:hAnsi="Arial"/>
          <w:color w:val="000000"/>
          <w:sz w:val="20"/>
          <w:szCs w:val="20"/>
          <w:lang w:eastAsia="sl-SI"/>
        </w:rPr>
        <w:t xml:space="preserve">rogram Humana mlečna banka </w:t>
      </w:r>
      <w:r w:rsidRPr="005E4BEA">
        <w:rPr>
          <w:rFonts w:ascii="Arial" w:hAnsi="Arial"/>
          <w:bCs/>
          <w:sz w:val="20"/>
          <w:szCs w:val="20"/>
          <w:lang w:eastAsia="sl-SI"/>
        </w:rPr>
        <w:t>v dejavnosti ginekologija 206 209, porodništvo 206 263 in pediatrija 227 237</w:t>
      </w:r>
    </w:p>
    <w:p w14:paraId="4564C24E" w14:textId="77777777" w:rsidR="00ED4F97" w:rsidRPr="005E4BEA" w:rsidRDefault="00ED4F97" w:rsidP="00ED4F97">
      <w:pPr>
        <w:spacing w:line="240" w:lineRule="auto"/>
        <w:jc w:val="both"/>
        <w:rPr>
          <w:rFonts w:eastAsiaTheme="minorHAnsi" w:cs="Arial"/>
          <w:i/>
          <w:color w:val="808080" w:themeColor="background1" w:themeShade="80"/>
          <w:szCs w:val="20"/>
        </w:rPr>
      </w:pPr>
    </w:p>
    <w:p w14:paraId="369D8505" w14:textId="77777777" w:rsidR="00ED4F97" w:rsidRPr="005E4BEA" w:rsidRDefault="00ED4F97" w:rsidP="00ED4F97">
      <w:pPr>
        <w:rPr>
          <w:rFonts w:cs="Arial"/>
          <w:b/>
          <w:bCs/>
          <w:szCs w:val="20"/>
        </w:rPr>
      </w:pPr>
      <w:r w:rsidRPr="005E4BEA">
        <w:rPr>
          <w:rFonts w:cs="Arial"/>
          <w:b/>
          <w:bCs/>
          <w:szCs w:val="20"/>
        </w:rPr>
        <w:t xml:space="preserve">V prilogo </w:t>
      </w:r>
      <w:proofErr w:type="spellStart"/>
      <w:r w:rsidRPr="005E4BEA">
        <w:rPr>
          <w:rFonts w:cs="Arial"/>
          <w:b/>
          <w:bCs/>
          <w:szCs w:val="20"/>
        </w:rPr>
        <w:t>Ib</w:t>
      </w:r>
      <w:proofErr w:type="spellEnd"/>
      <w:r w:rsidRPr="005E4BEA">
        <w:rPr>
          <w:rFonts w:cs="Arial"/>
          <w:b/>
          <w:bCs/>
          <w:szCs w:val="20"/>
        </w:rPr>
        <w:t xml:space="preserve"> – Cenik storitev se doda nov dodatek:</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1108"/>
        <w:gridCol w:w="641"/>
        <w:gridCol w:w="28"/>
        <w:gridCol w:w="968"/>
        <w:gridCol w:w="885"/>
        <w:gridCol w:w="872"/>
        <w:gridCol w:w="2127"/>
        <w:gridCol w:w="707"/>
        <w:gridCol w:w="1141"/>
      </w:tblGrid>
      <w:tr w:rsidR="00ED4F97" w:rsidRPr="005E4BEA" w14:paraId="05227C4D" w14:textId="77777777" w:rsidTr="006F2C89">
        <w:trPr>
          <w:trHeight w:val="561"/>
        </w:trPr>
        <w:tc>
          <w:tcPr>
            <w:tcW w:w="1163" w:type="dxa"/>
            <w:shd w:val="clear" w:color="auto" w:fill="auto"/>
            <w:noWrap/>
            <w:vAlign w:val="bottom"/>
            <w:hideMark/>
          </w:tcPr>
          <w:p w14:paraId="5404EBC7" w14:textId="77777777" w:rsidR="00ED4F97" w:rsidRPr="005E4BEA" w:rsidRDefault="00ED4F97" w:rsidP="006F2C89">
            <w:pPr>
              <w:rPr>
                <w:rFonts w:cs="Arial"/>
                <w:b/>
                <w:bCs/>
                <w:szCs w:val="20"/>
              </w:rPr>
            </w:pPr>
            <w:r w:rsidRPr="005E4BEA">
              <w:rPr>
                <w:rFonts w:cs="Arial"/>
                <w:b/>
                <w:bCs/>
                <w:szCs w:val="20"/>
              </w:rPr>
              <w:t>Dejavnost</w:t>
            </w:r>
          </w:p>
        </w:tc>
        <w:tc>
          <w:tcPr>
            <w:tcW w:w="1108" w:type="dxa"/>
            <w:shd w:val="clear" w:color="auto" w:fill="auto"/>
            <w:noWrap/>
            <w:vAlign w:val="bottom"/>
            <w:hideMark/>
          </w:tcPr>
          <w:p w14:paraId="5BD61EC3" w14:textId="77777777" w:rsidR="00ED4F97" w:rsidRPr="005E4BEA" w:rsidRDefault="00ED4F97" w:rsidP="006F2C89">
            <w:pPr>
              <w:rPr>
                <w:rFonts w:cs="Arial"/>
                <w:b/>
                <w:bCs/>
                <w:szCs w:val="20"/>
              </w:rPr>
            </w:pPr>
            <w:r w:rsidRPr="005E4BEA">
              <w:rPr>
                <w:rFonts w:cs="Arial"/>
                <w:b/>
                <w:bCs/>
                <w:szCs w:val="20"/>
              </w:rPr>
              <w:t>Program</w:t>
            </w:r>
          </w:p>
        </w:tc>
        <w:tc>
          <w:tcPr>
            <w:tcW w:w="641" w:type="dxa"/>
            <w:shd w:val="clear" w:color="auto" w:fill="auto"/>
            <w:noWrap/>
            <w:vAlign w:val="bottom"/>
            <w:hideMark/>
          </w:tcPr>
          <w:p w14:paraId="40670724" w14:textId="77777777" w:rsidR="00ED4F97" w:rsidRPr="005E4BEA" w:rsidRDefault="00ED4F97" w:rsidP="006F2C89">
            <w:pPr>
              <w:rPr>
                <w:rFonts w:cs="Arial"/>
                <w:b/>
                <w:bCs/>
                <w:szCs w:val="20"/>
              </w:rPr>
            </w:pPr>
            <w:r w:rsidRPr="005E4BEA">
              <w:rPr>
                <w:rFonts w:cs="Arial"/>
                <w:b/>
                <w:bCs/>
                <w:szCs w:val="20"/>
              </w:rPr>
              <w:t>Vrsta</w:t>
            </w:r>
          </w:p>
        </w:tc>
        <w:tc>
          <w:tcPr>
            <w:tcW w:w="996" w:type="dxa"/>
            <w:gridSpan w:val="2"/>
            <w:shd w:val="clear" w:color="auto" w:fill="auto"/>
            <w:noWrap/>
            <w:vAlign w:val="bottom"/>
            <w:hideMark/>
          </w:tcPr>
          <w:p w14:paraId="4B89C3EC" w14:textId="77777777" w:rsidR="00ED4F97" w:rsidRPr="005E4BEA" w:rsidRDefault="00ED4F97" w:rsidP="006F2C89">
            <w:pPr>
              <w:rPr>
                <w:rFonts w:cs="Arial"/>
                <w:b/>
                <w:bCs/>
                <w:szCs w:val="20"/>
              </w:rPr>
            </w:pPr>
            <w:r w:rsidRPr="005E4BEA">
              <w:rPr>
                <w:rFonts w:cs="Arial"/>
                <w:b/>
                <w:bCs/>
                <w:szCs w:val="20"/>
              </w:rPr>
              <w:t>Podvrsta</w:t>
            </w:r>
          </w:p>
        </w:tc>
        <w:tc>
          <w:tcPr>
            <w:tcW w:w="885" w:type="dxa"/>
            <w:shd w:val="clear" w:color="auto" w:fill="auto"/>
            <w:noWrap/>
            <w:vAlign w:val="bottom"/>
            <w:hideMark/>
          </w:tcPr>
          <w:p w14:paraId="7F2E1863" w14:textId="77777777" w:rsidR="00ED4F97" w:rsidRPr="005E4BEA" w:rsidRDefault="00ED4F97" w:rsidP="006F2C89">
            <w:pPr>
              <w:rPr>
                <w:rFonts w:cs="Arial"/>
                <w:b/>
                <w:bCs/>
                <w:szCs w:val="20"/>
              </w:rPr>
            </w:pPr>
            <w:r w:rsidRPr="005E4BEA">
              <w:rPr>
                <w:rFonts w:cs="Arial"/>
                <w:b/>
                <w:bCs/>
                <w:szCs w:val="20"/>
              </w:rPr>
              <w:t>Storitev</w:t>
            </w:r>
          </w:p>
        </w:tc>
        <w:tc>
          <w:tcPr>
            <w:tcW w:w="872" w:type="dxa"/>
            <w:shd w:val="clear" w:color="auto" w:fill="auto"/>
            <w:noWrap/>
            <w:vAlign w:val="bottom"/>
            <w:hideMark/>
          </w:tcPr>
          <w:p w14:paraId="266A7E22" w14:textId="77777777" w:rsidR="00ED4F97" w:rsidRPr="005E4BEA" w:rsidRDefault="00ED4F97" w:rsidP="006F2C89">
            <w:pPr>
              <w:rPr>
                <w:rFonts w:cs="Arial"/>
                <w:b/>
                <w:bCs/>
                <w:szCs w:val="20"/>
              </w:rPr>
            </w:pPr>
            <w:r w:rsidRPr="005E4BEA">
              <w:rPr>
                <w:rFonts w:cs="Arial"/>
                <w:b/>
                <w:bCs/>
                <w:szCs w:val="20"/>
              </w:rPr>
              <w:t>4. nivo</w:t>
            </w:r>
          </w:p>
        </w:tc>
        <w:tc>
          <w:tcPr>
            <w:tcW w:w="2127" w:type="dxa"/>
            <w:shd w:val="clear" w:color="auto" w:fill="auto"/>
            <w:noWrap/>
            <w:vAlign w:val="bottom"/>
            <w:hideMark/>
          </w:tcPr>
          <w:p w14:paraId="5E75B50B" w14:textId="77777777" w:rsidR="00ED4F97" w:rsidRPr="005E4BEA" w:rsidRDefault="00ED4F97" w:rsidP="006F2C89">
            <w:pPr>
              <w:rPr>
                <w:rFonts w:cs="Arial"/>
                <w:b/>
                <w:bCs/>
                <w:szCs w:val="20"/>
              </w:rPr>
            </w:pPr>
            <w:r w:rsidRPr="005E4BEA">
              <w:rPr>
                <w:rFonts w:cs="Arial"/>
                <w:b/>
                <w:bCs/>
                <w:szCs w:val="20"/>
              </w:rPr>
              <w:t>Naziv</w:t>
            </w:r>
          </w:p>
        </w:tc>
        <w:tc>
          <w:tcPr>
            <w:tcW w:w="985" w:type="dxa"/>
            <w:shd w:val="clear" w:color="auto" w:fill="auto"/>
          </w:tcPr>
          <w:p w14:paraId="64AF46E7" w14:textId="77777777" w:rsidR="00ED4F97" w:rsidRPr="005E4BEA" w:rsidRDefault="00ED4F97" w:rsidP="006F2C89">
            <w:pPr>
              <w:rPr>
                <w:rFonts w:cs="Arial"/>
                <w:b/>
                <w:bCs/>
                <w:szCs w:val="20"/>
              </w:rPr>
            </w:pPr>
          </w:p>
          <w:p w14:paraId="333FF8F1" w14:textId="77777777" w:rsidR="00ED4F97" w:rsidRPr="005E4BEA" w:rsidRDefault="00ED4F97" w:rsidP="006F2C89">
            <w:pPr>
              <w:rPr>
                <w:rFonts w:cs="Arial"/>
                <w:b/>
                <w:bCs/>
                <w:szCs w:val="20"/>
              </w:rPr>
            </w:pPr>
            <w:r w:rsidRPr="005E4BEA">
              <w:rPr>
                <w:rFonts w:cs="Arial"/>
                <w:b/>
                <w:bCs/>
                <w:szCs w:val="20"/>
              </w:rPr>
              <w:t>Info</w:t>
            </w:r>
          </w:p>
        </w:tc>
        <w:tc>
          <w:tcPr>
            <w:tcW w:w="290" w:type="dxa"/>
            <w:shd w:val="clear" w:color="auto" w:fill="auto"/>
          </w:tcPr>
          <w:p w14:paraId="383DF40B" w14:textId="77777777" w:rsidR="00ED4F97" w:rsidRPr="005E4BEA" w:rsidRDefault="00ED4F97" w:rsidP="006F2C89">
            <w:pPr>
              <w:rPr>
                <w:rFonts w:cs="Arial"/>
                <w:b/>
                <w:bCs/>
                <w:szCs w:val="20"/>
              </w:rPr>
            </w:pPr>
          </w:p>
          <w:p w14:paraId="3BC81034" w14:textId="77777777" w:rsidR="00ED4F97" w:rsidRPr="005E4BEA" w:rsidRDefault="00ED4F97" w:rsidP="006F2C89">
            <w:pPr>
              <w:rPr>
                <w:rFonts w:cs="Arial"/>
                <w:b/>
                <w:bCs/>
                <w:szCs w:val="20"/>
              </w:rPr>
            </w:pPr>
            <w:r w:rsidRPr="005E4BEA">
              <w:rPr>
                <w:rFonts w:cs="Arial"/>
                <w:b/>
                <w:bCs/>
                <w:szCs w:val="20"/>
              </w:rPr>
              <w:t>Cena</w:t>
            </w:r>
          </w:p>
        </w:tc>
      </w:tr>
      <w:tr w:rsidR="00ED4F97" w:rsidRPr="005E4BEA" w14:paraId="0FC5973E" w14:textId="77777777" w:rsidTr="006F2C89">
        <w:trPr>
          <w:trHeight w:val="109"/>
        </w:trPr>
        <w:tc>
          <w:tcPr>
            <w:tcW w:w="1163" w:type="dxa"/>
            <w:shd w:val="clear" w:color="auto" w:fill="auto"/>
            <w:noWrap/>
            <w:vAlign w:val="bottom"/>
            <w:hideMark/>
          </w:tcPr>
          <w:p w14:paraId="17074E8C" w14:textId="77777777" w:rsidR="00ED4F97" w:rsidRPr="005E4BEA" w:rsidRDefault="00ED4F97" w:rsidP="006F2C89">
            <w:pPr>
              <w:jc w:val="center"/>
              <w:rPr>
                <w:rFonts w:cs="Arial"/>
                <w:szCs w:val="20"/>
              </w:rPr>
            </w:pPr>
            <w:r w:rsidRPr="005E4BEA">
              <w:rPr>
                <w:rFonts w:cs="Arial"/>
                <w:szCs w:val="20"/>
              </w:rPr>
              <w:t>Bolnišnična dejavnost</w:t>
            </w:r>
          </w:p>
        </w:tc>
        <w:tc>
          <w:tcPr>
            <w:tcW w:w="1108" w:type="dxa"/>
            <w:shd w:val="clear" w:color="auto" w:fill="auto"/>
            <w:noWrap/>
            <w:vAlign w:val="bottom"/>
            <w:hideMark/>
          </w:tcPr>
          <w:p w14:paraId="0E5D09A9" w14:textId="77777777" w:rsidR="00ED4F97" w:rsidRPr="005E4BEA" w:rsidRDefault="00ED4F97" w:rsidP="006F2C89">
            <w:pPr>
              <w:jc w:val="center"/>
              <w:rPr>
                <w:rFonts w:cs="Arial"/>
                <w:szCs w:val="20"/>
              </w:rPr>
            </w:pPr>
            <w:r w:rsidRPr="005E4BEA">
              <w:rPr>
                <w:rFonts w:cs="Arial"/>
                <w:szCs w:val="20"/>
              </w:rPr>
              <w:t>Razno v bolnišnični dejavnosti</w:t>
            </w:r>
          </w:p>
        </w:tc>
        <w:tc>
          <w:tcPr>
            <w:tcW w:w="669" w:type="dxa"/>
            <w:gridSpan w:val="2"/>
            <w:shd w:val="clear" w:color="auto" w:fill="auto"/>
            <w:noWrap/>
            <w:vAlign w:val="bottom"/>
            <w:hideMark/>
          </w:tcPr>
          <w:p w14:paraId="22483FBC" w14:textId="77777777" w:rsidR="00ED4F97" w:rsidRPr="005E4BEA" w:rsidRDefault="00ED4F97" w:rsidP="006F2C89">
            <w:pPr>
              <w:jc w:val="center"/>
              <w:rPr>
                <w:rFonts w:cs="Arial"/>
                <w:szCs w:val="20"/>
              </w:rPr>
            </w:pPr>
            <w:r w:rsidRPr="005E4BEA">
              <w:rPr>
                <w:rFonts w:cs="Arial"/>
                <w:szCs w:val="20"/>
              </w:rPr>
              <w:t>111</w:t>
            </w:r>
          </w:p>
        </w:tc>
        <w:tc>
          <w:tcPr>
            <w:tcW w:w="968" w:type="dxa"/>
            <w:shd w:val="clear" w:color="auto" w:fill="auto"/>
            <w:noWrap/>
            <w:vAlign w:val="bottom"/>
            <w:hideMark/>
          </w:tcPr>
          <w:p w14:paraId="48C1D0A2" w14:textId="77777777" w:rsidR="00ED4F97" w:rsidRPr="005E4BEA" w:rsidRDefault="00ED4F97" w:rsidP="006F2C89">
            <w:pPr>
              <w:jc w:val="center"/>
              <w:rPr>
                <w:rFonts w:cs="Arial"/>
                <w:szCs w:val="20"/>
              </w:rPr>
            </w:pPr>
            <w:r w:rsidRPr="005E4BEA">
              <w:rPr>
                <w:rFonts w:cs="Arial"/>
                <w:szCs w:val="20"/>
              </w:rPr>
              <w:t>301</w:t>
            </w:r>
          </w:p>
        </w:tc>
        <w:tc>
          <w:tcPr>
            <w:tcW w:w="885" w:type="dxa"/>
            <w:shd w:val="clear" w:color="auto" w:fill="auto"/>
            <w:noWrap/>
            <w:vAlign w:val="bottom"/>
            <w:hideMark/>
          </w:tcPr>
          <w:p w14:paraId="4E6DBFAD" w14:textId="77777777" w:rsidR="00ED4F97" w:rsidRPr="005E4BEA" w:rsidRDefault="00ED4F97" w:rsidP="006F2C89">
            <w:pPr>
              <w:jc w:val="center"/>
              <w:rPr>
                <w:rFonts w:cs="Arial"/>
                <w:szCs w:val="20"/>
              </w:rPr>
            </w:pPr>
            <w:r w:rsidRPr="005E4BEA">
              <w:rPr>
                <w:rFonts w:cs="Arial"/>
                <w:szCs w:val="20"/>
              </w:rPr>
              <w:t>E0XXX</w:t>
            </w:r>
          </w:p>
        </w:tc>
        <w:tc>
          <w:tcPr>
            <w:tcW w:w="872" w:type="dxa"/>
            <w:shd w:val="clear" w:color="auto" w:fill="auto"/>
            <w:noWrap/>
            <w:vAlign w:val="bottom"/>
            <w:hideMark/>
          </w:tcPr>
          <w:p w14:paraId="635F2E1B" w14:textId="77777777" w:rsidR="00ED4F97" w:rsidRPr="005E4BEA" w:rsidRDefault="00ED4F97" w:rsidP="006F2C89">
            <w:pPr>
              <w:jc w:val="center"/>
              <w:rPr>
                <w:rFonts w:cs="Arial"/>
                <w:szCs w:val="20"/>
              </w:rPr>
            </w:pPr>
            <w:r w:rsidRPr="005E4BEA">
              <w:rPr>
                <w:rFonts w:cs="Arial"/>
                <w:szCs w:val="20"/>
              </w:rPr>
              <w:t>PD</w:t>
            </w:r>
          </w:p>
        </w:tc>
        <w:tc>
          <w:tcPr>
            <w:tcW w:w="2127" w:type="dxa"/>
            <w:shd w:val="clear" w:color="auto" w:fill="auto"/>
            <w:noWrap/>
            <w:vAlign w:val="bottom"/>
            <w:hideMark/>
          </w:tcPr>
          <w:p w14:paraId="5578AEFA" w14:textId="77777777" w:rsidR="00ED4F97" w:rsidRPr="005E4BEA" w:rsidRDefault="00ED4F97" w:rsidP="006F2C89">
            <w:pPr>
              <w:jc w:val="center"/>
              <w:rPr>
                <w:rFonts w:cs="Arial"/>
                <w:szCs w:val="20"/>
              </w:rPr>
            </w:pPr>
            <w:r w:rsidRPr="005E4BEA">
              <w:rPr>
                <w:rFonts w:cs="Arial"/>
                <w:szCs w:val="20"/>
              </w:rPr>
              <w:t>Dodatek za poseg CAR-T</w:t>
            </w:r>
          </w:p>
          <w:p w14:paraId="11DD9F9D" w14:textId="77777777" w:rsidR="00ED4F97" w:rsidRPr="005E4BEA" w:rsidRDefault="00ED4F97" w:rsidP="006F2C89">
            <w:pPr>
              <w:jc w:val="center"/>
              <w:rPr>
                <w:rFonts w:cs="Arial"/>
                <w:szCs w:val="20"/>
              </w:rPr>
            </w:pPr>
          </w:p>
        </w:tc>
        <w:tc>
          <w:tcPr>
            <w:tcW w:w="985" w:type="dxa"/>
            <w:shd w:val="clear" w:color="auto" w:fill="auto"/>
          </w:tcPr>
          <w:p w14:paraId="7E4107FF" w14:textId="77777777" w:rsidR="00ED4F97" w:rsidRPr="005E4BEA" w:rsidRDefault="00ED4F97" w:rsidP="006F2C89">
            <w:pPr>
              <w:jc w:val="center"/>
              <w:rPr>
                <w:rFonts w:cs="Arial"/>
                <w:szCs w:val="20"/>
              </w:rPr>
            </w:pPr>
          </w:p>
          <w:p w14:paraId="1FDCCA29" w14:textId="77777777" w:rsidR="00ED4F97" w:rsidRPr="005E4BEA" w:rsidRDefault="00ED4F97" w:rsidP="006F2C89">
            <w:pPr>
              <w:jc w:val="center"/>
              <w:rPr>
                <w:rFonts w:cs="Arial"/>
                <w:szCs w:val="20"/>
              </w:rPr>
            </w:pPr>
            <w:r w:rsidRPr="005E4BEA">
              <w:rPr>
                <w:rFonts w:cs="Arial"/>
                <w:szCs w:val="20"/>
              </w:rPr>
              <w:t>primer</w:t>
            </w:r>
          </w:p>
        </w:tc>
        <w:tc>
          <w:tcPr>
            <w:tcW w:w="290" w:type="dxa"/>
            <w:shd w:val="clear" w:color="auto" w:fill="auto"/>
          </w:tcPr>
          <w:p w14:paraId="74443892" w14:textId="77777777" w:rsidR="00ED4F97" w:rsidRPr="005E4BEA" w:rsidRDefault="00ED4F97" w:rsidP="006F2C89">
            <w:pPr>
              <w:jc w:val="center"/>
              <w:rPr>
                <w:rFonts w:cs="Arial"/>
                <w:szCs w:val="20"/>
              </w:rPr>
            </w:pPr>
          </w:p>
          <w:p w14:paraId="783B2349" w14:textId="77777777" w:rsidR="00ED4F97" w:rsidRPr="005E4BEA" w:rsidRDefault="00ED4F97" w:rsidP="006F2C89">
            <w:pPr>
              <w:rPr>
                <w:rFonts w:cs="Arial"/>
                <w:color w:val="FF0000"/>
                <w:szCs w:val="20"/>
              </w:rPr>
            </w:pPr>
            <w:r w:rsidRPr="005E4BEA">
              <w:rPr>
                <w:rFonts w:cs="Arial"/>
                <w:szCs w:val="20"/>
              </w:rPr>
              <w:t>113.530,60</w:t>
            </w:r>
          </w:p>
        </w:tc>
      </w:tr>
    </w:tbl>
    <w:p w14:paraId="205FB20E" w14:textId="3B778719" w:rsidR="00ED4F97" w:rsidRPr="005E4BEA" w:rsidRDefault="00ED4F97" w:rsidP="00ED4F97">
      <w:pPr>
        <w:rPr>
          <w:rFonts w:cs="Arial"/>
          <w:szCs w:val="20"/>
        </w:rPr>
      </w:pPr>
      <w:bookmarkStart w:id="83" w:name="_Hlk103006555"/>
      <w:r w:rsidRPr="005E4BEA">
        <w:rPr>
          <w:rFonts w:cs="Arial"/>
          <w:szCs w:val="20"/>
        </w:rPr>
        <w:t xml:space="preserve">Opomba: Dodatek se v okviru bolnišničnega zdravljenja obračuna največ enkrat. Pogoj za obračun </w:t>
      </w:r>
      <w:r w:rsidR="000819C3" w:rsidRPr="005E4BEA">
        <w:rPr>
          <w:rFonts w:cs="Arial"/>
          <w:szCs w:val="20"/>
        </w:rPr>
        <w:t>so opravljeni vsi  postopki iz Priloge BOL – 2b, točke 3.</w:t>
      </w:r>
    </w:p>
    <w:bookmarkEnd w:id="83"/>
    <w:p w14:paraId="73868DE4" w14:textId="77777777" w:rsidR="000819C3" w:rsidRPr="005E4BEA" w:rsidRDefault="000819C3" w:rsidP="00ED4F97">
      <w:pPr>
        <w:rPr>
          <w:rFonts w:cs="Arial"/>
        </w:rPr>
      </w:pPr>
    </w:p>
    <w:p w14:paraId="123E8780" w14:textId="13FCBFE3" w:rsidR="00ED4F97" w:rsidRPr="005E4BEA" w:rsidRDefault="00ED4F97" w:rsidP="00ED4F97">
      <w:pPr>
        <w:rPr>
          <w:rFonts w:cs="Arial"/>
          <w:b/>
          <w:bCs/>
        </w:rPr>
      </w:pPr>
      <w:r w:rsidRPr="005E4BEA">
        <w:rPr>
          <w:rFonts w:cs="Arial"/>
          <w:b/>
          <w:bCs/>
        </w:rPr>
        <w:t>V Prilogo BOL – 2b (Seznam posegov iz Klasifikacije terapevtskih in diagnostičnih postopkov za identificiranje izbranih storitev iz Priloge I/b) se doda nov</w:t>
      </w:r>
      <w:r w:rsidR="000819C3" w:rsidRPr="005E4BEA">
        <w:rPr>
          <w:rFonts w:cs="Arial"/>
          <w:b/>
          <w:bCs/>
        </w:rPr>
        <w:t>a</w:t>
      </w:r>
      <w:r w:rsidRPr="005E4BEA">
        <w:rPr>
          <w:rFonts w:cs="Arial"/>
          <w:b/>
          <w:bCs/>
        </w:rPr>
        <w:t xml:space="preserve"> točka </w:t>
      </w:r>
      <w:r w:rsidR="000819C3" w:rsidRPr="005E4BEA">
        <w:rPr>
          <w:rFonts w:cs="Arial"/>
          <w:b/>
          <w:bCs/>
        </w:rPr>
        <w:t>3</w:t>
      </w:r>
      <w:r w:rsidRPr="005E4BEA">
        <w:rPr>
          <w:rFonts w:cs="Arial"/>
          <w:b/>
          <w:bCs/>
        </w:rPr>
        <w:t>, ki se glasi:</w:t>
      </w:r>
    </w:p>
    <w:p w14:paraId="03E0E6C3" w14:textId="77777777" w:rsidR="00ED4F97" w:rsidRPr="005E4BEA" w:rsidRDefault="00ED4F97" w:rsidP="00ED4F97">
      <w:pPr>
        <w:rPr>
          <w:rFonts w:cs="Arial"/>
          <w:b/>
          <w:bCs/>
        </w:rPr>
      </w:pPr>
    </w:p>
    <w:tbl>
      <w:tblPr>
        <w:tblW w:w="6946" w:type="dxa"/>
        <w:tblBorders>
          <w:top w:val="single" w:sz="4" w:space="0" w:color="auto"/>
        </w:tblBorders>
        <w:tblLayout w:type="fixed"/>
        <w:tblCellMar>
          <w:left w:w="70" w:type="dxa"/>
          <w:right w:w="70" w:type="dxa"/>
        </w:tblCellMar>
        <w:tblLook w:val="0000" w:firstRow="0" w:lastRow="0" w:firstColumn="0" w:lastColumn="0" w:noHBand="0" w:noVBand="0"/>
      </w:tblPr>
      <w:tblGrid>
        <w:gridCol w:w="6946"/>
      </w:tblGrid>
      <w:tr w:rsidR="00ED4F97" w:rsidRPr="005E4BEA" w14:paraId="6014DA3C" w14:textId="77777777" w:rsidTr="006F2C89">
        <w:trPr>
          <w:trHeight w:val="355"/>
        </w:trPr>
        <w:tc>
          <w:tcPr>
            <w:tcW w:w="6946" w:type="dxa"/>
            <w:tcBorders>
              <w:top w:val="single" w:sz="12" w:space="0" w:color="auto"/>
              <w:left w:val="nil"/>
              <w:bottom w:val="single" w:sz="4" w:space="0" w:color="auto"/>
              <w:right w:val="nil"/>
            </w:tcBorders>
            <w:vAlign w:val="center"/>
          </w:tcPr>
          <w:p w14:paraId="66016F39" w14:textId="311B0F9E" w:rsidR="00ED4F97" w:rsidRPr="005E4BEA" w:rsidRDefault="000819C3" w:rsidP="006F2C89">
            <w:pPr>
              <w:autoSpaceDE w:val="0"/>
              <w:autoSpaceDN w:val="0"/>
              <w:adjustRightInd w:val="0"/>
              <w:ind w:right="-45"/>
              <w:rPr>
                <w:rFonts w:ascii="Arial Narrow" w:hAnsi="Arial Narrow" w:cstheme="minorHAnsi"/>
                <w:b/>
                <w:bCs/>
                <w:sz w:val="16"/>
                <w:szCs w:val="16"/>
              </w:rPr>
            </w:pPr>
            <w:r w:rsidRPr="005E4BEA">
              <w:rPr>
                <w:rFonts w:ascii="Arial Narrow" w:hAnsi="Arial Narrow" w:cstheme="minorHAnsi"/>
                <w:b/>
                <w:bCs/>
                <w:sz w:val="16"/>
                <w:szCs w:val="16"/>
              </w:rPr>
              <w:t>3</w:t>
            </w:r>
            <w:r w:rsidR="00ED4F97" w:rsidRPr="005E4BEA">
              <w:rPr>
                <w:rFonts w:ascii="Arial Narrow" w:hAnsi="Arial Narrow" w:cstheme="minorHAnsi"/>
                <w:b/>
                <w:bCs/>
                <w:sz w:val="16"/>
                <w:szCs w:val="16"/>
              </w:rPr>
              <w:t xml:space="preserve">.) Zdravljenje </w:t>
            </w:r>
            <w:proofErr w:type="spellStart"/>
            <w:r w:rsidR="00ED4F97" w:rsidRPr="005E4BEA">
              <w:rPr>
                <w:rFonts w:ascii="Arial Narrow" w:hAnsi="Arial Narrow" w:cstheme="minorHAnsi"/>
                <w:b/>
                <w:bCs/>
                <w:sz w:val="16"/>
                <w:szCs w:val="16"/>
              </w:rPr>
              <w:t>klonalnih</w:t>
            </w:r>
            <w:proofErr w:type="spellEnd"/>
            <w:r w:rsidR="00ED4F97" w:rsidRPr="005E4BEA">
              <w:rPr>
                <w:rFonts w:ascii="Arial Narrow" w:hAnsi="Arial Narrow" w:cstheme="minorHAnsi"/>
                <w:b/>
                <w:bCs/>
                <w:sz w:val="16"/>
                <w:szCs w:val="16"/>
              </w:rPr>
              <w:t xml:space="preserve"> krvnih novotvorb s celično terapijo CAR-T*</w:t>
            </w:r>
          </w:p>
        </w:tc>
      </w:tr>
    </w:tbl>
    <w:p w14:paraId="1B052BA8" w14:textId="77777777" w:rsidR="00ED4F97" w:rsidRPr="005E4BEA" w:rsidRDefault="00ED4F97" w:rsidP="00F356C9">
      <w:pPr>
        <w:numPr>
          <w:ilvl w:val="0"/>
          <w:numId w:val="81"/>
        </w:numPr>
        <w:tabs>
          <w:tab w:val="num" w:pos="720"/>
        </w:tabs>
        <w:spacing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30087-00 Punkcija kostnega mozga ali / in 13700-00 Odvzem kostnega mozga za presaditev</w:t>
      </w:r>
    </w:p>
    <w:p w14:paraId="3068892D" w14:textId="77777777" w:rsidR="00ED4F97" w:rsidRPr="005E4BEA" w:rsidRDefault="00ED4F97" w:rsidP="00F356C9">
      <w:pPr>
        <w:numPr>
          <w:ilvl w:val="0"/>
          <w:numId w:val="81"/>
        </w:numPr>
        <w:tabs>
          <w:tab w:val="num" w:pos="720"/>
        </w:tabs>
        <w:spacing w:before="100"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 xml:space="preserve">13706-08 </w:t>
      </w:r>
      <w:proofErr w:type="spellStart"/>
      <w:r w:rsidRPr="005E4BEA">
        <w:rPr>
          <w:rFonts w:ascii="Arial Narrow" w:hAnsi="Arial Narrow"/>
          <w:sz w:val="16"/>
          <w:szCs w:val="16"/>
          <w:lang w:eastAsia="sl-SI"/>
        </w:rPr>
        <w:t>Avtologna</w:t>
      </w:r>
      <w:proofErr w:type="spellEnd"/>
      <w:r w:rsidRPr="005E4BEA">
        <w:rPr>
          <w:rFonts w:ascii="Arial Narrow" w:hAnsi="Arial Narrow"/>
          <w:sz w:val="16"/>
          <w:szCs w:val="16"/>
          <w:lang w:eastAsia="sl-SI"/>
        </w:rPr>
        <w:t xml:space="preserve"> presaditev matičnih krvnih celic, s pripravo matičnih celic in vitro </w:t>
      </w:r>
    </w:p>
    <w:p w14:paraId="35633F37" w14:textId="77777777" w:rsidR="00ED4F97" w:rsidRPr="005E4BEA" w:rsidRDefault="00ED4F97" w:rsidP="00F356C9">
      <w:pPr>
        <w:numPr>
          <w:ilvl w:val="0"/>
          <w:numId w:val="81"/>
        </w:numPr>
        <w:tabs>
          <w:tab w:val="num" w:pos="720"/>
        </w:tabs>
        <w:spacing w:before="100"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13706-04 Transfuzija levkocitov</w:t>
      </w:r>
    </w:p>
    <w:p w14:paraId="3B7CFFD7" w14:textId="77777777" w:rsidR="00ED4F97" w:rsidRPr="005E4BEA" w:rsidRDefault="00ED4F97" w:rsidP="00F356C9">
      <w:pPr>
        <w:numPr>
          <w:ilvl w:val="0"/>
          <w:numId w:val="81"/>
        </w:numPr>
        <w:tabs>
          <w:tab w:val="num" w:pos="720"/>
        </w:tabs>
        <w:spacing w:before="100" w:beforeAutospacing="1" w:after="100" w:afterAutospacing="1" w:line="240" w:lineRule="auto"/>
        <w:ind w:left="1440"/>
        <w:rPr>
          <w:rFonts w:ascii="Arial Narrow" w:hAnsi="Arial Narrow"/>
          <w:sz w:val="16"/>
          <w:szCs w:val="16"/>
          <w:lang w:eastAsia="sl-SI"/>
        </w:rPr>
      </w:pPr>
      <w:r w:rsidRPr="005E4BEA">
        <w:rPr>
          <w:rFonts w:ascii="Arial Narrow" w:hAnsi="Arial Narrow"/>
          <w:sz w:val="16"/>
          <w:szCs w:val="16"/>
          <w:lang w:eastAsia="sl-SI"/>
        </w:rPr>
        <w:t xml:space="preserve">13750-05 </w:t>
      </w:r>
      <w:proofErr w:type="spellStart"/>
      <w:r w:rsidRPr="005E4BEA">
        <w:rPr>
          <w:rFonts w:ascii="Arial Narrow" w:hAnsi="Arial Narrow"/>
          <w:sz w:val="16"/>
          <w:szCs w:val="16"/>
          <w:lang w:eastAsia="sl-SI"/>
        </w:rPr>
        <w:t>Afereza</w:t>
      </w:r>
      <w:proofErr w:type="spellEnd"/>
      <w:r w:rsidRPr="005E4BEA">
        <w:rPr>
          <w:rFonts w:ascii="Arial Narrow" w:hAnsi="Arial Narrow"/>
          <w:sz w:val="16"/>
          <w:szCs w:val="16"/>
          <w:lang w:eastAsia="sl-SI"/>
        </w:rPr>
        <w:t xml:space="preserve"> matičnih celic z </w:t>
      </w:r>
      <w:proofErr w:type="spellStart"/>
      <w:r w:rsidRPr="005E4BEA">
        <w:rPr>
          <w:rFonts w:ascii="Arial Narrow" w:hAnsi="Arial Narrow"/>
          <w:sz w:val="16"/>
          <w:szCs w:val="16"/>
          <w:lang w:eastAsia="sl-SI"/>
        </w:rPr>
        <w:t>krioohranitvijo</w:t>
      </w:r>
      <w:proofErr w:type="spellEnd"/>
    </w:p>
    <w:p w14:paraId="456FB34C" w14:textId="40A7BA42" w:rsidR="00ED4F97" w:rsidRPr="005E4BEA" w:rsidRDefault="00ED4F97" w:rsidP="00ED4F97">
      <w:pPr>
        <w:pStyle w:val="Odstavekseznama"/>
        <w:ind w:left="0"/>
        <w:rPr>
          <w:rFonts w:ascii="Arial Narrow" w:eastAsia="Arial Narrow" w:hAnsi="Arial Narrow"/>
          <w:sz w:val="16"/>
          <w:szCs w:val="16"/>
          <w:lang w:eastAsia="sl-SI"/>
        </w:rPr>
      </w:pPr>
      <w:r w:rsidRPr="005E4BEA">
        <w:rPr>
          <w:rFonts w:ascii="Arial Narrow" w:eastAsia="Arial Narrow" w:hAnsi="Arial Narrow"/>
          <w:sz w:val="16"/>
          <w:szCs w:val="16"/>
          <w:lang w:eastAsia="sl-SI"/>
        </w:rPr>
        <w:t xml:space="preserve">*za izplačilo dodatka morajo biti </w:t>
      </w:r>
      <w:r w:rsidR="000819C3" w:rsidRPr="005E4BEA">
        <w:rPr>
          <w:rFonts w:ascii="Arial Narrow" w:eastAsia="Arial Narrow" w:hAnsi="Arial Narrow"/>
          <w:sz w:val="16"/>
          <w:szCs w:val="16"/>
          <w:lang w:eastAsia="sl-SI"/>
        </w:rPr>
        <w:t xml:space="preserve">opravljeni </w:t>
      </w:r>
      <w:r w:rsidRPr="005E4BEA">
        <w:rPr>
          <w:rFonts w:ascii="Arial Narrow" w:eastAsia="Arial Narrow" w:hAnsi="Arial Narrow"/>
          <w:sz w:val="16"/>
          <w:szCs w:val="16"/>
          <w:lang w:eastAsia="sl-SI"/>
        </w:rPr>
        <w:t xml:space="preserve">vsi zgoraj navedeni posegi. </w:t>
      </w:r>
    </w:p>
    <w:p w14:paraId="693E3C6E" w14:textId="77777777" w:rsidR="00ED4F97" w:rsidRPr="005E4BEA" w:rsidRDefault="00ED4F97" w:rsidP="00ED4F97">
      <w:pPr>
        <w:jc w:val="both"/>
        <w:rPr>
          <w:rFonts w:eastAsiaTheme="minorHAnsi" w:cs="Arial"/>
          <w:i/>
          <w:color w:val="808080" w:themeColor="background1" w:themeShade="80"/>
          <w:szCs w:val="20"/>
        </w:rPr>
      </w:pPr>
    </w:p>
    <w:p w14:paraId="13A12F4A" w14:textId="77777777" w:rsidR="00ED4F97" w:rsidRPr="005E4BEA" w:rsidRDefault="00ED4F97" w:rsidP="00ED4F97">
      <w:pPr>
        <w:jc w:val="both"/>
        <w:rPr>
          <w:rFonts w:eastAsiaTheme="minorHAnsi" w:cs="Arial"/>
          <w:i/>
          <w:color w:val="808080" w:themeColor="background1" w:themeShade="80"/>
          <w:szCs w:val="20"/>
        </w:rPr>
      </w:pPr>
    </w:p>
    <w:p w14:paraId="4C97D6F3" w14:textId="77777777" w:rsidR="00ED4F97" w:rsidRPr="005E4BEA" w:rsidRDefault="00ED4F97" w:rsidP="00ED4F97">
      <w:pPr>
        <w:spacing w:after="120" w:line="240" w:lineRule="auto"/>
        <w:jc w:val="both"/>
        <w:rPr>
          <w:rFonts w:eastAsia="Arial Narrow" w:cs="Arial"/>
          <w:b/>
          <w:bCs/>
          <w:color w:val="000000" w:themeColor="text1"/>
          <w:szCs w:val="20"/>
          <w:lang w:eastAsia="sl-SI"/>
        </w:rPr>
      </w:pPr>
      <w:r w:rsidRPr="005E4BEA">
        <w:rPr>
          <w:rFonts w:eastAsia="Arial Narrow" w:cs="Arial"/>
          <w:b/>
          <w:bCs/>
          <w:color w:val="000000" w:themeColor="text1"/>
          <w:szCs w:val="20"/>
          <w:lang w:eastAsia="sl-SI"/>
        </w:rPr>
        <w:t>V Prilogo 1/b - Cenik storitev se vnese naslednja storitev:</w:t>
      </w:r>
    </w:p>
    <w:tbl>
      <w:tblPr>
        <w:tblW w:w="10005" w:type="dxa"/>
        <w:tblCellMar>
          <w:left w:w="70" w:type="dxa"/>
          <w:right w:w="70" w:type="dxa"/>
        </w:tblCellMar>
        <w:tblLook w:val="04A0" w:firstRow="1" w:lastRow="0" w:firstColumn="1" w:lastColumn="0" w:noHBand="0" w:noVBand="1"/>
      </w:tblPr>
      <w:tblGrid>
        <w:gridCol w:w="960"/>
        <w:gridCol w:w="996"/>
        <w:gridCol w:w="960"/>
        <w:gridCol w:w="6046"/>
        <w:gridCol w:w="1079"/>
      </w:tblGrid>
      <w:tr w:rsidR="00ED4F97" w:rsidRPr="005E4BEA" w14:paraId="4AE3704E" w14:textId="77777777" w:rsidTr="006F2C89">
        <w:trPr>
          <w:trHeight w:val="852"/>
        </w:trPr>
        <w:tc>
          <w:tcPr>
            <w:tcW w:w="960" w:type="dxa"/>
            <w:tcBorders>
              <w:top w:val="single" w:sz="4" w:space="0" w:color="808080"/>
              <w:left w:val="single" w:sz="4" w:space="0" w:color="808080"/>
              <w:bottom w:val="nil"/>
              <w:right w:val="single" w:sz="4" w:space="0" w:color="808080"/>
            </w:tcBorders>
            <w:shd w:val="clear" w:color="auto" w:fill="auto"/>
            <w:noWrap/>
            <w:vAlign w:val="bottom"/>
            <w:hideMark/>
          </w:tcPr>
          <w:p w14:paraId="781E0137"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Vrsta</w:t>
            </w:r>
          </w:p>
        </w:tc>
        <w:tc>
          <w:tcPr>
            <w:tcW w:w="960" w:type="dxa"/>
            <w:tcBorders>
              <w:top w:val="single" w:sz="4" w:space="0" w:color="808080"/>
              <w:left w:val="nil"/>
              <w:bottom w:val="nil"/>
              <w:right w:val="single" w:sz="4" w:space="0" w:color="808080"/>
            </w:tcBorders>
            <w:shd w:val="clear" w:color="auto" w:fill="auto"/>
            <w:noWrap/>
            <w:vAlign w:val="bottom"/>
            <w:hideMark/>
          </w:tcPr>
          <w:p w14:paraId="32218C20"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Podvrsta</w:t>
            </w:r>
          </w:p>
        </w:tc>
        <w:tc>
          <w:tcPr>
            <w:tcW w:w="960" w:type="dxa"/>
            <w:tcBorders>
              <w:top w:val="single" w:sz="4" w:space="0" w:color="808080"/>
              <w:left w:val="nil"/>
              <w:bottom w:val="nil"/>
              <w:right w:val="single" w:sz="4" w:space="0" w:color="808080"/>
            </w:tcBorders>
            <w:shd w:val="clear" w:color="auto" w:fill="auto"/>
            <w:noWrap/>
            <w:vAlign w:val="bottom"/>
            <w:hideMark/>
          </w:tcPr>
          <w:p w14:paraId="4C0965E4"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Storitev</w:t>
            </w:r>
          </w:p>
        </w:tc>
        <w:tc>
          <w:tcPr>
            <w:tcW w:w="6046" w:type="dxa"/>
            <w:tcBorders>
              <w:top w:val="single" w:sz="4" w:space="0" w:color="808080"/>
              <w:left w:val="nil"/>
              <w:bottom w:val="single" w:sz="4" w:space="0" w:color="808080"/>
              <w:right w:val="nil"/>
            </w:tcBorders>
            <w:shd w:val="clear" w:color="auto" w:fill="auto"/>
            <w:noWrap/>
            <w:vAlign w:val="bottom"/>
            <w:hideMark/>
          </w:tcPr>
          <w:p w14:paraId="1F96B37F" w14:textId="77777777" w:rsidR="00ED4F97" w:rsidRPr="005E4BEA" w:rsidRDefault="00ED4F97" w:rsidP="006F2C89">
            <w:pPr>
              <w:spacing w:line="240" w:lineRule="auto"/>
              <w:rPr>
                <w:rFonts w:cs="Arial"/>
                <w:b/>
                <w:bCs/>
                <w:szCs w:val="20"/>
                <w:lang w:eastAsia="sl-SI"/>
              </w:rPr>
            </w:pPr>
            <w:r w:rsidRPr="005E4BEA">
              <w:rPr>
                <w:rFonts w:cs="Arial"/>
                <w:b/>
                <w:bCs/>
                <w:szCs w:val="20"/>
                <w:lang w:eastAsia="sl-SI"/>
              </w:rPr>
              <w:t>Naziv</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0D68A" w14:textId="77777777" w:rsidR="00ED4F97" w:rsidRPr="005E4BEA" w:rsidRDefault="00ED4F97" w:rsidP="006F2C89">
            <w:pPr>
              <w:spacing w:line="240" w:lineRule="auto"/>
              <w:jc w:val="center"/>
              <w:rPr>
                <w:rFonts w:cs="Arial"/>
                <w:b/>
                <w:bCs/>
                <w:szCs w:val="20"/>
                <w:lang w:eastAsia="sl-SI"/>
              </w:rPr>
            </w:pPr>
            <w:r w:rsidRPr="005E4BEA">
              <w:rPr>
                <w:rFonts w:cs="Arial"/>
                <w:b/>
                <w:bCs/>
                <w:szCs w:val="20"/>
                <w:lang w:eastAsia="sl-SI"/>
              </w:rPr>
              <w:t>CENA v EUR</w:t>
            </w:r>
          </w:p>
        </w:tc>
      </w:tr>
      <w:tr w:rsidR="00ED4F97" w:rsidRPr="005E4BEA" w14:paraId="100844D5" w14:textId="77777777" w:rsidTr="006F2C89">
        <w:trPr>
          <w:trHeight w:val="784"/>
        </w:trPr>
        <w:tc>
          <w:tcPr>
            <w:tcW w:w="960" w:type="dxa"/>
            <w:tcBorders>
              <w:top w:val="single" w:sz="4" w:space="0" w:color="auto"/>
              <w:left w:val="single" w:sz="4" w:space="0" w:color="auto"/>
              <w:bottom w:val="nil"/>
              <w:right w:val="nil"/>
            </w:tcBorders>
            <w:shd w:val="clear" w:color="auto" w:fill="auto"/>
            <w:noWrap/>
            <w:vAlign w:val="bottom"/>
            <w:hideMark/>
          </w:tcPr>
          <w:p w14:paraId="12584A10"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xml:space="preserve">  </w:t>
            </w:r>
          </w:p>
        </w:tc>
        <w:tc>
          <w:tcPr>
            <w:tcW w:w="960" w:type="dxa"/>
            <w:tcBorders>
              <w:top w:val="single" w:sz="4" w:space="0" w:color="auto"/>
              <w:left w:val="nil"/>
              <w:bottom w:val="nil"/>
              <w:right w:val="nil"/>
            </w:tcBorders>
            <w:shd w:val="clear" w:color="auto" w:fill="auto"/>
            <w:noWrap/>
            <w:vAlign w:val="bottom"/>
            <w:hideMark/>
          </w:tcPr>
          <w:p w14:paraId="601E069A"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w:t>
            </w:r>
          </w:p>
        </w:tc>
        <w:tc>
          <w:tcPr>
            <w:tcW w:w="960" w:type="dxa"/>
            <w:tcBorders>
              <w:top w:val="single" w:sz="4" w:space="0" w:color="auto"/>
              <w:left w:val="nil"/>
              <w:bottom w:val="nil"/>
              <w:right w:val="single" w:sz="4" w:space="0" w:color="auto"/>
            </w:tcBorders>
            <w:shd w:val="clear" w:color="auto" w:fill="auto"/>
            <w:noWrap/>
            <w:vAlign w:val="bottom"/>
            <w:hideMark/>
          </w:tcPr>
          <w:p w14:paraId="7AF02406" w14:textId="77777777" w:rsidR="00ED4F97" w:rsidRPr="005E4BEA" w:rsidRDefault="00ED4F97" w:rsidP="006F2C89">
            <w:pPr>
              <w:spacing w:line="240" w:lineRule="auto"/>
              <w:rPr>
                <w:rFonts w:cs="Arial"/>
                <w:color w:val="BFBFBF"/>
                <w:szCs w:val="20"/>
                <w:lang w:eastAsia="sl-SI"/>
              </w:rPr>
            </w:pPr>
            <w:r w:rsidRPr="005E4BEA">
              <w:rPr>
                <w:rFonts w:cs="Arial"/>
                <w:color w:val="BFBFBF"/>
                <w:szCs w:val="20"/>
                <w:lang w:eastAsia="sl-SI"/>
              </w:rPr>
              <w:t> </w:t>
            </w:r>
          </w:p>
        </w:tc>
        <w:tc>
          <w:tcPr>
            <w:tcW w:w="6046" w:type="dxa"/>
            <w:tcBorders>
              <w:top w:val="nil"/>
              <w:left w:val="nil"/>
              <w:bottom w:val="nil"/>
              <w:right w:val="nil"/>
            </w:tcBorders>
            <w:shd w:val="clear" w:color="auto" w:fill="auto"/>
            <w:vAlign w:val="bottom"/>
            <w:hideMark/>
          </w:tcPr>
          <w:p w14:paraId="69A2F177" w14:textId="77777777" w:rsidR="00ED4F97" w:rsidRPr="005E4BEA" w:rsidRDefault="00ED4F97" w:rsidP="006F2C89">
            <w:pPr>
              <w:spacing w:line="240" w:lineRule="auto"/>
              <w:rPr>
                <w:rFonts w:cs="Arial"/>
                <w:b/>
                <w:bCs/>
                <w:color w:val="000000"/>
                <w:szCs w:val="20"/>
                <w:lang w:eastAsia="sl-SI"/>
              </w:rPr>
            </w:pPr>
            <w:r w:rsidRPr="005E4BEA">
              <w:rPr>
                <w:rFonts w:cs="Arial"/>
                <w:b/>
                <w:bCs/>
                <w:color w:val="000000"/>
                <w:szCs w:val="20"/>
                <w:lang w:eastAsia="sl-SI"/>
              </w:rPr>
              <w:t xml:space="preserve">Program </w:t>
            </w:r>
            <w:proofErr w:type="spellStart"/>
            <w:r w:rsidRPr="005E4BEA">
              <w:rPr>
                <w:rFonts w:cs="Arial"/>
                <w:b/>
                <w:bCs/>
                <w:color w:val="000000"/>
                <w:szCs w:val="20"/>
                <w:lang w:eastAsia="sl-SI"/>
              </w:rPr>
              <w:t>presejanja</w:t>
            </w:r>
            <w:proofErr w:type="spellEnd"/>
            <w:r w:rsidRPr="005E4BEA">
              <w:rPr>
                <w:rFonts w:cs="Arial"/>
                <w:b/>
                <w:bCs/>
                <w:color w:val="000000"/>
                <w:szCs w:val="20"/>
                <w:lang w:eastAsia="sl-SI"/>
              </w:rPr>
              <w:t xml:space="preserve"> novorojencev za </w:t>
            </w:r>
            <w:proofErr w:type="spellStart"/>
            <w:r w:rsidRPr="005E4BEA">
              <w:rPr>
                <w:rFonts w:cs="Arial"/>
                <w:b/>
                <w:bCs/>
                <w:color w:val="000000"/>
                <w:szCs w:val="20"/>
                <w:lang w:eastAsia="sl-SI"/>
              </w:rPr>
              <w:t>spinalno</w:t>
            </w:r>
            <w:proofErr w:type="spellEnd"/>
            <w:r w:rsidRPr="005E4BEA">
              <w:rPr>
                <w:rFonts w:cs="Arial"/>
                <w:b/>
                <w:bCs/>
                <w:color w:val="000000"/>
                <w:szCs w:val="20"/>
                <w:lang w:eastAsia="sl-SI"/>
              </w:rPr>
              <w:t xml:space="preserve"> mišično atrofijo, težke prirojene okvare imunosti, cistično </w:t>
            </w:r>
            <w:proofErr w:type="spellStart"/>
            <w:r w:rsidRPr="005E4BEA">
              <w:rPr>
                <w:rFonts w:cs="Arial"/>
                <w:b/>
                <w:bCs/>
                <w:color w:val="000000"/>
                <w:szCs w:val="20"/>
                <w:lang w:eastAsia="sl-SI"/>
              </w:rPr>
              <w:t>fibrozo</w:t>
            </w:r>
            <w:proofErr w:type="spellEnd"/>
            <w:r w:rsidRPr="005E4BEA">
              <w:rPr>
                <w:rFonts w:cs="Arial"/>
                <w:b/>
                <w:bCs/>
                <w:color w:val="000000"/>
                <w:szCs w:val="20"/>
                <w:lang w:eastAsia="sl-SI"/>
              </w:rPr>
              <w:t xml:space="preserve"> in kongenitalno adrenalno hiperplazijo</w:t>
            </w: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B1642AA"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 </w:t>
            </w:r>
          </w:p>
        </w:tc>
      </w:tr>
      <w:tr w:rsidR="00ED4F97" w:rsidRPr="005E4BEA" w14:paraId="77B01A1D" w14:textId="77777777" w:rsidTr="006F2C8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6763"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9C09CC" w14:textId="77777777" w:rsidR="00ED4F97" w:rsidRPr="005E4BEA" w:rsidRDefault="00ED4F97" w:rsidP="006F2C89">
            <w:pPr>
              <w:spacing w:line="240" w:lineRule="auto"/>
              <w:jc w:val="right"/>
              <w:rPr>
                <w:rFonts w:cs="Arial"/>
                <w:color w:val="000000"/>
                <w:szCs w:val="20"/>
                <w:lang w:eastAsia="sl-SI"/>
              </w:rPr>
            </w:pPr>
            <w:r w:rsidRPr="005E4BEA">
              <w:rPr>
                <w:rFonts w:cs="Arial"/>
                <w:color w:val="000000"/>
                <w:szCs w:val="20"/>
                <w:lang w:eastAsia="sl-SI"/>
              </w:rPr>
              <w:t>237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309FDD" w14:textId="77777777" w:rsidR="00ED4F97" w:rsidRPr="005E4BEA" w:rsidRDefault="00ED4F97" w:rsidP="006F2C89">
            <w:pPr>
              <w:spacing w:line="240" w:lineRule="auto"/>
              <w:rPr>
                <w:rFonts w:cs="Arial"/>
                <w:color w:val="000000"/>
                <w:szCs w:val="20"/>
                <w:lang w:eastAsia="sl-SI"/>
              </w:rPr>
            </w:pPr>
            <w:r w:rsidRPr="005E4BEA">
              <w:rPr>
                <w:rFonts w:cs="Arial"/>
                <w:color w:val="000000"/>
                <w:szCs w:val="20"/>
                <w:lang w:eastAsia="sl-SI"/>
              </w:rPr>
              <w:t>E0XXX</w:t>
            </w:r>
          </w:p>
        </w:tc>
        <w:tc>
          <w:tcPr>
            <w:tcW w:w="6046" w:type="dxa"/>
            <w:tcBorders>
              <w:top w:val="single" w:sz="4" w:space="0" w:color="auto"/>
              <w:left w:val="nil"/>
              <w:bottom w:val="single" w:sz="4" w:space="0" w:color="auto"/>
              <w:right w:val="single" w:sz="4" w:space="0" w:color="auto"/>
            </w:tcBorders>
            <w:shd w:val="clear" w:color="auto" w:fill="auto"/>
            <w:noWrap/>
            <w:vAlign w:val="bottom"/>
            <w:hideMark/>
          </w:tcPr>
          <w:p w14:paraId="5E71C96F" w14:textId="77777777" w:rsidR="00ED4F97" w:rsidRPr="005E4BEA" w:rsidRDefault="00ED4F97" w:rsidP="006F2C89">
            <w:pPr>
              <w:spacing w:line="240" w:lineRule="auto"/>
              <w:rPr>
                <w:rFonts w:cs="Arial"/>
                <w:color w:val="000000"/>
                <w:szCs w:val="20"/>
                <w:lang w:eastAsia="sl-SI"/>
              </w:rPr>
            </w:pPr>
            <w:proofErr w:type="spellStart"/>
            <w:r w:rsidRPr="005E4BEA">
              <w:rPr>
                <w:rFonts w:cs="Arial"/>
                <w:color w:val="000000"/>
                <w:szCs w:val="20"/>
                <w:lang w:eastAsia="sl-SI"/>
              </w:rPr>
              <w:t>Presejanje</w:t>
            </w:r>
            <w:proofErr w:type="spellEnd"/>
            <w:r w:rsidRPr="005E4BEA">
              <w:rPr>
                <w:rFonts w:cs="Arial"/>
                <w:color w:val="000000"/>
                <w:szCs w:val="20"/>
                <w:lang w:eastAsia="sl-SI"/>
              </w:rPr>
              <w:t xml:space="preserve"> novorojencev SICK</w:t>
            </w:r>
          </w:p>
        </w:tc>
        <w:tc>
          <w:tcPr>
            <w:tcW w:w="1079" w:type="dxa"/>
            <w:tcBorders>
              <w:top w:val="nil"/>
              <w:left w:val="nil"/>
              <w:bottom w:val="single" w:sz="4" w:space="0" w:color="auto"/>
              <w:right w:val="single" w:sz="4" w:space="0" w:color="auto"/>
            </w:tcBorders>
            <w:shd w:val="clear" w:color="auto" w:fill="auto"/>
            <w:noWrap/>
            <w:vAlign w:val="bottom"/>
            <w:hideMark/>
          </w:tcPr>
          <w:p w14:paraId="4E499398" w14:textId="77777777" w:rsidR="00ED4F97" w:rsidRPr="005E4BEA" w:rsidRDefault="00ED4F97" w:rsidP="006F2C89">
            <w:pPr>
              <w:spacing w:line="240" w:lineRule="auto"/>
              <w:jc w:val="right"/>
              <w:rPr>
                <w:rFonts w:cs="Arial"/>
                <w:szCs w:val="20"/>
                <w:lang w:eastAsia="sl-SI"/>
              </w:rPr>
            </w:pPr>
            <w:r w:rsidRPr="005E4BEA">
              <w:rPr>
                <w:rFonts w:cs="Arial"/>
                <w:szCs w:val="20"/>
                <w:lang w:eastAsia="sl-SI"/>
              </w:rPr>
              <w:t>91,76</w:t>
            </w:r>
          </w:p>
        </w:tc>
      </w:tr>
    </w:tbl>
    <w:p w14:paraId="39E6B9F4" w14:textId="77777777" w:rsidR="00ED4F97" w:rsidRPr="005E4BEA" w:rsidRDefault="00ED4F97" w:rsidP="00ED4F97">
      <w:pPr>
        <w:pStyle w:val="Brezrazmikov"/>
        <w:rPr>
          <w:rFonts w:ascii="Arial" w:hAnsi="Arial"/>
          <w:sz w:val="20"/>
          <w:szCs w:val="20"/>
          <w:lang w:eastAsia="sl-SI"/>
        </w:rPr>
      </w:pPr>
    </w:p>
    <w:p w14:paraId="6378A360" w14:textId="77777777" w:rsidR="00ED4F97" w:rsidRPr="005E4BEA" w:rsidRDefault="00ED4F97" w:rsidP="00ED4F97">
      <w:pPr>
        <w:pStyle w:val="Brezrazmikov"/>
        <w:rPr>
          <w:rFonts w:ascii="Arial" w:hAnsi="Arial"/>
          <w:b/>
          <w:bCs/>
          <w:sz w:val="20"/>
          <w:szCs w:val="20"/>
          <w:lang w:eastAsia="sl-SI"/>
        </w:rPr>
      </w:pPr>
      <w:r w:rsidRPr="005E4BEA">
        <w:rPr>
          <w:rFonts w:ascii="Arial" w:hAnsi="Arial"/>
          <w:b/>
          <w:bCs/>
          <w:sz w:val="20"/>
          <w:szCs w:val="20"/>
          <w:lang w:eastAsia="sl-SI"/>
        </w:rPr>
        <w:t>3. točka drugega odstavka Priloge III se dopolni z naslednjim besedilom:</w:t>
      </w:r>
    </w:p>
    <w:p w14:paraId="26207CA2" w14:textId="77777777" w:rsidR="00ED4F97" w:rsidRPr="005E4BEA" w:rsidRDefault="00ED4F97" w:rsidP="00ED4F97">
      <w:pPr>
        <w:pStyle w:val="Brezrazmikov"/>
        <w:rPr>
          <w:rFonts w:ascii="Arial" w:hAnsi="Arial"/>
          <w:sz w:val="20"/>
          <w:szCs w:val="20"/>
          <w:lang w:eastAsia="sl-SI"/>
        </w:rPr>
      </w:pPr>
    </w:p>
    <w:p w14:paraId="475A15C3" w14:textId="77777777" w:rsidR="00ED4F97" w:rsidRPr="005E4BEA" w:rsidRDefault="00ED4F97" w:rsidP="00F356C9">
      <w:pPr>
        <w:pStyle w:val="Brezrazmikov"/>
        <w:numPr>
          <w:ilvl w:val="0"/>
          <w:numId w:val="80"/>
        </w:numPr>
        <w:rPr>
          <w:rFonts w:ascii="Arial" w:hAnsi="Arial"/>
          <w:sz w:val="20"/>
          <w:szCs w:val="20"/>
          <w:lang w:eastAsia="sl-SI"/>
        </w:rPr>
      </w:pPr>
      <w:r w:rsidRPr="005E4BEA">
        <w:rPr>
          <w:rFonts w:ascii="Arial" w:hAnsi="Arial"/>
          <w:bCs/>
          <w:sz w:val="20"/>
          <w:szCs w:val="20"/>
          <w:lang w:eastAsia="sl-SI"/>
        </w:rPr>
        <w:t>p</w:t>
      </w:r>
      <w:r w:rsidRPr="005E4BEA">
        <w:rPr>
          <w:rFonts w:ascii="Arial" w:eastAsia="Times New Roman" w:hAnsi="Arial"/>
          <w:color w:val="000000"/>
          <w:sz w:val="20"/>
          <w:szCs w:val="20"/>
          <w:lang w:eastAsia="sl-SI"/>
        </w:rPr>
        <w:t xml:space="preserve">rogram </w:t>
      </w:r>
      <w:proofErr w:type="spellStart"/>
      <w:r w:rsidRPr="005E4BEA">
        <w:rPr>
          <w:rFonts w:ascii="Arial" w:eastAsia="Times New Roman" w:hAnsi="Arial"/>
          <w:color w:val="000000"/>
          <w:sz w:val="20"/>
          <w:szCs w:val="20"/>
          <w:lang w:eastAsia="sl-SI"/>
        </w:rPr>
        <w:t>presejanja</w:t>
      </w:r>
      <w:proofErr w:type="spellEnd"/>
      <w:r w:rsidRPr="005E4BEA">
        <w:rPr>
          <w:rFonts w:ascii="Arial" w:eastAsia="Times New Roman" w:hAnsi="Arial"/>
          <w:color w:val="000000"/>
          <w:sz w:val="20"/>
          <w:szCs w:val="20"/>
          <w:lang w:eastAsia="sl-SI"/>
        </w:rPr>
        <w:t xml:space="preserve"> novorojencev za </w:t>
      </w:r>
      <w:proofErr w:type="spellStart"/>
      <w:r w:rsidRPr="005E4BEA">
        <w:rPr>
          <w:rFonts w:ascii="Arial" w:eastAsia="Times New Roman" w:hAnsi="Arial"/>
          <w:color w:val="000000"/>
          <w:sz w:val="20"/>
          <w:szCs w:val="20"/>
          <w:lang w:eastAsia="sl-SI"/>
        </w:rPr>
        <w:t>spinalno</w:t>
      </w:r>
      <w:proofErr w:type="spellEnd"/>
      <w:r w:rsidRPr="005E4BEA">
        <w:rPr>
          <w:rFonts w:ascii="Arial" w:eastAsia="Times New Roman" w:hAnsi="Arial"/>
          <w:color w:val="000000"/>
          <w:sz w:val="20"/>
          <w:szCs w:val="20"/>
          <w:lang w:eastAsia="sl-SI"/>
        </w:rPr>
        <w:t xml:space="preserve"> mišično atrofijo, težke prirojene okvare imunosti, cistično </w:t>
      </w:r>
      <w:proofErr w:type="spellStart"/>
      <w:r w:rsidRPr="005E4BEA">
        <w:rPr>
          <w:rFonts w:ascii="Arial" w:eastAsia="Times New Roman" w:hAnsi="Arial"/>
          <w:color w:val="000000"/>
          <w:sz w:val="20"/>
          <w:szCs w:val="20"/>
          <w:lang w:eastAsia="sl-SI"/>
        </w:rPr>
        <w:t>fibrozo</w:t>
      </w:r>
      <w:proofErr w:type="spellEnd"/>
      <w:r w:rsidRPr="005E4BEA">
        <w:rPr>
          <w:rFonts w:ascii="Arial" w:eastAsia="Times New Roman" w:hAnsi="Arial"/>
          <w:color w:val="000000"/>
          <w:sz w:val="20"/>
          <w:szCs w:val="20"/>
          <w:lang w:eastAsia="sl-SI"/>
        </w:rPr>
        <w:t xml:space="preserve"> in kongenitalno adrenalno hiperplazijo </w:t>
      </w:r>
      <w:r w:rsidRPr="005E4BEA">
        <w:rPr>
          <w:rFonts w:ascii="Arial" w:hAnsi="Arial"/>
          <w:bCs/>
          <w:sz w:val="20"/>
          <w:szCs w:val="20"/>
          <w:lang w:eastAsia="sl-SI"/>
        </w:rPr>
        <w:t>v dejavnosti pediatrija 227 237</w:t>
      </w:r>
    </w:p>
    <w:p w14:paraId="6601BB8B" w14:textId="77777777" w:rsidR="00ED4F97" w:rsidRPr="005E4BEA" w:rsidRDefault="00ED4F97" w:rsidP="00ED4F97">
      <w:pPr>
        <w:spacing w:line="240" w:lineRule="auto"/>
        <w:jc w:val="both"/>
        <w:rPr>
          <w:rFonts w:eastAsiaTheme="minorHAnsi" w:cs="Arial"/>
          <w:b/>
          <w:bCs/>
          <w:i/>
          <w:color w:val="808080" w:themeColor="background1" w:themeShade="80"/>
          <w:szCs w:val="20"/>
        </w:rPr>
      </w:pPr>
    </w:p>
    <w:p w14:paraId="6B84BE4D" w14:textId="77777777" w:rsidR="00ED4F97" w:rsidRPr="005E4BEA" w:rsidRDefault="00ED4F97" w:rsidP="00ED4F97">
      <w:pPr>
        <w:spacing w:line="240" w:lineRule="auto"/>
        <w:jc w:val="both"/>
        <w:rPr>
          <w:rFonts w:eastAsiaTheme="minorHAnsi" w:cs="Arial"/>
          <w:b/>
          <w:bCs/>
          <w:i/>
          <w:color w:val="808080" w:themeColor="background1" w:themeShade="80"/>
          <w:szCs w:val="20"/>
        </w:rPr>
      </w:pPr>
    </w:p>
    <w:p w14:paraId="6A0D5810" w14:textId="77777777" w:rsidR="00ED4F97" w:rsidRPr="005E4BEA" w:rsidRDefault="00ED4F97" w:rsidP="00ED4F97">
      <w:pPr>
        <w:spacing w:line="240" w:lineRule="auto"/>
        <w:jc w:val="both"/>
        <w:rPr>
          <w:rFonts w:eastAsiaTheme="minorHAnsi" w:cs="Arial"/>
          <w:i/>
          <w:color w:val="808080" w:themeColor="background1" w:themeShade="80"/>
          <w:szCs w:val="20"/>
        </w:rPr>
      </w:pPr>
    </w:p>
    <w:p w14:paraId="1CF83ACD" w14:textId="77777777" w:rsidR="00ED4F97" w:rsidRPr="005E4BEA" w:rsidRDefault="00ED4F97" w:rsidP="00ED4F97">
      <w:pPr>
        <w:spacing w:line="240" w:lineRule="auto"/>
        <w:jc w:val="both"/>
        <w:rPr>
          <w:rFonts w:eastAsiaTheme="minorHAnsi" w:cs="Arial"/>
          <w:b/>
          <w:bCs/>
          <w:iCs/>
          <w:szCs w:val="20"/>
        </w:rPr>
      </w:pPr>
      <w:r w:rsidRPr="005E4BEA">
        <w:rPr>
          <w:rFonts w:eastAsiaTheme="minorHAnsi" w:cs="Arial"/>
          <w:b/>
          <w:bCs/>
          <w:iCs/>
          <w:szCs w:val="20"/>
        </w:rPr>
        <w:t xml:space="preserve">V Prilogi BOL-3 se v Tabeli 2 v stolpcu Terciar II pod razdelek Univerzitetni klinični center Ljubljana dodata novi </w:t>
      </w:r>
      <w:proofErr w:type="spellStart"/>
      <w:r w:rsidRPr="005E4BEA">
        <w:rPr>
          <w:rFonts w:eastAsiaTheme="minorHAnsi" w:cs="Arial"/>
          <w:b/>
          <w:bCs/>
          <w:iCs/>
          <w:szCs w:val="20"/>
        </w:rPr>
        <w:t>allineji</w:t>
      </w:r>
      <w:proofErr w:type="spellEnd"/>
      <w:r w:rsidRPr="005E4BEA">
        <w:rPr>
          <w:rFonts w:eastAsiaTheme="minorHAnsi" w:cs="Arial"/>
          <w:b/>
          <w:bCs/>
          <w:iCs/>
          <w:szCs w:val="20"/>
        </w:rPr>
        <w:t>, ki se glasita:</w:t>
      </w:r>
    </w:p>
    <w:p w14:paraId="79F48DE8" w14:textId="77777777" w:rsidR="00ED4F97" w:rsidRPr="005E4BEA" w:rsidRDefault="00ED4F97" w:rsidP="00F356C9">
      <w:pPr>
        <w:pStyle w:val="Odstavekseznama"/>
        <w:numPr>
          <w:ilvl w:val="0"/>
          <w:numId w:val="32"/>
        </w:numPr>
        <w:jc w:val="both"/>
        <w:rPr>
          <w:rFonts w:ascii="Arial" w:eastAsiaTheme="minorHAnsi" w:hAnsi="Arial" w:cs="Arial"/>
          <w:b/>
          <w:bCs/>
          <w:iCs/>
          <w:sz w:val="20"/>
          <w:szCs w:val="20"/>
        </w:rPr>
      </w:pPr>
      <w:r w:rsidRPr="005E4BEA">
        <w:rPr>
          <w:rFonts w:ascii="Arial" w:eastAsiaTheme="minorHAnsi" w:hAnsi="Arial" w:cs="Arial"/>
          <w:b/>
          <w:bCs/>
          <w:iCs/>
          <w:sz w:val="20"/>
          <w:szCs w:val="20"/>
        </w:rPr>
        <w:t>ERM vozlišče 82.159</w:t>
      </w:r>
    </w:p>
    <w:p w14:paraId="35F4E967" w14:textId="77777777" w:rsidR="00ED4F97" w:rsidRPr="005E4BEA" w:rsidRDefault="00ED4F97" w:rsidP="00F356C9">
      <w:pPr>
        <w:pStyle w:val="Odstavekseznama"/>
        <w:numPr>
          <w:ilvl w:val="0"/>
          <w:numId w:val="32"/>
        </w:numPr>
        <w:jc w:val="both"/>
        <w:rPr>
          <w:rFonts w:ascii="Arial" w:eastAsiaTheme="minorHAnsi" w:hAnsi="Arial" w:cs="Arial"/>
          <w:b/>
          <w:bCs/>
          <w:iCs/>
          <w:sz w:val="20"/>
          <w:szCs w:val="20"/>
        </w:rPr>
      </w:pPr>
      <w:r w:rsidRPr="005E4BEA">
        <w:rPr>
          <w:rFonts w:ascii="Arial" w:eastAsiaTheme="minorHAnsi" w:hAnsi="Arial" w:cs="Arial"/>
          <w:b/>
          <w:bCs/>
          <w:iCs/>
          <w:sz w:val="20"/>
          <w:szCs w:val="20"/>
        </w:rPr>
        <w:t xml:space="preserve">Center za </w:t>
      </w:r>
      <w:proofErr w:type="spellStart"/>
      <w:r w:rsidRPr="005E4BEA">
        <w:rPr>
          <w:rFonts w:ascii="Arial" w:eastAsiaTheme="minorHAnsi" w:hAnsi="Arial" w:cs="Arial"/>
          <w:b/>
          <w:bCs/>
          <w:iCs/>
          <w:sz w:val="20"/>
          <w:szCs w:val="20"/>
        </w:rPr>
        <w:t>nediagnosticirane</w:t>
      </w:r>
      <w:proofErr w:type="spellEnd"/>
      <w:r w:rsidRPr="005E4BEA">
        <w:rPr>
          <w:rFonts w:ascii="Arial" w:eastAsiaTheme="minorHAnsi" w:hAnsi="Arial" w:cs="Arial"/>
          <w:b/>
          <w:bCs/>
          <w:iCs/>
          <w:sz w:val="20"/>
          <w:szCs w:val="20"/>
        </w:rPr>
        <w:t xml:space="preserve"> redke bolezni 92.188</w:t>
      </w:r>
    </w:p>
    <w:p w14:paraId="0FAAF275" w14:textId="77777777" w:rsidR="00ED4F97" w:rsidRPr="005E4BEA" w:rsidRDefault="00ED4F97" w:rsidP="00ED4F97">
      <w:pPr>
        <w:spacing w:line="240" w:lineRule="auto"/>
        <w:jc w:val="both"/>
        <w:rPr>
          <w:rFonts w:eastAsiaTheme="minorHAnsi" w:cs="Arial"/>
          <w:i/>
          <w:color w:val="808080" w:themeColor="background1" w:themeShade="80"/>
          <w:szCs w:val="20"/>
        </w:rPr>
      </w:pPr>
    </w:p>
    <w:p w14:paraId="68FF33EF" w14:textId="77777777" w:rsidR="00ED4F97" w:rsidRPr="005E4BEA" w:rsidRDefault="00ED4F97" w:rsidP="00ED4F97">
      <w:pPr>
        <w:spacing w:line="240" w:lineRule="auto"/>
        <w:jc w:val="both"/>
        <w:rPr>
          <w:rFonts w:eastAsia="MS Mincho" w:cs="Arial"/>
          <w:b/>
          <w:bCs/>
          <w:szCs w:val="20"/>
        </w:rPr>
      </w:pPr>
    </w:p>
    <w:p w14:paraId="21783F61" w14:textId="77777777" w:rsidR="00ED4F97" w:rsidRPr="005E4BEA" w:rsidRDefault="00ED4F97" w:rsidP="00ED4F97">
      <w:pPr>
        <w:spacing w:line="240" w:lineRule="auto"/>
        <w:jc w:val="both"/>
        <w:rPr>
          <w:rFonts w:eastAsia="MS Mincho" w:cs="Arial"/>
          <w:b/>
          <w:bCs/>
          <w:szCs w:val="20"/>
        </w:rPr>
      </w:pPr>
      <w:r w:rsidRPr="005E4BEA">
        <w:rPr>
          <w:rFonts w:eastAsia="MS Mincho" w:cs="Arial"/>
          <w:b/>
          <w:bCs/>
          <w:szCs w:val="20"/>
        </w:rPr>
        <w:t>V Prilogi BOL-3 se v Tabeli 1 pod razdelek Univerzitetni klinični center Ljubljana doda nov razdelek Univerzitetni klinični center Ljubljana – Pediatrična klinika in znotraj njega nova  alineja, ki se glasi:</w:t>
      </w:r>
    </w:p>
    <w:p w14:paraId="26FE5907" w14:textId="0DB29E19" w:rsidR="00ED4F97" w:rsidRPr="005E4BEA" w:rsidRDefault="00ED4F97" w:rsidP="00ED4F97">
      <w:pPr>
        <w:spacing w:line="240" w:lineRule="auto"/>
        <w:jc w:val="both"/>
        <w:rPr>
          <w:rFonts w:eastAsia="MS Mincho" w:cs="Arial"/>
          <w:szCs w:val="20"/>
        </w:rPr>
      </w:pPr>
      <w:r w:rsidRPr="005E4BEA">
        <w:rPr>
          <w:rFonts w:eastAsia="MS Mincho" w:cs="Arial"/>
          <w:szCs w:val="20"/>
        </w:rPr>
        <w:t xml:space="preserve">» IVZ… Register redkih </w:t>
      </w:r>
      <w:proofErr w:type="spellStart"/>
      <w:r w:rsidRPr="005E4BEA">
        <w:rPr>
          <w:rFonts w:eastAsia="MS Mincho" w:cs="Arial"/>
          <w:szCs w:val="20"/>
        </w:rPr>
        <w:t>nemalignih</w:t>
      </w:r>
      <w:proofErr w:type="spellEnd"/>
      <w:r w:rsidRPr="005E4BEA">
        <w:rPr>
          <w:rFonts w:eastAsia="MS Mincho" w:cs="Arial"/>
          <w:szCs w:val="20"/>
        </w:rPr>
        <w:t xml:space="preserve"> bolezni »</w:t>
      </w:r>
    </w:p>
    <w:p w14:paraId="06AA3504" w14:textId="77777777" w:rsidR="00ED4F97" w:rsidRPr="005E4BEA" w:rsidRDefault="00ED4F97" w:rsidP="00ED4F97">
      <w:pPr>
        <w:spacing w:line="240" w:lineRule="auto"/>
        <w:jc w:val="both"/>
        <w:rPr>
          <w:rFonts w:eastAsia="MS Mincho" w:cs="Arial"/>
          <w:szCs w:val="20"/>
        </w:rPr>
      </w:pPr>
    </w:p>
    <w:p w14:paraId="4AC09B44" w14:textId="77777777" w:rsidR="00ED4F97" w:rsidRPr="005E4BEA" w:rsidRDefault="00ED4F97" w:rsidP="00ED4F97">
      <w:pPr>
        <w:spacing w:line="240" w:lineRule="auto"/>
        <w:jc w:val="both"/>
        <w:rPr>
          <w:rFonts w:eastAsia="MS Mincho" w:cs="Arial"/>
          <w:b/>
          <w:bCs/>
          <w:szCs w:val="20"/>
        </w:rPr>
      </w:pPr>
      <w:r w:rsidRPr="005E4BEA">
        <w:rPr>
          <w:rFonts w:eastAsia="MS Mincho" w:cs="Arial"/>
          <w:b/>
          <w:bCs/>
          <w:szCs w:val="20"/>
        </w:rPr>
        <w:t xml:space="preserve">V Prilogi BOL-3 se v poglavju Sredstva za terciar v Tabeli 2 v delu, ki se nanaša na Univerzitetni klinični center Ljubljana, znesek »18.143« spremeni v »18.323«. </w:t>
      </w:r>
    </w:p>
    <w:bookmarkEnd w:id="81"/>
    <w:p w14:paraId="5A115E1D" w14:textId="77777777" w:rsidR="00ED4F97" w:rsidRPr="005E4BEA" w:rsidRDefault="00ED4F97" w:rsidP="00ED4F97">
      <w:pPr>
        <w:spacing w:line="240" w:lineRule="auto"/>
        <w:jc w:val="both"/>
        <w:rPr>
          <w:rFonts w:eastAsiaTheme="minorHAnsi" w:cs="Arial"/>
          <w:i/>
          <w:color w:val="808080" w:themeColor="background1" w:themeShade="80"/>
          <w:szCs w:val="20"/>
        </w:rPr>
      </w:pPr>
    </w:p>
    <w:bookmarkEnd w:id="82"/>
    <w:p w14:paraId="5D9DAD0B" w14:textId="77777777" w:rsidR="00692030" w:rsidRPr="005E4BEA" w:rsidRDefault="00692030" w:rsidP="00FE461F">
      <w:pPr>
        <w:spacing w:line="240" w:lineRule="auto"/>
        <w:jc w:val="both"/>
        <w:rPr>
          <w:rFonts w:eastAsiaTheme="minorHAnsi" w:cs="Arial"/>
          <w:b/>
          <w:bCs/>
          <w:i/>
          <w:color w:val="808080" w:themeColor="background1" w:themeShade="80"/>
          <w:szCs w:val="20"/>
        </w:rPr>
      </w:pPr>
    </w:p>
    <w:p w14:paraId="6EEC2937" w14:textId="28BAFCCD" w:rsidR="00CC2D9A" w:rsidRPr="005E4BEA" w:rsidRDefault="00CC2D9A" w:rsidP="00F356C9">
      <w:pPr>
        <w:pStyle w:val="Naslov2"/>
        <w:numPr>
          <w:ilvl w:val="0"/>
          <w:numId w:val="79"/>
        </w:numPr>
        <w:ind w:left="0" w:firstLine="0"/>
        <w:rPr>
          <w:rFonts w:ascii="Arial" w:eastAsia="Arial Narrow" w:hAnsi="Arial" w:cs="Arial"/>
          <w:sz w:val="20"/>
        </w:rPr>
      </w:pPr>
      <w:bookmarkStart w:id="84" w:name="_Hlk102548532"/>
      <w:bookmarkEnd w:id="65"/>
      <w:r w:rsidRPr="005E4BEA">
        <w:rPr>
          <w:rFonts w:ascii="Arial" w:eastAsia="Arial Narrow" w:hAnsi="Arial" w:cs="Arial"/>
          <w:sz w:val="20"/>
        </w:rPr>
        <w:t>SPORNO VPRAŠANJE (64)</w:t>
      </w:r>
    </w:p>
    <w:p w14:paraId="74F604AF" w14:textId="77777777" w:rsidR="00CC2D9A" w:rsidRPr="005E4BEA" w:rsidRDefault="00CC2D9A" w:rsidP="00CC2D9A">
      <w:pPr>
        <w:spacing w:line="0" w:lineRule="atLeast"/>
        <w:ind w:left="360"/>
        <w:contextualSpacing/>
        <w:jc w:val="both"/>
        <w:rPr>
          <w:rFonts w:eastAsia="Arial Narrow" w:cs="Arial"/>
          <w:b/>
          <w:szCs w:val="20"/>
        </w:rPr>
      </w:pPr>
    </w:p>
    <w:p w14:paraId="115408DA" w14:textId="540E7B7D" w:rsidR="00FE461F" w:rsidRPr="005E4BEA" w:rsidRDefault="00CC2D9A" w:rsidP="00FE461F">
      <w:pPr>
        <w:spacing w:after="160" w:line="259" w:lineRule="auto"/>
        <w:jc w:val="both"/>
        <w:rPr>
          <w:rFonts w:eastAsiaTheme="minorHAnsi" w:cs="Arial"/>
          <w:szCs w:val="20"/>
          <w:lang w:eastAsia="sl-SI"/>
        </w:rPr>
      </w:pPr>
      <w:r w:rsidRPr="005E4BEA">
        <w:rPr>
          <w:rFonts w:cs="Arial"/>
          <w:b/>
          <w:bCs/>
          <w:szCs w:val="20"/>
        </w:rPr>
        <w:t xml:space="preserve">Ministrstvo za zdravje </w:t>
      </w:r>
      <w:r w:rsidRPr="005E4BEA">
        <w:rPr>
          <w:rFonts w:cs="Arial"/>
          <w:szCs w:val="20"/>
        </w:rPr>
        <w:t xml:space="preserve">predlaga, da se v </w:t>
      </w:r>
      <w:r w:rsidRPr="005E4BEA">
        <w:rPr>
          <w:rFonts w:eastAsia="MS Mincho" w:cs="Arial"/>
          <w:szCs w:val="20"/>
        </w:rPr>
        <w:t>24. členu v šestem odstavku v tabeli dodajo nove vrstice</w:t>
      </w:r>
      <w:r w:rsidRPr="005E4BEA">
        <w:rPr>
          <w:rFonts w:eastAsiaTheme="minorHAnsi" w:cs="Arial"/>
          <w:szCs w:val="20"/>
          <w:lang w:eastAsia="sl-SI"/>
        </w:rPr>
        <w:t xml:space="preserve"> </w:t>
      </w:r>
      <w:r w:rsidR="00FE461F" w:rsidRPr="005E4BEA">
        <w:rPr>
          <w:rFonts w:eastAsia="MS Mincho" w:cs="Arial"/>
          <w:szCs w:val="20"/>
        </w:rPr>
        <w:t>za nujne širitve programov oziroma uvajanje novih terapij:</w:t>
      </w:r>
    </w:p>
    <w:tbl>
      <w:tblPr>
        <w:tblW w:w="10438" w:type="dxa"/>
        <w:tblCellMar>
          <w:left w:w="70" w:type="dxa"/>
          <w:right w:w="70" w:type="dxa"/>
        </w:tblCellMar>
        <w:tblLook w:val="00A0" w:firstRow="1" w:lastRow="0" w:firstColumn="1" w:lastColumn="0" w:noHBand="0" w:noVBand="0"/>
      </w:tblPr>
      <w:tblGrid>
        <w:gridCol w:w="3106"/>
        <w:gridCol w:w="1839"/>
        <w:gridCol w:w="1155"/>
        <w:gridCol w:w="1550"/>
        <w:gridCol w:w="1417"/>
        <w:gridCol w:w="1371"/>
      </w:tblGrid>
      <w:tr w:rsidR="00FE461F" w:rsidRPr="005E4BEA" w14:paraId="3A513FE6" w14:textId="77777777" w:rsidTr="0016774B">
        <w:trPr>
          <w:gridAfter w:val="1"/>
          <w:wAfter w:w="1371" w:type="dxa"/>
          <w:trHeight w:val="300"/>
        </w:trPr>
        <w:tc>
          <w:tcPr>
            <w:tcW w:w="3106" w:type="dxa"/>
            <w:vMerge w:val="restart"/>
            <w:tcBorders>
              <w:top w:val="single" w:sz="4" w:space="0" w:color="000000"/>
              <w:left w:val="single" w:sz="4" w:space="0" w:color="000000"/>
              <w:bottom w:val="single" w:sz="4" w:space="0" w:color="000000"/>
              <w:right w:val="single" w:sz="4" w:space="0" w:color="000000"/>
            </w:tcBorders>
            <w:vAlign w:val="center"/>
          </w:tcPr>
          <w:p w14:paraId="5FE45FC5" w14:textId="77777777" w:rsidR="00FE461F" w:rsidRPr="005E4BEA" w:rsidRDefault="00FE461F" w:rsidP="00FE461F">
            <w:pPr>
              <w:autoSpaceDE w:val="0"/>
              <w:autoSpaceDN w:val="0"/>
              <w:adjustRightInd w:val="0"/>
              <w:spacing w:after="240" w:line="240" w:lineRule="auto"/>
              <w:jc w:val="both"/>
              <w:rPr>
                <w:rFonts w:eastAsia="Calibri" w:cs="Arial"/>
                <w:b/>
                <w:bCs/>
                <w:color w:val="000000"/>
                <w:szCs w:val="20"/>
                <w:lang w:eastAsia="sl-SI"/>
              </w:rPr>
            </w:pPr>
            <w:bookmarkStart w:id="85" w:name="_Hlk102645006"/>
            <w:r w:rsidRPr="005E4BEA">
              <w:rPr>
                <w:rFonts w:eastAsia="Calibri" w:cs="Arial"/>
                <w:b/>
                <w:bCs/>
                <w:color w:val="000000"/>
                <w:szCs w:val="20"/>
                <w:lang w:eastAsia="sl-SI"/>
              </w:rPr>
              <w:t>P   r   o   g   r   a   m</w:t>
            </w:r>
          </w:p>
        </w:tc>
        <w:tc>
          <w:tcPr>
            <w:tcW w:w="1839" w:type="dxa"/>
            <w:tcBorders>
              <w:top w:val="single" w:sz="4" w:space="0" w:color="000000"/>
              <w:left w:val="single" w:sz="4" w:space="0" w:color="000000"/>
              <w:bottom w:val="single" w:sz="4" w:space="0" w:color="000000"/>
              <w:right w:val="single" w:sz="4" w:space="0" w:color="000000"/>
            </w:tcBorders>
            <w:vAlign w:val="center"/>
          </w:tcPr>
          <w:p w14:paraId="573AFAD5" w14:textId="77777777" w:rsidR="00FE461F" w:rsidRPr="005E4BEA" w:rsidRDefault="00FE461F" w:rsidP="00FE461F">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I z v a j a l e c /</w:t>
            </w:r>
          </w:p>
        </w:tc>
        <w:tc>
          <w:tcPr>
            <w:tcW w:w="1155" w:type="dxa"/>
            <w:vMerge w:val="restart"/>
            <w:tcBorders>
              <w:top w:val="single" w:sz="4" w:space="0" w:color="000000"/>
              <w:left w:val="single" w:sz="4" w:space="0" w:color="000000"/>
              <w:bottom w:val="single" w:sz="4" w:space="0" w:color="000000"/>
              <w:right w:val="single" w:sz="4" w:space="0" w:color="000000"/>
            </w:tcBorders>
            <w:vAlign w:val="center"/>
          </w:tcPr>
          <w:p w14:paraId="0CB5974C" w14:textId="77777777" w:rsidR="00FE461F" w:rsidRPr="005E4BEA" w:rsidRDefault="00FE461F" w:rsidP="00FE461F">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Obseg programa</w:t>
            </w:r>
          </w:p>
        </w:tc>
        <w:tc>
          <w:tcPr>
            <w:tcW w:w="1550" w:type="dxa"/>
            <w:tcBorders>
              <w:top w:val="single" w:sz="4" w:space="0" w:color="000000"/>
              <w:left w:val="single" w:sz="4" w:space="0" w:color="000000"/>
              <w:bottom w:val="single" w:sz="4" w:space="0" w:color="000000"/>
              <w:right w:val="single" w:sz="4" w:space="0" w:color="000000"/>
            </w:tcBorders>
            <w:vAlign w:val="center"/>
          </w:tcPr>
          <w:p w14:paraId="2D79F0E3" w14:textId="77777777" w:rsidR="00FE461F" w:rsidRPr="005E4BEA" w:rsidRDefault="00FE461F" w:rsidP="00FE461F">
            <w:pPr>
              <w:autoSpaceDE w:val="0"/>
              <w:autoSpaceDN w:val="0"/>
              <w:adjustRightInd w:val="0"/>
              <w:spacing w:after="240" w:line="240" w:lineRule="auto"/>
              <w:jc w:val="center"/>
              <w:rPr>
                <w:rFonts w:eastAsia="Calibri" w:cs="Arial"/>
                <w:b/>
                <w:bCs/>
                <w:color w:val="000000"/>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p>
        </w:tc>
        <w:tc>
          <w:tcPr>
            <w:tcW w:w="1417" w:type="dxa"/>
            <w:tcBorders>
              <w:top w:val="single" w:sz="4" w:space="0" w:color="000000"/>
              <w:left w:val="single" w:sz="4" w:space="0" w:color="000000"/>
              <w:bottom w:val="single" w:sz="4" w:space="0" w:color="000000"/>
              <w:right w:val="single" w:sz="4" w:space="0" w:color="000000"/>
            </w:tcBorders>
            <w:vAlign w:val="center"/>
          </w:tcPr>
          <w:p w14:paraId="3A1B09BC" w14:textId="77777777" w:rsidR="00FE461F" w:rsidRPr="005E4BEA" w:rsidRDefault="00FE461F" w:rsidP="00FE461F">
            <w:pPr>
              <w:autoSpaceDE w:val="0"/>
              <w:autoSpaceDN w:val="0"/>
              <w:adjustRightInd w:val="0"/>
              <w:spacing w:after="240" w:line="240" w:lineRule="auto"/>
              <w:jc w:val="center"/>
              <w:rPr>
                <w:rFonts w:eastAsia="Calibri" w:cs="Arial"/>
                <w:b/>
                <w:bCs/>
                <w:color w:val="000000"/>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p>
        </w:tc>
      </w:tr>
      <w:tr w:rsidR="00FE461F" w:rsidRPr="005E4BEA" w14:paraId="39D6377F" w14:textId="77777777" w:rsidTr="0016774B">
        <w:trPr>
          <w:gridAfter w:val="1"/>
          <w:wAfter w:w="1371" w:type="dxa"/>
          <w:trHeight w:val="300"/>
        </w:trPr>
        <w:tc>
          <w:tcPr>
            <w:tcW w:w="3106" w:type="dxa"/>
            <w:vMerge/>
            <w:tcBorders>
              <w:top w:val="single" w:sz="4" w:space="0" w:color="000000"/>
              <w:left w:val="single" w:sz="4" w:space="0" w:color="000000"/>
              <w:bottom w:val="single" w:sz="4" w:space="0" w:color="000000"/>
              <w:right w:val="single" w:sz="4" w:space="0" w:color="000000"/>
            </w:tcBorders>
            <w:vAlign w:val="center"/>
          </w:tcPr>
          <w:p w14:paraId="5A0D22C9" w14:textId="77777777" w:rsidR="00FE461F" w:rsidRPr="005E4BEA" w:rsidRDefault="00FE461F" w:rsidP="00FE461F">
            <w:pPr>
              <w:autoSpaceDE w:val="0"/>
              <w:autoSpaceDN w:val="0"/>
              <w:adjustRightInd w:val="0"/>
              <w:spacing w:line="240" w:lineRule="auto"/>
              <w:rPr>
                <w:rFonts w:eastAsia="Calibri" w:cs="Arial"/>
                <w:b/>
                <w:bCs/>
                <w:color w:val="000000"/>
                <w:szCs w:val="20"/>
                <w:lang w:eastAsia="sl-SI"/>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44FC56C1" w14:textId="77777777" w:rsidR="00FE461F" w:rsidRPr="005E4BEA" w:rsidRDefault="00FE461F" w:rsidP="00FE461F">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i z p o s t a v a</w:t>
            </w:r>
          </w:p>
        </w:tc>
        <w:tc>
          <w:tcPr>
            <w:tcW w:w="1155" w:type="dxa"/>
            <w:vMerge/>
            <w:tcBorders>
              <w:top w:val="single" w:sz="4" w:space="0" w:color="000000"/>
              <w:left w:val="single" w:sz="4" w:space="0" w:color="000000"/>
              <w:bottom w:val="single" w:sz="4" w:space="0" w:color="000000"/>
              <w:right w:val="single" w:sz="4" w:space="0" w:color="000000"/>
            </w:tcBorders>
            <w:vAlign w:val="center"/>
          </w:tcPr>
          <w:p w14:paraId="1F990CDF" w14:textId="77777777" w:rsidR="00FE461F" w:rsidRPr="005E4BEA" w:rsidRDefault="00FE461F" w:rsidP="00FE461F">
            <w:pPr>
              <w:autoSpaceDE w:val="0"/>
              <w:autoSpaceDN w:val="0"/>
              <w:adjustRightInd w:val="0"/>
              <w:spacing w:after="240" w:line="240" w:lineRule="auto"/>
              <w:jc w:val="both"/>
              <w:rPr>
                <w:rFonts w:eastAsia="Calibri" w:cs="Arial"/>
                <w:b/>
                <w:bCs/>
                <w:color w:val="000000"/>
                <w:szCs w:val="20"/>
                <w:lang w:eastAsia="sl-SI"/>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4D8F89EC" w14:textId="77777777" w:rsidR="00FE461F" w:rsidRPr="005E4BEA" w:rsidRDefault="00FE461F" w:rsidP="00FE461F">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na letni ravni</w:t>
            </w:r>
          </w:p>
        </w:tc>
        <w:tc>
          <w:tcPr>
            <w:tcW w:w="1417" w:type="dxa"/>
            <w:tcBorders>
              <w:top w:val="single" w:sz="4" w:space="0" w:color="000000"/>
              <w:left w:val="single" w:sz="4" w:space="0" w:color="000000"/>
              <w:bottom w:val="single" w:sz="4" w:space="0" w:color="000000"/>
              <w:right w:val="single" w:sz="4" w:space="0" w:color="000000"/>
            </w:tcBorders>
            <w:vAlign w:val="center"/>
          </w:tcPr>
          <w:p w14:paraId="16AB0472" w14:textId="45AD814B" w:rsidR="00FE461F" w:rsidRPr="005E4BEA" w:rsidRDefault="00FE461F" w:rsidP="00FE461F">
            <w:pPr>
              <w:autoSpaceDE w:val="0"/>
              <w:autoSpaceDN w:val="0"/>
              <w:adjustRightInd w:val="0"/>
              <w:spacing w:after="240" w:line="240" w:lineRule="auto"/>
              <w:jc w:val="center"/>
              <w:rPr>
                <w:rFonts w:eastAsia="Calibri" w:cs="Arial"/>
                <w:b/>
                <w:bCs/>
                <w:color w:val="000000"/>
                <w:szCs w:val="20"/>
                <w:lang w:eastAsia="sl-SI"/>
              </w:rPr>
            </w:pPr>
            <w:r w:rsidRPr="005E4BEA">
              <w:rPr>
                <w:rFonts w:eastAsia="Calibri" w:cs="Arial"/>
                <w:b/>
                <w:bCs/>
                <w:color w:val="000000"/>
                <w:szCs w:val="20"/>
                <w:lang w:eastAsia="sl-SI"/>
              </w:rPr>
              <w:t xml:space="preserve">1. </w:t>
            </w:r>
            <w:r w:rsidR="007F431D" w:rsidRPr="005E4BEA">
              <w:rPr>
                <w:rFonts w:eastAsia="Calibri" w:cs="Arial"/>
                <w:b/>
                <w:bCs/>
                <w:color w:val="000000"/>
                <w:szCs w:val="20"/>
                <w:lang w:eastAsia="sl-SI"/>
              </w:rPr>
              <w:t>7</w:t>
            </w:r>
            <w:r w:rsidRPr="005E4BEA">
              <w:rPr>
                <w:rFonts w:eastAsia="Calibri" w:cs="Arial"/>
                <w:b/>
                <w:bCs/>
                <w:color w:val="000000"/>
                <w:szCs w:val="20"/>
                <w:lang w:eastAsia="sl-SI"/>
              </w:rPr>
              <w:t>.–31. 12. 2022</w:t>
            </w:r>
          </w:p>
        </w:tc>
      </w:tr>
      <w:tr w:rsidR="00FE461F" w:rsidRPr="005E4BEA" w14:paraId="17D62F65" w14:textId="77777777" w:rsidTr="0016774B">
        <w:trPr>
          <w:gridAfter w:val="1"/>
          <w:wAfter w:w="1371" w:type="dxa"/>
          <w:trHeight w:val="300"/>
        </w:trPr>
        <w:tc>
          <w:tcPr>
            <w:tcW w:w="3106" w:type="dxa"/>
            <w:vMerge/>
            <w:tcBorders>
              <w:top w:val="single" w:sz="4" w:space="0" w:color="000000"/>
              <w:left w:val="single" w:sz="4" w:space="0" w:color="000000"/>
              <w:bottom w:val="single" w:sz="4" w:space="0" w:color="000000"/>
              <w:right w:val="single" w:sz="4" w:space="0" w:color="000000"/>
            </w:tcBorders>
            <w:vAlign w:val="center"/>
          </w:tcPr>
          <w:p w14:paraId="6A1BD1CF" w14:textId="77777777" w:rsidR="00FE461F" w:rsidRPr="005E4BEA" w:rsidRDefault="00FE461F" w:rsidP="00FE461F">
            <w:pPr>
              <w:autoSpaceDE w:val="0"/>
              <w:autoSpaceDN w:val="0"/>
              <w:adjustRightInd w:val="0"/>
              <w:spacing w:line="240" w:lineRule="auto"/>
              <w:rPr>
                <w:rFonts w:eastAsia="Calibri" w:cs="Arial"/>
                <w:b/>
                <w:bCs/>
                <w:color w:val="000000"/>
                <w:szCs w:val="20"/>
                <w:lang w:eastAsia="sl-SI"/>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484CE7C3" w14:textId="77777777" w:rsidR="00FE461F" w:rsidRPr="005E4BEA" w:rsidRDefault="00FE461F" w:rsidP="00FE461F">
            <w:pPr>
              <w:autoSpaceDE w:val="0"/>
              <w:autoSpaceDN w:val="0"/>
              <w:adjustRightInd w:val="0"/>
              <w:spacing w:after="240" w:line="240" w:lineRule="auto"/>
              <w:jc w:val="both"/>
              <w:rPr>
                <w:rFonts w:eastAsia="Calibri" w:cs="Arial"/>
                <w:color w:val="000000"/>
                <w:szCs w:val="20"/>
                <w:lang w:eastAsia="sl-SI"/>
              </w:rPr>
            </w:pPr>
            <w:r w:rsidRPr="005E4BEA">
              <w:rPr>
                <w:rFonts w:eastAsia="Calibri" w:cs="Arial"/>
                <w:color w:val="000000"/>
                <w:szCs w:val="20"/>
                <w:lang w:eastAsia="sl-SI"/>
              </w:rPr>
              <w:t xml:space="preserve"> </w:t>
            </w:r>
          </w:p>
        </w:tc>
        <w:tc>
          <w:tcPr>
            <w:tcW w:w="1155" w:type="dxa"/>
            <w:vMerge/>
            <w:tcBorders>
              <w:top w:val="single" w:sz="4" w:space="0" w:color="000000"/>
              <w:left w:val="single" w:sz="4" w:space="0" w:color="000000"/>
              <w:bottom w:val="single" w:sz="4" w:space="0" w:color="000000"/>
              <w:right w:val="single" w:sz="4" w:space="0" w:color="000000"/>
            </w:tcBorders>
            <w:vAlign w:val="center"/>
          </w:tcPr>
          <w:p w14:paraId="4963FD74" w14:textId="77777777" w:rsidR="00FE461F" w:rsidRPr="005E4BEA" w:rsidRDefault="00FE461F" w:rsidP="00FE461F">
            <w:pPr>
              <w:autoSpaceDE w:val="0"/>
              <w:autoSpaceDN w:val="0"/>
              <w:adjustRightInd w:val="0"/>
              <w:spacing w:after="240" w:line="240" w:lineRule="auto"/>
              <w:jc w:val="both"/>
              <w:rPr>
                <w:rFonts w:eastAsia="Calibri" w:cs="Arial"/>
                <w:color w:val="000000"/>
                <w:szCs w:val="20"/>
                <w:lang w:eastAsia="sl-SI"/>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1BFF2E46" w14:textId="77777777" w:rsidR="00FE461F" w:rsidRPr="005E4BEA" w:rsidRDefault="00FE461F" w:rsidP="00FE461F">
            <w:pPr>
              <w:autoSpaceDE w:val="0"/>
              <w:autoSpaceDN w:val="0"/>
              <w:adjustRightInd w:val="0"/>
              <w:spacing w:after="240" w:line="240" w:lineRule="auto"/>
              <w:jc w:val="center"/>
              <w:rPr>
                <w:rFonts w:eastAsia="Calibri" w:cs="Arial"/>
                <w:b/>
                <w:bCs/>
                <w:color w:val="000000"/>
                <w:szCs w:val="20"/>
                <w:lang w:eastAsia="sl-SI"/>
              </w:rPr>
            </w:pPr>
            <w:r w:rsidRPr="005E4BEA">
              <w:rPr>
                <w:rFonts w:eastAsia="Calibri" w:cs="Arial"/>
                <w:b/>
                <w:bCs/>
                <w:color w:val="000000"/>
                <w:szCs w:val="20"/>
                <w:lang w:eastAsia="sl-SI"/>
              </w:rPr>
              <w:t>(v EUR)</w:t>
            </w:r>
          </w:p>
        </w:tc>
        <w:tc>
          <w:tcPr>
            <w:tcW w:w="1417" w:type="dxa"/>
            <w:tcBorders>
              <w:top w:val="single" w:sz="4" w:space="0" w:color="000000"/>
              <w:left w:val="single" w:sz="4" w:space="0" w:color="000000"/>
              <w:bottom w:val="single" w:sz="4" w:space="0" w:color="000000"/>
              <w:right w:val="single" w:sz="4" w:space="0" w:color="000000"/>
            </w:tcBorders>
            <w:vAlign w:val="center"/>
          </w:tcPr>
          <w:p w14:paraId="279EF2D2" w14:textId="77777777" w:rsidR="00FE461F" w:rsidRPr="005E4BEA" w:rsidRDefault="00FE461F" w:rsidP="00FE461F">
            <w:pPr>
              <w:autoSpaceDE w:val="0"/>
              <w:autoSpaceDN w:val="0"/>
              <w:adjustRightInd w:val="0"/>
              <w:spacing w:after="240" w:line="240" w:lineRule="auto"/>
              <w:jc w:val="center"/>
              <w:rPr>
                <w:rFonts w:eastAsia="Calibri" w:cs="Arial"/>
                <w:b/>
                <w:bCs/>
                <w:color w:val="000000"/>
                <w:szCs w:val="20"/>
                <w:lang w:eastAsia="sl-SI"/>
              </w:rPr>
            </w:pPr>
            <w:r w:rsidRPr="005E4BEA">
              <w:rPr>
                <w:rFonts w:eastAsia="Calibri" w:cs="Arial"/>
                <w:b/>
                <w:bCs/>
                <w:color w:val="000000"/>
                <w:szCs w:val="20"/>
                <w:lang w:eastAsia="sl-SI"/>
              </w:rPr>
              <w:t>(v EUR)</w:t>
            </w:r>
          </w:p>
        </w:tc>
      </w:tr>
      <w:tr w:rsidR="00FE461F" w:rsidRPr="005E4BEA" w14:paraId="3A89FCEA" w14:textId="77777777" w:rsidTr="0016774B">
        <w:trPr>
          <w:trHeight w:val="745"/>
        </w:trPr>
        <w:tc>
          <w:tcPr>
            <w:tcW w:w="3106" w:type="dxa"/>
            <w:tcBorders>
              <w:top w:val="single" w:sz="4" w:space="0" w:color="000000"/>
              <w:left w:val="single" w:sz="4" w:space="0" w:color="000000"/>
              <w:bottom w:val="single" w:sz="4" w:space="0" w:color="auto"/>
              <w:right w:val="single" w:sz="4" w:space="0" w:color="000000"/>
            </w:tcBorders>
            <w:vAlign w:val="center"/>
          </w:tcPr>
          <w:p w14:paraId="0EE4E5A6" w14:textId="77777777" w:rsidR="00FE461F" w:rsidRPr="005E4BEA" w:rsidRDefault="00FE461F" w:rsidP="00FE461F">
            <w:pPr>
              <w:spacing w:after="160" w:line="259" w:lineRule="auto"/>
              <w:rPr>
                <w:rFonts w:eastAsia="Calibri" w:cs="Arial"/>
                <w:color w:val="000000"/>
                <w:szCs w:val="20"/>
                <w:lang w:eastAsia="sl-SI"/>
              </w:rPr>
            </w:pPr>
            <w:r w:rsidRPr="005E4BEA">
              <w:rPr>
                <w:rFonts w:eastAsia="Calibri" w:cs="Arial"/>
                <w:color w:val="000000"/>
                <w:szCs w:val="20"/>
                <w:lang w:eastAsia="sl-SI"/>
              </w:rPr>
              <w:t xml:space="preserve">238 273 DISPEČERSKA SLUŽBA -DMS </w:t>
            </w:r>
          </w:p>
        </w:tc>
        <w:tc>
          <w:tcPr>
            <w:tcW w:w="1839" w:type="dxa"/>
            <w:tcBorders>
              <w:top w:val="single" w:sz="4" w:space="0" w:color="000000"/>
              <w:left w:val="single" w:sz="4" w:space="0" w:color="000000"/>
              <w:bottom w:val="single" w:sz="4" w:space="0" w:color="auto"/>
              <w:right w:val="single" w:sz="4" w:space="0" w:color="000000"/>
            </w:tcBorders>
            <w:vAlign w:val="center"/>
          </w:tcPr>
          <w:p w14:paraId="7E4ACE5E" w14:textId="77777777" w:rsidR="00FE461F" w:rsidRPr="005E4BEA" w:rsidRDefault="00FE461F" w:rsidP="00FE461F">
            <w:pPr>
              <w:widowControl w:val="0"/>
              <w:suppressAutoHyphens/>
              <w:autoSpaceDN w:val="0"/>
              <w:spacing w:line="240" w:lineRule="auto"/>
              <w:rPr>
                <w:rFonts w:eastAsia="SimSun" w:cs="Arial"/>
                <w:color w:val="000000"/>
                <w:kern w:val="3"/>
                <w:szCs w:val="20"/>
                <w:lang w:eastAsia="zh-CN" w:bidi="hi-IN"/>
              </w:rPr>
            </w:pPr>
            <w:r w:rsidRPr="005E4BEA">
              <w:rPr>
                <w:rFonts w:eastAsia="SimSun" w:cs="Arial"/>
                <w:color w:val="000000"/>
                <w:kern w:val="3"/>
                <w:szCs w:val="20"/>
                <w:lang w:eastAsia="zh-CN" w:bidi="hi-IN"/>
              </w:rPr>
              <w:t>UKC Ljubljana</w:t>
            </w:r>
          </w:p>
        </w:tc>
        <w:tc>
          <w:tcPr>
            <w:tcW w:w="1155" w:type="dxa"/>
            <w:tcBorders>
              <w:top w:val="single" w:sz="4" w:space="0" w:color="000000"/>
              <w:left w:val="single" w:sz="4" w:space="0" w:color="000000"/>
              <w:bottom w:val="single" w:sz="4" w:space="0" w:color="auto"/>
              <w:right w:val="single" w:sz="4" w:space="0" w:color="000000"/>
            </w:tcBorders>
            <w:vAlign w:val="center"/>
          </w:tcPr>
          <w:p w14:paraId="0E3DA810" w14:textId="77777777" w:rsidR="00FE461F" w:rsidRPr="005E4BEA" w:rsidRDefault="00FE461F" w:rsidP="00D84A76">
            <w:pPr>
              <w:autoSpaceDE w:val="0"/>
              <w:autoSpaceDN w:val="0"/>
              <w:adjustRightInd w:val="0"/>
              <w:spacing w:after="240" w:line="240" w:lineRule="auto"/>
              <w:rPr>
                <w:rFonts w:eastAsia="Calibri" w:cs="Arial"/>
                <w:color w:val="000000"/>
                <w:szCs w:val="20"/>
                <w:lang w:eastAsia="sl-SI"/>
              </w:rPr>
            </w:pPr>
            <w:r w:rsidRPr="005E4BEA">
              <w:rPr>
                <w:rFonts w:eastAsia="Calibri" w:cs="Arial"/>
                <w:color w:val="000000"/>
                <w:szCs w:val="20"/>
                <w:lang w:eastAsia="sl-SI"/>
              </w:rPr>
              <w:t>2,14</w:t>
            </w:r>
          </w:p>
        </w:tc>
        <w:tc>
          <w:tcPr>
            <w:tcW w:w="1550" w:type="dxa"/>
            <w:tcBorders>
              <w:top w:val="single" w:sz="4" w:space="0" w:color="000000"/>
              <w:left w:val="single" w:sz="4" w:space="0" w:color="000000"/>
              <w:bottom w:val="single" w:sz="4" w:space="0" w:color="auto"/>
              <w:right w:val="single" w:sz="4" w:space="0" w:color="000000"/>
            </w:tcBorders>
            <w:vAlign w:val="center"/>
          </w:tcPr>
          <w:p w14:paraId="3A83F0FE" w14:textId="77777777" w:rsidR="00FE461F" w:rsidRPr="005E4BEA" w:rsidRDefault="00FE461F" w:rsidP="00D84A76">
            <w:pPr>
              <w:spacing w:after="160" w:line="259" w:lineRule="auto"/>
              <w:rPr>
                <w:rFonts w:eastAsia="Calibri" w:cs="Arial"/>
                <w:color w:val="000000"/>
                <w:szCs w:val="20"/>
              </w:rPr>
            </w:pPr>
            <w:r w:rsidRPr="005E4BEA">
              <w:rPr>
                <w:rFonts w:eastAsia="Calibri" w:cs="Arial"/>
                <w:color w:val="000000"/>
                <w:szCs w:val="20"/>
              </w:rPr>
              <w:t>644.639,39</w:t>
            </w:r>
          </w:p>
        </w:tc>
        <w:tc>
          <w:tcPr>
            <w:tcW w:w="1417" w:type="dxa"/>
            <w:tcBorders>
              <w:top w:val="single" w:sz="4" w:space="0" w:color="000000"/>
              <w:left w:val="single" w:sz="4" w:space="0" w:color="000000"/>
              <w:bottom w:val="single" w:sz="4" w:space="0" w:color="auto"/>
              <w:right w:val="single" w:sz="4" w:space="0" w:color="000000"/>
            </w:tcBorders>
            <w:vAlign w:val="center"/>
          </w:tcPr>
          <w:p w14:paraId="1EC36FEB" w14:textId="77777777" w:rsidR="00D84A76" w:rsidRPr="005E4BEA" w:rsidRDefault="00D84A76" w:rsidP="00D84A76">
            <w:pPr>
              <w:spacing w:line="240" w:lineRule="auto"/>
              <w:rPr>
                <w:rFonts w:cs="Arial"/>
                <w:color w:val="000000"/>
                <w:szCs w:val="20"/>
              </w:rPr>
            </w:pPr>
          </w:p>
          <w:p w14:paraId="3B93ADEB" w14:textId="4AA45E53" w:rsidR="00D84A76" w:rsidRPr="005E4BEA" w:rsidRDefault="00D84A76" w:rsidP="00D84A76">
            <w:pPr>
              <w:spacing w:line="240" w:lineRule="auto"/>
              <w:rPr>
                <w:rFonts w:cs="Arial"/>
                <w:color w:val="000000"/>
                <w:szCs w:val="20"/>
                <w:lang w:eastAsia="sl-SI"/>
              </w:rPr>
            </w:pPr>
            <w:r w:rsidRPr="005E4BEA">
              <w:rPr>
                <w:rFonts w:cs="Arial"/>
                <w:color w:val="000000"/>
                <w:szCs w:val="20"/>
              </w:rPr>
              <w:t>322.319,70</w:t>
            </w:r>
          </w:p>
          <w:p w14:paraId="748F6227" w14:textId="04280F9B" w:rsidR="00FE461F" w:rsidRPr="005E4BEA" w:rsidRDefault="00FE461F" w:rsidP="00FE461F">
            <w:pPr>
              <w:spacing w:after="160" w:line="259" w:lineRule="auto"/>
              <w:rPr>
                <w:rFonts w:eastAsia="Calibri" w:cs="Arial"/>
                <w:szCs w:val="20"/>
              </w:rPr>
            </w:pPr>
          </w:p>
        </w:tc>
        <w:tc>
          <w:tcPr>
            <w:tcW w:w="1371" w:type="dxa"/>
          </w:tcPr>
          <w:p w14:paraId="3BB56FAC" w14:textId="77777777" w:rsidR="00FE461F" w:rsidRPr="005E4BEA" w:rsidRDefault="00FE461F" w:rsidP="00FE461F">
            <w:pPr>
              <w:spacing w:line="240" w:lineRule="auto"/>
              <w:rPr>
                <w:rFonts w:eastAsia="Calibri" w:cs="Arial"/>
                <w:color w:val="000000"/>
                <w:szCs w:val="20"/>
                <w:lang w:eastAsia="sl-SI"/>
              </w:rPr>
            </w:pPr>
          </w:p>
        </w:tc>
      </w:tr>
      <w:tr w:rsidR="00FE461F" w:rsidRPr="005E4BEA" w14:paraId="392461D1" w14:textId="77777777" w:rsidTr="0016774B">
        <w:trPr>
          <w:trHeight w:val="745"/>
        </w:trPr>
        <w:tc>
          <w:tcPr>
            <w:tcW w:w="3106" w:type="dxa"/>
            <w:tcBorders>
              <w:top w:val="single" w:sz="4" w:space="0" w:color="000000"/>
              <w:left w:val="single" w:sz="4" w:space="0" w:color="000000"/>
              <w:bottom w:val="single" w:sz="4" w:space="0" w:color="auto"/>
              <w:right w:val="single" w:sz="4" w:space="0" w:color="000000"/>
            </w:tcBorders>
            <w:vAlign w:val="center"/>
          </w:tcPr>
          <w:p w14:paraId="5AB87845" w14:textId="77777777" w:rsidR="00FE461F" w:rsidRPr="005E4BEA" w:rsidRDefault="00FE461F" w:rsidP="00FE461F">
            <w:pPr>
              <w:spacing w:after="160" w:line="259" w:lineRule="auto"/>
              <w:rPr>
                <w:rFonts w:eastAsia="Calibri" w:cs="Arial"/>
                <w:color w:val="000000"/>
                <w:szCs w:val="20"/>
                <w:lang w:eastAsia="sl-SI"/>
              </w:rPr>
            </w:pPr>
            <w:r w:rsidRPr="005E4BEA">
              <w:rPr>
                <w:rFonts w:eastAsia="Calibri" w:cs="Arial"/>
                <w:color w:val="000000"/>
                <w:szCs w:val="20"/>
                <w:lang w:eastAsia="sl-SI"/>
              </w:rPr>
              <w:t>238 274 DISPEČERSKA SLUŽBA -ZT</w:t>
            </w:r>
          </w:p>
        </w:tc>
        <w:tc>
          <w:tcPr>
            <w:tcW w:w="1839" w:type="dxa"/>
            <w:tcBorders>
              <w:top w:val="single" w:sz="4" w:space="0" w:color="000000"/>
              <w:left w:val="single" w:sz="4" w:space="0" w:color="000000"/>
              <w:bottom w:val="single" w:sz="4" w:space="0" w:color="auto"/>
              <w:right w:val="single" w:sz="4" w:space="0" w:color="000000"/>
            </w:tcBorders>
            <w:vAlign w:val="center"/>
          </w:tcPr>
          <w:p w14:paraId="71EAD20B" w14:textId="77777777" w:rsidR="00FE461F" w:rsidRPr="005E4BEA" w:rsidRDefault="00FE461F" w:rsidP="00FE461F">
            <w:pPr>
              <w:widowControl w:val="0"/>
              <w:suppressAutoHyphens/>
              <w:autoSpaceDN w:val="0"/>
              <w:spacing w:line="240" w:lineRule="auto"/>
              <w:jc w:val="center"/>
              <w:rPr>
                <w:rFonts w:eastAsia="SimSun" w:cs="Arial"/>
                <w:color w:val="000000"/>
                <w:kern w:val="3"/>
                <w:szCs w:val="20"/>
                <w:lang w:eastAsia="zh-CN" w:bidi="hi-IN"/>
              </w:rPr>
            </w:pPr>
            <w:r w:rsidRPr="005E4BEA">
              <w:rPr>
                <w:rFonts w:eastAsia="SimSun" w:cs="Arial"/>
                <w:color w:val="000000"/>
                <w:kern w:val="3"/>
                <w:szCs w:val="20"/>
                <w:lang w:eastAsia="zh-CN" w:bidi="hi-IN"/>
              </w:rPr>
              <w:t>UKC Ljubljana</w:t>
            </w:r>
          </w:p>
        </w:tc>
        <w:tc>
          <w:tcPr>
            <w:tcW w:w="1155" w:type="dxa"/>
            <w:tcBorders>
              <w:top w:val="single" w:sz="4" w:space="0" w:color="000000"/>
              <w:left w:val="single" w:sz="4" w:space="0" w:color="000000"/>
              <w:bottom w:val="single" w:sz="4" w:space="0" w:color="auto"/>
              <w:right w:val="single" w:sz="4" w:space="0" w:color="000000"/>
            </w:tcBorders>
            <w:vAlign w:val="center"/>
          </w:tcPr>
          <w:p w14:paraId="3F53619E" w14:textId="77777777" w:rsidR="00D84A76" w:rsidRPr="005E4BEA" w:rsidRDefault="00D84A76" w:rsidP="00D84A76">
            <w:pPr>
              <w:autoSpaceDE w:val="0"/>
              <w:autoSpaceDN w:val="0"/>
              <w:adjustRightInd w:val="0"/>
              <w:spacing w:after="240" w:line="240" w:lineRule="auto"/>
              <w:rPr>
                <w:rFonts w:eastAsia="Calibri" w:cs="Arial"/>
                <w:color w:val="000000"/>
                <w:szCs w:val="20"/>
                <w:lang w:eastAsia="sl-SI"/>
              </w:rPr>
            </w:pPr>
          </w:p>
          <w:p w14:paraId="182609B2" w14:textId="4E62CCB0" w:rsidR="00FE461F" w:rsidRPr="005E4BEA" w:rsidRDefault="00FE461F" w:rsidP="00D84A76">
            <w:pPr>
              <w:autoSpaceDE w:val="0"/>
              <w:autoSpaceDN w:val="0"/>
              <w:adjustRightInd w:val="0"/>
              <w:spacing w:after="240" w:line="240" w:lineRule="auto"/>
              <w:rPr>
                <w:rFonts w:eastAsia="Calibri" w:cs="Arial"/>
                <w:color w:val="000000"/>
                <w:szCs w:val="20"/>
                <w:lang w:eastAsia="sl-SI"/>
              </w:rPr>
            </w:pPr>
            <w:r w:rsidRPr="005E4BEA">
              <w:rPr>
                <w:rFonts w:eastAsia="Calibri" w:cs="Arial"/>
                <w:color w:val="000000"/>
                <w:szCs w:val="20"/>
                <w:lang w:eastAsia="sl-SI"/>
              </w:rPr>
              <w:t>1,6</w:t>
            </w:r>
          </w:p>
        </w:tc>
        <w:tc>
          <w:tcPr>
            <w:tcW w:w="1550" w:type="dxa"/>
            <w:tcBorders>
              <w:top w:val="single" w:sz="4" w:space="0" w:color="000000"/>
              <w:left w:val="single" w:sz="4" w:space="0" w:color="000000"/>
              <w:bottom w:val="single" w:sz="4" w:space="0" w:color="auto"/>
              <w:right w:val="single" w:sz="4" w:space="0" w:color="000000"/>
            </w:tcBorders>
            <w:vAlign w:val="center"/>
          </w:tcPr>
          <w:p w14:paraId="117E4F20" w14:textId="77777777" w:rsidR="00FE461F" w:rsidRPr="005E4BEA" w:rsidRDefault="00FE461F" w:rsidP="00D84A76">
            <w:pPr>
              <w:spacing w:line="240" w:lineRule="auto"/>
              <w:rPr>
                <w:rFonts w:eastAsia="Calibri" w:cs="Arial"/>
                <w:color w:val="000000"/>
                <w:szCs w:val="20"/>
              </w:rPr>
            </w:pPr>
            <w:r w:rsidRPr="005E4BEA">
              <w:rPr>
                <w:rFonts w:eastAsia="Calibri" w:cs="Arial"/>
                <w:color w:val="000000"/>
                <w:szCs w:val="20"/>
              </w:rPr>
              <w:t>319.341,66</w:t>
            </w:r>
          </w:p>
        </w:tc>
        <w:tc>
          <w:tcPr>
            <w:tcW w:w="1417" w:type="dxa"/>
            <w:tcBorders>
              <w:top w:val="single" w:sz="4" w:space="0" w:color="000000"/>
              <w:left w:val="single" w:sz="4" w:space="0" w:color="000000"/>
              <w:bottom w:val="single" w:sz="4" w:space="0" w:color="auto"/>
              <w:right w:val="single" w:sz="4" w:space="0" w:color="000000"/>
            </w:tcBorders>
            <w:vAlign w:val="center"/>
          </w:tcPr>
          <w:p w14:paraId="4C5E07EC" w14:textId="77777777" w:rsidR="00D84A76" w:rsidRPr="005E4BEA" w:rsidRDefault="00D84A76" w:rsidP="00D84A76">
            <w:pPr>
              <w:spacing w:line="240" w:lineRule="auto"/>
              <w:rPr>
                <w:rFonts w:cs="Arial"/>
                <w:color w:val="000000"/>
                <w:szCs w:val="20"/>
              </w:rPr>
            </w:pPr>
          </w:p>
          <w:p w14:paraId="06C48FA8" w14:textId="1AE7DEE0" w:rsidR="00D84A76" w:rsidRPr="005E4BEA" w:rsidRDefault="00D84A76" w:rsidP="00D84A76">
            <w:pPr>
              <w:spacing w:line="240" w:lineRule="auto"/>
              <w:rPr>
                <w:rFonts w:cs="Arial"/>
                <w:color w:val="000000"/>
                <w:szCs w:val="20"/>
                <w:lang w:eastAsia="sl-SI"/>
              </w:rPr>
            </w:pPr>
            <w:r w:rsidRPr="005E4BEA">
              <w:rPr>
                <w:rFonts w:cs="Arial"/>
                <w:color w:val="000000"/>
                <w:szCs w:val="20"/>
              </w:rPr>
              <w:t>159.670,83</w:t>
            </w:r>
          </w:p>
          <w:p w14:paraId="7768B9BE" w14:textId="46639D5E" w:rsidR="00FE461F" w:rsidRPr="005E4BEA" w:rsidRDefault="00FE461F" w:rsidP="00FE461F">
            <w:pPr>
              <w:spacing w:after="160" w:line="259" w:lineRule="auto"/>
              <w:jc w:val="center"/>
              <w:rPr>
                <w:rFonts w:eastAsia="Calibri" w:cs="Arial"/>
                <w:color w:val="000000"/>
                <w:szCs w:val="20"/>
              </w:rPr>
            </w:pPr>
          </w:p>
        </w:tc>
        <w:tc>
          <w:tcPr>
            <w:tcW w:w="1371" w:type="dxa"/>
          </w:tcPr>
          <w:p w14:paraId="07AAA90F" w14:textId="77777777" w:rsidR="00FE461F" w:rsidRPr="005E4BEA" w:rsidRDefault="00FE461F" w:rsidP="00FE461F">
            <w:pPr>
              <w:spacing w:line="240" w:lineRule="auto"/>
              <w:rPr>
                <w:rFonts w:eastAsia="Calibri" w:cs="Arial"/>
                <w:color w:val="000000"/>
                <w:szCs w:val="20"/>
                <w:lang w:eastAsia="sl-SI"/>
              </w:rPr>
            </w:pPr>
          </w:p>
        </w:tc>
      </w:tr>
      <w:tr w:rsidR="00FE461F" w:rsidRPr="005E4BEA" w14:paraId="38EE5992" w14:textId="77777777" w:rsidTr="0016774B">
        <w:trPr>
          <w:gridAfter w:val="1"/>
          <w:wAfter w:w="1371" w:type="dxa"/>
          <w:trHeight w:val="745"/>
        </w:trPr>
        <w:tc>
          <w:tcPr>
            <w:tcW w:w="3106" w:type="dxa"/>
            <w:tcBorders>
              <w:top w:val="single" w:sz="4" w:space="0" w:color="000000"/>
              <w:left w:val="single" w:sz="4" w:space="0" w:color="000000"/>
              <w:bottom w:val="single" w:sz="4" w:space="0" w:color="auto"/>
              <w:right w:val="single" w:sz="4" w:space="0" w:color="000000"/>
            </w:tcBorders>
            <w:vAlign w:val="center"/>
          </w:tcPr>
          <w:p w14:paraId="43C95FB3" w14:textId="77777777" w:rsidR="00FE461F" w:rsidRPr="005E4BEA" w:rsidRDefault="00FE461F" w:rsidP="00FE461F">
            <w:pPr>
              <w:spacing w:after="160" w:line="259" w:lineRule="auto"/>
              <w:rPr>
                <w:rFonts w:eastAsia="Calibri" w:cs="Arial"/>
                <w:color w:val="000000"/>
                <w:szCs w:val="20"/>
                <w:lang w:eastAsia="sl-SI"/>
              </w:rPr>
            </w:pPr>
            <w:r w:rsidRPr="005E4BEA">
              <w:rPr>
                <w:rFonts w:eastAsia="Calibri" w:cs="Arial"/>
                <w:color w:val="000000"/>
                <w:szCs w:val="20"/>
                <w:lang w:eastAsia="sl-SI"/>
              </w:rPr>
              <w:t>238 275 DISPEČERSKA SLUŽBA -ZDRAVNIK</w:t>
            </w:r>
          </w:p>
        </w:tc>
        <w:tc>
          <w:tcPr>
            <w:tcW w:w="1839" w:type="dxa"/>
            <w:tcBorders>
              <w:top w:val="single" w:sz="4" w:space="0" w:color="000000"/>
              <w:left w:val="single" w:sz="4" w:space="0" w:color="000000"/>
              <w:bottom w:val="single" w:sz="4" w:space="0" w:color="auto"/>
              <w:right w:val="single" w:sz="4" w:space="0" w:color="000000"/>
            </w:tcBorders>
            <w:vAlign w:val="center"/>
          </w:tcPr>
          <w:p w14:paraId="1F692887" w14:textId="77777777" w:rsidR="00FE461F" w:rsidRPr="005E4BEA" w:rsidRDefault="00FE461F" w:rsidP="00FE461F">
            <w:pPr>
              <w:widowControl w:val="0"/>
              <w:suppressAutoHyphens/>
              <w:autoSpaceDN w:val="0"/>
              <w:spacing w:line="240" w:lineRule="auto"/>
              <w:jc w:val="center"/>
              <w:rPr>
                <w:rFonts w:eastAsia="SimSun" w:cs="Arial"/>
                <w:color w:val="000000"/>
                <w:kern w:val="3"/>
                <w:szCs w:val="20"/>
                <w:lang w:eastAsia="zh-CN" w:bidi="hi-IN"/>
              </w:rPr>
            </w:pPr>
            <w:r w:rsidRPr="005E4BEA">
              <w:rPr>
                <w:rFonts w:eastAsia="SimSun" w:cs="Arial"/>
                <w:color w:val="000000"/>
                <w:kern w:val="3"/>
                <w:szCs w:val="20"/>
                <w:lang w:eastAsia="zh-CN" w:bidi="hi-IN"/>
              </w:rPr>
              <w:t>UKC Ljubljana</w:t>
            </w:r>
          </w:p>
        </w:tc>
        <w:tc>
          <w:tcPr>
            <w:tcW w:w="1155" w:type="dxa"/>
            <w:tcBorders>
              <w:top w:val="single" w:sz="4" w:space="0" w:color="000000"/>
              <w:left w:val="single" w:sz="4" w:space="0" w:color="000000"/>
              <w:bottom w:val="single" w:sz="4" w:space="0" w:color="auto"/>
              <w:right w:val="single" w:sz="4" w:space="0" w:color="000000"/>
            </w:tcBorders>
            <w:vAlign w:val="bottom"/>
          </w:tcPr>
          <w:p w14:paraId="204475FF" w14:textId="77777777" w:rsidR="00FE461F" w:rsidRPr="005E4BEA" w:rsidRDefault="00FE461F" w:rsidP="00D84A76">
            <w:pPr>
              <w:autoSpaceDE w:val="0"/>
              <w:autoSpaceDN w:val="0"/>
              <w:adjustRightInd w:val="0"/>
              <w:spacing w:after="240" w:line="240" w:lineRule="auto"/>
              <w:rPr>
                <w:rFonts w:eastAsia="Calibri" w:cs="Arial"/>
                <w:color w:val="000000"/>
                <w:szCs w:val="20"/>
                <w:lang w:eastAsia="sl-SI"/>
              </w:rPr>
            </w:pPr>
            <w:r w:rsidRPr="005E4BEA">
              <w:rPr>
                <w:rFonts w:eastAsia="Calibri" w:cs="Arial"/>
                <w:color w:val="000000"/>
                <w:szCs w:val="20"/>
                <w:lang w:eastAsia="sl-SI"/>
              </w:rPr>
              <w:t>1,8</w:t>
            </w:r>
          </w:p>
        </w:tc>
        <w:tc>
          <w:tcPr>
            <w:tcW w:w="1550" w:type="dxa"/>
            <w:tcBorders>
              <w:top w:val="single" w:sz="4" w:space="0" w:color="000000"/>
              <w:left w:val="single" w:sz="4" w:space="0" w:color="000000"/>
              <w:bottom w:val="single" w:sz="4" w:space="0" w:color="auto"/>
              <w:right w:val="single" w:sz="4" w:space="0" w:color="000000"/>
            </w:tcBorders>
            <w:vAlign w:val="center"/>
          </w:tcPr>
          <w:p w14:paraId="3963E711" w14:textId="77777777" w:rsidR="00FE461F" w:rsidRPr="005E4BEA" w:rsidRDefault="00FE461F" w:rsidP="00D84A76">
            <w:pPr>
              <w:spacing w:after="160" w:line="259" w:lineRule="auto"/>
              <w:rPr>
                <w:rFonts w:eastAsia="Calibri" w:cs="Arial"/>
                <w:color w:val="000000"/>
                <w:szCs w:val="20"/>
              </w:rPr>
            </w:pPr>
            <w:r w:rsidRPr="005E4BEA">
              <w:rPr>
                <w:rFonts w:eastAsia="Calibri" w:cs="Arial"/>
                <w:color w:val="000000"/>
                <w:szCs w:val="20"/>
              </w:rPr>
              <w:t>775.649, 32</w:t>
            </w:r>
          </w:p>
        </w:tc>
        <w:tc>
          <w:tcPr>
            <w:tcW w:w="1417" w:type="dxa"/>
            <w:tcBorders>
              <w:top w:val="single" w:sz="4" w:space="0" w:color="000000"/>
              <w:left w:val="single" w:sz="4" w:space="0" w:color="000000"/>
              <w:bottom w:val="single" w:sz="4" w:space="0" w:color="auto"/>
              <w:right w:val="single" w:sz="4" w:space="0" w:color="000000"/>
            </w:tcBorders>
            <w:vAlign w:val="center"/>
          </w:tcPr>
          <w:p w14:paraId="48A442EE" w14:textId="77777777" w:rsidR="00FE461F" w:rsidRPr="005E4BEA" w:rsidRDefault="00FE461F" w:rsidP="00FE461F">
            <w:pPr>
              <w:spacing w:after="160" w:line="259" w:lineRule="auto"/>
              <w:jc w:val="center"/>
              <w:rPr>
                <w:rFonts w:eastAsia="Calibri" w:cs="Arial"/>
                <w:color w:val="000000"/>
                <w:szCs w:val="20"/>
              </w:rPr>
            </w:pPr>
          </w:p>
          <w:p w14:paraId="755C4FBB" w14:textId="77777777" w:rsidR="00D84A76" w:rsidRPr="005E4BEA" w:rsidRDefault="00D84A76" w:rsidP="00D84A76">
            <w:pPr>
              <w:spacing w:line="240" w:lineRule="auto"/>
              <w:jc w:val="center"/>
              <w:rPr>
                <w:rFonts w:cs="Arial"/>
                <w:color w:val="000000"/>
                <w:szCs w:val="20"/>
                <w:lang w:eastAsia="sl-SI"/>
              </w:rPr>
            </w:pPr>
            <w:r w:rsidRPr="005E4BEA">
              <w:rPr>
                <w:rFonts w:cs="Arial"/>
                <w:color w:val="000000"/>
                <w:szCs w:val="20"/>
              </w:rPr>
              <w:t>387.824,66</w:t>
            </w:r>
          </w:p>
          <w:p w14:paraId="60A87070" w14:textId="4EBEB58A" w:rsidR="00FE461F" w:rsidRPr="005E4BEA" w:rsidRDefault="00FE461F" w:rsidP="00FE461F">
            <w:pPr>
              <w:spacing w:after="160" w:line="259" w:lineRule="auto"/>
              <w:jc w:val="center"/>
              <w:rPr>
                <w:rFonts w:eastAsia="Calibri" w:cs="Arial"/>
                <w:color w:val="000000"/>
                <w:szCs w:val="20"/>
              </w:rPr>
            </w:pPr>
          </w:p>
        </w:tc>
      </w:tr>
      <w:tr w:rsidR="00FE461F" w:rsidRPr="005E4BEA" w14:paraId="3298C34C" w14:textId="77777777" w:rsidTr="0016774B">
        <w:trPr>
          <w:gridAfter w:val="5"/>
          <w:wAfter w:w="7332" w:type="dxa"/>
          <w:trHeight w:val="462"/>
        </w:trPr>
        <w:tc>
          <w:tcPr>
            <w:tcW w:w="3106" w:type="dxa"/>
            <w:tcBorders>
              <w:top w:val="single" w:sz="4" w:space="0" w:color="auto"/>
            </w:tcBorders>
            <w:vAlign w:val="center"/>
          </w:tcPr>
          <w:p w14:paraId="2AEF0A8F" w14:textId="0BB8FE41" w:rsidR="00FE461F" w:rsidRPr="005E4BEA" w:rsidRDefault="00FE461F" w:rsidP="00FE461F">
            <w:pPr>
              <w:autoSpaceDE w:val="0"/>
              <w:autoSpaceDN w:val="0"/>
              <w:adjustRightInd w:val="0"/>
              <w:spacing w:line="240" w:lineRule="auto"/>
              <w:jc w:val="both"/>
              <w:rPr>
                <w:rFonts w:eastAsia="Calibri" w:cs="Arial"/>
                <w:color w:val="000000"/>
                <w:szCs w:val="20"/>
                <w:lang w:eastAsia="sl-SI"/>
              </w:rPr>
            </w:pPr>
            <w:r w:rsidRPr="005E4BEA">
              <w:rPr>
                <w:rFonts w:eastAsia="Calibri" w:cs="Arial"/>
                <w:color w:val="000000"/>
                <w:szCs w:val="20"/>
                <w:lang w:eastAsia="sl-SI"/>
              </w:rPr>
              <w:t xml:space="preserve">Velja od 1. </w:t>
            </w:r>
            <w:r w:rsidR="00D84A76" w:rsidRPr="005E4BEA">
              <w:rPr>
                <w:rFonts w:eastAsia="Calibri" w:cs="Arial"/>
                <w:color w:val="000000"/>
                <w:szCs w:val="20"/>
                <w:lang w:eastAsia="sl-SI"/>
              </w:rPr>
              <w:t>7</w:t>
            </w:r>
            <w:r w:rsidRPr="005E4BEA">
              <w:rPr>
                <w:rFonts w:eastAsia="Calibri" w:cs="Arial"/>
                <w:color w:val="000000"/>
                <w:szCs w:val="20"/>
                <w:lang w:eastAsia="sl-SI"/>
              </w:rPr>
              <w:t>. 2022.</w:t>
            </w:r>
          </w:p>
          <w:p w14:paraId="2F74E598" w14:textId="77777777" w:rsidR="00FE461F" w:rsidRPr="005E4BEA" w:rsidRDefault="00FE461F" w:rsidP="00FE461F">
            <w:pPr>
              <w:autoSpaceDE w:val="0"/>
              <w:autoSpaceDN w:val="0"/>
              <w:adjustRightInd w:val="0"/>
              <w:spacing w:line="240" w:lineRule="auto"/>
              <w:jc w:val="both"/>
              <w:rPr>
                <w:rFonts w:eastAsia="Calibri" w:cs="Arial"/>
                <w:color w:val="000000"/>
                <w:szCs w:val="20"/>
                <w:lang w:eastAsia="sl-SI"/>
              </w:rPr>
            </w:pPr>
          </w:p>
        </w:tc>
      </w:tr>
    </w:tbl>
    <w:bookmarkEnd w:id="85"/>
    <w:p w14:paraId="2989149A" w14:textId="77777777" w:rsidR="00FE461F" w:rsidRPr="005E4BEA" w:rsidRDefault="00FE461F" w:rsidP="00D84A76">
      <w:pPr>
        <w:shd w:val="clear" w:color="auto" w:fill="FFFFFF" w:themeFill="background1"/>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w:t>
      </w:r>
    </w:p>
    <w:p w14:paraId="0AE81132" w14:textId="2B39A363" w:rsidR="00FE461F" w:rsidRPr="005E4BEA" w:rsidRDefault="00FE461F" w:rsidP="00D84A76">
      <w:pPr>
        <w:shd w:val="clear" w:color="auto" w:fill="FFFFFF" w:themeFill="background1"/>
        <w:autoSpaceDE w:val="0"/>
        <w:autoSpaceDN w:val="0"/>
        <w:adjustRightInd w:val="0"/>
        <w:spacing w:line="240" w:lineRule="auto"/>
        <w:jc w:val="both"/>
        <w:rPr>
          <w:rFonts w:eastAsiaTheme="minorHAnsi" w:cs="Arial"/>
          <w:i/>
          <w:color w:val="7F7F7F" w:themeColor="text1" w:themeTint="80"/>
          <w:szCs w:val="20"/>
        </w:rPr>
      </w:pPr>
      <w:bookmarkStart w:id="86" w:name="_Hlk102988448"/>
      <w:r w:rsidRPr="005E4BEA">
        <w:rPr>
          <w:rFonts w:eastAsiaTheme="minorHAnsi" w:cs="Arial"/>
          <w:i/>
          <w:color w:val="7F7F7F" w:themeColor="text1" w:themeTint="80"/>
          <w:szCs w:val="20"/>
        </w:rPr>
        <w:t>UKC Ljubljana se prizna širitev programa dispečerske službe v skladu s programom in</w:t>
      </w:r>
      <w:r w:rsidRPr="005E4BEA">
        <w:rPr>
          <w:rFonts w:eastAsia="Calibri" w:cs="Arial"/>
          <w:color w:val="000000"/>
          <w:szCs w:val="20"/>
          <w:lang w:eastAsia="sl-SI"/>
        </w:rPr>
        <w:t xml:space="preserve"> </w:t>
      </w:r>
      <w:r w:rsidRPr="005E4BEA">
        <w:rPr>
          <w:rFonts w:eastAsiaTheme="minorHAnsi" w:cs="Arial"/>
          <w:i/>
          <w:color w:val="7F7F7F" w:themeColor="text1" w:themeTint="80"/>
          <w:szCs w:val="20"/>
        </w:rPr>
        <w:t xml:space="preserve">številom vključevanja </w:t>
      </w:r>
      <w:r w:rsidR="00D84A76" w:rsidRPr="005E4BEA">
        <w:rPr>
          <w:rFonts w:eastAsiaTheme="minorHAnsi" w:cs="Arial"/>
          <w:i/>
          <w:color w:val="7F7F7F" w:themeColor="text1" w:themeTint="80"/>
          <w:szCs w:val="20"/>
        </w:rPr>
        <w:t xml:space="preserve">vseh </w:t>
      </w:r>
      <w:r w:rsidRPr="005E4BEA">
        <w:rPr>
          <w:rFonts w:eastAsiaTheme="minorHAnsi" w:cs="Arial"/>
          <w:i/>
          <w:color w:val="7F7F7F" w:themeColor="text1" w:themeTint="80"/>
          <w:szCs w:val="20"/>
        </w:rPr>
        <w:t xml:space="preserve">enot </w:t>
      </w:r>
      <w:r w:rsidR="00D84A76" w:rsidRPr="005E4BEA">
        <w:rPr>
          <w:rFonts w:eastAsiaTheme="minorHAnsi" w:cs="Arial"/>
          <w:i/>
          <w:color w:val="7F7F7F" w:themeColor="text1" w:themeTint="80"/>
          <w:szCs w:val="20"/>
        </w:rPr>
        <w:t xml:space="preserve">NMP </w:t>
      </w:r>
      <w:r w:rsidRPr="005E4BEA">
        <w:rPr>
          <w:rFonts w:eastAsiaTheme="minorHAnsi" w:cs="Arial"/>
          <w:i/>
          <w:color w:val="7F7F7F" w:themeColor="text1" w:themeTint="80"/>
          <w:szCs w:val="20"/>
        </w:rPr>
        <w:t>v DSZ</w:t>
      </w:r>
      <w:bookmarkEnd w:id="86"/>
      <w:r w:rsidR="00D84A76" w:rsidRPr="005E4BEA">
        <w:rPr>
          <w:rFonts w:eastAsiaTheme="minorHAnsi" w:cs="Arial"/>
          <w:i/>
          <w:color w:val="7F7F7F" w:themeColor="text1" w:themeTint="80"/>
          <w:szCs w:val="20"/>
        </w:rPr>
        <w:t xml:space="preserve">. </w:t>
      </w:r>
    </w:p>
    <w:p w14:paraId="03E855F4" w14:textId="77777777" w:rsidR="00FE461F" w:rsidRPr="005E4BEA" w:rsidRDefault="00FE461F" w:rsidP="00FE461F">
      <w:pPr>
        <w:autoSpaceDE w:val="0"/>
        <w:autoSpaceDN w:val="0"/>
        <w:adjustRightInd w:val="0"/>
        <w:spacing w:line="240" w:lineRule="auto"/>
        <w:jc w:val="both"/>
        <w:rPr>
          <w:rFonts w:eastAsiaTheme="minorHAnsi" w:cs="Arial"/>
          <w:i/>
          <w:color w:val="7F7F7F" w:themeColor="text1" w:themeTint="80"/>
          <w:szCs w:val="20"/>
        </w:rPr>
      </w:pPr>
    </w:p>
    <w:p w14:paraId="03361A41" w14:textId="18C33483" w:rsidR="00FE461F" w:rsidRPr="005E4BEA" w:rsidRDefault="00FE461F" w:rsidP="00FE461F">
      <w:pPr>
        <w:autoSpaceDE w:val="0"/>
        <w:autoSpaceDN w:val="0"/>
        <w:adjustRightInd w:val="0"/>
        <w:spacing w:line="240" w:lineRule="auto"/>
        <w:jc w:val="both"/>
        <w:rPr>
          <w:rFonts w:eastAsiaTheme="minorHAnsi" w:cs="Arial"/>
          <w:b/>
          <w:bCs/>
          <w:i/>
          <w:color w:val="7F7F7F" w:themeColor="text1" w:themeTint="80"/>
          <w:szCs w:val="20"/>
        </w:rPr>
      </w:pPr>
      <w:r w:rsidRPr="005E4BEA">
        <w:rPr>
          <w:rFonts w:eastAsiaTheme="minorHAnsi" w:cs="Arial"/>
          <w:b/>
          <w:bCs/>
          <w:i/>
          <w:color w:val="7F7F7F" w:themeColor="text1" w:themeTint="80"/>
          <w:szCs w:val="20"/>
        </w:rPr>
        <w:t>Finančne posledice na letni ravni znašajo 1.739.629 eur</w:t>
      </w:r>
      <w:r w:rsidR="00D84A76" w:rsidRPr="005E4BEA">
        <w:rPr>
          <w:rFonts w:eastAsiaTheme="minorHAnsi" w:cs="Arial"/>
          <w:b/>
          <w:bCs/>
          <w:i/>
          <w:color w:val="7F7F7F" w:themeColor="text1" w:themeTint="80"/>
          <w:szCs w:val="20"/>
        </w:rPr>
        <w:t xml:space="preserve">, v letu 2022 pa 869.815 eur. </w:t>
      </w:r>
    </w:p>
    <w:bookmarkEnd w:id="84"/>
    <w:p w14:paraId="1DACCEEC" w14:textId="77777777" w:rsidR="00CC2D9A" w:rsidRPr="005E4BEA" w:rsidRDefault="00CC2D9A" w:rsidP="00FE461F">
      <w:pPr>
        <w:autoSpaceDE w:val="0"/>
        <w:autoSpaceDN w:val="0"/>
        <w:adjustRightInd w:val="0"/>
        <w:spacing w:line="240" w:lineRule="auto"/>
        <w:jc w:val="both"/>
        <w:rPr>
          <w:rFonts w:eastAsiaTheme="minorHAnsi" w:cs="Arial"/>
          <w:b/>
          <w:bCs/>
          <w:i/>
          <w:color w:val="7F7F7F" w:themeColor="text1" w:themeTint="80"/>
          <w:szCs w:val="20"/>
        </w:rPr>
      </w:pPr>
    </w:p>
    <w:p w14:paraId="46D7D97F" w14:textId="61BFC8F5" w:rsidR="00CC2D9A" w:rsidRPr="005E4BEA" w:rsidRDefault="00CC2D9A" w:rsidP="00FE461F">
      <w:pPr>
        <w:autoSpaceDE w:val="0"/>
        <w:autoSpaceDN w:val="0"/>
        <w:adjustRightInd w:val="0"/>
        <w:spacing w:line="240" w:lineRule="auto"/>
        <w:jc w:val="both"/>
        <w:rPr>
          <w:rFonts w:eastAsiaTheme="minorHAnsi" w:cs="Arial"/>
          <w:b/>
          <w:bCs/>
          <w:i/>
          <w:color w:val="7F7F7F" w:themeColor="text1" w:themeTint="80"/>
          <w:szCs w:val="20"/>
        </w:rPr>
      </w:pPr>
    </w:p>
    <w:p w14:paraId="5E02ABFF" w14:textId="59B4C57D" w:rsidR="00CC2D9A" w:rsidRPr="005E4BEA" w:rsidRDefault="00CC2D9A" w:rsidP="00CC2D9A">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278D2BBB" w14:textId="77777777" w:rsidR="00CC2D9A" w:rsidRPr="005E4BEA" w:rsidRDefault="00CC2D9A" w:rsidP="00CC2D9A">
      <w:pPr>
        <w:spacing w:line="0" w:lineRule="atLeast"/>
        <w:jc w:val="both"/>
        <w:rPr>
          <w:rFonts w:eastAsia="Arial Narrow" w:cs="Arial"/>
          <w:szCs w:val="20"/>
          <w:lang w:eastAsia="sl-SI"/>
        </w:rPr>
      </w:pPr>
    </w:p>
    <w:p w14:paraId="016210E2" w14:textId="6E164EA7" w:rsidR="00406310" w:rsidRPr="005E4BEA" w:rsidRDefault="00CC2D9A" w:rsidP="00406310">
      <w:pPr>
        <w:spacing w:after="160" w:line="259" w:lineRule="auto"/>
        <w:jc w:val="both"/>
        <w:rPr>
          <w:rFonts w:eastAsia="MS Mincho" w:cs="Arial"/>
          <w:szCs w:val="20"/>
        </w:rPr>
      </w:pPr>
      <w:r w:rsidRPr="005E4BEA">
        <w:rPr>
          <w:rFonts w:eastAsia="Arial Narrow" w:cs="Arial"/>
          <w:b/>
          <w:szCs w:val="20"/>
        </w:rPr>
        <w:lastRenderedPageBreak/>
        <w:t>Ministrstvo za zdravje predlaga Vladi Republike Slovenije</w:t>
      </w:r>
      <w:r w:rsidRPr="005E4BEA">
        <w:rPr>
          <w:rFonts w:eastAsia="Arial Narrow" w:cs="Arial"/>
          <w:szCs w:val="20"/>
        </w:rPr>
        <w:t xml:space="preserve">, </w:t>
      </w:r>
      <w:bookmarkStart w:id="87" w:name="_Hlk102471027"/>
      <w:r w:rsidRPr="005E4BEA">
        <w:rPr>
          <w:rFonts w:eastAsia="Arial Narrow" w:cs="Arial"/>
          <w:szCs w:val="20"/>
        </w:rPr>
        <w:t>da</w:t>
      </w:r>
      <w:r w:rsidRPr="005E4BEA">
        <w:rPr>
          <w:rFonts w:eastAsia="Arial Narrow" w:cs="Arial"/>
          <w:b/>
          <w:szCs w:val="20"/>
        </w:rPr>
        <w:t xml:space="preserve"> </w:t>
      </w:r>
      <w:r w:rsidR="00406310" w:rsidRPr="005E4BEA">
        <w:rPr>
          <w:rFonts w:cs="Arial"/>
          <w:szCs w:val="20"/>
        </w:rPr>
        <w:t xml:space="preserve">se v </w:t>
      </w:r>
      <w:r w:rsidR="00406310" w:rsidRPr="005E4BEA">
        <w:rPr>
          <w:rFonts w:eastAsia="MS Mincho" w:cs="Arial"/>
          <w:szCs w:val="20"/>
        </w:rPr>
        <w:t>24. členu v šestem odstavku v tabeli dodajo nove vrstice</w:t>
      </w:r>
      <w:r w:rsidR="00406310" w:rsidRPr="005E4BEA">
        <w:rPr>
          <w:rFonts w:eastAsiaTheme="minorHAnsi" w:cs="Arial"/>
          <w:szCs w:val="20"/>
          <w:lang w:eastAsia="sl-SI"/>
        </w:rPr>
        <w:t xml:space="preserve"> </w:t>
      </w:r>
      <w:r w:rsidR="00406310" w:rsidRPr="005E4BEA">
        <w:rPr>
          <w:rFonts w:eastAsia="MS Mincho" w:cs="Arial"/>
          <w:szCs w:val="20"/>
        </w:rPr>
        <w:t>za nujne širitve programov oziroma uvajanje novih terapij:</w:t>
      </w:r>
    </w:p>
    <w:tbl>
      <w:tblPr>
        <w:tblW w:w="10438" w:type="dxa"/>
        <w:tblCellMar>
          <w:left w:w="70" w:type="dxa"/>
          <w:right w:w="70" w:type="dxa"/>
        </w:tblCellMar>
        <w:tblLook w:val="00A0" w:firstRow="1" w:lastRow="0" w:firstColumn="1" w:lastColumn="0" w:noHBand="0" w:noVBand="0"/>
      </w:tblPr>
      <w:tblGrid>
        <w:gridCol w:w="3106"/>
        <w:gridCol w:w="1839"/>
        <w:gridCol w:w="1155"/>
        <w:gridCol w:w="1550"/>
        <w:gridCol w:w="1417"/>
        <w:gridCol w:w="1371"/>
      </w:tblGrid>
      <w:tr w:rsidR="008B75A0" w:rsidRPr="005E4BEA" w14:paraId="3F7E7DA8" w14:textId="77777777" w:rsidTr="006F2C89">
        <w:trPr>
          <w:gridAfter w:val="1"/>
          <w:wAfter w:w="1371" w:type="dxa"/>
          <w:trHeight w:val="300"/>
        </w:trPr>
        <w:tc>
          <w:tcPr>
            <w:tcW w:w="3106" w:type="dxa"/>
            <w:vMerge w:val="restart"/>
            <w:tcBorders>
              <w:top w:val="single" w:sz="4" w:space="0" w:color="000000"/>
              <w:left w:val="single" w:sz="4" w:space="0" w:color="000000"/>
              <w:bottom w:val="single" w:sz="4" w:space="0" w:color="000000"/>
              <w:right w:val="single" w:sz="4" w:space="0" w:color="000000"/>
            </w:tcBorders>
            <w:vAlign w:val="center"/>
          </w:tcPr>
          <w:bookmarkEnd w:id="87"/>
          <w:p w14:paraId="13006006" w14:textId="77777777" w:rsidR="008B75A0" w:rsidRPr="005E4BEA" w:rsidRDefault="008B75A0" w:rsidP="006F2C89">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P   r   o   g   r   a   m</w:t>
            </w:r>
          </w:p>
        </w:tc>
        <w:tc>
          <w:tcPr>
            <w:tcW w:w="1839" w:type="dxa"/>
            <w:tcBorders>
              <w:top w:val="single" w:sz="4" w:space="0" w:color="000000"/>
              <w:left w:val="single" w:sz="4" w:space="0" w:color="000000"/>
              <w:bottom w:val="single" w:sz="4" w:space="0" w:color="000000"/>
              <w:right w:val="single" w:sz="4" w:space="0" w:color="000000"/>
            </w:tcBorders>
            <w:vAlign w:val="center"/>
          </w:tcPr>
          <w:p w14:paraId="10707457" w14:textId="77777777" w:rsidR="008B75A0" w:rsidRPr="005E4BEA" w:rsidRDefault="008B75A0" w:rsidP="006F2C89">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I z v a j a l e c /</w:t>
            </w:r>
          </w:p>
        </w:tc>
        <w:tc>
          <w:tcPr>
            <w:tcW w:w="1155" w:type="dxa"/>
            <w:vMerge w:val="restart"/>
            <w:tcBorders>
              <w:top w:val="single" w:sz="4" w:space="0" w:color="000000"/>
              <w:left w:val="single" w:sz="4" w:space="0" w:color="000000"/>
              <w:bottom w:val="single" w:sz="4" w:space="0" w:color="000000"/>
              <w:right w:val="single" w:sz="4" w:space="0" w:color="000000"/>
            </w:tcBorders>
            <w:vAlign w:val="center"/>
          </w:tcPr>
          <w:p w14:paraId="452BDCE3" w14:textId="77777777" w:rsidR="008B75A0" w:rsidRPr="005E4BEA" w:rsidRDefault="008B75A0" w:rsidP="006F2C89">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Obseg programa</w:t>
            </w:r>
          </w:p>
        </w:tc>
        <w:tc>
          <w:tcPr>
            <w:tcW w:w="1550" w:type="dxa"/>
            <w:tcBorders>
              <w:top w:val="single" w:sz="4" w:space="0" w:color="000000"/>
              <w:left w:val="single" w:sz="4" w:space="0" w:color="000000"/>
              <w:bottom w:val="single" w:sz="4" w:space="0" w:color="000000"/>
              <w:right w:val="single" w:sz="4" w:space="0" w:color="000000"/>
            </w:tcBorders>
            <w:vAlign w:val="center"/>
          </w:tcPr>
          <w:p w14:paraId="3EC5BB8B" w14:textId="77777777" w:rsidR="008B75A0" w:rsidRPr="005E4BEA" w:rsidRDefault="008B75A0" w:rsidP="006F2C89">
            <w:pPr>
              <w:autoSpaceDE w:val="0"/>
              <w:autoSpaceDN w:val="0"/>
              <w:adjustRightInd w:val="0"/>
              <w:spacing w:after="240" w:line="240" w:lineRule="auto"/>
              <w:jc w:val="center"/>
              <w:rPr>
                <w:rFonts w:eastAsia="Calibri" w:cs="Arial"/>
                <w:b/>
                <w:bCs/>
                <w:color w:val="000000"/>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p>
        </w:tc>
        <w:tc>
          <w:tcPr>
            <w:tcW w:w="1417" w:type="dxa"/>
            <w:tcBorders>
              <w:top w:val="single" w:sz="4" w:space="0" w:color="000000"/>
              <w:left w:val="single" w:sz="4" w:space="0" w:color="000000"/>
              <w:bottom w:val="single" w:sz="4" w:space="0" w:color="000000"/>
              <w:right w:val="single" w:sz="4" w:space="0" w:color="000000"/>
            </w:tcBorders>
            <w:vAlign w:val="center"/>
          </w:tcPr>
          <w:p w14:paraId="42B89D7C" w14:textId="77777777" w:rsidR="008B75A0" w:rsidRPr="005E4BEA" w:rsidRDefault="008B75A0" w:rsidP="006F2C89">
            <w:pPr>
              <w:autoSpaceDE w:val="0"/>
              <w:autoSpaceDN w:val="0"/>
              <w:adjustRightInd w:val="0"/>
              <w:spacing w:after="240" w:line="240" w:lineRule="auto"/>
              <w:jc w:val="center"/>
              <w:rPr>
                <w:rFonts w:eastAsia="Calibri" w:cs="Arial"/>
                <w:b/>
                <w:bCs/>
                <w:color w:val="000000"/>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p>
        </w:tc>
      </w:tr>
      <w:tr w:rsidR="008B75A0" w:rsidRPr="005E4BEA" w14:paraId="595A99B6" w14:textId="77777777" w:rsidTr="006F2C89">
        <w:trPr>
          <w:gridAfter w:val="1"/>
          <w:wAfter w:w="1371" w:type="dxa"/>
          <w:trHeight w:val="300"/>
        </w:trPr>
        <w:tc>
          <w:tcPr>
            <w:tcW w:w="3106" w:type="dxa"/>
            <w:vMerge/>
            <w:tcBorders>
              <w:top w:val="single" w:sz="4" w:space="0" w:color="000000"/>
              <w:left w:val="single" w:sz="4" w:space="0" w:color="000000"/>
              <w:bottom w:val="single" w:sz="4" w:space="0" w:color="000000"/>
              <w:right w:val="single" w:sz="4" w:space="0" w:color="000000"/>
            </w:tcBorders>
            <w:vAlign w:val="center"/>
          </w:tcPr>
          <w:p w14:paraId="72A7672D" w14:textId="77777777" w:rsidR="008B75A0" w:rsidRPr="005E4BEA" w:rsidRDefault="008B75A0" w:rsidP="006F2C89">
            <w:pPr>
              <w:autoSpaceDE w:val="0"/>
              <w:autoSpaceDN w:val="0"/>
              <w:adjustRightInd w:val="0"/>
              <w:spacing w:line="240" w:lineRule="auto"/>
              <w:rPr>
                <w:rFonts w:eastAsia="Calibri" w:cs="Arial"/>
                <w:b/>
                <w:bCs/>
                <w:color w:val="000000"/>
                <w:szCs w:val="20"/>
                <w:lang w:eastAsia="sl-SI"/>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1B2E1EB0" w14:textId="77777777" w:rsidR="008B75A0" w:rsidRPr="005E4BEA" w:rsidRDefault="008B75A0" w:rsidP="006F2C89">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i z p o s t a v a</w:t>
            </w:r>
          </w:p>
        </w:tc>
        <w:tc>
          <w:tcPr>
            <w:tcW w:w="1155" w:type="dxa"/>
            <w:vMerge/>
            <w:tcBorders>
              <w:top w:val="single" w:sz="4" w:space="0" w:color="000000"/>
              <w:left w:val="single" w:sz="4" w:space="0" w:color="000000"/>
              <w:bottom w:val="single" w:sz="4" w:space="0" w:color="000000"/>
              <w:right w:val="single" w:sz="4" w:space="0" w:color="000000"/>
            </w:tcBorders>
            <w:vAlign w:val="center"/>
          </w:tcPr>
          <w:p w14:paraId="535C0ACC" w14:textId="77777777" w:rsidR="008B75A0" w:rsidRPr="005E4BEA" w:rsidRDefault="008B75A0" w:rsidP="006F2C89">
            <w:pPr>
              <w:autoSpaceDE w:val="0"/>
              <w:autoSpaceDN w:val="0"/>
              <w:adjustRightInd w:val="0"/>
              <w:spacing w:after="240" w:line="240" w:lineRule="auto"/>
              <w:jc w:val="both"/>
              <w:rPr>
                <w:rFonts w:eastAsia="Calibri" w:cs="Arial"/>
                <w:b/>
                <w:bCs/>
                <w:color w:val="000000"/>
                <w:szCs w:val="20"/>
                <w:lang w:eastAsia="sl-SI"/>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0D170B2E" w14:textId="77777777" w:rsidR="008B75A0" w:rsidRPr="005E4BEA" w:rsidRDefault="008B75A0" w:rsidP="006F2C89">
            <w:pPr>
              <w:autoSpaceDE w:val="0"/>
              <w:autoSpaceDN w:val="0"/>
              <w:adjustRightInd w:val="0"/>
              <w:spacing w:after="240" w:line="240" w:lineRule="auto"/>
              <w:jc w:val="both"/>
              <w:rPr>
                <w:rFonts w:eastAsia="Calibri" w:cs="Arial"/>
                <w:b/>
                <w:bCs/>
                <w:color w:val="000000"/>
                <w:szCs w:val="20"/>
                <w:lang w:eastAsia="sl-SI"/>
              </w:rPr>
            </w:pPr>
            <w:r w:rsidRPr="005E4BEA">
              <w:rPr>
                <w:rFonts w:eastAsia="Calibri" w:cs="Arial"/>
                <w:b/>
                <w:bCs/>
                <w:color w:val="000000"/>
                <w:szCs w:val="20"/>
                <w:lang w:eastAsia="sl-SI"/>
              </w:rPr>
              <w:t>na letni ravni</w:t>
            </w:r>
          </w:p>
        </w:tc>
        <w:tc>
          <w:tcPr>
            <w:tcW w:w="1417" w:type="dxa"/>
            <w:tcBorders>
              <w:top w:val="single" w:sz="4" w:space="0" w:color="000000"/>
              <w:left w:val="single" w:sz="4" w:space="0" w:color="000000"/>
              <w:bottom w:val="single" w:sz="4" w:space="0" w:color="000000"/>
              <w:right w:val="single" w:sz="4" w:space="0" w:color="000000"/>
            </w:tcBorders>
            <w:vAlign w:val="center"/>
          </w:tcPr>
          <w:p w14:paraId="481499BC" w14:textId="77777777" w:rsidR="008B75A0" w:rsidRPr="005E4BEA" w:rsidRDefault="008B75A0" w:rsidP="006F2C89">
            <w:pPr>
              <w:autoSpaceDE w:val="0"/>
              <w:autoSpaceDN w:val="0"/>
              <w:adjustRightInd w:val="0"/>
              <w:spacing w:after="240" w:line="240" w:lineRule="auto"/>
              <w:jc w:val="center"/>
              <w:rPr>
                <w:rFonts w:eastAsia="Calibri" w:cs="Arial"/>
                <w:b/>
                <w:bCs/>
                <w:color w:val="000000"/>
                <w:szCs w:val="20"/>
                <w:lang w:eastAsia="sl-SI"/>
              </w:rPr>
            </w:pPr>
            <w:r w:rsidRPr="005E4BEA">
              <w:rPr>
                <w:rFonts w:eastAsia="Calibri" w:cs="Arial"/>
                <w:b/>
                <w:bCs/>
                <w:color w:val="000000"/>
                <w:szCs w:val="20"/>
                <w:lang w:eastAsia="sl-SI"/>
              </w:rPr>
              <w:t>1. 7.–31. 12. 2022</w:t>
            </w:r>
          </w:p>
        </w:tc>
      </w:tr>
      <w:tr w:rsidR="008B75A0" w:rsidRPr="005E4BEA" w14:paraId="5E5D5BBA" w14:textId="77777777" w:rsidTr="006F2C89">
        <w:trPr>
          <w:gridAfter w:val="1"/>
          <w:wAfter w:w="1371" w:type="dxa"/>
          <w:trHeight w:val="300"/>
        </w:trPr>
        <w:tc>
          <w:tcPr>
            <w:tcW w:w="3106" w:type="dxa"/>
            <w:vMerge/>
            <w:tcBorders>
              <w:top w:val="single" w:sz="4" w:space="0" w:color="000000"/>
              <w:left w:val="single" w:sz="4" w:space="0" w:color="000000"/>
              <w:bottom w:val="single" w:sz="4" w:space="0" w:color="000000"/>
              <w:right w:val="single" w:sz="4" w:space="0" w:color="000000"/>
            </w:tcBorders>
            <w:vAlign w:val="center"/>
          </w:tcPr>
          <w:p w14:paraId="03C7C1D9" w14:textId="77777777" w:rsidR="008B75A0" w:rsidRPr="005E4BEA" w:rsidRDefault="008B75A0" w:rsidP="006F2C89">
            <w:pPr>
              <w:autoSpaceDE w:val="0"/>
              <w:autoSpaceDN w:val="0"/>
              <w:adjustRightInd w:val="0"/>
              <w:spacing w:line="240" w:lineRule="auto"/>
              <w:rPr>
                <w:rFonts w:eastAsia="Calibri" w:cs="Arial"/>
                <w:b/>
                <w:bCs/>
                <w:color w:val="000000"/>
                <w:szCs w:val="20"/>
                <w:lang w:eastAsia="sl-SI"/>
              </w:rPr>
            </w:pPr>
          </w:p>
        </w:tc>
        <w:tc>
          <w:tcPr>
            <w:tcW w:w="1839" w:type="dxa"/>
            <w:tcBorders>
              <w:top w:val="single" w:sz="4" w:space="0" w:color="000000"/>
              <w:left w:val="single" w:sz="4" w:space="0" w:color="000000"/>
              <w:bottom w:val="single" w:sz="4" w:space="0" w:color="000000"/>
              <w:right w:val="single" w:sz="4" w:space="0" w:color="000000"/>
            </w:tcBorders>
            <w:vAlign w:val="center"/>
          </w:tcPr>
          <w:p w14:paraId="2164566F" w14:textId="77777777" w:rsidR="008B75A0" w:rsidRPr="005E4BEA" w:rsidRDefault="008B75A0" w:rsidP="006F2C89">
            <w:pPr>
              <w:autoSpaceDE w:val="0"/>
              <w:autoSpaceDN w:val="0"/>
              <w:adjustRightInd w:val="0"/>
              <w:spacing w:after="240" w:line="240" w:lineRule="auto"/>
              <w:jc w:val="both"/>
              <w:rPr>
                <w:rFonts w:eastAsia="Calibri" w:cs="Arial"/>
                <w:color w:val="000000"/>
                <w:szCs w:val="20"/>
                <w:lang w:eastAsia="sl-SI"/>
              </w:rPr>
            </w:pPr>
            <w:r w:rsidRPr="005E4BEA">
              <w:rPr>
                <w:rFonts w:eastAsia="Calibri" w:cs="Arial"/>
                <w:color w:val="000000"/>
                <w:szCs w:val="20"/>
                <w:lang w:eastAsia="sl-SI"/>
              </w:rPr>
              <w:t xml:space="preserve"> </w:t>
            </w:r>
          </w:p>
        </w:tc>
        <w:tc>
          <w:tcPr>
            <w:tcW w:w="1155" w:type="dxa"/>
            <w:vMerge/>
            <w:tcBorders>
              <w:top w:val="single" w:sz="4" w:space="0" w:color="000000"/>
              <w:left w:val="single" w:sz="4" w:space="0" w:color="000000"/>
              <w:bottom w:val="single" w:sz="4" w:space="0" w:color="000000"/>
              <w:right w:val="single" w:sz="4" w:space="0" w:color="000000"/>
            </w:tcBorders>
            <w:vAlign w:val="center"/>
          </w:tcPr>
          <w:p w14:paraId="2154A76F" w14:textId="77777777" w:rsidR="008B75A0" w:rsidRPr="005E4BEA" w:rsidRDefault="008B75A0" w:rsidP="006F2C89">
            <w:pPr>
              <w:autoSpaceDE w:val="0"/>
              <w:autoSpaceDN w:val="0"/>
              <w:adjustRightInd w:val="0"/>
              <w:spacing w:after="240" w:line="240" w:lineRule="auto"/>
              <w:jc w:val="both"/>
              <w:rPr>
                <w:rFonts w:eastAsia="Calibri" w:cs="Arial"/>
                <w:color w:val="000000"/>
                <w:szCs w:val="20"/>
                <w:lang w:eastAsia="sl-SI"/>
              </w:rPr>
            </w:pPr>
          </w:p>
        </w:tc>
        <w:tc>
          <w:tcPr>
            <w:tcW w:w="1550" w:type="dxa"/>
            <w:tcBorders>
              <w:top w:val="single" w:sz="4" w:space="0" w:color="000000"/>
              <w:left w:val="single" w:sz="4" w:space="0" w:color="000000"/>
              <w:bottom w:val="single" w:sz="4" w:space="0" w:color="000000"/>
              <w:right w:val="single" w:sz="4" w:space="0" w:color="000000"/>
            </w:tcBorders>
            <w:vAlign w:val="center"/>
          </w:tcPr>
          <w:p w14:paraId="47A80F43" w14:textId="77777777" w:rsidR="008B75A0" w:rsidRPr="005E4BEA" w:rsidRDefault="008B75A0" w:rsidP="006F2C89">
            <w:pPr>
              <w:autoSpaceDE w:val="0"/>
              <w:autoSpaceDN w:val="0"/>
              <w:adjustRightInd w:val="0"/>
              <w:spacing w:after="240" w:line="240" w:lineRule="auto"/>
              <w:jc w:val="center"/>
              <w:rPr>
                <w:rFonts w:eastAsia="Calibri" w:cs="Arial"/>
                <w:b/>
                <w:bCs/>
                <w:color w:val="000000"/>
                <w:szCs w:val="20"/>
                <w:lang w:eastAsia="sl-SI"/>
              </w:rPr>
            </w:pPr>
            <w:r w:rsidRPr="005E4BEA">
              <w:rPr>
                <w:rFonts w:eastAsia="Calibri" w:cs="Arial"/>
                <w:b/>
                <w:bCs/>
                <w:color w:val="000000"/>
                <w:szCs w:val="20"/>
                <w:lang w:eastAsia="sl-SI"/>
              </w:rPr>
              <w:t>(v EUR)</w:t>
            </w:r>
          </w:p>
        </w:tc>
        <w:tc>
          <w:tcPr>
            <w:tcW w:w="1417" w:type="dxa"/>
            <w:tcBorders>
              <w:top w:val="single" w:sz="4" w:space="0" w:color="000000"/>
              <w:left w:val="single" w:sz="4" w:space="0" w:color="000000"/>
              <w:bottom w:val="single" w:sz="4" w:space="0" w:color="000000"/>
              <w:right w:val="single" w:sz="4" w:space="0" w:color="000000"/>
            </w:tcBorders>
            <w:vAlign w:val="center"/>
          </w:tcPr>
          <w:p w14:paraId="155E5130" w14:textId="77777777" w:rsidR="008B75A0" w:rsidRPr="005E4BEA" w:rsidRDefault="008B75A0" w:rsidP="006F2C89">
            <w:pPr>
              <w:autoSpaceDE w:val="0"/>
              <w:autoSpaceDN w:val="0"/>
              <w:adjustRightInd w:val="0"/>
              <w:spacing w:after="240" w:line="240" w:lineRule="auto"/>
              <w:jc w:val="center"/>
              <w:rPr>
                <w:rFonts w:eastAsia="Calibri" w:cs="Arial"/>
                <w:b/>
                <w:bCs/>
                <w:color w:val="000000"/>
                <w:szCs w:val="20"/>
                <w:lang w:eastAsia="sl-SI"/>
              </w:rPr>
            </w:pPr>
            <w:r w:rsidRPr="005E4BEA">
              <w:rPr>
                <w:rFonts w:eastAsia="Calibri" w:cs="Arial"/>
                <w:b/>
                <w:bCs/>
                <w:color w:val="000000"/>
                <w:szCs w:val="20"/>
                <w:lang w:eastAsia="sl-SI"/>
              </w:rPr>
              <w:t>(v EUR)</w:t>
            </w:r>
          </w:p>
        </w:tc>
      </w:tr>
      <w:tr w:rsidR="008B75A0" w:rsidRPr="005E4BEA" w14:paraId="5AC0291E" w14:textId="77777777" w:rsidTr="006F2C89">
        <w:trPr>
          <w:trHeight w:val="745"/>
        </w:trPr>
        <w:tc>
          <w:tcPr>
            <w:tcW w:w="3106" w:type="dxa"/>
            <w:tcBorders>
              <w:top w:val="single" w:sz="4" w:space="0" w:color="000000"/>
              <w:left w:val="single" w:sz="4" w:space="0" w:color="000000"/>
              <w:bottom w:val="single" w:sz="4" w:space="0" w:color="auto"/>
              <w:right w:val="single" w:sz="4" w:space="0" w:color="000000"/>
            </w:tcBorders>
            <w:vAlign w:val="center"/>
          </w:tcPr>
          <w:p w14:paraId="3E94DEBD" w14:textId="77777777" w:rsidR="008B75A0" w:rsidRPr="005E4BEA" w:rsidRDefault="008B75A0" w:rsidP="006F2C89">
            <w:pPr>
              <w:spacing w:after="160" w:line="259" w:lineRule="auto"/>
              <w:rPr>
                <w:rFonts w:eastAsia="Calibri" w:cs="Arial"/>
                <w:color w:val="000000"/>
                <w:szCs w:val="20"/>
                <w:lang w:eastAsia="sl-SI"/>
              </w:rPr>
            </w:pPr>
            <w:r w:rsidRPr="005E4BEA">
              <w:rPr>
                <w:rFonts w:eastAsia="Calibri" w:cs="Arial"/>
                <w:color w:val="000000"/>
                <w:szCs w:val="20"/>
                <w:lang w:eastAsia="sl-SI"/>
              </w:rPr>
              <w:t xml:space="preserve">238 273 DISPEČERSKA SLUŽBA -DMS </w:t>
            </w:r>
          </w:p>
        </w:tc>
        <w:tc>
          <w:tcPr>
            <w:tcW w:w="1839" w:type="dxa"/>
            <w:tcBorders>
              <w:top w:val="single" w:sz="4" w:space="0" w:color="000000"/>
              <w:left w:val="single" w:sz="4" w:space="0" w:color="000000"/>
              <w:bottom w:val="single" w:sz="4" w:space="0" w:color="auto"/>
              <w:right w:val="single" w:sz="4" w:space="0" w:color="000000"/>
            </w:tcBorders>
            <w:vAlign w:val="center"/>
          </w:tcPr>
          <w:p w14:paraId="7031CF46" w14:textId="77777777" w:rsidR="008B75A0" w:rsidRPr="005E4BEA" w:rsidRDefault="008B75A0" w:rsidP="006F2C89">
            <w:pPr>
              <w:widowControl w:val="0"/>
              <w:suppressAutoHyphens/>
              <w:autoSpaceDN w:val="0"/>
              <w:spacing w:line="240" w:lineRule="auto"/>
              <w:rPr>
                <w:rFonts w:eastAsia="SimSun" w:cs="Arial"/>
                <w:color w:val="000000"/>
                <w:kern w:val="3"/>
                <w:szCs w:val="20"/>
                <w:lang w:eastAsia="zh-CN" w:bidi="hi-IN"/>
              </w:rPr>
            </w:pPr>
            <w:r w:rsidRPr="005E4BEA">
              <w:rPr>
                <w:rFonts w:eastAsia="SimSun" w:cs="Arial"/>
                <w:color w:val="000000"/>
                <w:kern w:val="3"/>
                <w:szCs w:val="20"/>
                <w:lang w:eastAsia="zh-CN" w:bidi="hi-IN"/>
              </w:rPr>
              <w:t>UKC Ljubljana</w:t>
            </w:r>
          </w:p>
        </w:tc>
        <w:tc>
          <w:tcPr>
            <w:tcW w:w="1155" w:type="dxa"/>
            <w:tcBorders>
              <w:top w:val="single" w:sz="4" w:space="0" w:color="000000"/>
              <w:left w:val="single" w:sz="4" w:space="0" w:color="000000"/>
              <w:bottom w:val="single" w:sz="4" w:space="0" w:color="auto"/>
              <w:right w:val="single" w:sz="4" w:space="0" w:color="000000"/>
            </w:tcBorders>
            <w:vAlign w:val="center"/>
          </w:tcPr>
          <w:p w14:paraId="41E9AFBC" w14:textId="77777777" w:rsidR="008B75A0" w:rsidRPr="005E4BEA" w:rsidRDefault="008B75A0" w:rsidP="006F2C89">
            <w:pPr>
              <w:autoSpaceDE w:val="0"/>
              <w:autoSpaceDN w:val="0"/>
              <w:adjustRightInd w:val="0"/>
              <w:spacing w:after="240" w:line="240" w:lineRule="auto"/>
              <w:rPr>
                <w:rFonts w:eastAsia="Calibri" w:cs="Arial"/>
                <w:color w:val="000000"/>
                <w:szCs w:val="20"/>
                <w:lang w:eastAsia="sl-SI"/>
              </w:rPr>
            </w:pPr>
            <w:r w:rsidRPr="005E4BEA">
              <w:rPr>
                <w:rFonts w:eastAsia="Calibri" w:cs="Arial"/>
                <w:color w:val="000000"/>
                <w:szCs w:val="20"/>
                <w:lang w:eastAsia="sl-SI"/>
              </w:rPr>
              <w:t>2,14</w:t>
            </w:r>
          </w:p>
        </w:tc>
        <w:tc>
          <w:tcPr>
            <w:tcW w:w="1550" w:type="dxa"/>
            <w:tcBorders>
              <w:top w:val="single" w:sz="4" w:space="0" w:color="000000"/>
              <w:left w:val="single" w:sz="4" w:space="0" w:color="000000"/>
              <w:bottom w:val="single" w:sz="4" w:space="0" w:color="auto"/>
              <w:right w:val="single" w:sz="4" w:space="0" w:color="000000"/>
            </w:tcBorders>
            <w:vAlign w:val="center"/>
          </w:tcPr>
          <w:p w14:paraId="3D078A27" w14:textId="77777777" w:rsidR="008B75A0" w:rsidRPr="005E4BEA" w:rsidRDefault="008B75A0" w:rsidP="006F2C89">
            <w:pPr>
              <w:spacing w:after="160" w:line="259" w:lineRule="auto"/>
              <w:rPr>
                <w:rFonts w:eastAsia="Calibri" w:cs="Arial"/>
                <w:color w:val="000000"/>
                <w:szCs w:val="20"/>
              </w:rPr>
            </w:pPr>
            <w:r w:rsidRPr="005E4BEA">
              <w:rPr>
                <w:rFonts w:eastAsia="Calibri" w:cs="Arial"/>
                <w:color w:val="000000"/>
                <w:szCs w:val="20"/>
              </w:rPr>
              <w:t>644.639,39</w:t>
            </w:r>
          </w:p>
        </w:tc>
        <w:tc>
          <w:tcPr>
            <w:tcW w:w="1417" w:type="dxa"/>
            <w:tcBorders>
              <w:top w:val="single" w:sz="4" w:space="0" w:color="000000"/>
              <w:left w:val="single" w:sz="4" w:space="0" w:color="000000"/>
              <w:bottom w:val="single" w:sz="4" w:space="0" w:color="auto"/>
              <w:right w:val="single" w:sz="4" w:space="0" w:color="000000"/>
            </w:tcBorders>
            <w:vAlign w:val="center"/>
          </w:tcPr>
          <w:p w14:paraId="654BBF40" w14:textId="77777777" w:rsidR="008B75A0" w:rsidRPr="005E4BEA" w:rsidRDefault="008B75A0" w:rsidP="006F2C89">
            <w:pPr>
              <w:spacing w:line="240" w:lineRule="auto"/>
              <w:rPr>
                <w:rFonts w:cs="Arial"/>
                <w:color w:val="000000"/>
                <w:szCs w:val="20"/>
              </w:rPr>
            </w:pPr>
          </w:p>
          <w:p w14:paraId="25F4E639" w14:textId="77777777" w:rsidR="008B75A0" w:rsidRPr="005E4BEA" w:rsidRDefault="008B75A0" w:rsidP="006F2C89">
            <w:pPr>
              <w:spacing w:line="240" w:lineRule="auto"/>
              <w:rPr>
                <w:rFonts w:cs="Arial"/>
                <w:color w:val="000000"/>
                <w:szCs w:val="20"/>
                <w:lang w:eastAsia="sl-SI"/>
              </w:rPr>
            </w:pPr>
            <w:r w:rsidRPr="005E4BEA">
              <w:rPr>
                <w:rFonts w:cs="Arial"/>
                <w:color w:val="000000"/>
                <w:szCs w:val="20"/>
              </w:rPr>
              <w:t>322.319,70</w:t>
            </w:r>
          </w:p>
          <w:p w14:paraId="3F30E8BB" w14:textId="77777777" w:rsidR="008B75A0" w:rsidRPr="005E4BEA" w:rsidRDefault="008B75A0" w:rsidP="006F2C89">
            <w:pPr>
              <w:spacing w:after="160" w:line="259" w:lineRule="auto"/>
              <w:rPr>
                <w:rFonts w:eastAsia="Calibri" w:cs="Arial"/>
                <w:szCs w:val="20"/>
              </w:rPr>
            </w:pPr>
          </w:p>
        </w:tc>
        <w:tc>
          <w:tcPr>
            <w:tcW w:w="1371" w:type="dxa"/>
          </w:tcPr>
          <w:p w14:paraId="525D2779" w14:textId="77777777" w:rsidR="008B75A0" w:rsidRPr="005E4BEA" w:rsidRDefault="008B75A0" w:rsidP="006F2C89">
            <w:pPr>
              <w:spacing w:line="240" w:lineRule="auto"/>
              <w:rPr>
                <w:rFonts w:eastAsia="Calibri" w:cs="Arial"/>
                <w:color w:val="000000"/>
                <w:szCs w:val="20"/>
                <w:lang w:eastAsia="sl-SI"/>
              </w:rPr>
            </w:pPr>
          </w:p>
        </w:tc>
      </w:tr>
      <w:tr w:rsidR="008B75A0" w:rsidRPr="005E4BEA" w14:paraId="169E9FB4" w14:textId="77777777" w:rsidTr="006F2C89">
        <w:trPr>
          <w:trHeight w:val="745"/>
        </w:trPr>
        <w:tc>
          <w:tcPr>
            <w:tcW w:w="3106" w:type="dxa"/>
            <w:tcBorders>
              <w:top w:val="single" w:sz="4" w:space="0" w:color="000000"/>
              <w:left w:val="single" w:sz="4" w:space="0" w:color="000000"/>
              <w:bottom w:val="single" w:sz="4" w:space="0" w:color="auto"/>
              <w:right w:val="single" w:sz="4" w:space="0" w:color="000000"/>
            </w:tcBorders>
            <w:vAlign w:val="center"/>
          </w:tcPr>
          <w:p w14:paraId="18F64DC6" w14:textId="77777777" w:rsidR="008B75A0" w:rsidRPr="005E4BEA" w:rsidRDefault="008B75A0" w:rsidP="006F2C89">
            <w:pPr>
              <w:spacing w:after="160" w:line="259" w:lineRule="auto"/>
              <w:rPr>
                <w:rFonts w:eastAsia="Calibri" w:cs="Arial"/>
                <w:color w:val="000000"/>
                <w:szCs w:val="20"/>
                <w:lang w:eastAsia="sl-SI"/>
              </w:rPr>
            </w:pPr>
            <w:r w:rsidRPr="005E4BEA">
              <w:rPr>
                <w:rFonts w:eastAsia="Calibri" w:cs="Arial"/>
                <w:color w:val="000000"/>
                <w:szCs w:val="20"/>
                <w:lang w:eastAsia="sl-SI"/>
              </w:rPr>
              <w:t>238 274 DISPEČERSKA SLUŽBA -ZT</w:t>
            </w:r>
          </w:p>
        </w:tc>
        <w:tc>
          <w:tcPr>
            <w:tcW w:w="1839" w:type="dxa"/>
            <w:tcBorders>
              <w:top w:val="single" w:sz="4" w:space="0" w:color="000000"/>
              <w:left w:val="single" w:sz="4" w:space="0" w:color="000000"/>
              <w:bottom w:val="single" w:sz="4" w:space="0" w:color="auto"/>
              <w:right w:val="single" w:sz="4" w:space="0" w:color="000000"/>
            </w:tcBorders>
            <w:vAlign w:val="center"/>
          </w:tcPr>
          <w:p w14:paraId="3C1271A8" w14:textId="77777777" w:rsidR="008B75A0" w:rsidRPr="005E4BEA" w:rsidRDefault="008B75A0" w:rsidP="006F2C89">
            <w:pPr>
              <w:widowControl w:val="0"/>
              <w:suppressAutoHyphens/>
              <w:autoSpaceDN w:val="0"/>
              <w:spacing w:line="240" w:lineRule="auto"/>
              <w:jc w:val="center"/>
              <w:rPr>
                <w:rFonts w:eastAsia="SimSun" w:cs="Arial"/>
                <w:color w:val="000000"/>
                <w:kern w:val="3"/>
                <w:szCs w:val="20"/>
                <w:lang w:eastAsia="zh-CN" w:bidi="hi-IN"/>
              </w:rPr>
            </w:pPr>
            <w:r w:rsidRPr="005E4BEA">
              <w:rPr>
                <w:rFonts w:eastAsia="SimSun" w:cs="Arial"/>
                <w:color w:val="000000"/>
                <w:kern w:val="3"/>
                <w:szCs w:val="20"/>
                <w:lang w:eastAsia="zh-CN" w:bidi="hi-IN"/>
              </w:rPr>
              <w:t>UKC Ljubljana</w:t>
            </w:r>
          </w:p>
        </w:tc>
        <w:tc>
          <w:tcPr>
            <w:tcW w:w="1155" w:type="dxa"/>
            <w:tcBorders>
              <w:top w:val="single" w:sz="4" w:space="0" w:color="000000"/>
              <w:left w:val="single" w:sz="4" w:space="0" w:color="000000"/>
              <w:bottom w:val="single" w:sz="4" w:space="0" w:color="auto"/>
              <w:right w:val="single" w:sz="4" w:space="0" w:color="000000"/>
            </w:tcBorders>
            <w:vAlign w:val="center"/>
          </w:tcPr>
          <w:p w14:paraId="2A9F13DF" w14:textId="77777777" w:rsidR="008B75A0" w:rsidRPr="005E4BEA" w:rsidRDefault="008B75A0" w:rsidP="006F2C89">
            <w:pPr>
              <w:autoSpaceDE w:val="0"/>
              <w:autoSpaceDN w:val="0"/>
              <w:adjustRightInd w:val="0"/>
              <w:spacing w:after="240" w:line="240" w:lineRule="auto"/>
              <w:rPr>
                <w:rFonts w:eastAsia="Calibri" w:cs="Arial"/>
                <w:color w:val="000000"/>
                <w:szCs w:val="20"/>
                <w:lang w:eastAsia="sl-SI"/>
              </w:rPr>
            </w:pPr>
          </w:p>
          <w:p w14:paraId="33CA23AF" w14:textId="77777777" w:rsidR="008B75A0" w:rsidRPr="005E4BEA" w:rsidRDefault="008B75A0" w:rsidP="006F2C89">
            <w:pPr>
              <w:autoSpaceDE w:val="0"/>
              <w:autoSpaceDN w:val="0"/>
              <w:adjustRightInd w:val="0"/>
              <w:spacing w:after="240" w:line="240" w:lineRule="auto"/>
              <w:rPr>
                <w:rFonts w:eastAsia="Calibri" w:cs="Arial"/>
                <w:color w:val="000000"/>
                <w:szCs w:val="20"/>
                <w:lang w:eastAsia="sl-SI"/>
              </w:rPr>
            </w:pPr>
            <w:r w:rsidRPr="005E4BEA">
              <w:rPr>
                <w:rFonts w:eastAsia="Calibri" w:cs="Arial"/>
                <w:color w:val="000000"/>
                <w:szCs w:val="20"/>
                <w:lang w:eastAsia="sl-SI"/>
              </w:rPr>
              <w:t>1,6</w:t>
            </w:r>
          </w:p>
        </w:tc>
        <w:tc>
          <w:tcPr>
            <w:tcW w:w="1550" w:type="dxa"/>
            <w:tcBorders>
              <w:top w:val="single" w:sz="4" w:space="0" w:color="000000"/>
              <w:left w:val="single" w:sz="4" w:space="0" w:color="000000"/>
              <w:bottom w:val="single" w:sz="4" w:space="0" w:color="auto"/>
              <w:right w:val="single" w:sz="4" w:space="0" w:color="000000"/>
            </w:tcBorders>
            <w:vAlign w:val="center"/>
          </w:tcPr>
          <w:p w14:paraId="6CC7C9F6" w14:textId="77777777" w:rsidR="008B75A0" w:rsidRPr="005E4BEA" w:rsidRDefault="008B75A0" w:rsidP="006F2C89">
            <w:pPr>
              <w:spacing w:line="240" w:lineRule="auto"/>
              <w:rPr>
                <w:rFonts w:eastAsia="Calibri" w:cs="Arial"/>
                <w:color w:val="000000"/>
                <w:szCs w:val="20"/>
              </w:rPr>
            </w:pPr>
            <w:r w:rsidRPr="005E4BEA">
              <w:rPr>
                <w:rFonts w:eastAsia="Calibri" w:cs="Arial"/>
                <w:color w:val="000000"/>
                <w:szCs w:val="20"/>
              </w:rPr>
              <w:t>319.341,66</w:t>
            </w:r>
          </w:p>
        </w:tc>
        <w:tc>
          <w:tcPr>
            <w:tcW w:w="1417" w:type="dxa"/>
            <w:tcBorders>
              <w:top w:val="single" w:sz="4" w:space="0" w:color="000000"/>
              <w:left w:val="single" w:sz="4" w:space="0" w:color="000000"/>
              <w:bottom w:val="single" w:sz="4" w:space="0" w:color="auto"/>
              <w:right w:val="single" w:sz="4" w:space="0" w:color="000000"/>
            </w:tcBorders>
            <w:vAlign w:val="center"/>
          </w:tcPr>
          <w:p w14:paraId="479BD6F5" w14:textId="77777777" w:rsidR="008B75A0" w:rsidRPr="005E4BEA" w:rsidRDefault="008B75A0" w:rsidP="006F2C89">
            <w:pPr>
              <w:spacing w:line="240" w:lineRule="auto"/>
              <w:rPr>
                <w:rFonts w:cs="Arial"/>
                <w:color w:val="000000"/>
                <w:szCs w:val="20"/>
              </w:rPr>
            </w:pPr>
          </w:p>
          <w:p w14:paraId="409240C2" w14:textId="77777777" w:rsidR="008B75A0" w:rsidRPr="005E4BEA" w:rsidRDefault="008B75A0" w:rsidP="006F2C89">
            <w:pPr>
              <w:spacing w:line="240" w:lineRule="auto"/>
              <w:rPr>
                <w:rFonts w:cs="Arial"/>
                <w:color w:val="000000"/>
                <w:szCs w:val="20"/>
                <w:lang w:eastAsia="sl-SI"/>
              </w:rPr>
            </w:pPr>
            <w:r w:rsidRPr="005E4BEA">
              <w:rPr>
                <w:rFonts w:cs="Arial"/>
                <w:color w:val="000000"/>
                <w:szCs w:val="20"/>
              </w:rPr>
              <w:t>159.670,83</w:t>
            </w:r>
          </w:p>
          <w:p w14:paraId="45CB1E74" w14:textId="77777777" w:rsidR="008B75A0" w:rsidRPr="005E4BEA" w:rsidRDefault="008B75A0" w:rsidP="006F2C89">
            <w:pPr>
              <w:spacing w:after="160" w:line="259" w:lineRule="auto"/>
              <w:jc w:val="center"/>
              <w:rPr>
                <w:rFonts w:eastAsia="Calibri" w:cs="Arial"/>
                <w:color w:val="000000"/>
                <w:szCs w:val="20"/>
              </w:rPr>
            </w:pPr>
          </w:p>
        </w:tc>
        <w:tc>
          <w:tcPr>
            <w:tcW w:w="1371" w:type="dxa"/>
          </w:tcPr>
          <w:p w14:paraId="1C5C2907" w14:textId="77777777" w:rsidR="008B75A0" w:rsidRPr="005E4BEA" w:rsidRDefault="008B75A0" w:rsidP="006F2C89">
            <w:pPr>
              <w:spacing w:line="240" w:lineRule="auto"/>
              <w:rPr>
                <w:rFonts w:eastAsia="Calibri" w:cs="Arial"/>
                <w:color w:val="000000"/>
                <w:szCs w:val="20"/>
                <w:lang w:eastAsia="sl-SI"/>
              </w:rPr>
            </w:pPr>
          </w:p>
        </w:tc>
      </w:tr>
      <w:tr w:rsidR="008B75A0" w:rsidRPr="005E4BEA" w14:paraId="3B0608EC" w14:textId="77777777" w:rsidTr="006F2C89">
        <w:trPr>
          <w:gridAfter w:val="1"/>
          <w:wAfter w:w="1371" w:type="dxa"/>
          <w:trHeight w:val="745"/>
        </w:trPr>
        <w:tc>
          <w:tcPr>
            <w:tcW w:w="3106" w:type="dxa"/>
            <w:tcBorders>
              <w:top w:val="single" w:sz="4" w:space="0" w:color="000000"/>
              <w:left w:val="single" w:sz="4" w:space="0" w:color="000000"/>
              <w:bottom w:val="single" w:sz="4" w:space="0" w:color="auto"/>
              <w:right w:val="single" w:sz="4" w:space="0" w:color="000000"/>
            </w:tcBorders>
            <w:vAlign w:val="center"/>
          </w:tcPr>
          <w:p w14:paraId="5E616BAB" w14:textId="77777777" w:rsidR="008B75A0" w:rsidRPr="005E4BEA" w:rsidRDefault="008B75A0" w:rsidP="006F2C89">
            <w:pPr>
              <w:spacing w:after="160" w:line="259" w:lineRule="auto"/>
              <w:rPr>
                <w:rFonts w:eastAsia="Calibri" w:cs="Arial"/>
                <w:color w:val="000000"/>
                <w:szCs w:val="20"/>
                <w:lang w:eastAsia="sl-SI"/>
              </w:rPr>
            </w:pPr>
            <w:r w:rsidRPr="005E4BEA">
              <w:rPr>
                <w:rFonts w:eastAsia="Calibri" w:cs="Arial"/>
                <w:color w:val="000000"/>
                <w:szCs w:val="20"/>
                <w:lang w:eastAsia="sl-SI"/>
              </w:rPr>
              <w:t>238 275 DISPEČERSKA SLUŽBA -ZDRAVNIK</w:t>
            </w:r>
          </w:p>
        </w:tc>
        <w:tc>
          <w:tcPr>
            <w:tcW w:w="1839" w:type="dxa"/>
            <w:tcBorders>
              <w:top w:val="single" w:sz="4" w:space="0" w:color="000000"/>
              <w:left w:val="single" w:sz="4" w:space="0" w:color="000000"/>
              <w:bottom w:val="single" w:sz="4" w:space="0" w:color="auto"/>
              <w:right w:val="single" w:sz="4" w:space="0" w:color="000000"/>
            </w:tcBorders>
            <w:vAlign w:val="center"/>
          </w:tcPr>
          <w:p w14:paraId="5A6C7090" w14:textId="77777777" w:rsidR="008B75A0" w:rsidRPr="005E4BEA" w:rsidRDefault="008B75A0" w:rsidP="006F2C89">
            <w:pPr>
              <w:widowControl w:val="0"/>
              <w:suppressAutoHyphens/>
              <w:autoSpaceDN w:val="0"/>
              <w:spacing w:line="240" w:lineRule="auto"/>
              <w:jc w:val="center"/>
              <w:rPr>
                <w:rFonts w:eastAsia="SimSun" w:cs="Arial"/>
                <w:color w:val="000000"/>
                <w:kern w:val="3"/>
                <w:szCs w:val="20"/>
                <w:lang w:eastAsia="zh-CN" w:bidi="hi-IN"/>
              </w:rPr>
            </w:pPr>
            <w:r w:rsidRPr="005E4BEA">
              <w:rPr>
                <w:rFonts w:eastAsia="SimSun" w:cs="Arial"/>
                <w:color w:val="000000"/>
                <w:kern w:val="3"/>
                <w:szCs w:val="20"/>
                <w:lang w:eastAsia="zh-CN" w:bidi="hi-IN"/>
              </w:rPr>
              <w:t>UKC Ljubljana</w:t>
            </w:r>
          </w:p>
        </w:tc>
        <w:tc>
          <w:tcPr>
            <w:tcW w:w="1155" w:type="dxa"/>
            <w:tcBorders>
              <w:top w:val="single" w:sz="4" w:space="0" w:color="000000"/>
              <w:left w:val="single" w:sz="4" w:space="0" w:color="000000"/>
              <w:bottom w:val="single" w:sz="4" w:space="0" w:color="auto"/>
              <w:right w:val="single" w:sz="4" w:space="0" w:color="000000"/>
            </w:tcBorders>
            <w:vAlign w:val="bottom"/>
          </w:tcPr>
          <w:p w14:paraId="0D271E4E" w14:textId="77777777" w:rsidR="008B75A0" w:rsidRPr="005E4BEA" w:rsidRDefault="008B75A0" w:rsidP="006F2C89">
            <w:pPr>
              <w:autoSpaceDE w:val="0"/>
              <w:autoSpaceDN w:val="0"/>
              <w:adjustRightInd w:val="0"/>
              <w:spacing w:after="240" w:line="240" w:lineRule="auto"/>
              <w:rPr>
                <w:rFonts w:eastAsia="Calibri" w:cs="Arial"/>
                <w:color w:val="000000"/>
                <w:szCs w:val="20"/>
                <w:lang w:eastAsia="sl-SI"/>
              </w:rPr>
            </w:pPr>
            <w:r w:rsidRPr="005E4BEA">
              <w:rPr>
                <w:rFonts w:eastAsia="Calibri" w:cs="Arial"/>
                <w:color w:val="000000"/>
                <w:szCs w:val="20"/>
                <w:lang w:eastAsia="sl-SI"/>
              </w:rPr>
              <w:t>1,8</w:t>
            </w:r>
          </w:p>
        </w:tc>
        <w:tc>
          <w:tcPr>
            <w:tcW w:w="1550" w:type="dxa"/>
            <w:tcBorders>
              <w:top w:val="single" w:sz="4" w:space="0" w:color="000000"/>
              <w:left w:val="single" w:sz="4" w:space="0" w:color="000000"/>
              <w:bottom w:val="single" w:sz="4" w:space="0" w:color="auto"/>
              <w:right w:val="single" w:sz="4" w:space="0" w:color="000000"/>
            </w:tcBorders>
            <w:vAlign w:val="center"/>
          </w:tcPr>
          <w:p w14:paraId="30C24F95" w14:textId="77777777" w:rsidR="008B75A0" w:rsidRPr="005E4BEA" w:rsidRDefault="008B75A0" w:rsidP="006F2C89">
            <w:pPr>
              <w:spacing w:after="160" w:line="259" w:lineRule="auto"/>
              <w:rPr>
                <w:rFonts w:eastAsia="Calibri" w:cs="Arial"/>
                <w:color w:val="000000"/>
                <w:szCs w:val="20"/>
              </w:rPr>
            </w:pPr>
            <w:r w:rsidRPr="005E4BEA">
              <w:rPr>
                <w:rFonts w:eastAsia="Calibri" w:cs="Arial"/>
                <w:color w:val="000000"/>
                <w:szCs w:val="20"/>
              </w:rPr>
              <w:t>775.649, 32</w:t>
            </w:r>
          </w:p>
        </w:tc>
        <w:tc>
          <w:tcPr>
            <w:tcW w:w="1417" w:type="dxa"/>
            <w:tcBorders>
              <w:top w:val="single" w:sz="4" w:space="0" w:color="000000"/>
              <w:left w:val="single" w:sz="4" w:space="0" w:color="000000"/>
              <w:bottom w:val="single" w:sz="4" w:space="0" w:color="auto"/>
              <w:right w:val="single" w:sz="4" w:space="0" w:color="000000"/>
            </w:tcBorders>
            <w:vAlign w:val="center"/>
          </w:tcPr>
          <w:p w14:paraId="2973D847" w14:textId="77777777" w:rsidR="008B75A0" w:rsidRPr="005E4BEA" w:rsidRDefault="008B75A0" w:rsidP="006F2C89">
            <w:pPr>
              <w:spacing w:after="160" w:line="259" w:lineRule="auto"/>
              <w:jc w:val="center"/>
              <w:rPr>
                <w:rFonts w:eastAsia="Calibri" w:cs="Arial"/>
                <w:color w:val="000000"/>
                <w:szCs w:val="20"/>
              </w:rPr>
            </w:pPr>
          </w:p>
          <w:p w14:paraId="5C3CEAC4" w14:textId="77777777" w:rsidR="008B75A0" w:rsidRPr="005E4BEA" w:rsidRDefault="008B75A0" w:rsidP="006F2C89">
            <w:pPr>
              <w:spacing w:line="240" w:lineRule="auto"/>
              <w:jc w:val="center"/>
              <w:rPr>
                <w:rFonts w:cs="Arial"/>
                <w:color w:val="000000"/>
                <w:szCs w:val="20"/>
                <w:lang w:eastAsia="sl-SI"/>
              </w:rPr>
            </w:pPr>
            <w:r w:rsidRPr="005E4BEA">
              <w:rPr>
                <w:rFonts w:cs="Arial"/>
                <w:color w:val="000000"/>
                <w:szCs w:val="20"/>
              </w:rPr>
              <w:t>387.824,66</w:t>
            </w:r>
          </w:p>
          <w:p w14:paraId="28074C47" w14:textId="77777777" w:rsidR="008B75A0" w:rsidRPr="005E4BEA" w:rsidRDefault="008B75A0" w:rsidP="006F2C89">
            <w:pPr>
              <w:spacing w:after="160" w:line="259" w:lineRule="auto"/>
              <w:jc w:val="center"/>
              <w:rPr>
                <w:rFonts w:eastAsia="Calibri" w:cs="Arial"/>
                <w:color w:val="000000"/>
                <w:szCs w:val="20"/>
              </w:rPr>
            </w:pPr>
          </w:p>
        </w:tc>
      </w:tr>
      <w:tr w:rsidR="008B75A0" w:rsidRPr="005E4BEA" w14:paraId="1A5E6EB3" w14:textId="77777777" w:rsidTr="006F2C89">
        <w:trPr>
          <w:gridAfter w:val="5"/>
          <w:wAfter w:w="7332" w:type="dxa"/>
          <w:trHeight w:val="462"/>
        </w:trPr>
        <w:tc>
          <w:tcPr>
            <w:tcW w:w="3106" w:type="dxa"/>
            <w:tcBorders>
              <w:top w:val="single" w:sz="4" w:space="0" w:color="auto"/>
            </w:tcBorders>
            <w:vAlign w:val="center"/>
          </w:tcPr>
          <w:p w14:paraId="71912A5C" w14:textId="77777777" w:rsidR="008B75A0" w:rsidRPr="005E4BEA" w:rsidRDefault="008B75A0" w:rsidP="006F2C89">
            <w:pPr>
              <w:autoSpaceDE w:val="0"/>
              <w:autoSpaceDN w:val="0"/>
              <w:adjustRightInd w:val="0"/>
              <w:spacing w:line="240" w:lineRule="auto"/>
              <w:jc w:val="both"/>
              <w:rPr>
                <w:rFonts w:eastAsia="Calibri" w:cs="Arial"/>
                <w:color w:val="000000"/>
                <w:szCs w:val="20"/>
                <w:lang w:eastAsia="sl-SI"/>
              </w:rPr>
            </w:pPr>
            <w:r w:rsidRPr="005E4BEA">
              <w:rPr>
                <w:rFonts w:eastAsia="Calibri" w:cs="Arial"/>
                <w:color w:val="000000"/>
                <w:szCs w:val="20"/>
                <w:lang w:eastAsia="sl-SI"/>
              </w:rPr>
              <w:t>Velja od 1. 7. 2022.</w:t>
            </w:r>
          </w:p>
          <w:p w14:paraId="69130973" w14:textId="77777777" w:rsidR="008B75A0" w:rsidRPr="005E4BEA" w:rsidRDefault="008B75A0" w:rsidP="006F2C89">
            <w:pPr>
              <w:autoSpaceDE w:val="0"/>
              <w:autoSpaceDN w:val="0"/>
              <w:adjustRightInd w:val="0"/>
              <w:spacing w:line="240" w:lineRule="auto"/>
              <w:jc w:val="both"/>
              <w:rPr>
                <w:rFonts w:eastAsia="Calibri" w:cs="Arial"/>
                <w:color w:val="000000"/>
                <w:szCs w:val="20"/>
                <w:lang w:eastAsia="sl-SI"/>
              </w:rPr>
            </w:pPr>
          </w:p>
        </w:tc>
      </w:tr>
    </w:tbl>
    <w:p w14:paraId="6DD37375" w14:textId="169514DB" w:rsidR="00CC2D9A" w:rsidRPr="005E4BEA" w:rsidRDefault="00CC2D9A" w:rsidP="00CC2D9A">
      <w:pPr>
        <w:spacing w:line="0" w:lineRule="atLeast"/>
        <w:jc w:val="both"/>
        <w:rPr>
          <w:rFonts w:eastAsia="Arial Narrow" w:cs="Arial"/>
          <w:szCs w:val="20"/>
        </w:rPr>
      </w:pPr>
    </w:p>
    <w:p w14:paraId="158D4775" w14:textId="77777777" w:rsidR="00CC2D9A" w:rsidRPr="005E4BEA" w:rsidRDefault="00CC2D9A" w:rsidP="00FE461F">
      <w:pPr>
        <w:autoSpaceDE w:val="0"/>
        <w:autoSpaceDN w:val="0"/>
        <w:adjustRightInd w:val="0"/>
        <w:spacing w:line="240" w:lineRule="auto"/>
        <w:jc w:val="both"/>
        <w:rPr>
          <w:rFonts w:eastAsiaTheme="minorHAnsi" w:cs="Arial"/>
          <w:b/>
          <w:bCs/>
          <w:i/>
          <w:color w:val="7F7F7F" w:themeColor="text1" w:themeTint="80"/>
          <w:szCs w:val="20"/>
        </w:rPr>
      </w:pPr>
    </w:p>
    <w:p w14:paraId="7C19A8C7" w14:textId="4FF24DBB" w:rsidR="00406310" w:rsidRPr="005E4BEA" w:rsidRDefault="0040631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(65)</w:t>
      </w:r>
    </w:p>
    <w:p w14:paraId="7F6CC284" w14:textId="77777777" w:rsidR="00406310" w:rsidRPr="005E4BEA" w:rsidRDefault="00406310" w:rsidP="00406310">
      <w:pPr>
        <w:spacing w:line="0" w:lineRule="atLeast"/>
        <w:ind w:left="360"/>
        <w:contextualSpacing/>
        <w:jc w:val="both"/>
        <w:rPr>
          <w:rFonts w:eastAsia="Arial Narrow" w:cs="Arial"/>
          <w:b/>
          <w:szCs w:val="20"/>
        </w:rPr>
      </w:pPr>
    </w:p>
    <w:p w14:paraId="2EA770C7" w14:textId="072846B9" w:rsidR="00FE461F" w:rsidRPr="005E4BEA" w:rsidRDefault="00406310" w:rsidP="00FE461F">
      <w:pPr>
        <w:spacing w:line="240" w:lineRule="auto"/>
        <w:jc w:val="both"/>
        <w:rPr>
          <w:rFonts w:eastAsiaTheme="minorHAnsi" w:cs="Arial"/>
          <w:i/>
          <w:iCs/>
          <w:color w:val="808080" w:themeColor="background1" w:themeShade="80"/>
          <w:szCs w:val="20"/>
        </w:rPr>
      </w:pPr>
      <w:r w:rsidRPr="005E4BEA">
        <w:rPr>
          <w:rFonts w:cs="Arial"/>
          <w:b/>
          <w:bCs/>
          <w:szCs w:val="20"/>
        </w:rPr>
        <w:t xml:space="preserve">Ministrstvo za zdravje </w:t>
      </w:r>
      <w:r w:rsidRPr="005E4BEA">
        <w:rPr>
          <w:rFonts w:cs="Arial"/>
          <w:szCs w:val="20"/>
        </w:rPr>
        <w:t xml:space="preserve">predlaga, da se v </w:t>
      </w:r>
      <w:r w:rsidRPr="005E4BEA">
        <w:rPr>
          <w:rFonts w:eastAsia="MS Mincho" w:cs="Arial"/>
          <w:szCs w:val="20"/>
        </w:rPr>
        <w:t>24. členu v šestem odstavku v tabeli dodajo nove vrstice</w:t>
      </w:r>
      <w:r w:rsidRPr="005E4BEA">
        <w:rPr>
          <w:rFonts w:eastAsiaTheme="minorHAnsi" w:cs="Arial"/>
          <w:i/>
          <w:iCs/>
          <w:color w:val="808080" w:themeColor="background1" w:themeShade="80"/>
          <w:szCs w:val="20"/>
        </w:rPr>
        <w:t xml:space="preserve"> </w:t>
      </w:r>
      <w:r w:rsidR="00FE461F" w:rsidRPr="005E4BEA">
        <w:rPr>
          <w:rFonts w:cs="Arial"/>
          <w:szCs w:val="20"/>
          <w:lang w:eastAsia="sl-SI"/>
        </w:rPr>
        <w:t>za nujne širitve programov oziroma uvajanje novih terapij:</w:t>
      </w:r>
    </w:p>
    <w:p w14:paraId="689E6007" w14:textId="77777777" w:rsidR="00FE461F" w:rsidRPr="005E4BEA" w:rsidRDefault="00FE461F" w:rsidP="00FE461F">
      <w:pPr>
        <w:spacing w:line="240" w:lineRule="auto"/>
        <w:jc w:val="both"/>
        <w:rPr>
          <w:rFonts w:cs="Arial"/>
          <w:b/>
          <w:szCs w:val="20"/>
          <w:lang w:eastAsia="sl-SI"/>
        </w:rPr>
      </w:pPr>
    </w:p>
    <w:tbl>
      <w:tblPr>
        <w:tblW w:w="8651" w:type="dxa"/>
        <w:tblCellMar>
          <w:left w:w="70" w:type="dxa"/>
          <w:right w:w="70" w:type="dxa"/>
        </w:tblCellMar>
        <w:tblLook w:val="04A0" w:firstRow="1" w:lastRow="0" w:firstColumn="1" w:lastColumn="0" w:noHBand="0" w:noVBand="1"/>
      </w:tblPr>
      <w:tblGrid>
        <w:gridCol w:w="1047"/>
        <w:gridCol w:w="2258"/>
        <w:gridCol w:w="1533"/>
        <w:gridCol w:w="1096"/>
        <w:gridCol w:w="1294"/>
        <w:gridCol w:w="1423"/>
      </w:tblGrid>
      <w:tr w:rsidR="00FE461F" w:rsidRPr="005E4BEA" w14:paraId="0F8B5A46" w14:textId="77777777" w:rsidTr="0016774B">
        <w:trPr>
          <w:trHeight w:val="549"/>
        </w:trPr>
        <w:tc>
          <w:tcPr>
            <w:tcW w:w="1047" w:type="dxa"/>
            <w:tcBorders>
              <w:top w:val="single" w:sz="8" w:space="0" w:color="000000"/>
              <w:left w:val="single" w:sz="8" w:space="0" w:color="000000"/>
              <w:bottom w:val="nil"/>
              <w:right w:val="single" w:sz="8" w:space="0" w:color="000000"/>
            </w:tcBorders>
            <w:shd w:val="clear" w:color="auto" w:fill="auto"/>
            <w:vAlign w:val="center"/>
            <w:hideMark/>
          </w:tcPr>
          <w:p w14:paraId="1ED6CF4D" w14:textId="77777777" w:rsidR="00FE461F" w:rsidRPr="005E4BEA" w:rsidRDefault="00FE461F" w:rsidP="00FE461F">
            <w:pPr>
              <w:spacing w:line="240" w:lineRule="auto"/>
              <w:jc w:val="both"/>
              <w:rPr>
                <w:rFonts w:cs="Arial"/>
                <w:color w:val="000000"/>
                <w:szCs w:val="20"/>
                <w:lang w:eastAsia="sl-SI"/>
              </w:rPr>
            </w:pPr>
            <w:bookmarkStart w:id="88" w:name="RANGE!E9"/>
            <w:r w:rsidRPr="005E4BEA">
              <w:rPr>
                <w:rFonts w:cs="Arial"/>
                <w:color w:val="000000"/>
                <w:szCs w:val="20"/>
                <w:lang w:eastAsia="sl-SI"/>
              </w:rPr>
              <w:t> </w:t>
            </w:r>
            <w:bookmarkEnd w:id="88"/>
          </w:p>
        </w:tc>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DB7FE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P   r   o   g   r   a   m</w:t>
            </w:r>
          </w:p>
        </w:tc>
        <w:tc>
          <w:tcPr>
            <w:tcW w:w="1533" w:type="dxa"/>
            <w:tcBorders>
              <w:top w:val="single" w:sz="8" w:space="0" w:color="000000"/>
              <w:left w:val="nil"/>
              <w:bottom w:val="single" w:sz="8" w:space="0" w:color="000000"/>
              <w:right w:val="single" w:sz="8" w:space="0" w:color="000000"/>
            </w:tcBorders>
            <w:shd w:val="clear" w:color="auto" w:fill="auto"/>
            <w:vAlign w:val="center"/>
            <w:hideMark/>
          </w:tcPr>
          <w:p w14:paraId="4CC5E2C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I z v a j a l e c /</w:t>
            </w:r>
          </w:p>
        </w:tc>
        <w:tc>
          <w:tcPr>
            <w:tcW w:w="10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9AF3A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Obseg programa</w:t>
            </w:r>
          </w:p>
        </w:tc>
        <w:tc>
          <w:tcPr>
            <w:tcW w:w="1294" w:type="dxa"/>
            <w:tcBorders>
              <w:top w:val="single" w:sz="8" w:space="0" w:color="000000"/>
              <w:left w:val="nil"/>
              <w:bottom w:val="single" w:sz="8" w:space="0" w:color="000000"/>
              <w:right w:val="single" w:sz="8" w:space="0" w:color="000000"/>
            </w:tcBorders>
            <w:shd w:val="clear" w:color="auto" w:fill="auto"/>
            <w:vAlign w:val="center"/>
            <w:hideMark/>
          </w:tcPr>
          <w:p w14:paraId="7981CF9D"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c>
          <w:tcPr>
            <w:tcW w:w="1423" w:type="dxa"/>
            <w:tcBorders>
              <w:top w:val="single" w:sz="8" w:space="0" w:color="000000"/>
              <w:left w:val="nil"/>
              <w:bottom w:val="single" w:sz="8" w:space="0" w:color="000000"/>
              <w:right w:val="single" w:sz="8" w:space="0" w:color="000000"/>
            </w:tcBorders>
            <w:shd w:val="clear" w:color="auto" w:fill="auto"/>
            <w:vAlign w:val="center"/>
            <w:hideMark/>
          </w:tcPr>
          <w:p w14:paraId="0406AF9A"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r>
      <w:tr w:rsidR="00FE461F" w:rsidRPr="005E4BEA" w14:paraId="13CA49A9" w14:textId="77777777" w:rsidTr="0016774B">
        <w:trPr>
          <w:trHeight w:val="549"/>
        </w:trPr>
        <w:tc>
          <w:tcPr>
            <w:tcW w:w="1047" w:type="dxa"/>
            <w:tcBorders>
              <w:top w:val="nil"/>
              <w:left w:val="single" w:sz="8" w:space="0" w:color="000000"/>
              <w:bottom w:val="nil"/>
              <w:right w:val="single" w:sz="8" w:space="0" w:color="000000"/>
            </w:tcBorders>
            <w:shd w:val="clear" w:color="auto" w:fill="auto"/>
            <w:vAlign w:val="center"/>
            <w:hideMark/>
          </w:tcPr>
          <w:p w14:paraId="7012F32A"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p>
        </w:tc>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20773E4" w14:textId="77777777" w:rsidR="00FE461F" w:rsidRPr="005E4BEA" w:rsidRDefault="00FE461F" w:rsidP="00FE461F">
            <w:pPr>
              <w:spacing w:line="240" w:lineRule="auto"/>
              <w:rPr>
                <w:rFonts w:cs="Arial"/>
                <w:color w:val="000000"/>
                <w:szCs w:val="20"/>
                <w:lang w:eastAsia="sl-SI"/>
              </w:rPr>
            </w:pPr>
          </w:p>
        </w:tc>
        <w:tc>
          <w:tcPr>
            <w:tcW w:w="1533" w:type="dxa"/>
            <w:tcBorders>
              <w:top w:val="nil"/>
              <w:left w:val="nil"/>
              <w:bottom w:val="single" w:sz="8" w:space="0" w:color="000000"/>
              <w:right w:val="single" w:sz="8" w:space="0" w:color="000000"/>
            </w:tcBorders>
            <w:shd w:val="clear" w:color="auto" w:fill="auto"/>
            <w:vAlign w:val="center"/>
            <w:hideMark/>
          </w:tcPr>
          <w:p w14:paraId="12F5BF6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i z p o s t a v a</w:t>
            </w:r>
          </w:p>
        </w:tc>
        <w:tc>
          <w:tcPr>
            <w:tcW w:w="1096" w:type="dxa"/>
            <w:vMerge/>
            <w:tcBorders>
              <w:top w:val="single" w:sz="8" w:space="0" w:color="000000"/>
              <w:left w:val="single" w:sz="8" w:space="0" w:color="000000"/>
              <w:bottom w:val="single" w:sz="8" w:space="0" w:color="000000"/>
              <w:right w:val="single" w:sz="8" w:space="0" w:color="000000"/>
            </w:tcBorders>
            <w:vAlign w:val="center"/>
            <w:hideMark/>
          </w:tcPr>
          <w:p w14:paraId="78BBC600" w14:textId="77777777" w:rsidR="00FE461F" w:rsidRPr="005E4BEA" w:rsidRDefault="00FE461F" w:rsidP="00FE461F">
            <w:pPr>
              <w:spacing w:line="240" w:lineRule="auto"/>
              <w:rPr>
                <w:rFonts w:cs="Arial"/>
                <w:color w:val="000000"/>
                <w:szCs w:val="20"/>
                <w:lang w:eastAsia="sl-SI"/>
              </w:rPr>
            </w:pPr>
          </w:p>
        </w:tc>
        <w:tc>
          <w:tcPr>
            <w:tcW w:w="1294" w:type="dxa"/>
            <w:tcBorders>
              <w:top w:val="nil"/>
              <w:left w:val="nil"/>
              <w:bottom w:val="single" w:sz="8" w:space="0" w:color="000000"/>
              <w:right w:val="single" w:sz="8" w:space="0" w:color="000000"/>
            </w:tcBorders>
            <w:shd w:val="clear" w:color="auto" w:fill="auto"/>
            <w:vAlign w:val="center"/>
            <w:hideMark/>
          </w:tcPr>
          <w:p w14:paraId="56A7DF1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na letni ravni</w:t>
            </w:r>
          </w:p>
        </w:tc>
        <w:tc>
          <w:tcPr>
            <w:tcW w:w="1423" w:type="dxa"/>
            <w:tcBorders>
              <w:top w:val="nil"/>
              <w:left w:val="nil"/>
              <w:bottom w:val="single" w:sz="8" w:space="0" w:color="000000"/>
              <w:right w:val="single" w:sz="8" w:space="0" w:color="000000"/>
            </w:tcBorders>
            <w:shd w:val="clear" w:color="auto" w:fill="auto"/>
            <w:vAlign w:val="center"/>
            <w:hideMark/>
          </w:tcPr>
          <w:p w14:paraId="01256CC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1.11.–31.12. 2022</w:t>
            </w:r>
          </w:p>
        </w:tc>
      </w:tr>
      <w:tr w:rsidR="00FE461F" w:rsidRPr="005E4BEA" w14:paraId="4BFD2E53" w14:textId="77777777" w:rsidTr="0016774B">
        <w:trPr>
          <w:trHeight w:val="329"/>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5278A38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p>
        </w:tc>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79271E51" w14:textId="77777777" w:rsidR="00FE461F" w:rsidRPr="005E4BEA" w:rsidRDefault="00FE461F" w:rsidP="00FE461F">
            <w:pPr>
              <w:spacing w:line="240" w:lineRule="auto"/>
              <w:rPr>
                <w:rFonts w:cs="Arial"/>
                <w:color w:val="000000"/>
                <w:szCs w:val="20"/>
                <w:lang w:eastAsia="sl-SI"/>
              </w:rPr>
            </w:pPr>
          </w:p>
        </w:tc>
        <w:tc>
          <w:tcPr>
            <w:tcW w:w="1533" w:type="dxa"/>
            <w:tcBorders>
              <w:top w:val="nil"/>
              <w:left w:val="nil"/>
              <w:bottom w:val="single" w:sz="8" w:space="0" w:color="000000"/>
              <w:right w:val="single" w:sz="8" w:space="0" w:color="000000"/>
            </w:tcBorders>
            <w:shd w:val="clear" w:color="auto" w:fill="auto"/>
            <w:vAlign w:val="center"/>
            <w:hideMark/>
          </w:tcPr>
          <w:p w14:paraId="6CC2F386"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xml:space="preserve"> </w:t>
            </w:r>
          </w:p>
        </w:tc>
        <w:tc>
          <w:tcPr>
            <w:tcW w:w="1096" w:type="dxa"/>
            <w:vMerge/>
            <w:tcBorders>
              <w:top w:val="single" w:sz="8" w:space="0" w:color="000000"/>
              <w:left w:val="single" w:sz="8" w:space="0" w:color="000000"/>
              <w:bottom w:val="single" w:sz="8" w:space="0" w:color="000000"/>
              <w:right w:val="single" w:sz="8" w:space="0" w:color="000000"/>
            </w:tcBorders>
            <w:vAlign w:val="center"/>
            <w:hideMark/>
          </w:tcPr>
          <w:p w14:paraId="0E053D51" w14:textId="77777777" w:rsidR="00FE461F" w:rsidRPr="005E4BEA" w:rsidRDefault="00FE461F" w:rsidP="00FE461F">
            <w:pPr>
              <w:spacing w:line="240" w:lineRule="auto"/>
              <w:rPr>
                <w:rFonts w:cs="Arial"/>
                <w:color w:val="000000"/>
                <w:szCs w:val="20"/>
                <w:lang w:eastAsia="sl-SI"/>
              </w:rPr>
            </w:pPr>
          </w:p>
        </w:tc>
        <w:tc>
          <w:tcPr>
            <w:tcW w:w="1294" w:type="dxa"/>
            <w:tcBorders>
              <w:top w:val="nil"/>
              <w:left w:val="nil"/>
              <w:bottom w:val="single" w:sz="8" w:space="0" w:color="000000"/>
              <w:right w:val="single" w:sz="8" w:space="0" w:color="000000"/>
            </w:tcBorders>
            <w:shd w:val="clear" w:color="auto" w:fill="auto"/>
            <w:vAlign w:val="center"/>
            <w:hideMark/>
          </w:tcPr>
          <w:p w14:paraId="7A0DF39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(v EUR)</w:t>
            </w:r>
          </w:p>
        </w:tc>
        <w:tc>
          <w:tcPr>
            <w:tcW w:w="1423" w:type="dxa"/>
            <w:tcBorders>
              <w:top w:val="nil"/>
              <w:left w:val="nil"/>
              <w:bottom w:val="single" w:sz="8" w:space="0" w:color="000000"/>
              <w:right w:val="single" w:sz="8" w:space="0" w:color="000000"/>
            </w:tcBorders>
            <w:shd w:val="clear" w:color="auto" w:fill="auto"/>
            <w:vAlign w:val="center"/>
            <w:hideMark/>
          </w:tcPr>
          <w:p w14:paraId="0447A7C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(v EUR)</w:t>
            </w:r>
          </w:p>
        </w:tc>
      </w:tr>
      <w:tr w:rsidR="00FE461F" w:rsidRPr="005E4BEA" w14:paraId="0F62CC5A" w14:textId="77777777" w:rsidTr="0016774B">
        <w:trPr>
          <w:trHeight w:val="1350"/>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4AE71199"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2258" w:type="dxa"/>
            <w:tcBorders>
              <w:top w:val="nil"/>
              <w:left w:val="nil"/>
              <w:bottom w:val="single" w:sz="8" w:space="0" w:color="000000"/>
              <w:right w:val="single" w:sz="8" w:space="0" w:color="000000"/>
            </w:tcBorders>
            <w:shd w:val="clear" w:color="auto" w:fill="auto"/>
            <w:vAlign w:val="center"/>
            <w:hideMark/>
          </w:tcPr>
          <w:p w14:paraId="1D9B068E"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5F57459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Kranj</w:t>
            </w:r>
          </w:p>
        </w:tc>
        <w:tc>
          <w:tcPr>
            <w:tcW w:w="1096" w:type="dxa"/>
            <w:tcBorders>
              <w:top w:val="nil"/>
              <w:left w:val="nil"/>
              <w:bottom w:val="single" w:sz="8" w:space="0" w:color="000000"/>
              <w:right w:val="single" w:sz="8" w:space="0" w:color="000000"/>
            </w:tcBorders>
            <w:shd w:val="clear" w:color="auto" w:fill="auto"/>
            <w:vAlign w:val="center"/>
            <w:hideMark/>
          </w:tcPr>
          <w:p w14:paraId="32164B36" w14:textId="1018215B"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2</w:t>
            </w:r>
            <w:r w:rsidR="00954B7C" w:rsidRPr="005E4BEA">
              <w:rPr>
                <w:rFonts w:cs="Arial"/>
                <w:color w:val="000000"/>
                <w:szCs w:val="20"/>
                <w:lang w:eastAsia="sl-SI"/>
              </w:rPr>
              <w:t xml:space="preserve"> </w:t>
            </w:r>
          </w:p>
        </w:tc>
        <w:tc>
          <w:tcPr>
            <w:tcW w:w="1294" w:type="dxa"/>
            <w:tcBorders>
              <w:top w:val="nil"/>
              <w:left w:val="nil"/>
              <w:bottom w:val="single" w:sz="8" w:space="0" w:color="000000"/>
              <w:right w:val="single" w:sz="8" w:space="0" w:color="000000"/>
            </w:tcBorders>
            <w:shd w:val="clear" w:color="auto" w:fill="auto"/>
            <w:vAlign w:val="center"/>
            <w:hideMark/>
          </w:tcPr>
          <w:p w14:paraId="1C5032C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66.228</w:t>
            </w:r>
          </w:p>
        </w:tc>
        <w:tc>
          <w:tcPr>
            <w:tcW w:w="1423" w:type="dxa"/>
            <w:tcBorders>
              <w:top w:val="nil"/>
              <w:left w:val="nil"/>
              <w:bottom w:val="single" w:sz="8" w:space="0" w:color="000000"/>
              <w:right w:val="single" w:sz="8" w:space="0" w:color="000000"/>
            </w:tcBorders>
            <w:shd w:val="clear" w:color="auto" w:fill="auto"/>
            <w:vAlign w:val="center"/>
            <w:hideMark/>
          </w:tcPr>
          <w:p w14:paraId="4BB8E62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11.038</w:t>
            </w:r>
          </w:p>
        </w:tc>
      </w:tr>
      <w:tr w:rsidR="00FE461F" w:rsidRPr="005E4BEA" w14:paraId="6F7038B1" w14:textId="77777777" w:rsidTr="0016774B">
        <w:trPr>
          <w:trHeight w:val="329"/>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5C464C2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2</w:t>
            </w:r>
          </w:p>
        </w:tc>
        <w:tc>
          <w:tcPr>
            <w:tcW w:w="2258" w:type="dxa"/>
            <w:tcBorders>
              <w:top w:val="nil"/>
              <w:left w:val="nil"/>
              <w:bottom w:val="single" w:sz="8" w:space="0" w:color="000000"/>
              <w:right w:val="single" w:sz="8" w:space="0" w:color="000000"/>
            </w:tcBorders>
            <w:shd w:val="clear" w:color="auto" w:fill="auto"/>
            <w:vAlign w:val="center"/>
            <w:hideMark/>
          </w:tcPr>
          <w:p w14:paraId="0FE505A9" w14:textId="6E722430"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r w:rsidR="00954B7C"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6016D76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Izola</w:t>
            </w:r>
          </w:p>
        </w:tc>
        <w:tc>
          <w:tcPr>
            <w:tcW w:w="1096" w:type="dxa"/>
            <w:tcBorders>
              <w:top w:val="nil"/>
              <w:left w:val="nil"/>
              <w:bottom w:val="single" w:sz="8" w:space="0" w:color="000000"/>
              <w:right w:val="single" w:sz="8" w:space="0" w:color="000000"/>
            </w:tcBorders>
            <w:shd w:val="clear" w:color="auto" w:fill="auto"/>
            <w:vAlign w:val="center"/>
            <w:hideMark/>
          </w:tcPr>
          <w:p w14:paraId="6753187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79DE329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5C48C9BD"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5.519</w:t>
            </w:r>
          </w:p>
        </w:tc>
      </w:tr>
      <w:tr w:rsidR="00FE461F" w:rsidRPr="005E4BEA" w14:paraId="1AB0BBBF" w14:textId="77777777" w:rsidTr="0016774B">
        <w:trPr>
          <w:trHeight w:val="549"/>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3F3BC0C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w:t>
            </w:r>
          </w:p>
        </w:tc>
        <w:tc>
          <w:tcPr>
            <w:tcW w:w="2258" w:type="dxa"/>
            <w:tcBorders>
              <w:top w:val="nil"/>
              <w:left w:val="nil"/>
              <w:bottom w:val="single" w:sz="8" w:space="0" w:color="000000"/>
              <w:right w:val="single" w:sz="8" w:space="0" w:color="000000"/>
            </w:tcBorders>
            <w:shd w:val="clear" w:color="auto" w:fill="auto"/>
            <w:vAlign w:val="center"/>
            <w:hideMark/>
          </w:tcPr>
          <w:p w14:paraId="725EA006" w14:textId="2BE3499D"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r w:rsidR="00954B7C"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332E064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Nova Gorica</w:t>
            </w:r>
          </w:p>
        </w:tc>
        <w:tc>
          <w:tcPr>
            <w:tcW w:w="1096" w:type="dxa"/>
            <w:tcBorders>
              <w:top w:val="nil"/>
              <w:left w:val="nil"/>
              <w:bottom w:val="single" w:sz="8" w:space="0" w:color="000000"/>
              <w:right w:val="single" w:sz="8" w:space="0" w:color="000000"/>
            </w:tcBorders>
            <w:shd w:val="clear" w:color="auto" w:fill="auto"/>
            <w:vAlign w:val="center"/>
            <w:hideMark/>
          </w:tcPr>
          <w:p w14:paraId="07B4CF8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3E8B3FA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7F166F1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5.519</w:t>
            </w:r>
          </w:p>
        </w:tc>
      </w:tr>
      <w:tr w:rsidR="00FE461F" w:rsidRPr="005E4BEA" w14:paraId="5CE2065C" w14:textId="77777777" w:rsidTr="0016774B">
        <w:trPr>
          <w:trHeight w:val="329"/>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091F419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w:t>
            </w:r>
          </w:p>
        </w:tc>
        <w:tc>
          <w:tcPr>
            <w:tcW w:w="2258" w:type="dxa"/>
            <w:tcBorders>
              <w:top w:val="nil"/>
              <w:left w:val="nil"/>
              <w:bottom w:val="single" w:sz="8" w:space="0" w:color="000000"/>
              <w:right w:val="single" w:sz="8" w:space="0" w:color="000000"/>
            </w:tcBorders>
            <w:shd w:val="clear" w:color="auto" w:fill="auto"/>
            <w:vAlign w:val="center"/>
            <w:hideMark/>
          </w:tcPr>
          <w:p w14:paraId="0F230D7A" w14:textId="498BCF65"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r w:rsidR="00954B7C"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4EC8C4D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Celje</w:t>
            </w:r>
          </w:p>
        </w:tc>
        <w:tc>
          <w:tcPr>
            <w:tcW w:w="1096" w:type="dxa"/>
            <w:tcBorders>
              <w:top w:val="nil"/>
              <w:left w:val="nil"/>
              <w:bottom w:val="single" w:sz="8" w:space="0" w:color="000000"/>
              <w:right w:val="single" w:sz="8" w:space="0" w:color="000000"/>
            </w:tcBorders>
            <w:shd w:val="clear" w:color="auto" w:fill="auto"/>
            <w:vAlign w:val="center"/>
            <w:hideMark/>
          </w:tcPr>
          <w:p w14:paraId="0733EC1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6DF5A1A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03472EF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5.519</w:t>
            </w:r>
          </w:p>
        </w:tc>
      </w:tr>
      <w:tr w:rsidR="00FE461F" w:rsidRPr="005E4BEA" w14:paraId="446C68DB" w14:textId="77777777" w:rsidTr="0016774B">
        <w:trPr>
          <w:trHeight w:val="549"/>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661AD396"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lastRenderedPageBreak/>
              <w:t>5</w:t>
            </w:r>
          </w:p>
        </w:tc>
        <w:tc>
          <w:tcPr>
            <w:tcW w:w="2258" w:type="dxa"/>
            <w:tcBorders>
              <w:top w:val="nil"/>
              <w:left w:val="nil"/>
              <w:bottom w:val="single" w:sz="8" w:space="0" w:color="000000"/>
              <w:right w:val="single" w:sz="8" w:space="0" w:color="000000"/>
            </w:tcBorders>
            <w:shd w:val="clear" w:color="auto" w:fill="auto"/>
            <w:vAlign w:val="center"/>
            <w:hideMark/>
          </w:tcPr>
          <w:p w14:paraId="2E33FC02" w14:textId="2BB1BC26"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r w:rsidR="00954B7C"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1B579C6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Maribor</w:t>
            </w:r>
          </w:p>
        </w:tc>
        <w:tc>
          <w:tcPr>
            <w:tcW w:w="1096" w:type="dxa"/>
            <w:tcBorders>
              <w:top w:val="nil"/>
              <w:left w:val="nil"/>
              <w:bottom w:val="single" w:sz="8" w:space="0" w:color="000000"/>
              <w:right w:val="single" w:sz="8" w:space="0" w:color="000000"/>
            </w:tcBorders>
            <w:shd w:val="clear" w:color="auto" w:fill="auto"/>
            <w:vAlign w:val="center"/>
            <w:hideMark/>
          </w:tcPr>
          <w:p w14:paraId="0B175CA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1A495E16"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0BAB446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5.519</w:t>
            </w:r>
          </w:p>
        </w:tc>
      </w:tr>
      <w:tr w:rsidR="00FE461F" w:rsidRPr="005E4BEA" w14:paraId="08E14F66" w14:textId="77777777" w:rsidTr="0016774B">
        <w:trPr>
          <w:trHeight w:val="329"/>
        </w:trPr>
        <w:tc>
          <w:tcPr>
            <w:tcW w:w="1047" w:type="dxa"/>
            <w:tcBorders>
              <w:top w:val="nil"/>
              <w:left w:val="single" w:sz="8" w:space="0" w:color="000000"/>
              <w:bottom w:val="single" w:sz="8" w:space="0" w:color="000000"/>
              <w:right w:val="single" w:sz="8" w:space="0" w:color="000000"/>
            </w:tcBorders>
            <w:shd w:val="clear" w:color="auto" w:fill="auto"/>
            <w:vAlign w:val="center"/>
            <w:hideMark/>
          </w:tcPr>
          <w:p w14:paraId="0DFF64F1" w14:textId="77777777" w:rsidR="00FE461F" w:rsidRPr="005E4BEA" w:rsidRDefault="00FE461F" w:rsidP="00FE461F">
            <w:pPr>
              <w:spacing w:line="240" w:lineRule="auto"/>
              <w:rPr>
                <w:rFonts w:cs="Arial"/>
                <w:b/>
                <w:bCs/>
                <w:color w:val="000000"/>
                <w:szCs w:val="20"/>
                <w:lang w:eastAsia="sl-SI"/>
              </w:rPr>
            </w:pPr>
            <w:r w:rsidRPr="005E4BEA">
              <w:rPr>
                <w:rFonts w:cs="Arial"/>
                <w:b/>
                <w:bCs/>
                <w:color w:val="000000"/>
                <w:szCs w:val="20"/>
                <w:lang w:eastAsia="sl-SI"/>
              </w:rPr>
              <w:t> </w:t>
            </w:r>
          </w:p>
        </w:tc>
        <w:tc>
          <w:tcPr>
            <w:tcW w:w="2258" w:type="dxa"/>
            <w:tcBorders>
              <w:top w:val="nil"/>
              <w:left w:val="nil"/>
              <w:bottom w:val="single" w:sz="8" w:space="0" w:color="000000"/>
              <w:right w:val="single" w:sz="8" w:space="0" w:color="000000"/>
            </w:tcBorders>
            <w:shd w:val="clear" w:color="auto" w:fill="auto"/>
            <w:vAlign w:val="center"/>
            <w:hideMark/>
          </w:tcPr>
          <w:p w14:paraId="19D01AB0"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SKUPAJ</w:t>
            </w:r>
          </w:p>
        </w:tc>
        <w:tc>
          <w:tcPr>
            <w:tcW w:w="1533" w:type="dxa"/>
            <w:tcBorders>
              <w:top w:val="nil"/>
              <w:left w:val="nil"/>
              <w:bottom w:val="single" w:sz="8" w:space="0" w:color="000000"/>
              <w:right w:val="single" w:sz="8" w:space="0" w:color="000000"/>
            </w:tcBorders>
            <w:shd w:val="clear" w:color="auto" w:fill="auto"/>
            <w:vAlign w:val="center"/>
            <w:hideMark/>
          </w:tcPr>
          <w:p w14:paraId="5F9CA10F"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 </w:t>
            </w:r>
          </w:p>
        </w:tc>
        <w:tc>
          <w:tcPr>
            <w:tcW w:w="1096" w:type="dxa"/>
            <w:tcBorders>
              <w:top w:val="nil"/>
              <w:left w:val="nil"/>
              <w:bottom w:val="single" w:sz="8" w:space="0" w:color="000000"/>
              <w:right w:val="single" w:sz="8" w:space="0" w:color="000000"/>
            </w:tcBorders>
            <w:shd w:val="clear" w:color="auto" w:fill="auto"/>
            <w:vAlign w:val="center"/>
            <w:hideMark/>
          </w:tcPr>
          <w:p w14:paraId="16DBB576"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6</w:t>
            </w:r>
          </w:p>
        </w:tc>
        <w:tc>
          <w:tcPr>
            <w:tcW w:w="1294" w:type="dxa"/>
            <w:tcBorders>
              <w:top w:val="nil"/>
              <w:left w:val="nil"/>
              <w:bottom w:val="single" w:sz="8" w:space="0" w:color="000000"/>
              <w:right w:val="single" w:sz="8" w:space="0" w:color="000000"/>
            </w:tcBorders>
            <w:shd w:val="clear" w:color="auto" w:fill="auto"/>
            <w:vAlign w:val="center"/>
            <w:hideMark/>
          </w:tcPr>
          <w:p w14:paraId="05CD30C2"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198.684</w:t>
            </w:r>
          </w:p>
        </w:tc>
        <w:tc>
          <w:tcPr>
            <w:tcW w:w="1423" w:type="dxa"/>
            <w:tcBorders>
              <w:top w:val="nil"/>
              <w:left w:val="nil"/>
              <w:bottom w:val="single" w:sz="8" w:space="0" w:color="000000"/>
              <w:right w:val="single" w:sz="8" w:space="0" w:color="000000"/>
            </w:tcBorders>
            <w:shd w:val="clear" w:color="auto" w:fill="auto"/>
            <w:vAlign w:val="center"/>
            <w:hideMark/>
          </w:tcPr>
          <w:p w14:paraId="2BD4417E"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33.114</w:t>
            </w:r>
          </w:p>
        </w:tc>
      </w:tr>
    </w:tbl>
    <w:p w14:paraId="46AFC09D" w14:textId="77777777" w:rsidR="00FE461F" w:rsidRPr="005E4BEA" w:rsidRDefault="00FE461F" w:rsidP="00FE461F">
      <w:pPr>
        <w:spacing w:line="240" w:lineRule="auto"/>
        <w:jc w:val="both"/>
        <w:rPr>
          <w:rFonts w:eastAsia="MS Mincho" w:cs="Arial"/>
          <w:b/>
          <w:bCs/>
          <w:szCs w:val="20"/>
        </w:rPr>
      </w:pPr>
    </w:p>
    <w:p w14:paraId="5F7D2897" w14:textId="77777777" w:rsidR="00FE461F" w:rsidRPr="005E4BEA" w:rsidRDefault="00FE461F" w:rsidP="00FE461F">
      <w:pPr>
        <w:spacing w:line="240" w:lineRule="auto"/>
        <w:jc w:val="both"/>
        <w:rPr>
          <w:rFonts w:eastAsia="MS Mincho" w:cs="Arial"/>
          <w:b/>
          <w:bCs/>
          <w:szCs w:val="20"/>
        </w:rPr>
      </w:pPr>
    </w:p>
    <w:p w14:paraId="5F8B15BA" w14:textId="77777777" w:rsidR="00FE461F" w:rsidRPr="005E4BEA" w:rsidRDefault="00FE461F" w:rsidP="00FE461F">
      <w:pPr>
        <w:spacing w:line="240" w:lineRule="auto"/>
        <w:jc w:val="both"/>
        <w:rPr>
          <w:rFonts w:eastAsia="MS Mincho" w:cs="Arial"/>
          <w:b/>
          <w:bCs/>
          <w:szCs w:val="20"/>
        </w:rPr>
      </w:pPr>
      <w:r w:rsidRPr="005E4BEA">
        <w:rPr>
          <w:rFonts w:eastAsia="MS Mincho" w:cs="Arial"/>
          <w:b/>
          <w:bCs/>
          <w:szCs w:val="20"/>
        </w:rPr>
        <w:t>Prilogi ZDZAS se v 29. členu v šesti točki namesto zneska 159.349,21 evra zapiše znesek 189.349,21 evra.</w:t>
      </w:r>
    </w:p>
    <w:p w14:paraId="75CD577C" w14:textId="77777777" w:rsidR="00FE461F" w:rsidRPr="005E4BEA" w:rsidRDefault="00FE461F" w:rsidP="00FE461F">
      <w:pPr>
        <w:spacing w:line="240" w:lineRule="auto"/>
        <w:jc w:val="both"/>
        <w:rPr>
          <w:rFonts w:eastAsia="MS Mincho" w:cs="Arial"/>
          <w:szCs w:val="20"/>
        </w:rPr>
      </w:pPr>
    </w:p>
    <w:p w14:paraId="61A224DC" w14:textId="77777777" w:rsidR="00FE461F" w:rsidRPr="005E4BEA" w:rsidRDefault="00FE461F" w:rsidP="00FE461F">
      <w:pPr>
        <w:spacing w:line="240" w:lineRule="auto"/>
        <w:jc w:val="both"/>
        <w:rPr>
          <w:rFonts w:eastAsia="MS Mincho" w:cs="Arial"/>
          <w:b/>
          <w:bCs/>
          <w:szCs w:val="20"/>
        </w:rPr>
      </w:pPr>
      <w:r w:rsidRPr="005E4BEA">
        <w:rPr>
          <w:rFonts w:eastAsia="MS Mincho" w:cs="Arial"/>
          <w:b/>
          <w:bCs/>
          <w:szCs w:val="20"/>
        </w:rPr>
        <w:t>Prilogi ZDZAS se v 38. členu doda nova druga točka, ki se glasi:</w:t>
      </w:r>
    </w:p>
    <w:p w14:paraId="246CECA8" w14:textId="77777777" w:rsidR="00FE461F" w:rsidRPr="005E4BEA" w:rsidRDefault="00FE461F" w:rsidP="00FE461F">
      <w:pPr>
        <w:spacing w:line="240" w:lineRule="auto"/>
        <w:rPr>
          <w:rFonts w:cs="Arial"/>
          <w:szCs w:val="20"/>
          <w:lang w:eastAsia="sl-SI"/>
        </w:rPr>
      </w:pPr>
      <w:r w:rsidRPr="005E4BEA">
        <w:rPr>
          <w:rFonts w:cs="Arial"/>
          <w:szCs w:val="20"/>
          <w:lang w:eastAsia="sl-SI"/>
        </w:rPr>
        <w:t>» (2) Program centrov za preprečevanje in zdravljenje odvisnosti od drog – mobilna enota se oblikuje v številu timov iz spodnje razpredelnice in določili 24. člena:</w:t>
      </w:r>
    </w:p>
    <w:p w14:paraId="01BFAF9E" w14:textId="77777777" w:rsidR="00FE461F" w:rsidRPr="005E4BEA" w:rsidRDefault="00FE461F" w:rsidP="00FE461F">
      <w:pPr>
        <w:spacing w:line="240" w:lineRule="auto"/>
        <w:rPr>
          <w:rFonts w:cs="Arial"/>
          <w:szCs w:val="20"/>
          <w:lang w:eastAsia="sl-SI"/>
        </w:rPr>
      </w:pPr>
    </w:p>
    <w:tbl>
      <w:tblPr>
        <w:tblW w:w="1617" w:type="pct"/>
        <w:tblCellMar>
          <w:left w:w="70" w:type="dxa"/>
          <w:right w:w="70" w:type="dxa"/>
        </w:tblCellMar>
        <w:tblLook w:val="04A0" w:firstRow="1" w:lastRow="0" w:firstColumn="1" w:lastColumn="0" w:noHBand="0" w:noVBand="1"/>
      </w:tblPr>
      <w:tblGrid>
        <w:gridCol w:w="1701"/>
        <w:gridCol w:w="831"/>
        <w:gridCol w:w="213"/>
      </w:tblGrid>
      <w:tr w:rsidR="00FE461F" w:rsidRPr="005E4BEA" w14:paraId="715AD4D8" w14:textId="77777777" w:rsidTr="0016774B">
        <w:trPr>
          <w:gridAfter w:val="1"/>
          <w:trHeight w:val="464"/>
        </w:trPr>
        <w:tc>
          <w:tcPr>
            <w:tcW w:w="3098" w:type="pct"/>
            <w:vMerge w:val="restart"/>
            <w:tcBorders>
              <w:top w:val="single" w:sz="4" w:space="0" w:color="auto"/>
              <w:left w:val="single" w:sz="4" w:space="0" w:color="auto"/>
              <w:bottom w:val="single" w:sz="4" w:space="0" w:color="000000"/>
              <w:right w:val="single" w:sz="4" w:space="0" w:color="auto"/>
            </w:tcBorders>
            <w:noWrap/>
            <w:vAlign w:val="center"/>
            <w:hideMark/>
          </w:tcPr>
          <w:p w14:paraId="31C0F7EC" w14:textId="77777777" w:rsidR="00FE461F" w:rsidRPr="005E4BEA" w:rsidRDefault="00FE461F" w:rsidP="00FE461F">
            <w:pPr>
              <w:spacing w:line="240" w:lineRule="auto"/>
              <w:jc w:val="center"/>
              <w:rPr>
                <w:rFonts w:cs="Arial"/>
                <w:b/>
                <w:bCs/>
                <w:szCs w:val="20"/>
                <w:lang w:eastAsia="sl-SI"/>
              </w:rPr>
            </w:pPr>
            <w:r w:rsidRPr="005E4BEA">
              <w:rPr>
                <w:rFonts w:eastAsia="MS Mincho" w:cs="Arial"/>
                <w:b/>
                <w:bCs/>
                <w:szCs w:val="20"/>
              </w:rPr>
              <w:t> Kraj</w:t>
            </w:r>
          </w:p>
        </w:tc>
        <w:tc>
          <w:tcPr>
            <w:tcW w:w="1514" w:type="pct"/>
            <w:vMerge w:val="restart"/>
            <w:tcBorders>
              <w:top w:val="single" w:sz="4" w:space="0" w:color="auto"/>
              <w:left w:val="single" w:sz="4" w:space="0" w:color="auto"/>
              <w:bottom w:val="single" w:sz="4" w:space="0" w:color="000000"/>
              <w:right w:val="single" w:sz="4" w:space="0" w:color="auto"/>
            </w:tcBorders>
            <w:vAlign w:val="center"/>
            <w:hideMark/>
          </w:tcPr>
          <w:p w14:paraId="52F3E311" w14:textId="77777777" w:rsidR="00FE461F" w:rsidRPr="005E4BEA" w:rsidRDefault="00FE461F" w:rsidP="00FE461F">
            <w:pPr>
              <w:spacing w:line="240" w:lineRule="auto"/>
              <w:jc w:val="center"/>
              <w:rPr>
                <w:rFonts w:eastAsia="MS Mincho" w:cs="Arial"/>
                <w:b/>
                <w:bCs/>
                <w:szCs w:val="20"/>
              </w:rPr>
            </w:pPr>
            <w:r w:rsidRPr="005E4BEA">
              <w:rPr>
                <w:rFonts w:eastAsia="MS Mincho" w:cs="Arial"/>
                <w:b/>
                <w:bCs/>
                <w:szCs w:val="20"/>
              </w:rPr>
              <w:t>št. timov</w:t>
            </w:r>
          </w:p>
        </w:tc>
      </w:tr>
      <w:tr w:rsidR="00FE461F" w:rsidRPr="005E4BEA" w14:paraId="58BA11A2" w14:textId="77777777" w:rsidTr="0016774B">
        <w:trPr>
          <w:trHeight w:val="33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4A46239" w14:textId="77777777" w:rsidR="00FE461F" w:rsidRPr="005E4BEA" w:rsidRDefault="00FE461F" w:rsidP="00FE461F">
            <w:pPr>
              <w:spacing w:line="240" w:lineRule="auto"/>
              <w:rPr>
                <w:rFonts w:eastAsia="MS Mincho" w:cs="Arial"/>
                <w:b/>
                <w:bCs/>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58F301" w14:textId="77777777" w:rsidR="00FE461F" w:rsidRPr="005E4BEA" w:rsidRDefault="00FE461F" w:rsidP="00FE461F">
            <w:pPr>
              <w:spacing w:line="240" w:lineRule="auto"/>
              <w:rPr>
                <w:rFonts w:eastAsia="MS Mincho" w:cs="Arial"/>
                <w:b/>
                <w:bCs/>
                <w:szCs w:val="20"/>
              </w:rPr>
            </w:pPr>
          </w:p>
        </w:tc>
        <w:tc>
          <w:tcPr>
            <w:tcW w:w="0" w:type="auto"/>
            <w:vAlign w:val="center"/>
            <w:hideMark/>
          </w:tcPr>
          <w:p w14:paraId="7C6F6672" w14:textId="77777777" w:rsidR="00FE461F" w:rsidRPr="005E4BEA" w:rsidRDefault="00FE461F" w:rsidP="00FE461F">
            <w:pPr>
              <w:spacing w:line="240" w:lineRule="auto"/>
              <w:rPr>
                <w:rFonts w:eastAsia="MS Mincho" w:cs="Arial"/>
                <w:b/>
                <w:bCs/>
                <w:szCs w:val="20"/>
              </w:rPr>
            </w:pPr>
          </w:p>
        </w:tc>
      </w:tr>
      <w:tr w:rsidR="00FE461F" w:rsidRPr="005E4BEA" w14:paraId="53E81C13"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7543552E" w14:textId="77777777" w:rsidR="00FE461F" w:rsidRPr="005E4BEA" w:rsidRDefault="00FE461F" w:rsidP="00FE461F">
            <w:pPr>
              <w:spacing w:line="240" w:lineRule="auto"/>
              <w:rPr>
                <w:rFonts w:eastAsia="MS Mincho" w:cs="Arial"/>
                <w:szCs w:val="20"/>
              </w:rPr>
            </w:pPr>
            <w:r w:rsidRPr="005E4BEA">
              <w:rPr>
                <w:rFonts w:eastAsia="MS Mincho" w:cs="Arial"/>
                <w:szCs w:val="20"/>
              </w:rPr>
              <w:t>Nova Gorica</w:t>
            </w:r>
          </w:p>
        </w:tc>
        <w:tc>
          <w:tcPr>
            <w:tcW w:w="1514" w:type="pct"/>
            <w:tcBorders>
              <w:top w:val="nil"/>
              <w:left w:val="nil"/>
              <w:bottom w:val="single" w:sz="4" w:space="0" w:color="auto"/>
              <w:right w:val="single" w:sz="4" w:space="0" w:color="auto"/>
            </w:tcBorders>
            <w:noWrap/>
            <w:vAlign w:val="center"/>
            <w:hideMark/>
          </w:tcPr>
          <w:p w14:paraId="3327C40B" w14:textId="77777777" w:rsidR="00FE461F" w:rsidRPr="005E4BEA" w:rsidRDefault="00FE461F" w:rsidP="00FE461F">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17989711" w14:textId="77777777" w:rsidR="00FE461F" w:rsidRPr="005E4BEA" w:rsidRDefault="00FE461F" w:rsidP="00FE461F">
            <w:pPr>
              <w:spacing w:line="240" w:lineRule="auto"/>
              <w:rPr>
                <w:rFonts w:eastAsia="MS Mincho" w:cs="Arial"/>
                <w:szCs w:val="20"/>
              </w:rPr>
            </w:pPr>
          </w:p>
        </w:tc>
      </w:tr>
      <w:tr w:rsidR="00FE461F" w:rsidRPr="005E4BEA" w14:paraId="51DB3E0C"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0A89E7E3" w14:textId="77777777" w:rsidR="00FE461F" w:rsidRPr="005E4BEA" w:rsidRDefault="00FE461F" w:rsidP="00FE461F">
            <w:pPr>
              <w:spacing w:line="240" w:lineRule="auto"/>
              <w:rPr>
                <w:rFonts w:eastAsia="MS Mincho" w:cs="Arial"/>
                <w:szCs w:val="20"/>
              </w:rPr>
            </w:pPr>
            <w:r w:rsidRPr="005E4BEA">
              <w:rPr>
                <w:rFonts w:eastAsia="MS Mincho" w:cs="Arial"/>
                <w:szCs w:val="20"/>
              </w:rPr>
              <w:t>Celje</w:t>
            </w:r>
          </w:p>
        </w:tc>
        <w:tc>
          <w:tcPr>
            <w:tcW w:w="1514" w:type="pct"/>
            <w:tcBorders>
              <w:top w:val="single" w:sz="4" w:space="0" w:color="auto"/>
              <w:left w:val="nil"/>
              <w:bottom w:val="single" w:sz="4" w:space="0" w:color="auto"/>
              <w:right w:val="single" w:sz="4" w:space="0" w:color="auto"/>
            </w:tcBorders>
            <w:noWrap/>
            <w:vAlign w:val="center"/>
            <w:hideMark/>
          </w:tcPr>
          <w:p w14:paraId="6791A0EA" w14:textId="77777777" w:rsidR="00FE461F" w:rsidRPr="005E4BEA" w:rsidRDefault="00FE461F" w:rsidP="00FE461F">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58D72CB7" w14:textId="77777777" w:rsidR="00FE461F" w:rsidRPr="005E4BEA" w:rsidRDefault="00FE461F" w:rsidP="00FE461F">
            <w:pPr>
              <w:spacing w:line="240" w:lineRule="auto"/>
              <w:rPr>
                <w:rFonts w:eastAsia="MS Mincho" w:cs="Arial"/>
                <w:szCs w:val="20"/>
              </w:rPr>
            </w:pPr>
          </w:p>
        </w:tc>
      </w:tr>
      <w:tr w:rsidR="00FE461F" w:rsidRPr="005E4BEA" w14:paraId="55747D9D"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62E83CD5" w14:textId="77777777" w:rsidR="00FE461F" w:rsidRPr="005E4BEA" w:rsidRDefault="00FE461F" w:rsidP="00FE461F">
            <w:pPr>
              <w:spacing w:line="240" w:lineRule="auto"/>
              <w:rPr>
                <w:rFonts w:eastAsia="MS Mincho" w:cs="Arial"/>
                <w:szCs w:val="20"/>
              </w:rPr>
            </w:pPr>
            <w:r w:rsidRPr="005E4BEA">
              <w:rPr>
                <w:rFonts w:eastAsia="MS Mincho" w:cs="Arial"/>
                <w:szCs w:val="20"/>
              </w:rPr>
              <w:t>Izola</w:t>
            </w:r>
          </w:p>
        </w:tc>
        <w:tc>
          <w:tcPr>
            <w:tcW w:w="1514" w:type="pct"/>
            <w:tcBorders>
              <w:top w:val="nil"/>
              <w:left w:val="nil"/>
              <w:bottom w:val="single" w:sz="4" w:space="0" w:color="auto"/>
              <w:right w:val="single" w:sz="4" w:space="0" w:color="auto"/>
            </w:tcBorders>
            <w:noWrap/>
            <w:vAlign w:val="center"/>
            <w:hideMark/>
          </w:tcPr>
          <w:p w14:paraId="0272957E" w14:textId="77777777" w:rsidR="00FE461F" w:rsidRPr="005E4BEA" w:rsidRDefault="00FE461F" w:rsidP="00FE461F">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00DDBBA6" w14:textId="77777777" w:rsidR="00FE461F" w:rsidRPr="005E4BEA" w:rsidRDefault="00FE461F" w:rsidP="00FE461F">
            <w:pPr>
              <w:spacing w:line="240" w:lineRule="auto"/>
              <w:rPr>
                <w:rFonts w:eastAsia="MS Mincho" w:cs="Arial"/>
                <w:szCs w:val="20"/>
              </w:rPr>
            </w:pPr>
          </w:p>
        </w:tc>
      </w:tr>
      <w:tr w:rsidR="00FE461F" w:rsidRPr="005E4BEA" w14:paraId="08446BA2"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7103C43F" w14:textId="77777777" w:rsidR="00FE461F" w:rsidRPr="005E4BEA" w:rsidRDefault="00FE461F" w:rsidP="00FE461F">
            <w:pPr>
              <w:spacing w:line="240" w:lineRule="auto"/>
              <w:rPr>
                <w:rFonts w:eastAsia="MS Mincho" w:cs="Arial"/>
                <w:szCs w:val="20"/>
              </w:rPr>
            </w:pPr>
            <w:r w:rsidRPr="005E4BEA">
              <w:rPr>
                <w:rFonts w:eastAsia="MS Mincho" w:cs="Arial"/>
                <w:szCs w:val="20"/>
              </w:rPr>
              <w:t>Kranj</w:t>
            </w:r>
          </w:p>
        </w:tc>
        <w:tc>
          <w:tcPr>
            <w:tcW w:w="1514" w:type="pct"/>
            <w:tcBorders>
              <w:top w:val="nil"/>
              <w:left w:val="nil"/>
              <w:bottom w:val="single" w:sz="4" w:space="0" w:color="auto"/>
              <w:right w:val="single" w:sz="4" w:space="0" w:color="auto"/>
            </w:tcBorders>
            <w:noWrap/>
            <w:vAlign w:val="center"/>
            <w:hideMark/>
          </w:tcPr>
          <w:p w14:paraId="388C9847" w14:textId="77777777" w:rsidR="00FE461F" w:rsidRPr="005E4BEA" w:rsidRDefault="00FE461F" w:rsidP="00FE461F">
            <w:pPr>
              <w:spacing w:line="240" w:lineRule="auto"/>
              <w:jc w:val="right"/>
              <w:rPr>
                <w:rFonts w:eastAsia="MS Mincho" w:cs="Arial"/>
                <w:szCs w:val="20"/>
              </w:rPr>
            </w:pPr>
            <w:r w:rsidRPr="005E4BEA">
              <w:rPr>
                <w:rFonts w:eastAsia="MS Mincho" w:cs="Arial"/>
                <w:szCs w:val="20"/>
              </w:rPr>
              <w:t>2</w:t>
            </w:r>
          </w:p>
        </w:tc>
        <w:tc>
          <w:tcPr>
            <w:tcW w:w="0" w:type="auto"/>
            <w:vAlign w:val="center"/>
            <w:hideMark/>
          </w:tcPr>
          <w:p w14:paraId="04BAAB25" w14:textId="77777777" w:rsidR="00FE461F" w:rsidRPr="005E4BEA" w:rsidRDefault="00FE461F" w:rsidP="00FE461F">
            <w:pPr>
              <w:spacing w:line="240" w:lineRule="auto"/>
              <w:rPr>
                <w:rFonts w:eastAsia="MS Mincho" w:cs="Arial"/>
                <w:szCs w:val="20"/>
              </w:rPr>
            </w:pPr>
          </w:p>
        </w:tc>
      </w:tr>
      <w:tr w:rsidR="00FE461F" w:rsidRPr="005E4BEA" w14:paraId="59C87D14"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43E1DA60" w14:textId="77777777" w:rsidR="00FE461F" w:rsidRPr="005E4BEA" w:rsidRDefault="00FE461F" w:rsidP="00FE461F">
            <w:pPr>
              <w:spacing w:line="240" w:lineRule="auto"/>
              <w:rPr>
                <w:rFonts w:eastAsia="MS Mincho" w:cs="Arial"/>
                <w:szCs w:val="20"/>
              </w:rPr>
            </w:pPr>
            <w:r w:rsidRPr="005E4BEA">
              <w:rPr>
                <w:rFonts w:eastAsia="MS Mincho" w:cs="Arial"/>
                <w:szCs w:val="20"/>
              </w:rPr>
              <w:t>Maribor</w:t>
            </w:r>
          </w:p>
        </w:tc>
        <w:tc>
          <w:tcPr>
            <w:tcW w:w="1514" w:type="pct"/>
            <w:tcBorders>
              <w:top w:val="nil"/>
              <w:left w:val="nil"/>
              <w:bottom w:val="single" w:sz="4" w:space="0" w:color="auto"/>
              <w:right w:val="single" w:sz="4" w:space="0" w:color="auto"/>
            </w:tcBorders>
            <w:noWrap/>
            <w:vAlign w:val="center"/>
            <w:hideMark/>
          </w:tcPr>
          <w:p w14:paraId="4A837B60" w14:textId="77777777" w:rsidR="00FE461F" w:rsidRPr="005E4BEA" w:rsidRDefault="00FE461F" w:rsidP="00FE461F">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3120FE4C" w14:textId="77777777" w:rsidR="00FE461F" w:rsidRPr="005E4BEA" w:rsidRDefault="00FE461F" w:rsidP="00FE461F">
            <w:pPr>
              <w:spacing w:line="240" w:lineRule="auto"/>
              <w:rPr>
                <w:rFonts w:eastAsia="MS Mincho" w:cs="Arial"/>
                <w:szCs w:val="20"/>
              </w:rPr>
            </w:pPr>
          </w:p>
        </w:tc>
      </w:tr>
    </w:tbl>
    <w:p w14:paraId="7B734F70" w14:textId="77777777" w:rsidR="00FE461F" w:rsidRPr="005E4BEA" w:rsidRDefault="00FE461F" w:rsidP="00FE461F">
      <w:pPr>
        <w:spacing w:line="240" w:lineRule="auto"/>
        <w:jc w:val="both"/>
        <w:rPr>
          <w:rFonts w:eastAsia="MS Mincho" w:cs="Arial"/>
          <w:b/>
          <w:bCs/>
          <w:szCs w:val="20"/>
        </w:rPr>
      </w:pPr>
    </w:p>
    <w:p w14:paraId="11BB8077" w14:textId="77777777" w:rsidR="00FE461F" w:rsidRPr="005E4BEA" w:rsidRDefault="00FE461F" w:rsidP="00FE461F">
      <w:pPr>
        <w:spacing w:line="240" w:lineRule="auto"/>
        <w:jc w:val="both"/>
        <w:rPr>
          <w:rFonts w:eastAsia="MS Mincho" w:cs="Arial"/>
          <w:szCs w:val="20"/>
        </w:rPr>
      </w:pPr>
    </w:p>
    <w:p w14:paraId="613C039C" w14:textId="77777777" w:rsidR="00FE461F" w:rsidRPr="005E4BEA" w:rsidRDefault="00FE461F" w:rsidP="00FE461F">
      <w:pPr>
        <w:spacing w:line="240" w:lineRule="auto"/>
        <w:jc w:val="both"/>
        <w:rPr>
          <w:rFonts w:eastAsia="MS Mincho" w:cs="Arial"/>
          <w:b/>
          <w:bCs/>
          <w:szCs w:val="20"/>
        </w:rPr>
      </w:pPr>
      <w:r w:rsidRPr="005E4BEA">
        <w:rPr>
          <w:rFonts w:eastAsia="MS Mincho" w:cs="Arial"/>
          <w:b/>
          <w:bCs/>
          <w:szCs w:val="20"/>
        </w:rPr>
        <w:t>V Prilogi 1 se za standardom za Center za preprečevanje in zdravljenje odvisnosti od drog določi nov standard za Center za preprečevanje in zdravljenje odvisnosti od drog – mobilna enota:</w:t>
      </w:r>
    </w:p>
    <w:p w14:paraId="56636238" w14:textId="77777777" w:rsidR="00FE461F" w:rsidRPr="005E4BEA" w:rsidRDefault="00FE461F" w:rsidP="00FE461F">
      <w:pPr>
        <w:spacing w:line="240" w:lineRule="auto"/>
        <w:jc w:val="both"/>
        <w:rPr>
          <w:rFonts w:eastAsia="MS Mincho" w:cs="Arial"/>
          <w:szCs w:val="20"/>
        </w:rPr>
      </w:pPr>
    </w:p>
    <w:p w14:paraId="3DBBE36C" w14:textId="77777777" w:rsidR="00FE461F" w:rsidRPr="005E4BEA" w:rsidRDefault="00FE461F" w:rsidP="00FE461F">
      <w:pPr>
        <w:spacing w:line="240" w:lineRule="auto"/>
        <w:jc w:val="both"/>
        <w:rPr>
          <w:rFonts w:eastAsia="MS Mincho" w:cs="Arial"/>
          <w:szCs w:val="20"/>
        </w:rPr>
      </w:pPr>
      <w:r w:rsidRPr="005E4BEA">
        <w:rPr>
          <w:rFonts w:eastAsia="MS Mincho" w:cs="Arial"/>
          <w:noProof/>
          <w:szCs w:val="20"/>
        </w:rPr>
        <w:drawing>
          <wp:inline distT="0" distB="0" distL="0" distR="0" wp14:anchorId="5BE27654" wp14:editId="19E24E5B">
            <wp:extent cx="5593465" cy="1152525"/>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9052" cy="1153676"/>
                    </a:xfrm>
                    <a:prstGeom prst="rect">
                      <a:avLst/>
                    </a:prstGeom>
                    <a:noFill/>
                    <a:ln>
                      <a:noFill/>
                    </a:ln>
                  </pic:spPr>
                </pic:pic>
              </a:graphicData>
            </a:graphic>
          </wp:inline>
        </w:drawing>
      </w:r>
    </w:p>
    <w:p w14:paraId="6C108158"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Opomba: Standard velja za ZD Celje, ZD Izola, ZD Kranj, ZD Nova Gorica in ZD Maribor.</w:t>
      </w:r>
    </w:p>
    <w:p w14:paraId="503F0860" w14:textId="77777777" w:rsidR="00FE461F" w:rsidRPr="005E4BEA" w:rsidRDefault="00FE461F" w:rsidP="00FE461F">
      <w:pPr>
        <w:spacing w:line="240" w:lineRule="auto"/>
        <w:rPr>
          <w:rFonts w:eastAsia="Calibri" w:cs="Arial"/>
          <w:b/>
          <w:bCs/>
          <w:i/>
          <w:iCs/>
          <w:color w:val="7F7F7F" w:themeColor="text1" w:themeTint="80"/>
          <w:szCs w:val="20"/>
        </w:rPr>
      </w:pPr>
    </w:p>
    <w:p w14:paraId="1D312B03" w14:textId="77777777" w:rsidR="00FE461F" w:rsidRPr="005E4BEA" w:rsidRDefault="00FE461F" w:rsidP="00FE461F">
      <w:pPr>
        <w:spacing w:line="240" w:lineRule="auto"/>
        <w:rPr>
          <w:rFonts w:eastAsia="Calibri" w:cs="Arial"/>
          <w:b/>
          <w:bCs/>
          <w:i/>
          <w:iCs/>
          <w:color w:val="7F7F7F" w:themeColor="text1" w:themeTint="80"/>
          <w:szCs w:val="20"/>
        </w:rPr>
      </w:pPr>
    </w:p>
    <w:p w14:paraId="024BC74B" w14:textId="77777777" w:rsidR="00FE461F" w:rsidRPr="005E4BEA" w:rsidRDefault="00FE461F" w:rsidP="00FE461F">
      <w:pPr>
        <w:spacing w:line="240" w:lineRule="auto"/>
        <w:rPr>
          <w:rFonts w:eastAsia="Calibri" w:cs="Arial"/>
          <w:b/>
          <w:bCs/>
          <w:i/>
          <w:iCs/>
          <w:color w:val="7F7F7F" w:themeColor="text1" w:themeTint="80"/>
          <w:szCs w:val="20"/>
        </w:rPr>
      </w:pPr>
      <w:r w:rsidRPr="005E4BEA">
        <w:rPr>
          <w:rFonts w:eastAsia="Calibri" w:cs="Arial"/>
          <w:b/>
          <w:bCs/>
          <w:i/>
          <w:iCs/>
          <w:color w:val="7F7F7F" w:themeColor="text1" w:themeTint="80"/>
          <w:szCs w:val="20"/>
        </w:rPr>
        <w:t>Obrazložitev:</w:t>
      </w:r>
    </w:p>
    <w:p w14:paraId="30293A60" w14:textId="77777777"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 xml:space="preserve">Ministrstvo za zdravje je v okviru evropske kohezijske politike v obdobju 2014–2020 pridobilo sredstva (skupaj za nabavo opreme 3.303.324,00 EUR - od tega za opremo – kombije 392.000,00 EUR) za izvedbo programa Razvoj in nadgradnja mreže mobilnih enot za izvajanje preventivnih programov in programov zmanjševanja škode na področju prepovedanih drog. Program se je pričel izvajati 1. oktobra 2018 in se zaključi konec oktobra 2022. </w:t>
      </w:r>
    </w:p>
    <w:p w14:paraId="38B13C36" w14:textId="77777777" w:rsidR="00FE461F" w:rsidRPr="005E4BEA" w:rsidRDefault="00FE461F" w:rsidP="00FE461F">
      <w:pPr>
        <w:spacing w:line="240" w:lineRule="auto"/>
        <w:jc w:val="both"/>
        <w:rPr>
          <w:rFonts w:eastAsia="Calibri" w:cs="Arial"/>
          <w:i/>
          <w:iCs/>
          <w:color w:val="7F7F7F" w:themeColor="text1" w:themeTint="80"/>
          <w:szCs w:val="20"/>
        </w:rPr>
      </w:pPr>
    </w:p>
    <w:p w14:paraId="025FAB1A" w14:textId="77777777"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 xml:space="preserve">Aktivnosti in storitev programa so se izkazale kot nujno potrebne za obvladovanje okužb in obolenj s HEPATITISOM, AIDS-om in drugimi spolnimi obolenji. Program se je izkazal kot nadgradnja sistema programov za zdravljenje odvisnosti od prepovedanih drog, ki se približa uporabnikom na terenu. Predlagamo, da se iz tega naslova zdravstveniki financirajo iz sredstev OZZ-ja, ki že financira programe odvisnosti. </w:t>
      </w:r>
    </w:p>
    <w:p w14:paraId="2B33C2DD" w14:textId="77777777" w:rsidR="00FE461F" w:rsidRPr="005E4BEA" w:rsidRDefault="00FE461F" w:rsidP="00FE461F">
      <w:pPr>
        <w:spacing w:line="240" w:lineRule="auto"/>
        <w:jc w:val="both"/>
        <w:rPr>
          <w:rFonts w:eastAsia="Calibri" w:cs="Arial"/>
          <w:i/>
          <w:iCs/>
          <w:color w:val="7F7F7F" w:themeColor="text1" w:themeTint="80"/>
          <w:szCs w:val="20"/>
        </w:rPr>
      </w:pPr>
    </w:p>
    <w:p w14:paraId="7BC75786" w14:textId="77777777"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 xml:space="preserve">S predlogom aneksa se bo zagotovilo nadaljevanje programa in sistemizacijo delovnih mest diplomiranih medicinskih sester, ki so zaposlene v zdravstvenih domovih: Zdravstveni dom Maribor, Zdravstveni dom Celje, Zdravstveni dom Izola, Zdravstveni dom Nova gorica in Zdravstveni dom Kranj. Aktivnosti, ki se že izvajajo znotraj projekta in so predvidene za nadgradnjo in razširitev naloge NIJZ so predvsem svetovanje, informiranje, skupinsko ter individualno delo z uporabniki, obiski na domu, čistilne akcije, deljenje sanitarnega materiala </w:t>
      </w:r>
      <w:r w:rsidRPr="005E4BEA">
        <w:rPr>
          <w:rFonts w:eastAsia="Calibri" w:cs="Arial"/>
          <w:i/>
          <w:iCs/>
          <w:color w:val="7F7F7F" w:themeColor="text1" w:themeTint="80"/>
          <w:szCs w:val="20"/>
        </w:rPr>
        <w:lastRenderedPageBreak/>
        <w:t xml:space="preserve">(brizg in igel, alkoholnih robčkov, zbirnikov za uporabljene igle, idr.), zamenjava igel ter sterilnega pribora, nevezano testiranje, zdravstvena pomoč pri nujnih intervencijah, oskrba lažjih ran in poškodb uporabnikov, prevezovanje, itd. z mobilnimi enotami. </w:t>
      </w:r>
    </w:p>
    <w:p w14:paraId="2975AC36" w14:textId="77777777" w:rsidR="00FE461F" w:rsidRPr="005E4BEA" w:rsidRDefault="00FE461F" w:rsidP="00FE461F">
      <w:pPr>
        <w:spacing w:line="240" w:lineRule="auto"/>
        <w:jc w:val="both"/>
        <w:rPr>
          <w:rFonts w:eastAsia="Calibri" w:cs="Arial"/>
          <w:i/>
          <w:iCs/>
          <w:color w:val="7F7F7F" w:themeColor="text1" w:themeTint="80"/>
          <w:szCs w:val="20"/>
        </w:rPr>
      </w:pPr>
    </w:p>
    <w:p w14:paraId="225C6943" w14:textId="2F2DD344" w:rsidR="00FE461F" w:rsidRPr="005E4BEA" w:rsidRDefault="00FE461F" w:rsidP="00FE461F">
      <w:pPr>
        <w:spacing w:line="240" w:lineRule="auto"/>
        <w:jc w:val="both"/>
        <w:rPr>
          <w:rFonts w:eastAsia="Calibri" w:cs="Arial"/>
          <w:b/>
          <w:bCs/>
          <w:i/>
          <w:iCs/>
          <w:color w:val="7F7F7F" w:themeColor="text1" w:themeTint="80"/>
          <w:szCs w:val="20"/>
        </w:rPr>
      </w:pPr>
      <w:r w:rsidRPr="005E4BEA">
        <w:rPr>
          <w:rFonts w:eastAsia="Calibri" w:cs="Arial"/>
          <w:b/>
          <w:bCs/>
          <w:i/>
          <w:iCs/>
          <w:color w:val="7F7F7F" w:themeColor="text1" w:themeTint="80"/>
          <w:szCs w:val="20"/>
        </w:rPr>
        <w:t>Finančne posledice na letni ravni znašajo 228.684 eur.</w:t>
      </w:r>
    </w:p>
    <w:p w14:paraId="0C0EAA0E" w14:textId="299E801A" w:rsidR="00406310" w:rsidRPr="005E4BEA" w:rsidRDefault="00406310" w:rsidP="00FE461F">
      <w:pPr>
        <w:spacing w:line="240" w:lineRule="auto"/>
        <w:jc w:val="both"/>
        <w:rPr>
          <w:rFonts w:eastAsia="Calibri" w:cs="Arial"/>
          <w:b/>
          <w:bCs/>
          <w:i/>
          <w:iCs/>
          <w:color w:val="7F7F7F" w:themeColor="text1" w:themeTint="80"/>
          <w:szCs w:val="20"/>
        </w:rPr>
      </w:pPr>
    </w:p>
    <w:p w14:paraId="1279A4B9" w14:textId="77777777" w:rsidR="00406310" w:rsidRPr="005E4BEA" w:rsidRDefault="00406310" w:rsidP="00406310">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5FB10A92" w14:textId="77777777" w:rsidR="00406310" w:rsidRPr="005E4BEA" w:rsidRDefault="00406310" w:rsidP="00406310">
      <w:pPr>
        <w:spacing w:line="0" w:lineRule="atLeast"/>
        <w:jc w:val="both"/>
        <w:rPr>
          <w:rFonts w:eastAsia="Arial Narrow" w:cs="Arial"/>
          <w:szCs w:val="20"/>
          <w:lang w:eastAsia="sl-SI"/>
        </w:rPr>
      </w:pPr>
    </w:p>
    <w:p w14:paraId="25EF7A2D" w14:textId="77777777" w:rsidR="00406310" w:rsidRPr="005E4BEA" w:rsidRDefault="00406310" w:rsidP="00406310">
      <w:pPr>
        <w:spacing w:after="160" w:line="259" w:lineRule="auto"/>
        <w:jc w:val="both"/>
        <w:rPr>
          <w:rFonts w:eastAsia="MS Mincho"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cs="Arial"/>
          <w:szCs w:val="20"/>
        </w:rPr>
        <w:t xml:space="preserve">se v </w:t>
      </w:r>
      <w:r w:rsidRPr="005E4BEA">
        <w:rPr>
          <w:rFonts w:eastAsia="MS Mincho" w:cs="Arial"/>
          <w:szCs w:val="20"/>
        </w:rPr>
        <w:t xml:space="preserve">24. členu v šestem odstavku </w:t>
      </w:r>
      <w:bookmarkStart w:id="89" w:name="_Hlk102471132"/>
      <w:r w:rsidRPr="005E4BEA">
        <w:rPr>
          <w:rFonts w:eastAsia="MS Mincho" w:cs="Arial"/>
          <w:szCs w:val="20"/>
        </w:rPr>
        <w:t>v tabeli dodajo nove vrstice</w:t>
      </w:r>
      <w:r w:rsidRPr="005E4BEA">
        <w:rPr>
          <w:rFonts w:eastAsiaTheme="minorHAnsi" w:cs="Arial"/>
          <w:szCs w:val="20"/>
          <w:lang w:eastAsia="sl-SI"/>
        </w:rPr>
        <w:t xml:space="preserve"> </w:t>
      </w:r>
      <w:r w:rsidRPr="005E4BEA">
        <w:rPr>
          <w:rFonts w:eastAsia="MS Mincho" w:cs="Arial"/>
          <w:szCs w:val="20"/>
        </w:rPr>
        <w:t>za nujne širitve programov oziroma uvajanje novih terapij:</w:t>
      </w:r>
    </w:p>
    <w:p w14:paraId="2FF3CA1C" w14:textId="6F2EE2D7" w:rsidR="00406310" w:rsidRPr="005E4BEA" w:rsidRDefault="00406310" w:rsidP="00406310">
      <w:pPr>
        <w:spacing w:line="240" w:lineRule="auto"/>
        <w:jc w:val="both"/>
        <w:rPr>
          <w:rFonts w:cs="Arial"/>
          <w:b/>
          <w:szCs w:val="20"/>
          <w:lang w:eastAsia="sl-SI"/>
        </w:rPr>
      </w:pPr>
    </w:p>
    <w:p w14:paraId="74C151C8" w14:textId="77777777" w:rsidR="00406310" w:rsidRPr="005E4BEA" w:rsidRDefault="00406310" w:rsidP="00406310">
      <w:pPr>
        <w:spacing w:line="240" w:lineRule="auto"/>
        <w:jc w:val="both"/>
        <w:rPr>
          <w:rFonts w:cs="Arial"/>
          <w:b/>
          <w:szCs w:val="20"/>
          <w:lang w:eastAsia="sl-SI"/>
        </w:rPr>
      </w:pPr>
    </w:p>
    <w:tbl>
      <w:tblPr>
        <w:tblW w:w="8651" w:type="dxa"/>
        <w:tblCellMar>
          <w:left w:w="70" w:type="dxa"/>
          <w:right w:w="70" w:type="dxa"/>
        </w:tblCellMar>
        <w:tblLook w:val="04A0" w:firstRow="1" w:lastRow="0" w:firstColumn="1" w:lastColumn="0" w:noHBand="0" w:noVBand="1"/>
      </w:tblPr>
      <w:tblGrid>
        <w:gridCol w:w="557"/>
        <w:gridCol w:w="2748"/>
        <w:gridCol w:w="1533"/>
        <w:gridCol w:w="1096"/>
        <w:gridCol w:w="1294"/>
        <w:gridCol w:w="1423"/>
      </w:tblGrid>
      <w:tr w:rsidR="00406310" w:rsidRPr="005E4BEA" w14:paraId="179B5151" w14:textId="77777777" w:rsidTr="00E548C3">
        <w:trPr>
          <w:trHeight w:val="549"/>
        </w:trPr>
        <w:tc>
          <w:tcPr>
            <w:tcW w:w="557" w:type="dxa"/>
            <w:tcBorders>
              <w:top w:val="single" w:sz="8" w:space="0" w:color="000000"/>
              <w:left w:val="single" w:sz="8" w:space="0" w:color="000000"/>
              <w:bottom w:val="nil"/>
              <w:right w:val="single" w:sz="8" w:space="0" w:color="000000"/>
            </w:tcBorders>
            <w:shd w:val="clear" w:color="auto" w:fill="auto"/>
            <w:vAlign w:val="center"/>
            <w:hideMark/>
          </w:tcPr>
          <w:p w14:paraId="369D5BF4" w14:textId="77777777" w:rsidR="00406310" w:rsidRPr="005E4BEA" w:rsidRDefault="00406310" w:rsidP="0016774B">
            <w:pPr>
              <w:spacing w:line="240" w:lineRule="auto"/>
              <w:jc w:val="both"/>
              <w:rPr>
                <w:rFonts w:cs="Arial"/>
                <w:color w:val="000000"/>
                <w:szCs w:val="20"/>
                <w:lang w:eastAsia="sl-SI"/>
              </w:rPr>
            </w:pPr>
            <w:bookmarkStart w:id="90" w:name="_Hlk103007011"/>
            <w:r w:rsidRPr="005E4BEA">
              <w:rPr>
                <w:rFonts w:cs="Arial"/>
                <w:color w:val="000000"/>
                <w:szCs w:val="20"/>
                <w:lang w:eastAsia="sl-SI"/>
              </w:rPr>
              <w:t> </w:t>
            </w:r>
          </w:p>
        </w:tc>
        <w:tc>
          <w:tcPr>
            <w:tcW w:w="27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DD79EE"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P   r   o   g   r   a   m</w:t>
            </w:r>
          </w:p>
        </w:tc>
        <w:tc>
          <w:tcPr>
            <w:tcW w:w="1533" w:type="dxa"/>
            <w:tcBorders>
              <w:top w:val="single" w:sz="8" w:space="0" w:color="000000"/>
              <w:left w:val="nil"/>
              <w:bottom w:val="single" w:sz="8" w:space="0" w:color="000000"/>
              <w:right w:val="single" w:sz="8" w:space="0" w:color="000000"/>
            </w:tcBorders>
            <w:shd w:val="clear" w:color="auto" w:fill="auto"/>
            <w:vAlign w:val="center"/>
            <w:hideMark/>
          </w:tcPr>
          <w:p w14:paraId="449B7494"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I z v a j a l e c /</w:t>
            </w:r>
          </w:p>
        </w:tc>
        <w:tc>
          <w:tcPr>
            <w:tcW w:w="10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D438CB"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Obseg programa</w:t>
            </w:r>
          </w:p>
        </w:tc>
        <w:tc>
          <w:tcPr>
            <w:tcW w:w="1294" w:type="dxa"/>
            <w:tcBorders>
              <w:top w:val="single" w:sz="8" w:space="0" w:color="000000"/>
              <w:left w:val="nil"/>
              <w:bottom w:val="single" w:sz="8" w:space="0" w:color="000000"/>
              <w:right w:val="single" w:sz="8" w:space="0" w:color="000000"/>
            </w:tcBorders>
            <w:shd w:val="clear" w:color="auto" w:fill="auto"/>
            <w:vAlign w:val="center"/>
            <w:hideMark/>
          </w:tcPr>
          <w:p w14:paraId="5A939438" w14:textId="77777777" w:rsidR="00406310" w:rsidRPr="005E4BEA" w:rsidRDefault="00406310" w:rsidP="0016774B">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c>
          <w:tcPr>
            <w:tcW w:w="1423" w:type="dxa"/>
            <w:tcBorders>
              <w:top w:val="single" w:sz="8" w:space="0" w:color="000000"/>
              <w:left w:val="nil"/>
              <w:bottom w:val="single" w:sz="8" w:space="0" w:color="000000"/>
              <w:right w:val="single" w:sz="8" w:space="0" w:color="000000"/>
            </w:tcBorders>
            <w:shd w:val="clear" w:color="auto" w:fill="auto"/>
            <w:vAlign w:val="center"/>
            <w:hideMark/>
          </w:tcPr>
          <w:p w14:paraId="6AAA0554" w14:textId="77777777" w:rsidR="00406310" w:rsidRPr="005E4BEA" w:rsidRDefault="00406310" w:rsidP="0016774B">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r>
      <w:tr w:rsidR="00406310" w:rsidRPr="005E4BEA" w14:paraId="67627F7E" w14:textId="77777777" w:rsidTr="00E548C3">
        <w:trPr>
          <w:trHeight w:val="549"/>
        </w:trPr>
        <w:tc>
          <w:tcPr>
            <w:tcW w:w="557" w:type="dxa"/>
            <w:tcBorders>
              <w:top w:val="nil"/>
              <w:left w:val="single" w:sz="8" w:space="0" w:color="000000"/>
              <w:bottom w:val="nil"/>
              <w:right w:val="single" w:sz="8" w:space="0" w:color="000000"/>
            </w:tcBorders>
            <w:shd w:val="clear" w:color="auto" w:fill="auto"/>
            <w:vAlign w:val="center"/>
            <w:hideMark/>
          </w:tcPr>
          <w:p w14:paraId="3C8B562F"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2748" w:type="dxa"/>
            <w:vMerge/>
            <w:tcBorders>
              <w:top w:val="single" w:sz="8" w:space="0" w:color="000000"/>
              <w:left w:val="single" w:sz="8" w:space="0" w:color="000000"/>
              <w:bottom w:val="single" w:sz="8" w:space="0" w:color="000000"/>
              <w:right w:val="single" w:sz="8" w:space="0" w:color="000000"/>
            </w:tcBorders>
            <w:vAlign w:val="center"/>
            <w:hideMark/>
          </w:tcPr>
          <w:p w14:paraId="48762709" w14:textId="77777777" w:rsidR="00406310" w:rsidRPr="005E4BEA" w:rsidRDefault="00406310" w:rsidP="0016774B">
            <w:pPr>
              <w:spacing w:line="240" w:lineRule="auto"/>
              <w:rPr>
                <w:rFonts w:cs="Arial"/>
                <w:color w:val="000000"/>
                <w:szCs w:val="20"/>
                <w:lang w:eastAsia="sl-SI"/>
              </w:rPr>
            </w:pPr>
          </w:p>
        </w:tc>
        <w:tc>
          <w:tcPr>
            <w:tcW w:w="1533" w:type="dxa"/>
            <w:tcBorders>
              <w:top w:val="nil"/>
              <w:left w:val="nil"/>
              <w:bottom w:val="single" w:sz="8" w:space="0" w:color="000000"/>
              <w:right w:val="single" w:sz="8" w:space="0" w:color="000000"/>
            </w:tcBorders>
            <w:shd w:val="clear" w:color="auto" w:fill="auto"/>
            <w:vAlign w:val="center"/>
            <w:hideMark/>
          </w:tcPr>
          <w:p w14:paraId="77C45590"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i z p o s t a v a</w:t>
            </w:r>
          </w:p>
        </w:tc>
        <w:tc>
          <w:tcPr>
            <w:tcW w:w="1096" w:type="dxa"/>
            <w:vMerge/>
            <w:tcBorders>
              <w:top w:val="single" w:sz="8" w:space="0" w:color="000000"/>
              <w:left w:val="single" w:sz="8" w:space="0" w:color="000000"/>
              <w:bottom w:val="single" w:sz="8" w:space="0" w:color="000000"/>
              <w:right w:val="single" w:sz="8" w:space="0" w:color="000000"/>
            </w:tcBorders>
            <w:vAlign w:val="center"/>
            <w:hideMark/>
          </w:tcPr>
          <w:p w14:paraId="42137896" w14:textId="77777777" w:rsidR="00406310" w:rsidRPr="005E4BEA" w:rsidRDefault="00406310" w:rsidP="0016774B">
            <w:pPr>
              <w:spacing w:line="240" w:lineRule="auto"/>
              <w:rPr>
                <w:rFonts w:cs="Arial"/>
                <w:color w:val="000000"/>
                <w:szCs w:val="20"/>
                <w:lang w:eastAsia="sl-SI"/>
              </w:rPr>
            </w:pPr>
          </w:p>
        </w:tc>
        <w:tc>
          <w:tcPr>
            <w:tcW w:w="1294" w:type="dxa"/>
            <w:tcBorders>
              <w:top w:val="nil"/>
              <w:left w:val="nil"/>
              <w:bottom w:val="single" w:sz="8" w:space="0" w:color="000000"/>
              <w:right w:val="single" w:sz="8" w:space="0" w:color="000000"/>
            </w:tcBorders>
            <w:shd w:val="clear" w:color="auto" w:fill="auto"/>
            <w:vAlign w:val="center"/>
            <w:hideMark/>
          </w:tcPr>
          <w:p w14:paraId="0005F554"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na letni ravni</w:t>
            </w:r>
          </w:p>
        </w:tc>
        <w:tc>
          <w:tcPr>
            <w:tcW w:w="1423" w:type="dxa"/>
            <w:tcBorders>
              <w:top w:val="nil"/>
              <w:left w:val="nil"/>
              <w:bottom w:val="single" w:sz="8" w:space="0" w:color="000000"/>
              <w:right w:val="single" w:sz="8" w:space="0" w:color="000000"/>
            </w:tcBorders>
            <w:shd w:val="clear" w:color="auto" w:fill="auto"/>
            <w:vAlign w:val="center"/>
            <w:hideMark/>
          </w:tcPr>
          <w:p w14:paraId="7FA13B07"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1.11.–31.12. 2022</w:t>
            </w:r>
          </w:p>
        </w:tc>
      </w:tr>
      <w:tr w:rsidR="00406310" w:rsidRPr="005E4BEA" w14:paraId="4AC2E7CE" w14:textId="77777777" w:rsidTr="00E548C3">
        <w:trPr>
          <w:trHeight w:val="329"/>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48C1E774"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2748" w:type="dxa"/>
            <w:vMerge/>
            <w:tcBorders>
              <w:top w:val="single" w:sz="8" w:space="0" w:color="000000"/>
              <w:left w:val="single" w:sz="8" w:space="0" w:color="000000"/>
              <w:bottom w:val="single" w:sz="8" w:space="0" w:color="000000"/>
              <w:right w:val="single" w:sz="8" w:space="0" w:color="000000"/>
            </w:tcBorders>
            <w:vAlign w:val="center"/>
            <w:hideMark/>
          </w:tcPr>
          <w:p w14:paraId="51D92F72" w14:textId="77777777" w:rsidR="00406310" w:rsidRPr="005E4BEA" w:rsidRDefault="00406310" w:rsidP="0016774B">
            <w:pPr>
              <w:spacing w:line="240" w:lineRule="auto"/>
              <w:rPr>
                <w:rFonts w:cs="Arial"/>
                <w:color w:val="000000"/>
                <w:szCs w:val="20"/>
                <w:lang w:eastAsia="sl-SI"/>
              </w:rPr>
            </w:pPr>
          </w:p>
        </w:tc>
        <w:tc>
          <w:tcPr>
            <w:tcW w:w="1533" w:type="dxa"/>
            <w:tcBorders>
              <w:top w:val="nil"/>
              <w:left w:val="nil"/>
              <w:bottom w:val="single" w:sz="8" w:space="0" w:color="000000"/>
              <w:right w:val="single" w:sz="8" w:space="0" w:color="000000"/>
            </w:tcBorders>
            <w:shd w:val="clear" w:color="auto" w:fill="auto"/>
            <w:vAlign w:val="center"/>
            <w:hideMark/>
          </w:tcPr>
          <w:p w14:paraId="13FE0E3F"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xml:space="preserve"> </w:t>
            </w:r>
          </w:p>
        </w:tc>
        <w:tc>
          <w:tcPr>
            <w:tcW w:w="1096" w:type="dxa"/>
            <w:vMerge/>
            <w:tcBorders>
              <w:top w:val="single" w:sz="8" w:space="0" w:color="000000"/>
              <w:left w:val="single" w:sz="8" w:space="0" w:color="000000"/>
              <w:bottom w:val="single" w:sz="8" w:space="0" w:color="000000"/>
              <w:right w:val="single" w:sz="8" w:space="0" w:color="000000"/>
            </w:tcBorders>
            <w:vAlign w:val="center"/>
            <w:hideMark/>
          </w:tcPr>
          <w:p w14:paraId="14753499" w14:textId="77777777" w:rsidR="00406310" w:rsidRPr="005E4BEA" w:rsidRDefault="00406310" w:rsidP="0016774B">
            <w:pPr>
              <w:spacing w:line="240" w:lineRule="auto"/>
              <w:rPr>
                <w:rFonts w:cs="Arial"/>
                <w:color w:val="000000"/>
                <w:szCs w:val="20"/>
                <w:lang w:eastAsia="sl-SI"/>
              </w:rPr>
            </w:pPr>
          </w:p>
        </w:tc>
        <w:tc>
          <w:tcPr>
            <w:tcW w:w="1294" w:type="dxa"/>
            <w:tcBorders>
              <w:top w:val="nil"/>
              <w:left w:val="nil"/>
              <w:bottom w:val="single" w:sz="8" w:space="0" w:color="000000"/>
              <w:right w:val="single" w:sz="8" w:space="0" w:color="000000"/>
            </w:tcBorders>
            <w:shd w:val="clear" w:color="auto" w:fill="auto"/>
            <w:vAlign w:val="center"/>
            <w:hideMark/>
          </w:tcPr>
          <w:p w14:paraId="6F6F7D6A"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(v EUR)</w:t>
            </w:r>
          </w:p>
        </w:tc>
        <w:tc>
          <w:tcPr>
            <w:tcW w:w="1423" w:type="dxa"/>
            <w:tcBorders>
              <w:top w:val="nil"/>
              <w:left w:val="nil"/>
              <w:bottom w:val="single" w:sz="8" w:space="0" w:color="000000"/>
              <w:right w:val="single" w:sz="8" w:space="0" w:color="000000"/>
            </w:tcBorders>
            <w:shd w:val="clear" w:color="auto" w:fill="auto"/>
            <w:vAlign w:val="center"/>
            <w:hideMark/>
          </w:tcPr>
          <w:p w14:paraId="232B2F50"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(v EUR)</w:t>
            </w:r>
          </w:p>
        </w:tc>
      </w:tr>
      <w:tr w:rsidR="00406310" w:rsidRPr="005E4BEA" w14:paraId="5EE4BC95" w14:textId="77777777" w:rsidTr="00E548C3">
        <w:trPr>
          <w:trHeight w:val="1350"/>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32439836"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2748" w:type="dxa"/>
            <w:tcBorders>
              <w:top w:val="nil"/>
              <w:left w:val="nil"/>
              <w:bottom w:val="single" w:sz="8" w:space="0" w:color="000000"/>
              <w:right w:val="single" w:sz="8" w:space="0" w:color="000000"/>
            </w:tcBorders>
            <w:shd w:val="clear" w:color="auto" w:fill="auto"/>
            <w:vAlign w:val="center"/>
            <w:hideMark/>
          </w:tcPr>
          <w:p w14:paraId="6633294E" w14:textId="77777777" w:rsidR="00406310" w:rsidRPr="005E4BEA" w:rsidRDefault="00406310" w:rsidP="0016774B">
            <w:pPr>
              <w:spacing w:line="240" w:lineRule="auto"/>
              <w:rPr>
                <w:rFonts w:cs="Arial"/>
                <w:color w:val="000000"/>
                <w:szCs w:val="20"/>
                <w:lang w:eastAsia="sl-SI"/>
              </w:rPr>
            </w:pPr>
            <w:r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53C47F6F"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ZD Kranj</w:t>
            </w:r>
          </w:p>
        </w:tc>
        <w:tc>
          <w:tcPr>
            <w:tcW w:w="1096" w:type="dxa"/>
            <w:tcBorders>
              <w:top w:val="nil"/>
              <w:left w:val="nil"/>
              <w:bottom w:val="single" w:sz="8" w:space="0" w:color="000000"/>
              <w:right w:val="single" w:sz="8" w:space="0" w:color="000000"/>
            </w:tcBorders>
            <w:shd w:val="clear" w:color="auto" w:fill="auto"/>
            <w:vAlign w:val="center"/>
            <w:hideMark/>
          </w:tcPr>
          <w:p w14:paraId="3459A6F5"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2</w:t>
            </w:r>
          </w:p>
        </w:tc>
        <w:tc>
          <w:tcPr>
            <w:tcW w:w="1294" w:type="dxa"/>
            <w:tcBorders>
              <w:top w:val="nil"/>
              <w:left w:val="nil"/>
              <w:bottom w:val="single" w:sz="8" w:space="0" w:color="000000"/>
              <w:right w:val="single" w:sz="8" w:space="0" w:color="000000"/>
            </w:tcBorders>
            <w:shd w:val="clear" w:color="auto" w:fill="auto"/>
            <w:vAlign w:val="center"/>
            <w:hideMark/>
          </w:tcPr>
          <w:p w14:paraId="6E66D27A"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66.228</w:t>
            </w:r>
          </w:p>
        </w:tc>
        <w:tc>
          <w:tcPr>
            <w:tcW w:w="1423" w:type="dxa"/>
            <w:tcBorders>
              <w:top w:val="nil"/>
              <w:left w:val="nil"/>
              <w:bottom w:val="single" w:sz="8" w:space="0" w:color="000000"/>
              <w:right w:val="single" w:sz="8" w:space="0" w:color="000000"/>
            </w:tcBorders>
            <w:shd w:val="clear" w:color="auto" w:fill="auto"/>
            <w:vAlign w:val="center"/>
            <w:hideMark/>
          </w:tcPr>
          <w:p w14:paraId="79A58B7A"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11.038</w:t>
            </w:r>
          </w:p>
        </w:tc>
      </w:tr>
      <w:tr w:rsidR="00406310" w:rsidRPr="005E4BEA" w14:paraId="216B06C8" w14:textId="77777777" w:rsidTr="00E548C3">
        <w:trPr>
          <w:trHeight w:val="329"/>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08238450"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2</w:t>
            </w:r>
          </w:p>
        </w:tc>
        <w:tc>
          <w:tcPr>
            <w:tcW w:w="2748" w:type="dxa"/>
            <w:tcBorders>
              <w:top w:val="nil"/>
              <w:left w:val="nil"/>
              <w:bottom w:val="single" w:sz="8" w:space="0" w:color="000000"/>
              <w:right w:val="single" w:sz="8" w:space="0" w:color="000000"/>
            </w:tcBorders>
            <w:shd w:val="clear" w:color="auto" w:fill="auto"/>
            <w:vAlign w:val="center"/>
            <w:hideMark/>
          </w:tcPr>
          <w:p w14:paraId="55979EEB" w14:textId="2B742864"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r w:rsidR="00E548C3"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34B87D81"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ZD Izola</w:t>
            </w:r>
          </w:p>
        </w:tc>
        <w:tc>
          <w:tcPr>
            <w:tcW w:w="1096" w:type="dxa"/>
            <w:tcBorders>
              <w:top w:val="nil"/>
              <w:left w:val="nil"/>
              <w:bottom w:val="single" w:sz="8" w:space="0" w:color="000000"/>
              <w:right w:val="single" w:sz="8" w:space="0" w:color="000000"/>
            </w:tcBorders>
            <w:shd w:val="clear" w:color="auto" w:fill="auto"/>
            <w:vAlign w:val="center"/>
            <w:hideMark/>
          </w:tcPr>
          <w:p w14:paraId="24B3996D"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1911C317"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597610B0"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5.519</w:t>
            </w:r>
          </w:p>
        </w:tc>
      </w:tr>
      <w:tr w:rsidR="00406310" w:rsidRPr="005E4BEA" w14:paraId="160FC8B3" w14:textId="77777777" w:rsidTr="00E548C3">
        <w:trPr>
          <w:trHeight w:val="549"/>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1EFEE24"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3</w:t>
            </w:r>
          </w:p>
        </w:tc>
        <w:tc>
          <w:tcPr>
            <w:tcW w:w="2748" w:type="dxa"/>
            <w:tcBorders>
              <w:top w:val="nil"/>
              <w:left w:val="nil"/>
              <w:bottom w:val="single" w:sz="8" w:space="0" w:color="000000"/>
              <w:right w:val="single" w:sz="8" w:space="0" w:color="000000"/>
            </w:tcBorders>
            <w:shd w:val="clear" w:color="auto" w:fill="auto"/>
            <w:vAlign w:val="center"/>
            <w:hideMark/>
          </w:tcPr>
          <w:p w14:paraId="0C8F997F" w14:textId="223E5002"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r w:rsidR="00E548C3"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7C005C5F"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ZD Nova Gorica</w:t>
            </w:r>
          </w:p>
        </w:tc>
        <w:tc>
          <w:tcPr>
            <w:tcW w:w="1096" w:type="dxa"/>
            <w:tcBorders>
              <w:top w:val="nil"/>
              <w:left w:val="nil"/>
              <w:bottom w:val="single" w:sz="8" w:space="0" w:color="000000"/>
              <w:right w:val="single" w:sz="8" w:space="0" w:color="000000"/>
            </w:tcBorders>
            <w:shd w:val="clear" w:color="auto" w:fill="auto"/>
            <w:vAlign w:val="center"/>
            <w:hideMark/>
          </w:tcPr>
          <w:p w14:paraId="34E4B467"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44E9B20D"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5460865F"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5.519</w:t>
            </w:r>
          </w:p>
        </w:tc>
      </w:tr>
      <w:tr w:rsidR="00406310" w:rsidRPr="005E4BEA" w14:paraId="260113B4" w14:textId="77777777" w:rsidTr="00E548C3">
        <w:trPr>
          <w:trHeight w:val="329"/>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76933ADD"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4</w:t>
            </w:r>
          </w:p>
        </w:tc>
        <w:tc>
          <w:tcPr>
            <w:tcW w:w="2748" w:type="dxa"/>
            <w:tcBorders>
              <w:top w:val="nil"/>
              <w:left w:val="nil"/>
              <w:bottom w:val="single" w:sz="8" w:space="0" w:color="000000"/>
              <w:right w:val="single" w:sz="8" w:space="0" w:color="000000"/>
            </w:tcBorders>
            <w:shd w:val="clear" w:color="auto" w:fill="auto"/>
            <w:vAlign w:val="center"/>
            <w:hideMark/>
          </w:tcPr>
          <w:p w14:paraId="09462733" w14:textId="4B9021BC"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r w:rsidR="00E548C3"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635A8D31"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ZD Celje</w:t>
            </w:r>
          </w:p>
        </w:tc>
        <w:tc>
          <w:tcPr>
            <w:tcW w:w="1096" w:type="dxa"/>
            <w:tcBorders>
              <w:top w:val="nil"/>
              <w:left w:val="nil"/>
              <w:bottom w:val="single" w:sz="8" w:space="0" w:color="000000"/>
              <w:right w:val="single" w:sz="8" w:space="0" w:color="000000"/>
            </w:tcBorders>
            <w:shd w:val="clear" w:color="auto" w:fill="auto"/>
            <w:vAlign w:val="center"/>
            <w:hideMark/>
          </w:tcPr>
          <w:p w14:paraId="23E77D73"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02C466CB"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43A82E32"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5.519</w:t>
            </w:r>
          </w:p>
        </w:tc>
      </w:tr>
      <w:tr w:rsidR="00406310" w:rsidRPr="005E4BEA" w14:paraId="57626810" w14:textId="77777777" w:rsidTr="00E548C3">
        <w:trPr>
          <w:trHeight w:val="549"/>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125D9B36"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5</w:t>
            </w:r>
          </w:p>
        </w:tc>
        <w:tc>
          <w:tcPr>
            <w:tcW w:w="2748" w:type="dxa"/>
            <w:tcBorders>
              <w:top w:val="nil"/>
              <w:left w:val="nil"/>
              <w:bottom w:val="single" w:sz="8" w:space="0" w:color="000000"/>
              <w:right w:val="single" w:sz="8" w:space="0" w:color="000000"/>
            </w:tcBorders>
            <w:shd w:val="clear" w:color="auto" w:fill="auto"/>
            <w:vAlign w:val="center"/>
            <w:hideMark/>
          </w:tcPr>
          <w:p w14:paraId="2C1830A6" w14:textId="736B0E4C"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r w:rsidR="00E548C3" w:rsidRPr="005E4BEA">
              <w:rPr>
                <w:rFonts w:cs="Arial"/>
                <w:color w:val="000000"/>
                <w:szCs w:val="20"/>
                <w:lang w:eastAsia="sl-SI"/>
              </w:rPr>
              <w:t>Center za preprečevane in zdravljenje odvisnosti od drog – mobilna enota</w:t>
            </w:r>
          </w:p>
        </w:tc>
        <w:tc>
          <w:tcPr>
            <w:tcW w:w="1533" w:type="dxa"/>
            <w:tcBorders>
              <w:top w:val="nil"/>
              <w:left w:val="nil"/>
              <w:bottom w:val="single" w:sz="8" w:space="0" w:color="000000"/>
              <w:right w:val="single" w:sz="8" w:space="0" w:color="000000"/>
            </w:tcBorders>
            <w:shd w:val="clear" w:color="auto" w:fill="auto"/>
            <w:vAlign w:val="center"/>
            <w:hideMark/>
          </w:tcPr>
          <w:p w14:paraId="370F1577"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ZD Maribor</w:t>
            </w:r>
          </w:p>
        </w:tc>
        <w:tc>
          <w:tcPr>
            <w:tcW w:w="1096" w:type="dxa"/>
            <w:tcBorders>
              <w:top w:val="nil"/>
              <w:left w:val="nil"/>
              <w:bottom w:val="single" w:sz="8" w:space="0" w:color="000000"/>
              <w:right w:val="single" w:sz="8" w:space="0" w:color="000000"/>
            </w:tcBorders>
            <w:shd w:val="clear" w:color="auto" w:fill="auto"/>
            <w:vAlign w:val="center"/>
            <w:hideMark/>
          </w:tcPr>
          <w:p w14:paraId="58B742CE"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1294" w:type="dxa"/>
            <w:tcBorders>
              <w:top w:val="nil"/>
              <w:left w:val="nil"/>
              <w:bottom w:val="single" w:sz="8" w:space="0" w:color="000000"/>
              <w:right w:val="single" w:sz="8" w:space="0" w:color="000000"/>
            </w:tcBorders>
            <w:shd w:val="clear" w:color="auto" w:fill="auto"/>
            <w:vAlign w:val="center"/>
            <w:hideMark/>
          </w:tcPr>
          <w:p w14:paraId="098ACB1B"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33.114</w:t>
            </w:r>
          </w:p>
        </w:tc>
        <w:tc>
          <w:tcPr>
            <w:tcW w:w="1423" w:type="dxa"/>
            <w:tcBorders>
              <w:top w:val="nil"/>
              <w:left w:val="nil"/>
              <w:bottom w:val="single" w:sz="8" w:space="0" w:color="000000"/>
              <w:right w:val="single" w:sz="8" w:space="0" w:color="000000"/>
            </w:tcBorders>
            <w:shd w:val="clear" w:color="auto" w:fill="auto"/>
            <w:vAlign w:val="center"/>
            <w:hideMark/>
          </w:tcPr>
          <w:p w14:paraId="2C9E7E5C"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5.519</w:t>
            </w:r>
          </w:p>
        </w:tc>
      </w:tr>
      <w:tr w:rsidR="00E548C3" w:rsidRPr="005E4BEA" w14:paraId="507224DF" w14:textId="77777777" w:rsidTr="00E548C3">
        <w:trPr>
          <w:trHeight w:val="549"/>
        </w:trPr>
        <w:tc>
          <w:tcPr>
            <w:tcW w:w="557" w:type="dxa"/>
            <w:tcBorders>
              <w:top w:val="nil"/>
              <w:left w:val="single" w:sz="8" w:space="0" w:color="000000"/>
              <w:bottom w:val="single" w:sz="8" w:space="0" w:color="000000"/>
              <w:right w:val="single" w:sz="8" w:space="0" w:color="000000"/>
            </w:tcBorders>
            <w:shd w:val="clear" w:color="auto" w:fill="auto"/>
            <w:vAlign w:val="center"/>
          </w:tcPr>
          <w:p w14:paraId="45AF3942" w14:textId="3D70873B" w:rsidR="00E548C3" w:rsidRPr="005E4BEA" w:rsidRDefault="00E548C3" w:rsidP="0016774B">
            <w:pPr>
              <w:spacing w:line="240" w:lineRule="auto"/>
              <w:jc w:val="both"/>
              <w:rPr>
                <w:rFonts w:cs="Arial"/>
                <w:color w:val="000000"/>
                <w:szCs w:val="20"/>
                <w:lang w:eastAsia="sl-SI"/>
              </w:rPr>
            </w:pPr>
            <w:r w:rsidRPr="005E4BEA">
              <w:rPr>
                <w:rFonts w:cs="Arial"/>
                <w:color w:val="000000"/>
                <w:szCs w:val="20"/>
                <w:lang w:eastAsia="sl-SI"/>
              </w:rPr>
              <w:t>6</w:t>
            </w:r>
          </w:p>
        </w:tc>
        <w:tc>
          <w:tcPr>
            <w:tcW w:w="2748" w:type="dxa"/>
            <w:tcBorders>
              <w:top w:val="nil"/>
              <w:left w:val="nil"/>
              <w:bottom w:val="single" w:sz="8" w:space="0" w:color="000000"/>
              <w:right w:val="single" w:sz="8" w:space="0" w:color="000000"/>
            </w:tcBorders>
            <w:shd w:val="clear" w:color="auto" w:fill="auto"/>
            <w:vAlign w:val="center"/>
          </w:tcPr>
          <w:p w14:paraId="6E34767C" w14:textId="559532B7" w:rsidR="00E548C3" w:rsidRPr="005E4BEA" w:rsidRDefault="00E548C3" w:rsidP="0016774B">
            <w:pPr>
              <w:spacing w:line="240" w:lineRule="auto"/>
              <w:jc w:val="both"/>
              <w:rPr>
                <w:rFonts w:cs="Arial"/>
                <w:color w:val="000000"/>
                <w:szCs w:val="20"/>
                <w:lang w:eastAsia="sl-SI"/>
              </w:rPr>
            </w:pPr>
            <w:r w:rsidRPr="005E4BEA">
              <w:rPr>
                <w:rFonts w:cs="Arial"/>
                <w:szCs w:val="20"/>
                <w:lang w:eastAsia="sl-SI"/>
              </w:rPr>
              <w:t>Program za zmanjševanje škode drog</w:t>
            </w:r>
          </w:p>
        </w:tc>
        <w:tc>
          <w:tcPr>
            <w:tcW w:w="1533" w:type="dxa"/>
            <w:tcBorders>
              <w:top w:val="nil"/>
              <w:left w:val="nil"/>
              <w:bottom w:val="single" w:sz="8" w:space="0" w:color="000000"/>
              <w:right w:val="single" w:sz="8" w:space="0" w:color="000000"/>
            </w:tcBorders>
            <w:shd w:val="clear" w:color="auto" w:fill="auto"/>
            <w:vAlign w:val="center"/>
          </w:tcPr>
          <w:p w14:paraId="6DB26742" w14:textId="070C7B8F" w:rsidR="00E548C3" w:rsidRPr="005E4BEA" w:rsidRDefault="00E548C3" w:rsidP="0016774B">
            <w:pPr>
              <w:spacing w:line="240" w:lineRule="auto"/>
              <w:jc w:val="both"/>
              <w:rPr>
                <w:rFonts w:cs="Arial"/>
                <w:color w:val="000000"/>
                <w:szCs w:val="20"/>
                <w:lang w:eastAsia="sl-SI"/>
              </w:rPr>
            </w:pPr>
            <w:r w:rsidRPr="005E4BEA">
              <w:rPr>
                <w:rFonts w:cs="Arial"/>
                <w:color w:val="000000"/>
                <w:szCs w:val="20"/>
                <w:lang w:eastAsia="sl-SI"/>
              </w:rPr>
              <w:t>NIJZ</w:t>
            </w:r>
          </w:p>
        </w:tc>
        <w:tc>
          <w:tcPr>
            <w:tcW w:w="1096" w:type="dxa"/>
            <w:tcBorders>
              <w:top w:val="nil"/>
              <w:left w:val="nil"/>
              <w:bottom w:val="single" w:sz="8" w:space="0" w:color="000000"/>
              <w:right w:val="single" w:sz="8" w:space="0" w:color="000000"/>
            </w:tcBorders>
            <w:shd w:val="clear" w:color="auto" w:fill="auto"/>
            <w:vAlign w:val="center"/>
          </w:tcPr>
          <w:p w14:paraId="703044B0" w14:textId="77777777" w:rsidR="00E548C3" w:rsidRPr="005E4BEA" w:rsidRDefault="00E548C3" w:rsidP="0016774B">
            <w:pPr>
              <w:spacing w:line="240" w:lineRule="auto"/>
              <w:jc w:val="both"/>
              <w:rPr>
                <w:rFonts w:cs="Arial"/>
                <w:color w:val="000000"/>
                <w:szCs w:val="20"/>
                <w:lang w:eastAsia="sl-SI"/>
              </w:rPr>
            </w:pPr>
          </w:p>
        </w:tc>
        <w:tc>
          <w:tcPr>
            <w:tcW w:w="1294" w:type="dxa"/>
            <w:tcBorders>
              <w:top w:val="nil"/>
              <w:left w:val="nil"/>
              <w:bottom w:val="single" w:sz="8" w:space="0" w:color="000000"/>
              <w:right w:val="single" w:sz="8" w:space="0" w:color="000000"/>
            </w:tcBorders>
            <w:shd w:val="clear" w:color="auto" w:fill="auto"/>
            <w:vAlign w:val="center"/>
          </w:tcPr>
          <w:p w14:paraId="06C7FB91" w14:textId="0E4F1CAE" w:rsidR="00E548C3" w:rsidRPr="005E4BEA" w:rsidRDefault="00E548C3" w:rsidP="0016774B">
            <w:pPr>
              <w:spacing w:line="240" w:lineRule="auto"/>
              <w:jc w:val="both"/>
              <w:rPr>
                <w:rFonts w:cs="Arial"/>
                <w:color w:val="000000"/>
                <w:szCs w:val="20"/>
                <w:lang w:eastAsia="sl-SI"/>
              </w:rPr>
            </w:pPr>
            <w:r w:rsidRPr="005E4BEA">
              <w:rPr>
                <w:rFonts w:cs="Arial"/>
                <w:color w:val="000000"/>
                <w:szCs w:val="20"/>
                <w:lang w:eastAsia="sl-SI"/>
              </w:rPr>
              <w:t>30.000</w:t>
            </w:r>
          </w:p>
        </w:tc>
        <w:tc>
          <w:tcPr>
            <w:tcW w:w="1423" w:type="dxa"/>
            <w:tcBorders>
              <w:top w:val="nil"/>
              <w:left w:val="nil"/>
              <w:bottom w:val="single" w:sz="8" w:space="0" w:color="000000"/>
              <w:right w:val="single" w:sz="8" w:space="0" w:color="000000"/>
            </w:tcBorders>
            <w:shd w:val="clear" w:color="auto" w:fill="auto"/>
            <w:vAlign w:val="center"/>
          </w:tcPr>
          <w:p w14:paraId="410AA53E" w14:textId="0C0F30C1" w:rsidR="00E548C3" w:rsidRPr="005E4BEA" w:rsidRDefault="00E548C3" w:rsidP="0016774B">
            <w:pPr>
              <w:spacing w:line="240" w:lineRule="auto"/>
              <w:jc w:val="both"/>
              <w:rPr>
                <w:rFonts w:cs="Arial"/>
                <w:color w:val="000000"/>
                <w:szCs w:val="20"/>
                <w:lang w:eastAsia="sl-SI"/>
              </w:rPr>
            </w:pPr>
            <w:r w:rsidRPr="005E4BEA">
              <w:rPr>
                <w:rFonts w:cs="Arial"/>
                <w:color w:val="000000"/>
                <w:szCs w:val="20"/>
                <w:lang w:eastAsia="sl-SI"/>
              </w:rPr>
              <w:t>5.000</w:t>
            </w:r>
          </w:p>
        </w:tc>
      </w:tr>
      <w:tr w:rsidR="00406310" w:rsidRPr="005E4BEA" w14:paraId="15A485A7" w14:textId="77777777" w:rsidTr="00E548C3">
        <w:trPr>
          <w:trHeight w:val="329"/>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753F0314" w14:textId="77777777" w:rsidR="00406310" w:rsidRPr="005E4BEA" w:rsidRDefault="00406310" w:rsidP="0016774B">
            <w:pPr>
              <w:spacing w:line="240" w:lineRule="auto"/>
              <w:rPr>
                <w:rFonts w:cs="Arial"/>
                <w:color w:val="000000"/>
                <w:szCs w:val="20"/>
                <w:lang w:eastAsia="sl-SI"/>
              </w:rPr>
            </w:pPr>
            <w:r w:rsidRPr="005E4BEA">
              <w:rPr>
                <w:rFonts w:cs="Arial"/>
                <w:color w:val="000000"/>
                <w:szCs w:val="20"/>
                <w:lang w:eastAsia="sl-SI"/>
              </w:rPr>
              <w:t> </w:t>
            </w:r>
          </w:p>
        </w:tc>
        <w:tc>
          <w:tcPr>
            <w:tcW w:w="2748" w:type="dxa"/>
            <w:tcBorders>
              <w:top w:val="nil"/>
              <w:left w:val="nil"/>
              <w:bottom w:val="single" w:sz="8" w:space="0" w:color="000000"/>
              <w:right w:val="single" w:sz="8" w:space="0" w:color="000000"/>
            </w:tcBorders>
            <w:shd w:val="clear" w:color="auto" w:fill="auto"/>
            <w:vAlign w:val="center"/>
            <w:hideMark/>
          </w:tcPr>
          <w:p w14:paraId="0D660B3B" w14:textId="77777777" w:rsidR="00406310" w:rsidRPr="005E4BEA" w:rsidRDefault="00406310" w:rsidP="0016774B">
            <w:pPr>
              <w:spacing w:line="240" w:lineRule="auto"/>
              <w:jc w:val="both"/>
              <w:rPr>
                <w:rFonts w:cs="Arial"/>
                <w:b/>
                <w:bCs/>
                <w:color w:val="000000"/>
                <w:szCs w:val="20"/>
                <w:lang w:eastAsia="sl-SI"/>
              </w:rPr>
            </w:pPr>
            <w:r w:rsidRPr="005E4BEA">
              <w:rPr>
                <w:rFonts w:cs="Arial"/>
                <w:b/>
                <w:bCs/>
                <w:color w:val="000000"/>
                <w:szCs w:val="20"/>
                <w:lang w:eastAsia="sl-SI"/>
              </w:rPr>
              <w:t>SKUPAJ</w:t>
            </w:r>
          </w:p>
        </w:tc>
        <w:tc>
          <w:tcPr>
            <w:tcW w:w="1533" w:type="dxa"/>
            <w:tcBorders>
              <w:top w:val="nil"/>
              <w:left w:val="nil"/>
              <w:bottom w:val="single" w:sz="8" w:space="0" w:color="000000"/>
              <w:right w:val="single" w:sz="8" w:space="0" w:color="000000"/>
            </w:tcBorders>
            <w:shd w:val="clear" w:color="auto" w:fill="auto"/>
            <w:vAlign w:val="center"/>
            <w:hideMark/>
          </w:tcPr>
          <w:p w14:paraId="1EC99EBE"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1096" w:type="dxa"/>
            <w:tcBorders>
              <w:top w:val="nil"/>
              <w:left w:val="nil"/>
              <w:bottom w:val="single" w:sz="8" w:space="0" w:color="000000"/>
              <w:right w:val="single" w:sz="8" w:space="0" w:color="000000"/>
            </w:tcBorders>
            <w:shd w:val="clear" w:color="auto" w:fill="auto"/>
            <w:vAlign w:val="center"/>
            <w:hideMark/>
          </w:tcPr>
          <w:p w14:paraId="37DB9D5D" w14:textId="7777777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6</w:t>
            </w:r>
          </w:p>
        </w:tc>
        <w:tc>
          <w:tcPr>
            <w:tcW w:w="1294" w:type="dxa"/>
            <w:tcBorders>
              <w:top w:val="nil"/>
              <w:left w:val="nil"/>
              <w:bottom w:val="single" w:sz="8" w:space="0" w:color="000000"/>
              <w:right w:val="single" w:sz="8" w:space="0" w:color="000000"/>
            </w:tcBorders>
            <w:shd w:val="clear" w:color="auto" w:fill="auto"/>
            <w:vAlign w:val="center"/>
            <w:hideMark/>
          </w:tcPr>
          <w:p w14:paraId="7F30D76B" w14:textId="10FB74F9" w:rsidR="00406310" w:rsidRPr="005E4BEA" w:rsidRDefault="00E548C3" w:rsidP="0016774B">
            <w:pPr>
              <w:spacing w:line="240" w:lineRule="auto"/>
              <w:jc w:val="both"/>
              <w:rPr>
                <w:rFonts w:cs="Arial"/>
                <w:color w:val="000000"/>
                <w:szCs w:val="20"/>
                <w:lang w:eastAsia="sl-SI"/>
              </w:rPr>
            </w:pPr>
            <w:r w:rsidRPr="005E4BEA">
              <w:rPr>
                <w:rFonts w:cs="Arial"/>
                <w:color w:val="000000"/>
                <w:szCs w:val="20"/>
                <w:lang w:eastAsia="sl-SI"/>
              </w:rPr>
              <w:t>228</w:t>
            </w:r>
            <w:r w:rsidR="00406310" w:rsidRPr="005E4BEA">
              <w:rPr>
                <w:rFonts w:cs="Arial"/>
                <w:color w:val="000000"/>
                <w:szCs w:val="20"/>
                <w:lang w:eastAsia="sl-SI"/>
              </w:rPr>
              <w:t>.684</w:t>
            </w:r>
          </w:p>
        </w:tc>
        <w:tc>
          <w:tcPr>
            <w:tcW w:w="1423" w:type="dxa"/>
            <w:tcBorders>
              <w:top w:val="nil"/>
              <w:left w:val="nil"/>
              <w:bottom w:val="single" w:sz="8" w:space="0" w:color="000000"/>
              <w:right w:val="single" w:sz="8" w:space="0" w:color="000000"/>
            </w:tcBorders>
            <w:shd w:val="clear" w:color="auto" w:fill="auto"/>
            <w:vAlign w:val="center"/>
            <w:hideMark/>
          </w:tcPr>
          <w:p w14:paraId="0FC50D86" w14:textId="71DF4AF7" w:rsidR="00406310" w:rsidRPr="005E4BEA" w:rsidRDefault="00406310" w:rsidP="0016774B">
            <w:pPr>
              <w:spacing w:line="240" w:lineRule="auto"/>
              <w:jc w:val="both"/>
              <w:rPr>
                <w:rFonts w:cs="Arial"/>
                <w:color w:val="000000"/>
                <w:szCs w:val="20"/>
                <w:lang w:eastAsia="sl-SI"/>
              </w:rPr>
            </w:pPr>
            <w:r w:rsidRPr="005E4BEA">
              <w:rPr>
                <w:rFonts w:cs="Arial"/>
                <w:color w:val="000000"/>
                <w:szCs w:val="20"/>
                <w:lang w:eastAsia="sl-SI"/>
              </w:rPr>
              <w:t>3</w:t>
            </w:r>
            <w:r w:rsidR="00E548C3" w:rsidRPr="005E4BEA">
              <w:rPr>
                <w:rFonts w:cs="Arial"/>
                <w:color w:val="000000"/>
                <w:szCs w:val="20"/>
                <w:lang w:eastAsia="sl-SI"/>
              </w:rPr>
              <w:t>8</w:t>
            </w:r>
            <w:r w:rsidRPr="005E4BEA">
              <w:rPr>
                <w:rFonts w:cs="Arial"/>
                <w:color w:val="000000"/>
                <w:szCs w:val="20"/>
                <w:lang w:eastAsia="sl-SI"/>
              </w:rPr>
              <w:t>.114</w:t>
            </w:r>
          </w:p>
        </w:tc>
      </w:tr>
      <w:bookmarkEnd w:id="90"/>
    </w:tbl>
    <w:p w14:paraId="63A82571" w14:textId="77777777" w:rsidR="00406310" w:rsidRPr="005E4BEA" w:rsidRDefault="00406310" w:rsidP="00406310">
      <w:pPr>
        <w:spacing w:line="240" w:lineRule="auto"/>
        <w:jc w:val="both"/>
        <w:rPr>
          <w:rFonts w:eastAsia="MS Mincho" w:cs="Arial"/>
          <w:b/>
          <w:bCs/>
          <w:szCs w:val="20"/>
        </w:rPr>
      </w:pPr>
    </w:p>
    <w:p w14:paraId="44B14EB8" w14:textId="77777777" w:rsidR="00406310" w:rsidRPr="005E4BEA" w:rsidRDefault="00406310" w:rsidP="00406310">
      <w:pPr>
        <w:spacing w:line="240" w:lineRule="auto"/>
        <w:jc w:val="both"/>
        <w:rPr>
          <w:rFonts w:eastAsia="MS Mincho" w:cs="Arial"/>
          <w:b/>
          <w:bCs/>
          <w:szCs w:val="20"/>
        </w:rPr>
      </w:pPr>
    </w:p>
    <w:p w14:paraId="6125CD8C" w14:textId="77777777" w:rsidR="00406310" w:rsidRPr="005E4BEA" w:rsidRDefault="00406310" w:rsidP="00406310">
      <w:pPr>
        <w:spacing w:line="240" w:lineRule="auto"/>
        <w:jc w:val="both"/>
        <w:rPr>
          <w:rFonts w:eastAsia="MS Mincho" w:cs="Arial"/>
          <w:b/>
          <w:bCs/>
          <w:szCs w:val="20"/>
        </w:rPr>
      </w:pPr>
      <w:r w:rsidRPr="005E4BEA">
        <w:rPr>
          <w:rFonts w:eastAsia="MS Mincho" w:cs="Arial"/>
          <w:b/>
          <w:bCs/>
          <w:szCs w:val="20"/>
        </w:rPr>
        <w:t>Prilogi ZDZAS se v 29. členu v šesti točki namesto zneska 159.349,21 evra zapiše znesek 189.349,21 evra.</w:t>
      </w:r>
    </w:p>
    <w:p w14:paraId="024B527F" w14:textId="77777777" w:rsidR="00406310" w:rsidRPr="005E4BEA" w:rsidRDefault="00406310" w:rsidP="00406310">
      <w:pPr>
        <w:spacing w:line="240" w:lineRule="auto"/>
        <w:jc w:val="both"/>
        <w:rPr>
          <w:rFonts w:eastAsia="MS Mincho" w:cs="Arial"/>
          <w:szCs w:val="20"/>
        </w:rPr>
      </w:pPr>
    </w:p>
    <w:p w14:paraId="1EA8956D" w14:textId="77777777" w:rsidR="00406310" w:rsidRPr="005E4BEA" w:rsidRDefault="00406310" w:rsidP="00406310">
      <w:pPr>
        <w:spacing w:line="240" w:lineRule="auto"/>
        <w:jc w:val="both"/>
        <w:rPr>
          <w:rFonts w:eastAsia="MS Mincho" w:cs="Arial"/>
          <w:b/>
          <w:bCs/>
          <w:szCs w:val="20"/>
        </w:rPr>
      </w:pPr>
      <w:r w:rsidRPr="005E4BEA">
        <w:rPr>
          <w:rFonts w:eastAsia="MS Mincho" w:cs="Arial"/>
          <w:b/>
          <w:bCs/>
          <w:szCs w:val="20"/>
        </w:rPr>
        <w:t>Prilogi ZDZAS se v 38. členu doda nova druga točka, ki se glasi:</w:t>
      </w:r>
    </w:p>
    <w:p w14:paraId="44792E6C" w14:textId="77777777" w:rsidR="00406310" w:rsidRPr="005E4BEA" w:rsidRDefault="00406310" w:rsidP="00406310">
      <w:pPr>
        <w:spacing w:line="240" w:lineRule="auto"/>
        <w:rPr>
          <w:rFonts w:cs="Arial"/>
          <w:szCs w:val="20"/>
          <w:lang w:eastAsia="sl-SI"/>
        </w:rPr>
      </w:pPr>
      <w:r w:rsidRPr="005E4BEA">
        <w:rPr>
          <w:rFonts w:cs="Arial"/>
          <w:szCs w:val="20"/>
          <w:lang w:eastAsia="sl-SI"/>
        </w:rPr>
        <w:t>» (2) Program centrov za preprečevanje in zdravljenje odvisnosti od drog – mobilna enota se oblikuje v številu timov iz spodnje razpredelnice in določili 24. člena:</w:t>
      </w:r>
    </w:p>
    <w:p w14:paraId="77F6BC13" w14:textId="77777777" w:rsidR="00406310" w:rsidRPr="005E4BEA" w:rsidRDefault="00406310" w:rsidP="00406310">
      <w:pPr>
        <w:spacing w:line="240" w:lineRule="auto"/>
        <w:rPr>
          <w:rFonts w:cs="Arial"/>
          <w:szCs w:val="20"/>
          <w:lang w:eastAsia="sl-SI"/>
        </w:rPr>
      </w:pPr>
    </w:p>
    <w:tbl>
      <w:tblPr>
        <w:tblW w:w="1617" w:type="pct"/>
        <w:tblCellMar>
          <w:left w:w="70" w:type="dxa"/>
          <w:right w:w="70" w:type="dxa"/>
        </w:tblCellMar>
        <w:tblLook w:val="04A0" w:firstRow="1" w:lastRow="0" w:firstColumn="1" w:lastColumn="0" w:noHBand="0" w:noVBand="1"/>
      </w:tblPr>
      <w:tblGrid>
        <w:gridCol w:w="1701"/>
        <w:gridCol w:w="831"/>
        <w:gridCol w:w="213"/>
      </w:tblGrid>
      <w:tr w:rsidR="00406310" w:rsidRPr="005E4BEA" w14:paraId="5008069A" w14:textId="77777777" w:rsidTr="0016774B">
        <w:trPr>
          <w:gridAfter w:val="1"/>
          <w:trHeight w:val="464"/>
        </w:trPr>
        <w:tc>
          <w:tcPr>
            <w:tcW w:w="3098" w:type="pct"/>
            <w:vMerge w:val="restart"/>
            <w:tcBorders>
              <w:top w:val="single" w:sz="4" w:space="0" w:color="auto"/>
              <w:left w:val="single" w:sz="4" w:space="0" w:color="auto"/>
              <w:bottom w:val="single" w:sz="4" w:space="0" w:color="000000"/>
              <w:right w:val="single" w:sz="4" w:space="0" w:color="auto"/>
            </w:tcBorders>
            <w:noWrap/>
            <w:vAlign w:val="center"/>
            <w:hideMark/>
          </w:tcPr>
          <w:p w14:paraId="4F9A12BF" w14:textId="77777777" w:rsidR="00406310" w:rsidRPr="005E4BEA" w:rsidRDefault="00406310" w:rsidP="0016774B">
            <w:pPr>
              <w:spacing w:line="240" w:lineRule="auto"/>
              <w:jc w:val="center"/>
              <w:rPr>
                <w:rFonts w:cs="Arial"/>
                <w:b/>
                <w:bCs/>
                <w:szCs w:val="20"/>
                <w:lang w:eastAsia="sl-SI"/>
              </w:rPr>
            </w:pPr>
            <w:r w:rsidRPr="005E4BEA">
              <w:rPr>
                <w:rFonts w:eastAsia="MS Mincho" w:cs="Arial"/>
                <w:b/>
                <w:bCs/>
                <w:szCs w:val="20"/>
              </w:rPr>
              <w:t> Kraj</w:t>
            </w:r>
          </w:p>
        </w:tc>
        <w:tc>
          <w:tcPr>
            <w:tcW w:w="1514" w:type="pct"/>
            <w:vMerge w:val="restart"/>
            <w:tcBorders>
              <w:top w:val="single" w:sz="4" w:space="0" w:color="auto"/>
              <w:left w:val="single" w:sz="4" w:space="0" w:color="auto"/>
              <w:bottom w:val="single" w:sz="4" w:space="0" w:color="000000"/>
              <w:right w:val="single" w:sz="4" w:space="0" w:color="auto"/>
            </w:tcBorders>
            <w:vAlign w:val="center"/>
            <w:hideMark/>
          </w:tcPr>
          <w:p w14:paraId="64CE0E50" w14:textId="77777777" w:rsidR="00406310" w:rsidRPr="005E4BEA" w:rsidRDefault="00406310" w:rsidP="0016774B">
            <w:pPr>
              <w:spacing w:line="240" w:lineRule="auto"/>
              <w:jc w:val="center"/>
              <w:rPr>
                <w:rFonts w:eastAsia="MS Mincho" w:cs="Arial"/>
                <w:b/>
                <w:bCs/>
                <w:szCs w:val="20"/>
              </w:rPr>
            </w:pPr>
            <w:r w:rsidRPr="005E4BEA">
              <w:rPr>
                <w:rFonts w:eastAsia="MS Mincho" w:cs="Arial"/>
                <w:b/>
                <w:bCs/>
                <w:szCs w:val="20"/>
              </w:rPr>
              <w:t>št. timov</w:t>
            </w:r>
          </w:p>
        </w:tc>
      </w:tr>
      <w:tr w:rsidR="00406310" w:rsidRPr="005E4BEA" w14:paraId="40FE37DA" w14:textId="77777777" w:rsidTr="0016774B">
        <w:trPr>
          <w:trHeight w:val="33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F21F3B" w14:textId="77777777" w:rsidR="00406310" w:rsidRPr="005E4BEA" w:rsidRDefault="00406310" w:rsidP="0016774B">
            <w:pPr>
              <w:spacing w:line="240" w:lineRule="auto"/>
              <w:rPr>
                <w:rFonts w:eastAsia="MS Mincho" w:cs="Arial"/>
                <w:b/>
                <w:bCs/>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A4F9BF" w14:textId="77777777" w:rsidR="00406310" w:rsidRPr="005E4BEA" w:rsidRDefault="00406310" w:rsidP="0016774B">
            <w:pPr>
              <w:spacing w:line="240" w:lineRule="auto"/>
              <w:rPr>
                <w:rFonts w:eastAsia="MS Mincho" w:cs="Arial"/>
                <w:b/>
                <w:bCs/>
                <w:szCs w:val="20"/>
              </w:rPr>
            </w:pPr>
          </w:p>
        </w:tc>
        <w:tc>
          <w:tcPr>
            <w:tcW w:w="0" w:type="auto"/>
            <w:vAlign w:val="center"/>
            <w:hideMark/>
          </w:tcPr>
          <w:p w14:paraId="190DC9AA" w14:textId="77777777" w:rsidR="00406310" w:rsidRPr="005E4BEA" w:rsidRDefault="00406310" w:rsidP="0016774B">
            <w:pPr>
              <w:spacing w:line="240" w:lineRule="auto"/>
              <w:rPr>
                <w:rFonts w:eastAsia="MS Mincho" w:cs="Arial"/>
                <w:b/>
                <w:bCs/>
                <w:szCs w:val="20"/>
              </w:rPr>
            </w:pPr>
          </w:p>
        </w:tc>
      </w:tr>
      <w:tr w:rsidR="00406310" w:rsidRPr="005E4BEA" w14:paraId="6CB08E6E"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73B18FC4" w14:textId="77777777" w:rsidR="00406310" w:rsidRPr="005E4BEA" w:rsidRDefault="00406310" w:rsidP="0016774B">
            <w:pPr>
              <w:spacing w:line="240" w:lineRule="auto"/>
              <w:rPr>
                <w:rFonts w:eastAsia="MS Mincho" w:cs="Arial"/>
                <w:szCs w:val="20"/>
              </w:rPr>
            </w:pPr>
            <w:r w:rsidRPr="005E4BEA">
              <w:rPr>
                <w:rFonts w:eastAsia="MS Mincho" w:cs="Arial"/>
                <w:szCs w:val="20"/>
              </w:rPr>
              <w:t>Nova Gorica</w:t>
            </w:r>
          </w:p>
        </w:tc>
        <w:tc>
          <w:tcPr>
            <w:tcW w:w="1514" w:type="pct"/>
            <w:tcBorders>
              <w:top w:val="nil"/>
              <w:left w:val="nil"/>
              <w:bottom w:val="single" w:sz="4" w:space="0" w:color="auto"/>
              <w:right w:val="single" w:sz="4" w:space="0" w:color="auto"/>
            </w:tcBorders>
            <w:noWrap/>
            <w:vAlign w:val="center"/>
            <w:hideMark/>
          </w:tcPr>
          <w:p w14:paraId="7DE54FC8" w14:textId="77777777" w:rsidR="00406310" w:rsidRPr="005E4BEA" w:rsidRDefault="00406310" w:rsidP="0016774B">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613295FA" w14:textId="77777777" w:rsidR="00406310" w:rsidRPr="005E4BEA" w:rsidRDefault="00406310" w:rsidP="0016774B">
            <w:pPr>
              <w:spacing w:line="240" w:lineRule="auto"/>
              <w:rPr>
                <w:rFonts w:eastAsia="MS Mincho" w:cs="Arial"/>
                <w:szCs w:val="20"/>
              </w:rPr>
            </w:pPr>
          </w:p>
        </w:tc>
      </w:tr>
      <w:tr w:rsidR="00406310" w:rsidRPr="005E4BEA" w14:paraId="098BFA4D"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4C550068" w14:textId="77777777" w:rsidR="00406310" w:rsidRPr="005E4BEA" w:rsidRDefault="00406310" w:rsidP="0016774B">
            <w:pPr>
              <w:spacing w:line="240" w:lineRule="auto"/>
              <w:rPr>
                <w:rFonts w:eastAsia="MS Mincho" w:cs="Arial"/>
                <w:szCs w:val="20"/>
              </w:rPr>
            </w:pPr>
            <w:r w:rsidRPr="005E4BEA">
              <w:rPr>
                <w:rFonts w:eastAsia="MS Mincho" w:cs="Arial"/>
                <w:szCs w:val="20"/>
              </w:rPr>
              <w:t>Celje</w:t>
            </w:r>
          </w:p>
        </w:tc>
        <w:tc>
          <w:tcPr>
            <w:tcW w:w="1514" w:type="pct"/>
            <w:tcBorders>
              <w:top w:val="single" w:sz="4" w:space="0" w:color="auto"/>
              <w:left w:val="nil"/>
              <w:bottom w:val="single" w:sz="4" w:space="0" w:color="auto"/>
              <w:right w:val="single" w:sz="4" w:space="0" w:color="auto"/>
            </w:tcBorders>
            <w:noWrap/>
            <w:vAlign w:val="center"/>
            <w:hideMark/>
          </w:tcPr>
          <w:p w14:paraId="73FD65BA" w14:textId="77777777" w:rsidR="00406310" w:rsidRPr="005E4BEA" w:rsidRDefault="00406310" w:rsidP="0016774B">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5B348981" w14:textId="77777777" w:rsidR="00406310" w:rsidRPr="005E4BEA" w:rsidRDefault="00406310" w:rsidP="0016774B">
            <w:pPr>
              <w:spacing w:line="240" w:lineRule="auto"/>
              <w:rPr>
                <w:rFonts w:eastAsia="MS Mincho" w:cs="Arial"/>
                <w:szCs w:val="20"/>
              </w:rPr>
            </w:pPr>
          </w:p>
        </w:tc>
      </w:tr>
      <w:tr w:rsidR="00406310" w:rsidRPr="005E4BEA" w14:paraId="326DB920"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5A0E06AE" w14:textId="77777777" w:rsidR="00406310" w:rsidRPr="005E4BEA" w:rsidRDefault="00406310" w:rsidP="0016774B">
            <w:pPr>
              <w:spacing w:line="240" w:lineRule="auto"/>
              <w:rPr>
                <w:rFonts w:eastAsia="MS Mincho" w:cs="Arial"/>
                <w:szCs w:val="20"/>
              </w:rPr>
            </w:pPr>
            <w:r w:rsidRPr="005E4BEA">
              <w:rPr>
                <w:rFonts w:eastAsia="MS Mincho" w:cs="Arial"/>
                <w:szCs w:val="20"/>
              </w:rPr>
              <w:t>Izola</w:t>
            </w:r>
          </w:p>
        </w:tc>
        <w:tc>
          <w:tcPr>
            <w:tcW w:w="1514" w:type="pct"/>
            <w:tcBorders>
              <w:top w:val="nil"/>
              <w:left w:val="nil"/>
              <w:bottom w:val="single" w:sz="4" w:space="0" w:color="auto"/>
              <w:right w:val="single" w:sz="4" w:space="0" w:color="auto"/>
            </w:tcBorders>
            <w:noWrap/>
            <w:vAlign w:val="center"/>
            <w:hideMark/>
          </w:tcPr>
          <w:p w14:paraId="67232F94" w14:textId="77777777" w:rsidR="00406310" w:rsidRPr="005E4BEA" w:rsidRDefault="00406310" w:rsidP="0016774B">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4BE52FF5" w14:textId="77777777" w:rsidR="00406310" w:rsidRPr="005E4BEA" w:rsidRDefault="00406310" w:rsidP="0016774B">
            <w:pPr>
              <w:spacing w:line="240" w:lineRule="auto"/>
              <w:rPr>
                <w:rFonts w:eastAsia="MS Mincho" w:cs="Arial"/>
                <w:szCs w:val="20"/>
              </w:rPr>
            </w:pPr>
          </w:p>
        </w:tc>
      </w:tr>
      <w:tr w:rsidR="00406310" w:rsidRPr="005E4BEA" w14:paraId="6A31E6D6"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3663C26A" w14:textId="77777777" w:rsidR="00406310" w:rsidRPr="005E4BEA" w:rsidRDefault="00406310" w:rsidP="0016774B">
            <w:pPr>
              <w:spacing w:line="240" w:lineRule="auto"/>
              <w:rPr>
                <w:rFonts w:eastAsia="MS Mincho" w:cs="Arial"/>
                <w:szCs w:val="20"/>
              </w:rPr>
            </w:pPr>
            <w:r w:rsidRPr="005E4BEA">
              <w:rPr>
                <w:rFonts w:eastAsia="MS Mincho" w:cs="Arial"/>
                <w:szCs w:val="20"/>
              </w:rPr>
              <w:t>Kranj</w:t>
            </w:r>
          </w:p>
        </w:tc>
        <w:tc>
          <w:tcPr>
            <w:tcW w:w="1514" w:type="pct"/>
            <w:tcBorders>
              <w:top w:val="nil"/>
              <w:left w:val="nil"/>
              <w:bottom w:val="single" w:sz="4" w:space="0" w:color="auto"/>
              <w:right w:val="single" w:sz="4" w:space="0" w:color="auto"/>
            </w:tcBorders>
            <w:noWrap/>
            <w:vAlign w:val="center"/>
            <w:hideMark/>
          </w:tcPr>
          <w:p w14:paraId="2C26226B" w14:textId="77777777" w:rsidR="00406310" w:rsidRPr="005E4BEA" w:rsidRDefault="00406310" w:rsidP="0016774B">
            <w:pPr>
              <w:spacing w:line="240" w:lineRule="auto"/>
              <w:jc w:val="right"/>
              <w:rPr>
                <w:rFonts w:eastAsia="MS Mincho" w:cs="Arial"/>
                <w:szCs w:val="20"/>
              </w:rPr>
            </w:pPr>
            <w:r w:rsidRPr="005E4BEA">
              <w:rPr>
                <w:rFonts w:eastAsia="MS Mincho" w:cs="Arial"/>
                <w:szCs w:val="20"/>
              </w:rPr>
              <w:t>2</w:t>
            </w:r>
          </w:p>
        </w:tc>
        <w:tc>
          <w:tcPr>
            <w:tcW w:w="0" w:type="auto"/>
            <w:vAlign w:val="center"/>
            <w:hideMark/>
          </w:tcPr>
          <w:p w14:paraId="4E032867" w14:textId="77777777" w:rsidR="00406310" w:rsidRPr="005E4BEA" w:rsidRDefault="00406310" w:rsidP="0016774B">
            <w:pPr>
              <w:spacing w:line="240" w:lineRule="auto"/>
              <w:rPr>
                <w:rFonts w:eastAsia="MS Mincho" w:cs="Arial"/>
                <w:szCs w:val="20"/>
              </w:rPr>
            </w:pPr>
          </w:p>
        </w:tc>
      </w:tr>
      <w:tr w:rsidR="00406310" w:rsidRPr="005E4BEA" w14:paraId="4C63FDDA" w14:textId="77777777" w:rsidTr="0016774B">
        <w:trPr>
          <w:trHeight w:val="242"/>
        </w:trPr>
        <w:tc>
          <w:tcPr>
            <w:tcW w:w="3098" w:type="pct"/>
            <w:tcBorders>
              <w:top w:val="nil"/>
              <w:left w:val="single" w:sz="4" w:space="0" w:color="auto"/>
              <w:bottom w:val="single" w:sz="4" w:space="0" w:color="auto"/>
              <w:right w:val="single" w:sz="4" w:space="0" w:color="auto"/>
            </w:tcBorders>
            <w:noWrap/>
            <w:vAlign w:val="center"/>
            <w:hideMark/>
          </w:tcPr>
          <w:p w14:paraId="17717D68" w14:textId="77777777" w:rsidR="00406310" w:rsidRPr="005E4BEA" w:rsidRDefault="00406310" w:rsidP="0016774B">
            <w:pPr>
              <w:spacing w:line="240" w:lineRule="auto"/>
              <w:rPr>
                <w:rFonts w:eastAsia="MS Mincho" w:cs="Arial"/>
                <w:szCs w:val="20"/>
              </w:rPr>
            </w:pPr>
            <w:r w:rsidRPr="005E4BEA">
              <w:rPr>
                <w:rFonts w:eastAsia="MS Mincho" w:cs="Arial"/>
                <w:szCs w:val="20"/>
              </w:rPr>
              <w:t>Maribor</w:t>
            </w:r>
          </w:p>
        </w:tc>
        <w:tc>
          <w:tcPr>
            <w:tcW w:w="1514" w:type="pct"/>
            <w:tcBorders>
              <w:top w:val="nil"/>
              <w:left w:val="nil"/>
              <w:bottom w:val="single" w:sz="4" w:space="0" w:color="auto"/>
              <w:right w:val="single" w:sz="4" w:space="0" w:color="auto"/>
            </w:tcBorders>
            <w:noWrap/>
            <w:vAlign w:val="center"/>
            <w:hideMark/>
          </w:tcPr>
          <w:p w14:paraId="77E4B434" w14:textId="77777777" w:rsidR="00406310" w:rsidRPr="005E4BEA" w:rsidRDefault="00406310" w:rsidP="0016774B">
            <w:pPr>
              <w:spacing w:line="240" w:lineRule="auto"/>
              <w:jc w:val="right"/>
              <w:rPr>
                <w:rFonts w:eastAsia="MS Mincho" w:cs="Arial"/>
                <w:szCs w:val="20"/>
              </w:rPr>
            </w:pPr>
            <w:r w:rsidRPr="005E4BEA">
              <w:rPr>
                <w:rFonts w:eastAsia="MS Mincho" w:cs="Arial"/>
                <w:szCs w:val="20"/>
              </w:rPr>
              <w:t>1</w:t>
            </w:r>
          </w:p>
        </w:tc>
        <w:tc>
          <w:tcPr>
            <w:tcW w:w="0" w:type="auto"/>
            <w:vAlign w:val="center"/>
            <w:hideMark/>
          </w:tcPr>
          <w:p w14:paraId="1BE21C4A" w14:textId="77777777" w:rsidR="00406310" w:rsidRPr="005E4BEA" w:rsidRDefault="00406310" w:rsidP="0016774B">
            <w:pPr>
              <w:spacing w:line="240" w:lineRule="auto"/>
              <w:rPr>
                <w:rFonts w:eastAsia="MS Mincho" w:cs="Arial"/>
                <w:szCs w:val="20"/>
              </w:rPr>
            </w:pPr>
          </w:p>
        </w:tc>
      </w:tr>
    </w:tbl>
    <w:p w14:paraId="330E6C2A" w14:textId="77777777" w:rsidR="00406310" w:rsidRPr="005E4BEA" w:rsidRDefault="00406310" w:rsidP="00406310">
      <w:pPr>
        <w:spacing w:line="240" w:lineRule="auto"/>
        <w:jc w:val="both"/>
        <w:rPr>
          <w:rFonts w:eastAsia="MS Mincho" w:cs="Arial"/>
          <w:b/>
          <w:bCs/>
          <w:szCs w:val="20"/>
        </w:rPr>
      </w:pPr>
    </w:p>
    <w:p w14:paraId="4B58442D" w14:textId="77777777" w:rsidR="00406310" w:rsidRPr="005E4BEA" w:rsidRDefault="00406310" w:rsidP="00406310">
      <w:pPr>
        <w:spacing w:line="240" w:lineRule="auto"/>
        <w:jc w:val="both"/>
        <w:rPr>
          <w:rFonts w:eastAsia="MS Mincho" w:cs="Arial"/>
          <w:szCs w:val="20"/>
        </w:rPr>
      </w:pPr>
    </w:p>
    <w:p w14:paraId="143C3FAD" w14:textId="77777777" w:rsidR="00406310" w:rsidRPr="005E4BEA" w:rsidRDefault="00406310" w:rsidP="00406310">
      <w:pPr>
        <w:spacing w:line="240" w:lineRule="auto"/>
        <w:jc w:val="both"/>
        <w:rPr>
          <w:rFonts w:eastAsia="MS Mincho" w:cs="Arial"/>
          <w:b/>
          <w:bCs/>
          <w:szCs w:val="20"/>
        </w:rPr>
      </w:pPr>
      <w:r w:rsidRPr="005E4BEA">
        <w:rPr>
          <w:rFonts w:eastAsia="MS Mincho" w:cs="Arial"/>
          <w:b/>
          <w:bCs/>
          <w:szCs w:val="20"/>
        </w:rPr>
        <w:t>V Prilogi 1 se za standardom za Center za preprečevanje in zdravljenje odvisnosti od drog določi nov standard za Center za preprečevanje in zdravljenje odvisnosti od drog – mobilna enota:</w:t>
      </w:r>
    </w:p>
    <w:bookmarkEnd w:id="89"/>
    <w:p w14:paraId="666394B4" w14:textId="77777777" w:rsidR="00406310" w:rsidRPr="005E4BEA" w:rsidRDefault="00406310" w:rsidP="00406310">
      <w:pPr>
        <w:spacing w:line="240" w:lineRule="auto"/>
        <w:jc w:val="both"/>
        <w:rPr>
          <w:rFonts w:eastAsia="MS Mincho" w:cs="Arial"/>
          <w:szCs w:val="20"/>
        </w:rPr>
      </w:pPr>
    </w:p>
    <w:p w14:paraId="154CBAD3" w14:textId="77777777" w:rsidR="00406310" w:rsidRPr="005E4BEA" w:rsidRDefault="00406310" w:rsidP="00406310">
      <w:pPr>
        <w:spacing w:line="240" w:lineRule="auto"/>
        <w:jc w:val="both"/>
        <w:rPr>
          <w:rFonts w:eastAsia="MS Mincho" w:cs="Arial"/>
          <w:szCs w:val="20"/>
        </w:rPr>
      </w:pPr>
      <w:r w:rsidRPr="005E4BEA">
        <w:rPr>
          <w:rFonts w:eastAsia="MS Mincho" w:cs="Arial"/>
          <w:noProof/>
          <w:szCs w:val="20"/>
        </w:rPr>
        <w:drawing>
          <wp:inline distT="0" distB="0" distL="0" distR="0" wp14:anchorId="33495344" wp14:editId="1F0C1812">
            <wp:extent cx="5593465" cy="1152525"/>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9052" cy="1153676"/>
                    </a:xfrm>
                    <a:prstGeom prst="rect">
                      <a:avLst/>
                    </a:prstGeom>
                    <a:noFill/>
                    <a:ln>
                      <a:noFill/>
                    </a:ln>
                  </pic:spPr>
                </pic:pic>
              </a:graphicData>
            </a:graphic>
          </wp:inline>
        </w:drawing>
      </w:r>
    </w:p>
    <w:p w14:paraId="3BA7E6AD" w14:textId="77777777" w:rsidR="00406310" w:rsidRPr="005E4BEA" w:rsidRDefault="00406310" w:rsidP="00406310">
      <w:pPr>
        <w:spacing w:line="240" w:lineRule="auto"/>
        <w:rPr>
          <w:rFonts w:cs="Arial"/>
          <w:color w:val="000000"/>
          <w:szCs w:val="20"/>
          <w:lang w:eastAsia="sl-SI"/>
        </w:rPr>
      </w:pPr>
      <w:bookmarkStart w:id="91" w:name="_Hlk102471203"/>
      <w:r w:rsidRPr="005E4BEA">
        <w:rPr>
          <w:rFonts w:cs="Arial"/>
          <w:color w:val="000000"/>
          <w:szCs w:val="20"/>
          <w:lang w:eastAsia="sl-SI"/>
        </w:rPr>
        <w:t>Opomba: Standard velja za ZD Celje, ZD Izola, ZD Kranj, ZD Nova Gorica in ZD Maribor.</w:t>
      </w:r>
    </w:p>
    <w:bookmarkEnd w:id="91"/>
    <w:p w14:paraId="40A534F2" w14:textId="77777777" w:rsidR="00406310" w:rsidRPr="005E4BEA" w:rsidRDefault="00406310" w:rsidP="00FE461F">
      <w:pPr>
        <w:spacing w:line="240" w:lineRule="auto"/>
        <w:jc w:val="both"/>
        <w:rPr>
          <w:rFonts w:eastAsia="Calibri" w:cs="Arial"/>
          <w:b/>
          <w:bCs/>
          <w:i/>
          <w:iCs/>
          <w:color w:val="7F7F7F" w:themeColor="text1" w:themeTint="80"/>
          <w:szCs w:val="20"/>
        </w:rPr>
      </w:pPr>
    </w:p>
    <w:p w14:paraId="6119B4DC" w14:textId="05AED841" w:rsidR="00FE461F" w:rsidRPr="005E4BEA" w:rsidRDefault="00FE461F" w:rsidP="00FE461F">
      <w:pPr>
        <w:spacing w:line="240" w:lineRule="auto"/>
        <w:jc w:val="both"/>
        <w:rPr>
          <w:rFonts w:eastAsia="Calibri" w:cs="Arial"/>
          <w:b/>
          <w:bCs/>
          <w:i/>
          <w:iCs/>
          <w:color w:val="7F7F7F" w:themeColor="text1" w:themeTint="80"/>
          <w:szCs w:val="20"/>
        </w:rPr>
      </w:pPr>
    </w:p>
    <w:p w14:paraId="7816878C" w14:textId="2A9633B9" w:rsidR="00406310" w:rsidRPr="005E4BEA" w:rsidRDefault="0040631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(66)</w:t>
      </w:r>
    </w:p>
    <w:p w14:paraId="5F4B0630" w14:textId="5C39524D" w:rsidR="00406310" w:rsidRPr="005E4BEA" w:rsidRDefault="00406310" w:rsidP="00406310">
      <w:pPr>
        <w:spacing w:line="0" w:lineRule="atLeast"/>
        <w:contextualSpacing/>
        <w:jc w:val="both"/>
        <w:rPr>
          <w:rFonts w:eastAsia="Arial Narrow" w:cs="Arial"/>
          <w:b/>
          <w:szCs w:val="20"/>
        </w:rPr>
      </w:pPr>
    </w:p>
    <w:p w14:paraId="4D07C005" w14:textId="0FE87B2B" w:rsidR="00FE461F" w:rsidRPr="005E4BEA" w:rsidRDefault="00406310" w:rsidP="00406310">
      <w:pPr>
        <w:spacing w:line="0" w:lineRule="atLeast"/>
        <w:contextualSpacing/>
        <w:jc w:val="both"/>
        <w:rPr>
          <w:rFonts w:eastAsia="Calibri" w:cs="Arial"/>
          <w:bCs/>
          <w:szCs w:val="20"/>
        </w:rPr>
      </w:pPr>
      <w:r w:rsidRPr="005E4BEA">
        <w:rPr>
          <w:rFonts w:eastAsia="Arial Narrow" w:cs="Arial"/>
          <w:b/>
          <w:szCs w:val="20"/>
        </w:rPr>
        <w:t xml:space="preserve">Lekarniška zbornica Slovenije predlaga, </w:t>
      </w:r>
      <w:r w:rsidRPr="005E4BEA">
        <w:rPr>
          <w:rFonts w:eastAsia="Arial Narrow" w:cs="Arial"/>
          <w:bCs/>
          <w:szCs w:val="20"/>
        </w:rPr>
        <w:t>da se sp</w:t>
      </w:r>
      <w:r w:rsidR="00FE461F" w:rsidRPr="005E4BEA">
        <w:rPr>
          <w:rFonts w:eastAsia="Calibri" w:cs="Arial"/>
          <w:bCs/>
          <w:szCs w:val="20"/>
        </w:rPr>
        <w:t>remeni šesti (6) odstavek 24. člena, tako da se glasi:</w:t>
      </w:r>
    </w:p>
    <w:p w14:paraId="3D5E6F4F" w14:textId="77777777" w:rsidR="00FE461F" w:rsidRPr="005E4BEA" w:rsidRDefault="00FE461F" w:rsidP="00FE461F">
      <w:pPr>
        <w:widowControl w:val="0"/>
        <w:suppressAutoHyphens/>
        <w:autoSpaceDE w:val="0"/>
        <w:autoSpaceDN w:val="0"/>
        <w:adjustRightInd w:val="0"/>
        <w:spacing w:line="240" w:lineRule="atLeast"/>
        <w:jc w:val="both"/>
        <w:rPr>
          <w:rFonts w:cs="Arial"/>
          <w:color w:val="000000"/>
          <w:szCs w:val="20"/>
        </w:rPr>
      </w:pPr>
      <w:r w:rsidRPr="005E4BEA">
        <w:rPr>
          <w:rFonts w:cs="Arial"/>
          <w:color w:val="000000"/>
          <w:szCs w:val="20"/>
        </w:rPr>
        <w:t>»6) Za nujne širitve programov oziroma uvajanje novih terapij pri zdravljenju so v okviru prvega in drugega odstavka tega člena načrtovana dodatna sredstva:</w:t>
      </w:r>
    </w:p>
    <w:p w14:paraId="6AE10E53" w14:textId="77777777" w:rsidR="00FE461F" w:rsidRPr="005E4BEA" w:rsidRDefault="00FE461F" w:rsidP="00FE461F">
      <w:pPr>
        <w:autoSpaceDE w:val="0"/>
        <w:autoSpaceDN w:val="0"/>
        <w:adjustRightInd w:val="0"/>
        <w:spacing w:line="240" w:lineRule="auto"/>
        <w:rPr>
          <w:rFonts w:cs="Arial"/>
          <w:color w:val="000000"/>
          <w:szCs w:val="20"/>
        </w:rPr>
      </w:pPr>
    </w:p>
    <w:tbl>
      <w:tblPr>
        <w:tblW w:w="5000" w:type="pct"/>
        <w:tblCellMar>
          <w:left w:w="70" w:type="dxa"/>
          <w:right w:w="70" w:type="dxa"/>
        </w:tblCellMar>
        <w:tblLook w:val="04A0" w:firstRow="1" w:lastRow="0" w:firstColumn="1" w:lastColumn="0" w:noHBand="0" w:noVBand="1"/>
      </w:tblPr>
      <w:tblGrid>
        <w:gridCol w:w="252"/>
        <w:gridCol w:w="3182"/>
        <w:gridCol w:w="1709"/>
        <w:gridCol w:w="1063"/>
        <w:gridCol w:w="1141"/>
        <w:gridCol w:w="1141"/>
      </w:tblGrid>
      <w:tr w:rsidR="00FE461F" w:rsidRPr="005E4BEA" w14:paraId="2561425C" w14:textId="77777777" w:rsidTr="0016774B">
        <w:trPr>
          <w:trHeight w:val="478"/>
          <w:tblHeader/>
        </w:trPr>
        <w:tc>
          <w:tcPr>
            <w:tcW w:w="181" w:type="pct"/>
            <w:vMerge w:val="restart"/>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56EF842E" w14:textId="77777777" w:rsidR="00FE461F" w:rsidRPr="005E4BEA" w:rsidRDefault="00FE461F" w:rsidP="00FE461F">
            <w:pPr>
              <w:spacing w:line="240" w:lineRule="auto"/>
              <w:jc w:val="center"/>
              <w:rPr>
                <w:rFonts w:cs="Arial"/>
                <w:szCs w:val="20"/>
                <w:lang w:eastAsia="sl-SI"/>
              </w:rPr>
            </w:pPr>
            <w:r w:rsidRPr="005E4BEA">
              <w:rPr>
                <w:rFonts w:cs="Arial"/>
                <w:szCs w:val="20"/>
                <w:lang w:eastAsia="sl-SI"/>
              </w:rPr>
              <w:t> </w:t>
            </w:r>
          </w:p>
        </w:tc>
        <w:tc>
          <w:tcPr>
            <w:tcW w:w="1988"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3DAEC6A2" w14:textId="77777777" w:rsidR="00FE461F" w:rsidRPr="005E4BEA" w:rsidRDefault="00FE461F" w:rsidP="00FE461F">
            <w:pPr>
              <w:spacing w:line="240" w:lineRule="auto"/>
              <w:rPr>
                <w:rFonts w:cs="Arial"/>
                <w:b/>
                <w:bCs/>
                <w:szCs w:val="20"/>
                <w:lang w:eastAsia="sl-SI"/>
              </w:rPr>
            </w:pPr>
            <w:r w:rsidRPr="005E4BEA">
              <w:rPr>
                <w:rFonts w:cs="Arial"/>
                <w:b/>
                <w:bCs/>
                <w:szCs w:val="20"/>
                <w:lang w:eastAsia="sl-SI"/>
              </w:rPr>
              <w:t>P   r   o   g   r   a   m</w:t>
            </w:r>
          </w:p>
        </w:tc>
        <w:tc>
          <w:tcPr>
            <w:tcW w:w="1079"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7506FA3B" w14:textId="77777777" w:rsidR="00FE461F" w:rsidRPr="005E4BEA" w:rsidRDefault="00FE461F" w:rsidP="00FE461F">
            <w:pPr>
              <w:spacing w:line="240" w:lineRule="auto"/>
              <w:jc w:val="center"/>
              <w:rPr>
                <w:rFonts w:cs="Arial"/>
                <w:b/>
                <w:bCs/>
                <w:szCs w:val="20"/>
                <w:lang w:eastAsia="sl-SI"/>
              </w:rPr>
            </w:pPr>
            <w:r w:rsidRPr="005E4BEA">
              <w:rPr>
                <w:rFonts w:cs="Arial"/>
                <w:b/>
                <w:bCs/>
                <w:szCs w:val="20"/>
                <w:lang w:eastAsia="sl-SI"/>
              </w:rPr>
              <w:t>I z v a j a l e c /</w:t>
            </w:r>
            <w:r w:rsidRPr="005E4BEA">
              <w:rPr>
                <w:rFonts w:cs="Arial"/>
                <w:b/>
                <w:bCs/>
                <w:szCs w:val="20"/>
                <w:lang w:eastAsia="sl-SI"/>
              </w:rPr>
              <w:br/>
              <w:t>i z p o s t a v a</w:t>
            </w:r>
          </w:p>
        </w:tc>
        <w:tc>
          <w:tcPr>
            <w:tcW w:w="580"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27BAB148" w14:textId="77777777" w:rsidR="00FE461F" w:rsidRPr="005E4BEA" w:rsidRDefault="00FE461F" w:rsidP="00FE461F">
            <w:pPr>
              <w:spacing w:line="240" w:lineRule="auto"/>
              <w:jc w:val="center"/>
              <w:rPr>
                <w:rFonts w:cs="Arial"/>
                <w:b/>
                <w:bCs/>
                <w:szCs w:val="20"/>
                <w:lang w:eastAsia="sl-SI"/>
              </w:rPr>
            </w:pPr>
            <w:r w:rsidRPr="005E4BEA">
              <w:rPr>
                <w:rFonts w:cs="Arial"/>
                <w:b/>
                <w:bCs/>
                <w:szCs w:val="20"/>
                <w:lang w:eastAsia="sl-SI"/>
              </w:rPr>
              <w:t>Obseg programa</w:t>
            </w:r>
          </w:p>
        </w:tc>
        <w:tc>
          <w:tcPr>
            <w:tcW w:w="586"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402FD6C5" w14:textId="77777777" w:rsidR="00FE461F" w:rsidRPr="005E4BEA" w:rsidRDefault="00FE461F" w:rsidP="00FE461F">
            <w:pPr>
              <w:spacing w:line="240" w:lineRule="auto"/>
              <w:jc w:val="center"/>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na letni ravni</w:t>
            </w:r>
            <w:r w:rsidRPr="005E4BEA">
              <w:rPr>
                <w:rFonts w:cs="Arial"/>
                <w:b/>
                <w:bCs/>
                <w:szCs w:val="20"/>
                <w:lang w:eastAsia="sl-SI"/>
              </w:rPr>
              <w:br/>
              <w:t>(v EUR)</w:t>
            </w:r>
          </w:p>
        </w:tc>
        <w:tc>
          <w:tcPr>
            <w:tcW w:w="586"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064F2594" w14:textId="77777777" w:rsidR="00FE461F" w:rsidRPr="005E4BEA" w:rsidRDefault="00FE461F" w:rsidP="00FE461F">
            <w:pPr>
              <w:spacing w:line="240" w:lineRule="auto"/>
              <w:jc w:val="center"/>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1.1.-31.12.2022</w:t>
            </w:r>
            <w:r w:rsidRPr="005E4BEA">
              <w:rPr>
                <w:rFonts w:cs="Arial"/>
                <w:b/>
                <w:bCs/>
                <w:szCs w:val="20"/>
                <w:lang w:eastAsia="sl-SI"/>
              </w:rPr>
              <w:br/>
              <w:t>(v EUR)</w:t>
            </w:r>
          </w:p>
        </w:tc>
      </w:tr>
      <w:tr w:rsidR="00FE461F" w:rsidRPr="005E4BEA" w14:paraId="5751DACB" w14:textId="77777777" w:rsidTr="0016774B">
        <w:trPr>
          <w:trHeight w:val="478"/>
          <w:tblHeader/>
        </w:trPr>
        <w:tc>
          <w:tcPr>
            <w:tcW w:w="181" w:type="pct"/>
            <w:vMerge/>
            <w:tcBorders>
              <w:top w:val="single" w:sz="4" w:space="0" w:color="538DD5"/>
              <w:left w:val="single" w:sz="4" w:space="0" w:color="538DD5"/>
              <w:bottom w:val="single" w:sz="4" w:space="0" w:color="538DD5"/>
              <w:right w:val="single" w:sz="4" w:space="0" w:color="538DD5"/>
            </w:tcBorders>
            <w:vAlign w:val="center"/>
            <w:hideMark/>
          </w:tcPr>
          <w:p w14:paraId="1F3B819D" w14:textId="77777777" w:rsidR="00FE461F" w:rsidRPr="005E4BEA" w:rsidRDefault="00FE461F" w:rsidP="00FE461F">
            <w:pPr>
              <w:spacing w:line="240" w:lineRule="auto"/>
              <w:rPr>
                <w:rFonts w:cs="Arial"/>
                <w:szCs w:val="20"/>
                <w:lang w:eastAsia="sl-SI"/>
              </w:rPr>
            </w:pPr>
          </w:p>
        </w:tc>
        <w:tc>
          <w:tcPr>
            <w:tcW w:w="1988" w:type="pct"/>
            <w:vMerge/>
            <w:tcBorders>
              <w:top w:val="single" w:sz="4" w:space="0" w:color="538DD5"/>
              <w:left w:val="single" w:sz="4" w:space="0" w:color="538DD5"/>
              <w:bottom w:val="single" w:sz="4" w:space="0" w:color="538DD5"/>
              <w:right w:val="single" w:sz="4" w:space="0" w:color="538DD5"/>
            </w:tcBorders>
            <w:vAlign w:val="center"/>
            <w:hideMark/>
          </w:tcPr>
          <w:p w14:paraId="48E834BC" w14:textId="77777777" w:rsidR="00FE461F" w:rsidRPr="005E4BEA" w:rsidRDefault="00FE461F" w:rsidP="00FE461F">
            <w:pPr>
              <w:spacing w:line="240" w:lineRule="auto"/>
              <w:rPr>
                <w:rFonts w:cs="Arial"/>
                <w:b/>
                <w:bCs/>
                <w:szCs w:val="20"/>
                <w:lang w:eastAsia="sl-SI"/>
              </w:rPr>
            </w:pPr>
          </w:p>
        </w:tc>
        <w:tc>
          <w:tcPr>
            <w:tcW w:w="1079" w:type="pct"/>
            <w:vMerge/>
            <w:tcBorders>
              <w:top w:val="single" w:sz="4" w:space="0" w:color="538DD5"/>
              <w:left w:val="single" w:sz="4" w:space="0" w:color="538DD5"/>
              <w:bottom w:val="single" w:sz="4" w:space="0" w:color="538DD5"/>
              <w:right w:val="single" w:sz="4" w:space="0" w:color="538DD5"/>
            </w:tcBorders>
            <w:vAlign w:val="center"/>
            <w:hideMark/>
          </w:tcPr>
          <w:p w14:paraId="0F3BDBD4" w14:textId="77777777" w:rsidR="00FE461F" w:rsidRPr="005E4BEA" w:rsidRDefault="00FE461F" w:rsidP="00FE461F">
            <w:pPr>
              <w:spacing w:line="240" w:lineRule="auto"/>
              <w:rPr>
                <w:rFonts w:cs="Arial"/>
                <w:b/>
                <w:bCs/>
                <w:szCs w:val="20"/>
                <w:lang w:eastAsia="sl-SI"/>
              </w:rPr>
            </w:pPr>
          </w:p>
        </w:tc>
        <w:tc>
          <w:tcPr>
            <w:tcW w:w="580" w:type="pct"/>
            <w:vMerge/>
            <w:tcBorders>
              <w:top w:val="single" w:sz="4" w:space="0" w:color="538DD5"/>
              <w:left w:val="single" w:sz="4" w:space="0" w:color="538DD5"/>
              <w:bottom w:val="single" w:sz="4" w:space="0" w:color="538DD5"/>
              <w:right w:val="single" w:sz="4" w:space="0" w:color="538DD5"/>
            </w:tcBorders>
            <w:vAlign w:val="center"/>
            <w:hideMark/>
          </w:tcPr>
          <w:p w14:paraId="066D0B17" w14:textId="77777777" w:rsidR="00FE461F" w:rsidRPr="005E4BEA" w:rsidRDefault="00FE461F" w:rsidP="00FE461F">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204F383D" w14:textId="77777777" w:rsidR="00FE461F" w:rsidRPr="005E4BEA" w:rsidRDefault="00FE461F" w:rsidP="00FE461F">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1A2D4F8F" w14:textId="77777777" w:rsidR="00FE461F" w:rsidRPr="005E4BEA" w:rsidRDefault="00FE461F" w:rsidP="00FE461F">
            <w:pPr>
              <w:spacing w:line="240" w:lineRule="auto"/>
              <w:rPr>
                <w:rFonts w:cs="Arial"/>
                <w:b/>
                <w:bCs/>
                <w:szCs w:val="20"/>
                <w:lang w:eastAsia="sl-SI"/>
              </w:rPr>
            </w:pPr>
          </w:p>
        </w:tc>
      </w:tr>
      <w:tr w:rsidR="00FE461F" w:rsidRPr="005E4BEA" w14:paraId="692A568C" w14:textId="77777777" w:rsidTr="0016774B">
        <w:trPr>
          <w:trHeight w:val="478"/>
          <w:tblHeader/>
        </w:trPr>
        <w:tc>
          <w:tcPr>
            <w:tcW w:w="181" w:type="pct"/>
            <w:vMerge/>
            <w:tcBorders>
              <w:top w:val="single" w:sz="4" w:space="0" w:color="538DD5"/>
              <w:left w:val="single" w:sz="4" w:space="0" w:color="538DD5"/>
              <w:bottom w:val="single" w:sz="4" w:space="0" w:color="538DD5"/>
              <w:right w:val="single" w:sz="4" w:space="0" w:color="538DD5"/>
            </w:tcBorders>
            <w:vAlign w:val="center"/>
            <w:hideMark/>
          </w:tcPr>
          <w:p w14:paraId="7A438046" w14:textId="77777777" w:rsidR="00FE461F" w:rsidRPr="005E4BEA" w:rsidRDefault="00FE461F" w:rsidP="00FE461F">
            <w:pPr>
              <w:spacing w:line="240" w:lineRule="auto"/>
              <w:rPr>
                <w:rFonts w:cs="Arial"/>
                <w:szCs w:val="20"/>
                <w:lang w:eastAsia="sl-SI"/>
              </w:rPr>
            </w:pPr>
          </w:p>
        </w:tc>
        <w:tc>
          <w:tcPr>
            <w:tcW w:w="1988" w:type="pct"/>
            <w:vMerge/>
            <w:tcBorders>
              <w:top w:val="single" w:sz="4" w:space="0" w:color="538DD5"/>
              <w:left w:val="single" w:sz="4" w:space="0" w:color="538DD5"/>
              <w:bottom w:val="single" w:sz="4" w:space="0" w:color="538DD5"/>
              <w:right w:val="single" w:sz="4" w:space="0" w:color="538DD5"/>
            </w:tcBorders>
            <w:vAlign w:val="center"/>
            <w:hideMark/>
          </w:tcPr>
          <w:p w14:paraId="0A9CF82A" w14:textId="77777777" w:rsidR="00FE461F" w:rsidRPr="005E4BEA" w:rsidRDefault="00FE461F" w:rsidP="00FE461F">
            <w:pPr>
              <w:spacing w:line="240" w:lineRule="auto"/>
              <w:rPr>
                <w:rFonts w:cs="Arial"/>
                <w:b/>
                <w:bCs/>
                <w:szCs w:val="20"/>
                <w:lang w:eastAsia="sl-SI"/>
              </w:rPr>
            </w:pPr>
          </w:p>
        </w:tc>
        <w:tc>
          <w:tcPr>
            <w:tcW w:w="1079" w:type="pct"/>
            <w:vMerge/>
            <w:tcBorders>
              <w:top w:val="single" w:sz="4" w:space="0" w:color="538DD5"/>
              <w:left w:val="single" w:sz="4" w:space="0" w:color="538DD5"/>
              <w:bottom w:val="single" w:sz="4" w:space="0" w:color="538DD5"/>
              <w:right w:val="single" w:sz="4" w:space="0" w:color="538DD5"/>
            </w:tcBorders>
            <w:vAlign w:val="center"/>
            <w:hideMark/>
          </w:tcPr>
          <w:p w14:paraId="42E92B1D" w14:textId="77777777" w:rsidR="00FE461F" w:rsidRPr="005E4BEA" w:rsidRDefault="00FE461F" w:rsidP="00FE461F">
            <w:pPr>
              <w:spacing w:line="240" w:lineRule="auto"/>
              <w:rPr>
                <w:rFonts w:cs="Arial"/>
                <w:b/>
                <w:bCs/>
                <w:szCs w:val="20"/>
                <w:lang w:eastAsia="sl-SI"/>
              </w:rPr>
            </w:pPr>
          </w:p>
        </w:tc>
        <w:tc>
          <w:tcPr>
            <w:tcW w:w="580" w:type="pct"/>
            <w:vMerge/>
            <w:tcBorders>
              <w:top w:val="single" w:sz="4" w:space="0" w:color="538DD5"/>
              <w:left w:val="single" w:sz="4" w:space="0" w:color="538DD5"/>
              <w:bottom w:val="single" w:sz="4" w:space="0" w:color="538DD5"/>
              <w:right w:val="single" w:sz="4" w:space="0" w:color="538DD5"/>
            </w:tcBorders>
            <w:vAlign w:val="center"/>
            <w:hideMark/>
          </w:tcPr>
          <w:p w14:paraId="0627D8CC" w14:textId="77777777" w:rsidR="00FE461F" w:rsidRPr="005E4BEA" w:rsidRDefault="00FE461F" w:rsidP="00FE461F">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41B4B4BE" w14:textId="77777777" w:rsidR="00FE461F" w:rsidRPr="005E4BEA" w:rsidRDefault="00FE461F" w:rsidP="00FE461F">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4C86C46D" w14:textId="77777777" w:rsidR="00FE461F" w:rsidRPr="005E4BEA" w:rsidRDefault="00FE461F" w:rsidP="00FE461F">
            <w:pPr>
              <w:spacing w:line="240" w:lineRule="auto"/>
              <w:rPr>
                <w:rFonts w:cs="Arial"/>
                <w:b/>
                <w:bCs/>
                <w:szCs w:val="20"/>
                <w:lang w:eastAsia="sl-SI"/>
              </w:rPr>
            </w:pPr>
          </w:p>
        </w:tc>
      </w:tr>
      <w:tr w:rsidR="00FE461F" w:rsidRPr="005E4BEA" w14:paraId="6B9ED7F6" w14:textId="77777777" w:rsidTr="0016774B">
        <w:trPr>
          <w:trHeight w:val="330"/>
        </w:trPr>
        <w:tc>
          <w:tcPr>
            <w:tcW w:w="181" w:type="pct"/>
            <w:tcBorders>
              <w:top w:val="nil"/>
              <w:left w:val="single" w:sz="4" w:space="0" w:color="538DD5"/>
              <w:bottom w:val="nil"/>
              <w:right w:val="single" w:sz="4" w:space="0" w:color="538DD5"/>
            </w:tcBorders>
            <w:shd w:val="clear" w:color="auto" w:fill="auto"/>
            <w:noWrap/>
            <w:vAlign w:val="center"/>
            <w:hideMark/>
          </w:tcPr>
          <w:p w14:paraId="1847279B" w14:textId="77777777" w:rsidR="00FE461F" w:rsidRPr="005E4BEA" w:rsidRDefault="00FE461F" w:rsidP="00FE461F">
            <w:pPr>
              <w:spacing w:line="240" w:lineRule="auto"/>
              <w:rPr>
                <w:rFonts w:cs="Arial"/>
                <w:szCs w:val="20"/>
                <w:lang w:eastAsia="sl-SI"/>
              </w:rPr>
            </w:pPr>
            <w:r w:rsidRPr="005E4BEA">
              <w:rPr>
                <w:rFonts w:cs="Arial"/>
                <w:szCs w:val="20"/>
                <w:lang w:eastAsia="sl-SI"/>
              </w:rPr>
              <w:t>1</w:t>
            </w:r>
          </w:p>
        </w:tc>
        <w:tc>
          <w:tcPr>
            <w:tcW w:w="1988" w:type="pct"/>
            <w:tcBorders>
              <w:top w:val="nil"/>
              <w:left w:val="nil"/>
              <w:bottom w:val="nil"/>
              <w:right w:val="single" w:sz="4" w:space="0" w:color="538DD5"/>
            </w:tcBorders>
            <w:shd w:val="clear" w:color="auto" w:fill="auto"/>
            <w:vAlign w:val="center"/>
          </w:tcPr>
          <w:p w14:paraId="7CC72A9D" w14:textId="77777777" w:rsidR="00FE461F" w:rsidRPr="005E4BEA" w:rsidRDefault="00FE461F" w:rsidP="00FE461F">
            <w:pPr>
              <w:spacing w:line="240" w:lineRule="auto"/>
              <w:rPr>
                <w:rFonts w:cs="Arial"/>
                <w:szCs w:val="20"/>
                <w:lang w:eastAsia="sl-SI"/>
              </w:rPr>
            </w:pPr>
          </w:p>
          <w:p w14:paraId="7FBAC9E9" w14:textId="77777777" w:rsidR="00FE461F" w:rsidRPr="005E4BEA" w:rsidRDefault="00FE461F" w:rsidP="00FE461F">
            <w:pPr>
              <w:spacing w:line="240" w:lineRule="auto"/>
              <w:rPr>
                <w:rFonts w:cs="Arial"/>
                <w:szCs w:val="20"/>
                <w:lang w:eastAsia="sl-SI"/>
              </w:rPr>
            </w:pPr>
            <w:r w:rsidRPr="005E4BEA">
              <w:rPr>
                <w:rFonts w:cs="Arial"/>
                <w:szCs w:val="20"/>
                <w:lang w:eastAsia="sl-SI"/>
              </w:rPr>
              <w:t xml:space="preserve">Pregled uporabe zdravil </w:t>
            </w:r>
          </w:p>
          <w:p w14:paraId="3BE0D9AB" w14:textId="77777777" w:rsidR="00FE461F" w:rsidRPr="005E4BEA" w:rsidRDefault="00FE461F" w:rsidP="00FE461F">
            <w:pPr>
              <w:spacing w:line="240" w:lineRule="auto"/>
              <w:rPr>
                <w:rFonts w:cs="Arial"/>
                <w:szCs w:val="20"/>
                <w:lang w:eastAsia="sl-SI"/>
              </w:rPr>
            </w:pPr>
          </w:p>
        </w:tc>
        <w:tc>
          <w:tcPr>
            <w:tcW w:w="1079" w:type="pct"/>
            <w:tcBorders>
              <w:top w:val="nil"/>
              <w:left w:val="nil"/>
              <w:bottom w:val="nil"/>
              <w:right w:val="single" w:sz="4" w:space="0" w:color="538DD5"/>
            </w:tcBorders>
            <w:shd w:val="clear" w:color="auto" w:fill="auto"/>
            <w:vAlign w:val="center"/>
          </w:tcPr>
          <w:p w14:paraId="3C0B4FDC" w14:textId="77777777" w:rsidR="00FE461F" w:rsidRPr="005E4BEA" w:rsidRDefault="00FE461F" w:rsidP="00FE461F">
            <w:pPr>
              <w:spacing w:line="240" w:lineRule="auto"/>
              <w:rPr>
                <w:rFonts w:cs="Arial"/>
                <w:szCs w:val="20"/>
                <w:lang w:eastAsia="sl-SI"/>
              </w:rPr>
            </w:pPr>
            <w:r w:rsidRPr="005E4BEA">
              <w:rPr>
                <w:rFonts w:cs="Arial"/>
                <w:szCs w:val="20"/>
                <w:lang w:eastAsia="sl-SI"/>
              </w:rPr>
              <w:t>Lekarne</w:t>
            </w:r>
          </w:p>
        </w:tc>
        <w:tc>
          <w:tcPr>
            <w:tcW w:w="580" w:type="pct"/>
            <w:tcBorders>
              <w:top w:val="nil"/>
              <w:left w:val="nil"/>
              <w:bottom w:val="nil"/>
              <w:right w:val="single" w:sz="4" w:space="0" w:color="538DD5"/>
            </w:tcBorders>
            <w:shd w:val="clear" w:color="auto" w:fill="auto"/>
            <w:noWrap/>
            <w:vAlign w:val="center"/>
            <w:hideMark/>
          </w:tcPr>
          <w:p w14:paraId="1903837D" w14:textId="77777777" w:rsidR="00FE461F" w:rsidRPr="005E4BEA" w:rsidRDefault="00FE461F" w:rsidP="00FE461F">
            <w:pPr>
              <w:spacing w:line="240" w:lineRule="auto"/>
              <w:rPr>
                <w:rFonts w:cs="Arial"/>
                <w:szCs w:val="20"/>
                <w:lang w:eastAsia="sl-SI"/>
              </w:rPr>
            </w:pPr>
          </w:p>
        </w:tc>
        <w:tc>
          <w:tcPr>
            <w:tcW w:w="586" w:type="pct"/>
            <w:tcBorders>
              <w:top w:val="nil"/>
              <w:left w:val="nil"/>
              <w:bottom w:val="nil"/>
              <w:right w:val="single" w:sz="4" w:space="0" w:color="538DD5"/>
            </w:tcBorders>
            <w:shd w:val="clear" w:color="auto" w:fill="auto"/>
            <w:noWrap/>
            <w:vAlign w:val="center"/>
          </w:tcPr>
          <w:p w14:paraId="36D820B6" w14:textId="77777777" w:rsidR="00FE461F" w:rsidRPr="005E4BEA" w:rsidRDefault="00FE461F" w:rsidP="00FE461F">
            <w:pPr>
              <w:spacing w:line="240" w:lineRule="auto"/>
              <w:rPr>
                <w:rFonts w:cs="Arial"/>
                <w:szCs w:val="20"/>
                <w:lang w:eastAsia="sl-SI"/>
              </w:rPr>
            </w:pPr>
            <w:r w:rsidRPr="005E4BEA">
              <w:rPr>
                <w:rFonts w:cs="Arial"/>
                <w:szCs w:val="20"/>
                <w:lang w:eastAsia="sl-SI"/>
              </w:rPr>
              <w:t xml:space="preserve">335.940,00 </w:t>
            </w:r>
          </w:p>
        </w:tc>
        <w:tc>
          <w:tcPr>
            <w:tcW w:w="586" w:type="pct"/>
            <w:tcBorders>
              <w:top w:val="nil"/>
              <w:left w:val="nil"/>
              <w:bottom w:val="nil"/>
              <w:right w:val="single" w:sz="4" w:space="0" w:color="538DD5"/>
            </w:tcBorders>
            <w:shd w:val="clear" w:color="auto" w:fill="auto"/>
            <w:noWrap/>
            <w:vAlign w:val="center"/>
          </w:tcPr>
          <w:p w14:paraId="1C6BB8D7" w14:textId="77777777" w:rsidR="00FE461F" w:rsidRPr="005E4BEA" w:rsidRDefault="00FE461F" w:rsidP="00FE461F">
            <w:pPr>
              <w:spacing w:line="240" w:lineRule="auto"/>
              <w:rPr>
                <w:rFonts w:cs="Arial"/>
                <w:szCs w:val="20"/>
                <w:lang w:eastAsia="sl-SI"/>
              </w:rPr>
            </w:pPr>
            <w:r w:rsidRPr="005E4BEA">
              <w:rPr>
                <w:rFonts w:cs="Arial"/>
                <w:szCs w:val="20"/>
                <w:lang w:eastAsia="sl-SI"/>
              </w:rPr>
              <w:t xml:space="preserve">335.940,00 </w:t>
            </w:r>
          </w:p>
        </w:tc>
      </w:tr>
      <w:tr w:rsidR="00FE461F" w:rsidRPr="005E4BEA" w14:paraId="25457487" w14:textId="77777777" w:rsidTr="0016774B">
        <w:trPr>
          <w:trHeight w:val="80"/>
        </w:trPr>
        <w:tc>
          <w:tcPr>
            <w:tcW w:w="181" w:type="pct"/>
            <w:tcBorders>
              <w:top w:val="nil"/>
              <w:left w:val="single" w:sz="4" w:space="0" w:color="538DD5"/>
              <w:bottom w:val="single" w:sz="4" w:space="0" w:color="538DD5"/>
              <w:right w:val="single" w:sz="4" w:space="0" w:color="538DD5"/>
            </w:tcBorders>
            <w:shd w:val="clear" w:color="auto" w:fill="auto"/>
            <w:noWrap/>
            <w:vAlign w:val="center"/>
          </w:tcPr>
          <w:p w14:paraId="47CFD9A0" w14:textId="77777777" w:rsidR="00FE461F" w:rsidRPr="005E4BEA" w:rsidRDefault="00FE461F" w:rsidP="00FE461F">
            <w:pPr>
              <w:spacing w:line="240" w:lineRule="auto"/>
              <w:rPr>
                <w:rFonts w:cs="Arial"/>
                <w:szCs w:val="20"/>
                <w:lang w:eastAsia="sl-SI"/>
              </w:rPr>
            </w:pPr>
          </w:p>
        </w:tc>
        <w:tc>
          <w:tcPr>
            <w:tcW w:w="1988" w:type="pct"/>
            <w:tcBorders>
              <w:top w:val="nil"/>
              <w:left w:val="nil"/>
              <w:bottom w:val="single" w:sz="4" w:space="0" w:color="538DD5"/>
              <w:right w:val="single" w:sz="4" w:space="0" w:color="538DD5"/>
            </w:tcBorders>
            <w:shd w:val="clear" w:color="auto" w:fill="auto"/>
            <w:vAlign w:val="center"/>
          </w:tcPr>
          <w:p w14:paraId="0BDCA047" w14:textId="77777777" w:rsidR="00FE461F" w:rsidRPr="005E4BEA" w:rsidRDefault="00FE461F" w:rsidP="00FE461F">
            <w:pPr>
              <w:spacing w:line="240" w:lineRule="auto"/>
              <w:rPr>
                <w:rFonts w:cs="Arial"/>
                <w:szCs w:val="20"/>
                <w:lang w:eastAsia="sl-SI"/>
              </w:rPr>
            </w:pPr>
          </w:p>
        </w:tc>
        <w:tc>
          <w:tcPr>
            <w:tcW w:w="1079" w:type="pct"/>
            <w:tcBorders>
              <w:top w:val="nil"/>
              <w:left w:val="nil"/>
              <w:bottom w:val="single" w:sz="4" w:space="0" w:color="538DD5"/>
              <w:right w:val="single" w:sz="4" w:space="0" w:color="538DD5"/>
            </w:tcBorders>
            <w:shd w:val="clear" w:color="auto" w:fill="auto"/>
            <w:vAlign w:val="center"/>
          </w:tcPr>
          <w:p w14:paraId="29FD6C68" w14:textId="77777777" w:rsidR="00FE461F" w:rsidRPr="005E4BEA" w:rsidRDefault="00FE461F" w:rsidP="00FE461F">
            <w:pPr>
              <w:spacing w:line="240" w:lineRule="auto"/>
              <w:rPr>
                <w:rFonts w:cs="Arial"/>
                <w:szCs w:val="20"/>
                <w:lang w:eastAsia="sl-SI"/>
              </w:rPr>
            </w:pPr>
          </w:p>
        </w:tc>
        <w:tc>
          <w:tcPr>
            <w:tcW w:w="580" w:type="pct"/>
            <w:tcBorders>
              <w:top w:val="nil"/>
              <w:left w:val="nil"/>
              <w:bottom w:val="single" w:sz="4" w:space="0" w:color="538DD5"/>
              <w:right w:val="single" w:sz="4" w:space="0" w:color="538DD5"/>
            </w:tcBorders>
            <w:shd w:val="clear" w:color="auto" w:fill="auto"/>
            <w:noWrap/>
            <w:vAlign w:val="center"/>
          </w:tcPr>
          <w:p w14:paraId="7A34967D" w14:textId="77777777" w:rsidR="00FE461F" w:rsidRPr="005E4BEA" w:rsidRDefault="00FE461F" w:rsidP="00FE461F">
            <w:pPr>
              <w:spacing w:line="240" w:lineRule="auto"/>
              <w:rPr>
                <w:rFonts w:cs="Arial"/>
                <w:szCs w:val="20"/>
                <w:lang w:eastAsia="sl-SI"/>
              </w:rPr>
            </w:pPr>
          </w:p>
        </w:tc>
        <w:tc>
          <w:tcPr>
            <w:tcW w:w="586" w:type="pct"/>
            <w:tcBorders>
              <w:top w:val="nil"/>
              <w:left w:val="nil"/>
              <w:bottom w:val="single" w:sz="4" w:space="0" w:color="538DD5"/>
              <w:right w:val="single" w:sz="4" w:space="0" w:color="538DD5"/>
            </w:tcBorders>
            <w:shd w:val="clear" w:color="auto" w:fill="auto"/>
            <w:noWrap/>
            <w:vAlign w:val="center"/>
          </w:tcPr>
          <w:p w14:paraId="4E7E28E7" w14:textId="77777777" w:rsidR="00FE461F" w:rsidRPr="005E4BEA" w:rsidRDefault="00FE461F" w:rsidP="00FE461F">
            <w:pPr>
              <w:spacing w:line="240" w:lineRule="auto"/>
              <w:rPr>
                <w:rFonts w:cs="Arial"/>
                <w:szCs w:val="20"/>
                <w:lang w:eastAsia="sl-SI"/>
              </w:rPr>
            </w:pPr>
          </w:p>
        </w:tc>
        <w:tc>
          <w:tcPr>
            <w:tcW w:w="586" w:type="pct"/>
            <w:tcBorders>
              <w:top w:val="nil"/>
              <w:left w:val="nil"/>
              <w:bottom w:val="single" w:sz="4" w:space="0" w:color="538DD5"/>
              <w:right w:val="single" w:sz="4" w:space="0" w:color="538DD5"/>
            </w:tcBorders>
            <w:shd w:val="clear" w:color="auto" w:fill="auto"/>
            <w:noWrap/>
            <w:vAlign w:val="center"/>
          </w:tcPr>
          <w:p w14:paraId="58F40A8C" w14:textId="77777777" w:rsidR="00FE461F" w:rsidRPr="005E4BEA" w:rsidRDefault="00FE461F" w:rsidP="00FE461F">
            <w:pPr>
              <w:spacing w:line="240" w:lineRule="auto"/>
              <w:rPr>
                <w:rFonts w:cs="Arial"/>
                <w:szCs w:val="20"/>
                <w:lang w:eastAsia="sl-SI"/>
              </w:rPr>
            </w:pPr>
          </w:p>
        </w:tc>
      </w:tr>
    </w:tbl>
    <w:p w14:paraId="74942672" w14:textId="77777777" w:rsidR="00FE461F" w:rsidRPr="005E4BEA" w:rsidRDefault="00FE461F" w:rsidP="00FE461F">
      <w:pPr>
        <w:spacing w:before="120" w:after="60" w:line="240" w:lineRule="auto"/>
        <w:jc w:val="both"/>
        <w:rPr>
          <w:rFonts w:eastAsia="Calibri" w:cs="Arial"/>
          <w:b/>
          <w:szCs w:val="20"/>
        </w:rPr>
      </w:pPr>
    </w:p>
    <w:p w14:paraId="7293E796" w14:textId="77777777" w:rsidR="00FE461F" w:rsidRPr="005E4BEA" w:rsidRDefault="00FE461F" w:rsidP="00FE461F">
      <w:pPr>
        <w:spacing w:before="120" w:after="60" w:line="240" w:lineRule="auto"/>
        <w:jc w:val="both"/>
        <w:rPr>
          <w:rFonts w:eastAsia="Calibri" w:cs="Arial"/>
          <w:b/>
          <w:szCs w:val="20"/>
        </w:rPr>
      </w:pPr>
      <w:r w:rsidRPr="005E4BEA">
        <w:rPr>
          <w:rFonts w:eastAsia="Calibri" w:cs="Arial"/>
          <w:b/>
          <w:szCs w:val="20"/>
        </w:rPr>
        <w:t>Spremeni se prvi (1) odstavek ter doda nov šesti (6) odstavek 14. člena Priloge ZD ZAS, tako da se glasita:</w:t>
      </w:r>
    </w:p>
    <w:p w14:paraId="2F284F38" w14:textId="77777777" w:rsidR="00FE461F" w:rsidRPr="005E4BEA" w:rsidRDefault="00FE461F" w:rsidP="00FE461F">
      <w:pPr>
        <w:widowControl w:val="0"/>
        <w:spacing w:line="240" w:lineRule="auto"/>
        <w:jc w:val="both"/>
        <w:rPr>
          <w:rFonts w:cs="Arial"/>
          <w:color w:val="000000"/>
          <w:szCs w:val="20"/>
        </w:rPr>
      </w:pPr>
      <w:r w:rsidRPr="005E4BEA">
        <w:rPr>
          <w:rFonts w:cs="Arial"/>
          <w:color w:val="000000"/>
          <w:szCs w:val="20"/>
        </w:rPr>
        <w:t xml:space="preserve">(1) </w:t>
      </w:r>
      <w:r w:rsidRPr="005E4BEA">
        <w:rPr>
          <w:rFonts w:eastAsia="Arial Narrow" w:cs="Arial"/>
          <w:color w:val="000000"/>
          <w:szCs w:val="20"/>
          <w:lang w:eastAsia="sl-SI"/>
        </w:rPr>
        <w:t xml:space="preserve">Zdravniki zdravstvenega doma in zasebni zdravniki s koncesijo napotujejo k farmacevtskemu svetovalcu predvsem bolnike s </w:t>
      </w:r>
      <w:proofErr w:type="spellStart"/>
      <w:r w:rsidRPr="005E4BEA">
        <w:rPr>
          <w:rFonts w:eastAsia="Arial Narrow" w:cs="Arial"/>
          <w:color w:val="000000"/>
          <w:szCs w:val="20"/>
          <w:lang w:eastAsia="sl-SI"/>
        </w:rPr>
        <w:t>polifarmakoterapijo</w:t>
      </w:r>
      <w:proofErr w:type="spellEnd"/>
      <w:r w:rsidRPr="005E4BEA">
        <w:rPr>
          <w:rFonts w:eastAsia="Arial Narrow" w:cs="Arial"/>
          <w:color w:val="000000"/>
          <w:szCs w:val="20"/>
          <w:lang w:eastAsia="sl-SI"/>
        </w:rPr>
        <w:t xml:space="preserve"> (pet in več različnih učinkovin) in bolnike za katere menijo, da so težave lahko povzročene z zdravili.</w:t>
      </w:r>
      <w:r w:rsidRPr="005E4BEA">
        <w:rPr>
          <w:rFonts w:cs="Arial"/>
          <w:color w:val="000000"/>
          <w:szCs w:val="20"/>
        </w:rPr>
        <w:t xml:space="preserve"> Bolnikom s </w:t>
      </w:r>
      <w:proofErr w:type="spellStart"/>
      <w:r w:rsidRPr="005E4BEA">
        <w:rPr>
          <w:rFonts w:cs="Arial"/>
          <w:color w:val="000000"/>
          <w:szCs w:val="20"/>
        </w:rPr>
        <w:t>polifarmakoterapijo</w:t>
      </w:r>
      <w:proofErr w:type="spellEnd"/>
      <w:r w:rsidRPr="005E4BEA">
        <w:rPr>
          <w:rFonts w:cs="Arial"/>
          <w:color w:val="000000"/>
          <w:szCs w:val="20"/>
        </w:rPr>
        <w:t xml:space="preserve"> in bolnikom s hudo </w:t>
      </w:r>
      <w:proofErr w:type="spellStart"/>
      <w:r w:rsidRPr="005E4BEA">
        <w:rPr>
          <w:rFonts w:cs="Arial"/>
          <w:color w:val="000000"/>
          <w:szCs w:val="20"/>
        </w:rPr>
        <w:t>polifarmakoterapijo</w:t>
      </w:r>
      <w:proofErr w:type="spellEnd"/>
      <w:r w:rsidRPr="005E4BEA">
        <w:rPr>
          <w:rFonts w:cs="Arial"/>
          <w:color w:val="000000"/>
          <w:szCs w:val="20"/>
        </w:rPr>
        <w:t xml:space="preserve"> pripada storitev pregled uporabe zdravil (PUZ). Storitev opravi magister farmacije bolnikom, za katere oceni, da so težave lahko povezane z uporabo zdravil. Na storitve lahko bolnika, za katerega oceni, da so težave lahko povezane z uporabo zdravil, napoti tudi izbrani osebni zdravnik.</w:t>
      </w:r>
    </w:p>
    <w:p w14:paraId="3873D636" w14:textId="77777777" w:rsidR="00FE461F" w:rsidRPr="005E4BEA" w:rsidRDefault="00FE461F" w:rsidP="00FE461F">
      <w:pPr>
        <w:widowControl w:val="0"/>
        <w:suppressAutoHyphens/>
        <w:autoSpaceDE w:val="0"/>
        <w:autoSpaceDN w:val="0"/>
        <w:adjustRightInd w:val="0"/>
        <w:spacing w:line="240" w:lineRule="atLeast"/>
        <w:jc w:val="both"/>
        <w:rPr>
          <w:rFonts w:cs="Arial"/>
          <w:i/>
          <w:iCs/>
          <w:szCs w:val="20"/>
          <w:lang w:eastAsia="sl-SI"/>
        </w:rPr>
      </w:pPr>
    </w:p>
    <w:p w14:paraId="4EED984E" w14:textId="77777777" w:rsidR="00FE461F" w:rsidRPr="005E4BEA" w:rsidRDefault="00FE461F" w:rsidP="00FE461F">
      <w:pPr>
        <w:widowControl w:val="0"/>
        <w:spacing w:line="240" w:lineRule="auto"/>
        <w:jc w:val="both"/>
        <w:rPr>
          <w:rFonts w:cs="Arial"/>
          <w:color w:val="000000"/>
          <w:szCs w:val="20"/>
          <w:lang w:eastAsia="sl-SI"/>
        </w:rPr>
      </w:pPr>
      <w:r w:rsidRPr="005E4BEA">
        <w:rPr>
          <w:rFonts w:cs="Arial"/>
          <w:color w:val="000000"/>
          <w:szCs w:val="20"/>
        </w:rPr>
        <w:t>(6) Storitev Pregled uporabe zdravil lahko izvajajo magistri farmacije, s pridobljeno kompetenco za izvajanje PUZ. Seznam oseb, ki lahko opravljajo storitev PUZ, pripravi in redno posodablja Lekarniška zbornica Slovenije, Zavod pa ga objavi na svojih spletnih straneh.</w:t>
      </w:r>
    </w:p>
    <w:p w14:paraId="0BF8B524" w14:textId="77777777" w:rsidR="00FE461F" w:rsidRPr="005E4BEA" w:rsidRDefault="00FE461F" w:rsidP="00FE461F">
      <w:pPr>
        <w:spacing w:before="120" w:after="60" w:line="240" w:lineRule="auto"/>
        <w:jc w:val="both"/>
        <w:rPr>
          <w:rFonts w:eastAsia="Calibri" w:cs="Arial"/>
          <w:b/>
          <w:szCs w:val="20"/>
        </w:rPr>
      </w:pPr>
    </w:p>
    <w:p w14:paraId="5F49E085" w14:textId="77777777" w:rsidR="00FE461F" w:rsidRPr="005E4BEA" w:rsidRDefault="00FE461F" w:rsidP="00FE461F">
      <w:pPr>
        <w:spacing w:before="120" w:after="60" w:line="240" w:lineRule="auto"/>
        <w:jc w:val="both"/>
        <w:rPr>
          <w:rFonts w:eastAsia="Calibri" w:cs="Arial"/>
          <w:b/>
          <w:szCs w:val="20"/>
        </w:rPr>
      </w:pPr>
      <w:r w:rsidRPr="005E4BEA">
        <w:rPr>
          <w:rFonts w:eastAsia="Calibri" w:cs="Arial"/>
          <w:b/>
          <w:szCs w:val="20"/>
        </w:rPr>
        <w:t>Doda se četrti (4) odstavek v 8. členu Priloge LEK, tako da se glasi:</w:t>
      </w:r>
    </w:p>
    <w:p w14:paraId="3037423B" w14:textId="77777777" w:rsidR="00FE461F" w:rsidRPr="005E4BEA" w:rsidRDefault="00FE461F" w:rsidP="00FE461F">
      <w:pPr>
        <w:widowControl w:val="0"/>
        <w:suppressAutoHyphens/>
        <w:autoSpaceDE w:val="0"/>
        <w:autoSpaceDN w:val="0"/>
        <w:adjustRightInd w:val="0"/>
        <w:spacing w:line="240" w:lineRule="atLeast"/>
        <w:jc w:val="both"/>
        <w:rPr>
          <w:rFonts w:cs="Arial"/>
          <w:color w:val="000000"/>
          <w:szCs w:val="20"/>
        </w:rPr>
      </w:pPr>
      <w:r w:rsidRPr="005E4BEA">
        <w:rPr>
          <w:rFonts w:cs="Arial"/>
          <w:color w:val="000000"/>
          <w:szCs w:val="20"/>
        </w:rPr>
        <w:t xml:space="preserve">(4) Izvajanje pregleda uporabe zdravil v lekarnah na primarni ravni, bo zavod plačal na podlagi storitev, opredeljenih v Seznamu storitev 15.24. </w:t>
      </w:r>
    </w:p>
    <w:p w14:paraId="52F4AB32" w14:textId="77777777" w:rsidR="00FE461F" w:rsidRPr="005E4BEA" w:rsidRDefault="00FE461F" w:rsidP="00FE461F">
      <w:pPr>
        <w:spacing w:line="240" w:lineRule="auto"/>
        <w:jc w:val="both"/>
        <w:rPr>
          <w:rFonts w:eastAsia="Calibri" w:cs="Arial"/>
          <w:b/>
          <w:i/>
          <w:color w:val="808080"/>
          <w:szCs w:val="20"/>
          <w:u w:val="single"/>
        </w:rPr>
      </w:pPr>
    </w:p>
    <w:p w14:paraId="0F588E3C" w14:textId="77777777" w:rsidR="00FE461F" w:rsidRPr="005E4BEA" w:rsidRDefault="00FE461F" w:rsidP="00FE461F">
      <w:pPr>
        <w:spacing w:line="240" w:lineRule="auto"/>
        <w:jc w:val="both"/>
        <w:rPr>
          <w:rFonts w:eastAsia="Calibri" w:cs="Arial"/>
          <w:b/>
          <w:i/>
          <w:color w:val="808080"/>
          <w:szCs w:val="20"/>
          <w:u w:val="single"/>
        </w:rPr>
      </w:pPr>
      <w:r w:rsidRPr="005E4BEA">
        <w:rPr>
          <w:rFonts w:eastAsia="Calibri" w:cs="Arial"/>
          <w:b/>
          <w:i/>
          <w:color w:val="808080"/>
          <w:szCs w:val="20"/>
          <w:u w:val="single"/>
        </w:rPr>
        <w:t>Obrazložitev:</w:t>
      </w:r>
    </w:p>
    <w:p w14:paraId="53554AF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lastRenderedPageBreak/>
        <w:t xml:space="preserve">V 6. členu Zakona o lekarniški dejavnosti (Uradni list RS, št. 85/2016 in 77/2017, v nadaljevanju: ZLD-1) je opredeljen obseg lekarniške dejavnosti, ki med drugim opredeljuje tudi farmacevtsko obravnavo pacienta. V nadaljevanju člena je podrobneje opredeljena farmacevtska obravnava pacienta, ki med drugim vključuje pregled uporabe zdravil in </w:t>
      </w:r>
      <w:proofErr w:type="spellStart"/>
      <w:r w:rsidRPr="005E4BEA">
        <w:rPr>
          <w:rFonts w:eastAsia="Calibri" w:cs="Arial"/>
          <w:i/>
          <w:color w:val="808080"/>
          <w:szCs w:val="20"/>
        </w:rPr>
        <w:t>farmakoterapijski</w:t>
      </w:r>
      <w:proofErr w:type="spellEnd"/>
      <w:r w:rsidRPr="005E4BEA">
        <w:rPr>
          <w:rFonts w:eastAsia="Calibri" w:cs="Arial"/>
          <w:i/>
          <w:color w:val="808080"/>
          <w:szCs w:val="20"/>
        </w:rPr>
        <w:t xml:space="preserve"> pregled. Za leto 2023 LZS predlaga postopno uvedbo storitve pregled uporabe zdravil (PUZ), na omejenem številu pacientov. Storitev bi se letno evalviralo in postopoma širilo obseg upravičencev storitve. </w:t>
      </w:r>
    </w:p>
    <w:p w14:paraId="0A28F3C5" w14:textId="77777777" w:rsidR="00FE461F" w:rsidRPr="005E4BEA" w:rsidRDefault="00FE461F" w:rsidP="00FE461F">
      <w:pPr>
        <w:spacing w:line="240" w:lineRule="auto"/>
        <w:jc w:val="both"/>
        <w:rPr>
          <w:rFonts w:eastAsia="Calibri" w:cs="Arial"/>
          <w:bCs/>
          <w:i/>
          <w:color w:val="808080"/>
          <w:szCs w:val="20"/>
        </w:rPr>
      </w:pPr>
    </w:p>
    <w:p w14:paraId="601C757A" w14:textId="77777777" w:rsidR="00FE461F" w:rsidRPr="005E4BEA" w:rsidRDefault="00FE461F" w:rsidP="00FE461F">
      <w:pPr>
        <w:spacing w:line="240" w:lineRule="auto"/>
        <w:jc w:val="both"/>
        <w:rPr>
          <w:rFonts w:eastAsia="Calibri" w:cs="Arial"/>
          <w:b/>
          <w:i/>
          <w:color w:val="808080"/>
          <w:szCs w:val="20"/>
        </w:rPr>
      </w:pPr>
      <w:r w:rsidRPr="005E4BEA">
        <w:rPr>
          <w:rFonts w:eastAsia="Calibri" w:cs="Arial"/>
          <w:b/>
          <w:i/>
          <w:color w:val="808080"/>
          <w:szCs w:val="20"/>
        </w:rPr>
        <w:t>DEFINICIJA</w:t>
      </w:r>
    </w:p>
    <w:p w14:paraId="3ED3A9E7"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t>Pregled uporabe zdravil je storitev optimizacije in racionalizacije uporabe zdravil posameznega pacienta s ciljem izboljšati oziroma vzdrževati pacientovo z zdravjem povezano kakovost življenja, ki jo na podlagi informacij o uporabljenih zdravilih in informacij, ki jih poda pacient oziroma njegov skrbnik, opravi magister farmacije z ustreznimi kompetencami.</w:t>
      </w:r>
    </w:p>
    <w:p w14:paraId="5929E1ED"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t xml:space="preserve">Glavni poudarek pri storitvi pregled uporabe zdravil je </w:t>
      </w:r>
      <w:r w:rsidRPr="005E4BEA">
        <w:rPr>
          <w:rFonts w:eastAsia="Calibri" w:cs="Arial"/>
          <w:b/>
          <w:i/>
          <w:color w:val="808080"/>
          <w:szCs w:val="20"/>
        </w:rPr>
        <w:t>pregled zdravljenja z zdravili s stališča pacientovega razumevanja zdravljenja z zdravili in njihove uporabe</w:t>
      </w:r>
      <w:r w:rsidRPr="005E4BEA">
        <w:rPr>
          <w:rFonts w:eastAsia="Calibri" w:cs="Arial"/>
          <w:bCs/>
          <w:i/>
          <w:color w:val="808080"/>
          <w:szCs w:val="20"/>
        </w:rPr>
        <w:t>.</w:t>
      </w:r>
    </w:p>
    <w:p w14:paraId="36CD273A" w14:textId="77777777" w:rsidR="00FE461F" w:rsidRPr="005E4BEA" w:rsidRDefault="00FE461F" w:rsidP="00FE461F">
      <w:pPr>
        <w:spacing w:line="240" w:lineRule="auto"/>
        <w:jc w:val="both"/>
        <w:rPr>
          <w:rFonts w:eastAsia="Calibri" w:cs="Arial"/>
          <w:b/>
          <w:i/>
          <w:color w:val="808080"/>
          <w:szCs w:val="20"/>
          <w:u w:val="single"/>
        </w:rPr>
      </w:pPr>
    </w:p>
    <w:p w14:paraId="7766A5A6" w14:textId="77777777" w:rsidR="00FE461F" w:rsidRPr="005E4BEA" w:rsidRDefault="00FE461F" w:rsidP="00FE461F">
      <w:pPr>
        <w:spacing w:line="240" w:lineRule="auto"/>
        <w:jc w:val="both"/>
        <w:rPr>
          <w:rFonts w:eastAsia="Calibri" w:cs="Arial"/>
          <w:b/>
          <w:i/>
          <w:color w:val="808080"/>
          <w:szCs w:val="20"/>
        </w:rPr>
      </w:pPr>
      <w:r w:rsidRPr="005E4BEA">
        <w:rPr>
          <w:rFonts w:eastAsia="Calibri" w:cs="Arial"/>
          <w:b/>
          <w:i/>
          <w:color w:val="808080"/>
          <w:szCs w:val="20"/>
        </w:rPr>
        <w:t>Cilji:</w:t>
      </w:r>
    </w:p>
    <w:p w14:paraId="37EDB962" w14:textId="77777777" w:rsidR="00FE461F" w:rsidRPr="005E4BEA" w:rsidRDefault="00FE461F" w:rsidP="00F356C9">
      <w:pPr>
        <w:numPr>
          <w:ilvl w:val="0"/>
          <w:numId w:val="58"/>
        </w:numPr>
        <w:spacing w:line="240" w:lineRule="auto"/>
        <w:jc w:val="both"/>
        <w:rPr>
          <w:rFonts w:eastAsia="Calibri" w:cs="Arial"/>
          <w:bCs/>
          <w:i/>
          <w:color w:val="808080"/>
          <w:szCs w:val="20"/>
        </w:rPr>
      </w:pPr>
      <w:r w:rsidRPr="005E4BEA">
        <w:rPr>
          <w:rFonts w:eastAsia="Calibri" w:cs="Arial"/>
          <w:bCs/>
          <w:i/>
          <w:color w:val="808080"/>
          <w:szCs w:val="20"/>
        </w:rPr>
        <w:t xml:space="preserve">izboljšati pacientovo seznanjenost z zdravili; </w:t>
      </w:r>
    </w:p>
    <w:p w14:paraId="35EDA39E" w14:textId="77777777" w:rsidR="00FE461F" w:rsidRPr="005E4BEA" w:rsidRDefault="00FE461F" w:rsidP="00F356C9">
      <w:pPr>
        <w:numPr>
          <w:ilvl w:val="0"/>
          <w:numId w:val="58"/>
        </w:numPr>
        <w:spacing w:line="240" w:lineRule="auto"/>
        <w:jc w:val="both"/>
        <w:rPr>
          <w:rFonts w:eastAsia="Calibri" w:cs="Arial"/>
          <w:bCs/>
          <w:i/>
          <w:color w:val="808080"/>
          <w:szCs w:val="20"/>
        </w:rPr>
      </w:pPr>
      <w:r w:rsidRPr="005E4BEA">
        <w:rPr>
          <w:rFonts w:eastAsia="Calibri" w:cs="Arial"/>
          <w:bCs/>
          <w:i/>
          <w:color w:val="808080"/>
          <w:szCs w:val="20"/>
        </w:rPr>
        <w:t>izboljšati način uporabe zdravil;</w:t>
      </w:r>
    </w:p>
    <w:p w14:paraId="78AAB505" w14:textId="77777777" w:rsidR="00FE461F" w:rsidRPr="005E4BEA" w:rsidRDefault="00FE461F" w:rsidP="00F356C9">
      <w:pPr>
        <w:numPr>
          <w:ilvl w:val="0"/>
          <w:numId w:val="58"/>
        </w:numPr>
        <w:spacing w:line="240" w:lineRule="auto"/>
        <w:jc w:val="both"/>
        <w:rPr>
          <w:rFonts w:eastAsia="Calibri" w:cs="Arial"/>
          <w:bCs/>
          <w:i/>
          <w:color w:val="808080"/>
          <w:szCs w:val="20"/>
        </w:rPr>
      </w:pPr>
      <w:r w:rsidRPr="005E4BEA">
        <w:rPr>
          <w:rFonts w:eastAsia="Calibri" w:cs="Arial"/>
          <w:bCs/>
          <w:i/>
          <w:color w:val="808080"/>
          <w:szCs w:val="20"/>
        </w:rPr>
        <w:t xml:space="preserve">izboljšati sodelovanje pri zdravljenju z zdravili; </w:t>
      </w:r>
    </w:p>
    <w:p w14:paraId="47EF6BBD" w14:textId="77777777" w:rsidR="00FE461F" w:rsidRPr="005E4BEA" w:rsidRDefault="00FE461F" w:rsidP="00F356C9">
      <w:pPr>
        <w:numPr>
          <w:ilvl w:val="0"/>
          <w:numId w:val="58"/>
        </w:numPr>
        <w:spacing w:line="240" w:lineRule="auto"/>
        <w:jc w:val="both"/>
        <w:rPr>
          <w:rFonts w:eastAsia="Calibri" w:cs="Arial"/>
          <w:bCs/>
          <w:i/>
          <w:color w:val="808080"/>
          <w:szCs w:val="20"/>
        </w:rPr>
      </w:pPr>
      <w:r w:rsidRPr="005E4BEA">
        <w:rPr>
          <w:rFonts w:eastAsia="Calibri" w:cs="Arial"/>
          <w:bCs/>
          <w:i/>
          <w:color w:val="808080"/>
          <w:szCs w:val="20"/>
        </w:rPr>
        <w:t>odpraviti morebitne težave pri zdravljenju z zdravili.</w:t>
      </w:r>
    </w:p>
    <w:p w14:paraId="4705134B"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Posredno se z uresničevanjem navedenih ciljev pripomore k izboljšanju kliničnih in ekonomskih </w:t>
      </w:r>
      <w:proofErr w:type="spellStart"/>
      <w:r w:rsidRPr="005E4BEA">
        <w:rPr>
          <w:rFonts w:eastAsia="Calibri" w:cs="Arial"/>
          <w:i/>
          <w:color w:val="808080"/>
          <w:szCs w:val="20"/>
        </w:rPr>
        <w:t>izidovzdravljenja</w:t>
      </w:r>
      <w:proofErr w:type="spellEnd"/>
      <w:r w:rsidRPr="005E4BEA">
        <w:rPr>
          <w:rFonts w:eastAsia="Calibri" w:cs="Arial"/>
          <w:i/>
          <w:color w:val="808080"/>
          <w:szCs w:val="20"/>
        </w:rPr>
        <w:t>, zmanjšanju obremenitve zdravstvenega sistema in zmanjšanju odpadnih zdravil.</w:t>
      </w:r>
    </w:p>
    <w:p w14:paraId="28C1F1B9" w14:textId="77777777" w:rsidR="00FE461F" w:rsidRPr="005E4BEA" w:rsidRDefault="00FE461F" w:rsidP="00FE461F">
      <w:pPr>
        <w:spacing w:line="240" w:lineRule="auto"/>
        <w:jc w:val="both"/>
        <w:rPr>
          <w:rFonts w:eastAsia="Calibri" w:cs="Arial"/>
          <w:i/>
          <w:iCs/>
          <w:color w:val="808080"/>
          <w:szCs w:val="20"/>
        </w:rPr>
      </w:pPr>
      <w:r w:rsidRPr="005E4BEA">
        <w:rPr>
          <w:rFonts w:eastAsia="Calibri" w:cs="Arial"/>
          <w:i/>
          <w:iCs/>
          <w:color w:val="808080"/>
          <w:szCs w:val="20"/>
        </w:rPr>
        <w:t>V pomoč pri zagotavljanju ciljev je osebna kartica zdravil (OKZ), ki jo prejme pacient po opravljeni storitvi.</w:t>
      </w:r>
    </w:p>
    <w:p w14:paraId="33631901" w14:textId="77777777" w:rsidR="00FE461F" w:rsidRPr="005E4BEA" w:rsidRDefault="00FE461F" w:rsidP="00FE461F">
      <w:pPr>
        <w:spacing w:line="240" w:lineRule="auto"/>
        <w:jc w:val="both"/>
        <w:rPr>
          <w:rFonts w:eastAsia="Calibri" w:cs="Arial"/>
          <w:bCs/>
          <w:i/>
          <w:color w:val="808080"/>
          <w:szCs w:val="20"/>
        </w:rPr>
      </w:pPr>
    </w:p>
    <w:p w14:paraId="7BC30A2F" w14:textId="77777777" w:rsidR="00FE461F" w:rsidRPr="005E4BEA" w:rsidRDefault="00FE461F" w:rsidP="00FE461F">
      <w:pPr>
        <w:spacing w:line="240" w:lineRule="auto"/>
        <w:jc w:val="both"/>
        <w:rPr>
          <w:rFonts w:eastAsia="Calibri" w:cs="Arial"/>
          <w:b/>
          <w:i/>
          <w:color w:val="808080"/>
          <w:szCs w:val="20"/>
        </w:rPr>
      </w:pPr>
      <w:proofErr w:type="spellStart"/>
      <w:r w:rsidRPr="005E4BEA">
        <w:rPr>
          <w:rFonts w:eastAsia="Calibri" w:cs="Arial"/>
          <w:b/>
          <w:i/>
          <w:color w:val="808080"/>
          <w:szCs w:val="20"/>
        </w:rPr>
        <w:t>Polifarmakoterapija</w:t>
      </w:r>
      <w:proofErr w:type="spellEnd"/>
      <w:r w:rsidRPr="005E4BEA">
        <w:rPr>
          <w:rFonts w:eastAsia="Calibri" w:cs="Arial"/>
          <w:b/>
          <w:i/>
          <w:color w:val="808080"/>
          <w:szCs w:val="20"/>
        </w:rPr>
        <w:t xml:space="preserve"> (</w:t>
      </w:r>
      <w:r w:rsidRPr="005E4BEA">
        <w:rPr>
          <w:rFonts w:eastAsia="Calibri" w:cs="Arial"/>
          <w:bCs/>
          <w:i/>
          <w:color w:val="808080"/>
          <w:szCs w:val="20"/>
        </w:rPr>
        <w:t>vir: Kazalniki kakovosti predpisovanja zdravil v splošni / družinski medicini)</w:t>
      </w:r>
    </w:p>
    <w:p w14:paraId="046AB094" w14:textId="77777777" w:rsidR="00FE461F" w:rsidRPr="005E4BEA" w:rsidRDefault="00FE461F" w:rsidP="00FE461F">
      <w:pPr>
        <w:spacing w:line="240" w:lineRule="auto"/>
        <w:jc w:val="both"/>
        <w:rPr>
          <w:rFonts w:eastAsia="Calibri" w:cs="Arial"/>
          <w:i/>
          <w:color w:val="808080"/>
          <w:szCs w:val="20"/>
        </w:rPr>
      </w:pPr>
      <w:proofErr w:type="spellStart"/>
      <w:r w:rsidRPr="005E4BEA">
        <w:rPr>
          <w:rFonts w:eastAsia="Calibri" w:cs="Arial"/>
          <w:i/>
          <w:color w:val="808080"/>
          <w:szCs w:val="20"/>
        </w:rPr>
        <w:t>Polifarmakoterapija</w:t>
      </w:r>
      <w:proofErr w:type="spellEnd"/>
      <w:r w:rsidRPr="005E4BEA">
        <w:rPr>
          <w:rFonts w:eastAsia="Calibri" w:cs="Arial"/>
          <w:i/>
          <w:color w:val="808080"/>
          <w:szCs w:val="20"/>
        </w:rPr>
        <w:t xml:space="preserve"> (angl. </w:t>
      </w:r>
      <w:proofErr w:type="spellStart"/>
      <w:r w:rsidRPr="005E4BEA">
        <w:rPr>
          <w:rFonts w:eastAsia="Calibri" w:cs="Arial"/>
          <w:i/>
          <w:color w:val="808080"/>
          <w:szCs w:val="20"/>
        </w:rPr>
        <w:t>polypharmacy</w:t>
      </w:r>
      <w:proofErr w:type="spellEnd"/>
      <w:r w:rsidRPr="005E4BEA">
        <w:rPr>
          <w:rFonts w:eastAsia="Calibri" w:cs="Arial"/>
          <w:i/>
          <w:color w:val="808080"/>
          <w:szCs w:val="20"/>
        </w:rPr>
        <w:t xml:space="preserve">) je običajno definirana kot hkratno jemanje 5 in več zdravil,  jemanje 10 in več zdravil pa kot huda </w:t>
      </w:r>
      <w:proofErr w:type="spellStart"/>
      <w:r w:rsidRPr="005E4BEA">
        <w:rPr>
          <w:rFonts w:eastAsia="Calibri" w:cs="Arial"/>
          <w:i/>
          <w:color w:val="808080"/>
          <w:szCs w:val="20"/>
        </w:rPr>
        <w:t>polifarmakoterapija</w:t>
      </w:r>
      <w:proofErr w:type="spellEnd"/>
      <w:r w:rsidRPr="005E4BEA">
        <w:rPr>
          <w:rFonts w:eastAsia="Calibri" w:cs="Arial"/>
          <w:i/>
          <w:color w:val="808080"/>
          <w:szCs w:val="20"/>
        </w:rPr>
        <w:t xml:space="preserve"> (angl. </w:t>
      </w:r>
      <w:proofErr w:type="spellStart"/>
      <w:r w:rsidRPr="005E4BEA">
        <w:rPr>
          <w:rFonts w:eastAsia="Calibri" w:cs="Arial"/>
          <w:i/>
          <w:color w:val="808080"/>
          <w:szCs w:val="20"/>
        </w:rPr>
        <w:t>excessive</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polypharmacy</w:t>
      </w:r>
      <w:proofErr w:type="spellEnd"/>
      <w:r w:rsidRPr="005E4BEA">
        <w:rPr>
          <w:rFonts w:eastAsia="Calibri" w:cs="Arial"/>
          <w:i/>
          <w:color w:val="808080"/>
          <w:szCs w:val="20"/>
        </w:rPr>
        <w:t xml:space="preserve">). Večje število zdravil kaže na to, da ima bolnik več kroničnih bolezni. Več zdravil povečuje tveganje za interakcije in neželene učinke.. Tveganje za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xml:space="preserve"> se povečuje z vključitvijo v domsko oskrbo, z več predpisovalci zdravil in krhkostjo bolnikov. Nobena država ne vodi podatkov o prevalenci </w:t>
      </w:r>
      <w:proofErr w:type="spellStart"/>
      <w:r w:rsidRPr="005E4BEA">
        <w:rPr>
          <w:rFonts w:eastAsia="Calibri" w:cs="Arial"/>
          <w:i/>
          <w:color w:val="808080"/>
          <w:szCs w:val="20"/>
        </w:rPr>
        <w:t>polifarmakoterapije</w:t>
      </w:r>
      <w:proofErr w:type="spellEnd"/>
      <w:r w:rsidRPr="005E4BEA">
        <w:rPr>
          <w:rFonts w:eastAsia="Calibri" w:cs="Arial"/>
          <w:i/>
          <w:color w:val="808080"/>
          <w:szCs w:val="20"/>
        </w:rPr>
        <w:t xml:space="preserve"> na spletu, redke objavljene študije so predvsem na starejših, ki prejemajo največ zdravil. </w:t>
      </w:r>
      <w:proofErr w:type="spellStart"/>
      <w:r w:rsidRPr="005E4BEA">
        <w:rPr>
          <w:rFonts w:eastAsia="Calibri" w:cs="Arial"/>
          <w:i/>
          <w:color w:val="808080"/>
          <w:szCs w:val="20"/>
        </w:rPr>
        <w:t>Polifarmakoterapija</w:t>
      </w:r>
      <w:proofErr w:type="spellEnd"/>
      <w:r w:rsidRPr="005E4BEA">
        <w:rPr>
          <w:rFonts w:eastAsia="Calibri" w:cs="Arial"/>
          <w:i/>
          <w:color w:val="808080"/>
          <w:szCs w:val="20"/>
        </w:rPr>
        <w:t xml:space="preserve"> se pojavlja v povprečju pri 40 – 50 % starejše populacije. Mednarodna študija, ki je preučevala prejemanje zdravil v domovih starejših občanov (DSO), je ugotovila, da ima 49,7 % varovancev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xml:space="preserve"> in 24,3 % hudo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xml:space="preserve">. V letu 2018 je imelo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xml:space="preserve"> 13,1 % slovenske populacije in hudo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xml:space="preserve"> 3,0 %).</w:t>
      </w:r>
    </w:p>
    <w:p w14:paraId="0C04C8DA" w14:textId="77777777" w:rsidR="00FE461F" w:rsidRPr="005E4BEA" w:rsidRDefault="00FE461F" w:rsidP="00FE461F">
      <w:pPr>
        <w:spacing w:line="240" w:lineRule="auto"/>
        <w:jc w:val="both"/>
        <w:rPr>
          <w:rFonts w:eastAsia="Calibri" w:cs="Arial"/>
          <w:bCs/>
          <w:i/>
          <w:color w:val="808080"/>
          <w:szCs w:val="20"/>
        </w:rPr>
      </w:pPr>
    </w:p>
    <w:p w14:paraId="2E9A17AE"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i/>
          <w:noProof/>
          <w:color w:val="808080"/>
          <w:szCs w:val="20"/>
        </w:rPr>
        <w:drawing>
          <wp:inline distT="0" distB="0" distL="0" distR="0" wp14:anchorId="19E4CABC" wp14:editId="79424152">
            <wp:extent cx="5724525" cy="1228725"/>
            <wp:effectExtent l="0" t="0" r="9525" b="9525"/>
            <wp:docPr id="45" name="Slika 45"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miza&#10;&#10;Opis je samodejno ustvarj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14:paraId="688B48CC"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t xml:space="preserve">Vir: </w:t>
      </w:r>
      <w:hyperlink r:id="rId25" w:history="1">
        <w:r w:rsidRPr="005E4BEA">
          <w:rPr>
            <w:rFonts w:eastAsia="Calibri" w:cs="Arial"/>
            <w:bCs/>
            <w:i/>
            <w:color w:val="0000FF"/>
            <w:szCs w:val="20"/>
            <w:u w:val="single"/>
          </w:rPr>
          <w:t>Kazalniki kakovosti predpisovanja zdravil v splošni/družinski medicini</w:t>
        </w:r>
      </w:hyperlink>
      <w:r w:rsidRPr="005E4BEA">
        <w:rPr>
          <w:rFonts w:eastAsia="Calibri" w:cs="Arial"/>
          <w:bCs/>
          <w:i/>
          <w:color w:val="808080"/>
          <w:szCs w:val="20"/>
        </w:rPr>
        <w:t>, ZZZS.</w:t>
      </w:r>
    </w:p>
    <w:p w14:paraId="4274AB1A" w14:textId="77777777" w:rsidR="00FE461F" w:rsidRPr="005E4BEA" w:rsidRDefault="00FE461F" w:rsidP="00FE461F">
      <w:pPr>
        <w:spacing w:line="240" w:lineRule="auto"/>
        <w:jc w:val="both"/>
        <w:rPr>
          <w:rFonts w:eastAsia="Calibri" w:cs="Arial"/>
          <w:bCs/>
          <w:i/>
          <w:color w:val="808080"/>
          <w:szCs w:val="20"/>
        </w:rPr>
      </w:pPr>
    </w:p>
    <w:p w14:paraId="10D4DAFE"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Nosilci storitve PUZ na primarni ravni:</w:t>
      </w:r>
    </w:p>
    <w:p w14:paraId="50E1EDE2" w14:textId="77777777" w:rsidR="00FE461F" w:rsidRPr="005E4BEA" w:rsidRDefault="00FE461F" w:rsidP="00F356C9">
      <w:pPr>
        <w:numPr>
          <w:ilvl w:val="0"/>
          <w:numId w:val="59"/>
        </w:numPr>
        <w:spacing w:line="240" w:lineRule="auto"/>
        <w:jc w:val="both"/>
        <w:rPr>
          <w:rFonts w:eastAsia="Calibri" w:cs="Arial"/>
          <w:i/>
          <w:color w:val="808080"/>
          <w:szCs w:val="20"/>
        </w:rPr>
      </w:pPr>
      <w:r w:rsidRPr="005E4BEA">
        <w:rPr>
          <w:rFonts w:eastAsia="Calibri" w:cs="Arial"/>
          <w:bCs/>
          <w:i/>
          <w:color w:val="808080"/>
          <w:szCs w:val="20"/>
        </w:rPr>
        <w:t xml:space="preserve">Storitev PUZ izvaja </w:t>
      </w:r>
      <w:r w:rsidRPr="005E4BEA">
        <w:rPr>
          <w:rFonts w:eastAsia="Calibri" w:cs="Arial"/>
          <w:b/>
          <w:i/>
          <w:color w:val="808080"/>
          <w:szCs w:val="20"/>
        </w:rPr>
        <w:t>magister farmacije z</w:t>
      </w:r>
      <w:r w:rsidRPr="005E4BEA">
        <w:rPr>
          <w:rFonts w:eastAsia="Calibri" w:cs="Arial"/>
          <w:bCs/>
          <w:i/>
          <w:color w:val="808080"/>
          <w:szCs w:val="20"/>
        </w:rPr>
        <w:t xml:space="preserve"> </w:t>
      </w:r>
      <w:r w:rsidRPr="005E4BEA">
        <w:rPr>
          <w:rFonts w:eastAsia="Calibri" w:cs="Arial"/>
          <w:b/>
          <w:i/>
          <w:color w:val="808080"/>
          <w:szCs w:val="20"/>
        </w:rPr>
        <w:t>licenco</w:t>
      </w:r>
      <w:r w:rsidRPr="005E4BEA">
        <w:rPr>
          <w:rFonts w:eastAsia="Calibri" w:cs="Arial"/>
          <w:bCs/>
          <w:i/>
          <w:color w:val="808080"/>
          <w:szCs w:val="20"/>
        </w:rPr>
        <w:t xml:space="preserve"> in dokazuje za to potrebne specifične kompetence (trenutno ima 311 magistrov farmacije kompetenco za izvajanje storitve PUZ); </w:t>
      </w:r>
    </w:p>
    <w:p w14:paraId="066FC601" w14:textId="77777777" w:rsidR="00FE461F" w:rsidRPr="005E4BEA" w:rsidRDefault="00FE461F" w:rsidP="00F356C9">
      <w:pPr>
        <w:numPr>
          <w:ilvl w:val="0"/>
          <w:numId w:val="59"/>
        </w:numPr>
        <w:spacing w:line="240" w:lineRule="auto"/>
        <w:jc w:val="both"/>
        <w:rPr>
          <w:rFonts w:eastAsia="Calibri" w:cs="Arial"/>
          <w:i/>
          <w:color w:val="808080"/>
          <w:szCs w:val="20"/>
        </w:rPr>
      </w:pPr>
      <w:r w:rsidRPr="005E4BEA">
        <w:rPr>
          <w:rFonts w:eastAsia="Calibri" w:cs="Arial"/>
          <w:bCs/>
          <w:i/>
          <w:color w:val="808080"/>
          <w:szCs w:val="20"/>
        </w:rPr>
        <w:t>Korake v fazi 1 (prepoznava primernega pacienta v skladu z vstopnimi kriteriji, povabilo k sodelovanju, pridobitev osnovnih</w:t>
      </w:r>
      <w:r w:rsidRPr="005E4BEA">
        <w:rPr>
          <w:rFonts w:eastAsia="Calibri" w:cs="Arial"/>
          <w:bCs/>
          <w:i/>
          <w:color w:val="808080"/>
          <w:szCs w:val="20"/>
        </w:rPr>
        <w:br/>
        <w:t>podatkov, dogovor o terminu storitve PUZ) lahko izvede vsak magister farmacije. Glede na</w:t>
      </w:r>
      <w:r w:rsidRPr="005E4BEA">
        <w:rPr>
          <w:rFonts w:eastAsia="Calibri" w:cs="Arial"/>
          <w:bCs/>
          <w:i/>
          <w:color w:val="808080"/>
          <w:szCs w:val="20"/>
        </w:rPr>
        <w:br/>
        <w:t xml:space="preserve">dogovorjen način izvajanja storitve PUZ v lokalnem okolju jo lahko izvedejo tudi drugi </w:t>
      </w:r>
      <w:r w:rsidRPr="005E4BEA">
        <w:rPr>
          <w:rFonts w:eastAsia="Calibri" w:cs="Arial"/>
          <w:bCs/>
          <w:i/>
          <w:color w:val="808080"/>
          <w:szCs w:val="20"/>
        </w:rPr>
        <w:lastRenderedPageBreak/>
        <w:t>zdravstveni</w:t>
      </w:r>
      <w:r w:rsidRPr="005E4BEA">
        <w:rPr>
          <w:rFonts w:eastAsia="Calibri" w:cs="Arial"/>
          <w:bCs/>
          <w:i/>
          <w:color w:val="808080"/>
          <w:szCs w:val="20"/>
        </w:rPr>
        <w:br/>
        <w:t xml:space="preserve">delavci in sodelavci; </w:t>
      </w:r>
    </w:p>
    <w:p w14:paraId="090BD21C" w14:textId="77777777" w:rsidR="00FE461F" w:rsidRPr="005E4BEA" w:rsidRDefault="00FE461F" w:rsidP="00F356C9">
      <w:pPr>
        <w:numPr>
          <w:ilvl w:val="0"/>
          <w:numId w:val="59"/>
        </w:numPr>
        <w:spacing w:line="240" w:lineRule="auto"/>
        <w:jc w:val="both"/>
        <w:rPr>
          <w:rFonts w:eastAsia="Calibri" w:cs="Arial"/>
          <w:bCs/>
          <w:i/>
          <w:color w:val="808080"/>
          <w:szCs w:val="20"/>
        </w:rPr>
      </w:pPr>
      <w:r w:rsidRPr="005E4BEA">
        <w:rPr>
          <w:rFonts w:eastAsia="Calibri" w:cs="Arial"/>
          <w:bCs/>
          <w:i/>
          <w:color w:val="808080"/>
          <w:szCs w:val="20"/>
        </w:rPr>
        <w:t>Privolitev pacienta lahko pridobi vsak magister farmacije.</w:t>
      </w:r>
    </w:p>
    <w:p w14:paraId="25882310" w14:textId="77777777" w:rsidR="00FE461F" w:rsidRPr="005E4BEA" w:rsidRDefault="00FE461F" w:rsidP="00FE461F">
      <w:pPr>
        <w:spacing w:line="240" w:lineRule="auto"/>
        <w:jc w:val="both"/>
        <w:rPr>
          <w:rFonts w:eastAsia="Calibri" w:cs="Arial"/>
          <w:b/>
          <w:bCs/>
          <w:i/>
          <w:color w:val="808080"/>
          <w:szCs w:val="20"/>
        </w:rPr>
      </w:pPr>
    </w:p>
    <w:p w14:paraId="72B5DAB3"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Zahteve za prostor:</w:t>
      </w:r>
    </w:p>
    <w:p w14:paraId="45940694"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Storitev pregled uporabe zdravil mora biti izvedena v prostoru, ki zagotavlja zaupnost in ohranitev integritete pacienta. Storitev se izjemoma lahko opravi po telefonu ali drugih sodobnih komunikacijskih poteh. Tudi v tem primeru je potrebno zagotoviti, da komunikacije ne spremlja nihče drug razen izvajalci storitve PUZ in osebe, ki jim pacient to dovoli (skrbniki, svojci, itd.)</w:t>
      </w:r>
    </w:p>
    <w:p w14:paraId="5ACD37DA" w14:textId="77777777" w:rsidR="00FE461F" w:rsidRPr="005E4BEA" w:rsidRDefault="00FE461F" w:rsidP="00FE461F">
      <w:pPr>
        <w:spacing w:line="240" w:lineRule="auto"/>
        <w:jc w:val="both"/>
        <w:rPr>
          <w:rFonts w:eastAsia="Calibri" w:cs="Arial"/>
          <w:b/>
          <w:bCs/>
          <w:i/>
          <w:color w:val="808080"/>
          <w:szCs w:val="20"/>
        </w:rPr>
      </w:pPr>
    </w:p>
    <w:p w14:paraId="0DE4891B"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 xml:space="preserve">Prednostne skupine pacientov: </w:t>
      </w:r>
    </w:p>
    <w:p w14:paraId="136C7B4C" w14:textId="77777777" w:rsidR="00FE461F" w:rsidRPr="005E4BEA" w:rsidRDefault="00FE461F" w:rsidP="00F356C9">
      <w:pPr>
        <w:numPr>
          <w:ilvl w:val="0"/>
          <w:numId w:val="57"/>
        </w:numPr>
        <w:spacing w:line="240" w:lineRule="auto"/>
        <w:jc w:val="both"/>
        <w:rPr>
          <w:rFonts w:cs="Arial"/>
          <w:i/>
          <w:iCs/>
          <w:color w:val="808080"/>
          <w:szCs w:val="20"/>
        </w:rPr>
      </w:pPr>
      <w:r w:rsidRPr="005E4BEA">
        <w:rPr>
          <w:rFonts w:eastAsia="Calibri" w:cs="Arial"/>
          <w:i/>
          <w:color w:val="808080"/>
          <w:szCs w:val="20"/>
        </w:rPr>
        <w:t xml:space="preserve">Pacienti, ki imajo predpisanih 5 ali več zdravil hkrati v časovnem obdobju daljšem od 3 mesecev in sicer za zdravljenje kroničnih nenalezljivih bolezni, s pogostimi hospitalizacijami oz. spremembami v terapiji z zdravili, ali z določenim naborom zdravil (npr. zdravila z visokim tveganjem za neželene dogodke, protivirusnimi zdravili za HIV, HCV, </w:t>
      </w:r>
      <w:proofErr w:type="spellStart"/>
      <w:r w:rsidRPr="005E4BEA">
        <w:rPr>
          <w:rFonts w:eastAsia="Calibri" w:cs="Arial"/>
          <w:i/>
          <w:color w:val="808080"/>
          <w:szCs w:val="20"/>
        </w:rPr>
        <w:t>antituberkulotiki</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antikoagulanti</w:t>
      </w:r>
      <w:proofErr w:type="spellEnd"/>
      <w:r w:rsidRPr="005E4BEA">
        <w:rPr>
          <w:rFonts w:eastAsia="Calibri" w:cs="Arial"/>
          <w:i/>
          <w:color w:val="808080"/>
          <w:szCs w:val="20"/>
        </w:rPr>
        <w:t xml:space="preserve">, zdravili za sladkorno bolezen, analgetično terapijo vključno s </w:t>
      </w:r>
      <w:proofErr w:type="spellStart"/>
      <w:r w:rsidRPr="005E4BEA">
        <w:rPr>
          <w:rFonts w:eastAsia="Calibri" w:cs="Arial"/>
          <w:i/>
          <w:color w:val="808080"/>
          <w:szCs w:val="20"/>
        </w:rPr>
        <w:t>paliativo</w:t>
      </w:r>
      <w:proofErr w:type="spellEnd"/>
      <w:r w:rsidRPr="005E4BEA">
        <w:rPr>
          <w:rFonts w:eastAsia="Calibri" w:cs="Arial"/>
          <w:i/>
          <w:color w:val="808080"/>
          <w:szCs w:val="20"/>
        </w:rPr>
        <w:t xml:space="preserve">, obsežna </w:t>
      </w:r>
      <w:proofErr w:type="spellStart"/>
      <w:r w:rsidRPr="005E4BEA">
        <w:rPr>
          <w:rFonts w:eastAsia="Calibri" w:cs="Arial"/>
          <w:i/>
          <w:color w:val="808080"/>
          <w:szCs w:val="20"/>
        </w:rPr>
        <w:t>psihofarmakološka</w:t>
      </w:r>
      <w:proofErr w:type="spellEnd"/>
      <w:r w:rsidRPr="005E4BEA">
        <w:rPr>
          <w:rFonts w:eastAsia="Calibri" w:cs="Arial"/>
          <w:i/>
          <w:color w:val="808080"/>
          <w:szCs w:val="20"/>
        </w:rPr>
        <w:t xml:space="preserve"> terapija </w:t>
      </w:r>
      <w:proofErr w:type="spellStart"/>
      <w:r w:rsidRPr="005E4BEA">
        <w:rPr>
          <w:rFonts w:eastAsia="Calibri" w:cs="Arial"/>
          <w:i/>
          <w:color w:val="808080"/>
          <w:szCs w:val="20"/>
        </w:rPr>
        <w:t>itd</w:t>
      </w:r>
      <w:proofErr w:type="spellEnd"/>
      <w:r w:rsidRPr="005E4BEA">
        <w:rPr>
          <w:rFonts w:eastAsia="Calibri" w:cs="Arial"/>
          <w:i/>
          <w:color w:val="808080"/>
          <w:szCs w:val="20"/>
        </w:rPr>
        <w:t xml:space="preserve"> ...) VIR: ISMP (https://www.ismp.org/).</w:t>
      </w:r>
    </w:p>
    <w:p w14:paraId="43C2C5B6" w14:textId="77777777" w:rsidR="00FE461F" w:rsidRPr="005E4BEA" w:rsidRDefault="00FE461F" w:rsidP="00F356C9">
      <w:pPr>
        <w:numPr>
          <w:ilvl w:val="0"/>
          <w:numId w:val="57"/>
        </w:numPr>
        <w:spacing w:line="240" w:lineRule="auto"/>
        <w:jc w:val="both"/>
        <w:rPr>
          <w:rFonts w:eastAsia="Calibri" w:cs="Arial"/>
          <w:i/>
          <w:color w:val="808080"/>
          <w:szCs w:val="20"/>
        </w:rPr>
      </w:pPr>
      <w:r w:rsidRPr="005E4BEA">
        <w:rPr>
          <w:rFonts w:eastAsia="Calibri" w:cs="Arial"/>
          <w:i/>
          <w:color w:val="808080"/>
          <w:szCs w:val="20"/>
        </w:rPr>
        <w:t>Pacienti, ki se jim je terapija z zdravili po odpustu iz bolnišnice spremenila (spremembo terapije uvede zdravnik specialist v specialistični ambulant ali specialist družinske medicine) v meri, kjer je potrebna uskladitev celotne terapije z zdravili, z ali brez komunikacije z zdravnikom, ter edukacija pacienta/skrbnika o pravilni rabi zdravil.</w:t>
      </w:r>
    </w:p>
    <w:p w14:paraId="2227AC50" w14:textId="77777777" w:rsidR="00FE461F" w:rsidRPr="005E4BEA" w:rsidRDefault="00FE461F" w:rsidP="00F356C9">
      <w:pPr>
        <w:numPr>
          <w:ilvl w:val="0"/>
          <w:numId w:val="57"/>
        </w:numPr>
        <w:spacing w:line="240" w:lineRule="auto"/>
        <w:jc w:val="both"/>
        <w:rPr>
          <w:rFonts w:eastAsia="Calibri" w:cs="Arial"/>
          <w:i/>
          <w:color w:val="808080"/>
          <w:szCs w:val="20"/>
        </w:rPr>
      </w:pPr>
      <w:r w:rsidRPr="005E4BEA">
        <w:rPr>
          <w:rFonts w:eastAsia="Calibri" w:cs="Arial"/>
          <w:i/>
          <w:color w:val="808080"/>
          <w:szCs w:val="20"/>
        </w:rPr>
        <w:t>Pacienti, ki so bili predčasno odpuščeni iz bolnišnice in imajo pomembne spremembe v terapiji z zdravili, vključno z na novo uvedenimi zdravili in prilagoditvami odmerkov, ki Osebne kartice zdravil (OKZ) nimajo ali spremembe v OKZ še niso zabeležene, in ki zahtevajo uskladitev celotne terapije zdravil, z ali brez komunikacije z zdravnikom, in edukacijo bolnika o pravilni rabi zdravil.</w:t>
      </w:r>
    </w:p>
    <w:p w14:paraId="670A40B1" w14:textId="77777777" w:rsidR="00FE461F" w:rsidRPr="005E4BEA" w:rsidRDefault="00FE461F" w:rsidP="00F356C9">
      <w:pPr>
        <w:numPr>
          <w:ilvl w:val="0"/>
          <w:numId w:val="57"/>
        </w:numPr>
        <w:spacing w:line="240" w:lineRule="auto"/>
        <w:jc w:val="both"/>
        <w:rPr>
          <w:rFonts w:eastAsia="Calibri" w:cs="Arial"/>
          <w:i/>
          <w:color w:val="808080"/>
          <w:szCs w:val="20"/>
        </w:rPr>
      </w:pPr>
      <w:r w:rsidRPr="005E4BEA">
        <w:rPr>
          <w:rFonts w:eastAsia="Calibri" w:cs="Arial"/>
          <w:i/>
          <w:color w:val="808080"/>
          <w:szCs w:val="20"/>
        </w:rPr>
        <w:t xml:space="preserve">Pacienti, katerim osebni zdravnik  še posebej označi, da se mu opravi PUZ na primarni ravni. To so bolniki s slabšim sodelovanjem z zdravljenjem z zdravili in nizko zdravstveno pismenostjo (slabo razumevanje oziroma nepoznavanje terapije, slabše kognitivne sposobnosti, fizične omejitve pacienta – npr. težave s požiranjem, za pacienta skrbijo svojci/skrbniki) ali z določenim naborom zdravil (npr. zdravila z visokim tveganjem za neželene dogodke, protivirusnimi zdravili za HIV, HCV, </w:t>
      </w:r>
      <w:proofErr w:type="spellStart"/>
      <w:r w:rsidRPr="005E4BEA">
        <w:rPr>
          <w:rFonts w:eastAsia="Calibri" w:cs="Arial"/>
          <w:i/>
          <w:color w:val="808080"/>
          <w:szCs w:val="20"/>
        </w:rPr>
        <w:t>antituberkulotiki</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antikoagulanti</w:t>
      </w:r>
      <w:proofErr w:type="spellEnd"/>
      <w:r w:rsidRPr="005E4BEA">
        <w:rPr>
          <w:rFonts w:eastAsia="Calibri" w:cs="Arial"/>
          <w:i/>
          <w:color w:val="808080"/>
          <w:szCs w:val="20"/>
        </w:rPr>
        <w:t xml:space="preserve">, zdravili za sladkorno bolezen, analgetično terapijo vključno s </w:t>
      </w:r>
      <w:proofErr w:type="spellStart"/>
      <w:r w:rsidRPr="005E4BEA">
        <w:rPr>
          <w:rFonts w:eastAsia="Calibri" w:cs="Arial"/>
          <w:i/>
          <w:color w:val="808080"/>
          <w:szCs w:val="20"/>
        </w:rPr>
        <w:t>paliativo</w:t>
      </w:r>
      <w:proofErr w:type="spellEnd"/>
      <w:r w:rsidRPr="005E4BEA">
        <w:rPr>
          <w:rFonts w:eastAsia="Calibri" w:cs="Arial"/>
          <w:i/>
          <w:color w:val="808080"/>
          <w:szCs w:val="20"/>
        </w:rPr>
        <w:t xml:space="preserve">, obsežna </w:t>
      </w:r>
      <w:proofErr w:type="spellStart"/>
      <w:r w:rsidRPr="005E4BEA">
        <w:rPr>
          <w:rFonts w:eastAsia="Calibri" w:cs="Arial"/>
          <w:i/>
          <w:color w:val="808080"/>
          <w:szCs w:val="20"/>
        </w:rPr>
        <w:t>psihofarmakološka</w:t>
      </w:r>
      <w:proofErr w:type="spellEnd"/>
      <w:r w:rsidRPr="005E4BEA">
        <w:rPr>
          <w:rFonts w:eastAsia="Calibri" w:cs="Arial"/>
          <w:i/>
          <w:color w:val="808080"/>
          <w:szCs w:val="20"/>
        </w:rPr>
        <w:t xml:space="preserve"> terapija </w:t>
      </w:r>
      <w:proofErr w:type="spellStart"/>
      <w:r w:rsidRPr="005E4BEA">
        <w:rPr>
          <w:rFonts w:eastAsia="Calibri" w:cs="Arial"/>
          <w:i/>
          <w:color w:val="808080"/>
          <w:szCs w:val="20"/>
        </w:rPr>
        <w:t>itd</w:t>
      </w:r>
      <w:proofErr w:type="spellEnd"/>
      <w:r w:rsidRPr="005E4BEA">
        <w:rPr>
          <w:rFonts w:eastAsia="Calibri" w:cs="Arial"/>
          <w:i/>
          <w:color w:val="808080"/>
          <w:szCs w:val="20"/>
        </w:rPr>
        <w:t xml:space="preserve"> ...) VIR: ISMP (https://www.ismp.org/).</w:t>
      </w:r>
    </w:p>
    <w:p w14:paraId="0F60B905" w14:textId="77777777" w:rsidR="00FE461F" w:rsidRPr="005E4BEA" w:rsidRDefault="00FE461F" w:rsidP="00FE461F">
      <w:pPr>
        <w:spacing w:line="240" w:lineRule="auto"/>
        <w:jc w:val="both"/>
        <w:rPr>
          <w:rFonts w:eastAsia="Calibri" w:cs="Arial"/>
          <w:i/>
          <w:color w:val="808080"/>
          <w:szCs w:val="20"/>
        </w:rPr>
      </w:pPr>
    </w:p>
    <w:p w14:paraId="0CA6ABD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Zaradi začetnih omejenih možnosti izvajanja storitve pregleda uporabe zdravil (PUZ), se magister farmacije osredotoči na bolnike, ki bodo imeli od storitve največje koristi.</w:t>
      </w:r>
    </w:p>
    <w:p w14:paraId="711A30D6" w14:textId="77777777" w:rsidR="00FE461F" w:rsidRPr="005E4BEA" w:rsidRDefault="00FE461F" w:rsidP="00FE461F">
      <w:pPr>
        <w:spacing w:line="240" w:lineRule="auto"/>
        <w:jc w:val="both"/>
        <w:rPr>
          <w:rFonts w:eastAsia="Calibri" w:cs="Arial"/>
          <w:b/>
          <w:bCs/>
          <w:i/>
          <w:color w:val="808080"/>
          <w:szCs w:val="20"/>
        </w:rPr>
      </w:pPr>
    </w:p>
    <w:p w14:paraId="14D07FA0"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Dokumentacija:</w:t>
      </w:r>
    </w:p>
    <w:p w14:paraId="1DBCD699" w14:textId="77777777" w:rsidR="00FE461F" w:rsidRPr="005E4BEA" w:rsidRDefault="00FE461F" w:rsidP="00FE461F">
      <w:pPr>
        <w:spacing w:line="240" w:lineRule="auto"/>
        <w:jc w:val="both"/>
        <w:rPr>
          <w:rFonts w:eastAsia="Calibri" w:cs="Arial"/>
          <w:color w:val="808080"/>
          <w:szCs w:val="20"/>
        </w:rPr>
      </w:pPr>
      <w:r w:rsidRPr="005E4BEA">
        <w:rPr>
          <w:rFonts w:eastAsia="Calibri" w:cs="Arial"/>
          <w:color w:val="808080"/>
          <w:szCs w:val="20"/>
        </w:rPr>
        <w:t xml:space="preserve">V okviru PUZ magistri farmacije izdajo osebno kartico zdravil, poročilo o opravljeni storitvi  in obrazec za komunikacijo z zdravnikom (elektronsko oziroma dokumentacijsko). </w:t>
      </w:r>
    </w:p>
    <w:p w14:paraId="70816B45" w14:textId="77777777" w:rsidR="00FE461F" w:rsidRPr="005E4BEA" w:rsidRDefault="00FE461F" w:rsidP="00FE461F">
      <w:pPr>
        <w:spacing w:line="240" w:lineRule="auto"/>
        <w:jc w:val="both"/>
        <w:rPr>
          <w:rFonts w:eastAsia="Calibri" w:cs="Arial"/>
          <w:b/>
          <w:bCs/>
          <w:i/>
          <w:color w:val="808080"/>
          <w:szCs w:val="20"/>
        </w:rPr>
      </w:pPr>
    </w:p>
    <w:p w14:paraId="2FFD1F0B"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Storitev Pregled uporabe zdravil:</w:t>
      </w:r>
    </w:p>
    <w:p w14:paraId="1C9CAEE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Pregled uporabe zdravil (PUZ) je strukturirana storitev, ki jo izvaja magister farmacije v lekarni na primarni ravni in  omogoča razreševanje in preprečevanje z zdravili povezanih težav pri posameznem pacientu, izboljšanje sodelovanja pacienta pri zdravljenju z zdravili ter izvajanje brezšivne skrbi, kadar gre za kompleksnejše spremembe pri zdravljenju z zdravili posameznega pacienta. Magister farmacije v okviru te storitve pridobi osnovne podatke o pacientu in uporabljenih izdelkih: imena in jakosti zdravil z režimom izdaje na recept ali brez njega ter njihovo odmerjanje, nazive drugih izdelkov za samozdravljenje (prehranska dopolnila, živila za posebne zdravstvene namene, zeliščni pripravki) ter podatke o zdravniku, opravi primerjavo predpisane terapije z dejanskim jemanjem, ugotovi neskladja in jih usklajuje, pripravi ali posodobi OKZ. Z izvajanjem te storitve zagotavlja:</w:t>
      </w:r>
    </w:p>
    <w:p w14:paraId="41EEBFD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 prenos informacij o zdravljenju z zdravili pri posameznem pacientu med zdravstvenimi delavci na vseh ravneh zdravstvenega varstva, </w:t>
      </w:r>
    </w:p>
    <w:p w14:paraId="7F417DFA"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 s svetovanjem o zdravilih opolnomoči pacienta pri zdravljenju in </w:t>
      </w:r>
    </w:p>
    <w:p w14:paraId="0E8AE3D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v primeru, da pri zdravljenju z zdravili prepozna težave ustrezno ukrepa (kadar je potrebno v sodelovanju s predpisovalcem).</w:t>
      </w:r>
    </w:p>
    <w:p w14:paraId="0153B169" w14:textId="77777777" w:rsidR="00FE461F" w:rsidRPr="005E4BEA" w:rsidRDefault="00FE461F" w:rsidP="00FE461F">
      <w:pPr>
        <w:spacing w:line="240" w:lineRule="auto"/>
        <w:jc w:val="both"/>
        <w:rPr>
          <w:rFonts w:eastAsia="Calibri" w:cs="Arial"/>
          <w:i/>
          <w:color w:val="808080"/>
          <w:szCs w:val="20"/>
        </w:rPr>
      </w:pPr>
    </w:p>
    <w:p w14:paraId="02C9B7C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Za zagotavljanje brezšivne skrbi pacientov po odpustu iz bolnišnice, magister farmacije v lekarni na primarni ravni opravi kontrolni pregled uporabe zdravil ali celovit pregled uporabe zdravil, s katerim nadaljuje oz. dopolnjuje farmacevtsko obravnavo pri prehajanju med različnimi ravnmi zdravstvenega varstva. Z izdajo ali posodobitvijo OKZ omogoča medsebojno izmenjavo informacij o zdravljenju z zdravili pri posameznem pacientu. Z OKZ olajša </w:t>
      </w:r>
      <w:proofErr w:type="spellStart"/>
      <w:r w:rsidRPr="005E4BEA">
        <w:rPr>
          <w:rFonts w:eastAsia="Calibri" w:cs="Arial"/>
          <w:i/>
          <w:color w:val="808080"/>
          <w:szCs w:val="20"/>
        </w:rPr>
        <w:t>pacinetu</w:t>
      </w:r>
      <w:proofErr w:type="spellEnd"/>
      <w:r w:rsidRPr="005E4BEA">
        <w:rPr>
          <w:rFonts w:eastAsia="Calibri" w:cs="Arial"/>
          <w:i/>
          <w:color w:val="808080"/>
          <w:szCs w:val="20"/>
        </w:rPr>
        <w:t xml:space="preserve"> pravilno uporabo zdravil.</w:t>
      </w:r>
    </w:p>
    <w:p w14:paraId="0F9B19D8" w14:textId="77777777" w:rsidR="00FE461F" w:rsidRPr="005E4BEA" w:rsidRDefault="00FE461F" w:rsidP="00FE461F">
      <w:pPr>
        <w:spacing w:line="240" w:lineRule="auto"/>
        <w:jc w:val="both"/>
        <w:rPr>
          <w:rFonts w:eastAsia="Calibri" w:cs="Arial"/>
          <w:i/>
          <w:color w:val="808080"/>
          <w:szCs w:val="20"/>
        </w:rPr>
      </w:pPr>
    </w:p>
    <w:p w14:paraId="4C3B315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 xml:space="preserve">Kontrolni pregled uporabe </w:t>
      </w:r>
      <w:r w:rsidRPr="005E4BEA">
        <w:rPr>
          <w:rFonts w:eastAsia="Calibri" w:cs="Arial"/>
          <w:i/>
          <w:color w:val="808080"/>
          <w:szCs w:val="20"/>
        </w:rPr>
        <w:t xml:space="preserve">zdravil magister farmacije opravi pri pacientih, ki že imajo izdelano OKZ (na sekundarni ali terciarni ravni v primeru, da ja pacient vključen v brezšivno skrb ter na primarni ravni, v primeru, ko je bila pacientu opravljena storitev PUZ in je za varno uporabo zdravil potrebno njegovo nadaljnje spremljanje) in pri katerih je zaradi sprememb v terapiji z zdravili, ali slabe </w:t>
      </w:r>
      <w:proofErr w:type="spellStart"/>
      <w:r w:rsidRPr="005E4BEA">
        <w:rPr>
          <w:rFonts w:eastAsia="Calibri" w:cs="Arial"/>
          <w:i/>
          <w:color w:val="808080"/>
          <w:szCs w:val="20"/>
        </w:rPr>
        <w:t>sodelovalnosti</w:t>
      </w:r>
      <w:proofErr w:type="spellEnd"/>
      <w:r w:rsidRPr="005E4BEA">
        <w:rPr>
          <w:rFonts w:eastAsia="Calibri" w:cs="Arial"/>
          <w:i/>
          <w:color w:val="808080"/>
          <w:szCs w:val="20"/>
        </w:rPr>
        <w:t xml:space="preserve"> pacienta pri zdravljenju z zdravili, ali poteka zdravljenje z določenim naborom zdravil (npr. zdravila z visokim tveganjem za neželene dogodke,…), kadar je potrebna delna uskladitev terapije ali je priporočeno spremljanje pacienta pri zdravljenju, brez usklajevanja s predpisovalcem zdravil. </w:t>
      </w:r>
    </w:p>
    <w:p w14:paraId="15DFEAAD" w14:textId="77777777" w:rsidR="00FE461F" w:rsidRPr="005E4BEA" w:rsidRDefault="00FE461F" w:rsidP="00FE461F">
      <w:pPr>
        <w:spacing w:line="240" w:lineRule="auto"/>
        <w:jc w:val="both"/>
        <w:rPr>
          <w:rFonts w:eastAsia="Calibri" w:cs="Arial"/>
          <w:i/>
          <w:color w:val="808080"/>
          <w:szCs w:val="20"/>
        </w:rPr>
      </w:pPr>
    </w:p>
    <w:p w14:paraId="4A3A9C6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 xml:space="preserve">Celovit pregled uporabe zdravil </w:t>
      </w:r>
      <w:r w:rsidRPr="005E4BEA">
        <w:rPr>
          <w:rFonts w:eastAsia="Calibri" w:cs="Arial"/>
          <w:i/>
          <w:color w:val="808080"/>
          <w:szCs w:val="20"/>
        </w:rPr>
        <w:t xml:space="preserve">magister farmacije opravi pri pacientih, ki izpolnjujejo kriterije (navedeno v odstavku Prednostne skupine </w:t>
      </w:r>
      <w:proofErr w:type="spellStart"/>
      <w:r w:rsidRPr="005E4BEA">
        <w:rPr>
          <w:rFonts w:eastAsia="Calibri" w:cs="Arial"/>
          <w:i/>
          <w:color w:val="808080"/>
          <w:szCs w:val="20"/>
        </w:rPr>
        <w:t>pacinetov</w:t>
      </w:r>
      <w:proofErr w:type="spellEnd"/>
      <w:r w:rsidRPr="005E4BEA">
        <w:rPr>
          <w:rFonts w:eastAsia="Calibri" w:cs="Arial"/>
          <w:i/>
          <w:color w:val="808080"/>
          <w:szCs w:val="20"/>
        </w:rPr>
        <w:t>), ki OKZ še nimajo ali OKZ izdana na sekundarni ali terciarni ravni zaradi sprememb v terapiji z zdravili po odpustu iz bolnišnice potrebuje uskladitev celotne terapije z zdravili, z ali brez usklajevanja s predpisovalcem zdravil, ter edukacijo pacienta/skrbnika o pravilni rabi zdravil oz. za paciente, ki imajo predpisanih 5 ali več zdravil, s pogostimi hospitalizacijami oz. spremembami v terapiji z določenim naborom zdravil (npr. zdravila z visokim tveganjem za neželene dogodke,…).</w:t>
      </w:r>
    </w:p>
    <w:p w14:paraId="458F060A" w14:textId="77777777" w:rsidR="00FE461F" w:rsidRPr="005E4BEA" w:rsidRDefault="00FE461F" w:rsidP="00FE461F">
      <w:pPr>
        <w:spacing w:line="240" w:lineRule="auto"/>
        <w:jc w:val="both"/>
        <w:rPr>
          <w:rFonts w:eastAsia="Calibri" w:cs="Arial"/>
          <w:b/>
          <w:bCs/>
          <w:i/>
          <w:color w:val="808080"/>
          <w:szCs w:val="20"/>
        </w:rPr>
      </w:pPr>
    </w:p>
    <w:p w14:paraId="1AE799A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primarni ravni magister farmacije vključi paciente v storitve brezšivne skrbi samostojno po lastni oceni primernosti za vključitev ali po napotilu bolnišničnega farmacevta. </w:t>
      </w:r>
    </w:p>
    <w:p w14:paraId="41FF7F34" w14:textId="77777777" w:rsidR="00FE461F" w:rsidRPr="005E4BEA" w:rsidRDefault="00FE461F" w:rsidP="00FE461F">
      <w:pPr>
        <w:spacing w:line="240" w:lineRule="auto"/>
        <w:jc w:val="both"/>
        <w:rPr>
          <w:rFonts w:eastAsia="Calibri" w:cs="Arial"/>
          <w:b/>
          <w:bCs/>
          <w:i/>
          <w:color w:val="808080"/>
          <w:szCs w:val="20"/>
        </w:rPr>
      </w:pPr>
    </w:p>
    <w:p w14:paraId="01BFC35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 xml:space="preserve">Omejitev: </w:t>
      </w:r>
      <w:r w:rsidRPr="005E4BEA">
        <w:rPr>
          <w:rFonts w:eastAsia="Calibri" w:cs="Arial"/>
          <w:i/>
          <w:color w:val="808080"/>
          <w:szCs w:val="20"/>
        </w:rPr>
        <w:t>1 pacient je upravičen do 1 storitve PUZ in 1 spremljanje s kontrolnim pregledom na letni ravni.</w:t>
      </w:r>
    </w:p>
    <w:p w14:paraId="34B48A3D" w14:textId="77777777" w:rsidR="00FE461F" w:rsidRPr="005E4BEA" w:rsidRDefault="00FE461F" w:rsidP="00FE461F">
      <w:pPr>
        <w:spacing w:line="240" w:lineRule="auto"/>
        <w:jc w:val="both"/>
        <w:rPr>
          <w:rFonts w:eastAsia="Calibri" w:cs="Arial"/>
          <w:b/>
          <w:bCs/>
          <w:i/>
          <w:color w:val="808080"/>
          <w:szCs w:val="20"/>
        </w:rPr>
      </w:pPr>
    </w:p>
    <w:p w14:paraId="0D28062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Zagotavljanje kakovosti:</w:t>
      </w:r>
      <w:r w:rsidRPr="005E4BEA">
        <w:rPr>
          <w:rFonts w:eastAsia="Calibri" w:cs="Arial"/>
          <w:i/>
          <w:color w:val="808080"/>
          <w:szCs w:val="20"/>
        </w:rPr>
        <w:t xml:space="preserve"> Lekarniška zbornica Slovenije je že zagotovila celovit sistem zagotavljanja kakovosti storitve: posebno skupino Skrbnik kompetenc, ki razvija in spremlja storitev, standardni operacijski postopek izvajanja storitve, izobraževanje in certificiranje magistrov farmacije in zadostno število magistrov farmacije, N=311 z že pridobljenimi kompetencami za izvajanje storitve, ki so regijsko razpršeni po Sloveniji. Spodaj ponazarjamo pokritost izvajalcev storitve PUZ po statističnih regijah.</w:t>
      </w:r>
    </w:p>
    <w:p w14:paraId="5380D54B" w14:textId="77777777" w:rsidR="00FE461F" w:rsidRPr="005E4BEA" w:rsidRDefault="00FE461F" w:rsidP="00FE461F">
      <w:pPr>
        <w:spacing w:line="240" w:lineRule="auto"/>
        <w:jc w:val="both"/>
        <w:rPr>
          <w:rFonts w:eastAsia="Calibri" w:cs="Arial"/>
          <w:i/>
          <w:color w:val="808080"/>
          <w:szCs w:val="20"/>
        </w:rPr>
      </w:pPr>
    </w:p>
    <w:tbl>
      <w:tblPr>
        <w:tblW w:w="0" w:type="auto"/>
        <w:tblLook w:val="04A0" w:firstRow="1" w:lastRow="0" w:firstColumn="1" w:lastColumn="0" w:noHBand="0" w:noVBand="1"/>
      </w:tblPr>
      <w:tblGrid>
        <w:gridCol w:w="3628"/>
        <w:gridCol w:w="3634"/>
      </w:tblGrid>
      <w:tr w:rsidR="00FE461F" w:rsidRPr="005E4BEA" w14:paraId="2413B091" w14:textId="77777777" w:rsidTr="0016774B">
        <w:trPr>
          <w:trHeight w:val="591"/>
          <w:tblHeader/>
        </w:trPr>
        <w:tc>
          <w:tcPr>
            <w:tcW w:w="0" w:type="auto"/>
            <w:tcBorders>
              <w:bottom w:val="single" w:sz="4" w:space="0" w:color="7F7F7F"/>
              <w:right w:val="nil"/>
            </w:tcBorders>
            <w:shd w:val="clear" w:color="auto" w:fill="FFFFFF"/>
            <w:hideMark/>
          </w:tcPr>
          <w:p w14:paraId="108370E5" w14:textId="77777777" w:rsidR="00FE461F" w:rsidRPr="005E4BEA" w:rsidRDefault="00FE461F" w:rsidP="00FE461F">
            <w:pPr>
              <w:spacing w:line="240" w:lineRule="auto"/>
              <w:jc w:val="right"/>
              <w:rPr>
                <w:rFonts w:eastAsia="Yu Gothic Light" w:cs="Arial"/>
                <w:b/>
                <w:i/>
                <w:iCs/>
                <w:color w:val="404040"/>
                <w:szCs w:val="20"/>
                <w:lang w:eastAsia="sl-SI"/>
              </w:rPr>
            </w:pPr>
            <w:r w:rsidRPr="005E4BEA">
              <w:rPr>
                <w:rFonts w:eastAsia="Yu Gothic Light" w:cs="Arial"/>
                <w:b/>
                <w:i/>
                <w:iCs/>
                <w:color w:val="404040"/>
                <w:szCs w:val="20"/>
                <w:lang w:eastAsia="sl-SI"/>
              </w:rPr>
              <w:t>Statistična regija</w:t>
            </w:r>
          </w:p>
        </w:tc>
        <w:tc>
          <w:tcPr>
            <w:tcW w:w="3634" w:type="dxa"/>
            <w:tcBorders>
              <w:bottom w:val="single" w:sz="4" w:space="0" w:color="7F7F7F"/>
            </w:tcBorders>
            <w:shd w:val="clear" w:color="auto" w:fill="FFFFFF"/>
            <w:hideMark/>
          </w:tcPr>
          <w:p w14:paraId="1D8EC215" w14:textId="77777777" w:rsidR="00FE461F" w:rsidRPr="005E4BEA" w:rsidRDefault="00FE461F" w:rsidP="00FE461F">
            <w:pPr>
              <w:spacing w:line="240" w:lineRule="auto"/>
              <w:rPr>
                <w:rFonts w:eastAsia="Yu Gothic Light" w:cs="Arial"/>
                <w:b/>
                <w:iCs/>
                <w:color w:val="404040"/>
                <w:szCs w:val="20"/>
                <w:lang w:eastAsia="sl-SI"/>
              </w:rPr>
            </w:pPr>
            <w:r w:rsidRPr="005E4BEA">
              <w:rPr>
                <w:rFonts w:eastAsia="Yu Gothic Light" w:cs="Arial"/>
                <w:b/>
                <w:i/>
                <w:iCs/>
                <w:color w:val="404040"/>
                <w:szCs w:val="20"/>
                <w:lang w:eastAsia="sl-SI"/>
              </w:rPr>
              <w:t xml:space="preserve">Število izvajalcev storitve PUZ v lekarni, </w:t>
            </w:r>
          </w:p>
          <w:p w14:paraId="08B85EA6" w14:textId="77777777" w:rsidR="00FE461F" w:rsidRPr="005E4BEA" w:rsidRDefault="00FE461F" w:rsidP="00FE461F">
            <w:pPr>
              <w:spacing w:line="240" w:lineRule="auto"/>
              <w:rPr>
                <w:rFonts w:eastAsia="Yu Gothic Light" w:cs="Arial"/>
                <w:b/>
                <w:i/>
                <w:iCs/>
                <w:color w:val="404040"/>
                <w:szCs w:val="20"/>
                <w:lang w:eastAsia="sl-SI"/>
              </w:rPr>
            </w:pPr>
            <w:r w:rsidRPr="005E4BEA">
              <w:rPr>
                <w:rFonts w:eastAsia="Yu Gothic Light" w:cs="Arial"/>
                <w:b/>
                <w:i/>
                <w:iCs/>
                <w:color w:val="404040"/>
                <w:szCs w:val="20"/>
                <w:lang w:eastAsia="sl-SI"/>
              </w:rPr>
              <w:t>na dan 29. 3. 2022</w:t>
            </w:r>
          </w:p>
        </w:tc>
      </w:tr>
      <w:tr w:rsidR="00FE461F" w:rsidRPr="005E4BEA" w14:paraId="5DE19391" w14:textId="77777777" w:rsidTr="0016774B">
        <w:trPr>
          <w:trHeight w:val="255"/>
        </w:trPr>
        <w:tc>
          <w:tcPr>
            <w:tcW w:w="0" w:type="auto"/>
            <w:tcBorders>
              <w:right w:val="single" w:sz="4" w:space="0" w:color="7F7F7F"/>
            </w:tcBorders>
            <w:shd w:val="clear" w:color="auto" w:fill="FFFFFF"/>
            <w:noWrap/>
            <w:hideMark/>
          </w:tcPr>
          <w:p w14:paraId="22696F3D"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GORENJSKA REGIJA</w:t>
            </w:r>
          </w:p>
        </w:tc>
        <w:tc>
          <w:tcPr>
            <w:tcW w:w="3634" w:type="dxa"/>
            <w:shd w:val="clear" w:color="auto" w:fill="F2F2F2"/>
            <w:noWrap/>
            <w:hideMark/>
          </w:tcPr>
          <w:p w14:paraId="41DD325B"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25</w:t>
            </w:r>
          </w:p>
        </w:tc>
      </w:tr>
      <w:tr w:rsidR="00FE461F" w:rsidRPr="005E4BEA" w14:paraId="7AA259C6" w14:textId="77777777" w:rsidTr="0016774B">
        <w:trPr>
          <w:trHeight w:val="255"/>
        </w:trPr>
        <w:tc>
          <w:tcPr>
            <w:tcW w:w="0" w:type="auto"/>
            <w:tcBorders>
              <w:right w:val="single" w:sz="4" w:space="0" w:color="7F7F7F"/>
            </w:tcBorders>
            <w:shd w:val="clear" w:color="auto" w:fill="FFFFFF"/>
            <w:noWrap/>
            <w:hideMark/>
          </w:tcPr>
          <w:p w14:paraId="31E6F898"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GORIŠKA REGIJA</w:t>
            </w:r>
          </w:p>
        </w:tc>
        <w:tc>
          <w:tcPr>
            <w:tcW w:w="3634" w:type="dxa"/>
            <w:shd w:val="clear" w:color="auto" w:fill="auto"/>
            <w:noWrap/>
            <w:hideMark/>
          </w:tcPr>
          <w:p w14:paraId="04DBADAC"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13</w:t>
            </w:r>
          </w:p>
        </w:tc>
      </w:tr>
      <w:tr w:rsidR="00FE461F" w:rsidRPr="005E4BEA" w14:paraId="210E6CBB" w14:textId="77777777" w:rsidTr="0016774B">
        <w:trPr>
          <w:trHeight w:val="255"/>
        </w:trPr>
        <w:tc>
          <w:tcPr>
            <w:tcW w:w="0" w:type="auto"/>
            <w:tcBorders>
              <w:right w:val="single" w:sz="4" w:space="0" w:color="7F7F7F"/>
            </w:tcBorders>
            <w:shd w:val="clear" w:color="auto" w:fill="FFFFFF"/>
            <w:noWrap/>
            <w:hideMark/>
          </w:tcPr>
          <w:p w14:paraId="415B0D45"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JUGOVZHODNA SLOVENIJA</w:t>
            </w:r>
          </w:p>
        </w:tc>
        <w:tc>
          <w:tcPr>
            <w:tcW w:w="3634" w:type="dxa"/>
            <w:shd w:val="clear" w:color="auto" w:fill="F2F2F2"/>
            <w:noWrap/>
            <w:hideMark/>
          </w:tcPr>
          <w:p w14:paraId="5D18F225"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25</w:t>
            </w:r>
          </w:p>
        </w:tc>
      </w:tr>
      <w:tr w:rsidR="00FE461F" w:rsidRPr="005E4BEA" w14:paraId="71E427B1" w14:textId="77777777" w:rsidTr="0016774B">
        <w:trPr>
          <w:trHeight w:val="255"/>
        </w:trPr>
        <w:tc>
          <w:tcPr>
            <w:tcW w:w="0" w:type="auto"/>
            <w:tcBorders>
              <w:right w:val="single" w:sz="4" w:space="0" w:color="7F7F7F"/>
            </w:tcBorders>
            <w:shd w:val="clear" w:color="auto" w:fill="FFFFFF"/>
            <w:noWrap/>
            <w:hideMark/>
          </w:tcPr>
          <w:p w14:paraId="416DFC01"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KOROŠKA REGIJA</w:t>
            </w:r>
          </w:p>
        </w:tc>
        <w:tc>
          <w:tcPr>
            <w:tcW w:w="3634" w:type="dxa"/>
            <w:shd w:val="clear" w:color="auto" w:fill="auto"/>
            <w:noWrap/>
            <w:hideMark/>
          </w:tcPr>
          <w:p w14:paraId="33698370"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4</w:t>
            </w:r>
          </w:p>
        </w:tc>
      </w:tr>
      <w:tr w:rsidR="00FE461F" w:rsidRPr="005E4BEA" w14:paraId="09E642FB" w14:textId="77777777" w:rsidTr="0016774B">
        <w:trPr>
          <w:trHeight w:val="255"/>
        </w:trPr>
        <w:tc>
          <w:tcPr>
            <w:tcW w:w="0" w:type="auto"/>
            <w:tcBorders>
              <w:right w:val="single" w:sz="4" w:space="0" w:color="7F7F7F"/>
            </w:tcBorders>
            <w:shd w:val="clear" w:color="auto" w:fill="FFFFFF"/>
            <w:noWrap/>
            <w:hideMark/>
          </w:tcPr>
          <w:p w14:paraId="58D3A07E"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OBALNO-KRAŠKA REGIJA</w:t>
            </w:r>
          </w:p>
        </w:tc>
        <w:tc>
          <w:tcPr>
            <w:tcW w:w="3634" w:type="dxa"/>
            <w:shd w:val="clear" w:color="auto" w:fill="F2F2F2"/>
            <w:noWrap/>
            <w:hideMark/>
          </w:tcPr>
          <w:p w14:paraId="49C0F0E4"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9</w:t>
            </w:r>
          </w:p>
        </w:tc>
      </w:tr>
      <w:tr w:rsidR="00FE461F" w:rsidRPr="005E4BEA" w14:paraId="43B2B1AB" w14:textId="77777777" w:rsidTr="0016774B">
        <w:trPr>
          <w:trHeight w:val="255"/>
        </w:trPr>
        <w:tc>
          <w:tcPr>
            <w:tcW w:w="0" w:type="auto"/>
            <w:tcBorders>
              <w:right w:val="single" w:sz="4" w:space="0" w:color="7F7F7F"/>
            </w:tcBorders>
            <w:shd w:val="clear" w:color="auto" w:fill="FFFFFF"/>
            <w:noWrap/>
            <w:hideMark/>
          </w:tcPr>
          <w:p w14:paraId="61A45D17"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OSREDNJESLOVENSKA REGIJA</w:t>
            </w:r>
          </w:p>
        </w:tc>
        <w:tc>
          <w:tcPr>
            <w:tcW w:w="3634" w:type="dxa"/>
            <w:shd w:val="clear" w:color="auto" w:fill="auto"/>
            <w:noWrap/>
            <w:hideMark/>
          </w:tcPr>
          <w:p w14:paraId="79942740"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105</w:t>
            </w:r>
          </w:p>
        </w:tc>
      </w:tr>
      <w:tr w:rsidR="00FE461F" w:rsidRPr="005E4BEA" w14:paraId="11B1E457" w14:textId="77777777" w:rsidTr="0016774B">
        <w:trPr>
          <w:trHeight w:val="255"/>
        </w:trPr>
        <w:tc>
          <w:tcPr>
            <w:tcW w:w="0" w:type="auto"/>
            <w:tcBorders>
              <w:right w:val="single" w:sz="4" w:space="0" w:color="7F7F7F"/>
            </w:tcBorders>
            <w:shd w:val="clear" w:color="auto" w:fill="FFFFFF"/>
            <w:noWrap/>
            <w:hideMark/>
          </w:tcPr>
          <w:p w14:paraId="3956CADB"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PODRAVSKA REGIJA</w:t>
            </w:r>
          </w:p>
        </w:tc>
        <w:tc>
          <w:tcPr>
            <w:tcW w:w="3634" w:type="dxa"/>
            <w:shd w:val="clear" w:color="auto" w:fill="F2F2F2"/>
            <w:noWrap/>
            <w:hideMark/>
          </w:tcPr>
          <w:p w14:paraId="51B11650"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40</w:t>
            </w:r>
          </w:p>
        </w:tc>
      </w:tr>
      <w:tr w:rsidR="00FE461F" w:rsidRPr="005E4BEA" w14:paraId="12C865F6" w14:textId="77777777" w:rsidTr="0016774B">
        <w:trPr>
          <w:trHeight w:val="255"/>
        </w:trPr>
        <w:tc>
          <w:tcPr>
            <w:tcW w:w="0" w:type="auto"/>
            <w:tcBorders>
              <w:right w:val="single" w:sz="4" w:space="0" w:color="7F7F7F"/>
            </w:tcBorders>
            <w:shd w:val="clear" w:color="auto" w:fill="FFFFFF"/>
            <w:noWrap/>
            <w:hideMark/>
          </w:tcPr>
          <w:p w14:paraId="709198F2"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POMURSKA REGIJA</w:t>
            </w:r>
          </w:p>
        </w:tc>
        <w:tc>
          <w:tcPr>
            <w:tcW w:w="3634" w:type="dxa"/>
            <w:shd w:val="clear" w:color="auto" w:fill="auto"/>
            <w:noWrap/>
            <w:hideMark/>
          </w:tcPr>
          <w:p w14:paraId="1CA576B9"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13</w:t>
            </w:r>
          </w:p>
        </w:tc>
      </w:tr>
      <w:tr w:rsidR="00FE461F" w:rsidRPr="005E4BEA" w14:paraId="212E72D4" w14:textId="77777777" w:rsidTr="0016774B">
        <w:trPr>
          <w:trHeight w:val="255"/>
        </w:trPr>
        <w:tc>
          <w:tcPr>
            <w:tcW w:w="0" w:type="auto"/>
            <w:tcBorders>
              <w:right w:val="single" w:sz="4" w:space="0" w:color="7F7F7F"/>
            </w:tcBorders>
            <w:shd w:val="clear" w:color="auto" w:fill="FFFFFF"/>
            <w:noWrap/>
            <w:hideMark/>
          </w:tcPr>
          <w:p w14:paraId="2CFC3E2C"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POSAVSKA REGIJA</w:t>
            </w:r>
          </w:p>
        </w:tc>
        <w:tc>
          <w:tcPr>
            <w:tcW w:w="3634" w:type="dxa"/>
            <w:shd w:val="clear" w:color="auto" w:fill="F2F2F2"/>
            <w:noWrap/>
            <w:hideMark/>
          </w:tcPr>
          <w:p w14:paraId="63E9F37A"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14</w:t>
            </w:r>
          </w:p>
        </w:tc>
      </w:tr>
      <w:tr w:rsidR="00FE461F" w:rsidRPr="005E4BEA" w14:paraId="007CBB90" w14:textId="77777777" w:rsidTr="0016774B">
        <w:trPr>
          <w:trHeight w:val="255"/>
        </w:trPr>
        <w:tc>
          <w:tcPr>
            <w:tcW w:w="0" w:type="auto"/>
            <w:tcBorders>
              <w:right w:val="single" w:sz="4" w:space="0" w:color="7F7F7F"/>
            </w:tcBorders>
            <w:shd w:val="clear" w:color="auto" w:fill="FFFFFF"/>
            <w:noWrap/>
            <w:hideMark/>
          </w:tcPr>
          <w:p w14:paraId="0DF7EAE3"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PRIMORSKO-NOTRANJSKA REGIJA</w:t>
            </w:r>
          </w:p>
        </w:tc>
        <w:tc>
          <w:tcPr>
            <w:tcW w:w="3634" w:type="dxa"/>
            <w:shd w:val="clear" w:color="auto" w:fill="auto"/>
            <w:noWrap/>
            <w:hideMark/>
          </w:tcPr>
          <w:p w14:paraId="7AFABEF5"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10</w:t>
            </w:r>
          </w:p>
        </w:tc>
      </w:tr>
      <w:tr w:rsidR="00FE461F" w:rsidRPr="005E4BEA" w14:paraId="60D4E687" w14:textId="77777777" w:rsidTr="0016774B">
        <w:trPr>
          <w:trHeight w:val="255"/>
        </w:trPr>
        <w:tc>
          <w:tcPr>
            <w:tcW w:w="0" w:type="auto"/>
            <w:tcBorders>
              <w:right w:val="single" w:sz="4" w:space="0" w:color="7F7F7F"/>
            </w:tcBorders>
            <w:shd w:val="clear" w:color="auto" w:fill="FFFFFF"/>
            <w:noWrap/>
            <w:hideMark/>
          </w:tcPr>
          <w:p w14:paraId="4C342ED8"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SAVINJSKA REGIJA</w:t>
            </w:r>
          </w:p>
        </w:tc>
        <w:tc>
          <w:tcPr>
            <w:tcW w:w="3634" w:type="dxa"/>
            <w:shd w:val="clear" w:color="auto" w:fill="F2F2F2"/>
            <w:noWrap/>
            <w:hideMark/>
          </w:tcPr>
          <w:p w14:paraId="08F602C5"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47</w:t>
            </w:r>
          </w:p>
        </w:tc>
      </w:tr>
      <w:tr w:rsidR="00FE461F" w:rsidRPr="005E4BEA" w14:paraId="477F40F4" w14:textId="77777777" w:rsidTr="0016774B">
        <w:trPr>
          <w:trHeight w:val="255"/>
        </w:trPr>
        <w:tc>
          <w:tcPr>
            <w:tcW w:w="0" w:type="auto"/>
            <w:tcBorders>
              <w:right w:val="single" w:sz="4" w:space="0" w:color="7F7F7F"/>
            </w:tcBorders>
            <w:shd w:val="clear" w:color="auto" w:fill="FFFFFF"/>
            <w:noWrap/>
            <w:hideMark/>
          </w:tcPr>
          <w:p w14:paraId="629CB443" w14:textId="77777777" w:rsidR="00FE461F" w:rsidRPr="005E4BEA" w:rsidRDefault="00FE461F" w:rsidP="00FE461F">
            <w:pPr>
              <w:spacing w:line="240" w:lineRule="auto"/>
              <w:jc w:val="right"/>
              <w:rPr>
                <w:rFonts w:eastAsia="Yu Gothic Light" w:cs="Arial"/>
                <w:i/>
                <w:iCs/>
                <w:color w:val="404040"/>
                <w:szCs w:val="20"/>
                <w:lang w:eastAsia="sl-SI"/>
              </w:rPr>
            </w:pPr>
            <w:r w:rsidRPr="005E4BEA">
              <w:rPr>
                <w:rFonts w:eastAsia="Yu Gothic Light" w:cs="Arial"/>
                <w:i/>
                <w:iCs/>
                <w:color w:val="404040"/>
                <w:szCs w:val="20"/>
                <w:lang w:eastAsia="sl-SI"/>
              </w:rPr>
              <w:t>ZASAVSKA REGIJA</w:t>
            </w:r>
          </w:p>
        </w:tc>
        <w:tc>
          <w:tcPr>
            <w:tcW w:w="3634" w:type="dxa"/>
            <w:shd w:val="clear" w:color="auto" w:fill="auto"/>
            <w:noWrap/>
            <w:hideMark/>
          </w:tcPr>
          <w:p w14:paraId="30BC6BC5" w14:textId="77777777" w:rsidR="00FE461F" w:rsidRPr="005E4BEA" w:rsidRDefault="00FE461F" w:rsidP="00FE461F">
            <w:pPr>
              <w:spacing w:line="240" w:lineRule="auto"/>
              <w:jc w:val="right"/>
              <w:rPr>
                <w:rFonts w:eastAsia="Calibri" w:cs="Arial"/>
                <w:color w:val="404040"/>
                <w:szCs w:val="20"/>
                <w:lang w:eastAsia="sl-SI"/>
              </w:rPr>
            </w:pPr>
            <w:r w:rsidRPr="005E4BEA">
              <w:rPr>
                <w:rFonts w:eastAsia="Calibri" w:cs="Arial"/>
                <w:color w:val="404040"/>
                <w:szCs w:val="20"/>
                <w:lang w:eastAsia="sl-SI"/>
              </w:rPr>
              <w:t>6</w:t>
            </w:r>
          </w:p>
        </w:tc>
      </w:tr>
      <w:tr w:rsidR="00FE461F" w:rsidRPr="005E4BEA" w14:paraId="64455A99" w14:textId="77777777" w:rsidTr="0016774B">
        <w:trPr>
          <w:trHeight w:val="255"/>
        </w:trPr>
        <w:tc>
          <w:tcPr>
            <w:tcW w:w="0" w:type="auto"/>
            <w:tcBorders>
              <w:right w:val="single" w:sz="4" w:space="0" w:color="7F7F7F"/>
            </w:tcBorders>
            <w:shd w:val="clear" w:color="auto" w:fill="FFFFFF"/>
            <w:noWrap/>
            <w:hideMark/>
          </w:tcPr>
          <w:p w14:paraId="77EBA90E" w14:textId="77777777" w:rsidR="00FE461F" w:rsidRPr="005E4BEA" w:rsidRDefault="00FE461F" w:rsidP="00FE461F">
            <w:pPr>
              <w:spacing w:line="240" w:lineRule="auto"/>
              <w:jc w:val="right"/>
              <w:rPr>
                <w:rFonts w:eastAsia="Yu Gothic Light" w:cs="Arial"/>
                <w:b/>
                <w:i/>
                <w:iCs/>
                <w:color w:val="404040"/>
                <w:szCs w:val="20"/>
                <w:lang w:eastAsia="sl-SI"/>
              </w:rPr>
            </w:pPr>
            <w:r w:rsidRPr="005E4BEA">
              <w:rPr>
                <w:rFonts w:eastAsia="Yu Gothic Light" w:cs="Arial"/>
                <w:b/>
                <w:i/>
                <w:iCs/>
                <w:color w:val="404040"/>
                <w:szCs w:val="20"/>
                <w:lang w:eastAsia="sl-SI"/>
              </w:rPr>
              <w:t>Skupna vsota</w:t>
            </w:r>
          </w:p>
        </w:tc>
        <w:tc>
          <w:tcPr>
            <w:tcW w:w="3634" w:type="dxa"/>
            <w:shd w:val="clear" w:color="auto" w:fill="F2F2F2"/>
            <w:noWrap/>
            <w:hideMark/>
          </w:tcPr>
          <w:p w14:paraId="26C164D1" w14:textId="77777777" w:rsidR="00FE461F" w:rsidRPr="005E4BEA" w:rsidRDefault="00FE461F" w:rsidP="00FE461F">
            <w:pPr>
              <w:spacing w:line="240" w:lineRule="auto"/>
              <w:jc w:val="right"/>
              <w:rPr>
                <w:rFonts w:eastAsia="Calibri" w:cs="Arial"/>
                <w:b/>
                <w:color w:val="404040"/>
                <w:szCs w:val="20"/>
                <w:lang w:eastAsia="sl-SI"/>
              </w:rPr>
            </w:pPr>
            <w:r w:rsidRPr="005E4BEA">
              <w:rPr>
                <w:rFonts w:eastAsia="Calibri" w:cs="Arial"/>
                <w:b/>
                <w:color w:val="404040"/>
                <w:szCs w:val="20"/>
                <w:lang w:eastAsia="sl-SI"/>
              </w:rPr>
              <w:t>311</w:t>
            </w:r>
          </w:p>
        </w:tc>
      </w:tr>
    </w:tbl>
    <w:p w14:paraId="53B19405" w14:textId="77777777" w:rsidR="00FE461F" w:rsidRPr="005E4BEA" w:rsidRDefault="00FE461F" w:rsidP="00FE461F">
      <w:pPr>
        <w:spacing w:line="240" w:lineRule="auto"/>
        <w:jc w:val="both"/>
        <w:rPr>
          <w:rFonts w:eastAsia="Calibri" w:cs="Arial"/>
          <w:b/>
          <w:bCs/>
          <w:i/>
          <w:color w:val="808080"/>
          <w:szCs w:val="20"/>
        </w:rPr>
      </w:pPr>
    </w:p>
    <w:p w14:paraId="5E8867FE" w14:textId="77777777" w:rsidR="00FE461F" w:rsidRPr="005E4BEA" w:rsidRDefault="00FE461F" w:rsidP="00FE461F">
      <w:pPr>
        <w:spacing w:line="240" w:lineRule="auto"/>
        <w:jc w:val="both"/>
        <w:rPr>
          <w:rFonts w:eastAsia="Calibri" w:cs="Arial"/>
          <w:b/>
          <w:bCs/>
          <w:i/>
          <w:color w:val="808080"/>
          <w:szCs w:val="20"/>
        </w:rPr>
      </w:pPr>
    </w:p>
    <w:p w14:paraId="320A75DB"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Obseg storitev in ocena finančnih posledic:</w:t>
      </w:r>
    </w:p>
    <w:p w14:paraId="565832B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lastRenderedPageBreak/>
        <w:t xml:space="preserve">V začetni fazi bi storitev PUZ bi v prvi fazi omejili na kritične paciente s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xml:space="preserve"> in hudo </w:t>
      </w:r>
      <w:proofErr w:type="spellStart"/>
      <w:r w:rsidRPr="005E4BEA">
        <w:rPr>
          <w:rFonts w:eastAsia="Calibri" w:cs="Arial"/>
          <w:i/>
          <w:color w:val="808080"/>
          <w:szCs w:val="20"/>
        </w:rPr>
        <w:t>polifarmakoterapijo</w:t>
      </w:r>
      <w:proofErr w:type="spellEnd"/>
      <w:r w:rsidRPr="005E4BEA">
        <w:rPr>
          <w:rFonts w:eastAsia="Calibri" w:cs="Arial"/>
          <w:i/>
          <w:color w:val="808080"/>
          <w:szCs w:val="20"/>
        </w:rPr>
        <w:t>. Ciljna populacija pacientov je 10% pacientov iz omenjenih skupin, kar na letni ravni znaša 23.000 pacientov.</w:t>
      </w:r>
    </w:p>
    <w:p w14:paraId="109D8BDE"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Max možna realizacija je ocenjena na 60% zgoraj opredeljenih pacientov, kar pomeni: 14.000 pacientov in s tem tudi enako število storitev PUZ na letni ravni. Dejanska realizacija bo predvideno nižja in jo ciljno zastavljamo na 35%, to je 8.000 pacientov. Ob koncu leta 2023 bi se izvedlo evalvacijo izvedenih storitev.</w:t>
      </w:r>
    </w:p>
    <w:p w14:paraId="070B75C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Ocenjujemo, da bi 75% pacientov v nadaljevanju spremljali 3 mesece po izvedbi storitve PUZ. Ob tem bi se izvedel kontrolni pregled, z namenom pregleda, ali ima pacient odpravljene prej opredeljene težave, po potrebi bi se izvedli dodatni ukrepi.</w:t>
      </w:r>
    </w:p>
    <w:p w14:paraId="5DB21AA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Na ta način ocenjujemo, da bi 311 magistrov, z že pridobljenimi kompetencami,  izvedlo cca 50 storitev PUZ s kontrolnim pregledom na letni ravni.</w:t>
      </w:r>
    </w:p>
    <w:p w14:paraId="14B442F8" w14:textId="77777777" w:rsidR="00FE461F" w:rsidRPr="005E4BEA" w:rsidRDefault="00FE461F" w:rsidP="00FE461F">
      <w:pPr>
        <w:spacing w:line="240" w:lineRule="auto"/>
        <w:jc w:val="both"/>
        <w:rPr>
          <w:rFonts w:eastAsia="Calibri" w:cs="Arial"/>
          <w:b/>
          <w:bCs/>
          <w:i/>
          <w:color w:val="808080"/>
          <w:szCs w:val="20"/>
        </w:rPr>
      </w:pPr>
    </w:p>
    <w:p w14:paraId="6279EB9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Točkovna vrednost storitev bo opredeljena glede na točkovni in kadrovski normativ (vse storitve izvaja magister farmacije / magister farmacije s kompetencami za PUZ): </w:t>
      </w:r>
    </w:p>
    <w:p w14:paraId="7A4F4B2D" w14:textId="77777777" w:rsidR="00FE461F" w:rsidRPr="005E4BEA" w:rsidRDefault="00FE461F" w:rsidP="00F356C9">
      <w:pPr>
        <w:numPr>
          <w:ilvl w:val="0"/>
          <w:numId w:val="56"/>
        </w:numPr>
        <w:spacing w:line="240" w:lineRule="auto"/>
        <w:jc w:val="both"/>
        <w:rPr>
          <w:rFonts w:eastAsia="Calibri" w:cs="Arial"/>
          <w:i/>
          <w:color w:val="808080"/>
          <w:szCs w:val="20"/>
        </w:rPr>
      </w:pPr>
      <w:r w:rsidRPr="005E4BEA">
        <w:rPr>
          <w:rFonts w:eastAsia="Calibri" w:cs="Arial"/>
          <w:i/>
          <w:color w:val="808080"/>
          <w:szCs w:val="20"/>
        </w:rPr>
        <w:t xml:space="preserve">PUZ, 45 min / </w:t>
      </w:r>
      <w:proofErr w:type="spellStart"/>
      <w:r w:rsidRPr="005E4BEA">
        <w:rPr>
          <w:rFonts w:eastAsia="Calibri" w:cs="Arial"/>
          <w:i/>
          <w:color w:val="808080"/>
          <w:szCs w:val="20"/>
        </w:rPr>
        <w:t>prm</w:t>
      </w:r>
      <w:proofErr w:type="spellEnd"/>
      <w:r w:rsidRPr="005E4BEA">
        <w:rPr>
          <w:rFonts w:eastAsia="Calibri" w:cs="Arial"/>
          <w:i/>
          <w:color w:val="808080"/>
          <w:szCs w:val="20"/>
        </w:rPr>
        <w:t>. na magistra farmacije, ocenjeno število primerov: 8.000;</w:t>
      </w:r>
    </w:p>
    <w:p w14:paraId="4F040950" w14:textId="77777777" w:rsidR="00FE461F" w:rsidRPr="005E4BEA" w:rsidRDefault="00FE461F" w:rsidP="00F356C9">
      <w:pPr>
        <w:numPr>
          <w:ilvl w:val="0"/>
          <w:numId w:val="56"/>
        </w:numPr>
        <w:spacing w:line="240" w:lineRule="auto"/>
        <w:jc w:val="both"/>
        <w:rPr>
          <w:rFonts w:eastAsia="Calibri" w:cs="Arial"/>
          <w:i/>
          <w:color w:val="808080"/>
          <w:szCs w:val="20"/>
        </w:rPr>
      </w:pPr>
      <w:r w:rsidRPr="005E4BEA">
        <w:rPr>
          <w:rFonts w:eastAsia="Calibri" w:cs="Arial"/>
          <w:i/>
          <w:color w:val="808080"/>
          <w:szCs w:val="20"/>
        </w:rPr>
        <w:t xml:space="preserve">Kontrolni PUZ, 25 min / </w:t>
      </w:r>
      <w:proofErr w:type="spellStart"/>
      <w:r w:rsidRPr="005E4BEA">
        <w:rPr>
          <w:rFonts w:eastAsia="Calibri" w:cs="Arial"/>
          <w:i/>
          <w:color w:val="808080"/>
          <w:szCs w:val="20"/>
        </w:rPr>
        <w:t>prm</w:t>
      </w:r>
      <w:proofErr w:type="spellEnd"/>
      <w:r w:rsidRPr="005E4BEA">
        <w:rPr>
          <w:rFonts w:eastAsia="Calibri" w:cs="Arial"/>
          <w:i/>
          <w:color w:val="808080"/>
          <w:szCs w:val="20"/>
        </w:rPr>
        <w:t xml:space="preserve"> na magistra farmacije, ocenjeno število primerov: 6.000 kontrolnih .</w:t>
      </w:r>
    </w:p>
    <w:p w14:paraId="68E62797" w14:textId="77777777" w:rsidR="00FE461F" w:rsidRPr="005E4BEA" w:rsidRDefault="00FE461F" w:rsidP="00FE461F">
      <w:pPr>
        <w:spacing w:line="240" w:lineRule="auto"/>
        <w:jc w:val="both"/>
        <w:rPr>
          <w:rFonts w:eastAsia="Calibri" w:cs="Arial"/>
          <w:i/>
          <w:color w:val="808080"/>
          <w:szCs w:val="20"/>
        </w:rPr>
      </w:pPr>
    </w:p>
    <w:p w14:paraId="6089AA6A" w14:textId="77777777" w:rsidR="00FE461F" w:rsidRPr="005E4BEA" w:rsidRDefault="00FE461F" w:rsidP="00FE461F">
      <w:pPr>
        <w:spacing w:line="240" w:lineRule="auto"/>
        <w:jc w:val="both"/>
        <w:rPr>
          <w:rFonts w:eastAsia="Calibri" w:cs="Arial"/>
          <w:i/>
          <w:color w:val="808080"/>
          <w:szCs w:val="20"/>
        </w:rPr>
      </w:pPr>
    </w:p>
    <w:tbl>
      <w:tblPr>
        <w:tblW w:w="77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0"/>
        <w:gridCol w:w="1184"/>
        <w:gridCol w:w="1061"/>
        <w:gridCol w:w="1094"/>
        <w:gridCol w:w="1083"/>
        <w:gridCol w:w="1150"/>
        <w:gridCol w:w="1260"/>
      </w:tblGrid>
      <w:tr w:rsidR="00FE461F" w:rsidRPr="005E4BEA" w14:paraId="7A1B9DF1" w14:textId="77777777" w:rsidTr="0016774B">
        <w:trPr>
          <w:trHeight w:val="1631"/>
        </w:trPr>
        <w:tc>
          <w:tcPr>
            <w:tcW w:w="1560" w:type="dxa"/>
            <w:shd w:val="clear" w:color="auto" w:fill="auto"/>
            <w:noWrap/>
            <w:hideMark/>
          </w:tcPr>
          <w:p w14:paraId="1C5B8731" w14:textId="77777777" w:rsidR="00FE461F" w:rsidRPr="005E4BEA" w:rsidRDefault="00FE461F" w:rsidP="00FE461F">
            <w:pPr>
              <w:spacing w:line="240" w:lineRule="auto"/>
              <w:rPr>
                <w:rFonts w:eastAsia="Calibri" w:cs="Arial"/>
                <w:b/>
                <w:bCs/>
                <w:szCs w:val="20"/>
                <w:lang w:eastAsia="sl-SI"/>
              </w:rPr>
            </w:pPr>
            <w:r w:rsidRPr="005E4BEA">
              <w:rPr>
                <w:rFonts w:eastAsia="Calibri" w:cs="Arial"/>
                <w:b/>
                <w:bCs/>
                <w:szCs w:val="20"/>
                <w:lang w:eastAsia="sl-SI"/>
              </w:rPr>
              <w:t>Opis storitev</w:t>
            </w:r>
          </w:p>
        </w:tc>
        <w:tc>
          <w:tcPr>
            <w:tcW w:w="960" w:type="dxa"/>
            <w:shd w:val="clear" w:color="auto" w:fill="auto"/>
            <w:hideMark/>
          </w:tcPr>
          <w:p w14:paraId="7E5E1EBD"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Kadrovski normativ (mag. farm.; farm. tehnik)</w:t>
            </w:r>
          </w:p>
        </w:tc>
        <w:tc>
          <w:tcPr>
            <w:tcW w:w="960" w:type="dxa"/>
            <w:shd w:val="clear" w:color="auto" w:fill="auto"/>
            <w:hideMark/>
          </w:tcPr>
          <w:p w14:paraId="7BCE44D9"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Časovni normativ</w:t>
            </w:r>
          </w:p>
        </w:tc>
        <w:tc>
          <w:tcPr>
            <w:tcW w:w="960" w:type="dxa"/>
            <w:shd w:val="clear" w:color="auto" w:fill="auto"/>
            <w:hideMark/>
          </w:tcPr>
          <w:p w14:paraId="33343357"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Točkovni normativ</w:t>
            </w:r>
          </w:p>
        </w:tc>
        <w:tc>
          <w:tcPr>
            <w:tcW w:w="940" w:type="dxa"/>
            <w:shd w:val="clear" w:color="auto" w:fill="auto"/>
            <w:hideMark/>
          </w:tcPr>
          <w:p w14:paraId="74A269D8"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Vrednost storitve</w:t>
            </w:r>
          </w:p>
        </w:tc>
        <w:tc>
          <w:tcPr>
            <w:tcW w:w="1060" w:type="dxa"/>
            <w:shd w:val="clear" w:color="auto" w:fill="auto"/>
            <w:hideMark/>
          </w:tcPr>
          <w:p w14:paraId="15C36A20"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Ocenjeno število pacientov</w:t>
            </w:r>
          </w:p>
        </w:tc>
        <w:tc>
          <w:tcPr>
            <w:tcW w:w="1260" w:type="dxa"/>
            <w:shd w:val="clear" w:color="auto" w:fill="auto"/>
            <w:hideMark/>
          </w:tcPr>
          <w:p w14:paraId="04CAFB69"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Skupna vrednost</w:t>
            </w:r>
          </w:p>
        </w:tc>
      </w:tr>
      <w:tr w:rsidR="00FE461F" w:rsidRPr="005E4BEA" w14:paraId="0D575A66" w14:textId="77777777" w:rsidTr="0016774B">
        <w:trPr>
          <w:trHeight w:val="300"/>
        </w:trPr>
        <w:tc>
          <w:tcPr>
            <w:tcW w:w="1560" w:type="dxa"/>
            <w:shd w:val="clear" w:color="auto" w:fill="F2F2F2"/>
            <w:noWrap/>
            <w:hideMark/>
          </w:tcPr>
          <w:p w14:paraId="10872C9A"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PUZ</w:t>
            </w:r>
          </w:p>
        </w:tc>
        <w:tc>
          <w:tcPr>
            <w:tcW w:w="960" w:type="dxa"/>
            <w:shd w:val="clear" w:color="auto" w:fill="F2F2F2"/>
            <w:noWrap/>
            <w:hideMark/>
          </w:tcPr>
          <w:p w14:paraId="2CC6C1C6"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1;0</w:t>
            </w:r>
          </w:p>
        </w:tc>
        <w:tc>
          <w:tcPr>
            <w:tcW w:w="960" w:type="dxa"/>
            <w:shd w:val="clear" w:color="auto" w:fill="F2F2F2"/>
            <w:noWrap/>
            <w:hideMark/>
          </w:tcPr>
          <w:p w14:paraId="60049AC0"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45</w:t>
            </w:r>
          </w:p>
        </w:tc>
        <w:tc>
          <w:tcPr>
            <w:tcW w:w="960" w:type="dxa"/>
            <w:shd w:val="clear" w:color="auto" w:fill="F2F2F2"/>
            <w:noWrap/>
            <w:hideMark/>
          </w:tcPr>
          <w:p w14:paraId="2BB19F14"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9</w:t>
            </w:r>
          </w:p>
        </w:tc>
        <w:tc>
          <w:tcPr>
            <w:tcW w:w="940" w:type="dxa"/>
            <w:shd w:val="clear" w:color="auto" w:fill="F2F2F2"/>
            <w:noWrap/>
            <w:hideMark/>
          </w:tcPr>
          <w:p w14:paraId="5830883F"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31,23</w:t>
            </w:r>
          </w:p>
        </w:tc>
        <w:tc>
          <w:tcPr>
            <w:tcW w:w="1060" w:type="dxa"/>
            <w:shd w:val="clear" w:color="auto" w:fill="F2F2F2"/>
            <w:noWrap/>
            <w:hideMark/>
          </w:tcPr>
          <w:p w14:paraId="58E7CBC0"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8.000</w:t>
            </w:r>
          </w:p>
        </w:tc>
        <w:tc>
          <w:tcPr>
            <w:tcW w:w="1260" w:type="dxa"/>
            <w:shd w:val="clear" w:color="auto" w:fill="F2F2F2"/>
            <w:noWrap/>
            <w:hideMark/>
          </w:tcPr>
          <w:p w14:paraId="4F80700C" w14:textId="77777777" w:rsidR="00FE461F" w:rsidRPr="005E4BEA" w:rsidRDefault="00FE461F" w:rsidP="00FE461F">
            <w:pPr>
              <w:spacing w:line="240" w:lineRule="auto"/>
              <w:jc w:val="right"/>
              <w:rPr>
                <w:rFonts w:eastAsia="Calibri" w:cs="Arial"/>
                <w:b/>
                <w:bCs/>
                <w:color w:val="000000"/>
                <w:szCs w:val="20"/>
                <w:lang w:eastAsia="sl-SI"/>
              </w:rPr>
            </w:pPr>
            <w:r w:rsidRPr="005E4BEA">
              <w:rPr>
                <w:rFonts w:eastAsia="Calibri" w:cs="Arial"/>
                <w:b/>
                <w:bCs/>
                <w:color w:val="000000"/>
                <w:szCs w:val="20"/>
                <w:lang w:eastAsia="sl-SI"/>
              </w:rPr>
              <w:t>249.840,00</w:t>
            </w:r>
          </w:p>
        </w:tc>
      </w:tr>
      <w:tr w:rsidR="00FE461F" w:rsidRPr="005E4BEA" w14:paraId="44268A15" w14:textId="77777777" w:rsidTr="0016774B">
        <w:trPr>
          <w:trHeight w:val="300"/>
        </w:trPr>
        <w:tc>
          <w:tcPr>
            <w:tcW w:w="1560" w:type="dxa"/>
            <w:shd w:val="clear" w:color="auto" w:fill="auto"/>
            <w:noWrap/>
            <w:hideMark/>
          </w:tcPr>
          <w:p w14:paraId="6B33ACF4" w14:textId="77777777" w:rsidR="00FE461F" w:rsidRPr="005E4BEA" w:rsidRDefault="00FE461F" w:rsidP="00FE461F">
            <w:pPr>
              <w:spacing w:line="240" w:lineRule="auto"/>
              <w:rPr>
                <w:rFonts w:eastAsia="Calibri" w:cs="Arial"/>
                <w:b/>
                <w:bCs/>
                <w:color w:val="000000"/>
                <w:szCs w:val="20"/>
                <w:lang w:eastAsia="sl-SI"/>
              </w:rPr>
            </w:pPr>
            <w:r w:rsidRPr="005E4BEA">
              <w:rPr>
                <w:rFonts w:eastAsia="Calibri" w:cs="Arial"/>
                <w:b/>
                <w:bCs/>
                <w:color w:val="000000"/>
                <w:szCs w:val="20"/>
                <w:lang w:eastAsia="sl-SI"/>
              </w:rPr>
              <w:t>Kontrolni PUZ</w:t>
            </w:r>
          </w:p>
        </w:tc>
        <w:tc>
          <w:tcPr>
            <w:tcW w:w="960" w:type="dxa"/>
            <w:shd w:val="clear" w:color="auto" w:fill="auto"/>
            <w:noWrap/>
            <w:hideMark/>
          </w:tcPr>
          <w:p w14:paraId="387F0BCB"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1;0</w:t>
            </w:r>
          </w:p>
        </w:tc>
        <w:tc>
          <w:tcPr>
            <w:tcW w:w="960" w:type="dxa"/>
            <w:shd w:val="clear" w:color="auto" w:fill="auto"/>
            <w:noWrap/>
            <w:hideMark/>
          </w:tcPr>
          <w:p w14:paraId="7CF44E06"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25</w:t>
            </w:r>
          </w:p>
        </w:tc>
        <w:tc>
          <w:tcPr>
            <w:tcW w:w="960" w:type="dxa"/>
            <w:shd w:val="clear" w:color="auto" w:fill="auto"/>
            <w:noWrap/>
            <w:hideMark/>
          </w:tcPr>
          <w:p w14:paraId="43622FDE"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5</w:t>
            </w:r>
          </w:p>
        </w:tc>
        <w:tc>
          <w:tcPr>
            <w:tcW w:w="940" w:type="dxa"/>
            <w:shd w:val="clear" w:color="auto" w:fill="auto"/>
            <w:noWrap/>
            <w:hideMark/>
          </w:tcPr>
          <w:p w14:paraId="28D342DF"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17,35</w:t>
            </w:r>
          </w:p>
        </w:tc>
        <w:tc>
          <w:tcPr>
            <w:tcW w:w="1060" w:type="dxa"/>
            <w:shd w:val="clear" w:color="auto" w:fill="auto"/>
            <w:noWrap/>
            <w:hideMark/>
          </w:tcPr>
          <w:p w14:paraId="4BB93C14"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6.000</w:t>
            </w:r>
          </w:p>
        </w:tc>
        <w:tc>
          <w:tcPr>
            <w:tcW w:w="1260" w:type="dxa"/>
            <w:shd w:val="clear" w:color="auto" w:fill="auto"/>
            <w:noWrap/>
            <w:hideMark/>
          </w:tcPr>
          <w:p w14:paraId="1C42A7A8" w14:textId="77777777" w:rsidR="00FE461F" w:rsidRPr="005E4BEA" w:rsidRDefault="00FE461F" w:rsidP="00FE461F">
            <w:pPr>
              <w:spacing w:line="240" w:lineRule="auto"/>
              <w:jc w:val="right"/>
              <w:rPr>
                <w:rFonts w:eastAsia="Calibri" w:cs="Arial"/>
                <w:b/>
                <w:bCs/>
                <w:color w:val="000000"/>
                <w:szCs w:val="20"/>
                <w:lang w:eastAsia="sl-SI"/>
              </w:rPr>
            </w:pPr>
            <w:r w:rsidRPr="005E4BEA">
              <w:rPr>
                <w:rFonts w:eastAsia="Calibri" w:cs="Arial"/>
                <w:b/>
                <w:bCs/>
                <w:color w:val="000000"/>
                <w:szCs w:val="20"/>
                <w:lang w:eastAsia="sl-SI"/>
              </w:rPr>
              <w:t>104.100,00</w:t>
            </w:r>
          </w:p>
        </w:tc>
      </w:tr>
      <w:tr w:rsidR="00FE461F" w:rsidRPr="005E4BEA" w14:paraId="3F4B2306" w14:textId="77777777" w:rsidTr="0016774B">
        <w:trPr>
          <w:trHeight w:val="300"/>
        </w:trPr>
        <w:tc>
          <w:tcPr>
            <w:tcW w:w="1560" w:type="dxa"/>
            <w:shd w:val="clear" w:color="auto" w:fill="F2F2F2"/>
            <w:noWrap/>
            <w:hideMark/>
          </w:tcPr>
          <w:p w14:paraId="158C2E5C" w14:textId="77777777" w:rsidR="00FE461F" w:rsidRPr="005E4BEA" w:rsidRDefault="00FE461F" w:rsidP="00FE461F">
            <w:pPr>
              <w:spacing w:line="240" w:lineRule="auto"/>
              <w:jc w:val="right"/>
              <w:rPr>
                <w:rFonts w:eastAsia="Calibri" w:cs="Arial"/>
                <w:b/>
                <w:bCs/>
                <w:color w:val="000000"/>
                <w:szCs w:val="20"/>
                <w:lang w:eastAsia="sl-SI"/>
              </w:rPr>
            </w:pPr>
            <w:r w:rsidRPr="005E4BEA">
              <w:rPr>
                <w:rFonts w:eastAsia="Calibri" w:cs="Arial"/>
                <w:b/>
                <w:bCs/>
                <w:color w:val="000000"/>
                <w:szCs w:val="20"/>
                <w:lang w:eastAsia="sl-SI"/>
              </w:rPr>
              <w:t>SKUPAJ</w:t>
            </w:r>
          </w:p>
        </w:tc>
        <w:tc>
          <w:tcPr>
            <w:tcW w:w="960" w:type="dxa"/>
            <w:shd w:val="clear" w:color="auto" w:fill="F2F2F2"/>
            <w:noWrap/>
            <w:hideMark/>
          </w:tcPr>
          <w:p w14:paraId="3DDB3406" w14:textId="77777777" w:rsidR="00FE461F" w:rsidRPr="005E4BEA" w:rsidRDefault="00FE461F" w:rsidP="00FE461F">
            <w:pPr>
              <w:spacing w:line="240" w:lineRule="auto"/>
              <w:jc w:val="right"/>
              <w:rPr>
                <w:rFonts w:eastAsia="Calibri" w:cs="Arial"/>
                <w:b/>
                <w:bCs/>
                <w:color w:val="000000"/>
                <w:szCs w:val="20"/>
                <w:lang w:eastAsia="sl-SI"/>
              </w:rPr>
            </w:pPr>
          </w:p>
        </w:tc>
        <w:tc>
          <w:tcPr>
            <w:tcW w:w="960" w:type="dxa"/>
            <w:shd w:val="clear" w:color="auto" w:fill="F2F2F2"/>
            <w:noWrap/>
            <w:hideMark/>
          </w:tcPr>
          <w:p w14:paraId="1D67914A" w14:textId="77777777" w:rsidR="00FE461F" w:rsidRPr="005E4BEA" w:rsidRDefault="00FE461F" w:rsidP="00FE461F">
            <w:pPr>
              <w:spacing w:line="240" w:lineRule="auto"/>
              <w:rPr>
                <w:rFonts w:eastAsia="Calibri" w:cs="Arial"/>
                <w:szCs w:val="20"/>
                <w:lang w:eastAsia="sl-SI"/>
              </w:rPr>
            </w:pPr>
          </w:p>
        </w:tc>
        <w:tc>
          <w:tcPr>
            <w:tcW w:w="960" w:type="dxa"/>
            <w:shd w:val="clear" w:color="auto" w:fill="F2F2F2"/>
            <w:noWrap/>
            <w:hideMark/>
          </w:tcPr>
          <w:p w14:paraId="293D85D2" w14:textId="77777777" w:rsidR="00FE461F" w:rsidRPr="005E4BEA" w:rsidRDefault="00FE461F" w:rsidP="00FE461F">
            <w:pPr>
              <w:spacing w:line="240" w:lineRule="auto"/>
              <w:rPr>
                <w:rFonts w:eastAsia="Calibri" w:cs="Arial"/>
                <w:szCs w:val="20"/>
                <w:lang w:eastAsia="sl-SI"/>
              </w:rPr>
            </w:pPr>
          </w:p>
        </w:tc>
        <w:tc>
          <w:tcPr>
            <w:tcW w:w="940" w:type="dxa"/>
            <w:shd w:val="clear" w:color="auto" w:fill="F2F2F2"/>
            <w:noWrap/>
            <w:hideMark/>
          </w:tcPr>
          <w:p w14:paraId="38439D22" w14:textId="77777777" w:rsidR="00FE461F" w:rsidRPr="005E4BEA" w:rsidRDefault="00FE461F" w:rsidP="00FE461F">
            <w:pPr>
              <w:spacing w:line="240" w:lineRule="auto"/>
              <w:rPr>
                <w:rFonts w:eastAsia="Calibri" w:cs="Arial"/>
                <w:szCs w:val="20"/>
                <w:lang w:eastAsia="sl-SI"/>
              </w:rPr>
            </w:pPr>
          </w:p>
        </w:tc>
        <w:tc>
          <w:tcPr>
            <w:tcW w:w="1060" w:type="dxa"/>
            <w:shd w:val="clear" w:color="auto" w:fill="F2F2F2"/>
            <w:noWrap/>
            <w:hideMark/>
          </w:tcPr>
          <w:p w14:paraId="14F00502" w14:textId="77777777" w:rsidR="00FE461F" w:rsidRPr="005E4BEA" w:rsidRDefault="00FE461F" w:rsidP="00FE461F">
            <w:pPr>
              <w:spacing w:line="240" w:lineRule="auto"/>
              <w:jc w:val="right"/>
              <w:rPr>
                <w:rFonts w:eastAsia="Calibri" w:cs="Arial"/>
                <w:color w:val="000000"/>
                <w:szCs w:val="20"/>
                <w:lang w:eastAsia="sl-SI"/>
              </w:rPr>
            </w:pPr>
            <w:r w:rsidRPr="005E4BEA">
              <w:rPr>
                <w:rFonts w:eastAsia="Calibri" w:cs="Arial"/>
                <w:color w:val="000000"/>
                <w:szCs w:val="20"/>
                <w:lang w:eastAsia="sl-SI"/>
              </w:rPr>
              <w:t>8.000</w:t>
            </w:r>
          </w:p>
        </w:tc>
        <w:tc>
          <w:tcPr>
            <w:tcW w:w="1260" w:type="dxa"/>
            <w:shd w:val="clear" w:color="auto" w:fill="F2F2F2"/>
            <w:noWrap/>
            <w:hideMark/>
          </w:tcPr>
          <w:p w14:paraId="56FCE788" w14:textId="77777777" w:rsidR="00FE461F" w:rsidRPr="005E4BEA" w:rsidRDefault="00FE461F" w:rsidP="00FE461F">
            <w:pPr>
              <w:spacing w:line="240" w:lineRule="auto"/>
              <w:jc w:val="right"/>
              <w:rPr>
                <w:rFonts w:eastAsia="Calibri" w:cs="Arial"/>
                <w:b/>
                <w:bCs/>
                <w:color w:val="000000"/>
                <w:szCs w:val="20"/>
                <w:lang w:eastAsia="sl-SI"/>
              </w:rPr>
            </w:pPr>
            <w:r w:rsidRPr="005E4BEA">
              <w:rPr>
                <w:rFonts w:eastAsia="Calibri" w:cs="Arial"/>
                <w:b/>
                <w:bCs/>
                <w:color w:val="000000"/>
                <w:szCs w:val="20"/>
                <w:lang w:eastAsia="sl-SI"/>
              </w:rPr>
              <w:t>353.940,00</w:t>
            </w:r>
          </w:p>
        </w:tc>
      </w:tr>
    </w:tbl>
    <w:p w14:paraId="408B761F" w14:textId="77777777" w:rsidR="00FE461F" w:rsidRPr="005E4BEA" w:rsidRDefault="00FE461F" w:rsidP="00FE461F">
      <w:pPr>
        <w:spacing w:line="240" w:lineRule="auto"/>
        <w:jc w:val="both"/>
        <w:rPr>
          <w:rFonts w:eastAsia="Calibri" w:cs="Arial"/>
          <w:i/>
          <w:color w:val="808080"/>
          <w:szCs w:val="20"/>
        </w:rPr>
      </w:pPr>
    </w:p>
    <w:p w14:paraId="413F4E0A" w14:textId="77777777" w:rsidR="00FE461F" w:rsidRPr="005E4BEA" w:rsidRDefault="00FE461F" w:rsidP="00FE461F">
      <w:pPr>
        <w:spacing w:line="240" w:lineRule="auto"/>
        <w:jc w:val="both"/>
        <w:rPr>
          <w:rFonts w:eastAsia="Calibri" w:cs="Arial"/>
          <w:i/>
          <w:iCs/>
          <w:color w:val="808080"/>
          <w:szCs w:val="20"/>
        </w:rPr>
      </w:pPr>
      <w:r w:rsidRPr="005E4BEA">
        <w:rPr>
          <w:rFonts w:eastAsia="Calibri" w:cs="Arial"/>
          <w:i/>
          <w:iCs/>
          <w:color w:val="808080"/>
          <w:szCs w:val="20"/>
        </w:rPr>
        <w:t>Ocena finančne posledice predloga: 335.940,00 EUR</w:t>
      </w:r>
    </w:p>
    <w:p w14:paraId="34A1BA1D"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Trenutno število farmacevtov s kompetencami za izvajanje storitev: 311 za PUZ  </w:t>
      </w:r>
    </w:p>
    <w:p w14:paraId="3B6DB444" w14:textId="38A98CCD"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Območje izvajanja storitev: vse OE ZZZS</w:t>
      </w:r>
    </w:p>
    <w:p w14:paraId="5B8B73DB" w14:textId="77777777" w:rsidR="00406310" w:rsidRPr="005E4BEA" w:rsidRDefault="00406310" w:rsidP="00FE461F">
      <w:pPr>
        <w:spacing w:line="240" w:lineRule="auto"/>
        <w:jc w:val="both"/>
        <w:rPr>
          <w:rFonts w:eastAsia="Calibri" w:cs="Arial"/>
          <w:i/>
          <w:color w:val="808080"/>
          <w:szCs w:val="20"/>
        </w:rPr>
      </w:pPr>
    </w:p>
    <w:p w14:paraId="5F60B98B" w14:textId="77777777" w:rsidR="00406310" w:rsidRPr="005E4BEA" w:rsidRDefault="00406310" w:rsidP="00406310">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CBAFDCA" w14:textId="77777777" w:rsidR="00406310" w:rsidRPr="005E4BEA" w:rsidRDefault="00406310" w:rsidP="00406310">
      <w:pPr>
        <w:spacing w:line="0" w:lineRule="atLeast"/>
        <w:jc w:val="both"/>
        <w:rPr>
          <w:rFonts w:eastAsia="Arial Narrow" w:cs="Arial"/>
          <w:szCs w:val="20"/>
          <w:lang w:eastAsia="sl-SI"/>
        </w:rPr>
      </w:pPr>
    </w:p>
    <w:p w14:paraId="4CA6DE43" w14:textId="77777777" w:rsidR="00406310" w:rsidRPr="005E4BEA" w:rsidRDefault="00406310" w:rsidP="00406310">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24. člen Splošnega dogovora za pogodbeno leto 2022 ne spremeni.</w:t>
      </w:r>
    </w:p>
    <w:p w14:paraId="7AA96459" w14:textId="77777777" w:rsidR="00FE461F" w:rsidRPr="005E4BEA" w:rsidRDefault="00FE461F" w:rsidP="00FE461F">
      <w:pPr>
        <w:spacing w:line="240" w:lineRule="auto"/>
        <w:jc w:val="both"/>
        <w:rPr>
          <w:rFonts w:eastAsia="Calibri" w:cs="Arial"/>
          <w:b/>
          <w:bCs/>
          <w:i/>
          <w:iCs/>
          <w:color w:val="7F7F7F" w:themeColor="text1" w:themeTint="80"/>
          <w:szCs w:val="20"/>
        </w:rPr>
      </w:pPr>
    </w:p>
    <w:p w14:paraId="4F7BADC1" w14:textId="789A3EB0" w:rsidR="00FE461F" w:rsidRPr="005E4BEA" w:rsidRDefault="00FE461F" w:rsidP="00FE461F">
      <w:pPr>
        <w:spacing w:line="240" w:lineRule="auto"/>
        <w:jc w:val="both"/>
        <w:rPr>
          <w:rFonts w:eastAsia="Calibri" w:cs="Arial"/>
          <w:b/>
          <w:bCs/>
          <w:i/>
          <w:iCs/>
          <w:color w:val="7F7F7F" w:themeColor="text1" w:themeTint="80"/>
          <w:szCs w:val="20"/>
        </w:rPr>
      </w:pPr>
    </w:p>
    <w:p w14:paraId="2913A3B7" w14:textId="68B14EF9" w:rsidR="00406310" w:rsidRPr="005E4BEA" w:rsidRDefault="0040631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(67)</w:t>
      </w:r>
    </w:p>
    <w:p w14:paraId="717C76F3" w14:textId="77777777" w:rsidR="00406310" w:rsidRPr="005E4BEA" w:rsidRDefault="00406310" w:rsidP="00406310">
      <w:pPr>
        <w:spacing w:line="0" w:lineRule="atLeast"/>
        <w:contextualSpacing/>
        <w:jc w:val="both"/>
        <w:rPr>
          <w:rFonts w:eastAsia="Arial Narrow" w:cs="Arial"/>
          <w:b/>
          <w:szCs w:val="20"/>
        </w:rPr>
      </w:pPr>
    </w:p>
    <w:p w14:paraId="661BE4C6" w14:textId="3F5E4DBD" w:rsidR="00FE461F" w:rsidRPr="005E4BEA" w:rsidRDefault="00406310" w:rsidP="00406310">
      <w:pPr>
        <w:spacing w:line="0" w:lineRule="atLeast"/>
        <w:contextualSpacing/>
        <w:jc w:val="both"/>
        <w:rPr>
          <w:rFonts w:eastAsia="Arial Narrow" w:cs="Arial"/>
          <w:bCs/>
          <w:szCs w:val="20"/>
          <w:lang w:eastAsia="sl-SI"/>
        </w:rPr>
      </w:pPr>
      <w:r w:rsidRPr="005E4BEA">
        <w:rPr>
          <w:rFonts w:eastAsia="Arial Narrow" w:cs="Arial"/>
          <w:b/>
          <w:szCs w:val="20"/>
        </w:rPr>
        <w:t xml:space="preserve">Lekarniška zbornica Slovenije predlaga, </w:t>
      </w:r>
      <w:r w:rsidRPr="005E4BEA">
        <w:rPr>
          <w:rFonts w:eastAsia="Arial Narrow" w:cs="Arial"/>
          <w:bCs/>
          <w:szCs w:val="20"/>
        </w:rPr>
        <w:t>da v</w:t>
      </w:r>
      <w:r w:rsidR="00FE461F" w:rsidRPr="005E4BEA">
        <w:rPr>
          <w:rFonts w:eastAsia="Arial Narrow" w:cs="Arial"/>
          <w:bCs/>
          <w:szCs w:val="20"/>
          <w:lang w:eastAsia="sl-SI"/>
        </w:rPr>
        <w:t xml:space="preserve"> 24. členu v (6) odstavku se doda nova točka, ki se glasi:</w:t>
      </w:r>
    </w:p>
    <w:p w14:paraId="572474E4" w14:textId="77777777" w:rsidR="00FE461F" w:rsidRPr="005E4BEA" w:rsidRDefault="00FE461F" w:rsidP="00FE461F">
      <w:pPr>
        <w:spacing w:line="240" w:lineRule="auto"/>
        <w:jc w:val="both"/>
        <w:rPr>
          <w:rFonts w:eastAsia="Arial Narrow" w:cs="Arial"/>
          <w:b/>
          <w:bCs/>
          <w:szCs w:val="20"/>
          <w:lang w:eastAsia="sl-SI"/>
        </w:rPr>
      </w:pPr>
      <w:r w:rsidRPr="005E4BEA">
        <w:rPr>
          <w:rFonts w:eastAsia="Arial Narrow" w:cs="Arial"/>
          <w:b/>
          <w:bCs/>
          <w:szCs w:val="20"/>
          <w:lang w:eastAsia="sl-SI"/>
        </w:rPr>
        <w:t xml:space="preserve"> </w:t>
      </w:r>
    </w:p>
    <w:tbl>
      <w:tblPr>
        <w:tblW w:w="0" w:type="auto"/>
        <w:tblInd w:w="60" w:type="dxa"/>
        <w:tblLayout w:type="fixed"/>
        <w:tblLook w:val="04A0" w:firstRow="1" w:lastRow="0" w:firstColumn="1" w:lastColumn="0" w:noHBand="0" w:noVBand="1"/>
      </w:tblPr>
      <w:tblGrid>
        <w:gridCol w:w="3000"/>
        <w:gridCol w:w="2379"/>
        <w:gridCol w:w="1271"/>
        <w:gridCol w:w="1094"/>
        <w:gridCol w:w="1271"/>
      </w:tblGrid>
      <w:tr w:rsidR="00FE461F" w:rsidRPr="005E4BEA" w14:paraId="62009465" w14:textId="77777777" w:rsidTr="0016774B">
        <w:trPr>
          <w:trHeight w:val="720"/>
        </w:trPr>
        <w:tc>
          <w:tcPr>
            <w:tcW w:w="3000" w:type="dxa"/>
            <w:tcBorders>
              <w:top w:val="single" w:sz="8" w:space="0" w:color="548DD4"/>
              <w:left w:val="single" w:sz="8" w:space="0" w:color="548DD4"/>
              <w:bottom w:val="single" w:sz="8" w:space="0" w:color="548DD4"/>
              <w:right w:val="single" w:sz="8" w:space="0" w:color="548DD4"/>
            </w:tcBorders>
            <w:vAlign w:val="center"/>
          </w:tcPr>
          <w:p w14:paraId="2CA53D6C" w14:textId="77777777" w:rsidR="00FE461F" w:rsidRPr="005E4BEA" w:rsidRDefault="00FE461F" w:rsidP="00FE461F">
            <w:pPr>
              <w:spacing w:line="240" w:lineRule="auto"/>
              <w:rPr>
                <w:rFonts w:cs="Arial"/>
                <w:szCs w:val="20"/>
                <w:lang w:eastAsia="sl-SI"/>
              </w:rPr>
            </w:pPr>
            <w:r w:rsidRPr="005E4BEA">
              <w:rPr>
                <w:rFonts w:eastAsia="Arial Narrow" w:cs="Arial"/>
                <w:b/>
                <w:bCs/>
                <w:szCs w:val="20"/>
                <w:lang w:eastAsia="sl-SI"/>
              </w:rPr>
              <w:t>P   r   o   g   r   a   m</w:t>
            </w:r>
          </w:p>
        </w:tc>
        <w:tc>
          <w:tcPr>
            <w:tcW w:w="2379" w:type="dxa"/>
            <w:tcBorders>
              <w:top w:val="single" w:sz="8" w:space="0" w:color="548DD4"/>
              <w:left w:val="single" w:sz="8" w:space="0" w:color="548DD4"/>
              <w:bottom w:val="single" w:sz="8" w:space="0" w:color="548DD4"/>
              <w:right w:val="single" w:sz="8" w:space="0" w:color="548DD4"/>
            </w:tcBorders>
            <w:vAlign w:val="center"/>
          </w:tcPr>
          <w:p w14:paraId="5A3235F8" w14:textId="77777777" w:rsidR="00FE461F" w:rsidRPr="005E4BEA" w:rsidRDefault="00FE461F" w:rsidP="00FE461F">
            <w:pPr>
              <w:spacing w:line="240" w:lineRule="auto"/>
              <w:jc w:val="both"/>
              <w:rPr>
                <w:rFonts w:eastAsia="Arial Narrow" w:cs="Arial"/>
                <w:b/>
                <w:bCs/>
                <w:szCs w:val="20"/>
                <w:lang w:eastAsia="sl-SI"/>
              </w:rPr>
            </w:pPr>
            <w:r w:rsidRPr="005E4BEA">
              <w:rPr>
                <w:rFonts w:eastAsia="Arial Narrow" w:cs="Arial"/>
                <w:b/>
                <w:bCs/>
                <w:szCs w:val="20"/>
                <w:lang w:eastAsia="sl-SI"/>
              </w:rPr>
              <w:t xml:space="preserve">I z v a j a l e c </w:t>
            </w:r>
            <w:r w:rsidRPr="005E4BEA">
              <w:rPr>
                <w:rFonts w:cs="Arial"/>
                <w:szCs w:val="20"/>
                <w:lang w:eastAsia="sl-SI"/>
              </w:rPr>
              <w:br/>
            </w:r>
            <w:r w:rsidRPr="005E4BEA">
              <w:rPr>
                <w:rFonts w:cs="Arial"/>
                <w:szCs w:val="20"/>
                <w:lang w:eastAsia="sl-SI"/>
              </w:rPr>
              <w:br/>
            </w:r>
          </w:p>
        </w:tc>
        <w:tc>
          <w:tcPr>
            <w:tcW w:w="1271" w:type="dxa"/>
            <w:tcBorders>
              <w:top w:val="single" w:sz="8" w:space="0" w:color="548DD4"/>
              <w:left w:val="single" w:sz="8" w:space="0" w:color="548DD4"/>
              <w:bottom w:val="single" w:sz="8" w:space="0" w:color="548DD4"/>
              <w:right w:val="single" w:sz="8" w:space="0" w:color="0070C0"/>
            </w:tcBorders>
            <w:vAlign w:val="center"/>
          </w:tcPr>
          <w:p w14:paraId="534D4DD9" w14:textId="77777777" w:rsidR="00FE461F" w:rsidRPr="005E4BEA" w:rsidRDefault="00FE461F" w:rsidP="00FE461F">
            <w:pPr>
              <w:spacing w:line="240" w:lineRule="auto"/>
              <w:jc w:val="center"/>
              <w:rPr>
                <w:rFonts w:eastAsia="Arial Narrow" w:cs="Arial"/>
                <w:b/>
                <w:bCs/>
                <w:szCs w:val="20"/>
                <w:lang w:eastAsia="sl-SI"/>
              </w:rPr>
            </w:pPr>
            <w:r w:rsidRPr="005E4BEA">
              <w:rPr>
                <w:rFonts w:eastAsia="Arial Narrow" w:cs="Arial"/>
                <w:b/>
                <w:bCs/>
                <w:szCs w:val="20"/>
                <w:lang w:eastAsia="sl-SI"/>
              </w:rPr>
              <w:t>Obseg programa</w:t>
            </w:r>
          </w:p>
        </w:tc>
        <w:tc>
          <w:tcPr>
            <w:tcW w:w="1094" w:type="dxa"/>
            <w:tcBorders>
              <w:top w:val="single" w:sz="8" w:space="0" w:color="0070C0"/>
              <w:left w:val="single" w:sz="8" w:space="0" w:color="0070C0"/>
              <w:bottom w:val="single" w:sz="8" w:space="0" w:color="0070C0"/>
              <w:right w:val="single" w:sz="8" w:space="0" w:color="0070C0"/>
            </w:tcBorders>
            <w:vAlign w:val="center"/>
          </w:tcPr>
          <w:p w14:paraId="57B0671B" w14:textId="77777777" w:rsidR="00FE461F" w:rsidRPr="005E4BEA" w:rsidRDefault="00FE461F" w:rsidP="00FE461F">
            <w:pPr>
              <w:spacing w:line="240" w:lineRule="auto"/>
              <w:jc w:val="right"/>
              <w:rPr>
                <w:rFonts w:eastAsia="Arial Narrow" w:cs="Arial"/>
                <w:b/>
                <w:bCs/>
                <w:szCs w:val="20"/>
                <w:lang w:eastAsia="sl-SI"/>
              </w:rPr>
            </w:pPr>
            <w:proofErr w:type="spellStart"/>
            <w:r w:rsidRPr="005E4BEA">
              <w:rPr>
                <w:rFonts w:eastAsia="Arial Narrow" w:cs="Arial"/>
                <w:b/>
                <w:bCs/>
                <w:szCs w:val="20"/>
                <w:lang w:eastAsia="sl-SI"/>
              </w:rPr>
              <w:t>Dod</w:t>
            </w:r>
            <w:proofErr w:type="spellEnd"/>
            <w:r w:rsidRPr="005E4BEA">
              <w:rPr>
                <w:rFonts w:eastAsia="Arial Narrow" w:cs="Arial"/>
                <w:b/>
                <w:bCs/>
                <w:szCs w:val="20"/>
                <w:lang w:eastAsia="sl-SI"/>
              </w:rPr>
              <w:t>. sred.</w:t>
            </w:r>
            <w:r w:rsidRPr="005E4BEA">
              <w:rPr>
                <w:rFonts w:cs="Arial"/>
                <w:szCs w:val="20"/>
                <w:lang w:eastAsia="sl-SI"/>
              </w:rPr>
              <w:br/>
            </w:r>
            <w:r w:rsidRPr="005E4BEA">
              <w:rPr>
                <w:rFonts w:eastAsia="Arial Narrow" w:cs="Arial"/>
                <w:b/>
                <w:bCs/>
                <w:szCs w:val="20"/>
                <w:lang w:eastAsia="sl-SI"/>
              </w:rPr>
              <w:t xml:space="preserve"> na letni ravni</w:t>
            </w:r>
            <w:r w:rsidRPr="005E4BEA">
              <w:rPr>
                <w:rFonts w:cs="Arial"/>
                <w:szCs w:val="20"/>
                <w:lang w:eastAsia="sl-SI"/>
              </w:rPr>
              <w:br/>
            </w:r>
            <w:r w:rsidRPr="005E4BEA">
              <w:rPr>
                <w:rFonts w:eastAsia="Arial Narrow" w:cs="Arial"/>
                <w:b/>
                <w:bCs/>
                <w:szCs w:val="20"/>
                <w:lang w:eastAsia="sl-SI"/>
              </w:rPr>
              <w:t xml:space="preserve"> (v EUR)</w:t>
            </w:r>
          </w:p>
        </w:tc>
        <w:tc>
          <w:tcPr>
            <w:tcW w:w="1271" w:type="dxa"/>
            <w:tcBorders>
              <w:top w:val="single" w:sz="8" w:space="0" w:color="0070C0"/>
              <w:left w:val="single" w:sz="8" w:space="0" w:color="0070C0"/>
              <w:bottom w:val="single" w:sz="8" w:space="0" w:color="0070C0"/>
              <w:right w:val="single" w:sz="8" w:space="0" w:color="0070C0"/>
            </w:tcBorders>
            <w:vAlign w:val="center"/>
          </w:tcPr>
          <w:p w14:paraId="25705884" w14:textId="77777777" w:rsidR="00FE461F" w:rsidRPr="005E4BEA" w:rsidRDefault="00FE461F" w:rsidP="00FE461F">
            <w:pPr>
              <w:spacing w:line="240" w:lineRule="auto"/>
              <w:jc w:val="right"/>
              <w:rPr>
                <w:rFonts w:eastAsia="Arial Narrow" w:cs="Arial"/>
                <w:b/>
                <w:bCs/>
                <w:szCs w:val="20"/>
                <w:lang w:eastAsia="sl-SI"/>
              </w:rPr>
            </w:pPr>
            <w:proofErr w:type="spellStart"/>
            <w:r w:rsidRPr="005E4BEA">
              <w:rPr>
                <w:rFonts w:eastAsia="Arial Narrow" w:cs="Arial"/>
                <w:b/>
                <w:bCs/>
                <w:szCs w:val="20"/>
                <w:lang w:eastAsia="sl-SI"/>
              </w:rPr>
              <w:t>Dod</w:t>
            </w:r>
            <w:proofErr w:type="spellEnd"/>
            <w:r w:rsidRPr="005E4BEA">
              <w:rPr>
                <w:rFonts w:eastAsia="Arial Narrow" w:cs="Arial"/>
                <w:b/>
                <w:bCs/>
                <w:szCs w:val="20"/>
                <w:lang w:eastAsia="sl-SI"/>
              </w:rPr>
              <w:t>. sred.</w:t>
            </w:r>
            <w:r w:rsidRPr="005E4BEA">
              <w:rPr>
                <w:rFonts w:cs="Arial"/>
                <w:szCs w:val="20"/>
                <w:lang w:eastAsia="sl-SI"/>
              </w:rPr>
              <w:br/>
            </w:r>
            <w:r w:rsidRPr="005E4BEA">
              <w:rPr>
                <w:rFonts w:eastAsia="Arial Narrow" w:cs="Arial"/>
                <w:b/>
                <w:bCs/>
                <w:szCs w:val="20"/>
                <w:lang w:eastAsia="sl-SI"/>
              </w:rPr>
              <w:t xml:space="preserve"> 1.1.-31.12.2022</w:t>
            </w:r>
            <w:r w:rsidRPr="005E4BEA">
              <w:rPr>
                <w:rFonts w:cs="Arial"/>
                <w:szCs w:val="20"/>
                <w:lang w:eastAsia="sl-SI"/>
              </w:rPr>
              <w:br/>
            </w:r>
            <w:r w:rsidRPr="005E4BEA">
              <w:rPr>
                <w:rFonts w:eastAsia="Arial Narrow" w:cs="Arial"/>
                <w:b/>
                <w:bCs/>
                <w:szCs w:val="20"/>
                <w:lang w:eastAsia="sl-SI"/>
              </w:rPr>
              <w:t xml:space="preserve"> (v EUR)</w:t>
            </w:r>
          </w:p>
        </w:tc>
      </w:tr>
      <w:tr w:rsidR="00FE461F" w:rsidRPr="005E4BEA" w14:paraId="274B6232" w14:textId="77777777" w:rsidTr="0016774B">
        <w:trPr>
          <w:trHeight w:val="5505"/>
        </w:trPr>
        <w:tc>
          <w:tcPr>
            <w:tcW w:w="3000" w:type="dxa"/>
            <w:tcBorders>
              <w:top w:val="single" w:sz="8" w:space="0" w:color="548DD4"/>
              <w:left w:val="single" w:sz="8" w:space="0" w:color="548DD4"/>
              <w:bottom w:val="single" w:sz="8" w:space="0" w:color="548DD4"/>
              <w:right w:val="single" w:sz="8" w:space="0" w:color="548DD4"/>
            </w:tcBorders>
          </w:tcPr>
          <w:p w14:paraId="4B49DBBB" w14:textId="77777777" w:rsidR="00FE461F" w:rsidRPr="005E4BEA" w:rsidRDefault="00FE461F" w:rsidP="00FE461F">
            <w:pPr>
              <w:spacing w:line="240" w:lineRule="auto"/>
              <w:rPr>
                <w:rFonts w:cs="Arial"/>
                <w:szCs w:val="20"/>
                <w:lang w:eastAsia="sl-SI"/>
              </w:rPr>
            </w:pPr>
            <w:r w:rsidRPr="005E4BEA">
              <w:rPr>
                <w:rFonts w:eastAsia="Arial Narrow" w:cs="Arial"/>
                <w:szCs w:val="20"/>
                <w:lang w:eastAsia="sl-SI"/>
              </w:rPr>
              <w:lastRenderedPageBreak/>
              <w:t xml:space="preserve">Dodatek za brezšivno skrb v bolnišnični dejavnosti </w:t>
            </w:r>
          </w:p>
          <w:p w14:paraId="6B7F6421" w14:textId="77777777" w:rsidR="00FE461F" w:rsidRPr="005E4BEA" w:rsidRDefault="00FE461F" w:rsidP="00FE461F">
            <w:pPr>
              <w:spacing w:line="240" w:lineRule="auto"/>
              <w:rPr>
                <w:rFonts w:eastAsia="Arial Narrow" w:cs="Arial"/>
                <w:szCs w:val="20"/>
                <w:lang w:eastAsia="sl-SI"/>
              </w:rPr>
            </w:pPr>
            <w:r w:rsidRPr="005E4BEA">
              <w:rPr>
                <w:rFonts w:eastAsia="Arial Narrow" w:cs="Arial"/>
                <w:szCs w:val="20"/>
                <w:lang w:eastAsia="sl-SI"/>
              </w:rPr>
              <w:t>Od 1. 1. 2023</w:t>
            </w:r>
          </w:p>
          <w:p w14:paraId="113145F8" w14:textId="77777777" w:rsidR="00FE461F" w:rsidRPr="005E4BEA" w:rsidRDefault="00FE461F" w:rsidP="00FE461F">
            <w:pPr>
              <w:spacing w:line="240" w:lineRule="auto"/>
              <w:rPr>
                <w:rFonts w:eastAsia="Arial Narrow" w:cs="Arial"/>
                <w:szCs w:val="20"/>
                <w:lang w:eastAsia="sl-SI"/>
              </w:rPr>
            </w:pPr>
          </w:p>
          <w:p w14:paraId="2A55F7DD" w14:textId="77777777" w:rsidR="00FE461F" w:rsidRPr="005E4BEA" w:rsidRDefault="00FE461F" w:rsidP="00FE461F">
            <w:pPr>
              <w:spacing w:line="240" w:lineRule="auto"/>
              <w:rPr>
                <w:rFonts w:eastAsia="Arial Narrow" w:cs="Arial"/>
                <w:szCs w:val="20"/>
                <w:lang w:eastAsia="sl-SI"/>
              </w:rPr>
            </w:pPr>
          </w:p>
          <w:p w14:paraId="3F1298AD" w14:textId="77777777" w:rsidR="00FE461F" w:rsidRPr="005E4BEA" w:rsidRDefault="00FE461F" w:rsidP="00FE461F">
            <w:pPr>
              <w:spacing w:line="240" w:lineRule="auto"/>
              <w:rPr>
                <w:rFonts w:eastAsia="Arial Narrow" w:cs="Arial"/>
                <w:szCs w:val="20"/>
                <w:lang w:eastAsia="sl-SI"/>
              </w:rPr>
            </w:pPr>
          </w:p>
          <w:p w14:paraId="4777F1F3" w14:textId="77777777" w:rsidR="00FE461F" w:rsidRPr="005E4BEA" w:rsidRDefault="00FE461F" w:rsidP="00FE461F">
            <w:pPr>
              <w:spacing w:line="240" w:lineRule="auto"/>
              <w:rPr>
                <w:rFonts w:eastAsia="Arial Narrow" w:cs="Arial"/>
                <w:szCs w:val="20"/>
                <w:lang w:eastAsia="sl-SI"/>
              </w:rPr>
            </w:pPr>
          </w:p>
          <w:p w14:paraId="5F89CD98" w14:textId="77777777" w:rsidR="00FE461F" w:rsidRPr="005E4BEA" w:rsidRDefault="00FE461F" w:rsidP="00FE461F">
            <w:pPr>
              <w:spacing w:line="240" w:lineRule="auto"/>
              <w:rPr>
                <w:rFonts w:eastAsia="Arial Narrow" w:cs="Arial"/>
                <w:szCs w:val="20"/>
                <w:lang w:eastAsia="sl-SI"/>
              </w:rPr>
            </w:pPr>
          </w:p>
          <w:p w14:paraId="44A123A6" w14:textId="77777777" w:rsidR="00FE461F" w:rsidRPr="005E4BEA" w:rsidRDefault="00FE461F" w:rsidP="00FE461F">
            <w:pPr>
              <w:spacing w:line="240" w:lineRule="auto"/>
              <w:rPr>
                <w:rFonts w:eastAsia="Arial Narrow" w:cs="Arial"/>
                <w:szCs w:val="20"/>
                <w:lang w:eastAsia="sl-SI"/>
              </w:rPr>
            </w:pPr>
          </w:p>
          <w:p w14:paraId="74E17290" w14:textId="77777777" w:rsidR="00FE461F" w:rsidRPr="005E4BEA" w:rsidRDefault="00FE461F" w:rsidP="00FE461F">
            <w:pPr>
              <w:spacing w:line="240" w:lineRule="auto"/>
              <w:rPr>
                <w:rFonts w:eastAsia="Arial Narrow" w:cs="Arial"/>
                <w:szCs w:val="20"/>
                <w:lang w:eastAsia="sl-SI"/>
              </w:rPr>
            </w:pPr>
          </w:p>
          <w:p w14:paraId="07F507A9" w14:textId="77777777" w:rsidR="00FE461F" w:rsidRPr="005E4BEA" w:rsidRDefault="00FE461F" w:rsidP="00FE461F">
            <w:pPr>
              <w:spacing w:line="240" w:lineRule="auto"/>
              <w:rPr>
                <w:rFonts w:eastAsia="Arial Narrow" w:cs="Arial"/>
                <w:szCs w:val="20"/>
                <w:lang w:eastAsia="sl-SI"/>
              </w:rPr>
            </w:pPr>
          </w:p>
          <w:p w14:paraId="5E338FEC" w14:textId="77777777" w:rsidR="00FE461F" w:rsidRPr="005E4BEA" w:rsidRDefault="00FE461F" w:rsidP="00FE461F">
            <w:pPr>
              <w:spacing w:line="240" w:lineRule="auto"/>
              <w:rPr>
                <w:rFonts w:eastAsia="Arial Narrow" w:cs="Arial"/>
                <w:szCs w:val="20"/>
                <w:lang w:eastAsia="sl-SI"/>
              </w:rPr>
            </w:pPr>
          </w:p>
          <w:p w14:paraId="7B252D0B" w14:textId="77777777" w:rsidR="00FE461F" w:rsidRPr="005E4BEA" w:rsidRDefault="00FE461F" w:rsidP="00FE461F">
            <w:pPr>
              <w:spacing w:line="240" w:lineRule="auto"/>
              <w:rPr>
                <w:rFonts w:eastAsia="Arial Narrow" w:cs="Arial"/>
                <w:szCs w:val="20"/>
                <w:lang w:eastAsia="sl-SI"/>
              </w:rPr>
            </w:pPr>
          </w:p>
          <w:p w14:paraId="5C3DF6CE" w14:textId="77777777" w:rsidR="00FE461F" w:rsidRPr="005E4BEA" w:rsidRDefault="00FE461F" w:rsidP="00FE461F">
            <w:pPr>
              <w:spacing w:line="240" w:lineRule="auto"/>
              <w:rPr>
                <w:rFonts w:eastAsia="Arial Narrow" w:cs="Arial"/>
                <w:szCs w:val="20"/>
                <w:lang w:eastAsia="sl-SI"/>
              </w:rPr>
            </w:pPr>
          </w:p>
          <w:p w14:paraId="503227C2" w14:textId="77777777" w:rsidR="00FE461F" w:rsidRPr="005E4BEA" w:rsidRDefault="00FE461F" w:rsidP="00FE461F">
            <w:pPr>
              <w:spacing w:line="240" w:lineRule="auto"/>
              <w:rPr>
                <w:rFonts w:eastAsia="Arial Narrow" w:cs="Arial"/>
                <w:szCs w:val="20"/>
                <w:lang w:eastAsia="sl-SI"/>
              </w:rPr>
            </w:pPr>
          </w:p>
          <w:p w14:paraId="2F2C1F09" w14:textId="77777777" w:rsidR="00FE461F" w:rsidRPr="005E4BEA" w:rsidRDefault="00FE461F" w:rsidP="00FE461F">
            <w:pPr>
              <w:spacing w:line="240" w:lineRule="auto"/>
              <w:rPr>
                <w:rFonts w:eastAsia="Arial Narrow" w:cs="Arial"/>
                <w:szCs w:val="20"/>
                <w:lang w:eastAsia="sl-SI"/>
              </w:rPr>
            </w:pPr>
          </w:p>
          <w:p w14:paraId="4AAF62C7" w14:textId="77777777" w:rsidR="00FE461F" w:rsidRPr="005E4BEA" w:rsidRDefault="00FE461F" w:rsidP="00FE461F">
            <w:pPr>
              <w:spacing w:line="240" w:lineRule="auto"/>
              <w:rPr>
                <w:rFonts w:eastAsia="Arial Narrow" w:cs="Arial"/>
                <w:szCs w:val="20"/>
                <w:lang w:eastAsia="sl-SI"/>
              </w:rPr>
            </w:pPr>
          </w:p>
          <w:p w14:paraId="456D4336" w14:textId="77777777" w:rsidR="00FE461F" w:rsidRPr="005E4BEA" w:rsidRDefault="00FE461F" w:rsidP="00FE461F">
            <w:pPr>
              <w:spacing w:line="240" w:lineRule="auto"/>
              <w:rPr>
                <w:rFonts w:eastAsia="Arial Narrow" w:cs="Arial"/>
                <w:szCs w:val="20"/>
                <w:lang w:eastAsia="sl-SI"/>
              </w:rPr>
            </w:pPr>
          </w:p>
          <w:p w14:paraId="0BB83D12" w14:textId="77777777" w:rsidR="00FE461F" w:rsidRPr="005E4BEA" w:rsidRDefault="00FE461F" w:rsidP="00FE461F">
            <w:pPr>
              <w:spacing w:line="240" w:lineRule="auto"/>
              <w:rPr>
                <w:rFonts w:eastAsia="Arial Narrow" w:cs="Arial"/>
                <w:szCs w:val="20"/>
                <w:lang w:eastAsia="sl-SI"/>
              </w:rPr>
            </w:pPr>
          </w:p>
          <w:p w14:paraId="360B95D6" w14:textId="77777777" w:rsidR="00FE461F" w:rsidRPr="005E4BEA" w:rsidRDefault="00FE461F" w:rsidP="00FE461F">
            <w:pPr>
              <w:spacing w:line="240" w:lineRule="auto"/>
              <w:rPr>
                <w:rFonts w:eastAsia="Arial Narrow" w:cs="Arial"/>
                <w:szCs w:val="20"/>
                <w:lang w:eastAsia="sl-SI"/>
              </w:rPr>
            </w:pPr>
          </w:p>
          <w:p w14:paraId="757FF25A" w14:textId="77777777" w:rsidR="00FE461F" w:rsidRPr="005E4BEA" w:rsidRDefault="00FE461F" w:rsidP="00FE461F">
            <w:pPr>
              <w:spacing w:line="240" w:lineRule="auto"/>
              <w:rPr>
                <w:rFonts w:eastAsia="Arial Narrow" w:cs="Arial"/>
                <w:szCs w:val="20"/>
                <w:lang w:eastAsia="sl-SI"/>
              </w:rPr>
            </w:pPr>
          </w:p>
          <w:p w14:paraId="48816F11" w14:textId="77777777" w:rsidR="00FE461F" w:rsidRPr="005E4BEA" w:rsidRDefault="00FE461F" w:rsidP="00FE461F">
            <w:pPr>
              <w:spacing w:line="240" w:lineRule="auto"/>
              <w:rPr>
                <w:rFonts w:eastAsia="Arial Narrow" w:cs="Arial"/>
                <w:szCs w:val="20"/>
                <w:lang w:eastAsia="sl-SI"/>
              </w:rPr>
            </w:pPr>
          </w:p>
          <w:p w14:paraId="288EA922" w14:textId="77777777" w:rsidR="00FE461F" w:rsidRPr="005E4BEA" w:rsidRDefault="00FE461F" w:rsidP="00FE461F">
            <w:pPr>
              <w:spacing w:line="240" w:lineRule="auto"/>
              <w:rPr>
                <w:rFonts w:eastAsia="Arial Narrow" w:cs="Arial"/>
                <w:szCs w:val="20"/>
                <w:lang w:eastAsia="sl-SI"/>
              </w:rPr>
            </w:pPr>
          </w:p>
          <w:p w14:paraId="03FB3B8C" w14:textId="77777777" w:rsidR="00FE461F" w:rsidRPr="005E4BEA" w:rsidRDefault="00FE461F" w:rsidP="00FE461F">
            <w:pPr>
              <w:spacing w:line="240" w:lineRule="auto"/>
              <w:rPr>
                <w:rFonts w:eastAsia="Arial Narrow" w:cs="Arial"/>
                <w:szCs w:val="20"/>
                <w:lang w:eastAsia="sl-SI"/>
              </w:rPr>
            </w:pPr>
          </w:p>
          <w:p w14:paraId="58281431" w14:textId="77777777" w:rsidR="00FE461F" w:rsidRPr="005E4BEA" w:rsidRDefault="00FE461F" w:rsidP="00FE461F">
            <w:pPr>
              <w:spacing w:line="240" w:lineRule="auto"/>
              <w:rPr>
                <w:rFonts w:eastAsia="Arial Narrow" w:cs="Arial"/>
                <w:szCs w:val="20"/>
                <w:lang w:eastAsia="sl-SI"/>
              </w:rPr>
            </w:pPr>
          </w:p>
          <w:p w14:paraId="149B8DB2" w14:textId="77777777" w:rsidR="00FE461F" w:rsidRPr="005E4BEA" w:rsidRDefault="00FE461F" w:rsidP="00FE461F">
            <w:pPr>
              <w:spacing w:line="240" w:lineRule="auto"/>
              <w:rPr>
                <w:rFonts w:eastAsia="Arial Narrow" w:cs="Arial"/>
                <w:szCs w:val="20"/>
                <w:lang w:eastAsia="sl-SI"/>
              </w:rPr>
            </w:pPr>
          </w:p>
          <w:p w14:paraId="2E979CBD" w14:textId="77777777" w:rsidR="00FE461F" w:rsidRPr="005E4BEA" w:rsidRDefault="00FE461F" w:rsidP="00FE461F">
            <w:pPr>
              <w:spacing w:line="240" w:lineRule="auto"/>
              <w:rPr>
                <w:rFonts w:eastAsia="Arial Narrow" w:cs="Arial"/>
                <w:szCs w:val="20"/>
                <w:lang w:eastAsia="sl-SI"/>
              </w:rPr>
            </w:pPr>
          </w:p>
          <w:p w14:paraId="0964C58C" w14:textId="77777777" w:rsidR="00FE461F" w:rsidRPr="005E4BEA" w:rsidRDefault="00FE461F" w:rsidP="00FE461F">
            <w:pPr>
              <w:spacing w:line="240" w:lineRule="auto"/>
              <w:rPr>
                <w:rFonts w:eastAsia="Arial Narrow" w:cs="Arial"/>
                <w:szCs w:val="20"/>
                <w:lang w:eastAsia="sl-SI"/>
              </w:rPr>
            </w:pPr>
            <w:r w:rsidRPr="005E4BEA">
              <w:rPr>
                <w:rFonts w:eastAsia="Arial Narrow" w:cs="Arial"/>
                <w:szCs w:val="20"/>
                <w:lang w:eastAsia="sl-SI"/>
              </w:rPr>
              <w:t>Izvajanje brezšivne skrbi na primarni ravni v lekarniški dejavnosti</w:t>
            </w:r>
          </w:p>
          <w:p w14:paraId="79FB38E3" w14:textId="77777777" w:rsidR="00FE461F" w:rsidRPr="005E4BEA" w:rsidRDefault="00FE461F" w:rsidP="00FE461F">
            <w:pPr>
              <w:spacing w:line="240" w:lineRule="auto"/>
              <w:ind w:left="671"/>
              <w:rPr>
                <w:rFonts w:eastAsia="Arial Narrow" w:cs="Arial"/>
                <w:szCs w:val="20"/>
                <w:lang w:eastAsia="sl-SI"/>
              </w:rPr>
            </w:pPr>
            <w:r w:rsidRPr="005E4BEA">
              <w:rPr>
                <w:rFonts w:eastAsia="Arial Narrow" w:cs="Arial"/>
                <w:szCs w:val="20"/>
                <w:lang w:eastAsia="sl-SI"/>
              </w:rPr>
              <w:t>Sprememba OKZ (1.1.2023)</w:t>
            </w:r>
          </w:p>
          <w:p w14:paraId="35C26309" w14:textId="77777777" w:rsidR="00FE461F" w:rsidRPr="005E4BEA" w:rsidRDefault="00FE461F" w:rsidP="00FE461F">
            <w:pPr>
              <w:spacing w:line="240" w:lineRule="auto"/>
              <w:ind w:left="671"/>
              <w:rPr>
                <w:rFonts w:eastAsia="Arial Narrow" w:cs="Arial"/>
                <w:szCs w:val="20"/>
                <w:lang w:eastAsia="sl-SI"/>
              </w:rPr>
            </w:pPr>
            <w:r w:rsidRPr="005E4BEA">
              <w:rPr>
                <w:rFonts w:eastAsia="Arial Narrow" w:cs="Arial"/>
                <w:szCs w:val="20"/>
                <w:lang w:eastAsia="sl-SI"/>
              </w:rPr>
              <w:t>Pregled uporabe zdravil (PUZ) (1.1.2024)</w:t>
            </w:r>
          </w:p>
          <w:p w14:paraId="7D5E32CC" w14:textId="77777777" w:rsidR="00FE461F" w:rsidRPr="005E4BEA" w:rsidRDefault="00FE461F" w:rsidP="00FE461F">
            <w:pPr>
              <w:spacing w:line="240" w:lineRule="auto"/>
              <w:ind w:left="671"/>
              <w:rPr>
                <w:rFonts w:cs="Arial"/>
                <w:szCs w:val="20"/>
                <w:lang w:eastAsia="sl-SI"/>
              </w:rPr>
            </w:pPr>
            <w:r w:rsidRPr="005E4BEA">
              <w:rPr>
                <w:rFonts w:eastAsia="Arial Narrow" w:cs="Arial"/>
                <w:szCs w:val="20"/>
                <w:lang w:eastAsia="sl-SI"/>
              </w:rPr>
              <w:t>Kontrolni PUZ (1.1.2024)</w:t>
            </w:r>
          </w:p>
        </w:tc>
        <w:tc>
          <w:tcPr>
            <w:tcW w:w="2379" w:type="dxa"/>
            <w:tcBorders>
              <w:top w:val="single" w:sz="8" w:space="0" w:color="548DD4"/>
              <w:left w:val="single" w:sz="8" w:space="0" w:color="548DD4"/>
              <w:bottom w:val="single" w:sz="8" w:space="0" w:color="548DD4"/>
              <w:right w:val="single" w:sz="8" w:space="0" w:color="548DD4"/>
            </w:tcBorders>
          </w:tcPr>
          <w:p w14:paraId="21CFB6D8"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SKUPAJ</w:t>
            </w:r>
          </w:p>
          <w:p w14:paraId="38A64453"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UKC Ljubljana</w:t>
            </w:r>
          </w:p>
          <w:p w14:paraId="5D980568"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UKC Maribor</w:t>
            </w:r>
          </w:p>
          <w:p w14:paraId="2C145E25"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Celje</w:t>
            </w:r>
          </w:p>
          <w:p w14:paraId="246C727B"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Novo mesto</w:t>
            </w:r>
          </w:p>
          <w:p w14:paraId="6F70A5A2"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Murska Sobota</w:t>
            </w:r>
          </w:p>
          <w:p w14:paraId="4F8F2698"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Nova gorica</w:t>
            </w:r>
          </w:p>
          <w:p w14:paraId="41C8810A"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Izola</w:t>
            </w:r>
          </w:p>
          <w:p w14:paraId="440B4515"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Slovenj Gradec</w:t>
            </w:r>
          </w:p>
          <w:p w14:paraId="7F661868"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Onkološki inštitut Ljubljana</w:t>
            </w:r>
          </w:p>
          <w:p w14:paraId="0AC34F90"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Jesenice</w:t>
            </w:r>
          </w:p>
          <w:p w14:paraId="01CFEB82"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Ptuj</w:t>
            </w:r>
          </w:p>
          <w:p w14:paraId="208A8370"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Klinika Golnik</w:t>
            </w:r>
          </w:p>
          <w:p w14:paraId="7CE135C7"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Ortopedska bolnišnica Valdoltra</w:t>
            </w:r>
          </w:p>
          <w:p w14:paraId="66D91F2F"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Trbovlje</w:t>
            </w:r>
          </w:p>
          <w:p w14:paraId="328E2CB6"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SB Brežice</w:t>
            </w:r>
          </w:p>
          <w:p w14:paraId="13560568"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Bolnišnica Kranj</w:t>
            </w:r>
          </w:p>
          <w:p w14:paraId="661A1E9A"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UPK Ljubljana</w:t>
            </w:r>
          </w:p>
          <w:p w14:paraId="1314E027"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Bolnišnica Topolšica</w:t>
            </w:r>
          </w:p>
          <w:p w14:paraId="22E7E25B"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Bolnišnica Postojna</w:t>
            </w:r>
          </w:p>
          <w:p w14:paraId="34E37AA7"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URI - Soča</w:t>
            </w:r>
          </w:p>
          <w:p w14:paraId="15E517FC"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PB Idrija</w:t>
            </w:r>
          </w:p>
          <w:p w14:paraId="10D5E4AF"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PB Begunje</w:t>
            </w:r>
          </w:p>
          <w:p w14:paraId="78B2C1A5"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PB Vojnik</w:t>
            </w:r>
          </w:p>
          <w:p w14:paraId="7CBBE05B"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PB Ormož</w:t>
            </w:r>
          </w:p>
          <w:p w14:paraId="4E9B085B"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Bolnišnica Sežana</w:t>
            </w:r>
          </w:p>
          <w:p w14:paraId="2C9C6A4B" w14:textId="77777777" w:rsidR="00FE461F" w:rsidRPr="005E4BEA" w:rsidRDefault="00FE461F" w:rsidP="00FE461F">
            <w:pPr>
              <w:spacing w:line="240" w:lineRule="auto"/>
              <w:jc w:val="both"/>
              <w:rPr>
                <w:rFonts w:eastAsia="Arial Narrow" w:cs="Arial"/>
                <w:szCs w:val="20"/>
                <w:lang w:eastAsia="sl-SI"/>
              </w:rPr>
            </w:pPr>
          </w:p>
          <w:p w14:paraId="07A693EB"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Lekarne</w:t>
            </w:r>
          </w:p>
          <w:p w14:paraId="1C855B97" w14:textId="77777777" w:rsidR="00FE461F" w:rsidRPr="005E4BEA" w:rsidRDefault="00FE461F" w:rsidP="00FE461F">
            <w:pPr>
              <w:spacing w:line="240" w:lineRule="auto"/>
              <w:jc w:val="both"/>
              <w:rPr>
                <w:rFonts w:eastAsia="Arial Narrow" w:cs="Arial"/>
                <w:szCs w:val="20"/>
                <w:lang w:eastAsia="sl-SI"/>
              </w:rPr>
            </w:pPr>
          </w:p>
        </w:tc>
        <w:tc>
          <w:tcPr>
            <w:tcW w:w="1271" w:type="dxa"/>
            <w:tcBorders>
              <w:top w:val="single" w:sz="8" w:space="0" w:color="548DD4"/>
              <w:left w:val="single" w:sz="8" w:space="0" w:color="548DD4"/>
              <w:bottom w:val="single" w:sz="8" w:space="0" w:color="548DD4"/>
              <w:right w:val="single" w:sz="8" w:space="0" w:color="0070C0"/>
            </w:tcBorders>
          </w:tcPr>
          <w:p w14:paraId="431772B1"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34.789</w:t>
            </w:r>
          </w:p>
          <w:p w14:paraId="7597CB09"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9.586</w:t>
            </w:r>
          </w:p>
          <w:p w14:paraId="5B551732"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4.708</w:t>
            </w:r>
          </w:p>
          <w:p w14:paraId="6A67CDFA"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3.213</w:t>
            </w:r>
          </w:p>
          <w:p w14:paraId="2B55D07B"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2.088</w:t>
            </w:r>
          </w:p>
          <w:p w14:paraId="162BBE4D"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1.764</w:t>
            </w:r>
          </w:p>
          <w:p w14:paraId="27304B9E"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1.713</w:t>
            </w:r>
          </w:p>
          <w:p w14:paraId="02D1B65B"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1.576</w:t>
            </w:r>
          </w:p>
          <w:p w14:paraId="424D7F40"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1.527</w:t>
            </w:r>
          </w:p>
          <w:p w14:paraId="32178AF4"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1.347</w:t>
            </w:r>
          </w:p>
          <w:p w14:paraId="4C3A6ECF"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1.330</w:t>
            </w:r>
          </w:p>
          <w:p w14:paraId="78B9CF91"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945</w:t>
            </w:r>
          </w:p>
          <w:p w14:paraId="0B5CDBC0"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712</w:t>
            </w:r>
          </w:p>
          <w:p w14:paraId="046701C9"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668</w:t>
            </w:r>
          </w:p>
          <w:p w14:paraId="7EBC35DC"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653</w:t>
            </w:r>
          </w:p>
          <w:p w14:paraId="156B41D2"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619</w:t>
            </w:r>
          </w:p>
          <w:p w14:paraId="4EC8C35F"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452</w:t>
            </w:r>
          </w:p>
          <w:p w14:paraId="06FBE231"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430</w:t>
            </w:r>
          </w:p>
          <w:p w14:paraId="08211AA4"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342</w:t>
            </w:r>
          </w:p>
          <w:p w14:paraId="7907B8D3"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311</w:t>
            </w:r>
          </w:p>
          <w:p w14:paraId="384A8026"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166</w:t>
            </w:r>
          </w:p>
          <w:p w14:paraId="1D22F145"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160</w:t>
            </w:r>
          </w:p>
          <w:p w14:paraId="608EB822"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159</w:t>
            </w:r>
          </w:p>
          <w:p w14:paraId="5E3AE8E9"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133</w:t>
            </w:r>
          </w:p>
          <w:p w14:paraId="15061674"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124</w:t>
            </w:r>
          </w:p>
          <w:p w14:paraId="25981185" w14:textId="77777777" w:rsidR="00FE461F" w:rsidRPr="005E4BEA" w:rsidRDefault="00FE461F" w:rsidP="00FE461F">
            <w:pPr>
              <w:spacing w:line="240" w:lineRule="auto"/>
              <w:jc w:val="center"/>
              <w:rPr>
                <w:rFonts w:eastAsia="Arial Narrow" w:cs="Arial"/>
                <w:szCs w:val="20"/>
                <w:lang w:eastAsia="sl-SI"/>
              </w:rPr>
            </w:pPr>
            <w:r w:rsidRPr="005E4BEA">
              <w:rPr>
                <w:rFonts w:eastAsia="Arial Narrow" w:cs="Arial"/>
                <w:szCs w:val="20"/>
                <w:lang w:eastAsia="sl-SI"/>
              </w:rPr>
              <w:t>66</w:t>
            </w:r>
          </w:p>
          <w:p w14:paraId="55E4E9B1" w14:textId="77777777" w:rsidR="00FE461F" w:rsidRPr="005E4BEA" w:rsidRDefault="00FE461F" w:rsidP="00FE461F">
            <w:pPr>
              <w:spacing w:line="240" w:lineRule="auto"/>
              <w:jc w:val="center"/>
              <w:rPr>
                <w:rFonts w:eastAsia="Arial Narrow" w:cs="Arial"/>
                <w:szCs w:val="20"/>
                <w:lang w:eastAsia="sl-SI"/>
              </w:rPr>
            </w:pPr>
          </w:p>
          <w:p w14:paraId="49E604FD" w14:textId="77777777" w:rsidR="00FE461F" w:rsidRPr="005E4BEA" w:rsidRDefault="00FE461F" w:rsidP="00FE461F">
            <w:pPr>
              <w:spacing w:line="240" w:lineRule="auto"/>
              <w:jc w:val="center"/>
              <w:rPr>
                <w:rFonts w:eastAsia="Arial Narrow" w:cs="Arial"/>
                <w:szCs w:val="20"/>
                <w:lang w:eastAsia="sl-SI"/>
              </w:rPr>
            </w:pPr>
          </w:p>
          <w:p w14:paraId="185A4803" w14:textId="77777777" w:rsidR="00FE461F" w:rsidRPr="005E4BEA" w:rsidRDefault="00FE461F" w:rsidP="00FE461F">
            <w:pPr>
              <w:spacing w:line="240" w:lineRule="auto"/>
              <w:jc w:val="center"/>
              <w:rPr>
                <w:rFonts w:eastAsia="Arial Narrow" w:cs="Arial"/>
                <w:szCs w:val="20"/>
                <w:lang w:eastAsia="sl-SI"/>
              </w:rPr>
            </w:pPr>
          </w:p>
        </w:tc>
        <w:tc>
          <w:tcPr>
            <w:tcW w:w="1094" w:type="dxa"/>
            <w:tcBorders>
              <w:top w:val="single" w:sz="8" w:space="0" w:color="0070C0"/>
              <w:left w:val="single" w:sz="8" w:space="0" w:color="0070C0"/>
              <w:bottom w:val="single" w:sz="8" w:space="0" w:color="0070C0"/>
              <w:right w:val="single" w:sz="8" w:space="0" w:color="0070C0"/>
            </w:tcBorders>
          </w:tcPr>
          <w:p w14:paraId="5A89565B" w14:textId="77777777" w:rsidR="00FE461F" w:rsidRPr="005E4BEA" w:rsidRDefault="00FE461F" w:rsidP="00FE461F">
            <w:pPr>
              <w:spacing w:line="240" w:lineRule="auto"/>
              <w:jc w:val="right"/>
              <w:rPr>
                <w:rFonts w:eastAsia="Arial Narrow" w:cs="Arial"/>
                <w:color w:val="000000"/>
                <w:szCs w:val="20"/>
                <w:lang w:eastAsia="sl-SI"/>
              </w:rPr>
            </w:pPr>
            <w:r w:rsidRPr="005E4BEA">
              <w:rPr>
                <w:rFonts w:eastAsia="Arial Narrow" w:cs="Arial"/>
                <w:color w:val="000000"/>
                <w:szCs w:val="20"/>
                <w:lang w:eastAsia="sl-SI"/>
              </w:rPr>
              <w:t>1.329.269</w:t>
            </w:r>
          </w:p>
          <w:p w14:paraId="61C2D4E5" w14:textId="77777777" w:rsidR="00FE461F" w:rsidRPr="005E4BEA" w:rsidRDefault="00FE461F" w:rsidP="00FE461F">
            <w:pPr>
              <w:spacing w:line="240" w:lineRule="auto"/>
              <w:jc w:val="right"/>
              <w:rPr>
                <w:rFonts w:eastAsia="Arial Narrow" w:cs="Arial"/>
                <w:color w:val="000000"/>
                <w:szCs w:val="20"/>
                <w:lang w:eastAsia="sl-SI"/>
              </w:rPr>
            </w:pPr>
          </w:p>
          <w:p w14:paraId="0A6E4E5B" w14:textId="77777777" w:rsidR="00FE461F" w:rsidRPr="005E4BEA" w:rsidRDefault="00FE461F" w:rsidP="00FE461F">
            <w:pPr>
              <w:spacing w:line="240" w:lineRule="auto"/>
              <w:jc w:val="right"/>
              <w:rPr>
                <w:rFonts w:eastAsia="Arial Narrow" w:cs="Arial"/>
                <w:color w:val="000000"/>
                <w:szCs w:val="20"/>
                <w:lang w:eastAsia="sl-SI"/>
              </w:rPr>
            </w:pPr>
          </w:p>
          <w:p w14:paraId="44C0A185" w14:textId="77777777" w:rsidR="00FE461F" w:rsidRPr="005E4BEA" w:rsidRDefault="00FE461F" w:rsidP="00FE461F">
            <w:pPr>
              <w:spacing w:line="240" w:lineRule="auto"/>
              <w:jc w:val="right"/>
              <w:rPr>
                <w:rFonts w:eastAsia="Arial Narrow" w:cs="Arial"/>
                <w:color w:val="000000"/>
                <w:szCs w:val="20"/>
                <w:lang w:eastAsia="sl-SI"/>
              </w:rPr>
            </w:pPr>
          </w:p>
          <w:p w14:paraId="2D014874" w14:textId="77777777" w:rsidR="00FE461F" w:rsidRPr="005E4BEA" w:rsidRDefault="00FE461F" w:rsidP="00FE461F">
            <w:pPr>
              <w:spacing w:line="240" w:lineRule="auto"/>
              <w:jc w:val="right"/>
              <w:rPr>
                <w:rFonts w:eastAsia="Arial Narrow" w:cs="Arial"/>
                <w:color w:val="000000"/>
                <w:szCs w:val="20"/>
                <w:lang w:eastAsia="sl-SI"/>
              </w:rPr>
            </w:pPr>
          </w:p>
          <w:p w14:paraId="25455B84" w14:textId="77777777" w:rsidR="00FE461F" w:rsidRPr="005E4BEA" w:rsidRDefault="00FE461F" w:rsidP="00FE461F">
            <w:pPr>
              <w:spacing w:line="240" w:lineRule="auto"/>
              <w:jc w:val="right"/>
              <w:rPr>
                <w:rFonts w:eastAsia="Arial Narrow" w:cs="Arial"/>
                <w:color w:val="000000"/>
                <w:szCs w:val="20"/>
                <w:lang w:eastAsia="sl-SI"/>
              </w:rPr>
            </w:pPr>
          </w:p>
          <w:p w14:paraId="70D49477" w14:textId="77777777" w:rsidR="00FE461F" w:rsidRPr="005E4BEA" w:rsidRDefault="00FE461F" w:rsidP="00FE461F">
            <w:pPr>
              <w:spacing w:line="240" w:lineRule="auto"/>
              <w:jc w:val="right"/>
              <w:rPr>
                <w:rFonts w:eastAsia="Arial Narrow" w:cs="Arial"/>
                <w:color w:val="000000"/>
                <w:szCs w:val="20"/>
                <w:lang w:eastAsia="sl-SI"/>
              </w:rPr>
            </w:pPr>
          </w:p>
          <w:p w14:paraId="26509E4E" w14:textId="77777777" w:rsidR="00FE461F" w:rsidRPr="005E4BEA" w:rsidRDefault="00FE461F" w:rsidP="00FE461F">
            <w:pPr>
              <w:spacing w:line="240" w:lineRule="auto"/>
              <w:jc w:val="right"/>
              <w:rPr>
                <w:rFonts w:eastAsia="Arial Narrow" w:cs="Arial"/>
                <w:color w:val="000000"/>
                <w:szCs w:val="20"/>
                <w:lang w:eastAsia="sl-SI"/>
              </w:rPr>
            </w:pPr>
          </w:p>
          <w:p w14:paraId="7DD5E096" w14:textId="77777777" w:rsidR="00FE461F" w:rsidRPr="005E4BEA" w:rsidRDefault="00FE461F" w:rsidP="00FE461F">
            <w:pPr>
              <w:spacing w:line="240" w:lineRule="auto"/>
              <w:jc w:val="right"/>
              <w:rPr>
                <w:rFonts w:eastAsia="Arial Narrow" w:cs="Arial"/>
                <w:color w:val="000000"/>
                <w:szCs w:val="20"/>
                <w:lang w:eastAsia="sl-SI"/>
              </w:rPr>
            </w:pPr>
          </w:p>
          <w:p w14:paraId="1115DAEC" w14:textId="77777777" w:rsidR="00FE461F" w:rsidRPr="005E4BEA" w:rsidRDefault="00FE461F" w:rsidP="00FE461F">
            <w:pPr>
              <w:spacing w:line="240" w:lineRule="auto"/>
              <w:jc w:val="right"/>
              <w:rPr>
                <w:rFonts w:eastAsia="Arial Narrow" w:cs="Arial"/>
                <w:color w:val="000000"/>
                <w:szCs w:val="20"/>
                <w:lang w:eastAsia="sl-SI"/>
              </w:rPr>
            </w:pPr>
          </w:p>
          <w:p w14:paraId="0E7C501A" w14:textId="77777777" w:rsidR="00FE461F" w:rsidRPr="005E4BEA" w:rsidRDefault="00FE461F" w:rsidP="00FE461F">
            <w:pPr>
              <w:spacing w:line="240" w:lineRule="auto"/>
              <w:jc w:val="right"/>
              <w:rPr>
                <w:rFonts w:eastAsia="Arial Narrow" w:cs="Arial"/>
                <w:color w:val="000000"/>
                <w:szCs w:val="20"/>
                <w:lang w:eastAsia="sl-SI"/>
              </w:rPr>
            </w:pPr>
          </w:p>
          <w:p w14:paraId="5219AA0B" w14:textId="77777777" w:rsidR="00FE461F" w:rsidRPr="005E4BEA" w:rsidRDefault="00FE461F" w:rsidP="00FE461F">
            <w:pPr>
              <w:spacing w:line="240" w:lineRule="auto"/>
              <w:jc w:val="right"/>
              <w:rPr>
                <w:rFonts w:eastAsia="Arial Narrow" w:cs="Arial"/>
                <w:color w:val="000000"/>
                <w:szCs w:val="20"/>
                <w:lang w:eastAsia="sl-SI"/>
              </w:rPr>
            </w:pPr>
          </w:p>
          <w:p w14:paraId="3D9D5578" w14:textId="77777777" w:rsidR="00FE461F" w:rsidRPr="005E4BEA" w:rsidRDefault="00FE461F" w:rsidP="00FE461F">
            <w:pPr>
              <w:spacing w:line="240" w:lineRule="auto"/>
              <w:jc w:val="right"/>
              <w:rPr>
                <w:rFonts w:eastAsia="Arial Narrow" w:cs="Arial"/>
                <w:color w:val="000000"/>
                <w:szCs w:val="20"/>
                <w:lang w:eastAsia="sl-SI"/>
              </w:rPr>
            </w:pPr>
          </w:p>
          <w:p w14:paraId="57E49E88" w14:textId="77777777" w:rsidR="00FE461F" w:rsidRPr="005E4BEA" w:rsidRDefault="00FE461F" w:rsidP="00FE461F">
            <w:pPr>
              <w:spacing w:line="240" w:lineRule="auto"/>
              <w:jc w:val="right"/>
              <w:rPr>
                <w:rFonts w:eastAsia="Arial Narrow" w:cs="Arial"/>
                <w:color w:val="000000"/>
                <w:szCs w:val="20"/>
                <w:lang w:eastAsia="sl-SI"/>
              </w:rPr>
            </w:pPr>
          </w:p>
          <w:p w14:paraId="78A29B3F" w14:textId="77777777" w:rsidR="00FE461F" w:rsidRPr="005E4BEA" w:rsidRDefault="00FE461F" w:rsidP="00FE461F">
            <w:pPr>
              <w:spacing w:line="240" w:lineRule="auto"/>
              <w:jc w:val="right"/>
              <w:rPr>
                <w:rFonts w:eastAsia="Arial Narrow" w:cs="Arial"/>
                <w:color w:val="000000"/>
                <w:szCs w:val="20"/>
                <w:lang w:eastAsia="sl-SI"/>
              </w:rPr>
            </w:pPr>
          </w:p>
          <w:p w14:paraId="112AC9E8" w14:textId="77777777" w:rsidR="00FE461F" w:rsidRPr="005E4BEA" w:rsidRDefault="00FE461F" w:rsidP="00FE461F">
            <w:pPr>
              <w:spacing w:line="240" w:lineRule="auto"/>
              <w:jc w:val="right"/>
              <w:rPr>
                <w:rFonts w:eastAsia="Arial Narrow" w:cs="Arial"/>
                <w:color w:val="000000"/>
                <w:szCs w:val="20"/>
                <w:lang w:eastAsia="sl-SI"/>
              </w:rPr>
            </w:pPr>
          </w:p>
          <w:p w14:paraId="3190933D" w14:textId="77777777" w:rsidR="00FE461F" w:rsidRPr="005E4BEA" w:rsidRDefault="00FE461F" w:rsidP="00FE461F">
            <w:pPr>
              <w:spacing w:line="240" w:lineRule="auto"/>
              <w:jc w:val="right"/>
              <w:rPr>
                <w:rFonts w:eastAsia="Arial Narrow" w:cs="Arial"/>
                <w:color w:val="000000"/>
                <w:szCs w:val="20"/>
                <w:lang w:eastAsia="sl-SI"/>
              </w:rPr>
            </w:pPr>
          </w:p>
          <w:p w14:paraId="126D495B" w14:textId="77777777" w:rsidR="00FE461F" w:rsidRPr="005E4BEA" w:rsidRDefault="00FE461F" w:rsidP="00FE461F">
            <w:pPr>
              <w:spacing w:line="240" w:lineRule="auto"/>
              <w:jc w:val="right"/>
              <w:rPr>
                <w:rFonts w:eastAsia="Arial Narrow" w:cs="Arial"/>
                <w:color w:val="000000"/>
                <w:szCs w:val="20"/>
                <w:lang w:eastAsia="sl-SI"/>
              </w:rPr>
            </w:pPr>
          </w:p>
          <w:p w14:paraId="05A3D266" w14:textId="77777777" w:rsidR="00FE461F" w:rsidRPr="005E4BEA" w:rsidRDefault="00FE461F" w:rsidP="00FE461F">
            <w:pPr>
              <w:spacing w:line="240" w:lineRule="auto"/>
              <w:jc w:val="right"/>
              <w:rPr>
                <w:rFonts w:eastAsia="Arial Narrow" w:cs="Arial"/>
                <w:color w:val="000000"/>
                <w:szCs w:val="20"/>
                <w:lang w:eastAsia="sl-SI"/>
              </w:rPr>
            </w:pPr>
          </w:p>
          <w:p w14:paraId="78CB3837" w14:textId="77777777" w:rsidR="00FE461F" w:rsidRPr="005E4BEA" w:rsidRDefault="00FE461F" w:rsidP="00FE461F">
            <w:pPr>
              <w:spacing w:line="240" w:lineRule="auto"/>
              <w:jc w:val="right"/>
              <w:rPr>
                <w:rFonts w:eastAsia="Arial Narrow" w:cs="Arial"/>
                <w:color w:val="000000"/>
                <w:szCs w:val="20"/>
                <w:lang w:eastAsia="sl-SI"/>
              </w:rPr>
            </w:pPr>
          </w:p>
          <w:p w14:paraId="273899C8" w14:textId="77777777" w:rsidR="00FE461F" w:rsidRPr="005E4BEA" w:rsidRDefault="00FE461F" w:rsidP="00FE461F">
            <w:pPr>
              <w:spacing w:line="240" w:lineRule="auto"/>
              <w:jc w:val="right"/>
              <w:rPr>
                <w:rFonts w:eastAsia="Arial Narrow" w:cs="Arial"/>
                <w:color w:val="000000"/>
                <w:szCs w:val="20"/>
                <w:lang w:eastAsia="sl-SI"/>
              </w:rPr>
            </w:pPr>
          </w:p>
          <w:p w14:paraId="4170549D" w14:textId="77777777" w:rsidR="00FE461F" w:rsidRPr="005E4BEA" w:rsidRDefault="00FE461F" w:rsidP="00FE461F">
            <w:pPr>
              <w:spacing w:line="240" w:lineRule="auto"/>
              <w:jc w:val="right"/>
              <w:rPr>
                <w:rFonts w:eastAsia="Arial Narrow" w:cs="Arial"/>
                <w:color w:val="000000"/>
                <w:szCs w:val="20"/>
                <w:lang w:eastAsia="sl-SI"/>
              </w:rPr>
            </w:pPr>
          </w:p>
          <w:p w14:paraId="0D6AE567" w14:textId="77777777" w:rsidR="00FE461F" w:rsidRPr="005E4BEA" w:rsidRDefault="00FE461F" w:rsidP="00FE461F">
            <w:pPr>
              <w:spacing w:line="240" w:lineRule="auto"/>
              <w:jc w:val="right"/>
              <w:rPr>
                <w:rFonts w:eastAsia="Arial Narrow" w:cs="Arial"/>
                <w:color w:val="000000"/>
                <w:szCs w:val="20"/>
                <w:lang w:eastAsia="sl-SI"/>
              </w:rPr>
            </w:pPr>
          </w:p>
          <w:p w14:paraId="58EF5624" w14:textId="77777777" w:rsidR="00FE461F" w:rsidRPr="005E4BEA" w:rsidRDefault="00FE461F" w:rsidP="00FE461F">
            <w:pPr>
              <w:spacing w:line="240" w:lineRule="auto"/>
              <w:jc w:val="right"/>
              <w:rPr>
                <w:rFonts w:eastAsia="Arial Narrow" w:cs="Arial"/>
                <w:color w:val="000000"/>
                <w:szCs w:val="20"/>
                <w:lang w:eastAsia="sl-SI"/>
              </w:rPr>
            </w:pPr>
          </w:p>
          <w:p w14:paraId="70C885FB" w14:textId="77777777" w:rsidR="00FE461F" w:rsidRPr="005E4BEA" w:rsidRDefault="00FE461F" w:rsidP="00FE461F">
            <w:pPr>
              <w:spacing w:line="240" w:lineRule="auto"/>
              <w:jc w:val="right"/>
              <w:rPr>
                <w:rFonts w:eastAsia="Arial Narrow" w:cs="Arial"/>
                <w:color w:val="000000"/>
                <w:szCs w:val="20"/>
                <w:lang w:eastAsia="sl-SI"/>
              </w:rPr>
            </w:pPr>
          </w:p>
          <w:p w14:paraId="57C8E565" w14:textId="77777777" w:rsidR="00FE461F" w:rsidRPr="005E4BEA" w:rsidRDefault="00FE461F" w:rsidP="00FE461F">
            <w:pPr>
              <w:spacing w:line="240" w:lineRule="auto"/>
              <w:jc w:val="right"/>
              <w:rPr>
                <w:rFonts w:eastAsia="Arial Narrow" w:cs="Arial"/>
                <w:color w:val="000000"/>
                <w:szCs w:val="20"/>
                <w:lang w:eastAsia="sl-SI"/>
              </w:rPr>
            </w:pPr>
          </w:p>
          <w:p w14:paraId="51152D3B" w14:textId="77777777" w:rsidR="00FE461F" w:rsidRPr="005E4BEA" w:rsidRDefault="00FE461F" w:rsidP="00FE461F">
            <w:pPr>
              <w:spacing w:line="240" w:lineRule="auto"/>
              <w:jc w:val="right"/>
              <w:rPr>
                <w:rFonts w:eastAsia="Arial Narrow" w:cs="Arial"/>
                <w:color w:val="000000"/>
                <w:szCs w:val="20"/>
                <w:lang w:eastAsia="sl-SI"/>
              </w:rPr>
            </w:pPr>
          </w:p>
          <w:p w14:paraId="34750C99" w14:textId="77777777" w:rsidR="00FE461F" w:rsidRPr="005E4BEA" w:rsidRDefault="00FE461F" w:rsidP="00FE461F">
            <w:pPr>
              <w:spacing w:line="240" w:lineRule="auto"/>
              <w:jc w:val="right"/>
              <w:rPr>
                <w:rFonts w:eastAsia="Arial Narrow" w:cs="Arial"/>
                <w:color w:val="000000"/>
                <w:szCs w:val="20"/>
                <w:lang w:eastAsia="sl-SI"/>
              </w:rPr>
            </w:pPr>
            <w:r w:rsidRPr="005E4BEA">
              <w:rPr>
                <w:rFonts w:eastAsia="Arial Narrow" w:cs="Arial"/>
                <w:color w:val="000000"/>
                <w:szCs w:val="20"/>
                <w:lang w:eastAsia="sl-SI"/>
              </w:rPr>
              <w:t>336.590,00</w:t>
            </w:r>
          </w:p>
          <w:p w14:paraId="09710D19" w14:textId="77777777" w:rsidR="00FE461F" w:rsidRPr="005E4BEA" w:rsidRDefault="00FE461F" w:rsidP="00FE461F">
            <w:pPr>
              <w:spacing w:line="240" w:lineRule="auto"/>
              <w:jc w:val="right"/>
              <w:rPr>
                <w:rFonts w:eastAsia="Arial Narrow" w:cs="Arial"/>
                <w:color w:val="000000"/>
                <w:szCs w:val="20"/>
                <w:lang w:eastAsia="sl-SI"/>
              </w:rPr>
            </w:pPr>
          </w:p>
          <w:p w14:paraId="51101E72" w14:textId="77777777" w:rsidR="00FE461F" w:rsidRPr="005E4BEA" w:rsidRDefault="00FE461F" w:rsidP="00FE461F">
            <w:pPr>
              <w:spacing w:line="240" w:lineRule="auto"/>
              <w:jc w:val="right"/>
              <w:rPr>
                <w:rFonts w:eastAsia="Arial Narrow" w:cs="Arial"/>
                <w:i/>
                <w:iCs/>
                <w:color w:val="000000"/>
                <w:szCs w:val="20"/>
                <w:lang w:eastAsia="sl-SI"/>
              </w:rPr>
            </w:pPr>
            <w:r w:rsidRPr="005E4BEA">
              <w:rPr>
                <w:rFonts w:eastAsia="Arial Narrow" w:cs="Arial"/>
                <w:i/>
                <w:iCs/>
                <w:color w:val="000000"/>
                <w:szCs w:val="20"/>
                <w:lang w:eastAsia="sl-SI"/>
              </w:rPr>
              <w:t>41.640,00</w:t>
            </w:r>
          </w:p>
          <w:p w14:paraId="726CD540" w14:textId="77777777" w:rsidR="00FE461F" w:rsidRPr="005E4BEA" w:rsidRDefault="00FE461F" w:rsidP="00FE461F">
            <w:pPr>
              <w:spacing w:line="240" w:lineRule="auto"/>
              <w:jc w:val="right"/>
              <w:rPr>
                <w:rFonts w:eastAsia="Arial Narrow" w:cs="Arial"/>
                <w:i/>
                <w:iCs/>
                <w:color w:val="000000"/>
                <w:szCs w:val="20"/>
                <w:lang w:eastAsia="sl-SI"/>
              </w:rPr>
            </w:pPr>
          </w:p>
          <w:p w14:paraId="543DF049" w14:textId="77777777" w:rsidR="00FE461F" w:rsidRPr="005E4BEA" w:rsidRDefault="00FE461F" w:rsidP="00FE461F">
            <w:pPr>
              <w:spacing w:line="240" w:lineRule="auto"/>
              <w:jc w:val="right"/>
              <w:rPr>
                <w:rFonts w:eastAsia="Arial Narrow" w:cs="Arial"/>
                <w:i/>
                <w:iCs/>
                <w:color w:val="000000"/>
                <w:szCs w:val="20"/>
                <w:lang w:eastAsia="sl-SI"/>
              </w:rPr>
            </w:pPr>
            <w:r w:rsidRPr="005E4BEA">
              <w:rPr>
                <w:rFonts w:eastAsia="Arial Narrow" w:cs="Arial"/>
                <w:i/>
                <w:iCs/>
                <w:color w:val="000000"/>
                <w:szCs w:val="20"/>
                <w:lang w:eastAsia="sl-SI"/>
              </w:rPr>
              <w:t>156.150,00</w:t>
            </w:r>
          </w:p>
          <w:p w14:paraId="6737FA0F" w14:textId="77777777" w:rsidR="00FE461F" w:rsidRPr="005E4BEA" w:rsidRDefault="00FE461F" w:rsidP="00FE461F">
            <w:pPr>
              <w:spacing w:line="240" w:lineRule="auto"/>
              <w:jc w:val="right"/>
              <w:rPr>
                <w:rFonts w:eastAsia="Arial Narrow" w:cs="Arial"/>
                <w:color w:val="000000"/>
                <w:szCs w:val="20"/>
                <w:lang w:eastAsia="sl-SI"/>
              </w:rPr>
            </w:pPr>
            <w:r w:rsidRPr="005E4BEA">
              <w:rPr>
                <w:rFonts w:eastAsia="Arial Narrow" w:cs="Arial"/>
                <w:i/>
                <w:iCs/>
                <w:color w:val="000000"/>
                <w:szCs w:val="20"/>
                <w:lang w:eastAsia="sl-SI"/>
              </w:rPr>
              <w:t>138.800,00</w:t>
            </w:r>
          </w:p>
          <w:p w14:paraId="6980ED9C" w14:textId="77777777" w:rsidR="00FE461F" w:rsidRPr="005E4BEA" w:rsidRDefault="00FE461F" w:rsidP="00FE461F">
            <w:pPr>
              <w:spacing w:line="240" w:lineRule="auto"/>
              <w:jc w:val="right"/>
              <w:rPr>
                <w:rFonts w:eastAsia="Arial Narrow" w:cs="Arial"/>
                <w:color w:val="000000"/>
                <w:szCs w:val="20"/>
                <w:lang w:eastAsia="sl-SI"/>
              </w:rPr>
            </w:pPr>
          </w:p>
        </w:tc>
        <w:tc>
          <w:tcPr>
            <w:tcW w:w="1271" w:type="dxa"/>
            <w:tcBorders>
              <w:top w:val="single" w:sz="8" w:space="0" w:color="0070C0"/>
              <w:left w:val="single" w:sz="8" w:space="0" w:color="0070C0"/>
              <w:bottom w:val="single" w:sz="8" w:space="0" w:color="0070C0"/>
              <w:right w:val="single" w:sz="8" w:space="0" w:color="0070C0"/>
            </w:tcBorders>
          </w:tcPr>
          <w:p w14:paraId="1228638C" w14:textId="77777777" w:rsidR="00FE461F" w:rsidRPr="005E4BEA" w:rsidRDefault="00FE461F" w:rsidP="00FE461F">
            <w:pPr>
              <w:spacing w:line="240" w:lineRule="auto"/>
              <w:jc w:val="right"/>
              <w:rPr>
                <w:rFonts w:eastAsia="Arial Narrow" w:cs="Arial"/>
                <w:color w:val="000000"/>
                <w:szCs w:val="20"/>
                <w:lang w:eastAsia="sl-SI"/>
              </w:rPr>
            </w:pPr>
          </w:p>
          <w:p w14:paraId="327FBE96" w14:textId="77777777" w:rsidR="00FE461F" w:rsidRPr="005E4BEA" w:rsidRDefault="00FE461F" w:rsidP="00FE461F">
            <w:pPr>
              <w:spacing w:line="240" w:lineRule="auto"/>
              <w:jc w:val="right"/>
              <w:rPr>
                <w:rFonts w:eastAsia="Arial Narrow" w:cs="Arial"/>
                <w:color w:val="000000"/>
                <w:szCs w:val="20"/>
                <w:lang w:eastAsia="sl-SI"/>
              </w:rPr>
            </w:pPr>
          </w:p>
          <w:p w14:paraId="69BF5A54" w14:textId="77777777" w:rsidR="00FE461F" w:rsidRPr="005E4BEA" w:rsidRDefault="00FE461F" w:rsidP="00FE461F">
            <w:pPr>
              <w:spacing w:line="240" w:lineRule="auto"/>
              <w:jc w:val="right"/>
              <w:rPr>
                <w:rFonts w:eastAsia="Arial Narrow" w:cs="Arial"/>
                <w:color w:val="000000"/>
                <w:szCs w:val="20"/>
                <w:lang w:eastAsia="sl-SI"/>
              </w:rPr>
            </w:pPr>
          </w:p>
          <w:p w14:paraId="6CF9408C" w14:textId="77777777" w:rsidR="00FE461F" w:rsidRPr="005E4BEA" w:rsidRDefault="00FE461F" w:rsidP="00FE461F">
            <w:pPr>
              <w:spacing w:line="240" w:lineRule="auto"/>
              <w:jc w:val="right"/>
              <w:rPr>
                <w:rFonts w:eastAsia="Arial Narrow" w:cs="Arial"/>
                <w:color w:val="000000"/>
                <w:szCs w:val="20"/>
                <w:lang w:eastAsia="sl-SI"/>
              </w:rPr>
            </w:pPr>
          </w:p>
          <w:p w14:paraId="312E3A9D" w14:textId="77777777" w:rsidR="00FE461F" w:rsidRPr="005E4BEA" w:rsidRDefault="00FE461F" w:rsidP="00FE461F">
            <w:pPr>
              <w:spacing w:line="240" w:lineRule="auto"/>
              <w:jc w:val="right"/>
              <w:rPr>
                <w:rFonts w:eastAsia="Arial Narrow" w:cs="Arial"/>
                <w:color w:val="000000"/>
                <w:szCs w:val="20"/>
                <w:lang w:eastAsia="sl-SI"/>
              </w:rPr>
            </w:pPr>
          </w:p>
          <w:p w14:paraId="558B6756" w14:textId="77777777" w:rsidR="00FE461F" w:rsidRPr="005E4BEA" w:rsidRDefault="00FE461F" w:rsidP="00FE461F">
            <w:pPr>
              <w:spacing w:line="240" w:lineRule="auto"/>
              <w:jc w:val="right"/>
              <w:rPr>
                <w:rFonts w:eastAsia="Arial Narrow" w:cs="Arial"/>
                <w:color w:val="000000"/>
                <w:szCs w:val="20"/>
                <w:lang w:eastAsia="sl-SI"/>
              </w:rPr>
            </w:pPr>
          </w:p>
          <w:p w14:paraId="600820F6" w14:textId="77777777" w:rsidR="00FE461F" w:rsidRPr="005E4BEA" w:rsidRDefault="00FE461F" w:rsidP="00FE461F">
            <w:pPr>
              <w:spacing w:line="240" w:lineRule="auto"/>
              <w:jc w:val="right"/>
              <w:rPr>
                <w:rFonts w:eastAsia="Arial Narrow" w:cs="Arial"/>
                <w:color w:val="000000"/>
                <w:szCs w:val="20"/>
                <w:lang w:eastAsia="sl-SI"/>
              </w:rPr>
            </w:pPr>
          </w:p>
          <w:p w14:paraId="32E56B96" w14:textId="77777777" w:rsidR="00FE461F" w:rsidRPr="005E4BEA" w:rsidRDefault="00FE461F" w:rsidP="00FE461F">
            <w:pPr>
              <w:spacing w:line="240" w:lineRule="auto"/>
              <w:jc w:val="right"/>
              <w:rPr>
                <w:rFonts w:eastAsia="Arial Narrow" w:cs="Arial"/>
                <w:color w:val="000000"/>
                <w:szCs w:val="20"/>
                <w:lang w:eastAsia="sl-SI"/>
              </w:rPr>
            </w:pPr>
          </w:p>
          <w:p w14:paraId="265D3AC0" w14:textId="77777777" w:rsidR="00FE461F" w:rsidRPr="005E4BEA" w:rsidRDefault="00FE461F" w:rsidP="00FE461F">
            <w:pPr>
              <w:spacing w:line="240" w:lineRule="auto"/>
              <w:jc w:val="right"/>
              <w:rPr>
                <w:rFonts w:eastAsia="Arial Narrow" w:cs="Arial"/>
                <w:color w:val="000000"/>
                <w:szCs w:val="20"/>
                <w:lang w:eastAsia="sl-SI"/>
              </w:rPr>
            </w:pPr>
          </w:p>
          <w:p w14:paraId="61A3A8BF" w14:textId="77777777" w:rsidR="00FE461F" w:rsidRPr="005E4BEA" w:rsidRDefault="00FE461F" w:rsidP="00FE461F">
            <w:pPr>
              <w:spacing w:line="240" w:lineRule="auto"/>
              <w:jc w:val="right"/>
              <w:rPr>
                <w:rFonts w:eastAsia="Arial Narrow" w:cs="Arial"/>
                <w:color w:val="000000"/>
                <w:szCs w:val="20"/>
                <w:lang w:eastAsia="sl-SI"/>
              </w:rPr>
            </w:pPr>
          </w:p>
          <w:p w14:paraId="5E8D8EC9" w14:textId="77777777" w:rsidR="00FE461F" w:rsidRPr="005E4BEA" w:rsidRDefault="00FE461F" w:rsidP="00FE461F">
            <w:pPr>
              <w:spacing w:line="240" w:lineRule="auto"/>
              <w:jc w:val="right"/>
              <w:rPr>
                <w:rFonts w:eastAsia="Arial Narrow" w:cs="Arial"/>
                <w:color w:val="000000"/>
                <w:szCs w:val="20"/>
                <w:lang w:eastAsia="sl-SI"/>
              </w:rPr>
            </w:pPr>
          </w:p>
          <w:p w14:paraId="77ABA855" w14:textId="77777777" w:rsidR="00FE461F" w:rsidRPr="005E4BEA" w:rsidRDefault="00FE461F" w:rsidP="00FE461F">
            <w:pPr>
              <w:spacing w:line="240" w:lineRule="auto"/>
              <w:jc w:val="right"/>
              <w:rPr>
                <w:rFonts w:eastAsia="Arial Narrow" w:cs="Arial"/>
                <w:color w:val="000000"/>
                <w:szCs w:val="20"/>
                <w:lang w:eastAsia="sl-SI"/>
              </w:rPr>
            </w:pPr>
          </w:p>
          <w:p w14:paraId="0F65B3A0" w14:textId="77777777" w:rsidR="00FE461F" w:rsidRPr="005E4BEA" w:rsidRDefault="00FE461F" w:rsidP="00FE461F">
            <w:pPr>
              <w:spacing w:line="240" w:lineRule="auto"/>
              <w:jc w:val="right"/>
              <w:rPr>
                <w:rFonts w:eastAsia="Arial Narrow" w:cs="Arial"/>
                <w:color w:val="000000"/>
                <w:szCs w:val="20"/>
                <w:lang w:eastAsia="sl-SI"/>
              </w:rPr>
            </w:pPr>
          </w:p>
          <w:p w14:paraId="4BA8C695" w14:textId="77777777" w:rsidR="00FE461F" w:rsidRPr="005E4BEA" w:rsidRDefault="00FE461F" w:rsidP="00FE461F">
            <w:pPr>
              <w:spacing w:line="240" w:lineRule="auto"/>
              <w:jc w:val="right"/>
              <w:rPr>
                <w:rFonts w:eastAsia="Arial Narrow" w:cs="Arial"/>
                <w:color w:val="000000"/>
                <w:szCs w:val="20"/>
                <w:lang w:eastAsia="sl-SI"/>
              </w:rPr>
            </w:pPr>
          </w:p>
          <w:p w14:paraId="24D72A95" w14:textId="77777777" w:rsidR="00FE461F" w:rsidRPr="005E4BEA" w:rsidRDefault="00FE461F" w:rsidP="00FE461F">
            <w:pPr>
              <w:spacing w:line="240" w:lineRule="auto"/>
              <w:jc w:val="right"/>
              <w:rPr>
                <w:rFonts w:eastAsia="Arial Narrow" w:cs="Arial"/>
                <w:color w:val="000000"/>
                <w:szCs w:val="20"/>
                <w:lang w:eastAsia="sl-SI"/>
              </w:rPr>
            </w:pPr>
          </w:p>
          <w:p w14:paraId="6D89518B" w14:textId="77777777" w:rsidR="00FE461F" w:rsidRPr="005E4BEA" w:rsidRDefault="00FE461F" w:rsidP="00FE461F">
            <w:pPr>
              <w:spacing w:line="240" w:lineRule="auto"/>
              <w:jc w:val="right"/>
              <w:rPr>
                <w:rFonts w:eastAsia="Arial Narrow" w:cs="Arial"/>
                <w:color w:val="000000"/>
                <w:szCs w:val="20"/>
                <w:lang w:eastAsia="sl-SI"/>
              </w:rPr>
            </w:pPr>
          </w:p>
          <w:p w14:paraId="480A4346" w14:textId="77777777" w:rsidR="00FE461F" w:rsidRPr="005E4BEA" w:rsidRDefault="00FE461F" w:rsidP="00FE461F">
            <w:pPr>
              <w:spacing w:line="240" w:lineRule="auto"/>
              <w:jc w:val="right"/>
              <w:rPr>
                <w:rFonts w:eastAsia="Arial Narrow" w:cs="Arial"/>
                <w:color w:val="000000"/>
                <w:szCs w:val="20"/>
                <w:lang w:eastAsia="sl-SI"/>
              </w:rPr>
            </w:pPr>
          </w:p>
          <w:p w14:paraId="4CC39EFC" w14:textId="77777777" w:rsidR="00FE461F" w:rsidRPr="005E4BEA" w:rsidRDefault="00FE461F" w:rsidP="00FE461F">
            <w:pPr>
              <w:spacing w:line="240" w:lineRule="auto"/>
              <w:jc w:val="right"/>
              <w:rPr>
                <w:rFonts w:eastAsia="Arial Narrow" w:cs="Arial"/>
                <w:color w:val="000000"/>
                <w:szCs w:val="20"/>
                <w:lang w:eastAsia="sl-SI"/>
              </w:rPr>
            </w:pPr>
          </w:p>
          <w:p w14:paraId="07B6F920" w14:textId="77777777" w:rsidR="00FE461F" w:rsidRPr="005E4BEA" w:rsidRDefault="00FE461F" w:rsidP="00FE461F">
            <w:pPr>
              <w:spacing w:line="240" w:lineRule="auto"/>
              <w:jc w:val="right"/>
              <w:rPr>
                <w:rFonts w:eastAsia="Arial Narrow" w:cs="Arial"/>
                <w:color w:val="000000"/>
                <w:szCs w:val="20"/>
                <w:lang w:eastAsia="sl-SI"/>
              </w:rPr>
            </w:pPr>
          </w:p>
          <w:p w14:paraId="117FF05C" w14:textId="77777777" w:rsidR="00FE461F" w:rsidRPr="005E4BEA" w:rsidRDefault="00FE461F" w:rsidP="00FE461F">
            <w:pPr>
              <w:spacing w:line="240" w:lineRule="auto"/>
              <w:jc w:val="right"/>
              <w:rPr>
                <w:rFonts w:eastAsia="Arial Narrow" w:cs="Arial"/>
                <w:color w:val="000000"/>
                <w:szCs w:val="20"/>
                <w:lang w:eastAsia="sl-SI"/>
              </w:rPr>
            </w:pPr>
          </w:p>
          <w:p w14:paraId="7434A195" w14:textId="77777777" w:rsidR="00FE461F" w:rsidRPr="005E4BEA" w:rsidRDefault="00FE461F" w:rsidP="00FE461F">
            <w:pPr>
              <w:spacing w:line="240" w:lineRule="auto"/>
              <w:jc w:val="right"/>
              <w:rPr>
                <w:rFonts w:eastAsia="Arial Narrow" w:cs="Arial"/>
                <w:color w:val="000000"/>
                <w:szCs w:val="20"/>
                <w:lang w:eastAsia="sl-SI"/>
              </w:rPr>
            </w:pPr>
          </w:p>
          <w:p w14:paraId="2227B8C2" w14:textId="77777777" w:rsidR="00FE461F" w:rsidRPr="005E4BEA" w:rsidRDefault="00FE461F" w:rsidP="00FE461F">
            <w:pPr>
              <w:spacing w:line="240" w:lineRule="auto"/>
              <w:jc w:val="right"/>
              <w:rPr>
                <w:rFonts w:eastAsia="Arial Narrow" w:cs="Arial"/>
                <w:color w:val="000000"/>
                <w:szCs w:val="20"/>
                <w:lang w:eastAsia="sl-SI"/>
              </w:rPr>
            </w:pPr>
          </w:p>
          <w:p w14:paraId="68E7A60B" w14:textId="77777777" w:rsidR="00FE461F" w:rsidRPr="005E4BEA" w:rsidRDefault="00FE461F" w:rsidP="00FE461F">
            <w:pPr>
              <w:spacing w:line="240" w:lineRule="auto"/>
              <w:jc w:val="right"/>
              <w:rPr>
                <w:rFonts w:eastAsia="Arial Narrow" w:cs="Arial"/>
                <w:color w:val="000000"/>
                <w:szCs w:val="20"/>
                <w:lang w:eastAsia="sl-SI"/>
              </w:rPr>
            </w:pPr>
          </w:p>
          <w:p w14:paraId="19D9DD59" w14:textId="77777777" w:rsidR="00FE461F" w:rsidRPr="005E4BEA" w:rsidRDefault="00FE461F" w:rsidP="00FE461F">
            <w:pPr>
              <w:spacing w:line="240" w:lineRule="auto"/>
              <w:jc w:val="right"/>
              <w:rPr>
                <w:rFonts w:eastAsia="Arial Narrow" w:cs="Arial"/>
                <w:color w:val="000000"/>
                <w:szCs w:val="20"/>
                <w:lang w:eastAsia="sl-SI"/>
              </w:rPr>
            </w:pPr>
          </w:p>
          <w:p w14:paraId="560D61A4" w14:textId="77777777" w:rsidR="00FE461F" w:rsidRPr="005E4BEA" w:rsidRDefault="00FE461F" w:rsidP="00FE461F">
            <w:pPr>
              <w:spacing w:line="240" w:lineRule="auto"/>
              <w:jc w:val="right"/>
              <w:rPr>
                <w:rFonts w:eastAsia="Arial Narrow" w:cs="Arial"/>
                <w:color w:val="000000"/>
                <w:szCs w:val="20"/>
                <w:lang w:eastAsia="sl-SI"/>
              </w:rPr>
            </w:pPr>
          </w:p>
          <w:p w14:paraId="5A67C743" w14:textId="77777777" w:rsidR="00FE461F" w:rsidRPr="005E4BEA" w:rsidRDefault="00FE461F" w:rsidP="00FE461F">
            <w:pPr>
              <w:spacing w:line="240" w:lineRule="auto"/>
              <w:jc w:val="right"/>
              <w:rPr>
                <w:rFonts w:eastAsia="Arial Narrow" w:cs="Arial"/>
                <w:color w:val="000000"/>
                <w:szCs w:val="20"/>
                <w:lang w:eastAsia="sl-SI"/>
              </w:rPr>
            </w:pPr>
          </w:p>
          <w:p w14:paraId="5A544AC0" w14:textId="77777777" w:rsidR="00FE461F" w:rsidRPr="005E4BEA" w:rsidRDefault="00FE461F" w:rsidP="00FE461F">
            <w:pPr>
              <w:spacing w:line="240" w:lineRule="auto"/>
              <w:jc w:val="right"/>
              <w:rPr>
                <w:rFonts w:eastAsia="Arial Narrow" w:cs="Arial"/>
                <w:color w:val="000000"/>
                <w:szCs w:val="20"/>
                <w:lang w:eastAsia="sl-SI"/>
              </w:rPr>
            </w:pPr>
          </w:p>
          <w:p w14:paraId="6EC499CA" w14:textId="77777777" w:rsidR="00FE461F" w:rsidRPr="005E4BEA" w:rsidRDefault="00FE461F" w:rsidP="00FE461F">
            <w:pPr>
              <w:spacing w:line="240" w:lineRule="auto"/>
              <w:jc w:val="right"/>
              <w:rPr>
                <w:rFonts w:eastAsia="Arial Narrow" w:cs="Arial"/>
                <w:color w:val="000000"/>
                <w:szCs w:val="20"/>
                <w:lang w:eastAsia="sl-SI"/>
              </w:rPr>
            </w:pPr>
          </w:p>
          <w:p w14:paraId="074CC5C2" w14:textId="77777777" w:rsidR="00FE461F" w:rsidRPr="005E4BEA" w:rsidRDefault="00FE461F" w:rsidP="00FE461F">
            <w:pPr>
              <w:spacing w:line="240" w:lineRule="auto"/>
              <w:jc w:val="right"/>
              <w:rPr>
                <w:rFonts w:eastAsia="Arial Narrow" w:cs="Arial"/>
                <w:color w:val="000000"/>
                <w:szCs w:val="20"/>
                <w:lang w:eastAsia="sl-SI"/>
              </w:rPr>
            </w:pPr>
            <w:r w:rsidRPr="005E4BEA">
              <w:rPr>
                <w:rFonts w:eastAsia="Arial Narrow" w:cs="Arial"/>
                <w:color w:val="000000"/>
                <w:szCs w:val="20"/>
                <w:lang w:eastAsia="sl-SI"/>
              </w:rPr>
              <w:t xml:space="preserve"> </w:t>
            </w:r>
          </w:p>
        </w:tc>
      </w:tr>
    </w:tbl>
    <w:p w14:paraId="1202CCEB" w14:textId="77777777" w:rsidR="00FE461F" w:rsidRPr="005E4BEA" w:rsidRDefault="00FE461F" w:rsidP="00FE461F">
      <w:pPr>
        <w:spacing w:line="240" w:lineRule="auto"/>
        <w:jc w:val="both"/>
        <w:rPr>
          <w:rFonts w:eastAsia="Arial Narrow" w:cs="Arial"/>
          <w:b/>
          <w:bCs/>
          <w:szCs w:val="20"/>
          <w:lang w:eastAsia="sl-SI"/>
        </w:rPr>
      </w:pPr>
      <w:r w:rsidRPr="005E4BEA">
        <w:rPr>
          <w:rFonts w:eastAsia="Arial Narrow" w:cs="Arial"/>
          <w:b/>
          <w:bCs/>
          <w:szCs w:val="20"/>
          <w:lang w:eastAsia="sl-SI"/>
        </w:rPr>
        <w:t xml:space="preserve"> </w:t>
      </w:r>
    </w:p>
    <w:p w14:paraId="107C020E" w14:textId="77777777" w:rsidR="00FE461F" w:rsidRPr="005E4BEA" w:rsidRDefault="00FE461F" w:rsidP="00FE461F">
      <w:pPr>
        <w:spacing w:line="240" w:lineRule="auto"/>
        <w:jc w:val="both"/>
        <w:rPr>
          <w:rFonts w:eastAsia="Arial Narrow" w:cs="Arial"/>
          <w:b/>
          <w:bCs/>
          <w:szCs w:val="20"/>
          <w:lang w:eastAsia="sl-SI"/>
        </w:rPr>
      </w:pPr>
    </w:p>
    <w:p w14:paraId="00678CC9" w14:textId="77777777" w:rsidR="00FE461F" w:rsidRPr="005E4BEA" w:rsidRDefault="00FE461F" w:rsidP="00FE461F">
      <w:pPr>
        <w:spacing w:line="240" w:lineRule="auto"/>
        <w:jc w:val="both"/>
        <w:rPr>
          <w:rFonts w:eastAsia="Arial Narrow" w:cs="Arial"/>
          <w:b/>
          <w:bCs/>
          <w:szCs w:val="20"/>
          <w:lang w:eastAsia="sl-SI"/>
        </w:rPr>
      </w:pPr>
      <w:r w:rsidRPr="005E4BEA">
        <w:rPr>
          <w:rFonts w:eastAsia="Arial Narrow" w:cs="Arial"/>
          <w:b/>
          <w:bCs/>
          <w:szCs w:val="20"/>
          <w:lang w:eastAsia="sl-SI"/>
        </w:rPr>
        <w:t xml:space="preserve">V Prilogi </w:t>
      </w:r>
      <w:proofErr w:type="spellStart"/>
      <w:r w:rsidRPr="005E4BEA">
        <w:rPr>
          <w:rFonts w:eastAsia="Arial Narrow" w:cs="Arial"/>
          <w:b/>
          <w:bCs/>
          <w:szCs w:val="20"/>
          <w:lang w:eastAsia="sl-SI"/>
        </w:rPr>
        <w:t>Ib</w:t>
      </w:r>
      <w:proofErr w:type="spellEnd"/>
      <w:r w:rsidRPr="005E4BEA">
        <w:rPr>
          <w:rFonts w:eastAsia="Arial Narrow" w:cs="Arial"/>
          <w:b/>
          <w:bCs/>
          <w:szCs w:val="20"/>
          <w:lang w:eastAsia="sl-SI"/>
        </w:rPr>
        <w:t xml:space="preserve"> se doda nova storitev, ki se glasi:</w:t>
      </w:r>
    </w:p>
    <w:p w14:paraId="1F90A941" w14:textId="77777777" w:rsidR="00FE461F" w:rsidRPr="005E4BEA" w:rsidRDefault="00FE461F" w:rsidP="00FE461F">
      <w:pPr>
        <w:spacing w:line="240" w:lineRule="auto"/>
        <w:rPr>
          <w:rFonts w:cs="Arial"/>
          <w:szCs w:val="20"/>
          <w:lang w:eastAsia="sl-SI"/>
        </w:rPr>
      </w:pPr>
      <w:r w:rsidRPr="005E4BEA">
        <w:rPr>
          <w:rFonts w:eastAsia="Arial Narrow" w:cs="Arial"/>
          <w:szCs w:val="20"/>
          <w:lang w:eastAsia="sl-SI"/>
        </w:rPr>
        <w:t xml:space="preserve"> </w:t>
      </w:r>
    </w:p>
    <w:tbl>
      <w:tblPr>
        <w:tblW w:w="5000" w:type="pct"/>
        <w:tblLook w:val="04A0" w:firstRow="1" w:lastRow="0" w:firstColumn="1" w:lastColumn="0" w:noHBand="0" w:noVBand="1"/>
      </w:tblPr>
      <w:tblGrid>
        <w:gridCol w:w="717"/>
        <w:gridCol w:w="1072"/>
        <w:gridCol w:w="961"/>
        <w:gridCol w:w="4162"/>
        <w:gridCol w:w="783"/>
        <w:gridCol w:w="783"/>
      </w:tblGrid>
      <w:tr w:rsidR="00FE461F" w:rsidRPr="005E4BEA" w14:paraId="7A2EF463" w14:textId="77777777" w:rsidTr="0016774B">
        <w:trPr>
          <w:trHeight w:val="675"/>
        </w:trPr>
        <w:tc>
          <w:tcPr>
            <w:tcW w:w="200" w:type="pct"/>
            <w:tcBorders>
              <w:top w:val="single" w:sz="8" w:space="0" w:color="808080"/>
              <w:left w:val="single" w:sz="8" w:space="0" w:color="808080"/>
              <w:bottom w:val="single" w:sz="8" w:space="0" w:color="808080"/>
              <w:right w:val="single" w:sz="8" w:space="0" w:color="808080"/>
            </w:tcBorders>
            <w:shd w:val="clear" w:color="auto" w:fill="D9D9D9"/>
            <w:vAlign w:val="bottom"/>
          </w:tcPr>
          <w:p w14:paraId="0BB9D8DE" w14:textId="77777777" w:rsidR="00FE461F" w:rsidRPr="005E4BEA" w:rsidRDefault="00FE461F" w:rsidP="00FE461F">
            <w:pPr>
              <w:spacing w:line="240" w:lineRule="auto"/>
              <w:rPr>
                <w:rFonts w:cs="Arial"/>
                <w:szCs w:val="20"/>
                <w:lang w:eastAsia="sl-SI"/>
              </w:rPr>
            </w:pPr>
            <w:r w:rsidRPr="005E4BEA">
              <w:rPr>
                <w:rFonts w:eastAsia="Arial Narrow" w:cs="Arial"/>
                <w:b/>
                <w:bCs/>
                <w:color w:val="7030A0"/>
                <w:szCs w:val="20"/>
                <w:lang w:eastAsia="sl-SI"/>
              </w:rPr>
              <w:t>Vrsta</w:t>
            </w:r>
          </w:p>
        </w:tc>
        <w:tc>
          <w:tcPr>
            <w:tcW w:w="200" w:type="pct"/>
            <w:tcBorders>
              <w:top w:val="single" w:sz="8" w:space="0" w:color="808080"/>
              <w:left w:val="single" w:sz="8" w:space="0" w:color="808080"/>
              <w:bottom w:val="single" w:sz="8" w:space="0" w:color="808080"/>
              <w:right w:val="single" w:sz="8" w:space="0" w:color="808080"/>
            </w:tcBorders>
            <w:shd w:val="clear" w:color="auto" w:fill="D9D9D9"/>
            <w:vAlign w:val="bottom"/>
          </w:tcPr>
          <w:p w14:paraId="73C16BA0" w14:textId="77777777" w:rsidR="00FE461F" w:rsidRPr="005E4BEA" w:rsidRDefault="00FE461F" w:rsidP="00FE461F">
            <w:pPr>
              <w:spacing w:line="240" w:lineRule="auto"/>
              <w:rPr>
                <w:rFonts w:cs="Arial"/>
                <w:szCs w:val="20"/>
                <w:lang w:eastAsia="sl-SI"/>
              </w:rPr>
            </w:pPr>
            <w:r w:rsidRPr="005E4BEA">
              <w:rPr>
                <w:rFonts w:eastAsia="Arial Narrow" w:cs="Arial"/>
                <w:b/>
                <w:bCs/>
                <w:color w:val="7030A0"/>
                <w:szCs w:val="20"/>
                <w:lang w:eastAsia="sl-SI"/>
              </w:rPr>
              <w:t>Podvrsta</w:t>
            </w:r>
          </w:p>
        </w:tc>
        <w:tc>
          <w:tcPr>
            <w:tcW w:w="292" w:type="pct"/>
            <w:tcBorders>
              <w:top w:val="single" w:sz="8" w:space="0" w:color="808080"/>
              <w:left w:val="single" w:sz="8" w:space="0" w:color="808080"/>
              <w:bottom w:val="single" w:sz="8" w:space="0" w:color="808080"/>
              <w:right w:val="single" w:sz="8" w:space="0" w:color="808080"/>
            </w:tcBorders>
            <w:shd w:val="clear" w:color="auto" w:fill="D9D9D9"/>
            <w:vAlign w:val="bottom"/>
          </w:tcPr>
          <w:p w14:paraId="5E4AD50E" w14:textId="77777777" w:rsidR="00FE461F" w:rsidRPr="005E4BEA" w:rsidRDefault="00FE461F" w:rsidP="00FE461F">
            <w:pPr>
              <w:spacing w:line="240" w:lineRule="auto"/>
              <w:rPr>
                <w:rFonts w:cs="Arial"/>
                <w:szCs w:val="20"/>
                <w:lang w:eastAsia="sl-SI"/>
              </w:rPr>
            </w:pPr>
            <w:r w:rsidRPr="005E4BEA">
              <w:rPr>
                <w:rFonts w:eastAsia="Arial Narrow" w:cs="Arial"/>
                <w:b/>
                <w:bCs/>
                <w:color w:val="7030A0"/>
                <w:szCs w:val="20"/>
                <w:lang w:eastAsia="sl-SI"/>
              </w:rPr>
              <w:t>Storitev</w:t>
            </w:r>
          </w:p>
        </w:tc>
        <w:tc>
          <w:tcPr>
            <w:tcW w:w="3456" w:type="pct"/>
            <w:tcBorders>
              <w:top w:val="single" w:sz="8" w:space="0" w:color="808080"/>
              <w:left w:val="single" w:sz="8" w:space="0" w:color="808080"/>
              <w:bottom w:val="single" w:sz="8" w:space="0" w:color="808080"/>
              <w:right w:val="single" w:sz="8" w:space="0" w:color="808080"/>
            </w:tcBorders>
            <w:shd w:val="clear" w:color="auto" w:fill="D9D9D9"/>
            <w:vAlign w:val="bottom"/>
          </w:tcPr>
          <w:p w14:paraId="77DC64B5" w14:textId="77777777" w:rsidR="00FE461F" w:rsidRPr="005E4BEA" w:rsidRDefault="00FE461F" w:rsidP="00FE461F">
            <w:pPr>
              <w:spacing w:line="240" w:lineRule="auto"/>
              <w:rPr>
                <w:rFonts w:cs="Arial"/>
                <w:szCs w:val="20"/>
                <w:lang w:eastAsia="sl-SI"/>
              </w:rPr>
            </w:pPr>
            <w:r w:rsidRPr="005E4BEA">
              <w:rPr>
                <w:rFonts w:eastAsia="Arial Narrow" w:cs="Arial"/>
                <w:b/>
                <w:bCs/>
                <w:color w:val="7030A0"/>
                <w:szCs w:val="20"/>
                <w:lang w:eastAsia="sl-SI"/>
              </w:rPr>
              <w:t>Naziv</w:t>
            </w:r>
          </w:p>
        </w:tc>
        <w:tc>
          <w:tcPr>
            <w:tcW w:w="568" w:type="pct"/>
            <w:tcBorders>
              <w:top w:val="single" w:sz="8" w:space="0" w:color="808080"/>
              <w:left w:val="single" w:sz="8" w:space="0" w:color="808080"/>
              <w:bottom w:val="single" w:sz="8" w:space="0" w:color="808080"/>
              <w:right w:val="single" w:sz="8" w:space="0" w:color="808080"/>
            </w:tcBorders>
            <w:shd w:val="clear" w:color="auto" w:fill="D9D9D9"/>
            <w:vAlign w:val="bottom"/>
          </w:tcPr>
          <w:p w14:paraId="5D105FCD" w14:textId="77777777" w:rsidR="00FE461F" w:rsidRPr="005E4BEA" w:rsidRDefault="00FE461F" w:rsidP="00FE461F">
            <w:pPr>
              <w:spacing w:line="240" w:lineRule="auto"/>
              <w:jc w:val="center"/>
              <w:rPr>
                <w:rFonts w:eastAsia="Arial Narrow" w:cs="Arial"/>
                <w:b/>
                <w:bCs/>
                <w:color w:val="7030A0"/>
                <w:szCs w:val="20"/>
                <w:lang w:eastAsia="sl-SI"/>
              </w:rPr>
            </w:pPr>
            <w:r w:rsidRPr="005E4BEA">
              <w:rPr>
                <w:rFonts w:eastAsia="Arial Narrow" w:cs="Arial"/>
                <w:b/>
                <w:bCs/>
                <w:color w:val="7030A0"/>
                <w:szCs w:val="20"/>
                <w:lang w:eastAsia="sl-SI"/>
              </w:rPr>
              <w:t>Enota mere</w:t>
            </w:r>
          </w:p>
        </w:tc>
        <w:tc>
          <w:tcPr>
            <w:tcW w:w="284" w:type="pct"/>
            <w:tcBorders>
              <w:top w:val="single" w:sz="8" w:space="0" w:color="808080"/>
              <w:left w:val="single" w:sz="8" w:space="0" w:color="808080"/>
              <w:bottom w:val="single" w:sz="8" w:space="0" w:color="808080"/>
              <w:right w:val="single" w:sz="8" w:space="0" w:color="808080"/>
            </w:tcBorders>
            <w:shd w:val="clear" w:color="auto" w:fill="D9D9D9"/>
            <w:vAlign w:val="bottom"/>
          </w:tcPr>
          <w:p w14:paraId="5838129D" w14:textId="77777777" w:rsidR="00FE461F" w:rsidRPr="005E4BEA" w:rsidRDefault="00FE461F" w:rsidP="00FE461F">
            <w:pPr>
              <w:spacing w:line="240" w:lineRule="auto"/>
              <w:jc w:val="center"/>
              <w:rPr>
                <w:rFonts w:eastAsia="Arial Narrow" w:cs="Arial"/>
                <w:b/>
                <w:bCs/>
                <w:color w:val="7030A0"/>
                <w:szCs w:val="20"/>
                <w:lang w:eastAsia="sl-SI"/>
              </w:rPr>
            </w:pPr>
            <w:r w:rsidRPr="005E4BEA">
              <w:rPr>
                <w:rFonts w:eastAsia="Arial Narrow" w:cs="Arial"/>
                <w:b/>
                <w:bCs/>
                <w:color w:val="7030A0"/>
                <w:szCs w:val="20"/>
                <w:lang w:eastAsia="sl-SI"/>
              </w:rPr>
              <w:t>CENA</w:t>
            </w:r>
          </w:p>
        </w:tc>
      </w:tr>
      <w:tr w:rsidR="00FE461F" w:rsidRPr="005E4BEA" w14:paraId="3612754B" w14:textId="77777777" w:rsidTr="0016774B">
        <w:trPr>
          <w:trHeight w:val="225"/>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662749F"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101</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3A20DEF0"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300</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1A157BAD"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E0xxx</w:t>
            </w:r>
          </w:p>
        </w:tc>
        <w:tc>
          <w:tcPr>
            <w:tcW w:w="3456"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45365132"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Dodatek za brezšivno skrb v bolnišnični obravnavi</w:t>
            </w:r>
          </w:p>
        </w:tc>
        <w:tc>
          <w:tcPr>
            <w:tcW w:w="568"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4FD5D197" w14:textId="77777777" w:rsidR="00FE461F" w:rsidRPr="005E4BEA" w:rsidRDefault="00FE461F" w:rsidP="00FE461F">
            <w:pPr>
              <w:spacing w:line="240" w:lineRule="auto"/>
              <w:jc w:val="center"/>
              <w:rPr>
                <w:rFonts w:eastAsia="Arial Narrow" w:cs="Arial"/>
                <w:color w:val="000099"/>
                <w:szCs w:val="20"/>
                <w:lang w:eastAsia="sl-SI"/>
              </w:rPr>
            </w:pPr>
            <w:r w:rsidRPr="005E4BEA">
              <w:rPr>
                <w:rFonts w:eastAsia="Arial Narrow" w:cs="Arial"/>
                <w:color w:val="000099"/>
                <w:szCs w:val="20"/>
                <w:lang w:eastAsia="sl-SI"/>
              </w:rPr>
              <w:t>primer</w:t>
            </w:r>
          </w:p>
        </w:tc>
        <w:tc>
          <w:tcPr>
            <w:tcW w:w="284"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58D6734F"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38,21</w:t>
            </w:r>
          </w:p>
        </w:tc>
      </w:tr>
      <w:tr w:rsidR="00FE461F" w:rsidRPr="005E4BEA" w14:paraId="72AEF92E" w14:textId="77777777" w:rsidTr="0016774B">
        <w:trPr>
          <w:trHeight w:val="225"/>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D2A7EAE"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104</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624AE181"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305</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6DB9FB49"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E0xxx</w:t>
            </w:r>
          </w:p>
        </w:tc>
        <w:tc>
          <w:tcPr>
            <w:tcW w:w="3456"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12EA0F2A"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Dodatek za brezšivno skrb v bolnišnični obravnavi</w:t>
            </w:r>
          </w:p>
        </w:tc>
        <w:tc>
          <w:tcPr>
            <w:tcW w:w="568"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38548A9C" w14:textId="77777777" w:rsidR="00FE461F" w:rsidRPr="005E4BEA" w:rsidRDefault="00FE461F" w:rsidP="00FE461F">
            <w:pPr>
              <w:spacing w:line="240" w:lineRule="auto"/>
              <w:jc w:val="center"/>
              <w:rPr>
                <w:rFonts w:eastAsia="Arial Narrow" w:cs="Arial"/>
                <w:color w:val="000099"/>
                <w:szCs w:val="20"/>
                <w:lang w:eastAsia="sl-SI"/>
              </w:rPr>
            </w:pPr>
            <w:r w:rsidRPr="005E4BEA">
              <w:rPr>
                <w:rFonts w:eastAsia="Arial Narrow" w:cs="Arial"/>
                <w:color w:val="000099"/>
                <w:szCs w:val="20"/>
                <w:lang w:eastAsia="sl-SI"/>
              </w:rPr>
              <w:t>primer</w:t>
            </w:r>
          </w:p>
        </w:tc>
        <w:tc>
          <w:tcPr>
            <w:tcW w:w="284"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1E566009"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38,21</w:t>
            </w:r>
          </w:p>
        </w:tc>
      </w:tr>
      <w:tr w:rsidR="00FE461F" w:rsidRPr="005E4BEA" w14:paraId="4E491533" w14:textId="77777777" w:rsidTr="0016774B">
        <w:trPr>
          <w:trHeight w:val="225"/>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3D9A5797"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130</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651F1BB0"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341</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757614FD"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E0xxx</w:t>
            </w:r>
          </w:p>
        </w:tc>
        <w:tc>
          <w:tcPr>
            <w:tcW w:w="3456"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4E1016E2"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Dodatek za brezšivno skrb v bolnišnični obravnavi</w:t>
            </w:r>
          </w:p>
        </w:tc>
        <w:tc>
          <w:tcPr>
            <w:tcW w:w="568"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5A4AC85F" w14:textId="77777777" w:rsidR="00FE461F" w:rsidRPr="005E4BEA" w:rsidRDefault="00FE461F" w:rsidP="00FE461F">
            <w:pPr>
              <w:spacing w:line="240" w:lineRule="auto"/>
              <w:jc w:val="center"/>
              <w:rPr>
                <w:rFonts w:eastAsia="Arial Narrow" w:cs="Arial"/>
                <w:color w:val="000099"/>
                <w:szCs w:val="20"/>
                <w:lang w:eastAsia="sl-SI"/>
              </w:rPr>
            </w:pPr>
            <w:r w:rsidRPr="005E4BEA">
              <w:rPr>
                <w:rFonts w:eastAsia="Arial Narrow" w:cs="Arial"/>
                <w:color w:val="000099"/>
                <w:szCs w:val="20"/>
                <w:lang w:eastAsia="sl-SI"/>
              </w:rPr>
              <w:t>primer</w:t>
            </w:r>
          </w:p>
        </w:tc>
        <w:tc>
          <w:tcPr>
            <w:tcW w:w="284" w:type="pct"/>
            <w:tcBorders>
              <w:top w:val="single" w:sz="8" w:space="0" w:color="808080"/>
              <w:left w:val="single" w:sz="8" w:space="0" w:color="808080"/>
              <w:bottom w:val="single" w:sz="8" w:space="0" w:color="808080"/>
              <w:right w:val="single" w:sz="8" w:space="0" w:color="808080"/>
            </w:tcBorders>
            <w:shd w:val="clear" w:color="auto" w:fill="FFFFFF"/>
            <w:vAlign w:val="center"/>
          </w:tcPr>
          <w:p w14:paraId="01F5D06A"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38,21</w:t>
            </w:r>
          </w:p>
        </w:tc>
      </w:tr>
      <w:tr w:rsidR="00FE461F" w:rsidRPr="005E4BEA" w14:paraId="774AD281" w14:textId="77777777" w:rsidTr="0016774B">
        <w:trPr>
          <w:trHeight w:val="465"/>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64BF2330"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13B5DB3B"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42A82466"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4308" w:type="pct"/>
            <w:gridSpan w:val="3"/>
            <w:tcBorders>
              <w:top w:val="single" w:sz="8" w:space="0" w:color="808080"/>
              <w:left w:val="single" w:sz="8" w:space="0" w:color="808080"/>
              <w:bottom w:val="single" w:sz="8" w:space="0" w:color="808080"/>
              <w:right w:val="single" w:sz="8" w:space="0" w:color="808080"/>
            </w:tcBorders>
            <w:shd w:val="clear" w:color="auto" w:fill="FFFFFF"/>
            <w:vAlign w:val="bottom"/>
          </w:tcPr>
          <w:p w14:paraId="47893F36"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Bolnišnice lahko pošljejo realizacijo v okviru plana 101 300 na vseh podvrstah 301 Akutna bolnišnična obravnava – SPP, v okviru plana 130 341 pa za storitve E0051, E0055, E0750.</w:t>
            </w:r>
          </w:p>
        </w:tc>
      </w:tr>
      <w:tr w:rsidR="00FE461F" w:rsidRPr="005E4BEA" w14:paraId="03CBC5C2" w14:textId="77777777" w:rsidTr="0016774B">
        <w:trPr>
          <w:trHeight w:val="465"/>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0C7AA18B"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5793FC94"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634DA49D"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4308" w:type="pct"/>
            <w:gridSpan w:val="3"/>
            <w:tcBorders>
              <w:top w:val="single" w:sz="8" w:space="0" w:color="808080"/>
              <w:left w:val="single" w:sz="8" w:space="0" w:color="808080"/>
              <w:bottom w:val="single" w:sz="8" w:space="0" w:color="808080"/>
              <w:right w:val="single" w:sz="8" w:space="0" w:color="808080"/>
            </w:tcBorders>
            <w:shd w:val="clear" w:color="auto" w:fill="FFFFFF"/>
            <w:vAlign w:val="bottom"/>
          </w:tcPr>
          <w:p w14:paraId="34B0F5A0"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 xml:space="preserve">Brezšivna skrb v okviru bolnišnične obravnave predstavlja izvajanje neprekinjene oskrbe bolnika z zdravili in neprekinjenega prenosa informacij o bolnikovem zdravljenju z zdravili pri prehodu med različnimi ravnmi zdravstvene </w:t>
            </w:r>
            <w:r w:rsidRPr="005E4BEA">
              <w:rPr>
                <w:rFonts w:eastAsia="Arial Narrow" w:cs="Arial"/>
                <w:color w:val="000099"/>
                <w:szCs w:val="20"/>
                <w:lang w:eastAsia="sl-SI"/>
              </w:rPr>
              <w:lastRenderedPageBreak/>
              <w:t>dejavnosti; ki vključuje:  triažo bolnika v skladu z nacionalnim dokumentom, usklajevanje zdravil ob sprejemu bolnika (zgodovina zdravljenja z zdravili, pogovor z bolnikom / svojci), usklajevanje zdravil ob odpustu bolnika (svetovanje bolniku /svojcem o zdravljenju z zdravili), izdelava in vročitev OKZ - osebne kartice zdravil bolniku in prenos v CRPP.</w:t>
            </w:r>
            <w:r w:rsidRPr="005E4BEA">
              <w:rPr>
                <w:rFonts w:eastAsia="Calibri" w:cs="Arial"/>
                <w:color w:val="000000"/>
                <w:szCs w:val="20"/>
                <w:lang w:eastAsia="sl-SI"/>
              </w:rPr>
              <w:t xml:space="preserve">     </w:t>
            </w:r>
          </w:p>
        </w:tc>
      </w:tr>
      <w:tr w:rsidR="00FE461F" w:rsidRPr="005E4BEA" w14:paraId="1F4073AB" w14:textId="77777777" w:rsidTr="0016774B">
        <w:trPr>
          <w:trHeight w:val="285"/>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3B6E53A8"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lastRenderedPageBreak/>
              <w:t xml:space="preserve"> </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128C2602"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259AC344"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4308" w:type="pct"/>
            <w:gridSpan w:val="3"/>
            <w:tcBorders>
              <w:top w:val="single" w:sz="8" w:space="0" w:color="808080"/>
              <w:left w:val="single" w:sz="8" w:space="0" w:color="808080"/>
              <w:bottom w:val="single" w:sz="8" w:space="0" w:color="808080"/>
              <w:right w:val="single" w:sz="8" w:space="0" w:color="808080"/>
            </w:tcBorders>
            <w:shd w:val="clear" w:color="auto" w:fill="FFFFFF"/>
            <w:vAlign w:val="bottom"/>
          </w:tcPr>
          <w:p w14:paraId="3D41C572"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Dodatek se obračuna za paciente, ki so hospitalizirani najmanj 48 ur ali dolgotrajno dnevno obravnavani najmanj 3 krat. Pogoj za plačilo je prenos dokumenta OKZ v CRPP.</w:t>
            </w:r>
          </w:p>
        </w:tc>
      </w:tr>
      <w:tr w:rsidR="00FE461F" w:rsidRPr="005E4BEA" w14:paraId="545484F9" w14:textId="77777777" w:rsidTr="0016774B">
        <w:trPr>
          <w:trHeight w:val="270"/>
        </w:trPr>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06A22504"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00"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1572BF48"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292" w:type="pct"/>
            <w:tcBorders>
              <w:top w:val="single" w:sz="8" w:space="0" w:color="808080"/>
              <w:left w:val="single" w:sz="8" w:space="0" w:color="808080"/>
              <w:bottom w:val="single" w:sz="8" w:space="0" w:color="808080"/>
              <w:right w:val="single" w:sz="8" w:space="0" w:color="808080"/>
            </w:tcBorders>
            <w:shd w:val="clear" w:color="auto" w:fill="FFFFFF"/>
            <w:vAlign w:val="bottom"/>
          </w:tcPr>
          <w:p w14:paraId="6E20E2CD" w14:textId="77777777" w:rsidR="00FE461F" w:rsidRPr="005E4BEA" w:rsidRDefault="00FE461F" w:rsidP="00FE461F">
            <w:pPr>
              <w:spacing w:line="240" w:lineRule="auto"/>
              <w:jc w:val="right"/>
              <w:rPr>
                <w:rFonts w:eastAsia="Arial Narrow" w:cs="Arial"/>
                <w:color w:val="000099"/>
                <w:szCs w:val="20"/>
                <w:lang w:eastAsia="sl-SI"/>
              </w:rPr>
            </w:pPr>
            <w:r w:rsidRPr="005E4BEA">
              <w:rPr>
                <w:rFonts w:eastAsia="Arial Narrow" w:cs="Arial"/>
                <w:color w:val="000099"/>
                <w:szCs w:val="20"/>
                <w:lang w:eastAsia="sl-SI"/>
              </w:rPr>
              <w:t xml:space="preserve"> </w:t>
            </w:r>
          </w:p>
        </w:tc>
        <w:tc>
          <w:tcPr>
            <w:tcW w:w="4308" w:type="pct"/>
            <w:gridSpan w:val="3"/>
            <w:tcBorders>
              <w:top w:val="single" w:sz="8" w:space="0" w:color="808080"/>
              <w:left w:val="single" w:sz="8" w:space="0" w:color="808080"/>
              <w:bottom w:val="single" w:sz="8" w:space="0" w:color="808080"/>
              <w:right w:val="single" w:sz="8" w:space="0" w:color="808080"/>
            </w:tcBorders>
            <w:shd w:val="clear" w:color="auto" w:fill="FFFFFF"/>
            <w:vAlign w:val="bottom"/>
          </w:tcPr>
          <w:p w14:paraId="7EA9D4C5" w14:textId="77777777" w:rsidR="00FE461F" w:rsidRPr="005E4BEA" w:rsidRDefault="00FE461F" w:rsidP="00FE461F">
            <w:pPr>
              <w:spacing w:line="240" w:lineRule="auto"/>
              <w:rPr>
                <w:rFonts w:cs="Arial"/>
                <w:szCs w:val="20"/>
                <w:lang w:eastAsia="sl-SI"/>
              </w:rPr>
            </w:pPr>
            <w:r w:rsidRPr="005E4BEA">
              <w:rPr>
                <w:rFonts w:eastAsia="Arial Narrow" w:cs="Arial"/>
                <w:color w:val="000099"/>
                <w:szCs w:val="20"/>
                <w:lang w:eastAsia="sl-SI"/>
              </w:rPr>
              <w:t>Obseg in vrednost: en tim predstavlja 1.320 primerov, pri čemer je upoštevan kader (1 farmacevt specialist, 0,15 ATK), ovrednoten po enakih kriterijih kot farmacevt specialist (E0618), 1.000 EUR materialnih stroškov, 200 EUR amortizacije, 1.290,09 EUR informatizacije.</w:t>
            </w:r>
          </w:p>
        </w:tc>
      </w:tr>
    </w:tbl>
    <w:p w14:paraId="497E2497" w14:textId="77777777" w:rsidR="00FE461F" w:rsidRPr="005E4BEA" w:rsidRDefault="00FE461F" w:rsidP="00FE461F">
      <w:pPr>
        <w:spacing w:line="120" w:lineRule="auto"/>
        <w:rPr>
          <w:rFonts w:eastAsia="Arial Narrow" w:cs="Arial"/>
          <w:szCs w:val="20"/>
          <w:lang w:eastAsia="sl-SI"/>
        </w:rPr>
      </w:pPr>
    </w:p>
    <w:p w14:paraId="074E906C" w14:textId="77777777" w:rsidR="00FE461F" w:rsidRPr="005E4BEA" w:rsidRDefault="00FE461F" w:rsidP="00FE461F">
      <w:pPr>
        <w:spacing w:line="240" w:lineRule="auto"/>
        <w:rPr>
          <w:rFonts w:cs="Arial"/>
          <w:szCs w:val="20"/>
          <w:lang w:eastAsia="sl-SI"/>
        </w:rPr>
      </w:pPr>
      <w:r w:rsidRPr="005E4BEA">
        <w:rPr>
          <w:rFonts w:eastAsia="Arial Narrow" w:cs="Arial"/>
          <w:szCs w:val="20"/>
          <w:lang w:eastAsia="sl-SI"/>
        </w:rPr>
        <w:t>Sprememba velja od 1. 1. 2023.</w:t>
      </w:r>
    </w:p>
    <w:p w14:paraId="6C07315C" w14:textId="77777777" w:rsidR="00FE461F" w:rsidRPr="005E4BEA" w:rsidRDefault="00FE461F" w:rsidP="00FE461F">
      <w:pPr>
        <w:spacing w:line="240" w:lineRule="auto"/>
        <w:rPr>
          <w:rFonts w:eastAsia="Arial Narrow" w:cs="Arial"/>
          <w:szCs w:val="20"/>
          <w:lang w:eastAsia="sl-SI"/>
        </w:rPr>
      </w:pPr>
    </w:p>
    <w:p w14:paraId="6AFD841D" w14:textId="77777777" w:rsidR="00FE461F" w:rsidRPr="005E4BEA" w:rsidRDefault="00FE461F" w:rsidP="00FE461F">
      <w:pPr>
        <w:spacing w:line="120" w:lineRule="auto"/>
        <w:rPr>
          <w:rFonts w:eastAsia="Arial Narrow" w:cs="Arial"/>
          <w:szCs w:val="20"/>
          <w:lang w:eastAsia="sl-SI"/>
        </w:rPr>
      </w:pPr>
    </w:p>
    <w:p w14:paraId="1AC249BE" w14:textId="77777777" w:rsidR="00FE461F" w:rsidRPr="005E4BEA" w:rsidRDefault="00FE461F" w:rsidP="00FE461F">
      <w:pPr>
        <w:spacing w:line="240" w:lineRule="auto"/>
        <w:rPr>
          <w:rFonts w:cs="Arial"/>
          <w:szCs w:val="20"/>
          <w:lang w:eastAsia="sl-SI"/>
        </w:rPr>
      </w:pPr>
      <w:r w:rsidRPr="005E4BEA">
        <w:rPr>
          <w:rFonts w:eastAsia="Arial Narrow" w:cs="Arial"/>
          <w:b/>
          <w:bCs/>
          <w:szCs w:val="20"/>
          <w:lang w:eastAsia="sl-SI"/>
        </w:rPr>
        <w:t>V Prilogi III v (2) odstavku v 4. točki se doda nova alineja, ki se glasi:</w:t>
      </w:r>
    </w:p>
    <w:p w14:paraId="2A93C595" w14:textId="77777777" w:rsidR="00FE461F" w:rsidRPr="005E4BEA" w:rsidRDefault="00FE461F" w:rsidP="00FE461F">
      <w:pPr>
        <w:spacing w:line="120" w:lineRule="auto"/>
        <w:rPr>
          <w:rFonts w:eastAsia="Arial Narrow" w:cs="Arial"/>
          <w:szCs w:val="20"/>
          <w:lang w:eastAsia="sl-SI"/>
        </w:rPr>
      </w:pPr>
    </w:p>
    <w:p w14:paraId="020FAA84" w14:textId="77777777" w:rsidR="00FE461F" w:rsidRPr="005E4BEA" w:rsidRDefault="00FE461F" w:rsidP="00FE461F">
      <w:pPr>
        <w:spacing w:line="240" w:lineRule="auto"/>
        <w:rPr>
          <w:rFonts w:cs="Arial"/>
          <w:szCs w:val="20"/>
          <w:lang w:eastAsia="sl-SI"/>
        </w:rPr>
      </w:pPr>
      <w:r w:rsidRPr="005E4BEA">
        <w:rPr>
          <w:rFonts w:eastAsia="Arial Narrow" w:cs="Arial"/>
          <w:szCs w:val="20"/>
          <w:lang w:eastAsia="sl-SI"/>
        </w:rPr>
        <w:t>»- Dodatek za brezšivno skrb v bolnišnični obravnavi«</w:t>
      </w:r>
    </w:p>
    <w:p w14:paraId="2E0D4513" w14:textId="77777777" w:rsidR="00FE461F" w:rsidRPr="005E4BEA" w:rsidRDefault="00FE461F" w:rsidP="00FE461F">
      <w:pPr>
        <w:spacing w:line="120" w:lineRule="auto"/>
        <w:rPr>
          <w:rFonts w:eastAsia="Arial Narrow" w:cs="Arial"/>
          <w:szCs w:val="20"/>
          <w:lang w:eastAsia="sl-SI"/>
        </w:rPr>
      </w:pPr>
    </w:p>
    <w:p w14:paraId="4E1FA971" w14:textId="77777777" w:rsidR="00FE461F" w:rsidRPr="005E4BEA" w:rsidRDefault="00FE461F" w:rsidP="00FE461F">
      <w:pPr>
        <w:spacing w:line="240" w:lineRule="auto"/>
        <w:rPr>
          <w:rFonts w:cs="Arial"/>
          <w:szCs w:val="20"/>
          <w:lang w:eastAsia="sl-SI"/>
        </w:rPr>
      </w:pPr>
      <w:r w:rsidRPr="005E4BEA">
        <w:rPr>
          <w:rFonts w:eastAsia="Arial Narrow" w:cs="Arial"/>
          <w:szCs w:val="20"/>
          <w:lang w:eastAsia="sl-SI"/>
        </w:rPr>
        <w:t>Sprememba velja od 1. 1. 2023.</w:t>
      </w:r>
    </w:p>
    <w:p w14:paraId="2FB44618" w14:textId="77777777" w:rsidR="00FE461F" w:rsidRPr="005E4BEA" w:rsidRDefault="00FE461F" w:rsidP="00FE461F">
      <w:pPr>
        <w:spacing w:line="240" w:lineRule="auto"/>
        <w:rPr>
          <w:rFonts w:eastAsia="Arial Narrow" w:cs="Arial"/>
          <w:szCs w:val="20"/>
          <w:lang w:eastAsia="sl-SI"/>
        </w:rPr>
      </w:pPr>
    </w:p>
    <w:p w14:paraId="24218393" w14:textId="77777777" w:rsidR="00FE461F" w:rsidRPr="005E4BEA" w:rsidRDefault="00FE461F" w:rsidP="00FE461F">
      <w:pPr>
        <w:spacing w:line="240" w:lineRule="auto"/>
        <w:rPr>
          <w:rFonts w:eastAsia="Arial Narrow" w:cs="Arial"/>
          <w:szCs w:val="20"/>
          <w:lang w:eastAsia="sl-SI"/>
        </w:rPr>
      </w:pPr>
    </w:p>
    <w:p w14:paraId="34C1728C" w14:textId="77777777" w:rsidR="00FE461F" w:rsidRPr="005E4BEA" w:rsidRDefault="00FE461F" w:rsidP="00FE461F">
      <w:pPr>
        <w:spacing w:line="240" w:lineRule="auto"/>
        <w:jc w:val="both"/>
        <w:rPr>
          <w:rFonts w:eastAsia="Arial Narrow" w:cs="Arial"/>
          <w:b/>
          <w:bCs/>
          <w:szCs w:val="20"/>
          <w:lang w:eastAsia="sl-SI"/>
        </w:rPr>
      </w:pPr>
      <w:r w:rsidRPr="005E4BEA">
        <w:rPr>
          <w:rFonts w:eastAsia="Arial Narrow" w:cs="Arial"/>
          <w:b/>
          <w:bCs/>
          <w:szCs w:val="20"/>
          <w:lang w:eastAsia="sl-SI"/>
        </w:rPr>
        <w:t>V Prilogi BOL se za 9. členom doda nova točka  2.4. z naslovom Brezšivna skrb v bolnišnični dejavnosti in novi 10. člen, ki se glasi (ostali členi se preštevilčijo):</w:t>
      </w:r>
    </w:p>
    <w:p w14:paraId="7C543E05"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(1) Brezšivna skrb (v nadaljevanju BS) predstavlja zagotavljanje kontinuirane, neprekinjene oskrbe bolnika z zdravili in neprekinjenega prenosa informacij o bolnikovem zdravljenju z zdravili pri prehodu med različnimi ravnmi zdravstvene dejavnosti.</w:t>
      </w:r>
    </w:p>
    <w:p w14:paraId="46DC4BDD"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 xml:space="preserve"> </w:t>
      </w:r>
    </w:p>
    <w:p w14:paraId="0C57357B"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 xml:space="preserve">(2) BS v bolnišnični dejavnosti izvajajo bolnišnični farmacevti, specialisti iz klinične farmacije. V BS sta vključeni dve storitvi, in sicer: brezšivna skrb v bolnišnični obravnavi in preskrba bolnika z novo uvedenimi zdravili ob njegovem odpustu. </w:t>
      </w:r>
    </w:p>
    <w:p w14:paraId="08AB5B25" w14:textId="77777777" w:rsidR="00FE461F" w:rsidRPr="005E4BEA" w:rsidRDefault="00FE461F" w:rsidP="00FE461F">
      <w:pPr>
        <w:spacing w:line="240" w:lineRule="auto"/>
        <w:jc w:val="both"/>
        <w:rPr>
          <w:rFonts w:eastAsia="Arial Narrow" w:cs="Arial"/>
          <w:szCs w:val="20"/>
          <w:lang w:eastAsia="sl-SI"/>
        </w:rPr>
      </w:pPr>
    </w:p>
    <w:p w14:paraId="30D45B68"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 xml:space="preserve">1. Storitev Brezšivna skrb v bolnišnični obravnavi vključuje triažo bolnika v skladu z nacionalnim dokumentom, ki določa kriterije za vključitev bolnika v BS, usklajevanje zdravil ob sprejemu bolnika (zgodovina zdravljenja z zdravili, pogovor z bolnikom / svojci,), usklajevanje zdravil ob odpustu bolnika ( priprava dokumenta o terapiji ob odpustu, svetovanje bolniku /svojcem o zdravljenju z zdravili), izdelava in vročitev osebne kartice zdravil - OKZ bolniku in prenos v CRPP. </w:t>
      </w:r>
    </w:p>
    <w:p w14:paraId="5DC36AC3" w14:textId="77777777" w:rsidR="00FE461F" w:rsidRPr="005E4BEA" w:rsidRDefault="00FE461F" w:rsidP="00FE461F">
      <w:pPr>
        <w:spacing w:line="240" w:lineRule="auto"/>
        <w:jc w:val="both"/>
        <w:rPr>
          <w:rFonts w:eastAsia="Arial Narrow" w:cs="Arial"/>
          <w:szCs w:val="20"/>
          <w:lang w:eastAsia="sl-SI"/>
        </w:rPr>
      </w:pPr>
    </w:p>
    <w:p w14:paraId="2CE3ADB5" w14:textId="77777777" w:rsidR="00FE461F" w:rsidRPr="005E4BEA" w:rsidRDefault="00FE461F" w:rsidP="00FE461F">
      <w:pPr>
        <w:spacing w:line="240" w:lineRule="auto"/>
        <w:jc w:val="both"/>
        <w:rPr>
          <w:rFonts w:eastAsia="Arial Narrow" w:cs="Arial"/>
          <w:szCs w:val="20"/>
          <w:lang w:eastAsia="sl-SI"/>
        </w:rPr>
      </w:pPr>
      <w:r w:rsidRPr="005E4BEA">
        <w:rPr>
          <w:rFonts w:eastAsia="Arial Narrow" w:cs="Arial"/>
          <w:szCs w:val="20"/>
          <w:lang w:eastAsia="sl-SI"/>
        </w:rPr>
        <w:t xml:space="preserve">2. Storitev preskrba bolnika z novo uvedenimi razvrščenimi zdravili se izvede ob odpustu. Bolniku se vroči po eno pakiranje na novo uvedenih zdravil v najmanjšem pakiranju, ki je bilo predpisano v ta namen, Beleženje izdaje  in obračun zdravila, se izvaja po enakem sistemu kot v lekarni na primarnem nivoju (2. 7. in 8. člen Priloge LEK), in sicer beleženje v sistemu e-recepta in on-line, obračunavanje pa po obstoječi AOR strukturi. Obračun bo potekal v okviru nove VZD za bolnišnično lekarno z nazivom »zdravila za brezšivno skrb«. </w:t>
      </w:r>
    </w:p>
    <w:p w14:paraId="358BBDB0" w14:textId="77777777" w:rsidR="00FE461F" w:rsidRPr="005E4BEA" w:rsidRDefault="00FE461F" w:rsidP="00FE461F">
      <w:pPr>
        <w:spacing w:line="240" w:lineRule="auto"/>
        <w:rPr>
          <w:rFonts w:cs="Arial"/>
          <w:szCs w:val="20"/>
          <w:lang w:eastAsia="sl-SI"/>
        </w:rPr>
      </w:pPr>
    </w:p>
    <w:p w14:paraId="4CF8E6F9" w14:textId="77777777" w:rsidR="00FE461F" w:rsidRPr="005E4BEA" w:rsidRDefault="00FE461F" w:rsidP="00FE461F">
      <w:pPr>
        <w:spacing w:line="240" w:lineRule="auto"/>
        <w:rPr>
          <w:rFonts w:cs="Arial"/>
          <w:szCs w:val="20"/>
          <w:lang w:eastAsia="sl-SI"/>
        </w:rPr>
      </w:pPr>
    </w:p>
    <w:p w14:paraId="03C1B6BA" w14:textId="77777777" w:rsidR="00FE461F" w:rsidRPr="005E4BEA" w:rsidRDefault="00FE461F" w:rsidP="00FE461F">
      <w:pPr>
        <w:spacing w:before="120" w:after="60" w:line="240" w:lineRule="auto"/>
        <w:jc w:val="both"/>
        <w:rPr>
          <w:rFonts w:eastAsia="Calibri" w:cs="Arial"/>
          <w:b/>
          <w:szCs w:val="20"/>
        </w:rPr>
      </w:pPr>
      <w:bookmarkStart w:id="92" w:name="_Hlk99522926"/>
      <w:bookmarkStart w:id="93" w:name="_Hlk99520224"/>
      <w:r w:rsidRPr="005E4BEA">
        <w:rPr>
          <w:rFonts w:eastAsia="Calibri" w:cs="Arial"/>
          <w:b/>
          <w:szCs w:val="20"/>
        </w:rPr>
        <w:t>Doda se četrti (4) odstavek v 8. členu Priloge LEK, tako da se glasi:</w:t>
      </w:r>
    </w:p>
    <w:p w14:paraId="398BAFFF" w14:textId="77777777" w:rsidR="00FE461F" w:rsidRPr="005E4BEA" w:rsidRDefault="00FE461F" w:rsidP="00FE461F">
      <w:pPr>
        <w:widowControl w:val="0"/>
        <w:suppressAutoHyphens/>
        <w:autoSpaceDE w:val="0"/>
        <w:autoSpaceDN w:val="0"/>
        <w:adjustRightInd w:val="0"/>
        <w:spacing w:line="240" w:lineRule="atLeast"/>
        <w:jc w:val="both"/>
        <w:rPr>
          <w:rFonts w:cs="Arial"/>
          <w:szCs w:val="20"/>
        </w:rPr>
      </w:pPr>
      <w:r w:rsidRPr="005E4BEA">
        <w:rPr>
          <w:rFonts w:cs="Arial"/>
          <w:color w:val="000000"/>
          <w:szCs w:val="20"/>
        </w:rPr>
        <w:t>(4) Izvajanje brezšivne skrbi v lekarnah na primarni ravni, bo zavod plačal na podlagi storitev, opredeljenih v Seznamu storitev 15.24. Storitev Pregled uporabe zdravil lahko izvajajo magistri farmacije, s pridobljeno kompetenco za izvajanje PUZ. Seznam oseb, ki lahko opravljajo storitev PUZ, pripravi in redno posodablja Lekarniška zbornica Slovenije, Zavod pa ga objavi na svojih spletnih straneh.</w:t>
      </w:r>
    </w:p>
    <w:bookmarkEnd w:id="92"/>
    <w:p w14:paraId="3EEBACD8" w14:textId="77777777" w:rsidR="00FE461F" w:rsidRPr="005E4BEA" w:rsidRDefault="00FE461F" w:rsidP="00FE461F">
      <w:pPr>
        <w:spacing w:before="120" w:after="60" w:line="240" w:lineRule="auto"/>
        <w:jc w:val="both"/>
        <w:rPr>
          <w:rFonts w:eastAsia="Calibri" w:cs="Arial"/>
          <w:b/>
          <w:bCs/>
          <w:szCs w:val="20"/>
        </w:rPr>
      </w:pPr>
    </w:p>
    <w:p w14:paraId="7252A0D3" w14:textId="77777777" w:rsidR="00FE461F" w:rsidRPr="005E4BEA" w:rsidRDefault="00FE461F" w:rsidP="00FE461F">
      <w:pPr>
        <w:spacing w:line="240" w:lineRule="auto"/>
        <w:jc w:val="both"/>
        <w:rPr>
          <w:rFonts w:eastAsia="Calibri" w:cs="Arial"/>
          <w:b/>
          <w:i/>
          <w:color w:val="808080"/>
          <w:szCs w:val="20"/>
          <w:u w:val="single"/>
        </w:rPr>
      </w:pPr>
      <w:r w:rsidRPr="005E4BEA">
        <w:rPr>
          <w:rFonts w:eastAsia="Calibri" w:cs="Arial"/>
          <w:b/>
          <w:i/>
          <w:color w:val="808080"/>
          <w:szCs w:val="20"/>
          <w:u w:val="single"/>
        </w:rPr>
        <w:t>Obrazložitev:</w:t>
      </w:r>
    </w:p>
    <w:p w14:paraId="66F0ADFE"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lastRenderedPageBreak/>
        <w:t>Predlog je nastal v sodelovanju predstavnikov partnerjev, LZS, MZ, ZZZS ter delovno skupino MZ, ki jo je minister imenoval s sklepom o imenovanju delovne skupine za pripravo izvajanja brezšivne skrbi, z dne 9.3.2021.</w:t>
      </w:r>
    </w:p>
    <w:p w14:paraId="3A4FE67B" w14:textId="77777777" w:rsidR="00FE461F" w:rsidRPr="005E4BEA" w:rsidRDefault="00FE461F" w:rsidP="00FE461F">
      <w:pPr>
        <w:spacing w:line="240" w:lineRule="auto"/>
        <w:jc w:val="both"/>
        <w:rPr>
          <w:rFonts w:eastAsia="Calibri" w:cs="Arial"/>
          <w:bCs/>
          <w:i/>
          <w:color w:val="808080"/>
          <w:szCs w:val="20"/>
        </w:rPr>
      </w:pPr>
    </w:p>
    <w:p w14:paraId="2649C42B"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t xml:space="preserve">V okviru Zakona o lekarniški dejavnosti (Uradni list RS, št. 85/2016 in 77/2017, v nadaljevanju: ZLD-1) in Pravilnika o izvajanju storitev lekarniške dejavnosti v bolnišnični lekarni (Uradni list RS, št. 28/18, v nadaljevanju Pravilnik BL) je s 1.1.2023 predvidena vpeljava brezšivne skrbi. </w:t>
      </w:r>
    </w:p>
    <w:p w14:paraId="76F76409" w14:textId="77777777" w:rsidR="00FE461F" w:rsidRPr="005E4BEA" w:rsidRDefault="00FE461F" w:rsidP="00FE461F">
      <w:pPr>
        <w:spacing w:line="240" w:lineRule="auto"/>
        <w:jc w:val="both"/>
        <w:rPr>
          <w:rFonts w:eastAsia="Calibri" w:cs="Arial"/>
          <w:b/>
          <w:i/>
          <w:color w:val="808080"/>
          <w:szCs w:val="20"/>
          <w:u w:val="single"/>
        </w:rPr>
      </w:pPr>
    </w:p>
    <w:p w14:paraId="0BC592E0" w14:textId="77777777" w:rsidR="00FE461F" w:rsidRPr="005E4BEA" w:rsidRDefault="00FE461F" w:rsidP="00FE461F">
      <w:pPr>
        <w:spacing w:line="240" w:lineRule="auto"/>
        <w:jc w:val="both"/>
        <w:rPr>
          <w:rFonts w:eastAsia="Calibri" w:cs="Arial"/>
          <w:bCs/>
          <w:i/>
          <w:color w:val="808080"/>
          <w:szCs w:val="20"/>
        </w:rPr>
      </w:pPr>
      <w:bookmarkStart w:id="94" w:name="_Hlk102988775"/>
      <w:r w:rsidRPr="005E4BEA">
        <w:rPr>
          <w:rFonts w:eastAsia="Calibri" w:cs="Arial"/>
          <w:bCs/>
          <w:i/>
          <w:color w:val="808080"/>
          <w:szCs w:val="20"/>
        </w:rPr>
        <w:t>Brezšivna skrb je zagotavljanje neprekinjene preskrbe pacienta z zdravili in farmacevtska obravnava pri prehajanju med različnimi ravnmi zdravstvenega varstva. V okviru brezšivne skrbi izvajalci lekarniške dejavnosti na primarni, sekundarni in terciarni ravni zdravstvene dejavnosti zagotovijo medsebojno izmenjavo informacij o zdravljenju z zdravili pri posameznem pacientu, ki omogočajo hitro in učinkovito usklajevanje zdravljenja z zdravili in so pomembne za varno nadaljevanje zdravljenja z zdravili ob sprejemu pacienta v bolnišnico in ob odpustu z nje. Brezšivna skrb je namenjena vsem pacientom, ki prehajajo ravni zdravstvenega varstva.</w:t>
      </w:r>
    </w:p>
    <w:bookmarkEnd w:id="94"/>
    <w:p w14:paraId="35A05A8A" w14:textId="77777777" w:rsidR="00FE461F" w:rsidRPr="005E4BEA" w:rsidRDefault="00FE461F" w:rsidP="00FE461F">
      <w:pPr>
        <w:spacing w:line="240" w:lineRule="auto"/>
        <w:jc w:val="both"/>
        <w:rPr>
          <w:rFonts w:eastAsia="Calibri" w:cs="Arial"/>
          <w:bCs/>
          <w:i/>
          <w:color w:val="808080"/>
          <w:szCs w:val="20"/>
        </w:rPr>
      </w:pPr>
    </w:p>
    <w:p w14:paraId="63BE3EB1"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t>Temeljni nosilec za izmenjavo informacij o zdravljenju z zdravili pri posameznem pacientu je osebna kartica zdravil (OKZ).</w:t>
      </w:r>
    </w:p>
    <w:p w14:paraId="1477EEFC" w14:textId="77777777" w:rsidR="00FE461F" w:rsidRPr="005E4BEA" w:rsidRDefault="00FE461F" w:rsidP="00FE461F">
      <w:pPr>
        <w:spacing w:line="240" w:lineRule="auto"/>
        <w:jc w:val="both"/>
        <w:rPr>
          <w:rFonts w:eastAsia="Calibri" w:cs="Arial"/>
          <w:bCs/>
          <w:i/>
          <w:color w:val="808080"/>
          <w:szCs w:val="20"/>
        </w:rPr>
      </w:pPr>
    </w:p>
    <w:p w14:paraId="5817F57D"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Cilj izvajanja brezšivne skrb je zagotavljanje večje kakovosti in varnosti pacientovega zdravljenja z zdravili, ko pacient prehaja ravni zdravstvenega sistema ter zagotavljanje boljših izidov zdravljenja z zdravili. </w:t>
      </w:r>
    </w:p>
    <w:p w14:paraId="2A31A23D" w14:textId="77777777" w:rsidR="00FE461F" w:rsidRPr="005E4BEA" w:rsidRDefault="00FE461F" w:rsidP="00FE461F">
      <w:pPr>
        <w:spacing w:line="240" w:lineRule="auto"/>
        <w:jc w:val="both"/>
        <w:rPr>
          <w:rFonts w:cs="Arial"/>
          <w:i/>
          <w:iCs/>
          <w:color w:val="808080"/>
          <w:szCs w:val="20"/>
          <w:lang w:eastAsia="sl-SI"/>
        </w:rPr>
      </w:pPr>
      <w:r w:rsidRPr="005E4BEA">
        <w:rPr>
          <w:rFonts w:cs="Arial"/>
          <w:i/>
          <w:iCs/>
          <w:color w:val="808080"/>
          <w:szCs w:val="20"/>
          <w:lang w:eastAsia="sl-SI"/>
        </w:rPr>
        <w:t>Glavni cilj izvajanja BS je zmanjšati število napak pri zdravljenju z zdravili, ki se pojavijo v procesu prehoda med različnimi ravnmi zdravstvene dejavnosti. Do teh napak prihaja zaradi slabe ali pomanjkljive komunikacije med bolnikom in osebjem, osebjem v bolnišnici ter izdanimi navodili za farmacevta na primarni ravni (predpis recepta). BS v svojih okvirjih nudi veliko možnosti izboljšanja nivojskega in med nivojskega sodelovanja in prenosa informacij ter informiranosti bolnika o njegovi bolezni, zdravljenju in skrbi za zdravje.</w:t>
      </w:r>
    </w:p>
    <w:p w14:paraId="4D29D23B" w14:textId="77777777" w:rsidR="00FE461F" w:rsidRPr="005E4BEA" w:rsidRDefault="00FE461F" w:rsidP="00FE461F">
      <w:pPr>
        <w:spacing w:line="240" w:lineRule="auto"/>
        <w:jc w:val="both"/>
        <w:rPr>
          <w:rFonts w:cs="Arial"/>
          <w:i/>
          <w:iCs/>
          <w:szCs w:val="20"/>
          <w:lang w:eastAsia="sl-SI"/>
        </w:rPr>
      </w:pPr>
    </w:p>
    <w:p w14:paraId="5872F3A1" w14:textId="77777777" w:rsidR="00FE461F" w:rsidRPr="005E4BEA" w:rsidRDefault="00FE461F" w:rsidP="00FE461F">
      <w:pPr>
        <w:spacing w:line="240" w:lineRule="auto"/>
        <w:jc w:val="both"/>
        <w:rPr>
          <w:rFonts w:cs="Arial"/>
          <w:i/>
          <w:iCs/>
          <w:color w:val="808080"/>
          <w:szCs w:val="20"/>
          <w:lang w:eastAsia="sl-SI"/>
        </w:rPr>
      </w:pPr>
      <w:r w:rsidRPr="005E4BEA">
        <w:rPr>
          <w:rFonts w:cs="Arial"/>
          <w:i/>
          <w:iCs/>
          <w:color w:val="808080"/>
          <w:szCs w:val="20"/>
          <w:lang w:eastAsia="sl-SI"/>
        </w:rPr>
        <w:t xml:space="preserve">Pri zagotavljanju BS pri zdravljenju z zdravili ima farmacevt zelo pomembno vlogo. To sta opredelila že Mednarodno združenje farmacevtov (FIP, </w:t>
      </w:r>
      <w:proofErr w:type="spellStart"/>
      <w:r w:rsidRPr="005E4BEA">
        <w:rPr>
          <w:rFonts w:cs="Arial"/>
          <w:i/>
          <w:iCs/>
          <w:color w:val="808080"/>
          <w:szCs w:val="20"/>
          <w:lang w:eastAsia="sl-SI"/>
        </w:rPr>
        <w:t>International</w:t>
      </w:r>
      <w:proofErr w:type="spellEnd"/>
      <w:r w:rsidRPr="005E4BEA">
        <w:rPr>
          <w:rFonts w:cs="Arial"/>
          <w:i/>
          <w:iCs/>
          <w:color w:val="808080"/>
          <w:szCs w:val="20"/>
          <w:lang w:eastAsia="sl-SI"/>
        </w:rPr>
        <w:t xml:space="preserve"> </w:t>
      </w:r>
      <w:proofErr w:type="spellStart"/>
      <w:r w:rsidRPr="005E4BEA">
        <w:rPr>
          <w:rFonts w:cs="Arial"/>
          <w:i/>
          <w:iCs/>
          <w:color w:val="808080"/>
          <w:szCs w:val="20"/>
          <w:lang w:eastAsia="sl-SI"/>
        </w:rPr>
        <w:t>Pharmaceutical</w:t>
      </w:r>
      <w:proofErr w:type="spellEnd"/>
      <w:r w:rsidRPr="005E4BEA">
        <w:rPr>
          <w:rFonts w:cs="Arial"/>
          <w:i/>
          <w:iCs/>
          <w:color w:val="808080"/>
          <w:szCs w:val="20"/>
          <w:lang w:eastAsia="sl-SI"/>
        </w:rPr>
        <w:t xml:space="preserve"> </w:t>
      </w:r>
      <w:proofErr w:type="spellStart"/>
      <w:r w:rsidRPr="005E4BEA">
        <w:rPr>
          <w:rFonts w:cs="Arial"/>
          <w:i/>
          <w:iCs/>
          <w:color w:val="808080"/>
          <w:szCs w:val="20"/>
          <w:lang w:eastAsia="sl-SI"/>
        </w:rPr>
        <w:t>Federation</w:t>
      </w:r>
      <w:proofErr w:type="spellEnd"/>
      <w:r w:rsidRPr="005E4BEA">
        <w:rPr>
          <w:rFonts w:cs="Arial"/>
          <w:i/>
          <w:iCs/>
          <w:color w:val="808080"/>
          <w:szCs w:val="20"/>
          <w:lang w:eastAsia="sl-SI"/>
        </w:rPr>
        <w:t xml:space="preserve">) in Svetovna zdravstvena organizacija, ki sta v smernicah o dobri lekarniški praksi navedla, da naj bi farmacevt zagotavljal BS s prenosom informacij o bolnikovih zdravilih med prehodom pacienta med različnimi ravnmi zdravstvenega varstva. </w:t>
      </w:r>
    </w:p>
    <w:p w14:paraId="4CF94B4B" w14:textId="77777777" w:rsidR="00FE461F" w:rsidRPr="005E4BEA" w:rsidRDefault="00FE461F" w:rsidP="00FE461F">
      <w:pPr>
        <w:spacing w:line="240" w:lineRule="auto"/>
        <w:jc w:val="both"/>
        <w:rPr>
          <w:rFonts w:eastAsia="Calibri" w:cs="Arial"/>
          <w:b/>
          <w:i/>
          <w:color w:val="808080"/>
          <w:szCs w:val="20"/>
          <w:u w:val="single"/>
        </w:rPr>
      </w:pPr>
    </w:p>
    <w:p w14:paraId="12CA53FD" w14:textId="77777777" w:rsidR="00FE461F" w:rsidRPr="005E4BEA" w:rsidRDefault="00FE461F" w:rsidP="00FE461F">
      <w:pPr>
        <w:spacing w:line="240" w:lineRule="auto"/>
        <w:jc w:val="both"/>
        <w:rPr>
          <w:rFonts w:eastAsia="Calibri" w:cs="Arial"/>
          <w:b/>
          <w:i/>
          <w:color w:val="808080"/>
          <w:szCs w:val="20"/>
          <w:u w:val="single"/>
        </w:rPr>
      </w:pPr>
    </w:p>
    <w:p w14:paraId="7704DF48"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 xml:space="preserve">Predlagana storitev: </w:t>
      </w:r>
    </w:p>
    <w:p w14:paraId="10F6CD36" w14:textId="77777777" w:rsidR="00FE461F" w:rsidRPr="005E4BEA" w:rsidRDefault="00FE461F" w:rsidP="00FE461F">
      <w:pPr>
        <w:spacing w:line="240" w:lineRule="auto"/>
        <w:jc w:val="both"/>
        <w:rPr>
          <w:rFonts w:eastAsia="Calibri" w:cs="Arial"/>
          <w:b/>
          <w:bCs/>
          <w:i/>
          <w:color w:val="808080"/>
          <w:szCs w:val="20"/>
        </w:rPr>
      </w:pPr>
    </w:p>
    <w:p w14:paraId="672B546D"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PRIMARNA RAVEN:</w:t>
      </w:r>
    </w:p>
    <w:p w14:paraId="0452C234" w14:textId="77777777" w:rsidR="00FE461F" w:rsidRPr="005E4BEA" w:rsidRDefault="00FE461F" w:rsidP="00FE461F">
      <w:pPr>
        <w:spacing w:line="240" w:lineRule="auto"/>
        <w:jc w:val="both"/>
        <w:rPr>
          <w:rFonts w:eastAsia="Calibri" w:cs="Arial"/>
          <w:bCs/>
          <w:i/>
          <w:color w:val="808080"/>
          <w:szCs w:val="20"/>
        </w:rPr>
      </w:pPr>
      <w:r w:rsidRPr="005E4BEA">
        <w:rPr>
          <w:rFonts w:eastAsia="Calibri" w:cs="Arial"/>
          <w:bCs/>
          <w:i/>
          <w:color w:val="808080"/>
          <w:szCs w:val="20"/>
        </w:rPr>
        <w:t>Na primarni ravni magistri farmacije v lekarni zagotavljajo neprekinjeno preskrbo z zdravili in farmacevtsko obravnavo pacienta po odpustu iz bolnišnice, in obenem zagotavljajo neprekinjeno medsebojno izmenjavo informacij o zdravljenju z zdravili pri posameznem pacientu ob sprejemu pacienta v bolnišnico, ki omogočajo hitro in učinkovito usklajevanje zdravljenja z zdravili ter varno nadaljevanje zdravljenja z zdravili na sekundarni in terciarni ravni zdravstvenega varstva.</w:t>
      </w:r>
    </w:p>
    <w:p w14:paraId="75F0E7E1" w14:textId="77777777" w:rsidR="00FE461F" w:rsidRPr="005E4BEA" w:rsidRDefault="00FE461F" w:rsidP="00FE461F">
      <w:pPr>
        <w:spacing w:line="240" w:lineRule="auto"/>
        <w:jc w:val="both"/>
        <w:rPr>
          <w:rFonts w:eastAsia="Calibri" w:cs="Arial"/>
          <w:b/>
          <w:bCs/>
          <w:i/>
          <w:color w:val="808080"/>
          <w:szCs w:val="20"/>
        </w:rPr>
      </w:pPr>
    </w:p>
    <w:p w14:paraId="35FC9C46"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Nosilci brezšivne skrbi na primarni ravni:</w:t>
      </w:r>
    </w:p>
    <w:p w14:paraId="3703F4E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Posodobitev osebne kartice zdravil (OKZ): magistri farmacije z licenco.</w:t>
      </w:r>
    </w:p>
    <w:p w14:paraId="2DD6589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Storitev pregled uporabe zdravil (PUZ) z izdajo OKZ – prvi in kontrolni: magister farmacije z licenco in pridobljeno kompetenco za izvajanje PUZ.</w:t>
      </w:r>
    </w:p>
    <w:p w14:paraId="1310A40C" w14:textId="77777777" w:rsidR="00FE461F" w:rsidRPr="005E4BEA" w:rsidRDefault="00FE461F" w:rsidP="00FE461F">
      <w:pPr>
        <w:spacing w:line="240" w:lineRule="auto"/>
        <w:jc w:val="both"/>
        <w:rPr>
          <w:rFonts w:eastAsia="Calibri" w:cs="Arial"/>
          <w:b/>
          <w:bCs/>
          <w:i/>
          <w:color w:val="808080"/>
          <w:szCs w:val="20"/>
        </w:rPr>
      </w:pPr>
    </w:p>
    <w:p w14:paraId="00720D05" w14:textId="77777777" w:rsidR="00FE461F" w:rsidRPr="005E4BEA" w:rsidRDefault="00FE461F" w:rsidP="00FE461F">
      <w:pPr>
        <w:spacing w:line="240" w:lineRule="auto"/>
        <w:jc w:val="both"/>
        <w:rPr>
          <w:rFonts w:eastAsia="Calibri" w:cs="Arial"/>
          <w:b/>
          <w:bCs/>
          <w:i/>
          <w:color w:val="808080"/>
          <w:szCs w:val="20"/>
        </w:rPr>
      </w:pPr>
    </w:p>
    <w:p w14:paraId="326A362F"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 xml:space="preserve">Prednostne skupine pacientov: </w:t>
      </w:r>
    </w:p>
    <w:p w14:paraId="2FAD79D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Posodobitev OKZ:</w:t>
      </w:r>
    </w:p>
    <w:p w14:paraId="2D2857D5" w14:textId="77777777" w:rsidR="00FE461F" w:rsidRPr="005E4BEA" w:rsidRDefault="00FE461F" w:rsidP="00F356C9">
      <w:pPr>
        <w:numPr>
          <w:ilvl w:val="0"/>
          <w:numId w:val="61"/>
        </w:numPr>
        <w:spacing w:line="240" w:lineRule="auto"/>
        <w:jc w:val="both"/>
        <w:rPr>
          <w:rFonts w:eastAsia="Calibri" w:cs="Arial"/>
          <w:i/>
          <w:color w:val="808080"/>
          <w:szCs w:val="20"/>
        </w:rPr>
      </w:pPr>
      <w:r w:rsidRPr="005E4BEA">
        <w:rPr>
          <w:rFonts w:eastAsia="Calibri" w:cs="Arial"/>
          <w:i/>
          <w:color w:val="808080"/>
          <w:szCs w:val="20"/>
        </w:rPr>
        <w:t>Pacienti, ki imajo spremembo v terapiji zaradi MZZ, ukinitve zdravila.</w:t>
      </w:r>
    </w:p>
    <w:p w14:paraId="7FBE47FA" w14:textId="77777777" w:rsidR="00FE461F" w:rsidRPr="005E4BEA" w:rsidRDefault="00FE461F" w:rsidP="00FE461F">
      <w:pPr>
        <w:spacing w:line="240" w:lineRule="auto"/>
        <w:jc w:val="both"/>
        <w:rPr>
          <w:rFonts w:eastAsia="Calibri" w:cs="Arial"/>
          <w:i/>
          <w:color w:val="808080"/>
          <w:szCs w:val="20"/>
        </w:rPr>
      </w:pPr>
    </w:p>
    <w:p w14:paraId="41DC2FDA"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Kontrolni PUZ:</w:t>
      </w:r>
    </w:p>
    <w:p w14:paraId="3724A154" w14:textId="77777777" w:rsidR="00FE461F" w:rsidRPr="005E4BEA" w:rsidRDefault="00FE461F" w:rsidP="00F356C9">
      <w:pPr>
        <w:numPr>
          <w:ilvl w:val="0"/>
          <w:numId w:val="61"/>
        </w:numPr>
        <w:spacing w:line="240" w:lineRule="auto"/>
        <w:jc w:val="both"/>
        <w:rPr>
          <w:rFonts w:eastAsia="Calibri" w:cs="Arial"/>
          <w:i/>
          <w:color w:val="808080"/>
          <w:szCs w:val="20"/>
        </w:rPr>
      </w:pPr>
      <w:r w:rsidRPr="005E4BEA">
        <w:rPr>
          <w:rFonts w:eastAsia="Calibri" w:cs="Arial"/>
          <w:i/>
          <w:color w:val="808080"/>
          <w:szCs w:val="20"/>
        </w:rPr>
        <w:t xml:space="preserve">Pacienti, ki se jim je terapija po odpustu iz bolnišnice spremenila (spremembo terapije uvede zdravnik specialist v specialistični ambulant ali specialist družinske medicine ali zdravnik specialist druge specialnosti uvede terapijo za drugo </w:t>
      </w:r>
      <w:proofErr w:type="spellStart"/>
      <w:r w:rsidRPr="005E4BEA">
        <w:rPr>
          <w:rFonts w:eastAsia="Calibri" w:cs="Arial"/>
          <w:i/>
          <w:color w:val="808080"/>
          <w:szCs w:val="20"/>
        </w:rPr>
        <w:t>boleznesko</w:t>
      </w:r>
      <w:proofErr w:type="spellEnd"/>
      <w:r w:rsidRPr="005E4BEA">
        <w:rPr>
          <w:rFonts w:eastAsia="Calibri" w:cs="Arial"/>
          <w:i/>
          <w:color w:val="808080"/>
          <w:szCs w:val="20"/>
        </w:rPr>
        <w:t xml:space="preserve"> stanje/ stanja) </w:t>
      </w:r>
      <w:r w:rsidRPr="005E4BEA">
        <w:rPr>
          <w:rFonts w:eastAsia="Calibri" w:cs="Arial"/>
          <w:i/>
          <w:color w:val="808080"/>
          <w:szCs w:val="20"/>
        </w:rPr>
        <w:lastRenderedPageBreak/>
        <w:t>pri zdravljenju z zdravili, vključno s prilagoditvami odmerkov, in v meri, kjer je potrebna delna uskladitev terapije in ni komunikacije z zdravnikom.</w:t>
      </w:r>
    </w:p>
    <w:p w14:paraId="134DD2E8" w14:textId="77777777" w:rsidR="00FE461F" w:rsidRPr="005E4BEA" w:rsidRDefault="00FE461F" w:rsidP="00F356C9">
      <w:pPr>
        <w:numPr>
          <w:ilvl w:val="0"/>
          <w:numId w:val="61"/>
        </w:numPr>
        <w:spacing w:line="240" w:lineRule="auto"/>
        <w:jc w:val="both"/>
        <w:rPr>
          <w:rFonts w:eastAsia="Calibri" w:cs="Arial"/>
          <w:i/>
          <w:color w:val="808080"/>
          <w:szCs w:val="20"/>
        </w:rPr>
      </w:pPr>
      <w:r w:rsidRPr="005E4BEA">
        <w:rPr>
          <w:rFonts w:eastAsia="Calibri" w:cs="Arial"/>
          <w:i/>
          <w:color w:val="808080"/>
          <w:szCs w:val="20"/>
        </w:rPr>
        <w:t xml:space="preserve">Pacienti, katerim bolnišnični farmacevt še posebej označi, da se mu opravi PUZ na primarni ravni in že imajo izdelan OKZ. To so pacienti s slabšim sodelovanjem z zdravljenjem z zdravili in nizko zdravstveno pismenostjo (slabo razumevanje oziroma nepoznavanje terapije, slabše kognitivne sposobnosti, fizične omejitve pacienta – npr. težave s požiranjem, za pacienta skrbijo svojci/skrbniki) ali z določenim naborom zdravil (npr. zdravila z visokim tveganjem za neželene dogodke, protivirusnimi zdravili za HIV, HCV, </w:t>
      </w:r>
      <w:proofErr w:type="spellStart"/>
      <w:r w:rsidRPr="005E4BEA">
        <w:rPr>
          <w:rFonts w:eastAsia="Calibri" w:cs="Arial"/>
          <w:i/>
          <w:color w:val="808080"/>
          <w:szCs w:val="20"/>
        </w:rPr>
        <w:t>antituberkulotiki</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antikoagulanti</w:t>
      </w:r>
      <w:proofErr w:type="spellEnd"/>
      <w:r w:rsidRPr="005E4BEA">
        <w:rPr>
          <w:rFonts w:eastAsia="Calibri" w:cs="Arial"/>
          <w:i/>
          <w:color w:val="808080"/>
          <w:szCs w:val="20"/>
        </w:rPr>
        <w:t xml:space="preserve">, zdravili za sladkorno bolezen, analgetično terapijo vključno s </w:t>
      </w:r>
      <w:proofErr w:type="spellStart"/>
      <w:r w:rsidRPr="005E4BEA">
        <w:rPr>
          <w:rFonts w:eastAsia="Calibri" w:cs="Arial"/>
          <w:i/>
          <w:color w:val="808080"/>
          <w:szCs w:val="20"/>
        </w:rPr>
        <w:t>paliativo</w:t>
      </w:r>
      <w:proofErr w:type="spellEnd"/>
      <w:r w:rsidRPr="005E4BEA">
        <w:rPr>
          <w:rFonts w:eastAsia="Calibri" w:cs="Arial"/>
          <w:i/>
          <w:color w:val="808080"/>
          <w:szCs w:val="20"/>
        </w:rPr>
        <w:t xml:space="preserve">, obsežna </w:t>
      </w:r>
      <w:proofErr w:type="spellStart"/>
      <w:r w:rsidRPr="005E4BEA">
        <w:rPr>
          <w:rFonts w:eastAsia="Calibri" w:cs="Arial"/>
          <w:i/>
          <w:color w:val="808080"/>
          <w:szCs w:val="20"/>
        </w:rPr>
        <w:t>psihofarmakološka</w:t>
      </w:r>
      <w:proofErr w:type="spellEnd"/>
      <w:r w:rsidRPr="005E4BEA">
        <w:rPr>
          <w:rFonts w:eastAsia="Calibri" w:cs="Arial"/>
          <w:i/>
          <w:color w:val="808080"/>
          <w:szCs w:val="20"/>
        </w:rPr>
        <w:t xml:space="preserve"> terapija </w:t>
      </w:r>
      <w:proofErr w:type="spellStart"/>
      <w:r w:rsidRPr="005E4BEA">
        <w:rPr>
          <w:rFonts w:eastAsia="Calibri" w:cs="Arial"/>
          <w:i/>
          <w:color w:val="808080"/>
          <w:szCs w:val="20"/>
        </w:rPr>
        <w:t>itd</w:t>
      </w:r>
      <w:proofErr w:type="spellEnd"/>
      <w:r w:rsidRPr="005E4BEA">
        <w:rPr>
          <w:rFonts w:eastAsia="Calibri" w:cs="Arial"/>
          <w:i/>
          <w:color w:val="808080"/>
          <w:szCs w:val="20"/>
        </w:rPr>
        <w:t xml:space="preserve"> ...) VIR: ISMP (https://www.ismp.org/).</w:t>
      </w:r>
    </w:p>
    <w:p w14:paraId="2BA0DB62" w14:textId="77777777" w:rsidR="00FE461F" w:rsidRPr="005E4BEA" w:rsidRDefault="00FE461F" w:rsidP="00F356C9">
      <w:pPr>
        <w:numPr>
          <w:ilvl w:val="0"/>
          <w:numId w:val="61"/>
        </w:numPr>
        <w:spacing w:line="240" w:lineRule="auto"/>
        <w:jc w:val="both"/>
        <w:rPr>
          <w:rFonts w:eastAsia="Calibri" w:cs="Arial"/>
          <w:i/>
          <w:color w:val="808080"/>
          <w:szCs w:val="20"/>
        </w:rPr>
      </w:pPr>
      <w:r w:rsidRPr="005E4BEA">
        <w:rPr>
          <w:rFonts w:eastAsia="Calibri" w:cs="Arial"/>
          <w:i/>
          <w:color w:val="808080"/>
          <w:szCs w:val="20"/>
        </w:rPr>
        <w:t>Pacienti, ki uporabljajo zdravila brez recepta, medicinske pripomočke in/ali izdelke za podporo zdravljenja in ohranitev zdravja, za katere je potrebno svetovanje in uskladitev zdravljenja z redno terapijo, ter dopolnitev OKZ v tem delu.</w:t>
      </w:r>
    </w:p>
    <w:p w14:paraId="550D14EB" w14:textId="77777777" w:rsidR="00FE461F" w:rsidRPr="005E4BEA" w:rsidRDefault="00FE461F" w:rsidP="00FE461F">
      <w:pPr>
        <w:spacing w:line="240" w:lineRule="auto"/>
        <w:jc w:val="both"/>
        <w:rPr>
          <w:rFonts w:eastAsia="Calibri" w:cs="Arial"/>
          <w:i/>
          <w:color w:val="808080"/>
          <w:szCs w:val="20"/>
        </w:rPr>
      </w:pPr>
    </w:p>
    <w:p w14:paraId="71E85ECC"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Storitev PUZ:</w:t>
      </w:r>
    </w:p>
    <w:p w14:paraId="7A89B9BB" w14:textId="77777777" w:rsidR="00FE461F" w:rsidRPr="005E4BEA" w:rsidRDefault="00FE461F" w:rsidP="00F356C9">
      <w:pPr>
        <w:numPr>
          <w:ilvl w:val="0"/>
          <w:numId w:val="57"/>
        </w:numPr>
        <w:spacing w:line="240" w:lineRule="auto"/>
        <w:jc w:val="both"/>
        <w:rPr>
          <w:rFonts w:cs="Arial"/>
          <w:i/>
          <w:color w:val="808080"/>
          <w:szCs w:val="20"/>
        </w:rPr>
      </w:pPr>
      <w:r w:rsidRPr="005E4BEA">
        <w:rPr>
          <w:rFonts w:eastAsia="Calibri" w:cs="Arial"/>
          <w:i/>
          <w:color w:val="808080"/>
          <w:szCs w:val="20"/>
        </w:rPr>
        <w:t xml:space="preserve">Pacienti, ki se jim je terapija z zdravili po odpustu iz bolnišnice spremenila (spremembo terapije uvede zdravnik specialist v specialistični ambulant ali specialist družinske medicine ali zdravnik specialist druge specialnosti uvede terapijo za drugo </w:t>
      </w:r>
      <w:proofErr w:type="spellStart"/>
      <w:r w:rsidRPr="005E4BEA">
        <w:rPr>
          <w:rFonts w:eastAsia="Calibri" w:cs="Arial"/>
          <w:i/>
          <w:color w:val="808080"/>
          <w:szCs w:val="20"/>
        </w:rPr>
        <w:t>boleznesko</w:t>
      </w:r>
      <w:proofErr w:type="spellEnd"/>
      <w:r w:rsidRPr="005E4BEA">
        <w:rPr>
          <w:rFonts w:eastAsia="Calibri" w:cs="Arial"/>
          <w:i/>
          <w:color w:val="808080"/>
          <w:szCs w:val="20"/>
        </w:rPr>
        <w:t xml:space="preserve"> stanje/ stanja) v meri, kjer je potrebna uskladitev celotne terapije z zdravili, z ali brez komunikacije z zdravnikom, ter edukacija pacienta/skrbnika o pravilni rabi zdravil.</w:t>
      </w:r>
    </w:p>
    <w:p w14:paraId="10A7446E" w14:textId="77777777" w:rsidR="00FE461F" w:rsidRPr="005E4BEA" w:rsidRDefault="00FE461F" w:rsidP="00F356C9">
      <w:pPr>
        <w:numPr>
          <w:ilvl w:val="0"/>
          <w:numId w:val="57"/>
        </w:numPr>
        <w:spacing w:line="240" w:lineRule="auto"/>
        <w:jc w:val="both"/>
        <w:rPr>
          <w:rFonts w:eastAsia="Calibri" w:cs="Arial"/>
          <w:i/>
          <w:color w:val="808080"/>
          <w:szCs w:val="20"/>
        </w:rPr>
      </w:pPr>
      <w:r w:rsidRPr="005E4BEA">
        <w:rPr>
          <w:rFonts w:eastAsia="Calibri" w:cs="Arial"/>
          <w:i/>
          <w:color w:val="808080"/>
          <w:szCs w:val="20"/>
        </w:rPr>
        <w:t>Pacienti, ki so bili predčasno odpuščeni iz bolnišnice in imajo pomembne spremembe v terapiji z zdravili, vključno z na novo uvedenimi zdravili in prilagoditvami odmerkov, ki OKZ nimajo ali spremembe v OKZ še niso zabeležene, in ki zahtevajo uskladitev celotne terapije zdravil, z ali brez komunikacije z zdravnikom, in edukacijo bolnika o pravilni rabi zdravil.</w:t>
      </w:r>
    </w:p>
    <w:p w14:paraId="7BF8EF6C" w14:textId="77777777" w:rsidR="00FE461F" w:rsidRPr="005E4BEA" w:rsidRDefault="00FE461F" w:rsidP="00F356C9">
      <w:pPr>
        <w:numPr>
          <w:ilvl w:val="0"/>
          <w:numId w:val="57"/>
        </w:numPr>
        <w:spacing w:line="240" w:lineRule="auto"/>
        <w:jc w:val="both"/>
        <w:rPr>
          <w:rFonts w:eastAsia="Calibri" w:cs="Arial"/>
          <w:i/>
          <w:color w:val="808080"/>
          <w:szCs w:val="20"/>
        </w:rPr>
      </w:pPr>
      <w:r w:rsidRPr="005E4BEA">
        <w:rPr>
          <w:rFonts w:eastAsia="Calibri" w:cs="Arial"/>
          <w:i/>
          <w:color w:val="808080"/>
          <w:szCs w:val="20"/>
        </w:rPr>
        <w:t xml:space="preserve">Pacienti, katerim bolnišnični farmacevt še posebej označi, da se mu opravi PUZ na primarni ravni. To so bolniki s slabšim sodelovanjem z zdravljenjem z zdravili in nizko zdravstveno pismenostjo (slabo razumevanje oziroma nepoznavanje terapije, slabše kognitivne sposobnosti, fizične omejitve pacienta – npr. težave s požiranjem, za pacienta skrbijo svojci/skrbniki) ali z določenim naborom zdravil (npr. zdravila z visokim tveganjem za neželene dogodke, protivirusnimi zdravili za HIV, HCV, </w:t>
      </w:r>
      <w:proofErr w:type="spellStart"/>
      <w:r w:rsidRPr="005E4BEA">
        <w:rPr>
          <w:rFonts w:eastAsia="Calibri" w:cs="Arial"/>
          <w:i/>
          <w:color w:val="808080"/>
          <w:szCs w:val="20"/>
        </w:rPr>
        <w:t>antituberkulotiki</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antikoagulanti</w:t>
      </w:r>
      <w:proofErr w:type="spellEnd"/>
      <w:r w:rsidRPr="005E4BEA">
        <w:rPr>
          <w:rFonts w:eastAsia="Calibri" w:cs="Arial"/>
          <w:i/>
          <w:color w:val="808080"/>
          <w:szCs w:val="20"/>
        </w:rPr>
        <w:t xml:space="preserve">, zdravili za sladkorno bolezen, analgetično terapijo vključno s </w:t>
      </w:r>
      <w:proofErr w:type="spellStart"/>
      <w:r w:rsidRPr="005E4BEA">
        <w:rPr>
          <w:rFonts w:eastAsia="Calibri" w:cs="Arial"/>
          <w:i/>
          <w:color w:val="808080"/>
          <w:szCs w:val="20"/>
        </w:rPr>
        <w:t>paliativo</w:t>
      </w:r>
      <w:proofErr w:type="spellEnd"/>
      <w:r w:rsidRPr="005E4BEA">
        <w:rPr>
          <w:rFonts w:eastAsia="Calibri" w:cs="Arial"/>
          <w:i/>
          <w:color w:val="808080"/>
          <w:szCs w:val="20"/>
        </w:rPr>
        <w:t xml:space="preserve">, obsežna </w:t>
      </w:r>
      <w:proofErr w:type="spellStart"/>
      <w:r w:rsidRPr="005E4BEA">
        <w:rPr>
          <w:rFonts w:eastAsia="Calibri" w:cs="Arial"/>
          <w:i/>
          <w:color w:val="808080"/>
          <w:szCs w:val="20"/>
        </w:rPr>
        <w:t>psihofarmakološka</w:t>
      </w:r>
      <w:proofErr w:type="spellEnd"/>
      <w:r w:rsidRPr="005E4BEA">
        <w:rPr>
          <w:rFonts w:eastAsia="Calibri" w:cs="Arial"/>
          <w:i/>
          <w:color w:val="808080"/>
          <w:szCs w:val="20"/>
        </w:rPr>
        <w:t xml:space="preserve"> terapija </w:t>
      </w:r>
      <w:proofErr w:type="spellStart"/>
      <w:r w:rsidRPr="005E4BEA">
        <w:rPr>
          <w:rFonts w:eastAsia="Calibri" w:cs="Arial"/>
          <w:i/>
          <w:color w:val="808080"/>
          <w:szCs w:val="20"/>
        </w:rPr>
        <w:t>itd</w:t>
      </w:r>
      <w:proofErr w:type="spellEnd"/>
      <w:r w:rsidRPr="005E4BEA">
        <w:rPr>
          <w:rFonts w:eastAsia="Calibri" w:cs="Arial"/>
          <w:i/>
          <w:color w:val="808080"/>
          <w:szCs w:val="20"/>
        </w:rPr>
        <w:t xml:space="preserve"> ...) VIR: ISMP (https://www.ismp.org/).</w:t>
      </w:r>
    </w:p>
    <w:p w14:paraId="1805FCAC" w14:textId="77777777" w:rsidR="00FE461F" w:rsidRPr="005E4BEA" w:rsidRDefault="00FE461F" w:rsidP="00F356C9">
      <w:pPr>
        <w:numPr>
          <w:ilvl w:val="0"/>
          <w:numId w:val="57"/>
        </w:numPr>
        <w:spacing w:line="240" w:lineRule="auto"/>
        <w:jc w:val="both"/>
        <w:rPr>
          <w:rFonts w:eastAsia="Calibri" w:cs="Arial"/>
          <w:i/>
          <w:color w:val="808080"/>
          <w:szCs w:val="20"/>
        </w:rPr>
      </w:pPr>
      <w:r w:rsidRPr="005E4BEA">
        <w:rPr>
          <w:rFonts w:eastAsia="Calibri" w:cs="Arial"/>
          <w:i/>
          <w:color w:val="808080"/>
          <w:szCs w:val="20"/>
        </w:rPr>
        <w:t xml:space="preserve">Pacienti, ki imajo predpisanih 5 ali več zdravil hkrati v časovnem obdobju daljšem od 3 mesecev in sicer za zdravljenje kroničnih nenalezljivih bolezni, s pogostimi hospitalizacijami oz. spremembami v terapiji z zdravili, ali z določenim naborom zdravil (npr. zdravila z visokim tveganjem za neželene dogodke, protivirusnimi zdravili za HIV, HCV, </w:t>
      </w:r>
      <w:proofErr w:type="spellStart"/>
      <w:r w:rsidRPr="005E4BEA">
        <w:rPr>
          <w:rFonts w:eastAsia="Calibri" w:cs="Arial"/>
          <w:i/>
          <w:color w:val="808080"/>
          <w:szCs w:val="20"/>
        </w:rPr>
        <w:t>antituberkulotiki</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antikoagulanti</w:t>
      </w:r>
      <w:proofErr w:type="spellEnd"/>
      <w:r w:rsidRPr="005E4BEA">
        <w:rPr>
          <w:rFonts w:eastAsia="Calibri" w:cs="Arial"/>
          <w:i/>
          <w:color w:val="808080"/>
          <w:szCs w:val="20"/>
        </w:rPr>
        <w:t xml:space="preserve">, zdravili za sladkorno bolezen, analgetično terapijo vključno s </w:t>
      </w:r>
      <w:proofErr w:type="spellStart"/>
      <w:r w:rsidRPr="005E4BEA">
        <w:rPr>
          <w:rFonts w:eastAsia="Calibri" w:cs="Arial"/>
          <w:i/>
          <w:color w:val="808080"/>
          <w:szCs w:val="20"/>
        </w:rPr>
        <w:t>paliativo</w:t>
      </w:r>
      <w:proofErr w:type="spellEnd"/>
      <w:r w:rsidRPr="005E4BEA">
        <w:rPr>
          <w:rFonts w:eastAsia="Calibri" w:cs="Arial"/>
          <w:i/>
          <w:color w:val="808080"/>
          <w:szCs w:val="20"/>
        </w:rPr>
        <w:t xml:space="preserve">, obsežna </w:t>
      </w:r>
      <w:proofErr w:type="spellStart"/>
      <w:r w:rsidRPr="005E4BEA">
        <w:rPr>
          <w:rFonts w:eastAsia="Calibri" w:cs="Arial"/>
          <w:i/>
          <w:color w:val="808080"/>
          <w:szCs w:val="20"/>
        </w:rPr>
        <w:t>psihofarmakološka</w:t>
      </w:r>
      <w:proofErr w:type="spellEnd"/>
      <w:r w:rsidRPr="005E4BEA">
        <w:rPr>
          <w:rFonts w:eastAsia="Calibri" w:cs="Arial"/>
          <w:i/>
          <w:color w:val="808080"/>
          <w:szCs w:val="20"/>
        </w:rPr>
        <w:t xml:space="preserve"> terapija </w:t>
      </w:r>
      <w:proofErr w:type="spellStart"/>
      <w:r w:rsidRPr="005E4BEA">
        <w:rPr>
          <w:rFonts w:eastAsia="Calibri" w:cs="Arial"/>
          <w:i/>
          <w:color w:val="808080"/>
          <w:szCs w:val="20"/>
        </w:rPr>
        <w:t>itd</w:t>
      </w:r>
      <w:proofErr w:type="spellEnd"/>
      <w:r w:rsidRPr="005E4BEA">
        <w:rPr>
          <w:rFonts w:eastAsia="Calibri" w:cs="Arial"/>
          <w:i/>
          <w:color w:val="808080"/>
          <w:szCs w:val="20"/>
        </w:rPr>
        <w:t xml:space="preserve"> ...) VIR: ISMP (https://www.ismp.org/).</w:t>
      </w:r>
    </w:p>
    <w:p w14:paraId="38BAFE78" w14:textId="77777777" w:rsidR="00FE461F" w:rsidRPr="005E4BEA" w:rsidRDefault="00FE461F" w:rsidP="00FE461F">
      <w:pPr>
        <w:spacing w:line="240" w:lineRule="auto"/>
        <w:jc w:val="both"/>
        <w:rPr>
          <w:rFonts w:eastAsia="Calibri" w:cs="Arial"/>
          <w:i/>
          <w:color w:val="808080"/>
          <w:szCs w:val="20"/>
        </w:rPr>
      </w:pPr>
    </w:p>
    <w:p w14:paraId="78C10CF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 primeru omejenih možnosti izvajanja brezšivne skrbi, se magister farmacije osredotoči na bolnike, ki bodo imeli od storitve največje koristi.</w:t>
      </w:r>
    </w:p>
    <w:p w14:paraId="211B7BF5" w14:textId="77777777" w:rsidR="00FE461F" w:rsidRPr="005E4BEA" w:rsidRDefault="00FE461F" w:rsidP="00FE461F">
      <w:pPr>
        <w:spacing w:line="240" w:lineRule="auto"/>
        <w:jc w:val="both"/>
        <w:rPr>
          <w:rFonts w:eastAsia="Calibri" w:cs="Arial"/>
          <w:b/>
          <w:bCs/>
          <w:i/>
          <w:color w:val="808080"/>
          <w:szCs w:val="20"/>
        </w:rPr>
      </w:pPr>
    </w:p>
    <w:p w14:paraId="366F3534"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Dokumentacija:</w:t>
      </w:r>
    </w:p>
    <w:p w14:paraId="6358E58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 okviru brezšivne skrbi na primarni ravni magistri farmacije izdajo ali posodobijo osebno kartico zdravil.</w:t>
      </w:r>
    </w:p>
    <w:p w14:paraId="646968FE"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Osebno kartico zdravil vodijo kot </w:t>
      </w:r>
      <w:proofErr w:type="spellStart"/>
      <w:r w:rsidRPr="005E4BEA">
        <w:rPr>
          <w:rFonts w:eastAsia="Calibri" w:cs="Arial"/>
          <w:i/>
          <w:color w:val="808080"/>
          <w:szCs w:val="20"/>
        </w:rPr>
        <w:t>dvonivojski</w:t>
      </w:r>
      <w:proofErr w:type="spellEnd"/>
      <w:r w:rsidRPr="005E4BEA">
        <w:rPr>
          <w:rFonts w:eastAsia="Calibri" w:cs="Arial"/>
          <w:i/>
          <w:color w:val="808080"/>
          <w:szCs w:val="20"/>
        </w:rPr>
        <w:t xml:space="preserve"> zapis, za pacienta in za zdravstvene delavce vključene v brezšivno skrb.</w:t>
      </w:r>
    </w:p>
    <w:p w14:paraId="3AEDBE07" w14:textId="77777777" w:rsidR="00FE461F" w:rsidRPr="005E4BEA" w:rsidRDefault="00FE461F" w:rsidP="00FE461F">
      <w:pPr>
        <w:spacing w:line="240" w:lineRule="auto"/>
        <w:jc w:val="both"/>
        <w:rPr>
          <w:rFonts w:eastAsia="Calibri" w:cs="Arial"/>
          <w:b/>
          <w:bCs/>
          <w:i/>
          <w:color w:val="808080"/>
          <w:szCs w:val="20"/>
        </w:rPr>
      </w:pPr>
    </w:p>
    <w:p w14:paraId="4D9FDFA5"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Storitve in ostale aktivnosti v sklopu BS na primarni ravni:</w:t>
      </w:r>
    </w:p>
    <w:p w14:paraId="09539343" w14:textId="77777777" w:rsidR="00FE461F" w:rsidRPr="005E4BEA" w:rsidRDefault="00FE461F" w:rsidP="00F356C9">
      <w:pPr>
        <w:numPr>
          <w:ilvl w:val="0"/>
          <w:numId w:val="62"/>
        </w:numPr>
        <w:spacing w:line="240" w:lineRule="auto"/>
        <w:jc w:val="both"/>
        <w:rPr>
          <w:rFonts w:eastAsia="Calibri" w:cs="Arial"/>
          <w:i/>
          <w:color w:val="808080"/>
          <w:szCs w:val="20"/>
        </w:rPr>
      </w:pPr>
      <w:r w:rsidRPr="005E4BEA">
        <w:rPr>
          <w:rFonts w:eastAsia="Calibri" w:cs="Arial"/>
          <w:i/>
          <w:color w:val="808080"/>
          <w:szCs w:val="20"/>
        </w:rPr>
        <w:t>posodobitev osebne kartice zdravil (OKZ)</w:t>
      </w:r>
    </w:p>
    <w:p w14:paraId="66452E68" w14:textId="77777777" w:rsidR="00FE461F" w:rsidRPr="005E4BEA" w:rsidRDefault="00FE461F" w:rsidP="00F356C9">
      <w:pPr>
        <w:numPr>
          <w:ilvl w:val="0"/>
          <w:numId w:val="62"/>
        </w:numPr>
        <w:spacing w:line="240" w:lineRule="auto"/>
        <w:jc w:val="both"/>
        <w:rPr>
          <w:rFonts w:eastAsia="Calibri" w:cs="Arial"/>
          <w:i/>
          <w:color w:val="808080"/>
          <w:szCs w:val="20"/>
        </w:rPr>
      </w:pPr>
      <w:r w:rsidRPr="005E4BEA">
        <w:rPr>
          <w:rFonts w:eastAsia="Calibri" w:cs="Arial"/>
          <w:i/>
          <w:color w:val="808080"/>
          <w:szCs w:val="20"/>
        </w:rPr>
        <w:t>kontrolni pregled uporabe zdravil (PUZ) / PUZ v delnem obsegu</w:t>
      </w:r>
    </w:p>
    <w:p w14:paraId="0712270C" w14:textId="77777777" w:rsidR="00FE461F" w:rsidRPr="005E4BEA" w:rsidRDefault="00FE461F" w:rsidP="00F356C9">
      <w:pPr>
        <w:numPr>
          <w:ilvl w:val="0"/>
          <w:numId w:val="62"/>
        </w:numPr>
        <w:spacing w:line="240" w:lineRule="auto"/>
        <w:jc w:val="both"/>
        <w:rPr>
          <w:rFonts w:eastAsia="Calibri" w:cs="Arial"/>
          <w:i/>
          <w:color w:val="808080"/>
          <w:szCs w:val="20"/>
        </w:rPr>
      </w:pPr>
      <w:r w:rsidRPr="005E4BEA">
        <w:rPr>
          <w:rFonts w:eastAsia="Calibri" w:cs="Arial"/>
          <w:i/>
          <w:color w:val="808080"/>
          <w:szCs w:val="20"/>
        </w:rPr>
        <w:t>pregled uporabe zdravil (PUZ) / PUZ v polnem obsegu</w:t>
      </w:r>
    </w:p>
    <w:p w14:paraId="5E70B3FA" w14:textId="77777777" w:rsidR="00FE461F" w:rsidRPr="005E4BEA" w:rsidRDefault="00FE461F" w:rsidP="00FE461F">
      <w:pPr>
        <w:spacing w:line="240" w:lineRule="auto"/>
        <w:jc w:val="both"/>
        <w:rPr>
          <w:rFonts w:eastAsia="Calibri" w:cs="Arial"/>
          <w:b/>
          <w:bCs/>
          <w:i/>
          <w:color w:val="808080"/>
          <w:szCs w:val="20"/>
        </w:rPr>
      </w:pPr>
    </w:p>
    <w:p w14:paraId="24B555A3" w14:textId="77777777" w:rsidR="00FE461F" w:rsidRPr="005E4BEA" w:rsidRDefault="00FE461F" w:rsidP="00FE461F">
      <w:pPr>
        <w:spacing w:line="240" w:lineRule="auto"/>
        <w:jc w:val="both"/>
        <w:rPr>
          <w:rFonts w:eastAsia="Calibri" w:cs="Arial"/>
          <w:b/>
          <w:bCs/>
          <w:i/>
          <w:color w:val="808080"/>
          <w:szCs w:val="20"/>
        </w:rPr>
      </w:pPr>
    </w:p>
    <w:p w14:paraId="5BA3238F"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Posodobitev OKZ:</w:t>
      </w:r>
    </w:p>
    <w:p w14:paraId="1C97FA85"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lastRenderedPageBreak/>
        <w:t xml:space="preserve">Storitev za posodobitev OKZ vključuje primere zamenjave predpisanega zdravila s seznama medsebojno zamenljivih zdravil (MZZ) ali ukinitev zdravila zaradi končanja kratkotrajnega zdravljenja z zdravilom (npr. zaključek zdravljenja s protimikrobnimi zdravili, zdravili za </w:t>
      </w:r>
      <w:proofErr w:type="spellStart"/>
      <w:r w:rsidRPr="005E4BEA">
        <w:rPr>
          <w:rFonts w:eastAsia="Calibri" w:cs="Arial"/>
          <w:i/>
          <w:color w:val="808080"/>
          <w:szCs w:val="20"/>
        </w:rPr>
        <w:t>tromboprofilakso</w:t>
      </w:r>
      <w:proofErr w:type="spellEnd"/>
      <w:r w:rsidRPr="005E4BEA">
        <w:rPr>
          <w:rFonts w:eastAsia="Calibri" w:cs="Arial"/>
          <w:i/>
          <w:color w:val="808080"/>
          <w:szCs w:val="20"/>
        </w:rPr>
        <w:t xml:space="preserve"> pri akutnih bolezenskih stanjih, in drugo). Magister farmacije v lekarni samostojno ob izdaji zdravil spremembo nemudoma razreši s pacientom oz. z njegovo vednostjo in jo evidentira s posodobitvijo OKZ. Posodobljeno OKZ naloži v CRPP da je vidna magistrom </w:t>
      </w:r>
      <w:proofErr w:type="spellStart"/>
      <w:r w:rsidRPr="005E4BEA">
        <w:rPr>
          <w:rFonts w:eastAsia="Calibri" w:cs="Arial"/>
          <w:i/>
          <w:color w:val="808080"/>
          <w:szCs w:val="20"/>
        </w:rPr>
        <w:t>farmaciej</w:t>
      </w:r>
      <w:proofErr w:type="spellEnd"/>
      <w:r w:rsidRPr="005E4BEA">
        <w:rPr>
          <w:rFonts w:eastAsia="Calibri" w:cs="Arial"/>
          <w:i/>
          <w:color w:val="808080"/>
          <w:szCs w:val="20"/>
        </w:rPr>
        <w:t xml:space="preserve"> in zdravnikom na vseh treh  </w:t>
      </w:r>
      <w:proofErr w:type="spellStart"/>
      <w:r w:rsidRPr="005E4BEA">
        <w:rPr>
          <w:rFonts w:eastAsia="Calibri" w:cs="Arial"/>
          <w:i/>
          <w:color w:val="808080"/>
          <w:szCs w:val="20"/>
        </w:rPr>
        <w:t>Nzdrsvtvenega</w:t>
      </w:r>
      <w:proofErr w:type="spellEnd"/>
      <w:r w:rsidRPr="005E4BEA">
        <w:rPr>
          <w:rFonts w:eastAsia="Calibri" w:cs="Arial"/>
          <w:i/>
          <w:color w:val="808080"/>
          <w:szCs w:val="20"/>
        </w:rPr>
        <w:t xml:space="preserve"> varstva. Pacientu vroči posodobljeno OKZ.</w:t>
      </w:r>
    </w:p>
    <w:p w14:paraId="0D72846E" w14:textId="77777777" w:rsidR="00FE461F" w:rsidRPr="005E4BEA" w:rsidRDefault="00FE461F" w:rsidP="00FE461F">
      <w:pPr>
        <w:spacing w:line="240" w:lineRule="auto"/>
        <w:jc w:val="both"/>
        <w:rPr>
          <w:rFonts w:eastAsia="Calibri" w:cs="Arial"/>
          <w:b/>
          <w:bCs/>
          <w:i/>
          <w:color w:val="808080"/>
          <w:szCs w:val="20"/>
        </w:rPr>
      </w:pPr>
    </w:p>
    <w:p w14:paraId="7D4F27B4"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Pregled uporabe zdravil (PUZ)</w:t>
      </w:r>
    </w:p>
    <w:p w14:paraId="60B329FC"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Pregled uporabe zdravil (PUZ) je strukturirana storitev, ki magistru farmacije v lekarni na primarni ravni omogoča izvajanje brezšivne skrbi, kadar gre za kompleksnejše spremembe pri zdravljenju z zdravili posameznega pacienta. Magister farmacije v okviru te storitve pridobi osnovne podatke o pacientu in uporabljenih izdelkih: imena in jakosti zdravil z režimom izdaje na recept ali brez njega ter njihovo odmerjanje, nazive drugih izdelkov za samozdravljenje (prehranska dopolnila, živila za posebne zdravstvene namene, zeliščni pripravki) ter podatke o zdravniku, opravi primerjavo predpisane terapije z dejanskim jemanjem, ugotovi neskladja in jih usklajuje, pripravi ali posodobi OKZ. Z izvajanjem te storitve zagotavlja prenos informacij o zdravljenju z zdravili pri posameznem pacientu med zdravstvenimi delavci na vseh ravneh zdravstvenega varstva, s svetovanjem o zdravilih opolnomoči pacienta pri zdravljenju in v primeru, da pri zdravljenju z zdravili prepozna težave ustrezno ukrepa (kadar je potrebno v sodelovanju s predpisovalcem).</w:t>
      </w:r>
    </w:p>
    <w:p w14:paraId="545EA3A7" w14:textId="77777777" w:rsidR="00FE461F" w:rsidRPr="005E4BEA" w:rsidRDefault="00FE461F" w:rsidP="00FE461F">
      <w:pPr>
        <w:spacing w:line="240" w:lineRule="auto"/>
        <w:jc w:val="both"/>
        <w:rPr>
          <w:rFonts w:eastAsia="Calibri" w:cs="Arial"/>
          <w:i/>
          <w:color w:val="808080"/>
          <w:szCs w:val="20"/>
        </w:rPr>
      </w:pPr>
    </w:p>
    <w:p w14:paraId="4DB9283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Za zagotavljanje brezšivne skrbi pacientov po odpustu iz bolnišnice, magister farmacije v lekarni na primarni ravni opravi kontrolni pregled uporabe zdravil ali pregled uporabe zdravil, s katerim nadaljuje oz. dopolnjuje farmacevtsko obravnavo pri prehajanju med različnimi ravnmi zdravstvenega varstva. Z izdajo ali posodobitvijo OKZ omogoča medsebojno izmenjavo informacij o zdravljenju z zdravili pri posameznem pacientu.</w:t>
      </w:r>
    </w:p>
    <w:p w14:paraId="5348AB0F" w14:textId="77777777" w:rsidR="00FE461F" w:rsidRPr="005E4BEA" w:rsidRDefault="00FE461F" w:rsidP="00FE461F">
      <w:pPr>
        <w:spacing w:line="240" w:lineRule="auto"/>
        <w:jc w:val="both"/>
        <w:rPr>
          <w:rFonts w:eastAsia="Calibri" w:cs="Arial"/>
          <w:i/>
          <w:color w:val="808080"/>
          <w:szCs w:val="20"/>
        </w:rPr>
      </w:pPr>
    </w:p>
    <w:p w14:paraId="25D7399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 xml:space="preserve">Kontrolni pregled uporabe </w:t>
      </w:r>
      <w:r w:rsidRPr="005E4BEA">
        <w:rPr>
          <w:rFonts w:eastAsia="Calibri" w:cs="Arial"/>
          <w:i/>
          <w:color w:val="808080"/>
          <w:szCs w:val="20"/>
        </w:rPr>
        <w:t xml:space="preserve">zdravil magister farmacije opravi pri pacientih, ki že imajo izdelano OKZ (na sekundarni ali terciarni ravni) in pri katerih je zaradi sprememb v terapiji z zdravili, ali slabe </w:t>
      </w:r>
      <w:proofErr w:type="spellStart"/>
      <w:r w:rsidRPr="005E4BEA">
        <w:rPr>
          <w:rFonts w:eastAsia="Calibri" w:cs="Arial"/>
          <w:i/>
          <w:color w:val="808080"/>
          <w:szCs w:val="20"/>
        </w:rPr>
        <w:t>sodelovalnosti</w:t>
      </w:r>
      <w:proofErr w:type="spellEnd"/>
      <w:r w:rsidRPr="005E4BEA">
        <w:rPr>
          <w:rFonts w:eastAsia="Calibri" w:cs="Arial"/>
          <w:i/>
          <w:color w:val="808080"/>
          <w:szCs w:val="20"/>
        </w:rPr>
        <w:t xml:space="preserve"> pacienta pri zdravljenju z zdravili, ali poteka zdravljenje z določenim naborom zdravil (npr. zdravila z visokim tveganjem za neželene dogodke,…),potrebna delna uskladitev terapije ali je priporočeno spremljanje pacienta pri zdravljenju, praviloma brez usklajevanja s predpisovalcem zdravil. </w:t>
      </w:r>
    </w:p>
    <w:p w14:paraId="4CC81E5B" w14:textId="77777777" w:rsidR="00FE461F" w:rsidRPr="005E4BEA" w:rsidRDefault="00FE461F" w:rsidP="00FE461F">
      <w:pPr>
        <w:spacing w:line="240" w:lineRule="auto"/>
        <w:jc w:val="both"/>
        <w:rPr>
          <w:rFonts w:eastAsia="Calibri" w:cs="Arial"/>
          <w:b/>
          <w:bCs/>
          <w:i/>
          <w:color w:val="808080"/>
          <w:szCs w:val="20"/>
        </w:rPr>
      </w:pPr>
    </w:p>
    <w:p w14:paraId="3441691E"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 xml:space="preserve">Celovit pregled uporabe zdravil </w:t>
      </w:r>
      <w:r w:rsidRPr="005E4BEA">
        <w:rPr>
          <w:rFonts w:eastAsia="Calibri" w:cs="Arial"/>
          <w:i/>
          <w:color w:val="808080"/>
          <w:szCs w:val="20"/>
        </w:rPr>
        <w:t>magister farmacije opravi pri pacientih, ki OKZ še nimajo ali OKZ, izdana na sekundarni ali terciarni ravni, zaradi sprememb v terapiji z zdravili po odpustu iz bolnišnice potrebuje uskladitev celotne terapije z zdravili, z ali brez usklajevanja s predpisovalcem zdravil, ter edukacijo pacienta/skrbnika o pravilni rabi zdravil oz. za paciente, ki imajo predpisanih 5 ali več zdravil, s pogostimi hospitalizacijami oz. spremembami v terapiji z določenim naborom zdravil (npr. zdravila z visokim tveganjem za neželene dogodke,…).</w:t>
      </w:r>
    </w:p>
    <w:p w14:paraId="4C6A787E" w14:textId="77777777" w:rsidR="00FE461F" w:rsidRPr="005E4BEA" w:rsidRDefault="00FE461F" w:rsidP="00FE461F">
      <w:pPr>
        <w:spacing w:line="240" w:lineRule="auto"/>
        <w:jc w:val="both"/>
        <w:rPr>
          <w:rFonts w:eastAsia="Calibri" w:cs="Arial"/>
          <w:b/>
          <w:bCs/>
          <w:i/>
          <w:color w:val="808080"/>
          <w:szCs w:val="20"/>
        </w:rPr>
      </w:pPr>
    </w:p>
    <w:p w14:paraId="2B9D566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primarni ravni magister farmacije vključi paciente v storitve brezšivne skrbi samostojno po lastni oceni primernosti za vključitev ali po napotilu bolnišničnega farmacevta. </w:t>
      </w:r>
    </w:p>
    <w:p w14:paraId="4E07DAEC" w14:textId="77777777" w:rsidR="00FE461F" w:rsidRPr="005E4BEA" w:rsidRDefault="00FE461F" w:rsidP="00FE461F">
      <w:pPr>
        <w:spacing w:line="240" w:lineRule="auto"/>
        <w:jc w:val="both"/>
        <w:rPr>
          <w:rFonts w:eastAsia="Calibri" w:cs="Arial"/>
          <w:b/>
          <w:bCs/>
          <w:i/>
          <w:color w:val="808080"/>
          <w:szCs w:val="20"/>
        </w:rPr>
      </w:pPr>
    </w:p>
    <w:p w14:paraId="1E666A1A"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b/>
          <w:bCs/>
          <w:i/>
          <w:color w:val="808080"/>
          <w:szCs w:val="20"/>
        </w:rPr>
        <w:t>Zagotavljanje kakovosti:</w:t>
      </w:r>
      <w:r w:rsidRPr="005E4BEA">
        <w:rPr>
          <w:rFonts w:eastAsia="Calibri" w:cs="Arial"/>
          <w:i/>
          <w:color w:val="808080"/>
          <w:szCs w:val="20"/>
        </w:rPr>
        <w:t xml:space="preserve"> Lekarniška zbornica Slovenije je že zagotovila celovit sistem zagotavljanja kakovosti storitve: posebno skupino Skrbnik kompetenc, ki razvija in spremlja storitev, standardni operacijski postopek izvajanja storitve, izobraževanje in certificiranje magistrov farmacije in zadostno število magistrov farmacije, N=311 z že pridobljenimi kompetencami za izvajanje storitve, ki so regijsko razpršeni po Sloveniji. Spodaj ponazarjamo pokritost izvajalcev storitve PUZ po statističnih regijah.</w:t>
      </w:r>
    </w:p>
    <w:p w14:paraId="5A011D2B" w14:textId="77777777" w:rsidR="00FE461F" w:rsidRPr="005E4BEA" w:rsidRDefault="00FE461F" w:rsidP="00FE461F">
      <w:pPr>
        <w:spacing w:line="240" w:lineRule="auto"/>
        <w:jc w:val="both"/>
        <w:rPr>
          <w:rFonts w:eastAsia="Calibri" w:cs="Arial"/>
          <w:i/>
          <w:color w:val="808080"/>
          <w:szCs w:val="20"/>
        </w:rPr>
      </w:pPr>
    </w:p>
    <w:tbl>
      <w:tblPr>
        <w:tblW w:w="0" w:type="auto"/>
        <w:tblLook w:val="04A0" w:firstRow="1" w:lastRow="0" w:firstColumn="1" w:lastColumn="0" w:noHBand="0" w:noVBand="1"/>
      </w:tblPr>
      <w:tblGrid>
        <w:gridCol w:w="3628"/>
        <w:gridCol w:w="3634"/>
      </w:tblGrid>
      <w:tr w:rsidR="00FE461F" w:rsidRPr="005E4BEA" w14:paraId="476C5A63" w14:textId="77777777" w:rsidTr="0016774B">
        <w:trPr>
          <w:trHeight w:val="591"/>
          <w:tblHeader/>
        </w:trPr>
        <w:tc>
          <w:tcPr>
            <w:tcW w:w="0" w:type="auto"/>
            <w:tcBorders>
              <w:bottom w:val="single" w:sz="4" w:space="0" w:color="7F7F7F"/>
              <w:right w:val="nil"/>
            </w:tcBorders>
            <w:shd w:val="clear" w:color="auto" w:fill="FFFFFF"/>
            <w:hideMark/>
          </w:tcPr>
          <w:p w14:paraId="77C8DD86" w14:textId="77777777" w:rsidR="00FE461F" w:rsidRPr="005E4BEA" w:rsidRDefault="00FE461F" w:rsidP="00FE461F">
            <w:pPr>
              <w:spacing w:line="240" w:lineRule="auto"/>
              <w:jc w:val="right"/>
              <w:rPr>
                <w:rFonts w:eastAsia="Yu Gothic Light" w:cs="Arial"/>
                <w:b/>
                <w:i/>
                <w:iCs/>
                <w:color w:val="808080"/>
                <w:szCs w:val="20"/>
                <w:lang w:eastAsia="sl-SI"/>
              </w:rPr>
            </w:pPr>
            <w:bookmarkStart w:id="95" w:name="_Hlk99523182"/>
            <w:r w:rsidRPr="005E4BEA">
              <w:rPr>
                <w:rFonts w:eastAsia="Yu Gothic Light" w:cs="Arial"/>
                <w:b/>
                <w:i/>
                <w:iCs/>
                <w:color w:val="808080"/>
                <w:szCs w:val="20"/>
                <w:lang w:eastAsia="sl-SI"/>
              </w:rPr>
              <w:t>Statistična regija</w:t>
            </w:r>
          </w:p>
        </w:tc>
        <w:tc>
          <w:tcPr>
            <w:tcW w:w="3634" w:type="dxa"/>
            <w:tcBorders>
              <w:bottom w:val="single" w:sz="4" w:space="0" w:color="7F7F7F"/>
            </w:tcBorders>
            <w:shd w:val="clear" w:color="auto" w:fill="FFFFFF"/>
            <w:hideMark/>
          </w:tcPr>
          <w:p w14:paraId="6FE754E3" w14:textId="77777777" w:rsidR="00FE461F" w:rsidRPr="005E4BEA" w:rsidRDefault="00FE461F" w:rsidP="00FE461F">
            <w:pPr>
              <w:spacing w:line="240" w:lineRule="auto"/>
              <w:rPr>
                <w:rFonts w:eastAsia="Yu Gothic Light" w:cs="Arial"/>
                <w:b/>
                <w:i/>
                <w:iCs/>
                <w:color w:val="808080"/>
                <w:szCs w:val="20"/>
                <w:lang w:eastAsia="sl-SI"/>
              </w:rPr>
            </w:pPr>
            <w:r w:rsidRPr="005E4BEA">
              <w:rPr>
                <w:rFonts w:eastAsia="Yu Gothic Light" w:cs="Arial"/>
                <w:b/>
                <w:i/>
                <w:iCs/>
                <w:color w:val="808080"/>
                <w:szCs w:val="20"/>
                <w:lang w:eastAsia="sl-SI"/>
              </w:rPr>
              <w:t xml:space="preserve">Število izvajalcev storitve PUZ v lekarni, </w:t>
            </w:r>
          </w:p>
          <w:p w14:paraId="18B0885F" w14:textId="77777777" w:rsidR="00FE461F" w:rsidRPr="005E4BEA" w:rsidRDefault="00FE461F" w:rsidP="00FE461F">
            <w:pPr>
              <w:spacing w:line="240" w:lineRule="auto"/>
              <w:rPr>
                <w:rFonts w:eastAsia="Yu Gothic Light" w:cs="Arial"/>
                <w:b/>
                <w:i/>
                <w:iCs/>
                <w:color w:val="808080"/>
                <w:szCs w:val="20"/>
                <w:lang w:eastAsia="sl-SI"/>
              </w:rPr>
            </w:pPr>
            <w:r w:rsidRPr="005E4BEA">
              <w:rPr>
                <w:rFonts w:eastAsia="Yu Gothic Light" w:cs="Arial"/>
                <w:b/>
                <w:i/>
                <w:iCs/>
                <w:color w:val="808080"/>
                <w:szCs w:val="20"/>
                <w:lang w:eastAsia="sl-SI"/>
              </w:rPr>
              <w:t>na dan 29. 3. 2022</w:t>
            </w:r>
          </w:p>
        </w:tc>
      </w:tr>
      <w:tr w:rsidR="00FE461F" w:rsidRPr="005E4BEA" w14:paraId="2B19A208" w14:textId="77777777" w:rsidTr="0016774B">
        <w:trPr>
          <w:trHeight w:val="255"/>
        </w:trPr>
        <w:tc>
          <w:tcPr>
            <w:tcW w:w="0" w:type="auto"/>
            <w:tcBorders>
              <w:right w:val="single" w:sz="4" w:space="0" w:color="7F7F7F"/>
            </w:tcBorders>
            <w:shd w:val="clear" w:color="auto" w:fill="FFFFFF"/>
            <w:noWrap/>
            <w:hideMark/>
          </w:tcPr>
          <w:p w14:paraId="22D45272"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GORENJSKA REGIJA</w:t>
            </w:r>
          </w:p>
        </w:tc>
        <w:tc>
          <w:tcPr>
            <w:tcW w:w="3634" w:type="dxa"/>
            <w:shd w:val="clear" w:color="auto" w:fill="F2F2F2"/>
            <w:noWrap/>
            <w:hideMark/>
          </w:tcPr>
          <w:p w14:paraId="466BA805"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25</w:t>
            </w:r>
          </w:p>
        </w:tc>
      </w:tr>
      <w:tr w:rsidR="00FE461F" w:rsidRPr="005E4BEA" w14:paraId="61EE34E5" w14:textId="77777777" w:rsidTr="0016774B">
        <w:trPr>
          <w:trHeight w:val="255"/>
        </w:trPr>
        <w:tc>
          <w:tcPr>
            <w:tcW w:w="0" w:type="auto"/>
            <w:tcBorders>
              <w:right w:val="single" w:sz="4" w:space="0" w:color="7F7F7F"/>
            </w:tcBorders>
            <w:shd w:val="clear" w:color="auto" w:fill="FFFFFF"/>
            <w:noWrap/>
            <w:hideMark/>
          </w:tcPr>
          <w:p w14:paraId="1169DB0F"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GORIŠKA REGIJA</w:t>
            </w:r>
          </w:p>
        </w:tc>
        <w:tc>
          <w:tcPr>
            <w:tcW w:w="3634" w:type="dxa"/>
            <w:shd w:val="clear" w:color="auto" w:fill="auto"/>
            <w:noWrap/>
            <w:hideMark/>
          </w:tcPr>
          <w:p w14:paraId="2505933C"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13</w:t>
            </w:r>
          </w:p>
        </w:tc>
      </w:tr>
      <w:tr w:rsidR="00FE461F" w:rsidRPr="005E4BEA" w14:paraId="785C126C" w14:textId="77777777" w:rsidTr="0016774B">
        <w:trPr>
          <w:trHeight w:val="255"/>
        </w:trPr>
        <w:tc>
          <w:tcPr>
            <w:tcW w:w="0" w:type="auto"/>
            <w:tcBorders>
              <w:right w:val="single" w:sz="4" w:space="0" w:color="7F7F7F"/>
            </w:tcBorders>
            <w:shd w:val="clear" w:color="auto" w:fill="FFFFFF"/>
            <w:noWrap/>
            <w:hideMark/>
          </w:tcPr>
          <w:p w14:paraId="0A7015B4"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JUGOVZHODNA SLOVENIJA</w:t>
            </w:r>
          </w:p>
        </w:tc>
        <w:tc>
          <w:tcPr>
            <w:tcW w:w="3634" w:type="dxa"/>
            <w:shd w:val="clear" w:color="auto" w:fill="F2F2F2"/>
            <w:noWrap/>
            <w:hideMark/>
          </w:tcPr>
          <w:p w14:paraId="08FD4C12"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25</w:t>
            </w:r>
          </w:p>
        </w:tc>
      </w:tr>
      <w:tr w:rsidR="00FE461F" w:rsidRPr="005E4BEA" w14:paraId="3D23E208" w14:textId="77777777" w:rsidTr="0016774B">
        <w:trPr>
          <w:trHeight w:val="255"/>
        </w:trPr>
        <w:tc>
          <w:tcPr>
            <w:tcW w:w="0" w:type="auto"/>
            <w:tcBorders>
              <w:right w:val="single" w:sz="4" w:space="0" w:color="7F7F7F"/>
            </w:tcBorders>
            <w:shd w:val="clear" w:color="auto" w:fill="FFFFFF"/>
            <w:noWrap/>
            <w:hideMark/>
          </w:tcPr>
          <w:p w14:paraId="7F3BA8CD"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KOROŠKA REGIJA</w:t>
            </w:r>
          </w:p>
        </w:tc>
        <w:tc>
          <w:tcPr>
            <w:tcW w:w="3634" w:type="dxa"/>
            <w:shd w:val="clear" w:color="auto" w:fill="auto"/>
            <w:noWrap/>
            <w:hideMark/>
          </w:tcPr>
          <w:p w14:paraId="2EC7AC25"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4</w:t>
            </w:r>
          </w:p>
        </w:tc>
      </w:tr>
      <w:tr w:rsidR="00FE461F" w:rsidRPr="005E4BEA" w14:paraId="3F340409" w14:textId="77777777" w:rsidTr="0016774B">
        <w:trPr>
          <w:trHeight w:val="255"/>
        </w:trPr>
        <w:tc>
          <w:tcPr>
            <w:tcW w:w="0" w:type="auto"/>
            <w:tcBorders>
              <w:right w:val="single" w:sz="4" w:space="0" w:color="7F7F7F"/>
            </w:tcBorders>
            <w:shd w:val="clear" w:color="auto" w:fill="FFFFFF"/>
            <w:noWrap/>
            <w:hideMark/>
          </w:tcPr>
          <w:p w14:paraId="24A31789"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OBALNO-KRAŠKA REGIJA</w:t>
            </w:r>
          </w:p>
        </w:tc>
        <w:tc>
          <w:tcPr>
            <w:tcW w:w="3634" w:type="dxa"/>
            <w:shd w:val="clear" w:color="auto" w:fill="F2F2F2"/>
            <w:noWrap/>
            <w:hideMark/>
          </w:tcPr>
          <w:p w14:paraId="1FCAB950"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9</w:t>
            </w:r>
          </w:p>
        </w:tc>
      </w:tr>
      <w:tr w:rsidR="00FE461F" w:rsidRPr="005E4BEA" w14:paraId="049609D3" w14:textId="77777777" w:rsidTr="0016774B">
        <w:trPr>
          <w:trHeight w:val="255"/>
        </w:trPr>
        <w:tc>
          <w:tcPr>
            <w:tcW w:w="0" w:type="auto"/>
            <w:tcBorders>
              <w:right w:val="single" w:sz="4" w:space="0" w:color="7F7F7F"/>
            </w:tcBorders>
            <w:shd w:val="clear" w:color="auto" w:fill="FFFFFF"/>
            <w:noWrap/>
            <w:hideMark/>
          </w:tcPr>
          <w:p w14:paraId="498B9C2B"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lastRenderedPageBreak/>
              <w:t>OSREDNJESLOVENSKA REGIJA</w:t>
            </w:r>
          </w:p>
        </w:tc>
        <w:tc>
          <w:tcPr>
            <w:tcW w:w="3634" w:type="dxa"/>
            <w:shd w:val="clear" w:color="auto" w:fill="auto"/>
            <w:noWrap/>
            <w:hideMark/>
          </w:tcPr>
          <w:p w14:paraId="0BF301BB"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105</w:t>
            </w:r>
          </w:p>
        </w:tc>
      </w:tr>
      <w:tr w:rsidR="00FE461F" w:rsidRPr="005E4BEA" w14:paraId="69141195" w14:textId="77777777" w:rsidTr="0016774B">
        <w:trPr>
          <w:trHeight w:val="255"/>
        </w:trPr>
        <w:tc>
          <w:tcPr>
            <w:tcW w:w="0" w:type="auto"/>
            <w:tcBorders>
              <w:right w:val="single" w:sz="4" w:space="0" w:color="7F7F7F"/>
            </w:tcBorders>
            <w:shd w:val="clear" w:color="auto" w:fill="FFFFFF"/>
            <w:noWrap/>
            <w:hideMark/>
          </w:tcPr>
          <w:p w14:paraId="0B03A18C"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PODRAVSKA REGIJA</w:t>
            </w:r>
          </w:p>
        </w:tc>
        <w:tc>
          <w:tcPr>
            <w:tcW w:w="3634" w:type="dxa"/>
            <w:shd w:val="clear" w:color="auto" w:fill="F2F2F2"/>
            <w:noWrap/>
            <w:hideMark/>
          </w:tcPr>
          <w:p w14:paraId="25592CB0"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40</w:t>
            </w:r>
          </w:p>
        </w:tc>
      </w:tr>
      <w:tr w:rsidR="00FE461F" w:rsidRPr="005E4BEA" w14:paraId="1B9F6E8E" w14:textId="77777777" w:rsidTr="0016774B">
        <w:trPr>
          <w:trHeight w:val="255"/>
        </w:trPr>
        <w:tc>
          <w:tcPr>
            <w:tcW w:w="0" w:type="auto"/>
            <w:tcBorders>
              <w:right w:val="single" w:sz="4" w:space="0" w:color="7F7F7F"/>
            </w:tcBorders>
            <w:shd w:val="clear" w:color="auto" w:fill="FFFFFF"/>
            <w:noWrap/>
            <w:hideMark/>
          </w:tcPr>
          <w:p w14:paraId="41F3836E"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POMURSKA REGIJA</w:t>
            </w:r>
          </w:p>
        </w:tc>
        <w:tc>
          <w:tcPr>
            <w:tcW w:w="3634" w:type="dxa"/>
            <w:shd w:val="clear" w:color="auto" w:fill="auto"/>
            <w:noWrap/>
            <w:hideMark/>
          </w:tcPr>
          <w:p w14:paraId="3605E7EE"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13</w:t>
            </w:r>
          </w:p>
        </w:tc>
      </w:tr>
      <w:tr w:rsidR="00FE461F" w:rsidRPr="005E4BEA" w14:paraId="26BA6E14" w14:textId="77777777" w:rsidTr="0016774B">
        <w:trPr>
          <w:trHeight w:val="255"/>
        </w:trPr>
        <w:tc>
          <w:tcPr>
            <w:tcW w:w="0" w:type="auto"/>
            <w:tcBorders>
              <w:right w:val="single" w:sz="4" w:space="0" w:color="7F7F7F"/>
            </w:tcBorders>
            <w:shd w:val="clear" w:color="auto" w:fill="FFFFFF"/>
            <w:noWrap/>
            <w:hideMark/>
          </w:tcPr>
          <w:p w14:paraId="4E60EFF0"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POSAVSKA REGIJA</w:t>
            </w:r>
          </w:p>
        </w:tc>
        <w:tc>
          <w:tcPr>
            <w:tcW w:w="3634" w:type="dxa"/>
            <w:shd w:val="clear" w:color="auto" w:fill="F2F2F2"/>
            <w:noWrap/>
            <w:hideMark/>
          </w:tcPr>
          <w:p w14:paraId="77E1A66C"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14</w:t>
            </w:r>
          </w:p>
        </w:tc>
      </w:tr>
      <w:tr w:rsidR="00FE461F" w:rsidRPr="005E4BEA" w14:paraId="2591C901" w14:textId="77777777" w:rsidTr="0016774B">
        <w:trPr>
          <w:trHeight w:val="255"/>
        </w:trPr>
        <w:tc>
          <w:tcPr>
            <w:tcW w:w="0" w:type="auto"/>
            <w:tcBorders>
              <w:right w:val="single" w:sz="4" w:space="0" w:color="7F7F7F"/>
            </w:tcBorders>
            <w:shd w:val="clear" w:color="auto" w:fill="FFFFFF"/>
            <w:noWrap/>
            <w:hideMark/>
          </w:tcPr>
          <w:p w14:paraId="591DBE05"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PRIMORSKO-NOTRANJSKA REGIJA</w:t>
            </w:r>
          </w:p>
        </w:tc>
        <w:tc>
          <w:tcPr>
            <w:tcW w:w="3634" w:type="dxa"/>
            <w:shd w:val="clear" w:color="auto" w:fill="auto"/>
            <w:noWrap/>
            <w:hideMark/>
          </w:tcPr>
          <w:p w14:paraId="650FADF7"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10</w:t>
            </w:r>
          </w:p>
        </w:tc>
      </w:tr>
      <w:tr w:rsidR="00FE461F" w:rsidRPr="005E4BEA" w14:paraId="6652EE55" w14:textId="77777777" w:rsidTr="0016774B">
        <w:trPr>
          <w:trHeight w:val="255"/>
        </w:trPr>
        <w:tc>
          <w:tcPr>
            <w:tcW w:w="0" w:type="auto"/>
            <w:tcBorders>
              <w:right w:val="single" w:sz="4" w:space="0" w:color="7F7F7F"/>
            </w:tcBorders>
            <w:shd w:val="clear" w:color="auto" w:fill="FFFFFF"/>
            <w:noWrap/>
            <w:hideMark/>
          </w:tcPr>
          <w:p w14:paraId="64D8F0E5"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SAVINJSKA REGIJA</w:t>
            </w:r>
          </w:p>
        </w:tc>
        <w:tc>
          <w:tcPr>
            <w:tcW w:w="3634" w:type="dxa"/>
            <w:shd w:val="clear" w:color="auto" w:fill="F2F2F2"/>
            <w:noWrap/>
            <w:hideMark/>
          </w:tcPr>
          <w:p w14:paraId="719E709B"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47</w:t>
            </w:r>
          </w:p>
        </w:tc>
      </w:tr>
      <w:tr w:rsidR="00FE461F" w:rsidRPr="005E4BEA" w14:paraId="0FBBF649" w14:textId="77777777" w:rsidTr="0016774B">
        <w:trPr>
          <w:trHeight w:val="255"/>
        </w:trPr>
        <w:tc>
          <w:tcPr>
            <w:tcW w:w="0" w:type="auto"/>
            <w:tcBorders>
              <w:right w:val="single" w:sz="4" w:space="0" w:color="7F7F7F"/>
            </w:tcBorders>
            <w:shd w:val="clear" w:color="auto" w:fill="FFFFFF"/>
            <w:noWrap/>
            <w:hideMark/>
          </w:tcPr>
          <w:p w14:paraId="168E0ED2" w14:textId="77777777" w:rsidR="00FE461F" w:rsidRPr="005E4BEA" w:rsidRDefault="00FE461F" w:rsidP="00FE461F">
            <w:pPr>
              <w:spacing w:line="240" w:lineRule="auto"/>
              <w:jc w:val="right"/>
              <w:rPr>
                <w:rFonts w:eastAsia="Yu Gothic Light" w:cs="Arial"/>
                <w:i/>
                <w:iCs/>
                <w:color w:val="808080"/>
                <w:szCs w:val="20"/>
                <w:lang w:eastAsia="sl-SI"/>
              </w:rPr>
            </w:pPr>
            <w:r w:rsidRPr="005E4BEA">
              <w:rPr>
                <w:rFonts w:eastAsia="Yu Gothic Light" w:cs="Arial"/>
                <w:i/>
                <w:iCs/>
                <w:color w:val="808080"/>
                <w:szCs w:val="20"/>
                <w:lang w:eastAsia="sl-SI"/>
              </w:rPr>
              <w:t>ZASAVSKA REGIJA</w:t>
            </w:r>
          </w:p>
        </w:tc>
        <w:tc>
          <w:tcPr>
            <w:tcW w:w="3634" w:type="dxa"/>
            <w:shd w:val="clear" w:color="auto" w:fill="auto"/>
            <w:noWrap/>
            <w:hideMark/>
          </w:tcPr>
          <w:p w14:paraId="62DB3CE5" w14:textId="77777777" w:rsidR="00FE461F" w:rsidRPr="005E4BEA" w:rsidRDefault="00FE461F" w:rsidP="00FE461F">
            <w:pPr>
              <w:spacing w:line="240" w:lineRule="auto"/>
              <w:jc w:val="right"/>
              <w:rPr>
                <w:rFonts w:eastAsia="Calibri" w:cs="Arial"/>
                <w:color w:val="808080"/>
                <w:szCs w:val="20"/>
                <w:lang w:eastAsia="sl-SI"/>
              </w:rPr>
            </w:pPr>
            <w:r w:rsidRPr="005E4BEA">
              <w:rPr>
                <w:rFonts w:eastAsia="Calibri" w:cs="Arial"/>
                <w:color w:val="808080"/>
                <w:szCs w:val="20"/>
                <w:lang w:eastAsia="sl-SI"/>
              </w:rPr>
              <w:t>6</w:t>
            </w:r>
          </w:p>
        </w:tc>
      </w:tr>
      <w:tr w:rsidR="00FE461F" w:rsidRPr="005E4BEA" w14:paraId="58742CBA" w14:textId="77777777" w:rsidTr="0016774B">
        <w:trPr>
          <w:trHeight w:val="255"/>
        </w:trPr>
        <w:tc>
          <w:tcPr>
            <w:tcW w:w="0" w:type="auto"/>
            <w:tcBorders>
              <w:right w:val="single" w:sz="4" w:space="0" w:color="7F7F7F"/>
            </w:tcBorders>
            <w:shd w:val="clear" w:color="auto" w:fill="FFFFFF"/>
            <w:noWrap/>
            <w:hideMark/>
          </w:tcPr>
          <w:p w14:paraId="38E400DF" w14:textId="77777777" w:rsidR="00FE461F" w:rsidRPr="005E4BEA" w:rsidRDefault="00FE461F" w:rsidP="00FE461F">
            <w:pPr>
              <w:spacing w:line="240" w:lineRule="auto"/>
              <w:jc w:val="right"/>
              <w:rPr>
                <w:rFonts w:eastAsia="Yu Gothic Light" w:cs="Arial"/>
                <w:b/>
                <w:i/>
                <w:iCs/>
                <w:color w:val="808080"/>
                <w:szCs w:val="20"/>
                <w:lang w:eastAsia="sl-SI"/>
              </w:rPr>
            </w:pPr>
            <w:r w:rsidRPr="005E4BEA">
              <w:rPr>
                <w:rFonts w:eastAsia="Yu Gothic Light" w:cs="Arial"/>
                <w:b/>
                <w:i/>
                <w:iCs/>
                <w:color w:val="808080"/>
                <w:szCs w:val="20"/>
                <w:lang w:eastAsia="sl-SI"/>
              </w:rPr>
              <w:t>Skupna vsota</w:t>
            </w:r>
          </w:p>
        </w:tc>
        <w:tc>
          <w:tcPr>
            <w:tcW w:w="3634" w:type="dxa"/>
            <w:shd w:val="clear" w:color="auto" w:fill="F2F2F2"/>
            <w:noWrap/>
            <w:hideMark/>
          </w:tcPr>
          <w:p w14:paraId="1E024740" w14:textId="77777777" w:rsidR="00FE461F" w:rsidRPr="005E4BEA" w:rsidRDefault="00FE461F" w:rsidP="00FE461F">
            <w:pPr>
              <w:spacing w:line="240" w:lineRule="auto"/>
              <w:jc w:val="right"/>
              <w:rPr>
                <w:rFonts w:eastAsia="Calibri" w:cs="Arial"/>
                <w:b/>
                <w:color w:val="808080"/>
                <w:szCs w:val="20"/>
                <w:lang w:eastAsia="sl-SI"/>
              </w:rPr>
            </w:pPr>
            <w:r w:rsidRPr="005E4BEA">
              <w:rPr>
                <w:rFonts w:eastAsia="Calibri" w:cs="Arial"/>
                <w:b/>
                <w:color w:val="808080"/>
                <w:szCs w:val="20"/>
                <w:lang w:eastAsia="sl-SI"/>
              </w:rPr>
              <w:t>311</w:t>
            </w:r>
          </w:p>
        </w:tc>
      </w:tr>
      <w:bookmarkEnd w:id="95"/>
    </w:tbl>
    <w:p w14:paraId="7BE4CA89" w14:textId="77777777" w:rsidR="00FE461F" w:rsidRPr="005E4BEA" w:rsidRDefault="00FE461F" w:rsidP="00FE461F">
      <w:pPr>
        <w:spacing w:line="240" w:lineRule="auto"/>
        <w:jc w:val="both"/>
        <w:rPr>
          <w:rFonts w:eastAsia="Calibri" w:cs="Arial"/>
          <w:i/>
          <w:color w:val="808080"/>
          <w:szCs w:val="20"/>
        </w:rPr>
      </w:pPr>
    </w:p>
    <w:p w14:paraId="133AEA59" w14:textId="77777777" w:rsidR="00FE461F" w:rsidRPr="005E4BEA" w:rsidRDefault="00FE461F" w:rsidP="00FE461F">
      <w:pPr>
        <w:spacing w:line="240" w:lineRule="auto"/>
        <w:jc w:val="both"/>
        <w:rPr>
          <w:rFonts w:eastAsia="Calibri" w:cs="Arial"/>
          <w:b/>
          <w:bCs/>
          <w:i/>
          <w:color w:val="808080"/>
          <w:szCs w:val="20"/>
        </w:rPr>
      </w:pPr>
    </w:p>
    <w:p w14:paraId="563D267B"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Obseg storitev:</w:t>
      </w:r>
    </w:p>
    <w:p w14:paraId="02FA27D6"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Število načrtovanih storitev na primarni ravni sledi načrtu izvajanja brezšivne skrbi na sekundarnem in terciarnem nivoju.</w:t>
      </w:r>
    </w:p>
    <w:p w14:paraId="51D6E67A"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Na sekundarnem in terciarnem nivoju je predvidena postopna vključitev bolnikov ob odpustu iz bolnišnice v brezšivno skrb. Na podlagi podatkov ZZZS je bilo v letu 2020 338.003 hospitalizacij, v letu 2021 pa 359.679 hospitalizacij. 10% odpustov bolnikov iz bolnišnic je bilo tako ocenjeno na 35.000 bolnikov. S tem v skladu je bila opredeljena sledeča dinamika izvajanja brezšivne skrbi na sekundarni in terciarni ravni:</w:t>
      </w:r>
    </w:p>
    <w:p w14:paraId="3C54B6D5" w14:textId="77777777" w:rsidR="00FE461F" w:rsidRPr="005E4BEA" w:rsidRDefault="00FE461F" w:rsidP="00F356C9">
      <w:pPr>
        <w:numPr>
          <w:ilvl w:val="0"/>
          <w:numId w:val="68"/>
        </w:numPr>
        <w:spacing w:line="240" w:lineRule="auto"/>
        <w:jc w:val="both"/>
        <w:rPr>
          <w:rFonts w:eastAsia="Calibri" w:cs="Arial"/>
          <w:i/>
          <w:color w:val="808080"/>
          <w:szCs w:val="20"/>
        </w:rPr>
      </w:pPr>
      <w:r w:rsidRPr="005E4BEA">
        <w:rPr>
          <w:rFonts w:eastAsia="Calibri" w:cs="Arial"/>
          <w:i/>
          <w:color w:val="808080"/>
          <w:szCs w:val="20"/>
        </w:rPr>
        <w:t>10 % odpustov po bolnišnicah v letu 2023 (35.000 bolnikov);</w:t>
      </w:r>
    </w:p>
    <w:p w14:paraId="18F6D210" w14:textId="77777777" w:rsidR="00FE461F" w:rsidRPr="005E4BEA" w:rsidRDefault="00FE461F" w:rsidP="00F356C9">
      <w:pPr>
        <w:numPr>
          <w:ilvl w:val="0"/>
          <w:numId w:val="68"/>
        </w:numPr>
        <w:spacing w:line="240" w:lineRule="auto"/>
        <w:jc w:val="both"/>
        <w:rPr>
          <w:rFonts w:eastAsia="Calibri" w:cs="Arial"/>
          <w:i/>
          <w:color w:val="808080"/>
          <w:szCs w:val="20"/>
        </w:rPr>
      </w:pPr>
      <w:r w:rsidRPr="005E4BEA">
        <w:rPr>
          <w:rFonts w:eastAsia="Calibri" w:cs="Arial"/>
          <w:i/>
          <w:color w:val="808080"/>
          <w:szCs w:val="20"/>
        </w:rPr>
        <w:t>20 % po bolnišnicah v letu 2024  (70.000 bolnikov);</w:t>
      </w:r>
    </w:p>
    <w:p w14:paraId="4FE56AA1" w14:textId="77777777" w:rsidR="00FE461F" w:rsidRPr="005E4BEA" w:rsidRDefault="00FE461F" w:rsidP="00F356C9">
      <w:pPr>
        <w:numPr>
          <w:ilvl w:val="0"/>
          <w:numId w:val="68"/>
        </w:numPr>
        <w:spacing w:line="240" w:lineRule="auto"/>
        <w:jc w:val="both"/>
        <w:rPr>
          <w:rFonts w:eastAsia="Calibri" w:cs="Arial"/>
          <w:i/>
          <w:color w:val="808080"/>
          <w:szCs w:val="20"/>
        </w:rPr>
      </w:pPr>
      <w:r w:rsidRPr="005E4BEA">
        <w:rPr>
          <w:rFonts w:eastAsia="Calibri" w:cs="Arial"/>
          <w:i/>
          <w:color w:val="808080"/>
          <w:szCs w:val="20"/>
        </w:rPr>
        <w:t>30 % po bolnišnicah v letu 2025 (105.000 bolnikov);</w:t>
      </w:r>
    </w:p>
    <w:p w14:paraId="2F3892E2" w14:textId="77777777" w:rsidR="00FE461F" w:rsidRPr="005E4BEA" w:rsidRDefault="00FE461F" w:rsidP="00F356C9">
      <w:pPr>
        <w:numPr>
          <w:ilvl w:val="0"/>
          <w:numId w:val="68"/>
        </w:numPr>
        <w:spacing w:line="240" w:lineRule="auto"/>
        <w:jc w:val="both"/>
        <w:rPr>
          <w:rFonts w:eastAsia="Calibri" w:cs="Arial"/>
          <w:i/>
          <w:color w:val="808080"/>
          <w:szCs w:val="20"/>
        </w:rPr>
      </w:pPr>
      <w:r w:rsidRPr="005E4BEA">
        <w:rPr>
          <w:rFonts w:eastAsia="Calibri" w:cs="Arial"/>
          <w:i/>
          <w:color w:val="808080"/>
          <w:szCs w:val="20"/>
        </w:rPr>
        <w:t>40 % po bolnišnicah v letu 2026 (140.000 bolnikov).</w:t>
      </w:r>
    </w:p>
    <w:p w14:paraId="2867AD43" w14:textId="77777777" w:rsidR="00FE461F" w:rsidRPr="005E4BEA" w:rsidRDefault="00FE461F" w:rsidP="00FE461F">
      <w:pPr>
        <w:spacing w:line="240" w:lineRule="auto"/>
        <w:jc w:val="both"/>
        <w:rPr>
          <w:rFonts w:eastAsia="Calibri" w:cs="Arial"/>
          <w:i/>
          <w:color w:val="808080"/>
          <w:szCs w:val="20"/>
        </w:rPr>
      </w:pPr>
    </w:p>
    <w:p w14:paraId="2C6EAFEB"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Od omenjenega obsega pacientov v letu 2023 je pripravljena ocena izvedenih storitev brezšivne skrbi na primarni ravni, in sicer:</w:t>
      </w:r>
    </w:p>
    <w:p w14:paraId="2D5F9646" w14:textId="77777777" w:rsidR="00FE461F" w:rsidRPr="005E4BEA" w:rsidRDefault="00FE461F" w:rsidP="00F356C9">
      <w:pPr>
        <w:numPr>
          <w:ilvl w:val="0"/>
          <w:numId w:val="69"/>
        </w:numPr>
        <w:spacing w:line="240" w:lineRule="auto"/>
        <w:jc w:val="both"/>
        <w:rPr>
          <w:rFonts w:eastAsia="Calibri" w:cs="Arial"/>
          <w:i/>
          <w:color w:val="808080"/>
          <w:szCs w:val="20"/>
        </w:rPr>
      </w:pPr>
      <w:r w:rsidRPr="005E4BEA">
        <w:rPr>
          <w:rFonts w:eastAsia="Calibri" w:cs="Arial"/>
          <w:i/>
          <w:color w:val="808080"/>
          <w:szCs w:val="20"/>
        </w:rPr>
        <w:t xml:space="preserve">1/3 bolnikov, vključenih v storitev brezšivne skrbi na sekundarni in terciarni ravni, potrebuje le </w:t>
      </w:r>
      <w:r w:rsidRPr="005E4BEA">
        <w:rPr>
          <w:rFonts w:eastAsia="Calibri" w:cs="Arial"/>
          <w:b/>
          <w:bCs/>
          <w:i/>
          <w:color w:val="808080"/>
          <w:szCs w:val="20"/>
        </w:rPr>
        <w:t>posodobitev OKZ</w:t>
      </w:r>
      <w:r w:rsidRPr="005E4BEA">
        <w:rPr>
          <w:rFonts w:eastAsia="Calibri" w:cs="Arial"/>
          <w:i/>
          <w:color w:val="808080"/>
          <w:szCs w:val="20"/>
        </w:rPr>
        <w:t xml:space="preserve">: cca </w:t>
      </w:r>
      <w:r w:rsidRPr="005E4BEA">
        <w:rPr>
          <w:rFonts w:eastAsia="Calibri" w:cs="Arial"/>
          <w:b/>
          <w:bCs/>
          <w:i/>
          <w:color w:val="808080"/>
          <w:szCs w:val="20"/>
        </w:rPr>
        <w:t>12.000 bolnikov</w:t>
      </w:r>
      <w:r w:rsidRPr="005E4BEA">
        <w:rPr>
          <w:rFonts w:eastAsia="Calibri" w:cs="Arial"/>
          <w:i/>
          <w:color w:val="808080"/>
          <w:szCs w:val="20"/>
        </w:rPr>
        <w:t>, ocenjen čas izvedbe storitve – 5 minut / enoto / magistra farmacije;</w:t>
      </w:r>
    </w:p>
    <w:p w14:paraId="4714D558" w14:textId="77777777" w:rsidR="00FE461F" w:rsidRPr="005E4BEA" w:rsidRDefault="00FE461F" w:rsidP="00F356C9">
      <w:pPr>
        <w:numPr>
          <w:ilvl w:val="0"/>
          <w:numId w:val="69"/>
        </w:numPr>
        <w:spacing w:line="240" w:lineRule="auto"/>
        <w:jc w:val="both"/>
        <w:rPr>
          <w:rFonts w:eastAsia="Calibri" w:cs="Arial"/>
          <w:i/>
          <w:color w:val="808080"/>
          <w:szCs w:val="20"/>
        </w:rPr>
      </w:pPr>
      <w:r w:rsidRPr="005E4BEA">
        <w:rPr>
          <w:rFonts w:eastAsia="Calibri" w:cs="Arial"/>
          <w:i/>
          <w:color w:val="808080"/>
          <w:szCs w:val="20"/>
        </w:rPr>
        <w:t xml:space="preserve">1/3 bolnikov, vključenih v storitev brezšivne skrbi na sekundarni in terciarni ravni, bo potrebovala PUZ  in kontrolni PUZ: cca </w:t>
      </w:r>
      <w:r w:rsidRPr="005E4BEA">
        <w:rPr>
          <w:rFonts w:eastAsia="Calibri" w:cs="Arial"/>
          <w:b/>
          <w:bCs/>
          <w:i/>
          <w:color w:val="808080"/>
          <w:szCs w:val="20"/>
        </w:rPr>
        <w:t>5.000 bolnikov</w:t>
      </w:r>
      <w:r w:rsidRPr="005E4BEA">
        <w:rPr>
          <w:rFonts w:eastAsia="Calibri" w:cs="Arial"/>
          <w:i/>
          <w:color w:val="808080"/>
          <w:szCs w:val="20"/>
        </w:rPr>
        <w:t xml:space="preserve">, vključeno v </w:t>
      </w:r>
      <w:r w:rsidRPr="005E4BEA">
        <w:rPr>
          <w:rFonts w:eastAsia="Calibri" w:cs="Arial"/>
          <w:b/>
          <w:bCs/>
          <w:i/>
          <w:color w:val="808080"/>
          <w:szCs w:val="20"/>
        </w:rPr>
        <w:t>storitev PUZ</w:t>
      </w:r>
      <w:r w:rsidRPr="005E4BEA">
        <w:rPr>
          <w:rFonts w:eastAsia="Calibri" w:cs="Arial"/>
          <w:i/>
          <w:color w:val="808080"/>
          <w:szCs w:val="20"/>
        </w:rPr>
        <w:t xml:space="preserve"> – 45 min / enoto / mag. farm. s kompetencami za PUZ ter cca </w:t>
      </w:r>
      <w:r w:rsidRPr="005E4BEA">
        <w:rPr>
          <w:rFonts w:eastAsia="Calibri" w:cs="Arial"/>
          <w:b/>
          <w:bCs/>
          <w:i/>
          <w:color w:val="808080"/>
          <w:szCs w:val="20"/>
        </w:rPr>
        <w:t>8.000 bolnikov bo vključenih v kontrolni PUZ</w:t>
      </w:r>
      <w:r w:rsidRPr="005E4BEA">
        <w:rPr>
          <w:rFonts w:eastAsia="Calibri" w:cs="Arial"/>
          <w:i/>
          <w:color w:val="808080"/>
          <w:szCs w:val="20"/>
        </w:rPr>
        <w:t xml:space="preserve"> – 25 min / enoto / mag. farm. s kompetencami za PUZ ;</w:t>
      </w:r>
    </w:p>
    <w:p w14:paraId="0549699D" w14:textId="77777777" w:rsidR="00FE461F" w:rsidRPr="005E4BEA" w:rsidRDefault="00FE461F" w:rsidP="00F356C9">
      <w:pPr>
        <w:numPr>
          <w:ilvl w:val="0"/>
          <w:numId w:val="69"/>
        </w:numPr>
        <w:spacing w:line="240" w:lineRule="auto"/>
        <w:jc w:val="both"/>
        <w:rPr>
          <w:rFonts w:eastAsia="Calibri" w:cs="Arial"/>
          <w:i/>
          <w:color w:val="808080"/>
          <w:szCs w:val="20"/>
        </w:rPr>
      </w:pPr>
      <w:r w:rsidRPr="005E4BEA">
        <w:rPr>
          <w:rFonts w:eastAsia="Calibri" w:cs="Arial"/>
          <w:i/>
          <w:color w:val="808080"/>
          <w:szCs w:val="20"/>
        </w:rPr>
        <w:t>1/3 bolnikov, vključenih v storitev brezšivne skrbi na sekundarni in terciarni ravni, ne potrebuje intervencije.</w:t>
      </w:r>
    </w:p>
    <w:p w14:paraId="6C655AF0" w14:textId="77777777" w:rsidR="00FE461F" w:rsidRPr="005E4BEA" w:rsidRDefault="00FE461F" w:rsidP="00FE461F">
      <w:pPr>
        <w:spacing w:line="240" w:lineRule="auto"/>
        <w:jc w:val="both"/>
        <w:rPr>
          <w:rFonts w:eastAsia="Calibri" w:cs="Arial"/>
          <w:b/>
          <w:bCs/>
          <w:i/>
          <w:color w:val="808080"/>
          <w:szCs w:val="20"/>
        </w:rPr>
      </w:pPr>
    </w:p>
    <w:p w14:paraId="075E9E28"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 xml:space="preserve">Ocena finančnih posledic: </w:t>
      </w:r>
    </w:p>
    <w:p w14:paraId="53E6067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Točkovna vrednost storitev bo opredeljena glede na točkovni in kadrovski normativ (vse storitve izvaja magister farmacije / magister farmacije s kompetencami za PUZ): </w:t>
      </w:r>
    </w:p>
    <w:p w14:paraId="3A9334A9" w14:textId="77777777" w:rsidR="00FE461F" w:rsidRPr="005E4BEA" w:rsidRDefault="00FE461F" w:rsidP="00F356C9">
      <w:pPr>
        <w:numPr>
          <w:ilvl w:val="0"/>
          <w:numId w:val="56"/>
        </w:numPr>
        <w:spacing w:line="240" w:lineRule="auto"/>
        <w:jc w:val="both"/>
        <w:rPr>
          <w:rFonts w:eastAsia="Calibri" w:cs="Arial"/>
          <w:i/>
          <w:color w:val="808080"/>
          <w:szCs w:val="20"/>
        </w:rPr>
      </w:pPr>
      <w:r w:rsidRPr="005E4BEA">
        <w:rPr>
          <w:rFonts w:eastAsia="Calibri" w:cs="Arial"/>
          <w:i/>
          <w:color w:val="808080"/>
          <w:szCs w:val="20"/>
        </w:rPr>
        <w:t>posodobitev OKZ, ocenjen čas: 5 min / primer na magistra farmacije; ocenjeno število primerov 12.000);</w:t>
      </w:r>
    </w:p>
    <w:p w14:paraId="3C581608" w14:textId="77777777" w:rsidR="00FE461F" w:rsidRPr="005E4BEA" w:rsidRDefault="00FE461F" w:rsidP="00F356C9">
      <w:pPr>
        <w:numPr>
          <w:ilvl w:val="0"/>
          <w:numId w:val="56"/>
        </w:numPr>
        <w:spacing w:line="240" w:lineRule="auto"/>
        <w:jc w:val="both"/>
        <w:rPr>
          <w:rFonts w:eastAsia="Calibri" w:cs="Arial"/>
          <w:i/>
          <w:color w:val="808080"/>
          <w:szCs w:val="20"/>
        </w:rPr>
      </w:pPr>
      <w:r w:rsidRPr="005E4BEA">
        <w:rPr>
          <w:rFonts w:eastAsia="Calibri" w:cs="Arial"/>
          <w:i/>
          <w:color w:val="808080"/>
          <w:szCs w:val="20"/>
        </w:rPr>
        <w:t xml:space="preserve">PUZ, 45 min / </w:t>
      </w:r>
      <w:proofErr w:type="spellStart"/>
      <w:r w:rsidRPr="005E4BEA">
        <w:rPr>
          <w:rFonts w:eastAsia="Calibri" w:cs="Arial"/>
          <w:i/>
          <w:color w:val="808080"/>
          <w:szCs w:val="20"/>
        </w:rPr>
        <w:t>prm</w:t>
      </w:r>
      <w:proofErr w:type="spellEnd"/>
      <w:r w:rsidRPr="005E4BEA">
        <w:rPr>
          <w:rFonts w:eastAsia="Calibri" w:cs="Arial"/>
          <w:i/>
          <w:color w:val="808080"/>
          <w:szCs w:val="20"/>
        </w:rPr>
        <w:t>. na magistra farmacije, ocenjeno število primerov: 5.000;</w:t>
      </w:r>
    </w:p>
    <w:p w14:paraId="1A51F432" w14:textId="77777777" w:rsidR="00FE461F" w:rsidRPr="005E4BEA" w:rsidRDefault="00FE461F" w:rsidP="00F356C9">
      <w:pPr>
        <w:numPr>
          <w:ilvl w:val="0"/>
          <w:numId w:val="56"/>
        </w:numPr>
        <w:spacing w:line="240" w:lineRule="auto"/>
        <w:jc w:val="both"/>
        <w:rPr>
          <w:rFonts w:eastAsia="Calibri" w:cs="Arial"/>
          <w:i/>
          <w:color w:val="808080"/>
          <w:szCs w:val="20"/>
        </w:rPr>
      </w:pPr>
      <w:r w:rsidRPr="005E4BEA">
        <w:rPr>
          <w:rFonts w:eastAsia="Calibri" w:cs="Arial"/>
          <w:i/>
          <w:color w:val="808080"/>
          <w:szCs w:val="20"/>
        </w:rPr>
        <w:t xml:space="preserve">Kontrolni PUZ, 25 min / </w:t>
      </w:r>
      <w:proofErr w:type="spellStart"/>
      <w:r w:rsidRPr="005E4BEA">
        <w:rPr>
          <w:rFonts w:eastAsia="Calibri" w:cs="Arial"/>
          <w:i/>
          <w:color w:val="808080"/>
          <w:szCs w:val="20"/>
        </w:rPr>
        <w:t>prm</w:t>
      </w:r>
      <w:proofErr w:type="spellEnd"/>
      <w:r w:rsidRPr="005E4BEA">
        <w:rPr>
          <w:rFonts w:eastAsia="Calibri" w:cs="Arial"/>
          <w:i/>
          <w:color w:val="808080"/>
          <w:szCs w:val="20"/>
        </w:rPr>
        <w:t xml:space="preserve"> na magistra farmacije, ocenjeno število primerov: 8.000 kontrolnih .</w:t>
      </w:r>
    </w:p>
    <w:p w14:paraId="5511D9FC" w14:textId="77777777" w:rsidR="00FE461F" w:rsidRPr="005E4BEA" w:rsidRDefault="00FE461F" w:rsidP="00FE461F">
      <w:pPr>
        <w:spacing w:line="240" w:lineRule="auto"/>
        <w:jc w:val="both"/>
        <w:rPr>
          <w:rFonts w:eastAsia="Calibri" w:cs="Arial"/>
          <w:i/>
          <w:color w:val="808080"/>
          <w:szCs w:val="20"/>
        </w:rPr>
      </w:pPr>
    </w:p>
    <w:p w14:paraId="28E47EC0" w14:textId="77777777" w:rsidR="00FE461F" w:rsidRPr="005E4BEA" w:rsidRDefault="00FE461F" w:rsidP="00FE461F">
      <w:pPr>
        <w:spacing w:line="240" w:lineRule="auto"/>
        <w:jc w:val="both"/>
        <w:rPr>
          <w:rFonts w:eastAsia="Calibri" w:cs="Arial"/>
          <w:i/>
          <w:color w:val="808080"/>
          <w:szCs w:val="20"/>
        </w:rPr>
      </w:pPr>
    </w:p>
    <w:tbl>
      <w:tblPr>
        <w:tblW w:w="5000" w:type="pct"/>
        <w:tblCellMar>
          <w:left w:w="70" w:type="dxa"/>
          <w:right w:w="70" w:type="dxa"/>
        </w:tblCellMar>
        <w:tblLook w:val="04A0" w:firstRow="1" w:lastRow="0" w:firstColumn="1" w:lastColumn="0" w:noHBand="0" w:noVBand="1"/>
      </w:tblPr>
      <w:tblGrid>
        <w:gridCol w:w="1818"/>
        <w:gridCol w:w="1026"/>
        <w:gridCol w:w="1026"/>
        <w:gridCol w:w="1026"/>
        <w:gridCol w:w="1048"/>
        <w:gridCol w:w="1158"/>
        <w:gridCol w:w="1396"/>
      </w:tblGrid>
      <w:tr w:rsidR="00FE461F" w:rsidRPr="005E4BEA" w14:paraId="622630B2" w14:textId="77777777" w:rsidTr="0016774B">
        <w:trPr>
          <w:trHeight w:val="832"/>
        </w:trPr>
        <w:tc>
          <w:tcPr>
            <w:tcW w:w="1020" w:type="pct"/>
            <w:tcBorders>
              <w:top w:val="nil"/>
              <w:left w:val="nil"/>
              <w:bottom w:val="nil"/>
              <w:right w:val="nil"/>
            </w:tcBorders>
            <w:shd w:val="clear" w:color="auto" w:fill="auto"/>
            <w:noWrap/>
            <w:vAlign w:val="bottom"/>
            <w:hideMark/>
          </w:tcPr>
          <w:p w14:paraId="60DF5C4C" w14:textId="77777777" w:rsidR="00FE461F" w:rsidRPr="005E4BEA" w:rsidRDefault="00FE461F" w:rsidP="00FE461F">
            <w:pPr>
              <w:spacing w:line="240" w:lineRule="auto"/>
              <w:rPr>
                <w:rFonts w:cs="Arial"/>
                <w:color w:val="767171"/>
                <w:szCs w:val="20"/>
                <w:lang w:eastAsia="sl-SI"/>
              </w:rPr>
            </w:pPr>
            <w:bookmarkStart w:id="96" w:name="_Hlk99523192"/>
          </w:p>
        </w:tc>
        <w:tc>
          <w:tcPr>
            <w:tcW w:w="612" w:type="pct"/>
            <w:tcBorders>
              <w:top w:val="nil"/>
              <w:left w:val="nil"/>
              <w:bottom w:val="nil"/>
              <w:right w:val="nil"/>
            </w:tcBorders>
            <w:shd w:val="clear" w:color="auto" w:fill="auto"/>
            <w:vAlign w:val="bottom"/>
            <w:hideMark/>
          </w:tcPr>
          <w:p w14:paraId="73E4B390" w14:textId="77777777" w:rsidR="00FE461F" w:rsidRPr="005E4BEA" w:rsidRDefault="00FE461F" w:rsidP="00FE461F">
            <w:pPr>
              <w:spacing w:line="240" w:lineRule="auto"/>
              <w:rPr>
                <w:rFonts w:cs="Arial"/>
                <w:color w:val="767171"/>
                <w:szCs w:val="20"/>
                <w:lang w:eastAsia="sl-SI"/>
              </w:rPr>
            </w:pPr>
            <w:r w:rsidRPr="005E4BEA">
              <w:rPr>
                <w:rFonts w:cs="Arial"/>
                <w:color w:val="767171"/>
                <w:szCs w:val="20"/>
                <w:lang w:eastAsia="sl-SI"/>
              </w:rPr>
              <w:t>Kadrovski normativ (mag. farm.; farm. tehnik)</w:t>
            </w:r>
          </w:p>
        </w:tc>
        <w:tc>
          <w:tcPr>
            <w:tcW w:w="612" w:type="pct"/>
            <w:tcBorders>
              <w:top w:val="nil"/>
              <w:left w:val="nil"/>
              <w:bottom w:val="nil"/>
              <w:right w:val="nil"/>
            </w:tcBorders>
            <w:shd w:val="clear" w:color="auto" w:fill="auto"/>
            <w:vAlign w:val="bottom"/>
            <w:hideMark/>
          </w:tcPr>
          <w:p w14:paraId="27C980FE" w14:textId="77777777" w:rsidR="00FE461F" w:rsidRPr="005E4BEA" w:rsidRDefault="00FE461F" w:rsidP="00FE461F">
            <w:pPr>
              <w:spacing w:line="240" w:lineRule="auto"/>
              <w:rPr>
                <w:rFonts w:cs="Arial"/>
                <w:color w:val="767171"/>
                <w:szCs w:val="20"/>
                <w:lang w:eastAsia="sl-SI"/>
              </w:rPr>
            </w:pPr>
            <w:r w:rsidRPr="005E4BEA">
              <w:rPr>
                <w:rFonts w:cs="Arial"/>
                <w:color w:val="767171"/>
                <w:szCs w:val="20"/>
                <w:lang w:eastAsia="sl-SI"/>
              </w:rPr>
              <w:t>Časovni normativ</w:t>
            </w:r>
          </w:p>
        </w:tc>
        <w:tc>
          <w:tcPr>
            <w:tcW w:w="612" w:type="pct"/>
            <w:tcBorders>
              <w:top w:val="nil"/>
              <w:left w:val="nil"/>
              <w:bottom w:val="nil"/>
              <w:right w:val="nil"/>
            </w:tcBorders>
            <w:shd w:val="clear" w:color="auto" w:fill="auto"/>
            <w:vAlign w:val="bottom"/>
            <w:hideMark/>
          </w:tcPr>
          <w:p w14:paraId="7866567A" w14:textId="77777777" w:rsidR="00FE461F" w:rsidRPr="005E4BEA" w:rsidRDefault="00FE461F" w:rsidP="00FE461F">
            <w:pPr>
              <w:spacing w:line="240" w:lineRule="auto"/>
              <w:rPr>
                <w:rFonts w:cs="Arial"/>
                <w:color w:val="767171"/>
                <w:szCs w:val="20"/>
                <w:lang w:eastAsia="sl-SI"/>
              </w:rPr>
            </w:pPr>
            <w:r w:rsidRPr="005E4BEA">
              <w:rPr>
                <w:rFonts w:cs="Arial"/>
                <w:color w:val="767171"/>
                <w:szCs w:val="20"/>
                <w:lang w:eastAsia="sl-SI"/>
              </w:rPr>
              <w:t>Točkovni normativ</w:t>
            </w:r>
          </w:p>
        </w:tc>
        <w:tc>
          <w:tcPr>
            <w:tcW w:w="625" w:type="pct"/>
            <w:tcBorders>
              <w:top w:val="nil"/>
              <w:left w:val="nil"/>
              <w:bottom w:val="nil"/>
              <w:right w:val="nil"/>
            </w:tcBorders>
            <w:shd w:val="clear" w:color="auto" w:fill="auto"/>
            <w:vAlign w:val="bottom"/>
            <w:hideMark/>
          </w:tcPr>
          <w:p w14:paraId="09108E18" w14:textId="77777777" w:rsidR="00FE461F" w:rsidRPr="005E4BEA" w:rsidRDefault="00FE461F" w:rsidP="00FE461F">
            <w:pPr>
              <w:spacing w:line="240" w:lineRule="auto"/>
              <w:rPr>
                <w:rFonts w:cs="Arial"/>
                <w:color w:val="767171"/>
                <w:szCs w:val="20"/>
                <w:lang w:eastAsia="sl-SI"/>
              </w:rPr>
            </w:pPr>
            <w:r w:rsidRPr="005E4BEA">
              <w:rPr>
                <w:rFonts w:cs="Arial"/>
                <w:color w:val="767171"/>
                <w:szCs w:val="20"/>
                <w:lang w:eastAsia="sl-SI"/>
              </w:rPr>
              <w:t>Vrednost</w:t>
            </w:r>
          </w:p>
        </w:tc>
        <w:tc>
          <w:tcPr>
            <w:tcW w:w="689" w:type="pct"/>
            <w:tcBorders>
              <w:top w:val="nil"/>
              <w:left w:val="nil"/>
              <w:bottom w:val="nil"/>
              <w:right w:val="nil"/>
            </w:tcBorders>
            <w:shd w:val="clear" w:color="auto" w:fill="auto"/>
            <w:vAlign w:val="bottom"/>
            <w:hideMark/>
          </w:tcPr>
          <w:p w14:paraId="5B27E74A" w14:textId="77777777" w:rsidR="00FE461F" w:rsidRPr="005E4BEA" w:rsidRDefault="00FE461F" w:rsidP="00FE461F">
            <w:pPr>
              <w:spacing w:line="240" w:lineRule="auto"/>
              <w:rPr>
                <w:rFonts w:cs="Arial"/>
                <w:color w:val="767171"/>
                <w:szCs w:val="20"/>
                <w:lang w:eastAsia="sl-SI"/>
              </w:rPr>
            </w:pPr>
            <w:r w:rsidRPr="005E4BEA">
              <w:rPr>
                <w:rFonts w:cs="Arial"/>
                <w:color w:val="767171"/>
                <w:szCs w:val="20"/>
                <w:lang w:eastAsia="sl-SI"/>
              </w:rPr>
              <w:t>Ocenjeno število pacientov</w:t>
            </w:r>
          </w:p>
        </w:tc>
        <w:tc>
          <w:tcPr>
            <w:tcW w:w="829" w:type="pct"/>
            <w:tcBorders>
              <w:top w:val="nil"/>
              <w:left w:val="nil"/>
              <w:bottom w:val="nil"/>
              <w:right w:val="nil"/>
            </w:tcBorders>
            <w:shd w:val="clear" w:color="auto" w:fill="auto"/>
            <w:vAlign w:val="bottom"/>
            <w:hideMark/>
          </w:tcPr>
          <w:p w14:paraId="24E0E10B" w14:textId="77777777" w:rsidR="00FE461F" w:rsidRPr="005E4BEA" w:rsidRDefault="00FE461F" w:rsidP="00FE461F">
            <w:pPr>
              <w:spacing w:line="240" w:lineRule="auto"/>
              <w:rPr>
                <w:rFonts w:cs="Arial"/>
                <w:color w:val="767171"/>
                <w:szCs w:val="20"/>
                <w:lang w:eastAsia="sl-SI"/>
              </w:rPr>
            </w:pPr>
            <w:r w:rsidRPr="005E4BEA">
              <w:rPr>
                <w:rFonts w:cs="Arial"/>
                <w:color w:val="767171"/>
                <w:szCs w:val="20"/>
                <w:lang w:eastAsia="sl-SI"/>
              </w:rPr>
              <w:t>Ocenjena vrednost 2023</w:t>
            </w:r>
          </w:p>
        </w:tc>
      </w:tr>
      <w:tr w:rsidR="00FE461F" w:rsidRPr="005E4BEA" w14:paraId="596E6EAB" w14:textId="77777777" w:rsidTr="0016774B">
        <w:trPr>
          <w:trHeight w:val="288"/>
        </w:trPr>
        <w:tc>
          <w:tcPr>
            <w:tcW w:w="1020" w:type="pct"/>
            <w:tcBorders>
              <w:top w:val="nil"/>
              <w:left w:val="nil"/>
              <w:bottom w:val="nil"/>
              <w:right w:val="nil"/>
            </w:tcBorders>
            <w:shd w:val="clear" w:color="auto" w:fill="auto"/>
            <w:noWrap/>
            <w:vAlign w:val="bottom"/>
            <w:hideMark/>
          </w:tcPr>
          <w:p w14:paraId="6E27045D" w14:textId="77777777" w:rsidR="00FE461F" w:rsidRPr="005E4BEA" w:rsidRDefault="00FE461F" w:rsidP="00FE461F">
            <w:pPr>
              <w:spacing w:line="240" w:lineRule="auto"/>
              <w:rPr>
                <w:rFonts w:cs="Arial"/>
                <w:b/>
                <w:bCs/>
                <w:color w:val="767171"/>
                <w:szCs w:val="20"/>
                <w:lang w:eastAsia="sl-SI"/>
              </w:rPr>
            </w:pPr>
            <w:r w:rsidRPr="005E4BEA">
              <w:rPr>
                <w:rFonts w:cs="Arial"/>
                <w:b/>
                <w:bCs/>
                <w:color w:val="767171"/>
                <w:szCs w:val="20"/>
                <w:lang w:eastAsia="sl-SI"/>
              </w:rPr>
              <w:t>Posodobitev OKZ</w:t>
            </w:r>
          </w:p>
        </w:tc>
        <w:tc>
          <w:tcPr>
            <w:tcW w:w="612" w:type="pct"/>
            <w:tcBorders>
              <w:top w:val="nil"/>
              <w:left w:val="nil"/>
              <w:bottom w:val="nil"/>
              <w:right w:val="nil"/>
            </w:tcBorders>
            <w:shd w:val="clear" w:color="auto" w:fill="auto"/>
            <w:noWrap/>
            <w:vAlign w:val="bottom"/>
            <w:hideMark/>
          </w:tcPr>
          <w:p w14:paraId="69DF4C9C"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1;0</w:t>
            </w:r>
          </w:p>
        </w:tc>
        <w:tc>
          <w:tcPr>
            <w:tcW w:w="612" w:type="pct"/>
            <w:tcBorders>
              <w:top w:val="nil"/>
              <w:left w:val="nil"/>
              <w:bottom w:val="nil"/>
              <w:right w:val="nil"/>
            </w:tcBorders>
            <w:shd w:val="clear" w:color="auto" w:fill="auto"/>
            <w:noWrap/>
            <w:vAlign w:val="bottom"/>
            <w:hideMark/>
          </w:tcPr>
          <w:p w14:paraId="368ADB02"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5</w:t>
            </w:r>
          </w:p>
        </w:tc>
        <w:tc>
          <w:tcPr>
            <w:tcW w:w="612" w:type="pct"/>
            <w:tcBorders>
              <w:top w:val="nil"/>
              <w:left w:val="nil"/>
              <w:bottom w:val="nil"/>
              <w:right w:val="nil"/>
            </w:tcBorders>
            <w:shd w:val="clear" w:color="auto" w:fill="auto"/>
            <w:noWrap/>
            <w:vAlign w:val="bottom"/>
            <w:hideMark/>
          </w:tcPr>
          <w:p w14:paraId="0800A982"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1</w:t>
            </w:r>
          </w:p>
        </w:tc>
        <w:tc>
          <w:tcPr>
            <w:tcW w:w="625" w:type="pct"/>
            <w:tcBorders>
              <w:top w:val="nil"/>
              <w:left w:val="nil"/>
              <w:bottom w:val="nil"/>
              <w:right w:val="nil"/>
            </w:tcBorders>
            <w:shd w:val="clear" w:color="auto" w:fill="auto"/>
            <w:noWrap/>
            <w:vAlign w:val="bottom"/>
            <w:hideMark/>
          </w:tcPr>
          <w:p w14:paraId="1C73822C"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3,47</w:t>
            </w:r>
          </w:p>
        </w:tc>
        <w:tc>
          <w:tcPr>
            <w:tcW w:w="689" w:type="pct"/>
            <w:tcBorders>
              <w:top w:val="nil"/>
              <w:left w:val="nil"/>
              <w:bottom w:val="nil"/>
              <w:right w:val="nil"/>
            </w:tcBorders>
            <w:shd w:val="clear" w:color="auto" w:fill="auto"/>
            <w:noWrap/>
            <w:vAlign w:val="bottom"/>
            <w:hideMark/>
          </w:tcPr>
          <w:p w14:paraId="16559054"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12.000</w:t>
            </w:r>
          </w:p>
        </w:tc>
        <w:tc>
          <w:tcPr>
            <w:tcW w:w="829" w:type="pct"/>
            <w:tcBorders>
              <w:top w:val="nil"/>
              <w:left w:val="nil"/>
              <w:bottom w:val="nil"/>
              <w:right w:val="nil"/>
            </w:tcBorders>
            <w:shd w:val="clear" w:color="auto" w:fill="auto"/>
            <w:noWrap/>
            <w:vAlign w:val="bottom"/>
            <w:hideMark/>
          </w:tcPr>
          <w:p w14:paraId="6B8E9EC9" w14:textId="77777777" w:rsidR="00FE461F" w:rsidRPr="005E4BEA" w:rsidRDefault="00FE461F" w:rsidP="00FE461F">
            <w:pPr>
              <w:spacing w:line="240" w:lineRule="auto"/>
              <w:jc w:val="right"/>
              <w:rPr>
                <w:rFonts w:cs="Arial"/>
                <w:b/>
                <w:bCs/>
                <w:color w:val="767171"/>
                <w:szCs w:val="20"/>
                <w:lang w:eastAsia="sl-SI"/>
              </w:rPr>
            </w:pPr>
            <w:r w:rsidRPr="005E4BEA">
              <w:rPr>
                <w:rFonts w:cs="Arial"/>
                <w:b/>
                <w:bCs/>
                <w:color w:val="767171"/>
                <w:szCs w:val="20"/>
                <w:lang w:eastAsia="sl-SI"/>
              </w:rPr>
              <w:t>41.640,00</w:t>
            </w:r>
          </w:p>
        </w:tc>
      </w:tr>
      <w:tr w:rsidR="00FE461F" w:rsidRPr="005E4BEA" w14:paraId="09A4FEF0" w14:textId="77777777" w:rsidTr="0016774B">
        <w:trPr>
          <w:trHeight w:val="288"/>
        </w:trPr>
        <w:tc>
          <w:tcPr>
            <w:tcW w:w="1020" w:type="pct"/>
            <w:tcBorders>
              <w:top w:val="nil"/>
              <w:left w:val="nil"/>
              <w:bottom w:val="nil"/>
              <w:right w:val="nil"/>
            </w:tcBorders>
            <w:shd w:val="clear" w:color="auto" w:fill="auto"/>
            <w:noWrap/>
            <w:vAlign w:val="bottom"/>
            <w:hideMark/>
          </w:tcPr>
          <w:p w14:paraId="7C987474" w14:textId="77777777" w:rsidR="00FE461F" w:rsidRPr="005E4BEA" w:rsidRDefault="00FE461F" w:rsidP="00FE461F">
            <w:pPr>
              <w:spacing w:line="240" w:lineRule="auto"/>
              <w:rPr>
                <w:rFonts w:cs="Arial"/>
                <w:b/>
                <w:bCs/>
                <w:color w:val="767171"/>
                <w:szCs w:val="20"/>
                <w:lang w:eastAsia="sl-SI"/>
              </w:rPr>
            </w:pPr>
            <w:r w:rsidRPr="005E4BEA">
              <w:rPr>
                <w:rFonts w:cs="Arial"/>
                <w:b/>
                <w:bCs/>
                <w:color w:val="767171"/>
                <w:szCs w:val="20"/>
                <w:lang w:eastAsia="sl-SI"/>
              </w:rPr>
              <w:t>Kontrolni PUZ</w:t>
            </w:r>
          </w:p>
        </w:tc>
        <w:tc>
          <w:tcPr>
            <w:tcW w:w="612" w:type="pct"/>
            <w:tcBorders>
              <w:top w:val="nil"/>
              <w:left w:val="nil"/>
              <w:bottom w:val="nil"/>
              <w:right w:val="nil"/>
            </w:tcBorders>
            <w:shd w:val="clear" w:color="auto" w:fill="auto"/>
            <w:noWrap/>
            <w:vAlign w:val="bottom"/>
            <w:hideMark/>
          </w:tcPr>
          <w:p w14:paraId="7FB87A47"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1;0</w:t>
            </w:r>
          </w:p>
        </w:tc>
        <w:tc>
          <w:tcPr>
            <w:tcW w:w="612" w:type="pct"/>
            <w:tcBorders>
              <w:top w:val="nil"/>
              <w:left w:val="nil"/>
              <w:bottom w:val="nil"/>
              <w:right w:val="nil"/>
            </w:tcBorders>
            <w:shd w:val="clear" w:color="auto" w:fill="auto"/>
            <w:noWrap/>
            <w:vAlign w:val="bottom"/>
            <w:hideMark/>
          </w:tcPr>
          <w:p w14:paraId="6337E49C"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25</w:t>
            </w:r>
          </w:p>
        </w:tc>
        <w:tc>
          <w:tcPr>
            <w:tcW w:w="612" w:type="pct"/>
            <w:tcBorders>
              <w:top w:val="nil"/>
              <w:left w:val="nil"/>
              <w:bottom w:val="nil"/>
              <w:right w:val="nil"/>
            </w:tcBorders>
            <w:shd w:val="clear" w:color="auto" w:fill="auto"/>
            <w:noWrap/>
            <w:vAlign w:val="bottom"/>
            <w:hideMark/>
          </w:tcPr>
          <w:p w14:paraId="724A2762"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5</w:t>
            </w:r>
          </w:p>
        </w:tc>
        <w:tc>
          <w:tcPr>
            <w:tcW w:w="625" w:type="pct"/>
            <w:tcBorders>
              <w:top w:val="nil"/>
              <w:left w:val="nil"/>
              <w:bottom w:val="nil"/>
              <w:right w:val="nil"/>
            </w:tcBorders>
            <w:shd w:val="clear" w:color="auto" w:fill="auto"/>
            <w:noWrap/>
            <w:vAlign w:val="bottom"/>
            <w:hideMark/>
          </w:tcPr>
          <w:p w14:paraId="21D5DE54"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17,35</w:t>
            </w:r>
          </w:p>
        </w:tc>
        <w:tc>
          <w:tcPr>
            <w:tcW w:w="689" w:type="pct"/>
            <w:tcBorders>
              <w:top w:val="nil"/>
              <w:left w:val="nil"/>
              <w:bottom w:val="nil"/>
              <w:right w:val="nil"/>
            </w:tcBorders>
            <w:shd w:val="clear" w:color="auto" w:fill="auto"/>
            <w:noWrap/>
            <w:vAlign w:val="bottom"/>
            <w:hideMark/>
          </w:tcPr>
          <w:p w14:paraId="24BEFC95"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8.000</w:t>
            </w:r>
          </w:p>
        </w:tc>
        <w:tc>
          <w:tcPr>
            <w:tcW w:w="829" w:type="pct"/>
            <w:tcBorders>
              <w:top w:val="nil"/>
              <w:left w:val="nil"/>
              <w:bottom w:val="nil"/>
              <w:right w:val="nil"/>
            </w:tcBorders>
            <w:shd w:val="clear" w:color="auto" w:fill="auto"/>
            <w:noWrap/>
            <w:vAlign w:val="bottom"/>
            <w:hideMark/>
          </w:tcPr>
          <w:p w14:paraId="4DEC9F38" w14:textId="77777777" w:rsidR="00FE461F" w:rsidRPr="005E4BEA" w:rsidRDefault="00FE461F" w:rsidP="00FE461F">
            <w:pPr>
              <w:spacing w:line="240" w:lineRule="auto"/>
              <w:jc w:val="right"/>
              <w:rPr>
                <w:rFonts w:cs="Arial"/>
                <w:b/>
                <w:bCs/>
                <w:color w:val="767171"/>
                <w:szCs w:val="20"/>
                <w:lang w:eastAsia="sl-SI"/>
              </w:rPr>
            </w:pPr>
            <w:r w:rsidRPr="005E4BEA">
              <w:rPr>
                <w:rFonts w:cs="Arial"/>
                <w:b/>
                <w:bCs/>
                <w:color w:val="767171"/>
                <w:szCs w:val="20"/>
                <w:lang w:eastAsia="sl-SI"/>
              </w:rPr>
              <w:t>138.800,00</w:t>
            </w:r>
          </w:p>
        </w:tc>
      </w:tr>
      <w:tr w:rsidR="00FE461F" w:rsidRPr="005E4BEA" w14:paraId="77443D0C" w14:textId="77777777" w:rsidTr="0016774B">
        <w:trPr>
          <w:trHeight w:val="288"/>
        </w:trPr>
        <w:tc>
          <w:tcPr>
            <w:tcW w:w="1020" w:type="pct"/>
            <w:tcBorders>
              <w:top w:val="nil"/>
              <w:left w:val="nil"/>
              <w:bottom w:val="nil"/>
              <w:right w:val="nil"/>
            </w:tcBorders>
            <w:shd w:val="clear" w:color="auto" w:fill="auto"/>
            <w:noWrap/>
            <w:vAlign w:val="bottom"/>
            <w:hideMark/>
          </w:tcPr>
          <w:p w14:paraId="19D4FDA1" w14:textId="77777777" w:rsidR="00FE461F" w:rsidRPr="005E4BEA" w:rsidRDefault="00FE461F" w:rsidP="00FE461F">
            <w:pPr>
              <w:spacing w:line="240" w:lineRule="auto"/>
              <w:rPr>
                <w:rFonts w:cs="Arial"/>
                <w:b/>
                <w:bCs/>
                <w:color w:val="767171"/>
                <w:szCs w:val="20"/>
                <w:lang w:eastAsia="sl-SI"/>
              </w:rPr>
            </w:pPr>
            <w:r w:rsidRPr="005E4BEA">
              <w:rPr>
                <w:rFonts w:cs="Arial"/>
                <w:b/>
                <w:bCs/>
                <w:color w:val="767171"/>
                <w:szCs w:val="20"/>
                <w:lang w:eastAsia="sl-SI"/>
              </w:rPr>
              <w:t>PUZ</w:t>
            </w:r>
          </w:p>
        </w:tc>
        <w:tc>
          <w:tcPr>
            <w:tcW w:w="612" w:type="pct"/>
            <w:tcBorders>
              <w:top w:val="nil"/>
              <w:left w:val="nil"/>
              <w:bottom w:val="nil"/>
              <w:right w:val="nil"/>
            </w:tcBorders>
            <w:shd w:val="clear" w:color="auto" w:fill="auto"/>
            <w:noWrap/>
            <w:vAlign w:val="bottom"/>
            <w:hideMark/>
          </w:tcPr>
          <w:p w14:paraId="1B12C50F"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1;0</w:t>
            </w:r>
          </w:p>
        </w:tc>
        <w:tc>
          <w:tcPr>
            <w:tcW w:w="612" w:type="pct"/>
            <w:tcBorders>
              <w:top w:val="nil"/>
              <w:left w:val="nil"/>
              <w:bottom w:val="nil"/>
              <w:right w:val="nil"/>
            </w:tcBorders>
            <w:shd w:val="clear" w:color="auto" w:fill="auto"/>
            <w:noWrap/>
            <w:vAlign w:val="bottom"/>
            <w:hideMark/>
          </w:tcPr>
          <w:p w14:paraId="3A1E9370"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45</w:t>
            </w:r>
          </w:p>
        </w:tc>
        <w:tc>
          <w:tcPr>
            <w:tcW w:w="612" w:type="pct"/>
            <w:tcBorders>
              <w:top w:val="nil"/>
              <w:left w:val="nil"/>
              <w:bottom w:val="nil"/>
              <w:right w:val="nil"/>
            </w:tcBorders>
            <w:shd w:val="clear" w:color="auto" w:fill="auto"/>
            <w:noWrap/>
            <w:vAlign w:val="bottom"/>
            <w:hideMark/>
          </w:tcPr>
          <w:p w14:paraId="420AF200"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9</w:t>
            </w:r>
          </w:p>
        </w:tc>
        <w:tc>
          <w:tcPr>
            <w:tcW w:w="625" w:type="pct"/>
            <w:tcBorders>
              <w:top w:val="nil"/>
              <w:left w:val="nil"/>
              <w:bottom w:val="nil"/>
              <w:right w:val="nil"/>
            </w:tcBorders>
            <w:shd w:val="clear" w:color="auto" w:fill="auto"/>
            <w:noWrap/>
            <w:vAlign w:val="bottom"/>
            <w:hideMark/>
          </w:tcPr>
          <w:p w14:paraId="38F2BA53"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31,23</w:t>
            </w:r>
          </w:p>
        </w:tc>
        <w:tc>
          <w:tcPr>
            <w:tcW w:w="689" w:type="pct"/>
            <w:tcBorders>
              <w:top w:val="nil"/>
              <w:left w:val="nil"/>
              <w:bottom w:val="nil"/>
              <w:right w:val="nil"/>
            </w:tcBorders>
            <w:shd w:val="clear" w:color="auto" w:fill="auto"/>
            <w:noWrap/>
            <w:vAlign w:val="bottom"/>
            <w:hideMark/>
          </w:tcPr>
          <w:p w14:paraId="52E2D133"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5.000</w:t>
            </w:r>
          </w:p>
        </w:tc>
        <w:tc>
          <w:tcPr>
            <w:tcW w:w="829" w:type="pct"/>
            <w:tcBorders>
              <w:top w:val="nil"/>
              <w:left w:val="nil"/>
              <w:bottom w:val="nil"/>
              <w:right w:val="nil"/>
            </w:tcBorders>
            <w:shd w:val="clear" w:color="auto" w:fill="auto"/>
            <w:noWrap/>
            <w:vAlign w:val="bottom"/>
            <w:hideMark/>
          </w:tcPr>
          <w:p w14:paraId="62808391" w14:textId="77777777" w:rsidR="00FE461F" w:rsidRPr="005E4BEA" w:rsidRDefault="00FE461F" w:rsidP="00FE461F">
            <w:pPr>
              <w:spacing w:line="240" w:lineRule="auto"/>
              <w:jc w:val="right"/>
              <w:rPr>
                <w:rFonts w:cs="Arial"/>
                <w:b/>
                <w:bCs/>
                <w:color w:val="767171"/>
                <w:szCs w:val="20"/>
                <w:lang w:eastAsia="sl-SI"/>
              </w:rPr>
            </w:pPr>
            <w:r w:rsidRPr="005E4BEA">
              <w:rPr>
                <w:rFonts w:cs="Arial"/>
                <w:b/>
                <w:bCs/>
                <w:color w:val="767171"/>
                <w:szCs w:val="20"/>
                <w:lang w:eastAsia="sl-SI"/>
              </w:rPr>
              <w:t>156.150,00</w:t>
            </w:r>
          </w:p>
        </w:tc>
      </w:tr>
      <w:tr w:rsidR="00FE461F" w:rsidRPr="005E4BEA" w14:paraId="59BBDF56" w14:textId="77777777" w:rsidTr="0016774B">
        <w:trPr>
          <w:trHeight w:val="288"/>
        </w:trPr>
        <w:tc>
          <w:tcPr>
            <w:tcW w:w="1020" w:type="pct"/>
            <w:tcBorders>
              <w:top w:val="nil"/>
              <w:left w:val="nil"/>
              <w:bottom w:val="nil"/>
              <w:right w:val="nil"/>
            </w:tcBorders>
            <w:shd w:val="clear" w:color="auto" w:fill="auto"/>
            <w:noWrap/>
            <w:vAlign w:val="bottom"/>
            <w:hideMark/>
          </w:tcPr>
          <w:p w14:paraId="0FE6DA5E" w14:textId="77777777" w:rsidR="00FE461F" w:rsidRPr="005E4BEA" w:rsidRDefault="00FE461F" w:rsidP="00FE461F">
            <w:pPr>
              <w:spacing w:line="240" w:lineRule="auto"/>
              <w:jc w:val="right"/>
              <w:rPr>
                <w:rFonts w:cs="Arial"/>
                <w:b/>
                <w:bCs/>
                <w:color w:val="767171"/>
                <w:szCs w:val="20"/>
                <w:lang w:eastAsia="sl-SI"/>
              </w:rPr>
            </w:pPr>
            <w:r w:rsidRPr="005E4BEA">
              <w:rPr>
                <w:rFonts w:cs="Arial"/>
                <w:b/>
                <w:bCs/>
                <w:color w:val="767171"/>
                <w:szCs w:val="20"/>
                <w:lang w:eastAsia="sl-SI"/>
              </w:rPr>
              <w:lastRenderedPageBreak/>
              <w:t>SKUPAJ</w:t>
            </w:r>
          </w:p>
        </w:tc>
        <w:tc>
          <w:tcPr>
            <w:tcW w:w="612" w:type="pct"/>
            <w:tcBorders>
              <w:top w:val="nil"/>
              <w:left w:val="nil"/>
              <w:bottom w:val="nil"/>
              <w:right w:val="nil"/>
            </w:tcBorders>
            <w:shd w:val="clear" w:color="auto" w:fill="auto"/>
            <w:noWrap/>
            <w:vAlign w:val="bottom"/>
            <w:hideMark/>
          </w:tcPr>
          <w:p w14:paraId="2653F5EE" w14:textId="77777777" w:rsidR="00FE461F" w:rsidRPr="005E4BEA" w:rsidRDefault="00FE461F" w:rsidP="00FE461F">
            <w:pPr>
              <w:spacing w:line="240" w:lineRule="auto"/>
              <w:jc w:val="right"/>
              <w:rPr>
                <w:rFonts w:cs="Arial"/>
                <w:b/>
                <w:bCs/>
                <w:color w:val="767171"/>
                <w:szCs w:val="20"/>
                <w:lang w:eastAsia="sl-SI"/>
              </w:rPr>
            </w:pPr>
          </w:p>
        </w:tc>
        <w:tc>
          <w:tcPr>
            <w:tcW w:w="612" w:type="pct"/>
            <w:tcBorders>
              <w:top w:val="nil"/>
              <w:left w:val="nil"/>
              <w:bottom w:val="nil"/>
              <w:right w:val="nil"/>
            </w:tcBorders>
            <w:shd w:val="clear" w:color="auto" w:fill="auto"/>
            <w:noWrap/>
            <w:vAlign w:val="bottom"/>
            <w:hideMark/>
          </w:tcPr>
          <w:p w14:paraId="7E0E849F" w14:textId="77777777" w:rsidR="00FE461F" w:rsidRPr="005E4BEA" w:rsidRDefault="00FE461F" w:rsidP="00FE461F">
            <w:pPr>
              <w:spacing w:line="240" w:lineRule="auto"/>
              <w:rPr>
                <w:rFonts w:cs="Arial"/>
                <w:color w:val="767171"/>
                <w:szCs w:val="20"/>
                <w:lang w:eastAsia="sl-SI"/>
              </w:rPr>
            </w:pPr>
          </w:p>
        </w:tc>
        <w:tc>
          <w:tcPr>
            <w:tcW w:w="612" w:type="pct"/>
            <w:tcBorders>
              <w:top w:val="nil"/>
              <w:left w:val="nil"/>
              <w:bottom w:val="nil"/>
              <w:right w:val="nil"/>
            </w:tcBorders>
            <w:shd w:val="clear" w:color="auto" w:fill="auto"/>
            <w:noWrap/>
            <w:vAlign w:val="bottom"/>
            <w:hideMark/>
          </w:tcPr>
          <w:p w14:paraId="0E02CDD0" w14:textId="77777777" w:rsidR="00FE461F" w:rsidRPr="005E4BEA" w:rsidRDefault="00FE461F" w:rsidP="00FE461F">
            <w:pPr>
              <w:spacing w:line="240" w:lineRule="auto"/>
              <w:rPr>
                <w:rFonts w:cs="Arial"/>
                <w:color w:val="767171"/>
                <w:szCs w:val="20"/>
                <w:lang w:eastAsia="sl-SI"/>
              </w:rPr>
            </w:pPr>
          </w:p>
        </w:tc>
        <w:tc>
          <w:tcPr>
            <w:tcW w:w="625" w:type="pct"/>
            <w:tcBorders>
              <w:top w:val="nil"/>
              <w:left w:val="nil"/>
              <w:bottom w:val="nil"/>
              <w:right w:val="nil"/>
            </w:tcBorders>
            <w:shd w:val="clear" w:color="auto" w:fill="auto"/>
            <w:noWrap/>
            <w:vAlign w:val="bottom"/>
            <w:hideMark/>
          </w:tcPr>
          <w:p w14:paraId="1C9E5664" w14:textId="77777777" w:rsidR="00FE461F" w:rsidRPr="005E4BEA" w:rsidRDefault="00FE461F" w:rsidP="00FE461F">
            <w:pPr>
              <w:spacing w:line="240" w:lineRule="auto"/>
              <w:rPr>
                <w:rFonts w:cs="Arial"/>
                <w:color w:val="767171"/>
                <w:szCs w:val="20"/>
                <w:lang w:eastAsia="sl-SI"/>
              </w:rPr>
            </w:pPr>
          </w:p>
        </w:tc>
        <w:tc>
          <w:tcPr>
            <w:tcW w:w="689" w:type="pct"/>
            <w:tcBorders>
              <w:top w:val="nil"/>
              <w:left w:val="nil"/>
              <w:bottom w:val="nil"/>
              <w:right w:val="nil"/>
            </w:tcBorders>
            <w:shd w:val="clear" w:color="auto" w:fill="auto"/>
            <w:noWrap/>
            <w:vAlign w:val="bottom"/>
            <w:hideMark/>
          </w:tcPr>
          <w:p w14:paraId="01650C27" w14:textId="77777777" w:rsidR="00FE461F" w:rsidRPr="005E4BEA" w:rsidRDefault="00FE461F" w:rsidP="00FE461F">
            <w:pPr>
              <w:spacing w:line="240" w:lineRule="auto"/>
              <w:jc w:val="right"/>
              <w:rPr>
                <w:rFonts w:cs="Arial"/>
                <w:color w:val="767171"/>
                <w:szCs w:val="20"/>
                <w:lang w:eastAsia="sl-SI"/>
              </w:rPr>
            </w:pPr>
            <w:r w:rsidRPr="005E4BEA">
              <w:rPr>
                <w:rFonts w:cs="Arial"/>
                <w:color w:val="767171"/>
                <w:szCs w:val="20"/>
                <w:lang w:eastAsia="sl-SI"/>
              </w:rPr>
              <w:t>25.000</w:t>
            </w:r>
          </w:p>
        </w:tc>
        <w:tc>
          <w:tcPr>
            <w:tcW w:w="829" w:type="pct"/>
            <w:tcBorders>
              <w:top w:val="nil"/>
              <w:left w:val="nil"/>
              <w:bottom w:val="nil"/>
              <w:right w:val="nil"/>
            </w:tcBorders>
            <w:shd w:val="clear" w:color="auto" w:fill="auto"/>
            <w:noWrap/>
            <w:vAlign w:val="bottom"/>
            <w:hideMark/>
          </w:tcPr>
          <w:p w14:paraId="1C8FF522" w14:textId="77777777" w:rsidR="00FE461F" w:rsidRPr="005E4BEA" w:rsidRDefault="00FE461F" w:rsidP="00FE461F">
            <w:pPr>
              <w:spacing w:line="240" w:lineRule="auto"/>
              <w:jc w:val="right"/>
              <w:rPr>
                <w:rFonts w:cs="Arial"/>
                <w:b/>
                <w:bCs/>
                <w:color w:val="767171"/>
                <w:szCs w:val="20"/>
                <w:lang w:eastAsia="sl-SI"/>
              </w:rPr>
            </w:pPr>
            <w:r w:rsidRPr="005E4BEA">
              <w:rPr>
                <w:rFonts w:cs="Arial"/>
                <w:b/>
                <w:bCs/>
                <w:color w:val="767171"/>
                <w:szCs w:val="20"/>
                <w:lang w:eastAsia="sl-SI"/>
              </w:rPr>
              <w:t>336.590,00</w:t>
            </w:r>
          </w:p>
        </w:tc>
      </w:tr>
      <w:bookmarkEnd w:id="96"/>
    </w:tbl>
    <w:p w14:paraId="1773BE40" w14:textId="77777777" w:rsidR="00FE461F" w:rsidRPr="005E4BEA" w:rsidRDefault="00FE461F" w:rsidP="00FE461F">
      <w:pPr>
        <w:spacing w:line="240" w:lineRule="auto"/>
        <w:jc w:val="both"/>
        <w:rPr>
          <w:rFonts w:cs="Arial"/>
          <w:szCs w:val="20"/>
          <w:lang w:eastAsia="sl-SI"/>
        </w:rPr>
      </w:pPr>
    </w:p>
    <w:p w14:paraId="4E564A82" w14:textId="77777777" w:rsidR="00FE461F" w:rsidRPr="005E4BEA" w:rsidRDefault="00FE461F" w:rsidP="00FE461F">
      <w:pPr>
        <w:spacing w:line="240" w:lineRule="auto"/>
        <w:jc w:val="both"/>
        <w:rPr>
          <w:rFonts w:cs="Arial"/>
          <w:szCs w:val="20"/>
          <w:lang w:eastAsia="sl-SI"/>
        </w:rPr>
      </w:pPr>
    </w:p>
    <w:p w14:paraId="5F752BF9" w14:textId="77777777" w:rsidR="00FE461F" w:rsidRPr="005E4BEA" w:rsidRDefault="00FE461F" w:rsidP="00FE461F">
      <w:pPr>
        <w:spacing w:line="240" w:lineRule="auto"/>
        <w:jc w:val="both"/>
        <w:rPr>
          <w:rFonts w:cs="Arial"/>
          <w:szCs w:val="20"/>
          <w:lang w:eastAsia="sl-SI"/>
        </w:rPr>
      </w:pPr>
    </w:p>
    <w:p w14:paraId="2D24EBFD"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finančne posledice predloga: 336.590,00 EUR</w:t>
      </w:r>
    </w:p>
    <w:p w14:paraId="7C7E1E66"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Trenutno število farmacevtov s kompetencami za izvajanje storitev: 311 za PUZ  </w:t>
      </w:r>
    </w:p>
    <w:p w14:paraId="0D6138ED"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iCs/>
          <w:color w:val="808080"/>
          <w:szCs w:val="20"/>
        </w:rPr>
        <w:t>Območje izvajanja storitev: vse OE ZZZS</w:t>
      </w:r>
    </w:p>
    <w:p w14:paraId="65D197F7" w14:textId="77777777" w:rsidR="00FE461F" w:rsidRPr="005E4BEA" w:rsidRDefault="00FE461F" w:rsidP="00FE461F">
      <w:pPr>
        <w:spacing w:line="240" w:lineRule="auto"/>
        <w:jc w:val="both"/>
        <w:rPr>
          <w:rFonts w:eastAsia="Calibri" w:cs="Arial"/>
          <w:i/>
          <w:iCs/>
          <w:color w:val="808080"/>
          <w:szCs w:val="20"/>
        </w:rPr>
      </w:pPr>
      <w:r w:rsidRPr="005E4BEA">
        <w:rPr>
          <w:rFonts w:eastAsia="Calibri" w:cs="Arial"/>
          <w:i/>
          <w:iCs/>
          <w:color w:val="808080"/>
          <w:szCs w:val="20"/>
        </w:rPr>
        <w:t>Začetek veljavnosti storitve PUZ in kontrolni PUZ: 1.1.2024</w:t>
      </w:r>
    </w:p>
    <w:p w14:paraId="34BFBD97" w14:textId="77777777" w:rsidR="00FE461F" w:rsidRPr="005E4BEA" w:rsidRDefault="00FE461F" w:rsidP="00FE461F">
      <w:pPr>
        <w:spacing w:line="240" w:lineRule="auto"/>
        <w:jc w:val="both"/>
        <w:rPr>
          <w:rFonts w:eastAsia="Calibri" w:cs="Arial"/>
          <w:i/>
          <w:iCs/>
          <w:color w:val="808080"/>
          <w:szCs w:val="20"/>
        </w:rPr>
      </w:pPr>
      <w:r w:rsidRPr="005E4BEA">
        <w:rPr>
          <w:rFonts w:eastAsia="Calibri" w:cs="Arial"/>
          <w:i/>
          <w:iCs/>
          <w:color w:val="808080"/>
          <w:szCs w:val="20"/>
        </w:rPr>
        <w:t>Začetek veljavnosti: 1.1.2023 za storitev brezšivne skrbi za sekundarno in terciarno raven in posodobitev OKZ na primarni ravni ter 1. 1. 2024 za celoten koncept BS na vseh treh nivojih zdravstvenega varstva.</w:t>
      </w:r>
    </w:p>
    <w:p w14:paraId="3AD9220C" w14:textId="77777777" w:rsidR="00FE461F" w:rsidRPr="005E4BEA" w:rsidRDefault="00FE461F" w:rsidP="00FE461F">
      <w:pPr>
        <w:spacing w:line="240" w:lineRule="auto"/>
        <w:jc w:val="both"/>
        <w:rPr>
          <w:rFonts w:eastAsia="Calibri" w:cs="Arial"/>
          <w:b/>
          <w:bCs/>
          <w:i/>
          <w:color w:val="808080"/>
          <w:szCs w:val="20"/>
        </w:rPr>
      </w:pPr>
    </w:p>
    <w:p w14:paraId="36FBF82F" w14:textId="77777777" w:rsidR="00FE461F" w:rsidRPr="005E4BEA" w:rsidRDefault="00FE461F" w:rsidP="00FE461F">
      <w:pPr>
        <w:spacing w:line="240" w:lineRule="auto"/>
        <w:jc w:val="both"/>
        <w:rPr>
          <w:rFonts w:eastAsia="Calibri" w:cs="Arial"/>
          <w:b/>
          <w:bCs/>
          <w:i/>
          <w:color w:val="808080"/>
          <w:szCs w:val="20"/>
        </w:rPr>
      </w:pPr>
    </w:p>
    <w:p w14:paraId="7B6CE409" w14:textId="77777777" w:rsidR="00FE461F" w:rsidRPr="005E4BEA" w:rsidRDefault="00FE461F" w:rsidP="00FE461F">
      <w:pPr>
        <w:spacing w:line="240" w:lineRule="auto"/>
        <w:jc w:val="both"/>
        <w:rPr>
          <w:rFonts w:eastAsia="Calibri" w:cs="Arial"/>
          <w:b/>
          <w:bCs/>
          <w:i/>
          <w:color w:val="808080"/>
          <w:szCs w:val="20"/>
        </w:rPr>
      </w:pPr>
    </w:p>
    <w:p w14:paraId="1B75199E"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SEKUNDARNA IN TERCIARNA RAVEN:</w:t>
      </w:r>
    </w:p>
    <w:p w14:paraId="76648F0C"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Brezšivna skrb na sekundarni in terciarni ravni zdravstvene dejavnosti izvaja ob sprejemu pacienta v bolnišnico, vključno z enodnevno in dnevno bolnišnično obravnavo, pri pacientih v specialistični ambulantni obravnavi in ob zaključeni bolnišnični obravnavi pacienta z namenom zagotavljanja usklajenega zdravljenja z zdravili in neprekinjene preskrbe pacienta z zdravili. </w:t>
      </w:r>
    </w:p>
    <w:p w14:paraId="0AD0B899" w14:textId="77777777" w:rsidR="00FE461F" w:rsidRPr="005E4BEA" w:rsidRDefault="00FE461F" w:rsidP="00FE461F">
      <w:pPr>
        <w:spacing w:line="240" w:lineRule="auto"/>
        <w:jc w:val="both"/>
        <w:rPr>
          <w:rFonts w:eastAsia="Calibri" w:cs="Arial"/>
          <w:b/>
          <w:bCs/>
          <w:i/>
          <w:color w:val="808080"/>
          <w:szCs w:val="20"/>
        </w:rPr>
      </w:pPr>
    </w:p>
    <w:p w14:paraId="0446752A"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Nosilci brezšivne skrbi na sekundarni in terciarni ravni:</w:t>
      </w:r>
    </w:p>
    <w:p w14:paraId="1E098CD9"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i/>
          <w:color w:val="808080"/>
          <w:szCs w:val="20"/>
        </w:rPr>
        <w:t>Nosilec storitve brezšivne skrbi v bolnišnici je bolnišnični farmacevt (glede na ZLD-1 in Pravilnik), zaželeno specialist ali specializant klinične farmacije.</w:t>
      </w:r>
    </w:p>
    <w:p w14:paraId="6F6D2A56" w14:textId="77777777" w:rsidR="00FE461F" w:rsidRPr="005E4BEA" w:rsidRDefault="00FE461F" w:rsidP="00FE461F">
      <w:pPr>
        <w:spacing w:line="240" w:lineRule="auto"/>
        <w:jc w:val="both"/>
        <w:rPr>
          <w:rFonts w:eastAsia="Calibri" w:cs="Arial"/>
          <w:b/>
          <w:bCs/>
          <w:i/>
          <w:color w:val="808080"/>
          <w:szCs w:val="20"/>
        </w:rPr>
      </w:pPr>
    </w:p>
    <w:p w14:paraId="49FE0659"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Prednostne skupine pacientov:</w:t>
      </w:r>
    </w:p>
    <w:p w14:paraId="31466DC2" w14:textId="77777777" w:rsidR="00FE461F" w:rsidRPr="005E4BEA" w:rsidRDefault="00FE461F" w:rsidP="00F356C9">
      <w:pPr>
        <w:numPr>
          <w:ilvl w:val="0"/>
          <w:numId w:val="63"/>
        </w:numPr>
        <w:spacing w:line="240" w:lineRule="auto"/>
        <w:jc w:val="both"/>
        <w:rPr>
          <w:rFonts w:eastAsia="Calibri" w:cs="Arial"/>
          <w:i/>
          <w:color w:val="808080"/>
          <w:szCs w:val="20"/>
        </w:rPr>
      </w:pPr>
      <w:r w:rsidRPr="005E4BEA">
        <w:rPr>
          <w:rFonts w:eastAsia="Calibri" w:cs="Arial"/>
          <w:i/>
          <w:color w:val="808080"/>
          <w:szCs w:val="20"/>
        </w:rPr>
        <w:t xml:space="preserve">pacienti z večjim številom zdravil (npr. več kot 5 zdravil), pacienti z določenim naborom zdravil (npr. zdravila z visokim tveganjem za neželene dogodke, protivirusnimi zdravili za HIV, HCV, </w:t>
      </w:r>
      <w:proofErr w:type="spellStart"/>
      <w:r w:rsidRPr="005E4BEA">
        <w:rPr>
          <w:rFonts w:eastAsia="Calibri" w:cs="Arial"/>
          <w:i/>
          <w:color w:val="808080"/>
          <w:szCs w:val="20"/>
        </w:rPr>
        <w:t>antituberkulotiki</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antikoagulanti</w:t>
      </w:r>
      <w:proofErr w:type="spellEnd"/>
      <w:r w:rsidRPr="005E4BEA">
        <w:rPr>
          <w:rFonts w:eastAsia="Calibri" w:cs="Arial"/>
          <w:i/>
          <w:color w:val="808080"/>
          <w:szCs w:val="20"/>
        </w:rPr>
        <w:t xml:space="preserve">, zdravili za sladkorno bolezen, analgetično terapijo vključno s </w:t>
      </w:r>
      <w:proofErr w:type="spellStart"/>
      <w:r w:rsidRPr="005E4BEA">
        <w:rPr>
          <w:rFonts w:eastAsia="Calibri" w:cs="Arial"/>
          <w:i/>
          <w:color w:val="808080"/>
          <w:szCs w:val="20"/>
        </w:rPr>
        <w:t>paliativo</w:t>
      </w:r>
      <w:proofErr w:type="spellEnd"/>
      <w:r w:rsidRPr="005E4BEA">
        <w:rPr>
          <w:rFonts w:eastAsia="Calibri" w:cs="Arial"/>
          <w:i/>
          <w:color w:val="808080"/>
          <w:szCs w:val="20"/>
        </w:rPr>
        <w:t xml:space="preserve">, obsežna </w:t>
      </w:r>
      <w:proofErr w:type="spellStart"/>
      <w:r w:rsidRPr="005E4BEA">
        <w:rPr>
          <w:rFonts w:eastAsia="Calibri" w:cs="Arial"/>
          <w:i/>
          <w:color w:val="808080"/>
          <w:szCs w:val="20"/>
        </w:rPr>
        <w:t>psihofarmakološka</w:t>
      </w:r>
      <w:proofErr w:type="spellEnd"/>
      <w:r w:rsidRPr="005E4BEA">
        <w:rPr>
          <w:rFonts w:eastAsia="Calibri" w:cs="Arial"/>
          <w:i/>
          <w:color w:val="808080"/>
          <w:szCs w:val="20"/>
        </w:rPr>
        <w:t xml:space="preserve"> terapija </w:t>
      </w:r>
      <w:proofErr w:type="spellStart"/>
      <w:r w:rsidRPr="005E4BEA">
        <w:rPr>
          <w:rFonts w:eastAsia="Calibri" w:cs="Arial"/>
          <w:i/>
          <w:color w:val="808080"/>
          <w:szCs w:val="20"/>
        </w:rPr>
        <w:t>itd</w:t>
      </w:r>
      <w:proofErr w:type="spellEnd"/>
      <w:r w:rsidRPr="005E4BEA">
        <w:rPr>
          <w:rFonts w:eastAsia="Calibri" w:cs="Arial"/>
          <w:i/>
          <w:color w:val="808080"/>
          <w:szCs w:val="20"/>
        </w:rPr>
        <w:t xml:space="preserve"> ...) VIR: ISMP (https://www.ismp.org/),</w:t>
      </w:r>
    </w:p>
    <w:p w14:paraId="75ED74C1" w14:textId="77777777" w:rsidR="00FE461F" w:rsidRPr="005E4BEA" w:rsidRDefault="00FE461F" w:rsidP="00F356C9">
      <w:pPr>
        <w:numPr>
          <w:ilvl w:val="0"/>
          <w:numId w:val="63"/>
        </w:numPr>
        <w:spacing w:line="240" w:lineRule="auto"/>
        <w:jc w:val="both"/>
        <w:rPr>
          <w:rFonts w:eastAsia="Calibri" w:cs="Arial"/>
          <w:i/>
          <w:color w:val="808080"/>
          <w:szCs w:val="20"/>
        </w:rPr>
      </w:pPr>
      <w:r w:rsidRPr="005E4BEA">
        <w:rPr>
          <w:rFonts w:eastAsia="Calibri" w:cs="Arial"/>
          <w:i/>
          <w:color w:val="808080"/>
          <w:szCs w:val="20"/>
        </w:rPr>
        <w:t>pacienti s pomembnimi spremembami v terapiji zdravil, vključno z na novo uvedenimi zdravili in prilagoditvami odmerkov,</w:t>
      </w:r>
    </w:p>
    <w:p w14:paraId="31A502AE" w14:textId="77777777" w:rsidR="00FE461F" w:rsidRPr="005E4BEA" w:rsidRDefault="00FE461F" w:rsidP="00F356C9">
      <w:pPr>
        <w:numPr>
          <w:ilvl w:val="0"/>
          <w:numId w:val="63"/>
        </w:numPr>
        <w:spacing w:line="240" w:lineRule="auto"/>
        <w:jc w:val="both"/>
        <w:rPr>
          <w:rFonts w:eastAsia="Calibri" w:cs="Arial"/>
          <w:i/>
          <w:color w:val="808080"/>
          <w:szCs w:val="20"/>
        </w:rPr>
      </w:pPr>
      <w:r w:rsidRPr="005E4BEA">
        <w:rPr>
          <w:rFonts w:eastAsia="Calibri" w:cs="Arial"/>
          <w:i/>
          <w:color w:val="808080"/>
          <w:szCs w:val="20"/>
        </w:rPr>
        <w:t>pacienti s slabšim sodelovanjem z zdravljenjem z zdravili in nizko zdravstveno pismenostjo (slabo razumevanje oziroma nepoznavanje terapije, slabše kognitivne sposobnosti, fizične omejitve pacienta – npr. težave s požiranjem, za pacienta skrbijo svojci/skrbniki).</w:t>
      </w:r>
    </w:p>
    <w:p w14:paraId="22649CB6" w14:textId="77777777" w:rsidR="00FE461F" w:rsidRPr="005E4BEA" w:rsidRDefault="00FE461F" w:rsidP="00FE461F">
      <w:pPr>
        <w:spacing w:line="240" w:lineRule="auto"/>
        <w:jc w:val="both"/>
        <w:rPr>
          <w:rFonts w:eastAsia="Calibri" w:cs="Arial"/>
          <w:i/>
          <w:color w:val="808080"/>
          <w:szCs w:val="20"/>
        </w:rPr>
      </w:pPr>
    </w:p>
    <w:p w14:paraId="08DCC13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 primeru omejenih možnosti izvajanja brezšivne skrbi, se bolnišnični farmacevt osredotoči na paciente, ki bodo imeli od storitve največje koristi. Te paciente prepozna bodisi po svoji strokovni presoji (npr. Po pregledu terapevtskih list, medicinske dokumentacije itd.) ali po predlogu drugega zdravstvenega delavca (npr. zdravnika, diplomirane medicinske sestre).</w:t>
      </w:r>
    </w:p>
    <w:p w14:paraId="17EE3A2C" w14:textId="77777777" w:rsidR="00FE461F" w:rsidRPr="005E4BEA" w:rsidRDefault="00FE461F" w:rsidP="00FE461F">
      <w:pPr>
        <w:spacing w:line="240" w:lineRule="auto"/>
        <w:jc w:val="both"/>
        <w:rPr>
          <w:rFonts w:eastAsia="Calibri" w:cs="Arial"/>
          <w:b/>
          <w:bCs/>
          <w:i/>
          <w:color w:val="808080"/>
          <w:szCs w:val="20"/>
        </w:rPr>
      </w:pPr>
    </w:p>
    <w:p w14:paraId="293A6AE0"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Dokumentacija:</w:t>
      </w:r>
    </w:p>
    <w:p w14:paraId="4122D264"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 sklopu BS v bolnišnicah bolnišnični farmacevt v skladu s Pravilnikom pripravi najmanj naslednje dokumente, katerih definicije in priprava so bolj natančno opisana v nadaljevanju SOP-ja:</w:t>
      </w:r>
    </w:p>
    <w:p w14:paraId="6FEE16F3" w14:textId="77777777" w:rsidR="00FE461F" w:rsidRPr="005E4BEA" w:rsidRDefault="00FE461F" w:rsidP="00F356C9">
      <w:pPr>
        <w:numPr>
          <w:ilvl w:val="0"/>
          <w:numId w:val="64"/>
        </w:numPr>
        <w:spacing w:line="240" w:lineRule="auto"/>
        <w:jc w:val="both"/>
        <w:rPr>
          <w:rFonts w:eastAsia="Calibri" w:cs="Arial"/>
          <w:i/>
          <w:color w:val="808080"/>
          <w:szCs w:val="20"/>
        </w:rPr>
      </w:pPr>
      <w:r w:rsidRPr="005E4BEA">
        <w:rPr>
          <w:rFonts w:eastAsia="Calibri" w:cs="Arial"/>
          <w:i/>
          <w:color w:val="808080"/>
          <w:szCs w:val="20"/>
        </w:rPr>
        <w:t>Najboljša možna zgodovina zdravljenja z zdravili (NMZZ)</w:t>
      </w:r>
    </w:p>
    <w:p w14:paraId="1BF35334" w14:textId="77777777" w:rsidR="00FE461F" w:rsidRPr="005E4BEA" w:rsidRDefault="00FE461F" w:rsidP="00F356C9">
      <w:pPr>
        <w:numPr>
          <w:ilvl w:val="0"/>
          <w:numId w:val="64"/>
        </w:numPr>
        <w:spacing w:line="240" w:lineRule="auto"/>
        <w:jc w:val="both"/>
        <w:rPr>
          <w:rFonts w:eastAsia="Calibri" w:cs="Arial"/>
          <w:i/>
          <w:color w:val="808080"/>
          <w:szCs w:val="20"/>
        </w:rPr>
      </w:pPr>
      <w:proofErr w:type="spellStart"/>
      <w:r w:rsidRPr="005E4BEA">
        <w:rPr>
          <w:rFonts w:eastAsia="Calibri" w:cs="Arial"/>
          <w:i/>
          <w:color w:val="808080"/>
          <w:szCs w:val="20"/>
        </w:rPr>
        <w:t>Farmakoterapijsko</w:t>
      </w:r>
      <w:proofErr w:type="spellEnd"/>
      <w:r w:rsidRPr="005E4BEA">
        <w:rPr>
          <w:rFonts w:eastAsia="Calibri" w:cs="Arial"/>
          <w:i/>
          <w:color w:val="808080"/>
          <w:szCs w:val="20"/>
        </w:rPr>
        <w:t xml:space="preserve"> poročilo v sklopu brezšivne skrbi (FP v sklopu BS)</w:t>
      </w:r>
    </w:p>
    <w:p w14:paraId="60CBAD28" w14:textId="77777777" w:rsidR="00FE461F" w:rsidRPr="005E4BEA" w:rsidRDefault="00FE461F" w:rsidP="00F356C9">
      <w:pPr>
        <w:numPr>
          <w:ilvl w:val="0"/>
          <w:numId w:val="64"/>
        </w:numPr>
        <w:spacing w:line="240" w:lineRule="auto"/>
        <w:jc w:val="both"/>
        <w:rPr>
          <w:rFonts w:eastAsia="Calibri" w:cs="Arial"/>
          <w:i/>
          <w:color w:val="808080"/>
          <w:szCs w:val="20"/>
        </w:rPr>
      </w:pPr>
      <w:r w:rsidRPr="005E4BEA">
        <w:rPr>
          <w:rFonts w:eastAsia="Calibri" w:cs="Arial"/>
          <w:i/>
          <w:color w:val="808080"/>
          <w:szCs w:val="20"/>
        </w:rPr>
        <w:t>Osebna kartica zdravil (OKZ)</w:t>
      </w:r>
    </w:p>
    <w:p w14:paraId="00BECB60" w14:textId="77777777" w:rsidR="00FE461F" w:rsidRPr="005E4BEA" w:rsidRDefault="00FE461F" w:rsidP="00FE461F">
      <w:pPr>
        <w:spacing w:line="240" w:lineRule="auto"/>
        <w:jc w:val="both"/>
        <w:rPr>
          <w:rFonts w:eastAsia="Calibri" w:cs="Arial"/>
          <w:b/>
          <w:bCs/>
          <w:i/>
          <w:color w:val="808080"/>
          <w:szCs w:val="20"/>
        </w:rPr>
      </w:pPr>
    </w:p>
    <w:p w14:paraId="328CCE4F"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Storitve in ostale aktivnosti v sklopu BS na sekundarni in terciarni ravni:</w:t>
      </w:r>
    </w:p>
    <w:p w14:paraId="5ED37B86"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Brezšivna skrb v bolnišnicah je sestavljena iz naslednjih storitev:</w:t>
      </w:r>
    </w:p>
    <w:p w14:paraId="7236AC50" w14:textId="77777777" w:rsidR="00FE461F" w:rsidRPr="005E4BEA" w:rsidRDefault="00FE461F" w:rsidP="00F356C9">
      <w:pPr>
        <w:numPr>
          <w:ilvl w:val="0"/>
          <w:numId w:val="65"/>
        </w:numPr>
        <w:spacing w:line="240" w:lineRule="auto"/>
        <w:jc w:val="both"/>
        <w:rPr>
          <w:rFonts w:eastAsia="Calibri" w:cs="Arial"/>
          <w:i/>
          <w:color w:val="808080"/>
          <w:szCs w:val="20"/>
        </w:rPr>
      </w:pPr>
      <w:r w:rsidRPr="005E4BEA">
        <w:rPr>
          <w:rFonts w:eastAsia="Calibri" w:cs="Arial"/>
          <w:i/>
          <w:color w:val="808080"/>
          <w:szCs w:val="20"/>
        </w:rPr>
        <w:t>pridobivanja najboljše možne zgodovine zdravljenja z zdravili (NMZZZ),</w:t>
      </w:r>
    </w:p>
    <w:p w14:paraId="367D7F7C" w14:textId="77777777" w:rsidR="00FE461F" w:rsidRPr="005E4BEA" w:rsidRDefault="00FE461F" w:rsidP="00F356C9">
      <w:pPr>
        <w:numPr>
          <w:ilvl w:val="0"/>
          <w:numId w:val="65"/>
        </w:numPr>
        <w:spacing w:line="240" w:lineRule="auto"/>
        <w:jc w:val="both"/>
        <w:rPr>
          <w:rFonts w:eastAsia="Calibri" w:cs="Arial"/>
          <w:i/>
          <w:color w:val="808080"/>
          <w:szCs w:val="20"/>
        </w:rPr>
      </w:pPr>
      <w:r w:rsidRPr="005E4BEA">
        <w:rPr>
          <w:rFonts w:eastAsia="Calibri" w:cs="Arial"/>
          <w:i/>
          <w:color w:val="808080"/>
          <w:szCs w:val="20"/>
        </w:rPr>
        <w:t>usklajevanja zdravljenja z zdravili ob sprejemu v bolnišnico (UZZ ob sprejemu),</w:t>
      </w:r>
    </w:p>
    <w:p w14:paraId="07908CCB" w14:textId="77777777" w:rsidR="00FE461F" w:rsidRPr="005E4BEA" w:rsidRDefault="00FE461F" w:rsidP="00F356C9">
      <w:pPr>
        <w:numPr>
          <w:ilvl w:val="0"/>
          <w:numId w:val="65"/>
        </w:numPr>
        <w:spacing w:line="240" w:lineRule="auto"/>
        <w:jc w:val="both"/>
        <w:rPr>
          <w:rFonts w:eastAsia="Calibri" w:cs="Arial"/>
          <w:i/>
          <w:color w:val="808080"/>
          <w:szCs w:val="20"/>
        </w:rPr>
      </w:pPr>
      <w:r w:rsidRPr="005E4BEA">
        <w:rPr>
          <w:rFonts w:eastAsia="Calibri" w:cs="Arial"/>
          <w:i/>
          <w:color w:val="808080"/>
          <w:szCs w:val="20"/>
        </w:rPr>
        <w:t>usklajevanja zdravljenja z zdravili ob odpustu iz bolnišnice (UZZ ob odpustu),</w:t>
      </w:r>
    </w:p>
    <w:p w14:paraId="4F760BEE" w14:textId="77777777" w:rsidR="00FE461F" w:rsidRPr="005E4BEA" w:rsidRDefault="00FE461F" w:rsidP="00F356C9">
      <w:pPr>
        <w:numPr>
          <w:ilvl w:val="0"/>
          <w:numId w:val="65"/>
        </w:numPr>
        <w:spacing w:line="240" w:lineRule="auto"/>
        <w:jc w:val="both"/>
        <w:rPr>
          <w:rFonts w:eastAsia="Calibri" w:cs="Arial"/>
          <w:i/>
          <w:color w:val="808080"/>
          <w:szCs w:val="20"/>
        </w:rPr>
      </w:pPr>
      <w:r w:rsidRPr="005E4BEA">
        <w:rPr>
          <w:rFonts w:eastAsia="Calibri" w:cs="Arial"/>
          <w:i/>
          <w:color w:val="808080"/>
          <w:szCs w:val="20"/>
        </w:rPr>
        <w:t>priprave navodil za zdravljenje z zdravili po odpustu oziroma osebne kartice zdravil (OKZ) ter</w:t>
      </w:r>
    </w:p>
    <w:p w14:paraId="7EB48E89" w14:textId="77777777" w:rsidR="00FE461F" w:rsidRPr="005E4BEA" w:rsidRDefault="00FE461F" w:rsidP="00F356C9">
      <w:pPr>
        <w:numPr>
          <w:ilvl w:val="0"/>
          <w:numId w:val="65"/>
        </w:numPr>
        <w:spacing w:line="240" w:lineRule="auto"/>
        <w:jc w:val="both"/>
        <w:rPr>
          <w:rFonts w:eastAsia="Calibri" w:cs="Arial"/>
          <w:i/>
          <w:color w:val="808080"/>
          <w:szCs w:val="20"/>
        </w:rPr>
      </w:pPr>
      <w:r w:rsidRPr="005E4BEA">
        <w:rPr>
          <w:rFonts w:eastAsia="Calibri" w:cs="Arial"/>
          <w:i/>
          <w:color w:val="808080"/>
          <w:szCs w:val="20"/>
        </w:rPr>
        <w:t>izdaje novo uvedenih zdravil v sklopu brezšivne skrbi s svetovanjem pacientu.</w:t>
      </w:r>
    </w:p>
    <w:p w14:paraId="6FCD1F3E" w14:textId="77777777" w:rsidR="00FE461F" w:rsidRPr="005E4BEA" w:rsidRDefault="00FE461F" w:rsidP="00FE461F">
      <w:pPr>
        <w:spacing w:line="240" w:lineRule="auto"/>
        <w:jc w:val="both"/>
        <w:rPr>
          <w:rFonts w:eastAsia="Calibri" w:cs="Arial"/>
          <w:b/>
          <w:bCs/>
          <w:i/>
          <w:color w:val="808080"/>
          <w:szCs w:val="20"/>
        </w:rPr>
      </w:pPr>
    </w:p>
    <w:p w14:paraId="2B3488EF" w14:textId="77777777" w:rsidR="00FE461F" w:rsidRPr="005E4BEA" w:rsidRDefault="00FE461F" w:rsidP="00FE461F">
      <w:pPr>
        <w:spacing w:line="240" w:lineRule="auto"/>
        <w:jc w:val="both"/>
        <w:rPr>
          <w:rFonts w:eastAsia="Calibri" w:cs="Arial"/>
          <w:b/>
          <w:bCs/>
          <w:i/>
          <w:color w:val="808080"/>
          <w:szCs w:val="20"/>
        </w:rPr>
      </w:pPr>
    </w:p>
    <w:p w14:paraId="1975F299"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Pridobitev NMZZZ</w:t>
      </w:r>
    </w:p>
    <w:p w14:paraId="5CE88CC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NMZZZ je seznam zdravil, ki zajema čim bolj natančne podatke o zdravilih, ko jih je pacient jemal pred sprejemom. NMZZZ je nujna za izvajanje storitve usklajevanja zdravljenja z zdravili tako ob sprejemu kot tudi ob odpustu. Bolnišnični farmacevt podatke za NMZZZ pridobi s preverjanjem različnih virov o pacientovem zdravljenju zdravili, vključno z zdravili brez recepta in drugimi izdelki v samozdravljenju. NMZZZ vključuje podatke o režimu odmerjanja, vključno s podatki o učinkovitosti (npr. urejenost krvnega tlaka), neželenih učinkih, preobčutljivostih na zdravila z zapisanimi klinični znaki, kot jih lahko zanesljivo poda pacient. Bolnišnični farmacevt NMZZZ pridobi čim prej po sprejemu, priporočeno v 24 v urah po sprejemu.</w:t>
      </w:r>
    </w:p>
    <w:p w14:paraId="606DAD25" w14:textId="77777777" w:rsidR="00FE461F" w:rsidRPr="005E4BEA" w:rsidRDefault="00FE461F" w:rsidP="00FE461F">
      <w:pPr>
        <w:spacing w:line="240" w:lineRule="auto"/>
        <w:jc w:val="both"/>
        <w:rPr>
          <w:rFonts w:eastAsia="Calibri" w:cs="Arial"/>
          <w:b/>
          <w:bCs/>
          <w:i/>
          <w:color w:val="808080"/>
          <w:szCs w:val="20"/>
        </w:rPr>
      </w:pPr>
    </w:p>
    <w:p w14:paraId="6A985222"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UZZ ob sprejemu</w:t>
      </w:r>
    </w:p>
    <w:p w14:paraId="7093DF8E"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Po izdelavi seznama zdravil v okviru NMZZZ bolnišnični farmacevt izvede storitev UZZ ob sprejemu tako, da primerja podatke o zdravljenju z zdravili pred sprejemom v bolnišnico (NMZZZ) in predpisano terapijo na terapevtskem listu v bolnišnici. Neskladja med NMZZZ in terapijo na terapevtskem listu, zabeleži v elektronskem dokumentu NMZZZ. Neskladja, ki jih oceni kot klinično pomembna za čas hospitalizacije, še ustno uskladi z </w:t>
      </w:r>
      <w:proofErr w:type="spellStart"/>
      <w:r w:rsidRPr="005E4BEA">
        <w:rPr>
          <w:rFonts w:eastAsia="Calibri" w:cs="Arial"/>
          <w:i/>
          <w:color w:val="808080"/>
          <w:szCs w:val="20"/>
        </w:rPr>
        <w:t>lečečim</w:t>
      </w:r>
      <w:proofErr w:type="spellEnd"/>
      <w:r w:rsidRPr="005E4BEA">
        <w:rPr>
          <w:rFonts w:eastAsia="Calibri" w:cs="Arial"/>
          <w:i/>
          <w:color w:val="808080"/>
          <w:szCs w:val="20"/>
        </w:rPr>
        <w:t xml:space="preserve"> zdravnikom.</w:t>
      </w:r>
    </w:p>
    <w:p w14:paraId="73F4386E" w14:textId="77777777" w:rsidR="00FE461F" w:rsidRPr="005E4BEA" w:rsidRDefault="00FE461F" w:rsidP="00FE461F">
      <w:pPr>
        <w:spacing w:line="240" w:lineRule="auto"/>
        <w:jc w:val="both"/>
        <w:rPr>
          <w:rFonts w:eastAsia="Calibri" w:cs="Arial"/>
          <w:i/>
          <w:color w:val="808080"/>
          <w:szCs w:val="20"/>
        </w:rPr>
      </w:pPr>
    </w:p>
    <w:p w14:paraId="7B25B8E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 kolikor bolnišnični farmacevt v sklopu usklajevanja zdravljenja z zdravili prepozna težave in ukrepe, ki niso vezani na brezšivno skrb, to zapiše v ločenem dokumentu (</w:t>
      </w:r>
      <w:proofErr w:type="spellStart"/>
      <w:r w:rsidRPr="005E4BEA">
        <w:rPr>
          <w:rFonts w:eastAsia="Calibri" w:cs="Arial"/>
          <w:i/>
          <w:color w:val="808080"/>
          <w:szCs w:val="20"/>
        </w:rPr>
        <w:t>Farmakoterapijski</w:t>
      </w:r>
      <w:proofErr w:type="spellEnd"/>
      <w:r w:rsidRPr="005E4BEA">
        <w:rPr>
          <w:rFonts w:eastAsia="Calibri" w:cs="Arial"/>
          <w:i/>
          <w:color w:val="808080"/>
          <w:szCs w:val="20"/>
        </w:rPr>
        <w:t xml:space="preserve"> pregled).</w:t>
      </w:r>
    </w:p>
    <w:p w14:paraId="7132D014" w14:textId="77777777" w:rsidR="00FE461F" w:rsidRPr="005E4BEA" w:rsidRDefault="00FE461F" w:rsidP="00FE461F">
      <w:pPr>
        <w:spacing w:line="240" w:lineRule="auto"/>
        <w:jc w:val="both"/>
        <w:rPr>
          <w:rFonts w:eastAsia="Calibri" w:cs="Arial"/>
          <w:i/>
          <w:color w:val="808080"/>
          <w:szCs w:val="20"/>
        </w:rPr>
      </w:pPr>
    </w:p>
    <w:p w14:paraId="45657398"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UZZ ob odpustu</w:t>
      </w:r>
    </w:p>
    <w:p w14:paraId="6010707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UZZ ob odpustu zajema primerjavo pacientove terapije pred sprejemom v bolnišnico (NMZZ) s terapijo na dan odpusta in usklajevanje neskladij z odpustnim zdravnikom. UZZ ob odpustu bolnišnični farmacevt izvede ob predvidenem odpustu pacienta iz bolnišnice. Sistem sprotnega obveščanja, kateri pacienti iz prednostnih skupin so na določeni dan predvideni za odpust, je lahko različen med bolnišnicami. Ena od možnosti je, da bolnišničnega farmacevta obvestijo ali da sam zjutraj preveri pri administratorki, diplomirani medicinski sestri (DMS) ali pri zdravnikih, kateri pacienti so planirani za odpust ali sam preveri v elektronskih kartotekah pacientov. Elektronsko obveščanje oziroma zajem pacientov pripomore k boljši učinkovitosti procesa, ni pa nujno za začetek izvajanja.</w:t>
      </w:r>
    </w:p>
    <w:p w14:paraId="71B6CAA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V sklopu UZZ ob odpustu bolnišnični farmacevt v </w:t>
      </w:r>
      <w:proofErr w:type="spellStart"/>
      <w:r w:rsidRPr="005E4BEA">
        <w:rPr>
          <w:rFonts w:eastAsia="Calibri" w:cs="Arial"/>
          <w:i/>
          <w:color w:val="808080"/>
          <w:szCs w:val="20"/>
        </w:rPr>
        <w:t>Farmakoterapijsko</w:t>
      </w:r>
      <w:proofErr w:type="spellEnd"/>
      <w:r w:rsidRPr="005E4BEA">
        <w:rPr>
          <w:rFonts w:eastAsia="Calibri" w:cs="Arial"/>
          <w:i/>
          <w:color w:val="808080"/>
          <w:szCs w:val="20"/>
        </w:rPr>
        <w:t xml:space="preserve"> poročilo v sklopu brezšivne skrbi (FP v sklopu BS) natančno zabeleži navodila za zdravljenje z zdravili po odpustu (vključno s pripravki v samozdravljenju), s posebnim poudarkom na vseh spremembah v terapiji in razlogih zanje. Na osnovi FP v sklopu BS bolnišnični farmacevt pripravi tudi dokument z navodili za zdravljenje z zdravili po odpustu, ki je namenjen pacientu – osebno kartico zdravil (OKZ). Vsa zaključena dokumentacija (FP v sklopu BS, OKZ) se prenese v medicinski informacijski sistem v bolnišnici in tudi v povezovalni informacijski sistem, kjer je dostopna tudi drugim zdravstvenim delavcem v drugih zdravstvenih</w:t>
      </w:r>
      <w:r w:rsidRPr="005E4BEA">
        <w:rPr>
          <w:rFonts w:eastAsia="Calibri" w:cs="Arial"/>
          <w:i/>
          <w:color w:val="808080"/>
          <w:szCs w:val="20"/>
        </w:rPr>
        <w:br/>
        <w:t>ustanovah v različnih nivojih zdravstvenega sistema, skladno s pravicami za dostopa.</w:t>
      </w:r>
    </w:p>
    <w:p w14:paraId="0C88A769" w14:textId="77777777" w:rsidR="00FE461F" w:rsidRPr="005E4BEA" w:rsidRDefault="00FE461F" w:rsidP="00FE461F">
      <w:pPr>
        <w:spacing w:line="240" w:lineRule="auto"/>
        <w:jc w:val="both"/>
        <w:rPr>
          <w:rFonts w:eastAsia="Calibri" w:cs="Arial"/>
          <w:i/>
          <w:color w:val="808080"/>
          <w:szCs w:val="20"/>
        </w:rPr>
      </w:pPr>
    </w:p>
    <w:p w14:paraId="718B12AD"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Osebna kartica zdravil (OKZ)</w:t>
      </w:r>
    </w:p>
    <w:p w14:paraId="7F58652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Po zaključku oziroma avtorizaciji odpustnega pisma s strani </w:t>
      </w:r>
      <w:proofErr w:type="spellStart"/>
      <w:r w:rsidRPr="005E4BEA">
        <w:rPr>
          <w:rFonts w:eastAsia="Calibri" w:cs="Arial"/>
          <w:i/>
          <w:color w:val="808080"/>
          <w:szCs w:val="20"/>
        </w:rPr>
        <w:t>lečečega</w:t>
      </w:r>
      <w:proofErr w:type="spellEnd"/>
      <w:r w:rsidRPr="005E4BEA">
        <w:rPr>
          <w:rFonts w:eastAsia="Calibri" w:cs="Arial"/>
          <w:i/>
          <w:color w:val="808080"/>
          <w:szCs w:val="20"/>
        </w:rPr>
        <w:t xml:space="preserve"> zdravnika, bolnišnični farmacevt natančno po navodilih iz odpustnega pisma pripravi OKZ, ki jo pripravi v elektronski in tiskani verziji.</w:t>
      </w:r>
    </w:p>
    <w:p w14:paraId="7D2CFE4D" w14:textId="77777777" w:rsidR="00FE461F" w:rsidRPr="005E4BEA" w:rsidRDefault="00FE461F" w:rsidP="00FE461F">
      <w:pPr>
        <w:spacing w:line="240" w:lineRule="auto"/>
        <w:jc w:val="both"/>
        <w:rPr>
          <w:rFonts w:eastAsia="Calibri" w:cs="Arial"/>
          <w:b/>
          <w:bCs/>
          <w:i/>
          <w:color w:val="808080"/>
          <w:szCs w:val="20"/>
        </w:rPr>
      </w:pPr>
    </w:p>
    <w:p w14:paraId="4224C34A" w14:textId="77777777" w:rsidR="00FE461F" w:rsidRPr="005E4BEA" w:rsidRDefault="00FE461F" w:rsidP="00FE461F">
      <w:pPr>
        <w:spacing w:line="240" w:lineRule="auto"/>
        <w:jc w:val="both"/>
        <w:rPr>
          <w:rFonts w:eastAsia="Calibri" w:cs="Arial"/>
          <w:b/>
          <w:bCs/>
          <w:i/>
          <w:color w:val="808080"/>
          <w:szCs w:val="20"/>
        </w:rPr>
      </w:pPr>
      <w:r w:rsidRPr="005E4BEA">
        <w:rPr>
          <w:rFonts w:eastAsia="Calibri" w:cs="Arial"/>
          <w:b/>
          <w:bCs/>
          <w:i/>
          <w:color w:val="808080"/>
          <w:szCs w:val="20"/>
        </w:rPr>
        <w:t>Izdaja novo uvedenih zdravil v sklopu brezšivne skrbi s svetovanjem pacientu</w:t>
      </w:r>
    </w:p>
    <w:p w14:paraId="1764B657" w14:textId="77777777" w:rsidR="00FE461F" w:rsidRPr="005E4BEA" w:rsidRDefault="00FE461F" w:rsidP="00F356C9">
      <w:pPr>
        <w:numPr>
          <w:ilvl w:val="0"/>
          <w:numId w:val="67"/>
        </w:numPr>
        <w:spacing w:line="240" w:lineRule="auto"/>
        <w:jc w:val="both"/>
        <w:rPr>
          <w:rFonts w:eastAsia="Calibri" w:cs="Arial"/>
          <w:i/>
          <w:color w:val="808080"/>
          <w:szCs w:val="20"/>
        </w:rPr>
      </w:pPr>
      <w:r w:rsidRPr="005E4BEA">
        <w:rPr>
          <w:rFonts w:eastAsia="Calibri" w:cs="Arial"/>
          <w:i/>
          <w:color w:val="808080"/>
          <w:szCs w:val="20"/>
        </w:rPr>
        <w:t>Bolnišnični farmacevt s pacientom pregleda OKZ in izpostavi vse bistvene spremembe v terapiji ter posebna navodila glede jemanja zdravil.</w:t>
      </w:r>
    </w:p>
    <w:p w14:paraId="0DB3F3E3"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t>V primeru, da pacient zaradi slabših fizičnih ali kognitivnih sposobnosti ni sposoben samostojnega jemanja zdravil, informacije preda svojcem ali skrbnikom;</w:t>
      </w:r>
    </w:p>
    <w:p w14:paraId="4B9FFB7E"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t>Izdaja zdravil v sklopu brezšivne skrbi se izvede na podlagi Dokumenta za izvajanje BS, v skladu s Pravilnikom;</w:t>
      </w:r>
    </w:p>
    <w:p w14:paraId="537FFB2C"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t>Bolnišnični farmacevt izda ustrezno količino zdravil, ki jih pacient potrebuje za varen prehod v domače okolje oziroma najmanjše možno pakiranje originalne embalaže zdravila;</w:t>
      </w:r>
    </w:p>
    <w:p w14:paraId="6FD39E20"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t xml:space="preserve">Kratkotrajno terapijo (npr. antibiotike, sistemske kortikosteroide, </w:t>
      </w:r>
      <w:proofErr w:type="spellStart"/>
      <w:r w:rsidRPr="005E4BEA">
        <w:rPr>
          <w:rFonts w:eastAsia="Calibri" w:cs="Arial"/>
          <w:i/>
          <w:color w:val="808080"/>
          <w:szCs w:val="20"/>
        </w:rPr>
        <w:t>nizkomolekularne</w:t>
      </w:r>
      <w:proofErr w:type="spellEnd"/>
      <w:r w:rsidRPr="005E4BEA">
        <w:rPr>
          <w:rFonts w:eastAsia="Calibri" w:cs="Arial"/>
          <w:i/>
          <w:color w:val="808080"/>
          <w:szCs w:val="20"/>
        </w:rPr>
        <w:t xml:space="preserve"> heparine) ob odpustu lahko izdamo v manjši količini, ki zadošča do zaključka zdravljenja;</w:t>
      </w:r>
    </w:p>
    <w:p w14:paraId="246614FB"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lastRenderedPageBreak/>
        <w:t xml:space="preserve">Izdana zdravila evidentiramo v medicinski informacijski elektronski sistem; </w:t>
      </w:r>
    </w:p>
    <w:p w14:paraId="7B3FB5A0"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t xml:space="preserve">Za zdravila, ki so bila ukinjena ob odpustu, po dogovoru z </w:t>
      </w:r>
      <w:proofErr w:type="spellStart"/>
      <w:r w:rsidRPr="005E4BEA">
        <w:rPr>
          <w:rFonts w:eastAsia="Calibri" w:cs="Arial"/>
          <w:i/>
          <w:color w:val="808080"/>
          <w:szCs w:val="20"/>
        </w:rPr>
        <w:t>lečečim</w:t>
      </w:r>
      <w:proofErr w:type="spellEnd"/>
      <w:r w:rsidRPr="005E4BEA">
        <w:rPr>
          <w:rFonts w:eastAsia="Calibri" w:cs="Arial"/>
          <w:i/>
          <w:color w:val="808080"/>
          <w:szCs w:val="20"/>
        </w:rPr>
        <w:t xml:space="preserve"> zdravnikom bolnišnični farmacevt samostojno prekliče obnovljive recepte, z navedbo razloga preklica;</w:t>
      </w:r>
    </w:p>
    <w:p w14:paraId="5627B029" w14:textId="77777777" w:rsidR="00FE461F" w:rsidRPr="005E4BEA" w:rsidRDefault="00FE461F" w:rsidP="00F356C9">
      <w:pPr>
        <w:numPr>
          <w:ilvl w:val="0"/>
          <w:numId w:val="66"/>
        </w:numPr>
        <w:spacing w:line="240" w:lineRule="auto"/>
        <w:jc w:val="both"/>
        <w:rPr>
          <w:rFonts w:eastAsia="Calibri" w:cs="Arial"/>
          <w:i/>
          <w:color w:val="808080"/>
          <w:szCs w:val="20"/>
        </w:rPr>
      </w:pPr>
      <w:r w:rsidRPr="005E4BEA">
        <w:rPr>
          <w:rFonts w:eastAsia="Calibri" w:cs="Arial"/>
          <w:i/>
          <w:color w:val="808080"/>
          <w:szCs w:val="20"/>
        </w:rPr>
        <w:t>Zabeleži izdajo medicinskih pripomočkov, ki jih pacient prejme ob odpustu iz bolnišnice.</w:t>
      </w:r>
    </w:p>
    <w:p w14:paraId="4B9E0A9B" w14:textId="77777777" w:rsidR="00FE461F" w:rsidRPr="005E4BEA" w:rsidRDefault="00FE461F" w:rsidP="00FE461F">
      <w:pPr>
        <w:spacing w:line="240" w:lineRule="auto"/>
        <w:jc w:val="both"/>
        <w:rPr>
          <w:rFonts w:eastAsia="Calibri" w:cs="Arial"/>
          <w:i/>
          <w:color w:val="808080"/>
          <w:szCs w:val="20"/>
        </w:rPr>
      </w:pPr>
    </w:p>
    <w:p w14:paraId="0909C3DD" w14:textId="77777777" w:rsidR="00FE461F" w:rsidRPr="005E4BEA" w:rsidRDefault="00FE461F" w:rsidP="00FE461F">
      <w:pPr>
        <w:spacing w:line="240" w:lineRule="auto"/>
        <w:jc w:val="both"/>
        <w:rPr>
          <w:rFonts w:eastAsia="Calibri" w:cs="Arial"/>
          <w:i/>
          <w:color w:val="808080"/>
          <w:szCs w:val="20"/>
        </w:rPr>
      </w:pPr>
    </w:p>
    <w:p w14:paraId="56ABA9C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Nova storitev BS v bolnišnični obravnavi vključuje:  triažo bolnika v skladu z nacionalnim dokumentom, ki določa kriterije za vključitev bolnika v BS, usklajevanje zdravil ob sprejemu bolnika (zgodovina zdravljenja z zdravili, pogovor z bolnikom / svojci), usklajevanje zdravil ob odpustu bolnika (usklajevanje z zdravnikom, priprava dokumenta o terapiji ob odpustu, svetovanje bolniku /svojcem o zdravljenju z zdravili), izdelava in vročitev OKZ - osebne kartice zdravil bolniku in prenos v CRPP.</w:t>
      </w:r>
    </w:p>
    <w:p w14:paraId="129E50B4" w14:textId="77777777" w:rsidR="00FE461F" w:rsidRPr="005E4BEA" w:rsidRDefault="00FE461F" w:rsidP="00FE461F">
      <w:pPr>
        <w:spacing w:line="240" w:lineRule="auto"/>
        <w:jc w:val="both"/>
        <w:rPr>
          <w:rFonts w:eastAsia="Calibri" w:cs="Arial"/>
          <w:i/>
          <w:color w:val="808080"/>
          <w:szCs w:val="20"/>
        </w:rPr>
      </w:pPr>
    </w:p>
    <w:p w14:paraId="5E8ACF7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Poleg te storitve bodo farmacevti v bolnišnicah bolniku ob odpustu vročali po eno pakiranje na novo uvedenih zdravil v najmanjšem pakiranju, ki jih bo predpisal zdravnik. Na ta način bo bolnik preskrbljen z novo uvedeno terapijo z zdravili do prvega obiska pri svojem izbranem zdravniku. S tem v skladu bo uvedena kontrola ZZZS nad izdajo zdravil na sekundarni ali terciarni ravni lekarniške dejavnosti.</w:t>
      </w:r>
    </w:p>
    <w:p w14:paraId="0E454240" w14:textId="77777777" w:rsidR="00FE461F" w:rsidRPr="005E4BEA" w:rsidRDefault="00FE461F" w:rsidP="00FE461F">
      <w:pPr>
        <w:spacing w:line="240" w:lineRule="auto"/>
        <w:jc w:val="both"/>
        <w:rPr>
          <w:rFonts w:eastAsia="Calibri" w:cs="Arial"/>
          <w:i/>
          <w:color w:val="808080"/>
          <w:szCs w:val="20"/>
        </w:rPr>
      </w:pPr>
    </w:p>
    <w:p w14:paraId="120B521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Za bolnike, vključene v BS, se na novo uvaja storitev posodobitev OKZ, ki omogoča nadaljnjo skrb za bolnika. Farmacevt v lekarni na primarnem nivoju bo ob izdaji novo uvedenega zdravila posodobil OKZ in jo skupaj z zdravili vročil bolniku. Posodobljen OKZ bo prenesel v CRPP. </w:t>
      </w:r>
    </w:p>
    <w:p w14:paraId="57580E39" w14:textId="77777777" w:rsidR="00FE461F" w:rsidRPr="005E4BEA" w:rsidRDefault="00FE461F" w:rsidP="00FE461F">
      <w:pPr>
        <w:spacing w:line="240" w:lineRule="auto"/>
        <w:jc w:val="both"/>
        <w:rPr>
          <w:rFonts w:eastAsia="Calibri" w:cs="Arial"/>
          <w:i/>
          <w:color w:val="808080"/>
          <w:szCs w:val="20"/>
        </w:rPr>
      </w:pPr>
    </w:p>
    <w:p w14:paraId="6826757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Ker je neprekinjen prenos informacij ključnega pomena za izvajanje BS in nadaljevanje zdravljenja bolnika na primarnem nivoju, se v bolnišnicah za preskrbo bolnika z zdravili uvaja preskrba, beleženje in obračun razvrščenih zdravil po sistemih e-recepta in on-line v že obstoječi strukturi, ki jo uporabljajo  lekarne na primarnem nivoju za izdajo zdravil. Obenem se kot obvezen dokument v CRPP- ju dodaja še OKZ, na podlagi katerega bo izvedeno plačilo. Na ta način se omogoča prenos informacij med nivoji do vseh deležnikov vključno z bolnikom.</w:t>
      </w:r>
    </w:p>
    <w:p w14:paraId="2674A754" w14:textId="77777777" w:rsidR="00FE461F" w:rsidRPr="005E4BEA" w:rsidRDefault="00FE461F" w:rsidP="00FE461F">
      <w:pPr>
        <w:spacing w:line="240" w:lineRule="auto"/>
        <w:jc w:val="both"/>
        <w:rPr>
          <w:rFonts w:eastAsia="Calibri" w:cs="Arial"/>
          <w:i/>
          <w:color w:val="808080"/>
          <w:szCs w:val="20"/>
        </w:rPr>
      </w:pPr>
    </w:p>
    <w:p w14:paraId="6444003B"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BS v bolnišnični dejavnosti se bo izvajala, bodisi v akutni obravnavi ali v </w:t>
      </w:r>
      <w:proofErr w:type="spellStart"/>
      <w:r w:rsidRPr="005E4BEA">
        <w:rPr>
          <w:rFonts w:eastAsia="Calibri" w:cs="Arial"/>
          <w:i/>
          <w:color w:val="808080"/>
          <w:szCs w:val="20"/>
        </w:rPr>
        <w:t>neakutni</w:t>
      </w:r>
      <w:proofErr w:type="spellEnd"/>
      <w:r w:rsidRPr="005E4BEA">
        <w:rPr>
          <w:rFonts w:eastAsia="Calibri" w:cs="Arial"/>
          <w:i/>
          <w:color w:val="808080"/>
          <w:szCs w:val="20"/>
        </w:rPr>
        <w:t xml:space="preserve"> obravnavi po zaključku akutne obravnave pri istem izvajalcu. Storitev se bo obračunavala kot dodatek k primeru SPP, primeru rehabilitacije URI Soča in k primeru bolnišnične psihiatrije E0051, E0055, E0750. Dodatek za opravljeno storitev bo možno obračunati za hospitalizacije, ki trajajo najmanj 48 ur ali za dolgotrajno dnevno obravnavo z najmanj tremi pod-obravnavami (obiski).</w:t>
      </w:r>
    </w:p>
    <w:p w14:paraId="1FC9B28C" w14:textId="77777777" w:rsidR="00FE461F" w:rsidRPr="005E4BEA" w:rsidRDefault="00FE461F" w:rsidP="00FE461F">
      <w:pPr>
        <w:spacing w:line="240" w:lineRule="auto"/>
        <w:jc w:val="both"/>
        <w:rPr>
          <w:rFonts w:eastAsia="Calibri" w:cs="Arial"/>
          <w:i/>
          <w:color w:val="808080"/>
          <w:szCs w:val="20"/>
        </w:rPr>
      </w:pPr>
    </w:p>
    <w:p w14:paraId="17D379E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Obseg števila storitev BS je ocenjen v višini 10 % pogodbenega obsega števila primerov za akutno bolnišnično obravnavo SPP, psihiatrični primer E0051, E0055, E0750 in primer rehabilitacije URI Soča.</w:t>
      </w:r>
    </w:p>
    <w:p w14:paraId="26F872FA" w14:textId="77777777" w:rsidR="00FE461F" w:rsidRPr="005E4BEA" w:rsidRDefault="00FE461F" w:rsidP="00FE461F">
      <w:pPr>
        <w:spacing w:line="240" w:lineRule="auto"/>
        <w:jc w:val="both"/>
        <w:rPr>
          <w:rFonts w:eastAsia="Calibri" w:cs="Arial"/>
          <w:i/>
          <w:color w:val="808080"/>
          <w:szCs w:val="20"/>
        </w:rPr>
      </w:pPr>
    </w:p>
    <w:p w14:paraId="245FB56B"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Storitev BS bo plačana po dejanski realizaciji. Cena na primer je izračunana pa podlagi vrednosti kadra iz kalkulacije tima farmacevta specialista  - E0618  (1 bolnišnični farmacevt specialist 100%, ATK 15,7%), materialnih stroškov v višini 1.000 EUR, 200 EUR amortizacije, informatizacije 1.290,09 EUR in ob predpostavki 1.320 primerov letno na tim (6 primerov dnevno za 1.430 ur letno oz. 220 dni). Po letu in pol od uvedbe bo izvedena analiza in morebitna korekcija časovnega normativa.</w:t>
      </w:r>
    </w:p>
    <w:p w14:paraId="06BF801F" w14:textId="77777777" w:rsidR="00FE461F" w:rsidRPr="005E4BEA" w:rsidRDefault="00FE461F" w:rsidP="00FE461F">
      <w:pPr>
        <w:spacing w:line="240" w:lineRule="auto"/>
        <w:jc w:val="both"/>
        <w:rPr>
          <w:rFonts w:eastAsia="Calibri" w:cs="Arial"/>
          <w:i/>
          <w:color w:val="808080"/>
          <w:szCs w:val="20"/>
        </w:rPr>
      </w:pPr>
    </w:p>
    <w:p w14:paraId="7BA2EC3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BS se v veliki meri prepleta s pojmom celostne obravnave bolnika oz. t. i. integrirane oskrbe (IO), ki zahteva učinkovito povezovanje zdravstvenih delavcev in s tem multidisciplinaren pristop ter ustrezno upravljanje zdravstvenega varstva, saj je </w:t>
      </w:r>
      <w:proofErr w:type="spellStart"/>
      <w:r w:rsidRPr="005E4BEA">
        <w:rPr>
          <w:rFonts w:eastAsia="Calibri" w:cs="Arial"/>
          <w:i/>
          <w:color w:val="808080"/>
          <w:szCs w:val="20"/>
        </w:rPr>
        <w:t>medikamentozna</w:t>
      </w:r>
      <w:proofErr w:type="spellEnd"/>
      <w:r w:rsidRPr="005E4BEA">
        <w:rPr>
          <w:rFonts w:eastAsia="Calibri" w:cs="Arial"/>
          <w:i/>
          <w:color w:val="808080"/>
          <w:szCs w:val="20"/>
        </w:rPr>
        <w:t xml:space="preserve"> terapija ena njenih esencialnih komponent, zato je v naslednji fazi potrebna uvedba storitve </w:t>
      </w:r>
      <w:proofErr w:type="spellStart"/>
      <w:r w:rsidRPr="005E4BEA">
        <w:rPr>
          <w:rFonts w:eastAsia="Calibri" w:cs="Arial"/>
          <w:i/>
          <w:color w:val="808080"/>
          <w:szCs w:val="20"/>
        </w:rPr>
        <w:t>farmakoterapijskega</w:t>
      </w:r>
      <w:proofErr w:type="spellEnd"/>
      <w:r w:rsidRPr="005E4BEA">
        <w:rPr>
          <w:rFonts w:eastAsia="Calibri" w:cs="Arial"/>
          <w:i/>
          <w:color w:val="808080"/>
          <w:szCs w:val="20"/>
        </w:rPr>
        <w:t xml:space="preserve"> pregleda (FTP) v bolnišnicah podobno kot na primarnem nivoju za program farmacevta svetovalca ter storitve pregleda uporabe zdravil (PUZ) v lekarnah na primarnem nivoju. Na ta način bodo preskrbljeni vsi bolniki na vseh nivojih zdravstvenega varstva, ki potrebujejo dodatne storitve za pravilno izvajanje terapije z zdravili.</w:t>
      </w:r>
    </w:p>
    <w:p w14:paraId="344CFAB5" w14:textId="77777777" w:rsidR="00FE461F" w:rsidRPr="005E4BEA" w:rsidRDefault="00FE461F" w:rsidP="00FE461F">
      <w:pPr>
        <w:spacing w:line="240" w:lineRule="auto"/>
        <w:jc w:val="both"/>
        <w:rPr>
          <w:rFonts w:eastAsia="Calibri" w:cs="Arial"/>
          <w:i/>
          <w:color w:val="808080"/>
          <w:szCs w:val="20"/>
        </w:rPr>
      </w:pPr>
    </w:p>
    <w:p w14:paraId="083ACDF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Sredstva za vzpostavitev sistema za izdajo zdravil na primarni ravni bodo zagotovljena iz nacionalnega projekta za Digitalizacijo zdravstva, Stroški vzdrževanja sistema pa bodo kriti iz sredstev ZZZS. </w:t>
      </w:r>
    </w:p>
    <w:p w14:paraId="52FD53C0" w14:textId="77777777" w:rsidR="00FE461F" w:rsidRPr="005E4BEA" w:rsidRDefault="00FE461F" w:rsidP="00FE461F">
      <w:pPr>
        <w:spacing w:line="240" w:lineRule="auto"/>
        <w:jc w:val="both"/>
        <w:rPr>
          <w:rFonts w:eastAsia="Calibri" w:cs="Arial"/>
          <w:i/>
          <w:color w:val="808080"/>
          <w:szCs w:val="20"/>
        </w:rPr>
      </w:pPr>
    </w:p>
    <w:tbl>
      <w:tblPr>
        <w:tblW w:w="5576" w:type="dxa"/>
        <w:tblCellMar>
          <w:left w:w="70" w:type="dxa"/>
          <w:right w:w="70" w:type="dxa"/>
        </w:tblCellMar>
        <w:tblLook w:val="04A0" w:firstRow="1" w:lastRow="0" w:firstColumn="1" w:lastColumn="0" w:noHBand="0" w:noVBand="1"/>
      </w:tblPr>
      <w:tblGrid>
        <w:gridCol w:w="2500"/>
        <w:gridCol w:w="820"/>
        <w:gridCol w:w="1216"/>
        <w:gridCol w:w="1040"/>
      </w:tblGrid>
      <w:tr w:rsidR="00FE461F" w:rsidRPr="005E4BEA" w14:paraId="078C6F09" w14:textId="77777777" w:rsidTr="0016774B">
        <w:trPr>
          <w:trHeight w:val="255"/>
        </w:trPr>
        <w:tc>
          <w:tcPr>
            <w:tcW w:w="2500" w:type="dxa"/>
            <w:tcBorders>
              <w:top w:val="nil"/>
              <w:left w:val="nil"/>
              <w:bottom w:val="nil"/>
              <w:right w:val="nil"/>
            </w:tcBorders>
            <w:shd w:val="clear" w:color="auto" w:fill="auto"/>
            <w:noWrap/>
            <w:vAlign w:val="center"/>
            <w:hideMark/>
          </w:tcPr>
          <w:p w14:paraId="5B82DBB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Finančne posledice:</w:t>
            </w:r>
          </w:p>
        </w:tc>
        <w:tc>
          <w:tcPr>
            <w:tcW w:w="820" w:type="dxa"/>
            <w:tcBorders>
              <w:top w:val="nil"/>
              <w:left w:val="nil"/>
              <w:bottom w:val="nil"/>
              <w:right w:val="nil"/>
            </w:tcBorders>
            <w:shd w:val="clear" w:color="auto" w:fill="auto"/>
            <w:vAlign w:val="center"/>
            <w:hideMark/>
          </w:tcPr>
          <w:p w14:paraId="4633FC0F" w14:textId="77777777" w:rsidR="00FE461F" w:rsidRPr="005E4BEA" w:rsidRDefault="00FE461F" w:rsidP="00FE461F">
            <w:pPr>
              <w:spacing w:line="240" w:lineRule="auto"/>
              <w:jc w:val="both"/>
              <w:rPr>
                <w:rFonts w:eastAsia="Calibri" w:cs="Arial"/>
                <w:i/>
                <w:color w:val="808080"/>
                <w:szCs w:val="20"/>
              </w:rPr>
            </w:pPr>
          </w:p>
        </w:tc>
        <w:tc>
          <w:tcPr>
            <w:tcW w:w="1216"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53599999" w14:textId="77777777" w:rsidR="00FE461F" w:rsidRPr="005E4BEA" w:rsidRDefault="00FE461F" w:rsidP="00FE461F">
            <w:pPr>
              <w:spacing w:line="240" w:lineRule="auto"/>
              <w:jc w:val="right"/>
              <w:rPr>
                <w:rFonts w:eastAsia="Calibri" w:cs="Arial"/>
                <w:b/>
                <w:bCs/>
                <w:i/>
                <w:color w:val="808080"/>
                <w:szCs w:val="20"/>
              </w:rPr>
            </w:pPr>
            <w:r w:rsidRPr="005E4BEA">
              <w:rPr>
                <w:rFonts w:eastAsia="Calibri" w:cs="Arial"/>
                <w:b/>
                <w:bCs/>
                <w:i/>
                <w:color w:val="808080"/>
                <w:szCs w:val="20"/>
              </w:rPr>
              <w:t>Letna raven</w:t>
            </w:r>
          </w:p>
        </w:tc>
        <w:tc>
          <w:tcPr>
            <w:tcW w:w="1040" w:type="dxa"/>
            <w:tcBorders>
              <w:top w:val="single" w:sz="4" w:space="0" w:color="538DD5"/>
              <w:left w:val="nil"/>
              <w:bottom w:val="single" w:sz="4" w:space="0" w:color="538DD5"/>
              <w:right w:val="single" w:sz="4" w:space="0" w:color="538DD5"/>
            </w:tcBorders>
            <w:shd w:val="clear" w:color="auto" w:fill="auto"/>
            <w:vAlign w:val="center"/>
            <w:hideMark/>
          </w:tcPr>
          <w:p w14:paraId="2F666DBB" w14:textId="77777777" w:rsidR="00FE461F" w:rsidRPr="005E4BEA" w:rsidRDefault="00FE461F" w:rsidP="00FE461F">
            <w:pPr>
              <w:spacing w:line="240" w:lineRule="auto"/>
              <w:jc w:val="right"/>
              <w:rPr>
                <w:rFonts w:eastAsia="Calibri" w:cs="Arial"/>
                <w:b/>
                <w:bCs/>
                <w:i/>
                <w:color w:val="808080"/>
                <w:szCs w:val="20"/>
              </w:rPr>
            </w:pPr>
            <w:r w:rsidRPr="005E4BEA">
              <w:rPr>
                <w:rFonts w:eastAsia="Calibri" w:cs="Arial"/>
                <w:b/>
                <w:bCs/>
                <w:i/>
                <w:color w:val="808080"/>
                <w:szCs w:val="20"/>
              </w:rPr>
              <w:t>2022</w:t>
            </w:r>
          </w:p>
        </w:tc>
      </w:tr>
      <w:tr w:rsidR="00FE461F" w:rsidRPr="005E4BEA" w14:paraId="1BC4F237" w14:textId="77777777" w:rsidTr="0016774B">
        <w:trPr>
          <w:trHeight w:val="300"/>
        </w:trPr>
        <w:tc>
          <w:tcPr>
            <w:tcW w:w="2500" w:type="dxa"/>
            <w:tcBorders>
              <w:top w:val="nil"/>
              <w:left w:val="nil"/>
              <w:bottom w:val="nil"/>
              <w:right w:val="nil"/>
            </w:tcBorders>
            <w:shd w:val="clear" w:color="auto" w:fill="auto"/>
            <w:noWrap/>
            <w:hideMark/>
          </w:tcPr>
          <w:p w14:paraId="318C666A" w14:textId="77777777" w:rsidR="00FE461F" w:rsidRPr="005E4BEA" w:rsidRDefault="00FE461F" w:rsidP="00FE461F">
            <w:pPr>
              <w:spacing w:line="240" w:lineRule="auto"/>
              <w:jc w:val="both"/>
              <w:rPr>
                <w:rFonts w:cs="Arial"/>
                <w:b/>
                <w:bCs/>
                <w:color w:val="808080"/>
                <w:szCs w:val="20"/>
                <w:lang w:eastAsia="sl-SI"/>
              </w:rPr>
            </w:pPr>
          </w:p>
        </w:tc>
        <w:tc>
          <w:tcPr>
            <w:tcW w:w="820"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7241C88C"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 xml:space="preserve">Vred. </w:t>
            </w:r>
            <w:proofErr w:type="spellStart"/>
            <w:r w:rsidRPr="005E4BEA">
              <w:rPr>
                <w:rFonts w:cs="Arial"/>
                <w:color w:val="808080"/>
                <w:szCs w:val="20"/>
                <w:lang w:eastAsia="sl-SI"/>
              </w:rPr>
              <w:t>sk</w:t>
            </w:r>
            <w:proofErr w:type="spellEnd"/>
            <w:r w:rsidRPr="005E4BEA">
              <w:rPr>
                <w:rFonts w:cs="Arial"/>
                <w:color w:val="808080"/>
                <w:szCs w:val="20"/>
                <w:lang w:eastAsia="sl-SI"/>
              </w:rPr>
              <w:t>.</w:t>
            </w:r>
          </w:p>
        </w:tc>
        <w:tc>
          <w:tcPr>
            <w:tcW w:w="1216" w:type="dxa"/>
            <w:tcBorders>
              <w:top w:val="nil"/>
              <w:left w:val="nil"/>
              <w:bottom w:val="single" w:sz="4" w:space="0" w:color="538DD5"/>
              <w:right w:val="single" w:sz="4" w:space="0" w:color="538DD5"/>
            </w:tcBorders>
            <w:shd w:val="clear" w:color="auto" w:fill="auto"/>
            <w:noWrap/>
            <w:hideMark/>
          </w:tcPr>
          <w:p w14:paraId="60B78D1B"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1.329.269</w:t>
            </w:r>
          </w:p>
        </w:tc>
        <w:tc>
          <w:tcPr>
            <w:tcW w:w="1040" w:type="dxa"/>
            <w:tcBorders>
              <w:top w:val="nil"/>
              <w:left w:val="nil"/>
              <w:bottom w:val="single" w:sz="4" w:space="0" w:color="538DD5"/>
              <w:right w:val="single" w:sz="4" w:space="0" w:color="538DD5"/>
            </w:tcBorders>
            <w:shd w:val="clear" w:color="auto" w:fill="auto"/>
            <w:noWrap/>
            <w:hideMark/>
          </w:tcPr>
          <w:p w14:paraId="7CAD3486"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 xml:space="preserve">0 </w:t>
            </w:r>
          </w:p>
        </w:tc>
      </w:tr>
      <w:tr w:rsidR="00FE461F" w:rsidRPr="005E4BEA" w14:paraId="03599615" w14:textId="77777777" w:rsidTr="0016774B">
        <w:trPr>
          <w:trHeight w:val="300"/>
        </w:trPr>
        <w:tc>
          <w:tcPr>
            <w:tcW w:w="2500" w:type="dxa"/>
            <w:tcBorders>
              <w:top w:val="nil"/>
              <w:left w:val="nil"/>
              <w:bottom w:val="nil"/>
              <w:right w:val="nil"/>
            </w:tcBorders>
            <w:shd w:val="clear" w:color="auto" w:fill="auto"/>
            <w:noWrap/>
            <w:hideMark/>
          </w:tcPr>
          <w:p w14:paraId="6D8CF36E" w14:textId="77777777" w:rsidR="00FE461F" w:rsidRPr="005E4BEA" w:rsidRDefault="00FE461F" w:rsidP="00FE461F">
            <w:pPr>
              <w:spacing w:line="240" w:lineRule="auto"/>
              <w:jc w:val="both"/>
              <w:rPr>
                <w:rFonts w:cs="Arial"/>
                <w:color w:val="808080"/>
                <w:szCs w:val="20"/>
                <w:lang w:eastAsia="sl-SI"/>
              </w:rPr>
            </w:pPr>
          </w:p>
        </w:tc>
        <w:tc>
          <w:tcPr>
            <w:tcW w:w="820" w:type="dxa"/>
            <w:tcBorders>
              <w:top w:val="nil"/>
              <w:left w:val="single" w:sz="4" w:space="0" w:color="538DD5"/>
              <w:bottom w:val="single" w:sz="4" w:space="0" w:color="538DD5"/>
              <w:right w:val="single" w:sz="4" w:space="0" w:color="538DD5"/>
            </w:tcBorders>
            <w:shd w:val="clear" w:color="auto" w:fill="auto"/>
            <w:vAlign w:val="center"/>
            <w:hideMark/>
          </w:tcPr>
          <w:p w14:paraId="5363BFCA"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OZZ</w:t>
            </w:r>
          </w:p>
        </w:tc>
        <w:tc>
          <w:tcPr>
            <w:tcW w:w="1216" w:type="dxa"/>
            <w:tcBorders>
              <w:top w:val="nil"/>
              <w:left w:val="nil"/>
              <w:bottom w:val="single" w:sz="4" w:space="0" w:color="538DD5"/>
              <w:right w:val="single" w:sz="4" w:space="0" w:color="538DD5"/>
            </w:tcBorders>
            <w:shd w:val="clear" w:color="auto" w:fill="auto"/>
            <w:noWrap/>
            <w:hideMark/>
          </w:tcPr>
          <w:p w14:paraId="34C199E6"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 xml:space="preserve">1.196.342 </w:t>
            </w:r>
          </w:p>
        </w:tc>
        <w:tc>
          <w:tcPr>
            <w:tcW w:w="1040" w:type="dxa"/>
            <w:tcBorders>
              <w:top w:val="nil"/>
              <w:left w:val="nil"/>
              <w:bottom w:val="single" w:sz="4" w:space="0" w:color="538DD5"/>
              <w:right w:val="single" w:sz="4" w:space="0" w:color="538DD5"/>
            </w:tcBorders>
            <w:shd w:val="clear" w:color="auto" w:fill="auto"/>
            <w:noWrap/>
            <w:hideMark/>
          </w:tcPr>
          <w:p w14:paraId="0239ED84"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 xml:space="preserve">0 </w:t>
            </w:r>
          </w:p>
        </w:tc>
      </w:tr>
      <w:bookmarkEnd w:id="93"/>
    </w:tbl>
    <w:p w14:paraId="1EDF4ECB" w14:textId="64C9D598" w:rsidR="00FE461F" w:rsidRPr="005E4BEA" w:rsidRDefault="00FE461F" w:rsidP="00FE461F">
      <w:pPr>
        <w:spacing w:line="240" w:lineRule="auto"/>
        <w:jc w:val="both"/>
        <w:rPr>
          <w:rFonts w:eastAsia="Calibri" w:cs="Arial"/>
          <w:b/>
          <w:bCs/>
          <w:i/>
          <w:iCs/>
          <w:color w:val="7F7F7F" w:themeColor="text1" w:themeTint="80"/>
          <w:szCs w:val="20"/>
        </w:rPr>
      </w:pPr>
    </w:p>
    <w:p w14:paraId="46E1341A" w14:textId="77777777" w:rsidR="00406310" w:rsidRPr="005E4BEA" w:rsidRDefault="00406310" w:rsidP="00406310">
      <w:pPr>
        <w:autoSpaceDE w:val="0"/>
        <w:autoSpaceDN w:val="0"/>
        <w:adjustRightInd w:val="0"/>
        <w:spacing w:line="0" w:lineRule="atLeast"/>
        <w:jc w:val="both"/>
        <w:rPr>
          <w:rFonts w:eastAsia="Arial Narrow" w:cs="Arial"/>
          <w:b/>
          <w:szCs w:val="20"/>
        </w:rPr>
      </w:pPr>
    </w:p>
    <w:p w14:paraId="4FF45F80" w14:textId="647E8184" w:rsidR="00C25E28" w:rsidRPr="005E4BEA" w:rsidRDefault="00406310" w:rsidP="00C25E28">
      <w:pPr>
        <w:jc w:val="both"/>
        <w:rPr>
          <w:rFonts w:ascii="Calibri" w:eastAsia="Calibri" w:hAnsi="Calibri"/>
          <w:sz w:val="22"/>
          <w:szCs w:val="22"/>
          <w:lang w:eastAsia="sl-SI"/>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C25E28" w:rsidRPr="005E4BEA">
        <w:rPr>
          <w:rFonts w:eastAsia="Arial Narrow" w:cs="Arial"/>
          <w:szCs w:val="20"/>
        </w:rPr>
        <w:t xml:space="preserve">strinja </w:t>
      </w:r>
      <w:r w:rsidRPr="005E4BEA">
        <w:rPr>
          <w:rFonts w:eastAsia="Arial Narrow" w:cs="Arial"/>
          <w:szCs w:val="20"/>
        </w:rPr>
        <w:t>s predlogom</w:t>
      </w:r>
      <w:r w:rsidR="00C25E28" w:rsidRPr="005E4BEA">
        <w:rPr>
          <w:rFonts w:eastAsia="Arial Narrow" w:cs="Arial"/>
          <w:szCs w:val="20"/>
        </w:rPr>
        <w:t xml:space="preserve"> v modificirani obliki, in sicer</w:t>
      </w:r>
      <w:r w:rsidR="00C25E28" w:rsidRPr="005E4BEA">
        <w:rPr>
          <w:rFonts w:ascii="Calibri" w:eastAsia="Calibri" w:hAnsi="Calibri"/>
          <w:b/>
          <w:bCs/>
          <w:sz w:val="22"/>
          <w:szCs w:val="22"/>
          <w:lang w:eastAsia="sl-SI"/>
        </w:rPr>
        <w:t xml:space="preserve"> </w:t>
      </w:r>
      <w:r w:rsidR="00C25E28" w:rsidRPr="005E4BEA">
        <w:rPr>
          <w:rFonts w:ascii="Calibri" w:eastAsia="Calibri" w:hAnsi="Calibri"/>
          <w:sz w:val="22"/>
          <w:szCs w:val="22"/>
          <w:lang w:eastAsia="sl-SI"/>
        </w:rPr>
        <w:t>se v 24. členu v šestem odstavku se doda nova točka, ki se glasi:</w:t>
      </w:r>
    </w:p>
    <w:p w14:paraId="6D008C50" w14:textId="77777777" w:rsidR="00C25E28" w:rsidRPr="005E4BEA" w:rsidRDefault="00C25E28" w:rsidP="00C25E28">
      <w:pPr>
        <w:spacing w:line="240" w:lineRule="auto"/>
        <w:jc w:val="both"/>
        <w:rPr>
          <w:rFonts w:ascii="Calibri" w:eastAsia="Calibri" w:hAnsi="Calibri"/>
          <w:b/>
          <w:bCs/>
          <w:sz w:val="22"/>
          <w:szCs w:val="22"/>
          <w:lang w:eastAsia="sl-SI"/>
        </w:rPr>
      </w:pPr>
    </w:p>
    <w:tbl>
      <w:tblPr>
        <w:tblW w:w="9015" w:type="dxa"/>
        <w:tblInd w:w="60" w:type="dxa"/>
        <w:tblCellMar>
          <w:left w:w="0" w:type="dxa"/>
          <w:right w:w="0" w:type="dxa"/>
        </w:tblCellMar>
        <w:tblLook w:val="04A0" w:firstRow="1" w:lastRow="0" w:firstColumn="1" w:lastColumn="0" w:noHBand="0" w:noVBand="1"/>
      </w:tblPr>
      <w:tblGrid>
        <w:gridCol w:w="3193"/>
        <w:gridCol w:w="2186"/>
        <w:gridCol w:w="1271"/>
        <w:gridCol w:w="1094"/>
        <w:gridCol w:w="1271"/>
      </w:tblGrid>
      <w:tr w:rsidR="00C25E28" w:rsidRPr="005E4BEA" w14:paraId="40FBCCFD" w14:textId="77777777" w:rsidTr="0016774B">
        <w:trPr>
          <w:trHeight w:val="720"/>
        </w:trPr>
        <w:tc>
          <w:tcPr>
            <w:tcW w:w="3193" w:type="dxa"/>
            <w:tcBorders>
              <w:top w:val="single" w:sz="8" w:space="0" w:color="548DD4"/>
              <w:left w:val="single" w:sz="8" w:space="0" w:color="548DD4"/>
              <w:bottom w:val="single" w:sz="8" w:space="0" w:color="548DD4"/>
              <w:right w:val="single" w:sz="8" w:space="0" w:color="548DD4"/>
            </w:tcBorders>
            <w:tcMar>
              <w:top w:w="0" w:type="dxa"/>
              <w:left w:w="108" w:type="dxa"/>
              <w:bottom w:w="0" w:type="dxa"/>
              <w:right w:w="108" w:type="dxa"/>
            </w:tcMar>
            <w:vAlign w:val="center"/>
            <w:hideMark/>
          </w:tcPr>
          <w:p w14:paraId="4913B899" w14:textId="77777777" w:rsidR="00C25E28" w:rsidRPr="005E4BEA" w:rsidRDefault="00C25E28" w:rsidP="00C25E28">
            <w:pPr>
              <w:spacing w:line="252" w:lineRule="auto"/>
              <w:rPr>
                <w:rFonts w:ascii="Calibri" w:eastAsia="Calibri" w:hAnsi="Calibri"/>
                <w:szCs w:val="20"/>
                <w:lang w:eastAsia="sl-SI"/>
              </w:rPr>
            </w:pPr>
            <w:r w:rsidRPr="005E4BEA">
              <w:rPr>
                <w:rFonts w:ascii="Calibri" w:eastAsia="Calibri" w:hAnsi="Calibri"/>
                <w:szCs w:val="20"/>
                <w:lang w:eastAsia="sl-SI"/>
              </w:rPr>
              <w:t>P   r   o   g   r   a   m</w:t>
            </w:r>
          </w:p>
        </w:tc>
        <w:tc>
          <w:tcPr>
            <w:tcW w:w="2186" w:type="dxa"/>
            <w:tcBorders>
              <w:top w:val="single" w:sz="8" w:space="0" w:color="548DD4"/>
              <w:left w:val="nil"/>
              <w:bottom w:val="single" w:sz="8" w:space="0" w:color="548DD4"/>
              <w:right w:val="single" w:sz="8" w:space="0" w:color="548DD4"/>
            </w:tcBorders>
            <w:tcMar>
              <w:top w:w="0" w:type="dxa"/>
              <w:left w:w="108" w:type="dxa"/>
              <w:bottom w:w="0" w:type="dxa"/>
              <w:right w:w="108" w:type="dxa"/>
            </w:tcMar>
            <w:vAlign w:val="center"/>
            <w:hideMark/>
          </w:tcPr>
          <w:p w14:paraId="149D8FD7" w14:textId="77777777" w:rsidR="00C25E28" w:rsidRPr="005E4BEA" w:rsidRDefault="00C25E28" w:rsidP="00C25E28">
            <w:pPr>
              <w:spacing w:after="240" w:line="252" w:lineRule="auto"/>
              <w:jc w:val="both"/>
              <w:rPr>
                <w:rFonts w:ascii="Calibri" w:eastAsia="Calibri" w:hAnsi="Calibri"/>
                <w:b/>
                <w:bCs/>
                <w:sz w:val="18"/>
                <w:szCs w:val="18"/>
                <w:lang w:eastAsia="sl-SI"/>
              </w:rPr>
            </w:pPr>
            <w:r w:rsidRPr="005E4BEA">
              <w:rPr>
                <w:rFonts w:ascii="Calibri" w:eastAsia="Calibri" w:hAnsi="Calibri"/>
                <w:b/>
                <w:bCs/>
                <w:sz w:val="18"/>
                <w:szCs w:val="18"/>
                <w:lang w:eastAsia="sl-SI"/>
              </w:rPr>
              <w:t xml:space="preserve">I z v a j a l e c </w:t>
            </w:r>
          </w:p>
        </w:tc>
        <w:tc>
          <w:tcPr>
            <w:tcW w:w="1271" w:type="dxa"/>
            <w:tcBorders>
              <w:top w:val="single" w:sz="8" w:space="0" w:color="548DD4"/>
              <w:left w:val="nil"/>
              <w:bottom w:val="single" w:sz="8" w:space="0" w:color="548DD4"/>
              <w:right w:val="single" w:sz="8" w:space="0" w:color="0070C0"/>
            </w:tcBorders>
            <w:tcMar>
              <w:top w:w="0" w:type="dxa"/>
              <w:left w:w="108" w:type="dxa"/>
              <w:bottom w:w="0" w:type="dxa"/>
              <w:right w:w="108" w:type="dxa"/>
            </w:tcMar>
            <w:vAlign w:val="center"/>
            <w:hideMark/>
          </w:tcPr>
          <w:p w14:paraId="7BA3DECD" w14:textId="77777777" w:rsidR="00C25E28" w:rsidRPr="005E4BEA" w:rsidRDefault="00C25E28" w:rsidP="00C25E28">
            <w:pPr>
              <w:spacing w:line="252" w:lineRule="auto"/>
              <w:jc w:val="center"/>
              <w:rPr>
                <w:rFonts w:ascii="Calibri" w:eastAsia="Calibri" w:hAnsi="Calibri"/>
                <w:b/>
                <w:bCs/>
                <w:sz w:val="18"/>
                <w:szCs w:val="18"/>
                <w:lang w:eastAsia="sl-SI"/>
              </w:rPr>
            </w:pPr>
            <w:r w:rsidRPr="005E4BEA">
              <w:rPr>
                <w:rFonts w:ascii="Calibri" w:eastAsia="Calibri" w:hAnsi="Calibri"/>
                <w:b/>
                <w:bCs/>
                <w:sz w:val="18"/>
                <w:szCs w:val="18"/>
                <w:lang w:eastAsia="sl-SI"/>
              </w:rPr>
              <w:t>Obseg programa</w:t>
            </w:r>
          </w:p>
        </w:tc>
        <w:tc>
          <w:tcPr>
            <w:tcW w:w="1094" w:type="dxa"/>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hideMark/>
          </w:tcPr>
          <w:p w14:paraId="58A76B69" w14:textId="77777777" w:rsidR="00C25E28" w:rsidRPr="005E4BEA" w:rsidRDefault="00C25E28" w:rsidP="00C25E28">
            <w:pPr>
              <w:spacing w:line="252" w:lineRule="auto"/>
              <w:jc w:val="right"/>
              <w:rPr>
                <w:rFonts w:ascii="Calibri" w:eastAsia="Calibri" w:hAnsi="Calibri"/>
                <w:b/>
                <w:bCs/>
                <w:sz w:val="18"/>
                <w:szCs w:val="18"/>
                <w:lang w:eastAsia="sl-SI"/>
              </w:rPr>
            </w:pPr>
            <w:proofErr w:type="spellStart"/>
            <w:r w:rsidRPr="005E4BEA">
              <w:rPr>
                <w:rFonts w:ascii="Calibri" w:eastAsia="Calibri" w:hAnsi="Calibri"/>
                <w:b/>
                <w:bCs/>
                <w:sz w:val="18"/>
                <w:szCs w:val="18"/>
                <w:lang w:eastAsia="sl-SI"/>
              </w:rPr>
              <w:t>Dod</w:t>
            </w:r>
            <w:proofErr w:type="spellEnd"/>
            <w:r w:rsidRPr="005E4BEA">
              <w:rPr>
                <w:rFonts w:ascii="Calibri" w:eastAsia="Calibri" w:hAnsi="Calibri"/>
                <w:b/>
                <w:bCs/>
                <w:sz w:val="18"/>
                <w:szCs w:val="18"/>
                <w:lang w:eastAsia="sl-SI"/>
              </w:rPr>
              <w:t>. sred.</w:t>
            </w:r>
            <w:r w:rsidRPr="005E4BEA">
              <w:rPr>
                <w:rFonts w:ascii="Calibri" w:eastAsia="Calibri" w:hAnsi="Calibri"/>
                <w:b/>
                <w:bCs/>
                <w:sz w:val="18"/>
                <w:szCs w:val="18"/>
                <w:lang w:eastAsia="sl-SI"/>
              </w:rPr>
              <w:br/>
              <w:t>na letni ravni</w:t>
            </w:r>
            <w:r w:rsidRPr="005E4BEA">
              <w:rPr>
                <w:rFonts w:ascii="Calibri" w:eastAsia="Calibri" w:hAnsi="Calibri"/>
                <w:b/>
                <w:bCs/>
                <w:sz w:val="18"/>
                <w:szCs w:val="18"/>
                <w:lang w:eastAsia="sl-SI"/>
              </w:rPr>
              <w:br/>
              <w:t>(v EUR)</w:t>
            </w:r>
          </w:p>
        </w:tc>
        <w:tc>
          <w:tcPr>
            <w:tcW w:w="1271" w:type="dxa"/>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hideMark/>
          </w:tcPr>
          <w:p w14:paraId="29D08E9C" w14:textId="77777777" w:rsidR="00C25E28" w:rsidRPr="005E4BEA" w:rsidRDefault="00C25E28" w:rsidP="00C25E28">
            <w:pPr>
              <w:spacing w:line="252" w:lineRule="auto"/>
              <w:jc w:val="right"/>
              <w:rPr>
                <w:rFonts w:ascii="Calibri" w:eastAsia="Calibri" w:hAnsi="Calibri"/>
                <w:b/>
                <w:bCs/>
                <w:sz w:val="18"/>
                <w:szCs w:val="18"/>
                <w:lang w:eastAsia="sl-SI"/>
              </w:rPr>
            </w:pPr>
            <w:proofErr w:type="spellStart"/>
            <w:r w:rsidRPr="005E4BEA">
              <w:rPr>
                <w:rFonts w:ascii="Calibri" w:eastAsia="Calibri" w:hAnsi="Calibri"/>
                <w:b/>
                <w:bCs/>
                <w:sz w:val="18"/>
                <w:szCs w:val="18"/>
                <w:lang w:eastAsia="sl-SI"/>
              </w:rPr>
              <w:t>Dod</w:t>
            </w:r>
            <w:proofErr w:type="spellEnd"/>
            <w:r w:rsidRPr="005E4BEA">
              <w:rPr>
                <w:rFonts w:ascii="Calibri" w:eastAsia="Calibri" w:hAnsi="Calibri"/>
                <w:b/>
                <w:bCs/>
                <w:sz w:val="18"/>
                <w:szCs w:val="18"/>
                <w:lang w:eastAsia="sl-SI"/>
              </w:rPr>
              <w:t>. sred.</w:t>
            </w:r>
            <w:r w:rsidRPr="005E4BEA">
              <w:rPr>
                <w:rFonts w:ascii="Calibri" w:eastAsia="Calibri" w:hAnsi="Calibri"/>
                <w:b/>
                <w:bCs/>
                <w:sz w:val="18"/>
                <w:szCs w:val="18"/>
                <w:lang w:eastAsia="sl-SI"/>
              </w:rPr>
              <w:br/>
              <w:t>1.1.-31.12.2022</w:t>
            </w:r>
            <w:r w:rsidRPr="005E4BEA">
              <w:rPr>
                <w:rFonts w:ascii="Calibri" w:eastAsia="Calibri" w:hAnsi="Calibri"/>
                <w:b/>
                <w:bCs/>
                <w:sz w:val="18"/>
                <w:szCs w:val="18"/>
                <w:lang w:eastAsia="sl-SI"/>
              </w:rPr>
              <w:br/>
              <w:t>(v EUR)</w:t>
            </w:r>
          </w:p>
        </w:tc>
      </w:tr>
      <w:tr w:rsidR="00C25E28" w:rsidRPr="005E4BEA" w14:paraId="423FF0CA" w14:textId="77777777" w:rsidTr="0016774B">
        <w:trPr>
          <w:trHeight w:val="720"/>
        </w:trPr>
        <w:tc>
          <w:tcPr>
            <w:tcW w:w="3193" w:type="dxa"/>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tcPr>
          <w:p w14:paraId="16F3E958" w14:textId="77777777" w:rsidR="00C25E28" w:rsidRPr="005E4BEA" w:rsidRDefault="00C25E28" w:rsidP="00C25E28">
            <w:pPr>
              <w:spacing w:line="252" w:lineRule="auto"/>
              <w:rPr>
                <w:rFonts w:ascii="Calibri" w:eastAsia="Calibri" w:hAnsi="Calibri"/>
                <w:szCs w:val="20"/>
                <w:lang w:eastAsia="sl-SI"/>
              </w:rPr>
            </w:pPr>
            <w:r w:rsidRPr="005E4BEA">
              <w:rPr>
                <w:rFonts w:ascii="Calibri" w:eastAsia="Calibri" w:hAnsi="Calibri"/>
                <w:szCs w:val="20"/>
                <w:lang w:eastAsia="sl-SI"/>
              </w:rPr>
              <w:t xml:space="preserve">Dodatek za brezšivno skrb v bolnišnični dejavnosti </w:t>
            </w:r>
          </w:p>
          <w:p w14:paraId="264B89DF" w14:textId="77777777" w:rsidR="00C25E28" w:rsidRPr="005E4BEA" w:rsidRDefault="00C25E28" w:rsidP="00C25E28">
            <w:pPr>
              <w:spacing w:line="252" w:lineRule="auto"/>
              <w:rPr>
                <w:rFonts w:ascii="Calibri" w:eastAsia="Calibri" w:hAnsi="Calibri"/>
                <w:szCs w:val="20"/>
                <w:lang w:eastAsia="sl-SI"/>
              </w:rPr>
            </w:pPr>
            <w:r w:rsidRPr="005E4BEA">
              <w:rPr>
                <w:rFonts w:ascii="Calibri" w:eastAsia="Calibri" w:hAnsi="Calibri"/>
                <w:szCs w:val="20"/>
                <w:lang w:eastAsia="sl-SI"/>
              </w:rPr>
              <w:t>Od 1. 1. 2023</w:t>
            </w:r>
          </w:p>
          <w:p w14:paraId="3AF4ECA1" w14:textId="77777777" w:rsidR="00C25E28" w:rsidRPr="005E4BEA" w:rsidRDefault="00C25E28" w:rsidP="00C25E28">
            <w:pPr>
              <w:spacing w:line="252" w:lineRule="auto"/>
              <w:rPr>
                <w:rFonts w:ascii="Calibri" w:eastAsia="Calibri" w:hAnsi="Calibri"/>
                <w:szCs w:val="20"/>
                <w:lang w:eastAsia="sl-SI"/>
              </w:rPr>
            </w:pPr>
          </w:p>
          <w:p w14:paraId="6126B44D" w14:textId="77777777" w:rsidR="00C25E28" w:rsidRPr="005E4BEA" w:rsidRDefault="00C25E28" w:rsidP="00C25E28">
            <w:pPr>
              <w:spacing w:line="252" w:lineRule="auto"/>
              <w:rPr>
                <w:rFonts w:ascii="Calibri" w:eastAsia="Calibri" w:hAnsi="Calibri"/>
                <w:szCs w:val="20"/>
                <w:lang w:eastAsia="sl-SI"/>
              </w:rPr>
            </w:pPr>
          </w:p>
          <w:p w14:paraId="24DFE9AE" w14:textId="77777777" w:rsidR="00C25E28" w:rsidRPr="005E4BEA" w:rsidRDefault="00C25E28" w:rsidP="00C25E28">
            <w:pPr>
              <w:spacing w:line="252" w:lineRule="auto"/>
              <w:rPr>
                <w:rFonts w:ascii="Calibri" w:eastAsia="Calibri" w:hAnsi="Calibri"/>
                <w:szCs w:val="20"/>
                <w:lang w:eastAsia="sl-SI"/>
              </w:rPr>
            </w:pPr>
          </w:p>
          <w:p w14:paraId="3D148DC8" w14:textId="77777777" w:rsidR="00C25E28" w:rsidRPr="005E4BEA" w:rsidRDefault="00C25E28" w:rsidP="00C25E28">
            <w:pPr>
              <w:spacing w:line="252" w:lineRule="auto"/>
              <w:rPr>
                <w:rFonts w:ascii="Calibri" w:eastAsia="Calibri" w:hAnsi="Calibri"/>
                <w:szCs w:val="20"/>
                <w:lang w:eastAsia="sl-SI"/>
              </w:rPr>
            </w:pPr>
          </w:p>
          <w:p w14:paraId="588FF5C4" w14:textId="77777777" w:rsidR="00C25E28" w:rsidRPr="005E4BEA" w:rsidRDefault="00C25E28" w:rsidP="00C25E28">
            <w:pPr>
              <w:spacing w:line="252" w:lineRule="auto"/>
              <w:rPr>
                <w:rFonts w:ascii="Calibri" w:eastAsia="Calibri" w:hAnsi="Calibri"/>
                <w:szCs w:val="20"/>
                <w:lang w:eastAsia="sl-SI"/>
              </w:rPr>
            </w:pPr>
          </w:p>
          <w:p w14:paraId="25D43E51" w14:textId="77777777" w:rsidR="00C25E28" w:rsidRPr="005E4BEA" w:rsidRDefault="00C25E28" w:rsidP="00C25E28">
            <w:pPr>
              <w:spacing w:line="252" w:lineRule="auto"/>
              <w:rPr>
                <w:rFonts w:ascii="Calibri" w:eastAsia="Calibri" w:hAnsi="Calibri"/>
                <w:szCs w:val="20"/>
                <w:lang w:eastAsia="sl-SI"/>
              </w:rPr>
            </w:pPr>
          </w:p>
          <w:p w14:paraId="5A67624C" w14:textId="77777777" w:rsidR="00C25E28" w:rsidRPr="005E4BEA" w:rsidRDefault="00C25E28" w:rsidP="00C25E28">
            <w:pPr>
              <w:spacing w:line="252" w:lineRule="auto"/>
              <w:rPr>
                <w:rFonts w:ascii="Calibri" w:eastAsia="Calibri" w:hAnsi="Calibri"/>
                <w:szCs w:val="20"/>
                <w:lang w:eastAsia="sl-SI"/>
              </w:rPr>
            </w:pPr>
          </w:p>
          <w:p w14:paraId="4B32D247" w14:textId="77777777" w:rsidR="00C25E28" w:rsidRPr="005E4BEA" w:rsidRDefault="00C25E28" w:rsidP="00C25E28">
            <w:pPr>
              <w:spacing w:line="252" w:lineRule="auto"/>
              <w:rPr>
                <w:rFonts w:ascii="Calibri" w:eastAsia="Calibri" w:hAnsi="Calibri"/>
                <w:szCs w:val="20"/>
                <w:lang w:eastAsia="sl-SI"/>
              </w:rPr>
            </w:pPr>
          </w:p>
          <w:p w14:paraId="77B9D15F" w14:textId="77777777" w:rsidR="00C25E28" w:rsidRPr="005E4BEA" w:rsidRDefault="00C25E28" w:rsidP="00C25E28">
            <w:pPr>
              <w:spacing w:line="252" w:lineRule="auto"/>
              <w:rPr>
                <w:rFonts w:ascii="Calibri" w:eastAsia="Calibri" w:hAnsi="Calibri"/>
                <w:szCs w:val="20"/>
                <w:lang w:eastAsia="sl-SI"/>
              </w:rPr>
            </w:pPr>
          </w:p>
          <w:p w14:paraId="2EA212B6" w14:textId="77777777" w:rsidR="00C25E28" w:rsidRPr="005E4BEA" w:rsidRDefault="00C25E28" w:rsidP="00C25E28">
            <w:pPr>
              <w:spacing w:line="252" w:lineRule="auto"/>
              <w:rPr>
                <w:rFonts w:ascii="Calibri" w:eastAsia="Calibri" w:hAnsi="Calibri"/>
                <w:szCs w:val="20"/>
                <w:lang w:eastAsia="sl-SI"/>
              </w:rPr>
            </w:pPr>
          </w:p>
          <w:p w14:paraId="1AB4AADC" w14:textId="77777777" w:rsidR="00C25E28" w:rsidRPr="005E4BEA" w:rsidRDefault="00C25E28" w:rsidP="00C25E28">
            <w:pPr>
              <w:spacing w:line="252" w:lineRule="auto"/>
              <w:rPr>
                <w:rFonts w:ascii="Calibri" w:eastAsia="Calibri" w:hAnsi="Calibri"/>
                <w:szCs w:val="20"/>
                <w:lang w:eastAsia="sl-SI"/>
              </w:rPr>
            </w:pPr>
          </w:p>
          <w:p w14:paraId="200B6C20" w14:textId="77777777" w:rsidR="00C25E28" w:rsidRPr="005E4BEA" w:rsidRDefault="00C25E28" w:rsidP="00C25E28">
            <w:pPr>
              <w:spacing w:line="252" w:lineRule="auto"/>
              <w:rPr>
                <w:rFonts w:ascii="Calibri" w:eastAsia="Calibri" w:hAnsi="Calibri"/>
                <w:szCs w:val="20"/>
                <w:lang w:eastAsia="sl-SI"/>
              </w:rPr>
            </w:pPr>
          </w:p>
          <w:p w14:paraId="713FD5EC" w14:textId="77777777" w:rsidR="00C25E28" w:rsidRPr="005E4BEA" w:rsidRDefault="00C25E28" w:rsidP="00C25E28">
            <w:pPr>
              <w:spacing w:line="252" w:lineRule="auto"/>
              <w:rPr>
                <w:rFonts w:ascii="Calibri" w:eastAsia="Calibri" w:hAnsi="Calibri"/>
                <w:szCs w:val="20"/>
                <w:lang w:eastAsia="sl-SI"/>
              </w:rPr>
            </w:pPr>
          </w:p>
          <w:p w14:paraId="38FEB7D2" w14:textId="77777777" w:rsidR="00C25E28" w:rsidRPr="005E4BEA" w:rsidRDefault="00C25E28" w:rsidP="00C25E28">
            <w:pPr>
              <w:spacing w:line="252" w:lineRule="auto"/>
              <w:rPr>
                <w:rFonts w:ascii="Calibri" w:eastAsia="Calibri" w:hAnsi="Calibri"/>
                <w:szCs w:val="20"/>
                <w:lang w:eastAsia="sl-SI"/>
              </w:rPr>
            </w:pPr>
          </w:p>
          <w:p w14:paraId="1EDEBB26" w14:textId="77777777" w:rsidR="00C25E28" w:rsidRPr="005E4BEA" w:rsidRDefault="00C25E28" w:rsidP="00C25E28">
            <w:pPr>
              <w:spacing w:line="252" w:lineRule="auto"/>
              <w:rPr>
                <w:rFonts w:ascii="Calibri" w:eastAsia="Calibri" w:hAnsi="Calibri"/>
                <w:szCs w:val="20"/>
                <w:lang w:eastAsia="sl-SI"/>
              </w:rPr>
            </w:pPr>
          </w:p>
          <w:p w14:paraId="61BE5BB2" w14:textId="77777777" w:rsidR="00C25E28" w:rsidRPr="005E4BEA" w:rsidRDefault="00C25E28" w:rsidP="00C25E28">
            <w:pPr>
              <w:spacing w:line="252" w:lineRule="auto"/>
              <w:rPr>
                <w:rFonts w:ascii="Calibri" w:eastAsia="Calibri" w:hAnsi="Calibri"/>
                <w:szCs w:val="20"/>
                <w:lang w:eastAsia="sl-SI"/>
              </w:rPr>
            </w:pPr>
          </w:p>
          <w:p w14:paraId="5ED0B306" w14:textId="77777777" w:rsidR="00C25E28" w:rsidRPr="005E4BEA" w:rsidRDefault="00C25E28" w:rsidP="00C25E28">
            <w:pPr>
              <w:spacing w:line="252" w:lineRule="auto"/>
              <w:rPr>
                <w:rFonts w:ascii="Calibri" w:eastAsia="Calibri" w:hAnsi="Calibri"/>
                <w:szCs w:val="20"/>
                <w:lang w:eastAsia="sl-SI"/>
              </w:rPr>
            </w:pPr>
          </w:p>
          <w:p w14:paraId="0770D496" w14:textId="77777777" w:rsidR="00C25E28" w:rsidRPr="005E4BEA" w:rsidRDefault="00C25E28" w:rsidP="00C25E28">
            <w:pPr>
              <w:spacing w:line="252" w:lineRule="auto"/>
              <w:rPr>
                <w:rFonts w:ascii="Calibri" w:eastAsia="Calibri" w:hAnsi="Calibri"/>
                <w:szCs w:val="20"/>
                <w:lang w:eastAsia="sl-SI"/>
              </w:rPr>
            </w:pPr>
          </w:p>
          <w:p w14:paraId="0E982515" w14:textId="77777777" w:rsidR="00C25E28" w:rsidRPr="005E4BEA" w:rsidRDefault="00C25E28" w:rsidP="00C25E28">
            <w:pPr>
              <w:spacing w:line="252" w:lineRule="auto"/>
              <w:rPr>
                <w:rFonts w:ascii="Calibri" w:eastAsia="Calibri" w:hAnsi="Calibri"/>
                <w:szCs w:val="20"/>
                <w:lang w:eastAsia="sl-SI"/>
              </w:rPr>
            </w:pPr>
          </w:p>
          <w:p w14:paraId="7DD35F02" w14:textId="77777777" w:rsidR="00C25E28" w:rsidRPr="005E4BEA" w:rsidRDefault="00C25E28" w:rsidP="00C25E28">
            <w:pPr>
              <w:spacing w:line="252" w:lineRule="auto"/>
              <w:rPr>
                <w:rFonts w:ascii="Calibri" w:eastAsia="Calibri" w:hAnsi="Calibri"/>
                <w:szCs w:val="20"/>
                <w:lang w:eastAsia="sl-SI"/>
              </w:rPr>
            </w:pPr>
          </w:p>
          <w:p w14:paraId="30F0BB66" w14:textId="77777777" w:rsidR="00C25E28" w:rsidRPr="005E4BEA" w:rsidRDefault="00C25E28" w:rsidP="00C25E28">
            <w:pPr>
              <w:spacing w:line="252" w:lineRule="auto"/>
              <w:rPr>
                <w:rFonts w:ascii="Calibri" w:eastAsia="Calibri" w:hAnsi="Calibri"/>
                <w:szCs w:val="20"/>
                <w:lang w:eastAsia="sl-SI"/>
              </w:rPr>
            </w:pPr>
          </w:p>
          <w:p w14:paraId="1E5212A5" w14:textId="77777777" w:rsidR="00C25E28" w:rsidRPr="005E4BEA" w:rsidRDefault="00C25E28" w:rsidP="00C25E28">
            <w:pPr>
              <w:spacing w:line="252" w:lineRule="auto"/>
              <w:rPr>
                <w:rFonts w:ascii="Calibri" w:eastAsia="Calibri" w:hAnsi="Calibri"/>
                <w:szCs w:val="20"/>
                <w:lang w:eastAsia="sl-SI"/>
              </w:rPr>
            </w:pPr>
          </w:p>
          <w:p w14:paraId="4DA20E92" w14:textId="77777777" w:rsidR="00C25E28" w:rsidRPr="005E4BEA" w:rsidRDefault="00C25E28" w:rsidP="00C25E28">
            <w:pPr>
              <w:spacing w:line="252" w:lineRule="auto"/>
              <w:rPr>
                <w:rFonts w:ascii="Calibri" w:eastAsia="Calibri" w:hAnsi="Calibri"/>
                <w:szCs w:val="20"/>
                <w:lang w:eastAsia="sl-SI"/>
              </w:rPr>
            </w:pPr>
          </w:p>
          <w:p w14:paraId="5D15CD94" w14:textId="77777777" w:rsidR="00C25E28" w:rsidRPr="005E4BEA" w:rsidRDefault="00C25E28" w:rsidP="00C25E28">
            <w:pPr>
              <w:spacing w:line="252" w:lineRule="auto"/>
              <w:rPr>
                <w:rFonts w:ascii="Calibri" w:eastAsia="Calibri" w:hAnsi="Calibri"/>
                <w:sz w:val="18"/>
                <w:szCs w:val="18"/>
                <w:lang w:eastAsia="sl-SI"/>
              </w:rPr>
            </w:pPr>
          </w:p>
          <w:p w14:paraId="287C9F1A" w14:textId="77777777" w:rsidR="00C25E28" w:rsidRPr="005E4BEA" w:rsidRDefault="00C25E28" w:rsidP="00C25E28">
            <w:pPr>
              <w:spacing w:line="252" w:lineRule="auto"/>
              <w:rPr>
                <w:rFonts w:ascii="Calibri" w:eastAsia="Calibri" w:hAnsi="Calibri"/>
                <w:sz w:val="18"/>
                <w:szCs w:val="18"/>
                <w:lang w:eastAsia="sl-SI"/>
              </w:rPr>
            </w:pPr>
          </w:p>
          <w:p w14:paraId="4FF07758" w14:textId="77777777" w:rsidR="00C25E28" w:rsidRPr="005E4BEA" w:rsidRDefault="00C25E28" w:rsidP="00C25E28">
            <w:pPr>
              <w:spacing w:line="252" w:lineRule="auto"/>
              <w:rPr>
                <w:rFonts w:ascii="Calibri" w:eastAsia="Calibri" w:hAnsi="Calibri"/>
                <w:color w:val="44546A"/>
                <w:sz w:val="18"/>
                <w:szCs w:val="18"/>
                <w:lang w:eastAsia="sl-SI"/>
              </w:rPr>
            </w:pPr>
          </w:p>
          <w:p w14:paraId="571F4F12" w14:textId="77777777" w:rsidR="00C25E28" w:rsidRPr="005E4BEA" w:rsidRDefault="00C25E28" w:rsidP="00C25E28">
            <w:pPr>
              <w:spacing w:line="252" w:lineRule="auto"/>
              <w:rPr>
                <w:rFonts w:ascii="Century Gothic" w:eastAsia="Calibri" w:hAnsi="Century Gothic"/>
                <w:color w:val="44546A"/>
                <w:sz w:val="22"/>
                <w:szCs w:val="22"/>
                <w:lang w:eastAsia="sl-SI"/>
              </w:rPr>
            </w:pPr>
          </w:p>
          <w:p w14:paraId="67295927" w14:textId="77777777" w:rsidR="00C25E28" w:rsidRPr="005E4BEA" w:rsidRDefault="00C25E28" w:rsidP="00C25E28">
            <w:pPr>
              <w:spacing w:line="252" w:lineRule="auto"/>
              <w:rPr>
                <w:rFonts w:ascii="Calibri" w:eastAsia="Calibri" w:hAnsi="Calibri"/>
                <w:sz w:val="18"/>
                <w:szCs w:val="18"/>
                <w:lang w:eastAsia="sl-SI"/>
              </w:rPr>
            </w:pPr>
            <w:r w:rsidRPr="005E4BEA">
              <w:rPr>
                <w:rFonts w:ascii="Calibri" w:eastAsia="Calibri" w:hAnsi="Calibri"/>
                <w:sz w:val="18"/>
                <w:szCs w:val="18"/>
                <w:lang w:eastAsia="sl-SI"/>
              </w:rPr>
              <w:t>Nadaljevanje brezšivne skrbi na primarni ravni v lekarniški dejavnosti</w:t>
            </w:r>
          </w:p>
          <w:p w14:paraId="4AFE063F" w14:textId="0C05FD7B" w:rsidR="00C25E28" w:rsidRPr="005E4BEA" w:rsidRDefault="00C25E28" w:rsidP="00C25E28">
            <w:pPr>
              <w:spacing w:line="252" w:lineRule="auto"/>
              <w:ind w:left="708"/>
              <w:rPr>
                <w:rFonts w:ascii="Century Gothic" w:eastAsia="Calibri" w:hAnsi="Century Gothic"/>
                <w:color w:val="44546A"/>
                <w:sz w:val="22"/>
                <w:szCs w:val="22"/>
                <w:lang w:eastAsia="sl-SI"/>
              </w:rPr>
            </w:pPr>
          </w:p>
        </w:tc>
        <w:tc>
          <w:tcPr>
            <w:tcW w:w="2186" w:type="dxa"/>
            <w:tcBorders>
              <w:top w:val="nil"/>
              <w:left w:val="nil"/>
              <w:bottom w:val="single" w:sz="8" w:space="0" w:color="548DD4"/>
              <w:right w:val="single" w:sz="8" w:space="0" w:color="548DD4"/>
            </w:tcBorders>
            <w:tcMar>
              <w:top w:w="0" w:type="dxa"/>
              <w:left w:w="108" w:type="dxa"/>
              <w:bottom w:w="0" w:type="dxa"/>
              <w:right w:w="108" w:type="dxa"/>
            </w:tcMar>
            <w:vAlign w:val="center"/>
          </w:tcPr>
          <w:p w14:paraId="0E427AD4"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SKUPAJ</w:t>
            </w:r>
          </w:p>
          <w:p w14:paraId="276EC59F"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UKC Ljubljana</w:t>
            </w:r>
          </w:p>
          <w:p w14:paraId="5FA03DDA"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UKC Maribor</w:t>
            </w:r>
          </w:p>
          <w:p w14:paraId="2171ACEA"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Celje</w:t>
            </w:r>
          </w:p>
          <w:p w14:paraId="210342E2"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Novo mesto</w:t>
            </w:r>
          </w:p>
          <w:p w14:paraId="1529A295"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Murska Sobota</w:t>
            </w:r>
          </w:p>
          <w:p w14:paraId="794EF6BB"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Nova gorica</w:t>
            </w:r>
          </w:p>
          <w:p w14:paraId="655C6482"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Izola</w:t>
            </w:r>
          </w:p>
          <w:p w14:paraId="2488C3BE"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Slovenj Gradec</w:t>
            </w:r>
          </w:p>
          <w:p w14:paraId="2DCA14CF"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Onkološki inštitut Ljubljana</w:t>
            </w:r>
          </w:p>
          <w:p w14:paraId="3C8D194C"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Jesenice</w:t>
            </w:r>
          </w:p>
          <w:p w14:paraId="0C10591F"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Ptuj</w:t>
            </w:r>
          </w:p>
          <w:p w14:paraId="6A37ABF0"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Klinika Golnik</w:t>
            </w:r>
          </w:p>
          <w:p w14:paraId="74CC006F"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Ortopedska bolnišnica Valdoltra</w:t>
            </w:r>
          </w:p>
          <w:p w14:paraId="513991E4"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Trbovlje</w:t>
            </w:r>
          </w:p>
          <w:p w14:paraId="289EC380"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Brežice</w:t>
            </w:r>
          </w:p>
          <w:p w14:paraId="6DBEE003"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Kranj</w:t>
            </w:r>
          </w:p>
          <w:p w14:paraId="4EA4BD1D"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UPK Ljubljana</w:t>
            </w:r>
          </w:p>
          <w:p w14:paraId="20F7DC47"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Topolšica</w:t>
            </w:r>
          </w:p>
          <w:p w14:paraId="5FCA41FE"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Postojna</w:t>
            </w:r>
          </w:p>
          <w:p w14:paraId="6D52A1EF"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URI - Soča</w:t>
            </w:r>
          </w:p>
          <w:p w14:paraId="161B46E9"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Idrija</w:t>
            </w:r>
          </w:p>
          <w:p w14:paraId="2F7C2081"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Begunje</w:t>
            </w:r>
          </w:p>
          <w:p w14:paraId="47F7AFC2"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Vojnik</w:t>
            </w:r>
          </w:p>
          <w:p w14:paraId="041E767A"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Ormož</w:t>
            </w:r>
          </w:p>
          <w:p w14:paraId="1FB3E75C"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Sežana</w:t>
            </w:r>
          </w:p>
          <w:p w14:paraId="53BF815F" w14:textId="77777777" w:rsidR="00C25E28" w:rsidRPr="005E4BEA" w:rsidRDefault="00C25E28" w:rsidP="00C25E28">
            <w:pPr>
              <w:spacing w:line="252" w:lineRule="auto"/>
              <w:jc w:val="both"/>
              <w:rPr>
                <w:rFonts w:ascii="Calibri" w:eastAsia="Calibri" w:hAnsi="Calibri"/>
                <w:sz w:val="18"/>
                <w:szCs w:val="18"/>
                <w:lang w:eastAsia="sl-SI"/>
              </w:rPr>
            </w:pPr>
          </w:p>
          <w:p w14:paraId="74D30841" w14:textId="77777777" w:rsidR="00C25E28" w:rsidRPr="005E4BEA" w:rsidRDefault="00C25E28" w:rsidP="00C25E28">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Lekarne</w:t>
            </w:r>
          </w:p>
          <w:p w14:paraId="5EF09149" w14:textId="77777777" w:rsidR="00C25E28" w:rsidRPr="005E4BEA" w:rsidRDefault="00C25E28" w:rsidP="00C25E28">
            <w:pPr>
              <w:spacing w:line="252" w:lineRule="auto"/>
              <w:jc w:val="both"/>
              <w:rPr>
                <w:rFonts w:ascii="Calibri" w:eastAsia="Calibri" w:hAnsi="Calibri"/>
                <w:sz w:val="18"/>
                <w:szCs w:val="18"/>
                <w:lang w:eastAsia="sl-SI"/>
              </w:rPr>
            </w:pPr>
          </w:p>
        </w:tc>
        <w:tc>
          <w:tcPr>
            <w:tcW w:w="1271" w:type="dxa"/>
            <w:tcBorders>
              <w:top w:val="nil"/>
              <w:left w:val="nil"/>
              <w:bottom w:val="single" w:sz="8" w:space="0" w:color="548DD4"/>
              <w:right w:val="single" w:sz="8" w:space="0" w:color="0070C0"/>
            </w:tcBorders>
            <w:tcMar>
              <w:top w:w="0" w:type="dxa"/>
              <w:left w:w="108" w:type="dxa"/>
              <w:bottom w:w="0" w:type="dxa"/>
              <w:right w:w="108" w:type="dxa"/>
            </w:tcMar>
            <w:vAlign w:val="center"/>
          </w:tcPr>
          <w:p w14:paraId="4E02781B"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34.789</w:t>
            </w:r>
          </w:p>
          <w:p w14:paraId="4FC694CD"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9.586</w:t>
            </w:r>
          </w:p>
          <w:p w14:paraId="10475305"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4.708</w:t>
            </w:r>
          </w:p>
          <w:p w14:paraId="1B48926D"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3.213</w:t>
            </w:r>
          </w:p>
          <w:p w14:paraId="4A262E7F"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2.088</w:t>
            </w:r>
          </w:p>
          <w:p w14:paraId="35D2A23E"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1.764</w:t>
            </w:r>
          </w:p>
          <w:p w14:paraId="6CA6F1C6"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1.713</w:t>
            </w:r>
          </w:p>
          <w:p w14:paraId="5B961D2F"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1.576</w:t>
            </w:r>
          </w:p>
          <w:p w14:paraId="28EA6F6A"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1.527</w:t>
            </w:r>
          </w:p>
          <w:p w14:paraId="44C0F918"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1.347</w:t>
            </w:r>
          </w:p>
          <w:p w14:paraId="3A20E16A"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1.330</w:t>
            </w:r>
          </w:p>
          <w:p w14:paraId="1A74753A"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945</w:t>
            </w:r>
          </w:p>
          <w:p w14:paraId="00C2041F"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712</w:t>
            </w:r>
          </w:p>
          <w:p w14:paraId="2E24C8C5"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668</w:t>
            </w:r>
          </w:p>
          <w:p w14:paraId="5436E730"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653</w:t>
            </w:r>
          </w:p>
          <w:p w14:paraId="594FF590"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619</w:t>
            </w:r>
          </w:p>
          <w:p w14:paraId="6B8C84A7"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452</w:t>
            </w:r>
          </w:p>
          <w:p w14:paraId="08C9F7BA"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430</w:t>
            </w:r>
          </w:p>
          <w:p w14:paraId="47315431"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342</w:t>
            </w:r>
          </w:p>
          <w:p w14:paraId="4A77A96D"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311</w:t>
            </w:r>
          </w:p>
          <w:p w14:paraId="6BAB9B54"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166</w:t>
            </w:r>
          </w:p>
          <w:p w14:paraId="3172D276"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160</w:t>
            </w:r>
          </w:p>
          <w:p w14:paraId="1D00D6E8"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159</w:t>
            </w:r>
          </w:p>
          <w:p w14:paraId="4441342F"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133</w:t>
            </w:r>
          </w:p>
          <w:p w14:paraId="147BC7DE"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124</w:t>
            </w:r>
          </w:p>
          <w:p w14:paraId="6BAF4C7D" w14:textId="77777777" w:rsidR="00C25E28" w:rsidRPr="005E4BEA" w:rsidRDefault="00C25E28" w:rsidP="00C25E28">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66</w:t>
            </w:r>
          </w:p>
          <w:p w14:paraId="3F164422" w14:textId="77777777" w:rsidR="00C25E28" w:rsidRPr="005E4BEA" w:rsidRDefault="00C25E28" w:rsidP="00C25E28">
            <w:pPr>
              <w:spacing w:line="252" w:lineRule="auto"/>
              <w:jc w:val="center"/>
              <w:rPr>
                <w:rFonts w:ascii="Calibri" w:eastAsia="Calibri" w:hAnsi="Calibri"/>
                <w:sz w:val="18"/>
                <w:szCs w:val="18"/>
                <w:lang w:eastAsia="sl-SI"/>
              </w:rPr>
            </w:pPr>
          </w:p>
          <w:p w14:paraId="54409568" w14:textId="77777777" w:rsidR="00C25E28" w:rsidRPr="005E4BEA" w:rsidRDefault="00C25E28" w:rsidP="00C25E28">
            <w:pPr>
              <w:spacing w:line="252" w:lineRule="auto"/>
              <w:jc w:val="center"/>
              <w:rPr>
                <w:rFonts w:ascii="Calibri" w:eastAsia="Calibri" w:hAnsi="Calibri"/>
                <w:sz w:val="18"/>
                <w:szCs w:val="18"/>
                <w:lang w:eastAsia="sl-SI"/>
              </w:rPr>
            </w:pPr>
          </w:p>
          <w:p w14:paraId="4CB09471" w14:textId="77777777" w:rsidR="00C25E28" w:rsidRPr="005E4BEA" w:rsidRDefault="00C25E28" w:rsidP="00C25E28">
            <w:pPr>
              <w:spacing w:line="252" w:lineRule="auto"/>
              <w:jc w:val="center"/>
              <w:rPr>
                <w:rFonts w:ascii="Calibri" w:eastAsia="Calibri" w:hAnsi="Calibri"/>
                <w:sz w:val="18"/>
                <w:szCs w:val="18"/>
                <w:lang w:eastAsia="sl-SI"/>
              </w:rPr>
            </w:pPr>
          </w:p>
        </w:tc>
        <w:tc>
          <w:tcPr>
            <w:tcW w:w="1094" w:type="dxa"/>
            <w:tcBorders>
              <w:top w:val="nil"/>
              <w:left w:val="nil"/>
              <w:bottom w:val="single" w:sz="8" w:space="0" w:color="0070C0"/>
              <w:right w:val="single" w:sz="8" w:space="0" w:color="0070C0"/>
            </w:tcBorders>
            <w:tcMar>
              <w:top w:w="0" w:type="dxa"/>
              <w:left w:w="108" w:type="dxa"/>
              <w:bottom w:w="0" w:type="dxa"/>
              <w:right w:w="108" w:type="dxa"/>
            </w:tcMar>
            <w:vAlign w:val="center"/>
          </w:tcPr>
          <w:p w14:paraId="2D3B8ED7" w14:textId="77777777" w:rsidR="00C25E28" w:rsidRPr="005E4BEA" w:rsidRDefault="00C25E28" w:rsidP="00C25E28">
            <w:pPr>
              <w:spacing w:line="252" w:lineRule="auto"/>
              <w:jc w:val="right"/>
              <w:rPr>
                <w:rFonts w:ascii="Calibri" w:eastAsia="Calibri" w:hAnsi="Calibri"/>
                <w:sz w:val="18"/>
                <w:szCs w:val="18"/>
                <w:lang w:eastAsia="sl-SI"/>
              </w:rPr>
            </w:pPr>
            <w:r w:rsidRPr="005E4BEA">
              <w:rPr>
                <w:rFonts w:ascii="Calibri" w:eastAsia="Calibri" w:hAnsi="Calibri"/>
                <w:sz w:val="18"/>
                <w:szCs w:val="18"/>
                <w:lang w:eastAsia="sl-SI"/>
              </w:rPr>
              <w:t>1.329.269</w:t>
            </w:r>
          </w:p>
          <w:p w14:paraId="60E39523" w14:textId="77777777" w:rsidR="00C25E28" w:rsidRPr="005E4BEA" w:rsidRDefault="00C25E28" w:rsidP="00C25E28">
            <w:pPr>
              <w:spacing w:line="252" w:lineRule="auto"/>
              <w:jc w:val="right"/>
              <w:rPr>
                <w:rFonts w:ascii="Calibri" w:eastAsia="Calibri" w:hAnsi="Calibri"/>
                <w:sz w:val="18"/>
                <w:szCs w:val="18"/>
                <w:lang w:eastAsia="sl-SI"/>
              </w:rPr>
            </w:pPr>
          </w:p>
          <w:p w14:paraId="15DD410D" w14:textId="77777777" w:rsidR="00C25E28" w:rsidRPr="005E4BEA" w:rsidRDefault="00C25E28" w:rsidP="00C25E28">
            <w:pPr>
              <w:spacing w:line="252" w:lineRule="auto"/>
              <w:jc w:val="right"/>
              <w:rPr>
                <w:rFonts w:ascii="Calibri" w:eastAsia="Calibri" w:hAnsi="Calibri"/>
                <w:sz w:val="18"/>
                <w:szCs w:val="18"/>
                <w:lang w:eastAsia="sl-SI"/>
              </w:rPr>
            </w:pPr>
          </w:p>
          <w:p w14:paraId="64154153" w14:textId="77777777" w:rsidR="00C25E28" w:rsidRPr="005E4BEA" w:rsidRDefault="00C25E28" w:rsidP="00C25E28">
            <w:pPr>
              <w:spacing w:line="252" w:lineRule="auto"/>
              <w:jc w:val="right"/>
              <w:rPr>
                <w:rFonts w:ascii="Calibri" w:eastAsia="Calibri" w:hAnsi="Calibri"/>
                <w:sz w:val="18"/>
                <w:szCs w:val="18"/>
                <w:lang w:eastAsia="sl-SI"/>
              </w:rPr>
            </w:pPr>
          </w:p>
          <w:p w14:paraId="1E77F06F" w14:textId="77777777" w:rsidR="00C25E28" w:rsidRPr="005E4BEA" w:rsidRDefault="00C25E28" w:rsidP="00C25E28">
            <w:pPr>
              <w:spacing w:line="252" w:lineRule="auto"/>
              <w:jc w:val="right"/>
              <w:rPr>
                <w:rFonts w:ascii="Calibri" w:eastAsia="Calibri" w:hAnsi="Calibri"/>
                <w:sz w:val="18"/>
                <w:szCs w:val="18"/>
                <w:lang w:eastAsia="sl-SI"/>
              </w:rPr>
            </w:pPr>
          </w:p>
          <w:p w14:paraId="7A4F9FA6" w14:textId="77777777" w:rsidR="00C25E28" w:rsidRPr="005E4BEA" w:rsidRDefault="00C25E28" w:rsidP="00C25E28">
            <w:pPr>
              <w:spacing w:line="252" w:lineRule="auto"/>
              <w:jc w:val="right"/>
              <w:rPr>
                <w:rFonts w:ascii="Calibri" w:eastAsia="Calibri" w:hAnsi="Calibri"/>
                <w:sz w:val="18"/>
                <w:szCs w:val="18"/>
                <w:lang w:eastAsia="sl-SI"/>
              </w:rPr>
            </w:pPr>
          </w:p>
          <w:p w14:paraId="5BAC8E87" w14:textId="77777777" w:rsidR="00C25E28" w:rsidRPr="005E4BEA" w:rsidRDefault="00C25E28" w:rsidP="00C25E28">
            <w:pPr>
              <w:spacing w:line="252" w:lineRule="auto"/>
              <w:jc w:val="right"/>
              <w:rPr>
                <w:rFonts w:ascii="Calibri" w:eastAsia="Calibri" w:hAnsi="Calibri"/>
                <w:sz w:val="18"/>
                <w:szCs w:val="18"/>
                <w:lang w:eastAsia="sl-SI"/>
              </w:rPr>
            </w:pPr>
          </w:p>
          <w:p w14:paraId="05E4A830" w14:textId="77777777" w:rsidR="00C25E28" w:rsidRPr="005E4BEA" w:rsidRDefault="00C25E28" w:rsidP="00C25E28">
            <w:pPr>
              <w:spacing w:line="252" w:lineRule="auto"/>
              <w:jc w:val="right"/>
              <w:rPr>
                <w:rFonts w:ascii="Calibri" w:eastAsia="Calibri" w:hAnsi="Calibri"/>
                <w:sz w:val="18"/>
                <w:szCs w:val="18"/>
                <w:lang w:eastAsia="sl-SI"/>
              </w:rPr>
            </w:pPr>
          </w:p>
          <w:p w14:paraId="3014F66E" w14:textId="77777777" w:rsidR="00C25E28" w:rsidRPr="005E4BEA" w:rsidRDefault="00C25E28" w:rsidP="00C25E28">
            <w:pPr>
              <w:spacing w:line="252" w:lineRule="auto"/>
              <w:jc w:val="right"/>
              <w:rPr>
                <w:rFonts w:ascii="Calibri" w:eastAsia="Calibri" w:hAnsi="Calibri"/>
                <w:sz w:val="18"/>
                <w:szCs w:val="18"/>
                <w:lang w:eastAsia="sl-SI"/>
              </w:rPr>
            </w:pPr>
          </w:p>
          <w:p w14:paraId="2F3EAE42" w14:textId="77777777" w:rsidR="00C25E28" w:rsidRPr="005E4BEA" w:rsidRDefault="00C25E28" w:rsidP="00C25E28">
            <w:pPr>
              <w:spacing w:line="252" w:lineRule="auto"/>
              <w:jc w:val="right"/>
              <w:rPr>
                <w:rFonts w:ascii="Calibri" w:eastAsia="Calibri" w:hAnsi="Calibri"/>
                <w:sz w:val="18"/>
                <w:szCs w:val="18"/>
                <w:lang w:eastAsia="sl-SI"/>
              </w:rPr>
            </w:pPr>
          </w:p>
          <w:p w14:paraId="12AFDAB8" w14:textId="77777777" w:rsidR="00C25E28" w:rsidRPr="005E4BEA" w:rsidRDefault="00C25E28" w:rsidP="00C25E28">
            <w:pPr>
              <w:spacing w:line="252" w:lineRule="auto"/>
              <w:jc w:val="right"/>
              <w:rPr>
                <w:rFonts w:ascii="Calibri" w:eastAsia="Calibri" w:hAnsi="Calibri"/>
                <w:sz w:val="18"/>
                <w:szCs w:val="18"/>
                <w:lang w:eastAsia="sl-SI"/>
              </w:rPr>
            </w:pPr>
          </w:p>
          <w:p w14:paraId="7F6675EB" w14:textId="77777777" w:rsidR="00C25E28" w:rsidRPr="005E4BEA" w:rsidRDefault="00C25E28" w:rsidP="00C25E28">
            <w:pPr>
              <w:spacing w:line="252" w:lineRule="auto"/>
              <w:jc w:val="right"/>
              <w:rPr>
                <w:rFonts w:ascii="Calibri" w:eastAsia="Calibri" w:hAnsi="Calibri"/>
                <w:sz w:val="18"/>
                <w:szCs w:val="18"/>
                <w:lang w:eastAsia="sl-SI"/>
              </w:rPr>
            </w:pPr>
          </w:p>
          <w:p w14:paraId="18C6B79A" w14:textId="77777777" w:rsidR="00C25E28" w:rsidRPr="005E4BEA" w:rsidRDefault="00C25E28" w:rsidP="00C25E28">
            <w:pPr>
              <w:spacing w:line="252" w:lineRule="auto"/>
              <w:jc w:val="right"/>
              <w:rPr>
                <w:rFonts w:ascii="Calibri" w:eastAsia="Calibri" w:hAnsi="Calibri"/>
                <w:sz w:val="18"/>
                <w:szCs w:val="18"/>
                <w:lang w:eastAsia="sl-SI"/>
              </w:rPr>
            </w:pPr>
          </w:p>
          <w:p w14:paraId="1A7E52E8" w14:textId="77777777" w:rsidR="00C25E28" w:rsidRPr="005E4BEA" w:rsidRDefault="00C25E28" w:rsidP="00C25E28">
            <w:pPr>
              <w:spacing w:line="252" w:lineRule="auto"/>
              <w:jc w:val="right"/>
              <w:rPr>
                <w:rFonts w:ascii="Calibri" w:eastAsia="Calibri" w:hAnsi="Calibri"/>
                <w:sz w:val="18"/>
                <w:szCs w:val="18"/>
                <w:lang w:eastAsia="sl-SI"/>
              </w:rPr>
            </w:pPr>
          </w:p>
          <w:p w14:paraId="7B3F5E74" w14:textId="77777777" w:rsidR="00C25E28" w:rsidRPr="005E4BEA" w:rsidRDefault="00C25E28" w:rsidP="00C25E28">
            <w:pPr>
              <w:spacing w:line="252" w:lineRule="auto"/>
              <w:jc w:val="right"/>
              <w:rPr>
                <w:rFonts w:ascii="Calibri" w:eastAsia="Calibri" w:hAnsi="Calibri"/>
                <w:sz w:val="18"/>
                <w:szCs w:val="18"/>
                <w:lang w:eastAsia="sl-SI"/>
              </w:rPr>
            </w:pPr>
          </w:p>
          <w:p w14:paraId="49176F9E" w14:textId="77777777" w:rsidR="00C25E28" w:rsidRPr="005E4BEA" w:rsidRDefault="00C25E28" w:rsidP="00C25E28">
            <w:pPr>
              <w:spacing w:line="252" w:lineRule="auto"/>
              <w:jc w:val="right"/>
              <w:rPr>
                <w:rFonts w:ascii="Calibri" w:eastAsia="Calibri" w:hAnsi="Calibri"/>
                <w:sz w:val="18"/>
                <w:szCs w:val="18"/>
                <w:lang w:eastAsia="sl-SI"/>
              </w:rPr>
            </w:pPr>
          </w:p>
          <w:p w14:paraId="2321D465" w14:textId="77777777" w:rsidR="00C25E28" w:rsidRPr="005E4BEA" w:rsidRDefault="00C25E28" w:rsidP="00C25E28">
            <w:pPr>
              <w:spacing w:line="252" w:lineRule="auto"/>
              <w:jc w:val="right"/>
              <w:rPr>
                <w:rFonts w:ascii="Calibri" w:eastAsia="Calibri" w:hAnsi="Calibri"/>
                <w:sz w:val="18"/>
                <w:szCs w:val="18"/>
                <w:lang w:eastAsia="sl-SI"/>
              </w:rPr>
            </w:pPr>
          </w:p>
          <w:p w14:paraId="63DDF1EB" w14:textId="77777777" w:rsidR="00C25E28" w:rsidRPr="005E4BEA" w:rsidRDefault="00C25E28" w:rsidP="00C25E28">
            <w:pPr>
              <w:spacing w:line="252" w:lineRule="auto"/>
              <w:jc w:val="right"/>
              <w:rPr>
                <w:rFonts w:ascii="Calibri" w:eastAsia="Calibri" w:hAnsi="Calibri"/>
                <w:sz w:val="18"/>
                <w:szCs w:val="18"/>
                <w:lang w:eastAsia="sl-SI"/>
              </w:rPr>
            </w:pPr>
          </w:p>
          <w:p w14:paraId="5496AC4C" w14:textId="77777777" w:rsidR="00C25E28" w:rsidRPr="005E4BEA" w:rsidRDefault="00C25E28" w:rsidP="00C25E28">
            <w:pPr>
              <w:spacing w:line="252" w:lineRule="auto"/>
              <w:jc w:val="right"/>
              <w:rPr>
                <w:rFonts w:ascii="Calibri" w:eastAsia="Calibri" w:hAnsi="Calibri"/>
                <w:sz w:val="18"/>
                <w:szCs w:val="18"/>
                <w:lang w:eastAsia="sl-SI"/>
              </w:rPr>
            </w:pPr>
          </w:p>
          <w:p w14:paraId="335CB6FA" w14:textId="77777777" w:rsidR="00C25E28" w:rsidRPr="005E4BEA" w:rsidRDefault="00C25E28" w:rsidP="00C25E28">
            <w:pPr>
              <w:spacing w:line="252" w:lineRule="auto"/>
              <w:jc w:val="right"/>
              <w:rPr>
                <w:rFonts w:ascii="Calibri" w:eastAsia="Calibri" w:hAnsi="Calibri"/>
                <w:sz w:val="18"/>
                <w:szCs w:val="18"/>
                <w:lang w:eastAsia="sl-SI"/>
              </w:rPr>
            </w:pPr>
          </w:p>
          <w:p w14:paraId="06E466B9" w14:textId="77777777" w:rsidR="00C25E28" w:rsidRPr="005E4BEA" w:rsidRDefault="00C25E28" w:rsidP="00C25E28">
            <w:pPr>
              <w:spacing w:line="252" w:lineRule="auto"/>
              <w:jc w:val="right"/>
              <w:rPr>
                <w:rFonts w:ascii="Calibri" w:eastAsia="Calibri" w:hAnsi="Calibri"/>
                <w:sz w:val="18"/>
                <w:szCs w:val="18"/>
                <w:lang w:eastAsia="sl-SI"/>
              </w:rPr>
            </w:pPr>
          </w:p>
          <w:p w14:paraId="034568C7" w14:textId="77777777" w:rsidR="00C25E28" w:rsidRPr="005E4BEA" w:rsidRDefault="00C25E28" w:rsidP="00C25E28">
            <w:pPr>
              <w:spacing w:line="252" w:lineRule="auto"/>
              <w:jc w:val="right"/>
              <w:rPr>
                <w:rFonts w:ascii="Calibri" w:eastAsia="Calibri" w:hAnsi="Calibri"/>
                <w:sz w:val="18"/>
                <w:szCs w:val="18"/>
                <w:lang w:eastAsia="sl-SI"/>
              </w:rPr>
            </w:pPr>
          </w:p>
          <w:p w14:paraId="18D15C28" w14:textId="77777777" w:rsidR="00C25E28" w:rsidRPr="005E4BEA" w:rsidRDefault="00C25E28" w:rsidP="00C25E28">
            <w:pPr>
              <w:spacing w:line="252" w:lineRule="auto"/>
              <w:jc w:val="right"/>
              <w:rPr>
                <w:rFonts w:ascii="Calibri" w:eastAsia="Calibri" w:hAnsi="Calibri"/>
                <w:sz w:val="18"/>
                <w:szCs w:val="18"/>
                <w:lang w:eastAsia="sl-SI"/>
              </w:rPr>
            </w:pPr>
          </w:p>
          <w:p w14:paraId="32C93769" w14:textId="77777777" w:rsidR="00C25E28" w:rsidRPr="005E4BEA" w:rsidRDefault="00C25E28" w:rsidP="00C25E28">
            <w:pPr>
              <w:spacing w:line="252" w:lineRule="auto"/>
              <w:jc w:val="right"/>
              <w:rPr>
                <w:rFonts w:ascii="Calibri" w:eastAsia="Calibri" w:hAnsi="Calibri"/>
                <w:sz w:val="18"/>
                <w:szCs w:val="18"/>
                <w:lang w:eastAsia="sl-SI"/>
              </w:rPr>
            </w:pPr>
          </w:p>
          <w:p w14:paraId="6C5F8F8F" w14:textId="77777777" w:rsidR="00C25E28" w:rsidRPr="005E4BEA" w:rsidRDefault="00C25E28" w:rsidP="00C25E28">
            <w:pPr>
              <w:spacing w:line="252" w:lineRule="auto"/>
              <w:jc w:val="right"/>
              <w:rPr>
                <w:rFonts w:ascii="Calibri" w:eastAsia="Calibri" w:hAnsi="Calibri"/>
                <w:sz w:val="18"/>
                <w:szCs w:val="18"/>
                <w:lang w:eastAsia="sl-SI"/>
              </w:rPr>
            </w:pPr>
          </w:p>
          <w:p w14:paraId="291347AD" w14:textId="77777777" w:rsidR="00C25E28" w:rsidRPr="005E4BEA" w:rsidRDefault="00C25E28" w:rsidP="00C25E28">
            <w:pPr>
              <w:spacing w:line="252" w:lineRule="auto"/>
              <w:jc w:val="right"/>
              <w:rPr>
                <w:rFonts w:ascii="Calibri" w:eastAsia="Calibri" w:hAnsi="Calibri"/>
                <w:sz w:val="18"/>
                <w:szCs w:val="18"/>
                <w:lang w:eastAsia="sl-SI"/>
              </w:rPr>
            </w:pPr>
          </w:p>
          <w:p w14:paraId="63B192E2" w14:textId="77777777" w:rsidR="00C25E28" w:rsidRPr="005E4BEA" w:rsidRDefault="00C25E28" w:rsidP="00C25E28">
            <w:pPr>
              <w:spacing w:line="252" w:lineRule="auto"/>
              <w:jc w:val="right"/>
              <w:rPr>
                <w:rFonts w:ascii="Calibri" w:eastAsia="Calibri" w:hAnsi="Calibri"/>
                <w:sz w:val="18"/>
                <w:szCs w:val="18"/>
                <w:lang w:eastAsia="sl-SI"/>
              </w:rPr>
            </w:pPr>
          </w:p>
          <w:p w14:paraId="2E5CDC8B" w14:textId="77777777" w:rsidR="00C25E28" w:rsidRPr="005E4BEA" w:rsidRDefault="00C25E28" w:rsidP="00C25E28">
            <w:pPr>
              <w:spacing w:line="252" w:lineRule="auto"/>
              <w:jc w:val="right"/>
              <w:rPr>
                <w:rFonts w:ascii="Calibri" w:eastAsia="Calibri" w:hAnsi="Calibri"/>
                <w:sz w:val="18"/>
                <w:szCs w:val="18"/>
                <w:lang w:eastAsia="sl-SI"/>
              </w:rPr>
            </w:pPr>
          </w:p>
          <w:p w14:paraId="3B857E50" w14:textId="77777777" w:rsidR="00C25E28" w:rsidRPr="005E4BEA" w:rsidRDefault="00C25E28" w:rsidP="00C25E28">
            <w:pPr>
              <w:spacing w:line="252" w:lineRule="auto"/>
              <w:jc w:val="right"/>
              <w:rPr>
                <w:rFonts w:ascii="Calibri" w:eastAsia="Calibri" w:hAnsi="Calibri"/>
                <w:sz w:val="18"/>
                <w:szCs w:val="18"/>
                <w:lang w:eastAsia="sl-SI"/>
              </w:rPr>
            </w:pPr>
          </w:p>
          <w:p w14:paraId="0B4B9749" w14:textId="77777777" w:rsidR="00C25E28" w:rsidRPr="005E4BEA" w:rsidRDefault="00C25E28" w:rsidP="00C25E28">
            <w:pPr>
              <w:spacing w:line="252" w:lineRule="auto"/>
              <w:jc w:val="right"/>
              <w:rPr>
                <w:rFonts w:ascii="Calibri" w:eastAsia="Calibri" w:hAnsi="Calibri"/>
                <w:sz w:val="18"/>
                <w:szCs w:val="18"/>
                <w:lang w:eastAsia="sl-SI"/>
              </w:rPr>
            </w:pPr>
          </w:p>
          <w:p w14:paraId="6DF78549" w14:textId="77777777" w:rsidR="00C25E28" w:rsidRPr="005E4BEA" w:rsidRDefault="00C25E28" w:rsidP="00C25E28">
            <w:pPr>
              <w:spacing w:line="252" w:lineRule="auto"/>
              <w:jc w:val="right"/>
              <w:rPr>
                <w:rFonts w:ascii="Calibri" w:eastAsia="Calibri" w:hAnsi="Calibri"/>
                <w:color w:val="44546A"/>
                <w:sz w:val="18"/>
                <w:szCs w:val="18"/>
                <w:lang w:eastAsia="sl-SI"/>
              </w:rPr>
            </w:pPr>
          </w:p>
          <w:p w14:paraId="4BC14372" w14:textId="77777777" w:rsidR="00C25E28" w:rsidRPr="005E4BEA" w:rsidRDefault="00C25E28" w:rsidP="00C25E28">
            <w:pPr>
              <w:spacing w:line="252" w:lineRule="auto"/>
              <w:jc w:val="right"/>
              <w:rPr>
                <w:rFonts w:ascii="Century Gothic" w:eastAsia="Calibri" w:hAnsi="Century Gothic"/>
                <w:color w:val="44546A"/>
                <w:sz w:val="22"/>
                <w:szCs w:val="22"/>
                <w:lang w:eastAsia="sl-SI"/>
              </w:rPr>
            </w:pPr>
          </w:p>
          <w:p w14:paraId="5045450E" w14:textId="77777777" w:rsidR="00C25E28" w:rsidRPr="005E4BEA" w:rsidRDefault="00C25E28" w:rsidP="00C25E28">
            <w:pPr>
              <w:spacing w:line="252" w:lineRule="auto"/>
              <w:jc w:val="right"/>
              <w:rPr>
                <w:rFonts w:ascii="Calibri" w:eastAsia="Calibri" w:hAnsi="Calibri"/>
                <w:sz w:val="18"/>
                <w:szCs w:val="18"/>
                <w:lang w:eastAsia="sl-SI"/>
              </w:rPr>
            </w:pPr>
            <w:r w:rsidRPr="005E4BEA">
              <w:rPr>
                <w:rFonts w:ascii="Calibri" w:eastAsia="Calibri" w:hAnsi="Calibri"/>
                <w:sz w:val="18"/>
                <w:szCs w:val="18"/>
                <w:lang w:eastAsia="sl-SI"/>
              </w:rPr>
              <w:t>41.640,00</w:t>
            </w:r>
          </w:p>
          <w:p w14:paraId="0C76FF5C" w14:textId="77777777" w:rsidR="00C25E28" w:rsidRPr="005E4BEA" w:rsidRDefault="00C25E28" w:rsidP="00C25E28">
            <w:pPr>
              <w:spacing w:line="252" w:lineRule="auto"/>
              <w:jc w:val="right"/>
              <w:rPr>
                <w:rFonts w:ascii="Calibri" w:eastAsia="Calibri" w:hAnsi="Calibri"/>
                <w:sz w:val="18"/>
                <w:szCs w:val="18"/>
                <w:lang w:eastAsia="sl-SI"/>
              </w:rPr>
            </w:pPr>
          </w:p>
          <w:p w14:paraId="4C2F14A8" w14:textId="77777777" w:rsidR="00C25E28" w:rsidRPr="005E4BEA" w:rsidRDefault="00C25E28" w:rsidP="00C25E28">
            <w:pPr>
              <w:spacing w:line="252" w:lineRule="auto"/>
              <w:rPr>
                <w:rFonts w:ascii="Calibri" w:eastAsia="Calibri" w:hAnsi="Calibri"/>
                <w:sz w:val="18"/>
                <w:szCs w:val="18"/>
                <w:lang w:eastAsia="sl-SI"/>
              </w:rPr>
            </w:pPr>
          </w:p>
        </w:tc>
        <w:tc>
          <w:tcPr>
            <w:tcW w:w="1271" w:type="dxa"/>
            <w:tcBorders>
              <w:top w:val="nil"/>
              <w:left w:val="nil"/>
              <w:bottom w:val="single" w:sz="8" w:space="0" w:color="0070C0"/>
              <w:right w:val="single" w:sz="8" w:space="0" w:color="0070C0"/>
            </w:tcBorders>
            <w:tcMar>
              <w:top w:w="0" w:type="dxa"/>
              <w:left w:w="108" w:type="dxa"/>
              <w:bottom w:w="0" w:type="dxa"/>
              <w:right w:w="108" w:type="dxa"/>
            </w:tcMar>
            <w:vAlign w:val="center"/>
          </w:tcPr>
          <w:p w14:paraId="45385FA0" w14:textId="77777777" w:rsidR="00C25E28" w:rsidRPr="005E4BEA" w:rsidRDefault="00C25E28" w:rsidP="00C25E28">
            <w:pPr>
              <w:spacing w:line="252" w:lineRule="auto"/>
              <w:jc w:val="right"/>
              <w:rPr>
                <w:rFonts w:ascii="Calibri" w:eastAsia="Calibri" w:hAnsi="Calibri"/>
                <w:sz w:val="18"/>
                <w:szCs w:val="18"/>
                <w:lang w:eastAsia="sl-SI"/>
              </w:rPr>
            </w:pPr>
          </w:p>
          <w:p w14:paraId="1EB95ADD" w14:textId="77777777" w:rsidR="00C25E28" w:rsidRPr="005E4BEA" w:rsidRDefault="00C25E28" w:rsidP="00C25E28">
            <w:pPr>
              <w:spacing w:line="252" w:lineRule="auto"/>
              <w:jc w:val="right"/>
              <w:rPr>
                <w:rFonts w:ascii="Calibri" w:eastAsia="Calibri" w:hAnsi="Calibri"/>
                <w:sz w:val="18"/>
                <w:szCs w:val="18"/>
                <w:lang w:eastAsia="sl-SI"/>
              </w:rPr>
            </w:pPr>
          </w:p>
          <w:p w14:paraId="47DF8CAD" w14:textId="77777777" w:rsidR="00C25E28" w:rsidRPr="005E4BEA" w:rsidRDefault="00C25E28" w:rsidP="00C25E28">
            <w:pPr>
              <w:spacing w:line="252" w:lineRule="auto"/>
              <w:jc w:val="right"/>
              <w:rPr>
                <w:rFonts w:ascii="Calibri" w:eastAsia="Calibri" w:hAnsi="Calibri"/>
                <w:sz w:val="18"/>
                <w:szCs w:val="18"/>
                <w:lang w:eastAsia="sl-SI"/>
              </w:rPr>
            </w:pPr>
          </w:p>
          <w:p w14:paraId="6624B21F" w14:textId="77777777" w:rsidR="00C25E28" w:rsidRPr="005E4BEA" w:rsidRDefault="00C25E28" w:rsidP="00C25E28">
            <w:pPr>
              <w:spacing w:line="252" w:lineRule="auto"/>
              <w:jc w:val="right"/>
              <w:rPr>
                <w:rFonts w:ascii="Calibri" w:eastAsia="Calibri" w:hAnsi="Calibri"/>
                <w:sz w:val="18"/>
                <w:szCs w:val="18"/>
                <w:lang w:eastAsia="sl-SI"/>
              </w:rPr>
            </w:pPr>
          </w:p>
          <w:p w14:paraId="28D230F8" w14:textId="77777777" w:rsidR="00C25E28" w:rsidRPr="005E4BEA" w:rsidRDefault="00C25E28" w:rsidP="00C25E28">
            <w:pPr>
              <w:spacing w:line="252" w:lineRule="auto"/>
              <w:jc w:val="right"/>
              <w:rPr>
                <w:rFonts w:ascii="Calibri" w:eastAsia="Calibri" w:hAnsi="Calibri"/>
                <w:sz w:val="18"/>
                <w:szCs w:val="18"/>
                <w:lang w:eastAsia="sl-SI"/>
              </w:rPr>
            </w:pPr>
          </w:p>
          <w:p w14:paraId="22AD6E8A" w14:textId="77777777" w:rsidR="00C25E28" w:rsidRPr="005E4BEA" w:rsidRDefault="00C25E28" w:rsidP="00C25E28">
            <w:pPr>
              <w:spacing w:line="252" w:lineRule="auto"/>
              <w:jc w:val="right"/>
              <w:rPr>
                <w:rFonts w:ascii="Calibri" w:eastAsia="Calibri" w:hAnsi="Calibri"/>
                <w:sz w:val="18"/>
                <w:szCs w:val="18"/>
                <w:lang w:eastAsia="sl-SI"/>
              </w:rPr>
            </w:pPr>
          </w:p>
          <w:p w14:paraId="727672CE" w14:textId="77777777" w:rsidR="00C25E28" w:rsidRPr="005E4BEA" w:rsidRDefault="00C25E28" w:rsidP="00C25E28">
            <w:pPr>
              <w:spacing w:line="252" w:lineRule="auto"/>
              <w:jc w:val="right"/>
              <w:rPr>
                <w:rFonts w:ascii="Calibri" w:eastAsia="Calibri" w:hAnsi="Calibri"/>
                <w:sz w:val="18"/>
                <w:szCs w:val="18"/>
                <w:lang w:eastAsia="sl-SI"/>
              </w:rPr>
            </w:pPr>
          </w:p>
          <w:p w14:paraId="451F3E66" w14:textId="77777777" w:rsidR="00C25E28" w:rsidRPr="005E4BEA" w:rsidRDefault="00C25E28" w:rsidP="00C25E28">
            <w:pPr>
              <w:spacing w:line="252" w:lineRule="auto"/>
              <w:jc w:val="right"/>
              <w:rPr>
                <w:rFonts w:ascii="Calibri" w:eastAsia="Calibri" w:hAnsi="Calibri"/>
                <w:sz w:val="18"/>
                <w:szCs w:val="18"/>
                <w:lang w:eastAsia="sl-SI"/>
              </w:rPr>
            </w:pPr>
          </w:p>
          <w:p w14:paraId="5AA9A8BE" w14:textId="77777777" w:rsidR="00C25E28" w:rsidRPr="005E4BEA" w:rsidRDefault="00C25E28" w:rsidP="00C25E28">
            <w:pPr>
              <w:spacing w:line="252" w:lineRule="auto"/>
              <w:jc w:val="right"/>
              <w:rPr>
                <w:rFonts w:ascii="Calibri" w:eastAsia="Calibri" w:hAnsi="Calibri"/>
                <w:sz w:val="18"/>
                <w:szCs w:val="18"/>
                <w:lang w:eastAsia="sl-SI"/>
              </w:rPr>
            </w:pPr>
          </w:p>
          <w:p w14:paraId="39BB6B1F" w14:textId="77777777" w:rsidR="00C25E28" w:rsidRPr="005E4BEA" w:rsidRDefault="00C25E28" w:rsidP="00C25E28">
            <w:pPr>
              <w:spacing w:line="252" w:lineRule="auto"/>
              <w:jc w:val="right"/>
              <w:rPr>
                <w:rFonts w:ascii="Calibri" w:eastAsia="Calibri" w:hAnsi="Calibri"/>
                <w:sz w:val="18"/>
                <w:szCs w:val="18"/>
                <w:lang w:eastAsia="sl-SI"/>
              </w:rPr>
            </w:pPr>
          </w:p>
          <w:p w14:paraId="660965E4" w14:textId="77777777" w:rsidR="00C25E28" w:rsidRPr="005E4BEA" w:rsidRDefault="00C25E28" w:rsidP="00C25E28">
            <w:pPr>
              <w:spacing w:line="252" w:lineRule="auto"/>
              <w:jc w:val="right"/>
              <w:rPr>
                <w:rFonts w:ascii="Calibri" w:eastAsia="Calibri" w:hAnsi="Calibri"/>
                <w:sz w:val="18"/>
                <w:szCs w:val="18"/>
                <w:lang w:eastAsia="sl-SI"/>
              </w:rPr>
            </w:pPr>
          </w:p>
          <w:p w14:paraId="1196CFAC" w14:textId="77777777" w:rsidR="00C25E28" w:rsidRPr="005E4BEA" w:rsidRDefault="00C25E28" w:rsidP="00C25E28">
            <w:pPr>
              <w:spacing w:line="252" w:lineRule="auto"/>
              <w:jc w:val="right"/>
              <w:rPr>
                <w:rFonts w:ascii="Calibri" w:eastAsia="Calibri" w:hAnsi="Calibri"/>
                <w:sz w:val="18"/>
                <w:szCs w:val="18"/>
                <w:lang w:eastAsia="sl-SI"/>
              </w:rPr>
            </w:pPr>
          </w:p>
          <w:p w14:paraId="61A9A5EA" w14:textId="77777777" w:rsidR="00C25E28" w:rsidRPr="005E4BEA" w:rsidRDefault="00C25E28" w:rsidP="00C25E28">
            <w:pPr>
              <w:spacing w:line="252" w:lineRule="auto"/>
              <w:jc w:val="right"/>
              <w:rPr>
                <w:rFonts w:ascii="Calibri" w:eastAsia="Calibri" w:hAnsi="Calibri"/>
                <w:sz w:val="18"/>
                <w:szCs w:val="18"/>
                <w:lang w:eastAsia="sl-SI"/>
              </w:rPr>
            </w:pPr>
          </w:p>
          <w:p w14:paraId="444EF732" w14:textId="77777777" w:rsidR="00C25E28" w:rsidRPr="005E4BEA" w:rsidRDefault="00C25E28" w:rsidP="00C25E28">
            <w:pPr>
              <w:spacing w:line="252" w:lineRule="auto"/>
              <w:jc w:val="right"/>
              <w:rPr>
                <w:rFonts w:ascii="Calibri" w:eastAsia="Calibri" w:hAnsi="Calibri"/>
                <w:sz w:val="18"/>
                <w:szCs w:val="18"/>
                <w:lang w:eastAsia="sl-SI"/>
              </w:rPr>
            </w:pPr>
          </w:p>
          <w:p w14:paraId="246E164D" w14:textId="77777777" w:rsidR="00C25E28" w:rsidRPr="005E4BEA" w:rsidRDefault="00C25E28" w:rsidP="00C25E28">
            <w:pPr>
              <w:spacing w:line="252" w:lineRule="auto"/>
              <w:jc w:val="right"/>
              <w:rPr>
                <w:rFonts w:ascii="Calibri" w:eastAsia="Calibri" w:hAnsi="Calibri"/>
                <w:sz w:val="18"/>
                <w:szCs w:val="18"/>
                <w:lang w:eastAsia="sl-SI"/>
              </w:rPr>
            </w:pPr>
          </w:p>
          <w:p w14:paraId="2E5A5959" w14:textId="77777777" w:rsidR="00C25E28" w:rsidRPr="005E4BEA" w:rsidRDefault="00C25E28" w:rsidP="00C25E28">
            <w:pPr>
              <w:spacing w:line="252" w:lineRule="auto"/>
              <w:jc w:val="right"/>
              <w:rPr>
                <w:rFonts w:ascii="Calibri" w:eastAsia="Calibri" w:hAnsi="Calibri"/>
                <w:sz w:val="18"/>
                <w:szCs w:val="18"/>
                <w:lang w:eastAsia="sl-SI"/>
              </w:rPr>
            </w:pPr>
          </w:p>
          <w:p w14:paraId="5B2268D9" w14:textId="77777777" w:rsidR="00C25E28" w:rsidRPr="005E4BEA" w:rsidRDefault="00C25E28" w:rsidP="00C25E28">
            <w:pPr>
              <w:spacing w:line="252" w:lineRule="auto"/>
              <w:jc w:val="right"/>
              <w:rPr>
                <w:rFonts w:ascii="Calibri" w:eastAsia="Calibri" w:hAnsi="Calibri"/>
                <w:sz w:val="18"/>
                <w:szCs w:val="18"/>
                <w:lang w:eastAsia="sl-SI"/>
              </w:rPr>
            </w:pPr>
          </w:p>
          <w:p w14:paraId="521D2B8A" w14:textId="77777777" w:rsidR="00C25E28" w:rsidRPr="005E4BEA" w:rsidRDefault="00C25E28" w:rsidP="00C25E28">
            <w:pPr>
              <w:spacing w:line="252" w:lineRule="auto"/>
              <w:jc w:val="right"/>
              <w:rPr>
                <w:rFonts w:ascii="Calibri" w:eastAsia="Calibri" w:hAnsi="Calibri"/>
                <w:sz w:val="18"/>
                <w:szCs w:val="18"/>
                <w:lang w:eastAsia="sl-SI"/>
              </w:rPr>
            </w:pPr>
          </w:p>
          <w:p w14:paraId="441C3DC0" w14:textId="77777777" w:rsidR="00C25E28" w:rsidRPr="005E4BEA" w:rsidRDefault="00C25E28" w:rsidP="00C25E28">
            <w:pPr>
              <w:spacing w:line="252" w:lineRule="auto"/>
              <w:jc w:val="right"/>
              <w:rPr>
                <w:rFonts w:ascii="Calibri" w:eastAsia="Calibri" w:hAnsi="Calibri"/>
                <w:sz w:val="18"/>
                <w:szCs w:val="18"/>
                <w:lang w:eastAsia="sl-SI"/>
              </w:rPr>
            </w:pPr>
          </w:p>
          <w:p w14:paraId="0A79C8D1" w14:textId="77777777" w:rsidR="00C25E28" w:rsidRPr="005E4BEA" w:rsidRDefault="00C25E28" w:rsidP="00C25E28">
            <w:pPr>
              <w:spacing w:line="252" w:lineRule="auto"/>
              <w:jc w:val="right"/>
              <w:rPr>
                <w:rFonts w:ascii="Calibri" w:eastAsia="Calibri" w:hAnsi="Calibri"/>
                <w:sz w:val="18"/>
                <w:szCs w:val="18"/>
                <w:lang w:eastAsia="sl-SI"/>
              </w:rPr>
            </w:pPr>
          </w:p>
          <w:p w14:paraId="7D19BA23" w14:textId="77777777" w:rsidR="00C25E28" w:rsidRPr="005E4BEA" w:rsidRDefault="00C25E28" w:rsidP="00C25E28">
            <w:pPr>
              <w:spacing w:line="252" w:lineRule="auto"/>
              <w:jc w:val="right"/>
              <w:rPr>
                <w:rFonts w:ascii="Calibri" w:eastAsia="Calibri" w:hAnsi="Calibri"/>
                <w:sz w:val="18"/>
                <w:szCs w:val="18"/>
                <w:lang w:eastAsia="sl-SI"/>
              </w:rPr>
            </w:pPr>
          </w:p>
          <w:p w14:paraId="5F06C41A" w14:textId="77777777" w:rsidR="00C25E28" w:rsidRPr="005E4BEA" w:rsidRDefault="00C25E28" w:rsidP="00C25E28">
            <w:pPr>
              <w:spacing w:line="252" w:lineRule="auto"/>
              <w:jc w:val="right"/>
              <w:rPr>
                <w:rFonts w:ascii="Calibri" w:eastAsia="Calibri" w:hAnsi="Calibri"/>
                <w:sz w:val="18"/>
                <w:szCs w:val="18"/>
                <w:lang w:eastAsia="sl-SI"/>
              </w:rPr>
            </w:pPr>
          </w:p>
          <w:p w14:paraId="219E0F29" w14:textId="77777777" w:rsidR="00C25E28" w:rsidRPr="005E4BEA" w:rsidRDefault="00C25E28" w:rsidP="00C25E28">
            <w:pPr>
              <w:spacing w:line="252" w:lineRule="auto"/>
              <w:jc w:val="right"/>
              <w:rPr>
                <w:rFonts w:ascii="Calibri" w:eastAsia="Calibri" w:hAnsi="Calibri"/>
                <w:sz w:val="18"/>
                <w:szCs w:val="18"/>
                <w:lang w:eastAsia="sl-SI"/>
              </w:rPr>
            </w:pPr>
          </w:p>
          <w:p w14:paraId="47B85915" w14:textId="77777777" w:rsidR="00C25E28" w:rsidRPr="005E4BEA" w:rsidRDefault="00C25E28" w:rsidP="00C25E28">
            <w:pPr>
              <w:spacing w:line="252" w:lineRule="auto"/>
              <w:jc w:val="right"/>
              <w:rPr>
                <w:rFonts w:ascii="Calibri" w:eastAsia="Calibri" w:hAnsi="Calibri"/>
                <w:sz w:val="18"/>
                <w:szCs w:val="18"/>
                <w:lang w:eastAsia="sl-SI"/>
              </w:rPr>
            </w:pPr>
          </w:p>
          <w:p w14:paraId="063E5585" w14:textId="77777777" w:rsidR="00C25E28" w:rsidRPr="005E4BEA" w:rsidRDefault="00C25E28" w:rsidP="00C25E28">
            <w:pPr>
              <w:spacing w:line="252" w:lineRule="auto"/>
              <w:jc w:val="right"/>
              <w:rPr>
                <w:rFonts w:ascii="Calibri" w:eastAsia="Calibri" w:hAnsi="Calibri"/>
                <w:sz w:val="18"/>
                <w:szCs w:val="18"/>
                <w:lang w:eastAsia="sl-SI"/>
              </w:rPr>
            </w:pPr>
          </w:p>
          <w:p w14:paraId="20638F75" w14:textId="77777777" w:rsidR="00C25E28" w:rsidRPr="005E4BEA" w:rsidRDefault="00C25E28" w:rsidP="00C25E28">
            <w:pPr>
              <w:spacing w:line="252" w:lineRule="auto"/>
              <w:jc w:val="right"/>
              <w:rPr>
                <w:rFonts w:ascii="Calibri" w:eastAsia="Calibri" w:hAnsi="Calibri"/>
                <w:sz w:val="18"/>
                <w:szCs w:val="18"/>
                <w:lang w:eastAsia="sl-SI"/>
              </w:rPr>
            </w:pPr>
          </w:p>
          <w:p w14:paraId="26834190" w14:textId="77777777" w:rsidR="00C25E28" w:rsidRPr="005E4BEA" w:rsidRDefault="00C25E28" w:rsidP="00C25E28">
            <w:pPr>
              <w:spacing w:line="252" w:lineRule="auto"/>
              <w:jc w:val="right"/>
              <w:rPr>
                <w:rFonts w:ascii="Calibri" w:eastAsia="Calibri" w:hAnsi="Calibri"/>
                <w:sz w:val="18"/>
                <w:szCs w:val="18"/>
                <w:lang w:eastAsia="sl-SI"/>
              </w:rPr>
            </w:pPr>
          </w:p>
          <w:p w14:paraId="147704C9" w14:textId="77777777" w:rsidR="00C25E28" w:rsidRPr="005E4BEA" w:rsidRDefault="00C25E28" w:rsidP="00C25E28">
            <w:pPr>
              <w:spacing w:line="252" w:lineRule="auto"/>
              <w:jc w:val="right"/>
              <w:rPr>
                <w:rFonts w:ascii="Calibri" w:eastAsia="Calibri" w:hAnsi="Calibri"/>
                <w:sz w:val="18"/>
                <w:szCs w:val="18"/>
                <w:lang w:eastAsia="sl-SI"/>
              </w:rPr>
            </w:pPr>
          </w:p>
          <w:p w14:paraId="34FF53D5" w14:textId="77777777" w:rsidR="00C25E28" w:rsidRPr="005E4BEA" w:rsidRDefault="00C25E28" w:rsidP="00C25E28">
            <w:pPr>
              <w:spacing w:line="252" w:lineRule="auto"/>
              <w:jc w:val="right"/>
              <w:rPr>
                <w:rFonts w:ascii="Calibri" w:eastAsia="Calibri" w:hAnsi="Calibri"/>
                <w:sz w:val="18"/>
                <w:szCs w:val="18"/>
                <w:lang w:eastAsia="sl-SI"/>
              </w:rPr>
            </w:pPr>
          </w:p>
        </w:tc>
      </w:tr>
    </w:tbl>
    <w:p w14:paraId="784F0F2C" w14:textId="77777777" w:rsidR="00012897" w:rsidRPr="005E4BEA" w:rsidRDefault="00012897" w:rsidP="00C25E28">
      <w:pPr>
        <w:spacing w:line="240" w:lineRule="auto"/>
        <w:jc w:val="both"/>
        <w:rPr>
          <w:rFonts w:eastAsia="Calibri" w:cs="Arial"/>
          <w:szCs w:val="20"/>
          <w:lang w:eastAsia="sl-SI"/>
        </w:rPr>
      </w:pPr>
      <w:bookmarkStart w:id="97" w:name="_Hlk102656297"/>
      <w:r w:rsidRPr="005E4BEA">
        <w:rPr>
          <w:rFonts w:eastAsia="Calibri" w:cs="Arial"/>
          <w:szCs w:val="20"/>
          <w:lang w:eastAsia="sl-SI"/>
        </w:rPr>
        <w:t>Opomba: delovna skupina pripravi predlog za uvedbo pregleda uporabe zdravil (PUZ) in kontrolnih pregledov uporabe zdravil (KPUZ) do 1.1.2024</w:t>
      </w:r>
    </w:p>
    <w:bookmarkEnd w:id="97"/>
    <w:p w14:paraId="3BB020D7" w14:textId="00DEA43B" w:rsidR="00012897" w:rsidRPr="005E4BEA" w:rsidRDefault="00012897" w:rsidP="00C25E28">
      <w:pPr>
        <w:spacing w:line="240" w:lineRule="auto"/>
        <w:jc w:val="both"/>
        <w:rPr>
          <w:rFonts w:eastAsia="Calibri" w:cs="Arial"/>
          <w:szCs w:val="20"/>
          <w:lang w:eastAsia="sl-SI"/>
        </w:rPr>
      </w:pPr>
      <w:r w:rsidRPr="005E4BEA">
        <w:rPr>
          <w:rFonts w:eastAsia="Calibri" w:cs="Arial"/>
          <w:szCs w:val="20"/>
          <w:lang w:eastAsia="sl-SI"/>
        </w:rPr>
        <w:t xml:space="preserve"> </w:t>
      </w:r>
    </w:p>
    <w:p w14:paraId="27F9982D" w14:textId="77777777" w:rsidR="00C25E28" w:rsidRPr="005E4BEA" w:rsidRDefault="00C25E28" w:rsidP="00C25E28">
      <w:pPr>
        <w:spacing w:line="240" w:lineRule="auto"/>
        <w:jc w:val="both"/>
        <w:rPr>
          <w:rFonts w:ascii="Calibri" w:eastAsia="Calibri" w:hAnsi="Calibri"/>
          <w:b/>
          <w:bCs/>
          <w:sz w:val="22"/>
          <w:szCs w:val="22"/>
          <w:lang w:eastAsia="sl-SI"/>
        </w:rPr>
      </w:pPr>
      <w:r w:rsidRPr="005E4BEA">
        <w:rPr>
          <w:rFonts w:ascii="Calibri" w:eastAsia="Calibri" w:hAnsi="Calibri"/>
          <w:b/>
          <w:bCs/>
          <w:sz w:val="22"/>
          <w:szCs w:val="22"/>
          <w:lang w:eastAsia="sl-SI"/>
        </w:rPr>
        <w:t xml:space="preserve">V Prilogi </w:t>
      </w:r>
      <w:proofErr w:type="spellStart"/>
      <w:r w:rsidRPr="005E4BEA">
        <w:rPr>
          <w:rFonts w:ascii="Calibri" w:eastAsia="Calibri" w:hAnsi="Calibri"/>
          <w:b/>
          <w:bCs/>
          <w:sz w:val="22"/>
          <w:szCs w:val="22"/>
          <w:lang w:eastAsia="sl-SI"/>
        </w:rPr>
        <w:t>Ib</w:t>
      </w:r>
      <w:proofErr w:type="spellEnd"/>
      <w:r w:rsidRPr="005E4BEA">
        <w:rPr>
          <w:rFonts w:ascii="Calibri" w:eastAsia="Calibri" w:hAnsi="Calibri"/>
          <w:b/>
          <w:bCs/>
          <w:sz w:val="22"/>
          <w:szCs w:val="22"/>
          <w:lang w:eastAsia="sl-SI"/>
        </w:rPr>
        <w:t xml:space="preserve"> se doda nova storitev, ki se glasi:</w:t>
      </w:r>
    </w:p>
    <w:p w14:paraId="2D4FB510" w14:textId="77777777" w:rsidR="00C25E28" w:rsidRPr="005E4BEA" w:rsidRDefault="00C25E28" w:rsidP="00C25E28">
      <w:pPr>
        <w:spacing w:line="240" w:lineRule="auto"/>
        <w:rPr>
          <w:rFonts w:ascii="Century Gothic" w:eastAsia="Calibri" w:hAnsi="Century Gothic"/>
          <w:sz w:val="24"/>
          <w:szCs w:val="22"/>
          <w:lang w:eastAsia="sl-SI"/>
        </w:rPr>
      </w:pPr>
    </w:p>
    <w:tbl>
      <w:tblPr>
        <w:tblW w:w="5000" w:type="pct"/>
        <w:tblCellMar>
          <w:left w:w="0" w:type="dxa"/>
          <w:right w:w="0" w:type="dxa"/>
        </w:tblCellMar>
        <w:tblLook w:val="04A0" w:firstRow="1" w:lastRow="0" w:firstColumn="1" w:lastColumn="0" w:noHBand="0" w:noVBand="1"/>
      </w:tblPr>
      <w:tblGrid>
        <w:gridCol w:w="566"/>
        <w:gridCol w:w="804"/>
        <w:gridCol w:w="741"/>
        <w:gridCol w:w="5129"/>
        <w:gridCol w:w="656"/>
        <w:gridCol w:w="582"/>
      </w:tblGrid>
      <w:tr w:rsidR="00C25E28" w:rsidRPr="005E4BEA" w14:paraId="56908B2E" w14:textId="77777777" w:rsidTr="0016774B">
        <w:trPr>
          <w:trHeight w:val="675"/>
        </w:trPr>
        <w:tc>
          <w:tcPr>
            <w:tcW w:w="200" w:type="pct"/>
            <w:tcBorders>
              <w:top w:val="single" w:sz="8" w:space="0" w:color="808080"/>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65E201EC"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lastRenderedPageBreak/>
              <w:t>Vrsta</w:t>
            </w:r>
          </w:p>
        </w:tc>
        <w:tc>
          <w:tcPr>
            <w:tcW w:w="200"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2A70B625"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t>Podvrsta</w:t>
            </w:r>
          </w:p>
        </w:tc>
        <w:tc>
          <w:tcPr>
            <w:tcW w:w="292"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41086323"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t>Storitev</w:t>
            </w:r>
          </w:p>
        </w:tc>
        <w:tc>
          <w:tcPr>
            <w:tcW w:w="3456"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79D00A4E"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t>Naziv</w:t>
            </w:r>
          </w:p>
        </w:tc>
        <w:tc>
          <w:tcPr>
            <w:tcW w:w="568"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3D285550" w14:textId="77777777" w:rsidR="00C25E28" w:rsidRPr="005E4BEA" w:rsidRDefault="00C25E28" w:rsidP="00C25E28">
            <w:pPr>
              <w:spacing w:line="252" w:lineRule="auto"/>
              <w:jc w:val="center"/>
              <w:rPr>
                <w:rFonts w:ascii="Calibri" w:eastAsia="Calibri" w:hAnsi="Calibri"/>
                <w:b/>
                <w:bCs/>
                <w:color w:val="7030A0"/>
                <w:sz w:val="16"/>
                <w:szCs w:val="16"/>
                <w:lang w:eastAsia="sl-SI"/>
              </w:rPr>
            </w:pPr>
            <w:r w:rsidRPr="005E4BEA">
              <w:rPr>
                <w:rFonts w:ascii="Calibri" w:eastAsia="Calibri" w:hAnsi="Calibri"/>
                <w:b/>
                <w:bCs/>
                <w:color w:val="7030A0"/>
                <w:sz w:val="16"/>
                <w:szCs w:val="16"/>
                <w:lang w:eastAsia="sl-SI"/>
              </w:rPr>
              <w:t>Enota mere</w:t>
            </w:r>
          </w:p>
        </w:tc>
        <w:tc>
          <w:tcPr>
            <w:tcW w:w="284"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4F5DA505" w14:textId="77777777" w:rsidR="00C25E28" w:rsidRPr="005E4BEA" w:rsidRDefault="00C25E28" w:rsidP="00C25E28">
            <w:pPr>
              <w:spacing w:line="252" w:lineRule="auto"/>
              <w:jc w:val="center"/>
              <w:rPr>
                <w:rFonts w:ascii="Calibri" w:eastAsia="Calibri" w:hAnsi="Calibri"/>
                <w:b/>
                <w:bCs/>
                <w:color w:val="7030A0"/>
                <w:sz w:val="16"/>
                <w:szCs w:val="16"/>
                <w:lang w:eastAsia="sl-SI"/>
              </w:rPr>
            </w:pPr>
            <w:r w:rsidRPr="005E4BEA">
              <w:rPr>
                <w:rFonts w:ascii="Calibri" w:eastAsia="Calibri" w:hAnsi="Calibri"/>
                <w:b/>
                <w:bCs/>
                <w:color w:val="7030A0"/>
                <w:sz w:val="16"/>
                <w:szCs w:val="16"/>
                <w:lang w:eastAsia="sl-SI"/>
              </w:rPr>
              <w:t>CENA</w:t>
            </w:r>
          </w:p>
        </w:tc>
      </w:tr>
      <w:tr w:rsidR="00C25E28" w:rsidRPr="005E4BEA" w14:paraId="4C874DE6" w14:textId="77777777" w:rsidTr="0016774B">
        <w:trPr>
          <w:trHeight w:val="22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2383FCD"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101</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2F45804"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300</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32E1624E"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E0xxx</w:t>
            </w:r>
          </w:p>
        </w:tc>
        <w:tc>
          <w:tcPr>
            <w:tcW w:w="3456"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B851472"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za brezšivno skrb v bolnišnični obravnavi</w:t>
            </w:r>
          </w:p>
        </w:tc>
        <w:tc>
          <w:tcPr>
            <w:tcW w:w="568"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B6DFF2E" w14:textId="77777777" w:rsidR="00C25E28" w:rsidRPr="005E4BEA" w:rsidRDefault="00C25E28" w:rsidP="00C25E28">
            <w:pPr>
              <w:spacing w:line="252" w:lineRule="auto"/>
              <w:jc w:val="center"/>
              <w:rPr>
                <w:rFonts w:ascii="Calibri" w:eastAsia="Calibri" w:hAnsi="Calibri"/>
                <w:color w:val="000099"/>
                <w:sz w:val="16"/>
                <w:szCs w:val="16"/>
                <w:lang w:eastAsia="sl-SI"/>
              </w:rPr>
            </w:pPr>
            <w:r w:rsidRPr="005E4BEA">
              <w:rPr>
                <w:rFonts w:ascii="Calibri" w:eastAsia="Calibri" w:hAnsi="Calibri"/>
                <w:color w:val="000099"/>
                <w:sz w:val="16"/>
                <w:szCs w:val="16"/>
                <w:lang w:eastAsia="sl-SI"/>
              </w:rPr>
              <w:t>primer</w:t>
            </w:r>
          </w:p>
        </w:tc>
        <w:tc>
          <w:tcPr>
            <w:tcW w:w="28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5E3502B"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38,21</w:t>
            </w:r>
          </w:p>
        </w:tc>
      </w:tr>
      <w:tr w:rsidR="00C25E28" w:rsidRPr="005E4BEA" w14:paraId="787B2534" w14:textId="77777777" w:rsidTr="0016774B">
        <w:trPr>
          <w:trHeight w:val="22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DC446F2"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104</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DE29C4F"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305</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9938035"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E0xxx</w:t>
            </w:r>
          </w:p>
        </w:tc>
        <w:tc>
          <w:tcPr>
            <w:tcW w:w="3456"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AAA2E53"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za brezšivno skrb v bolnišnični obravnavi</w:t>
            </w:r>
          </w:p>
        </w:tc>
        <w:tc>
          <w:tcPr>
            <w:tcW w:w="568"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DBFDB0E" w14:textId="77777777" w:rsidR="00C25E28" w:rsidRPr="005E4BEA" w:rsidRDefault="00C25E28" w:rsidP="00C25E28">
            <w:pPr>
              <w:spacing w:line="252" w:lineRule="auto"/>
              <w:jc w:val="center"/>
              <w:rPr>
                <w:rFonts w:ascii="Calibri" w:eastAsia="Calibri" w:hAnsi="Calibri"/>
                <w:color w:val="000099"/>
                <w:sz w:val="16"/>
                <w:szCs w:val="16"/>
                <w:lang w:eastAsia="sl-SI"/>
              </w:rPr>
            </w:pPr>
            <w:r w:rsidRPr="005E4BEA">
              <w:rPr>
                <w:rFonts w:ascii="Calibri" w:eastAsia="Calibri" w:hAnsi="Calibri"/>
                <w:color w:val="000099"/>
                <w:sz w:val="16"/>
                <w:szCs w:val="16"/>
                <w:lang w:eastAsia="sl-SI"/>
              </w:rPr>
              <w:t>primer</w:t>
            </w:r>
          </w:p>
        </w:tc>
        <w:tc>
          <w:tcPr>
            <w:tcW w:w="28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44364B5"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38,21</w:t>
            </w:r>
          </w:p>
        </w:tc>
      </w:tr>
      <w:tr w:rsidR="00C25E28" w:rsidRPr="005E4BEA" w14:paraId="2B64A03B" w14:textId="77777777" w:rsidTr="0016774B">
        <w:trPr>
          <w:trHeight w:val="22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74F3799"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130</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514BE3A"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341</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7D28226"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E0xxx</w:t>
            </w:r>
          </w:p>
        </w:tc>
        <w:tc>
          <w:tcPr>
            <w:tcW w:w="3456"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1D7C5CB"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za brezšivno skrb v bolnišnični obravnavi</w:t>
            </w:r>
          </w:p>
        </w:tc>
        <w:tc>
          <w:tcPr>
            <w:tcW w:w="568"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DCBDC5A" w14:textId="77777777" w:rsidR="00C25E28" w:rsidRPr="005E4BEA" w:rsidRDefault="00C25E28" w:rsidP="00C25E28">
            <w:pPr>
              <w:spacing w:line="252" w:lineRule="auto"/>
              <w:jc w:val="center"/>
              <w:rPr>
                <w:rFonts w:ascii="Calibri" w:eastAsia="Calibri" w:hAnsi="Calibri"/>
                <w:color w:val="000099"/>
                <w:sz w:val="16"/>
                <w:szCs w:val="16"/>
                <w:lang w:eastAsia="sl-SI"/>
              </w:rPr>
            </w:pPr>
            <w:r w:rsidRPr="005E4BEA">
              <w:rPr>
                <w:rFonts w:ascii="Calibri" w:eastAsia="Calibri" w:hAnsi="Calibri"/>
                <w:color w:val="000099"/>
                <w:sz w:val="16"/>
                <w:szCs w:val="16"/>
                <w:lang w:eastAsia="sl-SI"/>
              </w:rPr>
              <w:t>primer</w:t>
            </w:r>
          </w:p>
        </w:tc>
        <w:tc>
          <w:tcPr>
            <w:tcW w:w="28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0D16034"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38,21</w:t>
            </w:r>
          </w:p>
        </w:tc>
      </w:tr>
      <w:tr w:rsidR="00C25E28" w:rsidRPr="005E4BEA" w14:paraId="64D9C387" w14:textId="77777777" w:rsidTr="0016774B">
        <w:trPr>
          <w:trHeight w:val="46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4E63BC4B" w14:textId="77777777" w:rsidR="00C25E28" w:rsidRPr="005E4BEA" w:rsidRDefault="00C25E28" w:rsidP="00C25E28">
            <w:pPr>
              <w:spacing w:line="240" w:lineRule="auto"/>
              <w:rPr>
                <w:rFonts w:ascii="Calibri" w:eastAsia="Calibri" w:hAnsi="Calibri"/>
                <w:color w:val="000099"/>
                <w:sz w:val="16"/>
                <w:szCs w:val="16"/>
                <w:lang w:eastAsia="sl-SI"/>
              </w:rPr>
            </w:pP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633B6050"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77EAB972"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2D94932"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Bolnišnice lahko pošljejo realizacijo v okviru plana 101 300 na vseh podvrstah 301 Akutna bolnišnična obravnava – SPP, v okviru plana 130 341 pa za storitve E0051, E0055, E0750.</w:t>
            </w:r>
          </w:p>
        </w:tc>
      </w:tr>
      <w:tr w:rsidR="00C25E28" w:rsidRPr="005E4BEA" w14:paraId="7DBB9CFD" w14:textId="77777777" w:rsidTr="0016774B">
        <w:trPr>
          <w:trHeight w:val="46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112EED03" w14:textId="77777777" w:rsidR="00C25E28" w:rsidRPr="005E4BEA" w:rsidRDefault="00C25E28" w:rsidP="00C25E28">
            <w:pPr>
              <w:spacing w:line="240" w:lineRule="auto"/>
              <w:rPr>
                <w:rFonts w:ascii="Century Gothic" w:eastAsia="Calibri" w:hAnsi="Century Gothic"/>
                <w:sz w:val="24"/>
                <w:szCs w:val="22"/>
                <w:lang w:eastAsia="sl-SI"/>
              </w:rPr>
            </w:pP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04743D6"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90247FA"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4790167D"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Brezšivna skrb v okviru bolnišnične obravnave predstavlja izvajanje neprekinjene oskrbe bolnika z zdravili in neprekinjenega prenosa informacij o bolnikovem zdravljenju z zdravili pri prehodu med različnimi ravnmi zdravstvene dejavnosti; ki vključuje:  triažo bolnika v skladu z nacionalnim dokumentom, usklajevanje zdravil ob sprejemu bolnika (zgodovina zdravljenja z zdravili, pogovor z bolnikom / svojci), usklajevanje zdravil ob odpustu bolnika (svetovanje bolniku /svojcem o zdravljenju z zdravili), izdelava in vročitev OKZ - osebne kartice zdravil bolniku in prenos v CRPP.</w:t>
            </w:r>
            <w:r w:rsidRPr="005E4BEA">
              <w:rPr>
                <w:rFonts w:ascii="Calibri" w:eastAsia="Calibri" w:hAnsi="Calibri"/>
                <w:color w:val="000000"/>
                <w:sz w:val="22"/>
                <w:szCs w:val="22"/>
                <w:lang w:eastAsia="sl-SI"/>
              </w:rPr>
              <w:t xml:space="preserve">     </w:t>
            </w:r>
          </w:p>
        </w:tc>
      </w:tr>
      <w:tr w:rsidR="00C25E28" w:rsidRPr="005E4BEA" w14:paraId="1D944118" w14:textId="77777777" w:rsidTr="0016774B">
        <w:trPr>
          <w:trHeight w:val="28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1827F1D"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6532FE9"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6061D635"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463A3EB"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se obračuna za paciente, ki so hospitalizirani najmanj 48 ur ali dolgotrajno dnevno obravnavani najmanj 3 krat. Pogoj za plačilo je prenos dokumenta OKZ v CRPP.</w:t>
            </w:r>
          </w:p>
        </w:tc>
      </w:tr>
      <w:tr w:rsidR="00C25E28" w:rsidRPr="005E4BEA" w14:paraId="116BA2E3" w14:textId="77777777" w:rsidTr="0016774B">
        <w:trPr>
          <w:trHeight w:val="270"/>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B91FD93" w14:textId="77777777" w:rsidR="00C25E28" w:rsidRPr="005E4BEA" w:rsidRDefault="00C25E28" w:rsidP="00C25E28">
            <w:pPr>
              <w:spacing w:line="240" w:lineRule="auto"/>
              <w:rPr>
                <w:rFonts w:ascii="Century Gothic" w:eastAsia="Calibri" w:hAnsi="Century Gothic"/>
                <w:sz w:val="24"/>
                <w:szCs w:val="22"/>
                <w:lang w:eastAsia="sl-SI"/>
              </w:rPr>
            </w:pP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AB9D1AA"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15AD1165" w14:textId="77777777" w:rsidR="00C25E28" w:rsidRPr="005E4BEA" w:rsidRDefault="00C25E28" w:rsidP="00C25E28">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B8110BB" w14:textId="77777777" w:rsidR="00C25E28" w:rsidRPr="005E4BEA" w:rsidRDefault="00C25E28" w:rsidP="00C25E28">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Obseg in vrednost: en tim predstavlja 1.320 primerov, pri čemer je upoštevan kader (1 farmacevt specialist, 0,15 ATK), ovrednoten po enakih kriterijih kot farmacevt specialist (E0618), 1.000 EUR materialnih stroškov, 200 EUR amortizacije, 1.290,09 EUR informatizacije.</w:t>
            </w:r>
          </w:p>
        </w:tc>
      </w:tr>
    </w:tbl>
    <w:p w14:paraId="6954A6D8" w14:textId="77777777" w:rsidR="00C25E28" w:rsidRPr="005E4BEA" w:rsidRDefault="00C25E28" w:rsidP="00C25E28">
      <w:pPr>
        <w:spacing w:line="120" w:lineRule="auto"/>
        <w:rPr>
          <w:rFonts w:ascii="Calibri" w:eastAsia="Calibri" w:hAnsi="Calibri"/>
          <w:sz w:val="22"/>
          <w:szCs w:val="22"/>
          <w:lang w:eastAsia="sl-SI"/>
        </w:rPr>
      </w:pPr>
    </w:p>
    <w:p w14:paraId="6F919823"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Sprememba velja od 1. 1. 2023.</w:t>
      </w:r>
    </w:p>
    <w:p w14:paraId="3F867798" w14:textId="77777777" w:rsidR="00C25E28" w:rsidRPr="005E4BEA" w:rsidRDefault="00C25E28" w:rsidP="00C25E28">
      <w:pPr>
        <w:spacing w:line="240" w:lineRule="auto"/>
        <w:rPr>
          <w:rFonts w:ascii="Calibri" w:eastAsia="Calibri" w:hAnsi="Calibri"/>
          <w:b/>
          <w:bCs/>
          <w:sz w:val="22"/>
          <w:szCs w:val="22"/>
          <w:lang w:eastAsia="sl-SI"/>
        </w:rPr>
      </w:pPr>
    </w:p>
    <w:p w14:paraId="24A6C5E2"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b/>
          <w:bCs/>
          <w:sz w:val="22"/>
          <w:szCs w:val="22"/>
          <w:lang w:eastAsia="sl-SI"/>
        </w:rPr>
        <w:t>V Prilogi III v (2) odstavku v 4. točki se doda nova alineja, ki se glasi:</w:t>
      </w:r>
    </w:p>
    <w:p w14:paraId="2D022367" w14:textId="77777777" w:rsidR="00C25E28" w:rsidRPr="005E4BEA" w:rsidRDefault="00C25E28" w:rsidP="00C25E28">
      <w:pPr>
        <w:spacing w:line="120" w:lineRule="auto"/>
        <w:rPr>
          <w:rFonts w:ascii="Calibri" w:eastAsia="Calibri" w:hAnsi="Calibri"/>
          <w:sz w:val="22"/>
          <w:szCs w:val="22"/>
          <w:lang w:eastAsia="sl-SI"/>
        </w:rPr>
      </w:pPr>
    </w:p>
    <w:p w14:paraId="4614F804"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 Dodatek za brezšivno skrb v bolnišnični obravnavi«</w:t>
      </w:r>
    </w:p>
    <w:p w14:paraId="2D7B83E0" w14:textId="77777777" w:rsidR="00C25E28" w:rsidRPr="005E4BEA" w:rsidRDefault="00C25E28" w:rsidP="00C25E28">
      <w:pPr>
        <w:spacing w:line="120" w:lineRule="auto"/>
        <w:rPr>
          <w:rFonts w:ascii="Calibri" w:eastAsia="Calibri" w:hAnsi="Calibri"/>
          <w:sz w:val="22"/>
          <w:szCs w:val="22"/>
          <w:lang w:eastAsia="sl-SI"/>
        </w:rPr>
      </w:pPr>
    </w:p>
    <w:p w14:paraId="767EFAB8"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Sprememba velja od 1. 1. 2023.</w:t>
      </w:r>
    </w:p>
    <w:p w14:paraId="00655697" w14:textId="77777777" w:rsidR="00C25E28" w:rsidRPr="005E4BEA" w:rsidRDefault="00C25E28" w:rsidP="00C25E28">
      <w:pPr>
        <w:spacing w:line="240" w:lineRule="auto"/>
        <w:rPr>
          <w:rFonts w:ascii="Calibri" w:eastAsia="Calibri" w:hAnsi="Calibri"/>
          <w:sz w:val="22"/>
          <w:szCs w:val="22"/>
          <w:lang w:eastAsia="sl-SI"/>
        </w:rPr>
      </w:pPr>
    </w:p>
    <w:p w14:paraId="4AB78824" w14:textId="77777777" w:rsidR="00C25E28" w:rsidRPr="005E4BEA" w:rsidRDefault="00C25E28" w:rsidP="00C25E28">
      <w:pPr>
        <w:spacing w:line="240" w:lineRule="auto"/>
        <w:jc w:val="both"/>
        <w:rPr>
          <w:rFonts w:ascii="Calibri" w:eastAsia="Calibri" w:hAnsi="Calibri"/>
          <w:b/>
          <w:bCs/>
          <w:sz w:val="22"/>
          <w:szCs w:val="22"/>
          <w:lang w:eastAsia="sl-SI"/>
        </w:rPr>
      </w:pPr>
      <w:r w:rsidRPr="005E4BEA">
        <w:rPr>
          <w:rFonts w:ascii="Calibri" w:eastAsia="Calibri" w:hAnsi="Calibri"/>
          <w:b/>
          <w:bCs/>
          <w:sz w:val="22"/>
          <w:szCs w:val="22"/>
          <w:lang w:eastAsia="sl-SI"/>
        </w:rPr>
        <w:t>V Prilogi BOL se za 9. členom doda nova točka  2.4. z naslovom Brezšivna skrb v bolnišnični dejavnosti in novi 10. člen, ki se glasi (ostali členi se preštevilčijo):</w:t>
      </w:r>
    </w:p>
    <w:p w14:paraId="7DEEAA23" w14:textId="77777777" w:rsidR="00C25E28" w:rsidRPr="005E4BEA" w:rsidRDefault="00C25E28" w:rsidP="00C25E28">
      <w:pPr>
        <w:spacing w:line="240" w:lineRule="auto"/>
        <w:jc w:val="both"/>
        <w:rPr>
          <w:rFonts w:ascii="Calibri" w:eastAsia="Calibri" w:hAnsi="Calibri"/>
          <w:b/>
          <w:bCs/>
          <w:sz w:val="22"/>
          <w:szCs w:val="22"/>
          <w:lang w:eastAsia="sl-SI"/>
        </w:rPr>
      </w:pPr>
    </w:p>
    <w:p w14:paraId="4801FFDE"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(1) Brezšivna skrb (v nadaljevanju BS) predstavlja zagotavljanje kontinuirane, neprekinjene oskrbe bolnika z zdravili in neprekinjenega prenosa informacij o bolnikovem zdravljenju z zdravili pri prehodu med različnimi ravnmi zdravstvene dejavnosti.</w:t>
      </w:r>
    </w:p>
    <w:p w14:paraId="0FC1CAEF" w14:textId="77777777" w:rsidR="00C25E28" w:rsidRPr="005E4BEA" w:rsidRDefault="00C25E28" w:rsidP="00C25E28">
      <w:pPr>
        <w:spacing w:line="240" w:lineRule="auto"/>
        <w:jc w:val="both"/>
        <w:rPr>
          <w:rFonts w:ascii="Calibri" w:eastAsia="Calibri" w:hAnsi="Calibri"/>
          <w:sz w:val="22"/>
          <w:szCs w:val="22"/>
          <w:lang w:eastAsia="sl-SI"/>
        </w:rPr>
      </w:pPr>
    </w:p>
    <w:p w14:paraId="1892D9CA"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 xml:space="preserve">(2) BS v bolnišnični dejavnosti izvajajo bolnišnični farmacevti, specialisti klinične farmacije. V BS sta vključeni dve storitvi, in sicer: brezšivna skrb v bolnišnični obravnavi in preskrba bolnika z novo uvedenimi zdravili ob njegovem odpustu. </w:t>
      </w:r>
    </w:p>
    <w:p w14:paraId="54B9DF3E"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 xml:space="preserve">1. Storitev Brezšivna skrb v bolnišnični obravnavi vključuje triažo bolnika v skladu z nacionalnim dokumentom, ki določa kriterije za vključitev bolnika v BS, usklajevanje zdravil ob sprejemu bolnika (zgodovina zdravljenja z zdravili, pogovor z bolnikom / svojci), usklajevanje zdravil ob odpustu bolnika (priprava dokumenta o terapiji ob odpustu, svetovanje bolniku /svojcem o zdravljenju z zdravili), izdelava in vročitev osebne kartice zdravil - OKZ bolniku in prenos v CRPP. </w:t>
      </w:r>
    </w:p>
    <w:p w14:paraId="79B62496"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 xml:space="preserve">2. Storitev preskrba bolnika z novo uvedenimi razvrščenimi zdravili se izvede ob odpustu. Bolniku se vroči po eno pakiranje na novo uvedenih zdravil v najmanjšem pakiranju, ki je bilo predpisano v ta namen. Beleženje izdaje  in obračun zdravila, se izvaja po enakem sistemu kot v lekarni na primarnem nivoju (2., 7. in 8. člen Priloge LEK SD), in sicer beleženje v sistemu e-recepta in on-line, obračunavanje pa po obstoječi AOR strukturi. Obračun bo potekal v okviru nove VZD za bolnišnično lekarno z nazivom »zdravila za brezšivno skrb«. </w:t>
      </w:r>
    </w:p>
    <w:p w14:paraId="5BA6913E" w14:textId="77777777" w:rsidR="00C25E28" w:rsidRPr="005E4BEA" w:rsidRDefault="00C25E28" w:rsidP="00C25E28">
      <w:pPr>
        <w:spacing w:line="240" w:lineRule="auto"/>
        <w:rPr>
          <w:rFonts w:ascii="Calibri" w:eastAsia="Calibri" w:hAnsi="Calibri"/>
          <w:sz w:val="22"/>
          <w:szCs w:val="22"/>
          <w:lang w:eastAsia="sl-SI"/>
        </w:rPr>
      </w:pPr>
    </w:p>
    <w:p w14:paraId="201ED004"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Sprememba velja od 1. 1. 2023.</w:t>
      </w:r>
    </w:p>
    <w:p w14:paraId="591EF0C9" w14:textId="77777777" w:rsidR="00C25E28" w:rsidRPr="005E4BEA" w:rsidRDefault="00C25E28" w:rsidP="00C25E28">
      <w:pPr>
        <w:spacing w:line="240" w:lineRule="auto"/>
        <w:jc w:val="both"/>
        <w:rPr>
          <w:rFonts w:ascii="Calibri" w:eastAsia="Calibri" w:hAnsi="Calibri"/>
          <w:sz w:val="22"/>
          <w:szCs w:val="22"/>
          <w:lang w:eastAsia="sl-SI"/>
        </w:rPr>
      </w:pPr>
    </w:p>
    <w:p w14:paraId="130825DD" w14:textId="77777777" w:rsidR="00C25E28" w:rsidRPr="005E4BEA" w:rsidRDefault="00C25E28" w:rsidP="00C25E28">
      <w:pPr>
        <w:spacing w:before="120" w:after="60" w:line="240" w:lineRule="auto"/>
        <w:jc w:val="both"/>
        <w:rPr>
          <w:rFonts w:ascii="Calibri" w:eastAsia="Calibri" w:hAnsi="Calibri"/>
          <w:b/>
          <w:bCs/>
          <w:sz w:val="22"/>
          <w:szCs w:val="22"/>
          <w:lang w:eastAsia="sl-SI"/>
        </w:rPr>
      </w:pPr>
      <w:r w:rsidRPr="005E4BEA">
        <w:rPr>
          <w:rFonts w:ascii="Calibri" w:eastAsia="Calibri" w:hAnsi="Calibri"/>
          <w:b/>
          <w:bCs/>
          <w:sz w:val="22"/>
          <w:szCs w:val="22"/>
          <w:lang w:eastAsia="sl-SI"/>
        </w:rPr>
        <w:t>Doda se četrti (4) odstavek v 8. členu Priloge LEK, tako da se glasi:</w:t>
      </w:r>
    </w:p>
    <w:p w14:paraId="3AA156C4" w14:textId="431444AF" w:rsidR="00C25E28" w:rsidRPr="005E4BEA" w:rsidRDefault="00C25E28" w:rsidP="00C25E28">
      <w:pPr>
        <w:autoSpaceDE w:val="0"/>
        <w:autoSpaceDN w:val="0"/>
        <w:spacing w:line="240" w:lineRule="atLeast"/>
        <w:jc w:val="both"/>
        <w:rPr>
          <w:rFonts w:ascii="Calibri" w:eastAsia="Calibri" w:hAnsi="Calibri"/>
          <w:sz w:val="22"/>
          <w:szCs w:val="22"/>
          <w:lang w:eastAsia="sl-SI"/>
        </w:rPr>
      </w:pPr>
      <w:r w:rsidRPr="005E4BEA">
        <w:rPr>
          <w:rFonts w:ascii="Calibri" w:eastAsia="Calibri" w:hAnsi="Calibri"/>
          <w:sz w:val="22"/>
          <w:szCs w:val="22"/>
          <w:lang w:eastAsia="sl-SI"/>
        </w:rPr>
        <w:lastRenderedPageBreak/>
        <w:t xml:space="preserve">(4) Izvajanje posodabljanja osebne kartice zdravil v lekarnah na primarni ravni bo zavod plačal na podlagi storitve, opredeljene v Seznamu storitev 15.24. </w:t>
      </w:r>
    </w:p>
    <w:p w14:paraId="2E7BB202" w14:textId="77777777" w:rsidR="00F7294C" w:rsidRPr="005E4BEA" w:rsidRDefault="00F7294C" w:rsidP="00012897">
      <w:pPr>
        <w:autoSpaceDE w:val="0"/>
        <w:autoSpaceDN w:val="0"/>
        <w:spacing w:line="240" w:lineRule="atLeast"/>
        <w:jc w:val="both"/>
      </w:pPr>
    </w:p>
    <w:p w14:paraId="0DF2E648" w14:textId="77777777" w:rsidR="00406310" w:rsidRPr="005E4BEA" w:rsidRDefault="00406310" w:rsidP="00406310">
      <w:pPr>
        <w:spacing w:line="0" w:lineRule="atLeast"/>
        <w:jc w:val="both"/>
        <w:rPr>
          <w:rFonts w:eastAsia="Arial Narrow" w:cs="Arial"/>
          <w:szCs w:val="20"/>
          <w:lang w:eastAsia="sl-SI"/>
        </w:rPr>
      </w:pPr>
    </w:p>
    <w:p w14:paraId="5B410C65" w14:textId="17379C8B" w:rsidR="00C25E28" w:rsidRPr="005E4BEA" w:rsidRDefault="00406310" w:rsidP="00C25E28">
      <w:pPr>
        <w:jc w:val="both"/>
        <w:rPr>
          <w:rFonts w:ascii="Calibri" w:eastAsia="Calibri" w:hAnsi="Calibri"/>
          <w:sz w:val="22"/>
          <w:szCs w:val="22"/>
          <w:lang w:eastAsia="sl-SI"/>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98" w:name="_Hlk102471347"/>
      <w:r w:rsidRPr="005E4BEA">
        <w:rPr>
          <w:rFonts w:eastAsia="Arial Narrow" w:cs="Arial"/>
          <w:szCs w:val="20"/>
        </w:rPr>
        <w:t>da</w:t>
      </w:r>
      <w:r w:rsidRPr="005E4BEA">
        <w:rPr>
          <w:rFonts w:eastAsia="Arial Narrow" w:cs="Arial"/>
          <w:b/>
          <w:szCs w:val="20"/>
        </w:rPr>
        <w:t xml:space="preserve"> </w:t>
      </w:r>
      <w:r w:rsidRPr="005E4BEA">
        <w:rPr>
          <w:rFonts w:eastAsia="Arial Narrow" w:cs="Arial"/>
          <w:szCs w:val="20"/>
        </w:rPr>
        <w:t xml:space="preserve">se </w:t>
      </w:r>
      <w:r w:rsidR="00C25E28" w:rsidRPr="005E4BEA">
        <w:rPr>
          <w:rFonts w:ascii="Calibri" w:eastAsia="Calibri" w:hAnsi="Calibri"/>
          <w:sz w:val="22"/>
          <w:szCs w:val="22"/>
          <w:lang w:eastAsia="sl-SI"/>
        </w:rPr>
        <w:t>v 24. členu v šestem odstavku doda nova točka, ki se glasi:</w:t>
      </w:r>
    </w:p>
    <w:p w14:paraId="69856C9C" w14:textId="77777777" w:rsidR="00C25E28" w:rsidRPr="005E4BEA" w:rsidRDefault="00C25E28" w:rsidP="00C25E28">
      <w:pPr>
        <w:spacing w:line="240" w:lineRule="auto"/>
        <w:jc w:val="both"/>
        <w:rPr>
          <w:rFonts w:ascii="Calibri" w:eastAsia="Calibri" w:hAnsi="Calibri"/>
          <w:b/>
          <w:bCs/>
          <w:sz w:val="22"/>
          <w:szCs w:val="22"/>
          <w:lang w:eastAsia="sl-SI"/>
        </w:rPr>
      </w:pPr>
    </w:p>
    <w:tbl>
      <w:tblPr>
        <w:tblW w:w="9015" w:type="dxa"/>
        <w:tblInd w:w="60" w:type="dxa"/>
        <w:tblCellMar>
          <w:left w:w="0" w:type="dxa"/>
          <w:right w:w="0" w:type="dxa"/>
        </w:tblCellMar>
        <w:tblLook w:val="04A0" w:firstRow="1" w:lastRow="0" w:firstColumn="1" w:lastColumn="0" w:noHBand="0" w:noVBand="1"/>
      </w:tblPr>
      <w:tblGrid>
        <w:gridCol w:w="3193"/>
        <w:gridCol w:w="2186"/>
        <w:gridCol w:w="1271"/>
        <w:gridCol w:w="1094"/>
        <w:gridCol w:w="1271"/>
      </w:tblGrid>
      <w:tr w:rsidR="00C25E28" w:rsidRPr="005E4BEA" w14:paraId="0A285713" w14:textId="77777777" w:rsidTr="0016774B">
        <w:trPr>
          <w:trHeight w:val="720"/>
        </w:trPr>
        <w:tc>
          <w:tcPr>
            <w:tcW w:w="3193" w:type="dxa"/>
            <w:tcBorders>
              <w:top w:val="single" w:sz="8" w:space="0" w:color="548DD4"/>
              <w:left w:val="single" w:sz="8" w:space="0" w:color="548DD4"/>
              <w:bottom w:val="single" w:sz="8" w:space="0" w:color="548DD4"/>
              <w:right w:val="single" w:sz="8" w:space="0" w:color="548DD4"/>
            </w:tcBorders>
            <w:tcMar>
              <w:top w:w="0" w:type="dxa"/>
              <w:left w:w="108" w:type="dxa"/>
              <w:bottom w:w="0" w:type="dxa"/>
              <w:right w:w="108" w:type="dxa"/>
            </w:tcMar>
            <w:vAlign w:val="center"/>
            <w:hideMark/>
          </w:tcPr>
          <w:p w14:paraId="3EA4886B" w14:textId="77777777" w:rsidR="00C25E28" w:rsidRPr="005E4BEA" w:rsidRDefault="00C25E28" w:rsidP="0016774B">
            <w:pPr>
              <w:spacing w:line="252" w:lineRule="auto"/>
              <w:rPr>
                <w:rFonts w:ascii="Calibri" w:eastAsia="Calibri" w:hAnsi="Calibri"/>
                <w:szCs w:val="20"/>
                <w:lang w:eastAsia="sl-SI"/>
              </w:rPr>
            </w:pPr>
            <w:r w:rsidRPr="005E4BEA">
              <w:rPr>
                <w:rFonts w:ascii="Calibri" w:eastAsia="Calibri" w:hAnsi="Calibri"/>
                <w:szCs w:val="20"/>
                <w:lang w:eastAsia="sl-SI"/>
              </w:rPr>
              <w:t>P   r   o   g   r   a   m</w:t>
            </w:r>
          </w:p>
        </w:tc>
        <w:tc>
          <w:tcPr>
            <w:tcW w:w="2186" w:type="dxa"/>
            <w:tcBorders>
              <w:top w:val="single" w:sz="8" w:space="0" w:color="548DD4"/>
              <w:left w:val="nil"/>
              <w:bottom w:val="single" w:sz="8" w:space="0" w:color="548DD4"/>
              <w:right w:val="single" w:sz="8" w:space="0" w:color="548DD4"/>
            </w:tcBorders>
            <w:tcMar>
              <w:top w:w="0" w:type="dxa"/>
              <w:left w:w="108" w:type="dxa"/>
              <w:bottom w:w="0" w:type="dxa"/>
              <w:right w:w="108" w:type="dxa"/>
            </w:tcMar>
            <w:vAlign w:val="center"/>
            <w:hideMark/>
          </w:tcPr>
          <w:p w14:paraId="4912525A" w14:textId="77777777" w:rsidR="00C25E28" w:rsidRPr="005E4BEA" w:rsidRDefault="00C25E28" w:rsidP="0016774B">
            <w:pPr>
              <w:spacing w:after="240" w:line="252" w:lineRule="auto"/>
              <w:jc w:val="both"/>
              <w:rPr>
                <w:rFonts w:ascii="Calibri" w:eastAsia="Calibri" w:hAnsi="Calibri"/>
                <w:b/>
                <w:bCs/>
                <w:sz w:val="18"/>
                <w:szCs w:val="18"/>
                <w:lang w:eastAsia="sl-SI"/>
              </w:rPr>
            </w:pPr>
            <w:r w:rsidRPr="005E4BEA">
              <w:rPr>
                <w:rFonts w:ascii="Calibri" w:eastAsia="Calibri" w:hAnsi="Calibri"/>
                <w:b/>
                <w:bCs/>
                <w:sz w:val="18"/>
                <w:szCs w:val="18"/>
                <w:lang w:eastAsia="sl-SI"/>
              </w:rPr>
              <w:t xml:space="preserve">I z v a j a l e c </w:t>
            </w:r>
          </w:p>
        </w:tc>
        <w:tc>
          <w:tcPr>
            <w:tcW w:w="1271" w:type="dxa"/>
            <w:tcBorders>
              <w:top w:val="single" w:sz="8" w:space="0" w:color="548DD4"/>
              <w:left w:val="nil"/>
              <w:bottom w:val="single" w:sz="8" w:space="0" w:color="548DD4"/>
              <w:right w:val="single" w:sz="8" w:space="0" w:color="0070C0"/>
            </w:tcBorders>
            <w:tcMar>
              <w:top w:w="0" w:type="dxa"/>
              <w:left w:w="108" w:type="dxa"/>
              <w:bottom w:w="0" w:type="dxa"/>
              <w:right w:w="108" w:type="dxa"/>
            </w:tcMar>
            <w:vAlign w:val="center"/>
            <w:hideMark/>
          </w:tcPr>
          <w:p w14:paraId="5EEE2C99" w14:textId="77777777" w:rsidR="00C25E28" w:rsidRPr="005E4BEA" w:rsidRDefault="00C25E28" w:rsidP="0016774B">
            <w:pPr>
              <w:spacing w:line="252" w:lineRule="auto"/>
              <w:jc w:val="center"/>
              <w:rPr>
                <w:rFonts w:ascii="Calibri" w:eastAsia="Calibri" w:hAnsi="Calibri"/>
                <w:b/>
                <w:bCs/>
                <w:sz w:val="18"/>
                <w:szCs w:val="18"/>
                <w:lang w:eastAsia="sl-SI"/>
              </w:rPr>
            </w:pPr>
            <w:r w:rsidRPr="005E4BEA">
              <w:rPr>
                <w:rFonts w:ascii="Calibri" w:eastAsia="Calibri" w:hAnsi="Calibri"/>
                <w:b/>
                <w:bCs/>
                <w:sz w:val="18"/>
                <w:szCs w:val="18"/>
                <w:lang w:eastAsia="sl-SI"/>
              </w:rPr>
              <w:t>Obseg programa</w:t>
            </w:r>
          </w:p>
        </w:tc>
        <w:tc>
          <w:tcPr>
            <w:tcW w:w="1094" w:type="dxa"/>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hideMark/>
          </w:tcPr>
          <w:p w14:paraId="7231C49E" w14:textId="77777777" w:rsidR="00C25E28" w:rsidRPr="005E4BEA" w:rsidRDefault="00C25E28" w:rsidP="0016774B">
            <w:pPr>
              <w:spacing w:line="252" w:lineRule="auto"/>
              <w:jc w:val="right"/>
              <w:rPr>
                <w:rFonts w:ascii="Calibri" w:eastAsia="Calibri" w:hAnsi="Calibri"/>
                <w:b/>
                <w:bCs/>
                <w:sz w:val="18"/>
                <w:szCs w:val="18"/>
                <w:lang w:eastAsia="sl-SI"/>
              </w:rPr>
            </w:pPr>
            <w:proofErr w:type="spellStart"/>
            <w:r w:rsidRPr="005E4BEA">
              <w:rPr>
                <w:rFonts w:ascii="Calibri" w:eastAsia="Calibri" w:hAnsi="Calibri"/>
                <w:b/>
                <w:bCs/>
                <w:sz w:val="18"/>
                <w:szCs w:val="18"/>
                <w:lang w:eastAsia="sl-SI"/>
              </w:rPr>
              <w:t>Dod</w:t>
            </w:r>
            <w:proofErr w:type="spellEnd"/>
            <w:r w:rsidRPr="005E4BEA">
              <w:rPr>
                <w:rFonts w:ascii="Calibri" w:eastAsia="Calibri" w:hAnsi="Calibri"/>
                <w:b/>
                <w:bCs/>
                <w:sz w:val="18"/>
                <w:szCs w:val="18"/>
                <w:lang w:eastAsia="sl-SI"/>
              </w:rPr>
              <w:t>. sred.</w:t>
            </w:r>
            <w:r w:rsidRPr="005E4BEA">
              <w:rPr>
                <w:rFonts w:ascii="Calibri" w:eastAsia="Calibri" w:hAnsi="Calibri"/>
                <w:b/>
                <w:bCs/>
                <w:sz w:val="18"/>
                <w:szCs w:val="18"/>
                <w:lang w:eastAsia="sl-SI"/>
              </w:rPr>
              <w:br/>
              <w:t>na letni ravni</w:t>
            </w:r>
            <w:r w:rsidRPr="005E4BEA">
              <w:rPr>
                <w:rFonts w:ascii="Calibri" w:eastAsia="Calibri" w:hAnsi="Calibri"/>
                <w:b/>
                <w:bCs/>
                <w:sz w:val="18"/>
                <w:szCs w:val="18"/>
                <w:lang w:eastAsia="sl-SI"/>
              </w:rPr>
              <w:br/>
              <w:t>(v EUR)</w:t>
            </w:r>
          </w:p>
        </w:tc>
        <w:tc>
          <w:tcPr>
            <w:tcW w:w="1271" w:type="dxa"/>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hideMark/>
          </w:tcPr>
          <w:p w14:paraId="7A50D5D5" w14:textId="77777777" w:rsidR="00C25E28" w:rsidRPr="005E4BEA" w:rsidRDefault="00C25E28" w:rsidP="0016774B">
            <w:pPr>
              <w:spacing w:line="252" w:lineRule="auto"/>
              <w:jc w:val="right"/>
              <w:rPr>
                <w:rFonts w:ascii="Calibri" w:eastAsia="Calibri" w:hAnsi="Calibri"/>
                <w:b/>
                <w:bCs/>
                <w:sz w:val="18"/>
                <w:szCs w:val="18"/>
                <w:lang w:eastAsia="sl-SI"/>
              </w:rPr>
            </w:pPr>
            <w:proofErr w:type="spellStart"/>
            <w:r w:rsidRPr="005E4BEA">
              <w:rPr>
                <w:rFonts w:ascii="Calibri" w:eastAsia="Calibri" w:hAnsi="Calibri"/>
                <w:b/>
                <w:bCs/>
                <w:sz w:val="18"/>
                <w:szCs w:val="18"/>
                <w:lang w:eastAsia="sl-SI"/>
              </w:rPr>
              <w:t>Dod</w:t>
            </w:r>
            <w:proofErr w:type="spellEnd"/>
            <w:r w:rsidRPr="005E4BEA">
              <w:rPr>
                <w:rFonts w:ascii="Calibri" w:eastAsia="Calibri" w:hAnsi="Calibri"/>
                <w:b/>
                <w:bCs/>
                <w:sz w:val="18"/>
                <w:szCs w:val="18"/>
                <w:lang w:eastAsia="sl-SI"/>
              </w:rPr>
              <w:t>. sred.</w:t>
            </w:r>
            <w:r w:rsidRPr="005E4BEA">
              <w:rPr>
                <w:rFonts w:ascii="Calibri" w:eastAsia="Calibri" w:hAnsi="Calibri"/>
                <w:b/>
                <w:bCs/>
                <w:sz w:val="18"/>
                <w:szCs w:val="18"/>
                <w:lang w:eastAsia="sl-SI"/>
              </w:rPr>
              <w:br/>
              <w:t>1.1.-31.12.2022</w:t>
            </w:r>
            <w:r w:rsidRPr="005E4BEA">
              <w:rPr>
                <w:rFonts w:ascii="Calibri" w:eastAsia="Calibri" w:hAnsi="Calibri"/>
                <w:b/>
                <w:bCs/>
                <w:sz w:val="18"/>
                <w:szCs w:val="18"/>
                <w:lang w:eastAsia="sl-SI"/>
              </w:rPr>
              <w:br/>
              <w:t>(v EUR)</w:t>
            </w:r>
          </w:p>
        </w:tc>
      </w:tr>
      <w:tr w:rsidR="00C25E28" w:rsidRPr="005E4BEA" w14:paraId="4E62510E" w14:textId="77777777" w:rsidTr="0016774B">
        <w:trPr>
          <w:trHeight w:val="720"/>
        </w:trPr>
        <w:tc>
          <w:tcPr>
            <w:tcW w:w="3193" w:type="dxa"/>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tcPr>
          <w:p w14:paraId="48A12FC5" w14:textId="77777777" w:rsidR="00C25E28" w:rsidRPr="005E4BEA" w:rsidRDefault="00C25E28" w:rsidP="0016774B">
            <w:pPr>
              <w:spacing w:line="252" w:lineRule="auto"/>
              <w:rPr>
                <w:rFonts w:ascii="Calibri" w:eastAsia="Calibri" w:hAnsi="Calibri"/>
                <w:szCs w:val="20"/>
                <w:lang w:eastAsia="sl-SI"/>
              </w:rPr>
            </w:pPr>
            <w:r w:rsidRPr="005E4BEA">
              <w:rPr>
                <w:rFonts w:ascii="Calibri" w:eastAsia="Calibri" w:hAnsi="Calibri"/>
                <w:szCs w:val="20"/>
                <w:lang w:eastAsia="sl-SI"/>
              </w:rPr>
              <w:t xml:space="preserve">Dodatek za brezšivno skrb v bolnišnični dejavnosti </w:t>
            </w:r>
          </w:p>
          <w:p w14:paraId="6AB2776C" w14:textId="77777777" w:rsidR="00C25E28" w:rsidRPr="005E4BEA" w:rsidRDefault="00C25E28" w:rsidP="0016774B">
            <w:pPr>
              <w:spacing w:line="252" w:lineRule="auto"/>
              <w:rPr>
                <w:rFonts w:ascii="Calibri" w:eastAsia="Calibri" w:hAnsi="Calibri"/>
                <w:szCs w:val="20"/>
                <w:lang w:eastAsia="sl-SI"/>
              </w:rPr>
            </w:pPr>
            <w:r w:rsidRPr="005E4BEA">
              <w:rPr>
                <w:rFonts w:ascii="Calibri" w:eastAsia="Calibri" w:hAnsi="Calibri"/>
                <w:szCs w:val="20"/>
                <w:lang w:eastAsia="sl-SI"/>
              </w:rPr>
              <w:t>Od 1. 1. 2023</w:t>
            </w:r>
          </w:p>
          <w:p w14:paraId="5B9C68C9" w14:textId="77777777" w:rsidR="00C25E28" w:rsidRPr="005E4BEA" w:rsidRDefault="00C25E28" w:rsidP="0016774B">
            <w:pPr>
              <w:spacing w:line="252" w:lineRule="auto"/>
              <w:rPr>
                <w:rFonts w:ascii="Calibri" w:eastAsia="Calibri" w:hAnsi="Calibri"/>
                <w:szCs w:val="20"/>
                <w:lang w:eastAsia="sl-SI"/>
              </w:rPr>
            </w:pPr>
          </w:p>
          <w:p w14:paraId="1A6CDF35" w14:textId="77777777" w:rsidR="00C25E28" w:rsidRPr="005E4BEA" w:rsidRDefault="00C25E28" w:rsidP="0016774B">
            <w:pPr>
              <w:spacing w:line="252" w:lineRule="auto"/>
              <w:rPr>
                <w:rFonts w:ascii="Calibri" w:eastAsia="Calibri" w:hAnsi="Calibri"/>
                <w:szCs w:val="20"/>
                <w:lang w:eastAsia="sl-SI"/>
              </w:rPr>
            </w:pPr>
          </w:p>
          <w:p w14:paraId="5DBBB537" w14:textId="77777777" w:rsidR="00C25E28" w:rsidRPr="005E4BEA" w:rsidRDefault="00C25E28" w:rsidP="0016774B">
            <w:pPr>
              <w:spacing w:line="252" w:lineRule="auto"/>
              <w:rPr>
                <w:rFonts w:ascii="Calibri" w:eastAsia="Calibri" w:hAnsi="Calibri"/>
                <w:szCs w:val="20"/>
                <w:lang w:eastAsia="sl-SI"/>
              </w:rPr>
            </w:pPr>
          </w:p>
          <w:p w14:paraId="0523EB55" w14:textId="77777777" w:rsidR="00C25E28" w:rsidRPr="005E4BEA" w:rsidRDefault="00C25E28" w:rsidP="0016774B">
            <w:pPr>
              <w:spacing w:line="252" w:lineRule="auto"/>
              <w:rPr>
                <w:rFonts w:ascii="Calibri" w:eastAsia="Calibri" w:hAnsi="Calibri"/>
                <w:szCs w:val="20"/>
                <w:lang w:eastAsia="sl-SI"/>
              </w:rPr>
            </w:pPr>
          </w:p>
          <w:p w14:paraId="4E07C204" w14:textId="77777777" w:rsidR="00C25E28" w:rsidRPr="005E4BEA" w:rsidRDefault="00C25E28" w:rsidP="0016774B">
            <w:pPr>
              <w:spacing w:line="252" w:lineRule="auto"/>
              <w:rPr>
                <w:rFonts w:ascii="Calibri" w:eastAsia="Calibri" w:hAnsi="Calibri"/>
                <w:szCs w:val="20"/>
                <w:lang w:eastAsia="sl-SI"/>
              </w:rPr>
            </w:pPr>
          </w:p>
          <w:p w14:paraId="1AAAFEC1" w14:textId="77777777" w:rsidR="00C25E28" w:rsidRPr="005E4BEA" w:rsidRDefault="00C25E28" w:rsidP="0016774B">
            <w:pPr>
              <w:spacing w:line="252" w:lineRule="auto"/>
              <w:rPr>
                <w:rFonts w:ascii="Calibri" w:eastAsia="Calibri" w:hAnsi="Calibri"/>
                <w:szCs w:val="20"/>
                <w:lang w:eastAsia="sl-SI"/>
              </w:rPr>
            </w:pPr>
          </w:p>
          <w:p w14:paraId="2CFBE9C9" w14:textId="77777777" w:rsidR="00C25E28" w:rsidRPr="005E4BEA" w:rsidRDefault="00C25E28" w:rsidP="0016774B">
            <w:pPr>
              <w:spacing w:line="252" w:lineRule="auto"/>
              <w:rPr>
                <w:rFonts w:ascii="Calibri" w:eastAsia="Calibri" w:hAnsi="Calibri"/>
                <w:szCs w:val="20"/>
                <w:lang w:eastAsia="sl-SI"/>
              </w:rPr>
            </w:pPr>
          </w:p>
          <w:p w14:paraId="57449C49" w14:textId="77777777" w:rsidR="00C25E28" w:rsidRPr="005E4BEA" w:rsidRDefault="00C25E28" w:rsidP="0016774B">
            <w:pPr>
              <w:spacing w:line="252" w:lineRule="auto"/>
              <w:rPr>
                <w:rFonts w:ascii="Calibri" w:eastAsia="Calibri" w:hAnsi="Calibri"/>
                <w:szCs w:val="20"/>
                <w:lang w:eastAsia="sl-SI"/>
              </w:rPr>
            </w:pPr>
          </w:p>
          <w:p w14:paraId="7E2C754E" w14:textId="77777777" w:rsidR="00C25E28" w:rsidRPr="005E4BEA" w:rsidRDefault="00C25E28" w:rsidP="0016774B">
            <w:pPr>
              <w:spacing w:line="252" w:lineRule="auto"/>
              <w:rPr>
                <w:rFonts w:ascii="Calibri" w:eastAsia="Calibri" w:hAnsi="Calibri"/>
                <w:szCs w:val="20"/>
                <w:lang w:eastAsia="sl-SI"/>
              </w:rPr>
            </w:pPr>
          </w:p>
          <w:p w14:paraId="0A9D3AE8" w14:textId="77777777" w:rsidR="00C25E28" w:rsidRPr="005E4BEA" w:rsidRDefault="00C25E28" w:rsidP="0016774B">
            <w:pPr>
              <w:spacing w:line="252" w:lineRule="auto"/>
              <w:rPr>
                <w:rFonts w:ascii="Calibri" w:eastAsia="Calibri" w:hAnsi="Calibri"/>
                <w:szCs w:val="20"/>
                <w:lang w:eastAsia="sl-SI"/>
              </w:rPr>
            </w:pPr>
          </w:p>
          <w:p w14:paraId="4CE99CA3" w14:textId="77777777" w:rsidR="00C25E28" w:rsidRPr="005E4BEA" w:rsidRDefault="00C25E28" w:rsidP="0016774B">
            <w:pPr>
              <w:spacing w:line="252" w:lineRule="auto"/>
              <w:rPr>
                <w:rFonts w:ascii="Calibri" w:eastAsia="Calibri" w:hAnsi="Calibri"/>
                <w:szCs w:val="20"/>
                <w:lang w:eastAsia="sl-SI"/>
              </w:rPr>
            </w:pPr>
          </w:p>
          <w:p w14:paraId="392B088F" w14:textId="77777777" w:rsidR="00C25E28" w:rsidRPr="005E4BEA" w:rsidRDefault="00C25E28" w:rsidP="0016774B">
            <w:pPr>
              <w:spacing w:line="252" w:lineRule="auto"/>
              <w:rPr>
                <w:rFonts w:ascii="Calibri" w:eastAsia="Calibri" w:hAnsi="Calibri"/>
                <w:szCs w:val="20"/>
                <w:lang w:eastAsia="sl-SI"/>
              </w:rPr>
            </w:pPr>
          </w:p>
          <w:p w14:paraId="42F42CA4" w14:textId="77777777" w:rsidR="00C25E28" w:rsidRPr="005E4BEA" w:rsidRDefault="00C25E28" w:rsidP="0016774B">
            <w:pPr>
              <w:spacing w:line="252" w:lineRule="auto"/>
              <w:rPr>
                <w:rFonts w:ascii="Calibri" w:eastAsia="Calibri" w:hAnsi="Calibri"/>
                <w:szCs w:val="20"/>
                <w:lang w:eastAsia="sl-SI"/>
              </w:rPr>
            </w:pPr>
          </w:p>
          <w:p w14:paraId="2C616F7D" w14:textId="77777777" w:rsidR="00C25E28" w:rsidRPr="005E4BEA" w:rsidRDefault="00C25E28" w:rsidP="0016774B">
            <w:pPr>
              <w:spacing w:line="252" w:lineRule="auto"/>
              <w:rPr>
                <w:rFonts w:ascii="Calibri" w:eastAsia="Calibri" w:hAnsi="Calibri"/>
                <w:szCs w:val="20"/>
                <w:lang w:eastAsia="sl-SI"/>
              </w:rPr>
            </w:pPr>
          </w:p>
          <w:p w14:paraId="30FED512" w14:textId="77777777" w:rsidR="00C25E28" w:rsidRPr="005E4BEA" w:rsidRDefault="00C25E28" w:rsidP="0016774B">
            <w:pPr>
              <w:spacing w:line="252" w:lineRule="auto"/>
              <w:rPr>
                <w:rFonts w:ascii="Calibri" w:eastAsia="Calibri" w:hAnsi="Calibri"/>
                <w:szCs w:val="20"/>
                <w:lang w:eastAsia="sl-SI"/>
              </w:rPr>
            </w:pPr>
          </w:p>
          <w:p w14:paraId="3B40D208" w14:textId="77777777" w:rsidR="00C25E28" w:rsidRPr="005E4BEA" w:rsidRDefault="00C25E28" w:rsidP="0016774B">
            <w:pPr>
              <w:spacing w:line="252" w:lineRule="auto"/>
              <w:rPr>
                <w:rFonts w:ascii="Calibri" w:eastAsia="Calibri" w:hAnsi="Calibri"/>
                <w:szCs w:val="20"/>
                <w:lang w:eastAsia="sl-SI"/>
              </w:rPr>
            </w:pPr>
          </w:p>
          <w:p w14:paraId="40C6431D" w14:textId="77777777" w:rsidR="00C25E28" w:rsidRPr="005E4BEA" w:rsidRDefault="00C25E28" w:rsidP="0016774B">
            <w:pPr>
              <w:spacing w:line="252" w:lineRule="auto"/>
              <w:rPr>
                <w:rFonts w:ascii="Calibri" w:eastAsia="Calibri" w:hAnsi="Calibri"/>
                <w:szCs w:val="20"/>
                <w:lang w:eastAsia="sl-SI"/>
              </w:rPr>
            </w:pPr>
          </w:p>
          <w:p w14:paraId="110990F2" w14:textId="77777777" w:rsidR="00C25E28" w:rsidRPr="005E4BEA" w:rsidRDefault="00C25E28" w:rsidP="0016774B">
            <w:pPr>
              <w:spacing w:line="252" w:lineRule="auto"/>
              <w:rPr>
                <w:rFonts w:ascii="Calibri" w:eastAsia="Calibri" w:hAnsi="Calibri"/>
                <w:szCs w:val="20"/>
                <w:lang w:eastAsia="sl-SI"/>
              </w:rPr>
            </w:pPr>
          </w:p>
          <w:p w14:paraId="370A4C7C" w14:textId="77777777" w:rsidR="00C25E28" w:rsidRPr="005E4BEA" w:rsidRDefault="00C25E28" w:rsidP="0016774B">
            <w:pPr>
              <w:spacing w:line="252" w:lineRule="auto"/>
              <w:rPr>
                <w:rFonts w:ascii="Calibri" w:eastAsia="Calibri" w:hAnsi="Calibri"/>
                <w:szCs w:val="20"/>
                <w:lang w:eastAsia="sl-SI"/>
              </w:rPr>
            </w:pPr>
          </w:p>
          <w:p w14:paraId="21251035" w14:textId="77777777" w:rsidR="00C25E28" w:rsidRPr="005E4BEA" w:rsidRDefault="00C25E28" w:rsidP="0016774B">
            <w:pPr>
              <w:spacing w:line="252" w:lineRule="auto"/>
              <w:rPr>
                <w:rFonts w:ascii="Calibri" w:eastAsia="Calibri" w:hAnsi="Calibri"/>
                <w:szCs w:val="20"/>
                <w:lang w:eastAsia="sl-SI"/>
              </w:rPr>
            </w:pPr>
          </w:p>
          <w:p w14:paraId="25EB8EF5" w14:textId="77777777" w:rsidR="00C25E28" w:rsidRPr="005E4BEA" w:rsidRDefault="00C25E28" w:rsidP="0016774B">
            <w:pPr>
              <w:spacing w:line="252" w:lineRule="auto"/>
              <w:rPr>
                <w:rFonts w:ascii="Calibri" w:eastAsia="Calibri" w:hAnsi="Calibri"/>
                <w:szCs w:val="20"/>
                <w:lang w:eastAsia="sl-SI"/>
              </w:rPr>
            </w:pPr>
          </w:p>
          <w:p w14:paraId="58D80E57" w14:textId="77777777" w:rsidR="00C25E28" w:rsidRPr="005E4BEA" w:rsidRDefault="00C25E28" w:rsidP="0016774B">
            <w:pPr>
              <w:spacing w:line="252" w:lineRule="auto"/>
              <w:rPr>
                <w:rFonts w:ascii="Calibri" w:eastAsia="Calibri" w:hAnsi="Calibri"/>
                <w:szCs w:val="20"/>
                <w:lang w:eastAsia="sl-SI"/>
              </w:rPr>
            </w:pPr>
          </w:p>
          <w:p w14:paraId="73AB086D" w14:textId="77777777" w:rsidR="00C25E28" w:rsidRPr="005E4BEA" w:rsidRDefault="00C25E28" w:rsidP="0016774B">
            <w:pPr>
              <w:spacing w:line="252" w:lineRule="auto"/>
              <w:rPr>
                <w:rFonts w:ascii="Calibri" w:eastAsia="Calibri" w:hAnsi="Calibri"/>
                <w:szCs w:val="20"/>
                <w:lang w:eastAsia="sl-SI"/>
              </w:rPr>
            </w:pPr>
          </w:p>
          <w:p w14:paraId="036F423A" w14:textId="77777777" w:rsidR="00C25E28" w:rsidRPr="005E4BEA" w:rsidRDefault="00C25E28" w:rsidP="0016774B">
            <w:pPr>
              <w:spacing w:line="252" w:lineRule="auto"/>
              <w:rPr>
                <w:rFonts w:ascii="Calibri" w:eastAsia="Calibri" w:hAnsi="Calibri"/>
                <w:sz w:val="18"/>
                <w:szCs w:val="18"/>
                <w:lang w:eastAsia="sl-SI"/>
              </w:rPr>
            </w:pPr>
          </w:p>
          <w:p w14:paraId="5E4C4BAA" w14:textId="77777777" w:rsidR="00C25E28" w:rsidRPr="005E4BEA" w:rsidRDefault="00C25E28" w:rsidP="0016774B">
            <w:pPr>
              <w:spacing w:line="252" w:lineRule="auto"/>
              <w:rPr>
                <w:rFonts w:ascii="Calibri" w:eastAsia="Calibri" w:hAnsi="Calibri"/>
                <w:sz w:val="18"/>
                <w:szCs w:val="18"/>
                <w:lang w:eastAsia="sl-SI"/>
              </w:rPr>
            </w:pPr>
          </w:p>
          <w:p w14:paraId="2FFF931F" w14:textId="77777777" w:rsidR="00C25E28" w:rsidRPr="005E4BEA" w:rsidRDefault="00C25E28" w:rsidP="0016774B">
            <w:pPr>
              <w:spacing w:line="252" w:lineRule="auto"/>
              <w:rPr>
                <w:rFonts w:ascii="Calibri" w:eastAsia="Calibri" w:hAnsi="Calibri"/>
                <w:color w:val="44546A"/>
                <w:sz w:val="18"/>
                <w:szCs w:val="18"/>
                <w:lang w:eastAsia="sl-SI"/>
              </w:rPr>
            </w:pPr>
          </w:p>
          <w:p w14:paraId="7ABBE858" w14:textId="77777777" w:rsidR="00C25E28" w:rsidRPr="005E4BEA" w:rsidRDefault="00C25E28" w:rsidP="0016774B">
            <w:pPr>
              <w:spacing w:line="252" w:lineRule="auto"/>
              <w:rPr>
                <w:rFonts w:ascii="Century Gothic" w:eastAsia="Calibri" w:hAnsi="Century Gothic"/>
                <w:color w:val="44546A"/>
                <w:sz w:val="22"/>
                <w:szCs w:val="22"/>
                <w:lang w:eastAsia="sl-SI"/>
              </w:rPr>
            </w:pPr>
          </w:p>
          <w:p w14:paraId="7468DCFE" w14:textId="2872EAF3" w:rsidR="00C25E28" w:rsidRPr="005E4BEA" w:rsidRDefault="00C25E28" w:rsidP="00F7294C">
            <w:pPr>
              <w:spacing w:line="252" w:lineRule="auto"/>
              <w:rPr>
                <w:rFonts w:ascii="Calibri" w:eastAsia="Calibri" w:hAnsi="Calibri"/>
                <w:sz w:val="18"/>
                <w:szCs w:val="18"/>
                <w:lang w:eastAsia="sl-SI"/>
              </w:rPr>
            </w:pPr>
            <w:r w:rsidRPr="005E4BEA">
              <w:rPr>
                <w:rFonts w:ascii="Calibri" w:eastAsia="Calibri" w:hAnsi="Calibri"/>
                <w:sz w:val="18"/>
                <w:szCs w:val="18"/>
                <w:lang w:eastAsia="sl-SI"/>
              </w:rPr>
              <w:t>Nadaljevanje brezšivne skrbi na primarni ravni v lekarniški dejavnosti</w:t>
            </w:r>
          </w:p>
        </w:tc>
        <w:tc>
          <w:tcPr>
            <w:tcW w:w="2186" w:type="dxa"/>
            <w:tcBorders>
              <w:top w:val="nil"/>
              <w:left w:val="nil"/>
              <w:bottom w:val="single" w:sz="8" w:space="0" w:color="548DD4"/>
              <w:right w:val="single" w:sz="8" w:space="0" w:color="548DD4"/>
            </w:tcBorders>
            <w:tcMar>
              <w:top w:w="0" w:type="dxa"/>
              <w:left w:w="108" w:type="dxa"/>
              <w:bottom w:w="0" w:type="dxa"/>
              <w:right w:w="108" w:type="dxa"/>
            </w:tcMar>
            <w:vAlign w:val="center"/>
          </w:tcPr>
          <w:p w14:paraId="75F2EA44"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SKUPAJ</w:t>
            </w:r>
          </w:p>
          <w:p w14:paraId="0312256C"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UKC Ljubljana</w:t>
            </w:r>
          </w:p>
          <w:p w14:paraId="6A32574E"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UKC Maribor</w:t>
            </w:r>
          </w:p>
          <w:p w14:paraId="284C3896"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Celje</w:t>
            </w:r>
          </w:p>
          <w:p w14:paraId="0F239688"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Novo mesto</w:t>
            </w:r>
          </w:p>
          <w:p w14:paraId="6352902F"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Murska Sobota</w:t>
            </w:r>
          </w:p>
          <w:p w14:paraId="71723E6D"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Nova gorica</w:t>
            </w:r>
          </w:p>
          <w:p w14:paraId="46D1D641"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Izola</w:t>
            </w:r>
          </w:p>
          <w:p w14:paraId="7B1562C9"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Slovenj Gradec</w:t>
            </w:r>
          </w:p>
          <w:p w14:paraId="7E7BBDCA"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Onkološki inštitut Ljubljana</w:t>
            </w:r>
          </w:p>
          <w:p w14:paraId="6C2CE97D"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Jesenice</w:t>
            </w:r>
          </w:p>
          <w:p w14:paraId="12064B09"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Ptuj</w:t>
            </w:r>
          </w:p>
          <w:p w14:paraId="16795E08"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Klinika Golnik</w:t>
            </w:r>
          </w:p>
          <w:p w14:paraId="49191081"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Ortopedska bolnišnica Valdoltra</w:t>
            </w:r>
          </w:p>
          <w:p w14:paraId="619AF629"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Trbovlje</w:t>
            </w:r>
          </w:p>
          <w:p w14:paraId="10E25FCF"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SB Brežice</w:t>
            </w:r>
          </w:p>
          <w:p w14:paraId="578244AA"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Kranj</w:t>
            </w:r>
          </w:p>
          <w:p w14:paraId="3B911E00"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UPK Ljubljana</w:t>
            </w:r>
          </w:p>
          <w:p w14:paraId="4938C396"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Topolšica</w:t>
            </w:r>
          </w:p>
          <w:p w14:paraId="21B42650"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Postojna</w:t>
            </w:r>
          </w:p>
          <w:p w14:paraId="172E9638"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URI - Soča</w:t>
            </w:r>
          </w:p>
          <w:p w14:paraId="71459CEF"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Idrija</w:t>
            </w:r>
          </w:p>
          <w:p w14:paraId="16A27EAE"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Begunje</w:t>
            </w:r>
          </w:p>
          <w:p w14:paraId="72E28471"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Vojnik</w:t>
            </w:r>
          </w:p>
          <w:p w14:paraId="76FFDBD5"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PB Ormož</w:t>
            </w:r>
          </w:p>
          <w:p w14:paraId="50A17316"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Bolnišnica Sežana</w:t>
            </w:r>
          </w:p>
          <w:p w14:paraId="5CC904CF" w14:textId="77777777" w:rsidR="00C25E28" w:rsidRPr="005E4BEA" w:rsidRDefault="00C25E28" w:rsidP="0016774B">
            <w:pPr>
              <w:spacing w:line="252" w:lineRule="auto"/>
              <w:jc w:val="both"/>
              <w:rPr>
                <w:rFonts w:ascii="Calibri" w:eastAsia="Calibri" w:hAnsi="Calibri"/>
                <w:sz w:val="18"/>
                <w:szCs w:val="18"/>
                <w:lang w:eastAsia="sl-SI"/>
              </w:rPr>
            </w:pPr>
          </w:p>
          <w:p w14:paraId="26CA4FAB" w14:textId="77777777" w:rsidR="00C25E28" w:rsidRPr="005E4BEA" w:rsidRDefault="00C25E28" w:rsidP="0016774B">
            <w:pPr>
              <w:spacing w:line="252" w:lineRule="auto"/>
              <w:jc w:val="both"/>
              <w:rPr>
                <w:rFonts w:ascii="Calibri" w:eastAsia="Calibri" w:hAnsi="Calibri"/>
                <w:sz w:val="18"/>
                <w:szCs w:val="18"/>
                <w:lang w:eastAsia="sl-SI"/>
              </w:rPr>
            </w:pPr>
            <w:r w:rsidRPr="005E4BEA">
              <w:rPr>
                <w:rFonts w:ascii="Calibri" w:eastAsia="Calibri" w:hAnsi="Calibri"/>
                <w:sz w:val="18"/>
                <w:szCs w:val="18"/>
                <w:lang w:eastAsia="sl-SI"/>
              </w:rPr>
              <w:t>Lekarne</w:t>
            </w:r>
          </w:p>
          <w:p w14:paraId="3A5F1E20" w14:textId="77777777" w:rsidR="00C25E28" w:rsidRPr="005E4BEA" w:rsidRDefault="00C25E28" w:rsidP="0016774B">
            <w:pPr>
              <w:spacing w:line="252" w:lineRule="auto"/>
              <w:jc w:val="both"/>
              <w:rPr>
                <w:rFonts w:ascii="Calibri" w:eastAsia="Calibri" w:hAnsi="Calibri"/>
                <w:sz w:val="18"/>
                <w:szCs w:val="18"/>
                <w:lang w:eastAsia="sl-SI"/>
              </w:rPr>
            </w:pPr>
          </w:p>
        </w:tc>
        <w:tc>
          <w:tcPr>
            <w:tcW w:w="1271" w:type="dxa"/>
            <w:tcBorders>
              <w:top w:val="nil"/>
              <w:left w:val="nil"/>
              <w:bottom w:val="single" w:sz="8" w:space="0" w:color="548DD4"/>
              <w:right w:val="single" w:sz="8" w:space="0" w:color="0070C0"/>
            </w:tcBorders>
            <w:tcMar>
              <w:top w:w="0" w:type="dxa"/>
              <w:left w:w="108" w:type="dxa"/>
              <w:bottom w:w="0" w:type="dxa"/>
              <w:right w:w="108" w:type="dxa"/>
            </w:tcMar>
            <w:vAlign w:val="center"/>
          </w:tcPr>
          <w:p w14:paraId="6E1384A5"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34.789</w:t>
            </w:r>
          </w:p>
          <w:p w14:paraId="7DD491AB"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9.586</w:t>
            </w:r>
          </w:p>
          <w:p w14:paraId="5EE54455"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4.708</w:t>
            </w:r>
          </w:p>
          <w:p w14:paraId="1C7B4A6C"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3.213</w:t>
            </w:r>
          </w:p>
          <w:p w14:paraId="40E2C708"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2.088</w:t>
            </w:r>
          </w:p>
          <w:p w14:paraId="56FA67C7"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1.764</w:t>
            </w:r>
          </w:p>
          <w:p w14:paraId="5F6C3062"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1.713</w:t>
            </w:r>
          </w:p>
          <w:p w14:paraId="5488F971"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1.576</w:t>
            </w:r>
          </w:p>
          <w:p w14:paraId="25D635B9"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1.527</w:t>
            </w:r>
          </w:p>
          <w:p w14:paraId="25D7D399"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1.347</w:t>
            </w:r>
          </w:p>
          <w:p w14:paraId="63DD62CE"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1.330</w:t>
            </w:r>
          </w:p>
          <w:p w14:paraId="3F246AF4"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945</w:t>
            </w:r>
          </w:p>
          <w:p w14:paraId="7327DE9D"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712</w:t>
            </w:r>
          </w:p>
          <w:p w14:paraId="5B943448"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668</w:t>
            </w:r>
          </w:p>
          <w:p w14:paraId="5FA682C0"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653</w:t>
            </w:r>
          </w:p>
          <w:p w14:paraId="11F2DC5D"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619</w:t>
            </w:r>
          </w:p>
          <w:p w14:paraId="2CFCA2BE"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452</w:t>
            </w:r>
          </w:p>
          <w:p w14:paraId="72FC2D62"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430</w:t>
            </w:r>
          </w:p>
          <w:p w14:paraId="4F660B0D"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342</w:t>
            </w:r>
          </w:p>
          <w:p w14:paraId="18C2D4B5"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311</w:t>
            </w:r>
          </w:p>
          <w:p w14:paraId="0566D536"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166</w:t>
            </w:r>
          </w:p>
          <w:p w14:paraId="550E2799"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160</w:t>
            </w:r>
          </w:p>
          <w:p w14:paraId="1B11EE27"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159</w:t>
            </w:r>
          </w:p>
          <w:p w14:paraId="19EA1248"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133</w:t>
            </w:r>
          </w:p>
          <w:p w14:paraId="43CC0BE7"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124</w:t>
            </w:r>
          </w:p>
          <w:p w14:paraId="05F17C28" w14:textId="77777777" w:rsidR="00C25E28" w:rsidRPr="005E4BEA" w:rsidRDefault="00C25E28" w:rsidP="0016774B">
            <w:pPr>
              <w:spacing w:line="252" w:lineRule="auto"/>
              <w:jc w:val="center"/>
              <w:rPr>
                <w:rFonts w:ascii="Calibri" w:eastAsia="Calibri" w:hAnsi="Calibri"/>
                <w:sz w:val="18"/>
                <w:szCs w:val="18"/>
                <w:lang w:eastAsia="sl-SI"/>
              </w:rPr>
            </w:pPr>
            <w:r w:rsidRPr="005E4BEA">
              <w:rPr>
                <w:rFonts w:ascii="Calibri" w:eastAsia="Calibri" w:hAnsi="Calibri"/>
                <w:sz w:val="18"/>
                <w:szCs w:val="18"/>
                <w:lang w:eastAsia="sl-SI"/>
              </w:rPr>
              <w:t>66</w:t>
            </w:r>
          </w:p>
          <w:p w14:paraId="1C34B8D7" w14:textId="77777777" w:rsidR="00C25E28" w:rsidRPr="005E4BEA" w:rsidRDefault="00C25E28" w:rsidP="0016774B">
            <w:pPr>
              <w:spacing w:line="252" w:lineRule="auto"/>
              <w:jc w:val="center"/>
              <w:rPr>
                <w:rFonts w:ascii="Calibri" w:eastAsia="Calibri" w:hAnsi="Calibri"/>
                <w:sz w:val="18"/>
                <w:szCs w:val="18"/>
                <w:lang w:eastAsia="sl-SI"/>
              </w:rPr>
            </w:pPr>
          </w:p>
          <w:p w14:paraId="2DA3CD53" w14:textId="77777777" w:rsidR="00C25E28" w:rsidRPr="005E4BEA" w:rsidRDefault="00C25E28" w:rsidP="0016774B">
            <w:pPr>
              <w:spacing w:line="252" w:lineRule="auto"/>
              <w:jc w:val="center"/>
              <w:rPr>
                <w:rFonts w:ascii="Calibri" w:eastAsia="Calibri" w:hAnsi="Calibri"/>
                <w:sz w:val="18"/>
                <w:szCs w:val="18"/>
                <w:lang w:eastAsia="sl-SI"/>
              </w:rPr>
            </w:pPr>
          </w:p>
          <w:p w14:paraId="0008ABFE" w14:textId="77777777" w:rsidR="00C25E28" w:rsidRPr="005E4BEA" w:rsidRDefault="00C25E28" w:rsidP="0016774B">
            <w:pPr>
              <w:spacing w:line="252" w:lineRule="auto"/>
              <w:jc w:val="center"/>
              <w:rPr>
                <w:rFonts w:ascii="Calibri" w:eastAsia="Calibri" w:hAnsi="Calibri"/>
                <w:sz w:val="18"/>
                <w:szCs w:val="18"/>
                <w:lang w:eastAsia="sl-SI"/>
              </w:rPr>
            </w:pPr>
          </w:p>
        </w:tc>
        <w:tc>
          <w:tcPr>
            <w:tcW w:w="1094" w:type="dxa"/>
            <w:tcBorders>
              <w:top w:val="nil"/>
              <w:left w:val="nil"/>
              <w:bottom w:val="single" w:sz="8" w:space="0" w:color="0070C0"/>
              <w:right w:val="single" w:sz="8" w:space="0" w:color="0070C0"/>
            </w:tcBorders>
            <w:tcMar>
              <w:top w:w="0" w:type="dxa"/>
              <w:left w:w="108" w:type="dxa"/>
              <w:bottom w:w="0" w:type="dxa"/>
              <w:right w:w="108" w:type="dxa"/>
            </w:tcMar>
            <w:vAlign w:val="center"/>
          </w:tcPr>
          <w:p w14:paraId="67BAE3A5" w14:textId="77777777" w:rsidR="00C25E28" w:rsidRPr="005E4BEA" w:rsidRDefault="00C25E28" w:rsidP="0016774B">
            <w:pPr>
              <w:spacing w:line="252" w:lineRule="auto"/>
              <w:jc w:val="right"/>
              <w:rPr>
                <w:rFonts w:ascii="Calibri" w:eastAsia="Calibri" w:hAnsi="Calibri"/>
                <w:sz w:val="18"/>
                <w:szCs w:val="18"/>
                <w:lang w:eastAsia="sl-SI"/>
              </w:rPr>
            </w:pPr>
            <w:r w:rsidRPr="005E4BEA">
              <w:rPr>
                <w:rFonts w:ascii="Calibri" w:eastAsia="Calibri" w:hAnsi="Calibri"/>
                <w:sz w:val="18"/>
                <w:szCs w:val="18"/>
                <w:lang w:eastAsia="sl-SI"/>
              </w:rPr>
              <w:t>1.329.269</w:t>
            </w:r>
          </w:p>
          <w:p w14:paraId="07BC2FE0" w14:textId="77777777" w:rsidR="00C25E28" w:rsidRPr="005E4BEA" w:rsidRDefault="00C25E28" w:rsidP="0016774B">
            <w:pPr>
              <w:spacing w:line="252" w:lineRule="auto"/>
              <w:jc w:val="right"/>
              <w:rPr>
                <w:rFonts w:ascii="Calibri" w:eastAsia="Calibri" w:hAnsi="Calibri"/>
                <w:sz w:val="18"/>
                <w:szCs w:val="18"/>
                <w:lang w:eastAsia="sl-SI"/>
              </w:rPr>
            </w:pPr>
          </w:p>
          <w:p w14:paraId="598559F3" w14:textId="77777777" w:rsidR="00C25E28" w:rsidRPr="005E4BEA" w:rsidRDefault="00C25E28" w:rsidP="0016774B">
            <w:pPr>
              <w:spacing w:line="252" w:lineRule="auto"/>
              <w:jc w:val="right"/>
              <w:rPr>
                <w:rFonts w:ascii="Calibri" w:eastAsia="Calibri" w:hAnsi="Calibri"/>
                <w:sz w:val="18"/>
                <w:szCs w:val="18"/>
                <w:lang w:eastAsia="sl-SI"/>
              </w:rPr>
            </w:pPr>
          </w:p>
          <w:p w14:paraId="6BD8943E" w14:textId="77777777" w:rsidR="00C25E28" w:rsidRPr="005E4BEA" w:rsidRDefault="00C25E28" w:rsidP="0016774B">
            <w:pPr>
              <w:spacing w:line="252" w:lineRule="auto"/>
              <w:jc w:val="right"/>
              <w:rPr>
                <w:rFonts w:ascii="Calibri" w:eastAsia="Calibri" w:hAnsi="Calibri"/>
                <w:sz w:val="18"/>
                <w:szCs w:val="18"/>
                <w:lang w:eastAsia="sl-SI"/>
              </w:rPr>
            </w:pPr>
          </w:p>
          <w:p w14:paraId="6EBC0DF9" w14:textId="77777777" w:rsidR="00C25E28" w:rsidRPr="005E4BEA" w:rsidRDefault="00C25E28" w:rsidP="0016774B">
            <w:pPr>
              <w:spacing w:line="252" w:lineRule="auto"/>
              <w:jc w:val="right"/>
              <w:rPr>
                <w:rFonts w:ascii="Calibri" w:eastAsia="Calibri" w:hAnsi="Calibri"/>
                <w:sz w:val="18"/>
                <w:szCs w:val="18"/>
                <w:lang w:eastAsia="sl-SI"/>
              </w:rPr>
            </w:pPr>
          </w:p>
          <w:p w14:paraId="3F71089C" w14:textId="77777777" w:rsidR="00C25E28" w:rsidRPr="005E4BEA" w:rsidRDefault="00C25E28" w:rsidP="0016774B">
            <w:pPr>
              <w:spacing w:line="252" w:lineRule="auto"/>
              <w:jc w:val="right"/>
              <w:rPr>
                <w:rFonts w:ascii="Calibri" w:eastAsia="Calibri" w:hAnsi="Calibri"/>
                <w:sz w:val="18"/>
                <w:szCs w:val="18"/>
                <w:lang w:eastAsia="sl-SI"/>
              </w:rPr>
            </w:pPr>
          </w:p>
          <w:p w14:paraId="6E642BF3" w14:textId="77777777" w:rsidR="00C25E28" w:rsidRPr="005E4BEA" w:rsidRDefault="00C25E28" w:rsidP="0016774B">
            <w:pPr>
              <w:spacing w:line="252" w:lineRule="auto"/>
              <w:jc w:val="right"/>
              <w:rPr>
                <w:rFonts w:ascii="Calibri" w:eastAsia="Calibri" w:hAnsi="Calibri"/>
                <w:sz w:val="18"/>
                <w:szCs w:val="18"/>
                <w:lang w:eastAsia="sl-SI"/>
              </w:rPr>
            </w:pPr>
          </w:p>
          <w:p w14:paraId="13F6FCF8" w14:textId="77777777" w:rsidR="00C25E28" w:rsidRPr="005E4BEA" w:rsidRDefault="00C25E28" w:rsidP="0016774B">
            <w:pPr>
              <w:spacing w:line="252" w:lineRule="auto"/>
              <w:jc w:val="right"/>
              <w:rPr>
                <w:rFonts w:ascii="Calibri" w:eastAsia="Calibri" w:hAnsi="Calibri"/>
                <w:sz w:val="18"/>
                <w:szCs w:val="18"/>
                <w:lang w:eastAsia="sl-SI"/>
              </w:rPr>
            </w:pPr>
          </w:p>
          <w:p w14:paraId="05537AF5" w14:textId="77777777" w:rsidR="00C25E28" w:rsidRPr="005E4BEA" w:rsidRDefault="00C25E28" w:rsidP="0016774B">
            <w:pPr>
              <w:spacing w:line="252" w:lineRule="auto"/>
              <w:jc w:val="right"/>
              <w:rPr>
                <w:rFonts w:ascii="Calibri" w:eastAsia="Calibri" w:hAnsi="Calibri"/>
                <w:sz w:val="18"/>
                <w:szCs w:val="18"/>
                <w:lang w:eastAsia="sl-SI"/>
              </w:rPr>
            </w:pPr>
          </w:p>
          <w:p w14:paraId="6EA0B9B4" w14:textId="77777777" w:rsidR="00C25E28" w:rsidRPr="005E4BEA" w:rsidRDefault="00C25E28" w:rsidP="0016774B">
            <w:pPr>
              <w:spacing w:line="252" w:lineRule="auto"/>
              <w:jc w:val="right"/>
              <w:rPr>
                <w:rFonts w:ascii="Calibri" w:eastAsia="Calibri" w:hAnsi="Calibri"/>
                <w:sz w:val="18"/>
                <w:szCs w:val="18"/>
                <w:lang w:eastAsia="sl-SI"/>
              </w:rPr>
            </w:pPr>
          </w:p>
          <w:p w14:paraId="27013124" w14:textId="77777777" w:rsidR="00C25E28" w:rsidRPr="005E4BEA" w:rsidRDefault="00C25E28" w:rsidP="0016774B">
            <w:pPr>
              <w:spacing w:line="252" w:lineRule="auto"/>
              <w:jc w:val="right"/>
              <w:rPr>
                <w:rFonts w:ascii="Calibri" w:eastAsia="Calibri" w:hAnsi="Calibri"/>
                <w:sz w:val="18"/>
                <w:szCs w:val="18"/>
                <w:lang w:eastAsia="sl-SI"/>
              </w:rPr>
            </w:pPr>
          </w:p>
          <w:p w14:paraId="73C70A91" w14:textId="77777777" w:rsidR="00C25E28" w:rsidRPr="005E4BEA" w:rsidRDefault="00C25E28" w:rsidP="0016774B">
            <w:pPr>
              <w:spacing w:line="252" w:lineRule="auto"/>
              <w:jc w:val="right"/>
              <w:rPr>
                <w:rFonts w:ascii="Calibri" w:eastAsia="Calibri" w:hAnsi="Calibri"/>
                <w:sz w:val="18"/>
                <w:szCs w:val="18"/>
                <w:lang w:eastAsia="sl-SI"/>
              </w:rPr>
            </w:pPr>
          </w:p>
          <w:p w14:paraId="35ED4A5F" w14:textId="77777777" w:rsidR="00C25E28" w:rsidRPr="005E4BEA" w:rsidRDefault="00C25E28" w:rsidP="0016774B">
            <w:pPr>
              <w:spacing w:line="252" w:lineRule="auto"/>
              <w:jc w:val="right"/>
              <w:rPr>
                <w:rFonts w:ascii="Calibri" w:eastAsia="Calibri" w:hAnsi="Calibri"/>
                <w:sz w:val="18"/>
                <w:szCs w:val="18"/>
                <w:lang w:eastAsia="sl-SI"/>
              </w:rPr>
            </w:pPr>
          </w:p>
          <w:p w14:paraId="6B4AF55A" w14:textId="77777777" w:rsidR="00C25E28" w:rsidRPr="005E4BEA" w:rsidRDefault="00C25E28" w:rsidP="0016774B">
            <w:pPr>
              <w:spacing w:line="252" w:lineRule="auto"/>
              <w:jc w:val="right"/>
              <w:rPr>
                <w:rFonts w:ascii="Calibri" w:eastAsia="Calibri" w:hAnsi="Calibri"/>
                <w:sz w:val="18"/>
                <w:szCs w:val="18"/>
                <w:lang w:eastAsia="sl-SI"/>
              </w:rPr>
            </w:pPr>
          </w:p>
          <w:p w14:paraId="35B36B8B" w14:textId="77777777" w:rsidR="00C25E28" w:rsidRPr="005E4BEA" w:rsidRDefault="00C25E28" w:rsidP="0016774B">
            <w:pPr>
              <w:spacing w:line="252" w:lineRule="auto"/>
              <w:jc w:val="right"/>
              <w:rPr>
                <w:rFonts w:ascii="Calibri" w:eastAsia="Calibri" w:hAnsi="Calibri"/>
                <w:sz w:val="18"/>
                <w:szCs w:val="18"/>
                <w:lang w:eastAsia="sl-SI"/>
              </w:rPr>
            </w:pPr>
          </w:p>
          <w:p w14:paraId="3F317210" w14:textId="77777777" w:rsidR="00C25E28" w:rsidRPr="005E4BEA" w:rsidRDefault="00C25E28" w:rsidP="0016774B">
            <w:pPr>
              <w:spacing w:line="252" w:lineRule="auto"/>
              <w:jc w:val="right"/>
              <w:rPr>
                <w:rFonts w:ascii="Calibri" w:eastAsia="Calibri" w:hAnsi="Calibri"/>
                <w:sz w:val="18"/>
                <w:szCs w:val="18"/>
                <w:lang w:eastAsia="sl-SI"/>
              </w:rPr>
            </w:pPr>
          </w:p>
          <w:p w14:paraId="66F19CFD" w14:textId="77777777" w:rsidR="00C25E28" w:rsidRPr="005E4BEA" w:rsidRDefault="00C25E28" w:rsidP="0016774B">
            <w:pPr>
              <w:spacing w:line="252" w:lineRule="auto"/>
              <w:jc w:val="right"/>
              <w:rPr>
                <w:rFonts w:ascii="Calibri" w:eastAsia="Calibri" w:hAnsi="Calibri"/>
                <w:sz w:val="18"/>
                <w:szCs w:val="18"/>
                <w:lang w:eastAsia="sl-SI"/>
              </w:rPr>
            </w:pPr>
          </w:p>
          <w:p w14:paraId="5E207332" w14:textId="77777777" w:rsidR="00C25E28" w:rsidRPr="005E4BEA" w:rsidRDefault="00C25E28" w:rsidP="0016774B">
            <w:pPr>
              <w:spacing w:line="252" w:lineRule="auto"/>
              <w:jc w:val="right"/>
              <w:rPr>
                <w:rFonts w:ascii="Calibri" w:eastAsia="Calibri" w:hAnsi="Calibri"/>
                <w:sz w:val="18"/>
                <w:szCs w:val="18"/>
                <w:lang w:eastAsia="sl-SI"/>
              </w:rPr>
            </w:pPr>
          </w:p>
          <w:p w14:paraId="1DF0247A" w14:textId="77777777" w:rsidR="00C25E28" w:rsidRPr="005E4BEA" w:rsidRDefault="00C25E28" w:rsidP="0016774B">
            <w:pPr>
              <w:spacing w:line="252" w:lineRule="auto"/>
              <w:jc w:val="right"/>
              <w:rPr>
                <w:rFonts w:ascii="Calibri" w:eastAsia="Calibri" w:hAnsi="Calibri"/>
                <w:sz w:val="18"/>
                <w:szCs w:val="18"/>
                <w:lang w:eastAsia="sl-SI"/>
              </w:rPr>
            </w:pPr>
          </w:p>
          <w:p w14:paraId="20B41199" w14:textId="77777777" w:rsidR="00C25E28" w:rsidRPr="005E4BEA" w:rsidRDefault="00C25E28" w:rsidP="0016774B">
            <w:pPr>
              <w:spacing w:line="252" w:lineRule="auto"/>
              <w:jc w:val="right"/>
              <w:rPr>
                <w:rFonts w:ascii="Calibri" w:eastAsia="Calibri" w:hAnsi="Calibri"/>
                <w:sz w:val="18"/>
                <w:szCs w:val="18"/>
                <w:lang w:eastAsia="sl-SI"/>
              </w:rPr>
            </w:pPr>
          </w:p>
          <w:p w14:paraId="3713D3AE" w14:textId="77777777" w:rsidR="00C25E28" w:rsidRPr="005E4BEA" w:rsidRDefault="00C25E28" w:rsidP="0016774B">
            <w:pPr>
              <w:spacing w:line="252" w:lineRule="auto"/>
              <w:jc w:val="right"/>
              <w:rPr>
                <w:rFonts w:ascii="Calibri" w:eastAsia="Calibri" w:hAnsi="Calibri"/>
                <w:sz w:val="18"/>
                <w:szCs w:val="18"/>
                <w:lang w:eastAsia="sl-SI"/>
              </w:rPr>
            </w:pPr>
          </w:p>
          <w:p w14:paraId="0EAC7D6D" w14:textId="77777777" w:rsidR="00C25E28" w:rsidRPr="005E4BEA" w:rsidRDefault="00C25E28" w:rsidP="0016774B">
            <w:pPr>
              <w:spacing w:line="252" w:lineRule="auto"/>
              <w:jc w:val="right"/>
              <w:rPr>
                <w:rFonts w:ascii="Calibri" w:eastAsia="Calibri" w:hAnsi="Calibri"/>
                <w:sz w:val="18"/>
                <w:szCs w:val="18"/>
                <w:lang w:eastAsia="sl-SI"/>
              </w:rPr>
            </w:pPr>
          </w:p>
          <w:p w14:paraId="0A546F74" w14:textId="77777777" w:rsidR="00C25E28" w:rsidRPr="005E4BEA" w:rsidRDefault="00C25E28" w:rsidP="0016774B">
            <w:pPr>
              <w:spacing w:line="252" w:lineRule="auto"/>
              <w:jc w:val="right"/>
              <w:rPr>
                <w:rFonts w:ascii="Calibri" w:eastAsia="Calibri" w:hAnsi="Calibri"/>
                <w:sz w:val="18"/>
                <w:szCs w:val="18"/>
                <w:lang w:eastAsia="sl-SI"/>
              </w:rPr>
            </w:pPr>
          </w:p>
          <w:p w14:paraId="64447919" w14:textId="77777777" w:rsidR="00C25E28" w:rsidRPr="005E4BEA" w:rsidRDefault="00C25E28" w:rsidP="0016774B">
            <w:pPr>
              <w:spacing w:line="252" w:lineRule="auto"/>
              <w:jc w:val="right"/>
              <w:rPr>
                <w:rFonts w:ascii="Calibri" w:eastAsia="Calibri" w:hAnsi="Calibri"/>
                <w:sz w:val="18"/>
                <w:szCs w:val="18"/>
                <w:lang w:eastAsia="sl-SI"/>
              </w:rPr>
            </w:pPr>
          </w:p>
          <w:p w14:paraId="31E6AA9F" w14:textId="77777777" w:rsidR="00C25E28" w:rsidRPr="005E4BEA" w:rsidRDefault="00C25E28" w:rsidP="0016774B">
            <w:pPr>
              <w:spacing w:line="252" w:lineRule="auto"/>
              <w:jc w:val="right"/>
              <w:rPr>
                <w:rFonts w:ascii="Calibri" w:eastAsia="Calibri" w:hAnsi="Calibri"/>
                <w:sz w:val="18"/>
                <w:szCs w:val="18"/>
                <w:lang w:eastAsia="sl-SI"/>
              </w:rPr>
            </w:pPr>
          </w:p>
          <w:p w14:paraId="792C56DF" w14:textId="77777777" w:rsidR="00C25E28" w:rsidRPr="005E4BEA" w:rsidRDefault="00C25E28" w:rsidP="0016774B">
            <w:pPr>
              <w:spacing w:line="252" w:lineRule="auto"/>
              <w:jc w:val="right"/>
              <w:rPr>
                <w:rFonts w:ascii="Calibri" w:eastAsia="Calibri" w:hAnsi="Calibri"/>
                <w:sz w:val="18"/>
                <w:szCs w:val="18"/>
                <w:lang w:eastAsia="sl-SI"/>
              </w:rPr>
            </w:pPr>
          </w:p>
          <w:p w14:paraId="350DA34C" w14:textId="77777777" w:rsidR="00C25E28" w:rsidRPr="005E4BEA" w:rsidRDefault="00C25E28" w:rsidP="0016774B">
            <w:pPr>
              <w:spacing w:line="252" w:lineRule="auto"/>
              <w:jc w:val="right"/>
              <w:rPr>
                <w:rFonts w:ascii="Calibri" w:eastAsia="Calibri" w:hAnsi="Calibri"/>
                <w:sz w:val="18"/>
                <w:szCs w:val="18"/>
                <w:lang w:eastAsia="sl-SI"/>
              </w:rPr>
            </w:pPr>
          </w:p>
          <w:p w14:paraId="673E5EDE" w14:textId="77777777" w:rsidR="00C25E28" w:rsidRPr="005E4BEA" w:rsidRDefault="00C25E28" w:rsidP="0016774B">
            <w:pPr>
              <w:spacing w:line="252" w:lineRule="auto"/>
              <w:jc w:val="right"/>
              <w:rPr>
                <w:rFonts w:ascii="Calibri" w:eastAsia="Calibri" w:hAnsi="Calibri"/>
                <w:sz w:val="18"/>
                <w:szCs w:val="18"/>
                <w:lang w:eastAsia="sl-SI"/>
              </w:rPr>
            </w:pPr>
          </w:p>
          <w:p w14:paraId="5ECA56B2" w14:textId="77777777" w:rsidR="00C25E28" w:rsidRPr="005E4BEA" w:rsidRDefault="00C25E28" w:rsidP="0016774B">
            <w:pPr>
              <w:spacing w:line="252" w:lineRule="auto"/>
              <w:jc w:val="right"/>
              <w:rPr>
                <w:rFonts w:ascii="Calibri" w:eastAsia="Calibri" w:hAnsi="Calibri"/>
                <w:sz w:val="18"/>
                <w:szCs w:val="18"/>
                <w:lang w:eastAsia="sl-SI"/>
              </w:rPr>
            </w:pPr>
          </w:p>
          <w:p w14:paraId="136CC1A9" w14:textId="77777777" w:rsidR="00C25E28" w:rsidRPr="005E4BEA" w:rsidRDefault="00C25E28" w:rsidP="0016774B">
            <w:pPr>
              <w:spacing w:line="252" w:lineRule="auto"/>
              <w:jc w:val="right"/>
              <w:rPr>
                <w:rFonts w:ascii="Calibri" w:eastAsia="Calibri" w:hAnsi="Calibri"/>
                <w:sz w:val="18"/>
                <w:szCs w:val="18"/>
                <w:lang w:eastAsia="sl-SI"/>
              </w:rPr>
            </w:pPr>
          </w:p>
          <w:p w14:paraId="4E4E1F73" w14:textId="77777777" w:rsidR="00C25E28" w:rsidRPr="005E4BEA" w:rsidRDefault="00C25E28" w:rsidP="0016774B">
            <w:pPr>
              <w:spacing w:line="252" w:lineRule="auto"/>
              <w:jc w:val="right"/>
              <w:rPr>
                <w:rFonts w:ascii="Calibri" w:eastAsia="Calibri" w:hAnsi="Calibri"/>
                <w:color w:val="44546A"/>
                <w:sz w:val="18"/>
                <w:szCs w:val="18"/>
                <w:lang w:eastAsia="sl-SI"/>
              </w:rPr>
            </w:pPr>
          </w:p>
          <w:p w14:paraId="26195B51" w14:textId="77777777" w:rsidR="00C25E28" w:rsidRPr="005E4BEA" w:rsidRDefault="00C25E28" w:rsidP="0016774B">
            <w:pPr>
              <w:spacing w:line="252" w:lineRule="auto"/>
              <w:jc w:val="right"/>
              <w:rPr>
                <w:rFonts w:ascii="Century Gothic" w:eastAsia="Calibri" w:hAnsi="Century Gothic"/>
                <w:color w:val="44546A"/>
                <w:sz w:val="22"/>
                <w:szCs w:val="22"/>
                <w:lang w:eastAsia="sl-SI"/>
              </w:rPr>
            </w:pPr>
          </w:p>
          <w:p w14:paraId="35D0F26A" w14:textId="77777777" w:rsidR="00C25E28" w:rsidRPr="005E4BEA" w:rsidRDefault="00C25E28" w:rsidP="0016774B">
            <w:pPr>
              <w:spacing w:line="252" w:lineRule="auto"/>
              <w:jc w:val="right"/>
              <w:rPr>
                <w:rFonts w:ascii="Calibri" w:eastAsia="Calibri" w:hAnsi="Calibri"/>
                <w:sz w:val="18"/>
                <w:szCs w:val="18"/>
                <w:lang w:eastAsia="sl-SI"/>
              </w:rPr>
            </w:pPr>
            <w:r w:rsidRPr="005E4BEA">
              <w:rPr>
                <w:rFonts w:ascii="Calibri" w:eastAsia="Calibri" w:hAnsi="Calibri"/>
                <w:sz w:val="18"/>
                <w:szCs w:val="18"/>
                <w:lang w:eastAsia="sl-SI"/>
              </w:rPr>
              <w:t>41.640,00</w:t>
            </w:r>
          </w:p>
          <w:p w14:paraId="2BF0AAFE" w14:textId="77777777" w:rsidR="00C25E28" w:rsidRPr="005E4BEA" w:rsidRDefault="00C25E28" w:rsidP="0016774B">
            <w:pPr>
              <w:spacing w:line="252" w:lineRule="auto"/>
              <w:jc w:val="right"/>
              <w:rPr>
                <w:rFonts w:ascii="Calibri" w:eastAsia="Calibri" w:hAnsi="Calibri"/>
                <w:sz w:val="18"/>
                <w:szCs w:val="18"/>
                <w:lang w:eastAsia="sl-SI"/>
              </w:rPr>
            </w:pPr>
          </w:p>
          <w:p w14:paraId="4ADCADFC" w14:textId="77777777" w:rsidR="00C25E28" w:rsidRPr="005E4BEA" w:rsidRDefault="00C25E28" w:rsidP="0016774B">
            <w:pPr>
              <w:spacing w:line="252" w:lineRule="auto"/>
              <w:rPr>
                <w:rFonts w:ascii="Calibri" w:eastAsia="Calibri" w:hAnsi="Calibri"/>
                <w:sz w:val="18"/>
                <w:szCs w:val="18"/>
                <w:lang w:eastAsia="sl-SI"/>
              </w:rPr>
            </w:pPr>
          </w:p>
        </w:tc>
        <w:tc>
          <w:tcPr>
            <w:tcW w:w="1271" w:type="dxa"/>
            <w:tcBorders>
              <w:top w:val="nil"/>
              <w:left w:val="nil"/>
              <w:bottom w:val="single" w:sz="8" w:space="0" w:color="0070C0"/>
              <w:right w:val="single" w:sz="8" w:space="0" w:color="0070C0"/>
            </w:tcBorders>
            <w:tcMar>
              <w:top w:w="0" w:type="dxa"/>
              <w:left w:w="108" w:type="dxa"/>
              <w:bottom w:w="0" w:type="dxa"/>
              <w:right w:w="108" w:type="dxa"/>
            </w:tcMar>
            <w:vAlign w:val="center"/>
          </w:tcPr>
          <w:p w14:paraId="0F0B82FA" w14:textId="77777777" w:rsidR="00C25E28" w:rsidRPr="005E4BEA" w:rsidRDefault="00C25E28" w:rsidP="0016774B">
            <w:pPr>
              <w:spacing w:line="252" w:lineRule="auto"/>
              <w:jc w:val="right"/>
              <w:rPr>
                <w:rFonts w:ascii="Calibri" w:eastAsia="Calibri" w:hAnsi="Calibri"/>
                <w:sz w:val="18"/>
                <w:szCs w:val="18"/>
                <w:lang w:eastAsia="sl-SI"/>
              </w:rPr>
            </w:pPr>
          </w:p>
          <w:p w14:paraId="47AC6FE9" w14:textId="77777777" w:rsidR="00C25E28" w:rsidRPr="005E4BEA" w:rsidRDefault="00C25E28" w:rsidP="0016774B">
            <w:pPr>
              <w:spacing w:line="252" w:lineRule="auto"/>
              <w:jc w:val="right"/>
              <w:rPr>
                <w:rFonts w:ascii="Calibri" w:eastAsia="Calibri" w:hAnsi="Calibri"/>
                <w:sz w:val="18"/>
                <w:szCs w:val="18"/>
                <w:lang w:eastAsia="sl-SI"/>
              </w:rPr>
            </w:pPr>
          </w:p>
          <w:p w14:paraId="3D4E153C" w14:textId="77777777" w:rsidR="00C25E28" w:rsidRPr="005E4BEA" w:rsidRDefault="00C25E28" w:rsidP="0016774B">
            <w:pPr>
              <w:spacing w:line="252" w:lineRule="auto"/>
              <w:jc w:val="right"/>
              <w:rPr>
                <w:rFonts w:ascii="Calibri" w:eastAsia="Calibri" w:hAnsi="Calibri"/>
                <w:sz w:val="18"/>
                <w:szCs w:val="18"/>
                <w:lang w:eastAsia="sl-SI"/>
              </w:rPr>
            </w:pPr>
          </w:p>
          <w:p w14:paraId="77918598" w14:textId="77777777" w:rsidR="00C25E28" w:rsidRPr="005E4BEA" w:rsidRDefault="00C25E28" w:rsidP="0016774B">
            <w:pPr>
              <w:spacing w:line="252" w:lineRule="auto"/>
              <w:jc w:val="right"/>
              <w:rPr>
                <w:rFonts w:ascii="Calibri" w:eastAsia="Calibri" w:hAnsi="Calibri"/>
                <w:sz w:val="18"/>
                <w:szCs w:val="18"/>
                <w:lang w:eastAsia="sl-SI"/>
              </w:rPr>
            </w:pPr>
          </w:p>
          <w:p w14:paraId="24BF2084" w14:textId="77777777" w:rsidR="00C25E28" w:rsidRPr="005E4BEA" w:rsidRDefault="00C25E28" w:rsidP="0016774B">
            <w:pPr>
              <w:spacing w:line="252" w:lineRule="auto"/>
              <w:jc w:val="right"/>
              <w:rPr>
                <w:rFonts w:ascii="Calibri" w:eastAsia="Calibri" w:hAnsi="Calibri"/>
                <w:sz w:val="18"/>
                <w:szCs w:val="18"/>
                <w:lang w:eastAsia="sl-SI"/>
              </w:rPr>
            </w:pPr>
          </w:p>
          <w:p w14:paraId="534F2B03" w14:textId="77777777" w:rsidR="00C25E28" w:rsidRPr="005E4BEA" w:rsidRDefault="00C25E28" w:rsidP="0016774B">
            <w:pPr>
              <w:spacing w:line="252" w:lineRule="auto"/>
              <w:jc w:val="right"/>
              <w:rPr>
                <w:rFonts w:ascii="Calibri" w:eastAsia="Calibri" w:hAnsi="Calibri"/>
                <w:sz w:val="18"/>
                <w:szCs w:val="18"/>
                <w:lang w:eastAsia="sl-SI"/>
              </w:rPr>
            </w:pPr>
          </w:p>
          <w:p w14:paraId="1F3201BC" w14:textId="77777777" w:rsidR="00C25E28" w:rsidRPr="005E4BEA" w:rsidRDefault="00C25E28" w:rsidP="0016774B">
            <w:pPr>
              <w:spacing w:line="252" w:lineRule="auto"/>
              <w:jc w:val="right"/>
              <w:rPr>
                <w:rFonts w:ascii="Calibri" w:eastAsia="Calibri" w:hAnsi="Calibri"/>
                <w:sz w:val="18"/>
                <w:szCs w:val="18"/>
                <w:lang w:eastAsia="sl-SI"/>
              </w:rPr>
            </w:pPr>
          </w:p>
          <w:p w14:paraId="5C79557F" w14:textId="77777777" w:rsidR="00C25E28" w:rsidRPr="005E4BEA" w:rsidRDefault="00C25E28" w:rsidP="0016774B">
            <w:pPr>
              <w:spacing w:line="252" w:lineRule="auto"/>
              <w:jc w:val="right"/>
              <w:rPr>
                <w:rFonts w:ascii="Calibri" w:eastAsia="Calibri" w:hAnsi="Calibri"/>
                <w:sz w:val="18"/>
                <w:szCs w:val="18"/>
                <w:lang w:eastAsia="sl-SI"/>
              </w:rPr>
            </w:pPr>
          </w:p>
          <w:p w14:paraId="35D1DEED" w14:textId="77777777" w:rsidR="00C25E28" w:rsidRPr="005E4BEA" w:rsidRDefault="00C25E28" w:rsidP="0016774B">
            <w:pPr>
              <w:spacing w:line="252" w:lineRule="auto"/>
              <w:jc w:val="right"/>
              <w:rPr>
                <w:rFonts w:ascii="Calibri" w:eastAsia="Calibri" w:hAnsi="Calibri"/>
                <w:sz w:val="18"/>
                <w:szCs w:val="18"/>
                <w:lang w:eastAsia="sl-SI"/>
              </w:rPr>
            </w:pPr>
          </w:p>
          <w:p w14:paraId="4F61F241" w14:textId="77777777" w:rsidR="00C25E28" w:rsidRPr="005E4BEA" w:rsidRDefault="00C25E28" w:rsidP="0016774B">
            <w:pPr>
              <w:spacing w:line="252" w:lineRule="auto"/>
              <w:jc w:val="right"/>
              <w:rPr>
                <w:rFonts w:ascii="Calibri" w:eastAsia="Calibri" w:hAnsi="Calibri"/>
                <w:sz w:val="18"/>
                <w:szCs w:val="18"/>
                <w:lang w:eastAsia="sl-SI"/>
              </w:rPr>
            </w:pPr>
          </w:p>
          <w:p w14:paraId="7B977E60" w14:textId="77777777" w:rsidR="00C25E28" w:rsidRPr="005E4BEA" w:rsidRDefault="00C25E28" w:rsidP="0016774B">
            <w:pPr>
              <w:spacing w:line="252" w:lineRule="auto"/>
              <w:jc w:val="right"/>
              <w:rPr>
                <w:rFonts w:ascii="Calibri" w:eastAsia="Calibri" w:hAnsi="Calibri"/>
                <w:sz w:val="18"/>
                <w:szCs w:val="18"/>
                <w:lang w:eastAsia="sl-SI"/>
              </w:rPr>
            </w:pPr>
          </w:p>
          <w:p w14:paraId="7DD8361D" w14:textId="77777777" w:rsidR="00C25E28" w:rsidRPr="005E4BEA" w:rsidRDefault="00C25E28" w:rsidP="0016774B">
            <w:pPr>
              <w:spacing w:line="252" w:lineRule="auto"/>
              <w:jc w:val="right"/>
              <w:rPr>
                <w:rFonts w:ascii="Calibri" w:eastAsia="Calibri" w:hAnsi="Calibri"/>
                <w:sz w:val="18"/>
                <w:szCs w:val="18"/>
                <w:lang w:eastAsia="sl-SI"/>
              </w:rPr>
            </w:pPr>
          </w:p>
          <w:p w14:paraId="6AA0DF82" w14:textId="77777777" w:rsidR="00C25E28" w:rsidRPr="005E4BEA" w:rsidRDefault="00C25E28" w:rsidP="0016774B">
            <w:pPr>
              <w:spacing w:line="252" w:lineRule="auto"/>
              <w:jc w:val="right"/>
              <w:rPr>
                <w:rFonts w:ascii="Calibri" w:eastAsia="Calibri" w:hAnsi="Calibri"/>
                <w:sz w:val="18"/>
                <w:szCs w:val="18"/>
                <w:lang w:eastAsia="sl-SI"/>
              </w:rPr>
            </w:pPr>
          </w:p>
          <w:p w14:paraId="38AB6A80" w14:textId="77777777" w:rsidR="00C25E28" w:rsidRPr="005E4BEA" w:rsidRDefault="00C25E28" w:rsidP="0016774B">
            <w:pPr>
              <w:spacing w:line="252" w:lineRule="auto"/>
              <w:jc w:val="right"/>
              <w:rPr>
                <w:rFonts w:ascii="Calibri" w:eastAsia="Calibri" w:hAnsi="Calibri"/>
                <w:sz w:val="18"/>
                <w:szCs w:val="18"/>
                <w:lang w:eastAsia="sl-SI"/>
              </w:rPr>
            </w:pPr>
          </w:p>
          <w:p w14:paraId="23217609" w14:textId="77777777" w:rsidR="00C25E28" w:rsidRPr="005E4BEA" w:rsidRDefault="00C25E28" w:rsidP="0016774B">
            <w:pPr>
              <w:spacing w:line="252" w:lineRule="auto"/>
              <w:jc w:val="right"/>
              <w:rPr>
                <w:rFonts w:ascii="Calibri" w:eastAsia="Calibri" w:hAnsi="Calibri"/>
                <w:sz w:val="18"/>
                <w:szCs w:val="18"/>
                <w:lang w:eastAsia="sl-SI"/>
              </w:rPr>
            </w:pPr>
          </w:p>
          <w:p w14:paraId="55BA0053" w14:textId="77777777" w:rsidR="00C25E28" w:rsidRPr="005E4BEA" w:rsidRDefault="00C25E28" w:rsidP="0016774B">
            <w:pPr>
              <w:spacing w:line="252" w:lineRule="auto"/>
              <w:jc w:val="right"/>
              <w:rPr>
                <w:rFonts w:ascii="Calibri" w:eastAsia="Calibri" w:hAnsi="Calibri"/>
                <w:sz w:val="18"/>
                <w:szCs w:val="18"/>
                <w:lang w:eastAsia="sl-SI"/>
              </w:rPr>
            </w:pPr>
          </w:p>
          <w:p w14:paraId="5BAB4DD0" w14:textId="77777777" w:rsidR="00C25E28" w:rsidRPr="005E4BEA" w:rsidRDefault="00C25E28" w:rsidP="0016774B">
            <w:pPr>
              <w:spacing w:line="252" w:lineRule="auto"/>
              <w:jc w:val="right"/>
              <w:rPr>
                <w:rFonts w:ascii="Calibri" w:eastAsia="Calibri" w:hAnsi="Calibri"/>
                <w:sz w:val="18"/>
                <w:szCs w:val="18"/>
                <w:lang w:eastAsia="sl-SI"/>
              </w:rPr>
            </w:pPr>
          </w:p>
          <w:p w14:paraId="55D50059" w14:textId="77777777" w:rsidR="00C25E28" w:rsidRPr="005E4BEA" w:rsidRDefault="00C25E28" w:rsidP="0016774B">
            <w:pPr>
              <w:spacing w:line="252" w:lineRule="auto"/>
              <w:jc w:val="right"/>
              <w:rPr>
                <w:rFonts w:ascii="Calibri" w:eastAsia="Calibri" w:hAnsi="Calibri"/>
                <w:sz w:val="18"/>
                <w:szCs w:val="18"/>
                <w:lang w:eastAsia="sl-SI"/>
              </w:rPr>
            </w:pPr>
          </w:p>
          <w:p w14:paraId="677B43BA" w14:textId="77777777" w:rsidR="00C25E28" w:rsidRPr="005E4BEA" w:rsidRDefault="00C25E28" w:rsidP="0016774B">
            <w:pPr>
              <w:spacing w:line="252" w:lineRule="auto"/>
              <w:jc w:val="right"/>
              <w:rPr>
                <w:rFonts w:ascii="Calibri" w:eastAsia="Calibri" w:hAnsi="Calibri"/>
                <w:sz w:val="18"/>
                <w:szCs w:val="18"/>
                <w:lang w:eastAsia="sl-SI"/>
              </w:rPr>
            </w:pPr>
          </w:p>
          <w:p w14:paraId="7EE217E6" w14:textId="77777777" w:rsidR="00C25E28" w:rsidRPr="005E4BEA" w:rsidRDefault="00C25E28" w:rsidP="0016774B">
            <w:pPr>
              <w:spacing w:line="252" w:lineRule="auto"/>
              <w:jc w:val="right"/>
              <w:rPr>
                <w:rFonts w:ascii="Calibri" w:eastAsia="Calibri" w:hAnsi="Calibri"/>
                <w:sz w:val="18"/>
                <w:szCs w:val="18"/>
                <w:lang w:eastAsia="sl-SI"/>
              </w:rPr>
            </w:pPr>
          </w:p>
          <w:p w14:paraId="42BBD0E2" w14:textId="77777777" w:rsidR="00C25E28" w:rsidRPr="005E4BEA" w:rsidRDefault="00C25E28" w:rsidP="0016774B">
            <w:pPr>
              <w:spacing w:line="252" w:lineRule="auto"/>
              <w:jc w:val="right"/>
              <w:rPr>
                <w:rFonts w:ascii="Calibri" w:eastAsia="Calibri" w:hAnsi="Calibri"/>
                <w:sz w:val="18"/>
                <w:szCs w:val="18"/>
                <w:lang w:eastAsia="sl-SI"/>
              </w:rPr>
            </w:pPr>
          </w:p>
          <w:p w14:paraId="3A495188" w14:textId="77777777" w:rsidR="00C25E28" w:rsidRPr="005E4BEA" w:rsidRDefault="00C25E28" w:rsidP="0016774B">
            <w:pPr>
              <w:spacing w:line="252" w:lineRule="auto"/>
              <w:jc w:val="right"/>
              <w:rPr>
                <w:rFonts w:ascii="Calibri" w:eastAsia="Calibri" w:hAnsi="Calibri"/>
                <w:sz w:val="18"/>
                <w:szCs w:val="18"/>
                <w:lang w:eastAsia="sl-SI"/>
              </w:rPr>
            </w:pPr>
          </w:p>
          <w:p w14:paraId="29C9A9AC" w14:textId="77777777" w:rsidR="00C25E28" w:rsidRPr="005E4BEA" w:rsidRDefault="00C25E28" w:rsidP="0016774B">
            <w:pPr>
              <w:spacing w:line="252" w:lineRule="auto"/>
              <w:jc w:val="right"/>
              <w:rPr>
                <w:rFonts w:ascii="Calibri" w:eastAsia="Calibri" w:hAnsi="Calibri"/>
                <w:sz w:val="18"/>
                <w:szCs w:val="18"/>
                <w:lang w:eastAsia="sl-SI"/>
              </w:rPr>
            </w:pPr>
          </w:p>
          <w:p w14:paraId="387EE81A" w14:textId="77777777" w:rsidR="00C25E28" w:rsidRPr="005E4BEA" w:rsidRDefault="00C25E28" w:rsidP="0016774B">
            <w:pPr>
              <w:spacing w:line="252" w:lineRule="auto"/>
              <w:jc w:val="right"/>
              <w:rPr>
                <w:rFonts w:ascii="Calibri" w:eastAsia="Calibri" w:hAnsi="Calibri"/>
                <w:sz w:val="18"/>
                <w:szCs w:val="18"/>
                <w:lang w:eastAsia="sl-SI"/>
              </w:rPr>
            </w:pPr>
          </w:p>
          <w:p w14:paraId="779B0542" w14:textId="77777777" w:rsidR="00C25E28" w:rsidRPr="005E4BEA" w:rsidRDefault="00C25E28" w:rsidP="0016774B">
            <w:pPr>
              <w:spacing w:line="252" w:lineRule="auto"/>
              <w:jc w:val="right"/>
              <w:rPr>
                <w:rFonts w:ascii="Calibri" w:eastAsia="Calibri" w:hAnsi="Calibri"/>
                <w:sz w:val="18"/>
                <w:szCs w:val="18"/>
                <w:lang w:eastAsia="sl-SI"/>
              </w:rPr>
            </w:pPr>
          </w:p>
          <w:p w14:paraId="1125B0B0" w14:textId="77777777" w:rsidR="00C25E28" w:rsidRPr="005E4BEA" w:rsidRDefault="00C25E28" w:rsidP="0016774B">
            <w:pPr>
              <w:spacing w:line="252" w:lineRule="auto"/>
              <w:jc w:val="right"/>
              <w:rPr>
                <w:rFonts w:ascii="Calibri" w:eastAsia="Calibri" w:hAnsi="Calibri"/>
                <w:sz w:val="18"/>
                <w:szCs w:val="18"/>
                <w:lang w:eastAsia="sl-SI"/>
              </w:rPr>
            </w:pPr>
          </w:p>
          <w:p w14:paraId="6DF7FF37" w14:textId="77777777" w:rsidR="00C25E28" w:rsidRPr="005E4BEA" w:rsidRDefault="00C25E28" w:rsidP="0016774B">
            <w:pPr>
              <w:spacing w:line="252" w:lineRule="auto"/>
              <w:jc w:val="right"/>
              <w:rPr>
                <w:rFonts w:ascii="Calibri" w:eastAsia="Calibri" w:hAnsi="Calibri"/>
                <w:sz w:val="18"/>
                <w:szCs w:val="18"/>
                <w:lang w:eastAsia="sl-SI"/>
              </w:rPr>
            </w:pPr>
          </w:p>
          <w:p w14:paraId="5E06D26C" w14:textId="77777777" w:rsidR="00C25E28" w:rsidRPr="005E4BEA" w:rsidRDefault="00C25E28" w:rsidP="0016774B">
            <w:pPr>
              <w:spacing w:line="252" w:lineRule="auto"/>
              <w:jc w:val="right"/>
              <w:rPr>
                <w:rFonts w:ascii="Calibri" w:eastAsia="Calibri" w:hAnsi="Calibri"/>
                <w:sz w:val="18"/>
                <w:szCs w:val="18"/>
                <w:lang w:eastAsia="sl-SI"/>
              </w:rPr>
            </w:pPr>
          </w:p>
          <w:p w14:paraId="46C3535F" w14:textId="77777777" w:rsidR="00C25E28" w:rsidRPr="005E4BEA" w:rsidRDefault="00C25E28" w:rsidP="0016774B">
            <w:pPr>
              <w:spacing w:line="252" w:lineRule="auto"/>
              <w:jc w:val="right"/>
              <w:rPr>
                <w:rFonts w:ascii="Calibri" w:eastAsia="Calibri" w:hAnsi="Calibri"/>
                <w:sz w:val="18"/>
                <w:szCs w:val="18"/>
                <w:lang w:eastAsia="sl-SI"/>
              </w:rPr>
            </w:pPr>
          </w:p>
        </w:tc>
      </w:tr>
    </w:tbl>
    <w:p w14:paraId="7A1C294D" w14:textId="77777777" w:rsidR="00F7294C" w:rsidRPr="005E4BEA" w:rsidRDefault="00F7294C" w:rsidP="00F7294C">
      <w:pPr>
        <w:spacing w:line="240" w:lineRule="auto"/>
        <w:jc w:val="both"/>
        <w:rPr>
          <w:rFonts w:eastAsia="Calibri" w:cs="Arial"/>
          <w:szCs w:val="20"/>
          <w:lang w:eastAsia="sl-SI"/>
        </w:rPr>
      </w:pPr>
      <w:r w:rsidRPr="005E4BEA">
        <w:rPr>
          <w:rFonts w:eastAsia="Calibri" w:cs="Arial"/>
          <w:szCs w:val="20"/>
          <w:lang w:eastAsia="sl-SI"/>
        </w:rPr>
        <w:t>Opomba: delovna skupina pripravi predlog za uvedbo pregleda uporabe zdravil (PUZ) in kontrolnih pregledov uporabe zdravil (KPUZ) do 1.1.2024</w:t>
      </w:r>
    </w:p>
    <w:p w14:paraId="2CCC755B" w14:textId="77777777" w:rsidR="00C25E28" w:rsidRPr="005E4BEA" w:rsidRDefault="00C25E28" w:rsidP="00C25E28">
      <w:pPr>
        <w:spacing w:line="240" w:lineRule="auto"/>
        <w:jc w:val="both"/>
        <w:rPr>
          <w:rFonts w:ascii="Calibri" w:eastAsia="Calibri" w:hAnsi="Calibri"/>
          <w:b/>
          <w:bCs/>
          <w:sz w:val="22"/>
          <w:szCs w:val="22"/>
          <w:lang w:eastAsia="sl-SI"/>
        </w:rPr>
      </w:pPr>
    </w:p>
    <w:p w14:paraId="3ABEF3C8" w14:textId="77777777" w:rsidR="00C25E28" w:rsidRPr="005E4BEA" w:rsidRDefault="00C25E28" w:rsidP="00C25E28">
      <w:pPr>
        <w:spacing w:line="240" w:lineRule="auto"/>
        <w:jc w:val="both"/>
        <w:rPr>
          <w:rFonts w:ascii="Calibri" w:eastAsia="Calibri" w:hAnsi="Calibri"/>
          <w:b/>
          <w:bCs/>
          <w:sz w:val="22"/>
          <w:szCs w:val="22"/>
          <w:lang w:eastAsia="sl-SI"/>
        </w:rPr>
      </w:pPr>
      <w:r w:rsidRPr="005E4BEA">
        <w:rPr>
          <w:rFonts w:ascii="Calibri" w:eastAsia="Calibri" w:hAnsi="Calibri"/>
          <w:b/>
          <w:bCs/>
          <w:sz w:val="22"/>
          <w:szCs w:val="22"/>
          <w:lang w:eastAsia="sl-SI"/>
        </w:rPr>
        <w:t xml:space="preserve">V Prilogi </w:t>
      </w:r>
      <w:proofErr w:type="spellStart"/>
      <w:r w:rsidRPr="005E4BEA">
        <w:rPr>
          <w:rFonts w:ascii="Calibri" w:eastAsia="Calibri" w:hAnsi="Calibri"/>
          <w:b/>
          <w:bCs/>
          <w:sz w:val="22"/>
          <w:szCs w:val="22"/>
          <w:lang w:eastAsia="sl-SI"/>
        </w:rPr>
        <w:t>Ib</w:t>
      </w:r>
      <w:proofErr w:type="spellEnd"/>
      <w:r w:rsidRPr="005E4BEA">
        <w:rPr>
          <w:rFonts w:ascii="Calibri" w:eastAsia="Calibri" w:hAnsi="Calibri"/>
          <w:b/>
          <w:bCs/>
          <w:sz w:val="22"/>
          <w:szCs w:val="22"/>
          <w:lang w:eastAsia="sl-SI"/>
        </w:rPr>
        <w:t xml:space="preserve"> se doda nova storitev, ki se glasi:</w:t>
      </w:r>
    </w:p>
    <w:bookmarkEnd w:id="98"/>
    <w:p w14:paraId="4A9B23AF" w14:textId="77777777" w:rsidR="00C25E28" w:rsidRPr="005E4BEA" w:rsidRDefault="00C25E28" w:rsidP="00C25E28">
      <w:pPr>
        <w:spacing w:line="240" w:lineRule="auto"/>
        <w:rPr>
          <w:rFonts w:ascii="Century Gothic" w:eastAsia="Calibri" w:hAnsi="Century Gothic"/>
          <w:sz w:val="24"/>
          <w:szCs w:val="22"/>
          <w:lang w:eastAsia="sl-SI"/>
        </w:rPr>
      </w:pPr>
    </w:p>
    <w:tbl>
      <w:tblPr>
        <w:tblW w:w="5000" w:type="pct"/>
        <w:tblCellMar>
          <w:left w:w="0" w:type="dxa"/>
          <w:right w:w="0" w:type="dxa"/>
        </w:tblCellMar>
        <w:tblLook w:val="04A0" w:firstRow="1" w:lastRow="0" w:firstColumn="1" w:lastColumn="0" w:noHBand="0" w:noVBand="1"/>
      </w:tblPr>
      <w:tblGrid>
        <w:gridCol w:w="566"/>
        <w:gridCol w:w="804"/>
        <w:gridCol w:w="741"/>
        <w:gridCol w:w="5129"/>
        <w:gridCol w:w="656"/>
        <w:gridCol w:w="582"/>
      </w:tblGrid>
      <w:tr w:rsidR="00C25E28" w:rsidRPr="005E4BEA" w14:paraId="6B9261A5" w14:textId="77777777" w:rsidTr="0016774B">
        <w:trPr>
          <w:trHeight w:val="675"/>
        </w:trPr>
        <w:tc>
          <w:tcPr>
            <w:tcW w:w="200" w:type="pct"/>
            <w:tcBorders>
              <w:top w:val="single" w:sz="8" w:space="0" w:color="808080"/>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3CB4DD39" w14:textId="77777777" w:rsidR="00C25E28" w:rsidRPr="005E4BEA" w:rsidRDefault="00C25E28" w:rsidP="0016774B">
            <w:pPr>
              <w:spacing w:line="252" w:lineRule="auto"/>
              <w:rPr>
                <w:rFonts w:ascii="Century Gothic" w:eastAsia="Calibri" w:hAnsi="Century Gothic"/>
                <w:sz w:val="24"/>
                <w:szCs w:val="22"/>
                <w:lang w:eastAsia="sl-SI"/>
              </w:rPr>
            </w:pPr>
            <w:bookmarkStart w:id="99" w:name="_Hlk102471387"/>
            <w:r w:rsidRPr="005E4BEA">
              <w:rPr>
                <w:rFonts w:ascii="Calibri" w:eastAsia="Calibri" w:hAnsi="Calibri"/>
                <w:b/>
                <w:bCs/>
                <w:color w:val="7030A0"/>
                <w:sz w:val="16"/>
                <w:szCs w:val="16"/>
                <w:lang w:eastAsia="sl-SI"/>
              </w:rPr>
              <w:t>Vrsta</w:t>
            </w:r>
          </w:p>
        </w:tc>
        <w:tc>
          <w:tcPr>
            <w:tcW w:w="200"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019795B9"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t>Podvrsta</w:t>
            </w:r>
          </w:p>
        </w:tc>
        <w:tc>
          <w:tcPr>
            <w:tcW w:w="292"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2F578EA8"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t>Storitev</w:t>
            </w:r>
          </w:p>
        </w:tc>
        <w:tc>
          <w:tcPr>
            <w:tcW w:w="3456"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4D08A291"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b/>
                <w:bCs/>
                <w:color w:val="7030A0"/>
                <w:sz w:val="16"/>
                <w:szCs w:val="16"/>
                <w:lang w:eastAsia="sl-SI"/>
              </w:rPr>
              <w:t>Naziv</w:t>
            </w:r>
          </w:p>
        </w:tc>
        <w:tc>
          <w:tcPr>
            <w:tcW w:w="568"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5F516A5B" w14:textId="77777777" w:rsidR="00C25E28" w:rsidRPr="005E4BEA" w:rsidRDefault="00C25E28" w:rsidP="0016774B">
            <w:pPr>
              <w:spacing w:line="252" w:lineRule="auto"/>
              <w:jc w:val="center"/>
              <w:rPr>
                <w:rFonts w:ascii="Calibri" w:eastAsia="Calibri" w:hAnsi="Calibri"/>
                <w:b/>
                <w:bCs/>
                <w:color w:val="7030A0"/>
                <w:sz w:val="16"/>
                <w:szCs w:val="16"/>
                <w:lang w:eastAsia="sl-SI"/>
              </w:rPr>
            </w:pPr>
            <w:r w:rsidRPr="005E4BEA">
              <w:rPr>
                <w:rFonts w:ascii="Calibri" w:eastAsia="Calibri" w:hAnsi="Calibri"/>
                <w:b/>
                <w:bCs/>
                <w:color w:val="7030A0"/>
                <w:sz w:val="16"/>
                <w:szCs w:val="16"/>
                <w:lang w:eastAsia="sl-SI"/>
              </w:rPr>
              <w:t>Enota mere</w:t>
            </w:r>
          </w:p>
        </w:tc>
        <w:tc>
          <w:tcPr>
            <w:tcW w:w="284" w:type="pct"/>
            <w:tcBorders>
              <w:top w:val="single" w:sz="8" w:space="0" w:color="808080"/>
              <w:left w:val="nil"/>
              <w:bottom w:val="single" w:sz="8" w:space="0" w:color="808080"/>
              <w:right w:val="single" w:sz="8" w:space="0" w:color="808080"/>
            </w:tcBorders>
            <w:shd w:val="clear" w:color="auto" w:fill="D9D9D9"/>
            <w:tcMar>
              <w:top w:w="0" w:type="dxa"/>
              <w:left w:w="108" w:type="dxa"/>
              <w:bottom w:w="0" w:type="dxa"/>
              <w:right w:w="108" w:type="dxa"/>
            </w:tcMar>
            <w:vAlign w:val="bottom"/>
            <w:hideMark/>
          </w:tcPr>
          <w:p w14:paraId="516A06C4" w14:textId="77777777" w:rsidR="00C25E28" w:rsidRPr="005E4BEA" w:rsidRDefault="00C25E28" w:rsidP="0016774B">
            <w:pPr>
              <w:spacing w:line="252" w:lineRule="auto"/>
              <w:jc w:val="center"/>
              <w:rPr>
                <w:rFonts w:ascii="Calibri" w:eastAsia="Calibri" w:hAnsi="Calibri"/>
                <w:b/>
                <w:bCs/>
                <w:color w:val="7030A0"/>
                <w:sz w:val="16"/>
                <w:szCs w:val="16"/>
                <w:lang w:eastAsia="sl-SI"/>
              </w:rPr>
            </w:pPr>
            <w:r w:rsidRPr="005E4BEA">
              <w:rPr>
                <w:rFonts w:ascii="Calibri" w:eastAsia="Calibri" w:hAnsi="Calibri"/>
                <w:b/>
                <w:bCs/>
                <w:color w:val="7030A0"/>
                <w:sz w:val="16"/>
                <w:szCs w:val="16"/>
                <w:lang w:eastAsia="sl-SI"/>
              </w:rPr>
              <w:t>CENA</w:t>
            </w:r>
          </w:p>
        </w:tc>
      </w:tr>
      <w:tr w:rsidR="00C25E28" w:rsidRPr="005E4BEA" w14:paraId="1E3B8A24" w14:textId="77777777" w:rsidTr="0016774B">
        <w:trPr>
          <w:trHeight w:val="22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9B8EBFA"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101</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641CB88"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300</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52A07F5"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E0xxx</w:t>
            </w:r>
          </w:p>
        </w:tc>
        <w:tc>
          <w:tcPr>
            <w:tcW w:w="3456"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8801D0B"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za brezšivno skrb v bolnišnični obravnavi</w:t>
            </w:r>
          </w:p>
        </w:tc>
        <w:tc>
          <w:tcPr>
            <w:tcW w:w="568"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5E6FD12" w14:textId="77777777" w:rsidR="00C25E28" w:rsidRPr="005E4BEA" w:rsidRDefault="00C25E28" w:rsidP="0016774B">
            <w:pPr>
              <w:spacing w:line="252" w:lineRule="auto"/>
              <w:jc w:val="center"/>
              <w:rPr>
                <w:rFonts w:ascii="Calibri" w:eastAsia="Calibri" w:hAnsi="Calibri"/>
                <w:color w:val="000099"/>
                <w:sz w:val="16"/>
                <w:szCs w:val="16"/>
                <w:lang w:eastAsia="sl-SI"/>
              </w:rPr>
            </w:pPr>
            <w:r w:rsidRPr="005E4BEA">
              <w:rPr>
                <w:rFonts w:ascii="Calibri" w:eastAsia="Calibri" w:hAnsi="Calibri"/>
                <w:color w:val="000099"/>
                <w:sz w:val="16"/>
                <w:szCs w:val="16"/>
                <w:lang w:eastAsia="sl-SI"/>
              </w:rPr>
              <w:t>primer</w:t>
            </w:r>
          </w:p>
        </w:tc>
        <w:tc>
          <w:tcPr>
            <w:tcW w:w="28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39877FB8"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38,21</w:t>
            </w:r>
          </w:p>
        </w:tc>
      </w:tr>
      <w:tr w:rsidR="00C25E28" w:rsidRPr="005E4BEA" w14:paraId="68C2D2D2" w14:textId="77777777" w:rsidTr="0016774B">
        <w:trPr>
          <w:trHeight w:val="22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6D2F47D0"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104</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49E2F45E"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305</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2C59317"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E0xxx</w:t>
            </w:r>
          </w:p>
        </w:tc>
        <w:tc>
          <w:tcPr>
            <w:tcW w:w="3456"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0A8A423"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za brezšivno skrb v bolnišnični obravnavi</w:t>
            </w:r>
          </w:p>
        </w:tc>
        <w:tc>
          <w:tcPr>
            <w:tcW w:w="568"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30AD90D5" w14:textId="77777777" w:rsidR="00C25E28" w:rsidRPr="005E4BEA" w:rsidRDefault="00C25E28" w:rsidP="0016774B">
            <w:pPr>
              <w:spacing w:line="252" w:lineRule="auto"/>
              <w:jc w:val="center"/>
              <w:rPr>
                <w:rFonts w:ascii="Calibri" w:eastAsia="Calibri" w:hAnsi="Calibri"/>
                <w:color w:val="000099"/>
                <w:sz w:val="16"/>
                <w:szCs w:val="16"/>
                <w:lang w:eastAsia="sl-SI"/>
              </w:rPr>
            </w:pPr>
            <w:r w:rsidRPr="005E4BEA">
              <w:rPr>
                <w:rFonts w:ascii="Calibri" w:eastAsia="Calibri" w:hAnsi="Calibri"/>
                <w:color w:val="000099"/>
                <w:sz w:val="16"/>
                <w:szCs w:val="16"/>
                <w:lang w:eastAsia="sl-SI"/>
              </w:rPr>
              <w:t>primer</w:t>
            </w:r>
          </w:p>
        </w:tc>
        <w:tc>
          <w:tcPr>
            <w:tcW w:w="28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D9A051D"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38,21</w:t>
            </w:r>
          </w:p>
        </w:tc>
      </w:tr>
      <w:tr w:rsidR="00C25E28" w:rsidRPr="005E4BEA" w14:paraId="30521DED" w14:textId="77777777" w:rsidTr="0016774B">
        <w:trPr>
          <w:trHeight w:val="22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151E9F5A"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130</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52D40A19"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341</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2B944916"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E0xxx</w:t>
            </w:r>
          </w:p>
        </w:tc>
        <w:tc>
          <w:tcPr>
            <w:tcW w:w="3456"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2C488F6"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za brezšivno skrb v bolnišnični obravnavi</w:t>
            </w:r>
          </w:p>
        </w:tc>
        <w:tc>
          <w:tcPr>
            <w:tcW w:w="568"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78C73981" w14:textId="77777777" w:rsidR="00C25E28" w:rsidRPr="005E4BEA" w:rsidRDefault="00C25E28" w:rsidP="0016774B">
            <w:pPr>
              <w:spacing w:line="252" w:lineRule="auto"/>
              <w:jc w:val="center"/>
              <w:rPr>
                <w:rFonts w:ascii="Calibri" w:eastAsia="Calibri" w:hAnsi="Calibri"/>
                <w:color w:val="000099"/>
                <w:sz w:val="16"/>
                <w:szCs w:val="16"/>
                <w:lang w:eastAsia="sl-SI"/>
              </w:rPr>
            </w:pPr>
            <w:r w:rsidRPr="005E4BEA">
              <w:rPr>
                <w:rFonts w:ascii="Calibri" w:eastAsia="Calibri" w:hAnsi="Calibri"/>
                <w:color w:val="000099"/>
                <w:sz w:val="16"/>
                <w:szCs w:val="16"/>
                <w:lang w:eastAsia="sl-SI"/>
              </w:rPr>
              <w:t>primer</w:t>
            </w:r>
          </w:p>
        </w:tc>
        <w:tc>
          <w:tcPr>
            <w:tcW w:w="284"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center"/>
            <w:hideMark/>
          </w:tcPr>
          <w:p w14:paraId="0DF5F8B0"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38,21</w:t>
            </w:r>
          </w:p>
        </w:tc>
      </w:tr>
      <w:tr w:rsidR="00C25E28" w:rsidRPr="005E4BEA" w14:paraId="7574F2FA" w14:textId="77777777" w:rsidTr="0016774B">
        <w:trPr>
          <w:trHeight w:val="46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952EA75" w14:textId="77777777" w:rsidR="00C25E28" w:rsidRPr="005E4BEA" w:rsidRDefault="00C25E28" w:rsidP="0016774B">
            <w:pPr>
              <w:spacing w:line="240" w:lineRule="auto"/>
              <w:rPr>
                <w:rFonts w:ascii="Calibri" w:eastAsia="Calibri" w:hAnsi="Calibri"/>
                <w:color w:val="000099"/>
                <w:sz w:val="16"/>
                <w:szCs w:val="16"/>
                <w:lang w:eastAsia="sl-SI"/>
              </w:rPr>
            </w:pP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CF970C8"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6868802C"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C09F7D2"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Bolnišnice lahko pošljejo realizacijo v okviru plana 101 300 na vseh podvrstah 301 Akutna bolnišnična obravnava – SPP, v okviru plana 130 341 pa za storitve E0051, E0055, E0750.</w:t>
            </w:r>
          </w:p>
        </w:tc>
      </w:tr>
      <w:tr w:rsidR="00C25E28" w:rsidRPr="005E4BEA" w14:paraId="2DAE727D" w14:textId="77777777" w:rsidTr="0016774B">
        <w:trPr>
          <w:trHeight w:val="46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29A49CC" w14:textId="77777777" w:rsidR="00C25E28" w:rsidRPr="005E4BEA" w:rsidRDefault="00C25E28" w:rsidP="0016774B">
            <w:pPr>
              <w:spacing w:line="240" w:lineRule="auto"/>
              <w:rPr>
                <w:rFonts w:ascii="Century Gothic" w:eastAsia="Calibri" w:hAnsi="Century Gothic"/>
                <w:sz w:val="24"/>
                <w:szCs w:val="22"/>
                <w:lang w:eastAsia="sl-SI"/>
              </w:rPr>
            </w:pP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140DDD05"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72E4CE59"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4ECD1BC0"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Brezšivna skrb v okviru bolnišnične obravnave predstavlja izvajanje neprekinjene oskrbe bolnika z zdravili in neprekinjenega prenosa informacij o bolnikovem zdravljenju z zdravili pri prehodu med različnimi ravnmi zdravstvene dejavnosti; ki vključuje:  triažo bolnika v skladu z nacionalnim dokumentom, usklajevanje zdravil ob sprejemu bolnika (zgodovina zdravljenja z zdravili, pogovor z bolnikom / svojci), usklajevanje zdravil ob odpustu bolnika (svetovanje bolniku /svojcem o zdravljenju z zdravili), izdelava in vročitev OKZ - osebne kartice zdravil bolniku in prenos v CRPP.</w:t>
            </w:r>
            <w:r w:rsidRPr="005E4BEA">
              <w:rPr>
                <w:rFonts w:ascii="Calibri" w:eastAsia="Calibri" w:hAnsi="Calibri"/>
                <w:color w:val="000000"/>
                <w:sz w:val="22"/>
                <w:szCs w:val="22"/>
                <w:lang w:eastAsia="sl-SI"/>
              </w:rPr>
              <w:t xml:space="preserve">     </w:t>
            </w:r>
          </w:p>
        </w:tc>
      </w:tr>
      <w:tr w:rsidR="00C25E28" w:rsidRPr="005E4BEA" w14:paraId="7776D1EE" w14:textId="77777777" w:rsidTr="0016774B">
        <w:trPr>
          <w:trHeight w:val="285"/>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186AE1CE"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57655EBF"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66F0A717"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3947182A"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Dodatek se obračuna za paciente, ki so hospitalizirani najmanj 48 ur ali dolgotrajno dnevno obravnavani najmanj 3 krat. Pogoj za plačilo je prenos dokumenta OKZ v CRPP.</w:t>
            </w:r>
          </w:p>
        </w:tc>
      </w:tr>
      <w:tr w:rsidR="00C25E28" w:rsidRPr="005E4BEA" w14:paraId="408A604B" w14:textId="77777777" w:rsidTr="0016774B">
        <w:trPr>
          <w:trHeight w:val="270"/>
        </w:trPr>
        <w:tc>
          <w:tcPr>
            <w:tcW w:w="200" w:type="pct"/>
            <w:tcBorders>
              <w:top w:val="nil"/>
              <w:left w:val="single" w:sz="8" w:space="0" w:color="808080"/>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4608D07" w14:textId="77777777" w:rsidR="00C25E28" w:rsidRPr="005E4BEA" w:rsidRDefault="00C25E28" w:rsidP="0016774B">
            <w:pPr>
              <w:spacing w:line="240" w:lineRule="auto"/>
              <w:rPr>
                <w:rFonts w:ascii="Century Gothic" w:eastAsia="Calibri" w:hAnsi="Century Gothic"/>
                <w:sz w:val="24"/>
                <w:szCs w:val="22"/>
                <w:lang w:eastAsia="sl-SI"/>
              </w:rPr>
            </w:pPr>
          </w:p>
        </w:tc>
        <w:tc>
          <w:tcPr>
            <w:tcW w:w="200"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270EF8DF"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292" w:type="pct"/>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046E46C0" w14:textId="77777777" w:rsidR="00C25E28" w:rsidRPr="005E4BEA" w:rsidRDefault="00C25E28" w:rsidP="0016774B">
            <w:pPr>
              <w:spacing w:line="252" w:lineRule="auto"/>
              <w:jc w:val="right"/>
              <w:rPr>
                <w:rFonts w:ascii="Calibri" w:eastAsia="Calibri" w:hAnsi="Calibri"/>
                <w:color w:val="000099"/>
                <w:sz w:val="16"/>
                <w:szCs w:val="16"/>
                <w:lang w:eastAsia="sl-SI"/>
              </w:rPr>
            </w:pPr>
            <w:r w:rsidRPr="005E4BEA">
              <w:rPr>
                <w:rFonts w:ascii="Calibri" w:eastAsia="Calibri" w:hAnsi="Calibri"/>
                <w:color w:val="000099"/>
                <w:sz w:val="16"/>
                <w:szCs w:val="16"/>
                <w:lang w:eastAsia="sl-SI"/>
              </w:rPr>
              <w:t> </w:t>
            </w:r>
          </w:p>
        </w:tc>
        <w:tc>
          <w:tcPr>
            <w:tcW w:w="4308" w:type="pct"/>
            <w:gridSpan w:val="3"/>
            <w:tcBorders>
              <w:top w:val="nil"/>
              <w:left w:val="nil"/>
              <w:bottom w:val="single" w:sz="8" w:space="0" w:color="808080"/>
              <w:right w:val="single" w:sz="8" w:space="0" w:color="808080"/>
            </w:tcBorders>
            <w:shd w:val="clear" w:color="auto" w:fill="FFFFFF"/>
            <w:tcMar>
              <w:top w:w="0" w:type="dxa"/>
              <w:left w:w="108" w:type="dxa"/>
              <w:bottom w:w="0" w:type="dxa"/>
              <w:right w:w="108" w:type="dxa"/>
            </w:tcMar>
            <w:vAlign w:val="bottom"/>
            <w:hideMark/>
          </w:tcPr>
          <w:p w14:paraId="159CEF05" w14:textId="77777777" w:rsidR="00C25E28" w:rsidRPr="005E4BEA" w:rsidRDefault="00C25E28" w:rsidP="0016774B">
            <w:pPr>
              <w:spacing w:line="252" w:lineRule="auto"/>
              <w:rPr>
                <w:rFonts w:ascii="Century Gothic" w:eastAsia="Calibri" w:hAnsi="Century Gothic"/>
                <w:sz w:val="24"/>
                <w:szCs w:val="22"/>
                <w:lang w:eastAsia="sl-SI"/>
              </w:rPr>
            </w:pPr>
            <w:r w:rsidRPr="005E4BEA">
              <w:rPr>
                <w:rFonts w:ascii="Calibri" w:eastAsia="Calibri" w:hAnsi="Calibri"/>
                <w:color w:val="000099"/>
                <w:sz w:val="16"/>
                <w:szCs w:val="16"/>
                <w:lang w:eastAsia="sl-SI"/>
              </w:rPr>
              <w:t>Obseg in vrednost: en tim predstavlja 1.320 primerov, pri čemer je upoštevan kader (1 farmacevt specialist, 0,15 ATK), ovrednoten po enakih kriterijih kot farmacevt specialist (E0618), 1.000 EUR materialnih stroškov, 200 EUR amortizacije, 1.290,09 EUR informatizacije.</w:t>
            </w:r>
          </w:p>
        </w:tc>
      </w:tr>
      <w:bookmarkEnd w:id="99"/>
    </w:tbl>
    <w:p w14:paraId="179CF00B" w14:textId="77777777" w:rsidR="00C25E28" w:rsidRPr="005E4BEA" w:rsidRDefault="00C25E28" w:rsidP="00C25E28">
      <w:pPr>
        <w:spacing w:line="120" w:lineRule="auto"/>
        <w:rPr>
          <w:rFonts w:ascii="Calibri" w:eastAsia="Calibri" w:hAnsi="Calibri"/>
          <w:sz w:val="22"/>
          <w:szCs w:val="22"/>
          <w:lang w:eastAsia="sl-SI"/>
        </w:rPr>
      </w:pPr>
    </w:p>
    <w:p w14:paraId="7AB1A4D1" w14:textId="77777777" w:rsidR="00C25E28" w:rsidRPr="005E4BEA" w:rsidRDefault="00C25E28" w:rsidP="00C25E28">
      <w:pPr>
        <w:spacing w:line="240" w:lineRule="auto"/>
        <w:rPr>
          <w:rFonts w:ascii="Century Gothic" w:eastAsia="Calibri" w:hAnsi="Century Gothic"/>
          <w:sz w:val="24"/>
          <w:szCs w:val="22"/>
          <w:lang w:eastAsia="sl-SI"/>
        </w:rPr>
      </w:pPr>
      <w:bookmarkStart w:id="100" w:name="_Hlk102471436"/>
      <w:r w:rsidRPr="005E4BEA">
        <w:rPr>
          <w:rFonts w:ascii="Calibri" w:eastAsia="Calibri" w:hAnsi="Calibri"/>
          <w:sz w:val="22"/>
          <w:szCs w:val="22"/>
          <w:lang w:eastAsia="sl-SI"/>
        </w:rPr>
        <w:t>Sprememba velja od 1. 1. 2023.</w:t>
      </w:r>
    </w:p>
    <w:p w14:paraId="0C0CE96E" w14:textId="77777777" w:rsidR="00C25E28" w:rsidRPr="005E4BEA" w:rsidRDefault="00C25E28" w:rsidP="00C25E28">
      <w:pPr>
        <w:spacing w:line="240" w:lineRule="auto"/>
        <w:rPr>
          <w:rFonts w:ascii="Calibri" w:eastAsia="Calibri" w:hAnsi="Calibri"/>
          <w:b/>
          <w:bCs/>
          <w:sz w:val="22"/>
          <w:szCs w:val="22"/>
          <w:lang w:eastAsia="sl-SI"/>
        </w:rPr>
      </w:pPr>
    </w:p>
    <w:p w14:paraId="6663CC0B"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b/>
          <w:bCs/>
          <w:sz w:val="22"/>
          <w:szCs w:val="22"/>
          <w:lang w:eastAsia="sl-SI"/>
        </w:rPr>
        <w:t>V Prilogi III v (2) odstavku v 4. točki se doda nova alineja, ki se glasi:</w:t>
      </w:r>
    </w:p>
    <w:p w14:paraId="1D97ACD9" w14:textId="77777777" w:rsidR="00C25E28" w:rsidRPr="005E4BEA" w:rsidRDefault="00C25E28" w:rsidP="00C25E28">
      <w:pPr>
        <w:spacing w:line="120" w:lineRule="auto"/>
        <w:rPr>
          <w:rFonts w:ascii="Calibri" w:eastAsia="Calibri" w:hAnsi="Calibri"/>
          <w:sz w:val="22"/>
          <w:szCs w:val="22"/>
          <w:lang w:eastAsia="sl-SI"/>
        </w:rPr>
      </w:pPr>
    </w:p>
    <w:p w14:paraId="5ECEB50E"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 Dodatek za brezšivno skrb v bolnišnični obravnavi«</w:t>
      </w:r>
    </w:p>
    <w:p w14:paraId="3B04CB14" w14:textId="77777777" w:rsidR="00C25E28" w:rsidRPr="005E4BEA" w:rsidRDefault="00C25E28" w:rsidP="00C25E28">
      <w:pPr>
        <w:spacing w:line="120" w:lineRule="auto"/>
        <w:rPr>
          <w:rFonts w:ascii="Calibri" w:eastAsia="Calibri" w:hAnsi="Calibri"/>
          <w:sz w:val="22"/>
          <w:szCs w:val="22"/>
          <w:lang w:eastAsia="sl-SI"/>
        </w:rPr>
      </w:pPr>
    </w:p>
    <w:p w14:paraId="41EF94CF"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Sprememba velja od 1. 1. 2023.</w:t>
      </w:r>
    </w:p>
    <w:p w14:paraId="1F2C9B2C" w14:textId="77777777" w:rsidR="00C25E28" w:rsidRPr="005E4BEA" w:rsidRDefault="00C25E28" w:rsidP="00C25E28">
      <w:pPr>
        <w:spacing w:line="240" w:lineRule="auto"/>
        <w:rPr>
          <w:rFonts w:ascii="Calibri" w:eastAsia="Calibri" w:hAnsi="Calibri"/>
          <w:sz w:val="22"/>
          <w:szCs w:val="22"/>
          <w:lang w:eastAsia="sl-SI"/>
        </w:rPr>
      </w:pPr>
    </w:p>
    <w:p w14:paraId="0D49B5E3" w14:textId="77777777" w:rsidR="00C25E28" w:rsidRPr="005E4BEA" w:rsidRDefault="00C25E28" w:rsidP="00C25E28">
      <w:pPr>
        <w:spacing w:line="240" w:lineRule="auto"/>
        <w:jc w:val="both"/>
        <w:rPr>
          <w:rFonts w:ascii="Calibri" w:eastAsia="Calibri" w:hAnsi="Calibri"/>
          <w:b/>
          <w:bCs/>
          <w:sz w:val="22"/>
          <w:szCs w:val="22"/>
          <w:lang w:eastAsia="sl-SI"/>
        </w:rPr>
      </w:pPr>
      <w:r w:rsidRPr="005E4BEA">
        <w:rPr>
          <w:rFonts w:ascii="Calibri" w:eastAsia="Calibri" w:hAnsi="Calibri"/>
          <w:b/>
          <w:bCs/>
          <w:sz w:val="22"/>
          <w:szCs w:val="22"/>
          <w:lang w:eastAsia="sl-SI"/>
        </w:rPr>
        <w:t>V Prilogi BOL se za 9. členom doda nova točka  2.4. z naslovom Brezšivna skrb v bolnišnični dejavnosti in novi 10. člen, ki se glasi (ostali členi se preštevilčijo):</w:t>
      </w:r>
    </w:p>
    <w:p w14:paraId="5FD38334" w14:textId="77777777" w:rsidR="00C25E28" w:rsidRPr="005E4BEA" w:rsidRDefault="00C25E28" w:rsidP="00C25E28">
      <w:pPr>
        <w:spacing w:line="240" w:lineRule="auto"/>
        <w:jc w:val="both"/>
        <w:rPr>
          <w:rFonts w:ascii="Calibri" w:eastAsia="Calibri" w:hAnsi="Calibri"/>
          <w:b/>
          <w:bCs/>
          <w:sz w:val="22"/>
          <w:szCs w:val="22"/>
          <w:lang w:eastAsia="sl-SI"/>
        </w:rPr>
      </w:pPr>
    </w:p>
    <w:p w14:paraId="505D5581"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(1) Brezšivna skrb (v nadaljevanju BS) predstavlja zagotavljanje kontinuirane, neprekinjene oskrbe bolnika z zdravili in neprekinjenega prenosa informacij o bolnikovem zdravljenju z zdravili pri prehodu med različnimi ravnmi zdravstvene dejavnosti.</w:t>
      </w:r>
    </w:p>
    <w:p w14:paraId="27A61A1F" w14:textId="77777777" w:rsidR="00C25E28" w:rsidRPr="005E4BEA" w:rsidRDefault="00C25E28" w:rsidP="00C25E28">
      <w:pPr>
        <w:spacing w:line="240" w:lineRule="auto"/>
        <w:jc w:val="both"/>
        <w:rPr>
          <w:rFonts w:ascii="Calibri" w:eastAsia="Calibri" w:hAnsi="Calibri"/>
          <w:sz w:val="22"/>
          <w:szCs w:val="22"/>
          <w:lang w:eastAsia="sl-SI"/>
        </w:rPr>
      </w:pPr>
    </w:p>
    <w:p w14:paraId="2A44CC16"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 xml:space="preserve">(2) BS v bolnišnični dejavnosti izvajajo bolnišnični farmacevti, specialisti klinične farmacije. V BS sta vključeni dve storitvi, in sicer: brezšivna skrb v bolnišnični obravnavi in preskrba bolnika z novo uvedenimi zdravili ob njegovem odpustu. </w:t>
      </w:r>
    </w:p>
    <w:p w14:paraId="2C564401"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 xml:space="preserve">1. Storitev Brezšivna skrb v bolnišnični obravnavi vključuje triažo bolnika v skladu z nacionalnim dokumentom, ki določa kriterije za vključitev bolnika v BS, usklajevanje zdravil ob sprejemu bolnika (zgodovina zdravljenja z zdravili, pogovor z bolnikom / svojci), usklajevanje zdravil ob odpustu bolnika (priprava dokumenta o terapiji ob odpustu, svetovanje bolniku /svojcem o zdravljenju z zdravili), izdelava in vročitev osebne kartice zdravil - OKZ bolniku in prenos v CRPP. </w:t>
      </w:r>
    </w:p>
    <w:p w14:paraId="047BB64E" w14:textId="77777777" w:rsidR="00C25E28" w:rsidRPr="005E4BEA" w:rsidRDefault="00C25E28" w:rsidP="00C25E28">
      <w:pPr>
        <w:spacing w:line="240" w:lineRule="auto"/>
        <w:jc w:val="both"/>
        <w:rPr>
          <w:rFonts w:ascii="Calibri" w:eastAsia="Calibri" w:hAnsi="Calibri"/>
          <w:sz w:val="22"/>
          <w:szCs w:val="22"/>
          <w:lang w:eastAsia="sl-SI"/>
        </w:rPr>
      </w:pPr>
      <w:r w:rsidRPr="005E4BEA">
        <w:rPr>
          <w:rFonts w:ascii="Calibri" w:eastAsia="Calibri" w:hAnsi="Calibri"/>
          <w:sz w:val="22"/>
          <w:szCs w:val="22"/>
          <w:lang w:eastAsia="sl-SI"/>
        </w:rPr>
        <w:t xml:space="preserve">2. Storitev preskrba bolnika z novo uvedenimi razvrščenimi zdravili se izvede ob odpustu. Bolniku se vroči po eno pakiranje na novo uvedenih zdravil v najmanjšem pakiranju, ki je bilo predpisano v ta namen. Beleženje izdaje  in obračun zdravila, se izvaja po enakem sistemu kot v lekarni na primarnem nivoju (2., 7. in 8. člen Priloge LEK SD), in sicer beleženje v sistemu e-recepta in on-line, obračunavanje pa po obstoječi AOR strukturi. Obračun bo potekal v okviru nove VZD za bolnišnično lekarno z nazivom »zdravila za brezšivno skrb«. </w:t>
      </w:r>
    </w:p>
    <w:p w14:paraId="190D7CF2" w14:textId="77777777" w:rsidR="00C25E28" w:rsidRPr="005E4BEA" w:rsidRDefault="00C25E28" w:rsidP="00C25E28">
      <w:pPr>
        <w:spacing w:line="240" w:lineRule="auto"/>
        <w:rPr>
          <w:rFonts w:ascii="Calibri" w:eastAsia="Calibri" w:hAnsi="Calibri"/>
          <w:sz w:val="22"/>
          <w:szCs w:val="22"/>
          <w:lang w:eastAsia="sl-SI"/>
        </w:rPr>
      </w:pPr>
    </w:p>
    <w:p w14:paraId="357F02A4" w14:textId="77777777" w:rsidR="00C25E28" w:rsidRPr="005E4BEA" w:rsidRDefault="00C25E28" w:rsidP="00C25E28">
      <w:pPr>
        <w:spacing w:line="240" w:lineRule="auto"/>
        <w:rPr>
          <w:rFonts w:ascii="Century Gothic" w:eastAsia="Calibri" w:hAnsi="Century Gothic"/>
          <w:sz w:val="24"/>
          <w:szCs w:val="22"/>
          <w:lang w:eastAsia="sl-SI"/>
        </w:rPr>
      </w:pPr>
      <w:r w:rsidRPr="005E4BEA">
        <w:rPr>
          <w:rFonts w:ascii="Calibri" w:eastAsia="Calibri" w:hAnsi="Calibri"/>
          <w:sz w:val="22"/>
          <w:szCs w:val="22"/>
          <w:lang w:eastAsia="sl-SI"/>
        </w:rPr>
        <w:t>Sprememba velja od 1. 1. 2023.</w:t>
      </w:r>
    </w:p>
    <w:p w14:paraId="6495264B" w14:textId="77777777" w:rsidR="00C25E28" w:rsidRPr="005E4BEA" w:rsidRDefault="00C25E28" w:rsidP="00C25E28">
      <w:pPr>
        <w:spacing w:line="240" w:lineRule="auto"/>
        <w:jc w:val="both"/>
        <w:rPr>
          <w:rFonts w:ascii="Calibri" w:eastAsia="Calibri" w:hAnsi="Calibri"/>
          <w:sz w:val="22"/>
          <w:szCs w:val="22"/>
          <w:lang w:eastAsia="sl-SI"/>
        </w:rPr>
      </w:pPr>
    </w:p>
    <w:p w14:paraId="48EAE77C" w14:textId="77777777" w:rsidR="00C25E28" w:rsidRPr="005E4BEA" w:rsidRDefault="00C25E28" w:rsidP="00C25E28">
      <w:pPr>
        <w:spacing w:before="120" w:after="60" w:line="240" w:lineRule="auto"/>
        <w:jc w:val="both"/>
        <w:rPr>
          <w:rFonts w:ascii="Calibri" w:eastAsia="Calibri" w:hAnsi="Calibri"/>
          <w:b/>
          <w:bCs/>
          <w:sz w:val="22"/>
          <w:szCs w:val="22"/>
          <w:lang w:eastAsia="sl-SI"/>
        </w:rPr>
      </w:pPr>
      <w:r w:rsidRPr="005E4BEA">
        <w:rPr>
          <w:rFonts w:ascii="Calibri" w:eastAsia="Calibri" w:hAnsi="Calibri"/>
          <w:b/>
          <w:bCs/>
          <w:sz w:val="22"/>
          <w:szCs w:val="22"/>
          <w:lang w:eastAsia="sl-SI"/>
        </w:rPr>
        <w:t>Doda se četrti (4) odstavek v 8. členu Priloge LEK, tako da se glasi:</w:t>
      </w:r>
    </w:p>
    <w:p w14:paraId="22AB3A44" w14:textId="32CB2D96" w:rsidR="00F7294C" w:rsidRDefault="00F7294C" w:rsidP="00F7294C">
      <w:pPr>
        <w:autoSpaceDE w:val="0"/>
        <w:autoSpaceDN w:val="0"/>
        <w:spacing w:line="240" w:lineRule="atLeast"/>
        <w:jc w:val="both"/>
        <w:rPr>
          <w:rFonts w:ascii="Calibri" w:eastAsia="Calibri" w:hAnsi="Calibri"/>
          <w:sz w:val="22"/>
          <w:szCs w:val="22"/>
          <w:lang w:eastAsia="sl-SI"/>
        </w:rPr>
      </w:pPr>
      <w:bookmarkStart w:id="101" w:name="_Hlk102656214"/>
      <w:bookmarkEnd w:id="100"/>
      <w:r w:rsidRPr="005E4BEA">
        <w:rPr>
          <w:rFonts w:ascii="Calibri" w:eastAsia="Calibri" w:hAnsi="Calibri"/>
          <w:sz w:val="22"/>
          <w:szCs w:val="22"/>
          <w:lang w:eastAsia="sl-SI"/>
        </w:rPr>
        <w:t xml:space="preserve">(4) Izvajanje posodabljanja osebne kartice zdravil v lekarnah na primarni ravni bo zavod plačal na podlagi storitve, opredeljene v Seznamu storitev 15.24. </w:t>
      </w:r>
    </w:p>
    <w:p w14:paraId="37A0ADA2" w14:textId="77777777" w:rsidR="00E82B4D" w:rsidRPr="005E4BEA" w:rsidRDefault="00E82B4D" w:rsidP="00F7294C">
      <w:pPr>
        <w:autoSpaceDE w:val="0"/>
        <w:autoSpaceDN w:val="0"/>
        <w:spacing w:line="240" w:lineRule="atLeast"/>
        <w:jc w:val="both"/>
        <w:rPr>
          <w:rFonts w:ascii="Calibri" w:eastAsia="Calibri" w:hAnsi="Calibri"/>
          <w:sz w:val="22"/>
          <w:szCs w:val="22"/>
          <w:lang w:eastAsia="sl-SI"/>
        </w:rPr>
      </w:pPr>
    </w:p>
    <w:bookmarkEnd w:id="101"/>
    <w:p w14:paraId="3A632C25" w14:textId="69E445C3" w:rsidR="00406310" w:rsidRPr="005E4BEA" w:rsidRDefault="00406310" w:rsidP="00FE461F">
      <w:pPr>
        <w:spacing w:line="240" w:lineRule="auto"/>
        <w:jc w:val="both"/>
        <w:rPr>
          <w:rFonts w:eastAsia="Calibri" w:cs="Arial"/>
          <w:b/>
          <w:bCs/>
          <w:i/>
          <w:iCs/>
          <w:color w:val="7F7F7F" w:themeColor="text1" w:themeTint="80"/>
          <w:szCs w:val="20"/>
        </w:rPr>
      </w:pPr>
    </w:p>
    <w:p w14:paraId="6683ED80" w14:textId="7C579976" w:rsidR="00406310" w:rsidRPr="005E4BEA" w:rsidRDefault="0040631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(69)</w:t>
      </w:r>
    </w:p>
    <w:p w14:paraId="6E3B2F46" w14:textId="77777777" w:rsidR="00406310" w:rsidRPr="005E4BEA" w:rsidRDefault="00406310" w:rsidP="00406310">
      <w:pPr>
        <w:spacing w:line="0" w:lineRule="atLeast"/>
        <w:contextualSpacing/>
        <w:jc w:val="both"/>
        <w:rPr>
          <w:rFonts w:eastAsia="Arial Narrow" w:cs="Arial"/>
          <w:b/>
          <w:szCs w:val="20"/>
        </w:rPr>
      </w:pPr>
    </w:p>
    <w:p w14:paraId="3972D56F" w14:textId="5450A608" w:rsidR="00FE461F" w:rsidRPr="005E4BEA" w:rsidRDefault="00406310" w:rsidP="00EC58C0">
      <w:pPr>
        <w:spacing w:line="240" w:lineRule="auto"/>
        <w:jc w:val="both"/>
        <w:rPr>
          <w:rFonts w:cs="Arial"/>
          <w:b/>
          <w:bCs/>
          <w:szCs w:val="20"/>
        </w:rPr>
      </w:pPr>
      <w:bookmarkStart w:id="102" w:name="_Hlk102471500"/>
      <w:r w:rsidRPr="005E4BEA">
        <w:rPr>
          <w:rFonts w:eastAsia="Arial Narrow" w:cs="Arial"/>
          <w:b/>
          <w:szCs w:val="20"/>
        </w:rPr>
        <w:t xml:space="preserve">Skupnost </w:t>
      </w:r>
      <w:r w:rsidR="00EC58C0" w:rsidRPr="005E4BEA">
        <w:rPr>
          <w:rFonts w:eastAsia="Arial Narrow" w:cs="Arial"/>
          <w:b/>
          <w:szCs w:val="20"/>
        </w:rPr>
        <w:t xml:space="preserve">organizacij za usposabljanje </w:t>
      </w:r>
      <w:bookmarkEnd w:id="102"/>
      <w:r w:rsidRPr="005E4BEA">
        <w:rPr>
          <w:rFonts w:eastAsia="Arial Narrow" w:cs="Arial"/>
          <w:bCs/>
          <w:szCs w:val="20"/>
        </w:rPr>
        <w:t xml:space="preserve">predlaga, da se </w:t>
      </w:r>
      <w:r w:rsidR="00EC58C0" w:rsidRPr="005E4BEA">
        <w:rPr>
          <w:rFonts w:eastAsia="Arial Narrow" w:cs="Arial"/>
          <w:bCs/>
          <w:szCs w:val="20"/>
        </w:rPr>
        <w:t>v</w:t>
      </w:r>
      <w:r w:rsidR="00FE461F" w:rsidRPr="005E4BEA">
        <w:rPr>
          <w:rFonts w:cs="Arial"/>
          <w:bCs/>
          <w:szCs w:val="20"/>
        </w:rPr>
        <w:t xml:space="preserve"> 24. členu, točka 6</w:t>
      </w:r>
      <w:r w:rsidR="00EC58C0" w:rsidRPr="005E4BEA">
        <w:rPr>
          <w:rFonts w:cs="Arial"/>
          <w:bCs/>
          <w:szCs w:val="20"/>
        </w:rPr>
        <w:t xml:space="preserve"> </w:t>
      </w:r>
      <w:r w:rsidR="00FE461F" w:rsidRPr="005E4BEA">
        <w:rPr>
          <w:rFonts w:cs="Arial"/>
          <w:bCs/>
          <w:szCs w:val="20"/>
        </w:rPr>
        <w:t>doda nujne širitve programov in zagotovitev dodatnih sredstev za</w:t>
      </w:r>
      <w:r w:rsidR="00FE461F" w:rsidRPr="005E4BEA">
        <w:rPr>
          <w:rFonts w:cs="Arial"/>
          <w:b/>
          <w:bCs/>
          <w:szCs w:val="20"/>
        </w:rPr>
        <w:t xml:space="preserve"> </w:t>
      </w:r>
    </w:p>
    <w:p w14:paraId="0572C6B0"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povečanje števila delavcev v socialnovarstvenih zavodih za usposabljanje, skupaj v višini 1.124.181,00 evrov;</w:t>
      </w:r>
    </w:p>
    <w:p w14:paraId="1F3D0CBB"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 xml:space="preserve">izvajanje splošne ambulante za oskrbovance socialnovarstvenega zavoda za usposabljanje zavoda, skupaj v višini 000.000,00 evrov; </w:t>
      </w:r>
    </w:p>
    <w:p w14:paraId="041E1DA8"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specializiran program za otroke in mladostnike z motnjami v duševnem razvoju v socialnovarstvenem zavodu za usposabljanje, skupaj v višini 725.721,00 evrov;</w:t>
      </w:r>
    </w:p>
    <w:p w14:paraId="12646098"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povečanje oskrbnih dni in dodatne vključitve uporabnikov v programe socialnovarstvenega zavoda za usposabljanje, skupaj v višini 253.725,00 evrov;</w:t>
      </w:r>
    </w:p>
    <w:p w14:paraId="2FDA614A"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povečanje števila delavcev v domskem varstvu varstveno delovnih centrov, skupaj v višini 464.428,00 evrov;</w:t>
      </w:r>
    </w:p>
    <w:p w14:paraId="67D324F4"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povečanje števila delavcev v centrih za sluh in govor, skupaj v višini 296.218,00 evrov;</w:t>
      </w:r>
    </w:p>
    <w:p w14:paraId="2A3D9303"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povečanje števila delavcev v zavodu za gibalno ovirane, skupaj v višini 1.084.278,00 evrov;</w:t>
      </w:r>
    </w:p>
    <w:p w14:paraId="173DA2EC"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povečanje števila delavcev v zavodih za izobraževanje otrok in mladostnikov z motnjami v razvoju, skupaj v višini 580.690,00 evrov;</w:t>
      </w:r>
    </w:p>
    <w:p w14:paraId="32A0007E" w14:textId="77777777" w:rsidR="00FE461F" w:rsidRPr="005E4BEA" w:rsidRDefault="00FE461F" w:rsidP="00F356C9">
      <w:pPr>
        <w:numPr>
          <w:ilvl w:val="0"/>
          <w:numId w:val="76"/>
        </w:numPr>
        <w:spacing w:line="240" w:lineRule="auto"/>
        <w:contextualSpacing/>
        <w:jc w:val="both"/>
        <w:rPr>
          <w:rFonts w:cs="Arial"/>
          <w:bCs/>
          <w:szCs w:val="20"/>
        </w:rPr>
      </w:pPr>
      <w:r w:rsidRPr="005E4BEA">
        <w:rPr>
          <w:rFonts w:cs="Arial"/>
          <w:bCs/>
          <w:szCs w:val="20"/>
        </w:rPr>
        <w:t xml:space="preserve">povečanje števila delavcev v svetovalnem centru za otroke in mladostnike, skupaj v višini 223.134,00 evrov.  </w:t>
      </w:r>
    </w:p>
    <w:p w14:paraId="3F3FA390" w14:textId="77777777" w:rsidR="00FE461F" w:rsidRPr="005E4BEA" w:rsidRDefault="00FE461F" w:rsidP="00FE461F">
      <w:pPr>
        <w:spacing w:line="240" w:lineRule="auto"/>
        <w:jc w:val="both"/>
        <w:outlineLvl w:val="0"/>
        <w:rPr>
          <w:rFonts w:cs="Arial"/>
          <w:b/>
          <w:szCs w:val="20"/>
        </w:rPr>
      </w:pPr>
    </w:p>
    <w:p w14:paraId="07729139" w14:textId="77777777" w:rsidR="00FE461F" w:rsidRPr="005E4BEA" w:rsidRDefault="00FE461F" w:rsidP="00FE461F">
      <w:pPr>
        <w:spacing w:line="240" w:lineRule="auto"/>
        <w:jc w:val="both"/>
        <w:rPr>
          <w:rFonts w:cs="Arial"/>
          <w:b/>
          <w:bCs/>
          <w:color w:val="808080" w:themeColor="background1" w:themeShade="80"/>
          <w:szCs w:val="20"/>
          <w:u w:val="single"/>
        </w:rPr>
      </w:pPr>
      <w:r w:rsidRPr="005E4BEA">
        <w:rPr>
          <w:rFonts w:cs="Arial"/>
          <w:b/>
          <w:bCs/>
          <w:color w:val="808080" w:themeColor="background1" w:themeShade="80"/>
          <w:szCs w:val="20"/>
          <w:u w:val="single"/>
        </w:rPr>
        <w:t>Obrazložitev:</w:t>
      </w:r>
    </w:p>
    <w:p w14:paraId="5139FD3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Dodatne kadrovske kapacitete v socialno varstvenih zavodih za usposabljanje so potrebne zaradi spremenjene strukture uporabnikov in povečane zahtevnosti izvajanja zdravstvene nege z varovanci z več motnjami. Izpostavljene so najbolj nujne kadrovske dopolnitve do uveljavitve novih standardov za to skupino izvajalcev zdravstvene nege in rehabilitacije (CUDV Črna na Koroškem, CUDV Dobrna, CUDV Dornava, CUDV Draga Ig, CUDV Radovljica).</w:t>
      </w:r>
    </w:p>
    <w:p w14:paraId="38B4FC94" w14:textId="77777777" w:rsidR="00FE461F" w:rsidRPr="005E4BEA" w:rsidRDefault="00FE461F" w:rsidP="00FE461F">
      <w:pPr>
        <w:spacing w:line="240" w:lineRule="auto"/>
        <w:jc w:val="both"/>
        <w:rPr>
          <w:rFonts w:cs="Arial"/>
          <w:color w:val="808080" w:themeColor="background1" w:themeShade="80"/>
          <w:szCs w:val="20"/>
        </w:rPr>
      </w:pPr>
    </w:p>
    <w:p w14:paraId="124A976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Predlog poleg tega upošteva nujno povečanje za izvajanje splošne ambulante za oskrbovance CUDV Dobrna, povečan specializiranega programa za otroke in mladostnike z motnjami v duševnem razvoju v CUDV Dornava ter povečanje kapacitet za dnevno varstvo v CUDV Črna na Koroškem in CUDV Dornava.</w:t>
      </w:r>
    </w:p>
    <w:p w14:paraId="52A00C62" w14:textId="77777777" w:rsidR="00FE461F" w:rsidRPr="005E4BEA" w:rsidRDefault="00FE461F" w:rsidP="00FE461F">
      <w:pPr>
        <w:spacing w:line="240" w:lineRule="auto"/>
        <w:jc w:val="both"/>
        <w:rPr>
          <w:rFonts w:cs="Arial"/>
          <w:szCs w:val="20"/>
        </w:rPr>
      </w:pPr>
    </w:p>
    <w:p w14:paraId="6107F8FF" w14:textId="77777777" w:rsidR="00FE461F" w:rsidRPr="005E4BEA" w:rsidRDefault="00FE461F" w:rsidP="00FE461F">
      <w:pPr>
        <w:spacing w:line="240" w:lineRule="auto"/>
        <w:jc w:val="both"/>
        <w:rPr>
          <w:rFonts w:cs="Arial"/>
          <w:szCs w:val="20"/>
        </w:rPr>
      </w:pPr>
    </w:p>
    <w:tbl>
      <w:tblPr>
        <w:tblW w:w="0" w:type="auto"/>
        <w:shd w:val="clear" w:color="auto" w:fill="FFFFFF"/>
        <w:tblCellMar>
          <w:left w:w="0" w:type="dxa"/>
          <w:right w:w="0" w:type="dxa"/>
        </w:tblCellMar>
        <w:tblLook w:val="04A0" w:firstRow="1" w:lastRow="0" w:firstColumn="1" w:lastColumn="0" w:noHBand="0" w:noVBand="1"/>
      </w:tblPr>
      <w:tblGrid>
        <w:gridCol w:w="328"/>
        <w:gridCol w:w="2051"/>
        <w:gridCol w:w="1984"/>
        <w:gridCol w:w="2080"/>
        <w:gridCol w:w="2035"/>
      </w:tblGrid>
      <w:tr w:rsidR="00FE461F" w:rsidRPr="005E4BEA" w14:paraId="4BE12898"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E82FF9" w14:textId="77777777" w:rsidR="00FE461F" w:rsidRPr="005E4BEA" w:rsidRDefault="00FE461F" w:rsidP="00FE461F">
            <w:pPr>
              <w:spacing w:line="231" w:lineRule="atLeast"/>
              <w:jc w:val="both"/>
              <w:rPr>
                <w:rFonts w:cs="Arial"/>
                <w:szCs w:val="20"/>
              </w:rPr>
            </w:pPr>
            <w:r w:rsidRPr="005E4BEA">
              <w:rPr>
                <w:rFonts w:cs="Arial"/>
                <w:szCs w:val="20"/>
              </w:rPr>
              <w:t> </w:t>
            </w: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851510" w14:textId="77777777" w:rsidR="00FE461F" w:rsidRPr="005E4BEA" w:rsidRDefault="00FE461F" w:rsidP="00FE461F">
            <w:pPr>
              <w:spacing w:line="231" w:lineRule="atLeast"/>
              <w:jc w:val="both"/>
              <w:rPr>
                <w:rFonts w:cs="Arial"/>
                <w:szCs w:val="20"/>
              </w:rPr>
            </w:pPr>
            <w:r w:rsidRPr="005E4BEA">
              <w:rPr>
                <w:rFonts w:cs="Arial"/>
                <w:szCs w:val="20"/>
              </w:rPr>
              <w:t>Program</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85C3BB" w14:textId="77777777" w:rsidR="00FE461F" w:rsidRPr="005E4BEA" w:rsidRDefault="00FE461F" w:rsidP="00FE461F">
            <w:pPr>
              <w:spacing w:line="231" w:lineRule="atLeast"/>
              <w:jc w:val="both"/>
              <w:rPr>
                <w:rFonts w:cs="Arial"/>
                <w:szCs w:val="20"/>
              </w:rPr>
            </w:pPr>
            <w:r w:rsidRPr="005E4BEA">
              <w:rPr>
                <w:rFonts w:cs="Arial"/>
                <w:szCs w:val="20"/>
              </w:rPr>
              <w:t>Izvajalec</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5B2AA42" w14:textId="77777777" w:rsidR="00FE461F" w:rsidRPr="005E4BEA" w:rsidRDefault="00FE461F" w:rsidP="00FE461F">
            <w:pPr>
              <w:spacing w:line="231" w:lineRule="atLeast"/>
              <w:jc w:val="both"/>
              <w:rPr>
                <w:rFonts w:cs="Arial"/>
                <w:szCs w:val="20"/>
              </w:rPr>
            </w:pPr>
            <w:r w:rsidRPr="005E4BEA">
              <w:rPr>
                <w:rFonts w:cs="Arial"/>
                <w:szCs w:val="20"/>
              </w:rPr>
              <w:t>Obseg programa</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23A9132" w14:textId="77777777" w:rsidR="00FE461F" w:rsidRPr="005E4BEA" w:rsidRDefault="00FE461F" w:rsidP="00FE461F">
            <w:pPr>
              <w:spacing w:line="231" w:lineRule="atLeast"/>
              <w:jc w:val="both"/>
              <w:rPr>
                <w:rFonts w:cs="Arial"/>
                <w:szCs w:val="20"/>
              </w:rPr>
            </w:pPr>
            <w:r w:rsidRPr="005E4BEA">
              <w:rPr>
                <w:rFonts w:cs="Arial"/>
                <w:szCs w:val="20"/>
              </w:rPr>
              <w:t>Dodatna sredstva na letni ravni  (v EUR)</w:t>
            </w:r>
          </w:p>
        </w:tc>
      </w:tr>
      <w:tr w:rsidR="00FE461F" w:rsidRPr="005E4BEA" w14:paraId="69B04045"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DF2BC2" w14:textId="77777777" w:rsidR="00FE461F" w:rsidRPr="005E4BEA" w:rsidRDefault="00FE461F" w:rsidP="00FE461F">
            <w:pPr>
              <w:spacing w:line="231" w:lineRule="atLeast"/>
              <w:jc w:val="both"/>
              <w:rPr>
                <w:rFonts w:cs="Arial"/>
                <w:szCs w:val="20"/>
              </w:rPr>
            </w:pPr>
            <w:r w:rsidRPr="005E4BEA">
              <w:rPr>
                <w:rFonts w:cs="Arial"/>
                <w:szCs w:val="20"/>
              </w:rPr>
              <w:t>1</w:t>
            </w: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79E7177" w14:textId="77777777" w:rsidR="00FE461F" w:rsidRPr="005E4BEA" w:rsidRDefault="00FE461F" w:rsidP="00FE461F">
            <w:pPr>
              <w:spacing w:line="240" w:lineRule="auto"/>
              <w:rPr>
                <w:rFonts w:cs="Arial"/>
                <w:szCs w:val="20"/>
              </w:rPr>
            </w:pPr>
            <w:r w:rsidRPr="005E4BEA">
              <w:rPr>
                <w:rFonts w:cs="Arial"/>
                <w:szCs w:val="20"/>
              </w:rPr>
              <w:t>Povečanje programa zdravstvene nege in rehabilitacije, za odrasle w osebe v dnevnem varstvu VDC</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473C0B7" w14:textId="77777777" w:rsidR="00FE461F" w:rsidRPr="005E4BEA" w:rsidRDefault="00FE461F" w:rsidP="00FE461F">
            <w:pPr>
              <w:spacing w:line="231" w:lineRule="atLeast"/>
              <w:rPr>
                <w:rFonts w:cs="Arial"/>
                <w:szCs w:val="20"/>
              </w:rPr>
            </w:pPr>
            <w:r w:rsidRPr="005E4BEA">
              <w:rPr>
                <w:rFonts w:cs="Arial"/>
                <w:szCs w:val="20"/>
              </w:rPr>
              <w:t>CUDV Črna na Koroškem</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B50832" w14:textId="77777777" w:rsidR="00FE461F" w:rsidRPr="005E4BEA" w:rsidRDefault="00FE461F" w:rsidP="00FE461F">
            <w:pPr>
              <w:spacing w:line="231" w:lineRule="atLeast"/>
              <w:rPr>
                <w:rFonts w:cs="Arial"/>
                <w:szCs w:val="20"/>
              </w:rPr>
            </w:pPr>
            <w:r w:rsidRPr="005E4BEA">
              <w:rPr>
                <w:rFonts w:cs="Arial"/>
                <w:szCs w:val="20"/>
              </w:rPr>
              <w:t>5000 oskrbnih dni</w:t>
            </w:r>
          </w:p>
          <w:p w14:paraId="6708263A" w14:textId="77777777" w:rsidR="00FE461F" w:rsidRPr="005E4BEA" w:rsidRDefault="00FE461F" w:rsidP="00FE461F">
            <w:pPr>
              <w:spacing w:line="231" w:lineRule="atLeast"/>
              <w:rPr>
                <w:rFonts w:cs="Arial"/>
                <w:szCs w:val="20"/>
              </w:rPr>
            </w:pPr>
            <w:r w:rsidRPr="005E4BEA">
              <w:rPr>
                <w:rFonts w:cs="Arial"/>
                <w:szCs w:val="20"/>
              </w:rPr>
              <w:t>20 uporabnikov</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AF6486" w14:textId="77777777" w:rsidR="00FE461F" w:rsidRPr="005E4BEA" w:rsidRDefault="00FE461F" w:rsidP="00FE461F">
            <w:pPr>
              <w:spacing w:line="231" w:lineRule="atLeast"/>
              <w:jc w:val="center"/>
              <w:rPr>
                <w:rFonts w:cs="Arial"/>
                <w:szCs w:val="20"/>
              </w:rPr>
            </w:pPr>
            <w:r w:rsidRPr="005E4BEA">
              <w:rPr>
                <w:rFonts w:cs="Arial"/>
                <w:szCs w:val="20"/>
              </w:rPr>
              <w:t xml:space="preserve">77.400,00 </w:t>
            </w:r>
          </w:p>
        </w:tc>
      </w:tr>
      <w:tr w:rsidR="00FE461F" w:rsidRPr="005E4BEA" w14:paraId="52C01299"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9E7DDF" w14:textId="77777777" w:rsidR="00FE461F" w:rsidRPr="005E4BEA" w:rsidRDefault="00FE461F" w:rsidP="00FE461F">
            <w:pPr>
              <w:spacing w:line="231" w:lineRule="atLeast"/>
              <w:jc w:val="both"/>
              <w:rPr>
                <w:rFonts w:cs="Arial"/>
                <w:szCs w:val="20"/>
              </w:rPr>
            </w:pPr>
            <w:r w:rsidRPr="005E4BEA">
              <w:rPr>
                <w:rFonts w:cs="Arial"/>
                <w:szCs w:val="20"/>
              </w:rPr>
              <w:t>2</w:t>
            </w: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04F8F94" w14:textId="77777777" w:rsidR="00FE461F" w:rsidRPr="005E4BEA" w:rsidRDefault="00FE461F" w:rsidP="00FE461F">
            <w:pPr>
              <w:spacing w:line="240" w:lineRule="auto"/>
              <w:rPr>
                <w:rFonts w:cs="Arial"/>
                <w:szCs w:val="20"/>
              </w:rPr>
            </w:pPr>
            <w:r w:rsidRPr="005E4BEA">
              <w:rPr>
                <w:rFonts w:cs="Arial"/>
                <w:szCs w:val="20"/>
              </w:rPr>
              <w:t>Program Splošne ambulante</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440A1D" w14:textId="77777777" w:rsidR="00FE461F" w:rsidRPr="005E4BEA" w:rsidRDefault="00FE461F" w:rsidP="00FE461F">
            <w:pPr>
              <w:spacing w:line="231" w:lineRule="atLeast"/>
              <w:jc w:val="both"/>
              <w:rPr>
                <w:rFonts w:cs="Arial"/>
                <w:szCs w:val="20"/>
              </w:rPr>
            </w:pPr>
            <w:r w:rsidRPr="005E4BEA">
              <w:rPr>
                <w:rFonts w:cs="Arial"/>
                <w:szCs w:val="20"/>
              </w:rPr>
              <w:t>CUDV Dobrna</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844E336" w14:textId="77777777" w:rsidR="00FE461F" w:rsidRPr="005E4BEA" w:rsidRDefault="00FE461F" w:rsidP="00FE461F">
            <w:pPr>
              <w:spacing w:line="231" w:lineRule="atLeast"/>
              <w:rPr>
                <w:rFonts w:cs="Arial"/>
                <w:szCs w:val="20"/>
              </w:rPr>
            </w:pPr>
            <w:r w:rsidRPr="005E4BEA">
              <w:rPr>
                <w:rFonts w:cs="Arial"/>
                <w:szCs w:val="20"/>
              </w:rPr>
              <w:t>0,452 zdravstvenega tima</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5CD5EF1" w14:textId="77777777" w:rsidR="00FE461F" w:rsidRPr="005E4BEA" w:rsidRDefault="00FE461F" w:rsidP="00FE461F">
            <w:pPr>
              <w:spacing w:line="231" w:lineRule="atLeast"/>
              <w:jc w:val="center"/>
              <w:rPr>
                <w:rFonts w:cs="Arial"/>
                <w:szCs w:val="20"/>
              </w:rPr>
            </w:pPr>
          </w:p>
        </w:tc>
      </w:tr>
      <w:tr w:rsidR="00FE461F" w:rsidRPr="005E4BEA" w14:paraId="514A06EE"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9669A0" w14:textId="77777777" w:rsidR="00FE461F" w:rsidRPr="005E4BEA" w:rsidRDefault="00FE461F" w:rsidP="00FE461F">
            <w:pPr>
              <w:spacing w:line="231" w:lineRule="atLeast"/>
              <w:jc w:val="both"/>
              <w:rPr>
                <w:rFonts w:cs="Arial"/>
                <w:szCs w:val="20"/>
              </w:rPr>
            </w:pPr>
            <w:r w:rsidRPr="005E4BEA">
              <w:rPr>
                <w:rFonts w:cs="Arial"/>
                <w:szCs w:val="20"/>
              </w:rPr>
              <w:t>3</w:t>
            </w: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E5EE421" w14:textId="77777777" w:rsidR="00FE461F" w:rsidRPr="005E4BEA" w:rsidRDefault="00FE461F" w:rsidP="00FE461F">
            <w:pPr>
              <w:spacing w:line="240" w:lineRule="auto"/>
              <w:rPr>
                <w:rFonts w:cs="Arial"/>
                <w:szCs w:val="20"/>
              </w:rPr>
            </w:pPr>
            <w:r w:rsidRPr="005E4BEA">
              <w:rPr>
                <w:rFonts w:cs="Arial"/>
                <w:szCs w:val="20"/>
              </w:rPr>
              <w:t>Program Specializirana skupina</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62D15C" w14:textId="77777777" w:rsidR="00FE461F" w:rsidRPr="005E4BEA" w:rsidRDefault="00FE461F" w:rsidP="00FE461F">
            <w:pPr>
              <w:spacing w:line="231" w:lineRule="atLeast"/>
              <w:jc w:val="both"/>
              <w:rPr>
                <w:rFonts w:cs="Arial"/>
                <w:szCs w:val="20"/>
              </w:rPr>
            </w:pPr>
            <w:r w:rsidRPr="005E4BEA">
              <w:rPr>
                <w:rFonts w:cs="Arial"/>
                <w:szCs w:val="20"/>
              </w:rPr>
              <w:t>CUDV Draga IG</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F066433" w14:textId="77777777" w:rsidR="00FE461F" w:rsidRPr="005E4BEA" w:rsidRDefault="00FE461F" w:rsidP="00FE461F">
            <w:pPr>
              <w:spacing w:line="231" w:lineRule="atLeast"/>
              <w:rPr>
                <w:rFonts w:cs="Arial"/>
                <w:szCs w:val="20"/>
              </w:rPr>
            </w:pPr>
            <w:r w:rsidRPr="005E4BEA">
              <w:rPr>
                <w:rFonts w:cs="Arial"/>
                <w:szCs w:val="20"/>
              </w:rPr>
              <w:t>0,66 zdravnika specialista (0,33 + 0,33)</w:t>
            </w:r>
          </w:p>
          <w:p w14:paraId="333EF80E" w14:textId="77777777" w:rsidR="00FE461F" w:rsidRPr="005E4BEA" w:rsidRDefault="00FE461F" w:rsidP="00FE461F">
            <w:pPr>
              <w:spacing w:line="231" w:lineRule="atLeast"/>
              <w:rPr>
                <w:rFonts w:cs="Arial"/>
                <w:szCs w:val="20"/>
              </w:rPr>
            </w:pPr>
            <w:r w:rsidRPr="005E4BEA">
              <w:rPr>
                <w:rFonts w:cs="Arial"/>
                <w:szCs w:val="20"/>
              </w:rPr>
              <w:t>0,33 logoped</w:t>
            </w:r>
          </w:p>
          <w:p w14:paraId="11BF10EC" w14:textId="77777777" w:rsidR="00FE461F" w:rsidRPr="005E4BEA" w:rsidRDefault="00FE461F" w:rsidP="00FE461F">
            <w:pPr>
              <w:spacing w:line="231" w:lineRule="atLeast"/>
              <w:rPr>
                <w:rFonts w:cs="Arial"/>
                <w:szCs w:val="20"/>
              </w:rPr>
            </w:pPr>
            <w:r w:rsidRPr="005E4BEA">
              <w:rPr>
                <w:rFonts w:cs="Arial"/>
                <w:szCs w:val="20"/>
              </w:rPr>
              <w:t>1,33 fizioterapevt</w:t>
            </w:r>
          </w:p>
          <w:p w14:paraId="69F8ED6C" w14:textId="77777777" w:rsidR="00FE461F" w:rsidRPr="005E4BEA" w:rsidRDefault="00FE461F" w:rsidP="00FE461F">
            <w:pPr>
              <w:spacing w:line="231" w:lineRule="atLeast"/>
              <w:rPr>
                <w:rFonts w:cs="Arial"/>
                <w:szCs w:val="20"/>
              </w:rPr>
            </w:pPr>
            <w:r w:rsidRPr="005E4BEA">
              <w:rPr>
                <w:rFonts w:cs="Arial"/>
                <w:szCs w:val="20"/>
              </w:rPr>
              <w:t xml:space="preserve">1,33 delovni terapevt </w:t>
            </w:r>
          </w:p>
          <w:p w14:paraId="0DB93136" w14:textId="77777777" w:rsidR="00FE461F" w:rsidRPr="005E4BEA" w:rsidRDefault="00FE461F" w:rsidP="00FE461F">
            <w:pPr>
              <w:spacing w:line="231" w:lineRule="atLeast"/>
              <w:rPr>
                <w:rFonts w:cs="Arial"/>
                <w:szCs w:val="20"/>
              </w:rPr>
            </w:pPr>
            <w:r w:rsidRPr="005E4BEA">
              <w:rPr>
                <w:rFonts w:cs="Arial"/>
                <w:szCs w:val="20"/>
              </w:rPr>
              <w:t xml:space="preserve">2,66 diplomirana medicinska sestra </w:t>
            </w:r>
          </w:p>
          <w:p w14:paraId="14A1AA74" w14:textId="77777777" w:rsidR="00FE461F" w:rsidRPr="005E4BEA" w:rsidRDefault="00FE461F" w:rsidP="00FE461F">
            <w:pPr>
              <w:spacing w:line="231" w:lineRule="atLeast"/>
              <w:rPr>
                <w:rFonts w:cs="Arial"/>
                <w:szCs w:val="20"/>
              </w:rPr>
            </w:pPr>
            <w:r w:rsidRPr="005E4BEA">
              <w:rPr>
                <w:rFonts w:cs="Arial"/>
                <w:szCs w:val="20"/>
              </w:rPr>
              <w:t>5,0 zdravstveni tehnik</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14E2B5" w14:textId="77777777" w:rsidR="00FE461F" w:rsidRPr="005E4BEA" w:rsidRDefault="00FE461F" w:rsidP="00FE461F">
            <w:pPr>
              <w:spacing w:line="231" w:lineRule="atLeast"/>
              <w:jc w:val="center"/>
              <w:rPr>
                <w:rFonts w:cs="Arial"/>
                <w:szCs w:val="20"/>
              </w:rPr>
            </w:pPr>
            <w:r w:rsidRPr="005E4BEA">
              <w:rPr>
                <w:rFonts w:cs="Arial"/>
                <w:szCs w:val="20"/>
              </w:rPr>
              <w:t>402.674,00</w:t>
            </w:r>
          </w:p>
        </w:tc>
      </w:tr>
      <w:tr w:rsidR="00FE461F" w:rsidRPr="00E82B4D" w14:paraId="77B688DE"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F8B5C0" w14:textId="77777777" w:rsidR="00FE461F" w:rsidRPr="005E4BEA" w:rsidRDefault="00FE461F" w:rsidP="00FE461F">
            <w:pPr>
              <w:spacing w:line="231" w:lineRule="atLeast"/>
              <w:jc w:val="both"/>
              <w:rPr>
                <w:rFonts w:cs="Arial"/>
                <w:szCs w:val="20"/>
              </w:rPr>
            </w:pP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3613FB3" w14:textId="77777777" w:rsidR="00FE461F" w:rsidRPr="00E82B4D" w:rsidRDefault="00FE461F" w:rsidP="00FE461F">
            <w:pPr>
              <w:spacing w:line="240" w:lineRule="auto"/>
              <w:rPr>
                <w:rFonts w:cs="Arial"/>
                <w:szCs w:val="20"/>
              </w:rPr>
            </w:pPr>
            <w:r w:rsidRPr="00E82B4D">
              <w:rPr>
                <w:rFonts w:cs="Arial"/>
                <w:szCs w:val="20"/>
              </w:rPr>
              <w:t>Povečanje števila delavcev zdravstvena nega</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4D56B4D" w14:textId="77777777" w:rsidR="00FE461F" w:rsidRPr="00E82B4D" w:rsidRDefault="00FE461F" w:rsidP="00FE461F">
            <w:pPr>
              <w:spacing w:line="231" w:lineRule="atLeast"/>
              <w:jc w:val="both"/>
              <w:rPr>
                <w:rFonts w:cs="Arial"/>
                <w:szCs w:val="20"/>
              </w:rPr>
            </w:pPr>
            <w:r w:rsidRPr="00E82B4D">
              <w:rPr>
                <w:rFonts w:cs="Arial"/>
                <w:szCs w:val="20"/>
              </w:rPr>
              <w:t>CUDV Draga IG</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A82486E" w14:textId="77777777" w:rsidR="00FE461F" w:rsidRPr="00E82B4D" w:rsidRDefault="00FE461F" w:rsidP="00FE461F">
            <w:pPr>
              <w:spacing w:line="231" w:lineRule="atLeast"/>
              <w:rPr>
                <w:rFonts w:cs="Arial"/>
                <w:szCs w:val="20"/>
              </w:rPr>
            </w:pPr>
            <w:r w:rsidRPr="00E82B4D">
              <w:rPr>
                <w:rFonts w:cs="Arial"/>
                <w:szCs w:val="20"/>
              </w:rPr>
              <w:t xml:space="preserve">8,0 diplomirana medicinska sestra </w:t>
            </w:r>
          </w:p>
          <w:p w14:paraId="23218D89" w14:textId="77777777" w:rsidR="00FE461F" w:rsidRPr="00E82B4D" w:rsidRDefault="00FE461F" w:rsidP="00FE461F">
            <w:pPr>
              <w:spacing w:line="231" w:lineRule="atLeast"/>
              <w:rPr>
                <w:rFonts w:cs="Arial"/>
                <w:szCs w:val="20"/>
              </w:rPr>
            </w:pPr>
            <w:r w:rsidRPr="00E82B4D">
              <w:rPr>
                <w:rFonts w:cs="Arial"/>
                <w:szCs w:val="20"/>
              </w:rPr>
              <w:t>5,0 zdravstveni tehnik</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93F97FC" w14:textId="77777777" w:rsidR="00FE461F" w:rsidRPr="00E82B4D" w:rsidRDefault="00FE461F" w:rsidP="00FE461F">
            <w:pPr>
              <w:spacing w:line="231" w:lineRule="atLeast"/>
              <w:jc w:val="center"/>
              <w:rPr>
                <w:rFonts w:cs="Arial"/>
                <w:szCs w:val="20"/>
              </w:rPr>
            </w:pPr>
            <w:r w:rsidRPr="00E82B4D">
              <w:rPr>
                <w:rFonts w:cs="Arial"/>
                <w:szCs w:val="20"/>
              </w:rPr>
              <w:t>475.335,00</w:t>
            </w:r>
          </w:p>
        </w:tc>
      </w:tr>
      <w:tr w:rsidR="00FE461F" w:rsidRPr="00E82B4D" w14:paraId="6E164EB8"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ADA330" w14:textId="77777777" w:rsidR="00FE461F" w:rsidRPr="00E82B4D" w:rsidRDefault="00FE461F" w:rsidP="00FE461F">
            <w:pPr>
              <w:spacing w:line="231" w:lineRule="atLeast"/>
              <w:jc w:val="both"/>
              <w:rPr>
                <w:rFonts w:cs="Arial"/>
                <w:szCs w:val="20"/>
              </w:rPr>
            </w:pP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05A29B4" w14:textId="77777777" w:rsidR="00FE461F" w:rsidRPr="00E82B4D" w:rsidRDefault="00FE461F" w:rsidP="00FE461F">
            <w:pPr>
              <w:spacing w:line="240" w:lineRule="auto"/>
              <w:rPr>
                <w:rFonts w:cs="Arial"/>
                <w:szCs w:val="20"/>
              </w:rPr>
            </w:pPr>
            <w:r w:rsidRPr="00E82B4D">
              <w:rPr>
                <w:rFonts w:cs="Arial"/>
                <w:szCs w:val="20"/>
              </w:rPr>
              <w:t>Povečanje števila delavcev medicinska rehabilitacija</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DFE99E2" w14:textId="77777777" w:rsidR="00FE461F" w:rsidRPr="00E82B4D" w:rsidRDefault="00FE461F" w:rsidP="00FE461F">
            <w:pPr>
              <w:spacing w:line="231" w:lineRule="atLeast"/>
              <w:jc w:val="both"/>
              <w:rPr>
                <w:rFonts w:cs="Arial"/>
                <w:szCs w:val="20"/>
              </w:rPr>
            </w:pPr>
            <w:r w:rsidRPr="00E82B4D">
              <w:rPr>
                <w:rFonts w:cs="Arial"/>
                <w:szCs w:val="20"/>
              </w:rPr>
              <w:t>CUDV Draga IG</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B62557B" w14:textId="77777777" w:rsidR="00FE461F" w:rsidRPr="00E82B4D" w:rsidRDefault="00FE461F" w:rsidP="00FE461F">
            <w:pPr>
              <w:spacing w:line="231" w:lineRule="atLeast"/>
              <w:rPr>
                <w:rFonts w:cs="Arial"/>
                <w:szCs w:val="20"/>
              </w:rPr>
            </w:pPr>
            <w:r w:rsidRPr="00E82B4D">
              <w:rPr>
                <w:rFonts w:cs="Arial"/>
                <w:szCs w:val="20"/>
              </w:rPr>
              <w:t>2,0 fizioterapevt</w:t>
            </w:r>
          </w:p>
          <w:p w14:paraId="66763C8D" w14:textId="77777777" w:rsidR="00FE461F" w:rsidRPr="00E82B4D" w:rsidRDefault="00FE461F" w:rsidP="00FE461F">
            <w:pPr>
              <w:spacing w:line="231" w:lineRule="atLeast"/>
              <w:rPr>
                <w:rFonts w:cs="Arial"/>
                <w:szCs w:val="20"/>
              </w:rPr>
            </w:pPr>
            <w:r w:rsidRPr="00E82B4D">
              <w:rPr>
                <w:rFonts w:cs="Arial"/>
                <w:szCs w:val="20"/>
              </w:rPr>
              <w:t xml:space="preserve">2,0 delovni terapevt </w:t>
            </w:r>
          </w:p>
          <w:p w14:paraId="60FDEA80" w14:textId="77777777" w:rsidR="00FE461F" w:rsidRPr="00E82B4D" w:rsidRDefault="00FE461F" w:rsidP="00FE461F">
            <w:pPr>
              <w:spacing w:line="231" w:lineRule="atLeast"/>
              <w:rPr>
                <w:rFonts w:cs="Arial"/>
                <w:szCs w:val="20"/>
              </w:rPr>
            </w:pPr>
            <w:r w:rsidRPr="00E82B4D">
              <w:rPr>
                <w:rFonts w:cs="Arial"/>
                <w:szCs w:val="20"/>
              </w:rPr>
              <w:t>2,0 logopeda</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81A2551" w14:textId="77777777" w:rsidR="00FE461F" w:rsidRPr="00E82B4D" w:rsidRDefault="00FE461F" w:rsidP="00FE461F">
            <w:pPr>
              <w:spacing w:line="231" w:lineRule="atLeast"/>
              <w:jc w:val="center"/>
              <w:rPr>
                <w:rFonts w:cs="Arial"/>
                <w:szCs w:val="20"/>
              </w:rPr>
            </w:pPr>
            <w:r w:rsidRPr="00E82B4D">
              <w:rPr>
                <w:rFonts w:cs="Arial"/>
                <w:szCs w:val="20"/>
              </w:rPr>
              <w:t>206.926,00</w:t>
            </w:r>
          </w:p>
        </w:tc>
      </w:tr>
      <w:tr w:rsidR="00FE461F" w:rsidRPr="005E4BEA" w14:paraId="3C6FE33B"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D6CED2" w14:textId="77777777" w:rsidR="00FE461F" w:rsidRPr="00E82B4D" w:rsidRDefault="00FE461F" w:rsidP="00FE461F">
            <w:pPr>
              <w:spacing w:line="231" w:lineRule="atLeast"/>
              <w:jc w:val="both"/>
              <w:rPr>
                <w:rFonts w:cs="Arial"/>
                <w:szCs w:val="20"/>
              </w:rPr>
            </w:pP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3C93060" w14:textId="77777777" w:rsidR="00FE461F" w:rsidRPr="00E82B4D" w:rsidRDefault="00FE461F" w:rsidP="00FE461F">
            <w:pPr>
              <w:spacing w:line="240" w:lineRule="auto"/>
              <w:rPr>
                <w:rFonts w:cs="Arial"/>
                <w:szCs w:val="20"/>
              </w:rPr>
            </w:pPr>
            <w:r w:rsidRPr="00E82B4D">
              <w:rPr>
                <w:rFonts w:cs="Arial"/>
                <w:szCs w:val="20"/>
              </w:rPr>
              <w:t xml:space="preserve">Poklicne kompetence v zdravstveni negi </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8517D70" w14:textId="77777777" w:rsidR="00FE461F" w:rsidRPr="00E82B4D" w:rsidRDefault="00FE461F" w:rsidP="00FE461F">
            <w:pPr>
              <w:spacing w:line="231" w:lineRule="atLeast"/>
              <w:jc w:val="both"/>
              <w:rPr>
                <w:rFonts w:cs="Arial"/>
                <w:szCs w:val="20"/>
              </w:rPr>
            </w:pPr>
            <w:r w:rsidRPr="00E82B4D">
              <w:rPr>
                <w:rFonts w:cs="Arial"/>
                <w:szCs w:val="20"/>
              </w:rPr>
              <w:t>CUDV Draga IG</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945EBC1" w14:textId="77777777" w:rsidR="00FE461F" w:rsidRPr="00E82B4D" w:rsidRDefault="00FE461F" w:rsidP="00FE461F">
            <w:pPr>
              <w:spacing w:line="231" w:lineRule="atLeast"/>
              <w:rPr>
                <w:rFonts w:cs="Arial"/>
                <w:szCs w:val="20"/>
              </w:rPr>
            </w:pPr>
            <w:r w:rsidRPr="00E82B4D">
              <w:rPr>
                <w:rFonts w:cs="Arial"/>
                <w:szCs w:val="20"/>
              </w:rPr>
              <w:t xml:space="preserve">18,0 prerazporeditev zdravstvenih tehnikov </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A72428C" w14:textId="77777777" w:rsidR="00FE461F" w:rsidRPr="005E4BEA" w:rsidRDefault="00FE461F" w:rsidP="00FE461F">
            <w:pPr>
              <w:spacing w:line="231" w:lineRule="atLeast"/>
              <w:jc w:val="center"/>
              <w:rPr>
                <w:rFonts w:cs="Arial"/>
                <w:szCs w:val="20"/>
              </w:rPr>
            </w:pPr>
            <w:r w:rsidRPr="00E82B4D">
              <w:rPr>
                <w:rFonts w:cs="Arial"/>
                <w:szCs w:val="20"/>
              </w:rPr>
              <w:t>32.565,00</w:t>
            </w:r>
          </w:p>
        </w:tc>
      </w:tr>
      <w:tr w:rsidR="00FE461F" w:rsidRPr="005E4BEA" w14:paraId="2B2C7405"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6D1744" w14:textId="77777777" w:rsidR="00FE461F" w:rsidRPr="005E4BEA" w:rsidRDefault="00FE461F" w:rsidP="00FE461F">
            <w:pPr>
              <w:spacing w:line="231" w:lineRule="atLeast"/>
              <w:jc w:val="both"/>
              <w:rPr>
                <w:rFonts w:cs="Arial"/>
                <w:szCs w:val="20"/>
              </w:rPr>
            </w:pPr>
            <w:r w:rsidRPr="005E4BEA">
              <w:rPr>
                <w:rFonts w:cs="Arial"/>
                <w:szCs w:val="20"/>
              </w:rPr>
              <w:t>4</w:t>
            </w: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3225476" w14:textId="77777777" w:rsidR="00FE461F" w:rsidRPr="005E4BEA" w:rsidRDefault="00FE461F" w:rsidP="00FE461F">
            <w:pPr>
              <w:spacing w:line="240" w:lineRule="auto"/>
              <w:rPr>
                <w:rFonts w:cs="Arial"/>
                <w:szCs w:val="20"/>
              </w:rPr>
            </w:pPr>
            <w:r w:rsidRPr="005E4BEA">
              <w:rPr>
                <w:rFonts w:cs="Arial"/>
                <w:szCs w:val="20"/>
              </w:rPr>
              <w:t>Povečanje števila delavcev</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0EF4A8" w14:textId="77777777" w:rsidR="00FE461F" w:rsidRPr="005E4BEA" w:rsidRDefault="00FE461F" w:rsidP="00FE461F">
            <w:pPr>
              <w:spacing w:line="231" w:lineRule="atLeast"/>
              <w:jc w:val="both"/>
              <w:rPr>
                <w:rFonts w:cs="Arial"/>
                <w:szCs w:val="20"/>
              </w:rPr>
            </w:pPr>
            <w:r w:rsidRPr="005E4BEA">
              <w:rPr>
                <w:rFonts w:cs="Arial"/>
                <w:szCs w:val="20"/>
              </w:rPr>
              <w:t>CUDV Radovljica</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CC96F1" w14:textId="77777777" w:rsidR="00FE461F" w:rsidRPr="005E4BEA" w:rsidRDefault="00FE461F" w:rsidP="00FE461F">
            <w:pPr>
              <w:spacing w:line="231" w:lineRule="atLeast"/>
              <w:rPr>
                <w:rFonts w:cs="Arial"/>
                <w:szCs w:val="20"/>
              </w:rPr>
            </w:pPr>
            <w:r w:rsidRPr="005E4BEA">
              <w:rPr>
                <w:rFonts w:cs="Arial"/>
                <w:szCs w:val="20"/>
              </w:rPr>
              <w:t xml:space="preserve">1,5 diplomirana medicinska sestra </w:t>
            </w:r>
          </w:p>
          <w:p w14:paraId="5AC76115" w14:textId="77777777" w:rsidR="00FE461F" w:rsidRPr="005E4BEA" w:rsidRDefault="00FE461F" w:rsidP="00FE461F">
            <w:pPr>
              <w:spacing w:line="231" w:lineRule="atLeast"/>
              <w:rPr>
                <w:rFonts w:cs="Arial"/>
                <w:szCs w:val="20"/>
              </w:rPr>
            </w:pPr>
            <w:r w:rsidRPr="005E4BEA">
              <w:rPr>
                <w:rFonts w:cs="Arial"/>
                <w:szCs w:val="20"/>
              </w:rPr>
              <w:t>1,0 prehranski svetovalec dietetik</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E4520C" w14:textId="77777777" w:rsidR="00FE461F" w:rsidRPr="005E4BEA" w:rsidRDefault="00FE461F" w:rsidP="00FE461F">
            <w:pPr>
              <w:spacing w:line="231" w:lineRule="atLeast"/>
              <w:jc w:val="center"/>
              <w:rPr>
                <w:rFonts w:cs="Arial"/>
                <w:szCs w:val="20"/>
              </w:rPr>
            </w:pPr>
            <w:r w:rsidRPr="005E4BEA">
              <w:rPr>
                <w:rFonts w:cs="Arial"/>
                <w:szCs w:val="20"/>
              </w:rPr>
              <w:t>89.909,00</w:t>
            </w:r>
          </w:p>
        </w:tc>
      </w:tr>
      <w:tr w:rsidR="00FE461F" w:rsidRPr="005E4BEA" w14:paraId="30644552"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6BBF9A" w14:textId="77777777" w:rsidR="00FE461F" w:rsidRPr="005E4BEA" w:rsidRDefault="00FE461F" w:rsidP="00FE461F">
            <w:pPr>
              <w:spacing w:line="231" w:lineRule="atLeast"/>
              <w:jc w:val="both"/>
              <w:rPr>
                <w:rFonts w:cs="Arial"/>
                <w:szCs w:val="20"/>
              </w:rPr>
            </w:pPr>
            <w:r w:rsidRPr="005E4BEA">
              <w:rPr>
                <w:rFonts w:cs="Arial"/>
                <w:szCs w:val="20"/>
              </w:rPr>
              <w:t>5</w:t>
            </w: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A26457" w14:textId="77777777" w:rsidR="00FE461F" w:rsidRPr="005E4BEA" w:rsidRDefault="00FE461F" w:rsidP="00FE461F">
            <w:pPr>
              <w:spacing w:line="240" w:lineRule="auto"/>
              <w:rPr>
                <w:rFonts w:cs="Arial"/>
                <w:szCs w:val="20"/>
              </w:rPr>
            </w:pPr>
            <w:r w:rsidRPr="005E4BEA">
              <w:rPr>
                <w:rFonts w:cs="Arial"/>
                <w:szCs w:val="20"/>
              </w:rPr>
              <w:t>Specializirani program za otroke in mladostnike z motnjami v DR in DZ, VČT</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BF03EEF" w14:textId="77777777" w:rsidR="00FE461F" w:rsidRPr="005E4BEA" w:rsidRDefault="00FE461F" w:rsidP="00FE461F">
            <w:pPr>
              <w:spacing w:line="231" w:lineRule="atLeast"/>
              <w:jc w:val="both"/>
              <w:rPr>
                <w:rFonts w:cs="Arial"/>
                <w:szCs w:val="20"/>
              </w:rPr>
            </w:pPr>
            <w:r w:rsidRPr="005E4BEA">
              <w:rPr>
                <w:rFonts w:cs="Arial"/>
                <w:szCs w:val="20"/>
              </w:rPr>
              <w:t>ZUDV Dornava</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AB5526" w14:textId="77777777" w:rsidR="00FE461F" w:rsidRPr="005E4BEA" w:rsidRDefault="00FE461F" w:rsidP="00FE461F">
            <w:pPr>
              <w:spacing w:line="231" w:lineRule="atLeast"/>
              <w:rPr>
                <w:rFonts w:cs="Arial"/>
                <w:szCs w:val="20"/>
              </w:rPr>
            </w:pPr>
            <w:r w:rsidRPr="005E4BEA">
              <w:rPr>
                <w:rFonts w:cs="Arial"/>
                <w:szCs w:val="20"/>
              </w:rPr>
              <w:t>2190 oskrbnih dni</w:t>
            </w:r>
          </w:p>
          <w:p w14:paraId="19EE9C9A" w14:textId="77777777" w:rsidR="00FE461F" w:rsidRPr="005E4BEA" w:rsidRDefault="00FE461F" w:rsidP="00FE461F">
            <w:pPr>
              <w:spacing w:line="231" w:lineRule="atLeast"/>
              <w:rPr>
                <w:rFonts w:cs="Arial"/>
                <w:szCs w:val="20"/>
              </w:rPr>
            </w:pPr>
            <w:r w:rsidRPr="005E4BEA">
              <w:rPr>
                <w:rFonts w:cs="Arial"/>
                <w:szCs w:val="20"/>
              </w:rPr>
              <w:t>6 uporabnikov</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1FA74EB" w14:textId="77777777" w:rsidR="00FE461F" w:rsidRPr="005E4BEA" w:rsidRDefault="00FE461F" w:rsidP="00FE461F">
            <w:pPr>
              <w:spacing w:line="231" w:lineRule="atLeast"/>
              <w:jc w:val="center"/>
              <w:rPr>
                <w:rFonts w:cs="Arial"/>
                <w:szCs w:val="20"/>
              </w:rPr>
            </w:pPr>
            <w:r w:rsidRPr="005E4BEA">
              <w:rPr>
                <w:rFonts w:cs="Arial"/>
                <w:szCs w:val="20"/>
              </w:rPr>
              <w:t>323.047,00</w:t>
            </w:r>
          </w:p>
        </w:tc>
      </w:tr>
      <w:tr w:rsidR="00FE461F" w:rsidRPr="005E4BEA" w14:paraId="7FE7EFC2"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C42EA3" w14:textId="77777777" w:rsidR="00FE461F" w:rsidRPr="005E4BEA" w:rsidRDefault="00FE461F" w:rsidP="00FE461F">
            <w:pPr>
              <w:spacing w:line="231" w:lineRule="atLeast"/>
              <w:jc w:val="both"/>
              <w:rPr>
                <w:rFonts w:cs="Arial"/>
                <w:szCs w:val="20"/>
              </w:rPr>
            </w:pP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E3DE082" w14:textId="77777777" w:rsidR="00FE461F" w:rsidRPr="005E4BEA" w:rsidRDefault="00FE461F" w:rsidP="00FE461F">
            <w:pPr>
              <w:spacing w:line="240" w:lineRule="auto"/>
              <w:rPr>
                <w:rFonts w:cs="Arial"/>
                <w:szCs w:val="20"/>
              </w:rPr>
            </w:pPr>
            <w:r w:rsidRPr="005E4BEA">
              <w:rPr>
                <w:rFonts w:cs="Arial"/>
                <w:szCs w:val="20"/>
              </w:rPr>
              <w:t>Povečanje programa zdravstvene nege in rehabilitacije</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6DAA509" w14:textId="77777777" w:rsidR="00FE461F" w:rsidRPr="005E4BEA" w:rsidRDefault="00FE461F" w:rsidP="00FE461F">
            <w:pPr>
              <w:spacing w:line="231" w:lineRule="atLeast"/>
              <w:jc w:val="both"/>
              <w:rPr>
                <w:rFonts w:cs="Arial"/>
                <w:szCs w:val="20"/>
              </w:rPr>
            </w:pPr>
            <w:r w:rsidRPr="005E4BEA">
              <w:rPr>
                <w:rFonts w:cs="Arial"/>
                <w:szCs w:val="20"/>
              </w:rPr>
              <w:t>ZUDV Dornava</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F9FA86" w14:textId="77777777" w:rsidR="00FE461F" w:rsidRPr="005E4BEA" w:rsidRDefault="00FE461F" w:rsidP="00FE461F">
            <w:pPr>
              <w:spacing w:line="231" w:lineRule="atLeast"/>
              <w:rPr>
                <w:rFonts w:cs="Arial"/>
                <w:szCs w:val="20"/>
              </w:rPr>
            </w:pPr>
            <w:r w:rsidRPr="005E4BEA">
              <w:rPr>
                <w:rFonts w:cs="Arial"/>
                <w:szCs w:val="20"/>
              </w:rPr>
              <w:t xml:space="preserve">7550 oskrbnih dni </w:t>
            </w:r>
          </w:p>
          <w:p w14:paraId="7D0CBF9E" w14:textId="77777777" w:rsidR="00FE461F" w:rsidRPr="005E4BEA" w:rsidRDefault="00FE461F" w:rsidP="00FE461F">
            <w:pPr>
              <w:spacing w:line="231" w:lineRule="atLeast"/>
              <w:rPr>
                <w:rFonts w:cs="Arial"/>
                <w:szCs w:val="20"/>
              </w:rPr>
            </w:pPr>
            <w:r w:rsidRPr="005E4BEA">
              <w:rPr>
                <w:rFonts w:cs="Arial"/>
                <w:szCs w:val="20"/>
              </w:rPr>
              <w:t>30 uporabnikov</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D20018A" w14:textId="77777777" w:rsidR="00FE461F" w:rsidRPr="005E4BEA" w:rsidRDefault="00FE461F" w:rsidP="00FE461F">
            <w:pPr>
              <w:spacing w:line="231" w:lineRule="atLeast"/>
              <w:jc w:val="center"/>
              <w:rPr>
                <w:rFonts w:cs="Arial"/>
                <w:szCs w:val="20"/>
              </w:rPr>
            </w:pPr>
            <w:r w:rsidRPr="005E4BEA">
              <w:rPr>
                <w:rFonts w:cs="Arial"/>
                <w:szCs w:val="20"/>
              </w:rPr>
              <w:t>176.325,00</w:t>
            </w:r>
          </w:p>
        </w:tc>
      </w:tr>
      <w:tr w:rsidR="00FE461F" w:rsidRPr="005E4BEA" w14:paraId="02DF355C"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E5E394" w14:textId="77777777" w:rsidR="00FE461F" w:rsidRPr="005E4BEA" w:rsidRDefault="00FE461F" w:rsidP="00FE461F">
            <w:pPr>
              <w:spacing w:line="231" w:lineRule="atLeast"/>
              <w:jc w:val="both"/>
              <w:rPr>
                <w:rFonts w:cs="Arial"/>
                <w:szCs w:val="20"/>
              </w:rPr>
            </w:pP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1589994" w14:textId="77777777" w:rsidR="00FE461F" w:rsidRPr="005E4BEA" w:rsidRDefault="00FE461F" w:rsidP="00FE461F">
            <w:pPr>
              <w:spacing w:line="240" w:lineRule="auto"/>
              <w:rPr>
                <w:rFonts w:cs="Arial"/>
                <w:szCs w:val="20"/>
              </w:rPr>
            </w:pPr>
            <w:r w:rsidRPr="005E4BEA">
              <w:rPr>
                <w:rFonts w:cs="Arial"/>
                <w:szCs w:val="20"/>
              </w:rPr>
              <w:t xml:space="preserve">Povečanje števila delavce </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08A380" w14:textId="77777777" w:rsidR="00FE461F" w:rsidRPr="005E4BEA" w:rsidRDefault="00FE461F" w:rsidP="00FE461F">
            <w:pPr>
              <w:spacing w:line="231" w:lineRule="atLeast"/>
              <w:jc w:val="both"/>
              <w:rPr>
                <w:rFonts w:cs="Arial"/>
                <w:szCs w:val="20"/>
              </w:rPr>
            </w:pPr>
            <w:r w:rsidRPr="005E4BEA">
              <w:rPr>
                <w:rFonts w:cs="Arial"/>
                <w:szCs w:val="20"/>
              </w:rPr>
              <w:t>ZUDV Dornava</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9752C14" w14:textId="77777777" w:rsidR="00FE461F" w:rsidRPr="005E4BEA" w:rsidRDefault="00FE461F" w:rsidP="00FE461F">
            <w:pPr>
              <w:spacing w:line="231" w:lineRule="atLeast"/>
              <w:rPr>
                <w:rFonts w:cs="Arial"/>
                <w:szCs w:val="20"/>
              </w:rPr>
            </w:pPr>
            <w:r w:rsidRPr="005E4BEA">
              <w:rPr>
                <w:rFonts w:cs="Arial"/>
                <w:szCs w:val="20"/>
              </w:rPr>
              <w:t xml:space="preserve">3,25 zdravstvenih delavcev </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28FF84" w14:textId="77777777" w:rsidR="00FE461F" w:rsidRPr="005E4BEA" w:rsidRDefault="00FE461F" w:rsidP="00FE461F">
            <w:pPr>
              <w:spacing w:line="231" w:lineRule="atLeast"/>
              <w:jc w:val="center"/>
              <w:rPr>
                <w:rFonts w:cs="Arial"/>
                <w:szCs w:val="20"/>
              </w:rPr>
            </w:pPr>
            <w:r w:rsidRPr="005E4BEA">
              <w:rPr>
                <w:rFonts w:cs="Arial"/>
                <w:szCs w:val="20"/>
              </w:rPr>
              <w:t>128.312,00</w:t>
            </w:r>
          </w:p>
        </w:tc>
      </w:tr>
      <w:tr w:rsidR="00FE461F" w:rsidRPr="005E4BEA" w14:paraId="3514A865" w14:textId="77777777" w:rsidTr="0016774B">
        <w:tc>
          <w:tcPr>
            <w:tcW w:w="2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80ECC0F" w14:textId="77777777" w:rsidR="00FE461F" w:rsidRPr="005E4BEA" w:rsidRDefault="00FE461F" w:rsidP="00FE461F">
            <w:pPr>
              <w:spacing w:line="231" w:lineRule="atLeast"/>
              <w:jc w:val="both"/>
              <w:rPr>
                <w:rFonts w:cs="Arial"/>
                <w:szCs w:val="20"/>
              </w:rPr>
            </w:pPr>
          </w:p>
        </w:tc>
        <w:tc>
          <w:tcPr>
            <w:tcW w:w="21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B739C8" w14:textId="77777777" w:rsidR="00FE461F" w:rsidRPr="005E4BEA" w:rsidRDefault="00FE461F" w:rsidP="00FE461F">
            <w:pPr>
              <w:spacing w:line="240" w:lineRule="auto"/>
              <w:rPr>
                <w:rFonts w:cs="Arial"/>
                <w:szCs w:val="20"/>
              </w:rPr>
            </w:pPr>
            <w:r w:rsidRPr="005E4BEA">
              <w:rPr>
                <w:rFonts w:cs="Arial"/>
                <w:szCs w:val="20"/>
              </w:rPr>
              <w:t xml:space="preserve">Prevedba po 38. členu ZZD </w:t>
            </w:r>
          </w:p>
        </w:tc>
        <w:tc>
          <w:tcPr>
            <w:tcW w:w="21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30B8CC" w14:textId="77777777" w:rsidR="00FE461F" w:rsidRPr="005E4BEA" w:rsidRDefault="00FE461F" w:rsidP="00FE461F">
            <w:pPr>
              <w:spacing w:line="231" w:lineRule="atLeast"/>
              <w:jc w:val="both"/>
              <w:rPr>
                <w:rFonts w:cs="Arial"/>
                <w:szCs w:val="20"/>
              </w:rPr>
            </w:pPr>
            <w:r w:rsidRPr="005E4BEA">
              <w:rPr>
                <w:rFonts w:cs="Arial"/>
                <w:szCs w:val="20"/>
              </w:rPr>
              <w:t>ZUDV Dornava</w:t>
            </w:r>
          </w:p>
        </w:tc>
        <w:tc>
          <w:tcPr>
            <w:tcW w:w="21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22E4FCB" w14:textId="77777777" w:rsidR="00FE461F" w:rsidRPr="005E4BEA" w:rsidRDefault="00FE461F" w:rsidP="00FE461F">
            <w:pPr>
              <w:spacing w:line="231" w:lineRule="atLeast"/>
              <w:rPr>
                <w:rFonts w:cs="Arial"/>
                <w:szCs w:val="20"/>
              </w:rPr>
            </w:pPr>
            <w:r w:rsidRPr="005E4BEA">
              <w:rPr>
                <w:rFonts w:cs="Arial"/>
                <w:szCs w:val="20"/>
              </w:rPr>
              <w:t>20 zdravstvenih tehnikov  prevedba v diplomirane medicinske sestre</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5B7BE84" w14:textId="77777777" w:rsidR="00FE461F" w:rsidRPr="005E4BEA" w:rsidRDefault="00FE461F" w:rsidP="00FE461F">
            <w:pPr>
              <w:spacing w:line="231" w:lineRule="atLeast"/>
              <w:jc w:val="center"/>
              <w:rPr>
                <w:rFonts w:cs="Arial"/>
                <w:szCs w:val="20"/>
              </w:rPr>
            </w:pPr>
            <w:r w:rsidRPr="005E4BEA">
              <w:rPr>
                <w:rFonts w:cs="Arial"/>
                <w:szCs w:val="20"/>
              </w:rPr>
              <w:t>191134,00</w:t>
            </w:r>
          </w:p>
        </w:tc>
      </w:tr>
      <w:tr w:rsidR="00FE461F" w:rsidRPr="005E4BEA" w14:paraId="3EEB9895" w14:textId="77777777" w:rsidTr="0016774B">
        <w:tc>
          <w:tcPr>
            <w:tcW w:w="2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8CFE62" w14:textId="77777777" w:rsidR="00FE461F" w:rsidRPr="005E4BEA" w:rsidRDefault="00FE461F" w:rsidP="00FE461F">
            <w:pPr>
              <w:spacing w:line="231" w:lineRule="atLeast"/>
              <w:jc w:val="both"/>
              <w:rPr>
                <w:rFonts w:cs="Arial"/>
                <w:szCs w:val="20"/>
              </w:rPr>
            </w:pPr>
          </w:p>
        </w:tc>
        <w:tc>
          <w:tcPr>
            <w:tcW w:w="21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07F1AE" w14:textId="77777777" w:rsidR="00FE461F" w:rsidRPr="005E4BEA" w:rsidRDefault="00FE461F" w:rsidP="00FE461F">
            <w:pPr>
              <w:spacing w:line="231" w:lineRule="atLeast"/>
              <w:rPr>
                <w:rFonts w:cs="Arial"/>
                <w:szCs w:val="20"/>
              </w:rPr>
            </w:pPr>
            <w:r w:rsidRPr="005E4BEA">
              <w:rPr>
                <w:rFonts w:cs="Arial"/>
                <w:szCs w:val="20"/>
              </w:rPr>
              <w:t>Skupaj</w:t>
            </w:r>
          </w:p>
        </w:tc>
        <w:tc>
          <w:tcPr>
            <w:tcW w:w="21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CF989F" w14:textId="77777777" w:rsidR="00FE461F" w:rsidRPr="005E4BEA" w:rsidRDefault="00FE461F" w:rsidP="00FE461F">
            <w:pPr>
              <w:spacing w:line="231" w:lineRule="atLeast"/>
              <w:rPr>
                <w:rFonts w:cs="Arial"/>
                <w:szCs w:val="20"/>
              </w:rPr>
            </w:pPr>
          </w:p>
        </w:tc>
        <w:tc>
          <w:tcPr>
            <w:tcW w:w="21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1EE1A1" w14:textId="77777777" w:rsidR="00FE461F" w:rsidRPr="005E4BEA" w:rsidRDefault="00FE461F" w:rsidP="00FE461F">
            <w:pPr>
              <w:spacing w:line="231" w:lineRule="atLeast"/>
              <w:rPr>
                <w:rFonts w:cs="Arial"/>
                <w:szCs w:val="20"/>
              </w:rPr>
            </w:pPr>
          </w:p>
        </w:tc>
        <w:tc>
          <w:tcPr>
            <w:tcW w:w="2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C2BD78" w14:textId="77777777" w:rsidR="00FE461F" w:rsidRPr="005E4BEA" w:rsidRDefault="00FE461F" w:rsidP="00FE461F">
            <w:pPr>
              <w:spacing w:line="231" w:lineRule="atLeast"/>
              <w:jc w:val="center"/>
              <w:rPr>
                <w:rFonts w:cs="Arial"/>
                <w:b/>
                <w:szCs w:val="20"/>
              </w:rPr>
            </w:pPr>
            <w:r w:rsidRPr="005E4BEA">
              <w:rPr>
                <w:rFonts w:cs="Arial"/>
                <w:b/>
                <w:szCs w:val="20"/>
              </w:rPr>
              <w:t>2.103.627,00</w:t>
            </w:r>
          </w:p>
        </w:tc>
      </w:tr>
    </w:tbl>
    <w:p w14:paraId="6F496CDC" w14:textId="77777777" w:rsidR="00FE461F" w:rsidRPr="005E4BEA" w:rsidRDefault="00FE461F" w:rsidP="00FE461F">
      <w:pPr>
        <w:spacing w:line="240" w:lineRule="auto"/>
        <w:jc w:val="both"/>
        <w:rPr>
          <w:rFonts w:cs="Arial"/>
          <w:szCs w:val="20"/>
        </w:rPr>
      </w:pPr>
    </w:p>
    <w:p w14:paraId="6EE220DD" w14:textId="77777777" w:rsidR="00FE461F" w:rsidRPr="005E4BEA" w:rsidRDefault="00FE461F" w:rsidP="00FE461F">
      <w:pPr>
        <w:spacing w:line="240" w:lineRule="auto"/>
        <w:jc w:val="both"/>
        <w:rPr>
          <w:rFonts w:cs="Arial"/>
          <w:szCs w:val="20"/>
        </w:rPr>
      </w:pPr>
    </w:p>
    <w:p w14:paraId="7413C2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Povečanje števila delavcev </w:t>
      </w:r>
      <w:r w:rsidRPr="005E4BEA">
        <w:rPr>
          <w:rFonts w:cs="Arial"/>
          <w:b/>
          <w:bCs/>
          <w:color w:val="808080" w:themeColor="background1" w:themeShade="80"/>
          <w:szCs w:val="20"/>
        </w:rPr>
        <w:t>v varstvenih delovnih centrih</w:t>
      </w:r>
      <w:r w:rsidRPr="005E4BEA">
        <w:rPr>
          <w:rFonts w:cs="Arial"/>
          <w:color w:val="808080" w:themeColor="background1" w:themeShade="80"/>
          <w:szCs w:val="20"/>
        </w:rPr>
        <w:t xml:space="preserve"> (VDC Ajdovščina Vipava in VDC Tončke Hočevar in VDC Novo mesto) in nove kapacitete v varstveno delovnih centrih (VDC Saša in VDC Tončke Hočevar in VDC Novo mesto) so potrebne zaradi spremenjene strukture uporabnikov in povečane zahtevnosti izvajanja zdravstvene nege z varovanci z več motnjami. </w:t>
      </w:r>
    </w:p>
    <w:p w14:paraId="35208BEA" w14:textId="77777777" w:rsidR="00FE461F" w:rsidRPr="005E4BEA" w:rsidRDefault="00FE461F" w:rsidP="00FE461F">
      <w:pPr>
        <w:spacing w:line="240" w:lineRule="auto"/>
        <w:jc w:val="both"/>
        <w:rPr>
          <w:rFonts w:cs="Arial"/>
          <w:color w:val="808080" w:themeColor="background1" w:themeShade="80"/>
          <w:szCs w:val="20"/>
        </w:rPr>
      </w:pPr>
    </w:p>
    <w:tbl>
      <w:tblPr>
        <w:tblW w:w="0" w:type="auto"/>
        <w:shd w:val="clear" w:color="auto" w:fill="FFFFFF"/>
        <w:tblCellMar>
          <w:left w:w="0" w:type="dxa"/>
          <w:right w:w="0" w:type="dxa"/>
        </w:tblCellMar>
        <w:tblLook w:val="04A0" w:firstRow="1" w:lastRow="0" w:firstColumn="1" w:lastColumn="0" w:noHBand="0" w:noVBand="1"/>
      </w:tblPr>
      <w:tblGrid>
        <w:gridCol w:w="336"/>
        <w:gridCol w:w="1850"/>
        <w:gridCol w:w="2112"/>
        <w:gridCol w:w="2076"/>
        <w:gridCol w:w="2104"/>
      </w:tblGrid>
      <w:tr w:rsidR="00FE461F" w:rsidRPr="005E4BEA" w14:paraId="69C042E0"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A46FD7" w14:textId="77777777" w:rsidR="00FE461F" w:rsidRPr="005E4BEA" w:rsidRDefault="00FE461F" w:rsidP="00FE461F">
            <w:pPr>
              <w:spacing w:line="231" w:lineRule="atLeast"/>
              <w:jc w:val="both"/>
              <w:rPr>
                <w:rFonts w:cs="Arial"/>
                <w:szCs w:val="20"/>
              </w:rPr>
            </w:pPr>
            <w:r w:rsidRPr="005E4BEA">
              <w:rPr>
                <w:rFonts w:cs="Arial"/>
                <w:szCs w:val="20"/>
              </w:rPr>
              <w:t> </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637129" w14:textId="77777777" w:rsidR="00FE461F" w:rsidRPr="005E4BEA" w:rsidRDefault="00FE461F" w:rsidP="00FE461F">
            <w:pPr>
              <w:spacing w:line="231" w:lineRule="atLeast"/>
              <w:jc w:val="both"/>
              <w:rPr>
                <w:rFonts w:cs="Arial"/>
                <w:szCs w:val="20"/>
              </w:rPr>
            </w:pPr>
            <w:r w:rsidRPr="005E4BEA">
              <w:rPr>
                <w:rFonts w:cs="Arial"/>
                <w:szCs w:val="20"/>
              </w:rPr>
              <w:t>Program</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0F8F483" w14:textId="77777777" w:rsidR="00FE461F" w:rsidRPr="005E4BEA" w:rsidRDefault="00FE461F" w:rsidP="00FE461F">
            <w:pPr>
              <w:spacing w:line="231" w:lineRule="atLeast"/>
              <w:jc w:val="both"/>
              <w:rPr>
                <w:rFonts w:cs="Arial"/>
                <w:szCs w:val="20"/>
              </w:rPr>
            </w:pPr>
            <w:r w:rsidRPr="005E4BEA">
              <w:rPr>
                <w:rFonts w:cs="Arial"/>
                <w:szCs w:val="20"/>
              </w:rPr>
              <w:t>Izvajalec</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C8E50F" w14:textId="77777777" w:rsidR="00FE461F" w:rsidRPr="005E4BEA" w:rsidRDefault="00FE461F" w:rsidP="00FE461F">
            <w:pPr>
              <w:spacing w:line="231" w:lineRule="atLeast"/>
              <w:jc w:val="both"/>
              <w:rPr>
                <w:rFonts w:cs="Arial"/>
                <w:szCs w:val="20"/>
              </w:rPr>
            </w:pPr>
            <w:r w:rsidRPr="005E4BEA">
              <w:rPr>
                <w:rFonts w:cs="Arial"/>
                <w:szCs w:val="20"/>
              </w:rPr>
              <w:t>Obseg programa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085561" w14:textId="77777777" w:rsidR="00FE461F" w:rsidRPr="005E4BEA" w:rsidRDefault="00FE461F" w:rsidP="00FE461F">
            <w:pPr>
              <w:spacing w:line="231" w:lineRule="atLeast"/>
              <w:jc w:val="both"/>
              <w:rPr>
                <w:rFonts w:cs="Arial"/>
                <w:szCs w:val="20"/>
              </w:rPr>
            </w:pPr>
            <w:r w:rsidRPr="005E4BEA">
              <w:rPr>
                <w:rFonts w:cs="Arial"/>
                <w:szCs w:val="20"/>
              </w:rPr>
              <w:t>Dodatna sredstva na letni ravni  (v EUR)</w:t>
            </w:r>
          </w:p>
        </w:tc>
      </w:tr>
      <w:tr w:rsidR="00FE461F" w:rsidRPr="005E4BEA" w14:paraId="57038A2B"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D28703" w14:textId="77777777" w:rsidR="00FE461F" w:rsidRPr="005E4BEA" w:rsidRDefault="00FE461F" w:rsidP="00FE461F">
            <w:pPr>
              <w:spacing w:line="231" w:lineRule="atLeast"/>
              <w:jc w:val="both"/>
              <w:rPr>
                <w:rFonts w:cs="Arial"/>
                <w:szCs w:val="20"/>
              </w:rPr>
            </w:pPr>
            <w:r w:rsidRPr="005E4BEA">
              <w:rPr>
                <w:rFonts w:cs="Arial"/>
                <w:szCs w:val="20"/>
              </w:rPr>
              <w:t>1</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922654" w14:textId="77777777" w:rsidR="00FE461F" w:rsidRPr="005E4BEA" w:rsidRDefault="00FE461F" w:rsidP="00FE461F">
            <w:pPr>
              <w:spacing w:line="231" w:lineRule="atLeast"/>
              <w:jc w:val="both"/>
              <w:rPr>
                <w:rFonts w:cs="Arial"/>
                <w:szCs w:val="20"/>
              </w:rPr>
            </w:pPr>
            <w:r w:rsidRPr="005E4BEA">
              <w:rPr>
                <w:rFonts w:cs="Arial"/>
                <w:szCs w:val="20"/>
              </w:rPr>
              <w:t>Povečanje števila delavcev zdravstvena nega</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3D52CBE" w14:textId="77777777" w:rsidR="00FE461F" w:rsidRPr="005E4BEA" w:rsidRDefault="00FE461F" w:rsidP="00FE461F">
            <w:pPr>
              <w:spacing w:line="231" w:lineRule="atLeast"/>
              <w:rPr>
                <w:rFonts w:cs="Arial"/>
                <w:szCs w:val="20"/>
              </w:rPr>
            </w:pPr>
            <w:r w:rsidRPr="005E4BEA">
              <w:rPr>
                <w:rFonts w:cs="Arial"/>
                <w:szCs w:val="20"/>
              </w:rPr>
              <w:t>VDC Ajdovščina - Vipava</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422791F" w14:textId="77777777" w:rsidR="00FE461F" w:rsidRPr="005E4BEA" w:rsidRDefault="00FE461F" w:rsidP="00FE461F">
            <w:pPr>
              <w:spacing w:line="231" w:lineRule="atLeast"/>
              <w:rPr>
                <w:rFonts w:cs="Arial"/>
                <w:szCs w:val="20"/>
              </w:rPr>
            </w:pPr>
            <w:r w:rsidRPr="005E4BEA">
              <w:rPr>
                <w:rFonts w:cs="Arial"/>
                <w:szCs w:val="20"/>
              </w:rPr>
              <w:t>0,5 fizioterapevt</w:t>
            </w:r>
          </w:p>
          <w:p w14:paraId="498D7D18" w14:textId="77777777" w:rsidR="00FE461F" w:rsidRPr="005E4BEA" w:rsidRDefault="00FE461F" w:rsidP="00FE461F">
            <w:pPr>
              <w:spacing w:line="231" w:lineRule="atLeast"/>
              <w:rPr>
                <w:rFonts w:cs="Arial"/>
                <w:szCs w:val="20"/>
              </w:rPr>
            </w:pPr>
            <w:r w:rsidRPr="005E4BEA">
              <w:rPr>
                <w:rFonts w:cs="Arial"/>
                <w:szCs w:val="20"/>
              </w:rPr>
              <w:t>1,0 zdravstveni tehnik</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404CB99" w14:textId="77777777" w:rsidR="00FE461F" w:rsidRPr="005E4BEA" w:rsidRDefault="00FE461F" w:rsidP="00FE461F">
            <w:pPr>
              <w:spacing w:line="231" w:lineRule="atLeast"/>
              <w:jc w:val="center"/>
              <w:rPr>
                <w:rFonts w:cs="Arial"/>
                <w:szCs w:val="20"/>
              </w:rPr>
            </w:pPr>
            <w:r w:rsidRPr="005E4BEA">
              <w:rPr>
                <w:rFonts w:cs="Arial"/>
                <w:szCs w:val="20"/>
              </w:rPr>
              <w:t>43.695,00</w:t>
            </w:r>
          </w:p>
        </w:tc>
      </w:tr>
      <w:tr w:rsidR="00FE461F" w:rsidRPr="005E4BEA" w14:paraId="3EC54E7F"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D86871" w14:textId="77777777" w:rsidR="00FE461F" w:rsidRPr="005E4BEA" w:rsidRDefault="00FE461F" w:rsidP="00FE461F">
            <w:pPr>
              <w:spacing w:line="231" w:lineRule="atLeast"/>
              <w:jc w:val="both"/>
              <w:rPr>
                <w:rFonts w:cs="Arial"/>
                <w:szCs w:val="20"/>
              </w:rPr>
            </w:pPr>
            <w:r w:rsidRPr="005E4BEA">
              <w:rPr>
                <w:rFonts w:cs="Arial"/>
                <w:szCs w:val="20"/>
              </w:rPr>
              <w:t>2</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2B8234" w14:textId="77777777" w:rsidR="00FE461F" w:rsidRPr="005E4BEA" w:rsidRDefault="00FE461F" w:rsidP="00FE461F">
            <w:pPr>
              <w:spacing w:line="231" w:lineRule="atLeast"/>
              <w:jc w:val="both"/>
              <w:rPr>
                <w:rFonts w:cs="Arial"/>
                <w:szCs w:val="20"/>
              </w:rPr>
            </w:pPr>
            <w:r w:rsidRPr="005E4BEA">
              <w:rPr>
                <w:rFonts w:cs="Arial"/>
                <w:szCs w:val="20"/>
              </w:rPr>
              <w:t>Povečanje programa zdravstvene nege in rehabilitacije</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A2EE5D9" w14:textId="77777777" w:rsidR="00FE461F" w:rsidRPr="005E4BEA" w:rsidRDefault="00FE461F" w:rsidP="00FE461F">
            <w:pPr>
              <w:spacing w:line="231" w:lineRule="atLeast"/>
              <w:jc w:val="both"/>
              <w:rPr>
                <w:rFonts w:cs="Arial"/>
                <w:szCs w:val="20"/>
              </w:rPr>
            </w:pPr>
            <w:r w:rsidRPr="005E4BEA">
              <w:rPr>
                <w:rFonts w:cs="Arial"/>
                <w:szCs w:val="20"/>
              </w:rPr>
              <w:t>VDC Kranj</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4349153" w14:textId="77777777" w:rsidR="00FE461F" w:rsidRPr="005E4BEA" w:rsidRDefault="00FE461F" w:rsidP="00FE461F">
            <w:pPr>
              <w:spacing w:line="231" w:lineRule="atLeast"/>
              <w:rPr>
                <w:rFonts w:cs="Arial"/>
                <w:szCs w:val="20"/>
              </w:rPr>
            </w:pPr>
            <w:r w:rsidRPr="005E4BEA">
              <w:rPr>
                <w:rFonts w:cs="Arial"/>
                <w:szCs w:val="20"/>
              </w:rPr>
              <w:t xml:space="preserve">2555 oskrbnih dni </w:t>
            </w:r>
          </w:p>
          <w:p w14:paraId="6FB7C84F" w14:textId="77777777" w:rsidR="00FE461F" w:rsidRPr="005E4BEA" w:rsidRDefault="00FE461F" w:rsidP="00FE461F">
            <w:pPr>
              <w:spacing w:line="231" w:lineRule="atLeast"/>
              <w:rPr>
                <w:rFonts w:cs="Arial"/>
                <w:szCs w:val="20"/>
              </w:rPr>
            </w:pPr>
            <w:r w:rsidRPr="005E4BEA">
              <w:rPr>
                <w:rFonts w:cs="Arial"/>
                <w:szCs w:val="20"/>
              </w:rPr>
              <w:t>7 uporabnikov</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8C7083" w14:textId="77777777" w:rsidR="00FE461F" w:rsidRPr="005E4BEA" w:rsidRDefault="00FE461F" w:rsidP="00FE461F">
            <w:pPr>
              <w:spacing w:line="231" w:lineRule="atLeast"/>
              <w:jc w:val="center"/>
              <w:rPr>
                <w:rFonts w:cs="Arial"/>
                <w:szCs w:val="20"/>
              </w:rPr>
            </w:pPr>
            <w:r w:rsidRPr="005E4BEA">
              <w:rPr>
                <w:rFonts w:cs="Arial"/>
                <w:szCs w:val="20"/>
              </w:rPr>
              <w:t>54.500,00</w:t>
            </w:r>
          </w:p>
        </w:tc>
      </w:tr>
      <w:tr w:rsidR="00FE461F" w:rsidRPr="005E4BEA" w14:paraId="12AA6240"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61302F" w14:textId="77777777" w:rsidR="00FE461F" w:rsidRPr="005E4BEA" w:rsidRDefault="00FE461F" w:rsidP="00FE461F">
            <w:pPr>
              <w:spacing w:line="231" w:lineRule="atLeast"/>
              <w:jc w:val="both"/>
              <w:rPr>
                <w:rFonts w:cs="Arial"/>
                <w:szCs w:val="20"/>
              </w:rPr>
            </w:pPr>
            <w:r w:rsidRPr="005E4BEA">
              <w:rPr>
                <w:rFonts w:cs="Arial"/>
                <w:szCs w:val="20"/>
              </w:rPr>
              <w:t>3</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8250F1" w14:textId="77777777" w:rsidR="00FE461F" w:rsidRPr="005E4BEA" w:rsidRDefault="00FE461F" w:rsidP="00FE461F">
            <w:pPr>
              <w:spacing w:line="231" w:lineRule="atLeast"/>
              <w:jc w:val="both"/>
              <w:rPr>
                <w:rFonts w:cs="Arial"/>
                <w:szCs w:val="20"/>
              </w:rPr>
            </w:pPr>
            <w:r w:rsidRPr="005E4BEA">
              <w:rPr>
                <w:rFonts w:cs="Arial"/>
                <w:szCs w:val="20"/>
              </w:rPr>
              <w:t>Povečanje števila delavcev zdravstvena nega</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680D8A" w14:textId="77777777" w:rsidR="00FE461F" w:rsidRPr="005E4BEA" w:rsidRDefault="00FE461F" w:rsidP="00FE461F">
            <w:pPr>
              <w:spacing w:line="231" w:lineRule="atLeast"/>
              <w:jc w:val="both"/>
              <w:rPr>
                <w:rFonts w:cs="Arial"/>
                <w:szCs w:val="20"/>
              </w:rPr>
            </w:pPr>
            <w:r w:rsidRPr="005E4BEA">
              <w:rPr>
                <w:rFonts w:cs="Arial"/>
                <w:szCs w:val="20"/>
              </w:rPr>
              <w:t>VDC Novo mesto</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9DC0E65" w14:textId="77777777" w:rsidR="00FE461F" w:rsidRPr="005E4BEA" w:rsidRDefault="00FE461F" w:rsidP="00FE461F">
            <w:pPr>
              <w:spacing w:line="231" w:lineRule="atLeast"/>
              <w:rPr>
                <w:rFonts w:cs="Arial"/>
                <w:szCs w:val="20"/>
              </w:rPr>
            </w:pPr>
            <w:r w:rsidRPr="005E4BEA">
              <w:rPr>
                <w:rFonts w:cs="Arial"/>
                <w:szCs w:val="20"/>
              </w:rPr>
              <w:t>0,25 zdravnika specialista</w:t>
            </w:r>
          </w:p>
          <w:p w14:paraId="1A21196D" w14:textId="77777777" w:rsidR="00FE461F" w:rsidRPr="005E4BEA" w:rsidRDefault="00FE461F" w:rsidP="00FE461F">
            <w:pPr>
              <w:spacing w:line="231" w:lineRule="atLeast"/>
              <w:rPr>
                <w:rFonts w:cs="Arial"/>
                <w:szCs w:val="20"/>
              </w:rPr>
            </w:pPr>
            <w:r w:rsidRPr="005E4BEA">
              <w:rPr>
                <w:rFonts w:cs="Arial"/>
                <w:szCs w:val="20"/>
              </w:rPr>
              <w:t>1,0 delovnega terapevta</w:t>
            </w:r>
          </w:p>
          <w:p w14:paraId="02D9312F" w14:textId="77777777" w:rsidR="00FE461F" w:rsidRPr="005E4BEA" w:rsidRDefault="00FE461F" w:rsidP="00FE461F">
            <w:pPr>
              <w:spacing w:line="231" w:lineRule="atLeast"/>
              <w:rPr>
                <w:rFonts w:cs="Arial"/>
                <w:szCs w:val="20"/>
              </w:rPr>
            </w:pPr>
            <w:r w:rsidRPr="005E4BEA">
              <w:rPr>
                <w:rFonts w:cs="Arial"/>
                <w:szCs w:val="20"/>
              </w:rPr>
              <w:t>1,0 higienika</w:t>
            </w:r>
          </w:p>
          <w:p w14:paraId="61408F98" w14:textId="77777777" w:rsidR="00FE461F" w:rsidRPr="005E4BEA" w:rsidRDefault="00FE461F" w:rsidP="00FE461F">
            <w:pPr>
              <w:spacing w:line="231" w:lineRule="atLeast"/>
              <w:rPr>
                <w:rFonts w:cs="Arial"/>
                <w:szCs w:val="20"/>
              </w:rPr>
            </w:pPr>
            <w:r w:rsidRPr="005E4BEA">
              <w:rPr>
                <w:rFonts w:cs="Arial"/>
                <w:szCs w:val="20"/>
              </w:rPr>
              <w:t>2,0 zdravstveni tehnik</w:t>
            </w:r>
          </w:p>
          <w:p w14:paraId="04D1AAEB" w14:textId="77777777" w:rsidR="00FE461F" w:rsidRPr="005E4BEA" w:rsidRDefault="00FE461F" w:rsidP="00FE461F">
            <w:pPr>
              <w:spacing w:line="231" w:lineRule="atLeast"/>
              <w:rPr>
                <w:rFonts w:cs="Arial"/>
                <w:szCs w:val="20"/>
              </w:rPr>
            </w:pPr>
            <w:r w:rsidRPr="005E4BEA">
              <w:rPr>
                <w:rFonts w:cs="Arial"/>
                <w:szCs w:val="20"/>
              </w:rPr>
              <w:t>2,0 bolničar/negovalec</w:t>
            </w:r>
          </w:p>
          <w:p w14:paraId="7A96A4AD" w14:textId="77777777" w:rsidR="00FE461F" w:rsidRPr="005E4BEA" w:rsidRDefault="00FE461F" w:rsidP="00FE461F">
            <w:pPr>
              <w:spacing w:line="231" w:lineRule="atLeast"/>
              <w:rPr>
                <w:rFonts w:cs="Arial"/>
                <w:szCs w:val="20"/>
              </w:rPr>
            </w:pPr>
            <w:r w:rsidRPr="005E4BEA">
              <w:rPr>
                <w:rFonts w:cs="Arial"/>
                <w:szCs w:val="20"/>
              </w:rPr>
              <w:t>2,0 strežnica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38809B" w14:textId="77777777" w:rsidR="00FE461F" w:rsidRPr="005E4BEA" w:rsidRDefault="00FE461F" w:rsidP="00FE461F">
            <w:pPr>
              <w:spacing w:line="231" w:lineRule="atLeast"/>
              <w:jc w:val="center"/>
              <w:rPr>
                <w:rFonts w:cs="Arial"/>
                <w:szCs w:val="20"/>
              </w:rPr>
            </w:pPr>
            <w:r w:rsidRPr="005E4BEA">
              <w:rPr>
                <w:rFonts w:cs="Arial"/>
                <w:szCs w:val="20"/>
              </w:rPr>
              <w:t>130.230,00</w:t>
            </w:r>
          </w:p>
        </w:tc>
      </w:tr>
      <w:tr w:rsidR="00FE461F" w:rsidRPr="00E82B4D" w14:paraId="241F19E5"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87DD9C"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04D7FE5" w14:textId="77777777" w:rsidR="00FE461F" w:rsidRPr="00E82B4D" w:rsidRDefault="00FE461F" w:rsidP="00FE461F">
            <w:pPr>
              <w:spacing w:line="231" w:lineRule="atLeast"/>
              <w:jc w:val="both"/>
              <w:rPr>
                <w:rFonts w:cs="Arial"/>
                <w:szCs w:val="20"/>
              </w:rPr>
            </w:pPr>
            <w:r w:rsidRPr="00E82B4D">
              <w:rPr>
                <w:rFonts w:cs="Arial"/>
                <w:szCs w:val="20"/>
              </w:rPr>
              <w:t>Povečanje programa zdravstvene nege in rehabilitacije</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305885" w14:textId="77777777" w:rsidR="00FE461F" w:rsidRPr="00E82B4D" w:rsidRDefault="00FE461F" w:rsidP="00FE461F">
            <w:pPr>
              <w:spacing w:line="231" w:lineRule="atLeast"/>
              <w:jc w:val="both"/>
              <w:rPr>
                <w:rFonts w:cs="Arial"/>
                <w:szCs w:val="20"/>
              </w:rPr>
            </w:pPr>
            <w:r w:rsidRPr="00E82B4D">
              <w:rPr>
                <w:rFonts w:cs="Arial"/>
                <w:szCs w:val="20"/>
              </w:rPr>
              <w:t>VDC Novo mesto</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1C0C87A" w14:textId="77777777" w:rsidR="00FE461F" w:rsidRPr="00E82B4D" w:rsidRDefault="00FE461F" w:rsidP="00FE461F">
            <w:pPr>
              <w:spacing w:line="231" w:lineRule="atLeast"/>
              <w:rPr>
                <w:rFonts w:cs="Arial"/>
                <w:szCs w:val="20"/>
              </w:rPr>
            </w:pPr>
            <w:r w:rsidRPr="00E82B4D">
              <w:rPr>
                <w:rFonts w:cs="Arial"/>
                <w:szCs w:val="20"/>
              </w:rPr>
              <w:t xml:space="preserve">2115 oskrbnih dni </w:t>
            </w:r>
          </w:p>
          <w:p w14:paraId="5BD7A1D9" w14:textId="77777777" w:rsidR="00FE461F" w:rsidRPr="00E82B4D" w:rsidRDefault="00FE461F" w:rsidP="00FE461F">
            <w:pPr>
              <w:spacing w:line="231" w:lineRule="atLeast"/>
              <w:rPr>
                <w:rFonts w:cs="Arial"/>
                <w:szCs w:val="20"/>
              </w:rPr>
            </w:pPr>
            <w:r w:rsidRPr="00E82B4D">
              <w:rPr>
                <w:rFonts w:cs="Arial"/>
                <w:szCs w:val="20"/>
              </w:rPr>
              <w:t>15 uporabnikov</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68DE25" w14:textId="77777777" w:rsidR="00FE461F" w:rsidRPr="00E82B4D" w:rsidRDefault="00FE461F" w:rsidP="00FE461F">
            <w:pPr>
              <w:spacing w:line="231" w:lineRule="atLeast"/>
              <w:jc w:val="center"/>
              <w:rPr>
                <w:rFonts w:cs="Arial"/>
                <w:szCs w:val="20"/>
              </w:rPr>
            </w:pPr>
            <w:r w:rsidRPr="00E82B4D">
              <w:rPr>
                <w:rFonts w:cs="Arial"/>
                <w:szCs w:val="20"/>
              </w:rPr>
              <w:t>32.994,00</w:t>
            </w:r>
          </w:p>
        </w:tc>
      </w:tr>
      <w:tr w:rsidR="00FE461F" w:rsidRPr="00E82B4D" w14:paraId="375DDAD4"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3121C2" w14:textId="77777777" w:rsidR="00FE461F" w:rsidRPr="00E82B4D" w:rsidRDefault="00FE461F" w:rsidP="00FE461F">
            <w:pPr>
              <w:spacing w:line="231" w:lineRule="atLeast"/>
              <w:jc w:val="both"/>
              <w:rPr>
                <w:rFonts w:cs="Arial"/>
                <w:szCs w:val="20"/>
              </w:rPr>
            </w:pPr>
            <w:r w:rsidRPr="00E82B4D">
              <w:rPr>
                <w:rFonts w:cs="Arial"/>
                <w:szCs w:val="20"/>
              </w:rPr>
              <w:t>4</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FE8F8D3" w14:textId="77777777" w:rsidR="00FE461F" w:rsidRPr="00E82B4D" w:rsidRDefault="00FE461F" w:rsidP="00FE461F">
            <w:pPr>
              <w:spacing w:line="231" w:lineRule="atLeast"/>
              <w:jc w:val="both"/>
              <w:rPr>
                <w:rFonts w:cs="Arial"/>
                <w:szCs w:val="20"/>
              </w:rPr>
            </w:pPr>
            <w:r w:rsidRPr="00E82B4D">
              <w:rPr>
                <w:rFonts w:cs="Arial"/>
                <w:szCs w:val="20"/>
              </w:rPr>
              <w:t>Povečanje števila delavcev zdravstvena nega</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79E9F53" w14:textId="77777777" w:rsidR="00FE461F" w:rsidRPr="00E82B4D" w:rsidRDefault="00FE461F" w:rsidP="00FE461F">
            <w:pPr>
              <w:spacing w:line="231" w:lineRule="atLeast"/>
              <w:jc w:val="both"/>
              <w:rPr>
                <w:rFonts w:cs="Arial"/>
                <w:szCs w:val="20"/>
              </w:rPr>
            </w:pPr>
            <w:r w:rsidRPr="00E82B4D">
              <w:rPr>
                <w:rFonts w:cs="Arial"/>
                <w:szCs w:val="20"/>
              </w:rPr>
              <w:t>VDC Saša</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B5329E9" w14:textId="77777777" w:rsidR="00FE461F" w:rsidRPr="00E82B4D" w:rsidRDefault="00FE461F" w:rsidP="00FE461F">
            <w:pPr>
              <w:spacing w:line="231" w:lineRule="atLeast"/>
              <w:rPr>
                <w:rFonts w:cs="Arial"/>
                <w:szCs w:val="20"/>
              </w:rPr>
            </w:pPr>
            <w:r w:rsidRPr="00E82B4D">
              <w:rPr>
                <w:rFonts w:cs="Arial"/>
                <w:szCs w:val="20"/>
              </w:rPr>
              <w:t>1,0 diplomirana medicinska sestra</w:t>
            </w:r>
          </w:p>
          <w:p w14:paraId="407BCC07" w14:textId="77777777" w:rsidR="00FE461F" w:rsidRPr="00E82B4D" w:rsidRDefault="00FE461F" w:rsidP="00FE461F">
            <w:pPr>
              <w:spacing w:line="231" w:lineRule="atLeast"/>
              <w:rPr>
                <w:rFonts w:cs="Arial"/>
                <w:szCs w:val="20"/>
              </w:rPr>
            </w:pPr>
            <w:r w:rsidRPr="00E82B4D">
              <w:rPr>
                <w:rFonts w:cs="Arial"/>
                <w:szCs w:val="20"/>
              </w:rPr>
              <w:t>1,0 zdravstveni tehnik</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84EF019" w14:textId="77777777" w:rsidR="00FE461F" w:rsidRPr="00E82B4D" w:rsidRDefault="00FE461F" w:rsidP="00FE461F">
            <w:pPr>
              <w:spacing w:line="231" w:lineRule="atLeast"/>
              <w:jc w:val="center"/>
              <w:rPr>
                <w:rFonts w:cs="Arial"/>
                <w:szCs w:val="20"/>
              </w:rPr>
            </w:pPr>
            <w:r w:rsidRPr="00E82B4D">
              <w:rPr>
                <w:rFonts w:cs="Arial"/>
                <w:szCs w:val="20"/>
              </w:rPr>
              <w:t>74.536,00</w:t>
            </w:r>
          </w:p>
        </w:tc>
      </w:tr>
      <w:tr w:rsidR="00FE461F" w:rsidRPr="005E4BEA" w14:paraId="46E62681"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A0D880" w14:textId="77777777" w:rsidR="00FE461F" w:rsidRPr="00E82B4D" w:rsidRDefault="00FE461F" w:rsidP="00FE461F">
            <w:pPr>
              <w:spacing w:line="231" w:lineRule="atLeast"/>
              <w:jc w:val="both"/>
              <w:rPr>
                <w:rFonts w:cs="Arial"/>
                <w:szCs w:val="20"/>
              </w:rPr>
            </w:pPr>
            <w:r w:rsidRPr="00E82B4D">
              <w:rPr>
                <w:rFonts w:cs="Arial"/>
                <w:szCs w:val="20"/>
              </w:rPr>
              <w:t>5</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9E660B" w14:textId="77777777" w:rsidR="00FE461F" w:rsidRPr="00E82B4D" w:rsidRDefault="00FE461F" w:rsidP="00FE461F">
            <w:pPr>
              <w:spacing w:line="231" w:lineRule="atLeast"/>
              <w:jc w:val="both"/>
              <w:rPr>
                <w:rFonts w:cs="Arial"/>
                <w:szCs w:val="20"/>
              </w:rPr>
            </w:pPr>
            <w:r w:rsidRPr="00E82B4D">
              <w:rPr>
                <w:rFonts w:cs="Arial"/>
                <w:szCs w:val="20"/>
              </w:rPr>
              <w:t>Povečanje števila delavcev zdravstvena nega</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BD68AB" w14:textId="77777777" w:rsidR="00FE461F" w:rsidRPr="00E82B4D" w:rsidRDefault="00FE461F" w:rsidP="00FE461F">
            <w:pPr>
              <w:spacing w:line="231" w:lineRule="atLeast"/>
              <w:jc w:val="both"/>
              <w:rPr>
                <w:rFonts w:cs="Arial"/>
                <w:szCs w:val="20"/>
              </w:rPr>
            </w:pPr>
            <w:r w:rsidRPr="00E82B4D">
              <w:rPr>
                <w:rFonts w:cs="Arial"/>
                <w:szCs w:val="20"/>
              </w:rPr>
              <w:t>VDC Tončke Hočevar</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3655C8F" w14:textId="77777777" w:rsidR="00FE461F" w:rsidRPr="00E82B4D" w:rsidRDefault="00FE461F" w:rsidP="00FE461F">
            <w:pPr>
              <w:spacing w:line="231" w:lineRule="atLeast"/>
              <w:rPr>
                <w:rFonts w:cs="Arial"/>
                <w:szCs w:val="20"/>
              </w:rPr>
            </w:pPr>
            <w:r w:rsidRPr="00E82B4D">
              <w:rPr>
                <w:rFonts w:cs="Arial"/>
                <w:szCs w:val="20"/>
              </w:rPr>
              <w:t>0,25 zdravnika specialista</w:t>
            </w:r>
          </w:p>
          <w:p w14:paraId="129CBE48" w14:textId="77777777" w:rsidR="00FE461F" w:rsidRPr="00E82B4D" w:rsidRDefault="00FE461F" w:rsidP="00FE461F">
            <w:pPr>
              <w:spacing w:line="231" w:lineRule="atLeast"/>
              <w:rPr>
                <w:rFonts w:cs="Arial"/>
                <w:szCs w:val="20"/>
              </w:rPr>
            </w:pPr>
            <w:r w:rsidRPr="00E82B4D">
              <w:rPr>
                <w:rFonts w:cs="Arial"/>
                <w:szCs w:val="20"/>
              </w:rPr>
              <w:t>1,0 higienika</w:t>
            </w:r>
          </w:p>
          <w:p w14:paraId="223C8C07" w14:textId="77777777" w:rsidR="00FE461F" w:rsidRPr="00E82B4D" w:rsidRDefault="00FE461F" w:rsidP="00FE461F">
            <w:pPr>
              <w:spacing w:line="231" w:lineRule="atLeast"/>
              <w:rPr>
                <w:rFonts w:cs="Arial"/>
                <w:szCs w:val="20"/>
              </w:rPr>
            </w:pPr>
            <w:r w:rsidRPr="00E82B4D">
              <w:rPr>
                <w:rFonts w:cs="Arial"/>
                <w:szCs w:val="20"/>
              </w:rPr>
              <w:t>0,09 diplomirana medicinska sestra</w:t>
            </w:r>
          </w:p>
          <w:p w14:paraId="07D4A10B" w14:textId="77777777" w:rsidR="00FE461F" w:rsidRPr="00E82B4D" w:rsidRDefault="00FE461F" w:rsidP="00FE461F">
            <w:pPr>
              <w:spacing w:line="231" w:lineRule="atLeast"/>
              <w:rPr>
                <w:rFonts w:cs="Arial"/>
                <w:szCs w:val="20"/>
              </w:rPr>
            </w:pPr>
            <w:r w:rsidRPr="00E82B4D">
              <w:rPr>
                <w:rFonts w:cs="Arial"/>
                <w:szCs w:val="20"/>
              </w:rPr>
              <w:t>0,36 zdravstveni tehnik</w:t>
            </w:r>
          </w:p>
          <w:p w14:paraId="0332D4D4" w14:textId="77777777" w:rsidR="00FE461F" w:rsidRPr="00E82B4D" w:rsidRDefault="00FE461F" w:rsidP="00FE461F">
            <w:pPr>
              <w:spacing w:line="231" w:lineRule="atLeast"/>
              <w:rPr>
                <w:rFonts w:cs="Arial"/>
                <w:szCs w:val="20"/>
              </w:rPr>
            </w:pPr>
            <w:r w:rsidRPr="00E82B4D">
              <w:rPr>
                <w:rFonts w:cs="Arial"/>
                <w:szCs w:val="20"/>
              </w:rPr>
              <w:t>0,52 bolničar/negovalec</w:t>
            </w:r>
          </w:p>
          <w:p w14:paraId="501B7479" w14:textId="77777777" w:rsidR="00FE461F" w:rsidRPr="00E82B4D" w:rsidRDefault="00FE461F" w:rsidP="00FE461F">
            <w:pPr>
              <w:spacing w:line="231" w:lineRule="atLeast"/>
              <w:rPr>
                <w:rFonts w:cs="Arial"/>
                <w:szCs w:val="20"/>
              </w:rPr>
            </w:pPr>
            <w:r w:rsidRPr="00E82B4D">
              <w:rPr>
                <w:rFonts w:cs="Arial"/>
                <w:szCs w:val="20"/>
              </w:rPr>
              <w:t>0,15 strežnica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502D49" w14:textId="77777777" w:rsidR="00FE461F" w:rsidRPr="005E4BEA" w:rsidRDefault="00FE461F" w:rsidP="00FE461F">
            <w:pPr>
              <w:spacing w:line="231" w:lineRule="atLeast"/>
              <w:jc w:val="center"/>
              <w:rPr>
                <w:rFonts w:cs="Arial"/>
                <w:szCs w:val="20"/>
              </w:rPr>
            </w:pPr>
            <w:r w:rsidRPr="00E82B4D">
              <w:rPr>
                <w:rFonts w:cs="Arial"/>
                <w:szCs w:val="20"/>
              </w:rPr>
              <w:t>46.040,00</w:t>
            </w:r>
          </w:p>
        </w:tc>
      </w:tr>
      <w:tr w:rsidR="00FE461F" w:rsidRPr="005E4BEA" w14:paraId="6A4CD6B9"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600CAA"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D29B84" w14:textId="77777777" w:rsidR="00FE461F" w:rsidRPr="005E4BEA" w:rsidRDefault="00FE461F" w:rsidP="00FE461F">
            <w:pPr>
              <w:spacing w:line="231" w:lineRule="atLeast"/>
              <w:jc w:val="both"/>
              <w:rPr>
                <w:rFonts w:cs="Arial"/>
                <w:szCs w:val="20"/>
              </w:rPr>
            </w:pPr>
            <w:r w:rsidRPr="005E4BEA">
              <w:rPr>
                <w:rFonts w:cs="Arial"/>
                <w:szCs w:val="20"/>
              </w:rPr>
              <w:t>Povečanje programa zdravstvene nege in rehabilitacije</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A4F4EB" w14:textId="77777777" w:rsidR="00FE461F" w:rsidRPr="005E4BEA" w:rsidRDefault="00FE461F" w:rsidP="00FE461F">
            <w:pPr>
              <w:spacing w:line="231" w:lineRule="atLeast"/>
              <w:jc w:val="both"/>
              <w:rPr>
                <w:rFonts w:cs="Arial"/>
                <w:szCs w:val="20"/>
              </w:rPr>
            </w:pPr>
            <w:r w:rsidRPr="005E4BEA">
              <w:rPr>
                <w:rFonts w:cs="Arial"/>
                <w:szCs w:val="20"/>
              </w:rPr>
              <w:t>VDC Tončke Hočevar</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A54864E" w14:textId="77777777" w:rsidR="00FE461F" w:rsidRPr="005E4BEA" w:rsidRDefault="00FE461F" w:rsidP="00FE461F">
            <w:pPr>
              <w:spacing w:line="231" w:lineRule="atLeast"/>
              <w:rPr>
                <w:rFonts w:cs="Arial"/>
                <w:szCs w:val="20"/>
              </w:rPr>
            </w:pPr>
            <w:r w:rsidRPr="005E4BEA">
              <w:rPr>
                <w:rFonts w:cs="Arial"/>
                <w:szCs w:val="20"/>
              </w:rPr>
              <w:t xml:space="preserve">2500 oskrbnih dni </w:t>
            </w:r>
          </w:p>
          <w:p w14:paraId="47B13B3F" w14:textId="77777777" w:rsidR="00FE461F" w:rsidRPr="005E4BEA" w:rsidRDefault="00FE461F" w:rsidP="00FE461F">
            <w:pPr>
              <w:spacing w:line="231" w:lineRule="atLeast"/>
              <w:rPr>
                <w:rFonts w:cs="Arial"/>
                <w:szCs w:val="20"/>
              </w:rPr>
            </w:pPr>
            <w:r w:rsidRPr="005E4BEA">
              <w:rPr>
                <w:rFonts w:cs="Arial"/>
                <w:szCs w:val="20"/>
              </w:rPr>
              <w:t>10 uporabnikov</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53AC2B7" w14:textId="77777777" w:rsidR="00FE461F" w:rsidRPr="005E4BEA" w:rsidRDefault="00FE461F" w:rsidP="00FE461F">
            <w:pPr>
              <w:spacing w:line="231" w:lineRule="atLeast"/>
              <w:jc w:val="center"/>
              <w:rPr>
                <w:rFonts w:cs="Arial"/>
                <w:szCs w:val="20"/>
              </w:rPr>
            </w:pPr>
            <w:r w:rsidRPr="005E4BEA">
              <w:rPr>
                <w:rFonts w:cs="Arial"/>
                <w:szCs w:val="20"/>
              </w:rPr>
              <w:t>35.000,00</w:t>
            </w:r>
          </w:p>
        </w:tc>
      </w:tr>
      <w:tr w:rsidR="00FE461F" w:rsidRPr="005E4BEA" w14:paraId="2E109A52"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D654F2" w14:textId="77777777" w:rsidR="00FE461F" w:rsidRPr="005E4BEA" w:rsidRDefault="00FE461F" w:rsidP="00FE461F">
            <w:pPr>
              <w:spacing w:line="231" w:lineRule="atLeast"/>
              <w:jc w:val="both"/>
              <w:rPr>
                <w:rFonts w:cs="Arial"/>
                <w:szCs w:val="20"/>
              </w:rPr>
            </w:pPr>
            <w:r w:rsidRPr="005E4BEA">
              <w:rPr>
                <w:rFonts w:cs="Arial"/>
                <w:szCs w:val="20"/>
              </w:rPr>
              <w:t>6</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985844E" w14:textId="77777777" w:rsidR="00FE461F" w:rsidRPr="005E4BEA" w:rsidRDefault="00FE461F" w:rsidP="00FE461F">
            <w:pPr>
              <w:spacing w:line="231" w:lineRule="atLeast"/>
              <w:jc w:val="both"/>
              <w:rPr>
                <w:rFonts w:cs="Arial"/>
                <w:szCs w:val="20"/>
              </w:rPr>
            </w:pPr>
            <w:r w:rsidRPr="005E4BEA">
              <w:rPr>
                <w:rFonts w:cs="Arial"/>
                <w:szCs w:val="20"/>
              </w:rPr>
              <w:t xml:space="preserve">Povečanje števila delavcev zdravstvene nege </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318D9C" w14:textId="77777777" w:rsidR="00FE461F" w:rsidRPr="005E4BEA" w:rsidRDefault="00FE461F" w:rsidP="00FE461F">
            <w:pPr>
              <w:spacing w:line="231" w:lineRule="atLeast"/>
              <w:jc w:val="both"/>
              <w:rPr>
                <w:rFonts w:cs="Arial"/>
                <w:szCs w:val="20"/>
              </w:rPr>
            </w:pPr>
            <w:r w:rsidRPr="005E4BEA">
              <w:rPr>
                <w:rFonts w:cs="Arial"/>
                <w:szCs w:val="20"/>
              </w:rPr>
              <w:t>VDC Zasavje</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127B60" w14:textId="77777777" w:rsidR="00FE461F" w:rsidRPr="005E4BEA" w:rsidRDefault="00FE461F" w:rsidP="00FE461F">
            <w:pPr>
              <w:spacing w:line="231" w:lineRule="atLeast"/>
              <w:rPr>
                <w:rFonts w:cs="Arial"/>
                <w:szCs w:val="20"/>
              </w:rPr>
            </w:pPr>
            <w:r w:rsidRPr="005E4BEA">
              <w:rPr>
                <w:rFonts w:cs="Arial"/>
                <w:szCs w:val="20"/>
              </w:rPr>
              <w:t xml:space="preserve">1,0 tehnik zdravstvene nege </w:t>
            </w:r>
          </w:p>
          <w:p w14:paraId="4A140CAF" w14:textId="77777777" w:rsidR="00FE461F" w:rsidRPr="005E4BEA" w:rsidRDefault="00FE461F" w:rsidP="00FE461F">
            <w:pPr>
              <w:spacing w:line="231" w:lineRule="atLeast"/>
              <w:jc w:val="both"/>
              <w:rPr>
                <w:rFonts w:cs="Arial"/>
                <w:szCs w:val="20"/>
              </w:rPr>
            </w:pP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E376452" w14:textId="77777777" w:rsidR="00FE461F" w:rsidRPr="005E4BEA" w:rsidRDefault="00FE461F" w:rsidP="00FE461F">
            <w:pPr>
              <w:spacing w:line="231" w:lineRule="atLeast"/>
              <w:jc w:val="center"/>
              <w:rPr>
                <w:rFonts w:cs="Arial"/>
                <w:szCs w:val="20"/>
              </w:rPr>
            </w:pPr>
            <w:r w:rsidRPr="005E4BEA">
              <w:rPr>
                <w:rFonts w:cs="Arial"/>
                <w:szCs w:val="20"/>
              </w:rPr>
              <w:t>20.000,00</w:t>
            </w:r>
          </w:p>
        </w:tc>
      </w:tr>
      <w:tr w:rsidR="00FE461F" w:rsidRPr="005E4BEA" w14:paraId="2671DA79"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FD116E"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929A68" w14:textId="77777777" w:rsidR="00FE461F" w:rsidRPr="005E4BEA" w:rsidRDefault="00FE461F" w:rsidP="00FE461F">
            <w:pPr>
              <w:spacing w:line="231" w:lineRule="atLeast"/>
              <w:jc w:val="both"/>
              <w:rPr>
                <w:rFonts w:cs="Arial"/>
                <w:szCs w:val="20"/>
              </w:rPr>
            </w:pPr>
            <w:r w:rsidRPr="005E4BEA">
              <w:rPr>
                <w:rFonts w:cs="Arial"/>
                <w:szCs w:val="20"/>
              </w:rPr>
              <w:t>Povečanje programa zdravstvene nege in rehabilitacije</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33A3B69" w14:textId="77777777" w:rsidR="00FE461F" w:rsidRPr="005E4BEA" w:rsidRDefault="00FE461F" w:rsidP="00FE461F">
            <w:pPr>
              <w:spacing w:line="231" w:lineRule="atLeast"/>
              <w:jc w:val="both"/>
              <w:rPr>
                <w:rFonts w:cs="Arial"/>
                <w:szCs w:val="20"/>
              </w:rPr>
            </w:pPr>
            <w:r w:rsidRPr="005E4BEA">
              <w:rPr>
                <w:rFonts w:cs="Arial"/>
                <w:szCs w:val="20"/>
              </w:rPr>
              <w:t>VDC Zasavje</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05E464" w14:textId="77777777" w:rsidR="00FE461F" w:rsidRPr="005E4BEA" w:rsidRDefault="00FE461F" w:rsidP="00FE461F">
            <w:pPr>
              <w:spacing w:line="231" w:lineRule="atLeast"/>
              <w:rPr>
                <w:rFonts w:cs="Arial"/>
                <w:szCs w:val="20"/>
              </w:rPr>
            </w:pPr>
            <w:r w:rsidRPr="005E4BEA">
              <w:rPr>
                <w:rFonts w:cs="Arial"/>
                <w:szCs w:val="20"/>
              </w:rPr>
              <w:t xml:space="preserve">1460 oskrbnih dni </w:t>
            </w:r>
          </w:p>
          <w:p w14:paraId="4917ACFA" w14:textId="77777777" w:rsidR="00FE461F" w:rsidRPr="005E4BEA" w:rsidRDefault="00FE461F" w:rsidP="00FE461F">
            <w:pPr>
              <w:spacing w:line="231" w:lineRule="atLeast"/>
              <w:rPr>
                <w:rFonts w:cs="Arial"/>
                <w:szCs w:val="20"/>
              </w:rPr>
            </w:pPr>
            <w:r w:rsidRPr="005E4BEA">
              <w:rPr>
                <w:rFonts w:cs="Arial"/>
                <w:szCs w:val="20"/>
              </w:rPr>
              <w:t>4 uporabniki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C53D07B" w14:textId="77777777" w:rsidR="00FE461F" w:rsidRPr="005E4BEA" w:rsidRDefault="00FE461F" w:rsidP="00FE461F">
            <w:pPr>
              <w:spacing w:line="231" w:lineRule="atLeast"/>
              <w:jc w:val="center"/>
              <w:rPr>
                <w:rFonts w:cs="Arial"/>
                <w:szCs w:val="20"/>
              </w:rPr>
            </w:pPr>
            <w:r w:rsidRPr="005E4BEA">
              <w:rPr>
                <w:rFonts w:cs="Arial"/>
                <w:szCs w:val="20"/>
              </w:rPr>
              <w:t>27.433,00</w:t>
            </w:r>
          </w:p>
        </w:tc>
      </w:tr>
      <w:tr w:rsidR="00FE461F" w:rsidRPr="005E4BEA" w14:paraId="242A4B71"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D71AFC"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F333D3D" w14:textId="77777777" w:rsidR="00FE461F" w:rsidRPr="005E4BEA" w:rsidRDefault="00FE461F" w:rsidP="00FE461F">
            <w:pPr>
              <w:spacing w:line="231" w:lineRule="atLeast"/>
              <w:jc w:val="both"/>
              <w:rPr>
                <w:rFonts w:cs="Arial"/>
                <w:szCs w:val="20"/>
              </w:rPr>
            </w:pPr>
            <w:r w:rsidRPr="005E4BEA">
              <w:rPr>
                <w:rFonts w:cs="Arial"/>
                <w:szCs w:val="20"/>
              </w:rPr>
              <w:t>Skupaj</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BC14B91" w14:textId="77777777" w:rsidR="00FE461F" w:rsidRPr="005E4BEA" w:rsidRDefault="00FE461F" w:rsidP="00FE461F">
            <w:pPr>
              <w:spacing w:line="231" w:lineRule="atLeast"/>
              <w:jc w:val="both"/>
              <w:rPr>
                <w:rFonts w:cs="Arial"/>
                <w:szCs w:val="20"/>
              </w:rPr>
            </w:pP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7CBDA2" w14:textId="77777777" w:rsidR="00FE461F" w:rsidRPr="005E4BEA" w:rsidRDefault="00FE461F" w:rsidP="00FE461F">
            <w:pPr>
              <w:spacing w:line="231" w:lineRule="atLeast"/>
              <w:jc w:val="both"/>
              <w:rPr>
                <w:rFonts w:cs="Arial"/>
                <w:szCs w:val="20"/>
              </w:rPr>
            </w:pP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983E664" w14:textId="77777777" w:rsidR="00FE461F" w:rsidRPr="005E4BEA" w:rsidRDefault="00FE461F" w:rsidP="00FE461F">
            <w:pPr>
              <w:spacing w:line="231" w:lineRule="atLeast"/>
              <w:jc w:val="center"/>
              <w:rPr>
                <w:rFonts w:cs="Arial"/>
                <w:b/>
                <w:szCs w:val="20"/>
              </w:rPr>
            </w:pPr>
            <w:r w:rsidRPr="005E4BEA">
              <w:rPr>
                <w:rFonts w:cs="Arial"/>
                <w:b/>
                <w:szCs w:val="20"/>
              </w:rPr>
              <w:t>464.428,00</w:t>
            </w:r>
          </w:p>
        </w:tc>
      </w:tr>
    </w:tbl>
    <w:p w14:paraId="059D01F9" w14:textId="77777777" w:rsidR="00FE461F" w:rsidRPr="005E4BEA" w:rsidRDefault="00FE461F" w:rsidP="00FE461F">
      <w:pPr>
        <w:numPr>
          <w:ilvl w:val="12"/>
          <w:numId w:val="0"/>
        </w:numPr>
        <w:spacing w:line="240" w:lineRule="auto"/>
        <w:rPr>
          <w:rFonts w:cs="Arial"/>
          <w:b/>
          <w:bCs/>
          <w:szCs w:val="20"/>
        </w:rPr>
      </w:pPr>
    </w:p>
    <w:p w14:paraId="736171B7" w14:textId="77777777" w:rsidR="00FE461F" w:rsidRPr="005E4BEA" w:rsidRDefault="00FE461F" w:rsidP="00FE461F">
      <w:pPr>
        <w:spacing w:line="240" w:lineRule="auto"/>
        <w:jc w:val="both"/>
        <w:rPr>
          <w:rFonts w:cs="Arial"/>
          <w:color w:val="808080" w:themeColor="background1" w:themeShade="80"/>
          <w:szCs w:val="20"/>
        </w:rPr>
      </w:pPr>
    </w:p>
    <w:p w14:paraId="7C546586" w14:textId="77777777" w:rsidR="00FE461F" w:rsidRPr="005E4BEA" w:rsidRDefault="00FE461F" w:rsidP="00FE461F">
      <w:pPr>
        <w:spacing w:line="240" w:lineRule="auto"/>
        <w:jc w:val="both"/>
        <w:rPr>
          <w:rFonts w:cs="Arial"/>
          <w:bCs/>
          <w:color w:val="808080" w:themeColor="background1" w:themeShade="80"/>
          <w:szCs w:val="20"/>
        </w:rPr>
      </w:pPr>
      <w:r w:rsidRPr="005E4BEA">
        <w:rPr>
          <w:rFonts w:cs="Arial"/>
          <w:color w:val="808080" w:themeColor="background1" w:themeShade="80"/>
          <w:szCs w:val="20"/>
        </w:rPr>
        <w:t xml:space="preserve">Predlog za povečanje kadra pri </w:t>
      </w:r>
      <w:r w:rsidRPr="005E4BEA">
        <w:rPr>
          <w:rFonts w:cs="Arial"/>
          <w:b/>
          <w:bCs/>
          <w:color w:val="808080" w:themeColor="background1" w:themeShade="80"/>
          <w:szCs w:val="20"/>
        </w:rPr>
        <w:t>centrih za sluh in govor</w:t>
      </w:r>
      <w:r w:rsidRPr="005E4BEA">
        <w:rPr>
          <w:rFonts w:cs="Arial"/>
          <w:color w:val="808080" w:themeColor="background1" w:themeShade="80"/>
          <w:szCs w:val="20"/>
        </w:rPr>
        <w:t xml:space="preserve"> (CRSG Portorož, CSG Maribor, ZGN Ljubljana) upošteva porast otrok z več motnjami ter</w:t>
      </w:r>
      <w:r w:rsidRPr="005E4BEA">
        <w:rPr>
          <w:rFonts w:cs="Arial"/>
          <w:bCs/>
          <w:color w:val="808080" w:themeColor="background1" w:themeShade="80"/>
          <w:szCs w:val="20"/>
        </w:rPr>
        <w:t xml:space="preserve"> povečano obravnavo vedno večjega število oseb s kompleksnejšimi motnjami. </w:t>
      </w:r>
      <w:r w:rsidRPr="005E4BEA">
        <w:rPr>
          <w:rFonts w:cs="Arial"/>
          <w:color w:val="808080" w:themeColor="background1" w:themeShade="80"/>
          <w:szCs w:val="20"/>
        </w:rPr>
        <w:t xml:space="preserve">V obravnavi je vse več otrok z motnjami avtističnega spektra. </w:t>
      </w:r>
    </w:p>
    <w:p w14:paraId="4CC7C32F" w14:textId="77777777" w:rsidR="00FE461F" w:rsidRPr="005E4BEA" w:rsidRDefault="00FE461F" w:rsidP="00FE461F">
      <w:pPr>
        <w:spacing w:line="240" w:lineRule="auto"/>
        <w:jc w:val="both"/>
        <w:rPr>
          <w:rFonts w:cs="Arial"/>
          <w:color w:val="808080" w:themeColor="background1" w:themeShade="80"/>
          <w:szCs w:val="20"/>
        </w:rPr>
      </w:pPr>
    </w:p>
    <w:p w14:paraId="2697C582" w14:textId="77777777" w:rsidR="00FE461F" w:rsidRPr="005E4BEA" w:rsidRDefault="00FE461F" w:rsidP="00FE461F">
      <w:pPr>
        <w:spacing w:line="240" w:lineRule="auto"/>
        <w:jc w:val="both"/>
        <w:rPr>
          <w:rFonts w:cs="Arial"/>
          <w:b/>
          <w:szCs w:val="20"/>
        </w:rPr>
      </w:pPr>
    </w:p>
    <w:tbl>
      <w:tblPr>
        <w:tblW w:w="0" w:type="auto"/>
        <w:shd w:val="clear" w:color="auto" w:fill="FFFFFF"/>
        <w:tblCellMar>
          <w:left w:w="0" w:type="dxa"/>
          <w:right w:w="0" w:type="dxa"/>
        </w:tblCellMar>
        <w:tblLook w:val="04A0" w:firstRow="1" w:lastRow="0" w:firstColumn="1" w:lastColumn="0" w:noHBand="0" w:noVBand="1"/>
      </w:tblPr>
      <w:tblGrid>
        <w:gridCol w:w="402"/>
        <w:gridCol w:w="2247"/>
        <w:gridCol w:w="1964"/>
        <w:gridCol w:w="2142"/>
        <w:gridCol w:w="1723"/>
      </w:tblGrid>
      <w:tr w:rsidR="00FE461F" w:rsidRPr="005E4BEA" w14:paraId="5C4495DE" w14:textId="77777777" w:rsidTr="0016774B">
        <w:tc>
          <w:tcPr>
            <w:tcW w:w="4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80C121" w14:textId="77777777" w:rsidR="00FE461F" w:rsidRPr="005E4BEA" w:rsidRDefault="00FE461F" w:rsidP="00FE461F">
            <w:pPr>
              <w:spacing w:line="231" w:lineRule="atLeast"/>
              <w:jc w:val="both"/>
              <w:rPr>
                <w:rFonts w:cs="Arial"/>
                <w:szCs w:val="20"/>
              </w:rPr>
            </w:pPr>
            <w:r w:rsidRPr="005E4BEA">
              <w:rPr>
                <w:rFonts w:cs="Arial"/>
                <w:szCs w:val="20"/>
              </w:rPr>
              <w:t> </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7DCB9C" w14:textId="77777777" w:rsidR="00FE461F" w:rsidRPr="005E4BEA" w:rsidRDefault="00FE461F" w:rsidP="00FE461F">
            <w:pPr>
              <w:spacing w:line="231" w:lineRule="atLeast"/>
              <w:jc w:val="both"/>
              <w:rPr>
                <w:rFonts w:cs="Arial"/>
                <w:szCs w:val="20"/>
              </w:rPr>
            </w:pPr>
            <w:r w:rsidRPr="005E4BEA">
              <w:rPr>
                <w:rFonts w:cs="Arial"/>
                <w:szCs w:val="20"/>
              </w:rPr>
              <w:t>Program</w:t>
            </w:r>
          </w:p>
        </w:tc>
        <w:tc>
          <w:tcPr>
            <w:tcW w:w="21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1F8D120" w14:textId="77777777" w:rsidR="00FE461F" w:rsidRPr="005E4BEA" w:rsidRDefault="00FE461F" w:rsidP="00FE461F">
            <w:pPr>
              <w:spacing w:line="231" w:lineRule="atLeast"/>
              <w:jc w:val="both"/>
              <w:rPr>
                <w:rFonts w:cs="Arial"/>
                <w:szCs w:val="20"/>
              </w:rPr>
            </w:pPr>
            <w:r w:rsidRPr="005E4BEA">
              <w:rPr>
                <w:rFonts w:cs="Arial"/>
                <w:szCs w:val="20"/>
              </w:rPr>
              <w:t>Izvajalec</w:t>
            </w:r>
          </w:p>
        </w:tc>
        <w:tc>
          <w:tcPr>
            <w:tcW w:w="2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17B8DF7" w14:textId="77777777" w:rsidR="00FE461F" w:rsidRPr="005E4BEA" w:rsidRDefault="00FE461F" w:rsidP="00FE461F">
            <w:pPr>
              <w:spacing w:line="231" w:lineRule="atLeast"/>
              <w:jc w:val="both"/>
              <w:rPr>
                <w:rFonts w:cs="Arial"/>
                <w:szCs w:val="20"/>
              </w:rPr>
            </w:pPr>
            <w:r w:rsidRPr="005E4BEA">
              <w:rPr>
                <w:rFonts w:cs="Arial"/>
                <w:szCs w:val="20"/>
              </w:rPr>
              <w:t>Obseg programa</w:t>
            </w:r>
          </w:p>
        </w:tc>
        <w:tc>
          <w:tcPr>
            <w:tcW w:w="1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0238A9" w14:textId="77777777" w:rsidR="00FE461F" w:rsidRPr="005E4BEA" w:rsidRDefault="00FE461F" w:rsidP="00FE461F">
            <w:pPr>
              <w:spacing w:line="231" w:lineRule="atLeast"/>
              <w:jc w:val="both"/>
              <w:rPr>
                <w:rFonts w:cs="Arial"/>
                <w:szCs w:val="20"/>
              </w:rPr>
            </w:pPr>
            <w:r w:rsidRPr="005E4BEA">
              <w:rPr>
                <w:rFonts w:cs="Arial"/>
                <w:szCs w:val="20"/>
              </w:rPr>
              <w:t>Dodatna sredstva na letni ravni  (v EUR)</w:t>
            </w:r>
          </w:p>
        </w:tc>
      </w:tr>
      <w:tr w:rsidR="00FE461F" w:rsidRPr="005E4BEA" w14:paraId="3D5D13CF"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3643C2" w14:textId="77777777" w:rsidR="00FE461F" w:rsidRPr="005E4BEA" w:rsidRDefault="00FE461F" w:rsidP="00FE461F">
            <w:pPr>
              <w:spacing w:line="231" w:lineRule="atLeast"/>
              <w:jc w:val="both"/>
              <w:rPr>
                <w:rFonts w:cs="Arial"/>
                <w:szCs w:val="20"/>
              </w:rPr>
            </w:pPr>
            <w:r w:rsidRPr="005E4BEA">
              <w:rPr>
                <w:rFonts w:cs="Arial"/>
                <w:szCs w:val="20"/>
              </w:rPr>
              <w:t>1</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D248B7" w14:textId="77777777" w:rsidR="00FE461F" w:rsidRPr="005E4BEA" w:rsidRDefault="00FE461F" w:rsidP="00FE461F">
            <w:pPr>
              <w:spacing w:line="231" w:lineRule="atLeast"/>
              <w:jc w:val="both"/>
              <w:rPr>
                <w:rFonts w:cs="Arial"/>
                <w:szCs w:val="20"/>
              </w:rPr>
            </w:pPr>
            <w:r w:rsidRPr="005E4BEA">
              <w:rPr>
                <w:rFonts w:cs="Arial"/>
                <w:szCs w:val="20"/>
              </w:rPr>
              <w:t>Povečanje števila</w:t>
            </w:r>
          </w:p>
          <w:p w14:paraId="283C42CA" w14:textId="77777777" w:rsidR="00FE461F" w:rsidRPr="005E4BEA" w:rsidRDefault="00FE461F" w:rsidP="00FE461F">
            <w:pPr>
              <w:spacing w:line="231" w:lineRule="atLeast"/>
              <w:jc w:val="both"/>
              <w:rPr>
                <w:rFonts w:cs="Arial"/>
                <w:szCs w:val="20"/>
              </w:rPr>
            </w:pPr>
            <w:r w:rsidRPr="005E4BEA">
              <w:rPr>
                <w:rFonts w:cs="Arial"/>
                <w:szCs w:val="20"/>
              </w:rPr>
              <w:t>delavcev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DAFC9A" w14:textId="77777777" w:rsidR="00FE461F" w:rsidRPr="005E4BEA" w:rsidRDefault="00FE461F" w:rsidP="00FE461F">
            <w:pPr>
              <w:spacing w:line="231" w:lineRule="atLeast"/>
              <w:rPr>
                <w:rFonts w:cs="Arial"/>
                <w:szCs w:val="20"/>
              </w:rPr>
            </w:pPr>
            <w:r w:rsidRPr="005E4BEA">
              <w:rPr>
                <w:rFonts w:cs="Arial"/>
                <w:szCs w:val="20"/>
              </w:rPr>
              <w:t>CRSG Portorož</w:t>
            </w: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1962C8" w14:textId="77777777" w:rsidR="00FE461F" w:rsidRPr="005E4BEA" w:rsidRDefault="00FE461F" w:rsidP="00FE461F">
            <w:pPr>
              <w:spacing w:line="231" w:lineRule="atLeast"/>
              <w:rPr>
                <w:rFonts w:cs="Arial"/>
                <w:szCs w:val="20"/>
              </w:rPr>
            </w:pPr>
            <w:r w:rsidRPr="005E4BEA">
              <w:rPr>
                <w:rFonts w:cs="Arial"/>
                <w:szCs w:val="20"/>
              </w:rPr>
              <w:t>1,0 klinični logoped</w:t>
            </w:r>
          </w:p>
          <w:p w14:paraId="1EEF6D66" w14:textId="77777777" w:rsidR="00FE461F" w:rsidRPr="005E4BEA" w:rsidRDefault="00FE461F" w:rsidP="00FE461F">
            <w:pPr>
              <w:spacing w:line="231" w:lineRule="atLeast"/>
              <w:rPr>
                <w:rFonts w:cs="Arial"/>
                <w:szCs w:val="20"/>
              </w:rPr>
            </w:pPr>
            <w:r w:rsidRPr="005E4BEA">
              <w:rPr>
                <w:rFonts w:cs="Arial"/>
                <w:szCs w:val="20"/>
              </w:rPr>
              <w:t>0,6 fizioterapevt</w:t>
            </w:r>
          </w:p>
          <w:p w14:paraId="62449441" w14:textId="77777777" w:rsidR="00FE461F" w:rsidRPr="005E4BEA" w:rsidRDefault="00FE461F" w:rsidP="00FE461F">
            <w:pPr>
              <w:spacing w:line="231" w:lineRule="atLeast"/>
              <w:rPr>
                <w:rFonts w:cs="Arial"/>
                <w:szCs w:val="20"/>
              </w:rPr>
            </w:pPr>
            <w:r w:rsidRPr="005E4BEA">
              <w:rPr>
                <w:rFonts w:cs="Arial"/>
                <w:szCs w:val="20"/>
              </w:rPr>
              <w:t>0,5 delovni terapevt</w:t>
            </w:r>
          </w:p>
          <w:p w14:paraId="7BF87646" w14:textId="77777777" w:rsidR="00FE461F" w:rsidRPr="005E4BEA" w:rsidRDefault="00FE461F" w:rsidP="00FE461F">
            <w:pPr>
              <w:spacing w:line="231" w:lineRule="atLeast"/>
              <w:rPr>
                <w:rFonts w:cs="Arial"/>
                <w:szCs w:val="20"/>
              </w:rPr>
            </w:pP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DE5485" w14:textId="77777777" w:rsidR="00FE461F" w:rsidRPr="005E4BEA" w:rsidRDefault="00FE461F" w:rsidP="00FE461F">
            <w:pPr>
              <w:spacing w:line="231" w:lineRule="atLeast"/>
              <w:jc w:val="center"/>
              <w:rPr>
                <w:rFonts w:cs="Arial"/>
                <w:szCs w:val="20"/>
              </w:rPr>
            </w:pPr>
            <w:r w:rsidRPr="005E4BEA">
              <w:rPr>
                <w:rFonts w:cs="Arial"/>
                <w:szCs w:val="20"/>
              </w:rPr>
              <w:t>102.645,00</w:t>
            </w:r>
          </w:p>
        </w:tc>
      </w:tr>
      <w:tr w:rsidR="00FE461F" w:rsidRPr="005E4BEA" w14:paraId="6E3A0896"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CDCD75" w14:textId="77777777" w:rsidR="00FE461F" w:rsidRPr="005E4BEA" w:rsidRDefault="00FE461F" w:rsidP="00FE461F">
            <w:pPr>
              <w:spacing w:line="231" w:lineRule="atLeast"/>
              <w:jc w:val="both"/>
              <w:rPr>
                <w:rFonts w:cs="Arial"/>
                <w:szCs w:val="20"/>
              </w:rPr>
            </w:pPr>
            <w:r w:rsidRPr="005E4BEA">
              <w:rPr>
                <w:rFonts w:cs="Arial"/>
                <w:szCs w:val="20"/>
              </w:rPr>
              <w:t>2</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4FD281" w14:textId="77777777" w:rsidR="00FE461F" w:rsidRPr="005E4BEA" w:rsidRDefault="00FE461F" w:rsidP="00FE461F">
            <w:pPr>
              <w:spacing w:line="231" w:lineRule="atLeast"/>
              <w:rPr>
                <w:rFonts w:cs="Arial"/>
                <w:szCs w:val="20"/>
              </w:rPr>
            </w:pPr>
            <w:r w:rsidRPr="005E4BEA">
              <w:rPr>
                <w:rFonts w:cs="Arial"/>
                <w:szCs w:val="20"/>
              </w:rPr>
              <w:t>Povečanje števila</w:t>
            </w:r>
          </w:p>
          <w:p w14:paraId="614B5FE6" w14:textId="77777777" w:rsidR="00FE461F" w:rsidRPr="005E4BEA" w:rsidRDefault="00FE461F" w:rsidP="00FE461F">
            <w:pPr>
              <w:spacing w:line="231" w:lineRule="atLeast"/>
              <w:rPr>
                <w:rFonts w:cs="Arial"/>
                <w:szCs w:val="20"/>
              </w:rPr>
            </w:pPr>
            <w:r w:rsidRPr="005E4BEA">
              <w:rPr>
                <w:rFonts w:cs="Arial"/>
                <w:szCs w:val="20"/>
              </w:rPr>
              <w:t>delavcev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AAEDDF" w14:textId="77777777" w:rsidR="00FE461F" w:rsidRPr="005E4BEA" w:rsidRDefault="00FE461F" w:rsidP="00FE461F">
            <w:pPr>
              <w:spacing w:line="231" w:lineRule="atLeast"/>
              <w:rPr>
                <w:rFonts w:cs="Arial"/>
                <w:szCs w:val="20"/>
              </w:rPr>
            </w:pPr>
            <w:r w:rsidRPr="005E4BEA">
              <w:rPr>
                <w:rFonts w:cs="Arial"/>
                <w:szCs w:val="20"/>
              </w:rPr>
              <w:t>CSG Maribor</w:t>
            </w:r>
          </w:p>
          <w:p w14:paraId="6F744C64"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A38400" w14:textId="77777777" w:rsidR="00FE461F" w:rsidRPr="005E4BEA" w:rsidRDefault="00FE461F" w:rsidP="00FE461F">
            <w:pPr>
              <w:spacing w:line="231" w:lineRule="atLeast"/>
              <w:rPr>
                <w:rFonts w:cs="Arial"/>
                <w:szCs w:val="20"/>
              </w:rPr>
            </w:pPr>
            <w:r w:rsidRPr="005E4BEA">
              <w:rPr>
                <w:rFonts w:cs="Arial"/>
                <w:szCs w:val="20"/>
              </w:rPr>
              <w:t xml:space="preserve">0,34 zdravstveni tehnik </w:t>
            </w:r>
          </w:p>
          <w:p w14:paraId="2B0BCE97" w14:textId="77777777" w:rsidR="00FE461F" w:rsidRPr="005E4BEA" w:rsidRDefault="00FE461F" w:rsidP="00FE461F">
            <w:pPr>
              <w:spacing w:line="231" w:lineRule="atLeast"/>
              <w:rPr>
                <w:rFonts w:cs="Arial"/>
                <w:szCs w:val="20"/>
              </w:rPr>
            </w:pPr>
            <w:r w:rsidRPr="005E4BEA">
              <w:rPr>
                <w:rFonts w:cs="Arial"/>
                <w:szCs w:val="20"/>
              </w:rPr>
              <w:t>1,0 defektolog</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01417B" w14:textId="77777777" w:rsidR="00FE461F" w:rsidRPr="005E4BEA" w:rsidRDefault="00FE461F" w:rsidP="00FE461F">
            <w:pPr>
              <w:spacing w:line="231" w:lineRule="atLeast"/>
              <w:jc w:val="center"/>
              <w:rPr>
                <w:rFonts w:cs="Arial"/>
                <w:szCs w:val="20"/>
              </w:rPr>
            </w:pPr>
            <w:r w:rsidRPr="005E4BEA">
              <w:rPr>
                <w:rFonts w:cs="Arial"/>
                <w:szCs w:val="20"/>
              </w:rPr>
              <w:t>48.487,00</w:t>
            </w:r>
          </w:p>
        </w:tc>
      </w:tr>
      <w:tr w:rsidR="00FE461F" w:rsidRPr="005E4BEA" w14:paraId="6FABB428"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685AE7"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7425DD" w14:textId="77777777" w:rsidR="00FE461F" w:rsidRPr="005E4BEA" w:rsidRDefault="00FE461F" w:rsidP="00FE461F">
            <w:pPr>
              <w:spacing w:line="231" w:lineRule="atLeast"/>
              <w:rPr>
                <w:rFonts w:cs="Arial"/>
                <w:szCs w:val="20"/>
              </w:rPr>
            </w:pPr>
            <w:r w:rsidRPr="005E4BEA">
              <w:rPr>
                <w:rFonts w:cs="Arial"/>
                <w:szCs w:val="20"/>
              </w:rPr>
              <w:t xml:space="preserve">Sprememba kadra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DD4FE0" w14:textId="77777777" w:rsidR="00FE461F" w:rsidRPr="005E4BEA" w:rsidRDefault="00FE461F" w:rsidP="00FE461F">
            <w:pPr>
              <w:spacing w:line="231" w:lineRule="atLeast"/>
              <w:rPr>
                <w:rFonts w:cs="Arial"/>
                <w:szCs w:val="20"/>
              </w:rPr>
            </w:pPr>
            <w:r w:rsidRPr="005E4BEA">
              <w:rPr>
                <w:rFonts w:cs="Arial"/>
                <w:szCs w:val="20"/>
              </w:rPr>
              <w:t>CSG Maribor</w:t>
            </w:r>
          </w:p>
          <w:p w14:paraId="7C4E0DE0"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7751D8" w14:textId="77777777" w:rsidR="00FE461F" w:rsidRPr="005E4BEA" w:rsidRDefault="00FE461F" w:rsidP="00FE461F">
            <w:pPr>
              <w:spacing w:line="231" w:lineRule="atLeast"/>
              <w:rPr>
                <w:rFonts w:cs="Arial"/>
                <w:szCs w:val="20"/>
              </w:rPr>
            </w:pPr>
            <w:r w:rsidRPr="005E4BEA">
              <w:rPr>
                <w:rFonts w:cs="Arial"/>
                <w:szCs w:val="20"/>
              </w:rPr>
              <w:t>1,0 psiholog v 1,0 klinični psiholog</w:t>
            </w:r>
          </w:p>
          <w:p w14:paraId="518BB4E4" w14:textId="77777777" w:rsidR="00FE461F" w:rsidRPr="005E4BEA" w:rsidRDefault="00FE461F" w:rsidP="00FE461F">
            <w:pPr>
              <w:spacing w:line="231" w:lineRule="atLeast"/>
              <w:rPr>
                <w:rFonts w:cs="Arial"/>
                <w:szCs w:val="20"/>
              </w:rPr>
            </w:pP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A77E78" w14:textId="77777777" w:rsidR="00FE461F" w:rsidRPr="005E4BEA" w:rsidRDefault="00FE461F" w:rsidP="00FE461F">
            <w:pPr>
              <w:spacing w:line="231" w:lineRule="atLeast"/>
              <w:jc w:val="center"/>
              <w:rPr>
                <w:rFonts w:cs="Arial"/>
                <w:szCs w:val="20"/>
              </w:rPr>
            </w:pPr>
            <w:r w:rsidRPr="005E4BEA">
              <w:rPr>
                <w:rFonts w:cs="Arial"/>
                <w:szCs w:val="20"/>
              </w:rPr>
              <w:t>18.165,00</w:t>
            </w:r>
          </w:p>
        </w:tc>
      </w:tr>
      <w:tr w:rsidR="00FE461F" w:rsidRPr="005E4BEA" w14:paraId="792E26DD"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2B5865" w14:textId="77777777" w:rsidR="00FE461F" w:rsidRPr="005E4BEA" w:rsidRDefault="00FE461F" w:rsidP="00FE461F">
            <w:pPr>
              <w:spacing w:line="231" w:lineRule="atLeast"/>
              <w:jc w:val="both"/>
              <w:rPr>
                <w:rFonts w:cs="Arial"/>
                <w:szCs w:val="20"/>
              </w:rPr>
            </w:pPr>
            <w:r w:rsidRPr="005E4BEA">
              <w:rPr>
                <w:rFonts w:cs="Arial"/>
                <w:szCs w:val="20"/>
              </w:rPr>
              <w:t>3</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EAE9E3" w14:textId="77777777" w:rsidR="00FE461F" w:rsidRPr="005E4BEA" w:rsidRDefault="00FE461F" w:rsidP="00FE461F">
            <w:pPr>
              <w:spacing w:line="231" w:lineRule="atLeast"/>
              <w:rPr>
                <w:rFonts w:cs="Arial"/>
                <w:szCs w:val="20"/>
              </w:rPr>
            </w:pPr>
            <w:r w:rsidRPr="005E4BEA">
              <w:rPr>
                <w:rFonts w:cs="Arial"/>
                <w:szCs w:val="20"/>
              </w:rPr>
              <w:t>Povečanje števila</w:t>
            </w:r>
          </w:p>
          <w:p w14:paraId="151BA972" w14:textId="77777777" w:rsidR="00FE461F" w:rsidRPr="005E4BEA" w:rsidRDefault="00FE461F" w:rsidP="00FE461F">
            <w:pPr>
              <w:spacing w:line="231" w:lineRule="atLeast"/>
              <w:rPr>
                <w:rFonts w:cs="Arial"/>
                <w:szCs w:val="20"/>
              </w:rPr>
            </w:pPr>
            <w:r w:rsidRPr="005E4BEA">
              <w:rPr>
                <w:rFonts w:cs="Arial"/>
                <w:szCs w:val="20"/>
              </w:rPr>
              <w:t>delavcev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40372E" w14:textId="77777777" w:rsidR="00FE461F" w:rsidRPr="005E4BEA" w:rsidRDefault="00FE461F" w:rsidP="00FE461F">
            <w:pPr>
              <w:spacing w:line="231" w:lineRule="atLeast"/>
              <w:rPr>
                <w:rFonts w:cs="Arial"/>
                <w:szCs w:val="20"/>
              </w:rPr>
            </w:pPr>
            <w:r w:rsidRPr="005E4BEA">
              <w:rPr>
                <w:rFonts w:cs="Arial"/>
                <w:szCs w:val="20"/>
              </w:rPr>
              <w:t>ZGN Ljubljana</w:t>
            </w: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91C576" w14:textId="77777777" w:rsidR="00FE461F" w:rsidRPr="005E4BEA" w:rsidRDefault="00FE461F" w:rsidP="00FE461F">
            <w:pPr>
              <w:spacing w:line="231" w:lineRule="atLeast"/>
              <w:rPr>
                <w:rFonts w:cs="Arial"/>
                <w:szCs w:val="20"/>
              </w:rPr>
            </w:pPr>
            <w:r w:rsidRPr="005E4BEA">
              <w:rPr>
                <w:rFonts w:cs="Arial"/>
                <w:szCs w:val="20"/>
              </w:rPr>
              <w:t>1,0 psiholog</w:t>
            </w:r>
          </w:p>
          <w:p w14:paraId="2E513355" w14:textId="77777777" w:rsidR="00FE461F" w:rsidRPr="005E4BEA" w:rsidRDefault="00FE461F" w:rsidP="00FE461F">
            <w:pPr>
              <w:spacing w:line="231" w:lineRule="atLeast"/>
              <w:rPr>
                <w:rFonts w:cs="Arial"/>
                <w:szCs w:val="20"/>
              </w:rPr>
            </w:pPr>
            <w:r w:rsidRPr="005E4BEA">
              <w:rPr>
                <w:rFonts w:cs="Arial"/>
                <w:szCs w:val="20"/>
              </w:rPr>
              <w:t>1,0 diplomirana medicinska sestra</w:t>
            </w:r>
          </w:p>
          <w:p w14:paraId="7C2B1A45" w14:textId="77777777" w:rsidR="00FE461F" w:rsidRPr="005E4BEA" w:rsidRDefault="00FE461F" w:rsidP="00FE461F">
            <w:pPr>
              <w:spacing w:line="231" w:lineRule="atLeast"/>
              <w:rPr>
                <w:rFonts w:cs="Arial"/>
                <w:szCs w:val="20"/>
              </w:rPr>
            </w:pPr>
            <w:r w:rsidRPr="005E4BEA">
              <w:rPr>
                <w:rFonts w:cs="Arial"/>
                <w:szCs w:val="20"/>
              </w:rPr>
              <w:t>0,7 zdravstveni tehnik</w:t>
            </w:r>
          </w:p>
          <w:p w14:paraId="1C9BB378" w14:textId="77777777" w:rsidR="00FE461F" w:rsidRPr="005E4BEA" w:rsidRDefault="00FE461F" w:rsidP="00FE461F">
            <w:pPr>
              <w:spacing w:line="231" w:lineRule="atLeast"/>
              <w:rPr>
                <w:rFonts w:cs="Arial"/>
                <w:szCs w:val="20"/>
              </w:rPr>
            </w:pPr>
            <w:r w:rsidRPr="005E4BEA">
              <w:rPr>
                <w:rFonts w:cs="Arial"/>
                <w:szCs w:val="20"/>
              </w:rPr>
              <w:t>0,8 elektronik - akustik</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40B360" w14:textId="77777777" w:rsidR="00FE461F" w:rsidRPr="005E4BEA" w:rsidRDefault="00FE461F" w:rsidP="00FE461F">
            <w:pPr>
              <w:spacing w:line="231" w:lineRule="atLeast"/>
              <w:jc w:val="center"/>
              <w:rPr>
                <w:rFonts w:cs="Arial"/>
                <w:szCs w:val="20"/>
              </w:rPr>
            </w:pPr>
            <w:r w:rsidRPr="005E4BEA">
              <w:rPr>
                <w:rFonts w:cs="Arial"/>
                <w:szCs w:val="20"/>
              </w:rPr>
              <w:t>126.308,00</w:t>
            </w:r>
          </w:p>
        </w:tc>
      </w:tr>
      <w:tr w:rsidR="00FE461F" w:rsidRPr="005E4BEA" w14:paraId="0A27813A"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5E6F1"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C992BA" w14:textId="77777777" w:rsidR="00FE461F" w:rsidRPr="005E4BEA" w:rsidRDefault="00FE461F" w:rsidP="00FE461F">
            <w:pPr>
              <w:spacing w:line="231" w:lineRule="atLeast"/>
              <w:rPr>
                <w:rFonts w:cs="Arial"/>
                <w:szCs w:val="20"/>
              </w:rPr>
            </w:pPr>
            <w:r w:rsidRPr="005E4BEA">
              <w:rPr>
                <w:rFonts w:cs="Arial"/>
                <w:szCs w:val="20"/>
              </w:rPr>
              <w:t xml:space="preserve">Sprememba kadra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70EC80E" w14:textId="77777777" w:rsidR="00FE461F" w:rsidRPr="005E4BEA" w:rsidRDefault="00FE461F" w:rsidP="00FE461F">
            <w:pPr>
              <w:spacing w:line="231" w:lineRule="atLeast"/>
              <w:rPr>
                <w:rFonts w:cs="Arial"/>
                <w:szCs w:val="20"/>
              </w:rPr>
            </w:pPr>
            <w:r w:rsidRPr="005E4BEA">
              <w:rPr>
                <w:rFonts w:cs="Arial"/>
                <w:szCs w:val="20"/>
              </w:rPr>
              <w:t>ZGN Ljubljana</w:t>
            </w: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1D9CCD" w14:textId="77777777" w:rsidR="00FE461F" w:rsidRPr="005E4BEA" w:rsidRDefault="00FE461F" w:rsidP="00FE461F">
            <w:pPr>
              <w:spacing w:line="231" w:lineRule="atLeast"/>
              <w:rPr>
                <w:rFonts w:cs="Arial"/>
                <w:szCs w:val="20"/>
              </w:rPr>
            </w:pPr>
            <w:r w:rsidRPr="005E4BEA">
              <w:rPr>
                <w:rFonts w:cs="Arial"/>
                <w:szCs w:val="20"/>
              </w:rPr>
              <w:t>0,5 fizioterapevt v 0,5 delovni terapevt</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15248A" w14:textId="77777777" w:rsidR="00FE461F" w:rsidRPr="005E4BEA" w:rsidRDefault="00FE461F" w:rsidP="00FE461F">
            <w:pPr>
              <w:spacing w:line="231" w:lineRule="atLeast"/>
              <w:jc w:val="center"/>
              <w:rPr>
                <w:rFonts w:cs="Arial"/>
                <w:szCs w:val="20"/>
              </w:rPr>
            </w:pPr>
            <w:r w:rsidRPr="005E4BEA">
              <w:rPr>
                <w:rFonts w:cs="Arial"/>
                <w:szCs w:val="20"/>
              </w:rPr>
              <w:t>613,00</w:t>
            </w:r>
          </w:p>
        </w:tc>
      </w:tr>
      <w:tr w:rsidR="00FE461F" w:rsidRPr="005E4BEA" w14:paraId="2A91D8AF"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953F4D"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AA2D6A" w14:textId="77777777" w:rsidR="00FE461F" w:rsidRPr="005E4BEA" w:rsidRDefault="00FE461F" w:rsidP="00FE461F">
            <w:pPr>
              <w:spacing w:line="231" w:lineRule="atLeast"/>
              <w:jc w:val="both"/>
              <w:rPr>
                <w:rFonts w:cs="Arial"/>
                <w:szCs w:val="20"/>
              </w:rPr>
            </w:pPr>
            <w:r w:rsidRPr="005E4BEA">
              <w:rPr>
                <w:rFonts w:cs="Arial"/>
                <w:szCs w:val="20"/>
              </w:rPr>
              <w:t>Skupaj</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9CF714"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BF7D40" w14:textId="77777777" w:rsidR="00FE461F" w:rsidRPr="005E4BEA" w:rsidRDefault="00FE461F" w:rsidP="00FE461F">
            <w:pPr>
              <w:spacing w:line="231" w:lineRule="atLeast"/>
              <w:rPr>
                <w:rFonts w:cs="Arial"/>
                <w:szCs w:val="20"/>
              </w:rPr>
            </w:pP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34F46E" w14:textId="77777777" w:rsidR="00FE461F" w:rsidRPr="005E4BEA" w:rsidRDefault="00FE461F" w:rsidP="00FE461F">
            <w:pPr>
              <w:spacing w:line="231" w:lineRule="atLeast"/>
              <w:jc w:val="center"/>
              <w:rPr>
                <w:rFonts w:cs="Arial"/>
                <w:b/>
                <w:szCs w:val="20"/>
              </w:rPr>
            </w:pPr>
            <w:r w:rsidRPr="005E4BEA">
              <w:rPr>
                <w:rFonts w:cs="Arial"/>
                <w:b/>
                <w:szCs w:val="20"/>
              </w:rPr>
              <w:t>296.218,00</w:t>
            </w:r>
          </w:p>
        </w:tc>
      </w:tr>
    </w:tbl>
    <w:p w14:paraId="3832784F" w14:textId="77777777" w:rsidR="00FE461F" w:rsidRPr="005E4BEA" w:rsidRDefault="00FE461F" w:rsidP="00FE461F">
      <w:pPr>
        <w:spacing w:line="240" w:lineRule="auto"/>
        <w:jc w:val="both"/>
        <w:rPr>
          <w:rFonts w:cs="Arial"/>
          <w:b/>
          <w:szCs w:val="20"/>
        </w:rPr>
      </w:pPr>
    </w:p>
    <w:p w14:paraId="033E3429" w14:textId="77777777" w:rsidR="00FE461F" w:rsidRPr="005E4BEA" w:rsidRDefault="00FE461F" w:rsidP="00FE461F">
      <w:pPr>
        <w:numPr>
          <w:ilvl w:val="12"/>
          <w:numId w:val="0"/>
        </w:numPr>
        <w:spacing w:line="240" w:lineRule="auto"/>
        <w:jc w:val="both"/>
        <w:rPr>
          <w:rFonts w:cs="Arial"/>
          <w:color w:val="808080" w:themeColor="background1" w:themeShade="80"/>
          <w:szCs w:val="20"/>
        </w:rPr>
      </w:pPr>
    </w:p>
    <w:p w14:paraId="0463CAFC" w14:textId="77777777" w:rsidR="00FE461F" w:rsidRPr="005E4BEA" w:rsidRDefault="00FE461F" w:rsidP="00FE461F">
      <w:pPr>
        <w:numPr>
          <w:ilvl w:val="12"/>
          <w:numId w:val="0"/>
        </w:num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Pri predlogu </w:t>
      </w:r>
      <w:r w:rsidRPr="005E4BEA">
        <w:rPr>
          <w:rFonts w:cs="Arial"/>
          <w:b/>
          <w:bCs/>
          <w:color w:val="808080" w:themeColor="background1" w:themeShade="80"/>
          <w:szCs w:val="20"/>
        </w:rPr>
        <w:t>zavodov za gibalno ovirane</w:t>
      </w:r>
      <w:r w:rsidRPr="005E4BEA">
        <w:rPr>
          <w:rFonts w:cs="Arial"/>
          <w:color w:val="808080" w:themeColor="background1" w:themeShade="80"/>
          <w:szCs w:val="20"/>
        </w:rPr>
        <w:t xml:space="preserve"> (CIRIUS Kamnik in CIRIUS Vipava) gre za dodaten zdravstveni kader zaradi zahtevnosti izvajanja storitev za vključene šoloobvezne otroke in mladostnike s posebnimi potrebami. Poleg tega se za CIRIUS Vipava predlaga povečan obseg programa na letni ravni in sicer na 22.500 oskrbnik dni. </w:t>
      </w:r>
    </w:p>
    <w:p w14:paraId="036EE0F9" w14:textId="77777777" w:rsidR="00FE461F" w:rsidRPr="005E4BEA" w:rsidRDefault="00FE461F" w:rsidP="00FE461F">
      <w:pPr>
        <w:numPr>
          <w:ilvl w:val="12"/>
          <w:numId w:val="0"/>
        </w:numPr>
        <w:spacing w:line="240" w:lineRule="auto"/>
        <w:jc w:val="both"/>
        <w:rPr>
          <w:rFonts w:cs="Arial"/>
          <w:szCs w:val="20"/>
        </w:rPr>
      </w:pPr>
    </w:p>
    <w:p w14:paraId="4FB95623" w14:textId="77777777" w:rsidR="00FE461F" w:rsidRPr="005E4BEA" w:rsidRDefault="00FE461F" w:rsidP="00FE461F">
      <w:pPr>
        <w:spacing w:line="240" w:lineRule="auto"/>
        <w:jc w:val="both"/>
        <w:rPr>
          <w:rFonts w:cs="Arial"/>
          <w:b/>
          <w:szCs w:val="20"/>
        </w:rPr>
      </w:pPr>
    </w:p>
    <w:tbl>
      <w:tblPr>
        <w:tblW w:w="0" w:type="auto"/>
        <w:shd w:val="clear" w:color="auto" w:fill="FFFFFF"/>
        <w:tblCellMar>
          <w:left w:w="0" w:type="dxa"/>
          <w:right w:w="0" w:type="dxa"/>
        </w:tblCellMar>
        <w:tblLook w:val="04A0" w:firstRow="1" w:lastRow="0" w:firstColumn="1" w:lastColumn="0" w:noHBand="0" w:noVBand="1"/>
      </w:tblPr>
      <w:tblGrid>
        <w:gridCol w:w="396"/>
        <w:gridCol w:w="2175"/>
        <w:gridCol w:w="1882"/>
        <w:gridCol w:w="2307"/>
        <w:gridCol w:w="1718"/>
      </w:tblGrid>
      <w:tr w:rsidR="00FE461F" w:rsidRPr="005E4BEA" w14:paraId="0FD26112" w14:textId="77777777" w:rsidTr="0016774B">
        <w:tc>
          <w:tcPr>
            <w:tcW w:w="4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2A5550" w14:textId="77777777" w:rsidR="00FE461F" w:rsidRPr="005E4BEA" w:rsidRDefault="00FE461F" w:rsidP="00FE461F">
            <w:pPr>
              <w:spacing w:line="231" w:lineRule="atLeast"/>
              <w:jc w:val="both"/>
              <w:rPr>
                <w:rFonts w:cs="Arial"/>
                <w:szCs w:val="20"/>
              </w:rPr>
            </w:pPr>
            <w:r w:rsidRPr="005E4BEA">
              <w:rPr>
                <w:rFonts w:cs="Arial"/>
                <w:szCs w:val="20"/>
              </w:rPr>
              <w:t> </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178D6B" w14:textId="77777777" w:rsidR="00FE461F" w:rsidRPr="005E4BEA" w:rsidRDefault="00FE461F" w:rsidP="00FE461F">
            <w:pPr>
              <w:spacing w:line="231" w:lineRule="atLeast"/>
              <w:jc w:val="both"/>
              <w:rPr>
                <w:rFonts w:cs="Arial"/>
                <w:szCs w:val="20"/>
              </w:rPr>
            </w:pPr>
            <w:r w:rsidRPr="005E4BEA">
              <w:rPr>
                <w:rFonts w:cs="Arial"/>
                <w:szCs w:val="20"/>
              </w:rPr>
              <w:t>Program</w:t>
            </w:r>
          </w:p>
        </w:tc>
        <w:tc>
          <w:tcPr>
            <w:tcW w:w="21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9913EC" w14:textId="77777777" w:rsidR="00FE461F" w:rsidRPr="005E4BEA" w:rsidRDefault="00FE461F" w:rsidP="00FE461F">
            <w:pPr>
              <w:spacing w:line="231" w:lineRule="atLeast"/>
              <w:jc w:val="both"/>
              <w:rPr>
                <w:rFonts w:cs="Arial"/>
                <w:szCs w:val="20"/>
              </w:rPr>
            </w:pPr>
            <w:r w:rsidRPr="005E4BEA">
              <w:rPr>
                <w:rFonts w:cs="Arial"/>
                <w:szCs w:val="20"/>
              </w:rPr>
              <w:t>Izvajalec</w:t>
            </w:r>
          </w:p>
        </w:tc>
        <w:tc>
          <w:tcPr>
            <w:tcW w:w="22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9DF43E" w14:textId="77777777" w:rsidR="00FE461F" w:rsidRPr="005E4BEA" w:rsidRDefault="00FE461F" w:rsidP="00FE461F">
            <w:pPr>
              <w:spacing w:line="231" w:lineRule="atLeast"/>
              <w:jc w:val="both"/>
              <w:rPr>
                <w:rFonts w:cs="Arial"/>
                <w:szCs w:val="20"/>
              </w:rPr>
            </w:pPr>
            <w:r w:rsidRPr="005E4BEA">
              <w:rPr>
                <w:rFonts w:cs="Arial"/>
                <w:szCs w:val="20"/>
              </w:rPr>
              <w:t>Obseg programa</w:t>
            </w:r>
          </w:p>
        </w:tc>
        <w:tc>
          <w:tcPr>
            <w:tcW w:w="1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AFA826" w14:textId="77777777" w:rsidR="00FE461F" w:rsidRPr="005E4BEA" w:rsidRDefault="00FE461F" w:rsidP="00FE461F">
            <w:pPr>
              <w:spacing w:line="231" w:lineRule="atLeast"/>
              <w:jc w:val="both"/>
              <w:rPr>
                <w:rFonts w:cs="Arial"/>
                <w:szCs w:val="20"/>
              </w:rPr>
            </w:pPr>
            <w:r w:rsidRPr="005E4BEA">
              <w:rPr>
                <w:rFonts w:cs="Arial"/>
                <w:szCs w:val="20"/>
              </w:rPr>
              <w:t>Dodatna sredstva na letni ravni  (v EUR)</w:t>
            </w:r>
          </w:p>
        </w:tc>
      </w:tr>
      <w:tr w:rsidR="00FE461F" w:rsidRPr="005E4BEA" w14:paraId="2077F947"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E2A9E9" w14:textId="77777777" w:rsidR="00FE461F" w:rsidRPr="005E4BEA" w:rsidRDefault="00FE461F" w:rsidP="00FE461F">
            <w:pPr>
              <w:spacing w:line="231" w:lineRule="atLeast"/>
              <w:jc w:val="both"/>
              <w:rPr>
                <w:rFonts w:cs="Arial"/>
                <w:szCs w:val="20"/>
              </w:rPr>
            </w:pPr>
            <w:r w:rsidRPr="005E4BEA">
              <w:rPr>
                <w:rFonts w:cs="Arial"/>
                <w:szCs w:val="20"/>
              </w:rPr>
              <w:t>1</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9D163A" w14:textId="77777777" w:rsidR="00FE461F" w:rsidRPr="005E4BEA" w:rsidRDefault="00FE461F" w:rsidP="00FE461F">
            <w:pPr>
              <w:spacing w:line="231" w:lineRule="atLeast"/>
              <w:jc w:val="both"/>
              <w:rPr>
                <w:rFonts w:cs="Arial"/>
                <w:szCs w:val="20"/>
              </w:rPr>
            </w:pPr>
            <w:r w:rsidRPr="005E4BEA">
              <w:rPr>
                <w:rFonts w:cs="Arial"/>
                <w:szCs w:val="20"/>
              </w:rPr>
              <w:t>Povečanje števila</w:t>
            </w:r>
          </w:p>
          <w:p w14:paraId="636A8CF4" w14:textId="77777777" w:rsidR="00FE461F" w:rsidRPr="005E4BEA" w:rsidRDefault="00FE461F" w:rsidP="00FE461F">
            <w:pPr>
              <w:spacing w:line="231" w:lineRule="atLeast"/>
              <w:jc w:val="both"/>
              <w:rPr>
                <w:rFonts w:cs="Arial"/>
                <w:szCs w:val="20"/>
              </w:rPr>
            </w:pPr>
            <w:r w:rsidRPr="005E4BEA">
              <w:rPr>
                <w:rFonts w:cs="Arial"/>
                <w:szCs w:val="20"/>
              </w:rPr>
              <w:t>delavcev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AE5D56" w14:textId="77777777" w:rsidR="00FE461F" w:rsidRPr="005E4BEA" w:rsidRDefault="00FE461F" w:rsidP="00FE461F">
            <w:pPr>
              <w:spacing w:line="231" w:lineRule="atLeast"/>
              <w:rPr>
                <w:rFonts w:cs="Arial"/>
                <w:szCs w:val="20"/>
              </w:rPr>
            </w:pPr>
            <w:r w:rsidRPr="005E4BEA">
              <w:rPr>
                <w:rFonts w:cs="Arial"/>
                <w:szCs w:val="20"/>
              </w:rPr>
              <w:t>CIRIUS Kamnik</w:t>
            </w: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3F66EA" w14:textId="77777777" w:rsidR="00FE461F" w:rsidRPr="005E4BEA" w:rsidRDefault="00FE461F" w:rsidP="00FE461F">
            <w:pPr>
              <w:spacing w:line="231" w:lineRule="atLeast"/>
              <w:rPr>
                <w:rFonts w:cs="Arial"/>
                <w:szCs w:val="20"/>
              </w:rPr>
            </w:pPr>
            <w:r w:rsidRPr="005E4BEA">
              <w:rPr>
                <w:rFonts w:cs="Arial"/>
                <w:szCs w:val="20"/>
              </w:rPr>
              <w:t>3,0 diplomirane medicinske sestre</w:t>
            </w:r>
          </w:p>
          <w:p w14:paraId="785BDB19" w14:textId="77777777" w:rsidR="00FE461F" w:rsidRPr="005E4BEA" w:rsidRDefault="00FE461F" w:rsidP="00FE461F">
            <w:pPr>
              <w:spacing w:line="231" w:lineRule="atLeast"/>
              <w:rPr>
                <w:rFonts w:cs="Arial"/>
                <w:szCs w:val="20"/>
              </w:rPr>
            </w:pPr>
            <w:r w:rsidRPr="005E4BEA">
              <w:rPr>
                <w:rFonts w:cs="Arial"/>
                <w:szCs w:val="20"/>
              </w:rPr>
              <w:t xml:space="preserve">1,0 konjar/spremljevalec pri </w:t>
            </w:r>
            <w:proofErr w:type="spellStart"/>
            <w:r w:rsidRPr="005E4BEA">
              <w:rPr>
                <w:rFonts w:cs="Arial"/>
                <w:szCs w:val="20"/>
              </w:rPr>
              <w:t>hipoterapiji</w:t>
            </w:r>
            <w:proofErr w:type="spellEnd"/>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F141D8" w14:textId="77777777" w:rsidR="00FE461F" w:rsidRPr="005E4BEA" w:rsidRDefault="00FE461F" w:rsidP="00FE461F">
            <w:pPr>
              <w:spacing w:line="231" w:lineRule="atLeast"/>
              <w:jc w:val="center"/>
              <w:rPr>
                <w:rFonts w:cs="Arial"/>
                <w:szCs w:val="20"/>
              </w:rPr>
            </w:pPr>
            <w:r w:rsidRPr="005E4BEA">
              <w:rPr>
                <w:rFonts w:cs="Arial"/>
                <w:szCs w:val="20"/>
              </w:rPr>
              <w:t>122.408,00</w:t>
            </w:r>
          </w:p>
        </w:tc>
      </w:tr>
      <w:tr w:rsidR="00FE461F" w:rsidRPr="005E4BEA" w14:paraId="2B8A974A"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A2CB5F"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60C64A" w14:textId="77777777" w:rsidR="00FE461F" w:rsidRPr="005E4BEA" w:rsidRDefault="00FE461F" w:rsidP="00FE461F">
            <w:pPr>
              <w:spacing w:line="231" w:lineRule="atLeast"/>
              <w:jc w:val="both"/>
              <w:rPr>
                <w:rFonts w:cs="Arial"/>
                <w:szCs w:val="20"/>
              </w:rPr>
            </w:pPr>
            <w:r w:rsidRPr="005E4BEA">
              <w:rPr>
                <w:rFonts w:cs="Arial"/>
                <w:szCs w:val="20"/>
              </w:rPr>
              <w:t>Sprememba kadra</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A3E95D" w14:textId="77777777" w:rsidR="00FE461F" w:rsidRPr="005E4BEA" w:rsidRDefault="00FE461F" w:rsidP="00FE461F">
            <w:pPr>
              <w:spacing w:line="231" w:lineRule="atLeast"/>
              <w:rPr>
                <w:rFonts w:cs="Arial"/>
                <w:szCs w:val="20"/>
              </w:rPr>
            </w:pPr>
            <w:r w:rsidRPr="005E4BEA">
              <w:rPr>
                <w:rFonts w:cs="Arial"/>
                <w:szCs w:val="20"/>
              </w:rPr>
              <w:t>CIRIUS Kamnik</w:t>
            </w: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3C5E85" w14:textId="77777777" w:rsidR="00FE461F" w:rsidRPr="005E4BEA" w:rsidRDefault="00FE461F" w:rsidP="00FE461F">
            <w:pPr>
              <w:spacing w:line="231" w:lineRule="atLeast"/>
              <w:rPr>
                <w:rFonts w:cs="Arial"/>
                <w:szCs w:val="20"/>
              </w:rPr>
            </w:pPr>
            <w:r w:rsidRPr="005E4BEA">
              <w:rPr>
                <w:rFonts w:cs="Arial"/>
                <w:szCs w:val="20"/>
              </w:rPr>
              <w:t>8,0 zdravstvenih tehnikov v 8,0 diplomiranih medicinskih sester</w:t>
            </w:r>
          </w:p>
          <w:p w14:paraId="3E02BD9A" w14:textId="77777777" w:rsidR="00FE461F" w:rsidRPr="005E4BEA" w:rsidRDefault="00FE461F" w:rsidP="00FE461F">
            <w:pPr>
              <w:spacing w:line="231" w:lineRule="atLeast"/>
              <w:rPr>
                <w:rFonts w:cs="Arial"/>
                <w:szCs w:val="20"/>
              </w:rPr>
            </w:pPr>
            <w:r w:rsidRPr="005E4BEA">
              <w:rPr>
                <w:rFonts w:cs="Arial"/>
                <w:szCs w:val="20"/>
              </w:rPr>
              <w:t>23,0 fizioterapevtov/delovnih terapevtov s 23,0 fizioterapevti/delovnimi terapevti s specialnimi znanji</w:t>
            </w:r>
          </w:p>
          <w:p w14:paraId="0A309A03" w14:textId="77777777" w:rsidR="00FE461F" w:rsidRPr="005E4BEA" w:rsidRDefault="00FE461F" w:rsidP="00FE461F">
            <w:pPr>
              <w:spacing w:line="231" w:lineRule="atLeast"/>
              <w:rPr>
                <w:rFonts w:cs="Arial"/>
                <w:szCs w:val="20"/>
              </w:rPr>
            </w:pPr>
            <w:r w:rsidRPr="005E4BEA">
              <w:rPr>
                <w:rFonts w:cs="Arial"/>
                <w:szCs w:val="20"/>
              </w:rPr>
              <w:t>2,0 logopeda s 2,0 kliničnim logopedom</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912023" w14:textId="77777777" w:rsidR="00FE461F" w:rsidRPr="005E4BEA" w:rsidRDefault="00FE461F" w:rsidP="00FE461F">
            <w:pPr>
              <w:spacing w:line="231" w:lineRule="atLeast"/>
              <w:jc w:val="center"/>
              <w:rPr>
                <w:rFonts w:cs="Arial"/>
                <w:szCs w:val="20"/>
              </w:rPr>
            </w:pPr>
            <w:r w:rsidRPr="005E4BEA">
              <w:rPr>
                <w:rFonts w:cs="Arial"/>
                <w:szCs w:val="20"/>
              </w:rPr>
              <w:t>155.949,00</w:t>
            </w:r>
          </w:p>
        </w:tc>
      </w:tr>
      <w:tr w:rsidR="00FE461F" w:rsidRPr="005E4BEA" w14:paraId="3702AAD7"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AAAAD" w14:textId="77777777" w:rsidR="00FE461F" w:rsidRPr="005E4BEA" w:rsidRDefault="00FE461F" w:rsidP="00FE461F">
            <w:pPr>
              <w:spacing w:line="231" w:lineRule="atLeast"/>
              <w:jc w:val="both"/>
              <w:rPr>
                <w:rFonts w:cs="Arial"/>
                <w:szCs w:val="20"/>
              </w:rPr>
            </w:pPr>
            <w:r w:rsidRPr="005E4BEA">
              <w:rPr>
                <w:rFonts w:cs="Arial"/>
                <w:szCs w:val="20"/>
              </w:rPr>
              <w:t>2</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D2A2EA" w14:textId="77777777" w:rsidR="00FE461F" w:rsidRPr="005E4BEA" w:rsidRDefault="00FE461F" w:rsidP="00FE461F">
            <w:pPr>
              <w:spacing w:line="231" w:lineRule="atLeast"/>
              <w:rPr>
                <w:rFonts w:cs="Arial"/>
                <w:szCs w:val="20"/>
              </w:rPr>
            </w:pPr>
            <w:r w:rsidRPr="005E4BEA">
              <w:rPr>
                <w:rFonts w:cs="Arial"/>
                <w:szCs w:val="20"/>
              </w:rPr>
              <w:t>Povečanje števila</w:t>
            </w:r>
          </w:p>
          <w:p w14:paraId="1CC0AC6C" w14:textId="77777777" w:rsidR="00FE461F" w:rsidRPr="005E4BEA" w:rsidRDefault="00FE461F" w:rsidP="00FE461F">
            <w:pPr>
              <w:spacing w:line="231" w:lineRule="atLeast"/>
              <w:rPr>
                <w:rFonts w:cs="Arial"/>
                <w:szCs w:val="20"/>
              </w:rPr>
            </w:pPr>
            <w:r w:rsidRPr="005E4BEA">
              <w:rPr>
                <w:rFonts w:cs="Arial"/>
                <w:szCs w:val="20"/>
              </w:rPr>
              <w:t>delavcev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A374AA" w14:textId="77777777" w:rsidR="00FE461F" w:rsidRPr="005E4BEA" w:rsidRDefault="00FE461F" w:rsidP="00FE461F">
            <w:pPr>
              <w:spacing w:line="231" w:lineRule="atLeast"/>
              <w:rPr>
                <w:rFonts w:cs="Arial"/>
                <w:szCs w:val="20"/>
              </w:rPr>
            </w:pPr>
            <w:r w:rsidRPr="005E4BEA">
              <w:rPr>
                <w:rFonts w:cs="Arial"/>
                <w:szCs w:val="20"/>
              </w:rPr>
              <w:t>CIRIUS Vipava</w:t>
            </w:r>
          </w:p>
          <w:p w14:paraId="67BF77E5"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6779BD" w14:textId="77777777" w:rsidR="00FE461F" w:rsidRPr="005E4BEA" w:rsidRDefault="00FE461F" w:rsidP="00FE461F">
            <w:pPr>
              <w:spacing w:line="231" w:lineRule="atLeast"/>
              <w:rPr>
                <w:rFonts w:cs="Arial"/>
                <w:szCs w:val="20"/>
              </w:rPr>
            </w:pPr>
            <w:r w:rsidRPr="005E4BEA">
              <w:rPr>
                <w:rFonts w:cs="Arial"/>
                <w:szCs w:val="20"/>
              </w:rPr>
              <w:t xml:space="preserve">0,1 zdravnika specialista </w:t>
            </w:r>
          </w:p>
          <w:p w14:paraId="17B61091" w14:textId="77777777" w:rsidR="00FE461F" w:rsidRPr="005E4BEA" w:rsidRDefault="00FE461F" w:rsidP="00FE461F">
            <w:pPr>
              <w:spacing w:line="231" w:lineRule="atLeast"/>
              <w:rPr>
                <w:rFonts w:cs="Arial"/>
                <w:szCs w:val="20"/>
              </w:rPr>
            </w:pPr>
            <w:r w:rsidRPr="005E4BEA">
              <w:rPr>
                <w:rFonts w:cs="Arial"/>
                <w:szCs w:val="20"/>
              </w:rPr>
              <w:t>1,0 psiholog</w:t>
            </w:r>
          </w:p>
          <w:p w14:paraId="3EA65A66" w14:textId="77777777" w:rsidR="00FE461F" w:rsidRPr="005E4BEA" w:rsidRDefault="00FE461F" w:rsidP="00FE461F">
            <w:pPr>
              <w:spacing w:line="231" w:lineRule="atLeast"/>
              <w:rPr>
                <w:rFonts w:cs="Arial"/>
                <w:szCs w:val="20"/>
              </w:rPr>
            </w:pPr>
            <w:r w:rsidRPr="005E4BEA">
              <w:rPr>
                <w:rFonts w:cs="Arial"/>
                <w:szCs w:val="20"/>
              </w:rPr>
              <w:t>1,0 logoped</w:t>
            </w:r>
          </w:p>
          <w:p w14:paraId="0EE6DF16" w14:textId="77777777" w:rsidR="00FE461F" w:rsidRPr="005E4BEA" w:rsidRDefault="00FE461F" w:rsidP="00FE461F">
            <w:pPr>
              <w:spacing w:line="231" w:lineRule="atLeast"/>
              <w:rPr>
                <w:rFonts w:cs="Arial"/>
                <w:szCs w:val="20"/>
              </w:rPr>
            </w:pPr>
            <w:r w:rsidRPr="005E4BEA">
              <w:rPr>
                <w:rFonts w:cs="Arial"/>
                <w:szCs w:val="20"/>
              </w:rPr>
              <w:t xml:space="preserve">1,0 delovni terapevt </w:t>
            </w:r>
          </w:p>
          <w:p w14:paraId="4A091546" w14:textId="77777777" w:rsidR="00FE461F" w:rsidRPr="005E4BEA" w:rsidRDefault="00FE461F" w:rsidP="00FE461F">
            <w:pPr>
              <w:spacing w:line="231" w:lineRule="atLeast"/>
              <w:rPr>
                <w:rFonts w:cs="Arial"/>
                <w:szCs w:val="20"/>
              </w:rPr>
            </w:pPr>
            <w:r w:rsidRPr="005E4BEA">
              <w:rPr>
                <w:rFonts w:cs="Arial"/>
                <w:szCs w:val="20"/>
              </w:rPr>
              <w:t>1,0 diplomirana medicinska sestra</w:t>
            </w:r>
          </w:p>
          <w:p w14:paraId="598206CE" w14:textId="77777777" w:rsidR="00FE461F" w:rsidRPr="005E4BEA" w:rsidRDefault="00FE461F" w:rsidP="00FE461F">
            <w:pPr>
              <w:spacing w:line="231" w:lineRule="atLeast"/>
              <w:rPr>
                <w:rFonts w:cs="Arial"/>
                <w:szCs w:val="20"/>
              </w:rPr>
            </w:pPr>
            <w:r w:rsidRPr="005E4BEA">
              <w:rPr>
                <w:rFonts w:cs="Arial"/>
                <w:szCs w:val="20"/>
              </w:rPr>
              <w:t>1,0 zdravstveni tehnik</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4BE7A6" w14:textId="77777777" w:rsidR="00FE461F" w:rsidRPr="005E4BEA" w:rsidRDefault="00FE461F" w:rsidP="00FE461F">
            <w:pPr>
              <w:spacing w:line="231" w:lineRule="atLeast"/>
              <w:jc w:val="center"/>
              <w:rPr>
                <w:rFonts w:cs="Arial"/>
                <w:szCs w:val="20"/>
              </w:rPr>
            </w:pPr>
            <w:r w:rsidRPr="005E4BEA">
              <w:rPr>
                <w:rFonts w:cs="Arial"/>
                <w:szCs w:val="20"/>
              </w:rPr>
              <w:t>156.750,00</w:t>
            </w:r>
          </w:p>
        </w:tc>
      </w:tr>
      <w:tr w:rsidR="00FE461F" w:rsidRPr="005E4BEA" w14:paraId="7E9BE97C"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60C45B"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59D77D" w14:textId="77777777" w:rsidR="00FE461F" w:rsidRPr="005E4BEA" w:rsidRDefault="00FE461F" w:rsidP="00FE461F">
            <w:pPr>
              <w:spacing w:line="231" w:lineRule="atLeast"/>
              <w:rPr>
                <w:rFonts w:cs="Arial"/>
                <w:szCs w:val="20"/>
              </w:rPr>
            </w:pPr>
            <w:r w:rsidRPr="005E4BEA">
              <w:rPr>
                <w:rFonts w:cs="Arial"/>
                <w:szCs w:val="20"/>
              </w:rPr>
              <w:t>Prevedba po 38. členu ZZD</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AC96C6" w14:textId="77777777" w:rsidR="00FE461F" w:rsidRPr="005E4BEA" w:rsidRDefault="00FE461F" w:rsidP="00FE461F">
            <w:pPr>
              <w:spacing w:line="231" w:lineRule="atLeast"/>
              <w:rPr>
                <w:rFonts w:cs="Arial"/>
                <w:szCs w:val="20"/>
              </w:rPr>
            </w:pPr>
            <w:r w:rsidRPr="005E4BEA">
              <w:rPr>
                <w:rFonts w:cs="Arial"/>
                <w:szCs w:val="20"/>
              </w:rPr>
              <w:t>CIRIUS Vipava</w:t>
            </w:r>
          </w:p>
          <w:p w14:paraId="442104E5"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C58C4C" w14:textId="77777777" w:rsidR="00FE461F" w:rsidRPr="005E4BEA" w:rsidRDefault="00FE461F" w:rsidP="00FE461F">
            <w:pPr>
              <w:spacing w:line="231" w:lineRule="atLeast"/>
              <w:rPr>
                <w:rFonts w:cs="Arial"/>
                <w:szCs w:val="20"/>
              </w:rPr>
            </w:pPr>
            <w:r w:rsidRPr="005E4BEA">
              <w:rPr>
                <w:rFonts w:cs="Arial"/>
                <w:szCs w:val="20"/>
              </w:rPr>
              <w:t>5 zdravstvenih tehnikov  prevedba v diplomirane medicinske sestre</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A427E9" w14:textId="77777777" w:rsidR="00FE461F" w:rsidRPr="005E4BEA" w:rsidRDefault="00FE461F" w:rsidP="00FE461F">
            <w:pPr>
              <w:spacing w:line="231" w:lineRule="atLeast"/>
              <w:jc w:val="center"/>
              <w:rPr>
                <w:rFonts w:cs="Arial"/>
                <w:szCs w:val="20"/>
              </w:rPr>
            </w:pPr>
            <w:r w:rsidRPr="005E4BEA">
              <w:rPr>
                <w:rFonts w:cs="Arial"/>
                <w:szCs w:val="20"/>
              </w:rPr>
              <w:t>48.328,00</w:t>
            </w:r>
          </w:p>
        </w:tc>
      </w:tr>
      <w:tr w:rsidR="00FE461F" w:rsidRPr="005E4BEA" w14:paraId="799DDBD0"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594411"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950A22" w14:textId="77777777" w:rsidR="00FE461F" w:rsidRPr="005E4BEA" w:rsidRDefault="00FE461F" w:rsidP="00FE461F">
            <w:pPr>
              <w:spacing w:line="231" w:lineRule="atLeast"/>
              <w:rPr>
                <w:rFonts w:cs="Arial"/>
                <w:szCs w:val="20"/>
              </w:rPr>
            </w:pPr>
            <w:r w:rsidRPr="005E4BEA">
              <w:rPr>
                <w:rFonts w:cs="Arial"/>
                <w:szCs w:val="20"/>
              </w:rPr>
              <w:t xml:space="preserve">Povečanje programa zdravstvene nege in rehabilitacije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B2788B" w14:textId="77777777" w:rsidR="00FE461F" w:rsidRPr="005E4BEA" w:rsidRDefault="00FE461F" w:rsidP="00FE461F">
            <w:pPr>
              <w:spacing w:line="231" w:lineRule="atLeast"/>
              <w:rPr>
                <w:rFonts w:cs="Arial"/>
                <w:szCs w:val="20"/>
              </w:rPr>
            </w:pPr>
            <w:r w:rsidRPr="005E4BEA">
              <w:rPr>
                <w:rFonts w:cs="Arial"/>
                <w:szCs w:val="20"/>
              </w:rPr>
              <w:t>CIRIUS Vipava</w:t>
            </w:r>
          </w:p>
          <w:p w14:paraId="52C73D32"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37E28" w14:textId="77777777" w:rsidR="00FE461F" w:rsidRPr="005E4BEA" w:rsidRDefault="00FE461F" w:rsidP="00FE461F">
            <w:pPr>
              <w:spacing w:line="231" w:lineRule="atLeast"/>
              <w:rPr>
                <w:rFonts w:cs="Arial"/>
                <w:szCs w:val="20"/>
              </w:rPr>
            </w:pPr>
            <w:r w:rsidRPr="005E4BEA">
              <w:rPr>
                <w:rFonts w:cs="Arial"/>
                <w:szCs w:val="20"/>
              </w:rPr>
              <w:t xml:space="preserve">9.284 oskrbnih dni </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8B99F4" w14:textId="77777777" w:rsidR="00FE461F" w:rsidRPr="005E4BEA" w:rsidRDefault="00FE461F" w:rsidP="00FE461F">
            <w:pPr>
              <w:spacing w:line="231" w:lineRule="atLeast"/>
              <w:jc w:val="center"/>
              <w:rPr>
                <w:rFonts w:cs="Arial"/>
                <w:szCs w:val="20"/>
              </w:rPr>
            </w:pPr>
            <w:r w:rsidRPr="005E4BEA">
              <w:rPr>
                <w:rFonts w:cs="Arial"/>
                <w:szCs w:val="20"/>
              </w:rPr>
              <w:t>447.219,00</w:t>
            </w:r>
          </w:p>
        </w:tc>
      </w:tr>
      <w:tr w:rsidR="00FE461F" w:rsidRPr="005E4BEA" w14:paraId="0C7CB652"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06A0EA"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580FA4" w14:textId="77777777" w:rsidR="00FE461F" w:rsidRPr="005E4BEA" w:rsidRDefault="00FE461F" w:rsidP="00FE461F">
            <w:pPr>
              <w:spacing w:line="231" w:lineRule="atLeast"/>
              <w:rPr>
                <w:rFonts w:cs="Arial"/>
                <w:szCs w:val="20"/>
              </w:rPr>
            </w:pPr>
            <w:r w:rsidRPr="005E4BEA">
              <w:rPr>
                <w:rFonts w:cs="Arial"/>
                <w:szCs w:val="20"/>
              </w:rPr>
              <w:t xml:space="preserve">Dvig cene programa dnevnega varstva </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5CF03A" w14:textId="77777777" w:rsidR="00FE461F" w:rsidRPr="005E4BEA" w:rsidRDefault="00FE461F" w:rsidP="00FE461F">
            <w:pPr>
              <w:spacing w:line="231" w:lineRule="atLeast"/>
              <w:rPr>
                <w:rFonts w:cs="Arial"/>
                <w:szCs w:val="20"/>
              </w:rPr>
            </w:pPr>
            <w:r w:rsidRPr="005E4BEA">
              <w:rPr>
                <w:rFonts w:cs="Arial"/>
                <w:szCs w:val="20"/>
              </w:rPr>
              <w:t>CIRIUS Vipava</w:t>
            </w:r>
          </w:p>
          <w:p w14:paraId="3A78BF68"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53C68F" w14:textId="77777777" w:rsidR="00FE461F" w:rsidRPr="005E4BEA" w:rsidRDefault="00FE461F" w:rsidP="00FE461F">
            <w:pPr>
              <w:spacing w:line="231" w:lineRule="atLeast"/>
              <w:rPr>
                <w:rFonts w:cs="Arial"/>
                <w:szCs w:val="20"/>
              </w:rPr>
            </w:pPr>
            <w:r w:rsidRPr="005E4BEA">
              <w:rPr>
                <w:rFonts w:cs="Arial"/>
                <w:szCs w:val="20"/>
              </w:rPr>
              <w:t>iz 80 % na 95 % cene, razlika 8,88 evra</w:t>
            </w: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F52441" w14:textId="77777777" w:rsidR="00FE461F" w:rsidRPr="005E4BEA" w:rsidRDefault="00FE461F" w:rsidP="00FE461F">
            <w:pPr>
              <w:spacing w:line="231" w:lineRule="atLeast"/>
              <w:jc w:val="center"/>
              <w:rPr>
                <w:rFonts w:cs="Arial"/>
                <w:szCs w:val="20"/>
              </w:rPr>
            </w:pPr>
            <w:r w:rsidRPr="005E4BEA">
              <w:rPr>
                <w:rFonts w:cs="Arial"/>
                <w:szCs w:val="20"/>
              </w:rPr>
              <w:t>153.624,00</w:t>
            </w:r>
          </w:p>
        </w:tc>
      </w:tr>
      <w:tr w:rsidR="00FE461F" w:rsidRPr="005E4BEA" w14:paraId="6952DCF8" w14:textId="77777777" w:rsidTr="0016774B">
        <w:tc>
          <w:tcPr>
            <w:tcW w:w="4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6B2010" w14:textId="77777777" w:rsidR="00FE461F" w:rsidRPr="005E4BEA" w:rsidRDefault="00FE461F" w:rsidP="00FE461F">
            <w:pPr>
              <w:spacing w:line="231" w:lineRule="atLeast"/>
              <w:jc w:val="both"/>
              <w:rPr>
                <w:rFonts w:cs="Arial"/>
                <w:szCs w:val="20"/>
              </w:rPr>
            </w:pP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B9C919" w14:textId="77777777" w:rsidR="00FE461F" w:rsidRPr="005E4BEA" w:rsidRDefault="00FE461F" w:rsidP="00FE461F">
            <w:pPr>
              <w:spacing w:line="231" w:lineRule="atLeast"/>
              <w:jc w:val="both"/>
              <w:rPr>
                <w:rFonts w:cs="Arial"/>
                <w:szCs w:val="20"/>
              </w:rPr>
            </w:pPr>
            <w:r w:rsidRPr="005E4BEA">
              <w:rPr>
                <w:rFonts w:cs="Arial"/>
                <w:szCs w:val="20"/>
              </w:rPr>
              <w:t>Skupaj</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64A245" w14:textId="77777777" w:rsidR="00FE461F" w:rsidRPr="005E4BEA" w:rsidRDefault="00FE461F" w:rsidP="00FE461F">
            <w:pPr>
              <w:spacing w:line="231" w:lineRule="atLeast"/>
              <w:rPr>
                <w:rFonts w:cs="Arial"/>
                <w:szCs w:val="20"/>
              </w:rPr>
            </w:pPr>
          </w:p>
        </w:tc>
        <w:tc>
          <w:tcPr>
            <w:tcW w:w="22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B1F0E8" w14:textId="77777777" w:rsidR="00FE461F" w:rsidRPr="005E4BEA" w:rsidRDefault="00FE461F" w:rsidP="00FE461F">
            <w:pPr>
              <w:spacing w:line="231" w:lineRule="atLeast"/>
              <w:rPr>
                <w:rFonts w:cs="Arial"/>
                <w:szCs w:val="20"/>
              </w:rPr>
            </w:pPr>
          </w:p>
        </w:tc>
        <w:tc>
          <w:tcPr>
            <w:tcW w:w="1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73C4D3" w14:textId="77777777" w:rsidR="00FE461F" w:rsidRPr="005E4BEA" w:rsidRDefault="00FE461F" w:rsidP="00FE461F">
            <w:pPr>
              <w:spacing w:line="231" w:lineRule="atLeast"/>
              <w:jc w:val="center"/>
              <w:rPr>
                <w:rFonts w:cs="Arial"/>
                <w:b/>
                <w:szCs w:val="20"/>
              </w:rPr>
            </w:pPr>
            <w:r w:rsidRPr="005E4BEA">
              <w:rPr>
                <w:rFonts w:cs="Arial"/>
                <w:b/>
                <w:szCs w:val="20"/>
              </w:rPr>
              <w:t>1.084.278,00</w:t>
            </w:r>
          </w:p>
        </w:tc>
      </w:tr>
    </w:tbl>
    <w:p w14:paraId="2AF3FBEC" w14:textId="77777777" w:rsidR="00FE461F" w:rsidRPr="005E4BEA" w:rsidRDefault="00FE461F" w:rsidP="00FE461F">
      <w:pPr>
        <w:spacing w:line="240" w:lineRule="auto"/>
        <w:jc w:val="both"/>
        <w:rPr>
          <w:rFonts w:cs="Arial"/>
          <w:b/>
          <w:szCs w:val="20"/>
        </w:rPr>
      </w:pPr>
    </w:p>
    <w:p w14:paraId="6D1460CD" w14:textId="77777777" w:rsidR="00FE461F" w:rsidRPr="005E4BEA" w:rsidRDefault="00FE461F" w:rsidP="00FE461F">
      <w:pPr>
        <w:spacing w:line="240" w:lineRule="auto"/>
        <w:jc w:val="both"/>
        <w:rPr>
          <w:rFonts w:eastAsia="Calibri" w:cs="Arial"/>
          <w:color w:val="808080" w:themeColor="background1" w:themeShade="80"/>
          <w:szCs w:val="20"/>
        </w:rPr>
      </w:pPr>
    </w:p>
    <w:p w14:paraId="41D29108" w14:textId="77777777" w:rsidR="00FE461F" w:rsidRPr="005E4BEA" w:rsidRDefault="00FE461F" w:rsidP="00FE461F">
      <w:pPr>
        <w:spacing w:line="240" w:lineRule="auto"/>
        <w:jc w:val="both"/>
        <w:rPr>
          <w:rFonts w:eastAsia="Calibri" w:cs="Arial"/>
          <w:color w:val="808080" w:themeColor="background1" w:themeShade="80"/>
          <w:szCs w:val="20"/>
        </w:rPr>
      </w:pPr>
      <w:r w:rsidRPr="005E4BEA">
        <w:rPr>
          <w:rFonts w:eastAsia="Calibri" w:cs="Arial"/>
          <w:color w:val="808080" w:themeColor="background1" w:themeShade="80"/>
          <w:szCs w:val="20"/>
        </w:rPr>
        <w:t xml:space="preserve">Povečanje števila delavcev v </w:t>
      </w:r>
      <w:r w:rsidRPr="005E4BEA">
        <w:rPr>
          <w:rFonts w:eastAsia="Calibri" w:cs="Arial"/>
          <w:b/>
          <w:bCs/>
          <w:color w:val="808080" w:themeColor="background1" w:themeShade="80"/>
          <w:szCs w:val="20"/>
        </w:rPr>
        <w:t>zavodih za izobraževanje otrok in mladostnikov z motnjami v razvoju j</w:t>
      </w:r>
      <w:r w:rsidRPr="005E4BEA">
        <w:rPr>
          <w:rFonts w:eastAsia="Calibri" w:cs="Arial"/>
          <w:color w:val="808080" w:themeColor="background1" w:themeShade="80"/>
          <w:szCs w:val="20"/>
        </w:rPr>
        <w:t xml:space="preserve">e pogojeno s </w:t>
      </w:r>
      <w:r w:rsidRPr="005E4BEA">
        <w:rPr>
          <w:rFonts w:eastAsia="Calibri" w:cs="Arial"/>
          <w:bCs/>
          <w:color w:val="808080" w:themeColor="background1" w:themeShade="80"/>
          <w:szCs w:val="20"/>
        </w:rPr>
        <w:t xml:space="preserve">povečano obravnavo vedno večjega število oseb s kompleksnejšimi motnjami (SC Planina, OŠ Gustava Šiliha Maribor, OŠ Glazija Celje, OŠ dr. Ljudevita Pivka Ptuj). </w:t>
      </w:r>
    </w:p>
    <w:p w14:paraId="4612C3C9" w14:textId="77777777" w:rsidR="00FE461F" w:rsidRPr="005E4BEA" w:rsidRDefault="00FE461F" w:rsidP="00FE461F">
      <w:pPr>
        <w:spacing w:line="240" w:lineRule="auto"/>
        <w:jc w:val="both"/>
        <w:rPr>
          <w:rFonts w:cs="Arial"/>
          <w:szCs w:val="20"/>
        </w:rPr>
      </w:pPr>
    </w:p>
    <w:p w14:paraId="58EDD4BA" w14:textId="77777777" w:rsidR="00FE461F" w:rsidRPr="005E4BEA" w:rsidRDefault="00FE461F" w:rsidP="00FE461F">
      <w:pPr>
        <w:spacing w:line="240" w:lineRule="auto"/>
        <w:rPr>
          <w:rFonts w:cs="Arial"/>
          <w:szCs w:val="20"/>
        </w:rPr>
      </w:pPr>
    </w:p>
    <w:tbl>
      <w:tblPr>
        <w:tblW w:w="0" w:type="auto"/>
        <w:shd w:val="clear" w:color="auto" w:fill="FFFFFF"/>
        <w:tblCellMar>
          <w:left w:w="0" w:type="dxa"/>
          <w:right w:w="0" w:type="dxa"/>
        </w:tblCellMar>
        <w:tblLook w:val="04A0" w:firstRow="1" w:lastRow="0" w:firstColumn="1" w:lastColumn="0" w:noHBand="0" w:noVBand="1"/>
      </w:tblPr>
      <w:tblGrid>
        <w:gridCol w:w="337"/>
        <w:gridCol w:w="1848"/>
        <w:gridCol w:w="2145"/>
        <w:gridCol w:w="2010"/>
        <w:gridCol w:w="2138"/>
      </w:tblGrid>
      <w:tr w:rsidR="00FE461F" w:rsidRPr="005E4BEA" w14:paraId="217FDEC6"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06D430" w14:textId="77777777" w:rsidR="00FE461F" w:rsidRPr="005E4BEA" w:rsidRDefault="00FE461F" w:rsidP="00FE461F">
            <w:pPr>
              <w:spacing w:line="231" w:lineRule="atLeast"/>
              <w:jc w:val="both"/>
              <w:rPr>
                <w:rFonts w:cs="Arial"/>
                <w:szCs w:val="20"/>
              </w:rPr>
            </w:pPr>
            <w:bookmarkStart w:id="103" w:name="_Hlk103095855"/>
            <w:r w:rsidRPr="005E4BEA">
              <w:rPr>
                <w:rFonts w:cs="Arial"/>
                <w:szCs w:val="20"/>
              </w:rPr>
              <w:t> </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C070F81" w14:textId="77777777" w:rsidR="00FE461F" w:rsidRPr="005E4BEA" w:rsidRDefault="00FE461F" w:rsidP="00FE461F">
            <w:pPr>
              <w:spacing w:line="231" w:lineRule="atLeast"/>
              <w:jc w:val="both"/>
              <w:rPr>
                <w:rFonts w:cs="Arial"/>
                <w:szCs w:val="20"/>
              </w:rPr>
            </w:pPr>
            <w:r w:rsidRPr="005E4BEA">
              <w:rPr>
                <w:rFonts w:cs="Arial"/>
                <w:szCs w:val="20"/>
              </w:rPr>
              <w:t>Program</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5EA8813" w14:textId="77777777" w:rsidR="00FE461F" w:rsidRPr="005E4BEA" w:rsidRDefault="00FE461F" w:rsidP="00FE461F">
            <w:pPr>
              <w:spacing w:line="231" w:lineRule="atLeast"/>
              <w:jc w:val="both"/>
              <w:rPr>
                <w:rFonts w:cs="Arial"/>
                <w:szCs w:val="20"/>
              </w:rPr>
            </w:pPr>
            <w:r w:rsidRPr="005E4BEA">
              <w:rPr>
                <w:rFonts w:cs="Arial"/>
                <w:szCs w:val="20"/>
              </w:rPr>
              <w:t>Izvajalec</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173344B" w14:textId="77777777" w:rsidR="00FE461F" w:rsidRPr="005E4BEA" w:rsidRDefault="00FE461F" w:rsidP="00FE461F">
            <w:pPr>
              <w:spacing w:line="231" w:lineRule="atLeast"/>
              <w:jc w:val="both"/>
              <w:rPr>
                <w:rFonts w:cs="Arial"/>
                <w:szCs w:val="20"/>
              </w:rPr>
            </w:pPr>
            <w:r w:rsidRPr="005E4BEA">
              <w:rPr>
                <w:rFonts w:cs="Arial"/>
                <w:szCs w:val="20"/>
              </w:rPr>
              <w:t>Obseg programa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A9F098" w14:textId="77777777" w:rsidR="00FE461F" w:rsidRPr="005E4BEA" w:rsidRDefault="00FE461F" w:rsidP="00FE461F">
            <w:pPr>
              <w:spacing w:line="231" w:lineRule="atLeast"/>
              <w:jc w:val="both"/>
              <w:rPr>
                <w:rFonts w:cs="Arial"/>
                <w:szCs w:val="20"/>
              </w:rPr>
            </w:pPr>
            <w:r w:rsidRPr="005E4BEA">
              <w:rPr>
                <w:rFonts w:cs="Arial"/>
                <w:szCs w:val="20"/>
              </w:rPr>
              <w:t>Dodatna sredstva na letni ravni  (v EUR)</w:t>
            </w:r>
          </w:p>
        </w:tc>
      </w:tr>
      <w:tr w:rsidR="00FE461F" w:rsidRPr="005E4BEA" w14:paraId="21A49191" w14:textId="77777777" w:rsidTr="0016774B">
        <w:tc>
          <w:tcPr>
            <w:tcW w:w="3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920674" w14:textId="77777777" w:rsidR="00FE461F" w:rsidRPr="005E4BEA" w:rsidRDefault="00FE461F" w:rsidP="00FE461F">
            <w:pPr>
              <w:spacing w:line="231" w:lineRule="atLeast"/>
              <w:jc w:val="both"/>
              <w:rPr>
                <w:rFonts w:cs="Arial"/>
                <w:szCs w:val="20"/>
              </w:rPr>
            </w:pPr>
            <w:r w:rsidRPr="005E4BEA">
              <w:rPr>
                <w:rFonts w:cs="Arial"/>
                <w:szCs w:val="20"/>
              </w:rPr>
              <w:lastRenderedPageBreak/>
              <w:t>1</w:t>
            </w:r>
          </w:p>
        </w:tc>
        <w:tc>
          <w:tcPr>
            <w:tcW w:w="1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A0E76A5" w14:textId="77777777" w:rsidR="00FE461F" w:rsidRPr="005E4BEA" w:rsidRDefault="00FE461F" w:rsidP="00FE461F">
            <w:pPr>
              <w:spacing w:line="231" w:lineRule="atLeast"/>
              <w:jc w:val="both"/>
              <w:rPr>
                <w:rFonts w:cs="Arial"/>
                <w:szCs w:val="20"/>
              </w:rPr>
            </w:pPr>
            <w:r w:rsidRPr="005E4BEA">
              <w:rPr>
                <w:rFonts w:cs="Arial"/>
                <w:szCs w:val="20"/>
              </w:rPr>
              <w:t>Povečanje števila delavcev</w:t>
            </w:r>
          </w:p>
        </w:tc>
        <w:tc>
          <w:tcPr>
            <w:tcW w:w="2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EA5E00" w14:textId="77777777" w:rsidR="00FE461F" w:rsidRPr="005E4BEA" w:rsidRDefault="00FE461F" w:rsidP="00FE461F">
            <w:pPr>
              <w:spacing w:line="240" w:lineRule="auto"/>
              <w:rPr>
                <w:rFonts w:eastAsia="Calibri" w:cs="Arial"/>
                <w:bCs/>
                <w:szCs w:val="20"/>
              </w:rPr>
            </w:pPr>
            <w:r w:rsidRPr="005E4BEA">
              <w:rPr>
                <w:rFonts w:eastAsia="Calibri" w:cs="Arial"/>
                <w:bCs/>
                <w:szCs w:val="20"/>
              </w:rPr>
              <w:t>OŠ dr. Ljudevita Pivka, Ptuj</w:t>
            </w:r>
          </w:p>
        </w:tc>
        <w:tc>
          <w:tcPr>
            <w:tcW w:w="2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24F979" w14:textId="77777777" w:rsidR="00FE461F" w:rsidRPr="005E4BEA" w:rsidRDefault="00FE461F" w:rsidP="00FE461F">
            <w:pPr>
              <w:spacing w:line="231" w:lineRule="atLeast"/>
              <w:rPr>
                <w:rFonts w:cs="Arial"/>
                <w:szCs w:val="20"/>
              </w:rPr>
            </w:pPr>
            <w:r w:rsidRPr="005E4BEA">
              <w:rPr>
                <w:rFonts w:cs="Arial"/>
                <w:szCs w:val="20"/>
              </w:rPr>
              <w:t>0,5 fizioterapevt</w:t>
            </w:r>
          </w:p>
          <w:p w14:paraId="668357C5" w14:textId="77777777" w:rsidR="00FE461F" w:rsidRPr="005E4BEA" w:rsidRDefault="00FE461F" w:rsidP="00FE461F">
            <w:pPr>
              <w:spacing w:line="231" w:lineRule="atLeast"/>
              <w:rPr>
                <w:rFonts w:cs="Arial"/>
                <w:szCs w:val="20"/>
              </w:rPr>
            </w:pPr>
            <w:r w:rsidRPr="005E4BEA">
              <w:rPr>
                <w:rFonts w:cs="Arial"/>
                <w:szCs w:val="20"/>
              </w:rPr>
              <w:t>1,0 logoped</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CAFEFA" w14:textId="77777777" w:rsidR="00FE461F" w:rsidRPr="005E4BEA" w:rsidRDefault="00FE461F" w:rsidP="00FE461F">
            <w:pPr>
              <w:spacing w:line="231" w:lineRule="atLeast"/>
              <w:jc w:val="center"/>
              <w:rPr>
                <w:rFonts w:cs="Arial"/>
                <w:szCs w:val="20"/>
              </w:rPr>
            </w:pPr>
            <w:r w:rsidRPr="005E4BEA">
              <w:rPr>
                <w:rFonts w:cs="Arial"/>
                <w:szCs w:val="20"/>
              </w:rPr>
              <w:t>64.280,00</w:t>
            </w:r>
          </w:p>
        </w:tc>
      </w:tr>
      <w:tr w:rsidR="00FE461F" w:rsidRPr="005E4BEA" w14:paraId="6F99043E" w14:textId="77777777" w:rsidTr="0016774B">
        <w:tc>
          <w:tcPr>
            <w:tcW w:w="3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712BDC" w14:textId="77777777" w:rsidR="00FE461F" w:rsidRPr="005E4BEA" w:rsidRDefault="00FE461F" w:rsidP="00FE461F">
            <w:pPr>
              <w:spacing w:line="231" w:lineRule="atLeast"/>
              <w:jc w:val="both"/>
              <w:rPr>
                <w:rFonts w:cs="Arial"/>
                <w:szCs w:val="20"/>
              </w:rPr>
            </w:pPr>
            <w:r w:rsidRPr="005E4BEA">
              <w:rPr>
                <w:rFonts w:cs="Arial"/>
                <w:szCs w:val="20"/>
              </w:rPr>
              <w:t>2</w:t>
            </w:r>
          </w:p>
        </w:tc>
        <w:tc>
          <w:tcPr>
            <w:tcW w:w="1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AC7C00" w14:textId="77777777" w:rsidR="00FE461F" w:rsidRPr="005E4BEA" w:rsidRDefault="00FE461F" w:rsidP="00FE461F">
            <w:pPr>
              <w:spacing w:line="231" w:lineRule="atLeast"/>
              <w:jc w:val="both"/>
              <w:rPr>
                <w:rFonts w:cs="Arial"/>
                <w:szCs w:val="20"/>
              </w:rPr>
            </w:pPr>
            <w:r w:rsidRPr="005E4BEA">
              <w:rPr>
                <w:rFonts w:cs="Arial"/>
                <w:szCs w:val="20"/>
              </w:rPr>
              <w:t>Povečanje števila delavcev</w:t>
            </w:r>
          </w:p>
        </w:tc>
        <w:tc>
          <w:tcPr>
            <w:tcW w:w="2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1DE71D" w14:textId="77777777" w:rsidR="00FE461F" w:rsidRPr="005E4BEA" w:rsidRDefault="00FE461F" w:rsidP="00FE461F">
            <w:pPr>
              <w:spacing w:line="240" w:lineRule="auto"/>
              <w:rPr>
                <w:rFonts w:eastAsia="Calibri" w:cs="Arial"/>
                <w:bCs/>
                <w:szCs w:val="20"/>
              </w:rPr>
            </w:pPr>
            <w:r w:rsidRPr="005E4BEA">
              <w:rPr>
                <w:rFonts w:eastAsia="Calibri" w:cs="Arial"/>
                <w:bCs/>
                <w:szCs w:val="20"/>
              </w:rPr>
              <w:t>OŠ Glazija Celje</w:t>
            </w:r>
          </w:p>
        </w:tc>
        <w:tc>
          <w:tcPr>
            <w:tcW w:w="2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F381895" w14:textId="77777777" w:rsidR="00FE461F" w:rsidRPr="005E4BEA" w:rsidRDefault="00FE461F" w:rsidP="00FE461F">
            <w:pPr>
              <w:spacing w:line="231" w:lineRule="atLeast"/>
              <w:rPr>
                <w:rFonts w:cs="Arial"/>
                <w:szCs w:val="20"/>
              </w:rPr>
            </w:pPr>
            <w:r w:rsidRPr="005E4BEA">
              <w:rPr>
                <w:rFonts w:cs="Arial"/>
                <w:szCs w:val="20"/>
              </w:rPr>
              <w:t xml:space="preserve">1,0 delovni terapevt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13C5D2" w14:textId="77777777" w:rsidR="00FE461F" w:rsidRPr="005E4BEA" w:rsidRDefault="00FE461F" w:rsidP="00FE461F">
            <w:pPr>
              <w:spacing w:line="231" w:lineRule="atLeast"/>
              <w:jc w:val="center"/>
              <w:rPr>
                <w:rFonts w:cs="Arial"/>
                <w:szCs w:val="20"/>
              </w:rPr>
            </w:pPr>
            <w:r w:rsidRPr="005E4BEA">
              <w:rPr>
                <w:rFonts w:cs="Arial"/>
                <w:szCs w:val="20"/>
              </w:rPr>
              <w:t>30.144,00</w:t>
            </w:r>
          </w:p>
        </w:tc>
      </w:tr>
      <w:tr w:rsidR="00FE461F" w:rsidRPr="005E4BEA" w14:paraId="68D7A3E5" w14:textId="77777777" w:rsidTr="0016774B">
        <w:tc>
          <w:tcPr>
            <w:tcW w:w="3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44C192" w14:textId="77777777" w:rsidR="00FE461F" w:rsidRPr="005E4BEA" w:rsidRDefault="00FE461F" w:rsidP="00FE461F">
            <w:pPr>
              <w:spacing w:line="231" w:lineRule="atLeast"/>
              <w:jc w:val="both"/>
              <w:rPr>
                <w:rFonts w:cs="Arial"/>
                <w:szCs w:val="20"/>
              </w:rPr>
            </w:pPr>
            <w:r w:rsidRPr="005E4BEA">
              <w:rPr>
                <w:rFonts w:cs="Arial"/>
                <w:szCs w:val="20"/>
              </w:rPr>
              <w:t>3</w:t>
            </w:r>
          </w:p>
        </w:tc>
        <w:tc>
          <w:tcPr>
            <w:tcW w:w="1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C2F267" w14:textId="77777777" w:rsidR="00FE461F" w:rsidRPr="005E4BEA" w:rsidRDefault="00FE461F" w:rsidP="00FE461F">
            <w:pPr>
              <w:spacing w:line="231" w:lineRule="atLeast"/>
              <w:jc w:val="both"/>
              <w:rPr>
                <w:rFonts w:cs="Arial"/>
                <w:szCs w:val="20"/>
              </w:rPr>
            </w:pPr>
            <w:r w:rsidRPr="005E4BEA">
              <w:rPr>
                <w:rFonts w:cs="Arial"/>
                <w:szCs w:val="20"/>
              </w:rPr>
              <w:t>Povečanje števila delavcev</w:t>
            </w:r>
          </w:p>
        </w:tc>
        <w:tc>
          <w:tcPr>
            <w:tcW w:w="2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DA36A1" w14:textId="77777777" w:rsidR="00FE461F" w:rsidRPr="005E4BEA" w:rsidRDefault="00FE461F" w:rsidP="00FE461F">
            <w:pPr>
              <w:spacing w:line="240" w:lineRule="auto"/>
              <w:rPr>
                <w:rFonts w:eastAsia="Calibri" w:cs="Arial"/>
                <w:bCs/>
                <w:szCs w:val="20"/>
              </w:rPr>
            </w:pPr>
            <w:r w:rsidRPr="005E4BEA">
              <w:rPr>
                <w:rFonts w:eastAsia="Calibri" w:cs="Arial"/>
                <w:bCs/>
                <w:szCs w:val="20"/>
              </w:rPr>
              <w:t>OŠ Gustava Šiliha, Maribor</w:t>
            </w:r>
          </w:p>
        </w:tc>
        <w:tc>
          <w:tcPr>
            <w:tcW w:w="2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6E96D4" w14:textId="77777777" w:rsidR="00FE461F" w:rsidRPr="005E4BEA" w:rsidRDefault="00FE461F" w:rsidP="00FE461F">
            <w:pPr>
              <w:spacing w:line="231" w:lineRule="atLeast"/>
              <w:rPr>
                <w:rFonts w:cs="Arial"/>
                <w:szCs w:val="20"/>
              </w:rPr>
            </w:pPr>
            <w:r w:rsidRPr="005E4BEA">
              <w:rPr>
                <w:rFonts w:cs="Arial"/>
                <w:szCs w:val="20"/>
              </w:rPr>
              <w:t>1,0 logoped</w:t>
            </w:r>
          </w:p>
          <w:p w14:paraId="409D22C6" w14:textId="77777777" w:rsidR="00FE461F" w:rsidRPr="005E4BEA" w:rsidRDefault="00FE461F" w:rsidP="00FE461F">
            <w:pPr>
              <w:spacing w:line="231" w:lineRule="atLeast"/>
              <w:rPr>
                <w:rFonts w:cs="Arial"/>
                <w:szCs w:val="20"/>
              </w:rPr>
            </w:pPr>
            <w:r w:rsidRPr="005E4BEA">
              <w:rPr>
                <w:rFonts w:cs="Arial"/>
                <w:szCs w:val="20"/>
              </w:rPr>
              <w:t>1,0 delovni terapevt</w:t>
            </w:r>
          </w:p>
          <w:p w14:paraId="674BE503" w14:textId="77777777" w:rsidR="00FE461F" w:rsidRPr="005E4BEA" w:rsidRDefault="00FE461F" w:rsidP="00FE461F">
            <w:pPr>
              <w:spacing w:line="231" w:lineRule="atLeast"/>
              <w:rPr>
                <w:rFonts w:cs="Arial"/>
                <w:szCs w:val="20"/>
              </w:rPr>
            </w:pPr>
            <w:r w:rsidRPr="005E4BEA">
              <w:rPr>
                <w:rFonts w:cs="Arial"/>
                <w:szCs w:val="20"/>
              </w:rPr>
              <w:t>1,0 fizioterapevt</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9D912F" w14:textId="77777777" w:rsidR="00FE461F" w:rsidRPr="005E4BEA" w:rsidRDefault="00FE461F" w:rsidP="00FE461F">
            <w:pPr>
              <w:spacing w:line="231" w:lineRule="atLeast"/>
              <w:jc w:val="center"/>
              <w:rPr>
                <w:rFonts w:cs="Arial"/>
                <w:szCs w:val="20"/>
              </w:rPr>
            </w:pPr>
            <w:r w:rsidRPr="005E4BEA">
              <w:rPr>
                <w:rFonts w:cs="Arial"/>
                <w:szCs w:val="20"/>
              </w:rPr>
              <w:t>78.738,00</w:t>
            </w:r>
          </w:p>
        </w:tc>
      </w:tr>
      <w:tr w:rsidR="00FE461F" w:rsidRPr="005E4BEA" w14:paraId="47587925" w14:textId="77777777" w:rsidTr="0016774B">
        <w:tc>
          <w:tcPr>
            <w:tcW w:w="3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B770A4" w14:textId="77777777" w:rsidR="00FE461F" w:rsidRPr="005E4BEA" w:rsidRDefault="00FE461F" w:rsidP="00FE461F">
            <w:pPr>
              <w:spacing w:line="231" w:lineRule="atLeast"/>
              <w:jc w:val="both"/>
              <w:rPr>
                <w:rFonts w:cs="Arial"/>
                <w:szCs w:val="20"/>
              </w:rPr>
            </w:pPr>
            <w:r w:rsidRPr="005E4BEA">
              <w:rPr>
                <w:rFonts w:cs="Arial"/>
                <w:szCs w:val="20"/>
              </w:rPr>
              <w:t>4</w:t>
            </w:r>
          </w:p>
        </w:tc>
        <w:tc>
          <w:tcPr>
            <w:tcW w:w="1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69255D" w14:textId="77777777" w:rsidR="00FE461F" w:rsidRPr="005E4BEA" w:rsidRDefault="00FE461F" w:rsidP="00FE461F">
            <w:pPr>
              <w:spacing w:line="231" w:lineRule="atLeast"/>
              <w:jc w:val="both"/>
              <w:rPr>
                <w:rFonts w:cs="Arial"/>
                <w:szCs w:val="20"/>
              </w:rPr>
            </w:pPr>
            <w:r w:rsidRPr="005E4BEA">
              <w:rPr>
                <w:rFonts w:cs="Arial"/>
                <w:szCs w:val="20"/>
              </w:rPr>
              <w:t>Povečanje števila delavcev</w:t>
            </w:r>
          </w:p>
        </w:tc>
        <w:tc>
          <w:tcPr>
            <w:tcW w:w="2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CB15D6" w14:textId="77777777" w:rsidR="00FE461F" w:rsidRPr="005E4BEA" w:rsidRDefault="00FE461F" w:rsidP="00FE461F">
            <w:pPr>
              <w:spacing w:line="240" w:lineRule="auto"/>
              <w:rPr>
                <w:rFonts w:eastAsia="Calibri" w:cs="Arial"/>
                <w:bCs/>
                <w:szCs w:val="20"/>
              </w:rPr>
            </w:pPr>
            <w:r w:rsidRPr="005E4BEA">
              <w:rPr>
                <w:rFonts w:eastAsia="Calibri" w:cs="Arial"/>
                <w:bCs/>
                <w:szCs w:val="20"/>
              </w:rPr>
              <w:t>OŠ Minke Namestnik Sonje, Slovenska Bistrica</w:t>
            </w:r>
          </w:p>
        </w:tc>
        <w:tc>
          <w:tcPr>
            <w:tcW w:w="2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117D4C" w14:textId="77777777" w:rsidR="00FE461F" w:rsidRPr="005E4BEA" w:rsidRDefault="00FE461F" w:rsidP="00FE461F">
            <w:pPr>
              <w:spacing w:line="231" w:lineRule="atLeast"/>
              <w:rPr>
                <w:rFonts w:cs="Arial"/>
                <w:szCs w:val="20"/>
              </w:rPr>
            </w:pPr>
            <w:r w:rsidRPr="005E4BEA">
              <w:rPr>
                <w:rFonts w:cs="Arial"/>
                <w:szCs w:val="20"/>
              </w:rPr>
              <w:t>0,5 logoped</w:t>
            </w:r>
          </w:p>
          <w:p w14:paraId="33009C2F" w14:textId="77777777" w:rsidR="00FE461F" w:rsidRPr="005E4BEA" w:rsidRDefault="00FE461F" w:rsidP="00FE461F">
            <w:pPr>
              <w:spacing w:line="231" w:lineRule="atLeast"/>
              <w:rPr>
                <w:rFonts w:cs="Arial"/>
                <w:szCs w:val="20"/>
              </w:rPr>
            </w:pPr>
            <w:r w:rsidRPr="005E4BEA">
              <w:rPr>
                <w:rFonts w:cs="Arial"/>
                <w:szCs w:val="20"/>
              </w:rPr>
              <w:t>0,5 delovni terapevt</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748D2B" w14:textId="77777777" w:rsidR="00FE461F" w:rsidRPr="005E4BEA" w:rsidRDefault="00FE461F" w:rsidP="00FE461F">
            <w:pPr>
              <w:spacing w:line="231" w:lineRule="atLeast"/>
              <w:jc w:val="center"/>
              <w:rPr>
                <w:rFonts w:cs="Arial"/>
                <w:szCs w:val="20"/>
              </w:rPr>
            </w:pPr>
            <w:r w:rsidRPr="005E4BEA">
              <w:rPr>
                <w:rFonts w:cs="Arial"/>
                <w:szCs w:val="20"/>
              </w:rPr>
              <w:t>24.404,00</w:t>
            </w:r>
          </w:p>
        </w:tc>
      </w:tr>
      <w:tr w:rsidR="00FE461F" w:rsidRPr="005E4BEA" w14:paraId="3F35C6B6" w14:textId="77777777" w:rsidTr="0016774B">
        <w:tc>
          <w:tcPr>
            <w:tcW w:w="3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2C6812" w14:textId="77777777" w:rsidR="00FE461F" w:rsidRPr="005E4BEA" w:rsidRDefault="00FE461F" w:rsidP="00FE461F">
            <w:pPr>
              <w:spacing w:line="231" w:lineRule="atLeast"/>
              <w:jc w:val="both"/>
              <w:rPr>
                <w:rFonts w:cs="Arial"/>
                <w:szCs w:val="20"/>
              </w:rPr>
            </w:pPr>
            <w:r w:rsidRPr="005E4BEA">
              <w:rPr>
                <w:rFonts w:cs="Arial"/>
                <w:szCs w:val="20"/>
              </w:rPr>
              <w:t>5</w:t>
            </w:r>
          </w:p>
        </w:tc>
        <w:tc>
          <w:tcPr>
            <w:tcW w:w="1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A13608" w14:textId="77777777" w:rsidR="00FE461F" w:rsidRPr="005E4BEA" w:rsidRDefault="00FE461F" w:rsidP="00FE461F">
            <w:pPr>
              <w:spacing w:line="231" w:lineRule="atLeast"/>
              <w:jc w:val="both"/>
              <w:rPr>
                <w:rFonts w:cs="Arial"/>
                <w:szCs w:val="20"/>
              </w:rPr>
            </w:pPr>
            <w:r w:rsidRPr="005E4BEA">
              <w:rPr>
                <w:rFonts w:cs="Arial"/>
                <w:szCs w:val="20"/>
              </w:rPr>
              <w:t>Povečanje števila delavcev (za dve novi skupini)</w:t>
            </w:r>
          </w:p>
        </w:tc>
        <w:tc>
          <w:tcPr>
            <w:tcW w:w="2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A2B34A" w14:textId="77777777" w:rsidR="00FE461F" w:rsidRPr="005E4BEA" w:rsidRDefault="00FE461F" w:rsidP="00FE461F">
            <w:pPr>
              <w:spacing w:line="240" w:lineRule="auto"/>
              <w:rPr>
                <w:rFonts w:eastAsia="Calibri" w:cs="Arial"/>
                <w:bCs/>
                <w:szCs w:val="20"/>
              </w:rPr>
            </w:pPr>
            <w:r w:rsidRPr="005E4BEA">
              <w:rPr>
                <w:rFonts w:eastAsia="Calibri" w:cs="Arial"/>
                <w:bCs/>
                <w:szCs w:val="20"/>
              </w:rPr>
              <w:t>Strokovni center Planina</w:t>
            </w:r>
          </w:p>
        </w:tc>
        <w:tc>
          <w:tcPr>
            <w:tcW w:w="2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C4E450" w14:textId="77777777" w:rsidR="00FE461F" w:rsidRPr="005E4BEA" w:rsidRDefault="00FE461F" w:rsidP="00FE461F">
            <w:pPr>
              <w:spacing w:line="231" w:lineRule="atLeast"/>
              <w:rPr>
                <w:rFonts w:cs="Arial"/>
                <w:szCs w:val="20"/>
              </w:rPr>
            </w:pPr>
            <w:r w:rsidRPr="005E4BEA">
              <w:rPr>
                <w:rFonts w:cs="Arial"/>
                <w:szCs w:val="20"/>
              </w:rPr>
              <w:t>0,20 zdravnik specialist</w:t>
            </w:r>
          </w:p>
          <w:p w14:paraId="3577C760" w14:textId="77777777" w:rsidR="00FE461F" w:rsidRPr="005E4BEA" w:rsidRDefault="00FE461F" w:rsidP="00FE461F">
            <w:pPr>
              <w:spacing w:line="231" w:lineRule="atLeast"/>
              <w:rPr>
                <w:rFonts w:cs="Arial"/>
                <w:szCs w:val="20"/>
              </w:rPr>
            </w:pPr>
            <w:r w:rsidRPr="005E4BEA">
              <w:rPr>
                <w:rFonts w:cs="Arial"/>
                <w:szCs w:val="20"/>
              </w:rPr>
              <w:t>0,50 klinični psiholog</w:t>
            </w:r>
          </w:p>
          <w:p w14:paraId="4F288085" w14:textId="77777777" w:rsidR="00FE461F" w:rsidRPr="005E4BEA" w:rsidRDefault="00FE461F" w:rsidP="00FE461F">
            <w:pPr>
              <w:spacing w:line="231" w:lineRule="atLeast"/>
              <w:rPr>
                <w:rFonts w:cs="Arial"/>
                <w:szCs w:val="20"/>
              </w:rPr>
            </w:pPr>
            <w:r w:rsidRPr="005E4BEA">
              <w:rPr>
                <w:rFonts w:cs="Arial"/>
                <w:szCs w:val="20"/>
              </w:rPr>
              <w:t xml:space="preserve">0,50 diplomirana medicinska sestra </w:t>
            </w:r>
          </w:p>
          <w:p w14:paraId="5FD75591" w14:textId="77777777" w:rsidR="00FE461F" w:rsidRPr="005E4BEA" w:rsidRDefault="00FE461F" w:rsidP="00FE461F">
            <w:pPr>
              <w:spacing w:line="231" w:lineRule="atLeast"/>
              <w:rPr>
                <w:rFonts w:cs="Arial"/>
                <w:szCs w:val="20"/>
              </w:rPr>
            </w:pPr>
            <w:r w:rsidRPr="005E4BEA">
              <w:rPr>
                <w:rFonts w:cs="Arial"/>
                <w:szCs w:val="20"/>
              </w:rPr>
              <w:t>10,0 zdravstveni tehnik</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FA810D" w14:textId="77777777" w:rsidR="00FE461F" w:rsidRPr="005E4BEA" w:rsidRDefault="00FE461F" w:rsidP="00FE461F">
            <w:pPr>
              <w:spacing w:line="231" w:lineRule="atLeast"/>
              <w:jc w:val="center"/>
              <w:rPr>
                <w:rFonts w:cs="Arial"/>
                <w:szCs w:val="20"/>
              </w:rPr>
            </w:pPr>
            <w:r w:rsidRPr="005E4BEA">
              <w:rPr>
                <w:rFonts w:cs="Arial"/>
                <w:szCs w:val="20"/>
              </w:rPr>
              <w:t>354.529,00</w:t>
            </w:r>
          </w:p>
        </w:tc>
      </w:tr>
      <w:tr w:rsidR="00FE461F" w:rsidRPr="005E4BEA" w14:paraId="3E73FD48" w14:textId="77777777" w:rsidTr="0016774B">
        <w:tc>
          <w:tcPr>
            <w:tcW w:w="3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14F8AE" w14:textId="77777777" w:rsidR="00FE461F" w:rsidRPr="005E4BEA" w:rsidRDefault="00FE461F" w:rsidP="00FE461F">
            <w:pPr>
              <w:spacing w:line="231" w:lineRule="atLeast"/>
              <w:jc w:val="both"/>
              <w:rPr>
                <w:rFonts w:cs="Arial"/>
                <w:szCs w:val="20"/>
              </w:rPr>
            </w:pPr>
          </w:p>
        </w:tc>
        <w:tc>
          <w:tcPr>
            <w:tcW w:w="1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94E667" w14:textId="77777777" w:rsidR="00FE461F" w:rsidRPr="005E4BEA" w:rsidRDefault="00FE461F" w:rsidP="00FE461F">
            <w:pPr>
              <w:spacing w:line="231" w:lineRule="atLeast"/>
              <w:jc w:val="both"/>
              <w:rPr>
                <w:rFonts w:cs="Arial"/>
                <w:szCs w:val="20"/>
              </w:rPr>
            </w:pPr>
            <w:r w:rsidRPr="005E4BEA">
              <w:rPr>
                <w:rFonts w:cs="Arial"/>
                <w:szCs w:val="20"/>
              </w:rPr>
              <w:t>Skupaj</w:t>
            </w:r>
          </w:p>
        </w:tc>
        <w:tc>
          <w:tcPr>
            <w:tcW w:w="22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357EA4B" w14:textId="77777777" w:rsidR="00FE461F" w:rsidRPr="005E4BEA" w:rsidRDefault="00FE461F" w:rsidP="00FE461F">
            <w:pPr>
              <w:spacing w:line="231" w:lineRule="atLeast"/>
              <w:rPr>
                <w:rFonts w:cs="Arial"/>
                <w:szCs w:val="20"/>
              </w:rPr>
            </w:pPr>
          </w:p>
        </w:tc>
        <w:tc>
          <w:tcPr>
            <w:tcW w:w="2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C3EFDF" w14:textId="77777777" w:rsidR="00FE461F" w:rsidRPr="005E4BEA" w:rsidRDefault="00FE461F" w:rsidP="00FE461F">
            <w:pPr>
              <w:spacing w:line="231" w:lineRule="atLeast"/>
              <w:rPr>
                <w:rFonts w:cs="Arial"/>
                <w:szCs w:val="20"/>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D639CC" w14:textId="77777777" w:rsidR="00FE461F" w:rsidRPr="005E4BEA" w:rsidRDefault="00FE461F" w:rsidP="00FE461F">
            <w:pPr>
              <w:spacing w:line="231" w:lineRule="atLeast"/>
              <w:jc w:val="center"/>
              <w:rPr>
                <w:rFonts w:cs="Arial"/>
                <w:b/>
                <w:szCs w:val="20"/>
              </w:rPr>
            </w:pPr>
            <w:r w:rsidRPr="005E4BEA">
              <w:rPr>
                <w:rFonts w:cs="Arial"/>
                <w:b/>
                <w:szCs w:val="20"/>
              </w:rPr>
              <w:t>551.995,00</w:t>
            </w:r>
          </w:p>
        </w:tc>
      </w:tr>
      <w:bookmarkEnd w:id="103"/>
    </w:tbl>
    <w:p w14:paraId="02C89983" w14:textId="77777777" w:rsidR="00FE461F" w:rsidRPr="005E4BEA" w:rsidRDefault="00FE461F" w:rsidP="00FE461F">
      <w:pPr>
        <w:spacing w:line="240" w:lineRule="auto"/>
        <w:rPr>
          <w:rFonts w:cs="Arial"/>
          <w:b/>
          <w:szCs w:val="20"/>
          <w:lang w:eastAsia="sl-SI"/>
        </w:rPr>
      </w:pPr>
    </w:p>
    <w:p w14:paraId="64B5EEB6" w14:textId="77777777" w:rsidR="00FE461F" w:rsidRPr="005E4BEA" w:rsidRDefault="00FE461F" w:rsidP="00FE461F">
      <w:pPr>
        <w:shd w:val="clear" w:color="auto" w:fill="FFFFFF"/>
        <w:spacing w:line="240" w:lineRule="auto"/>
        <w:jc w:val="both"/>
        <w:rPr>
          <w:rFonts w:cs="Arial"/>
          <w:color w:val="000000"/>
          <w:szCs w:val="20"/>
        </w:rPr>
      </w:pPr>
    </w:p>
    <w:p w14:paraId="329397D5" w14:textId="77777777" w:rsidR="00FE461F" w:rsidRPr="005E4BEA" w:rsidRDefault="00FE461F" w:rsidP="00FE461F">
      <w:pPr>
        <w:spacing w:line="240" w:lineRule="auto"/>
        <w:jc w:val="both"/>
        <w:rPr>
          <w:rFonts w:eastAsia="Calibri" w:cs="Arial"/>
          <w:bCs/>
          <w:color w:val="808080" w:themeColor="background1" w:themeShade="80"/>
          <w:szCs w:val="20"/>
        </w:rPr>
      </w:pPr>
      <w:r w:rsidRPr="005E4BEA">
        <w:rPr>
          <w:rFonts w:eastAsia="Calibri" w:cs="Arial"/>
          <w:color w:val="808080" w:themeColor="background1" w:themeShade="80"/>
          <w:szCs w:val="20"/>
        </w:rPr>
        <w:t xml:space="preserve">Povečanje števila delavcev v </w:t>
      </w:r>
      <w:r w:rsidRPr="005E4BEA">
        <w:rPr>
          <w:rFonts w:eastAsia="Calibri" w:cs="Arial"/>
          <w:b/>
          <w:bCs/>
          <w:color w:val="808080" w:themeColor="background1" w:themeShade="80"/>
          <w:szCs w:val="20"/>
        </w:rPr>
        <w:t xml:space="preserve">svetovalnem centru za otroke in mladostnike </w:t>
      </w:r>
      <w:r w:rsidRPr="005E4BEA">
        <w:rPr>
          <w:rFonts w:eastAsia="Calibri" w:cs="Arial"/>
          <w:color w:val="808080" w:themeColor="background1" w:themeShade="80"/>
          <w:szCs w:val="20"/>
        </w:rPr>
        <w:t xml:space="preserve">je pogojeno s </w:t>
      </w:r>
      <w:r w:rsidRPr="005E4BEA">
        <w:rPr>
          <w:rFonts w:eastAsia="Calibri" w:cs="Arial"/>
          <w:bCs/>
          <w:color w:val="808080" w:themeColor="background1" w:themeShade="80"/>
          <w:szCs w:val="20"/>
        </w:rPr>
        <w:t>povečano obravnavo vedno večjega število oseb s kompleksnejšimi motnjami (SCOM Ljubljana).</w:t>
      </w:r>
    </w:p>
    <w:p w14:paraId="63349D72" w14:textId="77777777" w:rsidR="00FE461F" w:rsidRPr="005E4BEA" w:rsidRDefault="00FE461F" w:rsidP="00FE461F">
      <w:pPr>
        <w:spacing w:line="240" w:lineRule="auto"/>
        <w:jc w:val="both"/>
        <w:rPr>
          <w:rFonts w:cs="Arial"/>
          <w:color w:val="808080" w:themeColor="background1" w:themeShade="80"/>
          <w:szCs w:val="20"/>
        </w:rPr>
      </w:pPr>
    </w:p>
    <w:p w14:paraId="7488FACC" w14:textId="77777777" w:rsidR="00FE461F" w:rsidRPr="005E4BEA" w:rsidRDefault="00FE461F" w:rsidP="00FE461F">
      <w:pPr>
        <w:spacing w:line="240" w:lineRule="auto"/>
        <w:jc w:val="both"/>
        <w:rPr>
          <w:rFonts w:cs="Arial"/>
          <w:szCs w:val="20"/>
        </w:rPr>
      </w:pPr>
    </w:p>
    <w:tbl>
      <w:tblPr>
        <w:tblW w:w="0" w:type="auto"/>
        <w:shd w:val="clear" w:color="auto" w:fill="FFFFFF"/>
        <w:tblCellMar>
          <w:left w:w="0" w:type="dxa"/>
          <w:right w:w="0" w:type="dxa"/>
        </w:tblCellMar>
        <w:tblLook w:val="04A0" w:firstRow="1" w:lastRow="0" w:firstColumn="1" w:lastColumn="0" w:noHBand="0" w:noVBand="1"/>
      </w:tblPr>
      <w:tblGrid>
        <w:gridCol w:w="336"/>
        <w:gridCol w:w="1893"/>
        <w:gridCol w:w="2128"/>
        <w:gridCol w:w="1983"/>
        <w:gridCol w:w="2138"/>
      </w:tblGrid>
      <w:tr w:rsidR="00FE461F" w:rsidRPr="005E4BEA" w14:paraId="756E9BD8"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0A62E3" w14:textId="77777777" w:rsidR="00FE461F" w:rsidRPr="005E4BEA" w:rsidRDefault="00FE461F" w:rsidP="00FE461F">
            <w:pPr>
              <w:spacing w:line="231" w:lineRule="atLeast"/>
              <w:jc w:val="both"/>
              <w:rPr>
                <w:rFonts w:cs="Arial"/>
                <w:szCs w:val="20"/>
              </w:rPr>
            </w:pPr>
            <w:r w:rsidRPr="005E4BEA">
              <w:rPr>
                <w:rFonts w:cs="Arial"/>
                <w:szCs w:val="20"/>
              </w:rPr>
              <w:t> </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808532" w14:textId="77777777" w:rsidR="00FE461F" w:rsidRPr="005E4BEA" w:rsidRDefault="00FE461F" w:rsidP="00FE461F">
            <w:pPr>
              <w:spacing w:line="231" w:lineRule="atLeast"/>
              <w:jc w:val="both"/>
              <w:rPr>
                <w:rFonts w:cs="Arial"/>
                <w:szCs w:val="20"/>
              </w:rPr>
            </w:pPr>
            <w:r w:rsidRPr="005E4BEA">
              <w:rPr>
                <w:rFonts w:cs="Arial"/>
                <w:szCs w:val="20"/>
              </w:rPr>
              <w:t>Program</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88283C4" w14:textId="77777777" w:rsidR="00FE461F" w:rsidRPr="005E4BEA" w:rsidRDefault="00FE461F" w:rsidP="00FE461F">
            <w:pPr>
              <w:spacing w:line="231" w:lineRule="atLeast"/>
              <w:jc w:val="both"/>
              <w:rPr>
                <w:rFonts w:cs="Arial"/>
                <w:szCs w:val="20"/>
              </w:rPr>
            </w:pPr>
            <w:r w:rsidRPr="005E4BEA">
              <w:rPr>
                <w:rFonts w:cs="Arial"/>
                <w:szCs w:val="20"/>
              </w:rPr>
              <w:t>Izvajalec</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205BD50" w14:textId="77777777" w:rsidR="00FE461F" w:rsidRPr="005E4BEA" w:rsidRDefault="00FE461F" w:rsidP="00FE461F">
            <w:pPr>
              <w:spacing w:line="231" w:lineRule="atLeast"/>
              <w:jc w:val="both"/>
              <w:rPr>
                <w:rFonts w:cs="Arial"/>
                <w:szCs w:val="20"/>
              </w:rPr>
            </w:pPr>
            <w:r w:rsidRPr="005E4BEA">
              <w:rPr>
                <w:rFonts w:cs="Arial"/>
                <w:szCs w:val="20"/>
              </w:rPr>
              <w:t>Obseg programa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13C6800" w14:textId="77777777" w:rsidR="00FE461F" w:rsidRPr="005E4BEA" w:rsidRDefault="00FE461F" w:rsidP="00FE461F">
            <w:pPr>
              <w:spacing w:line="231" w:lineRule="atLeast"/>
              <w:jc w:val="both"/>
              <w:rPr>
                <w:rFonts w:cs="Arial"/>
                <w:szCs w:val="20"/>
              </w:rPr>
            </w:pPr>
            <w:r w:rsidRPr="005E4BEA">
              <w:rPr>
                <w:rFonts w:cs="Arial"/>
                <w:szCs w:val="20"/>
              </w:rPr>
              <w:t>Dodatna sredstva na letni ravni  (v EUR)</w:t>
            </w:r>
          </w:p>
        </w:tc>
      </w:tr>
      <w:tr w:rsidR="00FE461F" w:rsidRPr="005E4BEA" w14:paraId="52998D88"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5DA821" w14:textId="77777777" w:rsidR="00FE461F" w:rsidRPr="005E4BEA" w:rsidRDefault="00FE461F" w:rsidP="00FE461F">
            <w:pPr>
              <w:spacing w:line="231" w:lineRule="atLeast"/>
              <w:jc w:val="both"/>
              <w:rPr>
                <w:rFonts w:cs="Arial"/>
                <w:szCs w:val="20"/>
              </w:rPr>
            </w:pPr>
            <w:r w:rsidRPr="005E4BEA">
              <w:rPr>
                <w:rFonts w:cs="Arial"/>
                <w:szCs w:val="20"/>
              </w:rPr>
              <w:t>1</w:t>
            </w: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07BACD" w14:textId="77777777" w:rsidR="00FE461F" w:rsidRPr="005E4BEA" w:rsidRDefault="00FE461F" w:rsidP="00FE461F">
            <w:pPr>
              <w:spacing w:line="231" w:lineRule="atLeast"/>
              <w:jc w:val="both"/>
              <w:rPr>
                <w:rFonts w:cs="Arial"/>
                <w:szCs w:val="20"/>
              </w:rPr>
            </w:pPr>
            <w:r w:rsidRPr="005E4BEA">
              <w:rPr>
                <w:rFonts w:cs="Arial"/>
                <w:szCs w:val="20"/>
              </w:rPr>
              <w:t xml:space="preserve">Program </w:t>
            </w:r>
            <w:proofErr w:type="spellStart"/>
            <w:r w:rsidRPr="005E4BEA">
              <w:rPr>
                <w:rFonts w:cs="Arial"/>
                <w:szCs w:val="20"/>
              </w:rPr>
              <w:t>pedopsihiatrije</w:t>
            </w:r>
            <w:proofErr w:type="spellEnd"/>
            <w:r w:rsidRPr="005E4BEA">
              <w:rPr>
                <w:rFonts w:cs="Arial"/>
                <w:szCs w:val="20"/>
              </w:rPr>
              <w:t xml:space="preserve"> </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9628E2" w14:textId="77777777" w:rsidR="00FE461F" w:rsidRPr="005E4BEA" w:rsidRDefault="00FE461F" w:rsidP="00FE461F">
            <w:pPr>
              <w:spacing w:line="231" w:lineRule="atLeast"/>
              <w:jc w:val="both"/>
              <w:rPr>
                <w:rFonts w:cs="Arial"/>
                <w:szCs w:val="20"/>
              </w:rPr>
            </w:pPr>
            <w:r w:rsidRPr="005E4BEA">
              <w:rPr>
                <w:rFonts w:cs="Arial"/>
                <w:szCs w:val="20"/>
              </w:rPr>
              <w:t>SCOM Ljubljana</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1AB3AD9" w14:textId="77777777" w:rsidR="00FE461F" w:rsidRPr="005E4BEA" w:rsidRDefault="00FE461F" w:rsidP="00FE461F">
            <w:pPr>
              <w:spacing w:line="231" w:lineRule="atLeast"/>
              <w:rPr>
                <w:rFonts w:cs="Arial"/>
                <w:szCs w:val="20"/>
              </w:rPr>
            </w:pPr>
            <w:r w:rsidRPr="005E4BEA">
              <w:rPr>
                <w:rFonts w:cs="Arial"/>
                <w:szCs w:val="20"/>
              </w:rPr>
              <w:t>0,9 tim (iz 1,61 na 2,5 tima)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0FD5B04" w14:textId="77777777" w:rsidR="00FE461F" w:rsidRPr="005E4BEA" w:rsidRDefault="00FE461F" w:rsidP="00FE461F">
            <w:pPr>
              <w:spacing w:line="231" w:lineRule="atLeast"/>
              <w:jc w:val="center"/>
              <w:rPr>
                <w:rFonts w:cs="Arial"/>
                <w:szCs w:val="20"/>
              </w:rPr>
            </w:pPr>
            <w:r w:rsidRPr="005E4BEA">
              <w:rPr>
                <w:rFonts w:cs="Arial"/>
                <w:szCs w:val="20"/>
              </w:rPr>
              <w:t>101.645,00</w:t>
            </w:r>
          </w:p>
        </w:tc>
      </w:tr>
      <w:tr w:rsidR="00FE461F" w:rsidRPr="005E4BEA" w14:paraId="09CD48BE"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D77584"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FC4445C" w14:textId="77777777" w:rsidR="00FE461F" w:rsidRPr="005E4BEA" w:rsidRDefault="00FE461F" w:rsidP="00FE461F">
            <w:pPr>
              <w:spacing w:line="231" w:lineRule="atLeast"/>
              <w:jc w:val="both"/>
              <w:rPr>
                <w:rFonts w:cs="Arial"/>
                <w:szCs w:val="20"/>
              </w:rPr>
            </w:pPr>
            <w:r w:rsidRPr="005E4BEA">
              <w:rPr>
                <w:rFonts w:cs="Arial"/>
                <w:szCs w:val="20"/>
              </w:rPr>
              <w:t xml:space="preserve">Dispanzer </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7F5D7B" w14:textId="77777777" w:rsidR="00FE461F" w:rsidRPr="005E4BEA" w:rsidRDefault="00FE461F" w:rsidP="00FE461F">
            <w:pPr>
              <w:spacing w:line="231" w:lineRule="atLeast"/>
              <w:jc w:val="both"/>
              <w:rPr>
                <w:rFonts w:cs="Arial"/>
                <w:szCs w:val="20"/>
              </w:rPr>
            </w:pPr>
            <w:r w:rsidRPr="005E4BEA">
              <w:rPr>
                <w:rFonts w:cs="Arial"/>
                <w:szCs w:val="20"/>
              </w:rPr>
              <w:t>SCOM Ljubljana</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C320C47" w14:textId="77777777" w:rsidR="00FE461F" w:rsidRPr="005E4BEA" w:rsidRDefault="00FE461F" w:rsidP="00FE461F">
            <w:pPr>
              <w:spacing w:line="231" w:lineRule="atLeast"/>
              <w:rPr>
                <w:rFonts w:cs="Arial"/>
                <w:szCs w:val="20"/>
              </w:rPr>
            </w:pPr>
            <w:r w:rsidRPr="005E4BEA">
              <w:rPr>
                <w:rFonts w:cs="Arial"/>
                <w:szCs w:val="20"/>
              </w:rPr>
              <w:t>1,0 tim (iz 1,0 na 2,0 tima)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70DDC68" w14:textId="77777777" w:rsidR="00FE461F" w:rsidRPr="005E4BEA" w:rsidRDefault="00FE461F" w:rsidP="00FE461F">
            <w:pPr>
              <w:spacing w:line="231" w:lineRule="atLeast"/>
              <w:jc w:val="center"/>
              <w:rPr>
                <w:rFonts w:cs="Arial"/>
                <w:szCs w:val="20"/>
              </w:rPr>
            </w:pPr>
            <w:r w:rsidRPr="005E4BEA">
              <w:rPr>
                <w:rFonts w:cs="Arial"/>
                <w:szCs w:val="20"/>
              </w:rPr>
              <w:t>48.492,00</w:t>
            </w:r>
          </w:p>
        </w:tc>
      </w:tr>
      <w:tr w:rsidR="00FE461F" w:rsidRPr="005E4BEA" w14:paraId="208003DA"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6C5507"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E06A345" w14:textId="77777777" w:rsidR="00FE461F" w:rsidRPr="005E4BEA" w:rsidRDefault="00FE461F" w:rsidP="00FE461F">
            <w:pPr>
              <w:spacing w:line="231" w:lineRule="atLeast"/>
              <w:jc w:val="both"/>
              <w:rPr>
                <w:rFonts w:cs="Arial"/>
                <w:szCs w:val="20"/>
              </w:rPr>
            </w:pPr>
            <w:r w:rsidRPr="005E4BEA">
              <w:rPr>
                <w:rFonts w:cs="Arial"/>
                <w:szCs w:val="20"/>
              </w:rPr>
              <w:t>Program klinične psihologije</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B24A9C" w14:textId="77777777" w:rsidR="00FE461F" w:rsidRPr="005E4BEA" w:rsidRDefault="00FE461F" w:rsidP="00FE461F">
            <w:pPr>
              <w:spacing w:line="231" w:lineRule="atLeast"/>
              <w:jc w:val="both"/>
              <w:rPr>
                <w:rFonts w:cs="Arial"/>
                <w:szCs w:val="20"/>
              </w:rPr>
            </w:pPr>
            <w:r w:rsidRPr="005E4BEA">
              <w:rPr>
                <w:rFonts w:cs="Arial"/>
                <w:szCs w:val="20"/>
              </w:rPr>
              <w:t>SCOM Ljubljana</w:t>
            </w: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5E51384" w14:textId="77777777" w:rsidR="00FE461F" w:rsidRPr="005E4BEA" w:rsidRDefault="00FE461F" w:rsidP="00FE461F">
            <w:pPr>
              <w:spacing w:line="231" w:lineRule="atLeast"/>
              <w:rPr>
                <w:rFonts w:cs="Arial"/>
                <w:szCs w:val="20"/>
              </w:rPr>
            </w:pPr>
            <w:r w:rsidRPr="005E4BEA">
              <w:rPr>
                <w:rFonts w:cs="Arial"/>
                <w:szCs w:val="20"/>
              </w:rPr>
              <w:t>0,8 tima (iz 7,2 na 8,0 tima)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02AAEC8" w14:textId="77777777" w:rsidR="00FE461F" w:rsidRPr="005E4BEA" w:rsidRDefault="00FE461F" w:rsidP="00FE461F">
            <w:pPr>
              <w:spacing w:line="231" w:lineRule="atLeast"/>
              <w:jc w:val="center"/>
              <w:rPr>
                <w:rFonts w:cs="Arial"/>
                <w:szCs w:val="20"/>
              </w:rPr>
            </w:pPr>
            <w:r w:rsidRPr="005E4BEA">
              <w:rPr>
                <w:rFonts w:cs="Arial"/>
                <w:szCs w:val="20"/>
              </w:rPr>
              <w:t>72.997,00</w:t>
            </w:r>
          </w:p>
        </w:tc>
      </w:tr>
      <w:tr w:rsidR="00FE461F" w:rsidRPr="005E4BEA" w14:paraId="0ABC56DB" w14:textId="77777777" w:rsidTr="0016774B">
        <w:tc>
          <w:tcPr>
            <w:tcW w:w="3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2089D3" w14:textId="77777777" w:rsidR="00FE461F" w:rsidRPr="005E4BEA" w:rsidRDefault="00FE461F" w:rsidP="00FE461F">
            <w:pPr>
              <w:spacing w:line="231" w:lineRule="atLeast"/>
              <w:jc w:val="both"/>
              <w:rPr>
                <w:rFonts w:cs="Arial"/>
                <w:szCs w:val="20"/>
              </w:rPr>
            </w:pPr>
          </w:p>
        </w:tc>
        <w:tc>
          <w:tcPr>
            <w:tcW w:w="1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D54565D" w14:textId="77777777" w:rsidR="00FE461F" w:rsidRPr="005E4BEA" w:rsidRDefault="00FE461F" w:rsidP="00FE461F">
            <w:pPr>
              <w:spacing w:line="231" w:lineRule="atLeast"/>
              <w:jc w:val="both"/>
              <w:rPr>
                <w:rFonts w:cs="Arial"/>
                <w:szCs w:val="20"/>
              </w:rPr>
            </w:pPr>
            <w:r w:rsidRPr="005E4BEA">
              <w:rPr>
                <w:rFonts w:cs="Arial"/>
                <w:szCs w:val="20"/>
              </w:rPr>
              <w:t>skupaj</w:t>
            </w:r>
          </w:p>
        </w:tc>
        <w:tc>
          <w:tcPr>
            <w:tcW w:w="22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823183" w14:textId="77777777" w:rsidR="00FE461F" w:rsidRPr="005E4BEA" w:rsidRDefault="00FE461F" w:rsidP="00FE461F">
            <w:pPr>
              <w:spacing w:line="231" w:lineRule="atLeast"/>
              <w:jc w:val="both"/>
              <w:rPr>
                <w:rFonts w:cs="Arial"/>
                <w:szCs w:val="20"/>
              </w:rPr>
            </w:pPr>
          </w:p>
        </w:tc>
        <w:tc>
          <w:tcPr>
            <w:tcW w:w="2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B22EA7" w14:textId="77777777" w:rsidR="00FE461F" w:rsidRPr="005E4BEA" w:rsidRDefault="00FE461F" w:rsidP="00FE461F">
            <w:pPr>
              <w:spacing w:line="231" w:lineRule="atLeast"/>
              <w:jc w:val="both"/>
              <w:rPr>
                <w:rFonts w:cs="Arial"/>
                <w:szCs w:val="20"/>
              </w:rPr>
            </w:pP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6B4A21E" w14:textId="77777777" w:rsidR="00FE461F" w:rsidRPr="005E4BEA" w:rsidRDefault="00FE461F" w:rsidP="00FE461F">
            <w:pPr>
              <w:spacing w:line="231" w:lineRule="atLeast"/>
              <w:jc w:val="center"/>
              <w:rPr>
                <w:rFonts w:cs="Arial"/>
                <w:b/>
                <w:szCs w:val="20"/>
              </w:rPr>
            </w:pPr>
            <w:r w:rsidRPr="005E4BEA">
              <w:rPr>
                <w:rFonts w:cs="Arial"/>
                <w:b/>
                <w:szCs w:val="20"/>
              </w:rPr>
              <w:t>223.134,00</w:t>
            </w:r>
          </w:p>
        </w:tc>
      </w:tr>
    </w:tbl>
    <w:p w14:paraId="765CD012" w14:textId="77777777" w:rsidR="00FE461F" w:rsidRPr="005E4BEA" w:rsidRDefault="00FE461F" w:rsidP="00FE461F">
      <w:pPr>
        <w:numPr>
          <w:ilvl w:val="12"/>
          <w:numId w:val="0"/>
        </w:numPr>
        <w:spacing w:line="240" w:lineRule="auto"/>
        <w:rPr>
          <w:rFonts w:cs="Arial"/>
          <w:b/>
          <w:bCs/>
          <w:szCs w:val="20"/>
        </w:rPr>
      </w:pPr>
    </w:p>
    <w:p w14:paraId="31BF148A" w14:textId="77777777" w:rsidR="00EC58C0" w:rsidRPr="005E4BEA" w:rsidRDefault="00EC58C0" w:rsidP="00EC58C0">
      <w:pPr>
        <w:spacing w:line="240" w:lineRule="auto"/>
        <w:jc w:val="both"/>
        <w:rPr>
          <w:rFonts w:eastAsia="Calibri" w:cs="Arial"/>
          <w:b/>
          <w:bCs/>
          <w:i/>
          <w:iCs/>
          <w:color w:val="7F7F7F" w:themeColor="text1" w:themeTint="80"/>
          <w:szCs w:val="20"/>
        </w:rPr>
      </w:pPr>
    </w:p>
    <w:p w14:paraId="78F9EA04" w14:textId="7CF700FD" w:rsidR="0059167B" w:rsidRPr="005E4BEA" w:rsidRDefault="00EC58C0" w:rsidP="0059167B">
      <w:pPr>
        <w:spacing w:line="240" w:lineRule="auto"/>
        <w:jc w:val="both"/>
        <w:rPr>
          <w:rFonts w:cs="Arial"/>
          <w:b/>
          <w:bCs/>
          <w:szCs w:val="20"/>
        </w:rPr>
      </w:pPr>
      <w:r w:rsidRPr="005C035C">
        <w:rPr>
          <w:rFonts w:eastAsia="Arial Narrow" w:cs="Arial"/>
          <w:b/>
          <w:szCs w:val="20"/>
        </w:rPr>
        <w:t>Stališče Ministrstva za zdravje:</w:t>
      </w:r>
      <w:r w:rsidRPr="005C035C">
        <w:rPr>
          <w:rFonts w:eastAsia="Arial Narrow" w:cs="Arial"/>
          <w:szCs w:val="20"/>
        </w:rPr>
        <w:t xml:space="preserve"> Ministrstvo za zdravje se </w:t>
      </w:r>
      <w:r w:rsidR="0059167B" w:rsidRPr="005C035C">
        <w:rPr>
          <w:rFonts w:eastAsia="Arial Narrow" w:cs="Arial"/>
          <w:szCs w:val="20"/>
        </w:rPr>
        <w:t xml:space="preserve">strinja </w:t>
      </w:r>
      <w:r w:rsidRPr="005C035C">
        <w:rPr>
          <w:rFonts w:eastAsia="Arial Narrow" w:cs="Arial"/>
          <w:szCs w:val="20"/>
        </w:rPr>
        <w:t xml:space="preserve">s predlogom </w:t>
      </w:r>
      <w:r w:rsidR="0059167B" w:rsidRPr="005C035C">
        <w:rPr>
          <w:rFonts w:eastAsia="Arial Narrow" w:cs="Arial"/>
          <w:szCs w:val="20"/>
        </w:rPr>
        <w:t>v modificirani</w:t>
      </w:r>
      <w:r w:rsidR="0059167B">
        <w:rPr>
          <w:rFonts w:eastAsia="Arial Narrow" w:cs="Arial"/>
          <w:szCs w:val="20"/>
        </w:rPr>
        <w:t xml:space="preserve"> obliki, in sicer se </w:t>
      </w:r>
      <w:r w:rsidR="0059167B" w:rsidRPr="005E4BEA">
        <w:rPr>
          <w:rFonts w:eastAsia="Arial Narrow" w:cs="Arial"/>
          <w:bCs/>
          <w:szCs w:val="20"/>
        </w:rPr>
        <w:t>v</w:t>
      </w:r>
      <w:r w:rsidR="0059167B" w:rsidRPr="005E4BEA">
        <w:rPr>
          <w:rFonts w:cs="Arial"/>
          <w:bCs/>
          <w:szCs w:val="20"/>
        </w:rPr>
        <w:t xml:space="preserve"> 24. členu, točka 6 doda nujne širitve programov in zagotovitev dodatnih sredstev za</w:t>
      </w:r>
      <w:r w:rsidR="0059167B">
        <w:rPr>
          <w:rFonts w:cs="Arial"/>
          <w:b/>
          <w:bCs/>
          <w:szCs w:val="20"/>
        </w:rPr>
        <w:t>:</w:t>
      </w:r>
    </w:p>
    <w:p w14:paraId="2C105D56" w14:textId="26939D61" w:rsidR="0059167B" w:rsidRDefault="0059167B" w:rsidP="00EC58C0">
      <w:pPr>
        <w:autoSpaceDE w:val="0"/>
        <w:autoSpaceDN w:val="0"/>
        <w:adjustRightInd w:val="0"/>
        <w:spacing w:line="0" w:lineRule="atLeast"/>
        <w:jc w:val="both"/>
        <w:rPr>
          <w:rFonts w:eastAsia="Arial Narrow" w:cs="Arial"/>
          <w:szCs w:val="20"/>
        </w:rPr>
      </w:pPr>
    </w:p>
    <w:p w14:paraId="3C817EB3" w14:textId="77777777" w:rsidR="0059167B" w:rsidRDefault="0059167B" w:rsidP="00EC58C0">
      <w:pPr>
        <w:autoSpaceDE w:val="0"/>
        <w:autoSpaceDN w:val="0"/>
        <w:adjustRightInd w:val="0"/>
        <w:spacing w:line="0" w:lineRule="atLeast"/>
        <w:jc w:val="both"/>
        <w:rPr>
          <w:rFonts w:eastAsia="Arial Narrow" w:cs="Arial"/>
          <w:szCs w:val="20"/>
        </w:rPr>
      </w:pPr>
    </w:p>
    <w:tbl>
      <w:tblPr>
        <w:tblW w:w="0" w:type="auto"/>
        <w:shd w:val="clear" w:color="auto" w:fill="FFFFFF"/>
        <w:tblCellMar>
          <w:left w:w="0" w:type="dxa"/>
          <w:right w:w="0" w:type="dxa"/>
        </w:tblCellMar>
        <w:tblLook w:val="04A0" w:firstRow="1" w:lastRow="0" w:firstColumn="1" w:lastColumn="0" w:noHBand="0" w:noVBand="1"/>
      </w:tblPr>
      <w:tblGrid>
        <w:gridCol w:w="333"/>
        <w:gridCol w:w="1574"/>
        <w:gridCol w:w="1758"/>
        <w:gridCol w:w="1729"/>
        <w:gridCol w:w="1776"/>
        <w:gridCol w:w="1308"/>
      </w:tblGrid>
      <w:tr w:rsidR="0059167B" w:rsidRPr="005E4BEA" w14:paraId="6D7151CB" w14:textId="1B644345" w:rsidTr="0059167B">
        <w:tc>
          <w:tcPr>
            <w:tcW w:w="3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D96F62" w14:textId="77777777" w:rsidR="0059167B" w:rsidRPr="005E4BEA" w:rsidRDefault="0059167B" w:rsidP="00987431">
            <w:pPr>
              <w:spacing w:line="231" w:lineRule="atLeast"/>
              <w:jc w:val="both"/>
              <w:rPr>
                <w:rFonts w:cs="Arial"/>
                <w:szCs w:val="20"/>
              </w:rPr>
            </w:pPr>
            <w:r w:rsidRPr="005E4BEA">
              <w:rPr>
                <w:rFonts w:cs="Arial"/>
                <w:szCs w:val="20"/>
              </w:rPr>
              <w:t> </w:t>
            </w:r>
          </w:p>
        </w:tc>
        <w:tc>
          <w:tcPr>
            <w:tcW w:w="1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92AC7C" w14:textId="77777777" w:rsidR="0059167B" w:rsidRPr="005E4BEA" w:rsidRDefault="0059167B" w:rsidP="00987431">
            <w:pPr>
              <w:spacing w:line="231" w:lineRule="atLeast"/>
              <w:jc w:val="both"/>
              <w:rPr>
                <w:rFonts w:cs="Arial"/>
                <w:szCs w:val="20"/>
              </w:rPr>
            </w:pPr>
            <w:r w:rsidRPr="005E4BEA">
              <w:rPr>
                <w:rFonts w:cs="Arial"/>
                <w:szCs w:val="20"/>
              </w:rPr>
              <w:t>Program</w:t>
            </w:r>
          </w:p>
        </w:tc>
        <w:tc>
          <w:tcPr>
            <w:tcW w:w="17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EFFF7D" w14:textId="77777777" w:rsidR="0059167B" w:rsidRPr="005E4BEA" w:rsidRDefault="0059167B" w:rsidP="00987431">
            <w:pPr>
              <w:spacing w:line="231" w:lineRule="atLeast"/>
              <w:jc w:val="both"/>
              <w:rPr>
                <w:rFonts w:cs="Arial"/>
                <w:szCs w:val="20"/>
              </w:rPr>
            </w:pPr>
            <w:r w:rsidRPr="005E4BEA">
              <w:rPr>
                <w:rFonts w:cs="Arial"/>
                <w:szCs w:val="20"/>
              </w:rPr>
              <w:t>Izvajalec</w:t>
            </w:r>
          </w:p>
        </w:tc>
        <w:tc>
          <w:tcPr>
            <w:tcW w:w="17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295493" w14:textId="77777777" w:rsidR="0059167B" w:rsidRPr="005E4BEA" w:rsidRDefault="0059167B" w:rsidP="00987431">
            <w:pPr>
              <w:spacing w:line="231" w:lineRule="atLeast"/>
              <w:jc w:val="both"/>
              <w:rPr>
                <w:rFonts w:cs="Arial"/>
                <w:szCs w:val="20"/>
              </w:rPr>
            </w:pPr>
            <w:r w:rsidRPr="005E4BEA">
              <w:rPr>
                <w:rFonts w:cs="Arial"/>
                <w:szCs w:val="20"/>
              </w:rPr>
              <w:t>Obseg programa</w:t>
            </w:r>
          </w:p>
        </w:tc>
        <w:tc>
          <w:tcPr>
            <w:tcW w:w="17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D9E5009" w14:textId="77777777" w:rsidR="0059167B" w:rsidRPr="005E4BEA" w:rsidRDefault="0059167B" w:rsidP="00987431">
            <w:pPr>
              <w:spacing w:line="231" w:lineRule="atLeast"/>
              <w:jc w:val="both"/>
              <w:rPr>
                <w:rFonts w:cs="Arial"/>
                <w:szCs w:val="20"/>
              </w:rPr>
            </w:pPr>
            <w:r w:rsidRPr="005E4BEA">
              <w:rPr>
                <w:rFonts w:cs="Arial"/>
                <w:szCs w:val="20"/>
              </w:rPr>
              <w:t>Dodatna sredstva na letni ravni  (v EUR)</w:t>
            </w:r>
          </w:p>
        </w:tc>
        <w:tc>
          <w:tcPr>
            <w:tcW w:w="1308" w:type="dxa"/>
            <w:tcBorders>
              <w:top w:val="single" w:sz="8" w:space="0" w:color="auto"/>
              <w:left w:val="nil"/>
              <w:bottom w:val="single" w:sz="8" w:space="0" w:color="auto"/>
              <w:right w:val="single" w:sz="8" w:space="0" w:color="auto"/>
            </w:tcBorders>
            <w:shd w:val="clear" w:color="auto" w:fill="FFFFFF"/>
          </w:tcPr>
          <w:p w14:paraId="70756F1A" w14:textId="00231D13" w:rsidR="0059167B" w:rsidRPr="005E4BEA" w:rsidRDefault="0059167B" w:rsidP="00987431">
            <w:pPr>
              <w:spacing w:line="231" w:lineRule="atLeast"/>
              <w:jc w:val="both"/>
              <w:rPr>
                <w:rFonts w:cs="Arial"/>
                <w:szCs w:val="20"/>
              </w:rPr>
            </w:pPr>
            <w:r>
              <w:rPr>
                <w:rFonts w:cs="Arial"/>
                <w:szCs w:val="20"/>
              </w:rPr>
              <w:t>Dodatna sredstva v letu 2020</w:t>
            </w:r>
          </w:p>
        </w:tc>
      </w:tr>
      <w:tr w:rsidR="0059167B" w:rsidRPr="005E4BEA" w14:paraId="14045B1A" w14:textId="64342BC2" w:rsidTr="0059167B">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5BC192" w14:textId="77777777" w:rsidR="0059167B" w:rsidRPr="005E4BEA" w:rsidRDefault="0059167B" w:rsidP="00987431">
            <w:pPr>
              <w:spacing w:line="231" w:lineRule="atLeast"/>
              <w:jc w:val="both"/>
              <w:rPr>
                <w:rFonts w:cs="Arial"/>
                <w:szCs w:val="20"/>
              </w:rPr>
            </w:pPr>
            <w:r w:rsidRPr="005E4BEA">
              <w:rPr>
                <w:rFonts w:cs="Arial"/>
                <w:szCs w:val="20"/>
              </w:rPr>
              <w:t>1</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1DDC5F" w14:textId="77777777" w:rsidR="0059167B" w:rsidRPr="005E4BEA" w:rsidRDefault="0059167B" w:rsidP="00987431">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9C1CA7" w14:textId="77777777" w:rsidR="0059167B" w:rsidRPr="005E4BEA" w:rsidRDefault="0059167B" w:rsidP="00987431">
            <w:pPr>
              <w:spacing w:line="240" w:lineRule="auto"/>
              <w:rPr>
                <w:rFonts w:eastAsia="Calibri" w:cs="Arial"/>
                <w:bCs/>
                <w:szCs w:val="20"/>
              </w:rPr>
            </w:pPr>
            <w:r w:rsidRPr="005E4BEA">
              <w:rPr>
                <w:rFonts w:eastAsia="Calibri" w:cs="Arial"/>
                <w:bCs/>
                <w:szCs w:val="20"/>
              </w:rPr>
              <w:t>OŠ dr. Ljudevita Pivka, Ptuj</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03FB20" w14:textId="77777777" w:rsidR="0059167B" w:rsidRPr="005E4BEA" w:rsidRDefault="0059167B" w:rsidP="00987431">
            <w:pPr>
              <w:spacing w:line="231" w:lineRule="atLeast"/>
              <w:rPr>
                <w:rFonts w:cs="Arial"/>
                <w:szCs w:val="20"/>
              </w:rPr>
            </w:pPr>
            <w:r w:rsidRPr="005E4BEA">
              <w:rPr>
                <w:rFonts w:cs="Arial"/>
                <w:szCs w:val="20"/>
              </w:rPr>
              <w:t>0,5 fizioterapevt</w:t>
            </w:r>
          </w:p>
          <w:p w14:paraId="0DC5C6E8" w14:textId="77777777" w:rsidR="0059167B" w:rsidRPr="005E4BEA" w:rsidRDefault="0059167B" w:rsidP="00987431">
            <w:pPr>
              <w:spacing w:line="231" w:lineRule="atLeast"/>
              <w:rPr>
                <w:rFonts w:cs="Arial"/>
                <w:szCs w:val="20"/>
              </w:rPr>
            </w:pPr>
            <w:r w:rsidRPr="005E4BEA">
              <w:rPr>
                <w:rFonts w:cs="Arial"/>
                <w:szCs w:val="20"/>
              </w:rPr>
              <w:t>1,0 logoped</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6C624F" w14:textId="7033F955" w:rsidR="0059167B" w:rsidRPr="005E4BEA" w:rsidRDefault="0059167B" w:rsidP="00987431">
            <w:pPr>
              <w:spacing w:line="231" w:lineRule="atLeast"/>
              <w:jc w:val="center"/>
              <w:rPr>
                <w:rFonts w:cs="Arial"/>
                <w:szCs w:val="20"/>
              </w:rPr>
            </w:pPr>
            <w:r w:rsidRPr="005E4BEA">
              <w:rPr>
                <w:rFonts w:cs="Arial"/>
                <w:szCs w:val="20"/>
              </w:rPr>
              <w:t>64.280</w:t>
            </w:r>
          </w:p>
        </w:tc>
        <w:tc>
          <w:tcPr>
            <w:tcW w:w="1308" w:type="dxa"/>
            <w:tcBorders>
              <w:top w:val="nil"/>
              <w:left w:val="nil"/>
              <w:bottom w:val="single" w:sz="8" w:space="0" w:color="auto"/>
              <w:right w:val="single" w:sz="8" w:space="0" w:color="auto"/>
            </w:tcBorders>
            <w:shd w:val="clear" w:color="auto" w:fill="FFFFFF"/>
          </w:tcPr>
          <w:p w14:paraId="407FA04C" w14:textId="4C2E3AD7" w:rsidR="0059167B" w:rsidRPr="005E4BEA" w:rsidRDefault="0059167B" w:rsidP="00987431">
            <w:pPr>
              <w:spacing w:line="231" w:lineRule="atLeast"/>
              <w:jc w:val="center"/>
              <w:rPr>
                <w:rFonts w:cs="Arial"/>
                <w:szCs w:val="20"/>
              </w:rPr>
            </w:pPr>
            <w:r>
              <w:rPr>
                <w:rFonts w:cs="Arial"/>
                <w:szCs w:val="20"/>
              </w:rPr>
              <w:t>32.140</w:t>
            </w:r>
          </w:p>
        </w:tc>
      </w:tr>
      <w:tr w:rsidR="0059167B" w:rsidRPr="005E4BEA" w14:paraId="0F6A51EF" w14:textId="7B354FE2" w:rsidTr="0059167B">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27A53A" w14:textId="77777777" w:rsidR="0059167B" w:rsidRPr="005E4BEA" w:rsidRDefault="0059167B" w:rsidP="00987431">
            <w:pPr>
              <w:spacing w:line="231" w:lineRule="atLeast"/>
              <w:jc w:val="both"/>
              <w:rPr>
                <w:rFonts w:cs="Arial"/>
                <w:szCs w:val="20"/>
              </w:rPr>
            </w:pPr>
            <w:r w:rsidRPr="005E4BEA">
              <w:rPr>
                <w:rFonts w:cs="Arial"/>
                <w:szCs w:val="20"/>
              </w:rPr>
              <w:t>2</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FA5F10" w14:textId="77777777" w:rsidR="0059167B" w:rsidRPr="005E4BEA" w:rsidRDefault="0059167B" w:rsidP="00987431">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1DBD1B" w14:textId="77777777" w:rsidR="0059167B" w:rsidRPr="005E4BEA" w:rsidRDefault="0059167B" w:rsidP="00987431">
            <w:pPr>
              <w:spacing w:line="240" w:lineRule="auto"/>
              <w:rPr>
                <w:rFonts w:eastAsia="Calibri" w:cs="Arial"/>
                <w:bCs/>
                <w:szCs w:val="20"/>
              </w:rPr>
            </w:pPr>
            <w:r w:rsidRPr="005E4BEA">
              <w:rPr>
                <w:rFonts w:eastAsia="Calibri" w:cs="Arial"/>
                <w:bCs/>
                <w:szCs w:val="20"/>
              </w:rPr>
              <w:t>OŠ Glazija Celje</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EC9BE8" w14:textId="77777777" w:rsidR="0059167B" w:rsidRPr="005E4BEA" w:rsidRDefault="0059167B" w:rsidP="00987431">
            <w:pPr>
              <w:spacing w:line="231" w:lineRule="atLeast"/>
              <w:rPr>
                <w:rFonts w:cs="Arial"/>
                <w:szCs w:val="20"/>
              </w:rPr>
            </w:pPr>
            <w:r w:rsidRPr="005E4BEA">
              <w:rPr>
                <w:rFonts w:cs="Arial"/>
                <w:szCs w:val="20"/>
              </w:rPr>
              <w:t xml:space="preserve">1,0 delovni terapevt </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261116" w14:textId="6F5711C7" w:rsidR="0059167B" w:rsidRPr="005E4BEA" w:rsidRDefault="0059167B" w:rsidP="00987431">
            <w:pPr>
              <w:spacing w:line="231" w:lineRule="atLeast"/>
              <w:jc w:val="center"/>
              <w:rPr>
                <w:rFonts w:cs="Arial"/>
                <w:szCs w:val="20"/>
              </w:rPr>
            </w:pPr>
            <w:r w:rsidRPr="005E4BEA">
              <w:rPr>
                <w:rFonts w:cs="Arial"/>
                <w:szCs w:val="20"/>
              </w:rPr>
              <w:t>30.144</w:t>
            </w:r>
          </w:p>
        </w:tc>
        <w:tc>
          <w:tcPr>
            <w:tcW w:w="1308" w:type="dxa"/>
            <w:tcBorders>
              <w:top w:val="nil"/>
              <w:left w:val="nil"/>
              <w:bottom w:val="single" w:sz="8" w:space="0" w:color="auto"/>
              <w:right w:val="single" w:sz="8" w:space="0" w:color="auto"/>
            </w:tcBorders>
            <w:shd w:val="clear" w:color="auto" w:fill="FFFFFF"/>
          </w:tcPr>
          <w:p w14:paraId="47468DDB" w14:textId="2E3D574A" w:rsidR="0059167B" w:rsidRPr="005E4BEA" w:rsidRDefault="0059167B" w:rsidP="00987431">
            <w:pPr>
              <w:spacing w:line="231" w:lineRule="atLeast"/>
              <w:jc w:val="center"/>
              <w:rPr>
                <w:rFonts w:cs="Arial"/>
                <w:szCs w:val="20"/>
              </w:rPr>
            </w:pPr>
            <w:r>
              <w:rPr>
                <w:rFonts w:cs="Arial"/>
                <w:szCs w:val="20"/>
              </w:rPr>
              <w:t>15.072</w:t>
            </w:r>
          </w:p>
        </w:tc>
      </w:tr>
      <w:tr w:rsidR="0059167B" w:rsidRPr="005E4BEA" w14:paraId="7F2B7B9A" w14:textId="78BCF507" w:rsidTr="0059167B">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D60899" w14:textId="77777777" w:rsidR="0059167B" w:rsidRPr="005E4BEA" w:rsidRDefault="0059167B" w:rsidP="00987431">
            <w:pPr>
              <w:spacing w:line="231" w:lineRule="atLeast"/>
              <w:jc w:val="both"/>
              <w:rPr>
                <w:rFonts w:cs="Arial"/>
                <w:szCs w:val="20"/>
              </w:rPr>
            </w:pPr>
            <w:r w:rsidRPr="005E4BEA">
              <w:rPr>
                <w:rFonts w:cs="Arial"/>
                <w:szCs w:val="20"/>
              </w:rPr>
              <w:t>3</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14E06D" w14:textId="77777777" w:rsidR="0059167B" w:rsidRPr="005E4BEA" w:rsidRDefault="0059167B" w:rsidP="00987431">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DF27F67" w14:textId="77777777" w:rsidR="0059167B" w:rsidRPr="005E4BEA" w:rsidRDefault="0059167B" w:rsidP="00987431">
            <w:pPr>
              <w:spacing w:line="240" w:lineRule="auto"/>
              <w:rPr>
                <w:rFonts w:eastAsia="Calibri" w:cs="Arial"/>
                <w:bCs/>
                <w:szCs w:val="20"/>
              </w:rPr>
            </w:pPr>
            <w:r w:rsidRPr="005E4BEA">
              <w:rPr>
                <w:rFonts w:eastAsia="Calibri" w:cs="Arial"/>
                <w:bCs/>
                <w:szCs w:val="20"/>
              </w:rPr>
              <w:t>OŠ Gustava Šiliha, Maribor</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0E6908" w14:textId="77777777" w:rsidR="0059167B" w:rsidRPr="005E4BEA" w:rsidRDefault="0059167B" w:rsidP="00987431">
            <w:pPr>
              <w:spacing w:line="231" w:lineRule="atLeast"/>
              <w:rPr>
                <w:rFonts w:cs="Arial"/>
                <w:szCs w:val="20"/>
              </w:rPr>
            </w:pPr>
            <w:r w:rsidRPr="005E4BEA">
              <w:rPr>
                <w:rFonts w:cs="Arial"/>
                <w:szCs w:val="20"/>
              </w:rPr>
              <w:t>1,0 logoped</w:t>
            </w:r>
          </w:p>
          <w:p w14:paraId="22E05736" w14:textId="77777777" w:rsidR="0059167B" w:rsidRPr="005E4BEA" w:rsidRDefault="0059167B" w:rsidP="00987431">
            <w:pPr>
              <w:spacing w:line="231" w:lineRule="atLeast"/>
              <w:rPr>
                <w:rFonts w:cs="Arial"/>
                <w:szCs w:val="20"/>
              </w:rPr>
            </w:pPr>
            <w:r w:rsidRPr="005E4BEA">
              <w:rPr>
                <w:rFonts w:cs="Arial"/>
                <w:szCs w:val="20"/>
              </w:rPr>
              <w:t>1,0 delovni terapevt</w:t>
            </w:r>
          </w:p>
          <w:p w14:paraId="137E7D79" w14:textId="77777777" w:rsidR="0059167B" w:rsidRPr="005E4BEA" w:rsidRDefault="0059167B" w:rsidP="00987431">
            <w:pPr>
              <w:spacing w:line="231" w:lineRule="atLeast"/>
              <w:rPr>
                <w:rFonts w:cs="Arial"/>
                <w:szCs w:val="20"/>
              </w:rPr>
            </w:pPr>
            <w:r w:rsidRPr="005E4BEA">
              <w:rPr>
                <w:rFonts w:cs="Arial"/>
                <w:szCs w:val="20"/>
              </w:rPr>
              <w:t>1,0 fizioterapevt</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A0500A" w14:textId="6A67E7A3" w:rsidR="0059167B" w:rsidRPr="005E4BEA" w:rsidRDefault="0059167B" w:rsidP="00987431">
            <w:pPr>
              <w:spacing w:line="231" w:lineRule="atLeast"/>
              <w:jc w:val="center"/>
              <w:rPr>
                <w:rFonts w:cs="Arial"/>
                <w:szCs w:val="20"/>
              </w:rPr>
            </w:pPr>
            <w:r w:rsidRPr="005E4BEA">
              <w:rPr>
                <w:rFonts w:cs="Arial"/>
                <w:szCs w:val="20"/>
              </w:rPr>
              <w:t>78.738</w:t>
            </w:r>
          </w:p>
        </w:tc>
        <w:tc>
          <w:tcPr>
            <w:tcW w:w="1308" w:type="dxa"/>
            <w:tcBorders>
              <w:top w:val="nil"/>
              <w:left w:val="nil"/>
              <w:bottom w:val="single" w:sz="8" w:space="0" w:color="auto"/>
              <w:right w:val="single" w:sz="8" w:space="0" w:color="auto"/>
            </w:tcBorders>
            <w:shd w:val="clear" w:color="auto" w:fill="FFFFFF"/>
          </w:tcPr>
          <w:p w14:paraId="04111205" w14:textId="64253C6C" w:rsidR="0059167B" w:rsidRPr="005E4BEA" w:rsidRDefault="0059167B" w:rsidP="00987431">
            <w:pPr>
              <w:spacing w:line="231" w:lineRule="atLeast"/>
              <w:jc w:val="center"/>
              <w:rPr>
                <w:rFonts w:cs="Arial"/>
                <w:szCs w:val="20"/>
              </w:rPr>
            </w:pPr>
            <w:r>
              <w:rPr>
                <w:rFonts w:cs="Arial"/>
                <w:szCs w:val="20"/>
              </w:rPr>
              <w:t>39.369</w:t>
            </w:r>
          </w:p>
        </w:tc>
      </w:tr>
      <w:tr w:rsidR="0059167B" w:rsidRPr="005E4BEA" w14:paraId="03D8A5CA" w14:textId="1DED02B0" w:rsidTr="0059167B">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31B968" w14:textId="77777777" w:rsidR="0059167B" w:rsidRPr="005E4BEA" w:rsidRDefault="0059167B" w:rsidP="00987431">
            <w:pPr>
              <w:spacing w:line="231" w:lineRule="atLeast"/>
              <w:jc w:val="both"/>
              <w:rPr>
                <w:rFonts w:cs="Arial"/>
                <w:szCs w:val="20"/>
              </w:rPr>
            </w:pPr>
            <w:r w:rsidRPr="005E4BEA">
              <w:rPr>
                <w:rFonts w:cs="Arial"/>
                <w:szCs w:val="20"/>
              </w:rPr>
              <w:t>4</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A2AB5E" w14:textId="77777777" w:rsidR="0059167B" w:rsidRPr="005E4BEA" w:rsidRDefault="0059167B" w:rsidP="00987431">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94EDCB" w14:textId="77777777" w:rsidR="0059167B" w:rsidRPr="005E4BEA" w:rsidRDefault="0059167B" w:rsidP="00987431">
            <w:pPr>
              <w:spacing w:line="240" w:lineRule="auto"/>
              <w:rPr>
                <w:rFonts w:eastAsia="Calibri" w:cs="Arial"/>
                <w:bCs/>
                <w:szCs w:val="20"/>
              </w:rPr>
            </w:pPr>
            <w:r w:rsidRPr="005E4BEA">
              <w:rPr>
                <w:rFonts w:eastAsia="Calibri" w:cs="Arial"/>
                <w:bCs/>
                <w:szCs w:val="20"/>
              </w:rPr>
              <w:t xml:space="preserve">OŠ Minke Namestnik Sonje, </w:t>
            </w:r>
            <w:r w:rsidRPr="005E4BEA">
              <w:rPr>
                <w:rFonts w:eastAsia="Calibri" w:cs="Arial"/>
                <w:bCs/>
                <w:szCs w:val="20"/>
              </w:rPr>
              <w:lastRenderedPageBreak/>
              <w:t>Slovenska Bistrica</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736ADF" w14:textId="77777777" w:rsidR="0059167B" w:rsidRPr="005E4BEA" w:rsidRDefault="0059167B" w:rsidP="00987431">
            <w:pPr>
              <w:spacing w:line="231" w:lineRule="atLeast"/>
              <w:rPr>
                <w:rFonts w:cs="Arial"/>
                <w:szCs w:val="20"/>
              </w:rPr>
            </w:pPr>
            <w:r w:rsidRPr="005E4BEA">
              <w:rPr>
                <w:rFonts w:cs="Arial"/>
                <w:szCs w:val="20"/>
              </w:rPr>
              <w:lastRenderedPageBreak/>
              <w:t>0,5 logoped</w:t>
            </w:r>
          </w:p>
          <w:p w14:paraId="5DD7DCF4" w14:textId="77777777" w:rsidR="0059167B" w:rsidRPr="005E4BEA" w:rsidRDefault="0059167B" w:rsidP="00987431">
            <w:pPr>
              <w:spacing w:line="231" w:lineRule="atLeast"/>
              <w:rPr>
                <w:rFonts w:cs="Arial"/>
                <w:szCs w:val="20"/>
              </w:rPr>
            </w:pPr>
            <w:r w:rsidRPr="005E4BEA">
              <w:rPr>
                <w:rFonts w:cs="Arial"/>
                <w:szCs w:val="20"/>
              </w:rPr>
              <w:t>0,5 delovni terapevt</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D4464B7" w14:textId="0DE5C361" w:rsidR="0059167B" w:rsidRPr="005E4BEA" w:rsidRDefault="009A5C56" w:rsidP="009A5C56">
            <w:pPr>
              <w:spacing w:line="231" w:lineRule="atLeast"/>
              <w:jc w:val="center"/>
              <w:rPr>
                <w:rFonts w:cs="Arial"/>
                <w:szCs w:val="20"/>
              </w:rPr>
            </w:pPr>
            <w:r w:rsidRPr="009A5C56">
              <w:rPr>
                <w:rFonts w:cs="Arial"/>
                <w:szCs w:val="20"/>
              </w:rPr>
              <w:t>33.732</w:t>
            </w:r>
          </w:p>
        </w:tc>
        <w:tc>
          <w:tcPr>
            <w:tcW w:w="1308" w:type="dxa"/>
            <w:tcBorders>
              <w:top w:val="nil"/>
              <w:left w:val="nil"/>
              <w:bottom w:val="single" w:sz="8" w:space="0" w:color="auto"/>
              <w:right w:val="single" w:sz="8" w:space="0" w:color="auto"/>
            </w:tcBorders>
            <w:shd w:val="clear" w:color="auto" w:fill="FFFFFF"/>
          </w:tcPr>
          <w:p w14:paraId="288CEE9C" w14:textId="73B80F2D" w:rsidR="0059167B" w:rsidRPr="005E4BEA" w:rsidRDefault="009A5C56" w:rsidP="00987431">
            <w:pPr>
              <w:spacing w:line="231" w:lineRule="atLeast"/>
              <w:jc w:val="center"/>
              <w:rPr>
                <w:rFonts w:cs="Arial"/>
                <w:szCs w:val="20"/>
              </w:rPr>
            </w:pPr>
            <w:r>
              <w:rPr>
                <w:rFonts w:cs="Arial"/>
                <w:szCs w:val="20"/>
              </w:rPr>
              <w:t>16.866</w:t>
            </w:r>
          </w:p>
        </w:tc>
      </w:tr>
      <w:tr w:rsidR="0059167B" w:rsidRPr="005E4BEA" w14:paraId="3522F2E8" w14:textId="77777777" w:rsidTr="00F535C9">
        <w:tc>
          <w:tcPr>
            <w:tcW w:w="3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C355B92" w14:textId="58F4CF41" w:rsidR="0059167B" w:rsidRPr="005E4BEA" w:rsidRDefault="0059167B" w:rsidP="0059167B">
            <w:pPr>
              <w:spacing w:line="231" w:lineRule="atLeast"/>
              <w:jc w:val="both"/>
              <w:rPr>
                <w:rFonts w:cs="Arial"/>
                <w:szCs w:val="20"/>
              </w:rPr>
            </w:pPr>
            <w:r>
              <w:rPr>
                <w:rFonts w:cs="Arial"/>
                <w:szCs w:val="20"/>
              </w:rPr>
              <w:t>5</w:t>
            </w:r>
          </w:p>
        </w:tc>
        <w:tc>
          <w:tcPr>
            <w:tcW w:w="157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606DA84" w14:textId="7F901ECE" w:rsidR="0059167B" w:rsidRPr="005E4BEA" w:rsidRDefault="0059167B" w:rsidP="0059167B">
            <w:pPr>
              <w:spacing w:line="231" w:lineRule="atLeast"/>
              <w:jc w:val="both"/>
              <w:rPr>
                <w:rFonts w:cs="Arial"/>
                <w:szCs w:val="20"/>
              </w:rPr>
            </w:pPr>
            <w:r>
              <w:rPr>
                <w:rFonts w:cs="Arial"/>
                <w:szCs w:val="20"/>
              </w:rPr>
              <w:t xml:space="preserve">Prevedba po 38. členu ZZDej </w:t>
            </w:r>
          </w:p>
        </w:tc>
        <w:tc>
          <w:tcPr>
            <w:tcW w:w="175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FF9B1C6" w14:textId="1D648129" w:rsidR="0059167B" w:rsidRPr="005E4BEA" w:rsidRDefault="0059167B" w:rsidP="0059167B">
            <w:pPr>
              <w:spacing w:line="231" w:lineRule="atLeast"/>
              <w:rPr>
                <w:rFonts w:cs="Arial"/>
                <w:szCs w:val="20"/>
              </w:rPr>
            </w:pPr>
            <w:r>
              <w:rPr>
                <w:rFonts w:cs="Arial"/>
                <w:szCs w:val="20"/>
              </w:rPr>
              <w:t>CIRIUS Vipava</w:t>
            </w:r>
          </w:p>
        </w:tc>
        <w:tc>
          <w:tcPr>
            <w:tcW w:w="17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925DF21" w14:textId="326DB03B" w:rsidR="0059167B" w:rsidRPr="005E4BEA" w:rsidRDefault="0059167B" w:rsidP="0059167B">
            <w:pPr>
              <w:spacing w:line="231" w:lineRule="atLeast"/>
              <w:rPr>
                <w:rFonts w:cs="Arial"/>
                <w:szCs w:val="20"/>
              </w:rPr>
            </w:pPr>
            <w:r>
              <w:rPr>
                <w:rFonts w:cs="Arial"/>
                <w:szCs w:val="20"/>
              </w:rPr>
              <w:t xml:space="preserve">Prevedba </w:t>
            </w:r>
            <w:r w:rsidR="00F535C9">
              <w:rPr>
                <w:rFonts w:cs="Arial"/>
                <w:szCs w:val="20"/>
              </w:rPr>
              <w:t xml:space="preserve">5 </w:t>
            </w:r>
            <w:r>
              <w:rPr>
                <w:rFonts w:cs="Arial"/>
                <w:szCs w:val="20"/>
              </w:rPr>
              <w:t>zdr</w:t>
            </w:r>
            <w:r w:rsidR="00F535C9">
              <w:rPr>
                <w:rFonts w:cs="Arial"/>
                <w:szCs w:val="20"/>
              </w:rPr>
              <w:t xml:space="preserve">avstvenih </w:t>
            </w:r>
            <w:r>
              <w:rPr>
                <w:rFonts w:cs="Arial"/>
                <w:szCs w:val="20"/>
              </w:rPr>
              <w:t xml:space="preserve">tehnikov v </w:t>
            </w:r>
            <w:r w:rsidR="00F535C9">
              <w:rPr>
                <w:rFonts w:cs="Arial"/>
                <w:szCs w:val="20"/>
              </w:rPr>
              <w:t xml:space="preserve">5 </w:t>
            </w:r>
            <w:r>
              <w:rPr>
                <w:rFonts w:cs="Arial"/>
                <w:szCs w:val="20"/>
              </w:rPr>
              <w:t>DMS</w:t>
            </w:r>
          </w:p>
        </w:tc>
        <w:tc>
          <w:tcPr>
            <w:tcW w:w="17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CEDEBE7" w14:textId="7D05A3FC" w:rsidR="0059167B" w:rsidRDefault="00F535C9" w:rsidP="0059167B">
            <w:pPr>
              <w:spacing w:line="231" w:lineRule="atLeast"/>
              <w:jc w:val="center"/>
              <w:rPr>
                <w:rFonts w:cs="Arial"/>
                <w:b/>
                <w:szCs w:val="20"/>
              </w:rPr>
            </w:pPr>
            <w:r>
              <w:rPr>
                <w:rFonts w:cs="Arial"/>
                <w:b/>
                <w:szCs w:val="20"/>
              </w:rPr>
              <w:t>51.580</w:t>
            </w:r>
          </w:p>
        </w:tc>
        <w:tc>
          <w:tcPr>
            <w:tcW w:w="1308" w:type="dxa"/>
            <w:tcBorders>
              <w:top w:val="nil"/>
              <w:left w:val="nil"/>
              <w:bottom w:val="single" w:sz="4" w:space="0" w:color="auto"/>
              <w:right w:val="single" w:sz="8" w:space="0" w:color="auto"/>
            </w:tcBorders>
            <w:shd w:val="clear" w:color="auto" w:fill="FFFFFF"/>
          </w:tcPr>
          <w:p w14:paraId="6E7FBA82" w14:textId="7A2BD0BB" w:rsidR="0059167B" w:rsidRDefault="00F535C9" w:rsidP="0059167B">
            <w:pPr>
              <w:spacing w:line="231" w:lineRule="atLeast"/>
              <w:jc w:val="center"/>
              <w:rPr>
                <w:rFonts w:cs="Arial"/>
                <w:b/>
                <w:szCs w:val="20"/>
              </w:rPr>
            </w:pPr>
            <w:r>
              <w:rPr>
                <w:rFonts w:cs="Arial"/>
                <w:b/>
                <w:szCs w:val="20"/>
              </w:rPr>
              <w:t>25.</w:t>
            </w:r>
            <w:r w:rsidR="005C035C">
              <w:rPr>
                <w:rFonts w:cs="Arial"/>
                <w:b/>
                <w:szCs w:val="20"/>
              </w:rPr>
              <w:t>590</w:t>
            </w:r>
          </w:p>
        </w:tc>
      </w:tr>
      <w:tr w:rsidR="0059167B" w:rsidRPr="005E4BEA" w14:paraId="04A7902E" w14:textId="77777777" w:rsidTr="00F535C9">
        <w:tc>
          <w:tcPr>
            <w:tcW w:w="3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703737" w14:textId="1CFAC0D2" w:rsidR="0059167B" w:rsidRPr="005E4BEA" w:rsidRDefault="0059167B" w:rsidP="0059167B">
            <w:pPr>
              <w:spacing w:line="231" w:lineRule="atLeast"/>
              <w:jc w:val="both"/>
              <w:rPr>
                <w:rFonts w:cs="Arial"/>
                <w:szCs w:val="20"/>
              </w:rPr>
            </w:pPr>
            <w:r>
              <w:rPr>
                <w:rFonts w:cs="Arial"/>
                <w:szCs w:val="20"/>
              </w:rPr>
              <w:t>6</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03216F" w14:textId="703D37DE" w:rsidR="0059167B" w:rsidRPr="005E4BEA" w:rsidRDefault="0059167B" w:rsidP="0059167B">
            <w:pPr>
              <w:spacing w:line="231" w:lineRule="atLeast"/>
              <w:jc w:val="both"/>
              <w:rPr>
                <w:rFonts w:cs="Arial"/>
                <w:szCs w:val="20"/>
              </w:rPr>
            </w:pPr>
            <w:r>
              <w:rPr>
                <w:rFonts w:cs="Arial"/>
                <w:szCs w:val="20"/>
              </w:rPr>
              <w:t xml:space="preserve">Prevedba po 38. členu ZZDej </w:t>
            </w:r>
          </w:p>
        </w:tc>
        <w:tc>
          <w:tcPr>
            <w:tcW w:w="17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3265ABE" w14:textId="51BFC62A" w:rsidR="0059167B" w:rsidRPr="005E4BEA" w:rsidRDefault="0059167B" w:rsidP="0059167B">
            <w:pPr>
              <w:spacing w:line="231" w:lineRule="atLeast"/>
              <w:rPr>
                <w:rFonts w:cs="Arial"/>
                <w:szCs w:val="20"/>
              </w:rPr>
            </w:pPr>
            <w:r>
              <w:rPr>
                <w:rFonts w:cs="Arial"/>
                <w:szCs w:val="20"/>
              </w:rPr>
              <w:t>CIRIUS Kamnik</w:t>
            </w:r>
          </w:p>
        </w:tc>
        <w:tc>
          <w:tcPr>
            <w:tcW w:w="17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74066F" w14:textId="56958D06" w:rsidR="0059167B" w:rsidRPr="005E4BEA" w:rsidRDefault="0059167B" w:rsidP="0059167B">
            <w:pPr>
              <w:spacing w:line="231" w:lineRule="atLeast"/>
              <w:rPr>
                <w:rFonts w:cs="Arial"/>
                <w:szCs w:val="20"/>
              </w:rPr>
            </w:pPr>
            <w:r>
              <w:rPr>
                <w:rFonts w:cs="Arial"/>
                <w:szCs w:val="20"/>
              </w:rPr>
              <w:t>Prevedba 8 zdr</w:t>
            </w:r>
            <w:r w:rsidR="00F535C9">
              <w:rPr>
                <w:rFonts w:cs="Arial"/>
                <w:szCs w:val="20"/>
              </w:rPr>
              <w:t xml:space="preserve">avstvenih </w:t>
            </w:r>
            <w:r>
              <w:rPr>
                <w:rFonts w:cs="Arial"/>
                <w:szCs w:val="20"/>
              </w:rPr>
              <w:t>tehnikov v 8 DMS</w:t>
            </w:r>
          </w:p>
        </w:tc>
        <w:tc>
          <w:tcPr>
            <w:tcW w:w="17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27C13E" w14:textId="34580520" w:rsidR="0059167B" w:rsidRDefault="00F535C9" w:rsidP="0059167B">
            <w:pPr>
              <w:spacing w:line="231" w:lineRule="atLeast"/>
              <w:jc w:val="center"/>
              <w:rPr>
                <w:rFonts w:cs="Arial"/>
                <w:b/>
                <w:szCs w:val="20"/>
              </w:rPr>
            </w:pPr>
            <w:r>
              <w:rPr>
                <w:rFonts w:cs="Arial"/>
                <w:b/>
                <w:szCs w:val="20"/>
              </w:rPr>
              <w:t>81.888</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14:paraId="7F2D3718" w14:textId="214EAAC9" w:rsidR="0059167B" w:rsidRDefault="00F535C9" w:rsidP="0059167B">
            <w:pPr>
              <w:spacing w:line="231" w:lineRule="atLeast"/>
              <w:jc w:val="center"/>
              <w:rPr>
                <w:rFonts w:cs="Arial"/>
                <w:b/>
                <w:szCs w:val="20"/>
              </w:rPr>
            </w:pPr>
            <w:r>
              <w:rPr>
                <w:rFonts w:cs="Arial"/>
                <w:b/>
                <w:szCs w:val="20"/>
              </w:rPr>
              <w:t>40.944</w:t>
            </w:r>
          </w:p>
        </w:tc>
      </w:tr>
      <w:tr w:rsidR="005C035C" w:rsidRPr="005E4BEA" w14:paraId="015A5622" w14:textId="77777777" w:rsidTr="00F535C9">
        <w:tc>
          <w:tcPr>
            <w:tcW w:w="3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EB7DAA" w14:textId="01A70C4E" w:rsidR="005C035C" w:rsidRDefault="005C035C" w:rsidP="0059167B">
            <w:pPr>
              <w:spacing w:line="231" w:lineRule="atLeast"/>
              <w:jc w:val="both"/>
              <w:rPr>
                <w:rFonts w:cs="Arial"/>
                <w:szCs w:val="20"/>
              </w:rPr>
            </w:pPr>
            <w:r>
              <w:rPr>
                <w:rFonts w:cs="Arial"/>
                <w:szCs w:val="20"/>
              </w:rPr>
              <w:t>7</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40C105" w14:textId="56698896" w:rsidR="005C035C" w:rsidRDefault="005C035C" w:rsidP="0059167B">
            <w:pPr>
              <w:spacing w:line="231" w:lineRule="atLeast"/>
              <w:jc w:val="both"/>
              <w:rPr>
                <w:rFonts w:cs="Arial"/>
                <w:szCs w:val="20"/>
              </w:rPr>
            </w:pPr>
            <w:r w:rsidRPr="005E4BEA">
              <w:rPr>
                <w:rFonts w:cs="Arial"/>
                <w:szCs w:val="20"/>
              </w:rPr>
              <w:t>Dvig cene programa dnevnega varstva</w:t>
            </w:r>
          </w:p>
        </w:tc>
        <w:tc>
          <w:tcPr>
            <w:tcW w:w="17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39A39F" w14:textId="0563EB05" w:rsidR="005C035C" w:rsidRDefault="005C035C" w:rsidP="0059167B">
            <w:pPr>
              <w:spacing w:line="231" w:lineRule="atLeast"/>
              <w:rPr>
                <w:rFonts w:cs="Arial"/>
                <w:szCs w:val="20"/>
              </w:rPr>
            </w:pPr>
            <w:r>
              <w:rPr>
                <w:rFonts w:cs="Arial"/>
                <w:szCs w:val="20"/>
              </w:rPr>
              <w:t xml:space="preserve">CIRIUS </w:t>
            </w:r>
            <w:r w:rsidR="009A5C56">
              <w:rPr>
                <w:rFonts w:cs="Arial"/>
                <w:szCs w:val="20"/>
              </w:rPr>
              <w:t>Vipava</w:t>
            </w:r>
          </w:p>
        </w:tc>
        <w:tc>
          <w:tcPr>
            <w:tcW w:w="17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46FD8E" w14:textId="1F94A441" w:rsidR="005C035C" w:rsidRDefault="005C035C" w:rsidP="0059167B">
            <w:pPr>
              <w:spacing w:line="231" w:lineRule="atLeast"/>
              <w:rPr>
                <w:rFonts w:cs="Arial"/>
                <w:szCs w:val="20"/>
              </w:rPr>
            </w:pPr>
            <w:r w:rsidRPr="005E4BEA">
              <w:rPr>
                <w:rFonts w:cs="Arial"/>
                <w:szCs w:val="20"/>
              </w:rPr>
              <w:t>iz 80 % na 95 % cene, razlika 8,88 evra</w:t>
            </w:r>
          </w:p>
        </w:tc>
        <w:tc>
          <w:tcPr>
            <w:tcW w:w="17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79EE8D" w14:textId="22591208" w:rsidR="005C035C" w:rsidRDefault="005C035C" w:rsidP="0059167B">
            <w:pPr>
              <w:spacing w:line="231" w:lineRule="atLeast"/>
              <w:jc w:val="center"/>
              <w:rPr>
                <w:rFonts w:cs="Arial"/>
                <w:b/>
                <w:szCs w:val="20"/>
              </w:rPr>
            </w:pPr>
            <w:r w:rsidRPr="005E4BEA">
              <w:rPr>
                <w:rFonts w:cs="Arial"/>
                <w:szCs w:val="20"/>
              </w:rPr>
              <w:t>153.624</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14:paraId="08C17962" w14:textId="0F6BDCEF" w:rsidR="005C035C" w:rsidRDefault="005C035C" w:rsidP="0059167B">
            <w:pPr>
              <w:spacing w:line="231" w:lineRule="atLeast"/>
              <w:jc w:val="center"/>
              <w:rPr>
                <w:rFonts w:cs="Arial"/>
                <w:b/>
                <w:szCs w:val="20"/>
              </w:rPr>
            </w:pPr>
            <w:r>
              <w:rPr>
                <w:rFonts w:cs="Arial"/>
                <w:b/>
                <w:szCs w:val="20"/>
              </w:rPr>
              <w:t>76.812</w:t>
            </w:r>
          </w:p>
        </w:tc>
      </w:tr>
      <w:tr w:rsidR="00F535C9" w:rsidRPr="005C035C" w14:paraId="470392B8" w14:textId="77777777" w:rsidTr="00565F77">
        <w:tc>
          <w:tcPr>
            <w:tcW w:w="333"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DEC6F16" w14:textId="77777777" w:rsidR="00F535C9" w:rsidRPr="005C035C" w:rsidRDefault="00F535C9" w:rsidP="0059167B">
            <w:pPr>
              <w:spacing w:line="231" w:lineRule="atLeast"/>
              <w:jc w:val="both"/>
              <w:rPr>
                <w:rFonts w:cs="Arial"/>
                <w:b/>
                <w:bCs/>
                <w:szCs w:val="20"/>
              </w:rPr>
            </w:pPr>
          </w:p>
        </w:tc>
        <w:tc>
          <w:tcPr>
            <w:tcW w:w="157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26E6EDE" w14:textId="12C11812" w:rsidR="00F535C9" w:rsidRPr="005C035C" w:rsidRDefault="00F535C9" w:rsidP="0059167B">
            <w:pPr>
              <w:spacing w:line="231" w:lineRule="atLeast"/>
              <w:jc w:val="both"/>
              <w:rPr>
                <w:rFonts w:cs="Arial"/>
                <w:b/>
                <w:bCs/>
                <w:szCs w:val="20"/>
              </w:rPr>
            </w:pPr>
            <w:r w:rsidRPr="005C035C">
              <w:rPr>
                <w:rFonts w:cs="Arial"/>
                <w:b/>
                <w:bCs/>
                <w:szCs w:val="20"/>
              </w:rPr>
              <w:t>SKUPAJ</w:t>
            </w:r>
          </w:p>
        </w:tc>
        <w:tc>
          <w:tcPr>
            <w:tcW w:w="175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1A00640" w14:textId="77777777" w:rsidR="00F535C9" w:rsidRPr="005C035C" w:rsidRDefault="00F535C9" w:rsidP="0059167B">
            <w:pPr>
              <w:spacing w:line="231" w:lineRule="atLeast"/>
              <w:rPr>
                <w:rFonts w:cs="Arial"/>
                <w:b/>
                <w:bCs/>
                <w:szCs w:val="20"/>
              </w:rPr>
            </w:pPr>
          </w:p>
        </w:tc>
        <w:tc>
          <w:tcPr>
            <w:tcW w:w="1729"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31CA9A8" w14:textId="77777777" w:rsidR="00F535C9" w:rsidRPr="005C035C" w:rsidRDefault="00F535C9" w:rsidP="0059167B">
            <w:pPr>
              <w:spacing w:line="231" w:lineRule="atLeast"/>
              <w:rPr>
                <w:rFonts w:cs="Arial"/>
                <w:b/>
                <w:bCs/>
                <w:szCs w:val="20"/>
              </w:rPr>
            </w:pPr>
          </w:p>
        </w:tc>
        <w:tc>
          <w:tcPr>
            <w:tcW w:w="177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DA554CA" w14:textId="16583F92" w:rsidR="00F535C9" w:rsidRPr="005C035C" w:rsidRDefault="009A5C56" w:rsidP="0059167B">
            <w:pPr>
              <w:spacing w:line="231" w:lineRule="atLeast"/>
              <w:jc w:val="center"/>
              <w:rPr>
                <w:rFonts w:cs="Arial"/>
                <w:b/>
                <w:bCs/>
                <w:szCs w:val="20"/>
              </w:rPr>
            </w:pPr>
            <w:r>
              <w:rPr>
                <w:rFonts w:cs="Arial"/>
                <w:b/>
                <w:bCs/>
                <w:szCs w:val="20"/>
              </w:rPr>
              <w:t>493.986</w:t>
            </w:r>
          </w:p>
        </w:tc>
        <w:tc>
          <w:tcPr>
            <w:tcW w:w="1308" w:type="dxa"/>
            <w:tcBorders>
              <w:top w:val="single" w:sz="4" w:space="0" w:color="auto"/>
              <w:left w:val="nil"/>
              <w:bottom w:val="single" w:sz="4" w:space="0" w:color="auto"/>
              <w:right w:val="single" w:sz="8" w:space="0" w:color="auto"/>
            </w:tcBorders>
            <w:shd w:val="clear" w:color="auto" w:fill="FFFFFF"/>
          </w:tcPr>
          <w:p w14:paraId="4AB2C385" w14:textId="5B328849" w:rsidR="00F535C9" w:rsidRPr="005C035C" w:rsidRDefault="009A5C56" w:rsidP="0059167B">
            <w:pPr>
              <w:spacing w:line="231" w:lineRule="atLeast"/>
              <w:jc w:val="center"/>
              <w:rPr>
                <w:rFonts w:cs="Arial"/>
                <w:b/>
                <w:bCs/>
                <w:szCs w:val="20"/>
              </w:rPr>
            </w:pPr>
            <w:r>
              <w:rPr>
                <w:rFonts w:cs="Arial"/>
                <w:b/>
                <w:bCs/>
                <w:szCs w:val="20"/>
              </w:rPr>
              <w:t>246.793</w:t>
            </w:r>
          </w:p>
        </w:tc>
      </w:tr>
      <w:tr w:rsidR="00565F77" w:rsidRPr="005C035C" w14:paraId="0E4580F6" w14:textId="77777777" w:rsidTr="00F535C9">
        <w:tc>
          <w:tcPr>
            <w:tcW w:w="33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A4E714" w14:textId="77777777" w:rsidR="00565F77" w:rsidRPr="005C035C" w:rsidRDefault="00565F77" w:rsidP="0059167B">
            <w:pPr>
              <w:spacing w:line="231" w:lineRule="atLeast"/>
              <w:jc w:val="both"/>
              <w:rPr>
                <w:rFonts w:cs="Arial"/>
                <w:b/>
                <w:bCs/>
                <w:szCs w:val="20"/>
              </w:rPr>
            </w:pPr>
          </w:p>
        </w:tc>
        <w:tc>
          <w:tcPr>
            <w:tcW w:w="157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441D75D" w14:textId="77777777" w:rsidR="00565F77" w:rsidRPr="005C035C" w:rsidRDefault="00565F77" w:rsidP="0059167B">
            <w:pPr>
              <w:spacing w:line="231" w:lineRule="atLeast"/>
              <w:jc w:val="both"/>
              <w:rPr>
                <w:rFonts w:cs="Arial"/>
                <w:b/>
                <w:bCs/>
                <w:szCs w:val="20"/>
              </w:rPr>
            </w:pPr>
          </w:p>
        </w:tc>
        <w:tc>
          <w:tcPr>
            <w:tcW w:w="175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CEFD03F" w14:textId="77777777" w:rsidR="00565F77" w:rsidRPr="005C035C" w:rsidRDefault="00565F77" w:rsidP="0059167B">
            <w:pPr>
              <w:spacing w:line="231" w:lineRule="atLeast"/>
              <w:rPr>
                <w:rFonts w:cs="Arial"/>
                <w:b/>
                <w:bCs/>
                <w:szCs w:val="20"/>
              </w:rPr>
            </w:pPr>
          </w:p>
        </w:tc>
        <w:tc>
          <w:tcPr>
            <w:tcW w:w="17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714C2F9" w14:textId="77777777" w:rsidR="00565F77" w:rsidRPr="005C035C" w:rsidRDefault="00565F77" w:rsidP="0059167B">
            <w:pPr>
              <w:spacing w:line="231" w:lineRule="atLeast"/>
              <w:rPr>
                <w:rFonts w:cs="Arial"/>
                <w:b/>
                <w:bCs/>
                <w:szCs w:val="20"/>
              </w:rPr>
            </w:pPr>
          </w:p>
        </w:tc>
        <w:tc>
          <w:tcPr>
            <w:tcW w:w="17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288AC3E" w14:textId="77777777" w:rsidR="00565F77" w:rsidRDefault="00565F77" w:rsidP="0059167B">
            <w:pPr>
              <w:spacing w:line="231" w:lineRule="atLeast"/>
              <w:jc w:val="center"/>
              <w:rPr>
                <w:rFonts w:cs="Arial"/>
                <w:b/>
                <w:bCs/>
                <w:szCs w:val="20"/>
              </w:rPr>
            </w:pPr>
          </w:p>
        </w:tc>
        <w:tc>
          <w:tcPr>
            <w:tcW w:w="1308" w:type="dxa"/>
            <w:tcBorders>
              <w:top w:val="single" w:sz="4" w:space="0" w:color="auto"/>
              <w:left w:val="nil"/>
              <w:bottom w:val="single" w:sz="8" w:space="0" w:color="auto"/>
              <w:right w:val="single" w:sz="8" w:space="0" w:color="auto"/>
            </w:tcBorders>
            <w:shd w:val="clear" w:color="auto" w:fill="FFFFFF"/>
          </w:tcPr>
          <w:p w14:paraId="70447B92" w14:textId="77777777" w:rsidR="00565F77" w:rsidRDefault="00565F77" w:rsidP="0059167B">
            <w:pPr>
              <w:spacing w:line="231" w:lineRule="atLeast"/>
              <w:jc w:val="center"/>
              <w:rPr>
                <w:rFonts w:cs="Arial"/>
                <w:b/>
                <w:bCs/>
                <w:szCs w:val="20"/>
              </w:rPr>
            </w:pPr>
          </w:p>
        </w:tc>
      </w:tr>
    </w:tbl>
    <w:p w14:paraId="191DA52D" w14:textId="6AB7E671" w:rsidR="0059167B" w:rsidRDefault="0059167B" w:rsidP="00EC58C0">
      <w:pPr>
        <w:autoSpaceDE w:val="0"/>
        <w:autoSpaceDN w:val="0"/>
        <w:adjustRightInd w:val="0"/>
        <w:spacing w:line="0" w:lineRule="atLeast"/>
        <w:jc w:val="both"/>
        <w:rPr>
          <w:rFonts w:eastAsia="Arial Narrow" w:cs="Arial"/>
          <w:szCs w:val="20"/>
        </w:rPr>
      </w:pPr>
    </w:p>
    <w:p w14:paraId="32C8BAE9" w14:textId="77777777" w:rsidR="00D35E34" w:rsidRDefault="00D35E34" w:rsidP="00D35E34">
      <w:pPr>
        <w:jc w:val="both"/>
        <w:rPr>
          <w:rFonts w:ascii="Calibri" w:hAnsi="Calibri"/>
          <w:szCs w:val="22"/>
        </w:rPr>
      </w:pPr>
      <w:r>
        <w:t>V okviru Aneksa št. 1 k SD 2022 se zagotovijo sredstva v višini do 400.000 eur v letu 2022 za izvajanje zdravstvene dejavnosti na področju zavodov za usposabljanje (CUDV) in varstveno delovnih centrov (VDC). Sredstva se bodo razdelila skladno z razdelilnikom, ki ga bo glede na nujnost potreb po posameznih izvajalcih pripravila Skupnost organizacij za usposabljanje oseb s posebnimi potrebami v RS (SOUS) v 14 dneh od sprejetja Aneksa št. 1 k Splošnemu dogovoru za pogodbeno leto 2022 in na katerega bo dalo soglasje Ministrstvo za zdravje. SOUS mora v razdelilniku navesti točen obseg programa in višino sredstev po posameznem izvajalcu.</w:t>
      </w:r>
    </w:p>
    <w:p w14:paraId="0B4D9C7D" w14:textId="77777777" w:rsidR="0059167B" w:rsidRDefault="0059167B" w:rsidP="00EC58C0">
      <w:pPr>
        <w:autoSpaceDE w:val="0"/>
        <w:autoSpaceDN w:val="0"/>
        <w:adjustRightInd w:val="0"/>
        <w:spacing w:line="0" w:lineRule="atLeast"/>
        <w:jc w:val="both"/>
        <w:rPr>
          <w:rFonts w:eastAsia="Arial Narrow" w:cs="Arial"/>
          <w:szCs w:val="20"/>
        </w:rPr>
      </w:pPr>
    </w:p>
    <w:p w14:paraId="7C6E8A0D" w14:textId="77777777" w:rsidR="00EC58C0" w:rsidRPr="005E4BEA" w:rsidRDefault="00EC58C0" w:rsidP="00EC58C0">
      <w:pPr>
        <w:spacing w:line="0" w:lineRule="atLeast"/>
        <w:jc w:val="both"/>
        <w:rPr>
          <w:rFonts w:eastAsia="Arial Narrow" w:cs="Arial"/>
          <w:szCs w:val="20"/>
          <w:lang w:eastAsia="sl-SI"/>
        </w:rPr>
      </w:pPr>
    </w:p>
    <w:p w14:paraId="32C0F47B" w14:textId="40A505EA" w:rsidR="005C035C" w:rsidRPr="005E4BEA" w:rsidRDefault="00EC58C0" w:rsidP="005C035C">
      <w:pPr>
        <w:spacing w:line="240" w:lineRule="auto"/>
        <w:jc w:val="both"/>
        <w:rPr>
          <w:rFonts w:cs="Arial"/>
          <w:b/>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04" w:name="_Hlk103097239"/>
      <w:r w:rsidRPr="005E4BEA">
        <w:rPr>
          <w:rFonts w:eastAsia="Arial Narrow" w:cs="Arial"/>
          <w:szCs w:val="20"/>
        </w:rPr>
        <w:t>da</w:t>
      </w:r>
      <w:r w:rsidRPr="005E4BEA">
        <w:rPr>
          <w:rFonts w:eastAsia="Arial Narrow" w:cs="Arial"/>
          <w:b/>
          <w:szCs w:val="20"/>
        </w:rPr>
        <w:t xml:space="preserve"> </w:t>
      </w:r>
      <w:r w:rsidR="005C035C" w:rsidRPr="005C035C">
        <w:rPr>
          <w:rFonts w:eastAsia="Arial Narrow" w:cs="Arial"/>
          <w:szCs w:val="20"/>
        </w:rPr>
        <w:t xml:space="preserve">se </w:t>
      </w:r>
      <w:r w:rsidR="005C035C" w:rsidRPr="005E4BEA">
        <w:rPr>
          <w:rFonts w:eastAsia="Arial Narrow" w:cs="Arial"/>
          <w:bCs/>
          <w:szCs w:val="20"/>
        </w:rPr>
        <w:t>v</w:t>
      </w:r>
      <w:r w:rsidR="005C035C" w:rsidRPr="005E4BEA">
        <w:rPr>
          <w:rFonts w:cs="Arial"/>
          <w:bCs/>
          <w:szCs w:val="20"/>
        </w:rPr>
        <w:t xml:space="preserve"> 24. členu</w:t>
      </w:r>
      <w:r w:rsidR="005C035C">
        <w:rPr>
          <w:rFonts w:cs="Arial"/>
          <w:bCs/>
          <w:szCs w:val="20"/>
        </w:rPr>
        <w:t xml:space="preserve"> v šesti točki </w:t>
      </w:r>
      <w:r w:rsidR="005C035C" w:rsidRPr="005E4BEA">
        <w:rPr>
          <w:rFonts w:cs="Arial"/>
          <w:bCs/>
          <w:szCs w:val="20"/>
        </w:rPr>
        <w:t>doda nujne širitve programov in zagotovitev dodatnih sredstev za</w:t>
      </w:r>
      <w:r w:rsidR="005C035C">
        <w:rPr>
          <w:rFonts w:cs="Arial"/>
          <w:b/>
          <w:bCs/>
          <w:szCs w:val="20"/>
        </w:rPr>
        <w:t>:</w:t>
      </w:r>
    </w:p>
    <w:p w14:paraId="2F6FCF01" w14:textId="77777777" w:rsidR="005C035C" w:rsidRDefault="005C035C" w:rsidP="005C035C">
      <w:pPr>
        <w:autoSpaceDE w:val="0"/>
        <w:autoSpaceDN w:val="0"/>
        <w:adjustRightInd w:val="0"/>
        <w:spacing w:line="0" w:lineRule="atLeast"/>
        <w:jc w:val="both"/>
        <w:rPr>
          <w:rFonts w:eastAsia="Arial Narrow" w:cs="Arial"/>
          <w:szCs w:val="20"/>
        </w:rPr>
      </w:pPr>
    </w:p>
    <w:tbl>
      <w:tblPr>
        <w:tblW w:w="0" w:type="auto"/>
        <w:shd w:val="clear" w:color="auto" w:fill="FFFFFF"/>
        <w:tblCellMar>
          <w:left w:w="0" w:type="dxa"/>
          <w:right w:w="0" w:type="dxa"/>
        </w:tblCellMar>
        <w:tblLook w:val="04A0" w:firstRow="1" w:lastRow="0" w:firstColumn="1" w:lastColumn="0" w:noHBand="0" w:noVBand="1"/>
      </w:tblPr>
      <w:tblGrid>
        <w:gridCol w:w="333"/>
        <w:gridCol w:w="1574"/>
        <w:gridCol w:w="1758"/>
        <w:gridCol w:w="1729"/>
        <w:gridCol w:w="1776"/>
        <w:gridCol w:w="1308"/>
      </w:tblGrid>
      <w:tr w:rsidR="009A5C56" w:rsidRPr="005E4BEA" w14:paraId="2526224F" w14:textId="77777777" w:rsidTr="00BE374C">
        <w:tc>
          <w:tcPr>
            <w:tcW w:w="3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0BF2DE" w14:textId="77777777" w:rsidR="009A5C56" w:rsidRPr="005E4BEA" w:rsidRDefault="009A5C56" w:rsidP="00BE374C">
            <w:pPr>
              <w:spacing w:line="231" w:lineRule="atLeast"/>
              <w:jc w:val="both"/>
              <w:rPr>
                <w:rFonts w:cs="Arial"/>
                <w:szCs w:val="20"/>
              </w:rPr>
            </w:pPr>
            <w:r w:rsidRPr="005E4BEA">
              <w:rPr>
                <w:rFonts w:cs="Arial"/>
                <w:szCs w:val="20"/>
              </w:rPr>
              <w:t> </w:t>
            </w:r>
          </w:p>
        </w:tc>
        <w:tc>
          <w:tcPr>
            <w:tcW w:w="1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710F3C" w14:textId="77777777" w:rsidR="009A5C56" w:rsidRPr="005E4BEA" w:rsidRDefault="009A5C56" w:rsidP="00BE374C">
            <w:pPr>
              <w:spacing w:line="231" w:lineRule="atLeast"/>
              <w:jc w:val="both"/>
              <w:rPr>
                <w:rFonts w:cs="Arial"/>
                <w:szCs w:val="20"/>
              </w:rPr>
            </w:pPr>
            <w:r w:rsidRPr="005E4BEA">
              <w:rPr>
                <w:rFonts w:cs="Arial"/>
                <w:szCs w:val="20"/>
              </w:rPr>
              <w:t>Program</w:t>
            </w:r>
          </w:p>
        </w:tc>
        <w:tc>
          <w:tcPr>
            <w:tcW w:w="17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3622971" w14:textId="77777777" w:rsidR="009A5C56" w:rsidRPr="005E4BEA" w:rsidRDefault="009A5C56" w:rsidP="00BE374C">
            <w:pPr>
              <w:spacing w:line="231" w:lineRule="atLeast"/>
              <w:jc w:val="both"/>
              <w:rPr>
                <w:rFonts w:cs="Arial"/>
                <w:szCs w:val="20"/>
              </w:rPr>
            </w:pPr>
            <w:r w:rsidRPr="005E4BEA">
              <w:rPr>
                <w:rFonts w:cs="Arial"/>
                <w:szCs w:val="20"/>
              </w:rPr>
              <w:t>Izvajalec</w:t>
            </w:r>
          </w:p>
        </w:tc>
        <w:tc>
          <w:tcPr>
            <w:tcW w:w="17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DCBA2E" w14:textId="77777777" w:rsidR="009A5C56" w:rsidRPr="005E4BEA" w:rsidRDefault="009A5C56" w:rsidP="00BE374C">
            <w:pPr>
              <w:spacing w:line="231" w:lineRule="atLeast"/>
              <w:jc w:val="both"/>
              <w:rPr>
                <w:rFonts w:cs="Arial"/>
                <w:szCs w:val="20"/>
              </w:rPr>
            </w:pPr>
            <w:r w:rsidRPr="005E4BEA">
              <w:rPr>
                <w:rFonts w:cs="Arial"/>
                <w:szCs w:val="20"/>
              </w:rPr>
              <w:t>Obseg programa</w:t>
            </w:r>
          </w:p>
        </w:tc>
        <w:tc>
          <w:tcPr>
            <w:tcW w:w="17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9DF404A" w14:textId="77777777" w:rsidR="009A5C56" w:rsidRPr="005E4BEA" w:rsidRDefault="009A5C56" w:rsidP="00BE374C">
            <w:pPr>
              <w:spacing w:line="231" w:lineRule="atLeast"/>
              <w:jc w:val="both"/>
              <w:rPr>
                <w:rFonts w:cs="Arial"/>
                <w:szCs w:val="20"/>
              </w:rPr>
            </w:pPr>
            <w:r w:rsidRPr="005E4BEA">
              <w:rPr>
                <w:rFonts w:cs="Arial"/>
                <w:szCs w:val="20"/>
              </w:rPr>
              <w:t>Dodatna sredstva na letni ravni  (v EUR)</w:t>
            </w:r>
          </w:p>
        </w:tc>
        <w:tc>
          <w:tcPr>
            <w:tcW w:w="1308" w:type="dxa"/>
            <w:tcBorders>
              <w:top w:val="single" w:sz="8" w:space="0" w:color="auto"/>
              <w:left w:val="nil"/>
              <w:bottom w:val="single" w:sz="8" w:space="0" w:color="auto"/>
              <w:right w:val="single" w:sz="8" w:space="0" w:color="auto"/>
            </w:tcBorders>
            <w:shd w:val="clear" w:color="auto" w:fill="FFFFFF"/>
          </w:tcPr>
          <w:p w14:paraId="64B23EF5" w14:textId="77777777" w:rsidR="009A5C56" w:rsidRPr="005E4BEA" w:rsidRDefault="009A5C56" w:rsidP="00BE374C">
            <w:pPr>
              <w:spacing w:line="231" w:lineRule="atLeast"/>
              <w:jc w:val="both"/>
              <w:rPr>
                <w:rFonts w:cs="Arial"/>
                <w:szCs w:val="20"/>
              </w:rPr>
            </w:pPr>
            <w:r>
              <w:rPr>
                <w:rFonts w:cs="Arial"/>
                <w:szCs w:val="20"/>
              </w:rPr>
              <w:t>Dodatna sredstva v letu 2020</w:t>
            </w:r>
          </w:p>
        </w:tc>
      </w:tr>
      <w:tr w:rsidR="009A5C56" w:rsidRPr="005E4BEA" w14:paraId="16E2B957" w14:textId="77777777" w:rsidTr="00BE374C">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FEFA5B" w14:textId="77777777" w:rsidR="009A5C56" w:rsidRPr="005E4BEA" w:rsidRDefault="009A5C56" w:rsidP="00BE374C">
            <w:pPr>
              <w:spacing w:line="231" w:lineRule="atLeast"/>
              <w:jc w:val="both"/>
              <w:rPr>
                <w:rFonts w:cs="Arial"/>
                <w:szCs w:val="20"/>
              </w:rPr>
            </w:pPr>
            <w:r w:rsidRPr="005E4BEA">
              <w:rPr>
                <w:rFonts w:cs="Arial"/>
                <w:szCs w:val="20"/>
              </w:rPr>
              <w:t>1</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D73DBD" w14:textId="77777777" w:rsidR="009A5C56" w:rsidRPr="005E4BEA" w:rsidRDefault="009A5C56" w:rsidP="00BE374C">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685CD8" w14:textId="77777777" w:rsidR="009A5C56" w:rsidRPr="005E4BEA" w:rsidRDefault="009A5C56" w:rsidP="00BE374C">
            <w:pPr>
              <w:spacing w:line="240" w:lineRule="auto"/>
              <w:rPr>
                <w:rFonts w:eastAsia="Calibri" w:cs="Arial"/>
                <w:bCs/>
                <w:szCs w:val="20"/>
              </w:rPr>
            </w:pPr>
            <w:r w:rsidRPr="005E4BEA">
              <w:rPr>
                <w:rFonts w:eastAsia="Calibri" w:cs="Arial"/>
                <w:bCs/>
                <w:szCs w:val="20"/>
              </w:rPr>
              <w:t>OŠ dr. Ljudevita Pivka, Ptuj</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BE947F" w14:textId="77777777" w:rsidR="009A5C56" w:rsidRPr="005E4BEA" w:rsidRDefault="009A5C56" w:rsidP="00BE374C">
            <w:pPr>
              <w:spacing w:line="231" w:lineRule="atLeast"/>
              <w:rPr>
                <w:rFonts w:cs="Arial"/>
                <w:szCs w:val="20"/>
              </w:rPr>
            </w:pPr>
            <w:r w:rsidRPr="005E4BEA">
              <w:rPr>
                <w:rFonts w:cs="Arial"/>
                <w:szCs w:val="20"/>
              </w:rPr>
              <w:t>0,5 fizioterapevt</w:t>
            </w:r>
          </w:p>
          <w:p w14:paraId="5E53B7A8" w14:textId="77777777" w:rsidR="009A5C56" w:rsidRPr="005E4BEA" w:rsidRDefault="009A5C56" w:rsidP="00BE374C">
            <w:pPr>
              <w:spacing w:line="231" w:lineRule="atLeast"/>
              <w:rPr>
                <w:rFonts w:cs="Arial"/>
                <w:szCs w:val="20"/>
              </w:rPr>
            </w:pPr>
            <w:r w:rsidRPr="005E4BEA">
              <w:rPr>
                <w:rFonts w:cs="Arial"/>
                <w:szCs w:val="20"/>
              </w:rPr>
              <w:t>1,0 logoped</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CB99AF9" w14:textId="77777777" w:rsidR="009A5C56" w:rsidRPr="005E4BEA" w:rsidRDefault="009A5C56" w:rsidP="00BE374C">
            <w:pPr>
              <w:spacing w:line="231" w:lineRule="atLeast"/>
              <w:jc w:val="center"/>
              <w:rPr>
                <w:rFonts w:cs="Arial"/>
                <w:szCs w:val="20"/>
              </w:rPr>
            </w:pPr>
            <w:r w:rsidRPr="005E4BEA">
              <w:rPr>
                <w:rFonts w:cs="Arial"/>
                <w:szCs w:val="20"/>
              </w:rPr>
              <w:t>64.280</w:t>
            </w:r>
          </w:p>
        </w:tc>
        <w:tc>
          <w:tcPr>
            <w:tcW w:w="1308" w:type="dxa"/>
            <w:tcBorders>
              <w:top w:val="nil"/>
              <w:left w:val="nil"/>
              <w:bottom w:val="single" w:sz="8" w:space="0" w:color="auto"/>
              <w:right w:val="single" w:sz="8" w:space="0" w:color="auto"/>
            </w:tcBorders>
            <w:shd w:val="clear" w:color="auto" w:fill="FFFFFF"/>
          </w:tcPr>
          <w:p w14:paraId="077B0E5D" w14:textId="77777777" w:rsidR="009A5C56" w:rsidRPr="005E4BEA" w:rsidRDefault="009A5C56" w:rsidP="00BE374C">
            <w:pPr>
              <w:spacing w:line="231" w:lineRule="atLeast"/>
              <w:jc w:val="center"/>
              <w:rPr>
                <w:rFonts w:cs="Arial"/>
                <w:szCs w:val="20"/>
              </w:rPr>
            </w:pPr>
            <w:r>
              <w:rPr>
                <w:rFonts w:cs="Arial"/>
                <w:szCs w:val="20"/>
              </w:rPr>
              <w:t>32.140</w:t>
            </w:r>
          </w:p>
        </w:tc>
      </w:tr>
      <w:tr w:rsidR="009A5C56" w:rsidRPr="005E4BEA" w14:paraId="5944B9D3" w14:textId="77777777" w:rsidTr="00BE374C">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ECF0E3" w14:textId="77777777" w:rsidR="009A5C56" w:rsidRPr="005E4BEA" w:rsidRDefault="009A5C56" w:rsidP="00BE374C">
            <w:pPr>
              <w:spacing w:line="231" w:lineRule="atLeast"/>
              <w:jc w:val="both"/>
              <w:rPr>
                <w:rFonts w:cs="Arial"/>
                <w:szCs w:val="20"/>
              </w:rPr>
            </w:pPr>
            <w:r w:rsidRPr="005E4BEA">
              <w:rPr>
                <w:rFonts w:cs="Arial"/>
                <w:szCs w:val="20"/>
              </w:rPr>
              <w:t>2</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E1E35F" w14:textId="77777777" w:rsidR="009A5C56" w:rsidRPr="005E4BEA" w:rsidRDefault="009A5C56" w:rsidP="00BE374C">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DC821D" w14:textId="77777777" w:rsidR="009A5C56" w:rsidRPr="005E4BEA" w:rsidRDefault="009A5C56" w:rsidP="00BE374C">
            <w:pPr>
              <w:spacing w:line="240" w:lineRule="auto"/>
              <w:rPr>
                <w:rFonts w:eastAsia="Calibri" w:cs="Arial"/>
                <w:bCs/>
                <w:szCs w:val="20"/>
              </w:rPr>
            </w:pPr>
            <w:r w:rsidRPr="005E4BEA">
              <w:rPr>
                <w:rFonts w:eastAsia="Calibri" w:cs="Arial"/>
                <w:bCs/>
                <w:szCs w:val="20"/>
              </w:rPr>
              <w:t>OŠ Glazija Celje</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785AC5" w14:textId="77777777" w:rsidR="009A5C56" w:rsidRPr="005E4BEA" w:rsidRDefault="009A5C56" w:rsidP="00BE374C">
            <w:pPr>
              <w:spacing w:line="231" w:lineRule="atLeast"/>
              <w:rPr>
                <w:rFonts w:cs="Arial"/>
                <w:szCs w:val="20"/>
              </w:rPr>
            </w:pPr>
            <w:r w:rsidRPr="005E4BEA">
              <w:rPr>
                <w:rFonts w:cs="Arial"/>
                <w:szCs w:val="20"/>
              </w:rPr>
              <w:t xml:space="preserve">1,0 delovni terapevt </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43EEEF0" w14:textId="77777777" w:rsidR="009A5C56" w:rsidRPr="005E4BEA" w:rsidRDefault="009A5C56" w:rsidP="00BE374C">
            <w:pPr>
              <w:spacing w:line="231" w:lineRule="atLeast"/>
              <w:jc w:val="center"/>
              <w:rPr>
                <w:rFonts w:cs="Arial"/>
                <w:szCs w:val="20"/>
              </w:rPr>
            </w:pPr>
            <w:r w:rsidRPr="005E4BEA">
              <w:rPr>
                <w:rFonts w:cs="Arial"/>
                <w:szCs w:val="20"/>
              </w:rPr>
              <w:t>30.144</w:t>
            </w:r>
          </w:p>
        </w:tc>
        <w:tc>
          <w:tcPr>
            <w:tcW w:w="1308" w:type="dxa"/>
            <w:tcBorders>
              <w:top w:val="nil"/>
              <w:left w:val="nil"/>
              <w:bottom w:val="single" w:sz="8" w:space="0" w:color="auto"/>
              <w:right w:val="single" w:sz="8" w:space="0" w:color="auto"/>
            </w:tcBorders>
            <w:shd w:val="clear" w:color="auto" w:fill="FFFFFF"/>
          </w:tcPr>
          <w:p w14:paraId="3D614FF2" w14:textId="77777777" w:rsidR="009A5C56" w:rsidRPr="005E4BEA" w:rsidRDefault="009A5C56" w:rsidP="00BE374C">
            <w:pPr>
              <w:spacing w:line="231" w:lineRule="atLeast"/>
              <w:jc w:val="center"/>
              <w:rPr>
                <w:rFonts w:cs="Arial"/>
                <w:szCs w:val="20"/>
              </w:rPr>
            </w:pPr>
            <w:r>
              <w:rPr>
                <w:rFonts w:cs="Arial"/>
                <w:szCs w:val="20"/>
              </w:rPr>
              <w:t>15.072</w:t>
            </w:r>
          </w:p>
        </w:tc>
      </w:tr>
      <w:tr w:rsidR="009A5C56" w:rsidRPr="005E4BEA" w14:paraId="4F63E647" w14:textId="77777777" w:rsidTr="00BE374C">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99B55C" w14:textId="77777777" w:rsidR="009A5C56" w:rsidRPr="005E4BEA" w:rsidRDefault="009A5C56" w:rsidP="00BE374C">
            <w:pPr>
              <w:spacing w:line="231" w:lineRule="atLeast"/>
              <w:jc w:val="both"/>
              <w:rPr>
                <w:rFonts w:cs="Arial"/>
                <w:szCs w:val="20"/>
              </w:rPr>
            </w:pPr>
            <w:r w:rsidRPr="005E4BEA">
              <w:rPr>
                <w:rFonts w:cs="Arial"/>
                <w:szCs w:val="20"/>
              </w:rPr>
              <w:t>3</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CF5EDD" w14:textId="77777777" w:rsidR="009A5C56" w:rsidRPr="005E4BEA" w:rsidRDefault="009A5C56" w:rsidP="00BE374C">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773954" w14:textId="77777777" w:rsidR="009A5C56" w:rsidRPr="005E4BEA" w:rsidRDefault="009A5C56" w:rsidP="00BE374C">
            <w:pPr>
              <w:spacing w:line="240" w:lineRule="auto"/>
              <w:rPr>
                <w:rFonts w:eastAsia="Calibri" w:cs="Arial"/>
                <w:bCs/>
                <w:szCs w:val="20"/>
              </w:rPr>
            </w:pPr>
            <w:r w:rsidRPr="005E4BEA">
              <w:rPr>
                <w:rFonts w:eastAsia="Calibri" w:cs="Arial"/>
                <w:bCs/>
                <w:szCs w:val="20"/>
              </w:rPr>
              <w:t>OŠ Gustava Šiliha, Maribor</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DEF480" w14:textId="77777777" w:rsidR="009A5C56" w:rsidRPr="005E4BEA" w:rsidRDefault="009A5C56" w:rsidP="00BE374C">
            <w:pPr>
              <w:spacing w:line="231" w:lineRule="atLeast"/>
              <w:rPr>
                <w:rFonts w:cs="Arial"/>
                <w:szCs w:val="20"/>
              </w:rPr>
            </w:pPr>
            <w:r w:rsidRPr="005E4BEA">
              <w:rPr>
                <w:rFonts w:cs="Arial"/>
                <w:szCs w:val="20"/>
              </w:rPr>
              <w:t>1,0 logoped</w:t>
            </w:r>
          </w:p>
          <w:p w14:paraId="6556BA0D" w14:textId="77777777" w:rsidR="009A5C56" w:rsidRPr="005E4BEA" w:rsidRDefault="009A5C56" w:rsidP="00BE374C">
            <w:pPr>
              <w:spacing w:line="231" w:lineRule="atLeast"/>
              <w:rPr>
                <w:rFonts w:cs="Arial"/>
                <w:szCs w:val="20"/>
              </w:rPr>
            </w:pPr>
            <w:r w:rsidRPr="005E4BEA">
              <w:rPr>
                <w:rFonts w:cs="Arial"/>
                <w:szCs w:val="20"/>
              </w:rPr>
              <w:t>1,0 delovni terapevt</w:t>
            </w:r>
          </w:p>
          <w:p w14:paraId="4B2C6B13" w14:textId="77777777" w:rsidR="009A5C56" w:rsidRPr="005E4BEA" w:rsidRDefault="009A5C56" w:rsidP="00BE374C">
            <w:pPr>
              <w:spacing w:line="231" w:lineRule="atLeast"/>
              <w:rPr>
                <w:rFonts w:cs="Arial"/>
                <w:szCs w:val="20"/>
              </w:rPr>
            </w:pPr>
            <w:r w:rsidRPr="005E4BEA">
              <w:rPr>
                <w:rFonts w:cs="Arial"/>
                <w:szCs w:val="20"/>
              </w:rPr>
              <w:t>1,0 fizioterapevt</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149664" w14:textId="77777777" w:rsidR="009A5C56" w:rsidRPr="005E4BEA" w:rsidRDefault="009A5C56" w:rsidP="00BE374C">
            <w:pPr>
              <w:spacing w:line="231" w:lineRule="atLeast"/>
              <w:jc w:val="center"/>
              <w:rPr>
                <w:rFonts w:cs="Arial"/>
                <w:szCs w:val="20"/>
              </w:rPr>
            </w:pPr>
            <w:r w:rsidRPr="005E4BEA">
              <w:rPr>
                <w:rFonts w:cs="Arial"/>
                <w:szCs w:val="20"/>
              </w:rPr>
              <w:t>78.738</w:t>
            </w:r>
          </w:p>
        </w:tc>
        <w:tc>
          <w:tcPr>
            <w:tcW w:w="1308" w:type="dxa"/>
            <w:tcBorders>
              <w:top w:val="nil"/>
              <w:left w:val="nil"/>
              <w:bottom w:val="single" w:sz="8" w:space="0" w:color="auto"/>
              <w:right w:val="single" w:sz="8" w:space="0" w:color="auto"/>
            </w:tcBorders>
            <w:shd w:val="clear" w:color="auto" w:fill="FFFFFF"/>
          </w:tcPr>
          <w:p w14:paraId="6ADA2FAD" w14:textId="77777777" w:rsidR="009A5C56" w:rsidRPr="005E4BEA" w:rsidRDefault="009A5C56" w:rsidP="00BE374C">
            <w:pPr>
              <w:spacing w:line="231" w:lineRule="atLeast"/>
              <w:jc w:val="center"/>
              <w:rPr>
                <w:rFonts w:cs="Arial"/>
                <w:szCs w:val="20"/>
              </w:rPr>
            </w:pPr>
            <w:r>
              <w:rPr>
                <w:rFonts w:cs="Arial"/>
                <w:szCs w:val="20"/>
              </w:rPr>
              <w:t>39.369</w:t>
            </w:r>
          </w:p>
        </w:tc>
      </w:tr>
      <w:tr w:rsidR="009A5C56" w:rsidRPr="005E4BEA" w14:paraId="0F5563FD" w14:textId="77777777" w:rsidTr="00BE374C">
        <w:tc>
          <w:tcPr>
            <w:tcW w:w="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8607E3" w14:textId="77777777" w:rsidR="009A5C56" w:rsidRPr="005E4BEA" w:rsidRDefault="009A5C56" w:rsidP="00BE374C">
            <w:pPr>
              <w:spacing w:line="231" w:lineRule="atLeast"/>
              <w:jc w:val="both"/>
              <w:rPr>
                <w:rFonts w:cs="Arial"/>
                <w:szCs w:val="20"/>
              </w:rPr>
            </w:pPr>
            <w:r w:rsidRPr="005E4BEA">
              <w:rPr>
                <w:rFonts w:cs="Arial"/>
                <w:szCs w:val="20"/>
              </w:rPr>
              <w:t>4</w:t>
            </w:r>
          </w:p>
        </w:tc>
        <w:tc>
          <w:tcPr>
            <w:tcW w:w="1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E95DFE" w14:textId="77777777" w:rsidR="009A5C56" w:rsidRPr="005E4BEA" w:rsidRDefault="009A5C56" w:rsidP="00BE374C">
            <w:pPr>
              <w:spacing w:line="231" w:lineRule="atLeast"/>
              <w:jc w:val="both"/>
              <w:rPr>
                <w:rFonts w:cs="Arial"/>
                <w:szCs w:val="20"/>
              </w:rPr>
            </w:pPr>
            <w:r w:rsidRPr="005E4BEA">
              <w:rPr>
                <w:rFonts w:cs="Arial"/>
                <w:szCs w:val="20"/>
              </w:rPr>
              <w:t>Povečanje števila delavcev</w:t>
            </w:r>
          </w:p>
        </w:tc>
        <w:tc>
          <w:tcPr>
            <w:tcW w:w="17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C79A88" w14:textId="77777777" w:rsidR="009A5C56" w:rsidRPr="005E4BEA" w:rsidRDefault="009A5C56" w:rsidP="00BE374C">
            <w:pPr>
              <w:spacing w:line="240" w:lineRule="auto"/>
              <w:rPr>
                <w:rFonts w:eastAsia="Calibri" w:cs="Arial"/>
                <w:bCs/>
                <w:szCs w:val="20"/>
              </w:rPr>
            </w:pPr>
            <w:r w:rsidRPr="005E4BEA">
              <w:rPr>
                <w:rFonts w:eastAsia="Calibri" w:cs="Arial"/>
                <w:bCs/>
                <w:szCs w:val="20"/>
              </w:rPr>
              <w:t>OŠ Minke Namestnik Sonje, Slovenska Bistrica</w:t>
            </w:r>
          </w:p>
        </w:tc>
        <w:tc>
          <w:tcPr>
            <w:tcW w:w="17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805B9F" w14:textId="77777777" w:rsidR="009A5C56" w:rsidRPr="005E4BEA" w:rsidRDefault="009A5C56" w:rsidP="00BE374C">
            <w:pPr>
              <w:spacing w:line="231" w:lineRule="atLeast"/>
              <w:rPr>
                <w:rFonts w:cs="Arial"/>
                <w:szCs w:val="20"/>
              </w:rPr>
            </w:pPr>
            <w:r w:rsidRPr="005E4BEA">
              <w:rPr>
                <w:rFonts w:cs="Arial"/>
                <w:szCs w:val="20"/>
              </w:rPr>
              <w:t>0,5 logoped</w:t>
            </w:r>
          </w:p>
          <w:p w14:paraId="4C47EBA8" w14:textId="77777777" w:rsidR="009A5C56" w:rsidRPr="005E4BEA" w:rsidRDefault="009A5C56" w:rsidP="00BE374C">
            <w:pPr>
              <w:spacing w:line="231" w:lineRule="atLeast"/>
              <w:rPr>
                <w:rFonts w:cs="Arial"/>
                <w:szCs w:val="20"/>
              </w:rPr>
            </w:pPr>
            <w:r w:rsidRPr="005E4BEA">
              <w:rPr>
                <w:rFonts w:cs="Arial"/>
                <w:szCs w:val="20"/>
              </w:rPr>
              <w:t>0,5 delovni terapevt</w:t>
            </w:r>
          </w:p>
        </w:tc>
        <w:tc>
          <w:tcPr>
            <w:tcW w:w="17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286079" w14:textId="77777777" w:rsidR="009A5C56" w:rsidRPr="005E4BEA" w:rsidRDefault="009A5C56" w:rsidP="00BE374C">
            <w:pPr>
              <w:spacing w:line="231" w:lineRule="atLeast"/>
              <w:jc w:val="center"/>
              <w:rPr>
                <w:rFonts w:cs="Arial"/>
                <w:szCs w:val="20"/>
              </w:rPr>
            </w:pPr>
            <w:r w:rsidRPr="009A5C56">
              <w:rPr>
                <w:rFonts w:cs="Arial"/>
                <w:szCs w:val="20"/>
              </w:rPr>
              <w:t>33.732</w:t>
            </w:r>
          </w:p>
        </w:tc>
        <w:tc>
          <w:tcPr>
            <w:tcW w:w="1308" w:type="dxa"/>
            <w:tcBorders>
              <w:top w:val="nil"/>
              <w:left w:val="nil"/>
              <w:bottom w:val="single" w:sz="8" w:space="0" w:color="auto"/>
              <w:right w:val="single" w:sz="8" w:space="0" w:color="auto"/>
            </w:tcBorders>
            <w:shd w:val="clear" w:color="auto" w:fill="FFFFFF"/>
          </w:tcPr>
          <w:p w14:paraId="6E09F6FE" w14:textId="77777777" w:rsidR="009A5C56" w:rsidRPr="005E4BEA" w:rsidRDefault="009A5C56" w:rsidP="00BE374C">
            <w:pPr>
              <w:spacing w:line="231" w:lineRule="atLeast"/>
              <w:jc w:val="center"/>
              <w:rPr>
                <w:rFonts w:cs="Arial"/>
                <w:szCs w:val="20"/>
              </w:rPr>
            </w:pPr>
            <w:r>
              <w:rPr>
                <w:rFonts w:cs="Arial"/>
                <w:szCs w:val="20"/>
              </w:rPr>
              <w:t>16.866</w:t>
            </w:r>
          </w:p>
        </w:tc>
      </w:tr>
      <w:tr w:rsidR="009A5C56" w:rsidRPr="002903BE" w14:paraId="31D8628A" w14:textId="77777777" w:rsidTr="00BE374C">
        <w:tc>
          <w:tcPr>
            <w:tcW w:w="3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9E9A22C" w14:textId="77777777" w:rsidR="009A5C56" w:rsidRPr="002903BE" w:rsidRDefault="009A5C56" w:rsidP="00BE374C">
            <w:pPr>
              <w:spacing w:line="231" w:lineRule="atLeast"/>
              <w:jc w:val="both"/>
              <w:rPr>
                <w:rFonts w:cs="Arial"/>
                <w:szCs w:val="20"/>
              </w:rPr>
            </w:pPr>
            <w:r w:rsidRPr="002903BE">
              <w:rPr>
                <w:rFonts w:cs="Arial"/>
                <w:szCs w:val="20"/>
              </w:rPr>
              <w:t>5</w:t>
            </w:r>
          </w:p>
        </w:tc>
        <w:tc>
          <w:tcPr>
            <w:tcW w:w="157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2FF53D7" w14:textId="77777777" w:rsidR="009A5C56" w:rsidRPr="002903BE" w:rsidRDefault="009A5C56" w:rsidP="00BE374C">
            <w:pPr>
              <w:spacing w:line="231" w:lineRule="atLeast"/>
              <w:jc w:val="both"/>
              <w:rPr>
                <w:rFonts w:cs="Arial"/>
                <w:szCs w:val="20"/>
              </w:rPr>
            </w:pPr>
            <w:r w:rsidRPr="002903BE">
              <w:rPr>
                <w:rFonts w:cs="Arial"/>
                <w:szCs w:val="20"/>
              </w:rPr>
              <w:t xml:space="preserve">Prevedba po 38. členu ZZDej </w:t>
            </w:r>
          </w:p>
        </w:tc>
        <w:tc>
          <w:tcPr>
            <w:tcW w:w="175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840417C" w14:textId="77777777" w:rsidR="009A5C56" w:rsidRPr="002903BE" w:rsidRDefault="009A5C56" w:rsidP="00BE374C">
            <w:pPr>
              <w:spacing w:line="231" w:lineRule="atLeast"/>
              <w:rPr>
                <w:rFonts w:cs="Arial"/>
                <w:szCs w:val="20"/>
              </w:rPr>
            </w:pPr>
            <w:r w:rsidRPr="002903BE">
              <w:rPr>
                <w:rFonts w:cs="Arial"/>
                <w:szCs w:val="20"/>
              </w:rPr>
              <w:t>CIRIUS Vipava</w:t>
            </w:r>
          </w:p>
        </w:tc>
        <w:tc>
          <w:tcPr>
            <w:tcW w:w="17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41D1EEA" w14:textId="77777777" w:rsidR="009A5C56" w:rsidRPr="002903BE" w:rsidRDefault="009A5C56" w:rsidP="00BE374C">
            <w:pPr>
              <w:spacing w:line="231" w:lineRule="atLeast"/>
              <w:rPr>
                <w:rFonts w:cs="Arial"/>
                <w:szCs w:val="20"/>
              </w:rPr>
            </w:pPr>
            <w:r w:rsidRPr="002903BE">
              <w:rPr>
                <w:rFonts w:cs="Arial"/>
                <w:szCs w:val="20"/>
              </w:rPr>
              <w:t>Prevedba 5 zdravstvenih tehnikov v 5 DMS</w:t>
            </w:r>
          </w:p>
        </w:tc>
        <w:tc>
          <w:tcPr>
            <w:tcW w:w="17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C37F44A" w14:textId="77777777" w:rsidR="009A5C56" w:rsidRPr="002903BE" w:rsidRDefault="009A5C56" w:rsidP="00BE374C">
            <w:pPr>
              <w:spacing w:line="231" w:lineRule="atLeast"/>
              <w:jc w:val="center"/>
              <w:rPr>
                <w:rFonts w:cs="Arial"/>
                <w:szCs w:val="20"/>
              </w:rPr>
            </w:pPr>
            <w:r w:rsidRPr="002903BE">
              <w:rPr>
                <w:rFonts w:cs="Arial"/>
                <w:szCs w:val="20"/>
              </w:rPr>
              <w:t>51.580</w:t>
            </w:r>
          </w:p>
        </w:tc>
        <w:tc>
          <w:tcPr>
            <w:tcW w:w="1308" w:type="dxa"/>
            <w:tcBorders>
              <w:top w:val="nil"/>
              <w:left w:val="nil"/>
              <w:bottom w:val="single" w:sz="4" w:space="0" w:color="auto"/>
              <w:right w:val="single" w:sz="8" w:space="0" w:color="auto"/>
            </w:tcBorders>
            <w:shd w:val="clear" w:color="auto" w:fill="FFFFFF"/>
          </w:tcPr>
          <w:p w14:paraId="19A38956" w14:textId="77777777" w:rsidR="009A5C56" w:rsidRPr="002903BE" w:rsidRDefault="009A5C56" w:rsidP="00BE374C">
            <w:pPr>
              <w:spacing w:line="231" w:lineRule="atLeast"/>
              <w:jc w:val="center"/>
              <w:rPr>
                <w:rFonts w:cs="Arial"/>
                <w:szCs w:val="20"/>
              </w:rPr>
            </w:pPr>
            <w:r w:rsidRPr="002903BE">
              <w:rPr>
                <w:rFonts w:cs="Arial"/>
                <w:szCs w:val="20"/>
              </w:rPr>
              <w:t>25.590</w:t>
            </w:r>
          </w:p>
        </w:tc>
      </w:tr>
      <w:tr w:rsidR="009A5C56" w:rsidRPr="002903BE" w14:paraId="3ADC43B5" w14:textId="77777777" w:rsidTr="00BE374C">
        <w:tc>
          <w:tcPr>
            <w:tcW w:w="3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4907BF" w14:textId="77777777" w:rsidR="009A5C56" w:rsidRPr="002903BE" w:rsidRDefault="009A5C56" w:rsidP="00BE374C">
            <w:pPr>
              <w:spacing w:line="231" w:lineRule="atLeast"/>
              <w:jc w:val="both"/>
              <w:rPr>
                <w:rFonts w:cs="Arial"/>
                <w:szCs w:val="20"/>
              </w:rPr>
            </w:pPr>
            <w:r w:rsidRPr="002903BE">
              <w:rPr>
                <w:rFonts w:cs="Arial"/>
                <w:szCs w:val="20"/>
              </w:rPr>
              <w:t>6</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BB0C64" w14:textId="77777777" w:rsidR="009A5C56" w:rsidRPr="002903BE" w:rsidRDefault="009A5C56" w:rsidP="00BE374C">
            <w:pPr>
              <w:spacing w:line="231" w:lineRule="atLeast"/>
              <w:jc w:val="both"/>
              <w:rPr>
                <w:rFonts w:cs="Arial"/>
                <w:szCs w:val="20"/>
              </w:rPr>
            </w:pPr>
            <w:r w:rsidRPr="002903BE">
              <w:rPr>
                <w:rFonts w:cs="Arial"/>
                <w:szCs w:val="20"/>
              </w:rPr>
              <w:t xml:space="preserve">Prevedba po 38. členu ZZDej </w:t>
            </w:r>
          </w:p>
        </w:tc>
        <w:tc>
          <w:tcPr>
            <w:tcW w:w="17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D748A5" w14:textId="77777777" w:rsidR="009A5C56" w:rsidRPr="002903BE" w:rsidRDefault="009A5C56" w:rsidP="00BE374C">
            <w:pPr>
              <w:spacing w:line="231" w:lineRule="atLeast"/>
              <w:rPr>
                <w:rFonts w:cs="Arial"/>
                <w:szCs w:val="20"/>
              </w:rPr>
            </w:pPr>
            <w:r w:rsidRPr="002903BE">
              <w:rPr>
                <w:rFonts w:cs="Arial"/>
                <w:szCs w:val="20"/>
              </w:rPr>
              <w:t>CIRIUS Kamnik</w:t>
            </w:r>
          </w:p>
        </w:tc>
        <w:tc>
          <w:tcPr>
            <w:tcW w:w="17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0AC692" w14:textId="77777777" w:rsidR="009A5C56" w:rsidRPr="002903BE" w:rsidRDefault="009A5C56" w:rsidP="00BE374C">
            <w:pPr>
              <w:spacing w:line="231" w:lineRule="atLeast"/>
              <w:rPr>
                <w:rFonts w:cs="Arial"/>
                <w:szCs w:val="20"/>
              </w:rPr>
            </w:pPr>
            <w:r w:rsidRPr="002903BE">
              <w:rPr>
                <w:rFonts w:cs="Arial"/>
                <w:szCs w:val="20"/>
              </w:rPr>
              <w:t>Prevedba 8 zdravstvenih tehnikov v 8 DMS</w:t>
            </w:r>
          </w:p>
        </w:tc>
        <w:tc>
          <w:tcPr>
            <w:tcW w:w="17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70A6B5" w14:textId="77777777" w:rsidR="009A5C56" w:rsidRPr="002903BE" w:rsidRDefault="009A5C56" w:rsidP="00BE374C">
            <w:pPr>
              <w:spacing w:line="231" w:lineRule="atLeast"/>
              <w:jc w:val="center"/>
              <w:rPr>
                <w:rFonts w:cs="Arial"/>
                <w:szCs w:val="20"/>
              </w:rPr>
            </w:pPr>
            <w:r w:rsidRPr="002903BE">
              <w:rPr>
                <w:rFonts w:cs="Arial"/>
                <w:szCs w:val="20"/>
              </w:rPr>
              <w:t>81.888</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14:paraId="49B83529" w14:textId="77777777" w:rsidR="009A5C56" w:rsidRPr="002903BE" w:rsidRDefault="009A5C56" w:rsidP="00BE374C">
            <w:pPr>
              <w:spacing w:line="231" w:lineRule="atLeast"/>
              <w:jc w:val="center"/>
              <w:rPr>
                <w:rFonts w:cs="Arial"/>
                <w:szCs w:val="20"/>
              </w:rPr>
            </w:pPr>
            <w:r w:rsidRPr="002903BE">
              <w:rPr>
                <w:rFonts w:cs="Arial"/>
                <w:szCs w:val="20"/>
              </w:rPr>
              <w:t>40.944</w:t>
            </w:r>
          </w:p>
        </w:tc>
      </w:tr>
      <w:tr w:rsidR="009A5C56" w:rsidRPr="005E4BEA" w14:paraId="29EB38C1" w14:textId="77777777" w:rsidTr="00BE374C">
        <w:tc>
          <w:tcPr>
            <w:tcW w:w="3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1E3A1E" w14:textId="77777777" w:rsidR="009A5C56" w:rsidRDefault="009A5C56" w:rsidP="00BE374C">
            <w:pPr>
              <w:spacing w:line="231" w:lineRule="atLeast"/>
              <w:jc w:val="both"/>
              <w:rPr>
                <w:rFonts w:cs="Arial"/>
                <w:szCs w:val="20"/>
              </w:rPr>
            </w:pPr>
            <w:r>
              <w:rPr>
                <w:rFonts w:cs="Arial"/>
                <w:szCs w:val="20"/>
              </w:rPr>
              <w:lastRenderedPageBreak/>
              <w:t>7</w:t>
            </w:r>
          </w:p>
        </w:tc>
        <w:tc>
          <w:tcPr>
            <w:tcW w:w="157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A84FB0" w14:textId="77777777" w:rsidR="009A5C56" w:rsidRDefault="009A5C56" w:rsidP="00BE374C">
            <w:pPr>
              <w:spacing w:line="231" w:lineRule="atLeast"/>
              <w:jc w:val="both"/>
              <w:rPr>
                <w:rFonts w:cs="Arial"/>
                <w:szCs w:val="20"/>
              </w:rPr>
            </w:pPr>
            <w:r w:rsidRPr="005E4BEA">
              <w:rPr>
                <w:rFonts w:cs="Arial"/>
                <w:szCs w:val="20"/>
              </w:rPr>
              <w:t>Dvig cene programa dnevnega varstva</w:t>
            </w:r>
          </w:p>
        </w:tc>
        <w:tc>
          <w:tcPr>
            <w:tcW w:w="17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05F506" w14:textId="77777777" w:rsidR="009A5C56" w:rsidRDefault="009A5C56" w:rsidP="00BE374C">
            <w:pPr>
              <w:spacing w:line="231" w:lineRule="atLeast"/>
              <w:rPr>
                <w:rFonts w:cs="Arial"/>
                <w:szCs w:val="20"/>
              </w:rPr>
            </w:pPr>
            <w:r>
              <w:rPr>
                <w:rFonts w:cs="Arial"/>
                <w:szCs w:val="20"/>
              </w:rPr>
              <w:t>CIRIUS Vipava</w:t>
            </w:r>
          </w:p>
        </w:tc>
        <w:tc>
          <w:tcPr>
            <w:tcW w:w="172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9591BE" w14:textId="77777777" w:rsidR="009A5C56" w:rsidRDefault="009A5C56" w:rsidP="00BE374C">
            <w:pPr>
              <w:spacing w:line="231" w:lineRule="atLeast"/>
              <w:rPr>
                <w:rFonts w:cs="Arial"/>
                <w:szCs w:val="20"/>
              </w:rPr>
            </w:pPr>
            <w:r w:rsidRPr="005E4BEA">
              <w:rPr>
                <w:rFonts w:cs="Arial"/>
                <w:szCs w:val="20"/>
              </w:rPr>
              <w:t>iz 80 % na 95 % cene, razlika 8,88 evra</w:t>
            </w:r>
          </w:p>
        </w:tc>
        <w:tc>
          <w:tcPr>
            <w:tcW w:w="17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04E018" w14:textId="77777777" w:rsidR="009A5C56" w:rsidRDefault="009A5C56" w:rsidP="00BE374C">
            <w:pPr>
              <w:spacing w:line="231" w:lineRule="atLeast"/>
              <w:jc w:val="center"/>
              <w:rPr>
                <w:rFonts w:cs="Arial"/>
                <w:b/>
                <w:szCs w:val="20"/>
              </w:rPr>
            </w:pPr>
            <w:r w:rsidRPr="005E4BEA">
              <w:rPr>
                <w:rFonts w:cs="Arial"/>
                <w:szCs w:val="20"/>
              </w:rPr>
              <w:t>153.624</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14:paraId="4715C9CB" w14:textId="77777777" w:rsidR="009A5C56" w:rsidRDefault="009A5C56" w:rsidP="00BE374C">
            <w:pPr>
              <w:spacing w:line="231" w:lineRule="atLeast"/>
              <w:jc w:val="center"/>
              <w:rPr>
                <w:rFonts w:cs="Arial"/>
                <w:b/>
                <w:szCs w:val="20"/>
              </w:rPr>
            </w:pPr>
            <w:r>
              <w:rPr>
                <w:rFonts w:cs="Arial"/>
                <w:b/>
                <w:szCs w:val="20"/>
              </w:rPr>
              <w:t>76.812</w:t>
            </w:r>
          </w:p>
        </w:tc>
      </w:tr>
      <w:tr w:rsidR="009A5C56" w:rsidRPr="005C035C" w14:paraId="6EAED216" w14:textId="77777777" w:rsidTr="00BE374C">
        <w:tc>
          <w:tcPr>
            <w:tcW w:w="333"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ED0CF2" w14:textId="77777777" w:rsidR="009A5C56" w:rsidRPr="005C035C" w:rsidRDefault="009A5C56" w:rsidP="00BE374C">
            <w:pPr>
              <w:spacing w:line="231" w:lineRule="atLeast"/>
              <w:jc w:val="both"/>
              <w:rPr>
                <w:rFonts w:cs="Arial"/>
                <w:b/>
                <w:bCs/>
                <w:szCs w:val="20"/>
              </w:rPr>
            </w:pPr>
          </w:p>
        </w:tc>
        <w:tc>
          <w:tcPr>
            <w:tcW w:w="157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41668AC" w14:textId="77777777" w:rsidR="009A5C56" w:rsidRPr="005C035C" w:rsidRDefault="009A5C56" w:rsidP="00BE374C">
            <w:pPr>
              <w:spacing w:line="231" w:lineRule="atLeast"/>
              <w:jc w:val="both"/>
              <w:rPr>
                <w:rFonts w:cs="Arial"/>
                <w:b/>
                <w:bCs/>
                <w:szCs w:val="20"/>
              </w:rPr>
            </w:pPr>
            <w:r w:rsidRPr="005C035C">
              <w:rPr>
                <w:rFonts w:cs="Arial"/>
                <w:b/>
                <w:bCs/>
                <w:szCs w:val="20"/>
              </w:rPr>
              <w:t>SKUPAJ</w:t>
            </w:r>
          </w:p>
        </w:tc>
        <w:tc>
          <w:tcPr>
            <w:tcW w:w="175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ABA5045" w14:textId="77777777" w:rsidR="009A5C56" w:rsidRPr="005C035C" w:rsidRDefault="009A5C56" w:rsidP="00BE374C">
            <w:pPr>
              <w:spacing w:line="231" w:lineRule="atLeast"/>
              <w:rPr>
                <w:rFonts w:cs="Arial"/>
                <w:b/>
                <w:bCs/>
                <w:szCs w:val="20"/>
              </w:rPr>
            </w:pPr>
          </w:p>
        </w:tc>
        <w:tc>
          <w:tcPr>
            <w:tcW w:w="17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8A65357" w14:textId="77777777" w:rsidR="009A5C56" w:rsidRPr="005C035C" w:rsidRDefault="009A5C56" w:rsidP="00BE374C">
            <w:pPr>
              <w:spacing w:line="231" w:lineRule="atLeast"/>
              <w:rPr>
                <w:rFonts w:cs="Arial"/>
                <w:b/>
                <w:bCs/>
                <w:szCs w:val="20"/>
              </w:rPr>
            </w:pPr>
          </w:p>
        </w:tc>
        <w:tc>
          <w:tcPr>
            <w:tcW w:w="17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FD7F623" w14:textId="77777777" w:rsidR="009A5C56" w:rsidRPr="005C035C" w:rsidRDefault="009A5C56" w:rsidP="00BE374C">
            <w:pPr>
              <w:spacing w:line="231" w:lineRule="atLeast"/>
              <w:jc w:val="center"/>
              <w:rPr>
                <w:rFonts w:cs="Arial"/>
                <w:b/>
                <w:bCs/>
                <w:szCs w:val="20"/>
              </w:rPr>
            </w:pPr>
            <w:r>
              <w:rPr>
                <w:rFonts w:cs="Arial"/>
                <w:b/>
                <w:bCs/>
                <w:szCs w:val="20"/>
              </w:rPr>
              <w:t>493.986</w:t>
            </w:r>
          </w:p>
        </w:tc>
        <w:tc>
          <w:tcPr>
            <w:tcW w:w="1308" w:type="dxa"/>
            <w:tcBorders>
              <w:top w:val="single" w:sz="4" w:space="0" w:color="auto"/>
              <w:left w:val="nil"/>
              <w:bottom w:val="single" w:sz="8" w:space="0" w:color="auto"/>
              <w:right w:val="single" w:sz="8" w:space="0" w:color="auto"/>
            </w:tcBorders>
            <w:shd w:val="clear" w:color="auto" w:fill="FFFFFF"/>
          </w:tcPr>
          <w:p w14:paraId="4B0A8C22" w14:textId="77777777" w:rsidR="009A5C56" w:rsidRPr="005C035C" w:rsidRDefault="009A5C56" w:rsidP="00BE374C">
            <w:pPr>
              <w:spacing w:line="231" w:lineRule="atLeast"/>
              <w:jc w:val="center"/>
              <w:rPr>
                <w:rFonts w:cs="Arial"/>
                <w:b/>
                <w:bCs/>
                <w:szCs w:val="20"/>
              </w:rPr>
            </w:pPr>
            <w:r>
              <w:rPr>
                <w:rFonts w:cs="Arial"/>
                <w:b/>
                <w:bCs/>
                <w:szCs w:val="20"/>
              </w:rPr>
              <w:t>246.793</w:t>
            </w:r>
          </w:p>
        </w:tc>
      </w:tr>
    </w:tbl>
    <w:p w14:paraId="6F65154E" w14:textId="77777777" w:rsidR="005C035C" w:rsidRDefault="005C035C" w:rsidP="005C035C">
      <w:pPr>
        <w:autoSpaceDE w:val="0"/>
        <w:autoSpaceDN w:val="0"/>
        <w:adjustRightInd w:val="0"/>
        <w:spacing w:line="0" w:lineRule="atLeast"/>
        <w:jc w:val="both"/>
        <w:rPr>
          <w:rFonts w:eastAsia="Arial Narrow" w:cs="Arial"/>
          <w:szCs w:val="20"/>
        </w:rPr>
      </w:pPr>
    </w:p>
    <w:p w14:paraId="35F33AE1" w14:textId="77777777" w:rsidR="00D35E34" w:rsidRDefault="00D35E34" w:rsidP="00D35E34">
      <w:pPr>
        <w:jc w:val="both"/>
        <w:rPr>
          <w:rFonts w:ascii="Calibri" w:hAnsi="Calibri"/>
          <w:szCs w:val="22"/>
        </w:rPr>
      </w:pPr>
      <w:bookmarkStart w:id="105" w:name="_Hlk103159105"/>
      <w:bookmarkEnd w:id="104"/>
      <w:r>
        <w:t>V okviru Aneksa št. 1 k SD 2022 se zagotovijo sredstva v višini do 400.000 eur v letu 2022 za izvajanje zdravstvene dejavnosti na področju zavodov za usposabljanje (CUDV) in varstveno delovnih centrov (VDC). Sredstva se bodo razdelila skladno z razdelilnikom, ki ga bo glede na nujnost potreb po posameznih izvajalcih pripravila Skupnost organizacij za usposabljanje oseb s posebnimi potrebami v RS (SOUS) v 14 dneh od sprejetja Aneksa št. 1 k Splošnemu dogovoru za pogodbeno leto 2022 in na katerega bo dalo soglasje Ministrstvo za zdravje. SOUS mora v razdelilniku navesti točen obseg programa in višino sredstev po posameznem izvajalcu.</w:t>
      </w:r>
    </w:p>
    <w:bookmarkEnd w:id="105"/>
    <w:p w14:paraId="45D58FC9" w14:textId="2CF9EFFB" w:rsidR="00C25E28" w:rsidRPr="005E4BEA" w:rsidRDefault="00C25E28" w:rsidP="00C25E28">
      <w:pPr>
        <w:spacing w:line="0" w:lineRule="atLeast"/>
        <w:jc w:val="both"/>
        <w:rPr>
          <w:rFonts w:eastAsia="Arial Narrow" w:cs="Arial"/>
          <w:szCs w:val="20"/>
        </w:rPr>
      </w:pPr>
    </w:p>
    <w:p w14:paraId="4744F786" w14:textId="77777777" w:rsidR="00EC58C0" w:rsidRPr="005E4BEA" w:rsidRDefault="00EC58C0" w:rsidP="00EC58C0">
      <w:pPr>
        <w:spacing w:line="240" w:lineRule="auto"/>
        <w:jc w:val="both"/>
        <w:rPr>
          <w:rFonts w:eastAsia="Calibri" w:cs="Arial"/>
          <w:b/>
          <w:bCs/>
          <w:i/>
          <w:iCs/>
          <w:color w:val="7F7F7F" w:themeColor="text1" w:themeTint="80"/>
          <w:szCs w:val="20"/>
        </w:rPr>
      </w:pPr>
    </w:p>
    <w:p w14:paraId="3BD89DFB" w14:textId="4B687647" w:rsidR="00EC58C0" w:rsidRPr="005E4BEA" w:rsidRDefault="00EC58C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(70)</w:t>
      </w:r>
    </w:p>
    <w:p w14:paraId="003178E9" w14:textId="018E709E" w:rsidR="00EC58C0" w:rsidRPr="005E4BEA" w:rsidRDefault="00EC58C0" w:rsidP="00EC58C0">
      <w:pPr>
        <w:spacing w:line="0" w:lineRule="atLeast"/>
        <w:contextualSpacing/>
        <w:jc w:val="both"/>
        <w:rPr>
          <w:rFonts w:eastAsia="Arial Narrow" w:cs="Arial"/>
          <w:b/>
          <w:szCs w:val="20"/>
        </w:rPr>
      </w:pPr>
    </w:p>
    <w:p w14:paraId="173635E9" w14:textId="0B3B17F5" w:rsidR="00FE461F" w:rsidRPr="005E4BEA" w:rsidRDefault="00EC58C0" w:rsidP="00EC58C0">
      <w:pPr>
        <w:spacing w:line="0" w:lineRule="atLeast"/>
        <w:contextualSpacing/>
        <w:jc w:val="both"/>
        <w:rPr>
          <w:rFonts w:cs="Arial"/>
          <w:bCs/>
          <w:szCs w:val="20"/>
        </w:rPr>
      </w:pPr>
      <w:r w:rsidRPr="005E4BEA">
        <w:rPr>
          <w:rFonts w:eastAsia="Arial Narrow" w:cs="Arial"/>
          <w:b/>
          <w:szCs w:val="20"/>
        </w:rPr>
        <w:t>Združenje zdravstvenih zavodov Slovenije predlaga</w:t>
      </w:r>
      <w:r w:rsidRPr="005E4BEA">
        <w:rPr>
          <w:rFonts w:eastAsia="Arial Narrow" w:cs="Arial"/>
          <w:bCs/>
          <w:szCs w:val="20"/>
        </w:rPr>
        <w:t xml:space="preserve">, da se v </w:t>
      </w:r>
      <w:r w:rsidR="00FE461F" w:rsidRPr="005E4BEA">
        <w:rPr>
          <w:rFonts w:cs="Arial"/>
          <w:bCs/>
          <w:szCs w:val="20"/>
        </w:rPr>
        <w:t>35. členu v (1) odstavku v 16. točki črta prvi stavek in v drugem stavku besedilo:</w:t>
      </w:r>
    </w:p>
    <w:p w14:paraId="15BEE2CB" w14:textId="77777777" w:rsidR="00FE461F" w:rsidRPr="005E4BEA" w:rsidRDefault="00FE461F" w:rsidP="00FE461F">
      <w:pPr>
        <w:spacing w:line="240" w:lineRule="auto"/>
        <w:jc w:val="both"/>
        <w:rPr>
          <w:rFonts w:cs="Arial"/>
          <w:iCs/>
          <w:szCs w:val="20"/>
        </w:rPr>
      </w:pPr>
      <w:r w:rsidRPr="005E4BEA">
        <w:rPr>
          <w:rFonts w:cs="Arial"/>
          <w:iCs/>
          <w:szCs w:val="20"/>
        </w:rPr>
        <w:t xml:space="preserve">»in zagotovil eno petino s pogodbo dogovorjenega </w:t>
      </w:r>
      <w:proofErr w:type="spellStart"/>
      <w:r w:rsidRPr="005E4BEA">
        <w:rPr>
          <w:rFonts w:cs="Arial"/>
          <w:iCs/>
          <w:szCs w:val="20"/>
        </w:rPr>
        <w:t>ordinacijskega</w:t>
      </w:r>
      <w:proofErr w:type="spellEnd"/>
      <w:r w:rsidRPr="005E4BEA">
        <w:rPr>
          <w:rFonts w:cs="Arial"/>
          <w:iCs/>
          <w:szCs w:val="20"/>
        </w:rPr>
        <w:t xml:space="preserve"> časa po 16. uri«</w:t>
      </w:r>
    </w:p>
    <w:p w14:paraId="570F5398" w14:textId="77777777" w:rsidR="00FE461F" w:rsidRPr="005E4BEA" w:rsidRDefault="00FE461F" w:rsidP="00FE461F">
      <w:pPr>
        <w:spacing w:line="240" w:lineRule="auto"/>
        <w:jc w:val="both"/>
        <w:rPr>
          <w:rFonts w:cs="Arial"/>
          <w:b/>
          <w:bCs/>
          <w:iCs/>
          <w:szCs w:val="20"/>
        </w:rPr>
      </w:pPr>
      <w:r w:rsidRPr="005E4BEA">
        <w:rPr>
          <w:rFonts w:cs="Arial"/>
          <w:b/>
          <w:bCs/>
          <w:iCs/>
          <w:szCs w:val="20"/>
        </w:rPr>
        <w:t>ter (pod pogojem, da se črta prvi stavek) tretji stavek.</w:t>
      </w:r>
    </w:p>
    <w:p w14:paraId="0206E3DC" w14:textId="77777777" w:rsidR="00FE461F" w:rsidRPr="005E4BEA" w:rsidRDefault="00FE461F" w:rsidP="00FE461F">
      <w:pPr>
        <w:spacing w:line="240" w:lineRule="auto"/>
        <w:jc w:val="both"/>
        <w:rPr>
          <w:rFonts w:cs="Arial"/>
          <w:b/>
          <w:bCs/>
          <w:iCs/>
          <w:szCs w:val="20"/>
        </w:rPr>
      </w:pPr>
    </w:p>
    <w:p w14:paraId="5D602924"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D172917" w14:textId="7512C148"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Določba 16. točke 1. odstavka 35. člena Dogovora še ni usklajena s spremembo 3. odstavka 52a. člena Zakona o zdravstveni dejavnosti, ki je določal: »V </w:t>
      </w:r>
      <w:proofErr w:type="spellStart"/>
      <w:r w:rsidRPr="005E4BEA">
        <w:rPr>
          <w:rFonts w:cs="Arial"/>
          <w:i/>
          <w:iCs/>
          <w:color w:val="808080" w:themeColor="background1" w:themeShade="80"/>
          <w:szCs w:val="20"/>
        </w:rPr>
        <w:t>zunajbolnišnični</w:t>
      </w:r>
      <w:proofErr w:type="spellEnd"/>
      <w:r w:rsidRPr="005E4BEA">
        <w:rPr>
          <w:rFonts w:cs="Arial"/>
          <w:i/>
          <w:iCs/>
          <w:color w:val="808080" w:themeColor="background1" w:themeShade="80"/>
          <w:szCs w:val="20"/>
        </w:rPr>
        <w:t xml:space="preserve"> dejavnosti, namenjeni storitvam za uporabnike, mora najmanj petina delovnega časa potekati po 16. uri.«. Z 19. členom Zakon o spremembah in dopolnitvah Zakona o zdravstveni dejavnosti (ZZDej-K; Uradni list RS, 64/17) je bila ta določba (3. odstavka 52a. člena) črtana. ZZDej-K je stopil v veljavo 17. 12. 2017, pričetek uporabe 19. člena z zakonom ni bil odložen, zato je potrebno v splošnem dogovoru to spremembo zakona upoštevati.</w:t>
      </w:r>
    </w:p>
    <w:p w14:paraId="6B8DD898" w14:textId="3BBB3FB9" w:rsidR="00EC58C0" w:rsidRPr="005E4BEA" w:rsidRDefault="00EC58C0" w:rsidP="00FE461F">
      <w:pPr>
        <w:spacing w:line="240" w:lineRule="auto"/>
        <w:jc w:val="both"/>
        <w:rPr>
          <w:rFonts w:cs="Arial"/>
          <w:i/>
          <w:iCs/>
          <w:color w:val="808080" w:themeColor="background1" w:themeShade="80"/>
          <w:szCs w:val="20"/>
        </w:rPr>
      </w:pPr>
    </w:p>
    <w:p w14:paraId="5BEADEFB" w14:textId="77777777" w:rsidR="00EC58C0" w:rsidRPr="005E4BEA" w:rsidRDefault="00EC58C0" w:rsidP="00EC58C0">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C793D51" w14:textId="77777777" w:rsidR="00EC58C0" w:rsidRPr="005E4BEA" w:rsidRDefault="00EC58C0" w:rsidP="00EC58C0">
      <w:pPr>
        <w:spacing w:line="0" w:lineRule="atLeast"/>
        <w:jc w:val="both"/>
        <w:rPr>
          <w:rFonts w:eastAsia="Arial Narrow" w:cs="Arial"/>
          <w:szCs w:val="20"/>
          <w:lang w:eastAsia="sl-SI"/>
        </w:rPr>
      </w:pPr>
    </w:p>
    <w:p w14:paraId="3232291D" w14:textId="324CA05A" w:rsidR="00EC58C0" w:rsidRPr="005E4BEA" w:rsidRDefault="00EC58C0" w:rsidP="00EC58C0">
      <w:pPr>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da</w:t>
      </w:r>
      <w:r w:rsidRPr="005E4BEA">
        <w:rPr>
          <w:rFonts w:eastAsia="Arial Narrow" w:cs="Arial"/>
          <w:b/>
          <w:szCs w:val="20"/>
        </w:rPr>
        <w:t xml:space="preserve"> </w:t>
      </w:r>
      <w:r w:rsidRPr="005E4BEA">
        <w:rPr>
          <w:rFonts w:eastAsia="Arial Narrow" w:cs="Arial"/>
          <w:szCs w:val="20"/>
        </w:rPr>
        <w:t>se 35. člen Splošnega dogovora za pogodbeno leto 2022 ne spremeni.</w:t>
      </w:r>
    </w:p>
    <w:p w14:paraId="19886377" w14:textId="77777777" w:rsidR="00EC58C0" w:rsidRPr="005E4BEA" w:rsidRDefault="00EC58C0" w:rsidP="00FE461F">
      <w:pPr>
        <w:spacing w:line="240" w:lineRule="auto"/>
        <w:jc w:val="both"/>
        <w:rPr>
          <w:rFonts w:cs="Arial"/>
          <w:i/>
          <w:iCs/>
          <w:color w:val="808080" w:themeColor="background1" w:themeShade="80"/>
          <w:szCs w:val="20"/>
        </w:rPr>
      </w:pPr>
    </w:p>
    <w:p w14:paraId="2F494067" w14:textId="77777777" w:rsidR="00EC58C0" w:rsidRPr="005E4BEA" w:rsidRDefault="00EC58C0" w:rsidP="00EC58C0">
      <w:pPr>
        <w:spacing w:line="240" w:lineRule="auto"/>
        <w:jc w:val="both"/>
        <w:rPr>
          <w:rFonts w:eastAsia="Calibri" w:cs="Arial"/>
          <w:b/>
          <w:bCs/>
          <w:i/>
          <w:iCs/>
          <w:color w:val="7F7F7F" w:themeColor="text1" w:themeTint="80"/>
          <w:szCs w:val="20"/>
        </w:rPr>
      </w:pPr>
    </w:p>
    <w:p w14:paraId="28388AC2" w14:textId="49EEB7E7" w:rsidR="00EC58C0" w:rsidRPr="005E4BEA" w:rsidRDefault="00EC58C0" w:rsidP="00F356C9">
      <w:pPr>
        <w:pStyle w:val="Naslov2"/>
        <w:numPr>
          <w:ilvl w:val="0"/>
          <w:numId w:val="79"/>
        </w:numPr>
        <w:ind w:left="0" w:firstLine="0"/>
        <w:rPr>
          <w:rFonts w:ascii="Arial" w:eastAsia="Arial Narrow" w:hAnsi="Arial" w:cs="Arial"/>
          <w:sz w:val="20"/>
        </w:rPr>
      </w:pPr>
      <w:bookmarkStart w:id="106" w:name="_Hlk100759779"/>
      <w:r w:rsidRPr="005E4BEA">
        <w:rPr>
          <w:rFonts w:ascii="Arial" w:eastAsia="Arial Narrow" w:hAnsi="Arial" w:cs="Arial"/>
          <w:sz w:val="20"/>
        </w:rPr>
        <w:t>SPORNO VPRAŠANJE (71)</w:t>
      </w:r>
    </w:p>
    <w:p w14:paraId="1C2FF810" w14:textId="77777777" w:rsidR="00EC58C0" w:rsidRPr="005E4BEA" w:rsidRDefault="00EC58C0" w:rsidP="00EC58C0">
      <w:pPr>
        <w:spacing w:line="0" w:lineRule="atLeast"/>
        <w:contextualSpacing/>
        <w:jc w:val="both"/>
        <w:rPr>
          <w:rFonts w:eastAsia="Arial Narrow" w:cs="Arial"/>
          <w:b/>
          <w:szCs w:val="20"/>
        </w:rPr>
      </w:pPr>
    </w:p>
    <w:p w14:paraId="6DCBB4B8" w14:textId="79744CA8" w:rsidR="0057192F" w:rsidRPr="005E4BEA" w:rsidRDefault="00EC58C0" w:rsidP="0057192F">
      <w:pPr>
        <w:jc w:val="both"/>
        <w:rPr>
          <w:rFonts w:eastAsiaTheme="minorHAnsi" w:cs="Arial"/>
          <w:szCs w:val="20"/>
        </w:rPr>
      </w:pPr>
      <w:r w:rsidRPr="005E4BEA">
        <w:rPr>
          <w:rFonts w:eastAsia="Arial Narrow" w:cs="Arial"/>
          <w:b/>
          <w:szCs w:val="20"/>
        </w:rPr>
        <w:t>Združenje zdravstvenih zavodov Slovenije predlaga</w:t>
      </w:r>
      <w:r w:rsidRPr="005E4BEA">
        <w:rPr>
          <w:rFonts w:eastAsia="Arial Narrow" w:cs="Arial"/>
          <w:bCs/>
          <w:szCs w:val="20"/>
        </w:rPr>
        <w:t xml:space="preserve">, da se </w:t>
      </w:r>
      <w:r w:rsidR="0057192F" w:rsidRPr="005E4BEA">
        <w:rPr>
          <w:rFonts w:eastAsiaTheme="minorHAnsi" w:cs="Arial"/>
          <w:b/>
          <w:bCs/>
          <w:szCs w:val="20"/>
        </w:rPr>
        <w:t xml:space="preserve">v </w:t>
      </w:r>
      <w:r w:rsidR="0057192F" w:rsidRPr="005E4BEA">
        <w:rPr>
          <w:rFonts w:eastAsiaTheme="minorHAnsi" w:cs="Arial"/>
          <w:szCs w:val="20"/>
        </w:rPr>
        <w:t xml:space="preserve">35. členu v (1) odstavku  briše 11. točka ki glasi: </w:t>
      </w:r>
    </w:p>
    <w:p w14:paraId="3AE0EE0E"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»11.</w:t>
      </w:r>
      <w:r w:rsidRPr="005E4BEA">
        <w:rPr>
          <w:rFonts w:eastAsiaTheme="minorHAnsi" w:cs="Arial"/>
          <w:szCs w:val="20"/>
        </w:rPr>
        <w:tab/>
        <w:t xml:space="preserve">Izvajalci v dejavnosti </w:t>
      </w:r>
      <w:proofErr w:type="spellStart"/>
      <w:r w:rsidRPr="005E4BEA">
        <w:rPr>
          <w:rFonts w:eastAsiaTheme="minorHAnsi" w:cs="Arial"/>
          <w:szCs w:val="20"/>
        </w:rPr>
        <w:t>pedopsihiatrije</w:t>
      </w:r>
      <w:proofErr w:type="spellEnd"/>
      <w:r w:rsidRPr="005E4BEA">
        <w:rPr>
          <w:rFonts w:eastAsiaTheme="minorHAnsi" w:cs="Arial"/>
          <w:szCs w:val="20"/>
        </w:rPr>
        <w:t xml:space="preserve">, klinične psihologije ter Centrov za duševno zdravje otrok in mladostnikov zagotovijo dva termina na tim za prve obravnave otrok / mladostnikov na teden, napotene iz ambulant za prednostno obravnavo otrok in mladostnikov s težavami v duševnem zdravju in urgentnih </w:t>
      </w:r>
      <w:proofErr w:type="spellStart"/>
      <w:r w:rsidRPr="005E4BEA">
        <w:rPr>
          <w:rFonts w:eastAsiaTheme="minorHAnsi" w:cs="Arial"/>
          <w:szCs w:val="20"/>
        </w:rPr>
        <w:t>pedopsihiatričnih</w:t>
      </w:r>
      <w:proofErr w:type="spellEnd"/>
      <w:r w:rsidRPr="005E4BEA">
        <w:rPr>
          <w:rFonts w:eastAsiaTheme="minorHAnsi" w:cs="Arial"/>
          <w:szCs w:val="20"/>
        </w:rPr>
        <w:t xml:space="preserve"> ambulant oziroma najmanj en termin na teden, če ima izvajalec v pogodbi z Zavodom dogovorjen program v obsegu 0,5 ali manj tima, in njihovo nadaljnjo obravnavo.« </w:t>
      </w:r>
    </w:p>
    <w:p w14:paraId="621968A0" w14:textId="77777777" w:rsidR="0057192F" w:rsidRPr="005E4BEA" w:rsidRDefault="0057192F" w:rsidP="0057192F">
      <w:pPr>
        <w:spacing w:line="240" w:lineRule="auto"/>
        <w:jc w:val="both"/>
        <w:rPr>
          <w:rFonts w:eastAsiaTheme="minorHAnsi" w:cs="Arial"/>
          <w:szCs w:val="20"/>
        </w:rPr>
      </w:pPr>
    </w:p>
    <w:p w14:paraId="03CF9E4A" w14:textId="77777777" w:rsidR="0057192F" w:rsidRPr="005E4BEA" w:rsidRDefault="0057192F" w:rsidP="0057192F">
      <w:pPr>
        <w:spacing w:line="240" w:lineRule="auto"/>
        <w:jc w:val="both"/>
        <w:rPr>
          <w:rFonts w:eastAsiaTheme="minorHAnsi" w:cs="Arial"/>
          <w:b/>
          <w:bCs/>
          <w:szCs w:val="20"/>
        </w:rPr>
      </w:pPr>
      <w:r w:rsidRPr="005E4BEA">
        <w:rPr>
          <w:rFonts w:eastAsiaTheme="minorHAnsi" w:cs="Arial"/>
          <w:b/>
          <w:bCs/>
          <w:szCs w:val="20"/>
        </w:rPr>
        <w:t xml:space="preserve">V 35. členu v (1) odstavku se doda nova 11. točka ki glasi: </w:t>
      </w:r>
    </w:p>
    <w:p w14:paraId="4EF84065"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»11.</w:t>
      </w:r>
      <w:r w:rsidRPr="005E4BEA">
        <w:rPr>
          <w:rFonts w:eastAsiaTheme="minorHAnsi" w:cs="Arial"/>
          <w:szCs w:val="20"/>
        </w:rPr>
        <w:tab/>
        <w:t xml:space="preserve">Izvajalci v dejavnosti </w:t>
      </w:r>
      <w:proofErr w:type="spellStart"/>
      <w:r w:rsidRPr="005E4BEA">
        <w:rPr>
          <w:rFonts w:eastAsiaTheme="minorHAnsi" w:cs="Arial"/>
          <w:szCs w:val="20"/>
        </w:rPr>
        <w:t>pedopsihiatrije</w:t>
      </w:r>
      <w:proofErr w:type="spellEnd"/>
      <w:r w:rsidRPr="005E4BEA">
        <w:rPr>
          <w:rFonts w:eastAsiaTheme="minorHAnsi" w:cs="Arial"/>
          <w:szCs w:val="20"/>
        </w:rPr>
        <w:t xml:space="preserve">, klinične psihologije ter Centrov za duševno zdravje otrok sprejmejo v obravnavo otroke / mladostnike, napotene iz ambulant za prednostno obravnavo otrok in mladostnikov s težavami v duševnem zdravju in urgentnih </w:t>
      </w:r>
      <w:proofErr w:type="spellStart"/>
      <w:r w:rsidRPr="005E4BEA">
        <w:rPr>
          <w:rFonts w:eastAsiaTheme="minorHAnsi" w:cs="Arial"/>
          <w:szCs w:val="20"/>
        </w:rPr>
        <w:t>pedopsihiatričnih</w:t>
      </w:r>
      <w:proofErr w:type="spellEnd"/>
      <w:r w:rsidRPr="005E4BEA">
        <w:rPr>
          <w:rFonts w:eastAsiaTheme="minorHAnsi" w:cs="Arial"/>
          <w:szCs w:val="20"/>
        </w:rPr>
        <w:t xml:space="preserve"> ambulant. Pacienti, ki že imajo </w:t>
      </w:r>
      <w:proofErr w:type="spellStart"/>
      <w:r w:rsidRPr="005E4BEA">
        <w:rPr>
          <w:rFonts w:eastAsiaTheme="minorHAnsi" w:cs="Arial"/>
          <w:szCs w:val="20"/>
        </w:rPr>
        <w:t>lečečega</w:t>
      </w:r>
      <w:proofErr w:type="spellEnd"/>
      <w:r w:rsidRPr="005E4BEA">
        <w:rPr>
          <w:rFonts w:eastAsiaTheme="minorHAnsi" w:cs="Arial"/>
          <w:szCs w:val="20"/>
        </w:rPr>
        <w:t xml:space="preserve"> ambulantnega strokovnjaka, bodo vključeni v ambulantno obravnavo v skladu s potrebami tega pacienta. Pacienti, ki še nimajo </w:t>
      </w:r>
      <w:proofErr w:type="spellStart"/>
      <w:r w:rsidRPr="005E4BEA">
        <w:rPr>
          <w:rFonts w:eastAsiaTheme="minorHAnsi" w:cs="Arial"/>
          <w:szCs w:val="20"/>
        </w:rPr>
        <w:t>lečečega</w:t>
      </w:r>
      <w:proofErr w:type="spellEnd"/>
      <w:r w:rsidRPr="005E4BEA">
        <w:rPr>
          <w:rFonts w:eastAsiaTheme="minorHAnsi" w:cs="Arial"/>
          <w:szCs w:val="20"/>
        </w:rPr>
        <w:t xml:space="preserve"> ambulantnega strokovnjaka, bodo uvrščeni v enotno čakalno vrsto pri izvajalcu (ne glede na </w:t>
      </w:r>
      <w:proofErr w:type="spellStart"/>
      <w:r w:rsidRPr="005E4BEA">
        <w:rPr>
          <w:rFonts w:eastAsiaTheme="minorHAnsi" w:cs="Arial"/>
          <w:szCs w:val="20"/>
        </w:rPr>
        <w:lastRenderedPageBreak/>
        <w:t>napotitelja</w:t>
      </w:r>
      <w:proofErr w:type="spellEnd"/>
      <w:r w:rsidRPr="005E4BEA">
        <w:rPr>
          <w:rFonts w:eastAsiaTheme="minorHAnsi" w:cs="Arial"/>
          <w:szCs w:val="20"/>
        </w:rPr>
        <w:t xml:space="preserve">) glede na stopnjo nujnosti. Pacienti po zaključeni hospitalizaciji, ki še nimajo </w:t>
      </w:r>
      <w:proofErr w:type="spellStart"/>
      <w:r w:rsidRPr="005E4BEA">
        <w:rPr>
          <w:rFonts w:eastAsiaTheme="minorHAnsi" w:cs="Arial"/>
          <w:szCs w:val="20"/>
        </w:rPr>
        <w:t>lečečega</w:t>
      </w:r>
      <w:proofErr w:type="spellEnd"/>
      <w:r w:rsidRPr="005E4BEA">
        <w:rPr>
          <w:rFonts w:eastAsiaTheme="minorHAnsi" w:cs="Arial"/>
          <w:szCs w:val="20"/>
        </w:rPr>
        <w:t xml:space="preserve"> ambulantnega strokovnjaka, se v ambulantno obravnavo vključijo po dogovoru med strokovnjaki, skladno s protokoli sodelovanja med CDZOM in terciarnimi centri. </w:t>
      </w:r>
    </w:p>
    <w:p w14:paraId="24CB2F6C" w14:textId="77777777" w:rsidR="0057192F" w:rsidRPr="005E4BEA" w:rsidRDefault="0057192F" w:rsidP="0057192F">
      <w:pPr>
        <w:spacing w:line="240" w:lineRule="auto"/>
        <w:jc w:val="both"/>
        <w:rPr>
          <w:rFonts w:eastAsiaTheme="minorHAnsi" w:cs="Arial"/>
          <w:szCs w:val="20"/>
        </w:rPr>
      </w:pPr>
    </w:p>
    <w:p w14:paraId="21E6F5B6" w14:textId="77777777" w:rsidR="0057192F" w:rsidRPr="005E4BEA" w:rsidRDefault="0057192F" w:rsidP="0057192F">
      <w:pPr>
        <w:spacing w:line="240" w:lineRule="auto"/>
        <w:jc w:val="both"/>
        <w:rPr>
          <w:rFonts w:eastAsiaTheme="minorHAnsi" w:cs="Arial"/>
          <w:b/>
          <w:szCs w:val="20"/>
        </w:rPr>
      </w:pPr>
      <w:r w:rsidRPr="005E4BEA">
        <w:rPr>
          <w:rFonts w:eastAsiaTheme="minorHAnsi" w:cs="Arial"/>
          <w:b/>
          <w:szCs w:val="20"/>
        </w:rPr>
        <w:t>59. člen, ki glasi se briše:</w:t>
      </w:r>
    </w:p>
    <w:p w14:paraId="346D18CA" w14:textId="77777777" w:rsidR="0057192F" w:rsidRPr="005E4BEA" w:rsidRDefault="0057192F" w:rsidP="0057192F">
      <w:pPr>
        <w:spacing w:line="240" w:lineRule="auto"/>
        <w:jc w:val="both"/>
        <w:rPr>
          <w:rFonts w:eastAsiaTheme="minorHAnsi" w:cs="Arial"/>
          <w:b/>
          <w:szCs w:val="20"/>
        </w:rPr>
      </w:pPr>
      <w:r w:rsidRPr="005E4BEA">
        <w:rPr>
          <w:rFonts w:eastAsiaTheme="minorHAnsi" w:cs="Arial"/>
          <w:szCs w:val="20"/>
        </w:rPr>
        <w:t xml:space="preserve">(1) Za namene ažurnega povezovanja med ambulantami za prednostno prvo obravnavo otrok in mladostnikov s težavami v duševnem zdravju, urgentno </w:t>
      </w:r>
      <w:proofErr w:type="spellStart"/>
      <w:r w:rsidRPr="005E4BEA">
        <w:rPr>
          <w:rFonts w:eastAsiaTheme="minorHAnsi" w:cs="Arial"/>
          <w:szCs w:val="20"/>
        </w:rPr>
        <w:t>pedopsihiatrično</w:t>
      </w:r>
      <w:proofErr w:type="spellEnd"/>
      <w:r w:rsidRPr="005E4BEA">
        <w:rPr>
          <w:rFonts w:eastAsiaTheme="minorHAnsi" w:cs="Arial"/>
          <w:szCs w:val="20"/>
        </w:rPr>
        <w:t xml:space="preserve"> ambulanto ter drugimi izvajalci storitev duševnega zdravja na primarni in sekundarni ravni se vzpostavi informacijski sistem, v katerega izvajalci sporočajo tedenske termine za prve obravnave otrok in mladostnikov, napotene s stopnjo nujnosti »zelo hitro« iz ambulant za prednostno prvo obravnavo otrok in mladostnikov s težavami v duševnem zdravju in urgentne </w:t>
      </w:r>
      <w:proofErr w:type="spellStart"/>
      <w:r w:rsidRPr="005E4BEA">
        <w:rPr>
          <w:rFonts w:eastAsiaTheme="minorHAnsi" w:cs="Arial"/>
          <w:szCs w:val="20"/>
        </w:rPr>
        <w:t>pedopsihiatrične</w:t>
      </w:r>
      <w:proofErr w:type="spellEnd"/>
      <w:r w:rsidRPr="005E4BEA">
        <w:rPr>
          <w:rFonts w:eastAsiaTheme="minorHAnsi" w:cs="Arial"/>
          <w:szCs w:val="20"/>
        </w:rPr>
        <w:t xml:space="preserve"> ambulante. </w:t>
      </w:r>
    </w:p>
    <w:p w14:paraId="585CD6C5"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 xml:space="preserve">(2) Do vzpostavitve informacijskega sistema iz prejšnjega odstavka izvajalci storitev na področju duševnega zdravja sporočijo v vsako ambulanto za prednostno prvo obravnavo otrok in mladostnikov s težavami v duševnem zdravju kontaktne podatke in izbrane stalne tedenske termine za sprejem oseb napotenih s stopnjo nujnosti »zelo hitro«, in sicer: </w:t>
      </w:r>
    </w:p>
    <w:p w14:paraId="7CA83827"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 xml:space="preserve">- za osrednjeslovensko, gorenjsko, goriško, obalno-kraško, primorsko-notranjsko, zasavsko, posavsko, </w:t>
      </w:r>
      <w:proofErr w:type="spellStart"/>
      <w:r w:rsidRPr="005E4BEA">
        <w:rPr>
          <w:rFonts w:eastAsiaTheme="minorHAnsi" w:cs="Arial"/>
          <w:szCs w:val="20"/>
        </w:rPr>
        <w:t>južnoslovensko</w:t>
      </w:r>
      <w:proofErr w:type="spellEnd"/>
      <w:r w:rsidRPr="005E4BEA">
        <w:rPr>
          <w:rFonts w:eastAsiaTheme="minorHAnsi" w:cs="Arial"/>
          <w:szCs w:val="20"/>
        </w:rPr>
        <w:t xml:space="preserve"> regijo en termin na teden na ppo.pek@kclj.si  in en termin na voom@psih-klinika.si.</w:t>
      </w:r>
    </w:p>
    <w:p w14:paraId="5C7F2248"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 xml:space="preserve">- za pomursko, podravsko, koroško in savinjsko regijo sporočajo po dva termina na omp.ukcm@ukc-mb.si). </w:t>
      </w:r>
    </w:p>
    <w:p w14:paraId="14531693"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(3) Kontaktne podatke napotenih oseb ambulante za prednostno prvo obravnavo sporočajo izvajalcem vsaj en teden vnaprej. Z dogovorom za termin izvajalci prevzamejo nadaljnjo korespondenco, vodenje in obravnavo naročenega otroka oziroma mladostnika. Nezasedene termine v zadnjem tednu v mesecu izvajalci zapolnijo za obravnavo akutnih poslabšanj svojih pacientov in druge obravnave pod stopnjo nujnosti »zelo hitro«.</w:t>
      </w:r>
    </w:p>
    <w:p w14:paraId="5295C6E4"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(4) Ambulante za prednostno prvo obravnavo otrok in mladostnikov s težavami v duševnem zdravju pri naročanju prednostno upoštevajo načelo regionalnosti.</w:t>
      </w:r>
    </w:p>
    <w:p w14:paraId="56FBE93A" w14:textId="77777777" w:rsidR="0057192F" w:rsidRPr="005E4BEA" w:rsidRDefault="0057192F" w:rsidP="0057192F">
      <w:pPr>
        <w:spacing w:line="240" w:lineRule="auto"/>
        <w:jc w:val="both"/>
        <w:rPr>
          <w:rFonts w:eastAsiaTheme="minorHAnsi" w:cs="Arial"/>
          <w:szCs w:val="20"/>
        </w:rPr>
      </w:pPr>
      <w:r w:rsidRPr="005E4BEA">
        <w:rPr>
          <w:rFonts w:eastAsiaTheme="minorHAnsi" w:cs="Arial"/>
          <w:szCs w:val="20"/>
        </w:rPr>
        <w:t xml:space="preserve">(5) Za povezovanje med ambulantami za prednostno obravnavo otrok in mladostnikov s težavami v duševnem zdravju in izvajalci storitev duševnega zdravja se vsaki ambulanti za prednostno prvo obravnavo zagotovi dodatni psiholog. </w:t>
      </w:r>
    </w:p>
    <w:p w14:paraId="192F2C17" w14:textId="77777777" w:rsidR="0057192F" w:rsidRPr="005E4BEA" w:rsidRDefault="0057192F" w:rsidP="0057192F">
      <w:pPr>
        <w:spacing w:line="240" w:lineRule="auto"/>
        <w:jc w:val="both"/>
        <w:rPr>
          <w:rFonts w:eastAsiaTheme="minorHAnsi" w:cs="Arial"/>
          <w:szCs w:val="20"/>
        </w:rPr>
      </w:pPr>
    </w:p>
    <w:p w14:paraId="41BB35EA" w14:textId="77777777" w:rsidR="0057192F" w:rsidRPr="005E4BEA" w:rsidRDefault="0057192F" w:rsidP="0057192F">
      <w:pPr>
        <w:spacing w:line="240" w:lineRule="auto"/>
        <w:jc w:val="both"/>
        <w:rPr>
          <w:rFonts w:eastAsiaTheme="minorHAnsi" w:cs="Arial"/>
          <w:b/>
          <w:szCs w:val="20"/>
        </w:rPr>
      </w:pPr>
    </w:p>
    <w:p w14:paraId="46101764" w14:textId="77777777" w:rsidR="0057192F" w:rsidRPr="005E4BEA" w:rsidRDefault="0057192F" w:rsidP="0057192F">
      <w:pPr>
        <w:spacing w:line="240" w:lineRule="auto"/>
        <w:jc w:val="both"/>
        <w:rPr>
          <w:rFonts w:eastAsiaTheme="minorHAnsi" w:cs="Arial"/>
          <w:b/>
          <w:bCs/>
          <w:i/>
          <w:iCs/>
          <w:szCs w:val="20"/>
        </w:rPr>
      </w:pPr>
      <w:r w:rsidRPr="005E4BEA">
        <w:rPr>
          <w:rFonts w:eastAsiaTheme="minorHAnsi" w:cs="Arial"/>
          <w:b/>
          <w:bCs/>
          <w:i/>
          <w:iCs/>
          <w:szCs w:val="20"/>
        </w:rPr>
        <w:t>V 3. členu se v prvem odstavku črtata točki 1.8 in 5.2, ki se glasita:</w:t>
      </w:r>
    </w:p>
    <w:p w14:paraId="725E38CF" w14:textId="77777777" w:rsidR="0057192F" w:rsidRPr="005E4BEA" w:rsidRDefault="0057192F" w:rsidP="0057192F">
      <w:pPr>
        <w:spacing w:after="160" w:line="259" w:lineRule="auto"/>
        <w:jc w:val="both"/>
        <w:rPr>
          <w:rFonts w:eastAsiaTheme="minorHAnsi" w:cs="Arial"/>
          <w:szCs w:val="20"/>
        </w:rPr>
      </w:pPr>
      <w:r w:rsidRPr="005E4BEA">
        <w:rPr>
          <w:rFonts w:eastAsiaTheme="minorHAnsi" w:cs="Arial"/>
          <w:szCs w:val="20"/>
        </w:rPr>
        <w:t>»1.8 Izvajalci programa centrov za duševno zdravje otrok in mladostnikov načrtujejo program za prve preglede ločeno od ostalega programa, in sicer v obsegu 4 % plana izvajalca.«.</w:t>
      </w:r>
    </w:p>
    <w:p w14:paraId="23B6431B" w14:textId="77777777" w:rsidR="0057192F" w:rsidRPr="005E4BEA" w:rsidRDefault="0057192F" w:rsidP="0057192F">
      <w:pPr>
        <w:spacing w:after="160" w:line="259" w:lineRule="auto"/>
        <w:jc w:val="both"/>
        <w:rPr>
          <w:rFonts w:eastAsiaTheme="minorHAnsi" w:cs="Arial"/>
          <w:szCs w:val="20"/>
        </w:rPr>
      </w:pPr>
      <w:r w:rsidRPr="005E4BEA">
        <w:rPr>
          <w:rFonts w:eastAsiaTheme="minorHAnsi" w:cs="Arial"/>
          <w:szCs w:val="20"/>
        </w:rPr>
        <w:t xml:space="preserve">»5.2 Izvajalci v dejavnosti </w:t>
      </w:r>
      <w:proofErr w:type="spellStart"/>
      <w:r w:rsidRPr="005E4BEA">
        <w:rPr>
          <w:rFonts w:eastAsiaTheme="minorHAnsi" w:cs="Arial"/>
          <w:szCs w:val="20"/>
        </w:rPr>
        <w:t>pedopsihiatrije</w:t>
      </w:r>
      <w:proofErr w:type="spellEnd"/>
      <w:r w:rsidRPr="005E4BEA">
        <w:rPr>
          <w:rFonts w:eastAsiaTheme="minorHAnsi" w:cs="Arial"/>
          <w:szCs w:val="20"/>
        </w:rPr>
        <w:t xml:space="preserve"> in klinične psihologije načrtujejo program za prve preglede ločeno od drugega programa, in sicer v obsegu 7 % plana iz Priloge 1 v dejavnosti klinične psihologije in 15 % v dejavnosti </w:t>
      </w:r>
      <w:proofErr w:type="spellStart"/>
      <w:r w:rsidRPr="005E4BEA">
        <w:rPr>
          <w:rFonts w:eastAsiaTheme="minorHAnsi" w:cs="Arial"/>
          <w:szCs w:val="20"/>
        </w:rPr>
        <w:t>pedopsihiatrije</w:t>
      </w:r>
      <w:proofErr w:type="spellEnd"/>
      <w:r w:rsidRPr="005E4BEA">
        <w:rPr>
          <w:rFonts w:eastAsiaTheme="minorHAnsi" w:cs="Arial"/>
          <w:szCs w:val="20"/>
        </w:rPr>
        <w:t xml:space="preserve">.«. </w:t>
      </w:r>
    </w:p>
    <w:p w14:paraId="2239177C" w14:textId="77777777" w:rsidR="0057192F" w:rsidRPr="005E4BEA" w:rsidRDefault="0057192F" w:rsidP="0057192F">
      <w:pPr>
        <w:spacing w:line="240" w:lineRule="auto"/>
        <w:jc w:val="both"/>
        <w:rPr>
          <w:rFonts w:eastAsiaTheme="minorHAnsi" w:cs="Arial"/>
          <w:b/>
          <w:bCs/>
          <w:i/>
          <w:iCs/>
          <w:szCs w:val="20"/>
        </w:rPr>
      </w:pPr>
      <w:r w:rsidRPr="005E4BEA">
        <w:rPr>
          <w:rFonts w:eastAsiaTheme="minorHAnsi" w:cs="Arial"/>
          <w:b/>
          <w:bCs/>
          <w:i/>
          <w:iCs/>
          <w:szCs w:val="20"/>
        </w:rPr>
        <w:t>V Prilogi III se v drugem odstavku v 1. točki črta alineja, ki se glasi:</w:t>
      </w:r>
    </w:p>
    <w:p w14:paraId="0346BE20" w14:textId="77777777" w:rsidR="0057192F" w:rsidRPr="005E4BEA" w:rsidRDefault="0057192F" w:rsidP="0057192F">
      <w:pPr>
        <w:spacing w:after="160" w:line="259" w:lineRule="auto"/>
        <w:jc w:val="both"/>
        <w:rPr>
          <w:rFonts w:eastAsiaTheme="minorHAnsi" w:cs="Arial"/>
          <w:szCs w:val="20"/>
        </w:rPr>
      </w:pPr>
      <w:r w:rsidRPr="005E4BEA">
        <w:rPr>
          <w:rFonts w:eastAsiaTheme="minorHAnsi" w:cs="Arial"/>
          <w:szCs w:val="20"/>
        </w:rPr>
        <w:t xml:space="preserve">»‒ </w:t>
      </w:r>
      <w:r w:rsidRPr="005E4BEA">
        <w:rPr>
          <w:rFonts w:eastAsiaTheme="minorHAnsi" w:cs="Arial"/>
          <w:szCs w:val="20"/>
        </w:rPr>
        <w:tab/>
        <w:t>centri za duševno zdravje otrok in mladostnikov – prvi pregled (512 057; storitve CDZOMPP021,CDZOMPP022, CDZOMPP023, CDZOMPP030, CDZOMPP031, CDZOMPP032, CDZOMKP020, CDZOMKP037) »</w:t>
      </w:r>
    </w:p>
    <w:p w14:paraId="4BF88F71" w14:textId="77777777" w:rsidR="0057192F" w:rsidRPr="005E4BEA" w:rsidRDefault="0057192F" w:rsidP="0057192F">
      <w:pPr>
        <w:spacing w:line="240" w:lineRule="auto"/>
        <w:jc w:val="both"/>
        <w:rPr>
          <w:rFonts w:eastAsiaTheme="minorHAnsi" w:cs="Arial"/>
          <w:b/>
          <w:bCs/>
          <w:i/>
          <w:iCs/>
          <w:szCs w:val="20"/>
        </w:rPr>
      </w:pPr>
      <w:r w:rsidRPr="005E4BEA">
        <w:rPr>
          <w:rFonts w:eastAsiaTheme="minorHAnsi" w:cs="Arial"/>
          <w:b/>
          <w:bCs/>
          <w:i/>
          <w:iCs/>
          <w:szCs w:val="20"/>
        </w:rPr>
        <w:t>V Prilogi III v drugem odstavku in prvem odstavku v 3. točki črtata alineji, ki se glasita:</w:t>
      </w:r>
    </w:p>
    <w:p w14:paraId="19A3B646" w14:textId="77777777" w:rsidR="0057192F" w:rsidRPr="005E4BEA" w:rsidRDefault="0057192F" w:rsidP="0057192F">
      <w:pPr>
        <w:spacing w:after="160" w:line="259" w:lineRule="auto"/>
        <w:jc w:val="both"/>
        <w:rPr>
          <w:rFonts w:eastAsiaTheme="minorHAnsi" w:cs="Arial"/>
          <w:szCs w:val="20"/>
        </w:rPr>
      </w:pPr>
      <w:r w:rsidRPr="005E4BEA">
        <w:rPr>
          <w:rFonts w:eastAsiaTheme="minorHAnsi" w:cs="Arial"/>
          <w:szCs w:val="20"/>
        </w:rPr>
        <w:t xml:space="preserve">»‒ </w:t>
      </w:r>
      <w:r w:rsidRPr="005E4BEA">
        <w:rPr>
          <w:rFonts w:eastAsiaTheme="minorHAnsi" w:cs="Arial"/>
          <w:szCs w:val="20"/>
        </w:rPr>
        <w:tab/>
      </w:r>
      <w:proofErr w:type="spellStart"/>
      <w:r w:rsidRPr="005E4BEA">
        <w:rPr>
          <w:rFonts w:eastAsiaTheme="minorHAnsi" w:cs="Arial"/>
          <w:szCs w:val="20"/>
        </w:rPr>
        <w:t>pedopsihiatrija</w:t>
      </w:r>
      <w:proofErr w:type="spellEnd"/>
      <w:r w:rsidRPr="005E4BEA">
        <w:rPr>
          <w:rFonts w:eastAsiaTheme="minorHAnsi" w:cs="Arial"/>
          <w:szCs w:val="20"/>
        </w:rPr>
        <w:t xml:space="preserve"> – prvi pregled (224 242; storitve 11009, 11010, 11011, 11013, 11014 in 11015) </w:t>
      </w:r>
    </w:p>
    <w:p w14:paraId="38946C34" w14:textId="77777777" w:rsidR="0057192F" w:rsidRPr="005E4BEA" w:rsidRDefault="0057192F" w:rsidP="0057192F">
      <w:pPr>
        <w:spacing w:after="160" w:line="259" w:lineRule="auto"/>
        <w:jc w:val="both"/>
        <w:rPr>
          <w:rFonts w:eastAsiaTheme="minorHAnsi" w:cs="Arial"/>
          <w:szCs w:val="20"/>
        </w:rPr>
      </w:pPr>
      <w:r w:rsidRPr="005E4BEA">
        <w:rPr>
          <w:rFonts w:eastAsiaTheme="minorHAnsi" w:cs="Arial"/>
          <w:szCs w:val="20"/>
        </w:rPr>
        <w:t xml:space="preserve">‒ </w:t>
      </w:r>
      <w:r w:rsidRPr="005E4BEA">
        <w:rPr>
          <w:rFonts w:eastAsiaTheme="minorHAnsi" w:cs="Arial"/>
          <w:szCs w:val="20"/>
        </w:rPr>
        <w:tab/>
        <w:t>klinična psihologija – prvi pregled (549 033; storitev KP0001)«.</w:t>
      </w:r>
    </w:p>
    <w:p w14:paraId="45EE9DB8" w14:textId="3107D963" w:rsidR="00FE461F" w:rsidRPr="005E4BEA" w:rsidRDefault="00FE461F" w:rsidP="0057192F">
      <w:pPr>
        <w:spacing w:line="0" w:lineRule="atLeast"/>
        <w:contextualSpacing/>
        <w:jc w:val="both"/>
        <w:rPr>
          <w:rFonts w:eastAsiaTheme="minorHAnsi" w:cs="Arial"/>
          <w:szCs w:val="20"/>
        </w:rPr>
      </w:pPr>
    </w:p>
    <w:p w14:paraId="6E257DC6"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 xml:space="preserve">Obrazložitev: </w:t>
      </w:r>
    </w:p>
    <w:p w14:paraId="2F56FE4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S povečanim številom napotenih pacientov na prvi pregled se v zadnjih letih srečujejo v vseh službah duševnega zdravja otrok in mladostnikov, tako na primarni in sekundarni, kot na terciarni ravni. V letu 2021 je bilo v urgentnih službah </w:t>
      </w:r>
      <w:proofErr w:type="spellStart"/>
      <w:r w:rsidRPr="005E4BEA">
        <w:rPr>
          <w:rFonts w:eastAsiaTheme="minorHAnsi" w:cs="Arial"/>
          <w:i/>
          <w:color w:val="808080" w:themeColor="background1" w:themeShade="80"/>
          <w:szCs w:val="20"/>
        </w:rPr>
        <w:t>pedopsihiatrije</w:t>
      </w:r>
      <w:proofErr w:type="spellEnd"/>
      <w:r w:rsidRPr="005E4BEA">
        <w:rPr>
          <w:rFonts w:eastAsiaTheme="minorHAnsi" w:cs="Arial"/>
          <w:i/>
          <w:color w:val="808080" w:themeColor="background1" w:themeShade="80"/>
          <w:szCs w:val="20"/>
        </w:rPr>
        <w:t xml:space="preserve"> in podpornih ambulantah v treh terciarnih centrih pregledanih približno 2000 otrok in mladostnikov, ki potrebujejo nadaljnjo obravnavo v CDZOM, </w:t>
      </w:r>
      <w:proofErr w:type="spellStart"/>
      <w:r w:rsidRPr="005E4BEA">
        <w:rPr>
          <w:rFonts w:eastAsiaTheme="minorHAnsi" w:cs="Arial"/>
          <w:i/>
          <w:color w:val="808080" w:themeColor="background1" w:themeShade="80"/>
          <w:szCs w:val="20"/>
        </w:rPr>
        <w:t>pedopsihiatričnih</w:t>
      </w:r>
      <w:proofErr w:type="spellEnd"/>
      <w:r w:rsidRPr="005E4BEA">
        <w:rPr>
          <w:rFonts w:eastAsiaTheme="minorHAnsi" w:cs="Arial"/>
          <w:i/>
          <w:color w:val="808080" w:themeColor="background1" w:themeShade="80"/>
          <w:szCs w:val="20"/>
        </w:rPr>
        <w:t xml:space="preserve"> in klinično psiholoških ambulantah. Sprejem v nadaljnjo obravnavo je odvisen od zmogljivosti izvajalcev ter od števila kliničnih specialistov in drugih strokovnjakov v dejavnostih duševnega zdravja otrok in mladostnikov. </w:t>
      </w:r>
    </w:p>
    <w:p w14:paraId="3765D29E"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84DD5A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Način zagotavljanja dodatnih terminov, ki ga opredeljuje 11. točka (1) odstavka 35. člena SD 2022, sprejeta z Aneksom 1 k SD 2021, ni bil usklajen s strokovnimi združenji in ga kot takega ni podprl noben od naštetih strokovnih organov: Izvršni odbor Združenja za otroško in mladostniško psihiatrijo (IO ZOMP), Zbornica kliničnih psihologov in RSK za klinično psihologijo. Za mnenje ni bila zaprošena Interdisciplinarna delovna skupina (IDS) za mrežo Centrov za duševno zdravje otrok in mladostnikov, ki deluje v okviru programa MIRA na Nacionalnem inštitutu za javno zdravje, ki je nosilec implementacije Resolucije o Nacionalnem programu duševnega zdravja (ReNPDZ18–28). </w:t>
      </w:r>
    </w:p>
    <w:p w14:paraId="3D0A7B3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Ambulante na primarni in sekundarni ravni imajo v skladu z Zakon o pacientovih pravicah (Uradni list RS, št. 15/08, 55/17 in 177/20) in Pravilnikom o naročanju in upravljanju čakalnih seznamov ter najdaljših dopustnih čakalnih dobah (Uradni list RS, št. 3/18, 201/20 in 103/21) že vzpostavljene čakalne sezname in določene termine za prve preglede po stopnjah nujnosti. Pacienti so bodisi že naročeni na prve preglede bodisi ob vpisu v čakalni seznam seznanjeni z okvirnim terminom pregleda. </w:t>
      </w:r>
    </w:p>
    <w:p w14:paraId="56254651"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Izredni termini za paciente, napotene s terciarne ravni, bi torej pomenili podaljševanje čakalnih dob za paciente, ki so pod stopnjo nujnosti zelo hitro že uvrščeni na čakalne sezname ter onemogočanje naročanja pacientov pod stopnjami nujnosti hitro in redno. Več terminov za prve preglede, kot jih je na voljo sedaj, namreč v večini ambulant ni mogoče zagotoviti. </w:t>
      </w:r>
    </w:p>
    <w:p w14:paraId="6F0775C1"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C3D4F46"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Prvemu pregledu v otroški in mladostniški psihiatriji in klinični psihologiji praviloma sledijo kontrolni pregledi, namenjeni diagnostiki in terapiji. Enkratni pregledi so le izjema. V ambulanti za otroško in mladostniško psihiatrijo ter v ambulanti za klinično psihologijo je mogoče sprejeti največ 1 do 2 nova pacienta na teden, saj prvemu pregledu sledi tudi  diagnostični proces, terapija in/ali dolgoročno spremljanje. Poudarjamo, da se obravnave v CDZOM, </w:t>
      </w:r>
      <w:proofErr w:type="spellStart"/>
      <w:r w:rsidRPr="005E4BEA">
        <w:rPr>
          <w:rFonts w:eastAsiaTheme="minorHAnsi" w:cs="Arial"/>
          <w:i/>
          <w:color w:val="808080" w:themeColor="background1" w:themeShade="80"/>
          <w:szCs w:val="20"/>
        </w:rPr>
        <w:t>pedopsihiatričnih</w:t>
      </w:r>
      <w:proofErr w:type="spellEnd"/>
      <w:r w:rsidRPr="005E4BEA">
        <w:rPr>
          <w:rFonts w:eastAsiaTheme="minorHAnsi" w:cs="Arial"/>
          <w:i/>
          <w:color w:val="808080" w:themeColor="background1" w:themeShade="80"/>
          <w:szCs w:val="20"/>
        </w:rPr>
        <w:t xml:space="preserve"> in klinično psiholoških ambulantah razlikujejo od obravnav v drugih vejah medicine. V naši dejavnosti kontrolne obravnave namreč pomenijo zdravljenje samo in ne kontrolo zdravljenja, ki smo ga uvedli. Zelo malo lahko na področju duševnega zdravja otrok in mladostnikov naredimo z zdravili. V tem je bistvo pomena možnosti zadostnega števila nadaljnjih pregledov (ki torej pomenijo možnosti zdravljenja) in seveda morajo biti v presoji </w:t>
      </w:r>
      <w:proofErr w:type="spellStart"/>
      <w:r w:rsidRPr="005E4BEA">
        <w:rPr>
          <w:rFonts w:eastAsiaTheme="minorHAnsi" w:cs="Arial"/>
          <w:i/>
          <w:color w:val="808080" w:themeColor="background1" w:themeShade="80"/>
          <w:szCs w:val="20"/>
        </w:rPr>
        <w:t>pedopsihiatra</w:t>
      </w:r>
      <w:proofErr w:type="spellEnd"/>
      <w:r w:rsidRPr="005E4BEA">
        <w:rPr>
          <w:rFonts w:eastAsiaTheme="minorHAnsi" w:cs="Arial"/>
          <w:i/>
          <w:color w:val="808080" w:themeColor="background1" w:themeShade="80"/>
          <w:szCs w:val="20"/>
        </w:rPr>
        <w:t>, kliničnega psihologa, specialnega pedagoga in drugih.</w:t>
      </w:r>
    </w:p>
    <w:p w14:paraId="2716E21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Pacienti so k izvajalcem na primarni in sekundarni ravni napoteni na različne načine: od osebnega zdravnika in od drugih zdravnikov specialistov na sekundarni ali terciarni ravni ali pa pridejo sami. V zadnjem obdobju, tudi zaradi močno preseženih najdaljših dopustnih čakalnih dob,  prevladujejo napotitve s stopnjo nujnosti »zelo hitro«. Zato predlog zapisan v Aneksu diskriminira paciente glede na </w:t>
      </w:r>
      <w:proofErr w:type="spellStart"/>
      <w:r w:rsidRPr="005E4BEA">
        <w:rPr>
          <w:rFonts w:eastAsiaTheme="minorHAnsi" w:cs="Arial"/>
          <w:i/>
          <w:color w:val="808080" w:themeColor="background1" w:themeShade="80"/>
          <w:szCs w:val="20"/>
        </w:rPr>
        <w:t>napotitelja</w:t>
      </w:r>
      <w:proofErr w:type="spellEnd"/>
      <w:r w:rsidRPr="005E4BEA">
        <w:rPr>
          <w:rFonts w:eastAsiaTheme="minorHAnsi" w:cs="Arial"/>
          <w:i/>
          <w:color w:val="808080" w:themeColor="background1" w:themeShade="80"/>
          <w:szCs w:val="20"/>
        </w:rPr>
        <w:t xml:space="preserve"> – eni se bodo vpisovali na čakalni seznam, drugi bi naj imeli zagotovljene posebej določene termine. Ob tem je potrebno zagotoviti tudi kontinuirano zdravljenje že obravnavanim pacientom, ki to potrebujejo. </w:t>
      </w:r>
    </w:p>
    <w:p w14:paraId="33ED100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 učinkovito načrtovanje oskrbe najbolj ogroženih pacientov, pregledanih v terciarnih ambulantah, je potrebno zbrati podatke o številu teh pacientov, potrebnih napotitvah (klinični psiholog in/ali specialist otroške in mladostniške psihiatrije), </w:t>
      </w:r>
      <w:proofErr w:type="spellStart"/>
      <w:r w:rsidRPr="005E4BEA">
        <w:rPr>
          <w:rFonts w:eastAsiaTheme="minorHAnsi" w:cs="Arial"/>
          <w:i/>
          <w:color w:val="808080" w:themeColor="background1" w:themeShade="80"/>
          <w:szCs w:val="20"/>
        </w:rPr>
        <w:t>napotnih</w:t>
      </w:r>
      <w:proofErr w:type="spellEnd"/>
      <w:r w:rsidRPr="005E4BEA">
        <w:rPr>
          <w:rFonts w:eastAsiaTheme="minorHAnsi" w:cs="Arial"/>
          <w:i/>
          <w:color w:val="808080" w:themeColor="background1" w:themeShade="80"/>
          <w:szCs w:val="20"/>
        </w:rPr>
        <w:t xml:space="preserve"> diagnozah in indikacijah za napotitve (diagnostika, terapija) ter pregledati število obravnavanih pacientov po diagnozah in izvajalcih na vseh treh ravneh. Šele na podlagi teh podatkov je mogoče opredeliti, na kateri ravni zdravstvenega sistema je izvedljivo omogočiti dodatne termine za obravnavo.  </w:t>
      </w:r>
    </w:p>
    <w:p w14:paraId="288DD8A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Vse tovrstne ukrepe je potrebno najprej uskladiti s strokovnimi združenji. </w:t>
      </w:r>
    </w:p>
    <w:p w14:paraId="64BD6A43"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1A2863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CDZOM, </w:t>
      </w:r>
      <w:proofErr w:type="spellStart"/>
      <w:r w:rsidRPr="005E4BEA">
        <w:rPr>
          <w:rFonts w:eastAsiaTheme="minorHAnsi" w:cs="Arial"/>
          <w:i/>
          <w:color w:val="808080" w:themeColor="background1" w:themeShade="80"/>
          <w:szCs w:val="20"/>
        </w:rPr>
        <w:t>pedopsihiatrične</w:t>
      </w:r>
      <w:proofErr w:type="spellEnd"/>
      <w:r w:rsidRPr="005E4BEA">
        <w:rPr>
          <w:rFonts w:eastAsiaTheme="minorHAnsi" w:cs="Arial"/>
          <w:i/>
          <w:color w:val="808080" w:themeColor="background1" w:themeShade="80"/>
          <w:szCs w:val="20"/>
        </w:rPr>
        <w:t xml:space="preserve"> in klinično psihološke ambulante že sedaj zagotavljajo, glede na zmožnosti, sprejem v redno ambulantno obravnavo (</w:t>
      </w:r>
      <w:proofErr w:type="spellStart"/>
      <w:r w:rsidRPr="005E4BEA">
        <w:rPr>
          <w:rFonts w:eastAsiaTheme="minorHAnsi" w:cs="Arial"/>
          <w:i/>
          <w:color w:val="808080" w:themeColor="background1" w:themeShade="80"/>
          <w:szCs w:val="20"/>
        </w:rPr>
        <w:t>pedopsihiatrično</w:t>
      </w:r>
      <w:proofErr w:type="spellEnd"/>
      <w:r w:rsidRPr="005E4BEA">
        <w:rPr>
          <w:rFonts w:eastAsiaTheme="minorHAnsi" w:cs="Arial"/>
          <w:i/>
          <w:color w:val="808080" w:themeColor="background1" w:themeShade="80"/>
          <w:szCs w:val="20"/>
        </w:rPr>
        <w:t xml:space="preserve"> ali </w:t>
      </w:r>
      <w:proofErr w:type="spellStart"/>
      <w:r w:rsidRPr="005E4BEA">
        <w:rPr>
          <w:rFonts w:eastAsiaTheme="minorHAnsi" w:cs="Arial"/>
          <w:i/>
          <w:color w:val="808080" w:themeColor="background1" w:themeShade="80"/>
          <w:szCs w:val="20"/>
        </w:rPr>
        <w:t>kliničnopsihološko</w:t>
      </w:r>
      <w:proofErr w:type="spellEnd"/>
      <w:r w:rsidRPr="005E4BEA">
        <w:rPr>
          <w:rFonts w:eastAsiaTheme="minorHAnsi" w:cs="Arial"/>
          <w:i/>
          <w:color w:val="808080" w:themeColor="background1" w:themeShade="80"/>
          <w:szCs w:val="20"/>
        </w:rPr>
        <w:t xml:space="preserve">) in otroke ter mladostnike uvrstijo v enotno čakalno vrsto pri izvajalcu (ne glede na </w:t>
      </w:r>
      <w:proofErr w:type="spellStart"/>
      <w:r w:rsidRPr="005E4BEA">
        <w:rPr>
          <w:rFonts w:eastAsiaTheme="minorHAnsi" w:cs="Arial"/>
          <w:i/>
          <w:color w:val="808080" w:themeColor="background1" w:themeShade="80"/>
          <w:szCs w:val="20"/>
        </w:rPr>
        <w:t>napotitelja</w:t>
      </w:r>
      <w:proofErr w:type="spellEnd"/>
      <w:r w:rsidRPr="005E4BEA">
        <w:rPr>
          <w:rFonts w:eastAsiaTheme="minorHAnsi" w:cs="Arial"/>
          <w:i/>
          <w:color w:val="808080" w:themeColor="background1" w:themeShade="80"/>
          <w:szCs w:val="20"/>
        </w:rPr>
        <w:t xml:space="preserve">) glede na stopnjo nujnosti (ob upoštevanju prekoračitve najvišje dopustnih čakalnih dob glede na vsesplošno situacijo v ambulantah). Otroci in mladostniki po zaključeni hospitalizaciji, ki še nimajo </w:t>
      </w:r>
      <w:proofErr w:type="spellStart"/>
      <w:r w:rsidRPr="005E4BEA">
        <w:rPr>
          <w:rFonts w:eastAsiaTheme="minorHAnsi" w:cs="Arial"/>
          <w:i/>
          <w:color w:val="808080" w:themeColor="background1" w:themeShade="80"/>
          <w:szCs w:val="20"/>
        </w:rPr>
        <w:t>lečečega</w:t>
      </w:r>
      <w:proofErr w:type="spellEnd"/>
      <w:r w:rsidRPr="005E4BEA">
        <w:rPr>
          <w:rFonts w:eastAsiaTheme="minorHAnsi" w:cs="Arial"/>
          <w:i/>
          <w:color w:val="808080" w:themeColor="background1" w:themeShade="80"/>
          <w:szCs w:val="20"/>
        </w:rPr>
        <w:t xml:space="preserve"> ambulantnega strokovnjaka, </w:t>
      </w:r>
      <w:r w:rsidRPr="005E4BEA">
        <w:rPr>
          <w:rFonts w:eastAsiaTheme="minorHAnsi" w:cs="Arial"/>
          <w:b/>
          <w:i/>
          <w:color w:val="808080" w:themeColor="background1" w:themeShade="80"/>
          <w:szCs w:val="20"/>
        </w:rPr>
        <w:t>se v ambulantno obravnavo vključijo po dogovoru med strokovnjaki, skladno s protokoli sodelovanja med CDZOM in terciarnimi centri.</w:t>
      </w:r>
    </w:p>
    <w:p w14:paraId="63050D08"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3D1C632"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Umik predloga o zaposlitvi psihologa v ambulanto za prednostno obravnavo utemeljujemo z naslednjim. Vključitev psihologa v ambulanto za prednostno obravnavo otrok in mladostnikov s težavami v duševnem zdravju na terciarni ravni ni potrebna, saj komunikacija med strokovnjaki že obstaja. Smiselno bi bilo ta sredstva usmeriti v npr. financiranje specializacij klinične </w:t>
      </w:r>
      <w:r w:rsidRPr="005E4BEA">
        <w:rPr>
          <w:rFonts w:eastAsiaTheme="minorHAnsi" w:cs="Arial"/>
          <w:i/>
          <w:color w:val="808080" w:themeColor="background1" w:themeShade="80"/>
          <w:szCs w:val="20"/>
        </w:rPr>
        <w:lastRenderedPageBreak/>
        <w:t xml:space="preserve">psihologije. Zbornica kliničnih psihologov tudi nasprotujejo zaposlitvi psihologa v vlogi »dispečerja«. </w:t>
      </w:r>
    </w:p>
    <w:p w14:paraId="31AD414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5EAE4E2E"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danih razmerah kot optimalno rešitev podpiramo implementacijo sklepa IO ZOMP, ki je realno  izvedljiv in v najkrajšem času omogoča  povečanju ambulantnih kapacitet na primarnem  in sekundarnem nivoju. Sprejet sklep je konsenz strokovnjakov, zaposlenih tako v bolnišnicah kot tudi ambulantah. Načrt, ki se je pred kratkim v nekaterih ambulantah OMP/CDZOM že začel izvajati, med drugim predvideva odpiranje dodatnih ambulantnih mest, kjer bodo pod neposrednim mentorstvom ambulantnih specialistov OMP delali specializanti. Realno je pričakovati, da bo to ublažilo pritisk na ambulante, dokler se mreža strokovnjakov ne zapolni. </w:t>
      </w:r>
    </w:p>
    <w:p w14:paraId="5FFA318C"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C4BA4D9"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Prepričljivih argumentov za ločen program prvih pregledov za dejavnost </w:t>
      </w:r>
      <w:proofErr w:type="spellStart"/>
      <w:r w:rsidRPr="005E4BEA">
        <w:rPr>
          <w:rFonts w:eastAsiaTheme="minorHAnsi" w:cs="Arial"/>
          <w:i/>
          <w:color w:val="808080" w:themeColor="background1" w:themeShade="80"/>
          <w:szCs w:val="20"/>
        </w:rPr>
        <w:t>pedopsihiatrije</w:t>
      </w:r>
      <w:proofErr w:type="spellEnd"/>
      <w:r w:rsidRPr="005E4BEA">
        <w:rPr>
          <w:rFonts w:eastAsiaTheme="minorHAnsi" w:cs="Arial"/>
          <w:i/>
          <w:color w:val="808080" w:themeColor="background1" w:themeShade="80"/>
          <w:szCs w:val="20"/>
        </w:rPr>
        <w:t xml:space="preserve"> in klinične psihologije ne ugotavljamo, dodajamo pa, da gre za strokovno zelo občutljiva vprašanja, zato bi morala biti taka sprememba Splošnega dogovora predhodno usklajena s stroko. Zdravnik je namreč v skladu z določili Zakona o zdravniški službi temeljni odgovorni nosilec opravljanja zdravstvene dejavnosti, ki je pri sprejemanju strokovnih odločitev neodvisen ter lahko svobodno izbere način zdravljenja, ki je v danih okoliščinah najprimernejši. Podobno velja za specialista klinične psihologije. Povečanje obsega prvih programov pa nujno pomeni zmanjšanje možnega obsega kontrolnih pregledov ter časa, namenjenega diagnostiki in terapiji, kar posega v možnosti izvajalcev, da svojim pacientom nudijo zdravstveno obravnavo, ki je po njihovi strokovni presoji ustrezna. To pomeni tako zmanjšanje kakovosti obravnav kot tudi števila </w:t>
      </w:r>
      <w:proofErr w:type="spellStart"/>
      <w:r w:rsidRPr="005E4BEA">
        <w:rPr>
          <w:rFonts w:eastAsiaTheme="minorHAnsi" w:cs="Arial"/>
          <w:i/>
          <w:color w:val="808080" w:themeColor="background1" w:themeShade="80"/>
          <w:szCs w:val="20"/>
        </w:rPr>
        <w:t>pacentov</w:t>
      </w:r>
      <w:proofErr w:type="spellEnd"/>
      <w:r w:rsidRPr="005E4BEA">
        <w:rPr>
          <w:rFonts w:eastAsiaTheme="minorHAnsi" w:cs="Arial"/>
          <w:i/>
          <w:color w:val="808080" w:themeColor="background1" w:themeShade="80"/>
          <w:szCs w:val="20"/>
        </w:rPr>
        <w:t xml:space="preserve">, ki bi bili lahko ustrezno in učinkovito zdravljeni. Navedeno lahko nadalje predstavlja kršitev določb Zakona o pacientovih pravicah, ki pacientom zagotavlja pravico do primerne, kakovostne in varne zdravstvene obravnave, pomeni pa lahko tudi večji pritisk na hospital. </w:t>
      </w:r>
    </w:p>
    <w:p w14:paraId="1CFFDC45"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EB208D4"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zvezi s predlogom umika določb iz Priloge III (seznam storitev, ki naj bi predstavljale prve preglede) pojasnjujemo, da je seznam pomanjkljiv, nanaša se le na nekatere storitve, ki jih izvajata specialist otroške in mladostniške psihiatrije oz. specialist klinične psihologije, in ki bi jih lahko opredelili kot prve preglede, ter ne vključuje storitev, ki jih kot prve preglede izvajajo drugi strokovnjaki v timu CDZOM. </w:t>
      </w:r>
    </w:p>
    <w:p w14:paraId="2F09649D" w14:textId="18379A67" w:rsidR="00FE461F" w:rsidRPr="005E4BEA" w:rsidRDefault="00FE461F" w:rsidP="00FE461F">
      <w:pPr>
        <w:spacing w:line="240" w:lineRule="auto"/>
        <w:jc w:val="both"/>
        <w:rPr>
          <w:rFonts w:cs="Arial"/>
          <w:i/>
          <w:color w:val="808080"/>
          <w:szCs w:val="20"/>
        </w:rPr>
      </w:pPr>
    </w:p>
    <w:p w14:paraId="282B13FF" w14:textId="17AAE86B" w:rsidR="00EC58C0" w:rsidRPr="005E4BEA" w:rsidRDefault="00EC58C0" w:rsidP="00FE461F">
      <w:pPr>
        <w:spacing w:line="240" w:lineRule="auto"/>
        <w:jc w:val="both"/>
        <w:rPr>
          <w:rFonts w:cs="Arial"/>
          <w:i/>
          <w:color w:val="808080"/>
          <w:szCs w:val="20"/>
        </w:rPr>
      </w:pPr>
    </w:p>
    <w:p w14:paraId="7CCA51BB" w14:textId="7A7254D9" w:rsidR="00C25E28" w:rsidRPr="005E4BEA" w:rsidRDefault="00EC58C0" w:rsidP="00C25E28">
      <w:pPr>
        <w:jc w:val="both"/>
        <w:rPr>
          <w:rFonts w:eastAsiaTheme="minorHAnsi" w:cs="Arial"/>
          <w:b/>
          <w:bCs/>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C25E28" w:rsidRPr="005E4BEA">
        <w:rPr>
          <w:rFonts w:eastAsia="Arial Narrow" w:cs="Arial"/>
          <w:szCs w:val="20"/>
        </w:rPr>
        <w:t xml:space="preserve">strinja s predlogom v modificirani obliki, in sicer se </w:t>
      </w:r>
      <w:bookmarkStart w:id="107" w:name="_Hlk101530857"/>
      <w:r w:rsidR="00C25E28" w:rsidRPr="005E4BEA">
        <w:rPr>
          <w:rFonts w:eastAsia="Arial Narrow" w:cs="Arial"/>
          <w:b/>
          <w:bCs/>
          <w:szCs w:val="20"/>
        </w:rPr>
        <w:t>v</w:t>
      </w:r>
      <w:r w:rsidR="00C25E28" w:rsidRPr="005E4BEA">
        <w:rPr>
          <w:rFonts w:eastAsiaTheme="minorHAnsi" w:cs="Arial"/>
          <w:b/>
          <w:bCs/>
        </w:rPr>
        <w:t xml:space="preserve"> 35. členu besedilo 11. točke prvega odstavku nadomesti z novim besedilo</w:t>
      </w:r>
      <w:r w:rsidR="00754780" w:rsidRPr="005E4BEA">
        <w:rPr>
          <w:rFonts w:eastAsiaTheme="minorHAnsi" w:cs="Arial"/>
          <w:b/>
          <w:bCs/>
        </w:rPr>
        <w:t>m</w:t>
      </w:r>
      <w:r w:rsidR="00C25E28" w:rsidRPr="005E4BEA">
        <w:rPr>
          <w:rFonts w:eastAsiaTheme="minorHAnsi" w:cs="Arial"/>
          <w:b/>
          <w:bCs/>
        </w:rPr>
        <w:t xml:space="preserve">, ki se glasi: </w:t>
      </w:r>
    </w:p>
    <w:p w14:paraId="78AE614D" w14:textId="77777777" w:rsidR="00C25E28" w:rsidRPr="005E4BEA" w:rsidRDefault="00C25E28" w:rsidP="00C25E28">
      <w:pPr>
        <w:jc w:val="both"/>
        <w:rPr>
          <w:rFonts w:eastAsiaTheme="minorHAnsi" w:cs="Calibri"/>
        </w:rPr>
      </w:pPr>
      <w:r w:rsidRPr="005E4BEA">
        <w:rPr>
          <w:rFonts w:eastAsiaTheme="minorHAnsi" w:cs="Calibri"/>
        </w:rPr>
        <w:t>»11.</w:t>
      </w:r>
      <w:r w:rsidRPr="005E4BEA">
        <w:rPr>
          <w:rFonts w:eastAsiaTheme="minorHAnsi" w:cs="Calibri"/>
        </w:rPr>
        <w:tab/>
        <w:t xml:space="preserve">Izvajalci v dejavnosti </w:t>
      </w:r>
      <w:proofErr w:type="spellStart"/>
      <w:r w:rsidRPr="005E4BEA">
        <w:rPr>
          <w:rFonts w:eastAsiaTheme="minorHAnsi" w:cs="Calibri"/>
        </w:rPr>
        <w:t>pedopsihiatrije</w:t>
      </w:r>
      <w:proofErr w:type="spellEnd"/>
      <w:r w:rsidRPr="005E4BEA">
        <w:rPr>
          <w:rFonts w:eastAsiaTheme="minorHAnsi" w:cs="Calibri"/>
        </w:rPr>
        <w:t xml:space="preserve">, klinične psihologije ter Centrov za duševno zdravje otrok sprejmejo v obravnavo otroke / mladostnike, napotene iz ambulant za prednostno obravnavo otrok in mladostnikov s težavami v duševnem zdravju in urgentnih </w:t>
      </w:r>
      <w:proofErr w:type="spellStart"/>
      <w:r w:rsidRPr="005E4BEA">
        <w:rPr>
          <w:rFonts w:eastAsiaTheme="minorHAnsi" w:cs="Calibri"/>
        </w:rPr>
        <w:t>pedopsihiatričnih</w:t>
      </w:r>
      <w:proofErr w:type="spellEnd"/>
      <w:r w:rsidRPr="005E4BEA">
        <w:rPr>
          <w:rFonts w:eastAsiaTheme="minorHAnsi" w:cs="Calibri"/>
        </w:rPr>
        <w:t xml:space="preserve"> ambulant. Pacienti, ki že imajo </w:t>
      </w:r>
      <w:proofErr w:type="spellStart"/>
      <w:r w:rsidRPr="005E4BEA">
        <w:rPr>
          <w:rFonts w:eastAsiaTheme="minorHAnsi" w:cs="Calibri"/>
        </w:rPr>
        <w:t>lečečega</w:t>
      </w:r>
      <w:proofErr w:type="spellEnd"/>
      <w:r w:rsidRPr="005E4BEA">
        <w:rPr>
          <w:rFonts w:eastAsiaTheme="minorHAnsi" w:cs="Calibri"/>
        </w:rPr>
        <w:t xml:space="preserve"> ambulantnega strokovnjaka, bodo vključeni v ambulantno obravnavo v skladu s potrebami tega pacienta. Pacienti, ki še nimajo </w:t>
      </w:r>
      <w:proofErr w:type="spellStart"/>
      <w:r w:rsidRPr="005E4BEA">
        <w:rPr>
          <w:rFonts w:eastAsiaTheme="minorHAnsi" w:cs="Calibri"/>
        </w:rPr>
        <w:t>lečečega</w:t>
      </w:r>
      <w:proofErr w:type="spellEnd"/>
      <w:r w:rsidRPr="005E4BEA">
        <w:rPr>
          <w:rFonts w:eastAsiaTheme="minorHAnsi" w:cs="Calibri"/>
        </w:rPr>
        <w:t xml:space="preserve"> ambulantnega strokovnjaka, bodo uvrščeni v enotno čakalno vrsto pri izvajalcu (ne glede na </w:t>
      </w:r>
      <w:proofErr w:type="spellStart"/>
      <w:r w:rsidRPr="005E4BEA">
        <w:rPr>
          <w:rFonts w:eastAsiaTheme="minorHAnsi" w:cs="Calibri"/>
        </w:rPr>
        <w:t>napotitelja</w:t>
      </w:r>
      <w:proofErr w:type="spellEnd"/>
      <w:r w:rsidRPr="005E4BEA">
        <w:rPr>
          <w:rFonts w:eastAsiaTheme="minorHAnsi" w:cs="Calibri"/>
        </w:rPr>
        <w:t xml:space="preserve">) glede na stopnjo nujnosti. Pacienti po zaključeni hospitalizaciji, ki še nimajo </w:t>
      </w:r>
      <w:proofErr w:type="spellStart"/>
      <w:r w:rsidRPr="005E4BEA">
        <w:rPr>
          <w:rFonts w:eastAsiaTheme="minorHAnsi" w:cs="Calibri"/>
        </w:rPr>
        <w:t>lečečega</w:t>
      </w:r>
      <w:proofErr w:type="spellEnd"/>
      <w:r w:rsidRPr="005E4BEA">
        <w:rPr>
          <w:rFonts w:eastAsiaTheme="minorHAnsi" w:cs="Calibri"/>
        </w:rPr>
        <w:t xml:space="preserve"> ambulantnega strokovnjaka, se v ambulantno obravnavo vključijo po dogovoru med strokovnjaki, skladno s protokoli sodelovanja med CDZOM in terciarnimi centri. </w:t>
      </w:r>
    </w:p>
    <w:p w14:paraId="54D7CD2B" w14:textId="77777777" w:rsidR="00C25E28" w:rsidRPr="005E4BEA" w:rsidRDefault="00C25E28" w:rsidP="00C25E28">
      <w:pPr>
        <w:jc w:val="both"/>
        <w:rPr>
          <w:rFonts w:eastAsiaTheme="minorHAnsi" w:cs="Calibri"/>
        </w:rPr>
      </w:pPr>
    </w:p>
    <w:p w14:paraId="5F67E86D" w14:textId="77777777" w:rsidR="00C16B70" w:rsidRPr="005E4BEA" w:rsidRDefault="00C16B70" w:rsidP="00C25E28">
      <w:pPr>
        <w:jc w:val="both"/>
        <w:rPr>
          <w:rFonts w:eastAsiaTheme="minorHAnsi" w:cs="Calibri"/>
          <w:b/>
        </w:rPr>
      </w:pPr>
    </w:p>
    <w:p w14:paraId="28EA0CF4" w14:textId="304C9017" w:rsidR="002B130A" w:rsidRPr="005E4BEA" w:rsidRDefault="002B130A" w:rsidP="00C25E28">
      <w:pPr>
        <w:jc w:val="both"/>
        <w:rPr>
          <w:rFonts w:eastAsiaTheme="minorHAnsi" w:cs="Calibri"/>
          <w:b/>
        </w:rPr>
      </w:pPr>
      <w:bookmarkStart w:id="108" w:name="_Hlk102657221"/>
      <w:r w:rsidRPr="005E4BEA">
        <w:rPr>
          <w:rFonts w:eastAsiaTheme="minorHAnsi" w:cs="Calibri"/>
          <w:b/>
        </w:rPr>
        <w:t>V 59. členu se brišejo točke 1. do 4., sedanja 5. točka pa postane nova 1. točka.</w:t>
      </w:r>
    </w:p>
    <w:bookmarkEnd w:id="108"/>
    <w:p w14:paraId="7B686A0E" w14:textId="77777777" w:rsidR="00CA2FE4" w:rsidRPr="005E4BEA" w:rsidRDefault="00CA2FE4" w:rsidP="00C25E28">
      <w:pPr>
        <w:jc w:val="both"/>
        <w:rPr>
          <w:rFonts w:eastAsiaTheme="minorHAnsi" w:cs="Calibri"/>
          <w:b/>
        </w:rPr>
      </w:pPr>
    </w:p>
    <w:p w14:paraId="75EEE9FD" w14:textId="511B9588" w:rsidR="00C25E28" w:rsidRPr="005E4BEA" w:rsidRDefault="00C25E28" w:rsidP="00C25E28">
      <w:pPr>
        <w:jc w:val="both"/>
        <w:rPr>
          <w:rFonts w:eastAsiaTheme="minorHAnsi" w:cs="Calibri"/>
        </w:rPr>
      </w:pPr>
      <w:r w:rsidRPr="005E4BEA">
        <w:rPr>
          <w:rFonts w:eastAsiaTheme="minorHAnsi" w:cs="Calibri"/>
          <w:b/>
        </w:rPr>
        <w:t>Sedanji 60. do 64. člen postanejo novi 59. do 63. člen.</w:t>
      </w:r>
    </w:p>
    <w:p w14:paraId="699381A0" w14:textId="77777777" w:rsidR="00C25E28" w:rsidRPr="005E4BEA" w:rsidRDefault="00C25E28" w:rsidP="00C25E28">
      <w:pPr>
        <w:jc w:val="both"/>
        <w:rPr>
          <w:rFonts w:eastAsiaTheme="minorHAnsi" w:cs="Calibri"/>
          <w:b/>
        </w:rPr>
      </w:pPr>
    </w:p>
    <w:p w14:paraId="1B62B490" w14:textId="5CF2F1EB" w:rsidR="00C25E28" w:rsidRPr="005E4BEA" w:rsidRDefault="00C25E28" w:rsidP="00754780">
      <w:pPr>
        <w:jc w:val="both"/>
        <w:rPr>
          <w:rFonts w:eastAsiaTheme="minorHAnsi" w:cs="Arial"/>
          <w:b/>
          <w:bCs/>
        </w:rPr>
      </w:pPr>
      <w:r w:rsidRPr="005E4BEA">
        <w:rPr>
          <w:rFonts w:eastAsiaTheme="minorHAnsi" w:cs="Arial"/>
          <w:b/>
          <w:bCs/>
        </w:rPr>
        <w:t>V 3. členu se v prvem odstavku črtata točki 1.8 in 5.2</w:t>
      </w:r>
      <w:r w:rsidR="00754780" w:rsidRPr="005E4BEA">
        <w:rPr>
          <w:rFonts w:eastAsiaTheme="minorHAnsi" w:cs="Arial"/>
          <w:b/>
          <w:bCs/>
        </w:rPr>
        <w:t>.</w:t>
      </w:r>
    </w:p>
    <w:p w14:paraId="6F37B3A3" w14:textId="77777777" w:rsidR="00754780" w:rsidRPr="005E4BEA" w:rsidRDefault="00754780" w:rsidP="00754780">
      <w:pPr>
        <w:jc w:val="both"/>
        <w:rPr>
          <w:rFonts w:eastAsiaTheme="minorHAnsi" w:cs="Arial"/>
          <w:b/>
          <w:bCs/>
          <w:i/>
          <w:iCs/>
        </w:rPr>
      </w:pPr>
    </w:p>
    <w:p w14:paraId="1D3D1B6C" w14:textId="26D4CE52" w:rsidR="00C25E28" w:rsidRPr="005E4BEA" w:rsidRDefault="00C25E28" w:rsidP="00C25E28">
      <w:pPr>
        <w:spacing w:after="160" w:line="259" w:lineRule="auto"/>
        <w:jc w:val="both"/>
        <w:rPr>
          <w:rFonts w:eastAsiaTheme="minorHAnsi" w:cs="Arial"/>
          <w:b/>
          <w:bCs/>
        </w:rPr>
      </w:pPr>
      <w:r w:rsidRPr="005E4BEA">
        <w:rPr>
          <w:rFonts w:eastAsiaTheme="minorHAnsi" w:cs="Arial"/>
          <w:b/>
          <w:bCs/>
        </w:rPr>
        <w:t>Sedanje točke 5.3 do 5.5 postanejo nove točke 5.2 do 5.4.</w:t>
      </w:r>
    </w:p>
    <w:p w14:paraId="4CFBEB3E" w14:textId="77777777" w:rsidR="00754780" w:rsidRPr="005E4BEA" w:rsidRDefault="00754780" w:rsidP="00C25E28">
      <w:pPr>
        <w:spacing w:after="160" w:line="259" w:lineRule="auto"/>
        <w:jc w:val="both"/>
        <w:rPr>
          <w:rFonts w:eastAsiaTheme="minorHAnsi" w:cs="Arial"/>
          <w:b/>
          <w:bCs/>
        </w:rPr>
      </w:pPr>
    </w:p>
    <w:p w14:paraId="34B5B23C" w14:textId="0341F002" w:rsidR="00C25E28" w:rsidRPr="005E4BEA" w:rsidRDefault="00754780" w:rsidP="00C25E28">
      <w:pPr>
        <w:jc w:val="both"/>
        <w:rPr>
          <w:rFonts w:eastAsiaTheme="minorHAnsi" w:cs="Arial"/>
          <w:b/>
          <w:bCs/>
          <w:i/>
          <w:iCs/>
        </w:rPr>
      </w:pPr>
      <w:r w:rsidRPr="005E4BEA">
        <w:rPr>
          <w:rFonts w:eastAsiaTheme="minorHAnsi" w:cs="Arial"/>
          <w:b/>
          <w:bCs/>
          <w:i/>
          <w:iCs/>
        </w:rPr>
        <w:t>V</w:t>
      </w:r>
      <w:r w:rsidR="00C25E28" w:rsidRPr="005E4BEA">
        <w:rPr>
          <w:rFonts w:eastAsiaTheme="minorHAnsi" w:cs="Arial"/>
          <w:b/>
          <w:bCs/>
          <w:i/>
          <w:iCs/>
        </w:rPr>
        <w:t xml:space="preserve"> Prilogi III se v drugem odstavku v 1. točki črta alineja, ki se glasi:</w:t>
      </w:r>
    </w:p>
    <w:p w14:paraId="39836AEF" w14:textId="77777777" w:rsidR="00C25E28" w:rsidRPr="005E4BEA" w:rsidRDefault="00C25E28" w:rsidP="00C25E28">
      <w:pPr>
        <w:spacing w:after="160" w:line="259" w:lineRule="auto"/>
        <w:jc w:val="both"/>
        <w:rPr>
          <w:rFonts w:eastAsiaTheme="minorHAnsi" w:cs="Arial"/>
        </w:rPr>
      </w:pPr>
      <w:r w:rsidRPr="005E4BEA">
        <w:rPr>
          <w:rFonts w:eastAsiaTheme="minorHAnsi" w:cs="Arial"/>
        </w:rPr>
        <w:lastRenderedPageBreak/>
        <w:t xml:space="preserve">»‒ </w:t>
      </w:r>
      <w:r w:rsidRPr="005E4BEA">
        <w:rPr>
          <w:rFonts w:eastAsiaTheme="minorHAnsi" w:cs="Arial"/>
        </w:rPr>
        <w:tab/>
        <w:t>centri za duševno zdravje otrok in mladostnikov – prvi pregled (512 057; storitve CDZOMPP021,CDZOMPP022, CDZOMPP023, CDZOMPP030, CDZOMPP031, CDZOMPP032, CDZOMKP020, CDZOMKP037) »</w:t>
      </w:r>
    </w:p>
    <w:p w14:paraId="01AA2314" w14:textId="0495BCE4" w:rsidR="00C25E28" w:rsidRPr="005E4BEA" w:rsidRDefault="00C25E28" w:rsidP="00C25E28">
      <w:pPr>
        <w:jc w:val="both"/>
        <w:rPr>
          <w:rFonts w:eastAsiaTheme="minorHAnsi" w:cs="Arial"/>
          <w:b/>
          <w:bCs/>
          <w:i/>
          <w:iCs/>
        </w:rPr>
      </w:pPr>
      <w:r w:rsidRPr="005E4BEA">
        <w:rPr>
          <w:rFonts w:eastAsiaTheme="minorHAnsi" w:cs="Arial"/>
          <w:b/>
          <w:bCs/>
          <w:i/>
          <w:iCs/>
        </w:rPr>
        <w:t xml:space="preserve">V Prilogi III v drugem odstavku in prvem odstavku </w:t>
      </w:r>
      <w:r w:rsidR="00754780" w:rsidRPr="005E4BEA">
        <w:rPr>
          <w:rFonts w:eastAsiaTheme="minorHAnsi" w:cs="Arial"/>
          <w:b/>
          <w:bCs/>
          <w:i/>
          <w:iCs/>
        </w:rPr>
        <w:t xml:space="preserve">se </w:t>
      </w:r>
      <w:r w:rsidRPr="005E4BEA">
        <w:rPr>
          <w:rFonts w:eastAsiaTheme="minorHAnsi" w:cs="Arial"/>
          <w:b/>
          <w:bCs/>
          <w:i/>
          <w:iCs/>
        </w:rPr>
        <w:t>v 3. točki črtata alineji, ki se glasita:</w:t>
      </w:r>
    </w:p>
    <w:p w14:paraId="771057FB" w14:textId="77777777" w:rsidR="00C25E28" w:rsidRPr="005E4BEA" w:rsidRDefault="00C25E28" w:rsidP="00C25E28">
      <w:pPr>
        <w:spacing w:after="160" w:line="259" w:lineRule="auto"/>
        <w:jc w:val="both"/>
        <w:rPr>
          <w:rFonts w:eastAsiaTheme="minorHAnsi" w:cs="Arial"/>
        </w:rPr>
      </w:pPr>
      <w:r w:rsidRPr="005E4BEA">
        <w:rPr>
          <w:rFonts w:eastAsiaTheme="minorHAnsi" w:cs="Arial"/>
        </w:rPr>
        <w:t xml:space="preserve">»‒ </w:t>
      </w:r>
      <w:r w:rsidRPr="005E4BEA">
        <w:rPr>
          <w:rFonts w:eastAsiaTheme="minorHAnsi" w:cs="Arial"/>
        </w:rPr>
        <w:tab/>
      </w:r>
      <w:proofErr w:type="spellStart"/>
      <w:r w:rsidRPr="005E4BEA">
        <w:rPr>
          <w:rFonts w:eastAsiaTheme="minorHAnsi" w:cs="Arial"/>
        </w:rPr>
        <w:t>pedopsihiatrija</w:t>
      </w:r>
      <w:proofErr w:type="spellEnd"/>
      <w:r w:rsidRPr="005E4BEA">
        <w:rPr>
          <w:rFonts w:eastAsiaTheme="minorHAnsi" w:cs="Arial"/>
        </w:rPr>
        <w:t xml:space="preserve"> – prvi pregled (224 242; storitve 11009, 11010, 11011, 11013, 11014 in 11015) </w:t>
      </w:r>
    </w:p>
    <w:p w14:paraId="490C2E59" w14:textId="77777777" w:rsidR="00C25E28" w:rsidRPr="005E4BEA" w:rsidRDefault="00C25E28" w:rsidP="00C25E28">
      <w:pPr>
        <w:spacing w:after="160" w:line="259" w:lineRule="auto"/>
        <w:jc w:val="both"/>
        <w:rPr>
          <w:rFonts w:eastAsiaTheme="minorHAnsi" w:cs="Arial"/>
        </w:rPr>
      </w:pPr>
      <w:r w:rsidRPr="005E4BEA">
        <w:rPr>
          <w:rFonts w:eastAsiaTheme="minorHAnsi" w:cs="Arial"/>
        </w:rPr>
        <w:t xml:space="preserve">‒ </w:t>
      </w:r>
      <w:r w:rsidRPr="005E4BEA">
        <w:rPr>
          <w:rFonts w:eastAsiaTheme="minorHAnsi" w:cs="Arial"/>
        </w:rPr>
        <w:tab/>
        <w:t>klinična psihologija – prvi pregled (549 033; storitev KP0001)«.</w:t>
      </w:r>
    </w:p>
    <w:bookmarkEnd w:id="107"/>
    <w:p w14:paraId="1A196984" w14:textId="77777777" w:rsidR="00754780" w:rsidRPr="005E4BEA" w:rsidRDefault="00754780" w:rsidP="00EC58C0">
      <w:pPr>
        <w:autoSpaceDE w:val="0"/>
        <w:autoSpaceDN w:val="0"/>
        <w:adjustRightInd w:val="0"/>
        <w:spacing w:line="0" w:lineRule="atLeast"/>
        <w:jc w:val="both"/>
        <w:rPr>
          <w:rFonts w:eastAsia="Arial Narrow" w:cs="Arial"/>
          <w:szCs w:val="20"/>
        </w:rPr>
      </w:pPr>
    </w:p>
    <w:p w14:paraId="3EC4E90C" w14:textId="66C7CD3C" w:rsidR="00754780" w:rsidRPr="005E4BEA" w:rsidRDefault="00754780" w:rsidP="00754780">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w:t>
      </w:r>
    </w:p>
    <w:p w14:paraId="7A3DA864" w14:textId="288FB877" w:rsidR="00754780" w:rsidRPr="005E4BEA" w:rsidRDefault="00754780" w:rsidP="00754780">
      <w:pPr>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Glede na odziv stroke po spremembi določil v Aneksu št. 1 k Splošnemu dogovoru za pogodbeno leto 2021 sta Združenje in NIJZ, kot koordinator duševnega zdravja, pripravila nov predlog. NIJZ je zagotovil, da bo s tem predlogom povečana dostopnost za paciente, ki so pod nujno hospitalizirani in morajo po odpustu biti uvrščeni v centre za duševno zdravje  v proces zdravljenja.</w:t>
      </w:r>
    </w:p>
    <w:p w14:paraId="787E6839" w14:textId="2A71EFDA" w:rsidR="00EC58C0" w:rsidRPr="005E4BEA" w:rsidRDefault="00EC58C0" w:rsidP="00754780">
      <w:pPr>
        <w:spacing w:line="240" w:lineRule="auto"/>
        <w:jc w:val="both"/>
        <w:rPr>
          <w:rFonts w:eastAsiaTheme="minorHAnsi" w:cs="Arial"/>
          <w:i/>
          <w:color w:val="808080" w:themeColor="background1" w:themeShade="80"/>
          <w:szCs w:val="20"/>
        </w:rPr>
      </w:pPr>
    </w:p>
    <w:p w14:paraId="59A87C69" w14:textId="2FB9B431" w:rsidR="00754780" w:rsidRPr="005E4BEA" w:rsidRDefault="00754780" w:rsidP="00EC58C0">
      <w:pPr>
        <w:spacing w:line="0" w:lineRule="atLeast"/>
        <w:jc w:val="both"/>
        <w:rPr>
          <w:rFonts w:eastAsia="Arial Narrow" w:cs="Arial"/>
          <w:szCs w:val="20"/>
          <w:lang w:eastAsia="sl-SI"/>
        </w:rPr>
      </w:pPr>
    </w:p>
    <w:p w14:paraId="024292CC" w14:textId="77777777" w:rsidR="00754780" w:rsidRPr="005E4BEA" w:rsidRDefault="00754780" w:rsidP="00EC58C0">
      <w:pPr>
        <w:spacing w:line="0" w:lineRule="atLeast"/>
        <w:jc w:val="both"/>
        <w:rPr>
          <w:rFonts w:eastAsia="Arial Narrow" w:cs="Arial"/>
          <w:szCs w:val="20"/>
          <w:lang w:eastAsia="sl-SI"/>
        </w:rPr>
      </w:pPr>
    </w:p>
    <w:p w14:paraId="702FF08D" w14:textId="2AF7AB46" w:rsidR="00754780" w:rsidRPr="005E4BEA" w:rsidRDefault="00EC58C0" w:rsidP="00754780">
      <w:pPr>
        <w:jc w:val="both"/>
        <w:rPr>
          <w:rFonts w:eastAsiaTheme="minorHAnsi" w:cs="Arial"/>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09" w:name="_Hlk102471617"/>
      <w:r w:rsidRPr="005E4BEA">
        <w:rPr>
          <w:rFonts w:eastAsia="Arial Narrow" w:cs="Arial"/>
          <w:bCs/>
          <w:szCs w:val="20"/>
        </w:rPr>
        <w:t xml:space="preserve">da se  </w:t>
      </w:r>
      <w:bookmarkEnd w:id="106"/>
      <w:proofErr w:type="spellStart"/>
      <w:r w:rsidR="00754780" w:rsidRPr="005E4BEA">
        <w:rPr>
          <w:rFonts w:eastAsia="Arial Narrow" w:cs="Arial"/>
          <w:szCs w:val="20"/>
        </w:rPr>
        <w:t>se</w:t>
      </w:r>
      <w:proofErr w:type="spellEnd"/>
      <w:r w:rsidR="00754780" w:rsidRPr="005E4BEA">
        <w:rPr>
          <w:rFonts w:eastAsia="Arial Narrow" w:cs="Arial"/>
          <w:szCs w:val="20"/>
        </w:rPr>
        <w:t xml:space="preserve"> v</w:t>
      </w:r>
      <w:r w:rsidR="00754780" w:rsidRPr="005E4BEA">
        <w:rPr>
          <w:rFonts w:eastAsiaTheme="minorHAnsi" w:cs="Arial"/>
        </w:rPr>
        <w:t xml:space="preserve"> 35. členu besedilo 11. točke prvega odstavku nadomesti z novim besedilom, ki se glasi: </w:t>
      </w:r>
    </w:p>
    <w:p w14:paraId="7A2C4AAE" w14:textId="77777777" w:rsidR="00754780" w:rsidRPr="005E4BEA" w:rsidRDefault="00754780" w:rsidP="00754780">
      <w:pPr>
        <w:jc w:val="both"/>
        <w:rPr>
          <w:rFonts w:eastAsiaTheme="minorHAnsi" w:cs="Calibri"/>
        </w:rPr>
      </w:pPr>
      <w:r w:rsidRPr="005E4BEA">
        <w:rPr>
          <w:rFonts w:eastAsiaTheme="minorHAnsi" w:cs="Calibri"/>
        </w:rPr>
        <w:t>»11.</w:t>
      </w:r>
      <w:r w:rsidRPr="005E4BEA">
        <w:rPr>
          <w:rFonts w:eastAsiaTheme="minorHAnsi" w:cs="Calibri"/>
        </w:rPr>
        <w:tab/>
        <w:t xml:space="preserve">Izvajalci v dejavnosti </w:t>
      </w:r>
      <w:proofErr w:type="spellStart"/>
      <w:r w:rsidRPr="005E4BEA">
        <w:rPr>
          <w:rFonts w:eastAsiaTheme="minorHAnsi" w:cs="Calibri"/>
        </w:rPr>
        <w:t>pedopsihiatrije</w:t>
      </w:r>
      <w:proofErr w:type="spellEnd"/>
      <w:r w:rsidRPr="005E4BEA">
        <w:rPr>
          <w:rFonts w:eastAsiaTheme="minorHAnsi" w:cs="Calibri"/>
        </w:rPr>
        <w:t xml:space="preserve">, klinične psihologije ter Centrov za duševno zdravje otrok sprejmejo v obravnavo otroke / mladostnike, napotene iz ambulant za prednostno obravnavo otrok in mladostnikov s težavami v duševnem zdravju in urgentnih </w:t>
      </w:r>
      <w:proofErr w:type="spellStart"/>
      <w:r w:rsidRPr="005E4BEA">
        <w:rPr>
          <w:rFonts w:eastAsiaTheme="minorHAnsi" w:cs="Calibri"/>
        </w:rPr>
        <w:t>pedopsihiatričnih</w:t>
      </w:r>
      <w:proofErr w:type="spellEnd"/>
      <w:r w:rsidRPr="005E4BEA">
        <w:rPr>
          <w:rFonts w:eastAsiaTheme="minorHAnsi" w:cs="Calibri"/>
        </w:rPr>
        <w:t xml:space="preserve"> ambulant. Pacienti, ki že imajo </w:t>
      </w:r>
      <w:proofErr w:type="spellStart"/>
      <w:r w:rsidRPr="005E4BEA">
        <w:rPr>
          <w:rFonts w:eastAsiaTheme="minorHAnsi" w:cs="Calibri"/>
        </w:rPr>
        <w:t>lečečega</w:t>
      </w:r>
      <w:proofErr w:type="spellEnd"/>
      <w:r w:rsidRPr="005E4BEA">
        <w:rPr>
          <w:rFonts w:eastAsiaTheme="minorHAnsi" w:cs="Calibri"/>
        </w:rPr>
        <w:t xml:space="preserve"> ambulantnega strokovnjaka, bodo vključeni v ambulantno obravnavo v skladu s potrebami tega pacienta. Pacienti, ki še nimajo </w:t>
      </w:r>
      <w:proofErr w:type="spellStart"/>
      <w:r w:rsidRPr="005E4BEA">
        <w:rPr>
          <w:rFonts w:eastAsiaTheme="minorHAnsi" w:cs="Calibri"/>
        </w:rPr>
        <w:t>lečečega</w:t>
      </w:r>
      <w:proofErr w:type="spellEnd"/>
      <w:r w:rsidRPr="005E4BEA">
        <w:rPr>
          <w:rFonts w:eastAsiaTheme="minorHAnsi" w:cs="Calibri"/>
        </w:rPr>
        <w:t xml:space="preserve"> ambulantnega strokovnjaka, bodo uvrščeni v enotno čakalno vrsto pri izvajalcu (ne glede na </w:t>
      </w:r>
      <w:proofErr w:type="spellStart"/>
      <w:r w:rsidRPr="005E4BEA">
        <w:rPr>
          <w:rFonts w:eastAsiaTheme="minorHAnsi" w:cs="Calibri"/>
        </w:rPr>
        <w:t>napotitelja</w:t>
      </w:r>
      <w:proofErr w:type="spellEnd"/>
      <w:r w:rsidRPr="005E4BEA">
        <w:rPr>
          <w:rFonts w:eastAsiaTheme="minorHAnsi" w:cs="Calibri"/>
        </w:rPr>
        <w:t xml:space="preserve">) glede na stopnjo nujnosti. Pacienti po zaključeni hospitalizaciji, ki še nimajo </w:t>
      </w:r>
      <w:proofErr w:type="spellStart"/>
      <w:r w:rsidRPr="005E4BEA">
        <w:rPr>
          <w:rFonts w:eastAsiaTheme="minorHAnsi" w:cs="Calibri"/>
        </w:rPr>
        <w:t>lečečega</w:t>
      </w:r>
      <w:proofErr w:type="spellEnd"/>
      <w:r w:rsidRPr="005E4BEA">
        <w:rPr>
          <w:rFonts w:eastAsiaTheme="minorHAnsi" w:cs="Calibri"/>
        </w:rPr>
        <w:t xml:space="preserve"> ambulantnega strokovnjaka, se v ambulantno obravnavo vključijo po dogovoru med strokovnjaki, skladno s protokoli sodelovanja med CDZOM in terciarnimi centri. </w:t>
      </w:r>
    </w:p>
    <w:p w14:paraId="1039DFFD" w14:textId="77777777" w:rsidR="00754780" w:rsidRPr="005E4BEA" w:rsidRDefault="00754780" w:rsidP="00754780">
      <w:pPr>
        <w:jc w:val="both"/>
        <w:rPr>
          <w:rFonts w:eastAsiaTheme="minorHAnsi" w:cs="Calibri"/>
        </w:rPr>
      </w:pPr>
    </w:p>
    <w:p w14:paraId="17529A3F" w14:textId="77777777" w:rsidR="00754780" w:rsidRPr="005E4BEA" w:rsidRDefault="00754780" w:rsidP="00754780">
      <w:pPr>
        <w:jc w:val="both"/>
        <w:rPr>
          <w:rFonts w:eastAsiaTheme="minorHAnsi" w:cs="Calibri"/>
          <w:b/>
        </w:rPr>
      </w:pPr>
      <w:r w:rsidRPr="005E4BEA">
        <w:rPr>
          <w:rFonts w:eastAsiaTheme="minorHAnsi" w:cs="Calibri"/>
          <w:b/>
        </w:rPr>
        <w:t xml:space="preserve">Briše se 59. člen Splošnega dogovora. </w:t>
      </w:r>
    </w:p>
    <w:p w14:paraId="56F4123E" w14:textId="77777777" w:rsidR="00754780" w:rsidRPr="005E4BEA" w:rsidRDefault="00754780" w:rsidP="00754780">
      <w:pPr>
        <w:jc w:val="both"/>
        <w:rPr>
          <w:rFonts w:eastAsiaTheme="minorHAnsi" w:cs="Calibri"/>
          <w:b/>
        </w:rPr>
      </w:pPr>
    </w:p>
    <w:p w14:paraId="6C6CA691" w14:textId="77777777" w:rsidR="00754780" w:rsidRPr="005E4BEA" w:rsidRDefault="00754780" w:rsidP="00754780">
      <w:pPr>
        <w:jc w:val="both"/>
        <w:rPr>
          <w:rFonts w:eastAsiaTheme="minorHAnsi" w:cs="Calibri"/>
        </w:rPr>
      </w:pPr>
      <w:r w:rsidRPr="005E4BEA">
        <w:rPr>
          <w:rFonts w:eastAsiaTheme="minorHAnsi" w:cs="Calibri"/>
          <w:b/>
        </w:rPr>
        <w:t>Sedanji 60. do 64. člen postanejo novi 59. do 63. člen.</w:t>
      </w:r>
    </w:p>
    <w:p w14:paraId="1F3F04E9" w14:textId="77777777" w:rsidR="00754780" w:rsidRPr="005E4BEA" w:rsidRDefault="00754780" w:rsidP="00754780">
      <w:pPr>
        <w:jc w:val="both"/>
        <w:rPr>
          <w:rFonts w:eastAsiaTheme="minorHAnsi" w:cs="Calibri"/>
          <w:b/>
        </w:rPr>
      </w:pPr>
    </w:p>
    <w:p w14:paraId="4FAC186A" w14:textId="77777777" w:rsidR="00754780" w:rsidRPr="005E4BEA" w:rsidRDefault="00754780" w:rsidP="00754780">
      <w:pPr>
        <w:jc w:val="both"/>
        <w:rPr>
          <w:rFonts w:eastAsiaTheme="minorHAnsi" w:cs="Arial"/>
          <w:b/>
          <w:bCs/>
        </w:rPr>
      </w:pPr>
      <w:r w:rsidRPr="005E4BEA">
        <w:rPr>
          <w:rFonts w:eastAsiaTheme="minorHAnsi" w:cs="Arial"/>
          <w:b/>
          <w:bCs/>
        </w:rPr>
        <w:t>V 3. členu se v prvem odstavku črtata točki 1.8 in 5.2.</w:t>
      </w:r>
    </w:p>
    <w:p w14:paraId="18317613" w14:textId="77777777" w:rsidR="00754780" w:rsidRPr="005E4BEA" w:rsidRDefault="00754780" w:rsidP="00754780">
      <w:pPr>
        <w:jc w:val="both"/>
        <w:rPr>
          <w:rFonts w:eastAsiaTheme="minorHAnsi" w:cs="Arial"/>
          <w:b/>
          <w:bCs/>
          <w:i/>
          <w:iCs/>
        </w:rPr>
      </w:pPr>
    </w:p>
    <w:p w14:paraId="3C8B6908" w14:textId="77777777" w:rsidR="00754780" w:rsidRPr="005E4BEA" w:rsidRDefault="00754780" w:rsidP="00754780">
      <w:pPr>
        <w:spacing w:after="160" w:line="259" w:lineRule="auto"/>
        <w:jc w:val="both"/>
        <w:rPr>
          <w:rFonts w:eastAsiaTheme="minorHAnsi" w:cs="Arial"/>
          <w:b/>
          <w:bCs/>
        </w:rPr>
      </w:pPr>
      <w:r w:rsidRPr="005E4BEA">
        <w:rPr>
          <w:rFonts w:eastAsiaTheme="minorHAnsi" w:cs="Arial"/>
          <w:b/>
          <w:bCs/>
        </w:rPr>
        <w:t>Sedanje točke 5.3 do 5.5 postanejo nove točke 5.2 do 5.4.</w:t>
      </w:r>
    </w:p>
    <w:p w14:paraId="4B491F3D" w14:textId="77777777" w:rsidR="00754780" w:rsidRPr="005E4BEA" w:rsidRDefault="00754780" w:rsidP="00754780">
      <w:pPr>
        <w:spacing w:after="160" w:line="259" w:lineRule="auto"/>
        <w:jc w:val="both"/>
        <w:rPr>
          <w:rFonts w:eastAsiaTheme="minorHAnsi" w:cs="Arial"/>
          <w:b/>
          <w:bCs/>
        </w:rPr>
      </w:pPr>
    </w:p>
    <w:p w14:paraId="4F403E00" w14:textId="77777777" w:rsidR="00754780" w:rsidRPr="005E4BEA" w:rsidRDefault="00754780" w:rsidP="00754780">
      <w:pPr>
        <w:jc w:val="both"/>
        <w:rPr>
          <w:rFonts w:eastAsiaTheme="minorHAnsi" w:cs="Arial"/>
          <w:b/>
          <w:bCs/>
          <w:i/>
          <w:iCs/>
        </w:rPr>
      </w:pPr>
      <w:r w:rsidRPr="005E4BEA">
        <w:rPr>
          <w:rFonts w:eastAsiaTheme="minorHAnsi" w:cs="Arial"/>
          <w:b/>
          <w:bCs/>
          <w:i/>
          <w:iCs/>
        </w:rPr>
        <w:t>V Prilogi III se v drugem odstavku v 1. točki črta alineja, ki se glasi:</w:t>
      </w:r>
    </w:p>
    <w:p w14:paraId="6E9773D8" w14:textId="77777777" w:rsidR="00754780" w:rsidRPr="005E4BEA" w:rsidRDefault="00754780" w:rsidP="00754780">
      <w:pPr>
        <w:spacing w:after="160" w:line="259" w:lineRule="auto"/>
        <w:jc w:val="both"/>
        <w:rPr>
          <w:rFonts w:eastAsiaTheme="minorHAnsi" w:cs="Arial"/>
        </w:rPr>
      </w:pPr>
      <w:r w:rsidRPr="005E4BEA">
        <w:rPr>
          <w:rFonts w:eastAsiaTheme="minorHAnsi" w:cs="Arial"/>
        </w:rPr>
        <w:t xml:space="preserve">»‒ </w:t>
      </w:r>
      <w:r w:rsidRPr="005E4BEA">
        <w:rPr>
          <w:rFonts w:eastAsiaTheme="minorHAnsi" w:cs="Arial"/>
        </w:rPr>
        <w:tab/>
        <w:t>centri za duševno zdravje otrok in mladostnikov – prvi pregled (512 057; storitve CDZOMPP021,CDZOMPP022, CDZOMPP023, CDZOMPP030, CDZOMPP031, CDZOMPP032, CDZOMKP020, CDZOMKP037) »</w:t>
      </w:r>
    </w:p>
    <w:p w14:paraId="43440A3F" w14:textId="77777777" w:rsidR="00754780" w:rsidRPr="005E4BEA" w:rsidRDefault="00754780" w:rsidP="00754780">
      <w:pPr>
        <w:jc w:val="both"/>
        <w:rPr>
          <w:rFonts w:eastAsiaTheme="minorHAnsi" w:cs="Arial"/>
          <w:b/>
          <w:bCs/>
          <w:i/>
          <w:iCs/>
        </w:rPr>
      </w:pPr>
      <w:r w:rsidRPr="005E4BEA">
        <w:rPr>
          <w:rFonts w:eastAsiaTheme="minorHAnsi" w:cs="Arial"/>
          <w:b/>
          <w:bCs/>
          <w:i/>
          <w:iCs/>
        </w:rPr>
        <w:t>V Prilogi III v drugem odstavku in prvem odstavku se v 3. točki črtata alineji, ki se glasita:</w:t>
      </w:r>
    </w:p>
    <w:p w14:paraId="2449F891" w14:textId="77777777" w:rsidR="00754780" w:rsidRPr="005E4BEA" w:rsidRDefault="00754780" w:rsidP="00754780">
      <w:pPr>
        <w:spacing w:after="160" w:line="259" w:lineRule="auto"/>
        <w:jc w:val="both"/>
        <w:rPr>
          <w:rFonts w:eastAsiaTheme="minorHAnsi" w:cs="Arial"/>
        </w:rPr>
      </w:pPr>
      <w:r w:rsidRPr="005E4BEA">
        <w:rPr>
          <w:rFonts w:eastAsiaTheme="minorHAnsi" w:cs="Arial"/>
        </w:rPr>
        <w:t xml:space="preserve">»‒ </w:t>
      </w:r>
      <w:r w:rsidRPr="005E4BEA">
        <w:rPr>
          <w:rFonts w:eastAsiaTheme="minorHAnsi" w:cs="Arial"/>
        </w:rPr>
        <w:tab/>
      </w:r>
      <w:proofErr w:type="spellStart"/>
      <w:r w:rsidRPr="005E4BEA">
        <w:rPr>
          <w:rFonts w:eastAsiaTheme="minorHAnsi" w:cs="Arial"/>
        </w:rPr>
        <w:t>pedopsihiatrija</w:t>
      </w:r>
      <w:proofErr w:type="spellEnd"/>
      <w:r w:rsidRPr="005E4BEA">
        <w:rPr>
          <w:rFonts w:eastAsiaTheme="minorHAnsi" w:cs="Arial"/>
        </w:rPr>
        <w:t xml:space="preserve"> – prvi pregled (224 242; storitve 11009, 11010, 11011, 11013, 11014 in 11015) </w:t>
      </w:r>
    </w:p>
    <w:p w14:paraId="44D198CF" w14:textId="77777777" w:rsidR="00754780" w:rsidRPr="005E4BEA" w:rsidRDefault="00754780" w:rsidP="00754780">
      <w:pPr>
        <w:spacing w:after="160" w:line="259" w:lineRule="auto"/>
        <w:jc w:val="both"/>
        <w:rPr>
          <w:rFonts w:eastAsiaTheme="minorHAnsi" w:cs="Arial"/>
        </w:rPr>
      </w:pPr>
      <w:r w:rsidRPr="005E4BEA">
        <w:rPr>
          <w:rFonts w:eastAsiaTheme="minorHAnsi" w:cs="Arial"/>
        </w:rPr>
        <w:t xml:space="preserve">‒ </w:t>
      </w:r>
      <w:r w:rsidRPr="005E4BEA">
        <w:rPr>
          <w:rFonts w:eastAsiaTheme="minorHAnsi" w:cs="Arial"/>
        </w:rPr>
        <w:tab/>
        <w:t>klinična psihologija – prvi pregled (549 033; storitev KP0001)«.</w:t>
      </w:r>
    </w:p>
    <w:bookmarkEnd w:id="109"/>
    <w:p w14:paraId="2B0220E8" w14:textId="0EEA3EE4" w:rsidR="00EC58C0" w:rsidRDefault="00EC58C0" w:rsidP="00EC58C0">
      <w:pPr>
        <w:spacing w:line="0" w:lineRule="atLeast"/>
        <w:jc w:val="both"/>
        <w:rPr>
          <w:rFonts w:cs="Arial"/>
          <w:i/>
          <w:iCs/>
          <w:color w:val="808080" w:themeColor="background1" w:themeShade="80"/>
          <w:szCs w:val="20"/>
        </w:rPr>
      </w:pPr>
    </w:p>
    <w:p w14:paraId="632C7900" w14:textId="77777777" w:rsidR="00E82B4D" w:rsidRPr="005E4BEA" w:rsidRDefault="00E82B4D" w:rsidP="00EC58C0">
      <w:pPr>
        <w:spacing w:line="0" w:lineRule="atLeast"/>
        <w:jc w:val="both"/>
        <w:rPr>
          <w:rFonts w:cs="Arial"/>
          <w:i/>
          <w:iCs/>
          <w:color w:val="808080" w:themeColor="background1" w:themeShade="80"/>
          <w:szCs w:val="20"/>
        </w:rPr>
      </w:pPr>
    </w:p>
    <w:p w14:paraId="7B45E75C" w14:textId="217C18DE" w:rsidR="007B77E2" w:rsidRPr="005E4BEA" w:rsidRDefault="007B77E2"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(7</w:t>
      </w:r>
      <w:r w:rsidR="009952E6" w:rsidRPr="005E4BEA">
        <w:rPr>
          <w:rFonts w:ascii="Arial" w:eastAsia="Arial Narrow" w:hAnsi="Arial" w:cs="Arial"/>
          <w:sz w:val="20"/>
        </w:rPr>
        <w:t>2)</w:t>
      </w:r>
    </w:p>
    <w:p w14:paraId="0CF5BE6E" w14:textId="77777777" w:rsidR="00EC58C0" w:rsidRPr="005E4BEA" w:rsidRDefault="00EC58C0" w:rsidP="00EC58C0">
      <w:pPr>
        <w:spacing w:line="0" w:lineRule="atLeast"/>
        <w:contextualSpacing/>
        <w:jc w:val="both"/>
        <w:rPr>
          <w:rFonts w:eastAsia="Arial Narrow" w:cs="Arial"/>
          <w:b/>
          <w:szCs w:val="20"/>
        </w:rPr>
      </w:pPr>
    </w:p>
    <w:p w14:paraId="6D833181" w14:textId="5C824A01" w:rsidR="00FE461F" w:rsidRPr="005E4BEA" w:rsidRDefault="00EC58C0" w:rsidP="009952E6">
      <w:pPr>
        <w:spacing w:line="240" w:lineRule="auto"/>
        <w:jc w:val="both"/>
        <w:rPr>
          <w:rFonts w:cs="Arial"/>
          <w:bCs/>
          <w:szCs w:val="20"/>
        </w:rPr>
      </w:pPr>
      <w:r w:rsidRPr="005E4BEA">
        <w:rPr>
          <w:rFonts w:eastAsia="Arial Narrow" w:cs="Arial"/>
          <w:b/>
          <w:szCs w:val="20"/>
        </w:rPr>
        <w:t>Združenje zdravstvenih zavodov Slovenije predlaga</w:t>
      </w:r>
      <w:r w:rsidRPr="005E4BEA">
        <w:rPr>
          <w:rFonts w:eastAsia="Arial Narrow" w:cs="Arial"/>
          <w:bCs/>
          <w:szCs w:val="20"/>
        </w:rPr>
        <w:t xml:space="preserve">, da se </w:t>
      </w:r>
      <w:r w:rsidR="009952E6" w:rsidRPr="005E4BEA">
        <w:rPr>
          <w:rFonts w:eastAsia="Arial Narrow" w:cs="Arial"/>
          <w:bCs/>
          <w:szCs w:val="20"/>
        </w:rPr>
        <w:t xml:space="preserve">v </w:t>
      </w:r>
      <w:r w:rsidR="00FE461F" w:rsidRPr="005E4BEA">
        <w:rPr>
          <w:rFonts w:cs="Arial"/>
          <w:bCs/>
          <w:szCs w:val="20"/>
        </w:rPr>
        <w:t>35. člen</w:t>
      </w:r>
      <w:r w:rsidR="009952E6" w:rsidRPr="005E4BEA">
        <w:rPr>
          <w:rFonts w:cs="Arial"/>
          <w:bCs/>
          <w:szCs w:val="20"/>
        </w:rPr>
        <w:t xml:space="preserve">u </w:t>
      </w:r>
      <w:r w:rsidR="00FE461F" w:rsidRPr="005E4BEA">
        <w:rPr>
          <w:rFonts w:cs="Arial"/>
          <w:bCs/>
          <w:szCs w:val="20"/>
        </w:rPr>
        <w:t>doda nov odstavek</w:t>
      </w:r>
      <w:r w:rsidR="009952E6" w:rsidRPr="005E4BEA">
        <w:rPr>
          <w:rFonts w:cs="Arial"/>
          <w:bCs/>
          <w:szCs w:val="20"/>
        </w:rPr>
        <w:t>:</w:t>
      </w:r>
    </w:p>
    <w:p w14:paraId="0D5DF2EA" w14:textId="77777777" w:rsidR="009952E6" w:rsidRPr="005E4BEA" w:rsidRDefault="009952E6" w:rsidP="009952E6">
      <w:pPr>
        <w:spacing w:line="240" w:lineRule="auto"/>
        <w:jc w:val="both"/>
        <w:rPr>
          <w:rFonts w:cs="Arial"/>
          <w:bCs/>
          <w:szCs w:val="20"/>
        </w:rPr>
      </w:pPr>
    </w:p>
    <w:p w14:paraId="5D0F1D0B" w14:textId="77777777" w:rsidR="00FE461F" w:rsidRPr="005E4BEA" w:rsidRDefault="00FE461F" w:rsidP="009952E6">
      <w:pPr>
        <w:spacing w:line="240" w:lineRule="auto"/>
        <w:jc w:val="both"/>
        <w:rPr>
          <w:rFonts w:cs="Arial"/>
          <w:bCs/>
          <w:iCs/>
          <w:szCs w:val="20"/>
        </w:rPr>
      </w:pPr>
      <w:r w:rsidRPr="005E4BEA">
        <w:rPr>
          <w:rFonts w:cs="Arial"/>
          <w:bCs/>
          <w:iCs/>
          <w:szCs w:val="20"/>
        </w:rPr>
        <w:t xml:space="preserve">V primeru, ko je pacient hospitaliziran, lahko njegov </w:t>
      </w:r>
      <w:proofErr w:type="spellStart"/>
      <w:r w:rsidRPr="005E4BEA">
        <w:rPr>
          <w:rFonts w:cs="Arial"/>
          <w:bCs/>
          <w:iCs/>
          <w:szCs w:val="20"/>
        </w:rPr>
        <w:t>lečeči</w:t>
      </w:r>
      <w:proofErr w:type="spellEnd"/>
      <w:r w:rsidRPr="005E4BEA">
        <w:rPr>
          <w:rFonts w:cs="Arial"/>
          <w:bCs/>
          <w:iCs/>
          <w:szCs w:val="20"/>
        </w:rPr>
        <w:t xml:space="preserve"> zdravnik na hospitalu zanj izda potreben nalog za reševalni prevoz v breme zdravstvenega zavarovanja, tudi za predhodno načrtovano storitev, ki ni povezana s hospitalizacijo pacienta.</w:t>
      </w:r>
    </w:p>
    <w:p w14:paraId="27DA2084" w14:textId="77777777" w:rsidR="00FE461F" w:rsidRPr="005E4BEA" w:rsidRDefault="00FE461F" w:rsidP="00FE461F">
      <w:pPr>
        <w:spacing w:line="240" w:lineRule="auto"/>
        <w:jc w:val="both"/>
        <w:rPr>
          <w:rFonts w:cs="Arial"/>
          <w:iCs/>
          <w:szCs w:val="20"/>
        </w:rPr>
      </w:pPr>
    </w:p>
    <w:p w14:paraId="761E228B"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D203058" w14:textId="118BB6B1"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Predlagana sprememba bi ovrgla dosedanjo nepotrebno administrativno zapletanje in pravila ZZZS, ki trenutno tega ne dopuščajo. Po veljavnih pravilih mora </w:t>
      </w:r>
      <w:proofErr w:type="spellStart"/>
      <w:r w:rsidRPr="005E4BEA">
        <w:rPr>
          <w:rFonts w:cs="Arial"/>
          <w:i/>
          <w:iCs/>
          <w:color w:val="808080" w:themeColor="background1" w:themeShade="80"/>
          <w:szCs w:val="20"/>
        </w:rPr>
        <w:t>lečeči</w:t>
      </w:r>
      <w:proofErr w:type="spellEnd"/>
      <w:r w:rsidRPr="005E4BEA">
        <w:rPr>
          <w:rFonts w:cs="Arial"/>
          <w:i/>
          <w:iCs/>
          <w:color w:val="808080" w:themeColor="background1" w:themeShade="80"/>
          <w:szCs w:val="20"/>
        </w:rPr>
        <w:t xml:space="preserve"> hospitalni zdravnik v primeru, če ima hospitaliziran pacient vnaprej načrtovano zdravstveno storitev, ki vsebinsko ni povezana z njegovo hospitalizacijo in katere termin slučajno sovpada s hospitalizacijo, le kontaktirati osebnega zdravnika pacienta, da mu nato ta izda nalog za prevoz na to naročeno storitev. V kolikor nalog izda hospitalni zdravnik, stroški prevoza bremenijo izvajalca - bolnišnico kot naročnika storitve.</w:t>
      </w:r>
    </w:p>
    <w:p w14:paraId="37EC639E" w14:textId="77777777" w:rsidR="009952E6" w:rsidRPr="005E4BEA" w:rsidRDefault="009952E6" w:rsidP="00FE461F">
      <w:pPr>
        <w:spacing w:line="240" w:lineRule="auto"/>
        <w:jc w:val="both"/>
        <w:rPr>
          <w:rFonts w:cs="Arial"/>
          <w:i/>
          <w:iCs/>
          <w:color w:val="808080" w:themeColor="background1" w:themeShade="80"/>
          <w:szCs w:val="20"/>
        </w:rPr>
      </w:pPr>
    </w:p>
    <w:p w14:paraId="3F65B9BA" w14:textId="358ABE87" w:rsidR="009952E6" w:rsidRPr="005E4BEA" w:rsidRDefault="009952E6" w:rsidP="009952E6">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C92EB6A" w14:textId="77777777" w:rsidR="009952E6" w:rsidRPr="005E4BEA" w:rsidRDefault="009952E6" w:rsidP="009952E6">
      <w:pPr>
        <w:spacing w:line="0" w:lineRule="atLeast"/>
        <w:jc w:val="both"/>
        <w:rPr>
          <w:rFonts w:eastAsia="Arial Narrow" w:cs="Arial"/>
          <w:szCs w:val="20"/>
          <w:lang w:eastAsia="sl-SI"/>
        </w:rPr>
      </w:pPr>
    </w:p>
    <w:p w14:paraId="56EB97EE" w14:textId="15FF2304" w:rsidR="00FE461F" w:rsidRPr="005E4BEA" w:rsidRDefault="009952E6" w:rsidP="009952E6">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r w:rsidRPr="005E4BEA">
        <w:rPr>
          <w:rFonts w:eastAsiaTheme="minorHAnsi" w:cs="Arial"/>
          <w:bCs/>
          <w:szCs w:val="20"/>
        </w:rPr>
        <w:t>35. člen Splošnega dogovora ne spremeni.</w:t>
      </w:r>
    </w:p>
    <w:p w14:paraId="00A48865" w14:textId="431144E9" w:rsidR="009952E6" w:rsidRPr="005E4BEA" w:rsidRDefault="009952E6" w:rsidP="009952E6">
      <w:pPr>
        <w:spacing w:line="0" w:lineRule="atLeast"/>
        <w:contextualSpacing/>
        <w:jc w:val="both"/>
        <w:rPr>
          <w:rFonts w:eastAsiaTheme="minorHAnsi" w:cs="Arial"/>
          <w:bCs/>
          <w:szCs w:val="20"/>
        </w:rPr>
      </w:pPr>
    </w:p>
    <w:p w14:paraId="371A6143" w14:textId="3210E5AA" w:rsidR="009952E6" w:rsidRPr="005E4BEA" w:rsidRDefault="009952E6"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(73)</w:t>
      </w:r>
    </w:p>
    <w:p w14:paraId="088D7DA9" w14:textId="77777777" w:rsidR="009952E6" w:rsidRPr="005E4BEA" w:rsidRDefault="009952E6" w:rsidP="009952E6">
      <w:pPr>
        <w:spacing w:line="0" w:lineRule="atLeast"/>
        <w:contextualSpacing/>
        <w:jc w:val="both"/>
        <w:rPr>
          <w:rFonts w:cs="Arial"/>
          <w:i/>
          <w:iCs/>
          <w:color w:val="808080" w:themeColor="background1" w:themeShade="80"/>
          <w:szCs w:val="20"/>
        </w:rPr>
      </w:pPr>
    </w:p>
    <w:p w14:paraId="520D6DA0" w14:textId="77777777" w:rsidR="009952E6" w:rsidRPr="005E4BEA" w:rsidRDefault="009952E6" w:rsidP="00FE461F">
      <w:pPr>
        <w:spacing w:line="240" w:lineRule="auto"/>
        <w:jc w:val="both"/>
        <w:rPr>
          <w:rFonts w:eastAsia="Arial Narrow" w:cs="Arial"/>
          <w:bCs/>
          <w:szCs w:val="20"/>
        </w:rPr>
      </w:pPr>
      <w:r w:rsidRPr="005E4BEA">
        <w:rPr>
          <w:rFonts w:eastAsia="Arial Narrow" w:cs="Arial"/>
          <w:b/>
          <w:szCs w:val="20"/>
        </w:rPr>
        <w:t xml:space="preserve">Zdravniška zbornica Slovenije predlaga, </w:t>
      </w:r>
      <w:r w:rsidRPr="005E4BEA">
        <w:rPr>
          <w:rFonts w:eastAsia="Arial Narrow" w:cs="Arial"/>
          <w:bCs/>
          <w:szCs w:val="20"/>
        </w:rPr>
        <w:t>da se p</w:t>
      </w:r>
      <w:r w:rsidR="00FE461F" w:rsidRPr="005E4BEA">
        <w:rPr>
          <w:rFonts w:eastAsia="Arial Narrow" w:cs="Arial"/>
          <w:bCs/>
          <w:szCs w:val="20"/>
        </w:rPr>
        <w:t>rvi stavek v 7. točki 35. člena se črta.  </w:t>
      </w:r>
    </w:p>
    <w:p w14:paraId="17FF105F" w14:textId="77777777" w:rsidR="009952E6" w:rsidRPr="005E4BEA" w:rsidRDefault="009952E6" w:rsidP="00FE461F">
      <w:pPr>
        <w:spacing w:line="240" w:lineRule="auto"/>
        <w:jc w:val="both"/>
        <w:rPr>
          <w:rFonts w:eastAsia="Arial Narrow" w:cs="Arial"/>
          <w:bCs/>
          <w:szCs w:val="20"/>
        </w:rPr>
      </w:pPr>
    </w:p>
    <w:p w14:paraId="49D38C3C" w14:textId="68336D90" w:rsidR="00FE461F" w:rsidRPr="005E4BEA" w:rsidRDefault="00FE461F" w:rsidP="00FE461F">
      <w:pPr>
        <w:spacing w:line="240" w:lineRule="auto"/>
        <w:jc w:val="both"/>
        <w:rPr>
          <w:rFonts w:cs="Arial"/>
          <w:bCs/>
          <w:szCs w:val="20"/>
        </w:rPr>
      </w:pPr>
      <w:r w:rsidRPr="005E4BEA">
        <w:rPr>
          <w:rFonts w:eastAsia="Arial Narrow" w:cs="Arial"/>
          <w:bCs/>
          <w:szCs w:val="20"/>
        </w:rPr>
        <w:t>Stavek,</w:t>
      </w:r>
      <w:r w:rsidRPr="005E4BEA">
        <w:rPr>
          <w:rFonts w:cs="Arial"/>
          <w:bCs/>
          <w:szCs w:val="20"/>
        </w:rPr>
        <w:t xml:space="preserve"> ki se črta, se glasi: </w:t>
      </w:r>
    </w:p>
    <w:p w14:paraId="53B7A566" w14:textId="77777777" w:rsidR="00FE461F" w:rsidRPr="005E4BEA" w:rsidRDefault="00FE461F" w:rsidP="00FE461F">
      <w:pPr>
        <w:spacing w:line="240" w:lineRule="auto"/>
        <w:jc w:val="both"/>
        <w:rPr>
          <w:rFonts w:cs="Arial"/>
          <w:iCs/>
          <w:szCs w:val="20"/>
        </w:rPr>
      </w:pPr>
      <w:r w:rsidRPr="005E4BEA">
        <w:rPr>
          <w:rFonts w:cs="Arial"/>
          <w:iCs/>
          <w:szCs w:val="20"/>
        </w:rPr>
        <w:t>»Če zavarovana oseba uveljavlja storitve v samoplačniški ambulanti, mora s tem soglašati in podpisati izjavo, da ne bo od Zavoda zahtevala povračila stroškov.«</w:t>
      </w:r>
    </w:p>
    <w:p w14:paraId="47511E75" w14:textId="77777777" w:rsidR="00FE461F" w:rsidRPr="005E4BEA" w:rsidRDefault="00FE461F" w:rsidP="00FE461F">
      <w:pPr>
        <w:spacing w:before="100" w:beforeAutospacing="1" w:after="60" w:line="259" w:lineRule="auto"/>
        <w:jc w:val="both"/>
        <w:rPr>
          <w:rFonts w:eastAsiaTheme="minorHAnsi" w:cs="Arial"/>
          <w:bCs/>
          <w:i/>
          <w:iCs/>
          <w:color w:val="808080" w:themeColor="background1" w:themeShade="80"/>
          <w:szCs w:val="2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4BEA">
        <w:rPr>
          <w:rFonts w:eastAsiaTheme="minorHAnsi" w:cs="Arial"/>
          <w:bCs/>
          <w:i/>
          <w:iCs/>
          <w:color w:val="808080" w:themeColor="background1" w:themeShade="80"/>
          <w:szCs w:val="2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Obrazložitev:</w:t>
      </w:r>
    </w:p>
    <w:p w14:paraId="0E0A57A2" w14:textId="77777777" w:rsidR="00FE461F" w:rsidRPr="005E4BEA" w:rsidRDefault="00FE461F" w:rsidP="00FE461F">
      <w:pPr>
        <w:spacing w:before="100" w:beforeAutospacing="1" w:after="60" w:line="259" w:lineRule="auto"/>
        <w:jc w:val="both"/>
        <w:rPr>
          <w:rFonts w:eastAsiaTheme="minorHAnsi" w:cs="Arial"/>
          <w:color w:val="808080" w:themeColor="background1" w:themeShade="80"/>
          <w:szCs w:val="20"/>
          <w14:textOutline w14:w="0" w14:cap="flat" w14:cmpd="sng" w14:algn="ctr">
            <w14:noFill/>
            <w14:prstDash w14:val="solid"/>
            <w14:round/>
          </w14:textOutline>
        </w:rPr>
      </w:pPr>
      <w:r w:rsidRPr="005E4BEA">
        <w:rPr>
          <w:rFonts w:cs="Arial"/>
          <w:i/>
          <w:iCs/>
          <w:color w:val="808080" w:themeColor="background1" w:themeShade="80"/>
          <w:szCs w:val="20"/>
        </w:rPr>
        <w:t>Zdravniška zbornica Slovenije je pripravila dodatno utemeljitev glede neustreznosti prvega stavka 7. točke 35. člena</w:t>
      </w: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 Splošnega dogovora za pogodbeno leto 2021 (v nadaljevanju: SD 21). Menimo, da je ureditev uveljavljanja storitev v samoplačniški ambulanti, ki jo opredeljuje sporen stavek, neskladna s pravili Zakona o zdravstvenem varstvu in zdravstvenem zavarovanju (v nadaljevanju ZZVZZ), poleg tega pa je sporna z vidika varstva osebnih podatkov in je tako neskladna z GDPR ter Ustavo RS. Določba je prav tako nepotrebna, saj enako določajo že Pravila obveznega zdravstvenega zavarovanja (v nadaljevanju: Pravila OZZ), opozarjamo pa še na to, da izvajalci zdravstvenih dejavnosti niso dožni varovati interesov Zavoda za zdravstveno zavarovanje (v nadaljevanju: Zavod). </w:t>
      </w:r>
    </w:p>
    <w:p w14:paraId="3DD08F42" w14:textId="77777777" w:rsidR="00FE461F" w:rsidRPr="005E4BEA" w:rsidRDefault="00FE461F" w:rsidP="00FE461F">
      <w:pPr>
        <w:spacing w:line="240" w:lineRule="auto"/>
        <w:rPr>
          <w:rFonts w:eastAsiaTheme="minorHAnsi" w:cs="Arial"/>
          <w:i/>
          <w:iCs/>
          <w:color w:val="808080" w:themeColor="background1" w:themeShade="80"/>
          <w:szCs w:val="20"/>
          <w14:textOutline w14:w="0" w14:cap="flat" w14:cmpd="sng" w14:algn="ctr">
            <w14:noFill/>
            <w14:prstDash w14:val="solid"/>
            <w14:round/>
          </w14:textOutline>
        </w:rPr>
      </w:pPr>
    </w:p>
    <w:p w14:paraId="0514B3AB" w14:textId="77777777" w:rsidR="00FE461F" w:rsidRPr="005E4BEA" w:rsidRDefault="00FE461F" w:rsidP="00FE461F">
      <w:pPr>
        <w:spacing w:line="240" w:lineRule="auto"/>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Sporen stavek se glasi: </w:t>
      </w:r>
    </w:p>
    <w:p w14:paraId="063D4EB0" w14:textId="77777777" w:rsidR="00FE461F" w:rsidRPr="005E4BEA" w:rsidRDefault="00FE461F" w:rsidP="00FE461F">
      <w:pPr>
        <w:spacing w:line="240" w:lineRule="auto"/>
        <w:jc w:val="both"/>
        <w:rPr>
          <w:rFonts w:eastAsiaTheme="minorHAnsi" w:cs="Arial"/>
          <w:i/>
          <w:iCs/>
          <w:color w:val="808080" w:themeColor="background1" w:themeShade="80"/>
          <w:szCs w:val="20"/>
          <w14:textOutline w14:w="0" w14:cap="flat" w14:cmpd="sng" w14:algn="ctr">
            <w14:noFill/>
            <w14:prstDash w14:val="solid"/>
            <w14:round/>
          </w14:textOutline>
        </w:rPr>
      </w:pPr>
    </w:p>
    <w:p w14:paraId="790065D0" w14:textId="77777777" w:rsidR="00FE461F" w:rsidRPr="005E4BEA" w:rsidRDefault="00FE461F" w:rsidP="00FE461F">
      <w:pPr>
        <w:spacing w:line="240" w:lineRule="auto"/>
        <w:jc w:val="both"/>
        <w:rPr>
          <w:rFonts w:eastAsiaTheme="minorHAnsi" w:cs="Arial"/>
          <w:bCs/>
          <w:i/>
          <w:iCs/>
          <w:color w:val="808080" w:themeColor="background1" w:themeShade="80"/>
          <w:szCs w:val="20"/>
          <w14:textOutline w14:w="0" w14:cap="flat" w14:cmpd="sng" w14:algn="ctr">
            <w14:noFill/>
            <w14:prstDash w14:val="solid"/>
            <w14:round/>
          </w14:textOutline>
        </w:rPr>
      </w:pPr>
      <w:r w:rsidRPr="005E4BEA">
        <w:rPr>
          <w:rFonts w:eastAsiaTheme="minorHAnsi" w:cs="Arial"/>
          <w:bCs/>
          <w:i/>
          <w:iCs/>
          <w:color w:val="808080" w:themeColor="background1" w:themeShade="80"/>
          <w:szCs w:val="20"/>
          <w14:textOutline w14:w="0" w14:cap="flat" w14:cmpd="sng" w14:algn="ctr">
            <w14:noFill/>
            <w14:prstDash w14:val="solid"/>
            <w14:round/>
          </w14:textOutline>
        </w:rPr>
        <w:t>»Če zavarovana oseba uveljavlja storitve v samoplačniški ambulanti, mora s tem soglašati in podpisati izjavo, da ne bo od Zavoda zahtevala povračila stroškov.«</w:t>
      </w:r>
    </w:p>
    <w:p w14:paraId="1F4EDF64" w14:textId="77777777" w:rsidR="00FE461F" w:rsidRPr="005E4BEA" w:rsidRDefault="00FE461F" w:rsidP="00FE461F">
      <w:pPr>
        <w:spacing w:line="240" w:lineRule="auto"/>
        <w:jc w:val="both"/>
        <w:rPr>
          <w:rFonts w:eastAsiaTheme="minorHAnsi" w:cs="Arial"/>
          <w:bCs/>
          <w:i/>
          <w:iCs/>
          <w:color w:val="808080" w:themeColor="background1" w:themeShade="80"/>
          <w:szCs w:val="20"/>
          <w14:textOutline w14:w="0" w14:cap="flat" w14:cmpd="sng" w14:algn="ctr">
            <w14:noFill/>
            <w14:prstDash w14:val="solid"/>
            <w14:round/>
          </w14:textOutline>
        </w:rPr>
      </w:pPr>
    </w:p>
    <w:p w14:paraId="2FDCB880" w14:textId="77777777" w:rsidR="00FE461F" w:rsidRPr="005E4BEA" w:rsidRDefault="00FE461F" w:rsidP="00FE461F">
      <w:pPr>
        <w:spacing w:line="240" w:lineRule="auto"/>
        <w:jc w:val="both"/>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Po naši oceni je zgornji stavek nepotreben oziroma celo neustrezen del obstoječega SD 21, kar pojasnjujemo v nadaljevanju.  </w:t>
      </w:r>
    </w:p>
    <w:p w14:paraId="419ED0AE" w14:textId="77777777" w:rsidR="00FE461F" w:rsidRPr="005E4BEA" w:rsidRDefault="00FE461F" w:rsidP="00FE461F">
      <w:pPr>
        <w:spacing w:line="240" w:lineRule="auto"/>
        <w:jc w:val="both"/>
        <w:rPr>
          <w:rFonts w:eastAsiaTheme="minorHAnsi" w:cs="Arial"/>
          <w:i/>
          <w:iCs/>
          <w:color w:val="808080" w:themeColor="background1" w:themeShade="80"/>
          <w:szCs w:val="20"/>
          <w14:textOutline w14:w="0" w14:cap="flat" w14:cmpd="sng" w14:algn="ctr">
            <w14:noFill/>
            <w14:prstDash w14:val="solid"/>
            <w14:round/>
          </w14:textOutline>
        </w:rPr>
      </w:pPr>
    </w:p>
    <w:p w14:paraId="04B8764F" w14:textId="77777777" w:rsidR="00FE461F" w:rsidRPr="005E4BEA" w:rsidRDefault="00FE461F" w:rsidP="00FE461F">
      <w:pPr>
        <w:spacing w:line="240" w:lineRule="auto"/>
        <w:jc w:val="both"/>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Pravno podlago za splošne dogovore predstavlja 63. člen ZZVZZ. Omenjen člen določa, da se z njimi relevantni akterji dogovorijo o programu storitev obveznega zdravstvenega zavarovanja, opredelijo zmogljivosti, potrebne za njegovo izvajanje in določijo obseg sredstev. Na tej osnovi določijo izhodišča za izvajanje programov in za oblikovanje cen programov oziroma storitev ter druge podlage za sklepanje pogodb z zdravstvenimi zavodi, drugimi zavodi in organizacijami, ki opravljajo zdravstveno dejavnost ter zasebnimi zdravstvenimi delavci.</w:t>
      </w:r>
    </w:p>
    <w:p w14:paraId="339F7909" w14:textId="77777777" w:rsidR="00FE461F" w:rsidRPr="005E4BEA" w:rsidRDefault="00FE461F" w:rsidP="00F356C9">
      <w:pPr>
        <w:numPr>
          <w:ilvl w:val="0"/>
          <w:numId w:val="35"/>
        </w:numPr>
        <w:shd w:val="clear" w:color="auto" w:fill="FFFFFF"/>
        <w:spacing w:before="150" w:after="150" w:line="336" w:lineRule="atLeast"/>
        <w:ind w:left="0" w:firstLine="0"/>
        <w:jc w:val="both"/>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lastRenderedPageBreak/>
        <w:t xml:space="preserve">Prvi stavek 7. točke 35. člena SD 2021 se nanaša na storitve, ki jih opravlja izvajalec v sklopu samoplačniške ambulante. Ker ne gre za storitve, ki bi se izvajale v sklopu izvajalčeve pogodbe z Zavodom in se z njimi ne bremeni javnih sredstev, je po naši oceni neustrezno, da splošni dogovor vsebuje določbe o uveljavljanju samoplačniških storitev, saj je to stvar razmerja med zasebnikom in njegovimi uporabniki. ZZVZZ poleg tega, kot že omenjeno, določa, da se v splošnem dogovoru partnerji dogovorijo o programu storitev obveznega zdravstvenega zavarovanja, opredelijo zmogljivosti, potrebne za njegovo izvajanje in določijo obseg sredstev. Samoplačniške storitve in njihovo uveljavljanje ne spadajo pod nobeno od navedenih zadev, ki so skladno s 63. členom predmet splošnega dogovora.  </w:t>
      </w:r>
    </w:p>
    <w:p w14:paraId="07F31AED" w14:textId="77777777" w:rsidR="00FE461F" w:rsidRPr="005E4BEA" w:rsidRDefault="00FE461F" w:rsidP="00F356C9">
      <w:pPr>
        <w:numPr>
          <w:ilvl w:val="0"/>
          <w:numId w:val="35"/>
        </w:numPr>
        <w:shd w:val="clear" w:color="auto" w:fill="FFFFFF"/>
        <w:spacing w:before="150" w:after="150" w:line="336" w:lineRule="atLeast"/>
        <w:ind w:left="0" w:firstLine="0"/>
        <w:jc w:val="both"/>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Nadalje je stavek sporen tudi zato, ker ureja obveznosti zavarovanih oseb,  ZZVZZ in drugi zakoni pa ne dajejo podlage, da bi lahko to določal splošni dogovor. Le-ta naj bi namreč urejal  razmerje med Zavodom in izvajalci zdravstvenih dejavnosti, ki delujejo v javni mreži in nudil podlago za pogodbe, ki jih sklepajo omenjeni akterji, zato je po naši oceni neustrezno, da akt, katerega namen je letna opredelitev javnih sredstev za zdravstvo, vsebuje tudi določila o obveznostih tretjih oseb. Slednje še toliko bolj velja, ker se obveznosti, ki jih določa sporni stavek, nanašajo na uporabo storitev, ki se ne zagotavljajo v okviru obveznega zdravstvenega zavarovanja in torej ne bremenijo Zavoda. </w:t>
      </w:r>
    </w:p>
    <w:p w14:paraId="145CA29C" w14:textId="77777777" w:rsidR="00FE461F" w:rsidRPr="005E4BEA" w:rsidRDefault="00FE461F" w:rsidP="00FE461F">
      <w:pPr>
        <w:spacing w:after="160" w:line="259" w:lineRule="auto"/>
        <w:jc w:val="both"/>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To, da samoplačniških storitev ni mogoče dobiti povrnjenih od Zavoda, poleg tega izhaja že iz Pravil OZZ. 254. člen Pravil OZZ namreč določa, da zavarovana oseba nima pravice do povračila stroškov, če so bile zdravstvene storitve opravljene v samoplačniški ambulanti. Iz tega razloga je popolnoma nepotrebno, da bi to določal tudi splošni dogovor, saj takšno podvajanje normativnih ureditev vodi zgolj do nedoločnosti predmeta urejanja. </w:t>
      </w:r>
    </w:p>
    <w:p w14:paraId="40D6EA1A" w14:textId="77777777" w:rsidR="00FE461F" w:rsidRPr="005E4BEA" w:rsidRDefault="00FE461F" w:rsidP="00FE461F">
      <w:pPr>
        <w:shd w:val="clear" w:color="auto" w:fill="FFFFFF"/>
        <w:spacing w:line="240" w:lineRule="auto"/>
        <w:jc w:val="both"/>
        <w:textAlignment w:val="baseline"/>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Poudarjamo še, da v zakonodaji ni podlage za to, da bi se lahko od izvajalcev zdravstvene dejavnosti zahtevalo, da pazijo na interese Zavoda in v sklopu samoplačniške ambulante nalagajo dodatne zahteve svojim pacientom. Izvajalci zdravstveni dejavnosti namreč niso agenti Zavoda in jim ni možno nalagati dodatnih obveznosti, usmerjenih v varovanje interesov Zavoda. </w:t>
      </w:r>
    </w:p>
    <w:p w14:paraId="0FDFC077" w14:textId="77777777" w:rsidR="00FE461F" w:rsidRPr="005E4BEA" w:rsidRDefault="00FE461F" w:rsidP="00FE461F">
      <w:pPr>
        <w:shd w:val="clear" w:color="auto" w:fill="FFFFFF"/>
        <w:spacing w:line="240" w:lineRule="auto"/>
        <w:jc w:val="both"/>
        <w:textAlignment w:val="baseline"/>
        <w:rPr>
          <w:rFonts w:eastAsiaTheme="minorHAnsi" w:cs="Arial"/>
          <w:i/>
          <w:iCs/>
          <w:color w:val="808080" w:themeColor="background1" w:themeShade="80"/>
          <w:szCs w:val="20"/>
          <w14:textOutline w14:w="0" w14:cap="flat" w14:cmpd="sng" w14:algn="ctr">
            <w14:noFill/>
            <w14:prstDash w14:val="solid"/>
            <w14:round/>
          </w14:textOutline>
        </w:rPr>
      </w:pPr>
    </w:p>
    <w:p w14:paraId="15E7409E" w14:textId="77777777" w:rsidR="00FE461F" w:rsidRPr="005E4BEA" w:rsidRDefault="00FE461F" w:rsidP="00FE461F">
      <w:pPr>
        <w:shd w:val="clear" w:color="auto" w:fill="FFFFFF"/>
        <w:spacing w:line="240" w:lineRule="auto"/>
        <w:jc w:val="both"/>
        <w:textAlignment w:val="baseline"/>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Določilo v splošnem dogovoru, da mora oseba, ki uveljavlja storitve v samoplačniški ambulanti s tem soglašati in podpisati izjavo, da ne bo od Zavoda zahtevala povračila stroškov, je sporno tudi z vidika 6. člena GDPR, ki določa zakonitost obdelave podatkov ter z vidika 38. člena Ustave RS, ki določa, da  zbiranje, obdelovanje, namen uporabe, nadzor, in varstvo tajnosti osebnih podatkov določa zakon. Splošni dogovor namreč ni zakon, zato po GDPR in Ustavi ni ustrezna pravna podlaga za obdelavo osebnih podatkov (torej pridobivanje podpisanih izjav pacientov kot predpogoj za izvedbo storitev). </w:t>
      </w:r>
    </w:p>
    <w:p w14:paraId="63A6A764" w14:textId="77777777" w:rsidR="00FE461F" w:rsidRPr="005E4BEA" w:rsidRDefault="00FE461F" w:rsidP="00FE461F">
      <w:pPr>
        <w:shd w:val="clear" w:color="auto" w:fill="FFFFFF"/>
        <w:spacing w:line="240" w:lineRule="auto"/>
        <w:jc w:val="both"/>
        <w:textAlignment w:val="baseline"/>
        <w:rPr>
          <w:rFonts w:eastAsiaTheme="minorHAnsi" w:cs="Arial"/>
          <w:i/>
          <w:iCs/>
          <w:color w:val="808080" w:themeColor="background1" w:themeShade="80"/>
          <w:szCs w:val="20"/>
          <w14:textOutline w14:w="0" w14:cap="flat" w14:cmpd="sng" w14:algn="ctr">
            <w14:noFill/>
            <w14:prstDash w14:val="solid"/>
            <w14:round/>
          </w14:textOutline>
        </w:rPr>
      </w:pPr>
    </w:p>
    <w:p w14:paraId="0B7097CD" w14:textId="77777777" w:rsidR="00FE461F" w:rsidRPr="005E4BEA" w:rsidRDefault="00FE461F" w:rsidP="00FE461F">
      <w:pPr>
        <w:shd w:val="clear" w:color="auto" w:fill="FFFFFF"/>
        <w:spacing w:line="240" w:lineRule="auto"/>
        <w:jc w:val="both"/>
        <w:textAlignment w:val="baseline"/>
        <w:rPr>
          <w:rFonts w:eastAsiaTheme="minorHAnsi" w:cs="Arial"/>
          <w:i/>
          <w:iCs/>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Iz navedenih razlogov zaključujemo, da bi se moral prvi stavek 7. točke 35. člena SD 21 črtati iz obstoječega splošnega dogovora. </w:t>
      </w:r>
    </w:p>
    <w:p w14:paraId="797C393C" w14:textId="77777777" w:rsidR="00FE461F" w:rsidRPr="005E4BEA" w:rsidRDefault="00FE461F" w:rsidP="00FE461F">
      <w:pPr>
        <w:spacing w:after="160" w:line="259" w:lineRule="auto"/>
        <w:rPr>
          <w:rFonts w:eastAsiaTheme="minorHAnsi" w:cs="Arial"/>
          <w:color w:val="808080" w:themeColor="background1" w:themeShade="80"/>
          <w:szCs w:val="20"/>
          <w14:textOutline w14:w="0" w14:cap="flat" w14:cmpd="sng" w14:algn="ctr">
            <w14:noFill/>
            <w14:prstDash w14:val="solid"/>
            <w14:round/>
          </w14:textOutline>
        </w:rPr>
      </w:pPr>
    </w:p>
    <w:p w14:paraId="2DACA19E" w14:textId="77777777" w:rsidR="00FE461F" w:rsidRPr="005E4BEA" w:rsidRDefault="00FE461F" w:rsidP="00FE461F">
      <w:pPr>
        <w:spacing w:before="100" w:beforeAutospacing="1" w:after="100" w:afterAutospacing="1" w:line="259" w:lineRule="auto"/>
        <w:jc w:val="both"/>
        <w:rPr>
          <w:rFonts w:eastAsiaTheme="minorHAnsi" w:cs="Arial"/>
          <w:color w:val="808080" w:themeColor="background1" w:themeShade="80"/>
          <w:szCs w:val="20"/>
          <w14:textOutline w14:w="0" w14:cap="flat" w14:cmpd="sng" w14:algn="ctr">
            <w14:noFill/>
            <w14:prstDash w14:val="solid"/>
            <w14:round/>
          </w14:textOutline>
        </w:rPr>
      </w:pPr>
      <w:r w:rsidRPr="005E4BEA">
        <w:rPr>
          <w:rFonts w:eastAsiaTheme="minorHAnsi" w:cs="Arial"/>
          <w:i/>
          <w:iCs/>
          <w:color w:val="808080" w:themeColor="background1" w:themeShade="80"/>
          <w:szCs w:val="20"/>
          <w14:textOutline w14:w="0" w14:cap="flat" w14:cmpd="sng" w14:algn="ctr">
            <w14:noFill/>
            <w14:prstDash w14:val="solid"/>
            <w14:round/>
          </w14:textOutline>
        </w:rPr>
        <w:t xml:space="preserve">Ocena finančnih sredstev: /  </w:t>
      </w:r>
    </w:p>
    <w:p w14:paraId="6A5A5D9A" w14:textId="77777777" w:rsidR="009952E6" w:rsidRPr="005E4BEA" w:rsidRDefault="009952E6" w:rsidP="009952E6">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27C5BE0E" w14:textId="77777777" w:rsidR="009952E6" w:rsidRPr="005E4BEA" w:rsidRDefault="009952E6" w:rsidP="009952E6">
      <w:pPr>
        <w:spacing w:line="0" w:lineRule="atLeast"/>
        <w:jc w:val="both"/>
        <w:rPr>
          <w:rFonts w:eastAsia="Arial Narrow" w:cs="Arial"/>
          <w:szCs w:val="20"/>
          <w:lang w:eastAsia="sl-SI"/>
        </w:rPr>
      </w:pPr>
    </w:p>
    <w:p w14:paraId="6818E225" w14:textId="676C3931" w:rsidR="009952E6" w:rsidRPr="005E4BEA" w:rsidRDefault="009952E6" w:rsidP="009952E6">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r w:rsidRPr="005E4BEA">
        <w:rPr>
          <w:rFonts w:eastAsiaTheme="minorHAnsi" w:cs="Arial"/>
          <w:bCs/>
          <w:szCs w:val="20"/>
        </w:rPr>
        <w:t>35. člen Splošnega dogovora ne spremeni.</w:t>
      </w:r>
    </w:p>
    <w:p w14:paraId="52C0F6C0" w14:textId="7F78BFD7" w:rsidR="00FE461F" w:rsidRPr="005E4BEA" w:rsidRDefault="00FE461F" w:rsidP="00FE461F">
      <w:pPr>
        <w:spacing w:line="240" w:lineRule="auto"/>
        <w:jc w:val="both"/>
        <w:rPr>
          <w:rFonts w:eastAsiaTheme="minorHAnsi" w:cs="Arial"/>
          <w:i/>
          <w:iCs/>
          <w:color w:val="4472C4" w:themeColor="accent1"/>
          <w:szCs w:val="20"/>
        </w:rPr>
      </w:pPr>
    </w:p>
    <w:p w14:paraId="5664880D" w14:textId="77777777" w:rsidR="009952E6" w:rsidRPr="005E4BEA" w:rsidRDefault="009952E6" w:rsidP="00FE461F">
      <w:pPr>
        <w:spacing w:line="240" w:lineRule="auto"/>
        <w:jc w:val="both"/>
        <w:rPr>
          <w:rFonts w:eastAsiaTheme="minorHAnsi" w:cs="Arial"/>
          <w:i/>
          <w:iCs/>
          <w:color w:val="4472C4" w:themeColor="accent1"/>
          <w:szCs w:val="20"/>
        </w:rPr>
      </w:pPr>
    </w:p>
    <w:p w14:paraId="69C438C1" w14:textId="165A4A12" w:rsidR="009952E6" w:rsidRPr="005E4BEA" w:rsidRDefault="009952E6"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(74)</w:t>
      </w:r>
    </w:p>
    <w:p w14:paraId="27C242BE" w14:textId="77777777" w:rsidR="009952E6" w:rsidRPr="005E4BEA" w:rsidRDefault="009952E6" w:rsidP="009952E6">
      <w:pPr>
        <w:spacing w:line="0" w:lineRule="atLeast"/>
        <w:contextualSpacing/>
        <w:jc w:val="both"/>
        <w:rPr>
          <w:rFonts w:cs="Arial"/>
          <w:i/>
          <w:iCs/>
          <w:color w:val="808080" w:themeColor="background1" w:themeShade="80"/>
          <w:szCs w:val="20"/>
        </w:rPr>
      </w:pPr>
    </w:p>
    <w:p w14:paraId="47E0944B" w14:textId="46A8D45F" w:rsidR="00FE461F" w:rsidRPr="005E4BEA" w:rsidRDefault="009952E6" w:rsidP="00FE461F">
      <w:pPr>
        <w:spacing w:line="240" w:lineRule="auto"/>
        <w:jc w:val="both"/>
        <w:rPr>
          <w:rFonts w:eastAsia="Arial Narrow" w:cs="Arial"/>
          <w:bCs/>
          <w:szCs w:val="20"/>
        </w:rPr>
      </w:pPr>
      <w:r w:rsidRPr="005E4BEA">
        <w:rPr>
          <w:rFonts w:eastAsia="Arial Narrow" w:cs="Arial"/>
          <w:b/>
          <w:szCs w:val="20"/>
        </w:rPr>
        <w:t xml:space="preserve">Zdravniška zbornica Slovenije predlaga, </w:t>
      </w:r>
      <w:r w:rsidRPr="005E4BEA">
        <w:rPr>
          <w:rFonts w:eastAsia="Arial Narrow" w:cs="Arial"/>
          <w:bCs/>
          <w:szCs w:val="20"/>
        </w:rPr>
        <w:t xml:space="preserve">da se v </w:t>
      </w:r>
      <w:r w:rsidR="00FE461F" w:rsidRPr="005E4BEA">
        <w:rPr>
          <w:rFonts w:cs="Arial"/>
          <w:bCs/>
          <w:szCs w:val="20"/>
        </w:rPr>
        <w:t xml:space="preserve"> 16. točki prvega odstavka 35. člena črta prvi stavek in v drugem stavku besedilo »in zagotovil eno petino s pogodbo dogovorjenega </w:t>
      </w:r>
      <w:proofErr w:type="spellStart"/>
      <w:r w:rsidR="00FE461F" w:rsidRPr="005E4BEA">
        <w:rPr>
          <w:rFonts w:cs="Arial"/>
          <w:bCs/>
          <w:szCs w:val="20"/>
        </w:rPr>
        <w:t>ordinacijskega</w:t>
      </w:r>
      <w:proofErr w:type="spellEnd"/>
      <w:r w:rsidR="00FE461F" w:rsidRPr="005E4BEA">
        <w:rPr>
          <w:rFonts w:cs="Arial"/>
          <w:bCs/>
          <w:szCs w:val="20"/>
        </w:rPr>
        <w:t xml:space="preserve"> časa po 16. uri« ter (pod pogojem, da se črta prvi stavek) tretji stavek.</w:t>
      </w:r>
    </w:p>
    <w:p w14:paraId="0DA5E115" w14:textId="77777777" w:rsidR="00FE461F" w:rsidRPr="005E4BEA" w:rsidRDefault="00FE461F" w:rsidP="00FE461F">
      <w:pPr>
        <w:spacing w:line="240" w:lineRule="auto"/>
        <w:jc w:val="both"/>
        <w:rPr>
          <w:rFonts w:cs="Arial"/>
          <w:b/>
          <w:bCs/>
          <w:szCs w:val="20"/>
        </w:rPr>
      </w:pPr>
    </w:p>
    <w:p w14:paraId="2FB8A252" w14:textId="77777777" w:rsidR="00FE461F" w:rsidRPr="005E4BEA" w:rsidRDefault="00FE461F" w:rsidP="00FE461F">
      <w:pPr>
        <w:spacing w:after="160" w:line="252" w:lineRule="auto"/>
        <w:jc w:val="both"/>
        <w:rPr>
          <w:rFonts w:eastAsiaTheme="minorHAnsi" w:cs="Arial"/>
          <w:b/>
          <w:bCs/>
          <w:i/>
          <w:iCs/>
          <w:color w:val="808080" w:themeColor="background1" w:themeShade="80"/>
          <w:szCs w:val="20"/>
          <w:u w:val="single"/>
          <w:lang w:eastAsia="sl-SI"/>
        </w:rPr>
      </w:pPr>
      <w:r w:rsidRPr="005E4BEA">
        <w:rPr>
          <w:rFonts w:eastAsiaTheme="minorHAnsi" w:cs="Arial"/>
          <w:b/>
          <w:bCs/>
          <w:i/>
          <w:iCs/>
          <w:color w:val="808080" w:themeColor="background1" w:themeShade="80"/>
          <w:szCs w:val="20"/>
          <w:u w:val="single"/>
          <w:lang w:eastAsia="sl-SI"/>
        </w:rPr>
        <w:t>Obrazložitev:</w:t>
      </w:r>
    </w:p>
    <w:p w14:paraId="5937E666" w14:textId="77777777" w:rsidR="00FE461F" w:rsidRPr="005E4BEA" w:rsidRDefault="00FE461F" w:rsidP="00FE461F">
      <w:pPr>
        <w:spacing w:after="160" w:line="252"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Določba 16. točke 1. odstavka 35. člena Dogovora še ni usklajena s spremembo 3. odstavka 52a. člena Zakona o zdravstveni dejavnosti, ki je določal: »V </w:t>
      </w:r>
      <w:proofErr w:type="spellStart"/>
      <w:r w:rsidRPr="005E4BEA">
        <w:rPr>
          <w:rFonts w:eastAsiaTheme="minorHAnsi" w:cs="Arial"/>
          <w:i/>
          <w:iCs/>
          <w:color w:val="808080" w:themeColor="background1" w:themeShade="80"/>
          <w:szCs w:val="20"/>
        </w:rPr>
        <w:t>zunajbolnišnični</w:t>
      </w:r>
      <w:proofErr w:type="spellEnd"/>
      <w:r w:rsidRPr="005E4BEA">
        <w:rPr>
          <w:rFonts w:eastAsiaTheme="minorHAnsi" w:cs="Arial"/>
          <w:i/>
          <w:iCs/>
          <w:color w:val="808080" w:themeColor="background1" w:themeShade="80"/>
          <w:szCs w:val="20"/>
        </w:rPr>
        <w:t xml:space="preserve"> dejavnosti, namenjeni storitvam za uporabnike, mora najmanj petina delovnega časa potekati po 16. uri.«.  Z 19. členom Zakon o spremembah in dopolnitvah Zakona o zdravstveni dejavnosti (ZZDej-K; Uradni list RS, 64/17) je bila ta določba (3. odstavka 52a. člena) črtana. ZZDej-K je stopil v veljavo 17. 12. 2017, pričetek uporabe 19. člena z zakonom ni bil odložen, zato je potrebno v splošnem dogovoru to spremembo zakona upoštevati. </w:t>
      </w:r>
    </w:p>
    <w:p w14:paraId="508EC340" w14:textId="487B9105"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Finančni učinki: ni finančnih učinkov </w:t>
      </w:r>
    </w:p>
    <w:p w14:paraId="47774B9A" w14:textId="77777777" w:rsidR="009952E6" w:rsidRPr="005E4BEA" w:rsidRDefault="009952E6" w:rsidP="00FE461F">
      <w:pPr>
        <w:spacing w:line="240" w:lineRule="auto"/>
        <w:jc w:val="both"/>
        <w:rPr>
          <w:rFonts w:eastAsiaTheme="minorHAnsi" w:cs="Arial"/>
          <w:i/>
          <w:iCs/>
          <w:color w:val="808080" w:themeColor="background1" w:themeShade="80"/>
          <w:szCs w:val="20"/>
        </w:rPr>
      </w:pPr>
    </w:p>
    <w:p w14:paraId="75660261" w14:textId="77777777" w:rsidR="009952E6" w:rsidRPr="005E4BEA" w:rsidRDefault="009952E6" w:rsidP="009952E6">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576308F" w14:textId="77777777" w:rsidR="009952E6" w:rsidRPr="005E4BEA" w:rsidRDefault="009952E6" w:rsidP="009952E6">
      <w:pPr>
        <w:spacing w:line="0" w:lineRule="atLeast"/>
        <w:jc w:val="both"/>
        <w:rPr>
          <w:rFonts w:eastAsia="Arial Narrow" w:cs="Arial"/>
          <w:szCs w:val="20"/>
          <w:lang w:eastAsia="sl-SI"/>
        </w:rPr>
      </w:pPr>
    </w:p>
    <w:p w14:paraId="0231B864" w14:textId="7296D3DC" w:rsidR="009952E6" w:rsidRPr="005E4BEA" w:rsidRDefault="009952E6" w:rsidP="009952E6">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r w:rsidRPr="005E4BEA">
        <w:rPr>
          <w:rFonts w:eastAsiaTheme="minorHAnsi" w:cs="Arial"/>
          <w:bCs/>
          <w:szCs w:val="20"/>
        </w:rPr>
        <w:t>35. člen Splošnega dogovora ne spremeni.</w:t>
      </w:r>
    </w:p>
    <w:p w14:paraId="1F4A86B3" w14:textId="091E4A89" w:rsidR="009952E6" w:rsidRPr="005E4BEA" w:rsidRDefault="009952E6" w:rsidP="009952E6">
      <w:pPr>
        <w:spacing w:line="0" w:lineRule="atLeast"/>
        <w:contextualSpacing/>
        <w:jc w:val="both"/>
        <w:rPr>
          <w:rFonts w:eastAsiaTheme="minorHAnsi" w:cs="Arial"/>
          <w:bCs/>
          <w:szCs w:val="20"/>
        </w:rPr>
      </w:pPr>
    </w:p>
    <w:p w14:paraId="6A1E2483" w14:textId="216B9F04" w:rsidR="009952E6" w:rsidRPr="005E4BEA" w:rsidRDefault="009952E6" w:rsidP="009952E6">
      <w:pPr>
        <w:spacing w:line="0" w:lineRule="atLeast"/>
        <w:contextualSpacing/>
        <w:jc w:val="both"/>
        <w:rPr>
          <w:rFonts w:eastAsiaTheme="minorHAnsi" w:cs="Arial"/>
          <w:bCs/>
          <w:szCs w:val="20"/>
        </w:rPr>
      </w:pPr>
    </w:p>
    <w:p w14:paraId="3E746980" w14:textId="2F94A256" w:rsidR="009952E6" w:rsidRPr="005E4BEA" w:rsidRDefault="009952E6"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(75)</w:t>
      </w:r>
    </w:p>
    <w:p w14:paraId="38C025BC" w14:textId="74249A13" w:rsidR="009952E6" w:rsidRPr="005E4BEA" w:rsidRDefault="009952E6" w:rsidP="009952E6">
      <w:pPr>
        <w:spacing w:line="0" w:lineRule="atLeast"/>
        <w:contextualSpacing/>
        <w:jc w:val="both"/>
        <w:rPr>
          <w:rFonts w:eastAsiaTheme="minorHAnsi" w:cs="Arial"/>
          <w:b/>
          <w:szCs w:val="20"/>
        </w:rPr>
      </w:pPr>
    </w:p>
    <w:p w14:paraId="65E4CCF5" w14:textId="3EECAF1F" w:rsidR="00FE461F" w:rsidRPr="005E4BEA" w:rsidRDefault="009952E6" w:rsidP="00FE461F">
      <w:pPr>
        <w:spacing w:line="0" w:lineRule="atLeast"/>
        <w:contextualSpacing/>
        <w:jc w:val="both"/>
        <w:rPr>
          <w:rFonts w:eastAsia="Arial Narrow" w:cs="Arial"/>
          <w:bCs/>
          <w:szCs w:val="20"/>
        </w:rPr>
      </w:pPr>
      <w:r w:rsidRPr="005E4BEA">
        <w:rPr>
          <w:rFonts w:eastAsiaTheme="minorHAnsi" w:cs="Arial"/>
          <w:b/>
          <w:szCs w:val="20"/>
        </w:rPr>
        <w:t>Ministrstvo za zdravje predlaga</w:t>
      </w:r>
      <w:r w:rsidRPr="005E4BEA">
        <w:rPr>
          <w:rFonts w:eastAsiaTheme="minorHAnsi" w:cs="Arial"/>
          <w:bCs/>
          <w:szCs w:val="20"/>
        </w:rPr>
        <w:t xml:space="preserve">, da se v </w:t>
      </w:r>
      <w:r w:rsidR="00FE461F" w:rsidRPr="005E4BEA">
        <w:rPr>
          <w:rFonts w:eastAsia="Arial Narrow" w:cs="Arial"/>
          <w:bCs/>
          <w:szCs w:val="20"/>
        </w:rPr>
        <w:t>35. členu v deveti točki  prvega odstavka črta drugi stavek.</w:t>
      </w:r>
    </w:p>
    <w:p w14:paraId="1597AE58"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708298D" w14:textId="77777777" w:rsidR="00FE461F" w:rsidRPr="005E4BEA" w:rsidRDefault="00FE461F" w:rsidP="00FE461F">
      <w:pPr>
        <w:spacing w:line="240" w:lineRule="auto"/>
        <w:jc w:val="both"/>
        <w:rPr>
          <w:rFonts w:eastAsiaTheme="minorHAnsi" w:cs="Arial"/>
          <w:b/>
          <w:bCs/>
          <w:i/>
          <w:color w:val="7F7F7F" w:themeColor="text1" w:themeTint="80"/>
          <w:szCs w:val="20"/>
        </w:rPr>
      </w:pPr>
      <w:r w:rsidRPr="005E4BEA">
        <w:rPr>
          <w:rFonts w:eastAsiaTheme="minorHAnsi" w:cs="Arial"/>
          <w:b/>
          <w:bCs/>
          <w:i/>
          <w:color w:val="7F7F7F" w:themeColor="text1" w:themeTint="80"/>
          <w:szCs w:val="20"/>
        </w:rPr>
        <w:t>Obrazložitev:</w:t>
      </w:r>
    </w:p>
    <w:p w14:paraId="0F2F0049" w14:textId="77777777" w:rsidR="00FE461F" w:rsidRPr="005E4BEA" w:rsidRDefault="00FE461F" w:rsidP="00FE461F">
      <w:p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 xml:space="preserve">»Možnost opravljanja prvega pregleda v psihiatrični dejavnosti brez napotnice je opredeljena že v drugih aktih zavoda. Zakon o zbirkah in Pravilnik o pogojih, rokih, načinu vključitve in uporabe </w:t>
      </w:r>
      <w:proofErr w:type="spellStart"/>
      <w:r w:rsidRPr="005E4BEA">
        <w:rPr>
          <w:rFonts w:eastAsiaTheme="minorHAnsi" w:cs="Arial"/>
          <w:i/>
          <w:color w:val="7F7F7F" w:themeColor="text1" w:themeTint="80"/>
          <w:szCs w:val="20"/>
        </w:rPr>
        <w:t>eZdravja</w:t>
      </w:r>
      <w:proofErr w:type="spellEnd"/>
      <w:r w:rsidRPr="005E4BEA">
        <w:rPr>
          <w:rFonts w:eastAsiaTheme="minorHAnsi" w:cs="Arial"/>
          <w:i/>
          <w:color w:val="7F7F7F" w:themeColor="text1" w:themeTint="80"/>
          <w:szCs w:val="20"/>
        </w:rPr>
        <w:t xml:space="preserve"> za obvezne uporabnike ne predvidevata izločitve teh dveh dejavnosti iz obveze uporabe </w:t>
      </w:r>
      <w:proofErr w:type="spellStart"/>
      <w:r w:rsidRPr="005E4BEA">
        <w:rPr>
          <w:rFonts w:eastAsiaTheme="minorHAnsi" w:cs="Arial"/>
          <w:i/>
          <w:color w:val="7F7F7F" w:themeColor="text1" w:themeTint="80"/>
          <w:szCs w:val="20"/>
        </w:rPr>
        <w:t>eNapotnice</w:t>
      </w:r>
      <w:proofErr w:type="spellEnd"/>
      <w:r w:rsidRPr="005E4BEA">
        <w:rPr>
          <w:rFonts w:eastAsiaTheme="minorHAnsi" w:cs="Arial"/>
          <w:i/>
          <w:color w:val="7F7F7F" w:themeColor="text1" w:themeTint="80"/>
          <w:szCs w:val="20"/>
        </w:rPr>
        <w:t xml:space="preserve"> (kadar se ta izda) in povezave na </w:t>
      </w:r>
      <w:proofErr w:type="spellStart"/>
      <w:r w:rsidRPr="005E4BEA">
        <w:rPr>
          <w:rFonts w:eastAsiaTheme="minorHAnsi" w:cs="Arial"/>
          <w:i/>
          <w:color w:val="7F7F7F" w:themeColor="text1" w:themeTint="80"/>
          <w:szCs w:val="20"/>
        </w:rPr>
        <w:t>eNaročanje</w:t>
      </w:r>
      <w:proofErr w:type="spellEnd"/>
      <w:r w:rsidRPr="005E4BEA">
        <w:rPr>
          <w:rFonts w:eastAsiaTheme="minorHAnsi" w:cs="Arial"/>
          <w:i/>
          <w:color w:val="7F7F7F" w:themeColor="text1" w:themeTint="80"/>
          <w:szCs w:val="20"/>
        </w:rPr>
        <w:t xml:space="preserve">. Določilo je v neskladju tudi z Zakonom o pacientovih pravicah (Uradni list RS, št. 15/08, 55/17 in 177/20; </w:t>
      </w:r>
      <w:proofErr w:type="spellStart"/>
      <w:r w:rsidRPr="005E4BEA">
        <w:rPr>
          <w:rFonts w:eastAsiaTheme="minorHAnsi" w:cs="Arial"/>
          <w:i/>
          <w:color w:val="7F7F7F" w:themeColor="text1" w:themeTint="80"/>
          <w:szCs w:val="20"/>
        </w:rPr>
        <w:t>ZpacP</w:t>
      </w:r>
      <w:proofErr w:type="spellEnd"/>
      <w:r w:rsidRPr="005E4BEA">
        <w:rPr>
          <w:rFonts w:eastAsiaTheme="minorHAnsi" w:cs="Arial"/>
          <w:i/>
          <w:color w:val="7F7F7F" w:themeColor="text1" w:themeTint="80"/>
          <w:szCs w:val="20"/>
        </w:rPr>
        <w:t xml:space="preserve">) in podzakonskimi akti, saj </w:t>
      </w:r>
      <w:proofErr w:type="spellStart"/>
      <w:r w:rsidRPr="005E4BEA">
        <w:rPr>
          <w:rFonts w:eastAsiaTheme="minorHAnsi" w:cs="Arial"/>
          <w:i/>
          <w:color w:val="7F7F7F" w:themeColor="text1" w:themeTint="80"/>
          <w:szCs w:val="20"/>
        </w:rPr>
        <w:t>neizdaja</w:t>
      </w:r>
      <w:proofErr w:type="spellEnd"/>
      <w:r w:rsidRPr="005E4BEA">
        <w:rPr>
          <w:rFonts w:eastAsiaTheme="minorHAnsi" w:cs="Arial"/>
          <w:i/>
          <w:color w:val="7F7F7F" w:themeColor="text1" w:themeTint="80"/>
          <w:szCs w:val="20"/>
        </w:rPr>
        <w:t xml:space="preserve"> </w:t>
      </w:r>
      <w:proofErr w:type="spellStart"/>
      <w:r w:rsidRPr="005E4BEA">
        <w:rPr>
          <w:rFonts w:eastAsiaTheme="minorHAnsi" w:cs="Arial"/>
          <w:i/>
          <w:color w:val="7F7F7F" w:themeColor="text1" w:themeTint="80"/>
          <w:szCs w:val="20"/>
        </w:rPr>
        <w:t>eNapotnice</w:t>
      </w:r>
      <w:proofErr w:type="spellEnd"/>
      <w:r w:rsidRPr="005E4BEA">
        <w:rPr>
          <w:rFonts w:eastAsiaTheme="minorHAnsi" w:cs="Arial"/>
          <w:i/>
          <w:color w:val="7F7F7F" w:themeColor="text1" w:themeTint="80"/>
          <w:szCs w:val="20"/>
        </w:rPr>
        <w:t xml:space="preserve"> (ko se ta izda) pomeni, da pacient izgubi možnost, da se elektronsko naroči, hkrati pa se brez predvidene možnosti za to opušča obveznost izvajalca, da omogoča </w:t>
      </w:r>
      <w:proofErr w:type="spellStart"/>
      <w:r w:rsidRPr="005E4BEA">
        <w:rPr>
          <w:rFonts w:eastAsiaTheme="minorHAnsi" w:cs="Arial"/>
          <w:i/>
          <w:color w:val="7F7F7F" w:themeColor="text1" w:themeTint="80"/>
          <w:szCs w:val="20"/>
        </w:rPr>
        <w:t>eNaročanje</w:t>
      </w:r>
      <w:proofErr w:type="spellEnd"/>
      <w:r w:rsidRPr="005E4BEA">
        <w:rPr>
          <w:rFonts w:eastAsiaTheme="minorHAnsi" w:cs="Arial"/>
          <w:i/>
          <w:color w:val="7F7F7F" w:themeColor="text1" w:themeTint="80"/>
          <w:szCs w:val="20"/>
        </w:rPr>
        <w:t xml:space="preserve"> za storitve na sekundarni ravni. Pacientom se onemogoča, da na imajo na enem mestu pregled vseh izvajalcev psihiatrične in </w:t>
      </w:r>
      <w:proofErr w:type="spellStart"/>
      <w:r w:rsidRPr="005E4BEA">
        <w:rPr>
          <w:rFonts w:eastAsiaTheme="minorHAnsi" w:cs="Arial"/>
          <w:i/>
          <w:color w:val="7F7F7F" w:themeColor="text1" w:themeTint="80"/>
          <w:szCs w:val="20"/>
        </w:rPr>
        <w:t>pedopsihiatrične</w:t>
      </w:r>
      <w:proofErr w:type="spellEnd"/>
      <w:r w:rsidRPr="005E4BEA">
        <w:rPr>
          <w:rFonts w:eastAsiaTheme="minorHAnsi" w:cs="Arial"/>
          <w:i/>
          <w:color w:val="7F7F7F" w:themeColor="text1" w:themeTint="80"/>
          <w:szCs w:val="20"/>
        </w:rPr>
        <w:t xml:space="preserve"> dejavnosti z informacijami o predvidenih čakalnih dobah. Izločitev teh dejavnosti iz </w:t>
      </w:r>
      <w:proofErr w:type="spellStart"/>
      <w:r w:rsidRPr="005E4BEA">
        <w:rPr>
          <w:rFonts w:eastAsiaTheme="minorHAnsi" w:cs="Arial"/>
          <w:i/>
          <w:color w:val="7F7F7F" w:themeColor="text1" w:themeTint="80"/>
          <w:szCs w:val="20"/>
        </w:rPr>
        <w:t>eNaročanja</w:t>
      </w:r>
      <w:proofErr w:type="spellEnd"/>
      <w:r w:rsidRPr="005E4BEA">
        <w:rPr>
          <w:rFonts w:eastAsiaTheme="minorHAnsi" w:cs="Arial"/>
          <w:i/>
          <w:color w:val="7F7F7F" w:themeColor="text1" w:themeTint="80"/>
          <w:szCs w:val="20"/>
        </w:rPr>
        <w:t xml:space="preserve"> namreč pomeni, da se za ti dejavnosti nehajo spremljati čakalne dobe, kar bi dolgoročno preprečevalo tudi njihovo ustrezno reševanje v dejavnostih, kjer so te pogosto označene kot predolge (trenutno npr. za prvo </w:t>
      </w:r>
      <w:proofErr w:type="spellStart"/>
      <w:r w:rsidRPr="005E4BEA">
        <w:rPr>
          <w:rFonts w:eastAsiaTheme="minorHAnsi" w:cs="Arial"/>
          <w:i/>
          <w:color w:val="7F7F7F" w:themeColor="text1" w:themeTint="80"/>
          <w:szCs w:val="20"/>
        </w:rPr>
        <w:t>pedopsihiatrično</w:t>
      </w:r>
      <w:proofErr w:type="spellEnd"/>
      <w:r w:rsidRPr="005E4BEA">
        <w:rPr>
          <w:rFonts w:eastAsiaTheme="minorHAnsi" w:cs="Arial"/>
          <w:i/>
          <w:color w:val="7F7F7F" w:themeColor="text1" w:themeTint="80"/>
          <w:szCs w:val="20"/>
        </w:rPr>
        <w:t xml:space="preserve"> obravnavo do 18 mesecev čakalne dobe). Tudi po </w:t>
      </w:r>
      <w:proofErr w:type="spellStart"/>
      <w:r w:rsidRPr="005E4BEA">
        <w:rPr>
          <w:rFonts w:eastAsiaTheme="minorHAnsi" w:cs="Arial"/>
          <w:i/>
          <w:color w:val="7F7F7F" w:themeColor="text1" w:themeTint="80"/>
          <w:szCs w:val="20"/>
        </w:rPr>
        <w:t>ZpacP</w:t>
      </w:r>
      <w:proofErr w:type="spellEnd"/>
      <w:r w:rsidRPr="005E4BEA">
        <w:rPr>
          <w:rFonts w:eastAsiaTheme="minorHAnsi" w:cs="Arial"/>
          <w:i/>
          <w:color w:val="7F7F7F" w:themeColor="text1" w:themeTint="80"/>
          <w:szCs w:val="20"/>
        </w:rPr>
        <w:t xml:space="preserve"> so izvajalci dolžni poročati čakalne dobe v sistem </w:t>
      </w:r>
      <w:proofErr w:type="spellStart"/>
      <w:r w:rsidRPr="005E4BEA">
        <w:rPr>
          <w:rFonts w:eastAsiaTheme="minorHAnsi" w:cs="Arial"/>
          <w:i/>
          <w:color w:val="7F7F7F" w:themeColor="text1" w:themeTint="80"/>
          <w:szCs w:val="20"/>
        </w:rPr>
        <w:t>eNaročanja</w:t>
      </w:r>
      <w:proofErr w:type="spellEnd"/>
      <w:r w:rsidRPr="005E4BEA">
        <w:rPr>
          <w:rFonts w:eastAsiaTheme="minorHAnsi" w:cs="Arial"/>
          <w:i/>
          <w:color w:val="7F7F7F" w:themeColor="text1" w:themeTint="80"/>
          <w:szCs w:val="20"/>
        </w:rPr>
        <w:t xml:space="preserve">. </w:t>
      </w:r>
    </w:p>
    <w:p w14:paraId="192A9FF4" w14:textId="77777777" w:rsidR="00FE461F" w:rsidRPr="005E4BEA" w:rsidRDefault="00FE461F" w:rsidP="00FE461F">
      <w:pPr>
        <w:spacing w:line="240" w:lineRule="auto"/>
        <w:jc w:val="both"/>
        <w:rPr>
          <w:rFonts w:eastAsiaTheme="minorHAnsi" w:cs="Arial"/>
          <w:i/>
          <w:color w:val="7F7F7F" w:themeColor="text1" w:themeTint="80"/>
          <w:szCs w:val="20"/>
        </w:rPr>
      </w:pPr>
    </w:p>
    <w:p w14:paraId="1347064C" w14:textId="77777777" w:rsidR="00FE461F" w:rsidRPr="005E4BEA" w:rsidRDefault="00FE461F" w:rsidP="00FE461F">
      <w:pPr>
        <w:autoSpaceDE w:val="0"/>
        <w:autoSpaceDN w:val="0"/>
        <w:adjustRightInd w:val="0"/>
        <w:spacing w:line="240" w:lineRule="auto"/>
        <w:jc w:val="both"/>
        <w:rPr>
          <w:rFonts w:eastAsiaTheme="minorHAnsi" w:cs="Arial"/>
          <w:b/>
          <w:bCs/>
          <w:i/>
          <w:color w:val="7F7F7F" w:themeColor="text1" w:themeTint="80"/>
          <w:szCs w:val="20"/>
        </w:rPr>
      </w:pPr>
      <w:r w:rsidRPr="005E4BEA">
        <w:rPr>
          <w:rFonts w:eastAsiaTheme="minorHAnsi" w:cs="Arial"/>
          <w:b/>
          <w:bCs/>
          <w:i/>
          <w:color w:val="7F7F7F" w:themeColor="text1" w:themeTint="80"/>
          <w:szCs w:val="20"/>
        </w:rPr>
        <w:t>Finančne posledice: /</w:t>
      </w:r>
    </w:p>
    <w:p w14:paraId="0867C959" w14:textId="4F4E3E79" w:rsidR="009952E6" w:rsidRPr="005E4BEA" w:rsidRDefault="009952E6" w:rsidP="009952E6">
      <w:pPr>
        <w:spacing w:line="240" w:lineRule="auto"/>
        <w:jc w:val="both"/>
        <w:rPr>
          <w:rFonts w:eastAsiaTheme="minorHAnsi" w:cs="Arial"/>
          <w:i/>
          <w:iCs/>
          <w:color w:val="808080" w:themeColor="background1" w:themeShade="80"/>
          <w:szCs w:val="20"/>
        </w:rPr>
      </w:pPr>
    </w:p>
    <w:p w14:paraId="07BF9954" w14:textId="77777777" w:rsidR="009952E6" w:rsidRPr="005E4BEA" w:rsidRDefault="009952E6" w:rsidP="009952E6">
      <w:pPr>
        <w:spacing w:line="240" w:lineRule="auto"/>
        <w:jc w:val="both"/>
        <w:rPr>
          <w:rFonts w:eastAsiaTheme="minorHAnsi" w:cs="Arial"/>
          <w:i/>
          <w:iCs/>
          <w:color w:val="808080" w:themeColor="background1" w:themeShade="80"/>
          <w:szCs w:val="20"/>
        </w:rPr>
      </w:pPr>
    </w:p>
    <w:p w14:paraId="10A41508" w14:textId="11434ECD" w:rsidR="009952E6" w:rsidRPr="005E4BEA" w:rsidRDefault="009952E6" w:rsidP="009952E6">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01C78224" w14:textId="77777777" w:rsidR="009952E6" w:rsidRPr="005E4BEA" w:rsidRDefault="009952E6" w:rsidP="009952E6">
      <w:pPr>
        <w:spacing w:line="0" w:lineRule="atLeast"/>
        <w:jc w:val="both"/>
        <w:rPr>
          <w:rFonts w:eastAsia="Arial Narrow" w:cs="Arial"/>
          <w:szCs w:val="20"/>
          <w:lang w:eastAsia="sl-SI"/>
        </w:rPr>
      </w:pPr>
    </w:p>
    <w:p w14:paraId="40881E4E" w14:textId="49037B0B" w:rsidR="009952E6" w:rsidRPr="005E4BEA" w:rsidRDefault="009952E6" w:rsidP="009952E6">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0" w:name="_Hlk102471808"/>
      <w:r w:rsidRPr="005E4BEA">
        <w:rPr>
          <w:rFonts w:eastAsia="Arial Narrow" w:cs="Arial"/>
          <w:bCs/>
          <w:szCs w:val="20"/>
        </w:rPr>
        <w:t xml:space="preserve">da </w:t>
      </w:r>
      <w:r w:rsidRPr="005E4BEA">
        <w:rPr>
          <w:rFonts w:eastAsiaTheme="minorHAnsi" w:cs="Arial"/>
          <w:bCs/>
          <w:szCs w:val="20"/>
        </w:rPr>
        <w:t xml:space="preserve">se v </w:t>
      </w:r>
      <w:r w:rsidRPr="005E4BEA">
        <w:rPr>
          <w:rFonts w:eastAsia="Arial Narrow" w:cs="Arial"/>
          <w:bCs/>
          <w:szCs w:val="20"/>
        </w:rPr>
        <w:t>35. členu v deveti točki  prvega odstavka črta drugi stavek.</w:t>
      </w:r>
    </w:p>
    <w:bookmarkEnd w:id="110"/>
    <w:p w14:paraId="25942E2A" w14:textId="40BBBA94" w:rsidR="009952E6" w:rsidRPr="005E4BEA" w:rsidRDefault="009952E6" w:rsidP="009952E6">
      <w:pPr>
        <w:spacing w:line="0" w:lineRule="atLeast"/>
        <w:contextualSpacing/>
        <w:jc w:val="both"/>
        <w:rPr>
          <w:rFonts w:eastAsia="Arial Narrow" w:cs="Arial"/>
          <w:bCs/>
          <w:szCs w:val="20"/>
        </w:rPr>
      </w:pPr>
    </w:p>
    <w:p w14:paraId="2C44BCD2" w14:textId="77777777" w:rsidR="009952E6" w:rsidRPr="005E4BEA" w:rsidRDefault="009952E6"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(76)</w:t>
      </w:r>
    </w:p>
    <w:p w14:paraId="50D1C53C" w14:textId="77777777" w:rsidR="009952E6" w:rsidRPr="005E4BEA" w:rsidRDefault="009952E6" w:rsidP="009952E6">
      <w:pPr>
        <w:spacing w:line="0" w:lineRule="atLeast"/>
        <w:contextualSpacing/>
        <w:jc w:val="both"/>
        <w:rPr>
          <w:rFonts w:eastAsia="Arial Narrow" w:cs="Arial"/>
          <w:b/>
          <w:szCs w:val="20"/>
        </w:rPr>
      </w:pPr>
    </w:p>
    <w:p w14:paraId="7D4C7694" w14:textId="7953E539" w:rsidR="00FE461F" w:rsidRPr="005E4BEA" w:rsidRDefault="009952E6" w:rsidP="009952E6">
      <w:pPr>
        <w:spacing w:line="0" w:lineRule="atLeast"/>
        <w:contextualSpacing/>
        <w:jc w:val="both"/>
        <w:rPr>
          <w:rFonts w:cs="Arial"/>
          <w:bCs/>
          <w:szCs w:val="20"/>
        </w:rPr>
      </w:pPr>
      <w:r w:rsidRPr="005E4BEA">
        <w:rPr>
          <w:rFonts w:eastAsia="Arial Narrow" w:cs="Arial"/>
          <w:b/>
          <w:szCs w:val="20"/>
        </w:rPr>
        <w:t xml:space="preserve">Zavod za zdravstveno zavarovanje Slovenije </w:t>
      </w:r>
      <w:r w:rsidRPr="005E4BEA">
        <w:rPr>
          <w:rFonts w:eastAsiaTheme="minorHAnsi" w:cs="Arial"/>
          <w:b/>
          <w:szCs w:val="20"/>
        </w:rPr>
        <w:t>predlaga</w:t>
      </w:r>
      <w:r w:rsidRPr="005E4BEA">
        <w:rPr>
          <w:rFonts w:eastAsiaTheme="minorHAnsi" w:cs="Arial"/>
          <w:bCs/>
          <w:szCs w:val="20"/>
        </w:rPr>
        <w:t>, da se v</w:t>
      </w:r>
      <w:r w:rsidR="00FE461F" w:rsidRPr="005E4BEA">
        <w:rPr>
          <w:rFonts w:cs="Arial"/>
          <w:bCs/>
          <w:szCs w:val="20"/>
        </w:rPr>
        <w:t xml:space="preserve"> 37. členu briše (3) odstavek.</w:t>
      </w:r>
    </w:p>
    <w:p w14:paraId="796E1867" w14:textId="77777777" w:rsidR="00FE461F" w:rsidRPr="005E4BEA" w:rsidRDefault="00FE461F" w:rsidP="00FE461F">
      <w:pPr>
        <w:spacing w:line="120" w:lineRule="exact"/>
        <w:jc w:val="both"/>
        <w:rPr>
          <w:rFonts w:cs="Arial"/>
          <w:szCs w:val="20"/>
        </w:rPr>
      </w:pPr>
    </w:p>
    <w:p w14:paraId="0FAB2560" w14:textId="77777777" w:rsidR="00FE461F" w:rsidRPr="005E4BEA" w:rsidRDefault="00FE461F" w:rsidP="00FE461F">
      <w:pPr>
        <w:spacing w:line="240" w:lineRule="auto"/>
        <w:jc w:val="both"/>
        <w:rPr>
          <w:rFonts w:cs="Arial"/>
          <w:szCs w:val="20"/>
        </w:rPr>
      </w:pPr>
      <w:r w:rsidRPr="005E4BEA">
        <w:rPr>
          <w:rFonts w:cs="Arial"/>
          <w:szCs w:val="20"/>
        </w:rPr>
        <w:lastRenderedPageBreak/>
        <w:t>Ostali odstavki se preštevilčijo.</w:t>
      </w:r>
    </w:p>
    <w:p w14:paraId="33C59464" w14:textId="77777777" w:rsidR="00FE461F" w:rsidRPr="005E4BEA" w:rsidRDefault="00FE461F" w:rsidP="00FE461F">
      <w:pPr>
        <w:spacing w:line="120" w:lineRule="auto"/>
        <w:jc w:val="both"/>
        <w:rPr>
          <w:rFonts w:cs="Arial"/>
          <w:szCs w:val="20"/>
        </w:rPr>
      </w:pPr>
    </w:p>
    <w:p w14:paraId="3DDA82DD" w14:textId="77777777" w:rsidR="00FE461F" w:rsidRPr="005E4BEA" w:rsidRDefault="00FE461F" w:rsidP="00FE461F">
      <w:pPr>
        <w:spacing w:line="240" w:lineRule="auto"/>
        <w:jc w:val="both"/>
        <w:rPr>
          <w:rFonts w:cs="Arial"/>
          <w:szCs w:val="20"/>
        </w:rPr>
      </w:pPr>
      <w:r w:rsidRPr="005E4BEA">
        <w:rPr>
          <w:rFonts w:cs="Arial"/>
          <w:szCs w:val="20"/>
        </w:rPr>
        <w:t>Sprememba velja od 1. 7. 2022 naprej.</w:t>
      </w:r>
    </w:p>
    <w:p w14:paraId="02DB3D84" w14:textId="77777777" w:rsidR="00FE461F" w:rsidRPr="005E4BEA" w:rsidRDefault="00FE461F" w:rsidP="00FE461F">
      <w:pPr>
        <w:spacing w:line="240" w:lineRule="auto"/>
        <w:jc w:val="both"/>
        <w:rPr>
          <w:rFonts w:cs="Arial"/>
          <w:szCs w:val="20"/>
        </w:rPr>
      </w:pPr>
    </w:p>
    <w:p w14:paraId="2FD3B3A4"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679F6761"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Glede na to, da ni več razglašene epidemije, Zavod pri avansiranju izvajalcev sledi usmeritvi, da se višina mesečnega oz. obdobnega avansa v največji meri približa višini sredstev, ki izvajalcu pripadajo z izvedenim obračunom</w:t>
      </w:r>
      <w:r w:rsidRPr="005E4BEA">
        <w:rPr>
          <w:rFonts w:eastAsiaTheme="minorHAnsi" w:cs="Arial"/>
          <w:i/>
          <w:color w:val="FF0000"/>
          <w:szCs w:val="20"/>
        </w:rPr>
        <w:t xml:space="preserve"> </w:t>
      </w:r>
      <w:r w:rsidRPr="005E4BEA">
        <w:rPr>
          <w:rFonts w:eastAsiaTheme="minorHAnsi" w:cs="Arial"/>
          <w:i/>
          <w:color w:val="808080" w:themeColor="background1" w:themeShade="80"/>
          <w:szCs w:val="20"/>
        </w:rPr>
        <w:t>zdravstvenih storitev. Veljavni Splošni dogovor določa, da Zavod v času pandemije ali naravne nesreče izvajalcem nakaže avans na podlagi pogodbeno dogovorjenega programa, ne glede na dejanski obseg opravljenih storitev, kar lahko vodi do preplačil avansov v primerjavi z višino obračunanih sredstev. Zavod zato predlaga, da se navedena določba briše.</w:t>
      </w:r>
    </w:p>
    <w:p w14:paraId="694DEC0C"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6D657334" w14:textId="228DC2E1"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w:t>
      </w:r>
    </w:p>
    <w:p w14:paraId="3379FF4A" w14:textId="6A4393A5" w:rsidR="009952E6" w:rsidRPr="005E4BEA" w:rsidRDefault="009952E6" w:rsidP="00FE461F">
      <w:pPr>
        <w:spacing w:line="240" w:lineRule="auto"/>
        <w:jc w:val="both"/>
        <w:rPr>
          <w:rFonts w:eastAsiaTheme="minorHAnsi" w:cs="Arial"/>
          <w:i/>
          <w:color w:val="808080" w:themeColor="background1" w:themeShade="80"/>
          <w:szCs w:val="20"/>
        </w:rPr>
      </w:pPr>
    </w:p>
    <w:p w14:paraId="35C1A6A5" w14:textId="641346F5" w:rsidR="009952E6" w:rsidRPr="005E4BEA" w:rsidRDefault="009952E6" w:rsidP="00754780">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r w:rsidR="00754780" w:rsidRPr="005E4BEA">
        <w:rPr>
          <w:rFonts w:eastAsia="Arial Narrow" w:cs="Arial"/>
          <w:szCs w:val="20"/>
        </w:rPr>
        <w:t xml:space="preserve"> v modificirani obliki.</w:t>
      </w:r>
    </w:p>
    <w:p w14:paraId="7D57B406" w14:textId="77777777" w:rsidR="00754780" w:rsidRPr="005E4BEA" w:rsidRDefault="00754780" w:rsidP="00754780">
      <w:pPr>
        <w:autoSpaceDE w:val="0"/>
        <w:autoSpaceDN w:val="0"/>
        <w:adjustRightInd w:val="0"/>
        <w:spacing w:line="0" w:lineRule="atLeast"/>
        <w:jc w:val="both"/>
        <w:rPr>
          <w:rFonts w:eastAsia="Arial Narrow" w:cs="Arial"/>
          <w:szCs w:val="20"/>
          <w:lang w:eastAsia="sl-SI"/>
        </w:rPr>
      </w:pPr>
    </w:p>
    <w:p w14:paraId="6AB76E49" w14:textId="4E36A4D3" w:rsidR="009952E6" w:rsidRPr="005E4BEA" w:rsidRDefault="009952E6" w:rsidP="009952E6">
      <w:pPr>
        <w:spacing w:line="0" w:lineRule="atLeast"/>
        <w:contextualSpacing/>
        <w:jc w:val="both"/>
        <w:rPr>
          <w:rFonts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1" w:name="_Hlk102471893"/>
      <w:r w:rsidRPr="005E4BEA">
        <w:rPr>
          <w:rFonts w:eastAsia="Arial Narrow" w:cs="Arial"/>
          <w:bCs/>
          <w:szCs w:val="20"/>
        </w:rPr>
        <w:t xml:space="preserve">da </w:t>
      </w:r>
      <w:r w:rsidRPr="005E4BEA">
        <w:rPr>
          <w:rFonts w:eastAsiaTheme="minorHAnsi" w:cs="Arial"/>
          <w:bCs/>
          <w:szCs w:val="20"/>
        </w:rPr>
        <w:t>se v</w:t>
      </w:r>
      <w:r w:rsidRPr="005E4BEA">
        <w:rPr>
          <w:rFonts w:cs="Arial"/>
          <w:bCs/>
          <w:szCs w:val="20"/>
        </w:rPr>
        <w:t xml:space="preserve"> 37. členu briše tretji odstavek.</w:t>
      </w:r>
    </w:p>
    <w:p w14:paraId="1A0EE66D" w14:textId="77777777" w:rsidR="009952E6" w:rsidRPr="005E4BEA" w:rsidRDefault="009952E6" w:rsidP="009952E6">
      <w:pPr>
        <w:spacing w:line="120" w:lineRule="exact"/>
        <w:jc w:val="both"/>
        <w:rPr>
          <w:rFonts w:cs="Arial"/>
          <w:szCs w:val="20"/>
        </w:rPr>
      </w:pPr>
    </w:p>
    <w:p w14:paraId="33D79B5D" w14:textId="0F2E006C" w:rsidR="009952E6" w:rsidRPr="005E4BEA" w:rsidRDefault="009952E6" w:rsidP="009952E6">
      <w:pPr>
        <w:spacing w:line="240" w:lineRule="auto"/>
        <w:jc w:val="both"/>
        <w:rPr>
          <w:rFonts w:cs="Arial"/>
          <w:szCs w:val="20"/>
        </w:rPr>
      </w:pPr>
      <w:r w:rsidRPr="005E4BEA">
        <w:rPr>
          <w:rFonts w:cs="Arial"/>
          <w:szCs w:val="20"/>
        </w:rPr>
        <w:t xml:space="preserve">Sedanji četrti </w:t>
      </w:r>
      <w:r w:rsidR="00754780" w:rsidRPr="005E4BEA">
        <w:rPr>
          <w:rFonts w:cs="Arial"/>
          <w:szCs w:val="20"/>
        </w:rPr>
        <w:t>i</w:t>
      </w:r>
      <w:r w:rsidRPr="005E4BEA">
        <w:rPr>
          <w:rFonts w:cs="Arial"/>
          <w:szCs w:val="20"/>
        </w:rPr>
        <w:t>n peti odstavek postaneta nova tretji in četrti odstavek.</w:t>
      </w:r>
    </w:p>
    <w:p w14:paraId="53CBA190" w14:textId="77777777" w:rsidR="009952E6" w:rsidRPr="005E4BEA" w:rsidRDefault="009952E6" w:rsidP="009952E6">
      <w:pPr>
        <w:spacing w:line="120" w:lineRule="auto"/>
        <w:jc w:val="both"/>
        <w:rPr>
          <w:rFonts w:cs="Arial"/>
          <w:szCs w:val="20"/>
        </w:rPr>
      </w:pPr>
    </w:p>
    <w:p w14:paraId="46020467" w14:textId="701EDB9A" w:rsidR="009952E6" w:rsidRPr="005E4BEA" w:rsidRDefault="009952E6" w:rsidP="009952E6">
      <w:pPr>
        <w:spacing w:line="240" w:lineRule="auto"/>
        <w:jc w:val="both"/>
        <w:rPr>
          <w:rFonts w:cs="Arial"/>
          <w:szCs w:val="20"/>
        </w:rPr>
      </w:pPr>
      <w:r w:rsidRPr="005E4BEA">
        <w:rPr>
          <w:rFonts w:cs="Arial"/>
          <w:szCs w:val="20"/>
        </w:rPr>
        <w:t>Sprememba velja od 1. 1. 2023 naprej.</w:t>
      </w:r>
    </w:p>
    <w:bookmarkEnd w:id="111"/>
    <w:p w14:paraId="6122CC80" w14:textId="606B21F6" w:rsidR="009952E6" w:rsidRPr="005E4BEA" w:rsidRDefault="009952E6" w:rsidP="009952E6">
      <w:pPr>
        <w:spacing w:line="0" w:lineRule="atLeast"/>
        <w:contextualSpacing/>
        <w:jc w:val="both"/>
        <w:rPr>
          <w:rFonts w:eastAsiaTheme="minorHAnsi" w:cs="Arial"/>
          <w:bCs/>
          <w:szCs w:val="20"/>
        </w:rPr>
      </w:pPr>
    </w:p>
    <w:p w14:paraId="0902C25F" w14:textId="77777777" w:rsidR="009952E6" w:rsidRPr="005E4BEA" w:rsidRDefault="009952E6" w:rsidP="009952E6">
      <w:pPr>
        <w:spacing w:line="0" w:lineRule="atLeast"/>
        <w:contextualSpacing/>
        <w:jc w:val="both"/>
        <w:rPr>
          <w:rFonts w:eastAsia="Arial Narrow" w:cs="Arial"/>
          <w:bCs/>
          <w:szCs w:val="20"/>
        </w:rPr>
      </w:pPr>
    </w:p>
    <w:p w14:paraId="0802DF39" w14:textId="4E8658D2" w:rsidR="009952E6" w:rsidRPr="005E4BEA" w:rsidRDefault="009952E6" w:rsidP="00F356C9">
      <w:pPr>
        <w:pStyle w:val="Naslov2"/>
        <w:numPr>
          <w:ilvl w:val="0"/>
          <w:numId w:val="79"/>
        </w:numPr>
        <w:ind w:left="0" w:firstLine="0"/>
        <w:rPr>
          <w:rFonts w:ascii="Arial" w:eastAsia="Arial Narrow" w:hAnsi="Arial" w:cs="Arial"/>
          <w:sz w:val="20"/>
        </w:rPr>
      </w:pPr>
      <w:bookmarkStart w:id="112" w:name="_Hlk102569116"/>
      <w:r w:rsidRPr="005E4BEA">
        <w:rPr>
          <w:rFonts w:ascii="Arial" w:eastAsia="Arial Narrow" w:hAnsi="Arial" w:cs="Arial"/>
          <w:sz w:val="20"/>
        </w:rPr>
        <w:t>SPORNO VPRAŠANJE (77)</w:t>
      </w:r>
    </w:p>
    <w:p w14:paraId="713A49A6" w14:textId="77777777" w:rsidR="009952E6" w:rsidRPr="005E4BEA" w:rsidRDefault="009952E6" w:rsidP="009952E6">
      <w:pPr>
        <w:spacing w:line="0" w:lineRule="atLeast"/>
        <w:contextualSpacing/>
        <w:jc w:val="both"/>
        <w:rPr>
          <w:rFonts w:eastAsia="Arial Narrow" w:cs="Arial"/>
          <w:b/>
          <w:szCs w:val="20"/>
        </w:rPr>
      </w:pPr>
    </w:p>
    <w:p w14:paraId="7FF8F641" w14:textId="6B5BB1EB" w:rsidR="00FE461F" w:rsidRPr="005E4BEA" w:rsidRDefault="009952E6" w:rsidP="009952E6">
      <w:pPr>
        <w:spacing w:line="0" w:lineRule="atLeast"/>
        <w:contextualSpacing/>
        <w:jc w:val="both"/>
        <w:rPr>
          <w:rFonts w:eastAsia="MS Mincho" w:cs="Arial"/>
          <w:szCs w:val="20"/>
        </w:rPr>
      </w:pPr>
      <w:r w:rsidRPr="005E4BEA">
        <w:rPr>
          <w:rFonts w:eastAsia="Arial Narrow" w:cs="Arial"/>
          <w:b/>
          <w:szCs w:val="20"/>
        </w:rPr>
        <w:t xml:space="preserve">Ministrstvo za zdravje </w:t>
      </w:r>
      <w:r w:rsidRPr="005E4BEA">
        <w:rPr>
          <w:rFonts w:eastAsiaTheme="minorHAnsi" w:cs="Arial"/>
          <w:b/>
          <w:szCs w:val="20"/>
        </w:rPr>
        <w:t>predlaga</w:t>
      </w:r>
      <w:r w:rsidRPr="005E4BEA">
        <w:rPr>
          <w:rFonts w:eastAsiaTheme="minorHAnsi" w:cs="Arial"/>
          <w:bCs/>
          <w:szCs w:val="20"/>
        </w:rPr>
        <w:t>, da se v</w:t>
      </w:r>
      <w:r w:rsidR="00FE461F" w:rsidRPr="005E4BEA">
        <w:rPr>
          <w:rFonts w:eastAsia="MS Mincho" w:cs="Arial"/>
          <w:bCs/>
          <w:szCs w:val="20"/>
        </w:rPr>
        <w:t xml:space="preserve"> 37. členu</w:t>
      </w:r>
      <w:r w:rsidR="00FE461F" w:rsidRPr="005E4BEA">
        <w:rPr>
          <w:rFonts w:eastAsia="MS Mincho" w:cs="Arial"/>
          <w:szCs w:val="20"/>
        </w:rPr>
        <w:t xml:space="preserve"> za petim odstavkom doda nov šesti odstavek, ki se glasi:</w:t>
      </w:r>
    </w:p>
    <w:p w14:paraId="37C578E0" w14:textId="77777777" w:rsidR="009952E6" w:rsidRPr="005E4BEA" w:rsidRDefault="009952E6" w:rsidP="009952E6">
      <w:pPr>
        <w:spacing w:line="0" w:lineRule="atLeast"/>
        <w:contextualSpacing/>
        <w:jc w:val="both"/>
        <w:rPr>
          <w:rFonts w:eastAsia="MS Mincho" w:cs="Arial"/>
          <w:szCs w:val="20"/>
        </w:rPr>
      </w:pPr>
    </w:p>
    <w:p w14:paraId="0D0C2988"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 V kolikor se po enem letu beleženja in obračunavanja storitev po novem obračunskem modelu pri izvajalcih ugotovijo bistvena finančna odstopanja, ZZZS pripravi evalvacijo novega obračunskega modela in oblikuje nov oziroma spremenjen obračunski model.«</w:t>
      </w:r>
    </w:p>
    <w:p w14:paraId="26A1FB15" w14:textId="77777777" w:rsidR="00FE461F" w:rsidRPr="005E4BEA" w:rsidRDefault="00FE461F" w:rsidP="00FE461F">
      <w:pPr>
        <w:spacing w:line="240" w:lineRule="auto"/>
        <w:rPr>
          <w:rFonts w:eastAsia="MS Mincho" w:cs="Arial"/>
          <w:szCs w:val="20"/>
        </w:rPr>
      </w:pPr>
    </w:p>
    <w:p w14:paraId="2F2A22B5" w14:textId="2DBB0550" w:rsidR="00FE461F" w:rsidRPr="005E4BEA" w:rsidRDefault="00FE461F" w:rsidP="00FE461F">
      <w:pPr>
        <w:autoSpaceDE w:val="0"/>
        <w:autoSpaceDN w:val="0"/>
        <w:adjustRightInd w:val="0"/>
        <w:spacing w:line="240" w:lineRule="auto"/>
        <w:jc w:val="both"/>
        <w:rPr>
          <w:rFonts w:eastAsiaTheme="minorHAnsi" w:cs="Arial"/>
          <w:b/>
          <w:bCs/>
          <w:i/>
          <w:color w:val="7F7F7F" w:themeColor="text1" w:themeTint="80"/>
          <w:szCs w:val="20"/>
        </w:rPr>
      </w:pPr>
      <w:r w:rsidRPr="005E4BEA">
        <w:rPr>
          <w:rFonts w:eastAsiaTheme="minorHAnsi" w:cs="Arial"/>
          <w:b/>
          <w:bCs/>
          <w:i/>
          <w:color w:val="7F7F7F" w:themeColor="text1" w:themeTint="80"/>
          <w:szCs w:val="20"/>
        </w:rPr>
        <w:t>Finančne posledice: /</w:t>
      </w:r>
    </w:p>
    <w:p w14:paraId="7AC7A307" w14:textId="57C642FF" w:rsidR="009952E6" w:rsidRPr="005E4BEA" w:rsidRDefault="009952E6" w:rsidP="00FE461F">
      <w:pPr>
        <w:autoSpaceDE w:val="0"/>
        <w:autoSpaceDN w:val="0"/>
        <w:adjustRightInd w:val="0"/>
        <w:spacing w:line="240" w:lineRule="auto"/>
        <w:jc w:val="both"/>
        <w:rPr>
          <w:rFonts w:eastAsiaTheme="minorHAnsi" w:cs="Arial"/>
          <w:b/>
          <w:bCs/>
          <w:i/>
          <w:color w:val="7F7F7F" w:themeColor="text1" w:themeTint="80"/>
          <w:szCs w:val="20"/>
        </w:rPr>
      </w:pPr>
    </w:p>
    <w:p w14:paraId="6C05096D" w14:textId="18477DCE" w:rsidR="009952E6" w:rsidRPr="005E4BEA" w:rsidRDefault="009952E6" w:rsidP="00FE461F">
      <w:pPr>
        <w:autoSpaceDE w:val="0"/>
        <w:autoSpaceDN w:val="0"/>
        <w:adjustRightInd w:val="0"/>
        <w:spacing w:line="240" w:lineRule="auto"/>
        <w:jc w:val="both"/>
        <w:rPr>
          <w:rFonts w:eastAsiaTheme="minorHAnsi" w:cs="Arial"/>
          <w:b/>
          <w:bCs/>
          <w:i/>
          <w:color w:val="7F7F7F" w:themeColor="text1" w:themeTint="80"/>
          <w:szCs w:val="20"/>
        </w:rPr>
      </w:pPr>
    </w:p>
    <w:p w14:paraId="58708D2A" w14:textId="3F69650A" w:rsidR="00DD0B96" w:rsidRPr="005E4BEA" w:rsidRDefault="009952E6" w:rsidP="00DD0B96">
      <w:pPr>
        <w:autoSpaceDE w:val="0"/>
        <w:autoSpaceDN w:val="0"/>
        <w:adjustRightInd w:val="0"/>
        <w:spacing w:line="0" w:lineRule="atLeast"/>
        <w:jc w:val="both"/>
        <w:rPr>
          <w:rFonts w:eastAsia="MS Mincho"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r w:rsidR="00504987" w:rsidRPr="005E4BEA">
        <w:rPr>
          <w:rFonts w:eastAsia="MS Mincho" w:cs="Arial"/>
          <w:szCs w:val="20"/>
        </w:rPr>
        <w:t> </w:t>
      </w:r>
      <w:r w:rsidR="00DD0B96" w:rsidRPr="005E4BEA">
        <w:rPr>
          <w:rFonts w:eastAsia="MS Mincho" w:cs="Arial"/>
          <w:szCs w:val="20"/>
        </w:rPr>
        <w:t xml:space="preserve">v modificirani obliki, in  sicer </w:t>
      </w:r>
      <w:bookmarkStart w:id="113" w:name="_Hlk102471952"/>
      <w:r w:rsidR="00DD0B96" w:rsidRPr="005E4BEA">
        <w:rPr>
          <w:rFonts w:eastAsia="MS Mincho" w:cs="Arial"/>
          <w:szCs w:val="20"/>
        </w:rPr>
        <w:t>se za 2</w:t>
      </w:r>
      <w:r w:rsidR="00675067" w:rsidRPr="005E4BEA">
        <w:rPr>
          <w:rFonts w:eastAsia="MS Mincho" w:cs="Arial"/>
          <w:szCs w:val="20"/>
        </w:rPr>
        <w:t>0</w:t>
      </w:r>
      <w:r w:rsidR="00DD0B96" w:rsidRPr="005E4BEA">
        <w:rPr>
          <w:rFonts w:eastAsia="MS Mincho" w:cs="Arial"/>
          <w:szCs w:val="20"/>
        </w:rPr>
        <w:t>. členom doda nov 2</w:t>
      </w:r>
      <w:r w:rsidR="00675067" w:rsidRPr="005E4BEA">
        <w:rPr>
          <w:rFonts w:eastAsia="MS Mincho" w:cs="Arial"/>
          <w:szCs w:val="20"/>
        </w:rPr>
        <w:t>1</w:t>
      </w:r>
      <w:r w:rsidR="00C7272F" w:rsidRPr="005E4BEA">
        <w:rPr>
          <w:rFonts w:eastAsia="MS Mincho" w:cs="Arial"/>
          <w:szCs w:val="20"/>
        </w:rPr>
        <w:t>.</w:t>
      </w:r>
      <w:r w:rsidR="00DD0B96" w:rsidRPr="005E4BEA">
        <w:rPr>
          <w:rFonts w:eastAsia="MS Mincho" w:cs="Arial"/>
          <w:szCs w:val="20"/>
        </w:rPr>
        <w:t xml:space="preserve"> člen, ki se glasi:</w:t>
      </w:r>
    </w:p>
    <w:p w14:paraId="4EA6DBF7" w14:textId="601F954A" w:rsidR="00DD0B96" w:rsidRPr="005E4BEA" w:rsidRDefault="00DD0B96" w:rsidP="00DD0B96">
      <w:pPr>
        <w:autoSpaceDE w:val="0"/>
        <w:autoSpaceDN w:val="0"/>
        <w:adjustRightInd w:val="0"/>
        <w:spacing w:line="0" w:lineRule="atLeast"/>
        <w:jc w:val="both"/>
        <w:rPr>
          <w:rFonts w:eastAsia="MS Mincho" w:cs="Arial"/>
          <w:szCs w:val="20"/>
        </w:rPr>
      </w:pPr>
      <w:r w:rsidRPr="005E4BEA">
        <w:rPr>
          <w:rFonts w:eastAsia="MS Mincho" w:cs="Arial"/>
          <w:szCs w:val="20"/>
        </w:rPr>
        <w:t>»Izvajalci lahko v enem letu po uvedbi novega obračunskega modela, pripravijo in ZZZS predložijo stroškovno in vsebinsko evalvacijo obračunskega modela, na podl</w:t>
      </w:r>
      <w:r w:rsidR="002F7370" w:rsidRPr="005E4BEA">
        <w:rPr>
          <w:rFonts w:eastAsia="MS Mincho" w:cs="Arial"/>
          <w:szCs w:val="20"/>
        </w:rPr>
        <w:t>a</w:t>
      </w:r>
      <w:r w:rsidRPr="005E4BEA">
        <w:rPr>
          <w:rFonts w:eastAsia="MS Mincho" w:cs="Arial"/>
          <w:szCs w:val="20"/>
        </w:rPr>
        <w:t>gi katere lahko ZZZS prouči potrebo po morebitni spremembi obračunskega modela.«</w:t>
      </w:r>
      <w:bookmarkEnd w:id="113"/>
    </w:p>
    <w:bookmarkEnd w:id="112"/>
    <w:p w14:paraId="45F14BD4" w14:textId="584FE704" w:rsidR="00567E48" w:rsidRPr="005E4BEA" w:rsidRDefault="00504987" w:rsidP="00567E48">
      <w:pPr>
        <w:autoSpaceDE w:val="0"/>
        <w:autoSpaceDN w:val="0"/>
        <w:adjustRightInd w:val="0"/>
        <w:spacing w:line="0" w:lineRule="atLeast"/>
        <w:jc w:val="both"/>
        <w:rPr>
          <w:rFonts w:eastAsia="MS Mincho" w:cs="Arial"/>
          <w:szCs w:val="20"/>
        </w:rPr>
      </w:pPr>
      <w:r w:rsidRPr="005E4BEA">
        <w:rPr>
          <w:rFonts w:eastAsia="MS Mincho" w:cs="Arial"/>
          <w:szCs w:val="20"/>
        </w:rPr>
        <w:br/>
      </w:r>
      <w:r w:rsidR="009952E6" w:rsidRPr="005E4BEA">
        <w:rPr>
          <w:rFonts w:eastAsia="Arial Narrow" w:cs="Arial"/>
          <w:b/>
          <w:szCs w:val="20"/>
        </w:rPr>
        <w:t>Ministrstvo za zdravje predlaga Vladi Republike Slovenije</w:t>
      </w:r>
      <w:r w:rsidR="009952E6" w:rsidRPr="005E4BEA">
        <w:rPr>
          <w:rFonts w:eastAsia="Arial Narrow" w:cs="Arial"/>
          <w:szCs w:val="20"/>
        </w:rPr>
        <w:t xml:space="preserve">, </w:t>
      </w:r>
      <w:bookmarkStart w:id="114" w:name="_Hlk102647785"/>
      <w:r w:rsidRPr="005E4BEA">
        <w:rPr>
          <w:rFonts w:eastAsiaTheme="minorHAnsi" w:cs="Arial"/>
          <w:bCs/>
          <w:szCs w:val="20"/>
        </w:rPr>
        <w:t xml:space="preserve">da se </w:t>
      </w:r>
      <w:r w:rsidR="00567E48" w:rsidRPr="005E4BEA">
        <w:rPr>
          <w:rFonts w:eastAsia="MS Mincho" w:cs="Arial"/>
          <w:szCs w:val="20"/>
        </w:rPr>
        <w:t>za 20. členom doda nov 21. člen, ki se glasi:</w:t>
      </w:r>
    </w:p>
    <w:p w14:paraId="54F6EF63" w14:textId="77777777" w:rsidR="00567E48" w:rsidRPr="005E4BEA" w:rsidRDefault="00567E48" w:rsidP="00567E48">
      <w:pPr>
        <w:autoSpaceDE w:val="0"/>
        <w:autoSpaceDN w:val="0"/>
        <w:adjustRightInd w:val="0"/>
        <w:spacing w:line="0" w:lineRule="atLeast"/>
        <w:jc w:val="both"/>
        <w:rPr>
          <w:rFonts w:eastAsia="MS Mincho" w:cs="Arial"/>
          <w:szCs w:val="20"/>
        </w:rPr>
      </w:pPr>
      <w:r w:rsidRPr="005E4BEA">
        <w:rPr>
          <w:rFonts w:eastAsia="MS Mincho" w:cs="Arial"/>
          <w:szCs w:val="20"/>
        </w:rPr>
        <w:t>»Izvajalci lahko v enem letu po uvedbi novega obračunskega modela, pripravijo in ZZZS predložijo stroškovno in vsebinsko evalvacijo obračunskega modela, na podlagi katere lahko ZZZS prouči potrebo po morebitni spremembi obračunskega modela.«</w:t>
      </w:r>
    </w:p>
    <w:bookmarkEnd w:id="114"/>
    <w:p w14:paraId="54E1BB57" w14:textId="77777777" w:rsidR="00504987" w:rsidRPr="005E4BEA" w:rsidRDefault="00504987" w:rsidP="00504987">
      <w:pPr>
        <w:spacing w:line="0" w:lineRule="atLeast"/>
        <w:contextualSpacing/>
        <w:jc w:val="both"/>
        <w:rPr>
          <w:rFonts w:eastAsiaTheme="minorHAnsi" w:cs="Arial"/>
          <w:b/>
          <w:bCs/>
          <w:i/>
          <w:color w:val="7F7F7F" w:themeColor="text1" w:themeTint="80"/>
          <w:szCs w:val="20"/>
        </w:rPr>
      </w:pPr>
    </w:p>
    <w:p w14:paraId="68ED25B5" w14:textId="7EA03BEF" w:rsidR="00504987" w:rsidRPr="005E4BEA" w:rsidRDefault="00504987"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(78)</w:t>
      </w:r>
    </w:p>
    <w:p w14:paraId="0F6D68ED" w14:textId="735EF947" w:rsidR="00504987" w:rsidRPr="005E4BEA" w:rsidRDefault="00504987" w:rsidP="00504987">
      <w:pPr>
        <w:spacing w:line="0" w:lineRule="atLeast"/>
        <w:contextualSpacing/>
        <w:jc w:val="both"/>
        <w:rPr>
          <w:rFonts w:eastAsia="Arial Narrow" w:cs="Arial"/>
          <w:b/>
          <w:szCs w:val="20"/>
        </w:rPr>
      </w:pPr>
    </w:p>
    <w:p w14:paraId="281FF853" w14:textId="0B6A5758" w:rsidR="00FE461F" w:rsidRPr="005E4BEA" w:rsidRDefault="00504987" w:rsidP="00504987">
      <w:pPr>
        <w:spacing w:line="0" w:lineRule="atLeast"/>
        <w:contextualSpacing/>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da se v</w:t>
      </w:r>
      <w:r w:rsidR="00FE461F" w:rsidRPr="005E4BEA">
        <w:rPr>
          <w:rFonts w:cs="Arial"/>
          <w:bCs/>
          <w:szCs w:val="20"/>
        </w:rPr>
        <w:t xml:space="preserve"> 42. členu doda nov 3. odstavek, ki glasi:</w:t>
      </w:r>
    </w:p>
    <w:p w14:paraId="09A58245" w14:textId="77777777" w:rsidR="00504987" w:rsidRPr="005E4BEA" w:rsidRDefault="00504987" w:rsidP="00504987">
      <w:pPr>
        <w:spacing w:line="0" w:lineRule="atLeast"/>
        <w:contextualSpacing/>
        <w:jc w:val="both"/>
        <w:rPr>
          <w:rFonts w:cs="Arial"/>
          <w:bCs/>
          <w:szCs w:val="20"/>
        </w:rPr>
      </w:pPr>
    </w:p>
    <w:p w14:paraId="6D864FA2" w14:textId="77777777" w:rsidR="00FE461F" w:rsidRPr="005E4BEA" w:rsidRDefault="00FE461F" w:rsidP="00FE461F">
      <w:pPr>
        <w:spacing w:line="240" w:lineRule="auto"/>
        <w:jc w:val="both"/>
        <w:rPr>
          <w:rFonts w:cs="Arial"/>
          <w:iCs/>
          <w:szCs w:val="20"/>
        </w:rPr>
      </w:pPr>
      <w:r w:rsidRPr="005E4BEA">
        <w:rPr>
          <w:rFonts w:cs="Arial"/>
          <w:iCs/>
          <w:szCs w:val="20"/>
        </w:rPr>
        <w:t xml:space="preserve">»V primeru, da izvajalci prejmejo obračun opravljenih storitev z neusklajenim deležem obveznega zdravstvenega zavarovanja in prostovoljnega zavarovanja, ki je določen v skladu s Zakonom o </w:t>
      </w:r>
      <w:r w:rsidRPr="005E4BEA">
        <w:rPr>
          <w:rFonts w:cs="Arial"/>
          <w:iCs/>
          <w:szCs w:val="20"/>
        </w:rPr>
        <w:lastRenderedPageBreak/>
        <w:t xml:space="preserve">zdravstvenem varstvu in zdravstvenem zavarovanju, je razlaga pravilnosti ustreznega deleža med obveznim in prostovoljnim zavarovanjem v pristojnosti Ministrstva za zdravje.« </w:t>
      </w:r>
    </w:p>
    <w:p w14:paraId="54A9DEA1" w14:textId="2D83467E" w:rsidR="00FE461F" w:rsidRPr="005E4BEA" w:rsidRDefault="00FE461F" w:rsidP="00FE461F">
      <w:pPr>
        <w:spacing w:line="240" w:lineRule="auto"/>
        <w:jc w:val="both"/>
        <w:rPr>
          <w:rFonts w:cs="Arial"/>
          <w:iCs/>
          <w:szCs w:val="20"/>
        </w:rPr>
      </w:pPr>
      <w:r w:rsidRPr="005E4BEA">
        <w:rPr>
          <w:rFonts w:cs="Arial"/>
          <w:iCs/>
          <w:szCs w:val="20"/>
        </w:rPr>
        <w:t>Ostali odstavki se preštevilčijo.</w:t>
      </w:r>
    </w:p>
    <w:p w14:paraId="203416CF" w14:textId="77777777" w:rsidR="00504987" w:rsidRPr="005E4BEA" w:rsidRDefault="00504987" w:rsidP="00FE461F">
      <w:pPr>
        <w:spacing w:line="240" w:lineRule="auto"/>
        <w:jc w:val="both"/>
        <w:rPr>
          <w:rFonts w:cs="Arial"/>
          <w:iCs/>
          <w:szCs w:val="20"/>
        </w:rPr>
      </w:pPr>
    </w:p>
    <w:p w14:paraId="13CEAC2B"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AAFB3C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drugem odstavku 12. člena ZZVZZ je zapis, da obseg obveznega zdravstvenega zavarovanja določa ta zakon. V praksi prihaja do situacij, kjer po nadzorih, tako s strani Zavoda za zdravstveno zavarovanje Slovenije, kot s strani prostovoljnih zavarovalnic, ni enake razlage o višini poročanja deleža med obveznim in prostovoljnim zavarovanjem, ki je določen 23. členu ZZVZZ. V takšnih primerih so izvajalci nemočni ob zahtevah po vračilu oziroma neplačilu obeh deležnikov, ki vsaka po svoje tolmači ZZVZZ. Zato Združenje predlaga, da v takšnih primerih poda pravilnost razlage Ministrstvo za zdravje v pristojnosti katerega je ZZVZZ.</w:t>
      </w:r>
    </w:p>
    <w:p w14:paraId="418FCD8D" w14:textId="77777777" w:rsidR="00FE461F" w:rsidRPr="005E4BEA" w:rsidRDefault="00FE461F" w:rsidP="00FE461F">
      <w:pPr>
        <w:spacing w:line="240" w:lineRule="auto"/>
        <w:jc w:val="both"/>
        <w:rPr>
          <w:rFonts w:cs="Arial"/>
          <w:i/>
          <w:iCs/>
          <w:color w:val="808080" w:themeColor="background1" w:themeShade="80"/>
          <w:szCs w:val="20"/>
        </w:rPr>
      </w:pPr>
    </w:p>
    <w:p w14:paraId="25A82DD6" w14:textId="77777777" w:rsidR="00504987" w:rsidRPr="005E4BEA" w:rsidRDefault="00504987" w:rsidP="00504987">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FF341CF" w14:textId="77777777" w:rsidR="00504987" w:rsidRPr="005E4BEA" w:rsidRDefault="00504987" w:rsidP="00504987">
      <w:pPr>
        <w:spacing w:line="0" w:lineRule="atLeast"/>
        <w:jc w:val="both"/>
        <w:rPr>
          <w:rFonts w:eastAsia="Arial Narrow" w:cs="Arial"/>
          <w:szCs w:val="20"/>
          <w:lang w:eastAsia="sl-SI"/>
        </w:rPr>
      </w:pPr>
    </w:p>
    <w:p w14:paraId="72307E95" w14:textId="59BC70EA" w:rsidR="00504987" w:rsidRPr="005E4BEA" w:rsidRDefault="00504987" w:rsidP="00504987">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42</w:t>
      </w:r>
      <w:r w:rsidRPr="005E4BEA">
        <w:rPr>
          <w:rFonts w:eastAsiaTheme="minorHAnsi" w:cs="Arial"/>
          <w:bCs/>
          <w:szCs w:val="20"/>
        </w:rPr>
        <w:t>. člen Splošnega dogovora ne spremeni.</w:t>
      </w:r>
    </w:p>
    <w:p w14:paraId="2D44953B" w14:textId="77777777" w:rsidR="00504987" w:rsidRPr="005E4BEA" w:rsidRDefault="00504987" w:rsidP="00504987">
      <w:pPr>
        <w:spacing w:line="0" w:lineRule="atLeast"/>
        <w:contextualSpacing/>
        <w:jc w:val="both"/>
        <w:rPr>
          <w:rFonts w:eastAsiaTheme="minorHAnsi" w:cs="Arial"/>
          <w:bCs/>
          <w:szCs w:val="20"/>
        </w:rPr>
      </w:pPr>
    </w:p>
    <w:p w14:paraId="44CD7D5A" w14:textId="77777777" w:rsidR="00FE461F" w:rsidRPr="005E4BEA" w:rsidRDefault="00FE461F" w:rsidP="00FE461F">
      <w:pPr>
        <w:spacing w:line="240" w:lineRule="auto"/>
        <w:jc w:val="both"/>
        <w:rPr>
          <w:rFonts w:cs="Arial"/>
          <w:i/>
          <w:iCs/>
          <w:color w:val="808080" w:themeColor="background1" w:themeShade="80"/>
          <w:szCs w:val="20"/>
        </w:rPr>
      </w:pPr>
    </w:p>
    <w:p w14:paraId="3901BBFD" w14:textId="7D4A5073" w:rsidR="00504987" w:rsidRPr="005E4BEA" w:rsidRDefault="00504987"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(79)</w:t>
      </w:r>
    </w:p>
    <w:p w14:paraId="1295BD78" w14:textId="77777777" w:rsidR="00504987" w:rsidRPr="005E4BEA" w:rsidRDefault="00504987" w:rsidP="00504987">
      <w:pPr>
        <w:spacing w:line="0" w:lineRule="atLeast"/>
        <w:contextualSpacing/>
        <w:jc w:val="both"/>
        <w:rPr>
          <w:rFonts w:eastAsia="Arial Narrow" w:cs="Arial"/>
          <w:b/>
          <w:szCs w:val="20"/>
        </w:rPr>
      </w:pPr>
    </w:p>
    <w:p w14:paraId="7C8D70F5" w14:textId="0DA9C714" w:rsidR="00FE461F" w:rsidRPr="005E4BEA" w:rsidRDefault="00504987" w:rsidP="00504987">
      <w:pPr>
        <w:spacing w:line="0" w:lineRule="atLeast"/>
        <w:contextualSpacing/>
        <w:jc w:val="both"/>
        <w:rPr>
          <w:rFonts w:cs="Arial"/>
          <w:b/>
          <w:bCs/>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č</w:t>
      </w:r>
      <w:r w:rsidR="00FE461F" w:rsidRPr="005E4BEA">
        <w:rPr>
          <w:rFonts w:cs="Arial"/>
          <w:bCs/>
          <w:szCs w:val="20"/>
        </w:rPr>
        <w:t>rta 15. točka 43. člena.</w:t>
      </w:r>
    </w:p>
    <w:p w14:paraId="59336542" w14:textId="77777777" w:rsidR="00FE461F" w:rsidRPr="005E4BEA" w:rsidRDefault="00FE461F" w:rsidP="00FE461F">
      <w:pPr>
        <w:spacing w:line="240" w:lineRule="auto"/>
        <w:jc w:val="both"/>
        <w:rPr>
          <w:rFonts w:cs="Arial"/>
          <w:b/>
          <w:bCs/>
          <w:szCs w:val="20"/>
        </w:rPr>
      </w:pPr>
    </w:p>
    <w:p w14:paraId="23C0715D"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28C9D534"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Predlagamo, da se kot kršitev pogodbene obveznosti ne upošteva vodenje čakalnega seznama. Zato predlagamo brisanje 15. točke 43. člena, ki se glasi:</w:t>
      </w:r>
    </w:p>
    <w:p w14:paraId="6204EC41"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»15. ne vodi čakalnega seznama v skladu z določbami Zakona o pacientovih pravicah in Pravilnika o najdaljših dopustnih čakalnih dobah,«</w:t>
      </w:r>
    </w:p>
    <w:p w14:paraId="71E85493" w14:textId="77777777" w:rsidR="00FE461F" w:rsidRPr="005E4BEA" w:rsidRDefault="00FE461F" w:rsidP="00FE461F">
      <w:pPr>
        <w:spacing w:line="240" w:lineRule="auto"/>
        <w:jc w:val="both"/>
        <w:rPr>
          <w:rFonts w:eastAsia="Calibri" w:cs="Arial"/>
          <w:i/>
          <w:iCs/>
          <w:color w:val="7F7F7F"/>
          <w:szCs w:val="20"/>
        </w:rPr>
      </w:pPr>
    </w:p>
    <w:p w14:paraId="790178DF" w14:textId="54CD6AD1"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 xml:space="preserve">Finančni učinki: ni finančnih učinkov </w:t>
      </w:r>
    </w:p>
    <w:p w14:paraId="6787BBB3" w14:textId="5D38BD48" w:rsidR="00504987" w:rsidRPr="005E4BEA" w:rsidRDefault="00504987" w:rsidP="00FE461F">
      <w:pPr>
        <w:spacing w:line="240" w:lineRule="auto"/>
        <w:jc w:val="both"/>
        <w:rPr>
          <w:rFonts w:eastAsia="Calibri" w:cs="Arial"/>
          <w:i/>
          <w:iCs/>
          <w:color w:val="7F7F7F"/>
          <w:szCs w:val="20"/>
        </w:rPr>
      </w:pPr>
    </w:p>
    <w:p w14:paraId="11A84F6B" w14:textId="77777777" w:rsidR="00504987" w:rsidRPr="005E4BEA" w:rsidRDefault="00504987" w:rsidP="00504987">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00FB7160" w14:textId="77777777" w:rsidR="00504987" w:rsidRPr="005E4BEA" w:rsidRDefault="00504987" w:rsidP="00504987">
      <w:pPr>
        <w:spacing w:line="0" w:lineRule="atLeast"/>
        <w:jc w:val="both"/>
        <w:rPr>
          <w:rFonts w:eastAsia="Arial Narrow" w:cs="Arial"/>
          <w:szCs w:val="20"/>
          <w:lang w:eastAsia="sl-SI"/>
        </w:rPr>
      </w:pPr>
    </w:p>
    <w:p w14:paraId="49391783" w14:textId="3E43BE25" w:rsidR="00504987" w:rsidRPr="005E4BEA" w:rsidRDefault="00504987" w:rsidP="00504987">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43</w:t>
      </w:r>
      <w:r w:rsidRPr="005E4BEA">
        <w:rPr>
          <w:rFonts w:eastAsiaTheme="minorHAnsi" w:cs="Arial"/>
          <w:bCs/>
          <w:szCs w:val="20"/>
        </w:rPr>
        <w:t>. člen Splošnega dogovora ne spremeni.</w:t>
      </w:r>
    </w:p>
    <w:p w14:paraId="0143311D" w14:textId="77777777" w:rsidR="00504987" w:rsidRPr="005E4BEA" w:rsidRDefault="00504987" w:rsidP="00504987">
      <w:pPr>
        <w:spacing w:line="240" w:lineRule="auto"/>
        <w:jc w:val="both"/>
        <w:rPr>
          <w:rFonts w:cs="Arial"/>
          <w:i/>
          <w:iCs/>
          <w:color w:val="808080" w:themeColor="background1" w:themeShade="80"/>
          <w:szCs w:val="20"/>
        </w:rPr>
      </w:pPr>
    </w:p>
    <w:p w14:paraId="09BFDDE3" w14:textId="743058E0" w:rsidR="00504987" w:rsidRPr="005E4BEA" w:rsidRDefault="00504987"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(80)</w:t>
      </w:r>
    </w:p>
    <w:p w14:paraId="20AFF15C" w14:textId="77777777" w:rsidR="00504987" w:rsidRPr="005E4BEA" w:rsidRDefault="00504987" w:rsidP="00504987">
      <w:pPr>
        <w:spacing w:line="0" w:lineRule="atLeast"/>
        <w:contextualSpacing/>
        <w:jc w:val="both"/>
        <w:rPr>
          <w:rFonts w:eastAsia="Arial Narrow" w:cs="Arial"/>
          <w:b/>
          <w:szCs w:val="20"/>
        </w:rPr>
      </w:pPr>
    </w:p>
    <w:p w14:paraId="66B4EDE9" w14:textId="28A2F1EA" w:rsidR="00FE461F" w:rsidRPr="005E4BEA" w:rsidRDefault="00504987" w:rsidP="00504987">
      <w:pPr>
        <w:spacing w:line="0" w:lineRule="atLeast"/>
        <w:contextualSpacing/>
        <w:jc w:val="both"/>
        <w:rPr>
          <w:rFonts w:eastAsiaTheme="minorHAnsi" w:cs="Arial"/>
          <w:bCs/>
          <w:szCs w:val="20"/>
        </w:rPr>
      </w:pPr>
      <w:r w:rsidRPr="005E4BEA">
        <w:rPr>
          <w:rFonts w:eastAsia="Arial Narrow" w:cs="Arial"/>
          <w:b/>
          <w:szCs w:val="20"/>
        </w:rPr>
        <w:t xml:space="preserve">Zavod za zdravstveno zavarovanje Slovenije </w:t>
      </w:r>
      <w:r w:rsidRPr="005E4BEA">
        <w:rPr>
          <w:rFonts w:eastAsiaTheme="minorHAnsi" w:cs="Arial"/>
          <w:b/>
          <w:szCs w:val="20"/>
        </w:rPr>
        <w:t>predlaga</w:t>
      </w:r>
      <w:r w:rsidRPr="005E4BEA">
        <w:rPr>
          <w:rFonts w:eastAsiaTheme="minorHAnsi" w:cs="Arial"/>
          <w:bCs/>
          <w:szCs w:val="20"/>
        </w:rPr>
        <w:t>, da se v</w:t>
      </w:r>
      <w:r w:rsidR="00FE461F" w:rsidRPr="005E4BEA">
        <w:rPr>
          <w:rFonts w:cs="Arial"/>
          <w:bCs/>
          <w:szCs w:val="20"/>
        </w:rPr>
        <w:t xml:space="preserve"> 44. členu v (2) odstavku zadnji stavek nadomesti z besedilom, ki se glasi:</w:t>
      </w:r>
    </w:p>
    <w:p w14:paraId="4618044C" w14:textId="77777777" w:rsidR="00FE461F" w:rsidRPr="005E4BEA" w:rsidRDefault="00FE461F" w:rsidP="00FE461F">
      <w:pPr>
        <w:spacing w:line="60" w:lineRule="exact"/>
        <w:jc w:val="both"/>
        <w:rPr>
          <w:rFonts w:cs="Arial"/>
          <w:szCs w:val="20"/>
        </w:rPr>
      </w:pPr>
    </w:p>
    <w:p w14:paraId="2269ACBB" w14:textId="77777777" w:rsidR="00FE461F" w:rsidRPr="005E4BEA" w:rsidRDefault="00FE461F" w:rsidP="00FE461F">
      <w:pPr>
        <w:spacing w:line="240" w:lineRule="auto"/>
        <w:jc w:val="both"/>
        <w:rPr>
          <w:rFonts w:cs="Arial"/>
          <w:szCs w:val="20"/>
        </w:rPr>
      </w:pPr>
      <w:r w:rsidRPr="005E4BEA">
        <w:rPr>
          <w:rFonts w:cs="Arial"/>
          <w:szCs w:val="20"/>
        </w:rPr>
        <w:t>»Vrednost nepravilnega obračuna se ugotovi tako, da se vse dni nege I, II in III, za katere je izvajalec nego neupravičeno obračunal ali je za oskrbovanca obračunal previsok tip nege glede na navedena merila, pomnoži s povprečno ceno nege I, II in III. Vrednost nepravilnega obračuna najzahtevnejše nege se ugotovi:</w:t>
      </w:r>
    </w:p>
    <w:p w14:paraId="4B144299" w14:textId="77777777" w:rsidR="00FE461F" w:rsidRPr="005E4BEA" w:rsidRDefault="00FE461F" w:rsidP="00FE461F">
      <w:pPr>
        <w:spacing w:line="240" w:lineRule="auto"/>
        <w:ind w:left="567" w:hanging="141"/>
        <w:jc w:val="both"/>
        <w:rPr>
          <w:rFonts w:cs="Arial"/>
          <w:szCs w:val="20"/>
        </w:rPr>
      </w:pPr>
      <w:r w:rsidRPr="005E4BEA">
        <w:rPr>
          <w:rFonts w:cs="Arial"/>
          <w:szCs w:val="20"/>
        </w:rPr>
        <w:t>-</w:t>
      </w:r>
      <w:r w:rsidRPr="005E4BEA">
        <w:rPr>
          <w:rFonts w:cs="Arial"/>
          <w:szCs w:val="20"/>
        </w:rPr>
        <w:tab/>
        <w:t>če nadomestna nega ni priznana, se sešteje vse dni najzahtevnejše nege, za katere je izvajalec nego neupravičeno obračunal in pomnoži s ceno najzahtevnejše nege</w:t>
      </w:r>
    </w:p>
    <w:p w14:paraId="634BB80E" w14:textId="77777777" w:rsidR="00FE461F" w:rsidRPr="005E4BEA" w:rsidRDefault="00FE461F" w:rsidP="00FE461F">
      <w:pPr>
        <w:spacing w:line="240" w:lineRule="auto"/>
        <w:ind w:left="567" w:hanging="141"/>
        <w:jc w:val="both"/>
        <w:rPr>
          <w:rFonts w:cs="Arial"/>
          <w:szCs w:val="20"/>
        </w:rPr>
      </w:pPr>
      <w:r w:rsidRPr="005E4BEA">
        <w:rPr>
          <w:rFonts w:cs="Arial"/>
          <w:szCs w:val="20"/>
        </w:rPr>
        <w:t>-</w:t>
      </w:r>
      <w:r w:rsidRPr="005E4BEA">
        <w:rPr>
          <w:rFonts w:cs="Arial"/>
          <w:szCs w:val="20"/>
        </w:rPr>
        <w:tab/>
        <w:t>če je priznana nega I, II ali III, se sešteje vse dni najzahtevnejše nege, za katere je izvajalec obračunal previsok tip nege in pomnoži z razliko med ceno najzahtevnejše nege in  povprečno ceno nege I, II in III.«</w:t>
      </w:r>
    </w:p>
    <w:p w14:paraId="6AE0CE12" w14:textId="77777777" w:rsidR="00FE461F" w:rsidRPr="005E4BEA" w:rsidRDefault="00FE461F" w:rsidP="00FE461F">
      <w:pPr>
        <w:spacing w:line="120" w:lineRule="exact"/>
        <w:jc w:val="both"/>
        <w:rPr>
          <w:rFonts w:cs="Arial"/>
          <w:szCs w:val="20"/>
          <w:u w:val="single"/>
        </w:rPr>
      </w:pPr>
    </w:p>
    <w:p w14:paraId="4D4E7256" w14:textId="77777777" w:rsidR="00FE461F" w:rsidRPr="005E4BEA" w:rsidRDefault="00FE461F" w:rsidP="00FE461F">
      <w:pPr>
        <w:spacing w:line="240" w:lineRule="auto"/>
        <w:jc w:val="both"/>
        <w:rPr>
          <w:rFonts w:cs="Arial"/>
          <w:szCs w:val="20"/>
        </w:rPr>
      </w:pPr>
      <w:r w:rsidRPr="005E4BEA">
        <w:rPr>
          <w:rFonts w:cs="Arial"/>
          <w:szCs w:val="20"/>
        </w:rPr>
        <w:t>Sprememba velja od 1. 1. 2023 naprej.</w:t>
      </w:r>
    </w:p>
    <w:p w14:paraId="5585395D" w14:textId="77777777" w:rsidR="00FE461F" w:rsidRPr="005E4BEA" w:rsidRDefault="00FE461F" w:rsidP="00FE461F">
      <w:pPr>
        <w:spacing w:line="240" w:lineRule="auto"/>
        <w:jc w:val="both"/>
        <w:rPr>
          <w:rFonts w:cs="Arial"/>
          <w:szCs w:val="20"/>
        </w:rPr>
      </w:pPr>
    </w:p>
    <w:p w14:paraId="72F682BE" w14:textId="77777777" w:rsidR="00FE461F" w:rsidRPr="005E4BEA" w:rsidRDefault="00FE461F" w:rsidP="00FE461F">
      <w:pPr>
        <w:spacing w:line="120" w:lineRule="auto"/>
        <w:jc w:val="both"/>
        <w:rPr>
          <w:rFonts w:cs="Arial"/>
          <w:color w:val="808080" w:themeColor="background1" w:themeShade="80"/>
          <w:szCs w:val="20"/>
          <w:u w:val="single"/>
        </w:rPr>
      </w:pPr>
    </w:p>
    <w:p w14:paraId="7602AAAE"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5F5AD88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predlaga, da se pri izračunu vrednosti nepravilnega obračuna zdravstvene nege opredeli izračun nepravilnega obračuna najzahtevnejše nege. Cena za najzahtevnejšo nego je določena posebej in se ne upošteva pri izračunu povprečne cene zdravstvene nege.</w:t>
      </w:r>
    </w:p>
    <w:p w14:paraId="3B32CFD3" w14:textId="77777777" w:rsidR="00FE461F" w:rsidRPr="005E4BEA" w:rsidRDefault="00FE461F" w:rsidP="00FE461F">
      <w:pPr>
        <w:spacing w:line="60" w:lineRule="exact"/>
        <w:jc w:val="both"/>
        <w:rPr>
          <w:rFonts w:cs="Arial"/>
          <w:szCs w:val="20"/>
        </w:rPr>
      </w:pPr>
    </w:p>
    <w:p w14:paraId="275B9E61" w14:textId="0E276DA9"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lastRenderedPageBreak/>
        <w:t>Finančne posledice: -</w:t>
      </w:r>
    </w:p>
    <w:p w14:paraId="19A6A318" w14:textId="28CB9A20" w:rsidR="00504987" w:rsidRPr="005E4BEA" w:rsidRDefault="00504987" w:rsidP="00FE461F">
      <w:pPr>
        <w:spacing w:line="240" w:lineRule="auto"/>
        <w:jc w:val="both"/>
        <w:rPr>
          <w:rFonts w:eastAsiaTheme="minorHAnsi" w:cs="Arial"/>
          <w:i/>
          <w:color w:val="808080" w:themeColor="background1" w:themeShade="80"/>
          <w:szCs w:val="20"/>
        </w:rPr>
      </w:pPr>
    </w:p>
    <w:p w14:paraId="6509E774" w14:textId="4CDE10EA" w:rsidR="00504987" w:rsidRPr="005E4BEA" w:rsidRDefault="00504987" w:rsidP="00504987">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4801446D" w14:textId="77777777" w:rsidR="00504987" w:rsidRPr="005E4BEA" w:rsidRDefault="00504987" w:rsidP="00504987">
      <w:pPr>
        <w:spacing w:line="0" w:lineRule="atLeast"/>
        <w:jc w:val="both"/>
        <w:rPr>
          <w:rFonts w:eastAsia="Arial Narrow" w:cs="Arial"/>
          <w:szCs w:val="20"/>
          <w:lang w:eastAsia="sl-SI"/>
        </w:rPr>
      </w:pPr>
    </w:p>
    <w:p w14:paraId="4CE03A9D" w14:textId="3F019696" w:rsidR="00504987" w:rsidRPr="005E4BEA" w:rsidRDefault="00504987" w:rsidP="00504987">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5" w:name="_Hlk102472101"/>
      <w:r w:rsidRPr="005E4BEA">
        <w:rPr>
          <w:rFonts w:eastAsiaTheme="minorHAnsi" w:cs="Arial"/>
          <w:bCs/>
          <w:szCs w:val="20"/>
        </w:rPr>
        <w:t>da se v</w:t>
      </w:r>
      <w:r w:rsidRPr="005E4BEA">
        <w:rPr>
          <w:rFonts w:cs="Arial"/>
          <w:bCs/>
          <w:szCs w:val="20"/>
        </w:rPr>
        <w:t xml:space="preserve"> 44. členu v drugem odstavku besedilo zadnjega stavka nadomesti z besedilom, ki se glasi:</w:t>
      </w:r>
    </w:p>
    <w:p w14:paraId="51357007" w14:textId="77777777" w:rsidR="00504987" w:rsidRPr="005E4BEA" w:rsidRDefault="00504987" w:rsidP="00504987">
      <w:pPr>
        <w:spacing w:line="60" w:lineRule="exact"/>
        <w:jc w:val="both"/>
        <w:rPr>
          <w:rFonts w:cs="Arial"/>
          <w:szCs w:val="20"/>
        </w:rPr>
      </w:pPr>
    </w:p>
    <w:p w14:paraId="0A1791F7" w14:textId="77777777" w:rsidR="00504987" w:rsidRPr="005E4BEA" w:rsidRDefault="00504987" w:rsidP="00504987">
      <w:pPr>
        <w:spacing w:line="240" w:lineRule="auto"/>
        <w:jc w:val="both"/>
        <w:rPr>
          <w:rFonts w:cs="Arial"/>
          <w:szCs w:val="20"/>
        </w:rPr>
      </w:pPr>
      <w:r w:rsidRPr="005E4BEA">
        <w:rPr>
          <w:rFonts w:cs="Arial"/>
          <w:szCs w:val="20"/>
        </w:rPr>
        <w:t>»Vrednost nepravilnega obračuna se ugotovi tako, da se vse dni nege I, II in III, za katere je izvajalec nego neupravičeno obračunal ali je za oskrbovanca obračunal previsok tip nege glede na navedena merila, pomnoži s povprečno ceno nege I, II in III. Vrednost nepravilnega obračuna najzahtevnejše nege se ugotovi:</w:t>
      </w:r>
    </w:p>
    <w:p w14:paraId="454766E7" w14:textId="77777777" w:rsidR="00504987" w:rsidRPr="005E4BEA" w:rsidRDefault="00504987" w:rsidP="00504987">
      <w:pPr>
        <w:spacing w:line="240" w:lineRule="auto"/>
        <w:ind w:left="567" w:hanging="141"/>
        <w:jc w:val="both"/>
        <w:rPr>
          <w:rFonts w:cs="Arial"/>
          <w:szCs w:val="20"/>
        </w:rPr>
      </w:pPr>
      <w:r w:rsidRPr="005E4BEA">
        <w:rPr>
          <w:rFonts w:cs="Arial"/>
          <w:szCs w:val="20"/>
        </w:rPr>
        <w:t>-</w:t>
      </w:r>
      <w:r w:rsidRPr="005E4BEA">
        <w:rPr>
          <w:rFonts w:cs="Arial"/>
          <w:szCs w:val="20"/>
        </w:rPr>
        <w:tab/>
        <w:t>če nadomestna nega ni priznana, se sešteje vse dni najzahtevnejše nege, za katere je izvajalec nego neupravičeno obračunal in pomnoži s ceno najzahtevnejše nege</w:t>
      </w:r>
    </w:p>
    <w:p w14:paraId="5F439245" w14:textId="77777777" w:rsidR="00504987" w:rsidRPr="005E4BEA" w:rsidRDefault="00504987" w:rsidP="00504987">
      <w:pPr>
        <w:spacing w:line="240" w:lineRule="auto"/>
        <w:ind w:left="567" w:hanging="141"/>
        <w:jc w:val="both"/>
        <w:rPr>
          <w:rFonts w:cs="Arial"/>
          <w:szCs w:val="20"/>
        </w:rPr>
      </w:pPr>
      <w:r w:rsidRPr="005E4BEA">
        <w:rPr>
          <w:rFonts w:cs="Arial"/>
          <w:szCs w:val="20"/>
        </w:rPr>
        <w:t>-</w:t>
      </w:r>
      <w:r w:rsidRPr="005E4BEA">
        <w:rPr>
          <w:rFonts w:cs="Arial"/>
          <w:szCs w:val="20"/>
        </w:rPr>
        <w:tab/>
        <w:t>če je priznana nega I, II ali III, se sešteje vse dni najzahtevnejše nege, za katere je izvajalec obračunal previsok tip nege in pomnoži z razliko med ceno najzahtevnejše nege in  povprečno ceno nege I, II in III.«</w:t>
      </w:r>
    </w:p>
    <w:p w14:paraId="3E4F3F8D" w14:textId="77777777" w:rsidR="00504987" w:rsidRPr="005E4BEA" w:rsidRDefault="00504987" w:rsidP="00504987">
      <w:pPr>
        <w:spacing w:line="120" w:lineRule="exact"/>
        <w:jc w:val="both"/>
        <w:rPr>
          <w:rFonts w:cs="Arial"/>
          <w:szCs w:val="20"/>
          <w:u w:val="single"/>
        </w:rPr>
      </w:pPr>
    </w:p>
    <w:p w14:paraId="0145DFF0" w14:textId="3AFAD0D5" w:rsidR="00504987" w:rsidRPr="005E4BEA" w:rsidRDefault="00504987" w:rsidP="00504987">
      <w:pPr>
        <w:spacing w:line="240" w:lineRule="auto"/>
        <w:jc w:val="both"/>
        <w:rPr>
          <w:rFonts w:cs="Arial"/>
          <w:szCs w:val="20"/>
        </w:rPr>
      </w:pPr>
      <w:r w:rsidRPr="005E4BEA">
        <w:rPr>
          <w:rFonts w:cs="Arial"/>
          <w:szCs w:val="20"/>
        </w:rPr>
        <w:t>Sprememba velja od 1. 1. 2023 naprej.</w:t>
      </w:r>
    </w:p>
    <w:bookmarkEnd w:id="115"/>
    <w:p w14:paraId="432A5B23" w14:textId="4AF72CCC" w:rsidR="00504987" w:rsidRPr="005E4BEA" w:rsidRDefault="00504987" w:rsidP="00504987">
      <w:pPr>
        <w:spacing w:line="240" w:lineRule="auto"/>
        <w:jc w:val="both"/>
        <w:rPr>
          <w:rFonts w:cs="Arial"/>
          <w:szCs w:val="20"/>
        </w:rPr>
      </w:pPr>
    </w:p>
    <w:p w14:paraId="23E02989" w14:textId="64DC6106" w:rsidR="0051375F" w:rsidRPr="005E4BEA" w:rsidRDefault="0051375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(81)</w:t>
      </w:r>
    </w:p>
    <w:p w14:paraId="69A642A3" w14:textId="77777777" w:rsidR="0051375F" w:rsidRPr="005E4BEA" w:rsidRDefault="0051375F" w:rsidP="0051375F">
      <w:pPr>
        <w:spacing w:line="0" w:lineRule="atLeast"/>
        <w:contextualSpacing/>
        <w:jc w:val="both"/>
        <w:rPr>
          <w:rFonts w:eastAsia="Arial Narrow" w:cs="Arial"/>
          <w:b/>
          <w:szCs w:val="20"/>
        </w:rPr>
      </w:pPr>
    </w:p>
    <w:p w14:paraId="38A13194" w14:textId="6650E44C" w:rsidR="00FE461F" w:rsidRPr="005E4BEA" w:rsidRDefault="0051375F" w:rsidP="0051375F">
      <w:pPr>
        <w:spacing w:line="0" w:lineRule="atLeast"/>
        <w:contextualSpacing/>
        <w:jc w:val="both"/>
        <w:rPr>
          <w:rFonts w:cs="Arial"/>
          <w:bCs/>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n</w:t>
      </w:r>
      <w:r w:rsidR="00FE461F" w:rsidRPr="005E4BEA">
        <w:rPr>
          <w:rFonts w:cs="Arial"/>
          <w:bCs/>
          <w:szCs w:val="20"/>
        </w:rPr>
        <w:t>a koncu 1. odstavka 44. člena doda nov stavek, ki se glasi:</w:t>
      </w:r>
    </w:p>
    <w:p w14:paraId="1AF7D49B" w14:textId="77777777" w:rsidR="00FE461F" w:rsidRPr="005E4BEA" w:rsidRDefault="00FE461F" w:rsidP="00FE461F">
      <w:pPr>
        <w:spacing w:line="240" w:lineRule="auto"/>
        <w:jc w:val="both"/>
        <w:rPr>
          <w:rFonts w:cs="Arial"/>
          <w:szCs w:val="20"/>
        </w:rPr>
      </w:pPr>
      <w:r w:rsidRPr="005E4BEA">
        <w:rPr>
          <w:rFonts w:cs="Arial"/>
          <w:szCs w:val="20"/>
        </w:rPr>
        <w:t>»Seštevek izrečenih kazni v koledarskem letu ne sme presegati 1% pogodbene vrednosti programa zdravstvenih storitev glede katerega je bil opravljen nadzor pri izvajalcu. «</w:t>
      </w:r>
    </w:p>
    <w:p w14:paraId="30A40FFB" w14:textId="77777777" w:rsidR="00FE461F" w:rsidRPr="005E4BEA" w:rsidRDefault="00FE461F" w:rsidP="00FE461F">
      <w:pPr>
        <w:spacing w:line="240" w:lineRule="auto"/>
        <w:jc w:val="both"/>
        <w:rPr>
          <w:rFonts w:eastAsiaTheme="minorHAnsi" w:cs="Arial"/>
          <w:color w:val="4472C4" w:themeColor="accent1"/>
          <w:szCs w:val="20"/>
        </w:rPr>
      </w:pPr>
    </w:p>
    <w:p w14:paraId="2105E993"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rPr>
        <w:t>V kolikor predlog ne bo sprejet, predlagamo alternativni predlog, ki se glasi:</w:t>
      </w:r>
    </w:p>
    <w:p w14:paraId="7ADE7AA0" w14:textId="77777777" w:rsidR="00FE461F" w:rsidRPr="005E4BEA" w:rsidRDefault="00FE461F" w:rsidP="00FE461F">
      <w:pPr>
        <w:spacing w:line="240" w:lineRule="auto"/>
        <w:jc w:val="both"/>
        <w:rPr>
          <w:rFonts w:cs="Arial"/>
          <w:b/>
          <w:bCs/>
          <w:szCs w:val="20"/>
        </w:rPr>
      </w:pPr>
      <w:r w:rsidRPr="005E4BEA">
        <w:rPr>
          <w:rFonts w:cs="Arial"/>
          <w:b/>
          <w:bCs/>
          <w:szCs w:val="20"/>
        </w:rPr>
        <w:t>Črtata se 3. in 4. stavek  1. odstavka 44. člena ter 2. in 3. odstavek 44. člena.</w:t>
      </w:r>
    </w:p>
    <w:p w14:paraId="44133E3E" w14:textId="77777777" w:rsidR="00FE461F" w:rsidRPr="005E4BEA" w:rsidRDefault="00FE461F" w:rsidP="00FE461F">
      <w:pPr>
        <w:spacing w:before="120" w:after="60" w:line="240" w:lineRule="auto"/>
        <w:jc w:val="both"/>
        <w:rPr>
          <w:rFonts w:eastAsiaTheme="minorHAnsi" w:cs="Arial"/>
          <w:b/>
          <w:bCs/>
          <w:i/>
          <w:iCs/>
          <w:szCs w:val="20"/>
        </w:rPr>
      </w:pPr>
    </w:p>
    <w:p w14:paraId="31479C94"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234E9B41" w14:textId="77777777" w:rsidR="00FE461F" w:rsidRPr="005E4BEA" w:rsidRDefault="00FE461F" w:rsidP="00FE461F">
      <w:pPr>
        <w:spacing w:line="240" w:lineRule="auto"/>
        <w:jc w:val="both"/>
        <w:rPr>
          <w:rFonts w:eastAsia="Calibri" w:cs="Arial"/>
          <w:b/>
          <w:bCs/>
          <w:i/>
          <w:iCs/>
          <w:color w:val="7F7F7F"/>
          <w:szCs w:val="20"/>
          <w:u w:val="single"/>
        </w:rPr>
      </w:pPr>
    </w:p>
    <w:p w14:paraId="19A6DD04"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 xml:space="preserve">Finančni učinki: ni finančnih učinkov </w:t>
      </w:r>
    </w:p>
    <w:p w14:paraId="3179921C" w14:textId="3804485E" w:rsidR="00FE461F" w:rsidRPr="005E4BEA" w:rsidRDefault="00FE461F" w:rsidP="00FE461F">
      <w:pPr>
        <w:spacing w:after="160" w:line="259" w:lineRule="auto"/>
        <w:rPr>
          <w:rFonts w:cs="Arial"/>
          <w:b/>
          <w:bCs/>
          <w:spacing w:val="40"/>
          <w:szCs w:val="20"/>
          <w:lang w:eastAsia="sl-SI"/>
        </w:rPr>
      </w:pPr>
    </w:p>
    <w:p w14:paraId="59A7E31B" w14:textId="77777777" w:rsidR="0051375F" w:rsidRPr="005E4BEA" w:rsidRDefault="0051375F" w:rsidP="0051375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8C06857" w14:textId="77777777" w:rsidR="0051375F" w:rsidRPr="005E4BEA" w:rsidRDefault="0051375F" w:rsidP="0051375F">
      <w:pPr>
        <w:spacing w:line="0" w:lineRule="atLeast"/>
        <w:jc w:val="both"/>
        <w:rPr>
          <w:rFonts w:eastAsia="Arial Narrow" w:cs="Arial"/>
          <w:szCs w:val="20"/>
          <w:lang w:eastAsia="sl-SI"/>
        </w:rPr>
      </w:pPr>
    </w:p>
    <w:p w14:paraId="286F89CE" w14:textId="59FC6471" w:rsidR="0051375F" w:rsidRPr="005E4BEA" w:rsidRDefault="0051375F" w:rsidP="0051375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44</w:t>
      </w:r>
      <w:r w:rsidRPr="005E4BEA">
        <w:rPr>
          <w:rFonts w:eastAsiaTheme="minorHAnsi" w:cs="Arial"/>
          <w:bCs/>
          <w:szCs w:val="20"/>
        </w:rPr>
        <w:t>. člen Splošnega dogovora ne spremeni.</w:t>
      </w:r>
    </w:p>
    <w:p w14:paraId="1759057C" w14:textId="529616E5" w:rsidR="0051375F" w:rsidRPr="005E4BEA" w:rsidRDefault="0051375F" w:rsidP="00FE461F">
      <w:pPr>
        <w:spacing w:after="160" w:line="259" w:lineRule="auto"/>
        <w:rPr>
          <w:rFonts w:eastAsiaTheme="minorHAnsi" w:cs="Arial"/>
          <w:bCs/>
          <w:szCs w:val="20"/>
        </w:rPr>
      </w:pPr>
    </w:p>
    <w:p w14:paraId="7FC4FDD4" w14:textId="4B675355" w:rsidR="0051375F" w:rsidRPr="005E4BEA" w:rsidRDefault="0051375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(82)</w:t>
      </w:r>
    </w:p>
    <w:p w14:paraId="3E8287C1" w14:textId="77777777" w:rsidR="0051375F" w:rsidRPr="005E4BEA" w:rsidRDefault="0051375F" w:rsidP="00FE461F">
      <w:pPr>
        <w:spacing w:after="160" w:line="259" w:lineRule="auto"/>
        <w:rPr>
          <w:rFonts w:eastAsia="Arial Narrow" w:cs="Arial"/>
          <w:b/>
          <w:szCs w:val="20"/>
        </w:rPr>
      </w:pPr>
    </w:p>
    <w:p w14:paraId="5E6E15FB" w14:textId="628747A7" w:rsidR="00FE461F" w:rsidRPr="005E4BEA" w:rsidRDefault="0051375F" w:rsidP="0051375F">
      <w:pPr>
        <w:spacing w:after="160" w:line="259" w:lineRule="auto"/>
        <w:jc w:val="both"/>
        <w:rPr>
          <w:rFonts w:cs="Arial"/>
          <w:bCs/>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n</w:t>
      </w:r>
      <w:r w:rsidR="00FE461F" w:rsidRPr="005E4BEA">
        <w:rPr>
          <w:rFonts w:cs="Arial"/>
          <w:bCs/>
          <w:szCs w:val="20"/>
        </w:rPr>
        <w:t xml:space="preserve">a koncu 2. odstavka 45. člena </w:t>
      </w:r>
      <w:r w:rsidRPr="005E4BEA">
        <w:rPr>
          <w:rFonts w:cs="Arial"/>
          <w:bCs/>
          <w:szCs w:val="20"/>
        </w:rPr>
        <w:t>d</w:t>
      </w:r>
      <w:r w:rsidR="00FE461F" w:rsidRPr="005E4BEA">
        <w:rPr>
          <w:rFonts w:cs="Arial"/>
          <w:bCs/>
          <w:szCs w:val="20"/>
        </w:rPr>
        <w:t>oda nov stavek, ki se glasi:</w:t>
      </w:r>
    </w:p>
    <w:p w14:paraId="404E2E80" w14:textId="77777777" w:rsidR="00FE461F" w:rsidRPr="005E4BEA" w:rsidRDefault="00FE461F" w:rsidP="00FE461F">
      <w:pPr>
        <w:spacing w:line="240" w:lineRule="auto"/>
        <w:jc w:val="both"/>
        <w:rPr>
          <w:rFonts w:eastAsiaTheme="minorHAnsi" w:cs="Arial"/>
          <w:szCs w:val="20"/>
          <w:lang w:eastAsia="sl-SI"/>
        </w:rPr>
      </w:pPr>
      <w:r w:rsidRPr="005E4BEA">
        <w:rPr>
          <w:rFonts w:eastAsiaTheme="minorHAnsi" w:cs="Arial"/>
          <w:szCs w:val="20"/>
          <w:lang w:eastAsia="sl-SI"/>
        </w:rPr>
        <w:t>»</w:t>
      </w:r>
      <w:r w:rsidRPr="005E4BEA">
        <w:rPr>
          <w:rFonts w:eastAsiaTheme="minorHAnsi" w:cs="Arial"/>
          <w:szCs w:val="20"/>
        </w:rPr>
        <w:t>Če škode ni mogoče finančno ovrednotiti, Zavod plača izvajalcu pogodbeno kazen v višini 1.200 EUR za vsak primer kršitve.</w:t>
      </w:r>
      <w:r w:rsidRPr="005E4BEA">
        <w:rPr>
          <w:rFonts w:eastAsiaTheme="minorHAnsi" w:cs="Arial"/>
          <w:szCs w:val="20"/>
          <w:lang w:eastAsia="sl-SI"/>
        </w:rPr>
        <w:t xml:space="preserve"> «</w:t>
      </w:r>
    </w:p>
    <w:p w14:paraId="125AC90F" w14:textId="77777777" w:rsidR="00FE461F" w:rsidRPr="005E4BEA" w:rsidRDefault="00FE461F" w:rsidP="00FE461F">
      <w:pPr>
        <w:spacing w:line="240" w:lineRule="auto"/>
        <w:jc w:val="both"/>
        <w:rPr>
          <w:rFonts w:eastAsiaTheme="minorHAnsi" w:cs="Arial"/>
          <w:szCs w:val="20"/>
        </w:rPr>
      </w:pPr>
    </w:p>
    <w:p w14:paraId="3FDFEEC9"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CD8608D" w14:textId="77777777" w:rsidR="00FE461F" w:rsidRPr="005E4BEA" w:rsidRDefault="00FE461F" w:rsidP="00FE461F">
      <w:pPr>
        <w:spacing w:line="240" w:lineRule="auto"/>
        <w:jc w:val="both"/>
        <w:rPr>
          <w:rFonts w:eastAsia="Calibri" w:cs="Arial"/>
          <w:b/>
          <w:bCs/>
          <w:i/>
          <w:iCs/>
          <w:color w:val="7F7F7F"/>
          <w:szCs w:val="20"/>
          <w:u w:val="single"/>
        </w:rPr>
      </w:pPr>
    </w:p>
    <w:p w14:paraId="63FCB84B"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 xml:space="preserve">Finančni učinki: ni finančnih učinkov. </w:t>
      </w:r>
    </w:p>
    <w:p w14:paraId="7137027D" w14:textId="48531AF7" w:rsidR="00FE461F" w:rsidRPr="005E4BEA" w:rsidRDefault="00FE461F" w:rsidP="00FE461F">
      <w:pPr>
        <w:spacing w:line="240" w:lineRule="auto"/>
        <w:jc w:val="both"/>
        <w:rPr>
          <w:rFonts w:eastAsia="Calibri" w:cs="Arial"/>
          <w:i/>
          <w:iCs/>
          <w:color w:val="7F7F7F"/>
          <w:szCs w:val="20"/>
        </w:rPr>
      </w:pPr>
    </w:p>
    <w:p w14:paraId="4FB63247" w14:textId="77777777" w:rsidR="0051375F" w:rsidRPr="005E4BEA" w:rsidRDefault="0051375F" w:rsidP="0051375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BB39D72" w14:textId="77777777" w:rsidR="0051375F" w:rsidRPr="005E4BEA" w:rsidRDefault="0051375F" w:rsidP="0051375F">
      <w:pPr>
        <w:spacing w:line="0" w:lineRule="atLeast"/>
        <w:jc w:val="both"/>
        <w:rPr>
          <w:rFonts w:eastAsia="Arial Narrow" w:cs="Arial"/>
          <w:szCs w:val="20"/>
          <w:lang w:eastAsia="sl-SI"/>
        </w:rPr>
      </w:pPr>
    </w:p>
    <w:p w14:paraId="54ABD51C" w14:textId="763FEDC5" w:rsidR="0051375F" w:rsidRPr="005E4BEA" w:rsidRDefault="0051375F" w:rsidP="0051375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45</w:t>
      </w:r>
      <w:r w:rsidRPr="005E4BEA">
        <w:rPr>
          <w:rFonts w:eastAsiaTheme="minorHAnsi" w:cs="Arial"/>
          <w:bCs/>
          <w:szCs w:val="20"/>
        </w:rPr>
        <w:t>. člen Splošnega dogovora ne spremeni.</w:t>
      </w:r>
    </w:p>
    <w:p w14:paraId="5F1B83F0" w14:textId="77777777" w:rsidR="0051375F" w:rsidRPr="005E4BEA" w:rsidRDefault="0051375F" w:rsidP="0051375F">
      <w:pPr>
        <w:spacing w:line="0" w:lineRule="atLeast"/>
        <w:contextualSpacing/>
        <w:jc w:val="both"/>
        <w:rPr>
          <w:rFonts w:eastAsiaTheme="minorHAnsi" w:cs="Arial"/>
          <w:bCs/>
          <w:szCs w:val="20"/>
        </w:rPr>
      </w:pPr>
    </w:p>
    <w:p w14:paraId="373E4A07" w14:textId="77777777" w:rsidR="0051375F" w:rsidRPr="005E4BEA" w:rsidRDefault="0051375F" w:rsidP="00FE461F">
      <w:pPr>
        <w:spacing w:line="240" w:lineRule="auto"/>
        <w:jc w:val="both"/>
        <w:rPr>
          <w:rFonts w:eastAsia="Calibri" w:cs="Arial"/>
          <w:i/>
          <w:iCs/>
          <w:color w:val="7F7F7F"/>
          <w:szCs w:val="20"/>
        </w:rPr>
      </w:pPr>
    </w:p>
    <w:p w14:paraId="59A95E9A" w14:textId="6AF8DE4A" w:rsidR="0051375F" w:rsidRPr="005E4BEA" w:rsidRDefault="0051375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(83)</w:t>
      </w:r>
    </w:p>
    <w:p w14:paraId="6874B79D" w14:textId="77777777" w:rsidR="00754780" w:rsidRPr="005E4BEA" w:rsidRDefault="00754780" w:rsidP="00754780">
      <w:pPr>
        <w:rPr>
          <w:rFonts w:eastAsia="Arial Narrow"/>
        </w:rPr>
      </w:pPr>
    </w:p>
    <w:p w14:paraId="617BCA33" w14:textId="39116573" w:rsidR="00FE461F" w:rsidRPr="005E4BEA" w:rsidRDefault="0051375F" w:rsidP="0051375F">
      <w:pPr>
        <w:spacing w:after="160" w:line="259" w:lineRule="auto"/>
        <w:jc w:val="both"/>
        <w:rPr>
          <w:rFonts w:eastAsia="Calibri" w:cs="Arial"/>
          <w:bCs/>
          <w:color w:val="000000" w:themeColor="text1"/>
          <w:szCs w:val="20"/>
          <w:lang w:eastAsia="sl-SI"/>
        </w:rPr>
      </w:pPr>
      <w:r w:rsidRPr="005E4BEA">
        <w:rPr>
          <w:rFonts w:eastAsia="Arial Narrow" w:cs="Arial"/>
          <w:b/>
          <w:szCs w:val="20"/>
        </w:rPr>
        <w:t xml:space="preserve">Skupnost socialnih zavodov Slovenije </w:t>
      </w:r>
      <w:r w:rsidRPr="005E4BEA">
        <w:rPr>
          <w:rFonts w:eastAsiaTheme="minorHAnsi" w:cs="Arial"/>
          <w:b/>
          <w:szCs w:val="20"/>
        </w:rPr>
        <w:t>predlaga</w:t>
      </w:r>
      <w:r w:rsidRPr="005E4BEA">
        <w:rPr>
          <w:rFonts w:eastAsiaTheme="minorHAnsi" w:cs="Arial"/>
          <w:bCs/>
          <w:szCs w:val="20"/>
        </w:rPr>
        <w:t>, da se z</w:t>
      </w:r>
      <w:r w:rsidR="00FE461F" w:rsidRPr="005E4BEA">
        <w:rPr>
          <w:rFonts w:eastAsia="Calibri" w:cs="Arial"/>
          <w:bCs/>
          <w:color w:val="000000" w:themeColor="text1"/>
          <w:szCs w:val="20"/>
          <w:lang w:eastAsia="sl-SI"/>
        </w:rPr>
        <w:t xml:space="preserve">a petim odstavkom 47. člena dogovora doda nov šesti odstavek, ki se glasi: </w:t>
      </w:r>
    </w:p>
    <w:p w14:paraId="6508EF0D" w14:textId="77777777" w:rsidR="00FE461F" w:rsidRPr="005E4BEA" w:rsidRDefault="00FE461F" w:rsidP="00FE461F">
      <w:pPr>
        <w:spacing w:line="240" w:lineRule="auto"/>
        <w:jc w:val="both"/>
        <w:rPr>
          <w:rFonts w:eastAsia="Calibri" w:cs="Arial"/>
          <w:szCs w:val="20"/>
          <w:lang w:eastAsia="sl-SI"/>
        </w:rPr>
      </w:pPr>
      <w:r w:rsidRPr="005E4BEA">
        <w:rPr>
          <w:rFonts w:eastAsia="Calibri" w:cs="Arial"/>
          <w:szCs w:val="20"/>
          <w:lang w:eastAsia="sl-SI"/>
        </w:rPr>
        <w:t>»Za spremljanje kazalnikov se izvajalcem prizna dodaten kader in sicer 0,5 diplomirane medicinske sestre na izvajalca. Prav tako se izvajalcem prizna strošek za nadgradnjo informacijskega sistema za poročanje kazalnikov.«</w:t>
      </w:r>
    </w:p>
    <w:p w14:paraId="22C7AE79" w14:textId="77777777" w:rsidR="00FE461F" w:rsidRPr="005E4BEA" w:rsidRDefault="00FE461F" w:rsidP="00FE461F">
      <w:pPr>
        <w:spacing w:line="240" w:lineRule="auto"/>
        <w:jc w:val="both"/>
        <w:rPr>
          <w:rFonts w:eastAsia="Calibri" w:cs="Arial"/>
          <w:b/>
          <w:bCs/>
          <w:color w:val="FF0000"/>
          <w:szCs w:val="20"/>
          <w:lang w:eastAsia="sl-SI"/>
        </w:rPr>
      </w:pPr>
    </w:p>
    <w:p w14:paraId="617D2F3F"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 xml:space="preserve">Obrazložitev: </w:t>
      </w:r>
    </w:p>
    <w:p w14:paraId="1A8A752E"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 xml:space="preserve">V skladu z Aneksom št. 1 k Splošnemu dogovoru za pogodbeno leto 2021 (v nadaljnjem besedilu: Aneks št. 1), se je s 1. januarjem 2022 v SVZ, ki v skladu z drugim odstavkom 8. člena Zakona o zdravstveni dejavnosti (Uradni list RS, št. 23/05 – uradno prečiščeno besedilo, 15/08 – </w:t>
      </w:r>
      <w:proofErr w:type="spellStart"/>
      <w:r w:rsidRPr="005E4BEA">
        <w:rPr>
          <w:rFonts w:eastAsia="Calibri" w:cs="Arial"/>
          <w:i/>
          <w:iCs/>
          <w:color w:val="7F7F7F"/>
          <w:szCs w:val="20"/>
        </w:rPr>
        <w:t>ZPacP</w:t>
      </w:r>
      <w:proofErr w:type="spellEnd"/>
      <w:r w:rsidRPr="005E4BEA">
        <w:rPr>
          <w:rFonts w:eastAsia="Calibri" w:cs="Arial"/>
          <w:i/>
          <w:iCs/>
          <w:color w:val="7F7F7F"/>
          <w:szCs w:val="20"/>
        </w:rPr>
        <w:t xml:space="preserve">, 23/08, 58/08 – ZZdrS-E, 77/08 – </w:t>
      </w:r>
      <w:proofErr w:type="spellStart"/>
      <w:r w:rsidRPr="005E4BEA">
        <w:rPr>
          <w:rFonts w:eastAsia="Calibri" w:cs="Arial"/>
          <w:i/>
          <w:iCs/>
          <w:color w:val="7F7F7F"/>
          <w:szCs w:val="20"/>
        </w:rPr>
        <w:t>ZDZdr</w:t>
      </w:r>
      <w:proofErr w:type="spellEnd"/>
      <w:r w:rsidRPr="005E4BEA">
        <w:rPr>
          <w:rFonts w:eastAsia="Calibri" w:cs="Arial"/>
          <w:i/>
          <w:iCs/>
          <w:color w:val="7F7F7F"/>
          <w:szCs w:val="20"/>
        </w:rPr>
        <w:t xml:space="preserve">, 40/12 – ZUJF, 14/13, 88/16 – </w:t>
      </w:r>
      <w:proofErr w:type="spellStart"/>
      <w:r w:rsidRPr="005E4BEA">
        <w:rPr>
          <w:rFonts w:eastAsia="Calibri" w:cs="Arial"/>
          <w:i/>
          <w:iCs/>
          <w:color w:val="7F7F7F"/>
          <w:szCs w:val="20"/>
        </w:rPr>
        <w:t>ZdZPZD</w:t>
      </w:r>
      <w:proofErr w:type="spellEnd"/>
      <w:r w:rsidRPr="005E4BEA">
        <w:rPr>
          <w:rFonts w:eastAsia="Calibri" w:cs="Arial"/>
          <w:i/>
          <w:iCs/>
          <w:color w:val="7F7F7F"/>
          <w:szCs w:val="20"/>
        </w:rPr>
        <w:t xml:space="preserve">, 64/17, 1/19 – </w:t>
      </w:r>
      <w:proofErr w:type="spellStart"/>
      <w:r w:rsidRPr="005E4BEA">
        <w:rPr>
          <w:rFonts w:eastAsia="Calibri" w:cs="Arial"/>
          <w:i/>
          <w:iCs/>
          <w:color w:val="7F7F7F"/>
          <w:szCs w:val="20"/>
        </w:rPr>
        <w:t>odl</w:t>
      </w:r>
      <w:proofErr w:type="spellEnd"/>
      <w:r w:rsidRPr="005E4BEA">
        <w:rPr>
          <w:rFonts w:eastAsia="Calibri" w:cs="Arial"/>
          <w:i/>
          <w:iCs/>
          <w:color w:val="7F7F7F"/>
          <w:szCs w:val="20"/>
        </w:rPr>
        <w:t xml:space="preserve">. US, 73/19, 82/20, 152/20 – ZZUOOP, 203/20 – ZIUPOPDVE, 112/21 – ZNUPZ in 196/21 – </w:t>
      </w:r>
      <w:proofErr w:type="spellStart"/>
      <w:r w:rsidRPr="005E4BEA">
        <w:rPr>
          <w:rFonts w:eastAsia="Calibri" w:cs="Arial"/>
          <w:i/>
          <w:iCs/>
          <w:color w:val="7F7F7F"/>
          <w:szCs w:val="20"/>
        </w:rPr>
        <w:t>ZDOsk</w:t>
      </w:r>
      <w:proofErr w:type="spellEnd"/>
      <w:r w:rsidRPr="005E4BEA">
        <w:rPr>
          <w:rFonts w:eastAsia="Calibri" w:cs="Arial"/>
          <w:i/>
          <w:iCs/>
          <w:color w:val="7F7F7F"/>
          <w:szCs w:val="20"/>
        </w:rPr>
        <w:t>) za svoje uporabnike opravljajo tudi zdravstveno nego in zdravstveno rehabilitacijo, na državni ravni uvedlo spremljanje kakovosti zdravstvene obravnave, in sicer na način, da SVZ od vključno: 1. januarja 2022 spremljajo kazalnika: 4.1.1 RAZJEDA ZARADI PRITISKA PRI UPORABNIKIH V SOCIALNOVARSTVENIH ZAVODIH in 4.3.1 VARNOSTNI ZAPLETI PRI RABI ZDRAVIL V SOCIALNOVARSTVENIH ZAVODIH, 1. marca 2022 pa tudi druge kazalnike.</w:t>
      </w:r>
    </w:p>
    <w:p w14:paraId="4CBE31C3" w14:textId="77777777" w:rsidR="00FE461F" w:rsidRPr="005E4BEA" w:rsidRDefault="00FE461F" w:rsidP="00FE461F">
      <w:pPr>
        <w:spacing w:line="240" w:lineRule="auto"/>
        <w:jc w:val="both"/>
        <w:rPr>
          <w:rFonts w:eastAsia="Calibri" w:cs="Arial"/>
          <w:i/>
          <w:iCs/>
          <w:color w:val="7F7F7F"/>
          <w:szCs w:val="20"/>
        </w:rPr>
      </w:pPr>
    </w:p>
    <w:p w14:paraId="3787EDB1"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Izvajalci kazalnike kakovosti objavijo na svojih spletnih straneh vsake tri mesece, in sicer do 20. aprila za stanje na dan 31. marca, do 20. julija za stanje na dan 30. junija, do 20. oktobra za stanje na dan 30. septembra in do 20. januarja za stanje na dan 31. decembra preteklega leta.</w:t>
      </w:r>
    </w:p>
    <w:p w14:paraId="74B66FB2" w14:textId="77777777" w:rsidR="00FE461F" w:rsidRPr="005E4BEA" w:rsidRDefault="00FE461F" w:rsidP="00FE461F">
      <w:pPr>
        <w:spacing w:line="240" w:lineRule="auto"/>
        <w:jc w:val="both"/>
        <w:rPr>
          <w:rFonts w:eastAsia="Calibri" w:cs="Arial"/>
          <w:i/>
          <w:iCs/>
          <w:color w:val="7F7F7F"/>
          <w:szCs w:val="20"/>
        </w:rPr>
      </w:pPr>
    </w:p>
    <w:p w14:paraId="15E7FC0C"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Spremljanje in poročanje o navedenih kazalnikih zahteva od izvajalcev zagotovitev dodatnega kadra in ustrezno prilagoditev obstoječega informacijskega sistema. Predlagamo povečanje kadra 0,5 diplomirane medicinske sestre pri izvajalcu in kritje stroška ustrezne tehnične podpore (v povprečju to znaša 2,5 ure informatika za vsak kazalnik). Ura informatika stane cca 80 EUR, v javni mreži imamo 104 izvajalce (80eur x 2,5ure x 4kazalniki x 104izvajalci), kar predstavlja 83.200 EUR za zagotovitev tehnične podpore. 0,5 diplomirane medicinske sestre pomeni cca 19.000 eur stroška na izvajalca, skupno za vse izvajalce pa to predstavlja 1.976.000 eur.</w:t>
      </w:r>
    </w:p>
    <w:p w14:paraId="7FBD1FEA" w14:textId="77777777" w:rsidR="00FE461F" w:rsidRPr="005E4BEA" w:rsidRDefault="00FE461F" w:rsidP="00FE461F">
      <w:pPr>
        <w:spacing w:line="240" w:lineRule="auto"/>
        <w:jc w:val="both"/>
        <w:rPr>
          <w:rFonts w:eastAsia="Calibri" w:cs="Arial"/>
          <w:i/>
          <w:iCs/>
          <w:color w:val="7F7F7F"/>
          <w:szCs w:val="20"/>
        </w:rPr>
      </w:pPr>
    </w:p>
    <w:p w14:paraId="157E3FC2" w14:textId="77777777" w:rsidR="00FE461F" w:rsidRPr="005E4BEA" w:rsidRDefault="00FE461F" w:rsidP="00FE461F">
      <w:pPr>
        <w:spacing w:line="240" w:lineRule="auto"/>
        <w:jc w:val="both"/>
        <w:rPr>
          <w:rFonts w:eastAsia="Calibri" w:cs="Arial"/>
          <w:i/>
          <w:iCs/>
          <w:color w:val="7F7F7F"/>
          <w:szCs w:val="20"/>
        </w:rPr>
      </w:pPr>
      <w:r w:rsidRPr="005E4BEA">
        <w:rPr>
          <w:rFonts w:eastAsia="Calibri" w:cs="Arial"/>
          <w:i/>
          <w:iCs/>
          <w:color w:val="7F7F7F"/>
          <w:szCs w:val="20"/>
        </w:rPr>
        <w:t>Finančna ocena: cca 2.1 mio eur</w:t>
      </w:r>
    </w:p>
    <w:p w14:paraId="2760B0BF" w14:textId="77777777" w:rsidR="00FE461F" w:rsidRPr="005E4BEA" w:rsidRDefault="00FE461F" w:rsidP="00FE461F">
      <w:pPr>
        <w:spacing w:line="240" w:lineRule="auto"/>
        <w:jc w:val="both"/>
        <w:rPr>
          <w:rFonts w:eastAsia="Calibri" w:cs="Arial"/>
          <w:i/>
          <w:iCs/>
          <w:color w:val="7F7F7F"/>
          <w:szCs w:val="20"/>
        </w:rPr>
      </w:pPr>
    </w:p>
    <w:p w14:paraId="43695CDD" w14:textId="77777777" w:rsidR="00FE461F" w:rsidRPr="005E4BEA" w:rsidRDefault="00FE461F" w:rsidP="00FE461F">
      <w:pPr>
        <w:spacing w:line="240" w:lineRule="auto"/>
        <w:jc w:val="both"/>
        <w:rPr>
          <w:rFonts w:eastAsia="Calibri" w:cs="Arial"/>
          <w:b/>
          <w:bCs/>
          <w:color w:val="7F7F7F"/>
          <w:szCs w:val="20"/>
        </w:rPr>
      </w:pPr>
      <w:r w:rsidRPr="005E4BEA">
        <w:rPr>
          <w:rFonts w:eastAsia="Calibri" w:cs="Arial"/>
          <w:b/>
          <w:bCs/>
          <w:color w:val="7F7F7F"/>
          <w:szCs w:val="20"/>
        </w:rPr>
        <w:t>Spremeni se:</w:t>
      </w:r>
    </w:p>
    <w:p w14:paraId="3C1C5D15" w14:textId="68D1C906" w:rsidR="00FE461F" w:rsidRPr="005E4BEA" w:rsidRDefault="00FE461F" w:rsidP="00FE461F">
      <w:pPr>
        <w:spacing w:line="240" w:lineRule="auto"/>
        <w:jc w:val="both"/>
        <w:rPr>
          <w:rFonts w:eastAsia="Calibri" w:cs="Arial"/>
          <w:b/>
          <w:bCs/>
          <w:color w:val="7F7F7F"/>
          <w:szCs w:val="20"/>
        </w:rPr>
      </w:pPr>
      <w:r w:rsidRPr="005E4BEA">
        <w:rPr>
          <w:rFonts w:eastAsia="Calibri" w:cs="Arial"/>
          <w:b/>
          <w:bCs/>
          <w:color w:val="7F7F7F"/>
          <w:szCs w:val="20"/>
        </w:rPr>
        <w:t>Priloga SVZ-2</w:t>
      </w:r>
    </w:p>
    <w:p w14:paraId="5319D581" w14:textId="2120860A" w:rsidR="0051375F" w:rsidRPr="005E4BEA" w:rsidRDefault="0051375F" w:rsidP="00FE461F">
      <w:pPr>
        <w:spacing w:line="240" w:lineRule="auto"/>
        <w:jc w:val="both"/>
        <w:rPr>
          <w:rFonts w:eastAsia="Calibri" w:cs="Arial"/>
          <w:b/>
          <w:bCs/>
          <w:color w:val="7F7F7F"/>
          <w:szCs w:val="20"/>
        </w:rPr>
      </w:pPr>
    </w:p>
    <w:p w14:paraId="4F9A828B" w14:textId="77777777" w:rsidR="006D0A29" w:rsidRPr="005E4BEA" w:rsidRDefault="0051375F" w:rsidP="0068548F">
      <w:pPr>
        <w:spacing w:line="240" w:lineRule="auto"/>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6D0A29" w:rsidRPr="005E4BEA">
        <w:rPr>
          <w:rFonts w:eastAsia="Arial Narrow" w:cs="Arial"/>
          <w:szCs w:val="20"/>
        </w:rPr>
        <w:t xml:space="preserve">ne </w:t>
      </w:r>
      <w:r w:rsidRPr="005E4BEA">
        <w:rPr>
          <w:rFonts w:eastAsia="Arial Narrow" w:cs="Arial"/>
          <w:szCs w:val="20"/>
        </w:rPr>
        <w:t>s</w:t>
      </w:r>
      <w:r w:rsidR="0068548F" w:rsidRPr="005E4BEA">
        <w:rPr>
          <w:rFonts w:eastAsia="Arial Narrow" w:cs="Arial"/>
          <w:szCs w:val="20"/>
        </w:rPr>
        <w:t>trinja s</w:t>
      </w:r>
      <w:r w:rsidRPr="005E4BEA">
        <w:rPr>
          <w:rFonts w:eastAsia="Arial Narrow" w:cs="Arial"/>
          <w:szCs w:val="20"/>
        </w:rPr>
        <w:t xml:space="preserve"> predlogom</w:t>
      </w:r>
      <w:r w:rsidR="006D0A29" w:rsidRPr="005E4BEA">
        <w:rPr>
          <w:rFonts w:eastAsia="Arial Narrow" w:cs="Arial"/>
          <w:szCs w:val="20"/>
        </w:rPr>
        <w:t>.</w:t>
      </w:r>
    </w:p>
    <w:p w14:paraId="56D977B7" w14:textId="77777777" w:rsidR="0051375F" w:rsidRPr="005E4BEA" w:rsidRDefault="0051375F" w:rsidP="0051375F">
      <w:pPr>
        <w:spacing w:line="0" w:lineRule="atLeast"/>
        <w:jc w:val="both"/>
        <w:rPr>
          <w:rFonts w:eastAsia="Arial Narrow" w:cs="Arial"/>
          <w:szCs w:val="20"/>
          <w:lang w:eastAsia="sl-SI"/>
        </w:rPr>
      </w:pPr>
    </w:p>
    <w:p w14:paraId="7F96A542" w14:textId="77777777" w:rsidR="006D0A29" w:rsidRPr="005E4BEA" w:rsidRDefault="0051375F" w:rsidP="0068548F">
      <w:pPr>
        <w:spacing w:line="240" w:lineRule="auto"/>
        <w:jc w:val="both"/>
        <w:rPr>
          <w:rFonts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6" w:name="_Hlk102472207"/>
      <w:bookmarkStart w:id="117" w:name="_Hlk102647899"/>
      <w:r w:rsidRPr="005E4BEA">
        <w:rPr>
          <w:rFonts w:eastAsia="Arial Narrow" w:cs="Arial"/>
          <w:bCs/>
          <w:szCs w:val="20"/>
        </w:rPr>
        <w:t>da se</w:t>
      </w:r>
      <w:r w:rsidR="0068548F" w:rsidRPr="005E4BEA">
        <w:rPr>
          <w:rFonts w:cs="Arial"/>
          <w:szCs w:val="20"/>
        </w:rPr>
        <w:t xml:space="preserve"> 47. člen </w:t>
      </w:r>
      <w:proofErr w:type="spellStart"/>
      <w:r w:rsidR="006D0A29" w:rsidRPr="005E4BEA">
        <w:rPr>
          <w:rFonts w:cs="Arial"/>
          <w:szCs w:val="20"/>
        </w:rPr>
        <w:t>Splošnga</w:t>
      </w:r>
      <w:proofErr w:type="spellEnd"/>
      <w:r w:rsidR="006D0A29" w:rsidRPr="005E4BEA">
        <w:rPr>
          <w:rFonts w:cs="Arial"/>
          <w:szCs w:val="20"/>
        </w:rPr>
        <w:t xml:space="preserve"> dogovora ne spremeni.</w:t>
      </w:r>
    </w:p>
    <w:p w14:paraId="559D76C1" w14:textId="77777777" w:rsidR="006D0A29" w:rsidRPr="005E4BEA" w:rsidRDefault="006D0A29" w:rsidP="0068548F">
      <w:pPr>
        <w:spacing w:line="240" w:lineRule="auto"/>
        <w:jc w:val="both"/>
        <w:rPr>
          <w:rFonts w:cs="Arial"/>
          <w:szCs w:val="20"/>
        </w:rPr>
      </w:pPr>
    </w:p>
    <w:bookmarkEnd w:id="116"/>
    <w:bookmarkEnd w:id="117"/>
    <w:p w14:paraId="26543630" w14:textId="1A376DF2" w:rsidR="0051375F" w:rsidRPr="005E4BEA" w:rsidRDefault="0051375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(84)</w:t>
      </w:r>
    </w:p>
    <w:p w14:paraId="07AF87A3" w14:textId="77777777" w:rsidR="0051375F" w:rsidRPr="005E4BEA" w:rsidRDefault="0051375F" w:rsidP="0051375F">
      <w:pPr>
        <w:spacing w:after="160" w:line="259" w:lineRule="auto"/>
        <w:rPr>
          <w:rFonts w:eastAsia="Arial Narrow" w:cs="Arial"/>
          <w:b/>
          <w:szCs w:val="20"/>
        </w:rPr>
      </w:pPr>
    </w:p>
    <w:p w14:paraId="755F956C" w14:textId="6A040179" w:rsidR="00FE461F" w:rsidRPr="005E4BEA" w:rsidRDefault="0051375F" w:rsidP="0051375F">
      <w:pPr>
        <w:spacing w:line="240" w:lineRule="auto"/>
        <w:jc w:val="both"/>
        <w:rPr>
          <w:rFonts w:cs="Arial"/>
          <w:bCs/>
          <w:szCs w:val="20"/>
          <w:lang w:eastAsia="en-GB"/>
        </w:rPr>
      </w:pPr>
      <w:r w:rsidRPr="005E4BEA">
        <w:rPr>
          <w:rFonts w:eastAsia="Arial Narrow" w:cs="Arial"/>
          <w:b/>
          <w:szCs w:val="20"/>
        </w:rPr>
        <w:t xml:space="preserve">Skupnost socialnih zavodov Slovenije </w:t>
      </w:r>
      <w:r w:rsidRPr="005E4BEA">
        <w:rPr>
          <w:rFonts w:eastAsiaTheme="minorHAnsi" w:cs="Arial"/>
          <w:b/>
          <w:szCs w:val="20"/>
        </w:rPr>
        <w:t>predlaga</w:t>
      </w:r>
      <w:r w:rsidRPr="005E4BEA">
        <w:rPr>
          <w:rFonts w:eastAsiaTheme="minorHAnsi" w:cs="Arial"/>
          <w:bCs/>
          <w:szCs w:val="20"/>
        </w:rPr>
        <w:t>, da se z</w:t>
      </w:r>
      <w:r w:rsidRPr="005E4BEA">
        <w:rPr>
          <w:rFonts w:eastAsia="Calibri" w:cs="Arial"/>
          <w:bCs/>
          <w:color w:val="000000" w:themeColor="text1"/>
          <w:szCs w:val="20"/>
          <w:lang w:eastAsia="sl-SI"/>
        </w:rPr>
        <w:t xml:space="preserve">a </w:t>
      </w:r>
      <w:r w:rsidR="00FE461F" w:rsidRPr="005E4BEA">
        <w:rPr>
          <w:rFonts w:cs="Arial"/>
          <w:bCs/>
          <w:szCs w:val="20"/>
          <w:lang w:eastAsia="en-GB"/>
        </w:rPr>
        <w:t xml:space="preserve">64. členom za besedilom splošnega dogovora izbrišejo podpisniki splošnega dogovora. </w:t>
      </w:r>
    </w:p>
    <w:p w14:paraId="6EF44C50"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oz. alternativno: </w:t>
      </w:r>
    </w:p>
    <w:p w14:paraId="2D209179" w14:textId="77777777" w:rsidR="00FE461F" w:rsidRPr="005E4BEA" w:rsidRDefault="00FE461F" w:rsidP="00FE461F">
      <w:pPr>
        <w:spacing w:before="120" w:after="60" w:line="240" w:lineRule="auto"/>
        <w:jc w:val="both"/>
        <w:rPr>
          <w:rFonts w:cs="Arial"/>
          <w:b/>
          <w:szCs w:val="20"/>
          <w:lang w:eastAsia="en-GB"/>
        </w:rPr>
      </w:pPr>
      <w:r w:rsidRPr="005E4BEA">
        <w:rPr>
          <w:rFonts w:cs="Arial"/>
          <w:b/>
          <w:szCs w:val="20"/>
          <w:lang w:eastAsia="en-GB"/>
        </w:rPr>
        <w:t xml:space="preserve">Podpisnike zamenja z besedilom: Sprejela Vlada RS na seji št. dne xxx. </w:t>
      </w:r>
    </w:p>
    <w:p w14:paraId="5579A4E6" w14:textId="77777777" w:rsidR="00FE461F" w:rsidRPr="005E4BEA" w:rsidRDefault="00FE461F" w:rsidP="00FE461F">
      <w:pPr>
        <w:spacing w:line="240" w:lineRule="auto"/>
        <w:jc w:val="both"/>
        <w:textAlignment w:val="baseline"/>
        <w:rPr>
          <w:rFonts w:cs="Arial"/>
          <w:i/>
          <w:iCs/>
          <w:color w:val="808080"/>
          <w:szCs w:val="20"/>
          <w:lang w:eastAsia="en-GB"/>
        </w:rPr>
      </w:pPr>
      <w:r w:rsidRPr="005E4BEA">
        <w:rPr>
          <w:rFonts w:cs="Arial"/>
          <w:i/>
          <w:iCs/>
          <w:color w:val="808080"/>
          <w:szCs w:val="20"/>
          <w:lang w:eastAsia="en-GB"/>
        </w:rPr>
        <w:t xml:space="preserve"> </w:t>
      </w:r>
    </w:p>
    <w:p w14:paraId="36B7F282" w14:textId="77777777" w:rsidR="00FE461F" w:rsidRPr="005E4BEA" w:rsidRDefault="00FE461F" w:rsidP="00FE461F">
      <w:pPr>
        <w:spacing w:before="240" w:after="60"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 xml:space="preserve">Obrazložitev: </w:t>
      </w:r>
    </w:p>
    <w:p w14:paraId="49DF2EBB"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Splošni dogovor ureja 63. člen Zakona o zdravstvenem varstvu in zdravstvenem zavarovanju, ki določa, da se ZZZS, pristojne zbornice, združenja zdravstvenih zavodov in drugih zavodov ter organizacij, ki opravljajo zdravstveno dejavnost, ter ministrstvo, pristojno za zdravstvo, za vsako </w:t>
      </w:r>
      <w:r w:rsidRPr="005E4BEA">
        <w:rPr>
          <w:rFonts w:cs="Arial"/>
          <w:i/>
          <w:color w:val="808080" w:themeColor="background1" w:themeShade="80"/>
          <w:szCs w:val="20"/>
          <w:lang w:eastAsia="en-GB"/>
        </w:rPr>
        <w:lastRenderedPageBreak/>
        <w:t xml:space="preserve">leto dogovorijo o programu storitev obveznega zdravstvenega zavarovanja, opredelijo zmogljivosti, potrebne za njegovo izvajanje in določijo obseg sredstev. Na tej osnovi določijo izhodišča za izvajanje programov in za oblikovanje cen programov oziroma storitev ter druge podlage za sklepanje pogodb z zdravstvenimi zavodi, drugimi zavodi in organizacijami, ki opravljajo zdravstveno dejavnost ter zasebnimi zdravstvenimi delavci.  </w:t>
      </w:r>
    </w:p>
    <w:p w14:paraId="12109D0B"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Glede na to, da se cene in obseg vladnih storitev že nekaj let urejajo s sklepom v vlade, ki odloča o spornih vprašanjih na podlagi 63. člena, splošni dogovor nima več narave obligacijsko pravnega dogovora med pogodbenimi strankami, ampak značaj oblastnega akta, zato ni razloga, da bi bile "stranke" navedene kot podpisniki, saj iz tega izhaja, da so se strinjale z v oblastnem aktu z imenom "Splošni dogovor" s strani Vlade RS predpisano vsebino. Najbrž ni odveč poudariti, da smo decembra 2017 dosegli dno procesa splošnega dogovarjanja, saj partnerji na arbitraži za sprejem Splošnega dogovora za pogodbeno leto 2018 nismo dosegli soglasja niti glede enega izmed spornih vprašanj.  </w:t>
      </w:r>
    </w:p>
    <w:p w14:paraId="2265720F"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To je ugotovilo tudi Višje sodišče v Ljubljani, ki je v zadevi opr. št. II </w:t>
      </w:r>
      <w:proofErr w:type="spellStart"/>
      <w:r w:rsidRPr="005E4BEA">
        <w:rPr>
          <w:rFonts w:cs="Arial"/>
          <w:i/>
          <w:color w:val="808080" w:themeColor="background1" w:themeShade="80"/>
          <w:szCs w:val="20"/>
          <w:lang w:eastAsia="en-GB"/>
        </w:rPr>
        <w:t>Cpg</w:t>
      </w:r>
      <w:proofErr w:type="spellEnd"/>
      <w:r w:rsidRPr="005E4BEA">
        <w:rPr>
          <w:rFonts w:cs="Arial"/>
          <w:i/>
          <w:color w:val="808080" w:themeColor="background1" w:themeShade="80"/>
          <w:szCs w:val="20"/>
          <w:lang w:eastAsia="en-GB"/>
        </w:rPr>
        <w:t xml:space="preserve"> 948/2016 odločilo, da zaradi načina sprejemanja splošnega dogovora, kot to izhaja iz 63. člena Zakona o zdravstvenem varstvu in zdravstvenem zavarovanju (ko o spornih vprašanjih odloča Vlada), izvajalci zdravstvenih storitev niso v enakopravnem položaju z nasprotno stranko (torej Zavodom za zdravstveno zavarovanje Slovenije in Ministrstvom za zdravstvo) oziroma imajo šibkejši položaj, zato splošnega dogovora ne moremo šteti za dogovor, temveč za oblastni akt, ki ga Vlada RS sprejme na predlog MZ. </w:t>
      </w:r>
    </w:p>
    <w:p w14:paraId="28D572BB" w14:textId="77777777" w:rsidR="00FE461F" w:rsidRPr="005E4BEA" w:rsidRDefault="00FE461F" w:rsidP="00FE461F">
      <w:pPr>
        <w:spacing w:line="240" w:lineRule="auto"/>
        <w:jc w:val="both"/>
        <w:rPr>
          <w:rFonts w:cs="Arial"/>
          <w:i/>
          <w:color w:val="808080" w:themeColor="background1" w:themeShade="80"/>
          <w:szCs w:val="20"/>
          <w:lang w:eastAsia="en-GB"/>
        </w:rPr>
      </w:pPr>
    </w:p>
    <w:p w14:paraId="1F9F3C23"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b/>
          <w:bCs/>
          <w:i/>
          <w:color w:val="808080" w:themeColor="background1" w:themeShade="80"/>
          <w:szCs w:val="20"/>
          <w:lang w:eastAsia="en-GB"/>
        </w:rPr>
        <w:t>Finančnih posledic ni.</w:t>
      </w:r>
      <w:r w:rsidRPr="005E4BEA">
        <w:rPr>
          <w:rFonts w:cs="Arial"/>
          <w:i/>
          <w:color w:val="808080" w:themeColor="background1" w:themeShade="80"/>
          <w:szCs w:val="20"/>
          <w:lang w:eastAsia="en-GB"/>
        </w:rPr>
        <w:t xml:space="preserve">  </w:t>
      </w:r>
    </w:p>
    <w:p w14:paraId="3AD2DA24" w14:textId="77777777" w:rsidR="00FE461F" w:rsidRPr="005E4BEA" w:rsidRDefault="00FE461F" w:rsidP="00FE461F">
      <w:pPr>
        <w:spacing w:line="240" w:lineRule="auto"/>
        <w:textAlignment w:val="baseline"/>
        <w:rPr>
          <w:rFonts w:cs="Arial"/>
          <w:szCs w:val="20"/>
          <w:lang w:eastAsia="en-GB"/>
        </w:rPr>
      </w:pPr>
    </w:p>
    <w:p w14:paraId="46075F3C" w14:textId="77777777" w:rsidR="00FE461F" w:rsidRPr="005E4BEA" w:rsidRDefault="00FE461F" w:rsidP="00FE461F">
      <w:pPr>
        <w:spacing w:line="240" w:lineRule="auto"/>
        <w:textAlignment w:val="baseline"/>
        <w:rPr>
          <w:rFonts w:cs="Arial"/>
          <w:szCs w:val="20"/>
          <w:lang w:eastAsia="en-GB"/>
        </w:rPr>
      </w:pPr>
    </w:p>
    <w:p w14:paraId="23493D25" w14:textId="77777777" w:rsidR="0051375F" w:rsidRPr="005E4BEA" w:rsidRDefault="0051375F" w:rsidP="0051375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BBB6F42" w14:textId="77777777" w:rsidR="0051375F" w:rsidRPr="005E4BEA" w:rsidRDefault="0051375F" w:rsidP="0051375F">
      <w:pPr>
        <w:spacing w:line="0" w:lineRule="atLeast"/>
        <w:jc w:val="both"/>
        <w:rPr>
          <w:rFonts w:eastAsia="Arial Narrow" w:cs="Arial"/>
          <w:szCs w:val="20"/>
          <w:lang w:eastAsia="sl-SI"/>
        </w:rPr>
      </w:pPr>
    </w:p>
    <w:p w14:paraId="70A8275E" w14:textId="1A409C8D" w:rsidR="0051375F" w:rsidRPr="005E4BEA" w:rsidRDefault="0051375F" w:rsidP="0051375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8" w:name="_Hlk102477426"/>
      <w:r w:rsidRPr="005E4BEA">
        <w:rPr>
          <w:rFonts w:eastAsia="Arial Narrow" w:cs="Arial"/>
          <w:bCs/>
          <w:szCs w:val="20"/>
        </w:rPr>
        <w:t>da se 64.</w:t>
      </w:r>
      <w:r w:rsidRPr="005E4BEA">
        <w:rPr>
          <w:rFonts w:eastAsiaTheme="minorHAnsi" w:cs="Arial"/>
          <w:bCs/>
          <w:szCs w:val="20"/>
        </w:rPr>
        <w:t xml:space="preserve"> člen Splošnega dogovora ne spremeni.</w:t>
      </w:r>
    </w:p>
    <w:bookmarkEnd w:id="118"/>
    <w:p w14:paraId="7DFB2CAB" w14:textId="77777777" w:rsidR="0051375F" w:rsidRPr="005E4BEA" w:rsidRDefault="0051375F" w:rsidP="0051375F">
      <w:pPr>
        <w:spacing w:line="0" w:lineRule="atLeast"/>
        <w:contextualSpacing/>
        <w:jc w:val="both"/>
        <w:rPr>
          <w:rFonts w:eastAsiaTheme="minorHAnsi" w:cs="Arial"/>
          <w:bCs/>
          <w:szCs w:val="20"/>
        </w:rPr>
      </w:pPr>
    </w:p>
    <w:p w14:paraId="27ED8F23" w14:textId="77777777" w:rsidR="0051375F" w:rsidRPr="005E4BEA" w:rsidRDefault="0051375F" w:rsidP="0051375F">
      <w:pPr>
        <w:spacing w:line="240" w:lineRule="auto"/>
        <w:jc w:val="both"/>
        <w:rPr>
          <w:rFonts w:eastAsia="Calibri" w:cs="Arial"/>
          <w:i/>
          <w:iCs/>
          <w:color w:val="7F7F7F"/>
          <w:szCs w:val="20"/>
        </w:rPr>
      </w:pPr>
    </w:p>
    <w:p w14:paraId="5F9904A9" w14:textId="17E40B4E" w:rsidR="0051375F" w:rsidRPr="005E4BEA" w:rsidRDefault="0051375F" w:rsidP="00F356C9">
      <w:pPr>
        <w:pStyle w:val="Naslov2"/>
        <w:numPr>
          <w:ilvl w:val="0"/>
          <w:numId w:val="79"/>
        </w:numPr>
        <w:shd w:val="clear" w:color="auto" w:fill="FFFFFF" w:themeFill="background1"/>
        <w:ind w:left="0" w:firstLine="0"/>
        <w:rPr>
          <w:rFonts w:ascii="Arial" w:eastAsia="Arial Narrow" w:hAnsi="Arial" w:cs="Arial"/>
          <w:sz w:val="20"/>
        </w:rPr>
      </w:pPr>
      <w:r w:rsidRPr="005E4BEA">
        <w:rPr>
          <w:rFonts w:ascii="Arial" w:eastAsia="Arial Narrow" w:hAnsi="Arial" w:cs="Arial"/>
          <w:sz w:val="20"/>
        </w:rPr>
        <w:t>SPORNO VPRAŠANJE (85)</w:t>
      </w:r>
    </w:p>
    <w:p w14:paraId="22926D01" w14:textId="77777777" w:rsidR="00667457" w:rsidRPr="005E4BEA" w:rsidRDefault="00667457" w:rsidP="00667457">
      <w:pPr>
        <w:rPr>
          <w:rFonts w:eastAsia="Arial Narrow"/>
        </w:rPr>
      </w:pPr>
    </w:p>
    <w:p w14:paraId="19847F3A" w14:textId="7A307070" w:rsidR="00FE461F" w:rsidRPr="005E4BEA" w:rsidRDefault="0051375F" w:rsidP="0051375F">
      <w:pPr>
        <w:spacing w:line="240" w:lineRule="auto"/>
        <w:jc w:val="both"/>
        <w:textAlignment w:val="baseline"/>
        <w:rPr>
          <w:rFonts w:cs="Arial"/>
          <w:bCs/>
          <w:szCs w:val="20"/>
        </w:rPr>
      </w:pPr>
      <w:r w:rsidRPr="005E4BEA">
        <w:rPr>
          <w:rFonts w:eastAsia="Arial Narrow" w:cs="Arial"/>
          <w:b/>
          <w:szCs w:val="20"/>
        </w:rPr>
        <w:t xml:space="preserve">Zavod za zdravstveno zavarovanje Slovenije </w:t>
      </w:r>
      <w:r w:rsidRPr="005E4BEA">
        <w:rPr>
          <w:rFonts w:eastAsiaTheme="minorHAnsi" w:cs="Arial"/>
          <w:b/>
          <w:szCs w:val="20"/>
        </w:rPr>
        <w:t>predlaga</w:t>
      </w:r>
      <w:r w:rsidRPr="005E4BEA">
        <w:rPr>
          <w:rFonts w:eastAsiaTheme="minorHAnsi" w:cs="Arial"/>
          <w:bCs/>
          <w:szCs w:val="20"/>
        </w:rPr>
        <w:t>, da se v P</w:t>
      </w:r>
      <w:r w:rsidR="00FE461F" w:rsidRPr="005E4BEA">
        <w:rPr>
          <w:rFonts w:cs="Arial"/>
          <w:bCs/>
          <w:szCs w:val="20"/>
        </w:rPr>
        <w:t>rilogi I in I/a ter v tabeli izhodišč na koncu Priloge I/a se vrednost letne premije za kolektivno dodatno pokojninsko zavarovanje iz 460,76 evrov zniža na 420,12 evrov.</w:t>
      </w:r>
    </w:p>
    <w:p w14:paraId="0B119EC7" w14:textId="77777777" w:rsidR="00FE461F" w:rsidRPr="005E4BEA" w:rsidRDefault="00FE461F" w:rsidP="00FE461F">
      <w:pPr>
        <w:spacing w:line="120" w:lineRule="auto"/>
        <w:jc w:val="both"/>
        <w:rPr>
          <w:rFonts w:cs="Arial"/>
          <w:szCs w:val="20"/>
        </w:rPr>
      </w:pPr>
    </w:p>
    <w:p w14:paraId="3E04FAF1" w14:textId="77777777" w:rsidR="00FE461F" w:rsidRPr="005E4BEA" w:rsidRDefault="00FE461F" w:rsidP="00FE461F">
      <w:pPr>
        <w:spacing w:line="240" w:lineRule="exact"/>
        <w:jc w:val="both"/>
        <w:rPr>
          <w:rFonts w:cs="Arial"/>
          <w:szCs w:val="20"/>
        </w:rPr>
      </w:pPr>
      <w:r w:rsidRPr="005E4BEA">
        <w:rPr>
          <w:rFonts w:cs="Arial"/>
          <w:szCs w:val="20"/>
        </w:rPr>
        <w:t>Sprememba velja od 1. 1. 2023 naprej.</w:t>
      </w:r>
    </w:p>
    <w:p w14:paraId="601BCC0C" w14:textId="77777777" w:rsidR="00FE461F" w:rsidRPr="005E4BEA" w:rsidRDefault="00FE461F" w:rsidP="00FE461F">
      <w:pPr>
        <w:spacing w:line="120" w:lineRule="auto"/>
        <w:jc w:val="both"/>
        <w:rPr>
          <w:rFonts w:cs="Arial"/>
          <w:szCs w:val="20"/>
        </w:rPr>
      </w:pPr>
    </w:p>
    <w:p w14:paraId="256FDE73"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4FB59F71"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Iz poročila Ministrstva za zdravje o poslovanju javnih zdravstvenih zavodov izhaja, da so bolnišnice za dodatno pokojninsko poslovanje v letu 2020 namenile 10.385.397 evrov. Ob upoštevanju 26.397 zaposlenih to pomeni 393 evrov na zaposlenega. </w:t>
      </w:r>
    </w:p>
    <w:p w14:paraId="05B29EB3" w14:textId="77777777" w:rsidR="00FE461F" w:rsidRPr="005E4BEA" w:rsidRDefault="00FE461F" w:rsidP="00FE461F">
      <w:pPr>
        <w:spacing w:line="120" w:lineRule="auto"/>
        <w:rPr>
          <w:rFonts w:eastAsiaTheme="minorHAnsi" w:cs="Arial"/>
          <w:i/>
          <w:color w:val="808080" w:themeColor="background1" w:themeShade="80"/>
          <w:szCs w:val="20"/>
        </w:rPr>
      </w:pPr>
    </w:p>
    <w:p w14:paraId="307EFB0A"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Zdravstveni domovi so za ta namen v letu 2020 namenili 4.295.421 evrov. </w:t>
      </w:r>
    </w:p>
    <w:p w14:paraId="12718973" w14:textId="77777777" w:rsidR="00FE461F" w:rsidRPr="005E4BEA" w:rsidRDefault="00FE461F" w:rsidP="00FE461F">
      <w:pPr>
        <w:spacing w:line="120" w:lineRule="auto"/>
        <w:rPr>
          <w:rFonts w:eastAsiaTheme="minorHAnsi" w:cs="Arial"/>
          <w:i/>
          <w:color w:val="808080" w:themeColor="background1" w:themeShade="80"/>
          <w:szCs w:val="20"/>
        </w:rPr>
      </w:pPr>
    </w:p>
    <w:p w14:paraId="28B2B9F3"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Na podlagi razpoložljivih podatkov predlagamo, da se sredstva za dodatno pokojninsko zavarovanje vračunajo v cene zdravstvenih storitev oziroma programov v višini 393 evrov, povečano za koeficient rasti povprečne plače v višini 6,9 %.</w:t>
      </w:r>
    </w:p>
    <w:p w14:paraId="6B946974" w14:textId="77777777" w:rsidR="00FE461F" w:rsidRPr="005E4BEA" w:rsidRDefault="00FE461F" w:rsidP="00FE461F">
      <w:pPr>
        <w:spacing w:line="120" w:lineRule="auto"/>
        <w:rPr>
          <w:rFonts w:eastAsiaTheme="minorHAnsi" w:cs="Arial"/>
          <w:i/>
          <w:color w:val="808080" w:themeColor="background1" w:themeShade="80"/>
          <w:szCs w:val="20"/>
        </w:rPr>
      </w:pPr>
    </w:p>
    <w:p w14:paraId="379E809A"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Premija za dodatno pokojninsko zavarovanje bi se tako vračunala v cene zdravstvenih storitev v višini 420,12 evrov, namesto 460,78 evrov.</w:t>
      </w:r>
    </w:p>
    <w:p w14:paraId="56B8585B" w14:textId="77777777" w:rsidR="00FE461F" w:rsidRPr="005E4BEA" w:rsidRDefault="00FE461F" w:rsidP="00FE461F">
      <w:pPr>
        <w:spacing w:line="120" w:lineRule="auto"/>
        <w:rPr>
          <w:rFonts w:eastAsiaTheme="minorHAnsi" w:cs="Arial"/>
          <w:i/>
          <w:color w:val="808080" w:themeColor="background1" w:themeShade="80"/>
          <w:szCs w:val="20"/>
        </w:rPr>
      </w:pPr>
    </w:p>
    <w:p w14:paraId="55D7A681" w14:textId="77777777" w:rsidR="0051375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1.900.187 evrov</w:t>
      </w:r>
    </w:p>
    <w:p w14:paraId="79226EAD" w14:textId="699D6279"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w:t>
      </w:r>
    </w:p>
    <w:p w14:paraId="21BF27B8" w14:textId="3D6373F1" w:rsidR="0051375F" w:rsidRPr="005E4BEA" w:rsidRDefault="0051375F" w:rsidP="00FE461F">
      <w:pPr>
        <w:spacing w:line="240" w:lineRule="auto"/>
        <w:jc w:val="both"/>
        <w:rPr>
          <w:rFonts w:eastAsiaTheme="minorHAnsi" w:cs="Arial"/>
          <w:i/>
          <w:color w:val="808080" w:themeColor="background1" w:themeShade="80"/>
          <w:szCs w:val="20"/>
        </w:rPr>
      </w:pPr>
    </w:p>
    <w:p w14:paraId="25D06299" w14:textId="77777777" w:rsidR="0051375F" w:rsidRPr="005E4BEA" w:rsidRDefault="0051375F" w:rsidP="0051375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663574E" w14:textId="77777777" w:rsidR="0051375F" w:rsidRPr="005E4BEA" w:rsidRDefault="0051375F" w:rsidP="0051375F">
      <w:pPr>
        <w:spacing w:line="0" w:lineRule="atLeast"/>
        <w:jc w:val="both"/>
        <w:rPr>
          <w:rFonts w:eastAsia="Arial Narrow" w:cs="Arial"/>
          <w:szCs w:val="20"/>
          <w:lang w:eastAsia="sl-SI"/>
        </w:rPr>
      </w:pPr>
    </w:p>
    <w:p w14:paraId="6C192F5D" w14:textId="331BCFFF" w:rsidR="0051375F" w:rsidRPr="005E4BEA" w:rsidRDefault="0051375F" w:rsidP="0051375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19" w:name="_Hlk102477475"/>
      <w:r w:rsidRPr="005E4BEA">
        <w:rPr>
          <w:rFonts w:eastAsia="Arial Narrow" w:cs="Arial"/>
          <w:bCs/>
          <w:szCs w:val="20"/>
        </w:rPr>
        <w:t xml:space="preserve">da se Priloga I in Priloga I/a </w:t>
      </w:r>
      <w:r w:rsidRPr="005E4BEA">
        <w:rPr>
          <w:rFonts w:eastAsiaTheme="minorHAnsi" w:cs="Arial"/>
          <w:bCs/>
          <w:szCs w:val="20"/>
        </w:rPr>
        <w:t>Splošnega dogovora ne spremenita.</w:t>
      </w:r>
    </w:p>
    <w:p w14:paraId="1D3AEF6F" w14:textId="77777777" w:rsidR="0051375F" w:rsidRPr="005E4BEA" w:rsidRDefault="0051375F" w:rsidP="0051375F">
      <w:pPr>
        <w:spacing w:line="0" w:lineRule="atLeast"/>
        <w:contextualSpacing/>
        <w:jc w:val="both"/>
        <w:rPr>
          <w:rFonts w:eastAsiaTheme="minorHAnsi" w:cs="Arial"/>
          <w:bCs/>
          <w:szCs w:val="20"/>
        </w:rPr>
      </w:pPr>
    </w:p>
    <w:bookmarkEnd w:id="119"/>
    <w:p w14:paraId="1AAA6F84" w14:textId="160ABBE1" w:rsidR="0051375F" w:rsidRPr="005E4BEA" w:rsidRDefault="0051375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(86)</w:t>
      </w:r>
    </w:p>
    <w:p w14:paraId="1784CC09" w14:textId="77777777" w:rsidR="0051375F" w:rsidRPr="005E4BEA" w:rsidRDefault="0051375F" w:rsidP="0051375F">
      <w:pPr>
        <w:spacing w:after="160" w:line="259" w:lineRule="auto"/>
        <w:rPr>
          <w:rFonts w:eastAsia="Arial Narrow" w:cs="Arial"/>
          <w:b/>
          <w:szCs w:val="20"/>
        </w:rPr>
      </w:pPr>
    </w:p>
    <w:p w14:paraId="3493B4E7" w14:textId="1CF82D57" w:rsidR="00FE461F" w:rsidRPr="005E4BEA" w:rsidRDefault="0051375F"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00FE461F" w:rsidRPr="005E4BEA">
        <w:rPr>
          <w:rFonts w:cs="Arial"/>
          <w:bCs/>
          <w:szCs w:val="20"/>
        </w:rPr>
        <w:t>Prilog</w:t>
      </w:r>
      <w:r w:rsidRPr="005E4BEA">
        <w:rPr>
          <w:rFonts w:cs="Arial"/>
          <w:bCs/>
          <w:szCs w:val="20"/>
        </w:rPr>
        <w:t xml:space="preserve">i </w:t>
      </w:r>
      <w:r w:rsidR="00FE461F" w:rsidRPr="005E4BEA">
        <w:rPr>
          <w:rFonts w:cs="Arial"/>
          <w:bCs/>
          <w:szCs w:val="20"/>
        </w:rPr>
        <w:t xml:space="preserve">I , </w:t>
      </w:r>
      <w:r w:rsidRPr="005E4BEA">
        <w:rPr>
          <w:rFonts w:cs="Arial"/>
          <w:bCs/>
          <w:szCs w:val="20"/>
        </w:rPr>
        <w:t>v</w:t>
      </w:r>
      <w:r w:rsidR="00FE461F" w:rsidRPr="005E4BEA">
        <w:rPr>
          <w:rFonts w:cs="Arial"/>
          <w:bCs/>
          <w:szCs w:val="20"/>
        </w:rPr>
        <w:t xml:space="preserve"> standardih, kjer je za ATK priznan 28 PR (standardi bolnišnične ravni) prizna dvig sredstev za informatizacijo za dodatnih 23.5 mio € v skupni vrednosti </w:t>
      </w:r>
    </w:p>
    <w:p w14:paraId="218FDD42"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t>Obrazložitev:</w:t>
      </w:r>
    </w:p>
    <w:p w14:paraId="2727F09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Skupna vrednost vseh stroškov za informatizacijo v bolnišnicah v letu 2021 znaša 26.9 mio €.  Višina sredstev, ki so jih bolnišnice v letu 2021 v okviru pogodbeno dogovorjenega programa z ZZZS v cenah zdravstvenih storitev prejele za informatizacijo pa je 3,3 mio €. </w:t>
      </w:r>
    </w:p>
    <w:p w14:paraId="42449802" w14:textId="77777777" w:rsidR="00FE461F" w:rsidRPr="005E4BEA" w:rsidRDefault="00FE461F" w:rsidP="00FE461F">
      <w:pPr>
        <w:spacing w:line="240" w:lineRule="auto"/>
        <w:jc w:val="both"/>
        <w:rPr>
          <w:rFonts w:cs="Arial"/>
          <w:color w:val="000000"/>
          <w:szCs w:val="20"/>
        </w:rPr>
      </w:pPr>
      <w:r w:rsidRPr="005E4BEA">
        <w:rPr>
          <w:rFonts w:cs="Arial"/>
          <w:noProof/>
          <w:szCs w:val="20"/>
        </w:rPr>
        <w:drawing>
          <wp:inline distT="0" distB="0" distL="0" distR="0" wp14:anchorId="7DD0DB60" wp14:editId="507CE3FD">
            <wp:extent cx="5728335" cy="2680335"/>
            <wp:effectExtent l="0" t="0" r="5715" b="5715"/>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885A7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Razlika med prejetimi sredstvi in dejanskimi stroški je ogromna in znaša 23.5 mio €, kar kaže na veliko </w:t>
      </w:r>
      <w:proofErr w:type="spellStart"/>
      <w:r w:rsidRPr="005E4BEA">
        <w:rPr>
          <w:rFonts w:cs="Arial"/>
          <w:i/>
          <w:iCs/>
          <w:color w:val="808080" w:themeColor="background1" w:themeShade="80"/>
          <w:szCs w:val="20"/>
        </w:rPr>
        <w:t>podfinanciranost</w:t>
      </w:r>
      <w:proofErr w:type="spellEnd"/>
      <w:r w:rsidRPr="005E4BEA">
        <w:rPr>
          <w:rFonts w:cs="Arial"/>
          <w:i/>
          <w:iCs/>
          <w:color w:val="808080" w:themeColor="background1" w:themeShade="80"/>
          <w:szCs w:val="20"/>
        </w:rPr>
        <w:t xml:space="preserve"> področja informatizacije v bolnišnicah.</w:t>
      </w:r>
    </w:p>
    <w:p w14:paraId="76029975" w14:textId="77777777" w:rsidR="00FE461F" w:rsidRPr="005E4BEA" w:rsidRDefault="00FE461F" w:rsidP="00FE461F">
      <w:pPr>
        <w:spacing w:line="240" w:lineRule="auto"/>
        <w:jc w:val="both"/>
        <w:rPr>
          <w:rFonts w:cs="Arial"/>
          <w:b/>
          <w:bCs/>
          <w:i/>
          <w:iCs/>
          <w:color w:val="808080" w:themeColor="background1" w:themeShade="80"/>
          <w:szCs w:val="20"/>
        </w:rPr>
      </w:pPr>
      <w:r w:rsidRPr="005E4BEA">
        <w:rPr>
          <w:rFonts w:cs="Arial"/>
          <w:i/>
          <w:iCs/>
          <w:color w:val="808080" w:themeColor="background1" w:themeShade="80"/>
          <w:szCs w:val="20"/>
        </w:rPr>
        <w:t xml:space="preserve">Iz podatkov je razvidno, da je zgolj 11 procentov vseh stroškov, ki jih imajo bolnišnice financiranih in pokritih iz </w:t>
      </w:r>
      <w:bookmarkStart w:id="120" w:name="_Hlk95292727"/>
      <w:r w:rsidRPr="005E4BEA">
        <w:rPr>
          <w:rFonts w:cs="Arial"/>
          <w:i/>
          <w:iCs/>
          <w:color w:val="808080" w:themeColor="background1" w:themeShade="80"/>
          <w:szCs w:val="20"/>
        </w:rPr>
        <w:t xml:space="preserve">namenskih sredstev </w:t>
      </w:r>
      <w:bookmarkEnd w:id="120"/>
      <w:r w:rsidRPr="005E4BEA">
        <w:rPr>
          <w:rFonts w:cs="Arial"/>
          <w:i/>
          <w:iCs/>
          <w:color w:val="808080" w:themeColor="background1" w:themeShade="80"/>
          <w:szCs w:val="20"/>
        </w:rPr>
        <w:t xml:space="preserve">za informatizacijo, priznanih v pogodbeno dogovorjenih cenah zdravstvenih storitev z ZZZS. Ostale stroške v višini 23,5 mio € (89 odstotkov) bolnišnice pokrivajo iz drugih virov. Del teh stroškov, v višini 4.9 mio € je strošek dela in se pokriva iz namenskih sredstev za administrativno tehnični kader (ATK), kjer bolnišnice tudi ugotavljajo razliko med dejanskimi stroški in </w:t>
      </w:r>
      <w:r w:rsidRPr="005E4BEA">
        <w:rPr>
          <w:rFonts w:cs="Arial"/>
          <w:b/>
          <w:bCs/>
          <w:i/>
          <w:iCs/>
          <w:color w:val="808080" w:themeColor="background1" w:themeShade="80"/>
          <w:szCs w:val="20"/>
        </w:rPr>
        <w:t xml:space="preserve">priznanimi sredstvi v višini 47 mio €. </w:t>
      </w:r>
    </w:p>
    <w:p w14:paraId="5CC619B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Anketa Združenja je pokazala, da je višina povprečnega plačnega razreda zaposlenih v informatizaciji 36 PR. Obseg sredstev za informatizacijo, v pogodbenem planu za leto 2021 bolnišnic znaša 0,23 odstotka, moral pa bi 1,87 oziroma, v kolikor upoštevamo strošek dela v ATK, vsaj 1, 53 odstotka pogodbene vrednosti </w:t>
      </w:r>
      <w:r w:rsidRPr="005E4BEA">
        <w:rPr>
          <w:rFonts w:cs="Arial"/>
          <w:color w:val="808080" w:themeColor="background1" w:themeShade="80"/>
          <w:szCs w:val="20"/>
        </w:rPr>
        <w:t>bolnišnic.</w:t>
      </w:r>
    </w:p>
    <w:tbl>
      <w:tblPr>
        <w:tblpPr w:leftFromText="141" w:rightFromText="141" w:vertAnchor="text" w:horzAnchor="margin" w:tblpY="-54"/>
        <w:tblW w:w="9526" w:type="dxa"/>
        <w:tblCellMar>
          <w:left w:w="70" w:type="dxa"/>
          <w:right w:w="70" w:type="dxa"/>
        </w:tblCellMar>
        <w:tblLook w:val="04A0" w:firstRow="1" w:lastRow="0" w:firstColumn="1" w:lastColumn="0" w:noHBand="0" w:noVBand="1"/>
      </w:tblPr>
      <w:tblGrid>
        <w:gridCol w:w="1052"/>
        <w:gridCol w:w="1419"/>
        <w:gridCol w:w="1419"/>
        <w:gridCol w:w="1420"/>
        <w:gridCol w:w="1499"/>
        <w:gridCol w:w="1500"/>
        <w:gridCol w:w="1508"/>
      </w:tblGrid>
      <w:tr w:rsidR="00FE461F" w:rsidRPr="005E4BEA" w14:paraId="2565D8A7" w14:textId="77777777" w:rsidTr="0016774B">
        <w:trPr>
          <w:trHeight w:val="894"/>
        </w:trPr>
        <w:tc>
          <w:tcPr>
            <w:tcW w:w="1048" w:type="dxa"/>
            <w:tcBorders>
              <w:top w:val="single" w:sz="4" w:space="0" w:color="auto"/>
              <w:left w:val="single" w:sz="4" w:space="0" w:color="auto"/>
              <w:bottom w:val="single" w:sz="4" w:space="0" w:color="auto"/>
              <w:right w:val="single" w:sz="4" w:space="0" w:color="auto"/>
            </w:tcBorders>
            <w:noWrap/>
            <w:vAlign w:val="bottom"/>
            <w:hideMark/>
          </w:tcPr>
          <w:p w14:paraId="36D6216E" w14:textId="77777777" w:rsidR="00FE461F" w:rsidRPr="005E4BEA" w:rsidRDefault="00FE461F" w:rsidP="00FE461F">
            <w:pPr>
              <w:spacing w:line="240" w:lineRule="auto"/>
              <w:jc w:val="both"/>
              <w:rPr>
                <w:rFonts w:cs="Arial"/>
                <w:i/>
                <w:iCs/>
                <w:color w:val="767171" w:themeColor="background2" w:themeShade="80"/>
                <w:szCs w:val="20"/>
              </w:rPr>
            </w:pPr>
          </w:p>
          <w:p w14:paraId="4FCD5486" w14:textId="77777777" w:rsidR="00FE461F" w:rsidRPr="005E4BEA" w:rsidRDefault="00FE461F" w:rsidP="00FE461F">
            <w:pPr>
              <w:spacing w:line="240" w:lineRule="auto"/>
              <w:jc w:val="both"/>
              <w:rPr>
                <w:rFonts w:cs="Arial"/>
                <w:i/>
                <w:iCs/>
                <w:color w:val="767171" w:themeColor="background2" w:themeShade="80"/>
                <w:szCs w:val="20"/>
              </w:rPr>
            </w:pPr>
          </w:p>
          <w:p w14:paraId="1330712C" w14:textId="77777777" w:rsidR="00FE461F" w:rsidRPr="005E4BEA" w:rsidRDefault="00FE461F" w:rsidP="00FE461F">
            <w:pPr>
              <w:spacing w:line="240" w:lineRule="auto"/>
              <w:jc w:val="both"/>
              <w:rPr>
                <w:rFonts w:cs="Arial"/>
                <w:i/>
                <w:iCs/>
                <w:color w:val="767171" w:themeColor="background2" w:themeShade="80"/>
                <w:szCs w:val="20"/>
              </w:rPr>
            </w:pPr>
          </w:p>
          <w:p w14:paraId="44726C51" w14:textId="77777777" w:rsidR="00FE461F" w:rsidRPr="005E4BEA" w:rsidRDefault="00FE461F" w:rsidP="00FE461F">
            <w:pPr>
              <w:spacing w:line="240" w:lineRule="auto"/>
              <w:jc w:val="both"/>
              <w:rPr>
                <w:rFonts w:cs="Arial"/>
                <w:i/>
                <w:iCs/>
                <w:color w:val="767171" w:themeColor="background2" w:themeShade="80"/>
                <w:szCs w:val="20"/>
              </w:rPr>
            </w:pPr>
          </w:p>
        </w:tc>
        <w:tc>
          <w:tcPr>
            <w:tcW w:w="1299" w:type="dxa"/>
            <w:tcBorders>
              <w:top w:val="single" w:sz="4" w:space="0" w:color="auto"/>
              <w:left w:val="nil"/>
              <w:bottom w:val="single" w:sz="4" w:space="0" w:color="auto"/>
              <w:right w:val="single" w:sz="4" w:space="0" w:color="auto"/>
            </w:tcBorders>
            <w:shd w:val="clear" w:color="000000" w:fill="EEEEEE"/>
            <w:vAlign w:val="bottom"/>
            <w:hideMark/>
          </w:tcPr>
          <w:p w14:paraId="74B23644"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ANALIZA ZDRZZ Skupaj stroški informatizacije v letu 2021 (v EUR)</w:t>
            </w:r>
          </w:p>
        </w:tc>
        <w:tc>
          <w:tcPr>
            <w:tcW w:w="1336" w:type="dxa"/>
            <w:tcBorders>
              <w:top w:val="single" w:sz="4" w:space="0" w:color="auto"/>
              <w:left w:val="nil"/>
              <w:bottom w:val="single" w:sz="4" w:space="0" w:color="auto"/>
              <w:right w:val="single" w:sz="4" w:space="0" w:color="auto"/>
            </w:tcBorders>
            <w:shd w:val="clear" w:color="000000" w:fill="E6B8B7"/>
            <w:vAlign w:val="bottom"/>
            <w:hideMark/>
          </w:tcPr>
          <w:p w14:paraId="73D8BC8C"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Sredstva za informatizacijo (podatki ZZZS na stanje 10 2021)</w:t>
            </w:r>
          </w:p>
        </w:tc>
        <w:tc>
          <w:tcPr>
            <w:tcW w:w="1336" w:type="dxa"/>
            <w:tcBorders>
              <w:top w:val="single" w:sz="4" w:space="0" w:color="auto"/>
              <w:left w:val="nil"/>
              <w:bottom w:val="single" w:sz="4" w:space="0" w:color="auto"/>
              <w:right w:val="single" w:sz="4" w:space="0" w:color="auto"/>
            </w:tcBorders>
            <w:shd w:val="clear" w:color="000000" w:fill="E6B8B7"/>
            <w:vAlign w:val="bottom"/>
            <w:hideMark/>
          </w:tcPr>
          <w:p w14:paraId="5CC62BC9"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Celotni prihodek brez LZM (podatki ZZZS na stanje 10 2021)</w:t>
            </w:r>
          </w:p>
        </w:tc>
        <w:tc>
          <w:tcPr>
            <w:tcW w:w="1499" w:type="dxa"/>
            <w:tcBorders>
              <w:top w:val="single" w:sz="4" w:space="0" w:color="auto"/>
              <w:left w:val="nil"/>
              <w:bottom w:val="single" w:sz="4" w:space="0" w:color="auto"/>
              <w:right w:val="nil"/>
            </w:tcBorders>
            <w:shd w:val="clear" w:color="000000" w:fill="E6B8B7"/>
            <w:vAlign w:val="bottom"/>
            <w:hideMark/>
          </w:tcPr>
          <w:p w14:paraId="398AB1A2"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 xml:space="preserve">Odstotek </w:t>
            </w:r>
            <w:proofErr w:type="spellStart"/>
            <w:r w:rsidRPr="005E4BEA">
              <w:rPr>
                <w:rFonts w:cs="Arial"/>
                <w:i/>
                <w:iCs/>
                <w:color w:val="767171" w:themeColor="background2" w:themeShade="80"/>
                <w:szCs w:val="20"/>
              </w:rPr>
              <w:t>vkalkuliranih</w:t>
            </w:r>
            <w:proofErr w:type="spellEnd"/>
            <w:r w:rsidRPr="005E4BEA">
              <w:rPr>
                <w:rFonts w:cs="Arial"/>
                <w:i/>
                <w:iCs/>
                <w:color w:val="767171" w:themeColor="background2" w:themeShade="80"/>
                <w:szCs w:val="20"/>
              </w:rPr>
              <w:t xml:space="preserve"> sredstev ZZZS za informatizacijo </w:t>
            </w:r>
          </w:p>
        </w:tc>
        <w:tc>
          <w:tcPr>
            <w:tcW w:w="1500" w:type="dxa"/>
            <w:tcBorders>
              <w:top w:val="single" w:sz="4" w:space="0" w:color="auto"/>
              <w:left w:val="single" w:sz="4" w:space="0" w:color="auto"/>
              <w:bottom w:val="single" w:sz="4" w:space="0" w:color="auto"/>
              <w:right w:val="single" w:sz="4" w:space="0" w:color="auto"/>
            </w:tcBorders>
            <w:shd w:val="clear" w:color="000000" w:fill="D8E4BC"/>
            <w:vAlign w:val="bottom"/>
            <w:hideMark/>
          </w:tcPr>
          <w:p w14:paraId="18CD781C"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 xml:space="preserve">POTREBEN DVIG odstotka </w:t>
            </w:r>
            <w:proofErr w:type="spellStart"/>
            <w:r w:rsidRPr="005E4BEA">
              <w:rPr>
                <w:rFonts w:cs="Arial"/>
                <w:i/>
                <w:iCs/>
                <w:color w:val="767171" w:themeColor="background2" w:themeShade="80"/>
                <w:szCs w:val="20"/>
              </w:rPr>
              <w:t>vkalkuliranih</w:t>
            </w:r>
            <w:proofErr w:type="spellEnd"/>
            <w:r w:rsidRPr="005E4BEA">
              <w:rPr>
                <w:rFonts w:cs="Arial"/>
                <w:i/>
                <w:iCs/>
                <w:color w:val="767171" w:themeColor="background2" w:themeShade="80"/>
                <w:szCs w:val="20"/>
              </w:rPr>
              <w:t xml:space="preserve"> sredstev ZZZS za informatizacijo</w:t>
            </w:r>
          </w:p>
        </w:tc>
        <w:tc>
          <w:tcPr>
            <w:tcW w:w="1508" w:type="dxa"/>
            <w:tcBorders>
              <w:top w:val="single" w:sz="4" w:space="0" w:color="auto"/>
              <w:left w:val="nil"/>
              <w:bottom w:val="single" w:sz="4" w:space="0" w:color="auto"/>
              <w:right w:val="single" w:sz="4" w:space="0" w:color="auto"/>
            </w:tcBorders>
            <w:shd w:val="clear" w:color="000000" w:fill="D8E4BC"/>
            <w:vAlign w:val="bottom"/>
            <w:hideMark/>
          </w:tcPr>
          <w:p w14:paraId="1D857F00"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 xml:space="preserve">POTREBEN DVIG odstotka </w:t>
            </w:r>
            <w:proofErr w:type="spellStart"/>
            <w:r w:rsidRPr="005E4BEA">
              <w:rPr>
                <w:rFonts w:cs="Arial"/>
                <w:i/>
                <w:iCs/>
                <w:color w:val="767171" w:themeColor="background2" w:themeShade="80"/>
                <w:szCs w:val="20"/>
              </w:rPr>
              <w:t>vkalkuliranih</w:t>
            </w:r>
            <w:proofErr w:type="spellEnd"/>
            <w:r w:rsidRPr="005E4BEA">
              <w:rPr>
                <w:rFonts w:cs="Arial"/>
                <w:i/>
                <w:iCs/>
                <w:color w:val="767171" w:themeColor="background2" w:themeShade="80"/>
                <w:szCs w:val="20"/>
              </w:rPr>
              <w:t xml:space="preserve"> sredstev ZZZS za informatizacijo brez stroškov dela </w:t>
            </w:r>
          </w:p>
        </w:tc>
      </w:tr>
      <w:tr w:rsidR="00FE461F" w:rsidRPr="005E4BEA" w14:paraId="78FD9F49" w14:textId="77777777" w:rsidTr="0016774B">
        <w:trPr>
          <w:trHeight w:val="185"/>
        </w:trPr>
        <w:tc>
          <w:tcPr>
            <w:tcW w:w="1048" w:type="dxa"/>
            <w:tcBorders>
              <w:top w:val="nil"/>
              <w:left w:val="single" w:sz="4" w:space="0" w:color="auto"/>
              <w:bottom w:val="single" w:sz="4" w:space="0" w:color="auto"/>
              <w:right w:val="single" w:sz="4" w:space="0" w:color="auto"/>
            </w:tcBorders>
            <w:noWrap/>
            <w:vAlign w:val="bottom"/>
            <w:hideMark/>
          </w:tcPr>
          <w:p w14:paraId="4F35343E" w14:textId="77777777" w:rsidR="00FE461F" w:rsidRPr="005E4BEA" w:rsidRDefault="00FE461F" w:rsidP="00FE461F">
            <w:pPr>
              <w:spacing w:line="240" w:lineRule="auto"/>
              <w:jc w:val="both"/>
              <w:rPr>
                <w:rFonts w:cs="Arial"/>
                <w:i/>
                <w:iCs/>
                <w:color w:val="767171" w:themeColor="background2" w:themeShade="80"/>
                <w:szCs w:val="20"/>
              </w:rPr>
            </w:pPr>
            <w:r w:rsidRPr="005E4BEA">
              <w:rPr>
                <w:rFonts w:cs="Arial"/>
                <w:i/>
                <w:iCs/>
                <w:color w:val="767171" w:themeColor="background2" w:themeShade="80"/>
                <w:szCs w:val="20"/>
              </w:rPr>
              <w:t>Bolnišnice</w:t>
            </w:r>
          </w:p>
        </w:tc>
        <w:tc>
          <w:tcPr>
            <w:tcW w:w="1299" w:type="dxa"/>
            <w:tcBorders>
              <w:top w:val="nil"/>
              <w:left w:val="nil"/>
              <w:bottom w:val="single" w:sz="4" w:space="0" w:color="auto"/>
              <w:right w:val="single" w:sz="4" w:space="0" w:color="auto"/>
            </w:tcBorders>
            <w:shd w:val="clear" w:color="000000" w:fill="FFFFFF"/>
            <w:noWrap/>
            <w:vAlign w:val="bottom"/>
            <w:hideMark/>
          </w:tcPr>
          <w:p w14:paraId="4722037E"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 xml:space="preserve">26.922.042  </w:t>
            </w:r>
          </w:p>
        </w:tc>
        <w:tc>
          <w:tcPr>
            <w:tcW w:w="1336" w:type="dxa"/>
            <w:tcBorders>
              <w:top w:val="nil"/>
              <w:left w:val="nil"/>
              <w:bottom w:val="single" w:sz="4" w:space="0" w:color="auto"/>
              <w:right w:val="single" w:sz="4" w:space="0" w:color="auto"/>
            </w:tcBorders>
            <w:shd w:val="clear" w:color="000000" w:fill="FFFFFF"/>
            <w:noWrap/>
            <w:vAlign w:val="bottom"/>
            <w:hideMark/>
          </w:tcPr>
          <w:p w14:paraId="7EECD1DC"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 xml:space="preserve">3.333.381  </w:t>
            </w:r>
          </w:p>
        </w:tc>
        <w:tc>
          <w:tcPr>
            <w:tcW w:w="1336" w:type="dxa"/>
            <w:tcBorders>
              <w:top w:val="nil"/>
              <w:left w:val="nil"/>
              <w:bottom w:val="single" w:sz="4" w:space="0" w:color="auto"/>
              <w:right w:val="single" w:sz="4" w:space="0" w:color="auto"/>
            </w:tcBorders>
            <w:shd w:val="clear" w:color="000000" w:fill="FFFFFF"/>
            <w:noWrap/>
            <w:vAlign w:val="bottom"/>
            <w:hideMark/>
          </w:tcPr>
          <w:p w14:paraId="5E3BE400"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 xml:space="preserve">1.436.716.479  </w:t>
            </w:r>
          </w:p>
        </w:tc>
        <w:tc>
          <w:tcPr>
            <w:tcW w:w="1499" w:type="dxa"/>
            <w:tcBorders>
              <w:top w:val="nil"/>
              <w:left w:val="nil"/>
              <w:bottom w:val="single" w:sz="4" w:space="0" w:color="auto"/>
              <w:right w:val="single" w:sz="4" w:space="0" w:color="auto"/>
            </w:tcBorders>
            <w:shd w:val="clear" w:color="000000" w:fill="FFFFFF"/>
            <w:noWrap/>
            <w:vAlign w:val="bottom"/>
            <w:hideMark/>
          </w:tcPr>
          <w:p w14:paraId="3AA6B03D"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0,23</w:t>
            </w:r>
          </w:p>
        </w:tc>
        <w:tc>
          <w:tcPr>
            <w:tcW w:w="1500" w:type="dxa"/>
            <w:tcBorders>
              <w:top w:val="nil"/>
              <w:left w:val="nil"/>
              <w:bottom w:val="single" w:sz="4" w:space="0" w:color="auto"/>
              <w:right w:val="single" w:sz="4" w:space="0" w:color="auto"/>
            </w:tcBorders>
            <w:shd w:val="clear" w:color="000000" w:fill="FFFFFF"/>
            <w:noWrap/>
            <w:vAlign w:val="bottom"/>
            <w:hideMark/>
          </w:tcPr>
          <w:p w14:paraId="27C3DEA4"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1,87</w:t>
            </w:r>
          </w:p>
        </w:tc>
        <w:tc>
          <w:tcPr>
            <w:tcW w:w="1508" w:type="dxa"/>
            <w:tcBorders>
              <w:top w:val="nil"/>
              <w:left w:val="nil"/>
              <w:bottom w:val="single" w:sz="4" w:space="0" w:color="auto"/>
              <w:right w:val="single" w:sz="4" w:space="0" w:color="auto"/>
            </w:tcBorders>
            <w:shd w:val="clear" w:color="000000" w:fill="FFFFFF"/>
            <w:noWrap/>
            <w:vAlign w:val="bottom"/>
            <w:hideMark/>
          </w:tcPr>
          <w:p w14:paraId="20410230"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1,53</w:t>
            </w:r>
          </w:p>
        </w:tc>
      </w:tr>
    </w:tbl>
    <w:p w14:paraId="34D4A80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Združenje predlaga, da se delež sredstev za informatizacijo v cenah zdravstvenih storitev dvigne do višine sredstev, s katerimi bodo bolnišnice lahko zagotovile pokritje vseh stroškov iz naslova informatizacije.  Iz analize je razvidno, da je potrebno za bolnišnice zagotoviti vsaj dodatnih 23,5 mio €, </w:t>
      </w:r>
      <w:proofErr w:type="spellStart"/>
      <w:r w:rsidRPr="005E4BEA">
        <w:rPr>
          <w:rFonts w:cs="Arial"/>
          <w:i/>
          <w:iCs/>
          <w:color w:val="808080" w:themeColor="background1" w:themeShade="80"/>
          <w:szCs w:val="20"/>
        </w:rPr>
        <w:t>vkalkuliranih</w:t>
      </w:r>
      <w:proofErr w:type="spellEnd"/>
      <w:r w:rsidRPr="005E4BEA">
        <w:rPr>
          <w:rFonts w:cs="Arial"/>
          <w:i/>
          <w:iCs/>
          <w:color w:val="808080" w:themeColor="background1" w:themeShade="80"/>
          <w:szCs w:val="20"/>
        </w:rPr>
        <w:t xml:space="preserve"> v standardih za bolnišnično raven. </w:t>
      </w:r>
    </w:p>
    <w:p w14:paraId="5D3F262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primeru, da se v cenah zdravstvenih storitev za bolnišnični nivo v letu 2022 pokrijejo dejanski stroški administrativno tehničnega kadra (ATK), katerega del so stroški dela za informatizacijo in se v standardih bolnišničnega nivoja procent ATK iz 15,27 dvigne na 26,4, je finančna ocena potrebnih dodatnih sredstev za informatizacijo  v tem primeru 18.7 mio €.  </w:t>
      </w:r>
    </w:p>
    <w:p w14:paraId="5AA6970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Skupna ocena dodatnih finančnih sredstev za ATK in informatizacijo v bolnišnicah na letni ravni znaša 65,7 mio €. </w:t>
      </w:r>
    </w:p>
    <w:p w14:paraId="43FDD07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koncu pa naj opozorimo, da se obseg namenskih sredstev za informatizacijo z uvajanjem novih modelov v specialistično ambulantni dejavnosti (MR, CT, dermatologijo, revmatologijo, ORL) v bolnišnicah celo znižuje, ker v teh storitvah ni obračunanih sredstev za informatizacijo, kot to določa drugi odstavek 17. člena Splošnega dogovora 2022. </w:t>
      </w:r>
    </w:p>
    <w:p w14:paraId="7B338A5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Obseg manj sredstev za informatizacijo v novih modelov 2021</w:t>
      </w:r>
    </w:p>
    <w:tbl>
      <w:tblPr>
        <w:tblW w:w="9342" w:type="dxa"/>
        <w:tblInd w:w="9" w:type="dxa"/>
        <w:tblCellMar>
          <w:left w:w="0" w:type="dxa"/>
          <w:right w:w="0" w:type="dxa"/>
        </w:tblCellMar>
        <w:tblLook w:val="04A0" w:firstRow="1" w:lastRow="0" w:firstColumn="1" w:lastColumn="0" w:noHBand="0" w:noVBand="1"/>
      </w:tblPr>
      <w:tblGrid>
        <w:gridCol w:w="838"/>
        <w:gridCol w:w="1211"/>
        <w:gridCol w:w="819"/>
        <w:gridCol w:w="967"/>
        <w:gridCol w:w="1984"/>
        <w:gridCol w:w="1701"/>
        <w:gridCol w:w="1843"/>
      </w:tblGrid>
      <w:tr w:rsidR="00FE461F" w:rsidRPr="005E4BEA" w14:paraId="1A0F34C2" w14:textId="77777777" w:rsidTr="0016774B">
        <w:trPr>
          <w:trHeight w:val="710"/>
        </w:trPr>
        <w:tc>
          <w:tcPr>
            <w:tcW w:w="838"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0350453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Vrsta ZD</w:t>
            </w:r>
          </w:p>
        </w:tc>
        <w:tc>
          <w:tcPr>
            <w:tcW w:w="1211"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397D103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Podvrsta ZD</w:t>
            </w:r>
          </w:p>
        </w:tc>
        <w:tc>
          <w:tcPr>
            <w:tcW w:w="798"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0DE3429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Storitev</w:t>
            </w:r>
          </w:p>
        </w:tc>
        <w:tc>
          <w:tcPr>
            <w:tcW w:w="2951"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627F092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Naziv dejavnosti - za bolnišnice</w:t>
            </w:r>
          </w:p>
        </w:tc>
        <w:tc>
          <w:tcPr>
            <w:tcW w:w="170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3E8E022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Število pogodbeno dogovorjenih timov </w:t>
            </w:r>
          </w:p>
        </w:tc>
        <w:tc>
          <w:tcPr>
            <w:tcW w:w="18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bottom"/>
            <w:hideMark/>
          </w:tcPr>
          <w:p w14:paraId="68F5000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Sr. za informatizacijo 974,81 </w:t>
            </w:r>
          </w:p>
        </w:tc>
      </w:tr>
      <w:tr w:rsidR="00FE461F" w:rsidRPr="005E4BEA" w14:paraId="199448E8" w14:textId="77777777" w:rsidTr="0016774B">
        <w:trPr>
          <w:trHeight w:val="177"/>
        </w:trPr>
        <w:tc>
          <w:tcPr>
            <w:tcW w:w="8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467C7F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203</w:t>
            </w:r>
          </w:p>
        </w:tc>
        <w:tc>
          <w:tcPr>
            <w:tcW w:w="12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C70737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206</w:t>
            </w:r>
          </w:p>
        </w:tc>
        <w:tc>
          <w:tcPr>
            <w:tcW w:w="7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109FF9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Z0045</w:t>
            </w:r>
          </w:p>
        </w:tc>
        <w:tc>
          <w:tcPr>
            <w:tcW w:w="295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79FCEA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SPC - dermatologija</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8C895F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22,56</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22D294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21.991,71</w:t>
            </w:r>
          </w:p>
        </w:tc>
      </w:tr>
      <w:tr w:rsidR="00FE461F" w:rsidRPr="005E4BEA" w14:paraId="2DBF7C51" w14:textId="77777777" w:rsidTr="0016774B">
        <w:trPr>
          <w:trHeight w:val="177"/>
        </w:trPr>
        <w:tc>
          <w:tcPr>
            <w:tcW w:w="8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8BD98C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213</w:t>
            </w:r>
          </w:p>
        </w:tc>
        <w:tc>
          <w:tcPr>
            <w:tcW w:w="12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C9B6A2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222</w:t>
            </w:r>
          </w:p>
        </w:tc>
        <w:tc>
          <w:tcPr>
            <w:tcW w:w="7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14536A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Z0045</w:t>
            </w:r>
          </w:p>
        </w:tc>
        <w:tc>
          <w:tcPr>
            <w:tcW w:w="295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74EC3F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SPC - klinična genetika</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3C0BB0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13,32</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3D3570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12.984,47</w:t>
            </w:r>
          </w:p>
        </w:tc>
      </w:tr>
      <w:tr w:rsidR="00FE461F" w:rsidRPr="005E4BEA" w14:paraId="2D21F203" w14:textId="77777777" w:rsidTr="0016774B">
        <w:trPr>
          <w:trHeight w:val="177"/>
        </w:trPr>
        <w:tc>
          <w:tcPr>
            <w:tcW w:w="8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6110D2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231</w:t>
            </w:r>
          </w:p>
        </w:tc>
        <w:tc>
          <w:tcPr>
            <w:tcW w:w="12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732C0A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244</w:t>
            </w:r>
          </w:p>
        </w:tc>
        <w:tc>
          <w:tcPr>
            <w:tcW w:w="7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115899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Z0033</w:t>
            </w:r>
          </w:p>
        </w:tc>
        <w:tc>
          <w:tcPr>
            <w:tcW w:w="295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24BD48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SPC - magnetna resonanca - MR</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225DA5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82,03</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13659D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79.965,61</w:t>
            </w:r>
          </w:p>
        </w:tc>
      </w:tr>
      <w:tr w:rsidR="00FE461F" w:rsidRPr="005E4BEA" w14:paraId="37614860" w14:textId="77777777" w:rsidTr="0016774B">
        <w:trPr>
          <w:trHeight w:val="177"/>
        </w:trPr>
        <w:tc>
          <w:tcPr>
            <w:tcW w:w="8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A4E339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231</w:t>
            </w:r>
          </w:p>
        </w:tc>
        <w:tc>
          <w:tcPr>
            <w:tcW w:w="12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51CBFF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245</w:t>
            </w:r>
          </w:p>
        </w:tc>
        <w:tc>
          <w:tcPr>
            <w:tcW w:w="7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AFCC6A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Z0033</w:t>
            </w:r>
          </w:p>
        </w:tc>
        <w:tc>
          <w:tcPr>
            <w:tcW w:w="295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E5E251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SPC - računalniška tomografija - CT</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CC30D7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124,31</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1E8B47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121.178,63</w:t>
            </w:r>
          </w:p>
        </w:tc>
      </w:tr>
      <w:tr w:rsidR="00FE461F" w:rsidRPr="005E4BEA" w14:paraId="10EC8AC3" w14:textId="77777777" w:rsidTr="0016774B">
        <w:trPr>
          <w:trHeight w:val="177"/>
        </w:trPr>
        <w:tc>
          <w:tcPr>
            <w:tcW w:w="8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A22555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232</w:t>
            </w:r>
          </w:p>
        </w:tc>
        <w:tc>
          <w:tcPr>
            <w:tcW w:w="12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2314CA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249</w:t>
            </w:r>
          </w:p>
        </w:tc>
        <w:tc>
          <w:tcPr>
            <w:tcW w:w="7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856EFF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Z0045</w:t>
            </w:r>
          </w:p>
        </w:tc>
        <w:tc>
          <w:tcPr>
            <w:tcW w:w="295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A40F19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SPC - revmatologija</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881C97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12,18</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61A7AF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11.873,19</w:t>
            </w:r>
          </w:p>
        </w:tc>
      </w:tr>
      <w:tr w:rsidR="00FE461F" w:rsidRPr="005E4BEA" w14:paraId="208331CD" w14:textId="77777777" w:rsidTr="0016774B">
        <w:trPr>
          <w:trHeight w:val="177"/>
        </w:trPr>
        <w:tc>
          <w:tcPr>
            <w:tcW w:w="8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D94085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232</w:t>
            </w:r>
          </w:p>
        </w:tc>
        <w:tc>
          <w:tcPr>
            <w:tcW w:w="121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310157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249</w:t>
            </w:r>
          </w:p>
        </w:tc>
        <w:tc>
          <w:tcPr>
            <w:tcW w:w="7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B13803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Z0045</w:t>
            </w:r>
          </w:p>
        </w:tc>
        <w:tc>
          <w:tcPr>
            <w:tcW w:w="2951"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2ABAF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SPC - ORL od 1.1.2022 dalje</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053484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39,85</w:t>
            </w:r>
          </w:p>
        </w:tc>
        <w:tc>
          <w:tcPr>
            <w:tcW w:w="18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09C97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38.846,18</w:t>
            </w:r>
          </w:p>
        </w:tc>
      </w:tr>
      <w:tr w:rsidR="00FE461F" w:rsidRPr="005E4BEA" w14:paraId="77206EC0" w14:textId="77777777" w:rsidTr="0016774B">
        <w:trPr>
          <w:trHeight w:val="177"/>
        </w:trPr>
        <w:tc>
          <w:tcPr>
            <w:tcW w:w="3814" w:type="dxa"/>
            <w:gridSpan w:val="4"/>
            <w:tcBorders>
              <w:right w:val="single" w:sz="4" w:space="0" w:color="auto"/>
            </w:tcBorders>
            <w:noWrap/>
            <w:tcMar>
              <w:top w:w="0" w:type="dxa"/>
              <w:left w:w="70" w:type="dxa"/>
              <w:bottom w:w="0" w:type="dxa"/>
              <w:right w:w="70" w:type="dxa"/>
            </w:tcMar>
            <w:vAlign w:val="bottom"/>
            <w:hideMark/>
          </w:tcPr>
          <w:p w14:paraId="641A4F33" w14:textId="77777777" w:rsidR="00FE461F" w:rsidRPr="005E4BEA" w:rsidRDefault="00FE461F" w:rsidP="00FE461F">
            <w:pPr>
              <w:spacing w:line="240" w:lineRule="auto"/>
              <w:jc w:val="both"/>
              <w:rPr>
                <w:rFonts w:cs="Arial"/>
                <w:i/>
                <w:iCs/>
                <w:color w:val="808080" w:themeColor="background1" w:themeShade="8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605D4D8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Skupaj </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7674843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294,25</w:t>
            </w:r>
          </w:p>
        </w:tc>
        <w:tc>
          <w:tcPr>
            <w:tcW w:w="1843" w:type="dxa"/>
            <w:tcBorders>
              <w:top w:val="single" w:sz="4" w:space="0" w:color="auto"/>
              <w:left w:val="single" w:sz="4" w:space="0" w:color="auto"/>
              <w:bottom w:val="single" w:sz="4" w:space="0" w:color="auto"/>
              <w:right w:val="single" w:sz="4" w:space="0" w:color="auto"/>
            </w:tcBorders>
            <w:shd w:val="clear" w:color="auto" w:fill="D9D9D9"/>
            <w:noWrap/>
            <w:tcMar>
              <w:top w:w="0" w:type="dxa"/>
              <w:left w:w="70" w:type="dxa"/>
              <w:bottom w:w="0" w:type="dxa"/>
              <w:right w:w="70" w:type="dxa"/>
            </w:tcMar>
            <w:vAlign w:val="bottom"/>
            <w:hideMark/>
          </w:tcPr>
          <w:p w14:paraId="6F003C9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286.839,79</w:t>
            </w:r>
          </w:p>
        </w:tc>
      </w:tr>
    </w:tbl>
    <w:p w14:paraId="3245A12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Vir: ZZZS podatki 10 2021</w:t>
      </w:r>
    </w:p>
    <w:p w14:paraId="34433FB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Združenje glede na predstavljeno pričakuje, da se bo področje financiranja informatizacije v bolnišnicah uredilo z Aneksom 1 k SD 2022, tudi z namenom izvedbe Nacionalne stroškovne analize.</w:t>
      </w:r>
    </w:p>
    <w:p w14:paraId="12EF0E78" w14:textId="77777777" w:rsidR="00FE461F" w:rsidRPr="005E4BEA" w:rsidRDefault="00FE461F" w:rsidP="00FE461F">
      <w:pPr>
        <w:spacing w:line="240" w:lineRule="auto"/>
        <w:jc w:val="both"/>
        <w:rPr>
          <w:rFonts w:cs="Arial"/>
          <w:i/>
          <w:iCs/>
          <w:color w:val="808080" w:themeColor="background1" w:themeShade="80"/>
          <w:szCs w:val="20"/>
        </w:rPr>
      </w:pPr>
    </w:p>
    <w:p w14:paraId="780AC8AA" w14:textId="2F151609"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23,5 mio €</w:t>
      </w:r>
    </w:p>
    <w:p w14:paraId="56FB1E3A" w14:textId="7AC3716E" w:rsidR="0051375F" w:rsidRPr="005E4BEA" w:rsidRDefault="0051375F" w:rsidP="00FE461F">
      <w:pPr>
        <w:spacing w:line="240" w:lineRule="auto"/>
        <w:jc w:val="both"/>
        <w:rPr>
          <w:rFonts w:cs="Arial"/>
          <w:i/>
          <w:iCs/>
          <w:color w:val="808080" w:themeColor="background1" w:themeShade="80"/>
          <w:szCs w:val="20"/>
        </w:rPr>
      </w:pPr>
    </w:p>
    <w:p w14:paraId="52681E20" w14:textId="77777777" w:rsidR="0051375F" w:rsidRPr="005E4BEA" w:rsidRDefault="0051375F" w:rsidP="0051375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7F588970" w14:textId="77777777" w:rsidR="0051375F" w:rsidRPr="005E4BEA" w:rsidRDefault="0051375F" w:rsidP="0051375F">
      <w:pPr>
        <w:spacing w:line="0" w:lineRule="atLeast"/>
        <w:jc w:val="both"/>
        <w:rPr>
          <w:rFonts w:eastAsia="Arial Narrow" w:cs="Arial"/>
          <w:szCs w:val="20"/>
          <w:lang w:eastAsia="sl-SI"/>
        </w:rPr>
      </w:pPr>
    </w:p>
    <w:p w14:paraId="029D8966" w14:textId="7E5E932E" w:rsidR="0051375F" w:rsidRPr="005E4BEA" w:rsidRDefault="0051375F" w:rsidP="0051375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21" w:name="_Hlk102477522"/>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in Priloga I/a </w:t>
      </w:r>
      <w:r w:rsidRPr="005E4BEA">
        <w:rPr>
          <w:rFonts w:eastAsiaTheme="minorHAnsi" w:cs="Arial"/>
          <w:bCs/>
          <w:szCs w:val="20"/>
        </w:rPr>
        <w:t>Splošnega dogovora ne spremenita.</w:t>
      </w:r>
    </w:p>
    <w:bookmarkEnd w:id="121"/>
    <w:p w14:paraId="70ACBD55" w14:textId="77777777" w:rsidR="0051375F" w:rsidRPr="005E4BEA" w:rsidRDefault="0051375F" w:rsidP="0051375F">
      <w:pPr>
        <w:spacing w:line="0" w:lineRule="atLeast"/>
        <w:contextualSpacing/>
        <w:jc w:val="both"/>
        <w:rPr>
          <w:rFonts w:eastAsiaTheme="minorHAnsi" w:cs="Arial"/>
          <w:bCs/>
          <w:szCs w:val="20"/>
        </w:rPr>
      </w:pPr>
    </w:p>
    <w:p w14:paraId="2DE85753" w14:textId="77777777" w:rsidR="0051375F" w:rsidRPr="005E4BEA" w:rsidRDefault="0051375F" w:rsidP="0051375F">
      <w:pPr>
        <w:spacing w:line="240" w:lineRule="auto"/>
        <w:jc w:val="both"/>
        <w:rPr>
          <w:rFonts w:eastAsia="Calibri" w:cs="Arial"/>
          <w:i/>
          <w:iCs/>
          <w:color w:val="7F7F7F"/>
          <w:szCs w:val="20"/>
        </w:rPr>
      </w:pPr>
    </w:p>
    <w:p w14:paraId="456AD5DB" w14:textId="09441E23" w:rsidR="0051375F" w:rsidRPr="005E4BEA" w:rsidRDefault="0051375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w:t>
      </w:r>
      <w:r w:rsidR="00DC2305" w:rsidRPr="005E4BEA">
        <w:rPr>
          <w:rFonts w:ascii="Arial" w:eastAsia="Arial Narrow" w:hAnsi="Arial" w:cs="Arial"/>
          <w:sz w:val="20"/>
        </w:rPr>
        <w:t>7</w:t>
      </w:r>
      <w:r w:rsidRPr="005E4BEA">
        <w:rPr>
          <w:rFonts w:ascii="Arial" w:eastAsia="Arial Narrow" w:hAnsi="Arial" w:cs="Arial"/>
          <w:sz w:val="20"/>
        </w:rPr>
        <w:t>)</w:t>
      </w:r>
    </w:p>
    <w:p w14:paraId="2E9B1012" w14:textId="77777777" w:rsidR="0051375F" w:rsidRPr="005E4BEA" w:rsidRDefault="0051375F" w:rsidP="0051375F">
      <w:pPr>
        <w:spacing w:after="160" w:line="259" w:lineRule="auto"/>
        <w:rPr>
          <w:rFonts w:eastAsia="Arial Narrow" w:cs="Arial"/>
          <w:b/>
          <w:szCs w:val="20"/>
        </w:rPr>
      </w:pPr>
    </w:p>
    <w:p w14:paraId="6C5EA5E2" w14:textId="3F987F25" w:rsidR="00FE461F" w:rsidRPr="005E4BEA" w:rsidRDefault="0051375F"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 , v standardih</w:t>
      </w:r>
      <w:r w:rsidR="00FE461F" w:rsidRPr="005E4BEA">
        <w:rPr>
          <w:rFonts w:cs="Arial"/>
          <w:bCs/>
          <w:szCs w:val="20"/>
        </w:rPr>
        <w:t>:</w:t>
      </w:r>
    </w:p>
    <w:p w14:paraId="060ECAAA" w14:textId="77777777" w:rsidR="00FE461F" w:rsidRPr="005E4BEA" w:rsidRDefault="00FE461F" w:rsidP="00F356C9">
      <w:pPr>
        <w:numPr>
          <w:ilvl w:val="0"/>
          <w:numId w:val="37"/>
        </w:numPr>
        <w:spacing w:line="240" w:lineRule="auto"/>
        <w:contextualSpacing/>
        <w:jc w:val="both"/>
        <w:rPr>
          <w:rFonts w:cs="Arial"/>
          <w:bCs/>
          <w:szCs w:val="20"/>
        </w:rPr>
      </w:pPr>
      <w:r w:rsidRPr="005E4BEA">
        <w:rPr>
          <w:rFonts w:cs="Arial"/>
          <w:bCs/>
          <w:szCs w:val="20"/>
        </w:rPr>
        <w:t xml:space="preserve">laboratorijski tehnik nadomesti z laboratorijski delavci iz ur </w:t>
      </w:r>
    </w:p>
    <w:p w14:paraId="00817D1B" w14:textId="77777777" w:rsidR="00FE461F" w:rsidRPr="005E4BEA" w:rsidRDefault="00FE461F" w:rsidP="00F356C9">
      <w:pPr>
        <w:numPr>
          <w:ilvl w:val="0"/>
          <w:numId w:val="37"/>
        </w:numPr>
        <w:spacing w:line="240" w:lineRule="auto"/>
        <w:contextualSpacing/>
        <w:jc w:val="both"/>
        <w:rPr>
          <w:rFonts w:cs="Arial"/>
          <w:bCs/>
          <w:szCs w:val="20"/>
        </w:rPr>
      </w:pPr>
      <w:r w:rsidRPr="005E4BEA">
        <w:rPr>
          <w:rFonts w:cs="Arial"/>
          <w:bCs/>
          <w:szCs w:val="20"/>
        </w:rPr>
        <w:t>namesto 29 plačnega razreda se prizna 36 plačni razred</w:t>
      </w:r>
    </w:p>
    <w:p w14:paraId="02A921C5" w14:textId="77777777" w:rsidR="00FE461F" w:rsidRPr="005E4BEA" w:rsidRDefault="00FE461F" w:rsidP="00FE461F">
      <w:pPr>
        <w:spacing w:line="240" w:lineRule="auto"/>
        <w:ind w:left="720"/>
        <w:contextualSpacing/>
        <w:jc w:val="both"/>
        <w:rPr>
          <w:rFonts w:cs="Arial"/>
          <w:szCs w:val="20"/>
        </w:rPr>
      </w:pPr>
    </w:p>
    <w:p w14:paraId="2D813572" w14:textId="77777777" w:rsidR="00FE461F" w:rsidRPr="005E4BEA" w:rsidRDefault="00FE461F" w:rsidP="00FE461F">
      <w:pPr>
        <w:spacing w:line="240" w:lineRule="auto"/>
        <w:jc w:val="both"/>
        <w:rPr>
          <w:rFonts w:eastAsiaTheme="minorHAnsi" w:cs="Arial"/>
          <w:b/>
          <w:bCs/>
          <w:i/>
          <w:iCs/>
          <w:color w:val="808080" w:themeColor="background1" w:themeShade="80"/>
          <w:szCs w:val="20"/>
          <w:u w:val="single"/>
        </w:rPr>
      </w:pPr>
      <w:r w:rsidRPr="005E4BEA">
        <w:rPr>
          <w:rFonts w:eastAsiaTheme="minorHAnsi" w:cs="Arial"/>
          <w:b/>
          <w:bCs/>
          <w:i/>
          <w:iCs/>
          <w:color w:val="808080" w:themeColor="background1" w:themeShade="80"/>
          <w:szCs w:val="20"/>
          <w:u w:val="single"/>
        </w:rPr>
        <w:t xml:space="preserve">Obrazložitev: </w:t>
      </w:r>
    </w:p>
    <w:p w14:paraId="50EC223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Kadrovski normativ za izvajanj</w:t>
      </w:r>
    </w:p>
    <w:p w14:paraId="0DE8F08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e laboratorijske dejavnosti, ki ga priznava SD, ni ustrezen. ZZZS v kalkulacijah za financiranje zdravstvenih programov priznava med nosilci laboratorijske medicine izključno srednjega laboratorijskega tehnika. Kadrovsko strukturo predpisuje pravilnik za delo medicinskega laboratorija, iz katerega je razvidno, da delo medicinskega laboratorija vodi specialist ustrezne stroke. MZ podeli dovoljenje za delo izključno tistemu laboratoriju, ki izpolnjuje vse strokovne in tehnične pogoje za izvajanje preiskav na področju laboratorijske medicine. Laboratorij zahteve lahko izpolni le ob ustrezni kadrovski zasedbi, tj. s specialistom ustrezne stroke, inženirjem laboratorijske biomedicine, laboratorijskim tehnikom in drugim ustreznim osebjem, v odvisnosti od organizacijske strukture laboratorija, zahtevnosti in vrste laboratorijskih področij ter obsega dejavnosti. Strokovni in zakonski predpisi v medicinskem laboratoriju zahtevajo višjo izobrazbeno strukturo, kot je upoštevana v modelu financiranja. Umestitev specialista in inženirja laboratorijske biomedicine v kalkulacijo laboratorijske dejavnosti ni urejena, zato predlagamo v kalkulacijah razširitev kadrovskega normativa na specialista in inženirja.</w:t>
      </w:r>
    </w:p>
    <w:p w14:paraId="3C60661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Analiza, ki smo jo opravili na Združenju je pokazala, da je povprečni plačni razred v laboratorijih 36. </w:t>
      </w:r>
    </w:p>
    <w:tbl>
      <w:tblPr>
        <w:tblW w:w="9363" w:type="dxa"/>
        <w:tblInd w:w="-20" w:type="dxa"/>
        <w:tblCellMar>
          <w:left w:w="70" w:type="dxa"/>
          <w:right w:w="70" w:type="dxa"/>
        </w:tblCellMar>
        <w:tblLook w:val="04A0" w:firstRow="1" w:lastRow="0" w:firstColumn="1" w:lastColumn="0" w:noHBand="0" w:noVBand="1"/>
      </w:tblPr>
      <w:tblGrid>
        <w:gridCol w:w="2074"/>
        <w:gridCol w:w="1500"/>
        <w:gridCol w:w="1279"/>
        <w:gridCol w:w="573"/>
        <w:gridCol w:w="1174"/>
        <w:gridCol w:w="1434"/>
        <w:gridCol w:w="1412"/>
      </w:tblGrid>
      <w:tr w:rsidR="00FE461F" w:rsidRPr="005E4BEA" w14:paraId="20AC263D" w14:textId="77777777" w:rsidTr="0016774B">
        <w:trPr>
          <w:trHeight w:val="582"/>
        </w:trPr>
        <w:tc>
          <w:tcPr>
            <w:tcW w:w="207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938CA7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lastRenderedPageBreak/>
              <w:t xml:space="preserve">Javni zdravstveni zavodi </w:t>
            </w:r>
          </w:p>
        </w:tc>
        <w:tc>
          <w:tcPr>
            <w:tcW w:w="1500" w:type="dxa"/>
            <w:tcBorders>
              <w:top w:val="single" w:sz="4" w:space="0" w:color="auto"/>
              <w:left w:val="nil"/>
              <w:bottom w:val="single" w:sz="4" w:space="0" w:color="auto"/>
              <w:right w:val="single" w:sz="4" w:space="0" w:color="auto"/>
            </w:tcBorders>
            <w:shd w:val="clear" w:color="000000" w:fill="BFBFBF"/>
            <w:vAlign w:val="bottom"/>
            <w:hideMark/>
          </w:tcPr>
          <w:p w14:paraId="72BCB9E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Število JZZ, ki so sodelovali </w:t>
            </w:r>
            <w:proofErr w:type="spellStart"/>
            <w:r w:rsidRPr="005E4BEA">
              <w:rPr>
                <w:rFonts w:cs="Arial"/>
                <w:b/>
                <w:bCs/>
                <w:color w:val="808080" w:themeColor="background1" w:themeShade="80"/>
                <w:szCs w:val="20"/>
              </w:rPr>
              <w:t>va</w:t>
            </w:r>
            <w:proofErr w:type="spellEnd"/>
            <w:r w:rsidRPr="005E4BEA">
              <w:rPr>
                <w:rFonts w:cs="Arial"/>
                <w:b/>
                <w:bCs/>
                <w:color w:val="808080" w:themeColor="background1" w:themeShade="80"/>
                <w:szCs w:val="20"/>
              </w:rPr>
              <w:t xml:space="preserve"> </w:t>
            </w:r>
            <w:proofErr w:type="spellStart"/>
            <w:r w:rsidRPr="005E4BEA">
              <w:rPr>
                <w:rFonts w:cs="Arial"/>
                <w:b/>
                <w:bCs/>
                <w:color w:val="808080" w:themeColor="background1" w:themeShade="80"/>
                <w:szCs w:val="20"/>
              </w:rPr>
              <w:t>naketi</w:t>
            </w:r>
            <w:proofErr w:type="spellEnd"/>
            <w:r w:rsidRPr="005E4BEA">
              <w:rPr>
                <w:rFonts w:cs="Arial"/>
                <w:b/>
                <w:bCs/>
                <w:color w:val="808080" w:themeColor="background1" w:themeShade="80"/>
                <w:szCs w:val="20"/>
              </w:rPr>
              <w:t xml:space="preserve"> </w:t>
            </w:r>
          </w:p>
        </w:tc>
        <w:tc>
          <w:tcPr>
            <w:tcW w:w="1279" w:type="dxa"/>
            <w:tcBorders>
              <w:top w:val="single" w:sz="4" w:space="0" w:color="auto"/>
              <w:left w:val="nil"/>
              <w:bottom w:val="single" w:sz="4" w:space="0" w:color="auto"/>
              <w:right w:val="single" w:sz="4" w:space="0" w:color="auto"/>
            </w:tcBorders>
            <w:shd w:val="clear" w:color="000000" w:fill="BFBFBF"/>
            <w:vAlign w:val="bottom"/>
            <w:hideMark/>
          </w:tcPr>
          <w:p w14:paraId="4D33EDD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Od tega lastni  laboratorij </w:t>
            </w:r>
          </w:p>
        </w:tc>
        <w:tc>
          <w:tcPr>
            <w:tcW w:w="573" w:type="dxa"/>
            <w:tcBorders>
              <w:top w:val="single" w:sz="4" w:space="0" w:color="auto"/>
              <w:left w:val="nil"/>
              <w:bottom w:val="single" w:sz="4" w:space="0" w:color="auto"/>
              <w:right w:val="single" w:sz="4" w:space="0" w:color="auto"/>
            </w:tcBorders>
            <w:shd w:val="clear" w:color="000000" w:fill="BFBFBF"/>
            <w:noWrap/>
            <w:vAlign w:val="bottom"/>
            <w:hideMark/>
          </w:tcPr>
          <w:p w14:paraId="5C3829B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c>
          <w:tcPr>
            <w:tcW w:w="1091" w:type="dxa"/>
            <w:tcBorders>
              <w:top w:val="single" w:sz="4" w:space="0" w:color="auto"/>
              <w:left w:val="nil"/>
              <w:bottom w:val="single" w:sz="4" w:space="0" w:color="auto"/>
              <w:right w:val="single" w:sz="4" w:space="0" w:color="auto"/>
            </w:tcBorders>
            <w:shd w:val="clear" w:color="000000" w:fill="BFBFBF"/>
            <w:vAlign w:val="bottom"/>
            <w:hideMark/>
          </w:tcPr>
          <w:p w14:paraId="71A659A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Število redno zaposlenih v JZZ</w:t>
            </w:r>
          </w:p>
        </w:tc>
        <w:tc>
          <w:tcPr>
            <w:tcW w:w="1434" w:type="dxa"/>
            <w:tcBorders>
              <w:top w:val="single" w:sz="4" w:space="0" w:color="auto"/>
              <w:left w:val="nil"/>
              <w:bottom w:val="single" w:sz="4" w:space="0" w:color="auto"/>
              <w:right w:val="single" w:sz="4" w:space="0" w:color="auto"/>
            </w:tcBorders>
            <w:shd w:val="clear" w:color="000000" w:fill="BFBFBF"/>
            <w:vAlign w:val="bottom"/>
            <w:hideMark/>
          </w:tcPr>
          <w:p w14:paraId="15CA50A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Povprečni PR redno zaposlenih v JZZ </w:t>
            </w:r>
          </w:p>
        </w:tc>
        <w:tc>
          <w:tcPr>
            <w:tcW w:w="1412" w:type="dxa"/>
            <w:tcBorders>
              <w:top w:val="single" w:sz="4" w:space="0" w:color="auto"/>
              <w:left w:val="nil"/>
              <w:bottom w:val="single" w:sz="4" w:space="0" w:color="auto"/>
              <w:right w:val="single" w:sz="4" w:space="0" w:color="auto"/>
            </w:tcBorders>
            <w:shd w:val="clear" w:color="000000" w:fill="BFBFBF"/>
            <w:vAlign w:val="bottom"/>
            <w:hideMark/>
          </w:tcPr>
          <w:p w14:paraId="0D841F2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Povprečni PR po tipu JZZ</w:t>
            </w:r>
          </w:p>
        </w:tc>
      </w:tr>
      <w:tr w:rsidR="00FE461F" w:rsidRPr="005E4BEA" w14:paraId="03054BDC" w14:textId="77777777" w:rsidTr="0016774B">
        <w:trPr>
          <w:trHeight w:val="194"/>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0743AA6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500" w:type="dxa"/>
            <w:tcBorders>
              <w:top w:val="nil"/>
              <w:left w:val="nil"/>
              <w:bottom w:val="single" w:sz="4" w:space="0" w:color="auto"/>
              <w:right w:val="single" w:sz="4" w:space="0" w:color="auto"/>
            </w:tcBorders>
            <w:shd w:val="clear" w:color="000000" w:fill="B8CCE4"/>
            <w:vAlign w:val="bottom"/>
            <w:hideMark/>
          </w:tcPr>
          <w:p w14:paraId="49EE279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279" w:type="dxa"/>
            <w:tcBorders>
              <w:top w:val="nil"/>
              <w:left w:val="nil"/>
              <w:bottom w:val="single" w:sz="4" w:space="0" w:color="auto"/>
              <w:right w:val="single" w:sz="4" w:space="0" w:color="auto"/>
            </w:tcBorders>
            <w:shd w:val="clear" w:color="000000" w:fill="B8CCE4"/>
            <w:noWrap/>
            <w:vAlign w:val="bottom"/>
            <w:hideMark/>
          </w:tcPr>
          <w:p w14:paraId="507269D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DA</w:t>
            </w:r>
          </w:p>
        </w:tc>
        <w:tc>
          <w:tcPr>
            <w:tcW w:w="573" w:type="dxa"/>
            <w:tcBorders>
              <w:top w:val="nil"/>
              <w:left w:val="nil"/>
              <w:bottom w:val="single" w:sz="4" w:space="0" w:color="auto"/>
              <w:right w:val="single" w:sz="4" w:space="0" w:color="auto"/>
            </w:tcBorders>
            <w:shd w:val="clear" w:color="000000" w:fill="B8CCE4"/>
            <w:noWrap/>
            <w:vAlign w:val="bottom"/>
            <w:hideMark/>
          </w:tcPr>
          <w:p w14:paraId="5053DCC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NE </w:t>
            </w:r>
          </w:p>
        </w:tc>
        <w:tc>
          <w:tcPr>
            <w:tcW w:w="1091" w:type="dxa"/>
            <w:tcBorders>
              <w:top w:val="nil"/>
              <w:left w:val="nil"/>
              <w:bottom w:val="single" w:sz="4" w:space="0" w:color="auto"/>
              <w:right w:val="single" w:sz="4" w:space="0" w:color="auto"/>
            </w:tcBorders>
            <w:shd w:val="clear" w:color="000000" w:fill="B8CCE4"/>
            <w:noWrap/>
            <w:vAlign w:val="bottom"/>
            <w:hideMark/>
          </w:tcPr>
          <w:p w14:paraId="3C48F56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434" w:type="dxa"/>
            <w:tcBorders>
              <w:top w:val="nil"/>
              <w:left w:val="nil"/>
              <w:bottom w:val="single" w:sz="4" w:space="0" w:color="auto"/>
              <w:right w:val="single" w:sz="4" w:space="0" w:color="auto"/>
            </w:tcBorders>
            <w:shd w:val="clear" w:color="000000" w:fill="B8CCE4"/>
            <w:noWrap/>
            <w:vAlign w:val="bottom"/>
            <w:hideMark/>
          </w:tcPr>
          <w:p w14:paraId="55FABAE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412" w:type="dxa"/>
            <w:tcBorders>
              <w:top w:val="nil"/>
              <w:left w:val="nil"/>
              <w:bottom w:val="single" w:sz="4" w:space="0" w:color="auto"/>
              <w:right w:val="single" w:sz="4" w:space="0" w:color="auto"/>
            </w:tcBorders>
            <w:shd w:val="clear" w:color="000000" w:fill="B8CCE4"/>
            <w:noWrap/>
            <w:vAlign w:val="bottom"/>
            <w:hideMark/>
          </w:tcPr>
          <w:p w14:paraId="0EE1AF0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r>
      <w:tr w:rsidR="00FE461F" w:rsidRPr="005E4BEA" w14:paraId="20597F95" w14:textId="77777777" w:rsidTr="0016774B">
        <w:trPr>
          <w:trHeight w:val="194"/>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7D3BEAF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Bolnišnice </w:t>
            </w:r>
          </w:p>
        </w:tc>
        <w:tc>
          <w:tcPr>
            <w:tcW w:w="1500" w:type="dxa"/>
            <w:tcBorders>
              <w:top w:val="nil"/>
              <w:left w:val="nil"/>
              <w:bottom w:val="single" w:sz="4" w:space="0" w:color="auto"/>
              <w:right w:val="single" w:sz="4" w:space="0" w:color="auto"/>
            </w:tcBorders>
            <w:shd w:val="clear" w:color="auto" w:fill="auto"/>
            <w:noWrap/>
            <w:vAlign w:val="bottom"/>
            <w:hideMark/>
          </w:tcPr>
          <w:p w14:paraId="7EB31BB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w:t>
            </w:r>
          </w:p>
        </w:tc>
        <w:tc>
          <w:tcPr>
            <w:tcW w:w="1279" w:type="dxa"/>
            <w:tcBorders>
              <w:top w:val="nil"/>
              <w:left w:val="nil"/>
              <w:bottom w:val="single" w:sz="4" w:space="0" w:color="auto"/>
              <w:right w:val="single" w:sz="4" w:space="0" w:color="auto"/>
            </w:tcBorders>
            <w:shd w:val="clear" w:color="auto" w:fill="auto"/>
            <w:noWrap/>
            <w:vAlign w:val="bottom"/>
            <w:hideMark/>
          </w:tcPr>
          <w:p w14:paraId="383A4B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18</w:t>
            </w:r>
          </w:p>
        </w:tc>
        <w:tc>
          <w:tcPr>
            <w:tcW w:w="573" w:type="dxa"/>
            <w:tcBorders>
              <w:top w:val="nil"/>
              <w:left w:val="nil"/>
              <w:bottom w:val="single" w:sz="4" w:space="0" w:color="auto"/>
              <w:right w:val="single" w:sz="4" w:space="0" w:color="auto"/>
            </w:tcBorders>
            <w:shd w:val="clear" w:color="auto" w:fill="auto"/>
            <w:noWrap/>
            <w:vAlign w:val="bottom"/>
            <w:hideMark/>
          </w:tcPr>
          <w:p w14:paraId="2F6259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w:t>
            </w:r>
          </w:p>
        </w:tc>
        <w:tc>
          <w:tcPr>
            <w:tcW w:w="1091" w:type="dxa"/>
            <w:tcBorders>
              <w:top w:val="nil"/>
              <w:left w:val="nil"/>
              <w:bottom w:val="single" w:sz="4" w:space="0" w:color="auto"/>
              <w:right w:val="single" w:sz="4" w:space="0" w:color="auto"/>
            </w:tcBorders>
            <w:shd w:val="clear" w:color="auto" w:fill="auto"/>
            <w:noWrap/>
            <w:vAlign w:val="bottom"/>
            <w:hideMark/>
          </w:tcPr>
          <w:p w14:paraId="6B0EB71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od 2 do 249</w:t>
            </w:r>
          </w:p>
        </w:tc>
        <w:tc>
          <w:tcPr>
            <w:tcW w:w="1434" w:type="dxa"/>
            <w:tcBorders>
              <w:top w:val="nil"/>
              <w:left w:val="nil"/>
              <w:bottom w:val="single" w:sz="4" w:space="0" w:color="auto"/>
              <w:right w:val="single" w:sz="4" w:space="0" w:color="auto"/>
            </w:tcBorders>
            <w:shd w:val="clear" w:color="auto" w:fill="auto"/>
            <w:noWrap/>
            <w:vAlign w:val="bottom"/>
            <w:hideMark/>
          </w:tcPr>
          <w:p w14:paraId="2E93DD0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od 33 do 46</w:t>
            </w:r>
          </w:p>
        </w:tc>
        <w:tc>
          <w:tcPr>
            <w:tcW w:w="1412" w:type="dxa"/>
            <w:tcBorders>
              <w:top w:val="nil"/>
              <w:left w:val="nil"/>
              <w:bottom w:val="single" w:sz="4" w:space="0" w:color="auto"/>
              <w:right w:val="single" w:sz="4" w:space="0" w:color="auto"/>
            </w:tcBorders>
            <w:shd w:val="clear" w:color="auto" w:fill="auto"/>
            <w:noWrap/>
            <w:vAlign w:val="bottom"/>
            <w:hideMark/>
          </w:tcPr>
          <w:p w14:paraId="79933B5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36,12</w:t>
            </w:r>
          </w:p>
        </w:tc>
      </w:tr>
      <w:tr w:rsidR="00FE461F" w:rsidRPr="005E4BEA" w14:paraId="5353CD70" w14:textId="77777777" w:rsidTr="0016774B">
        <w:trPr>
          <w:trHeight w:val="194"/>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2480497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Zdravstveni domovi </w:t>
            </w:r>
          </w:p>
        </w:tc>
        <w:tc>
          <w:tcPr>
            <w:tcW w:w="1500" w:type="dxa"/>
            <w:tcBorders>
              <w:top w:val="nil"/>
              <w:left w:val="nil"/>
              <w:bottom w:val="single" w:sz="4" w:space="0" w:color="auto"/>
              <w:right w:val="single" w:sz="4" w:space="0" w:color="auto"/>
            </w:tcBorders>
            <w:shd w:val="clear" w:color="auto" w:fill="auto"/>
            <w:noWrap/>
            <w:vAlign w:val="bottom"/>
            <w:hideMark/>
          </w:tcPr>
          <w:p w14:paraId="688F98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54</w:t>
            </w:r>
          </w:p>
        </w:tc>
        <w:tc>
          <w:tcPr>
            <w:tcW w:w="1279" w:type="dxa"/>
            <w:tcBorders>
              <w:top w:val="nil"/>
              <w:left w:val="nil"/>
              <w:bottom w:val="single" w:sz="4" w:space="0" w:color="auto"/>
              <w:right w:val="single" w:sz="4" w:space="0" w:color="auto"/>
            </w:tcBorders>
            <w:shd w:val="clear" w:color="auto" w:fill="auto"/>
            <w:noWrap/>
            <w:vAlign w:val="bottom"/>
            <w:hideMark/>
          </w:tcPr>
          <w:p w14:paraId="67E1DA8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54</w:t>
            </w:r>
          </w:p>
        </w:tc>
        <w:tc>
          <w:tcPr>
            <w:tcW w:w="573" w:type="dxa"/>
            <w:tcBorders>
              <w:top w:val="nil"/>
              <w:left w:val="nil"/>
              <w:bottom w:val="single" w:sz="4" w:space="0" w:color="auto"/>
              <w:right w:val="single" w:sz="4" w:space="0" w:color="auto"/>
            </w:tcBorders>
            <w:shd w:val="clear" w:color="auto" w:fill="auto"/>
            <w:noWrap/>
            <w:vAlign w:val="bottom"/>
            <w:hideMark/>
          </w:tcPr>
          <w:p w14:paraId="5E893C2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0</w:t>
            </w:r>
          </w:p>
        </w:tc>
        <w:tc>
          <w:tcPr>
            <w:tcW w:w="1091" w:type="dxa"/>
            <w:tcBorders>
              <w:top w:val="nil"/>
              <w:left w:val="nil"/>
              <w:bottom w:val="single" w:sz="4" w:space="0" w:color="auto"/>
              <w:right w:val="single" w:sz="4" w:space="0" w:color="auto"/>
            </w:tcBorders>
            <w:shd w:val="clear" w:color="auto" w:fill="auto"/>
            <w:noWrap/>
            <w:vAlign w:val="bottom"/>
            <w:hideMark/>
          </w:tcPr>
          <w:p w14:paraId="51D6104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od 3 do 51</w:t>
            </w:r>
          </w:p>
        </w:tc>
        <w:tc>
          <w:tcPr>
            <w:tcW w:w="1434" w:type="dxa"/>
            <w:tcBorders>
              <w:top w:val="nil"/>
              <w:left w:val="nil"/>
              <w:bottom w:val="single" w:sz="4" w:space="0" w:color="auto"/>
              <w:right w:val="single" w:sz="4" w:space="0" w:color="auto"/>
            </w:tcBorders>
            <w:shd w:val="clear" w:color="auto" w:fill="auto"/>
            <w:noWrap/>
            <w:vAlign w:val="bottom"/>
            <w:hideMark/>
          </w:tcPr>
          <w:p w14:paraId="1C3AE7F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od 26 do 41*</w:t>
            </w:r>
          </w:p>
        </w:tc>
        <w:tc>
          <w:tcPr>
            <w:tcW w:w="1412" w:type="dxa"/>
            <w:tcBorders>
              <w:top w:val="nil"/>
              <w:left w:val="nil"/>
              <w:bottom w:val="single" w:sz="4" w:space="0" w:color="auto"/>
              <w:right w:val="single" w:sz="4" w:space="0" w:color="auto"/>
            </w:tcBorders>
            <w:shd w:val="clear" w:color="auto" w:fill="auto"/>
            <w:noWrap/>
            <w:vAlign w:val="bottom"/>
            <w:hideMark/>
          </w:tcPr>
          <w:p w14:paraId="1AE1610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35,38</w:t>
            </w:r>
          </w:p>
        </w:tc>
      </w:tr>
      <w:tr w:rsidR="00FE461F" w:rsidRPr="005E4BEA" w14:paraId="56A81AF2" w14:textId="77777777" w:rsidTr="0016774B">
        <w:trPr>
          <w:trHeight w:val="194"/>
        </w:trPr>
        <w:tc>
          <w:tcPr>
            <w:tcW w:w="2074" w:type="dxa"/>
            <w:tcBorders>
              <w:top w:val="nil"/>
              <w:left w:val="single" w:sz="4" w:space="0" w:color="auto"/>
              <w:bottom w:val="single" w:sz="4" w:space="0" w:color="auto"/>
              <w:right w:val="single" w:sz="4" w:space="0" w:color="auto"/>
            </w:tcBorders>
            <w:shd w:val="clear" w:color="000000" w:fill="BFBFBF"/>
            <w:noWrap/>
            <w:vAlign w:val="bottom"/>
            <w:hideMark/>
          </w:tcPr>
          <w:p w14:paraId="50FD2C9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SKUPAJ </w:t>
            </w:r>
          </w:p>
        </w:tc>
        <w:tc>
          <w:tcPr>
            <w:tcW w:w="1500" w:type="dxa"/>
            <w:tcBorders>
              <w:top w:val="nil"/>
              <w:left w:val="nil"/>
              <w:bottom w:val="single" w:sz="4" w:space="0" w:color="auto"/>
              <w:right w:val="single" w:sz="4" w:space="0" w:color="auto"/>
            </w:tcBorders>
            <w:shd w:val="clear" w:color="000000" w:fill="BFBFBF"/>
            <w:noWrap/>
            <w:vAlign w:val="bottom"/>
            <w:hideMark/>
          </w:tcPr>
          <w:p w14:paraId="1BA53E3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75</w:t>
            </w:r>
          </w:p>
        </w:tc>
        <w:tc>
          <w:tcPr>
            <w:tcW w:w="1279" w:type="dxa"/>
            <w:tcBorders>
              <w:top w:val="nil"/>
              <w:left w:val="nil"/>
              <w:bottom w:val="single" w:sz="4" w:space="0" w:color="auto"/>
              <w:right w:val="single" w:sz="4" w:space="0" w:color="auto"/>
            </w:tcBorders>
            <w:shd w:val="clear" w:color="000000" w:fill="BFBFBF"/>
            <w:noWrap/>
            <w:vAlign w:val="bottom"/>
            <w:hideMark/>
          </w:tcPr>
          <w:p w14:paraId="2D5123F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72</w:t>
            </w:r>
          </w:p>
        </w:tc>
        <w:tc>
          <w:tcPr>
            <w:tcW w:w="573" w:type="dxa"/>
            <w:tcBorders>
              <w:top w:val="nil"/>
              <w:left w:val="nil"/>
              <w:bottom w:val="single" w:sz="4" w:space="0" w:color="auto"/>
              <w:right w:val="single" w:sz="4" w:space="0" w:color="auto"/>
            </w:tcBorders>
            <w:shd w:val="clear" w:color="000000" w:fill="BFBFBF"/>
            <w:noWrap/>
            <w:vAlign w:val="bottom"/>
            <w:hideMark/>
          </w:tcPr>
          <w:p w14:paraId="1CDCAB7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3</w:t>
            </w:r>
          </w:p>
        </w:tc>
        <w:tc>
          <w:tcPr>
            <w:tcW w:w="1091" w:type="dxa"/>
            <w:tcBorders>
              <w:top w:val="nil"/>
              <w:left w:val="nil"/>
              <w:bottom w:val="single" w:sz="4" w:space="0" w:color="auto"/>
              <w:right w:val="single" w:sz="4" w:space="0" w:color="auto"/>
            </w:tcBorders>
            <w:shd w:val="clear" w:color="000000" w:fill="BFBFBF"/>
            <w:noWrap/>
            <w:vAlign w:val="bottom"/>
            <w:hideMark/>
          </w:tcPr>
          <w:p w14:paraId="58AAE90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c>
          <w:tcPr>
            <w:tcW w:w="1434" w:type="dxa"/>
            <w:tcBorders>
              <w:top w:val="nil"/>
              <w:left w:val="nil"/>
              <w:bottom w:val="single" w:sz="4" w:space="0" w:color="auto"/>
              <w:right w:val="single" w:sz="4" w:space="0" w:color="auto"/>
            </w:tcBorders>
            <w:shd w:val="clear" w:color="000000" w:fill="BFBFBF"/>
            <w:noWrap/>
            <w:vAlign w:val="bottom"/>
            <w:hideMark/>
          </w:tcPr>
          <w:p w14:paraId="2FBB2BA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w:t>
            </w:r>
          </w:p>
        </w:tc>
        <w:tc>
          <w:tcPr>
            <w:tcW w:w="1412" w:type="dxa"/>
            <w:tcBorders>
              <w:top w:val="nil"/>
              <w:left w:val="nil"/>
              <w:bottom w:val="single" w:sz="4" w:space="0" w:color="auto"/>
              <w:right w:val="single" w:sz="4" w:space="0" w:color="auto"/>
            </w:tcBorders>
            <w:shd w:val="clear" w:color="000000" w:fill="BFBFBF"/>
            <w:noWrap/>
            <w:vAlign w:val="bottom"/>
            <w:hideMark/>
          </w:tcPr>
          <w:p w14:paraId="3A868BA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35,82</w:t>
            </w:r>
          </w:p>
        </w:tc>
      </w:tr>
    </w:tbl>
    <w:p w14:paraId="0A1EA63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v PR so zajeti samo redno zaposleni (pogodbeno dogovorjen kader ima tudi PR 50 in več)</w:t>
      </w:r>
    </w:p>
    <w:p w14:paraId="54DC09FD" w14:textId="77777777" w:rsidR="00FE461F" w:rsidRPr="005E4BEA" w:rsidRDefault="00FE461F" w:rsidP="00FE461F">
      <w:pPr>
        <w:spacing w:line="240" w:lineRule="auto"/>
        <w:jc w:val="both"/>
        <w:rPr>
          <w:rFonts w:cs="Arial"/>
          <w:color w:val="808080" w:themeColor="background1" w:themeShade="80"/>
          <w:szCs w:val="20"/>
        </w:rPr>
      </w:pPr>
    </w:p>
    <w:p w14:paraId="1877FF9C"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Finančna ocena: 9,1 mio €</w:t>
      </w:r>
    </w:p>
    <w:p w14:paraId="4E95CF33" w14:textId="11B686B9" w:rsidR="00FE461F" w:rsidRPr="005E4BEA" w:rsidRDefault="00FE461F" w:rsidP="00FE461F">
      <w:pPr>
        <w:spacing w:line="240" w:lineRule="auto"/>
        <w:jc w:val="both"/>
        <w:rPr>
          <w:rFonts w:eastAsiaTheme="minorHAnsi" w:cs="Arial"/>
          <w:i/>
          <w:iCs/>
          <w:color w:val="808080" w:themeColor="background1" w:themeShade="80"/>
          <w:szCs w:val="20"/>
        </w:rPr>
      </w:pPr>
    </w:p>
    <w:p w14:paraId="7AA18A11" w14:textId="77777777" w:rsidR="00AD7DF3" w:rsidRPr="005E4BEA" w:rsidRDefault="00AD7DF3" w:rsidP="00AD7DF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223AA1B8" w14:textId="77777777" w:rsidR="00AD7DF3" w:rsidRPr="005E4BEA" w:rsidRDefault="00AD7DF3" w:rsidP="00AD7DF3">
      <w:pPr>
        <w:spacing w:line="0" w:lineRule="atLeast"/>
        <w:jc w:val="both"/>
        <w:rPr>
          <w:rFonts w:eastAsia="Arial Narrow" w:cs="Arial"/>
          <w:szCs w:val="20"/>
          <w:lang w:eastAsia="sl-SI"/>
        </w:rPr>
      </w:pPr>
    </w:p>
    <w:p w14:paraId="3E5AC6EB" w14:textId="421C0818" w:rsidR="00AD7DF3" w:rsidRPr="005E4BEA" w:rsidRDefault="00AD7DF3" w:rsidP="00AD7DF3">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4EAD4D02" w14:textId="77777777" w:rsidR="00AD7DF3" w:rsidRPr="005E4BEA" w:rsidRDefault="00AD7DF3" w:rsidP="00AD7DF3">
      <w:pPr>
        <w:spacing w:line="240" w:lineRule="auto"/>
        <w:jc w:val="both"/>
        <w:rPr>
          <w:rFonts w:eastAsia="Calibri" w:cs="Arial"/>
          <w:i/>
          <w:iCs/>
          <w:color w:val="7F7F7F"/>
          <w:szCs w:val="20"/>
        </w:rPr>
      </w:pPr>
    </w:p>
    <w:p w14:paraId="697025EF" w14:textId="4E4AB108" w:rsidR="00AD7DF3" w:rsidRPr="005E4BEA" w:rsidRDefault="00AD7DF3" w:rsidP="00F356C9">
      <w:pPr>
        <w:pStyle w:val="Naslov2"/>
        <w:numPr>
          <w:ilvl w:val="0"/>
          <w:numId w:val="79"/>
        </w:numPr>
        <w:ind w:left="0" w:firstLine="0"/>
        <w:rPr>
          <w:rFonts w:ascii="Arial" w:eastAsia="Arial Narrow" w:hAnsi="Arial" w:cs="Arial"/>
          <w:sz w:val="20"/>
        </w:rPr>
      </w:pPr>
      <w:bookmarkStart w:id="122" w:name="_Hlk102651481"/>
      <w:r w:rsidRPr="005E4BEA">
        <w:rPr>
          <w:rFonts w:ascii="Arial" w:eastAsia="Arial Narrow" w:hAnsi="Arial" w:cs="Arial"/>
          <w:sz w:val="20"/>
        </w:rPr>
        <w:t>SPORNO VPRAŠANJE (88)</w:t>
      </w:r>
    </w:p>
    <w:p w14:paraId="227D6BF7" w14:textId="77777777" w:rsidR="00AD7DF3" w:rsidRPr="005E4BEA" w:rsidRDefault="00AD7DF3" w:rsidP="00FE461F">
      <w:pPr>
        <w:spacing w:line="240" w:lineRule="auto"/>
        <w:jc w:val="both"/>
        <w:rPr>
          <w:rFonts w:eastAsia="Arial Narrow" w:cs="Arial"/>
          <w:b/>
          <w:szCs w:val="20"/>
        </w:rPr>
      </w:pPr>
    </w:p>
    <w:p w14:paraId="5CAD2C2B" w14:textId="079567DA" w:rsidR="00FE461F" w:rsidRPr="005E4BEA" w:rsidRDefault="00AD7DF3" w:rsidP="00FE461F">
      <w:pPr>
        <w:spacing w:line="240" w:lineRule="auto"/>
        <w:jc w:val="both"/>
        <w:rPr>
          <w:rFonts w:eastAsia="Calibri" w:cs="Arial"/>
          <w:bCs/>
          <w:color w:val="000000"/>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w:t>
      </w:r>
      <w:r w:rsidRPr="005E4BEA">
        <w:rPr>
          <w:rFonts w:cs="Arial"/>
          <w:bCs/>
          <w:szCs w:val="20"/>
        </w:rPr>
        <w:t xml:space="preserve">Priloga I </w:t>
      </w:r>
      <w:r w:rsidR="00FE461F" w:rsidRPr="005E4BEA">
        <w:rPr>
          <w:rFonts w:eastAsia="Calibri" w:cs="Arial"/>
          <w:bCs/>
          <w:color w:val="000000"/>
          <w:szCs w:val="20"/>
        </w:rPr>
        <w:t xml:space="preserve">- Kalkulacije za planiranje in financiranje programov zdravstvenih storitev dopolni z novim standardom  za program Bol - Akutna </w:t>
      </w:r>
      <w:proofErr w:type="spellStart"/>
      <w:r w:rsidR="00FE461F" w:rsidRPr="005E4BEA">
        <w:rPr>
          <w:rFonts w:eastAsia="Calibri" w:cs="Arial"/>
          <w:bCs/>
          <w:color w:val="000000"/>
          <w:szCs w:val="20"/>
        </w:rPr>
        <w:t>boln</w:t>
      </w:r>
      <w:proofErr w:type="spellEnd"/>
      <w:r w:rsidR="00FE461F" w:rsidRPr="005E4BEA">
        <w:rPr>
          <w:rFonts w:eastAsia="Calibri" w:cs="Arial"/>
          <w:bCs/>
          <w:color w:val="000000"/>
          <w:szCs w:val="20"/>
        </w:rPr>
        <w:t xml:space="preserve">. </w:t>
      </w:r>
      <w:proofErr w:type="spellStart"/>
      <w:r w:rsidR="00FE461F" w:rsidRPr="005E4BEA">
        <w:rPr>
          <w:rFonts w:eastAsia="Calibri" w:cs="Arial"/>
          <w:bCs/>
          <w:color w:val="000000"/>
          <w:szCs w:val="20"/>
        </w:rPr>
        <w:t>obrav</w:t>
      </w:r>
      <w:proofErr w:type="spellEnd"/>
      <w:r w:rsidR="00FE461F" w:rsidRPr="005E4BEA">
        <w:rPr>
          <w:rFonts w:eastAsia="Calibri" w:cs="Arial"/>
          <w:bCs/>
          <w:color w:val="000000"/>
          <w:szCs w:val="20"/>
        </w:rPr>
        <w:t xml:space="preserve">. rehabilitacija bolnikov s kronično pljučno boleznijo. </w:t>
      </w:r>
    </w:p>
    <w:p w14:paraId="7A845026" w14:textId="77777777" w:rsidR="00FE461F" w:rsidRPr="005E4BEA" w:rsidRDefault="00FE461F" w:rsidP="00FE461F">
      <w:pPr>
        <w:spacing w:line="240" w:lineRule="auto"/>
        <w:jc w:val="both"/>
        <w:rPr>
          <w:rFonts w:eastAsia="Calibri" w:cs="Arial"/>
          <w:b/>
          <w:bCs/>
          <w:color w:val="000000"/>
          <w:szCs w:val="20"/>
        </w:rPr>
      </w:pPr>
    </w:p>
    <w:p w14:paraId="4103BC8A" w14:textId="77777777" w:rsidR="00FE461F" w:rsidRPr="005E4BEA" w:rsidRDefault="00FE461F" w:rsidP="00FE461F">
      <w:pPr>
        <w:spacing w:line="240" w:lineRule="auto"/>
        <w:rPr>
          <w:rFonts w:eastAsia="Calibri" w:cs="Arial"/>
          <w:b/>
          <w:bCs/>
          <w:szCs w:val="20"/>
        </w:rPr>
      </w:pPr>
      <w:r w:rsidRPr="005E4BEA">
        <w:rPr>
          <w:rFonts w:eastAsia="Calibri" w:cs="Arial"/>
          <w:noProof/>
          <w:szCs w:val="20"/>
        </w:rPr>
        <w:drawing>
          <wp:inline distT="0" distB="0" distL="0" distR="0" wp14:anchorId="62435353" wp14:editId="4BE07F01">
            <wp:extent cx="6297088" cy="1634180"/>
            <wp:effectExtent l="0" t="0" r="0" b="4445"/>
            <wp:docPr id="3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384978" cy="1656989"/>
                    </a:xfrm>
                    <a:prstGeom prst="rect">
                      <a:avLst/>
                    </a:prstGeom>
                    <a:noFill/>
                    <a:ln>
                      <a:noFill/>
                    </a:ln>
                  </pic:spPr>
                </pic:pic>
              </a:graphicData>
            </a:graphic>
          </wp:inline>
        </w:drawing>
      </w:r>
    </w:p>
    <w:p w14:paraId="4764C1FD" w14:textId="77777777" w:rsidR="00FE461F" w:rsidRPr="005E4BEA" w:rsidRDefault="00FE461F" w:rsidP="00FE461F">
      <w:pPr>
        <w:spacing w:line="252" w:lineRule="auto"/>
        <w:rPr>
          <w:rFonts w:eastAsia="Calibri" w:cs="Arial"/>
          <w:color w:val="1F4E79"/>
          <w:szCs w:val="20"/>
        </w:rPr>
      </w:pPr>
      <w:r w:rsidRPr="005E4BEA">
        <w:rPr>
          <w:rFonts w:eastAsia="Calibri" w:cs="Arial"/>
          <w:color w:val="1F4E79"/>
          <w:szCs w:val="20"/>
        </w:rPr>
        <w:t>Opomba: KG 0,47 tima, SB Sežana 0,27 tina in B Topolšica 0,27 tima</w:t>
      </w:r>
    </w:p>
    <w:p w14:paraId="7F72E82A" w14:textId="77777777" w:rsidR="00FE461F" w:rsidRPr="005E4BEA" w:rsidRDefault="00FE461F" w:rsidP="00FE461F">
      <w:pPr>
        <w:spacing w:line="240" w:lineRule="auto"/>
        <w:jc w:val="both"/>
        <w:rPr>
          <w:rFonts w:eastAsia="Calibri" w:cs="Arial"/>
          <w:b/>
          <w:bCs/>
          <w:i/>
          <w:iCs/>
          <w:color w:val="808080"/>
          <w:szCs w:val="20"/>
          <w:u w:val="single"/>
        </w:rPr>
      </w:pPr>
      <w:r w:rsidRPr="005E4BEA">
        <w:rPr>
          <w:rFonts w:eastAsia="Calibri" w:cs="Arial"/>
          <w:b/>
          <w:bCs/>
          <w:i/>
          <w:iCs/>
          <w:color w:val="808080"/>
          <w:szCs w:val="20"/>
          <w:u w:val="single"/>
        </w:rPr>
        <w:t>Obrazložitev:</w:t>
      </w:r>
    </w:p>
    <w:p w14:paraId="76418A9E" w14:textId="77777777" w:rsidR="00FE461F" w:rsidRPr="005E4BEA" w:rsidRDefault="00FE461F" w:rsidP="00FE461F">
      <w:pPr>
        <w:autoSpaceDE w:val="0"/>
        <w:autoSpaceDN w:val="0"/>
        <w:spacing w:line="240" w:lineRule="auto"/>
        <w:jc w:val="both"/>
        <w:rPr>
          <w:rFonts w:cs="Arial"/>
          <w:i/>
          <w:iCs/>
          <w:color w:val="808080" w:themeColor="background1" w:themeShade="80"/>
          <w:szCs w:val="20"/>
        </w:rPr>
      </w:pPr>
      <w:r w:rsidRPr="005E4BEA">
        <w:rPr>
          <w:rFonts w:cs="Arial"/>
          <w:i/>
          <w:iCs/>
          <w:color w:val="808080" w:themeColor="background1" w:themeShade="80"/>
          <w:szCs w:val="20"/>
        </w:rPr>
        <w:t>Rehabilitacija bolnikov s kronično pljučno boleznijo se izvaja pri bolnikih s kroničnim obolenjem dihal, ki se redno vodijo pri specialistu internistu - pulmologu in imajo že uvedeno terapijo po veljavnih smernicah za zdravljenje pljučne bolezni in je njihova pljučna bolezen v stabilni fazi.</w:t>
      </w:r>
    </w:p>
    <w:p w14:paraId="4B6FB6E0" w14:textId="77777777" w:rsidR="00FE461F" w:rsidRPr="005E4BEA" w:rsidRDefault="00FE461F" w:rsidP="00FE461F">
      <w:pPr>
        <w:autoSpaceDE w:val="0"/>
        <w:autoSpaceDN w:val="0"/>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Program, ki ga bomo izvajale štiri pulmološke ustanove v Sloveniji skupaj z oblikovanjem mreže ambulantne rehabilitacije je opisan v gradivu za Zdravstveni svet.</w:t>
      </w:r>
    </w:p>
    <w:p w14:paraId="17C7835F" w14:textId="77777777" w:rsidR="00FE461F" w:rsidRPr="005E4BEA" w:rsidRDefault="00FE461F" w:rsidP="00FE461F">
      <w:pPr>
        <w:autoSpaceDE w:val="0"/>
        <w:autoSpaceDN w:val="0"/>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Trenutno se problem obvladuje predvsem s farmakoterapijo in trajnim zdravljenjem s kisikom na domu ter z obravnavo akutnih poslabšanj, velikokrat v obliki hospitalizacij. Iz podatkov v SLO je na leto hospitaliziranih 3000 bolnikov; veliko več pa jih potrebuje redne ambulantne preglede. Na leto v Sloveniji umre z diagnozo KOPB kot glavno diagnozo 600 ljudi. </w:t>
      </w:r>
      <w:r w:rsidRPr="005E4BEA">
        <w:rPr>
          <w:rFonts w:cs="Arial"/>
          <w:i/>
          <w:iCs/>
          <w:color w:val="808080" w:themeColor="background1" w:themeShade="80"/>
          <w:szCs w:val="20"/>
        </w:rPr>
        <w:t> </w:t>
      </w:r>
    </w:p>
    <w:p w14:paraId="5C079EBD" w14:textId="77777777" w:rsidR="00FE461F" w:rsidRPr="005E4BEA" w:rsidRDefault="00FE461F" w:rsidP="00FE461F">
      <w:pPr>
        <w:autoSpaceDE w:val="0"/>
        <w:autoSpaceDN w:val="0"/>
        <w:spacing w:line="276" w:lineRule="auto"/>
        <w:jc w:val="both"/>
        <w:rPr>
          <w:rFonts w:cs="Arial"/>
          <w:i/>
          <w:iCs/>
          <w:color w:val="808080" w:themeColor="background1" w:themeShade="80"/>
          <w:szCs w:val="20"/>
        </w:rPr>
      </w:pPr>
      <w:r w:rsidRPr="005E4BEA">
        <w:rPr>
          <w:rFonts w:cs="Arial"/>
          <w:i/>
          <w:iCs/>
          <w:color w:val="808080" w:themeColor="background1" w:themeShade="80"/>
          <w:szCs w:val="20"/>
        </w:rPr>
        <w:t>Bolnišnično rehabilitacijo kroničnih pljučnih bolnikov v Sloveniji že izvajajo tri bolnišnice. Trenutno ima v državi dostop do hospitalnega izvajanja rehabilitacije nekaj čez 100 bolnikov letno v bolnišnicah, ki oddajajo to vlogo.</w:t>
      </w:r>
    </w:p>
    <w:p w14:paraId="2B61A096" w14:textId="77777777" w:rsidR="00FE461F" w:rsidRPr="005E4BEA" w:rsidRDefault="00FE461F" w:rsidP="00FE461F">
      <w:pPr>
        <w:autoSpaceDE w:val="0"/>
        <w:autoSpaceDN w:val="0"/>
        <w:spacing w:line="276" w:lineRule="auto"/>
        <w:jc w:val="both"/>
        <w:rPr>
          <w:rFonts w:cs="Arial"/>
          <w:i/>
          <w:iCs/>
          <w:color w:val="808080" w:themeColor="background1" w:themeShade="80"/>
          <w:szCs w:val="20"/>
        </w:rPr>
      </w:pPr>
      <w:r w:rsidRPr="005E4BEA">
        <w:rPr>
          <w:rFonts w:cs="Arial"/>
          <w:i/>
          <w:iCs/>
          <w:color w:val="808080" w:themeColor="background1" w:themeShade="80"/>
          <w:szCs w:val="20"/>
        </w:rPr>
        <w:t xml:space="preserve">Nujno je potrebno, kar je tudi potrdil Zdravstveni svet Ministrstva za zdravje s svojim sklepom, da mora rehabilitacija strmeti k doseganju fizioloških sprememb in ne zgolj spremembam v subjektivnemu počutju bolnika. Tak pristop zahteva dobro funkcionalno in multidisciplinarno oceno bolnikov, individualen pristop na različnih področjih in obsegu ukrepov. V zadnjem času je bilo narejenih več diplomskih nalog s področja fizioterapije, ki so pokazale, da smo sposobni te bolnike kvalitetno obravnavati. Menimo, da bi bilo smiselno pričeti s skrbno načrtovano rehabilitacijo teh bolnikov. Smiselno bi bilo uvesti enotno spremljanje teh bolnikov v Sloveniji z opredeljenim naborom potrebnih preiskav za spremljanje uspeha rehabilitacije. Verjetno bi v </w:t>
      </w:r>
      <w:r w:rsidRPr="005E4BEA">
        <w:rPr>
          <w:rFonts w:cs="Arial"/>
          <w:i/>
          <w:iCs/>
          <w:color w:val="808080" w:themeColor="background1" w:themeShade="80"/>
          <w:szCs w:val="20"/>
        </w:rPr>
        <w:lastRenderedPageBreak/>
        <w:t xml:space="preserve">začetku oviro predstavljalo pomanjkanje izkušenj na tem področju. To na Kliniki Golnik rešujejo s trajnostno pogodbo o sodelovanju med Univerzitetno Kliniko za </w:t>
      </w:r>
      <w:proofErr w:type="spellStart"/>
      <w:r w:rsidRPr="005E4BEA">
        <w:rPr>
          <w:rFonts w:cs="Arial"/>
          <w:i/>
          <w:iCs/>
          <w:color w:val="808080" w:themeColor="background1" w:themeShade="80"/>
          <w:szCs w:val="20"/>
        </w:rPr>
        <w:t>nutricijo</w:t>
      </w:r>
      <w:proofErr w:type="spellEnd"/>
      <w:r w:rsidRPr="005E4BEA">
        <w:rPr>
          <w:rFonts w:cs="Arial"/>
          <w:i/>
          <w:iCs/>
          <w:color w:val="808080" w:themeColor="background1" w:themeShade="80"/>
          <w:szCs w:val="20"/>
        </w:rPr>
        <w:t xml:space="preserve"> in rehabilitacijo v Maastrichtu Nizozemska, kjer so v nekajmesečnih izobraževanjih zadnjih treh let izobrazili dva zdravnika specialista in farmacevta. Hospitalni rehabilitaciji se mora pridružiti tudi ambulantna oblika, ki je v Sloveniji še ni, predvsem s stališča boljše dostopnosti in izvedljivosti. Izvajala naj bi se na sekundarnem in primarnem nivoju zdravstva, izven zdravilišč, pod nadzorom za to pristojnih bolnišnic. Trenutni program ne obsega ambulantne rehabilitacije in rehabilitacije na primarnem nivoju zdravstva. Le z vključitvijo teh nivojev je možno efektivno zagotoviti stopenjsko detekcijo tistih bolnikov, ki rehabilitacijo potrebujejo in izvajanje le-te na ustreznem nivoju.</w:t>
      </w:r>
    </w:p>
    <w:p w14:paraId="5B5A71DB" w14:textId="77777777" w:rsidR="00FE461F" w:rsidRPr="005E4BEA" w:rsidRDefault="00FE461F" w:rsidP="00FE461F">
      <w:pPr>
        <w:autoSpaceDE w:val="0"/>
        <w:autoSpaceDN w:val="0"/>
        <w:spacing w:line="240" w:lineRule="auto"/>
        <w:rPr>
          <w:rFonts w:cs="Arial"/>
          <w:i/>
          <w:iCs/>
          <w:color w:val="808080" w:themeColor="background1" w:themeShade="80"/>
          <w:szCs w:val="20"/>
        </w:rPr>
      </w:pPr>
    </w:p>
    <w:p w14:paraId="37CED6D2" w14:textId="084A3E34" w:rsidR="00FE461F" w:rsidRPr="005E4BEA" w:rsidRDefault="00FE461F" w:rsidP="00FE461F">
      <w:pPr>
        <w:spacing w:line="252" w:lineRule="auto"/>
        <w:jc w:val="both"/>
        <w:rPr>
          <w:rFonts w:cs="Arial"/>
          <w:i/>
          <w:iCs/>
          <w:color w:val="808080" w:themeColor="background1" w:themeShade="80"/>
          <w:szCs w:val="20"/>
        </w:rPr>
      </w:pPr>
      <w:r w:rsidRPr="005E4BEA">
        <w:rPr>
          <w:rFonts w:cs="Arial"/>
          <w:i/>
          <w:iCs/>
          <w:color w:val="808080" w:themeColor="background1" w:themeShade="80"/>
          <w:szCs w:val="20"/>
        </w:rPr>
        <w:t> Finančna ocena: 1.477.946,00 eur  za 1 tim na letni ravni.</w:t>
      </w:r>
    </w:p>
    <w:p w14:paraId="2340F409" w14:textId="0DDEB804" w:rsidR="00AD7DF3" w:rsidRPr="005E4BEA" w:rsidRDefault="00AD7DF3" w:rsidP="00FE461F">
      <w:pPr>
        <w:spacing w:line="252" w:lineRule="auto"/>
        <w:jc w:val="both"/>
        <w:rPr>
          <w:rFonts w:cs="Arial"/>
          <w:i/>
          <w:iCs/>
          <w:color w:val="808080" w:themeColor="background1" w:themeShade="80"/>
          <w:szCs w:val="20"/>
        </w:rPr>
      </w:pPr>
    </w:p>
    <w:p w14:paraId="34463484" w14:textId="0459753D" w:rsidR="00AD7DF3" w:rsidRPr="005E4BEA" w:rsidRDefault="00AD7DF3" w:rsidP="00FE461F">
      <w:pPr>
        <w:spacing w:line="252" w:lineRule="auto"/>
        <w:jc w:val="both"/>
        <w:rPr>
          <w:rFonts w:cs="Arial"/>
          <w:i/>
          <w:iCs/>
          <w:color w:val="808080" w:themeColor="background1" w:themeShade="80"/>
          <w:szCs w:val="20"/>
        </w:rPr>
      </w:pPr>
    </w:p>
    <w:p w14:paraId="6E910E6C" w14:textId="77777777" w:rsidR="00AD7DF3" w:rsidRPr="005E4BEA" w:rsidRDefault="00AD7DF3" w:rsidP="00AD7DF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DE333C1" w14:textId="77777777" w:rsidR="00AD7DF3" w:rsidRPr="005E4BEA" w:rsidRDefault="00AD7DF3" w:rsidP="00AD7DF3">
      <w:pPr>
        <w:spacing w:line="0" w:lineRule="atLeast"/>
        <w:jc w:val="both"/>
        <w:rPr>
          <w:rFonts w:eastAsia="Arial Narrow" w:cs="Arial"/>
          <w:szCs w:val="20"/>
          <w:lang w:eastAsia="sl-SI"/>
        </w:rPr>
      </w:pPr>
    </w:p>
    <w:p w14:paraId="204549F5" w14:textId="2FB8081D" w:rsidR="00AD7DF3" w:rsidRPr="005E4BEA" w:rsidRDefault="00AD7DF3" w:rsidP="00AD7DF3">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Pr</w:t>
      </w:r>
      <w:r w:rsidR="00910B7A" w:rsidRPr="005E4BEA">
        <w:rPr>
          <w:rFonts w:eastAsia="Arial Narrow" w:cs="Arial"/>
          <w:bCs/>
          <w:szCs w:val="20"/>
        </w:rPr>
        <w:t>l</w:t>
      </w:r>
      <w:r w:rsidRPr="005E4BEA">
        <w:rPr>
          <w:rFonts w:eastAsia="Arial Narrow" w:cs="Arial"/>
          <w:bCs/>
          <w:szCs w:val="20"/>
        </w:rPr>
        <w:t>ioga</w:t>
      </w:r>
      <w:proofErr w:type="spellEnd"/>
      <w:r w:rsidRPr="005E4BEA">
        <w:rPr>
          <w:rFonts w:eastAsia="Arial Narrow" w:cs="Arial"/>
          <w:bCs/>
          <w:szCs w:val="20"/>
        </w:rPr>
        <w:t xml:space="preserve"> I </w:t>
      </w:r>
      <w:r w:rsidRPr="005E4BEA">
        <w:rPr>
          <w:rFonts w:eastAsiaTheme="minorHAnsi" w:cs="Arial"/>
          <w:bCs/>
          <w:szCs w:val="20"/>
        </w:rPr>
        <w:t>Splošnega dogovora ne spremeni.</w:t>
      </w:r>
    </w:p>
    <w:bookmarkEnd w:id="122"/>
    <w:p w14:paraId="1D33037D" w14:textId="77777777" w:rsidR="00AD7DF3" w:rsidRPr="005E4BEA" w:rsidRDefault="00AD7DF3" w:rsidP="00AD7DF3">
      <w:pPr>
        <w:spacing w:line="0" w:lineRule="atLeast"/>
        <w:contextualSpacing/>
        <w:jc w:val="both"/>
        <w:rPr>
          <w:rFonts w:eastAsiaTheme="minorHAnsi" w:cs="Arial"/>
          <w:bCs/>
          <w:szCs w:val="20"/>
        </w:rPr>
      </w:pPr>
    </w:p>
    <w:p w14:paraId="491990D3" w14:textId="77777777" w:rsidR="00AD7DF3" w:rsidRPr="005E4BEA" w:rsidRDefault="00AD7DF3" w:rsidP="00AD7DF3">
      <w:pPr>
        <w:spacing w:line="240" w:lineRule="auto"/>
        <w:jc w:val="both"/>
        <w:rPr>
          <w:rFonts w:eastAsia="Calibri" w:cs="Arial"/>
          <w:i/>
          <w:iCs/>
          <w:color w:val="7F7F7F"/>
          <w:szCs w:val="20"/>
        </w:rPr>
      </w:pPr>
    </w:p>
    <w:p w14:paraId="74D5D441" w14:textId="2CA337C3" w:rsidR="00AD7DF3" w:rsidRPr="005E4BEA" w:rsidRDefault="00AD7DF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(89)</w:t>
      </w:r>
    </w:p>
    <w:p w14:paraId="4A3CA724" w14:textId="77777777" w:rsidR="00AD7DF3" w:rsidRPr="005E4BEA" w:rsidRDefault="00AD7DF3" w:rsidP="00AD7DF3">
      <w:pPr>
        <w:spacing w:line="240" w:lineRule="auto"/>
        <w:jc w:val="both"/>
        <w:rPr>
          <w:rFonts w:eastAsia="Arial Narrow" w:cs="Arial"/>
          <w:b/>
          <w:szCs w:val="20"/>
        </w:rPr>
      </w:pPr>
    </w:p>
    <w:p w14:paraId="5CBF88C9" w14:textId="2C7893A9" w:rsidR="00FE461F" w:rsidRPr="005E4BEA" w:rsidRDefault="00AD7DF3" w:rsidP="00AD7DF3">
      <w:pPr>
        <w:spacing w:line="252"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w:t>
      </w:r>
      <w:r w:rsidR="00FE461F" w:rsidRPr="005E4BEA">
        <w:rPr>
          <w:rFonts w:cs="Arial"/>
          <w:bCs/>
          <w:szCs w:val="20"/>
        </w:rPr>
        <w:t xml:space="preserve">, E0433 Izrezanje benigne tvorbe kože in podkožnega tkiva / destrukcija benigne kožne tvorbe (brez kiretaže) in E0434 Izrezanje </w:t>
      </w:r>
      <w:proofErr w:type="spellStart"/>
      <w:r w:rsidR="00FE461F" w:rsidRPr="005E4BEA">
        <w:rPr>
          <w:rFonts w:cs="Arial"/>
          <w:bCs/>
          <w:szCs w:val="20"/>
        </w:rPr>
        <w:t>bazalnoceličnega</w:t>
      </w:r>
      <w:proofErr w:type="spellEnd"/>
      <w:r w:rsidR="00FE461F" w:rsidRPr="005E4BEA">
        <w:rPr>
          <w:rFonts w:cs="Arial"/>
          <w:bCs/>
          <w:szCs w:val="20"/>
        </w:rPr>
        <w:t xml:space="preserve"> in </w:t>
      </w:r>
      <w:proofErr w:type="spellStart"/>
      <w:r w:rsidR="00FE461F" w:rsidRPr="005E4BEA">
        <w:rPr>
          <w:rFonts w:cs="Arial"/>
          <w:bCs/>
          <w:szCs w:val="20"/>
        </w:rPr>
        <w:t>skvamoznega</w:t>
      </w:r>
      <w:proofErr w:type="spellEnd"/>
      <w:r w:rsidR="00FE461F" w:rsidRPr="005E4BEA">
        <w:rPr>
          <w:rFonts w:cs="Arial"/>
          <w:bCs/>
          <w:szCs w:val="20"/>
        </w:rPr>
        <w:t xml:space="preserve"> karcinoma kože in malignega melanoma</w:t>
      </w:r>
      <w:r w:rsidRPr="005E4BEA">
        <w:rPr>
          <w:rFonts w:cs="Arial"/>
          <w:bCs/>
          <w:szCs w:val="20"/>
        </w:rPr>
        <w:t xml:space="preserve"> s</w:t>
      </w:r>
      <w:r w:rsidR="00FE461F" w:rsidRPr="005E4BEA">
        <w:rPr>
          <w:rFonts w:cs="Arial"/>
          <w:iCs/>
          <w:szCs w:val="20"/>
        </w:rPr>
        <w:t xml:space="preserve">tandard </w:t>
      </w:r>
      <w:r w:rsidRPr="005E4BEA">
        <w:rPr>
          <w:rFonts w:cs="Arial"/>
          <w:iCs/>
          <w:szCs w:val="20"/>
        </w:rPr>
        <w:t>d</w:t>
      </w:r>
      <w:r w:rsidR="00FE461F" w:rsidRPr="005E4BEA">
        <w:rPr>
          <w:rFonts w:cs="Arial"/>
          <w:iCs/>
          <w:szCs w:val="20"/>
        </w:rPr>
        <w:t>opolni z opombo: V primeru hkratnega izreza na več različnih delih telesa se lahko storitev večkrat obračuna.</w:t>
      </w:r>
    </w:p>
    <w:p w14:paraId="3AEF707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EB98EB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bolnišnico prihajajo pacienti iz oddaljenih krajev in v določenih primerih je potrebno izrez opraviti na različnih delih telesa (npr. roka in noga), zaradi česar mora zdravnik opraviti vsak poseg posebej, posebej opraviti operativno polje </w:t>
      </w:r>
      <w:proofErr w:type="spellStart"/>
      <w:r w:rsidRPr="005E4BEA">
        <w:rPr>
          <w:rFonts w:cs="Arial"/>
          <w:i/>
          <w:iCs/>
          <w:color w:val="808080" w:themeColor="background1" w:themeShade="80"/>
          <w:szCs w:val="20"/>
        </w:rPr>
        <w:t>itd</w:t>
      </w:r>
      <w:proofErr w:type="spellEnd"/>
      <w:r w:rsidRPr="005E4BEA">
        <w:rPr>
          <w:rFonts w:cs="Arial"/>
          <w:i/>
          <w:iCs/>
          <w:color w:val="808080" w:themeColor="background1" w:themeShade="80"/>
          <w:szCs w:val="20"/>
        </w:rPr>
        <w:t>… Lahko se izkaže tudi, da gre enem posegu za izrez benigne tvorbe, pri drugem posegu – na drugem delu telesa pa za izrez karcinoma. Iz tega naslova predlagamo možnosti, da se lahko storitev večkrat obračuna.</w:t>
      </w:r>
    </w:p>
    <w:p w14:paraId="7FA40ED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 sprejetjem predloga bi omogočili:</w:t>
      </w:r>
    </w:p>
    <w:p w14:paraId="53DB2A12" w14:textId="77777777" w:rsidR="00FE461F" w:rsidRPr="005E4BEA" w:rsidRDefault="00FE461F" w:rsidP="00F356C9">
      <w:pPr>
        <w:numPr>
          <w:ilvl w:val="0"/>
          <w:numId w:val="29"/>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Da se pacienti ne bi morali večkrat vračati na poseg</w:t>
      </w:r>
    </w:p>
    <w:p w14:paraId="19E9E310" w14:textId="77777777" w:rsidR="00FE461F" w:rsidRPr="005E4BEA" w:rsidRDefault="00FE461F" w:rsidP="00F356C9">
      <w:pPr>
        <w:numPr>
          <w:ilvl w:val="0"/>
          <w:numId w:val="29"/>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Skrajšanje čakalni dob.</w:t>
      </w:r>
    </w:p>
    <w:p w14:paraId="3CB88D37" w14:textId="77777777" w:rsidR="00FE461F" w:rsidRPr="005E4BEA" w:rsidRDefault="00FE461F" w:rsidP="00FE461F">
      <w:pPr>
        <w:spacing w:line="240" w:lineRule="auto"/>
        <w:ind w:left="720"/>
        <w:contextualSpacing/>
        <w:jc w:val="both"/>
        <w:rPr>
          <w:rFonts w:cs="Arial"/>
          <w:i/>
          <w:iCs/>
          <w:color w:val="808080" w:themeColor="background1" w:themeShade="80"/>
          <w:szCs w:val="20"/>
        </w:rPr>
      </w:pPr>
    </w:p>
    <w:p w14:paraId="0F0E5DD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Finančni učinki: S potrebnimi podatki za izračun finančnih posledic za zdravstveni sistem ne razpolagamo. Možnost prihranka za Zavod. </w:t>
      </w:r>
    </w:p>
    <w:p w14:paraId="3F55EDA6" w14:textId="5E8AD910" w:rsidR="00AD7DF3" w:rsidRPr="005E4BEA" w:rsidRDefault="00AD7DF3" w:rsidP="00FE461F">
      <w:pPr>
        <w:spacing w:line="240" w:lineRule="auto"/>
        <w:jc w:val="both"/>
        <w:rPr>
          <w:rFonts w:cs="Arial"/>
          <w:i/>
          <w:iCs/>
          <w:color w:val="808080" w:themeColor="background1" w:themeShade="80"/>
          <w:szCs w:val="20"/>
        </w:rPr>
      </w:pPr>
    </w:p>
    <w:p w14:paraId="3623446F" w14:textId="77777777" w:rsidR="00AD7DF3" w:rsidRPr="005E4BEA" w:rsidRDefault="00AD7DF3" w:rsidP="00AD7DF3">
      <w:pPr>
        <w:spacing w:line="252" w:lineRule="auto"/>
        <w:jc w:val="both"/>
        <w:rPr>
          <w:rFonts w:cs="Arial"/>
          <w:i/>
          <w:iCs/>
          <w:color w:val="808080" w:themeColor="background1" w:themeShade="80"/>
          <w:szCs w:val="20"/>
        </w:rPr>
      </w:pPr>
    </w:p>
    <w:p w14:paraId="02052AEC" w14:textId="77777777" w:rsidR="00AD7DF3" w:rsidRPr="005E4BEA" w:rsidRDefault="00AD7DF3" w:rsidP="00AD7DF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B4C55FC" w14:textId="77777777" w:rsidR="00AD7DF3" w:rsidRPr="005E4BEA" w:rsidRDefault="00AD7DF3" w:rsidP="00AD7DF3">
      <w:pPr>
        <w:spacing w:line="0" w:lineRule="atLeast"/>
        <w:jc w:val="both"/>
        <w:rPr>
          <w:rFonts w:eastAsia="Arial Narrow" w:cs="Arial"/>
          <w:szCs w:val="20"/>
          <w:lang w:eastAsia="sl-SI"/>
        </w:rPr>
      </w:pPr>
    </w:p>
    <w:p w14:paraId="5A8B6B81" w14:textId="612DA8F7" w:rsidR="00AD7DF3" w:rsidRPr="005E4BEA" w:rsidRDefault="00AD7DF3" w:rsidP="00AD7DF3">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31A8253B" w14:textId="77777777" w:rsidR="00AD7DF3" w:rsidRPr="005E4BEA" w:rsidRDefault="00AD7DF3" w:rsidP="00AD7DF3">
      <w:pPr>
        <w:spacing w:line="0" w:lineRule="atLeast"/>
        <w:contextualSpacing/>
        <w:jc w:val="both"/>
        <w:rPr>
          <w:rFonts w:eastAsiaTheme="minorHAnsi" w:cs="Arial"/>
          <w:bCs/>
          <w:szCs w:val="20"/>
        </w:rPr>
      </w:pPr>
    </w:p>
    <w:p w14:paraId="1AA91B75" w14:textId="77777777" w:rsidR="00AD7DF3" w:rsidRPr="005E4BEA" w:rsidRDefault="00AD7DF3" w:rsidP="00AD7DF3">
      <w:pPr>
        <w:spacing w:line="240" w:lineRule="auto"/>
        <w:jc w:val="both"/>
        <w:rPr>
          <w:rFonts w:eastAsia="Calibri" w:cs="Arial"/>
          <w:i/>
          <w:iCs/>
          <w:color w:val="7F7F7F"/>
          <w:szCs w:val="20"/>
        </w:rPr>
      </w:pPr>
    </w:p>
    <w:p w14:paraId="648F14DE" w14:textId="32799054" w:rsidR="00AD7DF3" w:rsidRPr="005E4BEA" w:rsidRDefault="00AD7DF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(90)</w:t>
      </w:r>
    </w:p>
    <w:p w14:paraId="60207FC8" w14:textId="77777777" w:rsidR="00AD7DF3" w:rsidRPr="005E4BEA" w:rsidRDefault="00AD7DF3" w:rsidP="00AD7DF3">
      <w:pPr>
        <w:spacing w:line="240" w:lineRule="auto"/>
        <w:jc w:val="both"/>
        <w:rPr>
          <w:rFonts w:eastAsia="Arial Narrow" w:cs="Arial"/>
          <w:b/>
          <w:szCs w:val="20"/>
        </w:rPr>
      </w:pPr>
    </w:p>
    <w:p w14:paraId="47347924" w14:textId="459F6A4F" w:rsidR="00FE461F" w:rsidRPr="005E4BEA" w:rsidRDefault="00AD7DF3"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 xml:space="preserve">Prilogi I </w:t>
      </w:r>
      <w:r w:rsidR="00FE461F" w:rsidRPr="005E4BEA">
        <w:rPr>
          <w:rFonts w:cs="Arial"/>
          <w:bCs/>
          <w:szCs w:val="20"/>
        </w:rPr>
        <w:t>v kalkulacijo 512 057 Center za duševno zdravje otrok in mladostnikov:</w:t>
      </w:r>
    </w:p>
    <w:p w14:paraId="431827A1" w14:textId="77777777" w:rsidR="00FE461F" w:rsidRPr="005E4BEA" w:rsidRDefault="00FE461F" w:rsidP="00F356C9">
      <w:pPr>
        <w:numPr>
          <w:ilvl w:val="0"/>
          <w:numId w:val="29"/>
        </w:numPr>
        <w:spacing w:line="240" w:lineRule="auto"/>
        <w:contextualSpacing/>
        <w:jc w:val="both"/>
        <w:rPr>
          <w:rFonts w:cs="Arial"/>
          <w:bCs/>
          <w:szCs w:val="20"/>
        </w:rPr>
      </w:pPr>
      <w:r w:rsidRPr="005E4BEA">
        <w:rPr>
          <w:rFonts w:cs="Arial"/>
          <w:bCs/>
          <w:szCs w:val="20"/>
        </w:rPr>
        <w:t xml:space="preserve">doda 1 tehnik zdravstvene nege; </w:t>
      </w:r>
    </w:p>
    <w:p w14:paraId="10B52541" w14:textId="77777777" w:rsidR="00FE461F" w:rsidRPr="005E4BEA" w:rsidRDefault="00FE461F" w:rsidP="00F356C9">
      <w:pPr>
        <w:numPr>
          <w:ilvl w:val="0"/>
          <w:numId w:val="29"/>
        </w:numPr>
        <w:spacing w:line="240" w:lineRule="auto"/>
        <w:contextualSpacing/>
        <w:jc w:val="both"/>
        <w:rPr>
          <w:rFonts w:cs="Arial"/>
          <w:szCs w:val="20"/>
        </w:rPr>
      </w:pPr>
      <w:r w:rsidRPr="005E4BEA">
        <w:rPr>
          <w:rFonts w:cs="Arial"/>
          <w:szCs w:val="20"/>
        </w:rPr>
        <w:t xml:space="preserve">spremeni letni normativ za </w:t>
      </w:r>
      <w:proofErr w:type="spellStart"/>
      <w:r w:rsidRPr="005E4BEA">
        <w:rPr>
          <w:rFonts w:cs="Arial"/>
          <w:szCs w:val="20"/>
        </w:rPr>
        <w:t>nespecialistični</w:t>
      </w:r>
      <w:proofErr w:type="spellEnd"/>
      <w:r w:rsidRPr="005E4BEA">
        <w:rPr>
          <w:rFonts w:cs="Arial"/>
          <w:szCs w:val="20"/>
        </w:rPr>
        <w:t xml:space="preserve"> kader v CDZOM (psiholog, logoped, specialni pedagog, delovni terapevt, socialni delavec) na 12.870 točk. Temu primerno se zniža skupno število točk iz 284.759 točk na 210.063.</w:t>
      </w:r>
    </w:p>
    <w:p w14:paraId="1062F952" w14:textId="77777777" w:rsidR="00FE461F" w:rsidRPr="005E4BEA" w:rsidRDefault="00FE461F" w:rsidP="00F356C9">
      <w:pPr>
        <w:numPr>
          <w:ilvl w:val="0"/>
          <w:numId w:val="29"/>
        </w:numPr>
        <w:spacing w:line="240" w:lineRule="auto"/>
        <w:contextualSpacing/>
        <w:jc w:val="both"/>
        <w:rPr>
          <w:rFonts w:cs="Arial"/>
          <w:szCs w:val="20"/>
        </w:rPr>
      </w:pPr>
      <w:r w:rsidRPr="005E4BEA">
        <w:rPr>
          <w:rFonts w:cs="Arial"/>
          <w:szCs w:val="20"/>
        </w:rPr>
        <w:t>spremeni letni normativ za kliničnega psihologa iz 21.500 točk na 19.734</w:t>
      </w:r>
    </w:p>
    <w:p w14:paraId="400375F0" w14:textId="77777777" w:rsidR="00FE461F" w:rsidRPr="005E4BEA" w:rsidRDefault="00FE461F" w:rsidP="00FE461F">
      <w:pPr>
        <w:spacing w:line="240" w:lineRule="auto"/>
        <w:jc w:val="both"/>
        <w:rPr>
          <w:rFonts w:cs="Arial"/>
          <w:szCs w:val="20"/>
        </w:rPr>
      </w:pPr>
    </w:p>
    <w:p w14:paraId="5FD04609" w14:textId="77777777" w:rsidR="00FE461F" w:rsidRPr="005E4BEA" w:rsidRDefault="00FE461F" w:rsidP="00FE461F">
      <w:pPr>
        <w:spacing w:line="240" w:lineRule="auto"/>
        <w:jc w:val="both"/>
        <w:rPr>
          <w:rFonts w:cs="Arial"/>
          <w:b/>
          <w:bCs/>
          <w:i/>
          <w:iCs/>
          <w:color w:val="767171"/>
          <w:szCs w:val="20"/>
          <w:u w:val="single"/>
        </w:rPr>
      </w:pPr>
      <w:r w:rsidRPr="005E4BEA">
        <w:rPr>
          <w:rFonts w:cs="Arial"/>
          <w:b/>
          <w:bCs/>
          <w:i/>
          <w:iCs/>
          <w:color w:val="767171"/>
          <w:szCs w:val="20"/>
          <w:u w:val="single"/>
        </w:rPr>
        <w:t>Obrazložitev:</w:t>
      </w:r>
    </w:p>
    <w:p w14:paraId="541BBCE8" w14:textId="77777777" w:rsidR="00FE461F" w:rsidRPr="005E4BEA" w:rsidRDefault="00FE461F" w:rsidP="00FE461F">
      <w:pPr>
        <w:spacing w:line="240" w:lineRule="auto"/>
        <w:contextualSpacing/>
        <w:jc w:val="both"/>
        <w:rPr>
          <w:rFonts w:cs="Arial"/>
          <w:i/>
          <w:iCs/>
          <w:color w:val="767171"/>
          <w:szCs w:val="20"/>
        </w:rPr>
      </w:pPr>
      <w:r w:rsidRPr="005E4BEA">
        <w:rPr>
          <w:rFonts w:cs="Arial"/>
          <w:i/>
          <w:iCs/>
          <w:color w:val="767171"/>
          <w:szCs w:val="20"/>
        </w:rPr>
        <w:t xml:space="preserve">Točkovne normative je potrebno izenačiti v vseh organizacijskih oblikah, saj so šifranti identični oz. se minimalno razlikujejo, različni točkovni normativi in različni šifranti so anomalija v sistemu. </w:t>
      </w:r>
    </w:p>
    <w:p w14:paraId="472AF0DD"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V SD 2022 sta opredeljeni dve DMS na tim CDZOM. V DMZ so že zaposlene SMS (tehnik zdravstvene nege), ki imajo dolgoletne izkušnje s področja duševnega zdravja otrok in mladostnikov in je smiselno, da ostanejo v timu po prehodu v CDZOM. Obenem je potrebno zagotoviti dovolj podpornega kadra za vse strokovnjake v timu (glede na podporni kader v DMZ). V aneksu 1 k SD 2022 se predlaga kadrovski normativ za podporni kader: DMS (2), SMS (1). </w:t>
      </w:r>
    </w:p>
    <w:p w14:paraId="55672D4B"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V aneksu 1 k SD 2022 se predlaga spremembo in izenačitev letnega normativa za </w:t>
      </w:r>
      <w:proofErr w:type="spellStart"/>
      <w:r w:rsidRPr="005E4BEA">
        <w:rPr>
          <w:rFonts w:cs="Arial"/>
          <w:i/>
          <w:iCs/>
          <w:color w:val="767171"/>
          <w:szCs w:val="20"/>
        </w:rPr>
        <w:t>nespecialistični</w:t>
      </w:r>
      <w:proofErr w:type="spellEnd"/>
      <w:r w:rsidRPr="005E4BEA">
        <w:rPr>
          <w:rFonts w:cs="Arial"/>
          <w:i/>
          <w:iCs/>
          <w:color w:val="767171"/>
          <w:szCs w:val="20"/>
        </w:rPr>
        <w:t xml:space="preserve"> kader na 12 870 točk. V SD 2022 imata klinični psiholog / klinični logoped in psiholog / logoped enak letni normativ, kar predstavlja neustrezno izenačenje letnega normativa med specialisti in </w:t>
      </w:r>
      <w:proofErr w:type="spellStart"/>
      <w:r w:rsidRPr="005E4BEA">
        <w:rPr>
          <w:rFonts w:cs="Arial"/>
          <w:i/>
          <w:iCs/>
          <w:color w:val="767171"/>
          <w:szCs w:val="20"/>
        </w:rPr>
        <w:t>nespecialisti</w:t>
      </w:r>
      <w:proofErr w:type="spellEnd"/>
      <w:r w:rsidRPr="005E4BEA">
        <w:rPr>
          <w:rFonts w:cs="Arial"/>
          <w:i/>
          <w:iCs/>
          <w:color w:val="767171"/>
          <w:szCs w:val="20"/>
        </w:rPr>
        <w:t xml:space="preserve">. V SD 2022 imajo enak normativ tudi delovni terapevt in socialni delavec. Utemeljitev spremembe točkovnega normativa za </w:t>
      </w:r>
      <w:proofErr w:type="spellStart"/>
      <w:r w:rsidRPr="005E4BEA">
        <w:rPr>
          <w:rFonts w:cs="Arial"/>
          <w:i/>
          <w:iCs/>
          <w:color w:val="767171"/>
          <w:szCs w:val="20"/>
        </w:rPr>
        <w:t>nespecialistični</w:t>
      </w:r>
      <w:proofErr w:type="spellEnd"/>
      <w:r w:rsidRPr="005E4BEA">
        <w:rPr>
          <w:rFonts w:cs="Arial"/>
          <w:i/>
          <w:iCs/>
          <w:color w:val="767171"/>
          <w:szCs w:val="20"/>
        </w:rPr>
        <w:t xml:space="preserve"> kader: za 1 uro dela se pri kadru brez specializacije upošteva 9 točk, pri specialistih pa 13,8 točk. Pri letnem normativu ur ambulantnega tima (1430 ur) točkovni normativ znaša 12.870 točk za </w:t>
      </w:r>
      <w:proofErr w:type="spellStart"/>
      <w:r w:rsidRPr="005E4BEA">
        <w:rPr>
          <w:rFonts w:cs="Arial"/>
          <w:i/>
          <w:iCs/>
          <w:color w:val="767171"/>
          <w:szCs w:val="20"/>
        </w:rPr>
        <w:t>nespecialistični</w:t>
      </w:r>
      <w:proofErr w:type="spellEnd"/>
      <w:r w:rsidRPr="005E4BEA">
        <w:rPr>
          <w:rFonts w:cs="Arial"/>
          <w:i/>
          <w:iCs/>
          <w:color w:val="767171"/>
          <w:szCs w:val="20"/>
        </w:rPr>
        <w:t xml:space="preserve"> kader in 19.734 za klinične psihologe. </w:t>
      </w:r>
    </w:p>
    <w:p w14:paraId="72417C5F" w14:textId="77777777" w:rsidR="00FE461F" w:rsidRPr="005E4BEA" w:rsidRDefault="00FE461F" w:rsidP="00FE461F">
      <w:pPr>
        <w:spacing w:line="240" w:lineRule="auto"/>
        <w:jc w:val="both"/>
        <w:rPr>
          <w:rFonts w:cs="Arial"/>
          <w:i/>
          <w:iCs/>
          <w:color w:val="767171"/>
          <w:szCs w:val="20"/>
        </w:rPr>
      </w:pPr>
    </w:p>
    <w:p w14:paraId="554D3874" w14:textId="46785532"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finančna ocena:0,3 mio € </w:t>
      </w:r>
    </w:p>
    <w:p w14:paraId="11694944" w14:textId="0F2C70FA" w:rsidR="00AD7DF3" w:rsidRPr="005E4BEA" w:rsidRDefault="00AD7DF3" w:rsidP="00FE461F">
      <w:pPr>
        <w:spacing w:line="240" w:lineRule="auto"/>
        <w:jc w:val="both"/>
        <w:rPr>
          <w:rFonts w:cs="Arial"/>
          <w:i/>
          <w:iCs/>
          <w:color w:val="767171"/>
          <w:szCs w:val="20"/>
        </w:rPr>
      </w:pPr>
    </w:p>
    <w:p w14:paraId="1FFF2DA1" w14:textId="77777777" w:rsidR="00AD7DF3" w:rsidRPr="005E4BEA" w:rsidRDefault="00AD7DF3" w:rsidP="00AD7DF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B864ADD" w14:textId="77777777" w:rsidR="00AD7DF3" w:rsidRPr="005E4BEA" w:rsidRDefault="00AD7DF3" w:rsidP="00AD7DF3">
      <w:pPr>
        <w:spacing w:line="0" w:lineRule="atLeast"/>
        <w:jc w:val="both"/>
        <w:rPr>
          <w:rFonts w:eastAsia="Arial Narrow" w:cs="Arial"/>
          <w:szCs w:val="20"/>
          <w:lang w:eastAsia="sl-SI"/>
        </w:rPr>
      </w:pPr>
    </w:p>
    <w:p w14:paraId="09F2BDCE" w14:textId="26B74DBA" w:rsidR="00AD7DF3" w:rsidRPr="005E4BEA" w:rsidRDefault="00AD7DF3" w:rsidP="00AD7DF3">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4068402F" w14:textId="77777777" w:rsidR="00AD7DF3" w:rsidRPr="005E4BEA" w:rsidRDefault="00AD7DF3" w:rsidP="00AD7DF3">
      <w:pPr>
        <w:spacing w:line="0" w:lineRule="atLeast"/>
        <w:contextualSpacing/>
        <w:jc w:val="both"/>
        <w:rPr>
          <w:rFonts w:eastAsiaTheme="minorHAnsi" w:cs="Arial"/>
          <w:bCs/>
          <w:szCs w:val="20"/>
        </w:rPr>
      </w:pPr>
    </w:p>
    <w:p w14:paraId="7A731553" w14:textId="77777777" w:rsidR="00AD7DF3" w:rsidRPr="005E4BEA" w:rsidRDefault="00AD7DF3" w:rsidP="00AD7DF3">
      <w:pPr>
        <w:spacing w:line="240" w:lineRule="auto"/>
        <w:jc w:val="both"/>
        <w:rPr>
          <w:rFonts w:eastAsia="Calibri" w:cs="Arial"/>
          <w:i/>
          <w:iCs/>
          <w:color w:val="7F7F7F"/>
          <w:szCs w:val="20"/>
        </w:rPr>
      </w:pPr>
    </w:p>
    <w:p w14:paraId="2C061195" w14:textId="6E39F054" w:rsidR="00AD7DF3" w:rsidRPr="005E4BEA" w:rsidRDefault="00AD7DF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(91)</w:t>
      </w:r>
    </w:p>
    <w:p w14:paraId="7FDD417D" w14:textId="77777777" w:rsidR="00AD7DF3" w:rsidRPr="005E4BEA" w:rsidRDefault="00AD7DF3" w:rsidP="00AD7DF3">
      <w:pPr>
        <w:spacing w:line="240" w:lineRule="auto"/>
        <w:jc w:val="both"/>
        <w:rPr>
          <w:rFonts w:eastAsia="Arial Narrow" w:cs="Arial"/>
          <w:b/>
          <w:szCs w:val="20"/>
        </w:rPr>
      </w:pPr>
    </w:p>
    <w:p w14:paraId="184DC75C" w14:textId="5BA5BA90" w:rsidR="00AD7DF3" w:rsidRPr="005E4BEA" w:rsidRDefault="00AD7DF3" w:rsidP="00FE461F">
      <w:pPr>
        <w:spacing w:line="240" w:lineRule="auto"/>
        <w:jc w:val="both"/>
        <w:rPr>
          <w:rFonts w:cs="Arial"/>
          <w:b/>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w:t>
      </w:r>
      <w:r w:rsidR="00FE461F" w:rsidRPr="005E4BEA">
        <w:rPr>
          <w:rFonts w:cs="Arial"/>
          <w:b/>
          <w:bCs/>
          <w:szCs w:val="20"/>
        </w:rPr>
        <w:t xml:space="preserve">, </w:t>
      </w:r>
      <w:r w:rsidRPr="005E4BEA">
        <w:rPr>
          <w:rFonts w:cs="Arial"/>
          <w:b/>
          <w:bCs/>
          <w:szCs w:val="20"/>
        </w:rPr>
        <w:t xml:space="preserve">v </w:t>
      </w:r>
      <w:r w:rsidR="00FE461F" w:rsidRPr="005E4BEA">
        <w:rPr>
          <w:rFonts w:cs="Arial"/>
          <w:b/>
          <w:bCs/>
          <w:szCs w:val="20"/>
        </w:rPr>
        <w:t>standard</w:t>
      </w:r>
      <w:r w:rsidRPr="005E4BEA">
        <w:rPr>
          <w:rFonts w:cs="Arial"/>
          <w:b/>
          <w:bCs/>
          <w:szCs w:val="20"/>
        </w:rPr>
        <w:t>u</w:t>
      </w:r>
      <w:r w:rsidR="00FE461F" w:rsidRPr="005E4BEA">
        <w:rPr>
          <w:rFonts w:cs="Arial"/>
          <w:b/>
          <w:bCs/>
          <w:szCs w:val="20"/>
        </w:rPr>
        <w:t xml:space="preserve"> Dializa II in Dializa III, dopiše  opomba, ki glasi:</w:t>
      </w:r>
    </w:p>
    <w:p w14:paraId="7FF309E3" w14:textId="77777777" w:rsidR="00AD7DF3" w:rsidRPr="005E4BEA" w:rsidRDefault="00AD7DF3" w:rsidP="00FE461F">
      <w:pPr>
        <w:spacing w:line="240" w:lineRule="auto"/>
        <w:jc w:val="both"/>
        <w:rPr>
          <w:rFonts w:cs="Arial"/>
          <w:b/>
          <w:bCs/>
          <w:szCs w:val="20"/>
        </w:rPr>
      </w:pPr>
    </w:p>
    <w:p w14:paraId="22BC766A" w14:textId="77777777" w:rsidR="00FE461F" w:rsidRPr="005E4BEA" w:rsidRDefault="00FE461F" w:rsidP="00FE461F">
      <w:pPr>
        <w:spacing w:line="240" w:lineRule="auto"/>
        <w:jc w:val="both"/>
        <w:rPr>
          <w:rFonts w:cs="Arial"/>
          <w:iCs/>
          <w:szCs w:val="20"/>
        </w:rPr>
      </w:pPr>
      <w:r w:rsidRPr="005E4BEA">
        <w:rPr>
          <w:rFonts w:cs="Arial"/>
          <w:iCs/>
          <w:szCs w:val="20"/>
        </w:rPr>
        <w:t>»V primeru dialize pacienta okuženega s COVID -19 (rdeča cona) ali za dializo pacienta s sumom na okužbo s COVID-19 (siva cona) se zaradi posebne narave dela prizna v višini 50 € višja cena dialize.«</w:t>
      </w:r>
    </w:p>
    <w:p w14:paraId="3317896A" w14:textId="77777777" w:rsidR="00FE461F" w:rsidRPr="005E4BEA" w:rsidRDefault="00FE461F" w:rsidP="00FE461F">
      <w:pPr>
        <w:spacing w:line="240" w:lineRule="auto"/>
        <w:jc w:val="both"/>
        <w:rPr>
          <w:rFonts w:cs="Arial"/>
          <w:iCs/>
          <w:szCs w:val="20"/>
        </w:rPr>
      </w:pPr>
    </w:p>
    <w:p w14:paraId="28FF773C"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B8DF67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da se za dializo pacienta okuženega s COVID – 19(rdeča cona) ali za dializo pacienta s sumom na okužbo s COVID-19 (siva cona) se zaradi posebne narave dela uredi plačilo višje cene dialize, saj dializa pri teh pacientih poteka drugače in sicer:</w:t>
      </w:r>
    </w:p>
    <w:p w14:paraId="4034F98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w:t>
      </w:r>
      <w:r w:rsidRPr="005E4BEA">
        <w:rPr>
          <w:rFonts w:cs="Arial"/>
          <w:i/>
          <w:iCs/>
          <w:color w:val="808080" w:themeColor="background1" w:themeShade="80"/>
          <w:szCs w:val="20"/>
        </w:rPr>
        <w:tab/>
        <w:t>ena medicinska sestra je ves čas dialize ob pacientu v ločenem prostoru od ostalih pacientov in zaposlenih (v izolacijski sobi); pri dializnih pacientih, ki niso okuženi s COVID-19 ali nimajo suma na COVID-19 pa medicinska sestra dela sočasno s tremi pacienti,</w:t>
      </w:r>
    </w:p>
    <w:p w14:paraId="4B54FF1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w:t>
      </w:r>
      <w:r w:rsidRPr="005E4BEA">
        <w:rPr>
          <w:rFonts w:cs="Arial"/>
          <w:i/>
          <w:iCs/>
          <w:color w:val="808080" w:themeColor="background1" w:themeShade="80"/>
          <w:szCs w:val="20"/>
        </w:rPr>
        <w:tab/>
        <w:t>medicinska sestra, ki je ob dializnemu pacientu, ki je okužen s COVID – 19 ali ima sum na COVID-19, je oblečena enako kot osebje na Covid oddelku (posebna osebna varovalna oprema),</w:t>
      </w:r>
    </w:p>
    <w:p w14:paraId="16CBE44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w:t>
      </w:r>
      <w:r w:rsidRPr="005E4BEA">
        <w:rPr>
          <w:rFonts w:cs="Arial"/>
          <w:i/>
          <w:iCs/>
          <w:color w:val="808080" w:themeColor="background1" w:themeShade="80"/>
          <w:szCs w:val="20"/>
        </w:rPr>
        <w:tab/>
        <w:t>ostalo osebje po potrebi nosi do vrat potreben manjkajoči material, saj medicinska sestra, ki je ob pacientu, cel čas dialize ne zapušča izolacijske sobe,</w:t>
      </w:r>
    </w:p>
    <w:p w14:paraId="27019BD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w:t>
      </w:r>
      <w:r w:rsidRPr="005E4BEA">
        <w:rPr>
          <w:rFonts w:cs="Arial"/>
          <w:i/>
          <w:iCs/>
          <w:color w:val="808080" w:themeColor="background1" w:themeShade="80"/>
          <w:szCs w:val="20"/>
        </w:rPr>
        <w:tab/>
        <w:t>ob morebitni komplikaciji sodeluje tudi ostalo osebje (medicinske sestre, zdravniki), ki se mora obleči v osebno varovalno opremo,</w:t>
      </w:r>
    </w:p>
    <w:p w14:paraId="03C3457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w:t>
      </w:r>
      <w:r w:rsidRPr="005E4BEA">
        <w:rPr>
          <w:rFonts w:cs="Arial"/>
          <w:i/>
          <w:iCs/>
          <w:color w:val="808080" w:themeColor="background1" w:themeShade="80"/>
          <w:szCs w:val="20"/>
        </w:rPr>
        <w:tab/>
        <w:t xml:space="preserve">po dializi pacienta okuženega s COVID – 19 ali sumom na COVID, je potrebno razkužiti poleg sobe, aparatov in postelje tudi vse hodnike po katerih so ga pripeljali oziroma odpeljali, </w:t>
      </w:r>
    </w:p>
    <w:p w14:paraId="754DBED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w:t>
      </w:r>
      <w:r w:rsidRPr="005E4BEA">
        <w:rPr>
          <w:rFonts w:cs="Arial"/>
          <w:i/>
          <w:iCs/>
          <w:color w:val="808080" w:themeColor="background1" w:themeShade="80"/>
          <w:szCs w:val="20"/>
        </w:rPr>
        <w:tab/>
        <w:t>poleg samega razkuževanja je potrebno uporabiti tudi UV lučko za dezinfekcijo.</w:t>
      </w:r>
    </w:p>
    <w:p w14:paraId="429E8C8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spodnjih izračunih želimo prikazati, da že zgolj potreba, da namesto sočasnega dela s tremi pacienti, ki jim lahko izvaja dializo ena medicinska sestra, pri dializi pacientov s COVID-19 ali sumom na COVID-19 dializa enega samega pacienta okupira medicinsko sestro v celoti, predstavlja utemeljeno povečanje cene za 55,99% (za dializo II) oz. 40,51% (za dializo III). V tem procentu potrebnega zvišanja cene drugi dodatni stroški, razen dela medicinskih sester, še sploh niso vključeni (dodatna poraba časa zdravnika, dodaten čas in materialni stroški, vezani na </w:t>
      </w:r>
      <w:r w:rsidRPr="005E4BEA">
        <w:rPr>
          <w:rFonts w:cs="Arial"/>
          <w:i/>
          <w:iCs/>
          <w:color w:val="808080" w:themeColor="background1" w:themeShade="80"/>
          <w:szCs w:val="20"/>
        </w:rPr>
        <w:lastRenderedPageBreak/>
        <w:t>zahtevno čiščenje in razkuževanje prostorov in vse opreme, osebna varovalna oprema ipd.), zato za vrednost dialize II in III za paciente s COVID-19 ali sumom na COVID-19 predlagamo 1,5-kratnik »običajne« cene dialize</w:t>
      </w:r>
    </w:p>
    <w:p w14:paraId="5781016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Podatki o opravljenih COVID dializah za obdobje 1-8 2021</w:t>
      </w:r>
    </w:p>
    <w:p w14:paraId="0B1FFD1A" w14:textId="77777777" w:rsidR="00FE461F" w:rsidRPr="005E4BEA" w:rsidRDefault="00FE461F" w:rsidP="00FE461F">
      <w:pPr>
        <w:spacing w:line="240" w:lineRule="auto"/>
        <w:jc w:val="both"/>
        <w:rPr>
          <w:rFonts w:cs="Arial"/>
          <w:i/>
          <w:iCs/>
          <w:color w:val="808080" w:themeColor="background1" w:themeShade="80"/>
          <w:szCs w:val="20"/>
        </w:rPr>
      </w:pPr>
    </w:p>
    <w:tbl>
      <w:tblPr>
        <w:tblW w:w="95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362"/>
        <w:gridCol w:w="1297"/>
        <w:gridCol w:w="1297"/>
        <w:gridCol w:w="1297"/>
        <w:gridCol w:w="897"/>
        <w:gridCol w:w="885"/>
        <w:gridCol w:w="996"/>
        <w:gridCol w:w="863"/>
      </w:tblGrid>
      <w:tr w:rsidR="00FE461F" w:rsidRPr="005E4BEA" w14:paraId="47BA6DE7" w14:textId="77777777" w:rsidTr="00AD7DF3">
        <w:trPr>
          <w:trHeight w:val="462"/>
        </w:trPr>
        <w:tc>
          <w:tcPr>
            <w:tcW w:w="2362" w:type="dxa"/>
            <w:shd w:val="clear" w:color="D9E1F2" w:fill="D9E1F2"/>
            <w:hideMark/>
          </w:tcPr>
          <w:p w14:paraId="653D8DC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Naziv izvajalca </w:t>
            </w:r>
          </w:p>
        </w:tc>
        <w:tc>
          <w:tcPr>
            <w:tcW w:w="1256" w:type="dxa"/>
            <w:shd w:val="clear" w:color="D9E1F2" w:fill="D9E1F2"/>
            <w:noWrap/>
            <w:vAlign w:val="bottom"/>
            <w:hideMark/>
          </w:tcPr>
          <w:p w14:paraId="057437F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Vrsta zdravstvene dejavnosti - planska</w:t>
            </w:r>
          </w:p>
        </w:tc>
        <w:tc>
          <w:tcPr>
            <w:tcW w:w="1218" w:type="dxa"/>
            <w:shd w:val="clear" w:color="D9E1F2" w:fill="D9E1F2"/>
            <w:hideMark/>
          </w:tcPr>
          <w:p w14:paraId="569425E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Podvrsta zdravstvene dejavnosti</w:t>
            </w:r>
          </w:p>
        </w:tc>
        <w:tc>
          <w:tcPr>
            <w:tcW w:w="1260" w:type="dxa"/>
            <w:shd w:val="clear" w:color="D9E1F2" w:fill="D9E1F2"/>
            <w:hideMark/>
          </w:tcPr>
          <w:p w14:paraId="0C7EA54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Podvrsta zdravstvene dejavnosti2</w:t>
            </w:r>
          </w:p>
        </w:tc>
        <w:tc>
          <w:tcPr>
            <w:tcW w:w="842" w:type="dxa"/>
            <w:shd w:val="clear" w:color="D9E1F2" w:fill="D9E1F2"/>
            <w:vAlign w:val="bottom"/>
            <w:hideMark/>
          </w:tcPr>
          <w:p w14:paraId="719640A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Planska storitev</w:t>
            </w:r>
          </w:p>
        </w:tc>
        <w:tc>
          <w:tcPr>
            <w:tcW w:w="831" w:type="dxa"/>
            <w:shd w:val="clear" w:color="D9E1F2" w:fill="D9E1F2"/>
            <w:hideMark/>
          </w:tcPr>
          <w:p w14:paraId="2C3BD7B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Storitev</w:t>
            </w:r>
          </w:p>
        </w:tc>
        <w:tc>
          <w:tcPr>
            <w:tcW w:w="935" w:type="dxa"/>
            <w:shd w:val="clear" w:color="D9E1F2" w:fill="D9E1F2"/>
            <w:hideMark/>
          </w:tcPr>
          <w:p w14:paraId="0ECF10B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Storitev2</w:t>
            </w:r>
          </w:p>
        </w:tc>
        <w:tc>
          <w:tcPr>
            <w:tcW w:w="810" w:type="dxa"/>
            <w:shd w:val="clear" w:color="D9E1F2" w:fill="D9E1F2"/>
            <w:hideMark/>
          </w:tcPr>
          <w:p w14:paraId="38C0639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 Število storitev</w:t>
            </w:r>
          </w:p>
        </w:tc>
      </w:tr>
      <w:tr w:rsidR="00FE461F" w:rsidRPr="005E4BEA" w14:paraId="155510D3" w14:textId="77777777" w:rsidTr="00AD7DF3">
        <w:trPr>
          <w:trHeight w:val="92"/>
        </w:trPr>
        <w:tc>
          <w:tcPr>
            <w:tcW w:w="2362" w:type="dxa"/>
            <w:shd w:val="clear" w:color="auto" w:fill="auto"/>
            <w:noWrap/>
            <w:vAlign w:val="bottom"/>
            <w:hideMark/>
          </w:tcPr>
          <w:p w14:paraId="5617180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MARIBOR</w:t>
            </w:r>
          </w:p>
        </w:tc>
        <w:tc>
          <w:tcPr>
            <w:tcW w:w="1256" w:type="dxa"/>
            <w:shd w:val="clear" w:color="auto" w:fill="auto"/>
            <w:noWrap/>
            <w:vAlign w:val="bottom"/>
            <w:hideMark/>
          </w:tcPr>
          <w:p w14:paraId="4F01879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08BC0E9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3188830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5D18A5D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E0156</w:t>
            </w:r>
          </w:p>
        </w:tc>
        <w:tc>
          <w:tcPr>
            <w:tcW w:w="831" w:type="dxa"/>
            <w:shd w:val="clear" w:color="auto" w:fill="auto"/>
            <w:noWrap/>
            <w:vAlign w:val="bottom"/>
            <w:hideMark/>
          </w:tcPr>
          <w:p w14:paraId="15A04A8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E0156</w:t>
            </w:r>
          </w:p>
        </w:tc>
        <w:tc>
          <w:tcPr>
            <w:tcW w:w="935" w:type="dxa"/>
            <w:shd w:val="clear" w:color="auto" w:fill="auto"/>
            <w:noWrap/>
            <w:vAlign w:val="bottom"/>
            <w:hideMark/>
          </w:tcPr>
          <w:p w14:paraId="41581A2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III</w:t>
            </w:r>
          </w:p>
        </w:tc>
        <w:tc>
          <w:tcPr>
            <w:tcW w:w="810" w:type="dxa"/>
            <w:shd w:val="clear" w:color="auto" w:fill="auto"/>
            <w:noWrap/>
            <w:vAlign w:val="bottom"/>
            <w:hideMark/>
          </w:tcPr>
          <w:p w14:paraId="6BF0F0D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175</w:t>
            </w:r>
          </w:p>
        </w:tc>
      </w:tr>
      <w:tr w:rsidR="00FE461F" w:rsidRPr="005E4BEA" w14:paraId="000A04E9" w14:textId="77777777" w:rsidTr="00AD7DF3">
        <w:trPr>
          <w:trHeight w:val="92"/>
        </w:trPr>
        <w:tc>
          <w:tcPr>
            <w:tcW w:w="2362" w:type="dxa"/>
            <w:shd w:val="clear" w:color="auto" w:fill="auto"/>
            <w:noWrap/>
            <w:vAlign w:val="bottom"/>
            <w:hideMark/>
          </w:tcPr>
          <w:p w14:paraId="7B732D8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SLOVENJ GRADEC</w:t>
            </w:r>
          </w:p>
        </w:tc>
        <w:tc>
          <w:tcPr>
            <w:tcW w:w="1256" w:type="dxa"/>
            <w:shd w:val="clear" w:color="auto" w:fill="auto"/>
            <w:noWrap/>
            <w:vAlign w:val="bottom"/>
            <w:hideMark/>
          </w:tcPr>
          <w:p w14:paraId="0CA60A0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58DA955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549F0CC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74BB268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E0156</w:t>
            </w:r>
          </w:p>
        </w:tc>
        <w:tc>
          <w:tcPr>
            <w:tcW w:w="831" w:type="dxa"/>
            <w:shd w:val="clear" w:color="auto" w:fill="auto"/>
            <w:noWrap/>
            <w:vAlign w:val="bottom"/>
            <w:hideMark/>
          </w:tcPr>
          <w:p w14:paraId="4AC123B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E0156</w:t>
            </w:r>
          </w:p>
        </w:tc>
        <w:tc>
          <w:tcPr>
            <w:tcW w:w="935" w:type="dxa"/>
            <w:shd w:val="clear" w:color="auto" w:fill="auto"/>
            <w:noWrap/>
            <w:vAlign w:val="bottom"/>
            <w:hideMark/>
          </w:tcPr>
          <w:p w14:paraId="6E84F3A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III</w:t>
            </w:r>
          </w:p>
        </w:tc>
        <w:tc>
          <w:tcPr>
            <w:tcW w:w="810" w:type="dxa"/>
            <w:shd w:val="clear" w:color="auto" w:fill="auto"/>
            <w:noWrap/>
            <w:vAlign w:val="bottom"/>
            <w:hideMark/>
          </w:tcPr>
          <w:p w14:paraId="7D855B3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347</w:t>
            </w:r>
          </w:p>
        </w:tc>
      </w:tr>
      <w:tr w:rsidR="00FE461F" w:rsidRPr="005E4BEA" w14:paraId="1DB5DA73" w14:textId="77777777" w:rsidTr="00AD7DF3">
        <w:trPr>
          <w:trHeight w:val="92"/>
        </w:trPr>
        <w:tc>
          <w:tcPr>
            <w:tcW w:w="2362" w:type="dxa"/>
            <w:shd w:val="clear" w:color="auto" w:fill="auto"/>
            <w:noWrap/>
            <w:vAlign w:val="bottom"/>
            <w:hideMark/>
          </w:tcPr>
          <w:p w14:paraId="1B6B18B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SLOVENJ GRADEC</w:t>
            </w:r>
          </w:p>
        </w:tc>
        <w:tc>
          <w:tcPr>
            <w:tcW w:w="1256" w:type="dxa"/>
            <w:shd w:val="clear" w:color="auto" w:fill="auto"/>
            <w:noWrap/>
            <w:vAlign w:val="bottom"/>
            <w:hideMark/>
          </w:tcPr>
          <w:p w14:paraId="769FF58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719C1E3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0D40889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7FC4C38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E0155</w:t>
            </w:r>
          </w:p>
        </w:tc>
        <w:tc>
          <w:tcPr>
            <w:tcW w:w="831" w:type="dxa"/>
            <w:shd w:val="clear" w:color="auto" w:fill="auto"/>
            <w:noWrap/>
            <w:vAlign w:val="bottom"/>
            <w:hideMark/>
          </w:tcPr>
          <w:p w14:paraId="3A8DCE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E0155</w:t>
            </w:r>
          </w:p>
        </w:tc>
        <w:tc>
          <w:tcPr>
            <w:tcW w:w="935" w:type="dxa"/>
            <w:shd w:val="clear" w:color="auto" w:fill="auto"/>
            <w:noWrap/>
            <w:vAlign w:val="bottom"/>
            <w:hideMark/>
          </w:tcPr>
          <w:p w14:paraId="6D29E24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w:t>
            </w:r>
          </w:p>
        </w:tc>
        <w:tc>
          <w:tcPr>
            <w:tcW w:w="810" w:type="dxa"/>
            <w:shd w:val="clear" w:color="auto" w:fill="auto"/>
            <w:noWrap/>
            <w:vAlign w:val="bottom"/>
            <w:hideMark/>
          </w:tcPr>
          <w:p w14:paraId="7ADA247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w:t>
            </w:r>
          </w:p>
        </w:tc>
      </w:tr>
      <w:tr w:rsidR="00FE461F" w:rsidRPr="005E4BEA" w14:paraId="19355E98" w14:textId="77777777" w:rsidTr="00AD7DF3">
        <w:trPr>
          <w:trHeight w:val="92"/>
        </w:trPr>
        <w:tc>
          <w:tcPr>
            <w:tcW w:w="2362" w:type="dxa"/>
            <w:shd w:val="clear" w:color="auto" w:fill="auto"/>
            <w:noWrap/>
            <w:vAlign w:val="bottom"/>
            <w:hideMark/>
          </w:tcPr>
          <w:p w14:paraId="648A32E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SLOVENJ GRADEC</w:t>
            </w:r>
          </w:p>
        </w:tc>
        <w:tc>
          <w:tcPr>
            <w:tcW w:w="1256" w:type="dxa"/>
            <w:shd w:val="clear" w:color="auto" w:fill="auto"/>
            <w:noWrap/>
            <w:vAlign w:val="bottom"/>
            <w:hideMark/>
          </w:tcPr>
          <w:p w14:paraId="24D0EDC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7E3E441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35C799B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456126D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E0154</w:t>
            </w:r>
          </w:p>
        </w:tc>
        <w:tc>
          <w:tcPr>
            <w:tcW w:w="831" w:type="dxa"/>
            <w:shd w:val="clear" w:color="auto" w:fill="auto"/>
            <w:noWrap/>
            <w:vAlign w:val="bottom"/>
            <w:hideMark/>
          </w:tcPr>
          <w:p w14:paraId="3B1C281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E0154</w:t>
            </w:r>
          </w:p>
        </w:tc>
        <w:tc>
          <w:tcPr>
            <w:tcW w:w="935" w:type="dxa"/>
            <w:shd w:val="clear" w:color="auto" w:fill="auto"/>
            <w:noWrap/>
            <w:vAlign w:val="bottom"/>
            <w:hideMark/>
          </w:tcPr>
          <w:p w14:paraId="423B3C0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w:t>
            </w:r>
          </w:p>
        </w:tc>
        <w:tc>
          <w:tcPr>
            <w:tcW w:w="810" w:type="dxa"/>
            <w:shd w:val="clear" w:color="auto" w:fill="auto"/>
            <w:noWrap/>
            <w:vAlign w:val="bottom"/>
            <w:hideMark/>
          </w:tcPr>
          <w:p w14:paraId="757B609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19</w:t>
            </w:r>
          </w:p>
        </w:tc>
      </w:tr>
      <w:tr w:rsidR="00FE461F" w:rsidRPr="005E4BEA" w14:paraId="75BA900A" w14:textId="77777777" w:rsidTr="00AD7DF3">
        <w:trPr>
          <w:trHeight w:val="92"/>
        </w:trPr>
        <w:tc>
          <w:tcPr>
            <w:tcW w:w="2362" w:type="dxa"/>
            <w:shd w:val="clear" w:color="auto" w:fill="auto"/>
            <w:noWrap/>
            <w:vAlign w:val="bottom"/>
            <w:hideMark/>
          </w:tcPr>
          <w:p w14:paraId="2F7AA9B0"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TRBOVLJE</w:t>
            </w:r>
          </w:p>
        </w:tc>
        <w:tc>
          <w:tcPr>
            <w:tcW w:w="1256" w:type="dxa"/>
            <w:shd w:val="clear" w:color="auto" w:fill="auto"/>
            <w:noWrap/>
            <w:vAlign w:val="bottom"/>
            <w:hideMark/>
          </w:tcPr>
          <w:p w14:paraId="0FCC8ED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358FC58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679907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74BE124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E0156</w:t>
            </w:r>
          </w:p>
        </w:tc>
        <w:tc>
          <w:tcPr>
            <w:tcW w:w="831" w:type="dxa"/>
            <w:shd w:val="clear" w:color="auto" w:fill="auto"/>
            <w:noWrap/>
            <w:vAlign w:val="bottom"/>
            <w:hideMark/>
          </w:tcPr>
          <w:p w14:paraId="3AD0CE9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E0156</w:t>
            </w:r>
          </w:p>
        </w:tc>
        <w:tc>
          <w:tcPr>
            <w:tcW w:w="935" w:type="dxa"/>
            <w:shd w:val="clear" w:color="auto" w:fill="auto"/>
            <w:noWrap/>
            <w:vAlign w:val="bottom"/>
            <w:hideMark/>
          </w:tcPr>
          <w:p w14:paraId="77916C4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III</w:t>
            </w:r>
          </w:p>
        </w:tc>
        <w:tc>
          <w:tcPr>
            <w:tcW w:w="810" w:type="dxa"/>
            <w:shd w:val="clear" w:color="auto" w:fill="auto"/>
            <w:noWrap/>
            <w:vAlign w:val="bottom"/>
            <w:hideMark/>
          </w:tcPr>
          <w:p w14:paraId="20F5188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141</w:t>
            </w:r>
          </w:p>
        </w:tc>
      </w:tr>
      <w:tr w:rsidR="00FE461F" w:rsidRPr="005E4BEA" w14:paraId="362356D7" w14:textId="77777777" w:rsidTr="00AD7DF3">
        <w:trPr>
          <w:trHeight w:val="92"/>
        </w:trPr>
        <w:tc>
          <w:tcPr>
            <w:tcW w:w="2362" w:type="dxa"/>
            <w:shd w:val="clear" w:color="auto" w:fill="auto"/>
            <w:noWrap/>
            <w:vAlign w:val="bottom"/>
            <w:hideMark/>
          </w:tcPr>
          <w:p w14:paraId="1134B4C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TRBOVLJE</w:t>
            </w:r>
          </w:p>
        </w:tc>
        <w:tc>
          <w:tcPr>
            <w:tcW w:w="1256" w:type="dxa"/>
            <w:shd w:val="clear" w:color="auto" w:fill="auto"/>
            <w:noWrap/>
            <w:vAlign w:val="bottom"/>
            <w:hideMark/>
          </w:tcPr>
          <w:p w14:paraId="2E08654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1321271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79E6355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0F9A029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E0155</w:t>
            </w:r>
          </w:p>
        </w:tc>
        <w:tc>
          <w:tcPr>
            <w:tcW w:w="831" w:type="dxa"/>
            <w:shd w:val="clear" w:color="auto" w:fill="auto"/>
            <w:noWrap/>
            <w:vAlign w:val="bottom"/>
            <w:hideMark/>
          </w:tcPr>
          <w:p w14:paraId="2262DBA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E0155</w:t>
            </w:r>
          </w:p>
        </w:tc>
        <w:tc>
          <w:tcPr>
            <w:tcW w:w="935" w:type="dxa"/>
            <w:shd w:val="clear" w:color="auto" w:fill="auto"/>
            <w:noWrap/>
            <w:vAlign w:val="bottom"/>
            <w:hideMark/>
          </w:tcPr>
          <w:p w14:paraId="4590C23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w:t>
            </w:r>
          </w:p>
        </w:tc>
        <w:tc>
          <w:tcPr>
            <w:tcW w:w="810" w:type="dxa"/>
            <w:shd w:val="clear" w:color="auto" w:fill="auto"/>
            <w:noWrap/>
            <w:vAlign w:val="bottom"/>
            <w:hideMark/>
          </w:tcPr>
          <w:p w14:paraId="5D76EB0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w:t>
            </w:r>
          </w:p>
        </w:tc>
      </w:tr>
      <w:tr w:rsidR="00FE461F" w:rsidRPr="005E4BEA" w14:paraId="50B2C334" w14:textId="77777777" w:rsidTr="00AD7DF3">
        <w:trPr>
          <w:trHeight w:val="92"/>
        </w:trPr>
        <w:tc>
          <w:tcPr>
            <w:tcW w:w="2362" w:type="dxa"/>
            <w:shd w:val="clear" w:color="auto" w:fill="auto"/>
            <w:noWrap/>
            <w:vAlign w:val="bottom"/>
            <w:hideMark/>
          </w:tcPr>
          <w:p w14:paraId="04C7542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SB TRBOVLJE</w:t>
            </w:r>
          </w:p>
        </w:tc>
        <w:tc>
          <w:tcPr>
            <w:tcW w:w="1256" w:type="dxa"/>
            <w:shd w:val="clear" w:color="auto" w:fill="auto"/>
            <w:noWrap/>
            <w:vAlign w:val="bottom"/>
            <w:hideMark/>
          </w:tcPr>
          <w:p w14:paraId="6DF3C15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3B4D25C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19AE66C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52A8EDC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E0154</w:t>
            </w:r>
          </w:p>
        </w:tc>
        <w:tc>
          <w:tcPr>
            <w:tcW w:w="831" w:type="dxa"/>
            <w:shd w:val="clear" w:color="auto" w:fill="auto"/>
            <w:noWrap/>
            <w:vAlign w:val="bottom"/>
            <w:hideMark/>
          </w:tcPr>
          <w:p w14:paraId="35B7BCB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E0154</w:t>
            </w:r>
          </w:p>
        </w:tc>
        <w:tc>
          <w:tcPr>
            <w:tcW w:w="935" w:type="dxa"/>
            <w:shd w:val="clear" w:color="auto" w:fill="auto"/>
            <w:noWrap/>
            <w:vAlign w:val="bottom"/>
            <w:hideMark/>
          </w:tcPr>
          <w:p w14:paraId="64CECFB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w:t>
            </w:r>
          </w:p>
        </w:tc>
        <w:tc>
          <w:tcPr>
            <w:tcW w:w="810" w:type="dxa"/>
            <w:shd w:val="clear" w:color="auto" w:fill="auto"/>
            <w:noWrap/>
            <w:vAlign w:val="bottom"/>
            <w:hideMark/>
          </w:tcPr>
          <w:p w14:paraId="6D04155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11</w:t>
            </w:r>
          </w:p>
        </w:tc>
      </w:tr>
      <w:tr w:rsidR="00FE461F" w:rsidRPr="005E4BEA" w14:paraId="5C3A4181" w14:textId="77777777" w:rsidTr="00AD7DF3">
        <w:trPr>
          <w:trHeight w:val="92"/>
        </w:trPr>
        <w:tc>
          <w:tcPr>
            <w:tcW w:w="2362" w:type="dxa"/>
            <w:shd w:val="clear" w:color="auto" w:fill="auto"/>
            <w:noWrap/>
            <w:vAlign w:val="bottom"/>
            <w:hideMark/>
          </w:tcPr>
          <w:p w14:paraId="74F7889D"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LJUBLJANA</w:t>
            </w:r>
          </w:p>
        </w:tc>
        <w:tc>
          <w:tcPr>
            <w:tcW w:w="1256" w:type="dxa"/>
            <w:shd w:val="clear" w:color="auto" w:fill="auto"/>
            <w:noWrap/>
            <w:vAlign w:val="bottom"/>
            <w:hideMark/>
          </w:tcPr>
          <w:p w14:paraId="5740F05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7151E70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6E1960D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5EA616C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E0156</w:t>
            </w:r>
          </w:p>
        </w:tc>
        <w:tc>
          <w:tcPr>
            <w:tcW w:w="831" w:type="dxa"/>
            <w:shd w:val="clear" w:color="auto" w:fill="auto"/>
            <w:noWrap/>
            <w:vAlign w:val="bottom"/>
            <w:hideMark/>
          </w:tcPr>
          <w:p w14:paraId="24C4294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E0156</w:t>
            </w:r>
          </w:p>
        </w:tc>
        <w:tc>
          <w:tcPr>
            <w:tcW w:w="935" w:type="dxa"/>
            <w:shd w:val="clear" w:color="auto" w:fill="auto"/>
            <w:noWrap/>
            <w:vAlign w:val="bottom"/>
            <w:hideMark/>
          </w:tcPr>
          <w:p w14:paraId="146F8A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III</w:t>
            </w:r>
          </w:p>
        </w:tc>
        <w:tc>
          <w:tcPr>
            <w:tcW w:w="810" w:type="dxa"/>
            <w:shd w:val="clear" w:color="auto" w:fill="auto"/>
            <w:noWrap/>
            <w:vAlign w:val="bottom"/>
            <w:hideMark/>
          </w:tcPr>
          <w:p w14:paraId="161FC7A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5.423</w:t>
            </w:r>
          </w:p>
        </w:tc>
      </w:tr>
      <w:tr w:rsidR="00FE461F" w:rsidRPr="005E4BEA" w14:paraId="58913251" w14:textId="77777777" w:rsidTr="00AD7DF3">
        <w:trPr>
          <w:trHeight w:val="92"/>
        </w:trPr>
        <w:tc>
          <w:tcPr>
            <w:tcW w:w="2362" w:type="dxa"/>
            <w:shd w:val="clear" w:color="auto" w:fill="auto"/>
            <w:noWrap/>
            <w:vAlign w:val="bottom"/>
            <w:hideMark/>
          </w:tcPr>
          <w:p w14:paraId="41EFDFC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LJUBLJANA</w:t>
            </w:r>
          </w:p>
        </w:tc>
        <w:tc>
          <w:tcPr>
            <w:tcW w:w="1256" w:type="dxa"/>
            <w:shd w:val="clear" w:color="auto" w:fill="auto"/>
            <w:noWrap/>
            <w:vAlign w:val="bottom"/>
            <w:hideMark/>
          </w:tcPr>
          <w:p w14:paraId="2A68E76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15823BE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4040CC7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10F07F8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E0155</w:t>
            </w:r>
          </w:p>
        </w:tc>
        <w:tc>
          <w:tcPr>
            <w:tcW w:w="831" w:type="dxa"/>
            <w:shd w:val="clear" w:color="auto" w:fill="auto"/>
            <w:noWrap/>
            <w:vAlign w:val="bottom"/>
            <w:hideMark/>
          </w:tcPr>
          <w:p w14:paraId="7559C59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E0155</w:t>
            </w:r>
          </w:p>
        </w:tc>
        <w:tc>
          <w:tcPr>
            <w:tcW w:w="935" w:type="dxa"/>
            <w:shd w:val="clear" w:color="auto" w:fill="auto"/>
            <w:noWrap/>
            <w:vAlign w:val="bottom"/>
            <w:hideMark/>
          </w:tcPr>
          <w:p w14:paraId="0FFD563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w:t>
            </w:r>
          </w:p>
        </w:tc>
        <w:tc>
          <w:tcPr>
            <w:tcW w:w="810" w:type="dxa"/>
            <w:shd w:val="clear" w:color="auto" w:fill="auto"/>
            <w:noWrap/>
            <w:vAlign w:val="bottom"/>
            <w:hideMark/>
          </w:tcPr>
          <w:p w14:paraId="04E176A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2.236</w:t>
            </w:r>
          </w:p>
        </w:tc>
      </w:tr>
      <w:tr w:rsidR="00FE461F" w:rsidRPr="005E4BEA" w14:paraId="66101CA8" w14:textId="77777777" w:rsidTr="00AD7DF3">
        <w:trPr>
          <w:trHeight w:val="92"/>
        </w:trPr>
        <w:tc>
          <w:tcPr>
            <w:tcW w:w="2362" w:type="dxa"/>
            <w:shd w:val="clear" w:color="auto" w:fill="auto"/>
            <w:noWrap/>
            <w:vAlign w:val="bottom"/>
            <w:hideMark/>
          </w:tcPr>
          <w:p w14:paraId="554424DE"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LJUBLJANA</w:t>
            </w:r>
          </w:p>
        </w:tc>
        <w:tc>
          <w:tcPr>
            <w:tcW w:w="1256" w:type="dxa"/>
            <w:shd w:val="clear" w:color="auto" w:fill="auto"/>
            <w:noWrap/>
            <w:vAlign w:val="bottom"/>
            <w:hideMark/>
          </w:tcPr>
          <w:p w14:paraId="3247318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704358C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62B1197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3F29CD6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E0154</w:t>
            </w:r>
          </w:p>
        </w:tc>
        <w:tc>
          <w:tcPr>
            <w:tcW w:w="831" w:type="dxa"/>
            <w:shd w:val="clear" w:color="auto" w:fill="auto"/>
            <w:noWrap/>
            <w:vAlign w:val="bottom"/>
            <w:hideMark/>
          </w:tcPr>
          <w:p w14:paraId="41B9E1F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E0154</w:t>
            </w:r>
          </w:p>
        </w:tc>
        <w:tc>
          <w:tcPr>
            <w:tcW w:w="935" w:type="dxa"/>
            <w:shd w:val="clear" w:color="auto" w:fill="auto"/>
            <w:noWrap/>
            <w:vAlign w:val="bottom"/>
            <w:hideMark/>
          </w:tcPr>
          <w:p w14:paraId="131E18F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w:t>
            </w:r>
          </w:p>
        </w:tc>
        <w:tc>
          <w:tcPr>
            <w:tcW w:w="810" w:type="dxa"/>
            <w:shd w:val="clear" w:color="auto" w:fill="auto"/>
            <w:noWrap/>
            <w:vAlign w:val="bottom"/>
            <w:hideMark/>
          </w:tcPr>
          <w:p w14:paraId="04AFC47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62</w:t>
            </w:r>
          </w:p>
        </w:tc>
      </w:tr>
      <w:tr w:rsidR="00FE461F" w:rsidRPr="005E4BEA" w14:paraId="32EAD9A7" w14:textId="77777777" w:rsidTr="00AD7DF3">
        <w:trPr>
          <w:trHeight w:val="92"/>
        </w:trPr>
        <w:tc>
          <w:tcPr>
            <w:tcW w:w="2362" w:type="dxa"/>
            <w:shd w:val="clear" w:color="auto" w:fill="auto"/>
            <w:noWrap/>
            <w:vAlign w:val="bottom"/>
            <w:hideMark/>
          </w:tcPr>
          <w:p w14:paraId="132851A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UKC LJUBLJANA</w:t>
            </w:r>
          </w:p>
        </w:tc>
        <w:tc>
          <w:tcPr>
            <w:tcW w:w="1256" w:type="dxa"/>
            <w:shd w:val="clear" w:color="auto" w:fill="auto"/>
            <w:noWrap/>
            <w:vAlign w:val="bottom"/>
            <w:hideMark/>
          </w:tcPr>
          <w:p w14:paraId="0CD1D18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6860220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4B06354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4837546A"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E0619</w:t>
            </w:r>
          </w:p>
        </w:tc>
        <w:tc>
          <w:tcPr>
            <w:tcW w:w="831" w:type="dxa"/>
            <w:shd w:val="clear" w:color="auto" w:fill="auto"/>
            <w:noWrap/>
            <w:vAlign w:val="bottom"/>
            <w:hideMark/>
          </w:tcPr>
          <w:p w14:paraId="0DAE3C0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E0619</w:t>
            </w:r>
          </w:p>
        </w:tc>
        <w:tc>
          <w:tcPr>
            <w:tcW w:w="935" w:type="dxa"/>
            <w:shd w:val="clear" w:color="auto" w:fill="auto"/>
            <w:noWrap/>
            <w:vAlign w:val="bottom"/>
            <w:hideMark/>
          </w:tcPr>
          <w:p w14:paraId="7040AF81"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VI</w:t>
            </w:r>
          </w:p>
        </w:tc>
        <w:tc>
          <w:tcPr>
            <w:tcW w:w="810" w:type="dxa"/>
            <w:shd w:val="clear" w:color="auto" w:fill="auto"/>
            <w:noWrap/>
            <w:vAlign w:val="bottom"/>
            <w:hideMark/>
          </w:tcPr>
          <w:p w14:paraId="7C99CA17"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15</w:t>
            </w:r>
          </w:p>
        </w:tc>
      </w:tr>
      <w:tr w:rsidR="00FE461F" w:rsidRPr="005E4BEA" w14:paraId="7F8C6BAC" w14:textId="77777777" w:rsidTr="00AD7DF3">
        <w:trPr>
          <w:trHeight w:val="92"/>
        </w:trPr>
        <w:tc>
          <w:tcPr>
            <w:tcW w:w="2362" w:type="dxa"/>
            <w:shd w:val="clear" w:color="auto" w:fill="auto"/>
            <w:noWrap/>
            <w:vAlign w:val="bottom"/>
            <w:hideMark/>
          </w:tcPr>
          <w:p w14:paraId="76ACBAE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CELJE</w:t>
            </w:r>
          </w:p>
        </w:tc>
        <w:tc>
          <w:tcPr>
            <w:tcW w:w="1256" w:type="dxa"/>
            <w:shd w:val="clear" w:color="auto" w:fill="auto"/>
            <w:noWrap/>
            <w:vAlign w:val="bottom"/>
            <w:hideMark/>
          </w:tcPr>
          <w:p w14:paraId="5B8B049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7F3BD23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34FCA57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5B65325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E0156</w:t>
            </w:r>
          </w:p>
        </w:tc>
        <w:tc>
          <w:tcPr>
            <w:tcW w:w="831" w:type="dxa"/>
            <w:shd w:val="clear" w:color="auto" w:fill="auto"/>
            <w:noWrap/>
            <w:vAlign w:val="bottom"/>
            <w:hideMark/>
          </w:tcPr>
          <w:p w14:paraId="5448A7C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E0156</w:t>
            </w:r>
          </w:p>
        </w:tc>
        <w:tc>
          <w:tcPr>
            <w:tcW w:w="935" w:type="dxa"/>
            <w:shd w:val="clear" w:color="auto" w:fill="auto"/>
            <w:noWrap/>
            <w:vAlign w:val="bottom"/>
            <w:hideMark/>
          </w:tcPr>
          <w:p w14:paraId="0258EF9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III</w:t>
            </w:r>
          </w:p>
        </w:tc>
        <w:tc>
          <w:tcPr>
            <w:tcW w:w="810" w:type="dxa"/>
            <w:shd w:val="clear" w:color="auto" w:fill="auto"/>
            <w:noWrap/>
            <w:vAlign w:val="bottom"/>
            <w:hideMark/>
          </w:tcPr>
          <w:p w14:paraId="28EBF7C1"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w:t>
            </w:r>
          </w:p>
        </w:tc>
      </w:tr>
      <w:tr w:rsidR="00FE461F" w:rsidRPr="005E4BEA" w14:paraId="326695A8" w14:textId="77777777" w:rsidTr="00AD7DF3">
        <w:trPr>
          <w:trHeight w:val="92"/>
        </w:trPr>
        <w:tc>
          <w:tcPr>
            <w:tcW w:w="2362" w:type="dxa"/>
            <w:shd w:val="clear" w:color="auto" w:fill="auto"/>
            <w:noWrap/>
            <w:vAlign w:val="bottom"/>
            <w:hideMark/>
          </w:tcPr>
          <w:p w14:paraId="490B9E0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IZOLA OSPEDALE GENERALE ISOLA</w:t>
            </w:r>
          </w:p>
        </w:tc>
        <w:tc>
          <w:tcPr>
            <w:tcW w:w="1256" w:type="dxa"/>
            <w:shd w:val="clear" w:color="auto" w:fill="auto"/>
            <w:noWrap/>
            <w:vAlign w:val="bottom"/>
            <w:hideMark/>
          </w:tcPr>
          <w:p w14:paraId="5DBAEFE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67914315"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4AC76D3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5FB6E3F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E0156</w:t>
            </w:r>
          </w:p>
        </w:tc>
        <w:tc>
          <w:tcPr>
            <w:tcW w:w="831" w:type="dxa"/>
            <w:shd w:val="clear" w:color="auto" w:fill="auto"/>
            <w:noWrap/>
            <w:vAlign w:val="bottom"/>
            <w:hideMark/>
          </w:tcPr>
          <w:p w14:paraId="0653C7DC"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E0156</w:t>
            </w:r>
          </w:p>
        </w:tc>
        <w:tc>
          <w:tcPr>
            <w:tcW w:w="935" w:type="dxa"/>
            <w:shd w:val="clear" w:color="auto" w:fill="auto"/>
            <w:noWrap/>
            <w:vAlign w:val="bottom"/>
            <w:hideMark/>
          </w:tcPr>
          <w:p w14:paraId="5726E99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III</w:t>
            </w:r>
          </w:p>
        </w:tc>
        <w:tc>
          <w:tcPr>
            <w:tcW w:w="810" w:type="dxa"/>
            <w:shd w:val="clear" w:color="auto" w:fill="auto"/>
            <w:noWrap/>
            <w:vAlign w:val="bottom"/>
            <w:hideMark/>
          </w:tcPr>
          <w:p w14:paraId="0ADBEED8"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2.594</w:t>
            </w:r>
          </w:p>
        </w:tc>
      </w:tr>
      <w:tr w:rsidR="00FE461F" w:rsidRPr="005E4BEA" w14:paraId="6D7E4AEE" w14:textId="77777777" w:rsidTr="00AD7DF3">
        <w:trPr>
          <w:trHeight w:val="92"/>
        </w:trPr>
        <w:tc>
          <w:tcPr>
            <w:tcW w:w="2362" w:type="dxa"/>
            <w:shd w:val="clear" w:color="auto" w:fill="auto"/>
            <w:noWrap/>
            <w:vAlign w:val="bottom"/>
            <w:hideMark/>
          </w:tcPr>
          <w:p w14:paraId="248828E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SPLOŠNA BOLNIŠNICA IZOLA OSPEDALE GENERALE ISOLA</w:t>
            </w:r>
          </w:p>
        </w:tc>
        <w:tc>
          <w:tcPr>
            <w:tcW w:w="1256" w:type="dxa"/>
            <w:shd w:val="clear" w:color="auto" w:fill="auto"/>
            <w:noWrap/>
            <w:vAlign w:val="bottom"/>
            <w:hideMark/>
          </w:tcPr>
          <w:p w14:paraId="1696A5E0"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216</w:t>
            </w:r>
          </w:p>
        </w:tc>
        <w:tc>
          <w:tcPr>
            <w:tcW w:w="1218" w:type="dxa"/>
            <w:shd w:val="clear" w:color="auto" w:fill="auto"/>
            <w:noWrap/>
            <w:vAlign w:val="bottom"/>
            <w:hideMark/>
          </w:tcPr>
          <w:p w14:paraId="2C66486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225</w:t>
            </w:r>
          </w:p>
        </w:tc>
        <w:tc>
          <w:tcPr>
            <w:tcW w:w="1260" w:type="dxa"/>
            <w:shd w:val="clear" w:color="auto" w:fill="auto"/>
            <w:noWrap/>
            <w:vAlign w:val="bottom"/>
            <w:hideMark/>
          </w:tcPr>
          <w:p w14:paraId="6AF59DC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Izvajanje dializ</w:t>
            </w:r>
          </w:p>
        </w:tc>
        <w:tc>
          <w:tcPr>
            <w:tcW w:w="842" w:type="dxa"/>
            <w:shd w:val="clear" w:color="auto" w:fill="auto"/>
            <w:noWrap/>
            <w:vAlign w:val="bottom"/>
            <w:hideMark/>
          </w:tcPr>
          <w:p w14:paraId="6BB35BEC"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E0155</w:t>
            </w:r>
          </w:p>
        </w:tc>
        <w:tc>
          <w:tcPr>
            <w:tcW w:w="831" w:type="dxa"/>
            <w:shd w:val="clear" w:color="auto" w:fill="auto"/>
            <w:noWrap/>
            <w:vAlign w:val="bottom"/>
            <w:hideMark/>
          </w:tcPr>
          <w:p w14:paraId="5ADA4B3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E0155</w:t>
            </w:r>
          </w:p>
        </w:tc>
        <w:tc>
          <w:tcPr>
            <w:tcW w:w="935" w:type="dxa"/>
            <w:shd w:val="clear" w:color="auto" w:fill="auto"/>
            <w:noWrap/>
            <w:vAlign w:val="bottom"/>
            <w:hideMark/>
          </w:tcPr>
          <w:p w14:paraId="03847F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Dializa II</w:t>
            </w:r>
          </w:p>
        </w:tc>
        <w:tc>
          <w:tcPr>
            <w:tcW w:w="810" w:type="dxa"/>
            <w:shd w:val="clear" w:color="auto" w:fill="auto"/>
            <w:noWrap/>
            <w:vAlign w:val="bottom"/>
            <w:hideMark/>
          </w:tcPr>
          <w:p w14:paraId="0D0E0263"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25</w:t>
            </w:r>
          </w:p>
        </w:tc>
      </w:tr>
      <w:tr w:rsidR="00FE461F" w:rsidRPr="005E4BEA" w14:paraId="5866943D" w14:textId="77777777" w:rsidTr="00AD7DF3">
        <w:trPr>
          <w:trHeight w:val="92"/>
        </w:trPr>
        <w:tc>
          <w:tcPr>
            <w:tcW w:w="2362" w:type="dxa"/>
            <w:shd w:val="clear" w:color="auto" w:fill="auto"/>
            <w:noWrap/>
            <w:vAlign w:val="bottom"/>
            <w:hideMark/>
          </w:tcPr>
          <w:p w14:paraId="210D8ACB" w14:textId="77777777" w:rsidR="00FE461F" w:rsidRPr="005E4BEA" w:rsidRDefault="00FE461F" w:rsidP="00FE461F">
            <w:pPr>
              <w:spacing w:line="240" w:lineRule="auto"/>
              <w:jc w:val="both"/>
              <w:rPr>
                <w:rFonts w:cs="Arial"/>
                <w:b/>
                <w:bCs/>
                <w:color w:val="808080" w:themeColor="background1" w:themeShade="80"/>
                <w:szCs w:val="20"/>
              </w:rPr>
            </w:pPr>
          </w:p>
        </w:tc>
        <w:tc>
          <w:tcPr>
            <w:tcW w:w="1256" w:type="dxa"/>
            <w:shd w:val="clear" w:color="auto" w:fill="auto"/>
            <w:noWrap/>
            <w:vAlign w:val="bottom"/>
            <w:hideMark/>
          </w:tcPr>
          <w:p w14:paraId="1F924AD1" w14:textId="77777777" w:rsidR="00FE461F" w:rsidRPr="005E4BEA" w:rsidRDefault="00FE461F" w:rsidP="00FE461F">
            <w:pPr>
              <w:spacing w:line="240" w:lineRule="auto"/>
              <w:jc w:val="both"/>
              <w:rPr>
                <w:rFonts w:cs="Arial"/>
                <w:color w:val="808080" w:themeColor="background1" w:themeShade="80"/>
                <w:szCs w:val="20"/>
              </w:rPr>
            </w:pPr>
          </w:p>
        </w:tc>
        <w:tc>
          <w:tcPr>
            <w:tcW w:w="1218" w:type="dxa"/>
            <w:shd w:val="clear" w:color="auto" w:fill="auto"/>
            <w:noWrap/>
            <w:vAlign w:val="bottom"/>
            <w:hideMark/>
          </w:tcPr>
          <w:p w14:paraId="4A4CE8D3" w14:textId="77777777" w:rsidR="00FE461F" w:rsidRPr="005E4BEA" w:rsidRDefault="00FE461F" w:rsidP="00FE461F">
            <w:pPr>
              <w:spacing w:line="240" w:lineRule="auto"/>
              <w:jc w:val="both"/>
              <w:rPr>
                <w:rFonts w:cs="Arial"/>
                <w:color w:val="808080" w:themeColor="background1" w:themeShade="80"/>
                <w:szCs w:val="20"/>
              </w:rPr>
            </w:pPr>
          </w:p>
        </w:tc>
        <w:tc>
          <w:tcPr>
            <w:tcW w:w="1260" w:type="dxa"/>
            <w:shd w:val="clear" w:color="auto" w:fill="auto"/>
            <w:noWrap/>
            <w:vAlign w:val="bottom"/>
            <w:hideMark/>
          </w:tcPr>
          <w:p w14:paraId="038CC9A3" w14:textId="77777777" w:rsidR="00FE461F" w:rsidRPr="005E4BEA" w:rsidRDefault="00FE461F" w:rsidP="00FE461F">
            <w:pPr>
              <w:spacing w:line="240" w:lineRule="auto"/>
              <w:jc w:val="both"/>
              <w:rPr>
                <w:rFonts w:cs="Arial"/>
                <w:color w:val="808080" w:themeColor="background1" w:themeShade="80"/>
                <w:szCs w:val="20"/>
              </w:rPr>
            </w:pPr>
          </w:p>
        </w:tc>
        <w:tc>
          <w:tcPr>
            <w:tcW w:w="842" w:type="dxa"/>
            <w:shd w:val="clear" w:color="auto" w:fill="auto"/>
            <w:noWrap/>
            <w:vAlign w:val="bottom"/>
            <w:hideMark/>
          </w:tcPr>
          <w:p w14:paraId="4B2023AB" w14:textId="77777777" w:rsidR="00FE461F" w:rsidRPr="005E4BEA" w:rsidRDefault="00FE461F" w:rsidP="00FE461F">
            <w:pPr>
              <w:spacing w:line="240" w:lineRule="auto"/>
              <w:jc w:val="both"/>
              <w:rPr>
                <w:rFonts w:cs="Arial"/>
                <w:color w:val="808080" w:themeColor="background1" w:themeShade="80"/>
                <w:szCs w:val="20"/>
              </w:rPr>
            </w:pPr>
          </w:p>
        </w:tc>
        <w:tc>
          <w:tcPr>
            <w:tcW w:w="831" w:type="dxa"/>
            <w:shd w:val="clear" w:color="auto" w:fill="auto"/>
            <w:noWrap/>
            <w:vAlign w:val="bottom"/>
            <w:hideMark/>
          </w:tcPr>
          <w:p w14:paraId="2B052C77" w14:textId="77777777" w:rsidR="00FE461F" w:rsidRPr="005E4BEA" w:rsidRDefault="00FE461F" w:rsidP="00FE461F">
            <w:pPr>
              <w:spacing w:line="240" w:lineRule="auto"/>
              <w:jc w:val="both"/>
              <w:rPr>
                <w:rFonts w:cs="Arial"/>
                <w:color w:val="808080" w:themeColor="background1" w:themeShade="80"/>
                <w:szCs w:val="20"/>
              </w:rPr>
            </w:pPr>
          </w:p>
        </w:tc>
        <w:tc>
          <w:tcPr>
            <w:tcW w:w="935" w:type="dxa"/>
            <w:shd w:val="clear" w:color="auto" w:fill="auto"/>
            <w:noWrap/>
            <w:vAlign w:val="bottom"/>
            <w:hideMark/>
          </w:tcPr>
          <w:p w14:paraId="0087A6CE" w14:textId="77777777" w:rsidR="00FE461F" w:rsidRPr="005E4BEA" w:rsidRDefault="00FE461F" w:rsidP="00FE461F">
            <w:pPr>
              <w:spacing w:line="240" w:lineRule="auto"/>
              <w:jc w:val="both"/>
              <w:rPr>
                <w:rFonts w:cs="Arial"/>
                <w:color w:val="808080" w:themeColor="background1" w:themeShade="80"/>
                <w:szCs w:val="20"/>
              </w:rPr>
            </w:pPr>
          </w:p>
        </w:tc>
        <w:tc>
          <w:tcPr>
            <w:tcW w:w="810" w:type="dxa"/>
            <w:shd w:val="clear" w:color="auto" w:fill="auto"/>
            <w:noWrap/>
            <w:vAlign w:val="bottom"/>
            <w:hideMark/>
          </w:tcPr>
          <w:p w14:paraId="6F16CA94"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11.052</w:t>
            </w:r>
          </w:p>
        </w:tc>
      </w:tr>
    </w:tbl>
    <w:p w14:paraId="7251D2EE" w14:textId="77777777" w:rsidR="00FE461F" w:rsidRPr="005E4BEA" w:rsidRDefault="00FE461F" w:rsidP="00FE461F">
      <w:pPr>
        <w:spacing w:line="240" w:lineRule="auto"/>
        <w:jc w:val="both"/>
        <w:rPr>
          <w:rFonts w:cs="Arial"/>
          <w:i/>
          <w:iCs/>
          <w:color w:val="808080" w:themeColor="background1" w:themeShade="80"/>
          <w:szCs w:val="20"/>
        </w:rPr>
      </w:pPr>
    </w:p>
    <w:p w14:paraId="4815EE7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0,6 mio €</w:t>
      </w:r>
    </w:p>
    <w:p w14:paraId="0C695A2B" w14:textId="039437B3" w:rsidR="00FE461F" w:rsidRPr="005E4BEA" w:rsidRDefault="00FE461F" w:rsidP="00FE461F">
      <w:pPr>
        <w:spacing w:line="240" w:lineRule="auto"/>
        <w:jc w:val="both"/>
        <w:rPr>
          <w:rFonts w:cs="Arial"/>
          <w:i/>
          <w:iCs/>
          <w:color w:val="808080" w:themeColor="background1" w:themeShade="80"/>
          <w:szCs w:val="20"/>
        </w:rPr>
      </w:pPr>
    </w:p>
    <w:p w14:paraId="682982C6" w14:textId="1B8AE157" w:rsidR="00AD7DF3" w:rsidRPr="005E4BEA" w:rsidRDefault="00AD7DF3" w:rsidP="00FE461F">
      <w:pPr>
        <w:spacing w:line="240" w:lineRule="auto"/>
        <w:jc w:val="both"/>
        <w:rPr>
          <w:rFonts w:cs="Arial"/>
          <w:i/>
          <w:iCs/>
          <w:color w:val="808080" w:themeColor="background1" w:themeShade="80"/>
          <w:szCs w:val="20"/>
        </w:rPr>
      </w:pPr>
    </w:p>
    <w:p w14:paraId="4D8DDE91" w14:textId="77777777" w:rsidR="00AD7DF3" w:rsidRPr="005E4BEA" w:rsidRDefault="00AD7DF3" w:rsidP="00AD7DF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56A03D49" w14:textId="77777777" w:rsidR="00AD7DF3" w:rsidRPr="005E4BEA" w:rsidRDefault="00AD7DF3" w:rsidP="00AD7DF3">
      <w:pPr>
        <w:spacing w:line="0" w:lineRule="atLeast"/>
        <w:jc w:val="both"/>
        <w:rPr>
          <w:rFonts w:eastAsia="Arial Narrow" w:cs="Arial"/>
          <w:szCs w:val="20"/>
          <w:lang w:eastAsia="sl-SI"/>
        </w:rPr>
      </w:pPr>
    </w:p>
    <w:p w14:paraId="5C5C06D7" w14:textId="69D4E08C" w:rsidR="00AD7DF3" w:rsidRPr="005E4BEA" w:rsidRDefault="00AD7DF3" w:rsidP="00AD7DF3">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517F4078" w14:textId="77777777" w:rsidR="00AD7DF3" w:rsidRPr="005E4BEA" w:rsidRDefault="00AD7DF3" w:rsidP="00AD7DF3">
      <w:pPr>
        <w:spacing w:line="0" w:lineRule="atLeast"/>
        <w:contextualSpacing/>
        <w:jc w:val="both"/>
        <w:rPr>
          <w:rFonts w:eastAsiaTheme="minorHAnsi" w:cs="Arial"/>
          <w:bCs/>
          <w:szCs w:val="20"/>
        </w:rPr>
      </w:pPr>
    </w:p>
    <w:p w14:paraId="19D917AF" w14:textId="77777777" w:rsidR="00AD7DF3" w:rsidRPr="005E4BEA" w:rsidRDefault="00AD7DF3" w:rsidP="00AD7DF3">
      <w:pPr>
        <w:spacing w:line="240" w:lineRule="auto"/>
        <w:jc w:val="both"/>
        <w:rPr>
          <w:rFonts w:eastAsia="Calibri" w:cs="Arial"/>
          <w:i/>
          <w:iCs/>
          <w:color w:val="7F7F7F"/>
          <w:szCs w:val="20"/>
        </w:rPr>
      </w:pPr>
    </w:p>
    <w:p w14:paraId="386E511E" w14:textId="3C660954" w:rsidR="00AD7DF3" w:rsidRPr="005E4BEA" w:rsidRDefault="00AD7DF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w:t>
      </w:r>
      <w:r w:rsidR="00DC2305" w:rsidRPr="005E4BEA">
        <w:rPr>
          <w:rFonts w:ascii="Arial" w:eastAsia="Arial Narrow" w:hAnsi="Arial" w:cs="Arial"/>
          <w:sz w:val="20"/>
        </w:rPr>
        <w:t>2</w:t>
      </w:r>
      <w:r w:rsidRPr="005E4BEA">
        <w:rPr>
          <w:rFonts w:ascii="Arial" w:eastAsia="Arial Narrow" w:hAnsi="Arial" w:cs="Arial"/>
          <w:sz w:val="20"/>
        </w:rPr>
        <w:t>)</w:t>
      </w:r>
    </w:p>
    <w:p w14:paraId="7B2ABCBE" w14:textId="77777777" w:rsidR="00AD7DF3" w:rsidRPr="005E4BEA" w:rsidRDefault="00AD7DF3" w:rsidP="00AD7DF3">
      <w:pPr>
        <w:spacing w:line="240" w:lineRule="auto"/>
        <w:jc w:val="both"/>
        <w:rPr>
          <w:rFonts w:eastAsia="Arial Narrow" w:cs="Arial"/>
          <w:b/>
          <w:szCs w:val="20"/>
        </w:rPr>
      </w:pPr>
    </w:p>
    <w:p w14:paraId="3959C007" w14:textId="51087747" w:rsidR="00FE461F" w:rsidRPr="005E4BEA" w:rsidRDefault="00AD7DF3"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w:t>
      </w:r>
      <w:r w:rsidR="00E708CF" w:rsidRPr="005E4BEA">
        <w:rPr>
          <w:rFonts w:cs="Arial"/>
          <w:bCs/>
          <w:szCs w:val="20"/>
        </w:rPr>
        <w:t xml:space="preserve">, </w:t>
      </w:r>
      <w:r w:rsidR="00FE461F" w:rsidRPr="005E4BEA">
        <w:rPr>
          <w:rFonts w:cs="Arial"/>
          <w:bCs/>
          <w:szCs w:val="20"/>
        </w:rPr>
        <w:t>nov standard 327 011 Otroško šolski dispanzer – preventiva za študente</w:t>
      </w:r>
    </w:p>
    <w:p w14:paraId="669FD95B" w14:textId="77777777" w:rsidR="00E708CF" w:rsidRPr="005E4BEA" w:rsidRDefault="00E708CF" w:rsidP="00FE461F">
      <w:pPr>
        <w:spacing w:line="240" w:lineRule="auto"/>
        <w:jc w:val="both"/>
        <w:rPr>
          <w:rFonts w:cs="Arial"/>
          <w:bCs/>
          <w:szCs w:val="20"/>
        </w:rPr>
      </w:pPr>
    </w:p>
    <w:p w14:paraId="4328A4BC" w14:textId="4CD4B32A" w:rsidR="00FE461F" w:rsidRPr="005E4BEA" w:rsidRDefault="00FE461F" w:rsidP="00FE461F">
      <w:pPr>
        <w:spacing w:line="240" w:lineRule="auto"/>
        <w:jc w:val="both"/>
        <w:rPr>
          <w:rFonts w:cs="Arial"/>
          <w:iCs/>
          <w:szCs w:val="20"/>
        </w:rPr>
      </w:pPr>
      <w:r w:rsidRPr="005E4BEA">
        <w:rPr>
          <w:rFonts w:cs="Arial"/>
          <w:iCs/>
          <w:szCs w:val="20"/>
        </w:rPr>
        <w:lastRenderedPageBreak/>
        <w:t>NOSILEC LABORATORIJSKE MEDICINE se prizna 1 delavec iz ur. Temu sorazmerno se poveča administrativno-tehnični kader</w:t>
      </w:r>
    </w:p>
    <w:p w14:paraId="16EA30F8" w14:textId="77777777" w:rsidR="00E708CF" w:rsidRPr="005E4BEA" w:rsidRDefault="00E708CF" w:rsidP="00FE461F">
      <w:pPr>
        <w:spacing w:line="240" w:lineRule="auto"/>
        <w:jc w:val="both"/>
        <w:rPr>
          <w:rFonts w:cs="Arial"/>
          <w:iCs/>
          <w:szCs w:val="20"/>
        </w:rPr>
      </w:pPr>
    </w:p>
    <w:p w14:paraId="0944921F"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26A6703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Preventivni pregledi študentov se razlikujejo od preventivnih pregledov šolske mladine. Študenti sodijo med odraslo populacijo, zato so v primeru preventivnega pregleda za vsakega študenta vključene tudi laboratorijske preiskave, in sicer urinske in hematološke preiskave, pri čemer konstantno nastajajo stroški, ki jih obstoječi, neustrezni standard (Dispanzer za otroke in šolarje – preventiva) vsebinsko in finančno ne pokriva, saj vključuje le 0,33 nosilca laboratorijske medicine.</w:t>
      </w:r>
    </w:p>
    <w:p w14:paraId="5A2C270D" w14:textId="77777777" w:rsidR="00FE461F" w:rsidRPr="005E4BEA" w:rsidRDefault="00FE461F" w:rsidP="00FE461F">
      <w:pPr>
        <w:spacing w:line="240" w:lineRule="auto"/>
        <w:jc w:val="both"/>
        <w:rPr>
          <w:rFonts w:cs="Arial"/>
          <w:i/>
          <w:iCs/>
          <w:color w:val="808080" w:themeColor="background1" w:themeShade="80"/>
          <w:szCs w:val="20"/>
        </w:rPr>
      </w:pPr>
    </w:p>
    <w:p w14:paraId="6AE31096" w14:textId="77777777" w:rsidR="00FE461F" w:rsidRPr="005E4BEA" w:rsidRDefault="00FE461F" w:rsidP="00FE461F">
      <w:pPr>
        <w:spacing w:line="240" w:lineRule="auto"/>
        <w:jc w:val="both"/>
        <w:rPr>
          <w:rFonts w:cs="Arial"/>
          <w:i/>
          <w:iCs/>
          <w:color w:val="808080" w:themeColor="background1" w:themeShade="80"/>
          <w:szCs w:val="20"/>
        </w:rPr>
      </w:pPr>
      <w:proofErr w:type="spellStart"/>
      <w:r w:rsidRPr="005E4BEA">
        <w:rPr>
          <w:rFonts w:cs="Arial"/>
          <w:i/>
          <w:iCs/>
          <w:color w:val="808080" w:themeColor="background1" w:themeShade="80"/>
          <w:szCs w:val="20"/>
        </w:rPr>
        <w:t>FinanČna</w:t>
      </w:r>
      <w:proofErr w:type="spellEnd"/>
      <w:r w:rsidRPr="005E4BEA">
        <w:rPr>
          <w:rFonts w:cs="Arial"/>
          <w:i/>
          <w:iCs/>
          <w:color w:val="808080" w:themeColor="background1" w:themeShade="80"/>
          <w:szCs w:val="20"/>
        </w:rPr>
        <w:t xml:space="preserve"> ocena: 0,03 mio €</w:t>
      </w:r>
    </w:p>
    <w:p w14:paraId="240035CB" w14:textId="0C469FCA" w:rsidR="00FE461F" w:rsidRPr="005E4BEA" w:rsidRDefault="00FE461F" w:rsidP="00FE461F">
      <w:pPr>
        <w:spacing w:line="240" w:lineRule="auto"/>
        <w:jc w:val="both"/>
        <w:rPr>
          <w:rFonts w:cs="Arial"/>
          <w:i/>
          <w:iCs/>
          <w:color w:val="808080" w:themeColor="background1" w:themeShade="80"/>
          <w:szCs w:val="20"/>
        </w:rPr>
      </w:pPr>
    </w:p>
    <w:p w14:paraId="0C6CB591" w14:textId="417E4375" w:rsidR="00E708CF" w:rsidRPr="005E4BEA" w:rsidRDefault="00E708CF" w:rsidP="00FE461F">
      <w:pPr>
        <w:spacing w:line="240" w:lineRule="auto"/>
        <w:jc w:val="both"/>
        <w:rPr>
          <w:rFonts w:cs="Arial"/>
          <w:i/>
          <w:iCs/>
          <w:color w:val="808080" w:themeColor="background1" w:themeShade="80"/>
          <w:szCs w:val="20"/>
        </w:rPr>
      </w:pPr>
    </w:p>
    <w:p w14:paraId="185A75DE"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168864F" w14:textId="77777777" w:rsidR="00E708CF" w:rsidRPr="005E4BEA" w:rsidRDefault="00E708CF" w:rsidP="00E708CF">
      <w:pPr>
        <w:spacing w:line="0" w:lineRule="atLeast"/>
        <w:jc w:val="both"/>
        <w:rPr>
          <w:rFonts w:eastAsia="Arial Narrow" w:cs="Arial"/>
          <w:szCs w:val="20"/>
          <w:lang w:eastAsia="sl-SI"/>
        </w:rPr>
      </w:pPr>
    </w:p>
    <w:p w14:paraId="01F57B8A" w14:textId="2C6F2C04" w:rsidR="00E708CF" w:rsidRPr="005E4BEA" w:rsidRDefault="00E708CF" w:rsidP="00E708C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Pri</w:t>
      </w:r>
      <w:r w:rsidR="00910B7A" w:rsidRPr="005E4BEA">
        <w:rPr>
          <w:rFonts w:eastAsia="Arial Narrow" w:cs="Arial"/>
          <w:bCs/>
          <w:szCs w:val="20"/>
        </w:rPr>
        <w:t>ll</w:t>
      </w:r>
      <w:r w:rsidRPr="005E4BEA">
        <w:rPr>
          <w:rFonts w:eastAsia="Arial Narrow" w:cs="Arial"/>
          <w:bCs/>
          <w:szCs w:val="20"/>
        </w:rPr>
        <w:t>oga</w:t>
      </w:r>
      <w:proofErr w:type="spellEnd"/>
      <w:r w:rsidRPr="005E4BEA">
        <w:rPr>
          <w:rFonts w:eastAsia="Arial Narrow" w:cs="Arial"/>
          <w:bCs/>
          <w:szCs w:val="20"/>
        </w:rPr>
        <w:t xml:space="preserve"> I </w:t>
      </w:r>
      <w:r w:rsidRPr="005E4BEA">
        <w:rPr>
          <w:rFonts w:eastAsiaTheme="minorHAnsi" w:cs="Arial"/>
          <w:bCs/>
          <w:szCs w:val="20"/>
        </w:rPr>
        <w:t>Splošnega dogovora ne spremeni.</w:t>
      </w:r>
    </w:p>
    <w:p w14:paraId="419113C1" w14:textId="77777777" w:rsidR="00E708CF" w:rsidRPr="005E4BEA" w:rsidRDefault="00E708CF" w:rsidP="00E708CF">
      <w:pPr>
        <w:spacing w:line="0" w:lineRule="atLeast"/>
        <w:contextualSpacing/>
        <w:jc w:val="both"/>
        <w:rPr>
          <w:rFonts w:eastAsiaTheme="minorHAnsi" w:cs="Arial"/>
          <w:bCs/>
          <w:szCs w:val="20"/>
        </w:rPr>
      </w:pPr>
    </w:p>
    <w:p w14:paraId="75AFBCE9" w14:textId="77777777" w:rsidR="00E708CF" w:rsidRPr="005E4BEA" w:rsidRDefault="00E708CF" w:rsidP="00E708CF">
      <w:pPr>
        <w:spacing w:line="240" w:lineRule="auto"/>
        <w:jc w:val="both"/>
        <w:rPr>
          <w:rFonts w:eastAsia="Calibri" w:cs="Arial"/>
          <w:i/>
          <w:iCs/>
          <w:color w:val="7F7F7F"/>
          <w:szCs w:val="20"/>
        </w:rPr>
      </w:pPr>
    </w:p>
    <w:p w14:paraId="71EF39C4" w14:textId="30D3828A"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(93)</w:t>
      </w:r>
    </w:p>
    <w:p w14:paraId="01880F9D" w14:textId="77777777" w:rsidR="00E708CF" w:rsidRPr="005E4BEA" w:rsidRDefault="00E708CF" w:rsidP="00E708CF">
      <w:pPr>
        <w:spacing w:line="240" w:lineRule="auto"/>
        <w:jc w:val="both"/>
        <w:rPr>
          <w:rFonts w:eastAsia="Arial Narrow" w:cs="Arial"/>
          <w:b/>
          <w:szCs w:val="20"/>
        </w:rPr>
      </w:pPr>
    </w:p>
    <w:p w14:paraId="48943011" w14:textId="47CD86DE" w:rsidR="00FE461F" w:rsidRPr="005E4BEA" w:rsidRDefault="00E708CF"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 xml:space="preserve">Prilogi I, </w:t>
      </w:r>
      <w:r w:rsidR="00FE461F" w:rsidRPr="005E4BEA">
        <w:rPr>
          <w:rFonts w:cs="Arial"/>
          <w:bCs/>
          <w:szCs w:val="20"/>
        </w:rPr>
        <w:t xml:space="preserve">v standardih: </w:t>
      </w:r>
    </w:p>
    <w:p w14:paraId="7804E8E5" w14:textId="77777777" w:rsidR="00FE461F" w:rsidRPr="005E4BEA" w:rsidRDefault="00FE461F" w:rsidP="00FE461F">
      <w:pPr>
        <w:spacing w:line="240" w:lineRule="auto"/>
        <w:jc w:val="both"/>
        <w:rPr>
          <w:rFonts w:cs="Arial"/>
          <w:bCs/>
          <w:szCs w:val="20"/>
        </w:rPr>
      </w:pPr>
      <w:r w:rsidRPr="005E4BEA">
        <w:rPr>
          <w:rFonts w:cs="Arial"/>
          <w:bCs/>
          <w:szCs w:val="20"/>
        </w:rPr>
        <w:t xml:space="preserve">216 225 - SPEC-DIALIZA I , </w:t>
      </w:r>
    </w:p>
    <w:p w14:paraId="6F678888" w14:textId="77777777" w:rsidR="00FE461F" w:rsidRPr="005E4BEA" w:rsidRDefault="00FE461F" w:rsidP="00FE461F">
      <w:pPr>
        <w:spacing w:line="240" w:lineRule="auto"/>
        <w:jc w:val="both"/>
        <w:rPr>
          <w:rFonts w:cs="Arial"/>
          <w:bCs/>
          <w:szCs w:val="20"/>
        </w:rPr>
      </w:pPr>
      <w:r w:rsidRPr="005E4BEA">
        <w:rPr>
          <w:rFonts w:cs="Arial"/>
          <w:bCs/>
          <w:szCs w:val="20"/>
        </w:rPr>
        <w:t xml:space="preserve">224 241 - SPEC – PSIHIATRIJA, </w:t>
      </w:r>
    </w:p>
    <w:p w14:paraId="71EDC69C" w14:textId="7CCA5988" w:rsidR="00FE461F" w:rsidRPr="005E4BEA" w:rsidRDefault="00FE461F" w:rsidP="00FE461F">
      <w:pPr>
        <w:spacing w:line="240" w:lineRule="auto"/>
        <w:jc w:val="both"/>
        <w:rPr>
          <w:rFonts w:cs="Arial"/>
          <w:bCs/>
          <w:szCs w:val="20"/>
        </w:rPr>
      </w:pPr>
      <w:r w:rsidRPr="005E4BEA">
        <w:rPr>
          <w:rFonts w:cs="Arial"/>
          <w:bCs/>
          <w:szCs w:val="20"/>
        </w:rPr>
        <w:t>302 004 -ANTIKOAGULANTNA</w:t>
      </w:r>
    </w:p>
    <w:p w14:paraId="6A1683C7" w14:textId="77777777" w:rsidR="00E708CF" w:rsidRPr="005E4BEA" w:rsidRDefault="00E708CF" w:rsidP="00FE461F">
      <w:pPr>
        <w:spacing w:line="240" w:lineRule="auto"/>
        <w:jc w:val="both"/>
        <w:rPr>
          <w:rFonts w:cs="Arial"/>
          <w:bCs/>
          <w:szCs w:val="20"/>
        </w:rPr>
      </w:pPr>
    </w:p>
    <w:p w14:paraId="49E93C97" w14:textId="79D9BA5A" w:rsidR="00FE461F" w:rsidRPr="005E4BEA" w:rsidRDefault="00FE461F" w:rsidP="00FE461F">
      <w:pPr>
        <w:spacing w:line="240" w:lineRule="auto"/>
        <w:jc w:val="both"/>
        <w:rPr>
          <w:rFonts w:cs="Arial"/>
          <w:szCs w:val="20"/>
        </w:rPr>
      </w:pPr>
      <w:r w:rsidRPr="005E4BEA">
        <w:rPr>
          <w:rFonts w:cs="Arial"/>
          <w:bCs/>
          <w:szCs w:val="20"/>
        </w:rPr>
        <w:t>spremeni sestava zahtevanega kadra, tako, da se tehnika zdravstvene</w:t>
      </w:r>
      <w:r w:rsidRPr="005E4BEA">
        <w:rPr>
          <w:rFonts w:cs="Arial"/>
          <w:szCs w:val="20"/>
        </w:rPr>
        <w:t xml:space="preserve"> nege nadomesti z diplomirano medicinsko sestro/višjo medicinsko sestro. Temu sorazmerno se poveča administrativno-tehnični kader.</w:t>
      </w:r>
    </w:p>
    <w:p w14:paraId="13C658AE" w14:textId="77777777" w:rsidR="00FE461F" w:rsidRPr="005E4BEA" w:rsidRDefault="00FE461F" w:rsidP="00FE461F">
      <w:pPr>
        <w:spacing w:line="240" w:lineRule="auto"/>
        <w:jc w:val="both"/>
        <w:rPr>
          <w:rFonts w:cs="Arial"/>
          <w:szCs w:val="20"/>
        </w:rPr>
      </w:pPr>
    </w:p>
    <w:p w14:paraId="3B44CD4C"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5984BE6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Standarde je potrebno dopolniti z DMS glede na dejansko kadrovsko zasedbo izvajanja teh storitev. Iz dokumenta Poklicne kompetence in aktivnosti izvajalcev v dejavnosti zdravstvene nege, maj 2019 izhaja, da srednja medicinska sestra ni več kompetentna za opravljanje vseh del, nalog in poklicnih aktivnosti. </w:t>
      </w:r>
    </w:p>
    <w:p w14:paraId="5488DDB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Financiranje stroškov dela v navedenih standardih temelji na delovnem mestu srednje medicinske sestre, kar pa glede na sprejete Poklicne kompetence in aktivnosti izvajalcev v dejavnosti zdravstvene nege ni več ustrezno. </w:t>
      </w:r>
    </w:p>
    <w:p w14:paraId="21AF8C94" w14:textId="45B8137F"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skladu s 38. členom Zakona o spremembah in dopolnitvah Zakona o zdravstveni dejavnosti so izvajalci na delovnih mestih omenjenih standardov prilagodili sistematizacijo delovnih mest zaposlenim in iz prvega, drugega in tretjega odstavka ponudi sklenitev pogodbe o zaposlitvi za delovno mesto diplomirane medicinske sestre, zaposlenim iz tretjega odstavka tega člena pa tudi pogodbo o izobraževanju ob delu so. Nepokrit strošek, ki ga s tem imajo izvajalci znaša 0,95 mio €.</w:t>
      </w:r>
    </w:p>
    <w:p w14:paraId="41D0BAD1" w14:textId="7F9BA8EE" w:rsidR="00E708CF" w:rsidRPr="005E4BEA" w:rsidRDefault="00E708CF" w:rsidP="00FE461F">
      <w:pPr>
        <w:spacing w:line="240" w:lineRule="auto"/>
        <w:jc w:val="both"/>
        <w:rPr>
          <w:rFonts w:cs="Arial"/>
          <w:i/>
          <w:iCs/>
          <w:color w:val="808080" w:themeColor="background1" w:themeShade="80"/>
          <w:szCs w:val="20"/>
        </w:rPr>
      </w:pPr>
    </w:p>
    <w:p w14:paraId="11ACBDD5" w14:textId="2AFB4229" w:rsidR="00E708CF" w:rsidRPr="005E4BEA" w:rsidRDefault="00E708CF" w:rsidP="00FE461F">
      <w:pPr>
        <w:spacing w:line="240" w:lineRule="auto"/>
        <w:jc w:val="both"/>
        <w:rPr>
          <w:rFonts w:cs="Arial"/>
          <w:i/>
          <w:iCs/>
          <w:color w:val="808080" w:themeColor="background1" w:themeShade="80"/>
          <w:szCs w:val="20"/>
        </w:rPr>
      </w:pPr>
    </w:p>
    <w:p w14:paraId="3FAA3722"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0011EB79" w14:textId="77777777" w:rsidR="00E708CF" w:rsidRPr="005E4BEA" w:rsidRDefault="00E708CF" w:rsidP="00E708CF">
      <w:pPr>
        <w:spacing w:line="0" w:lineRule="atLeast"/>
        <w:jc w:val="both"/>
        <w:rPr>
          <w:rFonts w:eastAsia="Arial Narrow" w:cs="Arial"/>
          <w:szCs w:val="20"/>
          <w:lang w:eastAsia="sl-SI"/>
        </w:rPr>
      </w:pPr>
    </w:p>
    <w:p w14:paraId="4A832572" w14:textId="3FF87057" w:rsidR="00E708CF" w:rsidRPr="005E4BEA" w:rsidRDefault="00E708CF" w:rsidP="00E708C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244071DD" w14:textId="77777777" w:rsidR="00E708CF" w:rsidRPr="005E4BEA" w:rsidRDefault="00E708CF" w:rsidP="00E708CF">
      <w:pPr>
        <w:spacing w:line="0" w:lineRule="atLeast"/>
        <w:contextualSpacing/>
        <w:jc w:val="both"/>
        <w:rPr>
          <w:rFonts w:eastAsiaTheme="minorHAnsi" w:cs="Arial"/>
          <w:bCs/>
          <w:szCs w:val="20"/>
        </w:rPr>
      </w:pPr>
    </w:p>
    <w:p w14:paraId="575CFE88" w14:textId="77777777" w:rsidR="00E708CF" w:rsidRPr="005E4BEA" w:rsidRDefault="00E708CF" w:rsidP="00E708CF">
      <w:pPr>
        <w:spacing w:line="240" w:lineRule="auto"/>
        <w:jc w:val="both"/>
        <w:rPr>
          <w:rFonts w:eastAsia="Calibri" w:cs="Arial"/>
          <w:i/>
          <w:iCs/>
          <w:color w:val="7F7F7F"/>
          <w:szCs w:val="20"/>
        </w:rPr>
      </w:pPr>
    </w:p>
    <w:p w14:paraId="259D79AE" w14:textId="3FD1DD03"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(94)</w:t>
      </w:r>
    </w:p>
    <w:p w14:paraId="2551CC9F" w14:textId="77777777" w:rsidR="00E708CF" w:rsidRPr="005E4BEA" w:rsidRDefault="00E708CF" w:rsidP="00E708CF">
      <w:pPr>
        <w:spacing w:line="240" w:lineRule="auto"/>
        <w:jc w:val="both"/>
        <w:rPr>
          <w:rFonts w:eastAsia="Arial Narrow" w:cs="Arial"/>
          <w:b/>
          <w:szCs w:val="20"/>
        </w:rPr>
      </w:pPr>
    </w:p>
    <w:p w14:paraId="25E4B152" w14:textId="1D7FC510" w:rsidR="00FE461F" w:rsidRPr="005E4BEA" w:rsidRDefault="00E708CF"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 doda</w:t>
      </w:r>
      <w:r w:rsidR="00FE461F" w:rsidRPr="005E4BEA">
        <w:rPr>
          <w:rFonts w:cs="Arial"/>
          <w:bCs/>
          <w:szCs w:val="20"/>
        </w:rPr>
        <w:t xml:space="preserve"> nov standard xxx </w:t>
      </w:r>
      <w:proofErr w:type="spellStart"/>
      <w:r w:rsidR="00FE461F" w:rsidRPr="005E4BEA">
        <w:rPr>
          <w:rFonts w:cs="Arial"/>
          <w:bCs/>
          <w:szCs w:val="20"/>
        </w:rPr>
        <w:t>xxx</w:t>
      </w:r>
      <w:proofErr w:type="spellEnd"/>
      <w:r w:rsidR="00FE461F" w:rsidRPr="005E4BEA">
        <w:rPr>
          <w:rFonts w:cs="Arial"/>
          <w:bCs/>
          <w:szCs w:val="20"/>
        </w:rPr>
        <w:t xml:space="preserve"> SIVA CONA v UC:</w:t>
      </w:r>
    </w:p>
    <w:p w14:paraId="51735D39" w14:textId="77777777" w:rsidR="00FE461F" w:rsidRPr="005E4BEA" w:rsidRDefault="00FE461F" w:rsidP="00FE461F">
      <w:pPr>
        <w:spacing w:line="240" w:lineRule="auto"/>
        <w:jc w:val="both"/>
        <w:rPr>
          <w:rFonts w:cs="Arial"/>
          <w:szCs w:val="20"/>
        </w:rPr>
      </w:pPr>
      <w:r w:rsidRPr="005E4BEA">
        <w:rPr>
          <w:rFonts w:cs="Arial"/>
          <w:noProof/>
          <w:szCs w:val="20"/>
        </w:rPr>
        <w:lastRenderedPageBreak/>
        <w:drawing>
          <wp:inline distT="0" distB="0" distL="0" distR="0" wp14:anchorId="7E7519C2" wp14:editId="6D6A23DB">
            <wp:extent cx="5860800" cy="1281430"/>
            <wp:effectExtent l="0" t="0" r="698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7073" cy="1341836"/>
                    </a:xfrm>
                    <a:prstGeom prst="rect">
                      <a:avLst/>
                    </a:prstGeom>
                    <a:noFill/>
                    <a:ln>
                      <a:noFill/>
                    </a:ln>
                  </pic:spPr>
                </pic:pic>
              </a:graphicData>
            </a:graphic>
          </wp:inline>
        </w:drawing>
      </w:r>
    </w:p>
    <w:p w14:paraId="51CC23A8" w14:textId="77777777" w:rsidR="00FE461F" w:rsidRPr="005E4BEA" w:rsidRDefault="00FE461F" w:rsidP="00FE461F">
      <w:pPr>
        <w:spacing w:line="240" w:lineRule="auto"/>
        <w:jc w:val="both"/>
        <w:rPr>
          <w:rFonts w:cs="Arial"/>
          <w:szCs w:val="20"/>
        </w:rPr>
      </w:pPr>
    </w:p>
    <w:p w14:paraId="1F80B69B" w14:textId="77777777" w:rsidR="00FE461F" w:rsidRPr="005E4BEA" w:rsidRDefault="00FE461F" w:rsidP="00FE461F">
      <w:pPr>
        <w:spacing w:line="240" w:lineRule="auto"/>
        <w:jc w:val="both"/>
        <w:rPr>
          <w:rFonts w:cs="Arial"/>
          <w:b/>
          <w:bCs/>
          <w:szCs w:val="20"/>
        </w:rPr>
      </w:pPr>
    </w:p>
    <w:p w14:paraId="27EA123B" w14:textId="77777777" w:rsidR="00FE461F" w:rsidRPr="005E4BEA" w:rsidRDefault="00FE461F" w:rsidP="00FE461F">
      <w:pPr>
        <w:spacing w:line="240" w:lineRule="auto"/>
        <w:jc w:val="both"/>
        <w:rPr>
          <w:rFonts w:cs="Arial"/>
          <w:b/>
          <w:bCs/>
          <w:szCs w:val="20"/>
        </w:rPr>
      </w:pPr>
      <w:r w:rsidRPr="005E4BEA">
        <w:rPr>
          <w:rFonts w:cs="Arial"/>
          <w:b/>
          <w:bCs/>
          <w:szCs w:val="20"/>
        </w:rPr>
        <w:t>V 24. členu se v (6) šestem odstavku v tabeli doda novo vrstico za nujne širitve programov oziroma uvajanje novih terapij:</w:t>
      </w:r>
    </w:p>
    <w:p w14:paraId="59CA2491" w14:textId="77777777" w:rsidR="00FE461F" w:rsidRPr="005E4BEA" w:rsidRDefault="00FE461F" w:rsidP="00FE461F">
      <w:pPr>
        <w:spacing w:line="240" w:lineRule="auto"/>
        <w:jc w:val="both"/>
        <w:rPr>
          <w:rFonts w:cs="Arial"/>
          <w:b/>
          <w:bCs/>
          <w:szCs w:val="20"/>
        </w:rPr>
      </w:pPr>
    </w:p>
    <w:tbl>
      <w:tblPr>
        <w:tblW w:w="9501" w:type="dxa"/>
        <w:tblCellMar>
          <w:left w:w="70" w:type="dxa"/>
          <w:right w:w="70" w:type="dxa"/>
        </w:tblCellMar>
        <w:tblLook w:val="04A0" w:firstRow="1" w:lastRow="0" w:firstColumn="1" w:lastColumn="0" w:noHBand="0" w:noVBand="1"/>
      </w:tblPr>
      <w:tblGrid>
        <w:gridCol w:w="2155"/>
        <w:gridCol w:w="1543"/>
        <w:gridCol w:w="1426"/>
        <w:gridCol w:w="2009"/>
        <w:gridCol w:w="2368"/>
      </w:tblGrid>
      <w:tr w:rsidR="00FE461F" w:rsidRPr="005E4BEA" w14:paraId="268A4348" w14:textId="77777777" w:rsidTr="0016774B">
        <w:trPr>
          <w:trHeight w:val="93"/>
        </w:trPr>
        <w:tc>
          <w:tcPr>
            <w:tcW w:w="2155"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3AE9C54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P r o g r a m</w:t>
            </w:r>
          </w:p>
        </w:tc>
        <w:tc>
          <w:tcPr>
            <w:tcW w:w="1543" w:type="dxa"/>
            <w:vMerge w:val="restart"/>
            <w:tcBorders>
              <w:top w:val="single" w:sz="8" w:space="0" w:color="auto"/>
              <w:left w:val="single" w:sz="8" w:space="0" w:color="auto"/>
              <w:bottom w:val="single" w:sz="8" w:space="0" w:color="000000"/>
              <w:right w:val="single" w:sz="8" w:space="0" w:color="auto"/>
            </w:tcBorders>
            <w:shd w:val="clear" w:color="000000" w:fill="8EA9DB"/>
            <w:noWrap/>
            <w:vAlign w:val="center"/>
            <w:hideMark/>
          </w:tcPr>
          <w:p w14:paraId="35426FF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I z v a j a l e c</w:t>
            </w:r>
          </w:p>
        </w:tc>
        <w:tc>
          <w:tcPr>
            <w:tcW w:w="1426"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50CE268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Obseg programa</w:t>
            </w:r>
          </w:p>
        </w:tc>
        <w:tc>
          <w:tcPr>
            <w:tcW w:w="2009" w:type="dxa"/>
            <w:tcBorders>
              <w:top w:val="single" w:sz="8" w:space="0" w:color="auto"/>
              <w:left w:val="nil"/>
              <w:bottom w:val="nil"/>
              <w:right w:val="single" w:sz="8" w:space="0" w:color="auto"/>
            </w:tcBorders>
            <w:shd w:val="clear" w:color="000000" w:fill="8EA9DB"/>
            <w:noWrap/>
            <w:vAlign w:val="center"/>
            <w:hideMark/>
          </w:tcPr>
          <w:p w14:paraId="0FA8F40B"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w:t>
            </w:r>
          </w:p>
        </w:tc>
        <w:tc>
          <w:tcPr>
            <w:tcW w:w="2368" w:type="dxa"/>
            <w:tcBorders>
              <w:top w:val="single" w:sz="8" w:space="0" w:color="auto"/>
              <w:left w:val="nil"/>
              <w:bottom w:val="nil"/>
              <w:right w:val="single" w:sz="8" w:space="0" w:color="auto"/>
            </w:tcBorders>
            <w:shd w:val="clear" w:color="000000" w:fill="8EA9DB"/>
            <w:noWrap/>
            <w:vAlign w:val="center"/>
            <w:hideMark/>
          </w:tcPr>
          <w:p w14:paraId="5FA70C2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w:t>
            </w:r>
          </w:p>
        </w:tc>
      </w:tr>
      <w:tr w:rsidR="00FE461F" w:rsidRPr="005E4BEA" w14:paraId="505BB456" w14:textId="77777777" w:rsidTr="0016774B">
        <w:trPr>
          <w:trHeight w:val="93"/>
        </w:trPr>
        <w:tc>
          <w:tcPr>
            <w:tcW w:w="2155" w:type="dxa"/>
            <w:vMerge/>
            <w:tcBorders>
              <w:top w:val="single" w:sz="8" w:space="0" w:color="auto"/>
              <w:left w:val="single" w:sz="8" w:space="0" w:color="auto"/>
              <w:bottom w:val="single" w:sz="8" w:space="0" w:color="000000"/>
              <w:right w:val="single" w:sz="8" w:space="0" w:color="auto"/>
            </w:tcBorders>
            <w:vAlign w:val="center"/>
            <w:hideMark/>
          </w:tcPr>
          <w:p w14:paraId="2143F873" w14:textId="77777777" w:rsidR="00FE461F" w:rsidRPr="005E4BEA" w:rsidRDefault="00FE461F" w:rsidP="00FE461F">
            <w:pPr>
              <w:spacing w:line="240" w:lineRule="auto"/>
              <w:jc w:val="both"/>
              <w:rPr>
                <w:rFonts w:cs="Arial"/>
                <w:b/>
                <w:bCs/>
                <w:color w:val="000000"/>
                <w:szCs w:val="20"/>
              </w:rPr>
            </w:pPr>
          </w:p>
        </w:tc>
        <w:tc>
          <w:tcPr>
            <w:tcW w:w="1543" w:type="dxa"/>
            <w:vMerge/>
            <w:tcBorders>
              <w:top w:val="single" w:sz="8" w:space="0" w:color="auto"/>
              <w:left w:val="single" w:sz="8" w:space="0" w:color="auto"/>
              <w:bottom w:val="single" w:sz="8" w:space="0" w:color="000000"/>
              <w:right w:val="single" w:sz="8" w:space="0" w:color="auto"/>
            </w:tcBorders>
            <w:vAlign w:val="center"/>
            <w:hideMark/>
          </w:tcPr>
          <w:p w14:paraId="479F1EB5" w14:textId="77777777" w:rsidR="00FE461F" w:rsidRPr="005E4BEA" w:rsidRDefault="00FE461F" w:rsidP="00FE461F">
            <w:pPr>
              <w:spacing w:line="240" w:lineRule="auto"/>
              <w:jc w:val="both"/>
              <w:rPr>
                <w:rFonts w:cs="Arial"/>
                <w:b/>
                <w:bCs/>
                <w:color w:val="000000"/>
                <w:szCs w:val="20"/>
              </w:rPr>
            </w:pPr>
          </w:p>
        </w:tc>
        <w:tc>
          <w:tcPr>
            <w:tcW w:w="1426" w:type="dxa"/>
            <w:vMerge/>
            <w:tcBorders>
              <w:top w:val="single" w:sz="8" w:space="0" w:color="auto"/>
              <w:left w:val="single" w:sz="8" w:space="0" w:color="auto"/>
              <w:bottom w:val="single" w:sz="8" w:space="0" w:color="000000"/>
              <w:right w:val="single" w:sz="8" w:space="0" w:color="auto"/>
            </w:tcBorders>
            <w:vAlign w:val="center"/>
            <w:hideMark/>
          </w:tcPr>
          <w:p w14:paraId="3E69D1CE" w14:textId="77777777" w:rsidR="00FE461F" w:rsidRPr="005E4BEA" w:rsidRDefault="00FE461F" w:rsidP="00FE461F">
            <w:pPr>
              <w:spacing w:line="240" w:lineRule="auto"/>
              <w:jc w:val="both"/>
              <w:rPr>
                <w:rFonts w:cs="Arial"/>
                <w:b/>
                <w:bCs/>
                <w:color w:val="000000"/>
                <w:szCs w:val="20"/>
              </w:rPr>
            </w:pPr>
          </w:p>
        </w:tc>
        <w:tc>
          <w:tcPr>
            <w:tcW w:w="2009" w:type="dxa"/>
            <w:tcBorders>
              <w:top w:val="nil"/>
              <w:left w:val="nil"/>
              <w:bottom w:val="nil"/>
              <w:right w:val="single" w:sz="8" w:space="0" w:color="auto"/>
            </w:tcBorders>
            <w:shd w:val="clear" w:color="000000" w:fill="8EA9DB"/>
            <w:noWrap/>
            <w:vAlign w:val="center"/>
            <w:hideMark/>
          </w:tcPr>
          <w:p w14:paraId="7CA2B3A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na letni ravni</w:t>
            </w:r>
          </w:p>
        </w:tc>
        <w:tc>
          <w:tcPr>
            <w:tcW w:w="2368" w:type="dxa"/>
            <w:tcBorders>
              <w:top w:val="nil"/>
              <w:left w:val="nil"/>
              <w:bottom w:val="nil"/>
              <w:right w:val="single" w:sz="8" w:space="0" w:color="auto"/>
            </w:tcBorders>
            <w:shd w:val="clear" w:color="000000" w:fill="8EA9DB"/>
            <w:noWrap/>
            <w:vAlign w:val="center"/>
            <w:hideMark/>
          </w:tcPr>
          <w:p w14:paraId="08D4375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1.1.-31.12.2021</w:t>
            </w:r>
          </w:p>
        </w:tc>
      </w:tr>
      <w:tr w:rsidR="00FE461F" w:rsidRPr="005E4BEA" w14:paraId="5F348A92" w14:textId="77777777" w:rsidTr="0016774B">
        <w:trPr>
          <w:trHeight w:val="97"/>
        </w:trPr>
        <w:tc>
          <w:tcPr>
            <w:tcW w:w="2155" w:type="dxa"/>
            <w:vMerge/>
            <w:tcBorders>
              <w:top w:val="single" w:sz="8" w:space="0" w:color="auto"/>
              <w:left w:val="single" w:sz="8" w:space="0" w:color="auto"/>
              <w:bottom w:val="single" w:sz="8" w:space="0" w:color="000000"/>
              <w:right w:val="single" w:sz="8" w:space="0" w:color="auto"/>
            </w:tcBorders>
            <w:vAlign w:val="center"/>
            <w:hideMark/>
          </w:tcPr>
          <w:p w14:paraId="692215C4" w14:textId="77777777" w:rsidR="00FE461F" w:rsidRPr="005E4BEA" w:rsidRDefault="00FE461F" w:rsidP="00FE461F">
            <w:pPr>
              <w:spacing w:line="240" w:lineRule="auto"/>
              <w:jc w:val="both"/>
              <w:rPr>
                <w:rFonts w:cs="Arial"/>
                <w:b/>
                <w:bCs/>
                <w:color w:val="000000"/>
                <w:szCs w:val="20"/>
              </w:rPr>
            </w:pPr>
          </w:p>
        </w:tc>
        <w:tc>
          <w:tcPr>
            <w:tcW w:w="1543" w:type="dxa"/>
            <w:vMerge/>
            <w:tcBorders>
              <w:top w:val="single" w:sz="8" w:space="0" w:color="auto"/>
              <w:left w:val="single" w:sz="8" w:space="0" w:color="auto"/>
              <w:bottom w:val="single" w:sz="8" w:space="0" w:color="000000"/>
              <w:right w:val="single" w:sz="8" w:space="0" w:color="auto"/>
            </w:tcBorders>
            <w:vAlign w:val="center"/>
            <w:hideMark/>
          </w:tcPr>
          <w:p w14:paraId="5BA9E7D4" w14:textId="77777777" w:rsidR="00FE461F" w:rsidRPr="005E4BEA" w:rsidRDefault="00FE461F" w:rsidP="00FE461F">
            <w:pPr>
              <w:spacing w:line="240" w:lineRule="auto"/>
              <w:jc w:val="both"/>
              <w:rPr>
                <w:rFonts w:cs="Arial"/>
                <w:b/>
                <w:bCs/>
                <w:color w:val="000000"/>
                <w:szCs w:val="20"/>
              </w:rPr>
            </w:pPr>
          </w:p>
        </w:tc>
        <w:tc>
          <w:tcPr>
            <w:tcW w:w="1426" w:type="dxa"/>
            <w:vMerge/>
            <w:tcBorders>
              <w:top w:val="single" w:sz="8" w:space="0" w:color="auto"/>
              <w:left w:val="single" w:sz="8" w:space="0" w:color="auto"/>
              <w:bottom w:val="single" w:sz="8" w:space="0" w:color="000000"/>
              <w:right w:val="single" w:sz="8" w:space="0" w:color="auto"/>
            </w:tcBorders>
            <w:vAlign w:val="center"/>
            <w:hideMark/>
          </w:tcPr>
          <w:p w14:paraId="202F91E0" w14:textId="77777777" w:rsidR="00FE461F" w:rsidRPr="005E4BEA" w:rsidRDefault="00FE461F" w:rsidP="00FE461F">
            <w:pPr>
              <w:spacing w:line="240" w:lineRule="auto"/>
              <w:jc w:val="both"/>
              <w:rPr>
                <w:rFonts w:cs="Arial"/>
                <w:b/>
                <w:bCs/>
                <w:color w:val="000000"/>
                <w:szCs w:val="20"/>
              </w:rPr>
            </w:pPr>
          </w:p>
        </w:tc>
        <w:tc>
          <w:tcPr>
            <w:tcW w:w="2009" w:type="dxa"/>
            <w:tcBorders>
              <w:top w:val="nil"/>
              <w:left w:val="nil"/>
              <w:bottom w:val="nil"/>
              <w:right w:val="single" w:sz="8" w:space="0" w:color="auto"/>
            </w:tcBorders>
            <w:shd w:val="clear" w:color="000000" w:fill="8EA9DB"/>
            <w:noWrap/>
            <w:vAlign w:val="center"/>
            <w:hideMark/>
          </w:tcPr>
          <w:p w14:paraId="5BFBFA64"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c>
          <w:tcPr>
            <w:tcW w:w="2368" w:type="dxa"/>
            <w:tcBorders>
              <w:top w:val="nil"/>
              <w:left w:val="nil"/>
              <w:bottom w:val="nil"/>
              <w:right w:val="single" w:sz="8" w:space="0" w:color="auto"/>
            </w:tcBorders>
            <w:shd w:val="clear" w:color="000000" w:fill="8EA9DB"/>
            <w:noWrap/>
            <w:vAlign w:val="center"/>
            <w:hideMark/>
          </w:tcPr>
          <w:p w14:paraId="6CC1BB1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r>
      <w:tr w:rsidR="00FE461F" w:rsidRPr="005E4BEA" w14:paraId="7EBAC687" w14:textId="77777777" w:rsidTr="0016774B">
        <w:trPr>
          <w:trHeight w:val="340"/>
        </w:trPr>
        <w:tc>
          <w:tcPr>
            <w:tcW w:w="2155" w:type="dxa"/>
            <w:tcBorders>
              <w:top w:val="nil"/>
              <w:left w:val="single" w:sz="8" w:space="0" w:color="auto"/>
              <w:bottom w:val="single" w:sz="8" w:space="0" w:color="auto"/>
              <w:right w:val="single" w:sz="8" w:space="0" w:color="auto"/>
            </w:tcBorders>
            <w:shd w:val="clear" w:color="000000" w:fill="FFFFFF"/>
            <w:vAlign w:val="center"/>
            <w:hideMark/>
          </w:tcPr>
          <w:p w14:paraId="7DB4FC0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Siva cona v UC </w:t>
            </w:r>
          </w:p>
        </w:tc>
        <w:tc>
          <w:tcPr>
            <w:tcW w:w="1543" w:type="dxa"/>
            <w:tcBorders>
              <w:top w:val="nil"/>
              <w:left w:val="nil"/>
              <w:bottom w:val="single" w:sz="8" w:space="0" w:color="auto"/>
              <w:right w:val="single" w:sz="8" w:space="0" w:color="auto"/>
            </w:tcBorders>
            <w:shd w:val="clear" w:color="000000" w:fill="FFFFFF"/>
            <w:vAlign w:val="center"/>
            <w:hideMark/>
          </w:tcPr>
          <w:p w14:paraId="23363F9D"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Bolnišnice z UC </w:t>
            </w:r>
          </w:p>
        </w:tc>
        <w:tc>
          <w:tcPr>
            <w:tcW w:w="1426" w:type="dxa"/>
            <w:tcBorders>
              <w:top w:val="nil"/>
              <w:left w:val="nil"/>
              <w:bottom w:val="single" w:sz="8" w:space="0" w:color="auto"/>
              <w:right w:val="single" w:sz="8" w:space="0" w:color="auto"/>
            </w:tcBorders>
            <w:shd w:val="clear" w:color="000000" w:fill="FFFFFF"/>
            <w:vAlign w:val="center"/>
            <w:hideMark/>
          </w:tcPr>
          <w:p w14:paraId="7333293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11</w:t>
            </w:r>
          </w:p>
        </w:tc>
        <w:tc>
          <w:tcPr>
            <w:tcW w:w="2009" w:type="dxa"/>
            <w:tcBorders>
              <w:top w:val="single" w:sz="8" w:space="0" w:color="auto"/>
              <w:left w:val="nil"/>
              <w:bottom w:val="single" w:sz="8" w:space="0" w:color="auto"/>
              <w:right w:val="single" w:sz="8" w:space="0" w:color="auto"/>
            </w:tcBorders>
            <w:shd w:val="clear" w:color="000000" w:fill="FFFFFF"/>
            <w:vAlign w:val="center"/>
            <w:hideMark/>
          </w:tcPr>
          <w:p w14:paraId="0CC06817"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6.820.743</w:t>
            </w:r>
          </w:p>
        </w:tc>
        <w:tc>
          <w:tcPr>
            <w:tcW w:w="2368" w:type="dxa"/>
            <w:tcBorders>
              <w:top w:val="single" w:sz="8" w:space="0" w:color="auto"/>
              <w:left w:val="nil"/>
              <w:bottom w:val="single" w:sz="8" w:space="0" w:color="auto"/>
              <w:right w:val="single" w:sz="8" w:space="0" w:color="auto"/>
            </w:tcBorders>
            <w:shd w:val="clear" w:color="000000" w:fill="FFFFFF"/>
            <w:vAlign w:val="center"/>
            <w:hideMark/>
          </w:tcPr>
          <w:p w14:paraId="4C65F6D2"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6.820.743</w:t>
            </w:r>
          </w:p>
        </w:tc>
      </w:tr>
    </w:tbl>
    <w:p w14:paraId="5E5F2CFD" w14:textId="77777777" w:rsidR="00FE461F" w:rsidRPr="005E4BEA" w:rsidRDefault="00FE461F" w:rsidP="00FE461F">
      <w:pPr>
        <w:spacing w:line="240" w:lineRule="auto"/>
        <w:jc w:val="both"/>
        <w:rPr>
          <w:rFonts w:cs="Arial"/>
          <w:szCs w:val="20"/>
        </w:rPr>
      </w:pPr>
    </w:p>
    <w:p w14:paraId="044DE12C" w14:textId="77777777" w:rsidR="00FE461F" w:rsidRPr="005E4BEA" w:rsidRDefault="00FE461F" w:rsidP="00FE461F">
      <w:pPr>
        <w:spacing w:line="240" w:lineRule="auto"/>
        <w:jc w:val="both"/>
        <w:rPr>
          <w:rFonts w:eastAsia="Calibri" w:cs="Arial"/>
          <w:b/>
          <w:bCs/>
          <w:i/>
          <w:iCs/>
          <w:color w:val="7F7F7F"/>
          <w:szCs w:val="20"/>
          <w:u w:val="single"/>
        </w:rPr>
      </w:pPr>
    </w:p>
    <w:p w14:paraId="3AC400BE"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C5D55D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Bolnišnice so v sklopu Urgentnih centrov organizirale novo organizacijsko enoto - sivo cono oz. izolacijske sobe, kjer se obravnavajo bolniki s sumom in potrjeno okužbo na COVID-19. Sedaj, ko vse bolnišnice niso tudi COVID-19 bolnišnice in bolnike s COVID-19 premeščamo v druge zdravstvene ustanove, obravnava pacienta v tej sivi coni traja še dlje časa. Obravnava pacientov v sivih conah poteka 24 ur na dan, vse dni v tednu. Bolnišnice imajo znotraj UC za namen sive cone na razpolago različno število izolacijskih sob oz. postelj. Pri obravnavi pacientov v sivi coni so se bolnišnice srečevale z novimi izzivi saj obravnava, zaradi tveganja za prenos okužbe, zahteva več kadrovskih in prostorskih kapacitet. Upoštevanje vseh zaščitnih ukrepov, vključno z uporabo zaščitne varovalne opreme, intenzivnim čiščenjem in razkuževanjem povzroča višje stroške. Potrebna je bila tudi nabava nove oz. dodatne opreme (diagnostične aparature, naprava za razkuževanje prostorov, monitorji za nadzor pacientov v izolacijskih sobah ipd.).  Veliko postopkov in posegov je bilo potrebno prilagoditi z namenom zmanjšanja možnosti prenosa okužbe. Zaradi individualne izolacije bolnikov s sumom na okužbo COVID-19 sodeluje več oseb hkrati, kader, ki izvaja postopke in posege pri bolniku znotraj izolacijske sobe in kader, ki asistira in izvaja administrativno delo (v izolacijski sobi je lahko le najnujnejši material, ki ga bomo porabili pri enem pacientu). To velja tako za zdravnike kot za medicinske sestre. Osebje za delo v sivi coni je ločeno od drugega osebja ves čas trajanja izolacije v sivi coni.  Združevanje pacientov s sumom na okužbo v eno izolacijsko sobo ni mogoče, zato je bilo potrebno za te obravnave pacientov zagotoviti dodatne prostore.</w:t>
      </w:r>
    </w:p>
    <w:p w14:paraId="73B3B4C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Na podlagi pridobljenih podatkov iz bolnišnic smo pripravili specifikacijo stroškov, ki zajema stroške dela, materialne stroške ter stroške amortizacije. Opozarjamo, da stroškov prehrane na delu ter prevoza na delo in iz dela v teh stroških še ni vključenih, saj pričakujemo, da se bo to vprašanje rešilo na sistemski ravni, za vse dejavnosti oz. storitve.</w:t>
      </w:r>
    </w:p>
    <w:p w14:paraId="502B510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Združenje predlaga, da se organizacija sive cone prizna kot standard za normativ 5 postelj, in se zagotovi plačilo od 1.1.2021 v pavšalu.</w:t>
      </w:r>
    </w:p>
    <w:p w14:paraId="28D00A1B" w14:textId="77777777" w:rsidR="00FE461F" w:rsidRPr="005E4BEA" w:rsidRDefault="00FE461F" w:rsidP="00FE461F">
      <w:pPr>
        <w:spacing w:line="240" w:lineRule="auto"/>
        <w:jc w:val="both"/>
        <w:rPr>
          <w:rFonts w:cs="Arial"/>
          <w:i/>
          <w:iCs/>
          <w:color w:val="808080" w:themeColor="background1" w:themeShade="80"/>
          <w:szCs w:val="20"/>
        </w:rPr>
      </w:pPr>
    </w:p>
    <w:p w14:paraId="502066C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 6,8 mio €</w:t>
      </w:r>
    </w:p>
    <w:p w14:paraId="0612D5C1" w14:textId="17A4AA36" w:rsidR="00FE461F" w:rsidRPr="005E4BEA" w:rsidRDefault="00FE461F" w:rsidP="00FE461F">
      <w:pPr>
        <w:spacing w:line="240" w:lineRule="auto"/>
        <w:jc w:val="both"/>
        <w:rPr>
          <w:rFonts w:cs="Arial"/>
          <w:i/>
          <w:iCs/>
          <w:color w:val="808080" w:themeColor="background1" w:themeShade="80"/>
          <w:szCs w:val="20"/>
        </w:rPr>
      </w:pPr>
    </w:p>
    <w:p w14:paraId="2322A838" w14:textId="039C3494" w:rsidR="00E708CF" w:rsidRPr="005E4BEA" w:rsidRDefault="00E708CF" w:rsidP="00FE461F">
      <w:pPr>
        <w:spacing w:line="240" w:lineRule="auto"/>
        <w:jc w:val="both"/>
        <w:rPr>
          <w:rFonts w:cs="Arial"/>
          <w:i/>
          <w:iCs/>
          <w:color w:val="808080" w:themeColor="background1" w:themeShade="80"/>
          <w:szCs w:val="20"/>
        </w:rPr>
      </w:pPr>
    </w:p>
    <w:p w14:paraId="22E0D05B"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25A60781" w14:textId="77777777" w:rsidR="00E708CF" w:rsidRPr="005E4BEA" w:rsidRDefault="00E708CF" w:rsidP="00E708CF">
      <w:pPr>
        <w:spacing w:line="0" w:lineRule="atLeast"/>
        <w:jc w:val="both"/>
        <w:rPr>
          <w:rFonts w:eastAsia="Arial Narrow" w:cs="Arial"/>
          <w:szCs w:val="20"/>
          <w:lang w:eastAsia="sl-SI"/>
        </w:rPr>
      </w:pPr>
    </w:p>
    <w:p w14:paraId="6D7AAE89" w14:textId="27027DC2" w:rsidR="00E708CF" w:rsidRDefault="00E708CF" w:rsidP="00E708CF">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in 24. člen </w:t>
      </w:r>
      <w:r w:rsidRPr="005E4BEA">
        <w:rPr>
          <w:rFonts w:eastAsiaTheme="minorHAnsi" w:cs="Arial"/>
          <w:bCs/>
          <w:szCs w:val="20"/>
        </w:rPr>
        <w:t>Splošnega dogovora ne spremenita.</w:t>
      </w:r>
    </w:p>
    <w:p w14:paraId="259F3C37" w14:textId="68D5E16B" w:rsidR="00E82B4D" w:rsidRDefault="00E82B4D" w:rsidP="00E708CF">
      <w:pPr>
        <w:spacing w:line="0" w:lineRule="atLeast"/>
        <w:contextualSpacing/>
        <w:jc w:val="both"/>
        <w:rPr>
          <w:rFonts w:eastAsiaTheme="minorHAnsi" w:cs="Arial"/>
          <w:bCs/>
          <w:szCs w:val="20"/>
        </w:rPr>
      </w:pPr>
    </w:p>
    <w:p w14:paraId="7035C519" w14:textId="77777777" w:rsidR="00E82B4D" w:rsidRPr="005E4BEA" w:rsidRDefault="00E82B4D" w:rsidP="00E708CF">
      <w:pPr>
        <w:spacing w:line="0" w:lineRule="atLeast"/>
        <w:contextualSpacing/>
        <w:jc w:val="both"/>
        <w:rPr>
          <w:rFonts w:eastAsiaTheme="minorHAnsi" w:cs="Arial"/>
          <w:bCs/>
          <w:szCs w:val="20"/>
        </w:rPr>
      </w:pPr>
    </w:p>
    <w:p w14:paraId="6E9BADC6" w14:textId="389F8AAB"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(95)</w:t>
      </w:r>
    </w:p>
    <w:p w14:paraId="6566668F" w14:textId="77777777" w:rsidR="00E708CF" w:rsidRPr="005E4BEA" w:rsidRDefault="00E708CF" w:rsidP="00E708CF">
      <w:pPr>
        <w:spacing w:line="240" w:lineRule="auto"/>
        <w:jc w:val="both"/>
        <w:rPr>
          <w:rFonts w:eastAsia="Arial Narrow" w:cs="Arial"/>
          <w:b/>
          <w:szCs w:val="20"/>
        </w:rPr>
      </w:pPr>
    </w:p>
    <w:p w14:paraId="1DDFA3A7" w14:textId="528EBAFC" w:rsidR="00FE461F" w:rsidRPr="005E4BEA" w:rsidRDefault="00E708CF"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 doda nov standard xxx</w:t>
      </w:r>
      <w:r w:rsidRPr="005E4BEA">
        <w:rPr>
          <w:rFonts w:cs="Arial"/>
          <w:bCs/>
          <w:i/>
          <w:iCs/>
          <w:color w:val="808080" w:themeColor="background1" w:themeShade="80"/>
          <w:szCs w:val="20"/>
        </w:rPr>
        <w:t xml:space="preserve"> </w:t>
      </w:r>
      <w:r w:rsidR="00FE461F" w:rsidRPr="005E4BEA">
        <w:rPr>
          <w:rFonts w:cs="Arial"/>
          <w:bCs/>
          <w:szCs w:val="20"/>
        </w:rPr>
        <w:t xml:space="preserve">Spremstvo za sekundarni </w:t>
      </w:r>
      <w:proofErr w:type="spellStart"/>
      <w:r w:rsidR="00FE461F" w:rsidRPr="005E4BEA">
        <w:rPr>
          <w:rFonts w:cs="Arial"/>
          <w:bCs/>
          <w:szCs w:val="20"/>
        </w:rPr>
        <w:t>medbolnišnični</w:t>
      </w:r>
      <w:proofErr w:type="spellEnd"/>
      <w:r w:rsidR="00FE461F" w:rsidRPr="005E4BEA">
        <w:rPr>
          <w:rFonts w:cs="Arial"/>
          <w:bCs/>
          <w:szCs w:val="20"/>
        </w:rPr>
        <w:t xml:space="preserve"> prevoz:</w:t>
      </w:r>
    </w:p>
    <w:p w14:paraId="48A83AB3" w14:textId="77777777" w:rsidR="00E708CF" w:rsidRPr="005E4BEA" w:rsidRDefault="00E708CF" w:rsidP="00FE461F">
      <w:pPr>
        <w:spacing w:line="240" w:lineRule="auto"/>
        <w:jc w:val="both"/>
        <w:rPr>
          <w:rFonts w:cs="Arial"/>
          <w:i/>
          <w:iCs/>
          <w:color w:val="808080" w:themeColor="background1" w:themeShade="80"/>
          <w:szCs w:val="20"/>
        </w:rPr>
      </w:pPr>
    </w:p>
    <w:tbl>
      <w:tblPr>
        <w:tblW w:w="9373" w:type="dxa"/>
        <w:tblCellMar>
          <w:left w:w="70" w:type="dxa"/>
          <w:right w:w="70" w:type="dxa"/>
        </w:tblCellMar>
        <w:tblLook w:val="04A0" w:firstRow="1" w:lastRow="0" w:firstColumn="1" w:lastColumn="0" w:noHBand="0" w:noVBand="1"/>
      </w:tblPr>
      <w:tblGrid>
        <w:gridCol w:w="707"/>
        <w:gridCol w:w="418"/>
        <w:gridCol w:w="1261"/>
        <w:gridCol w:w="1261"/>
        <w:gridCol w:w="1121"/>
        <w:gridCol w:w="1261"/>
        <w:gridCol w:w="1121"/>
        <w:gridCol w:w="1141"/>
        <w:gridCol w:w="1121"/>
      </w:tblGrid>
      <w:tr w:rsidR="00FE461F" w:rsidRPr="005E4BEA" w14:paraId="7D1D6A43" w14:textId="77777777" w:rsidTr="0016774B">
        <w:trPr>
          <w:trHeight w:val="374"/>
        </w:trPr>
        <w:tc>
          <w:tcPr>
            <w:tcW w:w="688" w:type="dxa"/>
            <w:tcBorders>
              <w:top w:val="single" w:sz="4" w:space="0" w:color="808080"/>
              <w:left w:val="single" w:sz="4" w:space="0" w:color="808080"/>
              <w:bottom w:val="nil"/>
              <w:right w:val="nil"/>
            </w:tcBorders>
            <w:shd w:val="clear" w:color="000000" w:fill="D9D9D9"/>
            <w:vAlign w:val="bottom"/>
            <w:hideMark/>
          </w:tcPr>
          <w:p w14:paraId="2795FEC8"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Kader</w:t>
            </w:r>
          </w:p>
        </w:tc>
        <w:tc>
          <w:tcPr>
            <w:tcW w:w="403" w:type="dxa"/>
            <w:tcBorders>
              <w:top w:val="single" w:sz="4" w:space="0" w:color="auto"/>
              <w:left w:val="single" w:sz="4" w:space="0" w:color="auto"/>
              <w:bottom w:val="nil"/>
              <w:right w:val="single" w:sz="4" w:space="0" w:color="auto"/>
            </w:tcBorders>
            <w:shd w:val="clear" w:color="000000" w:fill="D9D9D9"/>
            <w:vAlign w:val="bottom"/>
            <w:hideMark/>
          </w:tcPr>
          <w:p w14:paraId="405C1294"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PR</w:t>
            </w:r>
          </w:p>
        </w:tc>
        <w:tc>
          <w:tcPr>
            <w:tcW w:w="1261" w:type="dxa"/>
            <w:tcBorders>
              <w:top w:val="single" w:sz="4" w:space="0" w:color="808080"/>
              <w:left w:val="nil"/>
              <w:bottom w:val="nil"/>
              <w:right w:val="single" w:sz="4" w:space="0" w:color="808080"/>
            </w:tcBorders>
            <w:shd w:val="clear" w:color="000000" w:fill="D9D9D9"/>
            <w:vAlign w:val="bottom"/>
            <w:hideMark/>
          </w:tcPr>
          <w:p w14:paraId="27417C07"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Osnovna plača</w:t>
            </w:r>
          </w:p>
        </w:tc>
        <w:tc>
          <w:tcPr>
            <w:tcW w:w="1261" w:type="dxa"/>
            <w:tcBorders>
              <w:top w:val="single" w:sz="4" w:space="0" w:color="808080"/>
              <w:left w:val="nil"/>
              <w:bottom w:val="nil"/>
              <w:right w:val="single" w:sz="4" w:space="0" w:color="808080"/>
            </w:tcBorders>
            <w:shd w:val="clear" w:color="000000" w:fill="D9D9D9"/>
            <w:vAlign w:val="bottom"/>
            <w:hideMark/>
          </w:tcPr>
          <w:p w14:paraId="163FDE3B"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 xml:space="preserve">Bruto </w:t>
            </w:r>
            <w:r w:rsidRPr="005E4BEA">
              <w:rPr>
                <w:rFonts w:cs="Arial"/>
                <w:b/>
                <w:bCs/>
                <w:color w:val="7030A0"/>
                <w:szCs w:val="20"/>
              </w:rPr>
              <w:br/>
              <w:t>plača II</w:t>
            </w:r>
          </w:p>
        </w:tc>
        <w:tc>
          <w:tcPr>
            <w:tcW w:w="1121" w:type="dxa"/>
            <w:tcBorders>
              <w:top w:val="single" w:sz="4" w:space="0" w:color="808080"/>
              <w:left w:val="nil"/>
              <w:bottom w:val="nil"/>
              <w:right w:val="single" w:sz="4" w:space="0" w:color="808080"/>
            </w:tcBorders>
            <w:shd w:val="clear" w:color="000000" w:fill="D9D9D9"/>
            <w:vAlign w:val="bottom"/>
            <w:hideMark/>
          </w:tcPr>
          <w:p w14:paraId="2B3D2E10"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Regres, jubilejne, PDPZ</w:t>
            </w:r>
          </w:p>
        </w:tc>
        <w:tc>
          <w:tcPr>
            <w:tcW w:w="1261" w:type="dxa"/>
            <w:tcBorders>
              <w:top w:val="single" w:sz="4" w:space="0" w:color="808080"/>
              <w:left w:val="nil"/>
              <w:bottom w:val="nil"/>
              <w:right w:val="single" w:sz="4" w:space="0" w:color="808080"/>
            </w:tcBorders>
            <w:shd w:val="clear" w:color="000000" w:fill="D9D9D9"/>
            <w:vAlign w:val="bottom"/>
            <w:hideMark/>
          </w:tcPr>
          <w:p w14:paraId="651CF13B"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 xml:space="preserve">Bruto </w:t>
            </w:r>
            <w:r w:rsidRPr="005E4BEA">
              <w:rPr>
                <w:rFonts w:cs="Arial"/>
                <w:b/>
                <w:bCs/>
                <w:color w:val="7030A0"/>
                <w:szCs w:val="20"/>
              </w:rPr>
              <w:br/>
              <w:t>plača III</w:t>
            </w:r>
          </w:p>
        </w:tc>
        <w:tc>
          <w:tcPr>
            <w:tcW w:w="1121" w:type="dxa"/>
            <w:tcBorders>
              <w:top w:val="single" w:sz="4" w:space="0" w:color="808080"/>
              <w:left w:val="nil"/>
              <w:bottom w:val="nil"/>
              <w:right w:val="single" w:sz="4" w:space="0" w:color="808080"/>
            </w:tcBorders>
            <w:shd w:val="clear" w:color="000000" w:fill="D9D9D9"/>
            <w:noWrap/>
            <w:vAlign w:val="bottom"/>
            <w:hideMark/>
          </w:tcPr>
          <w:p w14:paraId="225F40F9"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INF -1</w:t>
            </w:r>
          </w:p>
        </w:tc>
        <w:tc>
          <w:tcPr>
            <w:tcW w:w="1136" w:type="dxa"/>
            <w:tcBorders>
              <w:top w:val="single" w:sz="4" w:space="0" w:color="808080"/>
              <w:left w:val="nil"/>
              <w:bottom w:val="nil"/>
              <w:right w:val="single" w:sz="4" w:space="0" w:color="808080"/>
            </w:tcBorders>
            <w:shd w:val="clear" w:color="000000" w:fill="D9D9D9"/>
            <w:vAlign w:val="bottom"/>
            <w:hideMark/>
          </w:tcPr>
          <w:p w14:paraId="3B4C5072"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SKUPAJ</w:t>
            </w:r>
            <w:r w:rsidRPr="005E4BEA">
              <w:rPr>
                <w:rFonts w:cs="Arial"/>
                <w:b/>
                <w:bCs/>
                <w:color w:val="7030A0"/>
                <w:szCs w:val="20"/>
              </w:rPr>
              <w:br/>
              <w:t>(v eur)</w:t>
            </w:r>
          </w:p>
        </w:tc>
        <w:tc>
          <w:tcPr>
            <w:tcW w:w="1121" w:type="dxa"/>
            <w:tcBorders>
              <w:top w:val="single" w:sz="4" w:space="0" w:color="808080"/>
              <w:left w:val="nil"/>
              <w:bottom w:val="nil"/>
              <w:right w:val="nil"/>
            </w:tcBorders>
            <w:shd w:val="clear" w:color="000000" w:fill="D9D9D9"/>
            <w:noWrap/>
            <w:vAlign w:val="bottom"/>
            <w:hideMark/>
          </w:tcPr>
          <w:p w14:paraId="79B703E5" w14:textId="77777777" w:rsidR="00FE461F" w:rsidRPr="005E4BEA" w:rsidRDefault="00FE461F" w:rsidP="00FE461F">
            <w:pPr>
              <w:spacing w:line="240" w:lineRule="auto"/>
              <w:jc w:val="both"/>
              <w:rPr>
                <w:rFonts w:cs="Arial"/>
                <w:b/>
                <w:bCs/>
                <w:color w:val="7030A0"/>
                <w:szCs w:val="20"/>
              </w:rPr>
            </w:pPr>
            <w:r w:rsidRPr="005E4BEA">
              <w:rPr>
                <w:rFonts w:cs="Arial"/>
                <w:b/>
                <w:bCs/>
                <w:color w:val="7030A0"/>
                <w:szCs w:val="20"/>
              </w:rPr>
              <w:t>CENA</w:t>
            </w:r>
          </w:p>
        </w:tc>
      </w:tr>
      <w:tr w:rsidR="00FE461F" w:rsidRPr="005E4BEA" w14:paraId="7E333F22" w14:textId="77777777" w:rsidTr="0016774B">
        <w:trPr>
          <w:trHeight w:val="124"/>
        </w:trPr>
        <w:tc>
          <w:tcPr>
            <w:tcW w:w="6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829921"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5,56</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69396C84"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53</w:t>
            </w:r>
          </w:p>
        </w:tc>
        <w:tc>
          <w:tcPr>
            <w:tcW w:w="1261" w:type="dxa"/>
            <w:tcBorders>
              <w:top w:val="single" w:sz="4" w:space="0" w:color="auto"/>
              <w:left w:val="nil"/>
              <w:bottom w:val="single" w:sz="4" w:space="0" w:color="auto"/>
              <w:right w:val="single" w:sz="4" w:space="0" w:color="auto"/>
            </w:tcBorders>
            <w:shd w:val="clear" w:color="000000" w:fill="FFFFCC"/>
            <w:noWrap/>
            <w:vAlign w:val="bottom"/>
            <w:hideMark/>
          </w:tcPr>
          <w:p w14:paraId="5B04E296"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225.849,20</w:t>
            </w:r>
          </w:p>
        </w:tc>
        <w:tc>
          <w:tcPr>
            <w:tcW w:w="1261" w:type="dxa"/>
            <w:tcBorders>
              <w:top w:val="single" w:sz="4" w:space="0" w:color="auto"/>
              <w:left w:val="nil"/>
              <w:bottom w:val="single" w:sz="4" w:space="0" w:color="auto"/>
              <w:right w:val="single" w:sz="4" w:space="0" w:color="auto"/>
            </w:tcBorders>
            <w:shd w:val="clear" w:color="000000" w:fill="FFFFFF"/>
            <w:noWrap/>
            <w:vAlign w:val="bottom"/>
            <w:hideMark/>
          </w:tcPr>
          <w:p w14:paraId="65757E24"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387.206,87</w:t>
            </w:r>
          </w:p>
        </w:tc>
        <w:tc>
          <w:tcPr>
            <w:tcW w:w="1121" w:type="dxa"/>
            <w:tcBorders>
              <w:top w:val="single" w:sz="4" w:space="0" w:color="auto"/>
              <w:left w:val="nil"/>
              <w:bottom w:val="single" w:sz="4" w:space="0" w:color="auto"/>
              <w:right w:val="single" w:sz="4" w:space="0" w:color="auto"/>
            </w:tcBorders>
            <w:shd w:val="clear" w:color="000000" w:fill="FFFFFF"/>
            <w:noWrap/>
            <w:vAlign w:val="bottom"/>
            <w:hideMark/>
          </w:tcPr>
          <w:p w14:paraId="67750943"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9.405,30</w:t>
            </w:r>
          </w:p>
        </w:tc>
        <w:tc>
          <w:tcPr>
            <w:tcW w:w="1261" w:type="dxa"/>
            <w:tcBorders>
              <w:top w:val="single" w:sz="4" w:space="0" w:color="auto"/>
              <w:left w:val="nil"/>
              <w:bottom w:val="single" w:sz="4" w:space="0" w:color="auto"/>
              <w:right w:val="single" w:sz="4" w:space="0" w:color="auto"/>
            </w:tcBorders>
            <w:shd w:val="clear" w:color="000000" w:fill="E2EFDA"/>
            <w:noWrap/>
            <w:vAlign w:val="bottom"/>
            <w:hideMark/>
          </w:tcPr>
          <w:p w14:paraId="0FF1358C"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396.612,17</w:t>
            </w:r>
          </w:p>
        </w:tc>
        <w:tc>
          <w:tcPr>
            <w:tcW w:w="1121" w:type="dxa"/>
            <w:tcBorders>
              <w:top w:val="single" w:sz="4" w:space="0" w:color="auto"/>
              <w:left w:val="nil"/>
              <w:bottom w:val="single" w:sz="4" w:space="0" w:color="auto"/>
              <w:right w:val="single" w:sz="4" w:space="0" w:color="auto"/>
            </w:tcBorders>
            <w:shd w:val="clear" w:color="000000" w:fill="FFFFFF"/>
            <w:noWrap/>
            <w:vAlign w:val="bottom"/>
            <w:hideMark/>
          </w:tcPr>
          <w:p w14:paraId="339FE60C" w14:textId="77777777" w:rsidR="00FE461F" w:rsidRPr="005E4BEA" w:rsidRDefault="00FE461F" w:rsidP="00FE461F">
            <w:pPr>
              <w:spacing w:line="240" w:lineRule="auto"/>
              <w:jc w:val="both"/>
              <w:outlineLvl w:val="0"/>
              <w:rPr>
                <w:rFonts w:cs="Arial"/>
                <w:b/>
                <w:bCs/>
                <w:color w:val="000099"/>
                <w:szCs w:val="20"/>
              </w:rPr>
            </w:pPr>
            <w:r w:rsidRPr="005E4BEA">
              <w:rPr>
                <w:rFonts w:cs="Arial"/>
                <w:b/>
                <w:bCs/>
                <w:color w:val="000099"/>
                <w:szCs w:val="20"/>
              </w:rPr>
              <w:t>974,81</w:t>
            </w:r>
          </w:p>
        </w:tc>
        <w:tc>
          <w:tcPr>
            <w:tcW w:w="1136" w:type="dxa"/>
            <w:tcBorders>
              <w:top w:val="single" w:sz="4" w:space="0" w:color="auto"/>
              <w:left w:val="nil"/>
              <w:bottom w:val="single" w:sz="4" w:space="0" w:color="auto"/>
              <w:right w:val="single" w:sz="4" w:space="0" w:color="auto"/>
            </w:tcBorders>
            <w:shd w:val="clear" w:color="000000" w:fill="FFFFFF"/>
            <w:noWrap/>
            <w:vAlign w:val="bottom"/>
            <w:hideMark/>
          </w:tcPr>
          <w:p w14:paraId="184917F4" w14:textId="77777777" w:rsidR="00FE461F" w:rsidRPr="005E4BEA" w:rsidRDefault="00FE461F" w:rsidP="00FE461F">
            <w:pPr>
              <w:spacing w:line="240" w:lineRule="auto"/>
              <w:jc w:val="both"/>
              <w:outlineLvl w:val="0"/>
              <w:rPr>
                <w:rFonts w:cs="Arial"/>
                <w:b/>
                <w:bCs/>
                <w:color w:val="000099"/>
                <w:szCs w:val="20"/>
              </w:rPr>
            </w:pPr>
            <w:r w:rsidRPr="005E4BEA">
              <w:rPr>
                <w:rFonts w:cs="Arial"/>
                <w:b/>
                <w:bCs/>
                <w:color w:val="000099"/>
                <w:szCs w:val="20"/>
              </w:rPr>
              <w:t>415.391,11</w:t>
            </w:r>
          </w:p>
        </w:tc>
        <w:tc>
          <w:tcPr>
            <w:tcW w:w="1121" w:type="dxa"/>
            <w:tcBorders>
              <w:top w:val="single" w:sz="4" w:space="0" w:color="auto"/>
              <w:left w:val="nil"/>
              <w:bottom w:val="single" w:sz="4" w:space="0" w:color="auto"/>
              <w:right w:val="single" w:sz="4" w:space="0" w:color="auto"/>
            </w:tcBorders>
            <w:shd w:val="clear" w:color="000000" w:fill="FFFFFF"/>
            <w:noWrap/>
            <w:vAlign w:val="bottom"/>
            <w:hideMark/>
          </w:tcPr>
          <w:p w14:paraId="4728AAF4" w14:textId="77777777" w:rsidR="00FE461F" w:rsidRPr="005E4BEA" w:rsidRDefault="00FE461F" w:rsidP="00FE461F">
            <w:pPr>
              <w:spacing w:line="240" w:lineRule="auto"/>
              <w:jc w:val="both"/>
              <w:outlineLvl w:val="0"/>
              <w:rPr>
                <w:rFonts w:cs="Arial"/>
                <w:b/>
                <w:bCs/>
                <w:color w:val="000099"/>
                <w:szCs w:val="20"/>
              </w:rPr>
            </w:pPr>
            <w:r w:rsidRPr="005E4BEA">
              <w:rPr>
                <w:rFonts w:cs="Arial"/>
                <w:b/>
                <w:bCs/>
                <w:color w:val="000099"/>
                <w:szCs w:val="20"/>
              </w:rPr>
              <w:t>34.615,93</w:t>
            </w:r>
          </w:p>
        </w:tc>
      </w:tr>
      <w:tr w:rsidR="00FE461F" w:rsidRPr="005E4BEA" w14:paraId="1EBC9666" w14:textId="77777777" w:rsidTr="0016774B">
        <w:trPr>
          <w:trHeight w:val="124"/>
        </w:trPr>
        <w:tc>
          <w:tcPr>
            <w:tcW w:w="688" w:type="dxa"/>
            <w:tcBorders>
              <w:top w:val="nil"/>
              <w:left w:val="single" w:sz="4" w:space="0" w:color="auto"/>
              <w:bottom w:val="single" w:sz="4" w:space="0" w:color="auto"/>
              <w:right w:val="single" w:sz="4" w:space="0" w:color="auto"/>
            </w:tcBorders>
            <w:shd w:val="clear" w:color="000000" w:fill="FFFFFF"/>
            <w:noWrap/>
            <w:vAlign w:val="bottom"/>
            <w:hideMark/>
          </w:tcPr>
          <w:p w14:paraId="0F09FC28"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0,85</w:t>
            </w:r>
          </w:p>
        </w:tc>
        <w:tc>
          <w:tcPr>
            <w:tcW w:w="403" w:type="dxa"/>
            <w:tcBorders>
              <w:top w:val="nil"/>
              <w:left w:val="nil"/>
              <w:bottom w:val="single" w:sz="4" w:space="0" w:color="auto"/>
              <w:right w:val="single" w:sz="4" w:space="0" w:color="auto"/>
            </w:tcBorders>
            <w:shd w:val="clear" w:color="auto" w:fill="auto"/>
            <w:noWrap/>
            <w:vAlign w:val="bottom"/>
            <w:hideMark/>
          </w:tcPr>
          <w:p w14:paraId="0D1B474D"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28</w:t>
            </w:r>
          </w:p>
        </w:tc>
        <w:tc>
          <w:tcPr>
            <w:tcW w:w="1261" w:type="dxa"/>
            <w:tcBorders>
              <w:top w:val="nil"/>
              <w:left w:val="nil"/>
              <w:bottom w:val="single" w:sz="4" w:space="0" w:color="auto"/>
              <w:right w:val="single" w:sz="4" w:space="0" w:color="auto"/>
            </w:tcBorders>
            <w:shd w:val="clear" w:color="000000" w:fill="FFFFCC"/>
            <w:noWrap/>
            <w:vAlign w:val="bottom"/>
            <w:hideMark/>
          </w:tcPr>
          <w:p w14:paraId="6A8B145C"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12.951,76</w:t>
            </w:r>
          </w:p>
        </w:tc>
        <w:tc>
          <w:tcPr>
            <w:tcW w:w="1261" w:type="dxa"/>
            <w:tcBorders>
              <w:top w:val="nil"/>
              <w:left w:val="nil"/>
              <w:bottom w:val="single" w:sz="4" w:space="0" w:color="auto"/>
              <w:right w:val="single" w:sz="4" w:space="0" w:color="auto"/>
            </w:tcBorders>
            <w:shd w:val="clear" w:color="000000" w:fill="FFFFFF"/>
            <w:noWrap/>
            <w:vAlign w:val="bottom"/>
            <w:hideMark/>
          </w:tcPr>
          <w:p w14:paraId="749900E2"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16.366,26</w:t>
            </w:r>
          </w:p>
        </w:tc>
        <w:tc>
          <w:tcPr>
            <w:tcW w:w="1121" w:type="dxa"/>
            <w:tcBorders>
              <w:top w:val="nil"/>
              <w:left w:val="nil"/>
              <w:bottom w:val="single" w:sz="4" w:space="0" w:color="auto"/>
              <w:right w:val="single" w:sz="4" w:space="0" w:color="auto"/>
            </w:tcBorders>
            <w:shd w:val="clear" w:color="000000" w:fill="FFFFFF"/>
            <w:noWrap/>
            <w:vAlign w:val="bottom"/>
            <w:hideMark/>
          </w:tcPr>
          <w:p w14:paraId="2CC3DAC9"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1.437,87</w:t>
            </w:r>
          </w:p>
        </w:tc>
        <w:tc>
          <w:tcPr>
            <w:tcW w:w="1261" w:type="dxa"/>
            <w:tcBorders>
              <w:top w:val="nil"/>
              <w:left w:val="nil"/>
              <w:bottom w:val="single" w:sz="4" w:space="0" w:color="auto"/>
              <w:right w:val="single" w:sz="4" w:space="0" w:color="auto"/>
            </w:tcBorders>
            <w:shd w:val="clear" w:color="000000" w:fill="E2EFDA"/>
            <w:noWrap/>
            <w:vAlign w:val="bottom"/>
            <w:hideMark/>
          </w:tcPr>
          <w:p w14:paraId="70AD0E15"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17.804,13</w:t>
            </w:r>
          </w:p>
        </w:tc>
        <w:tc>
          <w:tcPr>
            <w:tcW w:w="1121" w:type="dxa"/>
            <w:tcBorders>
              <w:top w:val="nil"/>
              <w:left w:val="nil"/>
              <w:bottom w:val="single" w:sz="4" w:space="0" w:color="auto"/>
              <w:right w:val="single" w:sz="4" w:space="0" w:color="auto"/>
            </w:tcBorders>
            <w:shd w:val="clear" w:color="000000" w:fill="FFFFFF"/>
            <w:noWrap/>
            <w:vAlign w:val="bottom"/>
            <w:hideMark/>
          </w:tcPr>
          <w:p w14:paraId="3A023D41"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 </w:t>
            </w:r>
          </w:p>
        </w:tc>
        <w:tc>
          <w:tcPr>
            <w:tcW w:w="1136" w:type="dxa"/>
            <w:tcBorders>
              <w:top w:val="nil"/>
              <w:left w:val="nil"/>
              <w:bottom w:val="single" w:sz="4" w:space="0" w:color="auto"/>
              <w:right w:val="single" w:sz="4" w:space="0" w:color="auto"/>
            </w:tcBorders>
            <w:shd w:val="clear" w:color="000000" w:fill="FFFFFF"/>
            <w:noWrap/>
            <w:vAlign w:val="bottom"/>
            <w:hideMark/>
          </w:tcPr>
          <w:p w14:paraId="02F4C9BF"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 </w:t>
            </w:r>
          </w:p>
        </w:tc>
        <w:tc>
          <w:tcPr>
            <w:tcW w:w="1121" w:type="dxa"/>
            <w:tcBorders>
              <w:top w:val="nil"/>
              <w:left w:val="nil"/>
              <w:bottom w:val="single" w:sz="4" w:space="0" w:color="auto"/>
              <w:right w:val="single" w:sz="4" w:space="0" w:color="auto"/>
            </w:tcBorders>
            <w:shd w:val="clear" w:color="000000" w:fill="FFFFFF"/>
            <w:noWrap/>
            <w:vAlign w:val="bottom"/>
            <w:hideMark/>
          </w:tcPr>
          <w:p w14:paraId="03EC63C8" w14:textId="77777777" w:rsidR="00FE461F" w:rsidRPr="005E4BEA" w:rsidRDefault="00FE461F" w:rsidP="00FE461F">
            <w:pPr>
              <w:spacing w:line="240" w:lineRule="auto"/>
              <w:jc w:val="both"/>
              <w:outlineLvl w:val="0"/>
              <w:rPr>
                <w:rFonts w:cs="Arial"/>
                <w:color w:val="000000"/>
                <w:szCs w:val="20"/>
              </w:rPr>
            </w:pPr>
            <w:r w:rsidRPr="005E4BEA">
              <w:rPr>
                <w:rFonts w:cs="Arial"/>
                <w:color w:val="000000"/>
                <w:szCs w:val="20"/>
              </w:rPr>
              <w:t> </w:t>
            </w:r>
          </w:p>
        </w:tc>
      </w:tr>
    </w:tbl>
    <w:p w14:paraId="43E28E01" w14:textId="77777777" w:rsidR="00FE461F" w:rsidRPr="005E4BEA" w:rsidRDefault="00FE461F" w:rsidP="00FE461F">
      <w:pPr>
        <w:spacing w:line="240" w:lineRule="auto"/>
        <w:jc w:val="both"/>
        <w:rPr>
          <w:rFonts w:cs="Arial"/>
          <w:szCs w:val="20"/>
        </w:rPr>
      </w:pPr>
      <w:r w:rsidRPr="005E4BEA">
        <w:rPr>
          <w:rFonts w:cs="Arial"/>
          <w:szCs w:val="20"/>
        </w:rPr>
        <w:t>* v pripravljenosti</w:t>
      </w:r>
    </w:p>
    <w:p w14:paraId="656E877A" w14:textId="77777777" w:rsidR="00FE461F" w:rsidRPr="005E4BEA" w:rsidRDefault="00FE461F" w:rsidP="00FE461F">
      <w:pPr>
        <w:spacing w:line="240" w:lineRule="auto"/>
        <w:jc w:val="both"/>
        <w:rPr>
          <w:rFonts w:cs="Arial"/>
          <w:szCs w:val="20"/>
        </w:rPr>
      </w:pPr>
      <w:r w:rsidRPr="005E4BEA">
        <w:rPr>
          <w:rFonts w:cs="Arial"/>
          <w:szCs w:val="20"/>
        </w:rPr>
        <w:t>Velja od 1.1. 2022</w:t>
      </w:r>
    </w:p>
    <w:p w14:paraId="5C504403" w14:textId="77777777" w:rsidR="00FE461F" w:rsidRPr="005E4BEA" w:rsidRDefault="00FE461F" w:rsidP="00FE461F">
      <w:pPr>
        <w:spacing w:line="240" w:lineRule="auto"/>
        <w:jc w:val="both"/>
        <w:rPr>
          <w:rFonts w:cs="Arial"/>
          <w:szCs w:val="20"/>
        </w:rPr>
      </w:pPr>
    </w:p>
    <w:p w14:paraId="0E4E0820" w14:textId="77777777" w:rsidR="00FE461F" w:rsidRPr="005E4BEA" w:rsidRDefault="00FE461F" w:rsidP="00FE461F">
      <w:pPr>
        <w:spacing w:line="240" w:lineRule="auto"/>
        <w:jc w:val="both"/>
        <w:rPr>
          <w:rFonts w:cs="Arial"/>
          <w:b/>
          <w:bCs/>
          <w:szCs w:val="20"/>
        </w:rPr>
      </w:pPr>
      <w:r w:rsidRPr="005E4BEA">
        <w:rPr>
          <w:rFonts w:cs="Arial"/>
          <w:b/>
          <w:bCs/>
          <w:szCs w:val="20"/>
        </w:rPr>
        <w:t>V 24. členu se v (6) šestem odstavku v tabeli doda novo vrstico za nujne širitve programov oziroma uvajanje novih terapij:</w:t>
      </w:r>
    </w:p>
    <w:p w14:paraId="629A6FB7" w14:textId="77777777" w:rsidR="00FE461F" w:rsidRPr="005E4BEA" w:rsidRDefault="00FE461F" w:rsidP="00FE461F">
      <w:pPr>
        <w:spacing w:line="240" w:lineRule="auto"/>
        <w:jc w:val="both"/>
        <w:rPr>
          <w:rFonts w:cs="Arial"/>
          <w:b/>
          <w:bCs/>
          <w:szCs w:val="20"/>
        </w:rPr>
      </w:pPr>
    </w:p>
    <w:tbl>
      <w:tblPr>
        <w:tblW w:w="9539" w:type="dxa"/>
        <w:tblCellMar>
          <w:left w:w="70" w:type="dxa"/>
          <w:right w:w="70" w:type="dxa"/>
        </w:tblCellMar>
        <w:tblLook w:val="04A0" w:firstRow="1" w:lastRow="0" w:firstColumn="1" w:lastColumn="0" w:noHBand="0" w:noVBand="1"/>
      </w:tblPr>
      <w:tblGrid>
        <w:gridCol w:w="2165"/>
        <w:gridCol w:w="1309"/>
        <w:gridCol w:w="1309"/>
        <w:gridCol w:w="2378"/>
        <w:gridCol w:w="2378"/>
      </w:tblGrid>
      <w:tr w:rsidR="00FE461F" w:rsidRPr="005E4BEA" w14:paraId="53808B8C" w14:textId="77777777" w:rsidTr="0016774B">
        <w:trPr>
          <w:trHeight w:val="125"/>
        </w:trPr>
        <w:tc>
          <w:tcPr>
            <w:tcW w:w="2165"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59BCB33E"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P r o g r a m</w:t>
            </w:r>
          </w:p>
        </w:tc>
        <w:tc>
          <w:tcPr>
            <w:tcW w:w="1309" w:type="dxa"/>
            <w:vMerge w:val="restart"/>
            <w:tcBorders>
              <w:top w:val="single" w:sz="8" w:space="0" w:color="auto"/>
              <w:left w:val="single" w:sz="8" w:space="0" w:color="auto"/>
              <w:bottom w:val="single" w:sz="8" w:space="0" w:color="000000"/>
              <w:right w:val="single" w:sz="8" w:space="0" w:color="auto"/>
            </w:tcBorders>
            <w:shd w:val="clear" w:color="000000" w:fill="8EA9DB"/>
            <w:noWrap/>
            <w:vAlign w:val="center"/>
            <w:hideMark/>
          </w:tcPr>
          <w:p w14:paraId="373543B7"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I z v a j a l e c</w:t>
            </w:r>
          </w:p>
        </w:tc>
        <w:tc>
          <w:tcPr>
            <w:tcW w:w="1309"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14:paraId="1173966E"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Obseg programa</w:t>
            </w:r>
          </w:p>
        </w:tc>
        <w:tc>
          <w:tcPr>
            <w:tcW w:w="2378" w:type="dxa"/>
            <w:tcBorders>
              <w:top w:val="single" w:sz="8" w:space="0" w:color="auto"/>
              <w:left w:val="nil"/>
              <w:bottom w:val="nil"/>
              <w:right w:val="single" w:sz="8" w:space="0" w:color="auto"/>
            </w:tcBorders>
            <w:shd w:val="clear" w:color="000000" w:fill="8EA9DB"/>
            <w:noWrap/>
            <w:vAlign w:val="center"/>
            <w:hideMark/>
          </w:tcPr>
          <w:p w14:paraId="1A5EB05D"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w:t>
            </w:r>
          </w:p>
        </w:tc>
        <w:tc>
          <w:tcPr>
            <w:tcW w:w="2378" w:type="dxa"/>
            <w:tcBorders>
              <w:top w:val="single" w:sz="8" w:space="0" w:color="auto"/>
              <w:left w:val="nil"/>
              <w:bottom w:val="nil"/>
              <w:right w:val="single" w:sz="8" w:space="0" w:color="auto"/>
            </w:tcBorders>
            <w:shd w:val="clear" w:color="000000" w:fill="8EA9DB"/>
            <w:noWrap/>
            <w:vAlign w:val="center"/>
            <w:hideMark/>
          </w:tcPr>
          <w:p w14:paraId="3DA08E51"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w:t>
            </w:r>
          </w:p>
        </w:tc>
      </w:tr>
      <w:tr w:rsidR="00FE461F" w:rsidRPr="005E4BEA" w14:paraId="780359F9" w14:textId="77777777" w:rsidTr="0016774B">
        <w:trPr>
          <w:trHeight w:val="125"/>
        </w:trPr>
        <w:tc>
          <w:tcPr>
            <w:tcW w:w="2165" w:type="dxa"/>
            <w:vMerge/>
            <w:tcBorders>
              <w:top w:val="single" w:sz="8" w:space="0" w:color="auto"/>
              <w:left w:val="single" w:sz="8" w:space="0" w:color="auto"/>
              <w:bottom w:val="single" w:sz="8" w:space="0" w:color="000000"/>
              <w:right w:val="single" w:sz="8" w:space="0" w:color="auto"/>
            </w:tcBorders>
            <w:vAlign w:val="center"/>
            <w:hideMark/>
          </w:tcPr>
          <w:p w14:paraId="057656B3" w14:textId="77777777" w:rsidR="00FE461F" w:rsidRPr="005E4BEA" w:rsidRDefault="00FE461F" w:rsidP="00FE461F">
            <w:pPr>
              <w:spacing w:line="240" w:lineRule="auto"/>
              <w:jc w:val="both"/>
              <w:rPr>
                <w:rFonts w:cs="Arial"/>
                <w:b/>
                <w:bCs/>
                <w:color w:val="000000"/>
                <w:szCs w:val="20"/>
              </w:rPr>
            </w:pPr>
          </w:p>
        </w:tc>
        <w:tc>
          <w:tcPr>
            <w:tcW w:w="1309" w:type="dxa"/>
            <w:vMerge/>
            <w:tcBorders>
              <w:top w:val="single" w:sz="8" w:space="0" w:color="auto"/>
              <w:left w:val="single" w:sz="8" w:space="0" w:color="auto"/>
              <w:bottom w:val="single" w:sz="8" w:space="0" w:color="000000"/>
              <w:right w:val="single" w:sz="8" w:space="0" w:color="auto"/>
            </w:tcBorders>
            <w:vAlign w:val="center"/>
            <w:hideMark/>
          </w:tcPr>
          <w:p w14:paraId="27E8C687" w14:textId="77777777" w:rsidR="00FE461F" w:rsidRPr="005E4BEA" w:rsidRDefault="00FE461F" w:rsidP="00FE461F">
            <w:pPr>
              <w:spacing w:line="240" w:lineRule="auto"/>
              <w:jc w:val="both"/>
              <w:rPr>
                <w:rFonts w:cs="Arial"/>
                <w:b/>
                <w:bCs/>
                <w:color w:val="000000"/>
                <w:szCs w:val="20"/>
              </w:rPr>
            </w:pPr>
          </w:p>
        </w:tc>
        <w:tc>
          <w:tcPr>
            <w:tcW w:w="1309" w:type="dxa"/>
            <w:vMerge/>
            <w:tcBorders>
              <w:top w:val="single" w:sz="8" w:space="0" w:color="auto"/>
              <w:left w:val="single" w:sz="8" w:space="0" w:color="auto"/>
              <w:bottom w:val="single" w:sz="8" w:space="0" w:color="000000"/>
              <w:right w:val="single" w:sz="8" w:space="0" w:color="auto"/>
            </w:tcBorders>
            <w:vAlign w:val="center"/>
            <w:hideMark/>
          </w:tcPr>
          <w:p w14:paraId="2814F70C" w14:textId="77777777" w:rsidR="00FE461F" w:rsidRPr="005E4BEA" w:rsidRDefault="00FE461F" w:rsidP="00FE461F">
            <w:pPr>
              <w:spacing w:line="240" w:lineRule="auto"/>
              <w:jc w:val="both"/>
              <w:rPr>
                <w:rFonts w:cs="Arial"/>
                <w:b/>
                <w:bCs/>
                <w:color w:val="000000"/>
                <w:szCs w:val="20"/>
              </w:rPr>
            </w:pPr>
          </w:p>
        </w:tc>
        <w:tc>
          <w:tcPr>
            <w:tcW w:w="2378" w:type="dxa"/>
            <w:tcBorders>
              <w:top w:val="nil"/>
              <w:left w:val="nil"/>
              <w:bottom w:val="nil"/>
              <w:right w:val="single" w:sz="8" w:space="0" w:color="auto"/>
            </w:tcBorders>
            <w:shd w:val="clear" w:color="000000" w:fill="8EA9DB"/>
            <w:noWrap/>
            <w:vAlign w:val="center"/>
            <w:hideMark/>
          </w:tcPr>
          <w:p w14:paraId="47563E35"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na letni ravni</w:t>
            </w:r>
          </w:p>
        </w:tc>
        <w:tc>
          <w:tcPr>
            <w:tcW w:w="2378" w:type="dxa"/>
            <w:tcBorders>
              <w:top w:val="nil"/>
              <w:left w:val="nil"/>
              <w:bottom w:val="nil"/>
              <w:right w:val="single" w:sz="8" w:space="0" w:color="auto"/>
            </w:tcBorders>
            <w:shd w:val="clear" w:color="000000" w:fill="8EA9DB"/>
            <w:noWrap/>
            <w:vAlign w:val="center"/>
            <w:hideMark/>
          </w:tcPr>
          <w:p w14:paraId="529D4F9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1.1.-31.12.2021</w:t>
            </w:r>
          </w:p>
        </w:tc>
      </w:tr>
      <w:tr w:rsidR="00FE461F" w:rsidRPr="005E4BEA" w14:paraId="3A459148" w14:textId="77777777" w:rsidTr="0016774B">
        <w:trPr>
          <w:trHeight w:val="118"/>
        </w:trPr>
        <w:tc>
          <w:tcPr>
            <w:tcW w:w="2165" w:type="dxa"/>
            <w:vMerge/>
            <w:tcBorders>
              <w:top w:val="single" w:sz="8" w:space="0" w:color="auto"/>
              <w:left w:val="single" w:sz="8" w:space="0" w:color="auto"/>
              <w:bottom w:val="single" w:sz="8" w:space="0" w:color="000000"/>
              <w:right w:val="single" w:sz="8" w:space="0" w:color="auto"/>
            </w:tcBorders>
            <w:vAlign w:val="center"/>
            <w:hideMark/>
          </w:tcPr>
          <w:p w14:paraId="339FAAE8" w14:textId="77777777" w:rsidR="00FE461F" w:rsidRPr="005E4BEA" w:rsidRDefault="00FE461F" w:rsidP="00FE461F">
            <w:pPr>
              <w:spacing w:line="240" w:lineRule="auto"/>
              <w:jc w:val="both"/>
              <w:rPr>
                <w:rFonts w:cs="Arial"/>
                <w:b/>
                <w:bCs/>
                <w:color w:val="000000"/>
                <w:szCs w:val="20"/>
              </w:rPr>
            </w:pPr>
          </w:p>
        </w:tc>
        <w:tc>
          <w:tcPr>
            <w:tcW w:w="1309" w:type="dxa"/>
            <w:vMerge/>
            <w:tcBorders>
              <w:top w:val="single" w:sz="8" w:space="0" w:color="auto"/>
              <w:left w:val="single" w:sz="8" w:space="0" w:color="auto"/>
              <w:bottom w:val="single" w:sz="8" w:space="0" w:color="000000"/>
              <w:right w:val="single" w:sz="8" w:space="0" w:color="auto"/>
            </w:tcBorders>
            <w:vAlign w:val="center"/>
            <w:hideMark/>
          </w:tcPr>
          <w:p w14:paraId="0F6C4D17" w14:textId="77777777" w:rsidR="00FE461F" w:rsidRPr="005E4BEA" w:rsidRDefault="00FE461F" w:rsidP="00FE461F">
            <w:pPr>
              <w:spacing w:line="240" w:lineRule="auto"/>
              <w:jc w:val="both"/>
              <w:rPr>
                <w:rFonts w:cs="Arial"/>
                <w:b/>
                <w:bCs/>
                <w:color w:val="000000"/>
                <w:szCs w:val="20"/>
              </w:rPr>
            </w:pPr>
          </w:p>
        </w:tc>
        <w:tc>
          <w:tcPr>
            <w:tcW w:w="1309" w:type="dxa"/>
            <w:vMerge/>
            <w:tcBorders>
              <w:top w:val="single" w:sz="8" w:space="0" w:color="auto"/>
              <w:left w:val="single" w:sz="8" w:space="0" w:color="auto"/>
              <w:bottom w:val="single" w:sz="8" w:space="0" w:color="000000"/>
              <w:right w:val="single" w:sz="8" w:space="0" w:color="auto"/>
            </w:tcBorders>
            <w:vAlign w:val="center"/>
            <w:hideMark/>
          </w:tcPr>
          <w:p w14:paraId="48D637C8" w14:textId="77777777" w:rsidR="00FE461F" w:rsidRPr="005E4BEA" w:rsidRDefault="00FE461F" w:rsidP="00FE461F">
            <w:pPr>
              <w:spacing w:line="240" w:lineRule="auto"/>
              <w:jc w:val="both"/>
              <w:rPr>
                <w:rFonts w:cs="Arial"/>
                <w:b/>
                <w:bCs/>
                <w:color w:val="000000"/>
                <w:szCs w:val="20"/>
              </w:rPr>
            </w:pPr>
          </w:p>
        </w:tc>
        <w:tc>
          <w:tcPr>
            <w:tcW w:w="2378" w:type="dxa"/>
            <w:tcBorders>
              <w:top w:val="nil"/>
              <w:left w:val="nil"/>
              <w:bottom w:val="nil"/>
              <w:right w:val="single" w:sz="8" w:space="0" w:color="auto"/>
            </w:tcBorders>
            <w:shd w:val="clear" w:color="000000" w:fill="8EA9DB"/>
            <w:noWrap/>
            <w:vAlign w:val="center"/>
            <w:hideMark/>
          </w:tcPr>
          <w:p w14:paraId="5D26D7FC"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c>
          <w:tcPr>
            <w:tcW w:w="2378" w:type="dxa"/>
            <w:tcBorders>
              <w:top w:val="nil"/>
              <w:left w:val="nil"/>
              <w:bottom w:val="nil"/>
              <w:right w:val="single" w:sz="8" w:space="0" w:color="auto"/>
            </w:tcBorders>
            <w:shd w:val="clear" w:color="000000" w:fill="8EA9DB"/>
            <w:noWrap/>
            <w:vAlign w:val="center"/>
            <w:hideMark/>
          </w:tcPr>
          <w:p w14:paraId="3638C0B4"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r>
      <w:tr w:rsidR="00FE461F" w:rsidRPr="005E4BEA" w14:paraId="65C9D4FD" w14:textId="77777777" w:rsidTr="0016774B">
        <w:trPr>
          <w:trHeight w:val="460"/>
        </w:trPr>
        <w:tc>
          <w:tcPr>
            <w:tcW w:w="2165" w:type="dxa"/>
            <w:tcBorders>
              <w:top w:val="nil"/>
              <w:left w:val="single" w:sz="8" w:space="0" w:color="auto"/>
              <w:bottom w:val="single" w:sz="8" w:space="0" w:color="auto"/>
              <w:right w:val="single" w:sz="8" w:space="0" w:color="auto"/>
            </w:tcBorders>
            <w:shd w:val="clear" w:color="000000" w:fill="FFFFFF"/>
            <w:vAlign w:val="center"/>
            <w:hideMark/>
          </w:tcPr>
          <w:p w14:paraId="19E35378"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Spremstvo za sekundarni </w:t>
            </w:r>
            <w:proofErr w:type="spellStart"/>
            <w:r w:rsidRPr="005E4BEA">
              <w:rPr>
                <w:rFonts w:cs="Arial"/>
                <w:color w:val="000000"/>
                <w:szCs w:val="20"/>
              </w:rPr>
              <w:t>medbolnišnični</w:t>
            </w:r>
            <w:proofErr w:type="spellEnd"/>
            <w:r w:rsidRPr="005E4BEA">
              <w:rPr>
                <w:rFonts w:cs="Arial"/>
                <w:color w:val="000000"/>
                <w:szCs w:val="20"/>
              </w:rPr>
              <w:t xml:space="preserve"> prevoz</w:t>
            </w:r>
          </w:p>
        </w:tc>
        <w:tc>
          <w:tcPr>
            <w:tcW w:w="1309" w:type="dxa"/>
            <w:tcBorders>
              <w:top w:val="nil"/>
              <w:left w:val="nil"/>
              <w:bottom w:val="single" w:sz="8" w:space="0" w:color="auto"/>
              <w:right w:val="single" w:sz="8" w:space="0" w:color="auto"/>
            </w:tcBorders>
            <w:shd w:val="clear" w:color="000000" w:fill="FFFFFF"/>
            <w:vAlign w:val="center"/>
            <w:hideMark/>
          </w:tcPr>
          <w:p w14:paraId="4105F40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Bolnišnice</w:t>
            </w:r>
          </w:p>
        </w:tc>
        <w:tc>
          <w:tcPr>
            <w:tcW w:w="1309" w:type="dxa"/>
            <w:tcBorders>
              <w:top w:val="nil"/>
              <w:left w:val="nil"/>
              <w:bottom w:val="single" w:sz="8" w:space="0" w:color="auto"/>
              <w:right w:val="single" w:sz="8" w:space="0" w:color="auto"/>
            </w:tcBorders>
            <w:shd w:val="clear" w:color="000000" w:fill="FFFFFF"/>
            <w:vAlign w:val="center"/>
            <w:hideMark/>
          </w:tcPr>
          <w:p w14:paraId="1C700E7C"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26</w:t>
            </w:r>
          </w:p>
        </w:tc>
        <w:tc>
          <w:tcPr>
            <w:tcW w:w="2378" w:type="dxa"/>
            <w:tcBorders>
              <w:top w:val="single" w:sz="8" w:space="0" w:color="auto"/>
              <w:left w:val="nil"/>
              <w:bottom w:val="single" w:sz="8" w:space="0" w:color="auto"/>
              <w:right w:val="single" w:sz="8" w:space="0" w:color="auto"/>
            </w:tcBorders>
            <w:shd w:val="clear" w:color="000000" w:fill="FFFFFF"/>
            <w:vAlign w:val="center"/>
            <w:hideMark/>
          </w:tcPr>
          <w:p w14:paraId="11E85F46" w14:textId="77777777" w:rsidR="00FE461F" w:rsidRPr="005E4BEA" w:rsidRDefault="00FE461F" w:rsidP="00FE461F">
            <w:pPr>
              <w:spacing w:line="240" w:lineRule="auto"/>
              <w:jc w:val="both"/>
              <w:rPr>
                <w:rFonts w:cs="Arial"/>
                <w:b/>
                <w:bCs/>
                <w:color w:val="000099"/>
                <w:szCs w:val="20"/>
              </w:rPr>
            </w:pPr>
            <w:r w:rsidRPr="005E4BEA">
              <w:rPr>
                <w:rFonts w:cs="Arial"/>
                <w:b/>
                <w:bCs/>
                <w:color w:val="000099"/>
                <w:szCs w:val="20"/>
              </w:rPr>
              <w:t>11.215.559,96</w:t>
            </w:r>
          </w:p>
        </w:tc>
        <w:tc>
          <w:tcPr>
            <w:tcW w:w="2378" w:type="dxa"/>
            <w:tcBorders>
              <w:top w:val="single" w:sz="8" w:space="0" w:color="auto"/>
              <w:left w:val="nil"/>
              <w:bottom w:val="single" w:sz="8" w:space="0" w:color="auto"/>
              <w:right w:val="single" w:sz="8" w:space="0" w:color="auto"/>
            </w:tcBorders>
            <w:shd w:val="clear" w:color="000000" w:fill="FFFFFF"/>
            <w:vAlign w:val="center"/>
            <w:hideMark/>
          </w:tcPr>
          <w:p w14:paraId="1A9BCB10"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 xml:space="preserve"> </w:t>
            </w:r>
            <w:r w:rsidRPr="005E4BEA">
              <w:rPr>
                <w:rFonts w:cs="Arial"/>
                <w:b/>
                <w:bCs/>
                <w:color w:val="000099"/>
                <w:szCs w:val="20"/>
              </w:rPr>
              <w:t>11.215.559,96</w:t>
            </w:r>
          </w:p>
        </w:tc>
      </w:tr>
    </w:tbl>
    <w:p w14:paraId="0AFCE640" w14:textId="77777777" w:rsidR="00FE461F" w:rsidRPr="005E4BEA" w:rsidRDefault="00FE461F" w:rsidP="00FE461F">
      <w:pPr>
        <w:spacing w:line="240" w:lineRule="auto"/>
        <w:jc w:val="both"/>
        <w:rPr>
          <w:rFonts w:cs="Arial"/>
          <w:szCs w:val="20"/>
        </w:rPr>
      </w:pPr>
    </w:p>
    <w:p w14:paraId="2319CDCA" w14:textId="77777777" w:rsidR="00FE461F" w:rsidRPr="005E4BEA" w:rsidRDefault="00FE461F" w:rsidP="00FE461F">
      <w:pPr>
        <w:spacing w:line="240" w:lineRule="auto"/>
        <w:jc w:val="both"/>
        <w:rPr>
          <w:rFonts w:eastAsia="Calibri" w:cs="Arial"/>
          <w:b/>
          <w:bCs/>
          <w:i/>
          <w:iCs/>
          <w:color w:val="7F7F7F"/>
          <w:szCs w:val="20"/>
          <w:u w:val="single"/>
        </w:rPr>
      </w:pPr>
    </w:p>
    <w:p w14:paraId="2FF87C20"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ABEA4E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Združenje predlaga, da se sprejme nov standard za zagotavljanje zdravnika za spremstvo pri akutno ogroženih bolnikih v drugo ustanovo. Za ta namen se zagotovi v standardu zdravnika v pripravljenosti 24 ur ob delavnikih, sobotah, nedeljah in praznikih. Vsem bolnišnicam se zagotovi standard oziroma število standardov glede na izkazane potrebe. (evalvacija prevozov v obdobju 2019, 2020 in 2021). </w:t>
      </w:r>
    </w:p>
    <w:p w14:paraId="2EC809A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Sekundarni transporti pacientov so definirani v Pravilniku o prevozih pacientov (</w:t>
      </w:r>
      <w:proofErr w:type="spellStart"/>
      <w:r w:rsidRPr="005E4BEA">
        <w:rPr>
          <w:rFonts w:cs="Arial"/>
          <w:i/>
          <w:iCs/>
          <w:color w:val="808080" w:themeColor="background1" w:themeShade="80"/>
          <w:szCs w:val="20"/>
        </w:rPr>
        <w:t>Ur.l</w:t>
      </w:r>
      <w:proofErr w:type="spellEnd"/>
      <w:r w:rsidRPr="005E4BEA">
        <w:rPr>
          <w:rFonts w:cs="Arial"/>
          <w:i/>
          <w:iCs/>
          <w:color w:val="808080" w:themeColor="background1" w:themeShade="80"/>
          <w:szCs w:val="20"/>
        </w:rPr>
        <w:t xml:space="preserve">. RS, št. 107/09, 31/10 in 81/15) in sicer v 6. členu, kjer je tudi definirano, da zdravnik v </w:t>
      </w:r>
      <w:proofErr w:type="spellStart"/>
      <w:r w:rsidRPr="005E4BEA">
        <w:rPr>
          <w:rFonts w:cs="Arial"/>
          <w:i/>
          <w:iCs/>
          <w:color w:val="808080" w:themeColor="background1" w:themeShade="80"/>
          <w:szCs w:val="20"/>
        </w:rPr>
        <w:t>napotni</w:t>
      </w:r>
      <w:proofErr w:type="spellEnd"/>
      <w:r w:rsidRPr="005E4BEA">
        <w:rPr>
          <w:rFonts w:cs="Arial"/>
          <w:i/>
          <w:iCs/>
          <w:color w:val="808080" w:themeColor="background1" w:themeShade="80"/>
          <w:szCs w:val="20"/>
        </w:rPr>
        <w:t xml:space="preserve"> ustanovi določi način, sestavo dodatne ekipe in opremo. To je tudi podlaga, da se po potrebi dopolni ekipa za prevoz pacientov (zdravnik iz </w:t>
      </w:r>
      <w:proofErr w:type="spellStart"/>
      <w:r w:rsidRPr="005E4BEA">
        <w:rPr>
          <w:rFonts w:cs="Arial"/>
          <w:i/>
          <w:iCs/>
          <w:color w:val="808080" w:themeColor="background1" w:themeShade="80"/>
          <w:szCs w:val="20"/>
        </w:rPr>
        <w:t>napotne</w:t>
      </w:r>
      <w:proofErr w:type="spellEnd"/>
      <w:r w:rsidRPr="005E4BEA">
        <w:rPr>
          <w:rFonts w:cs="Arial"/>
          <w:i/>
          <w:iCs/>
          <w:color w:val="808080" w:themeColor="background1" w:themeShade="80"/>
          <w:szCs w:val="20"/>
        </w:rPr>
        <w:t xml:space="preserve"> ustanove), saj 9. člen pravilnika, ki določa sestavo ekipe tega posebej ne določa.</w:t>
      </w:r>
    </w:p>
    <w:p w14:paraId="4B2640A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Zavod, ki izvaja NMP na terenu, mora v primeru potrebe po nujnem sekundarnem transportu zagotoviti ekipo NRV (zdravnik reševalec in diplomirani zdravstvenik) v skladu z določili Pravilnika o službi NMP, </w:t>
      </w:r>
      <w:proofErr w:type="spellStart"/>
      <w:r w:rsidRPr="005E4BEA">
        <w:rPr>
          <w:rFonts w:cs="Arial"/>
          <w:i/>
          <w:iCs/>
          <w:color w:val="808080" w:themeColor="background1" w:themeShade="80"/>
          <w:szCs w:val="20"/>
        </w:rPr>
        <w:t>napotna</w:t>
      </w:r>
      <w:proofErr w:type="spellEnd"/>
      <w:r w:rsidRPr="005E4BEA">
        <w:rPr>
          <w:rFonts w:cs="Arial"/>
          <w:i/>
          <w:iCs/>
          <w:color w:val="808080" w:themeColor="background1" w:themeShade="80"/>
          <w:szCs w:val="20"/>
        </w:rPr>
        <w:t xml:space="preserve"> ustanova pa zdravnika za izvajanje spremstva in oskrbe pacienta med transportom. </w:t>
      </w:r>
    </w:p>
    <w:p w14:paraId="158C08D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Sicer ima mobilna ekipa REA v sestavi tudi zdravnika, ki pa je namenjen za izvajanje NMP na terenu in primarno intervenira na določenem območju (12. člen Pravilnika o službi NMP). Uporaba te ekipe za sekundarni transport bi pomenila dalj4šo odsotnost mobilne enote REA, kar bi predstavljajo veliko tveganje za oskrbo potencialno ogroženih pacientov na terenu v tem času in hkrati kršitev določil 8. člena Pravilnika službe NMP, ki opredeljuje dostopni čas ekip. Problematiko sestave ekip za nujne sekundarne transporte je že leta 2011 obravnaval tudi RSK za urgentno medicino in v zvezi s tem podal mnenje, da mora pacienta vedno spremljati zdravnik, ki je strokovno usposobljen za oskrbo takega pacienta, ki dobro pozna dosedanji potek zdravljenja in pacienta najbolj adekvatno preda zdravniku v sprejemni bolnišnici. </w:t>
      </w:r>
    </w:p>
    <w:p w14:paraId="383CBBD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Tako kot MZ (dopis posredovan prim. Davorinu Benku, SB SG, dne 19.9.2017) se tudi združenje zaveda predvsem vidika pomanjkanja zdravnikov v regionalnih bolnišnicah in posledično s tem težave pri organizaciji dela, ki se še povečajo v primeru odsotnosti zdravnikov zaradi spremstva bolnika v drugo bolnišnico. Zato predlagamo, da se sekundarni </w:t>
      </w:r>
      <w:proofErr w:type="spellStart"/>
      <w:r w:rsidRPr="005E4BEA">
        <w:rPr>
          <w:rFonts w:cs="Arial"/>
          <w:i/>
          <w:iCs/>
          <w:color w:val="808080" w:themeColor="background1" w:themeShade="80"/>
          <w:szCs w:val="20"/>
        </w:rPr>
        <w:t>medbolnišnični</w:t>
      </w:r>
      <w:proofErr w:type="spellEnd"/>
      <w:r w:rsidRPr="005E4BEA">
        <w:rPr>
          <w:rFonts w:cs="Arial"/>
          <w:i/>
          <w:iCs/>
          <w:color w:val="808080" w:themeColor="background1" w:themeShade="80"/>
          <w:szCs w:val="20"/>
        </w:rPr>
        <w:t xml:space="preserve"> prevozi organizirajo z angažiranjem dodatnih zdravnikov v pripravljenosti. </w:t>
      </w:r>
    </w:p>
    <w:p w14:paraId="0CFFBBE5" w14:textId="4CD32C01" w:rsidR="00FE461F" w:rsidRPr="005E4BEA" w:rsidRDefault="00FE461F" w:rsidP="00FE461F">
      <w:pPr>
        <w:spacing w:line="240" w:lineRule="auto"/>
        <w:jc w:val="both"/>
        <w:rPr>
          <w:rFonts w:cs="Arial"/>
          <w:i/>
          <w:iCs/>
          <w:color w:val="808080" w:themeColor="background1" w:themeShade="80"/>
          <w:szCs w:val="20"/>
        </w:rPr>
      </w:pPr>
    </w:p>
    <w:p w14:paraId="5C4C0ABD" w14:textId="6C44CF79" w:rsidR="00E708CF" w:rsidRPr="005E4BEA" w:rsidRDefault="00E708CF" w:rsidP="00FE461F">
      <w:pPr>
        <w:spacing w:line="240" w:lineRule="auto"/>
        <w:jc w:val="both"/>
        <w:rPr>
          <w:rFonts w:cs="Arial"/>
          <w:i/>
          <w:iCs/>
          <w:color w:val="808080" w:themeColor="background1" w:themeShade="80"/>
          <w:szCs w:val="20"/>
        </w:rPr>
      </w:pPr>
    </w:p>
    <w:p w14:paraId="4F629007"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133C369C" w14:textId="77777777" w:rsidR="00E708CF" w:rsidRPr="005E4BEA" w:rsidRDefault="00E708CF" w:rsidP="00E708CF">
      <w:pPr>
        <w:spacing w:line="0" w:lineRule="atLeast"/>
        <w:jc w:val="both"/>
        <w:rPr>
          <w:rFonts w:eastAsia="Arial Narrow" w:cs="Arial"/>
          <w:szCs w:val="20"/>
          <w:lang w:eastAsia="sl-SI"/>
        </w:rPr>
      </w:pPr>
    </w:p>
    <w:p w14:paraId="0807BEE4" w14:textId="642E2A58" w:rsidR="00E708CF" w:rsidRPr="005E4BEA" w:rsidRDefault="00E708CF" w:rsidP="00E708CF">
      <w:pPr>
        <w:spacing w:line="0" w:lineRule="atLeast"/>
        <w:contextualSpacing/>
        <w:jc w:val="both"/>
        <w:rPr>
          <w:rFonts w:eastAsiaTheme="minorHAnsi" w:cs="Arial"/>
          <w:bCs/>
          <w:szCs w:val="20"/>
        </w:rPr>
      </w:pPr>
      <w:r w:rsidRPr="005E4BEA">
        <w:rPr>
          <w:rFonts w:eastAsia="Arial Narrow" w:cs="Arial"/>
          <w:b/>
          <w:szCs w:val="20"/>
        </w:rPr>
        <w:lastRenderedPageBreak/>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in 24. člen </w:t>
      </w:r>
      <w:r w:rsidRPr="005E4BEA">
        <w:rPr>
          <w:rFonts w:eastAsiaTheme="minorHAnsi" w:cs="Arial"/>
          <w:bCs/>
          <w:szCs w:val="20"/>
        </w:rPr>
        <w:t>Splošnega dogovora ne spremenita.</w:t>
      </w:r>
    </w:p>
    <w:p w14:paraId="2C32D77E" w14:textId="77777777" w:rsidR="00E708CF" w:rsidRPr="005E4BEA" w:rsidRDefault="00E708CF" w:rsidP="00E708CF">
      <w:pPr>
        <w:spacing w:line="0" w:lineRule="atLeast"/>
        <w:contextualSpacing/>
        <w:jc w:val="both"/>
        <w:rPr>
          <w:rFonts w:eastAsiaTheme="minorHAnsi" w:cs="Arial"/>
          <w:bCs/>
          <w:szCs w:val="20"/>
        </w:rPr>
      </w:pPr>
    </w:p>
    <w:p w14:paraId="3581CC20" w14:textId="77777777" w:rsidR="00E708CF" w:rsidRPr="005E4BEA" w:rsidRDefault="00E708CF" w:rsidP="00E708CF">
      <w:pPr>
        <w:spacing w:line="240" w:lineRule="auto"/>
        <w:jc w:val="both"/>
        <w:rPr>
          <w:rFonts w:eastAsia="Calibri" w:cs="Arial"/>
          <w:i/>
          <w:iCs/>
          <w:color w:val="7F7F7F"/>
          <w:szCs w:val="20"/>
        </w:rPr>
      </w:pPr>
    </w:p>
    <w:p w14:paraId="4F80A8D0" w14:textId="5F0E0327" w:rsidR="00E708CF" w:rsidRPr="005E4BEA" w:rsidRDefault="00E708CF" w:rsidP="00F356C9">
      <w:pPr>
        <w:pStyle w:val="Naslov2"/>
        <w:numPr>
          <w:ilvl w:val="0"/>
          <w:numId w:val="79"/>
        </w:numPr>
        <w:ind w:left="0" w:firstLine="0"/>
        <w:rPr>
          <w:rFonts w:ascii="Arial" w:eastAsia="Arial Narrow" w:hAnsi="Arial" w:cs="Arial"/>
          <w:sz w:val="20"/>
        </w:rPr>
      </w:pPr>
      <w:bookmarkStart w:id="123" w:name="_Hlk102029896"/>
      <w:r w:rsidRPr="005E4BEA">
        <w:rPr>
          <w:rFonts w:ascii="Arial" w:eastAsia="Arial Narrow" w:hAnsi="Arial" w:cs="Arial"/>
          <w:sz w:val="20"/>
        </w:rPr>
        <w:t>SPORNO VPRAŠANJE (96)</w:t>
      </w:r>
    </w:p>
    <w:p w14:paraId="15D90E74" w14:textId="77777777" w:rsidR="00E708CF" w:rsidRPr="005E4BEA" w:rsidRDefault="00E708CF" w:rsidP="00E708CF">
      <w:pPr>
        <w:spacing w:line="240" w:lineRule="auto"/>
        <w:jc w:val="both"/>
        <w:rPr>
          <w:rFonts w:eastAsia="Arial Narrow" w:cs="Arial"/>
          <w:b/>
          <w:szCs w:val="20"/>
        </w:rPr>
      </w:pPr>
    </w:p>
    <w:p w14:paraId="5D46807C" w14:textId="6E8C482F" w:rsidR="00FE461F" w:rsidRPr="005E4BEA" w:rsidRDefault="00E708CF" w:rsidP="00FE461F">
      <w:pPr>
        <w:spacing w:line="240" w:lineRule="auto"/>
        <w:jc w:val="both"/>
        <w:rPr>
          <w:rFonts w:cs="Arial"/>
          <w:bCs/>
          <w:i/>
          <w:iCs/>
          <w:color w:val="808080" w:themeColor="background1" w:themeShade="80"/>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 xml:space="preserve">Prilogi I, doda nov standard </w:t>
      </w:r>
      <w:r w:rsidR="00FE461F" w:rsidRPr="005E4BEA">
        <w:rPr>
          <w:rFonts w:cs="Arial"/>
          <w:bCs/>
          <w:szCs w:val="20"/>
        </w:rPr>
        <w:t>za program medicinske rehabilitacije starejših na sekundarnem nivoju/geriatrični rehabilitacijski program za Bolnišnico Sežana:</w:t>
      </w:r>
    </w:p>
    <w:p w14:paraId="74BBEB23" w14:textId="77777777" w:rsidR="00FE461F" w:rsidRPr="005E4BEA" w:rsidRDefault="00FE461F" w:rsidP="00FE461F">
      <w:pPr>
        <w:spacing w:line="240" w:lineRule="auto"/>
        <w:jc w:val="both"/>
        <w:rPr>
          <w:rFonts w:cs="Arial"/>
          <w:szCs w:val="20"/>
        </w:rPr>
      </w:pPr>
      <w:r w:rsidRPr="005E4BEA">
        <w:rPr>
          <w:rFonts w:cs="Arial"/>
          <w:noProof/>
          <w:szCs w:val="20"/>
        </w:rPr>
        <w:drawing>
          <wp:inline distT="0" distB="0" distL="0" distR="0" wp14:anchorId="1BEE767B" wp14:editId="26441225">
            <wp:extent cx="5965825" cy="3667125"/>
            <wp:effectExtent l="0" t="0" r="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5825" cy="3667125"/>
                    </a:xfrm>
                    <a:prstGeom prst="rect">
                      <a:avLst/>
                    </a:prstGeom>
                    <a:noFill/>
                    <a:ln>
                      <a:noFill/>
                    </a:ln>
                  </pic:spPr>
                </pic:pic>
              </a:graphicData>
            </a:graphic>
          </wp:inline>
        </w:drawing>
      </w:r>
    </w:p>
    <w:p w14:paraId="6838929A" w14:textId="77777777" w:rsidR="00FE461F" w:rsidRPr="005E4BEA" w:rsidRDefault="00FE461F" w:rsidP="00FE461F">
      <w:pPr>
        <w:spacing w:line="240" w:lineRule="auto"/>
        <w:jc w:val="both"/>
        <w:rPr>
          <w:rFonts w:cs="Arial"/>
          <w:szCs w:val="20"/>
        </w:rPr>
      </w:pPr>
    </w:p>
    <w:p w14:paraId="5D5D059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54AB93E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nov standard za izvajanje dejavnosti, ki jo Bolnišnica Sežana načrtuje izvajati po principu geriatrične medicinske rehabilitacije na sekundarnem nivoju in sicer: Geriatrična medicinska rehabilitacija na sekundarnem nivoju BOLNIŠNICE SEŽANA. Pri navedenem predlogu programa gre za prestrukturiranje dela programa Podaljšanega bolnišničnega zdravljenja oz. 29.200 BOD - ovna letnem nivoju. V skladu z Ugotovitveno odločbo Ministrstva za zdravje št. 0140-59/2019-4 z dne 20.5.2019 ima Bolnišnica Sežana dovoljenje za delo fizikalne in rehabilitacijske medicine v bolnišnični dejavnosti. Bolnišnica Sežana izvaja program Podaljšanega bolnišničnega zdravljenja vse od leta 2000 in gaje v zadnjih letih z ureditvijo novih prostorov za rehabilitacijo, nabavo potrebne opreme in zaposlitvijo večjega števila fizioterapevtov in delovnih terapevtov (iznad opredeljenega števila v obstoječem standardu za PBZ) nadgradila v rehabilitacijski program. Zlasti so se kazale velike potrebe po kompleksnejši rehabilitacijski obravnavi starejših. Bolnišnica je že nekaj let znana po tem, da uspešno izvaja rehabilitacijo starejših, zlasti pacientov po travmi, po ortopedskih in kirurških posegih in pacientov, ki so preboleli možgansko kap. Te tri skupine pacientov predstavljajo večinski del sprejetih pacientov na letnem nivoju. Bolnišnica Sežana namreč ni Negovalna bolnišnica„ kamor jo poskušajo nekateri uvrstiti v zadnjih nekaj letih saj kot tal&lt;.a nikoli ni bila registrirana.</w:t>
      </w:r>
    </w:p>
    <w:p w14:paraId="55559A9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bolnišnici se namreč izvaja NEAKUTNA BOLNIŠNIČNA OBRAVNA in sicer program</w:t>
      </w:r>
    </w:p>
    <w:p w14:paraId="5017BFD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»Podaljšanega bolnišničnega zdravljenja z /in rehabilitacijo», kije tudi kot tal&lt;. opredeljen med pravicami iz naslova ZZZS kot tudi v SD.</w:t>
      </w:r>
    </w:p>
    <w:p w14:paraId="3A2744B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Pomembno je, da poudarimo, da se pri pacientih, ki so sprejeti v bolnišnično oskrbo v prvih dneh pripravi individualni program rehabilitacije in se nato spremlja njihov napredek. Povprečna rehabilitacijska doba za paciente je 45 dni, kar je primerljivo s podobnimi zdravstvenimi </w:t>
      </w:r>
      <w:r w:rsidRPr="005E4BEA">
        <w:rPr>
          <w:rFonts w:cs="Arial"/>
          <w:i/>
          <w:iCs/>
          <w:color w:val="808080" w:themeColor="background1" w:themeShade="80"/>
          <w:szCs w:val="20"/>
        </w:rPr>
        <w:lastRenderedPageBreak/>
        <w:t>rehabilitacijskimi programi v EU. Rehabilitacijski program izvaja rehabilitacijski tim, ki pa zaradi omejenih sredstev (cena BO D-a) kadrovsko ni v celoti popolnjen oz. po standardu za rehabilitacijski tim, prav tako tudi ni številčno ustrezen, kar preprečuje celostno obravnavo in hitrejši odpust.</w:t>
      </w:r>
    </w:p>
    <w:p w14:paraId="0F830CE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Prav tako je pomembno poudariti, da so se potrebe po zdravstveni oskrbi starejše populacije spremenile in zahtevajo prilagojen zdravstveni sistem, zlasti zaradi težjih bolezni, poškodb, operacij, kapi, višje dočakane starosti, polimorbidnosti, </w:t>
      </w:r>
      <w:proofErr w:type="spellStart"/>
      <w:r w:rsidRPr="005E4BEA">
        <w:rPr>
          <w:rFonts w:cs="Arial"/>
          <w:i/>
          <w:iCs/>
          <w:color w:val="808080" w:themeColor="background1" w:themeShade="80"/>
          <w:szCs w:val="20"/>
        </w:rPr>
        <w:t>polifarmacije</w:t>
      </w:r>
      <w:proofErr w:type="spellEnd"/>
      <w:r w:rsidRPr="005E4BEA">
        <w:rPr>
          <w:rFonts w:cs="Arial"/>
          <w:i/>
          <w:iCs/>
          <w:color w:val="808080" w:themeColor="background1" w:themeShade="80"/>
          <w:szCs w:val="20"/>
        </w:rPr>
        <w:t xml:space="preserve"> itd. Tako se v zadnji 20 - tih letih tudi v Sloveniji beleži vse večjo potrebo po specialni medicinski obravnavi in rehabilitaciji starejših, ki si po hospitalizaciji želijo vrnitve v domače okolje. Zavodske kapacitete so v zadnjih letih vsekakor premajhne, da bi sprejeli vse čakajoče. Število le-teh pa lahko pomembno zmanjšamo s prilagojenimi rehabilitacijskimi programi.</w:t>
      </w:r>
    </w:p>
    <w:p w14:paraId="3191A74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Bolnišnici Sežana v okviru programa PBZ/N obravnavamo v poprečju letno do 1500 pacientov, kar obsega 36.460-BOD-ov. Iz podatkov je razvidno, da smo v RS bolnišnica, ki izvaja najobsežnejši tovrstni program. Tako npr. iz podatkov iz leta 2018 izhaja, da smo obravnavali štiri najobsežnejše skupine pacientov in sicer iz naslednjih klinik: nevrološke, ortopedske, travmatološke, kirurške klinike UKC in oddelkov SB.</w:t>
      </w:r>
    </w:p>
    <w:p w14:paraId="3BCBD1B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Nekaj podatkov iz analize:</w:t>
      </w:r>
    </w:p>
    <w:p w14:paraId="153A5CA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 določanju ciljev rehabilitacije je pri starostniku potrebno upoštevati številne spremljevalne dejavnike, ki pomembno vplivajo na njegovo sposobnost sodelovanje in funkcioniranje. To so osnovno zdravstveno stanje bolezni, (okužbe, bolečina), kognitivno stanje, jezik - razumevanje, razpoloženjske motnje (</w:t>
      </w:r>
      <w:proofErr w:type="spellStart"/>
      <w:r w:rsidRPr="005E4BEA">
        <w:rPr>
          <w:rFonts w:cs="Arial"/>
          <w:i/>
          <w:iCs/>
          <w:color w:val="808080" w:themeColor="background1" w:themeShade="80"/>
          <w:szCs w:val="20"/>
        </w:rPr>
        <w:t>anksioznost</w:t>
      </w:r>
      <w:proofErr w:type="spellEnd"/>
      <w:r w:rsidRPr="005E4BEA">
        <w:rPr>
          <w:rFonts w:cs="Arial"/>
          <w:i/>
          <w:iCs/>
          <w:color w:val="808080" w:themeColor="background1" w:themeShade="80"/>
          <w:szCs w:val="20"/>
        </w:rPr>
        <w:t>, depresija), vid, sluh, požiranje, prehransko stanje, kontinenca, osnovne in razširjene dnevne aktivnosti, ocena dejavnikov tveganja (padci, preležanine), domače okolje in socialna mreža. Kronične bolezni in polimorbidnost so velik izziv v procesu določanja ciljev zato je pomembno, da so zastavljeni realno. Pri starejših je cilj dostikrat doseganje delnega, a funkcionalnega obsega gibljivosti, samostojnosti pri hoji, premikanju in opravljanju vsakodnevnih življenjskih aktivnosti. S strani pacientov so najpogosteje izpostavljeni cilji: hoja, zmanjšanje bolečine, avtonomnost in vrnitev domov.</w:t>
      </w:r>
    </w:p>
    <w:p w14:paraId="7B00A14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Potek izvajanja medicinske rehabilitacije za starejše/geriatrična rehabilitacija v Bolnišnici Sežana</w:t>
      </w:r>
    </w:p>
    <w:p w14:paraId="6238B06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Na oddelkih, kjer se načrtuje izvajati program medicinske geriatrične rehabilitacije bodo zagotovljeni naslednji pogoji:</w:t>
      </w:r>
    </w:p>
    <w:p w14:paraId="33D470DB" w14:textId="77777777" w:rsidR="00FE461F" w:rsidRPr="005E4BEA" w:rsidRDefault="00FE461F" w:rsidP="00F356C9">
      <w:pPr>
        <w:numPr>
          <w:ilvl w:val="0"/>
          <w:numId w:val="38"/>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stalno prisotnost sobnega zdravnika,</w:t>
      </w:r>
    </w:p>
    <w:p w14:paraId="77FA4AAF" w14:textId="77777777" w:rsidR="00FE461F" w:rsidRPr="005E4BEA" w:rsidRDefault="00FE461F" w:rsidP="00F356C9">
      <w:pPr>
        <w:numPr>
          <w:ilvl w:val="0"/>
          <w:numId w:val="38"/>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stalno prisotnost specialista fizikalne in rehabilitacijske medicine, ki vodi rehabilitacijo; stalno prisotnost in določeno število fizioterapevtov in delovnih terapevtov glede na število postelj,</w:t>
      </w:r>
    </w:p>
    <w:p w14:paraId="58102691" w14:textId="77777777" w:rsidR="00FE461F" w:rsidRPr="005E4BEA" w:rsidRDefault="00FE461F" w:rsidP="00F356C9">
      <w:pPr>
        <w:numPr>
          <w:ilvl w:val="0"/>
          <w:numId w:val="38"/>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ustrezna opremljenost prostorov z medicinsko - tehničnimi pripomočki za izvajanje rehabilitacije,</w:t>
      </w:r>
    </w:p>
    <w:p w14:paraId="7EA4606A" w14:textId="77777777" w:rsidR="00FE461F" w:rsidRPr="005E4BEA" w:rsidRDefault="00FE461F" w:rsidP="00F356C9">
      <w:pPr>
        <w:numPr>
          <w:ilvl w:val="0"/>
          <w:numId w:val="38"/>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zagotovljena ustrezna zdravstvena nega, sodelovanje nutricionista,</w:t>
      </w:r>
    </w:p>
    <w:p w14:paraId="0313B740" w14:textId="77777777" w:rsidR="00FE461F" w:rsidRPr="005E4BEA" w:rsidRDefault="00FE461F" w:rsidP="00F356C9">
      <w:pPr>
        <w:numPr>
          <w:ilvl w:val="0"/>
          <w:numId w:val="38"/>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sodelovanja socialnega delavca, sodelovanje logopeda,</w:t>
      </w:r>
    </w:p>
    <w:p w14:paraId="2669C5BA" w14:textId="77777777" w:rsidR="00FE461F" w:rsidRPr="005E4BEA" w:rsidRDefault="00FE461F" w:rsidP="00F356C9">
      <w:pPr>
        <w:numPr>
          <w:ilvl w:val="0"/>
          <w:numId w:val="38"/>
        </w:numPr>
        <w:spacing w:line="240" w:lineRule="auto"/>
        <w:contextualSpacing/>
        <w:jc w:val="both"/>
        <w:rPr>
          <w:rFonts w:cs="Arial"/>
          <w:i/>
          <w:iCs/>
          <w:color w:val="808080" w:themeColor="background1" w:themeShade="80"/>
          <w:szCs w:val="20"/>
        </w:rPr>
      </w:pPr>
      <w:r w:rsidRPr="005E4BEA">
        <w:rPr>
          <w:rFonts w:cs="Arial"/>
          <w:i/>
          <w:iCs/>
          <w:color w:val="808080" w:themeColor="background1" w:themeShade="80"/>
          <w:szCs w:val="20"/>
        </w:rPr>
        <w:t>konzultacija drugih specialistov (psihiatra, nevrologa, psih.), sodelovanje drugih služb.</w:t>
      </w:r>
    </w:p>
    <w:p w14:paraId="42D3423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Priprava individualnega programa rehabilitacije :</w:t>
      </w:r>
    </w:p>
    <w:p w14:paraId="3DA134E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 sprejemu na bolniški oddelek in ob odpustu se stanje pacienta- oceni po ocenjevalni lestvici, (pogosto so potrebne ocene tudi tekom same rehabilitacije) z MAS lestvico motoričnega ocenjevanja (</w:t>
      </w:r>
      <w:proofErr w:type="spellStart"/>
      <w:r w:rsidRPr="005E4BEA">
        <w:rPr>
          <w:rFonts w:cs="Arial"/>
          <w:i/>
          <w:iCs/>
          <w:color w:val="808080" w:themeColor="background1" w:themeShade="80"/>
          <w:szCs w:val="20"/>
        </w:rPr>
        <w:t>The</w:t>
      </w:r>
      <w:proofErr w:type="spellEnd"/>
      <w:r w:rsidRPr="005E4BEA">
        <w:rPr>
          <w:rFonts w:cs="Arial"/>
          <w:i/>
          <w:iCs/>
          <w:color w:val="808080" w:themeColor="background1" w:themeShade="80"/>
          <w:szCs w:val="20"/>
        </w:rPr>
        <w:t xml:space="preserve"> Motor </w:t>
      </w:r>
      <w:proofErr w:type="spellStart"/>
      <w:r w:rsidRPr="005E4BEA">
        <w:rPr>
          <w:rFonts w:cs="Arial"/>
          <w:i/>
          <w:iCs/>
          <w:color w:val="808080" w:themeColor="background1" w:themeShade="80"/>
          <w:szCs w:val="20"/>
        </w:rPr>
        <w:t>Assessment</w:t>
      </w:r>
      <w:proofErr w:type="spellEnd"/>
      <w:r w:rsidRPr="005E4BEA">
        <w:rPr>
          <w:rFonts w:cs="Arial"/>
          <w:i/>
          <w:iCs/>
          <w:color w:val="808080" w:themeColor="background1" w:themeShade="80"/>
          <w:szCs w:val="20"/>
        </w:rPr>
        <w:t xml:space="preserve"> Scale) in RBI Razširjenim indeksom po </w:t>
      </w:r>
      <w:proofErr w:type="spellStart"/>
      <w:r w:rsidRPr="005E4BEA">
        <w:rPr>
          <w:rFonts w:cs="Arial"/>
          <w:i/>
          <w:iCs/>
          <w:color w:val="808080" w:themeColor="background1" w:themeShade="80"/>
          <w:szCs w:val="20"/>
        </w:rPr>
        <w:t>Barthelovi</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Extended</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Barthel</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lndex</w:t>
      </w:r>
      <w:proofErr w:type="spellEnd"/>
      <w:r w:rsidRPr="005E4BEA">
        <w:rPr>
          <w:rFonts w:cs="Arial"/>
          <w:i/>
          <w:iCs/>
          <w:color w:val="808080" w:themeColor="background1" w:themeShade="80"/>
          <w:szCs w:val="20"/>
        </w:rPr>
        <w:t xml:space="preserve">). V Rehabilitacijskem listu (RL) se načrtuje evidentirati popis vseh pacientovih dnevnih aktivnosti in hoje, ki jih je izvajal v času bivanja v bolnišnici. Pri travmatoloških in ortopedskih pacientih bo fizioterapevt izmeril tudi gibljivost sklepa. Po opravljenem prvem pregledu in pridobljenih ocenah bo dr. med. spec. fizikalne in </w:t>
      </w:r>
      <w:proofErr w:type="spellStart"/>
      <w:r w:rsidRPr="005E4BEA">
        <w:rPr>
          <w:rFonts w:cs="Arial"/>
          <w:i/>
          <w:iCs/>
          <w:color w:val="808080" w:themeColor="background1" w:themeShade="80"/>
          <w:szCs w:val="20"/>
        </w:rPr>
        <w:t>reh</w:t>
      </w:r>
      <w:proofErr w:type="spellEnd"/>
      <w:r w:rsidRPr="005E4BEA">
        <w:rPr>
          <w:rFonts w:cs="Arial"/>
          <w:i/>
          <w:iCs/>
          <w:color w:val="808080" w:themeColor="background1" w:themeShade="80"/>
          <w:szCs w:val="20"/>
        </w:rPr>
        <w:t xml:space="preserve">. med. pripravil individualni program in postavil cilje rehabilitacije. Po potrebi se bodo opravile še druge meritve in testiranja kot so: manualni mišični test, </w:t>
      </w:r>
      <w:proofErr w:type="spellStart"/>
      <w:r w:rsidRPr="005E4BEA">
        <w:rPr>
          <w:rFonts w:cs="Arial"/>
          <w:i/>
          <w:iCs/>
          <w:color w:val="808080" w:themeColor="background1" w:themeShade="80"/>
          <w:szCs w:val="20"/>
        </w:rPr>
        <w:t>Ashvvortova</w:t>
      </w:r>
      <w:proofErr w:type="spellEnd"/>
      <w:r w:rsidRPr="005E4BEA">
        <w:rPr>
          <w:rFonts w:cs="Arial"/>
          <w:i/>
          <w:iCs/>
          <w:color w:val="808080" w:themeColor="background1" w:themeShade="80"/>
          <w:szCs w:val="20"/>
        </w:rPr>
        <w:t xml:space="preserve"> skala </w:t>
      </w:r>
      <w:proofErr w:type="spellStart"/>
      <w:r w:rsidRPr="005E4BEA">
        <w:rPr>
          <w:rFonts w:cs="Arial"/>
          <w:i/>
          <w:iCs/>
          <w:color w:val="808080" w:themeColor="background1" w:themeShade="80"/>
          <w:szCs w:val="20"/>
        </w:rPr>
        <w:t>spastičnosti</w:t>
      </w:r>
      <w:proofErr w:type="spellEnd"/>
      <w:r w:rsidRPr="005E4BEA">
        <w:rPr>
          <w:rFonts w:cs="Arial"/>
          <w:i/>
          <w:iCs/>
          <w:color w:val="808080" w:themeColor="background1" w:themeShade="80"/>
          <w:szCs w:val="20"/>
        </w:rPr>
        <w:t>, obsegi udov in drugo.</w:t>
      </w:r>
    </w:p>
    <w:p w14:paraId="6C77E08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Izvajanje rehabilitacijskega programa :</w:t>
      </w:r>
    </w:p>
    <w:p w14:paraId="4DED8DF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Program se načrtuje v samem začetku, zlasti zaradi pacientovega zdravstvenega stanja, slabše ali popolne </w:t>
      </w:r>
      <w:proofErr w:type="spellStart"/>
      <w:r w:rsidRPr="005E4BEA">
        <w:rPr>
          <w:rFonts w:cs="Arial"/>
          <w:i/>
          <w:iCs/>
          <w:color w:val="808080" w:themeColor="background1" w:themeShade="80"/>
          <w:szCs w:val="20"/>
        </w:rPr>
        <w:t>nepokretnosti</w:t>
      </w:r>
      <w:proofErr w:type="spellEnd"/>
      <w:r w:rsidRPr="005E4BEA">
        <w:rPr>
          <w:rFonts w:cs="Arial"/>
          <w:i/>
          <w:iCs/>
          <w:color w:val="808080" w:themeColor="background1" w:themeShade="80"/>
          <w:szCs w:val="20"/>
        </w:rPr>
        <w:t xml:space="preserve">, izvajati ob bolniški postelji s treningom dnevnih aktivnosti, </w:t>
      </w:r>
      <w:proofErr w:type="spellStart"/>
      <w:r w:rsidRPr="005E4BEA">
        <w:rPr>
          <w:rFonts w:cs="Arial"/>
          <w:i/>
          <w:iCs/>
          <w:color w:val="808080" w:themeColor="background1" w:themeShade="80"/>
          <w:szCs w:val="20"/>
        </w:rPr>
        <w:t>vertikalizacije</w:t>
      </w:r>
      <w:proofErr w:type="spellEnd"/>
      <w:r w:rsidRPr="005E4BEA">
        <w:rPr>
          <w:rFonts w:cs="Arial"/>
          <w:i/>
          <w:iCs/>
          <w:color w:val="808080" w:themeColor="background1" w:themeShade="80"/>
          <w:szCs w:val="20"/>
        </w:rPr>
        <w:t xml:space="preserve"> in mobilizacije, hoje s pripomočki. Nadaljeval se bo z elektro, magnetno, lasersko terapijo, individualno ali skupinsko </w:t>
      </w:r>
      <w:proofErr w:type="spellStart"/>
      <w:r w:rsidRPr="005E4BEA">
        <w:rPr>
          <w:rFonts w:cs="Arial"/>
          <w:i/>
          <w:iCs/>
          <w:color w:val="808080" w:themeColor="background1" w:themeShade="80"/>
          <w:szCs w:val="20"/>
        </w:rPr>
        <w:t>kineziterapijo</w:t>
      </w:r>
      <w:proofErr w:type="spellEnd"/>
      <w:r w:rsidRPr="005E4BEA">
        <w:rPr>
          <w:rFonts w:cs="Arial"/>
          <w:i/>
          <w:iCs/>
          <w:color w:val="808080" w:themeColor="background1" w:themeShade="80"/>
          <w:szCs w:val="20"/>
        </w:rPr>
        <w:t xml:space="preserve"> in funkcionalno delovno terapijo, treningom hoje v bradlji in po ustreznem napredku po stopnicah. Pri načrtovanju in izvajanju rehabilitacije se bo upoštevalo klinične smernice za rehabilitacijo, ki jih je pripravila oz. sprejela URI SOČA oz. mednarodne smernice za izvajanje rehabilitacije posamezne kategorije pacientov.</w:t>
      </w:r>
    </w:p>
    <w:p w14:paraId="2D6CC89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Spremljanje rezultatov rehabilitacije</w:t>
      </w:r>
    </w:p>
    <w:p w14:paraId="41587D6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Učinek/rezultate rehabilitacije se načrtuje spremljati na rednih tedenskih sestankih SORT (sestanek ožjega rehabilitacijskega tirna).</w:t>
      </w:r>
    </w:p>
    <w:p w14:paraId="7AD0DBB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predlagane spremembe: Za prestrukturiranje programa Podaljšanega bolnišničnega zdravljenje v program Geriatrične medicinske rehabilitacije po predlaganem novem standardu je potrebno Bolnišnici Sežana zagotoviti 1.288.971,52 EUR dodatnih sredstev.</w:t>
      </w:r>
    </w:p>
    <w:tbl>
      <w:tblPr>
        <w:tblStyle w:val="TableNormal13"/>
        <w:tblW w:w="0" w:type="auto"/>
        <w:tblInd w:w="134"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1E0" w:firstRow="1" w:lastRow="1" w:firstColumn="1" w:lastColumn="1" w:noHBand="0" w:noVBand="0"/>
      </w:tblPr>
      <w:tblGrid>
        <w:gridCol w:w="1966"/>
        <w:gridCol w:w="1720"/>
        <w:gridCol w:w="1275"/>
        <w:gridCol w:w="1560"/>
      </w:tblGrid>
      <w:tr w:rsidR="00FE461F" w:rsidRPr="005E4BEA" w14:paraId="5A796E2E" w14:textId="77777777" w:rsidTr="0016774B">
        <w:trPr>
          <w:trHeight w:val="113"/>
        </w:trPr>
        <w:tc>
          <w:tcPr>
            <w:tcW w:w="1966" w:type="dxa"/>
          </w:tcPr>
          <w:p w14:paraId="398A1E3A" w14:textId="77777777" w:rsidR="00FE461F" w:rsidRPr="005E4BEA" w:rsidRDefault="00FE461F" w:rsidP="00FE461F">
            <w:pPr>
              <w:spacing w:line="240" w:lineRule="auto"/>
              <w:ind w:left="109"/>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Programi:</w:t>
            </w:r>
          </w:p>
        </w:tc>
        <w:tc>
          <w:tcPr>
            <w:tcW w:w="1720" w:type="dxa"/>
          </w:tcPr>
          <w:p w14:paraId="02B65EA2" w14:textId="77777777" w:rsidR="00FE461F" w:rsidRPr="005E4BEA" w:rsidRDefault="00FE461F" w:rsidP="00FE461F">
            <w:pPr>
              <w:spacing w:line="240" w:lineRule="auto"/>
              <w:ind w:left="107" w:hanging="8"/>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Štev. BOD /po prestrukturiranju</w:t>
            </w:r>
          </w:p>
        </w:tc>
        <w:tc>
          <w:tcPr>
            <w:tcW w:w="1275" w:type="dxa"/>
          </w:tcPr>
          <w:p w14:paraId="29590BE0" w14:textId="77777777" w:rsidR="00FE461F" w:rsidRPr="005E4BEA" w:rsidRDefault="00FE461F" w:rsidP="00FE461F">
            <w:pPr>
              <w:spacing w:line="240" w:lineRule="auto"/>
              <w:ind w:left="102" w:firstLine="7"/>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Potrebna sredstva</w:t>
            </w:r>
          </w:p>
        </w:tc>
        <w:tc>
          <w:tcPr>
            <w:tcW w:w="1560" w:type="dxa"/>
          </w:tcPr>
          <w:p w14:paraId="58294B7F" w14:textId="77777777" w:rsidR="00FE461F" w:rsidRPr="005E4BEA" w:rsidRDefault="00FE461F" w:rsidP="00FE461F">
            <w:pPr>
              <w:spacing w:line="240" w:lineRule="auto"/>
              <w:ind w:left="109" w:right="123" w:hanging="2"/>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Iz postavke PBZ</w:t>
            </w:r>
          </w:p>
          <w:p w14:paraId="43421DAE" w14:textId="77777777" w:rsidR="00FE461F" w:rsidRPr="005E4BEA" w:rsidRDefault="00FE461F" w:rsidP="00FE461F">
            <w:pPr>
              <w:spacing w:line="240" w:lineRule="auto"/>
              <w:ind w:left="98"/>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/prelivanje</w:t>
            </w:r>
          </w:p>
        </w:tc>
      </w:tr>
      <w:tr w:rsidR="00FE461F" w:rsidRPr="005E4BEA" w14:paraId="2A6459DD" w14:textId="77777777" w:rsidTr="0016774B">
        <w:trPr>
          <w:trHeight w:val="113"/>
        </w:trPr>
        <w:tc>
          <w:tcPr>
            <w:tcW w:w="1966" w:type="dxa"/>
          </w:tcPr>
          <w:p w14:paraId="7F84CFF8" w14:textId="77777777" w:rsidR="00FE461F" w:rsidRPr="005E4BEA" w:rsidRDefault="00FE461F" w:rsidP="00FE461F">
            <w:pPr>
              <w:spacing w:line="240" w:lineRule="auto"/>
              <w:ind w:left="106"/>
              <w:jc w:val="both"/>
              <w:rPr>
                <w:rFonts w:eastAsia="Arial" w:cs="Arial"/>
                <w:i/>
                <w:iCs/>
                <w:color w:val="808080" w:themeColor="background1" w:themeShade="80"/>
                <w:w w:val="105"/>
                <w:sz w:val="20"/>
                <w:szCs w:val="20"/>
                <w:lang w:val="sl-SI"/>
              </w:rPr>
            </w:pPr>
            <w:r w:rsidRPr="005E4BEA">
              <w:rPr>
                <w:rFonts w:eastAsia="Arial" w:cs="Arial"/>
                <w:i/>
                <w:iCs/>
                <w:color w:val="808080" w:themeColor="background1" w:themeShade="80"/>
                <w:w w:val="105"/>
                <w:sz w:val="20"/>
                <w:szCs w:val="20"/>
                <w:lang w:val="sl-SI"/>
              </w:rPr>
              <w:t xml:space="preserve">Program </w:t>
            </w:r>
            <w:proofErr w:type="spellStart"/>
            <w:r w:rsidRPr="005E4BEA">
              <w:rPr>
                <w:rFonts w:eastAsia="Arial" w:cs="Arial"/>
                <w:i/>
                <w:iCs/>
                <w:color w:val="808080" w:themeColor="background1" w:themeShade="80"/>
                <w:w w:val="105"/>
                <w:sz w:val="20"/>
                <w:szCs w:val="20"/>
                <w:lang w:val="sl-SI"/>
              </w:rPr>
              <w:t>ger.rehab</w:t>
            </w:r>
            <w:proofErr w:type="spellEnd"/>
            <w:r w:rsidRPr="005E4BEA">
              <w:rPr>
                <w:rFonts w:eastAsia="Arial" w:cs="Arial"/>
                <w:i/>
                <w:iCs/>
                <w:color w:val="808080" w:themeColor="background1" w:themeShade="80"/>
                <w:w w:val="105"/>
                <w:sz w:val="20"/>
                <w:szCs w:val="20"/>
                <w:lang w:val="sl-SI"/>
              </w:rPr>
              <w:t xml:space="preserve"> ./ po Novem standardu</w:t>
            </w:r>
          </w:p>
        </w:tc>
        <w:tc>
          <w:tcPr>
            <w:tcW w:w="1720" w:type="dxa"/>
          </w:tcPr>
          <w:p w14:paraId="252B6790" w14:textId="77777777" w:rsidR="00FE461F" w:rsidRPr="005E4BEA" w:rsidRDefault="00FE461F" w:rsidP="00FE461F">
            <w:pPr>
              <w:spacing w:line="240" w:lineRule="auto"/>
              <w:ind w:left="105"/>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29.200,00</w:t>
            </w:r>
          </w:p>
        </w:tc>
        <w:tc>
          <w:tcPr>
            <w:tcW w:w="1275" w:type="dxa"/>
          </w:tcPr>
          <w:p w14:paraId="0D30CC91" w14:textId="77777777" w:rsidR="00FE461F" w:rsidRPr="005E4BEA" w:rsidRDefault="00FE461F" w:rsidP="00FE461F">
            <w:pPr>
              <w:spacing w:line="240" w:lineRule="auto"/>
              <w:ind w:left="99"/>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5.420.980,20</w:t>
            </w:r>
          </w:p>
        </w:tc>
        <w:tc>
          <w:tcPr>
            <w:tcW w:w="1560" w:type="dxa"/>
          </w:tcPr>
          <w:p w14:paraId="24249492" w14:textId="77777777" w:rsidR="00FE461F" w:rsidRPr="005E4BEA" w:rsidRDefault="00FE461F" w:rsidP="00FE461F">
            <w:pPr>
              <w:spacing w:line="240" w:lineRule="auto"/>
              <w:ind w:left="106"/>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4.132.029,00</w:t>
            </w:r>
          </w:p>
        </w:tc>
      </w:tr>
      <w:tr w:rsidR="00FE461F" w:rsidRPr="005E4BEA" w14:paraId="122B8B9A" w14:textId="77777777" w:rsidTr="0016774B">
        <w:trPr>
          <w:trHeight w:val="113"/>
        </w:trPr>
        <w:tc>
          <w:tcPr>
            <w:tcW w:w="1966" w:type="dxa"/>
          </w:tcPr>
          <w:p w14:paraId="66D84F4C" w14:textId="77777777" w:rsidR="00FE461F" w:rsidRPr="005E4BEA" w:rsidRDefault="00FE461F" w:rsidP="00FE461F">
            <w:pPr>
              <w:spacing w:line="240" w:lineRule="auto"/>
              <w:ind w:left="105"/>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10"/>
                <w:sz w:val="20"/>
                <w:szCs w:val="20"/>
                <w:lang w:val="sl-SI"/>
              </w:rPr>
              <w:t xml:space="preserve">Ostanek </w:t>
            </w:r>
            <w:r w:rsidRPr="005E4BEA">
              <w:rPr>
                <w:rFonts w:eastAsia="Arial" w:cs="Arial"/>
                <w:i/>
                <w:iCs/>
                <w:color w:val="808080" w:themeColor="background1" w:themeShade="80"/>
                <w:w w:val="105"/>
                <w:sz w:val="20"/>
                <w:szCs w:val="20"/>
                <w:lang w:val="sl-SI"/>
              </w:rPr>
              <w:t>programa za PBZ</w:t>
            </w:r>
          </w:p>
        </w:tc>
        <w:tc>
          <w:tcPr>
            <w:tcW w:w="1720" w:type="dxa"/>
          </w:tcPr>
          <w:p w14:paraId="1366F28D" w14:textId="77777777" w:rsidR="00FE461F" w:rsidRPr="005E4BEA" w:rsidRDefault="00FE461F" w:rsidP="00FE461F">
            <w:pPr>
              <w:spacing w:line="240" w:lineRule="auto"/>
              <w:ind w:left="105"/>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7.260,00</w:t>
            </w:r>
          </w:p>
        </w:tc>
        <w:tc>
          <w:tcPr>
            <w:tcW w:w="1275" w:type="dxa"/>
          </w:tcPr>
          <w:p w14:paraId="6F73B9D3" w14:textId="77777777" w:rsidR="00FE461F" w:rsidRPr="005E4BEA" w:rsidRDefault="00FE461F" w:rsidP="00FE461F">
            <w:pPr>
              <w:spacing w:line="240" w:lineRule="auto"/>
              <w:ind w:left="98"/>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1.027.362,60</w:t>
            </w:r>
          </w:p>
        </w:tc>
        <w:tc>
          <w:tcPr>
            <w:tcW w:w="1560" w:type="dxa"/>
          </w:tcPr>
          <w:p w14:paraId="45ACD31B" w14:textId="77777777" w:rsidR="00FE461F" w:rsidRPr="005E4BEA" w:rsidRDefault="00FE461F" w:rsidP="00FE461F">
            <w:pPr>
              <w:spacing w:line="240" w:lineRule="auto"/>
              <w:ind w:left="98"/>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1.027.362.60</w:t>
            </w:r>
          </w:p>
        </w:tc>
      </w:tr>
      <w:tr w:rsidR="00FE461F" w:rsidRPr="005E4BEA" w14:paraId="743369FE" w14:textId="77777777" w:rsidTr="0016774B">
        <w:trPr>
          <w:trHeight w:val="113"/>
        </w:trPr>
        <w:tc>
          <w:tcPr>
            <w:tcW w:w="1966" w:type="dxa"/>
          </w:tcPr>
          <w:p w14:paraId="2B974FCA" w14:textId="77777777" w:rsidR="00FE461F" w:rsidRPr="005E4BEA" w:rsidRDefault="00FE461F" w:rsidP="00FE461F">
            <w:pPr>
              <w:spacing w:line="240" w:lineRule="auto"/>
              <w:ind w:left="101"/>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10"/>
                <w:sz w:val="20"/>
                <w:szCs w:val="20"/>
                <w:lang w:val="sl-SI"/>
              </w:rPr>
              <w:t xml:space="preserve">Cena Cer. </w:t>
            </w:r>
            <w:proofErr w:type="spellStart"/>
            <w:r w:rsidRPr="005E4BEA">
              <w:rPr>
                <w:rFonts w:eastAsia="Arial" w:cs="Arial"/>
                <w:i/>
                <w:iCs/>
                <w:color w:val="808080" w:themeColor="background1" w:themeShade="80"/>
                <w:w w:val="110"/>
                <w:sz w:val="20"/>
                <w:szCs w:val="20"/>
                <w:lang w:val="sl-SI"/>
              </w:rPr>
              <w:t>rehab</w:t>
            </w:r>
            <w:proofErr w:type="spellEnd"/>
            <w:r w:rsidRPr="005E4BEA">
              <w:rPr>
                <w:rFonts w:eastAsia="Arial" w:cs="Arial"/>
                <w:i/>
                <w:iCs/>
                <w:color w:val="808080" w:themeColor="background1" w:themeShade="80"/>
                <w:w w:val="110"/>
                <w:sz w:val="20"/>
                <w:szCs w:val="20"/>
                <w:lang w:val="sl-SI"/>
              </w:rPr>
              <w:t>. -BOD</w:t>
            </w:r>
          </w:p>
        </w:tc>
        <w:tc>
          <w:tcPr>
            <w:tcW w:w="1720" w:type="dxa"/>
          </w:tcPr>
          <w:p w14:paraId="66DCBEBD" w14:textId="77777777" w:rsidR="00FE461F" w:rsidRPr="005E4BEA" w:rsidRDefault="00FE461F" w:rsidP="00FE461F">
            <w:pPr>
              <w:spacing w:line="240" w:lineRule="auto"/>
              <w:ind w:left="98"/>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185,65</w:t>
            </w:r>
          </w:p>
        </w:tc>
        <w:tc>
          <w:tcPr>
            <w:tcW w:w="1275" w:type="dxa"/>
          </w:tcPr>
          <w:p w14:paraId="3D8E4801" w14:textId="77777777" w:rsidR="00FE461F" w:rsidRPr="005E4BEA" w:rsidRDefault="00FE461F" w:rsidP="00FE461F">
            <w:pPr>
              <w:spacing w:line="240" w:lineRule="auto"/>
              <w:jc w:val="both"/>
              <w:rPr>
                <w:rFonts w:cs="Arial"/>
                <w:i/>
                <w:iCs/>
                <w:color w:val="808080" w:themeColor="background1" w:themeShade="80"/>
                <w:sz w:val="20"/>
                <w:szCs w:val="20"/>
                <w:lang w:val="sl-SI"/>
              </w:rPr>
            </w:pPr>
          </w:p>
        </w:tc>
        <w:tc>
          <w:tcPr>
            <w:tcW w:w="1560" w:type="dxa"/>
          </w:tcPr>
          <w:p w14:paraId="166D250F" w14:textId="77777777" w:rsidR="00FE461F" w:rsidRPr="005E4BEA" w:rsidRDefault="00FE461F" w:rsidP="00FE461F">
            <w:pPr>
              <w:spacing w:line="240" w:lineRule="auto"/>
              <w:jc w:val="both"/>
              <w:rPr>
                <w:rFonts w:cs="Arial"/>
                <w:i/>
                <w:iCs/>
                <w:color w:val="808080" w:themeColor="background1" w:themeShade="80"/>
                <w:sz w:val="20"/>
                <w:szCs w:val="20"/>
                <w:lang w:val="sl-SI"/>
              </w:rPr>
            </w:pPr>
          </w:p>
        </w:tc>
      </w:tr>
      <w:tr w:rsidR="00FE461F" w:rsidRPr="005E4BEA" w14:paraId="205568EF" w14:textId="77777777" w:rsidTr="0016774B">
        <w:trPr>
          <w:trHeight w:val="113"/>
        </w:trPr>
        <w:tc>
          <w:tcPr>
            <w:tcW w:w="1966" w:type="dxa"/>
          </w:tcPr>
          <w:p w14:paraId="7376224B" w14:textId="77777777" w:rsidR="00FE461F" w:rsidRPr="005E4BEA" w:rsidRDefault="00FE461F" w:rsidP="00FE461F">
            <w:pPr>
              <w:spacing w:line="240" w:lineRule="auto"/>
              <w:ind w:left="92"/>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Skupaj potrebna dodatna sredstva</w:t>
            </w:r>
          </w:p>
        </w:tc>
        <w:tc>
          <w:tcPr>
            <w:tcW w:w="1720" w:type="dxa"/>
          </w:tcPr>
          <w:p w14:paraId="160E7C2D" w14:textId="77777777" w:rsidR="00FE461F" w:rsidRPr="005E4BEA" w:rsidRDefault="00FE461F" w:rsidP="00FE461F">
            <w:pPr>
              <w:spacing w:line="240" w:lineRule="auto"/>
              <w:jc w:val="both"/>
              <w:rPr>
                <w:rFonts w:cs="Arial"/>
                <w:i/>
                <w:iCs/>
                <w:color w:val="808080" w:themeColor="background1" w:themeShade="80"/>
                <w:sz w:val="20"/>
                <w:szCs w:val="20"/>
                <w:lang w:val="sl-SI"/>
              </w:rPr>
            </w:pPr>
          </w:p>
        </w:tc>
        <w:tc>
          <w:tcPr>
            <w:tcW w:w="1275" w:type="dxa"/>
          </w:tcPr>
          <w:p w14:paraId="44BE9799" w14:textId="77777777" w:rsidR="00FE461F" w:rsidRPr="005E4BEA" w:rsidRDefault="00FE461F" w:rsidP="00FE461F">
            <w:pPr>
              <w:spacing w:line="240" w:lineRule="auto"/>
              <w:jc w:val="both"/>
              <w:rPr>
                <w:rFonts w:cs="Arial"/>
                <w:i/>
                <w:iCs/>
                <w:color w:val="808080" w:themeColor="background1" w:themeShade="80"/>
                <w:sz w:val="20"/>
                <w:szCs w:val="20"/>
                <w:lang w:val="sl-SI"/>
              </w:rPr>
            </w:pPr>
          </w:p>
        </w:tc>
        <w:tc>
          <w:tcPr>
            <w:tcW w:w="1560" w:type="dxa"/>
          </w:tcPr>
          <w:p w14:paraId="5ECAACD6" w14:textId="77777777" w:rsidR="00FE461F" w:rsidRPr="005E4BEA" w:rsidRDefault="00FE461F" w:rsidP="00FE461F">
            <w:pPr>
              <w:spacing w:line="240" w:lineRule="auto"/>
              <w:ind w:left="95"/>
              <w:jc w:val="both"/>
              <w:rPr>
                <w:rFonts w:eastAsia="Arial" w:cs="Arial"/>
                <w:i/>
                <w:iCs/>
                <w:color w:val="808080" w:themeColor="background1" w:themeShade="80"/>
                <w:sz w:val="20"/>
                <w:szCs w:val="20"/>
                <w:lang w:val="sl-SI"/>
              </w:rPr>
            </w:pPr>
            <w:r w:rsidRPr="005E4BEA">
              <w:rPr>
                <w:rFonts w:eastAsia="Arial" w:cs="Arial"/>
                <w:i/>
                <w:iCs/>
                <w:color w:val="808080" w:themeColor="background1" w:themeShade="80"/>
                <w:w w:val="105"/>
                <w:sz w:val="20"/>
                <w:szCs w:val="20"/>
                <w:lang w:val="sl-SI"/>
              </w:rPr>
              <w:t>1.288.971,52</w:t>
            </w:r>
          </w:p>
        </w:tc>
      </w:tr>
    </w:tbl>
    <w:p w14:paraId="07A74E7A" w14:textId="77777777" w:rsidR="00FE461F" w:rsidRPr="005E4BEA" w:rsidRDefault="00FE461F" w:rsidP="00FE461F">
      <w:pPr>
        <w:spacing w:line="240" w:lineRule="auto"/>
        <w:jc w:val="both"/>
        <w:rPr>
          <w:rFonts w:cs="Arial"/>
          <w:i/>
          <w:iCs/>
          <w:color w:val="808080" w:themeColor="background1" w:themeShade="80"/>
          <w:szCs w:val="20"/>
        </w:rPr>
      </w:pPr>
    </w:p>
    <w:p w14:paraId="387A53E5" w14:textId="04E771C1"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1,3 mio €</w:t>
      </w:r>
    </w:p>
    <w:bookmarkEnd w:id="123"/>
    <w:p w14:paraId="3E03AACB" w14:textId="2DBBF1A2" w:rsidR="00E708CF" w:rsidRPr="005E4BEA" w:rsidRDefault="00E708CF" w:rsidP="00FE461F">
      <w:pPr>
        <w:spacing w:line="240" w:lineRule="auto"/>
        <w:jc w:val="both"/>
        <w:rPr>
          <w:rFonts w:cs="Arial"/>
          <w:i/>
          <w:iCs/>
          <w:color w:val="808080" w:themeColor="background1" w:themeShade="80"/>
          <w:szCs w:val="20"/>
        </w:rPr>
      </w:pPr>
    </w:p>
    <w:p w14:paraId="1E319D0F" w14:textId="70630DAE" w:rsidR="00E708CF" w:rsidRPr="005E4BEA" w:rsidRDefault="00E708CF" w:rsidP="00FE461F">
      <w:pPr>
        <w:spacing w:line="240" w:lineRule="auto"/>
        <w:jc w:val="both"/>
        <w:rPr>
          <w:rFonts w:cs="Arial"/>
          <w:i/>
          <w:iCs/>
          <w:color w:val="808080" w:themeColor="background1" w:themeShade="80"/>
          <w:szCs w:val="20"/>
        </w:rPr>
      </w:pPr>
    </w:p>
    <w:p w14:paraId="558D5B1E" w14:textId="7A6DD18B"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strinja.</w:t>
      </w:r>
    </w:p>
    <w:p w14:paraId="2AED6F28" w14:textId="77777777" w:rsidR="00E708CF" w:rsidRPr="005E4BEA" w:rsidRDefault="00E708CF" w:rsidP="00E708CF">
      <w:pPr>
        <w:spacing w:line="0" w:lineRule="atLeast"/>
        <w:jc w:val="both"/>
        <w:rPr>
          <w:rFonts w:eastAsia="Arial Narrow" w:cs="Arial"/>
          <w:szCs w:val="20"/>
          <w:lang w:eastAsia="sl-SI"/>
        </w:rPr>
      </w:pPr>
    </w:p>
    <w:p w14:paraId="74D30C15" w14:textId="1217035B" w:rsidR="001D0816" w:rsidRPr="005E4BEA" w:rsidRDefault="00E708CF" w:rsidP="001D0816">
      <w:pPr>
        <w:spacing w:line="240" w:lineRule="auto"/>
        <w:jc w:val="both"/>
        <w:rPr>
          <w:rFonts w:cs="Arial"/>
          <w:bCs/>
          <w:i/>
          <w:iCs/>
          <w:color w:val="808080" w:themeColor="background1" w:themeShade="80"/>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24" w:name="_Hlk103062667"/>
      <w:r w:rsidR="001D0816" w:rsidRPr="005E4BEA">
        <w:rPr>
          <w:rFonts w:eastAsiaTheme="minorHAnsi" w:cs="Arial"/>
          <w:bCs/>
          <w:szCs w:val="20"/>
        </w:rPr>
        <w:t xml:space="preserve">da se v </w:t>
      </w:r>
      <w:r w:rsidR="001D0816" w:rsidRPr="005E4BEA">
        <w:rPr>
          <w:rFonts w:cs="Arial"/>
          <w:bCs/>
          <w:szCs w:val="20"/>
        </w:rPr>
        <w:t>Prilogi I doda nov standard za program medicinske rehabilitacije starejših na sekundarnem nivoju/geriatrični rehabilitacijski program za Bolnišnico Sežana:</w:t>
      </w:r>
    </w:p>
    <w:bookmarkEnd w:id="124"/>
    <w:p w14:paraId="1E58C2D0" w14:textId="5F837BD6" w:rsidR="001D0816" w:rsidRPr="005E4BEA" w:rsidRDefault="001D0816" w:rsidP="00E708CF">
      <w:pPr>
        <w:spacing w:line="0" w:lineRule="atLeast"/>
        <w:contextualSpacing/>
        <w:jc w:val="both"/>
        <w:rPr>
          <w:rFonts w:eastAsia="Arial Narrow" w:cs="Arial"/>
          <w:bCs/>
          <w:szCs w:val="20"/>
        </w:rPr>
      </w:pPr>
    </w:p>
    <w:p w14:paraId="0C0F7C73" w14:textId="620CC119" w:rsidR="00E708CF" w:rsidRPr="005E4BEA" w:rsidRDefault="001D0816" w:rsidP="00E708CF">
      <w:pPr>
        <w:spacing w:line="0" w:lineRule="atLeast"/>
        <w:contextualSpacing/>
        <w:jc w:val="both"/>
        <w:rPr>
          <w:rFonts w:eastAsiaTheme="minorHAnsi" w:cs="Arial"/>
          <w:bCs/>
          <w:szCs w:val="20"/>
        </w:rPr>
      </w:pPr>
      <w:r w:rsidRPr="005E4BEA">
        <w:rPr>
          <w:rFonts w:cs="Arial"/>
          <w:noProof/>
          <w:szCs w:val="20"/>
        </w:rPr>
        <w:drawing>
          <wp:inline distT="0" distB="0" distL="0" distR="0" wp14:anchorId="3140D66E" wp14:editId="148A3836">
            <wp:extent cx="5396230" cy="331700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6230" cy="3317001"/>
                    </a:xfrm>
                    <a:prstGeom prst="rect">
                      <a:avLst/>
                    </a:prstGeom>
                    <a:noFill/>
                    <a:ln>
                      <a:noFill/>
                    </a:ln>
                  </pic:spPr>
                </pic:pic>
              </a:graphicData>
            </a:graphic>
          </wp:inline>
        </w:drawing>
      </w:r>
    </w:p>
    <w:p w14:paraId="4925EE5D" w14:textId="4051DC70" w:rsidR="00E708CF" w:rsidRPr="005E4BEA" w:rsidRDefault="001D0816" w:rsidP="00E708CF">
      <w:pPr>
        <w:spacing w:line="240" w:lineRule="auto"/>
        <w:jc w:val="both"/>
        <w:rPr>
          <w:rFonts w:cs="Arial"/>
          <w:bCs/>
          <w:szCs w:val="20"/>
        </w:rPr>
      </w:pPr>
      <w:proofErr w:type="spellStart"/>
      <w:r w:rsidRPr="005E4BEA">
        <w:rPr>
          <w:rFonts w:cs="Arial"/>
          <w:bCs/>
          <w:szCs w:val="20"/>
        </w:rPr>
        <w:t>Uvejavitev</w:t>
      </w:r>
      <w:proofErr w:type="spellEnd"/>
      <w:r w:rsidRPr="005E4BEA">
        <w:rPr>
          <w:rFonts w:cs="Arial"/>
          <w:bCs/>
          <w:szCs w:val="20"/>
        </w:rPr>
        <w:t xml:space="preserve"> 1.9.2023.</w:t>
      </w:r>
    </w:p>
    <w:p w14:paraId="4F365487" w14:textId="6514494B" w:rsidR="00E708CF" w:rsidRPr="005E4BEA" w:rsidRDefault="00E708CF" w:rsidP="00F356C9">
      <w:pPr>
        <w:pStyle w:val="Naslov2"/>
        <w:numPr>
          <w:ilvl w:val="0"/>
          <w:numId w:val="79"/>
        </w:numPr>
        <w:ind w:left="0" w:firstLine="0"/>
        <w:rPr>
          <w:rFonts w:ascii="Arial" w:eastAsia="Arial Narrow" w:hAnsi="Arial" w:cs="Arial"/>
          <w:sz w:val="20"/>
        </w:rPr>
      </w:pPr>
      <w:bookmarkStart w:id="125" w:name="_Hlk102029993"/>
      <w:r w:rsidRPr="005E4BEA">
        <w:rPr>
          <w:rFonts w:ascii="Arial" w:eastAsia="Arial Narrow" w:hAnsi="Arial" w:cs="Arial"/>
          <w:sz w:val="20"/>
        </w:rPr>
        <w:t>SPORNO VPRAŠANJE (97)</w:t>
      </w:r>
    </w:p>
    <w:p w14:paraId="7255AAB6" w14:textId="77777777" w:rsidR="00E708CF" w:rsidRPr="005E4BEA" w:rsidRDefault="00E708CF" w:rsidP="00E708CF">
      <w:pPr>
        <w:spacing w:line="240" w:lineRule="auto"/>
        <w:jc w:val="both"/>
        <w:rPr>
          <w:rFonts w:eastAsia="Arial Narrow" w:cs="Arial"/>
          <w:b/>
          <w:szCs w:val="20"/>
        </w:rPr>
      </w:pPr>
    </w:p>
    <w:p w14:paraId="02F380BC" w14:textId="4C50A27C" w:rsidR="00FE461F" w:rsidRPr="005E4BEA" w:rsidRDefault="00E708CF" w:rsidP="00FE461F">
      <w:pPr>
        <w:spacing w:line="240" w:lineRule="auto"/>
        <w:jc w:val="both"/>
        <w:rPr>
          <w:rFonts w:cs="Arial"/>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Prilogi I s</w:t>
      </w:r>
      <w:r w:rsidR="00FE461F" w:rsidRPr="005E4BEA">
        <w:rPr>
          <w:rFonts w:cs="Arial"/>
          <w:szCs w:val="20"/>
        </w:rPr>
        <w:t>premeni kalkulacija standardov tako, da se za zdravnika specialista namesto 53. plačnega razreda prizna 54. plačni razred.</w:t>
      </w:r>
    </w:p>
    <w:p w14:paraId="529E4BD7" w14:textId="77777777" w:rsidR="00FE461F" w:rsidRPr="005E4BEA" w:rsidRDefault="00FE461F" w:rsidP="00FE461F">
      <w:pPr>
        <w:spacing w:line="240" w:lineRule="auto"/>
        <w:jc w:val="both"/>
        <w:rPr>
          <w:rFonts w:cs="Arial"/>
          <w:iCs/>
          <w:szCs w:val="20"/>
        </w:rPr>
      </w:pPr>
      <w:r w:rsidRPr="005E4BEA">
        <w:rPr>
          <w:rFonts w:cs="Arial"/>
          <w:iCs/>
          <w:szCs w:val="20"/>
        </w:rPr>
        <w:t>338 024</w:t>
      </w:r>
      <w:r w:rsidRPr="005E4BEA">
        <w:rPr>
          <w:rFonts w:cs="Arial"/>
          <w:iCs/>
          <w:szCs w:val="20"/>
        </w:rPr>
        <w:tab/>
        <w:t>Nujna medicinska pomoč - helikopter</w:t>
      </w:r>
    </w:p>
    <w:p w14:paraId="1DD06302" w14:textId="77777777" w:rsidR="00FE461F" w:rsidRPr="005E4BEA" w:rsidRDefault="00FE461F" w:rsidP="00FE461F">
      <w:pPr>
        <w:spacing w:line="240" w:lineRule="auto"/>
        <w:jc w:val="both"/>
        <w:rPr>
          <w:rFonts w:cs="Arial"/>
          <w:iCs/>
          <w:szCs w:val="20"/>
        </w:rPr>
      </w:pPr>
      <w:r w:rsidRPr="005E4BEA">
        <w:rPr>
          <w:rFonts w:cs="Arial"/>
          <w:iCs/>
          <w:szCs w:val="20"/>
        </w:rPr>
        <w:t>338 040</w:t>
      </w:r>
      <w:r w:rsidRPr="005E4BEA">
        <w:rPr>
          <w:rFonts w:cs="Arial"/>
          <w:iCs/>
          <w:szCs w:val="20"/>
        </w:rPr>
        <w:tab/>
        <w:t>Dežurna služba 1</w:t>
      </w:r>
    </w:p>
    <w:p w14:paraId="5E72FD6B" w14:textId="77777777" w:rsidR="00FE461F" w:rsidRPr="005E4BEA" w:rsidRDefault="00FE461F" w:rsidP="00FE461F">
      <w:pPr>
        <w:spacing w:line="240" w:lineRule="auto"/>
        <w:jc w:val="both"/>
        <w:rPr>
          <w:rFonts w:cs="Arial"/>
          <w:iCs/>
          <w:szCs w:val="20"/>
        </w:rPr>
      </w:pPr>
      <w:r w:rsidRPr="005E4BEA">
        <w:rPr>
          <w:rFonts w:cs="Arial"/>
          <w:iCs/>
          <w:szCs w:val="20"/>
        </w:rPr>
        <w:lastRenderedPageBreak/>
        <w:t>338 041</w:t>
      </w:r>
      <w:r w:rsidRPr="005E4BEA">
        <w:rPr>
          <w:rFonts w:cs="Arial"/>
          <w:iCs/>
          <w:szCs w:val="20"/>
        </w:rPr>
        <w:tab/>
        <w:t>Dežurna služba 2</w:t>
      </w:r>
    </w:p>
    <w:p w14:paraId="7C70ECD3" w14:textId="77777777" w:rsidR="00FE461F" w:rsidRPr="005E4BEA" w:rsidRDefault="00FE461F" w:rsidP="00FE461F">
      <w:pPr>
        <w:spacing w:line="240" w:lineRule="auto"/>
        <w:jc w:val="both"/>
        <w:rPr>
          <w:rFonts w:cs="Arial"/>
          <w:iCs/>
          <w:szCs w:val="20"/>
        </w:rPr>
      </w:pPr>
      <w:r w:rsidRPr="005E4BEA">
        <w:rPr>
          <w:rFonts w:cs="Arial"/>
          <w:iCs/>
          <w:szCs w:val="20"/>
        </w:rPr>
        <w:t>338 041</w:t>
      </w:r>
      <w:r w:rsidRPr="005E4BEA">
        <w:rPr>
          <w:rFonts w:cs="Arial"/>
          <w:iCs/>
          <w:szCs w:val="20"/>
        </w:rPr>
        <w:tab/>
        <w:t>Dežurna služba 2</w:t>
      </w:r>
    </w:p>
    <w:p w14:paraId="133A5DA1" w14:textId="77777777" w:rsidR="00FE461F" w:rsidRPr="005E4BEA" w:rsidRDefault="00FE461F" w:rsidP="00FE461F">
      <w:pPr>
        <w:spacing w:line="240" w:lineRule="auto"/>
        <w:jc w:val="both"/>
        <w:rPr>
          <w:rFonts w:cs="Arial"/>
          <w:iCs/>
          <w:szCs w:val="20"/>
        </w:rPr>
      </w:pPr>
      <w:r w:rsidRPr="005E4BEA">
        <w:rPr>
          <w:rFonts w:cs="Arial"/>
          <w:iCs/>
          <w:szCs w:val="20"/>
        </w:rPr>
        <w:t>338 042</w:t>
      </w:r>
      <w:r w:rsidRPr="005E4BEA">
        <w:rPr>
          <w:rFonts w:cs="Arial"/>
          <w:iCs/>
          <w:szCs w:val="20"/>
        </w:rPr>
        <w:tab/>
        <w:t>Dežurna služba 3a</w:t>
      </w:r>
    </w:p>
    <w:p w14:paraId="4126B072" w14:textId="77777777" w:rsidR="00FE461F" w:rsidRPr="005E4BEA" w:rsidRDefault="00FE461F" w:rsidP="00FE461F">
      <w:pPr>
        <w:spacing w:line="240" w:lineRule="auto"/>
        <w:jc w:val="both"/>
        <w:rPr>
          <w:rFonts w:cs="Arial"/>
          <w:iCs/>
          <w:szCs w:val="20"/>
        </w:rPr>
      </w:pPr>
      <w:r w:rsidRPr="005E4BEA">
        <w:rPr>
          <w:rFonts w:cs="Arial"/>
          <w:iCs/>
          <w:szCs w:val="20"/>
        </w:rPr>
        <w:t>338 042</w:t>
      </w:r>
      <w:r w:rsidRPr="005E4BEA">
        <w:rPr>
          <w:rFonts w:cs="Arial"/>
          <w:iCs/>
          <w:szCs w:val="20"/>
        </w:rPr>
        <w:tab/>
        <w:t>Dežurna služba 3a</w:t>
      </w:r>
    </w:p>
    <w:p w14:paraId="044BDFC8" w14:textId="77777777" w:rsidR="00FE461F" w:rsidRPr="005E4BEA" w:rsidRDefault="00FE461F" w:rsidP="00FE461F">
      <w:pPr>
        <w:spacing w:line="240" w:lineRule="auto"/>
        <w:jc w:val="both"/>
        <w:rPr>
          <w:rFonts w:cs="Arial"/>
          <w:iCs/>
          <w:szCs w:val="20"/>
        </w:rPr>
      </w:pPr>
      <w:r w:rsidRPr="005E4BEA">
        <w:rPr>
          <w:rFonts w:cs="Arial"/>
          <w:iCs/>
          <w:szCs w:val="20"/>
        </w:rPr>
        <w:t>338 043</w:t>
      </w:r>
      <w:r w:rsidRPr="005E4BEA">
        <w:rPr>
          <w:rFonts w:cs="Arial"/>
          <w:iCs/>
          <w:szCs w:val="20"/>
        </w:rPr>
        <w:tab/>
        <w:t>Dežurna služba 3b</w:t>
      </w:r>
    </w:p>
    <w:p w14:paraId="6DD4B161" w14:textId="77777777" w:rsidR="00FE461F" w:rsidRPr="005E4BEA" w:rsidRDefault="00FE461F" w:rsidP="00FE461F">
      <w:pPr>
        <w:spacing w:line="240" w:lineRule="auto"/>
        <w:jc w:val="both"/>
        <w:rPr>
          <w:rFonts w:cs="Arial"/>
          <w:iCs/>
          <w:szCs w:val="20"/>
        </w:rPr>
      </w:pPr>
      <w:r w:rsidRPr="005E4BEA">
        <w:rPr>
          <w:rFonts w:cs="Arial"/>
          <w:iCs/>
          <w:szCs w:val="20"/>
        </w:rPr>
        <w:t>338 043</w:t>
      </w:r>
      <w:r w:rsidRPr="005E4BEA">
        <w:rPr>
          <w:rFonts w:cs="Arial"/>
          <w:iCs/>
          <w:szCs w:val="20"/>
        </w:rPr>
        <w:tab/>
        <w:t>Dežurna služba 3b</w:t>
      </w:r>
    </w:p>
    <w:p w14:paraId="13A5B926" w14:textId="77777777" w:rsidR="00FE461F" w:rsidRPr="005E4BEA" w:rsidRDefault="00FE461F" w:rsidP="00FE461F">
      <w:pPr>
        <w:spacing w:line="240" w:lineRule="auto"/>
        <w:jc w:val="both"/>
        <w:rPr>
          <w:rFonts w:cs="Arial"/>
          <w:iCs/>
          <w:szCs w:val="20"/>
        </w:rPr>
      </w:pPr>
      <w:r w:rsidRPr="005E4BEA">
        <w:rPr>
          <w:rFonts w:cs="Arial"/>
          <w:iCs/>
          <w:szCs w:val="20"/>
        </w:rPr>
        <w:t>338 044</w:t>
      </w:r>
      <w:r w:rsidRPr="005E4BEA">
        <w:rPr>
          <w:rFonts w:cs="Arial"/>
          <w:iCs/>
          <w:szCs w:val="20"/>
        </w:rPr>
        <w:tab/>
        <w:t>Dežurna služba 4</w:t>
      </w:r>
    </w:p>
    <w:p w14:paraId="57BC914A" w14:textId="77777777" w:rsidR="00FE461F" w:rsidRPr="005E4BEA" w:rsidRDefault="00FE461F" w:rsidP="00FE461F">
      <w:pPr>
        <w:spacing w:line="240" w:lineRule="auto"/>
        <w:jc w:val="both"/>
        <w:rPr>
          <w:rFonts w:cs="Arial"/>
          <w:iCs/>
          <w:szCs w:val="20"/>
        </w:rPr>
      </w:pPr>
      <w:r w:rsidRPr="005E4BEA">
        <w:rPr>
          <w:rFonts w:cs="Arial"/>
          <w:iCs/>
          <w:szCs w:val="20"/>
        </w:rPr>
        <w:t>338 045</w:t>
      </w:r>
      <w:r w:rsidRPr="005E4BEA">
        <w:rPr>
          <w:rFonts w:cs="Arial"/>
          <w:iCs/>
          <w:szCs w:val="20"/>
        </w:rPr>
        <w:tab/>
        <w:t>Dežurna služba 5</w:t>
      </w:r>
    </w:p>
    <w:p w14:paraId="781E9D58" w14:textId="77777777" w:rsidR="00FE461F" w:rsidRPr="005E4BEA" w:rsidRDefault="00FE461F" w:rsidP="00FE461F">
      <w:pPr>
        <w:spacing w:line="240" w:lineRule="auto"/>
        <w:jc w:val="both"/>
        <w:rPr>
          <w:rFonts w:cs="Arial"/>
          <w:iCs/>
          <w:szCs w:val="20"/>
        </w:rPr>
      </w:pPr>
      <w:r w:rsidRPr="005E4BEA">
        <w:rPr>
          <w:rFonts w:cs="Arial"/>
          <w:iCs/>
          <w:szCs w:val="20"/>
        </w:rPr>
        <w:t>338 047</w:t>
      </w:r>
      <w:r w:rsidRPr="005E4BEA">
        <w:rPr>
          <w:rFonts w:cs="Arial"/>
          <w:iCs/>
          <w:szCs w:val="20"/>
        </w:rPr>
        <w:tab/>
        <w:t xml:space="preserve">Mobilna enota </w:t>
      </w:r>
      <w:proofErr w:type="spellStart"/>
      <w:r w:rsidRPr="005E4BEA">
        <w:rPr>
          <w:rFonts w:cs="Arial"/>
          <w:iCs/>
          <w:szCs w:val="20"/>
        </w:rPr>
        <w:t>reanimobila</w:t>
      </w:r>
      <w:proofErr w:type="spellEnd"/>
    </w:p>
    <w:p w14:paraId="49873486" w14:textId="77777777" w:rsidR="00FE461F" w:rsidRPr="005E4BEA" w:rsidRDefault="00FE461F" w:rsidP="00FE461F">
      <w:pPr>
        <w:spacing w:line="240" w:lineRule="auto"/>
        <w:jc w:val="both"/>
        <w:rPr>
          <w:rFonts w:cs="Arial"/>
          <w:iCs/>
          <w:szCs w:val="20"/>
        </w:rPr>
      </w:pPr>
      <w:r w:rsidRPr="005E4BEA">
        <w:rPr>
          <w:rFonts w:cs="Arial"/>
          <w:iCs/>
          <w:szCs w:val="20"/>
        </w:rPr>
        <w:t>338 051</w:t>
      </w:r>
      <w:r w:rsidRPr="005E4BEA">
        <w:rPr>
          <w:rFonts w:cs="Arial"/>
          <w:iCs/>
          <w:szCs w:val="20"/>
        </w:rPr>
        <w:tab/>
        <w:t>Enota za hitre preglede v rednem delovnem času</w:t>
      </w:r>
    </w:p>
    <w:p w14:paraId="62F6E6BF" w14:textId="77777777" w:rsidR="00FE461F" w:rsidRPr="005E4BEA" w:rsidRDefault="00FE461F" w:rsidP="00FE461F">
      <w:pPr>
        <w:spacing w:line="240" w:lineRule="auto"/>
        <w:jc w:val="both"/>
        <w:rPr>
          <w:rFonts w:cs="Arial"/>
          <w:szCs w:val="20"/>
        </w:rPr>
      </w:pPr>
    </w:p>
    <w:p w14:paraId="34FF271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B8AB6C7" w14:textId="106668A0"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uskladitev plačnih razredov zdravnika specialista v dejavnosti NMP s plačnimi razredi v ostalih zdravstvenih dejavnostih. Plačni razred zdravnika specialista naj se iz 53. plačnega razreda poviša na 54. plačni razred, saj je 54. plačni razred priznan za zdravnika specialista v vseh ostalih standardih. Gre za dejavnost, ki jo opravljajo zdravniki specialisti, zato ni razloga za slabše vrednotenje.</w:t>
      </w:r>
    </w:p>
    <w:p w14:paraId="43C86CFC" w14:textId="77777777" w:rsidR="00E708CF" w:rsidRPr="005E4BEA" w:rsidRDefault="00E708CF" w:rsidP="00FE461F">
      <w:pPr>
        <w:spacing w:line="240" w:lineRule="auto"/>
        <w:jc w:val="both"/>
        <w:rPr>
          <w:rFonts w:cs="Arial"/>
          <w:i/>
          <w:iCs/>
          <w:color w:val="808080" w:themeColor="background1" w:themeShade="80"/>
          <w:szCs w:val="20"/>
        </w:rPr>
      </w:pPr>
    </w:p>
    <w:p w14:paraId="5392D6F2" w14:textId="4C764C8F"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1.101.425,06 €</w:t>
      </w:r>
    </w:p>
    <w:p w14:paraId="7163D7CC" w14:textId="1E5AA2C0" w:rsidR="00E708CF" w:rsidRPr="005E4BEA" w:rsidRDefault="00E708CF" w:rsidP="00FE461F">
      <w:pPr>
        <w:spacing w:line="240" w:lineRule="auto"/>
        <w:jc w:val="both"/>
        <w:rPr>
          <w:rFonts w:cs="Arial"/>
          <w:i/>
          <w:iCs/>
          <w:color w:val="808080" w:themeColor="background1" w:themeShade="80"/>
          <w:szCs w:val="20"/>
        </w:rPr>
      </w:pPr>
    </w:p>
    <w:p w14:paraId="7A630EFD" w14:textId="77777777" w:rsidR="00CE2B29" w:rsidRPr="005E4BEA" w:rsidRDefault="00E708CF" w:rsidP="00CE2B29">
      <w:pPr>
        <w:spacing w:line="240" w:lineRule="auto"/>
        <w:jc w:val="both"/>
        <w:rPr>
          <w:rFonts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w:t>
      </w:r>
      <w:r w:rsidR="00C7272F" w:rsidRPr="005E4BEA">
        <w:rPr>
          <w:rFonts w:eastAsia="Arial Narrow" w:cs="Arial"/>
          <w:szCs w:val="20"/>
        </w:rPr>
        <w:t xml:space="preserve">trinja s </w:t>
      </w:r>
      <w:r w:rsidRPr="005E4BEA">
        <w:rPr>
          <w:rFonts w:eastAsia="Arial Narrow" w:cs="Arial"/>
          <w:szCs w:val="20"/>
        </w:rPr>
        <w:t>predlogom</w:t>
      </w:r>
      <w:r w:rsidR="00CE2B29" w:rsidRPr="005E4BEA">
        <w:rPr>
          <w:rFonts w:eastAsia="Arial Narrow" w:cs="Arial"/>
          <w:szCs w:val="20"/>
        </w:rPr>
        <w:t xml:space="preserve"> v modificirani obliki, in sicer se </w:t>
      </w:r>
      <w:r w:rsidR="00CE2B29" w:rsidRPr="005E4BEA">
        <w:rPr>
          <w:rFonts w:eastAsiaTheme="minorHAnsi" w:cs="Arial"/>
          <w:bCs/>
          <w:szCs w:val="20"/>
        </w:rPr>
        <w:t xml:space="preserve">v </w:t>
      </w:r>
      <w:r w:rsidR="00CE2B29" w:rsidRPr="005E4BEA">
        <w:rPr>
          <w:rFonts w:cs="Arial"/>
          <w:bCs/>
          <w:szCs w:val="20"/>
        </w:rPr>
        <w:t>Prilogi I s</w:t>
      </w:r>
      <w:r w:rsidR="00CE2B29" w:rsidRPr="005E4BEA">
        <w:rPr>
          <w:rFonts w:cs="Arial"/>
          <w:szCs w:val="20"/>
        </w:rPr>
        <w:t>premeni kalkulacija standardov tako, da se za zdravnika specialista namesto 53. plačnega razreda prizna 54. plačni razred.</w:t>
      </w:r>
    </w:p>
    <w:p w14:paraId="4542F4F3" w14:textId="77777777" w:rsidR="00CE2B29" w:rsidRPr="005E4BEA" w:rsidRDefault="00CE2B29" w:rsidP="00CE2B29">
      <w:pPr>
        <w:spacing w:line="240" w:lineRule="auto"/>
        <w:jc w:val="both"/>
        <w:rPr>
          <w:rFonts w:cs="Arial"/>
          <w:iCs/>
          <w:szCs w:val="20"/>
        </w:rPr>
      </w:pPr>
      <w:r w:rsidRPr="005E4BEA">
        <w:rPr>
          <w:rFonts w:cs="Arial"/>
          <w:iCs/>
          <w:szCs w:val="20"/>
        </w:rPr>
        <w:t>338 024</w:t>
      </w:r>
      <w:r w:rsidRPr="005E4BEA">
        <w:rPr>
          <w:rFonts w:cs="Arial"/>
          <w:iCs/>
          <w:szCs w:val="20"/>
        </w:rPr>
        <w:tab/>
        <w:t>Nujna medicinska pomoč - helikopter</w:t>
      </w:r>
    </w:p>
    <w:p w14:paraId="34BBDDA1" w14:textId="77777777" w:rsidR="00CE2B29" w:rsidRPr="005E4BEA" w:rsidRDefault="00CE2B29" w:rsidP="00CE2B29">
      <w:pPr>
        <w:spacing w:line="240" w:lineRule="auto"/>
        <w:jc w:val="both"/>
        <w:rPr>
          <w:rFonts w:cs="Arial"/>
          <w:iCs/>
          <w:szCs w:val="20"/>
        </w:rPr>
      </w:pPr>
      <w:r w:rsidRPr="005E4BEA">
        <w:rPr>
          <w:rFonts w:cs="Arial"/>
          <w:iCs/>
          <w:szCs w:val="20"/>
        </w:rPr>
        <w:t>338 040</w:t>
      </w:r>
      <w:r w:rsidRPr="005E4BEA">
        <w:rPr>
          <w:rFonts w:cs="Arial"/>
          <w:iCs/>
          <w:szCs w:val="20"/>
        </w:rPr>
        <w:tab/>
        <w:t>Dežurna služba 1</w:t>
      </w:r>
    </w:p>
    <w:p w14:paraId="26322AAE" w14:textId="77777777" w:rsidR="00CE2B29" w:rsidRPr="005E4BEA" w:rsidRDefault="00CE2B29" w:rsidP="00CE2B29">
      <w:pPr>
        <w:spacing w:line="240" w:lineRule="auto"/>
        <w:jc w:val="both"/>
        <w:rPr>
          <w:rFonts w:cs="Arial"/>
          <w:iCs/>
          <w:szCs w:val="20"/>
        </w:rPr>
      </w:pPr>
      <w:r w:rsidRPr="005E4BEA">
        <w:rPr>
          <w:rFonts w:cs="Arial"/>
          <w:iCs/>
          <w:szCs w:val="20"/>
        </w:rPr>
        <w:t>338 041</w:t>
      </w:r>
      <w:r w:rsidRPr="005E4BEA">
        <w:rPr>
          <w:rFonts w:cs="Arial"/>
          <w:iCs/>
          <w:szCs w:val="20"/>
        </w:rPr>
        <w:tab/>
        <w:t>Dežurna služba 2</w:t>
      </w:r>
    </w:p>
    <w:p w14:paraId="6D9C09BC" w14:textId="77777777" w:rsidR="00CE2B29" w:rsidRPr="005E4BEA" w:rsidRDefault="00CE2B29" w:rsidP="00CE2B29">
      <w:pPr>
        <w:spacing w:line="240" w:lineRule="auto"/>
        <w:jc w:val="both"/>
        <w:rPr>
          <w:rFonts w:cs="Arial"/>
          <w:iCs/>
          <w:szCs w:val="20"/>
        </w:rPr>
      </w:pPr>
      <w:r w:rsidRPr="005E4BEA">
        <w:rPr>
          <w:rFonts w:cs="Arial"/>
          <w:iCs/>
          <w:szCs w:val="20"/>
        </w:rPr>
        <w:t>338 041</w:t>
      </w:r>
      <w:r w:rsidRPr="005E4BEA">
        <w:rPr>
          <w:rFonts w:cs="Arial"/>
          <w:iCs/>
          <w:szCs w:val="20"/>
        </w:rPr>
        <w:tab/>
        <w:t>Dežurna služba 2</w:t>
      </w:r>
    </w:p>
    <w:p w14:paraId="162E57CD" w14:textId="77777777" w:rsidR="00CE2B29" w:rsidRPr="005E4BEA" w:rsidRDefault="00CE2B29" w:rsidP="00CE2B29">
      <w:pPr>
        <w:spacing w:line="240" w:lineRule="auto"/>
        <w:jc w:val="both"/>
        <w:rPr>
          <w:rFonts w:cs="Arial"/>
          <w:iCs/>
          <w:szCs w:val="20"/>
        </w:rPr>
      </w:pPr>
      <w:r w:rsidRPr="005E4BEA">
        <w:rPr>
          <w:rFonts w:cs="Arial"/>
          <w:iCs/>
          <w:szCs w:val="20"/>
        </w:rPr>
        <w:t>338 042</w:t>
      </w:r>
      <w:r w:rsidRPr="005E4BEA">
        <w:rPr>
          <w:rFonts w:cs="Arial"/>
          <w:iCs/>
          <w:szCs w:val="20"/>
        </w:rPr>
        <w:tab/>
        <w:t>Dežurna služba 3a</w:t>
      </w:r>
    </w:p>
    <w:p w14:paraId="0AEB1989" w14:textId="77777777" w:rsidR="00CE2B29" w:rsidRPr="005E4BEA" w:rsidRDefault="00CE2B29" w:rsidP="00CE2B29">
      <w:pPr>
        <w:spacing w:line="240" w:lineRule="auto"/>
        <w:jc w:val="both"/>
        <w:rPr>
          <w:rFonts w:cs="Arial"/>
          <w:iCs/>
          <w:szCs w:val="20"/>
        </w:rPr>
      </w:pPr>
      <w:r w:rsidRPr="005E4BEA">
        <w:rPr>
          <w:rFonts w:cs="Arial"/>
          <w:iCs/>
          <w:szCs w:val="20"/>
        </w:rPr>
        <w:t>338 042</w:t>
      </w:r>
      <w:r w:rsidRPr="005E4BEA">
        <w:rPr>
          <w:rFonts w:cs="Arial"/>
          <w:iCs/>
          <w:szCs w:val="20"/>
        </w:rPr>
        <w:tab/>
        <w:t>Dežurna služba 3a</w:t>
      </w:r>
    </w:p>
    <w:p w14:paraId="783F49E0" w14:textId="77777777" w:rsidR="00CE2B29" w:rsidRPr="005E4BEA" w:rsidRDefault="00CE2B29" w:rsidP="00CE2B29">
      <w:pPr>
        <w:spacing w:line="240" w:lineRule="auto"/>
        <w:jc w:val="both"/>
        <w:rPr>
          <w:rFonts w:cs="Arial"/>
          <w:iCs/>
          <w:szCs w:val="20"/>
        </w:rPr>
      </w:pPr>
      <w:r w:rsidRPr="005E4BEA">
        <w:rPr>
          <w:rFonts w:cs="Arial"/>
          <w:iCs/>
          <w:szCs w:val="20"/>
        </w:rPr>
        <w:t>338 043</w:t>
      </w:r>
      <w:r w:rsidRPr="005E4BEA">
        <w:rPr>
          <w:rFonts w:cs="Arial"/>
          <w:iCs/>
          <w:szCs w:val="20"/>
        </w:rPr>
        <w:tab/>
        <w:t>Dežurna služba 3b</w:t>
      </w:r>
    </w:p>
    <w:p w14:paraId="2F01FD8D" w14:textId="77777777" w:rsidR="00CE2B29" w:rsidRPr="005E4BEA" w:rsidRDefault="00CE2B29" w:rsidP="00CE2B29">
      <w:pPr>
        <w:spacing w:line="240" w:lineRule="auto"/>
        <w:jc w:val="both"/>
        <w:rPr>
          <w:rFonts w:cs="Arial"/>
          <w:iCs/>
          <w:szCs w:val="20"/>
        </w:rPr>
      </w:pPr>
      <w:r w:rsidRPr="005E4BEA">
        <w:rPr>
          <w:rFonts w:cs="Arial"/>
          <w:iCs/>
          <w:szCs w:val="20"/>
        </w:rPr>
        <w:t>338 043</w:t>
      </w:r>
      <w:r w:rsidRPr="005E4BEA">
        <w:rPr>
          <w:rFonts w:cs="Arial"/>
          <w:iCs/>
          <w:szCs w:val="20"/>
        </w:rPr>
        <w:tab/>
        <w:t>Dežurna služba 3b</w:t>
      </w:r>
    </w:p>
    <w:p w14:paraId="7A68E8B4" w14:textId="77777777" w:rsidR="00CE2B29" w:rsidRPr="005E4BEA" w:rsidRDefault="00CE2B29" w:rsidP="00CE2B29">
      <w:pPr>
        <w:spacing w:line="240" w:lineRule="auto"/>
        <w:jc w:val="both"/>
        <w:rPr>
          <w:rFonts w:cs="Arial"/>
          <w:iCs/>
          <w:szCs w:val="20"/>
        </w:rPr>
      </w:pPr>
      <w:r w:rsidRPr="005E4BEA">
        <w:rPr>
          <w:rFonts w:cs="Arial"/>
          <w:iCs/>
          <w:szCs w:val="20"/>
        </w:rPr>
        <w:t>338 044</w:t>
      </w:r>
      <w:r w:rsidRPr="005E4BEA">
        <w:rPr>
          <w:rFonts w:cs="Arial"/>
          <w:iCs/>
          <w:szCs w:val="20"/>
        </w:rPr>
        <w:tab/>
        <w:t>Dežurna služba 4</w:t>
      </w:r>
    </w:p>
    <w:p w14:paraId="25B44378" w14:textId="77777777" w:rsidR="00CE2B29" w:rsidRPr="005E4BEA" w:rsidRDefault="00CE2B29" w:rsidP="00CE2B29">
      <w:pPr>
        <w:spacing w:line="240" w:lineRule="auto"/>
        <w:jc w:val="both"/>
        <w:rPr>
          <w:rFonts w:cs="Arial"/>
          <w:iCs/>
          <w:szCs w:val="20"/>
        </w:rPr>
      </w:pPr>
      <w:r w:rsidRPr="005E4BEA">
        <w:rPr>
          <w:rFonts w:cs="Arial"/>
          <w:iCs/>
          <w:szCs w:val="20"/>
        </w:rPr>
        <w:t>338 045</w:t>
      </w:r>
      <w:r w:rsidRPr="005E4BEA">
        <w:rPr>
          <w:rFonts w:cs="Arial"/>
          <w:iCs/>
          <w:szCs w:val="20"/>
        </w:rPr>
        <w:tab/>
        <w:t>Dežurna služba 5</w:t>
      </w:r>
    </w:p>
    <w:p w14:paraId="0F8D12A9" w14:textId="77777777" w:rsidR="00CE2B29" w:rsidRPr="005E4BEA" w:rsidRDefault="00CE2B29" w:rsidP="00CE2B29">
      <w:pPr>
        <w:spacing w:line="240" w:lineRule="auto"/>
        <w:jc w:val="both"/>
        <w:rPr>
          <w:rFonts w:cs="Arial"/>
          <w:iCs/>
          <w:szCs w:val="20"/>
        </w:rPr>
      </w:pPr>
      <w:r w:rsidRPr="005E4BEA">
        <w:rPr>
          <w:rFonts w:cs="Arial"/>
          <w:iCs/>
          <w:szCs w:val="20"/>
        </w:rPr>
        <w:t>338 047</w:t>
      </w:r>
      <w:r w:rsidRPr="005E4BEA">
        <w:rPr>
          <w:rFonts w:cs="Arial"/>
          <w:iCs/>
          <w:szCs w:val="20"/>
        </w:rPr>
        <w:tab/>
        <w:t xml:space="preserve">Mobilna enota </w:t>
      </w:r>
      <w:proofErr w:type="spellStart"/>
      <w:r w:rsidRPr="005E4BEA">
        <w:rPr>
          <w:rFonts w:cs="Arial"/>
          <w:iCs/>
          <w:szCs w:val="20"/>
        </w:rPr>
        <w:t>reanimobila</w:t>
      </w:r>
      <w:proofErr w:type="spellEnd"/>
    </w:p>
    <w:p w14:paraId="32119C7C" w14:textId="77777777" w:rsidR="00CE2B29" w:rsidRPr="005E4BEA" w:rsidRDefault="00CE2B29" w:rsidP="00CE2B29">
      <w:pPr>
        <w:spacing w:line="240" w:lineRule="auto"/>
        <w:jc w:val="both"/>
        <w:rPr>
          <w:rFonts w:cs="Arial"/>
          <w:iCs/>
          <w:szCs w:val="20"/>
        </w:rPr>
      </w:pPr>
      <w:r w:rsidRPr="005E4BEA">
        <w:rPr>
          <w:rFonts w:cs="Arial"/>
          <w:iCs/>
          <w:szCs w:val="20"/>
        </w:rPr>
        <w:t>338 051</w:t>
      </w:r>
      <w:r w:rsidRPr="005E4BEA">
        <w:rPr>
          <w:rFonts w:cs="Arial"/>
          <w:iCs/>
          <w:szCs w:val="20"/>
        </w:rPr>
        <w:tab/>
        <w:t>Enota za hitre preglede v rednem delovnem času</w:t>
      </w:r>
    </w:p>
    <w:p w14:paraId="68AD18A3" w14:textId="77777777" w:rsidR="00CE2B29" w:rsidRPr="005E4BEA" w:rsidRDefault="00CE2B29" w:rsidP="00CE2B29">
      <w:pPr>
        <w:spacing w:line="240" w:lineRule="auto"/>
        <w:jc w:val="both"/>
        <w:rPr>
          <w:rFonts w:cs="Arial"/>
          <w:iCs/>
          <w:szCs w:val="20"/>
        </w:rPr>
      </w:pPr>
    </w:p>
    <w:p w14:paraId="53970C04" w14:textId="77777777" w:rsidR="00CE2B29" w:rsidRPr="005E4BEA" w:rsidRDefault="00CE2B29" w:rsidP="00CE2B29">
      <w:pPr>
        <w:spacing w:line="240" w:lineRule="auto"/>
        <w:jc w:val="both"/>
        <w:rPr>
          <w:rFonts w:cs="Arial"/>
          <w:iCs/>
          <w:szCs w:val="20"/>
        </w:rPr>
      </w:pPr>
    </w:p>
    <w:p w14:paraId="64B4D762" w14:textId="77777777" w:rsidR="00CE2B29" w:rsidRPr="005E4BEA" w:rsidRDefault="00CE2B29" w:rsidP="00CE2B29">
      <w:pPr>
        <w:widowControl w:val="0"/>
        <w:suppressAutoHyphens/>
        <w:autoSpaceDE w:val="0"/>
        <w:autoSpaceDN w:val="0"/>
        <w:adjustRightInd w:val="0"/>
        <w:spacing w:line="240" w:lineRule="atLeast"/>
        <w:jc w:val="both"/>
        <w:rPr>
          <w:rFonts w:cs="Arial"/>
          <w:color w:val="000000"/>
          <w:szCs w:val="20"/>
        </w:rPr>
      </w:pPr>
      <w:r w:rsidRPr="005E4BEA">
        <w:rPr>
          <w:rFonts w:cs="Arial"/>
          <w:color w:val="000000"/>
          <w:szCs w:val="20"/>
        </w:rPr>
        <w:t xml:space="preserve">Za nujne širitve programov oziroma uvajanje novih terapij pri zdravljenju so v okviru prvega in </w:t>
      </w:r>
      <w:r w:rsidRPr="005E4BEA">
        <w:rPr>
          <w:rFonts w:cs="Arial"/>
          <w:szCs w:val="20"/>
        </w:rPr>
        <w:t xml:space="preserve">v </w:t>
      </w:r>
      <w:r w:rsidRPr="005E4BEA">
        <w:rPr>
          <w:rFonts w:eastAsia="MS Mincho" w:cs="Arial"/>
          <w:szCs w:val="20"/>
        </w:rPr>
        <w:t>24. členu v šestem odstavku v tabeli dodajo nove vrstice za nujne širitve programov oziroma uvajanje novih terapij:</w:t>
      </w:r>
    </w:p>
    <w:p w14:paraId="08B7B3F4" w14:textId="77777777" w:rsidR="00CE2B29" w:rsidRPr="005E4BEA" w:rsidRDefault="00CE2B29" w:rsidP="00CE2B29">
      <w:pPr>
        <w:autoSpaceDE w:val="0"/>
        <w:autoSpaceDN w:val="0"/>
        <w:adjustRightInd w:val="0"/>
        <w:spacing w:line="240" w:lineRule="auto"/>
        <w:rPr>
          <w:rFonts w:cs="Arial"/>
          <w:color w:val="000000"/>
          <w:szCs w:val="20"/>
        </w:rPr>
      </w:pPr>
    </w:p>
    <w:tbl>
      <w:tblPr>
        <w:tblW w:w="5000" w:type="pct"/>
        <w:tblCellMar>
          <w:left w:w="70" w:type="dxa"/>
          <w:right w:w="70" w:type="dxa"/>
        </w:tblCellMar>
        <w:tblLook w:val="04A0" w:firstRow="1" w:lastRow="0" w:firstColumn="1" w:lastColumn="0" w:noHBand="0" w:noVBand="1"/>
      </w:tblPr>
      <w:tblGrid>
        <w:gridCol w:w="252"/>
        <w:gridCol w:w="3256"/>
        <w:gridCol w:w="1746"/>
        <w:gridCol w:w="1063"/>
        <w:gridCol w:w="1030"/>
        <w:gridCol w:w="1141"/>
      </w:tblGrid>
      <w:tr w:rsidR="00CE2B29" w:rsidRPr="005E4BEA" w14:paraId="1C79308B" w14:textId="77777777" w:rsidTr="00F40403">
        <w:trPr>
          <w:trHeight w:val="478"/>
          <w:tblHeader/>
        </w:trPr>
        <w:tc>
          <w:tcPr>
            <w:tcW w:w="181" w:type="pct"/>
            <w:vMerge w:val="restart"/>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0A7F59F5" w14:textId="77777777" w:rsidR="00CE2B29" w:rsidRPr="005E4BEA" w:rsidRDefault="00CE2B29" w:rsidP="00F40403">
            <w:pPr>
              <w:spacing w:line="240" w:lineRule="auto"/>
              <w:jc w:val="center"/>
              <w:rPr>
                <w:rFonts w:cs="Arial"/>
                <w:szCs w:val="20"/>
                <w:lang w:eastAsia="sl-SI"/>
              </w:rPr>
            </w:pPr>
            <w:r w:rsidRPr="005E4BEA">
              <w:rPr>
                <w:rFonts w:cs="Arial"/>
                <w:szCs w:val="20"/>
                <w:lang w:eastAsia="sl-SI"/>
              </w:rPr>
              <w:t> </w:t>
            </w:r>
          </w:p>
        </w:tc>
        <w:tc>
          <w:tcPr>
            <w:tcW w:w="1988"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52AAB5F7" w14:textId="77777777" w:rsidR="00CE2B29" w:rsidRPr="005E4BEA" w:rsidRDefault="00CE2B29" w:rsidP="00F40403">
            <w:pPr>
              <w:spacing w:line="240" w:lineRule="auto"/>
              <w:rPr>
                <w:rFonts w:cs="Arial"/>
                <w:b/>
                <w:bCs/>
                <w:szCs w:val="20"/>
                <w:lang w:eastAsia="sl-SI"/>
              </w:rPr>
            </w:pPr>
            <w:r w:rsidRPr="005E4BEA">
              <w:rPr>
                <w:rFonts w:cs="Arial"/>
                <w:b/>
                <w:bCs/>
                <w:szCs w:val="20"/>
                <w:lang w:eastAsia="sl-SI"/>
              </w:rPr>
              <w:t>P   r   o   g   r   a   m</w:t>
            </w:r>
          </w:p>
        </w:tc>
        <w:tc>
          <w:tcPr>
            <w:tcW w:w="1079"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7A1393C7" w14:textId="77777777" w:rsidR="00CE2B29" w:rsidRPr="005E4BEA" w:rsidRDefault="00CE2B29" w:rsidP="00F40403">
            <w:pPr>
              <w:spacing w:line="240" w:lineRule="auto"/>
              <w:jc w:val="center"/>
              <w:rPr>
                <w:rFonts w:cs="Arial"/>
                <w:b/>
                <w:bCs/>
                <w:szCs w:val="20"/>
                <w:lang w:eastAsia="sl-SI"/>
              </w:rPr>
            </w:pPr>
            <w:r w:rsidRPr="005E4BEA">
              <w:rPr>
                <w:rFonts w:cs="Arial"/>
                <w:b/>
                <w:bCs/>
                <w:szCs w:val="20"/>
                <w:lang w:eastAsia="sl-SI"/>
              </w:rPr>
              <w:t>I z v a j a l e c /</w:t>
            </w:r>
            <w:r w:rsidRPr="005E4BEA">
              <w:rPr>
                <w:rFonts w:cs="Arial"/>
                <w:b/>
                <w:bCs/>
                <w:szCs w:val="20"/>
                <w:lang w:eastAsia="sl-SI"/>
              </w:rPr>
              <w:br/>
              <w:t>i z p o s t a v a</w:t>
            </w:r>
          </w:p>
        </w:tc>
        <w:tc>
          <w:tcPr>
            <w:tcW w:w="580"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5C192B55" w14:textId="77777777" w:rsidR="00CE2B29" w:rsidRPr="005E4BEA" w:rsidRDefault="00CE2B29" w:rsidP="00F40403">
            <w:pPr>
              <w:spacing w:line="240" w:lineRule="auto"/>
              <w:jc w:val="center"/>
              <w:rPr>
                <w:rFonts w:cs="Arial"/>
                <w:b/>
                <w:bCs/>
                <w:szCs w:val="20"/>
                <w:lang w:eastAsia="sl-SI"/>
              </w:rPr>
            </w:pPr>
            <w:r w:rsidRPr="005E4BEA">
              <w:rPr>
                <w:rFonts w:cs="Arial"/>
                <w:b/>
                <w:bCs/>
                <w:szCs w:val="20"/>
                <w:lang w:eastAsia="sl-SI"/>
              </w:rPr>
              <w:t>Obseg programa</w:t>
            </w:r>
          </w:p>
        </w:tc>
        <w:tc>
          <w:tcPr>
            <w:tcW w:w="586"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4CA04767" w14:textId="77777777" w:rsidR="00CE2B29" w:rsidRPr="005E4BEA" w:rsidRDefault="00CE2B29" w:rsidP="00F40403">
            <w:pPr>
              <w:spacing w:line="240" w:lineRule="auto"/>
              <w:jc w:val="center"/>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na letni ravni</w:t>
            </w:r>
            <w:r w:rsidRPr="005E4BEA">
              <w:rPr>
                <w:rFonts w:cs="Arial"/>
                <w:b/>
                <w:bCs/>
                <w:szCs w:val="20"/>
                <w:lang w:eastAsia="sl-SI"/>
              </w:rPr>
              <w:br/>
              <w:t>(v EUR)</w:t>
            </w:r>
          </w:p>
        </w:tc>
        <w:tc>
          <w:tcPr>
            <w:tcW w:w="586"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3BE006FF" w14:textId="77777777" w:rsidR="00CE2B29" w:rsidRPr="005E4BEA" w:rsidRDefault="00CE2B29" w:rsidP="00F40403">
            <w:pPr>
              <w:spacing w:line="240" w:lineRule="auto"/>
              <w:jc w:val="center"/>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1.1.-31.12.2022</w:t>
            </w:r>
            <w:r w:rsidRPr="005E4BEA">
              <w:rPr>
                <w:rFonts w:cs="Arial"/>
                <w:b/>
                <w:bCs/>
                <w:szCs w:val="20"/>
                <w:lang w:eastAsia="sl-SI"/>
              </w:rPr>
              <w:br/>
              <w:t>(v EUR)</w:t>
            </w:r>
          </w:p>
        </w:tc>
      </w:tr>
      <w:tr w:rsidR="00CE2B29" w:rsidRPr="005E4BEA" w14:paraId="3AF3FADE" w14:textId="77777777" w:rsidTr="00F40403">
        <w:trPr>
          <w:trHeight w:val="478"/>
          <w:tblHeader/>
        </w:trPr>
        <w:tc>
          <w:tcPr>
            <w:tcW w:w="181" w:type="pct"/>
            <w:vMerge/>
            <w:tcBorders>
              <w:top w:val="single" w:sz="4" w:space="0" w:color="538DD5"/>
              <w:left w:val="single" w:sz="4" w:space="0" w:color="538DD5"/>
              <w:bottom w:val="single" w:sz="4" w:space="0" w:color="538DD5"/>
              <w:right w:val="single" w:sz="4" w:space="0" w:color="538DD5"/>
            </w:tcBorders>
            <w:vAlign w:val="center"/>
            <w:hideMark/>
          </w:tcPr>
          <w:p w14:paraId="7047F80B" w14:textId="77777777" w:rsidR="00CE2B29" w:rsidRPr="005E4BEA" w:rsidRDefault="00CE2B29" w:rsidP="00F40403">
            <w:pPr>
              <w:spacing w:line="240" w:lineRule="auto"/>
              <w:rPr>
                <w:rFonts w:cs="Arial"/>
                <w:szCs w:val="20"/>
                <w:lang w:eastAsia="sl-SI"/>
              </w:rPr>
            </w:pPr>
          </w:p>
        </w:tc>
        <w:tc>
          <w:tcPr>
            <w:tcW w:w="1988" w:type="pct"/>
            <w:vMerge/>
            <w:tcBorders>
              <w:top w:val="single" w:sz="4" w:space="0" w:color="538DD5"/>
              <w:left w:val="single" w:sz="4" w:space="0" w:color="538DD5"/>
              <w:bottom w:val="single" w:sz="4" w:space="0" w:color="538DD5"/>
              <w:right w:val="single" w:sz="4" w:space="0" w:color="538DD5"/>
            </w:tcBorders>
            <w:vAlign w:val="center"/>
            <w:hideMark/>
          </w:tcPr>
          <w:p w14:paraId="1403BD01" w14:textId="77777777" w:rsidR="00CE2B29" w:rsidRPr="005E4BEA" w:rsidRDefault="00CE2B29" w:rsidP="00F40403">
            <w:pPr>
              <w:spacing w:line="240" w:lineRule="auto"/>
              <w:rPr>
                <w:rFonts w:cs="Arial"/>
                <w:b/>
                <w:bCs/>
                <w:szCs w:val="20"/>
                <w:lang w:eastAsia="sl-SI"/>
              </w:rPr>
            </w:pPr>
          </w:p>
        </w:tc>
        <w:tc>
          <w:tcPr>
            <w:tcW w:w="1079" w:type="pct"/>
            <w:vMerge/>
            <w:tcBorders>
              <w:top w:val="single" w:sz="4" w:space="0" w:color="538DD5"/>
              <w:left w:val="single" w:sz="4" w:space="0" w:color="538DD5"/>
              <w:bottom w:val="single" w:sz="4" w:space="0" w:color="538DD5"/>
              <w:right w:val="single" w:sz="4" w:space="0" w:color="538DD5"/>
            </w:tcBorders>
            <w:vAlign w:val="center"/>
            <w:hideMark/>
          </w:tcPr>
          <w:p w14:paraId="6E767E57" w14:textId="77777777" w:rsidR="00CE2B29" w:rsidRPr="005E4BEA" w:rsidRDefault="00CE2B29" w:rsidP="00F40403">
            <w:pPr>
              <w:spacing w:line="240" w:lineRule="auto"/>
              <w:rPr>
                <w:rFonts w:cs="Arial"/>
                <w:b/>
                <w:bCs/>
                <w:szCs w:val="20"/>
                <w:lang w:eastAsia="sl-SI"/>
              </w:rPr>
            </w:pPr>
          </w:p>
        </w:tc>
        <w:tc>
          <w:tcPr>
            <w:tcW w:w="580" w:type="pct"/>
            <w:vMerge/>
            <w:tcBorders>
              <w:top w:val="single" w:sz="4" w:space="0" w:color="538DD5"/>
              <w:left w:val="single" w:sz="4" w:space="0" w:color="538DD5"/>
              <w:bottom w:val="single" w:sz="4" w:space="0" w:color="538DD5"/>
              <w:right w:val="single" w:sz="4" w:space="0" w:color="538DD5"/>
            </w:tcBorders>
            <w:vAlign w:val="center"/>
            <w:hideMark/>
          </w:tcPr>
          <w:p w14:paraId="52D9CB89"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08623165"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3A0DB560" w14:textId="77777777" w:rsidR="00CE2B29" w:rsidRPr="005E4BEA" w:rsidRDefault="00CE2B29" w:rsidP="00F40403">
            <w:pPr>
              <w:spacing w:line="240" w:lineRule="auto"/>
              <w:rPr>
                <w:rFonts w:cs="Arial"/>
                <w:b/>
                <w:bCs/>
                <w:szCs w:val="20"/>
                <w:lang w:eastAsia="sl-SI"/>
              </w:rPr>
            </w:pPr>
          </w:p>
        </w:tc>
      </w:tr>
      <w:tr w:rsidR="00CE2B29" w:rsidRPr="005E4BEA" w14:paraId="016BCB58" w14:textId="77777777" w:rsidTr="00F40403">
        <w:trPr>
          <w:trHeight w:val="478"/>
          <w:tblHeader/>
        </w:trPr>
        <w:tc>
          <w:tcPr>
            <w:tcW w:w="181" w:type="pct"/>
            <w:vMerge/>
            <w:tcBorders>
              <w:top w:val="single" w:sz="4" w:space="0" w:color="538DD5"/>
              <w:left w:val="single" w:sz="4" w:space="0" w:color="538DD5"/>
              <w:bottom w:val="single" w:sz="4" w:space="0" w:color="538DD5"/>
              <w:right w:val="single" w:sz="4" w:space="0" w:color="538DD5"/>
            </w:tcBorders>
            <w:vAlign w:val="center"/>
            <w:hideMark/>
          </w:tcPr>
          <w:p w14:paraId="3CEBEC11" w14:textId="77777777" w:rsidR="00CE2B29" w:rsidRPr="005E4BEA" w:rsidRDefault="00CE2B29" w:rsidP="00F40403">
            <w:pPr>
              <w:spacing w:line="240" w:lineRule="auto"/>
              <w:rPr>
                <w:rFonts w:cs="Arial"/>
                <w:szCs w:val="20"/>
                <w:lang w:eastAsia="sl-SI"/>
              </w:rPr>
            </w:pPr>
          </w:p>
        </w:tc>
        <w:tc>
          <w:tcPr>
            <w:tcW w:w="1988" w:type="pct"/>
            <w:vMerge/>
            <w:tcBorders>
              <w:top w:val="single" w:sz="4" w:space="0" w:color="538DD5"/>
              <w:left w:val="single" w:sz="4" w:space="0" w:color="538DD5"/>
              <w:bottom w:val="single" w:sz="4" w:space="0" w:color="538DD5"/>
              <w:right w:val="single" w:sz="4" w:space="0" w:color="538DD5"/>
            </w:tcBorders>
            <w:vAlign w:val="center"/>
            <w:hideMark/>
          </w:tcPr>
          <w:p w14:paraId="41CC24B6" w14:textId="77777777" w:rsidR="00CE2B29" w:rsidRPr="005E4BEA" w:rsidRDefault="00CE2B29" w:rsidP="00F40403">
            <w:pPr>
              <w:spacing w:line="240" w:lineRule="auto"/>
              <w:rPr>
                <w:rFonts w:cs="Arial"/>
                <w:b/>
                <w:bCs/>
                <w:szCs w:val="20"/>
                <w:lang w:eastAsia="sl-SI"/>
              </w:rPr>
            </w:pPr>
          </w:p>
        </w:tc>
        <w:tc>
          <w:tcPr>
            <w:tcW w:w="1079" w:type="pct"/>
            <w:vMerge/>
            <w:tcBorders>
              <w:top w:val="single" w:sz="4" w:space="0" w:color="538DD5"/>
              <w:left w:val="single" w:sz="4" w:space="0" w:color="538DD5"/>
              <w:bottom w:val="single" w:sz="4" w:space="0" w:color="538DD5"/>
              <w:right w:val="single" w:sz="4" w:space="0" w:color="538DD5"/>
            </w:tcBorders>
            <w:vAlign w:val="center"/>
            <w:hideMark/>
          </w:tcPr>
          <w:p w14:paraId="4FA94078" w14:textId="77777777" w:rsidR="00CE2B29" w:rsidRPr="005E4BEA" w:rsidRDefault="00CE2B29" w:rsidP="00F40403">
            <w:pPr>
              <w:spacing w:line="240" w:lineRule="auto"/>
              <w:rPr>
                <w:rFonts w:cs="Arial"/>
                <w:b/>
                <w:bCs/>
                <w:szCs w:val="20"/>
                <w:lang w:eastAsia="sl-SI"/>
              </w:rPr>
            </w:pPr>
          </w:p>
        </w:tc>
        <w:tc>
          <w:tcPr>
            <w:tcW w:w="580" w:type="pct"/>
            <w:vMerge/>
            <w:tcBorders>
              <w:top w:val="single" w:sz="4" w:space="0" w:color="538DD5"/>
              <w:left w:val="single" w:sz="4" w:space="0" w:color="538DD5"/>
              <w:bottom w:val="single" w:sz="4" w:space="0" w:color="538DD5"/>
              <w:right w:val="single" w:sz="4" w:space="0" w:color="538DD5"/>
            </w:tcBorders>
            <w:vAlign w:val="center"/>
            <w:hideMark/>
          </w:tcPr>
          <w:p w14:paraId="2B1B1A14"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49C44CFA"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0AC9F940" w14:textId="77777777" w:rsidR="00CE2B29" w:rsidRPr="005E4BEA" w:rsidRDefault="00CE2B29" w:rsidP="00F40403">
            <w:pPr>
              <w:spacing w:line="240" w:lineRule="auto"/>
              <w:rPr>
                <w:rFonts w:cs="Arial"/>
                <w:b/>
                <w:bCs/>
                <w:szCs w:val="20"/>
                <w:lang w:eastAsia="sl-SI"/>
              </w:rPr>
            </w:pPr>
          </w:p>
        </w:tc>
      </w:tr>
      <w:tr w:rsidR="00CE2B29" w:rsidRPr="005E4BEA" w14:paraId="7A4BA009" w14:textId="77777777" w:rsidTr="00F40403">
        <w:trPr>
          <w:trHeight w:val="330"/>
        </w:trPr>
        <w:tc>
          <w:tcPr>
            <w:tcW w:w="181" w:type="pct"/>
            <w:tcBorders>
              <w:top w:val="nil"/>
              <w:left w:val="single" w:sz="4" w:space="0" w:color="538DD5"/>
              <w:bottom w:val="nil"/>
              <w:right w:val="single" w:sz="4" w:space="0" w:color="538DD5"/>
            </w:tcBorders>
            <w:shd w:val="clear" w:color="auto" w:fill="auto"/>
            <w:noWrap/>
            <w:vAlign w:val="center"/>
            <w:hideMark/>
          </w:tcPr>
          <w:p w14:paraId="1F64A033" w14:textId="77777777" w:rsidR="00CE2B29" w:rsidRPr="005E4BEA" w:rsidRDefault="00CE2B29" w:rsidP="00F40403">
            <w:pPr>
              <w:spacing w:line="240" w:lineRule="auto"/>
              <w:rPr>
                <w:rFonts w:cs="Arial"/>
                <w:szCs w:val="20"/>
                <w:lang w:eastAsia="sl-SI"/>
              </w:rPr>
            </w:pPr>
            <w:r w:rsidRPr="005E4BEA">
              <w:rPr>
                <w:rFonts w:cs="Arial"/>
                <w:szCs w:val="20"/>
                <w:lang w:eastAsia="sl-SI"/>
              </w:rPr>
              <w:t>1</w:t>
            </w:r>
          </w:p>
        </w:tc>
        <w:tc>
          <w:tcPr>
            <w:tcW w:w="1988" w:type="pct"/>
            <w:tcBorders>
              <w:top w:val="nil"/>
              <w:left w:val="nil"/>
              <w:bottom w:val="nil"/>
              <w:right w:val="single" w:sz="4" w:space="0" w:color="538DD5"/>
            </w:tcBorders>
            <w:shd w:val="clear" w:color="auto" w:fill="auto"/>
            <w:vAlign w:val="center"/>
          </w:tcPr>
          <w:p w14:paraId="726284F7" w14:textId="77777777" w:rsidR="00CE2B29" w:rsidRPr="005E4BEA" w:rsidRDefault="00CE2B29" w:rsidP="00F40403">
            <w:pPr>
              <w:spacing w:line="240" w:lineRule="auto"/>
              <w:rPr>
                <w:rFonts w:cs="Arial"/>
                <w:szCs w:val="20"/>
                <w:lang w:eastAsia="sl-SI"/>
              </w:rPr>
            </w:pPr>
            <w:r w:rsidRPr="005E4BEA">
              <w:rPr>
                <w:rFonts w:cs="Arial"/>
                <w:szCs w:val="20"/>
                <w:lang w:eastAsia="sl-SI"/>
              </w:rPr>
              <w:t xml:space="preserve">Nujna medicinska pomoč-helikopter, Dežurna služba 1, 2. 3a, 3b, 4, 5, Mobilna enota </w:t>
            </w:r>
            <w:proofErr w:type="spellStart"/>
            <w:r w:rsidRPr="005E4BEA">
              <w:rPr>
                <w:rFonts w:cs="Arial"/>
                <w:szCs w:val="20"/>
                <w:lang w:eastAsia="sl-SI"/>
              </w:rPr>
              <w:t>reanimobila</w:t>
            </w:r>
            <w:proofErr w:type="spellEnd"/>
            <w:r w:rsidRPr="005E4BEA">
              <w:rPr>
                <w:rFonts w:cs="Arial"/>
                <w:szCs w:val="20"/>
                <w:lang w:eastAsia="sl-SI"/>
              </w:rPr>
              <w:t>, Enota za hitre preglede v rednem delovnem času</w:t>
            </w:r>
          </w:p>
          <w:p w14:paraId="4893E52A" w14:textId="77777777" w:rsidR="00CE2B29" w:rsidRPr="005E4BEA" w:rsidRDefault="00CE2B29" w:rsidP="00F40403">
            <w:pPr>
              <w:spacing w:line="240" w:lineRule="auto"/>
              <w:rPr>
                <w:rFonts w:cs="Arial"/>
                <w:szCs w:val="20"/>
                <w:lang w:eastAsia="sl-SI"/>
              </w:rPr>
            </w:pPr>
          </w:p>
        </w:tc>
        <w:tc>
          <w:tcPr>
            <w:tcW w:w="1079" w:type="pct"/>
            <w:tcBorders>
              <w:top w:val="nil"/>
              <w:left w:val="nil"/>
              <w:bottom w:val="nil"/>
              <w:right w:val="single" w:sz="4" w:space="0" w:color="538DD5"/>
            </w:tcBorders>
            <w:shd w:val="clear" w:color="auto" w:fill="auto"/>
            <w:vAlign w:val="center"/>
          </w:tcPr>
          <w:p w14:paraId="6CCB4E01" w14:textId="77777777" w:rsidR="00CE2B29" w:rsidRPr="005E4BEA" w:rsidRDefault="00CE2B29" w:rsidP="00F40403">
            <w:pPr>
              <w:spacing w:line="240" w:lineRule="auto"/>
              <w:rPr>
                <w:rFonts w:cs="Arial"/>
                <w:szCs w:val="20"/>
                <w:lang w:eastAsia="sl-SI"/>
              </w:rPr>
            </w:pPr>
          </w:p>
        </w:tc>
        <w:tc>
          <w:tcPr>
            <w:tcW w:w="580" w:type="pct"/>
            <w:tcBorders>
              <w:top w:val="nil"/>
              <w:left w:val="nil"/>
              <w:bottom w:val="nil"/>
              <w:right w:val="single" w:sz="4" w:space="0" w:color="538DD5"/>
            </w:tcBorders>
            <w:shd w:val="clear" w:color="auto" w:fill="auto"/>
            <w:noWrap/>
            <w:vAlign w:val="center"/>
            <w:hideMark/>
          </w:tcPr>
          <w:p w14:paraId="4E7C5CB8" w14:textId="77777777" w:rsidR="00CE2B29" w:rsidRPr="005E4BEA" w:rsidRDefault="00CE2B29" w:rsidP="00F40403">
            <w:pPr>
              <w:spacing w:line="240" w:lineRule="auto"/>
              <w:rPr>
                <w:rFonts w:cs="Arial"/>
                <w:szCs w:val="20"/>
                <w:lang w:eastAsia="sl-SI"/>
              </w:rPr>
            </w:pPr>
          </w:p>
        </w:tc>
        <w:tc>
          <w:tcPr>
            <w:tcW w:w="586" w:type="pct"/>
            <w:tcBorders>
              <w:top w:val="nil"/>
              <w:left w:val="nil"/>
              <w:bottom w:val="nil"/>
              <w:right w:val="single" w:sz="4" w:space="0" w:color="538DD5"/>
            </w:tcBorders>
            <w:shd w:val="clear" w:color="auto" w:fill="auto"/>
            <w:noWrap/>
            <w:vAlign w:val="center"/>
          </w:tcPr>
          <w:p w14:paraId="13FDEF77" w14:textId="77777777" w:rsidR="00CE2B29" w:rsidRPr="005E4BEA" w:rsidRDefault="00CE2B29" w:rsidP="00F40403">
            <w:pPr>
              <w:spacing w:line="240" w:lineRule="auto"/>
              <w:rPr>
                <w:rFonts w:cs="Arial"/>
                <w:szCs w:val="20"/>
                <w:lang w:eastAsia="sl-SI"/>
              </w:rPr>
            </w:pPr>
            <w:r w:rsidRPr="005E4BEA">
              <w:rPr>
                <w:rFonts w:cs="Arial"/>
                <w:szCs w:val="20"/>
                <w:lang w:eastAsia="sl-SI"/>
              </w:rPr>
              <w:t>1.101.425</w:t>
            </w:r>
          </w:p>
        </w:tc>
        <w:tc>
          <w:tcPr>
            <w:tcW w:w="586" w:type="pct"/>
            <w:tcBorders>
              <w:top w:val="nil"/>
              <w:left w:val="nil"/>
              <w:bottom w:val="nil"/>
              <w:right w:val="single" w:sz="4" w:space="0" w:color="538DD5"/>
            </w:tcBorders>
            <w:shd w:val="clear" w:color="auto" w:fill="auto"/>
            <w:noWrap/>
            <w:vAlign w:val="center"/>
          </w:tcPr>
          <w:p w14:paraId="0FD85BEF" w14:textId="77777777" w:rsidR="00CE2B29" w:rsidRPr="005E4BEA" w:rsidRDefault="00CE2B29" w:rsidP="00F40403">
            <w:pPr>
              <w:spacing w:line="240" w:lineRule="auto"/>
              <w:rPr>
                <w:rFonts w:cs="Arial"/>
                <w:szCs w:val="20"/>
                <w:lang w:eastAsia="sl-SI"/>
              </w:rPr>
            </w:pPr>
            <w:r w:rsidRPr="005E4BEA">
              <w:rPr>
                <w:rFonts w:cs="Arial"/>
                <w:szCs w:val="20"/>
                <w:lang w:eastAsia="sl-SI"/>
              </w:rPr>
              <w:t xml:space="preserve">367.141 </w:t>
            </w:r>
          </w:p>
        </w:tc>
      </w:tr>
      <w:tr w:rsidR="00CE2B29" w:rsidRPr="005E4BEA" w14:paraId="76C7448A" w14:textId="77777777" w:rsidTr="00F40403">
        <w:trPr>
          <w:trHeight w:val="80"/>
        </w:trPr>
        <w:tc>
          <w:tcPr>
            <w:tcW w:w="181" w:type="pct"/>
            <w:tcBorders>
              <w:top w:val="nil"/>
              <w:left w:val="single" w:sz="4" w:space="0" w:color="538DD5"/>
              <w:bottom w:val="single" w:sz="4" w:space="0" w:color="538DD5"/>
              <w:right w:val="single" w:sz="4" w:space="0" w:color="538DD5"/>
            </w:tcBorders>
            <w:shd w:val="clear" w:color="auto" w:fill="auto"/>
            <w:noWrap/>
            <w:vAlign w:val="center"/>
          </w:tcPr>
          <w:p w14:paraId="42476CA9" w14:textId="77777777" w:rsidR="00CE2B29" w:rsidRPr="005E4BEA" w:rsidRDefault="00CE2B29" w:rsidP="00F40403">
            <w:pPr>
              <w:spacing w:line="240" w:lineRule="auto"/>
              <w:rPr>
                <w:rFonts w:cs="Arial"/>
                <w:szCs w:val="20"/>
                <w:lang w:eastAsia="sl-SI"/>
              </w:rPr>
            </w:pPr>
          </w:p>
        </w:tc>
        <w:tc>
          <w:tcPr>
            <w:tcW w:w="1988" w:type="pct"/>
            <w:tcBorders>
              <w:top w:val="nil"/>
              <w:left w:val="nil"/>
              <w:bottom w:val="single" w:sz="4" w:space="0" w:color="538DD5"/>
              <w:right w:val="single" w:sz="4" w:space="0" w:color="538DD5"/>
            </w:tcBorders>
            <w:shd w:val="clear" w:color="auto" w:fill="auto"/>
            <w:vAlign w:val="center"/>
          </w:tcPr>
          <w:p w14:paraId="49205EBE" w14:textId="77777777" w:rsidR="00CE2B29" w:rsidRPr="005E4BEA" w:rsidRDefault="00CE2B29" w:rsidP="00F40403">
            <w:pPr>
              <w:spacing w:line="240" w:lineRule="auto"/>
              <w:rPr>
                <w:rFonts w:cs="Arial"/>
                <w:szCs w:val="20"/>
                <w:lang w:eastAsia="sl-SI"/>
              </w:rPr>
            </w:pPr>
          </w:p>
        </w:tc>
        <w:tc>
          <w:tcPr>
            <w:tcW w:w="1079" w:type="pct"/>
            <w:tcBorders>
              <w:top w:val="nil"/>
              <w:left w:val="nil"/>
              <w:bottom w:val="single" w:sz="4" w:space="0" w:color="538DD5"/>
              <w:right w:val="single" w:sz="4" w:space="0" w:color="538DD5"/>
            </w:tcBorders>
            <w:shd w:val="clear" w:color="auto" w:fill="auto"/>
            <w:vAlign w:val="center"/>
          </w:tcPr>
          <w:p w14:paraId="79DF8692" w14:textId="77777777" w:rsidR="00CE2B29" w:rsidRPr="005E4BEA" w:rsidRDefault="00CE2B29" w:rsidP="00F40403">
            <w:pPr>
              <w:spacing w:line="240" w:lineRule="auto"/>
              <w:rPr>
                <w:rFonts w:cs="Arial"/>
                <w:szCs w:val="20"/>
                <w:lang w:eastAsia="sl-SI"/>
              </w:rPr>
            </w:pPr>
          </w:p>
        </w:tc>
        <w:tc>
          <w:tcPr>
            <w:tcW w:w="580" w:type="pct"/>
            <w:tcBorders>
              <w:top w:val="nil"/>
              <w:left w:val="nil"/>
              <w:bottom w:val="single" w:sz="4" w:space="0" w:color="538DD5"/>
              <w:right w:val="single" w:sz="4" w:space="0" w:color="538DD5"/>
            </w:tcBorders>
            <w:shd w:val="clear" w:color="auto" w:fill="auto"/>
            <w:noWrap/>
            <w:vAlign w:val="center"/>
          </w:tcPr>
          <w:p w14:paraId="0F3A904B" w14:textId="77777777" w:rsidR="00CE2B29" w:rsidRPr="005E4BEA" w:rsidRDefault="00CE2B29" w:rsidP="00F40403">
            <w:pPr>
              <w:spacing w:line="240" w:lineRule="auto"/>
              <w:rPr>
                <w:rFonts w:cs="Arial"/>
                <w:szCs w:val="20"/>
                <w:lang w:eastAsia="sl-SI"/>
              </w:rPr>
            </w:pPr>
          </w:p>
        </w:tc>
        <w:tc>
          <w:tcPr>
            <w:tcW w:w="586" w:type="pct"/>
            <w:tcBorders>
              <w:top w:val="nil"/>
              <w:left w:val="nil"/>
              <w:bottom w:val="single" w:sz="4" w:space="0" w:color="538DD5"/>
              <w:right w:val="single" w:sz="4" w:space="0" w:color="538DD5"/>
            </w:tcBorders>
            <w:shd w:val="clear" w:color="auto" w:fill="auto"/>
            <w:noWrap/>
            <w:vAlign w:val="center"/>
          </w:tcPr>
          <w:p w14:paraId="54BE4D75" w14:textId="77777777" w:rsidR="00CE2B29" w:rsidRPr="005E4BEA" w:rsidRDefault="00CE2B29" w:rsidP="00F40403">
            <w:pPr>
              <w:spacing w:line="240" w:lineRule="auto"/>
              <w:rPr>
                <w:rFonts w:cs="Arial"/>
                <w:szCs w:val="20"/>
                <w:lang w:eastAsia="sl-SI"/>
              </w:rPr>
            </w:pPr>
          </w:p>
        </w:tc>
        <w:tc>
          <w:tcPr>
            <w:tcW w:w="586" w:type="pct"/>
            <w:tcBorders>
              <w:top w:val="nil"/>
              <w:left w:val="nil"/>
              <w:bottom w:val="single" w:sz="4" w:space="0" w:color="538DD5"/>
              <w:right w:val="single" w:sz="4" w:space="0" w:color="538DD5"/>
            </w:tcBorders>
            <w:shd w:val="clear" w:color="auto" w:fill="auto"/>
            <w:noWrap/>
            <w:vAlign w:val="center"/>
          </w:tcPr>
          <w:p w14:paraId="23AE74E5" w14:textId="77777777" w:rsidR="00CE2B29" w:rsidRPr="005E4BEA" w:rsidRDefault="00CE2B29" w:rsidP="00F40403">
            <w:pPr>
              <w:spacing w:line="240" w:lineRule="auto"/>
              <w:rPr>
                <w:rFonts w:cs="Arial"/>
                <w:szCs w:val="20"/>
                <w:lang w:eastAsia="sl-SI"/>
              </w:rPr>
            </w:pPr>
          </w:p>
        </w:tc>
      </w:tr>
    </w:tbl>
    <w:p w14:paraId="559D49AF" w14:textId="77777777" w:rsidR="00CE2B29" w:rsidRPr="005E4BEA" w:rsidRDefault="00CE2B29" w:rsidP="00CE2B29">
      <w:pPr>
        <w:spacing w:line="240" w:lineRule="auto"/>
        <w:jc w:val="both"/>
        <w:rPr>
          <w:rFonts w:cs="Arial"/>
          <w:iCs/>
          <w:szCs w:val="20"/>
        </w:rPr>
      </w:pPr>
    </w:p>
    <w:p w14:paraId="0E20999E" w14:textId="77777777" w:rsidR="00CE2B29" w:rsidRPr="005E4BEA" w:rsidRDefault="00CE2B29" w:rsidP="00CE2B29">
      <w:pPr>
        <w:spacing w:line="240" w:lineRule="auto"/>
        <w:jc w:val="both"/>
        <w:rPr>
          <w:rFonts w:cs="Arial"/>
          <w:iCs/>
          <w:szCs w:val="20"/>
        </w:rPr>
      </w:pPr>
    </w:p>
    <w:p w14:paraId="13B1EA1D" w14:textId="77777777" w:rsidR="00CE2B29" w:rsidRPr="005E4BEA" w:rsidRDefault="00CE2B29" w:rsidP="00CE2B29">
      <w:pPr>
        <w:spacing w:line="240" w:lineRule="auto"/>
        <w:jc w:val="both"/>
        <w:rPr>
          <w:rFonts w:cs="Arial"/>
          <w:iCs/>
          <w:szCs w:val="20"/>
        </w:rPr>
      </w:pPr>
      <w:r w:rsidRPr="005E4BEA">
        <w:rPr>
          <w:rFonts w:cs="Arial"/>
          <w:iCs/>
          <w:szCs w:val="20"/>
        </w:rPr>
        <w:t>Veljavnost od 1. 9. 2022</w:t>
      </w:r>
    </w:p>
    <w:p w14:paraId="7C9B7830" w14:textId="2B6F185A" w:rsidR="00E708CF" w:rsidRPr="005E4BEA" w:rsidRDefault="00E708CF" w:rsidP="00E708CF">
      <w:pPr>
        <w:autoSpaceDE w:val="0"/>
        <w:autoSpaceDN w:val="0"/>
        <w:adjustRightInd w:val="0"/>
        <w:spacing w:line="0" w:lineRule="atLeast"/>
        <w:jc w:val="both"/>
        <w:rPr>
          <w:rFonts w:eastAsia="Arial Narrow" w:cs="Arial"/>
          <w:szCs w:val="20"/>
        </w:rPr>
      </w:pPr>
    </w:p>
    <w:p w14:paraId="735EC1EB" w14:textId="77777777" w:rsidR="00E708CF" w:rsidRPr="005E4BEA" w:rsidRDefault="00E708CF" w:rsidP="00E708CF">
      <w:pPr>
        <w:spacing w:line="0" w:lineRule="atLeast"/>
        <w:jc w:val="both"/>
        <w:rPr>
          <w:rFonts w:eastAsia="Arial Narrow" w:cs="Arial"/>
          <w:szCs w:val="20"/>
          <w:lang w:eastAsia="sl-SI"/>
        </w:rPr>
      </w:pPr>
    </w:p>
    <w:bookmarkEnd w:id="125"/>
    <w:p w14:paraId="7B626D26" w14:textId="61159328" w:rsidR="00C7272F" w:rsidRPr="005E4BEA" w:rsidRDefault="00E708CF" w:rsidP="00C7272F">
      <w:pPr>
        <w:spacing w:line="240" w:lineRule="auto"/>
        <w:jc w:val="both"/>
        <w:rPr>
          <w:rFonts w:cs="Arial"/>
          <w:szCs w:val="20"/>
        </w:rPr>
      </w:pPr>
      <w:r w:rsidRPr="005E4BEA">
        <w:rPr>
          <w:rFonts w:eastAsia="Arial Narrow" w:cs="Arial"/>
          <w:b/>
          <w:szCs w:val="20"/>
        </w:rPr>
        <w:lastRenderedPageBreak/>
        <w:t>Ministrstvo za zdravje predlaga Vladi Republike Slovenije</w:t>
      </w:r>
      <w:r w:rsidRPr="005E4BEA">
        <w:rPr>
          <w:rFonts w:eastAsia="Arial Narrow" w:cs="Arial"/>
          <w:szCs w:val="20"/>
        </w:rPr>
        <w:t xml:space="preserve">, </w:t>
      </w:r>
      <w:bookmarkStart w:id="126" w:name="_Hlk102477938"/>
      <w:r w:rsidRPr="005E4BEA">
        <w:rPr>
          <w:rFonts w:eastAsia="Arial Narrow" w:cs="Arial"/>
          <w:bCs/>
          <w:szCs w:val="20"/>
        </w:rPr>
        <w:t xml:space="preserve">da se </w:t>
      </w:r>
      <w:r w:rsidR="00C7272F" w:rsidRPr="005E4BEA">
        <w:rPr>
          <w:rFonts w:eastAsiaTheme="minorHAnsi" w:cs="Arial"/>
          <w:bCs/>
          <w:szCs w:val="20"/>
        </w:rPr>
        <w:t xml:space="preserve">v </w:t>
      </w:r>
      <w:r w:rsidR="00C7272F" w:rsidRPr="005E4BEA">
        <w:rPr>
          <w:rFonts w:cs="Arial"/>
          <w:bCs/>
          <w:szCs w:val="20"/>
        </w:rPr>
        <w:t>Prilogi I s</w:t>
      </w:r>
      <w:r w:rsidR="00C7272F" w:rsidRPr="005E4BEA">
        <w:rPr>
          <w:rFonts w:cs="Arial"/>
          <w:szCs w:val="20"/>
        </w:rPr>
        <w:t>premeni kalkulacija standardov tako, da se za zdravnika specialista namesto 53. plačnega razreda prizna 54. plačni razred.</w:t>
      </w:r>
    </w:p>
    <w:p w14:paraId="0A0250C8" w14:textId="77777777" w:rsidR="00C7272F" w:rsidRPr="005E4BEA" w:rsidRDefault="00C7272F" w:rsidP="00C7272F">
      <w:pPr>
        <w:spacing w:line="240" w:lineRule="auto"/>
        <w:jc w:val="both"/>
        <w:rPr>
          <w:rFonts w:cs="Arial"/>
          <w:iCs/>
          <w:szCs w:val="20"/>
        </w:rPr>
      </w:pPr>
      <w:r w:rsidRPr="005E4BEA">
        <w:rPr>
          <w:rFonts w:cs="Arial"/>
          <w:iCs/>
          <w:szCs w:val="20"/>
        </w:rPr>
        <w:t>338 024</w:t>
      </w:r>
      <w:r w:rsidRPr="005E4BEA">
        <w:rPr>
          <w:rFonts w:cs="Arial"/>
          <w:iCs/>
          <w:szCs w:val="20"/>
        </w:rPr>
        <w:tab/>
        <w:t>Nujna medicinska pomoč - helikopter</w:t>
      </w:r>
    </w:p>
    <w:p w14:paraId="15E1B371" w14:textId="77777777" w:rsidR="00C7272F" w:rsidRPr="005E4BEA" w:rsidRDefault="00C7272F" w:rsidP="00C7272F">
      <w:pPr>
        <w:spacing w:line="240" w:lineRule="auto"/>
        <w:jc w:val="both"/>
        <w:rPr>
          <w:rFonts w:cs="Arial"/>
          <w:iCs/>
          <w:szCs w:val="20"/>
        </w:rPr>
      </w:pPr>
      <w:r w:rsidRPr="005E4BEA">
        <w:rPr>
          <w:rFonts w:cs="Arial"/>
          <w:iCs/>
          <w:szCs w:val="20"/>
        </w:rPr>
        <w:t>338 040</w:t>
      </w:r>
      <w:r w:rsidRPr="005E4BEA">
        <w:rPr>
          <w:rFonts w:cs="Arial"/>
          <w:iCs/>
          <w:szCs w:val="20"/>
        </w:rPr>
        <w:tab/>
        <w:t>Dežurna služba 1</w:t>
      </w:r>
    </w:p>
    <w:p w14:paraId="0EADC507" w14:textId="77777777" w:rsidR="00C7272F" w:rsidRPr="005E4BEA" w:rsidRDefault="00C7272F" w:rsidP="00C7272F">
      <w:pPr>
        <w:spacing w:line="240" w:lineRule="auto"/>
        <w:jc w:val="both"/>
        <w:rPr>
          <w:rFonts w:cs="Arial"/>
          <w:iCs/>
          <w:szCs w:val="20"/>
        </w:rPr>
      </w:pPr>
      <w:r w:rsidRPr="005E4BEA">
        <w:rPr>
          <w:rFonts w:cs="Arial"/>
          <w:iCs/>
          <w:szCs w:val="20"/>
        </w:rPr>
        <w:t>338 041</w:t>
      </w:r>
      <w:r w:rsidRPr="005E4BEA">
        <w:rPr>
          <w:rFonts w:cs="Arial"/>
          <w:iCs/>
          <w:szCs w:val="20"/>
        </w:rPr>
        <w:tab/>
        <w:t>Dežurna služba 2</w:t>
      </w:r>
    </w:p>
    <w:p w14:paraId="3B6C6241" w14:textId="77777777" w:rsidR="00C7272F" w:rsidRPr="005E4BEA" w:rsidRDefault="00C7272F" w:rsidP="00C7272F">
      <w:pPr>
        <w:spacing w:line="240" w:lineRule="auto"/>
        <w:jc w:val="both"/>
        <w:rPr>
          <w:rFonts w:cs="Arial"/>
          <w:iCs/>
          <w:szCs w:val="20"/>
        </w:rPr>
      </w:pPr>
      <w:r w:rsidRPr="005E4BEA">
        <w:rPr>
          <w:rFonts w:cs="Arial"/>
          <w:iCs/>
          <w:szCs w:val="20"/>
        </w:rPr>
        <w:t>338 041</w:t>
      </w:r>
      <w:r w:rsidRPr="005E4BEA">
        <w:rPr>
          <w:rFonts w:cs="Arial"/>
          <w:iCs/>
          <w:szCs w:val="20"/>
        </w:rPr>
        <w:tab/>
        <w:t>Dežurna služba 2</w:t>
      </w:r>
    </w:p>
    <w:p w14:paraId="480220BE" w14:textId="77777777" w:rsidR="00C7272F" w:rsidRPr="005E4BEA" w:rsidRDefault="00C7272F" w:rsidP="00C7272F">
      <w:pPr>
        <w:spacing w:line="240" w:lineRule="auto"/>
        <w:jc w:val="both"/>
        <w:rPr>
          <w:rFonts w:cs="Arial"/>
          <w:iCs/>
          <w:szCs w:val="20"/>
        </w:rPr>
      </w:pPr>
      <w:r w:rsidRPr="005E4BEA">
        <w:rPr>
          <w:rFonts w:cs="Arial"/>
          <w:iCs/>
          <w:szCs w:val="20"/>
        </w:rPr>
        <w:t>338 042</w:t>
      </w:r>
      <w:r w:rsidRPr="005E4BEA">
        <w:rPr>
          <w:rFonts w:cs="Arial"/>
          <w:iCs/>
          <w:szCs w:val="20"/>
        </w:rPr>
        <w:tab/>
        <w:t>Dežurna služba 3a</w:t>
      </w:r>
    </w:p>
    <w:p w14:paraId="14AEFDA8" w14:textId="77777777" w:rsidR="00C7272F" w:rsidRPr="005E4BEA" w:rsidRDefault="00C7272F" w:rsidP="00C7272F">
      <w:pPr>
        <w:spacing w:line="240" w:lineRule="auto"/>
        <w:jc w:val="both"/>
        <w:rPr>
          <w:rFonts w:cs="Arial"/>
          <w:iCs/>
          <w:szCs w:val="20"/>
        </w:rPr>
      </w:pPr>
      <w:r w:rsidRPr="005E4BEA">
        <w:rPr>
          <w:rFonts w:cs="Arial"/>
          <w:iCs/>
          <w:szCs w:val="20"/>
        </w:rPr>
        <w:t>338 042</w:t>
      </w:r>
      <w:r w:rsidRPr="005E4BEA">
        <w:rPr>
          <w:rFonts w:cs="Arial"/>
          <w:iCs/>
          <w:szCs w:val="20"/>
        </w:rPr>
        <w:tab/>
        <w:t>Dežurna služba 3a</w:t>
      </w:r>
    </w:p>
    <w:p w14:paraId="1845C756" w14:textId="77777777" w:rsidR="00C7272F" w:rsidRPr="005E4BEA" w:rsidRDefault="00C7272F" w:rsidP="00C7272F">
      <w:pPr>
        <w:spacing w:line="240" w:lineRule="auto"/>
        <w:jc w:val="both"/>
        <w:rPr>
          <w:rFonts w:cs="Arial"/>
          <w:iCs/>
          <w:szCs w:val="20"/>
        </w:rPr>
      </w:pPr>
      <w:r w:rsidRPr="005E4BEA">
        <w:rPr>
          <w:rFonts w:cs="Arial"/>
          <w:iCs/>
          <w:szCs w:val="20"/>
        </w:rPr>
        <w:t>338 043</w:t>
      </w:r>
      <w:r w:rsidRPr="005E4BEA">
        <w:rPr>
          <w:rFonts w:cs="Arial"/>
          <w:iCs/>
          <w:szCs w:val="20"/>
        </w:rPr>
        <w:tab/>
        <w:t>Dežurna služba 3b</w:t>
      </w:r>
    </w:p>
    <w:p w14:paraId="47FCF5A6" w14:textId="77777777" w:rsidR="00C7272F" w:rsidRPr="005E4BEA" w:rsidRDefault="00C7272F" w:rsidP="00C7272F">
      <w:pPr>
        <w:spacing w:line="240" w:lineRule="auto"/>
        <w:jc w:val="both"/>
        <w:rPr>
          <w:rFonts w:cs="Arial"/>
          <w:iCs/>
          <w:szCs w:val="20"/>
        </w:rPr>
      </w:pPr>
      <w:r w:rsidRPr="005E4BEA">
        <w:rPr>
          <w:rFonts w:cs="Arial"/>
          <w:iCs/>
          <w:szCs w:val="20"/>
        </w:rPr>
        <w:t>338 043</w:t>
      </w:r>
      <w:r w:rsidRPr="005E4BEA">
        <w:rPr>
          <w:rFonts w:cs="Arial"/>
          <w:iCs/>
          <w:szCs w:val="20"/>
        </w:rPr>
        <w:tab/>
        <w:t>Dežurna služba 3b</w:t>
      </w:r>
    </w:p>
    <w:p w14:paraId="4E68BF1D" w14:textId="77777777" w:rsidR="00C7272F" w:rsidRPr="005E4BEA" w:rsidRDefault="00C7272F" w:rsidP="00C7272F">
      <w:pPr>
        <w:spacing w:line="240" w:lineRule="auto"/>
        <w:jc w:val="both"/>
        <w:rPr>
          <w:rFonts w:cs="Arial"/>
          <w:iCs/>
          <w:szCs w:val="20"/>
        </w:rPr>
      </w:pPr>
      <w:r w:rsidRPr="005E4BEA">
        <w:rPr>
          <w:rFonts w:cs="Arial"/>
          <w:iCs/>
          <w:szCs w:val="20"/>
        </w:rPr>
        <w:t>338 044</w:t>
      </w:r>
      <w:r w:rsidRPr="005E4BEA">
        <w:rPr>
          <w:rFonts w:cs="Arial"/>
          <w:iCs/>
          <w:szCs w:val="20"/>
        </w:rPr>
        <w:tab/>
        <w:t>Dežurna služba 4</w:t>
      </w:r>
    </w:p>
    <w:p w14:paraId="2378A543" w14:textId="77777777" w:rsidR="00C7272F" w:rsidRPr="005E4BEA" w:rsidRDefault="00C7272F" w:rsidP="00C7272F">
      <w:pPr>
        <w:spacing w:line="240" w:lineRule="auto"/>
        <w:jc w:val="both"/>
        <w:rPr>
          <w:rFonts w:cs="Arial"/>
          <w:iCs/>
          <w:szCs w:val="20"/>
        </w:rPr>
      </w:pPr>
      <w:r w:rsidRPr="005E4BEA">
        <w:rPr>
          <w:rFonts w:cs="Arial"/>
          <w:iCs/>
          <w:szCs w:val="20"/>
        </w:rPr>
        <w:t>338 045</w:t>
      </w:r>
      <w:r w:rsidRPr="005E4BEA">
        <w:rPr>
          <w:rFonts w:cs="Arial"/>
          <w:iCs/>
          <w:szCs w:val="20"/>
        </w:rPr>
        <w:tab/>
        <w:t>Dežurna služba 5</w:t>
      </w:r>
    </w:p>
    <w:p w14:paraId="6668BA21" w14:textId="77777777" w:rsidR="00C7272F" w:rsidRPr="005E4BEA" w:rsidRDefault="00C7272F" w:rsidP="00C7272F">
      <w:pPr>
        <w:spacing w:line="240" w:lineRule="auto"/>
        <w:jc w:val="both"/>
        <w:rPr>
          <w:rFonts w:cs="Arial"/>
          <w:iCs/>
          <w:szCs w:val="20"/>
        </w:rPr>
      </w:pPr>
      <w:r w:rsidRPr="005E4BEA">
        <w:rPr>
          <w:rFonts w:cs="Arial"/>
          <w:iCs/>
          <w:szCs w:val="20"/>
        </w:rPr>
        <w:t>338 047</w:t>
      </w:r>
      <w:r w:rsidRPr="005E4BEA">
        <w:rPr>
          <w:rFonts w:cs="Arial"/>
          <w:iCs/>
          <w:szCs w:val="20"/>
        </w:rPr>
        <w:tab/>
        <w:t xml:space="preserve">Mobilna enota </w:t>
      </w:r>
      <w:proofErr w:type="spellStart"/>
      <w:r w:rsidRPr="005E4BEA">
        <w:rPr>
          <w:rFonts w:cs="Arial"/>
          <w:iCs/>
          <w:szCs w:val="20"/>
        </w:rPr>
        <w:t>reanimobila</w:t>
      </w:r>
      <w:proofErr w:type="spellEnd"/>
    </w:p>
    <w:p w14:paraId="3309E6CA" w14:textId="48EE8536" w:rsidR="00E708CF" w:rsidRPr="005E4BEA" w:rsidRDefault="00C7272F" w:rsidP="00C7272F">
      <w:pPr>
        <w:spacing w:line="240" w:lineRule="auto"/>
        <w:jc w:val="both"/>
        <w:rPr>
          <w:rFonts w:cs="Arial"/>
          <w:iCs/>
          <w:szCs w:val="20"/>
        </w:rPr>
      </w:pPr>
      <w:r w:rsidRPr="005E4BEA">
        <w:rPr>
          <w:rFonts w:cs="Arial"/>
          <w:iCs/>
          <w:szCs w:val="20"/>
        </w:rPr>
        <w:t>338 051</w:t>
      </w:r>
      <w:r w:rsidRPr="005E4BEA">
        <w:rPr>
          <w:rFonts w:cs="Arial"/>
          <w:iCs/>
          <w:szCs w:val="20"/>
        </w:rPr>
        <w:tab/>
        <w:t>Enota za hitre preglede v rednem delovnem času</w:t>
      </w:r>
    </w:p>
    <w:p w14:paraId="01794276" w14:textId="52BDCC6C" w:rsidR="00C7272F" w:rsidRPr="005E4BEA" w:rsidRDefault="00C7272F" w:rsidP="00C7272F">
      <w:pPr>
        <w:spacing w:line="240" w:lineRule="auto"/>
        <w:jc w:val="both"/>
        <w:rPr>
          <w:rFonts w:cs="Arial"/>
          <w:iCs/>
          <w:szCs w:val="20"/>
        </w:rPr>
      </w:pPr>
    </w:p>
    <w:p w14:paraId="0281E171" w14:textId="77777777" w:rsidR="00CE2B29" w:rsidRPr="005E4BEA" w:rsidRDefault="00CE2B29" w:rsidP="00CE2B29">
      <w:pPr>
        <w:spacing w:line="240" w:lineRule="auto"/>
        <w:jc w:val="both"/>
        <w:rPr>
          <w:rFonts w:cs="Arial"/>
          <w:iCs/>
          <w:szCs w:val="20"/>
        </w:rPr>
      </w:pPr>
    </w:p>
    <w:p w14:paraId="4BB255B6" w14:textId="77777777" w:rsidR="00CE2B29" w:rsidRPr="005E4BEA" w:rsidRDefault="00CE2B29" w:rsidP="00CE2B29">
      <w:pPr>
        <w:widowControl w:val="0"/>
        <w:suppressAutoHyphens/>
        <w:autoSpaceDE w:val="0"/>
        <w:autoSpaceDN w:val="0"/>
        <w:adjustRightInd w:val="0"/>
        <w:spacing w:line="240" w:lineRule="atLeast"/>
        <w:jc w:val="both"/>
        <w:rPr>
          <w:rFonts w:cs="Arial"/>
          <w:color w:val="000000"/>
          <w:szCs w:val="20"/>
        </w:rPr>
      </w:pPr>
      <w:bookmarkStart w:id="127" w:name="_Hlk103010632"/>
      <w:r w:rsidRPr="005E4BEA">
        <w:rPr>
          <w:rFonts w:cs="Arial"/>
          <w:color w:val="000000"/>
          <w:szCs w:val="20"/>
        </w:rPr>
        <w:t xml:space="preserve">Za nujne širitve programov oziroma uvajanje novih terapij pri zdravljenju so v okviru prvega in </w:t>
      </w:r>
      <w:r w:rsidRPr="005E4BEA">
        <w:rPr>
          <w:rFonts w:cs="Arial"/>
          <w:szCs w:val="20"/>
        </w:rPr>
        <w:t xml:space="preserve">v </w:t>
      </w:r>
      <w:r w:rsidRPr="005E4BEA">
        <w:rPr>
          <w:rFonts w:eastAsia="MS Mincho" w:cs="Arial"/>
          <w:szCs w:val="20"/>
        </w:rPr>
        <w:t>24. členu v šestem odstavku v tabeli dodajo nove vrstice za nujne širitve programov oziroma uvajanje novih terapij:</w:t>
      </w:r>
    </w:p>
    <w:p w14:paraId="138F00A9" w14:textId="77777777" w:rsidR="00CE2B29" w:rsidRPr="005E4BEA" w:rsidRDefault="00CE2B29" w:rsidP="00CE2B29">
      <w:pPr>
        <w:autoSpaceDE w:val="0"/>
        <w:autoSpaceDN w:val="0"/>
        <w:adjustRightInd w:val="0"/>
        <w:spacing w:line="240" w:lineRule="auto"/>
        <w:rPr>
          <w:rFonts w:cs="Arial"/>
          <w:color w:val="000000"/>
          <w:szCs w:val="20"/>
        </w:rPr>
      </w:pPr>
    </w:p>
    <w:tbl>
      <w:tblPr>
        <w:tblW w:w="5000" w:type="pct"/>
        <w:tblCellMar>
          <w:left w:w="70" w:type="dxa"/>
          <w:right w:w="70" w:type="dxa"/>
        </w:tblCellMar>
        <w:tblLook w:val="04A0" w:firstRow="1" w:lastRow="0" w:firstColumn="1" w:lastColumn="0" w:noHBand="0" w:noVBand="1"/>
      </w:tblPr>
      <w:tblGrid>
        <w:gridCol w:w="252"/>
        <w:gridCol w:w="3256"/>
        <w:gridCol w:w="1746"/>
        <w:gridCol w:w="1063"/>
        <w:gridCol w:w="1030"/>
        <w:gridCol w:w="1141"/>
      </w:tblGrid>
      <w:tr w:rsidR="00CE2B29" w:rsidRPr="005E4BEA" w14:paraId="3B1A983B" w14:textId="77777777" w:rsidTr="00F40403">
        <w:trPr>
          <w:trHeight w:val="478"/>
          <w:tblHeader/>
        </w:trPr>
        <w:tc>
          <w:tcPr>
            <w:tcW w:w="181" w:type="pct"/>
            <w:vMerge w:val="restart"/>
            <w:tcBorders>
              <w:top w:val="single" w:sz="4" w:space="0" w:color="538DD5"/>
              <w:left w:val="single" w:sz="4" w:space="0" w:color="538DD5"/>
              <w:bottom w:val="single" w:sz="4" w:space="0" w:color="538DD5"/>
              <w:right w:val="single" w:sz="4" w:space="0" w:color="538DD5"/>
            </w:tcBorders>
            <w:shd w:val="clear" w:color="auto" w:fill="auto"/>
            <w:noWrap/>
            <w:vAlign w:val="center"/>
            <w:hideMark/>
          </w:tcPr>
          <w:p w14:paraId="70192032" w14:textId="77777777" w:rsidR="00CE2B29" w:rsidRPr="005E4BEA" w:rsidRDefault="00CE2B29" w:rsidP="00F40403">
            <w:pPr>
              <w:spacing w:line="240" w:lineRule="auto"/>
              <w:jc w:val="center"/>
              <w:rPr>
                <w:rFonts w:cs="Arial"/>
                <w:szCs w:val="20"/>
                <w:lang w:eastAsia="sl-SI"/>
              </w:rPr>
            </w:pPr>
            <w:r w:rsidRPr="005E4BEA">
              <w:rPr>
                <w:rFonts w:cs="Arial"/>
                <w:szCs w:val="20"/>
                <w:lang w:eastAsia="sl-SI"/>
              </w:rPr>
              <w:t> </w:t>
            </w:r>
          </w:p>
        </w:tc>
        <w:tc>
          <w:tcPr>
            <w:tcW w:w="1988"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0EF4FEFA" w14:textId="77777777" w:rsidR="00CE2B29" w:rsidRPr="005E4BEA" w:rsidRDefault="00CE2B29" w:rsidP="00F40403">
            <w:pPr>
              <w:spacing w:line="240" w:lineRule="auto"/>
              <w:rPr>
                <w:rFonts w:cs="Arial"/>
                <w:b/>
                <w:bCs/>
                <w:szCs w:val="20"/>
                <w:lang w:eastAsia="sl-SI"/>
              </w:rPr>
            </w:pPr>
            <w:r w:rsidRPr="005E4BEA">
              <w:rPr>
                <w:rFonts w:cs="Arial"/>
                <w:b/>
                <w:bCs/>
                <w:szCs w:val="20"/>
                <w:lang w:eastAsia="sl-SI"/>
              </w:rPr>
              <w:t>P   r   o   g   r   a   m</w:t>
            </w:r>
          </w:p>
        </w:tc>
        <w:tc>
          <w:tcPr>
            <w:tcW w:w="1079"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67E66401" w14:textId="77777777" w:rsidR="00CE2B29" w:rsidRPr="005E4BEA" w:rsidRDefault="00CE2B29" w:rsidP="00F40403">
            <w:pPr>
              <w:spacing w:line="240" w:lineRule="auto"/>
              <w:jc w:val="center"/>
              <w:rPr>
                <w:rFonts w:cs="Arial"/>
                <w:b/>
                <w:bCs/>
                <w:szCs w:val="20"/>
                <w:lang w:eastAsia="sl-SI"/>
              </w:rPr>
            </w:pPr>
            <w:r w:rsidRPr="005E4BEA">
              <w:rPr>
                <w:rFonts w:cs="Arial"/>
                <w:b/>
                <w:bCs/>
                <w:szCs w:val="20"/>
                <w:lang w:eastAsia="sl-SI"/>
              </w:rPr>
              <w:t>I z v a j a l e c /</w:t>
            </w:r>
            <w:r w:rsidRPr="005E4BEA">
              <w:rPr>
                <w:rFonts w:cs="Arial"/>
                <w:b/>
                <w:bCs/>
                <w:szCs w:val="20"/>
                <w:lang w:eastAsia="sl-SI"/>
              </w:rPr>
              <w:br/>
              <w:t>i z p o s t a v a</w:t>
            </w:r>
          </w:p>
        </w:tc>
        <w:tc>
          <w:tcPr>
            <w:tcW w:w="580"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0C977A7E" w14:textId="77777777" w:rsidR="00CE2B29" w:rsidRPr="005E4BEA" w:rsidRDefault="00CE2B29" w:rsidP="00F40403">
            <w:pPr>
              <w:spacing w:line="240" w:lineRule="auto"/>
              <w:jc w:val="center"/>
              <w:rPr>
                <w:rFonts w:cs="Arial"/>
                <w:b/>
                <w:bCs/>
                <w:szCs w:val="20"/>
                <w:lang w:eastAsia="sl-SI"/>
              </w:rPr>
            </w:pPr>
            <w:r w:rsidRPr="005E4BEA">
              <w:rPr>
                <w:rFonts w:cs="Arial"/>
                <w:b/>
                <w:bCs/>
                <w:szCs w:val="20"/>
                <w:lang w:eastAsia="sl-SI"/>
              </w:rPr>
              <w:t>Obseg programa</w:t>
            </w:r>
          </w:p>
        </w:tc>
        <w:tc>
          <w:tcPr>
            <w:tcW w:w="586"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2A42FE7B" w14:textId="77777777" w:rsidR="00CE2B29" w:rsidRPr="005E4BEA" w:rsidRDefault="00CE2B29" w:rsidP="00F40403">
            <w:pPr>
              <w:spacing w:line="240" w:lineRule="auto"/>
              <w:jc w:val="center"/>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na letni ravni</w:t>
            </w:r>
            <w:r w:rsidRPr="005E4BEA">
              <w:rPr>
                <w:rFonts w:cs="Arial"/>
                <w:b/>
                <w:bCs/>
                <w:szCs w:val="20"/>
                <w:lang w:eastAsia="sl-SI"/>
              </w:rPr>
              <w:br/>
              <w:t>(v EUR)</w:t>
            </w:r>
          </w:p>
        </w:tc>
        <w:tc>
          <w:tcPr>
            <w:tcW w:w="586" w:type="pct"/>
            <w:vMerge w:val="restart"/>
            <w:tcBorders>
              <w:top w:val="single" w:sz="4" w:space="0" w:color="538DD5"/>
              <w:left w:val="single" w:sz="4" w:space="0" w:color="538DD5"/>
              <w:bottom w:val="single" w:sz="4" w:space="0" w:color="538DD5"/>
              <w:right w:val="single" w:sz="4" w:space="0" w:color="538DD5"/>
            </w:tcBorders>
            <w:shd w:val="clear" w:color="auto" w:fill="auto"/>
            <w:vAlign w:val="center"/>
            <w:hideMark/>
          </w:tcPr>
          <w:p w14:paraId="67296BD4" w14:textId="77777777" w:rsidR="00CE2B29" w:rsidRPr="005E4BEA" w:rsidRDefault="00CE2B29" w:rsidP="00F40403">
            <w:pPr>
              <w:spacing w:line="240" w:lineRule="auto"/>
              <w:jc w:val="center"/>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1.1.-31.12.2022</w:t>
            </w:r>
            <w:r w:rsidRPr="005E4BEA">
              <w:rPr>
                <w:rFonts w:cs="Arial"/>
                <w:b/>
                <w:bCs/>
                <w:szCs w:val="20"/>
                <w:lang w:eastAsia="sl-SI"/>
              </w:rPr>
              <w:br/>
              <w:t>(v EUR)</w:t>
            </w:r>
          </w:p>
        </w:tc>
      </w:tr>
      <w:tr w:rsidR="00CE2B29" w:rsidRPr="005E4BEA" w14:paraId="1600DA4E" w14:textId="77777777" w:rsidTr="00F40403">
        <w:trPr>
          <w:trHeight w:val="478"/>
          <w:tblHeader/>
        </w:trPr>
        <w:tc>
          <w:tcPr>
            <w:tcW w:w="181" w:type="pct"/>
            <w:vMerge/>
            <w:tcBorders>
              <w:top w:val="single" w:sz="4" w:space="0" w:color="538DD5"/>
              <w:left w:val="single" w:sz="4" w:space="0" w:color="538DD5"/>
              <w:bottom w:val="single" w:sz="4" w:space="0" w:color="538DD5"/>
              <w:right w:val="single" w:sz="4" w:space="0" w:color="538DD5"/>
            </w:tcBorders>
            <w:vAlign w:val="center"/>
            <w:hideMark/>
          </w:tcPr>
          <w:p w14:paraId="064EDEB6" w14:textId="77777777" w:rsidR="00CE2B29" w:rsidRPr="005E4BEA" w:rsidRDefault="00CE2B29" w:rsidP="00F40403">
            <w:pPr>
              <w:spacing w:line="240" w:lineRule="auto"/>
              <w:rPr>
                <w:rFonts w:cs="Arial"/>
                <w:szCs w:val="20"/>
                <w:lang w:eastAsia="sl-SI"/>
              </w:rPr>
            </w:pPr>
          </w:p>
        </w:tc>
        <w:tc>
          <w:tcPr>
            <w:tcW w:w="1988" w:type="pct"/>
            <w:vMerge/>
            <w:tcBorders>
              <w:top w:val="single" w:sz="4" w:space="0" w:color="538DD5"/>
              <w:left w:val="single" w:sz="4" w:space="0" w:color="538DD5"/>
              <w:bottom w:val="single" w:sz="4" w:space="0" w:color="538DD5"/>
              <w:right w:val="single" w:sz="4" w:space="0" w:color="538DD5"/>
            </w:tcBorders>
            <w:vAlign w:val="center"/>
            <w:hideMark/>
          </w:tcPr>
          <w:p w14:paraId="1AC2A657" w14:textId="77777777" w:rsidR="00CE2B29" w:rsidRPr="005E4BEA" w:rsidRDefault="00CE2B29" w:rsidP="00F40403">
            <w:pPr>
              <w:spacing w:line="240" w:lineRule="auto"/>
              <w:rPr>
                <w:rFonts w:cs="Arial"/>
                <w:b/>
                <w:bCs/>
                <w:szCs w:val="20"/>
                <w:lang w:eastAsia="sl-SI"/>
              </w:rPr>
            </w:pPr>
          </w:p>
        </w:tc>
        <w:tc>
          <w:tcPr>
            <w:tcW w:w="1079" w:type="pct"/>
            <w:vMerge/>
            <w:tcBorders>
              <w:top w:val="single" w:sz="4" w:space="0" w:color="538DD5"/>
              <w:left w:val="single" w:sz="4" w:space="0" w:color="538DD5"/>
              <w:bottom w:val="single" w:sz="4" w:space="0" w:color="538DD5"/>
              <w:right w:val="single" w:sz="4" w:space="0" w:color="538DD5"/>
            </w:tcBorders>
            <w:vAlign w:val="center"/>
            <w:hideMark/>
          </w:tcPr>
          <w:p w14:paraId="38741041" w14:textId="77777777" w:rsidR="00CE2B29" w:rsidRPr="005E4BEA" w:rsidRDefault="00CE2B29" w:rsidP="00F40403">
            <w:pPr>
              <w:spacing w:line="240" w:lineRule="auto"/>
              <w:rPr>
                <w:rFonts w:cs="Arial"/>
                <w:b/>
                <w:bCs/>
                <w:szCs w:val="20"/>
                <w:lang w:eastAsia="sl-SI"/>
              </w:rPr>
            </w:pPr>
          </w:p>
        </w:tc>
        <w:tc>
          <w:tcPr>
            <w:tcW w:w="580" w:type="pct"/>
            <w:vMerge/>
            <w:tcBorders>
              <w:top w:val="single" w:sz="4" w:space="0" w:color="538DD5"/>
              <w:left w:val="single" w:sz="4" w:space="0" w:color="538DD5"/>
              <w:bottom w:val="single" w:sz="4" w:space="0" w:color="538DD5"/>
              <w:right w:val="single" w:sz="4" w:space="0" w:color="538DD5"/>
            </w:tcBorders>
            <w:vAlign w:val="center"/>
            <w:hideMark/>
          </w:tcPr>
          <w:p w14:paraId="57A04D60"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3BC54BD2"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1AFA7901" w14:textId="77777777" w:rsidR="00CE2B29" w:rsidRPr="005E4BEA" w:rsidRDefault="00CE2B29" w:rsidP="00F40403">
            <w:pPr>
              <w:spacing w:line="240" w:lineRule="auto"/>
              <w:rPr>
                <w:rFonts w:cs="Arial"/>
                <w:b/>
                <w:bCs/>
                <w:szCs w:val="20"/>
                <w:lang w:eastAsia="sl-SI"/>
              </w:rPr>
            </w:pPr>
          </w:p>
        </w:tc>
      </w:tr>
      <w:tr w:rsidR="00CE2B29" w:rsidRPr="005E4BEA" w14:paraId="1EB3D748" w14:textId="77777777" w:rsidTr="00F40403">
        <w:trPr>
          <w:trHeight w:val="478"/>
          <w:tblHeader/>
        </w:trPr>
        <w:tc>
          <w:tcPr>
            <w:tcW w:w="181" w:type="pct"/>
            <w:vMerge/>
            <w:tcBorders>
              <w:top w:val="single" w:sz="4" w:space="0" w:color="538DD5"/>
              <w:left w:val="single" w:sz="4" w:space="0" w:color="538DD5"/>
              <w:bottom w:val="single" w:sz="4" w:space="0" w:color="538DD5"/>
              <w:right w:val="single" w:sz="4" w:space="0" w:color="538DD5"/>
            </w:tcBorders>
            <w:vAlign w:val="center"/>
            <w:hideMark/>
          </w:tcPr>
          <w:p w14:paraId="39C3ABFE" w14:textId="77777777" w:rsidR="00CE2B29" w:rsidRPr="005E4BEA" w:rsidRDefault="00CE2B29" w:rsidP="00F40403">
            <w:pPr>
              <w:spacing w:line="240" w:lineRule="auto"/>
              <w:rPr>
                <w:rFonts w:cs="Arial"/>
                <w:szCs w:val="20"/>
                <w:lang w:eastAsia="sl-SI"/>
              </w:rPr>
            </w:pPr>
          </w:p>
        </w:tc>
        <w:tc>
          <w:tcPr>
            <w:tcW w:w="1988" w:type="pct"/>
            <w:vMerge/>
            <w:tcBorders>
              <w:top w:val="single" w:sz="4" w:space="0" w:color="538DD5"/>
              <w:left w:val="single" w:sz="4" w:space="0" w:color="538DD5"/>
              <w:bottom w:val="single" w:sz="4" w:space="0" w:color="538DD5"/>
              <w:right w:val="single" w:sz="4" w:space="0" w:color="538DD5"/>
            </w:tcBorders>
            <w:vAlign w:val="center"/>
            <w:hideMark/>
          </w:tcPr>
          <w:p w14:paraId="22A9F7F5" w14:textId="77777777" w:rsidR="00CE2B29" w:rsidRPr="005E4BEA" w:rsidRDefault="00CE2B29" w:rsidP="00F40403">
            <w:pPr>
              <w:spacing w:line="240" w:lineRule="auto"/>
              <w:rPr>
                <w:rFonts w:cs="Arial"/>
                <w:b/>
                <w:bCs/>
                <w:szCs w:val="20"/>
                <w:lang w:eastAsia="sl-SI"/>
              </w:rPr>
            </w:pPr>
          </w:p>
        </w:tc>
        <w:tc>
          <w:tcPr>
            <w:tcW w:w="1079" w:type="pct"/>
            <w:vMerge/>
            <w:tcBorders>
              <w:top w:val="single" w:sz="4" w:space="0" w:color="538DD5"/>
              <w:left w:val="single" w:sz="4" w:space="0" w:color="538DD5"/>
              <w:bottom w:val="single" w:sz="4" w:space="0" w:color="538DD5"/>
              <w:right w:val="single" w:sz="4" w:space="0" w:color="538DD5"/>
            </w:tcBorders>
            <w:vAlign w:val="center"/>
            <w:hideMark/>
          </w:tcPr>
          <w:p w14:paraId="6D9A2CD2" w14:textId="77777777" w:rsidR="00CE2B29" w:rsidRPr="005E4BEA" w:rsidRDefault="00CE2B29" w:rsidP="00F40403">
            <w:pPr>
              <w:spacing w:line="240" w:lineRule="auto"/>
              <w:rPr>
                <w:rFonts w:cs="Arial"/>
                <w:b/>
                <w:bCs/>
                <w:szCs w:val="20"/>
                <w:lang w:eastAsia="sl-SI"/>
              </w:rPr>
            </w:pPr>
          </w:p>
        </w:tc>
        <w:tc>
          <w:tcPr>
            <w:tcW w:w="580" w:type="pct"/>
            <w:vMerge/>
            <w:tcBorders>
              <w:top w:val="single" w:sz="4" w:space="0" w:color="538DD5"/>
              <w:left w:val="single" w:sz="4" w:space="0" w:color="538DD5"/>
              <w:bottom w:val="single" w:sz="4" w:space="0" w:color="538DD5"/>
              <w:right w:val="single" w:sz="4" w:space="0" w:color="538DD5"/>
            </w:tcBorders>
            <w:vAlign w:val="center"/>
            <w:hideMark/>
          </w:tcPr>
          <w:p w14:paraId="4EB664AE"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464152BC" w14:textId="77777777" w:rsidR="00CE2B29" w:rsidRPr="005E4BEA" w:rsidRDefault="00CE2B29" w:rsidP="00F40403">
            <w:pPr>
              <w:spacing w:line="240" w:lineRule="auto"/>
              <w:rPr>
                <w:rFonts w:cs="Arial"/>
                <w:b/>
                <w:bCs/>
                <w:szCs w:val="20"/>
                <w:lang w:eastAsia="sl-SI"/>
              </w:rPr>
            </w:pPr>
          </w:p>
        </w:tc>
        <w:tc>
          <w:tcPr>
            <w:tcW w:w="586" w:type="pct"/>
            <w:vMerge/>
            <w:tcBorders>
              <w:top w:val="single" w:sz="4" w:space="0" w:color="538DD5"/>
              <w:left w:val="single" w:sz="4" w:space="0" w:color="538DD5"/>
              <w:bottom w:val="single" w:sz="4" w:space="0" w:color="538DD5"/>
              <w:right w:val="single" w:sz="4" w:space="0" w:color="538DD5"/>
            </w:tcBorders>
            <w:vAlign w:val="center"/>
            <w:hideMark/>
          </w:tcPr>
          <w:p w14:paraId="530FC2DF" w14:textId="77777777" w:rsidR="00CE2B29" w:rsidRPr="005E4BEA" w:rsidRDefault="00CE2B29" w:rsidP="00F40403">
            <w:pPr>
              <w:spacing w:line="240" w:lineRule="auto"/>
              <w:rPr>
                <w:rFonts w:cs="Arial"/>
                <w:b/>
                <w:bCs/>
                <w:szCs w:val="20"/>
                <w:lang w:eastAsia="sl-SI"/>
              </w:rPr>
            </w:pPr>
          </w:p>
        </w:tc>
      </w:tr>
      <w:tr w:rsidR="00CE2B29" w:rsidRPr="005E4BEA" w14:paraId="749AA086" w14:textId="77777777" w:rsidTr="00F40403">
        <w:trPr>
          <w:trHeight w:val="330"/>
        </w:trPr>
        <w:tc>
          <w:tcPr>
            <w:tcW w:w="181" w:type="pct"/>
            <w:tcBorders>
              <w:top w:val="nil"/>
              <w:left w:val="single" w:sz="4" w:space="0" w:color="538DD5"/>
              <w:bottom w:val="nil"/>
              <w:right w:val="single" w:sz="4" w:space="0" w:color="538DD5"/>
            </w:tcBorders>
            <w:shd w:val="clear" w:color="auto" w:fill="auto"/>
            <w:noWrap/>
            <w:vAlign w:val="center"/>
            <w:hideMark/>
          </w:tcPr>
          <w:p w14:paraId="745698B4" w14:textId="77777777" w:rsidR="00CE2B29" w:rsidRPr="005E4BEA" w:rsidRDefault="00CE2B29" w:rsidP="00F40403">
            <w:pPr>
              <w:spacing w:line="240" w:lineRule="auto"/>
              <w:rPr>
                <w:rFonts w:cs="Arial"/>
                <w:szCs w:val="20"/>
                <w:lang w:eastAsia="sl-SI"/>
              </w:rPr>
            </w:pPr>
            <w:r w:rsidRPr="005E4BEA">
              <w:rPr>
                <w:rFonts w:cs="Arial"/>
                <w:szCs w:val="20"/>
                <w:lang w:eastAsia="sl-SI"/>
              </w:rPr>
              <w:t>1</w:t>
            </w:r>
          </w:p>
        </w:tc>
        <w:tc>
          <w:tcPr>
            <w:tcW w:w="1988" w:type="pct"/>
            <w:tcBorders>
              <w:top w:val="nil"/>
              <w:left w:val="nil"/>
              <w:bottom w:val="nil"/>
              <w:right w:val="single" w:sz="4" w:space="0" w:color="538DD5"/>
            </w:tcBorders>
            <w:shd w:val="clear" w:color="auto" w:fill="auto"/>
            <w:vAlign w:val="center"/>
          </w:tcPr>
          <w:p w14:paraId="392D3065" w14:textId="77777777" w:rsidR="00CE2B29" w:rsidRPr="005E4BEA" w:rsidRDefault="00CE2B29" w:rsidP="00F40403">
            <w:pPr>
              <w:spacing w:line="240" w:lineRule="auto"/>
              <w:rPr>
                <w:rFonts w:cs="Arial"/>
                <w:szCs w:val="20"/>
                <w:lang w:eastAsia="sl-SI"/>
              </w:rPr>
            </w:pPr>
            <w:r w:rsidRPr="005E4BEA">
              <w:rPr>
                <w:rFonts w:cs="Arial"/>
                <w:szCs w:val="20"/>
                <w:lang w:eastAsia="sl-SI"/>
              </w:rPr>
              <w:t xml:space="preserve">Nujna medicinska pomoč-helikopter, Dežurna služba 1, 2. 3a, 3b, 4, 5, Mobilna enota </w:t>
            </w:r>
            <w:proofErr w:type="spellStart"/>
            <w:r w:rsidRPr="005E4BEA">
              <w:rPr>
                <w:rFonts w:cs="Arial"/>
                <w:szCs w:val="20"/>
                <w:lang w:eastAsia="sl-SI"/>
              </w:rPr>
              <w:t>reanimobila</w:t>
            </w:r>
            <w:proofErr w:type="spellEnd"/>
            <w:r w:rsidRPr="005E4BEA">
              <w:rPr>
                <w:rFonts w:cs="Arial"/>
                <w:szCs w:val="20"/>
                <w:lang w:eastAsia="sl-SI"/>
              </w:rPr>
              <w:t>, Enota za hitre preglede v rednem delovnem času</w:t>
            </w:r>
          </w:p>
          <w:p w14:paraId="15A6680A" w14:textId="77777777" w:rsidR="00CE2B29" w:rsidRPr="005E4BEA" w:rsidRDefault="00CE2B29" w:rsidP="00F40403">
            <w:pPr>
              <w:spacing w:line="240" w:lineRule="auto"/>
              <w:rPr>
                <w:rFonts w:cs="Arial"/>
                <w:szCs w:val="20"/>
                <w:lang w:eastAsia="sl-SI"/>
              </w:rPr>
            </w:pPr>
          </w:p>
        </w:tc>
        <w:tc>
          <w:tcPr>
            <w:tcW w:w="1079" w:type="pct"/>
            <w:tcBorders>
              <w:top w:val="nil"/>
              <w:left w:val="nil"/>
              <w:bottom w:val="nil"/>
              <w:right w:val="single" w:sz="4" w:space="0" w:color="538DD5"/>
            </w:tcBorders>
            <w:shd w:val="clear" w:color="auto" w:fill="auto"/>
            <w:vAlign w:val="center"/>
          </w:tcPr>
          <w:p w14:paraId="2BF1F6D7" w14:textId="77777777" w:rsidR="00CE2B29" w:rsidRPr="005E4BEA" w:rsidRDefault="00CE2B29" w:rsidP="00F40403">
            <w:pPr>
              <w:spacing w:line="240" w:lineRule="auto"/>
              <w:rPr>
                <w:rFonts w:cs="Arial"/>
                <w:szCs w:val="20"/>
                <w:lang w:eastAsia="sl-SI"/>
              </w:rPr>
            </w:pPr>
          </w:p>
        </w:tc>
        <w:tc>
          <w:tcPr>
            <w:tcW w:w="580" w:type="pct"/>
            <w:tcBorders>
              <w:top w:val="nil"/>
              <w:left w:val="nil"/>
              <w:bottom w:val="nil"/>
              <w:right w:val="single" w:sz="4" w:space="0" w:color="538DD5"/>
            </w:tcBorders>
            <w:shd w:val="clear" w:color="auto" w:fill="auto"/>
            <w:noWrap/>
            <w:vAlign w:val="center"/>
            <w:hideMark/>
          </w:tcPr>
          <w:p w14:paraId="7C975A36" w14:textId="77777777" w:rsidR="00CE2B29" w:rsidRPr="005E4BEA" w:rsidRDefault="00CE2B29" w:rsidP="00F40403">
            <w:pPr>
              <w:spacing w:line="240" w:lineRule="auto"/>
              <w:rPr>
                <w:rFonts w:cs="Arial"/>
                <w:szCs w:val="20"/>
                <w:lang w:eastAsia="sl-SI"/>
              </w:rPr>
            </w:pPr>
          </w:p>
        </w:tc>
        <w:tc>
          <w:tcPr>
            <w:tcW w:w="586" w:type="pct"/>
            <w:tcBorders>
              <w:top w:val="nil"/>
              <w:left w:val="nil"/>
              <w:bottom w:val="nil"/>
              <w:right w:val="single" w:sz="4" w:space="0" w:color="538DD5"/>
            </w:tcBorders>
            <w:shd w:val="clear" w:color="auto" w:fill="auto"/>
            <w:noWrap/>
            <w:vAlign w:val="center"/>
          </w:tcPr>
          <w:p w14:paraId="556CCE17" w14:textId="77777777" w:rsidR="00CE2B29" w:rsidRPr="005E4BEA" w:rsidRDefault="00CE2B29" w:rsidP="00F40403">
            <w:pPr>
              <w:spacing w:line="240" w:lineRule="auto"/>
              <w:rPr>
                <w:rFonts w:cs="Arial"/>
                <w:szCs w:val="20"/>
                <w:lang w:eastAsia="sl-SI"/>
              </w:rPr>
            </w:pPr>
            <w:r w:rsidRPr="005E4BEA">
              <w:rPr>
                <w:rFonts w:cs="Arial"/>
                <w:szCs w:val="20"/>
                <w:lang w:eastAsia="sl-SI"/>
              </w:rPr>
              <w:t>1.101.425</w:t>
            </w:r>
          </w:p>
        </w:tc>
        <w:tc>
          <w:tcPr>
            <w:tcW w:w="586" w:type="pct"/>
            <w:tcBorders>
              <w:top w:val="nil"/>
              <w:left w:val="nil"/>
              <w:bottom w:val="nil"/>
              <w:right w:val="single" w:sz="4" w:space="0" w:color="538DD5"/>
            </w:tcBorders>
            <w:shd w:val="clear" w:color="auto" w:fill="auto"/>
            <w:noWrap/>
            <w:vAlign w:val="center"/>
          </w:tcPr>
          <w:p w14:paraId="4A2B2797" w14:textId="77777777" w:rsidR="00CE2B29" w:rsidRPr="005E4BEA" w:rsidRDefault="00CE2B29" w:rsidP="00F40403">
            <w:pPr>
              <w:spacing w:line="240" w:lineRule="auto"/>
              <w:rPr>
                <w:rFonts w:cs="Arial"/>
                <w:szCs w:val="20"/>
                <w:lang w:eastAsia="sl-SI"/>
              </w:rPr>
            </w:pPr>
            <w:r w:rsidRPr="005E4BEA">
              <w:rPr>
                <w:rFonts w:cs="Arial"/>
                <w:szCs w:val="20"/>
                <w:lang w:eastAsia="sl-SI"/>
              </w:rPr>
              <w:t xml:space="preserve">367.141 </w:t>
            </w:r>
          </w:p>
        </w:tc>
      </w:tr>
      <w:tr w:rsidR="00CE2B29" w:rsidRPr="005E4BEA" w14:paraId="0424CB8F" w14:textId="77777777" w:rsidTr="00F40403">
        <w:trPr>
          <w:trHeight w:val="80"/>
        </w:trPr>
        <w:tc>
          <w:tcPr>
            <w:tcW w:w="181" w:type="pct"/>
            <w:tcBorders>
              <w:top w:val="nil"/>
              <w:left w:val="single" w:sz="4" w:space="0" w:color="538DD5"/>
              <w:bottom w:val="single" w:sz="4" w:space="0" w:color="538DD5"/>
              <w:right w:val="single" w:sz="4" w:space="0" w:color="538DD5"/>
            </w:tcBorders>
            <w:shd w:val="clear" w:color="auto" w:fill="auto"/>
            <w:noWrap/>
            <w:vAlign w:val="center"/>
          </w:tcPr>
          <w:p w14:paraId="6B0D1842" w14:textId="77777777" w:rsidR="00CE2B29" w:rsidRPr="005E4BEA" w:rsidRDefault="00CE2B29" w:rsidP="00F40403">
            <w:pPr>
              <w:spacing w:line="240" w:lineRule="auto"/>
              <w:rPr>
                <w:rFonts w:cs="Arial"/>
                <w:szCs w:val="20"/>
                <w:lang w:eastAsia="sl-SI"/>
              </w:rPr>
            </w:pPr>
          </w:p>
        </w:tc>
        <w:tc>
          <w:tcPr>
            <w:tcW w:w="1988" w:type="pct"/>
            <w:tcBorders>
              <w:top w:val="nil"/>
              <w:left w:val="nil"/>
              <w:bottom w:val="single" w:sz="4" w:space="0" w:color="538DD5"/>
              <w:right w:val="single" w:sz="4" w:space="0" w:color="538DD5"/>
            </w:tcBorders>
            <w:shd w:val="clear" w:color="auto" w:fill="auto"/>
            <w:vAlign w:val="center"/>
          </w:tcPr>
          <w:p w14:paraId="70688540" w14:textId="77777777" w:rsidR="00CE2B29" w:rsidRPr="005E4BEA" w:rsidRDefault="00CE2B29" w:rsidP="00F40403">
            <w:pPr>
              <w:spacing w:line="240" w:lineRule="auto"/>
              <w:rPr>
                <w:rFonts w:cs="Arial"/>
                <w:szCs w:val="20"/>
                <w:lang w:eastAsia="sl-SI"/>
              </w:rPr>
            </w:pPr>
          </w:p>
        </w:tc>
        <w:tc>
          <w:tcPr>
            <w:tcW w:w="1079" w:type="pct"/>
            <w:tcBorders>
              <w:top w:val="nil"/>
              <w:left w:val="nil"/>
              <w:bottom w:val="single" w:sz="4" w:space="0" w:color="538DD5"/>
              <w:right w:val="single" w:sz="4" w:space="0" w:color="538DD5"/>
            </w:tcBorders>
            <w:shd w:val="clear" w:color="auto" w:fill="auto"/>
            <w:vAlign w:val="center"/>
          </w:tcPr>
          <w:p w14:paraId="74CCCA07" w14:textId="77777777" w:rsidR="00CE2B29" w:rsidRPr="005E4BEA" w:rsidRDefault="00CE2B29" w:rsidP="00F40403">
            <w:pPr>
              <w:spacing w:line="240" w:lineRule="auto"/>
              <w:rPr>
                <w:rFonts w:cs="Arial"/>
                <w:szCs w:val="20"/>
                <w:lang w:eastAsia="sl-SI"/>
              </w:rPr>
            </w:pPr>
          </w:p>
        </w:tc>
        <w:tc>
          <w:tcPr>
            <w:tcW w:w="580" w:type="pct"/>
            <w:tcBorders>
              <w:top w:val="nil"/>
              <w:left w:val="nil"/>
              <w:bottom w:val="single" w:sz="4" w:space="0" w:color="538DD5"/>
              <w:right w:val="single" w:sz="4" w:space="0" w:color="538DD5"/>
            </w:tcBorders>
            <w:shd w:val="clear" w:color="auto" w:fill="auto"/>
            <w:noWrap/>
            <w:vAlign w:val="center"/>
          </w:tcPr>
          <w:p w14:paraId="6F6F7064" w14:textId="77777777" w:rsidR="00CE2B29" w:rsidRPr="005E4BEA" w:rsidRDefault="00CE2B29" w:rsidP="00F40403">
            <w:pPr>
              <w:spacing w:line="240" w:lineRule="auto"/>
              <w:rPr>
                <w:rFonts w:cs="Arial"/>
                <w:szCs w:val="20"/>
                <w:lang w:eastAsia="sl-SI"/>
              </w:rPr>
            </w:pPr>
          </w:p>
        </w:tc>
        <w:tc>
          <w:tcPr>
            <w:tcW w:w="586" w:type="pct"/>
            <w:tcBorders>
              <w:top w:val="nil"/>
              <w:left w:val="nil"/>
              <w:bottom w:val="single" w:sz="4" w:space="0" w:color="538DD5"/>
              <w:right w:val="single" w:sz="4" w:space="0" w:color="538DD5"/>
            </w:tcBorders>
            <w:shd w:val="clear" w:color="auto" w:fill="auto"/>
            <w:noWrap/>
            <w:vAlign w:val="center"/>
          </w:tcPr>
          <w:p w14:paraId="2137A44A" w14:textId="77777777" w:rsidR="00CE2B29" w:rsidRPr="005E4BEA" w:rsidRDefault="00CE2B29" w:rsidP="00F40403">
            <w:pPr>
              <w:spacing w:line="240" w:lineRule="auto"/>
              <w:rPr>
                <w:rFonts w:cs="Arial"/>
                <w:szCs w:val="20"/>
                <w:lang w:eastAsia="sl-SI"/>
              </w:rPr>
            </w:pPr>
          </w:p>
        </w:tc>
        <w:tc>
          <w:tcPr>
            <w:tcW w:w="586" w:type="pct"/>
            <w:tcBorders>
              <w:top w:val="nil"/>
              <w:left w:val="nil"/>
              <w:bottom w:val="single" w:sz="4" w:space="0" w:color="538DD5"/>
              <w:right w:val="single" w:sz="4" w:space="0" w:color="538DD5"/>
            </w:tcBorders>
            <w:shd w:val="clear" w:color="auto" w:fill="auto"/>
            <w:noWrap/>
            <w:vAlign w:val="center"/>
          </w:tcPr>
          <w:p w14:paraId="6EA67D60" w14:textId="77777777" w:rsidR="00CE2B29" w:rsidRPr="005E4BEA" w:rsidRDefault="00CE2B29" w:rsidP="00F40403">
            <w:pPr>
              <w:spacing w:line="240" w:lineRule="auto"/>
              <w:rPr>
                <w:rFonts w:cs="Arial"/>
                <w:szCs w:val="20"/>
                <w:lang w:eastAsia="sl-SI"/>
              </w:rPr>
            </w:pPr>
          </w:p>
        </w:tc>
      </w:tr>
    </w:tbl>
    <w:p w14:paraId="56582466" w14:textId="0E793CBE" w:rsidR="00CE2B29" w:rsidRPr="005E4BEA" w:rsidRDefault="00CE2B29" w:rsidP="00C7272F">
      <w:pPr>
        <w:spacing w:line="240" w:lineRule="auto"/>
        <w:jc w:val="both"/>
        <w:rPr>
          <w:rFonts w:cs="Arial"/>
          <w:iCs/>
          <w:szCs w:val="20"/>
        </w:rPr>
      </w:pPr>
    </w:p>
    <w:p w14:paraId="5C1BF6C6" w14:textId="77777777" w:rsidR="00CE2B29" w:rsidRPr="005E4BEA" w:rsidRDefault="00CE2B29" w:rsidP="00C7272F">
      <w:pPr>
        <w:spacing w:line="240" w:lineRule="auto"/>
        <w:jc w:val="both"/>
        <w:rPr>
          <w:rFonts w:cs="Arial"/>
          <w:iCs/>
          <w:szCs w:val="20"/>
        </w:rPr>
      </w:pPr>
    </w:p>
    <w:p w14:paraId="62651BBD" w14:textId="7DE506EE" w:rsidR="00C7272F" w:rsidRPr="005E4BEA" w:rsidRDefault="00C7272F" w:rsidP="00C7272F">
      <w:pPr>
        <w:spacing w:line="240" w:lineRule="auto"/>
        <w:jc w:val="both"/>
        <w:rPr>
          <w:rFonts w:cs="Arial"/>
          <w:iCs/>
          <w:szCs w:val="20"/>
        </w:rPr>
      </w:pPr>
      <w:r w:rsidRPr="005E4BEA">
        <w:rPr>
          <w:rFonts w:cs="Arial"/>
          <w:iCs/>
          <w:szCs w:val="20"/>
        </w:rPr>
        <w:t>Veljavnost od 1. 9. 2022</w:t>
      </w:r>
    </w:p>
    <w:bookmarkEnd w:id="126"/>
    <w:bookmarkEnd w:id="127"/>
    <w:p w14:paraId="5647D477" w14:textId="77777777" w:rsidR="00C7272F" w:rsidRPr="005E4BEA" w:rsidRDefault="00C7272F" w:rsidP="00C7272F">
      <w:pPr>
        <w:spacing w:line="240" w:lineRule="auto"/>
        <w:jc w:val="both"/>
        <w:rPr>
          <w:rFonts w:cs="Arial"/>
          <w:iCs/>
          <w:szCs w:val="20"/>
        </w:rPr>
      </w:pPr>
    </w:p>
    <w:p w14:paraId="1DE7AC7A" w14:textId="4350035D"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(98)</w:t>
      </w:r>
    </w:p>
    <w:p w14:paraId="5BD076AC" w14:textId="77777777" w:rsidR="00E708CF" w:rsidRPr="005E4BEA" w:rsidRDefault="00E708CF" w:rsidP="00E708CF">
      <w:pPr>
        <w:spacing w:line="240" w:lineRule="auto"/>
        <w:jc w:val="both"/>
        <w:rPr>
          <w:rFonts w:eastAsia="Arial Narrow" w:cs="Arial"/>
          <w:b/>
          <w:szCs w:val="20"/>
        </w:rPr>
      </w:pPr>
    </w:p>
    <w:p w14:paraId="5A3129DE" w14:textId="4E852F6B" w:rsidR="00FE461F" w:rsidRPr="005E4BEA" w:rsidRDefault="00E708CF" w:rsidP="00FE461F">
      <w:pPr>
        <w:spacing w:line="240" w:lineRule="auto"/>
        <w:jc w:val="both"/>
        <w:rPr>
          <w:rFonts w:cs="Arial"/>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00FE461F" w:rsidRPr="005E4BEA">
        <w:rPr>
          <w:rFonts w:cs="Arial"/>
          <w:szCs w:val="20"/>
        </w:rPr>
        <w:t>Prilogi I/b Cenik storitev doda kalkulacije za planiranje in financiranje naslednjih programov:</w:t>
      </w:r>
    </w:p>
    <w:p w14:paraId="2B201240" w14:textId="77777777" w:rsidR="00FE461F" w:rsidRPr="005E4BEA" w:rsidRDefault="00FE461F" w:rsidP="00FE461F">
      <w:pPr>
        <w:spacing w:line="240" w:lineRule="auto"/>
        <w:jc w:val="both"/>
        <w:rPr>
          <w:rFonts w:cs="Arial"/>
          <w:iCs/>
          <w:szCs w:val="20"/>
        </w:rPr>
      </w:pPr>
      <w:r w:rsidRPr="005E4BEA">
        <w:rPr>
          <w:rFonts w:cs="Arial"/>
          <w:iCs/>
          <w:szCs w:val="20"/>
        </w:rPr>
        <w:t>- 510 029 Patronažna služba</w:t>
      </w:r>
    </w:p>
    <w:p w14:paraId="0868EA9C" w14:textId="77777777" w:rsidR="00FE461F" w:rsidRPr="005E4BEA" w:rsidRDefault="00FE461F" w:rsidP="00FE461F">
      <w:pPr>
        <w:spacing w:line="240" w:lineRule="auto"/>
        <w:jc w:val="both"/>
        <w:rPr>
          <w:rFonts w:cs="Arial"/>
          <w:iCs/>
          <w:szCs w:val="20"/>
        </w:rPr>
      </w:pPr>
      <w:r w:rsidRPr="005E4BEA">
        <w:rPr>
          <w:rFonts w:cs="Arial"/>
          <w:iCs/>
          <w:szCs w:val="20"/>
        </w:rPr>
        <w:t>- 544 034 Nega na domu</w:t>
      </w:r>
    </w:p>
    <w:p w14:paraId="3BFD0F7B" w14:textId="77777777" w:rsidR="00FE461F" w:rsidRPr="005E4BEA" w:rsidRDefault="00FE461F" w:rsidP="00FE461F">
      <w:pPr>
        <w:spacing w:line="240" w:lineRule="auto"/>
        <w:jc w:val="both"/>
        <w:rPr>
          <w:rFonts w:cs="Arial"/>
          <w:iCs/>
          <w:szCs w:val="20"/>
        </w:rPr>
      </w:pPr>
      <w:r w:rsidRPr="005E4BEA">
        <w:rPr>
          <w:rFonts w:cs="Arial"/>
          <w:iCs/>
          <w:szCs w:val="20"/>
        </w:rPr>
        <w:t>- 203 206 Dermatologija</w:t>
      </w:r>
    </w:p>
    <w:p w14:paraId="7647ACFC" w14:textId="77777777" w:rsidR="00FE461F" w:rsidRPr="005E4BEA" w:rsidRDefault="00FE461F" w:rsidP="00FE461F">
      <w:pPr>
        <w:spacing w:line="240" w:lineRule="auto"/>
        <w:jc w:val="both"/>
        <w:rPr>
          <w:rFonts w:cs="Arial"/>
          <w:iCs/>
          <w:szCs w:val="20"/>
        </w:rPr>
      </w:pPr>
      <w:r w:rsidRPr="005E4BEA">
        <w:rPr>
          <w:rFonts w:cs="Arial"/>
          <w:iCs/>
          <w:szCs w:val="20"/>
        </w:rPr>
        <w:t>- 223 232 Otorinolaringologija</w:t>
      </w:r>
    </w:p>
    <w:p w14:paraId="36C42E71" w14:textId="77777777" w:rsidR="00FE461F" w:rsidRPr="005E4BEA" w:rsidRDefault="00FE461F" w:rsidP="00FE461F">
      <w:pPr>
        <w:spacing w:line="240" w:lineRule="auto"/>
        <w:jc w:val="both"/>
        <w:rPr>
          <w:rFonts w:cs="Arial"/>
          <w:iCs/>
          <w:szCs w:val="20"/>
        </w:rPr>
      </w:pPr>
      <w:r w:rsidRPr="005E4BEA">
        <w:rPr>
          <w:rFonts w:cs="Arial"/>
          <w:iCs/>
          <w:szCs w:val="20"/>
        </w:rPr>
        <w:t>- 213 222 Klinična genetika</w:t>
      </w:r>
    </w:p>
    <w:p w14:paraId="1F36784C" w14:textId="77777777" w:rsidR="00FE461F" w:rsidRPr="005E4BEA" w:rsidRDefault="00FE461F" w:rsidP="00FE461F">
      <w:pPr>
        <w:spacing w:line="240" w:lineRule="auto"/>
        <w:jc w:val="both"/>
        <w:rPr>
          <w:rFonts w:cs="Arial"/>
          <w:iCs/>
          <w:szCs w:val="20"/>
        </w:rPr>
      </w:pPr>
      <w:r w:rsidRPr="005E4BEA">
        <w:rPr>
          <w:rFonts w:cs="Arial"/>
          <w:iCs/>
          <w:szCs w:val="20"/>
        </w:rPr>
        <w:t>- 231 244 Magnetna resonanca - MR</w:t>
      </w:r>
    </w:p>
    <w:p w14:paraId="07B1CDE2" w14:textId="77777777" w:rsidR="00FE461F" w:rsidRPr="005E4BEA" w:rsidRDefault="00FE461F" w:rsidP="00FE461F">
      <w:pPr>
        <w:spacing w:line="240" w:lineRule="auto"/>
        <w:jc w:val="both"/>
        <w:rPr>
          <w:rFonts w:cs="Arial"/>
          <w:iCs/>
          <w:szCs w:val="20"/>
        </w:rPr>
      </w:pPr>
      <w:r w:rsidRPr="005E4BEA">
        <w:rPr>
          <w:rFonts w:cs="Arial"/>
          <w:iCs/>
          <w:szCs w:val="20"/>
        </w:rPr>
        <w:t>- 231 245 Računalniška tomografija (CT)</w:t>
      </w:r>
    </w:p>
    <w:p w14:paraId="4B341B83" w14:textId="77777777" w:rsidR="00FE461F" w:rsidRPr="005E4BEA" w:rsidRDefault="00FE461F" w:rsidP="00FE461F">
      <w:pPr>
        <w:spacing w:line="240" w:lineRule="auto"/>
        <w:jc w:val="both"/>
        <w:rPr>
          <w:rFonts w:cs="Arial"/>
          <w:iCs/>
          <w:szCs w:val="20"/>
        </w:rPr>
      </w:pPr>
      <w:r w:rsidRPr="005E4BEA">
        <w:rPr>
          <w:rFonts w:cs="Arial"/>
          <w:iCs/>
          <w:szCs w:val="20"/>
        </w:rPr>
        <w:t>- 232 249 Revmatologija</w:t>
      </w:r>
    </w:p>
    <w:p w14:paraId="29104436" w14:textId="77777777" w:rsidR="00FE461F" w:rsidRPr="005E4BEA" w:rsidRDefault="00FE461F" w:rsidP="00FE461F">
      <w:pPr>
        <w:spacing w:line="240" w:lineRule="auto"/>
        <w:jc w:val="both"/>
        <w:rPr>
          <w:rFonts w:cs="Arial"/>
          <w:iCs/>
          <w:szCs w:val="20"/>
        </w:rPr>
      </w:pPr>
      <w:r w:rsidRPr="005E4BEA">
        <w:rPr>
          <w:rFonts w:cs="Arial"/>
          <w:iCs/>
          <w:szCs w:val="20"/>
        </w:rPr>
        <w:t>- 220 229 E0627,Okulistika-presajanje diabetične retinopatije,</w:t>
      </w:r>
    </w:p>
    <w:p w14:paraId="70159A5D" w14:textId="77777777" w:rsidR="00FE461F" w:rsidRPr="005E4BEA" w:rsidRDefault="00FE461F" w:rsidP="00FE461F">
      <w:pPr>
        <w:spacing w:line="240" w:lineRule="auto"/>
        <w:jc w:val="both"/>
        <w:rPr>
          <w:rFonts w:cs="Arial"/>
          <w:iCs/>
          <w:szCs w:val="20"/>
        </w:rPr>
      </w:pPr>
      <w:r w:rsidRPr="005E4BEA">
        <w:rPr>
          <w:rFonts w:cs="Arial"/>
          <w:iCs/>
          <w:szCs w:val="20"/>
        </w:rPr>
        <w:t>- 223 232 ORL od 1.1.2022 dalje</w:t>
      </w:r>
    </w:p>
    <w:p w14:paraId="07CFDE52" w14:textId="77777777" w:rsidR="00FE461F" w:rsidRPr="005E4BEA" w:rsidRDefault="00FE461F" w:rsidP="00FE461F">
      <w:pPr>
        <w:spacing w:line="240" w:lineRule="auto"/>
        <w:jc w:val="both"/>
        <w:rPr>
          <w:rFonts w:cs="Arial"/>
          <w:iCs/>
          <w:szCs w:val="20"/>
        </w:rPr>
      </w:pPr>
      <w:r w:rsidRPr="005E4BEA">
        <w:rPr>
          <w:rFonts w:cs="Arial"/>
          <w:iCs/>
          <w:szCs w:val="20"/>
        </w:rPr>
        <w:t>- 106 313 postopki oploditve z biomedicinsko pomočjo</w:t>
      </w:r>
    </w:p>
    <w:p w14:paraId="4C909F12" w14:textId="77777777" w:rsidR="00FE461F" w:rsidRPr="005E4BEA" w:rsidRDefault="00FE461F" w:rsidP="00FE461F">
      <w:pPr>
        <w:spacing w:line="240" w:lineRule="auto"/>
        <w:jc w:val="both"/>
        <w:rPr>
          <w:rFonts w:cs="Arial"/>
          <w:iCs/>
          <w:szCs w:val="20"/>
        </w:rPr>
      </w:pPr>
    </w:p>
    <w:p w14:paraId="6333409E" w14:textId="77777777" w:rsidR="00FE461F" w:rsidRPr="005E4BEA" w:rsidRDefault="00FE461F" w:rsidP="00FE461F">
      <w:pPr>
        <w:spacing w:line="240" w:lineRule="auto"/>
        <w:jc w:val="both"/>
        <w:rPr>
          <w:rFonts w:cs="Arial"/>
          <w:szCs w:val="20"/>
        </w:rPr>
      </w:pPr>
    </w:p>
    <w:p w14:paraId="4042C76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5CE8009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Pri navedenih dejavnostih se je tekom let spremenil model plačevanja (prehod iz točk na storitve). Združenje ne nasprotuje novim modelom plačevanja ugotavlja pa, da nov način ni transparenten. Novi modeli nimajo prikazanega planiranega števila delavcev (v skladu s 7. členom), plačnega razreda, zneska osnovne plače, dodatka na delovno dobo dodatka za delovno uspešnost ter drugih dodatkov po kolektivni pogodbi v skladu s 9. členom), prikaz informatizacije (iz cene storitev ni jasno ali je </w:t>
      </w:r>
      <w:proofErr w:type="spellStart"/>
      <w:r w:rsidRPr="005E4BEA">
        <w:rPr>
          <w:rFonts w:cs="Arial"/>
          <w:i/>
          <w:iCs/>
          <w:color w:val="808080" w:themeColor="background1" w:themeShade="80"/>
          <w:szCs w:val="20"/>
        </w:rPr>
        <w:t>vkalkuliran</w:t>
      </w:r>
      <w:proofErr w:type="spellEnd"/>
      <w:r w:rsidRPr="005E4BEA">
        <w:rPr>
          <w:rFonts w:cs="Arial"/>
          <w:i/>
          <w:iCs/>
          <w:color w:val="808080" w:themeColor="background1" w:themeShade="80"/>
          <w:szCs w:val="20"/>
        </w:rPr>
        <w:t xml:space="preserve"> v cene) je zahtevan z ločenim prikazom (drugi odstavek 14. člena) ter ali je ATK </w:t>
      </w:r>
      <w:proofErr w:type="spellStart"/>
      <w:r w:rsidRPr="005E4BEA">
        <w:rPr>
          <w:rFonts w:cs="Arial"/>
          <w:i/>
          <w:iCs/>
          <w:color w:val="808080" w:themeColor="background1" w:themeShade="80"/>
          <w:szCs w:val="20"/>
        </w:rPr>
        <w:t>vkalkuliran</w:t>
      </w:r>
      <w:proofErr w:type="spellEnd"/>
      <w:r w:rsidRPr="005E4BEA">
        <w:rPr>
          <w:rFonts w:cs="Arial"/>
          <w:i/>
          <w:iCs/>
          <w:color w:val="808080" w:themeColor="background1" w:themeShade="80"/>
          <w:szCs w:val="20"/>
        </w:rPr>
        <w:t xml:space="preserve"> v cene in ali je v zahtevanem deležu 15,27 odstotkov. </w:t>
      </w:r>
    </w:p>
    <w:p w14:paraId="4B6AD88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Omenjene dejavnosti so se brisale iz Priloge I in I/a. Zaradi tega Prav tako, kot omenjeno </w:t>
      </w:r>
      <w:proofErr w:type="spellStart"/>
      <w:r w:rsidRPr="005E4BEA">
        <w:rPr>
          <w:rFonts w:cs="Arial"/>
          <w:i/>
          <w:iCs/>
          <w:color w:val="808080" w:themeColor="background1" w:themeShade="80"/>
          <w:szCs w:val="20"/>
        </w:rPr>
        <w:t>netransparentnost</w:t>
      </w:r>
      <w:proofErr w:type="spellEnd"/>
      <w:r w:rsidRPr="005E4BEA">
        <w:rPr>
          <w:rFonts w:cs="Arial"/>
          <w:i/>
          <w:iCs/>
          <w:color w:val="808080" w:themeColor="background1" w:themeShade="80"/>
          <w:szCs w:val="20"/>
        </w:rPr>
        <w:t xml:space="preserve"> prikaza ugotavlja Združenje, so enake pobude prišle tudi s strani večine javnih zdravstvenih zavodov. Posebej zato, ker v finančnih načrtih, ki so sestavni del pogodbe z ZZZS ni več planiranega kadra, sredstva za materialne stroške in amortizacije, ki so osnova za zahtevane prikaze javnih zdravstvenih zavodov za poročila, ki jih morajo obdobno oddajati različnim ministrstvom (Ministrstvu za zdravje, Ministrstvu za finance…) so določena po »neznanih« merilih. V primero povečevanja cen iz naslova sprememb zakonskih obveznosti in obveznosti po kolektivnih pogodbah te dejavnosti izpadejo iz poračunov in spremembe cen. Iz zapisov ni jasno kako so sredstva deljena, ker so določena po »neznanih« merilih. Iz navedenih razlogov je potrebna ponovna uvedba kalkulacij. </w:t>
      </w:r>
    </w:p>
    <w:p w14:paraId="5D02683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 uvedbah novih modelov plačevanja dejavnosti tudi ni prikaza, kako se osnovna kalkulacija dejavnosti preračuna na določene storitve in posledično na cene teh storitev posamezne dejavnosti.</w:t>
      </w:r>
    </w:p>
    <w:p w14:paraId="4064313D" w14:textId="3A52D56B" w:rsidR="00FE461F" w:rsidRPr="005E4BEA" w:rsidRDefault="00FE461F" w:rsidP="00FE461F">
      <w:pPr>
        <w:spacing w:line="240" w:lineRule="auto"/>
        <w:jc w:val="both"/>
        <w:rPr>
          <w:rFonts w:cs="Arial"/>
          <w:i/>
          <w:iCs/>
          <w:color w:val="808080" w:themeColor="background1" w:themeShade="80"/>
          <w:szCs w:val="20"/>
        </w:rPr>
      </w:pPr>
    </w:p>
    <w:p w14:paraId="16D23C72" w14:textId="1A659B56" w:rsidR="00E708CF" w:rsidRPr="005E4BEA" w:rsidRDefault="00E708CF" w:rsidP="00FE461F">
      <w:pPr>
        <w:spacing w:line="240" w:lineRule="auto"/>
        <w:jc w:val="both"/>
        <w:rPr>
          <w:rFonts w:cs="Arial"/>
          <w:i/>
          <w:iCs/>
          <w:color w:val="808080" w:themeColor="background1" w:themeShade="80"/>
          <w:szCs w:val="20"/>
        </w:rPr>
      </w:pPr>
    </w:p>
    <w:p w14:paraId="24465A7D"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A0A357E" w14:textId="77777777" w:rsidR="00E708CF" w:rsidRPr="005E4BEA" w:rsidRDefault="00E708CF" w:rsidP="00E708CF">
      <w:pPr>
        <w:spacing w:line="0" w:lineRule="atLeast"/>
        <w:jc w:val="both"/>
        <w:rPr>
          <w:rFonts w:eastAsia="Arial Narrow" w:cs="Arial"/>
          <w:szCs w:val="20"/>
          <w:lang w:eastAsia="sl-SI"/>
        </w:rPr>
      </w:pPr>
    </w:p>
    <w:p w14:paraId="34B2F293" w14:textId="19FF296B" w:rsidR="00E708CF" w:rsidRPr="005E4BEA" w:rsidRDefault="00E708CF" w:rsidP="00E708CF">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28" w:name="_Hlk102477997"/>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I/b </w:t>
      </w:r>
      <w:r w:rsidRPr="005E4BEA">
        <w:rPr>
          <w:rFonts w:eastAsiaTheme="minorHAnsi" w:cs="Arial"/>
          <w:bCs/>
          <w:szCs w:val="20"/>
        </w:rPr>
        <w:t>Splošnega dogovora ne spremeni.</w:t>
      </w:r>
    </w:p>
    <w:bookmarkEnd w:id="128"/>
    <w:p w14:paraId="5010B609" w14:textId="77777777" w:rsidR="00E708CF" w:rsidRPr="005E4BEA" w:rsidRDefault="00E708CF" w:rsidP="00E708CF">
      <w:pPr>
        <w:spacing w:line="0" w:lineRule="atLeast"/>
        <w:contextualSpacing/>
        <w:jc w:val="both"/>
        <w:rPr>
          <w:rFonts w:eastAsiaTheme="minorHAnsi" w:cs="Arial"/>
          <w:bCs/>
          <w:szCs w:val="20"/>
        </w:rPr>
      </w:pPr>
    </w:p>
    <w:p w14:paraId="2C245FCC" w14:textId="77777777" w:rsidR="00E708CF" w:rsidRPr="005E4BEA" w:rsidRDefault="00E708CF" w:rsidP="00E708CF">
      <w:pPr>
        <w:spacing w:line="240" w:lineRule="auto"/>
        <w:jc w:val="both"/>
        <w:rPr>
          <w:rFonts w:eastAsia="Calibri" w:cs="Arial"/>
          <w:i/>
          <w:iCs/>
          <w:color w:val="7F7F7F"/>
          <w:szCs w:val="20"/>
        </w:rPr>
      </w:pPr>
    </w:p>
    <w:p w14:paraId="0A7BD780" w14:textId="7129139C"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(99)</w:t>
      </w:r>
    </w:p>
    <w:p w14:paraId="4C06FA6E" w14:textId="77777777" w:rsidR="00E708CF" w:rsidRPr="005E4BEA" w:rsidRDefault="00E708CF" w:rsidP="00E708CF">
      <w:pPr>
        <w:spacing w:line="240" w:lineRule="auto"/>
        <w:jc w:val="both"/>
        <w:rPr>
          <w:rFonts w:eastAsia="Arial Narrow" w:cs="Arial"/>
          <w:b/>
          <w:szCs w:val="20"/>
        </w:rPr>
      </w:pPr>
    </w:p>
    <w:p w14:paraId="50C49BDE" w14:textId="72629E14" w:rsidR="00FE461F" w:rsidRPr="005E4BEA" w:rsidRDefault="00E708CF" w:rsidP="00FE461F">
      <w:pPr>
        <w:spacing w:line="240" w:lineRule="auto"/>
        <w:jc w:val="both"/>
        <w:rPr>
          <w:rFonts w:cs="Arial"/>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szCs w:val="20"/>
        </w:rPr>
        <w:t>Prilogi I</w:t>
      </w:r>
      <w:r w:rsidR="00FE461F" w:rsidRPr="005E4BEA">
        <w:rPr>
          <w:rFonts w:cs="Arial"/>
          <w:szCs w:val="20"/>
        </w:rPr>
        <w:t>/d doda pod tabelo opomba, ki glasi:</w:t>
      </w:r>
    </w:p>
    <w:p w14:paraId="219C78CE" w14:textId="77777777" w:rsidR="00FE461F" w:rsidRPr="005E4BEA" w:rsidRDefault="00FE461F" w:rsidP="00FE461F">
      <w:pPr>
        <w:spacing w:line="240" w:lineRule="auto"/>
        <w:jc w:val="both"/>
        <w:rPr>
          <w:rFonts w:cs="Arial"/>
          <w:iCs/>
          <w:szCs w:val="20"/>
        </w:rPr>
      </w:pPr>
      <w:r w:rsidRPr="005E4BEA">
        <w:rPr>
          <w:rFonts w:cs="Arial"/>
          <w:iCs/>
          <w:szCs w:val="20"/>
        </w:rPr>
        <w:t>»Cene iz Priloge I/d se revalorizirajo pri pripravi novega Dogovora enkrat letno skladno z revalorizacijo materialnih stroškov iz sedmega odstavka 14. člena Dogovora.«</w:t>
      </w:r>
    </w:p>
    <w:p w14:paraId="0AD3328F"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347428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da se cene iz Priloge I/d revalorizirajo v skladu z določili vsakoletnega Splošnega dogovora, ker je ločeno zaračunljiv material del zdravstvenih storite za katera veljajo enake zakonske obveznosti kot za ostale zdravstvene storitve.</w:t>
      </w:r>
    </w:p>
    <w:p w14:paraId="3FCF55A9" w14:textId="77777777" w:rsidR="00FE461F" w:rsidRPr="005E4BEA" w:rsidRDefault="00FE461F" w:rsidP="00FE461F">
      <w:pPr>
        <w:spacing w:line="240" w:lineRule="auto"/>
        <w:jc w:val="both"/>
        <w:rPr>
          <w:rFonts w:cs="Arial"/>
          <w:i/>
          <w:iCs/>
          <w:color w:val="808080" w:themeColor="background1" w:themeShade="80"/>
          <w:szCs w:val="20"/>
        </w:rPr>
      </w:pPr>
    </w:p>
    <w:p w14:paraId="1016057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Združenje ne razpolaga s podatki realizacije ločeno zaračunljivega materiala, zato finančne ocene ne more narediti.</w:t>
      </w:r>
    </w:p>
    <w:p w14:paraId="37DC949A" w14:textId="2C3726FF" w:rsidR="00FE461F" w:rsidRPr="005E4BEA" w:rsidRDefault="00FE461F" w:rsidP="00FE461F">
      <w:pPr>
        <w:spacing w:line="240" w:lineRule="auto"/>
        <w:jc w:val="both"/>
        <w:rPr>
          <w:rFonts w:cs="Arial"/>
          <w:szCs w:val="20"/>
        </w:rPr>
      </w:pPr>
    </w:p>
    <w:p w14:paraId="0A45D656"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343C51DF" w14:textId="77777777" w:rsidR="00E708CF" w:rsidRPr="005E4BEA" w:rsidRDefault="00E708CF" w:rsidP="00E708CF">
      <w:pPr>
        <w:spacing w:line="0" w:lineRule="atLeast"/>
        <w:jc w:val="both"/>
        <w:rPr>
          <w:rFonts w:eastAsia="Arial Narrow" w:cs="Arial"/>
          <w:szCs w:val="20"/>
          <w:lang w:eastAsia="sl-SI"/>
        </w:rPr>
      </w:pPr>
    </w:p>
    <w:p w14:paraId="091DAD6F" w14:textId="0BA8305E" w:rsidR="00E708CF" w:rsidRPr="005E4BEA" w:rsidRDefault="00E708CF" w:rsidP="00E708CF">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29" w:name="_Hlk102478073"/>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I/d </w:t>
      </w:r>
      <w:r w:rsidRPr="005E4BEA">
        <w:rPr>
          <w:rFonts w:eastAsiaTheme="minorHAnsi" w:cs="Arial"/>
          <w:bCs/>
          <w:szCs w:val="20"/>
        </w:rPr>
        <w:t>Splošnega dogovora ne spremeni.</w:t>
      </w:r>
    </w:p>
    <w:bookmarkEnd w:id="129"/>
    <w:p w14:paraId="5293317F" w14:textId="4BA65DE1" w:rsidR="00E708CF" w:rsidRPr="005E4BEA" w:rsidRDefault="00E708CF" w:rsidP="00E708CF">
      <w:pPr>
        <w:spacing w:line="0" w:lineRule="atLeast"/>
        <w:contextualSpacing/>
        <w:jc w:val="both"/>
        <w:rPr>
          <w:rFonts w:eastAsiaTheme="minorHAnsi" w:cs="Arial"/>
          <w:bCs/>
          <w:szCs w:val="20"/>
        </w:rPr>
      </w:pPr>
    </w:p>
    <w:p w14:paraId="42CB88E5" w14:textId="0CEBC30C"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(100)</w:t>
      </w:r>
    </w:p>
    <w:p w14:paraId="154F94FB" w14:textId="77777777" w:rsidR="00E708CF" w:rsidRPr="005E4BEA" w:rsidRDefault="00E708CF" w:rsidP="00E708CF">
      <w:pPr>
        <w:spacing w:line="240" w:lineRule="auto"/>
        <w:jc w:val="both"/>
        <w:rPr>
          <w:rFonts w:eastAsia="Arial Narrow" w:cs="Arial"/>
          <w:b/>
          <w:szCs w:val="20"/>
        </w:rPr>
      </w:pPr>
    </w:p>
    <w:p w14:paraId="46469EA6" w14:textId="39E7A09D" w:rsidR="00FE461F" w:rsidRPr="005E4BEA" w:rsidRDefault="00E708CF"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
          <w:szCs w:val="20"/>
        </w:rPr>
        <w:t>predlaga</w:t>
      </w:r>
      <w:r w:rsidRPr="005E4BEA">
        <w:rPr>
          <w:rFonts w:eastAsiaTheme="minorHAnsi" w:cs="Arial"/>
          <w:bCs/>
          <w:szCs w:val="20"/>
        </w:rPr>
        <w:t xml:space="preserve">, da se v </w:t>
      </w:r>
      <w:r w:rsidRPr="005E4BEA">
        <w:rPr>
          <w:rFonts w:cs="Arial"/>
          <w:bCs/>
          <w:szCs w:val="20"/>
        </w:rPr>
        <w:t xml:space="preserve">Prilogi I/d </w:t>
      </w:r>
      <w:r w:rsidR="00FE461F" w:rsidRPr="005E4BEA">
        <w:rPr>
          <w:rFonts w:cs="Arial"/>
          <w:bCs/>
          <w:szCs w:val="20"/>
        </w:rPr>
        <w:t>zviša cena Q0033 »</w:t>
      </w:r>
      <w:proofErr w:type="spellStart"/>
      <w:r w:rsidR="00FE461F" w:rsidRPr="005E4BEA">
        <w:rPr>
          <w:rFonts w:cs="Arial"/>
          <w:bCs/>
          <w:szCs w:val="20"/>
        </w:rPr>
        <w:t>Patohistološke</w:t>
      </w:r>
      <w:proofErr w:type="spellEnd"/>
      <w:r w:rsidR="00FE461F" w:rsidRPr="005E4BEA">
        <w:rPr>
          <w:rFonts w:cs="Arial"/>
          <w:bCs/>
          <w:szCs w:val="20"/>
        </w:rPr>
        <w:t xml:space="preserve"> preiskave« za 23,4 odstotka (valorizacija 2008-2021) in sicer iz 1,74 na 2,15. </w:t>
      </w:r>
    </w:p>
    <w:p w14:paraId="1E4119C7" w14:textId="77777777" w:rsidR="00FE461F" w:rsidRPr="005E4BEA" w:rsidRDefault="00FE461F" w:rsidP="00FE461F">
      <w:pPr>
        <w:spacing w:line="240" w:lineRule="auto"/>
        <w:jc w:val="both"/>
        <w:rPr>
          <w:rFonts w:cs="Arial"/>
          <w:szCs w:val="20"/>
        </w:rPr>
      </w:pPr>
      <w:r w:rsidRPr="005E4BEA">
        <w:rPr>
          <w:rFonts w:cs="Arial"/>
          <w:szCs w:val="20"/>
        </w:rPr>
        <w:t>»</w:t>
      </w:r>
    </w:p>
    <w:tbl>
      <w:tblPr>
        <w:tblStyle w:val="Navadnatabela1"/>
        <w:tblW w:w="8998" w:type="dxa"/>
        <w:tblInd w:w="-1" w:type="dxa"/>
        <w:tblLayout w:type="fixed"/>
        <w:tblCellMar>
          <w:left w:w="0" w:type="dxa"/>
          <w:right w:w="0" w:type="dxa"/>
        </w:tblCellMar>
        <w:tblLook w:val="04A0" w:firstRow="1" w:lastRow="0" w:firstColumn="1" w:lastColumn="0" w:noHBand="0" w:noVBand="1"/>
      </w:tblPr>
      <w:tblGrid>
        <w:gridCol w:w="984"/>
        <w:gridCol w:w="992"/>
        <w:gridCol w:w="1843"/>
        <w:gridCol w:w="3543"/>
        <w:gridCol w:w="727"/>
        <w:gridCol w:w="909"/>
      </w:tblGrid>
      <w:tr w:rsidR="00FE461F" w:rsidRPr="005E4BEA" w14:paraId="5E0BA4C2" w14:textId="77777777" w:rsidTr="0016774B">
        <w:trPr>
          <w:trHeight w:val="328"/>
        </w:trPr>
        <w:tc>
          <w:tcPr>
            <w:tcW w:w="984" w:type="dxa"/>
            <w:tcBorders>
              <w:top w:val="single" w:sz="8" w:space="0" w:color="538DD5"/>
              <w:left w:val="single" w:sz="8" w:space="0" w:color="538DD5"/>
              <w:bottom w:val="single" w:sz="8" w:space="0" w:color="538DD5"/>
              <w:right w:val="single" w:sz="8" w:space="0" w:color="538DD5"/>
            </w:tcBorders>
            <w:tcMar>
              <w:top w:w="0" w:type="dxa"/>
              <w:left w:w="70" w:type="dxa"/>
              <w:bottom w:w="0" w:type="dxa"/>
              <w:right w:w="70" w:type="dxa"/>
            </w:tcMar>
            <w:vAlign w:val="center"/>
            <w:hideMark/>
          </w:tcPr>
          <w:p w14:paraId="4286A81B" w14:textId="77777777" w:rsidR="00FE461F" w:rsidRPr="005E4BEA" w:rsidRDefault="00FE461F" w:rsidP="00FE461F">
            <w:pPr>
              <w:spacing w:after="0" w:line="240" w:lineRule="auto"/>
              <w:rPr>
                <w:rFonts w:cs="Arial"/>
                <w:color w:val="000000"/>
                <w:sz w:val="20"/>
                <w:szCs w:val="20"/>
                <w:lang w:eastAsia="sl-SI"/>
              </w:rPr>
            </w:pPr>
            <w:r w:rsidRPr="005E4BEA">
              <w:rPr>
                <w:rFonts w:cs="Arial"/>
                <w:color w:val="000000"/>
                <w:sz w:val="20"/>
                <w:szCs w:val="20"/>
                <w:lang w:eastAsia="sl-SI"/>
              </w:rPr>
              <w:t>(2) točka 3</w:t>
            </w:r>
          </w:p>
        </w:tc>
        <w:tc>
          <w:tcPr>
            <w:tcW w:w="992" w:type="dxa"/>
            <w:tcBorders>
              <w:top w:val="single" w:sz="8" w:space="0" w:color="538DD5"/>
              <w:left w:val="nil"/>
              <w:bottom w:val="single" w:sz="8" w:space="0" w:color="538DD5"/>
              <w:right w:val="single" w:sz="8" w:space="0" w:color="538DD5"/>
            </w:tcBorders>
            <w:tcMar>
              <w:top w:w="0" w:type="dxa"/>
              <w:left w:w="70" w:type="dxa"/>
              <w:bottom w:w="0" w:type="dxa"/>
              <w:right w:w="70" w:type="dxa"/>
            </w:tcMar>
            <w:vAlign w:val="center"/>
            <w:hideMark/>
          </w:tcPr>
          <w:p w14:paraId="42EBF238" w14:textId="77777777" w:rsidR="00FE461F" w:rsidRPr="005E4BEA" w:rsidRDefault="00FE461F" w:rsidP="00FE461F">
            <w:pPr>
              <w:spacing w:after="0" w:line="240" w:lineRule="auto"/>
              <w:jc w:val="center"/>
              <w:rPr>
                <w:rFonts w:cs="Arial"/>
                <w:color w:val="000000"/>
                <w:sz w:val="20"/>
                <w:szCs w:val="20"/>
                <w:lang w:eastAsia="sl-SI"/>
              </w:rPr>
            </w:pPr>
            <w:r w:rsidRPr="005E4BEA">
              <w:rPr>
                <w:rFonts w:cs="Arial"/>
                <w:color w:val="000000"/>
                <w:sz w:val="20"/>
                <w:szCs w:val="20"/>
                <w:lang w:eastAsia="sl-SI"/>
              </w:rPr>
              <w:t>Q0033</w:t>
            </w:r>
          </w:p>
        </w:tc>
        <w:tc>
          <w:tcPr>
            <w:tcW w:w="1843" w:type="dxa"/>
            <w:tcBorders>
              <w:top w:val="single" w:sz="8" w:space="0" w:color="538DD5"/>
              <w:left w:val="nil"/>
              <w:bottom w:val="single" w:sz="8" w:space="0" w:color="538DD5"/>
              <w:right w:val="single" w:sz="8" w:space="0" w:color="538DD5"/>
            </w:tcBorders>
            <w:tcMar>
              <w:top w:w="0" w:type="dxa"/>
              <w:left w:w="70" w:type="dxa"/>
              <w:bottom w:w="0" w:type="dxa"/>
              <w:right w:w="70" w:type="dxa"/>
            </w:tcMar>
            <w:vAlign w:val="center"/>
            <w:hideMark/>
          </w:tcPr>
          <w:p w14:paraId="70B82316" w14:textId="77777777" w:rsidR="00FE461F" w:rsidRPr="005E4BEA" w:rsidRDefault="00FE461F" w:rsidP="00FE461F">
            <w:pPr>
              <w:spacing w:after="0" w:line="240" w:lineRule="auto"/>
              <w:rPr>
                <w:rFonts w:cs="Arial"/>
                <w:b/>
                <w:bCs/>
                <w:color w:val="7030A0"/>
                <w:sz w:val="20"/>
                <w:szCs w:val="20"/>
                <w:lang w:eastAsia="sl-SI"/>
              </w:rPr>
            </w:pPr>
            <w:proofErr w:type="spellStart"/>
            <w:r w:rsidRPr="005E4BEA">
              <w:rPr>
                <w:rFonts w:cs="Arial"/>
                <w:b/>
                <w:bCs/>
                <w:color w:val="7030A0"/>
                <w:sz w:val="20"/>
                <w:szCs w:val="20"/>
                <w:lang w:eastAsia="sl-SI"/>
              </w:rPr>
              <w:t>Histopatološke</w:t>
            </w:r>
            <w:proofErr w:type="spellEnd"/>
            <w:r w:rsidRPr="005E4BEA">
              <w:rPr>
                <w:rFonts w:cs="Arial"/>
                <w:b/>
                <w:bCs/>
                <w:color w:val="7030A0"/>
                <w:sz w:val="20"/>
                <w:szCs w:val="20"/>
                <w:lang w:eastAsia="sl-SI"/>
              </w:rPr>
              <w:t xml:space="preserve"> preiskave </w:t>
            </w:r>
          </w:p>
        </w:tc>
        <w:tc>
          <w:tcPr>
            <w:tcW w:w="3543" w:type="dxa"/>
            <w:tcBorders>
              <w:top w:val="single" w:sz="8" w:space="0" w:color="538DD5"/>
              <w:left w:val="nil"/>
              <w:bottom w:val="single" w:sz="8" w:space="0" w:color="538DD5"/>
              <w:right w:val="single" w:sz="8" w:space="0" w:color="538DD5"/>
            </w:tcBorders>
            <w:tcMar>
              <w:top w:w="0" w:type="dxa"/>
              <w:left w:w="70" w:type="dxa"/>
              <w:bottom w:w="0" w:type="dxa"/>
              <w:right w:w="70" w:type="dxa"/>
            </w:tcMar>
            <w:vAlign w:val="center"/>
            <w:hideMark/>
          </w:tcPr>
          <w:p w14:paraId="6326ED8A" w14:textId="77777777" w:rsidR="00FE461F" w:rsidRPr="005E4BEA" w:rsidRDefault="00FE461F" w:rsidP="00FE461F">
            <w:pPr>
              <w:spacing w:after="0" w:line="240" w:lineRule="auto"/>
              <w:jc w:val="center"/>
              <w:rPr>
                <w:rFonts w:cs="Arial"/>
                <w:color w:val="000000"/>
                <w:sz w:val="20"/>
                <w:szCs w:val="20"/>
                <w:lang w:eastAsia="sl-SI"/>
              </w:rPr>
            </w:pPr>
            <w:r w:rsidRPr="005E4BEA">
              <w:rPr>
                <w:rFonts w:cs="Arial"/>
                <w:color w:val="000000"/>
                <w:sz w:val="20"/>
                <w:szCs w:val="20"/>
                <w:lang w:eastAsia="sl-SI"/>
              </w:rPr>
              <w:t xml:space="preserve">točka (po Seznamu </w:t>
            </w:r>
            <w:proofErr w:type="spellStart"/>
            <w:r w:rsidRPr="005E4BEA">
              <w:rPr>
                <w:rFonts w:cs="Arial"/>
                <w:color w:val="000000"/>
                <w:sz w:val="20"/>
                <w:szCs w:val="20"/>
                <w:lang w:eastAsia="sl-SI"/>
              </w:rPr>
              <w:t>stor</w:t>
            </w:r>
            <w:proofErr w:type="spellEnd"/>
            <w:r w:rsidRPr="005E4BEA">
              <w:rPr>
                <w:rFonts w:cs="Arial"/>
                <w:color w:val="000000"/>
                <w:sz w:val="20"/>
                <w:szCs w:val="20"/>
                <w:lang w:eastAsia="sl-SI"/>
              </w:rPr>
              <w:t xml:space="preserve">. v spec. zunaj </w:t>
            </w:r>
            <w:proofErr w:type="spellStart"/>
            <w:r w:rsidRPr="005E4BEA">
              <w:rPr>
                <w:rFonts w:cs="Arial"/>
                <w:color w:val="000000"/>
                <w:sz w:val="20"/>
                <w:szCs w:val="20"/>
                <w:lang w:eastAsia="sl-SI"/>
              </w:rPr>
              <w:t>boln</w:t>
            </w:r>
            <w:proofErr w:type="spellEnd"/>
            <w:r w:rsidRPr="005E4BEA">
              <w:rPr>
                <w:rFonts w:cs="Arial"/>
                <w:color w:val="000000"/>
                <w:sz w:val="20"/>
                <w:szCs w:val="20"/>
                <w:lang w:eastAsia="sl-SI"/>
              </w:rPr>
              <w:t>. zdrav. dej.)</w:t>
            </w:r>
          </w:p>
        </w:tc>
        <w:tc>
          <w:tcPr>
            <w:tcW w:w="727" w:type="dxa"/>
            <w:tcBorders>
              <w:top w:val="single" w:sz="8" w:space="0" w:color="538DD5"/>
              <w:left w:val="nil"/>
              <w:bottom w:val="single" w:sz="8" w:space="0" w:color="538DD5"/>
              <w:right w:val="nil"/>
            </w:tcBorders>
            <w:tcMar>
              <w:top w:w="0" w:type="dxa"/>
              <w:left w:w="70" w:type="dxa"/>
              <w:bottom w:w="0" w:type="dxa"/>
              <w:right w:w="70" w:type="dxa"/>
            </w:tcMar>
            <w:vAlign w:val="center"/>
            <w:hideMark/>
          </w:tcPr>
          <w:p w14:paraId="6773AC5C" w14:textId="77777777" w:rsidR="00FE461F" w:rsidRPr="005E4BEA" w:rsidRDefault="00FE461F" w:rsidP="00FE461F">
            <w:pPr>
              <w:spacing w:after="0" w:line="240" w:lineRule="auto"/>
              <w:jc w:val="right"/>
              <w:rPr>
                <w:rFonts w:cs="Arial"/>
                <w:color w:val="000000"/>
                <w:sz w:val="20"/>
                <w:szCs w:val="20"/>
                <w:lang w:eastAsia="sl-SI"/>
              </w:rPr>
            </w:pPr>
            <w:r w:rsidRPr="005E4BEA">
              <w:rPr>
                <w:rFonts w:cs="Arial"/>
                <w:color w:val="000000"/>
                <w:sz w:val="20"/>
                <w:szCs w:val="20"/>
                <w:lang w:eastAsia="sl-SI"/>
              </w:rPr>
              <w:t>2,15</w:t>
            </w:r>
          </w:p>
        </w:tc>
        <w:tc>
          <w:tcPr>
            <w:tcW w:w="909" w:type="dxa"/>
            <w:tcBorders>
              <w:top w:val="single" w:sz="8" w:space="0" w:color="538DD5"/>
              <w:left w:val="nil"/>
              <w:bottom w:val="single" w:sz="8" w:space="0" w:color="538DD5"/>
              <w:right w:val="single" w:sz="8" w:space="0" w:color="538DD5"/>
            </w:tcBorders>
            <w:tcMar>
              <w:top w:w="0" w:type="dxa"/>
              <w:left w:w="70" w:type="dxa"/>
              <w:bottom w:w="0" w:type="dxa"/>
              <w:right w:w="70" w:type="dxa"/>
            </w:tcMar>
            <w:vAlign w:val="center"/>
            <w:hideMark/>
          </w:tcPr>
          <w:p w14:paraId="5BA82E78" w14:textId="77777777" w:rsidR="00FE461F" w:rsidRPr="005E4BEA" w:rsidRDefault="00FE461F" w:rsidP="00FE461F">
            <w:pPr>
              <w:spacing w:after="0" w:line="240" w:lineRule="auto"/>
              <w:jc w:val="right"/>
              <w:rPr>
                <w:rFonts w:cs="Arial"/>
                <w:color w:val="000000"/>
                <w:sz w:val="20"/>
                <w:szCs w:val="20"/>
                <w:lang w:eastAsia="sl-SI"/>
              </w:rPr>
            </w:pPr>
            <w:r w:rsidRPr="005E4BEA">
              <w:rPr>
                <w:rFonts w:cs="Arial"/>
                <w:color w:val="000000"/>
                <w:sz w:val="20"/>
                <w:szCs w:val="20"/>
                <w:lang w:eastAsia="sl-SI"/>
              </w:rPr>
              <w:t> </w:t>
            </w:r>
          </w:p>
        </w:tc>
      </w:tr>
    </w:tbl>
    <w:p w14:paraId="7FBC8748" w14:textId="77777777" w:rsidR="00FE461F" w:rsidRPr="005E4BEA" w:rsidRDefault="00FE461F" w:rsidP="00FE461F">
      <w:pPr>
        <w:spacing w:line="240" w:lineRule="auto"/>
        <w:jc w:val="both"/>
        <w:rPr>
          <w:rFonts w:cs="Arial"/>
          <w:szCs w:val="20"/>
        </w:rPr>
      </w:pPr>
    </w:p>
    <w:p w14:paraId="7E9EC911" w14:textId="77777777" w:rsidR="00FE461F" w:rsidRPr="005E4BEA" w:rsidRDefault="00FE461F" w:rsidP="00FE461F">
      <w:pPr>
        <w:spacing w:line="240" w:lineRule="auto"/>
        <w:jc w:val="both"/>
        <w:rPr>
          <w:rFonts w:cs="Arial"/>
          <w:b/>
          <w:i/>
          <w:color w:val="7F7F7F"/>
          <w:szCs w:val="20"/>
          <w:u w:val="single"/>
        </w:rPr>
      </w:pPr>
      <w:r w:rsidRPr="005E4BEA">
        <w:rPr>
          <w:rFonts w:cs="Arial"/>
          <w:b/>
          <w:i/>
          <w:color w:val="7F7F7F"/>
          <w:szCs w:val="20"/>
          <w:u w:val="single"/>
        </w:rPr>
        <w:t>Obrazložitev:</w:t>
      </w:r>
    </w:p>
    <w:p w14:paraId="2C949161" w14:textId="77777777" w:rsidR="00FE461F" w:rsidRPr="005E4BEA" w:rsidRDefault="00FE461F" w:rsidP="00FE461F">
      <w:pPr>
        <w:spacing w:line="240" w:lineRule="auto"/>
        <w:jc w:val="both"/>
        <w:rPr>
          <w:rFonts w:cs="Arial"/>
          <w:bCs/>
          <w:i/>
          <w:iCs/>
          <w:color w:val="808080"/>
          <w:szCs w:val="20"/>
          <w:lang w:eastAsia="sl-SI"/>
        </w:rPr>
      </w:pPr>
      <w:r w:rsidRPr="005E4BEA">
        <w:rPr>
          <w:rFonts w:cs="Arial"/>
          <w:bCs/>
          <w:i/>
          <w:iCs/>
          <w:color w:val="808080"/>
          <w:szCs w:val="20"/>
          <w:lang w:eastAsia="sl-SI"/>
        </w:rPr>
        <w:lastRenderedPageBreak/>
        <w:t xml:space="preserve">Cena točke </w:t>
      </w:r>
      <w:proofErr w:type="spellStart"/>
      <w:r w:rsidRPr="005E4BEA">
        <w:rPr>
          <w:rFonts w:cs="Arial"/>
          <w:bCs/>
          <w:i/>
          <w:iCs/>
          <w:color w:val="808080"/>
          <w:szCs w:val="20"/>
          <w:lang w:eastAsia="sl-SI"/>
        </w:rPr>
        <w:t>patohstološke</w:t>
      </w:r>
      <w:proofErr w:type="spellEnd"/>
      <w:r w:rsidRPr="005E4BEA">
        <w:rPr>
          <w:rFonts w:cs="Arial"/>
          <w:bCs/>
          <w:i/>
          <w:iCs/>
          <w:color w:val="808080"/>
          <w:szCs w:val="20"/>
          <w:lang w:eastAsia="sl-SI"/>
        </w:rPr>
        <w:t xml:space="preserve"> preiskave ni bila valorizirana že od leta 2006!!!  Poleg tega se v letu 2022 napoveduje še več kot 6 odstotna valorizacija. </w:t>
      </w:r>
    </w:p>
    <w:p w14:paraId="5A9A07FC" w14:textId="77777777" w:rsidR="00FE461F" w:rsidRPr="005E4BEA" w:rsidRDefault="00FE461F" w:rsidP="00FE461F">
      <w:pPr>
        <w:spacing w:line="240" w:lineRule="auto"/>
        <w:jc w:val="both"/>
        <w:rPr>
          <w:rFonts w:cs="Arial"/>
          <w:b/>
          <w:i/>
          <w:color w:val="808080" w:themeColor="background1" w:themeShade="80"/>
          <w:szCs w:val="20"/>
          <w:u w:val="single"/>
        </w:rPr>
      </w:pPr>
    </w:p>
    <w:tbl>
      <w:tblPr>
        <w:tblW w:w="9164" w:type="dxa"/>
        <w:tblCellMar>
          <w:left w:w="70" w:type="dxa"/>
          <w:right w:w="70" w:type="dxa"/>
        </w:tblCellMar>
        <w:tblLook w:val="04A0" w:firstRow="1" w:lastRow="0" w:firstColumn="1" w:lastColumn="0" w:noHBand="0" w:noVBand="1"/>
      </w:tblPr>
      <w:tblGrid>
        <w:gridCol w:w="1009"/>
        <w:gridCol w:w="1097"/>
        <w:gridCol w:w="1097"/>
        <w:gridCol w:w="1009"/>
        <w:gridCol w:w="863"/>
        <w:gridCol w:w="863"/>
        <w:gridCol w:w="745"/>
        <w:gridCol w:w="1009"/>
        <w:gridCol w:w="1708"/>
      </w:tblGrid>
      <w:tr w:rsidR="00FE461F" w:rsidRPr="005E4BEA" w14:paraId="114D5261" w14:textId="77777777" w:rsidTr="0016774B">
        <w:trPr>
          <w:trHeight w:val="247"/>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12EE7" w14:textId="77777777" w:rsidR="00FE461F" w:rsidRPr="005E4BEA" w:rsidRDefault="00FE461F" w:rsidP="00FE461F">
            <w:pPr>
              <w:spacing w:line="240" w:lineRule="auto"/>
              <w:rPr>
                <w:rFonts w:cs="Arial"/>
                <w:b/>
                <w:bCs/>
                <w:szCs w:val="20"/>
              </w:rPr>
            </w:pPr>
            <w:r w:rsidRPr="005E4BEA">
              <w:rPr>
                <w:rFonts w:cs="Arial"/>
                <w:b/>
                <w:bCs/>
                <w:szCs w:val="20"/>
              </w:rPr>
              <w:t xml:space="preserve">ENOT=1 EUR </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13E14463"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2006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44095618"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2007</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35389F2D"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2008</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583F4DA0"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2009</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0F91C985"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2010</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66ECB759"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2011</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2242CED7"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2012</w:t>
            </w:r>
          </w:p>
        </w:tc>
        <w:tc>
          <w:tcPr>
            <w:tcW w:w="1708" w:type="dxa"/>
            <w:tcBorders>
              <w:top w:val="single" w:sz="4" w:space="0" w:color="auto"/>
              <w:left w:val="nil"/>
              <w:bottom w:val="single" w:sz="4" w:space="0" w:color="auto"/>
              <w:right w:val="single" w:sz="4" w:space="0" w:color="auto"/>
            </w:tcBorders>
            <w:shd w:val="clear" w:color="auto" w:fill="auto"/>
            <w:noWrap/>
            <w:vAlign w:val="bottom"/>
            <w:hideMark/>
          </w:tcPr>
          <w:p w14:paraId="7805CB18"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2013</w:t>
            </w:r>
          </w:p>
        </w:tc>
      </w:tr>
      <w:tr w:rsidR="00FE461F" w:rsidRPr="005E4BEA" w14:paraId="16F570BB" w14:textId="77777777" w:rsidTr="0016774B">
        <w:trPr>
          <w:trHeight w:val="247"/>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5E5E140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097" w:type="dxa"/>
            <w:tcBorders>
              <w:top w:val="nil"/>
              <w:left w:val="nil"/>
              <w:bottom w:val="single" w:sz="4" w:space="0" w:color="auto"/>
              <w:right w:val="single" w:sz="4" w:space="0" w:color="auto"/>
            </w:tcBorders>
            <w:shd w:val="clear" w:color="auto" w:fill="auto"/>
            <w:noWrap/>
            <w:vAlign w:val="bottom"/>
            <w:hideMark/>
          </w:tcPr>
          <w:p w14:paraId="5A341522" w14:textId="77777777" w:rsidR="00FE461F" w:rsidRPr="005E4BEA" w:rsidRDefault="00FE461F" w:rsidP="00FE461F">
            <w:pPr>
              <w:spacing w:line="240" w:lineRule="auto"/>
              <w:rPr>
                <w:rFonts w:cs="Arial"/>
                <w:color w:val="000000"/>
                <w:szCs w:val="20"/>
              </w:rPr>
            </w:pPr>
            <w:r w:rsidRPr="005E4BEA">
              <w:rPr>
                <w:rFonts w:cs="Arial"/>
                <w:color w:val="000000"/>
                <w:szCs w:val="20"/>
              </w:rPr>
              <w:t>ni podatka v SD</w:t>
            </w:r>
          </w:p>
        </w:tc>
        <w:tc>
          <w:tcPr>
            <w:tcW w:w="1097" w:type="dxa"/>
            <w:tcBorders>
              <w:top w:val="nil"/>
              <w:left w:val="nil"/>
              <w:bottom w:val="single" w:sz="4" w:space="0" w:color="auto"/>
              <w:right w:val="single" w:sz="4" w:space="0" w:color="auto"/>
            </w:tcBorders>
            <w:shd w:val="clear" w:color="auto" w:fill="auto"/>
            <w:noWrap/>
            <w:vAlign w:val="bottom"/>
            <w:hideMark/>
          </w:tcPr>
          <w:p w14:paraId="1B1B8E19"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ni podatka v SD </w:t>
            </w:r>
          </w:p>
        </w:tc>
        <w:tc>
          <w:tcPr>
            <w:tcW w:w="1009" w:type="dxa"/>
            <w:tcBorders>
              <w:top w:val="nil"/>
              <w:left w:val="nil"/>
              <w:bottom w:val="single" w:sz="4" w:space="0" w:color="auto"/>
              <w:right w:val="single" w:sz="4" w:space="0" w:color="auto"/>
            </w:tcBorders>
            <w:shd w:val="clear" w:color="auto" w:fill="auto"/>
            <w:noWrap/>
            <w:vAlign w:val="bottom"/>
            <w:hideMark/>
          </w:tcPr>
          <w:p w14:paraId="0B27194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1,04412</w:t>
            </w:r>
          </w:p>
        </w:tc>
        <w:tc>
          <w:tcPr>
            <w:tcW w:w="745" w:type="dxa"/>
            <w:tcBorders>
              <w:top w:val="nil"/>
              <w:left w:val="nil"/>
              <w:bottom w:val="single" w:sz="4" w:space="0" w:color="auto"/>
              <w:right w:val="single" w:sz="4" w:space="0" w:color="auto"/>
            </w:tcBorders>
            <w:shd w:val="clear" w:color="auto" w:fill="auto"/>
            <w:noWrap/>
            <w:vAlign w:val="bottom"/>
            <w:hideMark/>
          </w:tcPr>
          <w:p w14:paraId="76012AC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1,06506</w:t>
            </w:r>
          </w:p>
        </w:tc>
        <w:tc>
          <w:tcPr>
            <w:tcW w:w="745" w:type="dxa"/>
            <w:tcBorders>
              <w:top w:val="nil"/>
              <w:left w:val="nil"/>
              <w:bottom w:val="single" w:sz="4" w:space="0" w:color="auto"/>
              <w:right w:val="single" w:sz="4" w:space="0" w:color="auto"/>
            </w:tcBorders>
            <w:shd w:val="clear" w:color="auto" w:fill="auto"/>
            <w:noWrap/>
            <w:vAlign w:val="bottom"/>
            <w:hideMark/>
          </w:tcPr>
          <w:p w14:paraId="25D315C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0,98081</w:t>
            </w:r>
          </w:p>
        </w:tc>
        <w:tc>
          <w:tcPr>
            <w:tcW w:w="745" w:type="dxa"/>
            <w:tcBorders>
              <w:top w:val="nil"/>
              <w:left w:val="nil"/>
              <w:bottom w:val="single" w:sz="4" w:space="0" w:color="auto"/>
              <w:right w:val="single" w:sz="4" w:space="0" w:color="auto"/>
            </w:tcBorders>
            <w:shd w:val="clear" w:color="auto" w:fill="auto"/>
            <w:noWrap/>
            <w:vAlign w:val="bottom"/>
            <w:hideMark/>
          </w:tcPr>
          <w:p w14:paraId="2DF6FB9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009" w:type="dxa"/>
            <w:tcBorders>
              <w:top w:val="nil"/>
              <w:left w:val="nil"/>
              <w:bottom w:val="single" w:sz="4" w:space="0" w:color="auto"/>
              <w:right w:val="single" w:sz="4" w:space="0" w:color="auto"/>
            </w:tcBorders>
            <w:shd w:val="clear" w:color="auto" w:fill="auto"/>
            <w:noWrap/>
            <w:vAlign w:val="bottom"/>
            <w:hideMark/>
          </w:tcPr>
          <w:p w14:paraId="771F6FB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1,03735</w:t>
            </w:r>
          </w:p>
        </w:tc>
        <w:tc>
          <w:tcPr>
            <w:tcW w:w="1708" w:type="dxa"/>
            <w:tcBorders>
              <w:top w:val="nil"/>
              <w:left w:val="nil"/>
              <w:bottom w:val="single" w:sz="4" w:space="0" w:color="auto"/>
              <w:right w:val="single" w:sz="4" w:space="0" w:color="auto"/>
            </w:tcBorders>
            <w:shd w:val="clear" w:color="auto" w:fill="auto"/>
            <w:noWrap/>
            <w:vAlign w:val="bottom"/>
            <w:hideMark/>
          </w:tcPr>
          <w:p w14:paraId="0C0E2D8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1,03204</w:t>
            </w:r>
          </w:p>
        </w:tc>
      </w:tr>
      <w:tr w:rsidR="00FE461F" w:rsidRPr="005E4BEA" w14:paraId="5C6A18C4" w14:textId="77777777" w:rsidTr="0016774B">
        <w:trPr>
          <w:trHeight w:val="247"/>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0F283DB"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2014</w:t>
            </w:r>
          </w:p>
        </w:tc>
        <w:tc>
          <w:tcPr>
            <w:tcW w:w="1097" w:type="dxa"/>
            <w:tcBorders>
              <w:top w:val="nil"/>
              <w:left w:val="nil"/>
              <w:bottom w:val="single" w:sz="4" w:space="0" w:color="auto"/>
              <w:right w:val="single" w:sz="4" w:space="0" w:color="auto"/>
            </w:tcBorders>
            <w:shd w:val="clear" w:color="auto" w:fill="auto"/>
            <w:noWrap/>
            <w:vAlign w:val="bottom"/>
            <w:hideMark/>
          </w:tcPr>
          <w:p w14:paraId="52B9652A"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2015</w:t>
            </w:r>
          </w:p>
        </w:tc>
        <w:tc>
          <w:tcPr>
            <w:tcW w:w="1097" w:type="dxa"/>
            <w:tcBorders>
              <w:top w:val="nil"/>
              <w:left w:val="nil"/>
              <w:bottom w:val="single" w:sz="4" w:space="0" w:color="auto"/>
              <w:right w:val="single" w:sz="4" w:space="0" w:color="auto"/>
            </w:tcBorders>
            <w:shd w:val="clear" w:color="auto" w:fill="auto"/>
            <w:noWrap/>
            <w:vAlign w:val="bottom"/>
            <w:hideMark/>
          </w:tcPr>
          <w:p w14:paraId="2D6AD8B9"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2016</w:t>
            </w:r>
          </w:p>
        </w:tc>
        <w:tc>
          <w:tcPr>
            <w:tcW w:w="1009" w:type="dxa"/>
            <w:tcBorders>
              <w:top w:val="nil"/>
              <w:left w:val="nil"/>
              <w:bottom w:val="single" w:sz="4" w:space="0" w:color="auto"/>
              <w:right w:val="single" w:sz="4" w:space="0" w:color="auto"/>
            </w:tcBorders>
            <w:shd w:val="clear" w:color="auto" w:fill="auto"/>
            <w:noWrap/>
            <w:vAlign w:val="bottom"/>
            <w:hideMark/>
          </w:tcPr>
          <w:p w14:paraId="7708EA39"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2017</w:t>
            </w:r>
          </w:p>
        </w:tc>
        <w:tc>
          <w:tcPr>
            <w:tcW w:w="745" w:type="dxa"/>
            <w:tcBorders>
              <w:top w:val="nil"/>
              <w:left w:val="nil"/>
              <w:bottom w:val="single" w:sz="4" w:space="0" w:color="auto"/>
              <w:right w:val="single" w:sz="4" w:space="0" w:color="auto"/>
            </w:tcBorders>
            <w:shd w:val="clear" w:color="auto" w:fill="auto"/>
            <w:noWrap/>
            <w:vAlign w:val="bottom"/>
            <w:hideMark/>
          </w:tcPr>
          <w:p w14:paraId="2C0E95AD"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2018</w:t>
            </w:r>
          </w:p>
        </w:tc>
        <w:tc>
          <w:tcPr>
            <w:tcW w:w="745" w:type="dxa"/>
            <w:tcBorders>
              <w:top w:val="nil"/>
              <w:left w:val="nil"/>
              <w:bottom w:val="single" w:sz="4" w:space="0" w:color="auto"/>
              <w:right w:val="single" w:sz="4" w:space="0" w:color="auto"/>
            </w:tcBorders>
            <w:shd w:val="clear" w:color="auto" w:fill="auto"/>
            <w:noWrap/>
            <w:vAlign w:val="bottom"/>
            <w:hideMark/>
          </w:tcPr>
          <w:p w14:paraId="4690E92F"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2019</w:t>
            </w:r>
          </w:p>
        </w:tc>
        <w:tc>
          <w:tcPr>
            <w:tcW w:w="745" w:type="dxa"/>
            <w:tcBorders>
              <w:top w:val="nil"/>
              <w:left w:val="nil"/>
              <w:bottom w:val="single" w:sz="4" w:space="0" w:color="auto"/>
              <w:right w:val="single" w:sz="4" w:space="0" w:color="auto"/>
            </w:tcBorders>
            <w:shd w:val="clear" w:color="auto" w:fill="auto"/>
            <w:noWrap/>
            <w:vAlign w:val="bottom"/>
            <w:hideMark/>
          </w:tcPr>
          <w:p w14:paraId="404E9A06"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2020</w:t>
            </w:r>
          </w:p>
        </w:tc>
        <w:tc>
          <w:tcPr>
            <w:tcW w:w="1009" w:type="dxa"/>
            <w:tcBorders>
              <w:top w:val="nil"/>
              <w:left w:val="nil"/>
              <w:bottom w:val="single" w:sz="4" w:space="0" w:color="auto"/>
              <w:right w:val="single" w:sz="4" w:space="0" w:color="auto"/>
            </w:tcBorders>
            <w:shd w:val="clear" w:color="auto" w:fill="auto"/>
            <w:noWrap/>
            <w:vAlign w:val="bottom"/>
            <w:hideMark/>
          </w:tcPr>
          <w:p w14:paraId="2277ABE0" w14:textId="77777777" w:rsidR="00FE461F" w:rsidRPr="005E4BEA" w:rsidRDefault="00FE461F" w:rsidP="00FE461F">
            <w:pPr>
              <w:spacing w:line="240" w:lineRule="auto"/>
              <w:jc w:val="right"/>
              <w:rPr>
                <w:rFonts w:cs="Arial"/>
                <w:b/>
                <w:bCs/>
                <w:color w:val="000000"/>
                <w:szCs w:val="20"/>
              </w:rPr>
            </w:pPr>
            <w:r w:rsidRPr="005E4BEA">
              <w:rPr>
                <w:rFonts w:cs="Arial"/>
                <w:b/>
                <w:bCs/>
                <w:color w:val="000000"/>
                <w:szCs w:val="20"/>
              </w:rPr>
              <w:t>2021</w:t>
            </w:r>
          </w:p>
        </w:tc>
        <w:tc>
          <w:tcPr>
            <w:tcW w:w="1708" w:type="dxa"/>
            <w:tcBorders>
              <w:top w:val="nil"/>
              <w:left w:val="nil"/>
              <w:bottom w:val="single" w:sz="4" w:space="0" w:color="auto"/>
              <w:right w:val="single" w:sz="4" w:space="0" w:color="auto"/>
            </w:tcBorders>
            <w:shd w:val="clear" w:color="000000" w:fill="FFFFFF"/>
            <w:noWrap/>
            <w:vAlign w:val="bottom"/>
            <w:hideMark/>
          </w:tcPr>
          <w:p w14:paraId="64098617" w14:textId="77777777" w:rsidR="00FE461F" w:rsidRPr="005E4BEA" w:rsidRDefault="00FE461F" w:rsidP="00FE461F">
            <w:pPr>
              <w:spacing w:line="240" w:lineRule="auto"/>
              <w:rPr>
                <w:rFonts w:cs="Arial"/>
                <w:b/>
                <w:bCs/>
                <w:color w:val="FF0000"/>
                <w:szCs w:val="20"/>
              </w:rPr>
            </w:pPr>
            <w:r w:rsidRPr="005E4BEA">
              <w:rPr>
                <w:rFonts w:cs="Arial"/>
                <w:b/>
                <w:bCs/>
                <w:color w:val="FF0000"/>
                <w:szCs w:val="20"/>
              </w:rPr>
              <w:t>VALORIZACIJA = 1 EUR</w:t>
            </w:r>
          </w:p>
        </w:tc>
      </w:tr>
      <w:tr w:rsidR="00FE461F" w:rsidRPr="005E4BEA" w14:paraId="6D2DE6C5" w14:textId="77777777" w:rsidTr="0016774B">
        <w:trPr>
          <w:trHeight w:val="247"/>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D44ED1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0,99804</w:t>
            </w:r>
          </w:p>
        </w:tc>
        <w:tc>
          <w:tcPr>
            <w:tcW w:w="1097" w:type="dxa"/>
            <w:tcBorders>
              <w:top w:val="nil"/>
              <w:left w:val="nil"/>
              <w:bottom w:val="single" w:sz="4" w:space="0" w:color="auto"/>
              <w:right w:val="single" w:sz="4" w:space="0" w:color="auto"/>
            </w:tcBorders>
            <w:shd w:val="clear" w:color="auto" w:fill="auto"/>
            <w:noWrap/>
            <w:vAlign w:val="bottom"/>
            <w:hideMark/>
          </w:tcPr>
          <w:p w14:paraId="0847AB87"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0,998</w:t>
            </w:r>
          </w:p>
        </w:tc>
        <w:tc>
          <w:tcPr>
            <w:tcW w:w="1097" w:type="dxa"/>
            <w:tcBorders>
              <w:top w:val="nil"/>
              <w:left w:val="nil"/>
              <w:bottom w:val="single" w:sz="4" w:space="0" w:color="auto"/>
              <w:right w:val="single" w:sz="4" w:space="0" w:color="auto"/>
            </w:tcBorders>
            <w:shd w:val="clear" w:color="auto" w:fill="auto"/>
            <w:noWrap/>
            <w:vAlign w:val="bottom"/>
            <w:hideMark/>
          </w:tcPr>
          <w:p w14:paraId="408C016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0,998</w:t>
            </w:r>
          </w:p>
        </w:tc>
        <w:tc>
          <w:tcPr>
            <w:tcW w:w="1009" w:type="dxa"/>
            <w:tcBorders>
              <w:top w:val="nil"/>
              <w:left w:val="nil"/>
              <w:bottom w:val="single" w:sz="4" w:space="0" w:color="auto"/>
              <w:right w:val="single" w:sz="4" w:space="0" w:color="auto"/>
            </w:tcBorders>
            <w:shd w:val="clear" w:color="auto" w:fill="auto"/>
            <w:noWrap/>
            <w:vAlign w:val="bottom"/>
            <w:hideMark/>
          </w:tcPr>
          <w:p w14:paraId="561DCDF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1,018</w:t>
            </w:r>
          </w:p>
        </w:tc>
        <w:tc>
          <w:tcPr>
            <w:tcW w:w="745" w:type="dxa"/>
            <w:tcBorders>
              <w:top w:val="nil"/>
              <w:left w:val="nil"/>
              <w:bottom w:val="single" w:sz="4" w:space="0" w:color="auto"/>
              <w:right w:val="single" w:sz="4" w:space="0" w:color="auto"/>
            </w:tcBorders>
            <w:shd w:val="clear" w:color="auto" w:fill="auto"/>
            <w:noWrap/>
            <w:vAlign w:val="bottom"/>
            <w:hideMark/>
          </w:tcPr>
          <w:p w14:paraId="5072590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0,99705</w:t>
            </w:r>
          </w:p>
        </w:tc>
        <w:tc>
          <w:tcPr>
            <w:tcW w:w="745" w:type="dxa"/>
            <w:tcBorders>
              <w:top w:val="nil"/>
              <w:left w:val="nil"/>
              <w:bottom w:val="single" w:sz="4" w:space="0" w:color="auto"/>
              <w:right w:val="single" w:sz="4" w:space="0" w:color="auto"/>
            </w:tcBorders>
            <w:shd w:val="clear" w:color="auto" w:fill="auto"/>
            <w:noWrap/>
            <w:vAlign w:val="bottom"/>
            <w:hideMark/>
          </w:tcPr>
          <w:p w14:paraId="4DCDA65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1,021</w:t>
            </w:r>
          </w:p>
        </w:tc>
        <w:tc>
          <w:tcPr>
            <w:tcW w:w="745" w:type="dxa"/>
            <w:tcBorders>
              <w:top w:val="nil"/>
              <w:left w:val="nil"/>
              <w:bottom w:val="single" w:sz="4" w:space="0" w:color="auto"/>
              <w:right w:val="single" w:sz="4" w:space="0" w:color="auto"/>
            </w:tcBorders>
            <w:shd w:val="clear" w:color="auto" w:fill="auto"/>
            <w:noWrap/>
            <w:vAlign w:val="bottom"/>
            <w:hideMark/>
          </w:tcPr>
          <w:p w14:paraId="6573918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009" w:type="dxa"/>
            <w:tcBorders>
              <w:top w:val="nil"/>
              <w:left w:val="nil"/>
              <w:bottom w:val="single" w:sz="4" w:space="0" w:color="auto"/>
              <w:right w:val="single" w:sz="4" w:space="0" w:color="auto"/>
            </w:tcBorders>
            <w:shd w:val="clear" w:color="auto" w:fill="auto"/>
            <w:noWrap/>
            <w:vAlign w:val="bottom"/>
            <w:hideMark/>
          </w:tcPr>
          <w:p w14:paraId="1DA1CE4B"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1,026</w:t>
            </w:r>
          </w:p>
        </w:tc>
        <w:tc>
          <w:tcPr>
            <w:tcW w:w="1708" w:type="dxa"/>
            <w:tcBorders>
              <w:top w:val="nil"/>
              <w:left w:val="nil"/>
              <w:bottom w:val="single" w:sz="4" w:space="0" w:color="auto"/>
              <w:right w:val="single" w:sz="4" w:space="0" w:color="auto"/>
            </w:tcBorders>
            <w:shd w:val="clear" w:color="000000" w:fill="FFFFFF"/>
            <w:noWrap/>
            <w:vAlign w:val="bottom"/>
            <w:hideMark/>
          </w:tcPr>
          <w:p w14:paraId="6373D136" w14:textId="77777777" w:rsidR="00FE461F" w:rsidRPr="005E4BEA" w:rsidRDefault="00FE461F" w:rsidP="00FE461F">
            <w:pPr>
              <w:spacing w:line="240" w:lineRule="auto"/>
              <w:jc w:val="right"/>
              <w:rPr>
                <w:rFonts w:cs="Arial"/>
                <w:b/>
                <w:bCs/>
                <w:color w:val="FF0000"/>
                <w:szCs w:val="20"/>
              </w:rPr>
            </w:pPr>
            <w:r w:rsidRPr="005E4BEA">
              <w:rPr>
                <w:rFonts w:cs="Arial"/>
                <w:b/>
                <w:bCs/>
                <w:color w:val="FF0000"/>
                <w:szCs w:val="20"/>
              </w:rPr>
              <w:t>1,23417875</w:t>
            </w:r>
          </w:p>
        </w:tc>
      </w:tr>
    </w:tbl>
    <w:p w14:paraId="14FB11D3" w14:textId="305C84D9" w:rsidR="00FE461F" w:rsidRPr="005E4BEA" w:rsidRDefault="00FE461F" w:rsidP="00FE461F">
      <w:pPr>
        <w:spacing w:line="240" w:lineRule="auto"/>
        <w:jc w:val="both"/>
        <w:rPr>
          <w:rFonts w:cs="Arial"/>
          <w:szCs w:val="20"/>
        </w:rPr>
      </w:pPr>
    </w:p>
    <w:p w14:paraId="68614E53" w14:textId="7806A9A7" w:rsidR="00E708CF" w:rsidRPr="005E4BEA" w:rsidRDefault="00E708CF" w:rsidP="00FE461F">
      <w:pPr>
        <w:spacing w:line="240" w:lineRule="auto"/>
        <w:jc w:val="both"/>
        <w:rPr>
          <w:rFonts w:cs="Arial"/>
          <w:szCs w:val="20"/>
        </w:rPr>
      </w:pPr>
    </w:p>
    <w:p w14:paraId="5D240D46"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4B1E1597" w14:textId="77777777" w:rsidR="00E708CF" w:rsidRPr="005E4BEA" w:rsidRDefault="00E708CF" w:rsidP="00E708CF">
      <w:pPr>
        <w:spacing w:line="0" w:lineRule="atLeast"/>
        <w:jc w:val="both"/>
        <w:rPr>
          <w:rFonts w:eastAsia="Arial Narrow" w:cs="Arial"/>
          <w:szCs w:val="20"/>
          <w:lang w:eastAsia="sl-SI"/>
        </w:rPr>
      </w:pPr>
    </w:p>
    <w:p w14:paraId="5C2F0F8E" w14:textId="45593DE4" w:rsidR="00E708CF" w:rsidRPr="005E4BEA" w:rsidRDefault="00E708CF" w:rsidP="00E708CF">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I/d </w:t>
      </w:r>
      <w:r w:rsidRPr="005E4BEA">
        <w:rPr>
          <w:rFonts w:eastAsiaTheme="minorHAnsi" w:cs="Arial"/>
          <w:bCs/>
          <w:szCs w:val="20"/>
        </w:rPr>
        <w:t>Splošnega dogovora ne spremeni.</w:t>
      </w:r>
    </w:p>
    <w:p w14:paraId="0627153B" w14:textId="77777777" w:rsidR="00E708CF" w:rsidRPr="005E4BEA" w:rsidRDefault="00E708CF" w:rsidP="00E708CF">
      <w:pPr>
        <w:spacing w:line="0" w:lineRule="atLeast"/>
        <w:contextualSpacing/>
        <w:jc w:val="both"/>
        <w:rPr>
          <w:rFonts w:eastAsiaTheme="minorHAnsi" w:cs="Arial"/>
          <w:bCs/>
          <w:szCs w:val="20"/>
        </w:rPr>
      </w:pPr>
    </w:p>
    <w:p w14:paraId="24663F3E" w14:textId="77777777" w:rsidR="00E708CF" w:rsidRPr="005E4BEA" w:rsidRDefault="00E708CF" w:rsidP="00E708CF">
      <w:pPr>
        <w:spacing w:line="240" w:lineRule="auto"/>
        <w:jc w:val="both"/>
        <w:rPr>
          <w:rFonts w:eastAsia="Calibri" w:cs="Arial"/>
          <w:i/>
          <w:iCs/>
          <w:color w:val="7F7F7F"/>
          <w:szCs w:val="20"/>
        </w:rPr>
      </w:pPr>
    </w:p>
    <w:p w14:paraId="0194F9F4" w14:textId="4BC05536"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(101)</w:t>
      </w:r>
    </w:p>
    <w:p w14:paraId="4B45C39B" w14:textId="77777777" w:rsidR="00E708CF" w:rsidRPr="005E4BEA" w:rsidRDefault="00E708CF" w:rsidP="00E708CF">
      <w:pPr>
        <w:spacing w:line="240" w:lineRule="auto"/>
        <w:jc w:val="both"/>
        <w:rPr>
          <w:rFonts w:eastAsia="Arial Narrow" w:cs="Arial"/>
          <w:b/>
          <w:szCs w:val="20"/>
        </w:rPr>
      </w:pPr>
    </w:p>
    <w:p w14:paraId="705A2623" w14:textId="42AD5F5E" w:rsidR="00FE461F" w:rsidRPr="005E4BEA" w:rsidRDefault="00E708CF" w:rsidP="00E708CF">
      <w:pPr>
        <w:spacing w:line="240" w:lineRule="auto"/>
        <w:jc w:val="both"/>
        <w:rPr>
          <w:rFonts w:cs="Arial"/>
          <w:bCs/>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v P</w:t>
      </w:r>
      <w:r w:rsidR="00FE461F" w:rsidRPr="005E4BEA">
        <w:rPr>
          <w:rFonts w:cs="Arial"/>
          <w:bCs/>
          <w:szCs w:val="20"/>
        </w:rPr>
        <w:t xml:space="preserve">rilogi </w:t>
      </w:r>
      <w:r w:rsidRPr="005E4BEA">
        <w:rPr>
          <w:rFonts w:cs="Arial"/>
          <w:bCs/>
          <w:szCs w:val="20"/>
        </w:rPr>
        <w:t>I</w:t>
      </w:r>
      <w:r w:rsidR="00FE461F" w:rsidRPr="005E4BEA">
        <w:rPr>
          <w:rFonts w:cs="Arial"/>
          <w:bCs/>
          <w:szCs w:val="20"/>
        </w:rPr>
        <w:t xml:space="preserve"> pri plačnem razredu za zobozdravnike namesto 48 zapiše 53.</w:t>
      </w:r>
    </w:p>
    <w:p w14:paraId="4D75FA2F" w14:textId="77777777" w:rsidR="00FE461F" w:rsidRPr="005E4BEA" w:rsidRDefault="00FE461F" w:rsidP="00FE461F">
      <w:pPr>
        <w:spacing w:line="240" w:lineRule="auto"/>
        <w:rPr>
          <w:rFonts w:eastAsiaTheme="minorHAnsi" w:cs="Arial"/>
          <w:bCs/>
          <w:color w:val="808080" w:themeColor="background1" w:themeShade="80"/>
          <w:szCs w:val="20"/>
        </w:rPr>
      </w:pPr>
    </w:p>
    <w:p w14:paraId="420BC573" w14:textId="77777777" w:rsidR="00FE461F" w:rsidRPr="005E4BEA" w:rsidRDefault="00FE461F" w:rsidP="00FE461F">
      <w:pPr>
        <w:spacing w:before="180" w:after="60" w:line="240" w:lineRule="auto"/>
        <w:jc w:val="both"/>
        <w:rPr>
          <w:rFonts w:cs="Arial"/>
          <w:b/>
          <w:bCs/>
          <w:color w:val="808080" w:themeColor="background1" w:themeShade="80"/>
          <w:szCs w:val="20"/>
          <w:u w:val="single"/>
          <w:lang w:eastAsia="sl-SI"/>
        </w:rPr>
      </w:pPr>
      <w:r w:rsidRPr="005E4BEA">
        <w:rPr>
          <w:rFonts w:cs="Arial"/>
          <w:b/>
          <w:bCs/>
          <w:color w:val="808080" w:themeColor="background1" w:themeShade="80"/>
          <w:szCs w:val="20"/>
          <w:u w:val="single"/>
          <w:lang w:eastAsia="sl-SI"/>
        </w:rPr>
        <w:t xml:space="preserve">Obrazložitev: </w:t>
      </w:r>
    </w:p>
    <w:p w14:paraId="58A2A79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Zdravniška zbornica Slovenije in RSK za stomatologijo nasprotujeta uvrstitvi zobozdravnikov v 48. razred in utemeljujeta uvrstitev zobozdravnikov v 53. plačilni razred z naslednjimi dejstvi: </w:t>
      </w:r>
    </w:p>
    <w:p w14:paraId="73042B63"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0201658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Zobozdravniki so bili neupravičeno uvrščeni v 48. plačilni razred, torej v razred, ki se upošteva pri sredstvih za plače v programu standardnega tima. </w:t>
      </w:r>
    </w:p>
    <w:p w14:paraId="0A9FFF7A"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Zdravniki in zobozdravniki specialisti so v tem predlogu uvrščeni v 54. plačilni razred.</w:t>
      </w:r>
    </w:p>
    <w:p w14:paraId="3718973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V posebnem tarifnem delu aneksa h kolektivni pogodbi je osnovna razlika med splošnim zobozdravnikom in zobozdravnikom specialistom dva razreda, med </w:t>
      </w:r>
      <w:r w:rsidRPr="005E4BEA">
        <w:rPr>
          <w:rFonts w:eastAsiaTheme="minorHAnsi" w:cs="Arial"/>
          <w:i/>
          <w:iCs/>
          <w:color w:val="808080" w:themeColor="background1" w:themeShade="80"/>
          <w:szCs w:val="20"/>
          <w:u w:val="single"/>
        </w:rPr>
        <w:t>spec.</w:t>
      </w:r>
      <w:r w:rsidRPr="005E4BEA">
        <w:rPr>
          <w:rFonts w:eastAsiaTheme="minorHAnsi" w:cs="Arial"/>
          <w:i/>
          <w:iCs/>
          <w:color w:val="808080" w:themeColor="background1" w:themeShade="80"/>
          <w:szCs w:val="20"/>
        </w:rPr>
        <w:t xml:space="preserve"> zobozdravnikom in zdravnikom specialistom pa štiri razrede;  razlika šestih razredov je tako absolutno prevelika.</w:t>
      </w:r>
    </w:p>
    <w:p w14:paraId="456E8DD6"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Zdravniška zbornice Slovenije in RSK za stomatologijo poudarjata, da sodi delo zobozdravnika med posebne pogoje dela; predvsem zaradi invazivne diagnostike oz. terapije (6. člen Posebnega tarifnega dela) : </w:t>
      </w:r>
    </w:p>
    <w:p w14:paraId="3D442C60"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Ekstrakcije zob (puljenje), trepanacije in </w:t>
      </w:r>
      <w:proofErr w:type="spellStart"/>
      <w:r w:rsidRPr="005E4BEA">
        <w:rPr>
          <w:rFonts w:eastAsiaTheme="minorHAnsi" w:cs="Arial"/>
          <w:i/>
          <w:iCs/>
          <w:color w:val="808080" w:themeColor="background1" w:themeShade="80"/>
          <w:szCs w:val="20"/>
        </w:rPr>
        <w:t>ekstripacije</w:t>
      </w:r>
      <w:proofErr w:type="spellEnd"/>
      <w:r w:rsidRPr="005E4BEA">
        <w:rPr>
          <w:rFonts w:eastAsiaTheme="minorHAnsi" w:cs="Arial"/>
          <w:i/>
          <w:iCs/>
          <w:color w:val="808080" w:themeColor="background1" w:themeShade="80"/>
          <w:szCs w:val="20"/>
        </w:rPr>
        <w:t xml:space="preserve"> (odprtje zoba), lokalna anestezija,  incizije in manjši operativni posegi, kiretaže ter obsežna brušenja zob predstavljajo invazivno terapijo; zobozdravniški poseg v človekovo telo.</w:t>
      </w:r>
    </w:p>
    <w:p w14:paraId="7B672C59"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Sondiranje, </w:t>
      </w:r>
      <w:proofErr w:type="spellStart"/>
      <w:r w:rsidRPr="005E4BEA">
        <w:rPr>
          <w:rFonts w:eastAsiaTheme="minorHAnsi" w:cs="Arial"/>
          <w:i/>
          <w:iCs/>
          <w:color w:val="808080" w:themeColor="background1" w:themeShade="80"/>
          <w:szCs w:val="20"/>
        </w:rPr>
        <w:t>endometrija</w:t>
      </w:r>
      <w:proofErr w:type="spellEnd"/>
      <w:r w:rsidRPr="005E4BEA">
        <w:rPr>
          <w:rFonts w:eastAsiaTheme="minorHAnsi" w:cs="Arial"/>
          <w:i/>
          <w:iCs/>
          <w:color w:val="808080" w:themeColor="background1" w:themeShade="80"/>
          <w:szCs w:val="20"/>
        </w:rPr>
        <w:t xml:space="preserve"> in biopsija so invazivna diagnostika.</w:t>
      </w:r>
    </w:p>
    <w:p w14:paraId="401D4B7E"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Zobozdravniško ambulantno delo poteka v prisilni drži in infektivnemu polju, kar zobozdravnikom povzroča resne zdravstvene težave in tudi okvare. Prisilno držo zobozdravnika in sestre še potencira dejstvo, da je pacient, za razliko od ostalih kirurških posegov, pri zavesti, zaradi česar je bolj nemiren, delo z njim je bistveno bolj stresno. </w:t>
      </w:r>
    </w:p>
    <w:p w14:paraId="3EE5EFAC"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Potrebno je uigrano štiriročno delo zdravnika in sestre, podobno kot pri kirurgih.</w:t>
      </w:r>
    </w:p>
    <w:p w14:paraId="16287D97"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Nova tehnologija dela in sodobni materiali terjajo vedno več dela pod lupo, v povprečju 2- 3 ure dnevno.  Delovno polje je izredno majhno, močno osvetljeno - razmere so podobne kot pri mikrokirurgiji. </w:t>
      </w:r>
    </w:p>
    <w:p w14:paraId="2A66D71C"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Zobozdravniki pri delu s pacienti ves čas uporabljajo rokavice in masko, zdravniki pa ne.</w:t>
      </w:r>
    </w:p>
    <w:p w14:paraId="46570B10"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Posebej specifično delo je tudi v ambulanti za predšolske otroke in otroke s posebnimi potrebami, ki je fizično in psihično izredno naporno.</w:t>
      </w:r>
    </w:p>
    <w:p w14:paraId="14504001" w14:textId="77777777" w:rsidR="00FE461F" w:rsidRPr="005E4BEA" w:rsidRDefault="00FE461F" w:rsidP="00F356C9">
      <w:pPr>
        <w:widowControl w:val="0"/>
        <w:numPr>
          <w:ilvl w:val="0"/>
          <w:numId w:val="44"/>
        </w:numPr>
        <w:suppressAutoHyphens/>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Glede na hiter razvoj tehnologije in materialov v zobozdravstvu se mora zobozdravnik stalno izobraževati, da lahko zadovolji zahtevam in pravicam pacientov.</w:t>
      </w:r>
    </w:p>
    <w:p w14:paraId="65B41C03"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Predlagamo nov izračun povprečne plače zobozdravnika v javni mreži (razlika zaradi uvedbe višjega zobozdravnika po 12 letih delovne dobe).</w:t>
      </w:r>
    </w:p>
    <w:p w14:paraId="49A37B07"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FB39084" w14:textId="06FBDF3F"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Finančni učinki: potrebno dodatno 6 mio EUR na letni ravni</w:t>
      </w:r>
    </w:p>
    <w:p w14:paraId="07B036BA" w14:textId="0E3031F3" w:rsidR="00E708CF" w:rsidRPr="005E4BEA" w:rsidRDefault="00E708CF" w:rsidP="00FE461F">
      <w:pPr>
        <w:spacing w:line="240" w:lineRule="auto"/>
        <w:jc w:val="both"/>
        <w:rPr>
          <w:rFonts w:eastAsiaTheme="minorHAnsi" w:cs="Arial"/>
          <w:i/>
          <w:iCs/>
          <w:color w:val="808080" w:themeColor="background1" w:themeShade="80"/>
          <w:szCs w:val="20"/>
        </w:rPr>
      </w:pPr>
    </w:p>
    <w:p w14:paraId="69F8E97A" w14:textId="0D21E1FD" w:rsidR="00E708CF" w:rsidRPr="005E4BEA" w:rsidRDefault="00E708CF" w:rsidP="00FE461F">
      <w:pPr>
        <w:spacing w:line="240" w:lineRule="auto"/>
        <w:jc w:val="both"/>
        <w:rPr>
          <w:rFonts w:eastAsiaTheme="minorHAnsi" w:cs="Arial"/>
          <w:i/>
          <w:iCs/>
          <w:color w:val="808080" w:themeColor="background1" w:themeShade="80"/>
          <w:szCs w:val="20"/>
        </w:rPr>
      </w:pPr>
    </w:p>
    <w:p w14:paraId="307245ED" w14:textId="77777777" w:rsidR="00E708CF" w:rsidRPr="005E4BEA" w:rsidRDefault="00E708CF" w:rsidP="00E708CF">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2AF14FFE" w14:textId="77777777" w:rsidR="00E708CF" w:rsidRPr="005E4BEA" w:rsidRDefault="00E708CF" w:rsidP="00E708CF">
      <w:pPr>
        <w:spacing w:line="0" w:lineRule="atLeast"/>
        <w:jc w:val="both"/>
        <w:rPr>
          <w:rFonts w:eastAsia="Arial Narrow" w:cs="Arial"/>
          <w:szCs w:val="20"/>
          <w:lang w:eastAsia="sl-SI"/>
        </w:rPr>
      </w:pPr>
    </w:p>
    <w:p w14:paraId="06969446" w14:textId="7EA970CC" w:rsidR="00E708CF" w:rsidRPr="005E4BEA" w:rsidRDefault="00E708CF" w:rsidP="00E708CF">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59C30277" w14:textId="77777777" w:rsidR="00E708CF" w:rsidRPr="005E4BEA" w:rsidRDefault="00E708CF" w:rsidP="00E708CF">
      <w:pPr>
        <w:spacing w:line="0" w:lineRule="atLeast"/>
        <w:contextualSpacing/>
        <w:jc w:val="both"/>
        <w:rPr>
          <w:rFonts w:eastAsiaTheme="minorHAnsi" w:cs="Arial"/>
          <w:bCs/>
          <w:szCs w:val="20"/>
        </w:rPr>
      </w:pPr>
    </w:p>
    <w:p w14:paraId="2942828C" w14:textId="77777777" w:rsidR="00E708CF" w:rsidRPr="005E4BEA" w:rsidRDefault="00E708CF" w:rsidP="00E708CF">
      <w:pPr>
        <w:spacing w:line="240" w:lineRule="auto"/>
        <w:jc w:val="both"/>
        <w:rPr>
          <w:rFonts w:eastAsia="Calibri" w:cs="Arial"/>
          <w:i/>
          <w:iCs/>
          <w:color w:val="7F7F7F"/>
          <w:szCs w:val="20"/>
        </w:rPr>
      </w:pPr>
    </w:p>
    <w:p w14:paraId="7796FD3D" w14:textId="55DD4A4E" w:rsidR="00E708CF" w:rsidRPr="005E4BEA" w:rsidRDefault="00E708CF"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(102)</w:t>
      </w:r>
    </w:p>
    <w:p w14:paraId="767DF8D4" w14:textId="77777777" w:rsidR="00E708CF" w:rsidRPr="005E4BEA" w:rsidRDefault="00E708CF" w:rsidP="00E708CF">
      <w:pPr>
        <w:spacing w:line="240" w:lineRule="auto"/>
        <w:jc w:val="both"/>
        <w:rPr>
          <w:rFonts w:eastAsia="Arial Narrow" w:cs="Arial"/>
          <w:b/>
          <w:szCs w:val="20"/>
        </w:rPr>
      </w:pPr>
    </w:p>
    <w:p w14:paraId="20F63BD1" w14:textId="0AC4346C" w:rsidR="00FE461F" w:rsidRPr="005E4BEA" w:rsidRDefault="00E708CF" w:rsidP="00E708CF">
      <w:pPr>
        <w:spacing w:line="240" w:lineRule="auto"/>
        <w:jc w:val="both"/>
        <w:rPr>
          <w:rFonts w:cs="Arial"/>
          <w:bCs/>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v P</w:t>
      </w:r>
      <w:r w:rsidRPr="005E4BEA">
        <w:rPr>
          <w:rFonts w:cs="Arial"/>
          <w:bCs/>
          <w:szCs w:val="20"/>
        </w:rPr>
        <w:t xml:space="preserve">rilogi I </w:t>
      </w:r>
      <w:r w:rsidR="00FE461F" w:rsidRPr="005E4BEA">
        <w:rPr>
          <w:rFonts w:cs="Arial"/>
          <w:bCs/>
          <w:szCs w:val="20"/>
        </w:rPr>
        <w:t>pri standardu 215 224 SPEC – MAKSIOLFACIALNA KIRURGIJA doda opomba:</w:t>
      </w:r>
    </w:p>
    <w:p w14:paraId="216174C7"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lang w:eastAsia="sl-SI"/>
        </w:rPr>
        <w:t>“Izvajalci programa oralne in maksilofacialne kirurgije obračunavajo storitve v okviru standard 215 224 SPEC – MAKSILOFACIALNA KIRURGIJA</w:t>
      </w:r>
      <w:r w:rsidRPr="005E4BEA">
        <w:rPr>
          <w:rFonts w:eastAsiaTheme="minorHAnsi" w:cs="Arial"/>
          <w:szCs w:val="20"/>
        </w:rPr>
        <w:t xml:space="preserve"> «.</w:t>
      </w:r>
    </w:p>
    <w:p w14:paraId="32C9C472" w14:textId="77777777" w:rsidR="00FE461F" w:rsidRPr="005E4BEA" w:rsidRDefault="00FE461F" w:rsidP="00FE461F">
      <w:pPr>
        <w:spacing w:line="240" w:lineRule="auto"/>
        <w:jc w:val="both"/>
        <w:rPr>
          <w:rFonts w:eastAsiaTheme="minorHAnsi" w:cs="Arial"/>
          <w:szCs w:val="20"/>
        </w:rPr>
      </w:pPr>
    </w:p>
    <w:p w14:paraId="01820E34" w14:textId="77777777" w:rsidR="00FE461F" w:rsidRPr="005E4BEA" w:rsidRDefault="00FE461F" w:rsidP="00FE461F">
      <w:pPr>
        <w:spacing w:line="240" w:lineRule="auto"/>
        <w:jc w:val="both"/>
        <w:rPr>
          <w:rFonts w:cs="Arial"/>
          <w:b/>
          <w:i/>
          <w:iCs/>
          <w:color w:val="808080"/>
          <w:szCs w:val="20"/>
          <w:u w:val="single"/>
          <w:lang w:eastAsia="sl-SI"/>
        </w:rPr>
      </w:pPr>
      <w:r w:rsidRPr="005E4BEA">
        <w:rPr>
          <w:rFonts w:cs="Arial"/>
          <w:b/>
          <w:i/>
          <w:iCs/>
          <w:color w:val="808080"/>
          <w:szCs w:val="20"/>
          <w:u w:val="single"/>
          <w:lang w:eastAsia="sl-SI"/>
        </w:rPr>
        <w:t xml:space="preserve">Obrazložitev: </w:t>
      </w:r>
    </w:p>
    <w:p w14:paraId="75678A9F" w14:textId="77777777" w:rsidR="00FE461F" w:rsidRPr="005E4BEA" w:rsidRDefault="00FE461F" w:rsidP="00FE461F">
      <w:pPr>
        <w:spacing w:line="240" w:lineRule="auto"/>
        <w:jc w:val="both"/>
        <w:rPr>
          <w:rFonts w:cs="Arial"/>
          <w:bCs/>
          <w:i/>
          <w:iCs/>
          <w:color w:val="808080"/>
          <w:szCs w:val="20"/>
          <w:lang w:eastAsia="sl-SI"/>
        </w:rPr>
      </w:pPr>
      <w:r w:rsidRPr="005E4BEA">
        <w:rPr>
          <w:rFonts w:cs="Arial"/>
          <w:bCs/>
          <w:i/>
          <w:iCs/>
          <w:color w:val="808080"/>
          <w:szCs w:val="20"/>
          <w:lang w:eastAsia="sl-SI"/>
        </w:rPr>
        <w:t>Ambulantno oralno in maksilofacialno kirurgijo izvajajo tako specialisti oralne kirurgije kot specialisti maksilofacialne kirurgije. Opravlja se  pri zasebnih izvajalcih (oralnih in maksilofacialnih kirurgih), kot v javnih zavodih in sicer v ZD Nova Gorica, ZD Ptuj in ZD Maribor, kot na kliniki za maksilofacialno in oralno kirurgijo UKC Ljubljana.</w:t>
      </w:r>
    </w:p>
    <w:p w14:paraId="203DFCA3" w14:textId="77777777" w:rsidR="00FE461F" w:rsidRPr="005E4BEA" w:rsidRDefault="00FE461F" w:rsidP="00FE461F">
      <w:pPr>
        <w:spacing w:line="240" w:lineRule="auto"/>
        <w:jc w:val="both"/>
        <w:rPr>
          <w:rFonts w:cs="Arial"/>
          <w:bCs/>
          <w:i/>
          <w:iCs/>
          <w:color w:val="808080"/>
          <w:szCs w:val="20"/>
          <w:lang w:eastAsia="sl-SI"/>
        </w:rPr>
      </w:pPr>
      <w:r w:rsidRPr="005E4BEA">
        <w:rPr>
          <w:rFonts w:cs="Arial"/>
          <w:bCs/>
          <w:i/>
          <w:iCs/>
          <w:color w:val="808080"/>
          <w:szCs w:val="20"/>
          <w:lang w:eastAsia="sl-SI"/>
        </w:rPr>
        <w:t xml:space="preserve">Vsi opravljajo enako delo pod enakimi realnimi standardi in pogoji, z enako izobrazbo in kadrom. Torej z enakimi materialnimi stroški. Koncesionarji jo izvajajo skladno s koncesijskimi pogodbami, ki jih podpisujejo z Ministrstvom za zdravje, tako kot preostale kirurške specialistične dejavnosti. </w:t>
      </w:r>
    </w:p>
    <w:p w14:paraId="0511B66F" w14:textId="77777777" w:rsidR="00FE461F" w:rsidRPr="005E4BEA" w:rsidRDefault="00FE461F" w:rsidP="00FE461F">
      <w:pPr>
        <w:spacing w:line="240" w:lineRule="auto"/>
        <w:jc w:val="both"/>
        <w:rPr>
          <w:rFonts w:cs="Arial"/>
          <w:bCs/>
          <w:i/>
          <w:iCs/>
          <w:color w:val="808080"/>
          <w:szCs w:val="20"/>
          <w:lang w:eastAsia="sl-SI"/>
        </w:rPr>
      </w:pPr>
      <w:r w:rsidRPr="005E4BEA">
        <w:rPr>
          <w:rFonts w:cs="Arial"/>
          <w:bCs/>
          <w:i/>
          <w:iCs/>
          <w:color w:val="808080"/>
          <w:szCs w:val="20"/>
          <w:lang w:eastAsia="sl-SI"/>
        </w:rPr>
        <w:t xml:space="preserve">Trenutna vrednost točke, ki se uporablja za obračun storitev v okviru standarda 442 116 - Oralna in maksilofacialna kirurgija, je 2,71 EUR (izhodiščna vrednost točke po SD 2017 za dejavnost) in se tako brez realne podlage razlikuje od vrednosti točke koncesijske ambulante oralne in maksilofacialne kirurgije v Slovenj Gradcu oziroma ambulante v UKC Ljubljana, ki je 3,24EUR (izhodiščna vrednost točke po SD 2017 za dejavnost 215 224 - Maksilofacialna kirurgija). </w:t>
      </w:r>
    </w:p>
    <w:p w14:paraId="1390832A" w14:textId="77777777" w:rsidR="00FE461F" w:rsidRPr="005E4BEA" w:rsidRDefault="00FE461F" w:rsidP="00FE461F">
      <w:pPr>
        <w:spacing w:line="240" w:lineRule="auto"/>
        <w:jc w:val="both"/>
        <w:rPr>
          <w:rFonts w:cs="Arial"/>
          <w:bCs/>
          <w:i/>
          <w:iCs/>
          <w:color w:val="808080"/>
          <w:szCs w:val="20"/>
          <w:lang w:eastAsia="sl-SI"/>
        </w:rPr>
      </w:pPr>
      <w:r w:rsidRPr="005E4BEA">
        <w:rPr>
          <w:rFonts w:cs="Arial"/>
          <w:bCs/>
          <w:i/>
          <w:iCs/>
          <w:color w:val="808080"/>
          <w:szCs w:val="20"/>
          <w:lang w:eastAsia="sl-SI"/>
        </w:rPr>
        <w:t xml:space="preserve">Zaradi neustrezne kompenzacije materialnih stroškov so nekateri javni zavodi (ZD Maribor, ZD Ptuj) že ostali brez izvajalcev, kar se poleg vse večjih potreb po storitvah zrcali v dolžini čakalne dobe, ki znaša 169,3 dneva (ambulanta za oralno kirurgijo) oziroma 187,4 dneva (ambulanta za maksilofacialno kirurgijo), kar pomeni 2. oziroma 4. mesto med čakalnimi dobami za ambulantne specialistične storitve v Sloveniji. Ob tem je delež čakajočih nad dopustno mejo 13,4% oziroma 26%. Slednje pomeni veliko verjetnost odliva pacientov k izvajalcem izven meja Slovenije, kar ob povračilu stroškov takšnega zdravljenja skladno z evropsko zakonodajo pomeni  dodatno nepredvidljivo breme zdravstvene blagajne. </w:t>
      </w:r>
    </w:p>
    <w:p w14:paraId="2A0496A2" w14:textId="77777777" w:rsidR="00FE461F" w:rsidRPr="005E4BEA" w:rsidRDefault="00FE461F" w:rsidP="00FE461F">
      <w:pPr>
        <w:spacing w:line="240" w:lineRule="auto"/>
        <w:jc w:val="both"/>
        <w:rPr>
          <w:rFonts w:cs="Arial"/>
          <w:bCs/>
          <w:i/>
          <w:iCs/>
          <w:color w:val="808080"/>
          <w:szCs w:val="20"/>
          <w:lang w:eastAsia="sl-SI"/>
        </w:rPr>
      </w:pPr>
    </w:p>
    <w:p w14:paraId="0D139D6C" w14:textId="174705C4" w:rsidR="00FE461F" w:rsidRPr="005E4BEA" w:rsidRDefault="00FE461F" w:rsidP="00FE461F">
      <w:pPr>
        <w:spacing w:line="240" w:lineRule="auto"/>
        <w:jc w:val="both"/>
        <w:rPr>
          <w:rFonts w:cs="Arial"/>
          <w:bCs/>
          <w:i/>
          <w:iCs/>
          <w:color w:val="808080"/>
          <w:szCs w:val="20"/>
          <w:lang w:eastAsia="sl-SI"/>
        </w:rPr>
      </w:pPr>
      <w:r w:rsidRPr="005E4BEA">
        <w:rPr>
          <w:rFonts w:cs="Arial"/>
          <w:bCs/>
          <w:i/>
          <w:iCs/>
          <w:color w:val="808080"/>
          <w:szCs w:val="20"/>
          <w:lang w:eastAsia="sl-SI"/>
        </w:rPr>
        <w:t xml:space="preserve">Finančni učinki: 0,6 mio EUR </w:t>
      </w:r>
    </w:p>
    <w:p w14:paraId="1AB4DEBC" w14:textId="27D1A46C" w:rsidR="00A87435" w:rsidRPr="005E4BEA" w:rsidRDefault="00A87435" w:rsidP="00FE461F">
      <w:pPr>
        <w:spacing w:line="240" w:lineRule="auto"/>
        <w:jc w:val="both"/>
        <w:rPr>
          <w:rFonts w:cs="Arial"/>
          <w:bCs/>
          <w:i/>
          <w:iCs/>
          <w:color w:val="808080"/>
          <w:szCs w:val="20"/>
          <w:lang w:eastAsia="sl-SI"/>
        </w:rPr>
      </w:pPr>
    </w:p>
    <w:p w14:paraId="31ED4544" w14:textId="77777777" w:rsidR="00A87435" w:rsidRPr="005E4BEA" w:rsidRDefault="00A87435" w:rsidP="00A8743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76871A0A" w14:textId="77777777" w:rsidR="00A87435" w:rsidRPr="005E4BEA" w:rsidRDefault="00A87435" w:rsidP="00A87435">
      <w:pPr>
        <w:spacing w:line="0" w:lineRule="atLeast"/>
        <w:jc w:val="both"/>
        <w:rPr>
          <w:rFonts w:eastAsia="Arial Narrow" w:cs="Arial"/>
          <w:szCs w:val="20"/>
          <w:lang w:eastAsia="sl-SI"/>
        </w:rPr>
      </w:pPr>
    </w:p>
    <w:p w14:paraId="37FEF7C1" w14:textId="5195E61B" w:rsidR="00A87435" w:rsidRPr="005E4BEA" w:rsidRDefault="00A87435" w:rsidP="00A87435">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4B738659" w14:textId="77777777" w:rsidR="00A87435" w:rsidRPr="005E4BEA" w:rsidRDefault="00A87435" w:rsidP="00A87435">
      <w:pPr>
        <w:spacing w:line="0" w:lineRule="atLeast"/>
        <w:contextualSpacing/>
        <w:jc w:val="both"/>
        <w:rPr>
          <w:rFonts w:eastAsiaTheme="minorHAnsi" w:cs="Arial"/>
          <w:bCs/>
          <w:szCs w:val="20"/>
        </w:rPr>
      </w:pPr>
    </w:p>
    <w:p w14:paraId="29F5D901" w14:textId="77777777" w:rsidR="00A87435" w:rsidRPr="005E4BEA" w:rsidRDefault="00A87435" w:rsidP="00A87435">
      <w:pPr>
        <w:spacing w:line="240" w:lineRule="auto"/>
        <w:jc w:val="both"/>
        <w:rPr>
          <w:rFonts w:eastAsia="Calibri" w:cs="Arial"/>
          <w:i/>
          <w:iCs/>
          <w:color w:val="7F7F7F"/>
          <w:szCs w:val="20"/>
        </w:rPr>
      </w:pPr>
    </w:p>
    <w:p w14:paraId="5792B894" w14:textId="4C55E9C4" w:rsidR="00A87435" w:rsidRPr="005E4BEA" w:rsidRDefault="00A8743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(103)</w:t>
      </w:r>
    </w:p>
    <w:p w14:paraId="32BFEEF7" w14:textId="77777777" w:rsidR="00A87435" w:rsidRPr="005E4BEA" w:rsidRDefault="00A87435" w:rsidP="00A87435">
      <w:pPr>
        <w:spacing w:line="240" w:lineRule="auto"/>
        <w:jc w:val="both"/>
        <w:rPr>
          <w:rFonts w:eastAsia="Arial Narrow" w:cs="Arial"/>
          <w:b/>
          <w:szCs w:val="20"/>
        </w:rPr>
      </w:pPr>
    </w:p>
    <w:p w14:paraId="354194E8" w14:textId="54AB0CA4" w:rsidR="00FE461F" w:rsidRPr="005E4BEA" w:rsidRDefault="00A87435" w:rsidP="00FE461F">
      <w:pPr>
        <w:spacing w:line="240" w:lineRule="auto"/>
        <w:jc w:val="both"/>
        <w:rPr>
          <w:rFonts w:eastAsiaTheme="minorHAnsi" w:cs="Arial"/>
          <w:szCs w:val="20"/>
          <w:lang w:eastAsia="sl-SI"/>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v</w:t>
      </w:r>
      <w:r w:rsidR="00FE461F" w:rsidRPr="005E4BEA">
        <w:rPr>
          <w:rFonts w:eastAsiaTheme="minorHAnsi" w:cs="Arial"/>
          <w:b/>
          <w:bCs/>
          <w:szCs w:val="20"/>
          <w:lang w:eastAsia="sl-SI"/>
        </w:rPr>
        <w:t xml:space="preserve"> </w:t>
      </w:r>
      <w:r w:rsidR="00FE461F" w:rsidRPr="005E4BEA">
        <w:rPr>
          <w:rFonts w:eastAsiaTheme="minorHAnsi" w:cs="Arial"/>
          <w:szCs w:val="20"/>
          <w:lang w:eastAsia="sl-SI"/>
        </w:rPr>
        <w:t xml:space="preserve">Prilogi I/d cene ločeno zaračunljivih materialov, ki jih uporabljajo v </w:t>
      </w:r>
      <w:proofErr w:type="spellStart"/>
      <w:r w:rsidR="00FE461F" w:rsidRPr="005E4BEA">
        <w:rPr>
          <w:rFonts w:eastAsiaTheme="minorHAnsi" w:cs="Arial"/>
          <w:szCs w:val="20"/>
          <w:lang w:eastAsia="sl-SI"/>
        </w:rPr>
        <w:t>ortodontiji</w:t>
      </w:r>
      <w:proofErr w:type="spellEnd"/>
      <w:r w:rsidR="00FE461F" w:rsidRPr="005E4BEA">
        <w:rPr>
          <w:rFonts w:eastAsiaTheme="minorHAnsi" w:cs="Arial"/>
          <w:szCs w:val="20"/>
          <w:lang w:eastAsia="sl-SI"/>
        </w:rPr>
        <w:t xml:space="preserve">, povečajo </w:t>
      </w:r>
    </w:p>
    <w:p w14:paraId="2FFA553C" w14:textId="77777777" w:rsidR="00FE461F" w:rsidRPr="005E4BEA" w:rsidRDefault="00FE461F" w:rsidP="00FE461F">
      <w:pPr>
        <w:spacing w:line="240" w:lineRule="auto"/>
        <w:jc w:val="both"/>
        <w:rPr>
          <w:rFonts w:eastAsiaTheme="minorHAnsi" w:cs="Arial"/>
          <w:szCs w:val="20"/>
          <w:lang w:eastAsia="sl-SI"/>
        </w:rPr>
      </w:pPr>
    </w:p>
    <w:p w14:paraId="31A4A72E"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rPr>
        <w:t>Q0005        lok okrogli              kos     5,01 EUR</w:t>
      </w:r>
    </w:p>
    <w:p w14:paraId="14AE5506"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rPr>
        <w:t>Q0006       lok oglati                  kos      5,01 EUR</w:t>
      </w:r>
    </w:p>
    <w:p w14:paraId="7F007B54" w14:textId="77777777" w:rsidR="00FE461F" w:rsidRPr="005E4BEA" w:rsidRDefault="00FE461F" w:rsidP="00FE461F">
      <w:pPr>
        <w:spacing w:line="240" w:lineRule="auto"/>
        <w:jc w:val="both"/>
        <w:rPr>
          <w:rFonts w:eastAsiaTheme="minorHAnsi" w:cs="Arial"/>
          <w:szCs w:val="20"/>
        </w:rPr>
      </w:pPr>
      <w:r w:rsidRPr="005E4BEA">
        <w:rPr>
          <w:rFonts w:eastAsiaTheme="minorHAnsi" w:cs="Arial"/>
          <w:szCs w:val="20"/>
        </w:rPr>
        <w:t>Q0012     nosilec (</w:t>
      </w:r>
      <w:proofErr w:type="spellStart"/>
      <w:r w:rsidRPr="005E4BEA">
        <w:rPr>
          <w:rFonts w:eastAsiaTheme="minorHAnsi" w:cs="Arial"/>
          <w:szCs w:val="20"/>
        </w:rPr>
        <w:t>Bracket</w:t>
      </w:r>
      <w:proofErr w:type="spellEnd"/>
      <w:r w:rsidRPr="005E4BEA">
        <w:rPr>
          <w:rFonts w:eastAsiaTheme="minorHAnsi" w:cs="Arial"/>
          <w:szCs w:val="20"/>
        </w:rPr>
        <w:t>)    kos      3,51 EUR</w:t>
      </w:r>
    </w:p>
    <w:p w14:paraId="50882F8A" w14:textId="77777777" w:rsidR="00FE461F" w:rsidRPr="005E4BEA" w:rsidRDefault="00FE461F" w:rsidP="00FE461F">
      <w:pPr>
        <w:spacing w:line="240" w:lineRule="auto"/>
        <w:jc w:val="both"/>
        <w:rPr>
          <w:rFonts w:eastAsiaTheme="minorHAnsi" w:cs="Arial"/>
          <w:szCs w:val="20"/>
        </w:rPr>
      </w:pPr>
    </w:p>
    <w:p w14:paraId="13949BE0" w14:textId="77777777" w:rsidR="00FE461F" w:rsidRPr="005E4BEA" w:rsidRDefault="00FE461F" w:rsidP="00FE461F">
      <w:pPr>
        <w:spacing w:line="240" w:lineRule="auto"/>
        <w:jc w:val="both"/>
        <w:rPr>
          <w:rFonts w:eastAsiaTheme="minorHAnsi" w:cs="Arial"/>
          <w:b/>
          <w:bCs/>
          <w:color w:val="808080" w:themeColor="background1" w:themeShade="80"/>
          <w:szCs w:val="20"/>
          <w:u w:val="single"/>
          <w:lang w:eastAsia="sl-SI"/>
        </w:rPr>
      </w:pPr>
      <w:r w:rsidRPr="005E4BEA">
        <w:rPr>
          <w:rFonts w:eastAsiaTheme="minorHAnsi" w:cs="Arial"/>
          <w:b/>
          <w:bCs/>
          <w:color w:val="808080" w:themeColor="background1" w:themeShade="80"/>
          <w:szCs w:val="20"/>
          <w:u w:val="single"/>
          <w:lang w:eastAsia="sl-SI"/>
        </w:rPr>
        <w:t xml:space="preserve">Obrazložitev:  </w:t>
      </w:r>
    </w:p>
    <w:p w14:paraId="472C9294"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lastRenderedPageBreak/>
        <w:t>Sodobni in kakovostni materiali so nujni za kvalitetno in svetovnim merilom primerljivo zdravljenje s fiksnimi ortodontskimi aparati. Razvoj materialov gre nezadržno naprej in materiali, ki so se uporabljali  ob uvedbi tehnike zdravljenja s fiksnimi aparati ne ustrezajo  sedanjim  standardom.</w:t>
      </w:r>
    </w:p>
    <w:p w14:paraId="14000612" w14:textId="77777777" w:rsidR="00FE461F" w:rsidRPr="005E4BEA" w:rsidRDefault="00FE461F" w:rsidP="00FE461F">
      <w:pPr>
        <w:spacing w:line="240" w:lineRule="auto"/>
        <w:jc w:val="both"/>
        <w:rPr>
          <w:rFonts w:eastAsiaTheme="minorHAnsi" w:cs="Arial"/>
          <w:color w:val="808080" w:themeColor="background1" w:themeShade="80"/>
          <w:szCs w:val="20"/>
        </w:rPr>
      </w:pPr>
      <w:r w:rsidRPr="005E4BEA">
        <w:rPr>
          <w:rFonts w:eastAsiaTheme="minorHAnsi" w:cs="Arial"/>
          <w:i/>
          <w:iCs/>
          <w:color w:val="808080" w:themeColor="background1" w:themeShade="80"/>
          <w:szCs w:val="20"/>
        </w:rPr>
        <w:t>Cenovni standardi so bili leta 2018 administrativno  dodatno znižani brez upoštevanja cen na tržišču. To še posebej velja za materiale, ki so v pretežni uporabi danes. Materiali, ki so v uporabi danes, so za mladega pacienta, njegove razvijajoče čeljustnice in zobe bolj biološki, omogočajo krajše zdravljenje in manjšo verjetnost za poškodbe zobnih korenin in okolnih tkiv</w:t>
      </w:r>
      <w:r w:rsidRPr="005E4BEA">
        <w:rPr>
          <w:rFonts w:eastAsiaTheme="minorHAnsi" w:cs="Arial"/>
          <w:color w:val="808080" w:themeColor="background1" w:themeShade="80"/>
          <w:szCs w:val="20"/>
        </w:rPr>
        <w:t>.</w:t>
      </w:r>
    </w:p>
    <w:p w14:paraId="5FF58CE5" w14:textId="77777777" w:rsidR="00FE461F" w:rsidRPr="005E4BEA" w:rsidRDefault="00FE461F" w:rsidP="00FE461F">
      <w:pPr>
        <w:spacing w:line="240" w:lineRule="auto"/>
        <w:jc w:val="both"/>
        <w:rPr>
          <w:rFonts w:eastAsiaTheme="minorHAnsi" w:cs="Arial"/>
          <w:color w:val="808080" w:themeColor="background1" w:themeShade="80"/>
          <w:szCs w:val="20"/>
        </w:rPr>
      </w:pPr>
    </w:p>
    <w:p w14:paraId="6A2B1B69" w14:textId="4CEDC09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w:t>
      </w:r>
    </w:p>
    <w:p w14:paraId="58024269" w14:textId="69BAA303" w:rsidR="00A87435" w:rsidRPr="005E4BEA" w:rsidRDefault="00A87435" w:rsidP="00FE461F">
      <w:pPr>
        <w:spacing w:line="240" w:lineRule="auto"/>
        <w:jc w:val="both"/>
        <w:rPr>
          <w:rFonts w:eastAsiaTheme="minorHAnsi" w:cs="Arial"/>
          <w:i/>
          <w:iCs/>
          <w:color w:val="808080" w:themeColor="background1" w:themeShade="80"/>
          <w:szCs w:val="20"/>
        </w:rPr>
      </w:pPr>
    </w:p>
    <w:p w14:paraId="32A7EF29" w14:textId="77777777" w:rsidR="00A87435" w:rsidRPr="005E4BEA" w:rsidRDefault="00A87435" w:rsidP="00A8743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6F8EB389" w14:textId="77777777" w:rsidR="00A87435" w:rsidRPr="005E4BEA" w:rsidRDefault="00A87435" w:rsidP="00A87435">
      <w:pPr>
        <w:spacing w:line="0" w:lineRule="atLeast"/>
        <w:jc w:val="both"/>
        <w:rPr>
          <w:rFonts w:eastAsia="Arial Narrow" w:cs="Arial"/>
          <w:szCs w:val="20"/>
          <w:lang w:eastAsia="sl-SI"/>
        </w:rPr>
      </w:pPr>
    </w:p>
    <w:p w14:paraId="508A7F16" w14:textId="71FB526C" w:rsidR="00A87435" w:rsidRPr="005E4BEA" w:rsidRDefault="00A87435" w:rsidP="00A87435">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I/d </w:t>
      </w:r>
      <w:r w:rsidRPr="005E4BEA">
        <w:rPr>
          <w:rFonts w:eastAsiaTheme="minorHAnsi" w:cs="Arial"/>
          <w:bCs/>
          <w:szCs w:val="20"/>
        </w:rPr>
        <w:t>Splošnega dogovora ne spremeni.</w:t>
      </w:r>
    </w:p>
    <w:p w14:paraId="6C3A539E" w14:textId="77777777" w:rsidR="00A87435" w:rsidRPr="005E4BEA" w:rsidRDefault="00A87435" w:rsidP="00A87435">
      <w:pPr>
        <w:spacing w:line="0" w:lineRule="atLeast"/>
        <w:contextualSpacing/>
        <w:jc w:val="both"/>
        <w:rPr>
          <w:rFonts w:eastAsiaTheme="minorHAnsi" w:cs="Arial"/>
          <w:bCs/>
          <w:szCs w:val="20"/>
        </w:rPr>
      </w:pPr>
    </w:p>
    <w:p w14:paraId="14A6D26E" w14:textId="77777777" w:rsidR="00A87435" w:rsidRPr="005E4BEA" w:rsidRDefault="00A87435" w:rsidP="00A87435">
      <w:pPr>
        <w:spacing w:line="240" w:lineRule="auto"/>
        <w:jc w:val="both"/>
        <w:rPr>
          <w:rFonts w:eastAsia="Calibri" w:cs="Arial"/>
          <w:i/>
          <w:iCs/>
          <w:color w:val="7F7F7F"/>
          <w:szCs w:val="20"/>
        </w:rPr>
      </w:pPr>
    </w:p>
    <w:p w14:paraId="4000F7C9" w14:textId="18E2702F" w:rsidR="00A87435" w:rsidRPr="005E4BEA" w:rsidRDefault="00A8743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(104)</w:t>
      </w:r>
    </w:p>
    <w:p w14:paraId="5AB8ECB3" w14:textId="77777777" w:rsidR="00A87435" w:rsidRPr="005E4BEA" w:rsidRDefault="00A87435" w:rsidP="00A87435">
      <w:pPr>
        <w:spacing w:line="240" w:lineRule="auto"/>
        <w:jc w:val="both"/>
        <w:rPr>
          <w:rFonts w:eastAsia="Arial Narrow" w:cs="Arial"/>
          <w:b/>
          <w:szCs w:val="20"/>
        </w:rPr>
      </w:pPr>
    </w:p>
    <w:p w14:paraId="7C726DF6" w14:textId="472D6470" w:rsidR="00FE461F" w:rsidRPr="005E4BEA" w:rsidRDefault="00A87435" w:rsidP="00A87435">
      <w:pPr>
        <w:spacing w:line="240" w:lineRule="auto"/>
        <w:jc w:val="both"/>
        <w:rPr>
          <w:rFonts w:eastAsiaTheme="minorHAnsi" w:cs="Arial"/>
          <w:bCs/>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v</w:t>
      </w:r>
      <w:r w:rsidRPr="005E4BEA">
        <w:rPr>
          <w:rFonts w:eastAsiaTheme="minorHAnsi" w:cs="Arial"/>
          <w:bCs/>
          <w:szCs w:val="20"/>
          <w:lang w:eastAsia="sl-SI"/>
        </w:rPr>
        <w:t xml:space="preserve"> </w:t>
      </w:r>
      <w:r w:rsidR="00FE461F" w:rsidRPr="005E4BEA">
        <w:rPr>
          <w:rFonts w:eastAsiaTheme="minorHAnsi" w:cs="Arial"/>
          <w:bCs/>
          <w:szCs w:val="20"/>
        </w:rPr>
        <w:t>Prilogi I dosedanji skupni program »</w:t>
      </w:r>
      <w:proofErr w:type="spellStart"/>
      <w:r w:rsidR="00FE461F" w:rsidRPr="005E4BEA">
        <w:rPr>
          <w:rFonts w:eastAsiaTheme="minorHAnsi" w:cs="Arial"/>
          <w:bCs/>
          <w:szCs w:val="20"/>
        </w:rPr>
        <w:t>Parodontologija</w:t>
      </w:r>
      <w:proofErr w:type="spellEnd"/>
      <w:r w:rsidR="00FE461F" w:rsidRPr="005E4BEA">
        <w:rPr>
          <w:rFonts w:eastAsiaTheme="minorHAnsi" w:cs="Arial"/>
          <w:bCs/>
          <w:szCs w:val="20"/>
        </w:rPr>
        <w:t xml:space="preserve"> / Zobne bolezni in </w:t>
      </w:r>
      <w:proofErr w:type="spellStart"/>
      <w:r w:rsidR="00FE461F" w:rsidRPr="005E4BEA">
        <w:rPr>
          <w:rFonts w:eastAsiaTheme="minorHAnsi" w:cs="Arial"/>
          <w:bCs/>
          <w:szCs w:val="20"/>
        </w:rPr>
        <w:t>endodontija</w:t>
      </w:r>
      <w:proofErr w:type="spellEnd"/>
      <w:r w:rsidR="00FE461F" w:rsidRPr="005E4BEA">
        <w:rPr>
          <w:rFonts w:eastAsiaTheme="minorHAnsi" w:cs="Arial"/>
          <w:bCs/>
          <w:szCs w:val="20"/>
        </w:rPr>
        <w:t xml:space="preserve">« se preoblikuje v tri nove programe, in sicer v program »Zobne bolezni in </w:t>
      </w:r>
      <w:proofErr w:type="spellStart"/>
      <w:r w:rsidR="00FE461F" w:rsidRPr="005E4BEA">
        <w:rPr>
          <w:rFonts w:eastAsiaTheme="minorHAnsi" w:cs="Arial"/>
          <w:bCs/>
          <w:szCs w:val="20"/>
        </w:rPr>
        <w:t>endodontija</w:t>
      </w:r>
      <w:proofErr w:type="spellEnd"/>
      <w:r w:rsidR="00FE461F" w:rsidRPr="005E4BEA">
        <w:rPr>
          <w:rFonts w:eastAsiaTheme="minorHAnsi" w:cs="Arial"/>
          <w:bCs/>
          <w:szCs w:val="20"/>
        </w:rPr>
        <w:t xml:space="preserve">«, program » </w:t>
      </w:r>
      <w:proofErr w:type="spellStart"/>
      <w:r w:rsidR="00FE461F" w:rsidRPr="005E4BEA">
        <w:rPr>
          <w:rFonts w:eastAsiaTheme="minorHAnsi" w:cs="Arial"/>
          <w:bCs/>
          <w:szCs w:val="20"/>
        </w:rPr>
        <w:t>Parodotnologija</w:t>
      </w:r>
      <w:proofErr w:type="spellEnd"/>
      <w:r w:rsidR="00FE461F" w:rsidRPr="005E4BEA">
        <w:rPr>
          <w:rFonts w:eastAsiaTheme="minorHAnsi" w:cs="Arial"/>
          <w:bCs/>
          <w:szCs w:val="20"/>
        </w:rPr>
        <w:t xml:space="preserve"> s stomatološko </w:t>
      </w:r>
      <w:proofErr w:type="spellStart"/>
      <w:r w:rsidR="00FE461F" w:rsidRPr="005E4BEA">
        <w:rPr>
          <w:rFonts w:eastAsiaTheme="minorHAnsi" w:cs="Arial"/>
          <w:bCs/>
          <w:szCs w:val="20"/>
        </w:rPr>
        <w:t>implantologijo</w:t>
      </w:r>
      <w:proofErr w:type="spellEnd"/>
      <w:r w:rsidR="00FE461F" w:rsidRPr="005E4BEA">
        <w:rPr>
          <w:rFonts w:eastAsiaTheme="minorHAnsi" w:cs="Arial"/>
          <w:bCs/>
          <w:szCs w:val="20"/>
        </w:rPr>
        <w:t xml:space="preserve">« in program »Zobne bolezni in </w:t>
      </w:r>
      <w:proofErr w:type="spellStart"/>
      <w:r w:rsidR="00FE461F" w:rsidRPr="005E4BEA">
        <w:rPr>
          <w:rFonts w:eastAsiaTheme="minorHAnsi" w:cs="Arial"/>
          <w:bCs/>
          <w:szCs w:val="20"/>
        </w:rPr>
        <w:t>endodontija</w:t>
      </w:r>
      <w:proofErr w:type="spellEnd"/>
      <w:r w:rsidR="00FE461F" w:rsidRPr="005E4BEA">
        <w:rPr>
          <w:rFonts w:eastAsiaTheme="minorHAnsi" w:cs="Arial"/>
          <w:bCs/>
          <w:szCs w:val="20"/>
        </w:rPr>
        <w:t xml:space="preserve"> / Ustne bolezni / </w:t>
      </w:r>
      <w:proofErr w:type="spellStart"/>
      <w:r w:rsidR="00FE461F" w:rsidRPr="005E4BEA">
        <w:rPr>
          <w:rFonts w:eastAsiaTheme="minorHAnsi" w:cs="Arial"/>
          <w:bCs/>
          <w:szCs w:val="20"/>
        </w:rPr>
        <w:t>Parodontologija</w:t>
      </w:r>
      <w:proofErr w:type="spellEnd"/>
      <w:r w:rsidR="00FE461F" w:rsidRPr="005E4BEA">
        <w:rPr>
          <w:rFonts w:eastAsiaTheme="minorHAnsi" w:cs="Arial"/>
          <w:bCs/>
          <w:szCs w:val="20"/>
        </w:rPr>
        <w:t xml:space="preserve">«. </w:t>
      </w:r>
    </w:p>
    <w:p w14:paraId="4CF1620A" w14:textId="77777777" w:rsidR="00FE461F" w:rsidRPr="005E4BEA" w:rsidRDefault="00FE461F" w:rsidP="00FE461F">
      <w:pPr>
        <w:spacing w:before="120" w:after="60" w:line="240" w:lineRule="auto"/>
        <w:jc w:val="both"/>
        <w:rPr>
          <w:rFonts w:eastAsiaTheme="minorHAnsi" w:cs="Arial"/>
          <w:bCs/>
          <w:szCs w:val="20"/>
        </w:rPr>
      </w:pPr>
      <w:r w:rsidRPr="005E4BEA">
        <w:rPr>
          <w:rFonts w:eastAsiaTheme="minorHAnsi" w:cs="Arial"/>
          <w:bCs/>
          <w:szCs w:val="20"/>
        </w:rPr>
        <w:t xml:space="preserve">Zaradi kirurške narave dela in specifične zahtevnosti oskrbe pacientov s pridruženimi sistemskimi boleznimi, na zahtevnost zdravljenja in zaplete katerih vpliva </w:t>
      </w:r>
      <w:proofErr w:type="spellStart"/>
      <w:r w:rsidRPr="005E4BEA">
        <w:rPr>
          <w:rFonts w:eastAsiaTheme="minorHAnsi" w:cs="Arial"/>
          <w:bCs/>
          <w:szCs w:val="20"/>
        </w:rPr>
        <w:t>parodontalna</w:t>
      </w:r>
      <w:proofErr w:type="spellEnd"/>
      <w:r w:rsidRPr="005E4BEA">
        <w:rPr>
          <w:rFonts w:eastAsiaTheme="minorHAnsi" w:cs="Arial"/>
          <w:bCs/>
          <w:szCs w:val="20"/>
        </w:rPr>
        <w:t xml:space="preserve"> bolezen se </w:t>
      </w:r>
      <w:proofErr w:type="spellStart"/>
      <w:r w:rsidRPr="005E4BEA">
        <w:rPr>
          <w:rFonts w:eastAsiaTheme="minorHAnsi" w:cs="Arial"/>
          <w:bCs/>
          <w:szCs w:val="20"/>
        </w:rPr>
        <w:t>parodontološki</w:t>
      </w:r>
      <w:proofErr w:type="spellEnd"/>
      <w:r w:rsidRPr="005E4BEA">
        <w:rPr>
          <w:rFonts w:eastAsiaTheme="minorHAnsi" w:cs="Arial"/>
          <w:bCs/>
          <w:szCs w:val="20"/>
        </w:rPr>
        <w:t xml:space="preserve"> tim razširi za 0,50 tehnika zdravstvene nege in 0,50 ustnega higienika.</w:t>
      </w:r>
    </w:p>
    <w:p w14:paraId="634AF438" w14:textId="77777777" w:rsidR="00FE461F" w:rsidRPr="005E4BEA" w:rsidRDefault="00FE461F" w:rsidP="00FE461F">
      <w:pPr>
        <w:spacing w:line="240" w:lineRule="auto"/>
        <w:jc w:val="both"/>
        <w:rPr>
          <w:rFonts w:eastAsiaTheme="minorHAnsi" w:cs="Arial"/>
          <w:bCs/>
          <w:szCs w:val="20"/>
        </w:rPr>
      </w:pPr>
      <w:r w:rsidRPr="005E4BEA">
        <w:rPr>
          <w:rFonts w:eastAsiaTheme="minorHAnsi" w:cs="Arial"/>
          <w:bCs/>
          <w:szCs w:val="20"/>
        </w:rPr>
        <w:t xml:space="preserve">Program »Zobne bolezni in </w:t>
      </w:r>
      <w:proofErr w:type="spellStart"/>
      <w:r w:rsidRPr="005E4BEA">
        <w:rPr>
          <w:rFonts w:eastAsiaTheme="minorHAnsi" w:cs="Arial"/>
          <w:bCs/>
          <w:szCs w:val="20"/>
        </w:rPr>
        <w:t>endodontija</w:t>
      </w:r>
      <w:proofErr w:type="spellEnd"/>
      <w:r w:rsidRPr="005E4BEA">
        <w:rPr>
          <w:rFonts w:eastAsiaTheme="minorHAnsi" w:cs="Arial"/>
          <w:bCs/>
          <w:szCs w:val="20"/>
        </w:rPr>
        <w:t>« bi lahko izvajali izvajalci z zaposlenim nosilcem dejavnosti, ki ima specializacijo iz »</w:t>
      </w:r>
      <w:proofErr w:type="spellStart"/>
      <w:r w:rsidRPr="005E4BEA">
        <w:rPr>
          <w:rFonts w:eastAsiaTheme="minorHAnsi" w:cs="Arial"/>
          <w:bCs/>
          <w:szCs w:val="20"/>
        </w:rPr>
        <w:t>endodontije</w:t>
      </w:r>
      <w:proofErr w:type="spellEnd"/>
      <w:r w:rsidRPr="005E4BEA">
        <w:rPr>
          <w:rFonts w:eastAsiaTheme="minorHAnsi" w:cs="Arial"/>
          <w:bCs/>
          <w:szCs w:val="20"/>
        </w:rPr>
        <w:t>«.</w:t>
      </w:r>
    </w:p>
    <w:p w14:paraId="4D87F956" w14:textId="77777777" w:rsidR="00FE461F" w:rsidRPr="005E4BEA" w:rsidRDefault="00FE461F" w:rsidP="00FE461F">
      <w:pPr>
        <w:spacing w:line="240" w:lineRule="auto"/>
        <w:jc w:val="both"/>
        <w:rPr>
          <w:rFonts w:eastAsiaTheme="minorHAnsi" w:cs="Arial"/>
          <w:bCs/>
          <w:szCs w:val="20"/>
        </w:rPr>
      </w:pPr>
      <w:r w:rsidRPr="005E4BEA">
        <w:rPr>
          <w:rFonts w:eastAsiaTheme="minorHAnsi" w:cs="Arial"/>
          <w:bCs/>
          <w:szCs w:val="20"/>
        </w:rPr>
        <w:t>Program »</w:t>
      </w:r>
      <w:proofErr w:type="spellStart"/>
      <w:r w:rsidRPr="005E4BEA">
        <w:rPr>
          <w:rFonts w:eastAsiaTheme="minorHAnsi" w:cs="Arial"/>
          <w:bCs/>
          <w:szCs w:val="20"/>
        </w:rPr>
        <w:t>Parodontologija</w:t>
      </w:r>
      <w:proofErr w:type="spellEnd"/>
      <w:r w:rsidRPr="005E4BEA">
        <w:rPr>
          <w:rFonts w:eastAsiaTheme="minorHAnsi" w:cs="Arial"/>
          <w:bCs/>
          <w:szCs w:val="20"/>
        </w:rPr>
        <w:t xml:space="preserve"> s stomatološko </w:t>
      </w:r>
      <w:proofErr w:type="spellStart"/>
      <w:r w:rsidRPr="005E4BEA">
        <w:rPr>
          <w:rFonts w:eastAsiaTheme="minorHAnsi" w:cs="Arial"/>
          <w:bCs/>
          <w:szCs w:val="20"/>
        </w:rPr>
        <w:t>implantologijo</w:t>
      </w:r>
      <w:proofErr w:type="spellEnd"/>
      <w:r w:rsidRPr="005E4BEA">
        <w:rPr>
          <w:rFonts w:eastAsiaTheme="minorHAnsi" w:cs="Arial"/>
          <w:bCs/>
          <w:szCs w:val="20"/>
        </w:rPr>
        <w:t>« bi lahko izvajali izvajalci z zaposlenim nosilcem dejavnosti, ki ima specializacijo iz »</w:t>
      </w:r>
      <w:proofErr w:type="spellStart"/>
      <w:r w:rsidRPr="005E4BEA">
        <w:rPr>
          <w:rFonts w:eastAsiaTheme="minorHAnsi" w:cs="Arial"/>
          <w:bCs/>
          <w:szCs w:val="20"/>
        </w:rPr>
        <w:t>parodontologije</w:t>
      </w:r>
      <w:proofErr w:type="spellEnd"/>
      <w:r w:rsidRPr="005E4BEA">
        <w:rPr>
          <w:rFonts w:eastAsiaTheme="minorHAnsi" w:cs="Arial"/>
          <w:bCs/>
          <w:szCs w:val="20"/>
        </w:rPr>
        <w:t>«.</w:t>
      </w:r>
    </w:p>
    <w:p w14:paraId="74752EC8" w14:textId="77777777" w:rsidR="00FE461F" w:rsidRPr="005E4BEA" w:rsidRDefault="00FE461F" w:rsidP="00FE461F">
      <w:pPr>
        <w:spacing w:line="240" w:lineRule="auto"/>
        <w:jc w:val="both"/>
        <w:rPr>
          <w:rFonts w:eastAsiaTheme="minorHAnsi" w:cs="Arial"/>
          <w:bCs/>
          <w:szCs w:val="20"/>
        </w:rPr>
      </w:pPr>
      <w:r w:rsidRPr="005E4BEA">
        <w:rPr>
          <w:rFonts w:eastAsiaTheme="minorHAnsi" w:cs="Arial"/>
          <w:bCs/>
          <w:szCs w:val="20"/>
        </w:rPr>
        <w:t xml:space="preserve">Program »Zobne bolezni in </w:t>
      </w:r>
      <w:proofErr w:type="spellStart"/>
      <w:r w:rsidRPr="005E4BEA">
        <w:rPr>
          <w:rFonts w:eastAsiaTheme="minorHAnsi" w:cs="Arial"/>
          <w:bCs/>
          <w:szCs w:val="20"/>
        </w:rPr>
        <w:t>endodontija</w:t>
      </w:r>
      <w:proofErr w:type="spellEnd"/>
      <w:r w:rsidRPr="005E4BEA">
        <w:rPr>
          <w:rFonts w:eastAsiaTheme="minorHAnsi" w:cs="Arial"/>
          <w:bCs/>
          <w:szCs w:val="20"/>
        </w:rPr>
        <w:t xml:space="preserve"> / Ustne bolezni / </w:t>
      </w:r>
      <w:proofErr w:type="spellStart"/>
      <w:r w:rsidRPr="005E4BEA">
        <w:rPr>
          <w:rFonts w:eastAsiaTheme="minorHAnsi" w:cs="Arial"/>
          <w:bCs/>
          <w:szCs w:val="20"/>
        </w:rPr>
        <w:t>Parodontologija</w:t>
      </w:r>
      <w:proofErr w:type="spellEnd"/>
      <w:r w:rsidRPr="005E4BEA">
        <w:rPr>
          <w:rFonts w:eastAsiaTheme="minorHAnsi" w:cs="Arial"/>
          <w:bCs/>
          <w:szCs w:val="20"/>
        </w:rPr>
        <w:t xml:space="preserve">« bi lahko izvajali izvajalci z zaposlenim nosilcem dejavnosti, ki ima specializacijo iz »zobnih, ustnih bolezni, </w:t>
      </w:r>
      <w:proofErr w:type="spellStart"/>
      <w:r w:rsidRPr="005E4BEA">
        <w:rPr>
          <w:rFonts w:eastAsiaTheme="minorHAnsi" w:cs="Arial"/>
          <w:bCs/>
          <w:szCs w:val="20"/>
        </w:rPr>
        <w:t>endodontije</w:t>
      </w:r>
      <w:proofErr w:type="spellEnd"/>
      <w:r w:rsidRPr="005E4BEA">
        <w:rPr>
          <w:rFonts w:eastAsiaTheme="minorHAnsi" w:cs="Arial"/>
          <w:bCs/>
          <w:szCs w:val="20"/>
        </w:rPr>
        <w:t xml:space="preserve"> in </w:t>
      </w:r>
      <w:proofErr w:type="spellStart"/>
      <w:r w:rsidRPr="005E4BEA">
        <w:rPr>
          <w:rFonts w:eastAsiaTheme="minorHAnsi" w:cs="Arial"/>
          <w:bCs/>
          <w:szCs w:val="20"/>
        </w:rPr>
        <w:t>parodontologije</w:t>
      </w:r>
      <w:proofErr w:type="spellEnd"/>
      <w:r w:rsidRPr="005E4BEA">
        <w:rPr>
          <w:rFonts w:eastAsiaTheme="minorHAnsi" w:cs="Arial"/>
          <w:bCs/>
          <w:szCs w:val="20"/>
        </w:rPr>
        <w:t>«.</w:t>
      </w:r>
    </w:p>
    <w:p w14:paraId="4E90A6FE" w14:textId="77777777" w:rsidR="00FE461F" w:rsidRPr="005E4BEA" w:rsidRDefault="00FE461F" w:rsidP="00FE461F">
      <w:pPr>
        <w:spacing w:before="120" w:after="60" w:line="240" w:lineRule="auto"/>
        <w:jc w:val="both"/>
        <w:rPr>
          <w:rFonts w:eastAsiaTheme="minorHAnsi" w:cs="Arial"/>
          <w:bCs/>
          <w:i/>
          <w:iCs/>
          <w:color w:val="808080" w:themeColor="background1" w:themeShade="80"/>
          <w:szCs w:val="20"/>
        </w:rPr>
      </w:pPr>
    </w:p>
    <w:p w14:paraId="1E632D53" w14:textId="77777777" w:rsidR="00FE461F" w:rsidRPr="005E4BEA" w:rsidRDefault="00FE461F" w:rsidP="00FE461F">
      <w:pPr>
        <w:spacing w:line="240" w:lineRule="auto"/>
        <w:jc w:val="both"/>
        <w:rPr>
          <w:rFonts w:cs="Arial"/>
          <w:b/>
          <w:bCs/>
          <w:color w:val="808080" w:themeColor="background1" w:themeShade="80"/>
          <w:szCs w:val="20"/>
          <w:u w:val="single"/>
          <w:lang w:eastAsia="sl-SI"/>
        </w:rPr>
      </w:pPr>
      <w:bookmarkStart w:id="130" w:name="_Hlk99432682"/>
      <w:r w:rsidRPr="005E4BEA">
        <w:rPr>
          <w:rFonts w:cs="Arial"/>
          <w:b/>
          <w:bCs/>
          <w:color w:val="808080" w:themeColor="background1" w:themeShade="80"/>
          <w:szCs w:val="20"/>
          <w:u w:val="single"/>
          <w:lang w:eastAsia="sl-SI"/>
        </w:rPr>
        <w:t>Obrazložitev:</w:t>
      </w:r>
    </w:p>
    <w:p w14:paraId="5DCE94D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Leta 1995 sta z ločitvijo specialistične dejavnosti "Zobne bolezni, ustne bolezni in </w:t>
      </w:r>
      <w:proofErr w:type="spellStart"/>
      <w:r w:rsidRPr="005E4BEA">
        <w:rPr>
          <w:rFonts w:cs="Arial"/>
          <w:i/>
          <w:iCs/>
          <w:color w:val="808080" w:themeColor="background1" w:themeShade="80"/>
          <w:szCs w:val="20"/>
        </w:rPr>
        <w:t>parodontologija</w:t>
      </w:r>
      <w:proofErr w:type="spellEnd"/>
      <w:r w:rsidRPr="005E4BEA">
        <w:rPr>
          <w:rFonts w:cs="Arial"/>
          <w:i/>
          <w:iCs/>
          <w:color w:val="808080" w:themeColor="background1" w:themeShade="80"/>
          <w:szCs w:val="20"/>
        </w:rPr>
        <w:t xml:space="preserve">" nastali specialistični dejavnosti </w:t>
      </w:r>
      <w:bookmarkEnd w:id="130"/>
      <w:r w:rsidRPr="005E4BEA">
        <w:rPr>
          <w:rFonts w:cs="Arial"/>
          <w:i/>
          <w:iCs/>
          <w:color w:val="808080" w:themeColor="background1" w:themeShade="80"/>
          <w:szCs w:val="20"/>
        </w:rPr>
        <w:t xml:space="preserve">"Zobne bolezni in </w:t>
      </w:r>
      <w:proofErr w:type="spellStart"/>
      <w:r w:rsidRPr="005E4BEA">
        <w:rPr>
          <w:rFonts w:cs="Arial"/>
          <w:i/>
          <w:iCs/>
          <w:color w:val="808080" w:themeColor="background1" w:themeShade="80"/>
          <w:szCs w:val="20"/>
        </w:rPr>
        <w:t>endodontija</w:t>
      </w:r>
      <w:proofErr w:type="spellEnd"/>
      <w:r w:rsidRPr="005E4BEA">
        <w:rPr>
          <w:rFonts w:cs="Arial"/>
          <w:i/>
          <w:iCs/>
          <w:color w:val="808080" w:themeColor="background1" w:themeShade="80"/>
          <w:szCs w:val="20"/>
        </w:rPr>
        <w:t xml:space="preserve">" ter "Ustne bolezni, </w:t>
      </w:r>
      <w:proofErr w:type="spellStart"/>
      <w:r w:rsidRPr="005E4BEA">
        <w:rPr>
          <w:rFonts w:cs="Arial"/>
          <w:i/>
          <w:iCs/>
          <w:color w:val="808080" w:themeColor="background1" w:themeShade="80"/>
          <w:szCs w:val="20"/>
        </w:rPr>
        <w:t>parodontologija</w:t>
      </w:r>
      <w:proofErr w:type="spellEnd"/>
      <w:r w:rsidRPr="005E4BEA">
        <w:rPr>
          <w:rFonts w:cs="Arial"/>
          <w:i/>
          <w:iCs/>
          <w:color w:val="808080" w:themeColor="background1" w:themeShade="80"/>
          <w:szCs w:val="20"/>
        </w:rPr>
        <w:t xml:space="preserve"> in stomatološka </w:t>
      </w:r>
      <w:proofErr w:type="spellStart"/>
      <w:r w:rsidRPr="005E4BEA">
        <w:rPr>
          <w:rFonts w:cs="Arial"/>
          <w:i/>
          <w:iCs/>
          <w:color w:val="808080" w:themeColor="background1" w:themeShade="80"/>
          <w:szCs w:val="20"/>
        </w:rPr>
        <w:t>implantologija</w:t>
      </w:r>
      <w:proofErr w:type="spellEnd"/>
      <w:r w:rsidRPr="005E4BEA">
        <w:rPr>
          <w:rFonts w:cs="Arial"/>
          <w:i/>
          <w:iCs/>
          <w:color w:val="808080" w:themeColor="background1" w:themeShade="80"/>
          <w:szCs w:val="20"/>
        </w:rPr>
        <w:t>" s svojima pripadajočima sekcijama v SZD. Od leta 2000 obe specialistični dejavnosti izvajata tudi ločena triletna programa specializacij.</w:t>
      </w:r>
    </w:p>
    <w:p w14:paraId="5930746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Do leta 2015 sta se programa na ZZZS vodila kot skupna specialnost. V letu 2015 je bila za kratko obdobje (1.10. – 31.12.2015) že izvedena delitev na tri različne programe ("Zdravljenje zob in ustne votline", "Ustne bolezni s </w:t>
      </w:r>
      <w:proofErr w:type="spellStart"/>
      <w:r w:rsidRPr="005E4BEA">
        <w:rPr>
          <w:rFonts w:cs="Arial"/>
          <w:i/>
          <w:iCs/>
          <w:color w:val="808080" w:themeColor="background1" w:themeShade="80"/>
          <w:szCs w:val="20"/>
        </w:rPr>
        <w:t>paradontologijo</w:t>
      </w:r>
      <w:proofErr w:type="spellEnd"/>
      <w:r w:rsidRPr="005E4BEA">
        <w:rPr>
          <w:rFonts w:cs="Arial"/>
          <w:i/>
          <w:iCs/>
          <w:color w:val="808080" w:themeColor="background1" w:themeShade="80"/>
          <w:szCs w:val="20"/>
        </w:rPr>
        <w:t xml:space="preserve"> in </w:t>
      </w:r>
      <w:proofErr w:type="spellStart"/>
      <w:r w:rsidRPr="005E4BEA">
        <w:rPr>
          <w:rFonts w:cs="Arial"/>
          <w:i/>
          <w:iCs/>
          <w:color w:val="808080" w:themeColor="background1" w:themeShade="80"/>
          <w:szCs w:val="20"/>
        </w:rPr>
        <w:t>implantologijo</w:t>
      </w:r>
      <w:proofErr w:type="spellEnd"/>
      <w:r w:rsidRPr="005E4BEA">
        <w:rPr>
          <w:rFonts w:cs="Arial"/>
          <w:i/>
          <w:iCs/>
          <w:color w:val="808080" w:themeColor="background1" w:themeShade="80"/>
          <w:szCs w:val="20"/>
        </w:rPr>
        <w:t xml:space="preserve">" ter "Zobne bolezni z </w:t>
      </w:r>
      <w:proofErr w:type="spellStart"/>
      <w:r w:rsidRPr="005E4BEA">
        <w:rPr>
          <w:rFonts w:cs="Arial"/>
          <w:i/>
          <w:iCs/>
          <w:color w:val="808080" w:themeColor="background1" w:themeShade="80"/>
          <w:szCs w:val="20"/>
        </w:rPr>
        <w:t>endodontijo</w:t>
      </w:r>
      <w:proofErr w:type="spellEnd"/>
      <w:r w:rsidRPr="005E4BEA">
        <w:rPr>
          <w:rFonts w:cs="Arial"/>
          <w:i/>
          <w:iCs/>
          <w:color w:val="808080" w:themeColor="background1" w:themeShade="80"/>
          <w:szCs w:val="20"/>
        </w:rPr>
        <w:t>"), a se je z letom 2016 vse tri programe zopet združilo v en program z dvema imenoma "</w:t>
      </w:r>
      <w:proofErr w:type="spellStart"/>
      <w:r w:rsidRPr="005E4BEA">
        <w:rPr>
          <w:rFonts w:cs="Arial"/>
          <w:i/>
          <w:iCs/>
          <w:color w:val="808080" w:themeColor="background1" w:themeShade="80"/>
          <w:szCs w:val="20"/>
        </w:rPr>
        <w:t>Parodontologija</w:t>
      </w:r>
      <w:proofErr w:type="spellEnd"/>
      <w:r w:rsidRPr="005E4BEA">
        <w:rPr>
          <w:rFonts w:cs="Arial"/>
          <w:i/>
          <w:iCs/>
          <w:color w:val="808080" w:themeColor="background1" w:themeShade="80"/>
          <w:szCs w:val="20"/>
        </w:rPr>
        <w:t xml:space="preserve"> / Zobne bolezni in </w:t>
      </w:r>
      <w:proofErr w:type="spellStart"/>
      <w:r w:rsidRPr="005E4BEA">
        <w:rPr>
          <w:rFonts w:cs="Arial"/>
          <w:i/>
          <w:iCs/>
          <w:color w:val="808080" w:themeColor="background1" w:themeShade="80"/>
          <w:szCs w:val="20"/>
        </w:rPr>
        <w:t>endodontija</w:t>
      </w:r>
      <w:proofErr w:type="spellEnd"/>
      <w:r w:rsidRPr="005E4BEA">
        <w:rPr>
          <w:rFonts w:cs="Arial"/>
          <w:i/>
          <w:iCs/>
          <w:color w:val="808080" w:themeColor="background1" w:themeShade="80"/>
          <w:szCs w:val="20"/>
        </w:rPr>
        <w:t xml:space="preserve">", pri čemer se pod istim programom obračunavajo povsem različne storitve (pokrivanje je mogoče le izjemoma pri storitvi kirurško podaljšanje klinične krone oz. </w:t>
      </w:r>
      <w:proofErr w:type="spellStart"/>
      <w:r w:rsidRPr="005E4BEA">
        <w:rPr>
          <w:rFonts w:cs="Arial"/>
          <w:i/>
          <w:iCs/>
          <w:color w:val="808080" w:themeColor="background1" w:themeShade="80"/>
          <w:szCs w:val="20"/>
        </w:rPr>
        <w:t>apikotomiji</w:t>
      </w:r>
      <w:proofErr w:type="spellEnd"/>
      <w:r w:rsidRPr="005E4BEA">
        <w:rPr>
          <w:rFonts w:cs="Arial"/>
          <w:i/>
          <w:iCs/>
          <w:color w:val="808080" w:themeColor="background1" w:themeShade="80"/>
          <w:szCs w:val="20"/>
        </w:rPr>
        <w:t>, a omenjeni storitvi lahko obračunajo tudi oralni kirurgi, ki imajo prav tako svoj program).</w:t>
      </w:r>
    </w:p>
    <w:p w14:paraId="32EDDEF8" w14:textId="77777777" w:rsidR="00FE461F" w:rsidRPr="005E4BEA" w:rsidRDefault="00FE461F" w:rsidP="00FE461F">
      <w:pPr>
        <w:spacing w:before="120"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Vse od leta 2016 je stanje glede evidentiranja programov nespremenjeno in na ta način onemogoča realno preglednost pokritosti mreže po državi za obe specialnosti. Ob ugotavljanju pokritosti mreže za posamezno specialnost se običajno posamezen program šteje dvojno (enkrat za eno in drugič za drugo specialnost) ter na ta način prihaja do zavajajočega podatka o primerni pokritosti za posamezno specialnost in dostopnosti do storitev. </w:t>
      </w:r>
    </w:p>
    <w:p w14:paraId="6A8FA43C" w14:textId="77777777" w:rsidR="00FE461F" w:rsidRPr="005E4BEA" w:rsidRDefault="00FE461F" w:rsidP="00FE461F">
      <w:pPr>
        <w:spacing w:line="240" w:lineRule="auto"/>
        <w:jc w:val="both"/>
        <w:rPr>
          <w:rFonts w:eastAsiaTheme="minorHAnsi" w:cs="Arial"/>
          <w:b/>
          <w:bCs/>
          <w:color w:val="808080" w:themeColor="background1" w:themeShade="80"/>
          <w:szCs w:val="20"/>
        </w:rPr>
      </w:pPr>
      <w:r w:rsidRPr="005E4BEA">
        <w:rPr>
          <w:rFonts w:cs="Arial"/>
          <w:i/>
          <w:iCs/>
          <w:color w:val="808080" w:themeColor="background1" w:themeShade="80"/>
          <w:szCs w:val="20"/>
        </w:rPr>
        <w:t xml:space="preserve">Zato predlagamo imensko in evidenčno ločitev obeh programov in evidentiranje programov po realnem stanju. Za specialiste s skupno (dvojno) specializacijo se uvede tretji (imensko dvojni) program, ki se ga bi ob prenehanju delovanja specialista pretvoril v program specialnosti, ki jo je specialist opravljal v večinskem delu. Novih (dvojnih) specialistov ni in se bo takšen program z leti zaprl oz. prerazporedil v ostala dva oz. v (sub)specialnost ustnih </w:t>
      </w:r>
      <w:proofErr w:type="spellStart"/>
      <w:r w:rsidRPr="005E4BEA">
        <w:rPr>
          <w:rFonts w:cs="Arial"/>
          <w:i/>
          <w:iCs/>
          <w:color w:val="808080" w:themeColor="background1" w:themeShade="80"/>
          <w:szCs w:val="20"/>
        </w:rPr>
        <w:t>bolzni</w:t>
      </w:r>
      <w:proofErr w:type="spellEnd"/>
      <w:r w:rsidRPr="005E4BEA">
        <w:rPr>
          <w:rFonts w:cs="Arial"/>
          <w:i/>
          <w:iCs/>
          <w:color w:val="808080" w:themeColor="background1" w:themeShade="80"/>
          <w:szCs w:val="20"/>
        </w:rPr>
        <w:t xml:space="preserve">, ki je bila z ločitvijo </w:t>
      </w:r>
      <w:r w:rsidRPr="005E4BEA">
        <w:rPr>
          <w:rFonts w:cs="Arial"/>
          <w:i/>
          <w:iCs/>
          <w:color w:val="808080" w:themeColor="background1" w:themeShade="80"/>
          <w:szCs w:val="20"/>
        </w:rPr>
        <w:lastRenderedPageBreak/>
        <w:t xml:space="preserve">dveh programov izpuščena. Na ta način bi zagotavljali ustrezno dostopnost in oskrbo pacientov </w:t>
      </w:r>
      <w:r w:rsidRPr="005E4BEA">
        <w:rPr>
          <w:rFonts w:eastAsiaTheme="minorHAnsi" w:cs="Arial"/>
          <w:i/>
          <w:iCs/>
          <w:color w:val="808080" w:themeColor="background1" w:themeShade="80"/>
          <w:szCs w:val="20"/>
        </w:rPr>
        <w:t xml:space="preserve">s težavami na področju ustnih bolezni, kjer je v zadnjih letih opazen izrazit trend naraščanja tako po obsegu kot tudi raznolikosti bolezni. Omenjene programe bi opravljali specialisti s specializacijo iz »zobnih, ustnih bolezni, </w:t>
      </w:r>
      <w:proofErr w:type="spellStart"/>
      <w:r w:rsidRPr="005E4BEA">
        <w:rPr>
          <w:rFonts w:eastAsiaTheme="minorHAnsi" w:cs="Arial"/>
          <w:i/>
          <w:iCs/>
          <w:color w:val="808080" w:themeColor="background1" w:themeShade="80"/>
          <w:szCs w:val="20"/>
        </w:rPr>
        <w:t>endodontije</w:t>
      </w:r>
      <w:proofErr w:type="spellEnd"/>
      <w:r w:rsidRPr="005E4BEA">
        <w:rPr>
          <w:rFonts w:eastAsiaTheme="minorHAnsi" w:cs="Arial"/>
          <w:i/>
          <w:iCs/>
          <w:color w:val="808080" w:themeColor="background1" w:themeShade="80"/>
          <w:szCs w:val="20"/>
        </w:rPr>
        <w:t xml:space="preserve"> in </w:t>
      </w:r>
      <w:proofErr w:type="spellStart"/>
      <w:r w:rsidRPr="005E4BEA">
        <w:rPr>
          <w:rFonts w:eastAsiaTheme="minorHAnsi" w:cs="Arial"/>
          <w:i/>
          <w:iCs/>
          <w:color w:val="808080" w:themeColor="background1" w:themeShade="80"/>
          <w:szCs w:val="20"/>
        </w:rPr>
        <w:t>parodontologije</w:t>
      </w:r>
      <w:proofErr w:type="spellEnd"/>
      <w:r w:rsidRPr="005E4BEA">
        <w:rPr>
          <w:rFonts w:eastAsiaTheme="minorHAnsi" w:cs="Arial"/>
          <w:i/>
          <w:iCs/>
          <w:color w:val="808080" w:themeColor="background1" w:themeShade="80"/>
          <w:szCs w:val="20"/>
        </w:rPr>
        <w:t xml:space="preserve">«, kasneje pa bi oskrbo zagotavljali za tovrstne bolezni posebej </w:t>
      </w:r>
      <w:proofErr w:type="spellStart"/>
      <w:r w:rsidRPr="005E4BEA">
        <w:rPr>
          <w:rFonts w:eastAsiaTheme="minorHAnsi" w:cs="Arial"/>
          <w:i/>
          <w:iCs/>
          <w:color w:val="808080" w:themeColor="background1" w:themeShade="80"/>
          <w:szCs w:val="20"/>
        </w:rPr>
        <w:t>doizobraženi</w:t>
      </w:r>
      <w:proofErr w:type="spellEnd"/>
      <w:r w:rsidRPr="005E4BEA">
        <w:rPr>
          <w:rFonts w:eastAsiaTheme="minorHAnsi" w:cs="Arial"/>
          <w:i/>
          <w:iCs/>
          <w:color w:val="808080" w:themeColor="background1" w:themeShade="80"/>
          <w:szCs w:val="20"/>
        </w:rPr>
        <w:t xml:space="preserve"> specialisti.</w:t>
      </w:r>
      <w:r w:rsidRPr="005E4BEA">
        <w:rPr>
          <w:rFonts w:eastAsiaTheme="minorHAnsi" w:cs="Arial"/>
          <w:b/>
          <w:bCs/>
          <w:color w:val="808080" w:themeColor="background1" w:themeShade="80"/>
          <w:szCs w:val="20"/>
        </w:rPr>
        <w:t xml:space="preserve"> </w:t>
      </w:r>
      <w:r w:rsidRPr="005E4BEA">
        <w:rPr>
          <w:rFonts w:cs="Arial"/>
          <w:i/>
          <w:iCs/>
          <w:color w:val="808080" w:themeColor="background1" w:themeShade="80"/>
          <w:szCs w:val="20"/>
        </w:rPr>
        <w:t>Le na ta način bi se omogočila realna preglednost pokritosti in nadzor nad ustreznim izvajanjem storitev.</w:t>
      </w:r>
    </w:p>
    <w:p w14:paraId="239C9154"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487FFCD6"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Svetovne, evropske in domače strokovne smernice predvidevajo specialistično </w:t>
      </w:r>
      <w:proofErr w:type="spellStart"/>
      <w:r w:rsidRPr="005E4BEA">
        <w:rPr>
          <w:rFonts w:eastAsiaTheme="minorHAnsi" w:cs="Arial"/>
          <w:i/>
          <w:iCs/>
          <w:color w:val="808080" w:themeColor="background1" w:themeShade="80"/>
          <w:szCs w:val="20"/>
        </w:rPr>
        <w:t>parodontološko</w:t>
      </w:r>
      <w:proofErr w:type="spellEnd"/>
      <w:r w:rsidRPr="005E4BEA">
        <w:rPr>
          <w:rFonts w:eastAsiaTheme="minorHAnsi" w:cs="Arial"/>
          <w:i/>
          <w:iCs/>
          <w:color w:val="808080" w:themeColor="background1" w:themeShade="80"/>
          <w:szCs w:val="20"/>
        </w:rPr>
        <w:t xml:space="preserve"> obravnavo le v kirurškem delu zdravljenja </w:t>
      </w:r>
      <w:proofErr w:type="spellStart"/>
      <w:r w:rsidRPr="005E4BEA">
        <w:rPr>
          <w:rFonts w:eastAsiaTheme="minorHAnsi" w:cs="Arial"/>
          <w:i/>
          <w:iCs/>
          <w:color w:val="808080" w:themeColor="background1" w:themeShade="80"/>
          <w:szCs w:val="20"/>
        </w:rPr>
        <w:t>parodontalne</w:t>
      </w:r>
      <w:proofErr w:type="spellEnd"/>
      <w:r w:rsidRPr="005E4BEA">
        <w:rPr>
          <w:rFonts w:eastAsiaTheme="minorHAnsi" w:cs="Arial"/>
          <w:i/>
          <w:iCs/>
          <w:color w:val="808080" w:themeColor="background1" w:themeShade="80"/>
          <w:szCs w:val="20"/>
        </w:rPr>
        <w:t xml:space="preserve"> bolezni. Zaradi kirurške narave dela v specialističnem </w:t>
      </w:r>
      <w:proofErr w:type="spellStart"/>
      <w:r w:rsidRPr="005E4BEA">
        <w:rPr>
          <w:rFonts w:eastAsiaTheme="minorHAnsi" w:cs="Arial"/>
          <w:i/>
          <w:iCs/>
          <w:color w:val="808080" w:themeColor="background1" w:themeShade="80"/>
          <w:szCs w:val="20"/>
        </w:rPr>
        <w:t>parodontološkem</w:t>
      </w:r>
      <w:proofErr w:type="spellEnd"/>
      <w:r w:rsidRPr="005E4BEA">
        <w:rPr>
          <w:rFonts w:eastAsiaTheme="minorHAnsi" w:cs="Arial"/>
          <w:i/>
          <w:iCs/>
          <w:color w:val="808080" w:themeColor="background1" w:themeShade="80"/>
          <w:szCs w:val="20"/>
        </w:rPr>
        <w:t xml:space="preserve"> timu poleg specialista </w:t>
      </w:r>
      <w:proofErr w:type="spellStart"/>
      <w:r w:rsidRPr="005E4BEA">
        <w:rPr>
          <w:rFonts w:eastAsiaTheme="minorHAnsi" w:cs="Arial"/>
          <w:i/>
          <w:iCs/>
          <w:color w:val="808080" w:themeColor="background1" w:themeShade="80"/>
          <w:szCs w:val="20"/>
        </w:rPr>
        <w:t>parodontologije</w:t>
      </w:r>
      <w:proofErr w:type="spellEnd"/>
      <w:r w:rsidRPr="005E4BEA">
        <w:rPr>
          <w:rFonts w:eastAsiaTheme="minorHAnsi" w:cs="Arial"/>
          <w:i/>
          <w:iCs/>
          <w:color w:val="808080" w:themeColor="background1" w:themeShade="80"/>
          <w:szCs w:val="20"/>
        </w:rPr>
        <w:t xml:space="preserve"> kot zdravstveni kader sodelujeta še dva </w:t>
      </w:r>
      <w:proofErr w:type="spellStart"/>
      <w:r w:rsidRPr="005E4BEA">
        <w:rPr>
          <w:rFonts w:eastAsiaTheme="minorHAnsi" w:cs="Arial"/>
          <w:i/>
          <w:iCs/>
          <w:color w:val="808080" w:themeColor="background1" w:themeShade="80"/>
          <w:szCs w:val="20"/>
        </w:rPr>
        <w:t>tehika</w:t>
      </w:r>
      <w:proofErr w:type="spellEnd"/>
      <w:r w:rsidRPr="005E4BEA">
        <w:rPr>
          <w:rFonts w:eastAsiaTheme="minorHAnsi" w:cs="Arial"/>
          <w:i/>
          <w:iCs/>
          <w:color w:val="808080" w:themeColor="background1" w:themeShade="80"/>
          <w:szCs w:val="20"/>
        </w:rPr>
        <w:t xml:space="preserve"> zdravstvene nege in ustni higienik. Slednji sodeluje v oskrbi pacientov s specifičnimi pridruženimi sistemskimi boleznimi (sladkorna bolezen, kardiovaskularne bolezni, nevrološke bolezni, ipd.), fizičnimi hendikepi (motorične motnje, ipd.) in specifičnimi sistemskimi stanji (nosečnost), ki vplivajo na razvoj, potek in </w:t>
      </w:r>
      <w:proofErr w:type="spellStart"/>
      <w:r w:rsidRPr="005E4BEA">
        <w:rPr>
          <w:rFonts w:eastAsiaTheme="minorHAnsi" w:cs="Arial"/>
          <w:i/>
          <w:iCs/>
          <w:color w:val="808080" w:themeColor="background1" w:themeShade="80"/>
          <w:szCs w:val="20"/>
        </w:rPr>
        <w:t>unčinkovitost</w:t>
      </w:r>
      <w:proofErr w:type="spellEnd"/>
      <w:r w:rsidRPr="005E4BEA">
        <w:rPr>
          <w:rFonts w:eastAsiaTheme="minorHAnsi" w:cs="Arial"/>
          <w:i/>
          <w:iCs/>
          <w:color w:val="808080" w:themeColor="background1" w:themeShade="80"/>
          <w:szCs w:val="20"/>
        </w:rPr>
        <w:t xml:space="preserve"> zdravljenja </w:t>
      </w:r>
      <w:proofErr w:type="spellStart"/>
      <w:r w:rsidRPr="005E4BEA">
        <w:rPr>
          <w:rFonts w:eastAsiaTheme="minorHAnsi" w:cs="Arial"/>
          <w:i/>
          <w:iCs/>
          <w:color w:val="808080" w:themeColor="background1" w:themeShade="80"/>
          <w:szCs w:val="20"/>
        </w:rPr>
        <w:t>parodontalne</w:t>
      </w:r>
      <w:proofErr w:type="spellEnd"/>
      <w:r w:rsidRPr="005E4BEA">
        <w:rPr>
          <w:rFonts w:eastAsiaTheme="minorHAnsi" w:cs="Arial"/>
          <w:i/>
          <w:iCs/>
          <w:color w:val="808080" w:themeColor="background1" w:themeShade="80"/>
          <w:szCs w:val="20"/>
        </w:rPr>
        <w:t xml:space="preserve"> bolezni oz. pri katerih </w:t>
      </w:r>
      <w:proofErr w:type="spellStart"/>
      <w:r w:rsidRPr="005E4BEA">
        <w:rPr>
          <w:rFonts w:eastAsiaTheme="minorHAnsi" w:cs="Arial"/>
          <w:i/>
          <w:iCs/>
          <w:color w:val="808080" w:themeColor="background1" w:themeShade="80"/>
          <w:szCs w:val="20"/>
        </w:rPr>
        <w:t>parodontalna</w:t>
      </w:r>
      <w:proofErr w:type="spellEnd"/>
      <w:r w:rsidRPr="005E4BEA">
        <w:rPr>
          <w:rFonts w:eastAsiaTheme="minorHAnsi" w:cs="Arial"/>
          <w:i/>
          <w:iCs/>
          <w:color w:val="808080" w:themeColor="background1" w:themeShade="80"/>
          <w:szCs w:val="20"/>
        </w:rPr>
        <w:t xml:space="preserve"> bolezen vpliva na zahtevnost zdravljenja osnovne sistemske bolezni ali morebitne zaplete osnovne sistemske bolezni.</w:t>
      </w:r>
    </w:p>
    <w:p w14:paraId="711375DB"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29D43C7"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Predlog je bil oblikovan v okviru delovne skupine OZB v ZZS, v kateri so sodelovali nacionalni koordinator za Ustne bolezni, </w:t>
      </w:r>
      <w:proofErr w:type="spellStart"/>
      <w:r w:rsidRPr="005E4BEA">
        <w:rPr>
          <w:rFonts w:eastAsiaTheme="minorHAnsi" w:cs="Arial"/>
          <w:i/>
          <w:iCs/>
          <w:color w:val="808080" w:themeColor="background1" w:themeShade="80"/>
          <w:szCs w:val="20"/>
        </w:rPr>
        <w:t>parodontologijo</w:t>
      </w:r>
      <w:proofErr w:type="spellEnd"/>
      <w:r w:rsidRPr="005E4BEA">
        <w:rPr>
          <w:rFonts w:eastAsiaTheme="minorHAnsi" w:cs="Arial"/>
          <w:i/>
          <w:iCs/>
          <w:color w:val="808080" w:themeColor="background1" w:themeShade="80"/>
          <w:szCs w:val="20"/>
        </w:rPr>
        <w:t xml:space="preserve"> in stomatološko </w:t>
      </w:r>
      <w:proofErr w:type="spellStart"/>
      <w:r w:rsidRPr="005E4BEA">
        <w:rPr>
          <w:rFonts w:eastAsiaTheme="minorHAnsi" w:cs="Arial"/>
          <w:i/>
          <w:iCs/>
          <w:color w:val="808080" w:themeColor="background1" w:themeShade="80"/>
          <w:szCs w:val="20"/>
        </w:rPr>
        <w:t>implantologijo</w:t>
      </w:r>
      <w:proofErr w:type="spellEnd"/>
      <w:r w:rsidRPr="005E4BEA">
        <w:rPr>
          <w:rFonts w:eastAsiaTheme="minorHAnsi" w:cs="Arial"/>
          <w:i/>
          <w:iCs/>
          <w:color w:val="808080" w:themeColor="background1" w:themeShade="80"/>
          <w:szCs w:val="20"/>
        </w:rPr>
        <w:t xml:space="preserve">, nacionalni koordinator za Zobne bolezni in </w:t>
      </w:r>
      <w:proofErr w:type="spellStart"/>
      <w:r w:rsidRPr="005E4BEA">
        <w:rPr>
          <w:rFonts w:eastAsiaTheme="minorHAnsi" w:cs="Arial"/>
          <w:i/>
          <w:iCs/>
          <w:color w:val="808080" w:themeColor="background1" w:themeShade="80"/>
          <w:szCs w:val="20"/>
        </w:rPr>
        <w:t>endodontijo</w:t>
      </w:r>
      <w:proofErr w:type="spellEnd"/>
      <w:r w:rsidRPr="005E4BEA">
        <w:rPr>
          <w:rFonts w:eastAsiaTheme="minorHAnsi" w:cs="Arial"/>
          <w:i/>
          <w:iCs/>
          <w:color w:val="808080" w:themeColor="background1" w:themeShade="80"/>
          <w:szCs w:val="20"/>
        </w:rPr>
        <w:t xml:space="preserve">, vodja Katedre za ustne bolezni in </w:t>
      </w:r>
      <w:proofErr w:type="spellStart"/>
      <w:r w:rsidRPr="005E4BEA">
        <w:rPr>
          <w:rFonts w:eastAsiaTheme="minorHAnsi" w:cs="Arial"/>
          <w:i/>
          <w:iCs/>
          <w:color w:val="808080" w:themeColor="background1" w:themeShade="80"/>
          <w:szCs w:val="20"/>
        </w:rPr>
        <w:t>parodontologijo</w:t>
      </w:r>
      <w:proofErr w:type="spellEnd"/>
      <w:r w:rsidRPr="005E4BEA">
        <w:rPr>
          <w:rFonts w:eastAsiaTheme="minorHAnsi" w:cs="Arial"/>
          <w:i/>
          <w:iCs/>
          <w:color w:val="808080" w:themeColor="background1" w:themeShade="80"/>
          <w:szCs w:val="20"/>
        </w:rPr>
        <w:t xml:space="preserve"> MF Ljubljana, predstojnik kliničnega oddelka Centra za ustne bolezni in </w:t>
      </w:r>
      <w:proofErr w:type="spellStart"/>
      <w:r w:rsidRPr="005E4BEA">
        <w:rPr>
          <w:rFonts w:eastAsiaTheme="minorHAnsi" w:cs="Arial"/>
          <w:i/>
          <w:iCs/>
          <w:color w:val="808080" w:themeColor="background1" w:themeShade="80"/>
          <w:szCs w:val="20"/>
        </w:rPr>
        <w:t>parodontologijo</w:t>
      </w:r>
      <w:proofErr w:type="spellEnd"/>
      <w:r w:rsidRPr="005E4BEA">
        <w:rPr>
          <w:rFonts w:eastAsiaTheme="minorHAnsi" w:cs="Arial"/>
          <w:i/>
          <w:iCs/>
          <w:color w:val="808080" w:themeColor="background1" w:themeShade="80"/>
          <w:szCs w:val="20"/>
        </w:rPr>
        <w:t xml:space="preserve"> UKC Ljubljana in predstavnik izvajalcev na sekundarnem nivoju. Predlog je bil usklajen tudi s Sekcijo za zobne bolezni in </w:t>
      </w:r>
      <w:proofErr w:type="spellStart"/>
      <w:r w:rsidRPr="005E4BEA">
        <w:rPr>
          <w:rFonts w:eastAsiaTheme="minorHAnsi" w:cs="Arial"/>
          <w:i/>
          <w:iCs/>
          <w:color w:val="808080" w:themeColor="background1" w:themeShade="80"/>
          <w:szCs w:val="20"/>
        </w:rPr>
        <w:t>endodontijo</w:t>
      </w:r>
      <w:proofErr w:type="spellEnd"/>
      <w:r w:rsidRPr="005E4BEA">
        <w:rPr>
          <w:rFonts w:eastAsiaTheme="minorHAnsi" w:cs="Arial"/>
          <w:i/>
          <w:iCs/>
          <w:color w:val="808080" w:themeColor="background1" w:themeShade="80"/>
          <w:szCs w:val="20"/>
        </w:rPr>
        <w:t xml:space="preserve"> ter Sekcijo za ustne bolezni, </w:t>
      </w:r>
      <w:proofErr w:type="spellStart"/>
      <w:r w:rsidRPr="005E4BEA">
        <w:rPr>
          <w:rFonts w:eastAsiaTheme="minorHAnsi" w:cs="Arial"/>
          <w:i/>
          <w:iCs/>
          <w:color w:val="808080" w:themeColor="background1" w:themeShade="80"/>
          <w:szCs w:val="20"/>
        </w:rPr>
        <w:t>parodontologijo</w:t>
      </w:r>
      <w:proofErr w:type="spellEnd"/>
      <w:r w:rsidRPr="005E4BEA">
        <w:rPr>
          <w:rFonts w:eastAsiaTheme="minorHAnsi" w:cs="Arial"/>
          <w:i/>
          <w:iCs/>
          <w:color w:val="808080" w:themeColor="background1" w:themeShade="80"/>
          <w:szCs w:val="20"/>
        </w:rPr>
        <w:t xml:space="preserve"> in stomatološko </w:t>
      </w:r>
      <w:proofErr w:type="spellStart"/>
      <w:r w:rsidRPr="005E4BEA">
        <w:rPr>
          <w:rFonts w:eastAsiaTheme="minorHAnsi" w:cs="Arial"/>
          <w:i/>
          <w:iCs/>
          <w:color w:val="808080" w:themeColor="background1" w:themeShade="80"/>
          <w:szCs w:val="20"/>
        </w:rPr>
        <w:t>implantologijo</w:t>
      </w:r>
      <w:proofErr w:type="spellEnd"/>
      <w:r w:rsidRPr="005E4BEA">
        <w:rPr>
          <w:rFonts w:eastAsiaTheme="minorHAnsi" w:cs="Arial"/>
          <w:i/>
          <w:iCs/>
          <w:color w:val="808080" w:themeColor="background1" w:themeShade="80"/>
          <w:szCs w:val="20"/>
        </w:rPr>
        <w:t xml:space="preserve"> v SZD.</w:t>
      </w:r>
    </w:p>
    <w:p w14:paraId="363DEE74"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00F1A4B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0,4 mio EUR</w:t>
      </w:r>
    </w:p>
    <w:p w14:paraId="5148F2BF" w14:textId="003147DA" w:rsidR="00FE461F" w:rsidRPr="005E4BEA" w:rsidRDefault="00FE461F" w:rsidP="00FE461F">
      <w:pPr>
        <w:spacing w:line="240" w:lineRule="auto"/>
        <w:jc w:val="both"/>
        <w:rPr>
          <w:rFonts w:eastAsiaTheme="minorHAnsi" w:cs="Arial"/>
          <w:i/>
          <w:iCs/>
          <w:color w:val="808080" w:themeColor="background1" w:themeShade="80"/>
          <w:szCs w:val="20"/>
        </w:rPr>
      </w:pPr>
    </w:p>
    <w:p w14:paraId="67383057" w14:textId="77777777" w:rsidR="00A87435" w:rsidRPr="005E4BEA" w:rsidRDefault="00A87435" w:rsidP="00A8743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71A379F4" w14:textId="77777777" w:rsidR="00A87435" w:rsidRPr="005E4BEA" w:rsidRDefault="00A87435" w:rsidP="00A87435">
      <w:pPr>
        <w:spacing w:line="0" w:lineRule="atLeast"/>
        <w:jc w:val="both"/>
        <w:rPr>
          <w:rFonts w:eastAsia="Arial Narrow" w:cs="Arial"/>
          <w:szCs w:val="20"/>
          <w:lang w:eastAsia="sl-SI"/>
        </w:rPr>
      </w:pPr>
    </w:p>
    <w:p w14:paraId="278A8B9D" w14:textId="4E544623" w:rsidR="00A87435" w:rsidRPr="005E4BEA" w:rsidRDefault="00A87435" w:rsidP="00A87435">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091AD730" w14:textId="77777777" w:rsidR="00A87435" w:rsidRPr="005E4BEA" w:rsidRDefault="00A87435" w:rsidP="00A87435">
      <w:pPr>
        <w:spacing w:line="0" w:lineRule="atLeast"/>
        <w:contextualSpacing/>
        <w:jc w:val="both"/>
        <w:rPr>
          <w:rFonts w:eastAsiaTheme="minorHAnsi" w:cs="Arial"/>
          <w:bCs/>
          <w:szCs w:val="20"/>
        </w:rPr>
      </w:pPr>
    </w:p>
    <w:p w14:paraId="65BDF50C" w14:textId="77777777" w:rsidR="00A87435" w:rsidRPr="005E4BEA" w:rsidRDefault="00A87435" w:rsidP="00A87435">
      <w:pPr>
        <w:spacing w:line="240" w:lineRule="auto"/>
        <w:jc w:val="both"/>
        <w:rPr>
          <w:rFonts w:eastAsia="Calibri" w:cs="Arial"/>
          <w:i/>
          <w:iCs/>
          <w:color w:val="7F7F7F"/>
          <w:szCs w:val="20"/>
        </w:rPr>
      </w:pPr>
    </w:p>
    <w:p w14:paraId="436EB86F" w14:textId="23280D62" w:rsidR="00A87435" w:rsidRPr="005E4BEA" w:rsidRDefault="00A8743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(105)</w:t>
      </w:r>
    </w:p>
    <w:p w14:paraId="09A64375" w14:textId="77777777" w:rsidR="00A87435" w:rsidRPr="005E4BEA" w:rsidRDefault="00A87435" w:rsidP="00A87435">
      <w:pPr>
        <w:spacing w:line="240" w:lineRule="auto"/>
        <w:jc w:val="both"/>
        <w:rPr>
          <w:rFonts w:eastAsia="Arial Narrow" w:cs="Arial"/>
          <w:b/>
          <w:szCs w:val="20"/>
        </w:rPr>
      </w:pPr>
    </w:p>
    <w:p w14:paraId="48CD1535" w14:textId="18333BBA" w:rsidR="00FE461F" w:rsidRPr="005E4BEA" w:rsidRDefault="00A87435" w:rsidP="00A87435">
      <w:pPr>
        <w:spacing w:line="240" w:lineRule="auto"/>
        <w:jc w:val="both"/>
        <w:rPr>
          <w:rFonts w:eastAsiaTheme="minorHAnsi" w:cs="Arial"/>
          <w:szCs w:val="20"/>
        </w:rPr>
      </w:pPr>
      <w:r w:rsidRPr="005E4BEA">
        <w:rPr>
          <w:rFonts w:eastAsia="Arial Narrow" w:cs="Arial"/>
          <w:b/>
          <w:szCs w:val="20"/>
        </w:rPr>
        <w:t xml:space="preserve">Zdravniška zbornica Slovenije </w:t>
      </w:r>
      <w:r w:rsidRPr="005E4BEA">
        <w:rPr>
          <w:rFonts w:eastAsiaTheme="minorHAnsi" w:cs="Arial"/>
          <w:b/>
          <w:szCs w:val="20"/>
        </w:rPr>
        <w:t>predlaga</w:t>
      </w:r>
      <w:r w:rsidRPr="005E4BEA">
        <w:rPr>
          <w:rFonts w:eastAsiaTheme="minorHAnsi" w:cs="Arial"/>
          <w:bCs/>
          <w:szCs w:val="20"/>
        </w:rPr>
        <w:t>, da se v</w:t>
      </w:r>
      <w:r w:rsidR="00FE461F" w:rsidRPr="005E4BEA">
        <w:rPr>
          <w:rFonts w:eastAsiaTheme="minorHAnsi" w:cs="Arial"/>
          <w:b/>
          <w:bCs/>
          <w:szCs w:val="20"/>
        </w:rPr>
        <w:t xml:space="preserve"> </w:t>
      </w:r>
      <w:r w:rsidR="00FE461F" w:rsidRPr="005E4BEA">
        <w:rPr>
          <w:rFonts w:eastAsiaTheme="minorHAnsi" w:cs="Arial"/>
          <w:szCs w:val="20"/>
        </w:rPr>
        <w:t xml:space="preserve">Prilogi I poveča vrednost točke za specialistično ambulantno dejavnost </w:t>
      </w:r>
      <w:proofErr w:type="spellStart"/>
      <w:r w:rsidR="00FE461F" w:rsidRPr="005E4BEA">
        <w:rPr>
          <w:rFonts w:eastAsiaTheme="minorHAnsi" w:cs="Arial"/>
          <w:szCs w:val="20"/>
        </w:rPr>
        <w:t>gastroenterologija</w:t>
      </w:r>
      <w:proofErr w:type="spellEnd"/>
      <w:r w:rsidR="00FE461F" w:rsidRPr="005E4BEA">
        <w:rPr>
          <w:rFonts w:eastAsiaTheme="minorHAnsi" w:cs="Arial"/>
          <w:szCs w:val="20"/>
        </w:rPr>
        <w:t xml:space="preserve"> na 3,51 EUR (ob uporabi novega »enkratnega« materiala). </w:t>
      </w:r>
    </w:p>
    <w:p w14:paraId="7EB36D70" w14:textId="77777777" w:rsidR="00FE461F" w:rsidRPr="005E4BEA" w:rsidRDefault="00FE461F" w:rsidP="00FE461F">
      <w:pPr>
        <w:spacing w:after="160" w:line="259" w:lineRule="auto"/>
        <w:rPr>
          <w:rFonts w:eastAsiaTheme="minorHAnsi" w:cs="Arial"/>
          <w:bCs/>
          <w:color w:val="4472C4" w:themeColor="accent1"/>
          <w:szCs w:val="20"/>
        </w:rPr>
      </w:pPr>
    </w:p>
    <w:p w14:paraId="5612FBC8" w14:textId="226E698E" w:rsidR="00A87435" w:rsidRPr="005E4BEA" w:rsidRDefault="00FE461F" w:rsidP="00FE461F">
      <w:pPr>
        <w:spacing w:after="160" w:line="259" w:lineRule="auto"/>
        <w:rPr>
          <w:rFonts w:cs="Arial"/>
          <w:b/>
          <w:bCs/>
          <w:color w:val="808080" w:themeColor="background1" w:themeShade="80"/>
          <w:szCs w:val="20"/>
          <w:lang w:eastAsia="sl-SI"/>
        </w:rPr>
      </w:pPr>
      <w:r w:rsidRPr="005E4BEA">
        <w:rPr>
          <w:rFonts w:cs="Arial"/>
          <w:b/>
          <w:bCs/>
          <w:color w:val="808080" w:themeColor="background1" w:themeShade="80"/>
          <w:szCs w:val="20"/>
          <w:lang w:eastAsia="sl-SI"/>
        </w:rPr>
        <w:t>Obrazložitev je v prilogi.</w:t>
      </w:r>
    </w:p>
    <w:p w14:paraId="00D42EFA" w14:textId="77777777" w:rsidR="00A87435" w:rsidRPr="005E4BEA" w:rsidRDefault="00A87435" w:rsidP="00FE461F">
      <w:pPr>
        <w:spacing w:after="160" w:line="259" w:lineRule="auto"/>
        <w:rPr>
          <w:rFonts w:cs="Arial"/>
          <w:b/>
          <w:bCs/>
          <w:color w:val="808080" w:themeColor="background1" w:themeShade="80"/>
          <w:szCs w:val="20"/>
          <w:lang w:eastAsia="sl-SI"/>
        </w:rPr>
      </w:pPr>
    </w:p>
    <w:p w14:paraId="64462274" w14:textId="77777777" w:rsidR="00A87435" w:rsidRPr="005E4BEA" w:rsidRDefault="00A87435" w:rsidP="00A87435">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w:t>
      </w:r>
    </w:p>
    <w:p w14:paraId="71A4A9AF" w14:textId="77777777" w:rsidR="00A87435" w:rsidRPr="005E4BEA" w:rsidRDefault="00A87435" w:rsidP="00A87435">
      <w:pPr>
        <w:spacing w:line="0" w:lineRule="atLeast"/>
        <w:jc w:val="both"/>
        <w:rPr>
          <w:rFonts w:eastAsia="Arial Narrow" w:cs="Arial"/>
          <w:szCs w:val="20"/>
          <w:lang w:eastAsia="sl-SI"/>
        </w:rPr>
      </w:pPr>
    </w:p>
    <w:p w14:paraId="550E8DD7" w14:textId="34C51FF1" w:rsidR="00A87435" w:rsidRPr="005E4BEA" w:rsidRDefault="00A87435" w:rsidP="00A87435">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2A646745" w14:textId="77777777" w:rsidR="00A87435" w:rsidRPr="005E4BEA" w:rsidRDefault="00A87435" w:rsidP="00A87435">
      <w:pPr>
        <w:spacing w:line="0" w:lineRule="atLeast"/>
        <w:contextualSpacing/>
        <w:jc w:val="both"/>
        <w:rPr>
          <w:rFonts w:eastAsiaTheme="minorHAnsi" w:cs="Arial"/>
          <w:bCs/>
          <w:szCs w:val="20"/>
        </w:rPr>
      </w:pPr>
    </w:p>
    <w:p w14:paraId="749FF0F2" w14:textId="4603BB6F" w:rsidR="003C75B0" w:rsidRPr="005E4BEA" w:rsidRDefault="003C75B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(106)</w:t>
      </w:r>
    </w:p>
    <w:p w14:paraId="36EB5925" w14:textId="77777777" w:rsidR="003C75B0" w:rsidRPr="005E4BEA" w:rsidRDefault="003C75B0" w:rsidP="003C75B0">
      <w:pPr>
        <w:spacing w:line="240" w:lineRule="auto"/>
        <w:jc w:val="both"/>
        <w:rPr>
          <w:rFonts w:eastAsia="Arial Narrow" w:cs="Arial"/>
          <w:b/>
          <w:szCs w:val="20"/>
        </w:rPr>
      </w:pPr>
    </w:p>
    <w:p w14:paraId="14595B9E" w14:textId="372B1332" w:rsidR="00FE461F" w:rsidRPr="005E4BEA" w:rsidRDefault="003C75B0" w:rsidP="003C75B0">
      <w:pPr>
        <w:spacing w:line="240" w:lineRule="auto"/>
        <w:jc w:val="both"/>
        <w:rPr>
          <w:rFonts w:eastAsiaTheme="minorHAnsi" w:cs="Arial"/>
          <w:szCs w:val="20"/>
        </w:rPr>
      </w:pPr>
      <w:r w:rsidRPr="005E4BEA">
        <w:rPr>
          <w:rFonts w:eastAsia="Arial Narrow" w:cs="Arial"/>
          <w:b/>
          <w:szCs w:val="20"/>
        </w:rPr>
        <w:t xml:space="preserve">Ministrstvo za zdravje </w:t>
      </w:r>
      <w:r w:rsidRPr="005E4BEA">
        <w:rPr>
          <w:rFonts w:eastAsiaTheme="minorHAnsi" w:cs="Arial"/>
          <w:b/>
          <w:szCs w:val="20"/>
        </w:rPr>
        <w:t>predlaga</w:t>
      </w:r>
      <w:r w:rsidRPr="005E4BEA">
        <w:rPr>
          <w:rFonts w:eastAsiaTheme="minorHAnsi" w:cs="Arial"/>
          <w:bCs/>
          <w:szCs w:val="20"/>
        </w:rPr>
        <w:t>, da se v</w:t>
      </w:r>
      <w:r w:rsidRPr="005E4BEA">
        <w:rPr>
          <w:rFonts w:eastAsiaTheme="minorHAnsi" w:cs="Arial"/>
          <w:b/>
          <w:bCs/>
          <w:szCs w:val="20"/>
        </w:rPr>
        <w:t xml:space="preserve"> </w:t>
      </w:r>
      <w:r w:rsidRPr="005E4BEA">
        <w:rPr>
          <w:rFonts w:eastAsiaTheme="minorHAnsi" w:cs="Arial"/>
          <w:szCs w:val="20"/>
        </w:rPr>
        <w:t xml:space="preserve">Prilogi I </w:t>
      </w:r>
      <w:r w:rsidR="00FE461F" w:rsidRPr="005E4BEA">
        <w:rPr>
          <w:rFonts w:eastAsiaTheme="minorHAnsi" w:cs="Arial"/>
          <w:szCs w:val="20"/>
        </w:rPr>
        <w:t xml:space="preserve"> v 23. in 24. točki prvega odstavka v zadnjem stolpcu besedilo »v skladu s sklepom MZ« nadomesti z besedilom: » ceno določi Zavod «.</w:t>
      </w:r>
    </w:p>
    <w:p w14:paraId="431C793E" w14:textId="77777777" w:rsidR="00FE461F" w:rsidRPr="005E4BEA" w:rsidRDefault="00FE461F" w:rsidP="00FE461F">
      <w:pPr>
        <w:spacing w:line="240" w:lineRule="auto"/>
        <w:jc w:val="both"/>
        <w:rPr>
          <w:rFonts w:cs="Arial"/>
          <w:szCs w:val="20"/>
        </w:rPr>
      </w:pPr>
    </w:p>
    <w:p w14:paraId="366405E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Obrazložitev:</w:t>
      </w:r>
    </w:p>
    <w:p w14:paraId="36427815"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Skladno z Zakonom o začasnih ukrepih za omilitev in odpravo posledice Covid-19 (PKP5) in Pravilnikom o izvajanju mikrobioloških preiskav na virus SARS-CoV-2 se do 30. 6. 2022 odvzem </w:t>
      </w:r>
      <w:r w:rsidRPr="005E4BEA">
        <w:rPr>
          <w:rFonts w:eastAsiaTheme="minorHAnsi" w:cs="Arial"/>
          <w:i/>
          <w:color w:val="808080" w:themeColor="background1" w:themeShade="80"/>
          <w:szCs w:val="20"/>
        </w:rPr>
        <w:lastRenderedPageBreak/>
        <w:t>brisa za potrditev okužbe z virusom SARS-CoV-2 in neposredno dokazovanje nukleinske kisline SARS-CoV-2 (CORONA-19) plačuje iz sredstev proračuna. Ceni omenjenih storitev se določata s sklepom Ministrstva za zdravje. S 1.7.2022, ko ne bo več zakonske podlage za financiranje iz državnega proračuna, se bo financiranje preneslo v zdravstveno blagajno. Ceno storitev ne bo več določal sklep ministra.</w:t>
      </w:r>
    </w:p>
    <w:p w14:paraId="2F059453"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417EDB4" w14:textId="77777777" w:rsidR="00FE461F" w:rsidRPr="005E4BEA" w:rsidRDefault="00FE461F" w:rsidP="00FE461F">
      <w:pPr>
        <w:autoSpaceDE w:val="0"/>
        <w:autoSpaceDN w:val="0"/>
        <w:adjustRightInd w:val="0"/>
        <w:spacing w:line="240" w:lineRule="auto"/>
        <w:jc w:val="both"/>
        <w:rPr>
          <w:rFonts w:eastAsiaTheme="minorHAnsi" w:cs="Arial"/>
          <w:b/>
          <w:bCs/>
          <w:i/>
          <w:color w:val="7F7F7F" w:themeColor="text1" w:themeTint="80"/>
          <w:szCs w:val="20"/>
        </w:rPr>
      </w:pPr>
      <w:r w:rsidRPr="005E4BEA">
        <w:rPr>
          <w:rFonts w:eastAsiaTheme="minorHAnsi" w:cs="Arial"/>
          <w:b/>
          <w:bCs/>
          <w:i/>
          <w:color w:val="7F7F7F" w:themeColor="text1" w:themeTint="80"/>
          <w:szCs w:val="20"/>
        </w:rPr>
        <w:t>Finančne posledice: /</w:t>
      </w:r>
    </w:p>
    <w:p w14:paraId="25E5A1A5" w14:textId="77777777" w:rsidR="003C75B0" w:rsidRPr="005E4BEA" w:rsidRDefault="003C75B0" w:rsidP="003C75B0">
      <w:pPr>
        <w:spacing w:after="160" w:line="259" w:lineRule="auto"/>
        <w:rPr>
          <w:rFonts w:cs="Arial"/>
          <w:b/>
          <w:bCs/>
          <w:color w:val="808080" w:themeColor="background1" w:themeShade="80"/>
          <w:szCs w:val="20"/>
          <w:lang w:eastAsia="sl-SI"/>
        </w:rPr>
      </w:pPr>
    </w:p>
    <w:p w14:paraId="7F5A3B6E" w14:textId="661D9BAD" w:rsidR="00201366" w:rsidRPr="005E4BEA" w:rsidRDefault="003C75B0" w:rsidP="00201366">
      <w:pPr>
        <w:autoSpaceDE w:val="0"/>
        <w:autoSpaceDN w:val="0"/>
        <w:adjustRightInd w:val="0"/>
        <w:spacing w:line="0" w:lineRule="atLeast"/>
        <w:jc w:val="both"/>
        <w:rPr>
          <w:rFonts w:eastAsiaTheme="minorHAnsi" w:cs="Arial"/>
          <w:szCs w:val="20"/>
        </w:rPr>
      </w:pPr>
      <w:bookmarkStart w:id="131" w:name="_Hlk102635899"/>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r w:rsidR="005B0B4B" w:rsidRPr="005E4BEA">
        <w:rPr>
          <w:rFonts w:eastAsia="Arial Narrow" w:cs="Arial"/>
          <w:szCs w:val="20"/>
        </w:rPr>
        <w:t xml:space="preserve"> v modificirani obliki, in sicer se </w:t>
      </w:r>
      <w:r w:rsidR="00201366" w:rsidRPr="005E4BEA">
        <w:rPr>
          <w:rFonts w:eastAsia="Arial Narrow" w:cs="Arial"/>
          <w:szCs w:val="20"/>
        </w:rPr>
        <w:t>v</w:t>
      </w:r>
      <w:r w:rsidR="00201366" w:rsidRPr="005E4BEA">
        <w:rPr>
          <w:rFonts w:eastAsiaTheme="minorHAnsi" w:cs="Arial"/>
          <w:szCs w:val="20"/>
        </w:rPr>
        <w:t xml:space="preserve"> Prilogi I/d spremenita ceni ločeno zaračunljivih storitev oziroma preiskav Q031</w:t>
      </w:r>
      <w:r w:rsidR="00647DA1" w:rsidRPr="005E4BEA">
        <w:rPr>
          <w:rFonts w:eastAsiaTheme="minorHAnsi" w:cs="Arial"/>
          <w:szCs w:val="20"/>
        </w:rPr>
        <w:t>1</w:t>
      </w:r>
      <w:r w:rsidR="00201366" w:rsidRPr="005E4BEA">
        <w:rPr>
          <w:rFonts w:eastAsiaTheme="minorHAnsi" w:cs="Arial"/>
          <w:szCs w:val="20"/>
        </w:rPr>
        <w:t xml:space="preserve"> in Q03</w:t>
      </w:r>
      <w:r w:rsidR="00647DA1" w:rsidRPr="005E4BEA">
        <w:rPr>
          <w:rFonts w:eastAsiaTheme="minorHAnsi" w:cs="Arial"/>
          <w:szCs w:val="20"/>
        </w:rPr>
        <w:t>12</w:t>
      </w:r>
      <w:r w:rsidR="00201366" w:rsidRPr="005E4BEA">
        <w:rPr>
          <w:rFonts w:eastAsiaTheme="minorHAnsi" w:cs="Arial"/>
          <w:szCs w:val="20"/>
        </w:rPr>
        <w:t xml:space="preserve"> tako, da se glasita:</w:t>
      </w:r>
    </w:p>
    <w:p w14:paraId="18EA1D42" w14:textId="77777777" w:rsidR="00CE2B29" w:rsidRPr="005E4BEA" w:rsidRDefault="00CE2B29" w:rsidP="00201366">
      <w:pPr>
        <w:autoSpaceDE w:val="0"/>
        <w:autoSpaceDN w:val="0"/>
        <w:adjustRightInd w:val="0"/>
        <w:spacing w:line="0" w:lineRule="atLeast"/>
        <w:jc w:val="both"/>
        <w:rPr>
          <w:rFonts w:eastAsiaTheme="minorHAnsi" w:cs="Arial"/>
          <w:szCs w:val="20"/>
        </w:rPr>
      </w:pPr>
    </w:p>
    <w:tbl>
      <w:tblPr>
        <w:tblStyle w:val="Tabelamrea"/>
        <w:tblW w:w="0" w:type="auto"/>
        <w:tblLook w:val="04A0" w:firstRow="1" w:lastRow="0" w:firstColumn="1" w:lastColumn="0" w:noHBand="0" w:noVBand="1"/>
      </w:tblPr>
      <w:tblGrid>
        <w:gridCol w:w="1696"/>
        <w:gridCol w:w="2718"/>
        <w:gridCol w:w="1677"/>
        <w:gridCol w:w="2397"/>
      </w:tblGrid>
      <w:tr w:rsidR="00CE2B29" w:rsidRPr="005E4BEA" w14:paraId="131C5F8A" w14:textId="77777777" w:rsidTr="00F40403">
        <w:tc>
          <w:tcPr>
            <w:tcW w:w="1696" w:type="dxa"/>
          </w:tcPr>
          <w:p w14:paraId="3D51222F"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Šifra po šifrantu 15.28</w:t>
            </w:r>
          </w:p>
        </w:tc>
        <w:tc>
          <w:tcPr>
            <w:tcW w:w="2718" w:type="dxa"/>
          </w:tcPr>
          <w:p w14:paraId="6C993698"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Ločeno zaračunljivi materiali in preiskave</w:t>
            </w:r>
          </w:p>
        </w:tc>
        <w:tc>
          <w:tcPr>
            <w:tcW w:w="1677" w:type="dxa"/>
          </w:tcPr>
          <w:p w14:paraId="4CD05709"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Merska enota</w:t>
            </w:r>
          </w:p>
        </w:tc>
        <w:tc>
          <w:tcPr>
            <w:tcW w:w="2397" w:type="dxa"/>
          </w:tcPr>
          <w:p w14:paraId="6FA7CACF"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Tekoča cena za mersko enoto (v EUR)</w:t>
            </w:r>
          </w:p>
        </w:tc>
      </w:tr>
      <w:tr w:rsidR="00CE2B29" w:rsidRPr="005E4BEA" w14:paraId="34E990EC" w14:textId="77777777" w:rsidTr="00F40403">
        <w:tc>
          <w:tcPr>
            <w:tcW w:w="1696" w:type="dxa"/>
          </w:tcPr>
          <w:p w14:paraId="4289D9D2"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Theme="minorHAnsi" w:cs="Arial"/>
                <w:szCs w:val="20"/>
              </w:rPr>
              <w:t>Q0310</w:t>
            </w:r>
          </w:p>
        </w:tc>
        <w:tc>
          <w:tcPr>
            <w:tcW w:w="2718" w:type="dxa"/>
          </w:tcPr>
          <w:p w14:paraId="3D7618F8"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Odvzem brisa SARS-CoV-2 za PCR test</w:t>
            </w:r>
          </w:p>
        </w:tc>
        <w:tc>
          <w:tcPr>
            <w:tcW w:w="1677" w:type="dxa"/>
          </w:tcPr>
          <w:p w14:paraId="76A8A71A"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preiskava</w:t>
            </w:r>
          </w:p>
        </w:tc>
        <w:tc>
          <w:tcPr>
            <w:tcW w:w="2397" w:type="dxa"/>
          </w:tcPr>
          <w:p w14:paraId="3F1F7573"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6</w:t>
            </w:r>
          </w:p>
        </w:tc>
      </w:tr>
      <w:tr w:rsidR="00CE2B29" w:rsidRPr="005E4BEA" w14:paraId="5186FA47" w14:textId="77777777" w:rsidTr="00F40403">
        <w:tc>
          <w:tcPr>
            <w:tcW w:w="1696" w:type="dxa"/>
          </w:tcPr>
          <w:p w14:paraId="7F6986E5"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Theme="minorHAnsi" w:cs="Arial"/>
                <w:szCs w:val="20"/>
              </w:rPr>
              <w:t>Q0308</w:t>
            </w:r>
          </w:p>
        </w:tc>
        <w:tc>
          <w:tcPr>
            <w:tcW w:w="2718" w:type="dxa"/>
          </w:tcPr>
          <w:p w14:paraId="0E69053E"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Dokazovanje SARS-CoV-2  PCR test</w:t>
            </w:r>
          </w:p>
        </w:tc>
        <w:tc>
          <w:tcPr>
            <w:tcW w:w="1677" w:type="dxa"/>
          </w:tcPr>
          <w:p w14:paraId="6DFACD59"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preiskava</w:t>
            </w:r>
          </w:p>
        </w:tc>
        <w:tc>
          <w:tcPr>
            <w:tcW w:w="2397" w:type="dxa"/>
          </w:tcPr>
          <w:p w14:paraId="49A4C784"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45</w:t>
            </w:r>
          </w:p>
        </w:tc>
      </w:tr>
      <w:tr w:rsidR="00CE2B29" w:rsidRPr="005E4BEA" w14:paraId="520B4C19" w14:textId="77777777" w:rsidTr="00F40403">
        <w:tc>
          <w:tcPr>
            <w:tcW w:w="1696" w:type="dxa"/>
          </w:tcPr>
          <w:p w14:paraId="423C6224" w14:textId="77777777" w:rsidR="00CE2B29" w:rsidRPr="005E4BEA" w:rsidRDefault="00CE2B29" w:rsidP="00F40403">
            <w:pPr>
              <w:autoSpaceDE w:val="0"/>
              <w:autoSpaceDN w:val="0"/>
              <w:adjustRightInd w:val="0"/>
              <w:spacing w:line="0" w:lineRule="atLeast"/>
              <w:jc w:val="both"/>
              <w:rPr>
                <w:rFonts w:eastAsiaTheme="minorHAnsi" w:cs="Arial"/>
                <w:szCs w:val="20"/>
              </w:rPr>
            </w:pPr>
            <w:r w:rsidRPr="005E4BEA">
              <w:rPr>
                <w:rFonts w:eastAsiaTheme="minorHAnsi" w:cs="Arial"/>
                <w:szCs w:val="20"/>
              </w:rPr>
              <w:t>Q03xx</w:t>
            </w:r>
          </w:p>
        </w:tc>
        <w:tc>
          <w:tcPr>
            <w:tcW w:w="2718" w:type="dxa"/>
          </w:tcPr>
          <w:p w14:paraId="218DCB95"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cs="Arial"/>
                <w:szCs w:val="20"/>
              </w:rPr>
              <w:t>SARS-CoV-3 in HAGT</w:t>
            </w:r>
          </w:p>
        </w:tc>
        <w:tc>
          <w:tcPr>
            <w:tcW w:w="1677" w:type="dxa"/>
          </w:tcPr>
          <w:p w14:paraId="57C7D810"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preiskava</w:t>
            </w:r>
          </w:p>
        </w:tc>
        <w:tc>
          <w:tcPr>
            <w:tcW w:w="2397" w:type="dxa"/>
          </w:tcPr>
          <w:p w14:paraId="28B8BBD9"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7</w:t>
            </w:r>
          </w:p>
        </w:tc>
      </w:tr>
      <w:tr w:rsidR="00CE2B29" w:rsidRPr="005E4BEA" w14:paraId="2561B035" w14:textId="77777777" w:rsidTr="00F40403">
        <w:tc>
          <w:tcPr>
            <w:tcW w:w="1696" w:type="dxa"/>
          </w:tcPr>
          <w:p w14:paraId="167333E0" w14:textId="77777777" w:rsidR="00CE2B29" w:rsidRPr="005E4BEA" w:rsidRDefault="00CE2B29" w:rsidP="00F40403">
            <w:pPr>
              <w:autoSpaceDE w:val="0"/>
              <w:autoSpaceDN w:val="0"/>
              <w:adjustRightInd w:val="0"/>
              <w:spacing w:line="0" w:lineRule="atLeast"/>
              <w:jc w:val="both"/>
              <w:rPr>
                <w:rFonts w:eastAsiaTheme="minorHAnsi" w:cs="Arial"/>
                <w:szCs w:val="20"/>
              </w:rPr>
            </w:pPr>
            <w:r w:rsidRPr="005E4BEA">
              <w:rPr>
                <w:rFonts w:eastAsiaTheme="minorHAnsi" w:cs="Arial"/>
                <w:szCs w:val="20"/>
              </w:rPr>
              <w:t>Q03xx</w:t>
            </w:r>
          </w:p>
        </w:tc>
        <w:tc>
          <w:tcPr>
            <w:tcW w:w="2718" w:type="dxa"/>
          </w:tcPr>
          <w:p w14:paraId="5C99D537" w14:textId="77777777" w:rsidR="00CE2B29" w:rsidRPr="005E4BEA" w:rsidRDefault="00CE2B29" w:rsidP="00F40403">
            <w:pPr>
              <w:autoSpaceDE w:val="0"/>
              <w:autoSpaceDN w:val="0"/>
              <w:adjustRightInd w:val="0"/>
              <w:spacing w:line="0" w:lineRule="atLeast"/>
              <w:jc w:val="both"/>
              <w:rPr>
                <w:rFonts w:cs="Arial"/>
                <w:szCs w:val="20"/>
              </w:rPr>
            </w:pPr>
            <w:r w:rsidRPr="005E4BEA">
              <w:rPr>
                <w:rFonts w:cs="Arial"/>
                <w:szCs w:val="20"/>
              </w:rPr>
              <w:t>Odvzem brisa SARS-Cov-2 in enostavni PCR test*</w:t>
            </w:r>
          </w:p>
        </w:tc>
        <w:tc>
          <w:tcPr>
            <w:tcW w:w="1677" w:type="dxa"/>
          </w:tcPr>
          <w:p w14:paraId="14958BB4"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Preiskava </w:t>
            </w:r>
          </w:p>
        </w:tc>
        <w:tc>
          <w:tcPr>
            <w:tcW w:w="2397" w:type="dxa"/>
          </w:tcPr>
          <w:p w14:paraId="481D415F"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25</w:t>
            </w:r>
          </w:p>
        </w:tc>
      </w:tr>
    </w:tbl>
    <w:p w14:paraId="7DE8DD02" w14:textId="69739600" w:rsidR="00201366" w:rsidRPr="005E4BEA" w:rsidRDefault="00201366" w:rsidP="00201366">
      <w:pPr>
        <w:autoSpaceDE w:val="0"/>
        <w:autoSpaceDN w:val="0"/>
        <w:adjustRightInd w:val="0"/>
        <w:spacing w:line="0" w:lineRule="atLeast"/>
        <w:jc w:val="both"/>
        <w:rPr>
          <w:rFonts w:eastAsiaTheme="minorHAnsi" w:cs="Arial"/>
          <w:szCs w:val="20"/>
        </w:rPr>
      </w:pPr>
    </w:p>
    <w:p w14:paraId="5FCB64FB" w14:textId="77777777" w:rsidR="00CE2B29" w:rsidRPr="005E4BEA" w:rsidRDefault="00CE2B29" w:rsidP="00CE2B29">
      <w:pPr>
        <w:jc w:val="both"/>
        <w:rPr>
          <w:rFonts w:eastAsia="Arial Narrow" w:cs="Arial"/>
          <w:szCs w:val="20"/>
        </w:rPr>
      </w:pPr>
      <w:r w:rsidRPr="005E4BEA">
        <w:rPr>
          <w:rFonts w:eastAsia="Arial Narrow" w:cs="Arial"/>
          <w:szCs w:val="20"/>
        </w:rPr>
        <w:t>*lahko zaračunava bolnišnica, ki ima dovoljenje in izvaja enostavne PCR teste</w:t>
      </w:r>
    </w:p>
    <w:p w14:paraId="43A6ED09" w14:textId="66992846" w:rsidR="00201366" w:rsidRPr="005E4BEA" w:rsidRDefault="00201366" w:rsidP="00201366">
      <w:pPr>
        <w:spacing w:line="120" w:lineRule="auto"/>
        <w:jc w:val="both"/>
        <w:rPr>
          <w:rFonts w:ascii="Arial Narrow" w:hAnsi="Arial Narrow"/>
          <w:sz w:val="22"/>
          <w:szCs w:val="22"/>
        </w:rPr>
      </w:pPr>
    </w:p>
    <w:p w14:paraId="1CAB0423" w14:textId="77777777" w:rsidR="000A237B" w:rsidRPr="005E4BEA" w:rsidRDefault="000A237B" w:rsidP="00201366">
      <w:pPr>
        <w:spacing w:line="120" w:lineRule="auto"/>
        <w:jc w:val="both"/>
        <w:rPr>
          <w:rFonts w:ascii="Arial Narrow" w:hAnsi="Arial Narrow"/>
          <w:sz w:val="22"/>
          <w:szCs w:val="22"/>
        </w:rPr>
      </w:pPr>
    </w:p>
    <w:p w14:paraId="75E058B2" w14:textId="7BE322A3" w:rsidR="00201366" w:rsidRPr="005E4BEA" w:rsidRDefault="000A237B" w:rsidP="000A237B">
      <w:pPr>
        <w:spacing w:line="240" w:lineRule="auto"/>
        <w:jc w:val="both"/>
        <w:rPr>
          <w:rFonts w:eastAsia="Arial Narrow" w:cs="Arial"/>
          <w:szCs w:val="20"/>
        </w:rPr>
      </w:pPr>
      <w:r w:rsidRPr="005E4BEA">
        <w:rPr>
          <w:rFonts w:eastAsia="Arial Narrow" w:cs="Arial"/>
          <w:szCs w:val="20"/>
        </w:rPr>
        <w:t>V primeru, da ima bolnišnica dovoljenje in izvaja enostavne PCR teste obračuna  Q0314 - Odvzem brisa SARS-CoV-2 in enostavni PCR test  s ceno 25,00 EUR.</w:t>
      </w:r>
    </w:p>
    <w:p w14:paraId="3AB78A1E" w14:textId="77777777" w:rsidR="00201366" w:rsidRPr="005E4BEA" w:rsidRDefault="00201366" w:rsidP="00201366">
      <w:pPr>
        <w:spacing w:line="240" w:lineRule="auto"/>
        <w:ind w:left="709"/>
        <w:jc w:val="both"/>
        <w:rPr>
          <w:rFonts w:ascii="Arial Narrow" w:hAnsi="Arial Narrow"/>
          <w:sz w:val="22"/>
          <w:szCs w:val="22"/>
        </w:rPr>
      </w:pPr>
    </w:p>
    <w:p w14:paraId="2E3A78A4" w14:textId="77777777" w:rsidR="00201366" w:rsidRPr="005E4BEA" w:rsidRDefault="00201366" w:rsidP="00201366">
      <w:pPr>
        <w:spacing w:line="240" w:lineRule="auto"/>
        <w:jc w:val="both"/>
        <w:rPr>
          <w:rFonts w:cs="Arial"/>
          <w:szCs w:val="20"/>
        </w:rPr>
      </w:pPr>
      <w:r w:rsidRPr="005E4BEA">
        <w:rPr>
          <w:rFonts w:cs="Arial"/>
          <w:szCs w:val="20"/>
        </w:rPr>
        <w:t>Spremembi veljata od 1. 7. 2022 oziroma od zaključka financiranja testov s strani proračuna RS.</w:t>
      </w:r>
    </w:p>
    <w:bookmarkEnd w:id="131"/>
    <w:p w14:paraId="1432F9F5" w14:textId="77777777" w:rsidR="00201366" w:rsidRPr="005E4BEA" w:rsidRDefault="00201366" w:rsidP="00201366">
      <w:pPr>
        <w:spacing w:line="240" w:lineRule="auto"/>
        <w:jc w:val="both"/>
        <w:rPr>
          <w:rFonts w:ascii="Arial Narrow" w:hAnsi="Arial Narrow"/>
          <w:sz w:val="22"/>
          <w:szCs w:val="22"/>
        </w:rPr>
      </w:pPr>
    </w:p>
    <w:p w14:paraId="02ABDF55" w14:textId="77777777" w:rsidR="00201366" w:rsidRPr="005E4BEA" w:rsidRDefault="00201366" w:rsidP="00201366">
      <w:pPr>
        <w:spacing w:line="240" w:lineRule="auto"/>
        <w:jc w:val="both"/>
        <w:rPr>
          <w:rFonts w:ascii="Arial Narrow" w:hAnsi="Arial Narrow"/>
          <w:b/>
          <w:bCs/>
          <w:color w:val="808080" w:themeColor="background1" w:themeShade="80"/>
          <w:sz w:val="22"/>
          <w:szCs w:val="22"/>
        </w:rPr>
      </w:pPr>
      <w:r w:rsidRPr="005E4BEA">
        <w:rPr>
          <w:rFonts w:ascii="Arial Narrow" w:hAnsi="Arial Narrow"/>
          <w:b/>
          <w:bCs/>
          <w:color w:val="808080" w:themeColor="background1" w:themeShade="80"/>
          <w:sz w:val="22"/>
          <w:szCs w:val="22"/>
        </w:rPr>
        <w:t>Obrazložitev:</w:t>
      </w:r>
    </w:p>
    <w:p w14:paraId="16A3839E" w14:textId="77777777" w:rsidR="00201366" w:rsidRPr="005E4BEA" w:rsidRDefault="00201366" w:rsidP="00201366">
      <w:pPr>
        <w:spacing w:line="40" w:lineRule="exact"/>
        <w:jc w:val="both"/>
        <w:rPr>
          <w:rFonts w:ascii="Arial Narrow" w:hAnsi="Arial Narrow"/>
          <w:color w:val="808080" w:themeColor="background1" w:themeShade="80"/>
          <w:sz w:val="22"/>
          <w:szCs w:val="22"/>
        </w:rPr>
      </w:pPr>
    </w:p>
    <w:p w14:paraId="19FCFFAC" w14:textId="6F8FDF58" w:rsidR="00201366" w:rsidRPr="005E4BEA" w:rsidRDefault="00201366" w:rsidP="00201366">
      <w:pPr>
        <w:spacing w:line="240" w:lineRule="auto"/>
        <w:jc w:val="both"/>
        <w:rPr>
          <w:rFonts w:ascii="Arial Narrow" w:eastAsiaTheme="minorHAnsi" w:hAnsi="Arial Narrow" w:cstheme="minorBidi"/>
          <w:i/>
          <w:color w:val="808080" w:themeColor="background1" w:themeShade="80"/>
          <w:sz w:val="22"/>
          <w:szCs w:val="21"/>
        </w:rPr>
      </w:pPr>
      <w:r w:rsidRPr="005E4BEA">
        <w:rPr>
          <w:rFonts w:ascii="Arial Narrow" w:eastAsiaTheme="minorHAnsi" w:hAnsi="Arial Narrow" w:cstheme="minorBidi"/>
          <w:i/>
          <w:color w:val="808080" w:themeColor="background1" w:themeShade="80"/>
          <w:sz w:val="22"/>
          <w:szCs w:val="21"/>
        </w:rPr>
        <w:t xml:space="preserve">Skladno z Zakonom o začasnih ukrepih za omilitev in odpravo posledice Covid-19 (PKP5) in Pravilnikom o izvajanju mikrobioloških preiskav na virus SARS-CoV-2 se do 30. 6. 2022 odvzem brisa za potrditev okužbe z virusom SARS-CoV-2 in neposredno dokazovanje nukleinske kisline SARS-CoV-2 (CORONA-19) plačuje iz sredstev proračuna. Ceni omenjenih storitev se določata s sklepom Ministrstva za zdravje in trenutno znašata 6 eur za odvzem brisa in 45 eur za neposredno dokazovanje. Zavod predlaga, da se po prenehanju plačevanja testiranja s strani proračuna izvajalcem zagotovi plačilo v višini, kot </w:t>
      </w:r>
      <w:r w:rsidR="000A237B" w:rsidRPr="005E4BEA">
        <w:rPr>
          <w:rFonts w:ascii="Arial Narrow" w:eastAsiaTheme="minorHAnsi" w:hAnsi="Arial Narrow" w:cstheme="minorBidi"/>
          <w:i/>
          <w:color w:val="808080" w:themeColor="background1" w:themeShade="80"/>
          <w:sz w:val="22"/>
          <w:szCs w:val="21"/>
        </w:rPr>
        <w:t>izhaja iz tabele.</w:t>
      </w:r>
    </w:p>
    <w:p w14:paraId="1DEF87C2" w14:textId="77777777" w:rsidR="005B0B4B" w:rsidRPr="005E4BEA" w:rsidRDefault="005B0B4B" w:rsidP="003C75B0">
      <w:pPr>
        <w:autoSpaceDE w:val="0"/>
        <w:autoSpaceDN w:val="0"/>
        <w:adjustRightInd w:val="0"/>
        <w:spacing w:line="0" w:lineRule="atLeast"/>
        <w:jc w:val="both"/>
        <w:rPr>
          <w:rFonts w:eastAsia="Arial Narrow" w:cs="Arial"/>
          <w:szCs w:val="20"/>
        </w:rPr>
      </w:pPr>
    </w:p>
    <w:p w14:paraId="70C93CFC" w14:textId="77777777" w:rsidR="003C75B0" w:rsidRPr="005E4BEA" w:rsidRDefault="003C75B0" w:rsidP="003C75B0">
      <w:pPr>
        <w:spacing w:line="0" w:lineRule="atLeast"/>
        <w:jc w:val="both"/>
        <w:rPr>
          <w:rFonts w:eastAsia="Arial Narrow" w:cs="Arial"/>
          <w:szCs w:val="20"/>
          <w:lang w:eastAsia="sl-SI"/>
        </w:rPr>
      </w:pPr>
    </w:p>
    <w:p w14:paraId="198DD7E2" w14:textId="245DA0EC" w:rsidR="000A237B" w:rsidRPr="005E4BEA" w:rsidRDefault="003C75B0" w:rsidP="000A237B">
      <w:pPr>
        <w:autoSpaceDE w:val="0"/>
        <w:autoSpaceDN w:val="0"/>
        <w:adjustRightInd w:val="0"/>
        <w:spacing w:line="0" w:lineRule="atLeast"/>
        <w:jc w:val="both"/>
        <w:rPr>
          <w:rFonts w:eastAsiaTheme="minorHAnsi"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32" w:name="_Hlk102651263"/>
      <w:r w:rsidRPr="005E4BEA">
        <w:rPr>
          <w:rFonts w:eastAsia="Arial Narrow" w:cs="Arial"/>
          <w:bCs/>
          <w:szCs w:val="20"/>
        </w:rPr>
        <w:t xml:space="preserve">da se </w:t>
      </w:r>
      <w:r w:rsidR="000A237B" w:rsidRPr="005E4BEA">
        <w:rPr>
          <w:rFonts w:eastAsia="Arial Narrow" w:cs="Arial"/>
          <w:szCs w:val="20"/>
        </w:rPr>
        <w:t>v</w:t>
      </w:r>
      <w:r w:rsidR="000A237B" w:rsidRPr="005E4BEA">
        <w:rPr>
          <w:rFonts w:eastAsiaTheme="minorHAnsi" w:cs="Arial"/>
          <w:szCs w:val="20"/>
        </w:rPr>
        <w:t xml:space="preserve"> Prilogi I/d spremenita ceni ločeno zaračunljivih storitev oziroma preiskav Q0311 in Q0312 tako, da se glasita:</w:t>
      </w:r>
    </w:p>
    <w:p w14:paraId="1044DB5F" w14:textId="3CA0934B" w:rsidR="00EE3995" w:rsidRPr="005E4BEA" w:rsidRDefault="00EE3995" w:rsidP="000A237B">
      <w:pPr>
        <w:autoSpaceDE w:val="0"/>
        <w:autoSpaceDN w:val="0"/>
        <w:adjustRightInd w:val="0"/>
        <w:spacing w:line="0" w:lineRule="atLeast"/>
        <w:jc w:val="both"/>
        <w:rPr>
          <w:rFonts w:eastAsiaTheme="minorHAnsi" w:cs="Arial"/>
          <w:szCs w:val="20"/>
        </w:rPr>
      </w:pPr>
    </w:p>
    <w:tbl>
      <w:tblPr>
        <w:tblStyle w:val="Tabelamrea"/>
        <w:tblW w:w="0" w:type="auto"/>
        <w:tblLook w:val="04A0" w:firstRow="1" w:lastRow="0" w:firstColumn="1" w:lastColumn="0" w:noHBand="0" w:noVBand="1"/>
      </w:tblPr>
      <w:tblGrid>
        <w:gridCol w:w="1696"/>
        <w:gridCol w:w="2718"/>
        <w:gridCol w:w="1677"/>
        <w:gridCol w:w="2397"/>
      </w:tblGrid>
      <w:tr w:rsidR="00CE2B29" w:rsidRPr="005E4BEA" w14:paraId="5FEDF608" w14:textId="77777777" w:rsidTr="00F40403">
        <w:tc>
          <w:tcPr>
            <w:tcW w:w="1696" w:type="dxa"/>
          </w:tcPr>
          <w:p w14:paraId="57BA4B04"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Šifra po šifrantu 15.28</w:t>
            </w:r>
          </w:p>
        </w:tc>
        <w:tc>
          <w:tcPr>
            <w:tcW w:w="2718" w:type="dxa"/>
          </w:tcPr>
          <w:p w14:paraId="20DCCC85"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Ločeno zaračunljivi materiali in preiskave</w:t>
            </w:r>
          </w:p>
        </w:tc>
        <w:tc>
          <w:tcPr>
            <w:tcW w:w="1677" w:type="dxa"/>
          </w:tcPr>
          <w:p w14:paraId="519ECBA7"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Merska enota</w:t>
            </w:r>
          </w:p>
        </w:tc>
        <w:tc>
          <w:tcPr>
            <w:tcW w:w="2397" w:type="dxa"/>
          </w:tcPr>
          <w:p w14:paraId="53F7AE7E" w14:textId="77777777" w:rsidR="00CE2B29" w:rsidRPr="005E4BEA" w:rsidRDefault="00CE2B29" w:rsidP="00F40403">
            <w:pPr>
              <w:autoSpaceDE w:val="0"/>
              <w:autoSpaceDN w:val="0"/>
              <w:adjustRightInd w:val="0"/>
              <w:spacing w:line="0" w:lineRule="atLeast"/>
              <w:jc w:val="both"/>
              <w:rPr>
                <w:rFonts w:eastAsia="Arial Narrow" w:cs="Arial"/>
                <w:b/>
                <w:bCs/>
                <w:szCs w:val="20"/>
              </w:rPr>
            </w:pPr>
            <w:r w:rsidRPr="005E4BEA">
              <w:rPr>
                <w:rFonts w:eastAsia="Arial Narrow" w:cs="Arial"/>
                <w:b/>
                <w:bCs/>
                <w:szCs w:val="20"/>
              </w:rPr>
              <w:t>Tekoča cena za mersko enoto (v EUR)</w:t>
            </w:r>
          </w:p>
        </w:tc>
      </w:tr>
      <w:tr w:rsidR="00CE2B29" w:rsidRPr="005E4BEA" w14:paraId="2F5B5AD5" w14:textId="77777777" w:rsidTr="00F40403">
        <w:tc>
          <w:tcPr>
            <w:tcW w:w="1696" w:type="dxa"/>
          </w:tcPr>
          <w:p w14:paraId="47047E14"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Theme="minorHAnsi" w:cs="Arial"/>
                <w:szCs w:val="20"/>
              </w:rPr>
              <w:t>Q0310</w:t>
            </w:r>
          </w:p>
        </w:tc>
        <w:tc>
          <w:tcPr>
            <w:tcW w:w="2718" w:type="dxa"/>
          </w:tcPr>
          <w:p w14:paraId="126591B2"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Odvzem brisa SARS-CoV-2 za PCR test</w:t>
            </w:r>
          </w:p>
        </w:tc>
        <w:tc>
          <w:tcPr>
            <w:tcW w:w="1677" w:type="dxa"/>
          </w:tcPr>
          <w:p w14:paraId="5D9317A1"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preiskava</w:t>
            </w:r>
          </w:p>
        </w:tc>
        <w:tc>
          <w:tcPr>
            <w:tcW w:w="2397" w:type="dxa"/>
          </w:tcPr>
          <w:p w14:paraId="6EFE5DA4"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6</w:t>
            </w:r>
          </w:p>
        </w:tc>
      </w:tr>
      <w:tr w:rsidR="00CE2B29" w:rsidRPr="005E4BEA" w14:paraId="5141C5F6" w14:textId="77777777" w:rsidTr="00F40403">
        <w:tc>
          <w:tcPr>
            <w:tcW w:w="1696" w:type="dxa"/>
          </w:tcPr>
          <w:p w14:paraId="5EB879C4"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Theme="minorHAnsi" w:cs="Arial"/>
                <w:szCs w:val="20"/>
              </w:rPr>
              <w:t>Q0308</w:t>
            </w:r>
          </w:p>
        </w:tc>
        <w:tc>
          <w:tcPr>
            <w:tcW w:w="2718" w:type="dxa"/>
          </w:tcPr>
          <w:p w14:paraId="66242C9E"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Dokazovanje SARS-CoV-2  PCR test</w:t>
            </w:r>
          </w:p>
        </w:tc>
        <w:tc>
          <w:tcPr>
            <w:tcW w:w="1677" w:type="dxa"/>
          </w:tcPr>
          <w:p w14:paraId="14D09021"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preiskava</w:t>
            </w:r>
          </w:p>
        </w:tc>
        <w:tc>
          <w:tcPr>
            <w:tcW w:w="2397" w:type="dxa"/>
          </w:tcPr>
          <w:p w14:paraId="2035F697"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45</w:t>
            </w:r>
          </w:p>
        </w:tc>
      </w:tr>
      <w:tr w:rsidR="00CE2B29" w:rsidRPr="005E4BEA" w14:paraId="3992F32F" w14:textId="77777777" w:rsidTr="00F40403">
        <w:tc>
          <w:tcPr>
            <w:tcW w:w="1696" w:type="dxa"/>
          </w:tcPr>
          <w:p w14:paraId="635456AA" w14:textId="77777777" w:rsidR="00CE2B29" w:rsidRPr="005E4BEA" w:rsidRDefault="00CE2B29" w:rsidP="00F40403">
            <w:pPr>
              <w:autoSpaceDE w:val="0"/>
              <w:autoSpaceDN w:val="0"/>
              <w:adjustRightInd w:val="0"/>
              <w:spacing w:line="0" w:lineRule="atLeast"/>
              <w:jc w:val="both"/>
              <w:rPr>
                <w:rFonts w:eastAsiaTheme="minorHAnsi" w:cs="Arial"/>
                <w:szCs w:val="20"/>
              </w:rPr>
            </w:pPr>
            <w:r w:rsidRPr="005E4BEA">
              <w:rPr>
                <w:rFonts w:eastAsiaTheme="minorHAnsi" w:cs="Arial"/>
                <w:szCs w:val="20"/>
              </w:rPr>
              <w:t>Q03xx</w:t>
            </w:r>
          </w:p>
        </w:tc>
        <w:tc>
          <w:tcPr>
            <w:tcW w:w="2718" w:type="dxa"/>
          </w:tcPr>
          <w:p w14:paraId="358DB1F8"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cs="Arial"/>
                <w:szCs w:val="20"/>
              </w:rPr>
              <w:t>SARS-CoV-3 in HAGT</w:t>
            </w:r>
          </w:p>
        </w:tc>
        <w:tc>
          <w:tcPr>
            <w:tcW w:w="1677" w:type="dxa"/>
          </w:tcPr>
          <w:p w14:paraId="17F13463"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preiskava</w:t>
            </w:r>
          </w:p>
        </w:tc>
        <w:tc>
          <w:tcPr>
            <w:tcW w:w="2397" w:type="dxa"/>
          </w:tcPr>
          <w:p w14:paraId="1B7383C6"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7</w:t>
            </w:r>
          </w:p>
        </w:tc>
      </w:tr>
      <w:tr w:rsidR="00CE2B29" w:rsidRPr="005E4BEA" w14:paraId="50E1364F" w14:textId="77777777" w:rsidTr="00F40403">
        <w:tc>
          <w:tcPr>
            <w:tcW w:w="1696" w:type="dxa"/>
          </w:tcPr>
          <w:p w14:paraId="55882B03" w14:textId="77777777" w:rsidR="00CE2B29" w:rsidRPr="005E4BEA" w:rsidRDefault="00CE2B29" w:rsidP="00F40403">
            <w:pPr>
              <w:autoSpaceDE w:val="0"/>
              <w:autoSpaceDN w:val="0"/>
              <w:adjustRightInd w:val="0"/>
              <w:spacing w:line="0" w:lineRule="atLeast"/>
              <w:jc w:val="both"/>
              <w:rPr>
                <w:rFonts w:eastAsiaTheme="minorHAnsi" w:cs="Arial"/>
                <w:szCs w:val="20"/>
              </w:rPr>
            </w:pPr>
            <w:r w:rsidRPr="005E4BEA">
              <w:rPr>
                <w:rFonts w:eastAsiaTheme="minorHAnsi" w:cs="Arial"/>
                <w:szCs w:val="20"/>
              </w:rPr>
              <w:t>Q03xx</w:t>
            </w:r>
          </w:p>
        </w:tc>
        <w:tc>
          <w:tcPr>
            <w:tcW w:w="2718" w:type="dxa"/>
          </w:tcPr>
          <w:p w14:paraId="63E7033B" w14:textId="77777777" w:rsidR="00CE2B29" w:rsidRPr="005E4BEA" w:rsidRDefault="00CE2B29" w:rsidP="00F40403">
            <w:pPr>
              <w:autoSpaceDE w:val="0"/>
              <w:autoSpaceDN w:val="0"/>
              <w:adjustRightInd w:val="0"/>
              <w:spacing w:line="0" w:lineRule="atLeast"/>
              <w:jc w:val="both"/>
              <w:rPr>
                <w:rFonts w:cs="Arial"/>
                <w:szCs w:val="20"/>
              </w:rPr>
            </w:pPr>
            <w:r w:rsidRPr="005E4BEA">
              <w:rPr>
                <w:rFonts w:cs="Arial"/>
                <w:szCs w:val="20"/>
              </w:rPr>
              <w:t>Odvzem brisa SARS-Cov-2 in enostavni PCR test*</w:t>
            </w:r>
          </w:p>
        </w:tc>
        <w:tc>
          <w:tcPr>
            <w:tcW w:w="1677" w:type="dxa"/>
          </w:tcPr>
          <w:p w14:paraId="3073D2EA"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 xml:space="preserve">Preiskava </w:t>
            </w:r>
          </w:p>
        </w:tc>
        <w:tc>
          <w:tcPr>
            <w:tcW w:w="2397" w:type="dxa"/>
          </w:tcPr>
          <w:p w14:paraId="666F24BC" w14:textId="77777777" w:rsidR="00CE2B29" w:rsidRPr="005E4BEA" w:rsidRDefault="00CE2B29" w:rsidP="00F40403">
            <w:pPr>
              <w:autoSpaceDE w:val="0"/>
              <w:autoSpaceDN w:val="0"/>
              <w:adjustRightInd w:val="0"/>
              <w:spacing w:line="0" w:lineRule="atLeast"/>
              <w:jc w:val="both"/>
              <w:rPr>
                <w:rFonts w:eastAsia="Arial Narrow" w:cs="Arial"/>
                <w:szCs w:val="20"/>
              </w:rPr>
            </w:pPr>
            <w:r w:rsidRPr="005E4BEA">
              <w:rPr>
                <w:rFonts w:eastAsia="Arial Narrow" w:cs="Arial"/>
                <w:szCs w:val="20"/>
              </w:rPr>
              <w:t>25</w:t>
            </w:r>
          </w:p>
        </w:tc>
      </w:tr>
    </w:tbl>
    <w:p w14:paraId="48355229" w14:textId="77777777" w:rsidR="00EE3995" w:rsidRPr="005E4BEA" w:rsidRDefault="00EE3995" w:rsidP="00EE3995">
      <w:pPr>
        <w:spacing w:line="120" w:lineRule="auto"/>
        <w:jc w:val="both"/>
        <w:rPr>
          <w:rFonts w:ascii="Arial Narrow" w:hAnsi="Arial Narrow"/>
          <w:sz w:val="22"/>
          <w:szCs w:val="22"/>
        </w:rPr>
      </w:pPr>
    </w:p>
    <w:p w14:paraId="409DCB0E" w14:textId="77777777" w:rsidR="00EE3995" w:rsidRPr="005E4BEA" w:rsidRDefault="00EE3995" w:rsidP="00EE3995">
      <w:pPr>
        <w:spacing w:line="120" w:lineRule="auto"/>
        <w:jc w:val="both"/>
        <w:rPr>
          <w:rFonts w:ascii="Arial Narrow" w:hAnsi="Arial Narrow"/>
          <w:sz w:val="22"/>
          <w:szCs w:val="22"/>
        </w:rPr>
      </w:pPr>
    </w:p>
    <w:p w14:paraId="6B51D282" w14:textId="77777777" w:rsidR="00CE2B29" w:rsidRPr="005E4BEA" w:rsidRDefault="00CE2B29" w:rsidP="00CE2B29">
      <w:pPr>
        <w:jc w:val="both"/>
        <w:rPr>
          <w:rFonts w:eastAsia="Arial Narrow" w:cs="Arial"/>
          <w:szCs w:val="20"/>
        </w:rPr>
      </w:pPr>
      <w:r w:rsidRPr="005E4BEA">
        <w:rPr>
          <w:rFonts w:eastAsia="Arial Narrow" w:cs="Arial"/>
          <w:szCs w:val="20"/>
        </w:rPr>
        <w:t>*lahko zaračunava bolnišnica, ki ima dovoljenje in izvaja enostavne PCR teste</w:t>
      </w:r>
    </w:p>
    <w:p w14:paraId="59B4C718" w14:textId="77777777" w:rsidR="00EE3995" w:rsidRPr="005E4BEA" w:rsidRDefault="00EE3995" w:rsidP="00EE3995">
      <w:pPr>
        <w:spacing w:line="240" w:lineRule="auto"/>
        <w:ind w:left="709"/>
        <w:jc w:val="both"/>
        <w:rPr>
          <w:rFonts w:ascii="Arial Narrow" w:hAnsi="Arial Narrow"/>
          <w:sz w:val="22"/>
          <w:szCs w:val="22"/>
        </w:rPr>
      </w:pPr>
    </w:p>
    <w:p w14:paraId="0C6A2507" w14:textId="61558877" w:rsidR="00EE3995" w:rsidRPr="005E4BEA" w:rsidRDefault="00EE3995" w:rsidP="00EE3995">
      <w:pPr>
        <w:spacing w:line="240" w:lineRule="auto"/>
        <w:jc w:val="both"/>
        <w:rPr>
          <w:rFonts w:eastAsiaTheme="minorHAnsi" w:cs="Arial"/>
          <w:szCs w:val="20"/>
        </w:rPr>
      </w:pPr>
      <w:r w:rsidRPr="005E4BEA">
        <w:rPr>
          <w:rFonts w:cs="Arial"/>
          <w:szCs w:val="20"/>
        </w:rPr>
        <w:t>Spremembi veljata od 1. 7. 2022 oziroma od zaključka financiranja testov s strani proračuna RS.</w:t>
      </w:r>
    </w:p>
    <w:bookmarkEnd w:id="132"/>
    <w:p w14:paraId="2FEF8D1A" w14:textId="1404FD28" w:rsidR="00EE3995" w:rsidRPr="005E4BEA" w:rsidRDefault="00EE3995" w:rsidP="000A237B">
      <w:pPr>
        <w:autoSpaceDE w:val="0"/>
        <w:autoSpaceDN w:val="0"/>
        <w:adjustRightInd w:val="0"/>
        <w:spacing w:line="0" w:lineRule="atLeast"/>
        <w:jc w:val="both"/>
        <w:rPr>
          <w:rFonts w:eastAsiaTheme="minorHAnsi" w:cs="Arial"/>
          <w:szCs w:val="20"/>
        </w:rPr>
      </w:pPr>
    </w:p>
    <w:p w14:paraId="1F196B37" w14:textId="2B9863FD" w:rsidR="003C75B0" w:rsidRPr="005E4BEA" w:rsidRDefault="003C75B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(107)</w:t>
      </w:r>
    </w:p>
    <w:p w14:paraId="2D32EBCE" w14:textId="77777777" w:rsidR="003C75B0" w:rsidRPr="005E4BEA" w:rsidRDefault="003C75B0" w:rsidP="003C75B0">
      <w:pPr>
        <w:spacing w:line="240" w:lineRule="auto"/>
        <w:jc w:val="both"/>
        <w:rPr>
          <w:rFonts w:eastAsia="Arial Narrow" w:cs="Arial"/>
          <w:b/>
          <w:szCs w:val="20"/>
        </w:rPr>
      </w:pPr>
    </w:p>
    <w:p w14:paraId="0B8E5508" w14:textId="26FB269D" w:rsidR="00FE461F" w:rsidRPr="005E4BEA" w:rsidRDefault="003C75B0" w:rsidP="003C75B0">
      <w:pPr>
        <w:spacing w:after="160" w:line="259" w:lineRule="auto"/>
        <w:jc w:val="both"/>
        <w:rPr>
          <w:rFonts w:eastAsia="Calibri" w:cs="Arial"/>
          <w:bCs/>
          <w:szCs w:val="20"/>
        </w:rPr>
      </w:pPr>
      <w:r w:rsidRPr="005E4BEA">
        <w:rPr>
          <w:rFonts w:eastAsia="Arial Narrow" w:cs="Arial"/>
          <w:b/>
          <w:szCs w:val="20"/>
        </w:rPr>
        <w:t xml:space="preserve">Lekarniška zbornica Slovenije </w:t>
      </w:r>
      <w:r w:rsidRPr="005E4BEA">
        <w:rPr>
          <w:rFonts w:eastAsiaTheme="minorHAnsi" w:cs="Arial"/>
          <w:b/>
          <w:szCs w:val="20"/>
        </w:rPr>
        <w:t>predlaga</w:t>
      </w:r>
      <w:r w:rsidRPr="005E4BEA">
        <w:rPr>
          <w:rFonts w:eastAsiaTheme="minorHAnsi" w:cs="Arial"/>
          <w:bCs/>
          <w:szCs w:val="20"/>
        </w:rPr>
        <w:t>, da se v</w:t>
      </w:r>
      <w:r w:rsidRPr="005E4BEA">
        <w:rPr>
          <w:rFonts w:eastAsiaTheme="minorHAnsi" w:cs="Arial"/>
          <w:b/>
          <w:bCs/>
          <w:szCs w:val="20"/>
        </w:rPr>
        <w:t xml:space="preserve"> </w:t>
      </w:r>
      <w:r w:rsidR="00FE461F" w:rsidRPr="005E4BEA">
        <w:rPr>
          <w:rFonts w:eastAsia="Calibri" w:cs="Arial"/>
          <w:bCs/>
          <w:szCs w:val="20"/>
        </w:rPr>
        <w:t xml:space="preserve">Prilogi I (743 601) Lekarniška dejavnost  </w:t>
      </w:r>
      <w:proofErr w:type="spellStart"/>
      <w:r w:rsidR="00FE461F" w:rsidRPr="005E4BEA">
        <w:rPr>
          <w:rFonts w:eastAsia="Calibri" w:cs="Arial"/>
          <w:bCs/>
          <w:szCs w:val="20"/>
        </w:rPr>
        <w:t>kalkulativni</w:t>
      </w:r>
      <w:proofErr w:type="spellEnd"/>
      <w:r w:rsidR="00FE461F" w:rsidRPr="005E4BEA">
        <w:rPr>
          <w:rFonts w:eastAsia="Calibri" w:cs="Arial"/>
          <w:bCs/>
          <w:szCs w:val="20"/>
        </w:rPr>
        <w:t xml:space="preserve"> element »Materialni stroški« poveča za 649,03 EUR (na tim) oz. skupno za 429.341 EUR tako da se v </w:t>
      </w:r>
      <w:proofErr w:type="spellStart"/>
      <w:r w:rsidR="00FE461F" w:rsidRPr="005E4BEA">
        <w:rPr>
          <w:rFonts w:eastAsia="Calibri" w:cs="Arial"/>
          <w:bCs/>
          <w:szCs w:val="20"/>
        </w:rPr>
        <w:t>kalkulativnih</w:t>
      </w:r>
      <w:proofErr w:type="spellEnd"/>
      <w:r w:rsidR="00FE461F" w:rsidRPr="005E4BEA">
        <w:rPr>
          <w:rFonts w:eastAsia="Calibri" w:cs="Arial"/>
          <w:bCs/>
          <w:szCs w:val="20"/>
        </w:rPr>
        <w:t xml:space="preserve"> elementih glasi:</w:t>
      </w:r>
    </w:p>
    <w:p w14:paraId="6E60CC79" w14:textId="77777777" w:rsidR="00FE461F" w:rsidRPr="005E4BEA" w:rsidRDefault="00FE461F" w:rsidP="00FE461F">
      <w:pPr>
        <w:spacing w:line="240" w:lineRule="auto"/>
        <w:jc w:val="both"/>
        <w:rPr>
          <w:rFonts w:eastAsia="Calibri" w:cs="Arial"/>
          <w:szCs w:val="20"/>
        </w:rPr>
      </w:pPr>
      <w:r w:rsidRPr="005E4BEA">
        <w:rPr>
          <w:rFonts w:eastAsia="Calibri" w:cs="Arial"/>
          <w:szCs w:val="20"/>
        </w:rPr>
        <w:t>»</w:t>
      </w:r>
    </w:p>
    <w:tbl>
      <w:tblPr>
        <w:tblW w:w="5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180"/>
        <w:gridCol w:w="1540"/>
      </w:tblGrid>
      <w:tr w:rsidR="00FE461F" w:rsidRPr="005E4BEA" w14:paraId="67E6BE0B" w14:textId="77777777" w:rsidTr="0016774B">
        <w:trPr>
          <w:trHeight w:val="270"/>
        </w:trPr>
        <w:tc>
          <w:tcPr>
            <w:tcW w:w="4180" w:type="dxa"/>
            <w:noWrap/>
            <w:vAlign w:val="bottom"/>
            <w:hideMark/>
          </w:tcPr>
          <w:p w14:paraId="1291437B"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MATERIALNI STROŠKI</w:t>
            </w:r>
          </w:p>
        </w:tc>
        <w:tc>
          <w:tcPr>
            <w:tcW w:w="1540" w:type="dxa"/>
            <w:noWrap/>
            <w:vAlign w:val="bottom"/>
            <w:hideMark/>
          </w:tcPr>
          <w:p w14:paraId="69D69388" w14:textId="77777777" w:rsidR="00FE461F" w:rsidRPr="005E4BEA" w:rsidRDefault="00FE461F" w:rsidP="00FE461F">
            <w:pPr>
              <w:spacing w:line="240" w:lineRule="auto"/>
              <w:jc w:val="right"/>
              <w:rPr>
                <w:rFonts w:cs="Arial"/>
                <w:szCs w:val="20"/>
                <w:lang w:eastAsia="sl-SI"/>
              </w:rPr>
            </w:pPr>
            <w:r w:rsidRPr="005E4BEA">
              <w:rPr>
                <w:rFonts w:cs="Arial"/>
                <w:szCs w:val="20"/>
                <w:lang w:eastAsia="sl-SI"/>
              </w:rPr>
              <w:t>10.669,10</w:t>
            </w:r>
          </w:p>
        </w:tc>
      </w:tr>
    </w:tbl>
    <w:p w14:paraId="1A158C95" w14:textId="77777777" w:rsidR="00FE461F" w:rsidRPr="005E4BEA" w:rsidRDefault="00FE461F" w:rsidP="00FE461F">
      <w:pPr>
        <w:spacing w:line="240" w:lineRule="auto"/>
        <w:jc w:val="both"/>
        <w:rPr>
          <w:rFonts w:eastAsia="Calibri" w:cs="Arial"/>
          <w:szCs w:val="20"/>
          <w:lang w:eastAsia="sl-SI"/>
        </w:rPr>
      </w:pPr>
      <w:r w:rsidRPr="005E4BEA">
        <w:rPr>
          <w:rFonts w:eastAsia="Calibri" w:cs="Arial"/>
          <w:szCs w:val="20"/>
          <w:lang w:eastAsia="sl-SI"/>
        </w:rPr>
        <w:t>»</w:t>
      </w:r>
    </w:p>
    <w:p w14:paraId="47BEE8C6"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01F4DA1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 skladu z 71. členom Zakona o lekarniški dejavnosti (ZLD-1, Ur. l. RS št. 85/2016) mora delodajalec farmacevtske strokovne delavce, ki delajo neposredno s pacienti, zavarovati za odgovornost za škodo, ki bi lahko nastala pri njihovem delu. Na podlagi 43. člena Pravilnika o razvrščanju, predpisovanju in izdajanju zdravil za uporabo v humani medicini je pooblaščene osebe za izdajo zdravil magister farmacije oziroma za zdravila brez recepta, pod nadzorom magistra farmacije, farmacevtski tehnik, iz česar izhaja, da sta ta dva profila farmacevtskih strokovnih delavcev vezana na neposredno delo s pacienti, to pomeni 1.052,3065 kadrov.</w:t>
      </w:r>
    </w:p>
    <w:p w14:paraId="295E3B0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Ocenjena vrednost zavarovanja poklicnih odgovornosti je 420.923 EUR. </w:t>
      </w:r>
    </w:p>
    <w:p w14:paraId="1F0B639F" w14:textId="77777777" w:rsidR="00FE461F" w:rsidRPr="005E4BEA" w:rsidRDefault="00FE461F" w:rsidP="00FE461F">
      <w:pPr>
        <w:spacing w:line="240" w:lineRule="auto"/>
        <w:jc w:val="both"/>
        <w:rPr>
          <w:rFonts w:cs="Arial"/>
          <w:szCs w:val="20"/>
          <w:lang w:eastAsia="sl-SI"/>
        </w:rPr>
      </w:pPr>
    </w:p>
    <w:p w14:paraId="12F9A0B5"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skupne finančne posledice: 429.341 EUR (sredstva OZZ in PZZ).</w:t>
      </w:r>
    </w:p>
    <w:p w14:paraId="0D97005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75137810" w14:textId="0C051986" w:rsidR="00FE461F" w:rsidRPr="005E4BEA" w:rsidRDefault="00FE461F" w:rsidP="00FE461F">
      <w:pPr>
        <w:spacing w:line="240" w:lineRule="auto"/>
        <w:jc w:val="both"/>
        <w:rPr>
          <w:rFonts w:eastAsia="Calibri" w:cs="Arial"/>
          <w:i/>
          <w:color w:val="808080"/>
          <w:szCs w:val="20"/>
        </w:rPr>
      </w:pPr>
    </w:p>
    <w:p w14:paraId="2794F25E" w14:textId="2F0EB017" w:rsidR="003C75B0" w:rsidRPr="005E4BEA" w:rsidRDefault="003C75B0" w:rsidP="003C75B0">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1822C982" w14:textId="77777777" w:rsidR="003C75B0" w:rsidRPr="005E4BEA" w:rsidRDefault="003C75B0" w:rsidP="003C75B0">
      <w:pPr>
        <w:spacing w:line="0" w:lineRule="atLeast"/>
        <w:jc w:val="both"/>
        <w:rPr>
          <w:rFonts w:eastAsia="Arial Narrow" w:cs="Arial"/>
          <w:szCs w:val="20"/>
          <w:lang w:eastAsia="sl-SI"/>
        </w:rPr>
      </w:pPr>
    </w:p>
    <w:p w14:paraId="3F96F69D" w14:textId="3B07781B" w:rsidR="003C75B0" w:rsidRPr="005E4BEA" w:rsidRDefault="003C75B0" w:rsidP="003C75B0">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33" w:name="_Hlk102478460"/>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bookmarkEnd w:id="133"/>
    <w:p w14:paraId="54617D92" w14:textId="77777777" w:rsidR="003C75B0" w:rsidRPr="005E4BEA" w:rsidRDefault="003C75B0" w:rsidP="003C75B0">
      <w:pPr>
        <w:spacing w:line="240" w:lineRule="auto"/>
        <w:jc w:val="both"/>
        <w:rPr>
          <w:rFonts w:cs="Arial"/>
          <w:szCs w:val="20"/>
        </w:rPr>
      </w:pPr>
    </w:p>
    <w:p w14:paraId="3B1B38EF" w14:textId="77777777" w:rsidR="003C75B0" w:rsidRPr="005E4BEA" w:rsidRDefault="003C75B0" w:rsidP="003C75B0">
      <w:pPr>
        <w:spacing w:line="240" w:lineRule="auto"/>
        <w:jc w:val="both"/>
        <w:rPr>
          <w:rFonts w:eastAsia="Calibri" w:cs="Arial"/>
          <w:i/>
          <w:iCs/>
          <w:color w:val="7F7F7F"/>
          <w:szCs w:val="20"/>
        </w:rPr>
      </w:pPr>
    </w:p>
    <w:p w14:paraId="1E63FC12" w14:textId="326A60E3" w:rsidR="003C75B0" w:rsidRPr="005E4BEA" w:rsidRDefault="003C75B0"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(108)</w:t>
      </w:r>
    </w:p>
    <w:p w14:paraId="7CCA10CF" w14:textId="77777777" w:rsidR="003C75B0" w:rsidRPr="005E4BEA" w:rsidRDefault="003C75B0" w:rsidP="003C75B0">
      <w:pPr>
        <w:spacing w:line="240" w:lineRule="auto"/>
        <w:jc w:val="both"/>
        <w:rPr>
          <w:rFonts w:eastAsia="Arial Narrow" w:cs="Arial"/>
          <w:b/>
          <w:szCs w:val="20"/>
        </w:rPr>
      </w:pPr>
    </w:p>
    <w:p w14:paraId="17BF1320" w14:textId="2F177FD0" w:rsidR="00FE461F" w:rsidRPr="005E4BEA" w:rsidRDefault="003C75B0" w:rsidP="003C75B0">
      <w:pPr>
        <w:spacing w:line="240" w:lineRule="auto"/>
        <w:jc w:val="both"/>
        <w:rPr>
          <w:rFonts w:eastAsia="Calibri" w:cs="Arial"/>
          <w:bCs/>
          <w:szCs w:val="20"/>
        </w:rPr>
      </w:pPr>
      <w:r w:rsidRPr="005E4BEA">
        <w:rPr>
          <w:rFonts w:eastAsia="Arial Narrow" w:cs="Arial"/>
          <w:b/>
          <w:szCs w:val="20"/>
        </w:rPr>
        <w:t xml:space="preserve">Lekarniška zbornica Slovenije </w:t>
      </w:r>
      <w:r w:rsidRPr="005E4BEA">
        <w:rPr>
          <w:rFonts w:eastAsiaTheme="minorHAnsi" w:cs="Arial"/>
          <w:b/>
          <w:szCs w:val="20"/>
        </w:rPr>
        <w:t>predlaga</w:t>
      </w:r>
      <w:r w:rsidRPr="005E4BEA">
        <w:rPr>
          <w:rFonts w:eastAsiaTheme="minorHAnsi" w:cs="Arial"/>
          <w:bCs/>
          <w:szCs w:val="20"/>
        </w:rPr>
        <w:t>, da se v</w:t>
      </w:r>
      <w:r w:rsidRPr="005E4BEA">
        <w:rPr>
          <w:rFonts w:eastAsiaTheme="minorHAnsi" w:cs="Arial"/>
          <w:b/>
          <w:bCs/>
          <w:szCs w:val="20"/>
        </w:rPr>
        <w:t xml:space="preserve"> </w:t>
      </w:r>
      <w:r w:rsidRPr="005E4BEA">
        <w:rPr>
          <w:rFonts w:eastAsia="Calibri" w:cs="Arial"/>
          <w:bCs/>
          <w:szCs w:val="20"/>
        </w:rPr>
        <w:t xml:space="preserve">Prilogi </w:t>
      </w:r>
      <w:r w:rsidR="00FE461F" w:rsidRPr="005E4BEA">
        <w:rPr>
          <w:rFonts w:eastAsia="Calibri" w:cs="Arial"/>
          <w:bCs/>
          <w:szCs w:val="20"/>
        </w:rPr>
        <w:t xml:space="preserve">(743 601) Lekarniška dejavnost  </w:t>
      </w:r>
      <w:proofErr w:type="spellStart"/>
      <w:r w:rsidR="00FE461F" w:rsidRPr="005E4BEA">
        <w:rPr>
          <w:rFonts w:eastAsia="Calibri" w:cs="Arial"/>
          <w:bCs/>
          <w:szCs w:val="20"/>
        </w:rPr>
        <w:t>kalkulativni</w:t>
      </w:r>
      <w:proofErr w:type="spellEnd"/>
      <w:r w:rsidR="00FE461F" w:rsidRPr="005E4BEA">
        <w:rPr>
          <w:rFonts w:eastAsia="Calibri" w:cs="Arial"/>
          <w:bCs/>
          <w:szCs w:val="20"/>
        </w:rPr>
        <w:t xml:space="preserve"> element »Dodatna sredstva za informatizacijo« poveča za 260,57 EUR na tim oz. skupno za 172.369 EUR, tako da se glasi:</w:t>
      </w:r>
    </w:p>
    <w:p w14:paraId="184D7DEE" w14:textId="77777777" w:rsidR="00FE461F" w:rsidRPr="005E4BEA" w:rsidRDefault="00FE461F" w:rsidP="00FE461F">
      <w:pPr>
        <w:spacing w:line="240" w:lineRule="auto"/>
        <w:jc w:val="both"/>
        <w:rPr>
          <w:rFonts w:eastAsia="Calibri" w:cs="Arial"/>
          <w:szCs w:val="20"/>
        </w:rPr>
      </w:pPr>
      <w:r w:rsidRPr="005E4BEA">
        <w:rPr>
          <w:rFonts w:eastAsia="Calibri" w:cs="Arial"/>
          <w:szCs w:val="20"/>
        </w:rPr>
        <w:t>»</w:t>
      </w:r>
    </w:p>
    <w:tbl>
      <w:tblPr>
        <w:tblW w:w="5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180"/>
        <w:gridCol w:w="1540"/>
      </w:tblGrid>
      <w:tr w:rsidR="00FE461F" w:rsidRPr="005E4BEA" w14:paraId="3FAE2AAA" w14:textId="77777777" w:rsidTr="0016774B">
        <w:trPr>
          <w:trHeight w:val="270"/>
        </w:trPr>
        <w:tc>
          <w:tcPr>
            <w:tcW w:w="4180" w:type="dxa"/>
            <w:noWrap/>
            <w:vAlign w:val="bottom"/>
            <w:hideMark/>
          </w:tcPr>
          <w:p w14:paraId="6FE4DBFD"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DODATNA SREDSTVA ZA INFORMATIZACIJO</w:t>
            </w:r>
          </w:p>
        </w:tc>
        <w:tc>
          <w:tcPr>
            <w:tcW w:w="1540" w:type="dxa"/>
            <w:noWrap/>
            <w:vAlign w:val="bottom"/>
            <w:hideMark/>
          </w:tcPr>
          <w:p w14:paraId="39D87285" w14:textId="77777777" w:rsidR="00FE461F" w:rsidRPr="005E4BEA" w:rsidRDefault="00FE461F" w:rsidP="00FE461F">
            <w:pPr>
              <w:spacing w:line="240" w:lineRule="auto"/>
              <w:jc w:val="right"/>
              <w:rPr>
                <w:rFonts w:cs="Arial"/>
                <w:szCs w:val="20"/>
                <w:lang w:eastAsia="sl-SI"/>
              </w:rPr>
            </w:pPr>
            <w:r w:rsidRPr="005E4BEA">
              <w:rPr>
                <w:rFonts w:cs="Arial"/>
                <w:szCs w:val="20"/>
                <w:lang w:eastAsia="sl-SI"/>
              </w:rPr>
              <w:t>1.350,95</w:t>
            </w:r>
          </w:p>
        </w:tc>
      </w:tr>
    </w:tbl>
    <w:p w14:paraId="17A78723" w14:textId="77777777" w:rsidR="00FE461F" w:rsidRPr="005E4BEA" w:rsidRDefault="00FE461F" w:rsidP="00FE461F">
      <w:pPr>
        <w:spacing w:line="240" w:lineRule="auto"/>
        <w:jc w:val="both"/>
        <w:rPr>
          <w:rFonts w:eastAsia="Calibri" w:cs="Arial"/>
          <w:szCs w:val="20"/>
          <w:lang w:eastAsia="sl-SI"/>
        </w:rPr>
      </w:pPr>
      <w:r w:rsidRPr="005E4BEA">
        <w:rPr>
          <w:rFonts w:eastAsia="Calibri" w:cs="Arial"/>
          <w:szCs w:val="20"/>
          <w:lang w:eastAsia="sl-SI"/>
        </w:rPr>
        <w:t>»</w:t>
      </w:r>
    </w:p>
    <w:p w14:paraId="10F81938"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18EC221C"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podlagi 22. člena Zakona o lekarniški dejavnosti (ZLD-1, Ur. l. RS št. 85/2016) morajo izvajalci lekarniške dejavnosti vzdrževati sistem kakovosti, ki vključuje organizacijsko strukturo, postopke, procese in vire, potrebne za izvajanje lekarniške dejavnosti v skladu s standardi lekarniške dejavnosti in pravili dobre lekarniške prakse, ki jih sprejme pristojna zbornica  </w:t>
      </w:r>
    </w:p>
    <w:p w14:paraId="35E53875"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podlagi ocene delovne skupine LZS bodo stroški za uskladitev in vzdrževanje sistema kakovosti v informacijskih rešitvah lekarn znašali 172.369 EUR, zaradi česar predlagamo, da se te stroške vključi v </w:t>
      </w:r>
      <w:proofErr w:type="spellStart"/>
      <w:r w:rsidRPr="005E4BEA">
        <w:rPr>
          <w:rFonts w:eastAsia="Calibri" w:cs="Arial"/>
          <w:i/>
          <w:color w:val="808080"/>
          <w:szCs w:val="20"/>
        </w:rPr>
        <w:t>kalkulativne</w:t>
      </w:r>
      <w:proofErr w:type="spellEnd"/>
      <w:r w:rsidRPr="005E4BEA">
        <w:rPr>
          <w:rFonts w:eastAsia="Calibri" w:cs="Arial"/>
          <w:i/>
          <w:color w:val="808080"/>
          <w:szCs w:val="20"/>
        </w:rPr>
        <w:t xml:space="preserve"> elemente točke. . </w:t>
      </w:r>
    </w:p>
    <w:p w14:paraId="35B3A165" w14:textId="77777777" w:rsidR="00FE461F" w:rsidRPr="005E4BEA" w:rsidRDefault="00FE461F" w:rsidP="00FE461F">
      <w:pPr>
        <w:spacing w:line="240" w:lineRule="auto"/>
        <w:jc w:val="both"/>
        <w:rPr>
          <w:rFonts w:eastAsia="Calibri" w:cs="Arial"/>
          <w:i/>
          <w:color w:val="808080"/>
          <w:szCs w:val="20"/>
        </w:rPr>
      </w:pPr>
    </w:p>
    <w:p w14:paraId="47435EB5"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skupne finančne posledice: 172.369 EUR (sredstva OZZ in PZZ).</w:t>
      </w:r>
    </w:p>
    <w:p w14:paraId="7E951660" w14:textId="4554434A"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4CA65522" w14:textId="241CDEBB" w:rsidR="00F63412" w:rsidRPr="005E4BEA" w:rsidRDefault="00F63412" w:rsidP="00FE461F">
      <w:pPr>
        <w:spacing w:line="240" w:lineRule="auto"/>
        <w:jc w:val="both"/>
        <w:rPr>
          <w:rFonts w:eastAsia="Calibri" w:cs="Arial"/>
          <w:i/>
          <w:color w:val="808080"/>
          <w:szCs w:val="20"/>
        </w:rPr>
      </w:pPr>
    </w:p>
    <w:p w14:paraId="02997C8F" w14:textId="77777777" w:rsidR="00F63412" w:rsidRPr="005E4BEA" w:rsidRDefault="00F63412" w:rsidP="00FE461F">
      <w:pPr>
        <w:spacing w:line="240" w:lineRule="auto"/>
        <w:jc w:val="both"/>
        <w:rPr>
          <w:rFonts w:eastAsia="Calibri" w:cs="Arial"/>
          <w:i/>
          <w:color w:val="808080"/>
          <w:szCs w:val="20"/>
        </w:rPr>
      </w:pPr>
    </w:p>
    <w:p w14:paraId="554C3E82" w14:textId="77777777" w:rsidR="00F63412" w:rsidRPr="005E4BEA" w:rsidRDefault="00F63412" w:rsidP="00F63412">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6906E2C9" w14:textId="77777777" w:rsidR="00F63412" w:rsidRPr="005E4BEA" w:rsidRDefault="00F63412" w:rsidP="00F63412">
      <w:pPr>
        <w:spacing w:line="0" w:lineRule="atLeast"/>
        <w:jc w:val="both"/>
        <w:rPr>
          <w:rFonts w:eastAsia="Arial Narrow" w:cs="Arial"/>
          <w:szCs w:val="20"/>
          <w:lang w:eastAsia="sl-SI"/>
        </w:rPr>
      </w:pPr>
    </w:p>
    <w:p w14:paraId="48371688" w14:textId="4FA64CBE" w:rsidR="00F63412" w:rsidRPr="005E4BEA" w:rsidRDefault="00F63412" w:rsidP="00F63412">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04682D43" w14:textId="77777777" w:rsidR="00F63412" w:rsidRPr="005E4BEA" w:rsidRDefault="00F63412" w:rsidP="00F63412">
      <w:pPr>
        <w:spacing w:line="240" w:lineRule="auto"/>
        <w:jc w:val="both"/>
        <w:rPr>
          <w:rFonts w:cs="Arial"/>
          <w:szCs w:val="20"/>
        </w:rPr>
      </w:pPr>
    </w:p>
    <w:p w14:paraId="2B9D0C41" w14:textId="77777777" w:rsidR="00F63412" w:rsidRPr="005E4BEA" w:rsidRDefault="00F63412" w:rsidP="00F63412">
      <w:pPr>
        <w:spacing w:line="240" w:lineRule="auto"/>
        <w:jc w:val="both"/>
        <w:rPr>
          <w:rFonts w:eastAsia="Calibri" w:cs="Arial"/>
          <w:i/>
          <w:iCs/>
          <w:color w:val="7F7F7F"/>
          <w:szCs w:val="20"/>
        </w:rPr>
      </w:pPr>
    </w:p>
    <w:p w14:paraId="42EBD3D5" w14:textId="730F8669" w:rsidR="00F63412" w:rsidRPr="005E4BEA" w:rsidRDefault="00F63412"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(109)</w:t>
      </w:r>
    </w:p>
    <w:p w14:paraId="6C2A7163" w14:textId="77777777" w:rsidR="00F63412" w:rsidRPr="005E4BEA" w:rsidRDefault="00F63412" w:rsidP="00F63412">
      <w:pPr>
        <w:spacing w:line="240" w:lineRule="auto"/>
        <w:jc w:val="both"/>
        <w:rPr>
          <w:rFonts w:eastAsia="Arial Narrow" w:cs="Arial"/>
          <w:b/>
          <w:szCs w:val="20"/>
        </w:rPr>
      </w:pPr>
    </w:p>
    <w:p w14:paraId="35C8314C" w14:textId="7CFB87D2" w:rsidR="00FE461F" w:rsidRPr="005E4BEA" w:rsidRDefault="00F63412" w:rsidP="00F63412">
      <w:pPr>
        <w:spacing w:line="240" w:lineRule="auto"/>
        <w:jc w:val="both"/>
        <w:rPr>
          <w:rFonts w:cs="Arial"/>
          <w:bCs/>
          <w:szCs w:val="20"/>
          <w:lang w:eastAsia="sl-SI"/>
        </w:rPr>
      </w:pPr>
      <w:r w:rsidRPr="005E4BEA">
        <w:rPr>
          <w:rFonts w:eastAsia="Arial Narrow" w:cs="Arial"/>
          <w:b/>
          <w:szCs w:val="20"/>
        </w:rPr>
        <w:t xml:space="preserve">Lekarniška zbornica Slovenije </w:t>
      </w:r>
      <w:r w:rsidRPr="005E4BEA">
        <w:rPr>
          <w:rFonts w:eastAsiaTheme="minorHAnsi" w:cs="Arial"/>
          <w:b/>
          <w:szCs w:val="20"/>
        </w:rPr>
        <w:t>predlaga</w:t>
      </w:r>
      <w:r w:rsidRPr="005E4BEA">
        <w:rPr>
          <w:rFonts w:eastAsiaTheme="minorHAnsi" w:cs="Arial"/>
          <w:bCs/>
          <w:szCs w:val="20"/>
        </w:rPr>
        <w:t>, da se v</w:t>
      </w:r>
      <w:r w:rsidRPr="005E4BEA">
        <w:rPr>
          <w:rFonts w:eastAsiaTheme="minorHAnsi" w:cs="Arial"/>
          <w:b/>
          <w:bCs/>
          <w:szCs w:val="20"/>
        </w:rPr>
        <w:t xml:space="preserve"> </w:t>
      </w:r>
      <w:r w:rsidRPr="005E4BEA">
        <w:rPr>
          <w:rFonts w:eastAsia="Calibri" w:cs="Arial"/>
          <w:bCs/>
          <w:szCs w:val="20"/>
        </w:rPr>
        <w:t xml:space="preserve">Prilogi (743 601) Lekarniška dejavnost  </w:t>
      </w:r>
      <w:proofErr w:type="spellStart"/>
      <w:r w:rsidR="00FE461F" w:rsidRPr="005E4BEA">
        <w:rPr>
          <w:rFonts w:eastAsia="Calibri" w:cs="Arial"/>
          <w:bCs/>
          <w:szCs w:val="20"/>
        </w:rPr>
        <w:t>kalkulativni</w:t>
      </w:r>
      <w:proofErr w:type="spellEnd"/>
      <w:r w:rsidR="00FE461F" w:rsidRPr="005E4BEA">
        <w:rPr>
          <w:rFonts w:eastAsia="Calibri" w:cs="Arial"/>
          <w:bCs/>
          <w:szCs w:val="20"/>
        </w:rPr>
        <w:t xml:space="preserve"> element »Dodatna sredstva za informatizacijo« poveča za 187,26 EUR na tim oz. skupno za 123.879 EUR, tako da se glasi:</w:t>
      </w:r>
    </w:p>
    <w:p w14:paraId="5C17FF6F" w14:textId="77777777" w:rsidR="00FE461F" w:rsidRPr="005E4BEA" w:rsidRDefault="00FE461F" w:rsidP="00FE461F">
      <w:pPr>
        <w:spacing w:line="240" w:lineRule="auto"/>
        <w:jc w:val="both"/>
        <w:rPr>
          <w:rFonts w:eastAsia="Calibri" w:cs="Arial"/>
          <w:szCs w:val="20"/>
        </w:rPr>
      </w:pPr>
      <w:r w:rsidRPr="005E4BEA">
        <w:rPr>
          <w:rFonts w:eastAsia="Calibri" w:cs="Arial"/>
          <w:szCs w:val="20"/>
        </w:rPr>
        <w:t>»</w:t>
      </w:r>
    </w:p>
    <w:tbl>
      <w:tblPr>
        <w:tblW w:w="5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180"/>
        <w:gridCol w:w="1540"/>
      </w:tblGrid>
      <w:tr w:rsidR="00FE461F" w:rsidRPr="005E4BEA" w14:paraId="06C63A0B" w14:textId="77777777" w:rsidTr="0016774B">
        <w:trPr>
          <w:trHeight w:val="270"/>
        </w:trPr>
        <w:tc>
          <w:tcPr>
            <w:tcW w:w="4180" w:type="dxa"/>
            <w:noWrap/>
            <w:vAlign w:val="bottom"/>
            <w:hideMark/>
          </w:tcPr>
          <w:p w14:paraId="1FAF2276"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DODATNA SREDSTVA ZA INFORMATIZACIJO</w:t>
            </w:r>
          </w:p>
        </w:tc>
        <w:tc>
          <w:tcPr>
            <w:tcW w:w="1540" w:type="dxa"/>
            <w:noWrap/>
            <w:vAlign w:val="bottom"/>
            <w:hideMark/>
          </w:tcPr>
          <w:p w14:paraId="1CC9DA3E" w14:textId="77777777" w:rsidR="00FE461F" w:rsidRPr="005E4BEA" w:rsidRDefault="00FE461F" w:rsidP="00FE461F">
            <w:pPr>
              <w:spacing w:line="240" w:lineRule="auto"/>
              <w:jc w:val="right"/>
              <w:rPr>
                <w:rFonts w:cs="Arial"/>
                <w:szCs w:val="20"/>
                <w:lang w:eastAsia="sl-SI"/>
              </w:rPr>
            </w:pPr>
            <w:r w:rsidRPr="005E4BEA">
              <w:rPr>
                <w:rFonts w:cs="Arial"/>
                <w:szCs w:val="20"/>
                <w:lang w:eastAsia="sl-SI"/>
              </w:rPr>
              <w:t>1.330,21</w:t>
            </w:r>
          </w:p>
        </w:tc>
      </w:tr>
    </w:tbl>
    <w:p w14:paraId="7DAD7057" w14:textId="77777777" w:rsidR="00FE461F" w:rsidRPr="005E4BEA" w:rsidRDefault="00FE461F" w:rsidP="00FE461F">
      <w:pPr>
        <w:spacing w:line="240" w:lineRule="auto"/>
        <w:jc w:val="both"/>
        <w:rPr>
          <w:rFonts w:eastAsia="Calibri" w:cs="Arial"/>
          <w:szCs w:val="20"/>
          <w:lang w:eastAsia="sl-SI"/>
        </w:rPr>
      </w:pPr>
      <w:r w:rsidRPr="005E4BEA">
        <w:rPr>
          <w:rFonts w:eastAsia="Calibri" w:cs="Arial"/>
          <w:szCs w:val="20"/>
          <w:lang w:eastAsia="sl-SI"/>
        </w:rPr>
        <w:t>»</w:t>
      </w:r>
    </w:p>
    <w:p w14:paraId="01BBAA3A"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 xml:space="preserve">Obrazložitev: </w:t>
      </w:r>
    </w:p>
    <w:p w14:paraId="177E26D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Splošna uredba o varstvu podatkov (Uredba EU 2016/679 Evropskega parlamenta in Sveta, iz dne 27.4.2016), ki bo začela veljati dne 25.5.2018, določa posodobljen okvir za skladnost na področju varstva podatkov v Evropi, ki temelji na odgovornosti. V večini primerov bodo, skladno z uredbo  nekateri upravljalci in obdelovalci podatkov imenovati pooblaščeno osebo za varstvo podatkov. To bo veljalo za vse javne organe in telesa ter za druge organizacije, katere temeljna dejavnost je sistematično in obsežno spremljanje posameznikov ali obsežna obdelava posebnih vrst podatkov (več o tem: </w:t>
      </w:r>
      <w:hyperlink r:id="rId31" w:history="1">
        <w:r w:rsidRPr="005E4BEA">
          <w:rPr>
            <w:rFonts w:eastAsia="Calibri" w:cs="Arial"/>
            <w:i/>
            <w:color w:val="0000FF"/>
            <w:szCs w:val="20"/>
            <w:u w:val="single"/>
          </w:rPr>
          <w:t>smernice Informacijske Pooblaščenke</w:t>
        </w:r>
      </w:hyperlink>
      <w:r w:rsidRPr="005E4BEA">
        <w:rPr>
          <w:rFonts w:eastAsia="Calibri" w:cs="Arial"/>
          <w:i/>
          <w:color w:val="808080"/>
          <w:szCs w:val="20"/>
        </w:rPr>
        <w:t xml:space="preserve">, iz dne 5.4.2018). Pooblaščene osebe za varstvo podatkov niso osebno odgovorne za neupoštevanje Splošne uredbe o varstvu podatkov, ampak je upravljalec ali obdelovalec tisti, ki mora zagotoviti in biti zmožen dokazati, da obdelava poteka v skladu z njenimi določbami. . </w:t>
      </w:r>
    </w:p>
    <w:p w14:paraId="5DA51A04"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podlagi omenjene uredbe bodo morale vse lekarne imenovati pooblaščeno osebo za varstvo osebnih podatkov (javni zavodi morebiti celo zaposliti tako osebo) ter ustrezno prilagoditi programske rešitve lekarn za zagotavljanje skladnosti z uredbo. </w:t>
      </w:r>
    </w:p>
    <w:p w14:paraId="21E3EB5D" w14:textId="77777777" w:rsidR="00FE461F" w:rsidRPr="005E4BEA" w:rsidRDefault="00FE461F" w:rsidP="00FE461F">
      <w:pPr>
        <w:spacing w:line="240" w:lineRule="auto"/>
        <w:jc w:val="both"/>
        <w:rPr>
          <w:rFonts w:cs="Arial"/>
          <w:szCs w:val="20"/>
          <w:lang w:eastAsia="sl-SI"/>
        </w:rPr>
      </w:pPr>
    </w:p>
    <w:p w14:paraId="3FC9157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skupne finančne posledice: 123.879 EUR (sredstva OZZ in PZZ).</w:t>
      </w:r>
    </w:p>
    <w:p w14:paraId="204874E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16B9AE7E" w14:textId="043193EC" w:rsidR="00FE461F" w:rsidRPr="005E4BEA" w:rsidRDefault="00FE461F" w:rsidP="00FE461F">
      <w:pPr>
        <w:spacing w:line="240" w:lineRule="auto"/>
        <w:jc w:val="both"/>
        <w:rPr>
          <w:rFonts w:cs="Arial"/>
          <w:szCs w:val="20"/>
          <w:lang w:eastAsia="sl-SI"/>
        </w:rPr>
      </w:pPr>
    </w:p>
    <w:p w14:paraId="7D046660" w14:textId="2CD86012" w:rsidR="00F63412" w:rsidRPr="005E4BEA" w:rsidRDefault="00F63412" w:rsidP="00FE461F">
      <w:pPr>
        <w:spacing w:line="240" w:lineRule="auto"/>
        <w:jc w:val="both"/>
        <w:rPr>
          <w:rFonts w:cs="Arial"/>
          <w:szCs w:val="20"/>
          <w:lang w:eastAsia="sl-SI"/>
        </w:rPr>
      </w:pPr>
    </w:p>
    <w:p w14:paraId="50BD3465" w14:textId="77777777" w:rsidR="00F63412" w:rsidRPr="005E4BEA" w:rsidRDefault="00F63412" w:rsidP="00F63412">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058FF2F7" w14:textId="77777777" w:rsidR="00F63412" w:rsidRPr="005E4BEA" w:rsidRDefault="00F63412" w:rsidP="00F63412">
      <w:pPr>
        <w:spacing w:line="0" w:lineRule="atLeast"/>
        <w:jc w:val="both"/>
        <w:rPr>
          <w:rFonts w:eastAsia="Arial Narrow" w:cs="Arial"/>
          <w:szCs w:val="20"/>
          <w:lang w:eastAsia="sl-SI"/>
        </w:rPr>
      </w:pPr>
    </w:p>
    <w:p w14:paraId="41F8DB6B" w14:textId="36D45EF5" w:rsidR="00F63412" w:rsidRPr="005E4BEA" w:rsidRDefault="00F63412" w:rsidP="00910B7A">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74D3F035" w14:textId="77777777" w:rsidR="00F63412" w:rsidRPr="005E4BEA" w:rsidRDefault="00F63412" w:rsidP="00F63412">
      <w:pPr>
        <w:spacing w:line="240" w:lineRule="auto"/>
        <w:jc w:val="both"/>
        <w:rPr>
          <w:rFonts w:eastAsia="Calibri" w:cs="Arial"/>
          <w:i/>
          <w:iCs/>
          <w:color w:val="7F7F7F"/>
          <w:szCs w:val="20"/>
        </w:rPr>
      </w:pPr>
    </w:p>
    <w:p w14:paraId="01B32A60" w14:textId="37FAA4FB" w:rsidR="00F63412" w:rsidRPr="005E4BEA" w:rsidRDefault="00F63412"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(110)</w:t>
      </w:r>
    </w:p>
    <w:p w14:paraId="516D67EF" w14:textId="77777777" w:rsidR="00F63412" w:rsidRPr="005E4BEA" w:rsidRDefault="00F63412" w:rsidP="00F63412">
      <w:pPr>
        <w:spacing w:line="240" w:lineRule="auto"/>
        <w:jc w:val="both"/>
        <w:rPr>
          <w:rFonts w:eastAsia="Arial Narrow" w:cs="Arial"/>
          <w:b/>
          <w:szCs w:val="20"/>
        </w:rPr>
      </w:pPr>
    </w:p>
    <w:p w14:paraId="5DDCB833" w14:textId="61522C53" w:rsidR="00FE461F" w:rsidRPr="005E4BEA" w:rsidRDefault="00F63412" w:rsidP="00F63412">
      <w:pPr>
        <w:spacing w:line="240" w:lineRule="auto"/>
        <w:jc w:val="both"/>
        <w:rPr>
          <w:rFonts w:eastAsia="Calibri" w:cs="Arial"/>
          <w:bCs/>
          <w:szCs w:val="20"/>
        </w:rPr>
      </w:pPr>
      <w:r w:rsidRPr="005E4BEA">
        <w:rPr>
          <w:rFonts w:eastAsia="Arial Narrow" w:cs="Arial"/>
          <w:b/>
          <w:szCs w:val="20"/>
        </w:rPr>
        <w:t xml:space="preserve">Lekarniška zbornica Slovenije </w:t>
      </w:r>
      <w:r w:rsidRPr="005E4BEA">
        <w:rPr>
          <w:rFonts w:eastAsiaTheme="minorHAnsi" w:cs="Arial"/>
          <w:b/>
          <w:szCs w:val="20"/>
        </w:rPr>
        <w:t>predlaga</w:t>
      </w:r>
      <w:r w:rsidRPr="005E4BEA">
        <w:rPr>
          <w:rFonts w:eastAsiaTheme="minorHAnsi" w:cs="Arial"/>
          <w:bCs/>
          <w:szCs w:val="20"/>
        </w:rPr>
        <w:t xml:space="preserve">, da se </w:t>
      </w:r>
      <w:r w:rsidRPr="005E4BEA">
        <w:rPr>
          <w:rFonts w:eastAsia="Calibri" w:cs="Arial"/>
          <w:bCs/>
          <w:szCs w:val="20"/>
        </w:rPr>
        <w:t xml:space="preserve">Priloga (743 601) Lekarniška dejavnost  </w:t>
      </w:r>
      <w:r w:rsidR="00FE461F" w:rsidRPr="005E4BEA">
        <w:rPr>
          <w:rFonts w:eastAsia="Calibri" w:cs="Arial"/>
          <w:bCs/>
          <w:szCs w:val="20"/>
        </w:rPr>
        <w:t>spremeni tako da se glasi, ostali zneski se temu ustrezno preračunajo:</w:t>
      </w:r>
    </w:p>
    <w:p w14:paraId="287B5F95" w14:textId="77777777" w:rsidR="00F63412" w:rsidRPr="005E4BEA" w:rsidRDefault="00F63412" w:rsidP="00F63412">
      <w:pPr>
        <w:spacing w:line="240" w:lineRule="auto"/>
        <w:jc w:val="both"/>
        <w:rPr>
          <w:rFonts w:cs="Arial"/>
          <w:szCs w:val="20"/>
          <w:lang w:eastAsia="sl-SI"/>
        </w:rPr>
      </w:pPr>
    </w:p>
    <w:tbl>
      <w:tblPr>
        <w:tblW w:w="8454" w:type="dxa"/>
        <w:tblInd w:w="75" w:type="dxa"/>
        <w:tblCellMar>
          <w:left w:w="70" w:type="dxa"/>
          <w:right w:w="70" w:type="dxa"/>
        </w:tblCellMar>
        <w:tblLook w:val="04A0" w:firstRow="1" w:lastRow="0" w:firstColumn="1" w:lastColumn="0" w:noHBand="0" w:noVBand="1"/>
      </w:tblPr>
      <w:tblGrid>
        <w:gridCol w:w="5632"/>
        <w:gridCol w:w="826"/>
        <w:gridCol w:w="696"/>
        <w:gridCol w:w="752"/>
        <w:gridCol w:w="650"/>
      </w:tblGrid>
      <w:tr w:rsidR="00FE461F" w:rsidRPr="005E4BEA" w14:paraId="1FAD7BFA" w14:textId="77777777" w:rsidTr="00F63412">
        <w:trPr>
          <w:trHeight w:val="775"/>
        </w:trPr>
        <w:tc>
          <w:tcPr>
            <w:tcW w:w="5632" w:type="dxa"/>
            <w:tcBorders>
              <w:top w:val="single" w:sz="4" w:space="0" w:color="808080"/>
              <w:left w:val="single" w:sz="4" w:space="0" w:color="808080"/>
              <w:bottom w:val="single" w:sz="4" w:space="0" w:color="808080"/>
              <w:right w:val="single" w:sz="4" w:space="0" w:color="808080"/>
            </w:tcBorders>
            <w:shd w:val="clear" w:color="000000" w:fill="D9D9D9"/>
            <w:noWrap/>
            <w:vAlign w:val="bottom"/>
            <w:hideMark/>
          </w:tcPr>
          <w:p w14:paraId="77936041" w14:textId="77777777" w:rsidR="00FE461F" w:rsidRPr="005E4BEA" w:rsidRDefault="00FE461F" w:rsidP="00FE461F">
            <w:pPr>
              <w:spacing w:line="240" w:lineRule="auto"/>
              <w:rPr>
                <w:rFonts w:cs="Arial"/>
                <w:b/>
                <w:bCs/>
                <w:color w:val="7030A0"/>
                <w:szCs w:val="20"/>
                <w:lang w:eastAsia="sl-SI"/>
              </w:rPr>
            </w:pPr>
            <w:r w:rsidRPr="005E4BEA">
              <w:rPr>
                <w:rFonts w:cs="Arial"/>
                <w:b/>
                <w:bCs/>
                <w:color w:val="7030A0"/>
                <w:szCs w:val="20"/>
                <w:lang w:eastAsia="sl-SI"/>
              </w:rPr>
              <w:t>Naziv</w:t>
            </w:r>
          </w:p>
        </w:tc>
        <w:tc>
          <w:tcPr>
            <w:tcW w:w="826" w:type="dxa"/>
            <w:tcBorders>
              <w:top w:val="single" w:sz="4" w:space="0" w:color="808080"/>
              <w:left w:val="nil"/>
              <w:bottom w:val="single" w:sz="4" w:space="0" w:color="808080"/>
              <w:right w:val="single" w:sz="4" w:space="0" w:color="808080"/>
            </w:tcBorders>
            <w:shd w:val="clear" w:color="000000" w:fill="D9D9D9"/>
            <w:vAlign w:val="bottom"/>
            <w:hideMark/>
          </w:tcPr>
          <w:p w14:paraId="6BE094BF"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Nor-</w:t>
            </w:r>
            <w:proofErr w:type="spellStart"/>
            <w:r w:rsidRPr="005E4BEA">
              <w:rPr>
                <w:rFonts w:cs="Arial"/>
                <w:b/>
                <w:bCs/>
                <w:color w:val="7030A0"/>
                <w:szCs w:val="20"/>
                <w:lang w:eastAsia="sl-SI"/>
              </w:rPr>
              <w:t>mativ</w:t>
            </w:r>
            <w:proofErr w:type="spellEnd"/>
            <w:r w:rsidRPr="005E4BEA">
              <w:rPr>
                <w:rFonts w:cs="Arial"/>
                <w:b/>
                <w:bCs/>
                <w:color w:val="7030A0"/>
                <w:szCs w:val="20"/>
                <w:lang w:eastAsia="sl-SI"/>
              </w:rPr>
              <w:t xml:space="preserve"> / kol.</w:t>
            </w:r>
          </w:p>
        </w:tc>
        <w:tc>
          <w:tcPr>
            <w:tcW w:w="667" w:type="dxa"/>
            <w:tcBorders>
              <w:top w:val="single" w:sz="4" w:space="0" w:color="808080"/>
              <w:left w:val="nil"/>
              <w:bottom w:val="single" w:sz="4" w:space="0" w:color="808080"/>
              <w:right w:val="single" w:sz="4" w:space="0" w:color="808080"/>
            </w:tcBorders>
            <w:shd w:val="clear" w:color="000000" w:fill="D9D9D9"/>
            <w:vAlign w:val="bottom"/>
            <w:hideMark/>
          </w:tcPr>
          <w:p w14:paraId="21B75C66"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Enota mere</w:t>
            </w:r>
          </w:p>
        </w:tc>
        <w:tc>
          <w:tcPr>
            <w:tcW w:w="679" w:type="dxa"/>
            <w:tcBorders>
              <w:top w:val="single" w:sz="4" w:space="0" w:color="808080"/>
              <w:left w:val="nil"/>
              <w:bottom w:val="single" w:sz="4" w:space="0" w:color="808080"/>
              <w:right w:val="single" w:sz="4" w:space="0" w:color="808080"/>
            </w:tcBorders>
            <w:shd w:val="clear" w:color="000000" w:fill="D9D9D9"/>
            <w:vAlign w:val="bottom"/>
            <w:hideMark/>
          </w:tcPr>
          <w:p w14:paraId="12607605"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Kader</w:t>
            </w:r>
          </w:p>
        </w:tc>
        <w:tc>
          <w:tcPr>
            <w:tcW w:w="650" w:type="dxa"/>
            <w:tcBorders>
              <w:top w:val="single" w:sz="4" w:space="0" w:color="808080"/>
              <w:left w:val="nil"/>
              <w:bottom w:val="single" w:sz="4" w:space="0" w:color="808080"/>
              <w:right w:val="single" w:sz="4" w:space="0" w:color="808080"/>
            </w:tcBorders>
            <w:shd w:val="clear" w:color="000000" w:fill="D9D9D9"/>
            <w:noWrap/>
            <w:vAlign w:val="bottom"/>
            <w:hideMark/>
          </w:tcPr>
          <w:p w14:paraId="199C63CD"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PR</w:t>
            </w:r>
          </w:p>
        </w:tc>
      </w:tr>
      <w:tr w:rsidR="00FE461F" w:rsidRPr="005E4BEA" w14:paraId="4578D591" w14:textId="77777777" w:rsidTr="00F63412">
        <w:trPr>
          <w:trHeight w:val="232"/>
        </w:trPr>
        <w:tc>
          <w:tcPr>
            <w:tcW w:w="5632" w:type="dxa"/>
            <w:tcBorders>
              <w:top w:val="nil"/>
              <w:left w:val="single" w:sz="4" w:space="0" w:color="808080"/>
              <w:bottom w:val="single" w:sz="8" w:space="0" w:color="auto"/>
              <w:right w:val="single" w:sz="4" w:space="0" w:color="808080"/>
            </w:tcBorders>
            <w:shd w:val="clear" w:color="000000" w:fill="D9D9D9"/>
            <w:noWrap/>
            <w:vAlign w:val="bottom"/>
            <w:hideMark/>
          </w:tcPr>
          <w:p w14:paraId="5D79EAC1" w14:textId="77777777" w:rsidR="00FE461F" w:rsidRPr="005E4BEA" w:rsidRDefault="00FE461F" w:rsidP="00FE461F">
            <w:pPr>
              <w:spacing w:line="240" w:lineRule="auto"/>
              <w:rPr>
                <w:rFonts w:cs="Arial"/>
                <w:szCs w:val="20"/>
                <w:lang w:eastAsia="sl-SI"/>
              </w:rPr>
            </w:pPr>
            <w:r w:rsidRPr="005E4BEA">
              <w:rPr>
                <w:rFonts w:cs="Arial"/>
                <w:szCs w:val="20"/>
                <w:lang w:eastAsia="sl-SI"/>
              </w:rPr>
              <w:t> </w:t>
            </w:r>
          </w:p>
        </w:tc>
        <w:tc>
          <w:tcPr>
            <w:tcW w:w="826" w:type="dxa"/>
            <w:tcBorders>
              <w:top w:val="nil"/>
              <w:left w:val="nil"/>
              <w:bottom w:val="single" w:sz="8" w:space="0" w:color="auto"/>
              <w:right w:val="single" w:sz="4" w:space="0" w:color="808080"/>
            </w:tcBorders>
            <w:shd w:val="clear" w:color="000000" w:fill="D9D9D9"/>
            <w:noWrap/>
            <w:vAlign w:val="bottom"/>
            <w:hideMark/>
          </w:tcPr>
          <w:p w14:paraId="292FCC26" w14:textId="77777777" w:rsidR="00FE461F" w:rsidRPr="005E4BEA" w:rsidRDefault="00FE461F" w:rsidP="00FE461F">
            <w:pPr>
              <w:spacing w:line="240" w:lineRule="auto"/>
              <w:rPr>
                <w:rFonts w:cs="Arial"/>
                <w:szCs w:val="20"/>
                <w:lang w:eastAsia="sl-SI"/>
              </w:rPr>
            </w:pPr>
            <w:r w:rsidRPr="005E4BEA">
              <w:rPr>
                <w:rFonts w:cs="Arial"/>
                <w:szCs w:val="20"/>
                <w:lang w:eastAsia="sl-SI"/>
              </w:rPr>
              <w:t> </w:t>
            </w:r>
          </w:p>
        </w:tc>
        <w:tc>
          <w:tcPr>
            <w:tcW w:w="667" w:type="dxa"/>
            <w:tcBorders>
              <w:top w:val="nil"/>
              <w:left w:val="nil"/>
              <w:bottom w:val="single" w:sz="8" w:space="0" w:color="auto"/>
              <w:right w:val="single" w:sz="4" w:space="0" w:color="808080"/>
            </w:tcBorders>
            <w:shd w:val="clear" w:color="000000" w:fill="D9D9D9"/>
            <w:noWrap/>
            <w:vAlign w:val="bottom"/>
            <w:hideMark/>
          </w:tcPr>
          <w:p w14:paraId="29B7A612" w14:textId="77777777" w:rsidR="00FE461F" w:rsidRPr="005E4BEA" w:rsidRDefault="00FE461F" w:rsidP="00FE461F">
            <w:pPr>
              <w:spacing w:line="240" w:lineRule="auto"/>
              <w:rPr>
                <w:rFonts w:cs="Arial"/>
                <w:szCs w:val="20"/>
                <w:lang w:eastAsia="sl-SI"/>
              </w:rPr>
            </w:pPr>
            <w:r w:rsidRPr="005E4BEA">
              <w:rPr>
                <w:rFonts w:cs="Arial"/>
                <w:szCs w:val="20"/>
                <w:lang w:eastAsia="sl-SI"/>
              </w:rPr>
              <w:t> </w:t>
            </w:r>
          </w:p>
        </w:tc>
        <w:tc>
          <w:tcPr>
            <w:tcW w:w="679" w:type="dxa"/>
            <w:tcBorders>
              <w:top w:val="nil"/>
              <w:left w:val="nil"/>
              <w:bottom w:val="single" w:sz="8" w:space="0" w:color="auto"/>
              <w:right w:val="single" w:sz="4" w:space="0" w:color="808080"/>
            </w:tcBorders>
            <w:shd w:val="clear" w:color="000000" w:fill="D9D9D9"/>
            <w:vAlign w:val="bottom"/>
            <w:hideMark/>
          </w:tcPr>
          <w:p w14:paraId="056AD955" w14:textId="77777777" w:rsidR="00FE461F" w:rsidRPr="005E4BEA" w:rsidRDefault="00FE461F" w:rsidP="00FE461F">
            <w:pPr>
              <w:spacing w:line="240" w:lineRule="auto"/>
              <w:rPr>
                <w:rFonts w:cs="Arial"/>
                <w:szCs w:val="20"/>
                <w:lang w:eastAsia="sl-SI"/>
              </w:rPr>
            </w:pPr>
            <w:r w:rsidRPr="005E4BEA">
              <w:rPr>
                <w:rFonts w:cs="Arial"/>
                <w:szCs w:val="20"/>
                <w:lang w:eastAsia="sl-SI"/>
              </w:rPr>
              <w:t> </w:t>
            </w:r>
          </w:p>
        </w:tc>
        <w:tc>
          <w:tcPr>
            <w:tcW w:w="650" w:type="dxa"/>
            <w:tcBorders>
              <w:top w:val="nil"/>
              <w:left w:val="nil"/>
              <w:bottom w:val="single" w:sz="8" w:space="0" w:color="auto"/>
              <w:right w:val="single" w:sz="4" w:space="0" w:color="808080"/>
            </w:tcBorders>
            <w:shd w:val="clear" w:color="000000" w:fill="D9D9D9"/>
            <w:noWrap/>
            <w:vAlign w:val="bottom"/>
            <w:hideMark/>
          </w:tcPr>
          <w:p w14:paraId="6F204EB8" w14:textId="77777777" w:rsidR="00FE461F" w:rsidRPr="005E4BEA" w:rsidRDefault="00FE461F" w:rsidP="00FE461F">
            <w:pPr>
              <w:spacing w:line="240" w:lineRule="auto"/>
              <w:rPr>
                <w:rFonts w:cs="Arial"/>
                <w:szCs w:val="20"/>
                <w:lang w:eastAsia="sl-SI"/>
              </w:rPr>
            </w:pPr>
            <w:r w:rsidRPr="005E4BEA">
              <w:rPr>
                <w:rFonts w:cs="Arial"/>
                <w:szCs w:val="20"/>
                <w:lang w:eastAsia="sl-SI"/>
              </w:rPr>
              <w:t> </w:t>
            </w:r>
          </w:p>
        </w:tc>
      </w:tr>
      <w:tr w:rsidR="00FE461F" w:rsidRPr="005E4BEA" w14:paraId="1C8AA52B" w14:textId="77777777" w:rsidTr="00F63412">
        <w:trPr>
          <w:trHeight w:val="413"/>
        </w:trPr>
        <w:tc>
          <w:tcPr>
            <w:tcW w:w="5632" w:type="dxa"/>
            <w:tcBorders>
              <w:top w:val="single" w:sz="4" w:space="0" w:color="auto"/>
              <w:left w:val="single" w:sz="4" w:space="0" w:color="D9D9D9"/>
              <w:bottom w:val="single" w:sz="4" w:space="0" w:color="D9D9D9"/>
              <w:right w:val="single" w:sz="4" w:space="0" w:color="D9D9D9"/>
            </w:tcBorders>
            <w:shd w:val="clear" w:color="000000" w:fill="FFFFFF"/>
            <w:vAlign w:val="bottom"/>
            <w:hideMark/>
          </w:tcPr>
          <w:p w14:paraId="47A5E4BB"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 xml:space="preserve">Lekarniška dejavnost </w:t>
            </w:r>
          </w:p>
        </w:tc>
        <w:tc>
          <w:tcPr>
            <w:tcW w:w="826" w:type="dxa"/>
            <w:tcBorders>
              <w:top w:val="single" w:sz="4" w:space="0" w:color="auto"/>
              <w:left w:val="nil"/>
              <w:bottom w:val="single" w:sz="4" w:space="0" w:color="D9D9D9"/>
              <w:right w:val="single" w:sz="4" w:space="0" w:color="D9D9D9"/>
            </w:tcBorders>
            <w:shd w:val="clear" w:color="000000" w:fill="FFFFFF"/>
            <w:noWrap/>
            <w:vAlign w:val="bottom"/>
            <w:hideMark/>
          </w:tcPr>
          <w:p w14:paraId="4244B798" w14:textId="77777777" w:rsidR="00FE461F" w:rsidRPr="005E4BEA" w:rsidRDefault="00FE461F" w:rsidP="00FE461F">
            <w:pPr>
              <w:spacing w:line="240" w:lineRule="auto"/>
              <w:jc w:val="right"/>
              <w:rPr>
                <w:rFonts w:cs="Arial"/>
                <w:b/>
                <w:bCs/>
                <w:color w:val="000099"/>
                <w:szCs w:val="20"/>
                <w:lang w:eastAsia="sl-SI"/>
              </w:rPr>
            </w:pPr>
            <w:r w:rsidRPr="005E4BEA">
              <w:rPr>
                <w:rFonts w:cs="Arial"/>
                <w:b/>
                <w:bCs/>
                <w:color w:val="000099"/>
                <w:szCs w:val="20"/>
                <w:lang w:eastAsia="sl-SI"/>
              </w:rPr>
              <w:t>17.962</w:t>
            </w:r>
          </w:p>
        </w:tc>
        <w:tc>
          <w:tcPr>
            <w:tcW w:w="667" w:type="dxa"/>
            <w:tcBorders>
              <w:top w:val="single" w:sz="4" w:space="0" w:color="auto"/>
              <w:left w:val="nil"/>
              <w:bottom w:val="single" w:sz="4" w:space="0" w:color="D9D9D9"/>
              <w:right w:val="single" w:sz="4" w:space="0" w:color="D9D9D9"/>
            </w:tcBorders>
            <w:shd w:val="clear" w:color="000000" w:fill="FFFFFF"/>
            <w:noWrap/>
            <w:vAlign w:val="bottom"/>
            <w:hideMark/>
          </w:tcPr>
          <w:p w14:paraId="61441E01"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točka</w:t>
            </w:r>
          </w:p>
        </w:tc>
        <w:tc>
          <w:tcPr>
            <w:tcW w:w="679" w:type="dxa"/>
            <w:tcBorders>
              <w:top w:val="single" w:sz="4" w:space="0" w:color="auto"/>
              <w:left w:val="nil"/>
              <w:bottom w:val="single" w:sz="4" w:space="0" w:color="D9D9D9"/>
              <w:right w:val="single" w:sz="4" w:space="0" w:color="D9D9D9"/>
            </w:tcBorders>
            <w:shd w:val="clear" w:color="000000" w:fill="FFFFFF"/>
            <w:noWrap/>
            <w:vAlign w:val="bottom"/>
            <w:hideMark/>
          </w:tcPr>
          <w:p w14:paraId="0D3FF9C3" w14:textId="77777777" w:rsidR="00FE461F" w:rsidRPr="005E4BEA" w:rsidRDefault="00FE461F" w:rsidP="00FE461F">
            <w:pPr>
              <w:spacing w:line="240" w:lineRule="auto"/>
              <w:jc w:val="right"/>
              <w:rPr>
                <w:rFonts w:cs="Arial"/>
                <w:b/>
                <w:bCs/>
                <w:color w:val="000099"/>
                <w:szCs w:val="20"/>
                <w:lang w:eastAsia="sl-SI"/>
              </w:rPr>
            </w:pPr>
            <w:r w:rsidRPr="005E4BEA">
              <w:rPr>
                <w:rFonts w:cs="Arial"/>
                <w:b/>
                <w:bCs/>
                <w:color w:val="000099"/>
                <w:szCs w:val="20"/>
                <w:lang w:eastAsia="sl-SI"/>
              </w:rPr>
              <w:t>1,7855</w:t>
            </w:r>
          </w:p>
        </w:tc>
        <w:tc>
          <w:tcPr>
            <w:tcW w:w="650" w:type="dxa"/>
            <w:tcBorders>
              <w:top w:val="single" w:sz="4" w:space="0" w:color="auto"/>
              <w:left w:val="nil"/>
              <w:bottom w:val="single" w:sz="4" w:space="0" w:color="D9D9D9"/>
              <w:right w:val="single" w:sz="4" w:space="0" w:color="D9D9D9"/>
            </w:tcBorders>
            <w:shd w:val="clear" w:color="000000" w:fill="FFFFFF"/>
            <w:noWrap/>
            <w:vAlign w:val="bottom"/>
            <w:hideMark/>
          </w:tcPr>
          <w:p w14:paraId="6A5D68CE"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 </w:t>
            </w:r>
          </w:p>
        </w:tc>
      </w:tr>
      <w:tr w:rsidR="00FE461F" w:rsidRPr="005E4BEA" w14:paraId="5840B45C" w14:textId="77777777" w:rsidTr="00F63412">
        <w:trPr>
          <w:trHeight w:val="219"/>
        </w:trPr>
        <w:tc>
          <w:tcPr>
            <w:tcW w:w="5632" w:type="dxa"/>
            <w:tcBorders>
              <w:top w:val="nil"/>
              <w:left w:val="single" w:sz="4" w:space="0" w:color="D9D9D9"/>
              <w:bottom w:val="single" w:sz="4" w:space="0" w:color="D9D9D9"/>
              <w:right w:val="single" w:sz="4" w:space="0" w:color="D9D9D9"/>
            </w:tcBorders>
            <w:shd w:val="clear" w:color="000000" w:fill="FFFFFF"/>
            <w:noWrap/>
            <w:vAlign w:val="bottom"/>
            <w:hideMark/>
          </w:tcPr>
          <w:p w14:paraId="0DEF1F8B"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 specialist  </w:t>
            </w:r>
          </w:p>
        </w:tc>
        <w:tc>
          <w:tcPr>
            <w:tcW w:w="826" w:type="dxa"/>
            <w:tcBorders>
              <w:top w:val="nil"/>
              <w:left w:val="nil"/>
              <w:bottom w:val="single" w:sz="4" w:space="0" w:color="D9D9D9"/>
              <w:right w:val="single" w:sz="4" w:space="0" w:color="D9D9D9"/>
            </w:tcBorders>
            <w:shd w:val="clear" w:color="000000" w:fill="FFFFFF"/>
            <w:noWrap/>
            <w:vAlign w:val="bottom"/>
            <w:hideMark/>
          </w:tcPr>
          <w:p w14:paraId="2999BE76" w14:textId="77777777" w:rsidR="00FE461F" w:rsidRPr="005E4BEA" w:rsidRDefault="00FE461F" w:rsidP="00FE461F">
            <w:pPr>
              <w:spacing w:line="240" w:lineRule="auto"/>
              <w:jc w:val="right"/>
              <w:outlineLvl w:val="0"/>
              <w:rPr>
                <w:rFonts w:cs="Arial"/>
                <w:b/>
                <w:bCs/>
                <w:color w:val="000099"/>
                <w:szCs w:val="20"/>
                <w:lang w:eastAsia="sl-SI"/>
              </w:rPr>
            </w:pPr>
            <w:r w:rsidRPr="005E4BEA">
              <w:rPr>
                <w:rFonts w:cs="Arial"/>
                <w:b/>
                <w:bCs/>
                <w:color w:val="000099"/>
                <w:szCs w:val="20"/>
                <w:lang w:eastAsia="sl-SI"/>
              </w:rPr>
              <w:t> </w:t>
            </w:r>
          </w:p>
        </w:tc>
        <w:tc>
          <w:tcPr>
            <w:tcW w:w="667" w:type="dxa"/>
            <w:tcBorders>
              <w:top w:val="nil"/>
              <w:left w:val="nil"/>
              <w:bottom w:val="single" w:sz="4" w:space="0" w:color="D9D9D9"/>
              <w:right w:val="single" w:sz="4" w:space="0" w:color="D9D9D9"/>
            </w:tcBorders>
            <w:shd w:val="clear" w:color="000000" w:fill="FFFFFF"/>
            <w:noWrap/>
            <w:vAlign w:val="bottom"/>
            <w:hideMark/>
          </w:tcPr>
          <w:p w14:paraId="0A2C79BB" w14:textId="77777777" w:rsidR="00FE461F" w:rsidRPr="005E4BEA" w:rsidRDefault="00FE461F" w:rsidP="00FE461F">
            <w:pPr>
              <w:spacing w:line="240" w:lineRule="auto"/>
              <w:jc w:val="right"/>
              <w:outlineLvl w:val="0"/>
              <w:rPr>
                <w:rFonts w:cs="Arial"/>
                <w:b/>
                <w:bCs/>
                <w:color w:val="000099"/>
                <w:szCs w:val="20"/>
                <w:lang w:eastAsia="sl-SI"/>
              </w:rPr>
            </w:pPr>
            <w:r w:rsidRPr="005E4BEA">
              <w:rPr>
                <w:rFonts w:cs="Arial"/>
                <w:b/>
                <w:bCs/>
                <w:color w:val="000099"/>
                <w:szCs w:val="20"/>
                <w:lang w:eastAsia="sl-SI"/>
              </w:rPr>
              <w:t> </w:t>
            </w:r>
          </w:p>
        </w:tc>
        <w:tc>
          <w:tcPr>
            <w:tcW w:w="679" w:type="dxa"/>
            <w:tcBorders>
              <w:top w:val="nil"/>
              <w:left w:val="nil"/>
              <w:bottom w:val="single" w:sz="4" w:space="0" w:color="D9D9D9"/>
              <w:right w:val="single" w:sz="4" w:space="0" w:color="D9D9D9"/>
            </w:tcBorders>
            <w:shd w:val="clear" w:color="000000" w:fill="FFFFFF"/>
            <w:noWrap/>
            <w:vAlign w:val="bottom"/>
            <w:hideMark/>
          </w:tcPr>
          <w:p w14:paraId="6746ABA3"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0,0714</w:t>
            </w:r>
          </w:p>
        </w:tc>
        <w:tc>
          <w:tcPr>
            <w:tcW w:w="650" w:type="dxa"/>
            <w:tcBorders>
              <w:top w:val="nil"/>
              <w:left w:val="nil"/>
              <w:bottom w:val="single" w:sz="4" w:space="0" w:color="D9D9D9"/>
              <w:right w:val="single" w:sz="4" w:space="0" w:color="D9D9D9"/>
            </w:tcBorders>
            <w:shd w:val="clear" w:color="000000" w:fill="FFFFFF"/>
            <w:noWrap/>
            <w:vAlign w:val="bottom"/>
            <w:hideMark/>
          </w:tcPr>
          <w:p w14:paraId="1D33689B"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45</w:t>
            </w:r>
          </w:p>
        </w:tc>
      </w:tr>
      <w:tr w:rsidR="00FE461F" w:rsidRPr="005E4BEA" w14:paraId="58BAD5F0" w14:textId="77777777" w:rsidTr="00F63412">
        <w:trPr>
          <w:trHeight w:val="219"/>
        </w:trPr>
        <w:tc>
          <w:tcPr>
            <w:tcW w:w="5632" w:type="dxa"/>
            <w:tcBorders>
              <w:top w:val="nil"/>
              <w:left w:val="single" w:sz="4" w:space="0" w:color="D9D9D9"/>
              <w:bottom w:val="single" w:sz="4" w:space="0" w:color="D9D9D9"/>
              <w:right w:val="single" w:sz="4" w:space="0" w:color="D9D9D9"/>
            </w:tcBorders>
            <w:shd w:val="clear" w:color="000000" w:fill="FFFFFF"/>
            <w:noWrap/>
            <w:vAlign w:val="bottom"/>
            <w:hideMark/>
          </w:tcPr>
          <w:p w14:paraId="45541426"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 receptar  </w:t>
            </w:r>
          </w:p>
        </w:tc>
        <w:tc>
          <w:tcPr>
            <w:tcW w:w="826" w:type="dxa"/>
            <w:tcBorders>
              <w:top w:val="nil"/>
              <w:left w:val="nil"/>
              <w:bottom w:val="single" w:sz="4" w:space="0" w:color="D9D9D9"/>
              <w:right w:val="single" w:sz="4" w:space="0" w:color="D9D9D9"/>
            </w:tcBorders>
            <w:shd w:val="clear" w:color="000000" w:fill="FFFFFF"/>
            <w:noWrap/>
            <w:vAlign w:val="bottom"/>
            <w:hideMark/>
          </w:tcPr>
          <w:p w14:paraId="4595D0C5"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67" w:type="dxa"/>
            <w:tcBorders>
              <w:top w:val="nil"/>
              <w:left w:val="nil"/>
              <w:bottom w:val="single" w:sz="4" w:space="0" w:color="D9D9D9"/>
              <w:right w:val="single" w:sz="4" w:space="0" w:color="D9D9D9"/>
            </w:tcBorders>
            <w:shd w:val="clear" w:color="000000" w:fill="FFFFFF"/>
            <w:noWrap/>
            <w:vAlign w:val="bottom"/>
            <w:hideMark/>
          </w:tcPr>
          <w:p w14:paraId="1F76DCAD"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79" w:type="dxa"/>
            <w:tcBorders>
              <w:top w:val="nil"/>
              <w:left w:val="nil"/>
              <w:bottom w:val="single" w:sz="4" w:space="0" w:color="D9D9D9"/>
              <w:right w:val="single" w:sz="4" w:space="0" w:color="D9D9D9"/>
            </w:tcBorders>
            <w:shd w:val="clear" w:color="000000" w:fill="FFFFFF"/>
            <w:noWrap/>
            <w:vAlign w:val="bottom"/>
            <w:hideMark/>
          </w:tcPr>
          <w:p w14:paraId="2DFC9AC9"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1,0000</w:t>
            </w:r>
          </w:p>
        </w:tc>
        <w:tc>
          <w:tcPr>
            <w:tcW w:w="650" w:type="dxa"/>
            <w:tcBorders>
              <w:top w:val="nil"/>
              <w:left w:val="nil"/>
              <w:bottom w:val="single" w:sz="4" w:space="0" w:color="D9D9D9"/>
              <w:right w:val="single" w:sz="4" w:space="0" w:color="D9D9D9"/>
            </w:tcBorders>
            <w:shd w:val="clear" w:color="000000" w:fill="FFFFFF"/>
            <w:noWrap/>
            <w:vAlign w:val="bottom"/>
            <w:hideMark/>
          </w:tcPr>
          <w:p w14:paraId="4ECAE4DD"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41</w:t>
            </w:r>
          </w:p>
        </w:tc>
      </w:tr>
      <w:tr w:rsidR="00FE461F" w:rsidRPr="005E4BEA" w14:paraId="242F0B59" w14:textId="77777777" w:rsidTr="00F63412">
        <w:trPr>
          <w:trHeight w:val="219"/>
        </w:trPr>
        <w:tc>
          <w:tcPr>
            <w:tcW w:w="5632" w:type="dxa"/>
            <w:tcBorders>
              <w:top w:val="nil"/>
              <w:left w:val="single" w:sz="4" w:space="0" w:color="D9D9D9"/>
              <w:bottom w:val="single" w:sz="4" w:space="0" w:color="D9D9D9"/>
              <w:right w:val="single" w:sz="4" w:space="0" w:color="D9D9D9"/>
            </w:tcBorders>
            <w:shd w:val="clear" w:color="000000" w:fill="FFFFFF"/>
            <w:noWrap/>
            <w:vAlign w:val="bottom"/>
            <w:hideMark/>
          </w:tcPr>
          <w:p w14:paraId="12AE485C"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farmacevtski tehnik  </w:t>
            </w:r>
          </w:p>
        </w:tc>
        <w:tc>
          <w:tcPr>
            <w:tcW w:w="826" w:type="dxa"/>
            <w:tcBorders>
              <w:top w:val="nil"/>
              <w:left w:val="nil"/>
              <w:bottom w:val="single" w:sz="4" w:space="0" w:color="D9D9D9"/>
              <w:right w:val="single" w:sz="4" w:space="0" w:color="D9D9D9"/>
            </w:tcBorders>
            <w:shd w:val="clear" w:color="000000" w:fill="FFFFFF"/>
            <w:noWrap/>
            <w:vAlign w:val="bottom"/>
            <w:hideMark/>
          </w:tcPr>
          <w:p w14:paraId="431AA1AD"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67" w:type="dxa"/>
            <w:tcBorders>
              <w:top w:val="nil"/>
              <w:left w:val="nil"/>
              <w:bottom w:val="single" w:sz="4" w:space="0" w:color="D9D9D9"/>
              <w:right w:val="single" w:sz="4" w:space="0" w:color="D9D9D9"/>
            </w:tcBorders>
            <w:shd w:val="clear" w:color="000000" w:fill="FFFFFF"/>
            <w:noWrap/>
            <w:vAlign w:val="bottom"/>
            <w:hideMark/>
          </w:tcPr>
          <w:p w14:paraId="6FB942C9"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79" w:type="dxa"/>
            <w:tcBorders>
              <w:top w:val="nil"/>
              <w:left w:val="nil"/>
              <w:bottom w:val="single" w:sz="4" w:space="0" w:color="D9D9D9"/>
              <w:right w:val="single" w:sz="4" w:space="0" w:color="D9D9D9"/>
            </w:tcBorders>
            <w:shd w:val="clear" w:color="000000" w:fill="FFFFFF"/>
            <w:noWrap/>
            <w:vAlign w:val="bottom"/>
            <w:hideMark/>
          </w:tcPr>
          <w:p w14:paraId="31440A2A"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0,4607</w:t>
            </w:r>
          </w:p>
        </w:tc>
        <w:tc>
          <w:tcPr>
            <w:tcW w:w="650" w:type="dxa"/>
            <w:tcBorders>
              <w:top w:val="nil"/>
              <w:left w:val="nil"/>
              <w:bottom w:val="single" w:sz="4" w:space="0" w:color="D9D9D9"/>
              <w:right w:val="single" w:sz="4" w:space="0" w:color="D9D9D9"/>
            </w:tcBorders>
            <w:shd w:val="clear" w:color="000000" w:fill="FFFFFF"/>
            <w:noWrap/>
            <w:vAlign w:val="bottom"/>
            <w:hideMark/>
          </w:tcPr>
          <w:p w14:paraId="1A46AB87"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27</w:t>
            </w:r>
          </w:p>
        </w:tc>
      </w:tr>
      <w:tr w:rsidR="00FE461F" w:rsidRPr="005E4BEA" w14:paraId="0026A5C2" w14:textId="77777777" w:rsidTr="00F63412">
        <w:trPr>
          <w:trHeight w:val="219"/>
        </w:trPr>
        <w:tc>
          <w:tcPr>
            <w:tcW w:w="5632" w:type="dxa"/>
            <w:tcBorders>
              <w:top w:val="nil"/>
              <w:left w:val="single" w:sz="4" w:space="0" w:color="D9D9D9"/>
              <w:bottom w:val="single" w:sz="4" w:space="0" w:color="D9D9D9"/>
              <w:right w:val="single" w:sz="4" w:space="0" w:color="D9D9D9"/>
            </w:tcBorders>
            <w:shd w:val="clear" w:color="000000" w:fill="FFFFFF"/>
            <w:noWrap/>
            <w:vAlign w:val="bottom"/>
            <w:hideMark/>
          </w:tcPr>
          <w:p w14:paraId="3BD31CBD"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delavci drugih strok</w:t>
            </w:r>
          </w:p>
        </w:tc>
        <w:tc>
          <w:tcPr>
            <w:tcW w:w="826" w:type="dxa"/>
            <w:tcBorders>
              <w:top w:val="nil"/>
              <w:left w:val="nil"/>
              <w:bottom w:val="single" w:sz="4" w:space="0" w:color="D9D9D9"/>
              <w:right w:val="single" w:sz="4" w:space="0" w:color="D9D9D9"/>
            </w:tcBorders>
            <w:shd w:val="clear" w:color="000000" w:fill="FFFFFF"/>
            <w:noWrap/>
            <w:vAlign w:val="bottom"/>
            <w:hideMark/>
          </w:tcPr>
          <w:p w14:paraId="2D025C79"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67" w:type="dxa"/>
            <w:tcBorders>
              <w:top w:val="nil"/>
              <w:left w:val="nil"/>
              <w:bottom w:val="single" w:sz="4" w:space="0" w:color="D9D9D9"/>
              <w:right w:val="single" w:sz="4" w:space="0" w:color="D9D9D9"/>
            </w:tcBorders>
            <w:shd w:val="clear" w:color="000000" w:fill="FFFFFF"/>
            <w:noWrap/>
            <w:vAlign w:val="bottom"/>
            <w:hideMark/>
          </w:tcPr>
          <w:p w14:paraId="4EA2515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79" w:type="dxa"/>
            <w:tcBorders>
              <w:top w:val="nil"/>
              <w:left w:val="nil"/>
              <w:bottom w:val="single" w:sz="4" w:space="0" w:color="D9D9D9"/>
              <w:right w:val="single" w:sz="4" w:space="0" w:color="D9D9D9"/>
            </w:tcBorders>
            <w:shd w:val="clear" w:color="000000" w:fill="FFFFFF"/>
            <w:noWrap/>
            <w:vAlign w:val="bottom"/>
            <w:hideMark/>
          </w:tcPr>
          <w:p w14:paraId="44167594"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0,1267</w:t>
            </w:r>
          </w:p>
        </w:tc>
        <w:tc>
          <w:tcPr>
            <w:tcW w:w="650" w:type="dxa"/>
            <w:tcBorders>
              <w:top w:val="nil"/>
              <w:left w:val="nil"/>
              <w:bottom w:val="single" w:sz="4" w:space="0" w:color="D9D9D9"/>
              <w:right w:val="single" w:sz="4" w:space="0" w:color="D9D9D9"/>
            </w:tcBorders>
            <w:shd w:val="clear" w:color="000000" w:fill="FFFFFF"/>
            <w:noWrap/>
            <w:vAlign w:val="bottom"/>
            <w:hideMark/>
          </w:tcPr>
          <w:p w14:paraId="2CA990D9"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29</w:t>
            </w:r>
          </w:p>
        </w:tc>
      </w:tr>
      <w:tr w:rsidR="00FE461F" w:rsidRPr="005E4BEA" w14:paraId="1DBF157C" w14:textId="77777777" w:rsidTr="00F63412">
        <w:trPr>
          <w:trHeight w:val="219"/>
        </w:trPr>
        <w:tc>
          <w:tcPr>
            <w:tcW w:w="5632" w:type="dxa"/>
            <w:tcBorders>
              <w:top w:val="nil"/>
              <w:left w:val="single" w:sz="4" w:space="0" w:color="D9D9D9"/>
              <w:bottom w:val="single" w:sz="4" w:space="0" w:color="D9D9D9"/>
              <w:right w:val="single" w:sz="4" w:space="0" w:color="D9D9D9"/>
            </w:tcBorders>
            <w:shd w:val="clear" w:color="000000" w:fill="FFFFFF"/>
            <w:noWrap/>
            <w:vAlign w:val="bottom"/>
            <w:hideMark/>
          </w:tcPr>
          <w:p w14:paraId="65B1BD8B"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lekarniški delavec  </w:t>
            </w:r>
          </w:p>
        </w:tc>
        <w:tc>
          <w:tcPr>
            <w:tcW w:w="826" w:type="dxa"/>
            <w:tcBorders>
              <w:top w:val="nil"/>
              <w:left w:val="nil"/>
              <w:bottom w:val="single" w:sz="4" w:space="0" w:color="D9D9D9"/>
              <w:right w:val="single" w:sz="4" w:space="0" w:color="D9D9D9"/>
            </w:tcBorders>
            <w:shd w:val="clear" w:color="000000" w:fill="FFFFFF"/>
            <w:noWrap/>
            <w:vAlign w:val="bottom"/>
            <w:hideMark/>
          </w:tcPr>
          <w:p w14:paraId="6EC174EE"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67" w:type="dxa"/>
            <w:tcBorders>
              <w:top w:val="nil"/>
              <w:left w:val="nil"/>
              <w:bottom w:val="single" w:sz="4" w:space="0" w:color="D9D9D9"/>
              <w:right w:val="single" w:sz="4" w:space="0" w:color="D9D9D9"/>
            </w:tcBorders>
            <w:shd w:val="clear" w:color="000000" w:fill="FFFFFF"/>
            <w:noWrap/>
            <w:vAlign w:val="bottom"/>
            <w:hideMark/>
          </w:tcPr>
          <w:p w14:paraId="0EAFCB38"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79" w:type="dxa"/>
            <w:tcBorders>
              <w:top w:val="nil"/>
              <w:left w:val="nil"/>
              <w:bottom w:val="single" w:sz="4" w:space="0" w:color="D9D9D9"/>
              <w:right w:val="single" w:sz="4" w:space="0" w:color="D9D9D9"/>
            </w:tcBorders>
            <w:shd w:val="clear" w:color="000000" w:fill="FFFFFF"/>
            <w:noWrap/>
            <w:vAlign w:val="bottom"/>
            <w:hideMark/>
          </w:tcPr>
          <w:p w14:paraId="0913E775"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0,1267</w:t>
            </w:r>
          </w:p>
        </w:tc>
        <w:tc>
          <w:tcPr>
            <w:tcW w:w="650" w:type="dxa"/>
            <w:tcBorders>
              <w:top w:val="nil"/>
              <w:left w:val="nil"/>
              <w:bottom w:val="single" w:sz="4" w:space="0" w:color="D9D9D9"/>
              <w:right w:val="single" w:sz="4" w:space="0" w:color="D9D9D9"/>
            </w:tcBorders>
            <w:shd w:val="clear" w:color="000000" w:fill="FFFFFF"/>
            <w:noWrap/>
            <w:vAlign w:val="bottom"/>
            <w:hideMark/>
          </w:tcPr>
          <w:p w14:paraId="5BA32B40"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15</w:t>
            </w:r>
          </w:p>
        </w:tc>
      </w:tr>
      <w:tr w:rsidR="00FE461F" w:rsidRPr="005E4BEA" w14:paraId="1E5A357C" w14:textId="77777777" w:rsidTr="00F63412">
        <w:trPr>
          <w:trHeight w:val="258"/>
        </w:trPr>
        <w:tc>
          <w:tcPr>
            <w:tcW w:w="5632" w:type="dxa"/>
            <w:tcBorders>
              <w:top w:val="nil"/>
              <w:left w:val="single" w:sz="4" w:space="0" w:color="D9D9D9"/>
              <w:bottom w:val="single" w:sz="4" w:space="0" w:color="auto"/>
              <w:right w:val="nil"/>
            </w:tcBorders>
            <w:shd w:val="clear" w:color="000000" w:fill="FFFFFF"/>
            <w:noWrap/>
            <w:vAlign w:val="bottom"/>
            <w:hideMark/>
          </w:tcPr>
          <w:p w14:paraId="46A80AB7" w14:textId="77777777" w:rsidR="00FE461F" w:rsidRPr="005E4BEA" w:rsidRDefault="00FE461F" w:rsidP="00FE461F">
            <w:pPr>
              <w:spacing w:line="240" w:lineRule="auto"/>
              <w:ind w:firstLineChars="300" w:firstLine="600"/>
              <w:outlineLvl w:val="0"/>
              <w:rPr>
                <w:rFonts w:cs="Arial"/>
                <w:color w:val="60497A"/>
                <w:szCs w:val="20"/>
                <w:lang w:eastAsia="sl-SI"/>
              </w:rPr>
            </w:pPr>
            <w:r w:rsidRPr="005E4BEA">
              <w:rPr>
                <w:rFonts w:cs="Arial"/>
                <w:color w:val="60497A"/>
                <w:szCs w:val="20"/>
                <w:lang w:eastAsia="sl-SI"/>
              </w:rPr>
              <w:t>- Pri izračunu se upošteva dogovorjeno št. točk 12.466.954 in produktivnost 10.166.</w:t>
            </w:r>
          </w:p>
        </w:tc>
        <w:tc>
          <w:tcPr>
            <w:tcW w:w="826" w:type="dxa"/>
            <w:tcBorders>
              <w:top w:val="nil"/>
              <w:left w:val="nil"/>
              <w:bottom w:val="single" w:sz="4" w:space="0" w:color="auto"/>
              <w:right w:val="nil"/>
            </w:tcBorders>
            <w:shd w:val="clear" w:color="000000" w:fill="FFFFFF"/>
            <w:noWrap/>
            <w:vAlign w:val="bottom"/>
            <w:hideMark/>
          </w:tcPr>
          <w:p w14:paraId="37AFF210"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67" w:type="dxa"/>
            <w:tcBorders>
              <w:top w:val="nil"/>
              <w:left w:val="nil"/>
              <w:bottom w:val="single" w:sz="4" w:space="0" w:color="auto"/>
              <w:right w:val="nil"/>
            </w:tcBorders>
            <w:shd w:val="clear" w:color="000000" w:fill="FFFFFF"/>
            <w:noWrap/>
            <w:vAlign w:val="bottom"/>
            <w:hideMark/>
          </w:tcPr>
          <w:p w14:paraId="73E612A5"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679" w:type="dxa"/>
            <w:tcBorders>
              <w:top w:val="nil"/>
              <w:left w:val="nil"/>
              <w:bottom w:val="single" w:sz="4" w:space="0" w:color="auto"/>
              <w:right w:val="nil"/>
            </w:tcBorders>
            <w:shd w:val="clear" w:color="000000" w:fill="FFFFFF"/>
            <w:noWrap/>
            <w:vAlign w:val="bottom"/>
            <w:hideMark/>
          </w:tcPr>
          <w:p w14:paraId="5C66450B"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w:t>
            </w:r>
          </w:p>
        </w:tc>
        <w:tc>
          <w:tcPr>
            <w:tcW w:w="650" w:type="dxa"/>
            <w:tcBorders>
              <w:top w:val="nil"/>
              <w:left w:val="nil"/>
              <w:bottom w:val="single" w:sz="4" w:space="0" w:color="auto"/>
              <w:right w:val="nil"/>
            </w:tcBorders>
            <w:shd w:val="clear" w:color="000000" w:fill="FFFFFF"/>
            <w:noWrap/>
            <w:vAlign w:val="bottom"/>
            <w:hideMark/>
          </w:tcPr>
          <w:p w14:paraId="5A738FA3"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w:t>
            </w:r>
          </w:p>
        </w:tc>
      </w:tr>
    </w:tbl>
    <w:p w14:paraId="05C2A4A7"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17333C8A"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lastRenderedPageBreak/>
        <w:t>Predlog ne predvideva povečanega števila priznanih delavcev, ampak le ažuriranje razmerij na trenutno stanje, z upoštevanjem dejansko zaposlenih strokovnih kadrov v lekarniški dejavnosti. Dejstvo je, da je v lekarniški dejavnosti zaposlenih premalo magistrov farmacije, ki so zato preobremenjeni.</w:t>
      </w:r>
    </w:p>
    <w:p w14:paraId="23A63182" w14:textId="77777777" w:rsidR="00FE461F" w:rsidRPr="005E4BEA" w:rsidRDefault="00FE461F" w:rsidP="00FE461F">
      <w:pPr>
        <w:spacing w:line="240" w:lineRule="auto"/>
        <w:jc w:val="both"/>
        <w:rPr>
          <w:rFonts w:eastAsia="Calibri" w:cs="Arial"/>
          <w:i/>
          <w:color w:val="808080"/>
          <w:szCs w:val="20"/>
        </w:rPr>
      </w:pPr>
    </w:p>
    <w:p w14:paraId="39C6049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Na dan 31.12.2021 je bilo razmerje zaposlenih v slovenskih lekarnah 1 magister farmacije na 0,43 farmacevtskega tehnika. Zaposlenih je bilo 90 farmacevtov specialistov, 1.231 farmacevtov receptarjev in 586,5 farmacevtskih tehnikov. Na podlagi trenutno veljavnega Splošnega dogovora 2022 pa izhaja razmerje 1 magister farmacije na 0,57 farmacevtskega tehnika. </w:t>
      </w:r>
    </w:p>
    <w:p w14:paraId="7CAC0AAB"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Opozoriti je potrebno, da so se v zadnjih desetletjih spremenila dela in naloge ter zlasti kompetence obeh profilov. Zaradi spremembe strukture zaposlenih, zakonskih sprememb glede kompetenc strokovnih sodelavcev v lekarnah (Zakon o lekarniški dejavnosti je iz leta 2016, Zakon o zdravilih iz leta 2014, Pravilnik o razvrščanju, predpisovanju in izdajanju zdravil je iz leta 2008), uvedbe </w:t>
      </w:r>
      <w:proofErr w:type="spellStart"/>
      <w:r w:rsidRPr="005E4BEA">
        <w:rPr>
          <w:rFonts w:eastAsia="Calibri" w:cs="Arial"/>
          <w:i/>
          <w:color w:val="808080"/>
          <w:szCs w:val="20"/>
        </w:rPr>
        <w:t>eRecepta</w:t>
      </w:r>
      <w:proofErr w:type="spellEnd"/>
      <w:r w:rsidRPr="005E4BEA">
        <w:rPr>
          <w:rFonts w:eastAsia="Calibri" w:cs="Arial"/>
          <w:i/>
          <w:color w:val="808080"/>
          <w:szCs w:val="20"/>
        </w:rPr>
        <w:t xml:space="preserve"> in posledične spremembe načina in obsega dela v lekarni, uvajanja sistema za preverjanje avtentičnosti zdravil, zato menimo, da je nujno potrebno popraviti strukturo priznanih delavcev, v okviru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elementov lekarniške točke. V predlogu smo poseben poudarek podali tudi priznavanju farmacevtov specialistov, saj so nujni za izvajanje kognitivnih lekarniških storitev, tako v okviru potrjenega programa farmacevtskega svetovalca kot tudi storitev, ki bi se jih preneslo iz pilotnih projektov v sistemsko izvajanje. Farmacevti specialisti so nujno potrebni tudi za izvajanje dejavnosti, ki jih opredeljuje nov Zakon o lekarniški dejavnosti (ZLD-1, Ur. l. RS, št. 85/2016), ki v 6. členu navaja, da obseg lekarniške dejavnosti med drugih vključuje farmacevtsko obravnavano pacienta, dejavnosti farmacevta svetovalca, farmacevtsko </w:t>
      </w:r>
      <w:proofErr w:type="spellStart"/>
      <w:r w:rsidRPr="005E4BEA">
        <w:rPr>
          <w:rFonts w:eastAsia="Calibri" w:cs="Arial"/>
          <w:i/>
          <w:color w:val="808080"/>
          <w:szCs w:val="20"/>
        </w:rPr>
        <w:t>internvencijo</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storive</w:t>
      </w:r>
      <w:proofErr w:type="spellEnd"/>
      <w:r w:rsidRPr="005E4BEA">
        <w:rPr>
          <w:rFonts w:eastAsia="Calibri" w:cs="Arial"/>
          <w:i/>
          <w:color w:val="808080"/>
          <w:szCs w:val="20"/>
        </w:rPr>
        <w:t xml:space="preserve"> </w:t>
      </w:r>
      <w:proofErr w:type="spellStart"/>
      <w:r w:rsidRPr="005E4BEA">
        <w:rPr>
          <w:rFonts w:eastAsia="Calibri" w:cs="Arial"/>
          <w:i/>
          <w:color w:val="808080"/>
          <w:szCs w:val="20"/>
        </w:rPr>
        <w:t>telefarmacije</w:t>
      </w:r>
      <w:proofErr w:type="spellEnd"/>
      <w:r w:rsidRPr="005E4BEA">
        <w:rPr>
          <w:rFonts w:eastAsia="Calibri" w:cs="Arial"/>
          <w:i/>
          <w:color w:val="808080"/>
          <w:szCs w:val="20"/>
        </w:rPr>
        <w:t xml:space="preserve">. Dejavnost farmacevtske obravnave pacienta je med drugih podrobneje obrazložena v (2) točki 6. člena Zakona, kjer navaja, da ta vključuje tudi pregled uporabe zdravil in </w:t>
      </w:r>
      <w:proofErr w:type="spellStart"/>
      <w:r w:rsidRPr="005E4BEA">
        <w:rPr>
          <w:rFonts w:eastAsia="Calibri" w:cs="Arial"/>
          <w:i/>
          <w:color w:val="808080"/>
          <w:szCs w:val="20"/>
        </w:rPr>
        <w:t>farmakoterapijski</w:t>
      </w:r>
      <w:proofErr w:type="spellEnd"/>
      <w:r w:rsidRPr="005E4BEA">
        <w:rPr>
          <w:rFonts w:eastAsia="Calibri" w:cs="Arial"/>
          <w:i/>
          <w:color w:val="808080"/>
          <w:szCs w:val="20"/>
        </w:rPr>
        <w:t xml:space="preserve"> pregled. </w:t>
      </w:r>
    </w:p>
    <w:p w14:paraId="6F224A30" w14:textId="77777777" w:rsidR="00FE461F" w:rsidRPr="005E4BEA" w:rsidRDefault="00FE461F" w:rsidP="00FE461F">
      <w:pPr>
        <w:spacing w:line="240" w:lineRule="auto"/>
        <w:jc w:val="both"/>
        <w:rPr>
          <w:rFonts w:eastAsia="Calibri" w:cs="Arial"/>
          <w:i/>
          <w:color w:val="808080"/>
          <w:szCs w:val="20"/>
        </w:rPr>
      </w:pPr>
    </w:p>
    <w:p w14:paraId="11850E4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Lekarniška zbornica Slovenije že nekaj let opozarja na konstantno povečevanje števila izdanih receptov oz. povečanja produktivnosti lekarniške dejavnosti, kar je prek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elementov vplivala na izjemno znižanje vrednosti lekarniške točke. Šele v letu 2011 je bil element produktivnosti fiksiran, s čimer so se zaustavile nadaljnje izgube sredstev v lekarniški dejavnosti. Samo v letih 2004 in 2009 je izguba sredstev v dejavnosti, zaradi slednjih razlogov, ocenjena v višini 5 milijonov evrov. Iz vidika obremenitev magistrov farmacije, se je v letih 2006 – 2020 število predpisanih receptov v breme OZZ povečalo za 18,87%, medtem ko se je število priznanih farmacevtov v tem obdobju povečalo le za 8,27%. Trenutno je priznanih le 661,518 od 1.320,50 magistrov farmacije za izdajo zdravil na zelene recepte v javni lekarniški službi, kar pomeni 50,10% vseh. </w:t>
      </w:r>
    </w:p>
    <w:p w14:paraId="388055A3" w14:textId="77777777" w:rsidR="00FE461F" w:rsidRPr="005E4BEA" w:rsidRDefault="00FE461F" w:rsidP="00FE461F">
      <w:pPr>
        <w:spacing w:line="240" w:lineRule="auto"/>
        <w:jc w:val="both"/>
        <w:rPr>
          <w:rFonts w:cs="Arial"/>
          <w:color w:val="000080"/>
          <w:szCs w:val="20"/>
          <w:lang w:eastAsia="sl-SI"/>
        </w:rPr>
      </w:pPr>
    </w:p>
    <w:p w14:paraId="2E622462" w14:textId="77777777" w:rsidR="00FE461F" w:rsidRPr="005E4BEA" w:rsidRDefault="00FE461F" w:rsidP="00FE461F">
      <w:pPr>
        <w:spacing w:line="240" w:lineRule="auto"/>
        <w:jc w:val="both"/>
        <w:rPr>
          <w:rFonts w:cs="Arial"/>
          <w:b/>
          <w:color w:val="595959"/>
          <w:szCs w:val="20"/>
          <w:lang w:eastAsia="sl-SI"/>
        </w:rPr>
      </w:pPr>
      <w:r w:rsidRPr="005E4BEA">
        <w:rPr>
          <w:rFonts w:cs="Arial"/>
          <w:b/>
          <w:color w:val="595959"/>
          <w:szCs w:val="20"/>
          <w:lang w:eastAsia="sl-SI"/>
        </w:rPr>
        <w:t>Tabela 1: Pregled prilagoditve strukture zaposlenih v okviru predloga za A1 - SD 2022 in ocena vrednosti:</w:t>
      </w:r>
    </w:p>
    <w:tbl>
      <w:tblPr>
        <w:tblW w:w="0" w:type="auto"/>
        <w:tblInd w:w="108" w:type="dxa"/>
        <w:tblBorders>
          <w:top w:val="single" w:sz="12" w:space="0" w:color="008000"/>
          <w:bottom w:val="single" w:sz="12" w:space="0" w:color="008000"/>
        </w:tblBorders>
        <w:tblLayout w:type="fixed"/>
        <w:tblLook w:val="04A0" w:firstRow="1" w:lastRow="0" w:firstColumn="1" w:lastColumn="0" w:noHBand="0" w:noVBand="1"/>
      </w:tblPr>
      <w:tblGrid>
        <w:gridCol w:w="3085"/>
        <w:gridCol w:w="1418"/>
        <w:gridCol w:w="1593"/>
      </w:tblGrid>
      <w:tr w:rsidR="00FE461F" w:rsidRPr="005E4BEA" w14:paraId="108B6B0D" w14:textId="77777777" w:rsidTr="0016774B">
        <w:trPr>
          <w:trHeight w:val="213"/>
        </w:trPr>
        <w:tc>
          <w:tcPr>
            <w:tcW w:w="3085" w:type="dxa"/>
            <w:tcBorders>
              <w:bottom w:val="single" w:sz="6" w:space="0" w:color="008000"/>
            </w:tcBorders>
            <w:shd w:val="clear" w:color="auto" w:fill="auto"/>
            <w:noWrap/>
            <w:hideMark/>
          </w:tcPr>
          <w:p w14:paraId="061A9919"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 </w:t>
            </w:r>
          </w:p>
        </w:tc>
        <w:tc>
          <w:tcPr>
            <w:tcW w:w="1418" w:type="dxa"/>
            <w:tcBorders>
              <w:bottom w:val="single" w:sz="6" w:space="0" w:color="008000"/>
            </w:tcBorders>
            <w:shd w:val="clear" w:color="auto" w:fill="auto"/>
            <w:noWrap/>
            <w:hideMark/>
          </w:tcPr>
          <w:p w14:paraId="45701139"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 xml:space="preserve">Struktura SD 2021 </w:t>
            </w:r>
          </w:p>
        </w:tc>
        <w:tc>
          <w:tcPr>
            <w:tcW w:w="1593" w:type="dxa"/>
            <w:tcBorders>
              <w:bottom w:val="single" w:sz="6" w:space="0" w:color="008000"/>
            </w:tcBorders>
            <w:shd w:val="clear" w:color="auto" w:fill="auto"/>
            <w:noWrap/>
            <w:hideMark/>
          </w:tcPr>
          <w:p w14:paraId="775199EF" w14:textId="77777777" w:rsidR="00FE461F" w:rsidRPr="005E4BEA" w:rsidRDefault="00FE461F" w:rsidP="00FE461F">
            <w:pPr>
              <w:spacing w:line="240" w:lineRule="auto"/>
              <w:jc w:val="both"/>
              <w:rPr>
                <w:rFonts w:cs="Arial"/>
                <w:b/>
                <w:color w:val="808080"/>
                <w:szCs w:val="20"/>
                <w:lang w:eastAsia="sl-SI"/>
              </w:rPr>
            </w:pPr>
            <w:r w:rsidRPr="005E4BEA">
              <w:rPr>
                <w:rFonts w:cs="Arial"/>
                <w:b/>
                <w:color w:val="808080"/>
                <w:szCs w:val="20"/>
                <w:lang w:eastAsia="sl-SI"/>
              </w:rPr>
              <w:t>Predlog A1-SD 2022</w:t>
            </w:r>
          </w:p>
        </w:tc>
      </w:tr>
      <w:tr w:rsidR="00FE461F" w:rsidRPr="005E4BEA" w14:paraId="6740698A" w14:textId="77777777" w:rsidTr="0016774B">
        <w:trPr>
          <w:trHeight w:val="255"/>
        </w:trPr>
        <w:tc>
          <w:tcPr>
            <w:tcW w:w="3085" w:type="dxa"/>
            <w:shd w:val="clear" w:color="auto" w:fill="auto"/>
            <w:noWrap/>
            <w:hideMark/>
          </w:tcPr>
          <w:p w14:paraId="4F9683B3"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far. specialist</w:t>
            </w:r>
          </w:p>
        </w:tc>
        <w:tc>
          <w:tcPr>
            <w:tcW w:w="1418" w:type="dxa"/>
            <w:shd w:val="clear" w:color="auto" w:fill="auto"/>
            <w:noWrap/>
            <w:vAlign w:val="center"/>
            <w:hideMark/>
          </w:tcPr>
          <w:p w14:paraId="5C4749C9"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10</w:t>
            </w:r>
          </w:p>
        </w:tc>
        <w:tc>
          <w:tcPr>
            <w:tcW w:w="1593" w:type="dxa"/>
            <w:shd w:val="clear" w:color="auto" w:fill="auto"/>
            <w:noWrap/>
            <w:hideMark/>
          </w:tcPr>
          <w:p w14:paraId="35E6831B" w14:textId="77777777" w:rsidR="00FE461F" w:rsidRPr="005E4BEA" w:rsidRDefault="00FE461F" w:rsidP="00FE461F">
            <w:pPr>
              <w:spacing w:line="240" w:lineRule="auto"/>
              <w:jc w:val="right"/>
              <w:rPr>
                <w:rFonts w:cs="Arial"/>
                <w:b/>
                <w:color w:val="808080"/>
                <w:szCs w:val="20"/>
                <w:lang w:eastAsia="sl-SI"/>
              </w:rPr>
            </w:pPr>
            <w:r w:rsidRPr="005E4BEA">
              <w:rPr>
                <w:rFonts w:cs="Arial"/>
                <w:b/>
                <w:color w:val="808080"/>
                <w:szCs w:val="20"/>
                <w:lang w:eastAsia="sl-SI"/>
              </w:rPr>
              <w:t>49,0586</w:t>
            </w:r>
          </w:p>
        </w:tc>
      </w:tr>
      <w:tr w:rsidR="00FE461F" w:rsidRPr="005E4BEA" w14:paraId="3BAA5521" w14:textId="77777777" w:rsidTr="0016774B">
        <w:trPr>
          <w:trHeight w:val="255"/>
        </w:trPr>
        <w:tc>
          <w:tcPr>
            <w:tcW w:w="3085" w:type="dxa"/>
            <w:shd w:val="clear" w:color="auto" w:fill="auto"/>
            <w:noWrap/>
            <w:hideMark/>
          </w:tcPr>
          <w:p w14:paraId="2D1DBEF5"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far. receptar</w:t>
            </w:r>
          </w:p>
        </w:tc>
        <w:tc>
          <w:tcPr>
            <w:tcW w:w="1418" w:type="dxa"/>
            <w:shd w:val="clear" w:color="auto" w:fill="auto"/>
            <w:noWrap/>
            <w:vAlign w:val="center"/>
            <w:hideMark/>
          </w:tcPr>
          <w:p w14:paraId="69337F17"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661,518</w:t>
            </w:r>
          </w:p>
        </w:tc>
        <w:tc>
          <w:tcPr>
            <w:tcW w:w="1593" w:type="dxa"/>
            <w:shd w:val="clear" w:color="auto" w:fill="auto"/>
            <w:noWrap/>
            <w:hideMark/>
          </w:tcPr>
          <w:p w14:paraId="779F7722" w14:textId="77777777" w:rsidR="00FE461F" w:rsidRPr="005E4BEA" w:rsidRDefault="00FE461F" w:rsidP="00FE461F">
            <w:pPr>
              <w:spacing w:line="240" w:lineRule="auto"/>
              <w:jc w:val="right"/>
              <w:rPr>
                <w:rFonts w:cs="Arial"/>
                <w:b/>
                <w:color w:val="808080"/>
                <w:szCs w:val="20"/>
                <w:lang w:eastAsia="sl-SI"/>
              </w:rPr>
            </w:pPr>
            <w:r w:rsidRPr="005E4BEA">
              <w:rPr>
                <w:rFonts w:cs="Arial"/>
                <w:b/>
                <w:color w:val="808080"/>
                <w:szCs w:val="20"/>
                <w:lang w:eastAsia="sl-SI"/>
              </w:rPr>
              <w:t>686,8201</w:t>
            </w:r>
          </w:p>
        </w:tc>
      </w:tr>
      <w:tr w:rsidR="00FE461F" w:rsidRPr="005E4BEA" w14:paraId="71F25260" w14:textId="77777777" w:rsidTr="0016774B">
        <w:trPr>
          <w:trHeight w:val="255"/>
        </w:trPr>
        <w:tc>
          <w:tcPr>
            <w:tcW w:w="3085" w:type="dxa"/>
            <w:shd w:val="clear" w:color="auto" w:fill="auto"/>
            <w:noWrap/>
            <w:hideMark/>
          </w:tcPr>
          <w:p w14:paraId="10909D8C"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far. tehnik</w:t>
            </w:r>
          </w:p>
        </w:tc>
        <w:tc>
          <w:tcPr>
            <w:tcW w:w="1418" w:type="dxa"/>
            <w:shd w:val="clear" w:color="auto" w:fill="auto"/>
            <w:noWrap/>
            <w:vAlign w:val="center"/>
            <w:hideMark/>
          </w:tcPr>
          <w:p w14:paraId="16F8AD13"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380,7885</w:t>
            </w:r>
          </w:p>
        </w:tc>
        <w:tc>
          <w:tcPr>
            <w:tcW w:w="1593" w:type="dxa"/>
            <w:shd w:val="clear" w:color="auto" w:fill="auto"/>
            <w:noWrap/>
            <w:hideMark/>
          </w:tcPr>
          <w:p w14:paraId="5D1461A1" w14:textId="77777777" w:rsidR="00FE461F" w:rsidRPr="005E4BEA" w:rsidRDefault="00FE461F" w:rsidP="00FE461F">
            <w:pPr>
              <w:spacing w:line="240" w:lineRule="auto"/>
              <w:jc w:val="right"/>
              <w:rPr>
                <w:rFonts w:cs="Arial"/>
                <w:b/>
                <w:color w:val="808080"/>
                <w:szCs w:val="20"/>
                <w:lang w:eastAsia="sl-SI"/>
              </w:rPr>
            </w:pPr>
            <w:r w:rsidRPr="005E4BEA">
              <w:rPr>
                <w:rFonts w:cs="Arial"/>
                <w:b/>
                <w:color w:val="808080"/>
                <w:szCs w:val="20"/>
                <w:lang w:eastAsia="sl-SI"/>
              </w:rPr>
              <w:t>316,4278</w:t>
            </w:r>
          </w:p>
        </w:tc>
      </w:tr>
      <w:tr w:rsidR="00FE461F" w:rsidRPr="005E4BEA" w14:paraId="56EF443E" w14:textId="77777777" w:rsidTr="0016774B">
        <w:trPr>
          <w:trHeight w:val="255"/>
        </w:trPr>
        <w:tc>
          <w:tcPr>
            <w:tcW w:w="3085" w:type="dxa"/>
            <w:shd w:val="clear" w:color="auto" w:fill="auto"/>
            <w:noWrap/>
            <w:hideMark/>
          </w:tcPr>
          <w:p w14:paraId="784F147F"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del. drugih strok</w:t>
            </w:r>
          </w:p>
        </w:tc>
        <w:tc>
          <w:tcPr>
            <w:tcW w:w="1418" w:type="dxa"/>
            <w:shd w:val="clear" w:color="auto" w:fill="auto"/>
            <w:noWrap/>
            <w:vAlign w:val="center"/>
            <w:hideMark/>
          </w:tcPr>
          <w:p w14:paraId="0CD2546F"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87</w:t>
            </w:r>
          </w:p>
        </w:tc>
        <w:tc>
          <w:tcPr>
            <w:tcW w:w="1593" w:type="dxa"/>
            <w:shd w:val="clear" w:color="auto" w:fill="auto"/>
            <w:noWrap/>
            <w:vAlign w:val="center"/>
            <w:hideMark/>
          </w:tcPr>
          <w:p w14:paraId="7BFDE962" w14:textId="77777777" w:rsidR="00FE461F" w:rsidRPr="005E4BEA" w:rsidRDefault="00FE461F" w:rsidP="00FE461F">
            <w:pPr>
              <w:spacing w:line="240" w:lineRule="auto"/>
              <w:jc w:val="right"/>
              <w:rPr>
                <w:rFonts w:cs="Arial"/>
                <w:b/>
                <w:color w:val="808080"/>
                <w:szCs w:val="20"/>
                <w:lang w:eastAsia="sl-SI"/>
              </w:rPr>
            </w:pPr>
            <w:r w:rsidRPr="005E4BEA">
              <w:rPr>
                <w:rFonts w:cs="Arial"/>
                <w:b/>
                <w:color w:val="808080"/>
                <w:szCs w:val="20"/>
                <w:lang w:eastAsia="sl-SI"/>
              </w:rPr>
              <w:t>87</w:t>
            </w:r>
          </w:p>
        </w:tc>
      </w:tr>
      <w:tr w:rsidR="00FE461F" w:rsidRPr="005E4BEA" w14:paraId="035620BD" w14:textId="77777777" w:rsidTr="0016774B">
        <w:trPr>
          <w:trHeight w:val="255"/>
        </w:trPr>
        <w:tc>
          <w:tcPr>
            <w:tcW w:w="3085" w:type="dxa"/>
            <w:shd w:val="clear" w:color="auto" w:fill="auto"/>
            <w:noWrap/>
            <w:hideMark/>
          </w:tcPr>
          <w:p w14:paraId="3419F13D"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lek. delavec</w:t>
            </w:r>
          </w:p>
        </w:tc>
        <w:tc>
          <w:tcPr>
            <w:tcW w:w="1418" w:type="dxa"/>
            <w:shd w:val="clear" w:color="auto" w:fill="auto"/>
            <w:noWrap/>
            <w:vAlign w:val="center"/>
            <w:hideMark/>
          </w:tcPr>
          <w:p w14:paraId="62488E85"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87</w:t>
            </w:r>
          </w:p>
        </w:tc>
        <w:tc>
          <w:tcPr>
            <w:tcW w:w="1593" w:type="dxa"/>
            <w:shd w:val="clear" w:color="auto" w:fill="auto"/>
            <w:noWrap/>
            <w:vAlign w:val="center"/>
            <w:hideMark/>
          </w:tcPr>
          <w:p w14:paraId="14906A99" w14:textId="77777777" w:rsidR="00FE461F" w:rsidRPr="005E4BEA" w:rsidRDefault="00FE461F" w:rsidP="00FE461F">
            <w:pPr>
              <w:spacing w:line="240" w:lineRule="auto"/>
              <w:jc w:val="right"/>
              <w:rPr>
                <w:rFonts w:cs="Arial"/>
                <w:b/>
                <w:color w:val="808080"/>
                <w:szCs w:val="20"/>
                <w:lang w:eastAsia="sl-SI"/>
              </w:rPr>
            </w:pPr>
            <w:r w:rsidRPr="005E4BEA">
              <w:rPr>
                <w:rFonts w:cs="Arial"/>
                <w:b/>
                <w:color w:val="808080"/>
                <w:szCs w:val="20"/>
                <w:lang w:eastAsia="sl-SI"/>
              </w:rPr>
              <w:t>87</w:t>
            </w:r>
          </w:p>
        </w:tc>
      </w:tr>
      <w:tr w:rsidR="00FE461F" w:rsidRPr="005E4BEA" w14:paraId="05A7E282" w14:textId="77777777" w:rsidTr="0016774B">
        <w:trPr>
          <w:trHeight w:val="255"/>
        </w:trPr>
        <w:tc>
          <w:tcPr>
            <w:tcW w:w="3085" w:type="dxa"/>
            <w:shd w:val="clear" w:color="auto" w:fill="auto"/>
            <w:noWrap/>
            <w:hideMark/>
          </w:tcPr>
          <w:p w14:paraId="1A32AC22"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SKUPAJ</w:t>
            </w:r>
          </w:p>
        </w:tc>
        <w:tc>
          <w:tcPr>
            <w:tcW w:w="1418" w:type="dxa"/>
            <w:shd w:val="clear" w:color="auto" w:fill="auto"/>
            <w:noWrap/>
            <w:vAlign w:val="center"/>
            <w:hideMark/>
          </w:tcPr>
          <w:p w14:paraId="2502540B" w14:textId="77777777" w:rsidR="00FE461F" w:rsidRPr="005E4BEA" w:rsidRDefault="00FE461F" w:rsidP="00FE461F">
            <w:pPr>
              <w:spacing w:line="240" w:lineRule="auto"/>
              <w:jc w:val="right"/>
              <w:rPr>
                <w:rFonts w:cs="Arial"/>
                <w:color w:val="808080"/>
                <w:szCs w:val="20"/>
                <w:lang w:eastAsia="sl-SI"/>
              </w:rPr>
            </w:pPr>
            <w:r w:rsidRPr="005E4BEA">
              <w:rPr>
                <w:rFonts w:cs="Arial"/>
                <w:color w:val="808080"/>
                <w:szCs w:val="20"/>
                <w:lang w:eastAsia="sl-SI"/>
              </w:rPr>
              <w:t>1226,3065</w:t>
            </w:r>
          </w:p>
        </w:tc>
        <w:tc>
          <w:tcPr>
            <w:tcW w:w="1593" w:type="dxa"/>
            <w:shd w:val="clear" w:color="auto" w:fill="auto"/>
            <w:noWrap/>
            <w:vAlign w:val="center"/>
            <w:hideMark/>
          </w:tcPr>
          <w:p w14:paraId="655EEC9B" w14:textId="77777777" w:rsidR="00FE461F" w:rsidRPr="005E4BEA" w:rsidRDefault="00FE461F" w:rsidP="00FE461F">
            <w:pPr>
              <w:spacing w:line="240" w:lineRule="auto"/>
              <w:jc w:val="right"/>
              <w:rPr>
                <w:rFonts w:cs="Arial"/>
                <w:b/>
                <w:color w:val="808080"/>
                <w:szCs w:val="20"/>
                <w:lang w:eastAsia="sl-SI"/>
              </w:rPr>
            </w:pPr>
            <w:r w:rsidRPr="005E4BEA">
              <w:rPr>
                <w:rFonts w:cs="Arial"/>
                <w:b/>
                <w:color w:val="808080"/>
                <w:szCs w:val="20"/>
                <w:lang w:eastAsia="sl-SI"/>
              </w:rPr>
              <w:t>1.226,3065</w:t>
            </w:r>
          </w:p>
        </w:tc>
      </w:tr>
    </w:tbl>
    <w:p w14:paraId="14A953CB" w14:textId="77777777" w:rsidR="00FE461F" w:rsidRPr="005E4BEA" w:rsidRDefault="00FE461F" w:rsidP="00FE461F">
      <w:pPr>
        <w:spacing w:line="240" w:lineRule="auto"/>
        <w:jc w:val="both"/>
        <w:rPr>
          <w:rFonts w:cs="Arial"/>
          <w:b/>
          <w:color w:val="000080"/>
          <w:szCs w:val="20"/>
          <w:lang w:eastAsia="sl-SI"/>
        </w:rPr>
      </w:pPr>
    </w:p>
    <w:p w14:paraId="3F005FEC" w14:textId="77777777" w:rsidR="00FE461F" w:rsidRPr="005E4BEA" w:rsidRDefault="00FE461F" w:rsidP="00FE461F">
      <w:pPr>
        <w:spacing w:line="240" w:lineRule="auto"/>
        <w:jc w:val="both"/>
        <w:rPr>
          <w:rFonts w:cs="Arial"/>
          <w:b/>
          <w:color w:val="595959"/>
          <w:szCs w:val="20"/>
          <w:lang w:eastAsia="sl-SI"/>
        </w:rPr>
      </w:pPr>
      <w:r w:rsidRPr="005E4BEA">
        <w:rPr>
          <w:rFonts w:cs="Arial"/>
          <w:b/>
          <w:color w:val="595959"/>
          <w:szCs w:val="20"/>
          <w:lang w:eastAsia="sl-SI"/>
        </w:rPr>
        <w:t>Tabela 2: Pregled pokritosti financiranja javne lekarniške službe po priznanih in dejansko zaposlenih kadrih ter prikaz predloga za A1-SD 2022</w:t>
      </w:r>
    </w:p>
    <w:tbl>
      <w:tblPr>
        <w:tblW w:w="9000" w:type="dxa"/>
        <w:tblBorders>
          <w:top w:val="single" w:sz="12" w:space="0" w:color="000000"/>
          <w:bottom w:val="single" w:sz="12" w:space="0" w:color="000000"/>
        </w:tblBorders>
        <w:tblLook w:val="04A0" w:firstRow="1" w:lastRow="0" w:firstColumn="1" w:lastColumn="0" w:noHBand="0" w:noVBand="1"/>
      </w:tblPr>
      <w:tblGrid>
        <w:gridCol w:w="1420"/>
        <w:gridCol w:w="1520"/>
        <w:gridCol w:w="1440"/>
        <w:gridCol w:w="1660"/>
        <w:gridCol w:w="1360"/>
        <w:gridCol w:w="1600"/>
      </w:tblGrid>
      <w:tr w:rsidR="00FE461F" w:rsidRPr="005E4BEA" w14:paraId="6A2237B4" w14:textId="77777777" w:rsidTr="0016774B">
        <w:trPr>
          <w:trHeight w:val="915"/>
        </w:trPr>
        <w:tc>
          <w:tcPr>
            <w:tcW w:w="1420" w:type="dxa"/>
            <w:tcBorders>
              <w:bottom w:val="single" w:sz="6" w:space="0" w:color="000000"/>
              <w:right w:val="single" w:sz="6" w:space="0" w:color="000000"/>
            </w:tcBorders>
            <w:shd w:val="clear" w:color="auto" w:fill="auto"/>
            <w:hideMark/>
          </w:tcPr>
          <w:p w14:paraId="0C6CBE06" w14:textId="77777777" w:rsidR="00FE461F" w:rsidRPr="005E4BEA" w:rsidRDefault="00FE461F" w:rsidP="00FE461F">
            <w:pPr>
              <w:spacing w:line="240" w:lineRule="auto"/>
              <w:jc w:val="both"/>
              <w:rPr>
                <w:rFonts w:cs="Arial"/>
                <w:b/>
                <w:bCs/>
                <w:i/>
                <w:iCs/>
                <w:color w:val="000000"/>
                <w:szCs w:val="20"/>
                <w:lang w:eastAsia="sl-SI"/>
              </w:rPr>
            </w:pPr>
            <w:r w:rsidRPr="005E4BEA">
              <w:rPr>
                <w:rFonts w:cs="Arial"/>
                <w:b/>
                <w:bCs/>
                <w:i/>
                <w:iCs/>
                <w:color w:val="000000"/>
                <w:szCs w:val="20"/>
                <w:lang w:eastAsia="sl-SI"/>
              </w:rPr>
              <w:t>Struktura tima</w:t>
            </w:r>
          </w:p>
        </w:tc>
        <w:tc>
          <w:tcPr>
            <w:tcW w:w="1520" w:type="dxa"/>
            <w:tcBorders>
              <w:bottom w:val="single" w:sz="6" w:space="0" w:color="000000"/>
            </w:tcBorders>
            <w:shd w:val="clear" w:color="auto" w:fill="auto"/>
            <w:hideMark/>
          </w:tcPr>
          <w:p w14:paraId="42C2A520" w14:textId="77777777" w:rsidR="00FE461F" w:rsidRPr="005E4BEA" w:rsidRDefault="00FE461F" w:rsidP="00FE461F">
            <w:pPr>
              <w:spacing w:line="240" w:lineRule="auto"/>
              <w:rPr>
                <w:rFonts w:cs="Arial"/>
                <w:b/>
                <w:bCs/>
                <w:i/>
                <w:iCs/>
                <w:color w:val="000000"/>
                <w:szCs w:val="20"/>
                <w:lang w:eastAsia="sl-SI"/>
              </w:rPr>
            </w:pPr>
            <w:r w:rsidRPr="005E4BEA">
              <w:rPr>
                <w:rFonts w:cs="Arial"/>
                <w:b/>
                <w:bCs/>
                <w:i/>
                <w:iCs/>
                <w:color w:val="000000"/>
                <w:szCs w:val="20"/>
                <w:lang w:eastAsia="sl-SI"/>
              </w:rPr>
              <w:t>Število delavcev SD 2020</w:t>
            </w:r>
          </w:p>
        </w:tc>
        <w:tc>
          <w:tcPr>
            <w:tcW w:w="1440" w:type="dxa"/>
            <w:tcBorders>
              <w:bottom w:val="single" w:sz="6" w:space="0" w:color="000000"/>
            </w:tcBorders>
            <w:shd w:val="clear" w:color="auto" w:fill="auto"/>
            <w:hideMark/>
          </w:tcPr>
          <w:p w14:paraId="40459843" w14:textId="77777777" w:rsidR="00FE461F" w:rsidRPr="005E4BEA" w:rsidRDefault="00FE461F" w:rsidP="00FE461F">
            <w:pPr>
              <w:spacing w:line="240" w:lineRule="auto"/>
              <w:rPr>
                <w:rFonts w:cs="Arial"/>
                <w:b/>
                <w:bCs/>
                <w:i/>
                <w:iCs/>
                <w:color w:val="000000"/>
                <w:szCs w:val="20"/>
                <w:lang w:eastAsia="sl-SI"/>
              </w:rPr>
            </w:pPr>
            <w:r w:rsidRPr="005E4BEA">
              <w:rPr>
                <w:rFonts w:cs="Arial"/>
                <w:b/>
                <w:bCs/>
                <w:i/>
                <w:iCs/>
                <w:color w:val="000000"/>
                <w:szCs w:val="20"/>
                <w:lang w:eastAsia="sl-SI"/>
              </w:rPr>
              <w:t>Predlog SD 2021</w:t>
            </w:r>
          </w:p>
        </w:tc>
        <w:tc>
          <w:tcPr>
            <w:tcW w:w="1660" w:type="dxa"/>
            <w:tcBorders>
              <w:bottom w:val="single" w:sz="6" w:space="0" w:color="000000"/>
            </w:tcBorders>
            <w:shd w:val="clear" w:color="auto" w:fill="auto"/>
            <w:hideMark/>
          </w:tcPr>
          <w:p w14:paraId="48EF21CC" w14:textId="77777777" w:rsidR="00FE461F" w:rsidRPr="005E4BEA" w:rsidRDefault="00FE461F" w:rsidP="00FE461F">
            <w:pPr>
              <w:spacing w:line="240" w:lineRule="auto"/>
              <w:rPr>
                <w:rFonts w:cs="Arial"/>
                <w:b/>
                <w:bCs/>
                <w:i/>
                <w:iCs/>
                <w:color w:val="000000"/>
                <w:szCs w:val="20"/>
                <w:lang w:eastAsia="sl-SI"/>
              </w:rPr>
            </w:pPr>
            <w:r w:rsidRPr="005E4BEA">
              <w:rPr>
                <w:rFonts w:cs="Arial"/>
                <w:b/>
                <w:bCs/>
                <w:i/>
                <w:iCs/>
                <w:color w:val="000000"/>
                <w:szCs w:val="20"/>
                <w:lang w:eastAsia="sl-SI"/>
              </w:rPr>
              <w:t>Dejansko število zaposlenih v dejavnosti na dan 31.12.2021</w:t>
            </w:r>
          </w:p>
        </w:tc>
        <w:tc>
          <w:tcPr>
            <w:tcW w:w="1360" w:type="dxa"/>
            <w:tcBorders>
              <w:bottom w:val="single" w:sz="6" w:space="0" w:color="000000"/>
            </w:tcBorders>
            <w:shd w:val="clear" w:color="auto" w:fill="auto"/>
            <w:hideMark/>
          </w:tcPr>
          <w:p w14:paraId="18F078B0" w14:textId="77777777" w:rsidR="00FE461F" w:rsidRPr="005E4BEA" w:rsidRDefault="00FE461F" w:rsidP="00FE461F">
            <w:pPr>
              <w:spacing w:line="240" w:lineRule="auto"/>
              <w:rPr>
                <w:rFonts w:cs="Arial"/>
                <w:b/>
                <w:bCs/>
                <w:i/>
                <w:iCs/>
                <w:color w:val="000000"/>
                <w:szCs w:val="20"/>
                <w:lang w:eastAsia="sl-SI"/>
              </w:rPr>
            </w:pPr>
            <w:r w:rsidRPr="005E4BEA">
              <w:rPr>
                <w:rFonts w:cs="Arial"/>
                <w:b/>
                <w:bCs/>
                <w:i/>
                <w:iCs/>
                <w:color w:val="000000"/>
                <w:szCs w:val="20"/>
                <w:lang w:eastAsia="sl-SI"/>
              </w:rPr>
              <w:t>Delež kadrov, ki so kriti iz sredstev ZZZS v letu 2020</w:t>
            </w:r>
          </w:p>
        </w:tc>
        <w:tc>
          <w:tcPr>
            <w:tcW w:w="1600" w:type="dxa"/>
            <w:tcBorders>
              <w:bottom w:val="single" w:sz="6" w:space="0" w:color="000000"/>
            </w:tcBorders>
            <w:shd w:val="clear" w:color="auto" w:fill="auto"/>
            <w:hideMark/>
          </w:tcPr>
          <w:p w14:paraId="5C52A8CA" w14:textId="77777777" w:rsidR="00FE461F" w:rsidRPr="005E4BEA" w:rsidRDefault="00FE461F" w:rsidP="00FE461F">
            <w:pPr>
              <w:spacing w:line="240" w:lineRule="auto"/>
              <w:rPr>
                <w:rFonts w:cs="Arial"/>
                <w:b/>
                <w:bCs/>
                <w:i/>
                <w:iCs/>
                <w:color w:val="000000"/>
                <w:szCs w:val="20"/>
                <w:lang w:eastAsia="sl-SI"/>
              </w:rPr>
            </w:pPr>
            <w:r w:rsidRPr="005E4BEA">
              <w:rPr>
                <w:rFonts w:cs="Arial"/>
                <w:b/>
                <w:bCs/>
                <w:i/>
                <w:iCs/>
                <w:color w:val="000000"/>
                <w:szCs w:val="20"/>
                <w:lang w:eastAsia="sl-SI"/>
              </w:rPr>
              <w:t>Delež kadrov, ki so kriti iz sredstev ZZZS po predlogu za A1-SD 2021</w:t>
            </w:r>
          </w:p>
        </w:tc>
      </w:tr>
      <w:tr w:rsidR="00FE461F" w:rsidRPr="005E4BEA" w14:paraId="4617010E" w14:textId="77777777" w:rsidTr="0016774B">
        <w:trPr>
          <w:trHeight w:val="255"/>
        </w:trPr>
        <w:tc>
          <w:tcPr>
            <w:tcW w:w="1420" w:type="dxa"/>
            <w:tcBorders>
              <w:right w:val="single" w:sz="6" w:space="0" w:color="000000"/>
            </w:tcBorders>
            <w:shd w:val="clear" w:color="auto" w:fill="auto"/>
            <w:noWrap/>
            <w:hideMark/>
          </w:tcPr>
          <w:p w14:paraId="3DBFEAED"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far.specialist</w:t>
            </w:r>
            <w:proofErr w:type="spellEnd"/>
          </w:p>
        </w:tc>
        <w:tc>
          <w:tcPr>
            <w:tcW w:w="1520" w:type="dxa"/>
            <w:shd w:val="clear" w:color="auto" w:fill="auto"/>
            <w:noWrap/>
            <w:hideMark/>
          </w:tcPr>
          <w:p w14:paraId="06A46D94"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10</w:t>
            </w:r>
          </w:p>
        </w:tc>
        <w:tc>
          <w:tcPr>
            <w:tcW w:w="1440" w:type="dxa"/>
            <w:shd w:val="clear" w:color="auto" w:fill="auto"/>
            <w:noWrap/>
            <w:hideMark/>
          </w:tcPr>
          <w:p w14:paraId="6D0C7452"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49,0586</w:t>
            </w:r>
          </w:p>
        </w:tc>
        <w:tc>
          <w:tcPr>
            <w:tcW w:w="1660" w:type="dxa"/>
            <w:shd w:val="clear" w:color="auto" w:fill="auto"/>
            <w:noWrap/>
            <w:hideMark/>
          </w:tcPr>
          <w:p w14:paraId="11D7586A"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90</w:t>
            </w:r>
          </w:p>
        </w:tc>
        <w:tc>
          <w:tcPr>
            <w:tcW w:w="1360" w:type="dxa"/>
            <w:shd w:val="clear" w:color="auto" w:fill="auto"/>
            <w:noWrap/>
            <w:hideMark/>
          </w:tcPr>
          <w:p w14:paraId="0D67A045"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11,11%</w:t>
            </w:r>
          </w:p>
        </w:tc>
        <w:tc>
          <w:tcPr>
            <w:tcW w:w="1600" w:type="dxa"/>
            <w:shd w:val="clear" w:color="auto" w:fill="auto"/>
            <w:noWrap/>
            <w:hideMark/>
          </w:tcPr>
          <w:p w14:paraId="5B7C2EA9"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54,51%</w:t>
            </w:r>
          </w:p>
        </w:tc>
      </w:tr>
      <w:tr w:rsidR="00FE461F" w:rsidRPr="005E4BEA" w14:paraId="203C6B4D" w14:textId="77777777" w:rsidTr="0016774B">
        <w:trPr>
          <w:trHeight w:val="255"/>
        </w:trPr>
        <w:tc>
          <w:tcPr>
            <w:tcW w:w="1420" w:type="dxa"/>
            <w:tcBorders>
              <w:right w:val="single" w:sz="6" w:space="0" w:color="000000"/>
            </w:tcBorders>
            <w:shd w:val="clear" w:color="auto" w:fill="auto"/>
            <w:noWrap/>
            <w:hideMark/>
          </w:tcPr>
          <w:p w14:paraId="7B9052FE"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far.receptar</w:t>
            </w:r>
            <w:proofErr w:type="spellEnd"/>
          </w:p>
        </w:tc>
        <w:tc>
          <w:tcPr>
            <w:tcW w:w="1520" w:type="dxa"/>
            <w:shd w:val="clear" w:color="auto" w:fill="auto"/>
            <w:noWrap/>
            <w:hideMark/>
          </w:tcPr>
          <w:p w14:paraId="6ACCE377"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661,518</w:t>
            </w:r>
          </w:p>
        </w:tc>
        <w:tc>
          <w:tcPr>
            <w:tcW w:w="1440" w:type="dxa"/>
            <w:shd w:val="clear" w:color="auto" w:fill="auto"/>
            <w:noWrap/>
            <w:hideMark/>
          </w:tcPr>
          <w:p w14:paraId="513F3C8C"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686,8201</w:t>
            </w:r>
          </w:p>
        </w:tc>
        <w:tc>
          <w:tcPr>
            <w:tcW w:w="1660" w:type="dxa"/>
            <w:shd w:val="clear" w:color="auto" w:fill="auto"/>
            <w:noWrap/>
            <w:hideMark/>
          </w:tcPr>
          <w:p w14:paraId="0202AB7E"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1260</w:t>
            </w:r>
          </w:p>
        </w:tc>
        <w:tc>
          <w:tcPr>
            <w:tcW w:w="1360" w:type="dxa"/>
            <w:shd w:val="clear" w:color="auto" w:fill="auto"/>
            <w:noWrap/>
            <w:hideMark/>
          </w:tcPr>
          <w:p w14:paraId="3B79B214"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52,50%</w:t>
            </w:r>
          </w:p>
        </w:tc>
        <w:tc>
          <w:tcPr>
            <w:tcW w:w="1600" w:type="dxa"/>
            <w:shd w:val="clear" w:color="auto" w:fill="auto"/>
            <w:noWrap/>
            <w:hideMark/>
          </w:tcPr>
          <w:p w14:paraId="46B170AD"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54,51%</w:t>
            </w:r>
          </w:p>
        </w:tc>
      </w:tr>
      <w:tr w:rsidR="00FE461F" w:rsidRPr="005E4BEA" w14:paraId="1E378D9C" w14:textId="77777777" w:rsidTr="0016774B">
        <w:trPr>
          <w:trHeight w:val="255"/>
        </w:trPr>
        <w:tc>
          <w:tcPr>
            <w:tcW w:w="1420" w:type="dxa"/>
            <w:tcBorders>
              <w:right w:val="single" w:sz="6" w:space="0" w:color="000000"/>
            </w:tcBorders>
            <w:shd w:val="clear" w:color="auto" w:fill="auto"/>
            <w:noWrap/>
            <w:hideMark/>
          </w:tcPr>
          <w:p w14:paraId="48ED2344"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lastRenderedPageBreak/>
              <w:t>far.tehnik</w:t>
            </w:r>
            <w:proofErr w:type="spellEnd"/>
          </w:p>
        </w:tc>
        <w:tc>
          <w:tcPr>
            <w:tcW w:w="1520" w:type="dxa"/>
            <w:shd w:val="clear" w:color="auto" w:fill="auto"/>
            <w:noWrap/>
            <w:hideMark/>
          </w:tcPr>
          <w:p w14:paraId="4C6ECDAE"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380,7885</w:t>
            </w:r>
          </w:p>
        </w:tc>
        <w:tc>
          <w:tcPr>
            <w:tcW w:w="1440" w:type="dxa"/>
            <w:shd w:val="clear" w:color="auto" w:fill="auto"/>
            <w:noWrap/>
            <w:hideMark/>
          </w:tcPr>
          <w:p w14:paraId="51D56E37"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316,4278</w:t>
            </w:r>
          </w:p>
        </w:tc>
        <w:tc>
          <w:tcPr>
            <w:tcW w:w="1660" w:type="dxa"/>
            <w:shd w:val="clear" w:color="auto" w:fill="auto"/>
            <w:noWrap/>
            <w:hideMark/>
          </w:tcPr>
          <w:p w14:paraId="03F2244D"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586,5</w:t>
            </w:r>
          </w:p>
        </w:tc>
        <w:tc>
          <w:tcPr>
            <w:tcW w:w="1360" w:type="dxa"/>
            <w:shd w:val="clear" w:color="auto" w:fill="auto"/>
            <w:noWrap/>
            <w:hideMark/>
          </w:tcPr>
          <w:p w14:paraId="7B675C29"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64,93%</w:t>
            </w:r>
          </w:p>
        </w:tc>
        <w:tc>
          <w:tcPr>
            <w:tcW w:w="1600" w:type="dxa"/>
            <w:shd w:val="clear" w:color="auto" w:fill="auto"/>
            <w:noWrap/>
            <w:hideMark/>
          </w:tcPr>
          <w:p w14:paraId="474787F5"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53,95%</w:t>
            </w:r>
          </w:p>
        </w:tc>
      </w:tr>
      <w:tr w:rsidR="00FE461F" w:rsidRPr="005E4BEA" w14:paraId="3A3BB0A0" w14:textId="77777777" w:rsidTr="0016774B">
        <w:trPr>
          <w:trHeight w:val="255"/>
        </w:trPr>
        <w:tc>
          <w:tcPr>
            <w:tcW w:w="1420" w:type="dxa"/>
            <w:tcBorders>
              <w:right w:val="single" w:sz="6" w:space="0" w:color="000000"/>
            </w:tcBorders>
            <w:shd w:val="clear" w:color="auto" w:fill="auto"/>
            <w:noWrap/>
            <w:hideMark/>
          </w:tcPr>
          <w:p w14:paraId="544057B6"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del.drugih</w:t>
            </w:r>
            <w:proofErr w:type="spellEnd"/>
            <w:r w:rsidRPr="005E4BEA">
              <w:rPr>
                <w:rFonts w:cs="Arial"/>
                <w:color w:val="000000"/>
                <w:szCs w:val="20"/>
                <w:lang w:eastAsia="sl-SI"/>
              </w:rPr>
              <w:t xml:space="preserve"> strok</w:t>
            </w:r>
          </w:p>
        </w:tc>
        <w:tc>
          <w:tcPr>
            <w:tcW w:w="1520" w:type="dxa"/>
            <w:shd w:val="clear" w:color="auto" w:fill="auto"/>
            <w:noWrap/>
            <w:hideMark/>
          </w:tcPr>
          <w:p w14:paraId="4371CA3E"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87</w:t>
            </w:r>
          </w:p>
        </w:tc>
        <w:tc>
          <w:tcPr>
            <w:tcW w:w="1440" w:type="dxa"/>
            <w:shd w:val="clear" w:color="auto" w:fill="auto"/>
            <w:noWrap/>
            <w:hideMark/>
          </w:tcPr>
          <w:p w14:paraId="7F68804A"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87</w:t>
            </w:r>
          </w:p>
        </w:tc>
        <w:tc>
          <w:tcPr>
            <w:tcW w:w="1660" w:type="dxa"/>
            <w:shd w:val="clear" w:color="auto" w:fill="auto"/>
            <w:noWrap/>
            <w:hideMark/>
          </w:tcPr>
          <w:p w14:paraId="670E99EE"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216,75</w:t>
            </w:r>
          </w:p>
        </w:tc>
        <w:tc>
          <w:tcPr>
            <w:tcW w:w="1360" w:type="dxa"/>
            <w:shd w:val="clear" w:color="auto" w:fill="auto"/>
            <w:noWrap/>
            <w:hideMark/>
          </w:tcPr>
          <w:p w14:paraId="363433D3"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40,14%</w:t>
            </w:r>
          </w:p>
        </w:tc>
        <w:tc>
          <w:tcPr>
            <w:tcW w:w="1600" w:type="dxa"/>
            <w:shd w:val="clear" w:color="auto" w:fill="auto"/>
            <w:noWrap/>
            <w:hideMark/>
          </w:tcPr>
          <w:p w14:paraId="0BB502DE"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40,14%</w:t>
            </w:r>
          </w:p>
        </w:tc>
      </w:tr>
      <w:tr w:rsidR="00FE461F" w:rsidRPr="005E4BEA" w14:paraId="5F99E74F" w14:textId="77777777" w:rsidTr="0016774B">
        <w:trPr>
          <w:trHeight w:val="255"/>
        </w:trPr>
        <w:tc>
          <w:tcPr>
            <w:tcW w:w="1420" w:type="dxa"/>
            <w:tcBorders>
              <w:right w:val="single" w:sz="6" w:space="0" w:color="000000"/>
            </w:tcBorders>
            <w:shd w:val="clear" w:color="auto" w:fill="auto"/>
            <w:noWrap/>
            <w:hideMark/>
          </w:tcPr>
          <w:p w14:paraId="1EF3C9E3"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lek.delavec</w:t>
            </w:r>
            <w:proofErr w:type="spellEnd"/>
          </w:p>
        </w:tc>
        <w:tc>
          <w:tcPr>
            <w:tcW w:w="1520" w:type="dxa"/>
            <w:shd w:val="clear" w:color="auto" w:fill="auto"/>
            <w:noWrap/>
            <w:hideMark/>
          </w:tcPr>
          <w:p w14:paraId="0994C230"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87</w:t>
            </w:r>
          </w:p>
        </w:tc>
        <w:tc>
          <w:tcPr>
            <w:tcW w:w="1440" w:type="dxa"/>
            <w:shd w:val="clear" w:color="auto" w:fill="auto"/>
            <w:noWrap/>
            <w:hideMark/>
          </w:tcPr>
          <w:p w14:paraId="2AEA722C"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87</w:t>
            </w:r>
          </w:p>
        </w:tc>
        <w:tc>
          <w:tcPr>
            <w:tcW w:w="1660" w:type="dxa"/>
            <w:shd w:val="clear" w:color="auto" w:fill="auto"/>
            <w:noWrap/>
            <w:hideMark/>
          </w:tcPr>
          <w:p w14:paraId="7F2AC770" w14:textId="77777777" w:rsidR="00FE461F" w:rsidRPr="005E4BEA" w:rsidRDefault="00FE461F" w:rsidP="00FE461F">
            <w:pPr>
              <w:spacing w:line="240" w:lineRule="auto"/>
              <w:jc w:val="right"/>
              <w:rPr>
                <w:rFonts w:cs="Arial"/>
                <w:color w:val="000000"/>
                <w:szCs w:val="20"/>
                <w:lang w:eastAsia="sl-SI"/>
              </w:rPr>
            </w:pPr>
            <w:r w:rsidRPr="005E4BEA">
              <w:rPr>
                <w:rFonts w:cs="Arial"/>
                <w:color w:val="000000"/>
                <w:szCs w:val="20"/>
                <w:lang w:eastAsia="sl-SI"/>
              </w:rPr>
              <w:t>216,75</w:t>
            </w:r>
          </w:p>
        </w:tc>
        <w:tc>
          <w:tcPr>
            <w:tcW w:w="1360" w:type="dxa"/>
            <w:shd w:val="clear" w:color="auto" w:fill="auto"/>
            <w:noWrap/>
            <w:hideMark/>
          </w:tcPr>
          <w:p w14:paraId="27322281"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40,14%</w:t>
            </w:r>
          </w:p>
        </w:tc>
        <w:tc>
          <w:tcPr>
            <w:tcW w:w="1600" w:type="dxa"/>
            <w:shd w:val="clear" w:color="auto" w:fill="auto"/>
            <w:noWrap/>
            <w:hideMark/>
          </w:tcPr>
          <w:p w14:paraId="49626A6E" w14:textId="77777777" w:rsidR="00FE461F" w:rsidRPr="005E4BEA" w:rsidRDefault="00FE461F" w:rsidP="00FE461F">
            <w:pPr>
              <w:spacing w:line="240" w:lineRule="auto"/>
              <w:jc w:val="center"/>
              <w:rPr>
                <w:rFonts w:cs="Arial"/>
                <w:color w:val="000000"/>
                <w:szCs w:val="20"/>
                <w:lang w:eastAsia="sl-SI"/>
              </w:rPr>
            </w:pPr>
            <w:r w:rsidRPr="005E4BEA">
              <w:rPr>
                <w:rFonts w:cs="Arial"/>
                <w:color w:val="000000"/>
                <w:szCs w:val="20"/>
                <w:lang w:eastAsia="sl-SI"/>
              </w:rPr>
              <w:t>40,14%</w:t>
            </w:r>
          </w:p>
        </w:tc>
      </w:tr>
      <w:tr w:rsidR="00FE461F" w:rsidRPr="005E4BEA" w14:paraId="1853F74F" w14:textId="77777777" w:rsidTr="0016774B">
        <w:trPr>
          <w:trHeight w:val="255"/>
        </w:trPr>
        <w:tc>
          <w:tcPr>
            <w:tcW w:w="1420" w:type="dxa"/>
            <w:tcBorders>
              <w:right w:val="single" w:sz="6" w:space="0" w:color="000000"/>
            </w:tcBorders>
            <w:shd w:val="clear" w:color="auto" w:fill="auto"/>
            <w:noWrap/>
            <w:hideMark/>
          </w:tcPr>
          <w:p w14:paraId="2E4BAA60"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SKUPAJ</w:t>
            </w:r>
          </w:p>
        </w:tc>
        <w:tc>
          <w:tcPr>
            <w:tcW w:w="1520" w:type="dxa"/>
            <w:shd w:val="clear" w:color="auto" w:fill="auto"/>
            <w:noWrap/>
            <w:hideMark/>
          </w:tcPr>
          <w:p w14:paraId="27D3F533" w14:textId="77777777" w:rsidR="00FE461F" w:rsidRPr="005E4BEA" w:rsidRDefault="00FE461F" w:rsidP="00FE461F">
            <w:pPr>
              <w:spacing w:line="240" w:lineRule="auto"/>
              <w:jc w:val="right"/>
              <w:rPr>
                <w:rFonts w:cs="Arial"/>
                <w:b/>
                <w:bCs/>
                <w:color w:val="000000"/>
                <w:szCs w:val="20"/>
                <w:lang w:eastAsia="sl-SI"/>
              </w:rPr>
            </w:pPr>
            <w:r w:rsidRPr="005E4BEA">
              <w:rPr>
                <w:rFonts w:cs="Arial"/>
                <w:b/>
                <w:bCs/>
                <w:color w:val="000000"/>
                <w:szCs w:val="20"/>
                <w:lang w:eastAsia="sl-SI"/>
              </w:rPr>
              <w:t>1.226,3065</w:t>
            </w:r>
          </w:p>
        </w:tc>
        <w:tc>
          <w:tcPr>
            <w:tcW w:w="1440" w:type="dxa"/>
            <w:shd w:val="clear" w:color="auto" w:fill="auto"/>
            <w:noWrap/>
            <w:hideMark/>
          </w:tcPr>
          <w:p w14:paraId="09727495" w14:textId="77777777" w:rsidR="00FE461F" w:rsidRPr="005E4BEA" w:rsidRDefault="00FE461F" w:rsidP="00FE461F">
            <w:pPr>
              <w:spacing w:line="240" w:lineRule="auto"/>
              <w:jc w:val="right"/>
              <w:rPr>
                <w:rFonts w:cs="Arial"/>
                <w:b/>
                <w:bCs/>
                <w:color w:val="000000"/>
                <w:szCs w:val="20"/>
                <w:lang w:eastAsia="sl-SI"/>
              </w:rPr>
            </w:pPr>
            <w:r w:rsidRPr="005E4BEA">
              <w:rPr>
                <w:rFonts w:cs="Arial"/>
                <w:b/>
                <w:bCs/>
                <w:color w:val="000000"/>
                <w:szCs w:val="20"/>
                <w:lang w:eastAsia="sl-SI"/>
              </w:rPr>
              <w:t>1.226,3065</w:t>
            </w:r>
          </w:p>
        </w:tc>
        <w:tc>
          <w:tcPr>
            <w:tcW w:w="1660" w:type="dxa"/>
            <w:shd w:val="clear" w:color="auto" w:fill="auto"/>
            <w:noWrap/>
            <w:hideMark/>
          </w:tcPr>
          <w:p w14:paraId="06EF1D72" w14:textId="77777777" w:rsidR="00FE461F" w:rsidRPr="005E4BEA" w:rsidRDefault="00FE461F" w:rsidP="00FE461F">
            <w:pPr>
              <w:spacing w:line="240" w:lineRule="auto"/>
              <w:jc w:val="right"/>
              <w:rPr>
                <w:rFonts w:cs="Arial"/>
                <w:b/>
                <w:bCs/>
                <w:color w:val="000000"/>
                <w:szCs w:val="20"/>
                <w:lang w:eastAsia="sl-SI"/>
              </w:rPr>
            </w:pPr>
            <w:r w:rsidRPr="005E4BEA">
              <w:rPr>
                <w:rFonts w:cs="Arial"/>
                <w:b/>
                <w:bCs/>
                <w:color w:val="000000"/>
                <w:szCs w:val="20"/>
                <w:lang w:eastAsia="sl-SI"/>
              </w:rPr>
              <w:t>2.370</w:t>
            </w:r>
          </w:p>
        </w:tc>
        <w:tc>
          <w:tcPr>
            <w:tcW w:w="1360" w:type="dxa"/>
            <w:shd w:val="clear" w:color="auto" w:fill="auto"/>
            <w:noWrap/>
            <w:hideMark/>
          </w:tcPr>
          <w:p w14:paraId="1E49636D" w14:textId="77777777" w:rsidR="00FE461F" w:rsidRPr="005E4BEA" w:rsidRDefault="00FE461F" w:rsidP="00FE461F">
            <w:pPr>
              <w:spacing w:line="240" w:lineRule="auto"/>
              <w:jc w:val="center"/>
              <w:rPr>
                <w:rFonts w:cs="Arial"/>
                <w:b/>
                <w:bCs/>
                <w:color w:val="000000"/>
                <w:szCs w:val="20"/>
                <w:lang w:eastAsia="sl-SI"/>
              </w:rPr>
            </w:pPr>
            <w:r w:rsidRPr="005E4BEA">
              <w:rPr>
                <w:rFonts w:cs="Arial"/>
                <w:b/>
                <w:bCs/>
                <w:color w:val="000000"/>
                <w:szCs w:val="20"/>
                <w:lang w:eastAsia="sl-SI"/>
              </w:rPr>
              <w:t>51,74%</w:t>
            </w:r>
          </w:p>
        </w:tc>
        <w:tc>
          <w:tcPr>
            <w:tcW w:w="1600" w:type="dxa"/>
            <w:shd w:val="clear" w:color="auto" w:fill="auto"/>
            <w:noWrap/>
            <w:hideMark/>
          </w:tcPr>
          <w:p w14:paraId="00780B3E" w14:textId="77777777" w:rsidR="00FE461F" w:rsidRPr="005E4BEA" w:rsidRDefault="00FE461F" w:rsidP="00FE461F">
            <w:pPr>
              <w:spacing w:line="240" w:lineRule="auto"/>
              <w:jc w:val="center"/>
              <w:rPr>
                <w:rFonts w:cs="Arial"/>
                <w:b/>
                <w:bCs/>
                <w:color w:val="000000"/>
                <w:szCs w:val="20"/>
                <w:lang w:eastAsia="sl-SI"/>
              </w:rPr>
            </w:pPr>
            <w:r w:rsidRPr="005E4BEA">
              <w:rPr>
                <w:rFonts w:cs="Arial"/>
                <w:b/>
                <w:bCs/>
                <w:color w:val="000000"/>
                <w:szCs w:val="20"/>
                <w:lang w:eastAsia="sl-SI"/>
              </w:rPr>
              <w:t>51,74%</w:t>
            </w:r>
          </w:p>
        </w:tc>
      </w:tr>
    </w:tbl>
    <w:p w14:paraId="68434480" w14:textId="77777777" w:rsidR="00FE461F" w:rsidRPr="005E4BEA" w:rsidRDefault="00FE461F" w:rsidP="00FE461F">
      <w:pPr>
        <w:spacing w:line="240" w:lineRule="auto"/>
        <w:jc w:val="both"/>
        <w:rPr>
          <w:rFonts w:cs="Arial"/>
          <w:color w:val="808080"/>
          <w:szCs w:val="20"/>
          <w:lang w:eastAsia="sl-SI"/>
        </w:rPr>
      </w:pPr>
      <w:r w:rsidRPr="005E4BEA">
        <w:rPr>
          <w:rFonts w:cs="Arial"/>
          <w:color w:val="808080"/>
          <w:szCs w:val="20"/>
          <w:lang w:eastAsia="sl-SI"/>
        </w:rPr>
        <w:t>Vir: Interni podatki LZS, Splošni dogovor 2022</w:t>
      </w:r>
    </w:p>
    <w:p w14:paraId="77A7CDAF" w14:textId="77777777" w:rsidR="00FE461F" w:rsidRPr="005E4BEA" w:rsidRDefault="00FE461F" w:rsidP="00FE461F">
      <w:pPr>
        <w:spacing w:line="240" w:lineRule="auto"/>
        <w:jc w:val="both"/>
        <w:rPr>
          <w:rFonts w:cs="Arial"/>
          <w:b/>
          <w:color w:val="000080"/>
          <w:szCs w:val="20"/>
          <w:lang w:eastAsia="sl-SI"/>
        </w:rPr>
      </w:pPr>
    </w:p>
    <w:p w14:paraId="7B8A995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 tabele izhaja, da odstotek sredstev za izvajanje javne lekarniške službe (OZZ) ostaja po novem predlogu nespremenjen v primerjavi z letom 2022 in še vedno predstavlja okrog 52 odstotkov pokritosti dejanskih sredstev lekarn za opravljanje javne lekarniške službe. Potrditev našega predloga za leto 2022 je zato pogoj, za uskladitev realnega stanja strukture kadra in za omogočanje razvoja in izvajanja novih kognitivnih storitev v dejavnosti (pregled uporabe zdravil, </w:t>
      </w:r>
      <w:proofErr w:type="spellStart"/>
      <w:r w:rsidRPr="005E4BEA">
        <w:rPr>
          <w:rFonts w:eastAsia="Calibri" w:cs="Arial"/>
          <w:i/>
          <w:color w:val="808080"/>
          <w:szCs w:val="20"/>
        </w:rPr>
        <w:t>farmakoterapijski</w:t>
      </w:r>
      <w:proofErr w:type="spellEnd"/>
      <w:r w:rsidRPr="005E4BEA">
        <w:rPr>
          <w:rFonts w:eastAsia="Calibri" w:cs="Arial"/>
          <w:i/>
          <w:color w:val="808080"/>
          <w:szCs w:val="20"/>
        </w:rPr>
        <w:t xml:space="preserve"> pregledi, farmacevtske intervencije), ki so tudi zakonsko opredeljene v novem ZLD-1. Slednje bodo omogočile bolj učinkovito rabo in posredno prihranke javnih sredstev. Že Ministrstvo samo je ugotovilo, da bi lahko sistemsko izvajanje kognitivnih storitev v lekarnah omogočilo do 25 milijonov evrov prihrankov sredstev iz javne blagajne, iz naslova preprečevanja zapletov z neželenimi učinki zdravil ter preprečevanja hospitalizacij, s tem povezanih.  </w:t>
      </w:r>
    </w:p>
    <w:p w14:paraId="0F2AD9CF" w14:textId="77777777" w:rsidR="00FE461F" w:rsidRPr="005E4BEA" w:rsidRDefault="00FE461F" w:rsidP="00FE461F">
      <w:pPr>
        <w:spacing w:line="240" w:lineRule="auto"/>
        <w:jc w:val="both"/>
        <w:rPr>
          <w:rFonts w:eastAsia="Calibri" w:cs="Arial"/>
          <w:i/>
          <w:color w:val="808080"/>
          <w:szCs w:val="20"/>
        </w:rPr>
      </w:pPr>
    </w:p>
    <w:p w14:paraId="79F29D4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Ob tem ponovno resno opozarjamo na premajhno število farmacevtov /100.000 prebivalcev v primerjavi z ostalimi državami EU (vir: Podatkovna zbirka EUROSTAT, januar 2020). V lekarniški dejavnosti je bilo v letu 2017 zaposlenih le 0,7 magistrov farmacije farm. na 1.000 prebivalcev, v primerjavi z 0,9 v EU. </w:t>
      </w:r>
    </w:p>
    <w:p w14:paraId="6B87DC9E" w14:textId="77777777" w:rsidR="00FE461F" w:rsidRPr="005E4BEA" w:rsidRDefault="00FE461F" w:rsidP="00FE461F">
      <w:pPr>
        <w:spacing w:line="240" w:lineRule="auto"/>
        <w:jc w:val="both"/>
        <w:rPr>
          <w:rFonts w:cs="Arial"/>
          <w:szCs w:val="20"/>
          <w:lang w:eastAsia="sl-SI"/>
        </w:rPr>
      </w:pPr>
    </w:p>
    <w:p w14:paraId="56278C1D" w14:textId="77777777" w:rsidR="00FE461F" w:rsidRPr="005E4BEA" w:rsidRDefault="00FE461F" w:rsidP="00FE461F">
      <w:pPr>
        <w:spacing w:line="240" w:lineRule="auto"/>
        <w:jc w:val="both"/>
        <w:rPr>
          <w:rFonts w:cs="Arial"/>
          <w:szCs w:val="20"/>
          <w:lang w:eastAsia="sl-SI"/>
        </w:rPr>
      </w:pPr>
      <w:r w:rsidRPr="005E4BEA">
        <w:rPr>
          <w:rFonts w:cs="Arial"/>
          <w:noProof/>
          <w:szCs w:val="20"/>
          <w:lang w:eastAsia="sl-SI"/>
        </w:rPr>
        <w:drawing>
          <wp:inline distT="0" distB="0" distL="0" distR="0" wp14:anchorId="1C78D788" wp14:editId="62F137D3">
            <wp:extent cx="5124450" cy="3590925"/>
            <wp:effectExtent l="0" t="0" r="0"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3590925"/>
                    </a:xfrm>
                    <a:prstGeom prst="rect">
                      <a:avLst/>
                    </a:prstGeom>
                    <a:noFill/>
                    <a:ln>
                      <a:noFill/>
                    </a:ln>
                  </pic:spPr>
                </pic:pic>
              </a:graphicData>
            </a:graphic>
          </wp:inline>
        </w:drawing>
      </w:r>
    </w:p>
    <w:p w14:paraId="463711F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Vir: Poslovno poročilo ZZZS za leto 2020, str. 38.</w:t>
      </w:r>
    </w:p>
    <w:p w14:paraId="49B94457" w14:textId="77777777" w:rsidR="00FE461F" w:rsidRPr="005E4BEA" w:rsidRDefault="00FE461F" w:rsidP="00FE461F">
      <w:pPr>
        <w:spacing w:line="240" w:lineRule="auto"/>
        <w:jc w:val="both"/>
        <w:rPr>
          <w:rFonts w:cs="Arial"/>
          <w:szCs w:val="20"/>
          <w:lang w:eastAsia="sl-SI"/>
        </w:rPr>
      </w:pPr>
    </w:p>
    <w:p w14:paraId="637F910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Farmacevt v EU v povprečju obdela 60 receptov na dan, iz podatkov za Slovenijo pa lahko vidimo, da jih slovenski farmacevt obdela več kot 120, oziroma je normativ v primerljivih državah EU v povprečju 12.000 receptov na leto na farmacevta, medtem ko v Sloveniji presega 25.000 receptov/leto/farmacevta za preskrbo z zdravili v breme javne službe. </w:t>
      </w:r>
    </w:p>
    <w:p w14:paraId="2FEA8D36" w14:textId="77777777" w:rsidR="00FE461F" w:rsidRPr="005E4BEA" w:rsidRDefault="00FE461F" w:rsidP="00FE461F">
      <w:pPr>
        <w:spacing w:line="240" w:lineRule="auto"/>
        <w:jc w:val="both"/>
        <w:rPr>
          <w:rFonts w:cs="Arial"/>
          <w:szCs w:val="20"/>
          <w:lang w:eastAsia="sl-SI"/>
        </w:rPr>
      </w:pPr>
    </w:p>
    <w:p w14:paraId="54380CC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Lekarniški farmacevti zato na tem mestu znova jasno opozarjamo na ogrožanje varnosti pacientov in nezmožnost nudenja ustrezne ravni storitve pri izdaji zdravil. V primeru neupoštevanja predloga v A1 - SD 2022, lekarne ne bodo prevzemale rizika nevarnosti za pacienta, pač pa bodo prisiljene k dnevni omejitvi izdaje zdravil na varen maksimum oz. normativ </w:t>
      </w:r>
      <w:r w:rsidRPr="005E4BEA">
        <w:rPr>
          <w:rFonts w:eastAsia="Calibri" w:cs="Arial"/>
          <w:i/>
          <w:color w:val="808080"/>
          <w:szCs w:val="20"/>
        </w:rPr>
        <w:lastRenderedPageBreak/>
        <w:t>13.000 receptov letno na farmacevta receptarja. (oz. 60 na dan/farmacevta receptarja, kar pomeni 6 min/recept skupaj z vsemi administrativnimi nalogami – naročanje, evidence, sprejem zdravil, izobraževanje,…).</w:t>
      </w:r>
    </w:p>
    <w:p w14:paraId="054F4F65" w14:textId="77777777" w:rsidR="00FE461F" w:rsidRPr="005E4BEA" w:rsidRDefault="00FE461F" w:rsidP="00FE461F">
      <w:pPr>
        <w:spacing w:line="240" w:lineRule="auto"/>
        <w:jc w:val="both"/>
        <w:rPr>
          <w:rFonts w:eastAsia="Calibri" w:cs="Arial"/>
          <w:i/>
          <w:color w:val="808080"/>
          <w:szCs w:val="20"/>
        </w:rPr>
      </w:pPr>
    </w:p>
    <w:p w14:paraId="4EA5770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Ocena finančnih posledic: 1.060.702 EUR (v sredstvih OZZ in PZZ). </w:t>
      </w:r>
    </w:p>
    <w:p w14:paraId="5151AAA9" w14:textId="77777777" w:rsidR="00F63412"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w:t>
      </w:r>
    </w:p>
    <w:p w14:paraId="1BD56763" w14:textId="77777777" w:rsidR="00F63412" w:rsidRPr="005E4BEA" w:rsidRDefault="00F63412" w:rsidP="00FE461F">
      <w:pPr>
        <w:spacing w:line="240" w:lineRule="auto"/>
        <w:jc w:val="both"/>
        <w:rPr>
          <w:rFonts w:eastAsia="Calibri" w:cs="Arial"/>
          <w:i/>
          <w:color w:val="808080"/>
          <w:szCs w:val="20"/>
        </w:rPr>
      </w:pPr>
    </w:p>
    <w:p w14:paraId="3CD46797" w14:textId="450CEC63"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 </w:t>
      </w:r>
    </w:p>
    <w:p w14:paraId="64EBF723" w14:textId="77777777" w:rsidR="00F63412" w:rsidRPr="005E4BEA" w:rsidRDefault="00F63412" w:rsidP="00F63412">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B74E011" w14:textId="77777777" w:rsidR="00F63412" w:rsidRPr="005E4BEA" w:rsidRDefault="00F63412" w:rsidP="00F63412">
      <w:pPr>
        <w:spacing w:line="0" w:lineRule="atLeast"/>
        <w:jc w:val="both"/>
        <w:rPr>
          <w:rFonts w:eastAsia="Arial Narrow" w:cs="Arial"/>
          <w:szCs w:val="20"/>
          <w:lang w:eastAsia="sl-SI"/>
        </w:rPr>
      </w:pPr>
    </w:p>
    <w:p w14:paraId="5DC4CAA9" w14:textId="0C4BBABE" w:rsidR="00F63412" w:rsidRPr="005E4BEA" w:rsidRDefault="00F63412" w:rsidP="00F63412">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619F911B" w14:textId="77777777" w:rsidR="00F63412" w:rsidRPr="005E4BEA" w:rsidRDefault="00F63412" w:rsidP="00F63412">
      <w:pPr>
        <w:spacing w:line="240" w:lineRule="auto"/>
        <w:jc w:val="both"/>
        <w:rPr>
          <w:rFonts w:cs="Arial"/>
          <w:szCs w:val="20"/>
        </w:rPr>
      </w:pPr>
    </w:p>
    <w:p w14:paraId="1719BCD8" w14:textId="77777777" w:rsidR="00F63412" w:rsidRPr="005E4BEA" w:rsidRDefault="00F63412" w:rsidP="00F63412">
      <w:pPr>
        <w:spacing w:line="240" w:lineRule="auto"/>
        <w:jc w:val="both"/>
        <w:rPr>
          <w:rFonts w:eastAsia="Calibri" w:cs="Arial"/>
          <w:i/>
          <w:iCs/>
          <w:color w:val="7F7F7F"/>
          <w:szCs w:val="20"/>
        </w:rPr>
      </w:pPr>
    </w:p>
    <w:p w14:paraId="516E6AE8" w14:textId="69918B4F" w:rsidR="00F63412" w:rsidRPr="005E4BEA" w:rsidRDefault="00F63412"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(111)</w:t>
      </w:r>
    </w:p>
    <w:p w14:paraId="14082837" w14:textId="77777777" w:rsidR="00F63412" w:rsidRPr="005E4BEA" w:rsidRDefault="00F63412" w:rsidP="00F63412">
      <w:pPr>
        <w:spacing w:line="240" w:lineRule="auto"/>
        <w:jc w:val="both"/>
        <w:rPr>
          <w:rFonts w:eastAsia="Arial Narrow" w:cs="Arial"/>
          <w:b/>
          <w:szCs w:val="20"/>
        </w:rPr>
      </w:pPr>
    </w:p>
    <w:p w14:paraId="0729B812" w14:textId="1775FA21" w:rsidR="00FE461F" w:rsidRPr="005E4BEA" w:rsidRDefault="00F63412" w:rsidP="00F63412">
      <w:pPr>
        <w:spacing w:line="240" w:lineRule="auto"/>
        <w:jc w:val="both"/>
        <w:rPr>
          <w:rFonts w:cs="Arial"/>
          <w:bCs/>
          <w:szCs w:val="20"/>
          <w:lang w:eastAsia="sl-SI"/>
        </w:rPr>
      </w:pPr>
      <w:r w:rsidRPr="005E4BEA">
        <w:rPr>
          <w:rFonts w:eastAsia="Arial Narrow" w:cs="Arial"/>
          <w:b/>
          <w:szCs w:val="20"/>
        </w:rPr>
        <w:t xml:space="preserve">Lekarniška zbornica Slovenije </w:t>
      </w:r>
      <w:r w:rsidRPr="005E4BEA">
        <w:rPr>
          <w:rFonts w:eastAsiaTheme="minorHAnsi" w:cs="Arial"/>
          <w:bCs/>
          <w:szCs w:val="20"/>
        </w:rPr>
        <w:t xml:space="preserve">predlaga, da se </w:t>
      </w:r>
      <w:r w:rsidRPr="005E4BEA">
        <w:rPr>
          <w:rFonts w:eastAsia="Calibri" w:cs="Arial"/>
          <w:bCs/>
          <w:szCs w:val="20"/>
        </w:rPr>
        <w:t xml:space="preserve">Priloga (743 601) Lekarniška dejavnost  </w:t>
      </w:r>
      <w:r w:rsidR="00FE461F" w:rsidRPr="005E4BEA">
        <w:rPr>
          <w:rFonts w:eastAsia="Calibri" w:cs="Arial"/>
          <w:bCs/>
          <w:szCs w:val="20"/>
        </w:rPr>
        <w:t>spremeni tako da se glasi, ostali zneski se temu ustrezno preračunajo</w:t>
      </w:r>
    </w:p>
    <w:tbl>
      <w:tblPr>
        <w:tblW w:w="8735" w:type="dxa"/>
        <w:tblInd w:w="75" w:type="dxa"/>
        <w:tblCellMar>
          <w:left w:w="70" w:type="dxa"/>
          <w:right w:w="70" w:type="dxa"/>
        </w:tblCellMar>
        <w:tblLook w:val="04A0" w:firstRow="1" w:lastRow="0" w:firstColumn="1" w:lastColumn="0" w:noHBand="0" w:noVBand="1"/>
      </w:tblPr>
      <w:tblGrid>
        <w:gridCol w:w="5750"/>
        <w:gridCol w:w="842"/>
        <w:gridCol w:w="711"/>
        <w:gridCol w:w="769"/>
        <w:gridCol w:w="663"/>
      </w:tblGrid>
      <w:tr w:rsidR="00FE461F" w:rsidRPr="005E4BEA" w14:paraId="26515B98" w14:textId="77777777" w:rsidTr="00F63412">
        <w:trPr>
          <w:trHeight w:val="1820"/>
        </w:trPr>
        <w:tc>
          <w:tcPr>
            <w:tcW w:w="5750" w:type="dxa"/>
            <w:tcBorders>
              <w:top w:val="single" w:sz="4" w:space="0" w:color="808080"/>
              <w:left w:val="single" w:sz="4" w:space="0" w:color="808080"/>
              <w:bottom w:val="single" w:sz="4" w:space="0" w:color="808080"/>
              <w:right w:val="single" w:sz="4" w:space="0" w:color="808080"/>
            </w:tcBorders>
            <w:shd w:val="clear" w:color="000000" w:fill="D9D9D9"/>
            <w:noWrap/>
            <w:vAlign w:val="bottom"/>
            <w:hideMark/>
          </w:tcPr>
          <w:p w14:paraId="66873B9D" w14:textId="77777777" w:rsidR="00FE461F" w:rsidRPr="005E4BEA" w:rsidRDefault="00FE461F" w:rsidP="00FE461F">
            <w:pPr>
              <w:spacing w:line="240" w:lineRule="auto"/>
              <w:rPr>
                <w:rFonts w:cs="Arial"/>
                <w:b/>
                <w:bCs/>
                <w:color w:val="7030A0"/>
                <w:szCs w:val="20"/>
                <w:lang w:eastAsia="sl-SI"/>
              </w:rPr>
            </w:pPr>
            <w:r w:rsidRPr="005E4BEA">
              <w:rPr>
                <w:rFonts w:cs="Arial"/>
                <w:b/>
                <w:bCs/>
                <w:color w:val="7030A0"/>
                <w:szCs w:val="20"/>
                <w:lang w:eastAsia="sl-SI"/>
              </w:rPr>
              <w:t>Naziv</w:t>
            </w:r>
          </w:p>
        </w:tc>
        <w:tc>
          <w:tcPr>
            <w:tcW w:w="842" w:type="dxa"/>
            <w:tcBorders>
              <w:top w:val="single" w:sz="4" w:space="0" w:color="808080"/>
              <w:left w:val="nil"/>
              <w:bottom w:val="single" w:sz="4" w:space="0" w:color="808080"/>
              <w:right w:val="single" w:sz="4" w:space="0" w:color="808080"/>
            </w:tcBorders>
            <w:shd w:val="clear" w:color="000000" w:fill="D9D9D9"/>
            <w:vAlign w:val="bottom"/>
            <w:hideMark/>
          </w:tcPr>
          <w:p w14:paraId="6D06F543"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Nor-</w:t>
            </w:r>
            <w:proofErr w:type="spellStart"/>
            <w:r w:rsidRPr="005E4BEA">
              <w:rPr>
                <w:rFonts w:cs="Arial"/>
                <w:b/>
                <w:bCs/>
                <w:color w:val="7030A0"/>
                <w:szCs w:val="20"/>
                <w:lang w:eastAsia="sl-SI"/>
              </w:rPr>
              <w:t>mativ</w:t>
            </w:r>
            <w:proofErr w:type="spellEnd"/>
            <w:r w:rsidRPr="005E4BEA">
              <w:rPr>
                <w:rFonts w:cs="Arial"/>
                <w:b/>
                <w:bCs/>
                <w:color w:val="7030A0"/>
                <w:szCs w:val="20"/>
                <w:lang w:eastAsia="sl-SI"/>
              </w:rPr>
              <w:t xml:space="preserve"> / kol.</w:t>
            </w:r>
          </w:p>
        </w:tc>
        <w:tc>
          <w:tcPr>
            <w:tcW w:w="711" w:type="dxa"/>
            <w:tcBorders>
              <w:top w:val="single" w:sz="4" w:space="0" w:color="808080"/>
              <w:left w:val="nil"/>
              <w:bottom w:val="single" w:sz="4" w:space="0" w:color="808080"/>
              <w:right w:val="single" w:sz="4" w:space="0" w:color="808080"/>
            </w:tcBorders>
            <w:shd w:val="clear" w:color="000000" w:fill="D9D9D9"/>
            <w:vAlign w:val="bottom"/>
            <w:hideMark/>
          </w:tcPr>
          <w:p w14:paraId="3EFBF583"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Enota mere</w:t>
            </w:r>
          </w:p>
        </w:tc>
        <w:tc>
          <w:tcPr>
            <w:tcW w:w="769" w:type="dxa"/>
            <w:tcBorders>
              <w:top w:val="single" w:sz="4" w:space="0" w:color="808080"/>
              <w:left w:val="nil"/>
              <w:bottom w:val="single" w:sz="4" w:space="0" w:color="808080"/>
              <w:right w:val="single" w:sz="4" w:space="0" w:color="808080"/>
            </w:tcBorders>
            <w:shd w:val="clear" w:color="000000" w:fill="D9D9D9"/>
            <w:vAlign w:val="bottom"/>
            <w:hideMark/>
          </w:tcPr>
          <w:p w14:paraId="63068B43"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Kader</w:t>
            </w:r>
          </w:p>
        </w:tc>
        <w:tc>
          <w:tcPr>
            <w:tcW w:w="663" w:type="dxa"/>
            <w:tcBorders>
              <w:top w:val="single" w:sz="4" w:space="0" w:color="808080"/>
              <w:left w:val="nil"/>
              <w:bottom w:val="single" w:sz="4" w:space="0" w:color="808080"/>
              <w:right w:val="single" w:sz="4" w:space="0" w:color="808080"/>
            </w:tcBorders>
            <w:shd w:val="clear" w:color="000000" w:fill="D9D9D9"/>
            <w:noWrap/>
            <w:vAlign w:val="bottom"/>
            <w:hideMark/>
          </w:tcPr>
          <w:p w14:paraId="0D198008"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PR</w:t>
            </w:r>
          </w:p>
        </w:tc>
      </w:tr>
      <w:tr w:rsidR="00FE461F" w:rsidRPr="005E4BEA" w14:paraId="1A339194" w14:textId="77777777" w:rsidTr="00F63412">
        <w:trPr>
          <w:trHeight w:val="970"/>
        </w:trPr>
        <w:tc>
          <w:tcPr>
            <w:tcW w:w="5750" w:type="dxa"/>
            <w:tcBorders>
              <w:top w:val="single" w:sz="4" w:space="0" w:color="auto"/>
              <w:left w:val="single" w:sz="4" w:space="0" w:color="D9D9D9"/>
              <w:bottom w:val="single" w:sz="4" w:space="0" w:color="D9D9D9"/>
              <w:right w:val="single" w:sz="4" w:space="0" w:color="D9D9D9"/>
            </w:tcBorders>
            <w:shd w:val="clear" w:color="000000" w:fill="FFFFFF"/>
            <w:vAlign w:val="bottom"/>
            <w:hideMark/>
          </w:tcPr>
          <w:p w14:paraId="1A33A1E6"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 xml:space="preserve">Lekarniška dejavnost </w:t>
            </w:r>
          </w:p>
        </w:tc>
        <w:tc>
          <w:tcPr>
            <w:tcW w:w="842" w:type="dxa"/>
            <w:tcBorders>
              <w:top w:val="single" w:sz="4" w:space="0" w:color="auto"/>
              <w:left w:val="nil"/>
              <w:bottom w:val="single" w:sz="4" w:space="0" w:color="D9D9D9"/>
              <w:right w:val="single" w:sz="4" w:space="0" w:color="D9D9D9"/>
            </w:tcBorders>
            <w:shd w:val="clear" w:color="000000" w:fill="FFFFFF"/>
            <w:noWrap/>
            <w:vAlign w:val="bottom"/>
            <w:hideMark/>
          </w:tcPr>
          <w:p w14:paraId="49D6B990" w14:textId="77777777" w:rsidR="00FE461F" w:rsidRPr="005E4BEA" w:rsidRDefault="00FE461F" w:rsidP="00FE461F">
            <w:pPr>
              <w:spacing w:line="240" w:lineRule="auto"/>
              <w:jc w:val="right"/>
              <w:rPr>
                <w:rFonts w:cs="Arial"/>
                <w:b/>
                <w:bCs/>
                <w:color w:val="000099"/>
                <w:szCs w:val="20"/>
                <w:lang w:eastAsia="sl-SI"/>
              </w:rPr>
            </w:pPr>
            <w:r w:rsidRPr="005E4BEA">
              <w:rPr>
                <w:rFonts w:cs="Arial"/>
                <w:b/>
                <w:bCs/>
                <w:color w:val="000099"/>
                <w:szCs w:val="20"/>
                <w:lang w:eastAsia="sl-SI"/>
              </w:rPr>
              <w:t>18.455</w:t>
            </w:r>
          </w:p>
        </w:tc>
        <w:tc>
          <w:tcPr>
            <w:tcW w:w="711" w:type="dxa"/>
            <w:tcBorders>
              <w:top w:val="single" w:sz="4" w:space="0" w:color="auto"/>
              <w:left w:val="nil"/>
              <w:bottom w:val="single" w:sz="4" w:space="0" w:color="D9D9D9"/>
              <w:right w:val="single" w:sz="4" w:space="0" w:color="D9D9D9"/>
            </w:tcBorders>
            <w:shd w:val="clear" w:color="000000" w:fill="FFFFFF"/>
            <w:noWrap/>
            <w:vAlign w:val="bottom"/>
            <w:hideMark/>
          </w:tcPr>
          <w:p w14:paraId="4D99AE51"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točka</w:t>
            </w:r>
          </w:p>
        </w:tc>
        <w:tc>
          <w:tcPr>
            <w:tcW w:w="769" w:type="dxa"/>
            <w:tcBorders>
              <w:top w:val="single" w:sz="4" w:space="0" w:color="auto"/>
              <w:left w:val="nil"/>
              <w:bottom w:val="single" w:sz="4" w:space="0" w:color="D9D9D9"/>
              <w:right w:val="single" w:sz="4" w:space="0" w:color="D9D9D9"/>
            </w:tcBorders>
            <w:shd w:val="clear" w:color="000000" w:fill="FFFFFF"/>
            <w:noWrap/>
            <w:vAlign w:val="bottom"/>
            <w:hideMark/>
          </w:tcPr>
          <w:p w14:paraId="1BC12D93" w14:textId="77777777" w:rsidR="00FE461F" w:rsidRPr="005E4BEA" w:rsidRDefault="00FE461F" w:rsidP="00FE461F">
            <w:pPr>
              <w:spacing w:line="240" w:lineRule="auto"/>
              <w:jc w:val="right"/>
              <w:rPr>
                <w:rFonts w:cs="Arial"/>
                <w:b/>
                <w:bCs/>
                <w:color w:val="000099"/>
                <w:szCs w:val="20"/>
                <w:lang w:eastAsia="sl-SI"/>
              </w:rPr>
            </w:pPr>
            <w:r w:rsidRPr="005E4BEA">
              <w:rPr>
                <w:rFonts w:cs="Arial"/>
                <w:b/>
                <w:bCs/>
                <w:color w:val="000099"/>
                <w:szCs w:val="20"/>
                <w:lang w:eastAsia="sl-SI"/>
              </w:rPr>
              <w:t>1,8361</w:t>
            </w:r>
          </w:p>
        </w:tc>
        <w:tc>
          <w:tcPr>
            <w:tcW w:w="663" w:type="dxa"/>
            <w:tcBorders>
              <w:top w:val="single" w:sz="4" w:space="0" w:color="auto"/>
              <w:left w:val="nil"/>
              <w:bottom w:val="single" w:sz="4" w:space="0" w:color="D9D9D9"/>
              <w:right w:val="single" w:sz="4" w:space="0" w:color="D9D9D9"/>
            </w:tcBorders>
            <w:shd w:val="clear" w:color="000000" w:fill="FFFFFF"/>
            <w:noWrap/>
            <w:vAlign w:val="bottom"/>
            <w:hideMark/>
          </w:tcPr>
          <w:p w14:paraId="5CFE1334"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 </w:t>
            </w:r>
          </w:p>
        </w:tc>
      </w:tr>
      <w:tr w:rsidR="00FE461F" w:rsidRPr="005E4BEA" w14:paraId="1569FD57" w14:textId="77777777" w:rsidTr="00F63412">
        <w:trPr>
          <w:trHeight w:val="515"/>
        </w:trPr>
        <w:tc>
          <w:tcPr>
            <w:tcW w:w="5750" w:type="dxa"/>
            <w:tcBorders>
              <w:top w:val="nil"/>
              <w:left w:val="single" w:sz="4" w:space="0" w:color="D9D9D9"/>
              <w:bottom w:val="single" w:sz="4" w:space="0" w:color="D9D9D9"/>
              <w:right w:val="single" w:sz="4" w:space="0" w:color="D9D9D9"/>
            </w:tcBorders>
            <w:shd w:val="clear" w:color="000000" w:fill="FFFFFF"/>
            <w:noWrap/>
            <w:vAlign w:val="bottom"/>
            <w:hideMark/>
          </w:tcPr>
          <w:p w14:paraId="47648C85"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 specialist  </w:t>
            </w:r>
          </w:p>
        </w:tc>
        <w:tc>
          <w:tcPr>
            <w:tcW w:w="842" w:type="dxa"/>
            <w:tcBorders>
              <w:top w:val="nil"/>
              <w:left w:val="nil"/>
              <w:bottom w:val="single" w:sz="4" w:space="0" w:color="D9D9D9"/>
              <w:right w:val="single" w:sz="4" w:space="0" w:color="D9D9D9"/>
            </w:tcBorders>
            <w:shd w:val="clear" w:color="000000" w:fill="FFFFFF"/>
            <w:noWrap/>
            <w:vAlign w:val="bottom"/>
            <w:hideMark/>
          </w:tcPr>
          <w:p w14:paraId="776F952B" w14:textId="77777777" w:rsidR="00FE461F" w:rsidRPr="005E4BEA" w:rsidRDefault="00FE461F" w:rsidP="00FE461F">
            <w:pPr>
              <w:spacing w:line="240" w:lineRule="auto"/>
              <w:jc w:val="right"/>
              <w:outlineLvl w:val="0"/>
              <w:rPr>
                <w:rFonts w:cs="Arial"/>
                <w:b/>
                <w:bCs/>
                <w:color w:val="000099"/>
                <w:szCs w:val="20"/>
                <w:lang w:eastAsia="sl-SI"/>
              </w:rPr>
            </w:pPr>
            <w:r w:rsidRPr="005E4BEA">
              <w:rPr>
                <w:rFonts w:cs="Arial"/>
                <w:b/>
                <w:bCs/>
                <w:color w:val="000099"/>
                <w:szCs w:val="20"/>
                <w:lang w:eastAsia="sl-SI"/>
              </w:rPr>
              <w:t> </w:t>
            </w:r>
          </w:p>
        </w:tc>
        <w:tc>
          <w:tcPr>
            <w:tcW w:w="711" w:type="dxa"/>
            <w:tcBorders>
              <w:top w:val="nil"/>
              <w:left w:val="nil"/>
              <w:bottom w:val="single" w:sz="4" w:space="0" w:color="D9D9D9"/>
              <w:right w:val="single" w:sz="4" w:space="0" w:color="D9D9D9"/>
            </w:tcBorders>
            <w:shd w:val="clear" w:color="000000" w:fill="FFFFFF"/>
            <w:noWrap/>
            <w:vAlign w:val="bottom"/>
            <w:hideMark/>
          </w:tcPr>
          <w:p w14:paraId="0EBA7E12" w14:textId="77777777" w:rsidR="00FE461F" w:rsidRPr="005E4BEA" w:rsidRDefault="00FE461F" w:rsidP="00FE461F">
            <w:pPr>
              <w:spacing w:line="240" w:lineRule="auto"/>
              <w:jc w:val="right"/>
              <w:outlineLvl w:val="0"/>
              <w:rPr>
                <w:rFonts w:cs="Arial"/>
                <w:b/>
                <w:bCs/>
                <w:color w:val="000099"/>
                <w:szCs w:val="20"/>
                <w:lang w:eastAsia="sl-SI"/>
              </w:rPr>
            </w:pPr>
            <w:r w:rsidRPr="005E4BEA">
              <w:rPr>
                <w:rFonts w:cs="Arial"/>
                <w:b/>
                <w:bCs/>
                <w:color w:val="000099"/>
                <w:szCs w:val="20"/>
                <w:lang w:eastAsia="sl-SI"/>
              </w:rPr>
              <w:t> </w:t>
            </w:r>
          </w:p>
        </w:tc>
        <w:tc>
          <w:tcPr>
            <w:tcW w:w="769" w:type="dxa"/>
            <w:tcBorders>
              <w:top w:val="nil"/>
              <w:left w:val="nil"/>
              <w:bottom w:val="single" w:sz="4" w:space="0" w:color="D9D9D9"/>
              <w:right w:val="single" w:sz="4" w:space="0" w:color="D9D9D9"/>
            </w:tcBorders>
            <w:shd w:val="clear" w:color="000000" w:fill="FFFFFF"/>
            <w:noWrap/>
            <w:vAlign w:val="bottom"/>
            <w:hideMark/>
          </w:tcPr>
          <w:p w14:paraId="23833E4D"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0,0148</w:t>
            </w:r>
          </w:p>
        </w:tc>
        <w:tc>
          <w:tcPr>
            <w:tcW w:w="663" w:type="dxa"/>
            <w:tcBorders>
              <w:top w:val="nil"/>
              <w:left w:val="nil"/>
              <w:bottom w:val="single" w:sz="4" w:space="0" w:color="D9D9D9"/>
              <w:right w:val="single" w:sz="4" w:space="0" w:color="D9D9D9"/>
            </w:tcBorders>
            <w:shd w:val="clear" w:color="000000" w:fill="FFFFFF"/>
            <w:noWrap/>
            <w:vAlign w:val="bottom"/>
            <w:hideMark/>
          </w:tcPr>
          <w:p w14:paraId="7CF9C79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45</w:t>
            </w:r>
          </w:p>
        </w:tc>
      </w:tr>
      <w:tr w:rsidR="00FE461F" w:rsidRPr="005E4BEA" w14:paraId="3B07DC42" w14:textId="77777777" w:rsidTr="00F63412">
        <w:trPr>
          <w:trHeight w:val="515"/>
        </w:trPr>
        <w:tc>
          <w:tcPr>
            <w:tcW w:w="5750" w:type="dxa"/>
            <w:tcBorders>
              <w:top w:val="nil"/>
              <w:left w:val="single" w:sz="4" w:space="0" w:color="D9D9D9"/>
              <w:bottom w:val="single" w:sz="4" w:space="0" w:color="D9D9D9"/>
              <w:right w:val="single" w:sz="4" w:space="0" w:color="D9D9D9"/>
            </w:tcBorders>
            <w:shd w:val="clear" w:color="000000" w:fill="FFFFFF"/>
            <w:noWrap/>
            <w:vAlign w:val="bottom"/>
            <w:hideMark/>
          </w:tcPr>
          <w:p w14:paraId="1E28A93B"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 receptar  </w:t>
            </w:r>
          </w:p>
        </w:tc>
        <w:tc>
          <w:tcPr>
            <w:tcW w:w="842" w:type="dxa"/>
            <w:tcBorders>
              <w:top w:val="nil"/>
              <w:left w:val="nil"/>
              <w:bottom w:val="single" w:sz="4" w:space="0" w:color="D9D9D9"/>
              <w:right w:val="single" w:sz="4" w:space="0" w:color="D9D9D9"/>
            </w:tcBorders>
            <w:shd w:val="clear" w:color="000000" w:fill="FFFFFF"/>
            <w:noWrap/>
            <w:vAlign w:val="bottom"/>
            <w:hideMark/>
          </w:tcPr>
          <w:p w14:paraId="18F0FFDF"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11" w:type="dxa"/>
            <w:tcBorders>
              <w:top w:val="nil"/>
              <w:left w:val="nil"/>
              <w:bottom w:val="single" w:sz="4" w:space="0" w:color="D9D9D9"/>
              <w:right w:val="single" w:sz="4" w:space="0" w:color="D9D9D9"/>
            </w:tcBorders>
            <w:shd w:val="clear" w:color="000000" w:fill="FFFFFF"/>
            <w:noWrap/>
            <w:vAlign w:val="bottom"/>
            <w:hideMark/>
          </w:tcPr>
          <w:p w14:paraId="7094D3C4"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69" w:type="dxa"/>
            <w:tcBorders>
              <w:top w:val="nil"/>
              <w:left w:val="nil"/>
              <w:bottom w:val="single" w:sz="4" w:space="0" w:color="D9D9D9"/>
              <w:right w:val="single" w:sz="4" w:space="0" w:color="D9D9D9"/>
            </w:tcBorders>
            <w:shd w:val="clear" w:color="000000" w:fill="FFFFFF"/>
            <w:noWrap/>
            <w:vAlign w:val="bottom"/>
            <w:hideMark/>
          </w:tcPr>
          <w:p w14:paraId="188D0A87"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1,0000</w:t>
            </w:r>
          </w:p>
        </w:tc>
        <w:tc>
          <w:tcPr>
            <w:tcW w:w="663" w:type="dxa"/>
            <w:tcBorders>
              <w:top w:val="nil"/>
              <w:left w:val="nil"/>
              <w:bottom w:val="single" w:sz="4" w:space="0" w:color="D9D9D9"/>
              <w:right w:val="single" w:sz="4" w:space="0" w:color="D9D9D9"/>
            </w:tcBorders>
            <w:shd w:val="clear" w:color="000000" w:fill="FFFFFF"/>
            <w:noWrap/>
            <w:vAlign w:val="bottom"/>
            <w:hideMark/>
          </w:tcPr>
          <w:p w14:paraId="75D9AE7D"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41</w:t>
            </w:r>
          </w:p>
        </w:tc>
      </w:tr>
      <w:tr w:rsidR="00FE461F" w:rsidRPr="005E4BEA" w14:paraId="112CCA60" w14:textId="77777777" w:rsidTr="00F63412">
        <w:trPr>
          <w:trHeight w:val="515"/>
        </w:trPr>
        <w:tc>
          <w:tcPr>
            <w:tcW w:w="5750" w:type="dxa"/>
            <w:tcBorders>
              <w:top w:val="nil"/>
              <w:left w:val="single" w:sz="4" w:space="0" w:color="D9D9D9"/>
              <w:bottom w:val="single" w:sz="4" w:space="0" w:color="D9D9D9"/>
              <w:right w:val="single" w:sz="4" w:space="0" w:color="D9D9D9"/>
            </w:tcBorders>
            <w:shd w:val="clear" w:color="000000" w:fill="FFFFFF"/>
            <w:noWrap/>
            <w:vAlign w:val="bottom"/>
            <w:hideMark/>
          </w:tcPr>
          <w:p w14:paraId="3799AAB7"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farmacevtski tehnik  </w:t>
            </w:r>
          </w:p>
        </w:tc>
        <w:tc>
          <w:tcPr>
            <w:tcW w:w="842" w:type="dxa"/>
            <w:tcBorders>
              <w:top w:val="nil"/>
              <w:left w:val="nil"/>
              <w:bottom w:val="single" w:sz="4" w:space="0" w:color="D9D9D9"/>
              <w:right w:val="single" w:sz="4" w:space="0" w:color="D9D9D9"/>
            </w:tcBorders>
            <w:shd w:val="clear" w:color="000000" w:fill="FFFFFF"/>
            <w:noWrap/>
            <w:vAlign w:val="bottom"/>
            <w:hideMark/>
          </w:tcPr>
          <w:p w14:paraId="1D37070C"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11" w:type="dxa"/>
            <w:tcBorders>
              <w:top w:val="nil"/>
              <w:left w:val="nil"/>
              <w:bottom w:val="single" w:sz="4" w:space="0" w:color="D9D9D9"/>
              <w:right w:val="single" w:sz="4" w:space="0" w:color="D9D9D9"/>
            </w:tcBorders>
            <w:shd w:val="clear" w:color="000000" w:fill="FFFFFF"/>
            <w:noWrap/>
            <w:vAlign w:val="bottom"/>
            <w:hideMark/>
          </w:tcPr>
          <w:p w14:paraId="631625A8"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69" w:type="dxa"/>
            <w:tcBorders>
              <w:top w:val="nil"/>
              <w:left w:val="nil"/>
              <w:bottom w:val="single" w:sz="4" w:space="0" w:color="D9D9D9"/>
              <w:right w:val="single" w:sz="4" w:space="0" w:color="D9D9D9"/>
            </w:tcBorders>
            <w:shd w:val="clear" w:color="000000" w:fill="FFFFFF"/>
            <w:noWrap/>
            <w:vAlign w:val="bottom"/>
            <w:hideMark/>
          </w:tcPr>
          <w:p w14:paraId="63AF971D"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0,5637</w:t>
            </w:r>
          </w:p>
        </w:tc>
        <w:tc>
          <w:tcPr>
            <w:tcW w:w="663" w:type="dxa"/>
            <w:tcBorders>
              <w:top w:val="nil"/>
              <w:left w:val="nil"/>
              <w:bottom w:val="single" w:sz="4" w:space="0" w:color="D9D9D9"/>
              <w:right w:val="single" w:sz="4" w:space="0" w:color="D9D9D9"/>
            </w:tcBorders>
            <w:shd w:val="clear" w:color="000000" w:fill="FFFFFF"/>
            <w:noWrap/>
            <w:vAlign w:val="bottom"/>
            <w:hideMark/>
          </w:tcPr>
          <w:p w14:paraId="624521C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27</w:t>
            </w:r>
          </w:p>
        </w:tc>
      </w:tr>
      <w:tr w:rsidR="00FE461F" w:rsidRPr="005E4BEA" w14:paraId="0962A172" w14:textId="77777777" w:rsidTr="00F63412">
        <w:trPr>
          <w:trHeight w:val="515"/>
        </w:trPr>
        <w:tc>
          <w:tcPr>
            <w:tcW w:w="5750" w:type="dxa"/>
            <w:tcBorders>
              <w:top w:val="nil"/>
              <w:left w:val="single" w:sz="4" w:space="0" w:color="D9D9D9"/>
              <w:bottom w:val="single" w:sz="4" w:space="0" w:color="D9D9D9"/>
              <w:right w:val="single" w:sz="4" w:space="0" w:color="D9D9D9"/>
            </w:tcBorders>
            <w:shd w:val="clear" w:color="000000" w:fill="FFFFFF"/>
            <w:noWrap/>
            <w:vAlign w:val="bottom"/>
            <w:hideMark/>
          </w:tcPr>
          <w:p w14:paraId="7E5C6F81"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delavci drugih strok</w:t>
            </w:r>
          </w:p>
        </w:tc>
        <w:tc>
          <w:tcPr>
            <w:tcW w:w="842" w:type="dxa"/>
            <w:tcBorders>
              <w:top w:val="nil"/>
              <w:left w:val="nil"/>
              <w:bottom w:val="single" w:sz="4" w:space="0" w:color="D9D9D9"/>
              <w:right w:val="single" w:sz="4" w:space="0" w:color="D9D9D9"/>
            </w:tcBorders>
            <w:shd w:val="clear" w:color="000000" w:fill="FFFFFF"/>
            <w:noWrap/>
            <w:vAlign w:val="bottom"/>
            <w:hideMark/>
          </w:tcPr>
          <w:p w14:paraId="3B2EB5A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11" w:type="dxa"/>
            <w:tcBorders>
              <w:top w:val="nil"/>
              <w:left w:val="nil"/>
              <w:bottom w:val="single" w:sz="4" w:space="0" w:color="D9D9D9"/>
              <w:right w:val="single" w:sz="4" w:space="0" w:color="D9D9D9"/>
            </w:tcBorders>
            <w:shd w:val="clear" w:color="000000" w:fill="FFFFFF"/>
            <w:noWrap/>
            <w:vAlign w:val="bottom"/>
            <w:hideMark/>
          </w:tcPr>
          <w:p w14:paraId="09FAAE7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69" w:type="dxa"/>
            <w:tcBorders>
              <w:top w:val="nil"/>
              <w:left w:val="nil"/>
              <w:bottom w:val="single" w:sz="4" w:space="0" w:color="D9D9D9"/>
              <w:right w:val="single" w:sz="4" w:space="0" w:color="D9D9D9"/>
            </w:tcBorders>
            <w:shd w:val="clear" w:color="000000" w:fill="FFFFFF"/>
            <w:noWrap/>
            <w:vAlign w:val="bottom"/>
            <w:hideMark/>
          </w:tcPr>
          <w:p w14:paraId="7102ED6E"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0,1288</w:t>
            </w:r>
          </w:p>
        </w:tc>
        <w:tc>
          <w:tcPr>
            <w:tcW w:w="663" w:type="dxa"/>
            <w:tcBorders>
              <w:top w:val="nil"/>
              <w:left w:val="nil"/>
              <w:bottom w:val="single" w:sz="4" w:space="0" w:color="D9D9D9"/>
              <w:right w:val="single" w:sz="4" w:space="0" w:color="D9D9D9"/>
            </w:tcBorders>
            <w:shd w:val="clear" w:color="000000" w:fill="FFFFFF"/>
            <w:noWrap/>
            <w:vAlign w:val="bottom"/>
            <w:hideMark/>
          </w:tcPr>
          <w:p w14:paraId="185B80A3"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29</w:t>
            </w:r>
          </w:p>
        </w:tc>
      </w:tr>
      <w:tr w:rsidR="00FE461F" w:rsidRPr="005E4BEA" w14:paraId="0FCBEAF3" w14:textId="77777777" w:rsidTr="00F63412">
        <w:trPr>
          <w:trHeight w:val="515"/>
        </w:trPr>
        <w:tc>
          <w:tcPr>
            <w:tcW w:w="5750" w:type="dxa"/>
            <w:tcBorders>
              <w:top w:val="nil"/>
              <w:left w:val="single" w:sz="4" w:space="0" w:color="D9D9D9"/>
              <w:bottom w:val="single" w:sz="4" w:space="0" w:color="D9D9D9"/>
              <w:right w:val="single" w:sz="4" w:space="0" w:color="D9D9D9"/>
            </w:tcBorders>
            <w:shd w:val="clear" w:color="000000" w:fill="FFFFFF"/>
            <w:noWrap/>
            <w:vAlign w:val="bottom"/>
            <w:hideMark/>
          </w:tcPr>
          <w:p w14:paraId="27D836AE"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lekarniški delavec  </w:t>
            </w:r>
          </w:p>
        </w:tc>
        <w:tc>
          <w:tcPr>
            <w:tcW w:w="842" w:type="dxa"/>
            <w:tcBorders>
              <w:top w:val="nil"/>
              <w:left w:val="nil"/>
              <w:bottom w:val="single" w:sz="4" w:space="0" w:color="D9D9D9"/>
              <w:right w:val="single" w:sz="4" w:space="0" w:color="D9D9D9"/>
            </w:tcBorders>
            <w:shd w:val="clear" w:color="000000" w:fill="FFFFFF"/>
            <w:noWrap/>
            <w:vAlign w:val="bottom"/>
            <w:hideMark/>
          </w:tcPr>
          <w:p w14:paraId="2CB687C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11" w:type="dxa"/>
            <w:tcBorders>
              <w:top w:val="nil"/>
              <w:left w:val="nil"/>
              <w:bottom w:val="single" w:sz="4" w:space="0" w:color="D9D9D9"/>
              <w:right w:val="single" w:sz="4" w:space="0" w:color="D9D9D9"/>
            </w:tcBorders>
            <w:shd w:val="clear" w:color="000000" w:fill="FFFFFF"/>
            <w:noWrap/>
            <w:vAlign w:val="bottom"/>
            <w:hideMark/>
          </w:tcPr>
          <w:p w14:paraId="7182C915"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69" w:type="dxa"/>
            <w:tcBorders>
              <w:top w:val="nil"/>
              <w:left w:val="nil"/>
              <w:bottom w:val="single" w:sz="4" w:space="0" w:color="D9D9D9"/>
              <w:right w:val="single" w:sz="4" w:space="0" w:color="D9D9D9"/>
            </w:tcBorders>
            <w:shd w:val="clear" w:color="000000" w:fill="FFFFFF"/>
            <w:noWrap/>
            <w:vAlign w:val="bottom"/>
            <w:hideMark/>
          </w:tcPr>
          <w:p w14:paraId="41691FE4"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0,1288</w:t>
            </w:r>
          </w:p>
        </w:tc>
        <w:tc>
          <w:tcPr>
            <w:tcW w:w="663" w:type="dxa"/>
            <w:tcBorders>
              <w:top w:val="nil"/>
              <w:left w:val="nil"/>
              <w:bottom w:val="single" w:sz="4" w:space="0" w:color="D9D9D9"/>
              <w:right w:val="single" w:sz="4" w:space="0" w:color="D9D9D9"/>
            </w:tcBorders>
            <w:shd w:val="clear" w:color="000000" w:fill="FFFFFF"/>
            <w:noWrap/>
            <w:vAlign w:val="bottom"/>
            <w:hideMark/>
          </w:tcPr>
          <w:p w14:paraId="78F95201"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15</w:t>
            </w:r>
          </w:p>
        </w:tc>
      </w:tr>
      <w:tr w:rsidR="00FE461F" w:rsidRPr="005E4BEA" w14:paraId="62740AD2" w14:textId="77777777" w:rsidTr="00F63412">
        <w:trPr>
          <w:trHeight w:val="606"/>
        </w:trPr>
        <w:tc>
          <w:tcPr>
            <w:tcW w:w="5750" w:type="dxa"/>
            <w:tcBorders>
              <w:top w:val="nil"/>
              <w:left w:val="single" w:sz="4" w:space="0" w:color="D9D9D9"/>
              <w:bottom w:val="single" w:sz="4" w:space="0" w:color="auto"/>
              <w:right w:val="nil"/>
            </w:tcBorders>
            <w:shd w:val="clear" w:color="000000" w:fill="FFFFFF"/>
            <w:noWrap/>
            <w:vAlign w:val="bottom"/>
            <w:hideMark/>
          </w:tcPr>
          <w:p w14:paraId="1D01260D" w14:textId="77777777" w:rsidR="00FE461F" w:rsidRPr="005E4BEA" w:rsidRDefault="00FE461F" w:rsidP="00FE461F">
            <w:pPr>
              <w:spacing w:line="240" w:lineRule="auto"/>
              <w:ind w:firstLineChars="300" w:firstLine="600"/>
              <w:outlineLvl w:val="0"/>
              <w:rPr>
                <w:rFonts w:cs="Arial"/>
                <w:color w:val="60497A"/>
                <w:szCs w:val="20"/>
                <w:lang w:eastAsia="sl-SI"/>
              </w:rPr>
            </w:pPr>
            <w:r w:rsidRPr="005E4BEA">
              <w:rPr>
                <w:rFonts w:cs="Arial"/>
                <w:color w:val="60497A"/>
                <w:szCs w:val="20"/>
                <w:lang w:eastAsia="sl-SI"/>
              </w:rPr>
              <w:t>- Pri izračunu se upošteva dogovorjeno št. točk 12.466.954 in produktivnost 10.052.</w:t>
            </w:r>
          </w:p>
        </w:tc>
        <w:tc>
          <w:tcPr>
            <w:tcW w:w="842" w:type="dxa"/>
            <w:tcBorders>
              <w:top w:val="nil"/>
              <w:left w:val="nil"/>
              <w:bottom w:val="single" w:sz="4" w:space="0" w:color="auto"/>
              <w:right w:val="nil"/>
            </w:tcBorders>
            <w:shd w:val="clear" w:color="000000" w:fill="FFFFFF"/>
            <w:noWrap/>
            <w:vAlign w:val="bottom"/>
            <w:hideMark/>
          </w:tcPr>
          <w:p w14:paraId="501D75EC"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11" w:type="dxa"/>
            <w:tcBorders>
              <w:top w:val="nil"/>
              <w:left w:val="nil"/>
              <w:bottom w:val="single" w:sz="4" w:space="0" w:color="auto"/>
              <w:right w:val="nil"/>
            </w:tcBorders>
            <w:shd w:val="clear" w:color="000000" w:fill="FFFFFF"/>
            <w:noWrap/>
            <w:vAlign w:val="bottom"/>
            <w:hideMark/>
          </w:tcPr>
          <w:p w14:paraId="1541B73A"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69" w:type="dxa"/>
            <w:tcBorders>
              <w:top w:val="nil"/>
              <w:left w:val="nil"/>
              <w:bottom w:val="single" w:sz="4" w:space="0" w:color="auto"/>
              <w:right w:val="nil"/>
            </w:tcBorders>
            <w:shd w:val="clear" w:color="000000" w:fill="FFFFFF"/>
            <w:noWrap/>
            <w:vAlign w:val="bottom"/>
            <w:hideMark/>
          </w:tcPr>
          <w:p w14:paraId="151EF368"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w:t>
            </w:r>
          </w:p>
        </w:tc>
        <w:tc>
          <w:tcPr>
            <w:tcW w:w="663" w:type="dxa"/>
            <w:tcBorders>
              <w:top w:val="nil"/>
              <w:left w:val="nil"/>
              <w:bottom w:val="single" w:sz="4" w:space="0" w:color="auto"/>
              <w:right w:val="nil"/>
            </w:tcBorders>
            <w:shd w:val="clear" w:color="000000" w:fill="FFFFFF"/>
            <w:noWrap/>
            <w:vAlign w:val="bottom"/>
            <w:hideMark/>
          </w:tcPr>
          <w:p w14:paraId="5F6C8D42"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w:t>
            </w:r>
          </w:p>
        </w:tc>
      </w:tr>
    </w:tbl>
    <w:p w14:paraId="18CFFF12" w14:textId="77777777" w:rsidR="00FE461F" w:rsidRPr="005E4BEA" w:rsidRDefault="00FE461F" w:rsidP="00FE461F">
      <w:pPr>
        <w:spacing w:line="240" w:lineRule="auto"/>
        <w:jc w:val="both"/>
        <w:rPr>
          <w:rFonts w:eastAsia="Calibri" w:cs="Arial"/>
          <w:b/>
          <w:szCs w:val="20"/>
        </w:rPr>
      </w:pPr>
    </w:p>
    <w:p w14:paraId="7E7914C6" w14:textId="77777777" w:rsidR="00FE461F" w:rsidRPr="005E4BEA" w:rsidRDefault="00FE461F" w:rsidP="00FE461F">
      <w:pPr>
        <w:spacing w:line="240" w:lineRule="auto"/>
        <w:jc w:val="both"/>
        <w:rPr>
          <w:rFonts w:eastAsia="Calibri" w:cs="Arial"/>
          <w:b/>
          <w:szCs w:val="20"/>
        </w:rPr>
      </w:pPr>
    </w:p>
    <w:p w14:paraId="061EFBD3" w14:textId="77777777" w:rsidR="00FE461F" w:rsidRPr="005E4BEA" w:rsidRDefault="00FE461F" w:rsidP="00FE461F">
      <w:pPr>
        <w:spacing w:line="240" w:lineRule="auto"/>
        <w:rPr>
          <w:rFonts w:cs="Arial"/>
          <w:b/>
          <w:i/>
          <w:color w:val="808080"/>
          <w:szCs w:val="20"/>
          <w:u w:val="single"/>
          <w:lang w:eastAsia="sl-SI"/>
        </w:rPr>
      </w:pPr>
    </w:p>
    <w:p w14:paraId="6DAF85EC" w14:textId="77777777" w:rsidR="00FE461F" w:rsidRPr="005E4BEA" w:rsidRDefault="00FE461F" w:rsidP="00FE461F">
      <w:pPr>
        <w:spacing w:line="240" w:lineRule="auto"/>
        <w:rPr>
          <w:rFonts w:cs="Arial"/>
          <w:b/>
          <w:i/>
          <w:color w:val="808080"/>
          <w:szCs w:val="20"/>
          <w:u w:val="single"/>
          <w:lang w:eastAsia="sl-SI"/>
        </w:rPr>
      </w:pPr>
      <w:r w:rsidRPr="005E4BEA">
        <w:rPr>
          <w:rFonts w:cs="Arial"/>
          <w:b/>
          <w:i/>
          <w:color w:val="808080"/>
          <w:szCs w:val="20"/>
          <w:u w:val="single"/>
          <w:lang w:eastAsia="sl-SI"/>
        </w:rPr>
        <w:t>Obrazložitev povečanja števila priznanih magistrov farmacije za 14 kadrov:</w:t>
      </w:r>
    </w:p>
    <w:p w14:paraId="01B1986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EU je sprejela Direktivo 2011/62/ES o spremembi Direktive 2001/83/ES o zakoniku Skupnosti o zdravilih za uporabo v humani medicini glede preprečevanja vstopa ponarejenih zdravil v zakonito dobavno verigo, ki vsebuje določila o uvedbi zaščitnih elementov. Evropska komisija je 9.2.2016 objavila Delegirano uredbo (EU) 2016/161, ki se mora začeti izvajati 9.2.2019 in podrobneje določa zahteve Direktive 2011//62/EU glede obveznih zaščitnih elementov na ovojnini vsakega posameznega pakiranja zdravila na recept in določa sistem, v katerem se identifikacija in preverjanje avtentičnosti zdravil zagotavlja s sledljivostjo vsakega pakiranja zdravil. Novemu sistemu preverjanja avtentičnosti zdravil se prilagajajo vsi akterji v distribucijski verigi zdravil v vseh državah EU.  </w:t>
      </w:r>
    </w:p>
    <w:p w14:paraId="152FC5F0"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lastRenderedPageBreak/>
        <w:t xml:space="preserve">Navkljub začetku veljavnosti uredbe z dnem 9.2.2019 je JAZMP že 2-krat podala soglasje k podaljšanju stabilizacijskega obdobja za polni začetek implementacije direktive, saj kljub napredku vseh deležnikov sistema, delež sistemskih tehničnih napak, ki povzročajo alarme, še ni dosege stopnje, ki bi omogočala nemoteno preskrbo z zdravili. </w:t>
      </w:r>
    </w:p>
    <w:p w14:paraId="64C955F7" w14:textId="77777777" w:rsidR="00FE461F" w:rsidRPr="005E4BEA" w:rsidRDefault="00FE461F" w:rsidP="00FE461F">
      <w:pPr>
        <w:spacing w:line="240" w:lineRule="auto"/>
        <w:jc w:val="both"/>
        <w:rPr>
          <w:rFonts w:eastAsia="Calibri" w:cs="Arial"/>
          <w:i/>
          <w:color w:val="808080"/>
          <w:szCs w:val="20"/>
        </w:rPr>
      </w:pPr>
    </w:p>
    <w:p w14:paraId="1AF3C40B"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V trenutnem produkcijskem obdobju izvajanja sistema za preverjanje avtentičnosti zdravil, lekarne ugotavljajo, da obravnava in preverjanje alarmov, ki se pojavljajo in jih morajo obravnavati kot potencialna ponarejena zdravila v sistemu, v povprečju podaljšajo čas izdaje zdravil, in sicer okvirno za 2 sekundi. Farmacevt mora namreč ob vsakem pojavu alarma, najprej preveriti ali gre za administrativno ali tehnično napako v lastnem sistemu in pristopiti k reševanju napake v istem dnevu, v kolikor napaka ne sodi v to kategorijo, mora javiti napako pristojnemu nadzornemu organu (JAZMP) in ZAPAZ, da se pristopi k reševanju težave in pridobi povratno informacijo o težavi. Slednji proces pa pomeni lahko, da se rešitev težave odmakne za 1 dan. Navkljub temu, da so v sistemu napake redke, pa je reševanje dotičnih težav dolgotrajno in jih zato v povprečju ocenjujemo na dodatni 2 sekundi dela za vsako posamezno škatlico zdravil. Na podlagi javno razpoložljivega podatka o izdaji škatlic v letu 2021, to pomeni dodatnih 77.466.712 sekund dela za magistre farmacije, oziroma dodatnih 21.518 ur, kar pretvorjeno v kadre pomeni, da za izdajo istega števila škatlic v istem času potrebnih 14 dodatnih magistrov farmacije. </w:t>
      </w:r>
    </w:p>
    <w:p w14:paraId="14B48F46"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V izogib težavam pri nemotenem zagotavljanju zdravil pacientom, predlagamo potrditev dodatnih kadrov v okviru A1-SD 2022. </w:t>
      </w:r>
    </w:p>
    <w:p w14:paraId="6DE92986"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 </w:t>
      </w:r>
    </w:p>
    <w:p w14:paraId="24EAE341"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finančne posledice za 14 dodatnih magistrov farmacije: 482.835 EUR (sredstva OZZ in PZZ).</w:t>
      </w:r>
    </w:p>
    <w:p w14:paraId="621D0BE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0F5E8E36" w14:textId="675AC08E" w:rsidR="00FE461F" w:rsidRPr="005E4BEA" w:rsidRDefault="00FE461F" w:rsidP="00FE461F">
      <w:pPr>
        <w:spacing w:line="240" w:lineRule="auto"/>
        <w:jc w:val="both"/>
        <w:rPr>
          <w:rFonts w:eastAsia="Calibri" w:cs="Arial"/>
          <w:i/>
          <w:color w:val="808080"/>
          <w:szCs w:val="20"/>
        </w:rPr>
      </w:pPr>
    </w:p>
    <w:p w14:paraId="6FC5891C" w14:textId="77777777" w:rsidR="00AE33D3" w:rsidRPr="005E4BEA" w:rsidRDefault="00AE33D3" w:rsidP="00AE33D3">
      <w:pPr>
        <w:spacing w:line="240" w:lineRule="auto"/>
        <w:jc w:val="both"/>
        <w:rPr>
          <w:rFonts w:eastAsia="Calibri" w:cs="Arial"/>
          <w:i/>
          <w:color w:val="808080"/>
          <w:szCs w:val="20"/>
        </w:rPr>
      </w:pPr>
    </w:p>
    <w:p w14:paraId="0829E180" w14:textId="77777777" w:rsidR="00AE33D3" w:rsidRPr="005E4BEA" w:rsidRDefault="00AE33D3" w:rsidP="00AE33D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9BC9562" w14:textId="77777777" w:rsidR="00AE33D3" w:rsidRPr="005E4BEA" w:rsidRDefault="00AE33D3" w:rsidP="00AE33D3">
      <w:pPr>
        <w:spacing w:line="0" w:lineRule="atLeast"/>
        <w:jc w:val="both"/>
        <w:rPr>
          <w:rFonts w:eastAsia="Arial Narrow" w:cs="Arial"/>
          <w:szCs w:val="20"/>
          <w:lang w:eastAsia="sl-SI"/>
        </w:rPr>
      </w:pPr>
    </w:p>
    <w:p w14:paraId="62BBBF0B" w14:textId="3A0D96ED" w:rsidR="00AE33D3" w:rsidRPr="005E4BEA" w:rsidRDefault="00AE33D3" w:rsidP="00AE33D3">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579CFF28" w14:textId="77777777" w:rsidR="00AE33D3" w:rsidRPr="005E4BEA" w:rsidRDefault="00AE33D3" w:rsidP="00AE33D3">
      <w:pPr>
        <w:spacing w:line="240" w:lineRule="auto"/>
        <w:jc w:val="both"/>
        <w:rPr>
          <w:rFonts w:cs="Arial"/>
          <w:szCs w:val="20"/>
        </w:rPr>
      </w:pPr>
    </w:p>
    <w:p w14:paraId="3CF58C88" w14:textId="77777777" w:rsidR="00AE33D3" w:rsidRPr="005E4BEA" w:rsidRDefault="00AE33D3" w:rsidP="00AE33D3">
      <w:pPr>
        <w:spacing w:line="240" w:lineRule="auto"/>
        <w:jc w:val="both"/>
        <w:rPr>
          <w:rFonts w:eastAsia="Calibri" w:cs="Arial"/>
          <w:i/>
          <w:iCs/>
          <w:color w:val="7F7F7F"/>
          <w:szCs w:val="20"/>
        </w:rPr>
      </w:pPr>
    </w:p>
    <w:p w14:paraId="331CFF92" w14:textId="37B5A7F5" w:rsidR="00AE33D3" w:rsidRPr="005E4BEA" w:rsidRDefault="00AE33D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(112)</w:t>
      </w:r>
    </w:p>
    <w:p w14:paraId="7A85466C" w14:textId="77777777" w:rsidR="00AE33D3" w:rsidRPr="005E4BEA" w:rsidRDefault="00AE33D3" w:rsidP="00AE33D3">
      <w:pPr>
        <w:spacing w:line="240" w:lineRule="auto"/>
        <w:jc w:val="both"/>
        <w:rPr>
          <w:rFonts w:eastAsia="Arial Narrow" w:cs="Arial"/>
          <w:b/>
          <w:szCs w:val="20"/>
        </w:rPr>
      </w:pPr>
    </w:p>
    <w:p w14:paraId="75EA2C52" w14:textId="2DF6B649" w:rsidR="00FE461F" w:rsidRPr="005E4BEA" w:rsidRDefault="00AE33D3" w:rsidP="00AE33D3">
      <w:pPr>
        <w:spacing w:line="240" w:lineRule="auto"/>
        <w:jc w:val="both"/>
        <w:rPr>
          <w:rFonts w:eastAsia="Calibri" w:cs="Arial"/>
          <w:b/>
          <w:szCs w:val="20"/>
        </w:rPr>
      </w:pPr>
      <w:r w:rsidRPr="005E4BEA">
        <w:rPr>
          <w:rFonts w:eastAsia="Arial Narrow" w:cs="Arial"/>
          <w:b/>
          <w:szCs w:val="20"/>
        </w:rPr>
        <w:t xml:space="preserve">Lekarniška zbornica Slovenije </w:t>
      </w:r>
      <w:r w:rsidRPr="005E4BEA">
        <w:rPr>
          <w:rFonts w:eastAsiaTheme="minorHAnsi" w:cs="Arial"/>
          <w:bCs/>
          <w:szCs w:val="20"/>
        </w:rPr>
        <w:t xml:space="preserve">predlaga, da se v </w:t>
      </w:r>
      <w:r w:rsidRPr="005E4BEA">
        <w:rPr>
          <w:rFonts w:eastAsia="Calibri" w:cs="Arial"/>
          <w:bCs/>
          <w:szCs w:val="20"/>
        </w:rPr>
        <w:t xml:space="preserve">Prilogi (743 601) Lekarniška dejavnost  </w:t>
      </w:r>
      <w:r w:rsidRPr="005E4BEA">
        <w:rPr>
          <w:rFonts w:eastAsia="Calibri" w:cs="Arial"/>
          <w:bCs/>
          <w:i/>
          <w:color w:val="808080"/>
          <w:szCs w:val="20"/>
        </w:rPr>
        <w:t xml:space="preserve"> </w:t>
      </w:r>
      <w:proofErr w:type="spellStart"/>
      <w:r w:rsidR="00FE461F" w:rsidRPr="005E4BEA">
        <w:rPr>
          <w:rFonts w:eastAsia="Calibri" w:cs="Arial"/>
          <w:bCs/>
          <w:szCs w:val="20"/>
        </w:rPr>
        <w:t>kalkulativni</w:t>
      </w:r>
      <w:proofErr w:type="spellEnd"/>
      <w:r w:rsidR="00FE461F" w:rsidRPr="005E4BEA">
        <w:rPr>
          <w:rFonts w:eastAsia="Calibri" w:cs="Arial"/>
          <w:bCs/>
          <w:szCs w:val="20"/>
        </w:rPr>
        <w:t xml:space="preserve"> element »MS« spremeni, tako da se glasi</w:t>
      </w:r>
      <w:r w:rsidR="00FE461F" w:rsidRPr="005E4BEA">
        <w:rPr>
          <w:rFonts w:eastAsia="Calibri" w:cs="Arial"/>
          <w:b/>
          <w:szCs w:val="20"/>
        </w:rPr>
        <w:t xml:space="preserve">: </w:t>
      </w:r>
    </w:p>
    <w:p w14:paraId="6CBBE3EF" w14:textId="77777777" w:rsidR="00AE33D3" w:rsidRPr="005E4BEA" w:rsidRDefault="00AE33D3" w:rsidP="00AE33D3">
      <w:pPr>
        <w:spacing w:line="240" w:lineRule="auto"/>
        <w:jc w:val="both"/>
        <w:rPr>
          <w:rFonts w:eastAsia="Calibri" w:cs="Arial"/>
          <w:i/>
          <w:color w:val="808080"/>
          <w:szCs w:val="20"/>
        </w:rPr>
      </w:pPr>
    </w:p>
    <w:tbl>
      <w:tblPr>
        <w:tblW w:w="5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180"/>
        <w:gridCol w:w="1540"/>
      </w:tblGrid>
      <w:tr w:rsidR="00FE461F" w:rsidRPr="005E4BEA" w14:paraId="5DB3DAE4" w14:textId="77777777" w:rsidTr="0016774B">
        <w:trPr>
          <w:trHeight w:val="270"/>
        </w:trPr>
        <w:tc>
          <w:tcPr>
            <w:tcW w:w="4180" w:type="dxa"/>
            <w:noWrap/>
            <w:vAlign w:val="bottom"/>
            <w:hideMark/>
          </w:tcPr>
          <w:p w14:paraId="33B33189"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MS-1</w:t>
            </w:r>
          </w:p>
        </w:tc>
        <w:tc>
          <w:tcPr>
            <w:tcW w:w="1540" w:type="dxa"/>
            <w:noWrap/>
            <w:vAlign w:val="bottom"/>
            <w:hideMark/>
          </w:tcPr>
          <w:p w14:paraId="7C803666" w14:textId="77777777" w:rsidR="00FE461F" w:rsidRPr="005E4BEA" w:rsidRDefault="00FE461F" w:rsidP="00FE461F">
            <w:pPr>
              <w:spacing w:line="240" w:lineRule="auto"/>
              <w:jc w:val="right"/>
              <w:rPr>
                <w:rFonts w:cs="Arial"/>
                <w:szCs w:val="20"/>
                <w:lang w:eastAsia="sl-SI"/>
              </w:rPr>
            </w:pPr>
            <w:r w:rsidRPr="005E4BEA">
              <w:rPr>
                <w:rFonts w:cs="Arial"/>
                <w:szCs w:val="20"/>
                <w:lang w:eastAsia="sl-SI"/>
              </w:rPr>
              <w:t>11.076,28</w:t>
            </w:r>
          </w:p>
        </w:tc>
      </w:tr>
    </w:tbl>
    <w:p w14:paraId="57E15623" w14:textId="77777777" w:rsidR="00FE461F" w:rsidRPr="005E4BEA" w:rsidRDefault="00FE461F" w:rsidP="00FE461F">
      <w:pPr>
        <w:spacing w:line="240" w:lineRule="auto"/>
        <w:jc w:val="both"/>
        <w:rPr>
          <w:rFonts w:eastAsia="Calibri" w:cs="Arial"/>
          <w:i/>
          <w:color w:val="808080"/>
          <w:szCs w:val="20"/>
        </w:rPr>
      </w:pPr>
    </w:p>
    <w:p w14:paraId="7AB25979"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271F723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color w:val="808080"/>
          <w:szCs w:val="20"/>
        </w:rPr>
        <w:t xml:space="preserve">Na podlagi vedno slabše </w:t>
      </w:r>
      <w:proofErr w:type="spellStart"/>
      <w:r w:rsidRPr="005E4BEA">
        <w:rPr>
          <w:rFonts w:eastAsia="Calibri" w:cs="Arial"/>
          <w:color w:val="808080"/>
          <w:szCs w:val="20"/>
        </w:rPr>
        <w:t>epidemološke</w:t>
      </w:r>
      <w:proofErr w:type="spellEnd"/>
      <w:r w:rsidRPr="005E4BEA">
        <w:rPr>
          <w:rFonts w:eastAsia="Calibri" w:cs="Arial"/>
          <w:color w:val="808080"/>
          <w:szCs w:val="20"/>
        </w:rPr>
        <w:t xml:space="preserve"> situacije v Sloveniji in trenutne ocene obsega dodatnih stroškov izvajalcev iz naslova nabave zaščitne in osebne varovalne opreme, predlagamo dvig </w:t>
      </w:r>
      <w:proofErr w:type="spellStart"/>
      <w:r w:rsidRPr="005E4BEA">
        <w:rPr>
          <w:rFonts w:eastAsia="Calibri" w:cs="Arial"/>
          <w:color w:val="808080"/>
          <w:szCs w:val="20"/>
        </w:rPr>
        <w:t>kalkulativnega</w:t>
      </w:r>
      <w:proofErr w:type="spellEnd"/>
      <w:r w:rsidRPr="005E4BEA">
        <w:rPr>
          <w:rFonts w:eastAsia="Calibri" w:cs="Arial"/>
          <w:color w:val="808080"/>
          <w:szCs w:val="20"/>
        </w:rPr>
        <w:t xml:space="preserve"> elementa materialni stroški za 685.000 eur za nabavo ustreznih mask, razkužil, stojal za razkužila, rokavic, in druge opreme, povezane z zaščito in varovanjem zaposlenih v lekarniški dejavnosti, ki delajo v stiku s pacienti in torej tvegajo okužbo z virusom COVID-19. </w:t>
      </w:r>
    </w:p>
    <w:p w14:paraId="7C6D7A2C" w14:textId="77777777" w:rsidR="00FE461F" w:rsidRPr="005E4BEA" w:rsidRDefault="00FE461F" w:rsidP="00FE461F">
      <w:pPr>
        <w:spacing w:line="240" w:lineRule="auto"/>
        <w:jc w:val="both"/>
        <w:rPr>
          <w:rFonts w:eastAsia="Calibri" w:cs="Arial"/>
          <w:i/>
          <w:color w:val="808080"/>
          <w:szCs w:val="20"/>
        </w:rPr>
      </w:pPr>
    </w:p>
    <w:p w14:paraId="0EF4F428"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finančne posledice za dvig materialnih stroškov: 698.700 EUR (sredstva OZZ in PZZ).</w:t>
      </w:r>
    </w:p>
    <w:p w14:paraId="664753E8" w14:textId="687BFC01"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777F9112" w14:textId="73ED5027" w:rsidR="00AE33D3" w:rsidRPr="005E4BEA" w:rsidRDefault="00AE33D3" w:rsidP="00FE461F">
      <w:pPr>
        <w:spacing w:line="240" w:lineRule="auto"/>
        <w:jc w:val="both"/>
        <w:rPr>
          <w:rFonts w:eastAsia="Calibri" w:cs="Arial"/>
          <w:i/>
          <w:color w:val="808080"/>
          <w:szCs w:val="20"/>
        </w:rPr>
      </w:pPr>
    </w:p>
    <w:p w14:paraId="7C4B8806" w14:textId="77777777" w:rsidR="00AE33D3" w:rsidRPr="005E4BEA" w:rsidRDefault="00AE33D3" w:rsidP="00AE33D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78AE54D3" w14:textId="77777777" w:rsidR="00AE33D3" w:rsidRPr="005E4BEA" w:rsidRDefault="00AE33D3" w:rsidP="00AE33D3">
      <w:pPr>
        <w:spacing w:line="0" w:lineRule="atLeast"/>
        <w:jc w:val="both"/>
        <w:rPr>
          <w:rFonts w:eastAsia="Arial Narrow" w:cs="Arial"/>
          <w:szCs w:val="20"/>
          <w:lang w:eastAsia="sl-SI"/>
        </w:rPr>
      </w:pPr>
    </w:p>
    <w:p w14:paraId="52F90C3A" w14:textId="3663E6E1" w:rsidR="00AE33D3" w:rsidRPr="005E4BEA" w:rsidRDefault="00AE33D3" w:rsidP="00AE33D3">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910B7A"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3756E45D" w14:textId="77777777" w:rsidR="00AE33D3" w:rsidRPr="005E4BEA" w:rsidRDefault="00AE33D3" w:rsidP="00AE33D3">
      <w:pPr>
        <w:spacing w:line="240" w:lineRule="auto"/>
        <w:jc w:val="both"/>
        <w:rPr>
          <w:rFonts w:cs="Arial"/>
          <w:szCs w:val="20"/>
        </w:rPr>
      </w:pPr>
    </w:p>
    <w:p w14:paraId="1B838EB7" w14:textId="77777777" w:rsidR="00AE33D3" w:rsidRPr="005E4BEA" w:rsidRDefault="00AE33D3" w:rsidP="00AE33D3">
      <w:pPr>
        <w:spacing w:line="240" w:lineRule="auto"/>
        <w:jc w:val="both"/>
        <w:rPr>
          <w:rFonts w:eastAsia="Calibri" w:cs="Arial"/>
          <w:i/>
          <w:iCs/>
          <w:color w:val="7F7F7F"/>
          <w:szCs w:val="20"/>
        </w:rPr>
      </w:pPr>
    </w:p>
    <w:p w14:paraId="2106CE89" w14:textId="75DA0109" w:rsidR="00AE33D3" w:rsidRPr="005E4BEA" w:rsidRDefault="00AE33D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(113)</w:t>
      </w:r>
    </w:p>
    <w:p w14:paraId="1D2E1F42" w14:textId="77777777" w:rsidR="00AE33D3" w:rsidRPr="005E4BEA" w:rsidRDefault="00AE33D3" w:rsidP="00AE33D3">
      <w:pPr>
        <w:spacing w:line="240" w:lineRule="auto"/>
        <w:jc w:val="both"/>
        <w:rPr>
          <w:rFonts w:eastAsia="Arial Narrow" w:cs="Arial"/>
          <w:b/>
          <w:szCs w:val="20"/>
        </w:rPr>
      </w:pPr>
    </w:p>
    <w:p w14:paraId="7CBCBB79" w14:textId="4BBDA2E8" w:rsidR="00FE461F" w:rsidRPr="005E4BEA" w:rsidRDefault="00AE33D3" w:rsidP="00AE33D3">
      <w:pPr>
        <w:spacing w:line="240" w:lineRule="auto"/>
        <w:jc w:val="both"/>
        <w:rPr>
          <w:rFonts w:eastAsia="Calibri" w:cs="Arial"/>
          <w:bCs/>
          <w:i/>
          <w:color w:val="808080"/>
          <w:szCs w:val="20"/>
        </w:rPr>
      </w:pPr>
      <w:r w:rsidRPr="005E4BEA">
        <w:rPr>
          <w:rFonts w:eastAsia="Arial Narrow" w:cs="Arial"/>
          <w:b/>
          <w:szCs w:val="20"/>
        </w:rPr>
        <w:t xml:space="preserve">Lekarniška zbornica Slovenije </w:t>
      </w:r>
      <w:r w:rsidRPr="005E4BEA">
        <w:rPr>
          <w:rFonts w:eastAsiaTheme="minorHAnsi" w:cs="Arial"/>
          <w:bCs/>
          <w:szCs w:val="20"/>
        </w:rPr>
        <w:t xml:space="preserve">predlaga, da se v </w:t>
      </w:r>
      <w:r w:rsidRPr="005E4BEA">
        <w:rPr>
          <w:rFonts w:eastAsia="Calibri" w:cs="Arial"/>
          <w:bCs/>
          <w:szCs w:val="20"/>
        </w:rPr>
        <w:t xml:space="preserve">Prilogi (743 601) Lekarniška dejavnost  </w:t>
      </w:r>
      <w:r w:rsidRPr="005E4BEA">
        <w:rPr>
          <w:rFonts w:eastAsia="Calibri" w:cs="Arial"/>
          <w:bCs/>
          <w:i/>
          <w:color w:val="808080"/>
          <w:szCs w:val="20"/>
        </w:rPr>
        <w:t xml:space="preserve"> </w:t>
      </w:r>
      <w:proofErr w:type="spellStart"/>
      <w:r w:rsidR="00FE461F" w:rsidRPr="005E4BEA">
        <w:rPr>
          <w:rFonts w:eastAsia="Calibri" w:cs="Arial"/>
          <w:bCs/>
          <w:szCs w:val="20"/>
        </w:rPr>
        <w:t>kalkulativni</w:t>
      </w:r>
      <w:proofErr w:type="spellEnd"/>
      <w:r w:rsidR="00FE461F" w:rsidRPr="005E4BEA">
        <w:rPr>
          <w:rFonts w:eastAsia="Calibri" w:cs="Arial"/>
          <w:bCs/>
          <w:szCs w:val="20"/>
        </w:rPr>
        <w:t xml:space="preserve"> element »Amortizacija« poveča za 521,88 EUR (na tim) oz. skupno za 345.232 EUR tako da se v </w:t>
      </w:r>
      <w:proofErr w:type="spellStart"/>
      <w:r w:rsidR="00FE461F" w:rsidRPr="005E4BEA">
        <w:rPr>
          <w:rFonts w:eastAsia="Calibri" w:cs="Arial"/>
          <w:bCs/>
          <w:szCs w:val="20"/>
        </w:rPr>
        <w:t>kalkulativnih</w:t>
      </w:r>
      <w:proofErr w:type="spellEnd"/>
      <w:r w:rsidR="00FE461F" w:rsidRPr="005E4BEA">
        <w:rPr>
          <w:rFonts w:eastAsia="Calibri" w:cs="Arial"/>
          <w:bCs/>
          <w:szCs w:val="20"/>
        </w:rPr>
        <w:t xml:space="preserve"> elementih glasi:</w:t>
      </w:r>
    </w:p>
    <w:p w14:paraId="6F710A1D" w14:textId="77777777" w:rsidR="00FE461F" w:rsidRPr="005E4BEA" w:rsidRDefault="00FE461F" w:rsidP="00FE461F">
      <w:pPr>
        <w:spacing w:line="240" w:lineRule="auto"/>
        <w:jc w:val="both"/>
        <w:rPr>
          <w:rFonts w:eastAsia="Calibri" w:cs="Arial"/>
          <w:szCs w:val="20"/>
        </w:rPr>
      </w:pPr>
      <w:r w:rsidRPr="005E4BEA">
        <w:rPr>
          <w:rFonts w:eastAsia="Calibri" w:cs="Arial"/>
          <w:szCs w:val="20"/>
        </w:rPr>
        <w:t>»</w:t>
      </w:r>
    </w:p>
    <w:tbl>
      <w:tblPr>
        <w:tblW w:w="5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180"/>
        <w:gridCol w:w="1540"/>
      </w:tblGrid>
      <w:tr w:rsidR="00FE461F" w:rsidRPr="005E4BEA" w14:paraId="21D9701B" w14:textId="77777777" w:rsidTr="0016774B">
        <w:trPr>
          <w:trHeight w:val="270"/>
        </w:trPr>
        <w:tc>
          <w:tcPr>
            <w:tcW w:w="4180" w:type="dxa"/>
            <w:noWrap/>
            <w:vAlign w:val="bottom"/>
            <w:hideMark/>
          </w:tcPr>
          <w:p w14:paraId="5E9DEFCC" w14:textId="77777777" w:rsidR="00FE461F" w:rsidRPr="005E4BEA" w:rsidRDefault="00FE461F" w:rsidP="00FE461F">
            <w:pPr>
              <w:spacing w:line="240" w:lineRule="auto"/>
              <w:rPr>
                <w:rFonts w:cs="Arial"/>
                <w:color w:val="000000"/>
                <w:szCs w:val="20"/>
                <w:lang w:eastAsia="sl-SI"/>
              </w:rPr>
            </w:pPr>
            <w:r w:rsidRPr="005E4BEA">
              <w:rPr>
                <w:rFonts w:cs="Arial"/>
                <w:color w:val="000000"/>
                <w:szCs w:val="20"/>
                <w:lang w:eastAsia="sl-SI"/>
              </w:rPr>
              <w:t>AM</w:t>
            </w:r>
          </w:p>
        </w:tc>
        <w:tc>
          <w:tcPr>
            <w:tcW w:w="1540" w:type="dxa"/>
            <w:noWrap/>
            <w:vAlign w:val="bottom"/>
            <w:hideMark/>
          </w:tcPr>
          <w:p w14:paraId="6C054949" w14:textId="77777777" w:rsidR="00FE461F" w:rsidRPr="005E4BEA" w:rsidRDefault="00FE461F" w:rsidP="00FE461F">
            <w:pPr>
              <w:spacing w:line="240" w:lineRule="auto"/>
              <w:jc w:val="right"/>
              <w:rPr>
                <w:rFonts w:cs="Arial"/>
                <w:szCs w:val="20"/>
                <w:lang w:eastAsia="sl-SI"/>
              </w:rPr>
            </w:pPr>
            <w:r w:rsidRPr="005E4BEA">
              <w:rPr>
                <w:rFonts w:cs="Arial"/>
                <w:szCs w:val="20"/>
                <w:lang w:eastAsia="sl-SI"/>
              </w:rPr>
              <w:t>2.609,39</w:t>
            </w:r>
          </w:p>
        </w:tc>
      </w:tr>
    </w:tbl>
    <w:p w14:paraId="2DAE7594" w14:textId="77777777" w:rsidR="00FE461F" w:rsidRPr="005E4BEA" w:rsidRDefault="00FE461F" w:rsidP="00FE461F">
      <w:pPr>
        <w:spacing w:line="240" w:lineRule="auto"/>
        <w:jc w:val="both"/>
        <w:rPr>
          <w:rFonts w:eastAsia="Calibri" w:cs="Arial"/>
          <w:szCs w:val="20"/>
          <w:lang w:eastAsia="sl-SI"/>
        </w:rPr>
      </w:pPr>
      <w:r w:rsidRPr="005E4BEA">
        <w:rPr>
          <w:rFonts w:eastAsia="Calibri" w:cs="Arial"/>
          <w:szCs w:val="20"/>
          <w:lang w:eastAsia="sl-SI"/>
        </w:rPr>
        <w:t>»</w:t>
      </w:r>
    </w:p>
    <w:p w14:paraId="18E18A55"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1F849102"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Od leta 2009 se je zaradi različnih varčevalnih ukrepov vrednost amortizacije znižala za 25%. V okviru uskladitev ostalih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elementov, ki so bili izvedeni v postopku pogajanj za sprejem A1-SD 2020 in SD 2021, predlagamo, da se tudi </w:t>
      </w:r>
      <w:proofErr w:type="spellStart"/>
      <w:r w:rsidRPr="005E4BEA">
        <w:rPr>
          <w:rFonts w:eastAsia="Calibri" w:cs="Arial"/>
          <w:i/>
          <w:color w:val="808080"/>
          <w:szCs w:val="20"/>
        </w:rPr>
        <w:t>kalkulativni</w:t>
      </w:r>
      <w:proofErr w:type="spellEnd"/>
      <w:r w:rsidRPr="005E4BEA">
        <w:rPr>
          <w:rFonts w:eastAsia="Calibri" w:cs="Arial"/>
          <w:i/>
          <w:color w:val="808080"/>
          <w:szCs w:val="20"/>
        </w:rPr>
        <w:t xml:space="preserve"> element amortizacije uskladi na tekočo raven, in sicer z dvigom </w:t>
      </w:r>
      <w:proofErr w:type="spellStart"/>
      <w:r w:rsidRPr="005E4BEA">
        <w:rPr>
          <w:rFonts w:eastAsia="Calibri" w:cs="Arial"/>
          <w:i/>
          <w:color w:val="808080"/>
          <w:szCs w:val="20"/>
        </w:rPr>
        <w:t>kalkulativnega</w:t>
      </w:r>
      <w:proofErr w:type="spellEnd"/>
      <w:r w:rsidRPr="005E4BEA">
        <w:rPr>
          <w:rFonts w:eastAsia="Calibri" w:cs="Arial"/>
          <w:i/>
          <w:color w:val="808080"/>
          <w:szCs w:val="20"/>
        </w:rPr>
        <w:t xml:space="preserve"> elementa za 25%. </w:t>
      </w:r>
    </w:p>
    <w:p w14:paraId="3BBBC10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Poleg tega je tudi v 66. členu ZZVZZ opredeljeno, da se pri oblikovanju cen programov oziroma storitev upošteva med drugim tudi amortizacija, predpisana z zakonom. </w:t>
      </w:r>
    </w:p>
    <w:p w14:paraId="2CEA334B" w14:textId="77777777" w:rsidR="00FE461F" w:rsidRPr="005E4BEA" w:rsidRDefault="00FE461F" w:rsidP="00FE461F">
      <w:pPr>
        <w:spacing w:line="240" w:lineRule="auto"/>
        <w:jc w:val="both"/>
        <w:rPr>
          <w:rFonts w:eastAsia="Calibri" w:cs="Arial"/>
          <w:i/>
          <w:color w:val="808080"/>
          <w:szCs w:val="20"/>
        </w:rPr>
      </w:pPr>
    </w:p>
    <w:p w14:paraId="2FBE8BBB" w14:textId="77777777" w:rsidR="00FE461F" w:rsidRPr="005E4BEA" w:rsidRDefault="00FE461F" w:rsidP="00FE461F">
      <w:pPr>
        <w:spacing w:line="240" w:lineRule="auto"/>
        <w:jc w:val="both"/>
        <w:rPr>
          <w:rFonts w:cs="Arial"/>
          <w:szCs w:val="20"/>
          <w:lang w:eastAsia="sl-SI"/>
        </w:rPr>
      </w:pPr>
    </w:p>
    <w:p w14:paraId="3C034359"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Ocena skupne finančne posledice: 345.232 EUR (sredstva OZZ in PZZ).</w:t>
      </w:r>
    </w:p>
    <w:p w14:paraId="643B92EF"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5C80C05A" w14:textId="69CB6349" w:rsidR="00FE461F" w:rsidRPr="005E4BEA" w:rsidRDefault="00FE461F" w:rsidP="00FE461F">
      <w:pPr>
        <w:spacing w:line="240" w:lineRule="auto"/>
        <w:jc w:val="both"/>
        <w:rPr>
          <w:rFonts w:eastAsia="Calibri" w:cs="Arial"/>
          <w:i/>
          <w:color w:val="808080"/>
          <w:szCs w:val="20"/>
        </w:rPr>
      </w:pPr>
    </w:p>
    <w:p w14:paraId="3AACCF4C" w14:textId="1299600B" w:rsidR="00AE33D3" w:rsidRPr="005E4BEA" w:rsidRDefault="00AE33D3" w:rsidP="00FE461F">
      <w:pPr>
        <w:spacing w:line="240" w:lineRule="auto"/>
        <w:jc w:val="both"/>
        <w:rPr>
          <w:rFonts w:eastAsia="Calibri" w:cs="Arial"/>
          <w:i/>
          <w:color w:val="808080"/>
          <w:szCs w:val="20"/>
        </w:rPr>
      </w:pPr>
    </w:p>
    <w:p w14:paraId="06E3281E" w14:textId="77777777" w:rsidR="00AE33D3" w:rsidRPr="005E4BEA" w:rsidRDefault="00AE33D3" w:rsidP="00AE33D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386A971" w14:textId="77777777" w:rsidR="00AE33D3" w:rsidRPr="005E4BEA" w:rsidRDefault="00AE33D3" w:rsidP="00AE33D3">
      <w:pPr>
        <w:spacing w:line="0" w:lineRule="atLeast"/>
        <w:jc w:val="both"/>
        <w:rPr>
          <w:rFonts w:eastAsia="Arial Narrow" w:cs="Arial"/>
          <w:szCs w:val="20"/>
          <w:lang w:eastAsia="sl-SI"/>
        </w:rPr>
      </w:pPr>
    </w:p>
    <w:p w14:paraId="701F23C6" w14:textId="77777777" w:rsidR="00AE33D3" w:rsidRPr="005E4BEA" w:rsidRDefault="00AE33D3" w:rsidP="00AE33D3">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w:t>
      </w:r>
      <w:proofErr w:type="spellStart"/>
      <w:r w:rsidRPr="005E4BEA">
        <w:rPr>
          <w:rFonts w:eastAsia="Arial Narrow" w:cs="Arial"/>
          <w:bCs/>
          <w:szCs w:val="20"/>
        </w:rPr>
        <w:t>Prioga</w:t>
      </w:r>
      <w:proofErr w:type="spellEnd"/>
      <w:r w:rsidRPr="005E4BEA">
        <w:rPr>
          <w:rFonts w:eastAsia="Arial Narrow" w:cs="Arial"/>
          <w:bCs/>
          <w:szCs w:val="20"/>
        </w:rPr>
        <w:t xml:space="preserve"> I </w:t>
      </w:r>
      <w:r w:rsidRPr="005E4BEA">
        <w:rPr>
          <w:rFonts w:eastAsiaTheme="minorHAnsi" w:cs="Arial"/>
          <w:bCs/>
          <w:szCs w:val="20"/>
        </w:rPr>
        <w:t>Splošnega dogovora ne spremeni.</w:t>
      </w:r>
    </w:p>
    <w:p w14:paraId="75AC46F5" w14:textId="77777777" w:rsidR="00AE33D3" w:rsidRPr="005E4BEA" w:rsidRDefault="00AE33D3" w:rsidP="00AE33D3">
      <w:pPr>
        <w:spacing w:line="240" w:lineRule="auto"/>
        <w:jc w:val="both"/>
        <w:rPr>
          <w:rFonts w:cs="Arial"/>
          <w:szCs w:val="20"/>
        </w:rPr>
      </w:pPr>
    </w:p>
    <w:p w14:paraId="6D2B11B9" w14:textId="77777777" w:rsidR="00AE33D3" w:rsidRPr="005E4BEA" w:rsidRDefault="00AE33D3" w:rsidP="00AE33D3">
      <w:pPr>
        <w:spacing w:line="240" w:lineRule="auto"/>
        <w:jc w:val="both"/>
        <w:rPr>
          <w:rFonts w:eastAsia="Calibri" w:cs="Arial"/>
          <w:i/>
          <w:iCs/>
          <w:color w:val="7F7F7F"/>
          <w:szCs w:val="20"/>
        </w:rPr>
      </w:pPr>
    </w:p>
    <w:p w14:paraId="2853D5A1" w14:textId="2636C38B" w:rsidR="00AE33D3" w:rsidRPr="005E4BEA" w:rsidRDefault="00AE33D3"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(114)</w:t>
      </w:r>
    </w:p>
    <w:p w14:paraId="333738DD" w14:textId="77777777" w:rsidR="00AE33D3" w:rsidRPr="005E4BEA" w:rsidRDefault="00AE33D3" w:rsidP="00AE33D3">
      <w:pPr>
        <w:spacing w:line="240" w:lineRule="auto"/>
        <w:jc w:val="both"/>
        <w:rPr>
          <w:rFonts w:eastAsia="Arial Narrow" w:cs="Arial"/>
          <w:b/>
          <w:szCs w:val="20"/>
        </w:rPr>
      </w:pPr>
    </w:p>
    <w:p w14:paraId="525B710D" w14:textId="0A0DD125" w:rsidR="00FE461F" w:rsidRPr="005E4BEA" w:rsidRDefault="00AE33D3" w:rsidP="00AE33D3">
      <w:pPr>
        <w:spacing w:line="240" w:lineRule="auto"/>
        <w:jc w:val="both"/>
        <w:rPr>
          <w:rFonts w:eastAsia="Calibri" w:cs="Arial"/>
          <w:bCs/>
          <w:szCs w:val="20"/>
        </w:rPr>
      </w:pPr>
      <w:r w:rsidRPr="005E4BEA">
        <w:rPr>
          <w:rFonts w:eastAsia="Arial Narrow" w:cs="Arial"/>
          <w:b/>
          <w:szCs w:val="20"/>
        </w:rPr>
        <w:t xml:space="preserve">Lekarniška zbornica Slovenije </w:t>
      </w:r>
      <w:r w:rsidRPr="005E4BEA">
        <w:rPr>
          <w:rFonts w:eastAsiaTheme="minorHAnsi" w:cs="Arial"/>
          <w:bCs/>
          <w:szCs w:val="20"/>
        </w:rPr>
        <w:t xml:space="preserve">predlaga, da se </w:t>
      </w:r>
      <w:r w:rsidRPr="005E4BEA">
        <w:rPr>
          <w:rFonts w:eastAsia="Calibri" w:cs="Arial"/>
          <w:bCs/>
          <w:szCs w:val="20"/>
        </w:rPr>
        <w:t xml:space="preserve">Priloga (743 601) Lekarniška dejavnost  </w:t>
      </w:r>
      <w:r w:rsidRPr="005E4BEA">
        <w:rPr>
          <w:rFonts w:eastAsia="Calibri" w:cs="Arial"/>
          <w:bCs/>
          <w:i/>
          <w:color w:val="808080"/>
          <w:szCs w:val="20"/>
        </w:rPr>
        <w:t xml:space="preserve"> </w:t>
      </w:r>
      <w:r w:rsidR="00FE461F" w:rsidRPr="005E4BEA">
        <w:rPr>
          <w:rFonts w:eastAsia="Calibri" w:cs="Arial"/>
          <w:bCs/>
          <w:szCs w:val="20"/>
        </w:rPr>
        <w:t>spremeni tako da se glasi, ostali zneski se temu ustrezno preračunajo</w:t>
      </w:r>
    </w:p>
    <w:p w14:paraId="4F1D2672" w14:textId="77777777" w:rsidR="00AE33D3" w:rsidRPr="005E4BEA" w:rsidRDefault="00AE33D3" w:rsidP="00AE33D3">
      <w:pPr>
        <w:spacing w:line="240" w:lineRule="auto"/>
        <w:jc w:val="both"/>
        <w:rPr>
          <w:rFonts w:eastAsia="Calibri" w:cs="Arial"/>
          <w:i/>
          <w:color w:val="808080"/>
          <w:szCs w:val="20"/>
        </w:rPr>
      </w:pPr>
    </w:p>
    <w:tbl>
      <w:tblPr>
        <w:tblW w:w="9312" w:type="dxa"/>
        <w:tblInd w:w="75" w:type="dxa"/>
        <w:tblCellMar>
          <w:left w:w="70" w:type="dxa"/>
          <w:right w:w="70" w:type="dxa"/>
        </w:tblCellMar>
        <w:tblLook w:val="04A0" w:firstRow="1" w:lastRow="0" w:firstColumn="1" w:lastColumn="0" w:noHBand="0" w:noVBand="1"/>
      </w:tblPr>
      <w:tblGrid>
        <w:gridCol w:w="6232"/>
        <w:gridCol w:w="914"/>
        <w:gridCol w:w="739"/>
        <w:gridCol w:w="752"/>
        <w:gridCol w:w="720"/>
      </w:tblGrid>
      <w:tr w:rsidR="00FE461F" w:rsidRPr="005E4BEA" w14:paraId="2727DF78" w14:textId="77777777" w:rsidTr="0016774B">
        <w:trPr>
          <w:trHeight w:val="900"/>
        </w:trPr>
        <w:tc>
          <w:tcPr>
            <w:tcW w:w="6232" w:type="dxa"/>
            <w:tcBorders>
              <w:top w:val="single" w:sz="4" w:space="0" w:color="808080"/>
              <w:left w:val="single" w:sz="4" w:space="0" w:color="808080"/>
              <w:bottom w:val="single" w:sz="4" w:space="0" w:color="808080"/>
              <w:right w:val="single" w:sz="4" w:space="0" w:color="808080"/>
            </w:tcBorders>
            <w:shd w:val="clear" w:color="000000" w:fill="D9D9D9"/>
            <w:noWrap/>
            <w:vAlign w:val="bottom"/>
            <w:hideMark/>
          </w:tcPr>
          <w:p w14:paraId="190CD3CB" w14:textId="77777777" w:rsidR="00FE461F" w:rsidRPr="005E4BEA" w:rsidRDefault="00FE461F" w:rsidP="00FE461F">
            <w:pPr>
              <w:spacing w:line="240" w:lineRule="auto"/>
              <w:rPr>
                <w:rFonts w:cs="Arial"/>
                <w:b/>
                <w:bCs/>
                <w:color w:val="7030A0"/>
                <w:szCs w:val="20"/>
                <w:lang w:eastAsia="sl-SI"/>
              </w:rPr>
            </w:pPr>
            <w:r w:rsidRPr="005E4BEA">
              <w:rPr>
                <w:rFonts w:cs="Arial"/>
                <w:b/>
                <w:bCs/>
                <w:color w:val="7030A0"/>
                <w:szCs w:val="20"/>
                <w:lang w:eastAsia="sl-SI"/>
              </w:rPr>
              <w:t>Naziv</w:t>
            </w:r>
          </w:p>
        </w:tc>
        <w:tc>
          <w:tcPr>
            <w:tcW w:w="914" w:type="dxa"/>
            <w:tcBorders>
              <w:top w:val="single" w:sz="4" w:space="0" w:color="808080"/>
              <w:left w:val="nil"/>
              <w:bottom w:val="single" w:sz="4" w:space="0" w:color="808080"/>
              <w:right w:val="single" w:sz="4" w:space="0" w:color="808080"/>
            </w:tcBorders>
            <w:shd w:val="clear" w:color="000000" w:fill="D9D9D9"/>
            <w:vAlign w:val="bottom"/>
            <w:hideMark/>
          </w:tcPr>
          <w:p w14:paraId="1C25E4F2"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Nor-</w:t>
            </w:r>
            <w:proofErr w:type="spellStart"/>
            <w:r w:rsidRPr="005E4BEA">
              <w:rPr>
                <w:rFonts w:cs="Arial"/>
                <w:b/>
                <w:bCs/>
                <w:color w:val="7030A0"/>
                <w:szCs w:val="20"/>
                <w:lang w:eastAsia="sl-SI"/>
              </w:rPr>
              <w:t>mativ</w:t>
            </w:r>
            <w:proofErr w:type="spellEnd"/>
            <w:r w:rsidRPr="005E4BEA">
              <w:rPr>
                <w:rFonts w:cs="Arial"/>
                <w:b/>
                <w:bCs/>
                <w:color w:val="7030A0"/>
                <w:szCs w:val="20"/>
                <w:lang w:eastAsia="sl-SI"/>
              </w:rPr>
              <w:t xml:space="preserve"> / kol.</w:t>
            </w:r>
          </w:p>
        </w:tc>
        <w:tc>
          <w:tcPr>
            <w:tcW w:w="739" w:type="dxa"/>
            <w:tcBorders>
              <w:top w:val="single" w:sz="4" w:space="0" w:color="808080"/>
              <w:left w:val="nil"/>
              <w:bottom w:val="single" w:sz="4" w:space="0" w:color="808080"/>
              <w:right w:val="single" w:sz="4" w:space="0" w:color="808080"/>
            </w:tcBorders>
            <w:shd w:val="clear" w:color="000000" w:fill="D9D9D9"/>
            <w:vAlign w:val="bottom"/>
            <w:hideMark/>
          </w:tcPr>
          <w:p w14:paraId="74CCD55A"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Enota mere</w:t>
            </w:r>
          </w:p>
        </w:tc>
        <w:tc>
          <w:tcPr>
            <w:tcW w:w="707" w:type="dxa"/>
            <w:tcBorders>
              <w:top w:val="single" w:sz="4" w:space="0" w:color="808080"/>
              <w:left w:val="nil"/>
              <w:bottom w:val="single" w:sz="4" w:space="0" w:color="808080"/>
              <w:right w:val="single" w:sz="4" w:space="0" w:color="808080"/>
            </w:tcBorders>
            <w:shd w:val="clear" w:color="000000" w:fill="D9D9D9"/>
            <w:vAlign w:val="bottom"/>
            <w:hideMark/>
          </w:tcPr>
          <w:p w14:paraId="7121DBCC"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Kader</w:t>
            </w:r>
          </w:p>
        </w:tc>
        <w:tc>
          <w:tcPr>
            <w:tcW w:w="720" w:type="dxa"/>
            <w:tcBorders>
              <w:top w:val="single" w:sz="4" w:space="0" w:color="808080"/>
              <w:left w:val="nil"/>
              <w:bottom w:val="single" w:sz="4" w:space="0" w:color="808080"/>
              <w:right w:val="single" w:sz="4" w:space="0" w:color="808080"/>
            </w:tcBorders>
            <w:shd w:val="clear" w:color="000000" w:fill="D9D9D9"/>
            <w:noWrap/>
            <w:vAlign w:val="bottom"/>
            <w:hideMark/>
          </w:tcPr>
          <w:p w14:paraId="3AFA15EC" w14:textId="77777777" w:rsidR="00FE461F" w:rsidRPr="005E4BEA" w:rsidRDefault="00FE461F" w:rsidP="00FE461F">
            <w:pPr>
              <w:spacing w:line="240" w:lineRule="auto"/>
              <w:jc w:val="center"/>
              <w:rPr>
                <w:rFonts w:cs="Arial"/>
                <w:b/>
                <w:bCs/>
                <w:color w:val="7030A0"/>
                <w:szCs w:val="20"/>
                <w:lang w:eastAsia="sl-SI"/>
              </w:rPr>
            </w:pPr>
            <w:r w:rsidRPr="005E4BEA">
              <w:rPr>
                <w:rFonts w:cs="Arial"/>
                <w:b/>
                <w:bCs/>
                <w:color w:val="7030A0"/>
                <w:szCs w:val="20"/>
                <w:lang w:eastAsia="sl-SI"/>
              </w:rPr>
              <w:t>PR</w:t>
            </w:r>
          </w:p>
        </w:tc>
      </w:tr>
      <w:tr w:rsidR="00FE461F" w:rsidRPr="005E4BEA" w14:paraId="4282ACD0" w14:textId="77777777" w:rsidTr="0016774B">
        <w:trPr>
          <w:trHeight w:val="480"/>
        </w:trPr>
        <w:tc>
          <w:tcPr>
            <w:tcW w:w="6232" w:type="dxa"/>
            <w:tcBorders>
              <w:top w:val="single" w:sz="4" w:space="0" w:color="auto"/>
              <w:left w:val="single" w:sz="4" w:space="0" w:color="D9D9D9"/>
              <w:bottom w:val="single" w:sz="4" w:space="0" w:color="D9D9D9"/>
              <w:right w:val="single" w:sz="4" w:space="0" w:color="D9D9D9"/>
            </w:tcBorders>
            <w:shd w:val="clear" w:color="000000" w:fill="FFFFFF"/>
            <w:vAlign w:val="bottom"/>
            <w:hideMark/>
          </w:tcPr>
          <w:p w14:paraId="3FB4C52D"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 xml:space="preserve">Lekarniška dejavnost </w:t>
            </w:r>
          </w:p>
        </w:tc>
        <w:tc>
          <w:tcPr>
            <w:tcW w:w="914" w:type="dxa"/>
            <w:tcBorders>
              <w:top w:val="single" w:sz="4" w:space="0" w:color="auto"/>
              <w:left w:val="nil"/>
              <w:bottom w:val="single" w:sz="4" w:space="0" w:color="D9D9D9"/>
              <w:right w:val="single" w:sz="4" w:space="0" w:color="D9D9D9"/>
            </w:tcBorders>
            <w:shd w:val="clear" w:color="000000" w:fill="FFFFFF"/>
            <w:noWrap/>
            <w:vAlign w:val="bottom"/>
            <w:hideMark/>
          </w:tcPr>
          <w:p w14:paraId="14FD2D3C" w14:textId="77777777" w:rsidR="00FE461F" w:rsidRPr="005E4BEA" w:rsidRDefault="00FE461F" w:rsidP="00FE461F">
            <w:pPr>
              <w:spacing w:line="240" w:lineRule="auto"/>
              <w:jc w:val="right"/>
              <w:rPr>
                <w:rFonts w:cs="Arial"/>
                <w:b/>
                <w:bCs/>
                <w:color w:val="000099"/>
                <w:szCs w:val="20"/>
                <w:lang w:eastAsia="sl-SI"/>
              </w:rPr>
            </w:pPr>
            <w:r w:rsidRPr="005E4BEA">
              <w:rPr>
                <w:rFonts w:cs="Arial"/>
                <w:b/>
                <w:bCs/>
                <w:color w:val="000099"/>
                <w:szCs w:val="20"/>
                <w:lang w:eastAsia="sl-SI"/>
              </w:rPr>
              <w:t>18.455</w:t>
            </w:r>
          </w:p>
        </w:tc>
        <w:tc>
          <w:tcPr>
            <w:tcW w:w="739" w:type="dxa"/>
            <w:tcBorders>
              <w:top w:val="single" w:sz="4" w:space="0" w:color="auto"/>
              <w:left w:val="nil"/>
              <w:bottom w:val="single" w:sz="4" w:space="0" w:color="D9D9D9"/>
              <w:right w:val="single" w:sz="4" w:space="0" w:color="D9D9D9"/>
            </w:tcBorders>
            <w:shd w:val="clear" w:color="000000" w:fill="FFFFFF"/>
            <w:noWrap/>
            <w:vAlign w:val="bottom"/>
            <w:hideMark/>
          </w:tcPr>
          <w:p w14:paraId="4FBD2120"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točka</w:t>
            </w:r>
          </w:p>
        </w:tc>
        <w:tc>
          <w:tcPr>
            <w:tcW w:w="707" w:type="dxa"/>
            <w:tcBorders>
              <w:top w:val="single" w:sz="4" w:space="0" w:color="auto"/>
              <w:left w:val="nil"/>
              <w:bottom w:val="single" w:sz="4" w:space="0" w:color="D9D9D9"/>
              <w:right w:val="single" w:sz="4" w:space="0" w:color="D9D9D9"/>
            </w:tcBorders>
            <w:shd w:val="clear" w:color="000000" w:fill="FFFFFF"/>
            <w:noWrap/>
            <w:vAlign w:val="bottom"/>
            <w:hideMark/>
          </w:tcPr>
          <w:p w14:paraId="25ACA9A9" w14:textId="77777777" w:rsidR="00FE461F" w:rsidRPr="005E4BEA" w:rsidRDefault="00FE461F" w:rsidP="00FE461F">
            <w:pPr>
              <w:spacing w:line="240" w:lineRule="auto"/>
              <w:jc w:val="right"/>
              <w:rPr>
                <w:rFonts w:cs="Arial"/>
                <w:b/>
                <w:bCs/>
                <w:color w:val="000099"/>
                <w:szCs w:val="20"/>
                <w:lang w:eastAsia="sl-SI"/>
              </w:rPr>
            </w:pPr>
            <w:r w:rsidRPr="005E4BEA">
              <w:rPr>
                <w:rFonts w:cs="Arial"/>
                <w:b/>
                <w:bCs/>
                <w:color w:val="000099"/>
                <w:szCs w:val="20"/>
                <w:lang w:eastAsia="sl-SI"/>
              </w:rPr>
              <w:t>1,8361</w:t>
            </w:r>
          </w:p>
        </w:tc>
        <w:tc>
          <w:tcPr>
            <w:tcW w:w="720" w:type="dxa"/>
            <w:tcBorders>
              <w:top w:val="single" w:sz="4" w:space="0" w:color="auto"/>
              <w:left w:val="nil"/>
              <w:bottom w:val="single" w:sz="4" w:space="0" w:color="D9D9D9"/>
              <w:right w:val="single" w:sz="4" w:space="0" w:color="D9D9D9"/>
            </w:tcBorders>
            <w:shd w:val="clear" w:color="000000" w:fill="FFFFFF"/>
            <w:noWrap/>
            <w:vAlign w:val="bottom"/>
            <w:hideMark/>
          </w:tcPr>
          <w:p w14:paraId="6BF5747C" w14:textId="77777777" w:rsidR="00FE461F" w:rsidRPr="005E4BEA" w:rsidRDefault="00FE461F" w:rsidP="00FE461F">
            <w:pPr>
              <w:spacing w:line="240" w:lineRule="auto"/>
              <w:rPr>
                <w:rFonts w:cs="Arial"/>
                <w:b/>
                <w:bCs/>
                <w:color w:val="000099"/>
                <w:szCs w:val="20"/>
                <w:lang w:eastAsia="sl-SI"/>
              </w:rPr>
            </w:pPr>
            <w:r w:rsidRPr="005E4BEA">
              <w:rPr>
                <w:rFonts w:cs="Arial"/>
                <w:b/>
                <w:bCs/>
                <w:color w:val="000099"/>
                <w:szCs w:val="20"/>
                <w:lang w:eastAsia="sl-SI"/>
              </w:rPr>
              <w:t> </w:t>
            </w:r>
          </w:p>
        </w:tc>
      </w:tr>
      <w:tr w:rsidR="00FE461F" w:rsidRPr="005E4BEA" w14:paraId="184CC8C4" w14:textId="77777777" w:rsidTr="0016774B">
        <w:trPr>
          <w:trHeight w:val="255"/>
        </w:trPr>
        <w:tc>
          <w:tcPr>
            <w:tcW w:w="6232" w:type="dxa"/>
            <w:tcBorders>
              <w:top w:val="nil"/>
              <w:left w:val="single" w:sz="4" w:space="0" w:color="D9D9D9"/>
              <w:bottom w:val="single" w:sz="4" w:space="0" w:color="D9D9D9"/>
              <w:right w:val="single" w:sz="4" w:space="0" w:color="D9D9D9"/>
            </w:tcBorders>
            <w:shd w:val="clear" w:color="000000" w:fill="FFFFFF"/>
            <w:noWrap/>
            <w:vAlign w:val="bottom"/>
            <w:hideMark/>
          </w:tcPr>
          <w:p w14:paraId="2A2C7377"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 specialist  </w:t>
            </w:r>
          </w:p>
        </w:tc>
        <w:tc>
          <w:tcPr>
            <w:tcW w:w="914" w:type="dxa"/>
            <w:tcBorders>
              <w:top w:val="nil"/>
              <w:left w:val="nil"/>
              <w:bottom w:val="single" w:sz="4" w:space="0" w:color="D9D9D9"/>
              <w:right w:val="single" w:sz="4" w:space="0" w:color="D9D9D9"/>
            </w:tcBorders>
            <w:shd w:val="clear" w:color="000000" w:fill="FFFFFF"/>
            <w:noWrap/>
            <w:vAlign w:val="bottom"/>
            <w:hideMark/>
          </w:tcPr>
          <w:p w14:paraId="06567626" w14:textId="77777777" w:rsidR="00FE461F" w:rsidRPr="005E4BEA" w:rsidRDefault="00FE461F" w:rsidP="00FE461F">
            <w:pPr>
              <w:spacing w:line="240" w:lineRule="auto"/>
              <w:jc w:val="right"/>
              <w:outlineLvl w:val="0"/>
              <w:rPr>
                <w:rFonts w:cs="Arial"/>
                <w:b/>
                <w:bCs/>
                <w:color w:val="000099"/>
                <w:szCs w:val="20"/>
                <w:lang w:eastAsia="sl-SI"/>
              </w:rPr>
            </w:pPr>
            <w:r w:rsidRPr="005E4BEA">
              <w:rPr>
                <w:rFonts w:cs="Arial"/>
                <w:b/>
                <w:bCs/>
                <w:color w:val="000099"/>
                <w:szCs w:val="20"/>
                <w:lang w:eastAsia="sl-SI"/>
              </w:rPr>
              <w:t> </w:t>
            </w:r>
          </w:p>
        </w:tc>
        <w:tc>
          <w:tcPr>
            <w:tcW w:w="739" w:type="dxa"/>
            <w:tcBorders>
              <w:top w:val="nil"/>
              <w:left w:val="nil"/>
              <w:bottom w:val="single" w:sz="4" w:space="0" w:color="D9D9D9"/>
              <w:right w:val="single" w:sz="4" w:space="0" w:color="D9D9D9"/>
            </w:tcBorders>
            <w:shd w:val="clear" w:color="000000" w:fill="FFFFFF"/>
            <w:noWrap/>
            <w:vAlign w:val="bottom"/>
            <w:hideMark/>
          </w:tcPr>
          <w:p w14:paraId="3DFF4215" w14:textId="77777777" w:rsidR="00FE461F" w:rsidRPr="005E4BEA" w:rsidRDefault="00FE461F" w:rsidP="00FE461F">
            <w:pPr>
              <w:spacing w:line="240" w:lineRule="auto"/>
              <w:jc w:val="right"/>
              <w:outlineLvl w:val="0"/>
              <w:rPr>
                <w:rFonts w:cs="Arial"/>
                <w:b/>
                <w:bCs/>
                <w:color w:val="000099"/>
                <w:szCs w:val="20"/>
                <w:lang w:eastAsia="sl-SI"/>
              </w:rPr>
            </w:pPr>
            <w:r w:rsidRPr="005E4BEA">
              <w:rPr>
                <w:rFonts w:cs="Arial"/>
                <w:b/>
                <w:bCs/>
                <w:color w:val="000099"/>
                <w:szCs w:val="20"/>
                <w:lang w:eastAsia="sl-SI"/>
              </w:rPr>
              <w:t> </w:t>
            </w:r>
          </w:p>
        </w:tc>
        <w:tc>
          <w:tcPr>
            <w:tcW w:w="707" w:type="dxa"/>
            <w:tcBorders>
              <w:top w:val="nil"/>
              <w:left w:val="nil"/>
              <w:bottom w:val="single" w:sz="4" w:space="0" w:color="D9D9D9"/>
              <w:right w:val="single" w:sz="4" w:space="0" w:color="D9D9D9"/>
            </w:tcBorders>
            <w:shd w:val="clear" w:color="000000" w:fill="FFFFFF"/>
            <w:noWrap/>
            <w:vAlign w:val="bottom"/>
            <w:hideMark/>
          </w:tcPr>
          <w:p w14:paraId="0496F4E7"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0,0148</w:t>
            </w:r>
          </w:p>
        </w:tc>
        <w:tc>
          <w:tcPr>
            <w:tcW w:w="720" w:type="dxa"/>
            <w:tcBorders>
              <w:top w:val="nil"/>
              <w:left w:val="nil"/>
              <w:bottom w:val="single" w:sz="4" w:space="0" w:color="D9D9D9"/>
              <w:right w:val="single" w:sz="4" w:space="0" w:color="D9D9D9"/>
            </w:tcBorders>
            <w:shd w:val="clear" w:color="000000" w:fill="FFFFFF"/>
            <w:noWrap/>
            <w:vAlign w:val="bottom"/>
            <w:hideMark/>
          </w:tcPr>
          <w:p w14:paraId="2E3DEA28"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47</w:t>
            </w:r>
          </w:p>
        </w:tc>
      </w:tr>
      <w:tr w:rsidR="00FE461F" w:rsidRPr="005E4BEA" w14:paraId="2810273A" w14:textId="77777777" w:rsidTr="0016774B">
        <w:trPr>
          <w:trHeight w:val="255"/>
        </w:trPr>
        <w:tc>
          <w:tcPr>
            <w:tcW w:w="6232" w:type="dxa"/>
            <w:tcBorders>
              <w:top w:val="nil"/>
              <w:left w:val="single" w:sz="4" w:space="0" w:color="D9D9D9"/>
              <w:bottom w:val="single" w:sz="4" w:space="0" w:color="D9D9D9"/>
              <w:right w:val="single" w:sz="4" w:space="0" w:color="D9D9D9"/>
            </w:tcBorders>
            <w:shd w:val="clear" w:color="000000" w:fill="FFFFFF"/>
            <w:noWrap/>
            <w:vAlign w:val="bottom"/>
            <w:hideMark/>
          </w:tcPr>
          <w:p w14:paraId="54BEBE93"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 receptar  </w:t>
            </w:r>
          </w:p>
        </w:tc>
        <w:tc>
          <w:tcPr>
            <w:tcW w:w="914" w:type="dxa"/>
            <w:tcBorders>
              <w:top w:val="nil"/>
              <w:left w:val="nil"/>
              <w:bottom w:val="single" w:sz="4" w:space="0" w:color="D9D9D9"/>
              <w:right w:val="single" w:sz="4" w:space="0" w:color="D9D9D9"/>
            </w:tcBorders>
            <w:shd w:val="clear" w:color="000000" w:fill="FFFFFF"/>
            <w:noWrap/>
            <w:vAlign w:val="bottom"/>
            <w:hideMark/>
          </w:tcPr>
          <w:p w14:paraId="34A1F029"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39" w:type="dxa"/>
            <w:tcBorders>
              <w:top w:val="nil"/>
              <w:left w:val="nil"/>
              <w:bottom w:val="single" w:sz="4" w:space="0" w:color="D9D9D9"/>
              <w:right w:val="single" w:sz="4" w:space="0" w:color="D9D9D9"/>
            </w:tcBorders>
            <w:shd w:val="clear" w:color="000000" w:fill="FFFFFF"/>
            <w:noWrap/>
            <w:vAlign w:val="bottom"/>
            <w:hideMark/>
          </w:tcPr>
          <w:p w14:paraId="438717CE"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07" w:type="dxa"/>
            <w:tcBorders>
              <w:top w:val="nil"/>
              <w:left w:val="nil"/>
              <w:bottom w:val="single" w:sz="4" w:space="0" w:color="D9D9D9"/>
              <w:right w:val="single" w:sz="4" w:space="0" w:color="D9D9D9"/>
            </w:tcBorders>
            <w:shd w:val="clear" w:color="000000" w:fill="FFFFFF"/>
            <w:noWrap/>
            <w:vAlign w:val="bottom"/>
            <w:hideMark/>
          </w:tcPr>
          <w:p w14:paraId="30A91B8B"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1,0000</w:t>
            </w:r>
          </w:p>
        </w:tc>
        <w:tc>
          <w:tcPr>
            <w:tcW w:w="720" w:type="dxa"/>
            <w:tcBorders>
              <w:top w:val="nil"/>
              <w:left w:val="nil"/>
              <w:bottom w:val="single" w:sz="4" w:space="0" w:color="D9D9D9"/>
              <w:right w:val="single" w:sz="4" w:space="0" w:color="D9D9D9"/>
            </w:tcBorders>
            <w:shd w:val="clear" w:color="000000" w:fill="FFFFFF"/>
            <w:noWrap/>
            <w:vAlign w:val="bottom"/>
            <w:hideMark/>
          </w:tcPr>
          <w:p w14:paraId="629277F0"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43</w:t>
            </w:r>
          </w:p>
        </w:tc>
      </w:tr>
      <w:tr w:rsidR="00FE461F" w:rsidRPr="005E4BEA" w14:paraId="79395CFE" w14:textId="77777777" w:rsidTr="0016774B">
        <w:trPr>
          <w:trHeight w:val="255"/>
        </w:trPr>
        <w:tc>
          <w:tcPr>
            <w:tcW w:w="6232" w:type="dxa"/>
            <w:tcBorders>
              <w:top w:val="nil"/>
              <w:left w:val="single" w:sz="4" w:space="0" w:color="D9D9D9"/>
              <w:bottom w:val="single" w:sz="4" w:space="0" w:color="D9D9D9"/>
              <w:right w:val="single" w:sz="4" w:space="0" w:color="D9D9D9"/>
            </w:tcBorders>
            <w:shd w:val="clear" w:color="000000" w:fill="FFFFFF"/>
            <w:noWrap/>
            <w:vAlign w:val="bottom"/>
            <w:hideMark/>
          </w:tcPr>
          <w:p w14:paraId="0EBDAB46"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farmacevtski tehnik  </w:t>
            </w:r>
          </w:p>
        </w:tc>
        <w:tc>
          <w:tcPr>
            <w:tcW w:w="914" w:type="dxa"/>
            <w:tcBorders>
              <w:top w:val="nil"/>
              <w:left w:val="nil"/>
              <w:bottom w:val="single" w:sz="4" w:space="0" w:color="D9D9D9"/>
              <w:right w:val="single" w:sz="4" w:space="0" w:color="D9D9D9"/>
            </w:tcBorders>
            <w:shd w:val="clear" w:color="000000" w:fill="FFFFFF"/>
            <w:noWrap/>
            <w:vAlign w:val="bottom"/>
            <w:hideMark/>
          </w:tcPr>
          <w:p w14:paraId="1D604FAF"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39" w:type="dxa"/>
            <w:tcBorders>
              <w:top w:val="nil"/>
              <w:left w:val="nil"/>
              <w:bottom w:val="single" w:sz="4" w:space="0" w:color="D9D9D9"/>
              <w:right w:val="single" w:sz="4" w:space="0" w:color="D9D9D9"/>
            </w:tcBorders>
            <w:shd w:val="clear" w:color="000000" w:fill="FFFFFF"/>
            <w:noWrap/>
            <w:vAlign w:val="bottom"/>
            <w:hideMark/>
          </w:tcPr>
          <w:p w14:paraId="12DDA958"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07" w:type="dxa"/>
            <w:tcBorders>
              <w:top w:val="nil"/>
              <w:left w:val="nil"/>
              <w:bottom w:val="single" w:sz="4" w:space="0" w:color="D9D9D9"/>
              <w:right w:val="single" w:sz="4" w:space="0" w:color="D9D9D9"/>
            </w:tcBorders>
            <w:shd w:val="clear" w:color="000000" w:fill="FFFFFF"/>
            <w:noWrap/>
            <w:vAlign w:val="bottom"/>
            <w:hideMark/>
          </w:tcPr>
          <w:p w14:paraId="5CB6545B"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0,5637</w:t>
            </w:r>
          </w:p>
        </w:tc>
        <w:tc>
          <w:tcPr>
            <w:tcW w:w="720" w:type="dxa"/>
            <w:tcBorders>
              <w:top w:val="nil"/>
              <w:left w:val="nil"/>
              <w:bottom w:val="single" w:sz="4" w:space="0" w:color="D9D9D9"/>
              <w:right w:val="single" w:sz="4" w:space="0" w:color="D9D9D9"/>
            </w:tcBorders>
            <w:shd w:val="clear" w:color="000000" w:fill="FFFFFF"/>
            <w:noWrap/>
            <w:vAlign w:val="bottom"/>
            <w:hideMark/>
          </w:tcPr>
          <w:p w14:paraId="59CF1A86"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30</w:t>
            </w:r>
          </w:p>
        </w:tc>
      </w:tr>
      <w:tr w:rsidR="00FE461F" w:rsidRPr="005E4BEA" w14:paraId="2FC41558" w14:textId="77777777" w:rsidTr="0016774B">
        <w:trPr>
          <w:trHeight w:val="255"/>
        </w:trPr>
        <w:tc>
          <w:tcPr>
            <w:tcW w:w="6232" w:type="dxa"/>
            <w:tcBorders>
              <w:top w:val="nil"/>
              <w:left w:val="single" w:sz="4" w:space="0" w:color="D9D9D9"/>
              <w:bottom w:val="single" w:sz="4" w:space="0" w:color="D9D9D9"/>
              <w:right w:val="single" w:sz="4" w:space="0" w:color="D9D9D9"/>
            </w:tcBorders>
            <w:shd w:val="clear" w:color="000000" w:fill="FFFFFF"/>
            <w:noWrap/>
            <w:vAlign w:val="bottom"/>
            <w:hideMark/>
          </w:tcPr>
          <w:p w14:paraId="28B18611"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delavci drugih strok</w:t>
            </w:r>
          </w:p>
        </w:tc>
        <w:tc>
          <w:tcPr>
            <w:tcW w:w="914" w:type="dxa"/>
            <w:tcBorders>
              <w:top w:val="nil"/>
              <w:left w:val="nil"/>
              <w:bottom w:val="single" w:sz="4" w:space="0" w:color="D9D9D9"/>
              <w:right w:val="single" w:sz="4" w:space="0" w:color="D9D9D9"/>
            </w:tcBorders>
            <w:shd w:val="clear" w:color="000000" w:fill="FFFFFF"/>
            <w:noWrap/>
            <w:vAlign w:val="bottom"/>
            <w:hideMark/>
          </w:tcPr>
          <w:p w14:paraId="3D711584"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39" w:type="dxa"/>
            <w:tcBorders>
              <w:top w:val="nil"/>
              <w:left w:val="nil"/>
              <w:bottom w:val="single" w:sz="4" w:space="0" w:color="D9D9D9"/>
              <w:right w:val="single" w:sz="4" w:space="0" w:color="D9D9D9"/>
            </w:tcBorders>
            <w:shd w:val="clear" w:color="000000" w:fill="FFFFFF"/>
            <w:noWrap/>
            <w:vAlign w:val="bottom"/>
            <w:hideMark/>
          </w:tcPr>
          <w:p w14:paraId="36532C8A"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07" w:type="dxa"/>
            <w:tcBorders>
              <w:top w:val="nil"/>
              <w:left w:val="nil"/>
              <w:bottom w:val="single" w:sz="4" w:space="0" w:color="D9D9D9"/>
              <w:right w:val="single" w:sz="4" w:space="0" w:color="D9D9D9"/>
            </w:tcBorders>
            <w:shd w:val="clear" w:color="000000" w:fill="FFFFFF"/>
            <w:noWrap/>
            <w:vAlign w:val="bottom"/>
            <w:hideMark/>
          </w:tcPr>
          <w:p w14:paraId="2FE07DD4"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0,1288</w:t>
            </w:r>
          </w:p>
        </w:tc>
        <w:tc>
          <w:tcPr>
            <w:tcW w:w="720" w:type="dxa"/>
            <w:tcBorders>
              <w:top w:val="nil"/>
              <w:left w:val="nil"/>
              <w:bottom w:val="single" w:sz="4" w:space="0" w:color="D9D9D9"/>
              <w:right w:val="single" w:sz="4" w:space="0" w:color="D9D9D9"/>
            </w:tcBorders>
            <w:shd w:val="clear" w:color="000000" w:fill="FFFFFF"/>
            <w:noWrap/>
            <w:vAlign w:val="bottom"/>
            <w:hideMark/>
          </w:tcPr>
          <w:p w14:paraId="524803BC"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31</w:t>
            </w:r>
          </w:p>
        </w:tc>
      </w:tr>
      <w:tr w:rsidR="00FE461F" w:rsidRPr="005E4BEA" w14:paraId="3467409A" w14:textId="77777777" w:rsidTr="0016774B">
        <w:trPr>
          <w:trHeight w:val="255"/>
        </w:trPr>
        <w:tc>
          <w:tcPr>
            <w:tcW w:w="6232" w:type="dxa"/>
            <w:tcBorders>
              <w:top w:val="nil"/>
              <w:left w:val="single" w:sz="4" w:space="0" w:color="D9D9D9"/>
              <w:bottom w:val="single" w:sz="4" w:space="0" w:color="D9D9D9"/>
              <w:right w:val="single" w:sz="4" w:space="0" w:color="D9D9D9"/>
            </w:tcBorders>
            <w:shd w:val="clear" w:color="000000" w:fill="FFFFFF"/>
            <w:noWrap/>
            <w:vAlign w:val="bottom"/>
            <w:hideMark/>
          </w:tcPr>
          <w:p w14:paraId="1073A6D7"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xml:space="preserve">lekarniški delavec  </w:t>
            </w:r>
          </w:p>
        </w:tc>
        <w:tc>
          <w:tcPr>
            <w:tcW w:w="914" w:type="dxa"/>
            <w:tcBorders>
              <w:top w:val="nil"/>
              <w:left w:val="nil"/>
              <w:bottom w:val="single" w:sz="4" w:space="0" w:color="D9D9D9"/>
              <w:right w:val="single" w:sz="4" w:space="0" w:color="D9D9D9"/>
            </w:tcBorders>
            <w:shd w:val="clear" w:color="000000" w:fill="FFFFFF"/>
            <w:noWrap/>
            <w:vAlign w:val="bottom"/>
            <w:hideMark/>
          </w:tcPr>
          <w:p w14:paraId="3FD43FBA"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39" w:type="dxa"/>
            <w:tcBorders>
              <w:top w:val="nil"/>
              <w:left w:val="nil"/>
              <w:bottom w:val="single" w:sz="4" w:space="0" w:color="D9D9D9"/>
              <w:right w:val="single" w:sz="4" w:space="0" w:color="D9D9D9"/>
            </w:tcBorders>
            <w:shd w:val="clear" w:color="000000" w:fill="FFFFFF"/>
            <w:noWrap/>
            <w:vAlign w:val="bottom"/>
            <w:hideMark/>
          </w:tcPr>
          <w:p w14:paraId="4C9D9032"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07" w:type="dxa"/>
            <w:tcBorders>
              <w:top w:val="nil"/>
              <w:left w:val="nil"/>
              <w:bottom w:val="single" w:sz="4" w:space="0" w:color="D9D9D9"/>
              <w:right w:val="single" w:sz="4" w:space="0" w:color="D9D9D9"/>
            </w:tcBorders>
            <w:shd w:val="clear" w:color="000000" w:fill="FFFFFF"/>
            <w:noWrap/>
            <w:vAlign w:val="bottom"/>
            <w:hideMark/>
          </w:tcPr>
          <w:p w14:paraId="53B1AEE5"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0,1288</w:t>
            </w:r>
          </w:p>
        </w:tc>
        <w:tc>
          <w:tcPr>
            <w:tcW w:w="720" w:type="dxa"/>
            <w:tcBorders>
              <w:top w:val="nil"/>
              <w:left w:val="nil"/>
              <w:bottom w:val="single" w:sz="4" w:space="0" w:color="D9D9D9"/>
              <w:right w:val="single" w:sz="4" w:space="0" w:color="D9D9D9"/>
            </w:tcBorders>
            <w:shd w:val="clear" w:color="000000" w:fill="FFFFFF"/>
            <w:noWrap/>
            <w:vAlign w:val="bottom"/>
            <w:hideMark/>
          </w:tcPr>
          <w:p w14:paraId="628F7423"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17</w:t>
            </w:r>
          </w:p>
        </w:tc>
      </w:tr>
      <w:tr w:rsidR="00FE461F" w:rsidRPr="005E4BEA" w14:paraId="428E2AA8" w14:textId="77777777" w:rsidTr="0016774B">
        <w:trPr>
          <w:trHeight w:val="300"/>
        </w:trPr>
        <w:tc>
          <w:tcPr>
            <w:tcW w:w="6232" w:type="dxa"/>
            <w:tcBorders>
              <w:top w:val="nil"/>
              <w:left w:val="single" w:sz="4" w:space="0" w:color="D9D9D9"/>
              <w:bottom w:val="single" w:sz="4" w:space="0" w:color="auto"/>
              <w:right w:val="nil"/>
            </w:tcBorders>
            <w:shd w:val="clear" w:color="000000" w:fill="FFFFFF"/>
            <w:noWrap/>
            <w:vAlign w:val="bottom"/>
            <w:hideMark/>
          </w:tcPr>
          <w:p w14:paraId="78261E45" w14:textId="77777777" w:rsidR="00FE461F" w:rsidRPr="005E4BEA" w:rsidRDefault="00FE461F" w:rsidP="00FE461F">
            <w:pPr>
              <w:spacing w:line="240" w:lineRule="auto"/>
              <w:ind w:firstLineChars="300" w:firstLine="600"/>
              <w:outlineLvl w:val="0"/>
              <w:rPr>
                <w:rFonts w:cs="Arial"/>
                <w:color w:val="60497A"/>
                <w:szCs w:val="20"/>
                <w:lang w:eastAsia="sl-SI"/>
              </w:rPr>
            </w:pPr>
            <w:r w:rsidRPr="005E4BEA">
              <w:rPr>
                <w:rFonts w:cs="Arial"/>
                <w:color w:val="60497A"/>
                <w:szCs w:val="20"/>
                <w:lang w:eastAsia="sl-SI"/>
              </w:rPr>
              <w:t>- Pri izračunu se upošteva dogovorjeno št. točk 12.466.954 in produktivnost 10.052.</w:t>
            </w:r>
          </w:p>
        </w:tc>
        <w:tc>
          <w:tcPr>
            <w:tcW w:w="914" w:type="dxa"/>
            <w:tcBorders>
              <w:top w:val="nil"/>
              <w:left w:val="nil"/>
              <w:bottom w:val="single" w:sz="4" w:space="0" w:color="auto"/>
              <w:right w:val="nil"/>
            </w:tcBorders>
            <w:shd w:val="clear" w:color="000000" w:fill="FFFFFF"/>
            <w:noWrap/>
            <w:vAlign w:val="bottom"/>
            <w:hideMark/>
          </w:tcPr>
          <w:p w14:paraId="69644476"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39" w:type="dxa"/>
            <w:tcBorders>
              <w:top w:val="nil"/>
              <w:left w:val="nil"/>
              <w:bottom w:val="single" w:sz="4" w:space="0" w:color="auto"/>
              <w:right w:val="nil"/>
            </w:tcBorders>
            <w:shd w:val="clear" w:color="000000" w:fill="FFFFFF"/>
            <w:noWrap/>
            <w:vAlign w:val="bottom"/>
            <w:hideMark/>
          </w:tcPr>
          <w:p w14:paraId="46A34566" w14:textId="77777777" w:rsidR="00FE461F" w:rsidRPr="005E4BEA" w:rsidRDefault="00FE461F" w:rsidP="00FE461F">
            <w:pPr>
              <w:spacing w:line="240" w:lineRule="auto"/>
              <w:jc w:val="right"/>
              <w:outlineLvl w:val="0"/>
              <w:rPr>
                <w:rFonts w:cs="Arial"/>
                <w:szCs w:val="20"/>
                <w:lang w:eastAsia="sl-SI"/>
              </w:rPr>
            </w:pPr>
            <w:r w:rsidRPr="005E4BEA">
              <w:rPr>
                <w:rFonts w:cs="Arial"/>
                <w:szCs w:val="20"/>
                <w:lang w:eastAsia="sl-SI"/>
              </w:rPr>
              <w:t> </w:t>
            </w:r>
          </w:p>
        </w:tc>
        <w:tc>
          <w:tcPr>
            <w:tcW w:w="707" w:type="dxa"/>
            <w:tcBorders>
              <w:top w:val="nil"/>
              <w:left w:val="nil"/>
              <w:bottom w:val="single" w:sz="4" w:space="0" w:color="auto"/>
              <w:right w:val="nil"/>
            </w:tcBorders>
            <w:shd w:val="clear" w:color="000000" w:fill="FFFFFF"/>
            <w:noWrap/>
            <w:vAlign w:val="bottom"/>
            <w:hideMark/>
          </w:tcPr>
          <w:p w14:paraId="00AA2E6E"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w:t>
            </w:r>
          </w:p>
        </w:tc>
        <w:tc>
          <w:tcPr>
            <w:tcW w:w="720" w:type="dxa"/>
            <w:tcBorders>
              <w:top w:val="nil"/>
              <w:left w:val="nil"/>
              <w:bottom w:val="single" w:sz="4" w:space="0" w:color="auto"/>
              <w:right w:val="nil"/>
            </w:tcBorders>
            <w:shd w:val="clear" w:color="000000" w:fill="FFFFFF"/>
            <w:noWrap/>
            <w:vAlign w:val="bottom"/>
            <w:hideMark/>
          </w:tcPr>
          <w:p w14:paraId="1BC3D34E"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 </w:t>
            </w:r>
          </w:p>
        </w:tc>
      </w:tr>
    </w:tbl>
    <w:p w14:paraId="630753C5" w14:textId="77777777" w:rsidR="00FE461F" w:rsidRPr="005E4BEA" w:rsidRDefault="00FE461F" w:rsidP="00FE461F">
      <w:pPr>
        <w:spacing w:line="240" w:lineRule="auto"/>
        <w:jc w:val="both"/>
        <w:rPr>
          <w:rFonts w:cs="Arial"/>
          <w:szCs w:val="20"/>
          <w:lang w:eastAsia="sl-SI"/>
        </w:rPr>
      </w:pPr>
    </w:p>
    <w:p w14:paraId="2B25A1E8" w14:textId="77777777" w:rsidR="00FE461F" w:rsidRPr="005E4BEA" w:rsidRDefault="00FE461F" w:rsidP="00FE461F">
      <w:pPr>
        <w:spacing w:line="240" w:lineRule="auto"/>
        <w:jc w:val="both"/>
        <w:rPr>
          <w:rFonts w:cs="Arial"/>
          <w:szCs w:val="20"/>
          <w:lang w:eastAsia="sl-SI"/>
        </w:rPr>
      </w:pPr>
    </w:p>
    <w:p w14:paraId="5DC105FD" w14:textId="77777777" w:rsidR="00FE461F" w:rsidRPr="005E4BEA" w:rsidRDefault="00FE461F" w:rsidP="00FE461F">
      <w:pPr>
        <w:spacing w:before="240" w:after="60" w:line="240" w:lineRule="auto"/>
        <w:rPr>
          <w:rFonts w:cs="Arial"/>
          <w:b/>
          <w:i/>
          <w:color w:val="808080"/>
          <w:szCs w:val="20"/>
          <w:u w:val="single"/>
          <w:lang w:eastAsia="sl-SI"/>
        </w:rPr>
      </w:pPr>
      <w:r w:rsidRPr="005E4BEA">
        <w:rPr>
          <w:rFonts w:cs="Arial"/>
          <w:b/>
          <w:i/>
          <w:color w:val="808080"/>
          <w:szCs w:val="20"/>
          <w:u w:val="single"/>
          <w:lang w:eastAsia="sl-SI"/>
        </w:rPr>
        <w:t>Obrazložitev:</w:t>
      </w:r>
    </w:p>
    <w:p w14:paraId="510FAA67" w14:textId="77777777" w:rsidR="00FE461F" w:rsidRPr="005E4BEA" w:rsidRDefault="00FE461F" w:rsidP="00FE461F">
      <w:pPr>
        <w:spacing w:line="240" w:lineRule="auto"/>
        <w:jc w:val="both"/>
        <w:rPr>
          <w:rFonts w:cs="Arial"/>
          <w:szCs w:val="20"/>
          <w:lang w:eastAsia="sl-SI"/>
        </w:rPr>
      </w:pPr>
      <w:r w:rsidRPr="005E4BEA">
        <w:rPr>
          <w:rFonts w:eastAsia="Calibri" w:cs="Arial"/>
          <w:i/>
          <w:color w:val="808080"/>
          <w:szCs w:val="20"/>
        </w:rPr>
        <w:t xml:space="preserve">V skladu s sprostitvijo pogojev za napredovanje javnih uslužbencev, ki so bila izvedena v letu 2021, so se realni plačni razredi v lekarniški dejavnosti občutno povečali. Na podlagi opravljene poizvedbe po javnih lekarniških zavodih, je povprečni dvig vseh plačnih razredov ocenjen v dvigu za 2 plačna razreda. S tem v skladu je pripravljen predlog za uskladitev realnega dviga plač s </w:t>
      </w:r>
      <w:proofErr w:type="spellStart"/>
      <w:r w:rsidRPr="005E4BEA">
        <w:rPr>
          <w:rFonts w:eastAsia="Calibri" w:cs="Arial"/>
          <w:i/>
          <w:color w:val="808080"/>
          <w:szCs w:val="20"/>
        </w:rPr>
        <w:t>kalkulativnimi</w:t>
      </w:r>
      <w:proofErr w:type="spellEnd"/>
      <w:r w:rsidRPr="005E4BEA">
        <w:rPr>
          <w:rFonts w:eastAsia="Calibri" w:cs="Arial"/>
          <w:i/>
          <w:color w:val="808080"/>
          <w:szCs w:val="20"/>
        </w:rPr>
        <w:t xml:space="preserve"> elementi stroškov dela v vrednosti lekarniške točke, za vse priznane profile.</w:t>
      </w:r>
    </w:p>
    <w:p w14:paraId="6109160C" w14:textId="77777777" w:rsidR="00FE461F" w:rsidRPr="005E4BEA" w:rsidRDefault="00FE461F" w:rsidP="00FE461F">
      <w:pPr>
        <w:spacing w:line="240" w:lineRule="auto"/>
        <w:jc w:val="both"/>
        <w:rPr>
          <w:rFonts w:cs="Arial"/>
          <w:szCs w:val="20"/>
          <w:lang w:eastAsia="sl-SI"/>
        </w:rPr>
      </w:pPr>
    </w:p>
    <w:p w14:paraId="349FA207"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lastRenderedPageBreak/>
        <w:t>Ocena skupne finančne posledice za lekarniško dejavnost: 2.643.083 EUR (sredstva OZZ in PZZ).</w:t>
      </w:r>
    </w:p>
    <w:p w14:paraId="6B17ADF3" w14:textId="77777777"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*Izračun osnovan na </w:t>
      </w:r>
      <w:proofErr w:type="spellStart"/>
      <w:r w:rsidRPr="005E4BEA">
        <w:rPr>
          <w:rFonts w:eastAsia="Calibri" w:cs="Arial"/>
          <w:i/>
          <w:color w:val="808080"/>
          <w:szCs w:val="20"/>
        </w:rPr>
        <w:t>kalkulativnih</w:t>
      </w:r>
      <w:proofErr w:type="spellEnd"/>
      <w:r w:rsidRPr="005E4BEA">
        <w:rPr>
          <w:rFonts w:eastAsia="Calibri" w:cs="Arial"/>
          <w:i/>
          <w:color w:val="808080"/>
          <w:szCs w:val="20"/>
        </w:rPr>
        <w:t xml:space="preserve"> elementih vrednosti točke na dan 1.1.2022. </w:t>
      </w:r>
    </w:p>
    <w:p w14:paraId="06792117" w14:textId="2C58D17C" w:rsidR="00FE461F" w:rsidRPr="005E4BEA" w:rsidRDefault="00FE461F" w:rsidP="00FE461F">
      <w:pPr>
        <w:spacing w:line="240" w:lineRule="auto"/>
        <w:jc w:val="both"/>
        <w:rPr>
          <w:rFonts w:eastAsia="Calibri" w:cs="Arial"/>
          <w:i/>
          <w:color w:val="808080"/>
          <w:szCs w:val="20"/>
        </w:rPr>
      </w:pPr>
    </w:p>
    <w:p w14:paraId="5C76572A" w14:textId="77777777" w:rsidR="00AE33D3" w:rsidRPr="005E4BEA" w:rsidRDefault="00AE33D3" w:rsidP="00AE33D3">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2FAD35B" w14:textId="77777777" w:rsidR="00AE33D3" w:rsidRPr="005E4BEA" w:rsidRDefault="00AE33D3" w:rsidP="00AE33D3">
      <w:pPr>
        <w:spacing w:line="0" w:lineRule="atLeast"/>
        <w:jc w:val="both"/>
        <w:rPr>
          <w:rFonts w:eastAsia="Arial Narrow" w:cs="Arial"/>
          <w:szCs w:val="20"/>
          <w:lang w:eastAsia="sl-SI"/>
        </w:rPr>
      </w:pPr>
    </w:p>
    <w:p w14:paraId="2B8B1D28" w14:textId="0D92CE21" w:rsidR="00AE33D3" w:rsidRPr="005E4BEA" w:rsidRDefault="00AE33D3" w:rsidP="00AE33D3">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w:t>
      </w:r>
      <w:r w:rsidR="006D4358" w:rsidRPr="005E4BEA">
        <w:rPr>
          <w:rFonts w:eastAsia="Arial Narrow" w:cs="Arial"/>
          <w:bCs/>
          <w:szCs w:val="20"/>
        </w:rPr>
        <w:t>l</w:t>
      </w:r>
      <w:r w:rsidRPr="005E4BEA">
        <w:rPr>
          <w:rFonts w:eastAsia="Arial Narrow" w:cs="Arial"/>
          <w:bCs/>
          <w:szCs w:val="20"/>
        </w:rPr>
        <w:t xml:space="preserve">oga I </w:t>
      </w:r>
      <w:r w:rsidRPr="005E4BEA">
        <w:rPr>
          <w:rFonts w:eastAsiaTheme="minorHAnsi" w:cs="Arial"/>
          <w:bCs/>
          <w:szCs w:val="20"/>
        </w:rPr>
        <w:t>Splošnega dogovora ne spremeni.</w:t>
      </w:r>
    </w:p>
    <w:p w14:paraId="12EA4BDE" w14:textId="77777777" w:rsidR="00AE33D3" w:rsidRPr="005E4BEA" w:rsidRDefault="00AE33D3" w:rsidP="00AE33D3">
      <w:pPr>
        <w:spacing w:line="240" w:lineRule="auto"/>
        <w:jc w:val="both"/>
        <w:rPr>
          <w:rFonts w:cs="Arial"/>
          <w:szCs w:val="20"/>
        </w:rPr>
      </w:pPr>
    </w:p>
    <w:p w14:paraId="26C23521" w14:textId="77777777" w:rsidR="006D4358" w:rsidRPr="005E4BEA" w:rsidRDefault="006D4358" w:rsidP="006D4358">
      <w:pPr>
        <w:spacing w:line="240" w:lineRule="auto"/>
        <w:jc w:val="both"/>
        <w:rPr>
          <w:rFonts w:eastAsia="Calibri" w:cs="Arial"/>
          <w:i/>
          <w:iCs/>
          <w:color w:val="7F7F7F"/>
          <w:szCs w:val="20"/>
        </w:rPr>
      </w:pPr>
    </w:p>
    <w:p w14:paraId="037CEFD6" w14:textId="600EA287"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(115)</w:t>
      </w:r>
    </w:p>
    <w:p w14:paraId="6B0984BC" w14:textId="77777777" w:rsidR="006D4358" w:rsidRPr="005E4BEA" w:rsidRDefault="006D4358" w:rsidP="006D4358">
      <w:pPr>
        <w:spacing w:line="240" w:lineRule="auto"/>
        <w:jc w:val="both"/>
        <w:rPr>
          <w:rFonts w:eastAsia="Arial Narrow" w:cs="Arial"/>
          <w:b/>
          <w:szCs w:val="20"/>
        </w:rPr>
      </w:pPr>
    </w:p>
    <w:p w14:paraId="05FE7C91" w14:textId="582732C4" w:rsidR="00FE461F" w:rsidRPr="005E4BEA" w:rsidRDefault="006D4358" w:rsidP="006D4358">
      <w:pPr>
        <w:spacing w:line="240" w:lineRule="auto"/>
        <w:jc w:val="both"/>
        <w:rPr>
          <w:rFonts w:cs="Arial"/>
          <w:bCs/>
          <w:szCs w:val="20"/>
          <w:lang w:eastAsia="en-GB"/>
        </w:rPr>
      </w:pPr>
      <w:r w:rsidRPr="005E4BEA">
        <w:rPr>
          <w:rFonts w:eastAsia="Arial Narrow" w:cs="Arial"/>
          <w:b/>
          <w:szCs w:val="20"/>
        </w:rPr>
        <w:t xml:space="preserve">Skupnost socialnih zavodov Slovenije </w:t>
      </w:r>
      <w:r w:rsidRPr="005E4BEA">
        <w:rPr>
          <w:rFonts w:eastAsiaTheme="minorHAnsi" w:cs="Arial"/>
          <w:bCs/>
          <w:szCs w:val="20"/>
        </w:rPr>
        <w:t>predlaga, da se v</w:t>
      </w:r>
      <w:r w:rsidR="00FE461F" w:rsidRPr="005E4BEA">
        <w:rPr>
          <w:rFonts w:cs="Arial"/>
          <w:bCs/>
          <w:szCs w:val="20"/>
          <w:lang w:eastAsia="en-GB"/>
        </w:rPr>
        <w:t xml:space="preserve"> prilogi I se spremenijo </w:t>
      </w:r>
      <w:proofErr w:type="spellStart"/>
      <w:r w:rsidR="00FE461F" w:rsidRPr="005E4BEA">
        <w:rPr>
          <w:rFonts w:cs="Arial"/>
          <w:bCs/>
          <w:szCs w:val="20"/>
          <w:lang w:eastAsia="en-GB"/>
        </w:rPr>
        <w:t>kalkulativni</w:t>
      </w:r>
      <w:proofErr w:type="spellEnd"/>
      <w:r w:rsidR="00FE461F" w:rsidRPr="005E4BEA">
        <w:rPr>
          <w:rFonts w:cs="Arial"/>
          <w:bCs/>
          <w:szCs w:val="20"/>
          <w:lang w:eastAsia="en-GB"/>
        </w:rPr>
        <w:t xml:space="preserve"> elementi na način, da se v DSO Polde Eberl-Jamski Izlake prizna: </w:t>
      </w:r>
    </w:p>
    <w:p w14:paraId="0EFD7F7A" w14:textId="77777777" w:rsidR="00FE461F" w:rsidRPr="005E4BEA" w:rsidRDefault="00FE461F" w:rsidP="00F356C9">
      <w:pPr>
        <w:numPr>
          <w:ilvl w:val="0"/>
          <w:numId w:val="70"/>
        </w:numPr>
        <w:spacing w:before="120" w:after="60" w:line="240" w:lineRule="auto"/>
        <w:jc w:val="both"/>
        <w:rPr>
          <w:rFonts w:cs="Arial"/>
          <w:bCs/>
          <w:szCs w:val="20"/>
          <w:lang w:eastAsia="en-GB"/>
        </w:rPr>
      </w:pPr>
      <w:r w:rsidRPr="005E4BEA">
        <w:rPr>
          <w:rFonts w:cs="Arial"/>
          <w:bCs/>
          <w:szCs w:val="20"/>
          <w:lang w:eastAsia="en-GB"/>
        </w:rPr>
        <w:t xml:space="preserve">0,25 zdravnik specialist </w:t>
      </w:r>
    </w:p>
    <w:p w14:paraId="2E1012A9" w14:textId="77777777" w:rsidR="00FE461F" w:rsidRPr="005E4BEA" w:rsidRDefault="00FE461F" w:rsidP="00FE461F">
      <w:pPr>
        <w:spacing w:line="240" w:lineRule="auto"/>
        <w:jc w:val="both"/>
        <w:textAlignment w:val="baseline"/>
        <w:rPr>
          <w:rFonts w:cs="Arial"/>
          <w:szCs w:val="20"/>
          <w:lang w:eastAsia="en-GB"/>
        </w:rPr>
      </w:pPr>
      <w:r w:rsidRPr="005E4BEA">
        <w:rPr>
          <w:rFonts w:cs="Arial"/>
          <w:szCs w:val="20"/>
          <w:lang w:eastAsia="en-GB"/>
        </w:rPr>
        <w:t xml:space="preserve"> </w:t>
      </w:r>
    </w:p>
    <w:p w14:paraId="39A89EBC" w14:textId="77777777" w:rsidR="00FE461F" w:rsidRPr="005E4BEA" w:rsidRDefault="00FE461F" w:rsidP="00FE461F">
      <w:pPr>
        <w:spacing w:before="240" w:after="60"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 xml:space="preserve">Obrazložitev: </w:t>
      </w:r>
    </w:p>
    <w:p w14:paraId="14DE54C3" w14:textId="77777777" w:rsidR="00FE461F" w:rsidRPr="005E4BEA" w:rsidRDefault="00FE461F" w:rsidP="00FE461F">
      <w:pPr>
        <w:spacing w:line="240" w:lineRule="auto"/>
        <w:jc w:val="both"/>
        <w:rPr>
          <w:rFonts w:cs="Arial"/>
          <w:i/>
          <w:color w:val="595959"/>
          <w:szCs w:val="20"/>
          <w:lang w:eastAsia="en-GB"/>
        </w:rPr>
      </w:pPr>
      <w:r w:rsidRPr="005E4BEA">
        <w:rPr>
          <w:rFonts w:cs="Arial"/>
          <w:i/>
          <w:color w:val="808080" w:themeColor="background1" w:themeShade="80"/>
          <w:szCs w:val="20"/>
          <w:lang w:eastAsia="en-GB"/>
        </w:rPr>
        <w:t xml:space="preserve">DSO Izlake je edini dom za starejše v Sloveniji, ki izvaja na podlagi Sklepa Zdravstvenega sveta Zdravstvene skupnosti Slovenije (št. zadeve: 19-16/53-88/2) že od leta 1989 v svoji dejavnosti tudi podaljšano bolnišnično rehabilitacijo bolnikov po preboleli možganski kapi, v sodelovanju z Univerzitetnim inštitutom RS za rehabilitacijo (UIRSR) in Nevrološko kliniko Univerzitetnega kliničnega centra Ljubljana. Gre za program, ki je, glede na spremenjene potrebe zavarovanih oseb zelo potreben in bi ga potrebovali še marsikje po Sloveniji.  DSO ima z ZZZS sklenjeno pogodbo za 5.475 oskrbnih dni (15 postelj). Rezultate programa pohvalijo specialisti fiziatri, ki menijo, da so primerljivi z uspehi rehabilitacije na URI Soča, kljub temu, da v DSO Izlake ni na voljo logopedska obravnava. Bolniki in njihovi svojci so z rehabilitacijo zadovoljni in kar v največji možni meri - glede na </w:t>
      </w:r>
      <w:proofErr w:type="spellStart"/>
      <w:r w:rsidRPr="005E4BEA">
        <w:rPr>
          <w:rFonts w:cs="Arial"/>
          <w:i/>
          <w:color w:val="808080" w:themeColor="background1" w:themeShade="80"/>
          <w:szCs w:val="20"/>
          <w:lang w:eastAsia="en-GB"/>
        </w:rPr>
        <w:t>hemiprizadetost</w:t>
      </w:r>
      <w:proofErr w:type="spellEnd"/>
      <w:r w:rsidRPr="005E4BEA">
        <w:rPr>
          <w:rFonts w:cs="Arial"/>
          <w:i/>
          <w:color w:val="808080" w:themeColor="background1" w:themeShade="80"/>
          <w:szCs w:val="20"/>
          <w:lang w:eastAsia="en-GB"/>
        </w:rPr>
        <w:t xml:space="preserve"> – usposobljeni za življenje v domačem okolju.</w:t>
      </w:r>
      <w:r w:rsidRPr="005E4BEA">
        <w:rPr>
          <w:rFonts w:cs="Arial"/>
          <w:i/>
          <w:color w:val="595959"/>
          <w:szCs w:val="20"/>
          <w:lang w:eastAsia="en-GB"/>
        </w:rPr>
        <w:t xml:space="preserve"> </w:t>
      </w:r>
    </w:p>
    <w:p w14:paraId="306674BD" w14:textId="77777777" w:rsidR="00FE461F" w:rsidRPr="005E4BEA" w:rsidRDefault="00FE461F" w:rsidP="00FE461F">
      <w:pPr>
        <w:spacing w:line="240" w:lineRule="auto"/>
        <w:jc w:val="both"/>
        <w:rPr>
          <w:rFonts w:eastAsia="Calibri" w:cs="Arial"/>
          <w:i/>
          <w:color w:val="808080" w:themeColor="background1" w:themeShade="80"/>
          <w:szCs w:val="20"/>
          <w:lang w:eastAsia="en-GB"/>
        </w:rPr>
      </w:pPr>
      <w:r w:rsidRPr="005E4BEA">
        <w:rPr>
          <w:rFonts w:eastAsia="Calibri" w:cs="Arial"/>
          <w:i/>
          <w:color w:val="808080" w:themeColor="background1" w:themeShade="80"/>
          <w:szCs w:val="20"/>
          <w:lang w:eastAsia="en-GB"/>
        </w:rPr>
        <w:t xml:space="preserve">Rehabilitacijski tim, ki skrbi za rehabilitacijo bolnika s tako zahtevnim in hudim obolenjem, kot je možganska kap, nujno potrebuje nosilca dejavnosti - zdravnika specialista, saj je tudi iz doktrinarnega vidika pravzaprav nedopustno, da v rehabilitacijski tim, kateremu je zaupan bolnik za obdobje 6 tednov, ni vključen zdravnik, saj je potrebna stalna kontrola in spremljanje bolnikovega stanja. Namreč ti bolniki, polega </w:t>
      </w:r>
      <w:proofErr w:type="spellStart"/>
      <w:r w:rsidRPr="005E4BEA">
        <w:rPr>
          <w:rFonts w:eastAsia="Calibri" w:cs="Arial"/>
          <w:i/>
          <w:color w:val="808080" w:themeColor="background1" w:themeShade="80"/>
          <w:szCs w:val="20"/>
          <w:lang w:eastAsia="en-GB"/>
        </w:rPr>
        <w:t>fiziatrične</w:t>
      </w:r>
      <w:proofErr w:type="spellEnd"/>
      <w:r w:rsidRPr="005E4BEA">
        <w:rPr>
          <w:rFonts w:eastAsia="Calibri" w:cs="Arial"/>
          <w:i/>
          <w:color w:val="808080" w:themeColor="background1" w:themeShade="80"/>
          <w:szCs w:val="20"/>
          <w:lang w:eastAsia="en-GB"/>
        </w:rPr>
        <w:t xml:space="preserve"> obravnave, nujno potrebujejo tudi internistično obravnavo, saj so to večinoma bolniki s kroničnimi obolenji, ki potrebujejo stalni nadzor in terapijo (</w:t>
      </w:r>
      <w:proofErr w:type="spellStart"/>
      <w:r w:rsidRPr="005E4BEA">
        <w:rPr>
          <w:rFonts w:eastAsia="Calibri" w:cs="Arial"/>
          <w:i/>
          <w:color w:val="808080" w:themeColor="background1" w:themeShade="80"/>
          <w:szCs w:val="20"/>
          <w:lang w:eastAsia="en-GB"/>
        </w:rPr>
        <w:t>antikoagulantna</w:t>
      </w:r>
      <w:proofErr w:type="spellEnd"/>
      <w:r w:rsidRPr="005E4BEA">
        <w:rPr>
          <w:rFonts w:eastAsia="Calibri" w:cs="Arial"/>
          <w:i/>
          <w:color w:val="808080" w:themeColor="background1" w:themeShade="80"/>
          <w:szCs w:val="20"/>
          <w:lang w:eastAsia="en-GB"/>
        </w:rPr>
        <w:t xml:space="preserve"> terapija, terapija sladkorne bolezni, terapija pri arterijski hipertenziji). Zaradi tega v tim DSO Izlake vključujejo zdravnike specialiste - fiziatre iz Univerzitetnega rehabilitacijskega inštituta RS - Soča ter specialistko družinske medicine, ki v povprečju opravijo 43 ur na mesec. Tako letno  preko pogodb plačajo 12. 000 EUR - kar predstavlja za DSO zelo velik strošek. Zaradi omenjenih dejstev DSO Izlake predlaga za pogajanja v SD za pogodbeno leto 2022, da se v rehabilitacijski tim, ki se upošteva pri </w:t>
      </w:r>
      <w:proofErr w:type="spellStart"/>
      <w:r w:rsidRPr="005E4BEA">
        <w:rPr>
          <w:rFonts w:eastAsia="Calibri" w:cs="Arial"/>
          <w:i/>
          <w:color w:val="808080" w:themeColor="background1" w:themeShade="80"/>
          <w:szCs w:val="20"/>
          <w:lang w:eastAsia="en-GB"/>
        </w:rPr>
        <w:t>kalkulativni</w:t>
      </w:r>
      <w:proofErr w:type="spellEnd"/>
      <w:r w:rsidRPr="005E4BEA">
        <w:rPr>
          <w:rFonts w:eastAsia="Calibri" w:cs="Arial"/>
          <w:i/>
          <w:color w:val="808080" w:themeColor="background1" w:themeShade="80"/>
          <w:szCs w:val="20"/>
          <w:lang w:eastAsia="en-GB"/>
        </w:rPr>
        <w:t xml:space="preserve"> osnovi za izračun cene podaljšane bolnišnične rehabilitacije po možganski kapi vključi še 0,25 zdravnika specialista.</w:t>
      </w:r>
    </w:p>
    <w:p w14:paraId="65993D77" w14:textId="77777777" w:rsidR="00FE461F" w:rsidRPr="005E4BEA" w:rsidRDefault="00FE461F" w:rsidP="00FE461F">
      <w:pPr>
        <w:spacing w:line="240" w:lineRule="auto"/>
        <w:jc w:val="both"/>
        <w:rPr>
          <w:rFonts w:eastAsia="Calibri" w:cs="Arial"/>
          <w:b/>
          <w:bCs/>
          <w:i/>
          <w:color w:val="808080" w:themeColor="background1" w:themeShade="80"/>
          <w:szCs w:val="20"/>
          <w:lang w:eastAsia="en-GB"/>
        </w:rPr>
      </w:pPr>
    </w:p>
    <w:p w14:paraId="42D7F105" w14:textId="6A08F405" w:rsidR="00FE461F" w:rsidRPr="005E4BEA" w:rsidRDefault="00FE461F" w:rsidP="00FE461F">
      <w:pPr>
        <w:spacing w:line="240" w:lineRule="auto"/>
        <w:jc w:val="both"/>
        <w:rPr>
          <w:rFonts w:eastAsia="Calibri" w:cs="Arial"/>
          <w:b/>
          <w:bCs/>
          <w:i/>
          <w:color w:val="595959"/>
          <w:szCs w:val="20"/>
          <w:lang w:eastAsia="en-GB"/>
        </w:rPr>
      </w:pPr>
      <w:r w:rsidRPr="005E4BEA">
        <w:rPr>
          <w:rFonts w:eastAsia="Calibri" w:cs="Arial"/>
          <w:b/>
          <w:bCs/>
          <w:i/>
          <w:color w:val="808080" w:themeColor="background1" w:themeShade="80"/>
          <w:szCs w:val="20"/>
          <w:lang w:eastAsia="en-GB"/>
        </w:rPr>
        <w:t>Finančne posledice: 12.000 EUR</w:t>
      </w:r>
      <w:r w:rsidRPr="005E4BEA">
        <w:rPr>
          <w:rFonts w:eastAsia="Calibri" w:cs="Arial"/>
          <w:b/>
          <w:bCs/>
          <w:i/>
          <w:color w:val="595959"/>
          <w:szCs w:val="20"/>
          <w:lang w:eastAsia="en-GB"/>
        </w:rPr>
        <w:t xml:space="preserve"> </w:t>
      </w:r>
    </w:p>
    <w:p w14:paraId="74864452" w14:textId="77777777" w:rsidR="006D4358" w:rsidRPr="005E4BEA" w:rsidRDefault="006D4358" w:rsidP="00FE461F">
      <w:pPr>
        <w:spacing w:line="240" w:lineRule="auto"/>
        <w:jc w:val="both"/>
        <w:rPr>
          <w:rFonts w:eastAsia="Calibri" w:cs="Arial"/>
          <w:b/>
          <w:bCs/>
          <w:i/>
          <w:color w:val="595959"/>
          <w:szCs w:val="20"/>
          <w:lang w:eastAsia="en-GB"/>
        </w:rPr>
      </w:pPr>
    </w:p>
    <w:p w14:paraId="1D5F259B" w14:textId="77777777" w:rsidR="00C7272F" w:rsidRPr="005E4BEA" w:rsidRDefault="006D4358" w:rsidP="006D435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r w:rsidR="00C7272F" w:rsidRPr="005E4BEA">
        <w:rPr>
          <w:rFonts w:eastAsia="Arial Narrow" w:cs="Arial"/>
          <w:szCs w:val="20"/>
        </w:rPr>
        <w:t xml:space="preserve">, saj zavod zagotovo nima dovoljenja za opravljanje specialistične dejavnosti . </w:t>
      </w:r>
    </w:p>
    <w:p w14:paraId="34BBBE95" w14:textId="77777777" w:rsidR="00C7272F" w:rsidRPr="005E4BEA" w:rsidRDefault="00C7272F" w:rsidP="006D4358">
      <w:pPr>
        <w:autoSpaceDE w:val="0"/>
        <w:autoSpaceDN w:val="0"/>
        <w:adjustRightInd w:val="0"/>
        <w:spacing w:line="0" w:lineRule="atLeast"/>
        <w:jc w:val="both"/>
        <w:rPr>
          <w:rFonts w:eastAsia="Arial Narrow" w:cs="Arial"/>
          <w:szCs w:val="20"/>
        </w:rPr>
      </w:pPr>
    </w:p>
    <w:p w14:paraId="02C76C29" w14:textId="77777777" w:rsidR="006D4358" w:rsidRPr="005E4BEA" w:rsidRDefault="006D4358" w:rsidP="006D4358">
      <w:pPr>
        <w:spacing w:line="0" w:lineRule="atLeast"/>
        <w:jc w:val="both"/>
        <w:rPr>
          <w:rFonts w:eastAsia="Arial Narrow" w:cs="Arial"/>
          <w:szCs w:val="20"/>
          <w:lang w:eastAsia="sl-SI"/>
        </w:rPr>
      </w:pPr>
    </w:p>
    <w:p w14:paraId="378D2468" w14:textId="5DF7FC31" w:rsidR="006D4358" w:rsidRPr="005E4BEA" w:rsidRDefault="006D4358" w:rsidP="006D4358">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 </w:t>
      </w:r>
      <w:r w:rsidRPr="005E4BEA">
        <w:rPr>
          <w:rFonts w:eastAsiaTheme="minorHAnsi" w:cs="Arial"/>
          <w:bCs/>
          <w:szCs w:val="20"/>
        </w:rPr>
        <w:t>Splošnega dogovora ne spremeni.</w:t>
      </w:r>
    </w:p>
    <w:p w14:paraId="3CBA7683" w14:textId="651FE867" w:rsidR="006D4358" w:rsidRDefault="006D4358" w:rsidP="006D4358">
      <w:pPr>
        <w:spacing w:line="240" w:lineRule="auto"/>
        <w:jc w:val="both"/>
        <w:rPr>
          <w:rFonts w:cs="Arial"/>
          <w:szCs w:val="20"/>
        </w:rPr>
      </w:pPr>
    </w:p>
    <w:p w14:paraId="14239F7F" w14:textId="35AA8A14" w:rsidR="00E82B4D" w:rsidRDefault="00E82B4D" w:rsidP="006D4358">
      <w:pPr>
        <w:spacing w:line="240" w:lineRule="auto"/>
        <w:jc w:val="both"/>
        <w:rPr>
          <w:rFonts w:cs="Arial"/>
          <w:szCs w:val="20"/>
        </w:rPr>
      </w:pPr>
    </w:p>
    <w:p w14:paraId="6A7FEAEB" w14:textId="4864286A" w:rsidR="00E82B4D" w:rsidRDefault="00E82B4D" w:rsidP="006D4358">
      <w:pPr>
        <w:spacing w:line="240" w:lineRule="auto"/>
        <w:jc w:val="both"/>
        <w:rPr>
          <w:rFonts w:cs="Arial"/>
          <w:szCs w:val="20"/>
        </w:rPr>
      </w:pPr>
    </w:p>
    <w:p w14:paraId="456F4BB1" w14:textId="77777777" w:rsidR="00E82B4D" w:rsidRPr="005E4BEA" w:rsidRDefault="00E82B4D" w:rsidP="006D4358">
      <w:pPr>
        <w:spacing w:line="240" w:lineRule="auto"/>
        <w:jc w:val="both"/>
        <w:rPr>
          <w:rFonts w:cs="Arial"/>
          <w:szCs w:val="20"/>
        </w:rPr>
      </w:pPr>
    </w:p>
    <w:p w14:paraId="27635D25" w14:textId="49EC8696"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(116)</w:t>
      </w:r>
    </w:p>
    <w:p w14:paraId="29F92EA8" w14:textId="77777777" w:rsidR="006D4358" w:rsidRPr="005E4BEA" w:rsidRDefault="006D4358" w:rsidP="006D4358">
      <w:pPr>
        <w:spacing w:line="240" w:lineRule="auto"/>
        <w:jc w:val="both"/>
        <w:rPr>
          <w:rFonts w:eastAsia="Arial Narrow" w:cs="Arial"/>
          <w:b/>
          <w:szCs w:val="20"/>
        </w:rPr>
      </w:pPr>
    </w:p>
    <w:p w14:paraId="4C6C1596" w14:textId="6A434F29" w:rsidR="00FE461F" w:rsidRPr="005E4BEA" w:rsidRDefault="006D4358" w:rsidP="006D4358">
      <w:pPr>
        <w:spacing w:line="240" w:lineRule="auto"/>
        <w:jc w:val="both"/>
        <w:rPr>
          <w:rFonts w:cs="Arial"/>
          <w:bCs/>
          <w:szCs w:val="20"/>
        </w:rPr>
      </w:pPr>
      <w:r w:rsidRPr="005E4BEA">
        <w:rPr>
          <w:rFonts w:eastAsia="Arial Narrow" w:cs="Arial"/>
          <w:b/>
          <w:szCs w:val="20"/>
        </w:rPr>
        <w:t xml:space="preserve">Zavod za zdravstveno zavarovanje Slovenije </w:t>
      </w:r>
      <w:r w:rsidRPr="005E4BEA">
        <w:rPr>
          <w:rFonts w:eastAsiaTheme="minorHAnsi" w:cs="Arial"/>
          <w:bCs/>
          <w:szCs w:val="20"/>
        </w:rPr>
        <w:t>predlaga, da se v</w:t>
      </w:r>
      <w:r w:rsidR="00FE461F" w:rsidRPr="005E4BEA">
        <w:rPr>
          <w:rFonts w:cs="Arial"/>
          <w:bCs/>
          <w:szCs w:val="20"/>
        </w:rPr>
        <w:t xml:space="preserve"> Prilogi III/a v 1. točki (Ambulante družinske oziroma splošne medicine, otroškega in šolskega dispanzerja in referenčne ambulante) v (6) odstavku se prvi stavek spremeni tako, da se glasi:</w:t>
      </w:r>
    </w:p>
    <w:p w14:paraId="6984E6CB" w14:textId="77777777" w:rsidR="00FE461F" w:rsidRPr="005E4BEA" w:rsidRDefault="00FE461F" w:rsidP="00FE461F">
      <w:pPr>
        <w:spacing w:line="120" w:lineRule="exact"/>
        <w:jc w:val="both"/>
        <w:rPr>
          <w:rFonts w:cs="Arial"/>
          <w:szCs w:val="20"/>
        </w:rPr>
      </w:pPr>
    </w:p>
    <w:p w14:paraId="2A96E8A4" w14:textId="77777777" w:rsidR="00FE461F" w:rsidRPr="005E4BEA" w:rsidRDefault="00FE461F" w:rsidP="00FE461F">
      <w:pPr>
        <w:spacing w:line="240" w:lineRule="exact"/>
        <w:jc w:val="both"/>
        <w:rPr>
          <w:rFonts w:cs="Arial"/>
          <w:szCs w:val="20"/>
        </w:rPr>
      </w:pPr>
      <w:r w:rsidRPr="005E4BEA">
        <w:rPr>
          <w:rFonts w:cs="Arial"/>
          <w:szCs w:val="20"/>
        </w:rPr>
        <w:t xml:space="preserve">»Izvajalec družinske oziroma splošne medicine, otroškega in šolskega dispanzerja, ki je zaposlil dodatnega zdravnika na podlagi širitev iz Dogovora (dodatni timi) </w:t>
      </w:r>
      <w:r w:rsidRPr="005E4BEA">
        <w:rPr>
          <w:rFonts w:cs="Arial"/>
          <w:b/>
          <w:bCs/>
          <w:szCs w:val="20"/>
        </w:rPr>
        <w:t>in ob zaposlitvi nima opredeljenih zavarovanih oseb</w:t>
      </w:r>
      <w:r w:rsidRPr="005E4BEA">
        <w:rPr>
          <w:rFonts w:cs="Arial"/>
          <w:szCs w:val="20"/>
        </w:rPr>
        <w:t>, prejme za dodatni tim prvi dve leti 80 % sredstev iz kalkulacije za ambulanto družinske oziroma splošne medicine (302 001) oziroma za otroški in šolski dispanzer (327 009), in sicer v deležu, ki ga z urnikom zagotavlja dodatni zdravnik z ustrezno licenco.«</w:t>
      </w:r>
    </w:p>
    <w:p w14:paraId="7A67AED2" w14:textId="77777777" w:rsidR="00FE461F" w:rsidRPr="005E4BEA" w:rsidRDefault="00FE461F" w:rsidP="00FE461F">
      <w:pPr>
        <w:spacing w:line="120" w:lineRule="exact"/>
        <w:jc w:val="both"/>
        <w:rPr>
          <w:rFonts w:cs="Arial"/>
          <w:szCs w:val="20"/>
        </w:rPr>
      </w:pPr>
    </w:p>
    <w:p w14:paraId="76AAA6EC" w14:textId="77777777" w:rsidR="00FE461F" w:rsidRPr="005E4BEA" w:rsidRDefault="00FE461F" w:rsidP="00FE461F">
      <w:pPr>
        <w:spacing w:line="240" w:lineRule="exact"/>
        <w:jc w:val="both"/>
        <w:rPr>
          <w:rFonts w:eastAsia="Arial Narrow" w:cs="Arial"/>
          <w:szCs w:val="20"/>
        </w:rPr>
      </w:pPr>
      <w:r w:rsidRPr="005E4BEA">
        <w:rPr>
          <w:rFonts w:eastAsia="Arial Narrow" w:cs="Arial"/>
          <w:szCs w:val="20"/>
        </w:rPr>
        <w:t>Sprememba velja od 1. 1. 2022 naprej.</w:t>
      </w:r>
    </w:p>
    <w:p w14:paraId="0BD296A9" w14:textId="77777777" w:rsidR="00FE461F" w:rsidRPr="005E4BEA" w:rsidRDefault="00FE461F" w:rsidP="00FE461F">
      <w:pPr>
        <w:spacing w:line="240" w:lineRule="exact"/>
        <w:jc w:val="both"/>
        <w:rPr>
          <w:rFonts w:eastAsia="Arial Narrow" w:cs="Arial"/>
          <w:szCs w:val="20"/>
        </w:rPr>
      </w:pPr>
    </w:p>
    <w:p w14:paraId="28EA8CAA"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4923233C" w14:textId="762F14AB"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da se pavšal v višini 80 % sredstev kalkulacije za ambulanto družinske oziroma splošne medicine prvi dve leti zagotovi samo nosilcem tima, ki vstopajo v javno mrežo brez opredeljenih zavarovanih oseb. V primeru, da ima nosilec tima že opredeljene osebe, pa se mu poveča obseg zaposlitve v okviru javne zdravstvene mreže oziroma se mu pri obračunu upoštevajo </w:t>
      </w:r>
      <w:proofErr w:type="spellStart"/>
      <w:r w:rsidRPr="005E4BEA">
        <w:rPr>
          <w:rFonts w:eastAsiaTheme="minorHAnsi" w:cs="Arial"/>
          <w:i/>
          <w:color w:val="808080" w:themeColor="background1" w:themeShade="80"/>
          <w:szCs w:val="20"/>
        </w:rPr>
        <w:t>glavarinski</w:t>
      </w:r>
      <w:proofErr w:type="spellEnd"/>
      <w:r w:rsidRPr="005E4BEA">
        <w:rPr>
          <w:rFonts w:eastAsiaTheme="minorHAnsi" w:cs="Arial"/>
          <w:i/>
          <w:color w:val="808080" w:themeColor="background1" w:themeShade="80"/>
          <w:szCs w:val="20"/>
        </w:rPr>
        <w:t xml:space="preserve"> količniki in ne pavšal.</w:t>
      </w:r>
    </w:p>
    <w:p w14:paraId="0738D14C" w14:textId="77777777" w:rsidR="006D4358" w:rsidRPr="005E4BEA" w:rsidRDefault="006D4358" w:rsidP="00FE461F">
      <w:pPr>
        <w:spacing w:line="240" w:lineRule="auto"/>
        <w:jc w:val="both"/>
        <w:rPr>
          <w:rFonts w:eastAsiaTheme="minorHAnsi" w:cs="Arial"/>
          <w:i/>
          <w:color w:val="808080" w:themeColor="background1" w:themeShade="80"/>
          <w:szCs w:val="20"/>
        </w:rPr>
      </w:pPr>
    </w:p>
    <w:p w14:paraId="640B879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Finančne posledice: - </w:t>
      </w:r>
    </w:p>
    <w:p w14:paraId="2CD27200" w14:textId="77777777" w:rsidR="006D4358" w:rsidRPr="005E4BEA" w:rsidRDefault="006D4358" w:rsidP="006D4358">
      <w:pPr>
        <w:spacing w:line="240" w:lineRule="auto"/>
        <w:jc w:val="both"/>
        <w:rPr>
          <w:rFonts w:eastAsia="Calibri" w:cs="Arial"/>
          <w:b/>
          <w:bCs/>
          <w:i/>
          <w:color w:val="595959"/>
          <w:szCs w:val="20"/>
          <w:lang w:eastAsia="en-GB"/>
        </w:rPr>
      </w:pPr>
    </w:p>
    <w:p w14:paraId="4BF14728" w14:textId="77777777" w:rsidR="001459C0" w:rsidRPr="005E4BEA" w:rsidRDefault="006D4358" w:rsidP="006F12D8">
      <w:pPr>
        <w:jc w:val="both"/>
        <w:rPr>
          <w:rFonts w:cs="Arial"/>
          <w:szCs w:val="20"/>
        </w:rPr>
      </w:pPr>
      <w:r w:rsidRPr="005E4BEA">
        <w:rPr>
          <w:rFonts w:eastAsia="Arial Narrow" w:cs="Arial"/>
          <w:b/>
          <w:szCs w:val="20"/>
        </w:rPr>
        <w:t>Stališče Ministrstva za zdravje:</w:t>
      </w:r>
      <w:r w:rsidRPr="005E4BEA">
        <w:rPr>
          <w:rFonts w:eastAsia="Arial Narrow" w:cs="Arial"/>
          <w:szCs w:val="20"/>
        </w:rPr>
        <w:t xml:space="preserve"> </w:t>
      </w:r>
      <w:r w:rsidRPr="005E4BEA">
        <w:rPr>
          <w:rFonts w:cs="Arial"/>
          <w:szCs w:val="20"/>
        </w:rPr>
        <w:t xml:space="preserve">Ministrstvo za zdravje se </w:t>
      </w:r>
      <w:r w:rsidR="001459C0" w:rsidRPr="005E4BEA">
        <w:rPr>
          <w:rFonts w:cs="Arial"/>
          <w:szCs w:val="20"/>
        </w:rPr>
        <w:t xml:space="preserve">ne </w:t>
      </w:r>
      <w:r w:rsidRPr="005E4BEA">
        <w:rPr>
          <w:rFonts w:cs="Arial"/>
          <w:szCs w:val="20"/>
        </w:rPr>
        <w:t>strinja s predlogom</w:t>
      </w:r>
      <w:r w:rsidR="00CC1BBF" w:rsidRPr="005E4BEA">
        <w:rPr>
          <w:rFonts w:cs="Arial"/>
          <w:szCs w:val="20"/>
        </w:rPr>
        <w:t xml:space="preserve"> </w:t>
      </w:r>
      <w:r w:rsidR="001459C0" w:rsidRPr="005E4BEA">
        <w:rPr>
          <w:rFonts w:cs="Arial"/>
          <w:szCs w:val="20"/>
        </w:rPr>
        <w:t>.</w:t>
      </w:r>
    </w:p>
    <w:p w14:paraId="761ED95B" w14:textId="77777777" w:rsidR="001459C0" w:rsidRPr="005E4BEA" w:rsidRDefault="001459C0" w:rsidP="006F12D8">
      <w:pPr>
        <w:jc w:val="both"/>
        <w:rPr>
          <w:rFonts w:cs="Arial"/>
          <w:szCs w:val="20"/>
        </w:rPr>
      </w:pPr>
    </w:p>
    <w:p w14:paraId="70F28920" w14:textId="77777777" w:rsidR="006D4358" w:rsidRPr="005E4BEA" w:rsidRDefault="006D4358" w:rsidP="006F12D8">
      <w:pPr>
        <w:spacing w:line="0" w:lineRule="atLeast"/>
        <w:jc w:val="both"/>
        <w:rPr>
          <w:rFonts w:eastAsia="Arial Narrow" w:cs="Arial"/>
          <w:szCs w:val="20"/>
          <w:lang w:eastAsia="sl-SI"/>
        </w:rPr>
      </w:pPr>
    </w:p>
    <w:p w14:paraId="1CC327BA" w14:textId="21460560" w:rsidR="006F12D8" w:rsidRPr="005E4BEA" w:rsidRDefault="006D4358" w:rsidP="006F12D8">
      <w:pPr>
        <w:jc w:val="both"/>
        <w:rPr>
          <w:rFonts w:eastAsia="Calibri" w:cs="Arial"/>
          <w:szCs w:val="20"/>
          <w:lang w:eastAsia="sl-SI"/>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34" w:name="_Hlk102478728"/>
      <w:bookmarkStart w:id="135" w:name="_Hlk102643282"/>
      <w:r w:rsidRPr="005E4BEA">
        <w:rPr>
          <w:rFonts w:eastAsia="Arial Narrow" w:cs="Arial"/>
          <w:bCs/>
          <w:szCs w:val="20"/>
        </w:rPr>
        <w:t xml:space="preserve">da </w:t>
      </w:r>
      <w:bookmarkStart w:id="136" w:name="_Hlk102549564"/>
      <w:bookmarkEnd w:id="134"/>
      <w:r w:rsidR="006F12D8" w:rsidRPr="005E4BEA">
        <w:rPr>
          <w:rFonts w:cs="Arial"/>
          <w:szCs w:val="20"/>
        </w:rPr>
        <w:t>s</w:t>
      </w:r>
      <w:r w:rsidR="001459C0" w:rsidRPr="005E4BEA">
        <w:rPr>
          <w:rFonts w:cs="Arial"/>
          <w:szCs w:val="20"/>
        </w:rPr>
        <w:t>e</w:t>
      </w:r>
      <w:r w:rsidR="006F12D8" w:rsidRPr="005E4BEA">
        <w:rPr>
          <w:rFonts w:cs="Arial"/>
          <w:szCs w:val="20"/>
        </w:rPr>
        <w:t xml:space="preserve"> </w:t>
      </w:r>
      <w:r w:rsidR="006F12D8" w:rsidRPr="005E4BEA">
        <w:rPr>
          <w:rFonts w:eastAsia="Calibri" w:cs="Arial"/>
          <w:szCs w:val="20"/>
          <w:lang w:eastAsia="sl-SI"/>
        </w:rPr>
        <w:t>Prilog</w:t>
      </w:r>
      <w:r w:rsidR="001459C0" w:rsidRPr="005E4BEA">
        <w:rPr>
          <w:rFonts w:eastAsia="Calibri" w:cs="Arial"/>
          <w:szCs w:val="20"/>
          <w:lang w:eastAsia="sl-SI"/>
        </w:rPr>
        <w:t>a</w:t>
      </w:r>
      <w:r w:rsidR="006F12D8" w:rsidRPr="005E4BEA">
        <w:rPr>
          <w:rFonts w:eastAsia="Calibri" w:cs="Arial"/>
          <w:szCs w:val="20"/>
          <w:lang w:eastAsia="sl-SI"/>
        </w:rPr>
        <w:t xml:space="preserve"> III/a </w:t>
      </w:r>
      <w:r w:rsidR="001459C0" w:rsidRPr="005E4BEA">
        <w:rPr>
          <w:rFonts w:eastAsia="Calibri" w:cs="Arial"/>
          <w:szCs w:val="20"/>
          <w:lang w:eastAsia="sl-SI"/>
        </w:rPr>
        <w:t xml:space="preserve">Splošnega dogovora ne spremeni. </w:t>
      </w:r>
    </w:p>
    <w:bookmarkEnd w:id="136"/>
    <w:bookmarkEnd w:id="135"/>
    <w:p w14:paraId="225F96F9" w14:textId="77777777" w:rsidR="006D4358" w:rsidRPr="005E4BEA" w:rsidRDefault="006D4358" w:rsidP="006D4358">
      <w:pPr>
        <w:spacing w:line="240" w:lineRule="auto"/>
        <w:jc w:val="both"/>
        <w:rPr>
          <w:rFonts w:eastAsia="Calibri" w:cs="Arial"/>
          <w:i/>
          <w:iCs/>
          <w:color w:val="7F7F7F"/>
          <w:szCs w:val="20"/>
        </w:rPr>
      </w:pPr>
    </w:p>
    <w:p w14:paraId="482F8621" w14:textId="06D36007"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(117)</w:t>
      </w:r>
    </w:p>
    <w:p w14:paraId="62397841" w14:textId="77777777" w:rsidR="006D4358" w:rsidRPr="005E4BEA" w:rsidRDefault="006D4358" w:rsidP="006D4358">
      <w:pPr>
        <w:spacing w:line="240" w:lineRule="auto"/>
        <w:jc w:val="both"/>
        <w:rPr>
          <w:rFonts w:eastAsia="Arial Narrow" w:cs="Arial"/>
          <w:b/>
          <w:szCs w:val="20"/>
        </w:rPr>
      </w:pPr>
    </w:p>
    <w:p w14:paraId="390C24B4" w14:textId="3F1A096A" w:rsidR="00FE461F" w:rsidRPr="005E4BEA" w:rsidRDefault="006D4358" w:rsidP="00FE461F">
      <w:pPr>
        <w:spacing w:line="240" w:lineRule="auto"/>
        <w:jc w:val="both"/>
        <w:rPr>
          <w:rFonts w:eastAsia="Arial Narrow" w:cs="Arial"/>
          <w:bCs/>
          <w:szCs w:val="20"/>
        </w:rPr>
      </w:pPr>
      <w:r w:rsidRPr="005E4BEA">
        <w:rPr>
          <w:rFonts w:eastAsia="Arial Narrow" w:cs="Arial"/>
          <w:b/>
          <w:szCs w:val="20"/>
        </w:rPr>
        <w:t xml:space="preserve">Zavod za zdravstveno zavarovanje Slovenije </w:t>
      </w:r>
      <w:r w:rsidRPr="005E4BEA">
        <w:rPr>
          <w:rFonts w:eastAsiaTheme="minorHAnsi" w:cs="Arial"/>
          <w:bCs/>
          <w:szCs w:val="20"/>
        </w:rPr>
        <w:t>predlaga, da se v</w:t>
      </w:r>
      <w:r w:rsidRPr="005E4BEA">
        <w:rPr>
          <w:rFonts w:cs="Arial"/>
          <w:bCs/>
          <w:szCs w:val="20"/>
        </w:rPr>
        <w:t xml:space="preserve"> Prilogi III/a </w:t>
      </w:r>
      <w:r w:rsidR="00FE461F" w:rsidRPr="005E4BEA">
        <w:rPr>
          <w:rFonts w:eastAsia="Arial Narrow" w:cs="Arial"/>
          <w:bCs/>
          <w:szCs w:val="20"/>
        </w:rPr>
        <w:t>briše 9. točko (»Ločeno zaračunljivi materiali«).</w:t>
      </w:r>
    </w:p>
    <w:p w14:paraId="21E8D7A6" w14:textId="77777777" w:rsidR="00FE461F" w:rsidRPr="005E4BEA" w:rsidRDefault="00FE461F" w:rsidP="00FE461F">
      <w:pPr>
        <w:spacing w:line="120" w:lineRule="auto"/>
        <w:jc w:val="both"/>
        <w:rPr>
          <w:rFonts w:cs="Arial"/>
          <w:szCs w:val="20"/>
        </w:rPr>
      </w:pPr>
    </w:p>
    <w:p w14:paraId="7CA5AF00" w14:textId="77777777" w:rsidR="00FE461F" w:rsidRPr="005E4BEA" w:rsidRDefault="00FE461F" w:rsidP="00FE461F">
      <w:pPr>
        <w:spacing w:line="240" w:lineRule="auto"/>
        <w:jc w:val="both"/>
        <w:rPr>
          <w:rFonts w:cs="Arial"/>
          <w:szCs w:val="20"/>
        </w:rPr>
      </w:pPr>
      <w:r w:rsidRPr="005E4BEA">
        <w:rPr>
          <w:rFonts w:cs="Arial"/>
          <w:szCs w:val="20"/>
        </w:rPr>
        <w:t>Sprememba velja od 1. 1. 2022 naprej.</w:t>
      </w:r>
    </w:p>
    <w:p w14:paraId="1FFFADA7"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p>
    <w:p w14:paraId="2EB5B610"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0C1647DA"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da se v Prilogi III/a briše določba, ki omogoča dodatno plačilo mikrobioloških laboratorijskih preiskav, če le te za 10 % ali več presegajo v ceno </w:t>
      </w:r>
      <w:proofErr w:type="spellStart"/>
      <w:r w:rsidRPr="005E4BEA">
        <w:rPr>
          <w:rFonts w:eastAsiaTheme="minorHAnsi" w:cs="Arial"/>
          <w:i/>
          <w:color w:val="808080" w:themeColor="background1" w:themeShade="80"/>
          <w:szCs w:val="20"/>
        </w:rPr>
        <w:t>vkalkulirane</w:t>
      </w:r>
      <w:proofErr w:type="spellEnd"/>
      <w:r w:rsidRPr="005E4BEA">
        <w:rPr>
          <w:rFonts w:eastAsiaTheme="minorHAnsi" w:cs="Arial"/>
          <w:i/>
          <w:color w:val="808080" w:themeColor="background1" w:themeShade="80"/>
          <w:szCs w:val="20"/>
        </w:rPr>
        <w:t xml:space="preserve"> laboratorijske preiskave. Zahtevek za dodatno plačilo mikrobioloških preiskav so v letu 2019 med 64 zdravstvenimi domovi uveljavili le trije zdravstveni domovi v skupni višini 103.329 evrov, v letu 2020 pa dva zdravstvena domova  v višini 78.386 evrov. Menimo, da navedeno odstopanje kaže na neracionalno izvajanje laboratorijskih preiskav pri posameznih izvajalcih. Zavod zato predlaga, da se določba briše.</w:t>
      </w:r>
    </w:p>
    <w:p w14:paraId="4DCF26F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F1701D0"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w:t>
      </w:r>
    </w:p>
    <w:p w14:paraId="50AD5CDB" w14:textId="64E809BD" w:rsidR="00FE461F" w:rsidRPr="005E4BEA" w:rsidRDefault="00FE461F" w:rsidP="00FE461F">
      <w:pPr>
        <w:spacing w:line="240" w:lineRule="auto"/>
        <w:jc w:val="both"/>
        <w:rPr>
          <w:rFonts w:eastAsiaTheme="minorHAnsi" w:cs="Arial"/>
          <w:i/>
          <w:color w:val="808080" w:themeColor="background1" w:themeShade="80"/>
          <w:szCs w:val="20"/>
        </w:rPr>
      </w:pPr>
    </w:p>
    <w:p w14:paraId="4D8EAA9A" w14:textId="0026C39D" w:rsidR="006D4358" w:rsidRPr="005E4BEA" w:rsidRDefault="006D4358" w:rsidP="006D435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7533A66A" w14:textId="77777777" w:rsidR="006D4358" w:rsidRPr="005E4BEA" w:rsidRDefault="006D4358" w:rsidP="006D4358">
      <w:pPr>
        <w:spacing w:line="0" w:lineRule="atLeast"/>
        <w:jc w:val="both"/>
        <w:rPr>
          <w:rFonts w:eastAsia="Arial Narrow" w:cs="Arial"/>
          <w:szCs w:val="20"/>
          <w:lang w:eastAsia="sl-SI"/>
        </w:rPr>
      </w:pPr>
    </w:p>
    <w:p w14:paraId="10A207E6" w14:textId="202A6BC6" w:rsidR="006F12D8" w:rsidRPr="005E4BEA" w:rsidRDefault="006D4358" w:rsidP="006F12D8">
      <w:pPr>
        <w:spacing w:line="240" w:lineRule="auto"/>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37" w:name="_Hlk102549872"/>
      <w:r w:rsidR="006F12D8" w:rsidRPr="005E4BEA">
        <w:rPr>
          <w:rFonts w:eastAsiaTheme="minorHAnsi" w:cs="Arial"/>
          <w:bCs/>
          <w:szCs w:val="20"/>
        </w:rPr>
        <w:t>da se v</w:t>
      </w:r>
      <w:r w:rsidR="006F12D8" w:rsidRPr="005E4BEA">
        <w:rPr>
          <w:rFonts w:cs="Arial"/>
          <w:bCs/>
          <w:szCs w:val="20"/>
        </w:rPr>
        <w:t xml:space="preserve"> Prilogi III/a </w:t>
      </w:r>
      <w:r w:rsidR="006F12D8" w:rsidRPr="005E4BEA">
        <w:rPr>
          <w:rFonts w:eastAsia="Arial Narrow" w:cs="Arial"/>
          <w:bCs/>
          <w:szCs w:val="20"/>
        </w:rPr>
        <w:t>briše 9. točka (»Ločeno zaračunljivi materiali«).</w:t>
      </w:r>
    </w:p>
    <w:p w14:paraId="3315AA91" w14:textId="77777777" w:rsidR="006F12D8" w:rsidRPr="005E4BEA" w:rsidRDefault="006F12D8" w:rsidP="006F12D8">
      <w:pPr>
        <w:spacing w:line="120" w:lineRule="auto"/>
        <w:jc w:val="both"/>
        <w:rPr>
          <w:rFonts w:cs="Arial"/>
          <w:szCs w:val="20"/>
        </w:rPr>
      </w:pPr>
    </w:p>
    <w:p w14:paraId="3FC6426F" w14:textId="121862ED" w:rsidR="006D4358" w:rsidRDefault="006F12D8" w:rsidP="00E82B4D">
      <w:pPr>
        <w:spacing w:line="240" w:lineRule="auto"/>
        <w:jc w:val="both"/>
        <w:rPr>
          <w:rFonts w:cs="Arial"/>
          <w:szCs w:val="20"/>
        </w:rPr>
      </w:pPr>
      <w:r w:rsidRPr="005E4BEA">
        <w:rPr>
          <w:rFonts w:cs="Arial"/>
          <w:szCs w:val="20"/>
        </w:rPr>
        <w:t>Sprememba velja od 1. 1. 2022 naprej.</w:t>
      </w:r>
      <w:bookmarkEnd w:id="137"/>
    </w:p>
    <w:p w14:paraId="4C97DA44" w14:textId="789D3712" w:rsidR="00E82B4D" w:rsidRDefault="00E82B4D" w:rsidP="00E82B4D">
      <w:pPr>
        <w:spacing w:line="240" w:lineRule="auto"/>
        <w:jc w:val="both"/>
        <w:rPr>
          <w:rFonts w:cs="Arial"/>
          <w:szCs w:val="20"/>
        </w:rPr>
      </w:pPr>
    </w:p>
    <w:p w14:paraId="42569B9C" w14:textId="0F9C8312" w:rsidR="00E82B4D" w:rsidRDefault="00E82B4D" w:rsidP="00E82B4D">
      <w:pPr>
        <w:spacing w:line="240" w:lineRule="auto"/>
        <w:jc w:val="both"/>
        <w:rPr>
          <w:rFonts w:cs="Arial"/>
          <w:szCs w:val="20"/>
        </w:rPr>
      </w:pPr>
    </w:p>
    <w:p w14:paraId="025D0363" w14:textId="77777777" w:rsidR="00E82B4D" w:rsidRPr="005E4BEA" w:rsidRDefault="00E82B4D" w:rsidP="00E82B4D">
      <w:pPr>
        <w:spacing w:line="240" w:lineRule="auto"/>
        <w:jc w:val="both"/>
        <w:rPr>
          <w:rFonts w:cs="Arial"/>
          <w:szCs w:val="20"/>
        </w:rPr>
      </w:pPr>
    </w:p>
    <w:p w14:paraId="099E86F1" w14:textId="1A373FB2"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(118)</w:t>
      </w:r>
    </w:p>
    <w:p w14:paraId="21AB8A6A" w14:textId="77777777" w:rsidR="006D4358" w:rsidRPr="005E4BEA" w:rsidRDefault="006D4358" w:rsidP="006D4358">
      <w:pPr>
        <w:spacing w:line="240" w:lineRule="auto"/>
        <w:jc w:val="both"/>
        <w:rPr>
          <w:rFonts w:eastAsia="Arial Narrow" w:cs="Arial"/>
          <w:b/>
          <w:szCs w:val="20"/>
        </w:rPr>
      </w:pPr>
    </w:p>
    <w:p w14:paraId="7E5AD47A" w14:textId="1128EB3C" w:rsidR="00FE461F" w:rsidRPr="005E4BEA" w:rsidRDefault="006D4358" w:rsidP="00FE461F">
      <w:pPr>
        <w:spacing w:line="240" w:lineRule="auto"/>
        <w:jc w:val="both"/>
        <w:rPr>
          <w:rFonts w:eastAsia="Arial Narrow" w:cs="Arial"/>
          <w:bCs/>
          <w:szCs w:val="20"/>
        </w:rPr>
      </w:pPr>
      <w:r w:rsidRPr="005E4BEA">
        <w:rPr>
          <w:rFonts w:eastAsia="Arial Narrow" w:cs="Arial"/>
          <w:b/>
          <w:szCs w:val="20"/>
        </w:rPr>
        <w:t xml:space="preserve">Zavod za zdravstveno zavarovanje Slovenije </w:t>
      </w:r>
      <w:r w:rsidRPr="005E4BEA">
        <w:rPr>
          <w:rFonts w:eastAsiaTheme="minorHAnsi" w:cs="Arial"/>
          <w:bCs/>
          <w:szCs w:val="20"/>
        </w:rPr>
        <w:t xml:space="preserve">predlaga, da se </w:t>
      </w:r>
      <w:bookmarkStart w:id="138" w:name="_Hlk102478812"/>
      <w:r w:rsidRPr="005E4BEA">
        <w:rPr>
          <w:rFonts w:eastAsiaTheme="minorHAnsi" w:cs="Arial"/>
          <w:bCs/>
          <w:szCs w:val="20"/>
        </w:rPr>
        <w:t>v</w:t>
      </w:r>
      <w:r w:rsidRPr="005E4BEA">
        <w:rPr>
          <w:rFonts w:cs="Arial"/>
          <w:bCs/>
          <w:szCs w:val="20"/>
        </w:rPr>
        <w:t xml:space="preserve"> Prilogi III/</w:t>
      </w:r>
      <w:r w:rsidR="00FE461F" w:rsidRPr="005E4BEA">
        <w:rPr>
          <w:rFonts w:eastAsia="Arial Narrow" w:cs="Arial"/>
          <w:bCs/>
          <w:szCs w:val="20"/>
        </w:rPr>
        <w:t>b v 2. točki v drugi alineji se na koncu doda besedilo, ki se glasi:</w:t>
      </w:r>
    </w:p>
    <w:p w14:paraId="7D965B48" w14:textId="77777777" w:rsidR="00FE461F" w:rsidRPr="005E4BEA" w:rsidRDefault="00FE461F" w:rsidP="00FE461F">
      <w:pPr>
        <w:spacing w:line="120" w:lineRule="exact"/>
        <w:jc w:val="both"/>
        <w:rPr>
          <w:rFonts w:cs="Arial"/>
          <w:szCs w:val="20"/>
        </w:rPr>
      </w:pPr>
    </w:p>
    <w:p w14:paraId="0C38C8E1" w14:textId="77777777" w:rsidR="00FE461F" w:rsidRPr="005E4BEA" w:rsidRDefault="00FE461F" w:rsidP="00FE461F">
      <w:pPr>
        <w:spacing w:line="240" w:lineRule="auto"/>
        <w:jc w:val="both"/>
        <w:rPr>
          <w:rFonts w:cs="Arial"/>
          <w:szCs w:val="20"/>
        </w:rPr>
      </w:pPr>
      <w:r w:rsidRPr="005E4BEA">
        <w:rPr>
          <w:rFonts w:cs="Arial"/>
          <w:szCs w:val="20"/>
        </w:rPr>
        <w:t>»Če izvajalec pri dejavnostih, kjer je določeno minimalno število prvih pregledov, preseže minimalno število prvih pregledov, se mu pri končnem letnem obračunu prizna preseganje realizacije nad povečanim planom glede na kriterije iz prejšnjega stavka, največ v višini realiziranih prvih pregledov nad planom prvih pregledov, ovrednotenih s povprečnim številom točk za prvi pregled.«</w:t>
      </w:r>
    </w:p>
    <w:p w14:paraId="797F0C9E" w14:textId="77777777" w:rsidR="00FE461F" w:rsidRPr="005E4BEA" w:rsidRDefault="00FE461F" w:rsidP="00FE461F">
      <w:pPr>
        <w:spacing w:line="120" w:lineRule="exact"/>
        <w:jc w:val="both"/>
        <w:rPr>
          <w:rFonts w:cs="Arial"/>
          <w:szCs w:val="20"/>
        </w:rPr>
      </w:pPr>
    </w:p>
    <w:p w14:paraId="1A140209" w14:textId="77777777" w:rsidR="00FE461F" w:rsidRPr="005E4BEA" w:rsidRDefault="00FE461F" w:rsidP="00FE461F">
      <w:pPr>
        <w:spacing w:line="240" w:lineRule="auto"/>
        <w:jc w:val="both"/>
        <w:rPr>
          <w:rFonts w:cs="Arial"/>
          <w:szCs w:val="20"/>
        </w:rPr>
      </w:pPr>
      <w:r w:rsidRPr="005E4BEA">
        <w:rPr>
          <w:rFonts w:cs="Arial"/>
          <w:szCs w:val="20"/>
        </w:rPr>
        <w:t>Sprememba velja od 1. 1. 2022 naprej.</w:t>
      </w:r>
    </w:p>
    <w:bookmarkEnd w:id="138"/>
    <w:p w14:paraId="0C9ED7D5" w14:textId="77777777" w:rsidR="00FE461F" w:rsidRPr="005E4BEA" w:rsidRDefault="00FE461F" w:rsidP="00FE461F">
      <w:pPr>
        <w:spacing w:line="120" w:lineRule="auto"/>
        <w:rPr>
          <w:rFonts w:eastAsiaTheme="minorHAnsi" w:cs="Arial"/>
          <w:b/>
          <w:bCs/>
          <w:i/>
          <w:color w:val="808080" w:themeColor="background1" w:themeShade="80"/>
          <w:szCs w:val="20"/>
          <w:u w:val="single"/>
        </w:rPr>
      </w:pPr>
    </w:p>
    <w:p w14:paraId="44CAC193"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3170EAE9"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Zaradi poenotenega razumevanja načina plačila prvih pregledov Zavod predlaga bolj jasen zapis metodologije izvedbe končnega letnega obračuna v dejavnostih, kjer je določeno minimalno število prvih pregledov. Če izvajalec v teh dejavnostih preseže minimalno število prvih pregledov, se mu pri končnem letnem obračunu prizna preseganje realizacije nad povečanim planom največ v višini realiziranih prvih pregledov nad planom prvih pregledov, ovrednotenih s povprečnim številom točk za prvi pregled.</w:t>
      </w:r>
    </w:p>
    <w:p w14:paraId="53F0C38F" w14:textId="69D50C99" w:rsidR="00FE461F" w:rsidRPr="005E4BEA" w:rsidRDefault="00FE461F" w:rsidP="00FE461F">
      <w:pPr>
        <w:spacing w:line="240" w:lineRule="auto"/>
        <w:rPr>
          <w:rFonts w:cs="Arial"/>
          <w:color w:val="808080" w:themeColor="background1" w:themeShade="80"/>
          <w:szCs w:val="20"/>
        </w:rPr>
      </w:pPr>
    </w:p>
    <w:p w14:paraId="6FC645D8" w14:textId="5ABD274A" w:rsidR="006D4358" w:rsidRPr="005E4BEA" w:rsidRDefault="006D4358" w:rsidP="006D435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p>
    <w:p w14:paraId="24726063" w14:textId="77777777" w:rsidR="006D4358" w:rsidRPr="005E4BEA" w:rsidRDefault="006D4358" w:rsidP="006D4358">
      <w:pPr>
        <w:spacing w:line="0" w:lineRule="atLeast"/>
        <w:jc w:val="both"/>
        <w:rPr>
          <w:rFonts w:eastAsia="Arial Narrow" w:cs="Arial"/>
          <w:szCs w:val="20"/>
          <w:lang w:eastAsia="sl-SI"/>
        </w:rPr>
      </w:pPr>
    </w:p>
    <w:p w14:paraId="07B1E82D" w14:textId="71A199F1" w:rsidR="006F12D8" w:rsidRPr="005E4BEA" w:rsidRDefault="006D4358" w:rsidP="006F12D8">
      <w:pPr>
        <w:spacing w:line="240" w:lineRule="auto"/>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39" w:name="_Hlk102549670"/>
      <w:r w:rsidRPr="005E4BEA">
        <w:rPr>
          <w:rFonts w:eastAsia="Arial Narrow" w:cs="Arial"/>
          <w:bCs/>
          <w:szCs w:val="20"/>
        </w:rPr>
        <w:t xml:space="preserve">da </w:t>
      </w:r>
      <w:r w:rsidR="006F12D8" w:rsidRPr="005E4BEA">
        <w:rPr>
          <w:rFonts w:eastAsiaTheme="minorHAnsi" w:cs="Arial"/>
          <w:bCs/>
          <w:szCs w:val="20"/>
        </w:rPr>
        <w:t>se v</w:t>
      </w:r>
      <w:r w:rsidR="006F12D8" w:rsidRPr="005E4BEA">
        <w:rPr>
          <w:rFonts w:cs="Arial"/>
          <w:bCs/>
          <w:szCs w:val="20"/>
        </w:rPr>
        <w:t xml:space="preserve"> Prilogi III/</w:t>
      </w:r>
      <w:r w:rsidR="006F12D8" w:rsidRPr="005E4BEA">
        <w:rPr>
          <w:rFonts w:eastAsia="Arial Narrow" w:cs="Arial"/>
          <w:bCs/>
          <w:szCs w:val="20"/>
        </w:rPr>
        <w:t>b v 2. točki v drugi alineji se na koncu doda besedilo, ki se glasi:</w:t>
      </w:r>
    </w:p>
    <w:p w14:paraId="4F24B4BA" w14:textId="77777777" w:rsidR="006F12D8" w:rsidRPr="005E4BEA" w:rsidRDefault="006F12D8" w:rsidP="006F12D8">
      <w:pPr>
        <w:spacing w:line="120" w:lineRule="exact"/>
        <w:jc w:val="both"/>
        <w:rPr>
          <w:rFonts w:cs="Arial"/>
          <w:szCs w:val="20"/>
        </w:rPr>
      </w:pPr>
    </w:p>
    <w:p w14:paraId="4E362E1E" w14:textId="77777777" w:rsidR="006F12D8" w:rsidRPr="005E4BEA" w:rsidRDefault="006F12D8" w:rsidP="006F12D8">
      <w:pPr>
        <w:spacing w:line="240" w:lineRule="auto"/>
        <w:jc w:val="both"/>
        <w:rPr>
          <w:rFonts w:cs="Arial"/>
          <w:szCs w:val="20"/>
        </w:rPr>
      </w:pPr>
      <w:r w:rsidRPr="005E4BEA">
        <w:rPr>
          <w:rFonts w:cs="Arial"/>
          <w:szCs w:val="20"/>
        </w:rPr>
        <w:t>»Če izvajalec pri dejavnostih, kjer je določeno minimalno število prvih pregledov, preseže minimalno število prvih pregledov, se mu pri končnem letnem obračunu prizna preseganje realizacije nad povečanim planom glede na kriterije iz prejšnjega stavka, največ v višini realiziranih prvih pregledov nad planom prvih pregledov, ovrednotenih s povprečnim številom točk za prvi pregled.«</w:t>
      </w:r>
    </w:p>
    <w:p w14:paraId="0F9419FB" w14:textId="77777777" w:rsidR="006F12D8" w:rsidRPr="005E4BEA" w:rsidRDefault="006F12D8" w:rsidP="006F12D8">
      <w:pPr>
        <w:spacing w:line="120" w:lineRule="exact"/>
        <w:jc w:val="both"/>
        <w:rPr>
          <w:rFonts w:cs="Arial"/>
          <w:szCs w:val="20"/>
        </w:rPr>
      </w:pPr>
    </w:p>
    <w:p w14:paraId="3FB566EF" w14:textId="77777777" w:rsidR="006F12D8" w:rsidRPr="005E4BEA" w:rsidRDefault="006F12D8" w:rsidP="006F12D8">
      <w:pPr>
        <w:spacing w:line="240" w:lineRule="auto"/>
        <w:jc w:val="both"/>
        <w:rPr>
          <w:rFonts w:cs="Arial"/>
          <w:szCs w:val="20"/>
        </w:rPr>
      </w:pPr>
      <w:r w:rsidRPr="005E4BEA">
        <w:rPr>
          <w:rFonts w:cs="Arial"/>
          <w:szCs w:val="20"/>
        </w:rPr>
        <w:t>Sprememba velja od 1. 1. 2022 naprej.</w:t>
      </w:r>
    </w:p>
    <w:bookmarkEnd w:id="139"/>
    <w:p w14:paraId="3D5AB519" w14:textId="2D3AB3DF" w:rsidR="006D4358" w:rsidRPr="005E4BEA" w:rsidRDefault="006D4358" w:rsidP="006F12D8">
      <w:pPr>
        <w:spacing w:line="0" w:lineRule="atLeast"/>
        <w:contextualSpacing/>
        <w:jc w:val="both"/>
        <w:rPr>
          <w:rFonts w:cs="Arial"/>
          <w:szCs w:val="20"/>
        </w:rPr>
      </w:pPr>
    </w:p>
    <w:p w14:paraId="5BE24A7C" w14:textId="0AE7DAA4" w:rsidR="006D4358" w:rsidRPr="005E4BEA" w:rsidRDefault="006D4358" w:rsidP="00F356C9">
      <w:pPr>
        <w:pStyle w:val="Naslov2"/>
        <w:numPr>
          <w:ilvl w:val="0"/>
          <w:numId w:val="79"/>
        </w:numPr>
        <w:ind w:left="0" w:firstLine="0"/>
        <w:rPr>
          <w:rFonts w:ascii="Arial" w:eastAsia="Arial Narrow" w:hAnsi="Arial" w:cs="Arial"/>
          <w:sz w:val="20"/>
        </w:rPr>
      </w:pPr>
      <w:bookmarkStart w:id="140" w:name="_Hlk102385456"/>
      <w:r w:rsidRPr="005E4BEA">
        <w:rPr>
          <w:rFonts w:ascii="Arial" w:eastAsia="Arial Narrow" w:hAnsi="Arial" w:cs="Arial"/>
          <w:sz w:val="20"/>
        </w:rPr>
        <w:t>SPORNO VPRAŠANJE (119)</w:t>
      </w:r>
    </w:p>
    <w:p w14:paraId="13505F0D" w14:textId="77777777" w:rsidR="006D4358" w:rsidRPr="005E4BEA" w:rsidRDefault="006D4358" w:rsidP="006D4358">
      <w:pPr>
        <w:spacing w:line="240" w:lineRule="auto"/>
        <w:jc w:val="both"/>
        <w:rPr>
          <w:rFonts w:eastAsia="Arial Narrow" w:cs="Arial"/>
          <w:b/>
          <w:szCs w:val="20"/>
        </w:rPr>
      </w:pPr>
    </w:p>
    <w:p w14:paraId="41BA9473" w14:textId="0FD98A57" w:rsidR="00FE461F" w:rsidRPr="005E4BEA" w:rsidRDefault="006D4358" w:rsidP="006D4358">
      <w:pPr>
        <w:spacing w:line="240" w:lineRule="auto"/>
        <w:rPr>
          <w:rFonts w:cs="Arial"/>
          <w:bCs/>
          <w:szCs w:val="20"/>
        </w:rPr>
      </w:pPr>
      <w:r w:rsidRPr="005E4BEA">
        <w:rPr>
          <w:rFonts w:eastAsia="Arial Narrow" w:cs="Arial"/>
          <w:b/>
          <w:szCs w:val="20"/>
        </w:rPr>
        <w:t xml:space="preserve">Zavod za zdravstveno zavarovanje Slovenije </w:t>
      </w:r>
      <w:r w:rsidRPr="005E4BEA">
        <w:rPr>
          <w:rFonts w:eastAsiaTheme="minorHAnsi" w:cs="Arial"/>
          <w:bCs/>
          <w:szCs w:val="20"/>
        </w:rPr>
        <w:t>predlaga, da se v</w:t>
      </w:r>
      <w:r w:rsidRPr="005E4BEA">
        <w:rPr>
          <w:rFonts w:cs="Arial"/>
          <w:bCs/>
          <w:szCs w:val="20"/>
        </w:rPr>
        <w:t xml:space="preserve"> Prilogi III/c</w:t>
      </w:r>
    </w:p>
    <w:p w14:paraId="279CD33F" w14:textId="77777777" w:rsidR="006D4358" w:rsidRPr="005E4BEA" w:rsidRDefault="006D4358" w:rsidP="006D4358">
      <w:pPr>
        <w:spacing w:line="240" w:lineRule="auto"/>
        <w:rPr>
          <w:rFonts w:cs="Arial"/>
          <w:color w:val="000000"/>
          <w:szCs w:val="20"/>
        </w:rPr>
      </w:pPr>
    </w:p>
    <w:p w14:paraId="2DDDE455" w14:textId="77777777" w:rsidR="00FE461F" w:rsidRPr="005E4BEA" w:rsidRDefault="00FE461F" w:rsidP="00F356C9">
      <w:pPr>
        <w:numPr>
          <w:ilvl w:val="1"/>
          <w:numId w:val="50"/>
        </w:numPr>
        <w:spacing w:line="240" w:lineRule="auto"/>
        <w:ind w:left="284" w:hanging="275"/>
        <w:jc w:val="both"/>
        <w:textAlignment w:val="center"/>
        <w:rPr>
          <w:rFonts w:cs="Arial"/>
          <w:szCs w:val="20"/>
        </w:rPr>
      </w:pPr>
      <w:r w:rsidRPr="005E4BEA">
        <w:rPr>
          <w:rFonts w:cs="Arial"/>
          <w:b/>
          <w:bCs/>
          <w:color w:val="000000"/>
          <w:szCs w:val="20"/>
        </w:rPr>
        <w:t>V (1) odstavku se za točko b.) doda nova točka c.), ki se glasi:</w:t>
      </w:r>
    </w:p>
    <w:p w14:paraId="348D6194" w14:textId="77777777" w:rsidR="00FE461F" w:rsidRPr="005E4BEA" w:rsidRDefault="00FE461F" w:rsidP="00FE461F">
      <w:pPr>
        <w:spacing w:line="120" w:lineRule="auto"/>
        <w:jc w:val="both"/>
        <w:rPr>
          <w:rFonts w:cs="Arial"/>
          <w:color w:val="000000"/>
          <w:szCs w:val="20"/>
        </w:rPr>
      </w:pPr>
      <w:r w:rsidRPr="005E4BEA">
        <w:rPr>
          <w:rFonts w:cs="Arial"/>
          <w:b/>
          <w:bCs/>
          <w:color w:val="000000"/>
          <w:szCs w:val="20"/>
        </w:rPr>
        <w:t> </w:t>
      </w:r>
    </w:p>
    <w:p w14:paraId="2EE5364B" w14:textId="77777777" w:rsidR="00FE461F" w:rsidRPr="005E4BEA" w:rsidRDefault="00FE461F" w:rsidP="00FE461F">
      <w:pPr>
        <w:spacing w:line="240" w:lineRule="auto"/>
        <w:ind w:left="284"/>
        <w:jc w:val="both"/>
        <w:rPr>
          <w:rFonts w:cs="Arial"/>
          <w:color w:val="000000"/>
          <w:szCs w:val="20"/>
        </w:rPr>
      </w:pPr>
      <w:r w:rsidRPr="005E4BEA">
        <w:rPr>
          <w:rFonts w:cs="Arial"/>
          <w:color w:val="000000"/>
          <w:szCs w:val="20"/>
        </w:rPr>
        <w:t>»c.) programe, za katere je opredeljeno plačilo do plana v skladu s Prilogo BOL-2«</w:t>
      </w:r>
    </w:p>
    <w:p w14:paraId="2A60B8AF" w14:textId="77777777" w:rsidR="00FE461F" w:rsidRPr="005E4BEA" w:rsidRDefault="00FE461F" w:rsidP="00FE461F">
      <w:pPr>
        <w:spacing w:line="120" w:lineRule="auto"/>
        <w:jc w:val="both"/>
        <w:rPr>
          <w:rFonts w:cs="Arial"/>
          <w:color w:val="000000"/>
          <w:szCs w:val="20"/>
        </w:rPr>
      </w:pPr>
      <w:r w:rsidRPr="005E4BEA">
        <w:rPr>
          <w:rFonts w:cs="Arial"/>
          <w:b/>
          <w:bCs/>
          <w:color w:val="000000"/>
          <w:szCs w:val="20"/>
        </w:rPr>
        <w:t> </w:t>
      </w:r>
    </w:p>
    <w:p w14:paraId="5B99D874" w14:textId="77777777" w:rsidR="00FE461F" w:rsidRPr="005E4BEA" w:rsidRDefault="00FE461F" w:rsidP="00FE461F">
      <w:pPr>
        <w:spacing w:line="240" w:lineRule="auto"/>
        <w:ind w:left="284"/>
        <w:jc w:val="both"/>
        <w:rPr>
          <w:rFonts w:cs="Arial"/>
          <w:color w:val="000000"/>
          <w:szCs w:val="20"/>
        </w:rPr>
      </w:pPr>
      <w:r w:rsidRPr="005E4BEA">
        <w:rPr>
          <w:rFonts w:cs="Arial"/>
          <w:color w:val="000000"/>
          <w:szCs w:val="20"/>
        </w:rPr>
        <w:t>Obstoječa točka c.) se preimenuje v točko d.).</w:t>
      </w:r>
    </w:p>
    <w:p w14:paraId="3811D3E6" w14:textId="77777777" w:rsidR="00FE461F" w:rsidRPr="005E4BEA" w:rsidRDefault="00FE461F" w:rsidP="00FE461F">
      <w:pPr>
        <w:spacing w:line="240" w:lineRule="auto"/>
        <w:ind w:left="369"/>
        <w:jc w:val="both"/>
        <w:rPr>
          <w:rFonts w:cs="Arial"/>
          <w:color w:val="000000"/>
          <w:szCs w:val="20"/>
        </w:rPr>
      </w:pPr>
      <w:r w:rsidRPr="005E4BEA">
        <w:rPr>
          <w:rFonts w:cs="Arial"/>
          <w:color w:val="000000"/>
          <w:szCs w:val="20"/>
        </w:rPr>
        <w:t>  </w:t>
      </w:r>
    </w:p>
    <w:p w14:paraId="1EFAFEC4" w14:textId="77777777" w:rsidR="00FE461F" w:rsidRPr="005E4BEA" w:rsidRDefault="00FE461F" w:rsidP="00F356C9">
      <w:pPr>
        <w:numPr>
          <w:ilvl w:val="1"/>
          <w:numId w:val="50"/>
        </w:numPr>
        <w:spacing w:line="240" w:lineRule="auto"/>
        <w:ind w:left="284" w:hanging="275"/>
        <w:jc w:val="both"/>
        <w:textAlignment w:val="center"/>
        <w:rPr>
          <w:rFonts w:cs="Arial"/>
          <w:szCs w:val="20"/>
        </w:rPr>
      </w:pPr>
      <w:r w:rsidRPr="005E4BEA">
        <w:rPr>
          <w:rFonts w:cs="Arial"/>
          <w:b/>
          <w:bCs/>
          <w:color w:val="000000"/>
          <w:szCs w:val="20"/>
        </w:rPr>
        <w:t>Za (3) odstavkom se doda nov (4) odstavek, ki se glasi:</w:t>
      </w:r>
    </w:p>
    <w:p w14:paraId="1E0C615F" w14:textId="77777777" w:rsidR="00FE461F" w:rsidRPr="005E4BEA" w:rsidRDefault="00FE461F" w:rsidP="00FE461F">
      <w:pPr>
        <w:spacing w:line="120" w:lineRule="auto"/>
        <w:jc w:val="both"/>
        <w:rPr>
          <w:rFonts w:cs="Arial"/>
          <w:color w:val="000000"/>
          <w:szCs w:val="20"/>
        </w:rPr>
      </w:pPr>
      <w:r w:rsidRPr="005E4BEA">
        <w:rPr>
          <w:rFonts w:cs="Arial"/>
          <w:b/>
          <w:bCs/>
          <w:color w:val="000000"/>
          <w:szCs w:val="20"/>
        </w:rPr>
        <w:t> </w:t>
      </w:r>
    </w:p>
    <w:p w14:paraId="5C004DE1" w14:textId="77777777" w:rsidR="00FE461F" w:rsidRPr="005E4BEA" w:rsidRDefault="00FE461F" w:rsidP="00FE461F">
      <w:pPr>
        <w:spacing w:line="240" w:lineRule="auto"/>
        <w:ind w:left="284"/>
        <w:jc w:val="both"/>
        <w:rPr>
          <w:rFonts w:cs="Arial"/>
          <w:color w:val="000000"/>
          <w:szCs w:val="20"/>
        </w:rPr>
      </w:pPr>
      <w:r w:rsidRPr="005E4BEA">
        <w:rPr>
          <w:rFonts w:cs="Arial"/>
          <w:color w:val="000000"/>
          <w:szCs w:val="20"/>
        </w:rPr>
        <w:t xml:space="preserve">»(4) Programi plačani do plana </w:t>
      </w:r>
    </w:p>
    <w:p w14:paraId="12B89ED0" w14:textId="77777777" w:rsidR="00FE461F" w:rsidRPr="005E4BEA" w:rsidRDefault="00FE461F" w:rsidP="00FE461F">
      <w:pPr>
        <w:spacing w:line="60" w:lineRule="exact"/>
        <w:jc w:val="both"/>
        <w:rPr>
          <w:rFonts w:cs="Arial"/>
          <w:color w:val="000000"/>
          <w:szCs w:val="20"/>
        </w:rPr>
      </w:pPr>
      <w:r w:rsidRPr="005E4BEA">
        <w:rPr>
          <w:rFonts w:cs="Arial"/>
          <w:color w:val="000000"/>
          <w:szCs w:val="20"/>
        </w:rPr>
        <w:t> </w:t>
      </w:r>
    </w:p>
    <w:p w14:paraId="4FB13E85" w14:textId="77777777" w:rsidR="00FE461F" w:rsidRPr="005E4BEA" w:rsidRDefault="00FE461F" w:rsidP="00FE461F">
      <w:pPr>
        <w:spacing w:line="240" w:lineRule="auto"/>
        <w:ind w:left="284"/>
        <w:jc w:val="both"/>
        <w:rPr>
          <w:rFonts w:cs="Arial"/>
          <w:color w:val="000000"/>
          <w:szCs w:val="20"/>
        </w:rPr>
      </w:pPr>
      <w:r w:rsidRPr="005E4BEA">
        <w:rPr>
          <w:rFonts w:cs="Arial"/>
          <w:color w:val="000000"/>
          <w:szCs w:val="20"/>
        </w:rPr>
        <w:t xml:space="preserve">V obračun posameznega </w:t>
      </w:r>
      <w:proofErr w:type="spellStart"/>
      <w:r w:rsidRPr="005E4BEA">
        <w:rPr>
          <w:rFonts w:cs="Arial"/>
          <w:color w:val="000000"/>
          <w:szCs w:val="20"/>
        </w:rPr>
        <w:t>prospektivnega</w:t>
      </w:r>
      <w:proofErr w:type="spellEnd"/>
      <w:r w:rsidRPr="005E4BEA">
        <w:rPr>
          <w:rFonts w:cs="Arial"/>
          <w:color w:val="000000"/>
          <w:szCs w:val="20"/>
        </w:rPr>
        <w:t xml:space="preserve"> programa se vključijo vsi realizirani primeri največ do pogodbenega plana primerov, ki se ovrednotijo po uteži na primer za obračun iz Tabele 1 Priloge BOL-2 in ceni uteži za obračunsko obdobje. Neplačani primeri in uteži iz te postavke se prenesejo in prištejejo k realizaciji programa ostala ABO.«</w:t>
      </w:r>
    </w:p>
    <w:p w14:paraId="5DB84D8E" w14:textId="77777777" w:rsidR="00FE461F" w:rsidRPr="005E4BEA" w:rsidRDefault="00FE461F" w:rsidP="00FE461F">
      <w:pPr>
        <w:spacing w:line="240" w:lineRule="auto"/>
        <w:ind w:left="1449"/>
        <w:jc w:val="both"/>
        <w:rPr>
          <w:rFonts w:cs="Arial"/>
          <w:color w:val="000000"/>
          <w:szCs w:val="20"/>
        </w:rPr>
      </w:pPr>
      <w:r w:rsidRPr="005E4BEA">
        <w:rPr>
          <w:rFonts w:cs="Arial"/>
          <w:color w:val="000000"/>
          <w:szCs w:val="20"/>
        </w:rPr>
        <w:t> </w:t>
      </w:r>
    </w:p>
    <w:p w14:paraId="0284273E" w14:textId="77777777" w:rsidR="00FE461F" w:rsidRPr="005E4BEA" w:rsidRDefault="00FE461F" w:rsidP="00F356C9">
      <w:pPr>
        <w:numPr>
          <w:ilvl w:val="1"/>
          <w:numId w:val="50"/>
        </w:numPr>
        <w:spacing w:line="240" w:lineRule="auto"/>
        <w:ind w:left="284" w:hanging="275"/>
        <w:jc w:val="both"/>
        <w:textAlignment w:val="center"/>
        <w:rPr>
          <w:rFonts w:cs="Arial"/>
          <w:szCs w:val="20"/>
        </w:rPr>
      </w:pPr>
      <w:r w:rsidRPr="005E4BEA">
        <w:rPr>
          <w:rFonts w:cs="Arial"/>
          <w:b/>
          <w:bCs/>
          <w:color w:val="000000"/>
          <w:szCs w:val="20"/>
        </w:rPr>
        <w:t>Obstoječi (4) odstavek se preštevilči v (5) odstavek, pri tem pa se točki a.) in b.) spremenita tako, da se glasita:</w:t>
      </w:r>
    </w:p>
    <w:p w14:paraId="22E22328" w14:textId="77777777" w:rsidR="00FE461F" w:rsidRPr="005E4BEA" w:rsidRDefault="00FE461F" w:rsidP="00FE461F">
      <w:pPr>
        <w:spacing w:line="120" w:lineRule="auto"/>
        <w:jc w:val="both"/>
        <w:rPr>
          <w:rFonts w:cs="Arial"/>
          <w:color w:val="000000"/>
          <w:szCs w:val="20"/>
        </w:rPr>
      </w:pPr>
      <w:r w:rsidRPr="005E4BEA">
        <w:rPr>
          <w:rFonts w:cs="Arial"/>
          <w:b/>
          <w:bCs/>
          <w:color w:val="000000"/>
          <w:szCs w:val="20"/>
        </w:rPr>
        <w:t> </w:t>
      </w:r>
    </w:p>
    <w:p w14:paraId="586B80C3" w14:textId="77777777" w:rsidR="00FE461F" w:rsidRPr="005E4BEA" w:rsidRDefault="00FE461F" w:rsidP="00FE461F">
      <w:pPr>
        <w:spacing w:line="240" w:lineRule="auto"/>
        <w:ind w:left="284"/>
        <w:jc w:val="both"/>
        <w:rPr>
          <w:rFonts w:cs="Arial"/>
          <w:color w:val="000000"/>
          <w:szCs w:val="20"/>
        </w:rPr>
      </w:pPr>
      <w:r w:rsidRPr="005E4BEA">
        <w:rPr>
          <w:rFonts w:cs="Arial"/>
          <w:color w:val="000000"/>
          <w:szCs w:val="20"/>
        </w:rPr>
        <w:t xml:space="preserve">»(5) Program ostala ABO: </w:t>
      </w:r>
    </w:p>
    <w:p w14:paraId="2F379168" w14:textId="77777777" w:rsidR="00FE461F" w:rsidRPr="005E4BEA" w:rsidRDefault="00FE461F" w:rsidP="00FE461F">
      <w:pPr>
        <w:spacing w:line="120" w:lineRule="auto"/>
        <w:jc w:val="both"/>
        <w:rPr>
          <w:rFonts w:cs="Arial"/>
          <w:color w:val="000000"/>
          <w:szCs w:val="20"/>
        </w:rPr>
      </w:pPr>
      <w:r w:rsidRPr="005E4BEA">
        <w:rPr>
          <w:rFonts w:cs="Arial"/>
          <w:color w:val="000000"/>
          <w:szCs w:val="20"/>
        </w:rPr>
        <w:t> </w:t>
      </w:r>
    </w:p>
    <w:p w14:paraId="01D21116" w14:textId="77777777" w:rsidR="00FE461F" w:rsidRPr="005E4BEA" w:rsidRDefault="00FE461F" w:rsidP="00FE461F">
      <w:pPr>
        <w:spacing w:line="240" w:lineRule="auto"/>
        <w:ind w:left="992" w:hanging="284"/>
        <w:jc w:val="both"/>
        <w:rPr>
          <w:rFonts w:cs="Arial"/>
          <w:color w:val="000000"/>
          <w:szCs w:val="20"/>
        </w:rPr>
      </w:pPr>
      <w:r w:rsidRPr="005E4BEA">
        <w:rPr>
          <w:rFonts w:cs="Arial"/>
          <w:color w:val="000000"/>
          <w:szCs w:val="20"/>
        </w:rPr>
        <w:t>a.) Realizacija primerov se ugotovi tako, da se od celotne realizacije primerov akutne bolnišnične obravnave odšteje:</w:t>
      </w:r>
    </w:p>
    <w:p w14:paraId="72E62559" w14:textId="77777777" w:rsidR="00FE461F" w:rsidRPr="005E4BEA" w:rsidRDefault="00FE461F" w:rsidP="00FE461F">
      <w:pPr>
        <w:spacing w:line="60" w:lineRule="exact"/>
        <w:ind w:left="141"/>
        <w:jc w:val="both"/>
        <w:rPr>
          <w:rFonts w:cs="Arial"/>
          <w:color w:val="000000"/>
          <w:szCs w:val="20"/>
        </w:rPr>
      </w:pPr>
      <w:r w:rsidRPr="005E4BEA">
        <w:rPr>
          <w:rFonts w:cs="Arial"/>
          <w:color w:val="000000"/>
          <w:szCs w:val="20"/>
        </w:rPr>
        <w:t> </w:t>
      </w:r>
    </w:p>
    <w:p w14:paraId="0233B58F" w14:textId="77777777" w:rsidR="00FE461F" w:rsidRPr="005E4BEA" w:rsidRDefault="00FE461F" w:rsidP="00FE461F">
      <w:pPr>
        <w:spacing w:line="240" w:lineRule="auto"/>
        <w:ind w:left="992"/>
        <w:jc w:val="both"/>
        <w:rPr>
          <w:rFonts w:cs="Arial"/>
          <w:color w:val="000000"/>
          <w:szCs w:val="20"/>
        </w:rPr>
      </w:pPr>
      <w:r w:rsidRPr="005E4BEA">
        <w:rPr>
          <w:rFonts w:cs="Arial"/>
          <w:color w:val="000000"/>
          <w:szCs w:val="20"/>
        </w:rPr>
        <w:t xml:space="preserve">-    realizacija primerov za programe, plačane po realizaciji, in </w:t>
      </w:r>
    </w:p>
    <w:p w14:paraId="14C8DA7C" w14:textId="77777777" w:rsidR="00FE461F" w:rsidRPr="005E4BEA" w:rsidRDefault="00FE461F" w:rsidP="00FE461F">
      <w:pPr>
        <w:spacing w:line="240" w:lineRule="auto"/>
        <w:ind w:left="992"/>
        <w:jc w:val="both"/>
        <w:rPr>
          <w:rFonts w:cs="Arial"/>
          <w:color w:val="000000"/>
          <w:szCs w:val="20"/>
        </w:rPr>
      </w:pPr>
      <w:r w:rsidRPr="005E4BEA">
        <w:rPr>
          <w:rFonts w:cs="Arial"/>
          <w:color w:val="000000"/>
          <w:szCs w:val="20"/>
        </w:rPr>
        <w:t>-    realizacija primerov za programe, kjer je plačano delno preseganje plana in</w:t>
      </w:r>
    </w:p>
    <w:p w14:paraId="78728EFA" w14:textId="77777777" w:rsidR="00FE461F" w:rsidRPr="005E4BEA" w:rsidRDefault="00FE461F" w:rsidP="00FE461F">
      <w:pPr>
        <w:spacing w:line="240" w:lineRule="auto"/>
        <w:ind w:left="992"/>
        <w:jc w:val="both"/>
        <w:rPr>
          <w:rFonts w:cs="Arial"/>
          <w:color w:val="000000"/>
          <w:szCs w:val="20"/>
        </w:rPr>
      </w:pPr>
      <w:r w:rsidRPr="005E4BEA">
        <w:rPr>
          <w:rFonts w:cs="Arial"/>
          <w:color w:val="000000"/>
          <w:szCs w:val="20"/>
        </w:rPr>
        <w:t xml:space="preserve">-    </w:t>
      </w:r>
      <w:r w:rsidRPr="005E4BEA">
        <w:rPr>
          <w:rFonts w:cs="Arial"/>
          <w:b/>
          <w:bCs/>
          <w:color w:val="000000"/>
          <w:szCs w:val="20"/>
        </w:rPr>
        <w:t>realizacija primerov za programe, plačane do plana</w:t>
      </w:r>
      <w:r w:rsidRPr="005E4BEA">
        <w:rPr>
          <w:rFonts w:cs="Arial"/>
          <w:color w:val="000000"/>
          <w:szCs w:val="20"/>
        </w:rPr>
        <w:t>.</w:t>
      </w:r>
    </w:p>
    <w:p w14:paraId="5DE40C0C" w14:textId="77777777" w:rsidR="00FE461F" w:rsidRPr="005E4BEA" w:rsidRDefault="00FE461F" w:rsidP="00FE461F">
      <w:pPr>
        <w:spacing w:line="120" w:lineRule="auto"/>
        <w:ind w:left="141"/>
        <w:jc w:val="both"/>
        <w:rPr>
          <w:rFonts w:cs="Arial"/>
          <w:color w:val="000000"/>
          <w:szCs w:val="20"/>
        </w:rPr>
      </w:pPr>
      <w:r w:rsidRPr="005E4BEA">
        <w:rPr>
          <w:rFonts w:cs="Arial"/>
          <w:color w:val="000000"/>
          <w:szCs w:val="20"/>
        </w:rPr>
        <w:t> </w:t>
      </w:r>
    </w:p>
    <w:p w14:paraId="10AF12B0" w14:textId="77777777" w:rsidR="00FE461F" w:rsidRPr="005E4BEA" w:rsidRDefault="00FE461F" w:rsidP="00FE461F">
      <w:pPr>
        <w:spacing w:line="240" w:lineRule="auto"/>
        <w:ind w:left="1050"/>
        <w:jc w:val="both"/>
        <w:rPr>
          <w:rFonts w:cs="Arial"/>
          <w:b/>
          <w:bCs/>
          <w:color w:val="000000"/>
          <w:szCs w:val="20"/>
        </w:rPr>
      </w:pPr>
      <w:r w:rsidRPr="005E4BEA">
        <w:rPr>
          <w:rFonts w:cs="Arial"/>
          <w:color w:val="000000"/>
          <w:szCs w:val="20"/>
        </w:rPr>
        <w:lastRenderedPageBreak/>
        <w:t xml:space="preserve">K tako ugotovljeni realizaciji primerov se prišteje še prenos neplačanih primerov iz programov, za katere Zavod plača delno preseganje plana </w:t>
      </w:r>
      <w:r w:rsidRPr="005E4BEA">
        <w:rPr>
          <w:rFonts w:cs="Arial"/>
          <w:b/>
          <w:bCs/>
          <w:color w:val="000000"/>
          <w:szCs w:val="20"/>
        </w:rPr>
        <w:t>in neplačanih primerov programov plačanih do plana.</w:t>
      </w:r>
    </w:p>
    <w:p w14:paraId="276C93C0" w14:textId="77777777" w:rsidR="00FE461F" w:rsidRPr="005E4BEA" w:rsidRDefault="00FE461F" w:rsidP="00FE461F">
      <w:pPr>
        <w:spacing w:line="120" w:lineRule="auto"/>
        <w:jc w:val="both"/>
        <w:rPr>
          <w:rFonts w:cs="Arial"/>
          <w:b/>
          <w:bCs/>
          <w:color w:val="000000"/>
          <w:szCs w:val="20"/>
        </w:rPr>
      </w:pPr>
      <w:r w:rsidRPr="005E4BEA">
        <w:rPr>
          <w:rFonts w:cs="Arial"/>
          <w:b/>
          <w:bCs/>
          <w:color w:val="000000"/>
          <w:szCs w:val="20"/>
        </w:rPr>
        <w:t> </w:t>
      </w:r>
    </w:p>
    <w:p w14:paraId="0B6CEDDE" w14:textId="77777777" w:rsidR="00FE461F" w:rsidRPr="005E4BEA" w:rsidRDefault="00FE461F" w:rsidP="00FE461F">
      <w:pPr>
        <w:spacing w:line="120" w:lineRule="auto"/>
        <w:jc w:val="both"/>
        <w:rPr>
          <w:rFonts w:cs="Arial"/>
          <w:b/>
          <w:bCs/>
          <w:color w:val="000000"/>
          <w:szCs w:val="20"/>
        </w:rPr>
      </w:pPr>
    </w:p>
    <w:p w14:paraId="6CEE0B34" w14:textId="77777777" w:rsidR="00FE461F" w:rsidRPr="005E4BEA" w:rsidRDefault="00FE461F" w:rsidP="00FE461F">
      <w:pPr>
        <w:spacing w:line="240" w:lineRule="auto"/>
        <w:ind w:left="992" w:hanging="284"/>
        <w:jc w:val="both"/>
        <w:rPr>
          <w:rFonts w:cs="Arial"/>
          <w:color w:val="000000"/>
          <w:szCs w:val="20"/>
        </w:rPr>
      </w:pPr>
      <w:r w:rsidRPr="005E4BEA">
        <w:rPr>
          <w:rFonts w:cs="Arial"/>
          <w:color w:val="000000"/>
          <w:szCs w:val="20"/>
        </w:rPr>
        <w:t>b.) Realizacija uteži se ugotovi tako, da se od celotne realizacije uteži akutne bolnišnične obravnave odšteje:</w:t>
      </w:r>
    </w:p>
    <w:p w14:paraId="0330B485" w14:textId="77777777" w:rsidR="00FE461F" w:rsidRPr="005E4BEA" w:rsidRDefault="00FE461F" w:rsidP="00FE461F">
      <w:pPr>
        <w:spacing w:line="120" w:lineRule="auto"/>
        <w:ind w:left="141"/>
        <w:jc w:val="both"/>
        <w:rPr>
          <w:rFonts w:cs="Arial"/>
          <w:color w:val="000000"/>
          <w:szCs w:val="20"/>
        </w:rPr>
      </w:pPr>
      <w:r w:rsidRPr="005E4BEA">
        <w:rPr>
          <w:rFonts w:cs="Arial"/>
          <w:color w:val="000000"/>
          <w:szCs w:val="20"/>
        </w:rPr>
        <w:t> </w:t>
      </w:r>
    </w:p>
    <w:p w14:paraId="7E89F1B5" w14:textId="77777777" w:rsidR="00FE461F" w:rsidRPr="005E4BEA" w:rsidRDefault="00FE461F" w:rsidP="00FE461F">
      <w:pPr>
        <w:spacing w:line="240" w:lineRule="auto"/>
        <w:ind w:left="992"/>
        <w:jc w:val="both"/>
        <w:rPr>
          <w:rFonts w:cs="Arial"/>
          <w:color w:val="000000"/>
          <w:szCs w:val="20"/>
        </w:rPr>
      </w:pPr>
      <w:r w:rsidRPr="005E4BEA">
        <w:rPr>
          <w:rFonts w:cs="Arial"/>
          <w:color w:val="000000"/>
          <w:szCs w:val="20"/>
        </w:rPr>
        <w:t xml:space="preserve">-    realizacija uteži za programe, plačane po realizaciji, </w:t>
      </w:r>
    </w:p>
    <w:p w14:paraId="0D0AB115" w14:textId="77777777" w:rsidR="00FE461F" w:rsidRPr="005E4BEA" w:rsidRDefault="00FE461F" w:rsidP="00FE461F">
      <w:pPr>
        <w:spacing w:line="240" w:lineRule="auto"/>
        <w:ind w:left="992"/>
        <w:jc w:val="both"/>
        <w:rPr>
          <w:rFonts w:cs="Arial"/>
          <w:color w:val="000000"/>
          <w:szCs w:val="20"/>
        </w:rPr>
      </w:pPr>
      <w:r w:rsidRPr="005E4BEA">
        <w:rPr>
          <w:rFonts w:cs="Arial"/>
          <w:color w:val="000000"/>
          <w:szCs w:val="20"/>
        </w:rPr>
        <w:t>-    realizacija uteži za programe, kjer je plačano delno preseganje plana in</w:t>
      </w:r>
    </w:p>
    <w:p w14:paraId="6E3834A3" w14:textId="77777777" w:rsidR="00FE461F" w:rsidRPr="005E4BEA" w:rsidRDefault="00FE461F" w:rsidP="00FE461F">
      <w:pPr>
        <w:spacing w:line="240" w:lineRule="auto"/>
        <w:ind w:left="992"/>
        <w:jc w:val="both"/>
        <w:rPr>
          <w:rFonts w:cs="Arial"/>
          <w:color w:val="000000"/>
          <w:szCs w:val="20"/>
        </w:rPr>
      </w:pPr>
      <w:r w:rsidRPr="005E4BEA">
        <w:rPr>
          <w:rFonts w:cs="Arial"/>
          <w:color w:val="000000"/>
          <w:szCs w:val="20"/>
        </w:rPr>
        <w:t xml:space="preserve">-    </w:t>
      </w:r>
      <w:r w:rsidRPr="005E4BEA">
        <w:rPr>
          <w:rFonts w:cs="Arial"/>
          <w:b/>
          <w:bCs/>
          <w:color w:val="000000"/>
          <w:szCs w:val="20"/>
        </w:rPr>
        <w:t>realizacija uteži za programe, plačane do plana</w:t>
      </w:r>
      <w:r w:rsidRPr="005E4BEA">
        <w:rPr>
          <w:rFonts w:cs="Arial"/>
          <w:color w:val="000000"/>
          <w:szCs w:val="20"/>
        </w:rPr>
        <w:t>.</w:t>
      </w:r>
    </w:p>
    <w:p w14:paraId="7D485263" w14:textId="77777777" w:rsidR="00FE461F" w:rsidRPr="005E4BEA" w:rsidRDefault="00FE461F" w:rsidP="00FE461F">
      <w:pPr>
        <w:spacing w:line="120" w:lineRule="auto"/>
        <w:ind w:left="141"/>
        <w:jc w:val="both"/>
        <w:rPr>
          <w:rFonts w:cs="Arial"/>
          <w:color w:val="000000"/>
          <w:szCs w:val="20"/>
        </w:rPr>
      </w:pPr>
      <w:r w:rsidRPr="005E4BEA">
        <w:rPr>
          <w:rFonts w:cs="Arial"/>
          <w:color w:val="000000"/>
          <w:szCs w:val="20"/>
        </w:rPr>
        <w:t> </w:t>
      </w:r>
    </w:p>
    <w:p w14:paraId="5A8DA5DC" w14:textId="77777777" w:rsidR="00FE461F" w:rsidRPr="005E4BEA" w:rsidRDefault="00FE461F" w:rsidP="00FE461F">
      <w:pPr>
        <w:spacing w:line="240" w:lineRule="auto"/>
        <w:ind w:left="1050"/>
        <w:jc w:val="both"/>
        <w:rPr>
          <w:rFonts w:cs="Arial"/>
          <w:color w:val="000000"/>
          <w:szCs w:val="20"/>
        </w:rPr>
      </w:pPr>
      <w:r w:rsidRPr="005E4BEA">
        <w:rPr>
          <w:rFonts w:cs="Arial"/>
          <w:color w:val="000000"/>
          <w:szCs w:val="20"/>
        </w:rPr>
        <w:t xml:space="preserve">K tako ugotovljeni realizaciji uteži se prišteje še prenos neplačanih uteži iz programov, ki jih Zavod plača po realizaciji, programov, za katere Zavod plača delno preseganje plana </w:t>
      </w:r>
      <w:r w:rsidRPr="005E4BEA">
        <w:rPr>
          <w:rFonts w:cs="Arial"/>
          <w:b/>
          <w:bCs/>
          <w:color w:val="000000"/>
          <w:szCs w:val="20"/>
        </w:rPr>
        <w:t>in programov, plačanih do plana.</w:t>
      </w:r>
      <w:r w:rsidRPr="005E4BEA">
        <w:rPr>
          <w:rFonts w:cs="Arial"/>
          <w:color w:val="000000"/>
          <w:szCs w:val="20"/>
        </w:rPr>
        <w:t xml:space="preserve"> Prenos uteži skupaj s priznano realizacijo uteži programov z </w:t>
      </w:r>
      <w:proofErr w:type="spellStart"/>
      <w:r w:rsidRPr="005E4BEA">
        <w:rPr>
          <w:rFonts w:cs="Arial"/>
          <w:color w:val="000000"/>
          <w:szCs w:val="20"/>
        </w:rPr>
        <w:t>drugega,tretjega</w:t>
      </w:r>
      <w:proofErr w:type="spellEnd"/>
      <w:r w:rsidRPr="005E4BEA">
        <w:rPr>
          <w:rFonts w:cs="Arial"/>
          <w:color w:val="000000"/>
          <w:szCs w:val="20"/>
        </w:rPr>
        <w:t xml:space="preserve"> in četrtega odstavka tega člena ter realizacijo uteži programa »ostala ABO« se upoštevajo največ do skupne čiste realizacije uteži izvajalca.«</w:t>
      </w:r>
    </w:p>
    <w:p w14:paraId="0720D98B" w14:textId="77777777" w:rsidR="00FE461F" w:rsidRPr="005E4BEA" w:rsidRDefault="00FE461F" w:rsidP="00FE461F">
      <w:pPr>
        <w:spacing w:line="240" w:lineRule="auto"/>
        <w:ind w:left="909"/>
        <w:jc w:val="both"/>
        <w:rPr>
          <w:rFonts w:cs="Arial"/>
          <w:color w:val="000000"/>
          <w:szCs w:val="20"/>
        </w:rPr>
      </w:pPr>
    </w:p>
    <w:p w14:paraId="12465D33" w14:textId="77777777" w:rsidR="00FE461F" w:rsidRPr="005E4BEA" w:rsidRDefault="00FE461F" w:rsidP="00FE461F">
      <w:pPr>
        <w:spacing w:line="240" w:lineRule="auto"/>
        <w:ind w:left="909" w:hanging="909"/>
        <w:jc w:val="both"/>
        <w:rPr>
          <w:rFonts w:cs="Arial"/>
          <w:color w:val="000000"/>
          <w:szCs w:val="20"/>
        </w:rPr>
      </w:pPr>
      <w:r w:rsidRPr="005E4BEA">
        <w:rPr>
          <w:rFonts w:cs="Arial"/>
          <w:color w:val="000000"/>
          <w:szCs w:val="20"/>
        </w:rPr>
        <w:t>Spremembe veljajo od 1. 1. 2022 naprej.</w:t>
      </w:r>
    </w:p>
    <w:p w14:paraId="30722DBE" w14:textId="77777777" w:rsidR="00FE461F" w:rsidRPr="005E4BEA" w:rsidRDefault="00FE461F" w:rsidP="00FE461F">
      <w:pPr>
        <w:spacing w:line="120" w:lineRule="auto"/>
        <w:jc w:val="both"/>
        <w:rPr>
          <w:rFonts w:cs="Arial"/>
          <w:color w:val="000000"/>
          <w:szCs w:val="20"/>
        </w:rPr>
      </w:pPr>
      <w:r w:rsidRPr="005E4BEA">
        <w:rPr>
          <w:rFonts w:cs="Arial"/>
          <w:color w:val="000000"/>
          <w:szCs w:val="20"/>
        </w:rPr>
        <w:t> </w:t>
      </w:r>
    </w:p>
    <w:p w14:paraId="27519F0D" w14:textId="77777777" w:rsidR="00FE461F" w:rsidRPr="005E4BEA" w:rsidRDefault="00FE461F" w:rsidP="00FE461F">
      <w:pPr>
        <w:spacing w:line="240" w:lineRule="auto"/>
        <w:jc w:val="both"/>
        <w:rPr>
          <w:rFonts w:cs="Arial"/>
          <w:color w:val="7F7F7F" w:themeColor="text1" w:themeTint="80"/>
          <w:szCs w:val="20"/>
        </w:rPr>
      </w:pPr>
    </w:p>
    <w:p w14:paraId="014F8513"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62B0EB1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predlaga, da se obračun akutne bolnišnične obravnave za programe iz skupine c.) prvega odstavka Priloge BOL-2 (</w:t>
      </w:r>
      <w:proofErr w:type="spellStart"/>
      <w:r w:rsidRPr="005E4BEA">
        <w:rPr>
          <w:rFonts w:eastAsiaTheme="minorHAnsi" w:cs="Arial"/>
          <w:i/>
          <w:color w:val="808080" w:themeColor="background1" w:themeShade="80"/>
          <w:szCs w:val="20"/>
        </w:rPr>
        <w:t>prospektivni</w:t>
      </w:r>
      <w:proofErr w:type="spellEnd"/>
      <w:r w:rsidRPr="005E4BEA">
        <w:rPr>
          <w:rFonts w:eastAsiaTheme="minorHAnsi" w:cs="Arial"/>
          <w:i/>
          <w:color w:val="808080" w:themeColor="background1" w:themeShade="80"/>
          <w:szCs w:val="20"/>
        </w:rPr>
        <w:t xml:space="preserve"> programi, ki se plačajo maksimalno do plana storitev) izvaja na nivoju posameznega </w:t>
      </w:r>
      <w:proofErr w:type="spellStart"/>
      <w:r w:rsidRPr="005E4BEA">
        <w:rPr>
          <w:rFonts w:eastAsiaTheme="minorHAnsi" w:cs="Arial"/>
          <w:i/>
          <w:color w:val="808080" w:themeColor="background1" w:themeShade="80"/>
          <w:szCs w:val="20"/>
        </w:rPr>
        <w:t>prospektivnega</w:t>
      </w:r>
      <w:proofErr w:type="spellEnd"/>
      <w:r w:rsidRPr="005E4BEA">
        <w:rPr>
          <w:rFonts w:eastAsiaTheme="minorHAnsi" w:cs="Arial"/>
          <w:i/>
          <w:color w:val="808080" w:themeColor="background1" w:themeShade="80"/>
          <w:szCs w:val="20"/>
        </w:rPr>
        <w:t xml:space="preserve"> programa, ob tem pa se neplačani primeri in uteži prištejejo k realizaciji ostale akutne bolnišnične obravnave (ostala ABO). V skladu s trenutno veljavno metodologijo izvedbe obračuna se obračun navedenih </w:t>
      </w:r>
      <w:proofErr w:type="spellStart"/>
      <w:r w:rsidRPr="005E4BEA">
        <w:rPr>
          <w:rFonts w:eastAsiaTheme="minorHAnsi" w:cs="Arial"/>
          <w:i/>
          <w:color w:val="808080" w:themeColor="background1" w:themeShade="80"/>
          <w:szCs w:val="20"/>
        </w:rPr>
        <w:t>prospektivnih</w:t>
      </w:r>
      <w:proofErr w:type="spellEnd"/>
      <w:r w:rsidRPr="005E4BEA">
        <w:rPr>
          <w:rFonts w:eastAsiaTheme="minorHAnsi" w:cs="Arial"/>
          <w:i/>
          <w:color w:val="808080" w:themeColor="background1" w:themeShade="80"/>
          <w:szCs w:val="20"/>
        </w:rPr>
        <w:t xml:space="preserve"> programov izvaja v okviru skupine »ostala ABO«, kar omogoča, da se nižjo realizacijo </w:t>
      </w:r>
      <w:proofErr w:type="spellStart"/>
      <w:r w:rsidRPr="005E4BEA">
        <w:rPr>
          <w:rFonts w:eastAsiaTheme="minorHAnsi" w:cs="Arial"/>
          <w:i/>
          <w:color w:val="808080" w:themeColor="background1" w:themeShade="80"/>
          <w:szCs w:val="20"/>
        </w:rPr>
        <w:t>prospektivnih</w:t>
      </w:r>
      <w:proofErr w:type="spellEnd"/>
      <w:r w:rsidRPr="005E4BEA">
        <w:rPr>
          <w:rFonts w:eastAsiaTheme="minorHAnsi" w:cs="Arial"/>
          <w:i/>
          <w:color w:val="808080" w:themeColor="background1" w:themeShade="80"/>
          <w:szCs w:val="20"/>
        </w:rPr>
        <w:t xml:space="preserve"> (prednostnih) programov nadomešča s presežkom realizacije </w:t>
      </w:r>
      <w:proofErr w:type="spellStart"/>
      <w:r w:rsidRPr="005E4BEA">
        <w:rPr>
          <w:rFonts w:eastAsiaTheme="minorHAnsi" w:cs="Arial"/>
          <w:i/>
          <w:color w:val="808080" w:themeColor="background1" w:themeShade="80"/>
          <w:szCs w:val="20"/>
        </w:rPr>
        <w:t>neprospektivnih</w:t>
      </w:r>
      <w:proofErr w:type="spellEnd"/>
      <w:r w:rsidRPr="005E4BEA">
        <w:rPr>
          <w:rFonts w:eastAsiaTheme="minorHAnsi" w:cs="Arial"/>
          <w:i/>
          <w:color w:val="808080" w:themeColor="background1" w:themeShade="80"/>
          <w:szCs w:val="20"/>
        </w:rPr>
        <w:t xml:space="preserve"> programov. Glede na zelo perečo problematiko dolgih čakalnih dob za </w:t>
      </w:r>
      <w:proofErr w:type="spellStart"/>
      <w:r w:rsidRPr="005E4BEA">
        <w:rPr>
          <w:rFonts w:eastAsiaTheme="minorHAnsi" w:cs="Arial"/>
          <w:i/>
          <w:color w:val="808080" w:themeColor="background1" w:themeShade="80"/>
          <w:szCs w:val="20"/>
        </w:rPr>
        <w:t>prospektivne</w:t>
      </w:r>
      <w:proofErr w:type="spellEnd"/>
      <w:r w:rsidRPr="005E4BEA">
        <w:rPr>
          <w:rFonts w:eastAsiaTheme="minorHAnsi" w:cs="Arial"/>
          <w:i/>
          <w:color w:val="808080" w:themeColor="background1" w:themeShade="80"/>
          <w:szCs w:val="20"/>
        </w:rPr>
        <w:t xml:space="preserve"> programe je smiselno pričakovati, da izvajalci v celoti realizirajo pogodbeno dogovorjene </w:t>
      </w:r>
      <w:proofErr w:type="spellStart"/>
      <w:r w:rsidRPr="005E4BEA">
        <w:rPr>
          <w:rFonts w:eastAsiaTheme="minorHAnsi" w:cs="Arial"/>
          <w:i/>
          <w:color w:val="808080" w:themeColor="background1" w:themeShade="80"/>
          <w:szCs w:val="20"/>
        </w:rPr>
        <w:t>prospektivne</w:t>
      </w:r>
      <w:proofErr w:type="spellEnd"/>
      <w:r w:rsidRPr="005E4BEA">
        <w:rPr>
          <w:rFonts w:eastAsiaTheme="minorHAnsi" w:cs="Arial"/>
          <w:i/>
          <w:color w:val="808080" w:themeColor="background1" w:themeShade="80"/>
          <w:szCs w:val="20"/>
        </w:rPr>
        <w:t xml:space="preserve"> programe. </w:t>
      </w:r>
      <w:r w:rsidRPr="005E4BEA">
        <w:rPr>
          <w:rFonts w:eastAsiaTheme="minorHAnsi" w:cs="Arial"/>
          <w:b/>
          <w:bCs/>
          <w:i/>
          <w:color w:val="808080" w:themeColor="background1" w:themeShade="80"/>
          <w:szCs w:val="20"/>
        </w:rPr>
        <w:t xml:space="preserve">Nedopustno je, da se ob dolgih čakalnih dobah za </w:t>
      </w:r>
      <w:proofErr w:type="spellStart"/>
      <w:r w:rsidRPr="005E4BEA">
        <w:rPr>
          <w:rFonts w:eastAsiaTheme="minorHAnsi" w:cs="Arial"/>
          <w:b/>
          <w:bCs/>
          <w:i/>
          <w:color w:val="808080" w:themeColor="background1" w:themeShade="80"/>
          <w:szCs w:val="20"/>
        </w:rPr>
        <w:t>prospektivne</w:t>
      </w:r>
      <w:proofErr w:type="spellEnd"/>
      <w:r w:rsidRPr="005E4BEA">
        <w:rPr>
          <w:rFonts w:eastAsiaTheme="minorHAnsi" w:cs="Arial"/>
          <w:b/>
          <w:bCs/>
          <w:i/>
          <w:color w:val="808080" w:themeColor="background1" w:themeShade="80"/>
          <w:szCs w:val="20"/>
        </w:rPr>
        <w:t xml:space="preserve"> programe dopušča, da se nizka realizacija le-teh kompenzira z večjo realizacijo </w:t>
      </w:r>
      <w:proofErr w:type="spellStart"/>
      <w:r w:rsidRPr="005E4BEA">
        <w:rPr>
          <w:rFonts w:eastAsiaTheme="minorHAnsi" w:cs="Arial"/>
          <w:b/>
          <w:bCs/>
          <w:i/>
          <w:color w:val="808080" w:themeColor="background1" w:themeShade="80"/>
          <w:szCs w:val="20"/>
        </w:rPr>
        <w:t>neprospektivnih</w:t>
      </w:r>
      <w:proofErr w:type="spellEnd"/>
      <w:r w:rsidRPr="005E4BEA">
        <w:rPr>
          <w:rFonts w:eastAsiaTheme="minorHAnsi" w:cs="Arial"/>
          <w:b/>
          <w:bCs/>
          <w:i/>
          <w:color w:val="808080" w:themeColor="background1" w:themeShade="80"/>
          <w:szCs w:val="20"/>
        </w:rPr>
        <w:t xml:space="preserve"> programov. Namensko načrtovana sredstva za skrajševanje čakalnih dob se tako lahko porabijo za </w:t>
      </w:r>
      <w:proofErr w:type="spellStart"/>
      <w:r w:rsidRPr="005E4BEA">
        <w:rPr>
          <w:rFonts w:eastAsiaTheme="minorHAnsi" w:cs="Arial"/>
          <w:b/>
          <w:bCs/>
          <w:i/>
          <w:color w:val="808080" w:themeColor="background1" w:themeShade="80"/>
          <w:szCs w:val="20"/>
        </w:rPr>
        <w:t>neprospektivne</w:t>
      </w:r>
      <w:proofErr w:type="spellEnd"/>
      <w:r w:rsidRPr="005E4BEA">
        <w:rPr>
          <w:rFonts w:eastAsiaTheme="minorHAnsi" w:cs="Arial"/>
          <w:b/>
          <w:bCs/>
          <w:i/>
          <w:color w:val="808080" w:themeColor="background1" w:themeShade="80"/>
          <w:szCs w:val="20"/>
        </w:rPr>
        <w:t xml:space="preserve"> programe. Zavod zato predlaga, da se obračun akutne bolnišnične obravnave za programe iz skupine c.) prvega odstavka Priloge BOL-2 izvaja na nivoju posameznega </w:t>
      </w:r>
      <w:proofErr w:type="spellStart"/>
      <w:r w:rsidRPr="005E4BEA">
        <w:rPr>
          <w:rFonts w:eastAsiaTheme="minorHAnsi" w:cs="Arial"/>
          <w:b/>
          <w:bCs/>
          <w:i/>
          <w:color w:val="808080" w:themeColor="background1" w:themeShade="80"/>
          <w:szCs w:val="20"/>
        </w:rPr>
        <w:t>prospektivnega</w:t>
      </w:r>
      <w:proofErr w:type="spellEnd"/>
      <w:r w:rsidRPr="005E4BEA">
        <w:rPr>
          <w:rFonts w:eastAsiaTheme="minorHAnsi" w:cs="Arial"/>
          <w:b/>
          <w:bCs/>
          <w:i/>
          <w:color w:val="808080" w:themeColor="background1" w:themeShade="80"/>
          <w:szCs w:val="20"/>
        </w:rPr>
        <w:t xml:space="preserve"> programa. </w:t>
      </w:r>
      <w:r w:rsidRPr="005E4BEA">
        <w:rPr>
          <w:rFonts w:eastAsiaTheme="minorHAnsi" w:cs="Arial"/>
          <w:i/>
          <w:color w:val="808080" w:themeColor="background1" w:themeShade="80"/>
          <w:szCs w:val="20"/>
        </w:rPr>
        <w:t xml:space="preserve">Predlagamo, da se v primerih, ko izvajalci iz kakršnihkoli razlogov ne zmorejo v celoti realizirati s pogodbo dogovorjen obseg </w:t>
      </w:r>
      <w:proofErr w:type="spellStart"/>
      <w:r w:rsidRPr="005E4BEA">
        <w:rPr>
          <w:rFonts w:eastAsiaTheme="minorHAnsi" w:cs="Arial"/>
          <w:i/>
          <w:color w:val="808080" w:themeColor="background1" w:themeShade="80"/>
          <w:szCs w:val="20"/>
        </w:rPr>
        <w:t>prospektivnih</w:t>
      </w:r>
      <w:proofErr w:type="spellEnd"/>
      <w:r w:rsidRPr="005E4BEA">
        <w:rPr>
          <w:rFonts w:eastAsiaTheme="minorHAnsi" w:cs="Arial"/>
          <w:i/>
          <w:color w:val="808080" w:themeColor="background1" w:themeShade="80"/>
          <w:szCs w:val="20"/>
        </w:rPr>
        <w:t xml:space="preserve"> programov, program le-teh prenese na izvajalce, ki to zmorejo.</w:t>
      </w:r>
    </w:p>
    <w:p w14:paraId="3837AC3F"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4AD7B87D"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Navedena sprememba metodologije izvedbe obračuna </w:t>
      </w:r>
      <w:r w:rsidRPr="005E4BEA">
        <w:rPr>
          <w:rFonts w:eastAsiaTheme="minorHAnsi" w:cs="Arial"/>
          <w:b/>
          <w:bCs/>
          <w:i/>
          <w:color w:val="808080" w:themeColor="background1" w:themeShade="80"/>
          <w:szCs w:val="20"/>
        </w:rPr>
        <w:t>ne zahteva dodatnih sredstev.</w:t>
      </w:r>
    </w:p>
    <w:p w14:paraId="50CD77D0"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57A4FAF"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V primeru sprejema predloga, bi se Priloga III/c glasila:</w:t>
      </w:r>
    </w:p>
    <w:p w14:paraId="704FE6B4" w14:textId="77777777" w:rsidR="00FE461F" w:rsidRPr="005E4BEA" w:rsidRDefault="00FE461F" w:rsidP="00FE461F">
      <w:pPr>
        <w:spacing w:line="240" w:lineRule="auto"/>
        <w:jc w:val="both"/>
        <w:rPr>
          <w:rFonts w:cs="Arial"/>
          <w:color w:val="7F7F7F" w:themeColor="text1" w:themeTint="80"/>
          <w:szCs w:val="20"/>
        </w:rPr>
      </w:pPr>
      <w:r w:rsidRPr="005E4BEA">
        <w:rPr>
          <w:rFonts w:cs="Arial"/>
          <w:b/>
          <w:bCs/>
          <w:i/>
          <w:iCs/>
          <w:color w:val="7F7F7F" w:themeColor="text1" w:themeTint="80"/>
          <w:szCs w:val="20"/>
        </w:rPr>
        <w:t>»Priloga III/c</w:t>
      </w:r>
    </w:p>
    <w:p w14:paraId="44528A97" w14:textId="77777777" w:rsidR="00FE461F" w:rsidRPr="005E4BEA" w:rsidRDefault="00FE461F" w:rsidP="00FE461F">
      <w:pPr>
        <w:spacing w:line="240" w:lineRule="auto"/>
        <w:jc w:val="both"/>
        <w:rPr>
          <w:rFonts w:cs="Arial"/>
          <w:b/>
          <w:bCs/>
          <w:color w:val="7F7F7F" w:themeColor="text1" w:themeTint="80"/>
          <w:szCs w:val="20"/>
        </w:rPr>
      </w:pPr>
    </w:p>
    <w:p w14:paraId="2D9B9ECB" w14:textId="77777777" w:rsidR="00FE461F" w:rsidRPr="005E4BEA" w:rsidRDefault="00FE461F" w:rsidP="00FE461F">
      <w:pPr>
        <w:spacing w:line="240" w:lineRule="auto"/>
        <w:jc w:val="both"/>
        <w:rPr>
          <w:rFonts w:cs="Arial"/>
          <w:color w:val="7F7F7F" w:themeColor="text1" w:themeTint="80"/>
          <w:szCs w:val="20"/>
        </w:rPr>
      </w:pPr>
      <w:r w:rsidRPr="005E4BEA">
        <w:rPr>
          <w:rFonts w:cs="Arial"/>
          <w:b/>
          <w:bCs/>
          <w:color w:val="7F7F7F" w:themeColor="text1" w:themeTint="80"/>
          <w:szCs w:val="20"/>
        </w:rPr>
        <w:t>IZVAJANJE OBRAČUNA V BOLNIŠNIČNI DEJAVNOSTI</w:t>
      </w:r>
    </w:p>
    <w:p w14:paraId="4627A6B7" w14:textId="77777777" w:rsidR="00FE461F" w:rsidRPr="005E4BEA" w:rsidRDefault="00FE461F" w:rsidP="00FE461F">
      <w:pPr>
        <w:spacing w:line="240" w:lineRule="auto"/>
        <w:ind w:left="369"/>
        <w:jc w:val="both"/>
        <w:rPr>
          <w:rFonts w:cs="Arial"/>
          <w:color w:val="808080"/>
          <w:szCs w:val="20"/>
        </w:rPr>
      </w:pPr>
      <w:r w:rsidRPr="005E4BEA">
        <w:rPr>
          <w:rFonts w:cs="Arial"/>
          <w:color w:val="808080"/>
          <w:szCs w:val="20"/>
        </w:rPr>
        <w:t> </w:t>
      </w:r>
    </w:p>
    <w:p w14:paraId="7A339391" w14:textId="77777777" w:rsidR="00FE461F" w:rsidRPr="005E4BEA" w:rsidRDefault="00FE461F" w:rsidP="00FE461F">
      <w:pPr>
        <w:spacing w:line="240" w:lineRule="auto"/>
        <w:jc w:val="both"/>
        <w:textAlignment w:val="center"/>
        <w:rPr>
          <w:rFonts w:cs="Arial"/>
          <w:b/>
          <w:bCs/>
          <w:color w:val="7F7F7F" w:themeColor="text1" w:themeTint="80"/>
          <w:szCs w:val="20"/>
        </w:rPr>
      </w:pPr>
      <w:r w:rsidRPr="005E4BEA">
        <w:rPr>
          <w:rFonts w:cs="Arial"/>
          <w:b/>
          <w:bCs/>
          <w:color w:val="7F7F7F" w:themeColor="text1" w:themeTint="80"/>
          <w:szCs w:val="20"/>
        </w:rPr>
        <w:t>Obračun akutne bolnišnične obravnave na podlagi SPP</w:t>
      </w:r>
    </w:p>
    <w:p w14:paraId="27B120C2" w14:textId="77777777" w:rsidR="00FE461F" w:rsidRPr="005E4BEA" w:rsidRDefault="00FE461F" w:rsidP="00FE461F">
      <w:pPr>
        <w:spacing w:line="240" w:lineRule="auto"/>
        <w:ind w:left="369" w:hanging="369"/>
        <w:jc w:val="both"/>
        <w:rPr>
          <w:rFonts w:cs="Arial"/>
          <w:color w:val="7F7F7F" w:themeColor="text1" w:themeTint="80"/>
          <w:szCs w:val="20"/>
        </w:rPr>
      </w:pPr>
      <w:r w:rsidRPr="005E4BEA">
        <w:rPr>
          <w:rFonts w:cs="Arial"/>
          <w:color w:val="7F7F7F" w:themeColor="text1" w:themeTint="80"/>
          <w:szCs w:val="20"/>
        </w:rPr>
        <w:t>(1) V dejavnosti akutne bolnišnične obravnave na podlagi SPP se obračun izvede za prvi kvartal v letu, prvo polletje ter za obdobje januar-december, in sicer za:</w:t>
      </w:r>
    </w:p>
    <w:p w14:paraId="51426859" w14:textId="77777777" w:rsidR="00FE461F" w:rsidRPr="005E4BEA" w:rsidRDefault="00FE461F" w:rsidP="00F356C9">
      <w:pPr>
        <w:numPr>
          <w:ilvl w:val="0"/>
          <w:numId w:val="53"/>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programe, plačani po realizaciji v skladu s Prilogo BOL-2,</w:t>
      </w:r>
    </w:p>
    <w:p w14:paraId="7BAA0F2C" w14:textId="77777777" w:rsidR="00FE461F" w:rsidRPr="005E4BEA" w:rsidRDefault="00FE461F" w:rsidP="00F356C9">
      <w:pPr>
        <w:numPr>
          <w:ilvl w:val="0"/>
          <w:numId w:val="53"/>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 xml:space="preserve">programe, za katere je opredeljeno plačilo delnega preseganja plana v skladu s Prilogo BOL-2, </w:t>
      </w:r>
    </w:p>
    <w:p w14:paraId="4614F9F4" w14:textId="77777777" w:rsidR="00FE461F" w:rsidRPr="005E4BEA" w:rsidRDefault="00FE461F" w:rsidP="00F356C9">
      <w:pPr>
        <w:numPr>
          <w:ilvl w:val="0"/>
          <w:numId w:val="53"/>
        </w:numPr>
        <w:spacing w:line="240" w:lineRule="auto"/>
        <w:jc w:val="both"/>
        <w:textAlignment w:val="center"/>
        <w:rPr>
          <w:rFonts w:cs="Arial"/>
          <w:color w:val="7F7F7F" w:themeColor="text1" w:themeTint="80"/>
          <w:szCs w:val="20"/>
        </w:rPr>
      </w:pPr>
      <w:r w:rsidRPr="005E4BEA">
        <w:rPr>
          <w:rFonts w:cs="Arial"/>
          <w:b/>
          <w:bCs/>
          <w:color w:val="7F7F7F" w:themeColor="text1" w:themeTint="80"/>
          <w:szCs w:val="20"/>
        </w:rPr>
        <w:t>programe, za katere je opredeljeno plačilo do plana v skladu s Prilogo BOL-2</w:t>
      </w:r>
    </w:p>
    <w:p w14:paraId="2DC5DFEE" w14:textId="77777777" w:rsidR="00FE461F" w:rsidRPr="005E4BEA" w:rsidRDefault="00FE461F" w:rsidP="00F356C9">
      <w:pPr>
        <w:numPr>
          <w:ilvl w:val="0"/>
          <w:numId w:val="53"/>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program ostale akutne bolnišnične obravnave (v nadaljevanju: ostala ABO).</w:t>
      </w:r>
    </w:p>
    <w:p w14:paraId="1B2C8295" w14:textId="77777777" w:rsidR="00FE461F" w:rsidRPr="005E4BEA" w:rsidRDefault="00FE461F" w:rsidP="00FE461F">
      <w:pPr>
        <w:spacing w:line="120" w:lineRule="auto"/>
        <w:jc w:val="both"/>
        <w:rPr>
          <w:rFonts w:cs="Arial"/>
          <w:b/>
          <w:bCs/>
          <w:color w:val="7F7F7F" w:themeColor="text1" w:themeTint="80"/>
          <w:szCs w:val="20"/>
        </w:rPr>
      </w:pPr>
    </w:p>
    <w:p w14:paraId="159A4ECC" w14:textId="77777777" w:rsidR="00FE461F" w:rsidRPr="005E4BEA" w:rsidRDefault="00FE461F" w:rsidP="00FE461F">
      <w:pPr>
        <w:spacing w:line="240" w:lineRule="auto"/>
        <w:jc w:val="both"/>
        <w:rPr>
          <w:rFonts w:cs="Arial"/>
          <w:b/>
          <w:bCs/>
          <w:color w:val="7F7F7F" w:themeColor="text1" w:themeTint="80"/>
          <w:szCs w:val="20"/>
        </w:rPr>
      </w:pPr>
      <w:r w:rsidRPr="005E4BEA">
        <w:rPr>
          <w:rFonts w:cs="Arial"/>
          <w:b/>
          <w:bCs/>
          <w:color w:val="7F7F7F" w:themeColor="text1" w:themeTint="80"/>
          <w:szCs w:val="20"/>
        </w:rPr>
        <w:t>(2) Programi, plačani po realizaciji:</w:t>
      </w:r>
    </w:p>
    <w:p w14:paraId="5BCD9238" w14:textId="77777777" w:rsidR="00FE461F" w:rsidRPr="005E4BEA" w:rsidRDefault="00FE461F" w:rsidP="00FE461F">
      <w:pPr>
        <w:spacing w:line="60" w:lineRule="exact"/>
        <w:jc w:val="both"/>
        <w:rPr>
          <w:rFonts w:cs="Arial"/>
          <w:color w:val="7F7F7F" w:themeColor="text1" w:themeTint="80"/>
          <w:szCs w:val="20"/>
        </w:rPr>
      </w:pPr>
    </w:p>
    <w:p w14:paraId="786F4B54"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 xml:space="preserve">V obračun posameznega </w:t>
      </w:r>
      <w:proofErr w:type="spellStart"/>
      <w:r w:rsidRPr="005E4BEA">
        <w:rPr>
          <w:rFonts w:cs="Arial"/>
          <w:color w:val="7F7F7F" w:themeColor="text1" w:themeTint="80"/>
          <w:szCs w:val="20"/>
        </w:rPr>
        <w:t>prospektivnega</w:t>
      </w:r>
      <w:proofErr w:type="spellEnd"/>
      <w:r w:rsidRPr="005E4BEA">
        <w:rPr>
          <w:rFonts w:cs="Arial"/>
          <w:color w:val="7F7F7F" w:themeColor="text1" w:themeTint="80"/>
          <w:szCs w:val="20"/>
        </w:rPr>
        <w:t xml:space="preserve"> programa se vključijo vsi realizirani primeri, ki se ovrednotijo po realizirani uteži na primer, ki ne more preseči uteži za obračun iz Tabele 1 Priloge BOL-2 in ceni uteži za obračunsko obdobje. Realizirane in neplačane uteži iz te postavke se prenesejo in prištejejo k realizaciji programa ostala ABO.</w:t>
      </w:r>
    </w:p>
    <w:p w14:paraId="60A9BF50" w14:textId="77777777" w:rsidR="00FE461F" w:rsidRPr="005E4BEA" w:rsidRDefault="00FE461F" w:rsidP="00FE461F">
      <w:pPr>
        <w:spacing w:line="120" w:lineRule="auto"/>
        <w:jc w:val="both"/>
        <w:rPr>
          <w:rFonts w:cs="Arial"/>
          <w:color w:val="808080"/>
          <w:szCs w:val="20"/>
        </w:rPr>
      </w:pPr>
    </w:p>
    <w:p w14:paraId="6B1D4C2F" w14:textId="77777777" w:rsidR="00FE461F" w:rsidRPr="005E4BEA" w:rsidRDefault="00FE461F" w:rsidP="00FE461F">
      <w:pPr>
        <w:spacing w:line="240" w:lineRule="auto"/>
        <w:jc w:val="both"/>
        <w:rPr>
          <w:rFonts w:cs="Arial"/>
          <w:b/>
          <w:bCs/>
          <w:color w:val="7F7F7F" w:themeColor="text1" w:themeTint="80"/>
          <w:szCs w:val="20"/>
        </w:rPr>
      </w:pPr>
      <w:r w:rsidRPr="005E4BEA">
        <w:rPr>
          <w:rFonts w:cs="Arial"/>
          <w:b/>
          <w:bCs/>
          <w:color w:val="7F7F7F" w:themeColor="text1" w:themeTint="80"/>
          <w:szCs w:val="20"/>
        </w:rPr>
        <w:lastRenderedPageBreak/>
        <w:t>(3) Programi, kjer je plačano delno preseganje plana</w:t>
      </w:r>
    </w:p>
    <w:p w14:paraId="5E008508" w14:textId="77777777" w:rsidR="00FE461F" w:rsidRPr="005E4BEA" w:rsidRDefault="00FE461F" w:rsidP="00FE461F">
      <w:pPr>
        <w:spacing w:line="60" w:lineRule="exact"/>
        <w:jc w:val="both"/>
        <w:rPr>
          <w:rFonts w:cs="Arial"/>
          <w:color w:val="7F7F7F" w:themeColor="text1" w:themeTint="80"/>
          <w:szCs w:val="20"/>
        </w:rPr>
      </w:pPr>
    </w:p>
    <w:p w14:paraId="54FC7BB7"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 xml:space="preserve">V obračun posameznega </w:t>
      </w:r>
      <w:proofErr w:type="spellStart"/>
      <w:r w:rsidRPr="005E4BEA">
        <w:rPr>
          <w:rFonts w:cs="Arial"/>
          <w:color w:val="7F7F7F" w:themeColor="text1" w:themeTint="80"/>
          <w:szCs w:val="20"/>
        </w:rPr>
        <w:t>prospektivnega</w:t>
      </w:r>
      <w:proofErr w:type="spellEnd"/>
      <w:r w:rsidRPr="005E4BEA">
        <w:rPr>
          <w:rFonts w:cs="Arial"/>
          <w:color w:val="7F7F7F" w:themeColor="text1" w:themeTint="80"/>
          <w:szCs w:val="20"/>
        </w:rPr>
        <w:t xml:space="preserve"> programa se vključijo vsi realizirani primeri največ do preseganja opredeljenega v Prilogi BOL-2. V obračun vključeni primeri se ovrednotijo po uteži na primer za obračun iz Tabele 1  Priloge BOL-2 in ceni uteži za obračunsko obdobje. Neplačani primeri in uteži iz te postavke se prenesejo in prištejejo k realizaciji programa ostala ABO. </w:t>
      </w:r>
    </w:p>
    <w:p w14:paraId="75230653" w14:textId="77777777" w:rsidR="00FE461F" w:rsidRPr="005E4BEA" w:rsidRDefault="00FE461F" w:rsidP="00FE461F">
      <w:pPr>
        <w:spacing w:line="120" w:lineRule="auto"/>
        <w:jc w:val="both"/>
        <w:rPr>
          <w:rFonts w:cs="Arial"/>
          <w:color w:val="7F7F7F" w:themeColor="text1" w:themeTint="80"/>
          <w:szCs w:val="20"/>
        </w:rPr>
      </w:pPr>
      <w:r w:rsidRPr="005E4BEA">
        <w:rPr>
          <w:rFonts w:cs="Arial"/>
          <w:color w:val="7F7F7F" w:themeColor="text1" w:themeTint="80"/>
          <w:szCs w:val="20"/>
        </w:rPr>
        <w:t> </w:t>
      </w:r>
    </w:p>
    <w:p w14:paraId="5BB69F1A" w14:textId="77777777" w:rsidR="00FE461F" w:rsidRPr="005E4BEA" w:rsidRDefault="00FE461F" w:rsidP="00FE461F">
      <w:pPr>
        <w:spacing w:line="240" w:lineRule="auto"/>
        <w:jc w:val="both"/>
        <w:rPr>
          <w:rFonts w:cs="Arial"/>
          <w:color w:val="7F7F7F" w:themeColor="text1" w:themeTint="80"/>
          <w:szCs w:val="20"/>
        </w:rPr>
      </w:pPr>
      <w:r w:rsidRPr="005E4BEA">
        <w:rPr>
          <w:rFonts w:cs="Arial"/>
          <w:b/>
          <w:bCs/>
          <w:color w:val="7F7F7F" w:themeColor="text1" w:themeTint="80"/>
          <w:szCs w:val="20"/>
        </w:rPr>
        <w:t xml:space="preserve">(4) Programi plačani do plana </w:t>
      </w:r>
    </w:p>
    <w:p w14:paraId="08029984" w14:textId="77777777" w:rsidR="00FE461F" w:rsidRPr="005E4BEA" w:rsidRDefault="00FE461F" w:rsidP="00FE461F">
      <w:pPr>
        <w:spacing w:line="60" w:lineRule="exact"/>
        <w:jc w:val="both"/>
        <w:rPr>
          <w:rFonts w:cs="Arial"/>
          <w:color w:val="7F7F7F" w:themeColor="text1" w:themeTint="80"/>
          <w:szCs w:val="20"/>
        </w:rPr>
      </w:pPr>
    </w:p>
    <w:p w14:paraId="66C81419" w14:textId="77777777" w:rsidR="00FE461F" w:rsidRPr="005E4BEA" w:rsidRDefault="00FE461F" w:rsidP="00FE461F">
      <w:pPr>
        <w:spacing w:line="240" w:lineRule="auto"/>
        <w:jc w:val="both"/>
        <w:rPr>
          <w:rFonts w:cs="Arial"/>
          <w:color w:val="7F7F7F" w:themeColor="text1" w:themeTint="80"/>
          <w:szCs w:val="20"/>
        </w:rPr>
      </w:pPr>
      <w:r w:rsidRPr="005E4BEA">
        <w:rPr>
          <w:rFonts w:cs="Arial"/>
          <w:b/>
          <w:bCs/>
          <w:color w:val="7F7F7F" w:themeColor="text1" w:themeTint="80"/>
          <w:szCs w:val="20"/>
        </w:rPr>
        <w:t xml:space="preserve">V obračun posameznega </w:t>
      </w:r>
      <w:proofErr w:type="spellStart"/>
      <w:r w:rsidRPr="005E4BEA">
        <w:rPr>
          <w:rFonts w:cs="Arial"/>
          <w:b/>
          <w:bCs/>
          <w:color w:val="7F7F7F" w:themeColor="text1" w:themeTint="80"/>
          <w:szCs w:val="20"/>
        </w:rPr>
        <w:t>prospektivnega</w:t>
      </w:r>
      <w:proofErr w:type="spellEnd"/>
      <w:r w:rsidRPr="005E4BEA">
        <w:rPr>
          <w:rFonts w:cs="Arial"/>
          <w:b/>
          <w:bCs/>
          <w:color w:val="7F7F7F" w:themeColor="text1" w:themeTint="80"/>
          <w:szCs w:val="20"/>
        </w:rPr>
        <w:t xml:space="preserve"> programa se vključijo vsi realizirani primeri največ do pogodbenega plana primerov, ki se ovrednotijo po uteži na primer za obračun iz Tabele 1 Priloge BOL-2 in ceni uteži za obračunsko obdobje. Neplačani primeri in uteži iz te postavke se prenesejo in prištejejo k realizaciji programa ostala ABO.</w:t>
      </w:r>
    </w:p>
    <w:p w14:paraId="24B7F74C" w14:textId="77777777" w:rsidR="00FE461F" w:rsidRPr="005E4BEA" w:rsidRDefault="00FE461F" w:rsidP="00FE461F">
      <w:pPr>
        <w:spacing w:line="120" w:lineRule="auto"/>
        <w:jc w:val="both"/>
        <w:rPr>
          <w:rFonts w:cs="Arial"/>
          <w:b/>
          <w:bCs/>
          <w:color w:val="7F7F7F" w:themeColor="text1" w:themeTint="80"/>
          <w:szCs w:val="20"/>
        </w:rPr>
      </w:pPr>
      <w:r w:rsidRPr="005E4BEA">
        <w:rPr>
          <w:rFonts w:cs="Arial"/>
          <w:b/>
          <w:bCs/>
          <w:color w:val="7F7F7F" w:themeColor="text1" w:themeTint="80"/>
          <w:szCs w:val="20"/>
        </w:rPr>
        <w:t> </w:t>
      </w:r>
    </w:p>
    <w:p w14:paraId="4096EDE2" w14:textId="77777777" w:rsidR="00FE461F" w:rsidRPr="005E4BEA" w:rsidRDefault="00FE461F" w:rsidP="00FE461F">
      <w:pPr>
        <w:spacing w:line="240" w:lineRule="auto"/>
        <w:jc w:val="both"/>
        <w:rPr>
          <w:rFonts w:cs="Arial"/>
          <w:b/>
          <w:bCs/>
          <w:color w:val="7F7F7F" w:themeColor="text1" w:themeTint="80"/>
          <w:szCs w:val="20"/>
        </w:rPr>
      </w:pPr>
      <w:r w:rsidRPr="005E4BEA">
        <w:rPr>
          <w:rFonts w:cs="Arial"/>
          <w:b/>
          <w:bCs/>
          <w:color w:val="7F7F7F" w:themeColor="text1" w:themeTint="80"/>
          <w:szCs w:val="20"/>
        </w:rPr>
        <w:t xml:space="preserve">(5) Program ostala ABO: </w:t>
      </w:r>
    </w:p>
    <w:p w14:paraId="7930D7AE" w14:textId="77777777" w:rsidR="00FE461F" w:rsidRPr="005E4BEA" w:rsidRDefault="00FE461F" w:rsidP="00FE461F">
      <w:pPr>
        <w:spacing w:line="60" w:lineRule="exact"/>
        <w:jc w:val="both"/>
        <w:rPr>
          <w:rFonts w:cs="Arial"/>
          <w:color w:val="7F7F7F" w:themeColor="text1" w:themeTint="80"/>
          <w:szCs w:val="20"/>
        </w:rPr>
      </w:pPr>
      <w:r w:rsidRPr="005E4BEA">
        <w:rPr>
          <w:rFonts w:cs="Arial"/>
          <w:b/>
          <w:bCs/>
          <w:color w:val="7F7F7F" w:themeColor="text1" w:themeTint="80"/>
          <w:szCs w:val="20"/>
        </w:rPr>
        <w:t> </w:t>
      </w:r>
    </w:p>
    <w:p w14:paraId="61CF3395" w14:textId="77777777" w:rsidR="00FE461F" w:rsidRPr="005E4BEA" w:rsidRDefault="00FE461F" w:rsidP="00FE461F">
      <w:pPr>
        <w:spacing w:line="240" w:lineRule="auto"/>
        <w:ind w:left="360"/>
        <w:jc w:val="both"/>
        <w:rPr>
          <w:rFonts w:cs="Arial"/>
          <w:color w:val="7F7F7F" w:themeColor="text1" w:themeTint="80"/>
          <w:szCs w:val="20"/>
        </w:rPr>
      </w:pPr>
      <w:r w:rsidRPr="005E4BEA">
        <w:rPr>
          <w:rFonts w:cs="Arial"/>
          <w:color w:val="7F7F7F" w:themeColor="text1" w:themeTint="80"/>
          <w:szCs w:val="20"/>
        </w:rPr>
        <w:t>a.) Realizacija primerov se ugotovi tako, da se od celotne realizacije primerov akutne bolnišnične obravnave odšteje:</w:t>
      </w:r>
    </w:p>
    <w:p w14:paraId="64FAC141" w14:textId="77777777" w:rsidR="00FE461F" w:rsidRPr="005E4BEA" w:rsidRDefault="00FE461F" w:rsidP="00FE461F">
      <w:pPr>
        <w:spacing w:line="60" w:lineRule="exact"/>
        <w:jc w:val="both"/>
        <w:rPr>
          <w:rFonts w:cs="Arial"/>
          <w:color w:val="7F7F7F" w:themeColor="text1" w:themeTint="80"/>
          <w:szCs w:val="20"/>
        </w:rPr>
      </w:pPr>
      <w:r w:rsidRPr="005E4BEA">
        <w:rPr>
          <w:rFonts w:cs="Arial"/>
          <w:b/>
          <w:bCs/>
          <w:color w:val="7F7F7F" w:themeColor="text1" w:themeTint="80"/>
          <w:szCs w:val="20"/>
        </w:rPr>
        <w:t> </w:t>
      </w:r>
    </w:p>
    <w:p w14:paraId="02D4CA8F" w14:textId="77777777" w:rsidR="00FE461F" w:rsidRPr="005E4BEA" w:rsidRDefault="00FE461F" w:rsidP="00F356C9">
      <w:pPr>
        <w:numPr>
          <w:ilvl w:val="0"/>
          <w:numId w:val="52"/>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 xml:space="preserve">realizacija primerov za programe, plačane po realizaciji,  </w:t>
      </w:r>
    </w:p>
    <w:p w14:paraId="386B91AA" w14:textId="77777777" w:rsidR="00FE461F" w:rsidRPr="005E4BEA" w:rsidRDefault="00FE461F" w:rsidP="00F356C9">
      <w:pPr>
        <w:numPr>
          <w:ilvl w:val="0"/>
          <w:numId w:val="52"/>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realizacija primerov za programe, kjer je plačano preseganje plana in</w:t>
      </w:r>
    </w:p>
    <w:p w14:paraId="11BFE5B4" w14:textId="77777777" w:rsidR="00FE461F" w:rsidRPr="005E4BEA" w:rsidRDefault="00FE461F" w:rsidP="00F356C9">
      <w:pPr>
        <w:numPr>
          <w:ilvl w:val="0"/>
          <w:numId w:val="52"/>
        </w:numPr>
        <w:spacing w:line="240" w:lineRule="auto"/>
        <w:jc w:val="both"/>
        <w:textAlignment w:val="center"/>
        <w:rPr>
          <w:rFonts w:cs="Arial"/>
          <w:color w:val="7F7F7F" w:themeColor="text1" w:themeTint="80"/>
          <w:szCs w:val="20"/>
        </w:rPr>
      </w:pPr>
      <w:r w:rsidRPr="005E4BEA">
        <w:rPr>
          <w:rFonts w:cs="Arial"/>
          <w:b/>
          <w:bCs/>
          <w:color w:val="7F7F7F" w:themeColor="text1" w:themeTint="80"/>
          <w:szCs w:val="20"/>
        </w:rPr>
        <w:t>realizacija primerov za programe, plačane do plana</w:t>
      </w:r>
      <w:r w:rsidRPr="005E4BEA">
        <w:rPr>
          <w:rFonts w:cs="Arial"/>
          <w:color w:val="7F7F7F" w:themeColor="text1" w:themeTint="80"/>
          <w:szCs w:val="20"/>
        </w:rPr>
        <w:t>.</w:t>
      </w:r>
    </w:p>
    <w:p w14:paraId="09DBE4B0" w14:textId="77777777" w:rsidR="00FE461F" w:rsidRPr="005E4BEA" w:rsidRDefault="00FE461F" w:rsidP="00FE461F">
      <w:pPr>
        <w:spacing w:line="60" w:lineRule="exact"/>
        <w:jc w:val="both"/>
        <w:rPr>
          <w:rFonts w:cs="Arial"/>
          <w:color w:val="7F7F7F" w:themeColor="text1" w:themeTint="80"/>
          <w:szCs w:val="20"/>
        </w:rPr>
      </w:pPr>
      <w:r w:rsidRPr="005E4BEA">
        <w:rPr>
          <w:rFonts w:cs="Arial"/>
          <w:color w:val="7F7F7F" w:themeColor="text1" w:themeTint="80"/>
          <w:szCs w:val="20"/>
        </w:rPr>
        <w:t> </w:t>
      </w:r>
    </w:p>
    <w:p w14:paraId="53E0F38D" w14:textId="77777777" w:rsidR="00FE461F" w:rsidRPr="005E4BEA" w:rsidRDefault="00FE461F" w:rsidP="00FE461F">
      <w:pPr>
        <w:spacing w:line="240" w:lineRule="auto"/>
        <w:ind w:left="360"/>
        <w:jc w:val="both"/>
        <w:rPr>
          <w:rFonts w:cs="Arial"/>
          <w:color w:val="7F7F7F" w:themeColor="text1" w:themeTint="80"/>
          <w:szCs w:val="20"/>
        </w:rPr>
      </w:pPr>
      <w:r w:rsidRPr="005E4BEA">
        <w:rPr>
          <w:rFonts w:cs="Arial"/>
          <w:color w:val="7F7F7F" w:themeColor="text1" w:themeTint="80"/>
          <w:szCs w:val="20"/>
        </w:rPr>
        <w:t xml:space="preserve">K tako ugotovljeni realizaciji primerov se prišteje še prenos neplačanih primerov iz programov, za katere Zavod plača delno preseganje plana </w:t>
      </w:r>
      <w:r w:rsidRPr="005E4BEA">
        <w:rPr>
          <w:rFonts w:cs="Arial"/>
          <w:b/>
          <w:bCs/>
          <w:color w:val="7F7F7F" w:themeColor="text1" w:themeTint="80"/>
          <w:szCs w:val="20"/>
        </w:rPr>
        <w:t>in neplačanih primerov programov, plačanih do plana</w:t>
      </w:r>
      <w:r w:rsidRPr="005E4BEA">
        <w:rPr>
          <w:rFonts w:cs="Arial"/>
          <w:color w:val="7F7F7F" w:themeColor="text1" w:themeTint="80"/>
          <w:szCs w:val="20"/>
        </w:rPr>
        <w:t>.</w:t>
      </w:r>
    </w:p>
    <w:p w14:paraId="77EC4A3A" w14:textId="77777777" w:rsidR="00FE461F" w:rsidRPr="005E4BEA" w:rsidRDefault="00FE461F" w:rsidP="00FE461F">
      <w:pPr>
        <w:spacing w:line="120" w:lineRule="auto"/>
        <w:jc w:val="both"/>
        <w:rPr>
          <w:rFonts w:cs="Arial"/>
          <w:color w:val="000000"/>
          <w:szCs w:val="20"/>
        </w:rPr>
      </w:pPr>
      <w:r w:rsidRPr="005E4BEA">
        <w:rPr>
          <w:rFonts w:cs="Arial"/>
          <w:color w:val="000000"/>
          <w:szCs w:val="20"/>
        </w:rPr>
        <w:t> </w:t>
      </w:r>
    </w:p>
    <w:p w14:paraId="3EE88363" w14:textId="77777777" w:rsidR="00FE461F" w:rsidRPr="005E4BEA" w:rsidRDefault="00FE461F" w:rsidP="00FE461F">
      <w:pPr>
        <w:spacing w:line="240" w:lineRule="auto"/>
        <w:ind w:left="360"/>
        <w:jc w:val="both"/>
        <w:rPr>
          <w:rFonts w:cs="Arial"/>
          <w:color w:val="7F7F7F" w:themeColor="text1" w:themeTint="80"/>
          <w:szCs w:val="20"/>
        </w:rPr>
      </w:pPr>
      <w:r w:rsidRPr="005E4BEA">
        <w:rPr>
          <w:rFonts w:cs="Arial"/>
          <w:color w:val="7F7F7F" w:themeColor="text1" w:themeTint="80"/>
          <w:szCs w:val="20"/>
        </w:rPr>
        <w:t>b.) Realizacija uteži se ugotovi tako, da se od celotne realizacije uteži akutne bolnišnične obravnave odšteje:</w:t>
      </w:r>
    </w:p>
    <w:p w14:paraId="79055197" w14:textId="77777777" w:rsidR="00FE461F" w:rsidRPr="005E4BEA" w:rsidRDefault="00FE461F" w:rsidP="00FE461F">
      <w:pPr>
        <w:spacing w:line="60" w:lineRule="exact"/>
        <w:jc w:val="both"/>
        <w:rPr>
          <w:rFonts w:cs="Arial"/>
          <w:color w:val="7F7F7F" w:themeColor="text1" w:themeTint="80"/>
          <w:szCs w:val="20"/>
        </w:rPr>
      </w:pPr>
      <w:r w:rsidRPr="005E4BEA">
        <w:rPr>
          <w:rFonts w:cs="Arial"/>
          <w:color w:val="7F7F7F" w:themeColor="text1" w:themeTint="80"/>
          <w:szCs w:val="20"/>
        </w:rPr>
        <w:t> </w:t>
      </w:r>
    </w:p>
    <w:p w14:paraId="5C180BE2" w14:textId="77777777" w:rsidR="00FE461F" w:rsidRPr="005E4BEA" w:rsidRDefault="00FE461F" w:rsidP="00F356C9">
      <w:pPr>
        <w:numPr>
          <w:ilvl w:val="0"/>
          <w:numId w:val="52"/>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 xml:space="preserve">realizacija uteži za programe, plačane po realizaciji, </w:t>
      </w:r>
    </w:p>
    <w:p w14:paraId="218CCB06" w14:textId="77777777" w:rsidR="00FE461F" w:rsidRPr="005E4BEA" w:rsidRDefault="00FE461F" w:rsidP="00F356C9">
      <w:pPr>
        <w:numPr>
          <w:ilvl w:val="0"/>
          <w:numId w:val="52"/>
        </w:numPr>
        <w:spacing w:line="240" w:lineRule="auto"/>
        <w:jc w:val="both"/>
        <w:textAlignment w:val="center"/>
        <w:rPr>
          <w:rFonts w:cs="Arial"/>
          <w:color w:val="7F7F7F" w:themeColor="text1" w:themeTint="80"/>
          <w:szCs w:val="20"/>
        </w:rPr>
      </w:pPr>
      <w:r w:rsidRPr="005E4BEA">
        <w:rPr>
          <w:rFonts w:cs="Arial"/>
          <w:color w:val="7F7F7F" w:themeColor="text1" w:themeTint="80"/>
          <w:szCs w:val="20"/>
        </w:rPr>
        <w:t>realizacija uteži za programe, kjer je plačano delno preseganje plana in</w:t>
      </w:r>
    </w:p>
    <w:p w14:paraId="31556A91" w14:textId="77777777" w:rsidR="00FE461F" w:rsidRPr="005E4BEA" w:rsidRDefault="00FE461F" w:rsidP="00F356C9">
      <w:pPr>
        <w:numPr>
          <w:ilvl w:val="0"/>
          <w:numId w:val="52"/>
        </w:numPr>
        <w:spacing w:line="240" w:lineRule="auto"/>
        <w:jc w:val="both"/>
        <w:textAlignment w:val="center"/>
        <w:rPr>
          <w:rFonts w:cs="Arial"/>
          <w:color w:val="7F7F7F" w:themeColor="text1" w:themeTint="80"/>
          <w:szCs w:val="20"/>
        </w:rPr>
      </w:pPr>
      <w:r w:rsidRPr="005E4BEA">
        <w:rPr>
          <w:rFonts w:cs="Arial"/>
          <w:b/>
          <w:bCs/>
          <w:color w:val="7F7F7F" w:themeColor="text1" w:themeTint="80"/>
          <w:szCs w:val="20"/>
        </w:rPr>
        <w:t>realizacija uteži za programe, plačane do plana</w:t>
      </w:r>
      <w:r w:rsidRPr="005E4BEA">
        <w:rPr>
          <w:rFonts w:cs="Arial"/>
          <w:color w:val="7F7F7F" w:themeColor="text1" w:themeTint="80"/>
          <w:szCs w:val="20"/>
        </w:rPr>
        <w:t>.</w:t>
      </w:r>
    </w:p>
    <w:p w14:paraId="34E5F7CC" w14:textId="77777777" w:rsidR="00FE461F" w:rsidRPr="005E4BEA" w:rsidRDefault="00FE461F" w:rsidP="00FE461F">
      <w:pPr>
        <w:spacing w:line="120" w:lineRule="auto"/>
        <w:jc w:val="both"/>
        <w:rPr>
          <w:rFonts w:cs="Arial"/>
          <w:color w:val="7F7F7F" w:themeColor="text1" w:themeTint="80"/>
          <w:szCs w:val="20"/>
        </w:rPr>
      </w:pPr>
      <w:r w:rsidRPr="005E4BEA">
        <w:rPr>
          <w:rFonts w:cs="Arial"/>
          <w:color w:val="7F7F7F" w:themeColor="text1" w:themeTint="80"/>
          <w:szCs w:val="20"/>
        </w:rPr>
        <w:t> </w:t>
      </w:r>
    </w:p>
    <w:p w14:paraId="75600CA5" w14:textId="77777777" w:rsidR="00FE461F" w:rsidRPr="005E4BEA" w:rsidRDefault="00FE461F" w:rsidP="00FE461F">
      <w:pPr>
        <w:spacing w:line="240" w:lineRule="auto"/>
        <w:ind w:left="360"/>
        <w:jc w:val="both"/>
        <w:rPr>
          <w:rFonts w:cs="Arial"/>
          <w:color w:val="7F7F7F" w:themeColor="text1" w:themeTint="80"/>
          <w:szCs w:val="20"/>
        </w:rPr>
      </w:pPr>
      <w:r w:rsidRPr="005E4BEA">
        <w:rPr>
          <w:rFonts w:cs="Arial"/>
          <w:color w:val="7F7F7F" w:themeColor="text1" w:themeTint="80"/>
          <w:szCs w:val="20"/>
        </w:rPr>
        <w:t xml:space="preserve">K tako ugotovljeni realizaciji uteži se prišteje še prenos neplačanih uteži iz programov, ki jih Zavod plača po realizaciji, programov, za katere Zavod plača delno preseganje plana </w:t>
      </w:r>
      <w:r w:rsidRPr="005E4BEA">
        <w:rPr>
          <w:rFonts w:cs="Arial"/>
          <w:b/>
          <w:bCs/>
          <w:color w:val="7F7F7F" w:themeColor="text1" w:themeTint="80"/>
          <w:szCs w:val="20"/>
        </w:rPr>
        <w:t>in programov, plačanih do plana</w:t>
      </w:r>
      <w:r w:rsidRPr="005E4BEA">
        <w:rPr>
          <w:rFonts w:cs="Arial"/>
          <w:color w:val="7F7F7F" w:themeColor="text1" w:themeTint="80"/>
          <w:szCs w:val="20"/>
        </w:rPr>
        <w:t xml:space="preserve">. Prenos uteži skupaj s priznano realizacijo uteži programov z drugega, tretjega </w:t>
      </w:r>
      <w:r w:rsidRPr="005E4BEA">
        <w:rPr>
          <w:rFonts w:cs="Arial"/>
          <w:b/>
          <w:bCs/>
          <w:color w:val="7F7F7F" w:themeColor="text1" w:themeTint="80"/>
          <w:szCs w:val="20"/>
        </w:rPr>
        <w:t xml:space="preserve">in četrtega </w:t>
      </w:r>
      <w:r w:rsidRPr="005E4BEA">
        <w:rPr>
          <w:rFonts w:cs="Arial"/>
          <w:color w:val="7F7F7F" w:themeColor="text1" w:themeTint="80"/>
          <w:szCs w:val="20"/>
        </w:rPr>
        <w:t>odstavka tega člena ter realizacijo uteži programa »ostala ABO« se upoštevajo največ do skupne čiste realizacije uteži izvajalca.</w:t>
      </w:r>
    </w:p>
    <w:p w14:paraId="00D21759" w14:textId="77777777" w:rsidR="00FE461F" w:rsidRPr="005E4BEA" w:rsidRDefault="00FE461F" w:rsidP="00FE461F">
      <w:pPr>
        <w:spacing w:line="240" w:lineRule="auto"/>
        <w:ind w:left="369"/>
        <w:jc w:val="both"/>
        <w:rPr>
          <w:rFonts w:cs="Arial"/>
          <w:color w:val="7F7F7F" w:themeColor="text1" w:themeTint="80"/>
          <w:szCs w:val="20"/>
        </w:rPr>
      </w:pPr>
      <w:r w:rsidRPr="005E4BEA">
        <w:rPr>
          <w:rFonts w:cs="Arial"/>
          <w:color w:val="7F7F7F" w:themeColor="text1" w:themeTint="80"/>
          <w:szCs w:val="20"/>
        </w:rPr>
        <w:t> </w:t>
      </w:r>
    </w:p>
    <w:p w14:paraId="16D6591F" w14:textId="77777777" w:rsidR="00FE461F" w:rsidRPr="005E4BEA" w:rsidRDefault="00FE461F" w:rsidP="00FE461F">
      <w:pPr>
        <w:spacing w:line="240" w:lineRule="auto"/>
        <w:ind w:left="360"/>
        <w:jc w:val="both"/>
        <w:rPr>
          <w:rFonts w:cs="Arial"/>
          <w:color w:val="7F7F7F" w:themeColor="text1" w:themeTint="80"/>
          <w:szCs w:val="20"/>
        </w:rPr>
      </w:pPr>
      <w:r w:rsidRPr="005E4BEA">
        <w:rPr>
          <w:rFonts w:cs="Arial"/>
          <w:color w:val="7F7F7F" w:themeColor="text1" w:themeTint="80"/>
          <w:szCs w:val="20"/>
        </w:rPr>
        <w:t>c.) V obračun za program ostala ABO se vključijo realizirane uteži največ do višine planiranih uteži programov ostala ABO skupaj in pripadajoči primeri.</w:t>
      </w:r>
    </w:p>
    <w:p w14:paraId="3825BF0C" w14:textId="77777777" w:rsidR="00FE461F" w:rsidRPr="005E4BEA" w:rsidRDefault="00FE461F" w:rsidP="00FE461F">
      <w:pPr>
        <w:spacing w:line="120" w:lineRule="auto"/>
        <w:jc w:val="both"/>
        <w:rPr>
          <w:rFonts w:cs="Arial"/>
          <w:color w:val="7F7F7F" w:themeColor="text1" w:themeTint="80"/>
          <w:szCs w:val="20"/>
        </w:rPr>
      </w:pPr>
    </w:p>
    <w:p w14:paraId="1B1F0AF6"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 xml:space="preserve">(6) Če je v okviru </w:t>
      </w:r>
      <w:proofErr w:type="spellStart"/>
      <w:r w:rsidRPr="005E4BEA">
        <w:rPr>
          <w:rFonts w:cs="Arial"/>
          <w:color w:val="7F7F7F" w:themeColor="text1" w:themeTint="80"/>
          <w:szCs w:val="20"/>
        </w:rPr>
        <w:t>prospektivnega</w:t>
      </w:r>
      <w:proofErr w:type="spellEnd"/>
      <w:r w:rsidRPr="005E4BEA">
        <w:rPr>
          <w:rFonts w:cs="Arial"/>
          <w:color w:val="7F7F7F" w:themeColor="text1" w:themeTint="80"/>
          <w:szCs w:val="20"/>
        </w:rPr>
        <w:t xml:space="preserve"> programa iz Tabele 1 Priloge BOL-2 izvedena obravnava, ki pomeni tudi kirurško zdravljenje rakave bolezni ali zdravljenje možganske kapi, se takšna obravnava pri končnem letnem obračunu upošteva kot vrsta </w:t>
      </w:r>
      <w:proofErr w:type="spellStart"/>
      <w:r w:rsidRPr="005E4BEA">
        <w:rPr>
          <w:rFonts w:cs="Arial"/>
          <w:color w:val="7F7F7F" w:themeColor="text1" w:themeTint="80"/>
          <w:szCs w:val="20"/>
        </w:rPr>
        <w:t>prospektivnega</w:t>
      </w:r>
      <w:proofErr w:type="spellEnd"/>
      <w:r w:rsidRPr="005E4BEA">
        <w:rPr>
          <w:rFonts w:cs="Arial"/>
          <w:color w:val="7F7F7F" w:themeColor="text1" w:themeTint="80"/>
          <w:szCs w:val="20"/>
        </w:rPr>
        <w:t xml:space="preserve"> programa kirurško zdravljenje rakave bolezni ali zdravljenje možganske kapi.</w:t>
      </w:r>
    </w:p>
    <w:p w14:paraId="10F44833" w14:textId="77777777" w:rsidR="00FE461F" w:rsidRPr="005E4BEA" w:rsidRDefault="00FE461F" w:rsidP="00FE461F">
      <w:pPr>
        <w:spacing w:line="120" w:lineRule="auto"/>
        <w:jc w:val="both"/>
        <w:rPr>
          <w:rFonts w:cs="Arial"/>
          <w:color w:val="7F7F7F" w:themeColor="text1" w:themeTint="80"/>
          <w:szCs w:val="20"/>
        </w:rPr>
      </w:pPr>
      <w:r w:rsidRPr="005E4BEA">
        <w:rPr>
          <w:rFonts w:cs="Arial"/>
          <w:b/>
          <w:bCs/>
          <w:color w:val="7F7F7F" w:themeColor="text1" w:themeTint="80"/>
          <w:szCs w:val="20"/>
        </w:rPr>
        <w:t> </w:t>
      </w:r>
    </w:p>
    <w:p w14:paraId="06829549"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(7) Izvajalec, ki hkrati realizira skupni plan primerov in uteži, je upravičen najmanj do plačila celotnega pogodbenega programa akutne bolnišnične obravnave SPP.</w:t>
      </w:r>
    </w:p>
    <w:p w14:paraId="5AA5D34E" w14:textId="77777777" w:rsidR="00FE461F" w:rsidRPr="005E4BEA" w:rsidRDefault="00FE461F" w:rsidP="00FE461F">
      <w:pPr>
        <w:spacing w:line="120" w:lineRule="auto"/>
        <w:jc w:val="both"/>
        <w:rPr>
          <w:rFonts w:cs="Arial"/>
          <w:color w:val="7F7F7F" w:themeColor="text1" w:themeTint="80"/>
          <w:szCs w:val="20"/>
        </w:rPr>
      </w:pPr>
      <w:r w:rsidRPr="005E4BEA">
        <w:rPr>
          <w:rFonts w:cs="Arial"/>
          <w:b/>
          <w:bCs/>
          <w:color w:val="7F7F7F" w:themeColor="text1" w:themeTint="80"/>
          <w:szCs w:val="20"/>
        </w:rPr>
        <w:t> </w:t>
      </w:r>
    </w:p>
    <w:p w14:paraId="26A8439C"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(8) V obračun akutne bolnišnične obravnave (SPP) se vključijo planirana sredstva izvajalcev za terciar 1. Priznana obračunska vrednost za terciar 2 se določi na podlagi indeksa realiziranih uteži celotne akutne bolnišnične obravnave ter ne more preseči pogodbeno dogovorjenih sredstev za terciar 2.</w:t>
      </w:r>
    </w:p>
    <w:p w14:paraId="20367D35" w14:textId="77777777" w:rsidR="00FE461F" w:rsidRPr="005E4BEA" w:rsidRDefault="00FE461F" w:rsidP="00FE461F">
      <w:pPr>
        <w:spacing w:line="120" w:lineRule="auto"/>
        <w:jc w:val="both"/>
        <w:rPr>
          <w:rFonts w:cs="Arial"/>
          <w:color w:val="7F7F7F" w:themeColor="text1" w:themeTint="80"/>
          <w:szCs w:val="20"/>
        </w:rPr>
      </w:pPr>
      <w:r w:rsidRPr="005E4BEA">
        <w:rPr>
          <w:rFonts w:cs="Arial"/>
          <w:color w:val="7F7F7F" w:themeColor="text1" w:themeTint="80"/>
          <w:szCs w:val="20"/>
        </w:rPr>
        <w:t> </w:t>
      </w:r>
    </w:p>
    <w:p w14:paraId="656E234F" w14:textId="77777777" w:rsidR="00FE461F" w:rsidRPr="005E4BEA" w:rsidRDefault="00FE461F" w:rsidP="00FE461F">
      <w:pPr>
        <w:spacing w:line="240" w:lineRule="auto"/>
        <w:jc w:val="both"/>
        <w:rPr>
          <w:rFonts w:cs="Arial"/>
          <w:color w:val="7F7F7F" w:themeColor="text1" w:themeTint="80"/>
          <w:szCs w:val="20"/>
        </w:rPr>
      </w:pPr>
      <w:r w:rsidRPr="005E4BEA">
        <w:rPr>
          <w:rFonts w:cs="Arial"/>
          <w:color w:val="7F7F7F" w:themeColor="text1" w:themeTint="80"/>
          <w:szCs w:val="20"/>
        </w:rPr>
        <w:t>(9) Na podlagi določb Priloge BOL-3 se sredstva za terciar izvajalcu, ki ne utemelji porabljenih sredstev in hkrati utemeljeni del porabljenih sredstev iz poročila ne presega pogodbeno dogovorjenega plana, v naslednjem pogodbenem letu pri obračunu zmanjšajo za neutemeljeno porabljeni del.«</w:t>
      </w:r>
    </w:p>
    <w:p w14:paraId="4D4D6B5C" w14:textId="77777777" w:rsidR="00FE461F" w:rsidRPr="005E4BEA" w:rsidRDefault="00FE461F" w:rsidP="00FE461F">
      <w:pPr>
        <w:spacing w:line="60" w:lineRule="exact"/>
        <w:jc w:val="both"/>
        <w:rPr>
          <w:rFonts w:cs="Arial"/>
          <w:szCs w:val="20"/>
        </w:rPr>
      </w:pPr>
    </w:p>
    <w:p w14:paraId="2E1C8436"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Finančne posledice: -</w:t>
      </w:r>
    </w:p>
    <w:bookmarkEnd w:id="140"/>
    <w:p w14:paraId="1708D2A7" w14:textId="77777777" w:rsidR="00FE461F" w:rsidRPr="005E4BEA" w:rsidRDefault="00FE461F" w:rsidP="00FE461F">
      <w:pPr>
        <w:spacing w:line="240" w:lineRule="auto"/>
        <w:ind w:left="426" w:hanging="426"/>
        <w:contextualSpacing/>
        <w:rPr>
          <w:rFonts w:eastAsiaTheme="majorEastAsia" w:cs="Arial"/>
          <w:b/>
          <w:bCs/>
          <w:szCs w:val="20"/>
        </w:rPr>
      </w:pPr>
    </w:p>
    <w:p w14:paraId="11E90D64" w14:textId="77777777" w:rsidR="006D4358" w:rsidRPr="005E4BEA" w:rsidRDefault="006D4358" w:rsidP="006D435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4B3606A" w14:textId="77777777" w:rsidR="006D4358" w:rsidRPr="005E4BEA" w:rsidRDefault="006D4358" w:rsidP="006D4358">
      <w:pPr>
        <w:spacing w:line="0" w:lineRule="atLeast"/>
        <w:jc w:val="both"/>
        <w:rPr>
          <w:rFonts w:eastAsia="Arial Narrow" w:cs="Arial"/>
          <w:szCs w:val="20"/>
          <w:lang w:eastAsia="sl-SI"/>
        </w:rPr>
      </w:pPr>
    </w:p>
    <w:p w14:paraId="608686FE" w14:textId="24E644DB" w:rsidR="006D4358" w:rsidRPr="005E4BEA" w:rsidRDefault="006D4358" w:rsidP="006D435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41" w:name="_Hlk102478885"/>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III/c </w:t>
      </w:r>
      <w:r w:rsidRPr="005E4BEA">
        <w:rPr>
          <w:rFonts w:eastAsiaTheme="minorHAnsi" w:cs="Arial"/>
          <w:bCs/>
          <w:szCs w:val="20"/>
        </w:rPr>
        <w:t>Splošnega dogovora ne spremeni.</w:t>
      </w:r>
    </w:p>
    <w:bookmarkEnd w:id="141"/>
    <w:p w14:paraId="30EC53B6" w14:textId="77777777" w:rsidR="006D4358" w:rsidRPr="005E4BEA" w:rsidRDefault="006D4358" w:rsidP="006D4358">
      <w:pPr>
        <w:spacing w:line="0" w:lineRule="atLeast"/>
        <w:contextualSpacing/>
        <w:jc w:val="both"/>
        <w:rPr>
          <w:rFonts w:eastAsia="Arial Narrow" w:cs="Arial"/>
          <w:bCs/>
          <w:szCs w:val="20"/>
        </w:rPr>
      </w:pPr>
    </w:p>
    <w:p w14:paraId="23F598DD" w14:textId="77777777" w:rsidR="006D4358" w:rsidRPr="005E4BEA" w:rsidRDefault="006D4358" w:rsidP="006D4358">
      <w:pPr>
        <w:spacing w:line="240" w:lineRule="auto"/>
        <w:jc w:val="both"/>
        <w:rPr>
          <w:rFonts w:cs="Arial"/>
          <w:szCs w:val="20"/>
        </w:rPr>
      </w:pPr>
    </w:p>
    <w:p w14:paraId="1C8DE0A5" w14:textId="0446A2F5"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(120)</w:t>
      </w:r>
    </w:p>
    <w:p w14:paraId="09EFCF98" w14:textId="77777777" w:rsidR="006D4358" w:rsidRPr="005E4BEA" w:rsidRDefault="006D4358" w:rsidP="006D4358">
      <w:pPr>
        <w:spacing w:line="240" w:lineRule="auto"/>
        <w:jc w:val="both"/>
        <w:rPr>
          <w:rFonts w:eastAsia="Arial Narrow" w:cs="Arial"/>
          <w:b/>
          <w:szCs w:val="20"/>
        </w:rPr>
      </w:pPr>
    </w:p>
    <w:p w14:paraId="64568C99" w14:textId="34133AEE" w:rsidR="00FE461F" w:rsidRPr="005E4BEA" w:rsidRDefault="006D4358" w:rsidP="006D4358">
      <w:pPr>
        <w:spacing w:line="240" w:lineRule="auto"/>
        <w:rPr>
          <w:rFonts w:eastAsiaTheme="minorHAnsi" w:cs="Arial"/>
          <w:bCs/>
          <w:szCs w:val="20"/>
        </w:rPr>
      </w:pPr>
      <w:r w:rsidRPr="005E4BEA">
        <w:rPr>
          <w:rFonts w:eastAsia="Arial Narrow" w:cs="Arial"/>
          <w:b/>
          <w:szCs w:val="20"/>
        </w:rPr>
        <w:t xml:space="preserve">Zdravniška zbornica Slovenije </w:t>
      </w:r>
      <w:r w:rsidRPr="005E4BEA">
        <w:rPr>
          <w:rFonts w:eastAsiaTheme="minorHAnsi" w:cs="Arial"/>
          <w:bCs/>
          <w:szCs w:val="20"/>
        </w:rPr>
        <w:t>predlaga, da se v</w:t>
      </w:r>
      <w:r w:rsidRPr="005E4BEA">
        <w:rPr>
          <w:rFonts w:cs="Arial"/>
          <w:bCs/>
          <w:szCs w:val="20"/>
        </w:rPr>
        <w:t xml:space="preserve"> Prilogi III/a</w:t>
      </w:r>
      <w:r w:rsidR="00FE461F" w:rsidRPr="005E4BEA">
        <w:rPr>
          <w:rFonts w:eastAsiaTheme="minorHAnsi" w:cs="Arial"/>
          <w:bCs/>
          <w:szCs w:val="20"/>
        </w:rPr>
        <w:t xml:space="preserve"> v 1. točki (Ambulanta splošne oz. družinske medicine, otroški in šolski dispanzer, dispanzer za ženske, ambulanta splošne medicine v socialnovarstvenem zavodu) v (2) odstavku besedilo za prvim stavkom nadomesti z naslednjim besedilom:</w:t>
      </w:r>
    </w:p>
    <w:p w14:paraId="675CB4CD" w14:textId="77777777" w:rsidR="00FE461F" w:rsidRPr="005E4BEA" w:rsidRDefault="00FE461F" w:rsidP="00FE461F">
      <w:pPr>
        <w:spacing w:line="240" w:lineRule="exact"/>
        <w:jc w:val="both"/>
        <w:rPr>
          <w:rFonts w:eastAsiaTheme="minorHAnsi" w:cs="Arial"/>
          <w:szCs w:val="20"/>
        </w:rPr>
      </w:pPr>
      <w:r w:rsidRPr="005E4BEA">
        <w:rPr>
          <w:rFonts w:eastAsiaTheme="minorHAnsi" w:cs="Arial"/>
          <w:szCs w:val="20"/>
        </w:rPr>
        <w:t>»Izjema je program otroškega in šolskega dispanzerja – kurativa, in sicer v delu, ki se nanaša na plačilo količnikov iz obiskov. Zavod  izvajalcem tega programa plača:</w:t>
      </w:r>
    </w:p>
    <w:p w14:paraId="6A9119E6" w14:textId="77777777" w:rsidR="00FE461F" w:rsidRPr="005E4BEA" w:rsidRDefault="00FE461F" w:rsidP="00F356C9">
      <w:pPr>
        <w:numPr>
          <w:ilvl w:val="0"/>
          <w:numId w:val="46"/>
        </w:numPr>
        <w:spacing w:before="60" w:line="240" w:lineRule="exact"/>
        <w:ind w:left="714" w:hanging="357"/>
        <w:contextualSpacing/>
        <w:jc w:val="both"/>
        <w:rPr>
          <w:rFonts w:eastAsiaTheme="minorHAnsi" w:cs="Arial"/>
          <w:szCs w:val="20"/>
        </w:rPr>
      </w:pPr>
      <w:r w:rsidRPr="005E4BEA">
        <w:rPr>
          <w:rFonts w:eastAsiaTheme="minorHAnsi" w:cs="Arial"/>
          <w:szCs w:val="20"/>
        </w:rPr>
        <w:t>realiziramo število količnikov iz obiskov, če izvajalec preseže pogodbeno dogovorjeni plan količnikov iz obiskov ali če ne realizira najmanj 13.000 količnikov iz obiskov na tim,</w:t>
      </w:r>
    </w:p>
    <w:p w14:paraId="5B9B8F4E" w14:textId="77777777" w:rsidR="00FE461F" w:rsidRPr="005E4BEA" w:rsidRDefault="00FE461F" w:rsidP="00F356C9">
      <w:pPr>
        <w:numPr>
          <w:ilvl w:val="0"/>
          <w:numId w:val="46"/>
        </w:numPr>
        <w:spacing w:before="60" w:line="240" w:lineRule="exact"/>
        <w:ind w:left="714" w:hanging="357"/>
        <w:contextualSpacing/>
        <w:jc w:val="both"/>
        <w:rPr>
          <w:rFonts w:eastAsiaTheme="minorHAnsi" w:cs="Arial"/>
          <w:szCs w:val="20"/>
        </w:rPr>
      </w:pPr>
      <w:r w:rsidRPr="005E4BEA">
        <w:rPr>
          <w:rFonts w:eastAsiaTheme="minorHAnsi" w:cs="Arial"/>
          <w:szCs w:val="20"/>
        </w:rPr>
        <w:t xml:space="preserve">planirano število količnikov iz obiskov </w:t>
      </w:r>
      <w:r w:rsidRPr="005E4BEA">
        <w:rPr>
          <w:rFonts w:eastAsiaTheme="minorHAnsi" w:cs="Arial"/>
          <w:b/>
          <w:bCs/>
          <w:szCs w:val="20"/>
        </w:rPr>
        <w:t>korigirano z indeksom doseganja količnikov iz glavarine</w:t>
      </w:r>
      <w:r w:rsidRPr="005E4BEA">
        <w:rPr>
          <w:rFonts w:eastAsiaTheme="minorHAnsi" w:cs="Arial"/>
          <w:szCs w:val="20"/>
        </w:rPr>
        <w:t>, če izvajalec realizira najmanj 13.000 količnikov iz obiskov na tim in ne preseže pogodbeno dogovorjenega števila količnikov iz obiskov.«</w:t>
      </w:r>
    </w:p>
    <w:p w14:paraId="79D57BC0" w14:textId="77777777" w:rsidR="00FE461F" w:rsidRPr="005E4BEA" w:rsidRDefault="00FE461F" w:rsidP="00FE461F">
      <w:pPr>
        <w:spacing w:line="240" w:lineRule="auto"/>
        <w:rPr>
          <w:rFonts w:eastAsiaTheme="minorHAnsi" w:cs="Arial"/>
          <w:szCs w:val="20"/>
        </w:rPr>
      </w:pPr>
    </w:p>
    <w:p w14:paraId="0DF95B7B" w14:textId="77777777" w:rsidR="00FE461F" w:rsidRPr="005E4BEA" w:rsidRDefault="00FE461F" w:rsidP="00FE461F">
      <w:pPr>
        <w:spacing w:line="240" w:lineRule="auto"/>
        <w:rPr>
          <w:rFonts w:eastAsiaTheme="minorHAnsi" w:cs="Arial"/>
          <w:szCs w:val="20"/>
        </w:rPr>
      </w:pPr>
      <w:r w:rsidRPr="005E4BEA">
        <w:rPr>
          <w:rFonts w:eastAsiaTheme="minorHAnsi" w:cs="Arial"/>
          <w:szCs w:val="20"/>
        </w:rPr>
        <w:t>Sprememba velja od 1. 1. 2022.</w:t>
      </w:r>
    </w:p>
    <w:p w14:paraId="3237325C" w14:textId="77777777" w:rsidR="00FE461F" w:rsidRPr="005E4BEA" w:rsidRDefault="00FE461F" w:rsidP="00FE461F">
      <w:pPr>
        <w:spacing w:after="160" w:line="252" w:lineRule="auto"/>
        <w:rPr>
          <w:rFonts w:eastAsiaTheme="minorHAnsi" w:cs="Arial"/>
          <w:b/>
          <w:bCs/>
          <w:spacing w:val="40"/>
          <w:szCs w:val="20"/>
          <w:lang w:eastAsia="sl-SI"/>
        </w:rPr>
      </w:pPr>
    </w:p>
    <w:p w14:paraId="0A93C180" w14:textId="77777777" w:rsidR="00FE461F" w:rsidRPr="005E4BEA" w:rsidRDefault="00FE461F" w:rsidP="00FE461F">
      <w:pPr>
        <w:spacing w:line="240" w:lineRule="auto"/>
        <w:jc w:val="both"/>
        <w:rPr>
          <w:rFonts w:cs="Arial"/>
          <w:b/>
          <w:bCs/>
          <w:color w:val="808080" w:themeColor="background1" w:themeShade="80"/>
          <w:szCs w:val="20"/>
          <w:u w:val="single"/>
          <w:lang w:eastAsia="sl-SI"/>
        </w:rPr>
      </w:pPr>
      <w:r w:rsidRPr="005E4BEA">
        <w:rPr>
          <w:rFonts w:cs="Arial"/>
          <w:b/>
          <w:bCs/>
          <w:color w:val="808080" w:themeColor="background1" w:themeShade="80"/>
          <w:szCs w:val="20"/>
          <w:u w:val="single"/>
          <w:lang w:eastAsia="sl-SI"/>
        </w:rPr>
        <w:t>Obrazložitev:</w:t>
      </w:r>
    </w:p>
    <w:p w14:paraId="61730950" w14:textId="77777777" w:rsidR="00FE461F" w:rsidRPr="005E4BEA" w:rsidRDefault="00FE461F" w:rsidP="00FE461F">
      <w:pPr>
        <w:spacing w:line="240" w:lineRule="auto"/>
        <w:rPr>
          <w:rFonts w:eastAsiaTheme="minorHAnsi" w:cs="Arial"/>
          <w:color w:val="808080" w:themeColor="background1" w:themeShade="80"/>
          <w:szCs w:val="20"/>
        </w:rPr>
      </w:pPr>
      <w:r w:rsidRPr="005E4BEA">
        <w:rPr>
          <w:rFonts w:cs="Arial"/>
          <w:i/>
          <w:iCs/>
          <w:color w:val="808080" w:themeColor="background1" w:themeShade="80"/>
          <w:szCs w:val="20"/>
        </w:rPr>
        <w:t>Predlagamo, da glede plačevanja kurativnega programa izvajalcem otroškega in šolskega dispanzerja v primeru doseganja 13.000 količnikov iz obiskov na tim velja enak sistem plačevanja, kot je veljal pred sprejetjem Aneksa št. 1 k Splošnemu dogovoru za leto 2021. Predlagani sistem spodbuja izvajalce k dodatnemu opredeljevanju pacientov. V času, ko je veliko pacientov ostalo brez osebnega izbranega zdravnika, je smiselno finančno nagrajevati izvajalce z nadpovprečnim številom opredeljenih oseb.</w:t>
      </w:r>
      <w:r w:rsidRPr="005E4BEA">
        <w:rPr>
          <w:rFonts w:eastAsiaTheme="minorHAnsi" w:cs="Arial"/>
          <w:color w:val="808080" w:themeColor="background1" w:themeShade="80"/>
          <w:szCs w:val="20"/>
        </w:rPr>
        <w:t xml:space="preserve">  </w:t>
      </w:r>
    </w:p>
    <w:p w14:paraId="15393CA6"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4FD86613" w14:textId="593A745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w:t>
      </w:r>
    </w:p>
    <w:p w14:paraId="328E087F" w14:textId="0DE8B047" w:rsidR="006D4358" w:rsidRPr="005E4BEA" w:rsidRDefault="006D4358" w:rsidP="00FE461F">
      <w:pPr>
        <w:spacing w:line="240" w:lineRule="auto"/>
        <w:jc w:val="both"/>
        <w:rPr>
          <w:rFonts w:eastAsiaTheme="minorHAnsi" w:cs="Arial"/>
          <w:i/>
          <w:iCs/>
          <w:color w:val="808080" w:themeColor="background1" w:themeShade="80"/>
          <w:szCs w:val="20"/>
        </w:rPr>
      </w:pPr>
    </w:p>
    <w:p w14:paraId="32BF59DA" w14:textId="77777777" w:rsidR="006D4358" w:rsidRPr="005E4BEA" w:rsidRDefault="006D4358" w:rsidP="00FE461F">
      <w:pPr>
        <w:spacing w:line="240" w:lineRule="auto"/>
        <w:jc w:val="both"/>
        <w:rPr>
          <w:rFonts w:eastAsiaTheme="minorHAnsi" w:cs="Arial"/>
          <w:i/>
          <w:iCs/>
          <w:color w:val="808080" w:themeColor="background1" w:themeShade="80"/>
          <w:szCs w:val="20"/>
        </w:rPr>
      </w:pPr>
    </w:p>
    <w:p w14:paraId="71E6D3AA" w14:textId="77777777" w:rsidR="006D4358" w:rsidRPr="005E4BEA" w:rsidRDefault="006D4358" w:rsidP="006D435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F5307EF" w14:textId="77777777" w:rsidR="006D4358" w:rsidRPr="005E4BEA" w:rsidRDefault="006D4358" w:rsidP="006D4358">
      <w:pPr>
        <w:spacing w:line="0" w:lineRule="atLeast"/>
        <w:jc w:val="both"/>
        <w:rPr>
          <w:rFonts w:eastAsia="Arial Narrow" w:cs="Arial"/>
          <w:szCs w:val="20"/>
          <w:lang w:eastAsia="sl-SI"/>
        </w:rPr>
      </w:pPr>
    </w:p>
    <w:p w14:paraId="6F643A4E" w14:textId="708E75A2" w:rsidR="006D4358" w:rsidRPr="005E4BEA" w:rsidRDefault="006D4358" w:rsidP="006D435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III/a </w:t>
      </w:r>
      <w:r w:rsidRPr="005E4BEA">
        <w:rPr>
          <w:rFonts w:eastAsiaTheme="minorHAnsi" w:cs="Arial"/>
          <w:bCs/>
          <w:szCs w:val="20"/>
        </w:rPr>
        <w:t>Splošnega dogovora ne spremeni.</w:t>
      </w:r>
    </w:p>
    <w:p w14:paraId="731DC469" w14:textId="77777777" w:rsidR="006D4358" w:rsidRPr="005E4BEA" w:rsidRDefault="006D4358" w:rsidP="006D4358">
      <w:pPr>
        <w:spacing w:line="0" w:lineRule="atLeast"/>
        <w:contextualSpacing/>
        <w:jc w:val="both"/>
        <w:rPr>
          <w:rFonts w:eastAsia="Arial Narrow" w:cs="Arial"/>
          <w:bCs/>
          <w:szCs w:val="20"/>
        </w:rPr>
      </w:pPr>
    </w:p>
    <w:p w14:paraId="5804D692" w14:textId="77777777" w:rsidR="006D4358" w:rsidRPr="005E4BEA" w:rsidRDefault="006D4358" w:rsidP="006D4358">
      <w:pPr>
        <w:spacing w:line="240" w:lineRule="auto"/>
        <w:jc w:val="both"/>
        <w:rPr>
          <w:rFonts w:cs="Arial"/>
          <w:szCs w:val="20"/>
        </w:rPr>
      </w:pPr>
    </w:p>
    <w:p w14:paraId="4CA88491" w14:textId="5461F53C"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(121)</w:t>
      </w:r>
    </w:p>
    <w:p w14:paraId="77F28D3B" w14:textId="77777777" w:rsidR="006D4358" w:rsidRPr="005E4BEA" w:rsidRDefault="006D4358" w:rsidP="006D4358">
      <w:pPr>
        <w:spacing w:line="240" w:lineRule="auto"/>
        <w:jc w:val="both"/>
        <w:rPr>
          <w:rFonts w:eastAsia="Arial Narrow" w:cs="Arial"/>
          <w:b/>
          <w:szCs w:val="20"/>
        </w:rPr>
      </w:pPr>
    </w:p>
    <w:p w14:paraId="5281754D" w14:textId="759D9373" w:rsidR="00FE461F" w:rsidRPr="005E4BEA" w:rsidRDefault="006D4358"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Cs/>
          <w:szCs w:val="20"/>
        </w:rPr>
        <w:t>predlaga, da se v</w:t>
      </w:r>
      <w:r w:rsidRPr="005E4BEA">
        <w:rPr>
          <w:rFonts w:cs="Arial"/>
          <w:bCs/>
          <w:szCs w:val="20"/>
        </w:rPr>
        <w:t xml:space="preserve"> Prilogi III</w:t>
      </w:r>
      <w:r w:rsidR="00FE461F" w:rsidRPr="005E4BEA">
        <w:rPr>
          <w:rFonts w:cs="Arial"/>
          <w:bCs/>
          <w:szCs w:val="20"/>
        </w:rPr>
        <w:t xml:space="preserve"> v (2) odstavku Programi plačani po realizaciji pod točko 3. Specialistična </w:t>
      </w:r>
      <w:proofErr w:type="spellStart"/>
      <w:r w:rsidR="00FE461F" w:rsidRPr="005E4BEA">
        <w:rPr>
          <w:rFonts w:cs="Arial"/>
          <w:bCs/>
          <w:szCs w:val="20"/>
        </w:rPr>
        <w:t>zunajbolnišnična</w:t>
      </w:r>
      <w:proofErr w:type="spellEnd"/>
      <w:r w:rsidR="00FE461F" w:rsidRPr="005E4BEA">
        <w:rPr>
          <w:rFonts w:cs="Arial"/>
          <w:bCs/>
          <w:szCs w:val="20"/>
        </w:rPr>
        <w:t xml:space="preserve"> dejavnost doda nova alineja:</w:t>
      </w:r>
    </w:p>
    <w:p w14:paraId="4B7DEFC0" w14:textId="77777777" w:rsidR="00FE461F" w:rsidRPr="005E4BEA" w:rsidRDefault="00FE461F" w:rsidP="00F356C9">
      <w:pPr>
        <w:numPr>
          <w:ilvl w:val="0"/>
          <w:numId w:val="36"/>
        </w:numPr>
        <w:spacing w:line="240" w:lineRule="auto"/>
        <w:contextualSpacing/>
        <w:jc w:val="both"/>
        <w:rPr>
          <w:rFonts w:cs="Arial"/>
          <w:bCs/>
          <w:iCs/>
          <w:szCs w:val="20"/>
        </w:rPr>
      </w:pPr>
      <w:r w:rsidRPr="005E4BEA">
        <w:rPr>
          <w:rFonts w:cs="Arial"/>
          <w:bCs/>
          <w:iCs/>
          <w:szCs w:val="20"/>
        </w:rPr>
        <w:t>Klinična genetika (213 222)</w:t>
      </w:r>
    </w:p>
    <w:p w14:paraId="39637E5A" w14:textId="77777777" w:rsidR="00FE461F" w:rsidRPr="005E4BEA" w:rsidRDefault="00FE461F" w:rsidP="00F356C9">
      <w:pPr>
        <w:numPr>
          <w:ilvl w:val="0"/>
          <w:numId w:val="36"/>
        </w:numPr>
        <w:spacing w:line="240" w:lineRule="auto"/>
        <w:contextualSpacing/>
        <w:jc w:val="both"/>
        <w:rPr>
          <w:rFonts w:cs="Arial"/>
          <w:iCs/>
          <w:szCs w:val="20"/>
        </w:rPr>
      </w:pPr>
      <w:r w:rsidRPr="005E4BEA">
        <w:rPr>
          <w:rFonts w:cs="Arial"/>
          <w:iCs/>
          <w:szCs w:val="20"/>
        </w:rPr>
        <w:t xml:space="preserve">psihiatrična obravnava otroka (124 341 E0700 BOL) </w:t>
      </w:r>
    </w:p>
    <w:p w14:paraId="38F32839" w14:textId="77777777" w:rsidR="00FE461F" w:rsidRPr="005E4BEA" w:rsidRDefault="00FE461F" w:rsidP="00F356C9">
      <w:pPr>
        <w:numPr>
          <w:ilvl w:val="0"/>
          <w:numId w:val="36"/>
        </w:numPr>
        <w:spacing w:line="240" w:lineRule="auto"/>
        <w:contextualSpacing/>
        <w:jc w:val="both"/>
        <w:rPr>
          <w:rFonts w:cs="Arial"/>
          <w:iCs/>
          <w:szCs w:val="20"/>
        </w:rPr>
      </w:pPr>
      <w:proofErr w:type="spellStart"/>
      <w:r w:rsidRPr="005E4BEA">
        <w:rPr>
          <w:rFonts w:cs="Arial"/>
          <w:iCs/>
          <w:szCs w:val="20"/>
        </w:rPr>
        <w:t>Diabetologija</w:t>
      </w:r>
      <w:proofErr w:type="spellEnd"/>
      <w:r w:rsidRPr="005E4BEA">
        <w:rPr>
          <w:rFonts w:cs="Arial"/>
          <w:iCs/>
          <w:szCs w:val="20"/>
        </w:rPr>
        <w:t xml:space="preserve"> (</w:t>
      </w:r>
      <w:r w:rsidRPr="005E4BEA">
        <w:rPr>
          <w:rFonts w:cs="Arial"/>
          <w:szCs w:val="20"/>
        </w:rPr>
        <w:t>249 216)</w:t>
      </w:r>
      <w:r w:rsidRPr="005E4BEA">
        <w:rPr>
          <w:rFonts w:cs="Arial"/>
          <w:iCs/>
          <w:szCs w:val="20"/>
        </w:rPr>
        <w:tab/>
      </w:r>
    </w:p>
    <w:p w14:paraId="635AF144" w14:textId="77777777" w:rsidR="00FE461F" w:rsidRPr="005E4BEA" w:rsidRDefault="00FE461F" w:rsidP="00F356C9">
      <w:pPr>
        <w:numPr>
          <w:ilvl w:val="0"/>
          <w:numId w:val="36"/>
        </w:numPr>
        <w:spacing w:line="240" w:lineRule="auto"/>
        <w:contextualSpacing/>
        <w:jc w:val="both"/>
        <w:rPr>
          <w:rFonts w:cs="Arial"/>
          <w:iCs/>
          <w:szCs w:val="20"/>
        </w:rPr>
      </w:pPr>
      <w:bookmarkStart w:id="142" w:name="_Hlk96330356"/>
      <w:r w:rsidRPr="005E4BEA">
        <w:rPr>
          <w:rFonts w:cs="Arial"/>
          <w:iCs/>
          <w:szCs w:val="20"/>
        </w:rPr>
        <w:t>pregledi iz Priloge I/b, ki se nanašajo na zdravljenje bolnikov s HCV okužbo</w:t>
      </w:r>
    </w:p>
    <w:p w14:paraId="32E6A063" w14:textId="77777777" w:rsidR="00FE461F" w:rsidRPr="005E4BEA" w:rsidRDefault="00FE461F" w:rsidP="00F356C9">
      <w:pPr>
        <w:numPr>
          <w:ilvl w:val="0"/>
          <w:numId w:val="36"/>
        </w:numPr>
        <w:spacing w:line="240" w:lineRule="auto"/>
        <w:contextualSpacing/>
        <w:jc w:val="both"/>
        <w:rPr>
          <w:rFonts w:cs="Arial"/>
          <w:iCs/>
          <w:szCs w:val="20"/>
        </w:rPr>
      </w:pPr>
      <w:bookmarkStart w:id="143" w:name="_Hlk96337967"/>
      <w:bookmarkEnd w:id="142"/>
      <w:proofErr w:type="spellStart"/>
      <w:r w:rsidRPr="005E4BEA">
        <w:rPr>
          <w:rFonts w:cs="Arial"/>
          <w:szCs w:val="20"/>
        </w:rPr>
        <w:t>patohistološke</w:t>
      </w:r>
      <w:proofErr w:type="spellEnd"/>
      <w:r w:rsidRPr="005E4BEA">
        <w:rPr>
          <w:rFonts w:cs="Arial"/>
          <w:szCs w:val="20"/>
        </w:rPr>
        <w:t xml:space="preserve"> in citološke preiskave bolnišnice</w:t>
      </w:r>
    </w:p>
    <w:p w14:paraId="54A3B1E8" w14:textId="77777777" w:rsidR="00FE461F" w:rsidRPr="005E4BEA" w:rsidRDefault="00FE461F" w:rsidP="00F356C9">
      <w:pPr>
        <w:numPr>
          <w:ilvl w:val="0"/>
          <w:numId w:val="36"/>
        </w:numPr>
        <w:spacing w:line="240" w:lineRule="auto"/>
        <w:contextualSpacing/>
        <w:jc w:val="both"/>
        <w:rPr>
          <w:rFonts w:cs="Arial"/>
          <w:iCs/>
          <w:szCs w:val="20"/>
        </w:rPr>
      </w:pPr>
      <w:r w:rsidRPr="005E4BEA">
        <w:rPr>
          <w:rFonts w:cs="Arial"/>
          <w:szCs w:val="20"/>
        </w:rPr>
        <w:t>Celovita rehabilitacija slepih in slabovidnih</w:t>
      </w:r>
    </w:p>
    <w:bookmarkEnd w:id="143"/>
    <w:p w14:paraId="26ECF71C" w14:textId="77777777" w:rsidR="00FE461F" w:rsidRPr="005E4BEA" w:rsidRDefault="00FE461F" w:rsidP="00FE461F">
      <w:pPr>
        <w:spacing w:line="240" w:lineRule="auto"/>
        <w:jc w:val="both"/>
        <w:rPr>
          <w:rFonts w:cs="Arial"/>
          <w:szCs w:val="20"/>
        </w:rPr>
      </w:pPr>
    </w:p>
    <w:p w14:paraId="6BD0C13D" w14:textId="77777777" w:rsidR="00FE461F" w:rsidRPr="005E4BEA" w:rsidRDefault="00FE461F" w:rsidP="00FE461F">
      <w:pPr>
        <w:spacing w:line="240" w:lineRule="auto"/>
        <w:jc w:val="both"/>
        <w:rPr>
          <w:rFonts w:cs="Arial"/>
          <w:szCs w:val="20"/>
        </w:rPr>
      </w:pPr>
    </w:p>
    <w:p w14:paraId="429239B8"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 Klinična genetika</w:t>
      </w:r>
    </w:p>
    <w:p w14:paraId="7EBD2BB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Kliničnem inštitutu za </w:t>
      </w:r>
      <w:proofErr w:type="spellStart"/>
      <w:r w:rsidRPr="005E4BEA">
        <w:rPr>
          <w:rFonts w:cs="Arial"/>
          <w:i/>
          <w:iCs/>
          <w:color w:val="808080" w:themeColor="background1" w:themeShade="80"/>
          <w:szCs w:val="20"/>
        </w:rPr>
        <w:t>genomsko</w:t>
      </w:r>
      <w:proofErr w:type="spellEnd"/>
      <w:r w:rsidRPr="005E4BEA">
        <w:rPr>
          <w:rFonts w:cs="Arial"/>
          <w:i/>
          <w:iCs/>
          <w:color w:val="808080" w:themeColor="background1" w:themeShade="80"/>
          <w:szCs w:val="20"/>
        </w:rPr>
        <w:t xml:space="preserve"> medicino (KIGM) v UKC Ljubljana zagotavljamo diagnostiko in genetsko svetovanje bolnikom in družinam z genetsko pogojenimi boleznimi v Sloveniji. KIGM je vezan na dejavnosti, katerih programi so plačani po realizaciji (nosečnost …) sam pa ima omejen delovni program. Ker programa ne more načrtovati po dvanajstinah, niti ga ne more ustaviti (nosečnost, rak …) so že leta v močnem preseganju realiziranega programa, ki ni plačan. Kljub spremembi načina obračuna storitev v specialistični </w:t>
      </w:r>
      <w:proofErr w:type="spellStart"/>
      <w:r w:rsidRPr="005E4BEA">
        <w:rPr>
          <w:rFonts w:cs="Arial"/>
          <w:i/>
          <w:iCs/>
          <w:color w:val="808080" w:themeColor="background1" w:themeShade="80"/>
          <w:szCs w:val="20"/>
        </w:rPr>
        <w:t>zunajbolnišnični</w:t>
      </w:r>
      <w:proofErr w:type="spellEnd"/>
      <w:r w:rsidRPr="005E4BEA">
        <w:rPr>
          <w:rFonts w:cs="Arial"/>
          <w:i/>
          <w:iCs/>
          <w:color w:val="808080" w:themeColor="background1" w:themeShade="80"/>
          <w:szCs w:val="20"/>
        </w:rPr>
        <w:t xml:space="preserve"> dejavnosti klinične genetike s 1.1.2021 in dodatnih sredstvih (SD 2021) so zgoraj opisane preiskave v velikem porastu, saj se jih poslužuje vedno več dejavnosti pri diagnosticiranju in iskanju izvora različnih </w:t>
      </w:r>
      <w:r w:rsidRPr="005E4BEA">
        <w:rPr>
          <w:rFonts w:cs="Arial"/>
          <w:i/>
          <w:iCs/>
          <w:color w:val="808080" w:themeColor="background1" w:themeShade="80"/>
          <w:szCs w:val="20"/>
        </w:rPr>
        <w:lastRenderedPageBreak/>
        <w:t>bolezni. Zaradi navedenega nujno potrebujemo širitev oziroma plačilo zdravstvenega programa po realizaciji z veljavo od 1. 1. 2022.</w:t>
      </w:r>
    </w:p>
    <w:p w14:paraId="3A4336E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b/>
          <w:bCs/>
          <w:i/>
          <w:iCs/>
          <w:color w:val="808080" w:themeColor="background1" w:themeShade="80"/>
          <w:szCs w:val="20"/>
        </w:rPr>
        <w:t>Finančni učinek:</w:t>
      </w:r>
      <w:r w:rsidRPr="005E4BEA">
        <w:rPr>
          <w:rFonts w:cs="Arial"/>
          <w:i/>
          <w:iCs/>
          <w:color w:val="808080" w:themeColor="background1" w:themeShade="80"/>
          <w:szCs w:val="20"/>
        </w:rPr>
        <w:t xml:space="preserve"> Ocena finančnega učinka na letnem nivoju: 1.246.597 EUR (ocenjena vrednost preseženega programa na leto).</w:t>
      </w:r>
    </w:p>
    <w:p w14:paraId="3F9E9FA0"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 psihiatrična obravnava otrok</w:t>
      </w:r>
    </w:p>
    <w:p w14:paraId="435E973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Psihiatrično obravnavo otroka opravljata UPK Ljubljana in Pediatrična klinika UKC Ljubljana. Zdravljenje </w:t>
      </w:r>
      <w:proofErr w:type="spellStart"/>
      <w:r w:rsidRPr="005E4BEA">
        <w:rPr>
          <w:rFonts w:cs="Arial"/>
          <w:i/>
          <w:iCs/>
          <w:color w:val="808080" w:themeColor="background1" w:themeShade="80"/>
          <w:szCs w:val="20"/>
        </w:rPr>
        <w:t>pedopsihiatričnih</w:t>
      </w:r>
      <w:proofErr w:type="spellEnd"/>
      <w:r w:rsidRPr="005E4BEA">
        <w:rPr>
          <w:rFonts w:cs="Arial"/>
          <w:i/>
          <w:iCs/>
          <w:color w:val="808080" w:themeColor="background1" w:themeShade="80"/>
          <w:szCs w:val="20"/>
        </w:rPr>
        <w:t xml:space="preserve"> primerov se v zadnjih letih povečuje, zato je nujna širitev tega programa. Gre namreč za primere zdravljenje otrok iz vse Slovenije. Finančni učinki 0,8 mio € so izračunani glede na preseženo realizacijo primerov v obeh zavodih.</w:t>
      </w:r>
    </w:p>
    <w:p w14:paraId="1EDAF304"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 xml:space="preserve">Obrazložitev: </w:t>
      </w:r>
      <w:proofErr w:type="spellStart"/>
      <w:r w:rsidRPr="005E4BEA">
        <w:rPr>
          <w:rFonts w:eastAsia="Calibri" w:cs="Arial"/>
          <w:b/>
          <w:bCs/>
          <w:i/>
          <w:iCs/>
          <w:color w:val="7F7F7F"/>
          <w:szCs w:val="20"/>
          <w:u w:val="single"/>
        </w:rPr>
        <w:t>Diabetologija</w:t>
      </w:r>
      <w:proofErr w:type="spellEnd"/>
    </w:p>
    <w:p w14:paraId="50A9AD7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w:t>
      </w:r>
      <w:proofErr w:type="spellStart"/>
      <w:r w:rsidRPr="005E4BEA">
        <w:rPr>
          <w:rFonts w:cs="Arial"/>
          <w:i/>
          <w:iCs/>
          <w:color w:val="808080" w:themeColor="background1" w:themeShade="80"/>
          <w:szCs w:val="20"/>
        </w:rPr>
        <w:t>diabetološki</w:t>
      </w:r>
      <w:proofErr w:type="spellEnd"/>
      <w:r w:rsidRPr="005E4BEA">
        <w:rPr>
          <w:rFonts w:cs="Arial"/>
          <w:i/>
          <w:iCs/>
          <w:color w:val="808080" w:themeColor="background1" w:themeShade="80"/>
          <w:szCs w:val="20"/>
        </w:rPr>
        <w:t xml:space="preserve"> dejavnosti dolge čakalne dobe lahko pomembno poslabšajo zdravstveno stanje oseb s sladkorno boleznijo in je zaradi narave bolezni potrebno zagotoviti hiter dostop do zdravstvene obravnave. Zato predlagamo, da bi bil ta program plačan po realizaciji. </w:t>
      </w:r>
    </w:p>
    <w:p w14:paraId="1871170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Finančna ocena €:    Na osnovi podatkov iz spletne strani ZZZS o realizaciji pogodbenih planov izvajalcev za dejavnost </w:t>
      </w:r>
      <w:bookmarkStart w:id="144" w:name="_Hlk96330005"/>
      <w:r w:rsidRPr="005E4BEA">
        <w:rPr>
          <w:rFonts w:cs="Arial"/>
          <w:i/>
          <w:iCs/>
          <w:color w:val="808080" w:themeColor="background1" w:themeShade="80"/>
          <w:szCs w:val="20"/>
        </w:rPr>
        <w:t xml:space="preserve">249 216 </w:t>
      </w:r>
      <w:bookmarkEnd w:id="144"/>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diabetologija</w:t>
      </w:r>
      <w:proofErr w:type="spellEnd"/>
      <w:r w:rsidRPr="005E4BEA">
        <w:rPr>
          <w:rFonts w:cs="Arial"/>
          <w:i/>
          <w:iCs/>
          <w:color w:val="808080" w:themeColor="background1" w:themeShade="80"/>
          <w:szCs w:val="20"/>
        </w:rPr>
        <w:t xml:space="preserve"> za obdobje 1-12 2021 (izpis z dne 18.1.2022) izhaja, da so tisti izvajalci, ki so realizirali svoj program nad 110% planom, do kolikor je sedaj zagotovljeno plačilo na tej dejavnosti, skupaj ustvarili 111.333 točk nad planom. To preseganje ob ceni točke 3,33 EUR (cene Priloga I SD 2021) znaša la letni ravni 370.740 EUR. Del te vrednosti bo pokrit s plačilom prvih pregledov, ki so plačani po realizaciji.</w:t>
      </w:r>
    </w:p>
    <w:p w14:paraId="458D7575"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  pregledi iz Priloge I/b, ki se nanašajo na zdravljenje bolnikov s HCV okužbo</w:t>
      </w:r>
    </w:p>
    <w:p w14:paraId="5EDFE46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Predlagamo plačilo po realizaciji za  programe, ki se nanašajo na zdravljenje bolnikov s HCV okužbo, na enak način, kot to velja za zdravljenje bolnikov s HIV okužbo. </w:t>
      </w:r>
    </w:p>
    <w:p w14:paraId="4E49B6D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učinki: 13.600 EUR (vrednost preseženega programa na leto).</w:t>
      </w:r>
    </w:p>
    <w:p w14:paraId="7CF7CF6F"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 xml:space="preserve">Obrazložitev: </w:t>
      </w:r>
      <w:proofErr w:type="spellStart"/>
      <w:r w:rsidRPr="005E4BEA">
        <w:rPr>
          <w:rFonts w:eastAsia="Calibri" w:cs="Arial"/>
          <w:b/>
          <w:bCs/>
          <w:i/>
          <w:iCs/>
          <w:color w:val="7F7F7F"/>
          <w:szCs w:val="20"/>
          <w:u w:val="single"/>
        </w:rPr>
        <w:t>patohistološke</w:t>
      </w:r>
      <w:proofErr w:type="spellEnd"/>
      <w:r w:rsidRPr="005E4BEA">
        <w:rPr>
          <w:rFonts w:eastAsia="Calibri" w:cs="Arial"/>
          <w:b/>
          <w:bCs/>
          <w:i/>
          <w:iCs/>
          <w:color w:val="7F7F7F"/>
          <w:szCs w:val="20"/>
          <w:u w:val="single"/>
        </w:rPr>
        <w:t xml:space="preserve"> in citološke preiskave bolnišnice</w:t>
      </w:r>
    </w:p>
    <w:p w14:paraId="49DDCF2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Ostalim izvajalcem, razen bolnišnicam, se </w:t>
      </w:r>
      <w:proofErr w:type="spellStart"/>
      <w:r w:rsidRPr="005E4BEA">
        <w:rPr>
          <w:rFonts w:cs="Arial"/>
          <w:i/>
          <w:iCs/>
          <w:color w:val="808080" w:themeColor="background1" w:themeShade="80"/>
          <w:szCs w:val="20"/>
        </w:rPr>
        <w:t>histopatološke</w:t>
      </w:r>
      <w:proofErr w:type="spellEnd"/>
      <w:r w:rsidRPr="005E4BEA">
        <w:rPr>
          <w:rFonts w:cs="Arial"/>
          <w:i/>
          <w:iCs/>
          <w:color w:val="808080" w:themeColor="background1" w:themeShade="80"/>
          <w:szCs w:val="20"/>
        </w:rPr>
        <w:t xml:space="preserve"> storitve v skladu s 16. členom (2) odstavek 3.točka plačujejo v višini celotne realizacije (kot LZM).Za bolnišnice pa se obseg za </w:t>
      </w:r>
      <w:proofErr w:type="spellStart"/>
      <w:r w:rsidRPr="005E4BEA">
        <w:rPr>
          <w:rFonts w:cs="Arial"/>
          <w:i/>
          <w:iCs/>
          <w:color w:val="808080" w:themeColor="background1" w:themeShade="80"/>
          <w:szCs w:val="20"/>
        </w:rPr>
        <w:t>histopatološke</w:t>
      </w:r>
      <w:proofErr w:type="spellEnd"/>
      <w:r w:rsidRPr="005E4BEA">
        <w:rPr>
          <w:rFonts w:cs="Arial"/>
          <w:i/>
          <w:iCs/>
          <w:color w:val="808080" w:themeColor="background1" w:themeShade="80"/>
          <w:szCs w:val="20"/>
        </w:rPr>
        <w:t xml:space="preserve"> in citološke preiskave določa na osnovi deleža od standardiziranih materialnih stroškov priznanih za ambulantno dejavnost. Skozi leta se je ta delež višal, doseganje plana pa se je spremljalo in tudi obračunavalo na ravni vseh dejavnosti skupaj. Z </w:t>
      </w:r>
      <w:proofErr w:type="spellStart"/>
      <w:r w:rsidRPr="005E4BEA">
        <w:rPr>
          <w:rFonts w:cs="Arial"/>
          <w:i/>
          <w:iCs/>
          <w:color w:val="808080" w:themeColor="background1" w:themeShade="80"/>
          <w:szCs w:val="20"/>
        </w:rPr>
        <w:t>An.št</w:t>
      </w:r>
      <w:proofErr w:type="spellEnd"/>
      <w:r w:rsidRPr="005E4BEA">
        <w:rPr>
          <w:rFonts w:cs="Arial"/>
          <w:i/>
          <w:iCs/>
          <w:color w:val="808080" w:themeColor="background1" w:themeShade="80"/>
          <w:szCs w:val="20"/>
        </w:rPr>
        <w:t xml:space="preserve">. 1 k Splošnemu dogovoru 2021 pa je stopilo v veljavo določilo, po katerem pa se spremlja doseganje plana storitev po posameznih dejavnostih bolnišnice. To pomeni, da ni več prelivanja med posameznimi dejavnostmi in preseganja na posamičnih dejavnostih ostajajo neplačana (se ne plačujejo več preko nedoseganja drugih dejavnosti). Neustreznost takšnega sistema je razvidna iz spodnje preglednice, kjer so prikazani indeksi doseganja plana citoloških preiskav po bolnišnicah in dejavnostih v letu 2021 (vir podatkov: spletna stran ZZZS, Podatki o planu in realizaciji za zdravstvene storitve, objava 14.1.2022). Indeksi realiziranih storitev glede na postavljene plane v skladu z Dogovorom se gibljejo od 0 do 1.000 in več. Seštevek vrednosti preseganja plana vseh bolnišnic je v višini +1,811.714 EUR, torej ta vrednost predstavlja neplačane opravljene storitve. Na drugi strani je skupna vrednost nedoseganja plana v višini -910.410 EUR. Obstoječi model plačevanja po Aneksu 1 k SD 2021 pomeni prihranek za ZZZS v višini 910.410 eur na račun bolnišnic!! Pri tem se ne upošteva, da gre za storitve za odkrivanje rakavih obolenj. Ker sedaj Dogovor že za vse zdravstvene storitve, ki obravnavano paciente z rakavimi obolenji, določa plačilo v višini celotne realizacije, je nujno zagotoviti plačilo v višini celotne realizacije tudi za </w:t>
      </w:r>
      <w:proofErr w:type="spellStart"/>
      <w:r w:rsidRPr="005E4BEA">
        <w:rPr>
          <w:rFonts w:cs="Arial"/>
          <w:i/>
          <w:iCs/>
          <w:color w:val="808080" w:themeColor="background1" w:themeShade="80"/>
          <w:szCs w:val="20"/>
        </w:rPr>
        <w:t>histopatološke</w:t>
      </w:r>
      <w:proofErr w:type="spellEnd"/>
      <w:r w:rsidRPr="005E4BEA">
        <w:rPr>
          <w:rFonts w:cs="Arial"/>
          <w:i/>
          <w:iCs/>
          <w:color w:val="808080" w:themeColor="background1" w:themeShade="80"/>
          <w:szCs w:val="20"/>
        </w:rPr>
        <w:t xml:space="preserve"> in citološke preiskave bolnišnic. Sploh pa ob dejstvu, da je zdravstvenim domovom, koncesionarjem in socialnovarstvenim zavodom že po obstoječem Splošnem dogovoru to že zagotovljeno. Zato predlagamo da se </w:t>
      </w:r>
      <w:proofErr w:type="spellStart"/>
      <w:r w:rsidRPr="005E4BEA">
        <w:rPr>
          <w:rFonts w:cs="Arial"/>
          <w:i/>
          <w:iCs/>
          <w:color w:val="808080" w:themeColor="background1" w:themeShade="80"/>
          <w:szCs w:val="20"/>
        </w:rPr>
        <w:t>patohistološke</w:t>
      </w:r>
      <w:proofErr w:type="spellEnd"/>
      <w:r w:rsidRPr="005E4BEA">
        <w:rPr>
          <w:rFonts w:cs="Arial"/>
          <w:i/>
          <w:iCs/>
          <w:color w:val="808080" w:themeColor="background1" w:themeShade="80"/>
          <w:szCs w:val="20"/>
        </w:rPr>
        <w:t xml:space="preserve"> in citološke preiskave plačajo bolnišnicam po realizacij. </w:t>
      </w:r>
    </w:p>
    <w:p w14:paraId="5D6118D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noProof/>
          <w:color w:val="808080" w:themeColor="background1" w:themeShade="80"/>
          <w:szCs w:val="20"/>
        </w:rPr>
        <w:lastRenderedPageBreak/>
        <w:drawing>
          <wp:inline distT="0" distB="0" distL="0" distR="0" wp14:anchorId="5AF77510" wp14:editId="6252D7BA">
            <wp:extent cx="3808800" cy="2389247"/>
            <wp:effectExtent l="0" t="0" r="1270" b="0"/>
            <wp:docPr id="37" name="Slika 37" descr="Slika, ki vsebuje besede miza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Slika, ki vsebuje besede mizaOpis je samodejno ustvarj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164" cy="2402021"/>
                    </a:xfrm>
                    <a:prstGeom prst="rect">
                      <a:avLst/>
                    </a:prstGeom>
                    <a:noFill/>
                    <a:ln>
                      <a:noFill/>
                    </a:ln>
                  </pic:spPr>
                </pic:pic>
              </a:graphicData>
            </a:graphic>
          </wp:inline>
        </w:drawing>
      </w:r>
    </w:p>
    <w:p w14:paraId="710375E7" w14:textId="77777777" w:rsidR="00FE461F" w:rsidRPr="005E4BEA" w:rsidRDefault="00FE461F" w:rsidP="00FE461F">
      <w:pPr>
        <w:spacing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Dodatna obrazložitev</w:t>
      </w:r>
      <w:r w:rsidRPr="005E4BEA">
        <w:rPr>
          <w:rFonts w:eastAsia="Calibri" w:cs="Arial"/>
          <w:b/>
          <w:bCs/>
          <w:i/>
          <w:iCs/>
          <w:color w:val="7F7F7F"/>
          <w:szCs w:val="20"/>
          <w:u w:val="single"/>
        </w:rPr>
        <w:t xml:space="preserve"> </w:t>
      </w:r>
      <w:proofErr w:type="spellStart"/>
      <w:r w:rsidRPr="005E4BEA">
        <w:rPr>
          <w:rFonts w:eastAsia="Calibri" w:cs="Arial"/>
          <w:b/>
          <w:bCs/>
          <w:i/>
          <w:iCs/>
          <w:color w:val="7F7F7F"/>
          <w:szCs w:val="20"/>
          <w:u w:val="single"/>
        </w:rPr>
        <w:t>patohistološke</w:t>
      </w:r>
      <w:proofErr w:type="spellEnd"/>
      <w:r w:rsidRPr="005E4BEA">
        <w:rPr>
          <w:rFonts w:eastAsia="Calibri" w:cs="Arial"/>
          <w:b/>
          <w:bCs/>
          <w:i/>
          <w:iCs/>
          <w:color w:val="7F7F7F"/>
          <w:szCs w:val="20"/>
          <w:u w:val="single"/>
        </w:rPr>
        <w:t xml:space="preserve"> in citološke preiskave bolnišnice</w:t>
      </w:r>
      <w:r w:rsidRPr="005E4BEA">
        <w:rPr>
          <w:rFonts w:cs="Arial"/>
          <w:b/>
          <w:i/>
          <w:color w:val="808080" w:themeColor="background1" w:themeShade="80"/>
          <w:szCs w:val="20"/>
          <w:u w:val="single"/>
          <w:lang w:eastAsia="sl-SI"/>
        </w:rPr>
        <w:t xml:space="preserve"> UKC LJ: </w:t>
      </w:r>
    </w:p>
    <w:p w14:paraId="2CCF11C9"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V večini </w:t>
      </w:r>
      <w:proofErr w:type="spellStart"/>
      <w:r w:rsidRPr="005E4BEA">
        <w:rPr>
          <w:rFonts w:cs="Arial"/>
          <w:i/>
          <w:iCs/>
          <w:color w:val="808080" w:themeColor="background1" w:themeShade="80"/>
          <w:szCs w:val="20"/>
        </w:rPr>
        <w:t>poddejavnosti</w:t>
      </w:r>
      <w:proofErr w:type="spellEnd"/>
      <w:r w:rsidRPr="005E4BEA">
        <w:rPr>
          <w:rFonts w:cs="Arial"/>
          <w:i/>
          <w:iCs/>
          <w:color w:val="808080" w:themeColor="background1" w:themeShade="80"/>
          <w:szCs w:val="20"/>
        </w:rPr>
        <w:t xml:space="preserve"> je bil plan 2021 za </w:t>
      </w:r>
      <w:proofErr w:type="spellStart"/>
      <w:r w:rsidRPr="005E4BEA">
        <w:rPr>
          <w:rFonts w:cs="Arial"/>
          <w:i/>
          <w:iCs/>
          <w:color w:val="808080" w:themeColor="background1" w:themeShade="80"/>
          <w:szCs w:val="20"/>
        </w:rPr>
        <w:t>patohistološke</w:t>
      </w:r>
      <w:proofErr w:type="spellEnd"/>
      <w:r w:rsidRPr="005E4BEA">
        <w:rPr>
          <w:rFonts w:cs="Arial"/>
          <w:i/>
          <w:iCs/>
          <w:color w:val="808080" w:themeColor="background1" w:themeShade="80"/>
          <w:szCs w:val="20"/>
        </w:rPr>
        <w:t xml:space="preserve"> in citološke preiskave presežen (povprečni indeks realizacije je bil 171 %). Iz tega naslova je imel UKC Ljubljana za skoraj pol milijona neplačanih sredstev. Da bi se temu izognili predlagamo plačilo po realizaciji. Zlasti je bil presežen program v dejavnostih </w:t>
      </w:r>
      <w:proofErr w:type="spellStart"/>
      <w:r w:rsidRPr="005E4BEA">
        <w:rPr>
          <w:rFonts w:cs="Arial"/>
          <w:i/>
          <w:iCs/>
          <w:color w:val="808080" w:themeColor="background1" w:themeShade="80"/>
          <w:szCs w:val="20"/>
        </w:rPr>
        <w:t>internistika</w:t>
      </w:r>
      <w:proofErr w:type="spellEnd"/>
      <w:r w:rsidRPr="005E4BEA">
        <w:rPr>
          <w:rFonts w:cs="Arial"/>
          <w:i/>
          <w:iCs/>
          <w:color w:val="808080" w:themeColor="background1" w:themeShade="80"/>
          <w:szCs w:val="20"/>
        </w:rPr>
        <w:t xml:space="preserve">, ginekologija in dermatologija. Izvajanje </w:t>
      </w:r>
      <w:proofErr w:type="spellStart"/>
      <w:r w:rsidRPr="005E4BEA">
        <w:rPr>
          <w:rFonts w:cs="Arial"/>
          <w:i/>
          <w:iCs/>
          <w:color w:val="808080" w:themeColor="background1" w:themeShade="80"/>
          <w:szCs w:val="20"/>
        </w:rPr>
        <w:t>patohistoloških</w:t>
      </w:r>
      <w:proofErr w:type="spellEnd"/>
      <w:r w:rsidRPr="005E4BEA">
        <w:rPr>
          <w:rFonts w:cs="Arial"/>
          <w:i/>
          <w:iCs/>
          <w:color w:val="808080" w:themeColor="background1" w:themeShade="80"/>
          <w:szCs w:val="20"/>
        </w:rPr>
        <w:t xml:space="preserve"> in citoloških preiskav je izjemno pomembno za pravilno diagnosticiranje in zgodnje odkrivanje bolezni, zato je prav tako pomembno ustrezno financiranje.</w:t>
      </w:r>
    </w:p>
    <w:p w14:paraId="1EEA1108" w14:textId="77777777" w:rsidR="00FE461F" w:rsidRPr="005E4BEA" w:rsidRDefault="00FE461F" w:rsidP="00FE461F">
      <w:pPr>
        <w:spacing w:line="240" w:lineRule="auto"/>
        <w:rPr>
          <w:rFonts w:cs="Arial"/>
          <w:i/>
          <w:iCs/>
          <w:color w:val="808080" w:themeColor="background1" w:themeShade="80"/>
          <w:szCs w:val="20"/>
        </w:rPr>
      </w:pPr>
    </w:p>
    <w:p w14:paraId="149C1E8D"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noProof/>
          <w:color w:val="808080" w:themeColor="background1" w:themeShade="80"/>
          <w:szCs w:val="20"/>
        </w:rPr>
        <w:drawing>
          <wp:inline distT="0" distB="0" distL="0" distR="0" wp14:anchorId="1F2AF083" wp14:editId="4D598152">
            <wp:extent cx="6010275" cy="254317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275" cy="2543175"/>
                    </a:xfrm>
                    <a:prstGeom prst="rect">
                      <a:avLst/>
                    </a:prstGeom>
                    <a:noFill/>
                    <a:ln>
                      <a:noFill/>
                    </a:ln>
                  </pic:spPr>
                </pic:pic>
              </a:graphicData>
            </a:graphic>
          </wp:inline>
        </w:drawing>
      </w:r>
    </w:p>
    <w:p w14:paraId="444CB501" w14:textId="77777777" w:rsidR="00FE461F" w:rsidRPr="005E4BEA" w:rsidRDefault="00FE461F" w:rsidP="00FE461F">
      <w:pPr>
        <w:spacing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Obrazložitev PROGRAMA CELOVITA REHABILITACIJA SLEPIH IN SLABOVIDNIH – PLAČILO PO REALIZACIJI</w:t>
      </w:r>
    </w:p>
    <w:p w14:paraId="4DC8C087" w14:textId="77777777" w:rsidR="00FE461F" w:rsidRPr="005E4BEA" w:rsidRDefault="00FE461F" w:rsidP="00FE461F">
      <w:pPr>
        <w:spacing w:before="100" w:beforeAutospacing="1" w:after="100" w:afterAutospacing="1" w:line="240" w:lineRule="auto"/>
        <w:jc w:val="both"/>
        <w:rPr>
          <w:rFonts w:cs="Arial"/>
          <w:i/>
          <w:iCs/>
          <w:color w:val="808080" w:themeColor="background1" w:themeShade="80"/>
          <w:szCs w:val="20"/>
        </w:rPr>
      </w:pPr>
      <w:r w:rsidRPr="005E4BEA">
        <w:rPr>
          <w:rFonts w:cs="Arial"/>
          <w:i/>
          <w:iCs/>
          <w:color w:val="808080" w:themeColor="background1" w:themeShade="80"/>
          <w:szCs w:val="20"/>
        </w:rPr>
        <w:t>Od ustanovitve Nacionalnega centra za celovito rehabilitacijo slepih in slabovidnih (NC CRSS) leta 2017 opazujemo skokovito naraščanje števila storitev, rehabilitiranih oseb s slepoto in slabovidnostjo, razvidno iz priložene tabele spodaj.</w:t>
      </w:r>
    </w:p>
    <w:p w14:paraId="298EDABA" w14:textId="77777777" w:rsidR="00FE461F" w:rsidRPr="005E4BEA" w:rsidRDefault="00FE461F" w:rsidP="00FE461F">
      <w:pPr>
        <w:spacing w:before="100" w:beforeAutospacing="1" w:after="100" w:afterAutospacing="1" w:line="240" w:lineRule="auto"/>
        <w:jc w:val="both"/>
        <w:rPr>
          <w:rFonts w:cs="Arial"/>
          <w:i/>
          <w:iCs/>
          <w:color w:val="808080" w:themeColor="background1" w:themeShade="80"/>
          <w:szCs w:val="20"/>
        </w:rPr>
      </w:pPr>
      <w:r w:rsidRPr="005E4BEA">
        <w:rPr>
          <w:rFonts w:cs="Arial"/>
          <w:i/>
          <w:iCs/>
          <w:noProof/>
          <w:color w:val="808080" w:themeColor="background1" w:themeShade="80"/>
          <w:szCs w:val="20"/>
        </w:rPr>
        <w:drawing>
          <wp:inline distT="0" distB="0" distL="0" distR="0" wp14:anchorId="7DC2F54F" wp14:editId="3B49E5B0">
            <wp:extent cx="5715000" cy="60007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600075"/>
                    </a:xfrm>
                    <a:prstGeom prst="rect">
                      <a:avLst/>
                    </a:prstGeom>
                    <a:noFill/>
                    <a:ln>
                      <a:noFill/>
                    </a:ln>
                  </pic:spPr>
                </pic:pic>
              </a:graphicData>
            </a:graphic>
          </wp:inline>
        </w:drawing>
      </w:r>
    </w:p>
    <w:p w14:paraId="6869E9AF" w14:textId="77777777" w:rsidR="00FE461F" w:rsidRPr="005E4BEA" w:rsidRDefault="00FE461F" w:rsidP="00FE461F">
      <w:pPr>
        <w:spacing w:before="100" w:beforeAutospacing="1" w:after="100" w:afterAutospacing="1"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Povečuje se tako število obravnav kot tudi število strokovnih profilov, tako po številu istovrstnih profilov kot tudi po raznovrstnosti profilov. Od začetnega dela dveh zdravnikov in dveh medicinskih sester so se multidisciplinarnemu timu kasneje pridružile še dve </w:t>
      </w:r>
      <w:proofErr w:type="spellStart"/>
      <w:r w:rsidRPr="005E4BEA">
        <w:rPr>
          <w:rFonts w:cs="Arial"/>
          <w:i/>
          <w:iCs/>
          <w:color w:val="808080" w:themeColor="background1" w:themeShade="80"/>
          <w:szCs w:val="20"/>
        </w:rPr>
        <w:t>tiflopedagoginji</w:t>
      </w:r>
      <w:proofErr w:type="spellEnd"/>
      <w:r w:rsidRPr="005E4BEA">
        <w:rPr>
          <w:rFonts w:cs="Arial"/>
          <w:i/>
          <w:iCs/>
          <w:color w:val="808080" w:themeColor="background1" w:themeShade="80"/>
          <w:szCs w:val="20"/>
        </w:rPr>
        <w:t xml:space="preserve"> in psihologinja. Začela je delovati otroška rehabilitacijska ambulanta. Vse je že predvideno v programu CRSS.NC CRSS je edina rehabilitacijska ustanova za slepe in slabovidne v Sloveniji. </w:t>
      </w:r>
      <w:r w:rsidRPr="005E4BEA">
        <w:rPr>
          <w:rFonts w:cs="Arial"/>
          <w:i/>
          <w:iCs/>
          <w:color w:val="808080" w:themeColor="background1" w:themeShade="80"/>
          <w:szCs w:val="20"/>
        </w:rPr>
        <w:lastRenderedPageBreak/>
        <w:t xml:space="preserve">Leta 2014 smo izpeljali Pilotski projekt, ki je dokazal veliko potrebo po tovrstnih rehabilitacijskih programih v naši državi. Ves ta čas NC CRSS strokovno vodi rehabilitacijo, izvaja izobraževalne dejavnosti tudi za nestrokovnjake, skrbi za ozaveščanje javnosti o slepih in slabovidnih ter o možnostih rehabilitacije. Vse to, poleg povečanega števila obravnav, ki so bile definirane na manjše število </w:t>
      </w:r>
      <w:proofErr w:type="spellStart"/>
      <w:r w:rsidRPr="005E4BEA">
        <w:rPr>
          <w:rFonts w:cs="Arial"/>
          <w:i/>
          <w:iCs/>
          <w:color w:val="808080" w:themeColor="background1" w:themeShade="80"/>
          <w:szCs w:val="20"/>
        </w:rPr>
        <w:t>rehabilitandov</w:t>
      </w:r>
      <w:proofErr w:type="spellEnd"/>
      <w:r w:rsidRPr="005E4BEA">
        <w:rPr>
          <w:rFonts w:cs="Arial"/>
          <w:i/>
          <w:iCs/>
          <w:color w:val="808080" w:themeColor="background1" w:themeShade="80"/>
          <w:szCs w:val="20"/>
        </w:rPr>
        <w:t xml:space="preserve">, opravlja en multidisciplinarni tim.   V tem in v naslednjih letih glede na dosedanje izkušnje in delo pričakujemo, da se bo število </w:t>
      </w:r>
      <w:proofErr w:type="spellStart"/>
      <w:r w:rsidRPr="005E4BEA">
        <w:rPr>
          <w:rFonts w:cs="Arial"/>
          <w:i/>
          <w:iCs/>
          <w:color w:val="808080" w:themeColor="background1" w:themeShade="80"/>
          <w:szCs w:val="20"/>
        </w:rPr>
        <w:t>rehabilitandov</w:t>
      </w:r>
      <w:proofErr w:type="spellEnd"/>
      <w:r w:rsidRPr="005E4BEA">
        <w:rPr>
          <w:rFonts w:cs="Arial"/>
          <w:i/>
          <w:iCs/>
          <w:color w:val="808080" w:themeColor="background1" w:themeShade="80"/>
          <w:szCs w:val="20"/>
        </w:rPr>
        <w:t xml:space="preserve"> še povečevalo. Pridružila se nam bo socialna delavka in inženir informacijske tehnologije, nujno pa bi potrebovali še vsaj dve diplomirani medicinski sestri, eno </w:t>
      </w:r>
      <w:proofErr w:type="spellStart"/>
      <w:r w:rsidRPr="005E4BEA">
        <w:rPr>
          <w:rFonts w:cs="Arial"/>
          <w:i/>
          <w:iCs/>
          <w:color w:val="808080" w:themeColor="background1" w:themeShade="80"/>
          <w:szCs w:val="20"/>
        </w:rPr>
        <w:t>tiflopedagoginjo</w:t>
      </w:r>
      <w:proofErr w:type="spellEnd"/>
      <w:r w:rsidRPr="005E4BEA">
        <w:rPr>
          <w:rFonts w:cs="Arial"/>
          <w:i/>
          <w:iCs/>
          <w:color w:val="808080" w:themeColor="background1" w:themeShade="80"/>
          <w:szCs w:val="20"/>
        </w:rPr>
        <w:t xml:space="preserve"> in dve administratorki.</w:t>
      </w:r>
    </w:p>
    <w:p w14:paraId="4236CFC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Trenutno </w:t>
      </w:r>
      <w:proofErr w:type="spellStart"/>
      <w:r w:rsidRPr="005E4BEA">
        <w:rPr>
          <w:rFonts w:cs="Arial"/>
          <w:i/>
          <w:iCs/>
          <w:color w:val="808080" w:themeColor="background1" w:themeShade="80"/>
          <w:szCs w:val="20"/>
        </w:rPr>
        <w:t>adminsitratorka</w:t>
      </w:r>
      <w:proofErr w:type="spellEnd"/>
      <w:r w:rsidRPr="005E4BEA">
        <w:rPr>
          <w:rFonts w:cs="Arial"/>
          <w:i/>
          <w:iCs/>
          <w:color w:val="808080" w:themeColor="background1" w:themeShade="80"/>
          <w:szCs w:val="20"/>
        </w:rPr>
        <w:t xml:space="preserve"> le piše diktirane izvide, a velik del bremena trenutnega administrativnega dela opravljamo vsak profil zase – tako sami kličemo </w:t>
      </w:r>
      <w:proofErr w:type="spellStart"/>
      <w:r w:rsidRPr="005E4BEA">
        <w:rPr>
          <w:rFonts w:cs="Arial"/>
          <w:i/>
          <w:iCs/>
          <w:color w:val="808080" w:themeColor="background1" w:themeShade="80"/>
          <w:szCs w:val="20"/>
        </w:rPr>
        <w:t>rehabilitande</w:t>
      </w:r>
      <w:proofErr w:type="spellEnd"/>
      <w:r w:rsidRPr="005E4BEA">
        <w:rPr>
          <w:rFonts w:cs="Arial"/>
          <w:i/>
          <w:iCs/>
          <w:color w:val="808080" w:themeColor="background1" w:themeShade="80"/>
          <w:szCs w:val="20"/>
        </w:rPr>
        <w:t xml:space="preserve">, se usklajujemo za urnik tako med sabo kot z njimi. Takšen način dela ni vzdržen, zaradi tega pregledamo manj bolnikov, kot bi jih lahko, dodatne obremenitve z novimi zaposlenimi in še več </w:t>
      </w:r>
      <w:proofErr w:type="spellStart"/>
      <w:r w:rsidRPr="005E4BEA">
        <w:rPr>
          <w:rFonts w:cs="Arial"/>
          <w:i/>
          <w:iCs/>
          <w:color w:val="808080" w:themeColor="background1" w:themeShade="80"/>
          <w:szCs w:val="20"/>
        </w:rPr>
        <w:t>rehabilitandi</w:t>
      </w:r>
      <w:proofErr w:type="spellEnd"/>
      <w:r w:rsidRPr="005E4BEA">
        <w:rPr>
          <w:rFonts w:cs="Arial"/>
          <w:i/>
          <w:iCs/>
          <w:color w:val="808080" w:themeColor="background1" w:themeShade="80"/>
          <w:szCs w:val="20"/>
        </w:rPr>
        <w:t xml:space="preserve"> nam bodo še bolj omejevale tekoče delo. Administratorki za polni delovni čas potrebujemo: </w:t>
      </w:r>
    </w:p>
    <w:p w14:paraId="4BCE63D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 za pisanje izvidov prav vseh naštetih profilov (trenutno 2 </w:t>
      </w:r>
      <w:proofErr w:type="spellStart"/>
      <w:r w:rsidRPr="005E4BEA">
        <w:rPr>
          <w:rFonts w:cs="Arial"/>
          <w:i/>
          <w:iCs/>
          <w:color w:val="808080" w:themeColor="background1" w:themeShade="80"/>
          <w:szCs w:val="20"/>
        </w:rPr>
        <w:t>tiflopedagoginji</w:t>
      </w:r>
      <w:proofErr w:type="spellEnd"/>
      <w:r w:rsidRPr="005E4BEA">
        <w:rPr>
          <w:rFonts w:cs="Arial"/>
          <w:i/>
          <w:iCs/>
          <w:color w:val="808080" w:themeColor="background1" w:themeShade="80"/>
          <w:szCs w:val="20"/>
        </w:rPr>
        <w:t xml:space="preserve">, 2 psihologinji, 4 zdravnice), </w:t>
      </w:r>
    </w:p>
    <w:p w14:paraId="47D8A7F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 za usklajevanje datumov pregledov pri vseh profilih, razporeditev tudi znotraj tima, </w:t>
      </w:r>
    </w:p>
    <w:p w14:paraId="5DB164E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 za naročanje, klicanje </w:t>
      </w:r>
      <w:proofErr w:type="spellStart"/>
      <w:r w:rsidRPr="005E4BEA">
        <w:rPr>
          <w:rFonts w:cs="Arial"/>
          <w:i/>
          <w:iCs/>
          <w:color w:val="808080" w:themeColor="background1" w:themeShade="80"/>
          <w:szCs w:val="20"/>
        </w:rPr>
        <w:t>rehabilitadov</w:t>
      </w:r>
      <w:proofErr w:type="spellEnd"/>
      <w:r w:rsidRPr="005E4BEA">
        <w:rPr>
          <w:rFonts w:cs="Arial"/>
          <w:i/>
          <w:iCs/>
          <w:color w:val="808080" w:themeColor="background1" w:themeShade="80"/>
          <w:szCs w:val="20"/>
        </w:rPr>
        <w:t>, kar je potrebno velikokrat: veliko ljudi je starejših, zelo slabo vidijo in elektronska pošta ali navadna pošta v zvezi s pregledi ne zadostuje.</w:t>
      </w:r>
    </w:p>
    <w:p w14:paraId="7979FE5C" w14:textId="77777777" w:rsidR="00FE461F" w:rsidRPr="005E4BEA" w:rsidRDefault="00FE461F" w:rsidP="00FE461F">
      <w:pPr>
        <w:spacing w:before="100" w:beforeAutospacing="1" w:after="100" w:afterAutospacing="1" w:line="240" w:lineRule="auto"/>
        <w:jc w:val="both"/>
        <w:rPr>
          <w:rFonts w:cs="Arial"/>
          <w:i/>
          <w:iCs/>
          <w:color w:val="808080" w:themeColor="background1" w:themeShade="80"/>
          <w:szCs w:val="20"/>
        </w:rPr>
      </w:pPr>
      <w:r w:rsidRPr="005E4BEA">
        <w:rPr>
          <w:rFonts w:cs="Arial"/>
          <w:i/>
          <w:iCs/>
          <w:color w:val="808080" w:themeColor="background1" w:themeShade="80"/>
          <w:szCs w:val="20"/>
        </w:rPr>
        <w:t>S širitvijo dejavnosti in z novimi zaposlitvami bodo tudi finančne posledice pozitivne, saj bomo s tem lahko opravili več storitev, za katere smo usposobljeni. Predvsem pa bodo posledice pozitivne tudi z vidika skrajševanja čakalnih dob, kar je predvsem pomembno pri zgodnji obravnavi (slepi in slabovidni otroci) in pri zaposlenih, pa tudi pri starejših z vidika manjših socialnih transferjev, kot jih sicer slepe in slabovidne osebe imajo.</w:t>
      </w:r>
    </w:p>
    <w:p w14:paraId="582011F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Finančni učinek: Plačilo programa po realizaciji in dodatna sredstva za 0,3 tima oziroma v višini 94.989 eur (ocena na podlagi preseganja programa v letu 2021).</w:t>
      </w:r>
    </w:p>
    <w:p w14:paraId="615D5AF0" w14:textId="77777777" w:rsidR="00FE461F" w:rsidRPr="005E4BEA" w:rsidRDefault="00FE461F" w:rsidP="00FE461F">
      <w:pPr>
        <w:spacing w:line="240" w:lineRule="auto"/>
        <w:jc w:val="both"/>
        <w:rPr>
          <w:rFonts w:cs="Arial"/>
          <w:b/>
          <w:i/>
          <w:color w:val="808080" w:themeColor="background1" w:themeShade="80"/>
          <w:szCs w:val="20"/>
          <w:u w:val="single"/>
          <w:lang w:eastAsia="sl-SI"/>
        </w:rPr>
      </w:pPr>
    </w:p>
    <w:p w14:paraId="557683DA"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 Skupaj finančna ocena, 2.6 mio €</w:t>
      </w:r>
    </w:p>
    <w:p w14:paraId="3EAD13CB" w14:textId="77777777" w:rsidR="00FE461F" w:rsidRPr="005E4BEA" w:rsidRDefault="00FE461F" w:rsidP="00FE461F">
      <w:pPr>
        <w:spacing w:line="240" w:lineRule="auto"/>
        <w:jc w:val="both"/>
        <w:rPr>
          <w:rFonts w:cs="Arial"/>
          <w:b/>
          <w:i/>
          <w:color w:val="808080" w:themeColor="background1" w:themeShade="80"/>
          <w:szCs w:val="20"/>
          <w:u w:val="single"/>
          <w:lang w:eastAsia="sl-SI"/>
        </w:rPr>
      </w:pPr>
    </w:p>
    <w:p w14:paraId="4B74352B" w14:textId="77777777" w:rsidR="006D4358" w:rsidRPr="005E4BEA" w:rsidRDefault="006D4358" w:rsidP="006D4358">
      <w:pPr>
        <w:spacing w:line="240" w:lineRule="auto"/>
        <w:jc w:val="both"/>
        <w:rPr>
          <w:rFonts w:eastAsiaTheme="minorHAnsi" w:cs="Arial"/>
          <w:i/>
          <w:iCs/>
          <w:color w:val="808080" w:themeColor="background1" w:themeShade="80"/>
          <w:szCs w:val="20"/>
        </w:rPr>
      </w:pPr>
    </w:p>
    <w:p w14:paraId="442892C1" w14:textId="77777777" w:rsidR="006D4358" w:rsidRPr="005E4BEA" w:rsidRDefault="006D4358" w:rsidP="006D435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6392D1AC" w14:textId="77777777" w:rsidR="006D4358" w:rsidRPr="005E4BEA" w:rsidRDefault="006D4358" w:rsidP="006D4358">
      <w:pPr>
        <w:spacing w:line="0" w:lineRule="atLeast"/>
        <w:jc w:val="both"/>
        <w:rPr>
          <w:rFonts w:eastAsia="Arial Narrow" w:cs="Arial"/>
          <w:szCs w:val="20"/>
          <w:lang w:eastAsia="sl-SI"/>
        </w:rPr>
      </w:pPr>
    </w:p>
    <w:p w14:paraId="1282B257" w14:textId="49BDC712" w:rsidR="006D4358" w:rsidRPr="005E4BEA" w:rsidRDefault="006D4358" w:rsidP="006D435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45" w:name="_Hlk102478992"/>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 </w:t>
      </w:r>
      <w:r w:rsidRPr="005E4BEA">
        <w:rPr>
          <w:rFonts w:eastAsiaTheme="minorHAnsi" w:cs="Arial"/>
          <w:bCs/>
          <w:szCs w:val="20"/>
        </w:rPr>
        <w:t>Splošnega dogovora ne spremeni.</w:t>
      </w:r>
    </w:p>
    <w:bookmarkEnd w:id="145"/>
    <w:p w14:paraId="3B007AF0" w14:textId="77777777" w:rsidR="006D4358" w:rsidRPr="005E4BEA" w:rsidRDefault="006D4358" w:rsidP="006D4358">
      <w:pPr>
        <w:spacing w:line="0" w:lineRule="atLeast"/>
        <w:contextualSpacing/>
        <w:jc w:val="both"/>
        <w:rPr>
          <w:rFonts w:eastAsia="Arial Narrow" w:cs="Arial"/>
          <w:bCs/>
          <w:szCs w:val="20"/>
        </w:rPr>
      </w:pPr>
    </w:p>
    <w:p w14:paraId="1C792008" w14:textId="77777777" w:rsidR="006D4358" w:rsidRPr="005E4BEA" w:rsidRDefault="006D4358" w:rsidP="006D4358">
      <w:pPr>
        <w:spacing w:line="240" w:lineRule="auto"/>
        <w:jc w:val="both"/>
        <w:rPr>
          <w:rFonts w:cs="Arial"/>
          <w:szCs w:val="20"/>
        </w:rPr>
      </w:pPr>
    </w:p>
    <w:p w14:paraId="6DCE9A63" w14:textId="36FD1310" w:rsidR="006D4358" w:rsidRPr="005E4BEA" w:rsidRDefault="006D435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w:t>
      </w:r>
      <w:r w:rsidR="006C5068" w:rsidRPr="005E4BEA">
        <w:rPr>
          <w:rFonts w:ascii="Arial" w:eastAsia="Arial Narrow" w:hAnsi="Arial" w:cs="Arial"/>
          <w:sz w:val="20"/>
        </w:rPr>
        <w:t>2</w:t>
      </w:r>
      <w:r w:rsidRPr="005E4BEA">
        <w:rPr>
          <w:rFonts w:ascii="Arial" w:eastAsia="Arial Narrow" w:hAnsi="Arial" w:cs="Arial"/>
          <w:sz w:val="20"/>
        </w:rPr>
        <w:t>)</w:t>
      </w:r>
    </w:p>
    <w:p w14:paraId="2A05ACBF" w14:textId="77777777" w:rsidR="006D4358" w:rsidRPr="005E4BEA" w:rsidRDefault="006D4358" w:rsidP="006D4358">
      <w:pPr>
        <w:spacing w:line="240" w:lineRule="auto"/>
        <w:jc w:val="both"/>
        <w:rPr>
          <w:rFonts w:eastAsia="Arial Narrow" w:cs="Arial"/>
          <w:b/>
          <w:szCs w:val="20"/>
        </w:rPr>
      </w:pPr>
    </w:p>
    <w:p w14:paraId="3F62C5A1" w14:textId="54850E43" w:rsidR="00FE461F" w:rsidRPr="005E4BEA" w:rsidRDefault="006D4358" w:rsidP="00FE461F">
      <w:pPr>
        <w:spacing w:line="240" w:lineRule="auto"/>
        <w:jc w:val="both"/>
        <w:rPr>
          <w:rFonts w:cs="Arial"/>
          <w:bCs/>
          <w:szCs w:val="20"/>
        </w:rPr>
      </w:pPr>
      <w:r w:rsidRPr="005E4BEA">
        <w:rPr>
          <w:rFonts w:eastAsia="Arial Narrow" w:cs="Arial"/>
          <w:b/>
          <w:szCs w:val="20"/>
        </w:rPr>
        <w:t xml:space="preserve">Združenje zdravstvenih zavodov Slovenije </w:t>
      </w:r>
      <w:r w:rsidRPr="005E4BEA">
        <w:rPr>
          <w:rFonts w:eastAsiaTheme="minorHAnsi" w:cs="Arial"/>
          <w:bCs/>
          <w:szCs w:val="20"/>
        </w:rPr>
        <w:t xml:space="preserve">predlaga, da se </w:t>
      </w:r>
      <w:r w:rsidR="006C5068" w:rsidRPr="005E4BEA">
        <w:rPr>
          <w:rFonts w:eastAsiaTheme="minorHAnsi" w:cs="Arial"/>
          <w:bCs/>
          <w:szCs w:val="20"/>
        </w:rPr>
        <w:t>v</w:t>
      </w:r>
      <w:r w:rsidR="00FE461F" w:rsidRPr="005E4BEA">
        <w:rPr>
          <w:rFonts w:cs="Arial"/>
          <w:bCs/>
          <w:szCs w:val="20"/>
        </w:rPr>
        <w:t xml:space="preserve"> Prilogi III se v (3) odstavku v 1. točki doda točka (prelivanje)</w:t>
      </w:r>
    </w:p>
    <w:p w14:paraId="0F8113A8" w14:textId="77777777" w:rsidR="006C5068" w:rsidRPr="005E4BEA" w:rsidRDefault="006C5068" w:rsidP="00FE461F">
      <w:pPr>
        <w:spacing w:line="240" w:lineRule="auto"/>
        <w:jc w:val="both"/>
        <w:rPr>
          <w:rFonts w:cs="Arial"/>
          <w:bCs/>
          <w:szCs w:val="20"/>
        </w:rPr>
      </w:pPr>
    </w:p>
    <w:p w14:paraId="4B448422" w14:textId="77777777" w:rsidR="00FE461F" w:rsidRPr="005E4BEA" w:rsidRDefault="00FE461F" w:rsidP="00FE461F">
      <w:pPr>
        <w:spacing w:line="240" w:lineRule="auto"/>
        <w:jc w:val="both"/>
        <w:rPr>
          <w:rFonts w:cs="Arial"/>
          <w:iCs/>
          <w:szCs w:val="20"/>
        </w:rPr>
      </w:pPr>
      <w:r w:rsidRPr="005E4BEA">
        <w:rPr>
          <w:rFonts w:cs="Arial"/>
          <w:iCs/>
          <w:szCs w:val="20"/>
        </w:rPr>
        <w:t xml:space="preserve">c.) med pogodbeno dogovorjenimi </w:t>
      </w:r>
      <w:proofErr w:type="spellStart"/>
      <w:r w:rsidRPr="005E4BEA">
        <w:rPr>
          <w:rFonts w:cs="Arial"/>
          <w:iCs/>
          <w:szCs w:val="20"/>
        </w:rPr>
        <w:t>prospektivnimi</w:t>
      </w:r>
      <w:proofErr w:type="spellEnd"/>
      <w:r w:rsidRPr="005E4BEA">
        <w:rPr>
          <w:rFonts w:cs="Arial"/>
          <w:iCs/>
          <w:szCs w:val="20"/>
        </w:rPr>
        <w:t xml:space="preserve"> programi.</w:t>
      </w:r>
    </w:p>
    <w:p w14:paraId="1E8DF39B" w14:textId="77777777" w:rsidR="00FE461F" w:rsidRPr="005E4BEA" w:rsidRDefault="00FE461F" w:rsidP="00FE461F">
      <w:pPr>
        <w:spacing w:line="240" w:lineRule="auto"/>
        <w:jc w:val="both"/>
        <w:rPr>
          <w:rFonts w:cs="Arial"/>
          <w:iCs/>
          <w:szCs w:val="20"/>
        </w:rPr>
      </w:pPr>
    </w:p>
    <w:p w14:paraId="46C7405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4FB80C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Potrebe po posameznem </w:t>
      </w:r>
      <w:proofErr w:type="spellStart"/>
      <w:r w:rsidRPr="005E4BEA">
        <w:rPr>
          <w:rFonts w:cs="Arial"/>
          <w:i/>
          <w:iCs/>
          <w:color w:val="808080" w:themeColor="background1" w:themeShade="80"/>
          <w:szCs w:val="20"/>
        </w:rPr>
        <w:t>prospektivnem</w:t>
      </w:r>
      <w:proofErr w:type="spellEnd"/>
      <w:r w:rsidRPr="005E4BEA">
        <w:rPr>
          <w:rFonts w:cs="Arial"/>
          <w:i/>
          <w:iCs/>
          <w:color w:val="808080" w:themeColor="background1" w:themeShade="80"/>
          <w:szCs w:val="20"/>
        </w:rPr>
        <w:t xml:space="preserve"> programu se pri posameznem izvajalcu z leti spreminjajo. S prelivanjem med posameznimi </w:t>
      </w:r>
      <w:proofErr w:type="spellStart"/>
      <w:r w:rsidRPr="005E4BEA">
        <w:rPr>
          <w:rFonts w:cs="Arial"/>
          <w:i/>
          <w:iCs/>
          <w:color w:val="808080" w:themeColor="background1" w:themeShade="80"/>
          <w:szCs w:val="20"/>
        </w:rPr>
        <w:t>prospektivnimi</w:t>
      </w:r>
      <w:proofErr w:type="spellEnd"/>
      <w:r w:rsidRPr="005E4BEA">
        <w:rPr>
          <w:rFonts w:cs="Arial"/>
          <w:i/>
          <w:iCs/>
          <w:color w:val="808080" w:themeColor="background1" w:themeShade="80"/>
          <w:szCs w:val="20"/>
        </w:rPr>
        <w:t xml:space="preserve"> programi bi sledili aktualnim potrebam bolnikov, v okviru pogodbeno dogovorjenih sredstev </w:t>
      </w:r>
      <w:proofErr w:type="spellStart"/>
      <w:r w:rsidRPr="005E4BEA">
        <w:rPr>
          <w:rFonts w:cs="Arial"/>
          <w:i/>
          <w:iCs/>
          <w:color w:val="808080" w:themeColor="background1" w:themeShade="80"/>
          <w:szCs w:val="20"/>
        </w:rPr>
        <w:t>prospektivnega</w:t>
      </w:r>
      <w:proofErr w:type="spellEnd"/>
      <w:r w:rsidRPr="005E4BEA">
        <w:rPr>
          <w:rFonts w:cs="Arial"/>
          <w:i/>
          <w:iCs/>
          <w:color w:val="808080" w:themeColor="background1" w:themeShade="80"/>
          <w:szCs w:val="20"/>
        </w:rPr>
        <w:t xml:space="preserve"> programa.</w:t>
      </w:r>
    </w:p>
    <w:p w14:paraId="1F8816DB" w14:textId="65DBDC69" w:rsidR="00FE461F" w:rsidRPr="005E4BEA" w:rsidRDefault="00FE461F" w:rsidP="00FE461F">
      <w:pPr>
        <w:spacing w:line="240" w:lineRule="auto"/>
        <w:jc w:val="both"/>
        <w:rPr>
          <w:rFonts w:cs="Arial"/>
          <w:i/>
          <w:iCs/>
          <w:color w:val="808080" w:themeColor="background1" w:themeShade="80"/>
          <w:szCs w:val="20"/>
        </w:rPr>
      </w:pPr>
    </w:p>
    <w:p w14:paraId="6AAC7188" w14:textId="77777777" w:rsidR="006C5068" w:rsidRPr="005E4BEA" w:rsidRDefault="006C5068" w:rsidP="006C506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748C6564" w14:textId="77777777" w:rsidR="006C5068" w:rsidRPr="005E4BEA" w:rsidRDefault="006C5068" w:rsidP="006C5068">
      <w:pPr>
        <w:spacing w:line="0" w:lineRule="atLeast"/>
        <w:jc w:val="both"/>
        <w:rPr>
          <w:rFonts w:eastAsia="Arial Narrow" w:cs="Arial"/>
          <w:szCs w:val="20"/>
          <w:lang w:eastAsia="sl-SI"/>
        </w:rPr>
      </w:pPr>
    </w:p>
    <w:p w14:paraId="491A9840" w14:textId="77777777"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 </w:t>
      </w:r>
      <w:r w:rsidRPr="005E4BEA">
        <w:rPr>
          <w:rFonts w:eastAsiaTheme="minorHAnsi" w:cs="Arial"/>
          <w:bCs/>
          <w:szCs w:val="20"/>
        </w:rPr>
        <w:t>Splošnega dogovora ne spremeni.</w:t>
      </w:r>
    </w:p>
    <w:p w14:paraId="1C4FB0E2" w14:textId="77777777" w:rsidR="006C5068" w:rsidRPr="005E4BEA" w:rsidRDefault="006C5068" w:rsidP="006C5068">
      <w:pPr>
        <w:spacing w:line="0" w:lineRule="atLeast"/>
        <w:contextualSpacing/>
        <w:jc w:val="both"/>
        <w:rPr>
          <w:rFonts w:eastAsia="Arial Narrow" w:cs="Arial"/>
          <w:bCs/>
          <w:szCs w:val="20"/>
        </w:rPr>
      </w:pPr>
    </w:p>
    <w:p w14:paraId="38419B94" w14:textId="77777777" w:rsidR="006C5068" w:rsidRPr="005E4BEA" w:rsidRDefault="006C5068" w:rsidP="006C5068">
      <w:pPr>
        <w:spacing w:line="240" w:lineRule="auto"/>
        <w:jc w:val="both"/>
        <w:rPr>
          <w:rFonts w:cs="Arial"/>
          <w:szCs w:val="20"/>
        </w:rPr>
      </w:pPr>
    </w:p>
    <w:p w14:paraId="47FA4F90" w14:textId="6199DF4C"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(123)</w:t>
      </w:r>
    </w:p>
    <w:p w14:paraId="68CB1623" w14:textId="77777777" w:rsidR="006C5068" w:rsidRPr="005E4BEA" w:rsidRDefault="006C5068" w:rsidP="006C5068">
      <w:pPr>
        <w:spacing w:line="240" w:lineRule="auto"/>
        <w:jc w:val="both"/>
        <w:rPr>
          <w:rFonts w:eastAsia="Arial Narrow" w:cs="Arial"/>
          <w:b/>
          <w:szCs w:val="20"/>
        </w:rPr>
      </w:pPr>
    </w:p>
    <w:p w14:paraId="131317AA" w14:textId="3759E913" w:rsidR="00FE461F" w:rsidRPr="005E4BEA" w:rsidRDefault="006C5068" w:rsidP="006C5068">
      <w:pPr>
        <w:spacing w:line="240" w:lineRule="auto"/>
        <w:jc w:val="both"/>
        <w:rPr>
          <w:rFonts w:eastAsia="MS Mincho" w:cs="Arial"/>
          <w:b/>
          <w:bCs/>
          <w:szCs w:val="20"/>
        </w:rPr>
      </w:pPr>
      <w:r w:rsidRPr="005E4BEA">
        <w:rPr>
          <w:rFonts w:eastAsia="Arial Narrow" w:cs="Arial"/>
          <w:b/>
          <w:szCs w:val="20"/>
        </w:rPr>
        <w:t xml:space="preserve">Združenje zdravstvenih zavodov Slovenije </w:t>
      </w:r>
      <w:r w:rsidRPr="005E4BEA">
        <w:rPr>
          <w:rFonts w:eastAsiaTheme="minorHAnsi" w:cs="Arial"/>
          <w:bCs/>
          <w:szCs w:val="20"/>
        </w:rPr>
        <w:t>predlaga, da se v</w:t>
      </w:r>
      <w:r w:rsidRPr="005E4BEA">
        <w:rPr>
          <w:rFonts w:cs="Arial"/>
          <w:bCs/>
          <w:szCs w:val="20"/>
        </w:rPr>
        <w:t xml:space="preserve"> Prilogi II</w:t>
      </w:r>
      <w:bookmarkStart w:id="146" w:name="_Hlk99615492"/>
      <w:r w:rsidRPr="005E4BEA">
        <w:rPr>
          <w:rFonts w:cs="Arial"/>
          <w:bCs/>
          <w:szCs w:val="20"/>
        </w:rPr>
        <w:t>I/a</w:t>
      </w:r>
      <w:r w:rsidR="00FE461F" w:rsidRPr="005E4BEA">
        <w:rPr>
          <w:rFonts w:eastAsia="MS Mincho" w:cs="Arial"/>
          <w:b/>
          <w:bCs/>
          <w:szCs w:val="20"/>
        </w:rPr>
        <w:t xml:space="preserve"> v 2. Dispanzer za ženske </w:t>
      </w:r>
    </w:p>
    <w:p w14:paraId="5E7F8F0D" w14:textId="77777777" w:rsidR="00FE461F" w:rsidRPr="005E4BEA" w:rsidRDefault="00FE461F" w:rsidP="00FE461F">
      <w:pPr>
        <w:spacing w:line="240" w:lineRule="auto"/>
        <w:rPr>
          <w:rFonts w:eastAsia="MS Mincho" w:cs="Arial"/>
          <w:szCs w:val="20"/>
        </w:rPr>
      </w:pPr>
      <w:bookmarkStart w:id="147" w:name="_Hlk99965464"/>
      <w:r w:rsidRPr="005E4BEA">
        <w:rPr>
          <w:rFonts w:eastAsia="MS Mincho" w:cs="Arial"/>
          <w:szCs w:val="20"/>
        </w:rPr>
        <w:t xml:space="preserve">Briše (2) odstavek </w:t>
      </w:r>
    </w:p>
    <w:p w14:paraId="5E9FCBB3" w14:textId="77777777" w:rsidR="00FE461F" w:rsidRPr="005E4BEA" w:rsidRDefault="00FE461F" w:rsidP="00FE461F">
      <w:pPr>
        <w:spacing w:line="240" w:lineRule="auto"/>
        <w:rPr>
          <w:rFonts w:eastAsia="MS Mincho" w:cs="Arial"/>
          <w:szCs w:val="20"/>
        </w:rPr>
      </w:pPr>
      <w:r w:rsidRPr="005E4BEA">
        <w:rPr>
          <w:rFonts w:eastAsia="MS Mincho" w:cs="Arial"/>
          <w:szCs w:val="20"/>
        </w:rPr>
        <w:t>Briše (3) odstavek</w:t>
      </w:r>
    </w:p>
    <w:p w14:paraId="33567409" w14:textId="77777777" w:rsidR="00FE461F" w:rsidRPr="005E4BEA" w:rsidRDefault="00FE461F" w:rsidP="00FE461F">
      <w:pPr>
        <w:spacing w:line="240" w:lineRule="auto"/>
        <w:rPr>
          <w:rFonts w:eastAsia="MS Mincho" w:cs="Arial"/>
          <w:szCs w:val="20"/>
        </w:rPr>
      </w:pPr>
      <w:r w:rsidRPr="005E4BEA">
        <w:rPr>
          <w:rFonts w:eastAsia="MS Mincho" w:cs="Arial"/>
          <w:szCs w:val="20"/>
        </w:rPr>
        <w:t>Briše se (6) odstavek</w:t>
      </w:r>
    </w:p>
    <w:p w14:paraId="16AE473A" w14:textId="77777777" w:rsidR="00FE461F" w:rsidRPr="005E4BEA" w:rsidRDefault="00FE461F" w:rsidP="00FE461F">
      <w:pPr>
        <w:spacing w:line="240" w:lineRule="auto"/>
        <w:rPr>
          <w:rFonts w:eastAsia="MS Mincho" w:cs="Arial"/>
          <w:szCs w:val="20"/>
        </w:rPr>
      </w:pPr>
      <w:r w:rsidRPr="005E4BEA">
        <w:rPr>
          <w:rFonts w:eastAsia="MS Mincho" w:cs="Arial"/>
          <w:szCs w:val="20"/>
        </w:rPr>
        <w:t>Briše se (7) odstavek.</w:t>
      </w:r>
    </w:p>
    <w:p w14:paraId="36EF3A43" w14:textId="77777777" w:rsidR="00FE461F" w:rsidRPr="005E4BEA" w:rsidRDefault="00FE461F" w:rsidP="00FE461F">
      <w:pPr>
        <w:spacing w:line="240" w:lineRule="auto"/>
        <w:rPr>
          <w:rFonts w:eastAsia="MS Mincho" w:cs="Arial"/>
          <w:szCs w:val="20"/>
        </w:rPr>
      </w:pPr>
    </w:p>
    <w:p w14:paraId="129AED0A" w14:textId="77777777" w:rsidR="00FE461F" w:rsidRPr="005E4BEA" w:rsidRDefault="00FE461F" w:rsidP="00FE461F">
      <w:pPr>
        <w:spacing w:line="240" w:lineRule="auto"/>
        <w:rPr>
          <w:rFonts w:eastAsia="MS Mincho" w:cs="Arial"/>
          <w:szCs w:val="20"/>
        </w:rPr>
      </w:pPr>
      <w:r w:rsidRPr="005E4BEA">
        <w:rPr>
          <w:rFonts w:eastAsia="MS Mincho" w:cs="Arial"/>
          <w:szCs w:val="20"/>
        </w:rPr>
        <w:t xml:space="preserve">Doda se nov (2) odstavek, ki glasi: </w:t>
      </w:r>
    </w:p>
    <w:p w14:paraId="5C846429" w14:textId="77777777" w:rsidR="00FE461F" w:rsidRPr="005E4BEA" w:rsidRDefault="00FE461F" w:rsidP="00FE461F">
      <w:pPr>
        <w:spacing w:before="100" w:beforeAutospacing="1" w:after="100" w:afterAutospacing="1" w:line="240" w:lineRule="auto"/>
        <w:jc w:val="both"/>
        <w:rPr>
          <w:rFonts w:eastAsia="MS Mincho" w:cs="Arial"/>
          <w:strike/>
          <w:szCs w:val="20"/>
        </w:rPr>
      </w:pPr>
      <w:r w:rsidRPr="005E4BEA">
        <w:rPr>
          <w:rFonts w:eastAsia="MS Mincho" w:cs="Arial"/>
          <w:szCs w:val="20"/>
        </w:rPr>
        <w:t>»(2) Zavod plača izvajalcem vse količnike iz glavarine, količnike iz obiskov pa v skladu z naslednjimi kriteriji:</w:t>
      </w:r>
      <w:r w:rsidRPr="005E4BEA">
        <w:rPr>
          <w:rFonts w:eastAsia="MS Mincho" w:cs="Arial"/>
          <w:strike/>
          <w:szCs w:val="20"/>
        </w:rPr>
        <w:t xml:space="preserve">. </w:t>
      </w:r>
    </w:p>
    <w:p w14:paraId="5E035654" w14:textId="77777777" w:rsidR="00FE461F" w:rsidRPr="005E4BEA" w:rsidRDefault="00FE461F" w:rsidP="00FE461F">
      <w:pPr>
        <w:spacing w:after="160" w:line="259" w:lineRule="auto"/>
        <w:ind w:left="720"/>
        <w:jc w:val="both"/>
        <w:rPr>
          <w:rFonts w:eastAsia="MS Mincho" w:cs="Arial"/>
          <w:szCs w:val="20"/>
        </w:rPr>
      </w:pPr>
      <w:r w:rsidRPr="005E4BEA">
        <w:rPr>
          <w:rFonts w:eastAsia="MS Mincho" w:cs="Arial"/>
          <w:szCs w:val="20"/>
        </w:rPr>
        <w:t>-  realiziramo število količnikov iz obiskov, če izvajalec preseže pogodbeno dogovorjeni plan količnikov iz obiskov ali če ne realizira najmanj 15.000 količnikov iz obiskov na tim (preventiva in kurativa skupaj),</w:t>
      </w:r>
    </w:p>
    <w:p w14:paraId="4113C1C3" w14:textId="77777777" w:rsidR="00FE461F" w:rsidRPr="005E4BEA" w:rsidRDefault="00FE461F" w:rsidP="00FE461F">
      <w:pPr>
        <w:spacing w:after="160" w:line="259" w:lineRule="auto"/>
        <w:ind w:left="720"/>
        <w:jc w:val="both"/>
        <w:rPr>
          <w:rFonts w:eastAsia="MS Mincho" w:cs="Arial"/>
          <w:szCs w:val="20"/>
        </w:rPr>
      </w:pPr>
      <w:r w:rsidRPr="005E4BEA">
        <w:rPr>
          <w:rFonts w:eastAsia="MS Mincho" w:cs="Arial"/>
          <w:szCs w:val="20"/>
        </w:rPr>
        <w:br/>
        <w:t xml:space="preserve">- planirano število količnikov iz obiskov, če izvajalec realizira najmanj 15.000 količnikov iz obiskov na tim in ne preseže pogodbeno dogovorjenega števila količnikov iz obiskov (preventiva in kurativa skupaj). </w:t>
      </w:r>
    </w:p>
    <w:p w14:paraId="2DFD293D" w14:textId="77777777" w:rsidR="00FE461F" w:rsidRPr="005E4BEA" w:rsidRDefault="00FE461F" w:rsidP="00FE461F">
      <w:pPr>
        <w:spacing w:line="240" w:lineRule="auto"/>
        <w:rPr>
          <w:rFonts w:eastAsia="MS Mincho" w:cs="Arial"/>
          <w:bCs/>
          <w:szCs w:val="20"/>
        </w:rPr>
      </w:pPr>
      <w:r w:rsidRPr="005E4BEA">
        <w:rPr>
          <w:rFonts w:eastAsia="MS Mincho" w:cs="Arial"/>
          <w:bCs/>
          <w:szCs w:val="20"/>
        </w:rPr>
        <w:t>Ostali odstavki se preštevilčijo.</w:t>
      </w:r>
    </w:p>
    <w:p w14:paraId="6423C301" w14:textId="77777777" w:rsidR="00FE461F" w:rsidRPr="005E4BEA" w:rsidRDefault="00FE461F" w:rsidP="00FE461F">
      <w:pPr>
        <w:spacing w:line="240" w:lineRule="auto"/>
        <w:rPr>
          <w:rFonts w:eastAsia="MS Mincho" w:cs="Arial"/>
          <w:bCs/>
          <w:szCs w:val="20"/>
        </w:rPr>
      </w:pPr>
    </w:p>
    <w:p w14:paraId="4AFCDFE5" w14:textId="77777777" w:rsidR="00FE461F" w:rsidRPr="005E4BEA" w:rsidRDefault="00FE461F" w:rsidP="00FE461F">
      <w:pPr>
        <w:spacing w:line="240" w:lineRule="auto"/>
        <w:jc w:val="both"/>
        <w:rPr>
          <w:rFonts w:cs="Arial"/>
          <w:b/>
          <w:bCs/>
          <w:i/>
          <w:iCs/>
          <w:color w:val="7F7F7F"/>
          <w:szCs w:val="20"/>
          <w:u w:val="single"/>
        </w:rPr>
      </w:pPr>
      <w:r w:rsidRPr="005E4BEA">
        <w:rPr>
          <w:rFonts w:cs="Arial"/>
          <w:b/>
          <w:bCs/>
          <w:i/>
          <w:iCs/>
          <w:color w:val="7F7F7F"/>
          <w:szCs w:val="20"/>
          <w:u w:val="single"/>
        </w:rPr>
        <w:t>Obrazložitev:</w:t>
      </w:r>
    </w:p>
    <w:p w14:paraId="6226288F" w14:textId="77777777" w:rsidR="00FE461F" w:rsidRPr="005E4BEA" w:rsidRDefault="00FE461F" w:rsidP="00FE461F">
      <w:pPr>
        <w:spacing w:line="240" w:lineRule="auto"/>
        <w:rPr>
          <w:rFonts w:eastAsia="MS Mincho" w:cs="Arial"/>
          <w:i/>
          <w:iCs/>
          <w:color w:val="808080"/>
          <w:szCs w:val="20"/>
        </w:rPr>
      </w:pPr>
      <w:r w:rsidRPr="005E4BEA">
        <w:rPr>
          <w:rFonts w:eastAsia="MS Mincho" w:cs="Arial"/>
          <w:i/>
          <w:iCs/>
          <w:color w:val="808080"/>
          <w:szCs w:val="20"/>
        </w:rPr>
        <w:t xml:space="preserve">Od 149,55 timov jih 77,48 presega 1.632 GK republiško povprečje. </w:t>
      </w:r>
    </w:p>
    <w:p w14:paraId="6CEEE404" w14:textId="77777777" w:rsidR="00FE461F" w:rsidRPr="005E4BEA" w:rsidRDefault="00FE461F" w:rsidP="00FE461F">
      <w:pPr>
        <w:spacing w:line="240" w:lineRule="auto"/>
        <w:rPr>
          <w:rFonts w:eastAsia="MS Mincho" w:cs="Arial"/>
          <w:i/>
          <w:iCs/>
          <w:color w:val="808080"/>
          <w:szCs w:val="20"/>
        </w:rPr>
      </w:pPr>
      <w:r w:rsidRPr="005E4BEA">
        <w:rPr>
          <w:rFonts w:eastAsia="MS Mincho" w:cs="Arial"/>
          <w:i/>
          <w:iCs/>
          <w:color w:val="808080"/>
          <w:szCs w:val="20"/>
        </w:rPr>
        <w:t>Realizacija količnikov iz storitev se že vrsto let giblje okrog 80 procentov. V letu 2021 je bila realizacija  količnikov iz storitev dosežena  v 82 procentih</w:t>
      </w:r>
    </w:p>
    <w:p w14:paraId="23AE6724" w14:textId="77777777" w:rsidR="00FE461F" w:rsidRPr="005E4BEA" w:rsidRDefault="00FE461F" w:rsidP="00FE461F">
      <w:pPr>
        <w:spacing w:line="240" w:lineRule="auto"/>
        <w:rPr>
          <w:rFonts w:eastAsia="MS Mincho" w:cs="Arial"/>
          <w:bCs/>
          <w:szCs w:val="20"/>
        </w:rPr>
      </w:pPr>
    </w:p>
    <w:p w14:paraId="74B782F4" w14:textId="77777777" w:rsidR="00FE461F" w:rsidRPr="005E4BEA" w:rsidRDefault="00FE461F" w:rsidP="00FE461F">
      <w:pPr>
        <w:spacing w:line="240" w:lineRule="auto"/>
        <w:rPr>
          <w:rFonts w:eastAsia="MS Mincho" w:cs="Arial"/>
          <w:bCs/>
          <w:szCs w:val="20"/>
        </w:rPr>
      </w:pPr>
      <w:r w:rsidRPr="005E4BEA">
        <w:rPr>
          <w:rFonts w:eastAsia="MS Mincho" w:cs="Arial"/>
          <w:bCs/>
          <w:szCs w:val="20"/>
        </w:rPr>
        <w:t>Finančna ocena:0,83 mio €</w:t>
      </w:r>
    </w:p>
    <w:bookmarkEnd w:id="147"/>
    <w:p w14:paraId="3F27B14B" w14:textId="77777777" w:rsidR="00FE461F" w:rsidRPr="005E4BEA" w:rsidRDefault="00FE461F" w:rsidP="00FE461F">
      <w:pPr>
        <w:spacing w:line="240" w:lineRule="auto"/>
        <w:rPr>
          <w:rFonts w:eastAsia="MS Mincho" w:cs="Arial"/>
          <w:bCs/>
          <w:i/>
          <w:iCs/>
          <w:szCs w:val="20"/>
        </w:rPr>
      </w:pPr>
    </w:p>
    <w:p w14:paraId="70C95E63" w14:textId="77777777" w:rsidR="00FE461F" w:rsidRPr="005E4BEA" w:rsidRDefault="00FE461F" w:rsidP="00FE461F">
      <w:pPr>
        <w:spacing w:line="240" w:lineRule="auto"/>
        <w:rPr>
          <w:rFonts w:cs="Arial"/>
          <w:bCs/>
          <w:i/>
          <w:iCs/>
          <w:szCs w:val="20"/>
        </w:rPr>
      </w:pPr>
    </w:p>
    <w:p w14:paraId="7836FB7D" w14:textId="77777777" w:rsidR="00FE461F" w:rsidRPr="005E4BEA" w:rsidRDefault="00FE461F" w:rsidP="00FE461F">
      <w:pPr>
        <w:spacing w:line="240" w:lineRule="auto"/>
        <w:rPr>
          <w:rFonts w:cs="Arial"/>
          <w:b/>
          <w:szCs w:val="20"/>
        </w:rPr>
      </w:pPr>
      <w:r w:rsidRPr="005E4BEA">
        <w:rPr>
          <w:rFonts w:cs="Arial"/>
          <w:b/>
          <w:szCs w:val="20"/>
        </w:rPr>
        <w:t>V 24. členu (6) odstavku se v tabeli dodajo nove vrstice za nujne širitve programov oziroma uvajanje novih terapij:</w:t>
      </w:r>
    </w:p>
    <w:tbl>
      <w:tblPr>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6"/>
        <w:gridCol w:w="1967"/>
        <w:gridCol w:w="1063"/>
        <w:gridCol w:w="1687"/>
        <w:gridCol w:w="1772"/>
      </w:tblGrid>
      <w:tr w:rsidR="00FE461F" w:rsidRPr="005E4BEA" w14:paraId="11B0EE55" w14:textId="77777777" w:rsidTr="0016774B">
        <w:trPr>
          <w:trHeight w:val="184"/>
        </w:trPr>
        <w:tc>
          <w:tcPr>
            <w:tcW w:w="2416" w:type="dxa"/>
            <w:vMerge w:val="restart"/>
            <w:shd w:val="clear" w:color="000000" w:fill="8EA9DB"/>
            <w:vAlign w:val="center"/>
            <w:hideMark/>
          </w:tcPr>
          <w:p w14:paraId="705AF09B"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P r o g r a m</w:t>
            </w:r>
          </w:p>
        </w:tc>
        <w:tc>
          <w:tcPr>
            <w:tcW w:w="1967" w:type="dxa"/>
            <w:vMerge w:val="restart"/>
            <w:shd w:val="clear" w:color="000000" w:fill="8EA9DB"/>
            <w:noWrap/>
            <w:vAlign w:val="center"/>
            <w:hideMark/>
          </w:tcPr>
          <w:p w14:paraId="6BCD506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I z v a j a l e c</w:t>
            </w:r>
          </w:p>
        </w:tc>
        <w:tc>
          <w:tcPr>
            <w:tcW w:w="1028" w:type="dxa"/>
            <w:vMerge w:val="restart"/>
            <w:shd w:val="clear" w:color="000000" w:fill="8EA9DB"/>
            <w:vAlign w:val="center"/>
            <w:hideMark/>
          </w:tcPr>
          <w:p w14:paraId="3E93A258"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Obseg programa</w:t>
            </w:r>
          </w:p>
        </w:tc>
        <w:tc>
          <w:tcPr>
            <w:tcW w:w="1687" w:type="dxa"/>
            <w:shd w:val="clear" w:color="000000" w:fill="8EA9DB"/>
            <w:noWrap/>
            <w:vAlign w:val="center"/>
            <w:hideMark/>
          </w:tcPr>
          <w:p w14:paraId="40C7D2B9"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w:t>
            </w:r>
          </w:p>
        </w:tc>
        <w:tc>
          <w:tcPr>
            <w:tcW w:w="1772" w:type="dxa"/>
            <w:shd w:val="clear" w:color="000000" w:fill="8EA9DB"/>
            <w:noWrap/>
            <w:vAlign w:val="center"/>
            <w:hideMark/>
          </w:tcPr>
          <w:p w14:paraId="4CEBEB5B"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Dodatna sredstva</w:t>
            </w:r>
          </w:p>
        </w:tc>
      </w:tr>
      <w:tr w:rsidR="00FE461F" w:rsidRPr="005E4BEA" w14:paraId="653207B3" w14:textId="77777777" w:rsidTr="0016774B">
        <w:trPr>
          <w:trHeight w:val="184"/>
        </w:trPr>
        <w:tc>
          <w:tcPr>
            <w:tcW w:w="2416" w:type="dxa"/>
            <w:vMerge/>
            <w:vAlign w:val="center"/>
            <w:hideMark/>
          </w:tcPr>
          <w:p w14:paraId="4BB3F869" w14:textId="77777777" w:rsidR="00FE461F" w:rsidRPr="005E4BEA" w:rsidRDefault="00FE461F" w:rsidP="00FE461F">
            <w:pPr>
              <w:spacing w:line="240" w:lineRule="auto"/>
              <w:rPr>
                <w:rFonts w:cs="Arial"/>
                <w:b/>
                <w:bCs/>
                <w:color w:val="000000"/>
                <w:szCs w:val="20"/>
              </w:rPr>
            </w:pPr>
          </w:p>
        </w:tc>
        <w:tc>
          <w:tcPr>
            <w:tcW w:w="1967" w:type="dxa"/>
            <w:vMerge/>
            <w:vAlign w:val="center"/>
            <w:hideMark/>
          </w:tcPr>
          <w:p w14:paraId="524DC390" w14:textId="77777777" w:rsidR="00FE461F" w:rsidRPr="005E4BEA" w:rsidRDefault="00FE461F" w:rsidP="00FE461F">
            <w:pPr>
              <w:spacing w:line="240" w:lineRule="auto"/>
              <w:rPr>
                <w:rFonts w:cs="Arial"/>
                <w:b/>
                <w:bCs/>
                <w:color w:val="000000"/>
                <w:szCs w:val="20"/>
              </w:rPr>
            </w:pPr>
          </w:p>
        </w:tc>
        <w:tc>
          <w:tcPr>
            <w:tcW w:w="1028" w:type="dxa"/>
            <w:vMerge/>
            <w:vAlign w:val="center"/>
            <w:hideMark/>
          </w:tcPr>
          <w:p w14:paraId="0C5448FA" w14:textId="77777777" w:rsidR="00FE461F" w:rsidRPr="005E4BEA" w:rsidRDefault="00FE461F" w:rsidP="00FE461F">
            <w:pPr>
              <w:spacing w:line="240" w:lineRule="auto"/>
              <w:rPr>
                <w:rFonts w:cs="Arial"/>
                <w:b/>
                <w:bCs/>
                <w:color w:val="000000"/>
                <w:szCs w:val="20"/>
              </w:rPr>
            </w:pPr>
          </w:p>
        </w:tc>
        <w:tc>
          <w:tcPr>
            <w:tcW w:w="1687" w:type="dxa"/>
            <w:shd w:val="clear" w:color="000000" w:fill="8EA9DB"/>
            <w:noWrap/>
            <w:vAlign w:val="center"/>
            <w:hideMark/>
          </w:tcPr>
          <w:p w14:paraId="1880543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na letni ravni</w:t>
            </w:r>
          </w:p>
        </w:tc>
        <w:tc>
          <w:tcPr>
            <w:tcW w:w="1772" w:type="dxa"/>
            <w:shd w:val="clear" w:color="000000" w:fill="8EA9DB"/>
            <w:noWrap/>
            <w:vAlign w:val="center"/>
            <w:hideMark/>
          </w:tcPr>
          <w:p w14:paraId="0E2CBBEC"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1.6.-31.12.2021</w:t>
            </w:r>
          </w:p>
        </w:tc>
      </w:tr>
      <w:tr w:rsidR="00FE461F" w:rsidRPr="005E4BEA" w14:paraId="6609FCF6" w14:textId="77777777" w:rsidTr="0016774B">
        <w:trPr>
          <w:trHeight w:val="191"/>
        </w:trPr>
        <w:tc>
          <w:tcPr>
            <w:tcW w:w="2416" w:type="dxa"/>
            <w:vMerge/>
            <w:vAlign w:val="center"/>
            <w:hideMark/>
          </w:tcPr>
          <w:p w14:paraId="4B5E5C5B" w14:textId="77777777" w:rsidR="00FE461F" w:rsidRPr="005E4BEA" w:rsidRDefault="00FE461F" w:rsidP="00FE461F">
            <w:pPr>
              <w:spacing w:line="240" w:lineRule="auto"/>
              <w:rPr>
                <w:rFonts w:cs="Arial"/>
                <w:b/>
                <w:bCs/>
                <w:color w:val="000000"/>
                <w:szCs w:val="20"/>
              </w:rPr>
            </w:pPr>
          </w:p>
        </w:tc>
        <w:tc>
          <w:tcPr>
            <w:tcW w:w="1967" w:type="dxa"/>
            <w:vMerge/>
            <w:vAlign w:val="center"/>
            <w:hideMark/>
          </w:tcPr>
          <w:p w14:paraId="7E09F256" w14:textId="77777777" w:rsidR="00FE461F" w:rsidRPr="005E4BEA" w:rsidRDefault="00FE461F" w:rsidP="00FE461F">
            <w:pPr>
              <w:spacing w:line="240" w:lineRule="auto"/>
              <w:rPr>
                <w:rFonts w:cs="Arial"/>
                <w:b/>
                <w:bCs/>
                <w:color w:val="000000"/>
                <w:szCs w:val="20"/>
              </w:rPr>
            </w:pPr>
          </w:p>
        </w:tc>
        <w:tc>
          <w:tcPr>
            <w:tcW w:w="1028" w:type="dxa"/>
            <w:vMerge/>
            <w:vAlign w:val="center"/>
            <w:hideMark/>
          </w:tcPr>
          <w:p w14:paraId="5EA2C0EE" w14:textId="77777777" w:rsidR="00FE461F" w:rsidRPr="005E4BEA" w:rsidRDefault="00FE461F" w:rsidP="00FE461F">
            <w:pPr>
              <w:spacing w:line="240" w:lineRule="auto"/>
              <w:rPr>
                <w:rFonts w:cs="Arial"/>
                <w:b/>
                <w:bCs/>
                <w:color w:val="000000"/>
                <w:szCs w:val="20"/>
              </w:rPr>
            </w:pPr>
          </w:p>
        </w:tc>
        <w:tc>
          <w:tcPr>
            <w:tcW w:w="1687" w:type="dxa"/>
            <w:shd w:val="clear" w:color="000000" w:fill="8EA9DB"/>
            <w:noWrap/>
            <w:vAlign w:val="center"/>
            <w:hideMark/>
          </w:tcPr>
          <w:p w14:paraId="24D055AF"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c>
          <w:tcPr>
            <w:tcW w:w="1772" w:type="dxa"/>
            <w:shd w:val="clear" w:color="000000" w:fill="8EA9DB"/>
            <w:noWrap/>
            <w:vAlign w:val="center"/>
            <w:hideMark/>
          </w:tcPr>
          <w:p w14:paraId="6773F1A4"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(v EUR)</w:t>
            </w:r>
          </w:p>
        </w:tc>
      </w:tr>
      <w:tr w:rsidR="00FE461F" w:rsidRPr="005E4BEA" w14:paraId="749ED1D0" w14:textId="77777777" w:rsidTr="0016774B">
        <w:trPr>
          <w:trHeight w:val="299"/>
        </w:trPr>
        <w:tc>
          <w:tcPr>
            <w:tcW w:w="2416" w:type="dxa"/>
            <w:shd w:val="clear" w:color="auto" w:fill="auto"/>
            <w:vAlign w:val="center"/>
            <w:hideMark/>
          </w:tcPr>
          <w:p w14:paraId="283A6826"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auto" w:fill="auto"/>
            <w:vAlign w:val="center"/>
            <w:hideMark/>
          </w:tcPr>
          <w:p w14:paraId="63BA3A2B" w14:textId="77777777" w:rsidR="00FE461F" w:rsidRPr="005E4BEA" w:rsidRDefault="00FE461F" w:rsidP="00FE461F">
            <w:pPr>
              <w:spacing w:line="240" w:lineRule="auto"/>
              <w:rPr>
                <w:rFonts w:cs="Arial"/>
                <w:color w:val="000000"/>
                <w:szCs w:val="20"/>
              </w:rPr>
            </w:pPr>
            <w:r w:rsidRPr="005E4BEA">
              <w:rPr>
                <w:rFonts w:cs="Arial"/>
                <w:color w:val="000000"/>
                <w:szCs w:val="20"/>
              </w:rPr>
              <w:t>UKC Maribor</w:t>
            </w:r>
          </w:p>
        </w:tc>
        <w:tc>
          <w:tcPr>
            <w:tcW w:w="1028" w:type="dxa"/>
            <w:shd w:val="clear" w:color="auto" w:fill="auto"/>
            <w:vAlign w:val="center"/>
            <w:hideMark/>
          </w:tcPr>
          <w:p w14:paraId="7A565E9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0,5</w:t>
            </w:r>
          </w:p>
        </w:tc>
        <w:tc>
          <w:tcPr>
            <w:tcW w:w="1687" w:type="dxa"/>
            <w:shd w:val="clear" w:color="000000" w:fill="FFFFFF"/>
            <w:vAlign w:val="center"/>
            <w:hideMark/>
          </w:tcPr>
          <w:p w14:paraId="5E77679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80.303</w:t>
            </w:r>
          </w:p>
        </w:tc>
        <w:tc>
          <w:tcPr>
            <w:tcW w:w="1772" w:type="dxa"/>
            <w:shd w:val="clear" w:color="000000" w:fill="FFFFFF"/>
            <w:vAlign w:val="center"/>
            <w:hideMark/>
          </w:tcPr>
          <w:p w14:paraId="25CE40F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46.843</w:t>
            </w:r>
          </w:p>
        </w:tc>
      </w:tr>
      <w:tr w:rsidR="00FE461F" w:rsidRPr="005E4BEA" w14:paraId="7FEB86B6" w14:textId="77777777" w:rsidTr="0016774B">
        <w:trPr>
          <w:trHeight w:val="299"/>
        </w:trPr>
        <w:tc>
          <w:tcPr>
            <w:tcW w:w="2416" w:type="dxa"/>
            <w:shd w:val="clear" w:color="auto" w:fill="auto"/>
            <w:vAlign w:val="center"/>
            <w:hideMark/>
          </w:tcPr>
          <w:p w14:paraId="0BE41E76"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auto" w:fill="auto"/>
            <w:vAlign w:val="center"/>
            <w:hideMark/>
          </w:tcPr>
          <w:p w14:paraId="49715F1F" w14:textId="77777777" w:rsidR="00FE461F" w:rsidRPr="005E4BEA" w:rsidRDefault="00FE461F" w:rsidP="00FE461F">
            <w:pPr>
              <w:spacing w:line="240" w:lineRule="auto"/>
              <w:rPr>
                <w:rFonts w:cs="Arial"/>
                <w:color w:val="000000"/>
                <w:szCs w:val="20"/>
              </w:rPr>
            </w:pPr>
            <w:r w:rsidRPr="005E4BEA">
              <w:rPr>
                <w:rFonts w:cs="Arial"/>
                <w:color w:val="000000"/>
                <w:szCs w:val="20"/>
              </w:rPr>
              <w:t>SB Murska Sobota</w:t>
            </w:r>
          </w:p>
        </w:tc>
        <w:tc>
          <w:tcPr>
            <w:tcW w:w="1028" w:type="dxa"/>
            <w:shd w:val="clear" w:color="auto" w:fill="auto"/>
            <w:vAlign w:val="center"/>
            <w:hideMark/>
          </w:tcPr>
          <w:p w14:paraId="1D5B0254"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687" w:type="dxa"/>
            <w:shd w:val="clear" w:color="000000" w:fill="FFFFFF"/>
            <w:vAlign w:val="center"/>
            <w:hideMark/>
          </w:tcPr>
          <w:p w14:paraId="477510B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160.605,79</w:t>
            </w:r>
          </w:p>
        </w:tc>
        <w:tc>
          <w:tcPr>
            <w:tcW w:w="1772" w:type="dxa"/>
            <w:shd w:val="clear" w:color="000000" w:fill="FFFFFF"/>
            <w:vAlign w:val="center"/>
            <w:hideMark/>
          </w:tcPr>
          <w:p w14:paraId="710FA2F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93.687</w:t>
            </w:r>
          </w:p>
        </w:tc>
      </w:tr>
      <w:tr w:rsidR="00FE461F" w:rsidRPr="005E4BEA" w14:paraId="3C064B13" w14:textId="77777777" w:rsidTr="0016774B">
        <w:trPr>
          <w:trHeight w:val="299"/>
        </w:trPr>
        <w:tc>
          <w:tcPr>
            <w:tcW w:w="2416" w:type="dxa"/>
            <w:shd w:val="clear" w:color="auto" w:fill="auto"/>
            <w:vAlign w:val="center"/>
            <w:hideMark/>
          </w:tcPr>
          <w:p w14:paraId="099C021C"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auto" w:fill="auto"/>
            <w:vAlign w:val="center"/>
            <w:hideMark/>
          </w:tcPr>
          <w:p w14:paraId="4109A7BD" w14:textId="77777777" w:rsidR="00FE461F" w:rsidRPr="005E4BEA" w:rsidRDefault="00FE461F" w:rsidP="00FE461F">
            <w:pPr>
              <w:spacing w:line="240" w:lineRule="auto"/>
              <w:rPr>
                <w:rFonts w:cs="Arial"/>
                <w:color w:val="000000"/>
                <w:szCs w:val="20"/>
              </w:rPr>
            </w:pPr>
            <w:r w:rsidRPr="005E4BEA">
              <w:rPr>
                <w:rFonts w:cs="Arial"/>
                <w:color w:val="000000"/>
                <w:szCs w:val="20"/>
              </w:rPr>
              <w:t>SB Slovenj Gradec</w:t>
            </w:r>
          </w:p>
        </w:tc>
        <w:tc>
          <w:tcPr>
            <w:tcW w:w="1028" w:type="dxa"/>
            <w:shd w:val="clear" w:color="auto" w:fill="auto"/>
            <w:vAlign w:val="center"/>
            <w:hideMark/>
          </w:tcPr>
          <w:p w14:paraId="2A74E703"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687" w:type="dxa"/>
            <w:shd w:val="clear" w:color="000000" w:fill="FFFFFF"/>
            <w:vAlign w:val="center"/>
            <w:hideMark/>
          </w:tcPr>
          <w:p w14:paraId="61CF206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160.605,79</w:t>
            </w:r>
          </w:p>
        </w:tc>
        <w:tc>
          <w:tcPr>
            <w:tcW w:w="1772" w:type="dxa"/>
            <w:shd w:val="clear" w:color="000000" w:fill="FFFFFF"/>
            <w:vAlign w:val="center"/>
            <w:hideMark/>
          </w:tcPr>
          <w:p w14:paraId="621ADFB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93.687</w:t>
            </w:r>
          </w:p>
        </w:tc>
      </w:tr>
      <w:tr w:rsidR="00FE461F" w:rsidRPr="005E4BEA" w14:paraId="2A59E496" w14:textId="77777777" w:rsidTr="0016774B">
        <w:trPr>
          <w:trHeight w:val="299"/>
        </w:trPr>
        <w:tc>
          <w:tcPr>
            <w:tcW w:w="2416" w:type="dxa"/>
            <w:shd w:val="clear" w:color="auto" w:fill="auto"/>
            <w:vAlign w:val="center"/>
            <w:hideMark/>
          </w:tcPr>
          <w:p w14:paraId="587AE394"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auto" w:fill="auto"/>
            <w:vAlign w:val="center"/>
            <w:hideMark/>
          </w:tcPr>
          <w:p w14:paraId="7D799022" w14:textId="77777777" w:rsidR="00FE461F" w:rsidRPr="005E4BEA" w:rsidRDefault="00FE461F" w:rsidP="00FE461F">
            <w:pPr>
              <w:spacing w:line="240" w:lineRule="auto"/>
              <w:rPr>
                <w:rFonts w:cs="Arial"/>
                <w:color w:val="000000"/>
                <w:szCs w:val="20"/>
              </w:rPr>
            </w:pPr>
            <w:r w:rsidRPr="005E4BEA">
              <w:rPr>
                <w:rFonts w:cs="Arial"/>
                <w:color w:val="000000"/>
                <w:szCs w:val="20"/>
              </w:rPr>
              <w:t>BGP Kranj</w:t>
            </w:r>
          </w:p>
        </w:tc>
        <w:tc>
          <w:tcPr>
            <w:tcW w:w="1028" w:type="dxa"/>
            <w:shd w:val="clear" w:color="auto" w:fill="auto"/>
            <w:vAlign w:val="center"/>
            <w:hideMark/>
          </w:tcPr>
          <w:p w14:paraId="3B9B73B8"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687" w:type="dxa"/>
            <w:shd w:val="clear" w:color="000000" w:fill="FFFFFF"/>
            <w:vAlign w:val="center"/>
            <w:hideMark/>
          </w:tcPr>
          <w:p w14:paraId="55B32DF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160.605,79</w:t>
            </w:r>
          </w:p>
        </w:tc>
        <w:tc>
          <w:tcPr>
            <w:tcW w:w="1772" w:type="dxa"/>
            <w:shd w:val="clear" w:color="000000" w:fill="FFFFFF"/>
            <w:vAlign w:val="center"/>
            <w:hideMark/>
          </w:tcPr>
          <w:p w14:paraId="55F81C1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93.687</w:t>
            </w:r>
          </w:p>
        </w:tc>
      </w:tr>
      <w:tr w:rsidR="00FE461F" w:rsidRPr="005E4BEA" w14:paraId="512988A1" w14:textId="77777777" w:rsidTr="0016774B">
        <w:trPr>
          <w:trHeight w:val="299"/>
        </w:trPr>
        <w:tc>
          <w:tcPr>
            <w:tcW w:w="2416" w:type="dxa"/>
            <w:shd w:val="clear" w:color="auto" w:fill="auto"/>
            <w:vAlign w:val="center"/>
            <w:hideMark/>
          </w:tcPr>
          <w:p w14:paraId="55A3269B"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auto" w:fill="auto"/>
            <w:vAlign w:val="center"/>
            <w:hideMark/>
          </w:tcPr>
          <w:p w14:paraId="6F0CF986" w14:textId="77777777" w:rsidR="00FE461F" w:rsidRPr="005E4BEA" w:rsidRDefault="00FE461F" w:rsidP="00FE461F">
            <w:pPr>
              <w:spacing w:line="240" w:lineRule="auto"/>
              <w:rPr>
                <w:rFonts w:cs="Arial"/>
                <w:color w:val="000000"/>
                <w:szCs w:val="20"/>
              </w:rPr>
            </w:pPr>
            <w:r w:rsidRPr="005E4BEA">
              <w:rPr>
                <w:rFonts w:cs="Arial"/>
                <w:color w:val="000000"/>
                <w:szCs w:val="20"/>
              </w:rPr>
              <w:t>SB Nova Gorica</w:t>
            </w:r>
          </w:p>
        </w:tc>
        <w:tc>
          <w:tcPr>
            <w:tcW w:w="1028" w:type="dxa"/>
            <w:shd w:val="clear" w:color="auto" w:fill="auto"/>
            <w:vAlign w:val="center"/>
            <w:hideMark/>
          </w:tcPr>
          <w:p w14:paraId="5FCD7520"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687" w:type="dxa"/>
            <w:shd w:val="clear" w:color="000000" w:fill="FFFFFF"/>
            <w:vAlign w:val="center"/>
            <w:hideMark/>
          </w:tcPr>
          <w:p w14:paraId="681338B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160.605,79</w:t>
            </w:r>
          </w:p>
        </w:tc>
        <w:tc>
          <w:tcPr>
            <w:tcW w:w="1772" w:type="dxa"/>
            <w:shd w:val="clear" w:color="000000" w:fill="FFFFFF"/>
            <w:vAlign w:val="center"/>
            <w:hideMark/>
          </w:tcPr>
          <w:p w14:paraId="4474D55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93.687</w:t>
            </w:r>
          </w:p>
        </w:tc>
      </w:tr>
      <w:tr w:rsidR="00FE461F" w:rsidRPr="005E4BEA" w14:paraId="0B7463F0" w14:textId="77777777" w:rsidTr="0016774B">
        <w:trPr>
          <w:trHeight w:val="299"/>
        </w:trPr>
        <w:tc>
          <w:tcPr>
            <w:tcW w:w="2416" w:type="dxa"/>
            <w:shd w:val="clear" w:color="auto" w:fill="auto"/>
            <w:vAlign w:val="center"/>
            <w:hideMark/>
          </w:tcPr>
          <w:p w14:paraId="416B6566"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auto" w:fill="auto"/>
            <w:vAlign w:val="center"/>
            <w:hideMark/>
          </w:tcPr>
          <w:p w14:paraId="501DDCE2" w14:textId="77777777" w:rsidR="00FE461F" w:rsidRPr="005E4BEA" w:rsidRDefault="00FE461F" w:rsidP="00FE461F">
            <w:pPr>
              <w:spacing w:line="240" w:lineRule="auto"/>
              <w:rPr>
                <w:rFonts w:cs="Arial"/>
                <w:color w:val="000000"/>
                <w:szCs w:val="20"/>
              </w:rPr>
            </w:pPr>
            <w:r w:rsidRPr="005E4BEA">
              <w:rPr>
                <w:rFonts w:cs="Arial"/>
                <w:color w:val="000000"/>
                <w:szCs w:val="20"/>
              </w:rPr>
              <w:t>SB Ptuj</w:t>
            </w:r>
          </w:p>
        </w:tc>
        <w:tc>
          <w:tcPr>
            <w:tcW w:w="1028" w:type="dxa"/>
            <w:shd w:val="clear" w:color="auto" w:fill="auto"/>
            <w:vAlign w:val="center"/>
            <w:hideMark/>
          </w:tcPr>
          <w:p w14:paraId="24AFBA59"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0,7</w:t>
            </w:r>
          </w:p>
        </w:tc>
        <w:tc>
          <w:tcPr>
            <w:tcW w:w="1687" w:type="dxa"/>
            <w:shd w:val="clear" w:color="000000" w:fill="FFFFFF"/>
            <w:vAlign w:val="center"/>
            <w:hideMark/>
          </w:tcPr>
          <w:p w14:paraId="048C9F8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112.424,05</w:t>
            </w:r>
          </w:p>
        </w:tc>
        <w:tc>
          <w:tcPr>
            <w:tcW w:w="1772" w:type="dxa"/>
            <w:shd w:val="clear" w:color="000000" w:fill="FFFFFF"/>
            <w:vAlign w:val="center"/>
            <w:hideMark/>
          </w:tcPr>
          <w:p w14:paraId="21D1DF6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65.581</w:t>
            </w:r>
          </w:p>
        </w:tc>
      </w:tr>
      <w:tr w:rsidR="00FE461F" w:rsidRPr="005E4BEA" w14:paraId="6C0E2B5E" w14:textId="77777777" w:rsidTr="0016774B">
        <w:trPr>
          <w:trHeight w:val="299"/>
        </w:trPr>
        <w:tc>
          <w:tcPr>
            <w:tcW w:w="2416" w:type="dxa"/>
            <w:shd w:val="clear" w:color="auto" w:fill="auto"/>
            <w:vAlign w:val="center"/>
            <w:hideMark/>
          </w:tcPr>
          <w:p w14:paraId="0B2AA8C9"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7E99DC24" w14:textId="77777777" w:rsidR="00FE461F" w:rsidRPr="005E4BEA" w:rsidRDefault="00FE461F" w:rsidP="00FE461F">
            <w:pPr>
              <w:spacing w:line="240" w:lineRule="auto"/>
              <w:rPr>
                <w:rFonts w:cs="Arial"/>
                <w:color w:val="000000"/>
                <w:szCs w:val="20"/>
              </w:rPr>
            </w:pPr>
            <w:r w:rsidRPr="005E4BEA">
              <w:rPr>
                <w:rFonts w:cs="Arial"/>
                <w:color w:val="000000"/>
                <w:szCs w:val="20"/>
              </w:rPr>
              <w:t>OZG Kranj</w:t>
            </w:r>
          </w:p>
        </w:tc>
        <w:tc>
          <w:tcPr>
            <w:tcW w:w="1028" w:type="dxa"/>
            <w:shd w:val="clear" w:color="000000" w:fill="FFFFFF"/>
            <w:vAlign w:val="center"/>
            <w:hideMark/>
          </w:tcPr>
          <w:p w14:paraId="6F9F48F6"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1</w:t>
            </w:r>
          </w:p>
        </w:tc>
        <w:tc>
          <w:tcPr>
            <w:tcW w:w="1687" w:type="dxa"/>
            <w:shd w:val="clear" w:color="000000" w:fill="FFFFFF"/>
            <w:vAlign w:val="center"/>
            <w:hideMark/>
          </w:tcPr>
          <w:p w14:paraId="4CBEF72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160.605,79</w:t>
            </w:r>
          </w:p>
        </w:tc>
        <w:tc>
          <w:tcPr>
            <w:tcW w:w="1772" w:type="dxa"/>
            <w:shd w:val="clear" w:color="000000" w:fill="FFFFFF"/>
            <w:vAlign w:val="center"/>
            <w:hideMark/>
          </w:tcPr>
          <w:p w14:paraId="551D9C9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93.687</w:t>
            </w:r>
          </w:p>
        </w:tc>
      </w:tr>
      <w:tr w:rsidR="00FE461F" w:rsidRPr="005E4BEA" w14:paraId="0BF2F090" w14:textId="77777777" w:rsidTr="0016774B">
        <w:trPr>
          <w:trHeight w:val="299"/>
        </w:trPr>
        <w:tc>
          <w:tcPr>
            <w:tcW w:w="2416" w:type="dxa"/>
            <w:shd w:val="clear" w:color="auto" w:fill="auto"/>
            <w:vAlign w:val="center"/>
            <w:hideMark/>
          </w:tcPr>
          <w:p w14:paraId="76A2AA69"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59706253" w14:textId="77777777" w:rsidR="00FE461F" w:rsidRPr="005E4BEA" w:rsidRDefault="00FE461F" w:rsidP="00FE461F">
            <w:pPr>
              <w:spacing w:line="240" w:lineRule="auto"/>
              <w:rPr>
                <w:rFonts w:cs="Arial"/>
                <w:color w:val="000000"/>
                <w:szCs w:val="20"/>
              </w:rPr>
            </w:pPr>
            <w:r w:rsidRPr="005E4BEA">
              <w:rPr>
                <w:rFonts w:cs="Arial"/>
                <w:color w:val="000000"/>
                <w:szCs w:val="20"/>
              </w:rPr>
              <w:t>ZD Ajdovščina</w:t>
            </w:r>
          </w:p>
        </w:tc>
        <w:tc>
          <w:tcPr>
            <w:tcW w:w="1028" w:type="dxa"/>
            <w:shd w:val="clear" w:color="000000" w:fill="FFFFFF"/>
            <w:vAlign w:val="center"/>
            <w:hideMark/>
          </w:tcPr>
          <w:p w14:paraId="4778DE72"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0,19</w:t>
            </w:r>
          </w:p>
        </w:tc>
        <w:tc>
          <w:tcPr>
            <w:tcW w:w="1687" w:type="dxa"/>
            <w:shd w:val="clear" w:color="000000" w:fill="FFFFFF"/>
            <w:vAlign w:val="center"/>
            <w:hideMark/>
          </w:tcPr>
          <w:p w14:paraId="02FAA28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30.515,10</w:t>
            </w:r>
          </w:p>
        </w:tc>
        <w:tc>
          <w:tcPr>
            <w:tcW w:w="1772" w:type="dxa"/>
            <w:shd w:val="clear" w:color="000000" w:fill="FFFFFF"/>
            <w:vAlign w:val="center"/>
            <w:hideMark/>
          </w:tcPr>
          <w:p w14:paraId="6439796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17.800</w:t>
            </w:r>
          </w:p>
        </w:tc>
      </w:tr>
      <w:tr w:rsidR="00FE461F" w:rsidRPr="005E4BEA" w14:paraId="6778954D" w14:textId="77777777" w:rsidTr="0016774B">
        <w:trPr>
          <w:trHeight w:val="299"/>
        </w:trPr>
        <w:tc>
          <w:tcPr>
            <w:tcW w:w="2416" w:type="dxa"/>
            <w:shd w:val="clear" w:color="auto" w:fill="auto"/>
            <w:vAlign w:val="center"/>
            <w:hideMark/>
          </w:tcPr>
          <w:p w14:paraId="020378C4"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5A3CB05F" w14:textId="77777777" w:rsidR="00FE461F" w:rsidRPr="005E4BEA" w:rsidRDefault="00FE461F" w:rsidP="00FE461F">
            <w:pPr>
              <w:spacing w:line="240" w:lineRule="auto"/>
              <w:rPr>
                <w:rFonts w:cs="Arial"/>
                <w:color w:val="000000"/>
                <w:szCs w:val="20"/>
              </w:rPr>
            </w:pPr>
            <w:r w:rsidRPr="005E4BEA">
              <w:rPr>
                <w:rFonts w:cs="Arial"/>
                <w:color w:val="000000"/>
                <w:szCs w:val="20"/>
              </w:rPr>
              <w:t>ZD Cerknica</w:t>
            </w:r>
          </w:p>
        </w:tc>
        <w:tc>
          <w:tcPr>
            <w:tcW w:w="1028" w:type="dxa"/>
            <w:shd w:val="clear" w:color="000000" w:fill="FFFFFF"/>
            <w:vAlign w:val="center"/>
            <w:hideMark/>
          </w:tcPr>
          <w:p w14:paraId="65471D0E"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0,3</w:t>
            </w:r>
          </w:p>
        </w:tc>
        <w:tc>
          <w:tcPr>
            <w:tcW w:w="1687" w:type="dxa"/>
            <w:shd w:val="clear" w:color="000000" w:fill="FFFFFF"/>
            <w:vAlign w:val="center"/>
            <w:hideMark/>
          </w:tcPr>
          <w:p w14:paraId="74328C2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48.181,74</w:t>
            </w:r>
          </w:p>
        </w:tc>
        <w:tc>
          <w:tcPr>
            <w:tcW w:w="1772" w:type="dxa"/>
            <w:shd w:val="clear" w:color="000000" w:fill="FFFFFF"/>
            <w:vAlign w:val="center"/>
            <w:hideMark/>
          </w:tcPr>
          <w:p w14:paraId="5238C8B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28.106</w:t>
            </w:r>
          </w:p>
        </w:tc>
      </w:tr>
      <w:tr w:rsidR="00FE461F" w:rsidRPr="005E4BEA" w14:paraId="049336C3" w14:textId="77777777" w:rsidTr="0016774B">
        <w:trPr>
          <w:trHeight w:val="299"/>
        </w:trPr>
        <w:tc>
          <w:tcPr>
            <w:tcW w:w="2416" w:type="dxa"/>
            <w:shd w:val="clear" w:color="auto" w:fill="auto"/>
            <w:vAlign w:val="center"/>
            <w:hideMark/>
          </w:tcPr>
          <w:p w14:paraId="1804AB1A"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0624CF27" w14:textId="77777777" w:rsidR="00FE461F" w:rsidRPr="005E4BEA" w:rsidRDefault="00FE461F" w:rsidP="00FE461F">
            <w:pPr>
              <w:spacing w:line="240" w:lineRule="auto"/>
              <w:rPr>
                <w:rFonts w:cs="Arial"/>
                <w:color w:val="000000"/>
                <w:szCs w:val="20"/>
              </w:rPr>
            </w:pPr>
            <w:r w:rsidRPr="005E4BEA">
              <w:rPr>
                <w:rFonts w:cs="Arial"/>
                <w:color w:val="000000"/>
                <w:szCs w:val="20"/>
              </w:rPr>
              <w:t>ZD Koper</w:t>
            </w:r>
          </w:p>
        </w:tc>
        <w:tc>
          <w:tcPr>
            <w:tcW w:w="1028" w:type="dxa"/>
            <w:shd w:val="clear" w:color="auto" w:fill="auto"/>
            <w:noWrap/>
            <w:vAlign w:val="center"/>
            <w:hideMark/>
          </w:tcPr>
          <w:p w14:paraId="4D2BC251"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0,8</w:t>
            </w:r>
          </w:p>
        </w:tc>
        <w:tc>
          <w:tcPr>
            <w:tcW w:w="1687" w:type="dxa"/>
            <w:shd w:val="clear" w:color="000000" w:fill="FFFFFF"/>
            <w:vAlign w:val="center"/>
            <w:hideMark/>
          </w:tcPr>
          <w:p w14:paraId="22CA6B4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128.484,63</w:t>
            </w:r>
          </w:p>
        </w:tc>
        <w:tc>
          <w:tcPr>
            <w:tcW w:w="1772" w:type="dxa"/>
            <w:shd w:val="clear" w:color="000000" w:fill="FFFFFF"/>
            <w:vAlign w:val="center"/>
            <w:hideMark/>
          </w:tcPr>
          <w:p w14:paraId="4A82521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74.949</w:t>
            </w:r>
          </w:p>
        </w:tc>
      </w:tr>
      <w:tr w:rsidR="00FE461F" w:rsidRPr="005E4BEA" w14:paraId="1C95868A" w14:textId="77777777" w:rsidTr="0016774B">
        <w:trPr>
          <w:trHeight w:val="299"/>
        </w:trPr>
        <w:tc>
          <w:tcPr>
            <w:tcW w:w="2416" w:type="dxa"/>
            <w:shd w:val="clear" w:color="auto" w:fill="auto"/>
            <w:vAlign w:val="center"/>
            <w:hideMark/>
          </w:tcPr>
          <w:p w14:paraId="1EA88F7D"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43956E2D" w14:textId="77777777" w:rsidR="00FE461F" w:rsidRPr="005E4BEA" w:rsidRDefault="00FE461F" w:rsidP="00FE461F">
            <w:pPr>
              <w:spacing w:line="240" w:lineRule="auto"/>
              <w:rPr>
                <w:rFonts w:cs="Arial"/>
                <w:color w:val="000000"/>
                <w:szCs w:val="20"/>
              </w:rPr>
            </w:pPr>
            <w:r w:rsidRPr="005E4BEA">
              <w:rPr>
                <w:rFonts w:cs="Arial"/>
                <w:color w:val="000000"/>
                <w:szCs w:val="20"/>
              </w:rPr>
              <w:t>ZD Grosuplje</w:t>
            </w:r>
          </w:p>
        </w:tc>
        <w:tc>
          <w:tcPr>
            <w:tcW w:w="1028" w:type="dxa"/>
            <w:shd w:val="clear" w:color="000000" w:fill="FFFFFF"/>
            <w:vAlign w:val="center"/>
            <w:hideMark/>
          </w:tcPr>
          <w:p w14:paraId="56B07DE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0,05</w:t>
            </w:r>
          </w:p>
        </w:tc>
        <w:tc>
          <w:tcPr>
            <w:tcW w:w="1687" w:type="dxa"/>
            <w:shd w:val="clear" w:color="000000" w:fill="FFFFFF"/>
            <w:vAlign w:val="center"/>
            <w:hideMark/>
          </w:tcPr>
          <w:p w14:paraId="4BDBD52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8.030,29</w:t>
            </w:r>
          </w:p>
        </w:tc>
        <w:tc>
          <w:tcPr>
            <w:tcW w:w="1772" w:type="dxa"/>
            <w:shd w:val="clear" w:color="000000" w:fill="FFFFFF"/>
            <w:vAlign w:val="center"/>
            <w:hideMark/>
          </w:tcPr>
          <w:p w14:paraId="4B8DDE4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4.684</w:t>
            </w:r>
          </w:p>
        </w:tc>
      </w:tr>
      <w:tr w:rsidR="00FE461F" w:rsidRPr="005E4BEA" w14:paraId="617FEEF3" w14:textId="77777777" w:rsidTr="0016774B">
        <w:trPr>
          <w:trHeight w:val="299"/>
        </w:trPr>
        <w:tc>
          <w:tcPr>
            <w:tcW w:w="2416" w:type="dxa"/>
            <w:shd w:val="clear" w:color="auto" w:fill="auto"/>
            <w:vAlign w:val="center"/>
            <w:hideMark/>
          </w:tcPr>
          <w:p w14:paraId="2F5724D1"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3D2C20BF" w14:textId="77777777" w:rsidR="00FE461F" w:rsidRPr="005E4BEA" w:rsidRDefault="00FE461F" w:rsidP="00FE461F">
            <w:pPr>
              <w:spacing w:line="240" w:lineRule="auto"/>
              <w:rPr>
                <w:rFonts w:cs="Arial"/>
                <w:color w:val="000000"/>
                <w:szCs w:val="20"/>
              </w:rPr>
            </w:pPr>
            <w:r w:rsidRPr="005E4BEA">
              <w:rPr>
                <w:rFonts w:cs="Arial"/>
                <w:color w:val="000000"/>
                <w:szCs w:val="20"/>
              </w:rPr>
              <w:t>ZD Ptuj</w:t>
            </w:r>
          </w:p>
        </w:tc>
        <w:tc>
          <w:tcPr>
            <w:tcW w:w="1028" w:type="dxa"/>
            <w:shd w:val="clear" w:color="000000" w:fill="FFFFFF"/>
            <w:vAlign w:val="center"/>
            <w:hideMark/>
          </w:tcPr>
          <w:p w14:paraId="60F1096A"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0,2</w:t>
            </w:r>
          </w:p>
        </w:tc>
        <w:tc>
          <w:tcPr>
            <w:tcW w:w="1687" w:type="dxa"/>
            <w:shd w:val="clear" w:color="000000" w:fill="FFFFFF"/>
            <w:vAlign w:val="center"/>
            <w:hideMark/>
          </w:tcPr>
          <w:p w14:paraId="1A03130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32.121,16</w:t>
            </w:r>
          </w:p>
        </w:tc>
        <w:tc>
          <w:tcPr>
            <w:tcW w:w="1772" w:type="dxa"/>
            <w:shd w:val="clear" w:color="000000" w:fill="FFFFFF"/>
            <w:vAlign w:val="center"/>
            <w:hideMark/>
          </w:tcPr>
          <w:p w14:paraId="02FDE67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18.737</w:t>
            </w:r>
          </w:p>
        </w:tc>
      </w:tr>
      <w:tr w:rsidR="00FE461F" w:rsidRPr="005E4BEA" w14:paraId="7A88D40A" w14:textId="77777777" w:rsidTr="0016774B">
        <w:trPr>
          <w:trHeight w:val="299"/>
        </w:trPr>
        <w:tc>
          <w:tcPr>
            <w:tcW w:w="2416" w:type="dxa"/>
            <w:shd w:val="clear" w:color="auto" w:fill="auto"/>
            <w:vAlign w:val="center"/>
            <w:hideMark/>
          </w:tcPr>
          <w:p w14:paraId="03FEBA33"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5E39D971" w14:textId="77777777" w:rsidR="00FE461F" w:rsidRPr="005E4BEA" w:rsidRDefault="00FE461F" w:rsidP="00FE461F">
            <w:pPr>
              <w:spacing w:line="240" w:lineRule="auto"/>
              <w:rPr>
                <w:rFonts w:cs="Arial"/>
                <w:color w:val="000000"/>
                <w:szCs w:val="20"/>
              </w:rPr>
            </w:pPr>
            <w:r w:rsidRPr="005E4BEA">
              <w:rPr>
                <w:rFonts w:cs="Arial"/>
                <w:color w:val="000000"/>
                <w:szCs w:val="20"/>
              </w:rPr>
              <w:t>ZD Sežana</w:t>
            </w:r>
          </w:p>
        </w:tc>
        <w:tc>
          <w:tcPr>
            <w:tcW w:w="1028" w:type="dxa"/>
            <w:shd w:val="clear" w:color="000000" w:fill="FFFFFF"/>
            <w:vAlign w:val="center"/>
            <w:hideMark/>
          </w:tcPr>
          <w:p w14:paraId="6C57B69D"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0,1</w:t>
            </w:r>
          </w:p>
        </w:tc>
        <w:tc>
          <w:tcPr>
            <w:tcW w:w="1687" w:type="dxa"/>
            <w:shd w:val="clear" w:color="000000" w:fill="FFFFFF"/>
            <w:vAlign w:val="center"/>
            <w:hideMark/>
          </w:tcPr>
          <w:p w14:paraId="7C059AD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16.060,58</w:t>
            </w:r>
          </w:p>
        </w:tc>
        <w:tc>
          <w:tcPr>
            <w:tcW w:w="1772" w:type="dxa"/>
            <w:shd w:val="clear" w:color="000000" w:fill="FFFFFF"/>
            <w:vAlign w:val="center"/>
            <w:hideMark/>
          </w:tcPr>
          <w:p w14:paraId="7E1158C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9.369</w:t>
            </w:r>
          </w:p>
        </w:tc>
      </w:tr>
      <w:tr w:rsidR="00FE461F" w:rsidRPr="005E4BEA" w14:paraId="0775F691" w14:textId="77777777" w:rsidTr="0016774B">
        <w:trPr>
          <w:trHeight w:val="299"/>
        </w:trPr>
        <w:tc>
          <w:tcPr>
            <w:tcW w:w="2416" w:type="dxa"/>
            <w:shd w:val="clear" w:color="auto" w:fill="auto"/>
            <w:vAlign w:val="center"/>
            <w:hideMark/>
          </w:tcPr>
          <w:p w14:paraId="6E3B718D" w14:textId="77777777" w:rsidR="00FE461F" w:rsidRPr="005E4BEA" w:rsidRDefault="00FE461F" w:rsidP="00FE461F">
            <w:pPr>
              <w:spacing w:line="240" w:lineRule="auto"/>
              <w:rPr>
                <w:rFonts w:cs="Arial"/>
                <w:color w:val="000000"/>
                <w:szCs w:val="20"/>
              </w:rPr>
            </w:pPr>
            <w:r w:rsidRPr="005E4BEA">
              <w:rPr>
                <w:rFonts w:cs="Arial"/>
                <w:color w:val="000000"/>
                <w:szCs w:val="20"/>
              </w:rPr>
              <w:t>dispanzer za ženske</w:t>
            </w:r>
          </w:p>
        </w:tc>
        <w:tc>
          <w:tcPr>
            <w:tcW w:w="1967" w:type="dxa"/>
            <w:shd w:val="clear" w:color="000000" w:fill="FFFFFF"/>
            <w:vAlign w:val="center"/>
            <w:hideMark/>
          </w:tcPr>
          <w:p w14:paraId="79801A0B" w14:textId="77777777" w:rsidR="00FE461F" w:rsidRPr="005E4BEA" w:rsidRDefault="00FE461F" w:rsidP="00FE461F">
            <w:pPr>
              <w:spacing w:line="240" w:lineRule="auto"/>
              <w:rPr>
                <w:rFonts w:cs="Arial"/>
                <w:color w:val="000000"/>
                <w:szCs w:val="20"/>
              </w:rPr>
            </w:pPr>
            <w:r w:rsidRPr="005E4BEA">
              <w:rPr>
                <w:rFonts w:cs="Arial"/>
                <w:color w:val="000000"/>
                <w:szCs w:val="20"/>
              </w:rPr>
              <w:t>ZD Trebnje</w:t>
            </w:r>
          </w:p>
        </w:tc>
        <w:tc>
          <w:tcPr>
            <w:tcW w:w="1028" w:type="dxa"/>
            <w:shd w:val="clear" w:color="000000" w:fill="FFFFFF"/>
            <w:vAlign w:val="center"/>
            <w:hideMark/>
          </w:tcPr>
          <w:p w14:paraId="42740085"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0,8</w:t>
            </w:r>
          </w:p>
        </w:tc>
        <w:tc>
          <w:tcPr>
            <w:tcW w:w="1687" w:type="dxa"/>
            <w:shd w:val="clear" w:color="000000" w:fill="FFFFFF"/>
            <w:vAlign w:val="center"/>
            <w:hideMark/>
          </w:tcPr>
          <w:p w14:paraId="7744D72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128.484,63</w:t>
            </w:r>
          </w:p>
        </w:tc>
        <w:tc>
          <w:tcPr>
            <w:tcW w:w="1772" w:type="dxa"/>
            <w:shd w:val="clear" w:color="000000" w:fill="FFFFFF"/>
            <w:vAlign w:val="center"/>
            <w:hideMark/>
          </w:tcPr>
          <w:p w14:paraId="26FE5E5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74.949</w:t>
            </w:r>
          </w:p>
        </w:tc>
      </w:tr>
      <w:tr w:rsidR="00FE461F" w:rsidRPr="005E4BEA" w14:paraId="65D36D74" w14:textId="77777777" w:rsidTr="0016774B">
        <w:trPr>
          <w:trHeight w:val="299"/>
        </w:trPr>
        <w:tc>
          <w:tcPr>
            <w:tcW w:w="2416" w:type="dxa"/>
            <w:shd w:val="clear" w:color="auto" w:fill="auto"/>
            <w:vAlign w:val="center"/>
            <w:hideMark/>
          </w:tcPr>
          <w:p w14:paraId="5380CCAD" w14:textId="77777777" w:rsidR="00FE461F" w:rsidRPr="005E4BEA" w:rsidRDefault="00FE461F" w:rsidP="00FE461F">
            <w:pPr>
              <w:spacing w:line="240" w:lineRule="auto"/>
              <w:rPr>
                <w:rFonts w:cs="Arial"/>
                <w:color w:val="000000"/>
                <w:szCs w:val="20"/>
              </w:rPr>
            </w:pPr>
            <w:r w:rsidRPr="005E4BEA">
              <w:rPr>
                <w:rFonts w:cs="Arial"/>
                <w:color w:val="000000"/>
                <w:szCs w:val="20"/>
              </w:rPr>
              <w:lastRenderedPageBreak/>
              <w:t>dispanzer za ženske</w:t>
            </w:r>
          </w:p>
        </w:tc>
        <w:tc>
          <w:tcPr>
            <w:tcW w:w="1967" w:type="dxa"/>
            <w:shd w:val="clear" w:color="000000" w:fill="FFFFFF"/>
            <w:vAlign w:val="center"/>
            <w:hideMark/>
          </w:tcPr>
          <w:p w14:paraId="0F38E4F0" w14:textId="77777777" w:rsidR="00FE461F" w:rsidRPr="005E4BEA" w:rsidRDefault="00FE461F" w:rsidP="00FE461F">
            <w:pPr>
              <w:spacing w:line="240" w:lineRule="auto"/>
              <w:rPr>
                <w:rFonts w:cs="Arial"/>
                <w:color w:val="000000"/>
                <w:szCs w:val="20"/>
              </w:rPr>
            </w:pPr>
            <w:r w:rsidRPr="005E4BEA">
              <w:rPr>
                <w:rFonts w:cs="Arial"/>
                <w:color w:val="000000"/>
                <w:szCs w:val="20"/>
              </w:rPr>
              <w:t>ZD Ribnica</w:t>
            </w:r>
          </w:p>
        </w:tc>
        <w:tc>
          <w:tcPr>
            <w:tcW w:w="1028" w:type="dxa"/>
            <w:shd w:val="clear" w:color="000000" w:fill="FFFFFF"/>
            <w:vAlign w:val="center"/>
            <w:hideMark/>
          </w:tcPr>
          <w:p w14:paraId="14B387BC" w14:textId="77777777" w:rsidR="00FE461F" w:rsidRPr="005E4BEA" w:rsidRDefault="00FE461F" w:rsidP="00FE461F">
            <w:pPr>
              <w:spacing w:line="240" w:lineRule="auto"/>
              <w:jc w:val="right"/>
              <w:rPr>
                <w:rFonts w:cs="Arial"/>
                <w:color w:val="000000"/>
                <w:szCs w:val="20"/>
              </w:rPr>
            </w:pPr>
            <w:r w:rsidRPr="005E4BEA">
              <w:rPr>
                <w:rFonts w:cs="Arial"/>
                <w:color w:val="000000"/>
                <w:szCs w:val="20"/>
              </w:rPr>
              <w:t>0,3</w:t>
            </w:r>
          </w:p>
        </w:tc>
        <w:tc>
          <w:tcPr>
            <w:tcW w:w="1687" w:type="dxa"/>
            <w:shd w:val="clear" w:color="000000" w:fill="FFFFFF"/>
            <w:vAlign w:val="center"/>
            <w:hideMark/>
          </w:tcPr>
          <w:p w14:paraId="466AE1C8"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48.181,74</w:t>
            </w:r>
          </w:p>
        </w:tc>
        <w:tc>
          <w:tcPr>
            <w:tcW w:w="1772" w:type="dxa"/>
            <w:shd w:val="clear" w:color="000000" w:fill="FFFFFF"/>
            <w:vAlign w:val="center"/>
            <w:hideMark/>
          </w:tcPr>
          <w:p w14:paraId="0D648F2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28.106</w:t>
            </w:r>
          </w:p>
        </w:tc>
      </w:tr>
      <w:tr w:rsidR="00FE461F" w:rsidRPr="005E4BEA" w14:paraId="1DFBD33B" w14:textId="77777777" w:rsidTr="0016774B">
        <w:trPr>
          <w:trHeight w:val="191"/>
        </w:trPr>
        <w:tc>
          <w:tcPr>
            <w:tcW w:w="2416" w:type="dxa"/>
            <w:shd w:val="clear" w:color="auto" w:fill="auto"/>
            <w:noWrap/>
            <w:vAlign w:val="bottom"/>
            <w:hideMark/>
          </w:tcPr>
          <w:p w14:paraId="7B1AE922"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967" w:type="dxa"/>
            <w:shd w:val="clear" w:color="000000" w:fill="FFFFFF"/>
            <w:vAlign w:val="center"/>
            <w:hideMark/>
          </w:tcPr>
          <w:p w14:paraId="526EB011" w14:textId="77777777" w:rsidR="00FE461F" w:rsidRPr="005E4BEA" w:rsidRDefault="00FE461F" w:rsidP="00FE461F">
            <w:pPr>
              <w:spacing w:line="240" w:lineRule="auto"/>
              <w:rPr>
                <w:rFonts w:cs="Arial"/>
                <w:color w:val="000000"/>
                <w:szCs w:val="20"/>
              </w:rPr>
            </w:pPr>
            <w:r w:rsidRPr="005E4BEA">
              <w:rPr>
                <w:rFonts w:cs="Arial"/>
                <w:color w:val="000000"/>
                <w:szCs w:val="20"/>
              </w:rPr>
              <w:t>SKUPAJ</w:t>
            </w:r>
          </w:p>
        </w:tc>
        <w:tc>
          <w:tcPr>
            <w:tcW w:w="1028" w:type="dxa"/>
            <w:shd w:val="clear" w:color="auto" w:fill="auto"/>
            <w:noWrap/>
            <w:vAlign w:val="bottom"/>
            <w:hideMark/>
          </w:tcPr>
          <w:p w14:paraId="7B65599C"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687" w:type="dxa"/>
            <w:shd w:val="clear" w:color="000000" w:fill="FFFFFF"/>
            <w:vAlign w:val="center"/>
            <w:hideMark/>
          </w:tcPr>
          <w:p w14:paraId="7A2BA2E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1.435.815,76</w:t>
            </w:r>
          </w:p>
        </w:tc>
        <w:tc>
          <w:tcPr>
            <w:tcW w:w="1772" w:type="dxa"/>
            <w:shd w:val="clear" w:color="000000" w:fill="FFFFFF"/>
            <w:vAlign w:val="center"/>
            <w:hideMark/>
          </w:tcPr>
          <w:p w14:paraId="7715E4E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837.559,19</w:t>
            </w:r>
          </w:p>
        </w:tc>
      </w:tr>
    </w:tbl>
    <w:p w14:paraId="60E33967" w14:textId="77777777" w:rsidR="00FE461F" w:rsidRPr="005E4BEA" w:rsidRDefault="00FE461F" w:rsidP="00FE461F">
      <w:pPr>
        <w:spacing w:line="240" w:lineRule="auto"/>
        <w:rPr>
          <w:rFonts w:cs="Arial"/>
          <w:b/>
          <w:szCs w:val="20"/>
        </w:rPr>
      </w:pPr>
    </w:p>
    <w:p w14:paraId="081DFC63" w14:textId="77777777" w:rsidR="00FE461F" w:rsidRPr="005E4BEA" w:rsidRDefault="00FE461F" w:rsidP="00FE461F">
      <w:pPr>
        <w:spacing w:line="240" w:lineRule="auto"/>
        <w:rPr>
          <w:rFonts w:cs="Arial"/>
          <w:b/>
          <w:szCs w:val="20"/>
        </w:rPr>
      </w:pPr>
    </w:p>
    <w:p w14:paraId="01681EE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1275916E"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Po podatkih ZZZS na dan 1.12.2021 je od 909 tisoč deklet in žensk opredeljenih 694 tisoč (76,27%) Na 1 tim je je opredeljenih 4.619 žensk in deklet. </w:t>
      </w:r>
    </w:p>
    <w:p w14:paraId="4358EDD2"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 xml:space="preserve">Predlagamo, da se za povečanje dostopnosti ter možnost opredelitve zagotovijo dodatni timi dispanzerjev za ženske. Združenje predlaga, da se širitve zagotovijo izvajalcem, ki imajo že zagotovljen kader. </w:t>
      </w:r>
    </w:p>
    <w:p w14:paraId="45A873DB" w14:textId="77777777" w:rsidR="00FE461F" w:rsidRPr="005E4BEA" w:rsidRDefault="00FE461F" w:rsidP="00FE461F">
      <w:pPr>
        <w:spacing w:line="240" w:lineRule="auto"/>
        <w:rPr>
          <w:rFonts w:cs="Arial"/>
          <w:b/>
          <w:szCs w:val="20"/>
        </w:rPr>
      </w:pPr>
    </w:p>
    <w:p w14:paraId="6A71838E" w14:textId="77777777" w:rsidR="00FE461F" w:rsidRPr="005E4BEA" w:rsidRDefault="00FE461F" w:rsidP="00FE461F">
      <w:pPr>
        <w:spacing w:line="240" w:lineRule="auto"/>
        <w:rPr>
          <w:rFonts w:cs="Arial"/>
          <w:b/>
          <w:szCs w:val="20"/>
        </w:rPr>
      </w:pPr>
    </w:p>
    <w:tbl>
      <w:tblPr>
        <w:tblW w:w="9087" w:type="dxa"/>
        <w:tblCellMar>
          <w:left w:w="70" w:type="dxa"/>
          <w:right w:w="70" w:type="dxa"/>
        </w:tblCellMar>
        <w:tblLook w:val="04A0" w:firstRow="1" w:lastRow="0" w:firstColumn="1" w:lastColumn="0" w:noHBand="0" w:noVBand="1"/>
      </w:tblPr>
      <w:tblGrid>
        <w:gridCol w:w="1834"/>
        <w:gridCol w:w="1903"/>
        <w:gridCol w:w="1380"/>
        <w:gridCol w:w="3970"/>
      </w:tblGrid>
      <w:tr w:rsidR="00FE461F" w:rsidRPr="005E4BEA" w14:paraId="23339F03" w14:textId="77777777" w:rsidTr="0016774B">
        <w:trPr>
          <w:trHeight w:val="434"/>
        </w:trPr>
        <w:tc>
          <w:tcPr>
            <w:tcW w:w="1834" w:type="dxa"/>
            <w:tcBorders>
              <w:top w:val="single" w:sz="8" w:space="0" w:color="auto"/>
              <w:left w:val="single" w:sz="4" w:space="0" w:color="auto"/>
              <w:bottom w:val="nil"/>
              <w:right w:val="single" w:sz="4" w:space="0" w:color="auto"/>
            </w:tcBorders>
            <w:shd w:val="clear" w:color="000000" w:fill="8EA9DB"/>
            <w:vAlign w:val="center"/>
            <w:hideMark/>
          </w:tcPr>
          <w:p w14:paraId="1FD0C71D" w14:textId="77777777" w:rsidR="00FE461F" w:rsidRPr="005E4BEA" w:rsidRDefault="00FE461F" w:rsidP="00FE461F">
            <w:pPr>
              <w:spacing w:line="240" w:lineRule="auto"/>
              <w:rPr>
                <w:rFonts w:cs="Arial"/>
                <w:b/>
                <w:bCs/>
                <w:color w:val="767171" w:themeColor="background2" w:themeShade="80"/>
                <w:szCs w:val="20"/>
              </w:rPr>
            </w:pPr>
            <w:r w:rsidRPr="005E4BEA">
              <w:rPr>
                <w:rFonts w:cs="Arial"/>
                <w:b/>
                <w:bCs/>
                <w:color w:val="767171" w:themeColor="background2" w:themeShade="80"/>
                <w:szCs w:val="20"/>
              </w:rPr>
              <w:t>Izvajalec</w:t>
            </w:r>
          </w:p>
        </w:tc>
        <w:tc>
          <w:tcPr>
            <w:tcW w:w="1903" w:type="dxa"/>
            <w:tcBorders>
              <w:top w:val="single" w:sz="8" w:space="0" w:color="auto"/>
              <w:left w:val="nil"/>
              <w:bottom w:val="nil"/>
              <w:right w:val="single" w:sz="4" w:space="0" w:color="auto"/>
            </w:tcBorders>
            <w:shd w:val="clear" w:color="000000" w:fill="8EA9DB"/>
            <w:vAlign w:val="center"/>
            <w:hideMark/>
          </w:tcPr>
          <w:p w14:paraId="277365EC" w14:textId="77777777" w:rsidR="00FE461F" w:rsidRPr="005E4BEA" w:rsidRDefault="00FE461F" w:rsidP="00FE461F">
            <w:pPr>
              <w:spacing w:line="240" w:lineRule="auto"/>
              <w:rPr>
                <w:rFonts w:cs="Arial"/>
                <w:b/>
                <w:bCs/>
                <w:color w:val="767171" w:themeColor="background2" w:themeShade="80"/>
                <w:szCs w:val="20"/>
              </w:rPr>
            </w:pPr>
            <w:r w:rsidRPr="005E4BEA">
              <w:rPr>
                <w:rFonts w:cs="Arial"/>
                <w:b/>
                <w:bCs/>
                <w:color w:val="767171" w:themeColor="background2" w:themeShade="80"/>
                <w:szCs w:val="20"/>
              </w:rPr>
              <w:t>Naziv zdravstvene storitve</w:t>
            </w:r>
          </w:p>
        </w:tc>
        <w:tc>
          <w:tcPr>
            <w:tcW w:w="1380" w:type="dxa"/>
            <w:tcBorders>
              <w:top w:val="single" w:sz="8" w:space="0" w:color="auto"/>
              <w:left w:val="nil"/>
              <w:bottom w:val="nil"/>
              <w:right w:val="single" w:sz="4" w:space="0" w:color="auto"/>
            </w:tcBorders>
            <w:shd w:val="clear" w:color="000000" w:fill="8EA9DB"/>
            <w:vAlign w:val="center"/>
            <w:hideMark/>
          </w:tcPr>
          <w:p w14:paraId="1119E607" w14:textId="77777777" w:rsidR="00FE461F" w:rsidRPr="005E4BEA" w:rsidRDefault="00FE461F" w:rsidP="00FE461F">
            <w:pPr>
              <w:spacing w:line="240" w:lineRule="auto"/>
              <w:jc w:val="right"/>
              <w:rPr>
                <w:rFonts w:cs="Arial"/>
                <w:b/>
                <w:bCs/>
                <w:color w:val="767171" w:themeColor="background2" w:themeShade="80"/>
                <w:szCs w:val="20"/>
              </w:rPr>
            </w:pPr>
            <w:r w:rsidRPr="005E4BEA">
              <w:rPr>
                <w:rFonts w:cs="Arial"/>
                <w:b/>
                <w:bCs/>
                <w:color w:val="767171" w:themeColor="background2" w:themeShade="80"/>
                <w:szCs w:val="20"/>
              </w:rPr>
              <w:t>Predlagana širitev za število timov</w:t>
            </w:r>
          </w:p>
        </w:tc>
        <w:tc>
          <w:tcPr>
            <w:tcW w:w="3970" w:type="dxa"/>
            <w:tcBorders>
              <w:top w:val="single" w:sz="8" w:space="0" w:color="auto"/>
              <w:left w:val="nil"/>
              <w:bottom w:val="nil"/>
              <w:right w:val="single" w:sz="4" w:space="0" w:color="auto"/>
            </w:tcBorders>
            <w:shd w:val="clear" w:color="000000" w:fill="8EA9DB"/>
            <w:vAlign w:val="center"/>
            <w:hideMark/>
          </w:tcPr>
          <w:p w14:paraId="299A6579" w14:textId="77777777" w:rsidR="00FE461F" w:rsidRPr="005E4BEA" w:rsidRDefault="00FE461F" w:rsidP="00FE461F">
            <w:pPr>
              <w:spacing w:line="240" w:lineRule="auto"/>
              <w:rPr>
                <w:rFonts w:cs="Arial"/>
                <w:b/>
                <w:bCs/>
                <w:color w:val="767171" w:themeColor="background2" w:themeShade="80"/>
                <w:szCs w:val="20"/>
              </w:rPr>
            </w:pPr>
            <w:r w:rsidRPr="005E4BEA">
              <w:rPr>
                <w:rFonts w:cs="Arial"/>
                <w:b/>
                <w:bCs/>
                <w:color w:val="767171" w:themeColor="background2" w:themeShade="80"/>
                <w:szCs w:val="20"/>
              </w:rPr>
              <w:t xml:space="preserve">kader </w:t>
            </w:r>
          </w:p>
        </w:tc>
      </w:tr>
      <w:tr w:rsidR="00FE461F" w:rsidRPr="005E4BEA" w14:paraId="1C40A715" w14:textId="77777777" w:rsidTr="0016774B">
        <w:trPr>
          <w:trHeight w:val="108"/>
        </w:trPr>
        <w:tc>
          <w:tcPr>
            <w:tcW w:w="1834" w:type="dxa"/>
            <w:tcBorders>
              <w:top w:val="single" w:sz="4" w:space="0" w:color="auto"/>
              <w:left w:val="single" w:sz="4" w:space="0" w:color="auto"/>
              <w:bottom w:val="single" w:sz="4" w:space="0" w:color="auto"/>
              <w:right w:val="single" w:sz="4" w:space="0" w:color="auto"/>
            </w:tcBorders>
            <w:hideMark/>
          </w:tcPr>
          <w:p w14:paraId="0E67F795"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UKC Maribor</w:t>
            </w:r>
          </w:p>
        </w:tc>
        <w:tc>
          <w:tcPr>
            <w:tcW w:w="1903" w:type="dxa"/>
            <w:tcBorders>
              <w:top w:val="single" w:sz="4" w:space="0" w:color="auto"/>
              <w:left w:val="nil"/>
              <w:bottom w:val="single" w:sz="4" w:space="0" w:color="auto"/>
              <w:right w:val="single" w:sz="4" w:space="0" w:color="auto"/>
            </w:tcBorders>
            <w:hideMark/>
          </w:tcPr>
          <w:p w14:paraId="4591B92A"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single" w:sz="4" w:space="0" w:color="auto"/>
              <w:left w:val="nil"/>
              <w:bottom w:val="single" w:sz="4" w:space="0" w:color="auto"/>
              <w:right w:val="single" w:sz="4" w:space="0" w:color="auto"/>
            </w:tcBorders>
            <w:hideMark/>
          </w:tcPr>
          <w:p w14:paraId="02795648"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0,5</w:t>
            </w:r>
          </w:p>
        </w:tc>
        <w:tc>
          <w:tcPr>
            <w:tcW w:w="3970" w:type="dxa"/>
            <w:tcBorders>
              <w:top w:val="single" w:sz="4" w:space="0" w:color="auto"/>
              <w:left w:val="nil"/>
              <w:bottom w:val="single" w:sz="4" w:space="0" w:color="auto"/>
              <w:right w:val="single" w:sz="4" w:space="0" w:color="auto"/>
            </w:tcBorders>
            <w:noWrap/>
            <w:vAlign w:val="bottom"/>
            <w:hideMark/>
          </w:tcPr>
          <w:p w14:paraId="03EFA95A"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specialiste</w:t>
            </w:r>
          </w:p>
        </w:tc>
      </w:tr>
      <w:tr w:rsidR="00FE461F" w:rsidRPr="005E4BEA" w14:paraId="33ADBFB6" w14:textId="77777777" w:rsidTr="0016774B">
        <w:trPr>
          <w:trHeight w:val="108"/>
        </w:trPr>
        <w:tc>
          <w:tcPr>
            <w:tcW w:w="1834" w:type="dxa"/>
            <w:tcBorders>
              <w:top w:val="nil"/>
              <w:left w:val="single" w:sz="4" w:space="0" w:color="auto"/>
              <w:bottom w:val="single" w:sz="4" w:space="0" w:color="auto"/>
              <w:right w:val="single" w:sz="4" w:space="0" w:color="auto"/>
            </w:tcBorders>
            <w:hideMark/>
          </w:tcPr>
          <w:p w14:paraId="7756A2BD"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SB Murska Sobota</w:t>
            </w:r>
          </w:p>
        </w:tc>
        <w:tc>
          <w:tcPr>
            <w:tcW w:w="1903" w:type="dxa"/>
            <w:tcBorders>
              <w:top w:val="nil"/>
              <w:left w:val="nil"/>
              <w:bottom w:val="single" w:sz="4" w:space="0" w:color="auto"/>
              <w:right w:val="single" w:sz="4" w:space="0" w:color="auto"/>
            </w:tcBorders>
            <w:hideMark/>
          </w:tcPr>
          <w:p w14:paraId="51AE209C"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hideMark/>
          </w:tcPr>
          <w:p w14:paraId="2025F124"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1</w:t>
            </w:r>
          </w:p>
        </w:tc>
        <w:tc>
          <w:tcPr>
            <w:tcW w:w="3970" w:type="dxa"/>
            <w:tcBorders>
              <w:top w:val="nil"/>
              <w:left w:val="nil"/>
              <w:bottom w:val="single" w:sz="4" w:space="0" w:color="auto"/>
              <w:right w:val="single" w:sz="4" w:space="0" w:color="auto"/>
            </w:tcBorders>
            <w:vAlign w:val="bottom"/>
            <w:hideMark/>
          </w:tcPr>
          <w:p w14:paraId="6AA0BE34"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specialiste</w:t>
            </w:r>
          </w:p>
        </w:tc>
      </w:tr>
      <w:tr w:rsidR="00FE461F" w:rsidRPr="005E4BEA" w14:paraId="747785ED" w14:textId="77777777" w:rsidTr="0016774B">
        <w:trPr>
          <w:trHeight w:val="108"/>
        </w:trPr>
        <w:tc>
          <w:tcPr>
            <w:tcW w:w="1834" w:type="dxa"/>
            <w:tcBorders>
              <w:top w:val="nil"/>
              <w:left w:val="single" w:sz="4" w:space="0" w:color="auto"/>
              <w:bottom w:val="single" w:sz="4" w:space="0" w:color="auto"/>
              <w:right w:val="single" w:sz="4" w:space="0" w:color="auto"/>
            </w:tcBorders>
            <w:hideMark/>
          </w:tcPr>
          <w:p w14:paraId="2BA07565"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SB Slovenj Gradec</w:t>
            </w:r>
          </w:p>
        </w:tc>
        <w:tc>
          <w:tcPr>
            <w:tcW w:w="1903" w:type="dxa"/>
            <w:tcBorders>
              <w:top w:val="nil"/>
              <w:left w:val="nil"/>
              <w:bottom w:val="single" w:sz="4" w:space="0" w:color="auto"/>
              <w:right w:val="single" w:sz="4" w:space="0" w:color="auto"/>
            </w:tcBorders>
            <w:hideMark/>
          </w:tcPr>
          <w:p w14:paraId="45C47A15"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hideMark/>
          </w:tcPr>
          <w:p w14:paraId="1D8C6208"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1</w:t>
            </w:r>
          </w:p>
        </w:tc>
        <w:tc>
          <w:tcPr>
            <w:tcW w:w="3970" w:type="dxa"/>
            <w:tcBorders>
              <w:top w:val="nil"/>
              <w:left w:val="nil"/>
              <w:bottom w:val="single" w:sz="4" w:space="0" w:color="auto"/>
              <w:right w:val="single" w:sz="4" w:space="0" w:color="auto"/>
            </w:tcBorders>
            <w:vAlign w:val="bottom"/>
            <w:hideMark/>
          </w:tcPr>
          <w:p w14:paraId="2D997DB0"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specialiste</w:t>
            </w:r>
          </w:p>
        </w:tc>
      </w:tr>
      <w:tr w:rsidR="00FE461F" w:rsidRPr="005E4BEA" w14:paraId="576B7C75" w14:textId="77777777" w:rsidTr="0016774B">
        <w:trPr>
          <w:trHeight w:val="108"/>
        </w:trPr>
        <w:tc>
          <w:tcPr>
            <w:tcW w:w="1834" w:type="dxa"/>
            <w:tcBorders>
              <w:top w:val="nil"/>
              <w:left w:val="single" w:sz="4" w:space="0" w:color="auto"/>
              <w:bottom w:val="single" w:sz="4" w:space="0" w:color="auto"/>
              <w:right w:val="single" w:sz="4" w:space="0" w:color="auto"/>
            </w:tcBorders>
            <w:hideMark/>
          </w:tcPr>
          <w:p w14:paraId="2859CFC2"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BGP Kranj</w:t>
            </w:r>
          </w:p>
        </w:tc>
        <w:tc>
          <w:tcPr>
            <w:tcW w:w="1903" w:type="dxa"/>
            <w:tcBorders>
              <w:top w:val="nil"/>
              <w:left w:val="nil"/>
              <w:bottom w:val="single" w:sz="4" w:space="0" w:color="auto"/>
              <w:right w:val="single" w:sz="4" w:space="0" w:color="auto"/>
            </w:tcBorders>
            <w:hideMark/>
          </w:tcPr>
          <w:p w14:paraId="1884064B"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hideMark/>
          </w:tcPr>
          <w:p w14:paraId="1BF2234C"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1</w:t>
            </w:r>
          </w:p>
        </w:tc>
        <w:tc>
          <w:tcPr>
            <w:tcW w:w="3970" w:type="dxa"/>
            <w:tcBorders>
              <w:top w:val="nil"/>
              <w:left w:val="nil"/>
              <w:bottom w:val="single" w:sz="4" w:space="0" w:color="auto"/>
              <w:right w:val="single" w:sz="4" w:space="0" w:color="auto"/>
            </w:tcBorders>
            <w:noWrap/>
            <w:vAlign w:val="bottom"/>
            <w:hideMark/>
          </w:tcPr>
          <w:p w14:paraId="3340C8FE"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kader imajo</w:t>
            </w:r>
          </w:p>
        </w:tc>
      </w:tr>
      <w:tr w:rsidR="00FE461F" w:rsidRPr="005E4BEA" w14:paraId="3C86DDC3" w14:textId="77777777" w:rsidTr="0016774B">
        <w:trPr>
          <w:trHeight w:val="108"/>
        </w:trPr>
        <w:tc>
          <w:tcPr>
            <w:tcW w:w="1834" w:type="dxa"/>
            <w:tcBorders>
              <w:top w:val="nil"/>
              <w:left w:val="single" w:sz="4" w:space="0" w:color="auto"/>
              <w:bottom w:val="single" w:sz="4" w:space="0" w:color="auto"/>
              <w:right w:val="single" w:sz="4" w:space="0" w:color="auto"/>
            </w:tcBorders>
            <w:hideMark/>
          </w:tcPr>
          <w:p w14:paraId="51927995"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SB Nova Gorica</w:t>
            </w:r>
          </w:p>
        </w:tc>
        <w:tc>
          <w:tcPr>
            <w:tcW w:w="1903" w:type="dxa"/>
            <w:tcBorders>
              <w:top w:val="nil"/>
              <w:left w:val="nil"/>
              <w:bottom w:val="single" w:sz="4" w:space="0" w:color="auto"/>
              <w:right w:val="single" w:sz="4" w:space="0" w:color="auto"/>
            </w:tcBorders>
            <w:hideMark/>
          </w:tcPr>
          <w:p w14:paraId="7B4F243D"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hideMark/>
          </w:tcPr>
          <w:p w14:paraId="262E3392"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1</w:t>
            </w:r>
          </w:p>
        </w:tc>
        <w:tc>
          <w:tcPr>
            <w:tcW w:w="3970" w:type="dxa"/>
            <w:tcBorders>
              <w:top w:val="nil"/>
              <w:left w:val="nil"/>
              <w:bottom w:val="single" w:sz="4" w:space="0" w:color="auto"/>
              <w:right w:val="single" w:sz="4" w:space="0" w:color="auto"/>
            </w:tcBorders>
            <w:vAlign w:val="bottom"/>
            <w:hideMark/>
          </w:tcPr>
          <w:p w14:paraId="557D21CF"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specialiste</w:t>
            </w:r>
          </w:p>
        </w:tc>
      </w:tr>
      <w:tr w:rsidR="00FE461F" w:rsidRPr="005E4BEA" w14:paraId="09C9051E" w14:textId="77777777" w:rsidTr="0016774B">
        <w:trPr>
          <w:trHeight w:val="108"/>
        </w:trPr>
        <w:tc>
          <w:tcPr>
            <w:tcW w:w="1834" w:type="dxa"/>
            <w:tcBorders>
              <w:top w:val="nil"/>
              <w:left w:val="single" w:sz="4" w:space="0" w:color="auto"/>
              <w:bottom w:val="single" w:sz="4" w:space="0" w:color="auto"/>
              <w:right w:val="single" w:sz="4" w:space="0" w:color="auto"/>
            </w:tcBorders>
            <w:hideMark/>
          </w:tcPr>
          <w:p w14:paraId="1CF65A55"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SB Ptuj</w:t>
            </w:r>
          </w:p>
        </w:tc>
        <w:tc>
          <w:tcPr>
            <w:tcW w:w="1903" w:type="dxa"/>
            <w:tcBorders>
              <w:top w:val="nil"/>
              <w:left w:val="nil"/>
              <w:bottom w:val="single" w:sz="4" w:space="0" w:color="auto"/>
              <w:right w:val="single" w:sz="4" w:space="0" w:color="auto"/>
            </w:tcBorders>
            <w:hideMark/>
          </w:tcPr>
          <w:p w14:paraId="31F43636"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hideMark/>
          </w:tcPr>
          <w:p w14:paraId="00D08C77"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0,7</w:t>
            </w:r>
          </w:p>
        </w:tc>
        <w:tc>
          <w:tcPr>
            <w:tcW w:w="3970" w:type="dxa"/>
            <w:tcBorders>
              <w:top w:val="nil"/>
              <w:left w:val="nil"/>
              <w:bottom w:val="single" w:sz="4" w:space="0" w:color="auto"/>
              <w:right w:val="single" w:sz="4" w:space="0" w:color="auto"/>
            </w:tcBorders>
            <w:noWrap/>
            <w:vAlign w:val="bottom"/>
            <w:hideMark/>
          </w:tcPr>
          <w:p w14:paraId="5BA95259"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specialista (izvajajo že 0,8 tima</w:t>
            </w:r>
          </w:p>
        </w:tc>
      </w:tr>
      <w:tr w:rsidR="00FE461F" w:rsidRPr="005E4BEA" w14:paraId="7A7EBF88"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7FD5F43C"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OZG KRANJ</w:t>
            </w:r>
          </w:p>
        </w:tc>
        <w:tc>
          <w:tcPr>
            <w:tcW w:w="1903" w:type="dxa"/>
            <w:tcBorders>
              <w:top w:val="nil"/>
              <w:left w:val="nil"/>
              <w:bottom w:val="single" w:sz="4" w:space="0" w:color="auto"/>
              <w:right w:val="single" w:sz="4" w:space="0" w:color="auto"/>
            </w:tcBorders>
            <w:hideMark/>
          </w:tcPr>
          <w:p w14:paraId="4E07A5AC"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166B8556"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1,00</w:t>
            </w:r>
          </w:p>
        </w:tc>
        <w:tc>
          <w:tcPr>
            <w:tcW w:w="3970" w:type="dxa"/>
            <w:tcBorders>
              <w:top w:val="nil"/>
              <w:left w:val="nil"/>
              <w:bottom w:val="single" w:sz="4" w:space="0" w:color="auto"/>
              <w:right w:val="single" w:sz="4" w:space="0" w:color="auto"/>
            </w:tcBorders>
            <w:noWrap/>
            <w:vAlign w:val="bottom"/>
            <w:hideMark/>
          </w:tcPr>
          <w:p w14:paraId="35E70384"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se dogovarjajo za zaposlitev</w:t>
            </w:r>
          </w:p>
        </w:tc>
      </w:tr>
      <w:tr w:rsidR="00FE461F" w:rsidRPr="005E4BEA" w14:paraId="5B960C68"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6B86C9C7"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ZD AJDOVŠČINA</w:t>
            </w:r>
          </w:p>
        </w:tc>
        <w:tc>
          <w:tcPr>
            <w:tcW w:w="1903" w:type="dxa"/>
            <w:tcBorders>
              <w:top w:val="nil"/>
              <w:left w:val="nil"/>
              <w:bottom w:val="single" w:sz="4" w:space="0" w:color="auto"/>
              <w:right w:val="single" w:sz="4" w:space="0" w:color="auto"/>
            </w:tcBorders>
            <w:hideMark/>
          </w:tcPr>
          <w:p w14:paraId="2CF7BD6C"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372AA1E4"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0,19</w:t>
            </w:r>
          </w:p>
        </w:tc>
        <w:tc>
          <w:tcPr>
            <w:tcW w:w="3970" w:type="dxa"/>
            <w:tcBorders>
              <w:top w:val="nil"/>
              <w:left w:val="nil"/>
              <w:bottom w:val="single" w:sz="4" w:space="0" w:color="auto"/>
              <w:right w:val="single" w:sz="4" w:space="0" w:color="auto"/>
            </w:tcBorders>
            <w:noWrap/>
            <w:vAlign w:val="bottom"/>
            <w:hideMark/>
          </w:tcPr>
          <w:p w14:paraId="79917081"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1,01 želijo 1,2 tima</w:t>
            </w:r>
          </w:p>
        </w:tc>
      </w:tr>
      <w:tr w:rsidR="00FE461F" w:rsidRPr="005E4BEA" w14:paraId="534B9618"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2666E240"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ZD CERKNICA</w:t>
            </w:r>
          </w:p>
        </w:tc>
        <w:tc>
          <w:tcPr>
            <w:tcW w:w="1903" w:type="dxa"/>
            <w:tcBorders>
              <w:top w:val="nil"/>
              <w:left w:val="nil"/>
              <w:bottom w:val="single" w:sz="4" w:space="0" w:color="auto"/>
              <w:right w:val="single" w:sz="4" w:space="0" w:color="auto"/>
            </w:tcBorders>
            <w:hideMark/>
          </w:tcPr>
          <w:p w14:paraId="54027D60"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7E90BAB1"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0,30</w:t>
            </w:r>
          </w:p>
        </w:tc>
        <w:tc>
          <w:tcPr>
            <w:tcW w:w="3970" w:type="dxa"/>
            <w:tcBorders>
              <w:top w:val="nil"/>
              <w:left w:val="nil"/>
              <w:bottom w:val="single" w:sz="4" w:space="0" w:color="auto"/>
              <w:right w:val="single" w:sz="4" w:space="0" w:color="auto"/>
            </w:tcBorders>
            <w:vAlign w:val="bottom"/>
            <w:hideMark/>
          </w:tcPr>
          <w:p w14:paraId="11570AF2"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 xml:space="preserve">imajo 0,7 tima imajo zaposlenega specializanta </w:t>
            </w:r>
          </w:p>
        </w:tc>
      </w:tr>
      <w:tr w:rsidR="00FE461F" w:rsidRPr="005E4BEA" w14:paraId="3362E6B3"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15C9E8B1"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ZD KOPER</w:t>
            </w:r>
          </w:p>
        </w:tc>
        <w:tc>
          <w:tcPr>
            <w:tcW w:w="1903" w:type="dxa"/>
            <w:tcBorders>
              <w:top w:val="nil"/>
              <w:left w:val="nil"/>
              <w:bottom w:val="single" w:sz="4" w:space="0" w:color="auto"/>
              <w:right w:val="single" w:sz="4" w:space="0" w:color="auto"/>
            </w:tcBorders>
            <w:hideMark/>
          </w:tcPr>
          <w:p w14:paraId="7DF09D32"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noWrap/>
            <w:vAlign w:val="bottom"/>
            <w:hideMark/>
          </w:tcPr>
          <w:p w14:paraId="12CB91A2"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0,8</w:t>
            </w:r>
          </w:p>
        </w:tc>
        <w:tc>
          <w:tcPr>
            <w:tcW w:w="3970" w:type="dxa"/>
            <w:tcBorders>
              <w:top w:val="nil"/>
              <w:left w:val="nil"/>
              <w:bottom w:val="single" w:sz="4" w:space="0" w:color="auto"/>
              <w:right w:val="single" w:sz="4" w:space="0" w:color="auto"/>
            </w:tcBorders>
            <w:noWrap/>
            <w:vAlign w:val="bottom"/>
            <w:hideMark/>
          </w:tcPr>
          <w:p w14:paraId="269EC11B"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želijo širitev</w:t>
            </w:r>
          </w:p>
        </w:tc>
      </w:tr>
      <w:tr w:rsidR="00FE461F" w:rsidRPr="005E4BEA" w14:paraId="1BCBD496"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74393C36"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 xml:space="preserve">ZD GROSUPLJE </w:t>
            </w:r>
          </w:p>
        </w:tc>
        <w:tc>
          <w:tcPr>
            <w:tcW w:w="1903" w:type="dxa"/>
            <w:tcBorders>
              <w:top w:val="nil"/>
              <w:left w:val="nil"/>
              <w:bottom w:val="single" w:sz="4" w:space="0" w:color="auto"/>
              <w:right w:val="single" w:sz="4" w:space="0" w:color="auto"/>
            </w:tcBorders>
            <w:hideMark/>
          </w:tcPr>
          <w:p w14:paraId="52C7E5FE"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59CF1D36"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0,05</w:t>
            </w:r>
          </w:p>
        </w:tc>
        <w:tc>
          <w:tcPr>
            <w:tcW w:w="3970" w:type="dxa"/>
            <w:tcBorders>
              <w:top w:val="nil"/>
              <w:left w:val="nil"/>
              <w:bottom w:val="single" w:sz="4" w:space="0" w:color="auto"/>
              <w:right w:val="single" w:sz="4" w:space="0" w:color="auto"/>
            </w:tcBorders>
            <w:vAlign w:val="bottom"/>
            <w:hideMark/>
          </w:tcPr>
          <w:p w14:paraId="79A07595"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0,95 tima, zaposlujejo cel tim</w:t>
            </w:r>
          </w:p>
        </w:tc>
      </w:tr>
      <w:tr w:rsidR="00FE461F" w:rsidRPr="005E4BEA" w14:paraId="11231B01"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75A730EA"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 xml:space="preserve">ZD PTUJ </w:t>
            </w:r>
          </w:p>
        </w:tc>
        <w:tc>
          <w:tcPr>
            <w:tcW w:w="1903" w:type="dxa"/>
            <w:tcBorders>
              <w:top w:val="nil"/>
              <w:left w:val="nil"/>
              <w:bottom w:val="single" w:sz="4" w:space="0" w:color="auto"/>
              <w:right w:val="single" w:sz="4" w:space="0" w:color="auto"/>
            </w:tcBorders>
            <w:hideMark/>
          </w:tcPr>
          <w:p w14:paraId="2A0C8A94"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3E2D1620"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0,20</w:t>
            </w:r>
          </w:p>
        </w:tc>
        <w:tc>
          <w:tcPr>
            <w:tcW w:w="3970" w:type="dxa"/>
            <w:tcBorders>
              <w:top w:val="nil"/>
              <w:left w:val="nil"/>
              <w:bottom w:val="single" w:sz="4" w:space="0" w:color="auto"/>
              <w:right w:val="single" w:sz="4" w:space="0" w:color="auto"/>
            </w:tcBorders>
            <w:noWrap/>
            <w:vAlign w:val="bottom"/>
            <w:hideMark/>
          </w:tcPr>
          <w:p w14:paraId="62B6929A"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 obstoječim kadrom</w:t>
            </w:r>
          </w:p>
        </w:tc>
      </w:tr>
      <w:tr w:rsidR="00FE461F" w:rsidRPr="005E4BEA" w14:paraId="480FCC1D"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0ACFAEE9"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ZD SEŽANA</w:t>
            </w:r>
          </w:p>
        </w:tc>
        <w:tc>
          <w:tcPr>
            <w:tcW w:w="1903" w:type="dxa"/>
            <w:tcBorders>
              <w:top w:val="nil"/>
              <w:left w:val="nil"/>
              <w:bottom w:val="single" w:sz="4" w:space="0" w:color="auto"/>
              <w:right w:val="single" w:sz="4" w:space="0" w:color="auto"/>
            </w:tcBorders>
            <w:hideMark/>
          </w:tcPr>
          <w:p w14:paraId="5C75E74D"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323759D4"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0,10</w:t>
            </w:r>
          </w:p>
        </w:tc>
        <w:tc>
          <w:tcPr>
            <w:tcW w:w="3970" w:type="dxa"/>
            <w:tcBorders>
              <w:top w:val="nil"/>
              <w:left w:val="nil"/>
              <w:bottom w:val="single" w:sz="4" w:space="0" w:color="auto"/>
              <w:right w:val="single" w:sz="4" w:space="0" w:color="auto"/>
            </w:tcBorders>
            <w:noWrap/>
            <w:vAlign w:val="bottom"/>
            <w:hideMark/>
          </w:tcPr>
          <w:p w14:paraId="107DE03A"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zaposlen kader za cel tim</w:t>
            </w:r>
          </w:p>
        </w:tc>
      </w:tr>
      <w:tr w:rsidR="00FE461F" w:rsidRPr="005E4BEA" w14:paraId="5BCF001C"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21165379"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ZD TREBNJE</w:t>
            </w:r>
          </w:p>
        </w:tc>
        <w:tc>
          <w:tcPr>
            <w:tcW w:w="1903" w:type="dxa"/>
            <w:tcBorders>
              <w:top w:val="nil"/>
              <w:left w:val="nil"/>
              <w:bottom w:val="single" w:sz="4" w:space="0" w:color="auto"/>
              <w:right w:val="single" w:sz="4" w:space="0" w:color="auto"/>
            </w:tcBorders>
            <w:hideMark/>
          </w:tcPr>
          <w:p w14:paraId="708D01C0"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6C8916D0"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0,80</w:t>
            </w:r>
          </w:p>
        </w:tc>
        <w:tc>
          <w:tcPr>
            <w:tcW w:w="3970" w:type="dxa"/>
            <w:tcBorders>
              <w:top w:val="nil"/>
              <w:left w:val="nil"/>
              <w:bottom w:val="single" w:sz="4" w:space="0" w:color="auto"/>
              <w:right w:val="single" w:sz="4" w:space="0" w:color="auto"/>
            </w:tcBorders>
            <w:noWrap/>
            <w:vAlign w:val="bottom"/>
            <w:hideMark/>
          </w:tcPr>
          <w:p w14:paraId="623D1156"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imajo 1.07 rima in dva ginekologa</w:t>
            </w:r>
          </w:p>
        </w:tc>
      </w:tr>
      <w:tr w:rsidR="00FE461F" w:rsidRPr="005E4BEA" w14:paraId="6488ED03" w14:textId="77777777" w:rsidTr="0016774B">
        <w:trPr>
          <w:trHeight w:val="108"/>
        </w:trPr>
        <w:tc>
          <w:tcPr>
            <w:tcW w:w="1834" w:type="dxa"/>
            <w:tcBorders>
              <w:top w:val="nil"/>
              <w:left w:val="single" w:sz="4" w:space="0" w:color="auto"/>
              <w:bottom w:val="single" w:sz="4" w:space="0" w:color="auto"/>
              <w:right w:val="single" w:sz="4" w:space="0" w:color="auto"/>
            </w:tcBorders>
            <w:shd w:val="clear" w:color="000000" w:fill="FFFFFF"/>
            <w:vAlign w:val="bottom"/>
            <w:hideMark/>
          </w:tcPr>
          <w:p w14:paraId="2F441348"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ZD RIBNICA</w:t>
            </w:r>
          </w:p>
        </w:tc>
        <w:tc>
          <w:tcPr>
            <w:tcW w:w="1903" w:type="dxa"/>
            <w:tcBorders>
              <w:top w:val="nil"/>
              <w:left w:val="nil"/>
              <w:bottom w:val="single" w:sz="4" w:space="0" w:color="auto"/>
              <w:right w:val="single" w:sz="4" w:space="0" w:color="auto"/>
            </w:tcBorders>
            <w:hideMark/>
          </w:tcPr>
          <w:p w14:paraId="61A47437"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dispanzer za ženske</w:t>
            </w:r>
          </w:p>
        </w:tc>
        <w:tc>
          <w:tcPr>
            <w:tcW w:w="1380" w:type="dxa"/>
            <w:tcBorders>
              <w:top w:val="nil"/>
              <w:left w:val="nil"/>
              <w:bottom w:val="single" w:sz="4" w:space="0" w:color="auto"/>
              <w:right w:val="single" w:sz="4" w:space="0" w:color="auto"/>
            </w:tcBorders>
            <w:shd w:val="clear" w:color="000000" w:fill="FFFFFF"/>
            <w:vAlign w:val="bottom"/>
            <w:hideMark/>
          </w:tcPr>
          <w:p w14:paraId="7D0B519F"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0,30</w:t>
            </w:r>
          </w:p>
        </w:tc>
        <w:tc>
          <w:tcPr>
            <w:tcW w:w="3970" w:type="dxa"/>
            <w:tcBorders>
              <w:top w:val="nil"/>
              <w:left w:val="nil"/>
              <w:bottom w:val="single" w:sz="4" w:space="0" w:color="auto"/>
              <w:right w:val="single" w:sz="4" w:space="0" w:color="auto"/>
            </w:tcBorders>
            <w:noWrap/>
            <w:vAlign w:val="bottom"/>
            <w:hideMark/>
          </w:tcPr>
          <w:p w14:paraId="36473354"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 xml:space="preserve">imajo 0,7 tima imajo zaposlenega specializanta </w:t>
            </w:r>
          </w:p>
        </w:tc>
      </w:tr>
      <w:tr w:rsidR="00FE461F" w:rsidRPr="005E4BEA" w14:paraId="27D0210E" w14:textId="77777777" w:rsidTr="0016774B">
        <w:trPr>
          <w:trHeight w:val="108"/>
        </w:trPr>
        <w:tc>
          <w:tcPr>
            <w:tcW w:w="1834" w:type="dxa"/>
            <w:tcBorders>
              <w:top w:val="nil"/>
              <w:left w:val="single" w:sz="4" w:space="0" w:color="auto"/>
              <w:bottom w:val="single" w:sz="4" w:space="0" w:color="auto"/>
              <w:right w:val="single" w:sz="4" w:space="0" w:color="auto"/>
            </w:tcBorders>
            <w:noWrap/>
            <w:vAlign w:val="bottom"/>
            <w:hideMark/>
          </w:tcPr>
          <w:p w14:paraId="73F98193" w14:textId="77777777" w:rsidR="00FE461F" w:rsidRPr="005E4BEA" w:rsidRDefault="00FE461F" w:rsidP="00FE461F">
            <w:pPr>
              <w:spacing w:line="240" w:lineRule="auto"/>
              <w:rPr>
                <w:rFonts w:cs="Arial"/>
                <w:color w:val="767171" w:themeColor="background2" w:themeShade="80"/>
                <w:szCs w:val="20"/>
              </w:rPr>
            </w:pPr>
          </w:p>
        </w:tc>
        <w:tc>
          <w:tcPr>
            <w:tcW w:w="1903" w:type="dxa"/>
            <w:tcBorders>
              <w:top w:val="nil"/>
              <w:left w:val="nil"/>
              <w:bottom w:val="single" w:sz="4" w:space="0" w:color="auto"/>
              <w:right w:val="single" w:sz="4" w:space="0" w:color="auto"/>
            </w:tcBorders>
            <w:noWrap/>
            <w:vAlign w:val="bottom"/>
            <w:hideMark/>
          </w:tcPr>
          <w:p w14:paraId="45ECDD69"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SKUPAJ</w:t>
            </w:r>
          </w:p>
        </w:tc>
        <w:tc>
          <w:tcPr>
            <w:tcW w:w="1380" w:type="dxa"/>
            <w:tcBorders>
              <w:top w:val="nil"/>
              <w:left w:val="nil"/>
              <w:bottom w:val="single" w:sz="4" w:space="0" w:color="auto"/>
              <w:right w:val="single" w:sz="4" w:space="0" w:color="auto"/>
            </w:tcBorders>
            <w:noWrap/>
            <w:vAlign w:val="bottom"/>
            <w:hideMark/>
          </w:tcPr>
          <w:p w14:paraId="2AF6EC79" w14:textId="77777777" w:rsidR="00FE461F" w:rsidRPr="005E4BEA" w:rsidRDefault="00FE461F" w:rsidP="00FE461F">
            <w:pPr>
              <w:spacing w:line="240" w:lineRule="auto"/>
              <w:jc w:val="right"/>
              <w:rPr>
                <w:rFonts w:cs="Arial"/>
                <w:color w:val="767171" w:themeColor="background2" w:themeShade="80"/>
                <w:szCs w:val="20"/>
              </w:rPr>
            </w:pPr>
            <w:r w:rsidRPr="005E4BEA">
              <w:rPr>
                <w:rFonts w:cs="Arial"/>
                <w:color w:val="767171" w:themeColor="background2" w:themeShade="80"/>
                <w:szCs w:val="20"/>
              </w:rPr>
              <w:t>8,94</w:t>
            </w:r>
          </w:p>
        </w:tc>
        <w:tc>
          <w:tcPr>
            <w:tcW w:w="3970" w:type="dxa"/>
            <w:tcBorders>
              <w:top w:val="nil"/>
              <w:left w:val="nil"/>
              <w:bottom w:val="single" w:sz="4" w:space="0" w:color="auto"/>
              <w:right w:val="single" w:sz="4" w:space="0" w:color="auto"/>
            </w:tcBorders>
            <w:noWrap/>
            <w:vAlign w:val="bottom"/>
            <w:hideMark/>
          </w:tcPr>
          <w:p w14:paraId="5DDAA3F0" w14:textId="77777777" w:rsidR="00FE461F" w:rsidRPr="005E4BEA" w:rsidRDefault="00FE461F" w:rsidP="00FE461F">
            <w:pPr>
              <w:spacing w:line="240" w:lineRule="auto"/>
              <w:rPr>
                <w:rFonts w:cs="Arial"/>
                <w:color w:val="767171" w:themeColor="background2" w:themeShade="80"/>
                <w:szCs w:val="20"/>
              </w:rPr>
            </w:pPr>
            <w:r w:rsidRPr="005E4BEA">
              <w:rPr>
                <w:rFonts w:cs="Arial"/>
                <w:color w:val="767171" w:themeColor="background2" w:themeShade="80"/>
                <w:szCs w:val="20"/>
              </w:rPr>
              <w:t> </w:t>
            </w:r>
          </w:p>
        </w:tc>
      </w:tr>
    </w:tbl>
    <w:p w14:paraId="7690DB04" w14:textId="77777777" w:rsidR="00FE461F" w:rsidRPr="005E4BEA" w:rsidRDefault="00FE461F" w:rsidP="00FE461F">
      <w:pPr>
        <w:spacing w:line="240" w:lineRule="auto"/>
        <w:rPr>
          <w:rFonts w:cs="Arial"/>
          <w:bCs/>
          <w:szCs w:val="20"/>
        </w:rPr>
      </w:pPr>
    </w:p>
    <w:p w14:paraId="2E2F2CDA" w14:textId="77777777" w:rsidR="00FE461F" w:rsidRPr="005E4BEA" w:rsidRDefault="00FE461F" w:rsidP="00FE461F">
      <w:pPr>
        <w:spacing w:line="240" w:lineRule="auto"/>
        <w:rPr>
          <w:rFonts w:cs="Arial"/>
          <w:bCs/>
          <w:szCs w:val="20"/>
        </w:rPr>
      </w:pPr>
      <w:r w:rsidRPr="005E4BEA">
        <w:rPr>
          <w:rFonts w:cs="Arial"/>
          <w:bCs/>
          <w:szCs w:val="20"/>
        </w:rPr>
        <w:t>Finančna ocena: 1,44 mio €</w:t>
      </w:r>
    </w:p>
    <w:p w14:paraId="62D87F89" w14:textId="77777777" w:rsidR="00FE461F" w:rsidRPr="005E4BEA" w:rsidRDefault="00FE461F" w:rsidP="00FE461F">
      <w:pPr>
        <w:spacing w:line="240" w:lineRule="auto"/>
        <w:rPr>
          <w:rFonts w:cs="Arial"/>
          <w:b/>
          <w:szCs w:val="20"/>
        </w:rPr>
      </w:pPr>
    </w:p>
    <w:p w14:paraId="26A18A88" w14:textId="77777777" w:rsidR="00FE461F" w:rsidRPr="005E4BEA" w:rsidRDefault="00FE461F" w:rsidP="00FE461F">
      <w:pPr>
        <w:spacing w:line="240" w:lineRule="auto"/>
        <w:rPr>
          <w:rFonts w:cs="Arial"/>
          <w:b/>
          <w:szCs w:val="20"/>
        </w:rPr>
      </w:pPr>
      <w:r w:rsidRPr="005E4BEA">
        <w:rPr>
          <w:rFonts w:cs="Arial"/>
          <w:b/>
          <w:szCs w:val="20"/>
        </w:rPr>
        <w:t>Predlog ZDRZZ</w:t>
      </w:r>
    </w:p>
    <w:p w14:paraId="1E4C3C21" w14:textId="77777777" w:rsidR="00FE461F" w:rsidRPr="005E4BEA" w:rsidRDefault="00FE461F" w:rsidP="00FE461F">
      <w:pPr>
        <w:spacing w:line="240" w:lineRule="auto"/>
        <w:rPr>
          <w:rFonts w:cs="Arial"/>
          <w:b/>
          <w:szCs w:val="20"/>
        </w:rPr>
      </w:pPr>
      <w:r w:rsidRPr="005E4BEA">
        <w:rPr>
          <w:rFonts w:cs="Arial"/>
          <w:b/>
          <w:szCs w:val="20"/>
        </w:rPr>
        <w:t>V 16. členu SD 2022 se v (1) odstavku doda nova 27. točka, ki glasi:</w:t>
      </w:r>
    </w:p>
    <w:p w14:paraId="6DAB84B8" w14:textId="77777777" w:rsidR="00FE461F" w:rsidRPr="005E4BEA" w:rsidRDefault="00FE461F" w:rsidP="00FE461F">
      <w:pPr>
        <w:spacing w:line="240" w:lineRule="auto"/>
        <w:rPr>
          <w:rFonts w:cs="Arial"/>
          <w:bCs/>
          <w:color w:val="000000"/>
          <w:szCs w:val="20"/>
        </w:rPr>
      </w:pPr>
      <w:r w:rsidRPr="005E4BEA">
        <w:rPr>
          <w:rFonts w:cs="Arial"/>
          <w:bCs/>
          <w:color w:val="000000"/>
          <w:szCs w:val="20"/>
        </w:rPr>
        <w:t xml:space="preserve">V dispanzerju za ženske (306 007): krvna skupina , </w:t>
      </w:r>
      <w:proofErr w:type="spellStart"/>
      <w:r w:rsidRPr="005E4BEA">
        <w:rPr>
          <w:rFonts w:cs="Arial"/>
          <w:bCs/>
          <w:color w:val="000000"/>
          <w:szCs w:val="20"/>
        </w:rPr>
        <w:t>RhD</w:t>
      </w:r>
      <w:proofErr w:type="spellEnd"/>
      <w:r w:rsidRPr="005E4BEA">
        <w:rPr>
          <w:rFonts w:cs="Arial"/>
          <w:bCs/>
          <w:color w:val="000000"/>
          <w:szCs w:val="20"/>
        </w:rPr>
        <w:t xml:space="preserve"> faktor, določitev antigena </w:t>
      </w:r>
      <w:proofErr w:type="spellStart"/>
      <w:r w:rsidRPr="005E4BEA">
        <w:rPr>
          <w:rFonts w:cs="Arial"/>
          <w:bCs/>
          <w:color w:val="000000"/>
          <w:szCs w:val="20"/>
        </w:rPr>
        <w:t>Kell</w:t>
      </w:r>
      <w:proofErr w:type="spellEnd"/>
      <w:r w:rsidRPr="005E4BEA">
        <w:rPr>
          <w:rFonts w:cs="Arial"/>
          <w:bCs/>
          <w:color w:val="000000"/>
          <w:szCs w:val="20"/>
        </w:rPr>
        <w:t xml:space="preserve">, test na sifilis (VDRL TEST) test na sifilis (TPPA), obremenilni glukozni tolerančni test, materinska knjižica (z </w:t>
      </w:r>
      <w:proofErr w:type="spellStart"/>
      <w:r w:rsidRPr="005E4BEA">
        <w:rPr>
          <w:rFonts w:cs="Arial"/>
          <w:bCs/>
          <w:color w:val="000000"/>
          <w:szCs w:val="20"/>
        </w:rPr>
        <w:t>ddv</w:t>
      </w:r>
      <w:proofErr w:type="spellEnd"/>
      <w:r w:rsidRPr="005E4BEA">
        <w:rPr>
          <w:rFonts w:cs="Arial"/>
          <w:bCs/>
          <w:color w:val="000000"/>
          <w:szCs w:val="20"/>
        </w:rPr>
        <w:t>)</w:t>
      </w:r>
    </w:p>
    <w:p w14:paraId="680F72AA" w14:textId="77777777" w:rsidR="00FE461F" w:rsidRPr="005E4BEA" w:rsidRDefault="00FE461F" w:rsidP="00FE461F">
      <w:pPr>
        <w:spacing w:line="240" w:lineRule="auto"/>
        <w:rPr>
          <w:rFonts w:cs="Arial"/>
          <w:bCs/>
          <w:color w:val="000000"/>
          <w:szCs w:val="20"/>
        </w:rPr>
      </w:pPr>
    </w:p>
    <w:p w14:paraId="33AECC49" w14:textId="77777777" w:rsidR="00FE461F" w:rsidRPr="005E4BEA" w:rsidRDefault="00FE461F" w:rsidP="00FE461F">
      <w:pPr>
        <w:spacing w:line="240" w:lineRule="auto"/>
        <w:rPr>
          <w:rFonts w:cs="Arial"/>
          <w:bCs/>
          <w:color w:val="000000"/>
          <w:szCs w:val="20"/>
        </w:rPr>
      </w:pPr>
      <w:r w:rsidRPr="005E4BEA">
        <w:rPr>
          <w:rFonts w:cs="Arial"/>
          <w:bCs/>
          <w:color w:val="000000"/>
          <w:szCs w:val="20"/>
        </w:rPr>
        <w:t>V Prilogi I/d se doda naslednja tabela:</w:t>
      </w:r>
    </w:p>
    <w:tbl>
      <w:tblPr>
        <w:tblW w:w="8563" w:type="dxa"/>
        <w:tblCellMar>
          <w:left w:w="70" w:type="dxa"/>
          <w:right w:w="70" w:type="dxa"/>
        </w:tblCellMar>
        <w:tblLook w:val="04A0" w:firstRow="1" w:lastRow="0" w:firstColumn="1" w:lastColumn="0" w:noHBand="0" w:noVBand="1"/>
      </w:tblPr>
      <w:tblGrid>
        <w:gridCol w:w="1141"/>
        <w:gridCol w:w="1351"/>
        <w:gridCol w:w="3018"/>
        <w:gridCol w:w="868"/>
        <w:gridCol w:w="2185"/>
      </w:tblGrid>
      <w:tr w:rsidR="00FE461F" w:rsidRPr="005E4BEA" w14:paraId="5A4FFA76" w14:textId="77777777" w:rsidTr="0016774B">
        <w:trPr>
          <w:trHeight w:val="260"/>
        </w:trPr>
        <w:tc>
          <w:tcPr>
            <w:tcW w:w="1040" w:type="dxa"/>
            <w:tcBorders>
              <w:top w:val="single" w:sz="4" w:space="0" w:color="8497B0"/>
              <w:left w:val="single" w:sz="4" w:space="0" w:color="8497B0"/>
              <w:bottom w:val="nil"/>
              <w:right w:val="single" w:sz="4" w:space="0" w:color="8497B0"/>
            </w:tcBorders>
            <w:noWrap/>
            <w:vAlign w:val="center"/>
            <w:hideMark/>
          </w:tcPr>
          <w:p w14:paraId="53DFCEE8"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16. člen</w:t>
            </w:r>
          </w:p>
        </w:tc>
        <w:tc>
          <w:tcPr>
            <w:tcW w:w="1365" w:type="dxa"/>
            <w:tcBorders>
              <w:top w:val="single" w:sz="4" w:space="0" w:color="8497B0"/>
              <w:left w:val="nil"/>
              <w:bottom w:val="nil"/>
              <w:right w:val="single" w:sz="4" w:space="0" w:color="8497B0"/>
            </w:tcBorders>
            <w:vAlign w:val="center"/>
            <w:hideMark/>
          </w:tcPr>
          <w:p w14:paraId="4C117193"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Šifra po</w:t>
            </w:r>
          </w:p>
        </w:tc>
        <w:tc>
          <w:tcPr>
            <w:tcW w:w="3067" w:type="dxa"/>
            <w:vMerge w:val="restart"/>
            <w:tcBorders>
              <w:top w:val="single" w:sz="4" w:space="0" w:color="8497B0"/>
              <w:left w:val="single" w:sz="4" w:space="0" w:color="8497B0"/>
              <w:bottom w:val="single" w:sz="4" w:space="0" w:color="8497B0"/>
              <w:right w:val="single" w:sz="4" w:space="0" w:color="8497B0"/>
            </w:tcBorders>
            <w:vAlign w:val="center"/>
            <w:hideMark/>
          </w:tcPr>
          <w:p w14:paraId="543EDF54"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Ločeno zaračunljivi materiali in preiskave pri nosečnicah</w:t>
            </w:r>
          </w:p>
        </w:tc>
        <w:tc>
          <w:tcPr>
            <w:tcW w:w="869" w:type="dxa"/>
            <w:tcBorders>
              <w:top w:val="single" w:sz="4" w:space="0" w:color="8497B0"/>
              <w:left w:val="nil"/>
              <w:bottom w:val="nil"/>
              <w:right w:val="nil"/>
            </w:tcBorders>
            <w:vAlign w:val="center"/>
            <w:hideMark/>
          </w:tcPr>
          <w:p w14:paraId="0B0A8BEF"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Merska</w:t>
            </w:r>
          </w:p>
        </w:tc>
        <w:tc>
          <w:tcPr>
            <w:tcW w:w="2222" w:type="dxa"/>
            <w:tcBorders>
              <w:top w:val="single" w:sz="4" w:space="0" w:color="auto"/>
              <w:left w:val="single" w:sz="4" w:space="0" w:color="auto"/>
              <w:bottom w:val="nil"/>
              <w:right w:val="single" w:sz="4" w:space="0" w:color="auto"/>
            </w:tcBorders>
            <w:vAlign w:val="center"/>
            <w:hideMark/>
          </w:tcPr>
          <w:p w14:paraId="2EA71150"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Tekoča cena za</w:t>
            </w:r>
          </w:p>
        </w:tc>
      </w:tr>
      <w:tr w:rsidR="00FE461F" w:rsidRPr="005E4BEA" w14:paraId="64285A1F" w14:textId="77777777" w:rsidTr="0016774B">
        <w:trPr>
          <w:trHeight w:val="260"/>
        </w:trPr>
        <w:tc>
          <w:tcPr>
            <w:tcW w:w="1040" w:type="dxa"/>
            <w:tcBorders>
              <w:top w:val="single" w:sz="4" w:space="0" w:color="auto"/>
              <w:left w:val="single" w:sz="4" w:space="0" w:color="auto"/>
              <w:bottom w:val="single" w:sz="4" w:space="0" w:color="auto"/>
              <w:right w:val="single" w:sz="4" w:space="0" w:color="auto"/>
            </w:tcBorders>
            <w:noWrap/>
            <w:vAlign w:val="center"/>
            <w:hideMark/>
          </w:tcPr>
          <w:p w14:paraId="494856E2"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(odstavek)</w:t>
            </w:r>
          </w:p>
        </w:tc>
        <w:tc>
          <w:tcPr>
            <w:tcW w:w="1365" w:type="dxa"/>
            <w:tcBorders>
              <w:top w:val="single" w:sz="4" w:space="0" w:color="auto"/>
              <w:left w:val="nil"/>
              <w:bottom w:val="single" w:sz="4" w:space="0" w:color="auto"/>
              <w:right w:val="single" w:sz="4" w:space="0" w:color="auto"/>
            </w:tcBorders>
            <w:vAlign w:val="center"/>
            <w:hideMark/>
          </w:tcPr>
          <w:p w14:paraId="773A0A05"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 xml:space="preserve">šifrantu </w:t>
            </w:r>
          </w:p>
        </w:tc>
        <w:tc>
          <w:tcPr>
            <w:tcW w:w="3067" w:type="dxa"/>
            <w:vMerge/>
            <w:tcBorders>
              <w:top w:val="single" w:sz="4" w:space="0" w:color="8497B0"/>
              <w:left w:val="single" w:sz="4" w:space="0" w:color="8497B0"/>
              <w:bottom w:val="single" w:sz="4" w:space="0" w:color="8497B0"/>
              <w:right w:val="single" w:sz="4" w:space="0" w:color="8497B0"/>
            </w:tcBorders>
            <w:vAlign w:val="center"/>
            <w:hideMark/>
          </w:tcPr>
          <w:p w14:paraId="089F4D91" w14:textId="77777777" w:rsidR="00FE461F" w:rsidRPr="005E4BEA" w:rsidRDefault="00FE461F" w:rsidP="00FE461F">
            <w:pPr>
              <w:spacing w:line="240" w:lineRule="auto"/>
              <w:rPr>
                <w:rFonts w:cs="Arial"/>
                <w:b/>
                <w:bCs/>
                <w:color w:val="0033CC"/>
                <w:szCs w:val="20"/>
              </w:rPr>
            </w:pPr>
          </w:p>
        </w:tc>
        <w:tc>
          <w:tcPr>
            <w:tcW w:w="869" w:type="dxa"/>
            <w:tcBorders>
              <w:top w:val="nil"/>
              <w:left w:val="nil"/>
              <w:bottom w:val="nil"/>
              <w:right w:val="nil"/>
            </w:tcBorders>
            <w:vAlign w:val="center"/>
            <w:hideMark/>
          </w:tcPr>
          <w:p w14:paraId="626F6EF1"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enota</w:t>
            </w:r>
          </w:p>
        </w:tc>
        <w:tc>
          <w:tcPr>
            <w:tcW w:w="2222" w:type="dxa"/>
            <w:tcBorders>
              <w:top w:val="nil"/>
              <w:left w:val="single" w:sz="4" w:space="0" w:color="auto"/>
              <w:bottom w:val="nil"/>
              <w:right w:val="single" w:sz="4" w:space="0" w:color="auto"/>
            </w:tcBorders>
            <w:vAlign w:val="center"/>
            <w:hideMark/>
          </w:tcPr>
          <w:p w14:paraId="68000763"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 xml:space="preserve">mersko enoto </w:t>
            </w:r>
          </w:p>
        </w:tc>
      </w:tr>
      <w:tr w:rsidR="00FE461F" w:rsidRPr="005E4BEA" w14:paraId="53BC3734" w14:textId="77777777" w:rsidTr="0016774B">
        <w:trPr>
          <w:trHeight w:val="260"/>
        </w:trPr>
        <w:tc>
          <w:tcPr>
            <w:tcW w:w="1040" w:type="dxa"/>
            <w:tcBorders>
              <w:top w:val="nil"/>
              <w:left w:val="single" w:sz="4" w:space="0" w:color="auto"/>
              <w:bottom w:val="single" w:sz="4" w:space="0" w:color="auto"/>
              <w:right w:val="single" w:sz="4" w:space="0" w:color="auto"/>
            </w:tcBorders>
            <w:noWrap/>
            <w:vAlign w:val="center"/>
            <w:hideMark/>
          </w:tcPr>
          <w:p w14:paraId="7B164C72"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lastRenderedPageBreak/>
              <w:t>točka</w:t>
            </w:r>
          </w:p>
        </w:tc>
        <w:tc>
          <w:tcPr>
            <w:tcW w:w="1365" w:type="dxa"/>
            <w:tcBorders>
              <w:top w:val="nil"/>
              <w:left w:val="nil"/>
              <w:bottom w:val="single" w:sz="4" w:space="0" w:color="auto"/>
              <w:right w:val="single" w:sz="4" w:space="0" w:color="auto"/>
            </w:tcBorders>
            <w:vAlign w:val="center"/>
            <w:hideMark/>
          </w:tcPr>
          <w:p w14:paraId="217FB4EA" w14:textId="77777777" w:rsidR="00FE461F" w:rsidRPr="005E4BEA" w:rsidRDefault="00FE461F" w:rsidP="00FE461F">
            <w:pPr>
              <w:spacing w:line="240" w:lineRule="auto"/>
              <w:jc w:val="center"/>
              <w:rPr>
                <w:rFonts w:cs="Arial"/>
                <w:b/>
                <w:bCs/>
                <w:color w:val="0033CC"/>
                <w:szCs w:val="20"/>
              </w:rPr>
            </w:pPr>
            <w:r w:rsidRPr="005E4BEA">
              <w:rPr>
                <w:rFonts w:cs="Arial"/>
                <w:b/>
                <w:bCs/>
                <w:color w:val="0033CC"/>
                <w:szCs w:val="20"/>
              </w:rPr>
              <w:t> </w:t>
            </w:r>
          </w:p>
        </w:tc>
        <w:tc>
          <w:tcPr>
            <w:tcW w:w="3067" w:type="dxa"/>
            <w:vMerge/>
            <w:tcBorders>
              <w:top w:val="single" w:sz="4" w:space="0" w:color="8497B0"/>
              <w:left w:val="single" w:sz="4" w:space="0" w:color="8497B0"/>
              <w:bottom w:val="single" w:sz="4" w:space="0" w:color="8497B0"/>
              <w:right w:val="single" w:sz="4" w:space="0" w:color="8497B0"/>
            </w:tcBorders>
            <w:vAlign w:val="center"/>
            <w:hideMark/>
          </w:tcPr>
          <w:p w14:paraId="3B4C4675" w14:textId="77777777" w:rsidR="00FE461F" w:rsidRPr="005E4BEA" w:rsidRDefault="00FE461F" w:rsidP="00FE461F">
            <w:pPr>
              <w:spacing w:line="240" w:lineRule="auto"/>
              <w:rPr>
                <w:rFonts w:cs="Arial"/>
                <w:b/>
                <w:bCs/>
                <w:color w:val="0033CC"/>
                <w:szCs w:val="20"/>
              </w:rPr>
            </w:pPr>
          </w:p>
        </w:tc>
        <w:tc>
          <w:tcPr>
            <w:tcW w:w="869" w:type="dxa"/>
            <w:tcBorders>
              <w:top w:val="nil"/>
              <w:left w:val="nil"/>
              <w:bottom w:val="single" w:sz="4" w:space="0" w:color="8497B0"/>
              <w:right w:val="nil"/>
            </w:tcBorders>
            <w:hideMark/>
          </w:tcPr>
          <w:p w14:paraId="7837BAFC" w14:textId="77777777" w:rsidR="00FE461F" w:rsidRPr="005E4BEA" w:rsidRDefault="00FE461F" w:rsidP="00FE461F">
            <w:pPr>
              <w:spacing w:line="240" w:lineRule="auto"/>
              <w:rPr>
                <w:rFonts w:cs="Arial"/>
                <w:color w:val="0033CC"/>
                <w:szCs w:val="20"/>
              </w:rPr>
            </w:pPr>
            <w:r w:rsidRPr="005E4BEA">
              <w:rPr>
                <w:rFonts w:cs="Arial"/>
                <w:color w:val="0033CC"/>
                <w:szCs w:val="20"/>
              </w:rPr>
              <w:t> </w:t>
            </w:r>
          </w:p>
        </w:tc>
        <w:tc>
          <w:tcPr>
            <w:tcW w:w="2222" w:type="dxa"/>
            <w:tcBorders>
              <w:top w:val="nil"/>
              <w:left w:val="single" w:sz="4" w:space="0" w:color="auto"/>
              <w:bottom w:val="single" w:sz="4" w:space="0" w:color="auto"/>
              <w:right w:val="single" w:sz="4" w:space="0" w:color="auto"/>
            </w:tcBorders>
            <w:vAlign w:val="center"/>
            <w:hideMark/>
          </w:tcPr>
          <w:p w14:paraId="0D0D5680" w14:textId="77777777" w:rsidR="00FE461F" w:rsidRPr="005E4BEA" w:rsidRDefault="00FE461F" w:rsidP="00FE461F">
            <w:pPr>
              <w:spacing w:line="240" w:lineRule="auto"/>
              <w:rPr>
                <w:rFonts w:cs="Arial"/>
                <w:b/>
                <w:bCs/>
                <w:color w:val="0033CC"/>
                <w:szCs w:val="20"/>
              </w:rPr>
            </w:pPr>
            <w:r w:rsidRPr="005E4BEA">
              <w:rPr>
                <w:rFonts w:cs="Arial"/>
                <w:b/>
                <w:bCs/>
                <w:color w:val="0033CC"/>
                <w:szCs w:val="20"/>
              </w:rPr>
              <w:t>(v EUR)</w:t>
            </w:r>
          </w:p>
        </w:tc>
      </w:tr>
      <w:tr w:rsidR="00FE461F" w:rsidRPr="005E4BEA" w14:paraId="167C5EC0" w14:textId="77777777" w:rsidTr="0016774B">
        <w:trPr>
          <w:trHeight w:val="260"/>
        </w:trPr>
        <w:tc>
          <w:tcPr>
            <w:tcW w:w="1040" w:type="dxa"/>
            <w:tcBorders>
              <w:top w:val="nil"/>
              <w:left w:val="single" w:sz="4" w:space="0" w:color="auto"/>
              <w:bottom w:val="single" w:sz="4" w:space="0" w:color="auto"/>
              <w:right w:val="single" w:sz="4" w:space="0" w:color="auto"/>
            </w:tcBorders>
            <w:vAlign w:val="center"/>
            <w:hideMark/>
          </w:tcPr>
          <w:p w14:paraId="769EA366" w14:textId="77777777" w:rsidR="00FE461F" w:rsidRPr="005E4BEA" w:rsidRDefault="00FE461F" w:rsidP="00FE461F">
            <w:pPr>
              <w:spacing w:line="240" w:lineRule="auto"/>
              <w:rPr>
                <w:rFonts w:cs="Arial"/>
                <w:color w:val="000000"/>
                <w:szCs w:val="20"/>
              </w:rPr>
            </w:pPr>
            <w:proofErr w:type="spellStart"/>
            <w:r w:rsidRPr="005E4BEA">
              <w:rPr>
                <w:rFonts w:cs="Arial"/>
                <w:color w:val="000000"/>
                <w:szCs w:val="20"/>
              </w:rPr>
              <w:t>xxxx</w:t>
            </w:r>
            <w:proofErr w:type="spellEnd"/>
          </w:p>
        </w:tc>
        <w:tc>
          <w:tcPr>
            <w:tcW w:w="1365" w:type="dxa"/>
            <w:tcBorders>
              <w:top w:val="nil"/>
              <w:left w:val="nil"/>
              <w:bottom w:val="single" w:sz="4" w:space="0" w:color="auto"/>
              <w:right w:val="single" w:sz="4" w:space="0" w:color="auto"/>
            </w:tcBorders>
            <w:vAlign w:val="center"/>
            <w:hideMark/>
          </w:tcPr>
          <w:p w14:paraId="3EEF744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3067" w:type="dxa"/>
            <w:tcBorders>
              <w:top w:val="nil"/>
              <w:left w:val="nil"/>
              <w:bottom w:val="single" w:sz="4" w:space="0" w:color="8497B0"/>
              <w:right w:val="single" w:sz="4" w:space="0" w:color="8497B0"/>
            </w:tcBorders>
            <w:vAlign w:val="center"/>
            <w:hideMark/>
          </w:tcPr>
          <w:p w14:paraId="034C4A6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xml:space="preserve">krvna skupina , </w:t>
            </w:r>
            <w:proofErr w:type="spellStart"/>
            <w:r w:rsidRPr="005E4BEA">
              <w:rPr>
                <w:rFonts w:cs="Arial"/>
                <w:color w:val="000000"/>
                <w:szCs w:val="20"/>
              </w:rPr>
              <w:t>RhD</w:t>
            </w:r>
            <w:proofErr w:type="spellEnd"/>
            <w:r w:rsidRPr="005E4BEA">
              <w:rPr>
                <w:rFonts w:cs="Arial"/>
                <w:color w:val="000000"/>
                <w:szCs w:val="20"/>
              </w:rPr>
              <w:t xml:space="preserve"> faktor </w:t>
            </w:r>
          </w:p>
        </w:tc>
        <w:tc>
          <w:tcPr>
            <w:tcW w:w="869" w:type="dxa"/>
            <w:tcBorders>
              <w:top w:val="nil"/>
              <w:left w:val="nil"/>
              <w:bottom w:val="single" w:sz="4" w:space="0" w:color="8497B0"/>
              <w:right w:val="single" w:sz="4" w:space="0" w:color="8497B0"/>
            </w:tcBorders>
            <w:vAlign w:val="center"/>
            <w:hideMark/>
          </w:tcPr>
          <w:p w14:paraId="20CFAC1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w:t>
            </w:r>
          </w:p>
        </w:tc>
        <w:tc>
          <w:tcPr>
            <w:tcW w:w="2222" w:type="dxa"/>
            <w:tcBorders>
              <w:top w:val="nil"/>
              <w:left w:val="nil"/>
              <w:bottom w:val="single" w:sz="4" w:space="0" w:color="8497B0"/>
              <w:right w:val="single" w:sz="4" w:space="0" w:color="8497B0"/>
            </w:tcBorders>
            <w:vAlign w:val="center"/>
            <w:hideMark/>
          </w:tcPr>
          <w:p w14:paraId="5A08965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9,69</w:t>
            </w:r>
          </w:p>
        </w:tc>
      </w:tr>
      <w:tr w:rsidR="00FE461F" w:rsidRPr="005E4BEA" w14:paraId="167426D2" w14:textId="77777777" w:rsidTr="0016774B">
        <w:trPr>
          <w:trHeight w:val="260"/>
        </w:trPr>
        <w:tc>
          <w:tcPr>
            <w:tcW w:w="1040" w:type="dxa"/>
            <w:tcBorders>
              <w:top w:val="nil"/>
              <w:left w:val="single" w:sz="4" w:space="0" w:color="auto"/>
              <w:bottom w:val="single" w:sz="4" w:space="0" w:color="auto"/>
              <w:right w:val="single" w:sz="4" w:space="0" w:color="auto"/>
            </w:tcBorders>
            <w:vAlign w:val="center"/>
            <w:hideMark/>
          </w:tcPr>
          <w:p w14:paraId="3C4BA8BE"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365" w:type="dxa"/>
            <w:tcBorders>
              <w:top w:val="nil"/>
              <w:left w:val="nil"/>
              <w:bottom w:val="single" w:sz="4" w:space="0" w:color="auto"/>
              <w:right w:val="single" w:sz="4" w:space="0" w:color="auto"/>
            </w:tcBorders>
            <w:vAlign w:val="center"/>
            <w:hideMark/>
          </w:tcPr>
          <w:p w14:paraId="3D955551"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3067" w:type="dxa"/>
            <w:tcBorders>
              <w:top w:val="nil"/>
              <w:left w:val="nil"/>
              <w:bottom w:val="single" w:sz="4" w:space="0" w:color="8497B0"/>
              <w:right w:val="single" w:sz="4" w:space="0" w:color="8497B0"/>
            </w:tcBorders>
            <w:vAlign w:val="center"/>
            <w:hideMark/>
          </w:tcPr>
          <w:p w14:paraId="24F6EB8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xml:space="preserve">določitev antigena </w:t>
            </w:r>
            <w:proofErr w:type="spellStart"/>
            <w:r w:rsidRPr="005E4BEA">
              <w:rPr>
                <w:rFonts w:cs="Arial"/>
                <w:color w:val="000000"/>
                <w:szCs w:val="20"/>
              </w:rPr>
              <w:t>Kell</w:t>
            </w:r>
            <w:proofErr w:type="spellEnd"/>
          </w:p>
        </w:tc>
        <w:tc>
          <w:tcPr>
            <w:tcW w:w="869" w:type="dxa"/>
            <w:tcBorders>
              <w:top w:val="nil"/>
              <w:left w:val="nil"/>
              <w:bottom w:val="single" w:sz="4" w:space="0" w:color="8497B0"/>
              <w:right w:val="single" w:sz="4" w:space="0" w:color="8497B0"/>
            </w:tcBorders>
            <w:vAlign w:val="center"/>
            <w:hideMark/>
          </w:tcPr>
          <w:p w14:paraId="2FB6717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w:t>
            </w:r>
          </w:p>
        </w:tc>
        <w:tc>
          <w:tcPr>
            <w:tcW w:w="2222" w:type="dxa"/>
            <w:tcBorders>
              <w:top w:val="nil"/>
              <w:left w:val="nil"/>
              <w:bottom w:val="single" w:sz="4" w:space="0" w:color="8497B0"/>
              <w:right w:val="single" w:sz="4" w:space="0" w:color="8497B0"/>
            </w:tcBorders>
            <w:vAlign w:val="center"/>
            <w:hideMark/>
          </w:tcPr>
          <w:p w14:paraId="052C7AE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3,24</w:t>
            </w:r>
          </w:p>
        </w:tc>
      </w:tr>
      <w:tr w:rsidR="00FE461F" w:rsidRPr="005E4BEA" w14:paraId="659AE55F" w14:textId="77777777" w:rsidTr="0016774B">
        <w:trPr>
          <w:trHeight w:val="260"/>
        </w:trPr>
        <w:tc>
          <w:tcPr>
            <w:tcW w:w="1040" w:type="dxa"/>
            <w:tcBorders>
              <w:top w:val="nil"/>
              <w:left w:val="single" w:sz="4" w:space="0" w:color="auto"/>
              <w:bottom w:val="single" w:sz="4" w:space="0" w:color="auto"/>
              <w:right w:val="single" w:sz="4" w:space="0" w:color="auto"/>
            </w:tcBorders>
            <w:vAlign w:val="center"/>
            <w:hideMark/>
          </w:tcPr>
          <w:p w14:paraId="01020888"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365" w:type="dxa"/>
            <w:tcBorders>
              <w:top w:val="nil"/>
              <w:left w:val="nil"/>
              <w:bottom w:val="single" w:sz="4" w:space="0" w:color="auto"/>
              <w:right w:val="single" w:sz="4" w:space="0" w:color="auto"/>
            </w:tcBorders>
            <w:vAlign w:val="center"/>
            <w:hideMark/>
          </w:tcPr>
          <w:p w14:paraId="460DEC6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3067" w:type="dxa"/>
            <w:tcBorders>
              <w:top w:val="nil"/>
              <w:left w:val="nil"/>
              <w:bottom w:val="single" w:sz="4" w:space="0" w:color="8497B0"/>
              <w:right w:val="single" w:sz="4" w:space="0" w:color="8497B0"/>
            </w:tcBorders>
            <w:vAlign w:val="center"/>
            <w:hideMark/>
          </w:tcPr>
          <w:p w14:paraId="1F32D83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 na sifilis (VDRL TEST)</w:t>
            </w:r>
          </w:p>
        </w:tc>
        <w:tc>
          <w:tcPr>
            <w:tcW w:w="869" w:type="dxa"/>
            <w:tcBorders>
              <w:top w:val="nil"/>
              <w:left w:val="nil"/>
              <w:bottom w:val="single" w:sz="4" w:space="0" w:color="8497B0"/>
              <w:right w:val="single" w:sz="4" w:space="0" w:color="8497B0"/>
            </w:tcBorders>
            <w:vAlign w:val="center"/>
            <w:hideMark/>
          </w:tcPr>
          <w:p w14:paraId="7C9DFFD5"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w:t>
            </w:r>
          </w:p>
        </w:tc>
        <w:tc>
          <w:tcPr>
            <w:tcW w:w="2222" w:type="dxa"/>
            <w:tcBorders>
              <w:top w:val="nil"/>
              <w:left w:val="nil"/>
              <w:bottom w:val="single" w:sz="4" w:space="0" w:color="8497B0"/>
              <w:right w:val="single" w:sz="4" w:space="0" w:color="8497B0"/>
            </w:tcBorders>
            <w:vAlign w:val="center"/>
            <w:hideMark/>
          </w:tcPr>
          <w:p w14:paraId="546C9B9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4,12</w:t>
            </w:r>
          </w:p>
        </w:tc>
      </w:tr>
      <w:tr w:rsidR="00FE461F" w:rsidRPr="005E4BEA" w14:paraId="1ACB89BB" w14:textId="77777777" w:rsidTr="0016774B">
        <w:trPr>
          <w:trHeight w:val="260"/>
        </w:trPr>
        <w:tc>
          <w:tcPr>
            <w:tcW w:w="1040" w:type="dxa"/>
            <w:tcBorders>
              <w:top w:val="nil"/>
              <w:left w:val="single" w:sz="4" w:space="0" w:color="auto"/>
              <w:bottom w:val="single" w:sz="4" w:space="0" w:color="auto"/>
              <w:right w:val="single" w:sz="4" w:space="0" w:color="auto"/>
            </w:tcBorders>
            <w:vAlign w:val="center"/>
            <w:hideMark/>
          </w:tcPr>
          <w:p w14:paraId="025E59B6"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365" w:type="dxa"/>
            <w:tcBorders>
              <w:top w:val="nil"/>
              <w:left w:val="nil"/>
              <w:bottom w:val="single" w:sz="4" w:space="0" w:color="auto"/>
              <w:right w:val="single" w:sz="4" w:space="0" w:color="auto"/>
            </w:tcBorders>
            <w:vAlign w:val="center"/>
            <w:hideMark/>
          </w:tcPr>
          <w:p w14:paraId="78A459A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3067" w:type="dxa"/>
            <w:tcBorders>
              <w:top w:val="nil"/>
              <w:left w:val="nil"/>
              <w:bottom w:val="single" w:sz="4" w:space="0" w:color="8497B0"/>
              <w:right w:val="single" w:sz="4" w:space="0" w:color="8497B0"/>
            </w:tcBorders>
            <w:vAlign w:val="center"/>
            <w:hideMark/>
          </w:tcPr>
          <w:p w14:paraId="54115BC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 na sifilis (TPPA)</w:t>
            </w:r>
          </w:p>
        </w:tc>
        <w:tc>
          <w:tcPr>
            <w:tcW w:w="869" w:type="dxa"/>
            <w:tcBorders>
              <w:top w:val="nil"/>
              <w:left w:val="nil"/>
              <w:bottom w:val="single" w:sz="4" w:space="0" w:color="8497B0"/>
              <w:right w:val="single" w:sz="4" w:space="0" w:color="8497B0"/>
            </w:tcBorders>
            <w:vAlign w:val="center"/>
            <w:hideMark/>
          </w:tcPr>
          <w:p w14:paraId="38F9C91D"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w:t>
            </w:r>
          </w:p>
        </w:tc>
        <w:tc>
          <w:tcPr>
            <w:tcW w:w="2222" w:type="dxa"/>
            <w:tcBorders>
              <w:top w:val="nil"/>
              <w:left w:val="nil"/>
              <w:bottom w:val="single" w:sz="4" w:space="0" w:color="8497B0"/>
              <w:right w:val="single" w:sz="4" w:space="0" w:color="8497B0"/>
            </w:tcBorders>
            <w:vAlign w:val="center"/>
            <w:hideMark/>
          </w:tcPr>
          <w:p w14:paraId="61A53AB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12,36</w:t>
            </w:r>
          </w:p>
        </w:tc>
      </w:tr>
      <w:tr w:rsidR="00FE461F" w:rsidRPr="005E4BEA" w14:paraId="1A55BDD3" w14:textId="77777777" w:rsidTr="0016774B">
        <w:trPr>
          <w:trHeight w:val="260"/>
        </w:trPr>
        <w:tc>
          <w:tcPr>
            <w:tcW w:w="1040" w:type="dxa"/>
            <w:tcBorders>
              <w:top w:val="nil"/>
              <w:left w:val="single" w:sz="4" w:space="0" w:color="auto"/>
              <w:bottom w:val="single" w:sz="4" w:space="0" w:color="auto"/>
              <w:right w:val="single" w:sz="4" w:space="0" w:color="auto"/>
            </w:tcBorders>
            <w:vAlign w:val="center"/>
            <w:hideMark/>
          </w:tcPr>
          <w:p w14:paraId="0D6F8455" w14:textId="77777777" w:rsidR="00FE461F" w:rsidRPr="005E4BEA" w:rsidRDefault="00FE461F" w:rsidP="00FE461F">
            <w:pPr>
              <w:spacing w:line="240" w:lineRule="auto"/>
              <w:rPr>
                <w:rFonts w:cs="Arial"/>
                <w:color w:val="000000"/>
                <w:szCs w:val="20"/>
              </w:rPr>
            </w:pPr>
            <w:r w:rsidRPr="005E4BEA">
              <w:rPr>
                <w:rFonts w:cs="Arial"/>
                <w:color w:val="000000"/>
                <w:szCs w:val="20"/>
              </w:rPr>
              <w:t> </w:t>
            </w:r>
          </w:p>
        </w:tc>
        <w:tc>
          <w:tcPr>
            <w:tcW w:w="1365" w:type="dxa"/>
            <w:tcBorders>
              <w:top w:val="nil"/>
              <w:left w:val="nil"/>
              <w:bottom w:val="single" w:sz="4" w:space="0" w:color="auto"/>
              <w:right w:val="single" w:sz="4" w:space="0" w:color="auto"/>
            </w:tcBorders>
            <w:vAlign w:val="center"/>
            <w:hideMark/>
          </w:tcPr>
          <w:p w14:paraId="0A34699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 </w:t>
            </w:r>
          </w:p>
        </w:tc>
        <w:tc>
          <w:tcPr>
            <w:tcW w:w="3067" w:type="dxa"/>
            <w:tcBorders>
              <w:top w:val="nil"/>
              <w:left w:val="nil"/>
              <w:bottom w:val="single" w:sz="4" w:space="0" w:color="8497B0"/>
              <w:right w:val="single" w:sz="4" w:space="0" w:color="8497B0"/>
            </w:tcBorders>
            <w:vAlign w:val="center"/>
            <w:hideMark/>
          </w:tcPr>
          <w:p w14:paraId="17C3FFAE"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obremenilni glukozni tolerančni test</w:t>
            </w:r>
          </w:p>
        </w:tc>
        <w:tc>
          <w:tcPr>
            <w:tcW w:w="869" w:type="dxa"/>
            <w:tcBorders>
              <w:top w:val="nil"/>
              <w:left w:val="nil"/>
              <w:bottom w:val="single" w:sz="4" w:space="0" w:color="8497B0"/>
              <w:right w:val="single" w:sz="4" w:space="0" w:color="8497B0"/>
            </w:tcBorders>
            <w:vAlign w:val="center"/>
            <w:hideMark/>
          </w:tcPr>
          <w:p w14:paraId="55347BA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test</w:t>
            </w:r>
          </w:p>
        </w:tc>
        <w:tc>
          <w:tcPr>
            <w:tcW w:w="2222" w:type="dxa"/>
            <w:tcBorders>
              <w:top w:val="nil"/>
              <w:left w:val="nil"/>
              <w:bottom w:val="single" w:sz="4" w:space="0" w:color="8497B0"/>
              <w:right w:val="single" w:sz="4" w:space="0" w:color="8497B0"/>
            </w:tcBorders>
            <w:vAlign w:val="center"/>
            <w:hideMark/>
          </w:tcPr>
          <w:p w14:paraId="5979379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8,477</w:t>
            </w:r>
          </w:p>
        </w:tc>
      </w:tr>
    </w:tbl>
    <w:p w14:paraId="665FFCB3" w14:textId="77777777" w:rsidR="00FE461F" w:rsidRPr="005E4BEA" w:rsidRDefault="00FE461F" w:rsidP="00FE461F">
      <w:pPr>
        <w:spacing w:line="240" w:lineRule="auto"/>
        <w:rPr>
          <w:rFonts w:cs="Arial"/>
          <w:bCs/>
          <w:color w:val="000000"/>
          <w:szCs w:val="20"/>
        </w:rPr>
      </w:pPr>
    </w:p>
    <w:p w14:paraId="0B6E4FF3" w14:textId="77777777" w:rsidR="00FE461F" w:rsidRPr="005E4BEA" w:rsidRDefault="00FE461F" w:rsidP="00FE461F">
      <w:pPr>
        <w:spacing w:line="240" w:lineRule="auto"/>
        <w:rPr>
          <w:rFonts w:cs="Arial"/>
          <w:bCs/>
          <w:szCs w:val="20"/>
        </w:rPr>
      </w:pPr>
      <w:r w:rsidRPr="005E4BEA">
        <w:rPr>
          <w:rFonts w:cs="Arial"/>
          <w:bCs/>
          <w:szCs w:val="20"/>
        </w:rPr>
        <w:t xml:space="preserve">Finančna ocena: 0,9 mio € </w:t>
      </w:r>
    </w:p>
    <w:p w14:paraId="21FDC67D" w14:textId="77777777" w:rsidR="00FE461F" w:rsidRPr="005E4BEA" w:rsidRDefault="00FE461F" w:rsidP="00FE461F">
      <w:pPr>
        <w:spacing w:line="240" w:lineRule="auto"/>
        <w:rPr>
          <w:rFonts w:cs="Arial"/>
          <w:szCs w:val="20"/>
        </w:rPr>
      </w:pPr>
    </w:p>
    <w:p w14:paraId="1FB47F81"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A8C4663" w14:textId="77777777" w:rsidR="00FE461F" w:rsidRPr="005E4BEA" w:rsidRDefault="00FE461F" w:rsidP="00FE461F">
      <w:pPr>
        <w:spacing w:line="240" w:lineRule="auto"/>
        <w:rPr>
          <w:rFonts w:cs="Arial"/>
          <w:i/>
          <w:iCs/>
          <w:color w:val="808080" w:themeColor="background1" w:themeShade="80"/>
          <w:szCs w:val="20"/>
        </w:rPr>
      </w:pPr>
      <w:r w:rsidRPr="005E4BEA">
        <w:rPr>
          <w:rFonts w:cs="Arial"/>
          <w:i/>
          <w:iCs/>
          <w:color w:val="808080" w:themeColor="background1" w:themeShade="80"/>
          <w:szCs w:val="20"/>
        </w:rPr>
        <w:t>Predlagamo, da se pri obravnavi nosečnic kot LZM priznajo zgoraj predlagani testi. Finančna ocena je narejena ob predpostavki, da se vsem nosečnicam (20.000) opravijo predlagani testi.</w:t>
      </w:r>
    </w:p>
    <w:bookmarkEnd w:id="146"/>
    <w:p w14:paraId="04D54A5F" w14:textId="0592D2F7" w:rsidR="006C5068" w:rsidRPr="005E4BEA" w:rsidRDefault="006C5068" w:rsidP="00FE461F">
      <w:pPr>
        <w:spacing w:line="240" w:lineRule="auto"/>
        <w:jc w:val="both"/>
        <w:rPr>
          <w:rFonts w:cs="Arial"/>
          <w:i/>
          <w:iCs/>
          <w:color w:val="808080" w:themeColor="background1" w:themeShade="80"/>
          <w:szCs w:val="20"/>
        </w:rPr>
      </w:pPr>
    </w:p>
    <w:p w14:paraId="29C883A6" w14:textId="77777777" w:rsidR="006C5068" w:rsidRPr="005E4BEA" w:rsidRDefault="006C5068" w:rsidP="006C5068">
      <w:pPr>
        <w:spacing w:line="240" w:lineRule="auto"/>
        <w:jc w:val="both"/>
        <w:rPr>
          <w:rFonts w:cs="Arial"/>
          <w:i/>
          <w:iCs/>
          <w:color w:val="808080" w:themeColor="background1" w:themeShade="80"/>
          <w:szCs w:val="20"/>
        </w:rPr>
      </w:pPr>
    </w:p>
    <w:p w14:paraId="47410B91" w14:textId="77777777" w:rsidR="004256A1" w:rsidRPr="005E4BEA" w:rsidRDefault="004256A1" w:rsidP="004256A1">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s predlogom ne strinja in je pod spornim vprašanjem št. 123 </w:t>
      </w:r>
      <w:proofErr w:type="spellStart"/>
      <w:r w:rsidRPr="005E4BEA">
        <w:rPr>
          <w:rFonts w:eastAsia="Arial Narrow" w:cs="Arial"/>
          <w:szCs w:val="20"/>
        </w:rPr>
        <w:t>predlago</w:t>
      </w:r>
      <w:proofErr w:type="spellEnd"/>
      <w:r w:rsidRPr="005E4BEA">
        <w:rPr>
          <w:rFonts w:eastAsia="Arial Narrow" w:cs="Arial"/>
          <w:szCs w:val="20"/>
        </w:rPr>
        <w:t xml:space="preserve"> svoj predlog na področju dispanzerje za ženske.</w:t>
      </w:r>
    </w:p>
    <w:p w14:paraId="21ABF69B" w14:textId="77777777" w:rsidR="006C5068" w:rsidRPr="005E4BEA" w:rsidRDefault="006C5068" w:rsidP="006C5068">
      <w:pPr>
        <w:spacing w:line="0" w:lineRule="atLeast"/>
        <w:jc w:val="both"/>
        <w:rPr>
          <w:rFonts w:eastAsia="Arial Narrow" w:cs="Arial"/>
          <w:szCs w:val="20"/>
          <w:lang w:eastAsia="sl-SI"/>
        </w:rPr>
      </w:pPr>
    </w:p>
    <w:p w14:paraId="5D204989" w14:textId="0A9F1A69"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48" w:name="_Hlk102479054"/>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16. člen, 24. člen in Priloga III </w:t>
      </w:r>
      <w:r w:rsidRPr="005E4BEA">
        <w:rPr>
          <w:rFonts w:eastAsiaTheme="minorHAnsi" w:cs="Arial"/>
          <w:bCs/>
          <w:szCs w:val="20"/>
        </w:rPr>
        <w:t>Splošnega dogovora ne spremenijo.</w:t>
      </w:r>
    </w:p>
    <w:bookmarkEnd w:id="148"/>
    <w:p w14:paraId="3AB1F392" w14:textId="77777777" w:rsidR="006C5068" w:rsidRPr="005E4BEA" w:rsidRDefault="006C5068" w:rsidP="006C5068">
      <w:pPr>
        <w:spacing w:line="0" w:lineRule="atLeast"/>
        <w:contextualSpacing/>
        <w:jc w:val="both"/>
        <w:rPr>
          <w:rFonts w:eastAsia="Arial Narrow" w:cs="Arial"/>
          <w:bCs/>
          <w:szCs w:val="20"/>
        </w:rPr>
      </w:pPr>
    </w:p>
    <w:p w14:paraId="57DA09F8" w14:textId="77777777" w:rsidR="006C5068" w:rsidRPr="005E4BEA" w:rsidRDefault="006C5068" w:rsidP="006C5068">
      <w:pPr>
        <w:spacing w:line="240" w:lineRule="auto"/>
        <w:jc w:val="both"/>
        <w:rPr>
          <w:rFonts w:cs="Arial"/>
          <w:szCs w:val="20"/>
        </w:rPr>
      </w:pPr>
    </w:p>
    <w:p w14:paraId="62BD5871" w14:textId="6041403C"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(124)</w:t>
      </w:r>
    </w:p>
    <w:p w14:paraId="14F6CFBB" w14:textId="77777777" w:rsidR="006C5068" w:rsidRPr="005E4BEA" w:rsidRDefault="006C5068" w:rsidP="006C5068">
      <w:pPr>
        <w:spacing w:line="240" w:lineRule="auto"/>
        <w:jc w:val="both"/>
        <w:rPr>
          <w:rFonts w:eastAsia="Arial Narrow" w:cs="Arial"/>
          <w:bCs/>
          <w:szCs w:val="20"/>
        </w:rPr>
      </w:pPr>
    </w:p>
    <w:p w14:paraId="5F2FEB80" w14:textId="79784C94" w:rsidR="00FE461F" w:rsidRPr="005E4BEA" w:rsidRDefault="006C5068"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predlaga, da se v</w:t>
      </w:r>
      <w:r w:rsidRPr="005E4BEA">
        <w:rPr>
          <w:rFonts w:cs="Arial"/>
          <w:bCs/>
          <w:szCs w:val="20"/>
        </w:rPr>
        <w:t xml:space="preserve"> Prilogi III/b </w:t>
      </w:r>
      <w:r w:rsidR="00FE461F" w:rsidRPr="005E4BEA">
        <w:rPr>
          <w:rFonts w:cs="Arial"/>
          <w:bCs/>
          <w:szCs w:val="20"/>
        </w:rPr>
        <w:t>v točki 2. Programi s plačilom delnega preseganja plana popravi prva alineja, tako, da glasi:</w:t>
      </w:r>
    </w:p>
    <w:p w14:paraId="4C6A6DC8" w14:textId="77777777" w:rsidR="00FE461F" w:rsidRPr="005E4BEA" w:rsidRDefault="00FE461F" w:rsidP="00F356C9">
      <w:pPr>
        <w:numPr>
          <w:ilvl w:val="0"/>
          <w:numId w:val="28"/>
        </w:numPr>
        <w:spacing w:line="240" w:lineRule="auto"/>
        <w:contextualSpacing/>
        <w:jc w:val="both"/>
        <w:rPr>
          <w:rFonts w:cs="Arial"/>
          <w:iCs/>
          <w:szCs w:val="20"/>
        </w:rPr>
      </w:pPr>
      <w:r w:rsidRPr="005E4BEA">
        <w:rPr>
          <w:rFonts w:cs="Arial"/>
          <w:iCs/>
          <w:szCs w:val="20"/>
        </w:rPr>
        <w:t xml:space="preserve">Zavod plača do 20 % preseganje pogodbenega plana točk v specialistični </w:t>
      </w:r>
      <w:proofErr w:type="spellStart"/>
      <w:r w:rsidRPr="005E4BEA">
        <w:rPr>
          <w:rFonts w:cs="Arial"/>
          <w:iCs/>
          <w:szCs w:val="20"/>
        </w:rPr>
        <w:t>zunajbolnišnični</w:t>
      </w:r>
      <w:proofErr w:type="spellEnd"/>
      <w:r w:rsidRPr="005E4BEA">
        <w:rPr>
          <w:rFonts w:cs="Arial"/>
          <w:iCs/>
          <w:szCs w:val="20"/>
        </w:rPr>
        <w:t xml:space="preserve"> dejavnosti, in sicer v dejavnostih:</w:t>
      </w:r>
    </w:p>
    <w:p w14:paraId="2A027B28" w14:textId="77777777" w:rsidR="00FE461F" w:rsidRPr="005E4BEA" w:rsidRDefault="00FE461F" w:rsidP="00F356C9">
      <w:pPr>
        <w:numPr>
          <w:ilvl w:val="0"/>
          <w:numId w:val="28"/>
        </w:numPr>
        <w:spacing w:line="240" w:lineRule="auto"/>
        <w:contextualSpacing/>
        <w:jc w:val="both"/>
        <w:rPr>
          <w:rFonts w:cs="Arial"/>
          <w:iCs/>
          <w:szCs w:val="20"/>
        </w:rPr>
      </w:pPr>
    </w:p>
    <w:p w14:paraId="3C3B7DC8" w14:textId="77777777" w:rsidR="00FE461F" w:rsidRPr="005E4BEA" w:rsidRDefault="00FE461F" w:rsidP="00FE461F">
      <w:pPr>
        <w:spacing w:line="240" w:lineRule="auto"/>
        <w:jc w:val="both"/>
        <w:rPr>
          <w:rFonts w:cs="Arial"/>
          <w:szCs w:val="20"/>
        </w:rPr>
      </w:pPr>
    </w:p>
    <w:p w14:paraId="515529BD"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B2F077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Zaradi dolgih čakalnih dob na programe specialistično ambulantnih dejavnosti predlagamo, da se pri realizaciji teh dejavnosti prizna plačilo v obsegu do 20% nad preseganjem pogodbenega plana izvajalca. </w:t>
      </w:r>
    </w:p>
    <w:p w14:paraId="663DFE80" w14:textId="20667723"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učinki: 3 do 4 mio €</w:t>
      </w:r>
    </w:p>
    <w:p w14:paraId="15F54D6A" w14:textId="7EA78ADC" w:rsidR="006C5068" w:rsidRPr="005E4BEA" w:rsidRDefault="006C5068" w:rsidP="00FE461F">
      <w:pPr>
        <w:spacing w:line="240" w:lineRule="auto"/>
        <w:jc w:val="both"/>
        <w:rPr>
          <w:rFonts w:cs="Arial"/>
          <w:i/>
          <w:iCs/>
          <w:color w:val="808080" w:themeColor="background1" w:themeShade="80"/>
          <w:szCs w:val="20"/>
        </w:rPr>
      </w:pPr>
    </w:p>
    <w:p w14:paraId="7C871254" w14:textId="77777777" w:rsidR="006C5068" w:rsidRPr="005E4BEA" w:rsidRDefault="006C5068" w:rsidP="00FE461F">
      <w:pPr>
        <w:spacing w:line="240" w:lineRule="auto"/>
        <w:jc w:val="both"/>
        <w:rPr>
          <w:rFonts w:cs="Arial"/>
          <w:i/>
          <w:iCs/>
          <w:color w:val="808080" w:themeColor="background1" w:themeShade="80"/>
          <w:szCs w:val="20"/>
        </w:rPr>
      </w:pPr>
    </w:p>
    <w:p w14:paraId="63BE4ED1" w14:textId="77777777" w:rsidR="006C5068" w:rsidRPr="005E4BEA" w:rsidRDefault="006C5068" w:rsidP="006C506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16E29865" w14:textId="77777777" w:rsidR="006C5068" w:rsidRPr="005E4BEA" w:rsidRDefault="006C5068" w:rsidP="006C5068">
      <w:pPr>
        <w:spacing w:line="0" w:lineRule="atLeast"/>
        <w:jc w:val="both"/>
        <w:rPr>
          <w:rFonts w:eastAsia="Arial Narrow" w:cs="Arial"/>
          <w:szCs w:val="20"/>
          <w:lang w:eastAsia="sl-SI"/>
        </w:rPr>
      </w:pPr>
    </w:p>
    <w:p w14:paraId="0DFD26D2" w14:textId="1D75E294"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III/b </w:t>
      </w:r>
      <w:r w:rsidRPr="005E4BEA">
        <w:rPr>
          <w:rFonts w:eastAsiaTheme="minorHAnsi" w:cs="Arial"/>
          <w:bCs/>
          <w:szCs w:val="20"/>
        </w:rPr>
        <w:t>Splošnega dogovora ne spremeni.</w:t>
      </w:r>
    </w:p>
    <w:p w14:paraId="43C70EBF" w14:textId="77777777" w:rsidR="006C5068" w:rsidRPr="005E4BEA" w:rsidRDefault="006C5068" w:rsidP="006C5068">
      <w:pPr>
        <w:spacing w:line="0" w:lineRule="atLeast"/>
        <w:contextualSpacing/>
        <w:jc w:val="both"/>
        <w:rPr>
          <w:rFonts w:eastAsia="Arial Narrow" w:cs="Arial"/>
          <w:bCs/>
          <w:szCs w:val="20"/>
        </w:rPr>
      </w:pPr>
    </w:p>
    <w:p w14:paraId="468D81AA" w14:textId="77777777" w:rsidR="006C5068" w:rsidRPr="005E4BEA" w:rsidRDefault="006C5068" w:rsidP="006C5068">
      <w:pPr>
        <w:spacing w:line="240" w:lineRule="auto"/>
        <w:jc w:val="both"/>
        <w:rPr>
          <w:rFonts w:cs="Arial"/>
          <w:szCs w:val="20"/>
        </w:rPr>
      </w:pPr>
    </w:p>
    <w:p w14:paraId="3DB42D27" w14:textId="5E49DA81"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(125)</w:t>
      </w:r>
    </w:p>
    <w:p w14:paraId="4434F534" w14:textId="77777777" w:rsidR="006C5068" w:rsidRPr="005E4BEA" w:rsidRDefault="006C5068" w:rsidP="006C5068">
      <w:pPr>
        <w:spacing w:line="240" w:lineRule="auto"/>
        <w:jc w:val="both"/>
        <w:rPr>
          <w:rFonts w:eastAsia="Arial Narrow" w:cs="Arial"/>
          <w:bCs/>
          <w:szCs w:val="20"/>
        </w:rPr>
      </w:pPr>
    </w:p>
    <w:p w14:paraId="0797399F" w14:textId="13B8DAF2" w:rsidR="00FE461F" w:rsidRPr="005E4BEA" w:rsidRDefault="006C5068"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predlaga, da se v</w:t>
      </w:r>
      <w:r w:rsidRPr="005E4BEA">
        <w:rPr>
          <w:rFonts w:cs="Arial"/>
          <w:bCs/>
          <w:szCs w:val="20"/>
        </w:rPr>
        <w:t xml:space="preserve"> Prilogi III/b v </w:t>
      </w:r>
      <w:r w:rsidR="00FE461F" w:rsidRPr="005E4BEA">
        <w:rPr>
          <w:rFonts w:cs="Arial"/>
          <w:bCs/>
          <w:szCs w:val="20"/>
        </w:rPr>
        <w:t xml:space="preserve">točki 4. Dermatologija 3. stavek se spremeni tako, da se glasi: </w:t>
      </w:r>
    </w:p>
    <w:p w14:paraId="4F8A2BC1" w14:textId="77777777" w:rsidR="00FE461F" w:rsidRPr="005E4BEA" w:rsidRDefault="00FE461F" w:rsidP="00FE461F">
      <w:pPr>
        <w:spacing w:line="240" w:lineRule="auto"/>
        <w:jc w:val="both"/>
        <w:rPr>
          <w:rFonts w:cs="Arial"/>
          <w:iCs/>
          <w:szCs w:val="20"/>
        </w:rPr>
      </w:pPr>
      <w:r w:rsidRPr="005E4BEA">
        <w:rPr>
          <w:rFonts w:cs="Arial"/>
          <w:iCs/>
          <w:szCs w:val="20"/>
        </w:rPr>
        <w:t>»Če izvajalec ne izpolni obeh pogojev, se priznana vrednost realiziranega programa izvajalca izračuna na podlagi števila realiziranih storitev in cen storitev, ki so določene v Prilogi I/b. Izvajalcu se prizna realizirana vrednost programa, vendar največ do pogodbene vrednosti.«</w:t>
      </w:r>
    </w:p>
    <w:p w14:paraId="02BD5E4A"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III/b se v točki 5. Revmatologija točka b) spremeni tako, da se glasi: </w:t>
      </w:r>
    </w:p>
    <w:p w14:paraId="35D6E1D3" w14:textId="77777777" w:rsidR="00FE461F" w:rsidRPr="005E4BEA" w:rsidRDefault="00FE461F" w:rsidP="00FE461F">
      <w:pPr>
        <w:spacing w:line="240" w:lineRule="auto"/>
        <w:jc w:val="both"/>
        <w:rPr>
          <w:rFonts w:cs="Arial"/>
          <w:iCs/>
          <w:szCs w:val="20"/>
        </w:rPr>
      </w:pPr>
      <w:r w:rsidRPr="005E4BEA">
        <w:rPr>
          <w:rFonts w:cs="Arial"/>
          <w:iCs/>
          <w:szCs w:val="20"/>
        </w:rPr>
        <w:t>»b.) V nasprotnem primeru se izvajalcu prizna realizirana vrednost programa, vendar največ do pogodbene vrednosti. Vrednost realiziranega programa se izračuna na podlagi števila realiziranih storitev in cen storitev, ki so določene v Prilogi I/b.«.</w:t>
      </w:r>
    </w:p>
    <w:p w14:paraId="0FA22430" w14:textId="77777777" w:rsidR="00FE461F" w:rsidRPr="005E4BEA" w:rsidRDefault="00FE461F" w:rsidP="00FE461F">
      <w:pPr>
        <w:spacing w:line="240" w:lineRule="auto"/>
        <w:jc w:val="both"/>
        <w:rPr>
          <w:rFonts w:cs="Arial"/>
          <w:iCs/>
          <w:szCs w:val="20"/>
        </w:rPr>
      </w:pPr>
    </w:p>
    <w:p w14:paraId="5A53095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E997E5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Gre za program, ki ima nov obračunski sistem in na novo določene storitve s cenami. Tako so storitve, ki jih pacienti potrebujejo in jih izvajalci opravijo, ustrezno vrednotene. Izvajalci si prizadevajo doseči realizacijo vsaj v pogodbeno dogovorjeni višini. V primeru nižje realizacije programa pa je dodatno zniževanje plačila programa nesprejemljivo. Pacienti plačajo zdravstveno zavarovanje, izvajalci opravijo storitev, ki je znotraj dogovorjene pogodbene vrednosti, zavarovalnica pa te storitve ne plača.</w:t>
      </w:r>
    </w:p>
    <w:p w14:paraId="219154A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Obstoječi obračunski model vsebuje elemente kaznovanja v situacijah, na katere izvajalci nimajo vpliva, saj ne morejo vplivati na cenovno strukturo storitev, ki jih pacienti potrebujejo. Podobne elemente kaznovanja je vseboval v začetku tudi model MR in CT, kar pa se je kmalu ukinilo. </w:t>
      </w:r>
    </w:p>
    <w:p w14:paraId="5F698493" w14:textId="77777777" w:rsidR="00FE461F" w:rsidRPr="005E4BEA" w:rsidRDefault="00FE461F" w:rsidP="00FE461F">
      <w:pPr>
        <w:spacing w:line="240" w:lineRule="auto"/>
        <w:jc w:val="both"/>
        <w:rPr>
          <w:rFonts w:cs="Arial"/>
          <w:i/>
          <w:iCs/>
          <w:color w:val="808080" w:themeColor="background1" w:themeShade="80"/>
          <w:szCs w:val="20"/>
        </w:rPr>
      </w:pPr>
    </w:p>
    <w:p w14:paraId="6E0FE98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 ( v okviru pogodbenih sredstev)</w:t>
      </w:r>
    </w:p>
    <w:p w14:paraId="737F7A25" w14:textId="77777777" w:rsidR="00FE461F" w:rsidRPr="005E4BEA" w:rsidRDefault="00FE461F" w:rsidP="00FE461F">
      <w:pPr>
        <w:spacing w:line="240" w:lineRule="auto"/>
        <w:jc w:val="both"/>
        <w:rPr>
          <w:rFonts w:cs="Arial"/>
          <w:i/>
          <w:iCs/>
          <w:color w:val="808080" w:themeColor="background1" w:themeShade="80"/>
          <w:szCs w:val="20"/>
        </w:rPr>
      </w:pPr>
    </w:p>
    <w:p w14:paraId="7C7DD8FF" w14:textId="5FAD7063" w:rsidR="00FE461F" w:rsidRPr="005E4BEA" w:rsidRDefault="00FE461F" w:rsidP="00FE461F">
      <w:pPr>
        <w:spacing w:line="240" w:lineRule="auto"/>
        <w:jc w:val="both"/>
        <w:rPr>
          <w:rFonts w:cs="Arial"/>
          <w:i/>
          <w:iCs/>
          <w:color w:val="808080" w:themeColor="background1" w:themeShade="80"/>
          <w:szCs w:val="20"/>
        </w:rPr>
      </w:pPr>
    </w:p>
    <w:p w14:paraId="7E1D6A4A" w14:textId="77777777" w:rsidR="006C5068" w:rsidRPr="005E4BEA" w:rsidRDefault="006C5068" w:rsidP="006C506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98391BE" w14:textId="77777777" w:rsidR="006C5068" w:rsidRPr="005E4BEA" w:rsidRDefault="006C5068" w:rsidP="006C5068">
      <w:pPr>
        <w:spacing w:line="0" w:lineRule="atLeast"/>
        <w:jc w:val="both"/>
        <w:rPr>
          <w:rFonts w:eastAsia="Arial Narrow" w:cs="Arial"/>
          <w:szCs w:val="20"/>
          <w:lang w:eastAsia="sl-SI"/>
        </w:rPr>
      </w:pPr>
    </w:p>
    <w:p w14:paraId="577AFF69" w14:textId="77777777"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III/b </w:t>
      </w:r>
      <w:r w:rsidRPr="005E4BEA">
        <w:rPr>
          <w:rFonts w:eastAsiaTheme="minorHAnsi" w:cs="Arial"/>
          <w:bCs/>
          <w:szCs w:val="20"/>
        </w:rPr>
        <w:t>Splošnega dogovora ne spremeni.</w:t>
      </w:r>
    </w:p>
    <w:p w14:paraId="24A553BC" w14:textId="77777777" w:rsidR="006C5068" w:rsidRPr="005E4BEA" w:rsidRDefault="006C5068" w:rsidP="006C5068">
      <w:pPr>
        <w:spacing w:line="0" w:lineRule="atLeast"/>
        <w:contextualSpacing/>
        <w:jc w:val="both"/>
        <w:rPr>
          <w:rFonts w:eastAsia="Arial Narrow" w:cs="Arial"/>
          <w:bCs/>
          <w:szCs w:val="20"/>
        </w:rPr>
      </w:pPr>
    </w:p>
    <w:p w14:paraId="758A1F0C" w14:textId="77777777" w:rsidR="006C5068" w:rsidRPr="005E4BEA" w:rsidRDefault="006C5068" w:rsidP="006C5068">
      <w:pPr>
        <w:spacing w:line="240" w:lineRule="auto"/>
        <w:jc w:val="both"/>
        <w:rPr>
          <w:rFonts w:cs="Arial"/>
          <w:szCs w:val="20"/>
        </w:rPr>
      </w:pPr>
    </w:p>
    <w:p w14:paraId="4ED601B3" w14:textId="22A8E030"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(126)</w:t>
      </w:r>
    </w:p>
    <w:p w14:paraId="030C1110" w14:textId="77777777" w:rsidR="006C5068" w:rsidRPr="005E4BEA" w:rsidRDefault="006C5068" w:rsidP="006C5068">
      <w:pPr>
        <w:spacing w:line="240" w:lineRule="auto"/>
        <w:jc w:val="both"/>
        <w:rPr>
          <w:rFonts w:eastAsia="Arial Narrow" w:cs="Arial"/>
          <w:bCs/>
          <w:szCs w:val="20"/>
        </w:rPr>
      </w:pPr>
    </w:p>
    <w:p w14:paraId="3D024DA0" w14:textId="2B5E795F" w:rsidR="00FE461F" w:rsidRPr="005E4BEA" w:rsidRDefault="006C5068"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predlaga, da se v</w:t>
      </w:r>
      <w:r w:rsidRPr="005E4BEA">
        <w:rPr>
          <w:rFonts w:cs="Arial"/>
          <w:bCs/>
          <w:szCs w:val="20"/>
        </w:rPr>
        <w:t xml:space="preserve"> Prilogi III/b </w:t>
      </w:r>
      <w:r w:rsidR="00FE461F" w:rsidRPr="005E4BEA">
        <w:rPr>
          <w:rFonts w:cs="Arial"/>
          <w:bCs/>
          <w:szCs w:val="20"/>
        </w:rPr>
        <w:t>za točko 5. doda nova 6. točka, ki se glasi:</w:t>
      </w:r>
    </w:p>
    <w:p w14:paraId="1C68BE6E" w14:textId="77777777" w:rsidR="00FE461F" w:rsidRPr="005E4BEA" w:rsidRDefault="00FE461F" w:rsidP="00FE461F">
      <w:pPr>
        <w:spacing w:line="240" w:lineRule="auto"/>
        <w:jc w:val="both"/>
        <w:rPr>
          <w:rFonts w:cs="Arial"/>
          <w:iCs/>
          <w:szCs w:val="20"/>
        </w:rPr>
      </w:pPr>
      <w:r w:rsidRPr="005E4BEA">
        <w:rPr>
          <w:rFonts w:cs="Arial"/>
          <w:iCs/>
          <w:szCs w:val="20"/>
        </w:rPr>
        <w:t>»6. UC – enota za poškodbe in enota za bolezni</w:t>
      </w:r>
    </w:p>
    <w:p w14:paraId="795E4A7D" w14:textId="77777777" w:rsidR="00FE461F" w:rsidRPr="005E4BEA" w:rsidRDefault="00FE461F" w:rsidP="00FE461F">
      <w:pPr>
        <w:spacing w:line="240" w:lineRule="auto"/>
        <w:jc w:val="both"/>
        <w:rPr>
          <w:rFonts w:cs="Arial"/>
          <w:iCs/>
          <w:szCs w:val="20"/>
        </w:rPr>
      </w:pPr>
      <w:r w:rsidRPr="005E4BEA">
        <w:rPr>
          <w:rFonts w:cs="Arial"/>
          <w:iCs/>
          <w:szCs w:val="20"/>
        </w:rPr>
        <w:t>(1) Bolnišnice prejmejo najmanj vsa načrtovana finančna sredstva za UC – enota za bolezni in UC – enota za poškodbe, v primeru preseganja plana storitev pa je plačana realizacija storitev.«.</w:t>
      </w:r>
    </w:p>
    <w:p w14:paraId="315C9705" w14:textId="77777777" w:rsidR="00FE461F" w:rsidRPr="005E4BEA" w:rsidRDefault="00FE461F" w:rsidP="00FE461F">
      <w:pPr>
        <w:spacing w:line="240" w:lineRule="auto"/>
        <w:jc w:val="both"/>
        <w:rPr>
          <w:rFonts w:cs="Arial"/>
          <w:iCs/>
          <w:szCs w:val="20"/>
        </w:rPr>
      </w:pPr>
      <w:r w:rsidRPr="005E4BEA">
        <w:rPr>
          <w:rFonts w:cs="Arial"/>
          <w:iCs/>
          <w:szCs w:val="20"/>
        </w:rPr>
        <w:t>Ostale točke se preštevilčijo.</w:t>
      </w:r>
    </w:p>
    <w:p w14:paraId="481A6D2A" w14:textId="77777777" w:rsidR="00FE461F" w:rsidRPr="005E4BEA" w:rsidRDefault="00FE461F" w:rsidP="00FE461F">
      <w:pPr>
        <w:spacing w:line="240" w:lineRule="auto"/>
        <w:jc w:val="both"/>
        <w:rPr>
          <w:rFonts w:cs="Arial"/>
          <w:iCs/>
          <w:szCs w:val="20"/>
        </w:rPr>
      </w:pPr>
    </w:p>
    <w:p w14:paraId="38DAAFA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890CFB7"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Urgentni centri morajo delovati 24 ur dnevno 365 dni v letu. Zato jim financiranje ne glede na dejanski obseg storitev mora najprej pokriti fiksne stroške. V primeru povečanega obsega dela zaradi večjega števila pacientov pa mora financiranje pokriti dodatne stroške nastale zaradi obravnave večjega števila pacientov.</w:t>
      </w:r>
    </w:p>
    <w:p w14:paraId="267D6E9B"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Podatki Analize STANJA URGENTNIH CENTROV v letih 2019, 2020,2021, ki jo je opravilo Združenje in je bila posredovana MZ in ZZZS so pokazali in potrdili predlog Združenja, da trenuten obseg programa, ki je bil določen in planiran v letu 2019 za Enot za bolezni in Enot za poškodbene ne zadošča več potrebam prebivalstva oziroma trenutnim razmeram.  Glede na realizacijo 2019, kjer so izvajalci že presegali oba plana Enot za bolezni in Enot za poškodbe in ob predvidevanju, da se bodo epidemiološke  razmere umirile, lahko ponovno pričakujemo že v letu 2022, da bo indeks preseganja obeh enot nad planiranim (nad 100 odstotkov). Ravno tako  kažejo podatki ZZZS o številu obiskov v obeh enotah,  da je v letu 2021 število obiskov naraslo za 5.461 glede na leto 2018. V letu 2021 so že štiri bolnišnice od desetih, presegale  pogodbeni plan obeh enot, kar pomeni, da ni bilo možno prelivanje in niso prejele plačila realizacije storitev nad planom. </w:t>
      </w:r>
    </w:p>
    <w:p w14:paraId="350902F5"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Glede na realizacije v preteklih letih ocenjujemo, da bi, v kolikor se sprejme predlog Združenja, da se Enote za bolezni in Enote za poškodbe plačajo v pavšalu s do plana s 20% preseganjem je ocena dodatnih finančnih sredstev na letni ravni cca 5.6 mio € iz PZZ in OZZ. </w:t>
      </w:r>
    </w:p>
    <w:p w14:paraId="35C331E5" w14:textId="1EB2AA19" w:rsidR="00FE461F" w:rsidRPr="005E4BEA" w:rsidRDefault="00FE461F" w:rsidP="00FE461F">
      <w:pPr>
        <w:spacing w:line="240" w:lineRule="auto"/>
        <w:jc w:val="both"/>
        <w:rPr>
          <w:rFonts w:cs="Arial"/>
          <w:i/>
          <w:iCs/>
          <w:color w:val="767171"/>
          <w:szCs w:val="20"/>
        </w:rPr>
      </w:pPr>
    </w:p>
    <w:p w14:paraId="47344F02" w14:textId="3CC7D5F8" w:rsidR="006C5068" w:rsidRPr="005E4BEA" w:rsidRDefault="006C5068" w:rsidP="00FE461F">
      <w:pPr>
        <w:spacing w:line="240" w:lineRule="auto"/>
        <w:jc w:val="both"/>
        <w:rPr>
          <w:rFonts w:cs="Arial"/>
          <w:i/>
          <w:iCs/>
          <w:color w:val="767171"/>
          <w:szCs w:val="20"/>
        </w:rPr>
      </w:pPr>
    </w:p>
    <w:p w14:paraId="02D4D254" w14:textId="4FFF4F8F" w:rsidR="004256A1" w:rsidRPr="005E4BEA" w:rsidRDefault="006C5068" w:rsidP="006C506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r w:rsidR="004256A1" w:rsidRPr="005E4BEA">
        <w:rPr>
          <w:rFonts w:eastAsia="Arial Narrow" w:cs="Arial"/>
          <w:szCs w:val="20"/>
        </w:rPr>
        <w:t xml:space="preserve"> in je za to vsebino predlagalo svojo rešitev v okviru 122 spornega vprašanja.</w:t>
      </w:r>
    </w:p>
    <w:p w14:paraId="2841B9B3" w14:textId="77777777" w:rsidR="006C5068" w:rsidRPr="005E4BEA" w:rsidRDefault="006C5068" w:rsidP="006C5068">
      <w:pPr>
        <w:spacing w:line="0" w:lineRule="atLeast"/>
        <w:jc w:val="both"/>
        <w:rPr>
          <w:rFonts w:eastAsia="Arial Narrow" w:cs="Arial"/>
          <w:szCs w:val="20"/>
          <w:lang w:eastAsia="sl-SI"/>
        </w:rPr>
      </w:pPr>
    </w:p>
    <w:p w14:paraId="7C7DE35D" w14:textId="77777777"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III/b </w:t>
      </w:r>
      <w:r w:rsidRPr="005E4BEA">
        <w:rPr>
          <w:rFonts w:eastAsiaTheme="minorHAnsi" w:cs="Arial"/>
          <w:bCs/>
          <w:szCs w:val="20"/>
        </w:rPr>
        <w:t>Splošnega dogovora ne spremeni.</w:t>
      </w:r>
    </w:p>
    <w:p w14:paraId="048850BD" w14:textId="7A8FE067" w:rsidR="006C5068" w:rsidRDefault="006C5068" w:rsidP="006C5068">
      <w:pPr>
        <w:spacing w:line="0" w:lineRule="atLeast"/>
        <w:contextualSpacing/>
        <w:jc w:val="both"/>
        <w:rPr>
          <w:rFonts w:eastAsia="Arial Narrow" w:cs="Arial"/>
          <w:bCs/>
          <w:szCs w:val="20"/>
        </w:rPr>
      </w:pPr>
    </w:p>
    <w:p w14:paraId="7CA0C6C6" w14:textId="77777777" w:rsidR="00E82B4D" w:rsidRPr="005E4BEA" w:rsidRDefault="00E82B4D" w:rsidP="006C5068">
      <w:pPr>
        <w:spacing w:line="0" w:lineRule="atLeast"/>
        <w:contextualSpacing/>
        <w:jc w:val="both"/>
        <w:rPr>
          <w:rFonts w:eastAsia="Arial Narrow" w:cs="Arial"/>
          <w:bCs/>
          <w:szCs w:val="20"/>
        </w:rPr>
      </w:pPr>
    </w:p>
    <w:p w14:paraId="7C8E1023" w14:textId="77777777" w:rsidR="006C5068" w:rsidRPr="005E4BEA" w:rsidRDefault="006C5068" w:rsidP="006C5068">
      <w:pPr>
        <w:spacing w:line="240" w:lineRule="auto"/>
        <w:jc w:val="both"/>
        <w:rPr>
          <w:rFonts w:cs="Arial"/>
          <w:szCs w:val="20"/>
        </w:rPr>
      </w:pPr>
    </w:p>
    <w:p w14:paraId="710E18BB" w14:textId="1BD1091A" w:rsidR="006C5068" w:rsidRPr="005E4BEA" w:rsidRDefault="006C5068" w:rsidP="00F356C9">
      <w:pPr>
        <w:pStyle w:val="Naslov2"/>
        <w:numPr>
          <w:ilvl w:val="0"/>
          <w:numId w:val="79"/>
        </w:numPr>
        <w:shd w:val="clear" w:color="auto" w:fill="FFFFFF" w:themeFill="background1"/>
        <w:ind w:left="0" w:firstLine="0"/>
        <w:rPr>
          <w:rFonts w:ascii="Arial" w:eastAsia="Arial Narrow" w:hAnsi="Arial" w:cs="Arial"/>
          <w:sz w:val="20"/>
        </w:rPr>
      </w:pPr>
      <w:bookmarkStart w:id="149" w:name="_Hlk102030619"/>
      <w:bookmarkStart w:id="150" w:name="_Hlk102719807"/>
      <w:r w:rsidRPr="005E4BEA">
        <w:rPr>
          <w:rFonts w:ascii="Arial" w:eastAsia="Arial Narrow" w:hAnsi="Arial" w:cs="Arial"/>
          <w:sz w:val="20"/>
        </w:rPr>
        <w:lastRenderedPageBreak/>
        <w:t>SPORNO VPRAŠANJE (127)</w:t>
      </w:r>
    </w:p>
    <w:p w14:paraId="44D7AE40" w14:textId="77777777" w:rsidR="006C5068" w:rsidRPr="005E4BEA" w:rsidRDefault="006C5068" w:rsidP="006C5068">
      <w:pPr>
        <w:spacing w:line="240" w:lineRule="auto"/>
        <w:jc w:val="both"/>
        <w:rPr>
          <w:rFonts w:eastAsia="Arial Narrow" w:cs="Arial"/>
          <w:bCs/>
          <w:szCs w:val="20"/>
        </w:rPr>
      </w:pPr>
    </w:p>
    <w:p w14:paraId="17E9D748" w14:textId="2363802F" w:rsidR="00FE461F" w:rsidRPr="005E4BEA" w:rsidRDefault="006C5068"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predlaga, da se v</w:t>
      </w:r>
      <w:r w:rsidRPr="005E4BEA">
        <w:rPr>
          <w:rFonts w:cs="Arial"/>
          <w:bCs/>
          <w:szCs w:val="20"/>
        </w:rPr>
        <w:t xml:space="preserve"> Prilogi III/b za </w:t>
      </w:r>
      <w:r w:rsidR="00FE461F" w:rsidRPr="005E4BEA">
        <w:rPr>
          <w:rFonts w:cs="Arial"/>
          <w:bCs/>
          <w:szCs w:val="20"/>
        </w:rPr>
        <w:t>8. točko doda nova točka:</w:t>
      </w:r>
    </w:p>
    <w:p w14:paraId="00F4A3BA" w14:textId="77777777" w:rsidR="00FE461F" w:rsidRPr="005E4BEA" w:rsidRDefault="00FE461F" w:rsidP="00FE461F">
      <w:pPr>
        <w:spacing w:line="240" w:lineRule="auto"/>
        <w:jc w:val="both"/>
        <w:rPr>
          <w:rFonts w:cs="Arial"/>
          <w:iCs/>
          <w:szCs w:val="20"/>
        </w:rPr>
      </w:pPr>
      <w:r w:rsidRPr="005E4BEA">
        <w:rPr>
          <w:rFonts w:cs="Arial"/>
          <w:iCs/>
          <w:szCs w:val="20"/>
        </w:rPr>
        <w:t>Priznana vrednost realiziranega programa se v končnem letnem obračunu, ki se izvaja za obdobje koledarskega leta opredeli na naslednji način:</w:t>
      </w:r>
    </w:p>
    <w:p w14:paraId="4439BD62" w14:textId="77777777" w:rsidR="00FE461F" w:rsidRPr="005E4BEA" w:rsidRDefault="00FE461F" w:rsidP="00F356C9">
      <w:pPr>
        <w:numPr>
          <w:ilvl w:val="0"/>
          <w:numId w:val="28"/>
        </w:numPr>
        <w:spacing w:line="240" w:lineRule="auto"/>
        <w:contextualSpacing/>
        <w:jc w:val="both"/>
        <w:rPr>
          <w:rFonts w:cs="Arial"/>
          <w:iCs/>
          <w:szCs w:val="20"/>
        </w:rPr>
      </w:pPr>
      <w:r w:rsidRPr="005E4BEA">
        <w:rPr>
          <w:rFonts w:cs="Arial"/>
          <w:iCs/>
          <w:szCs w:val="20"/>
        </w:rPr>
        <w:t xml:space="preserve">Če izvajalec ne realizira skupnega načrtovanega števila točk, se izvajalcu prizna celotna pogodbena vrednost programa oziroma sredstva </w:t>
      </w:r>
      <w:proofErr w:type="spellStart"/>
      <w:r w:rsidRPr="005E4BEA">
        <w:rPr>
          <w:rFonts w:cs="Arial"/>
          <w:iCs/>
          <w:szCs w:val="20"/>
        </w:rPr>
        <w:t>internistike</w:t>
      </w:r>
      <w:proofErr w:type="spellEnd"/>
      <w:r w:rsidRPr="005E4BEA">
        <w:rPr>
          <w:rFonts w:cs="Arial"/>
          <w:iCs/>
          <w:szCs w:val="20"/>
        </w:rPr>
        <w:t xml:space="preserve"> – urgentne ambulante bo Zavod, izvajalcu plačeval v pavšalu. Izvajalci pripravijo pisno poročilo o opravljenem delu.</w:t>
      </w:r>
    </w:p>
    <w:p w14:paraId="762335E3" w14:textId="77777777" w:rsidR="00FE461F" w:rsidRPr="005E4BEA" w:rsidRDefault="00FE461F" w:rsidP="00F356C9">
      <w:pPr>
        <w:numPr>
          <w:ilvl w:val="0"/>
          <w:numId w:val="28"/>
        </w:numPr>
        <w:spacing w:line="240" w:lineRule="auto"/>
        <w:contextualSpacing/>
        <w:jc w:val="both"/>
        <w:rPr>
          <w:rFonts w:cs="Arial"/>
          <w:iCs/>
          <w:szCs w:val="20"/>
        </w:rPr>
      </w:pPr>
      <w:r w:rsidRPr="005E4BEA">
        <w:rPr>
          <w:rFonts w:cs="Arial"/>
          <w:iCs/>
          <w:szCs w:val="20"/>
        </w:rPr>
        <w:t>Če izvajalec realizira oziroma preseže skupno načrtovano število točk, se izvajalcu prizna realizirana vrednost programa.</w:t>
      </w:r>
    </w:p>
    <w:p w14:paraId="3FD7303D" w14:textId="77777777" w:rsidR="00FE461F" w:rsidRPr="005E4BEA" w:rsidRDefault="00FE461F" w:rsidP="00FE461F">
      <w:pPr>
        <w:spacing w:line="240" w:lineRule="auto"/>
        <w:jc w:val="both"/>
        <w:rPr>
          <w:rFonts w:cs="Arial"/>
          <w:szCs w:val="20"/>
        </w:rPr>
      </w:pPr>
    </w:p>
    <w:p w14:paraId="3D6267DB" w14:textId="77777777" w:rsidR="00FE461F" w:rsidRPr="005E4BEA" w:rsidRDefault="00FE461F" w:rsidP="00FE461F">
      <w:pPr>
        <w:spacing w:line="240" w:lineRule="auto"/>
        <w:jc w:val="both"/>
        <w:rPr>
          <w:rFonts w:eastAsia="MS Mincho" w:cs="Arial"/>
          <w:b/>
          <w:bCs/>
          <w:i/>
          <w:iCs/>
          <w:color w:val="808080" w:themeColor="background1" w:themeShade="80"/>
          <w:szCs w:val="20"/>
          <w:u w:val="single"/>
        </w:rPr>
      </w:pPr>
      <w:r w:rsidRPr="005E4BEA">
        <w:rPr>
          <w:rFonts w:eastAsia="MS Mincho" w:cs="Arial"/>
          <w:b/>
          <w:bCs/>
          <w:i/>
          <w:iCs/>
          <w:color w:val="808080" w:themeColor="background1" w:themeShade="80"/>
          <w:szCs w:val="20"/>
          <w:u w:val="single"/>
        </w:rPr>
        <w:t>Obrazložitev:</w:t>
      </w:r>
    </w:p>
    <w:p w14:paraId="0337124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Neprekinjeno urgentno oskrbo vseh nujnih pacientov Bolnišnica Topolšica zagotavlja z urgentno ambulanto, urgentni center v okviru bolnišnice ne deluje. Urgentna ambulanta je tako edina ambulanta, ki zagotavlja 24 urno zdravstveno varstvo. Pri tem ni pomembno ali izvajalec pogodbeni program dosega ali ne oziroma ali ga presega. Na pritok nujnih pacientov bolnišnica nima vpliva. V času izvajanja </w:t>
      </w:r>
      <w:proofErr w:type="spellStart"/>
      <w:r w:rsidRPr="005E4BEA">
        <w:rPr>
          <w:rFonts w:cs="Arial"/>
          <w:i/>
          <w:iCs/>
          <w:color w:val="808080" w:themeColor="background1" w:themeShade="80"/>
          <w:szCs w:val="20"/>
        </w:rPr>
        <w:t>internistike</w:t>
      </w:r>
      <w:proofErr w:type="spellEnd"/>
      <w:r w:rsidRPr="005E4BEA">
        <w:rPr>
          <w:rFonts w:cs="Arial"/>
          <w:i/>
          <w:iCs/>
          <w:color w:val="808080" w:themeColor="background1" w:themeShade="80"/>
          <w:szCs w:val="20"/>
        </w:rPr>
        <w:t xml:space="preserve">-urgentne ambulante ni realiziranih storitev, ki bi pokrile potrebni kader v ambulanti, laboratoriju in RTG. </w:t>
      </w:r>
    </w:p>
    <w:p w14:paraId="72C4FFD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Vodstvo </w:t>
      </w:r>
      <w:r w:rsidRPr="005E4BEA">
        <w:rPr>
          <w:rFonts w:cs="Arial"/>
          <w:b/>
          <w:bCs/>
          <w:i/>
          <w:iCs/>
          <w:color w:val="808080" w:themeColor="background1" w:themeShade="80"/>
          <w:szCs w:val="20"/>
        </w:rPr>
        <w:t>Bolnišnice Topolšica</w:t>
      </w:r>
      <w:r w:rsidRPr="005E4BEA">
        <w:rPr>
          <w:rFonts w:cs="Arial"/>
          <w:i/>
          <w:iCs/>
          <w:color w:val="808080" w:themeColor="background1" w:themeShade="80"/>
          <w:szCs w:val="20"/>
        </w:rPr>
        <w:t xml:space="preserve"> se že dalj časa dogovarja s pristojnimi institucijami (ZZZS in MZ), o spremembi plačila urgentne ambulante po pavšalu. Pri tem pa je potrebno spremembo najprej vključiti v Splošni dogovor.</w:t>
      </w:r>
    </w:p>
    <w:p w14:paraId="0A97B0FB" w14:textId="26960BC9" w:rsidR="00FE461F" w:rsidRPr="005E4BEA" w:rsidRDefault="00FE461F" w:rsidP="00FE461F">
      <w:pPr>
        <w:spacing w:line="240" w:lineRule="auto"/>
        <w:jc w:val="both"/>
        <w:rPr>
          <w:rFonts w:cs="Arial"/>
          <w:i/>
          <w:iCs/>
          <w:color w:val="808080" w:themeColor="background1" w:themeShade="80"/>
          <w:szCs w:val="20"/>
        </w:rPr>
      </w:pPr>
    </w:p>
    <w:bookmarkEnd w:id="149"/>
    <w:p w14:paraId="1FA1BA74" w14:textId="77777777" w:rsidR="006C5068" w:rsidRPr="005E4BEA" w:rsidRDefault="006C5068" w:rsidP="006C5068">
      <w:pPr>
        <w:spacing w:line="240" w:lineRule="auto"/>
        <w:jc w:val="both"/>
        <w:rPr>
          <w:rFonts w:cs="Arial"/>
          <w:i/>
          <w:iCs/>
          <w:color w:val="767171"/>
          <w:szCs w:val="20"/>
        </w:rPr>
      </w:pPr>
    </w:p>
    <w:p w14:paraId="1A7AAD17" w14:textId="531E1CC1" w:rsidR="006C5068" w:rsidRPr="005E4BEA" w:rsidRDefault="006C5068" w:rsidP="006C5068">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C32B24" w:rsidRPr="005E4BEA">
        <w:rPr>
          <w:rFonts w:eastAsia="Arial Narrow" w:cs="Arial"/>
          <w:szCs w:val="20"/>
        </w:rPr>
        <w:t xml:space="preserve">ne </w:t>
      </w:r>
      <w:r w:rsidRPr="005E4BEA">
        <w:rPr>
          <w:rFonts w:eastAsia="Arial Narrow" w:cs="Arial"/>
          <w:szCs w:val="20"/>
        </w:rPr>
        <w:t>strinja s predlogom.</w:t>
      </w:r>
    </w:p>
    <w:p w14:paraId="6F4F00A0" w14:textId="77777777" w:rsidR="006C5068" w:rsidRPr="005E4BEA" w:rsidRDefault="006C5068" w:rsidP="006C5068">
      <w:pPr>
        <w:spacing w:line="0" w:lineRule="atLeast"/>
        <w:jc w:val="both"/>
        <w:rPr>
          <w:rFonts w:eastAsia="Arial Narrow" w:cs="Arial"/>
          <w:szCs w:val="20"/>
          <w:lang w:eastAsia="sl-SI"/>
        </w:rPr>
      </w:pPr>
    </w:p>
    <w:p w14:paraId="557B7803" w14:textId="77777777" w:rsidR="00C32B24" w:rsidRPr="005E4BEA" w:rsidRDefault="006C5068" w:rsidP="00C32B24">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51" w:name="_Hlk102479297"/>
      <w:r w:rsidRPr="005E4BEA">
        <w:rPr>
          <w:rFonts w:eastAsia="Arial Narrow" w:cs="Arial"/>
          <w:bCs/>
          <w:szCs w:val="20"/>
        </w:rPr>
        <w:t xml:space="preserve">da </w:t>
      </w:r>
      <w:r w:rsidR="004256A1" w:rsidRPr="005E4BEA">
        <w:rPr>
          <w:rFonts w:eastAsiaTheme="minorHAnsi" w:cs="Arial"/>
          <w:bCs/>
          <w:szCs w:val="20"/>
        </w:rPr>
        <w:t xml:space="preserve">se </w:t>
      </w:r>
      <w:r w:rsidR="004256A1" w:rsidRPr="005E4BEA">
        <w:rPr>
          <w:rFonts w:cs="Arial"/>
          <w:bCs/>
          <w:szCs w:val="20"/>
        </w:rPr>
        <w:t>Prilog</w:t>
      </w:r>
      <w:r w:rsidR="00C32B24" w:rsidRPr="005E4BEA">
        <w:rPr>
          <w:rFonts w:cs="Arial"/>
          <w:bCs/>
          <w:szCs w:val="20"/>
        </w:rPr>
        <w:t>a</w:t>
      </w:r>
      <w:r w:rsidR="004256A1" w:rsidRPr="005E4BEA">
        <w:rPr>
          <w:rFonts w:cs="Arial"/>
          <w:bCs/>
          <w:szCs w:val="20"/>
        </w:rPr>
        <w:t xml:space="preserve"> III/b </w:t>
      </w:r>
      <w:r w:rsidR="00C32B24" w:rsidRPr="005E4BEA">
        <w:rPr>
          <w:rFonts w:eastAsiaTheme="minorHAnsi" w:cs="Arial"/>
          <w:bCs/>
          <w:szCs w:val="20"/>
        </w:rPr>
        <w:t>Splošnega dogovora ne spremeni.</w:t>
      </w:r>
    </w:p>
    <w:bookmarkEnd w:id="151"/>
    <w:bookmarkEnd w:id="150"/>
    <w:p w14:paraId="0E8AE25F" w14:textId="77777777" w:rsidR="006C5068" w:rsidRPr="005E4BEA" w:rsidRDefault="006C5068" w:rsidP="006C5068">
      <w:pPr>
        <w:spacing w:line="240" w:lineRule="auto"/>
        <w:jc w:val="both"/>
        <w:rPr>
          <w:rFonts w:cs="Arial"/>
          <w:szCs w:val="20"/>
        </w:rPr>
      </w:pPr>
    </w:p>
    <w:p w14:paraId="011B123C" w14:textId="25AAD2A6"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(128)</w:t>
      </w:r>
    </w:p>
    <w:p w14:paraId="0697325C" w14:textId="77777777" w:rsidR="006C5068" w:rsidRPr="005E4BEA" w:rsidRDefault="006C5068" w:rsidP="006C5068">
      <w:pPr>
        <w:spacing w:line="240" w:lineRule="auto"/>
        <w:jc w:val="both"/>
        <w:rPr>
          <w:rFonts w:eastAsia="Arial Narrow" w:cs="Arial"/>
          <w:bCs/>
          <w:szCs w:val="20"/>
        </w:rPr>
      </w:pPr>
    </w:p>
    <w:p w14:paraId="2FC04E2A" w14:textId="14E22598" w:rsidR="00FE461F" w:rsidRPr="005E4BEA" w:rsidRDefault="006C5068" w:rsidP="006C5068">
      <w:pPr>
        <w:spacing w:line="240" w:lineRule="auto"/>
        <w:jc w:val="both"/>
        <w:rPr>
          <w:rFonts w:eastAsiaTheme="minorHAnsi" w:cs="Arial"/>
          <w:bCs/>
          <w:szCs w:val="20"/>
        </w:rPr>
      </w:pPr>
      <w:r w:rsidRPr="005E4BEA">
        <w:rPr>
          <w:rFonts w:eastAsia="Arial Narrow" w:cs="Arial"/>
          <w:b/>
          <w:szCs w:val="20"/>
        </w:rPr>
        <w:t>Zdravniška zbornica Slovenije</w:t>
      </w:r>
      <w:r w:rsidRPr="005E4BEA">
        <w:rPr>
          <w:rFonts w:eastAsia="Arial Narrow" w:cs="Arial"/>
          <w:bCs/>
          <w:szCs w:val="20"/>
        </w:rPr>
        <w:t xml:space="preserve"> </w:t>
      </w:r>
      <w:r w:rsidRPr="005E4BEA">
        <w:rPr>
          <w:rFonts w:eastAsiaTheme="minorHAnsi" w:cs="Arial"/>
          <w:bCs/>
          <w:szCs w:val="20"/>
        </w:rPr>
        <w:t>predlaga, da se n</w:t>
      </w:r>
      <w:r w:rsidR="00FE461F" w:rsidRPr="005E4BEA">
        <w:rPr>
          <w:rFonts w:eastAsiaTheme="minorHAnsi" w:cs="Arial"/>
          <w:bCs/>
          <w:i/>
          <w:iCs/>
          <w:szCs w:val="20"/>
        </w:rPr>
        <w:t xml:space="preserve">a </w:t>
      </w:r>
      <w:r w:rsidR="00FE461F" w:rsidRPr="005E4BEA">
        <w:rPr>
          <w:rFonts w:eastAsiaTheme="minorHAnsi" w:cs="Arial"/>
          <w:bCs/>
          <w:szCs w:val="20"/>
        </w:rPr>
        <w:t>koncu prvega odstavka Priloge III doda nov stavek, ki se glasi:</w:t>
      </w:r>
    </w:p>
    <w:p w14:paraId="7F8374A6" w14:textId="77777777" w:rsidR="00FE461F" w:rsidRPr="005E4BEA" w:rsidRDefault="00FE461F" w:rsidP="00FE461F">
      <w:pPr>
        <w:widowControl w:val="0"/>
        <w:suppressAutoHyphens/>
        <w:spacing w:line="240" w:lineRule="auto"/>
        <w:jc w:val="both"/>
        <w:rPr>
          <w:rFonts w:eastAsiaTheme="minorHAnsi" w:cs="Arial"/>
          <w:szCs w:val="20"/>
        </w:rPr>
      </w:pPr>
      <w:r w:rsidRPr="005E4BEA">
        <w:rPr>
          <w:rFonts w:eastAsiaTheme="minorHAnsi" w:cs="Arial"/>
          <w:szCs w:val="20"/>
        </w:rPr>
        <w:t>»Pri končnem letnem obračunu se upošteva povprečni delež OZZ, ki se izračuna iz storitev, ki jih plača Zavod.«</w:t>
      </w:r>
    </w:p>
    <w:p w14:paraId="711F0AE0" w14:textId="77777777" w:rsidR="00FE461F" w:rsidRPr="005E4BEA" w:rsidRDefault="00FE461F" w:rsidP="00FE461F">
      <w:pPr>
        <w:widowControl w:val="0"/>
        <w:suppressAutoHyphens/>
        <w:spacing w:line="240" w:lineRule="auto"/>
        <w:jc w:val="both"/>
        <w:rPr>
          <w:rFonts w:eastAsiaTheme="minorHAnsi" w:cs="Arial"/>
          <w:szCs w:val="20"/>
        </w:rPr>
      </w:pPr>
    </w:p>
    <w:p w14:paraId="4EF115E8" w14:textId="77777777" w:rsidR="00FE461F" w:rsidRPr="005E4BEA" w:rsidRDefault="00FE461F" w:rsidP="00FE461F">
      <w:pPr>
        <w:spacing w:before="180" w:after="60" w:line="240" w:lineRule="auto"/>
        <w:jc w:val="both"/>
        <w:rPr>
          <w:rFonts w:cs="Arial"/>
          <w:b/>
          <w:bCs/>
          <w:color w:val="808080" w:themeColor="background1" w:themeShade="80"/>
          <w:szCs w:val="20"/>
          <w:u w:val="single"/>
          <w:lang w:eastAsia="sl-SI"/>
        </w:rPr>
      </w:pPr>
      <w:r w:rsidRPr="005E4BEA">
        <w:rPr>
          <w:rFonts w:cs="Arial"/>
          <w:b/>
          <w:bCs/>
          <w:color w:val="808080" w:themeColor="background1" w:themeShade="80"/>
          <w:szCs w:val="20"/>
          <w:u w:val="single"/>
          <w:lang w:eastAsia="sl-SI"/>
        </w:rPr>
        <w:t>Obrazložitev:</w:t>
      </w:r>
    </w:p>
    <w:p w14:paraId="11E239BB"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Zavod pri izračunu deleža obveznega zdravstvenega zavarovanje upošteva vse opravljene storitve. Predlagamo, da se pri končnem letnem obračunu za izračun deleža OZZ upoštevajo le storitve, ki jih plača Zavod.</w:t>
      </w:r>
    </w:p>
    <w:p w14:paraId="2ECD633F"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18653717" w14:textId="21675785"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w:t>
      </w:r>
    </w:p>
    <w:p w14:paraId="14953D8B" w14:textId="77777777" w:rsidR="006C5068" w:rsidRPr="005E4BEA" w:rsidRDefault="006C5068" w:rsidP="00FE461F">
      <w:pPr>
        <w:spacing w:line="240" w:lineRule="auto"/>
        <w:jc w:val="both"/>
        <w:rPr>
          <w:rFonts w:eastAsiaTheme="minorHAnsi" w:cs="Arial"/>
          <w:i/>
          <w:iCs/>
          <w:color w:val="808080" w:themeColor="background1" w:themeShade="80"/>
          <w:szCs w:val="20"/>
        </w:rPr>
      </w:pPr>
    </w:p>
    <w:p w14:paraId="4F41104D" w14:textId="17A49EA8" w:rsidR="006C5068" w:rsidRPr="005E4BEA" w:rsidRDefault="006C5068" w:rsidP="006C506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0E1B4978" w14:textId="77777777" w:rsidR="006C5068" w:rsidRPr="005E4BEA" w:rsidRDefault="006C5068" w:rsidP="006C5068">
      <w:pPr>
        <w:spacing w:line="0" w:lineRule="atLeast"/>
        <w:jc w:val="both"/>
        <w:rPr>
          <w:rFonts w:eastAsia="Arial Narrow" w:cs="Arial"/>
          <w:szCs w:val="20"/>
          <w:lang w:eastAsia="sl-SI"/>
        </w:rPr>
      </w:pPr>
    </w:p>
    <w:p w14:paraId="47DE3EDC" w14:textId="25A488A1"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 </w:t>
      </w:r>
      <w:r w:rsidRPr="005E4BEA">
        <w:rPr>
          <w:rFonts w:eastAsiaTheme="minorHAnsi" w:cs="Arial"/>
          <w:bCs/>
          <w:szCs w:val="20"/>
        </w:rPr>
        <w:t>Splošnega dogovora ne spremeni.</w:t>
      </w:r>
    </w:p>
    <w:p w14:paraId="341E5597" w14:textId="77777777" w:rsidR="006C5068" w:rsidRPr="005E4BEA" w:rsidRDefault="006C5068" w:rsidP="006C5068">
      <w:pPr>
        <w:spacing w:line="0" w:lineRule="atLeast"/>
        <w:contextualSpacing/>
        <w:jc w:val="both"/>
        <w:rPr>
          <w:rFonts w:eastAsia="Arial Narrow" w:cs="Arial"/>
          <w:bCs/>
          <w:szCs w:val="20"/>
        </w:rPr>
      </w:pPr>
    </w:p>
    <w:p w14:paraId="0AC64944" w14:textId="77777777" w:rsidR="006C5068" w:rsidRPr="005E4BEA" w:rsidRDefault="006C5068" w:rsidP="006C5068">
      <w:pPr>
        <w:spacing w:line="240" w:lineRule="auto"/>
        <w:jc w:val="both"/>
        <w:rPr>
          <w:rFonts w:cs="Arial"/>
          <w:szCs w:val="20"/>
        </w:rPr>
      </w:pPr>
    </w:p>
    <w:p w14:paraId="73F56D26" w14:textId="4593294D"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(129)</w:t>
      </w:r>
    </w:p>
    <w:p w14:paraId="29693488" w14:textId="77777777" w:rsidR="006C5068" w:rsidRPr="005E4BEA" w:rsidRDefault="006C5068" w:rsidP="006C5068">
      <w:pPr>
        <w:spacing w:line="240" w:lineRule="auto"/>
        <w:jc w:val="both"/>
        <w:rPr>
          <w:rFonts w:eastAsia="Arial Narrow" w:cs="Arial"/>
          <w:bCs/>
          <w:szCs w:val="20"/>
        </w:rPr>
      </w:pPr>
    </w:p>
    <w:p w14:paraId="7B57B386" w14:textId="1D266B68" w:rsidR="00FE461F" w:rsidRPr="005E4BEA" w:rsidRDefault="006C5068" w:rsidP="00FE461F">
      <w:pPr>
        <w:spacing w:line="240" w:lineRule="auto"/>
        <w:jc w:val="both"/>
        <w:rPr>
          <w:rFonts w:eastAsiaTheme="minorHAnsi" w:cs="Arial"/>
          <w:bCs/>
          <w:szCs w:val="20"/>
        </w:rPr>
      </w:pPr>
      <w:r w:rsidRPr="005E4BEA">
        <w:rPr>
          <w:rFonts w:eastAsia="Arial Narrow" w:cs="Arial"/>
          <w:b/>
          <w:szCs w:val="20"/>
        </w:rPr>
        <w:t>Zdravniška zbornica Slovenije</w:t>
      </w:r>
      <w:r w:rsidRPr="005E4BEA">
        <w:rPr>
          <w:rFonts w:eastAsia="Arial Narrow" w:cs="Arial"/>
          <w:bCs/>
          <w:szCs w:val="20"/>
        </w:rPr>
        <w:t xml:space="preserve"> </w:t>
      </w:r>
      <w:r w:rsidRPr="005E4BEA">
        <w:rPr>
          <w:rFonts w:eastAsiaTheme="minorHAnsi" w:cs="Arial"/>
          <w:bCs/>
          <w:szCs w:val="20"/>
        </w:rPr>
        <w:t>predlaga, da se v</w:t>
      </w:r>
      <w:r w:rsidR="00FE461F" w:rsidRPr="005E4BEA">
        <w:rPr>
          <w:rFonts w:eastAsiaTheme="minorHAnsi" w:cs="Arial"/>
          <w:bCs/>
          <w:szCs w:val="20"/>
        </w:rPr>
        <w:t xml:space="preserve"> 2. odstavku priloge III v 3. točki doda naslednja alinea:</w:t>
      </w:r>
    </w:p>
    <w:p w14:paraId="6E8F0D6B" w14:textId="77777777" w:rsidR="00FE461F" w:rsidRPr="005E4BEA" w:rsidRDefault="00FE461F" w:rsidP="00F356C9">
      <w:pPr>
        <w:numPr>
          <w:ilvl w:val="1"/>
          <w:numId w:val="45"/>
        </w:numPr>
        <w:spacing w:line="260" w:lineRule="exact"/>
        <w:ind w:left="1276" w:hanging="283"/>
        <w:jc w:val="both"/>
        <w:rPr>
          <w:rFonts w:eastAsiaTheme="minorHAnsi" w:cs="Arial"/>
          <w:szCs w:val="20"/>
        </w:rPr>
      </w:pPr>
      <w:proofErr w:type="spellStart"/>
      <w:r w:rsidRPr="005E4BEA">
        <w:rPr>
          <w:rFonts w:eastAsiaTheme="minorHAnsi" w:cs="Arial"/>
          <w:szCs w:val="20"/>
        </w:rPr>
        <w:t>neinvazivni</w:t>
      </w:r>
      <w:proofErr w:type="spellEnd"/>
      <w:r w:rsidRPr="005E4BEA">
        <w:rPr>
          <w:rFonts w:eastAsiaTheme="minorHAnsi" w:cs="Arial"/>
          <w:szCs w:val="20"/>
        </w:rPr>
        <w:t xml:space="preserve"> postopki oploditve z biomedicinsko pomočjo </w:t>
      </w:r>
    </w:p>
    <w:p w14:paraId="0102B7E3" w14:textId="77777777" w:rsidR="00FE461F" w:rsidRPr="005E4BEA" w:rsidRDefault="00FE461F" w:rsidP="00FE461F">
      <w:pPr>
        <w:spacing w:line="240" w:lineRule="auto"/>
        <w:ind w:left="785"/>
        <w:jc w:val="both"/>
        <w:rPr>
          <w:rFonts w:eastAsiaTheme="minorHAnsi" w:cs="Arial"/>
          <w:szCs w:val="20"/>
        </w:rPr>
      </w:pPr>
    </w:p>
    <w:p w14:paraId="6055363C" w14:textId="77777777" w:rsidR="00FE461F" w:rsidRPr="005E4BEA" w:rsidRDefault="00FE461F" w:rsidP="00FE461F">
      <w:pPr>
        <w:spacing w:line="240" w:lineRule="auto"/>
        <w:jc w:val="both"/>
        <w:rPr>
          <w:rFonts w:cs="Arial"/>
          <w:b/>
          <w:bCs/>
          <w:color w:val="808080" w:themeColor="background1" w:themeShade="80"/>
          <w:szCs w:val="20"/>
          <w:u w:val="single"/>
          <w:lang w:eastAsia="sl-SI"/>
        </w:rPr>
      </w:pPr>
      <w:r w:rsidRPr="005E4BEA">
        <w:rPr>
          <w:rFonts w:cs="Arial"/>
          <w:b/>
          <w:bCs/>
          <w:color w:val="808080" w:themeColor="background1" w:themeShade="80"/>
          <w:szCs w:val="20"/>
          <w:u w:val="single"/>
          <w:lang w:eastAsia="sl-SI"/>
        </w:rPr>
        <w:lastRenderedPageBreak/>
        <w:t>Obrazložitev:</w:t>
      </w:r>
    </w:p>
    <w:p w14:paraId="400E9389"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 xml:space="preserve">RSK za ginekologijo in porodništvo je na svoji 1. seji dne, 29. 10. 2021 sprejel sklep, da se </w:t>
      </w:r>
      <w:proofErr w:type="spellStart"/>
      <w:r w:rsidRPr="005E4BEA">
        <w:rPr>
          <w:rFonts w:eastAsiaTheme="minorHAnsi" w:cs="Arial"/>
          <w:i/>
          <w:iCs/>
          <w:color w:val="808080" w:themeColor="background1" w:themeShade="80"/>
          <w:szCs w:val="20"/>
        </w:rPr>
        <w:t>neinvazivni</w:t>
      </w:r>
      <w:proofErr w:type="spellEnd"/>
      <w:r w:rsidRPr="005E4BEA">
        <w:rPr>
          <w:rFonts w:eastAsiaTheme="minorHAnsi" w:cs="Arial"/>
          <w:i/>
          <w:iCs/>
          <w:color w:val="808080" w:themeColor="background1" w:themeShade="80"/>
          <w:szCs w:val="20"/>
        </w:rPr>
        <w:t xml:space="preserve"> postopki OBMP lahko izvajajo v specialistični </w:t>
      </w:r>
      <w:proofErr w:type="spellStart"/>
      <w:r w:rsidRPr="005E4BEA">
        <w:rPr>
          <w:rFonts w:eastAsiaTheme="minorHAnsi" w:cs="Arial"/>
          <w:i/>
          <w:iCs/>
          <w:color w:val="808080" w:themeColor="background1" w:themeShade="80"/>
          <w:szCs w:val="20"/>
        </w:rPr>
        <w:t>zunajbolnišnični</w:t>
      </w:r>
      <w:proofErr w:type="spellEnd"/>
      <w:r w:rsidRPr="005E4BEA">
        <w:rPr>
          <w:rFonts w:eastAsiaTheme="minorHAnsi" w:cs="Arial"/>
          <w:i/>
          <w:iCs/>
          <w:color w:val="808080" w:themeColor="background1" w:themeShade="80"/>
          <w:szCs w:val="20"/>
        </w:rPr>
        <w:t xml:space="preserve"> dejavnosti, medtem ko se invazivni postopki OBMP morajo izvajati v okolju, ki izpolnjuje naslednje pogoje: operacijska dvorana, navzočnost </w:t>
      </w:r>
      <w:proofErr w:type="spellStart"/>
      <w:r w:rsidRPr="005E4BEA">
        <w:rPr>
          <w:rFonts w:eastAsiaTheme="minorHAnsi" w:cs="Arial"/>
          <w:i/>
          <w:iCs/>
          <w:color w:val="808080" w:themeColor="background1" w:themeShade="80"/>
          <w:szCs w:val="20"/>
        </w:rPr>
        <w:t>anestezijskega</w:t>
      </w:r>
      <w:proofErr w:type="spellEnd"/>
      <w:r w:rsidRPr="005E4BEA">
        <w:rPr>
          <w:rFonts w:eastAsiaTheme="minorHAnsi" w:cs="Arial"/>
          <w:i/>
          <w:iCs/>
          <w:color w:val="808080" w:themeColor="background1" w:themeShade="80"/>
          <w:szCs w:val="20"/>
        </w:rPr>
        <w:t xml:space="preserve"> tima in tima za reanimacijo, navzočnost tima za lajšanje bolečine, možnost takojšnje oskrbe hemodinamsko nestabilnega pacienta, 24 urni kontakt za navodila in možnost reševanja zapletov in nadzor kakovosti.</w:t>
      </w:r>
    </w:p>
    <w:p w14:paraId="0A3EB7C1" w14:textId="77777777" w:rsidR="00FE461F" w:rsidRPr="005E4BEA" w:rsidRDefault="00FE461F" w:rsidP="00FE461F">
      <w:pPr>
        <w:spacing w:line="240" w:lineRule="auto"/>
        <w:jc w:val="both"/>
        <w:rPr>
          <w:rFonts w:eastAsiaTheme="minorHAnsi" w:cs="Arial"/>
          <w:i/>
          <w:iCs/>
          <w:color w:val="808080" w:themeColor="background1" w:themeShade="80"/>
          <w:szCs w:val="20"/>
        </w:rPr>
      </w:pPr>
    </w:p>
    <w:p w14:paraId="231C1772" w14:textId="77777777"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w:t>
      </w:r>
    </w:p>
    <w:p w14:paraId="07BC29F6" w14:textId="65F32DF3" w:rsidR="00FE461F" w:rsidRPr="005E4BEA" w:rsidRDefault="00FE461F" w:rsidP="00FE461F">
      <w:pPr>
        <w:spacing w:line="240" w:lineRule="auto"/>
        <w:jc w:val="both"/>
        <w:rPr>
          <w:rFonts w:eastAsiaTheme="minorHAnsi" w:cs="Arial"/>
          <w:i/>
          <w:iCs/>
          <w:color w:val="808080" w:themeColor="background1" w:themeShade="80"/>
          <w:szCs w:val="20"/>
        </w:rPr>
      </w:pPr>
    </w:p>
    <w:p w14:paraId="127FC131" w14:textId="77777777" w:rsidR="006C5068" w:rsidRPr="005E4BEA" w:rsidRDefault="006C5068" w:rsidP="006C506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A2324D4" w14:textId="77777777" w:rsidR="006C5068" w:rsidRPr="005E4BEA" w:rsidRDefault="006C5068" w:rsidP="006C5068">
      <w:pPr>
        <w:spacing w:line="0" w:lineRule="atLeast"/>
        <w:jc w:val="both"/>
        <w:rPr>
          <w:rFonts w:eastAsia="Arial Narrow" w:cs="Arial"/>
          <w:szCs w:val="20"/>
          <w:lang w:eastAsia="sl-SI"/>
        </w:rPr>
      </w:pPr>
    </w:p>
    <w:p w14:paraId="4148C36A" w14:textId="77777777" w:rsidR="006C5068" w:rsidRPr="005E4BEA" w:rsidRDefault="006C5068" w:rsidP="006C506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 </w:t>
      </w:r>
      <w:r w:rsidRPr="005E4BEA">
        <w:rPr>
          <w:rFonts w:eastAsiaTheme="minorHAnsi" w:cs="Arial"/>
          <w:bCs/>
          <w:szCs w:val="20"/>
        </w:rPr>
        <w:t>Splošnega dogovora ne spremeni.</w:t>
      </w:r>
    </w:p>
    <w:p w14:paraId="1F7D90A7" w14:textId="77777777" w:rsidR="006C5068" w:rsidRPr="005E4BEA" w:rsidRDefault="006C5068" w:rsidP="006C5068">
      <w:pPr>
        <w:spacing w:line="0" w:lineRule="atLeast"/>
        <w:contextualSpacing/>
        <w:jc w:val="both"/>
        <w:rPr>
          <w:rFonts w:eastAsia="Arial Narrow" w:cs="Arial"/>
          <w:bCs/>
          <w:szCs w:val="20"/>
        </w:rPr>
      </w:pPr>
    </w:p>
    <w:p w14:paraId="2F2313A9" w14:textId="77777777" w:rsidR="006C5068" w:rsidRPr="005E4BEA" w:rsidRDefault="006C5068" w:rsidP="006C5068">
      <w:pPr>
        <w:spacing w:line="240" w:lineRule="auto"/>
        <w:jc w:val="both"/>
        <w:rPr>
          <w:rFonts w:cs="Arial"/>
          <w:szCs w:val="20"/>
        </w:rPr>
      </w:pPr>
    </w:p>
    <w:p w14:paraId="6FB60EB0" w14:textId="636CC3B9" w:rsidR="006C5068" w:rsidRPr="005E4BEA" w:rsidRDefault="006C5068" w:rsidP="00F356C9">
      <w:pPr>
        <w:pStyle w:val="Naslov2"/>
        <w:numPr>
          <w:ilvl w:val="0"/>
          <w:numId w:val="79"/>
        </w:numPr>
        <w:ind w:left="0" w:firstLine="0"/>
        <w:rPr>
          <w:rFonts w:ascii="Arial" w:eastAsia="Arial Narrow" w:hAnsi="Arial" w:cs="Arial"/>
          <w:sz w:val="20"/>
        </w:rPr>
      </w:pPr>
      <w:bookmarkStart w:id="152" w:name="_Hlk102570134"/>
      <w:r w:rsidRPr="005E4BEA">
        <w:rPr>
          <w:rFonts w:ascii="Arial" w:eastAsia="Arial Narrow" w:hAnsi="Arial" w:cs="Arial"/>
          <w:sz w:val="20"/>
        </w:rPr>
        <w:t>SPORNO VPRAŠANJE (130)</w:t>
      </w:r>
    </w:p>
    <w:p w14:paraId="365E5D0A" w14:textId="77777777" w:rsidR="006C5068" w:rsidRPr="005E4BEA" w:rsidRDefault="006C5068" w:rsidP="006C5068">
      <w:pPr>
        <w:spacing w:line="240" w:lineRule="auto"/>
        <w:jc w:val="both"/>
        <w:rPr>
          <w:rFonts w:eastAsia="Arial Narrow" w:cs="Arial"/>
          <w:bCs/>
          <w:szCs w:val="20"/>
        </w:rPr>
      </w:pPr>
    </w:p>
    <w:p w14:paraId="0AC27CCE" w14:textId="20120266" w:rsidR="00FE461F" w:rsidRPr="005E4BEA" w:rsidRDefault="006C5068" w:rsidP="006C5068">
      <w:pPr>
        <w:spacing w:line="240" w:lineRule="auto"/>
        <w:jc w:val="both"/>
        <w:rPr>
          <w:rFonts w:eastAsia="MS Mincho" w:cs="Arial"/>
          <w:bCs/>
          <w:szCs w:val="20"/>
        </w:rPr>
      </w:pPr>
      <w:r w:rsidRPr="005E4BEA">
        <w:rPr>
          <w:rFonts w:eastAsia="Arial Narrow" w:cs="Arial"/>
          <w:b/>
          <w:szCs w:val="20"/>
        </w:rPr>
        <w:t>Ministrstvo za zdravje</w:t>
      </w:r>
      <w:r w:rsidRPr="005E4BEA">
        <w:rPr>
          <w:rFonts w:eastAsia="Arial Narrow" w:cs="Arial"/>
          <w:bCs/>
          <w:szCs w:val="20"/>
        </w:rPr>
        <w:t xml:space="preserve"> </w:t>
      </w:r>
      <w:r w:rsidRPr="005E4BEA">
        <w:rPr>
          <w:rFonts w:eastAsiaTheme="minorHAnsi" w:cs="Arial"/>
          <w:bCs/>
          <w:szCs w:val="20"/>
        </w:rPr>
        <w:t xml:space="preserve">predlaga, da se v </w:t>
      </w:r>
      <w:proofErr w:type="spellStart"/>
      <w:r w:rsidRPr="005E4BEA">
        <w:rPr>
          <w:rFonts w:eastAsiaTheme="minorHAnsi" w:cs="Arial"/>
          <w:bCs/>
          <w:szCs w:val="20"/>
        </w:rPr>
        <w:t>v</w:t>
      </w:r>
      <w:proofErr w:type="spellEnd"/>
      <w:r w:rsidRPr="005E4BEA">
        <w:rPr>
          <w:rFonts w:eastAsiaTheme="minorHAnsi" w:cs="Arial"/>
          <w:bCs/>
          <w:szCs w:val="20"/>
        </w:rPr>
        <w:t xml:space="preserve"> </w:t>
      </w:r>
      <w:r w:rsidR="00FE461F" w:rsidRPr="005E4BEA">
        <w:rPr>
          <w:rFonts w:eastAsia="MS Mincho" w:cs="Arial"/>
          <w:bCs/>
          <w:szCs w:val="20"/>
        </w:rPr>
        <w:t xml:space="preserve">Prilogi III/b v drugi točki na koncu doda nova alineja, ki </w:t>
      </w:r>
      <w:r w:rsidRPr="005E4BEA">
        <w:rPr>
          <w:rFonts w:eastAsia="MS Mincho" w:cs="Arial"/>
          <w:bCs/>
          <w:szCs w:val="20"/>
        </w:rPr>
        <w:t xml:space="preserve">se </w:t>
      </w:r>
      <w:r w:rsidR="00FE461F" w:rsidRPr="005E4BEA">
        <w:rPr>
          <w:rFonts w:eastAsia="MS Mincho" w:cs="Arial"/>
          <w:bCs/>
          <w:szCs w:val="20"/>
        </w:rPr>
        <w:t>glasi:</w:t>
      </w:r>
    </w:p>
    <w:p w14:paraId="623AAA60" w14:textId="77777777" w:rsidR="00FE461F" w:rsidRPr="005E4BEA" w:rsidRDefault="00FE461F" w:rsidP="00FE461F">
      <w:pPr>
        <w:spacing w:line="0" w:lineRule="atLeast"/>
        <w:jc w:val="both"/>
        <w:rPr>
          <w:rFonts w:eastAsia="Arial Narrow" w:cs="Arial"/>
          <w:szCs w:val="20"/>
        </w:rPr>
      </w:pPr>
      <w:r w:rsidRPr="005E4BEA">
        <w:rPr>
          <w:rFonts w:eastAsia="Arial Narrow" w:cs="Arial"/>
          <w:szCs w:val="20"/>
        </w:rPr>
        <w:t xml:space="preserve">»Zavod plača do 20 % preseganja pogodbenega plana storitev v UC – enota za bolezni in UC – enota za poškodbe, pri tem, da najprej upošteva prelivanje programa </w:t>
      </w:r>
      <w:proofErr w:type="spellStart"/>
      <w:r w:rsidRPr="005E4BEA">
        <w:rPr>
          <w:rFonts w:eastAsia="Arial Narrow" w:cs="Arial"/>
          <w:szCs w:val="20"/>
        </w:rPr>
        <w:t>EzB</w:t>
      </w:r>
      <w:proofErr w:type="spellEnd"/>
      <w:r w:rsidRPr="005E4BEA">
        <w:rPr>
          <w:rFonts w:eastAsia="Arial Narrow" w:cs="Arial"/>
          <w:szCs w:val="20"/>
        </w:rPr>
        <w:t xml:space="preserve"> in </w:t>
      </w:r>
      <w:proofErr w:type="spellStart"/>
      <w:r w:rsidRPr="005E4BEA">
        <w:rPr>
          <w:rFonts w:eastAsia="Arial Narrow" w:cs="Arial"/>
          <w:szCs w:val="20"/>
        </w:rPr>
        <w:t>EzP</w:t>
      </w:r>
      <w:proofErr w:type="spellEnd"/>
      <w:r w:rsidRPr="005E4BEA">
        <w:rPr>
          <w:rFonts w:eastAsia="Arial Narrow" w:cs="Arial"/>
          <w:szCs w:val="20"/>
        </w:rPr>
        <w:t xml:space="preserve"> in šele potem prizna preseganje.</w:t>
      </w:r>
    </w:p>
    <w:p w14:paraId="7FA6FFE9" w14:textId="77777777" w:rsidR="00FE461F" w:rsidRPr="005E4BEA" w:rsidRDefault="00FE461F" w:rsidP="00FE461F">
      <w:pPr>
        <w:spacing w:line="240" w:lineRule="auto"/>
        <w:rPr>
          <w:rFonts w:eastAsia="MS Mincho" w:cs="Arial"/>
          <w:i/>
          <w:color w:val="7F7F7F" w:themeColor="text1" w:themeTint="80"/>
          <w:szCs w:val="20"/>
        </w:rPr>
      </w:pPr>
    </w:p>
    <w:p w14:paraId="44B48215" w14:textId="77777777" w:rsidR="00FE461F" w:rsidRPr="005E4BEA" w:rsidRDefault="00FE461F" w:rsidP="00FE461F">
      <w:pPr>
        <w:spacing w:line="240" w:lineRule="auto"/>
        <w:jc w:val="both"/>
        <w:rPr>
          <w:rFonts w:eastAsiaTheme="minorHAnsi" w:cs="Arial"/>
          <w:b/>
          <w:bCs/>
          <w:i/>
          <w:color w:val="808080" w:themeColor="background1" w:themeShade="80"/>
          <w:szCs w:val="20"/>
        </w:rPr>
      </w:pPr>
      <w:r w:rsidRPr="005E4BEA">
        <w:rPr>
          <w:rFonts w:eastAsiaTheme="minorHAnsi" w:cs="Arial"/>
          <w:b/>
          <w:bCs/>
          <w:i/>
          <w:color w:val="808080" w:themeColor="background1" w:themeShade="80"/>
          <w:szCs w:val="20"/>
        </w:rPr>
        <w:t>Obrazložitev:</w:t>
      </w:r>
    </w:p>
    <w:p w14:paraId="5BEF43F5"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Urgentni centri morajo delovati 24 ur dnevno 365 dni v letu, obiske pa ni mogoče planirati, zato MZ predlaga, da se plan in realizacija pri obračunu ne upošteva ločeno za EZB in EZP. Glede na povečan obseg storitev od leta 2019, kar je pokazala analiza </w:t>
      </w:r>
      <w:proofErr w:type="spellStart"/>
      <w:r w:rsidRPr="005E4BEA">
        <w:rPr>
          <w:rFonts w:eastAsiaTheme="minorHAnsi" w:cs="Arial"/>
          <w:i/>
          <w:color w:val="808080" w:themeColor="background1" w:themeShade="80"/>
          <w:szCs w:val="20"/>
        </w:rPr>
        <w:t>Zdrzz</w:t>
      </w:r>
      <w:proofErr w:type="spellEnd"/>
      <w:r w:rsidRPr="005E4BEA">
        <w:rPr>
          <w:rFonts w:eastAsiaTheme="minorHAnsi" w:cs="Arial"/>
          <w:i/>
          <w:color w:val="808080" w:themeColor="background1" w:themeShade="80"/>
          <w:szCs w:val="20"/>
        </w:rPr>
        <w:t xml:space="preserve">, pa predlagamo, da v aneksu priznamo 20 % realizacijo programa nad pogodbenim planom </w:t>
      </w:r>
      <w:proofErr w:type="spellStart"/>
      <w:r w:rsidRPr="005E4BEA">
        <w:rPr>
          <w:rFonts w:eastAsiaTheme="minorHAnsi" w:cs="Arial"/>
          <w:i/>
          <w:color w:val="808080" w:themeColor="background1" w:themeShade="80"/>
          <w:szCs w:val="20"/>
        </w:rPr>
        <w:t>EzB</w:t>
      </w:r>
      <w:proofErr w:type="spellEnd"/>
      <w:r w:rsidRPr="005E4BEA">
        <w:rPr>
          <w:rFonts w:eastAsiaTheme="minorHAnsi" w:cs="Arial"/>
          <w:i/>
          <w:color w:val="808080" w:themeColor="background1" w:themeShade="80"/>
          <w:szCs w:val="20"/>
        </w:rPr>
        <w:t xml:space="preserve"> in </w:t>
      </w:r>
      <w:proofErr w:type="spellStart"/>
      <w:r w:rsidRPr="005E4BEA">
        <w:rPr>
          <w:rFonts w:eastAsiaTheme="minorHAnsi" w:cs="Arial"/>
          <w:i/>
          <w:color w:val="808080" w:themeColor="background1" w:themeShade="80"/>
          <w:szCs w:val="20"/>
        </w:rPr>
        <w:t>EzP</w:t>
      </w:r>
      <w:proofErr w:type="spellEnd"/>
      <w:r w:rsidRPr="005E4BEA">
        <w:rPr>
          <w:rFonts w:eastAsiaTheme="minorHAnsi" w:cs="Arial"/>
          <w:i/>
          <w:color w:val="808080" w:themeColor="background1" w:themeShade="80"/>
          <w:szCs w:val="20"/>
        </w:rPr>
        <w:t xml:space="preserve"> skupaj s tem, da se najprej upošteva prelivanje programa </w:t>
      </w:r>
      <w:proofErr w:type="spellStart"/>
      <w:r w:rsidRPr="005E4BEA">
        <w:rPr>
          <w:rFonts w:eastAsiaTheme="minorHAnsi" w:cs="Arial"/>
          <w:i/>
          <w:color w:val="808080" w:themeColor="background1" w:themeShade="80"/>
          <w:szCs w:val="20"/>
        </w:rPr>
        <w:t>EzB</w:t>
      </w:r>
      <w:proofErr w:type="spellEnd"/>
      <w:r w:rsidRPr="005E4BEA">
        <w:rPr>
          <w:rFonts w:eastAsiaTheme="minorHAnsi" w:cs="Arial"/>
          <w:i/>
          <w:color w:val="808080" w:themeColor="background1" w:themeShade="80"/>
          <w:szCs w:val="20"/>
        </w:rPr>
        <w:t xml:space="preserve"> in </w:t>
      </w:r>
      <w:proofErr w:type="spellStart"/>
      <w:r w:rsidRPr="005E4BEA">
        <w:rPr>
          <w:rFonts w:eastAsiaTheme="minorHAnsi" w:cs="Arial"/>
          <w:i/>
          <w:color w:val="808080" w:themeColor="background1" w:themeShade="80"/>
          <w:szCs w:val="20"/>
        </w:rPr>
        <w:t>EzP</w:t>
      </w:r>
      <w:proofErr w:type="spellEnd"/>
      <w:r w:rsidRPr="005E4BEA">
        <w:rPr>
          <w:rFonts w:eastAsiaTheme="minorHAnsi" w:cs="Arial"/>
          <w:i/>
          <w:color w:val="808080" w:themeColor="background1" w:themeShade="80"/>
          <w:szCs w:val="20"/>
        </w:rPr>
        <w:t xml:space="preserve"> in šele potem prizna preseganje.</w:t>
      </w:r>
    </w:p>
    <w:p w14:paraId="050EF02A" w14:textId="77777777" w:rsidR="00FE461F" w:rsidRPr="005E4BEA" w:rsidRDefault="00FE461F" w:rsidP="00FE461F">
      <w:pPr>
        <w:spacing w:line="240" w:lineRule="auto"/>
        <w:jc w:val="both"/>
        <w:rPr>
          <w:rFonts w:eastAsiaTheme="minorHAnsi" w:cs="Arial"/>
          <w:szCs w:val="20"/>
        </w:rPr>
      </w:pPr>
    </w:p>
    <w:p w14:paraId="29202CCA" w14:textId="6DF2C5AA" w:rsidR="00FE461F" w:rsidRPr="005E4BEA" w:rsidRDefault="00FE461F" w:rsidP="00FE461F">
      <w:pPr>
        <w:autoSpaceDE w:val="0"/>
        <w:autoSpaceDN w:val="0"/>
        <w:adjustRightInd w:val="0"/>
        <w:spacing w:line="240" w:lineRule="auto"/>
        <w:jc w:val="both"/>
        <w:rPr>
          <w:rFonts w:eastAsiaTheme="minorHAnsi" w:cs="Arial"/>
          <w:b/>
          <w:bCs/>
          <w:i/>
          <w:color w:val="7F7F7F" w:themeColor="text1" w:themeTint="80"/>
          <w:szCs w:val="20"/>
        </w:rPr>
      </w:pPr>
      <w:r w:rsidRPr="005E4BEA">
        <w:rPr>
          <w:rFonts w:eastAsiaTheme="minorHAnsi" w:cs="Arial"/>
          <w:b/>
          <w:bCs/>
          <w:i/>
          <w:color w:val="7F7F7F" w:themeColor="text1" w:themeTint="80"/>
          <w:szCs w:val="20"/>
        </w:rPr>
        <w:t xml:space="preserve">Finančne posledice: </w:t>
      </w:r>
    </w:p>
    <w:p w14:paraId="1595F6F5" w14:textId="352FD392" w:rsidR="006C5068" w:rsidRPr="005E4BEA" w:rsidRDefault="006C5068" w:rsidP="00FE461F">
      <w:pPr>
        <w:autoSpaceDE w:val="0"/>
        <w:autoSpaceDN w:val="0"/>
        <w:adjustRightInd w:val="0"/>
        <w:spacing w:line="240" w:lineRule="auto"/>
        <w:jc w:val="both"/>
        <w:rPr>
          <w:rFonts w:eastAsiaTheme="minorHAnsi" w:cs="Arial"/>
          <w:b/>
          <w:bCs/>
          <w:i/>
          <w:color w:val="7F7F7F" w:themeColor="text1" w:themeTint="80"/>
          <w:szCs w:val="20"/>
        </w:rPr>
      </w:pPr>
    </w:p>
    <w:p w14:paraId="6A1B7DEA" w14:textId="3EC835BD" w:rsidR="00567E48" w:rsidRPr="005E4BEA" w:rsidRDefault="006C5068" w:rsidP="00567E48">
      <w:pPr>
        <w:spacing w:line="240" w:lineRule="auto"/>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strinja s predlogom v modificirani obliki, in sicer</w:t>
      </w:r>
      <w:r w:rsidR="00567E48" w:rsidRPr="005E4BEA">
        <w:rPr>
          <w:rFonts w:eastAsia="Arial Narrow" w:cs="Arial"/>
          <w:szCs w:val="20"/>
        </w:rPr>
        <w:t xml:space="preserve"> </w:t>
      </w:r>
      <w:bookmarkStart w:id="153" w:name="_Hlk103010989"/>
      <w:r w:rsidR="00567E48" w:rsidRPr="005E4BEA">
        <w:rPr>
          <w:rFonts w:eastAsia="Arial Narrow" w:cs="Arial"/>
          <w:szCs w:val="20"/>
        </w:rPr>
        <w:t xml:space="preserve">se </w:t>
      </w:r>
      <w:bookmarkStart w:id="154" w:name="_Hlk102642527"/>
      <w:r w:rsidR="00567E48" w:rsidRPr="005E4BEA">
        <w:rPr>
          <w:rFonts w:eastAsia="Arial Narrow" w:cs="Arial"/>
          <w:szCs w:val="20"/>
        </w:rPr>
        <w:t>v Prilogi III/b v drugi točki na koncu doda nova alineja, ki se glasi:</w:t>
      </w:r>
    </w:p>
    <w:p w14:paraId="21C264FF" w14:textId="77777777" w:rsidR="00567E48" w:rsidRPr="005E4BEA" w:rsidRDefault="00567E48" w:rsidP="00567E48">
      <w:pPr>
        <w:spacing w:line="240" w:lineRule="auto"/>
        <w:jc w:val="both"/>
        <w:rPr>
          <w:rFonts w:eastAsia="Arial Narrow" w:cs="Arial"/>
          <w:szCs w:val="20"/>
        </w:rPr>
      </w:pPr>
    </w:p>
    <w:p w14:paraId="3BBA6861" w14:textId="6BAA73AB" w:rsidR="00567E48" w:rsidRPr="005E4BEA" w:rsidRDefault="00567E48" w:rsidP="00567E48">
      <w:pPr>
        <w:spacing w:line="0" w:lineRule="atLeast"/>
        <w:jc w:val="both"/>
        <w:rPr>
          <w:rFonts w:eastAsia="Arial Narrow" w:cs="Arial"/>
          <w:szCs w:val="20"/>
        </w:rPr>
      </w:pPr>
      <w:r w:rsidRPr="005E4BEA">
        <w:rPr>
          <w:rFonts w:eastAsia="Arial Narrow" w:cs="Arial"/>
          <w:szCs w:val="20"/>
        </w:rPr>
        <w:t>»Zavod plača do 20 % preseganja pogodbenega plana storitev v UC – enota za bolezni in UC – enota za poškodbe, če izvajalec preseže pogodbeno dogovorjeni plan. V primeru, da je realizacija izvajalca manjša od plana, pa</w:t>
      </w:r>
      <w:r w:rsidR="00CE2B29" w:rsidRPr="005E4BEA">
        <w:rPr>
          <w:rFonts w:eastAsia="Arial Narrow" w:cs="Arial"/>
          <w:szCs w:val="20"/>
        </w:rPr>
        <w:t xml:space="preserve"> plača</w:t>
      </w:r>
      <w:r w:rsidRPr="005E4BEA">
        <w:rPr>
          <w:rFonts w:eastAsia="Arial Narrow" w:cs="Arial"/>
          <w:szCs w:val="20"/>
        </w:rPr>
        <w:t xml:space="preserve"> plan</w:t>
      </w:r>
      <w:r w:rsidR="00CE2B29" w:rsidRPr="005E4BEA">
        <w:rPr>
          <w:rFonts w:eastAsia="Arial Narrow" w:cs="Arial"/>
          <w:szCs w:val="20"/>
        </w:rPr>
        <w:t xml:space="preserve"> v deležu za OZZ</w:t>
      </w:r>
      <w:r w:rsidRPr="005E4BEA">
        <w:rPr>
          <w:rFonts w:eastAsia="Arial Narrow" w:cs="Arial"/>
          <w:szCs w:val="20"/>
        </w:rPr>
        <w:t>.«</w:t>
      </w:r>
    </w:p>
    <w:bookmarkEnd w:id="154"/>
    <w:p w14:paraId="0447A345" w14:textId="79431A11" w:rsidR="006C5068" w:rsidRPr="005E4BEA" w:rsidRDefault="006C5068" w:rsidP="006C5068">
      <w:pPr>
        <w:autoSpaceDE w:val="0"/>
        <w:autoSpaceDN w:val="0"/>
        <w:adjustRightInd w:val="0"/>
        <w:spacing w:line="0" w:lineRule="atLeast"/>
        <w:jc w:val="both"/>
        <w:rPr>
          <w:rFonts w:eastAsia="Arial Narrow" w:cs="Arial"/>
          <w:b/>
          <w:szCs w:val="20"/>
        </w:rPr>
      </w:pPr>
    </w:p>
    <w:p w14:paraId="3249F624" w14:textId="77777777" w:rsidR="004404EF" w:rsidRPr="005E4BEA" w:rsidRDefault="004404EF" w:rsidP="004404EF">
      <w:pPr>
        <w:spacing w:line="0" w:lineRule="atLeast"/>
        <w:jc w:val="both"/>
        <w:rPr>
          <w:rFonts w:eastAsia="Arial Narrow" w:cs="Arial"/>
          <w:szCs w:val="20"/>
          <w:lang w:eastAsia="sl-SI"/>
        </w:rPr>
      </w:pPr>
      <w:r w:rsidRPr="005E4BEA">
        <w:rPr>
          <w:rFonts w:eastAsia="Arial Narrow" w:cs="Arial"/>
          <w:szCs w:val="20"/>
          <w:lang w:eastAsia="sl-SI"/>
        </w:rPr>
        <w:t>V prilogi III se v 3. odstavku »Prelivanje pri končnem letnem obračunu«</w:t>
      </w:r>
    </w:p>
    <w:p w14:paraId="5A7481CB" w14:textId="77777777" w:rsidR="004404EF" w:rsidRPr="005E4BEA" w:rsidRDefault="004404EF" w:rsidP="004404EF">
      <w:pPr>
        <w:spacing w:line="0" w:lineRule="atLeast"/>
        <w:jc w:val="both"/>
        <w:rPr>
          <w:rFonts w:eastAsia="Arial Narrow" w:cs="Arial"/>
          <w:szCs w:val="20"/>
          <w:lang w:eastAsia="sl-SI"/>
        </w:rPr>
      </w:pPr>
      <w:r w:rsidRPr="005E4BEA">
        <w:rPr>
          <w:rFonts w:eastAsia="Arial Narrow" w:cs="Arial"/>
          <w:szCs w:val="20"/>
          <w:lang w:eastAsia="sl-SI"/>
        </w:rPr>
        <w:t>Črta 2. alineja pod točko a) »znotraj urgentnega centra med enoto za bolezni in enoto za poškodbe</w:t>
      </w:r>
    </w:p>
    <w:bookmarkEnd w:id="153"/>
    <w:p w14:paraId="4B4F4CDB" w14:textId="77777777" w:rsidR="006C5068" w:rsidRPr="005E4BEA" w:rsidRDefault="006C5068" w:rsidP="006C5068">
      <w:pPr>
        <w:spacing w:line="0" w:lineRule="atLeast"/>
        <w:jc w:val="both"/>
        <w:rPr>
          <w:rFonts w:eastAsia="Arial Narrow" w:cs="Arial"/>
          <w:szCs w:val="20"/>
          <w:lang w:eastAsia="sl-SI"/>
        </w:rPr>
      </w:pPr>
    </w:p>
    <w:p w14:paraId="371E3EF1" w14:textId="4CE1FF18" w:rsidR="00567E48" w:rsidRPr="005E4BEA" w:rsidRDefault="006C5068" w:rsidP="00567E48">
      <w:pPr>
        <w:spacing w:line="240" w:lineRule="auto"/>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55" w:name="_Hlk102648639"/>
      <w:r w:rsidRPr="005E4BEA">
        <w:rPr>
          <w:rFonts w:eastAsia="Arial Narrow" w:cs="Arial"/>
          <w:bCs/>
          <w:szCs w:val="20"/>
        </w:rPr>
        <w:t xml:space="preserve">da </w:t>
      </w:r>
      <w:bookmarkEnd w:id="152"/>
      <w:r w:rsidR="004404EF" w:rsidRPr="005E4BEA">
        <w:rPr>
          <w:rFonts w:eastAsia="Arial Narrow" w:cs="Arial"/>
          <w:bCs/>
          <w:szCs w:val="20"/>
        </w:rPr>
        <w:t xml:space="preserve">se </w:t>
      </w:r>
      <w:r w:rsidR="00567E48" w:rsidRPr="005E4BEA">
        <w:rPr>
          <w:rFonts w:eastAsia="Arial Narrow" w:cs="Arial"/>
          <w:szCs w:val="20"/>
        </w:rPr>
        <w:t>v Prilogi III/b v drugi točki na koncu doda nova alineja, ki se glasi:</w:t>
      </w:r>
    </w:p>
    <w:p w14:paraId="1E6166C4" w14:textId="77777777" w:rsidR="00567E48" w:rsidRPr="005E4BEA" w:rsidRDefault="00567E48" w:rsidP="00567E48">
      <w:pPr>
        <w:spacing w:line="240" w:lineRule="auto"/>
        <w:jc w:val="both"/>
        <w:rPr>
          <w:rFonts w:eastAsia="Arial Narrow" w:cs="Arial"/>
          <w:szCs w:val="20"/>
        </w:rPr>
      </w:pPr>
    </w:p>
    <w:p w14:paraId="19B01E0F" w14:textId="2B426D47" w:rsidR="00567E48" w:rsidRPr="005E4BEA" w:rsidRDefault="00567E48" w:rsidP="00567E48">
      <w:pPr>
        <w:spacing w:line="0" w:lineRule="atLeast"/>
        <w:jc w:val="both"/>
        <w:rPr>
          <w:rFonts w:eastAsia="Arial Narrow" w:cs="Arial"/>
          <w:szCs w:val="20"/>
        </w:rPr>
      </w:pPr>
      <w:r w:rsidRPr="005E4BEA">
        <w:rPr>
          <w:rFonts w:eastAsia="Arial Narrow" w:cs="Arial"/>
          <w:szCs w:val="20"/>
        </w:rPr>
        <w:t xml:space="preserve">»Zavod plača do 20 % preseganja pogodbenega plana storitev v UC – enota za bolezni in UC – enota za poškodbe, če izvajalec preseže pogodbeno dogovorjeni plan. V primeru, da je realizacija izvajalca manjša od plana, pa </w:t>
      </w:r>
      <w:r w:rsidR="00CE2B29" w:rsidRPr="005E4BEA">
        <w:rPr>
          <w:rFonts w:eastAsia="Arial Narrow" w:cs="Arial"/>
          <w:szCs w:val="20"/>
        </w:rPr>
        <w:t xml:space="preserve">plača </w:t>
      </w:r>
      <w:r w:rsidRPr="005E4BEA">
        <w:rPr>
          <w:rFonts w:eastAsia="Arial Narrow" w:cs="Arial"/>
          <w:szCs w:val="20"/>
        </w:rPr>
        <w:t>plan</w:t>
      </w:r>
      <w:r w:rsidR="00CE2B29" w:rsidRPr="005E4BEA">
        <w:rPr>
          <w:rFonts w:eastAsia="Arial Narrow" w:cs="Arial"/>
          <w:szCs w:val="20"/>
        </w:rPr>
        <w:t xml:space="preserve"> v deležu za</w:t>
      </w:r>
      <w:r w:rsidRPr="005E4BEA">
        <w:rPr>
          <w:rFonts w:eastAsia="Arial Narrow" w:cs="Arial"/>
          <w:szCs w:val="20"/>
        </w:rPr>
        <w:t>.«</w:t>
      </w:r>
    </w:p>
    <w:p w14:paraId="2E0083F8" w14:textId="64D37AC9" w:rsidR="004404EF" w:rsidRPr="005E4BEA" w:rsidRDefault="004404EF" w:rsidP="00567E48">
      <w:pPr>
        <w:spacing w:line="0" w:lineRule="atLeast"/>
        <w:jc w:val="both"/>
        <w:rPr>
          <w:rFonts w:eastAsia="Arial Narrow" w:cs="Arial"/>
          <w:szCs w:val="20"/>
        </w:rPr>
      </w:pPr>
    </w:p>
    <w:p w14:paraId="05EB33BD" w14:textId="77777777" w:rsidR="004404EF" w:rsidRPr="005E4BEA" w:rsidRDefault="004404EF" w:rsidP="004404EF">
      <w:pPr>
        <w:spacing w:line="0" w:lineRule="atLeast"/>
        <w:jc w:val="both"/>
        <w:rPr>
          <w:rFonts w:eastAsia="Arial Narrow" w:cs="Arial"/>
          <w:szCs w:val="20"/>
        </w:rPr>
      </w:pPr>
      <w:r w:rsidRPr="005E4BEA">
        <w:rPr>
          <w:rFonts w:eastAsia="Arial Narrow" w:cs="Arial"/>
          <w:szCs w:val="20"/>
        </w:rPr>
        <w:t>V prilogi III se v 3. odstavku »Prelivanje pri končnem letnem obračunu«</w:t>
      </w:r>
    </w:p>
    <w:p w14:paraId="2B2C85B8" w14:textId="77777777" w:rsidR="004404EF" w:rsidRPr="005E4BEA" w:rsidRDefault="004404EF" w:rsidP="004404EF">
      <w:pPr>
        <w:spacing w:line="0" w:lineRule="atLeast"/>
        <w:jc w:val="both"/>
        <w:rPr>
          <w:rFonts w:eastAsia="Arial Narrow" w:cs="Arial"/>
          <w:szCs w:val="20"/>
        </w:rPr>
      </w:pPr>
      <w:r w:rsidRPr="005E4BEA">
        <w:rPr>
          <w:rFonts w:eastAsia="Arial Narrow" w:cs="Arial"/>
          <w:szCs w:val="20"/>
        </w:rPr>
        <w:t>Črta 2. alineja pod točko a) »znotraj urgentnega centra med enoto za bolezni in enoto za poškodbe</w:t>
      </w:r>
    </w:p>
    <w:bookmarkEnd w:id="155"/>
    <w:p w14:paraId="201A6BFB" w14:textId="77777777" w:rsidR="004404EF" w:rsidRPr="005E4BEA" w:rsidRDefault="004404EF" w:rsidP="00567E48">
      <w:pPr>
        <w:spacing w:line="0" w:lineRule="atLeast"/>
        <w:jc w:val="both"/>
        <w:rPr>
          <w:rFonts w:eastAsia="Arial Narrow" w:cs="Arial"/>
          <w:szCs w:val="20"/>
        </w:rPr>
      </w:pPr>
    </w:p>
    <w:p w14:paraId="5262F755" w14:textId="147DE96A" w:rsidR="00FE461F" w:rsidRPr="005E4BEA" w:rsidRDefault="00FE461F" w:rsidP="00FE461F">
      <w:pPr>
        <w:autoSpaceDE w:val="0"/>
        <w:autoSpaceDN w:val="0"/>
        <w:adjustRightInd w:val="0"/>
        <w:spacing w:line="240" w:lineRule="auto"/>
        <w:jc w:val="both"/>
        <w:rPr>
          <w:rFonts w:eastAsiaTheme="minorHAnsi" w:cs="Arial"/>
          <w:b/>
          <w:bCs/>
          <w:i/>
          <w:color w:val="7F7F7F" w:themeColor="text1" w:themeTint="80"/>
          <w:szCs w:val="20"/>
        </w:rPr>
      </w:pPr>
    </w:p>
    <w:p w14:paraId="3EBD21F5" w14:textId="547C6032" w:rsidR="006C5068" w:rsidRPr="005E4BEA" w:rsidRDefault="006C506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(131)</w:t>
      </w:r>
    </w:p>
    <w:p w14:paraId="78CC78EF" w14:textId="77777777" w:rsidR="006C5068" w:rsidRPr="005E4BEA" w:rsidRDefault="006C5068" w:rsidP="006C5068">
      <w:pPr>
        <w:spacing w:line="240" w:lineRule="auto"/>
        <w:jc w:val="both"/>
        <w:rPr>
          <w:rFonts w:eastAsia="Arial Narrow" w:cs="Arial"/>
          <w:bCs/>
          <w:szCs w:val="20"/>
        </w:rPr>
      </w:pPr>
    </w:p>
    <w:p w14:paraId="37DE7D7C" w14:textId="4E7ADA57" w:rsidR="00FE461F" w:rsidRPr="005E4BEA" w:rsidRDefault="006C5068" w:rsidP="006C5068">
      <w:pPr>
        <w:spacing w:line="240" w:lineRule="auto"/>
        <w:jc w:val="both"/>
        <w:rPr>
          <w:rFonts w:cs="Arial"/>
          <w:b/>
          <w:bCs/>
          <w:szCs w:val="20"/>
          <w:lang w:eastAsia="sl-SI"/>
        </w:rPr>
      </w:pPr>
      <w:r w:rsidRPr="005E4BEA">
        <w:rPr>
          <w:rFonts w:eastAsia="Arial Narrow" w:cs="Arial"/>
          <w:b/>
          <w:szCs w:val="20"/>
        </w:rPr>
        <w:t>Ministrstvo za zdravje</w:t>
      </w:r>
      <w:r w:rsidRPr="005E4BEA">
        <w:rPr>
          <w:rFonts w:eastAsia="Arial Narrow" w:cs="Arial"/>
          <w:bCs/>
          <w:szCs w:val="20"/>
        </w:rPr>
        <w:t xml:space="preserve"> </w:t>
      </w:r>
      <w:r w:rsidRPr="005E4BEA">
        <w:rPr>
          <w:rFonts w:eastAsiaTheme="minorHAnsi" w:cs="Arial"/>
          <w:bCs/>
          <w:szCs w:val="20"/>
        </w:rPr>
        <w:t xml:space="preserve">predlaga, da se v </w:t>
      </w:r>
      <w:proofErr w:type="spellStart"/>
      <w:r w:rsidRPr="005E4BEA">
        <w:rPr>
          <w:rFonts w:eastAsiaTheme="minorHAnsi" w:cs="Arial"/>
          <w:bCs/>
          <w:szCs w:val="20"/>
        </w:rPr>
        <w:t>v</w:t>
      </w:r>
      <w:proofErr w:type="spellEnd"/>
      <w:r w:rsidRPr="005E4BEA">
        <w:rPr>
          <w:rFonts w:eastAsiaTheme="minorHAnsi" w:cs="Arial"/>
          <w:bCs/>
          <w:szCs w:val="20"/>
        </w:rPr>
        <w:t xml:space="preserve"> </w:t>
      </w:r>
      <w:r w:rsidRPr="005E4BEA">
        <w:rPr>
          <w:rFonts w:eastAsia="MS Mincho" w:cs="Arial"/>
          <w:bCs/>
          <w:szCs w:val="20"/>
        </w:rPr>
        <w:t xml:space="preserve">Prilogi III/a </w:t>
      </w:r>
      <w:r w:rsidR="00FE461F" w:rsidRPr="005E4BEA">
        <w:rPr>
          <w:rFonts w:cs="Arial"/>
          <w:szCs w:val="20"/>
          <w:lang w:eastAsia="sl-SI"/>
        </w:rPr>
        <w:t>v poglavju 2. Dispanzer za ženske</w:t>
      </w:r>
      <w:r w:rsidR="00FE461F" w:rsidRPr="005E4BEA">
        <w:rPr>
          <w:rFonts w:cs="Arial"/>
          <w:b/>
          <w:bCs/>
          <w:szCs w:val="20"/>
          <w:lang w:eastAsia="sl-SI"/>
        </w:rPr>
        <w:t>:</w:t>
      </w:r>
    </w:p>
    <w:p w14:paraId="6D80D496" w14:textId="77777777" w:rsidR="00FE461F" w:rsidRPr="005E4BEA" w:rsidRDefault="00FE461F" w:rsidP="00FE461F">
      <w:pPr>
        <w:spacing w:line="240" w:lineRule="auto"/>
        <w:rPr>
          <w:rFonts w:cs="Arial"/>
          <w:b/>
          <w:bCs/>
          <w:szCs w:val="20"/>
          <w:lang w:eastAsia="sl-SI"/>
        </w:rPr>
      </w:pPr>
    </w:p>
    <w:p w14:paraId="026876D5" w14:textId="77777777" w:rsidR="00FE461F" w:rsidRPr="005E4BEA" w:rsidRDefault="00FE461F" w:rsidP="00FE461F">
      <w:pPr>
        <w:spacing w:line="240" w:lineRule="auto"/>
        <w:jc w:val="both"/>
        <w:rPr>
          <w:rFonts w:cs="Arial"/>
          <w:szCs w:val="20"/>
          <w:lang w:eastAsia="sl-SI"/>
        </w:rPr>
      </w:pPr>
      <w:r w:rsidRPr="005E4BEA">
        <w:rPr>
          <w:rFonts w:cs="Arial"/>
          <w:szCs w:val="20"/>
          <w:lang w:eastAsia="sl-SI"/>
        </w:rPr>
        <w:t xml:space="preserve">Besedilo drugega odstavka nadomesti z novim besedilom, ki se glasi: </w:t>
      </w:r>
    </w:p>
    <w:p w14:paraId="7CA37210" w14:textId="77777777" w:rsidR="00FE461F" w:rsidRPr="005E4BEA" w:rsidRDefault="00FE461F" w:rsidP="00FE461F">
      <w:pPr>
        <w:spacing w:line="240" w:lineRule="auto"/>
        <w:jc w:val="both"/>
        <w:rPr>
          <w:rFonts w:cs="Arial"/>
          <w:szCs w:val="20"/>
          <w:lang w:eastAsia="sl-SI"/>
        </w:rPr>
      </w:pPr>
      <w:r w:rsidRPr="005E4BEA">
        <w:rPr>
          <w:rFonts w:cs="Arial"/>
          <w:szCs w:val="20"/>
          <w:lang w:eastAsia="sl-SI"/>
        </w:rPr>
        <w:t>» (2) Zavod plača izvajalcem vse količnike iz glavarine, količnike iz obiskov pa v skladu z naslednjimi kriteriji:</w:t>
      </w:r>
    </w:p>
    <w:p w14:paraId="255BC1DC" w14:textId="77777777" w:rsidR="00FE461F" w:rsidRPr="005E4BEA" w:rsidRDefault="00FE461F" w:rsidP="00FE461F">
      <w:pPr>
        <w:spacing w:line="240" w:lineRule="auto"/>
        <w:jc w:val="both"/>
        <w:rPr>
          <w:rFonts w:cs="Arial"/>
          <w:szCs w:val="20"/>
          <w:lang w:eastAsia="sl-SI"/>
        </w:rPr>
      </w:pPr>
      <w:r w:rsidRPr="005E4BEA">
        <w:rPr>
          <w:rFonts w:cs="Arial"/>
          <w:szCs w:val="20"/>
          <w:lang w:eastAsia="sl-SI"/>
        </w:rPr>
        <w:t xml:space="preserve"> </w:t>
      </w:r>
    </w:p>
    <w:p w14:paraId="4C28CAA5" w14:textId="77777777" w:rsidR="00FE461F" w:rsidRPr="005E4BEA" w:rsidRDefault="00FE461F" w:rsidP="00FE461F">
      <w:pPr>
        <w:spacing w:line="240" w:lineRule="auto"/>
        <w:jc w:val="both"/>
        <w:rPr>
          <w:rFonts w:cs="Arial"/>
          <w:szCs w:val="20"/>
          <w:lang w:eastAsia="sl-SI"/>
        </w:rPr>
      </w:pPr>
      <w:r w:rsidRPr="005E4BEA">
        <w:rPr>
          <w:rFonts w:cs="Arial"/>
          <w:szCs w:val="20"/>
          <w:lang w:eastAsia="sl-SI"/>
        </w:rPr>
        <w:t>-  realiziramo število količnikov iz obiskov, če izvajalec preseže pogodbeno dogovorjeni plan količnikov iz obiskov ali če ne realizira najmanj 15.000 količnikov iz obiskov na tim (preventiva in kurativa skupaj),</w:t>
      </w:r>
    </w:p>
    <w:p w14:paraId="53F2FED9" w14:textId="77777777" w:rsidR="00FE461F" w:rsidRPr="005E4BEA" w:rsidRDefault="00FE461F" w:rsidP="00FE461F">
      <w:pPr>
        <w:spacing w:line="240" w:lineRule="auto"/>
        <w:jc w:val="both"/>
        <w:rPr>
          <w:rFonts w:cs="Arial"/>
          <w:szCs w:val="20"/>
          <w:lang w:eastAsia="sl-SI"/>
        </w:rPr>
      </w:pPr>
    </w:p>
    <w:p w14:paraId="2C279BAE" w14:textId="77777777" w:rsidR="00FE461F" w:rsidRPr="005E4BEA" w:rsidRDefault="00FE461F" w:rsidP="00FE461F">
      <w:pPr>
        <w:spacing w:line="240" w:lineRule="auto"/>
        <w:jc w:val="both"/>
        <w:rPr>
          <w:rFonts w:cs="Arial"/>
          <w:szCs w:val="20"/>
          <w:lang w:eastAsia="sl-SI"/>
        </w:rPr>
      </w:pPr>
      <w:r w:rsidRPr="005E4BEA">
        <w:rPr>
          <w:rFonts w:cs="Arial"/>
          <w:szCs w:val="20"/>
          <w:lang w:eastAsia="sl-SI"/>
        </w:rPr>
        <w:t>- planirano število količnikov iz obiskov, če izvajalec realizira najmanj 15.000 količnikov iz obiskov na tim in ne preseže pogodbeno dogovorjenega števila količnikov iz obiskov (preventiva in kurativa skupaj).</w:t>
      </w:r>
    </w:p>
    <w:p w14:paraId="068C3BAE" w14:textId="77777777" w:rsidR="00FE461F" w:rsidRPr="005E4BEA" w:rsidRDefault="00FE461F" w:rsidP="00FE461F">
      <w:pPr>
        <w:spacing w:line="240" w:lineRule="auto"/>
        <w:jc w:val="both"/>
        <w:rPr>
          <w:rFonts w:cs="Arial"/>
          <w:szCs w:val="20"/>
          <w:lang w:eastAsia="sl-SI"/>
        </w:rPr>
      </w:pPr>
    </w:p>
    <w:p w14:paraId="4CDA310A" w14:textId="77777777" w:rsidR="00FE461F" w:rsidRPr="005E4BEA" w:rsidRDefault="00FE461F" w:rsidP="00FE461F">
      <w:pPr>
        <w:spacing w:line="240" w:lineRule="auto"/>
        <w:rPr>
          <w:rFonts w:cs="Arial"/>
          <w:szCs w:val="20"/>
          <w:lang w:eastAsia="sl-SI"/>
        </w:rPr>
      </w:pPr>
      <w:r w:rsidRPr="005E4BEA">
        <w:rPr>
          <w:rFonts w:cs="Arial"/>
          <w:szCs w:val="20"/>
          <w:lang w:eastAsia="sl-SI"/>
        </w:rPr>
        <w:t xml:space="preserve">Črtata se šesti in sedmi odstavek. </w:t>
      </w:r>
    </w:p>
    <w:p w14:paraId="69983AA0" w14:textId="77777777" w:rsidR="00FE461F" w:rsidRPr="005E4BEA" w:rsidRDefault="00FE461F" w:rsidP="00FE461F">
      <w:pPr>
        <w:spacing w:line="240" w:lineRule="auto"/>
        <w:rPr>
          <w:rFonts w:cs="Arial"/>
          <w:bCs/>
          <w:szCs w:val="20"/>
          <w:lang w:eastAsia="sl-SI"/>
        </w:rPr>
      </w:pPr>
    </w:p>
    <w:p w14:paraId="100DFED8" w14:textId="77777777" w:rsidR="00FE461F" w:rsidRPr="005E4BEA" w:rsidRDefault="00FE461F" w:rsidP="00FE461F">
      <w:pPr>
        <w:spacing w:line="240" w:lineRule="auto"/>
        <w:rPr>
          <w:rFonts w:cs="Arial"/>
          <w:bCs/>
          <w:szCs w:val="20"/>
          <w:lang w:eastAsia="sl-SI"/>
        </w:rPr>
      </w:pPr>
      <w:r w:rsidRPr="005E4BEA">
        <w:rPr>
          <w:rFonts w:cs="Arial"/>
          <w:bCs/>
          <w:szCs w:val="20"/>
          <w:lang w:eastAsia="sl-SI"/>
        </w:rPr>
        <w:t>Sedanji osmi odstavek postane nov šesti odstavek.</w:t>
      </w:r>
    </w:p>
    <w:p w14:paraId="03F65B78" w14:textId="77777777" w:rsidR="00FE461F" w:rsidRPr="005E4BEA" w:rsidRDefault="00FE461F" w:rsidP="00FE461F">
      <w:pPr>
        <w:spacing w:line="240" w:lineRule="auto"/>
        <w:rPr>
          <w:rFonts w:cs="Arial"/>
          <w:bCs/>
          <w:szCs w:val="20"/>
          <w:lang w:eastAsia="sl-SI"/>
        </w:rPr>
      </w:pPr>
    </w:p>
    <w:p w14:paraId="1D1FCA83" w14:textId="77777777" w:rsidR="00FE461F" w:rsidRPr="005E4BEA" w:rsidRDefault="00FE461F" w:rsidP="00FE461F">
      <w:pPr>
        <w:spacing w:line="240" w:lineRule="auto"/>
        <w:jc w:val="both"/>
        <w:rPr>
          <w:rFonts w:eastAsia="Calibri" w:cs="Arial"/>
          <w:b/>
          <w:bCs/>
          <w:i/>
          <w:iCs/>
          <w:color w:val="7F7F7F" w:themeColor="text1" w:themeTint="80"/>
          <w:szCs w:val="20"/>
        </w:rPr>
      </w:pPr>
      <w:r w:rsidRPr="005E4BEA">
        <w:rPr>
          <w:rFonts w:eastAsia="Calibri" w:cs="Arial"/>
          <w:b/>
          <w:bCs/>
          <w:i/>
          <w:iCs/>
          <w:color w:val="7F7F7F" w:themeColor="text1" w:themeTint="80"/>
          <w:szCs w:val="20"/>
        </w:rPr>
        <w:t>Obrazložitev:</w:t>
      </w:r>
    </w:p>
    <w:p w14:paraId="67A8B4BE" w14:textId="77777777"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Ne enak način kot v ambulantah splošne medicine in otroškem in šolskem dispanzerju je tudi v dispanzerju treba omogočiti plačilo za preseganje normativa. Od 149,55 timov jih 77,48 presega 1.632 GK, kolikor znaša republiško povprečje. Realizacija količnikov iz storitev se že vrsto let giblje okrog 80 procentov. V letu 2021 je bila realizacija  količnikov iz storitev dosežena  v 82 procentih.</w:t>
      </w:r>
    </w:p>
    <w:p w14:paraId="4E2ABCDB" w14:textId="77777777" w:rsidR="00FE461F" w:rsidRPr="005E4BEA" w:rsidRDefault="00FE461F" w:rsidP="00FE461F">
      <w:pPr>
        <w:spacing w:line="240" w:lineRule="auto"/>
        <w:rPr>
          <w:rFonts w:eastAsia="Calibri" w:cs="Arial"/>
          <w:i/>
          <w:iCs/>
          <w:color w:val="7F7F7F" w:themeColor="text1" w:themeTint="80"/>
          <w:szCs w:val="20"/>
        </w:rPr>
      </w:pPr>
    </w:p>
    <w:p w14:paraId="589C039C" w14:textId="02ACB4FC" w:rsidR="00FE461F" w:rsidRPr="005E4BEA" w:rsidRDefault="00FE461F" w:rsidP="00FE461F">
      <w:pPr>
        <w:spacing w:line="240" w:lineRule="auto"/>
        <w:rPr>
          <w:rFonts w:eastAsia="Calibri" w:cs="Arial"/>
          <w:b/>
          <w:bCs/>
          <w:i/>
          <w:iCs/>
          <w:color w:val="7F7F7F" w:themeColor="text1" w:themeTint="80"/>
          <w:szCs w:val="20"/>
        </w:rPr>
      </w:pPr>
      <w:r w:rsidRPr="005E4BEA">
        <w:rPr>
          <w:rFonts w:eastAsia="Calibri" w:cs="Arial"/>
          <w:b/>
          <w:bCs/>
          <w:i/>
          <w:iCs/>
          <w:color w:val="7F7F7F" w:themeColor="text1" w:themeTint="80"/>
          <w:szCs w:val="20"/>
        </w:rPr>
        <w:t xml:space="preserve">Finančna ocena: </w:t>
      </w:r>
      <w:r w:rsidR="003C62CC" w:rsidRPr="005E4BEA">
        <w:rPr>
          <w:rFonts w:eastAsia="Calibri" w:cs="Arial"/>
          <w:b/>
          <w:bCs/>
          <w:i/>
          <w:iCs/>
          <w:color w:val="7F7F7F" w:themeColor="text1" w:themeTint="80"/>
          <w:szCs w:val="20"/>
        </w:rPr>
        <w:t xml:space="preserve">120.000 </w:t>
      </w:r>
      <w:r w:rsidRPr="005E4BEA">
        <w:rPr>
          <w:rFonts w:eastAsia="Calibri" w:cs="Arial"/>
          <w:b/>
          <w:bCs/>
          <w:i/>
          <w:iCs/>
          <w:color w:val="7F7F7F" w:themeColor="text1" w:themeTint="80"/>
          <w:szCs w:val="20"/>
        </w:rPr>
        <w:t>eur</w:t>
      </w:r>
    </w:p>
    <w:p w14:paraId="744360A5" w14:textId="77777777" w:rsidR="00FE461F" w:rsidRPr="005E4BEA" w:rsidRDefault="00FE461F" w:rsidP="00FE461F">
      <w:pPr>
        <w:spacing w:line="240" w:lineRule="auto"/>
        <w:rPr>
          <w:rFonts w:cs="Arial"/>
          <w:bCs/>
          <w:i/>
          <w:iCs/>
          <w:szCs w:val="20"/>
          <w:lang w:eastAsia="sl-SI"/>
        </w:rPr>
      </w:pPr>
    </w:p>
    <w:p w14:paraId="57DF8623" w14:textId="77777777" w:rsidR="00FE461F" w:rsidRPr="005E4BEA" w:rsidRDefault="00FE461F" w:rsidP="00FE461F">
      <w:pPr>
        <w:spacing w:line="240" w:lineRule="auto"/>
        <w:rPr>
          <w:rFonts w:cs="Arial"/>
          <w:b/>
          <w:szCs w:val="20"/>
          <w:lang w:eastAsia="sl-SI"/>
        </w:rPr>
      </w:pPr>
    </w:p>
    <w:p w14:paraId="3529D1A5" w14:textId="77777777" w:rsidR="00FE461F" w:rsidRPr="005E4BEA" w:rsidRDefault="00FE461F" w:rsidP="00FE461F">
      <w:pPr>
        <w:spacing w:line="240" w:lineRule="auto"/>
        <w:jc w:val="both"/>
        <w:rPr>
          <w:rFonts w:cs="Arial"/>
          <w:b/>
          <w:szCs w:val="20"/>
          <w:lang w:eastAsia="sl-SI"/>
        </w:rPr>
      </w:pPr>
      <w:r w:rsidRPr="005E4BEA">
        <w:rPr>
          <w:rFonts w:cs="Arial"/>
          <w:b/>
          <w:szCs w:val="20"/>
          <w:lang w:eastAsia="sl-SI"/>
        </w:rPr>
        <w:t>V 24. členu (6) odstavku se v tabeli dodajo nove vrstice za nujne širitve programov oziroma uvajanje novih terapij:</w:t>
      </w:r>
    </w:p>
    <w:p w14:paraId="205C741F" w14:textId="77777777" w:rsidR="00FE461F" w:rsidRPr="005E4BEA" w:rsidRDefault="00FE461F" w:rsidP="00FE461F">
      <w:pPr>
        <w:spacing w:line="240" w:lineRule="auto"/>
        <w:jc w:val="both"/>
        <w:rPr>
          <w:rFonts w:cs="Arial"/>
          <w:b/>
          <w:szCs w:val="20"/>
          <w:lang w:eastAsia="sl-SI"/>
        </w:rPr>
      </w:pPr>
    </w:p>
    <w:tbl>
      <w:tblPr>
        <w:tblW w:w="9180" w:type="dxa"/>
        <w:tblCellMar>
          <w:left w:w="70" w:type="dxa"/>
          <w:right w:w="70" w:type="dxa"/>
        </w:tblCellMar>
        <w:tblLook w:val="04A0" w:firstRow="1" w:lastRow="0" w:firstColumn="1" w:lastColumn="0" w:noHBand="0" w:noVBand="1"/>
      </w:tblPr>
      <w:tblGrid>
        <w:gridCol w:w="955"/>
        <w:gridCol w:w="2248"/>
        <w:gridCol w:w="2111"/>
        <w:gridCol w:w="996"/>
        <w:gridCol w:w="1456"/>
        <w:gridCol w:w="1414"/>
      </w:tblGrid>
      <w:tr w:rsidR="00FE461F" w:rsidRPr="005E4BEA" w14:paraId="6BEB4DCE" w14:textId="77777777" w:rsidTr="0016774B">
        <w:trPr>
          <w:trHeight w:val="315"/>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15DF8030"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456A6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P   r   o   g   r   a   m</w:t>
            </w:r>
          </w:p>
        </w:tc>
        <w:tc>
          <w:tcPr>
            <w:tcW w:w="2120" w:type="dxa"/>
            <w:tcBorders>
              <w:top w:val="single" w:sz="8" w:space="0" w:color="000000"/>
              <w:left w:val="nil"/>
              <w:bottom w:val="single" w:sz="8" w:space="0" w:color="000000"/>
              <w:right w:val="single" w:sz="8" w:space="0" w:color="000000"/>
            </w:tcBorders>
            <w:shd w:val="clear" w:color="auto" w:fill="auto"/>
            <w:vAlign w:val="center"/>
            <w:hideMark/>
          </w:tcPr>
          <w:p w14:paraId="140F0D3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I z v a j a l e c /</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7BBC9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Obseg programa</w:t>
            </w:r>
          </w:p>
        </w:tc>
        <w:tc>
          <w:tcPr>
            <w:tcW w:w="1460" w:type="dxa"/>
            <w:tcBorders>
              <w:top w:val="single" w:sz="8" w:space="0" w:color="000000"/>
              <w:left w:val="nil"/>
              <w:bottom w:val="single" w:sz="8" w:space="0" w:color="000000"/>
              <w:right w:val="single" w:sz="8" w:space="0" w:color="000000"/>
            </w:tcBorders>
            <w:shd w:val="clear" w:color="auto" w:fill="auto"/>
            <w:vAlign w:val="center"/>
            <w:hideMark/>
          </w:tcPr>
          <w:p w14:paraId="45FFE2F9"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c>
          <w:tcPr>
            <w:tcW w:w="1420" w:type="dxa"/>
            <w:tcBorders>
              <w:top w:val="single" w:sz="8" w:space="0" w:color="000000"/>
              <w:left w:val="nil"/>
              <w:bottom w:val="single" w:sz="8" w:space="0" w:color="000000"/>
              <w:right w:val="single" w:sz="8" w:space="0" w:color="000000"/>
            </w:tcBorders>
            <w:shd w:val="clear" w:color="auto" w:fill="auto"/>
            <w:vAlign w:val="center"/>
            <w:hideMark/>
          </w:tcPr>
          <w:p w14:paraId="04B341AD" w14:textId="77777777" w:rsidR="00FE461F" w:rsidRPr="005E4BEA" w:rsidRDefault="00FE461F" w:rsidP="00FE461F">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r>
      <w:tr w:rsidR="00FE461F" w:rsidRPr="005E4BEA" w14:paraId="41345D00" w14:textId="77777777" w:rsidTr="0016774B">
        <w:trPr>
          <w:trHeight w:val="525"/>
        </w:trPr>
        <w:tc>
          <w:tcPr>
            <w:tcW w:w="960" w:type="dxa"/>
            <w:tcBorders>
              <w:top w:val="nil"/>
              <w:left w:val="single" w:sz="8" w:space="0" w:color="000000"/>
              <w:bottom w:val="nil"/>
              <w:right w:val="single" w:sz="8" w:space="0" w:color="000000"/>
            </w:tcBorders>
            <w:shd w:val="clear" w:color="auto" w:fill="auto"/>
            <w:vAlign w:val="center"/>
            <w:hideMark/>
          </w:tcPr>
          <w:p w14:paraId="3D14CE5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623DFA23" w14:textId="77777777" w:rsidR="00FE461F" w:rsidRPr="005E4BEA" w:rsidRDefault="00FE461F" w:rsidP="00FE461F">
            <w:pPr>
              <w:spacing w:line="240" w:lineRule="auto"/>
              <w:rPr>
                <w:rFonts w:cs="Arial"/>
                <w:color w:val="000000"/>
                <w:szCs w:val="20"/>
                <w:lang w:eastAsia="sl-SI"/>
              </w:rPr>
            </w:pPr>
          </w:p>
        </w:tc>
        <w:tc>
          <w:tcPr>
            <w:tcW w:w="2120" w:type="dxa"/>
            <w:tcBorders>
              <w:top w:val="nil"/>
              <w:left w:val="nil"/>
              <w:bottom w:val="single" w:sz="8" w:space="0" w:color="000000"/>
              <w:right w:val="single" w:sz="8" w:space="0" w:color="000000"/>
            </w:tcBorders>
            <w:shd w:val="clear" w:color="auto" w:fill="auto"/>
            <w:vAlign w:val="center"/>
            <w:hideMark/>
          </w:tcPr>
          <w:p w14:paraId="7EB1F29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i z p o s t a v a</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0BB3AD6C" w14:textId="77777777" w:rsidR="00FE461F" w:rsidRPr="005E4BEA" w:rsidRDefault="00FE461F" w:rsidP="00FE461F">
            <w:pPr>
              <w:spacing w:line="240" w:lineRule="auto"/>
              <w:rPr>
                <w:rFonts w:cs="Arial"/>
                <w:color w:val="000000"/>
                <w:szCs w:val="20"/>
                <w:lang w:eastAsia="sl-SI"/>
              </w:rPr>
            </w:pPr>
          </w:p>
        </w:tc>
        <w:tc>
          <w:tcPr>
            <w:tcW w:w="1460" w:type="dxa"/>
            <w:tcBorders>
              <w:top w:val="nil"/>
              <w:left w:val="nil"/>
              <w:bottom w:val="single" w:sz="8" w:space="0" w:color="000000"/>
              <w:right w:val="single" w:sz="8" w:space="0" w:color="000000"/>
            </w:tcBorders>
            <w:shd w:val="clear" w:color="auto" w:fill="auto"/>
            <w:vAlign w:val="center"/>
            <w:hideMark/>
          </w:tcPr>
          <w:p w14:paraId="0710CEB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na letni ravni</w:t>
            </w:r>
          </w:p>
        </w:tc>
        <w:tc>
          <w:tcPr>
            <w:tcW w:w="1420" w:type="dxa"/>
            <w:tcBorders>
              <w:top w:val="nil"/>
              <w:left w:val="nil"/>
              <w:bottom w:val="single" w:sz="8" w:space="0" w:color="000000"/>
              <w:right w:val="single" w:sz="8" w:space="0" w:color="000000"/>
            </w:tcBorders>
            <w:shd w:val="clear" w:color="auto" w:fill="auto"/>
            <w:vAlign w:val="center"/>
            <w:hideMark/>
          </w:tcPr>
          <w:p w14:paraId="2AD825F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1.6.–31.12. 2022</w:t>
            </w:r>
          </w:p>
        </w:tc>
      </w:tr>
      <w:tr w:rsidR="00FE461F" w:rsidRPr="005E4BEA" w14:paraId="0424ED4D"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0E0A9A9"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15D97803" w14:textId="77777777" w:rsidR="00FE461F" w:rsidRPr="005E4BEA" w:rsidRDefault="00FE461F" w:rsidP="00FE461F">
            <w:pPr>
              <w:spacing w:line="240" w:lineRule="auto"/>
              <w:rPr>
                <w:rFonts w:cs="Arial"/>
                <w:color w:val="000000"/>
                <w:szCs w:val="20"/>
                <w:lang w:eastAsia="sl-SI"/>
              </w:rPr>
            </w:pPr>
          </w:p>
        </w:tc>
        <w:tc>
          <w:tcPr>
            <w:tcW w:w="2120" w:type="dxa"/>
            <w:tcBorders>
              <w:top w:val="nil"/>
              <w:left w:val="nil"/>
              <w:bottom w:val="single" w:sz="8" w:space="0" w:color="000000"/>
              <w:right w:val="single" w:sz="8" w:space="0" w:color="000000"/>
            </w:tcBorders>
            <w:shd w:val="clear" w:color="auto" w:fill="auto"/>
            <w:vAlign w:val="center"/>
            <w:hideMark/>
          </w:tcPr>
          <w:p w14:paraId="52DDC6B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xml:space="preserve">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211DE441" w14:textId="77777777" w:rsidR="00FE461F" w:rsidRPr="005E4BEA" w:rsidRDefault="00FE461F" w:rsidP="00FE461F">
            <w:pPr>
              <w:spacing w:line="240" w:lineRule="auto"/>
              <w:rPr>
                <w:rFonts w:cs="Arial"/>
                <w:color w:val="000000"/>
                <w:szCs w:val="20"/>
                <w:lang w:eastAsia="sl-SI"/>
              </w:rPr>
            </w:pPr>
          </w:p>
        </w:tc>
        <w:tc>
          <w:tcPr>
            <w:tcW w:w="1460" w:type="dxa"/>
            <w:tcBorders>
              <w:top w:val="nil"/>
              <w:left w:val="nil"/>
              <w:bottom w:val="single" w:sz="8" w:space="0" w:color="000000"/>
              <w:right w:val="single" w:sz="8" w:space="0" w:color="000000"/>
            </w:tcBorders>
            <w:shd w:val="clear" w:color="auto" w:fill="auto"/>
            <w:vAlign w:val="center"/>
            <w:hideMark/>
          </w:tcPr>
          <w:p w14:paraId="12CA4FC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(v EUR)</w:t>
            </w:r>
          </w:p>
        </w:tc>
        <w:tc>
          <w:tcPr>
            <w:tcW w:w="1420" w:type="dxa"/>
            <w:tcBorders>
              <w:top w:val="nil"/>
              <w:left w:val="nil"/>
              <w:bottom w:val="single" w:sz="8" w:space="0" w:color="000000"/>
              <w:right w:val="single" w:sz="8" w:space="0" w:color="000000"/>
            </w:tcBorders>
            <w:shd w:val="clear" w:color="auto" w:fill="auto"/>
            <w:vAlign w:val="center"/>
            <w:hideMark/>
          </w:tcPr>
          <w:p w14:paraId="7664628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(v EUR)</w:t>
            </w:r>
          </w:p>
        </w:tc>
      </w:tr>
      <w:tr w:rsidR="00FE461F" w:rsidRPr="005E4BEA" w14:paraId="63EBF10A"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7B05A0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2260" w:type="dxa"/>
            <w:tcBorders>
              <w:top w:val="nil"/>
              <w:left w:val="nil"/>
              <w:bottom w:val="single" w:sz="8" w:space="0" w:color="000000"/>
              <w:right w:val="single" w:sz="8" w:space="0" w:color="000000"/>
            </w:tcBorders>
            <w:shd w:val="clear" w:color="auto" w:fill="auto"/>
            <w:vAlign w:val="center"/>
            <w:hideMark/>
          </w:tcPr>
          <w:p w14:paraId="637B453D"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B1C2EE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UKC Maribor</w:t>
            </w:r>
          </w:p>
        </w:tc>
        <w:tc>
          <w:tcPr>
            <w:tcW w:w="960" w:type="dxa"/>
            <w:tcBorders>
              <w:top w:val="nil"/>
              <w:left w:val="nil"/>
              <w:bottom w:val="single" w:sz="8" w:space="0" w:color="000000"/>
              <w:right w:val="single" w:sz="8" w:space="0" w:color="000000"/>
            </w:tcBorders>
            <w:shd w:val="clear" w:color="auto" w:fill="auto"/>
            <w:vAlign w:val="center"/>
            <w:hideMark/>
          </w:tcPr>
          <w:p w14:paraId="5340CD9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781B894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536EFCFA"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40.151</w:t>
            </w:r>
          </w:p>
        </w:tc>
      </w:tr>
      <w:tr w:rsidR="00FE461F" w:rsidRPr="005E4BEA" w14:paraId="022A00BA"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D8AEDE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2</w:t>
            </w:r>
          </w:p>
        </w:tc>
        <w:tc>
          <w:tcPr>
            <w:tcW w:w="2260" w:type="dxa"/>
            <w:tcBorders>
              <w:top w:val="nil"/>
              <w:left w:val="nil"/>
              <w:bottom w:val="single" w:sz="8" w:space="0" w:color="000000"/>
              <w:right w:val="single" w:sz="8" w:space="0" w:color="000000"/>
            </w:tcBorders>
            <w:shd w:val="clear" w:color="auto" w:fill="auto"/>
            <w:vAlign w:val="center"/>
            <w:hideMark/>
          </w:tcPr>
          <w:p w14:paraId="05D514D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A8CCA2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SB Ptuj</w:t>
            </w:r>
          </w:p>
        </w:tc>
        <w:tc>
          <w:tcPr>
            <w:tcW w:w="960" w:type="dxa"/>
            <w:tcBorders>
              <w:top w:val="nil"/>
              <w:left w:val="nil"/>
              <w:bottom w:val="single" w:sz="8" w:space="0" w:color="000000"/>
              <w:right w:val="single" w:sz="8" w:space="0" w:color="000000"/>
            </w:tcBorders>
            <w:shd w:val="clear" w:color="auto" w:fill="auto"/>
            <w:vAlign w:val="center"/>
            <w:hideMark/>
          </w:tcPr>
          <w:p w14:paraId="663327E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0,7</w:t>
            </w:r>
          </w:p>
        </w:tc>
        <w:tc>
          <w:tcPr>
            <w:tcW w:w="1460" w:type="dxa"/>
            <w:tcBorders>
              <w:top w:val="nil"/>
              <w:left w:val="nil"/>
              <w:bottom w:val="single" w:sz="8" w:space="0" w:color="000000"/>
              <w:right w:val="single" w:sz="8" w:space="0" w:color="000000"/>
            </w:tcBorders>
            <w:shd w:val="clear" w:color="auto" w:fill="auto"/>
            <w:vAlign w:val="center"/>
            <w:hideMark/>
          </w:tcPr>
          <w:p w14:paraId="538ED9E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112.424</w:t>
            </w:r>
          </w:p>
        </w:tc>
        <w:tc>
          <w:tcPr>
            <w:tcW w:w="1420" w:type="dxa"/>
            <w:tcBorders>
              <w:top w:val="nil"/>
              <w:left w:val="nil"/>
              <w:bottom w:val="single" w:sz="8" w:space="0" w:color="000000"/>
              <w:right w:val="single" w:sz="8" w:space="0" w:color="000000"/>
            </w:tcBorders>
            <w:shd w:val="clear" w:color="auto" w:fill="auto"/>
            <w:vAlign w:val="center"/>
            <w:hideMark/>
          </w:tcPr>
          <w:p w14:paraId="2A4A5EF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56.212</w:t>
            </w:r>
          </w:p>
        </w:tc>
      </w:tr>
      <w:tr w:rsidR="00FE461F" w:rsidRPr="005E4BEA" w14:paraId="780B2195"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06A8EA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w:t>
            </w:r>
          </w:p>
        </w:tc>
        <w:tc>
          <w:tcPr>
            <w:tcW w:w="2260" w:type="dxa"/>
            <w:tcBorders>
              <w:top w:val="nil"/>
              <w:left w:val="nil"/>
              <w:bottom w:val="single" w:sz="8" w:space="0" w:color="000000"/>
              <w:right w:val="single" w:sz="8" w:space="0" w:color="000000"/>
            </w:tcBorders>
            <w:shd w:val="clear" w:color="auto" w:fill="auto"/>
            <w:vAlign w:val="center"/>
            <w:hideMark/>
          </w:tcPr>
          <w:p w14:paraId="32EE6CAA"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7FCB8CB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xml:space="preserve">ZD Sežana </w:t>
            </w:r>
          </w:p>
        </w:tc>
        <w:tc>
          <w:tcPr>
            <w:tcW w:w="960" w:type="dxa"/>
            <w:tcBorders>
              <w:top w:val="nil"/>
              <w:left w:val="nil"/>
              <w:bottom w:val="single" w:sz="8" w:space="0" w:color="000000"/>
              <w:right w:val="single" w:sz="8" w:space="0" w:color="000000"/>
            </w:tcBorders>
            <w:shd w:val="clear" w:color="auto" w:fill="auto"/>
            <w:vAlign w:val="center"/>
            <w:hideMark/>
          </w:tcPr>
          <w:p w14:paraId="3EE3772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0,1</w:t>
            </w:r>
          </w:p>
        </w:tc>
        <w:tc>
          <w:tcPr>
            <w:tcW w:w="1460" w:type="dxa"/>
            <w:tcBorders>
              <w:top w:val="nil"/>
              <w:left w:val="nil"/>
              <w:bottom w:val="single" w:sz="8" w:space="0" w:color="000000"/>
              <w:right w:val="single" w:sz="8" w:space="0" w:color="000000"/>
            </w:tcBorders>
            <w:shd w:val="clear" w:color="auto" w:fill="auto"/>
            <w:vAlign w:val="center"/>
            <w:hideMark/>
          </w:tcPr>
          <w:p w14:paraId="375F8929"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16.061</w:t>
            </w:r>
          </w:p>
        </w:tc>
        <w:tc>
          <w:tcPr>
            <w:tcW w:w="1420" w:type="dxa"/>
            <w:tcBorders>
              <w:top w:val="nil"/>
              <w:left w:val="nil"/>
              <w:bottom w:val="single" w:sz="8" w:space="0" w:color="000000"/>
              <w:right w:val="single" w:sz="8" w:space="0" w:color="000000"/>
            </w:tcBorders>
            <w:shd w:val="clear" w:color="auto" w:fill="auto"/>
            <w:vAlign w:val="center"/>
            <w:hideMark/>
          </w:tcPr>
          <w:p w14:paraId="671DA9E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8.031</w:t>
            </w:r>
          </w:p>
        </w:tc>
      </w:tr>
      <w:tr w:rsidR="00FE461F" w:rsidRPr="005E4BEA" w14:paraId="6013CD68" w14:textId="77777777" w:rsidTr="0016774B">
        <w:trPr>
          <w:trHeight w:val="52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E14533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w:t>
            </w:r>
          </w:p>
        </w:tc>
        <w:tc>
          <w:tcPr>
            <w:tcW w:w="2260" w:type="dxa"/>
            <w:tcBorders>
              <w:top w:val="nil"/>
              <w:left w:val="nil"/>
              <w:bottom w:val="single" w:sz="8" w:space="0" w:color="000000"/>
              <w:right w:val="single" w:sz="8" w:space="0" w:color="000000"/>
            </w:tcBorders>
            <w:shd w:val="clear" w:color="auto" w:fill="auto"/>
            <w:vAlign w:val="center"/>
            <w:hideMark/>
          </w:tcPr>
          <w:p w14:paraId="4CC8D85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01F80E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BGP Kranj ali ZD Kranj</w:t>
            </w:r>
          </w:p>
        </w:tc>
        <w:tc>
          <w:tcPr>
            <w:tcW w:w="960" w:type="dxa"/>
            <w:tcBorders>
              <w:top w:val="nil"/>
              <w:left w:val="nil"/>
              <w:bottom w:val="single" w:sz="8" w:space="0" w:color="000000"/>
              <w:right w:val="single" w:sz="8" w:space="0" w:color="000000"/>
            </w:tcBorders>
            <w:shd w:val="clear" w:color="auto" w:fill="auto"/>
            <w:vAlign w:val="center"/>
            <w:hideMark/>
          </w:tcPr>
          <w:p w14:paraId="63A00F5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1460" w:type="dxa"/>
            <w:tcBorders>
              <w:top w:val="nil"/>
              <w:left w:val="nil"/>
              <w:bottom w:val="single" w:sz="8" w:space="0" w:color="000000"/>
              <w:right w:val="single" w:sz="8" w:space="0" w:color="000000"/>
            </w:tcBorders>
            <w:shd w:val="clear" w:color="auto" w:fill="auto"/>
            <w:vAlign w:val="center"/>
            <w:hideMark/>
          </w:tcPr>
          <w:p w14:paraId="0E78F05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160.605</w:t>
            </w:r>
          </w:p>
        </w:tc>
        <w:tc>
          <w:tcPr>
            <w:tcW w:w="1420" w:type="dxa"/>
            <w:tcBorders>
              <w:top w:val="nil"/>
              <w:left w:val="nil"/>
              <w:bottom w:val="single" w:sz="8" w:space="0" w:color="000000"/>
              <w:right w:val="single" w:sz="8" w:space="0" w:color="000000"/>
            </w:tcBorders>
            <w:shd w:val="clear" w:color="auto" w:fill="auto"/>
            <w:vAlign w:val="center"/>
            <w:hideMark/>
          </w:tcPr>
          <w:p w14:paraId="50A8355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80.303</w:t>
            </w:r>
          </w:p>
        </w:tc>
      </w:tr>
      <w:tr w:rsidR="00FE461F" w:rsidRPr="005E4BEA" w14:paraId="4DD58E5B"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BBF77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w:t>
            </w:r>
          </w:p>
        </w:tc>
        <w:tc>
          <w:tcPr>
            <w:tcW w:w="2260" w:type="dxa"/>
            <w:tcBorders>
              <w:top w:val="nil"/>
              <w:left w:val="nil"/>
              <w:bottom w:val="single" w:sz="8" w:space="0" w:color="000000"/>
              <w:right w:val="single" w:sz="8" w:space="0" w:color="000000"/>
            </w:tcBorders>
            <w:shd w:val="clear" w:color="auto" w:fill="auto"/>
            <w:vAlign w:val="center"/>
            <w:hideMark/>
          </w:tcPr>
          <w:p w14:paraId="301113D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A327B1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Cerknica</w:t>
            </w:r>
          </w:p>
        </w:tc>
        <w:tc>
          <w:tcPr>
            <w:tcW w:w="960" w:type="dxa"/>
            <w:tcBorders>
              <w:top w:val="nil"/>
              <w:left w:val="nil"/>
              <w:bottom w:val="single" w:sz="8" w:space="0" w:color="000000"/>
              <w:right w:val="single" w:sz="8" w:space="0" w:color="000000"/>
            </w:tcBorders>
            <w:shd w:val="clear" w:color="auto" w:fill="auto"/>
            <w:vAlign w:val="center"/>
            <w:hideMark/>
          </w:tcPr>
          <w:p w14:paraId="1DA806D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0,3</w:t>
            </w:r>
          </w:p>
        </w:tc>
        <w:tc>
          <w:tcPr>
            <w:tcW w:w="1460" w:type="dxa"/>
            <w:tcBorders>
              <w:top w:val="nil"/>
              <w:left w:val="nil"/>
              <w:bottom w:val="single" w:sz="8" w:space="0" w:color="000000"/>
              <w:right w:val="single" w:sz="8" w:space="0" w:color="000000"/>
            </w:tcBorders>
            <w:shd w:val="clear" w:color="auto" w:fill="auto"/>
            <w:vAlign w:val="center"/>
            <w:hideMark/>
          </w:tcPr>
          <w:p w14:paraId="521BC49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48.182</w:t>
            </w:r>
          </w:p>
        </w:tc>
        <w:tc>
          <w:tcPr>
            <w:tcW w:w="1420" w:type="dxa"/>
            <w:tcBorders>
              <w:top w:val="nil"/>
              <w:left w:val="nil"/>
              <w:bottom w:val="single" w:sz="8" w:space="0" w:color="000000"/>
              <w:right w:val="single" w:sz="8" w:space="0" w:color="000000"/>
            </w:tcBorders>
            <w:shd w:val="clear" w:color="auto" w:fill="auto"/>
            <w:vAlign w:val="center"/>
            <w:hideMark/>
          </w:tcPr>
          <w:p w14:paraId="0E50D3A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24.091</w:t>
            </w:r>
          </w:p>
        </w:tc>
      </w:tr>
      <w:tr w:rsidR="00FE461F" w:rsidRPr="005E4BEA" w14:paraId="77FDFF50"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4C3123A"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6</w:t>
            </w:r>
          </w:p>
        </w:tc>
        <w:tc>
          <w:tcPr>
            <w:tcW w:w="2260" w:type="dxa"/>
            <w:tcBorders>
              <w:top w:val="nil"/>
              <w:left w:val="nil"/>
              <w:bottom w:val="single" w:sz="8" w:space="0" w:color="000000"/>
              <w:right w:val="single" w:sz="8" w:space="0" w:color="000000"/>
            </w:tcBorders>
            <w:shd w:val="clear" w:color="auto" w:fill="auto"/>
            <w:vAlign w:val="center"/>
            <w:hideMark/>
          </w:tcPr>
          <w:p w14:paraId="1A9EF46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F12787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Grosuplje</w:t>
            </w:r>
          </w:p>
        </w:tc>
        <w:tc>
          <w:tcPr>
            <w:tcW w:w="960" w:type="dxa"/>
            <w:tcBorders>
              <w:top w:val="nil"/>
              <w:left w:val="nil"/>
              <w:bottom w:val="single" w:sz="8" w:space="0" w:color="000000"/>
              <w:right w:val="single" w:sz="8" w:space="0" w:color="000000"/>
            </w:tcBorders>
            <w:shd w:val="clear" w:color="auto" w:fill="auto"/>
            <w:vAlign w:val="center"/>
            <w:hideMark/>
          </w:tcPr>
          <w:p w14:paraId="62A3784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0,05</w:t>
            </w:r>
          </w:p>
        </w:tc>
        <w:tc>
          <w:tcPr>
            <w:tcW w:w="1460" w:type="dxa"/>
            <w:tcBorders>
              <w:top w:val="nil"/>
              <w:left w:val="nil"/>
              <w:bottom w:val="single" w:sz="8" w:space="0" w:color="000000"/>
              <w:right w:val="single" w:sz="8" w:space="0" w:color="000000"/>
            </w:tcBorders>
            <w:shd w:val="clear" w:color="auto" w:fill="auto"/>
            <w:vAlign w:val="center"/>
            <w:hideMark/>
          </w:tcPr>
          <w:p w14:paraId="3449B42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8.030</w:t>
            </w:r>
          </w:p>
        </w:tc>
        <w:tc>
          <w:tcPr>
            <w:tcW w:w="1420" w:type="dxa"/>
            <w:tcBorders>
              <w:top w:val="nil"/>
              <w:left w:val="nil"/>
              <w:bottom w:val="single" w:sz="8" w:space="0" w:color="000000"/>
              <w:right w:val="single" w:sz="8" w:space="0" w:color="000000"/>
            </w:tcBorders>
            <w:shd w:val="clear" w:color="auto" w:fill="auto"/>
            <w:vAlign w:val="center"/>
            <w:hideMark/>
          </w:tcPr>
          <w:p w14:paraId="0A9101C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4.015</w:t>
            </w:r>
          </w:p>
        </w:tc>
      </w:tr>
      <w:tr w:rsidR="00FE461F" w:rsidRPr="005E4BEA" w14:paraId="78F9312C"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6389FF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7</w:t>
            </w:r>
          </w:p>
        </w:tc>
        <w:tc>
          <w:tcPr>
            <w:tcW w:w="2260" w:type="dxa"/>
            <w:tcBorders>
              <w:top w:val="nil"/>
              <w:left w:val="nil"/>
              <w:bottom w:val="single" w:sz="8" w:space="0" w:color="000000"/>
              <w:right w:val="single" w:sz="8" w:space="0" w:color="000000"/>
            </w:tcBorders>
            <w:shd w:val="clear" w:color="auto" w:fill="auto"/>
            <w:vAlign w:val="center"/>
            <w:hideMark/>
          </w:tcPr>
          <w:p w14:paraId="255DA2F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441CE9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Ribnica</w:t>
            </w:r>
          </w:p>
        </w:tc>
        <w:tc>
          <w:tcPr>
            <w:tcW w:w="960" w:type="dxa"/>
            <w:tcBorders>
              <w:top w:val="nil"/>
              <w:left w:val="nil"/>
              <w:bottom w:val="single" w:sz="8" w:space="0" w:color="000000"/>
              <w:right w:val="single" w:sz="8" w:space="0" w:color="000000"/>
            </w:tcBorders>
            <w:shd w:val="clear" w:color="auto" w:fill="auto"/>
            <w:vAlign w:val="center"/>
            <w:hideMark/>
          </w:tcPr>
          <w:p w14:paraId="3B9EA60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0,3</w:t>
            </w:r>
          </w:p>
        </w:tc>
        <w:tc>
          <w:tcPr>
            <w:tcW w:w="1460" w:type="dxa"/>
            <w:tcBorders>
              <w:top w:val="nil"/>
              <w:left w:val="nil"/>
              <w:bottom w:val="single" w:sz="8" w:space="0" w:color="000000"/>
              <w:right w:val="single" w:sz="8" w:space="0" w:color="000000"/>
            </w:tcBorders>
            <w:shd w:val="clear" w:color="auto" w:fill="auto"/>
            <w:vAlign w:val="center"/>
            <w:hideMark/>
          </w:tcPr>
          <w:p w14:paraId="505374F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48.182</w:t>
            </w:r>
          </w:p>
        </w:tc>
        <w:tc>
          <w:tcPr>
            <w:tcW w:w="1420" w:type="dxa"/>
            <w:tcBorders>
              <w:top w:val="nil"/>
              <w:left w:val="nil"/>
              <w:bottom w:val="single" w:sz="8" w:space="0" w:color="000000"/>
              <w:right w:val="single" w:sz="8" w:space="0" w:color="000000"/>
            </w:tcBorders>
            <w:shd w:val="clear" w:color="auto" w:fill="auto"/>
            <w:vAlign w:val="center"/>
            <w:hideMark/>
          </w:tcPr>
          <w:p w14:paraId="2CBA0FB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24.091</w:t>
            </w:r>
          </w:p>
        </w:tc>
      </w:tr>
      <w:tr w:rsidR="00FE461F" w:rsidRPr="005E4BEA" w14:paraId="160702A7"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E05B7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w:t>
            </w:r>
          </w:p>
        </w:tc>
        <w:tc>
          <w:tcPr>
            <w:tcW w:w="2260" w:type="dxa"/>
            <w:tcBorders>
              <w:top w:val="nil"/>
              <w:left w:val="nil"/>
              <w:bottom w:val="single" w:sz="8" w:space="0" w:color="000000"/>
              <w:right w:val="single" w:sz="8" w:space="0" w:color="000000"/>
            </w:tcBorders>
            <w:shd w:val="clear" w:color="auto" w:fill="auto"/>
            <w:vAlign w:val="center"/>
            <w:hideMark/>
          </w:tcPr>
          <w:p w14:paraId="5C2104F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79C989A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SB Murska Sobota</w:t>
            </w:r>
          </w:p>
        </w:tc>
        <w:tc>
          <w:tcPr>
            <w:tcW w:w="960" w:type="dxa"/>
            <w:tcBorders>
              <w:top w:val="nil"/>
              <w:left w:val="nil"/>
              <w:bottom w:val="single" w:sz="8" w:space="0" w:color="000000"/>
              <w:right w:val="single" w:sz="8" w:space="0" w:color="000000"/>
            </w:tcBorders>
            <w:shd w:val="clear" w:color="auto" w:fill="auto"/>
            <w:vAlign w:val="center"/>
            <w:hideMark/>
          </w:tcPr>
          <w:p w14:paraId="43B2651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w:t>
            </w:r>
          </w:p>
        </w:tc>
        <w:tc>
          <w:tcPr>
            <w:tcW w:w="1460" w:type="dxa"/>
            <w:tcBorders>
              <w:top w:val="nil"/>
              <w:left w:val="nil"/>
              <w:bottom w:val="single" w:sz="8" w:space="0" w:color="000000"/>
              <w:right w:val="single" w:sz="8" w:space="0" w:color="000000"/>
            </w:tcBorders>
            <w:shd w:val="clear" w:color="auto" w:fill="auto"/>
            <w:vAlign w:val="center"/>
            <w:hideMark/>
          </w:tcPr>
          <w:p w14:paraId="2DDC2D3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160.605</w:t>
            </w:r>
          </w:p>
        </w:tc>
        <w:tc>
          <w:tcPr>
            <w:tcW w:w="1420" w:type="dxa"/>
            <w:tcBorders>
              <w:top w:val="nil"/>
              <w:left w:val="nil"/>
              <w:bottom w:val="single" w:sz="8" w:space="0" w:color="000000"/>
              <w:right w:val="single" w:sz="8" w:space="0" w:color="000000"/>
            </w:tcBorders>
            <w:shd w:val="clear" w:color="auto" w:fill="auto"/>
            <w:vAlign w:val="center"/>
            <w:hideMark/>
          </w:tcPr>
          <w:p w14:paraId="72BE9FD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80.303</w:t>
            </w:r>
          </w:p>
        </w:tc>
      </w:tr>
      <w:tr w:rsidR="00FE461F" w:rsidRPr="005E4BEA" w14:paraId="55A7FE73"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FD8AC6"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9</w:t>
            </w:r>
          </w:p>
        </w:tc>
        <w:tc>
          <w:tcPr>
            <w:tcW w:w="2260" w:type="dxa"/>
            <w:tcBorders>
              <w:top w:val="nil"/>
              <w:left w:val="nil"/>
              <w:bottom w:val="single" w:sz="8" w:space="0" w:color="000000"/>
              <w:right w:val="single" w:sz="8" w:space="0" w:color="000000"/>
            </w:tcBorders>
            <w:shd w:val="clear" w:color="auto" w:fill="auto"/>
            <w:vAlign w:val="center"/>
            <w:hideMark/>
          </w:tcPr>
          <w:p w14:paraId="0AC19A0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403FF9E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Ajdovščina</w:t>
            </w:r>
          </w:p>
        </w:tc>
        <w:tc>
          <w:tcPr>
            <w:tcW w:w="960" w:type="dxa"/>
            <w:tcBorders>
              <w:top w:val="nil"/>
              <w:left w:val="nil"/>
              <w:bottom w:val="single" w:sz="8" w:space="0" w:color="000000"/>
              <w:right w:val="single" w:sz="8" w:space="0" w:color="000000"/>
            </w:tcBorders>
            <w:shd w:val="clear" w:color="auto" w:fill="auto"/>
            <w:vAlign w:val="center"/>
            <w:hideMark/>
          </w:tcPr>
          <w:p w14:paraId="7163058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0,19</w:t>
            </w:r>
          </w:p>
        </w:tc>
        <w:tc>
          <w:tcPr>
            <w:tcW w:w="1460" w:type="dxa"/>
            <w:tcBorders>
              <w:top w:val="nil"/>
              <w:left w:val="nil"/>
              <w:bottom w:val="single" w:sz="8" w:space="0" w:color="000000"/>
              <w:right w:val="single" w:sz="8" w:space="0" w:color="000000"/>
            </w:tcBorders>
            <w:shd w:val="clear" w:color="auto" w:fill="auto"/>
            <w:vAlign w:val="center"/>
            <w:hideMark/>
          </w:tcPr>
          <w:p w14:paraId="7ED9155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30.515</w:t>
            </w:r>
          </w:p>
        </w:tc>
        <w:tc>
          <w:tcPr>
            <w:tcW w:w="1420" w:type="dxa"/>
            <w:tcBorders>
              <w:top w:val="nil"/>
              <w:left w:val="nil"/>
              <w:bottom w:val="single" w:sz="8" w:space="0" w:color="000000"/>
              <w:right w:val="single" w:sz="8" w:space="0" w:color="000000"/>
            </w:tcBorders>
            <w:shd w:val="clear" w:color="auto" w:fill="auto"/>
            <w:vAlign w:val="center"/>
            <w:hideMark/>
          </w:tcPr>
          <w:p w14:paraId="6914951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15.257</w:t>
            </w:r>
          </w:p>
        </w:tc>
      </w:tr>
      <w:tr w:rsidR="00FE461F" w:rsidRPr="005E4BEA" w14:paraId="18F3342A"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8D967F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10</w:t>
            </w:r>
          </w:p>
        </w:tc>
        <w:tc>
          <w:tcPr>
            <w:tcW w:w="2260" w:type="dxa"/>
            <w:tcBorders>
              <w:top w:val="nil"/>
              <w:left w:val="nil"/>
              <w:bottom w:val="single" w:sz="8" w:space="0" w:color="000000"/>
              <w:right w:val="single" w:sz="8" w:space="0" w:color="000000"/>
            </w:tcBorders>
            <w:shd w:val="clear" w:color="auto" w:fill="auto"/>
            <w:vAlign w:val="center"/>
            <w:hideMark/>
          </w:tcPr>
          <w:p w14:paraId="3776D8B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56561E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SB Nova Gorica</w:t>
            </w:r>
          </w:p>
        </w:tc>
        <w:tc>
          <w:tcPr>
            <w:tcW w:w="960" w:type="dxa"/>
            <w:tcBorders>
              <w:top w:val="nil"/>
              <w:left w:val="nil"/>
              <w:bottom w:val="single" w:sz="8" w:space="0" w:color="000000"/>
              <w:right w:val="single" w:sz="8" w:space="0" w:color="000000"/>
            </w:tcBorders>
            <w:shd w:val="clear" w:color="auto" w:fill="auto"/>
            <w:vAlign w:val="center"/>
            <w:hideMark/>
          </w:tcPr>
          <w:p w14:paraId="7D69272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460F7C9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5B2AEDD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40.151</w:t>
            </w:r>
          </w:p>
        </w:tc>
      </w:tr>
      <w:tr w:rsidR="00FE461F" w:rsidRPr="005E4BEA" w14:paraId="3BAB76CD"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24E7A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11</w:t>
            </w:r>
          </w:p>
        </w:tc>
        <w:tc>
          <w:tcPr>
            <w:tcW w:w="2260" w:type="dxa"/>
            <w:tcBorders>
              <w:top w:val="nil"/>
              <w:left w:val="nil"/>
              <w:bottom w:val="single" w:sz="8" w:space="0" w:color="000000"/>
              <w:right w:val="single" w:sz="8" w:space="0" w:color="000000"/>
            </w:tcBorders>
            <w:shd w:val="clear" w:color="auto" w:fill="auto"/>
            <w:vAlign w:val="center"/>
            <w:hideMark/>
          </w:tcPr>
          <w:p w14:paraId="33D8CF6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F9AAB4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ZD Trebnje</w:t>
            </w:r>
          </w:p>
        </w:tc>
        <w:tc>
          <w:tcPr>
            <w:tcW w:w="960" w:type="dxa"/>
            <w:tcBorders>
              <w:top w:val="nil"/>
              <w:left w:val="nil"/>
              <w:bottom w:val="single" w:sz="8" w:space="0" w:color="000000"/>
              <w:right w:val="single" w:sz="8" w:space="0" w:color="000000"/>
            </w:tcBorders>
            <w:shd w:val="clear" w:color="auto" w:fill="auto"/>
            <w:vAlign w:val="center"/>
            <w:hideMark/>
          </w:tcPr>
          <w:p w14:paraId="0BA936A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0,8</w:t>
            </w:r>
          </w:p>
        </w:tc>
        <w:tc>
          <w:tcPr>
            <w:tcW w:w="1460" w:type="dxa"/>
            <w:tcBorders>
              <w:top w:val="nil"/>
              <w:left w:val="nil"/>
              <w:bottom w:val="single" w:sz="8" w:space="0" w:color="000000"/>
              <w:right w:val="single" w:sz="8" w:space="0" w:color="000000"/>
            </w:tcBorders>
            <w:shd w:val="clear" w:color="auto" w:fill="auto"/>
            <w:vAlign w:val="center"/>
            <w:hideMark/>
          </w:tcPr>
          <w:p w14:paraId="75A2948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128.484</w:t>
            </w:r>
          </w:p>
        </w:tc>
        <w:tc>
          <w:tcPr>
            <w:tcW w:w="1420" w:type="dxa"/>
            <w:tcBorders>
              <w:top w:val="nil"/>
              <w:left w:val="nil"/>
              <w:bottom w:val="single" w:sz="8" w:space="0" w:color="000000"/>
              <w:right w:val="single" w:sz="8" w:space="0" w:color="000000"/>
            </w:tcBorders>
            <w:shd w:val="clear" w:color="auto" w:fill="auto"/>
            <w:vAlign w:val="center"/>
            <w:hideMark/>
          </w:tcPr>
          <w:p w14:paraId="79292CE0"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64.242</w:t>
            </w:r>
          </w:p>
        </w:tc>
      </w:tr>
      <w:tr w:rsidR="00FE461F" w:rsidRPr="005E4BEA" w14:paraId="062ADE3B"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BF95FD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12</w:t>
            </w:r>
          </w:p>
        </w:tc>
        <w:tc>
          <w:tcPr>
            <w:tcW w:w="2260" w:type="dxa"/>
            <w:tcBorders>
              <w:top w:val="nil"/>
              <w:left w:val="nil"/>
              <w:bottom w:val="single" w:sz="8" w:space="0" w:color="000000"/>
              <w:right w:val="single" w:sz="8" w:space="0" w:color="000000"/>
            </w:tcBorders>
            <w:shd w:val="clear" w:color="auto" w:fill="auto"/>
            <w:vAlign w:val="center"/>
            <w:hideMark/>
          </w:tcPr>
          <w:p w14:paraId="68DE1B2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BC5CBB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OE Novo mesto</w:t>
            </w:r>
          </w:p>
        </w:tc>
        <w:tc>
          <w:tcPr>
            <w:tcW w:w="960" w:type="dxa"/>
            <w:tcBorders>
              <w:top w:val="nil"/>
              <w:left w:val="nil"/>
              <w:bottom w:val="single" w:sz="8" w:space="0" w:color="000000"/>
              <w:right w:val="single" w:sz="8" w:space="0" w:color="000000"/>
            </w:tcBorders>
            <w:shd w:val="clear" w:color="auto" w:fill="auto"/>
            <w:vAlign w:val="center"/>
            <w:hideMark/>
          </w:tcPr>
          <w:p w14:paraId="5E26008D"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0,77</w:t>
            </w:r>
          </w:p>
        </w:tc>
        <w:tc>
          <w:tcPr>
            <w:tcW w:w="1460" w:type="dxa"/>
            <w:tcBorders>
              <w:top w:val="nil"/>
              <w:left w:val="nil"/>
              <w:bottom w:val="single" w:sz="8" w:space="0" w:color="000000"/>
              <w:right w:val="single" w:sz="8" w:space="0" w:color="000000"/>
            </w:tcBorders>
            <w:shd w:val="clear" w:color="auto" w:fill="auto"/>
            <w:vAlign w:val="center"/>
            <w:hideMark/>
          </w:tcPr>
          <w:p w14:paraId="72F01AD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123.666</w:t>
            </w:r>
          </w:p>
        </w:tc>
        <w:tc>
          <w:tcPr>
            <w:tcW w:w="1420" w:type="dxa"/>
            <w:tcBorders>
              <w:top w:val="nil"/>
              <w:left w:val="nil"/>
              <w:bottom w:val="single" w:sz="8" w:space="0" w:color="000000"/>
              <w:right w:val="single" w:sz="8" w:space="0" w:color="000000"/>
            </w:tcBorders>
            <w:shd w:val="clear" w:color="auto" w:fill="auto"/>
            <w:vAlign w:val="center"/>
            <w:hideMark/>
          </w:tcPr>
          <w:p w14:paraId="00422FA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61.833</w:t>
            </w:r>
          </w:p>
        </w:tc>
      </w:tr>
      <w:tr w:rsidR="00FE461F" w:rsidRPr="005E4BEA" w14:paraId="0C3CCEA1"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59C38A1"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13</w:t>
            </w:r>
          </w:p>
        </w:tc>
        <w:tc>
          <w:tcPr>
            <w:tcW w:w="2260" w:type="dxa"/>
            <w:tcBorders>
              <w:top w:val="nil"/>
              <w:left w:val="nil"/>
              <w:bottom w:val="single" w:sz="8" w:space="0" w:color="000000"/>
              <w:right w:val="single" w:sz="8" w:space="0" w:color="000000"/>
            </w:tcBorders>
            <w:shd w:val="clear" w:color="auto" w:fill="auto"/>
            <w:vAlign w:val="center"/>
            <w:hideMark/>
          </w:tcPr>
          <w:p w14:paraId="45354D5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8E5F0C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OE Krško / Krško</w:t>
            </w:r>
          </w:p>
        </w:tc>
        <w:tc>
          <w:tcPr>
            <w:tcW w:w="960" w:type="dxa"/>
            <w:tcBorders>
              <w:top w:val="nil"/>
              <w:left w:val="nil"/>
              <w:bottom w:val="single" w:sz="8" w:space="0" w:color="000000"/>
              <w:right w:val="single" w:sz="8" w:space="0" w:color="000000"/>
            </w:tcBorders>
            <w:shd w:val="clear" w:color="auto" w:fill="auto"/>
            <w:vAlign w:val="center"/>
            <w:hideMark/>
          </w:tcPr>
          <w:p w14:paraId="1852F62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0,07</w:t>
            </w:r>
          </w:p>
        </w:tc>
        <w:tc>
          <w:tcPr>
            <w:tcW w:w="1460" w:type="dxa"/>
            <w:tcBorders>
              <w:top w:val="nil"/>
              <w:left w:val="nil"/>
              <w:bottom w:val="single" w:sz="8" w:space="0" w:color="000000"/>
              <w:right w:val="single" w:sz="8" w:space="0" w:color="000000"/>
            </w:tcBorders>
            <w:shd w:val="clear" w:color="auto" w:fill="auto"/>
            <w:vAlign w:val="center"/>
            <w:hideMark/>
          </w:tcPr>
          <w:p w14:paraId="41B94926"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11.242</w:t>
            </w:r>
          </w:p>
        </w:tc>
        <w:tc>
          <w:tcPr>
            <w:tcW w:w="1420" w:type="dxa"/>
            <w:tcBorders>
              <w:top w:val="nil"/>
              <w:left w:val="nil"/>
              <w:bottom w:val="single" w:sz="8" w:space="0" w:color="000000"/>
              <w:right w:val="single" w:sz="8" w:space="0" w:color="000000"/>
            </w:tcBorders>
            <w:shd w:val="clear" w:color="auto" w:fill="auto"/>
            <w:vAlign w:val="center"/>
            <w:hideMark/>
          </w:tcPr>
          <w:p w14:paraId="7C3805A0"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5.621</w:t>
            </w:r>
          </w:p>
        </w:tc>
      </w:tr>
      <w:tr w:rsidR="00FE461F" w:rsidRPr="005E4BEA" w14:paraId="1D724012"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CFA19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lastRenderedPageBreak/>
              <w:t>14</w:t>
            </w:r>
          </w:p>
        </w:tc>
        <w:tc>
          <w:tcPr>
            <w:tcW w:w="2260" w:type="dxa"/>
            <w:tcBorders>
              <w:top w:val="nil"/>
              <w:left w:val="nil"/>
              <w:bottom w:val="single" w:sz="8" w:space="0" w:color="000000"/>
              <w:right w:val="single" w:sz="8" w:space="0" w:color="000000"/>
            </w:tcBorders>
            <w:shd w:val="clear" w:color="auto" w:fill="auto"/>
            <w:vAlign w:val="center"/>
            <w:hideMark/>
          </w:tcPr>
          <w:p w14:paraId="1F7648E4"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7D7070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OE Krško / Sevnica</w:t>
            </w:r>
          </w:p>
        </w:tc>
        <w:tc>
          <w:tcPr>
            <w:tcW w:w="960" w:type="dxa"/>
            <w:tcBorders>
              <w:top w:val="nil"/>
              <w:left w:val="nil"/>
              <w:bottom w:val="single" w:sz="8" w:space="0" w:color="000000"/>
              <w:right w:val="single" w:sz="8" w:space="0" w:color="000000"/>
            </w:tcBorders>
            <w:shd w:val="clear" w:color="auto" w:fill="auto"/>
            <w:vAlign w:val="center"/>
            <w:hideMark/>
          </w:tcPr>
          <w:p w14:paraId="2F366EB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56423906"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45926D27"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16.061</w:t>
            </w:r>
          </w:p>
        </w:tc>
      </w:tr>
      <w:tr w:rsidR="00FE461F" w:rsidRPr="005E4BEA" w14:paraId="1423B3F2" w14:textId="77777777" w:rsidTr="0016774B">
        <w:trPr>
          <w:trHeight w:val="52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310B04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15</w:t>
            </w:r>
          </w:p>
        </w:tc>
        <w:tc>
          <w:tcPr>
            <w:tcW w:w="2260" w:type="dxa"/>
            <w:tcBorders>
              <w:top w:val="nil"/>
              <w:left w:val="nil"/>
              <w:bottom w:val="single" w:sz="8" w:space="0" w:color="000000"/>
              <w:right w:val="single" w:sz="8" w:space="0" w:color="000000"/>
            </w:tcBorders>
            <w:shd w:val="clear" w:color="auto" w:fill="auto"/>
            <w:vAlign w:val="center"/>
            <w:hideMark/>
          </w:tcPr>
          <w:p w14:paraId="7247876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3D228509"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OE Koper / Ilirska Bistrica</w:t>
            </w:r>
          </w:p>
        </w:tc>
        <w:tc>
          <w:tcPr>
            <w:tcW w:w="960" w:type="dxa"/>
            <w:tcBorders>
              <w:top w:val="nil"/>
              <w:left w:val="nil"/>
              <w:bottom w:val="single" w:sz="8" w:space="0" w:color="000000"/>
              <w:right w:val="single" w:sz="8" w:space="0" w:color="000000"/>
            </w:tcBorders>
            <w:shd w:val="clear" w:color="auto" w:fill="auto"/>
            <w:vAlign w:val="center"/>
            <w:hideMark/>
          </w:tcPr>
          <w:p w14:paraId="7056859B"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0,52</w:t>
            </w:r>
          </w:p>
        </w:tc>
        <w:tc>
          <w:tcPr>
            <w:tcW w:w="1460" w:type="dxa"/>
            <w:tcBorders>
              <w:top w:val="nil"/>
              <w:left w:val="nil"/>
              <w:bottom w:val="single" w:sz="8" w:space="0" w:color="000000"/>
              <w:right w:val="single" w:sz="8" w:space="0" w:color="000000"/>
            </w:tcBorders>
            <w:shd w:val="clear" w:color="auto" w:fill="auto"/>
            <w:vAlign w:val="center"/>
            <w:hideMark/>
          </w:tcPr>
          <w:p w14:paraId="42507542"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83.515</w:t>
            </w:r>
          </w:p>
        </w:tc>
        <w:tc>
          <w:tcPr>
            <w:tcW w:w="1420" w:type="dxa"/>
            <w:tcBorders>
              <w:top w:val="nil"/>
              <w:left w:val="nil"/>
              <w:bottom w:val="single" w:sz="8" w:space="0" w:color="000000"/>
              <w:right w:val="single" w:sz="8" w:space="0" w:color="000000"/>
            </w:tcBorders>
            <w:shd w:val="clear" w:color="auto" w:fill="auto"/>
            <w:vAlign w:val="center"/>
            <w:hideMark/>
          </w:tcPr>
          <w:p w14:paraId="23AF38D3"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41.757</w:t>
            </w:r>
          </w:p>
        </w:tc>
      </w:tr>
      <w:tr w:rsidR="00FE461F" w:rsidRPr="005E4BEA" w14:paraId="482F1E3E" w14:textId="77777777" w:rsidTr="0016774B">
        <w:trPr>
          <w:trHeight w:val="78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BB14B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16</w:t>
            </w:r>
          </w:p>
        </w:tc>
        <w:tc>
          <w:tcPr>
            <w:tcW w:w="2260" w:type="dxa"/>
            <w:tcBorders>
              <w:top w:val="nil"/>
              <w:left w:val="nil"/>
              <w:bottom w:val="single" w:sz="8" w:space="0" w:color="000000"/>
              <w:right w:val="single" w:sz="8" w:space="0" w:color="000000"/>
            </w:tcBorders>
            <w:shd w:val="clear" w:color="auto" w:fill="auto"/>
            <w:vAlign w:val="center"/>
            <w:hideMark/>
          </w:tcPr>
          <w:p w14:paraId="7C16AD75"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D0960CF"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Kardiologija Marinšek in Ginekologija Peternelj d.o.o.</w:t>
            </w:r>
          </w:p>
        </w:tc>
        <w:tc>
          <w:tcPr>
            <w:tcW w:w="960" w:type="dxa"/>
            <w:tcBorders>
              <w:top w:val="nil"/>
              <w:left w:val="nil"/>
              <w:bottom w:val="single" w:sz="8" w:space="0" w:color="000000"/>
              <w:right w:val="single" w:sz="8" w:space="0" w:color="000000"/>
            </w:tcBorders>
            <w:shd w:val="clear" w:color="auto" w:fill="auto"/>
            <w:vAlign w:val="center"/>
            <w:hideMark/>
          </w:tcPr>
          <w:p w14:paraId="3BD3B00E"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4315CE2C"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36933398"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40.151</w:t>
            </w:r>
          </w:p>
        </w:tc>
      </w:tr>
      <w:tr w:rsidR="00FE461F" w:rsidRPr="005E4BEA" w14:paraId="58A59AB5"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2A80A10" w14:textId="77777777" w:rsidR="00FE461F" w:rsidRPr="005E4BEA" w:rsidRDefault="00FE461F" w:rsidP="00FE461F">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tcBorders>
              <w:top w:val="nil"/>
              <w:left w:val="nil"/>
              <w:bottom w:val="single" w:sz="8" w:space="0" w:color="000000"/>
              <w:right w:val="single" w:sz="8" w:space="0" w:color="000000"/>
            </w:tcBorders>
            <w:shd w:val="clear" w:color="auto" w:fill="auto"/>
            <w:vAlign w:val="center"/>
            <w:hideMark/>
          </w:tcPr>
          <w:p w14:paraId="1396E3FA"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EB4B155"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SKUPAJ</w:t>
            </w:r>
          </w:p>
        </w:tc>
        <w:tc>
          <w:tcPr>
            <w:tcW w:w="960" w:type="dxa"/>
            <w:tcBorders>
              <w:top w:val="nil"/>
              <w:left w:val="nil"/>
              <w:bottom w:val="single" w:sz="8" w:space="0" w:color="000000"/>
              <w:right w:val="single" w:sz="8" w:space="0" w:color="000000"/>
            </w:tcBorders>
            <w:shd w:val="clear" w:color="auto" w:fill="auto"/>
            <w:vAlign w:val="center"/>
            <w:hideMark/>
          </w:tcPr>
          <w:p w14:paraId="1503D69C"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7,5</w:t>
            </w:r>
          </w:p>
        </w:tc>
        <w:tc>
          <w:tcPr>
            <w:tcW w:w="1460" w:type="dxa"/>
            <w:tcBorders>
              <w:top w:val="nil"/>
              <w:left w:val="nil"/>
              <w:bottom w:val="single" w:sz="8" w:space="0" w:color="000000"/>
              <w:right w:val="single" w:sz="8" w:space="0" w:color="000000"/>
            </w:tcBorders>
            <w:shd w:val="clear" w:color="auto" w:fill="auto"/>
            <w:vAlign w:val="center"/>
            <w:hideMark/>
          </w:tcPr>
          <w:p w14:paraId="4F4CD226"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1.204.539</w:t>
            </w:r>
          </w:p>
        </w:tc>
        <w:tc>
          <w:tcPr>
            <w:tcW w:w="1420" w:type="dxa"/>
            <w:tcBorders>
              <w:top w:val="nil"/>
              <w:left w:val="nil"/>
              <w:bottom w:val="single" w:sz="8" w:space="0" w:color="000000"/>
              <w:right w:val="single" w:sz="8" w:space="0" w:color="000000"/>
            </w:tcBorders>
            <w:shd w:val="clear" w:color="auto" w:fill="auto"/>
            <w:vAlign w:val="center"/>
            <w:hideMark/>
          </w:tcPr>
          <w:p w14:paraId="5126CD7A" w14:textId="77777777" w:rsidR="00FE461F" w:rsidRPr="005E4BEA" w:rsidRDefault="00FE461F" w:rsidP="00FE461F">
            <w:pPr>
              <w:spacing w:line="240" w:lineRule="auto"/>
              <w:jc w:val="both"/>
              <w:rPr>
                <w:rFonts w:cs="Arial"/>
                <w:b/>
                <w:bCs/>
                <w:color w:val="000000"/>
                <w:szCs w:val="20"/>
                <w:lang w:eastAsia="sl-SI"/>
              </w:rPr>
            </w:pPr>
            <w:r w:rsidRPr="005E4BEA">
              <w:rPr>
                <w:rFonts w:cs="Arial"/>
                <w:b/>
                <w:bCs/>
                <w:color w:val="000000"/>
                <w:szCs w:val="20"/>
                <w:lang w:eastAsia="sl-SI"/>
              </w:rPr>
              <w:t>602.270</w:t>
            </w:r>
          </w:p>
        </w:tc>
      </w:tr>
    </w:tbl>
    <w:p w14:paraId="642D0657" w14:textId="77777777" w:rsidR="00FE461F" w:rsidRPr="005E4BEA" w:rsidRDefault="00FE461F" w:rsidP="00FE461F">
      <w:pPr>
        <w:spacing w:line="240" w:lineRule="auto"/>
        <w:jc w:val="both"/>
        <w:rPr>
          <w:rFonts w:cs="Arial"/>
          <w:b/>
          <w:szCs w:val="20"/>
          <w:lang w:eastAsia="sl-SI"/>
        </w:rPr>
      </w:pPr>
    </w:p>
    <w:p w14:paraId="2E5929B9" w14:textId="77777777" w:rsidR="00FE461F" w:rsidRPr="005E4BEA" w:rsidRDefault="00FE461F" w:rsidP="00FE461F">
      <w:pPr>
        <w:spacing w:line="240" w:lineRule="auto"/>
        <w:jc w:val="both"/>
        <w:rPr>
          <w:rFonts w:cs="Arial"/>
          <w:b/>
          <w:szCs w:val="20"/>
          <w:lang w:eastAsia="sl-SI"/>
        </w:rPr>
      </w:pPr>
    </w:p>
    <w:p w14:paraId="2DA26A30" w14:textId="77777777" w:rsidR="00FE461F" w:rsidRPr="005E4BEA" w:rsidRDefault="00FE461F" w:rsidP="00FE461F">
      <w:pPr>
        <w:spacing w:line="240" w:lineRule="auto"/>
        <w:rPr>
          <w:rFonts w:eastAsia="Calibri" w:cs="Arial"/>
          <w:b/>
          <w:bCs/>
          <w:i/>
          <w:iCs/>
          <w:color w:val="7F7F7F" w:themeColor="text1" w:themeTint="80"/>
          <w:szCs w:val="20"/>
        </w:rPr>
      </w:pPr>
      <w:r w:rsidRPr="005E4BEA">
        <w:rPr>
          <w:rFonts w:eastAsia="Calibri" w:cs="Arial"/>
          <w:b/>
          <w:bCs/>
          <w:i/>
          <w:iCs/>
          <w:color w:val="7F7F7F" w:themeColor="text1" w:themeTint="80"/>
          <w:szCs w:val="20"/>
        </w:rPr>
        <w:t xml:space="preserve">Finančne posledice na letni ravni znašajo 1.204.539  eur. </w:t>
      </w:r>
    </w:p>
    <w:p w14:paraId="4AD06DF5" w14:textId="77777777" w:rsidR="00FE461F" w:rsidRPr="005E4BEA" w:rsidRDefault="00FE461F" w:rsidP="00FE461F">
      <w:pPr>
        <w:spacing w:line="240" w:lineRule="auto"/>
        <w:rPr>
          <w:rFonts w:cs="Arial"/>
          <w:bCs/>
          <w:szCs w:val="20"/>
          <w:lang w:eastAsia="sl-SI"/>
        </w:rPr>
      </w:pPr>
    </w:p>
    <w:p w14:paraId="39172486" w14:textId="77777777" w:rsidR="00FE461F" w:rsidRPr="005E4BEA" w:rsidRDefault="00FE461F" w:rsidP="00FE461F">
      <w:pPr>
        <w:spacing w:line="240" w:lineRule="auto"/>
        <w:rPr>
          <w:rFonts w:eastAsia="Calibri" w:cs="Arial"/>
          <w:b/>
          <w:bCs/>
          <w:i/>
          <w:iCs/>
          <w:color w:val="7F7F7F" w:themeColor="text1" w:themeTint="80"/>
          <w:szCs w:val="20"/>
        </w:rPr>
      </w:pPr>
      <w:r w:rsidRPr="005E4BEA">
        <w:rPr>
          <w:rFonts w:eastAsia="Calibri" w:cs="Arial"/>
          <w:b/>
          <w:bCs/>
          <w:i/>
          <w:iCs/>
          <w:color w:val="7F7F7F" w:themeColor="text1" w:themeTint="80"/>
          <w:szCs w:val="20"/>
        </w:rPr>
        <w:t>Obrazložitev:</w:t>
      </w:r>
    </w:p>
    <w:p w14:paraId="47E0FE53" w14:textId="3DB2D579"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 xml:space="preserve">Predlagamo, da se za povečanje dostopnosti ter možnost opredelitve zagotovijo dodatni timi dispanzerjev za ženske v skupnem obsegu 7,5 timov, in sicer tam, kjer je najslabša preskrbljenost oziroma kjer obstajajo možnosti za širitve. </w:t>
      </w:r>
    </w:p>
    <w:p w14:paraId="10B46AF6" w14:textId="74781756" w:rsidR="00221148" w:rsidRPr="005E4BEA" w:rsidRDefault="00221148" w:rsidP="00FE461F">
      <w:pPr>
        <w:spacing w:line="240" w:lineRule="auto"/>
        <w:jc w:val="both"/>
        <w:rPr>
          <w:rFonts w:eastAsia="Calibri" w:cs="Arial"/>
          <w:i/>
          <w:iCs/>
          <w:color w:val="7F7F7F" w:themeColor="text1" w:themeTint="80"/>
          <w:szCs w:val="20"/>
        </w:rPr>
      </w:pPr>
    </w:p>
    <w:p w14:paraId="085C7D52" w14:textId="14F3B1BC" w:rsidR="006C5068" w:rsidRPr="005E4BEA" w:rsidRDefault="006C5068" w:rsidP="006C5068">
      <w:pPr>
        <w:spacing w:line="240" w:lineRule="auto"/>
        <w:jc w:val="both"/>
        <w:rPr>
          <w:rFonts w:cs="Arial"/>
          <w:b/>
          <w:bCs/>
          <w:szCs w:val="20"/>
          <w:lang w:eastAsia="sl-SI"/>
        </w:rPr>
      </w:pPr>
      <w:r w:rsidRPr="005E4BEA">
        <w:rPr>
          <w:rFonts w:eastAsia="Arial Narrow" w:cs="Arial"/>
          <w:b/>
          <w:szCs w:val="20"/>
        </w:rPr>
        <w:t>Stališče Ministrstva za zdravje:</w:t>
      </w:r>
      <w:r w:rsidRPr="005E4BEA">
        <w:rPr>
          <w:rFonts w:eastAsia="Arial Narrow" w:cs="Arial"/>
          <w:szCs w:val="20"/>
        </w:rPr>
        <w:t xml:space="preserve"> Ministrstvo za zdravje strinja s predlogom v modificirani obliki, in sicer</w:t>
      </w:r>
      <w:r w:rsidRPr="005E4BEA">
        <w:rPr>
          <w:rFonts w:eastAsiaTheme="minorHAnsi" w:cs="Arial"/>
          <w:bCs/>
          <w:szCs w:val="20"/>
        </w:rPr>
        <w:t xml:space="preserve"> se </w:t>
      </w:r>
      <w:bookmarkStart w:id="156" w:name="_Hlk102567472"/>
      <w:r w:rsidRPr="005E4BEA">
        <w:rPr>
          <w:rFonts w:eastAsiaTheme="minorHAnsi" w:cs="Arial"/>
          <w:bCs/>
          <w:szCs w:val="20"/>
        </w:rPr>
        <w:t xml:space="preserve">v </w:t>
      </w:r>
      <w:r w:rsidRPr="005E4BEA">
        <w:rPr>
          <w:rFonts w:eastAsia="MS Mincho" w:cs="Arial"/>
          <w:bCs/>
          <w:szCs w:val="20"/>
        </w:rPr>
        <w:t xml:space="preserve">Prilogi III/a </w:t>
      </w:r>
      <w:r w:rsidRPr="005E4BEA">
        <w:rPr>
          <w:rFonts w:cs="Arial"/>
          <w:szCs w:val="20"/>
          <w:lang w:eastAsia="sl-SI"/>
        </w:rPr>
        <w:t>v poglavju 2. Dispanzer za ženske</w:t>
      </w:r>
      <w:r w:rsidRPr="005E4BEA">
        <w:rPr>
          <w:rFonts w:cs="Arial"/>
          <w:b/>
          <w:bCs/>
          <w:szCs w:val="20"/>
          <w:lang w:eastAsia="sl-SI"/>
        </w:rPr>
        <w:t>:</w:t>
      </w:r>
    </w:p>
    <w:p w14:paraId="5F4070C1" w14:textId="77777777" w:rsidR="006C5068" w:rsidRPr="005E4BEA" w:rsidRDefault="006C5068" w:rsidP="006C5068">
      <w:pPr>
        <w:spacing w:line="240" w:lineRule="auto"/>
        <w:rPr>
          <w:rFonts w:cs="Arial"/>
          <w:b/>
          <w:bCs/>
          <w:szCs w:val="20"/>
          <w:lang w:eastAsia="sl-SI"/>
        </w:rPr>
      </w:pPr>
    </w:p>
    <w:bookmarkEnd w:id="156"/>
    <w:p w14:paraId="00DDB2B0"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xml:space="preserve">Besedilo drugega odstavka nadomesti z novim besedilom, ki se glasi: </w:t>
      </w:r>
    </w:p>
    <w:p w14:paraId="541CBC4A"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(2) Zavod plača izvajalcem vse količnike iz glavarine, količnike iz obiskov pa v skladu z naslednjimi kriteriji:</w:t>
      </w:r>
    </w:p>
    <w:p w14:paraId="6D703F1E" w14:textId="77777777" w:rsidR="005C6DEF" w:rsidRPr="005E4BEA" w:rsidRDefault="005C6DEF" w:rsidP="005C6DEF">
      <w:pPr>
        <w:spacing w:line="240" w:lineRule="auto"/>
        <w:jc w:val="both"/>
        <w:rPr>
          <w:rFonts w:cs="Arial"/>
          <w:szCs w:val="20"/>
          <w:lang w:eastAsia="sl-SI"/>
        </w:rPr>
      </w:pPr>
    </w:p>
    <w:p w14:paraId="06325E35"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izvajalcu, ki ima povprečno število količnikov iz glavarine na tim enako ali manjše od slovenskega povprečja, in ne preseže pogodbeno dogovorjenega števila količnikov iz obiskov (preventiva in kurativa skupaj), se plača planirano število količnikov iz obiskov, v nasprotnem primeru pa se mu plačajo vsi realizirani količniki,</w:t>
      </w:r>
    </w:p>
    <w:p w14:paraId="5554D7EB"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xml:space="preserve"> - izvajalcu, ki preseže slovensko povprečje števila količnikov iz glavarine in ne preseže pogodbeno dogovorjenega števila količnikov iz obiskov, povečanega za 50% preseganja povprečnih količnikov iz glavarine, se plača planirano število količnikov iz obiskov, povečano za 50% preseganja povprečnih količnikov iz glavarine, v nasprotnem primeru se mu plačajo vsi realizirani količniki,  </w:t>
      </w:r>
    </w:p>
    <w:p w14:paraId="32EC22D8"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xml:space="preserve">- v vseh navedenih primerih je pogoj, da izvajalec realizira vsaj 15.000 količnikov iz obiskov na tim (preventiva in kurativa skupaj), v nasprotnem primeru se izvajalcu plača realizirano število količnikov iz obiskov. </w:t>
      </w:r>
    </w:p>
    <w:p w14:paraId="28019575" w14:textId="77777777" w:rsidR="005C6DEF" w:rsidRPr="005E4BEA" w:rsidRDefault="005C6DEF" w:rsidP="005C6DEF">
      <w:pPr>
        <w:spacing w:line="240" w:lineRule="auto"/>
        <w:jc w:val="both"/>
        <w:rPr>
          <w:rFonts w:cs="Arial"/>
          <w:szCs w:val="20"/>
          <w:lang w:eastAsia="sl-SI"/>
        </w:rPr>
      </w:pPr>
    </w:p>
    <w:p w14:paraId="5FCF6CF0"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Plačilo se izvede v deležu za obvezno zdravstveno zavarovanje.</w:t>
      </w:r>
    </w:p>
    <w:p w14:paraId="33931F4F" w14:textId="77777777" w:rsidR="005C6DEF" w:rsidRPr="005E4BEA" w:rsidRDefault="005C6DEF" w:rsidP="005C6DEF">
      <w:pPr>
        <w:spacing w:line="240" w:lineRule="auto"/>
        <w:jc w:val="both"/>
        <w:rPr>
          <w:rFonts w:cs="Arial"/>
          <w:szCs w:val="20"/>
          <w:lang w:eastAsia="sl-SI"/>
        </w:rPr>
      </w:pPr>
    </w:p>
    <w:p w14:paraId="2E24F7A9" w14:textId="77777777" w:rsidR="005C6DEF" w:rsidRPr="005E4BEA" w:rsidRDefault="005C6DEF" w:rsidP="005C6DEF">
      <w:pPr>
        <w:spacing w:line="240" w:lineRule="auto"/>
        <w:rPr>
          <w:rFonts w:cs="Arial"/>
          <w:szCs w:val="20"/>
          <w:lang w:eastAsia="sl-SI"/>
        </w:rPr>
      </w:pPr>
      <w:r w:rsidRPr="005E4BEA">
        <w:rPr>
          <w:rFonts w:cs="Arial"/>
          <w:szCs w:val="20"/>
          <w:lang w:eastAsia="sl-SI"/>
        </w:rPr>
        <w:t xml:space="preserve">Črtajo se tretji, šesti in sedmi odstavek. </w:t>
      </w:r>
    </w:p>
    <w:p w14:paraId="5B3DDFB1" w14:textId="77777777" w:rsidR="005C6DEF" w:rsidRPr="005E4BEA" w:rsidRDefault="005C6DEF" w:rsidP="005C6DEF">
      <w:pPr>
        <w:spacing w:line="240" w:lineRule="auto"/>
        <w:rPr>
          <w:rFonts w:cs="Arial"/>
          <w:bCs/>
          <w:szCs w:val="20"/>
          <w:lang w:eastAsia="sl-SI"/>
        </w:rPr>
      </w:pPr>
    </w:p>
    <w:p w14:paraId="6FBB6636" w14:textId="77777777" w:rsidR="005C6DEF" w:rsidRPr="005E4BEA" w:rsidRDefault="005C6DEF" w:rsidP="005C6DEF">
      <w:pPr>
        <w:spacing w:line="240" w:lineRule="auto"/>
        <w:rPr>
          <w:rFonts w:cs="Arial"/>
          <w:bCs/>
          <w:szCs w:val="20"/>
          <w:lang w:eastAsia="sl-SI"/>
        </w:rPr>
      </w:pPr>
      <w:r w:rsidRPr="005E4BEA">
        <w:rPr>
          <w:rFonts w:cs="Arial"/>
          <w:bCs/>
          <w:szCs w:val="20"/>
          <w:lang w:eastAsia="sl-SI"/>
        </w:rPr>
        <w:t>Sedanji četrti odstavek postane nov tretji odstavek, sedanji osmi odstavek pa nov šesti odstavek.</w:t>
      </w:r>
    </w:p>
    <w:p w14:paraId="35A8DC77" w14:textId="77777777" w:rsidR="00201CAA" w:rsidRPr="005E4BEA" w:rsidRDefault="00201CAA" w:rsidP="00201CAA">
      <w:pPr>
        <w:spacing w:line="240" w:lineRule="auto"/>
        <w:rPr>
          <w:rFonts w:cs="Arial"/>
          <w:bCs/>
          <w:szCs w:val="20"/>
          <w:lang w:eastAsia="sl-SI"/>
        </w:rPr>
      </w:pPr>
    </w:p>
    <w:p w14:paraId="108A3066" w14:textId="77777777" w:rsidR="006C5068" w:rsidRPr="005E4BEA" w:rsidRDefault="006C5068" w:rsidP="006C5068">
      <w:pPr>
        <w:spacing w:line="240" w:lineRule="auto"/>
        <w:jc w:val="both"/>
        <w:rPr>
          <w:rFonts w:cs="Arial"/>
          <w:b/>
          <w:szCs w:val="20"/>
          <w:lang w:eastAsia="sl-SI"/>
        </w:rPr>
      </w:pPr>
      <w:r w:rsidRPr="005E4BEA">
        <w:rPr>
          <w:rFonts w:cs="Arial"/>
          <w:b/>
          <w:szCs w:val="20"/>
          <w:lang w:eastAsia="sl-SI"/>
        </w:rPr>
        <w:t>V 24. členu (6) odstavku se v tabeli dodajo nove vrstice za nujne širitve programov oziroma uvajanje novih terapij:</w:t>
      </w:r>
    </w:p>
    <w:p w14:paraId="3E243262" w14:textId="0DADA210" w:rsidR="00221148" w:rsidRPr="005E4BEA" w:rsidRDefault="00221148" w:rsidP="00FE461F">
      <w:pPr>
        <w:spacing w:line="240" w:lineRule="auto"/>
        <w:jc w:val="both"/>
        <w:rPr>
          <w:rFonts w:eastAsia="Calibri" w:cs="Arial"/>
          <w:i/>
          <w:iCs/>
          <w:color w:val="7F7F7F" w:themeColor="text1" w:themeTint="80"/>
          <w:szCs w:val="20"/>
        </w:rPr>
      </w:pPr>
    </w:p>
    <w:tbl>
      <w:tblPr>
        <w:tblW w:w="9180" w:type="dxa"/>
        <w:tblCellMar>
          <w:left w:w="70" w:type="dxa"/>
          <w:right w:w="70" w:type="dxa"/>
        </w:tblCellMar>
        <w:tblLook w:val="04A0" w:firstRow="1" w:lastRow="0" w:firstColumn="1" w:lastColumn="0" w:noHBand="0" w:noVBand="1"/>
      </w:tblPr>
      <w:tblGrid>
        <w:gridCol w:w="955"/>
        <w:gridCol w:w="2248"/>
        <w:gridCol w:w="2111"/>
        <w:gridCol w:w="996"/>
        <w:gridCol w:w="1456"/>
        <w:gridCol w:w="1414"/>
      </w:tblGrid>
      <w:tr w:rsidR="00221148" w:rsidRPr="005E4BEA" w14:paraId="65F89CBC" w14:textId="77777777" w:rsidTr="00221148">
        <w:trPr>
          <w:trHeight w:val="315"/>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555B60A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96C8CC"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P   r   o   g   r   a   m</w:t>
            </w:r>
          </w:p>
        </w:tc>
        <w:tc>
          <w:tcPr>
            <w:tcW w:w="2120" w:type="dxa"/>
            <w:tcBorders>
              <w:top w:val="single" w:sz="8" w:space="0" w:color="000000"/>
              <w:left w:val="nil"/>
              <w:bottom w:val="single" w:sz="8" w:space="0" w:color="000000"/>
              <w:right w:val="single" w:sz="8" w:space="0" w:color="000000"/>
            </w:tcBorders>
            <w:shd w:val="clear" w:color="auto" w:fill="auto"/>
            <w:vAlign w:val="center"/>
            <w:hideMark/>
          </w:tcPr>
          <w:p w14:paraId="0CA1F87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I z v a j a l e c /</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C5326A"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Obseg programa</w:t>
            </w:r>
          </w:p>
        </w:tc>
        <w:tc>
          <w:tcPr>
            <w:tcW w:w="1460" w:type="dxa"/>
            <w:tcBorders>
              <w:top w:val="single" w:sz="8" w:space="0" w:color="000000"/>
              <w:left w:val="nil"/>
              <w:bottom w:val="single" w:sz="8" w:space="0" w:color="000000"/>
              <w:right w:val="single" w:sz="8" w:space="0" w:color="000000"/>
            </w:tcBorders>
            <w:shd w:val="clear" w:color="auto" w:fill="auto"/>
            <w:vAlign w:val="center"/>
            <w:hideMark/>
          </w:tcPr>
          <w:p w14:paraId="742BCFCA" w14:textId="77777777" w:rsidR="00221148" w:rsidRPr="005E4BEA" w:rsidRDefault="00221148" w:rsidP="00221148">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c>
          <w:tcPr>
            <w:tcW w:w="1420" w:type="dxa"/>
            <w:tcBorders>
              <w:top w:val="single" w:sz="8" w:space="0" w:color="000000"/>
              <w:left w:val="nil"/>
              <w:bottom w:val="single" w:sz="8" w:space="0" w:color="000000"/>
              <w:right w:val="single" w:sz="8" w:space="0" w:color="000000"/>
            </w:tcBorders>
            <w:shd w:val="clear" w:color="auto" w:fill="auto"/>
            <w:vAlign w:val="center"/>
            <w:hideMark/>
          </w:tcPr>
          <w:p w14:paraId="4FCF7CEE" w14:textId="77777777" w:rsidR="00221148" w:rsidRPr="005E4BEA" w:rsidRDefault="00221148" w:rsidP="00221148">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r>
      <w:tr w:rsidR="00221148" w:rsidRPr="005E4BEA" w14:paraId="1385E7F6" w14:textId="77777777" w:rsidTr="00221148">
        <w:trPr>
          <w:trHeight w:val="525"/>
        </w:trPr>
        <w:tc>
          <w:tcPr>
            <w:tcW w:w="960" w:type="dxa"/>
            <w:tcBorders>
              <w:top w:val="nil"/>
              <w:left w:val="single" w:sz="8" w:space="0" w:color="000000"/>
              <w:bottom w:val="nil"/>
              <w:right w:val="single" w:sz="8" w:space="0" w:color="000000"/>
            </w:tcBorders>
            <w:shd w:val="clear" w:color="auto" w:fill="auto"/>
            <w:vAlign w:val="center"/>
            <w:hideMark/>
          </w:tcPr>
          <w:p w14:paraId="0DA1D62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14A25C2F" w14:textId="77777777" w:rsidR="00221148" w:rsidRPr="005E4BEA" w:rsidRDefault="00221148" w:rsidP="00221148">
            <w:pPr>
              <w:spacing w:line="240" w:lineRule="auto"/>
              <w:rPr>
                <w:rFonts w:cs="Arial"/>
                <w:color w:val="000000"/>
                <w:szCs w:val="20"/>
                <w:lang w:eastAsia="sl-SI"/>
              </w:rPr>
            </w:pPr>
          </w:p>
        </w:tc>
        <w:tc>
          <w:tcPr>
            <w:tcW w:w="2120" w:type="dxa"/>
            <w:tcBorders>
              <w:top w:val="nil"/>
              <w:left w:val="nil"/>
              <w:bottom w:val="single" w:sz="8" w:space="0" w:color="000000"/>
              <w:right w:val="single" w:sz="8" w:space="0" w:color="000000"/>
            </w:tcBorders>
            <w:shd w:val="clear" w:color="auto" w:fill="auto"/>
            <w:vAlign w:val="center"/>
            <w:hideMark/>
          </w:tcPr>
          <w:p w14:paraId="33B736C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i z p o s t a v a</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16BCBFD1" w14:textId="77777777" w:rsidR="00221148" w:rsidRPr="005E4BEA" w:rsidRDefault="00221148" w:rsidP="00221148">
            <w:pPr>
              <w:spacing w:line="240" w:lineRule="auto"/>
              <w:rPr>
                <w:rFonts w:cs="Arial"/>
                <w:color w:val="000000"/>
                <w:szCs w:val="20"/>
                <w:lang w:eastAsia="sl-SI"/>
              </w:rPr>
            </w:pPr>
          </w:p>
        </w:tc>
        <w:tc>
          <w:tcPr>
            <w:tcW w:w="1460" w:type="dxa"/>
            <w:tcBorders>
              <w:top w:val="nil"/>
              <w:left w:val="nil"/>
              <w:bottom w:val="single" w:sz="8" w:space="0" w:color="000000"/>
              <w:right w:val="single" w:sz="8" w:space="0" w:color="000000"/>
            </w:tcBorders>
            <w:shd w:val="clear" w:color="auto" w:fill="auto"/>
            <w:vAlign w:val="center"/>
            <w:hideMark/>
          </w:tcPr>
          <w:p w14:paraId="62177AC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na letni ravni</w:t>
            </w:r>
          </w:p>
        </w:tc>
        <w:tc>
          <w:tcPr>
            <w:tcW w:w="1420" w:type="dxa"/>
            <w:tcBorders>
              <w:top w:val="nil"/>
              <w:left w:val="nil"/>
              <w:bottom w:val="single" w:sz="8" w:space="0" w:color="000000"/>
              <w:right w:val="single" w:sz="8" w:space="0" w:color="000000"/>
            </w:tcBorders>
            <w:shd w:val="clear" w:color="auto" w:fill="auto"/>
            <w:vAlign w:val="center"/>
            <w:hideMark/>
          </w:tcPr>
          <w:p w14:paraId="39CD496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1.6.–31.12. 2022</w:t>
            </w:r>
          </w:p>
        </w:tc>
      </w:tr>
      <w:tr w:rsidR="00221148" w:rsidRPr="005E4BEA" w14:paraId="03912773"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207F4B"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60C01931" w14:textId="77777777" w:rsidR="00221148" w:rsidRPr="005E4BEA" w:rsidRDefault="00221148" w:rsidP="00221148">
            <w:pPr>
              <w:spacing w:line="240" w:lineRule="auto"/>
              <w:rPr>
                <w:rFonts w:cs="Arial"/>
                <w:color w:val="000000"/>
                <w:szCs w:val="20"/>
                <w:lang w:eastAsia="sl-SI"/>
              </w:rPr>
            </w:pPr>
          </w:p>
        </w:tc>
        <w:tc>
          <w:tcPr>
            <w:tcW w:w="2120" w:type="dxa"/>
            <w:tcBorders>
              <w:top w:val="nil"/>
              <w:left w:val="nil"/>
              <w:bottom w:val="single" w:sz="8" w:space="0" w:color="000000"/>
              <w:right w:val="single" w:sz="8" w:space="0" w:color="000000"/>
            </w:tcBorders>
            <w:shd w:val="clear" w:color="auto" w:fill="auto"/>
            <w:vAlign w:val="center"/>
            <w:hideMark/>
          </w:tcPr>
          <w:p w14:paraId="4493487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xml:space="preserve">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614ED025" w14:textId="77777777" w:rsidR="00221148" w:rsidRPr="005E4BEA" w:rsidRDefault="00221148" w:rsidP="00221148">
            <w:pPr>
              <w:spacing w:line="240" w:lineRule="auto"/>
              <w:rPr>
                <w:rFonts w:cs="Arial"/>
                <w:color w:val="000000"/>
                <w:szCs w:val="20"/>
                <w:lang w:eastAsia="sl-SI"/>
              </w:rPr>
            </w:pPr>
          </w:p>
        </w:tc>
        <w:tc>
          <w:tcPr>
            <w:tcW w:w="1460" w:type="dxa"/>
            <w:tcBorders>
              <w:top w:val="nil"/>
              <w:left w:val="nil"/>
              <w:bottom w:val="single" w:sz="8" w:space="0" w:color="000000"/>
              <w:right w:val="single" w:sz="8" w:space="0" w:color="000000"/>
            </w:tcBorders>
            <w:shd w:val="clear" w:color="auto" w:fill="auto"/>
            <w:vAlign w:val="center"/>
            <w:hideMark/>
          </w:tcPr>
          <w:p w14:paraId="2794050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(v EUR)</w:t>
            </w:r>
          </w:p>
        </w:tc>
        <w:tc>
          <w:tcPr>
            <w:tcW w:w="1420" w:type="dxa"/>
            <w:tcBorders>
              <w:top w:val="nil"/>
              <w:left w:val="nil"/>
              <w:bottom w:val="single" w:sz="8" w:space="0" w:color="000000"/>
              <w:right w:val="single" w:sz="8" w:space="0" w:color="000000"/>
            </w:tcBorders>
            <w:shd w:val="clear" w:color="auto" w:fill="auto"/>
            <w:vAlign w:val="center"/>
            <w:hideMark/>
          </w:tcPr>
          <w:p w14:paraId="749141AB"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(v EUR)</w:t>
            </w:r>
          </w:p>
        </w:tc>
      </w:tr>
      <w:tr w:rsidR="00221148" w:rsidRPr="005E4BEA" w14:paraId="474EBDA7"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A310A9"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w:t>
            </w:r>
          </w:p>
        </w:tc>
        <w:tc>
          <w:tcPr>
            <w:tcW w:w="2260" w:type="dxa"/>
            <w:tcBorders>
              <w:top w:val="nil"/>
              <w:left w:val="nil"/>
              <w:bottom w:val="single" w:sz="8" w:space="0" w:color="000000"/>
              <w:right w:val="single" w:sz="8" w:space="0" w:color="000000"/>
            </w:tcBorders>
            <w:shd w:val="clear" w:color="auto" w:fill="auto"/>
            <w:vAlign w:val="center"/>
            <w:hideMark/>
          </w:tcPr>
          <w:p w14:paraId="74C311D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7A90350D"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UKC Maribor</w:t>
            </w:r>
          </w:p>
        </w:tc>
        <w:tc>
          <w:tcPr>
            <w:tcW w:w="960" w:type="dxa"/>
            <w:tcBorders>
              <w:top w:val="nil"/>
              <w:left w:val="nil"/>
              <w:bottom w:val="single" w:sz="8" w:space="0" w:color="000000"/>
              <w:right w:val="single" w:sz="8" w:space="0" w:color="000000"/>
            </w:tcBorders>
            <w:shd w:val="clear" w:color="auto" w:fill="auto"/>
            <w:vAlign w:val="center"/>
            <w:hideMark/>
          </w:tcPr>
          <w:p w14:paraId="09502CBC"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63D0E94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6091755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40.151</w:t>
            </w:r>
          </w:p>
        </w:tc>
      </w:tr>
      <w:tr w:rsidR="00221148" w:rsidRPr="005E4BEA" w14:paraId="0024F9EF"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2CE9AF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2</w:t>
            </w:r>
          </w:p>
        </w:tc>
        <w:tc>
          <w:tcPr>
            <w:tcW w:w="2260" w:type="dxa"/>
            <w:tcBorders>
              <w:top w:val="nil"/>
              <w:left w:val="nil"/>
              <w:bottom w:val="single" w:sz="8" w:space="0" w:color="000000"/>
              <w:right w:val="single" w:sz="8" w:space="0" w:color="000000"/>
            </w:tcBorders>
            <w:shd w:val="clear" w:color="auto" w:fill="auto"/>
            <w:vAlign w:val="center"/>
            <w:hideMark/>
          </w:tcPr>
          <w:p w14:paraId="3B1BD3C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3597DE7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SB Ptuj</w:t>
            </w:r>
          </w:p>
        </w:tc>
        <w:tc>
          <w:tcPr>
            <w:tcW w:w="960" w:type="dxa"/>
            <w:tcBorders>
              <w:top w:val="nil"/>
              <w:left w:val="nil"/>
              <w:bottom w:val="single" w:sz="8" w:space="0" w:color="000000"/>
              <w:right w:val="single" w:sz="8" w:space="0" w:color="000000"/>
            </w:tcBorders>
            <w:shd w:val="clear" w:color="auto" w:fill="auto"/>
            <w:vAlign w:val="center"/>
            <w:hideMark/>
          </w:tcPr>
          <w:p w14:paraId="1E3E7A6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0,7</w:t>
            </w:r>
          </w:p>
        </w:tc>
        <w:tc>
          <w:tcPr>
            <w:tcW w:w="1460" w:type="dxa"/>
            <w:tcBorders>
              <w:top w:val="nil"/>
              <w:left w:val="nil"/>
              <w:bottom w:val="single" w:sz="8" w:space="0" w:color="000000"/>
              <w:right w:val="single" w:sz="8" w:space="0" w:color="000000"/>
            </w:tcBorders>
            <w:shd w:val="clear" w:color="auto" w:fill="auto"/>
            <w:vAlign w:val="center"/>
            <w:hideMark/>
          </w:tcPr>
          <w:p w14:paraId="5DE9E4C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112.424</w:t>
            </w:r>
          </w:p>
        </w:tc>
        <w:tc>
          <w:tcPr>
            <w:tcW w:w="1420" w:type="dxa"/>
            <w:tcBorders>
              <w:top w:val="nil"/>
              <w:left w:val="nil"/>
              <w:bottom w:val="single" w:sz="8" w:space="0" w:color="000000"/>
              <w:right w:val="single" w:sz="8" w:space="0" w:color="000000"/>
            </w:tcBorders>
            <w:shd w:val="clear" w:color="auto" w:fill="auto"/>
            <w:vAlign w:val="center"/>
            <w:hideMark/>
          </w:tcPr>
          <w:p w14:paraId="70FB9F8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56.212</w:t>
            </w:r>
          </w:p>
        </w:tc>
      </w:tr>
      <w:tr w:rsidR="00221148" w:rsidRPr="005E4BEA" w14:paraId="00527197"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94F64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tcBorders>
              <w:top w:val="nil"/>
              <w:left w:val="nil"/>
              <w:bottom w:val="single" w:sz="8" w:space="0" w:color="000000"/>
              <w:right w:val="single" w:sz="8" w:space="0" w:color="000000"/>
            </w:tcBorders>
            <w:shd w:val="clear" w:color="auto" w:fill="auto"/>
            <w:vAlign w:val="center"/>
            <w:hideMark/>
          </w:tcPr>
          <w:p w14:paraId="5EB9D5D1"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A4CA61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Ptuj</w:t>
            </w:r>
          </w:p>
        </w:tc>
        <w:tc>
          <w:tcPr>
            <w:tcW w:w="960" w:type="dxa"/>
            <w:tcBorders>
              <w:top w:val="nil"/>
              <w:left w:val="nil"/>
              <w:bottom w:val="single" w:sz="8" w:space="0" w:color="000000"/>
              <w:right w:val="single" w:sz="8" w:space="0" w:color="000000"/>
            </w:tcBorders>
            <w:shd w:val="clear" w:color="auto" w:fill="auto"/>
            <w:vAlign w:val="center"/>
            <w:hideMark/>
          </w:tcPr>
          <w:p w14:paraId="098CA12B"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730F95C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37F2FFF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16.061</w:t>
            </w:r>
          </w:p>
        </w:tc>
      </w:tr>
      <w:tr w:rsidR="00221148" w:rsidRPr="005E4BEA" w14:paraId="5C67ECD9"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5DC4C9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2</w:t>
            </w:r>
          </w:p>
        </w:tc>
        <w:tc>
          <w:tcPr>
            <w:tcW w:w="2260" w:type="dxa"/>
            <w:tcBorders>
              <w:top w:val="nil"/>
              <w:left w:val="nil"/>
              <w:bottom w:val="single" w:sz="8" w:space="0" w:color="000000"/>
              <w:right w:val="single" w:sz="8" w:space="0" w:color="000000"/>
            </w:tcBorders>
            <w:shd w:val="clear" w:color="auto" w:fill="auto"/>
            <w:vAlign w:val="center"/>
            <w:hideMark/>
          </w:tcPr>
          <w:p w14:paraId="1F728F61"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8F3345D"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Ormož</w:t>
            </w:r>
          </w:p>
        </w:tc>
        <w:tc>
          <w:tcPr>
            <w:tcW w:w="960" w:type="dxa"/>
            <w:tcBorders>
              <w:top w:val="nil"/>
              <w:left w:val="nil"/>
              <w:bottom w:val="single" w:sz="8" w:space="0" w:color="000000"/>
              <w:right w:val="single" w:sz="8" w:space="0" w:color="000000"/>
            </w:tcBorders>
            <w:shd w:val="clear" w:color="auto" w:fill="auto"/>
            <w:vAlign w:val="center"/>
            <w:hideMark/>
          </w:tcPr>
          <w:p w14:paraId="752C892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4895C3C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34848ED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16.061</w:t>
            </w:r>
          </w:p>
        </w:tc>
      </w:tr>
      <w:tr w:rsidR="00221148" w:rsidRPr="005E4BEA" w14:paraId="532D316A"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9F6238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lastRenderedPageBreak/>
              <w:t>3</w:t>
            </w:r>
          </w:p>
        </w:tc>
        <w:tc>
          <w:tcPr>
            <w:tcW w:w="2260" w:type="dxa"/>
            <w:tcBorders>
              <w:top w:val="nil"/>
              <w:left w:val="nil"/>
              <w:bottom w:val="single" w:sz="8" w:space="0" w:color="000000"/>
              <w:right w:val="single" w:sz="8" w:space="0" w:color="000000"/>
            </w:tcBorders>
            <w:shd w:val="clear" w:color="auto" w:fill="auto"/>
            <w:vAlign w:val="center"/>
            <w:hideMark/>
          </w:tcPr>
          <w:p w14:paraId="12BD3AE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089490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xml:space="preserve">ZD Sežana </w:t>
            </w:r>
          </w:p>
        </w:tc>
        <w:tc>
          <w:tcPr>
            <w:tcW w:w="960" w:type="dxa"/>
            <w:tcBorders>
              <w:top w:val="nil"/>
              <w:left w:val="nil"/>
              <w:bottom w:val="single" w:sz="8" w:space="0" w:color="000000"/>
              <w:right w:val="single" w:sz="8" w:space="0" w:color="000000"/>
            </w:tcBorders>
            <w:shd w:val="clear" w:color="auto" w:fill="auto"/>
            <w:vAlign w:val="center"/>
            <w:hideMark/>
          </w:tcPr>
          <w:p w14:paraId="2DC318E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0,1</w:t>
            </w:r>
          </w:p>
        </w:tc>
        <w:tc>
          <w:tcPr>
            <w:tcW w:w="1460" w:type="dxa"/>
            <w:tcBorders>
              <w:top w:val="nil"/>
              <w:left w:val="nil"/>
              <w:bottom w:val="single" w:sz="8" w:space="0" w:color="000000"/>
              <w:right w:val="single" w:sz="8" w:space="0" w:color="000000"/>
            </w:tcBorders>
            <w:shd w:val="clear" w:color="auto" w:fill="auto"/>
            <w:vAlign w:val="center"/>
            <w:hideMark/>
          </w:tcPr>
          <w:p w14:paraId="309E8EAA"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16.061</w:t>
            </w:r>
          </w:p>
        </w:tc>
        <w:tc>
          <w:tcPr>
            <w:tcW w:w="1420" w:type="dxa"/>
            <w:tcBorders>
              <w:top w:val="nil"/>
              <w:left w:val="nil"/>
              <w:bottom w:val="single" w:sz="8" w:space="0" w:color="000000"/>
              <w:right w:val="single" w:sz="8" w:space="0" w:color="000000"/>
            </w:tcBorders>
            <w:shd w:val="clear" w:color="auto" w:fill="auto"/>
            <w:vAlign w:val="center"/>
            <w:hideMark/>
          </w:tcPr>
          <w:p w14:paraId="4DD3D8B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8.031</w:t>
            </w:r>
          </w:p>
        </w:tc>
      </w:tr>
      <w:tr w:rsidR="00221148" w:rsidRPr="005E4BEA" w14:paraId="38E95AB8"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7CDA4B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w:t>
            </w:r>
          </w:p>
        </w:tc>
        <w:tc>
          <w:tcPr>
            <w:tcW w:w="2260" w:type="dxa"/>
            <w:tcBorders>
              <w:top w:val="nil"/>
              <w:left w:val="nil"/>
              <w:bottom w:val="single" w:sz="8" w:space="0" w:color="000000"/>
              <w:right w:val="single" w:sz="8" w:space="0" w:color="000000"/>
            </w:tcBorders>
            <w:shd w:val="clear" w:color="auto" w:fill="auto"/>
            <w:vAlign w:val="center"/>
            <w:hideMark/>
          </w:tcPr>
          <w:p w14:paraId="77341DCC"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56812D9"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OZG Kranj</w:t>
            </w:r>
          </w:p>
        </w:tc>
        <w:tc>
          <w:tcPr>
            <w:tcW w:w="960" w:type="dxa"/>
            <w:tcBorders>
              <w:top w:val="nil"/>
              <w:left w:val="nil"/>
              <w:bottom w:val="single" w:sz="8" w:space="0" w:color="000000"/>
              <w:right w:val="single" w:sz="8" w:space="0" w:color="000000"/>
            </w:tcBorders>
            <w:shd w:val="clear" w:color="auto" w:fill="auto"/>
            <w:vAlign w:val="center"/>
            <w:hideMark/>
          </w:tcPr>
          <w:p w14:paraId="24A7CC8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w:t>
            </w:r>
          </w:p>
        </w:tc>
        <w:tc>
          <w:tcPr>
            <w:tcW w:w="1460" w:type="dxa"/>
            <w:tcBorders>
              <w:top w:val="nil"/>
              <w:left w:val="nil"/>
              <w:bottom w:val="single" w:sz="8" w:space="0" w:color="000000"/>
              <w:right w:val="single" w:sz="8" w:space="0" w:color="000000"/>
            </w:tcBorders>
            <w:shd w:val="clear" w:color="auto" w:fill="auto"/>
            <w:vAlign w:val="center"/>
            <w:hideMark/>
          </w:tcPr>
          <w:p w14:paraId="545D10C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160.605</w:t>
            </w:r>
          </w:p>
        </w:tc>
        <w:tc>
          <w:tcPr>
            <w:tcW w:w="1420" w:type="dxa"/>
            <w:tcBorders>
              <w:top w:val="nil"/>
              <w:left w:val="nil"/>
              <w:bottom w:val="single" w:sz="8" w:space="0" w:color="000000"/>
              <w:right w:val="single" w:sz="8" w:space="0" w:color="000000"/>
            </w:tcBorders>
            <w:shd w:val="clear" w:color="auto" w:fill="auto"/>
            <w:vAlign w:val="center"/>
            <w:hideMark/>
          </w:tcPr>
          <w:p w14:paraId="1159B109"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80.303</w:t>
            </w:r>
          </w:p>
        </w:tc>
      </w:tr>
      <w:tr w:rsidR="00221148" w:rsidRPr="005E4BEA" w14:paraId="5B53F1D0"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B4A246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5</w:t>
            </w:r>
          </w:p>
        </w:tc>
        <w:tc>
          <w:tcPr>
            <w:tcW w:w="2260" w:type="dxa"/>
            <w:tcBorders>
              <w:top w:val="nil"/>
              <w:left w:val="nil"/>
              <w:bottom w:val="single" w:sz="8" w:space="0" w:color="000000"/>
              <w:right w:val="single" w:sz="8" w:space="0" w:color="000000"/>
            </w:tcBorders>
            <w:shd w:val="clear" w:color="auto" w:fill="auto"/>
            <w:vAlign w:val="center"/>
            <w:hideMark/>
          </w:tcPr>
          <w:p w14:paraId="1662676C"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826471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Cerknica</w:t>
            </w:r>
          </w:p>
        </w:tc>
        <w:tc>
          <w:tcPr>
            <w:tcW w:w="960" w:type="dxa"/>
            <w:tcBorders>
              <w:top w:val="nil"/>
              <w:left w:val="nil"/>
              <w:bottom w:val="single" w:sz="8" w:space="0" w:color="000000"/>
              <w:right w:val="single" w:sz="8" w:space="0" w:color="000000"/>
            </w:tcBorders>
            <w:shd w:val="clear" w:color="auto" w:fill="auto"/>
            <w:vAlign w:val="center"/>
            <w:hideMark/>
          </w:tcPr>
          <w:p w14:paraId="4F831C2B"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0,3</w:t>
            </w:r>
          </w:p>
        </w:tc>
        <w:tc>
          <w:tcPr>
            <w:tcW w:w="1460" w:type="dxa"/>
            <w:tcBorders>
              <w:top w:val="nil"/>
              <w:left w:val="nil"/>
              <w:bottom w:val="single" w:sz="8" w:space="0" w:color="000000"/>
              <w:right w:val="single" w:sz="8" w:space="0" w:color="000000"/>
            </w:tcBorders>
            <w:shd w:val="clear" w:color="auto" w:fill="auto"/>
            <w:vAlign w:val="center"/>
            <w:hideMark/>
          </w:tcPr>
          <w:p w14:paraId="73DC886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48.182</w:t>
            </w:r>
          </w:p>
        </w:tc>
        <w:tc>
          <w:tcPr>
            <w:tcW w:w="1420" w:type="dxa"/>
            <w:tcBorders>
              <w:top w:val="nil"/>
              <w:left w:val="nil"/>
              <w:bottom w:val="single" w:sz="8" w:space="0" w:color="000000"/>
              <w:right w:val="single" w:sz="8" w:space="0" w:color="000000"/>
            </w:tcBorders>
            <w:shd w:val="clear" w:color="auto" w:fill="auto"/>
            <w:vAlign w:val="center"/>
            <w:hideMark/>
          </w:tcPr>
          <w:p w14:paraId="6E695E4F"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24.091</w:t>
            </w:r>
          </w:p>
        </w:tc>
      </w:tr>
      <w:tr w:rsidR="00221148" w:rsidRPr="005E4BEA" w14:paraId="4EB04D18"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E708EC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6</w:t>
            </w:r>
          </w:p>
        </w:tc>
        <w:tc>
          <w:tcPr>
            <w:tcW w:w="2260" w:type="dxa"/>
            <w:tcBorders>
              <w:top w:val="nil"/>
              <w:left w:val="nil"/>
              <w:bottom w:val="single" w:sz="8" w:space="0" w:color="000000"/>
              <w:right w:val="single" w:sz="8" w:space="0" w:color="000000"/>
            </w:tcBorders>
            <w:shd w:val="clear" w:color="auto" w:fill="auto"/>
            <w:vAlign w:val="center"/>
            <w:hideMark/>
          </w:tcPr>
          <w:p w14:paraId="7F23514B"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8F2AFFF"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Grosuplje</w:t>
            </w:r>
          </w:p>
        </w:tc>
        <w:tc>
          <w:tcPr>
            <w:tcW w:w="960" w:type="dxa"/>
            <w:tcBorders>
              <w:top w:val="nil"/>
              <w:left w:val="nil"/>
              <w:bottom w:val="single" w:sz="8" w:space="0" w:color="000000"/>
              <w:right w:val="single" w:sz="8" w:space="0" w:color="000000"/>
            </w:tcBorders>
            <w:shd w:val="clear" w:color="auto" w:fill="auto"/>
            <w:vAlign w:val="center"/>
            <w:hideMark/>
          </w:tcPr>
          <w:p w14:paraId="615685F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0,05</w:t>
            </w:r>
          </w:p>
        </w:tc>
        <w:tc>
          <w:tcPr>
            <w:tcW w:w="1460" w:type="dxa"/>
            <w:tcBorders>
              <w:top w:val="nil"/>
              <w:left w:val="nil"/>
              <w:bottom w:val="single" w:sz="8" w:space="0" w:color="000000"/>
              <w:right w:val="single" w:sz="8" w:space="0" w:color="000000"/>
            </w:tcBorders>
            <w:shd w:val="clear" w:color="auto" w:fill="auto"/>
            <w:vAlign w:val="center"/>
            <w:hideMark/>
          </w:tcPr>
          <w:p w14:paraId="4F5DC3F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w:t>
            </w:r>
          </w:p>
        </w:tc>
        <w:tc>
          <w:tcPr>
            <w:tcW w:w="1420" w:type="dxa"/>
            <w:tcBorders>
              <w:top w:val="nil"/>
              <w:left w:val="nil"/>
              <w:bottom w:val="single" w:sz="8" w:space="0" w:color="000000"/>
              <w:right w:val="single" w:sz="8" w:space="0" w:color="000000"/>
            </w:tcBorders>
            <w:shd w:val="clear" w:color="auto" w:fill="auto"/>
            <w:vAlign w:val="center"/>
            <w:hideMark/>
          </w:tcPr>
          <w:p w14:paraId="5B3300B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4.015</w:t>
            </w:r>
          </w:p>
        </w:tc>
      </w:tr>
      <w:tr w:rsidR="00221148" w:rsidRPr="005E4BEA" w14:paraId="77C22974"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8A63EA"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7</w:t>
            </w:r>
          </w:p>
        </w:tc>
        <w:tc>
          <w:tcPr>
            <w:tcW w:w="2260" w:type="dxa"/>
            <w:tcBorders>
              <w:top w:val="nil"/>
              <w:left w:val="nil"/>
              <w:bottom w:val="single" w:sz="8" w:space="0" w:color="000000"/>
              <w:right w:val="single" w:sz="8" w:space="0" w:color="000000"/>
            </w:tcBorders>
            <w:shd w:val="clear" w:color="auto" w:fill="auto"/>
            <w:vAlign w:val="center"/>
            <w:hideMark/>
          </w:tcPr>
          <w:p w14:paraId="4427EBD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4A8E624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Ribnica</w:t>
            </w:r>
          </w:p>
        </w:tc>
        <w:tc>
          <w:tcPr>
            <w:tcW w:w="960" w:type="dxa"/>
            <w:tcBorders>
              <w:top w:val="nil"/>
              <w:left w:val="nil"/>
              <w:bottom w:val="single" w:sz="8" w:space="0" w:color="000000"/>
              <w:right w:val="single" w:sz="8" w:space="0" w:color="000000"/>
            </w:tcBorders>
            <w:shd w:val="clear" w:color="auto" w:fill="auto"/>
            <w:vAlign w:val="center"/>
            <w:hideMark/>
          </w:tcPr>
          <w:p w14:paraId="535E18B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0,3</w:t>
            </w:r>
          </w:p>
        </w:tc>
        <w:tc>
          <w:tcPr>
            <w:tcW w:w="1460" w:type="dxa"/>
            <w:tcBorders>
              <w:top w:val="nil"/>
              <w:left w:val="nil"/>
              <w:bottom w:val="single" w:sz="8" w:space="0" w:color="000000"/>
              <w:right w:val="single" w:sz="8" w:space="0" w:color="000000"/>
            </w:tcBorders>
            <w:shd w:val="clear" w:color="auto" w:fill="auto"/>
            <w:vAlign w:val="center"/>
            <w:hideMark/>
          </w:tcPr>
          <w:p w14:paraId="5BE6D7C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48.182</w:t>
            </w:r>
          </w:p>
        </w:tc>
        <w:tc>
          <w:tcPr>
            <w:tcW w:w="1420" w:type="dxa"/>
            <w:tcBorders>
              <w:top w:val="nil"/>
              <w:left w:val="nil"/>
              <w:bottom w:val="single" w:sz="8" w:space="0" w:color="000000"/>
              <w:right w:val="single" w:sz="8" w:space="0" w:color="000000"/>
            </w:tcBorders>
            <w:shd w:val="clear" w:color="auto" w:fill="auto"/>
            <w:vAlign w:val="center"/>
            <w:hideMark/>
          </w:tcPr>
          <w:p w14:paraId="41F1E3EF"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24.091</w:t>
            </w:r>
          </w:p>
        </w:tc>
      </w:tr>
      <w:tr w:rsidR="00221148" w:rsidRPr="005E4BEA" w14:paraId="3D5853BD"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EBD3AFA"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w:t>
            </w:r>
          </w:p>
        </w:tc>
        <w:tc>
          <w:tcPr>
            <w:tcW w:w="2260" w:type="dxa"/>
            <w:tcBorders>
              <w:top w:val="nil"/>
              <w:left w:val="nil"/>
              <w:bottom w:val="single" w:sz="8" w:space="0" w:color="000000"/>
              <w:right w:val="single" w:sz="8" w:space="0" w:color="000000"/>
            </w:tcBorders>
            <w:shd w:val="clear" w:color="auto" w:fill="auto"/>
            <w:vAlign w:val="center"/>
            <w:hideMark/>
          </w:tcPr>
          <w:p w14:paraId="6C8C822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56908D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SB Murska Sobota</w:t>
            </w:r>
          </w:p>
        </w:tc>
        <w:tc>
          <w:tcPr>
            <w:tcW w:w="960" w:type="dxa"/>
            <w:tcBorders>
              <w:top w:val="nil"/>
              <w:left w:val="nil"/>
              <w:bottom w:val="single" w:sz="8" w:space="0" w:color="000000"/>
              <w:right w:val="single" w:sz="8" w:space="0" w:color="000000"/>
            </w:tcBorders>
            <w:shd w:val="clear" w:color="auto" w:fill="auto"/>
            <w:vAlign w:val="center"/>
            <w:hideMark/>
          </w:tcPr>
          <w:p w14:paraId="0984629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w:t>
            </w:r>
          </w:p>
        </w:tc>
        <w:tc>
          <w:tcPr>
            <w:tcW w:w="1460" w:type="dxa"/>
            <w:tcBorders>
              <w:top w:val="nil"/>
              <w:left w:val="nil"/>
              <w:bottom w:val="single" w:sz="8" w:space="0" w:color="000000"/>
              <w:right w:val="single" w:sz="8" w:space="0" w:color="000000"/>
            </w:tcBorders>
            <w:shd w:val="clear" w:color="auto" w:fill="auto"/>
            <w:vAlign w:val="center"/>
            <w:hideMark/>
          </w:tcPr>
          <w:p w14:paraId="36C70FD3"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160.605</w:t>
            </w:r>
          </w:p>
        </w:tc>
        <w:tc>
          <w:tcPr>
            <w:tcW w:w="1420" w:type="dxa"/>
            <w:tcBorders>
              <w:top w:val="nil"/>
              <w:left w:val="nil"/>
              <w:bottom w:val="single" w:sz="8" w:space="0" w:color="000000"/>
              <w:right w:val="single" w:sz="8" w:space="0" w:color="000000"/>
            </w:tcBorders>
            <w:shd w:val="clear" w:color="auto" w:fill="auto"/>
            <w:vAlign w:val="center"/>
            <w:hideMark/>
          </w:tcPr>
          <w:p w14:paraId="0DB6EABF"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80.303</w:t>
            </w:r>
          </w:p>
        </w:tc>
      </w:tr>
      <w:tr w:rsidR="00221148" w:rsidRPr="005E4BEA" w14:paraId="0A9023B7"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9155E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9</w:t>
            </w:r>
          </w:p>
        </w:tc>
        <w:tc>
          <w:tcPr>
            <w:tcW w:w="2260" w:type="dxa"/>
            <w:tcBorders>
              <w:top w:val="nil"/>
              <w:left w:val="nil"/>
              <w:bottom w:val="single" w:sz="8" w:space="0" w:color="000000"/>
              <w:right w:val="single" w:sz="8" w:space="0" w:color="000000"/>
            </w:tcBorders>
            <w:shd w:val="clear" w:color="auto" w:fill="auto"/>
            <w:vAlign w:val="center"/>
            <w:hideMark/>
          </w:tcPr>
          <w:p w14:paraId="6299230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7E1D8E1"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Ajdovščina</w:t>
            </w:r>
          </w:p>
        </w:tc>
        <w:tc>
          <w:tcPr>
            <w:tcW w:w="960" w:type="dxa"/>
            <w:tcBorders>
              <w:top w:val="nil"/>
              <w:left w:val="nil"/>
              <w:bottom w:val="single" w:sz="8" w:space="0" w:color="000000"/>
              <w:right w:val="single" w:sz="8" w:space="0" w:color="000000"/>
            </w:tcBorders>
            <w:shd w:val="clear" w:color="auto" w:fill="auto"/>
            <w:vAlign w:val="center"/>
            <w:hideMark/>
          </w:tcPr>
          <w:p w14:paraId="1E49EF0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0,19</w:t>
            </w:r>
          </w:p>
        </w:tc>
        <w:tc>
          <w:tcPr>
            <w:tcW w:w="1460" w:type="dxa"/>
            <w:tcBorders>
              <w:top w:val="nil"/>
              <w:left w:val="nil"/>
              <w:bottom w:val="single" w:sz="8" w:space="0" w:color="000000"/>
              <w:right w:val="single" w:sz="8" w:space="0" w:color="000000"/>
            </w:tcBorders>
            <w:shd w:val="clear" w:color="auto" w:fill="auto"/>
            <w:vAlign w:val="center"/>
            <w:hideMark/>
          </w:tcPr>
          <w:p w14:paraId="1564B239"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30.515</w:t>
            </w:r>
          </w:p>
        </w:tc>
        <w:tc>
          <w:tcPr>
            <w:tcW w:w="1420" w:type="dxa"/>
            <w:tcBorders>
              <w:top w:val="nil"/>
              <w:left w:val="nil"/>
              <w:bottom w:val="single" w:sz="8" w:space="0" w:color="000000"/>
              <w:right w:val="single" w:sz="8" w:space="0" w:color="000000"/>
            </w:tcBorders>
            <w:shd w:val="clear" w:color="auto" w:fill="auto"/>
            <w:vAlign w:val="center"/>
            <w:hideMark/>
          </w:tcPr>
          <w:p w14:paraId="5315E8C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15.257</w:t>
            </w:r>
          </w:p>
        </w:tc>
      </w:tr>
      <w:tr w:rsidR="00221148" w:rsidRPr="005E4BEA" w14:paraId="5902C8D4"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6B6DBE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10</w:t>
            </w:r>
          </w:p>
        </w:tc>
        <w:tc>
          <w:tcPr>
            <w:tcW w:w="2260" w:type="dxa"/>
            <w:tcBorders>
              <w:top w:val="nil"/>
              <w:left w:val="nil"/>
              <w:bottom w:val="single" w:sz="8" w:space="0" w:color="000000"/>
              <w:right w:val="single" w:sz="8" w:space="0" w:color="000000"/>
            </w:tcBorders>
            <w:shd w:val="clear" w:color="auto" w:fill="auto"/>
            <w:vAlign w:val="center"/>
            <w:hideMark/>
          </w:tcPr>
          <w:p w14:paraId="401EFE2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008810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SB Nova Gorica</w:t>
            </w:r>
          </w:p>
        </w:tc>
        <w:tc>
          <w:tcPr>
            <w:tcW w:w="960" w:type="dxa"/>
            <w:tcBorders>
              <w:top w:val="nil"/>
              <w:left w:val="nil"/>
              <w:bottom w:val="single" w:sz="8" w:space="0" w:color="000000"/>
              <w:right w:val="single" w:sz="8" w:space="0" w:color="000000"/>
            </w:tcBorders>
            <w:shd w:val="clear" w:color="auto" w:fill="auto"/>
            <w:vAlign w:val="center"/>
            <w:hideMark/>
          </w:tcPr>
          <w:p w14:paraId="614A83C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02ADE61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64602F4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40.151</w:t>
            </w:r>
          </w:p>
        </w:tc>
      </w:tr>
      <w:tr w:rsidR="00221148" w:rsidRPr="005E4BEA" w14:paraId="36971471"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ADF5E8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11</w:t>
            </w:r>
          </w:p>
        </w:tc>
        <w:tc>
          <w:tcPr>
            <w:tcW w:w="2260" w:type="dxa"/>
            <w:tcBorders>
              <w:top w:val="nil"/>
              <w:left w:val="nil"/>
              <w:bottom w:val="single" w:sz="8" w:space="0" w:color="000000"/>
              <w:right w:val="single" w:sz="8" w:space="0" w:color="000000"/>
            </w:tcBorders>
            <w:shd w:val="clear" w:color="auto" w:fill="auto"/>
            <w:vAlign w:val="center"/>
            <w:hideMark/>
          </w:tcPr>
          <w:p w14:paraId="463A685D"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49C2934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ZD Trebnje</w:t>
            </w:r>
          </w:p>
        </w:tc>
        <w:tc>
          <w:tcPr>
            <w:tcW w:w="960" w:type="dxa"/>
            <w:tcBorders>
              <w:top w:val="nil"/>
              <w:left w:val="nil"/>
              <w:bottom w:val="single" w:sz="8" w:space="0" w:color="000000"/>
              <w:right w:val="single" w:sz="8" w:space="0" w:color="000000"/>
            </w:tcBorders>
            <w:shd w:val="clear" w:color="auto" w:fill="auto"/>
            <w:vAlign w:val="center"/>
            <w:hideMark/>
          </w:tcPr>
          <w:p w14:paraId="4898B5F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0,8</w:t>
            </w:r>
          </w:p>
        </w:tc>
        <w:tc>
          <w:tcPr>
            <w:tcW w:w="1460" w:type="dxa"/>
            <w:tcBorders>
              <w:top w:val="nil"/>
              <w:left w:val="nil"/>
              <w:bottom w:val="single" w:sz="8" w:space="0" w:color="000000"/>
              <w:right w:val="single" w:sz="8" w:space="0" w:color="000000"/>
            </w:tcBorders>
            <w:shd w:val="clear" w:color="auto" w:fill="auto"/>
            <w:vAlign w:val="center"/>
            <w:hideMark/>
          </w:tcPr>
          <w:p w14:paraId="25891D1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128.484</w:t>
            </w:r>
          </w:p>
        </w:tc>
        <w:tc>
          <w:tcPr>
            <w:tcW w:w="1420" w:type="dxa"/>
            <w:tcBorders>
              <w:top w:val="nil"/>
              <w:left w:val="nil"/>
              <w:bottom w:val="single" w:sz="8" w:space="0" w:color="000000"/>
              <w:right w:val="single" w:sz="8" w:space="0" w:color="000000"/>
            </w:tcBorders>
            <w:shd w:val="clear" w:color="auto" w:fill="auto"/>
            <w:vAlign w:val="center"/>
            <w:hideMark/>
          </w:tcPr>
          <w:p w14:paraId="182DF83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64.242</w:t>
            </w:r>
          </w:p>
        </w:tc>
      </w:tr>
      <w:tr w:rsidR="00221148" w:rsidRPr="005E4BEA" w14:paraId="6C993C74"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CF8061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12</w:t>
            </w:r>
          </w:p>
        </w:tc>
        <w:tc>
          <w:tcPr>
            <w:tcW w:w="2260" w:type="dxa"/>
            <w:tcBorders>
              <w:top w:val="nil"/>
              <w:left w:val="nil"/>
              <w:bottom w:val="single" w:sz="8" w:space="0" w:color="000000"/>
              <w:right w:val="single" w:sz="8" w:space="0" w:color="000000"/>
            </w:tcBorders>
            <w:shd w:val="clear" w:color="auto" w:fill="auto"/>
            <w:vAlign w:val="center"/>
            <w:hideMark/>
          </w:tcPr>
          <w:p w14:paraId="320DC445"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52F5BD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OE Novo mesto</w:t>
            </w:r>
          </w:p>
        </w:tc>
        <w:tc>
          <w:tcPr>
            <w:tcW w:w="960" w:type="dxa"/>
            <w:tcBorders>
              <w:top w:val="nil"/>
              <w:left w:val="nil"/>
              <w:bottom w:val="single" w:sz="8" w:space="0" w:color="000000"/>
              <w:right w:val="single" w:sz="8" w:space="0" w:color="000000"/>
            </w:tcBorders>
            <w:shd w:val="clear" w:color="auto" w:fill="auto"/>
            <w:vAlign w:val="center"/>
            <w:hideMark/>
          </w:tcPr>
          <w:p w14:paraId="14E3199B"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0,77</w:t>
            </w:r>
          </w:p>
        </w:tc>
        <w:tc>
          <w:tcPr>
            <w:tcW w:w="1460" w:type="dxa"/>
            <w:tcBorders>
              <w:top w:val="nil"/>
              <w:left w:val="nil"/>
              <w:bottom w:val="single" w:sz="8" w:space="0" w:color="000000"/>
              <w:right w:val="single" w:sz="8" w:space="0" w:color="000000"/>
            </w:tcBorders>
            <w:shd w:val="clear" w:color="auto" w:fill="auto"/>
            <w:vAlign w:val="center"/>
            <w:hideMark/>
          </w:tcPr>
          <w:p w14:paraId="675A024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123.666</w:t>
            </w:r>
          </w:p>
        </w:tc>
        <w:tc>
          <w:tcPr>
            <w:tcW w:w="1420" w:type="dxa"/>
            <w:tcBorders>
              <w:top w:val="nil"/>
              <w:left w:val="nil"/>
              <w:bottom w:val="single" w:sz="8" w:space="0" w:color="000000"/>
              <w:right w:val="single" w:sz="8" w:space="0" w:color="000000"/>
            </w:tcBorders>
            <w:shd w:val="clear" w:color="auto" w:fill="auto"/>
            <w:vAlign w:val="center"/>
            <w:hideMark/>
          </w:tcPr>
          <w:p w14:paraId="03158B9A"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61.833</w:t>
            </w:r>
          </w:p>
        </w:tc>
      </w:tr>
      <w:tr w:rsidR="00221148" w:rsidRPr="005E4BEA" w14:paraId="64BBADC5"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DB1201C"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13</w:t>
            </w:r>
          </w:p>
        </w:tc>
        <w:tc>
          <w:tcPr>
            <w:tcW w:w="2260" w:type="dxa"/>
            <w:tcBorders>
              <w:top w:val="nil"/>
              <w:left w:val="nil"/>
              <w:bottom w:val="single" w:sz="8" w:space="0" w:color="000000"/>
              <w:right w:val="single" w:sz="8" w:space="0" w:color="000000"/>
            </w:tcBorders>
            <w:shd w:val="clear" w:color="auto" w:fill="auto"/>
            <w:vAlign w:val="center"/>
            <w:hideMark/>
          </w:tcPr>
          <w:p w14:paraId="1F29A73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C00C90B" w14:textId="71F546E0"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xml:space="preserve">OE Krško / </w:t>
            </w:r>
            <w:r w:rsidR="00201CAA" w:rsidRPr="005E4BEA">
              <w:rPr>
                <w:rFonts w:cs="Arial"/>
                <w:color w:val="000000"/>
                <w:szCs w:val="20"/>
                <w:lang w:eastAsia="sl-SI"/>
              </w:rPr>
              <w:t xml:space="preserve">izpostava </w:t>
            </w:r>
            <w:r w:rsidRPr="005E4BEA">
              <w:rPr>
                <w:rFonts w:cs="Arial"/>
                <w:color w:val="000000"/>
                <w:szCs w:val="20"/>
                <w:lang w:eastAsia="sl-SI"/>
              </w:rPr>
              <w:t>Krško</w:t>
            </w:r>
          </w:p>
        </w:tc>
        <w:tc>
          <w:tcPr>
            <w:tcW w:w="960" w:type="dxa"/>
            <w:tcBorders>
              <w:top w:val="nil"/>
              <w:left w:val="nil"/>
              <w:bottom w:val="single" w:sz="8" w:space="0" w:color="000000"/>
              <w:right w:val="single" w:sz="8" w:space="0" w:color="000000"/>
            </w:tcBorders>
            <w:shd w:val="clear" w:color="auto" w:fill="auto"/>
            <w:vAlign w:val="center"/>
            <w:hideMark/>
          </w:tcPr>
          <w:p w14:paraId="652D593A"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0,1</w:t>
            </w:r>
          </w:p>
        </w:tc>
        <w:tc>
          <w:tcPr>
            <w:tcW w:w="1460" w:type="dxa"/>
            <w:tcBorders>
              <w:top w:val="nil"/>
              <w:left w:val="nil"/>
              <w:bottom w:val="single" w:sz="8" w:space="0" w:color="000000"/>
              <w:right w:val="single" w:sz="8" w:space="0" w:color="000000"/>
            </w:tcBorders>
            <w:shd w:val="clear" w:color="auto" w:fill="auto"/>
            <w:vAlign w:val="center"/>
            <w:hideMark/>
          </w:tcPr>
          <w:p w14:paraId="17C4E2AF"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16.061</w:t>
            </w:r>
          </w:p>
        </w:tc>
        <w:tc>
          <w:tcPr>
            <w:tcW w:w="1420" w:type="dxa"/>
            <w:tcBorders>
              <w:top w:val="nil"/>
              <w:left w:val="nil"/>
              <w:bottom w:val="single" w:sz="8" w:space="0" w:color="000000"/>
              <w:right w:val="single" w:sz="8" w:space="0" w:color="000000"/>
            </w:tcBorders>
            <w:shd w:val="clear" w:color="auto" w:fill="auto"/>
            <w:vAlign w:val="center"/>
            <w:hideMark/>
          </w:tcPr>
          <w:p w14:paraId="77391A8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w:t>
            </w:r>
          </w:p>
        </w:tc>
      </w:tr>
      <w:tr w:rsidR="00221148" w:rsidRPr="005E4BEA" w14:paraId="452F5F8C"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F063ACE"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14</w:t>
            </w:r>
          </w:p>
        </w:tc>
        <w:tc>
          <w:tcPr>
            <w:tcW w:w="2260" w:type="dxa"/>
            <w:tcBorders>
              <w:top w:val="nil"/>
              <w:left w:val="nil"/>
              <w:bottom w:val="single" w:sz="8" w:space="0" w:color="000000"/>
              <w:right w:val="single" w:sz="8" w:space="0" w:color="000000"/>
            </w:tcBorders>
            <w:shd w:val="clear" w:color="auto" w:fill="auto"/>
            <w:vAlign w:val="center"/>
            <w:hideMark/>
          </w:tcPr>
          <w:p w14:paraId="7D0ABB5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FC0DB09" w14:textId="67E2EFA9"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xml:space="preserve">OE Krško / </w:t>
            </w:r>
            <w:r w:rsidR="00201CAA" w:rsidRPr="005E4BEA">
              <w:rPr>
                <w:rFonts w:cs="Arial"/>
                <w:color w:val="000000"/>
                <w:szCs w:val="20"/>
                <w:lang w:eastAsia="sl-SI"/>
              </w:rPr>
              <w:t xml:space="preserve">izpostava </w:t>
            </w:r>
            <w:r w:rsidRPr="005E4BEA">
              <w:rPr>
                <w:rFonts w:cs="Arial"/>
                <w:color w:val="000000"/>
                <w:szCs w:val="20"/>
                <w:lang w:eastAsia="sl-SI"/>
              </w:rPr>
              <w:t>Sevnica</w:t>
            </w:r>
          </w:p>
        </w:tc>
        <w:tc>
          <w:tcPr>
            <w:tcW w:w="960" w:type="dxa"/>
            <w:tcBorders>
              <w:top w:val="nil"/>
              <w:left w:val="nil"/>
              <w:bottom w:val="single" w:sz="8" w:space="0" w:color="000000"/>
              <w:right w:val="single" w:sz="8" w:space="0" w:color="000000"/>
            </w:tcBorders>
            <w:shd w:val="clear" w:color="auto" w:fill="auto"/>
            <w:vAlign w:val="center"/>
            <w:hideMark/>
          </w:tcPr>
          <w:p w14:paraId="449F9C32"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3A37FF49"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1149543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16.061</w:t>
            </w:r>
          </w:p>
        </w:tc>
      </w:tr>
      <w:tr w:rsidR="00221148" w:rsidRPr="005E4BEA" w14:paraId="708F6F15" w14:textId="77777777" w:rsidTr="00221148">
        <w:trPr>
          <w:trHeight w:val="52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5715AD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15</w:t>
            </w:r>
          </w:p>
        </w:tc>
        <w:tc>
          <w:tcPr>
            <w:tcW w:w="2260" w:type="dxa"/>
            <w:tcBorders>
              <w:top w:val="nil"/>
              <w:left w:val="nil"/>
              <w:bottom w:val="single" w:sz="8" w:space="0" w:color="000000"/>
              <w:right w:val="single" w:sz="8" w:space="0" w:color="000000"/>
            </w:tcBorders>
            <w:shd w:val="clear" w:color="auto" w:fill="auto"/>
            <w:vAlign w:val="center"/>
            <w:hideMark/>
          </w:tcPr>
          <w:p w14:paraId="28B6FA45"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EABEED4" w14:textId="715E9772"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xml:space="preserve">OE Koper / </w:t>
            </w:r>
            <w:r w:rsidR="00201CAA" w:rsidRPr="005E4BEA">
              <w:rPr>
                <w:rFonts w:cs="Arial"/>
                <w:color w:val="000000"/>
                <w:szCs w:val="20"/>
                <w:lang w:eastAsia="sl-SI"/>
              </w:rPr>
              <w:t xml:space="preserve">izpostava </w:t>
            </w:r>
            <w:r w:rsidRPr="005E4BEA">
              <w:rPr>
                <w:rFonts w:cs="Arial"/>
                <w:color w:val="000000"/>
                <w:szCs w:val="20"/>
                <w:lang w:eastAsia="sl-SI"/>
              </w:rPr>
              <w:t>Ilirska Bistrica</w:t>
            </w:r>
          </w:p>
        </w:tc>
        <w:tc>
          <w:tcPr>
            <w:tcW w:w="960" w:type="dxa"/>
            <w:tcBorders>
              <w:top w:val="nil"/>
              <w:left w:val="nil"/>
              <w:bottom w:val="single" w:sz="8" w:space="0" w:color="000000"/>
              <w:right w:val="single" w:sz="8" w:space="0" w:color="000000"/>
            </w:tcBorders>
            <w:shd w:val="clear" w:color="auto" w:fill="auto"/>
            <w:vAlign w:val="center"/>
            <w:hideMark/>
          </w:tcPr>
          <w:p w14:paraId="74F5F29C"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1A694256"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532293DD"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40.151</w:t>
            </w:r>
          </w:p>
        </w:tc>
      </w:tr>
      <w:tr w:rsidR="00221148" w:rsidRPr="005E4BEA" w14:paraId="407EFE8F" w14:textId="77777777" w:rsidTr="00221148">
        <w:trPr>
          <w:trHeight w:val="78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9A564C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16</w:t>
            </w:r>
          </w:p>
        </w:tc>
        <w:tc>
          <w:tcPr>
            <w:tcW w:w="2260" w:type="dxa"/>
            <w:tcBorders>
              <w:top w:val="nil"/>
              <w:left w:val="nil"/>
              <w:bottom w:val="single" w:sz="8" w:space="0" w:color="000000"/>
              <w:right w:val="single" w:sz="8" w:space="0" w:color="000000"/>
            </w:tcBorders>
            <w:shd w:val="clear" w:color="auto" w:fill="auto"/>
            <w:vAlign w:val="center"/>
            <w:hideMark/>
          </w:tcPr>
          <w:p w14:paraId="6916F7C8"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312CB249"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Kardiologija Marinšek in Ginekologija Peternelj d.o.o.</w:t>
            </w:r>
          </w:p>
        </w:tc>
        <w:tc>
          <w:tcPr>
            <w:tcW w:w="960" w:type="dxa"/>
            <w:tcBorders>
              <w:top w:val="nil"/>
              <w:left w:val="nil"/>
              <w:bottom w:val="single" w:sz="8" w:space="0" w:color="000000"/>
              <w:right w:val="single" w:sz="8" w:space="0" w:color="000000"/>
            </w:tcBorders>
            <w:shd w:val="clear" w:color="auto" w:fill="auto"/>
            <w:vAlign w:val="center"/>
            <w:hideMark/>
          </w:tcPr>
          <w:p w14:paraId="1AC07350"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641480E7"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01A20AA5"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40.151</w:t>
            </w:r>
          </w:p>
        </w:tc>
      </w:tr>
      <w:tr w:rsidR="00221148" w:rsidRPr="005E4BEA" w14:paraId="7EF5772B" w14:textId="77777777" w:rsidTr="00221148">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2F88AA4" w14:textId="77777777" w:rsidR="00221148" w:rsidRPr="005E4BEA" w:rsidRDefault="00221148" w:rsidP="00221148">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tcBorders>
              <w:top w:val="nil"/>
              <w:left w:val="nil"/>
              <w:bottom w:val="single" w:sz="8" w:space="0" w:color="000000"/>
              <w:right w:val="single" w:sz="8" w:space="0" w:color="000000"/>
            </w:tcBorders>
            <w:shd w:val="clear" w:color="auto" w:fill="auto"/>
            <w:vAlign w:val="center"/>
            <w:hideMark/>
          </w:tcPr>
          <w:p w14:paraId="73EBA0F3" w14:textId="77777777" w:rsidR="00221148" w:rsidRPr="005E4BEA" w:rsidRDefault="00221148" w:rsidP="00221148">
            <w:pPr>
              <w:spacing w:line="240" w:lineRule="auto"/>
              <w:jc w:val="both"/>
              <w:rPr>
                <w:rFonts w:cs="Arial"/>
                <w:b/>
                <w:bCs/>
                <w:color w:val="000000"/>
                <w:szCs w:val="20"/>
                <w:lang w:eastAsia="sl-SI"/>
              </w:rPr>
            </w:pPr>
            <w:r w:rsidRPr="005E4BEA">
              <w:rPr>
                <w:rFonts w:cs="Arial"/>
                <w:b/>
                <w:bCs/>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318A6F48" w14:textId="77777777" w:rsidR="00221148" w:rsidRPr="005E4BEA" w:rsidRDefault="00221148" w:rsidP="00221148">
            <w:pPr>
              <w:spacing w:line="240" w:lineRule="auto"/>
              <w:jc w:val="both"/>
              <w:rPr>
                <w:rFonts w:cs="Arial"/>
                <w:b/>
                <w:bCs/>
                <w:color w:val="000000"/>
                <w:szCs w:val="20"/>
                <w:lang w:eastAsia="sl-SI"/>
              </w:rPr>
            </w:pPr>
            <w:r w:rsidRPr="005E4BEA">
              <w:rPr>
                <w:rFonts w:cs="Arial"/>
                <w:b/>
                <w:bCs/>
                <w:color w:val="000000"/>
                <w:szCs w:val="20"/>
                <w:lang w:eastAsia="sl-SI"/>
              </w:rPr>
              <w:t>SKUPAJ</w:t>
            </w:r>
          </w:p>
        </w:tc>
        <w:tc>
          <w:tcPr>
            <w:tcW w:w="960" w:type="dxa"/>
            <w:tcBorders>
              <w:top w:val="nil"/>
              <w:left w:val="nil"/>
              <w:bottom w:val="single" w:sz="8" w:space="0" w:color="000000"/>
              <w:right w:val="single" w:sz="8" w:space="0" w:color="000000"/>
            </w:tcBorders>
            <w:shd w:val="clear" w:color="auto" w:fill="auto"/>
            <w:vAlign w:val="center"/>
            <w:hideMark/>
          </w:tcPr>
          <w:p w14:paraId="26DBF14D" w14:textId="77777777" w:rsidR="00221148" w:rsidRPr="005E4BEA" w:rsidRDefault="00221148" w:rsidP="00221148">
            <w:pPr>
              <w:spacing w:line="240" w:lineRule="auto"/>
              <w:jc w:val="both"/>
              <w:rPr>
                <w:rFonts w:cs="Arial"/>
                <w:b/>
                <w:bCs/>
                <w:color w:val="000000"/>
                <w:szCs w:val="20"/>
                <w:lang w:eastAsia="sl-SI"/>
              </w:rPr>
            </w:pPr>
            <w:r w:rsidRPr="005E4BEA">
              <w:rPr>
                <w:rFonts w:cs="Arial"/>
                <w:b/>
                <w:bCs/>
                <w:color w:val="000000"/>
                <w:szCs w:val="20"/>
                <w:lang w:eastAsia="sl-SI"/>
              </w:rPr>
              <w:t>7,9</w:t>
            </w:r>
          </w:p>
        </w:tc>
        <w:tc>
          <w:tcPr>
            <w:tcW w:w="1460" w:type="dxa"/>
            <w:tcBorders>
              <w:top w:val="nil"/>
              <w:left w:val="nil"/>
              <w:bottom w:val="single" w:sz="8" w:space="0" w:color="000000"/>
              <w:right w:val="single" w:sz="8" w:space="0" w:color="000000"/>
            </w:tcBorders>
            <w:shd w:val="clear" w:color="auto" w:fill="auto"/>
            <w:vAlign w:val="center"/>
            <w:hideMark/>
          </w:tcPr>
          <w:p w14:paraId="5EC4F023" w14:textId="77777777" w:rsidR="00221148" w:rsidRPr="005E4BEA" w:rsidRDefault="00221148" w:rsidP="00221148">
            <w:pPr>
              <w:spacing w:line="240" w:lineRule="auto"/>
              <w:jc w:val="both"/>
              <w:rPr>
                <w:rFonts w:cs="Arial"/>
                <w:b/>
                <w:bCs/>
                <w:color w:val="000000"/>
                <w:szCs w:val="20"/>
                <w:lang w:eastAsia="sl-SI"/>
              </w:rPr>
            </w:pPr>
            <w:r w:rsidRPr="005E4BEA">
              <w:rPr>
                <w:rFonts w:cs="Arial"/>
                <w:b/>
                <w:bCs/>
                <w:color w:val="000000"/>
                <w:szCs w:val="20"/>
                <w:lang w:eastAsia="sl-SI"/>
              </w:rPr>
              <w:t>1.270.388</w:t>
            </w:r>
          </w:p>
        </w:tc>
        <w:tc>
          <w:tcPr>
            <w:tcW w:w="1420" w:type="dxa"/>
            <w:tcBorders>
              <w:top w:val="nil"/>
              <w:left w:val="nil"/>
              <w:bottom w:val="single" w:sz="8" w:space="0" w:color="000000"/>
              <w:right w:val="single" w:sz="8" w:space="0" w:color="000000"/>
            </w:tcBorders>
            <w:shd w:val="clear" w:color="auto" w:fill="auto"/>
            <w:vAlign w:val="center"/>
            <w:hideMark/>
          </w:tcPr>
          <w:p w14:paraId="443D4E66" w14:textId="77777777" w:rsidR="00221148" w:rsidRPr="005E4BEA" w:rsidRDefault="00221148" w:rsidP="00221148">
            <w:pPr>
              <w:spacing w:line="240" w:lineRule="auto"/>
              <w:jc w:val="both"/>
              <w:rPr>
                <w:rFonts w:cs="Arial"/>
                <w:b/>
                <w:bCs/>
                <w:color w:val="000000"/>
                <w:szCs w:val="20"/>
                <w:lang w:eastAsia="sl-SI"/>
              </w:rPr>
            </w:pPr>
            <w:r w:rsidRPr="005E4BEA">
              <w:rPr>
                <w:rFonts w:cs="Arial"/>
                <w:b/>
                <w:bCs/>
                <w:color w:val="000000"/>
                <w:szCs w:val="20"/>
                <w:lang w:eastAsia="sl-SI"/>
              </w:rPr>
              <w:t>635.194</w:t>
            </w:r>
          </w:p>
        </w:tc>
      </w:tr>
    </w:tbl>
    <w:p w14:paraId="592EE5BA" w14:textId="772FE6F6" w:rsidR="00221148" w:rsidRPr="005E4BEA" w:rsidRDefault="00221148" w:rsidP="00FE461F">
      <w:pPr>
        <w:spacing w:line="240" w:lineRule="auto"/>
        <w:jc w:val="both"/>
        <w:rPr>
          <w:rFonts w:eastAsia="Calibri" w:cs="Arial"/>
          <w:i/>
          <w:iCs/>
          <w:color w:val="7F7F7F" w:themeColor="text1" w:themeTint="80"/>
          <w:szCs w:val="20"/>
        </w:rPr>
      </w:pPr>
    </w:p>
    <w:p w14:paraId="0783A156" w14:textId="0D9CE30E" w:rsidR="006C5068" w:rsidRPr="005E4BEA" w:rsidRDefault="006C5068" w:rsidP="006C5068">
      <w:pPr>
        <w:spacing w:line="240" w:lineRule="auto"/>
        <w:jc w:val="both"/>
        <w:rPr>
          <w:rFonts w:cs="Arial"/>
          <w:b/>
          <w:bCs/>
          <w:szCs w:val="20"/>
          <w:lang w:eastAsia="sl-SI"/>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57" w:name="_Hlk102648216"/>
      <w:bookmarkStart w:id="158" w:name="_Hlk103011444"/>
      <w:r w:rsidRPr="005E4BEA">
        <w:rPr>
          <w:rFonts w:eastAsia="Arial Narrow" w:cs="Arial"/>
          <w:bCs/>
          <w:szCs w:val="20"/>
        </w:rPr>
        <w:t xml:space="preserve">da se </w:t>
      </w:r>
      <w:r w:rsidRPr="005E4BEA">
        <w:rPr>
          <w:rFonts w:eastAsiaTheme="minorHAnsi" w:cs="Arial"/>
          <w:bCs/>
          <w:szCs w:val="20"/>
        </w:rPr>
        <w:t xml:space="preserve">v </w:t>
      </w:r>
      <w:r w:rsidRPr="005E4BEA">
        <w:rPr>
          <w:rFonts w:eastAsia="MS Mincho" w:cs="Arial"/>
          <w:bCs/>
          <w:szCs w:val="20"/>
        </w:rPr>
        <w:t xml:space="preserve">Prilogi III/a </w:t>
      </w:r>
      <w:r w:rsidRPr="005E4BEA">
        <w:rPr>
          <w:rFonts w:cs="Arial"/>
          <w:szCs w:val="20"/>
          <w:lang w:eastAsia="sl-SI"/>
        </w:rPr>
        <w:t>v poglavju 2. Dispanzer za ženske</w:t>
      </w:r>
      <w:r w:rsidRPr="005E4BEA">
        <w:rPr>
          <w:rFonts w:cs="Arial"/>
          <w:b/>
          <w:bCs/>
          <w:szCs w:val="20"/>
          <w:lang w:eastAsia="sl-SI"/>
        </w:rPr>
        <w:t>:</w:t>
      </w:r>
    </w:p>
    <w:p w14:paraId="56BF4DD3" w14:textId="77777777" w:rsidR="005C6DEF" w:rsidRPr="005E4BEA" w:rsidRDefault="005C6DEF" w:rsidP="006C5068">
      <w:pPr>
        <w:spacing w:line="240" w:lineRule="auto"/>
        <w:jc w:val="both"/>
        <w:rPr>
          <w:rFonts w:cs="Arial"/>
          <w:b/>
          <w:bCs/>
          <w:szCs w:val="20"/>
          <w:lang w:eastAsia="sl-SI"/>
        </w:rPr>
      </w:pPr>
    </w:p>
    <w:bookmarkEnd w:id="157"/>
    <w:p w14:paraId="7E64F09F"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xml:space="preserve">Besedilo drugega odstavka nadomesti z novim besedilom, ki se glasi: </w:t>
      </w:r>
    </w:p>
    <w:p w14:paraId="016FEEEA"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(2) Zavod plača izvajalcem vse količnike iz glavarine, količnike iz obiskov pa v skladu z naslednjimi kriteriji:</w:t>
      </w:r>
    </w:p>
    <w:p w14:paraId="3E2D30E5" w14:textId="77777777" w:rsidR="005C6DEF" w:rsidRPr="005E4BEA" w:rsidRDefault="005C6DEF" w:rsidP="005C6DEF">
      <w:pPr>
        <w:spacing w:line="240" w:lineRule="auto"/>
        <w:jc w:val="both"/>
        <w:rPr>
          <w:rFonts w:cs="Arial"/>
          <w:szCs w:val="20"/>
          <w:lang w:eastAsia="sl-SI"/>
        </w:rPr>
      </w:pPr>
    </w:p>
    <w:p w14:paraId="66B98946"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izvajalcu, ki ima povprečno število količnikov iz glavarine na tim enako ali manjše od slovenskega povprečja, in ne preseže pogodbeno dogovorjenega števila količnikov iz obiskov (preventiva in kurativa skupaj), se plača planirano število količnikov iz obiskov, v nasprotnem primeru pa se mu plačajo vsi realizirani količniki,</w:t>
      </w:r>
    </w:p>
    <w:p w14:paraId="76D41DB0"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xml:space="preserve"> - izvajalcu, ki preseže slovensko povprečje števila količnikov iz glavarine in ne preseže pogodbeno dogovorjenega števila količnikov iz obiskov, povečanega za 50% preseganja povprečnih količnikov iz glavarine, se plača planirano število količnikov iz obiskov, povečano za 50% preseganja povprečnih količnikov iz glavarine, v nasprotnem primeru se mu plačajo vsi realizirani količniki,  </w:t>
      </w:r>
    </w:p>
    <w:p w14:paraId="4283F248"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 xml:space="preserve">- v vseh navedenih primerih je pogoj, da izvajalec realizira vsaj 15.000 količnikov iz obiskov na tim (preventiva in kurativa skupaj), v nasprotnem primeru se izvajalcu plača realizirano število količnikov iz obiskov. </w:t>
      </w:r>
    </w:p>
    <w:p w14:paraId="5AF28C0C" w14:textId="77777777" w:rsidR="005C6DEF" w:rsidRPr="005E4BEA" w:rsidRDefault="005C6DEF" w:rsidP="005C6DEF">
      <w:pPr>
        <w:spacing w:line="240" w:lineRule="auto"/>
        <w:jc w:val="both"/>
        <w:rPr>
          <w:rFonts w:cs="Arial"/>
          <w:szCs w:val="20"/>
          <w:lang w:eastAsia="sl-SI"/>
        </w:rPr>
      </w:pPr>
    </w:p>
    <w:p w14:paraId="25F384AC" w14:textId="77777777" w:rsidR="005C6DEF" w:rsidRPr="005E4BEA" w:rsidRDefault="005C6DEF" w:rsidP="005C6DEF">
      <w:pPr>
        <w:spacing w:line="240" w:lineRule="auto"/>
        <w:jc w:val="both"/>
        <w:rPr>
          <w:rFonts w:cs="Arial"/>
          <w:szCs w:val="20"/>
          <w:lang w:eastAsia="sl-SI"/>
        </w:rPr>
      </w:pPr>
      <w:r w:rsidRPr="005E4BEA">
        <w:rPr>
          <w:rFonts w:cs="Arial"/>
          <w:szCs w:val="20"/>
          <w:lang w:eastAsia="sl-SI"/>
        </w:rPr>
        <w:t>Plačilo se izvede v deležu za obvezno zdravstveno zavarovanje.</w:t>
      </w:r>
    </w:p>
    <w:p w14:paraId="0A358BEF" w14:textId="77777777" w:rsidR="005C6DEF" w:rsidRPr="005E4BEA" w:rsidRDefault="005C6DEF" w:rsidP="005C6DEF">
      <w:pPr>
        <w:spacing w:line="240" w:lineRule="auto"/>
        <w:jc w:val="both"/>
        <w:rPr>
          <w:rFonts w:cs="Arial"/>
          <w:szCs w:val="20"/>
          <w:lang w:eastAsia="sl-SI"/>
        </w:rPr>
      </w:pPr>
    </w:p>
    <w:p w14:paraId="4346144F" w14:textId="77777777" w:rsidR="005C6DEF" w:rsidRPr="005E4BEA" w:rsidRDefault="005C6DEF" w:rsidP="005C6DEF">
      <w:pPr>
        <w:spacing w:line="240" w:lineRule="auto"/>
        <w:rPr>
          <w:rFonts w:cs="Arial"/>
          <w:szCs w:val="20"/>
          <w:lang w:eastAsia="sl-SI"/>
        </w:rPr>
      </w:pPr>
      <w:r w:rsidRPr="005E4BEA">
        <w:rPr>
          <w:rFonts w:cs="Arial"/>
          <w:szCs w:val="20"/>
          <w:lang w:eastAsia="sl-SI"/>
        </w:rPr>
        <w:t xml:space="preserve">Črtajo se tretji, šesti in sedmi odstavek. </w:t>
      </w:r>
    </w:p>
    <w:p w14:paraId="7285F549" w14:textId="77777777" w:rsidR="005C6DEF" w:rsidRPr="005E4BEA" w:rsidRDefault="005C6DEF" w:rsidP="005C6DEF">
      <w:pPr>
        <w:spacing w:line="240" w:lineRule="auto"/>
        <w:rPr>
          <w:rFonts w:cs="Arial"/>
          <w:bCs/>
          <w:szCs w:val="20"/>
          <w:lang w:eastAsia="sl-SI"/>
        </w:rPr>
      </w:pPr>
    </w:p>
    <w:p w14:paraId="181FE284" w14:textId="77777777" w:rsidR="005C6DEF" w:rsidRPr="005E4BEA" w:rsidRDefault="005C6DEF" w:rsidP="005C6DEF">
      <w:pPr>
        <w:spacing w:line="240" w:lineRule="auto"/>
        <w:rPr>
          <w:rFonts w:cs="Arial"/>
          <w:bCs/>
          <w:szCs w:val="20"/>
          <w:lang w:eastAsia="sl-SI"/>
        </w:rPr>
      </w:pPr>
      <w:r w:rsidRPr="005E4BEA">
        <w:rPr>
          <w:rFonts w:cs="Arial"/>
          <w:bCs/>
          <w:szCs w:val="20"/>
          <w:lang w:eastAsia="sl-SI"/>
        </w:rPr>
        <w:t>Sedanji četrti odstavek postane nov tretji odstavek, sedanji osmi odstavek pa nov šesti odstavek.</w:t>
      </w:r>
    </w:p>
    <w:p w14:paraId="05C3014F" w14:textId="77777777" w:rsidR="006C5068" w:rsidRPr="005E4BEA" w:rsidRDefault="006C5068" w:rsidP="006C5068">
      <w:pPr>
        <w:spacing w:line="240" w:lineRule="auto"/>
        <w:rPr>
          <w:rFonts w:cs="Arial"/>
          <w:bCs/>
          <w:szCs w:val="20"/>
          <w:lang w:eastAsia="sl-SI"/>
        </w:rPr>
      </w:pPr>
    </w:p>
    <w:p w14:paraId="2515D831" w14:textId="77777777" w:rsidR="006C5068" w:rsidRPr="005E4BEA" w:rsidRDefault="006C5068" w:rsidP="006C5068">
      <w:pPr>
        <w:spacing w:line="240" w:lineRule="auto"/>
        <w:rPr>
          <w:rFonts w:cs="Arial"/>
          <w:bCs/>
          <w:szCs w:val="20"/>
          <w:lang w:eastAsia="sl-SI"/>
        </w:rPr>
      </w:pPr>
    </w:p>
    <w:p w14:paraId="521394E2" w14:textId="77777777" w:rsidR="006C5068" w:rsidRPr="005E4BEA" w:rsidRDefault="006C5068" w:rsidP="006C5068">
      <w:pPr>
        <w:spacing w:line="240" w:lineRule="auto"/>
        <w:jc w:val="both"/>
        <w:rPr>
          <w:rFonts w:cs="Arial"/>
          <w:b/>
          <w:szCs w:val="20"/>
          <w:lang w:eastAsia="sl-SI"/>
        </w:rPr>
      </w:pPr>
      <w:r w:rsidRPr="005E4BEA">
        <w:rPr>
          <w:rFonts w:cs="Arial"/>
          <w:b/>
          <w:szCs w:val="20"/>
          <w:lang w:eastAsia="sl-SI"/>
        </w:rPr>
        <w:t>V 24. členu (6) odstavku se v tabeli dodajo nove vrstice za nujne širitve programov oziroma uvajanje novih terapij:</w:t>
      </w:r>
    </w:p>
    <w:p w14:paraId="54438E13" w14:textId="77777777" w:rsidR="006C5068" w:rsidRPr="005E4BEA" w:rsidRDefault="006C5068" w:rsidP="006C5068">
      <w:pPr>
        <w:spacing w:line="240" w:lineRule="auto"/>
        <w:jc w:val="both"/>
        <w:rPr>
          <w:rFonts w:eastAsia="Calibri" w:cs="Arial"/>
          <w:i/>
          <w:iCs/>
          <w:color w:val="7F7F7F" w:themeColor="text1" w:themeTint="80"/>
          <w:szCs w:val="20"/>
        </w:rPr>
      </w:pPr>
    </w:p>
    <w:tbl>
      <w:tblPr>
        <w:tblW w:w="9180" w:type="dxa"/>
        <w:tblCellMar>
          <w:left w:w="70" w:type="dxa"/>
          <w:right w:w="70" w:type="dxa"/>
        </w:tblCellMar>
        <w:tblLook w:val="04A0" w:firstRow="1" w:lastRow="0" w:firstColumn="1" w:lastColumn="0" w:noHBand="0" w:noVBand="1"/>
      </w:tblPr>
      <w:tblGrid>
        <w:gridCol w:w="955"/>
        <w:gridCol w:w="2248"/>
        <w:gridCol w:w="2111"/>
        <w:gridCol w:w="996"/>
        <w:gridCol w:w="1456"/>
        <w:gridCol w:w="1414"/>
      </w:tblGrid>
      <w:tr w:rsidR="006C5068" w:rsidRPr="005E4BEA" w14:paraId="1D0A2E92" w14:textId="77777777" w:rsidTr="0016774B">
        <w:trPr>
          <w:trHeight w:val="315"/>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3EAE3EED"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B0E3A3"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P   r   o   g   r   a   m</w:t>
            </w:r>
          </w:p>
        </w:tc>
        <w:tc>
          <w:tcPr>
            <w:tcW w:w="2120" w:type="dxa"/>
            <w:tcBorders>
              <w:top w:val="single" w:sz="8" w:space="0" w:color="000000"/>
              <w:left w:val="nil"/>
              <w:bottom w:val="single" w:sz="8" w:space="0" w:color="000000"/>
              <w:right w:val="single" w:sz="8" w:space="0" w:color="000000"/>
            </w:tcBorders>
            <w:shd w:val="clear" w:color="auto" w:fill="auto"/>
            <w:vAlign w:val="center"/>
            <w:hideMark/>
          </w:tcPr>
          <w:p w14:paraId="4619C06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I z v a j a l e c /</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F60CB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Obseg programa</w:t>
            </w:r>
          </w:p>
        </w:tc>
        <w:tc>
          <w:tcPr>
            <w:tcW w:w="1460" w:type="dxa"/>
            <w:tcBorders>
              <w:top w:val="single" w:sz="8" w:space="0" w:color="000000"/>
              <w:left w:val="nil"/>
              <w:bottom w:val="single" w:sz="8" w:space="0" w:color="000000"/>
              <w:right w:val="single" w:sz="8" w:space="0" w:color="000000"/>
            </w:tcBorders>
            <w:shd w:val="clear" w:color="auto" w:fill="auto"/>
            <w:vAlign w:val="center"/>
            <w:hideMark/>
          </w:tcPr>
          <w:p w14:paraId="4E53EE7A" w14:textId="77777777" w:rsidR="006C5068" w:rsidRPr="005E4BEA" w:rsidRDefault="006C5068" w:rsidP="0016774B">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c>
          <w:tcPr>
            <w:tcW w:w="1420" w:type="dxa"/>
            <w:tcBorders>
              <w:top w:val="single" w:sz="8" w:space="0" w:color="000000"/>
              <w:left w:val="nil"/>
              <w:bottom w:val="single" w:sz="8" w:space="0" w:color="000000"/>
              <w:right w:val="single" w:sz="8" w:space="0" w:color="000000"/>
            </w:tcBorders>
            <w:shd w:val="clear" w:color="auto" w:fill="auto"/>
            <w:vAlign w:val="center"/>
            <w:hideMark/>
          </w:tcPr>
          <w:p w14:paraId="04F0982A" w14:textId="77777777" w:rsidR="006C5068" w:rsidRPr="005E4BEA" w:rsidRDefault="006C5068" w:rsidP="0016774B">
            <w:pPr>
              <w:spacing w:line="240" w:lineRule="auto"/>
              <w:jc w:val="both"/>
              <w:rPr>
                <w:rFonts w:cs="Arial"/>
                <w:color w:val="000000"/>
                <w:szCs w:val="20"/>
                <w:lang w:eastAsia="sl-SI"/>
              </w:rPr>
            </w:pPr>
            <w:proofErr w:type="spellStart"/>
            <w:r w:rsidRPr="005E4BEA">
              <w:rPr>
                <w:rFonts w:cs="Arial"/>
                <w:color w:val="000000"/>
                <w:szCs w:val="20"/>
                <w:lang w:eastAsia="sl-SI"/>
              </w:rPr>
              <w:t>Dod</w:t>
            </w:r>
            <w:proofErr w:type="spellEnd"/>
            <w:r w:rsidRPr="005E4BEA">
              <w:rPr>
                <w:rFonts w:cs="Arial"/>
                <w:color w:val="000000"/>
                <w:szCs w:val="20"/>
                <w:lang w:eastAsia="sl-SI"/>
              </w:rPr>
              <w:t>. sred.</w:t>
            </w:r>
          </w:p>
        </w:tc>
      </w:tr>
      <w:tr w:rsidR="006C5068" w:rsidRPr="005E4BEA" w14:paraId="6700EE14" w14:textId="77777777" w:rsidTr="0016774B">
        <w:trPr>
          <w:trHeight w:val="525"/>
        </w:trPr>
        <w:tc>
          <w:tcPr>
            <w:tcW w:w="960" w:type="dxa"/>
            <w:tcBorders>
              <w:top w:val="nil"/>
              <w:left w:val="single" w:sz="8" w:space="0" w:color="000000"/>
              <w:bottom w:val="nil"/>
              <w:right w:val="single" w:sz="8" w:space="0" w:color="000000"/>
            </w:tcBorders>
            <w:shd w:val="clear" w:color="auto" w:fill="auto"/>
            <w:vAlign w:val="center"/>
            <w:hideMark/>
          </w:tcPr>
          <w:p w14:paraId="2AA94A11"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lastRenderedPageBreak/>
              <w:t> </w:t>
            </w: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3B8B3C67" w14:textId="77777777" w:rsidR="006C5068" w:rsidRPr="005E4BEA" w:rsidRDefault="006C5068" w:rsidP="0016774B">
            <w:pPr>
              <w:spacing w:line="240" w:lineRule="auto"/>
              <w:rPr>
                <w:rFonts w:cs="Arial"/>
                <w:color w:val="000000"/>
                <w:szCs w:val="20"/>
                <w:lang w:eastAsia="sl-SI"/>
              </w:rPr>
            </w:pPr>
          </w:p>
        </w:tc>
        <w:tc>
          <w:tcPr>
            <w:tcW w:w="2120" w:type="dxa"/>
            <w:tcBorders>
              <w:top w:val="nil"/>
              <w:left w:val="nil"/>
              <w:bottom w:val="single" w:sz="8" w:space="0" w:color="000000"/>
              <w:right w:val="single" w:sz="8" w:space="0" w:color="000000"/>
            </w:tcBorders>
            <w:shd w:val="clear" w:color="auto" w:fill="auto"/>
            <w:vAlign w:val="center"/>
            <w:hideMark/>
          </w:tcPr>
          <w:p w14:paraId="6799072B"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i z p o s t a v a</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74B4EEF5" w14:textId="77777777" w:rsidR="006C5068" w:rsidRPr="005E4BEA" w:rsidRDefault="006C5068" w:rsidP="0016774B">
            <w:pPr>
              <w:spacing w:line="240" w:lineRule="auto"/>
              <w:rPr>
                <w:rFonts w:cs="Arial"/>
                <w:color w:val="000000"/>
                <w:szCs w:val="20"/>
                <w:lang w:eastAsia="sl-SI"/>
              </w:rPr>
            </w:pPr>
          </w:p>
        </w:tc>
        <w:tc>
          <w:tcPr>
            <w:tcW w:w="1460" w:type="dxa"/>
            <w:tcBorders>
              <w:top w:val="nil"/>
              <w:left w:val="nil"/>
              <w:bottom w:val="single" w:sz="8" w:space="0" w:color="000000"/>
              <w:right w:val="single" w:sz="8" w:space="0" w:color="000000"/>
            </w:tcBorders>
            <w:shd w:val="clear" w:color="auto" w:fill="auto"/>
            <w:vAlign w:val="center"/>
            <w:hideMark/>
          </w:tcPr>
          <w:p w14:paraId="5C40344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na letni ravni</w:t>
            </w:r>
          </w:p>
        </w:tc>
        <w:tc>
          <w:tcPr>
            <w:tcW w:w="1420" w:type="dxa"/>
            <w:tcBorders>
              <w:top w:val="nil"/>
              <w:left w:val="nil"/>
              <w:bottom w:val="single" w:sz="8" w:space="0" w:color="000000"/>
              <w:right w:val="single" w:sz="8" w:space="0" w:color="000000"/>
            </w:tcBorders>
            <w:shd w:val="clear" w:color="auto" w:fill="auto"/>
            <w:vAlign w:val="center"/>
            <w:hideMark/>
          </w:tcPr>
          <w:p w14:paraId="26214FD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1.6.–31.12. 2022</w:t>
            </w:r>
          </w:p>
        </w:tc>
      </w:tr>
      <w:tr w:rsidR="006C5068" w:rsidRPr="005E4BEA" w14:paraId="40B12A3F"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9BA629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6E64EEDA" w14:textId="77777777" w:rsidR="006C5068" w:rsidRPr="005E4BEA" w:rsidRDefault="006C5068" w:rsidP="0016774B">
            <w:pPr>
              <w:spacing w:line="240" w:lineRule="auto"/>
              <w:rPr>
                <w:rFonts w:cs="Arial"/>
                <w:color w:val="000000"/>
                <w:szCs w:val="20"/>
                <w:lang w:eastAsia="sl-SI"/>
              </w:rPr>
            </w:pPr>
          </w:p>
        </w:tc>
        <w:tc>
          <w:tcPr>
            <w:tcW w:w="2120" w:type="dxa"/>
            <w:tcBorders>
              <w:top w:val="nil"/>
              <w:left w:val="nil"/>
              <w:bottom w:val="single" w:sz="8" w:space="0" w:color="000000"/>
              <w:right w:val="single" w:sz="8" w:space="0" w:color="000000"/>
            </w:tcBorders>
            <w:shd w:val="clear" w:color="auto" w:fill="auto"/>
            <w:vAlign w:val="center"/>
            <w:hideMark/>
          </w:tcPr>
          <w:p w14:paraId="312C23A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xml:space="preserve">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056053ED" w14:textId="77777777" w:rsidR="006C5068" w:rsidRPr="005E4BEA" w:rsidRDefault="006C5068" w:rsidP="0016774B">
            <w:pPr>
              <w:spacing w:line="240" w:lineRule="auto"/>
              <w:rPr>
                <w:rFonts w:cs="Arial"/>
                <w:color w:val="000000"/>
                <w:szCs w:val="20"/>
                <w:lang w:eastAsia="sl-SI"/>
              </w:rPr>
            </w:pPr>
          </w:p>
        </w:tc>
        <w:tc>
          <w:tcPr>
            <w:tcW w:w="1460" w:type="dxa"/>
            <w:tcBorders>
              <w:top w:val="nil"/>
              <w:left w:val="nil"/>
              <w:bottom w:val="single" w:sz="8" w:space="0" w:color="000000"/>
              <w:right w:val="single" w:sz="8" w:space="0" w:color="000000"/>
            </w:tcBorders>
            <w:shd w:val="clear" w:color="auto" w:fill="auto"/>
            <w:vAlign w:val="center"/>
            <w:hideMark/>
          </w:tcPr>
          <w:p w14:paraId="5B805C8D"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(v EUR)</w:t>
            </w:r>
          </w:p>
        </w:tc>
        <w:tc>
          <w:tcPr>
            <w:tcW w:w="1420" w:type="dxa"/>
            <w:tcBorders>
              <w:top w:val="nil"/>
              <w:left w:val="nil"/>
              <w:bottom w:val="single" w:sz="8" w:space="0" w:color="000000"/>
              <w:right w:val="single" w:sz="8" w:space="0" w:color="000000"/>
            </w:tcBorders>
            <w:shd w:val="clear" w:color="auto" w:fill="auto"/>
            <w:vAlign w:val="center"/>
            <w:hideMark/>
          </w:tcPr>
          <w:p w14:paraId="666B629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(v EUR)</w:t>
            </w:r>
          </w:p>
        </w:tc>
      </w:tr>
      <w:tr w:rsidR="006C5068" w:rsidRPr="005E4BEA" w14:paraId="0556399F"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AE76F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2260" w:type="dxa"/>
            <w:tcBorders>
              <w:top w:val="nil"/>
              <w:left w:val="nil"/>
              <w:bottom w:val="single" w:sz="8" w:space="0" w:color="000000"/>
              <w:right w:val="single" w:sz="8" w:space="0" w:color="000000"/>
            </w:tcBorders>
            <w:shd w:val="clear" w:color="auto" w:fill="auto"/>
            <w:vAlign w:val="center"/>
            <w:hideMark/>
          </w:tcPr>
          <w:p w14:paraId="2B17F2C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0C8689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UKC Maribor</w:t>
            </w:r>
          </w:p>
        </w:tc>
        <w:tc>
          <w:tcPr>
            <w:tcW w:w="960" w:type="dxa"/>
            <w:tcBorders>
              <w:top w:val="nil"/>
              <w:left w:val="nil"/>
              <w:bottom w:val="single" w:sz="8" w:space="0" w:color="000000"/>
              <w:right w:val="single" w:sz="8" w:space="0" w:color="000000"/>
            </w:tcBorders>
            <w:shd w:val="clear" w:color="auto" w:fill="auto"/>
            <w:vAlign w:val="center"/>
            <w:hideMark/>
          </w:tcPr>
          <w:p w14:paraId="3362706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62800F8A"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65E10A55"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40.151</w:t>
            </w:r>
          </w:p>
        </w:tc>
      </w:tr>
      <w:tr w:rsidR="006C5068" w:rsidRPr="005E4BEA" w14:paraId="3E3FB794"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ED3AF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2</w:t>
            </w:r>
          </w:p>
        </w:tc>
        <w:tc>
          <w:tcPr>
            <w:tcW w:w="2260" w:type="dxa"/>
            <w:tcBorders>
              <w:top w:val="nil"/>
              <w:left w:val="nil"/>
              <w:bottom w:val="single" w:sz="8" w:space="0" w:color="000000"/>
              <w:right w:val="single" w:sz="8" w:space="0" w:color="000000"/>
            </w:tcBorders>
            <w:shd w:val="clear" w:color="auto" w:fill="auto"/>
            <w:vAlign w:val="center"/>
            <w:hideMark/>
          </w:tcPr>
          <w:p w14:paraId="42FBE40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467D9A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SB Ptuj</w:t>
            </w:r>
          </w:p>
        </w:tc>
        <w:tc>
          <w:tcPr>
            <w:tcW w:w="960" w:type="dxa"/>
            <w:tcBorders>
              <w:top w:val="nil"/>
              <w:left w:val="nil"/>
              <w:bottom w:val="single" w:sz="8" w:space="0" w:color="000000"/>
              <w:right w:val="single" w:sz="8" w:space="0" w:color="000000"/>
            </w:tcBorders>
            <w:shd w:val="clear" w:color="auto" w:fill="auto"/>
            <w:vAlign w:val="center"/>
            <w:hideMark/>
          </w:tcPr>
          <w:p w14:paraId="2F14BD5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0,7</w:t>
            </w:r>
          </w:p>
        </w:tc>
        <w:tc>
          <w:tcPr>
            <w:tcW w:w="1460" w:type="dxa"/>
            <w:tcBorders>
              <w:top w:val="nil"/>
              <w:left w:val="nil"/>
              <w:bottom w:val="single" w:sz="8" w:space="0" w:color="000000"/>
              <w:right w:val="single" w:sz="8" w:space="0" w:color="000000"/>
            </w:tcBorders>
            <w:shd w:val="clear" w:color="auto" w:fill="auto"/>
            <w:vAlign w:val="center"/>
            <w:hideMark/>
          </w:tcPr>
          <w:p w14:paraId="49B0BA3A"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112.424</w:t>
            </w:r>
          </w:p>
        </w:tc>
        <w:tc>
          <w:tcPr>
            <w:tcW w:w="1420" w:type="dxa"/>
            <w:tcBorders>
              <w:top w:val="nil"/>
              <w:left w:val="nil"/>
              <w:bottom w:val="single" w:sz="8" w:space="0" w:color="000000"/>
              <w:right w:val="single" w:sz="8" w:space="0" w:color="000000"/>
            </w:tcBorders>
            <w:shd w:val="clear" w:color="auto" w:fill="auto"/>
            <w:vAlign w:val="center"/>
            <w:hideMark/>
          </w:tcPr>
          <w:p w14:paraId="1BE5141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56.212</w:t>
            </w:r>
          </w:p>
        </w:tc>
      </w:tr>
      <w:tr w:rsidR="006C5068" w:rsidRPr="005E4BEA" w14:paraId="52B59ED1"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7275B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tcBorders>
              <w:top w:val="nil"/>
              <w:left w:val="nil"/>
              <w:bottom w:val="single" w:sz="8" w:space="0" w:color="000000"/>
              <w:right w:val="single" w:sz="8" w:space="0" w:color="000000"/>
            </w:tcBorders>
            <w:shd w:val="clear" w:color="auto" w:fill="auto"/>
            <w:vAlign w:val="center"/>
            <w:hideMark/>
          </w:tcPr>
          <w:p w14:paraId="1B1ADC3A"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707F626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Ptuj</w:t>
            </w:r>
          </w:p>
        </w:tc>
        <w:tc>
          <w:tcPr>
            <w:tcW w:w="960" w:type="dxa"/>
            <w:tcBorders>
              <w:top w:val="nil"/>
              <w:left w:val="nil"/>
              <w:bottom w:val="single" w:sz="8" w:space="0" w:color="000000"/>
              <w:right w:val="single" w:sz="8" w:space="0" w:color="000000"/>
            </w:tcBorders>
            <w:shd w:val="clear" w:color="auto" w:fill="auto"/>
            <w:vAlign w:val="center"/>
            <w:hideMark/>
          </w:tcPr>
          <w:p w14:paraId="61EDFDC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022C98C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03EDBE9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16.061</w:t>
            </w:r>
          </w:p>
        </w:tc>
      </w:tr>
      <w:tr w:rsidR="006C5068" w:rsidRPr="005E4BEA" w14:paraId="31CE039C"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9AA15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2</w:t>
            </w:r>
          </w:p>
        </w:tc>
        <w:tc>
          <w:tcPr>
            <w:tcW w:w="2260" w:type="dxa"/>
            <w:tcBorders>
              <w:top w:val="nil"/>
              <w:left w:val="nil"/>
              <w:bottom w:val="single" w:sz="8" w:space="0" w:color="000000"/>
              <w:right w:val="single" w:sz="8" w:space="0" w:color="000000"/>
            </w:tcBorders>
            <w:shd w:val="clear" w:color="auto" w:fill="auto"/>
            <w:vAlign w:val="center"/>
            <w:hideMark/>
          </w:tcPr>
          <w:p w14:paraId="732C66F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976DBD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Ormož</w:t>
            </w:r>
          </w:p>
        </w:tc>
        <w:tc>
          <w:tcPr>
            <w:tcW w:w="960" w:type="dxa"/>
            <w:tcBorders>
              <w:top w:val="nil"/>
              <w:left w:val="nil"/>
              <w:bottom w:val="single" w:sz="8" w:space="0" w:color="000000"/>
              <w:right w:val="single" w:sz="8" w:space="0" w:color="000000"/>
            </w:tcBorders>
            <w:shd w:val="clear" w:color="auto" w:fill="auto"/>
            <w:vAlign w:val="center"/>
            <w:hideMark/>
          </w:tcPr>
          <w:p w14:paraId="2FDC6CF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364C4F5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288C84C3"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16.061</w:t>
            </w:r>
          </w:p>
        </w:tc>
      </w:tr>
      <w:tr w:rsidR="006C5068" w:rsidRPr="005E4BEA" w14:paraId="3363B9D5"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6D382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3</w:t>
            </w:r>
          </w:p>
        </w:tc>
        <w:tc>
          <w:tcPr>
            <w:tcW w:w="2260" w:type="dxa"/>
            <w:tcBorders>
              <w:top w:val="nil"/>
              <w:left w:val="nil"/>
              <w:bottom w:val="single" w:sz="8" w:space="0" w:color="000000"/>
              <w:right w:val="single" w:sz="8" w:space="0" w:color="000000"/>
            </w:tcBorders>
            <w:shd w:val="clear" w:color="auto" w:fill="auto"/>
            <w:vAlign w:val="center"/>
            <w:hideMark/>
          </w:tcPr>
          <w:p w14:paraId="44114BF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69C74A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xml:space="preserve">ZD Sežana </w:t>
            </w:r>
          </w:p>
        </w:tc>
        <w:tc>
          <w:tcPr>
            <w:tcW w:w="960" w:type="dxa"/>
            <w:tcBorders>
              <w:top w:val="nil"/>
              <w:left w:val="nil"/>
              <w:bottom w:val="single" w:sz="8" w:space="0" w:color="000000"/>
              <w:right w:val="single" w:sz="8" w:space="0" w:color="000000"/>
            </w:tcBorders>
            <w:shd w:val="clear" w:color="auto" w:fill="auto"/>
            <w:vAlign w:val="center"/>
            <w:hideMark/>
          </w:tcPr>
          <w:p w14:paraId="1B3546A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0,1</w:t>
            </w:r>
          </w:p>
        </w:tc>
        <w:tc>
          <w:tcPr>
            <w:tcW w:w="1460" w:type="dxa"/>
            <w:tcBorders>
              <w:top w:val="nil"/>
              <w:left w:val="nil"/>
              <w:bottom w:val="single" w:sz="8" w:space="0" w:color="000000"/>
              <w:right w:val="single" w:sz="8" w:space="0" w:color="000000"/>
            </w:tcBorders>
            <w:shd w:val="clear" w:color="auto" w:fill="auto"/>
            <w:vAlign w:val="center"/>
            <w:hideMark/>
          </w:tcPr>
          <w:p w14:paraId="65E334ED"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16.061</w:t>
            </w:r>
          </w:p>
        </w:tc>
        <w:tc>
          <w:tcPr>
            <w:tcW w:w="1420" w:type="dxa"/>
            <w:tcBorders>
              <w:top w:val="nil"/>
              <w:left w:val="nil"/>
              <w:bottom w:val="single" w:sz="8" w:space="0" w:color="000000"/>
              <w:right w:val="single" w:sz="8" w:space="0" w:color="000000"/>
            </w:tcBorders>
            <w:shd w:val="clear" w:color="auto" w:fill="auto"/>
            <w:vAlign w:val="center"/>
            <w:hideMark/>
          </w:tcPr>
          <w:p w14:paraId="587248E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8.031</w:t>
            </w:r>
          </w:p>
        </w:tc>
      </w:tr>
      <w:tr w:rsidR="006C5068" w:rsidRPr="005E4BEA" w14:paraId="39FEA174"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3DCFA25"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w:t>
            </w:r>
          </w:p>
        </w:tc>
        <w:tc>
          <w:tcPr>
            <w:tcW w:w="2260" w:type="dxa"/>
            <w:tcBorders>
              <w:top w:val="nil"/>
              <w:left w:val="nil"/>
              <w:bottom w:val="single" w:sz="8" w:space="0" w:color="000000"/>
              <w:right w:val="single" w:sz="8" w:space="0" w:color="000000"/>
            </w:tcBorders>
            <w:shd w:val="clear" w:color="auto" w:fill="auto"/>
            <w:vAlign w:val="center"/>
            <w:hideMark/>
          </w:tcPr>
          <w:p w14:paraId="1F75282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C91F0F3"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OZG Kranj</w:t>
            </w:r>
          </w:p>
        </w:tc>
        <w:tc>
          <w:tcPr>
            <w:tcW w:w="960" w:type="dxa"/>
            <w:tcBorders>
              <w:top w:val="nil"/>
              <w:left w:val="nil"/>
              <w:bottom w:val="single" w:sz="8" w:space="0" w:color="000000"/>
              <w:right w:val="single" w:sz="8" w:space="0" w:color="000000"/>
            </w:tcBorders>
            <w:shd w:val="clear" w:color="auto" w:fill="auto"/>
            <w:vAlign w:val="center"/>
            <w:hideMark/>
          </w:tcPr>
          <w:p w14:paraId="35D58E7E"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1460" w:type="dxa"/>
            <w:tcBorders>
              <w:top w:val="nil"/>
              <w:left w:val="nil"/>
              <w:bottom w:val="single" w:sz="8" w:space="0" w:color="000000"/>
              <w:right w:val="single" w:sz="8" w:space="0" w:color="000000"/>
            </w:tcBorders>
            <w:shd w:val="clear" w:color="auto" w:fill="auto"/>
            <w:vAlign w:val="center"/>
            <w:hideMark/>
          </w:tcPr>
          <w:p w14:paraId="5CC8471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160.605</w:t>
            </w:r>
          </w:p>
        </w:tc>
        <w:tc>
          <w:tcPr>
            <w:tcW w:w="1420" w:type="dxa"/>
            <w:tcBorders>
              <w:top w:val="nil"/>
              <w:left w:val="nil"/>
              <w:bottom w:val="single" w:sz="8" w:space="0" w:color="000000"/>
              <w:right w:val="single" w:sz="8" w:space="0" w:color="000000"/>
            </w:tcBorders>
            <w:shd w:val="clear" w:color="auto" w:fill="auto"/>
            <w:vAlign w:val="center"/>
            <w:hideMark/>
          </w:tcPr>
          <w:p w14:paraId="0A5D57D1"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80.303</w:t>
            </w:r>
          </w:p>
        </w:tc>
      </w:tr>
      <w:tr w:rsidR="006C5068" w:rsidRPr="005E4BEA" w14:paraId="034F6B27"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8849F4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5</w:t>
            </w:r>
          </w:p>
        </w:tc>
        <w:tc>
          <w:tcPr>
            <w:tcW w:w="2260" w:type="dxa"/>
            <w:tcBorders>
              <w:top w:val="nil"/>
              <w:left w:val="nil"/>
              <w:bottom w:val="single" w:sz="8" w:space="0" w:color="000000"/>
              <w:right w:val="single" w:sz="8" w:space="0" w:color="000000"/>
            </w:tcBorders>
            <w:shd w:val="clear" w:color="auto" w:fill="auto"/>
            <w:vAlign w:val="center"/>
            <w:hideMark/>
          </w:tcPr>
          <w:p w14:paraId="12DF533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1C88388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Cerknica</w:t>
            </w:r>
          </w:p>
        </w:tc>
        <w:tc>
          <w:tcPr>
            <w:tcW w:w="960" w:type="dxa"/>
            <w:tcBorders>
              <w:top w:val="nil"/>
              <w:left w:val="nil"/>
              <w:bottom w:val="single" w:sz="8" w:space="0" w:color="000000"/>
              <w:right w:val="single" w:sz="8" w:space="0" w:color="000000"/>
            </w:tcBorders>
            <w:shd w:val="clear" w:color="auto" w:fill="auto"/>
            <w:vAlign w:val="center"/>
            <w:hideMark/>
          </w:tcPr>
          <w:p w14:paraId="30ED5AD3"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0,3</w:t>
            </w:r>
          </w:p>
        </w:tc>
        <w:tc>
          <w:tcPr>
            <w:tcW w:w="1460" w:type="dxa"/>
            <w:tcBorders>
              <w:top w:val="nil"/>
              <w:left w:val="nil"/>
              <w:bottom w:val="single" w:sz="8" w:space="0" w:color="000000"/>
              <w:right w:val="single" w:sz="8" w:space="0" w:color="000000"/>
            </w:tcBorders>
            <w:shd w:val="clear" w:color="auto" w:fill="auto"/>
            <w:vAlign w:val="center"/>
            <w:hideMark/>
          </w:tcPr>
          <w:p w14:paraId="1CC22AF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48.182</w:t>
            </w:r>
          </w:p>
        </w:tc>
        <w:tc>
          <w:tcPr>
            <w:tcW w:w="1420" w:type="dxa"/>
            <w:tcBorders>
              <w:top w:val="nil"/>
              <w:left w:val="nil"/>
              <w:bottom w:val="single" w:sz="8" w:space="0" w:color="000000"/>
              <w:right w:val="single" w:sz="8" w:space="0" w:color="000000"/>
            </w:tcBorders>
            <w:shd w:val="clear" w:color="auto" w:fill="auto"/>
            <w:vAlign w:val="center"/>
            <w:hideMark/>
          </w:tcPr>
          <w:p w14:paraId="5FF634AB"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24.091</w:t>
            </w:r>
          </w:p>
        </w:tc>
      </w:tr>
      <w:tr w:rsidR="006C5068" w:rsidRPr="005E4BEA" w14:paraId="0C1AF556"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CE614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6</w:t>
            </w:r>
          </w:p>
        </w:tc>
        <w:tc>
          <w:tcPr>
            <w:tcW w:w="2260" w:type="dxa"/>
            <w:tcBorders>
              <w:top w:val="nil"/>
              <w:left w:val="nil"/>
              <w:bottom w:val="single" w:sz="8" w:space="0" w:color="000000"/>
              <w:right w:val="single" w:sz="8" w:space="0" w:color="000000"/>
            </w:tcBorders>
            <w:shd w:val="clear" w:color="auto" w:fill="auto"/>
            <w:vAlign w:val="center"/>
            <w:hideMark/>
          </w:tcPr>
          <w:p w14:paraId="4076BDC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65B7C1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Grosuplje</w:t>
            </w:r>
          </w:p>
        </w:tc>
        <w:tc>
          <w:tcPr>
            <w:tcW w:w="960" w:type="dxa"/>
            <w:tcBorders>
              <w:top w:val="nil"/>
              <w:left w:val="nil"/>
              <w:bottom w:val="single" w:sz="8" w:space="0" w:color="000000"/>
              <w:right w:val="single" w:sz="8" w:space="0" w:color="000000"/>
            </w:tcBorders>
            <w:shd w:val="clear" w:color="auto" w:fill="auto"/>
            <w:vAlign w:val="center"/>
            <w:hideMark/>
          </w:tcPr>
          <w:p w14:paraId="1EB487C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0,05</w:t>
            </w:r>
          </w:p>
        </w:tc>
        <w:tc>
          <w:tcPr>
            <w:tcW w:w="1460" w:type="dxa"/>
            <w:tcBorders>
              <w:top w:val="nil"/>
              <w:left w:val="nil"/>
              <w:bottom w:val="single" w:sz="8" w:space="0" w:color="000000"/>
              <w:right w:val="single" w:sz="8" w:space="0" w:color="000000"/>
            </w:tcBorders>
            <w:shd w:val="clear" w:color="auto" w:fill="auto"/>
            <w:vAlign w:val="center"/>
            <w:hideMark/>
          </w:tcPr>
          <w:p w14:paraId="0EC995B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w:t>
            </w:r>
          </w:p>
        </w:tc>
        <w:tc>
          <w:tcPr>
            <w:tcW w:w="1420" w:type="dxa"/>
            <w:tcBorders>
              <w:top w:val="nil"/>
              <w:left w:val="nil"/>
              <w:bottom w:val="single" w:sz="8" w:space="0" w:color="000000"/>
              <w:right w:val="single" w:sz="8" w:space="0" w:color="000000"/>
            </w:tcBorders>
            <w:shd w:val="clear" w:color="auto" w:fill="auto"/>
            <w:vAlign w:val="center"/>
            <w:hideMark/>
          </w:tcPr>
          <w:p w14:paraId="66815EB3"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4.015</w:t>
            </w:r>
          </w:p>
        </w:tc>
      </w:tr>
      <w:tr w:rsidR="006C5068" w:rsidRPr="005E4BEA" w14:paraId="7848F378"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142A4D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7</w:t>
            </w:r>
          </w:p>
        </w:tc>
        <w:tc>
          <w:tcPr>
            <w:tcW w:w="2260" w:type="dxa"/>
            <w:tcBorders>
              <w:top w:val="nil"/>
              <w:left w:val="nil"/>
              <w:bottom w:val="single" w:sz="8" w:space="0" w:color="000000"/>
              <w:right w:val="single" w:sz="8" w:space="0" w:color="000000"/>
            </w:tcBorders>
            <w:shd w:val="clear" w:color="auto" w:fill="auto"/>
            <w:vAlign w:val="center"/>
            <w:hideMark/>
          </w:tcPr>
          <w:p w14:paraId="74BA48E1"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98AE73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Ribnica</w:t>
            </w:r>
          </w:p>
        </w:tc>
        <w:tc>
          <w:tcPr>
            <w:tcW w:w="960" w:type="dxa"/>
            <w:tcBorders>
              <w:top w:val="nil"/>
              <w:left w:val="nil"/>
              <w:bottom w:val="single" w:sz="8" w:space="0" w:color="000000"/>
              <w:right w:val="single" w:sz="8" w:space="0" w:color="000000"/>
            </w:tcBorders>
            <w:shd w:val="clear" w:color="auto" w:fill="auto"/>
            <w:vAlign w:val="center"/>
            <w:hideMark/>
          </w:tcPr>
          <w:p w14:paraId="50D4D13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0,3</w:t>
            </w:r>
          </w:p>
        </w:tc>
        <w:tc>
          <w:tcPr>
            <w:tcW w:w="1460" w:type="dxa"/>
            <w:tcBorders>
              <w:top w:val="nil"/>
              <w:left w:val="nil"/>
              <w:bottom w:val="single" w:sz="8" w:space="0" w:color="000000"/>
              <w:right w:val="single" w:sz="8" w:space="0" w:color="000000"/>
            </w:tcBorders>
            <w:shd w:val="clear" w:color="auto" w:fill="auto"/>
            <w:vAlign w:val="center"/>
            <w:hideMark/>
          </w:tcPr>
          <w:p w14:paraId="0F6B199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48.182</w:t>
            </w:r>
          </w:p>
        </w:tc>
        <w:tc>
          <w:tcPr>
            <w:tcW w:w="1420" w:type="dxa"/>
            <w:tcBorders>
              <w:top w:val="nil"/>
              <w:left w:val="nil"/>
              <w:bottom w:val="single" w:sz="8" w:space="0" w:color="000000"/>
              <w:right w:val="single" w:sz="8" w:space="0" w:color="000000"/>
            </w:tcBorders>
            <w:shd w:val="clear" w:color="auto" w:fill="auto"/>
            <w:vAlign w:val="center"/>
            <w:hideMark/>
          </w:tcPr>
          <w:p w14:paraId="1AC0FA2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24.091</w:t>
            </w:r>
          </w:p>
        </w:tc>
      </w:tr>
      <w:tr w:rsidR="006C5068" w:rsidRPr="005E4BEA" w14:paraId="69FCE1CF"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1B12BD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w:t>
            </w:r>
          </w:p>
        </w:tc>
        <w:tc>
          <w:tcPr>
            <w:tcW w:w="2260" w:type="dxa"/>
            <w:tcBorders>
              <w:top w:val="nil"/>
              <w:left w:val="nil"/>
              <w:bottom w:val="single" w:sz="8" w:space="0" w:color="000000"/>
              <w:right w:val="single" w:sz="8" w:space="0" w:color="000000"/>
            </w:tcBorders>
            <w:shd w:val="clear" w:color="auto" w:fill="auto"/>
            <w:vAlign w:val="center"/>
            <w:hideMark/>
          </w:tcPr>
          <w:p w14:paraId="24ECC56F"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A5EE86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SB Murska Sobota</w:t>
            </w:r>
          </w:p>
        </w:tc>
        <w:tc>
          <w:tcPr>
            <w:tcW w:w="960" w:type="dxa"/>
            <w:tcBorders>
              <w:top w:val="nil"/>
              <w:left w:val="nil"/>
              <w:bottom w:val="single" w:sz="8" w:space="0" w:color="000000"/>
              <w:right w:val="single" w:sz="8" w:space="0" w:color="000000"/>
            </w:tcBorders>
            <w:shd w:val="clear" w:color="auto" w:fill="auto"/>
            <w:vAlign w:val="center"/>
            <w:hideMark/>
          </w:tcPr>
          <w:p w14:paraId="1605756E"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w:t>
            </w:r>
          </w:p>
        </w:tc>
        <w:tc>
          <w:tcPr>
            <w:tcW w:w="1460" w:type="dxa"/>
            <w:tcBorders>
              <w:top w:val="nil"/>
              <w:left w:val="nil"/>
              <w:bottom w:val="single" w:sz="8" w:space="0" w:color="000000"/>
              <w:right w:val="single" w:sz="8" w:space="0" w:color="000000"/>
            </w:tcBorders>
            <w:shd w:val="clear" w:color="auto" w:fill="auto"/>
            <w:vAlign w:val="center"/>
            <w:hideMark/>
          </w:tcPr>
          <w:p w14:paraId="6A76CC8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160.605</w:t>
            </w:r>
          </w:p>
        </w:tc>
        <w:tc>
          <w:tcPr>
            <w:tcW w:w="1420" w:type="dxa"/>
            <w:tcBorders>
              <w:top w:val="nil"/>
              <w:left w:val="nil"/>
              <w:bottom w:val="single" w:sz="8" w:space="0" w:color="000000"/>
              <w:right w:val="single" w:sz="8" w:space="0" w:color="000000"/>
            </w:tcBorders>
            <w:shd w:val="clear" w:color="auto" w:fill="auto"/>
            <w:vAlign w:val="center"/>
            <w:hideMark/>
          </w:tcPr>
          <w:p w14:paraId="6A9179D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80.303</w:t>
            </w:r>
          </w:p>
        </w:tc>
      </w:tr>
      <w:tr w:rsidR="006C5068" w:rsidRPr="005E4BEA" w14:paraId="04554DDC"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56FA9D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9</w:t>
            </w:r>
          </w:p>
        </w:tc>
        <w:tc>
          <w:tcPr>
            <w:tcW w:w="2260" w:type="dxa"/>
            <w:tcBorders>
              <w:top w:val="nil"/>
              <w:left w:val="nil"/>
              <w:bottom w:val="single" w:sz="8" w:space="0" w:color="000000"/>
              <w:right w:val="single" w:sz="8" w:space="0" w:color="000000"/>
            </w:tcBorders>
            <w:shd w:val="clear" w:color="auto" w:fill="auto"/>
            <w:vAlign w:val="center"/>
            <w:hideMark/>
          </w:tcPr>
          <w:p w14:paraId="47D2E58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0BB8E9D"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Ajdovščina</w:t>
            </w:r>
          </w:p>
        </w:tc>
        <w:tc>
          <w:tcPr>
            <w:tcW w:w="960" w:type="dxa"/>
            <w:tcBorders>
              <w:top w:val="nil"/>
              <w:left w:val="nil"/>
              <w:bottom w:val="single" w:sz="8" w:space="0" w:color="000000"/>
              <w:right w:val="single" w:sz="8" w:space="0" w:color="000000"/>
            </w:tcBorders>
            <w:shd w:val="clear" w:color="auto" w:fill="auto"/>
            <w:vAlign w:val="center"/>
            <w:hideMark/>
          </w:tcPr>
          <w:p w14:paraId="365ABD1B"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0,19</w:t>
            </w:r>
          </w:p>
        </w:tc>
        <w:tc>
          <w:tcPr>
            <w:tcW w:w="1460" w:type="dxa"/>
            <w:tcBorders>
              <w:top w:val="nil"/>
              <w:left w:val="nil"/>
              <w:bottom w:val="single" w:sz="8" w:space="0" w:color="000000"/>
              <w:right w:val="single" w:sz="8" w:space="0" w:color="000000"/>
            </w:tcBorders>
            <w:shd w:val="clear" w:color="auto" w:fill="auto"/>
            <w:vAlign w:val="center"/>
            <w:hideMark/>
          </w:tcPr>
          <w:p w14:paraId="521584C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30.515</w:t>
            </w:r>
          </w:p>
        </w:tc>
        <w:tc>
          <w:tcPr>
            <w:tcW w:w="1420" w:type="dxa"/>
            <w:tcBorders>
              <w:top w:val="nil"/>
              <w:left w:val="nil"/>
              <w:bottom w:val="single" w:sz="8" w:space="0" w:color="000000"/>
              <w:right w:val="single" w:sz="8" w:space="0" w:color="000000"/>
            </w:tcBorders>
            <w:shd w:val="clear" w:color="auto" w:fill="auto"/>
            <w:vAlign w:val="center"/>
            <w:hideMark/>
          </w:tcPr>
          <w:p w14:paraId="1E92E48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15.257</w:t>
            </w:r>
          </w:p>
        </w:tc>
      </w:tr>
      <w:tr w:rsidR="006C5068" w:rsidRPr="005E4BEA" w14:paraId="11B647D4"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798A35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10</w:t>
            </w:r>
          </w:p>
        </w:tc>
        <w:tc>
          <w:tcPr>
            <w:tcW w:w="2260" w:type="dxa"/>
            <w:tcBorders>
              <w:top w:val="nil"/>
              <w:left w:val="nil"/>
              <w:bottom w:val="single" w:sz="8" w:space="0" w:color="000000"/>
              <w:right w:val="single" w:sz="8" w:space="0" w:color="000000"/>
            </w:tcBorders>
            <w:shd w:val="clear" w:color="auto" w:fill="auto"/>
            <w:vAlign w:val="center"/>
            <w:hideMark/>
          </w:tcPr>
          <w:p w14:paraId="15BF708A"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C4D247D"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SB Nova Gorica</w:t>
            </w:r>
          </w:p>
        </w:tc>
        <w:tc>
          <w:tcPr>
            <w:tcW w:w="960" w:type="dxa"/>
            <w:tcBorders>
              <w:top w:val="nil"/>
              <w:left w:val="nil"/>
              <w:bottom w:val="single" w:sz="8" w:space="0" w:color="000000"/>
              <w:right w:val="single" w:sz="8" w:space="0" w:color="000000"/>
            </w:tcBorders>
            <w:shd w:val="clear" w:color="auto" w:fill="auto"/>
            <w:vAlign w:val="center"/>
            <w:hideMark/>
          </w:tcPr>
          <w:p w14:paraId="667DBEC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010BC8F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3C29267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40.151</w:t>
            </w:r>
          </w:p>
        </w:tc>
      </w:tr>
      <w:tr w:rsidR="006C5068" w:rsidRPr="005E4BEA" w14:paraId="35878F4E"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8EE5AB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11</w:t>
            </w:r>
          </w:p>
        </w:tc>
        <w:tc>
          <w:tcPr>
            <w:tcW w:w="2260" w:type="dxa"/>
            <w:tcBorders>
              <w:top w:val="nil"/>
              <w:left w:val="nil"/>
              <w:bottom w:val="single" w:sz="8" w:space="0" w:color="000000"/>
              <w:right w:val="single" w:sz="8" w:space="0" w:color="000000"/>
            </w:tcBorders>
            <w:shd w:val="clear" w:color="auto" w:fill="auto"/>
            <w:vAlign w:val="center"/>
            <w:hideMark/>
          </w:tcPr>
          <w:p w14:paraId="0B1B225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B01CAE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ZD Trebnje</w:t>
            </w:r>
          </w:p>
        </w:tc>
        <w:tc>
          <w:tcPr>
            <w:tcW w:w="960" w:type="dxa"/>
            <w:tcBorders>
              <w:top w:val="nil"/>
              <w:left w:val="nil"/>
              <w:bottom w:val="single" w:sz="8" w:space="0" w:color="000000"/>
              <w:right w:val="single" w:sz="8" w:space="0" w:color="000000"/>
            </w:tcBorders>
            <w:shd w:val="clear" w:color="auto" w:fill="auto"/>
            <w:vAlign w:val="center"/>
            <w:hideMark/>
          </w:tcPr>
          <w:p w14:paraId="7ED21BEA"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0,8</w:t>
            </w:r>
          </w:p>
        </w:tc>
        <w:tc>
          <w:tcPr>
            <w:tcW w:w="1460" w:type="dxa"/>
            <w:tcBorders>
              <w:top w:val="nil"/>
              <w:left w:val="nil"/>
              <w:bottom w:val="single" w:sz="8" w:space="0" w:color="000000"/>
              <w:right w:val="single" w:sz="8" w:space="0" w:color="000000"/>
            </w:tcBorders>
            <w:shd w:val="clear" w:color="auto" w:fill="auto"/>
            <w:vAlign w:val="center"/>
            <w:hideMark/>
          </w:tcPr>
          <w:p w14:paraId="5D85E6F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128.484</w:t>
            </w:r>
          </w:p>
        </w:tc>
        <w:tc>
          <w:tcPr>
            <w:tcW w:w="1420" w:type="dxa"/>
            <w:tcBorders>
              <w:top w:val="nil"/>
              <w:left w:val="nil"/>
              <w:bottom w:val="single" w:sz="8" w:space="0" w:color="000000"/>
              <w:right w:val="single" w:sz="8" w:space="0" w:color="000000"/>
            </w:tcBorders>
            <w:shd w:val="clear" w:color="auto" w:fill="auto"/>
            <w:vAlign w:val="center"/>
            <w:hideMark/>
          </w:tcPr>
          <w:p w14:paraId="74F9FDB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64.242</w:t>
            </w:r>
          </w:p>
        </w:tc>
      </w:tr>
      <w:tr w:rsidR="006C5068" w:rsidRPr="005E4BEA" w14:paraId="5A11A7C7"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C9168C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12</w:t>
            </w:r>
          </w:p>
        </w:tc>
        <w:tc>
          <w:tcPr>
            <w:tcW w:w="2260" w:type="dxa"/>
            <w:tcBorders>
              <w:top w:val="nil"/>
              <w:left w:val="nil"/>
              <w:bottom w:val="single" w:sz="8" w:space="0" w:color="000000"/>
              <w:right w:val="single" w:sz="8" w:space="0" w:color="000000"/>
            </w:tcBorders>
            <w:shd w:val="clear" w:color="auto" w:fill="auto"/>
            <w:vAlign w:val="center"/>
            <w:hideMark/>
          </w:tcPr>
          <w:p w14:paraId="616E1C3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583C8BF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OE Novo mesto</w:t>
            </w:r>
          </w:p>
        </w:tc>
        <w:tc>
          <w:tcPr>
            <w:tcW w:w="960" w:type="dxa"/>
            <w:tcBorders>
              <w:top w:val="nil"/>
              <w:left w:val="nil"/>
              <w:bottom w:val="single" w:sz="8" w:space="0" w:color="000000"/>
              <w:right w:val="single" w:sz="8" w:space="0" w:color="000000"/>
            </w:tcBorders>
            <w:shd w:val="clear" w:color="auto" w:fill="auto"/>
            <w:vAlign w:val="center"/>
            <w:hideMark/>
          </w:tcPr>
          <w:p w14:paraId="25D19E5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0,77</w:t>
            </w:r>
          </w:p>
        </w:tc>
        <w:tc>
          <w:tcPr>
            <w:tcW w:w="1460" w:type="dxa"/>
            <w:tcBorders>
              <w:top w:val="nil"/>
              <w:left w:val="nil"/>
              <w:bottom w:val="single" w:sz="8" w:space="0" w:color="000000"/>
              <w:right w:val="single" w:sz="8" w:space="0" w:color="000000"/>
            </w:tcBorders>
            <w:shd w:val="clear" w:color="auto" w:fill="auto"/>
            <w:vAlign w:val="center"/>
            <w:hideMark/>
          </w:tcPr>
          <w:p w14:paraId="75B3C711"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123.666</w:t>
            </w:r>
          </w:p>
        </w:tc>
        <w:tc>
          <w:tcPr>
            <w:tcW w:w="1420" w:type="dxa"/>
            <w:tcBorders>
              <w:top w:val="nil"/>
              <w:left w:val="nil"/>
              <w:bottom w:val="single" w:sz="8" w:space="0" w:color="000000"/>
              <w:right w:val="single" w:sz="8" w:space="0" w:color="000000"/>
            </w:tcBorders>
            <w:shd w:val="clear" w:color="auto" w:fill="auto"/>
            <w:vAlign w:val="center"/>
            <w:hideMark/>
          </w:tcPr>
          <w:p w14:paraId="0CE8CD1E"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61.833</w:t>
            </w:r>
          </w:p>
        </w:tc>
      </w:tr>
      <w:tr w:rsidR="006C5068" w:rsidRPr="005E4BEA" w14:paraId="34F6477E"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25E59C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13</w:t>
            </w:r>
          </w:p>
        </w:tc>
        <w:tc>
          <w:tcPr>
            <w:tcW w:w="2260" w:type="dxa"/>
            <w:tcBorders>
              <w:top w:val="nil"/>
              <w:left w:val="nil"/>
              <w:bottom w:val="single" w:sz="8" w:space="0" w:color="000000"/>
              <w:right w:val="single" w:sz="8" w:space="0" w:color="000000"/>
            </w:tcBorders>
            <w:shd w:val="clear" w:color="auto" w:fill="auto"/>
            <w:vAlign w:val="center"/>
            <w:hideMark/>
          </w:tcPr>
          <w:p w14:paraId="28A62080"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8398AD2" w14:textId="6A84F17C"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xml:space="preserve">OE Krško / </w:t>
            </w:r>
            <w:r w:rsidR="005C6DEF" w:rsidRPr="005E4BEA">
              <w:rPr>
                <w:rFonts w:cs="Arial"/>
                <w:color w:val="000000"/>
                <w:szCs w:val="20"/>
                <w:lang w:eastAsia="sl-SI"/>
              </w:rPr>
              <w:t xml:space="preserve">izpostava </w:t>
            </w:r>
            <w:r w:rsidRPr="005E4BEA">
              <w:rPr>
                <w:rFonts w:cs="Arial"/>
                <w:color w:val="000000"/>
                <w:szCs w:val="20"/>
                <w:lang w:eastAsia="sl-SI"/>
              </w:rPr>
              <w:t>Krško</w:t>
            </w:r>
          </w:p>
        </w:tc>
        <w:tc>
          <w:tcPr>
            <w:tcW w:w="960" w:type="dxa"/>
            <w:tcBorders>
              <w:top w:val="nil"/>
              <w:left w:val="nil"/>
              <w:bottom w:val="single" w:sz="8" w:space="0" w:color="000000"/>
              <w:right w:val="single" w:sz="8" w:space="0" w:color="000000"/>
            </w:tcBorders>
            <w:shd w:val="clear" w:color="auto" w:fill="auto"/>
            <w:vAlign w:val="center"/>
            <w:hideMark/>
          </w:tcPr>
          <w:p w14:paraId="228F563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0,1</w:t>
            </w:r>
          </w:p>
        </w:tc>
        <w:tc>
          <w:tcPr>
            <w:tcW w:w="1460" w:type="dxa"/>
            <w:tcBorders>
              <w:top w:val="nil"/>
              <w:left w:val="nil"/>
              <w:bottom w:val="single" w:sz="8" w:space="0" w:color="000000"/>
              <w:right w:val="single" w:sz="8" w:space="0" w:color="000000"/>
            </w:tcBorders>
            <w:shd w:val="clear" w:color="auto" w:fill="auto"/>
            <w:vAlign w:val="center"/>
            <w:hideMark/>
          </w:tcPr>
          <w:p w14:paraId="6FEBFB42"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16.061</w:t>
            </w:r>
          </w:p>
        </w:tc>
        <w:tc>
          <w:tcPr>
            <w:tcW w:w="1420" w:type="dxa"/>
            <w:tcBorders>
              <w:top w:val="nil"/>
              <w:left w:val="nil"/>
              <w:bottom w:val="single" w:sz="8" w:space="0" w:color="000000"/>
              <w:right w:val="single" w:sz="8" w:space="0" w:color="000000"/>
            </w:tcBorders>
            <w:shd w:val="clear" w:color="auto" w:fill="auto"/>
            <w:vAlign w:val="center"/>
            <w:hideMark/>
          </w:tcPr>
          <w:p w14:paraId="4B130D6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w:t>
            </w:r>
          </w:p>
        </w:tc>
      </w:tr>
      <w:tr w:rsidR="006C5068" w:rsidRPr="005E4BEA" w14:paraId="2AAB49A9"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721782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14</w:t>
            </w:r>
          </w:p>
        </w:tc>
        <w:tc>
          <w:tcPr>
            <w:tcW w:w="2260" w:type="dxa"/>
            <w:tcBorders>
              <w:top w:val="nil"/>
              <w:left w:val="nil"/>
              <w:bottom w:val="single" w:sz="8" w:space="0" w:color="000000"/>
              <w:right w:val="single" w:sz="8" w:space="0" w:color="000000"/>
            </w:tcBorders>
            <w:shd w:val="clear" w:color="auto" w:fill="auto"/>
            <w:vAlign w:val="center"/>
            <w:hideMark/>
          </w:tcPr>
          <w:p w14:paraId="0A0B3FA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C96523E" w14:textId="2A1A18DD"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xml:space="preserve">OE Krško / </w:t>
            </w:r>
            <w:r w:rsidR="005C6DEF" w:rsidRPr="005E4BEA">
              <w:rPr>
                <w:rFonts w:cs="Arial"/>
                <w:color w:val="000000"/>
                <w:szCs w:val="20"/>
                <w:lang w:eastAsia="sl-SI"/>
              </w:rPr>
              <w:t xml:space="preserve">izpostava </w:t>
            </w:r>
            <w:r w:rsidRPr="005E4BEA">
              <w:rPr>
                <w:rFonts w:cs="Arial"/>
                <w:color w:val="000000"/>
                <w:szCs w:val="20"/>
                <w:lang w:eastAsia="sl-SI"/>
              </w:rPr>
              <w:t>Sevnica</w:t>
            </w:r>
          </w:p>
        </w:tc>
        <w:tc>
          <w:tcPr>
            <w:tcW w:w="960" w:type="dxa"/>
            <w:tcBorders>
              <w:top w:val="nil"/>
              <w:left w:val="nil"/>
              <w:bottom w:val="single" w:sz="8" w:space="0" w:color="000000"/>
              <w:right w:val="single" w:sz="8" w:space="0" w:color="000000"/>
            </w:tcBorders>
            <w:shd w:val="clear" w:color="auto" w:fill="auto"/>
            <w:vAlign w:val="center"/>
            <w:hideMark/>
          </w:tcPr>
          <w:p w14:paraId="5DDE0D8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0,2</w:t>
            </w:r>
          </w:p>
        </w:tc>
        <w:tc>
          <w:tcPr>
            <w:tcW w:w="1460" w:type="dxa"/>
            <w:tcBorders>
              <w:top w:val="nil"/>
              <w:left w:val="nil"/>
              <w:bottom w:val="single" w:sz="8" w:space="0" w:color="000000"/>
              <w:right w:val="single" w:sz="8" w:space="0" w:color="000000"/>
            </w:tcBorders>
            <w:shd w:val="clear" w:color="auto" w:fill="auto"/>
            <w:vAlign w:val="center"/>
            <w:hideMark/>
          </w:tcPr>
          <w:p w14:paraId="2ABA01B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32.121</w:t>
            </w:r>
          </w:p>
        </w:tc>
        <w:tc>
          <w:tcPr>
            <w:tcW w:w="1420" w:type="dxa"/>
            <w:tcBorders>
              <w:top w:val="nil"/>
              <w:left w:val="nil"/>
              <w:bottom w:val="single" w:sz="8" w:space="0" w:color="000000"/>
              <w:right w:val="single" w:sz="8" w:space="0" w:color="000000"/>
            </w:tcBorders>
            <w:shd w:val="clear" w:color="auto" w:fill="auto"/>
            <w:vAlign w:val="center"/>
            <w:hideMark/>
          </w:tcPr>
          <w:p w14:paraId="3CE14F48"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16.061</w:t>
            </w:r>
          </w:p>
        </w:tc>
      </w:tr>
      <w:tr w:rsidR="006C5068" w:rsidRPr="005E4BEA" w14:paraId="5F70C503" w14:textId="77777777" w:rsidTr="0016774B">
        <w:trPr>
          <w:trHeight w:val="52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359D55"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15</w:t>
            </w:r>
          </w:p>
        </w:tc>
        <w:tc>
          <w:tcPr>
            <w:tcW w:w="2260" w:type="dxa"/>
            <w:tcBorders>
              <w:top w:val="nil"/>
              <w:left w:val="nil"/>
              <w:bottom w:val="single" w:sz="8" w:space="0" w:color="000000"/>
              <w:right w:val="single" w:sz="8" w:space="0" w:color="000000"/>
            </w:tcBorders>
            <w:shd w:val="clear" w:color="auto" w:fill="auto"/>
            <w:vAlign w:val="center"/>
            <w:hideMark/>
          </w:tcPr>
          <w:p w14:paraId="0BE17D8E"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649A627C" w14:textId="683E0E73"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xml:space="preserve">OE Koper / </w:t>
            </w:r>
            <w:r w:rsidR="005C6DEF" w:rsidRPr="005E4BEA">
              <w:rPr>
                <w:rFonts w:cs="Arial"/>
                <w:color w:val="000000"/>
                <w:szCs w:val="20"/>
                <w:lang w:eastAsia="sl-SI"/>
              </w:rPr>
              <w:t xml:space="preserve">izpostava </w:t>
            </w:r>
            <w:r w:rsidRPr="005E4BEA">
              <w:rPr>
                <w:rFonts w:cs="Arial"/>
                <w:color w:val="000000"/>
                <w:szCs w:val="20"/>
                <w:lang w:eastAsia="sl-SI"/>
              </w:rPr>
              <w:t>Ilirska Bistrica</w:t>
            </w:r>
          </w:p>
        </w:tc>
        <w:tc>
          <w:tcPr>
            <w:tcW w:w="960" w:type="dxa"/>
            <w:tcBorders>
              <w:top w:val="nil"/>
              <w:left w:val="nil"/>
              <w:bottom w:val="single" w:sz="8" w:space="0" w:color="000000"/>
              <w:right w:val="single" w:sz="8" w:space="0" w:color="000000"/>
            </w:tcBorders>
            <w:shd w:val="clear" w:color="auto" w:fill="auto"/>
            <w:vAlign w:val="center"/>
            <w:hideMark/>
          </w:tcPr>
          <w:p w14:paraId="11C12E34"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3B163DB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5F4B1BA7"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40.151</w:t>
            </w:r>
          </w:p>
        </w:tc>
      </w:tr>
      <w:tr w:rsidR="006C5068" w:rsidRPr="005E4BEA" w14:paraId="2DEA8E01" w14:textId="77777777" w:rsidTr="0016774B">
        <w:trPr>
          <w:trHeight w:val="78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42DAC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16</w:t>
            </w:r>
          </w:p>
        </w:tc>
        <w:tc>
          <w:tcPr>
            <w:tcW w:w="2260" w:type="dxa"/>
            <w:tcBorders>
              <w:top w:val="nil"/>
              <w:left w:val="nil"/>
              <w:bottom w:val="single" w:sz="8" w:space="0" w:color="000000"/>
              <w:right w:val="single" w:sz="8" w:space="0" w:color="000000"/>
            </w:tcBorders>
            <w:shd w:val="clear" w:color="auto" w:fill="auto"/>
            <w:vAlign w:val="center"/>
            <w:hideMark/>
          </w:tcPr>
          <w:p w14:paraId="13D00A91"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2F322356"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Kardiologija Marinšek in Ginekologija Peternelj d.o.o.</w:t>
            </w:r>
          </w:p>
        </w:tc>
        <w:tc>
          <w:tcPr>
            <w:tcW w:w="960" w:type="dxa"/>
            <w:tcBorders>
              <w:top w:val="nil"/>
              <w:left w:val="nil"/>
              <w:bottom w:val="single" w:sz="8" w:space="0" w:color="000000"/>
              <w:right w:val="single" w:sz="8" w:space="0" w:color="000000"/>
            </w:tcBorders>
            <w:shd w:val="clear" w:color="auto" w:fill="auto"/>
            <w:vAlign w:val="center"/>
            <w:hideMark/>
          </w:tcPr>
          <w:p w14:paraId="318258BC"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0,5</w:t>
            </w:r>
          </w:p>
        </w:tc>
        <w:tc>
          <w:tcPr>
            <w:tcW w:w="1460" w:type="dxa"/>
            <w:tcBorders>
              <w:top w:val="nil"/>
              <w:left w:val="nil"/>
              <w:bottom w:val="single" w:sz="8" w:space="0" w:color="000000"/>
              <w:right w:val="single" w:sz="8" w:space="0" w:color="000000"/>
            </w:tcBorders>
            <w:shd w:val="clear" w:color="auto" w:fill="auto"/>
            <w:vAlign w:val="center"/>
            <w:hideMark/>
          </w:tcPr>
          <w:p w14:paraId="7092EA81"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80.303</w:t>
            </w:r>
          </w:p>
        </w:tc>
        <w:tc>
          <w:tcPr>
            <w:tcW w:w="1420" w:type="dxa"/>
            <w:tcBorders>
              <w:top w:val="nil"/>
              <w:left w:val="nil"/>
              <w:bottom w:val="single" w:sz="8" w:space="0" w:color="000000"/>
              <w:right w:val="single" w:sz="8" w:space="0" w:color="000000"/>
            </w:tcBorders>
            <w:shd w:val="clear" w:color="auto" w:fill="auto"/>
            <w:vAlign w:val="center"/>
            <w:hideMark/>
          </w:tcPr>
          <w:p w14:paraId="4F3B3845"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40.151</w:t>
            </w:r>
          </w:p>
        </w:tc>
      </w:tr>
      <w:tr w:rsidR="006C5068" w:rsidRPr="005E4BEA" w14:paraId="4907EBA4" w14:textId="77777777" w:rsidTr="0016774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A567529" w14:textId="77777777" w:rsidR="006C5068" w:rsidRPr="005E4BEA" w:rsidRDefault="006C5068" w:rsidP="0016774B">
            <w:pPr>
              <w:spacing w:line="240" w:lineRule="auto"/>
              <w:jc w:val="both"/>
              <w:rPr>
                <w:rFonts w:cs="Arial"/>
                <w:color w:val="000000"/>
                <w:szCs w:val="20"/>
                <w:lang w:eastAsia="sl-SI"/>
              </w:rPr>
            </w:pPr>
            <w:r w:rsidRPr="005E4BEA">
              <w:rPr>
                <w:rFonts w:cs="Arial"/>
                <w:color w:val="000000"/>
                <w:szCs w:val="20"/>
                <w:lang w:eastAsia="sl-SI"/>
              </w:rPr>
              <w:t> </w:t>
            </w:r>
          </w:p>
        </w:tc>
        <w:tc>
          <w:tcPr>
            <w:tcW w:w="2260" w:type="dxa"/>
            <w:tcBorders>
              <w:top w:val="nil"/>
              <w:left w:val="nil"/>
              <w:bottom w:val="single" w:sz="8" w:space="0" w:color="000000"/>
              <w:right w:val="single" w:sz="8" w:space="0" w:color="000000"/>
            </w:tcBorders>
            <w:shd w:val="clear" w:color="auto" w:fill="auto"/>
            <w:vAlign w:val="center"/>
            <w:hideMark/>
          </w:tcPr>
          <w:p w14:paraId="01D97399" w14:textId="77777777" w:rsidR="006C5068" w:rsidRPr="005E4BEA" w:rsidRDefault="006C5068" w:rsidP="0016774B">
            <w:pPr>
              <w:spacing w:line="240" w:lineRule="auto"/>
              <w:jc w:val="both"/>
              <w:rPr>
                <w:rFonts w:cs="Arial"/>
                <w:b/>
                <w:bCs/>
                <w:color w:val="000000"/>
                <w:szCs w:val="20"/>
                <w:lang w:eastAsia="sl-SI"/>
              </w:rPr>
            </w:pPr>
            <w:r w:rsidRPr="005E4BEA">
              <w:rPr>
                <w:rFonts w:cs="Arial"/>
                <w:b/>
                <w:bCs/>
                <w:color w:val="000000"/>
                <w:szCs w:val="20"/>
                <w:lang w:eastAsia="sl-SI"/>
              </w:rPr>
              <w:t>Dispanzer za ženske</w:t>
            </w:r>
          </w:p>
        </w:tc>
        <w:tc>
          <w:tcPr>
            <w:tcW w:w="2120" w:type="dxa"/>
            <w:tcBorders>
              <w:top w:val="nil"/>
              <w:left w:val="nil"/>
              <w:bottom w:val="single" w:sz="8" w:space="0" w:color="000000"/>
              <w:right w:val="single" w:sz="8" w:space="0" w:color="000000"/>
            </w:tcBorders>
            <w:shd w:val="clear" w:color="auto" w:fill="auto"/>
            <w:vAlign w:val="center"/>
            <w:hideMark/>
          </w:tcPr>
          <w:p w14:paraId="0E3475EC" w14:textId="77777777" w:rsidR="006C5068" w:rsidRPr="005E4BEA" w:rsidRDefault="006C5068" w:rsidP="0016774B">
            <w:pPr>
              <w:spacing w:line="240" w:lineRule="auto"/>
              <w:jc w:val="both"/>
              <w:rPr>
                <w:rFonts w:cs="Arial"/>
                <w:b/>
                <w:bCs/>
                <w:color w:val="000000"/>
                <w:szCs w:val="20"/>
                <w:lang w:eastAsia="sl-SI"/>
              </w:rPr>
            </w:pPr>
            <w:r w:rsidRPr="005E4BEA">
              <w:rPr>
                <w:rFonts w:cs="Arial"/>
                <w:b/>
                <w:bCs/>
                <w:color w:val="000000"/>
                <w:szCs w:val="20"/>
                <w:lang w:eastAsia="sl-SI"/>
              </w:rPr>
              <w:t>SKUPAJ</w:t>
            </w:r>
          </w:p>
        </w:tc>
        <w:tc>
          <w:tcPr>
            <w:tcW w:w="960" w:type="dxa"/>
            <w:tcBorders>
              <w:top w:val="nil"/>
              <w:left w:val="nil"/>
              <w:bottom w:val="single" w:sz="8" w:space="0" w:color="000000"/>
              <w:right w:val="single" w:sz="8" w:space="0" w:color="000000"/>
            </w:tcBorders>
            <w:shd w:val="clear" w:color="auto" w:fill="auto"/>
            <w:vAlign w:val="center"/>
            <w:hideMark/>
          </w:tcPr>
          <w:p w14:paraId="0D9CA134" w14:textId="77777777" w:rsidR="006C5068" w:rsidRPr="005E4BEA" w:rsidRDefault="006C5068" w:rsidP="0016774B">
            <w:pPr>
              <w:spacing w:line="240" w:lineRule="auto"/>
              <w:jc w:val="both"/>
              <w:rPr>
                <w:rFonts w:cs="Arial"/>
                <w:b/>
                <w:bCs/>
                <w:color w:val="000000"/>
                <w:szCs w:val="20"/>
                <w:lang w:eastAsia="sl-SI"/>
              </w:rPr>
            </w:pPr>
            <w:r w:rsidRPr="005E4BEA">
              <w:rPr>
                <w:rFonts w:cs="Arial"/>
                <w:b/>
                <w:bCs/>
                <w:color w:val="000000"/>
                <w:szCs w:val="20"/>
                <w:lang w:eastAsia="sl-SI"/>
              </w:rPr>
              <w:t>7,9</w:t>
            </w:r>
          </w:p>
        </w:tc>
        <w:tc>
          <w:tcPr>
            <w:tcW w:w="1460" w:type="dxa"/>
            <w:tcBorders>
              <w:top w:val="nil"/>
              <w:left w:val="nil"/>
              <w:bottom w:val="single" w:sz="8" w:space="0" w:color="000000"/>
              <w:right w:val="single" w:sz="8" w:space="0" w:color="000000"/>
            </w:tcBorders>
            <w:shd w:val="clear" w:color="auto" w:fill="auto"/>
            <w:vAlign w:val="center"/>
            <w:hideMark/>
          </w:tcPr>
          <w:p w14:paraId="4CE0F06D" w14:textId="77777777" w:rsidR="006C5068" w:rsidRPr="005E4BEA" w:rsidRDefault="006C5068" w:rsidP="0016774B">
            <w:pPr>
              <w:spacing w:line="240" w:lineRule="auto"/>
              <w:jc w:val="both"/>
              <w:rPr>
                <w:rFonts w:cs="Arial"/>
                <w:b/>
                <w:bCs/>
                <w:color w:val="000000"/>
                <w:szCs w:val="20"/>
                <w:lang w:eastAsia="sl-SI"/>
              </w:rPr>
            </w:pPr>
            <w:r w:rsidRPr="005E4BEA">
              <w:rPr>
                <w:rFonts w:cs="Arial"/>
                <w:b/>
                <w:bCs/>
                <w:color w:val="000000"/>
                <w:szCs w:val="20"/>
                <w:lang w:eastAsia="sl-SI"/>
              </w:rPr>
              <w:t>1.270.388</w:t>
            </w:r>
          </w:p>
        </w:tc>
        <w:tc>
          <w:tcPr>
            <w:tcW w:w="1420" w:type="dxa"/>
            <w:tcBorders>
              <w:top w:val="nil"/>
              <w:left w:val="nil"/>
              <w:bottom w:val="single" w:sz="8" w:space="0" w:color="000000"/>
              <w:right w:val="single" w:sz="8" w:space="0" w:color="000000"/>
            </w:tcBorders>
            <w:shd w:val="clear" w:color="auto" w:fill="auto"/>
            <w:vAlign w:val="center"/>
            <w:hideMark/>
          </w:tcPr>
          <w:p w14:paraId="6C7469B3" w14:textId="77777777" w:rsidR="006C5068" w:rsidRPr="005E4BEA" w:rsidRDefault="006C5068" w:rsidP="0016774B">
            <w:pPr>
              <w:spacing w:line="240" w:lineRule="auto"/>
              <w:jc w:val="both"/>
              <w:rPr>
                <w:rFonts w:cs="Arial"/>
                <w:b/>
                <w:bCs/>
                <w:color w:val="000000"/>
                <w:szCs w:val="20"/>
                <w:lang w:eastAsia="sl-SI"/>
              </w:rPr>
            </w:pPr>
            <w:r w:rsidRPr="005E4BEA">
              <w:rPr>
                <w:rFonts w:cs="Arial"/>
                <w:b/>
                <w:bCs/>
                <w:color w:val="000000"/>
                <w:szCs w:val="20"/>
                <w:lang w:eastAsia="sl-SI"/>
              </w:rPr>
              <w:t>635.194</w:t>
            </w:r>
          </w:p>
        </w:tc>
      </w:tr>
      <w:bookmarkEnd w:id="158"/>
    </w:tbl>
    <w:p w14:paraId="4FE7D6E8" w14:textId="77777777" w:rsidR="006C5068" w:rsidRPr="005E4BEA" w:rsidRDefault="006C5068" w:rsidP="006C5068">
      <w:pPr>
        <w:spacing w:line="240" w:lineRule="auto"/>
        <w:jc w:val="both"/>
        <w:rPr>
          <w:rFonts w:eastAsia="Calibri" w:cs="Arial"/>
          <w:i/>
          <w:iCs/>
          <w:color w:val="7F7F7F" w:themeColor="text1" w:themeTint="80"/>
          <w:szCs w:val="20"/>
        </w:rPr>
      </w:pPr>
    </w:p>
    <w:p w14:paraId="03BC55C5" w14:textId="1E15F495" w:rsidR="00221148" w:rsidRPr="005E4BEA" w:rsidRDefault="00221148" w:rsidP="006C5068">
      <w:pPr>
        <w:autoSpaceDE w:val="0"/>
        <w:autoSpaceDN w:val="0"/>
        <w:adjustRightInd w:val="0"/>
        <w:spacing w:line="240" w:lineRule="auto"/>
        <w:jc w:val="both"/>
        <w:rPr>
          <w:rFonts w:eastAsia="Calibri" w:cs="Arial"/>
          <w:i/>
          <w:iCs/>
          <w:color w:val="7F7F7F" w:themeColor="text1" w:themeTint="80"/>
          <w:szCs w:val="20"/>
        </w:rPr>
      </w:pPr>
    </w:p>
    <w:p w14:paraId="64087812" w14:textId="33F33816" w:rsidR="006C5068" w:rsidRPr="005E4BEA" w:rsidRDefault="006C5068" w:rsidP="00FE461F">
      <w:pPr>
        <w:spacing w:line="240" w:lineRule="auto"/>
        <w:rPr>
          <w:rFonts w:eastAsia="Calibri" w:cs="Arial"/>
          <w:i/>
          <w:iCs/>
          <w:color w:val="7F7F7F" w:themeColor="text1" w:themeTint="80"/>
          <w:szCs w:val="20"/>
        </w:rPr>
      </w:pPr>
    </w:p>
    <w:p w14:paraId="7F031ACD" w14:textId="3E69E2BF" w:rsidR="006C5068" w:rsidRPr="005E4BEA" w:rsidRDefault="00C32B24"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w:t>
      </w:r>
      <w:r w:rsidR="006C5068" w:rsidRPr="005E4BEA">
        <w:rPr>
          <w:rFonts w:ascii="Arial" w:eastAsia="Arial Narrow" w:hAnsi="Arial" w:cs="Arial"/>
          <w:sz w:val="20"/>
        </w:rPr>
        <w:t>PORNO VPRAŠANJE (133)</w:t>
      </w:r>
    </w:p>
    <w:p w14:paraId="352835D7" w14:textId="77777777" w:rsidR="006C5068" w:rsidRPr="005E4BEA" w:rsidRDefault="006C5068" w:rsidP="006C5068">
      <w:pPr>
        <w:spacing w:line="240" w:lineRule="auto"/>
        <w:jc w:val="both"/>
        <w:rPr>
          <w:rFonts w:eastAsia="Arial Narrow" w:cs="Arial"/>
          <w:bCs/>
          <w:szCs w:val="20"/>
        </w:rPr>
      </w:pPr>
    </w:p>
    <w:p w14:paraId="62A64D40" w14:textId="373EB9FD" w:rsidR="006C5068" w:rsidRPr="005E4BEA" w:rsidRDefault="006C5068" w:rsidP="006C5068">
      <w:pPr>
        <w:spacing w:line="240" w:lineRule="auto"/>
        <w:jc w:val="both"/>
        <w:rPr>
          <w:rFonts w:eastAsiaTheme="minorHAnsi" w:cs="Arial"/>
          <w:b/>
          <w:bCs/>
          <w:szCs w:val="20"/>
        </w:rPr>
      </w:pPr>
      <w:r w:rsidRPr="005E4BEA">
        <w:rPr>
          <w:rFonts w:eastAsia="Arial Narrow" w:cs="Arial"/>
          <w:b/>
          <w:szCs w:val="20"/>
        </w:rPr>
        <w:t>Skupnost Slovenskih naravnih zdravilišč</w:t>
      </w:r>
      <w:r w:rsidRPr="005E4BEA">
        <w:rPr>
          <w:rFonts w:eastAsia="Arial Narrow" w:cs="Arial"/>
          <w:bCs/>
          <w:szCs w:val="20"/>
        </w:rPr>
        <w:t xml:space="preserve"> </w:t>
      </w:r>
      <w:r w:rsidRPr="005E4BEA">
        <w:rPr>
          <w:rFonts w:eastAsiaTheme="minorHAnsi" w:cs="Arial"/>
          <w:bCs/>
          <w:szCs w:val="20"/>
        </w:rPr>
        <w:t xml:space="preserve">predlaga, da se v </w:t>
      </w:r>
      <w:r w:rsidRPr="005E4BEA">
        <w:rPr>
          <w:rFonts w:eastAsia="MS Mincho" w:cs="Arial"/>
          <w:b/>
          <w:bCs/>
          <w:szCs w:val="20"/>
        </w:rPr>
        <w:t xml:space="preserve"> </w:t>
      </w:r>
      <w:r w:rsidRPr="005E4BEA">
        <w:rPr>
          <w:rFonts w:eastAsia="MS Mincho" w:cs="Arial"/>
          <w:szCs w:val="20"/>
        </w:rPr>
        <w:t>Prilogi III/c v (1) odstavku točke a.) doda:</w:t>
      </w:r>
    </w:p>
    <w:p w14:paraId="0560DCB4" w14:textId="77777777" w:rsidR="00FE461F" w:rsidRPr="005E4BEA" w:rsidRDefault="00FE461F" w:rsidP="00FE461F">
      <w:pPr>
        <w:spacing w:line="240" w:lineRule="auto"/>
        <w:rPr>
          <w:rFonts w:eastAsia="Calibri" w:cs="Arial"/>
          <w:i/>
          <w:iCs/>
          <w:color w:val="7F7F7F" w:themeColor="text1" w:themeTint="80"/>
          <w:szCs w:val="20"/>
        </w:rPr>
      </w:pPr>
    </w:p>
    <w:p w14:paraId="38BE2F2B" w14:textId="77777777" w:rsidR="00FE461F" w:rsidRPr="005E4BEA" w:rsidRDefault="00FE461F" w:rsidP="00FE461F">
      <w:pPr>
        <w:spacing w:line="240" w:lineRule="auto"/>
        <w:jc w:val="both"/>
        <w:rPr>
          <w:rFonts w:eastAsia="Calibri" w:cs="Arial"/>
          <w:szCs w:val="20"/>
        </w:rPr>
      </w:pPr>
    </w:p>
    <w:p w14:paraId="732468F3" w14:textId="77777777" w:rsidR="00FE461F" w:rsidRPr="005E4BEA" w:rsidRDefault="00FE461F" w:rsidP="00933478">
      <w:pPr>
        <w:spacing w:after="120" w:line="240" w:lineRule="auto"/>
        <w:jc w:val="both"/>
        <w:rPr>
          <w:rFonts w:cs="Arial"/>
          <w:b/>
          <w:szCs w:val="20"/>
        </w:rPr>
      </w:pPr>
      <w:r w:rsidRPr="005E4BEA">
        <w:rPr>
          <w:rFonts w:cs="Arial"/>
          <w:b/>
          <w:szCs w:val="20"/>
        </w:rPr>
        <w:t xml:space="preserve">V dejavnosti kardiologije in vaskularne medicine je plačilo programa po realizaciji nad 10% pogojevano  s številom čakajočih pacientov nad dopustno čakalno dobo v sistemu </w:t>
      </w:r>
      <w:proofErr w:type="spellStart"/>
      <w:r w:rsidRPr="005E4BEA">
        <w:rPr>
          <w:rFonts w:cs="Arial"/>
          <w:b/>
          <w:szCs w:val="20"/>
        </w:rPr>
        <w:t>eNaročanja</w:t>
      </w:r>
      <w:proofErr w:type="spellEnd"/>
      <w:r w:rsidRPr="005E4BEA">
        <w:rPr>
          <w:rFonts w:cs="Arial"/>
          <w:b/>
          <w:szCs w:val="20"/>
        </w:rPr>
        <w:t>. Predlagamo črtanje tega pogoja  iz točke 3.2 Priloge III, kot je razvidno iz sledečega besedila:</w:t>
      </w:r>
    </w:p>
    <w:p w14:paraId="56DB146F" w14:textId="77777777" w:rsidR="00FE461F" w:rsidRPr="005E4BEA" w:rsidRDefault="00FE461F" w:rsidP="00FE461F">
      <w:pPr>
        <w:widowControl w:val="0"/>
        <w:suppressAutoHyphens/>
        <w:spacing w:line="260" w:lineRule="exact"/>
        <w:ind w:left="852" w:hanging="426"/>
        <w:jc w:val="both"/>
        <w:rPr>
          <w:rFonts w:cs="Arial"/>
          <w:b/>
          <w:szCs w:val="20"/>
        </w:rPr>
      </w:pPr>
      <w:r w:rsidRPr="005E4BEA">
        <w:rPr>
          <w:rFonts w:cs="Arial"/>
          <w:szCs w:val="20"/>
        </w:rPr>
        <w:t xml:space="preserve">3.2. Če izvajalec v dejavnostih kardiologije in vaskularne medicine, urologije ter ortopedije ne doseže vsaj 90 % minimalnega števila prvih pregledov </w:t>
      </w:r>
      <w:r w:rsidRPr="005E4BEA">
        <w:rPr>
          <w:rFonts w:cs="Arial"/>
          <w:strike/>
          <w:szCs w:val="20"/>
        </w:rPr>
        <w:t xml:space="preserve">in ima hkrati čakajoče nad dopustno čakalno dobo v sistemu </w:t>
      </w:r>
      <w:proofErr w:type="spellStart"/>
      <w:r w:rsidRPr="005E4BEA">
        <w:rPr>
          <w:rFonts w:cs="Arial"/>
          <w:strike/>
          <w:szCs w:val="20"/>
        </w:rPr>
        <w:t>eNaročanje</w:t>
      </w:r>
      <w:proofErr w:type="spellEnd"/>
      <w:r w:rsidRPr="005E4BEA">
        <w:rPr>
          <w:rFonts w:cs="Arial"/>
          <w:strike/>
          <w:szCs w:val="20"/>
        </w:rPr>
        <w:t xml:space="preserve"> na dan 31. 12.</w:t>
      </w:r>
      <w:r w:rsidRPr="005E4BEA">
        <w:rPr>
          <w:rFonts w:cs="Arial"/>
          <w:szCs w:val="20"/>
        </w:rPr>
        <w:t xml:space="preserve">, se mu pri končnem letnem obračunu prizna do 10 % presežene realizacije točk nad planom iz pogodbe. </w:t>
      </w:r>
      <w:r w:rsidRPr="005E4BEA">
        <w:rPr>
          <w:rFonts w:cs="Arial"/>
          <w:strike/>
          <w:szCs w:val="20"/>
        </w:rPr>
        <w:t>Podatek o številu čakajočih nad dopustno čakalno dobo po posameznih dejavnostih za posameznega izvajalca do 15. 1. pripravi NIJZ.</w:t>
      </w:r>
    </w:p>
    <w:p w14:paraId="2DABBE5E" w14:textId="77777777" w:rsidR="00FE461F" w:rsidRPr="005E4BEA" w:rsidRDefault="00FE461F" w:rsidP="00FE461F">
      <w:pPr>
        <w:spacing w:line="312" w:lineRule="auto"/>
        <w:rPr>
          <w:rFonts w:cs="Arial"/>
          <w:b/>
          <w:szCs w:val="20"/>
        </w:rPr>
      </w:pPr>
    </w:p>
    <w:p w14:paraId="30B2E009" w14:textId="77777777" w:rsidR="00FE461F" w:rsidRPr="005E4BEA" w:rsidRDefault="00FE461F" w:rsidP="00FE461F">
      <w:pPr>
        <w:spacing w:line="240" w:lineRule="auto"/>
        <w:rPr>
          <w:rFonts w:eastAsia="Calibri" w:cs="Arial"/>
          <w:b/>
          <w:bCs/>
          <w:i/>
          <w:iCs/>
          <w:color w:val="7F7F7F" w:themeColor="text1" w:themeTint="80"/>
          <w:szCs w:val="20"/>
          <w:u w:val="single"/>
        </w:rPr>
      </w:pPr>
      <w:r w:rsidRPr="005E4BEA">
        <w:rPr>
          <w:rFonts w:eastAsia="Calibri" w:cs="Arial"/>
          <w:b/>
          <w:bCs/>
          <w:i/>
          <w:iCs/>
          <w:color w:val="7F7F7F" w:themeColor="text1" w:themeTint="80"/>
          <w:szCs w:val="20"/>
          <w:u w:val="single"/>
        </w:rPr>
        <w:t>Obrazložitev:</w:t>
      </w:r>
    </w:p>
    <w:p w14:paraId="5949827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lastRenderedPageBreak/>
        <w:t xml:space="preserve">Izvajalci zelo težko vplivamo na število čakajočih nad dopustno čakalno dobo v sistemu </w:t>
      </w:r>
      <w:proofErr w:type="spellStart"/>
      <w:r w:rsidRPr="005E4BEA">
        <w:rPr>
          <w:rFonts w:cs="Arial"/>
          <w:color w:val="808080" w:themeColor="background1" w:themeShade="80"/>
          <w:szCs w:val="20"/>
        </w:rPr>
        <w:t>eNaročanje</w:t>
      </w:r>
      <w:proofErr w:type="spellEnd"/>
      <w:r w:rsidRPr="005E4BEA">
        <w:rPr>
          <w:rFonts w:cs="Arial"/>
          <w:color w:val="808080" w:themeColor="background1" w:themeShade="80"/>
          <w:szCs w:val="20"/>
        </w:rPr>
        <w:t xml:space="preserve"> na dan 31. 12.. Kljub temu, da se ob višji realizaciji programa čakalna doba pri izvajalcu skrajša, se prav zaradi krajšanja čakalne dobe, vpis novih pacientov bistveno poveča. Mesečni pritok novih pacientov k izvajalcu je višji od števila pacientov,  ki jih lahko pregledajo posamezni izvajalci zdravstvene dejavnosti. Zgoraj naveden pogoj omejuje plačilo programa po realizaciji, ki je višji od 10 %. Predlagamo črtanje pogoja.</w:t>
      </w:r>
    </w:p>
    <w:p w14:paraId="741F478D" w14:textId="7C71E6D7" w:rsidR="00FE461F" w:rsidRPr="005E4BEA" w:rsidRDefault="00FE461F" w:rsidP="00FE461F">
      <w:pPr>
        <w:spacing w:line="240" w:lineRule="auto"/>
        <w:jc w:val="both"/>
        <w:rPr>
          <w:rFonts w:cs="Arial"/>
          <w:szCs w:val="20"/>
        </w:rPr>
      </w:pPr>
    </w:p>
    <w:p w14:paraId="38B1C556" w14:textId="16EC3834" w:rsidR="00933478" w:rsidRPr="005E4BEA" w:rsidRDefault="00933478" w:rsidP="00FE461F">
      <w:pPr>
        <w:spacing w:line="240" w:lineRule="auto"/>
        <w:jc w:val="both"/>
        <w:rPr>
          <w:rFonts w:cs="Arial"/>
          <w:szCs w:val="20"/>
        </w:rPr>
      </w:pPr>
    </w:p>
    <w:p w14:paraId="605FC3A8"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4E1DB66" w14:textId="77777777" w:rsidR="00933478" w:rsidRPr="005E4BEA" w:rsidRDefault="00933478" w:rsidP="00933478">
      <w:pPr>
        <w:spacing w:line="0" w:lineRule="atLeast"/>
        <w:jc w:val="both"/>
        <w:rPr>
          <w:rFonts w:eastAsia="Arial Narrow" w:cs="Arial"/>
          <w:szCs w:val="20"/>
          <w:lang w:eastAsia="sl-SI"/>
        </w:rPr>
      </w:pPr>
    </w:p>
    <w:p w14:paraId="77AAA9F3" w14:textId="05A36795"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59" w:name="_Hlk102484940"/>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III/c </w:t>
      </w:r>
      <w:r w:rsidRPr="005E4BEA">
        <w:rPr>
          <w:rFonts w:eastAsiaTheme="minorHAnsi" w:cs="Arial"/>
          <w:bCs/>
          <w:szCs w:val="20"/>
        </w:rPr>
        <w:t>Splošnega dogovora ne spremeni.</w:t>
      </w:r>
    </w:p>
    <w:bookmarkEnd w:id="159"/>
    <w:p w14:paraId="7D69E73C" w14:textId="62D8D657" w:rsidR="00933478" w:rsidRPr="005E4BEA" w:rsidRDefault="00933478" w:rsidP="00933478">
      <w:pPr>
        <w:spacing w:line="0" w:lineRule="atLeast"/>
        <w:contextualSpacing/>
        <w:jc w:val="both"/>
        <w:rPr>
          <w:rFonts w:eastAsiaTheme="minorHAnsi" w:cs="Arial"/>
          <w:bCs/>
          <w:szCs w:val="20"/>
        </w:rPr>
      </w:pPr>
    </w:p>
    <w:p w14:paraId="15F18937" w14:textId="7B1C412B" w:rsidR="00933478" w:rsidRPr="005E4BEA" w:rsidRDefault="00933478" w:rsidP="00F356C9">
      <w:pPr>
        <w:pStyle w:val="Naslov2"/>
        <w:numPr>
          <w:ilvl w:val="0"/>
          <w:numId w:val="79"/>
        </w:numPr>
        <w:ind w:left="0" w:firstLine="0"/>
        <w:rPr>
          <w:rFonts w:ascii="Arial" w:eastAsia="Arial Narrow" w:hAnsi="Arial" w:cs="Arial"/>
          <w:sz w:val="20"/>
        </w:rPr>
      </w:pPr>
      <w:bookmarkStart w:id="160" w:name="_Hlk95994199"/>
      <w:r w:rsidRPr="005E4BEA">
        <w:rPr>
          <w:rFonts w:ascii="Arial" w:eastAsia="Arial Narrow" w:hAnsi="Arial" w:cs="Arial"/>
          <w:sz w:val="20"/>
        </w:rPr>
        <w:t>SPORNO VPRAŠANJE (135)</w:t>
      </w:r>
    </w:p>
    <w:p w14:paraId="6E29BB06" w14:textId="77777777" w:rsidR="00933478" w:rsidRPr="005E4BEA" w:rsidRDefault="00933478" w:rsidP="00933478">
      <w:pPr>
        <w:spacing w:line="240" w:lineRule="auto"/>
        <w:jc w:val="both"/>
        <w:rPr>
          <w:rFonts w:eastAsia="Arial Narrow" w:cs="Arial"/>
          <w:bCs/>
          <w:szCs w:val="20"/>
        </w:rPr>
      </w:pPr>
    </w:p>
    <w:p w14:paraId="29E75BF1" w14:textId="08145E5B" w:rsidR="00FE461F" w:rsidRPr="005E4BEA" w:rsidRDefault="00933478" w:rsidP="00FE461F">
      <w:pPr>
        <w:spacing w:line="240" w:lineRule="auto"/>
        <w:jc w:val="both"/>
        <w:rPr>
          <w:rFonts w:eastAsia="Arial Narrow" w:cs="Arial"/>
          <w:szCs w:val="20"/>
        </w:rPr>
      </w:pPr>
      <w:r w:rsidRPr="005E4BEA">
        <w:rPr>
          <w:rFonts w:eastAsia="Arial Narrow" w:cs="Arial"/>
          <w:b/>
          <w:szCs w:val="20"/>
        </w:rPr>
        <w:t>Zavod za zdravstveno zavarovanje Slovenije</w:t>
      </w:r>
      <w:r w:rsidRPr="005E4BEA">
        <w:rPr>
          <w:rFonts w:eastAsia="Arial Narrow" w:cs="Arial"/>
          <w:bCs/>
          <w:szCs w:val="20"/>
        </w:rPr>
        <w:t xml:space="preserve"> </w:t>
      </w:r>
      <w:r w:rsidRPr="005E4BEA">
        <w:rPr>
          <w:rFonts w:eastAsiaTheme="minorHAnsi" w:cs="Arial"/>
          <w:bCs/>
          <w:szCs w:val="20"/>
        </w:rPr>
        <w:t xml:space="preserve">predlaga, da se v </w:t>
      </w:r>
      <w:r w:rsidRPr="005E4BEA">
        <w:rPr>
          <w:rFonts w:eastAsia="MS Mincho" w:cs="Arial"/>
          <w:b/>
          <w:bCs/>
          <w:szCs w:val="20"/>
        </w:rPr>
        <w:t xml:space="preserve"> </w:t>
      </w:r>
      <w:r w:rsidRPr="005E4BEA">
        <w:rPr>
          <w:rFonts w:eastAsia="Arial Narrow" w:cs="Arial"/>
          <w:szCs w:val="20"/>
        </w:rPr>
        <w:t xml:space="preserve">Prilogi ZD </w:t>
      </w:r>
      <w:bookmarkEnd w:id="160"/>
      <w:r w:rsidRPr="005E4BEA">
        <w:rPr>
          <w:rFonts w:eastAsia="Arial Narrow" w:cs="Arial"/>
          <w:szCs w:val="20"/>
        </w:rPr>
        <w:t xml:space="preserve">ZAS v </w:t>
      </w:r>
      <w:r w:rsidR="00FE461F" w:rsidRPr="005E4BEA">
        <w:rPr>
          <w:rFonts w:eastAsia="Arial Narrow" w:cs="Arial"/>
          <w:szCs w:val="20"/>
        </w:rPr>
        <w:t>29. členu  doda novi 10. odstavek, ki se glasi:</w:t>
      </w:r>
    </w:p>
    <w:p w14:paraId="2BBEFFCD" w14:textId="77777777" w:rsidR="00FE461F" w:rsidRPr="005E4BEA" w:rsidRDefault="00FE461F" w:rsidP="00FE461F">
      <w:pPr>
        <w:spacing w:line="240" w:lineRule="auto"/>
        <w:jc w:val="both"/>
        <w:rPr>
          <w:rFonts w:cs="Arial"/>
          <w:szCs w:val="20"/>
        </w:rPr>
      </w:pPr>
      <w:r w:rsidRPr="005E4BEA">
        <w:rPr>
          <w:rFonts w:cs="Arial"/>
          <w:szCs w:val="20"/>
        </w:rPr>
        <w:t>»(10)</w:t>
      </w:r>
      <w:r w:rsidRPr="005E4BEA">
        <w:rPr>
          <w:rFonts w:cs="Arial"/>
          <w:b/>
          <w:bCs/>
          <w:szCs w:val="20"/>
        </w:rPr>
        <w:t xml:space="preserve"> </w:t>
      </w:r>
      <w:r w:rsidRPr="005E4BEA">
        <w:rPr>
          <w:rFonts w:cs="Arial"/>
          <w:szCs w:val="20"/>
        </w:rPr>
        <w:t>Za izvajanje programov NIJZ iz tega člena se sredstva zagotovijo iz proračuna RS.«</w:t>
      </w:r>
    </w:p>
    <w:p w14:paraId="59681E62" w14:textId="77777777" w:rsidR="00FE461F" w:rsidRPr="005E4BEA" w:rsidRDefault="00FE461F" w:rsidP="00FE461F">
      <w:pPr>
        <w:spacing w:line="240" w:lineRule="exact"/>
        <w:jc w:val="both"/>
        <w:rPr>
          <w:rFonts w:cs="Arial"/>
          <w:b/>
          <w:bCs/>
          <w:szCs w:val="20"/>
        </w:rPr>
      </w:pPr>
    </w:p>
    <w:p w14:paraId="0A627750" w14:textId="77777777" w:rsidR="00FE461F" w:rsidRPr="005E4BEA" w:rsidRDefault="00FE461F" w:rsidP="00FE461F">
      <w:pPr>
        <w:spacing w:after="60" w:line="240" w:lineRule="auto"/>
        <w:jc w:val="both"/>
        <w:rPr>
          <w:rFonts w:cs="Arial"/>
          <w:b/>
          <w:bCs/>
          <w:szCs w:val="20"/>
        </w:rPr>
      </w:pPr>
      <w:r w:rsidRPr="005E4BEA">
        <w:rPr>
          <w:rFonts w:cs="Arial"/>
          <w:b/>
          <w:bCs/>
          <w:szCs w:val="20"/>
        </w:rPr>
        <w:t>V Prilogi ZD ZAS-5a se pod tabelo »Upravljanje programa SVIT« doda opomba, ki se glasi:</w:t>
      </w:r>
    </w:p>
    <w:p w14:paraId="7E87E624" w14:textId="77777777" w:rsidR="00FE461F" w:rsidRPr="005E4BEA" w:rsidRDefault="00FE461F" w:rsidP="00FE461F">
      <w:pPr>
        <w:spacing w:line="240" w:lineRule="auto"/>
        <w:jc w:val="both"/>
        <w:rPr>
          <w:rFonts w:cs="Arial"/>
          <w:szCs w:val="20"/>
        </w:rPr>
      </w:pPr>
      <w:r w:rsidRPr="005E4BEA">
        <w:rPr>
          <w:rFonts w:cs="Arial"/>
          <w:szCs w:val="20"/>
        </w:rPr>
        <w:t>»Sredstva za pokrivanje stroškov managementa se zagotovijo iz proračuna RS.«</w:t>
      </w:r>
    </w:p>
    <w:p w14:paraId="3E94E81E" w14:textId="77777777" w:rsidR="00FE461F" w:rsidRPr="005E4BEA" w:rsidRDefault="00FE461F" w:rsidP="00FE461F">
      <w:pPr>
        <w:spacing w:after="60" w:line="240" w:lineRule="auto"/>
        <w:jc w:val="both"/>
        <w:rPr>
          <w:rFonts w:cs="Arial"/>
          <w:color w:val="7F7F7F" w:themeColor="text1" w:themeTint="80"/>
          <w:szCs w:val="20"/>
          <w:u w:val="single"/>
        </w:rPr>
      </w:pPr>
    </w:p>
    <w:p w14:paraId="7199963F" w14:textId="77777777" w:rsidR="00FE461F" w:rsidRPr="005E4BEA" w:rsidRDefault="00FE461F" w:rsidP="00FE461F">
      <w:pPr>
        <w:spacing w:after="60" w:line="240" w:lineRule="auto"/>
        <w:jc w:val="both"/>
        <w:rPr>
          <w:rFonts w:cs="Arial"/>
          <w:szCs w:val="20"/>
        </w:rPr>
      </w:pPr>
      <w:r w:rsidRPr="005E4BEA">
        <w:rPr>
          <w:rFonts w:cs="Arial"/>
          <w:szCs w:val="20"/>
        </w:rPr>
        <w:t>Spremembi veljata od 1. 1. 2023 naprej.</w:t>
      </w:r>
    </w:p>
    <w:p w14:paraId="2C25D670" w14:textId="77777777" w:rsidR="00FE461F" w:rsidRPr="005E4BEA" w:rsidRDefault="00FE461F" w:rsidP="00FE461F">
      <w:pPr>
        <w:spacing w:after="60" w:line="240" w:lineRule="auto"/>
        <w:jc w:val="both"/>
        <w:rPr>
          <w:rFonts w:cs="Arial"/>
          <w:color w:val="7F7F7F" w:themeColor="text1" w:themeTint="80"/>
          <w:szCs w:val="20"/>
          <w:u w:val="single"/>
        </w:rPr>
      </w:pPr>
    </w:p>
    <w:p w14:paraId="42A061BA"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1DD1EAA6"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predlaga, da se iz proračuna RS zagotovi financiranje priprave programov promocije zdravja in preventive kroničnih nenalezljivih bolezni, koordiniranje, vodenje in spremljanje nacionalnega programa primarne preventive srčno-žilnih bolezni in programov vzgoje za zdravje, ki se izvajajo v okviru primarne zdravstvene dejavnosti, program zmanjšanja škode drog ter koordinacija in upravljanje implementacije centrov za duševno zdravje, kakor tudi zdravstveno vzgojna gradiva in stroški managementa programa SVIT.</w:t>
      </w:r>
    </w:p>
    <w:p w14:paraId="1923A020"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06C2997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Zavod je navedene programe doslej plačeval na podlagi sklepov Vlade R Slovenije o spornih vprašanjih Dogovora iz preteklih let, in sicer kljub temu, da bi jih, glede na določbe 7. člena ZZVZZ, morala financirati Republika Slovenija iz proračuna. V tej povezavi bi zlasti izpostavili naslednje določbe 7. člena ZZVZZ: »Republika Slovenija iz proračuna zagotavlja sredstva za:</w:t>
      </w:r>
    </w:p>
    <w:p w14:paraId="7286E3D0" w14:textId="77777777" w:rsidR="00FE461F" w:rsidRPr="005E4BEA" w:rsidRDefault="00FE461F" w:rsidP="00F356C9">
      <w:pPr>
        <w:numPr>
          <w:ilvl w:val="0"/>
          <w:numId w:val="54"/>
        </w:num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spremljanje in proučevanje zdravstvenega stanja in ravni zdravja prebivalstva, skupaj z dejavniki tveganja, ki vplivajo na zdravje;</w:t>
      </w:r>
    </w:p>
    <w:p w14:paraId="3BDEA47D" w14:textId="77777777" w:rsidR="00FE461F" w:rsidRPr="005E4BEA" w:rsidRDefault="00FE461F" w:rsidP="00F356C9">
      <w:pPr>
        <w:numPr>
          <w:ilvl w:val="0"/>
          <w:numId w:val="54"/>
        </w:num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oblikovanje ukrepov za izboljšanje zdravja, spremljanje, izvajanje in ocenjevanje učinkovitosti teh ukrepov s pripravo predlogov za izboljšanje;</w:t>
      </w:r>
    </w:p>
    <w:p w14:paraId="6759280C" w14:textId="77777777" w:rsidR="00FE461F" w:rsidRPr="005E4BEA" w:rsidRDefault="00FE461F" w:rsidP="00F356C9">
      <w:pPr>
        <w:numPr>
          <w:ilvl w:val="0"/>
          <w:numId w:val="54"/>
        </w:num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dejavnost javnega zdravja, pomembno za vso državo.«</w:t>
      </w:r>
    </w:p>
    <w:p w14:paraId="62624FFD"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70A391DF"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Vsebina dejavnosti javnega zdravja je podrobneje opredeljena v posebnem poglavju ZZDej »Dejavnost javnega zdravja«, zlasti pa v 22. členu. Naloge NIJZ pa so določene v 23.a členu ZZDej in vključujejo prav vse naštete aktivnosti, ki se sedaj financirajo iz sredstev obveznega zdravstvenega zavarovanja namesto iz proračuna Republike Slovenije. </w:t>
      </w:r>
    </w:p>
    <w:p w14:paraId="4E20069B" w14:textId="77777777" w:rsidR="00FE461F" w:rsidRPr="005E4BEA" w:rsidRDefault="00FE461F" w:rsidP="00FE461F">
      <w:pPr>
        <w:spacing w:line="120" w:lineRule="auto"/>
        <w:jc w:val="both"/>
        <w:rPr>
          <w:rFonts w:cs="Arial"/>
          <w:color w:val="808080" w:themeColor="background1" w:themeShade="80"/>
          <w:szCs w:val="20"/>
        </w:rPr>
      </w:pPr>
    </w:p>
    <w:p w14:paraId="3DAA460B" w14:textId="5DF135CA"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Na podlagi navedenega Zavod predlaga, da se za izvajanje nalog NIJZ zagotovijo sredstva iz proračuna Republike Slovenije, sredstva obveznega zdravstvenega zavarovanja </w:t>
      </w:r>
      <w:r w:rsidRPr="005E4BEA">
        <w:rPr>
          <w:rFonts w:eastAsiaTheme="minorHAnsi" w:cs="Arial"/>
          <w:b/>
          <w:bCs/>
          <w:i/>
          <w:color w:val="808080" w:themeColor="background1" w:themeShade="80"/>
          <w:szCs w:val="20"/>
        </w:rPr>
        <w:t>v višini 3.103.929 evrov</w:t>
      </w:r>
      <w:r w:rsidRPr="005E4BEA">
        <w:rPr>
          <w:rFonts w:eastAsiaTheme="minorHAnsi" w:cs="Arial"/>
          <w:i/>
          <w:color w:val="808080" w:themeColor="background1" w:themeShade="80"/>
          <w:szCs w:val="20"/>
        </w:rPr>
        <w:t xml:space="preserve"> pa se namenijo za financiranje zdravstvenih storitev.</w:t>
      </w:r>
    </w:p>
    <w:p w14:paraId="09A9719C" w14:textId="44781E60" w:rsidR="00933478" w:rsidRPr="005E4BEA" w:rsidRDefault="00933478" w:rsidP="00FE461F">
      <w:pPr>
        <w:spacing w:line="240" w:lineRule="auto"/>
        <w:jc w:val="both"/>
        <w:rPr>
          <w:rFonts w:eastAsiaTheme="minorHAnsi" w:cs="Arial"/>
          <w:i/>
          <w:color w:val="808080" w:themeColor="background1" w:themeShade="80"/>
          <w:szCs w:val="20"/>
        </w:rPr>
      </w:pPr>
    </w:p>
    <w:p w14:paraId="4F322543" w14:textId="77777777" w:rsidR="00933478" w:rsidRPr="005E4BEA" w:rsidRDefault="00933478" w:rsidP="00FE461F">
      <w:pPr>
        <w:spacing w:line="240" w:lineRule="auto"/>
        <w:jc w:val="both"/>
        <w:rPr>
          <w:rFonts w:cs="Arial"/>
          <w:i/>
          <w:color w:val="808080" w:themeColor="background1" w:themeShade="80"/>
          <w:szCs w:val="20"/>
        </w:rPr>
      </w:pPr>
    </w:p>
    <w:p w14:paraId="51CC53C1"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26B5F9D8" w14:textId="77777777" w:rsidR="00933478" w:rsidRPr="005E4BEA" w:rsidRDefault="00933478" w:rsidP="00933478">
      <w:pPr>
        <w:spacing w:line="0" w:lineRule="atLeast"/>
        <w:jc w:val="both"/>
        <w:rPr>
          <w:rFonts w:eastAsia="Arial Narrow" w:cs="Arial"/>
          <w:szCs w:val="20"/>
          <w:lang w:eastAsia="sl-SI"/>
        </w:rPr>
      </w:pPr>
    </w:p>
    <w:p w14:paraId="2E3E8812"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2FF6E1A6" w14:textId="77777777" w:rsidR="00933478" w:rsidRPr="005E4BEA" w:rsidRDefault="00933478" w:rsidP="00933478">
      <w:pPr>
        <w:spacing w:line="0" w:lineRule="atLeast"/>
        <w:contextualSpacing/>
        <w:jc w:val="both"/>
        <w:rPr>
          <w:rFonts w:eastAsiaTheme="minorHAnsi" w:cs="Arial"/>
          <w:bCs/>
          <w:szCs w:val="20"/>
        </w:rPr>
      </w:pPr>
    </w:p>
    <w:p w14:paraId="59C1A15E" w14:textId="77777777" w:rsidR="00933478" w:rsidRPr="005E4BEA" w:rsidRDefault="00933478" w:rsidP="00933478">
      <w:pPr>
        <w:spacing w:line="0" w:lineRule="atLeast"/>
        <w:contextualSpacing/>
        <w:jc w:val="both"/>
        <w:rPr>
          <w:rFonts w:eastAsiaTheme="minorHAnsi" w:cs="Arial"/>
          <w:bCs/>
          <w:szCs w:val="20"/>
        </w:rPr>
      </w:pPr>
    </w:p>
    <w:p w14:paraId="745876CD" w14:textId="75973256"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(136)</w:t>
      </w:r>
    </w:p>
    <w:p w14:paraId="00D286A5" w14:textId="77777777" w:rsidR="00933478" w:rsidRPr="005E4BEA" w:rsidRDefault="00933478" w:rsidP="00933478">
      <w:pPr>
        <w:spacing w:line="240" w:lineRule="auto"/>
        <w:jc w:val="both"/>
        <w:rPr>
          <w:rFonts w:eastAsia="Arial Narrow" w:cs="Arial"/>
          <w:bCs/>
          <w:szCs w:val="20"/>
        </w:rPr>
      </w:pPr>
    </w:p>
    <w:p w14:paraId="4D28B152" w14:textId="5ABD68CE" w:rsidR="00FE461F" w:rsidRPr="005E4BEA" w:rsidRDefault="00933478" w:rsidP="00933478">
      <w:pPr>
        <w:spacing w:line="240" w:lineRule="exact"/>
        <w:jc w:val="both"/>
        <w:rPr>
          <w:rFonts w:cs="Arial"/>
          <w:color w:val="808080" w:themeColor="background1" w:themeShade="80"/>
          <w:szCs w:val="20"/>
        </w:rPr>
      </w:pPr>
      <w:r w:rsidRPr="005E4BEA">
        <w:rPr>
          <w:rFonts w:eastAsia="Arial Narrow" w:cs="Arial"/>
          <w:b/>
          <w:szCs w:val="20"/>
        </w:rPr>
        <w:t>Zavod za zdravstveno zavarovanje Slovenije</w:t>
      </w:r>
      <w:r w:rsidRPr="005E4BEA">
        <w:rPr>
          <w:rFonts w:eastAsia="Arial Narrow" w:cs="Arial"/>
          <w:bCs/>
          <w:szCs w:val="20"/>
        </w:rPr>
        <w:t xml:space="preserve"> </w:t>
      </w:r>
      <w:r w:rsidRPr="005E4BEA">
        <w:rPr>
          <w:rFonts w:eastAsiaTheme="minorHAnsi" w:cs="Arial"/>
          <w:bCs/>
          <w:szCs w:val="20"/>
        </w:rPr>
        <w:t xml:space="preserve">predlaga, da se v </w:t>
      </w:r>
      <w:r w:rsidRPr="005E4BEA">
        <w:rPr>
          <w:rFonts w:eastAsia="MS Mincho" w:cs="Arial"/>
          <w:b/>
          <w:bCs/>
          <w:szCs w:val="20"/>
        </w:rPr>
        <w:t xml:space="preserve"> </w:t>
      </w:r>
      <w:r w:rsidRPr="005E4BEA">
        <w:rPr>
          <w:rFonts w:eastAsia="Arial Narrow" w:cs="Arial"/>
          <w:szCs w:val="20"/>
        </w:rPr>
        <w:t xml:space="preserve">Prilogi ZD ZAS </w:t>
      </w:r>
      <w:r w:rsidR="00FE461F" w:rsidRPr="005E4BEA">
        <w:rPr>
          <w:rFonts w:eastAsia="Arial Narrow" w:cs="Arial"/>
          <w:szCs w:val="20"/>
        </w:rPr>
        <w:t>v 32. členu (3) odstavek spremeni tako, da se glasi:</w:t>
      </w:r>
    </w:p>
    <w:p w14:paraId="2D2765FD" w14:textId="77777777" w:rsidR="00FE461F" w:rsidRPr="005E4BEA" w:rsidRDefault="00FE461F" w:rsidP="00FE461F">
      <w:pPr>
        <w:spacing w:line="240" w:lineRule="auto"/>
        <w:jc w:val="both"/>
        <w:rPr>
          <w:rFonts w:cs="Arial"/>
          <w:szCs w:val="20"/>
        </w:rPr>
      </w:pPr>
      <w:r w:rsidRPr="005E4BEA">
        <w:rPr>
          <w:rFonts w:cs="Arial"/>
          <w:szCs w:val="20"/>
        </w:rPr>
        <w:t xml:space="preserve">»(3) Sredstva za </w:t>
      </w:r>
      <w:bookmarkStart w:id="161" w:name="_Hlk44668201"/>
      <w:r w:rsidRPr="005E4BEA">
        <w:rPr>
          <w:rFonts w:cs="Arial"/>
          <w:szCs w:val="20"/>
        </w:rPr>
        <w:t xml:space="preserve">delovanje Centralne </w:t>
      </w:r>
      <w:proofErr w:type="spellStart"/>
      <w:r w:rsidRPr="005E4BEA">
        <w:rPr>
          <w:rFonts w:cs="Arial"/>
          <w:szCs w:val="20"/>
        </w:rPr>
        <w:t>upravljaljske</w:t>
      </w:r>
      <w:proofErr w:type="spellEnd"/>
      <w:r w:rsidRPr="005E4BEA">
        <w:rPr>
          <w:rFonts w:cs="Arial"/>
          <w:szCs w:val="20"/>
        </w:rPr>
        <w:t xml:space="preserve"> enote </w:t>
      </w:r>
      <w:bookmarkEnd w:id="161"/>
      <w:r w:rsidRPr="005E4BEA">
        <w:rPr>
          <w:rFonts w:cs="Arial"/>
          <w:szCs w:val="20"/>
        </w:rPr>
        <w:t xml:space="preserve">DORA za izvajanje nalog iz prejšnjega odstavka tega člena se zagotovijo iz proračuna RS. Sredstva so namenska, za pokrivanje stroškov delovanja Centralne </w:t>
      </w:r>
      <w:proofErr w:type="spellStart"/>
      <w:r w:rsidRPr="005E4BEA">
        <w:rPr>
          <w:rFonts w:cs="Arial"/>
          <w:szCs w:val="20"/>
        </w:rPr>
        <w:t>upravljaljske</w:t>
      </w:r>
      <w:proofErr w:type="spellEnd"/>
      <w:r w:rsidRPr="005E4BEA">
        <w:rPr>
          <w:rFonts w:cs="Arial"/>
          <w:szCs w:val="20"/>
        </w:rPr>
        <w:t xml:space="preserve"> enote.«</w:t>
      </w:r>
    </w:p>
    <w:p w14:paraId="5B807486" w14:textId="77777777" w:rsidR="00FE461F" w:rsidRPr="005E4BEA" w:rsidRDefault="00FE461F" w:rsidP="00FE461F">
      <w:pPr>
        <w:spacing w:line="240" w:lineRule="auto"/>
        <w:jc w:val="both"/>
        <w:rPr>
          <w:rFonts w:cs="Arial"/>
          <w:color w:val="808080" w:themeColor="background1" w:themeShade="80"/>
          <w:szCs w:val="20"/>
          <w:u w:val="single"/>
        </w:rPr>
      </w:pPr>
    </w:p>
    <w:p w14:paraId="6A031BCF" w14:textId="77777777" w:rsidR="00FE461F" w:rsidRPr="005E4BEA" w:rsidRDefault="00FE461F" w:rsidP="00FE461F">
      <w:pPr>
        <w:spacing w:after="60" w:line="240" w:lineRule="auto"/>
        <w:jc w:val="both"/>
        <w:rPr>
          <w:rFonts w:cs="Arial"/>
          <w:b/>
          <w:bCs/>
          <w:szCs w:val="20"/>
        </w:rPr>
      </w:pPr>
      <w:r w:rsidRPr="005E4BEA">
        <w:rPr>
          <w:rFonts w:cs="Arial"/>
          <w:b/>
          <w:bCs/>
          <w:szCs w:val="20"/>
        </w:rPr>
        <w:t>V Prilogi ZD ZAS v 33. členu se (1) odstavek spremeni tako, da se glasi:</w:t>
      </w:r>
    </w:p>
    <w:p w14:paraId="144EB9F4" w14:textId="77777777" w:rsidR="00FE461F" w:rsidRPr="005E4BEA" w:rsidRDefault="00FE461F" w:rsidP="00FE461F">
      <w:pPr>
        <w:spacing w:line="240" w:lineRule="auto"/>
        <w:jc w:val="both"/>
        <w:rPr>
          <w:rFonts w:cs="Arial"/>
          <w:color w:val="000000"/>
          <w:szCs w:val="20"/>
        </w:rPr>
      </w:pPr>
      <w:r w:rsidRPr="005E4BEA">
        <w:rPr>
          <w:rFonts w:cs="Arial"/>
          <w:szCs w:val="20"/>
        </w:rPr>
        <w:t xml:space="preserve">»(1) Onkološkemu inštitutu Ljubljana se sredstva za delovanje </w:t>
      </w:r>
      <w:r w:rsidRPr="005E4BEA">
        <w:rPr>
          <w:rFonts w:cs="Arial"/>
          <w:color w:val="000000"/>
          <w:szCs w:val="20"/>
        </w:rPr>
        <w:t xml:space="preserve">Registra ZORA, ki </w:t>
      </w:r>
      <w:r w:rsidRPr="005E4BEA">
        <w:rPr>
          <w:rFonts w:cs="Arial"/>
          <w:szCs w:val="20"/>
        </w:rPr>
        <w:t>izvaja promocijo, spremljanje, vodenje in koordinacijo preventivnega programa</w:t>
      </w:r>
      <w:r w:rsidRPr="005E4BEA">
        <w:rPr>
          <w:rFonts w:cs="Arial"/>
          <w:color w:val="000000"/>
          <w:szCs w:val="20"/>
        </w:rPr>
        <w:t xml:space="preserve">, zagotovijo iz proračuna RS. Sredstva so namenska. Sredstva so namenjena za plače (vodja registra ZORA, dipl. med. sestra, epidemiolog in analitik) in materialne stroške (za </w:t>
      </w:r>
      <w:proofErr w:type="spellStart"/>
      <w:r w:rsidRPr="005E4BEA">
        <w:rPr>
          <w:rFonts w:cs="Arial"/>
          <w:color w:val="000000"/>
          <w:szCs w:val="20"/>
        </w:rPr>
        <w:t>podjemne</w:t>
      </w:r>
      <w:proofErr w:type="spellEnd"/>
      <w:r w:rsidRPr="005E4BEA">
        <w:rPr>
          <w:rFonts w:cs="Arial"/>
          <w:color w:val="000000"/>
          <w:szCs w:val="20"/>
        </w:rPr>
        <w:t xml:space="preserve"> pogodbe, izobraževanja in službene poti, tiskovine, promocijo, poštnino in informacijsko podporo). Onkološki inštitut Ljubljana do 15. februarja pošlje poročilo o realizaciji programa in namenski porabi sredstev na obrazcu, ki ga pripravi Zavod.«</w:t>
      </w:r>
    </w:p>
    <w:p w14:paraId="2B4092BE" w14:textId="77777777" w:rsidR="00FE461F" w:rsidRPr="005E4BEA" w:rsidRDefault="00FE461F" w:rsidP="00FE461F">
      <w:pPr>
        <w:spacing w:before="120" w:after="60" w:line="240" w:lineRule="auto"/>
        <w:jc w:val="both"/>
        <w:rPr>
          <w:rFonts w:cs="Arial"/>
          <w:szCs w:val="20"/>
        </w:rPr>
      </w:pPr>
      <w:r w:rsidRPr="005E4BEA">
        <w:rPr>
          <w:rFonts w:cs="Arial"/>
          <w:szCs w:val="20"/>
        </w:rPr>
        <w:t>Spremembi veljata od 1. 1. 2023 naprej.</w:t>
      </w:r>
    </w:p>
    <w:p w14:paraId="674A5957"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2A524209"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30BC2E89" w14:textId="77777777" w:rsidR="00FE461F" w:rsidRPr="005E4BEA" w:rsidRDefault="00FE461F" w:rsidP="00FE461F">
      <w:p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 xml:space="preserve">Zavod predlaga, da se iz sredstev obveznega zdravstvenega izloči plačevanje </w:t>
      </w:r>
      <w:bookmarkStart w:id="162" w:name="_Hlk44668764"/>
      <w:r w:rsidRPr="005E4BEA">
        <w:rPr>
          <w:rFonts w:eastAsiaTheme="minorHAnsi" w:cs="Arial"/>
          <w:i/>
          <w:color w:val="7F7F7F" w:themeColor="text1" w:themeTint="80"/>
          <w:szCs w:val="20"/>
        </w:rPr>
        <w:t xml:space="preserve">Centralne </w:t>
      </w:r>
      <w:proofErr w:type="spellStart"/>
      <w:r w:rsidRPr="005E4BEA">
        <w:rPr>
          <w:rFonts w:eastAsiaTheme="minorHAnsi" w:cs="Arial"/>
          <w:i/>
          <w:color w:val="7F7F7F" w:themeColor="text1" w:themeTint="80"/>
          <w:szCs w:val="20"/>
        </w:rPr>
        <w:t>upravljaljske</w:t>
      </w:r>
      <w:proofErr w:type="spellEnd"/>
      <w:r w:rsidRPr="005E4BEA">
        <w:rPr>
          <w:rFonts w:eastAsiaTheme="minorHAnsi" w:cs="Arial"/>
          <w:i/>
          <w:color w:val="7F7F7F" w:themeColor="text1" w:themeTint="80"/>
          <w:szCs w:val="20"/>
        </w:rPr>
        <w:t xml:space="preserve"> enote Dora ter plačevanje Registra ZORA</w:t>
      </w:r>
      <w:bookmarkEnd w:id="162"/>
      <w:r w:rsidRPr="005E4BEA">
        <w:rPr>
          <w:rFonts w:eastAsiaTheme="minorHAnsi" w:cs="Arial"/>
          <w:i/>
          <w:color w:val="7F7F7F" w:themeColor="text1" w:themeTint="80"/>
          <w:szCs w:val="20"/>
        </w:rPr>
        <w:t>.</w:t>
      </w:r>
    </w:p>
    <w:p w14:paraId="3E51FA63" w14:textId="77777777" w:rsidR="00FE461F" w:rsidRPr="005E4BEA" w:rsidRDefault="00FE461F" w:rsidP="00FE461F">
      <w:p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Navedene aktivnosti bi, glede na določbe 7. člena ZZVZZ, morala financirati Republika Slovenija iz proračuna. V tej povezavi bi zlasti izpostavili naslednje določbe 7. člena ZZVZZ: »Republika Slovenija iz proračuna zagotavlja sredstva za:</w:t>
      </w:r>
    </w:p>
    <w:p w14:paraId="69FF7FC7" w14:textId="77777777" w:rsidR="00FE461F" w:rsidRPr="005E4BEA" w:rsidRDefault="00FE461F" w:rsidP="00F356C9">
      <w:pPr>
        <w:numPr>
          <w:ilvl w:val="0"/>
          <w:numId w:val="55"/>
        </w:num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spremljanje in proučevanje zdravstvenega stanja in ravni zdravja prebivalstva, skupaj z dejavniki tveganja, ki vplivajo na zdravje;</w:t>
      </w:r>
    </w:p>
    <w:p w14:paraId="09D5F101" w14:textId="77777777" w:rsidR="00FE461F" w:rsidRPr="005E4BEA" w:rsidRDefault="00FE461F" w:rsidP="00F356C9">
      <w:pPr>
        <w:numPr>
          <w:ilvl w:val="0"/>
          <w:numId w:val="55"/>
        </w:num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oblikovanje ukrepov za izboljšanje zdravja, spremljanje, izvajanje in ocenjevanje učinkovitosti teh ukrepov s pripravo predlogov za izboljšanje;</w:t>
      </w:r>
    </w:p>
    <w:p w14:paraId="6F8B6291" w14:textId="77777777" w:rsidR="00FE461F" w:rsidRPr="005E4BEA" w:rsidRDefault="00FE461F" w:rsidP="00F356C9">
      <w:pPr>
        <w:numPr>
          <w:ilvl w:val="0"/>
          <w:numId w:val="55"/>
        </w:num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dejavnost javnega zdravja, pomembno za vso državo.«</w:t>
      </w:r>
    </w:p>
    <w:p w14:paraId="51513F26" w14:textId="77777777" w:rsidR="00FE461F" w:rsidRPr="005E4BEA" w:rsidRDefault="00FE461F" w:rsidP="00FE461F">
      <w:pPr>
        <w:spacing w:line="240" w:lineRule="auto"/>
        <w:jc w:val="both"/>
        <w:rPr>
          <w:rFonts w:eastAsiaTheme="minorHAnsi" w:cs="Arial"/>
          <w:i/>
          <w:color w:val="7F7F7F" w:themeColor="text1" w:themeTint="80"/>
          <w:szCs w:val="20"/>
        </w:rPr>
      </w:pPr>
      <w:r w:rsidRPr="005E4BEA">
        <w:rPr>
          <w:rFonts w:eastAsiaTheme="minorHAnsi" w:cs="Arial"/>
          <w:i/>
          <w:color w:val="7F7F7F" w:themeColor="text1" w:themeTint="80"/>
          <w:szCs w:val="20"/>
        </w:rPr>
        <w:t xml:space="preserve">Na podlagi navedenega Zavod predlaga, da se sredstva za izvajanje nalog Centralne </w:t>
      </w:r>
      <w:proofErr w:type="spellStart"/>
      <w:r w:rsidRPr="005E4BEA">
        <w:rPr>
          <w:rFonts w:eastAsiaTheme="minorHAnsi" w:cs="Arial"/>
          <w:i/>
          <w:color w:val="7F7F7F" w:themeColor="text1" w:themeTint="80"/>
          <w:szCs w:val="20"/>
        </w:rPr>
        <w:t>upravljaljske</w:t>
      </w:r>
      <w:proofErr w:type="spellEnd"/>
      <w:r w:rsidRPr="005E4BEA">
        <w:rPr>
          <w:rFonts w:eastAsiaTheme="minorHAnsi" w:cs="Arial"/>
          <w:i/>
          <w:color w:val="7F7F7F" w:themeColor="text1" w:themeTint="80"/>
          <w:szCs w:val="20"/>
        </w:rPr>
        <w:t xml:space="preserve"> enote Dora v višini 791.896 evrov ter sredstva Registra ZORA v višini 878.781 evrov zagotovijo iz proračuna Republike Slovenije. Iz tega naslova sproščena sredstva obveznega zdravstvenega zavarovanja v višini </w:t>
      </w:r>
      <w:r w:rsidRPr="005E4BEA">
        <w:rPr>
          <w:rFonts w:eastAsiaTheme="minorHAnsi" w:cs="Arial"/>
          <w:b/>
          <w:bCs/>
          <w:i/>
          <w:color w:val="7F7F7F" w:themeColor="text1" w:themeTint="80"/>
          <w:szCs w:val="20"/>
        </w:rPr>
        <w:t xml:space="preserve">1.670.677 evrov </w:t>
      </w:r>
      <w:r w:rsidRPr="005E4BEA">
        <w:rPr>
          <w:rFonts w:eastAsiaTheme="minorHAnsi" w:cs="Arial"/>
          <w:i/>
          <w:color w:val="7F7F7F" w:themeColor="text1" w:themeTint="80"/>
          <w:szCs w:val="20"/>
        </w:rPr>
        <w:t>pa se namenijo za financiranje programa zdravstvenih storitev.</w:t>
      </w:r>
    </w:p>
    <w:p w14:paraId="34F072FE" w14:textId="2F6A86BF" w:rsidR="00FE461F" w:rsidRPr="005E4BEA" w:rsidRDefault="00FE461F" w:rsidP="00FE461F">
      <w:pPr>
        <w:widowControl w:val="0"/>
        <w:suppressAutoHyphens/>
        <w:spacing w:line="240" w:lineRule="auto"/>
        <w:jc w:val="both"/>
        <w:rPr>
          <w:rFonts w:eastAsiaTheme="minorHAnsi" w:cs="Arial"/>
          <w:b/>
          <w:szCs w:val="20"/>
        </w:rPr>
      </w:pPr>
    </w:p>
    <w:p w14:paraId="3A17700D"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0326735" w14:textId="77777777" w:rsidR="00933478" w:rsidRPr="005E4BEA" w:rsidRDefault="00933478" w:rsidP="00933478">
      <w:pPr>
        <w:spacing w:line="0" w:lineRule="atLeast"/>
        <w:jc w:val="both"/>
        <w:rPr>
          <w:rFonts w:eastAsia="Arial Narrow" w:cs="Arial"/>
          <w:szCs w:val="20"/>
          <w:lang w:eastAsia="sl-SI"/>
        </w:rPr>
      </w:pPr>
    </w:p>
    <w:p w14:paraId="18AE36D8"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6E7AC718" w14:textId="77777777" w:rsidR="00933478" w:rsidRPr="005E4BEA" w:rsidRDefault="00933478" w:rsidP="00933478">
      <w:pPr>
        <w:spacing w:line="0" w:lineRule="atLeast"/>
        <w:contextualSpacing/>
        <w:jc w:val="both"/>
        <w:rPr>
          <w:rFonts w:eastAsiaTheme="minorHAnsi" w:cs="Arial"/>
          <w:bCs/>
          <w:szCs w:val="20"/>
        </w:rPr>
      </w:pPr>
    </w:p>
    <w:p w14:paraId="7734E09F" w14:textId="77777777" w:rsidR="00933478" w:rsidRPr="005E4BEA" w:rsidRDefault="00933478" w:rsidP="00933478">
      <w:pPr>
        <w:spacing w:line="0" w:lineRule="atLeast"/>
        <w:contextualSpacing/>
        <w:jc w:val="both"/>
        <w:rPr>
          <w:rFonts w:eastAsiaTheme="minorHAnsi" w:cs="Arial"/>
          <w:bCs/>
          <w:szCs w:val="20"/>
        </w:rPr>
      </w:pPr>
    </w:p>
    <w:p w14:paraId="429A2C2C" w14:textId="77777777" w:rsidR="00933478" w:rsidRPr="005E4BEA" w:rsidRDefault="00933478" w:rsidP="00933478">
      <w:pPr>
        <w:spacing w:line="0" w:lineRule="atLeast"/>
        <w:contextualSpacing/>
        <w:jc w:val="both"/>
        <w:rPr>
          <w:rFonts w:eastAsiaTheme="minorHAnsi" w:cs="Arial"/>
          <w:bCs/>
          <w:szCs w:val="20"/>
        </w:rPr>
      </w:pPr>
    </w:p>
    <w:p w14:paraId="2F9D69EE" w14:textId="375C7108"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(137)</w:t>
      </w:r>
    </w:p>
    <w:p w14:paraId="44F5900D" w14:textId="77777777" w:rsidR="00933478" w:rsidRPr="005E4BEA" w:rsidRDefault="00933478" w:rsidP="00933478">
      <w:pPr>
        <w:spacing w:line="240" w:lineRule="auto"/>
        <w:jc w:val="both"/>
        <w:rPr>
          <w:rFonts w:eastAsia="Arial Narrow" w:cs="Arial"/>
          <w:bCs/>
          <w:szCs w:val="20"/>
        </w:rPr>
      </w:pPr>
    </w:p>
    <w:p w14:paraId="34B3D1CF" w14:textId="17BE4319" w:rsidR="00FE461F" w:rsidRPr="005E4BEA" w:rsidRDefault="00933478" w:rsidP="00933478">
      <w:pPr>
        <w:widowControl w:val="0"/>
        <w:suppressAutoHyphens/>
        <w:spacing w:line="240" w:lineRule="auto"/>
        <w:jc w:val="both"/>
        <w:rPr>
          <w:rFonts w:cs="Arial"/>
          <w:b/>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predlaga, da v</w:t>
      </w:r>
      <w:r w:rsidR="00FE461F" w:rsidRPr="005E4BEA">
        <w:rPr>
          <w:rFonts w:cs="Arial"/>
          <w:bCs/>
          <w:szCs w:val="20"/>
        </w:rPr>
        <w:t xml:space="preserve"> 37. členu ZD ZAS SD 2022 v (2) odstavku besedilo spremeni tako, da se glasi</w:t>
      </w:r>
      <w:r w:rsidR="00FE461F" w:rsidRPr="005E4BEA">
        <w:rPr>
          <w:rFonts w:cs="Arial"/>
          <w:b/>
          <w:bCs/>
          <w:szCs w:val="20"/>
        </w:rPr>
        <w:t>:</w:t>
      </w:r>
    </w:p>
    <w:p w14:paraId="7184B854" w14:textId="77777777" w:rsidR="00FE461F" w:rsidRPr="005E4BEA" w:rsidRDefault="00FE461F" w:rsidP="00FE461F">
      <w:pPr>
        <w:spacing w:line="240" w:lineRule="auto"/>
        <w:jc w:val="both"/>
        <w:rPr>
          <w:rFonts w:cs="Arial"/>
          <w:szCs w:val="20"/>
        </w:rPr>
      </w:pPr>
      <w:r w:rsidRPr="005E4BEA">
        <w:rPr>
          <w:rFonts w:cs="Arial"/>
          <w:szCs w:val="20"/>
        </w:rPr>
        <w:t>(2) CDZOM se vzpostavijo postopno, skladno z razpoložljivostjo kadra, do zagotovitve kadra skladno s standardom. Pogoj za pričetek financiranja programa CDZOM je, da izvajalec ob uvedbi programa CDZOM zagotovi minimalno kadrovsko sestavo tima:</w:t>
      </w:r>
    </w:p>
    <w:p w14:paraId="0BA06F52" w14:textId="77777777" w:rsidR="00FE461F" w:rsidRPr="005E4BEA" w:rsidRDefault="00FE461F" w:rsidP="00F356C9">
      <w:pPr>
        <w:numPr>
          <w:ilvl w:val="0"/>
          <w:numId w:val="28"/>
        </w:numPr>
        <w:spacing w:line="240" w:lineRule="auto"/>
        <w:contextualSpacing/>
        <w:jc w:val="both"/>
        <w:rPr>
          <w:rFonts w:cs="Arial"/>
          <w:szCs w:val="20"/>
        </w:rPr>
      </w:pPr>
      <w:r w:rsidRPr="005E4BEA">
        <w:rPr>
          <w:rFonts w:cs="Arial"/>
          <w:szCs w:val="20"/>
        </w:rPr>
        <w:t>specialist otroške in mladostniške psihiatrije (1/2) ali klinični psiholog (1),</w:t>
      </w:r>
    </w:p>
    <w:p w14:paraId="24DB598F" w14:textId="77777777" w:rsidR="00FE461F" w:rsidRPr="005E4BEA" w:rsidRDefault="00FE461F" w:rsidP="00F356C9">
      <w:pPr>
        <w:numPr>
          <w:ilvl w:val="0"/>
          <w:numId w:val="28"/>
        </w:numPr>
        <w:spacing w:line="240" w:lineRule="auto"/>
        <w:contextualSpacing/>
        <w:jc w:val="both"/>
        <w:rPr>
          <w:rFonts w:cs="Arial"/>
          <w:szCs w:val="20"/>
        </w:rPr>
      </w:pPr>
      <w:r w:rsidRPr="005E4BEA">
        <w:rPr>
          <w:rFonts w:cs="Arial"/>
          <w:szCs w:val="20"/>
        </w:rPr>
        <w:t>psiholog (3)*,</w:t>
      </w:r>
    </w:p>
    <w:p w14:paraId="0E078258" w14:textId="77777777" w:rsidR="00FE461F" w:rsidRPr="005E4BEA" w:rsidRDefault="00FE461F" w:rsidP="00F356C9">
      <w:pPr>
        <w:numPr>
          <w:ilvl w:val="0"/>
          <w:numId w:val="28"/>
        </w:numPr>
        <w:spacing w:line="240" w:lineRule="auto"/>
        <w:contextualSpacing/>
        <w:jc w:val="both"/>
        <w:rPr>
          <w:rFonts w:cs="Arial"/>
          <w:szCs w:val="20"/>
        </w:rPr>
      </w:pPr>
      <w:r w:rsidRPr="005E4BEA">
        <w:rPr>
          <w:rFonts w:cs="Arial"/>
          <w:szCs w:val="20"/>
        </w:rPr>
        <w:t>specialni pedagog ali delovni terapevt ali 2 logopeda,</w:t>
      </w:r>
    </w:p>
    <w:p w14:paraId="512010B5" w14:textId="77777777" w:rsidR="00FE461F" w:rsidRPr="005E4BEA" w:rsidRDefault="00FE461F" w:rsidP="00F356C9">
      <w:pPr>
        <w:numPr>
          <w:ilvl w:val="0"/>
          <w:numId w:val="28"/>
        </w:numPr>
        <w:spacing w:line="240" w:lineRule="auto"/>
        <w:contextualSpacing/>
        <w:jc w:val="both"/>
        <w:rPr>
          <w:rFonts w:cs="Arial"/>
          <w:szCs w:val="20"/>
        </w:rPr>
      </w:pPr>
      <w:r w:rsidRPr="005E4BEA">
        <w:rPr>
          <w:rFonts w:cs="Arial"/>
          <w:szCs w:val="20"/>
        </w:rPr>
        <w:t>socialni delavec (1),</w:t>
      </w:r>
    </w:p>
    <w:p w14:paraId="562DC612" w14:textId="77777777" w:rsidR="00FE461F" w:rsidRPr="005E4BEA" w:rsidRDefault="00FE461F" w:rsidP="00F356C9">
      <w:pPr>
        <w:numPr>
          <w:ilvl w:val="0"/>
          <w:numId w:val="28"/>
        </w:numPr>
        <w:spacing w:line="240" w:lineRule="auto"/>
        <w:contextualSpacing/>
        <w:jc w:val="both"/>
        <w:rPr>
          <w:rFonts w:cs="Arial"/>
          <w:szCs w:val="20"/>
          <w:u w:val="single"/>
        </w:rPr>
      </w:pPr>
      <w:r w:rsidRPr="005E4BEA">
        <w:rPr>
          <w:rFonts w:cs="Arial"/>
          <w:szCs w:val="20"/>
        </w:rPr>
        <w:t xml:space="preserve">diplomirana medicinska sestra (DMS) </w:t>
      </w:r>
      <w:r w:rsidRPr="005E4BEA">
        <w:rPr>
          <w:rFonts w:cs="Arial"/>
          <w:szCs w:val="20"/>
          <w:u w:val="single"/>
        </w:rPr>
        <w:t>ali srednja medicinska sestra/tehnik zdravstvene nege (2),</w:t>
      </w:r>
    </w:p>
    <w:p w14:paraId="351483F8" w14:textId="77777777" w:rsidR="00FE461F" w:rsidRPr="005E4BEA" w:rsidRDefault="00FE461F" w:rsidP="00F356C9">
      <w:pPr>
        <w:numPr>
          <w:ilvl w:val="0"/>
          <w:numId w:val="28"/>
        </w:numPr>
        <w:spacing w:line="240" w:lineRule="auto"/>
        <w:contextualSpacing/>
        <w:jc w:val="both"/>
        <w:rPr>
          <w:rFonts w:cs="Arial"/>
          <w:szCs w:val="20"/>
        </w:rPr>
      </w:pPr>
      <w:r w:rsidRPr="005E4BEA">
        <w:rPr>
          <w:rFonts w:cs="Arial"/>
          <w:szCs w:val="20"/>
        </w:rPr>
        <w:lastRenderedPageBreak/>
        <w:t>administrativno tehnični kader (15,27 % kadra).</w:t>
      </w:r>
    </w:p>
    <w:p w14:paraId="6F179C5B" w14:textId="77777777" w:rsidR="00FE461F" w:rsidRPr="005E4BEA" w:rsidRDefault="00FE461F" w:rsidP="00FE461F">
      <w:pPr>
        <w:spacing w:line="240" w:lineRule="auto"/>
        <w:jc w:val="both"/>
        <w:rPr>
          <w:rFonts w:cs="Arial"/>
          <w:szCs w:val="20"/>
        </w:rPr>
      </w:pPr>
      <w:r w:rsidRPr="005E4BEA">
        <w:rPr>
          <w:rFonts w:cs="Arial"/>
          <w:szCs w:val="20"/>
        </w:rPr>
        <w:t>* Zaposleni psihologi vstopajo postopno v specializacijo.</w:t>
      </w:r>
    </w:p>
    <w:p w14:paraId="77D63209" w14:textId="77777777" w:rsidR="00FE461F" w:rsidRPr="005E4BEA" w:rsidRDefault="00FE461F" w:rsidP="00FE461F">
      <w:pPr>
        <w:spacing w:line="240" w:lineRule="auto"/>
        <w:jc w:val="both"/>
        <w:rPr>
          <w:rFonts w:cs="Arial"/>
          <w:szCs w:val="20"/>
        </w:rPr>
      </w:pPr>
      <w:r w:rsidRPr="005E4BEA">
        <w:rPr>
          <w:rFonts w:cs="Arial"/>
          <w:szCs w:val="20"/>
        </w:rPr>
        <w:t>Zdravstvenim domovom na regionalnem območju, ki ga pokriva CDZOM, se priznata dva tima patronažne službe, ko izvajalec vzpostavi program.</w:t>
      </w:r>
    </w:p>
    <w:p w14:paraId="6F4A8185"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1857CE12" w14:textId="77777777"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Glej obrazložitev k spremembi Priloge I SD2022 za kalkulacijo 512 057. </w:t>
      </w:r>
    </w:p>
    <w:p w14:paraId="7B893AAA" w14:textId="77777777" w:rsidR="00FE461F" w:rsidRPr="005E4BEA" w:rsidRDefault="00FE461F" w:rsidP="00FE461F">
      <w:pPr>
        <w:spacing w:line="240" w:lineRule="auto"/>
        <w:jc w:val="both"/>
        <w:rPr>
          <w:rFonts w:cs="Arial"/>
          <w:szCs w:val="20"/>
        </w:rPr>
      </w:pPr>
    </w:p>
    <w:p w14:paraId="5A9C7974" w14:textId="77777777" w:rsidR="00FE461F" w:rsidRPr="005E4BEA" w:rsidRDefault="00FE461F" w:rsidP="00FE461F">
      <w:pPr>
        <w:spacing w:line="240" w:lineRule="auto"/>
        <w:jc w:val="both"/>
        <w:rPr>
          <w:rFonts w:cs="Arial"/>
          <w:b/>
          <w:bCs/>
          <w:szCs w:val="20"/>
        </w:rPr>
      </w:pPr>
      <w:r w:rsidRPr="005E4BEA">
        <w:rPr>
          <w:rFonts w:cs="Arial"/>
          <w:b/>
          <w:bCs/>
          <w:szCs w:val="20"/>
        </w:rPr>
        <w:t>V 37. členu ZD ZAS SD 2022 se v (9) odstavku besedilo spremeni tako, da se glasi:</w:t>
      </w:r>
    </w:p>
    <w:p w14:paraId="3FEC2DFC" w14:textId="77777777" w:rsidR="00FE461F" w:rsidRPr="005E4BEA" w:rsidRDefault="00FE461F" w:rsidP="00FE461F">
      <w:pPr>
        <w:spacing w:line="240" w:lineRule="auto"/>
        <w:jc w:val="both"/>
        <w:rPr>
          <w:rFonts w:cs="Arial"/>
          <w:szCs w:val="20"/>
        </w:rPr>
      </w:pPr>
      <w:r w:rsidRPr="005E4BEA">
        <w:rPr>
          <w:rFonts w:cs="Arial"/>
          <w:szCs w:val="20"/>
        </w:rPr>
        <w:t xml:space="preserve">(9) CDZOM in CDZO se od 1.1.2022 naprej program plačuje tako, da je 40 % plačan v pavšalu, preostali del pa na podlagi opravljenih storitev. Za vse centre, ki se </w:t>
      </w:r>
      <w:proofErr w:type="spellStart"/>
      <w:r w:rsidRPr="005E4BEA">
        <w:rPr>
          <w:rFonts w:cs="Arial"/>
          <w:szCs w:val="20"/>
        </w:rPr>
        <w:t>se</w:t>
      </w:r>
      <w:proofErr w:type="spellEnd"/>
      <w:r w:rsidRPr="005E4BEA">
        <w:rPr>
          <w:rFonts w:cs="Arial"/>
          <w:szCs w:val="20"/>
        </w:rPr>
        <w:t xml:space="preserve"> vzpostavili po 1.7.2021, velja financiranje v pavšalu eno leto po vzpostavitvi centra, nato se program plačuje tako, da je 40 % plačan v pavšalu, preostali del pa na podlagi opravljenih storitev. </w:t>
      </w:r>
    </w:p>
    <w:p w14:paraId="62ACE407" w14:textId="77777777" w:rsidR="00FE461F" w:rsidRPr="005E4BEA" w:rsidRDefault="00FE461F" w:rsidP="00FE461F">
      <w:pPr>
        <w:spacing w:line="240" w:lineRule="auto"/>
        <w:jc w:val="both"/>
        <w:rPr>
          <w:rFonts w:cs="Arial"/>
          <w:szCs w:val="20"/>
        </w:rPr>
      </w:pPr>
    </w:p>
    <w:p w14:paraId="1DB4C553" w14:textId="77777777" w:rsidR="00FE461F" w:rsidRPr="005E4BEA" w:rsidRDefault="00FE461F" w:rsidP="00FE461F">
      <w:pPr>
        <w:spacing w:line="240" w:lineRule="auto"/>
        <w:jc w:val="both"/>
        <w:rPr>
          <w:rFonts w:eastAsia="MS Mincho" w:cs="Arial"/>
          <w:b/>
          <w:bCs/>
          <w:i/>
          <w:iCs/>
          <w:color w:val="808080" w:themeColor="background1" w:themeShade="80"/>
          <w:szCs w:val="20"/>
          <w:u w:val="single"/>
        </w:rPr>
      </w:pPr>
      <w:r w:rsidRPr="005E4BEA">
        <w:rPr>
          <w:rFonts w:eastAsia="MS Mincho" w:cs="Arial"/>
          <w:b/>
          <w:bCs/>
          <w:i/>
          <w:iCs/>
          <w:color w:val="808080" w:themeColor="background1" w:themeShade="80"/>
          <w:szCs w:val="20"/>
          <w:u w:val="single"/>
        </w:rPr>
        <w:t>Obrazložitev:</w:t>
      </w:r>
    </w:p>
    <w:p w14:paraId="3B02C064" w14:textId="77777777" w:rsidR="00FE461F" w:rsidRPr="005E4BEA" w:rsidRDefault="00FE461F" w:rsidP="00FE461F">
      <w:pPr>
        <w:spacing w:line="240" w:lineRule="auto"/>
        <w:jc w:val="both"/>
        <w:rPr>
          <w:rFonts w:cs="Arial"/>
          <w:i/>
          <w:iCs/>
          <w:color w:val="767171"/>
          <w:szCs w:val="20"/>
          <w:lang w:eastAsia="sl-SI"/>
        </w:rPr>
      </w:pPr>
      <w:r w:rsidRPr="005E4BEA">
        <w:rPr>
          <w:rFonts w:eastAsia="MS Mincho" w:cs="Arial"/>
          <w:i/>
          <w:iCs/>
          <w:color w:val="808080" w:themeColor="background1" w:themeShade="80"/>
          <w:szCs w:val="20"/>
        </w:rPr>
        <w:t xml:space="preserve">Način dela in organiziranosti CDZOM in CDZO zahteva tudi izvajanje nalog vodenja in koordinativnih nalog članov tima, izvajanje </w:t>
      </w:r>
      <w:proofErr w:type="spellStart"/>
      <w:r w:rsidRPr="005E4BEA">
        <w:rPr>
          <w:rFonts w:eastAsia="MS Mincho" w:cs="Arial"/>
          <w:i/>
          <w:iCs/>
          <w:color w:val="808080" w:themeColor="background1" w:themeShade="80"/>
          <w:szCs w:val="20"/>
        </w:rPr>
        <w:t>supervizije</w:t>
      </w:r>
      <w:proofErr w:type="spellEnd"/>
      <w:r w:rsidRPr="005E4BEA">
        <w:rPr>
          <w:rFonts w:eastAsia="MS Mincho" w:cs="Arial"/>
          <w:i/>
          <w:iCs/>
          <w:color w:val="808080" w:themeColor="background1" w:themeShade="80"/>
          <w:szCs w:val="20"/>
        </w:rPr>
        <w:t xml:space="preserve"> in </w:t>
      </w:r>
      <w:proofErr w:type="spellStart"/>
      <w:r w:rsidRPr="005E4BEA">
        <w:rPr>
          <w:rFonts w:eastAsia="MS Mincho" w:cs="Arial"/>
          <w:i/>
          <w:iCs/>
          <w:color w:val="808080" w:themeColor="background1" w:themeShade="80"/>
          <w:szCs w:val="20"/>
        </w:rPr>
        <w:t>intervizije</w:t>
      </w:r>
      <w:proofErr w:type="spellEnd"/>
      <w:r w:rsidRPr="005E4BEA">
        <w:rPr>
          <w:rFonts w:eastAsia="MS Mincho" w:cs="Arial"/>
          <w:i/>
          <w:iCs/>
          <w:color w:val="808080" w:themeColor="background1" w:themeShade="80"/>
          <w:szCs w:val="20"/>
        </w:rPr>
        <w:t xml:space="preserve"> ter v primerih novih timov vzpostavljanje timskega dela</w:t>
      </w:r>
      <w:r w:rsidRPr="005E4BEA">
        <w:rPr>
          <w:rFonts w:cs="Arial"/>
          <w:i/>
          <w:iCs/>
          <w:color w:val="767171"/>
          <w:szCs w:val="20"/>
          <w:lang w:eastAsia="sl-SI"/>
        </w:rPr>
        <w:t xml:space="preserve"> Povezovanja s službami v zdravstvu in izven zdravstva ter v skupnosti, ki je potrebno zaradi zagotavljanja kakovostne celovite obravnave oseb s težavami v duševnem zdravju, ni mogoče v celoti beležiti in ovrednotiti z opredeljenimi storitvami. CDZOM in CDZO so po načinu dela in organiziranosti multidisciplinarnega tima močno podobne dejavnostim, ki so s Splošnim dogovorom tudi (delno) financirane v pavšalu, kot so </w:t>
      </w:r>
      <w:proofErr w:type="spellStart"/>
      <w:r w:rsidRPr="005E4BEA">
        <w:rPr>
          <w:rFonts w:cs="Arial"/>
          <w:i/>
          <w:iCs/>
          <w:color w:val="767171"/>
          <w:szCs w:val="20"/>
          <w:lang w:eastAsia="sl-SI"/>
        </w:rPr>
        <w:t>zdravstvenovzgojni</w:t>
      </w:r>
      <w:proofErr w:type="spellEnd"/>
      <w:r w:rsidRPr="005E4BEA">
        <w:rPr>
          <w:rFonts w:cs="Arial"/>
          <w:i/>
          <w:iCs/>
          <w:color w:val="767171"/>
          <w:szCs w:val="20"/>
          <w:lang w:eastAsia="sl-SI"/>
        </w:rPr>
        <w:t xml:space="preserve"> centri in centri za krepitev zdravja, razvojne ambulante z vključenim centrom za zgodnjo obravnavo(skoraj identična sestava tima in nabor storitev v šifrantih ter način dela) program centrov za zdravljenje odvisnosti od prepovedanih drog, 20% programa dispanzerjev za mentalno zdravje, ki se organizacijsko in vsebinsko povezujejo na geografskem območju z vzpostavljenimi novimi centri za duševno zdravje otrok in mladostnikov, program zdravstvene in zobozdravstvene vzgoje otrok in mladostnikov itd. Zaradi navedenega je potrebno ohraniti vsaj delež financiranja CDZOM in CDZO v pavšalu. </w:t>
      </w:r>
    </w:p>
    <w:p w14:paraId="739BA1DA" w14:textId="30E48051" w:rsidR="00FE461F" w:rsidRPr="005E4BEA" w:rsidRDefault="00FE461F" w:rsidP="00FE461F">
      <w:pPr>
        <w:spacing w:line="240" w:lineRule="auto"/>
        <w:jc w:val="both"/>
        <w:rPr>
          <w:rFonts w:cs="Arial"/>
          <w:i/>
          <w:iCs/>
          <w:color w:val="767171"/>
          <w:szCs w:val="20"/>
        </w:rPr>
      </w:pPr>
      <w:r w:rsidRPr="005E4BEA">
        <w:rPr>
          <w:rFonts w:cs="Arial"/>
          <w:i/>
          <w:iCs/>
          <w:color w:val="767171"/>
          <w:szCs w:val="20"/>
        </w:rPr>
        <w:t xml:space="preserve">Vzpostavitev novega CDZOM in CDZO je, zaradi stanja na trgu dela, večmesečni oz. večletni proces. Vsi strokovnjaki v standardnem (in minimalnem) timu CDZOM in CDZO so izrazito deficitarni. Poleg tega lahko nekateri strokovnjaki standardnega tima v drugih delih javnega sektorja zasedajo višje ovrednotena delovna mesta, kar še dodatno otežuje zaposlovanje v zdravstveni dejavnosti. Ob problematiki zaposlovanja je vzpostavljanje delovanja CDZOM in CDZO tudi strokoven in organizacijski večmesečni oz. večletni proces. Novo zaposleni strokovnjaki, z izjemo specialistov, praviloma niso usposobljeni za obravnavo oseb s težavami v duševnem zdravju. Te strokovnjake je potrebno po zaposlitvi še usposobiti za individualno, timsko in skupnostno delo v CDZOM in CDZO. Zaradi navedenega je potrebno zagotoviti financiranje v pavšalu in evidenčno beleženje storitev vsaj eno leto po vzpostavitvi CDZOM in CDZO v celoti, kasneje pa v deležu 40 %.. </w:t>
      </w:r>
    </w:p>
    <w:p w14:paraId="491B8030" w14:textId="77777777" w:rsidR="00933478" w:rsidRPr="005E4BEA" w:rsidRDefault="00933478" w:rsidP="00FE461F">
      <w:pPr>
        <w:spacing w:line="240" w:lineRule="auto"/>
        <w:jc w:val="both"/>
        <w:rPr>
          <w:rFonts w:cs="Arial"/>
          <w:szCs w:val="20"/>
        </w:rPr>
      </w:pPr>
    </w:p>
    <w:p w14:paraId="1275C5EF" w14:textId="77777777" w:rsidR="00933478" w:rsidRPr="005E4BEA" w:rsidRDefault="00FE461F" w:rsidP="00FE461F">
      <w:pPr>
        <w:spacing w:line="240" w:lineRule="auto"/>
        <w:jc w:val="both"/>
        <w:rPr>
          <w:rFonts w:cs="Arial"/>
          <w:i/>
          <w:iCs/>
          <w:color w:val="767171"/>
          <w:szCs w:val="20"/>
        </w:rPr>
      </w:pPr>
      <w:r w:rsidRPr="005E4BEA">
        <w:rPr>
          <w:rFonts w:cs="Arial"/>
          <w:i/>
          <w:iCs/>
          <w:color w:val="767171"/>
          <w:szCs w:val="20"/>
        </w:rPr>
        <w:t>Finančni učinek: predlagana sprememba nima finančnega učinka.</w:t>
      </w:r>
    </w:p>
    <w:p w14:paraId="1C303186" w14:textId="77777777" w:rsidR="00933478" w:rsidRPr="005E4BEA" w:rsidRDefault="00933478" w:rsidP="00FE461F">
      <w:pPr>
        <w:spacing w:line="240" w:lineRule="auto"/>
        <w:jc w:val="both"/>
        <w:rPr>
          <w:rFonts w:cs="Arial"/>
          <w:i/>
          <w:iCs/>
          <w:color w:val="767171"/>
          <w:szCs w:val="20"/>
        </w:rPr>
      </w:pPr>
    </w:p>
    <w:p w14:paraId="7FE8B1ED" w14:textId="6FE0761E"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1CFEBF8B" w14:textId="77777777" w:rsidR="00933478" w:rsidRPr="005E4BEA" w:rsidRDefault="00933478" w:rsidP="00933478">
      <w:pPr>
        <w:spacing w:line="0" w:lineRule="atLeast"/>
        <w:jc w:val="both"/>
        <w:rPr>
          <w:rFonts w:eastAsia="Arial Narrow" w:cs="Arial"/>
          <w:szCs w:val="20"/>
          <w:lang w:eastAsia="sl-SI"/>
        </w:rPr>
      </w:pPr>
    </w:p>
    <w:p w14:paraId="74070771"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63" w:name="_Hlk102485086"/>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bookmarkEnd w:id="163"/>
    <w:p w14:paraId="4CB572FC" w14:textId="77777777" w:rsidR="00933478" w:rsidRPr="005E4BEA" w:rsidRDefault="00933478" w:rsidP="00933478">
      <w:pPr>
        <w:spacing w:line="0" w:lineRule="atLeast"/>
        <w:contextualSpacing/>
        <w:jc w:val="both"/>
        <w:rPr>
          <w:rFonts w:eastAsiaTheme="minorHAnsi" w:cs="Arial"/>
          <w:bCs/>
          <w:szCs w:val="20"/>
        </w:rPr>
      </w:pPr>
    </w:p>
    <w:p w14:paraId="0970D6FC" w14:textId="1E5B3D01"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(138)</w:t>
      </w:r>
    </w:p>
    <w:p w14:paraId="48F44A61" w14:textId="77777777" w:rsidR="00933478" w:rsidRPr="005E4BEA" w:rsidRDefault="00933478" w:rsidP="00933478">
      <w:pPr>
        <w:spacing w:line="240" w:lineRule="auto"/>
        <w:jc w:val="both"/>
        <w:rPr>
          <w:rFonts w:eastAsia="Arial Narrow" w:cs="Arial"/>
          <w:bCs/>
          <w:szCs w:val="20"/>
        </w:rPr>
      </w:pPr>
    </w:p>
    <w:p w14:paraId="0E2B13A5" w14:textId="2F447244" w:rsidR="00FE461F" w:rsidRPr="005E4BEA" w:rsidRDefault="00933478" w:rsidP="00933478">
      <w:pPr>
        <w:widowControl w:val="0"/>
        <w:suppressAutoHyphens/>
        <w:spacing w:line="240" w:lineRule="auto"/>
        <w:jc w:val="both"/>
        <w:rPr>
          <w:rFonts w:cs="Arial"/>
          <w:b/>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predlaga, da se v</w:t>
      </w:r>
      <w:r w:rsidR="00FE461F" w:rsidRPr="005E4BEA">
        <w:rPr>
          <w:rFonts w:cs="Arial"/>
          <w:b/>
          <w:bCs/>
          <w:szCs w:val="20"/>
        </w:rPr>
        <w:t xml:space="preserve"> </w:t>
      </w:r>
      <w:r w:rsidR="00FE461F" w:rsidRPr="005E4BEA">
        <w:rPr>
          <w:rFonts w:cs="Arial"/>
          <w:szCs w:val="20"/>
        </w:rPr>
        <w:t>Prilogi ZD ZAS 10. člen spremeni tako, da se za (3) odstavkom dodajo novi (4), (5) in (6) odstavek, ki se glasijo:</w:t>
      </w:r>
    </w:p>
    <w:p w14:paraId="259D5671" w14:textId="77777777" w:rsidR="00FE461F" w:rsidRPr="005E4BEA" w:rsidRDefault="00FE461F" w:rsidP="00FE461F">
      <w:pPr>
        <w:spacing w:line="240" w:lineRule="auto"/>
        <w:jc w:val="both"/>
        <w:rPr>
          <w:rFonts w:cs="Arial"/>
          <w:iCs/>
          <w:szCs w:val="20"/>
        </w:rPr>
      </w:pPr>
      <w:r w:rsidRPr="005E4BEA">
        <w:rPr>
          <w:rFonts w:cs="Arial"/>
          <w:iCs/>
          <w:szCs w:val="20"/>
        </w:rPr>
        <w:t>(4) Program farmacevtskega svetovanja, ki ni bil oddan zdravstvenim domovom v območni enoti Zavoda, lahko pridobijo bolnišnice območne enote po posredovanju dokazila, da zaposlujejo specialista klinične farmacije, ki je na seznamu oseb, ki lahko opravljajo delo farmacevtskega</w:t>
      </w:r>
    </w:p>
    <w:p w14:paraId="2009FB0E" w14:textId="77777777" w:rsidR="00FE461F" w:rsidRPr="005E4BEA" w:rsidRDefault="00FE461F" w:rsidP="00FE461F">
      <w:pPr>
        <w:spacing w:line="240" w:lineRule="auto"/>
        <w:jc w:val="both"/>
        <w:rPr>
          <w:rFonts w:cs="Arial"/>
          <w:iCs/>
          <w:szCs w:val="20"/>
        </w:rPr>
      </w:pPr>
      <w:r w:rsidRPr="005E4BEA">
        <w:rPr>
          <w:rFonts w:cs="Arial"/>
          <w:iCs/>
          <w:szCs w:val="20"/>
        </w:rPr>
        <w:t>svetovalca iz 2. odstavka tega člena.</w:t>
      </w:r>
    </w:p>
    <w:p w14:paraId="39F0FEEF" w14:textId="77777777" w:rsidR="00FE461F" w:rsidRPr="005E4BEA" w:rsidRDefault="00FE461F" w:rsidP="00FE461F">
      <w:pPr>
        <w:spacing w:line="240" w:lineRule="auto"/>
        <w:jc w:val="both"/>
        <w:rPr>
          <w:rFonts w:cs="Arial"/>
          <w:iCs/>
          <w:szCs w:val="20"/>
        </w:rPr>
      </w:pPr>
      <w:r w:rsidRPr="005E4BEA">
        <w:rPr>
          <w:rFonts w:cs="Arial"/>
          <w:iCs/>
          <w:szCs w:val="20"/>
        </w:rPr>
        <w:t>(5) V ambulanto farmacevta svetovalca v bolnišnici z delovnim nalogom bolnike napotujejo zdravniki primarne in sekundarne ravni.</w:t>
      </w:r>
    </w:p>
    <w:p w14:paraId="6D70EF2A" w14:textId="77777777" w:rsidR="00FE461F" w:rsidRPr="005E4BEA" w:rsidRDefault="00FE461F" w:rsidP="00FE461F">
      <w:pPr>
        <w:spacing w:line="240" w:lineRule="auto"/>
        <w:jc w:val="both"/>
        <w:rPr>
          <w:rFonts w:cs="Arial"/>
          <w:iCs/>
          <w:szCs w:val="20"/>
        </w:rPr>
      </w:pPr>
      <w:r w:rsidRPr="005E4BEA">
        <w:rPr>
          <w:rFonts w:cs="Arial"/>
          <w:iCs/>
          <w:szCs w:val="20"/>
        </w:rPr>
        <w:lastRenderedPageBreak/>
        <w:t>(6) Sestanki kakovostnega predpisovanja zdravil v bolnišnici se opravljajo po programu iz 3. odstavka tega člena v okviru vizit in raportov v času prisotnosti specialista klinične farmacije.</w:t>
      </w:r>
    </w:p>
    <w:p w14:paraId="2093FE05" w14:textId="77777777" w:rsidR="00FE461F" w:rsidRPr="005E4BEA" w:rsidRDefault="00FE461F" w:rsidP="00FE461F">
      <w:pPr>
        <w:spacing w:line="240" w:lineRule="auto"/>
        <w:jc w:val="both"/>
        <w:rPr>
          <w:rFonts w:cs="Arial"/>
          <w:iCs/>
          <w:szCs w:val="20"/>
        </w:rPr>
      </w:pPr>
      <w:r w:rsidRPr="005E4BEA">
        <w:rPr>
          <w:rFonts w:cs="Arial"/>
          <w:iCs/>
          <w:szCs w:val="20"/>
        </w:rPr>
        <w:t>Sedanji 4. in 5. odstavek postaneta 7. in 8. odstavek.</w:t>
      </w:r>
    </w:p>
    <w:p w14:paraId="6884BEAF" w14:textId="77777777" w:rsidR="00FE461F" w:rsidRPr="005E4BEA" w:rsidRDefault="00FE461F" w:rsidP="00FE461F">
      <w:pPr>
        <w:spacing w:line="240" w:lineRule="auto"/>
        <w:jc w:val="both"/>
        <w:rPr>
          <w:rFonts w:cs="Arial"/>
          <w:iCs/>
          <w:szCs w:val="20"/>
        </w:rPr>
      </w:pPr>
      <w:r w:rsidRPr="005E4BEA">
        <w:rPr>
          <w:rFonts w:cs="Arial"/>
          <w:iCs/>
          <w:szCs w:val="20"/>
        </w:rPr>
        <w:t>V letu 2022 se 0,2 tima prenese na SB Mursko Soboto, 0,2 tima na UKC Maribor in 0,2 tima na Splošno bolnišnico Franca Derganca Nova Gorica.</w:t>
      </w:r>
    </w:p>
    <w:p w14:paraId="47943A9B" w14:textId="77777777" w:rsidR="00FE461F" w:rsidRPr="005E4BEA" w:rsidRDefault="00FE461F" w:rsidP="00FE461F">
      <w:pPr>
        <w:spacing w:line="240" w:lineRule="auto"/>
        <w:jc w:val="both"/>
        <w:rPr>
          <w:rFonts w:cs="Arial"/>
          <w:iCs/>
          <w:szCs w:val="20"/>
        </w:rPr>
      </w:pPr>
    </w:p>
    <w:p w14:paraId="1C992FE4"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BCF00A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da se dopolni 10. člen priloga ZD ZAS tako, da bo program farmacevta svetovalca lahko pridobila tudi bolnišnica v območni enoti Zavoda, in sicer največ v obsegu, ki ni bil oddan ZD, je pa bil načrtovan za območno enoto. V 5. in 6. odstavku se urejajo specifike izvajanja programa farmacevta svetovalca v bolnišnicah.</w:t>
      </w:r>
    </w:p>
    <w:p w14:paraId="0F59548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Če bo sprejeta, potem dopolnitev Priloge III/b ni potrebna, saj je način izvedbe obračuna že urejen v Prilogi III/a in velja za celoten program, ne glede na to ali ga izvaja ZD ali bolnišnica.</w:t>
      </w:r>
    </w:p>
    <w:p w14:paraId="710B64B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 tem se pripomore k večji dostopnosti farmacevtskega svetovanja in celovitejši izrabi za program namenjenih sredstev. Dodatno bodo zdravniki sekundarne ravni dobili priložnost, da ambulantne paciente napotijo k farmacevtu svetovalcu, kar bo pripomoglo k povezovanju obeh strok v slovenskem prostoru. Prav tako pa dolgoročno predvidevamo boljše sprejemanje optimizacije farmakoterapije, ki jih predlaga farmacevtski svetovalec. </w:t>
      </w:r>
    </w:p>
    <w:p w14:paraId="5D231BB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Gre za popolnoma enako storitev kot se že sedaj plačuje na primarni ravni zdravstvenega varstva, z enakimi pogoji za delo. Bolnišnice imajo kader, opremo in prostore, kjer enako storitev lahko izvajajo. Farmacevtsko svetovanje na primarni ravni zdravstvenega varstva so v razvojni nalogi ZZZS vpeljali predvsem bolnišnični farmacevti, specialisti klinične farmacije, še sedaj imajo nekateri pogodbe o delu z zdravstvenimi domovi, saj storitve v svoji ustanovi ne morejo izvajati. Prenos storitve delno na sekundarni in terciarni nivo bo povečal transparentnost in omogočil več bolnikom in zdravnikom dostop do farmacevtskega svetovanja. </w:t>
      </w:r>
    </w:p>
    <w:p w14:paraId="26EA281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Storitev je namenjena ambulantno napotenim bolnikom in nima povezave z brezšivno skrbjo, ki je namenjena predvsem bolnikom ob sprejemu in odpustu iz bolnišnice. </w:t>
      </w:r>
    </w:p>
    <w:p w14:paraId="001115E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učinki: Jih ni, saj financiranje poteka v okviru sredstev, ki so s Splošnim dogovorom že dogovorjena za program farmacevtskega svetovanja, le da se del sredstev prenese na izvajalca na sekundarnem nivoju.</w:t>
      </w:r>
    </w:p>
    <w:p w14:paraId="2A82426B" w14:textId="77777777" w:rsidR="00FE461F" w:rsidRPr="005E4BEA" w:rsidRDefault="00FE461F" w:rsidP="00FE461F">
      <w:pPr>
        <w:spacing w:line="240" w:lineRule="auto"/>
        <w:jc w:val="both"/>
        <w:rPr>
          <w:rFonts w:cs="Arial"/>
          <w:i/>
          <w:iCs/>
          <w:color w:val="808080" w:themeColor="background1" w:themeShade="80"/>
          <w:szCs w:val="20"/>
        </w:rPr>
      </w:pPr>
    </w:p>
    <w:p w14:paraId="623AD43E" w14:textId="002CE681"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w:t>
      </w:r>
    </w:p>
    <w:p w14:paraId="55939956" w14:textId="1A6E541C" w:rsidR="00933478" w:rsidRPr="005E4BEA" w:rsidRDefault="00933478" w:rsidP="00FE461F">
      <w:pPr>
        <w:spacing w:line="240" w:lineRule="auto"/>
        <w:jc w:val="both"/>
        <w:rPr>
          <w:rFonts w:cs="Arial"/>
          <w:i/>
          <w:iCs/>
          <w:color w:val="808080" w:themeColor="background1" w:themeShade="80"/>
          <w:szCs w:val="20"/>
        </w:rPr>
      </w:pPr>
    </w:p>
    <w:p w14:paraId="534C9294"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BA01E7E" w14:textId="77777777" w:rsidR="00933478" w:rsidRPr="005E4BEA" w:rsidRDefault="00933478" w:rsidP="00933478">
      <w:pPr>
        <w:spacing w:line="0" w:lineRule="atLeast"/>
        <w:jc w:val="both"/>
        <w:rPr>
          <w:rFonts w:eastAsia="Arial Narrow" w:cs="Arial"/>
          <w:szCs w:val="20"/>
          <w:lang w:eastAsia="sl-SI"/>
        </w:rPr>
      </w:pPr>
    </w:p>
    <w:p w14:paraId="08BEA2BD"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0C158E82" w14:textId="77777777" w:rsidR="00933478" w:rsidRPr="005E4BEA" w:rsidRDefault="00933478" w:rsidP="00933478">
      <w:pPr>
        <w:spacing w:line="0" w:lineRule="atLeast"/>
        <w:contextualSpacing/>
        <w:jc w:val="both"/>
        <w:rPr>
          <w:rFonts w:eastAsiaTheme="minorHAnsi" w:cs="Arial"/>
          <w:bCs/>
          <w:szCs w:val="20"/>
        </w:rPr>
      </w:pPr>
    </w:p>
    <w:p w14:paraId="3208BEB6" w14:textId="77777777" w:rsidR="00933478" w:rsidRPr="005E4BEA" w:rsidRDefault="00933478" w:rsidP="00933478">
      <w:pPr>
        <w:spacing w:line="0" w:lineRule="atLeast"/>
        <w:contextualSpacing/>
        <w:jc w:val="both"/>
        <w:rPr>
          <w:rFonts w:eastAsiaTheme="minorHAnsi" w:cs="Arial"/>
          <w:bCs/>
          <w:szCs w:val="20"/>
        </w:rPr>
      </w:pPr>
    </w:p>
    <w:p w14:paraId="14890969" w14:textId="6FCCFDE9"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(139)</w:t>
      </w:r>
    </w:p>
    <w:p w14:paraId="683ACAF2" w14:textId="77777777" w:rsidR="00933478" w:rsidRPr="005E4BEA" w:rsidRDefault="00933478" w:rsidP="00933478">
      <w:pPr>
        <w:spacing w:line="240" w:lineRule="auto"/>
        <w:jc w:val="both"/>
        <w:rPr>
          <w:rFonts w:eastAsia="Arial Narrow" w:cs="Arial"/>
          <w:bCs/>
          <w:szCs w:val="20"/>
        </w:rPr>
      </w:pPr>
    </w:p>
    <w:p w14:paraId="02DC661A" w14:textId="72401B34" w:rsidR="00FE461F" w:rsidRPr="005E4BEA" w:rsidRDefault="00933478" w:rsidP="00933478">
      <w:pPr>
        <w:widowControl w:val="0"/>
        <w:suppressAutoHyphens/>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da se v </w:t>
      </w:r>
      <w:r w:rsidR="00FE461F" w:rsidRPr="005E4BEA">
        <w:rPr>
          <w:rFonts w:cs="Arial"/>
          <w:bCs/>
          <w:szCs w:val="20"/>
        </w:rPr>
        <w:t xml:space="preserve">Prilogi ZD ZAS v 26. členu spremeni (8) odstavek tako, da se glasi: </w:t>
      </w:r>
    </w:p>
    <w:p w14:paraId="5C459F6D" w14:textId="77777777" w:rsidR="00FE461F" w:rsidRPr="005E4BEA" w:rsidRDefault="00FE461F" w:rsidP="00FE461F">
      <w:pPr>
        <w:spacing w:line="240" w:lineRule="auto"/>
        <w:jc w:val="both"/>
        <w:rPr>
          <w:rFonts w:cs="Arial"/>
          <w:iCs/>
          <w:szCs w:val="20"/>
        </w:rPr>
      </w:pPr>
      <w:r w:rsidRPr="005E4BEA">
        <w:rPr>
          <w:rFonts w:cs="Arial"/>
          <w:bCs/>
          <w:iCs/>
          <w:szCs w:val="20"/>
        </w:rPr>
        <w:t xml:space="preserve">(8) Za zagotavljanje podpornih </w:t>
      </w:r>
      <w:proofErr w:type="spellStart"/>
      <w:r w:rsidRPr="005E4BEA">
        <w:rPr>
          <w:rFonts w:cs="Arial"/>
          <w:bCs/>
          <w:iCs/>
          <w:szCs w:val="20"/>
        </w:rPr>
        <w:t>zdravstvenovzgojnih</w:t>
      </w:r>
      <w:proofErr w:type="spellEnd"/>
      <w:r w:rsidRPr="005E4BEA">
        <w:rPr>
          <w:rFonts w:cs="Arial"/>
          <w:bCs/>
          <w:iCs/>
          <w:szCs w:val="20"/>
        </w:rPr>
        <w:t xml:space="preserve"> gradiv, prejme NIJZ</w:t>
      </w:r>
      <w:r w:rsidRPr="005E4BEA">
        <w:rPr>
          <w:rFonts w:cs="Arial"/>
          <w:iCs/>
          <w:szCs w:val="20"/>
        </w:rPr>
        <w:t>, finančna sredstva v višini 90.000 EUR.</w:t>
      </w:r>
    </w:p>
    <w:p w14:paraId="76020A57"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753921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 spremembi 26. člena Priloge ZD ZAS, 8. odstavek: Utemeljitev je podana že pod spremembami 6. odstavk24. člena Splošnega dogovora za pogodbeno leto 2020 (VI. Planska vrednost programov zdravstvenih dejavnosti).</w:t>
      </w:r>
    </w:p>
    <w:p w14:paraId="6C19023A" w14:textId="77777777" w:rsidR="00FE461F" w:rsidRPr="005E4BEA" w:rsidRDefault="00FE461F" w:rsidP="00FE461F">
      <w:pPr>
        <w:spacing w:line="240" w:lineRule="auto"/>
        <w:jc w:val="both"/>
        <w:rPr>
          <w:rFonts w:cs="Arial"/>
          <w:i/>
          <w:iCs/>
          <w:color w:val="808080" w:themeColor="background1" w:themeShade="80"/>
          <w:szCs w:val="20"/>
        </w:rPr>
      </w:pPr>
    </w:p>
    <w:p w14:paraId="167764E8"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ZD ZAS se v 26. členu doda nov (9) odstavek tako, da se glasi: </w:t>
      </w:r>
    </w:p>
    <w:p w14:paraId="7D66D93E" w14:textId="77777777" w:rsidR="00FE461F" w:rsidRPr="005E4BEA" w:rsidRDefault="00FE461F" w:rsidP="00FE461F">
      <w:pPr>
        <w:spacing w:line="240" w:lineRule="auto"/>
        <w:jc w:val="both"/>
        <w:rPr>
          <w:rFonts w:cs="Arial"/>
          <w:iCs/>
          <w:szCs w:val="20"/>
        </w:rPr>
      </w:pPr>
      <w:r w:rsidRPr="005E4BEA">
        <w:rPr>
          <w:rFonts w:cs="Arial"/>
          <w:iCs/>
          <w:szCs w:val="20"/>
        </w:rPr>
        <w:t xml:space="preserve">(9) Za izvajanje storitev priprave in razvoja, koordinacije, strokovne podpore pri implementaciji, vodenja spremljanja in </w:t>
      </w:r>
      <w:proofErr w:type="spellStart"/>
      <w:r w:rsidRPr="005E4BEA">
        <w:rPr>
          <w:rFonts w:cs="Arial"/>
          <w:iCs/>
          <w:szCs w:val="20"/>
        </w:rPr>
        <w:t>evalviranja</w:t>
      </w:r>
      <w:proofErr w:type="spellEnd"/>
      <w:r w:rsidRPr="005E4BEA">
        <w:rPr>
          <w:rFonts w:cs="Arial"/>
          <w:iCs/>
          <w:szCs w:val="20"/>
        </w:rPr>
        <w:t xml:space="preserve"> Programa preventivnega zdravstvenega varstva za otroke in mladostnike – Program ZDAJ, se za stroške kadra in materialne stroške NIJZ od 1.1.2022 na letni ravni.</w:t>
      </w:r>
    </w:p>
    <w:p w14:paraId="6DA90BDE" w14:textId="77777777" w:rsidR="00FE461F" w:rsidRPr="005E4BEA" w:rsidRDefault="00FE461F" w:rsidP="00FE461F">
      <w:pPr>
        <w:spacing w:line="240" w:lineRule="auto"/>
        <w:jc w:val="both"/>
        <w:rPr>
          <w:rFonts w:cs="Arial"/>
          <w:iCs/>
          <w:szCs w:val="20"/>
        </w:rPr>
      </w:pPr>
    </w:p>
    <w:p w14:paraId="093936AB"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2F2EAB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K spremembi 26. člena Priloge ZD ZAS, 9. odstavek: Utemeljitev je podana že pod spremembami 6. odstavka 24. člena Splošnega dogovora za pogodbeno leto 2020 (VI. Planska vrednost programov zdravstvenih dejavnosti).</w:t>
      </w:r>
    </w:p>
    <w:tbl>
      <w:tblPr>
        <w:tblW w:w="9433" w:type="dxa"/>
        <w:tblCellMar>
          <w:left w:w="70" w:type="dxa"/>
          <w:right w:w="70" w:type="dxa"/>
        </w:tblCellMar>
        <w:tblLook w:val="04A0" w:firstRow="1" w:lastRow="0" w:firstColumn="1" w:lastColumn="0" w:noHBand="0" w:noVBand="1"/>
      </w:tblPr>
      <w:tblGrid>
        <w:gridCol w:w="6113"/>
        <w:gridCol w:w="3320"/>
      </w:tblGrid>
      <w:tr w:rsidR="00FE461F" w:rsidRPr="005E4BEA" w14:paraId="7F5F68BF" w14:textId="77777777" w:rsidTr="0016774B">
        <w:trPr>
          <w:trHeight w:val="222"/>
        </w:trPr>
        <w:tc>
          <w:tcPr>
            <w:tcW w:w="6113" w:type="dxa"/>
            <w:tcBorders>
              <w:top w:val="nil"/>
              <w:left w:val="nil"/>
              <w:bottom w:val="nil"/>
              <w:right w:val="nil"/>
            </w:tcBorders>
            <w:shd w:val="clear" w:color="000000" w:fill="9BC2E6"/>
            <w:vAlign w:val="bottom"/>
            <w:hideMark/>
          </w:tcPr>
          <w:p w14:paraId="6C22D826" w14:textId="77777777" w:rsidR="00FE461F" w:rsidRPr="005E4BEA" w:rsidRDefault="00FE461F" w:rsidP="00FE461F">
            <w:pPr>
              <w:spacing w:line="240" w:lineRule="auto"/>
              <w:rPr>
                <w:rFonts w:cs="Arial"/>
                <w:color w:val="000000"/>
                <w:szCs w:val="20"/>
              </w:rPr>
            </w:pPr>
            <w:r w:rsidRPr="005E4BEA">
              <w:rPr>
                <w:rFonts w:cs="Arial"/>
                <w:color w:val="000000"/>
                <w:szCs w:val="20"/>
              </w:rPr>
              <w:t>Vrsta aktivnosti</w:t>
            </w:r>
          </w:p>
        </w:tc>
        <w:tc>
          <w:tcPr>
            <w:tcW w:w="3320" w:type="dxa"/>
            <w:tcBorders>
              <w:top w:val="nil"/>
              <w:left w:val="nil"/>
              <w:bottom w:val="nil"/>
              <w:right w:val="nil"/>
            </w:tcBorders>
            <w:shd w:val="clear" w:color="000000" w:fill="9BC2E6"/>
            <w:noWrap/>
            <w:vAlign w:val="bottom"/>
            <w:hideMark/>
          </w:tcPr>
          <w:p w14:paraId="0FCB253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Stroški</w:t>
            </w:r>
          </w:p>
        </w:tc>
      </w:tr>
      <w:tr w:rsidR="00FE461F" w:rsidRPr="005E4BEA" w14:paraId="0F74A0AA" w14:textId="77777777" w:rsidTr="0016774B">
        <w:trPr>
          <w:trHeight w:val="370"/>
        </w:trPr>
        <w:tc>
          <w:tcPr>
            <w:tcW w:w="6113" w:type="dxa"/>
            <w:tcBorders>
              <w:top w:val="single" w:sz="4" w:space="0" w:color="auto"/>
              <w:left w:val="single" w:sz="4" w:space="0" w:color="auto"/>
              <w:bottom w:val="single" w:sz="4" w:space="0" w:color="auto"/>
              <w:right w:val="single" w:sz="4" w:space="0" w:color="auto"/>
            </w:tcBorders>
            <w:shd w:val="clear" w:color="000000" w:fill="DDEBF7"/>
            <w:hideMark/>
          </w:tcPr>
          <w:p w14:paraId="0A426951" w14:textId="77777777" w:rsidR="00FE461F" w:rsidRPr="005E4BEA" w:rsidRDefault="00FE461F" w:rsidP="00FE461F">
            <w:pPr>
              <w:spacing w:line="240" w:lineRule="auto"/>
              <w:rPr>
                <w:rFonts w:cs="Arial"/>
                <w:color w:val="000000"/>
                <w:szCs w:val="20"/>
              </w:rPr>
            </w:pPr>
            <w:r w:rsidRPr="005E4BEA">
              <w:rPr>
                <w:rFonts w:cs="Arial"/>
                <w:color w:val="000000"/>
                <w:szCs w:val="20"/>
              </w:rPr>
              <w:t>Stroški dela NIJZ-kader</w:t>
            </w:r>
          </w:p>
        </w:tc>
        <w:tc>
          <w:tcPr>
            <w:tcW w:w="3320" w:type="dxa"/>
            <w:tcBorders>
              <w:top w:val="single" w:sz="4" w:space="0" w:color="auto"/>
              <w:left w:val="nil"/>
              <w:bottom w:val="single" w:sz="4" w:space="0" w:color="auto"/>
              <w:right w:val="nil"/>
            </w:tcBorders>
            <w:shd w:val="clear" w:color="000000" w:fill="DDEBF7"/>
            <w:noWrap/>
            <w:hideMark/>
          </w:tcPr>
          <w:p w14:paraId="30CEFAB4"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466.405,79 €</w:t>
            </w:r>
          </w:p>
        </w:tc>
      </w:tr>
      <w:tr w:rsidR="00FE461F" w:rsidRPr="005E4BEA" w14:paraId="6EFC7162" w14:textId="77777777" w:rsidTr="0016774B">
        <w:trPr>
          <w:trHeight w:val="370"/>
        </w:trPr>
        <w:tc>
          <w:tcPr>
            <w:tcW w:w="6113" w:type="dxa"/>
            <w:tcBorders>
              <w:top w:val="nil"/>
              <w:left w:val="single" w:sz="4" w:space="0" w:color="auto"/>
              <w:bottom w:val="single" w:sz="4" w:space="0" w:color="auto"/>
              <w:right w:val="single" w:sz="4" w:space="0" w:color="auto"/>
            </w:tcBorders>
            <w:shd w:val="clear" w:color="auto" w:fill="auto"/>
            <w:hideMark/>
          </w:tcPr>
          <w:p w14:paraId="084441FF" w14:textId="77777777" w:rsidR="00FE461F" w:rsidRPr="005E4BEA" w:rsidRDefault="00FE461F" w:rsidP="00FE461F">
            <w:pPr>
              <w:spacing w:line="240" w:lineRule="auto"/>
              <w:rPr>
                <w:rFonts w:cs="Arial"/>
                <w:color w:val="000000"/>
                <w:szCs w:val="20"/>
              </w:rPr>
            </w:pPr>
            <w:r w:rsidRPr="005E4BEA">
              <w:rPr>
                <w:rFonts w:cs="Arial"/>
                <w:color w:val="000000"/>
                <w:szCs w:val="20"/>
              </w:rPr>
              <w:t>Stroški zunanjih izvajalcev</w:t>
            </w:r>
          </w:p>
        </w:tc>
        <w:tc>
          <w:tcPr>
            <w:tcW w:w="3320" w:type="dxa"/>
            <w:tcBorders>
              <w:top w:val="nil"/>
              <w:left w:val="nil"/>
              <w:bottom w:val="single" w:sz="4" w:space="0" w:color="auto"/>
              <w:right w:val="nil"/>
            </w:tcBorders>
            <w:shd w:val="clear" w:color="auto" w:fill="auto"/>
            <w:noWrap/>
            <w:hideMark/>
          </w:tcPr>
          <w:p w14:paraId="3DA49BDE" w14:textId="77777777" w:rsidR="00FE461F" w:rsidRPr="005E4BEA" w:rsidRDefault="00FE461F" w:rsidP="00FE461F">
            <w:pPr>
              <w:spacing w:line="240" w:lineRule="auto"/>
              <w:jc w:val="center"/>
              <w:rPr>
                <w:rFonts w:cs="Arial"/>
                <w:szCs w:val="20"/>
              </w:rPr>
            </w:pPr>
            <w:r w:rsidRPr="005E4BEA">
              <w:rPr>
                <w:rFonts w:cs="Arial"/>
                <w:szCs w:val="20"/>
              </w:rPr>
              <w:t>980.000,00 €</w:t>
            </w:r>
          </w:p>
        </w:tc>
      </w:tr>
      <w:tr w:rsidR="00FE461F" w:rsidRPr="005E4BEA" w14:paraId="7C321153" w14:textId="77777777" w:rsidTr="0016774B">
        <w:trPr>
          <w:trHeight w:val="546"/>
        </w:trPr>
        <w:tc>
          <w:tcPr>
            <w:tcW w:w="6113" w:type="dxa"/>
            <w:tcBorders>
              <w:top w:val="nil"/>
              <w:left w:val="single" w:sz="4" w:space="0" w:color="auto"/>
              <w:bottom w:val="single" w:sz="4" w:space="0" w:color="auto"/>
              <w:right w:val="single" w:sz="4" w:space="0" w:color="auto"/>
            </w:tcBorders>
            <w:shd w:val="clear" w:color="000000" w:fill="DDEBF7"/>
            <w:hideMark/>
          </w:tcPr>
          <w:p w14:paraId="65969F5B" w14:textId="77777777" w:rsidR="00FE461F" w:rsidRPr="005E4BEA" w:rsidRDefault="00FE461F" w:rsidP="00FE461F">
            <w:pPr>
              <w:spacing w:line="240" w:lineRule="auto"/>
              <w:rPr>
                <w:rFonts w:cs="Arial"/>
                <w:color w:val="000000"/>
                <w:szCs w:val="20"/>
              </w:rPr>
            </w:pPr>
            <w:r w:rsidRPr="005E4BEA">
              <w:rPr>
                <w:rFonts w:cs="Arial"/>
                <w:color w:val="000000"/>
                <w:szCs w:val="20"/>
              </w:rPr>
              <w:t xml:space="preserve">Usposabljanje in izobraževanje, </w:t>
            </w:r>
            <w:r w:rsidRPr="005E4BEA">
              <w:rPr>
                <w:rFonts w:cs="Arial"/>
                <w:color w:val="000000"/>
                <w:szCs w:val="20"/>
              </w:rPr>
              <w:br/>
              <w:t>Organizacija strokovnih srečanje / konferenc na regionalni / nacionalni ravni</w:t>
            </w:r>
          </w:p>
        </w:tc>
        <w:tc>
          <w:tcPr>
            <w:tcW w:w="3320" w:type="dxa"/>
            <w:tcBorders>
              <w:top w:val="nil"/>
              <w:left w:val="nil"/>
              <w:bottom w:val="single" w:sz="4" w:space="0" w:color="auto"/>
              <w:right w:val="nil"/>
            </w:tcBorders>
            <w:shd w:val="clear" w:color="000000" w:fill="DDEBF7"/>
            <w:noWrap/>
            <w:hideMark/>
          </w:tcPr>
          <w:p w14:paraId="5E6C4F7B"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18.285,00 €</w:t>
            </w:r>
          </w:p>
        </w:tc>
      </w:tr>
      <w:tr w:rsidR="00FE461F" w:rsidRPr="005E4BEA" w14:paraId="26DBE018" w14:textId="77777777" w:rsidTr="0016774B">
        <w:trPr>
          <w:trHeight w:val="444"/>
        </w:trPr>
        <w:tc>
          <w:tcPr>
            <w:tcW w:w="6113" w:type="dxa"/>
            <w:tcBorders>
              <w:top w:val="nil"/>
              <w:left w:val="single" w:sz="4" w:space="0" w:color="auto"/>
              <w:bottom w:val="single" w:sz="4" w:space="0" w:color="auto"/>
              <w:right w:val="single" w:sz="4" w:space="0" w:color="auto"/>
            </w:tcBorders>
            <w:shd w:val="clear" w:color="auto" w:fill="auto"/>
            <w:hideMark/>
          </w:tcPr>
          <w:p w14:paraId="27CF8FB8" w14:textId="77777777" w:rsidR="00FE461F" w:rsidRPr="005E4BEA" w:rsidRDefault="00FE461F" w:rsidP="00FE461F">
            <w:pPr>
              <w:spacing w:line="240" w:lineRule="auto"/>
              <w:rPr>
                <w:rFonts w:cs="Arial"/>
                <w:color w:val="000000"/>
                <w:szCs w:val="20"/>
              </w:rPr>
            </w:pPr>
            <w:r w:rsidRPr="005E4BEA">
              <w:rPr>
                <w:rFonts w:cs="Arial"/>
                <w:color w:val="000000"/>
                <w:szCs w:val="20"/>
              </w:rPr>
              <w:t>Stroški promocijskih gradiv, komunikacijskih aktivnosti in nadgradnja spletne strani zdaj.net.</w:t>
            </w:r>
          </w:p>
        </w:tc>
        <w:tc>
          <w:tcPr>
            <w:tcW w:w="3320" w:type="dxa"/>
            <w:tcBorders>
              <w:top w:val="nil"/>
              <w:left w:val="nil"/>
              <w:bottom w:val="single" w:sz="4" w:space="0" w:color="auto"/>
              <w:right w:val="nil"/>
            </w:tcBorders>
            <w:shd w:val="clear" w:color="auto" w:fill="auto"/>
            <w:noWrap/>
            <w:hideMark/>
          </w:tcPr>
          <w:p w14:paraId="60C95557"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78.644,00 €</w:t>
            </w:r>
          </w:p>
        </w:tc>
      </w:tr>
      <w:tr w:rsidR="00FE461F" w:rsidRPr="005E4BEA" w14:paraId="4CE6BCA6" w14:textId="77777777" w:rsidTr="0016774B">
        <w:trPr>
          <w:trHeight w:val="370"/>
        </w:trPr>
        <w:tc>
          <w:tcPr>
            <w:tcW w:w="6113" w:type="dxa"/>
            <w:tcBorders>
              <w:top w:val="nil"/>
              <w:left w:val="single" w:sz="4" w:space="0" w:color="auto"/>
              <w:bottom w:val="single" w:sz="4" w:space="0" w:color="auto"/>
              <w:right w:val="single" w:sz="4" w:space="0" w:color="auto"/>
            </w:tcBorders>
            <w:shd w:val="clear" w:color="000000" w:fill="DDEBF7"/>
            <w:hideMark/>
          </w:tcPr>
          <w:p w14:paraId="5C30CB5D" w14:textId="77777777" w:rsidR="00FE461F" w:rsidRPr="005E4BEA" w:rsidRDefault="00FE461F" w:rsidP="00FE461F">
            <w:pPr>
              <w:spacing w:line="240" w:lineRule="auto"/>
              <w:rPr>
                <w:rFonts w:cs="Arial"/>
                <w:color w:val="000000"/>
                <w:szCs w:val="20"/>
              </w:rPr>
            </w:pPr>
            <w:r w:rsidRPr="005E4BEA">
              <w:rPr>
                <w:rFonts w:cs="Arial"/>
                <w:color w:val="000000"/>
                <w:szCs w:val="20"/>
              </w:rPr>
              <w:t>Gradiva za uporabnike in izvajalce (oblikovanje, tisk, distribucija)</w:t>
            </w:r>
          </w:p>
        </w:tc>
        <w:tc>
          <w:tcPr>
            <w:tcW w:w="3320" w:type="dxa"/>
            <w:tcBorders>
              <w:top w:val="nil"/>
              <w:left w:val="nil"/>
              <w:bottom w:val="single" w:sz="4" w:space="0" w:color="auto"/>
              <w:right w:val="nil"/>
            </w:tcBorders>
            <w:shd w:val="clear" w:color="000000" w:fill="DDEBF7"/>
            <w:noWrap/>
            <w:hideMark/>
          </w:tcPr>
          <w:p w14:paraId="56F69609"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80.400,00 €</w:t>
            </w:r>
          </w:p>
        </w:tc>
      </w:tr>
      <w:tr w:rsidR="00FE461F" w:rsidRPr="005E4BEA" w14:paraId="5708D05F" w14:textId="77777777" w:rsidTr="0016774B">
        <w:trPr>
          <w:trHeight w:val="229"/>
        </w:trPr>
        <w:tc>
          <w:tcPr>
            <w:tcW w:w="6113" w:type="dxa"/>
            <w:tcBorders>
              <w:top w:val="nil"/>
              <w:left w:val="single" w:sz="4" w:space="0" w:color="auto"/>
              <w:bottom w:val="double" w:sz="6" w:space="0" w:color="auto"/>
              <w:right w:val="single" w:sz="4" w:space="0" w:color="auto"/>
            </w:tcBorders>
            <w:shd w:val="clear" w:color="auto" w:fill="auto"/>
            <w:hideMark/>
          </w:tcPr>
          <w:p w14:paraId="4ADFFCED" w14:textId="77777777" w:rsidR="00FE461F" w:rsidRPr="005E4BEA" w:rsidRDefault="00FE461F" w:rsidP="00FE461F">
            <w:pPr>
              <w:spacing w:line="240" w:lineRule="auto"/>
              <w:rPr>
                <w:rFonts w:cs="Arial"/>
                <w:color w:val="000000"/>
                <w:szCs w:val="20"/>
              </w:rPr>
            </w:pPr>
            <w:r w:rsidRPr="005E4BEA">
              <w:rPr>
                <w:rFonts w:cs="Arial"/>
                <w:color w:val="000000"/>
                <w:szCs w:val="20"/>
              </w:rPr>
              <w:t>Računalniška oprema</w:t>
            </w:r>
          </w:p>
        </w:tc>
        <w:tc>
          <w:tcPr>
            <w:tcW w:w="3320" w:type="dxa"/>
            <w:tcBorders>
              <w:top w:val="nil"/>
              <w:left w:val="nil"/>
              <w:bottom w:val="double" w:sz="6" w:space="0" w:color="auto"/>
              <w:right w:val="nil"/>
            </w:tcBorders>
            <w:shd w:val="clear" w:color="auto" w:fill="auto"/>
            <w:noWrap/>
            <w:hideMark/>
          </w:tcPr>
          <w:p w14:paraId="0DF6FB06"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10.000,00 €</w:t>
            </w:r>
          </w:p>
        </w:tc>
      </w:tr>
      <w:tr w:rsidR="00FE461F" w:rsidRPr="005E4BEA" w14:paraId="7C48ABC3" w14:textId="77777777" w:rsidTr="0016774B">
        <w:trPr>
          <w:trHeight w:val="229"/>
        </w:trPr>
        <w:tc>
          <w:tcPr>
            <w:tcW w:w="6113" w:type="dxa"/>
            <w:tcBorders>
              <w:top w:val="nil"/>
              <w:left w:val="single" w:sz="4" w:space="0" w:color="auto"/>
              <w:bottom w:val="single" w:sz="4" w:space="0" w:color="auto"/>
              <w:right w:val="single" w:sz="4" w:space="0" w:color="auto"/>
            </w:tcBorders>
            <w:shd w:val="clear" w:color="000000" w:fill="DDEBF7"/>
            <w:vAlign w:val="bottom"/>
            <w:hideMark/>
          </w:tcPr>
          <w:p w14:paraId="082EB963" w14:textId="77777777" w:rsidR="00FE461F" w:rsidRPr="005E4BEA" w:rsidRDefault="00FE461F" w:rsidP="00FE461F">
            <w:pPr>
              <w:spacing w:line="240" w:lineRule="auto"/>
              <w:rPr>
                <w:rFonts w:cs="Arial"/>
                <w:color w:val="000000"/>
                <w:szCs w:val="20"/>
              </w:rPr>
            </w:pPr>
            <w:r w:rsidRPr="005E4BEA">
              <w:rPr>
                <w:rFonts w:cs="Arial"/>
                <w:color w:val="000000"/>
                <w:szCs w:val="20"/>
              </w:rPr>
              <w:t>Skupaj stroški Programa ZDAJ</w:t>
            </w:r>
          </w:p>
        </w:tc>
        <w:tc>
          <w:tcPr>
            <w:tcW w:w="3320" w:type="dxa"/>
            <w:tcBorders>
              <w:top w:val="nil"/>
              <w:left w:val="nil"/>
              <w:bottom w:val="single" w:sz="4" w:space="0" w:color="auto"/>
              <w:right w:val="nil"/>
            </w:tcBorders>
            <w:shd w:val="clear" w:color="000000" w:fill="DDEBF7"/>
            <w:noWrap/>
            <w:vAlign w:val="bottom"/>
            <w:hideMark/>
          </w:tcPr>
          <w:p w14:paraId="038ABB86" w14:textId="77777777" w:rsidR="00FE461F" w:rsidRPr="005E4BEA" w:rsidRDefault="00FE461F" w:rsidP="00FE461F">
            <w:pPr>
              <w:spacing w:line="240" w:lineRule="auto"/>
              <w:jc w:val="center"/>
              <w:rPr>
                <w:rFonts w:cs="Arial"/>
                <w:b/>
                <w:bCs/>
                <w:szCs w:val="20"/>
              </w:rPr>
            </w:pPr>
            <w:r w:rsidRPr="005E4BEA">
              <w:rPr>
                <w:rFonts w:cs="Arial"/>
                <w:b/>
                <w:bCs/>
                <w:szCs w:val="20"/>
              </w:rPr>
              <w:t>1.633.734,79 €</w:t>
            </w:r>
          </w:p>
        </w:tc>
      </w:tr>
      <w:tr w:rsidR="00FE461F" w:rsidRPr="005E4BEA" w14:paraId="735E304D" w14:textId="77777777" w:rsidTr="0016774B">
        <w:trPr>
          <w:trHeight w:val="229"/>
        </w:trPr>
        <w:tc>
          <w:tcPr>
            <w:tcW w:w="6113" w:type="dxa"/>
            <w:tcBorders>
              <w:top w:val="nil"/>
              <w:left w:val="single" w:sz="4" w:space="0" w:color="auto"/>
              <w:bottom w:val="single" w:sz="12" w:space="0" w:color="auto"/>
              <w:right w:val="single" w:sz="4" w:space="0" w:color="auto"/>
            </w:tcBorders>
            <w:shd w:val="clear" w:color="auto" w:fill="auto"/>
            <w:hideMark/>
          </w:tcPr>
          <w:p w14:paraId="0AF25EDD" w14:textId="77777777" w:rsidR="00FE461F" w:rsidRPr="005E4BEA" w:rsidRDefault="00FE461F" w:rsidP="00FE461F">
            <w:pPr>
              <w:spacing w:line="240" w:lineRule="auto"/>
              <w:rPr>
                <w:rFonts w:cs="Arial"/>
                <w:szCs w:val="20"/>
              </w:rPr>
            </w:pPr>
            <w:r w:rsidRPr="005E4BEA">
              <w:rPr>
                <w:rFonts w:cs="Arial"/>
                <w:szCs w:val="20"/>
              </w:rPr>
              <w:t>Delež za podporne službe (15%)</w:t>
            </w:r>
          </w:p>
        </w:tc>
        <w:tc>
          <w:tcPr>
            <w:tcW w:w="3320" w:type="dxa"/>
            <w:tcBorders>
              <w:top w:val="nil"/>
              <w:left w:val="nil"/>
              <w:bottom w:val="single" w:sz="12" w:space="0" w:color="auto"/>
              <w:right w:val="nil"/>
            </w:tcBorders>
            <w:shd w:val="clear" w:color="auto" w:fill="auto"/>
            <w:hideMark/>
          </w:tcPr>
          <w:p w14:paraId="0F2E040D" w14:textId="77777777" w:rsidR="00FE461F" w:rsidRPr="005E4BEA" w:rsidRDefault="00FE461F" w:rsidP="00FE461F">
            <w:pPr>
              <w:spacing w:line="240" w:lineRule="auto"/>
              <w:jc w:val="center"/>
              <w:rPr>
                <w:rFonts w:cs="Arial"/>
                <w:szCs w:val="20"/>
              </w:rPr>
            </w:pPr>
            <w:r w:rsidRPr="005E4BEA">
              <w:rPr>
                <w:rFonts w:cs="Arial"/>
                <w:szCs w:val="20"/>
              </w:rPr>
              <w:t>245.060,22 €</w:t>
            </w:r>
          </w:p>
        </w:tc>
      </w:tr>
      <w:tr w:rsidR="00FE461F" w:rsidRPr="005E4BEA" w14:paraId="6477E25B" w14:textId="77777777" w:rsidTr="0016774B">
        <w:trPr>
          <w:trHeight w:val="229"/>
        </w:trPr>
        <w:tc>
          <w:tcPr>
            <w:tcW w:w="6113" w:type="dxa"/>
            <w:tcBorders>
              <w:top w:val="nil"/>
              <w:left w:val="single" w:sz="4" w:space="0" w:color="auto"/>
              <w:bottom w:val="single" w:sz="4" w:space="0" w:color="auto"/>
              <w:right w:val="single" w:sz="4" w:space="0" w:color="auto"/>
            </w:tcBorders>
            <w:shd w:val="clear" w:color="auto" w:fill="auto"/>
            <w:vAlign w:val="bottom"/>
            <w:hideMark/>
          </w:tcPr>
          <w:p w14:paraId="7F6FE20B" w14:textId="77777777" w:rsidR="00FE461F" w:rsidRPr="005E4BEA" w:rsidRDefault="00FE461F" w:rsidP="00FE461F">
            <w:pPr>
              <w:spacing w:line="240" w:lineRule="auto"/>
              <w:rPr>
                <w:rFonts w:cs="Arial"/>
                <w:b/>
                <w:bCs/>
                <w:color w:val="000000"/>
                <w:szCs w:val="20"/>
              </w:rPr>
            </w:pPr>
            <w:r w:rsidRPr="005E4BEA">
              <w:rPr>
                <w:rFonts w:cs="Arial"/>
                <w:b/>
                <w:bCs/>
                <w:color w:val="000000"/>
                <w:szCs w:val="20"/>
              </w:rPr>
              <w:t>SKUPAJ STROŠKI</w:t>
            </w:r>
          </w:p>
        </w:tc>
        <w:tc>
          <w:tcPr>
            <w:tcW w:w="3320" w:type="dxa"/>
            <w:tcBorders>
              <w:top w:val="nil"/>
              <w:left w:val="nil"/>
              <w:bottom w:val="single" w:sz="4" w:space="0" w:color="auto"/>
              <w:right w:val="nil"/>
            </w:tcBorders>
            <w:shd w:val="clear" w:color="auto" w:fill="auto"/>
            <w:noWrap/>
            <w:vAlign w:val="bottom"/>
            <w:hideMark/>
          </w:tcPr>
          <w:p w14:paraId="023FCBBE" w14:textId="77777777" w:rsidR="00FE461F" w:rsidRPr="005E4BEA" w:rsidRDefault="00FE461F" w:rsidP="00FE461F">
            <w:pPr>
              <w:spacing w:line="240" w:lineRule="auto"/>
              <w:jc w:val="center"/>
              <w:rPr>
                <w:rFonts w:cs="Arial"/>
                <w:b/>
                <w:bCs/>
                <w:szCs w:val="20"/>
              </w:rPr>
            </w:pPr>
            <w:r w:rsidRPr="005E4BEA">
              <w:rPr>
                <w:rFonts w:cs="Arial"/>
                <w:b/>
                <w:bCs/>
                <w:szCs w:val="20"/>
              </w:rPr>
              <w:t>1.878.795,01 €</w:t>
            </w:r>
          </w:p>
        </w:tc>
      </w:tr>
    </w:tbl>
    <w:p w14:paraId="6633AEF3" w14:textId="77777777" w:rsidR="00FE461F" w:rsidRPr="005E4BEA" w:rsidRDefault="00FE461F" w:rsidP="00FE461F">
      <w:pPr>
        <w:spacing w:line="240" w:lineRule="auto"/>
        <w:jc w:val="both"/>
        <w:rPr>
          <w:rFonts w:cs="Arial"/>
          <w:i/>
          <w:iCs/>
          <w:color w:val="808080" w:themeColor="background1" w:themeShade="80"/>
          <w:szCs w:val="20"/>
        </w:rPr>
      </w:pPr>
    </w:p>
    <w:p w14:paraId="67CB94B7"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t>Upravljanje državnih presejalnih programov za zgodnje odkrivanje predrakavih sprememb in raka</w:t>
      </w:r>
      <w:r w:rsidRPr="005E4BEA">
        <w:rPr>
          <w:rFonts w:cs="Arial"/>
          <w:b/>
          <w:bCs/>
          <w:szCs w:val="20"/>
          <w:u w:val="single"/>
        </w:rPr>
        <w:t xml:space="preserve"> </w:t>
      </w:r>
      <w:r w:rsidRPr="005E4BEA">
        <w:rPr>
          <w:rFonts w:cs="Arial"/>
          <w:b/>
          <w:bCs/>
          <w:i/>
          <w:iCs/>
          <w:color w:val="808080" w:themeColor="background1" w:themeShade="80"/>
          <w:szCs w:val="20"/>
          <w:u w:val="single"/>
        </w:rPr>
        <w:fldChar w:fldCharType="begin"/>
      </w:r>
      <w:r w:rsidRPr="005E4BEA">
        <w:rPr>
          <w:rFonts w:cs="Arial"/>
          <w:b/>
          <w:bCs/>
          <w:i/>
          <w:iCs/>
          <w:color w:val="808080" w:themeColor="background1" w:themeShade="80"/>
          <w:szCs w:val="20"/>
          <w:u w:val="single"/>
        </w:rPr>
        <w:instrText xml:space="preserve"> HYPERLINK "https://www.uradni-list.si/glasilo-uradni-list-rs/vsebina/2018-01-2824/pravilnik-o-izvajanju-drzavnih-presejalnih-programov-za-zgodnje-odkrivanje-predrakavih-sprememb-in-raka/" \l "5. člen" </w:instrText>
      </w:r>
      <w:r w:rsidRPr="005E4BEA">
        <w:rPr>
          <w:rFonts w:cs="Arial"/>
          <w:b/>
          <w:bCs/>
          <w:i/>
          <w:iCs/>
          <w:color w:val="808080" w:themeColor="background1" w:themeShade="80"/>
          <w:szCs w:val="20"/>
          <w:u w:val="single"/>
        </w:rPr>
        <w:fldChar w:fldCharType="separate"/>
      </w:r>
    </w:p>
    <w:p w14:paraId="081514A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b/>
          <w:bCs/>
          <w:i/>
          <w:iCs/>
          <w:color w:val="808080" w:themeColor="background1" w:themeShade="80"/>
          <w:szCs w:val="20"/>
          <w:u w:val="single"/>
        </w:rPr>
        <w:t>5. člen</w:t>
      </w:r>
      <w:r w:rsidRPr="005E4BEA">
        <w:rPr>
          <w:rFonts w:cs="Arial"/>
          <w:i/>
          <w:iCs/>
          <w:color w:val="808080" w:themeColor="background1" w:themeShade="80"/>
          <w:szCs w:val="20"/>
        </w:rPr>
        <w:t> </w:t>
      </w:r>
      <w:r w:rsidRPr="005E4BEA">
        <w:rPr>
          <w:rFonts w:cs="Arial"/>
          <w:i/>
          <w:iCs/>
          <w:color w:val="808080" w:themeColor="background1" w:themeShade="80"/>
          <w:szCs w:val="20"/>
        </w:rPr>
        <w:fldChar w:fldCharType="end"/>
      </w:r>
      <w:r w:rsidRPr="005E4BEA">
        <w:rPr>
          <w:rFonts w:cs="Arial"/>
          <w:i/>
          <w:iCs/>
          <w:color w:val="808080" w:themeColor="background1" w:themeShade="80"/>
          <w:szCs w:val="20"/>
          <w:lang w:eastAsia="sl-SI"/>
        </w:rPr>
        <w:fldChar w:fldCharType="begin"/>
      </w:r>
      <w:r w:rsidRPr="005E4BEA">
        <w:rPr>
          <w:rFonts w:cs="Arial"/>
          <w:i/>
          <w:iCs/>
          <w:color w:val="808080" w:themeColor="background1" w:themeShade="80"/>
          <w:szCs w:val="20"/>
        </w:rPr>
        <w:instrText xml:space="preserve"> HYPERLINK "https://www.uradni-list.si/glasilo-uradni-list-rs/vsebina/2018-01-2824/pravilnik-o-izvajanju-drzavnih-presejalnih-programov-za-zgodnje-odkrivanje-predrakavih-sprememb-in-raka/" \l "(način izvajanja presejalnih programov)" </w:instrText>
      </w:r>
      <w:r w:rsidRPr="005E4BEA">
        <w:rPr>
          <w:rFonts w:cs="Arial"/>
          <w:i/>
          <w:iCs/>
          <w:color w:val="808080" w:themeColor="background1" w:themeShade="80"/>
          <w:szCs w:val="20"/>
          <w:lang w:eastAsia="sl-SI"/>
        </w:rPr>
        <w:fldChar w:fldCharType="separate"/>
      </w:r>
    </w:p>
    <w:p w14:paraId="2BC66B9E" w14:textId="77777777" w:rsidR="00FE461F" w:rsidRPr="005E4BEA" w:rsidRDefault="00FE461F" w:rsidP="00FE461F">
      <w:pPr>
        <w:spacing w:line="240" w:lineRule="auto"/>
        <w:jc w:val="both"/>
        <w:rPr>
          <w:rFonts w:cs="Arial"/>
          <w:szCs w:val="20"/>
        </w:rPr>
      </w:pPr>
      <w:r w:rsidRPr="005E4BEA">
        <w:rPr>
          <w:rFonts w:cs="Arial"/>
          <w:i/>
          <w:iCs/>
          <w:color w:val="808080" w:themeColor="background1" w:themeShade="80"/>
          <w:szCs w:val="20"/>
        </w:rPr>
        <w:t>(način izvajanja presejalnih programov)</w:t>
      </w:r>
      <w:r w:rsidRPr="005E4BEA">
        <w:rPr>
          <w:rFonts w:cs="Arial"/>
          <w:szCs w:val="20"/>
          <w:u w:val="single"/>
        </w:rPr>
        <w:t> </w:t>
      </w:r>
      <w:r w:rsidRPr="005E4BEA">
        <w:rPr>
          <w:rFonts w:cs="Arial"/>
          <w:szCs w:val="20"/>
        </w:rPr>
        <w:fldChar w:fldCharType="end"/>
      </w:r>
    </w:p>
    <w:p w14:paraId="761B462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 Posamezen presejalni program se izvaja v skladu s programskimi smernicami, ki temeljijo na evropskih smernicah za posamezno </w:t>
      </w:r>
      <w:proofErr w:type="spellStart"/>
      <w:r w:rsidRPr="005E4BEA">
        <w:rPr>
          <w:rFonts w:cs="Arial"/>
          <w:i/>
          <w:iCs/>
          <w:color w:val="808080" w:themeColor="background1" w:themeShade="80"/>
          <w:szCs w:val="20"/>
        </w:rPr>
        <w:t>presejanje</w:t>
      </w:r>
      <w:proofErr w:type="spellEnd"/>
      <w:r w:rsidRPr="005E4BEA">
        <w:rPr>
          <w:rFonts w:cs="Arial"/>
          <w:i/>
          <w:iCs/>
          <w:color w:val="808080" w:themeColor="background1" w:themeShade="80"/>
          <w:szCs w:val="20"/>
        </w:rPr>
        <w:t xml:space="preserve">, ki jih izda Mednarodna agencija za raziskave raka Svetovne zdravstvene organizacije (v nadaljnjem besedilu: evropske smernice). </w:t>
      </w:r>
    </w:p>
    <w:p w14:paraId="0F5FBB3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(2) Programske smernice iz prejšnjega odstavka vsebujejo: </w:t>
      </w:r>
    </w:p>
    <w:p w14:paraId="669CD2B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 presejalno politiko, ki določa cilje presejalnega programa, ciljne skupine presejalnega programa, presejalni interval in presejalni test; </w:t>
      </w:r>
    </w:p>
    <w:p w14:paraId="294C8BC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2. upravljavske storitve in način njihovega izvajanja; </w:t>
      </w:r>
    </w:p>
    <w:p w14:paraId="789A135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3. zdravstvene storitve in način njihovega izvajanja; </w:t>
      </w:r>
    </w:p>
    <w:p w14:paraId="49E52BE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4. druge storitve, ki jih določa ta pravilnik ali jih potrdi usmerjevalni odbor, in način njihovega izvajanja; </w:t>
      </w:r>
    </w:p>
    <w:p w14:paraId="77D300D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5. ukrepe za zmanjšanje neodzivnosti oseb, ki se ne odzovejo na povabilo k sodelovanju v presejalnem programu ali ne opravijo presejalnega testa in oseb, ki se po pozitivnem izvidu presejalnega testa ne udeležijo nadaljnje obravnave; </w:t>
      </w:r>
    </w:p>
    <w:p w14:paraId="74D3CE2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6. standarde za vključitev izvajalcev zdravstvenih storitev v posamezni presejalni program; </w:t>
      </w:r>
    </w:p>
    <w:p w14:paraId="7C97D7C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7. navodila izvajalcem zdravstvenih storitev za pošiljanje izvidov in drugih podatkov v informacijski sistem presejalnega programa; </w:t>
      </w:r>
    </w:p>
    <w:p w14:paraId="683DB6A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8. strokovne smernice za obravnavo oseb z nenormalnim rezultatom presejalnega testa ali odkrito boleznijo; </w:t>
      </w:r>
    </w:p>
    <w:p w14:paraId="2294D18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9. kazalnike kakovosti izvajanja posameznega presejalnega programa; </w:t>
      </w:r>
    </w:p>
    <w:p w14:paraId="4237E07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10. način nadzora nad izvajanjem posameznega presejalnega programa; </w:t>
      </w:r>
    </w:p>
    <w:p w14:paraId="74AC2C8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11. ukrepe za izvajalce ob neizpolnjevanju standardov oziroma kazalcev kakovosti izvajanja programa, ki vključujejo opomin, dodatno strokovno izpopolnjevanje in izključitev izvajalca iz izvajanja zdravstvenih storitev v okviru presejalnega programa; </w:t>
      </w:r>
    </w:p>
    <w:p w14:paraId="0C35CA7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12. navedbo strokovnih področij dela s katerih morajo biti člani Strokovnega sveta. </w:t>
      </w:r>
    </w:p>
    <w:p w14:paraId="06A59F70"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fldChar w:fldCharType="begin"/>
      </w:r>
      <w:r w:rsidRPr="005E4BEA">
        <w:rPr>
          <w:rFonts w:cs="Arial"/>
          <w:b/>
          <w:bCs/>
          <w:i/>
          <w:iCs/>
          <w:color w:val="808080" w:themeColor="background1" w:themeShade="80"/>
          <w:szCs w:val="20"/>
          <w:u w:val="single"/>
        </w:rPr>
        <w:instrText xml:space="preserve"> HYPERLINK "https://www.uradni-list.si/glasilo-uradni-list-rs/vsebina/2018-01-2824/pravilnik-o-izvajanju-drzavnih-presejalnih-programov-za-zgodnje-odkrivanje-predrakavih-sprememb-in-raka/" \l "6. člen" </w:instrText>
      </w:r>
      <w:r w:rsidRPr="005E4BEA">
        <w:rPr>
          <w:rFonts w:cs="Arial"/>
          <w:b/>
          <w:bCs/>
          <w:i/>
          <w:iCs/>
          <w:color w:val="808080" w:themeColor="background1" w:themeShade="80"/>
          <w:szCs w:val="20"/>
          <w:u w:val="single"/>
        </w:rPr>
        <w:fldChar w:fldCharType="separate"/>
      </w:r>
    </w:p>
    <w:p w14:paraId="1AE23B7F"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t>6. člen </w:t>
      </w:r>
      <w:r w:rsidRPr="005E4BEA">
        <w:rPr>
          <w:rFonts w:cs="Arial"/>
          <w:b/>
          <w:bCs/>
          <w:i/>
          <w:iCs/>
          <w:color w:val="808080" w:themeColor="background1" w:themeShade="80"/>
          <w:szCs w:val="20"/>
          <w:u w:val="single"/>
        </w:rPr>
        <w:fldChar w:fldCharType="end"/>
      </w:r>
      <w:r w:rsidRPr="005E4BEA">
        <w:rPr>
          <w:rFonts w:cs="Arial"/>
          <w:b/>
          <w:bCs/>
          <w:i/>
          <w:iCs/>
          <w:color w:val="808080" w:themeColor="background1" w:themeShade="80"/>
          <w:szCs w:val="20"/>
          <w:u w:val="single"/>
        </w:rPr>
        <w:fldChar w:fldCharType="begin"/>
      </w:r>
      <w:r w:rsidRPr="005E4BEA">
        <w:rPr>
          <w:rFonts w:cs="Arial"/>
          <w:b/>
          <w:bCs/>
          <w:i/>
          <w:iCs/>
          <w:color w:val="808080" w:themeColor="background1" w:themeShade="80"/>
          <w:szCs w:val="20"/>
          <w:u w:val="single"/>
        </w:rPr>
        <w:instrText xml:space="preserve"> HYPERLINK "https://www.uradni-list.si/glasilo-uradni-list-rs/vsebina/2018-01-2824/pravilnik-o-izvajanju-drzavnih-presejalnih-programov-za-zgodnje-odkrivanje-predrakavih-sprememb-in-raka/" \l "(nosilec in njegove naloge)" </w:instrText>
      </w:r>
      <w:r w:rsidRPr="005E4BEA">
        <w:rPr>
          <w:rFonts w:cs="Arial"/>
          <w:b/>
          <w:bCs/>
          <w:i/>
          <w:iCs/>
          <w:color w:val="808080" w:themeColor="background1" w:themeShade="80"/>
          <w:szCs w:val="20"/>
          <w:u w:val="single"/>
        </w:rPr>
        <w:fldChar w:fldCharType="separate"/>
      </w:r>
    </w:p>
    <w:p w14:paraId="7411264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b/>
          <w:bCs/>
          <w:i/>
          <w:iCs/>
          <w:color w:val="808080" w:themeColor="background1" w:themeShade="80"/>
          <w:szCs w:val="20"/>
          <w:u w:val="single"/>
        </w:rPr>
        <w:t>(nosilec in njegove naloge)</w:t>
      </w:r>
      <w:r w:rsidRPr="005E4BEA">
        <w:rPr>
          <w:rFonts w:cs="Arial"/>
          <w:i/>
          <w:iCs/>
          <w:color w:val="808080" w:themeColor="background1" w:themeShade="80"/>
          <w:szCs w:val="20"/>
        </w:rPr>
        <w:t> </w:t>
      </w:r>
      <w:r w:rsidRPr="005E4BEA">
        <w:rPr>
          <w:rFonts w:cs="Arial"/>
          <w:i/>
          <w:iCs/>
          <w:color w:val="808080" w:themeColor="background1" w:themeShade="80"/>
          <w:szCs w:val="20"/>
        </w:rPr>
        <w:fldChar w:fldCharType="end"/>
      </w:r>
    </w:p>
    <w:p w14:paraId="50F5E23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 Nosilec je javni zdravstveni zavod, ki ga določa ta pravilnik. </w:t>
      </w:r>
    </w:p>
    <w:p w14:paraId="03F3ED7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(2) Upravljavske storitve nosilca obsegajo: </w:t>
      </w:r>
    </w:p>
    <w:p w14:paraId="3FEA8CE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 vabljenje ciljne populacije v presejalni program; </w:t>
      </w:r>
    </w:p>
    <w:p w14:paraId="242C787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2. usmerjanje razvoja presejalnega programa v skladu z novimi strokovnimi spoznanji in evropskimi smernicami; </w:t>
      </w:r>
    </w:p>
    <w:p w14:paraId="59168BC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3. priprava in redno revidiranje programskih smernic presejalnega programa iz prejšnjega člena; </w:t>
      </w:r>
    </w:p>
    <w:p w14:paraId="50FD389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4. načrtovanje in vodenje presejalnega programa, koordiniranje izvajanja in spremljanje učinkovitosti izvajanja presejalnega programa; </w:t>
      </w:r>
    </w:p>
    <w:p w14:paraId="1D71F1B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 xml:space="preserve">5. vključevanje izvajalcev, ki izpolnjujejo standarde iz 6. točke drugega odstavka prejšnjega člena, v presejalni program; </w:t>
      </w:r>
    </w:p>
    <w:p w14:paraId="3753F8E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6. vzpostavitev, upravljanje in nadgradnja informacijskega sistema presejalnega programa; </w:t>
      </w:r>
    </w:p>
    <w:p w14:paraId="2B8007C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7. imenovanje Strokovnega sveta; </w:t>
      </w:r>
    </w:p>
    <w:p w14:paraId="69B6A1D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8. komuniciranje in promocija presejalnega programa; </w:t>
      </w:r>
    </w:p>
    <w:p w14:paraId="1E6CE6A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9. strokovno usposabljanje sodelavcev in bodočih sodelavcev presejalnega programa; </w:t>
      </w:r>
    </w:p>
    <w:p w14:paraId="52D8FA5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10. izvajanje nadzora in ukrepov v skladu z 10. in 11. točko drugega odstavka prejšnjega člena; </w:t>
      </w:r>
    </w:p>
    <w:p w14:paraId="6909CB5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11. priprava dvoletnega načrta dela presejalnega programa; </w:t>
      </w:r>
    </w:p>
    <w:p w14:paraId="37CB286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12. priprava letnega poročila presejalnega programa, ki vsebuje analizo doseganja ciljev presejalnega programa, izvajanja presejalnega programa in kakovosti presejalnega programa ter predloge sprememb in izboljšav. Poročilo za preteklo leto se najpozneje do 15. februarja tekočega leta predloži Usmerjevalnemu odboru. </w:t>
      </w:r>
    </w:p>
    <w:p w14:paraId="07DA59D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(3) Nosilec upravlja z informacijskim sistemom presejalnega programa iz 6. točke prejšnjega odstavka v skladu s predpisi, ki urejajo varstvo osebnih podatkov. </w:t>
      </w:r>
    </w:p>
    <w:p w14:paraId="5EB5D6E3" w14:textId="77777777" w:rsidR="00FE461F" w:rsidRPr="005E4BEA" w:rsidRDefault="00FE461F" w:rsidP="00FE461F">
      <w:pPr>
        <w:spacing w:line="259" w:lineRule="auto"/>
        <w:rPr>
          <w:rFonts w:cs="Arial"/>
          <w:i/>
          <w:iCs/>
          <w:color w:val="808080" w:themeColor="background1" w:themeShade="80"/>
          <w:szCs w:val="20"/>
        </w:rPr>
      </w:pPr>
      <w:r w:rsidRPr="005E4BEA">
        <w:rPr>
          <w:rFonts w:cs="Arial"/>
          <w:i/>
          <w:iCs/>
          <w:color w:val="808080" w:themeColor="background1" w:themeShade="80"/>
          <w:szCs w:val="20"/>
        </w:rPr>
        <w:t>(4) Nosilec je lahko tudi izvajalec posameznega presejalnega programa.</w:t>
      </w:r>
    </w:p>
    <w:p w14:paraId="0101A261" w14:textId="77777777" w:rsidR="00FE461F" w:rsidRPr="005E4BEA" w:rsidRDefault="00FE461F" w:rsidP="00FE461F">
      <w:pPr>
        <w:spacing w:line="240" w:lineRule="auto"/>
        <w:jc w:val="both"/>
        <w:rPr>
          <w:rFonts w:cs="Arial"/>
          <w:i/>
          <w:iCs/>
          <w:color w:val="767171" w:themeColor="background2" w:themeShade="80"/>
          <w:szCs w:val="20"/>
        </w:rPr>
      </w:pPr>
    </w:p>
    <w:p w14:paraId="36BF0389"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ZD ZAS se v 26. členu doda nov (10) odstavek tako, da se glasi: </w:t>
      </w:r>
    </w:p>
    <w:p w14:paraId="58F75D42" w14:textId="77777777" w:rsidR="00FE461F" w:rsidRPr="005E4BEA" w:rsidRDefault="00FE461F" w:rsidP="00FE461F">
      <w:pPr>
        <w:spacing w:line="240" w:lineRule="auto"/>
        <w:jc w:val="both"/>
        <w:rPr>
          <w:rFonts w:cs="Arial"/>
          <w:iCs/>
          <w:szCs w:val="20"/>
        </w:rPr>
      </w:pPr>
      <w:r w:rsidRPr="005E4BEA">
        <w:rPr>
          <w:rFonts w:cs="Arial"/>
          <w:iCs/>
          <w:szCs w:val="20"/>
        </w:rPr>
        <w:t xml:space="preserve">(10) Za izvajanje storitev priprave in razvoja, koordinacije, strokovne podpore pri implementaciji, vodenja spremljanja in </w:t>
      </w:r>
      <w:proofErr w:type="spellStart"/>
      <w:r w:rsidRPr="005E4BEA">
        <w:rPr>
          <w:rFonts w:cs="Arial"/>
          <w:iCs/>
          <w:szCs w:val="20"/>
        </w:rPr>
        <w:t>evalviranja</w:t>
      </w:r>
      <w:proofErr w:type="spellEnd"/>
      <w:r w:rsidRPr="005E4BEA">
        <w:rPr>
          <w:rFonts w:cs="Arial"/>
          <w:iCs/>
          <w:szCs w:val="20"/>
        </w:rPr>
        <w:t xml:space="preserve"> programa Prvih 1000 dni se za stroške kadra in materialne stroške NIJZ od 1.1.2022 nameni 185.014,59 EUR. </w:t>
      </w:r>
    </w:p>
    <w:p w14:paraId="24C1A503"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3E43D7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 spremembi 26. člena Priloge ZD ZAS, 10. odstavek: Utemeljitev je podana že pod spremembami 6. odstavka 24. člena Splošnega dogovora za pogodbeno leto 2020 (VI. Planska vrednost programov zdravstvenih dejavnosti).</w:t>
      </w:r>
    </w:p>
    <w:p w14:paraId="561765E8"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ZD ZAS se v 26. členu doda nov (11) odstavek tako, da se glasi: </w:t>
      </w:r>
    </w:p>
    <w:p w14:paraId="5AAD6765" w14:textId="77777777" w:rsidR="00FE461F" w:rsidRPr="005E4BEA" w:rsidRDefault="00FE461F" w:rsidP="00FE461F">
      <w:pPr>
        <w:spacing w:line="240" w:lineRule="auto"/>
        <w:jc w:val="both"/>
        <w:rPr>
          <w:rFonts w:cs="Arial"/>
          <w:iCs/>
          <w:szCs w:val="20"/>
        </w:rPr>
      </w:pPr>
      <w:r w:rsidRPr="005E4BEA">
        <w:rPr>
          <w:rFonts w:cs="Arial"/>
          <w:iCs/>
          <w:szCs w:val="20"/>
        </w:rPr>
        <w:t xml:space="preserve">(11) Za izvajanje storitev priprave in razvoja, koordinacije, strokovne podpore pri implementaciji, vodenja spremljanja in </w:t>
      </w:r>
      <w:proofErr w:type="spellStart"/>
      <w:r w:rsidRPr="005E4BEA">
        <w:rPr>
          <w:rFonts w:cs="Arial"/>
          <w:iCs/>
          <w:szCs w:val="20"/>
        </w:rPr>
        <w:t>evalviranja</w:t>
      </w:r>
      <w:proofErr w:type="spellEnd"/>
      <w:r w:rsidRPr="005E4BEA">
        <w:rPr>
          <w:rFonts w:cs="Arial"/>
          <w:iCs/>
          <w:szCs w:val="20"/>
        </w:rPr>
        <w:t xml:space="preserve"> programa preventivnega patronažnega varstva se za stroške kadra in materialne stroške NIJZ od 1.1.2022 nameni 111.702,21 EUR. Ta sredstva NIJZ nakazuje redno v trimesečjih regijskim odgovornim patronažnim medicinskim sestram, ki delo opravljajo v obsegu dva dni na mesec in o tem poročajo. Preostala sredstva se porabijo za nacionalno vodenje, koordiniranje in spremljanje programa. Delo regijskih koordinatorjev se opravlja izven rednega delovnega časa.</w:t>
      </w:r>
    </w:p>
    <w:p w14:paraId="49648008"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2F9093C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 spremembi 26. člena Priloge ZD ZAS, 11. odstavek: Utemeljitev je podana že pod spremembami 6. odstavka 24. člena Splošnega dogovora za pogodbeno leto 2020 (VI. Planska vrednost programov zdravstvenih dejavnosti).</w:t>
      </w:r>
    </w:p>
    <w:p w14:paraId="588280E7" w14:textId="77777777" w:rsidR="00FE461F" w:rsidRPr="005E4BEA" w:rsidRDefault="00FE461F" w:rsidP="00FE461F">
      <w:pPr>
        <w:spacing w:line="240" w:lineRule="auto"/>
        <w:jc w:val="both"/>
        <w:rPr>
          <w:rFonts w:cs="Arial"/>
          <w:i/>
          <w:iCs/>
          <w:color w:val="808080" w:themeColor="background1" w:themeShade="80"/>
          <w:szCs w:val="20"/>
        </w:rPr>
      </w:pPr>
    </w:p>
    <w:p w14:paraId="2197F39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2,2 mio €</w:t>
      </w:r>
    </w:p>
    <w:p w14:paraId="5D67A664" w14:textId="2F78A784" w:rsidR="00FE461F" w:rsidRPr="005E4BEA" w:rsidRDefault="00FE461F" w:rsidP="00FE461F">
      <w:pPr>
        <w:spacing w:line="240" w:lineRule="auto"/>
        <w:jc w:val="both"/>
        <w:rPr>
          <w:rFonts w:cs="Arial"/>
          <w:i/>
          <w:iCs/>
          <w:color w:val="808080" w:themeColor="background1" w:themeShade="80"/>
          <w:szCs w:val="20"/>
        </w:rPr>
      </w:pPr>
    </w:p>
    <w:p w14:paraId="42BF3617" w14:textId="3C8AE09B" w:rsidR="00933478" w:rsidRPr="005E4BEA" w:rsidRDefault="00933478" w:rsidP="00FE461F">
      <w:pPr>
        <w:spacing w:line="240" w:lineRule="auto"/>
        <w:jc w:val="both"/>
        <w:rPr>
          <w:rFonts w:cs="Arial"/>
          <w:i/>
          <w:iCs/>
          <w:color w:val="808080" w:themeColor="background1" w:themeShade="80"/>
          <w:szCs w:val="20"/>
        </w:rPr>
      </w:pPr>
    </w:p>
    <w:p w14:paraId="7FE66620" w14:textId="367AE2B6" w:rsidR="00933478" w:rsidRPr="005E4BEA" w:rsidRDefault="00933478" w:rsidP="002960F9">
      <w:pPr>
        <w:shd w:val="clear" w:color="auto" w:fill="FFFFFF" w:themeFill="background1"/>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r w:rsidR="00815EC3" w:rsidRPr="005E4BEA">
        <w:rPr>
          <w:rFonts w:eastAsia="Arial Narrow" w:cs="Arial"/>
          <w:szCs w:val="20"/>
        </w:rPr>
        <w:t xml:space="preserve"> </w:t>
      </w:r>
      <w:r w:rsidR="005C7CDA" w:rsidRPr="005E4BEA">
        <w:rPr>
          <w:rFonts w:eastAsia="Arial Narrow" w:cs="Arial"/>
          <w:szCs w:val="20"/>
        </w:rPr>
        <w:t xml:space="preserve">Financiranje programa ZDAJ sodi v državni proračun in ne v zdravstveno blagajno. </w:t>
      </w:r>
    </w:p>
    <w:p w14:paraId="44E8C49F" w14:textId="77777777" w:rsidR="00933478" w:rsidRPr="005E4BEA" w:rsidRDefault="00933478" w:rsidP="00933478">
      <w:pPr>
        <w:spacing w:line="0" w:lineRule="atLeast"/>
        <w:jc w:val="both"/>
        <w:rPr>
          <w:rFonts w:eastAsia="Arial Narrow" w:cs="Arial"/>
          <w:szCs w:val="20"/>
          <w:lang w:eastAsia="sl-SI"/>
        </w:rPr>
      </w:pPr>
    </w:p>
    <w:p w14:paraId="30CBF04A"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1ACE0946" w14:textId="77777777" w:rsidR="00933478" w:rsidRPr="005E4BEA" w:rsidRDefault="00933478" w:rsidP="00933478">
      <w:pPr>
        <w:spacing w:line="0" w:lineRule="atLeast"/>
        <w:contextualSpacing/>
        <w:jc w:val="both"/>
        <w:rPr>
          <w:rFonts w:eastAsiaTheme="minorHAnsi" w:cs="Arial"/>
          <w:bCs/>
          <w:szCs w:val="20"/>
        </w:rPr>
      </w:pPr>
    </w:p>
    <w:p w14:paraId="42C45B5A" w14:textId="77777777" w:rsidR="00933478" w:rsidRPr="005E4BEA" w:rsidRDefault="00933478" w:rsidP="00933478">
      <w:pPr>
        <w:spacing w:line="0" w:lineRule="atLeast"/>
        <w:contextualSpacing/>
        <w:jc w:val="both"/>
        <w:rPr>
          <w:rFonts w:eastAsiaTheme="minorHAnsi" w:cs="Arial"/>
          <w:bCs/>
          <w:szCs w:val="20"/>
        </w:rPr>
      </w:pPr>
    </w:p>
    <w:p w14:paraId="01F157C0" w14:textId="397E1676"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(140)</w:t>
      </w:r>
    </w:p>
    <w:p w14:paraId="22C0223D" w14:textId="77777777" w:rsidR="00933478" w:rsidRPr="005E4BEA" w:rsidRDefault="00933478" w:rsidP="00933478">
      <w:pPr>
        <w:spacing w:line="240" w:lineRule="auto"/>
        <w:jc w:val="both"/>
        <w:rPr>
          <w:rFonts w:eastAsia="Arial Narrow" w:cs="Arial"/>
          <w:bCs/>
          <w:szCs w:val="20"/>
        </w:rPr>
      </w:pPr>
    </w:p>
    <w:p w14:paraId="5037D18A" w14:textId="03CC8720" w:rsidR="00FE461F" w:rsidRPr="005E4BEA" w:rsidRDefault="00933478" w:rsidP="00933478">
      <w:pPr>
        <w:widowControl w:val="0"/>
        <w:suppressAutoHyphens/>
        <w:spacing w:line="240" w:lineRule="auto"/>
        <w:jc w:val="both"/>
        <w:rPr>
          <w:rFonts w:cs="Arial"/>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da se v </w:t>
      </w:r>
      <w:r w:rsidR="00FE461F" w:rsidRPr="005E4BEA">
        <w:rPr>
          <w:rFonts w:cs="Arial"/>
          <w:szCs w:val="20"/>
        </w:rPr>
        <w:t>Prilog</w:t>
      </w:r>
      <w:r w:rsidRPr="005E4BEA">
        <w:rPr>
          <w:rFonts w:cs="Arial"/>
          <w:szCs w:val="20"/>
        </w:rPr>
        <w:t>i</w:t>
      </w:r>
      <w:r w:rsidR="00FE461F" w:rsidRPr="005E4BEA">
        <w:rPr>
          <w:rFonts w:cs="Arial"/>
          <w:szCs w:val="20"/>
        </w:rPr>
        <w:t xml:space="preserve"> ZD ZAS-2 poglavje Število timov po izpostavah Zavoda v tabeli v stolpcu zdravstvena vzgoja poveča št. timov za 2,63 tima za OE Ljubljana, LJ.-sedež za UKC Ljubljana:</w:t>
      </w:r>
    </w:p>
    <w:p w14:paraId="086E8AA1" w14:textId="6EC656F9" w:rsidR="00FE461F" w:rsidRPr="005E4BEA" w:rsidRDefault="00FE461F" w:rsidP="00FE461F">
      <w:pPr>
        <w:spacing w:line="240" w:lineRule="auto"/>
        <w:jc w:val="both"/>
        <w:rPr>
          <w:rFonts w:cs="Arial"/>
          <w:iCs/>
          <w:szCs w:val="20"/>
        </w:rPr>
      </w:pPr>
      <w:r w:rsidRPr="005E4BEA">
        <w:rPr>
          <w:rFonts w:cs="Arial"/>
          <w:iCs/>
          <w:szCs w:val="20"/>
        </w:rPr>
        <w:t xml:space="preserve">OE Ljubljana, </w:t>
      </w:r>
      <w:proofErr w:type="spellStart"/>
      <w:r w:rsidRPr="005E4BEA">
        <w:rPr>
          <w:rFonts w:cs="Arial"/>
          <w:iCs/>
          <w:szCs w:val="20"/>
        </w:rPr>
        <w:t>Lj</w:t>
      </w:r>
      <w:proofErr w:type="spellEnd"/>
      <w:r w:rsidRPr="005E4BEA">
        <w:rPr>
          <w:rFonts w:cs="Arial"/>
          <w:iCs/>
          <w:szCs w:val="20"/>
        </w:rPr>
        <w:t>.-sedež: 19,23 tima za zdravstveno vzgojo.</w:t>
      </w:r>
    </w:p>
    <w:p w14:paraId="4A03831F" w14:textId="77777777" w:rsidR="00933478" w:rsidRPr="005E4BEA" w:rsidRDefault="00933478" w:rsidP="00FE461F">
      <w:pPr>
        <w:spacing w:line="240" w:lineRule="auto"/>
        <w:jc w:val="both"/>
        <w:rPr>
          <w:rFonts w:cs="Arial"/>
          <w:iCs/>
          <w:szCs w:val="20"/>
        </w:rPr>
      </w:pPr>
    </w:p>
    <w:p w14:paraId="13C900C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212EC3C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Povečanje predlagamo zaradi povečanega obsega dela v šoli za starše, posvetovalnice za prehrano in nego bolnikov z rakom glave in vratu ter raka na dihalnem sistemu. </w:t>
      </w:r>
    </w:p>
    <w:p w14:paraId="1A19971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Ginekološka klinika izvaja šolo za starše za vse nosečnice za Ljubljano z okolico, tudi za tiste, ki imajo izbranega ginekologa v zdravstvenih domovih in pri koncesionarjih. Nosečnost sodi v sklop programov, ki so plačani po realizaciji, zaradi tega ni mogoče dela v šoli za starše omejevati. Nujno bi potrebovali povečanje za 1 tim šole za starše.</w:t>
      </w:r>
    </w:p>
    <w:p w14:paraId="62C51E9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Kirurški kliniki izvajajo zdravstveno vzgojo za bolnike z rakom patronažne MS ter svojce (torakalna drenaža, </w:t>
      </w:r>
      <w:proofErr w:type="spellStart"/>
      <w:r w:rsidRPr="005E4BEA">
        <w:rPr>
          <w:rFonts w:cs="Arial"/>
          <w:i/>
          <w:iCs/>
          <w:color w:val="808080" w:themeColor="background1" w:themeShade="80"/>
          <w:szCs w:val="20"/>
        </w:rPr>
        <w:t>traheostoma</w:t>
      </w:r>
      <w:proofErr w:type="spellEnd"/>
      <w:r w:rsidRPr="005E4BEA">
        <w:rPr>
          <w:rFonts w:cs="Arial"/>
          <w:i/>
          <w:iCs/>
          <w:color w:val="808080" w:themeColor="background1" w:themeShade="80"/>
          <w:szCs w:val="20"/>
        </w:rPr>
        <w:t xml:space="preserve">, hranilno </w:t>
      </w:r>
      <w:proofErr w:type="spellStart"/>
      <w:r w:rsidRPr="005E4BEA">
        <w:rPr>
          <w:rFonts w:cs="Arial"/>
          <w:i/>
          <w:iCs/>
          <w:color w:val="808080" w:themeColor="background1" w:themeShade="80"/>
          <w:szCs w:val="20"/>
        </w:rPr>
        <w:t>stoma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torakostoma</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plevrix</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pneumostat</w:t>
      </w:r>
      <w:proofErr w:type="spellEnd"/>
      <w:r w:rsidRPr="005E4BEA">
        <w:rPr>
          <w:rFonts w:cs="Arial"/>
          <w:i/>
          <w:iCs/>
          <w:color w:val="808080" w:themeColor="background1" w:themeShade="80"/>
          <w:szCs w:val="20"/>
        </w:rPr>
        <w:t>…). Na Kliniki za ORL in CFK imajo posvetovalnico za prehrano in nego bolnikov z rakom glave in vratu. Nujno bi potrebovali povečanje za 0,63 tima za zdravstveno vzgojo bolnikov z rakom.</w:t>
      </w:r>
    </w:p>
    <w:p w14:paraId="3F34A37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Na kliničnem oddelku za nefrologijo izvajajo zdravstveno vzgojo s področja klinične prehrane in gibalne rehabilitacije bolnikov s kronično ledvično boleznijo. Pri kroničnih internističnih bolnikih obstaja možnost velikih prihrankov pri farmakološki terapiji in izboljševanja zdravja z ustrezno dietno intervencijo in gibalno rehabilitacijo. Teh zdravljenj zaenkrat bolniki niso deležni. V obsegu kot bi bilo nujno potrebno. Nujno bi potrebovali povečanje za 1 tim.</w:t>
      </w:r>
    </w:p>
    <w:p w14:paraId="6170B133" w14:textId="77777777" w:rsidR="00FE461F" w:rsidRPr="005E4BEA" w:rsidRDefault="00FE461F" w:rsidP="00FE461F">
      <w:pPr>
        <w:spacing w:line="240" w:lineRule="auto"/>
        <w:jc w:val="both"/>
        <w:rPr>
          <w:rFonts w:cs="Arial"/>
          <w:i/>
          <w:iCs/>
          <w:color w:val="808080" w:themeColor="background1" w:themeShade="80"/>
          <w:szCs w:val="20"/>
        </w:rPr>
      </w:pPr>
    </w:p>
    <w:p w14:paraId="3B4AD39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101.352 eur za 2,63 tima.</w:t>
      </w:r>
    </w:p>
    <w:p w14:paraId="40A4D898" w14:textId="77777777" w:rsidR="00FE461F" w:rsidRPr="005E4BEA" w:rsidRDefault="00FE461F" w:rsidP="00FE461F">
      <w:pPr>
        <w:spacing w:line="240" w:lineRule="auto"/>
        <w:jc w:val="both"/>
        <w:rPr>
          <w:rFonts w:cs="Arial"/>
          <w:i/>
          <w:iCs/>
          <w:color w:val="808080" w:themeColor="background1" w:themeShade="80"/>
          <w:szCs w:val="20"/>
        </w:rPr>
      </w:pPr>
    </w:p>
    <w:p w14:paraId="06F9D37F"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933616A" w14:textId="77777777" w:rsidR="00933478" w:rsidRPr="005E4BEA" w:rsidRDefault="00933478" w:rsidP="00933478">
      <w:pPr>
        <w:spacing w:line="0" w:lineRule="atLeast"/>
        <w:jc w:val="both"/>
        <w:rPr>
          <w:rFonts w:eastAsia="Arial Narrow" w:cs="Arial"/>
          <w:szCs w:val="20"/>
          <w:lang w:eastAsia="sl-SI"/>
        </w:rPr>
      </w:pPr>
    </w:p>
    <w:p w14:paraId="032CF4C8"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07DACD6E" w14:textId="77777777" w:rsidR="00933478" w:rsidRPr="005E4BEA" w:rsidRDefault="00933478" w:rsidP="00933478">
      <w:pPr>
        <w:spacing w:line="0" w:lineRule="atLeast"/>
        <w:contextualSpacing/>
        <w:jc w:val="both"/>
        <w:rPr>
          <w:rFonts w:eastAsiaTheme="minorHAnsi" w:cs="Arial"/>
          <w:bCs/>
          <w:szCs w:val="20"/>
        </w:rPr>
      </w:pPr>
    </w:p>
    <w:p w14:paraId="70079D0C" w14:textId="77777777" w:rsidR="00933478" w:rsidRPr="005E4BEA" w:rsidRDefault="00933478" w:rsidP="00933478">
      <w:pPr>
        <w:spacing w:line="0" w:lineRule="atLeast"/>
        <w:contextualSpacing/>
        <w:jc w:val="both"/>
        <w:rPr>
          <w:rFonts w:eastAsiaTheme="minorHAnsi" w:cs="Arial"/>
          <w:bCs/>
          <w:szCs w:val="20"/>
        </w:rPr>
      </w:pPr>
    </w:p>
    <w:p w14:paraId="6F20B604" w14:textId="7DD7ED21" w:rsidR="00933478" w:rsidRPr="005E4BEA" w:rsidRDefault="00933478" w:rsidP="00F356C9">
      <w:pPr>
        <w:pStyle w:val="Naslov2"/>
        <w:numPr>
          <w:ilvl w:val="0"/>
          <w:numId w:val="79"/>
        </w:numPr>
        <w:ind w:left="0" w:firstLine="0"/>
        <w:rPr>
          <w:rFonts w:ascii="Arial" w:eastAsia="Arial Narrow" w:hAnsi="Arial" w:cs="Arial"/>
          <w:sz w:val="20"/>
        </w:rPr>
      </w:pPr>
      <w:bookmarkStart w:id="164" w:name="_Hlk102386037"/>
      <w:r w:rsidRPr="005E4BEA">
        <w:rPr>
          <w:rFonts w:ascii="Arial" w:eastAsia="Arial Narrow" w:hAnsi="Arial" w:cs="Arial"/>
          <w:sz w:val="20"/>
        </w:rPr>
        <w:t>SPORNO VPRAŠANJE (141)</w:t>
      </w:r>
    </w:p>
    <w:p w14:paraId="54F39D94" w14:textId="77777777" w:rsidR="00933478" w:rsidRPr="005E4BEA" w:rsidRDefault="00933478" w:rsidP="00933478">
      <w:pPr>
        <w:spacing w:line="240" w:lineRule="auto"/>
        <w:jc w:val="both"/>
        <w:rPr>
          <w:rFonts w:eastAsia="Arial Narrow" w:cs="Arial"/>
          <w:bCs/>
          <w:szCs w:val="20"/>
        </w:rPr>
      </w:pPr>
    </w:p>
    <w:p w14:paraId="6144B84D" w14:textId="55FC72E4" w:rsidR="00FE461F" w:rsidRPr="005E4BEA" w:rsidRDefault="00933478" w:rsidP="00FE461F">
      <w:pPr>
        <w:spacing w:line="240" w:lineRule="auto"/>
        <w:jc w:val="both"/>
        <w:rPr>
          <w:rFonts w:cs="Arial"/>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da se v </w:t>
      </w:r>
      <w:r w:rsidRPr="005E4BEA">
        <w:rPr>
          <w:rFonts w:cs="Arial"/>
          <w:szCs w:val="20"/>
        </w:rPr>
        <w:t>Prilogi ZD ZAS</w:t>
      </w:r>
      <w:r w:rsidR="00FE461F" w:rsidRPr="005E4BEA">
        <w:rPr>
          <w:rFonts w:cs="Arial"/>
          <w:szCs w:val="20"/>
        </w:rPr>
        <w:t xml:space="preserve">-4 Plan </w:t>
      </w:r>
      <w:proofErr w:type="spellStart"/>
      <w:r w:rsidR="00FE461F" w:rsidRPr="005E4BEA">
        <w:rPr>
          <w:rFonts w:cs="Arial"/>
          <w:szCs w:val="20"/>
        </w:rPr>
        <w:t>nenujnih</w:t>
      </w:r>
      <w:proofErr w:type="spellEnd"/>
      <w:r w:rsidR="00FE461F" w:rsidRPr="005E4BEA">
        <w:rPr>
          <w:rFonts w:cs="Arial"/>
          <w:szCs w:val="20"/>
        </w:rPr>
        <w:t xml:space="preserve"> reševalnih prevozov za pogodbeno leto 2020</w:t>
      </w:r>
      <w:r w:rsidR="00FE461F" w:rsidRPr="005E4BEA">
        <w:rPr>
          <w:rFonts w:cs="Arial"/>
          <w:iCs/>
          <w:szCs w:val="20"/>
        </w:rPr>
        <w:t xml:space="preserve"> pri postavki Zdravstveno reševalni center Koroške v koloni 2 (NRP s spremljevalcem ) in 4 (Plan km (točk) spremeni tako, da se prizna 6,76 tima oz. 672.350 km (točk).</w:t>
      </w:r>
    </w:p>
    <w:p w14:paraId="245F4DDF" w14:textId="77777777" w:rsidR="00FE461F" w:rsidRPr="005E4BEA" w:rsidRDefault="00FE461F" w:rsidP="00FE461F">
      <w:pPr>
        <w:spacing w:line="240" w:lineRule="auto"/>
        <w:jc w:val="both"/>
        <w:rPr>
          <w:rFonts w:cs="Arial"/>
          <w:iCs/>
          <w:szCs w:val="20"/>
        </w:rPr>
      </w:pPr>
    </w:p>
    <w:p w14:paraId="773B2D10"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43CC2D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Priznan plan km/točk ni skladen s potrebami našega območja Koroške regije, ki ima 71.603 prebivalcev oz. 135.311 zavarovanih oseb in obsega 1.041 km2. Do 31. 12. 2021 je ZRCK na dejavnosti </w:t>
      </w:r>
      <w:proofErr w:type="spellStart"/>
      <w:r w:rsidRPr="005E4BEA">
        <w:rPr>
          <w:rFonts w:cs="Arial"/>
          <w:i/>
          <w:iCs/>
          <w:color w:val="808080" w:themeColor="background1" w:themeShade="80"/>
          <w:szCs w:val="20"/>
        </w:rPr>
        <w:t>nenujnih</w:t>
      </w:r>
      <w:proofErr w:type="spellEnd"/>
      <w:r w:rsidRPr="005E4BEA">
        <w:rPr>
          <w:rFonts w:cs="Arial"/>
          <w:i/>
          <w:iCs/>
          <w:color w:val="808080" w:themeColor="background1" w:themeShade="80"/>
          <w:szCs w:val="20"/>
        </w:rPr>
        <w:t xml:space="preserve"> reševalnih prevozov s spremljevalcem kljub zmanjšanju število prevozov zaradi COVID 19, opravil skupno 831.241 točk oz. 9.195 prevozov v ali iz ustanove oz. 222,27% vseh priznanih točk. Plan za leto 2021 smo dosegli že v prvem tednu meseca junija 2021.</w:t>
      </w:r>
    </w:p>
    <w:p w14:paraId="1A0B67AF" w14:textId="77777777" w:rsidR="00FE461F" w:rsidRPr="005E4BEA" w:rsidRDefault="00FE461F" w:rsidP="00FE461F">
      <w:pPr>
        <w:spacing w:line="240" w:lineRule="auto"/>
        <w:jc w:val="both"/>
        <w:rPr>
          <w:rFonts w:cs="Arial"/>
          <w:i/>
          <w:iCs/>
          <w:color w:val="808080" w:themeColor="background1" w:themeShade="80"/>
          <w:szCs w:val="20"/>
        </w:rPr>
      </w:pPr>
    </w:p>
    <w:p w14:paraId="01A2DAAB"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FAB836C" w14:textId="77777777" w:rsidR="00933478" w:rsidRPr="005E4BEA" w:rsidRDefault="00933478" w:rsidP="00933478">
      <w:pPr>
        <w:spacing w:line="0" w:lineRule="atLeast"/>
        <w:jc w:val="both"/>
        <w:rPr>
          <w:rFonts w:eastAsia="Arial Narrow" w:cs="Arial"/>
          <w:szCs w:val="20"/>
          <w:lang w:eastAsia="sl-SI"/>
        </w:rPr>
      </w:pPr>
    </w:p>
    <w:p w14:paraId="51DDB401"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bookmarkEnd w:id="164"/>
    <w:p w14:paraId="414F73A3" w14:textId="77777777" w:rsidR="00933478" w:rsidRPr="005E4BEA" w:rsidRDefault="00933478" w:rsidP="00933478">
      <w:pPr>
        <w:spacing w:line="0" w:lineRule="atLeast"/>
        <w:contextualSpacing/>
        <w:jc w:val="both"/>
        <w:rPr>
          <w:rFonts w:eastAsiaTheme="minorHAnsi" w:cs="Arial"/>
          <w:bCs/>
          <w:szCs w:val="20"/>
        </w:rPr>
      </w:pPr>
    </w:p>
    <w:p w14:paraId="3D99D32E" w14:textId="77777777" w:rsidR="00933478" w:rsidRPr="005E4BEA" w:rsidRDefault="00933478" w:rsidP="00933478">
      <w:pPr>
        <w:spacing w:line="0" w:lineRule="atLeast"/>
        <w:contextualSpacing/>
        <w:jc w:val="both"/>
        <w:rPr>
          <w:rFonts w:eastAsiaTheme="minorHAnsi" w:cs="Arial"/>
          <w:bCs/>
          <w:szCs w:val="20"/>
        </w:rPr>
      </w:pPr>
    </w:p>
    <w:p w14:paraId="51475A63" w14:textId="1F37FD93"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(142)</w:t>
      </w:r>
    </w:p>
    <w:p w14:paraId="3963572A" w14:textId="77777777" w:rsidR="00933478" w:rsidRPr="005E4BEA" w:rsidRDefault="00933478" w:rsidP="00933478">
      <w:pPr>
        <w:spacing w:line="240" w:lineRule="auto"/>
        <w:jc w:val="both"/>
        <w:rPr>
          <w:rFonts w:eastAsia="Arial Narrow" w:cs="Arial"/>
          <w:bCs/>
          <w:szCs w:val="20"/>
        </w:rPr>
      </w:pPr>
    </w:p>
    <w:p w14:paraId="23F7BD54" w14:textId="19CBD8BE" w:rsidR="00FE461F" w:rsidRPr="005E4BEA" w:rsidRDefault="00933478"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da se v </w:t>
      </w:r>
      <w:r w:rsidRPr="005E4BEA">
        <w:rPr>
          <w:rFonts w:cs="Arial"/>
          <w:bCs/>
          <w:szCs w:val="20"/>
        </w:rPr>
        <w:t xml:space="preserve">Prilogi ZD ZAS-6 </w:t>
      </w:r>
      <w:r w:rsidR="00FE461F" w:rsidRPr="005E4BEA">
        <w:rPr>
          <w:rFonts w:cs="Arial"/>
          <w:bCs/>
          <w:szCs w:val="20"/>
        </w:rPr>
        <w:t>opomba pod tabelo spremeni tako, da se glasi:</w:t>
      </w:r>
    </w:p>
    <w:p w14:paraId="7227081E" w14:textId="77777777" w:rsidR="00FE461F" w:rsidRPr="005E4BEA" w:rsidRDefault="00FE461F" w:rsidP="00FE461F">
      <w:pPr>
        <w:spacing w:line="240" w:lineRule="auto"/>
        <w:jc w:val="both"/>
        <w:rPr>
          <w:rFonts w:cs="Arial"/>
          <w:bCs/>
          <w:iCs/>
          <w:szCs w:val="20"/>
        </w:rPr>
      </w:pPr>
      <w:r w:rsidRPr="005E4BEA">
        <w:rPr>
          <w:rFonts w:cs="Arial"/>
          <w:bCs/>
          <w:iCs/>
          <w:szCs w:val="20"/>
        </w:rPr>
        <w:t>»Vrednost merske enote je 1,20 eur.«</w:t>
      </w:r>
    </w:p>
    <w:p w14:paraId="5E6F6779" w14:textId="77777777" w:rsidR="00FE461F" w:rsidRPr="005E4BEA" w:rsidRDefault="00FE461F" w:rsidP="00FE461F">
      <w:pPr>
        <w:spacing w:line="240" w:lineRule="auto"/>
        <w:jc w:val="both"/>
        <w:rPr>
          <w:rFonts w:cs="Arial"/>
          <w:iCs/>
          <w:szCs w:val="20"/>
        </w:rPr>
      </w:pPr>
    </w:p>
    <w:p w14:paraId="72E18178"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5030C3B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Vrednost storitev, ki so določene v prilogi ZD ZAS II/a-6 so nižje od cen, ki so za enake preiskave zaračunane s strani zunanjih laboratorijev. Vrednost merske enote se v zadnjih 10 letih ni spremenila Izvajalci zaradi nizke vrednosti storitev, pri uporabi lastnega laboratorija, ki predstavlja prednost za paciente ne morejo pokriti lastnih stroškov laboratorija. </w:t>
      </w:r>
    </w:p>
    <w:p w14:paraId="79D2204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Valorizacija materialnih stroškov iz Izhodišč za pripravo pogodb iz Splošnih dogovorov od leta 2010-2020:</w:t>
      </w:r>
    </w:p>
    <w:p w14:paraId="0D2CE584"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noProof/>
          <w:szCs w:val="20"/>
        </w:rPr>
        <w:drawing>
          <wp:inline distT="0" distB="0" distL="0" distR="0" wp14:anchorId="1CFD72DF" wp14:editId="422C97FF">
            <wp:extent cx="6019800" cy="262126"/>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4071" cy="270585"/>
                    </a:xfrm>
                    <a:prstGeom prst="rect">
                      <a:avLst/>
                    </a:prstGeom>
                    <a:noFill/>
                    <a:ln>
                      <a:noFill/>
                    </a:ln>
                  </pic:spPr>
                </pic:pic>
              </a:graphicData>
            </a:graphic>
          </wp:inline>
        </w:drawing>
      </w:r>
    </w:p>
    <w:p w14:paraId="0E6DA28B" w14:textId="77777777" w:rsidR="00FE461F" w:rsidRPr="005E4BEA" w:rsidRDefault="00FE461F" w:rsidP="00FE461F">
      <w:pPr>
        <w:spacing w:line="240" w:lineRule="auto"/>
        <w:jc w:val="both"/>
        <w:rPr>
          <w:rFonts w:cs="Arial"/>
          <w:i/>
          <w:iCs/>
          <w:color w:val="808080" w:themeColor="background1" w:themeShade="80"/>
          <w:szCs w:val="20"/>
        </w:rPr>
      </w:pPr>
    </w:p>
    <w:p w14:paraId="1F015AB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 (V okviru pogodbene vrednosti)</w:t>
      </w:r>
    </w:p>
    <w:p w14:paraId="12018BAD" w14:textId="326845EC" w:rsidR="00FE461F" w:rsidRPr="005E4BEA" w:rsidRDefault="00FE461F" w:rsidP="00FE461F">
      <w:pPr>
        <w:spacing w:line="240" w:lineRule="auto"/>
        <w:jc w:val="both"/>
        <w:rPr>
          <w:rFonts w:cs="Arial"/>
          <w:iCs/>
          <w:color w:val="FF0000"/>
          <w:szCs w:val="20"/>
        </w:rPr>
      </w:pPr>
    </w:p>
    <w:p w14:paraId="654F3ADC" w14:textId="2B91F8BE" w:rsidR="00933478" w:rsidRPr="005E4BEA" w:rsidRDefault="00933478" w:rsidP="00FE461F">
      <w:pPr>
        <w:spacing w:line="240" w:lineRule="auto"/>
        <w:jc w:val="both"/>
        <w:rPr>
          <w:rFonts w:cs="Arial"/>
          <w:iCs/>
          <w:color w:val="FF0000"/>
          <w:szCs w:val="20"/>
        </w:rPr>
      </w:pPr>
    </w:p>
    <w:p w14:paraId="1B08295E" w14:textId="77777777" w:rsidR="00933478" w:rsidRPr="005E4BEA" w:rsidRDefault="00933478" w:rsidP="00933478">
      <w:pPr>
        <w:spacing w:line="240" w:lineRule="auto"/>
        <w:jc w:val="both"/>
        <w:rPr>
          <w:rFonts w:cs="Arial"/>
          <w:i/>
          <w:iCs/>
          <w:color w:val="808080" w:themeColor="background1" w:themeShade="80"/>
          <w:szCs w:val="20"/>
        </w:rPr>
      </w:pPr>
    </w:p>
    <w:p w14:paraId="2327BF2F"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6DE4537" w14:textId="77777777" w:rsidR="00933478" w:rsidRPr="005E4BEA" w:rsidRDefault="00933478" w:rsidP="00933478">
      <w:pPr>
        <w:spacing w:line="0" w:lineRule="atLeast"/>
        <w:jc w:val="both"/>
        <w:rPr>
          <w:rFonts w:eastAsia="Arial Narrow" w:cs="Arial"/>
          <w:szCs w:val="20"/>
          <w:lang w:eastAsia="sl-SI"/>
        </w:rPr>
      </w:pPr>
    </w:p>
    <w:p w14:paraId="58123256"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4D21E189" w14:textId="77777777" w:rsidR="00933478" w:rsidRPr="005E4BEA" w:rsidRDefault="00933478" w:rsidP="00933478">
      <w:pPr>
        <w:spacing w:line="0" w:lineRule="atLeast"/>
        <w:contextualSpacing/>
        <w:jc w:val="both"/>
        <w:rPr>
          <w:rFonts w:eastAsiaTheme="minorHAnsi" w:cs="Arial"/>
          <w:bCs/>
          <w:szCs w:val="20"/>
        </w:rPr>
      </w:pPr>
    </w:p>
    <w:p w14:paraId="27D62BDF" w14:textId="77777777" w:rsidR="00933478" w:rsidRPr="005E4BEA" w:rsidRDefault="00933478" w:rsidP="00933478">
      <w:pPr>
        <w:spacing w:line="0" w:lineRule="atLeast"/>
        <w:contextualSpacing/>
        <w:jc w:val="both"/>
        <w:rPr>
          <w:rFonts w:eastAsiaTheme="minorHAnsi" w:cs="Arial"/>
          <w:bCs/>
          <w:szCs w:val="20"/>
        </w:rPr>
      </w:pPr>
    </w:p>
    <w:p w14:paraId="5E5DE174" w14:textId="0C5B24A8"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(143)</w:t>
      </w:r>
    </w:p>
    <w:p w14:paraId="529EF801" w14:textId="77777777" w:rsidR="00933478" w:rsidRPr="005E4BEA" w:rsidRDefault="00933478" w:rsidP="00933478">
      <w:pPr>
        <w:spacing w:line="240" w:lineRule="auto"/>
        <w:jc w:val="both"/>
        <w:rPr>
          <w:rFonts w:eastAsia="Arial Narrow" w:cs="Arial"/>
          <w:bCs/>
          <w:szCs w:val="20"/>
        </w:rPr>
      </w:pPr>
    </w:p>
    <w:p w14:paraId="77152A99" w14:textId="4EC58370" w:rsidR="00FE461F" w:rsidRPr="005E4BEA" w:rsidRDefault="00933478" w:rsidP="00933478">
      <w:pPr>
        <w:spacing w:line="240" w:lineRule="auto"/>
        <w:jc w:val="both"/>
        <w:rPr>
          <w:rFonts w:eastAsiaTheme="minorHAnsi" w:cs="Arial"/>
          <w:bCs/>
          <w:szCs w:val="20"/>
        </w:rPr>
      </w:pPr>
      <w:r w:rsidRPr="005E4BEA">
        <w:rPr>
          <w:rFonts w:eastAsia="Arial Narrow" w:cs="Arial"/>
          <w:b/>
          <w:szCs w:val="20"/>
        </w:rPr>
        <w:t xml:space="preserve">Zdravniška zbornica Slovenije </w:t>
      </w:r>
      <w:r w:rsidRPr="005E4BEA">
        <w:rPr>
          <w:rFonts w:eastAsiaTheme="minorHAnsi" w:cs="Arial"/>
          <w:bCs/>
          <w:szCs w:val="20"/>
        </w:rPr>
        <w:t>predlaga, da se č</w:t>
      </w:r>
      <w:r w:rsidR="00FE461F" w:rsidRPr="005E4BEA">
        <w:rPr>
          <w:rFonts w:eastAsiaTheme="minorHAnsi" w:cs="Arial"/>
          <w:bCs/>
          <w:szCs w:val="20"/>
        </w:rPr>
        <w:t>etrti odstavek 37. člena Priloge ZDZAS nadomesti z naslednjim besedilom:</w:t>
      </w:r>
    </w:p>
    <w:p w14:paraId="02101A95" w14:textId="77777777" w:rsidR="00FE461F" w:rsidRPr="005E4BEA" w:rsidRDefault="00FE461F" w:rsidP="00FE461F">
      <w:pPr>
        <w:spacing w:line="240" w:lineRule="auto"/>
        <w:jc w:val="both"/>
        <w:rPr>
          <w:rFonts w:eastAsiaTheme="minorHAnsi" w:cs="Arial"/>
          <w:szCs w:val="20"/>
        </w:rPr>
      </w:pPr>
    </w:p>
    <w:p w14:paraId="3ED8884A" w14:textId="77777777" w:rsidR="00FE461F" w:rsidRPr="005E4BEA" w:rsidRDefault="00FE461F" w:rsidP="00FE461F">
      <w:pPr>
        <w:spacing w:after="120" w:line="240" w:lineRule="atLeast"/>
        <w:jc w:val="both"/>
        <w:rPr>
          <w:rFonts w:eastAsiaTheme="minorHAnsi" w:cs="Arial"/>
          <w:szCs w:val="20"/>
        </w:rPr>
      </w:pPr>
      <w:r w:rsidRPr="005E4BEA">
        <w:rPr>
          <w:rFonts w:eastAsiaTheme="minorHAnsi" w:cs="Arial"/>
          <w:szCs w:val="20"/>
        </w:rPr>
        <w:t>(4) Zobozdravnik pri izvajalcu, ki ima z Zavodom sklenjeno pogodbo in izpolnjuje pogoje za izbranega osebnega zobozdravnika, mora sprejeti vse zavarovane osebe, ki si ga izberejo. Odkloni jih lahko, ko za 10 % preseže 1500 opredeljenih oseb v zobozdravstvu za odrasle oz. 800 opredeljenih oseb v mladinskem zobozdravstvu.</w:t>
      </w:r>
    </w:p>
    <w:p w14:paraId="13F167A3" w14:textId="77777777" w:rsidR="00FE461F" w:rsidRPr="005E4BEA" w:rsidRDefault="00FE461F" w:rsidP="00FE461F">
      <w:pPr>
        <w:spacing w:line="240" w:lineRule="auto"/>
        <w:jc w:val="both"/>
        <w:rPr>
          <w:rFonts w:eastAsiaTheme="minorHAnsi" w:cs="Arial"/>
          <w:i/>
          <w:iCs/>
          <w:szCs w:val="20"/>
        </w:rPr>
      </w:pPr>
    </w:p>
    <w:p w14:paraId="2F21A026" w14:textId="0A5034CF" w:rsidR="00FE461F" w:rsidRPr="005E4BEA" w:rsidRDefault="00FE461F" w:rsidP="00FE461F">
      <w:pPr>
        <w:spacing w:line="240" w:lineRule="auto"/>
        <w:jc w:val="both"/>
        <w:rPr>
          <w:rFonts w:eastAsiaTheme="minorHAnsi" w:cs="Arial"/>
          <w:i/>
          <w:iCs/>
          <w:color w:val="808080" w:themeColor="background1" w:themeShade="80"/>
          <w:szCs w:val="20"/>
        </w:rPr>
      </w:pPr>
      <w:r w:rsidRPr="005E4BEA">
        <w:rPr>
          <w:rFonts w:eastAsiaTheme="minorHAnsi" w:cs="Arial"/>
          <w:i/>
          <w:iCs/>
          <w:color w:val="808080" w:themeColor="background1" w:themeShade="80"/>
          <w:szCs w:val="20"/>
        </w:rPr>
        <w:t>Finančni učinki: /</w:t>
      </w:r>
    </w:p>
    <w:p w14:paraId="4206A9DD" w14:textId="14AF53C3" w:rsidR="00933478" w:rsidRPr="005E4BEA" w:rsidRDefault="00933478" w:rsidP="00FE461F">
      <w:pPr>
        <w:spacing w:line="240" w:lineRule="auto"/>
        <w:jc w:val="both"/>
        <w:rPr>
          <w:rFonts w:eastAsiaTheme="minorHAnsi" w:cs="Arial"/>
          <w:i/>
          <w:iCs/>
          <w:color w:val="808080" w:themeColor="background1" w:themeShade="80"/>
          <w:szCs w:val="20"/>
        </w:rPr>
      </w:pPr>
    </w:p>
    <w:p w14:paraId="36470485" w14:textId="77777777" w:rsidR="00933478" w:rsidRPr="005E4BEA" w:rsidRDefault="00933478" w:rsidP="00933478">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D853FC0" w14:textId="77777777" w:rsidR="00933478" w:rsidRPr="005E4BEA" w:rsidRDefault="00933478" w:rsidP="00933478">
      <w:pPr>
        <w:spacing w:line="0" w:lineRule="atLeast"/>
        <w:jc w:val="both"/>
        <w:rPr>
          <w:rFonts w:eastAsia="Arial Narrow" w:cs="Arial"/>
          <w:szCs w:val="20"/>
          <w:lang w:eastAsia="sl-SI"/>
        </w:rPr>
      </w:pPr>
    </w:p>
    <w:p w14:paraId="5BEB95FE" w14:textId="77777777" w:rsidR="00933478" w:rsidRPr="005E4BEA" w:rsidRDefault="00933478" w:rsidP="00933478">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77E62B07" w14:textId="77777777" w:rsidR="00933478" w:rsidRPr="005E4BEA" w:rsidRDefault="00933478" w:rsidP="00933478">
      <w:pPr>
        <w:spacing w:line="0" w:lineRule="atLeast"/>
        <w:contextualSpacing/>
        <w:jc w:val="both"/>
        <w:rPr>
          <w:rFonts w:eastAsiaTheme="minorHAnsi" w:cs="Arial"/>
          <w:bCs/>
          <w:szCs w:val="20"/>
        </w:rPr>
      </w:pPr>
    </w:p>
    <w:p w14:paraId="540DB21D" w14:textId="77777777" w:rsidR="00933478" w:rsidRPr="005E4BEA" w:rsidRDefault="00933478" w:rsidP="00933478">
      <w:pPr>
        <w:spacing w:line="0" w:lineRule="atLeast"/>
        <w:contextualSpacing/>
        <w:jc w:val="both"/>
        <w:rPr>
          <w:rFonts w:eastAsiaTheme="minorHAnsi" w:cs="Arial"/>
          <w:bCs/>
          <w:szCs w:val="20"/>
        </w:rPr>
      </w:pPr>
    </w:p>
    <w:p w14:paraId="2C76E511" w14:textId="64CA97E7" w:rsidR="00933478" w:rsidRPr="005E4BEA" w:rsidRDefault="0093347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(144)</w:t>
      </w:r>
    </w:p>
    <w:p w14:paraId="683E918B" w14:textId="77777777" w:rsidR="00933478" w:rsidRPr="005E4BEA" w:rsidRDefault="00933478" w:rsidP="00933478">
      <w:pPr>
        <w:spacing w:line="240" w:lineRule="auto"/>
        <w:jc w:val="both"/>
        <w:rPr>
          <w:rFonts w:eastAsia="Arial Narrow" w:cs="Arial"/>
          <w:bCs/>
          <w:szCs w:val="20"/>
        </w:rPr>
      </w:pPr>
    </w:p>
    <w:p w14:paraId="12113CF1" w14:textId="0BA64A6E" w:rsidR="00FE461F" w:rsidRPr="005E4BEA" w:rsidRDefault="00933478" w:rsidP="00933478">
      <w:pPr>
        <w:spacing w:line="240" w:lineRule="auto"/>
        <w:jc w:val="both"/>
        <w:rPr>
          <w:rFonts w:eastAsiaTheme="minorHAnsi" w:cs="Arial"/>
          <w:i/>
          <w:iCs/>
          <w:color w:val="808080" w:themeColor="background1" w:themeShade="80"/>
          <w:szCs w:val="20"/>
        </w:rPr>
      </w:pPr>
      <w:r w:rsidRPr="005E4BEA">
        <w:rPr>
          <w:rFonts w:eastAsia="Arial Narrow" w:cs="Arial"/>
          <w:b/>
          <w:szCs w:val="20"/>
        </w:rPr>
        <w:t xml:space="preserve">Zdravniška zbornica Slovenije </w:t>
      </w:r>
      <w:r w:rsidRPr="005E4BEA">
        <w:rPr>
          <w:rFonts w:eastAsiaTheme="minorHAnsi" w:cs="Arial"/>
          <w:bCs/>
          <w:szCs w:val="20"/>
        </w:rPr>
        <w:t>predlaga, da se četrti odstavek 37. člena Priloge ZDZAS</w:t>
      </w:r>
      <w:r w:rsidRPr="005E4BEA">
        <w:rPr>
          <w:rFonts w:eastAsiaTheme="minorHAnsi" w:cs="Arial"/>
          <w:i/>
          <w:iCs/>
          <w:color w:val="808080" w:themeColor="background1" w:themeShade="80"/>
          <w:szCs w:val="20"/>
        </w:rPr>
        <w:t xml:space="preserve"> </w:t>
      </w:r>
      <w:r w:rsidR="00FE461F" w:rsidRPr="005E4BEA">
        <w:rPr>
          <w:rFonts w:eastAsiaTheme="minorHAnsi" w:cs="Arial"/>
          <w:b/>
          <w:bCs/>
          <w:szCs w:val="20"/>
        </w:rPr>
        <w:t>nadomesti z naslednjim besedilom:</w:t>
      </w:r>
    </w:p>
    <w:p w14:paraId="3A5B9D54" w14:textId="77777777" w:rsidR="00FE461F" w:rsidRPr="005E4BEA" w:rsidRDefault="00FE461F" w:rsidP="00FE461F">
      <w:pPr>
        <w:spacing w:line="240" w:lineRule="auto"/>
        <w:jc w:val="both"/>
        <w:rPr>
          <w:rFonts w:eastAsiaTheme="minorHAnsi" w:cs="Arial"/>
          <w:szCs w:val="20"/>
        </w:rPr>
      </w:pPr>
    </w:p>
    <w:p w14:paraId="67AF66B2" w14:textId="77777777" w:rsidR="00FE461F" w:rsidRPr="005E4BEA" w:rsidRDefault="00FE461F" w:rsidP="00FE461F">
      <w:pPr>
        <w:spacing w:after="120" w:line="240" w:lineRule="atLeast"/>
        <w:jc w:val="both"/>
        <w:rPr>
          <w:rFonts w:eastAsiaTheme="minorHAnsi" w:cs="Arial"/>
          <w:szCs w:val="20"/>
        </w:rPr>
      </w:pPr>
      <w:r w:rsidRPr="005E4BEA">
        <w:rPr>
          <w:rFonts w:eastAsiaTheme="minorHAnsi" w:cs="Arial"/>
          <w:szCs w:val="20"/>
        </w:rPr>
        <w:t>(4) Zobozdravnik pri izvajalcu, ki ima z Zavodom sklenjeno pogodbo in izpolnjuje pogoje za izbranega osebnega zobozdravnika, mora sprejeti vse zavarovane osebe, ki si ga izberejo. Odkloni jih lahko, ko za 10 % preseže 1500 opredeljenih oseb v zobozdravstvu za odrasle oz. 800 opredeljenih oseb v mladinskem zobozdravstvu.</w:t>
      </w:r>
    </w:p>
    <w:p w14:paraId="4F03A9EF" w14:textId="77777777" w:rsidR="00FE461F" w:rsidRPr="005E4BEA" w:rsidRDefault="00FE461F" w:rsidP="00FE461F">
      <w:pPr>
        <w:spacing w:line="240" w:lineRule="auto"/>
        <w:jc w:val="both"/>
        <w:rPr>
          <w:rFonts w:eastAsiaTheme="minorHAnsi" w:cs="Arial"/>
          <w:i/>
          <w:iCs/>
          <w:szCs w:val="20"/>
        </w:rPr>
      </w:pPr>
    </w:p>
    <w:p w14:paraId="5A9B058C" w14:textId="77777777" w:rsidR="00FE461F" w:rsidRPr="005E4BEA" w:rsidRDefault="00FE461F" w:rsidP="00FE461F">
      <w:pPr>
        <w:spacing w:line="240" w:lineRule="auto"/>
        <w:jc w:val="both"/>
        <w:rPr>
          <w:rFonts w:eastAsiaTheme="minorHAnsi" w:cs="Arial"/>
          <w:szCs w:val="20"/>
        </w:rPr>
      </w:pPr>
      <w:bookmarkStart w:id="165" w:name="_Hlk99433345"/>
      <w:r w:rsidRPr="005E4BEA">
        <w:rPr>
          <w:rFonts w:eastAsiaTheme="minorHAnsi" w:cs="Arial"/>
          <w:i/>
          <w:iCs/>
          <w:color w:val="808080" w:themeColor="background1" w:themeShade="80"/>
          <w:szCs w:val="20"/>
        </w:rPr>
        <w:t>Finančni učinki: /</w:t>
      </w:r>
    </w:p>
    <w:bookmarkEnd w:id="165"/>
    <w:p w14:paraId="0830AFE4" w14:textId="77777777" w:rsidR="00FE461F" w:rsidRPr="005E4BEA" w:rsidRDefault="00FE461F" w:rsidP="00FE461F">
      <w:pPr>
        <w:spacing w:line="240" w:lineRule="auto"/>
        <w:jc w:val="both"/>
        <w:rPr>
          <w:rFonts w:cs="Arial"/>
          <w:i/>
          <w:iCs/>
          <w:color w:val="767171"/>
          <w:szCs w:val="20"/>
        </w:rPr>
      </w:pPr>
    </w:p>
    <w:p w14:paraId="25362181" w14:textId="77777777" w:rsidR="009B618A" w:rsidRPr="005E4BEA" w:rsidRDefault="009B618A" w:rsidP="009B618A">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28B013F4" w14:textId="77777777" w:rsidR="009B618A" w:rsidRPr="005E4BEA" w:rsidRDefault="009B618A" w:rsidP="009B618A">
      <w:pPr>
        <w:spacing w:line="0" w:lineRule="atLeast"/>
        <w:jc w:val="both"/>
        <w:rPr>
          <w:rFonts w:eastAsia="Arial Narrow" w:cs="Arial"/>
          <w:szCs w:val="20"/>
          <w:lang w:eastAsia="sl-SI"/>
        </w:rPr>
      </w:pPr>
    </w:p>
    <w:p w14:paraId="05FA3310" w14:textId="77777777" w:rsidR="009B618A" w:rsidRPr="005E4BEA" w:rsidRDefault="009B618A" w:rsidP="009B618A">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ZD ZAS </w:t>
      </w:r>
      <w:r w:rsidRPr="005E4BEA">
        <w:rPr>
          <w:rFonts w:eastAsiaTheme="minorHAnsi" w:cs="Arial"/>
          <w:bCs/>
          <w:szCs w:val="20"/>
        </w:rPr>
        <w:t>Splošnega dogovora ne spremeni.</w:t>
      </w:r>
    </w:p>
    <w:p w14:paraId="6A85A1DC" w14:textId="77777777" w:rsidR="009B618A" w:rsidRPr="005E4BEA" w:rsidRDefault="009B618A" w:rsidP="009B618A">
      <w:pPr>
        <w:spacing w:line="0" w:lineRule="atLeast"/>
        <w:contextualSpacing/>
        <w:jc w:val="both"/>
        <w:rPr>
          <w:rFonts w:eastAsiaTheme="minorHAnsi" w:cs="Arial"/>
          <w:bCs/>
          <w:szCs w:val="20"/>
        </w:rPr>
      </w:pPr>
    </w:p>
    <w:p w14:paraId="239F65D7" w14:textId="77777777" w:rsidR="009B618A" w:rsidRPr="005E4BEA" w:rsidRDefault="009B618A" w:rsidP="009B618A">
      <w:pPr>
        <w:spacing w:line="0" w:lineRule="atLeast"/>
        <w:contextualSpacing/>
        <w:jc w:val="both"/>
        <w:rPr>
          <w:rFonts w:eastAsiaTheme="minorHAnsi" w:cs="Arial"/>
          <w:bCs/>
          <w:szCs w:val="20"/>
        </w:rPr>
      </w:pPr>
    </w:p>
    <w:p w14:paraId="3512B8AE" w14:textId="71F50DB5" w:rsidR="009B618A" w:rsidRPr="005E4BEA" w:rsidRDefault="009B618A"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(145)</w:t>
      </w:r>
    </w:p>
    <w:p w14:paraId="2A43C14E" w14:textId="77777777" w:rsidR="009B618A" w:rsidRPr="005E4BEA" w:rsidRDefault="009B618A" w:rsidP="009B618A">
      <w:pPr>
        <w:spacing w:line="240" w:lineRule="auto"/>
        <w:jc w:val="both"/>
        <w:rPr>
          <w:rFonts w:eastAsia="Arial Narrow" w:cs="Arial"/>
          <w:bCs/>
          <w:szCs w:val="20"/>
        </w:rPr>
      </w:pPr>
    </w:p>
    <w:p w14:paraId="40090505" w14:textId="76F85AAB" w:rsidR="00FE461F" w:rsidRPr="005E4BEA" w:rsidRDefault="009B618A" w:rsidP="00FE461F">
      <w:pPr>
        <w:spacing w:line="240" w:lineRule="auto"/>
        <w:jc w:val="both"/>
        <w:rPr>
          <w:rFonts w:eastAsia="Arial Narrow" w:cs="Arial"/>
          <w:szCs w:val="20"/>
        </w:rPr>
      </w:pPr>
      <w:r w:rsidRPr="005E4BEA">
        <w:rPr>
          <w:rFonts w:eastAsia="Arial Narrow" w:cs="Arial"/>
          <w:b/>
          <w:szCs w:val="20"/>
        </w:rPr>
        <w:t xml:space="preserve">Ministrstvo za zdravje </w:t>
      </w:r>
      <w:r w:rsidRPr="005E4BEA">
        <w:rPr>
          <w:rFonts w:eastAsiaTheme="minorHAnsi" w:cs="Arial"/>
          <w:bCs/>
          <w:szCs w:val="20"/>
        </w:rPr>
        <w:t xml:space="preserve">predlaga, da se v </w:t>
      </w:r>
      <w:r w:rsidR="00FE461F" w:rsidRPr="005E4BEA">
        <w:rPr>
          <w:rFonts w:eastAsia="Arial Narrow" w:cs="Arial"/>
          <w:szCs w:val="20"/>
        </w:rPr>
        <w:t>Prilogi ZD ZAS v 20. členu šesti odstavek spremeni tako, da se glasi:</w:t>
      </w:r>
    </w:p>
    <w:p w14:paraId="30BB58C5" w14:textId="1E4940C8" w:rsidR="001459C0" w:rsidRPr="005E4BEA" w:rsidRDefault="001459C0" w:rsidP="00FE461F">
      <w:pPr>
        <w:spacing w:line="240" w:lineRule="auto"/>
        <w:jc w:val="both"/>
        <w:rPr>
          <w:rFonts w:eastAsia="Arial Narrow" w:cs="Arial"/>
          <w:szCs w:val="20"/>
        </w:rPr>
      </w:pPr>
    </w:p>
    <w:p w14:paraId="35125AFF" w14:textId="77777777" w:rsidR="00FE461F" w:rsidRPr="005E4BEA" w:rsidRDefault="00FE461F" w:rsidP="00FE461F">
      <w:pPr>
        <w:spacing w:line="60" w:lineRule="exact"/>
        <w:rPr>
          <w:rFonts w:eastAsia="MS Mincho" w:cs="Arial"/>
          <w:szCs w:val="20"/>
        </w:rPr>
      </w:pPr>
    </w:p>
    <w:p w14:paraId="1C39BBBC" w14:textId="77777777" w:rsidR="00FE461F" w:rsidRPr="005E4BEA" w:rsidRDefault="00FE461F" w:rsidP="00FE461F">
      <w:pPr>
        <w:spacing w:line="60" w:lineRule="exact"/>
        <w:rPr>
          <w:rFonts w:eastAsia="MS Mincho" w:cs="Arial"/>
          <w:szCs w:val="20"/>
        </w:rPr>
      </w:pPr>
    </w:p>
    <w:p w14:paraId="6DE3DFA1" w14:textId="77777777" w:rsidR="00FE461F" w:rsidRPr="005E4BEA" w:rsidRDefault="00FE461F" w:rsidP="00FE461F">
      <w:pPr>
        <w:spacing w:after="120" w:line="240" w:lineRule="atLeast"/>
        <w:jc w:val="both"/>
        <w:rPr>
          <w:rFonts w:eastAsia="MS Mincho" w:cs="Arial"/>
          <w:szCs w:val="20"/>
        </w:rPr>
      </w:pPr>
      <w:r w:rsidRPr="005E4BEA">
        <w:rPr>
          <w:rFonts w:eastAsia="MS Mincho" w:cs="Arial"/>
          <w:szCs w:val="20"/>
        </w:rPr>
        <w:lastRenderedPageBreak/>
        <w:t xml:space="preserve">» (6) Sredstva, namenjena za </w:t>
      </w:r>
      <w:proofErr w:type="spellStart"/>
      <w:r w:rsidRPr="005E4BEA">
        <w:rPr>
          <w:rFonts w:eastAsia="MS Mincho" w:cs="Arial"/>
          <w:szCs w:val="20"/>
        </w:rPr>
        <w:t>MoE</w:t>
      </w:r>
      <w:proofErr w:type="spellEnd"/>
      <w:r w:rsidRPr="005E4BEA">
        <w:rPr>
          <w:rFonts w:eastAsia="MS Mincho" w:cs="Arial"/>
          <w:szCs w:val="20"/>
        </w:rPr>
        <w:t xml:space="preserve"> REA Ljubljana, se prestrukturirajo na način, da se zagotovi Zdravstvenemu domu Ljubljana financiranje treh  timov Vozila urgentnega zdravnika, enega tima Vozila dežurnega zdravnika – neodložljivi hišni obiski in 1,12 tima Enote za hitre preglede v rednem delovnem času. UKC Ljubljana se zagotovi financiranje 3 time MOE nujnega reševalnega vozila. </w:t>
      </w:r>
    </w:p>
    <w:p w14:paraId="5A071680" w14:textId="77777777" w:rsidR="00FE461F" w:rsidRPr="005E4BEA" w:rsidRDefault="00FE461F" w:rsidP="00FE461F">
      <w:pPr>
        <w:spacing w:line="240" w:lineRule="auto"/>
        <w:jc w:val="both"/>
        <w:rPr>
          <w:rFonts w:eastAsia="MS Mincho" w:cs="Arial"/>
          <w:szCs w:val="20"/>
        </w:rPr>
      </w:pPr>
      <w:r w:rsidRPr="005E4BEA">
        <w:rPr>
          <w:rFonts w:eastAsia="MS Mincho" w:cs="Arial"/>
          <w:szCs w:val="20"/>
        </w:rPr>
        <w:t>Sprememba velja od 1. 4. 2022 naprej.«</w:t>
      </w:r>
    </w:p>
    <w:p w14:paraId="5CF725CF" w14:textId="77777777" w:rsidR="00FE461F" w:rsidRPr="005E4BEA" w:rsidRDefault="00FE461F" w:rsidP="00FE461F">
      <w:pPr>
        <w:spacing w:line="240" w:lineRule="auto"/>
        <w:jc w:val="both"/>
        <w:rPr>
          <w:rFonts w:eastAsia="MS Mincho" w:cs="Arial"/>
          <w:szCs w:val="20"/>
        </w:rPr>
      </w:pPr>
    </w:p>
    <w:p w14:paraId="107252F7" w14:textId="77777777" w:rsidR="00FE461F" w:rsidRPr="005E4BEA" w:rsidRDefault="00FE461F" w:rsidP="00FE461F">
      <w:pPr>
        <w:spacing w:line="240" w:lineRule="auto"/>
        <w:jc w:val="both"/>
        <w:rPr>
          <w:rFonts w:eastAsia="MS Mincho" w:cs="Arial"/>
          <w:b/>
          <w:bCs/>
          <w:szCs w:val="20"/>
        </w:rPr>
      </w:pPr>
      <w:r w:rsidRPr="005E4BEA">
        <w:rPr>
          <w:rFonts w:eastAsia="MS Mincho" w:cs="Arial"/>
          <w:b/>
          <w:bCs/>
          <w:szCs w:val="20"/>
        </w:rPr>
        <w:t>V 24. členu v šestem odstavku se v tabeli dodajo nove vrstice za nujne širitve programov oziroma uvajanje novih terapij:</w:t>
      </w:r>
    </w:p>
    <w:p w14:paraId="0CE57C44" w14:textId="77777777" w:rsidR="00FE461F" w:rsidRPr="005E4BEA" w:rsidRDefault="00FE461F" w:rsidP="00FE461F">
      <w:pPr>
        <w:spacing w:line="240" w:lineRule="auto"/>
        <w:jc w:val="both"/>
        <w:rPr>
          <w:rFonts w:eastAsia="MS Mincho" w:cs="Arial"/>
          <w:b/>
          <w:bCs/>
          <w:i/>
          <w:color w:val="7F7F7F" w:themeColor="text1" w:themeTint="80"/>
          <w:szCs w:val="20"/>
        </w:rPr>
      </w:pPr>
    </w:p>
    <w:tbl>
      <w:tblPr>
        <w:tblW w:w="8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
        <w:gridCol w:w="2588"/>
        <w:gridCol w:w="1791"/>
        <w:gridCol w:w="1216"/>
        <w:gridCol w:w="1517"/>
        <w:gridCol w:w="1141"/>
      </w:tblGrid>
      <w:tr w:rsidR="00FE461F" w:rsidRPr="005E4BEA" w14:paraId="7918A3D4" w14:textId="77777777" w:rsidTr="0016774B">
        <w:trPr>
          <w:trHeight w:val="653"/>
          <w:tblHeader/>
        </w:trPr>
        <w:tc>
          <w:tcPr>
            <w:tcW w:w="350" w:type="dxa"/>
            <w:shd w:val="clear" w:color="auto" w:fill="FFFFFF"/>
            <w:vAlign w:val="bottom"/>
            <w:hideMark/>
          </w:tcPr>
          <w:p w14:paraId="5ADCE876" w14:textId="77777777" w:rsidR="00FE461F" w:rsidRPr="005E4BEA" w:rsidRDefault="00FE461F" w:rsidP="00FE461F">
            <w:pPr>
              <w:spacing w:line="240" w:lineRule="auto"/>
              <w:jc w:val="center"/>
              <w:outlineLvl w:val="0"/>
              <w:rPr>
                <w:rFonts w:cs="Arial"/>
                <w:b/>
                <w:bCs/>
                <w:szCs w:val="20"/>
                <w:lang w:eastAsia="sl-SI"/>
              </w:rPr>
            </w:pPr>
            <w:r w:rsidRPr="005E4BEA">
              <w:rPr>
                <w:rFonts w:cs="Arial"/>
                <w:b/>
                <w:bCs/>
                <w:szCs w:val="20"/>
                <w:lang w:eastAsia="sl-SI"/>
              </w:rPr>
              <w:t> </w:t>
            </w:r>
          </w:p>
        </w:tc>
        <w:tc>
          <w:tcPr>
            <w:tcW w:w="2601" w:type="dxa"/>
            <w:shd w:val="clear" w:color="auto" w:fill="FFFFFF"/>
            <w:vAlign w:val="center"/>
            <w:hideMark/>
          </w:tcPr>
          <w:p w14:paraId="67CED3B4" w14:textId="77777777" w:rsidR="00FE461F" w:rsidRPr="005E4BEA" w:rsidRDefault="00FE461F" w:rsidP="00FE461F">
            <w:pPr>
              <w:spacing w:line="240" w:lineRule="auto"/>
              <w:outlineLvl w:val="0"/>
              <w:rPr>
                <w:rFonts w:cs="Arial"/>
                <w:b/>
                <w:bCs/>
                <w:szCs w:val="20"/>
                <w:lang w:eastAsia="sl-SI"/>
              </w:rPr>
            </w:pPr>
            <w:r w:rsidRPr="005E4BEA">
              <w:rPr>
                <w:rFonts w:cs="Arial"/>
                <w:b/>
                <w:bCs/>
                <w:szCs w:val="20"/>
                <w:lang w:eastAsia="sl-SI"/>
              </w:rPr>
              <w:t>P  r  o  g  r  a  m</w:t>
            </w:r>
          </w:p>
        </w:tc>
        <w:tc>
          <w:tcPr>
            <w:tcW w:w="1798" w:type="dxa"/>
            <w:shd w:val="clear" w:color="auto" w:fill="FFFFFF"/>
            <w:vAlign w:val="center"/>
            <w:hideMark/>
          </w:tcPr>
          <w:p w14:paraId="049C7C42" w14:textId="77777777" w:rsidR="00FE461F" w:rsidRPr="005E4BEA" w:rsidRDefault="00FE461F" w:rsidP="00FE461F">
            <w:pPr>
              <w:spacing w:line="240" w:lineRule="auto"/>
              <w:jc w:val="center"/>
              <w:outlineLvl w:val="0"/>
              <w:rPr>
                <w:rFonts w:cs="Arial"/>
                <w:b/>
                <w:bCs/>
                <w:szCs w:val="20"/>
                <w:lang w:eastAsia="sl-SI"/>
              </w:rPr>
            </w:pPr>
            <w:r w:rsidRPr="005E4BEA">
              <w:rPr>
                <w:rFonts w:cs="Arial"/>
                <w:b/>
                <w:bCs/>
                <w:szCs w:val="20"/>
                <w:lang w:eastAsia="sl-SI"/>
              </w:rPr>
              <w:t>I  z  v  a  j  a  l  e  c  /</w:t>
            </w:r>
            <w:r w:rsidRPr="005E4BEA">
              <w:rPr>
                <w:rFonts w:cs="Arial"/>
                <w:b/>
                <w:bCs/>
                <w:szCs w:val="20"/>
                <w:lang w:eastAsia="sl-SI"/>
              </w:rPr>
              <w:br/>
              <w:t>I z p o s t a v a</w:t>
            </w:r>
          </w:p>
        </w:tc>
        <w:tc>
          <w:tcPr>
            <w:tcW w:w="1220" w:type="dxa"/>
            <w:shd w:val="clear" w:color="auto" w:fill="FFFFFF"/>
            <w:vAlign w:val="center"/>
            <w:hideMark/>
          </w:tcPr>
          <w:p w14:paraId="0257979E" w14:textId="77777777" w:rsidR="00FE461F" w:rsidRPr="005E4BEA" w:rsidRDefault="00FE461F" w:rsidP="00FE461F">
            <w:pPr>
              <w:spacing w:line="240" w:lineRule="auto"/>
              <w:jc w:val="center"/>
              <w:outlineLvl w:val="0"/>
              <w:rPr>
                <w:rFonts w:cs="Arial"/>
                <w:b/>
                <w:bCs/>
                <w:szCs w:val="20"/>
                <w:lang w:eastAsia="sl-SI"/>
              </w:rPr>
            </w:pPr>
            <w:r w:rsidRPr="005E4BEA">
              <w:rPr>
                <w:rFonts w:cs="Arial"/>
                <w:b/>
                <w:bCs/>
                <w:szCs w:val="20"/>
                <w:lang w:eastAsia="sl-SI"/>
              </w:rPr>
              <w:t>Obseg</w:t>
            </w:r>
          </w:p>
        </w:tc>
        <w:tc>
          <w:tcPr>
            <w:tcW w:w="1523" w:type="dxa"/>
            <w:shd w:val="clear" w:color="auto" w:fill="FFFFFF"/>
            <w:vAlign w:val="center"/>
            <w:hideMark/>
          </w:tcPr>
          <w:p w14:paraId="75603F3E" w14:textId="77777777" w:rsidR="00FE461F" w:rsidRPr="005E4BEA" w:rsidRDefault="00FE461F" w:rsidP="00FE461F">
            <w:pPr>
              <w:spacing w:line="240" w:lineRule="auto"/>
              <w:jc w:val="center"/>
              <w:outlineLvl w:val="0"/>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letna raven</w:t>
            </w:r>
          </w:p>
        </w:tc>
        <w:tc>
          <w:tcPr>
            <w:tcW w:w="1110" w:type="dxa"/>
            <w:shd w:val="clear" w:color="auto" w:fill="FFFFFF"/>
            <w:vAlign w:val="center"/>
            <w:hideMark/>
          </w:tcPr>
          <w:p w14:paraId="08672C3C" w14:textId="77777777" w:rsidR="00FE461F" w:rsidRPr="005E4BEA" w:rsidRDefault="00FE461F" w:rsidP="00FE461F">
            <w:pPr>
              <w:spacing w:line="240" w:lineRule="auto"/>
              <w:jc w:val="center"/>
              <w:outlineLvl w:val="0"/>
              <w:rPr>
                <w:rFonts w:cs="Arial"/>
                <w:b/>
                <w:bCs/>
                <w:szCs w:val="20"/>
                <w:lang w:eastAsia="sl-SI"/>
              </w:rPr>
            </w:pPr>
            <w:proofErr w:type="spellStart"/>
            <w:r w:rsidRPr="005E4BEA">
              <w:rPr>
                <w:rFonts w:cs="Arial"/>
                <w:b/>
                <w:bCs/>
                <w:szCs w:val="20"/>
                <w:lang w:eastAsia="sl-SI"/>
              </w:rPr>
              <w:t>Dod</w:t>
            </w:r>
            <w:proofErr w:type="spellEnd"/>
            <w:r w:rsidRPr="005E4BEA">
              <w:rPr>
                <w:rFonts w:cs="Arial"/>
                <w:b/>
                <w:bCs/>
                <w:szCs w:val="20"/>
                <w:lang w:eastAsia="sl-SI"/>
              </w:rPr>
              <w:t>. sred.</w:t>
            </w:r>
            <w:r w:rsidRPr="005E4BEA">
              <w:rPr>
                <w:rFonts w:cs="Arial"/>
                <w:b/>
                <w:bCs/>
                <w:szCs w:val="20"/>
                <w:lang w:eastAsia="sl-SI"/>
              </w:rPr>
              <w:br/>
              <w:t>1.4.- 31.12.2022</w:t>
            </w:r>
          </w:p>
        </w:tc>
      </w:tr>
      <w:tr w:rsidR="00FE461F" w:rsidRPr="005E4BEA" w14:paraId="1259FEE5" w14:textId="77777777" w:rsidTr="0016774B">
        <w:trPr>
          <w:trHeight w:val="734"/>
        </w:trPr>
        <w:tc>
          <w:tcPr>
            <w:tcW w:w="350" w:type="dxa"/>
            <w:shd w:val="clear" w:color="auto" w:fill="FFFFFF"/>
            <w:hideMark/>
          </w:tcPr>
          <w:p w14:paraId="4151F866" w14:textId="77777777" w:rsidR="00FE461F" w:rsidRPr="005E4BEA" w:rsidRDefault="00FE461F" w:rsidP="00FE461F">
            <w:pPr>
              <w:spacing w:line="240" w:lineRule="auto"/>
              <w:jc w:val="center"/>
              <w:outlineLvl w:val="0"/>
              <w:rPr>
                <w:rFonts w:cs="Arial"/>
                <w:szCs w:val="20"/>
                <w:lang w:eastAsia="sl-SI"/>
              </w:rPr>
            </w:pPr>
            <w:r w:rsidRPr="005E4BEA">
              <w:rPr>
                <w:rFonts w:cs="Arial"/>
                <w:szCs w:val="20"/>
                <w:lang w:eastAsia="sl-SI"/>
              </w:rPr>
              <w:t>1</w:t>
            </w:r>
          </w:p>
        </w:tc>
        <w:tc>
          <w:tcPr>
            <w:tcW w:w="2601" w:type="dxa"/>
            <w:shd w:val="clear" w:color="auto" w:fill="FFFFFF"/>
            <w:hideMark/>
          </w:tcPr>
          <w:p w14:paraId="00B3289E"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Mobilna enota nujnega reševalnega vozila</w:t>
            </w:r>
            <w:r w:rsidRPr="005E4BEA">
              <w:rPr>
                <w:rFonts w:cs="Arial"/>
                <w:szCs w:val="20"/>
                <w:lang w:eastAsia="sl-SI"/>
              </w:rPr>
              <w:br/>
              <w:t>Od 1. 4. 2022</w:t>
            </w:r>
          </w:p>
        </w:tc>
        <w:tc>
          <w:tcPr>
            <w:tcW w:w="1798" w:type="dxa"/>
            <w:shd w:val="clear" w:color="auto" w:fill="FFFFFF"/>
            <w:hideMark/>
          </w:tcPr>
          <w:p w14:paraId="7429D46A"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UKC Ljubljana </w:t>
            </w:r>
          </w:p>
        </w:tc>
        <w:tc>
          <w:tcPr>
            <w:tcW w:w="1220" w:type="dxa"/>
            <w:shd w:val="clear" w:color="auto" w:fill="FFFFFF"/>
            <w:hideMark/>
          </w:tcPr>
          <w:p w14:paraId="03C6EE5C"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1,0 tim</w:t>
            </w:r>
          </w:p>
        </w:tc>
        <w:tc>
          <w:tcPr>
            <w:tcW w:w="1523" w:type="dxa"/>
            <w:shd w:val="clear" w:color="auto" w:fill="FFFFFF"/>
            <w:hideMark/>
          </w:tcPr>
          <w:p w14:paraId="01B2E437" w14:textId="77777777" w:rsidR="00FE461F" w:rsidRPr="005E4BEA" w:rsidRDefault="00FE461F" w:rsidP="00FE461F">
            <w:pPr>
              <w:spacing w:line="240" w:lineRule="auto"/>
              <w:jc w:val="right"/>
              <w:outlineLvl w:val="0"/>
              <w:rPr>
                <w:rFonts w:cs="Arial"/>
                <w:szCs w:val="20"/>
                <w:lang w:eastAsia="sl-SI"/>
              </w:rPr>
            </w:pPr>
            <w:r w:rsidRPr="005E4BEA">
              <w:rPr>
                <w:rFonts w:eastAsia="Calibri" w:cs="Arial"/>
                <w:szCs w:val="20"/>
              </w:rPr>
              <w:t>499.143</w:t>
            </w:r>
          </w:p>
        </w:tc>
        <w:tc>
          <w:tcPr>
            <w:tcW w:w="1110" w:type="dxa"/>
            <w:shd w:val="clear" w:color="auto" w:fill="FFFFFF"/>
            <w:hideMark/>
          </w:tcPr>
          <w:p w14:paraId="46E9CC93" w14:textId="77777777" w:rsidR="00FE461F" w:rsidRPr="005E4BEA" w:rsidRDefault="00FE461F" w:rsidP="00FE461F">
            <w:pPr>
              <w:spacing w:line="240" w:lineRule="auto"/>
              <w:jc w:val="right"/>
              <w:outlineLvl w:val="0"/>
              <w:rPr>
                <w:rFonts w:cs="Arial"/>
                <w:szCs w:val="20"/>
                <w:lang w:eastAsia="sl-SI"/>
              </w:rPr>
            </w:pPr>
            <w:r w:rsidRPr="005E4BEA">
              <w:rPr>
                <w:rFonts w:eastAsia="Calibri" w:cs="Arial"/>
                <w:szCs w:val="20"/>
              </w:rPr>
              <w:t>374.357</w:t>
            </w:r>
          </w:p>
        </w:tc>
      </w:tr>
      <w:tr w:rsidR="00FE461F" w:rsidRPr="005E4BEA" w14:paraId="3AB6412A" w14:textId="77777777" w:rsidTr="0016774B">
        <w:trPr>
          <w:trHeight w:val="734"/>
        </w:trPr>
        <w:tc>
          <w:tcPr>
            <w:tcW w:w="350" w:type="dxa"/>
            <w:shd w:val="clear" w:color="auto" w:fill="FFFFFF"/>
          </w:tcPr>
          <w:p w14:paraId="2194595B" w14:textId="77777777" w:rsidR="00FE461F" w:rsidRPr="005E4BEA" w:rsidRDefault="00FE461F" w:rsidP="00FE461F">
            <w:pPr>
              <w:spacing w:line="240" w:lineRule="auto"/>
              <w:jc w:val="center"/>
              <w:outlineLvl w:val="0"/>
              <w:rPr>
                <w:rFonts w:cs="Arial"/>
                <w:szCs w:val="20"/>
                <w:lang w:eastAsia="sl-SI"/>
              </w:rPr>
            </w:pPr>
            <w:r w:rsidRPr="005E4BEA">
              <w:rPr>
                <w:rFonts w:cs="Arial"/>
                <w:szCs w:val="20"/>
                <w:lang w:eastAsia="sl-SI"/>
              </w:rPr>
              <w:t>2</w:t>
            </w:r>
          </w:p>
        </w:tc>
        <w:tc>
          <w:tcPr>
            <w:tcW w:w="2601" w:type="dxa"/>
            <w:shd w:val="clear" w:color="auto" w:fill="FFFFFF"/>
          </w:tcPr>
          <w:p w14:paraId="5334BA72"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238 271 Triaža in sprejem</w:t>
            </w:r>
          </w:p>
        </w:tc>
        <w:tc>
          <w:tcPr>
            <w:tcW w:w="1798" w:type="dxa"/>
            <w:shd w:val="clear" w:color="auto" w:fill="FFFFFF"/>
          </w:tcPr>
          <w:p w14:paraId="28E17EB5"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ZD Ljubljana</w:t>
            </w:r>
          </w:p>
        </w:tc>
        <w:tc>
          <w:tcPr>
            <w:tcW w:w="1220" w:type="dxa"/>
            <w:shd w:val="clear" w:color="auto" w:fill="FFFFFF"/>
          </w:tcPr>
          <w:p w14:paraId="6DC6B0AE" w14:textId="77777777" w:rsidR="00FE461F" w:rsidRPr="005E4BEA" w:rsidRDefault="00FE461F" w:rsidP="00FE461F">
            <w:pPr>
              <w:spacing w:line="240" w:lineRule="auto"/>
              <w:outlineLvl w:val="0"/>
              <w:rPr>
                <w:rFonts w:cs="Arial"/>
                <w:szCs w:val="20"/>
                <w:lang w:eastAsia="sl-SI"/>
              </w:rPr>
            </w:pPr>
            <w:r w:rsidRPr="005E4BEA">
              <w:rPr>
                <w:rFonts w:cs="Arial"/>
                <w:szCs w:val="20"/>
                <w:lang w:eastAsia="sl-SI"/>
              </w:rPr>
              <w:t>1,0 tim</w:t>
            </w:r>
          </w:p>
        </w:tc>
        <w:tc>
          <w:tcPr>
            <w:tcW w:w="1523" w:type="dxa"/>
            <w:shd w:val="clear" w:color="auto" w:fill="FFFFFF"/>
          </w:tcPr>
          <w:p w14:paraId="7A74F5A0" w14:textId="77777777" w:rsidR="00FE461F" w:rsidRPr="005E4BEA" w:rsidRDefault="00FE461F" w:rsidP="00FE461F">
            <w:pPr>
              <w:spacing w:line="240" w:lineRule="auto"/>
              <w:jc w:val="right"/>
              <w:outlineLvl w:val="0"/>
              <w:rPr>
                <w:rFonts w:eastAsia="Calibri" w:cs="Arial"/>
                <w:szCs w:val="20"/>
              </w:rPr>
            </w:pPr>
            <w:r w:rsidRPr="005E4BEA">
              <w:rPr>
                <w:rFonts w:eastAsia="Calibri" w:cs="Arial"/>
                <w:szCs w:val="20"/>
              </w:rPr>
              <w:t>244.132</w:t>
            </w:r>
          </w:p>
        </w:tc>
        <w:tc>
          <w:tcPr>
            <w:tcW w:w="1110" w:type="dxa"/>
            <w:shd w:val="clear" w:color="auto" w:fill="FFFFFF"/>
          </w:tcPr>
          <w:p w14:paraId="73FFE30C" w14:textId="77777777" w:rsidR="00FE461F" w:rsidRPr="005E4BEA" w:rsidRDefault="00FE461F" w:rsidP="00FE461F">
            <w:pPr>
              <w:spacing w:line="240" w:lineRule="auto"/>
              <w:jc w:val="right"/>
              <w:outlineLvl w:val="0"/>
              <w:rPr>
                <w:rFonts w:eastAsia="Calibri" w:cs="Arial"/>
                <w:szCs w:val="20"/>
              </w:rPr>
            </w:pPr>
            <w:r w:rsidRPr="005E4BEA">
              <w:rPr>
                <w:rFonts w:eastAsia="Calibri" w:cs="Arial"/>
                <w:szCs w:val="20"/>
              </w:rPr>
              <w:t>183.099</w:t>
            </w:r>
          </w:p>
        </w:tc>
      </w:tr>
    </w:tbl>
    <w:p w14:paraId="7CEEC132" w14:textId="77777777" w:rsidR="00FE461F" w:rsidRPr="005E4BEA" w:rsidRDefault="00FE461F" w:rsidP="00FE461F">
      <w:pPr>
        <w:spacing w:line="240" w:lineRule="auto"/>
        <w:jc w:val="both"/>
        <w:rPr>
          <w:rFonts w:eastAsia="MS Mincho" w:cs="Arial"/>
          <w:b/>
          <w:bCs/>
          <w:i/>
          <w:color w:val="7F7F7F" w:themeColor="text1" w:themeTint="80"/>
          <w:szCs w:val="20"/>
        </w:rPr>
      </w:pPr>
    </w:p>
    <w:p w14:paraId="6E768C4E"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54F170F7"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Ljubljana ima z okoliškimi občinami-ustanoviteljicami ZD več kot 348.000 prebivalcev. Ne glede na prenovo kriterijev prisotnosti zdravnika na terenu za izvajanje NMP in trenutne podatke o številu intervencij na terenu ZDL, je potrebno zagotoviti minimalno  3 zdravnike za NMP na terenu in 1 zdravnika za izvajanje nujnih hišnih obiskov. V RS za potrebe PNMP neprekinjeno skrbi 62 zdravnikov, kar znese v povprečju 1 zdravnika na 35.000 ljudi!  V Ljubljani se bi na ta način  zagotavljal standard 1 urgentni zdravnik za teren  / 100.000 preb. </w:t>
      </w:r>
    </w:p>
    <w:p w14:paraId="4D878B79" w14:textId="77777777" w:rsidR="00FE461F" w:rsidRPr="005E4BEA" w:rsidRDefault="00FE461F" w:rsidP="00FE461F">
      <w:pPr>
        <w:spacing w:line="240" w:lineRule="auto"/>
        <w:jc w:val="both"/>
        <w:rPr>
          <w:rFonts w:eastAsia="Calibri" w:cs="Arial"/>
          <w:i/>
          <w:iCs/>
          <w:color w:val="7F7F7F" w:themeColor="text1" w:themeTint="80"/>
          <w:szCs w:val="20"/>
        </w:rPr>
      </w:pPr>
    </w:p>
    <w:p w14:paraId="3301E992" w14:textId="2040663C"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 xml:space="preserve">ZDL izvaja v UKCL triažo že od l. 2009. Ob vzpostavitvi </w:t>
      </w:r>
      <w:proofErr w:type="spellStart"/>
      <w:r w:rsidRPr="005E4BEA">
        <w:rPr>
          <w:rFonts w:eastAsia="Calibri" w:cs="Arial"/>
          <w:i/>
          <w:iCs/>
          <w:color w:val="7F7F7F" w:themeColor="text1" w:themeTint="80"/>
          <w:szCs w:val="20"/>
        </w:rPr>
        <w:t>kalkulantivnega</w:t>
      </w:r>
      <w:proofErr w:type="spellEnd"/>
      <w:r w:rsidRPr="005E4BEA">
        <w:rPr>
          <w:rFonts w:eastAsia="Calibri" w:cs="Arial"/>
          <w:i/>
          <w:iCs/>
          <w:color w:val="7F7F7F" w:themeColor="text1" w:themeTint="80"/>
          <w:szCs w:val="20"/>
        </w:rPr>
        <w:t xml:space="preserve"> elementa in dodelitvi sredstev UKCL za program sprejem in triaža v l. 2017, je UKCL vzpostavil svoja triažna mesta. UKCL ima  priznane 3.5 tima triaže, ki se izvaja na treh deloviščih: KRG urgenca, IPP in NEV urgenca. Na KRG se v času povečanega obsega dela zagotavlja dodatni tim triaže. Zato  ZDL ni mogoče zagotoviti plačila za triažo z prerazporeditvijo obstoječih sredstev, temveč je upravičena širitev </w:t>
      </w:r>
      <w:proofErr w:type="spellStart"/>
      <w:r w:rsidRPr="005E4BEA">
        <w:rPr>
          <w:rFonts w:eastAsia="Calibri" w:cs="Arial"/>
          <w:i/>
          <w:iCs/>
          <w:color w:val="7F7F7F" w:themeColor="text1" w:themeTint="80"/>
          <w:szCs w:val="20"/>
        </w:rPr>
        <w:t>oz</w:t>
      </w:r>
      <w:proofErr w:type="spellEnd"/>
      <w:r w:rsidRPr="005E4BEA">
        <w:rPr>
          <w:rFonts w:eastAsia="Calibri" w:cs="Arial"/>
          <w:i/>
          <w:iCs/>
          <w:color w:val="7F7F7F" w:themeColor="text1" w:themeTint="80"/>
          <w:szCs w:val="20"/>
        </w:rPr>
        <w:t xml:space="preserve"> dodelitev programa v obsegu 1 tim ZDL.  V UKCL je bilo na  samo na SNMP obravnavanih  več kot 48.000 pacientov, kar po normativnih merilih  upravičuje dodaten tim triaže . </w:t>
      </w:r>
    </w:p>
    <w:p w14:paraId="6B6A49C6" w14:textId="77777777"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 xml:space="preserve">V rednem delovnem času (EHP) je bilo s strani ZDL pregledanih 18.725 pacientov, kar znese statistično  75  opravljenih storitev / dan. Po predpostavki, da lahko   zdravnik v tem času  lahko varno pregleda od 25 -  30 pacientov , je ZDL upravičen do 2,5 tima EHP.  </w:t>
      </w:r>
    </w:p>
    <w:p w14:paraId="679D128F" w14:textId="77777777" w:rsidR="00FE461F" w:rsidRPr="005E4BEA" w:rsidRDefault="00FE461F" w:rsidP="00FE461F">
      <w:pPr>
        <w:spacing w:line="240" w:lineRule="auto"/>
        <w:jc w:val="both"/>
        <w:rPr>
          <w:rFonts w:eastAsia="Calibri" w:cs="Arial"/>
          <w:i/>
          <w:iCs/>
          <w:color w:val="7F7F7F" w:themeColor="text1" w:themeTint="80"/>
          <w:szCs w:val="20"/>
        </w:rPr>
      </w:pPr>
    </w:p>
    <w:p w14:paraId="0FDDEBDE" w14:textId="77777777" w:rsidR="00FE461F" w:rsidRPr="005E4BEA" w:rsidRDefault="00FE461F" w:rsidP="00FE461F">
      <w:pPr>
        <w:spacing w:line="240" w:lineRule="auto"/>
        <w:jc w:val="both"/>
        <w:rPr>
          <w:rFonts w:eastAsia="Calibri" w:cs="Arial"/>
          <w:i/>
          <w:iCs/>
          <w:color w:val="7F7F7F" w:themeColor="text1" w:themeTint="80"/>
          <w:szCs w:val="20"/>
        </w:rPr>
      </w:pPr>
      <w:r w:rsidRPr="005E4BEA">
        <w:rPr>
          <w:rFonts w:eastAsia="Calibri" w:cs="Arial"/>
          <w:i/>
          <w:iCs/>
          <w:color w:val="7F7F7F" w:themeColor="text1" w:themeTint="80"/>
          <w:szCs w:val="20"/>
        </w:rPr>
        <w:t>Glede na velikost terena, števila prebivalstva, dnevnih migracij  in dostopnih  časov v okolici Ljubljane, mora NMP UKCL zagotavljati vsaj 11 timov MOE NRV. Dodatno je potrebno v dnevnem času zagotoviti stalno prisotnost MOE NRV na področju občine Grosuplje, ki nima programa svoje  MOE NRV,  ZD Grosuplje in Ivančna Gorica pa pokrivata teren, ki šteje več kot 42.000 prebivalcev. Povprečno ena enota MOE NRV v RS pokriva področje  22.000 prebivalcev.</w:t>
      </w:r>
    </w:p>
    <w:p w14:paraId="4FAE570C" w14:textId="77777777" w:rsidR="00FE461F" w:rsidRPr="005E4BEA" w:rsidRDefault="00FE461F" w:rsidP="00FE461F">
      <w:pPr>
        <w:spacing w:line="240" w:lineRule="auto"/>
        <w:jc w:val="both"/>
        <w:rPr>
          <w:rFonts w:eastAsia="Calibri" w:cs="Arial"/>
          <w:i/>
          <w:iCs/>
          <w:color w:val="7F7F7F" w:themeColor="text1" w:themeTint="80"/>
          <w:szCs w:val="20"/>
        </w:rPr>
      </w:pPr>
    </w:p>
    <w:p w14:paraId="6E4E586C" w14:textId="77777777" w:rsidR="00FE461F" w:rsidRPr="005E4BEA" w:rsidRDefault="00FE461F" w:rsidP="00FE461F">
      <w:pPr>
        <w:spacing w:line="240" w:lineRule="auto"/>
        <w:jc w:val="both"/>
        <w:rPr>
          <w:rFonts w:eastAsia="Calibri" w:cs="Arial"/>
          <w:b/>
          <w:bCs/>
          <w:i/>
          <w:iCs/>
          <w:color w:val="7F7F7F" w:themeColor="text1" w:themeTint="80"/>
          <w:szCs w:val="20"/>
        </w:rPr>
      </w:pPr>
      <w:r w:rsidRPr="005E4BEA">
        <w:rPr>
          <w:rFonts w:eastAsia="Calibri" w:cs="Arial"/>
          <w:b/>
          <w:bCs/>
          <w:i/>
          <w:iCs/>
          <w:color w:val="7F7F7F" w:themeColor="text1" w:themeTint="80"/>
          <w:szCs w:val="20"/>
        </w:rPr>
        <w:t>Finančne posledice: 743.275 eur na letni ravni.</w:t>
      </w:r>
    </w:p>
    <w:p w14:paraId="4EA32B1C" w14:textId="15C295E2" w:rsidR="00FE461F" w:rsidRPr="005E4BEA" w:rsidRDefault="00FE461F" w:rsidP="00FE461F">
      <w:pPr>
        <w:spacing w:line="240" w:lineRule="auto"/>
        <w:jc w:val="both"/>
        <w:rPr>
          <w:rFonts w:cs="Arial"/>
          <w:i/>
          <w:iCs/>
          <w:color w:val="767171"/>
          <w:szCs w:val="20"/>
        </w:rPr>
      </w:pPr>
    </w:p>
    <w:p w14:paraId="4885A3A6" w14:textId="77777777" w:rsidR="009B618A" w:rsidRPr="005E4BEA" w:rsidRDefault="009B618A" w:rsidP="009B618A">
      <w:pPr>
        <w:spacing w:line="240" w:lineRule="auto"/>
        <w:jc w:val="both"/>
        <w:rPr>
          <w:rFonts w:cs="Arial"/>
          <w:i/>
          <w:iCs/>
          <w:color w:val="767171"/>
          <w:szCs w:val="20"/>
        </w:rPr>
      </w:pPr>
    </w:p>
    <w:p w14:paraId="1C2E5681" w14:textId="288C6EE2" w:rsidR="001459C0" w:rsidRPr="005E4BEA" w:rsidRDefault="009B618A" w:rsidP="001459C0">
      <w:pPr>
        <w:jc w:val="both"/>
        <w:rPr>
          <w:rFonts w:eastAsia="Calibri"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strinja s predlogom v modificirani obliki, in sicer se</w:t>
      </w:r>
      <w:r w:rsidR="001459C0" w:rsidRPr="005E4BEA">
        <w:rPr>
          <w:rFonts w:eastAsia="Calibri" w:cs="Arial"/>
          <w:szCs w:val="20"/>
        </w:rPr>
        <w:t xml:space="preserve"> </w:t>
      </w:r>
      <w:bookmarkStart w:id="166" w:name="_Hlk102643065"/>
      <w:r w:rsidR="001459C0" w:rsidRPr="005E4BEA">
        <w:rPr>
          <w:rFonts w:eastAsia="Calibri" w:cs="Arial"/>
          <w:szCs w:val="20"/>
        </w:rPr>
        <w:t xml:space="preserve">v Prilogi ZD ZAS </w:t>
      </w:r>
      <w:bookmarkStart w:id="167" w:name="_Hlk103071583"/>
      <w:r w:rsidR="001459C0" w:rsidRPr="005E4BEA">
        <w:rPr>
          <w:rFonts w:eastAsia="Calibri" w:cs="Arial"/>
          <w:szCs w:val="20"/>
        </w:rPr>
        <w:t xml:space="preserve">v </w:t>
      </w:r>
      <w:r w:rsidR="004533A6">
        <w:rPr>
          <w:rFonts w:eastAsia="Calibri" w:cs="Arial"/>
          <w:szCs w:val="20"/>
        </w:rPr>
        <w:t>20</w:t>
      </w:r>
      <w:r w:rsidR="001459C0" w:rsidRPr="005E4BEA">
        <w:rPr>
          <w:rFonts w:eastAsia="Calibri" w:cs="Arial"/>
          <w:szCs w:val="20"/>
        </w:rPr>
        <w:t>. členu šesti odstavek spremeni tako, da se glasi:</w:t>
      </w:r>
    </w:p>
    <w:p w14:paraId="38B96369" w14:textId="77777777" w:rsidR="001459C0" w:rsidRPr="005E4BEA" w:rsidRDefault="001459C0" w:rsidP="001459C0">
      <w:pPr>
        <w:spacing w:line="60" w:lineRule="exact"/>
        <w:rPr>
          <w:rFonts w:eastAsia="Calibri" w:cs="Arial"/>
          <w:szCs w:val="20"/>
        </w:rPr>
      </w:pPr>
    </w:p>
    <w:p w14:paraId="3B279719" w14:textId="77777777" w:rsidR="001459C0" w:rsidRPr="005E4BEA" w:rsidRDefault="001459C0" w:rsidP="001459C0">
      <w:pPr>
        <w:spacing w:line="60" w:lineRule="exact"/>
        <w:rPr>
          <w:rFonts w:eastAsia="Calibri" w:cs="Arial"/>
          <w:szCs w:val="20"/>
        </w:rPr>
      </w:pPr>
    </w:p>
    <w:p w14:paraId="78DC7FC2" w14:textId="77777777" w:rsidR="001459C0" w:rsidRPr="005E4BEA" w:rsidRDefault="001459C0" w:rsidP="001459C0">
      <w:pPr>
        <w:spacing w:line="240" w:lineRule="auto"/>
        <w:jc w:val="both"/>
        <w:rPr>
          <w:rFonts w:eastAsia="Calibri" w:cs="Arial"/>
          <w:szCs w:val="20"/>
        </w:rPr>
      </w:pPr>
    </w:p>
    <w:p w14:paraId="3E1E21F9" w14:textId="77777777" w:rsidR="001459C0" w:rsidRPr="005E4BEA" w:rsidRDefault="001459C0" w:rsidP="001459C0">
      <w:pPr>
        <w:spacing w:after="120" w:line="240" w:lineRule="atLeast"/>
        <w:jc w:val="both"/>
        <w:rPr>
          <w:rFonts w:eastAsia="Calibri" w:cs="Arial"/>
          <w:szCs w:val="20"/>
        </w:rPr>
      </w:pPr>
      <w:r w:rsidRPr="005E4BEA">
        <w:rPr>
          <w:rFonts w:eastAsia="Calibri" w:cs="Arial"/>
          <w:szCs w:val="20"/>
        </w:rPr>
        <w:t xml:space="preserve">» (6) Za izvajanje NMP z dežurno službo v Ljubljani se zagotovi Zdravstvenemu domu Ljubljana financiranje treh timov Vozila urgentnega zdravnika, enega tima Vozila dežurnega zdravnika – neodložljivi hišni obiski, 2,5 tima Enote za hitre preglede v rednem delovnem času,  5 timov Dežurne službe 1 in 1,5 tima Triaže in sprejema. </w:t>
      </w:r>
    </w:p>
    <w:p w14:paraId="26A34983" w14:textId="77777777" w:rsidR="004533A6" w:rsidRPr="001459C0" w:rsidRDefault="004533A6" w:rsidP="004533A6">
      <w:pPr>
        <w:spacing w:after="120" w:line="240" w:lineRule="atLeast"/>
        <w:jc w:val="both"/>
        <w:rPr>
          <w:rFonts w:eastAsia="Calibri" w:cs="Arial"/>
          <w:szCs w:val="20"/>
        </w:rPr>
      </w:pPr>
      <w:r w:rsidRPr="001459C0">
        <w:rPr>
          <w:rFonts w:eastAsia="Calibri" w:cs="Arial"/>
          <w:szCs w:val="20"/>
        </w:rPr>
        <w:lastRenderedPageBreak/>
        <w:t xml:space="preserve">UKC Ljubljana se zagotovi za izvajanje programa </w:t>
      </w:r>
      <w:r>
        <w:rPr>
          <w:rFonts w:eastAsia="Calibri" w:cs="Arial"/>
          <w:szCs w:val="20"/>
        </w:rPr>
        <w:t xml:space="preserve">NMP financiranje 11,5 timov </w:t>
      </w:r>
      <w:r w:rsidRPr="001459C0">
        <w:rPr>
          <w:rFonts w:eastAsia="Calibri" w:cs="Arial"/>
          <w:szCs w:val="20"/>
        </w:rPr>
        <w:t>MOE nujnega reševalnega vozila</w:t>
      </w:r>
      <w:r>
        <w:rPr>
          <w:rFonts w:eastAsia="Calibri" w:cs="Arial"/>
          <w:szCs w:val="20"/>
        </w:rPr>
        <w:t>, 1 tim motornega kolesa ter sredstva za izvajanje HNMP in dispečerske službe zdravstva</w:t>
      </w:r>
      <w:r w:rsidRPr="001459C0">
        <w:rPr>
          <w:rFonts w:eastAsia="Calibri" w:cs="Arial"/>
          <w:szCs w:val="20"/>
        </w:rPr>
        <w:t xml:space="preserve">. </w:t>
      </w:r>
    </w:p>
    <w:p w14:paraId="11A95F40" w14:textId="77777777" w:rsidR="001459C0" w:rsidRPr="005E4BEA" w:rsidRDefault="001459C0" w:rsidP="001459C0">
      <w:pPr>
        <w:spacing w:after="120" w:line="240" w:lineRule="atLeast"/>
        <w:jc w:val="both"/>
        <w:rPr>
          <w:rFonts w:eastAsia="Calibri" w:cs="Arial"/>
          <w:szCs w:val="20"/>
        </w:rPr>
      </w:pPr>
      <w:r w:rsidRPr="005E4BEA">
        <w:rPr>
          <w:rFonts w:eastAsia="Calibri" w:cs="Arial"/>
          <w:szCs w:val="20"/>
        </w:rPr>
        <w:t>Skladno z navedenim se popravi Priloga ZD ZAS-3</w:t>
      </w:r>
    </w:p>
    <w:p w14:paraId="29B7D2AC" w14:textId="77777777" w:rsidR="001459C0" w:rsidRPr="005E4BEA" w:rsidRDefault="001459C0" w:rsidP="001459C0">
      <w:pPr>
        <w:spacing w:line="240" w:lineRule="auto"/>
        <w:jc w:val="both"/>
        <w:rPr>
          <w:rFonts w:eastAsia="Calibri" w:cs="Arial"/>
          <w:szCs w:val="20"/>
        </w:rPr>
      </w:pPr>
      <w:r w:rsidRPr="005E4BEA">
        <w:rPr>
          <w:rFonts w:eastAsia="Calibri" w:cs="Arial"/>
          <w:szCs w:val="20"/>
        </w:rPr>
        <w:t>Sprememba velja od 1. 4. 2022 naprej.«</w:t>
      </w:r>
    </w:p>
    <w:p w14:paraId="0C19E1B6" w14:textId="77777777" w:rsidR="001459C0" w:rsidRPr="005E4BEA" w:rsidRDefault="001459C0" w:rsidP="001459C0">
      <w:pPr>
        <w:spacing w:line="240" w:lineRule="auto"/>
        <w:jc w:val="both"/>
        <w:rPr>
          <w:rFonts w:ascii="Calibri" w:eastAsia="Calibri" w:hAnsi="Calibri" w:cs="Calibri"/>
          <w:sz w:val="22"/>
          <w:szCs w:val="22"/>
        </w:rPr>
      </w:pPr>
    </w:p>
    <w:p w14:paraId="57F4B2B2" w14:textId="77777777" w:rsidR="001459C0" w:rsidRPr="005E4BEA" w:rsidRDefault="001459C0" w:rsidP="001459C0">
      <w:pPr>
        <w:spacing w:line="240" w:lineRule="auto"/>
        <w:jc w:val="both"/>
        <w:rPr>
          <w:rFonts w:eastAsia="Calibri" w:cs="Arial"/>
          <w:b/>
          <w:bCs/>
          <w:szCs w:val="20"/>
        </w:rPr>
      </w:pPr>
      <w:r w:rsidRPr="005E4BEA">
        <w:rPr>
          <w:rFonts w:eastAsia="Calibri" w:cs="Arial"/>
          <w:b/>
          <w:bCs/>
          <w:szCs w:val="20"/>
        </w:rPr>
        <w:t>V 24. členu v šestem odstavku se v tabeli dodajo nove vrstice za nujne širitve programov oziroma uvajanje novih terapij:</w:t>
      </w:r>
    </w:p>
    <w:p w14:paraId="61783D9D" w14:textId="77777777" w:rsidR="001459C0" w:rsidRPr="005E4BEA" w:rsidRDefault="001459C0" w:rsidP="001459C0">
      <w:pPr>
        <w:spacing w:line="240" w:lineRule="auto"/>
        <w:jc w:val="both"/>
        <w:rPr>
          <w:rFonts w:ascii="Calibri" w:eastAsia="Calibri" w:hAnsi="Calibri" w:cs="Calibri"/>
          <w:b/>
          <w:bCs/>
          <w:i/>
          <w:iCs/>
          <w:color w:val="7F7F7F"/>
          <w:sz w:val="22"/>
          <w:szCs w:val="22"/>
        </w:rPr>
      </w:pPr>
    </w:p>
    <w:tbl>
      <w:tblPr>
        <w:tblW w:w="8602" w:type="dxa"/>
        <w:tblCellMar>
          <w:left w:w="0" w:type="dxa"/>
          <w:right w:w="0" w:type="dxa"/>
        </w:tblCellMar>
        <w:tblLook w:val="04A0" w:firstRow="1" w:lastRow="0" w:firstColumn="1" w:lastColumn="0" w:noHBand="0" w:noVBand="1"/>
      </w:tblPr>
      <w:tblGrid>
        <w:gridCol w:w="339"/>
        <w:gridCol w:w="2489"/>
        <w:gridCol w:w="2019"/>
        <w:gridCol w:w="1167"/>
        <w:gridCol w:w="1447"/>
        <w:gridCol w:w="1141"/>
      </w:tblGrid>
      <w:tr w:rsidR="001459C0" w:rsidRPr="005E4BEA" w14:paraId="058AE030" w14:textId="77777777" w:rsidTr="001459C0">
        <w:trPr>
          <w:trHeight w:val="653"/>
          <w:tblHeader/>
        </w:trPr>
        <w:tc>
          <w:tcPr>
            <w:tcW w:w="35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5CE09FE7" w14:textId="77777777" w:rsidR="001459C0" w:rsidRPr="005E4BEA" w:rsidRDefault="001459C0" w:rsidP="001459C0">
            <w:pPr>
              <w:spacing w:line="240" w:lineRule="auto"/>
              <w:jc w:val="center"/>
              <w:rPr>
                <w:rFonts w:eastAsia="Calibri" w:cs="Arial"/>
                <w:b/>
                <w:bCs/>
                <w:szCs w:val="20"/>
                <w:lang w:eastAsia="sl-SI"/>
              </w:rPr>
            </w:pPr>
            <w:r w:rsidRPr="005E4BEA">
              <w:rPr>
                <w:rFonts w:eastAsia="Calibri" w:cs="Arial"/>
                <w:b/>
                <w:bCs/>
                <w:color w:val="000000"/>
                <w:szCs w:val="20"/>
                <w:lang w:eastAsia="sl-SI"/>
              </w:rPr>
              <w:t> </w:t>
            </w:r>
          </w:p>
        </w:tc>
        <w:tc>
          <w:tcPr>
            <w:tcW w:w="260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634207" w14:textId="77777777" w:rsidR="001459C0" w:rsidRPr="005E4BEA" w:rsidRDefault="001459C0" w:rsidP="001459C0">
            <w:pPr>
              <w:spacing w:line="240" w:lineRule="auto"/>
              <w:rPr>
                <w:rFonts w:eastAsia="Calibri" w:cs="Arial"/>
                <w:b/>
                <w:bCs/>
                <w:szCs w:val="20"/>
                <w:lang w:eastAsia="sl-SI"/>
              </w:rPr>
            </w:pPr>
            <w:r w:rsidRPr="005E4BEA">
              <w:rPr>
                <w:rFonts w:eastAsia="Calibri" w:cs="Arial"/>
                <w:b/>
                <w:bCs/>
                <w:color w:val="000000"/>
                <w:szCs w:val="20"/>
                <w:lang w:eastAsia="sl-SI"/>
              </w:rPr>
              <w:t>P  r  o  g  r  a  m</w:t>
            </w:r>
          </w:p>
        </w:tc>
        <w:tc>
          <w:tcPr>
            <w:tcW w:w="179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E8C99A" w14:textId="77777777" w:rsidR="001459C0" w:rsidRPr="005E4BEA" w:rsidRDefault="001459C0" w:rsidP="001459C0">
            <w:pPr>
              <w:spacing w:line="240" w:lineRule="auto"/>
              <w:jc w:val="center"/>
              <w:rPr>
                <w:rFonts w:eastAsia="Calibri" w:cs="Arial"/>
                <w:b/>
                <w:bCs/>
                <w:szCs w:val="20"/>
                <w:lang w:eastAsia="sl-SI"/>
              </w:rPr>
            </w:pPr>
            <w:r w:rsidRPr="005E4BEA">
              <w:rPr>
                <w:rFonts w:eastAsia="Calibri" w:cs="Arial"/>
                <w:b/>
                <w:bCs/>
                <w:color w:val="000000"/>
                <w:szCs w:val="20"/>
                <w:lang w:eastAsia="sl-SI"/>
              </w:rPr>
              <w:t>I  z  v  a  j  a  l  e  c  /</w:t>
            </w:r>
            <w:r w:rsidRPr="005E4BEA">
              <w:rPr>
                <w:rFonts w:eastAsia="Calibri" w:cs="Arial"/>
                <w:b/>
                <w:bCs/>
                <w:color w:val="000000"/>
                <w:szCs w:val="20"/>
                <w:lang w:eastAsia="sl-SI"/>
              </w:rPr>
              <w:br/>
              <w:t>I z p o s t a v a</w:t>
            </w:r>
          </w:p>
        </w:tc>
        <w:tc>
          <w:tcPr>
            <w:tcW w:w="122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8B0896" w14:textId="77777777" w:rsidR="001459C0" w:rsidRPr="005E4BEA" w:rsidRDefault="001459C0" w:rsidP="001459C0">
            <w:pPr>
              <w:spacing w:line="240" w:lineRule="auto"/>
              <w:jc w:val="center"/>
              <w:rPr>
                <w:rFonts w:eastAsia="Calibri" w:cs="Arial"/>
                <w:b/>
                <w:bCs/>
                <w:szCs w:val="20"/>
                <w:lang w:eastAsia="sl-SI"/>
              </w:rPr>
            </w:pPr>
            <w:r w:rsidRPr="005E4BEA">
              <w:rPr>
                <w:rFonts w:eastAsia="Calibri" w:cs="Arial"/>
                <w:b/>
                <w:bCs/>
                <w:color w:val="000000"/>
                <w:szCs w:val="20"/>
                <w:lang w:eastAsia="sl-SI"/>
              </w:rPr>
              <w:t>Obseg</w:t>
            </w:r>
          </w:p>
        </w:tc>
        <w:tc>
          <w:tcPr>
            <w:tcW w:w="152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D55536" w14:textId="77777777" w:rsidR="001459C0" w:rsidRPr="005E4BEA" w:rsidRDefault="001459C0" w:rsidP="001459C0">
            <w:pPr>
              <w:spacing w:line="240" w:lineRule="auto"/>
              <w:jc w:val="center"/>
              <w:rPr>
                <w:rFonts w:eastAsia="Calibri" w:cs="Arial"/>
                <w:b/>
                <w:bCs/>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r w:rsidRPr="005E4BEA">
              <w:rPr>
                <w:rFonts w:eastAsia="Calibri" w:cs="Arial"/>
                <w:b/>
                <w:bCs/>
                <w:color w:val="000000"/>
                <w:szCs w:val="20"/>
                <w:lang w:eastAsia="sl-SI"/>
              </w:rPr>
              <w:br/>
              <w:t>letna raven</w:t>
            </w:r>
          </w:p>
        </w:tc>
        <w:tc>
          <w:tcPr>
            <w:tcW w:w="111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32AFB0" w14:textId="77777777" w:rsidR="001459C0" w:rsidRPr="005E4BEA" w:rsidRDefault="001459C0" w:rsidP="001459C0">
            <w:pPr>
              <w:spacing w:line="240" w:lineRule="auto"/>
              <w:jc w:val="center"/>
              <w:rPr>
                <w:rFonts w:eastAsia="Calibri" w:cs="Arial"/>
                <w:b/>
                <w:bCs/>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r w:rsidRPr="005E4BEA">
              <w:rPr>
                <w:rFonts w:eastAsia="Calibri" w:cs="Arial"/>
                <w:b/>
                <w:bCs/>
                <w:color w:val="000000"/>
                <w:szCs w:val="20"/>
                <w:lang w:eastAsia="sl-SI"/>
              </w:rPr>
              <w:br/>
              <w:t>1.4.- 31.12.2022</w:t>
            </w:r>
          </w:p>
        </w:tc>
      </w:tr>
      <w:tr w:rsidR="001459C0" w:rsidRPr="005E4BEA" w14:paraId="4D09D646" w14:textId="77777777" w:rsidTr="001459C0">
        <w:trPr>
          <w:trHeight w:val="734"/>
        </w:trPr>
        <w:tc>
          <w:tcPr>
            <w:tcW w:w="3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3BC73E9F" w14:textId="77777777" w:rsidR="001459C0" w:rsidRPr="005E4BEA" w:rsidRDefault="001459C0" w:rsidP="001459C0">
            <w:pPr>
              <w:spacing w:line="240" w:lineRule="auto"/>
              <w:jc w:val="center"/>
              <w:rPr>
                <w:rFonts w:eastAsia="Calibri" w:cs="Arial"/>
                <w:szCs w:val="20"/>
                <w:lang w:eastAsia="sl-SI"/>
              </w:rPr>
            </w:pPr>
            <w:r w:rsidRPr="005E4BEA">
              <w:rPr>
                <w:rFonts w:eastAsia="Calibri" w:cs="Arial"/>
                <w:color w:val="000000"/>
                <w:szCs w:val="20"/>
                <w:lang w:eastAsia="sl-SI"/>
              </w:rPr>
              <w:t>1</w:t>
            </w:r>
          </w:p>
        </w:tc>
        <w:tc>
          <w:tcPr>
            <w:tcW w:w="260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5BA218B" w14:textId="77777777" w:rsidR="001459C0" w:rsidRPr="005E4BEA" w:rsidRDefault="001459C0" w:rsidP="001459C0">
            <w:pPr>
              <w:spacing w:line="240" w:lineRule="auto"/>
              <w:rPr>
                <w:rFonts w:eastAsia="Calibri" w:cs="Arial"/>
                <w:szCs w:val="20"/>
                <w:lang w:eastAsia="sl-SI"/>
              </w:rPr>
            </w:pPr>
            <w:r w:rsidRPr="005E4BEA">
              <w:rPr>
                <w:rFonts w:eastAsia="Calibri" w:cs="Arial"/>
                <w:color w:val="000000"/>
                <w:szCs w:val="20"/>
                <w:lang w:eastAsia="sl-SI"/>
              </w:rPr>
              <w:t>Mobilna enota nujnega reševalnega vozila</w:t>
            </w:r>
            <w:r w:rsidRPr="005E4BEA">
              <w:rPr>
                <w:rFonts w:eastAsia="Calibri" w:cs="Arial"/>
                <w:color w:val="000000"/>
                <w:szCs w:val="20"/>
                <w:lang w:eastAsia="sl-SI"/>
              </w:rPr>
              <w:br/>
              <w:t>Od 1. 4. 2022</w:t>
            </w:r>
          </w:p>
        </w:tc>
        <w:tc>
          <w:tcPr>
            <w:tcW w:w="179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0A5ABC9" w14:textId="77777777" w:rsidR="001459C0" w:rsidRPr="005E4BEA" w:rsidRDefault="001459C0" w:rsidP="001459C0">
            <w:pPr>
              <w:spacing w:line="240" w:lineRule="auto"/>
              <w:rPr>
                <w:rFonts w:eastAsia="Calibri" w:cs="Arial"/>
                <w:szCs w:val="20"/>
                <w:lang w:eastAsia="sl-SI"/>
              </w:rPr>
            </w:pPr>
            <w:r w:rsidRPr="005E4BEA">
              <w:rPr>
                <w:rFonts w:eastAsia="Calibri" w:cs="Arial"/>
                <w:color w:val="000000"/>
                <w:szCs w:val="20"/>
                <w:lang w:eastAsia="sl-SI"/>
              </w:rPr>
              <w:t>UKC Ljubljana </w:t>
            </w:r>
          </w:p>
        </w:tc>
        <w:tc>
          <w:tcPr>
            <w:tcW w:w="1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EBC1323" w14:textId="4525A958" w:rsidR="001459C0" w:rsidRPr="005E4BEA" w:rsidRDefault="001459C0" w:rsidP="001459C0">
            <w:pPr>
              <w:spacing w:line="240" w:lineRule="auto"/>
              <w:rPr>
                <w:rFonts w:eastAsia="Calibri" w:cs="Arial"/>
                <w:szCs w:val="20"/>
                <w:lang w:eastAsia="sl-SI"/>
              </w:rPr>
            </w:pPr>
            <w:r w:rsidRPr="005E4BEA">
              <w:rPr>
                <w:rFonts w:eastAsia="Calibri" w:cs="Arial"/>
                <w:color w:val="000000"/>
                <w:szCs w:val="20"/>
                <w:lang w:eastAsia="sl-SI"/>
              </w:rPr>
              <w:t>1,</w:t>
            </w:r>
            <w:r w:rsidR="004533A6">
              <w:rPr>
                <w:rFonts w:eastAsia="Calibri" w:cs="Arial"/>
                <w:color w:val="000000"/>
                <w:szCs w:val="20"/>
                <w:lang w:eastAsia="sl-SI"/>
              </w:rPr>
              <w:t xml:space="preserve">391 </w:t>
            </w:r>
            <w:r w:rsidRPr="005E4BEA">
              <w:rPr>
                <w:rFonts w:eastAsia="Calibri" w:cs="Arial"/>
                <w:color w:val="000000"/>
                <w:szCs w:val="20"/>
                <w:lang w:eastAsia="sl-SI"/>
              </w:rPr>
              <w:t>tim</w:t>
            </w:r>
            <w:r w:rsidR="004533A6">
              <w:rPr>
                <w:rFonts w:eastAsia="Calibri" w:cs="Arial"/>
                <w:color w:val="000000"/>
                <w:szCs w:val="20"/>
                <w:lang w:eastAsia="sl-SI"/>
              </w:rPr>
              <w:t>a</w:t>
            </w:r>
          </w:p>
        </w:tc>
        <w:tc>
          <w:tcPr>
            <w:tcW w:w="152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0370CBD" w14:textId="0F490A42" w:rsidR="001459C0" w:rsidRPr="005E4BEA" w:rsidRDefault="004533A6" w:rsidP="001459C0">
            <w:pPr>
              <w:spacing w:line="240" w:lineRule="auto"/>
              <w:jc w:val="right"/>
              <w:rPr>
                <w:rFonts w:eastAsia="Calibri" w:cs="Arial"/>
                <w:szCs w:val="20"/>
                <w:lang w:eastAsia="sl-SI"/>
              </w:rPr>
            </w:pPr>
            <w:r>
              <w:rPr>
                <w:rFonts w:eastAsia="Calibri" w:cs="Arial"/>
                <w:color w:val="000000"/>
                <w:szCs w:val="20"/>
              </w:rPr>
              <w:t>694.309</w:t>
            </w:r>
          </w:p>
        </w:tc>
        <w:tc>
          <w:tcPr>
            <w:tcW w:w="11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AF0A580" w14:textId="4DA261B2" w:rsidR="001459C0" w:rsidRPr="005E4BEA" w:rsidRDefault="004533A6" w:rsidP="001459C0">
            <w:pPr>
              <w:spacing w:line="240" w:lineRule="auto"/>
              <w:jc w:val="right"/>
              <w:rPr>
                <w:rFonts w:eastAsia="Calibri" w:cs="Arial"/>
                <w:szCs w:val="20"/>
                <w:lang w:eastAsia="sl-SI"/>
              </w:rPr>
            </w:pPr>
            <w:r>
              <w:rPr>
                <w:rFonts w:eastAsia="Calibri" w:cs="Arial"/>
                <w:color w:val="000000"/>
                <w:szCs w:val="20"/>
              </w:rPr>
              <w:t>520.731</w:t>
            </w:r>
          </w:p>
        </w:tc>
      </w:tr>
      <w:tr w:rsidR="001459C0" w:rsidRPr="005E4BEA" w14:paraId="218B5A88" w14:textId="77777777" w:rsidTr="001459C0">
        <w:trPr>
          <w:trHeight w:val="734"/>
        </w:trPr>
        <w:tc>
          <w:tcPr>
            <w:tcW w:w="3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0D6E0CCE" w14:textId="77777777" w:rsidR="001459C0" w:rsidRPr="005E4BEA" w:rsidRDefault="001459C0" w:rsidP="001459C0">
            <w:pPr>
              <w:spacing w:line="240" w:lineRule="auto"/>
              <w:jc w:val="center"/>
              <w:rPr>
                <w:rFonts w:eastAsia="Calibri" w:cs="Arial"/>
                <w:szCs w:val="20"/>
                <w:lang w:eastAsia="sl-SI"/>
              </w:rPr>
            </w:pPr>
            <w:r w:rsidRPr="005E4BEA">
              <w:rPr>
                <w:rFonts w:eastAsia="Calibri" w:cs="Arial"/>
                <w:color w:val="000000"/>
                <w:szCs w:val="20"/>
                <w:lang w:eastAsia="sl-SI"/>
              </w:rPr>
              <w:t>2</w:t>
            </w:r>
          </w:p>
        </w:tc>
        <w:tc>
          <w:tcPr>
            <w:tcW w:w="260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1EDF85A" w14:textId="77777777" w:rsidR="001459C0" w:rsidRPr="005E4BEA" w:rsidRDefault="001459C0" w:rsidP="001459C0">
            <w:pPr>
              <w:spacing w:line="240" w:lineRule="auto"/>
              <w:rPr>
                <w:rFonts w:eastAsia="Calibri" w:cs="Arial"/>
                <w:szCs w:val="20"/>
                <w:lang w:eastAsia="sl-SI"/>
              </w:rPr>
            </w:pPr>
            <w:r w:rsidRPr="005E4BEA">
              <w:rPr>
                <w:rFonts w:eastAsia="Calibri" w:cs="Arial"/>
                <w:color w:val="000000"/>
                <w:szCs w:val="20"/>
                <w:lang w:eastAsia="sl-SI"/>
              </w:rPr>
              <w:t>238 271 Triaža in sprejem</w:t>
            </w:r>
          </w:p>
        </w:tc>
        <w:tc>
          <w:tcPr>
            <w:tcW w:w="179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15D7368" w14:textId="77777777" w:rsidR="001459C0" w:rsidRPr="005E4BEA" w:rsidRDefault="001459C0" w:rsidP="001459C0">
            <w:pPr>
              <w:spacing w:line="240" w:lineRule="auto"/>
              <w:rPr>
                <w:rFonts w:eastAsia="Calibri" w:cs="Arial"/>
                <w:szCs w:val="20"/>
                <w:lang w:eastAsia="sl-SI"/>
              </w:rPr>
            </w:pPr>
            <w:r w:rsidRPr="005E4BEA">
              <w:rPr>
                <w:rFonts w:eastAsia="Calibri" w:cs="Arial"/>
                <w:color w:val="000000"/>
                <w:szCs w:val="20"/>
                <w:lang w:eastAsia="sl-SI"/>
              </w:rPr>
              <w:t>ZD Ljubljana</w:t>
            </w:r>
          </w:p>
        </w:tc>
        <w:tc>
          <w:tcPr>
            <w:tcW w:w="1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9212708" w14:textId="77777777" w:rsidR="001459C0" w:rsidRPr="005E4BEA" w:rsidRDefault="001459C0" w:rsidP="001459C0">
            <w:pPr>
              <w:spacing w:line="240" w:lineRule="auto"/>
              <w:rPr>
                <w:rFonts w:eastAsia="Calibri" w:cs="Arial"/>
                <w:szCs w:val="20"/>
                <w:lang w:eastAsia="sl-SI"/>
              </w:rPr>
            </w:pPr>
            <w:r w:rsidRPr="005E4BEA">
              <w:rPr>
                <w:rFonts w:eastAsia="Calibri" w:cs="Arial"/>
                <w:color w:val="000000"/>
                <w:szCs w:val="20"/>
                <w:lang w:eastAsia="sl-SI"/>
              </w:rPr>
              <w:t>1,0 tim</w:t>
            </w:r>
          </w:p>
        </w:tc>
        <w:tc>
          <w:tcPr>
            <w:tcW w:w="152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7E35E56" w14:textId="77777777" w:rsidR="001459C0" w:rsidRPr="005E4BEA" w:rsidRDefault="001459C0" w:rsidP="001459C0">
            <w:pPr>
              <w:spacing w:line="240" w:lineRule="auto"/>
              <w:jc w:val="right"/>
              <w:rPr>
                <w:rFonts w:eastAsia="Calibri" w:cs="Arial"/>
                <w:szCs w:val="20"/>
              </w:rPr>
            </w:pPr>
            <w:r w:rsidRPr="005E4BEA">
              <w:rPr>
                <w:rFonts w:eastAsia="Calibri" w:cs="Arial"/>
                <w:color w:val="000000"/>
                <w:szCs w:val="20"/>
              </w:rPr>
              <w:t>244.132</w:t>
            </w:r>
          </w:p>
        </w:tc>
        <w:tc>
          <w:tcPr>
            <w:tcW w:w="11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8A6C975" w14:textId="77777777" w:rsidR="001459C0" w:rsidRPr="005E4BEA" w:rsidRDefault="001459C0" w:rsidP="001459C0">
            <w:pPr>
              <w:spacing w:line="240" w:lineRule="auto"/>
              <w:jc w:val="right"/>
              <w:rPr>
                <w:rFonts w:eastAsia="Calibri" w:cs="Arial"/>
                <w:szCs w:val="20"/>
              </w:rPr>
            </w:pPr>
            <w:r w:rsidRPr="005E4BEA">
              <w:rPr>
                <w:rFonts w:eastAsia="Calibri" w:cs="Arial"/>
                <w:color w:val="000000"/>
                <w:szCs w:val="20"/>
              </w:rPr>
              <w:t>183.099</w:t>
            </w:r>
          </w:p>
        </w:tc>
      </w:tr>
      <w:bookmarkEnd w:id="166"/>
      <w:bookmarkEnd w:id="167"/>
    </w:tbl>
    <w:p w14:paraId="7A1CE2C1" w14:textId="77777777" w:rsidR="001459C0" w:rsidRPr="005E4BEA" w:rsidRDefault="001459C0" w:rsidP="001459C0">
      <w:pPr>
        <w:spacing w:line="240" w:lineRule="auto"/>
        <w:jc w:val="both"/>
        <w:rPr>
          <w:rFonts w:eastAsia="Calibri" w:cs="Arial"/>
          <w:b/>
          <w:bCs/>
          <w:i/>
          <w:iCs/>
          <w:color w:val="7F7F7F"/>
          <w:szCs w:val="20"/>
        </w:rPr>
      </w:pPr>
    </w:p>
    <w:p w14:paraId="476218BA" w14:textId="4133EDAA" w:rsidR="009B618A" w:rsidRPr="005E4BEA" w:rsidRDefault="009B618A" w:rsidP="001459C0">
      <w:pPr>
        <w:autoSpaceDE w:val="0"/>
        <w:autoSpaceDN w:val="0"/>
        <w:adjustRightInd w:val="0"/>
        <w:spacing w:line="0" w:lineRule="atLeast"/>
        <w:jc w:val="both"/>
        <w:rPr>
          <w:rFonts w:eastAsia="Arial Narrow" w:cs="Arial"/>
          <w:szCs w:val="20"/>
          <w:lang w:eastAsia="sl-SI"/>
        </w:rPr>
      </w:pPr>
    </w:p>
    <w:p w14:paraId="060C0A9C" w14:textId="77777777" w:rsidR="004533A6" w:rsidRPr="005E4BEA" w:rsidRDefault="009B618A" w:rsidP="004533A6">
      <w:pPr>
        <w:jc w:val="both"/>
        <w:rPr>
          <w:rFonts w:eastAsia="Calibri"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68" w:name="_Hlk102648414"/>
      <w:r w:rsidRPr="005E4BEA">
        <w:rPr>
          <w:rFonts w:eastAsia="Arial Narrow" w:cs="Arial"/>
          <w:bCs/>
          <w:szCs w:val="20"/>
        </w:rPr>
        <w:t xml:space="preserve">da se </w:t>
      </w:r>
      <w:r w:rsidR="001459C0" w:rsidRPr="005E4BEA">
        <w:rPr>
          <w:rFonts w:eastAsia="Calibri" w:cs="Arial"/>
          <w:szCs w:val="20"/>
        </w:rPr>
        <w:t xml:space="preserve">v Prilogi ZD ZAS </w:t>
      </w:r>
      <w:bookmarkEnd w:id="168"/>
      <w:r w:rsidR="004533A6" w:rsidRPr="005E4BEA">
        <w:rPr>
          <w:rFonts w:eastAsia="Calibri" w:cs="Arial"/>
          <w:szCs w:val="20"/>
        </w:rPr>
        <w:t xml:space="preserve">v </w:t>
      </w:r>
      <w:r w:rsidR="004533A6">
        <w:rPr>
          <w:rFonts w:eastAsia="Calibri" w:cs="Arial"/>
          <w:szCs w:val="20"/>
        </w:rPr>
        <w:t>20</w:t>
      </w:r>
      <w:r w:rsidR="004533A6" w:rsidRPr="005E4BEA">
        <w:rPr>
          <w:rFonts w:eastAsia="Calibri" w:cs="Arial"/>
          <w:szCs w:val="20"/>
        </w:rPr>
        <w:t>. členu šesti odstavek spremeni tako, da se glasi:</w:t>
      </w:r>
    </w:p>
    <w:p w14:paraId="16FFB0AE" w14:textId="77777777" w:rsidR="004533A6" w:rsidRPr="005E4BEA" w:rsidRDefault="004533A6" w:rsidP="004533A6">
      <w:pPr>
        <w:spacing w:line="60" w:lineRule="exact"/>
        <w:rPr>
          <w:rFonts w:eastAsia="Calibri" w:cs="Arial"/>
          <w:szCs w:val="20"/>
        </w:rPr>
      </w:pPr>
    </w:p>
    <w:p w14:paraId="6A29CAEA" w14:textId="77777777" w:rsidR="004533A6" w:rsidRPr="005E4BEA" w:rsidRDefault="004533A6" w:rsidP="004533A6">
      <w:pPr>
        <w:spacing w:line="60" w:lineRule="exact"/>
        <w:rPr>
          <w:rFonts w:eastAsia="Calibri" w:cs="Arial"/>
          <w:szCs w:val="20"/>
        </w:rPr>
      </w:pPr>
    </w:p>
    <w:p w14:paraId="605A6CB1" w14:textId="77777777" w:rsidR="004533A6" w:rsidRPr="005E4BEA" w:rsidRDefault="004533A6" w:rsidP="004533A6">
      <w:pPr>
        <w:spacing w:line="240" w:lineRule="auto"/>
        <w:jc w:val="both"/>
        <w:rPr>
          <w:rFonts w:eastAsia="Calibri" w:cs="Arial"/>
          <w:szCs w:val="20"/>
        </w:rPr>
      </w:pPr>
    </w:p>
    <w:p w14:paraId="08089B8B" w14:textId="77777777" w:rsidR="004533A6" w:rsidRPr="005E4BEA" w:rsidRDefault="004533A6" w:rsidP="004533A6">
      <w:pPr>
        <w:spacing w:after="120" w:line="240" w:lineRule="atLeast"/>
        <w:jc w:val="both"/>
        <w:rPr>
          <w:rFonts w:eastAsia="Calibri" w:cs="Arial"/>
          <w:szCs w:val="20"/>
        </w:rPr>
      </w:pPr>
      <w:r w:rsidRPr="005E4BEA">
        <w:rPr>
          <w:rFonts w:eastAsia="Calibri" w:cs="Arial"/>
          <w:szCs w:val="20"/>
        </w:rPr>
        <w:t xml:space="preserve">» (6) Za izvajanje NMP z dežurno službo v Ljubljani se zagotovi Zdravstvenemu domu Ljubljana financiranje treh timov Vozila urgentnega zdravnika, enega tima Vozila dežurnega zdravnika – neodložljivi hišni obiski, 2,5 tima Enote za hitre preglede v rednem delovnem času,  5 timov Dežurne službe 1 in 1,5 tima Triaže in sprejema. </w:t>
      </w:r>
    </w:p>
    <w:p w14:paraId="4D43E3C9" w14:textId="77777777" w:rsidR="004533A6" w:rsidRPr="001459C0" w:rsidRDefault="004533A6" w:rsidP="004533A6">
      <w:pPr>
        <w:spacing w:after="120" w:line="240" w:lineRule="atLeast"/>
        <w:jc w:val="both"/>
        <w:rPr>
          <w:rFonts w:eastAsia="Calibri" w:cs="Arial"/>
          <w:szCs w:val="20"/>
        </w:rPr>
      </w:pPr>
      <w:r w:rsidRPr="001459C0">
        <w:rPr>
          <w:rFonts w:eastAsia="Calibri" w:cs="Arial"/>
          <w:szCs w:val="20"/>
        </w:rPr>
        <w:t xml:space="preserve">UKC Ljubljana se zagotovi za izvajanje programa </w:t>
      </w:r>
      <w:r>
        <w:rPr>
          <w:rFonts w:eastAsia="Calibri" w:cs="Arial"/>
          <w:szCs w:val="20"/>
        </w:rPr>
        <w:t xml:space="preserve">NMP financiranje 11,5 timov </w:t>
      </w:r>
      <w:r w:rsidRPr="001459C0">
        <w:rPr>
          <w:rFonts w:eastAsia="Calibri" w:cs="Arial"/>
          <w:szCs w:val="20"/>
        </w:rPr>
        <w:t>MOE nujnega reševalnega vozila</w:t>
      </w:r>
      <w:r>
        <w:rPr>
          <w:rFonts w:eastAsia="Calibri" w:cs="Arial"/>
          <w:szCs w:val="20"/>
        </w:rPr>
        <w:t>, 1 tim motornega kolesa ter sredstva za izvajanje HNMP in dispečerske službe zdravstva</w:t>
      </w:r>
      <w:r w:rsidRPr="001459C0">
        <w:rPr>
          <w:rFonts w:eastAsia="Calibri" w:cs="Arial"/>
          <w:szCs w:val="20"/>
        </w:rPr>
        <w:t xml:space="preserve">. </w:t>
      </w:r>
    </w:p>
    <w:p w14:paraId="40866A04" w14:textId="77777777" w:rsidR="004533A6" w:rsidRPr="005E4BEA" w:rsidRDefault="004533A6" w:rsidP="004533A6">
      <w:pPr>
        <w:spacing w:after="120" w:line="240" w:lineRule="atLeast"/>
        <w:jc w:val="both"/>
        <w:rPr>
          <w:rFonts w:eastAsia="Calibri" w:cs="Arial"/>
          <w:szCs w:val="20"/>
        </w:rPr>
      </w:pPr>
      <w:r w:rsidRPr="005E4BEA">
        <w:rPr>
          <w:rFonts w:eastAsia="Calibri" w:cs="Arial"/>
          <w:szCs w:val="20"/>
        </w:rPr>
        <w:t>Skladno z navedenim se popravi Priloga ZD ZAS-3</w:t>
      </w:r>
    </w:p>
    <w:p w14:paraId="7F9DE6AD" w14:textId="77777777" w:rsidR="004533A6" w:rsidRPr="005E4BEA" w:rsidRDefault="004533A6" w:rsidP="004533A6">
      <w:pPr>
        <w:spacing w:line="240" w:lineRule="auto"/>
        <w:jc w:val="both"/>
        <w:rPr>
          <w:rFonts w:eastAsia="Calibri" w:cs="Arial"/>
          <w:szCs w:val="20"/>
        </w:rPr>
      </w:pPr>
      <w:r w:rsidRPr="005E4BEA">
        <w:rPr>
          <w:rFonts w:eastAsia="Calibri" w:cs="Arial"/>
          <w:szCs w:val="20"/>
        </w:rPr>
        <w:t>Sprememba velja od 1. 4. 2022 naprej.«</w:t>
      </w:r>
    </w:p>
    <w:p w14:paraId="67A78922" w14:textId="77777777" w:rsidR="004533A6" w:rsidRPr="005E4BEA" w:rsidRDefault="004533A6" w:rsidP="004533A6">
      <w:pPr>
        <w:spacing w:line="240" w:lineRule="auto"/>
        <w:jc w:val="both"/>
        <w:rPr>
          <w:rFonts w:ascii="Calibri" w:eastAsia="Calibri" w:hAnsi="Calibri" w:cs="Calibri"/>
          <w:sz w:val="22"/>
          <w:szCs w:val="22"/>
        </w:rPr>
      </w:pPr>
    </w:p>
    <w:p w14:paraId="2144DB29" w14:textId="77777777" w:rsidR="004533A6" w:rsidRPr="005E4BEA" w:rsidRDefault="004533A6" w:rsidP="004533A6">
      <w:pPr>
        <w:spacing w:line="240" w:lineRule="auto"/>
        <w:jc w:val="both"/>
        <w:rPr>
          <w:rFonts w:eastAsia="Calibri" w:cs="Arial"/>
          <w:b/>
          <w:bCs/>
          <w:szCs w:val="20"/>
        </w:rPr>
      </w:pPr>
      <w:r w:rsidRPr="005E4BEA">
        <w:rPr>
          <w:rFonts w:eastAsia="Calibri" w:cs="Arial"/>
          <w:b/>
          <w:bCs/>
          <w:szCs w:val="20"/>
        </w:rPr>
        <w:t>V 24. členu v šestem odstavku se v tabeli dodajo nove vrstice za nujne širitve programov oziroma uvajanje novih terapij:</w:t>
      </w:r>
    </w:p>
    <w:p w14:paraId="69986665" w14:textId="77777777" w:rsidR="004533A6" w:rsidRPr="005E4BEA" w:rsidRDefault="004533A6" w:rsidP="004533A6">
      <w:pPr>
        <w:spacing w:line="240" w:lineRule="auto"/>
        <w:jc w:val="both"/>
        <w:rPr>
          <w:rFonts w:ascii="Calibri" w:eastAsia="Calibri" w:hAnsi="Calibri" w:cs="Calibri"/>
          <w:b/>
          <w:bCs/>
          <w:i/>
          <w:iCs/>
          <w:color w:val="7F7F7F"/>
          <w:sz w:val="22"/>
          <w:szCs w:val="22"/>
        </w:rPr>
      </w:pPr>
    </w:p>
    <w:tbl>
      <w:tblPr>
        <w:tblW w:w="8602" w:type="dxa"/>
        <w:tblCellMar>
          <w:left w:w="0" w:type="dxa"/>
          <w:right w:w="0" w:type="dxa"/>
        </w:tblCellMar>
        <w:tblLook w:val="04A0" w:firstRow="1" w:lastRow="0" w:firstColumn="1" w:lastColumn="0" w:noHBand="0" w:noVBand="1"/>
      </w:tblPr>
      <w:tblGrid>
        <w:gridCol w:w="339"/>
        <w:gridCol w:w="2489"/>
        <w:gridCol w:w="2019"/>
        <w:gridCol w:w="1167"/>
        <w:gridCol w:w="1447"/>
        <w:gridCol w:w="1141"/>
      </w:tblGrid>
      <w:tr w:rsidR="004533A6" w:rsidRPr="005E4BEA" w14:paraId="7E9804FA" w14:textId="77777777" w:rsidTr="00F40403">
        <w:trPr>
          <w:trHeight w:val="653"/>
          <w:tblHeader/>
        </w:trPr>
        <w:tc>
          <w:tcPr>
            <w:tcW w:w="35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169D1ADE" w14:textId="77777777" w:rsidR="004533A6" w:rsidRPr="005E4BEA" w:rsidRDefault="004533A6" w:rsidP="00F40403">
            <w:pPr>
              <w:spacing w:line="240" w:lineRule="auto"/>
              <w:jc w:val="center"/>
              <w:rPr>
                <w:rFonts w:eastAsia="Calibri" w:cs="Arial"/>
                <w:b/>
                <w:bCs/>
                <w:szCs w:val="20"/>
                <w:lang w:eastAsia="sl-SI"/>
              </w:rPr>
            </w:pPr>
            <w:r w:rsidRPr="005E4BEA">
              <w:rPr>
                <w:rFonts w:eastAsia="Calibri" w:cs="Arial"/>
                <w:b/>
                <w:bCs/>
                <w:color w:val="000000"/>
                <w:szCs w:val="20"/>
                <w:lang w:eastAsia="sl-SI"/>
              </w:rPr>
              <w:t> </w:t>
            </w:r>
          </w:p>
        </w:tc>
        <w:tc>
          <w:tcPr>
            <w:tcW w:w="2601"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1C78E3" w14:textId="77777777" w:rsidR="004533A6" w:rsidRPr="005E4BEA" w:rsidRDefault="004533A6" w:rsidP="00F40403">
            <w:pPr>
              <w:spacing w:line="240" w:lineRule="auto"/>
              <w:rPr>
                <w:rFonts w:eastAsia="Calibri" w:cs="Arial"/>
                <w:b/>
                <w:bCs/>
                <w:szCs w:val="20"/>
                <w:lang w:eastAsia="sl-SI"/>
              </w:rPr>
            </w:pPr>
            <w:r w:rsidRPr="005E4BEA">
              <w:rPr>
                <w:rFonts w:eastAsia="Calibri" w:cs="Arial"/>
                <w:b/>
                <w:bCs/>
                <w:color w:val="000000"/>
                <w:szCs w:val="20"/>
                <w:lang w:eastAsia="sl-SI"/>
              </w:rPr>
              <w:t>P  r  o  g  r  a  m</w:t>
            </w:r>
          </w:p>
        </w:tc>
        <w:tc>
          <w:tcPr>
            <w:tcW w:w="179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35665D1" w14:textId="77777777" w:rsidR="004533A6" w:rsidRPr="005E4BEA" w:rsidRDefault="004533A6" w:rsidP="00F40403">
            <w:pPr>
              <w:spacing w:line="240" w:lineRule="auto"/>
              <w:jc w:val="center"/>
              <w:rPr>
                <w:rFonts w:eastAsia="Calibri" w:cs="Arial"/>
                <w:b/>
                <w:bCs/>
                <w:szCs w:val="20"/>
                <w:lang w:eastAsia="sl-SI"/>
              </w:rPr>
            </w:pPr>
            <w:r w:rsidRPr="005E4BEA">
              <w:rPr>
                <w:rFonts w:eastAsia="Calibri" w:cs="Arial"/>
                <w:b/>
                <w:bCs/>
                <w:color w:val="000000"/>
                <w:szCs w:val="20"/>
                <w:lang w:eastAsia="sl-SI"/>
              </w:rPr>
              <w:t>I  z  v  a  j  a  l  e  c  /</w:t>
            </w:r>
            <w:r w:rsidRPr="005E4BEA">
              <w:rPr>
                <w:rFonts w:eastAsia="Calibri" w:cs="Arial"/>
                <w:b/>
                <w:bCs/>
                <w:color w:val="000000"/>
                <w:szCs w:val="20"/>
                <w:lang w:eastAsia="sl-SI"/>
              </w:rPr>
              <w:br/>
              <w:t>I z p o s t a v a</w:t>
            </w:r>
          </w:p>
        </w:tc>
        <w:tc>
          <w:tcPr>
            <w:tcW w:w="122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8CFC75" w14:textId="77777777" w:rsidR="004533A6" w:rsidRPr="005E4BEA" w:rsidRDefault="004533A6" w:rsidP="00F40403">
            <w:pPr>
              <w:spacing w:line="240" w:lineRule="auto"/>
              <w:jc w:val="center"/>
              <w:rPr>
                <w:rFonts w:eastAsia="Calibri" w:cs="Arial"/>
                <w:b/>
                <w:bCs/>
                <w:szCs w:val="20"/>
                <w:lang w:eastAsia="sl-SI"/>
              </w:rPr>
            </w:pPr>
            <w:r w:rsidRPr="005E4BEA">
              <w:rPr>
                <w:rFonts w:eastAsia="Calibri" w:cs="Arial"/>
                <w:b/>
                <w:bCs/>
                <w:color w:val="000000"/>
                <w:szCs w:val="20"/>
                <w:lang w:eastAsia="sl-SI"/>
              </w:rPr>
              <w:t>Obseg</w:t>
            </w:r>
          </w:p>
        </w:tc>
        <w:tc>
          <w:tcPr>
            <w:tcW w:w="1523"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E0652" w14:textId="77777777" w:rsidR="004533A6" w:rsidRPr="005E4BEA" w:rsidRDefault="004533A6" w:rsidP="00F40403">
            <w:pPr>
              <w:spacing w:line="240" w:lineRule="auto"/>
              <w:jc w:val="center"/>
              <w:rPr>
                <w:rFonts w:eastAsia="Calibri" w:cs="Arial"/>
                <w:b/>
                <w:bCs/>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r w:rsidRPr="005E4BEA">
              <w:rPr>
                <w:rFonts w:eastAsia="Calibri" w:cs="Arial"/>
                <w:b/>
                <w:bCs/>
                <w:color w:val="000000"/>
                <w:szCs w:val="20"/>
                <w:lang w:eastAsia="sl-SI"/>
              </w:rPr>
              <w:br/>
              <w:t>letna raven</w:t>
            </w:r>
          </w:p>
        </w:tc>
        <w:tc>
          <w:tcPr>
            <w:tcW w:w="1110"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054E41" w14:textId="77777777" w:rsidR="004533A6" w:rsidRPr="005E4BEA" w:rsidRDefault="004533A6" w:rsidP="00F40403">
            <w:pPr>
              <w:spacing w:line="240" w:lineRule="auto"/>
              <w:jc w:val="center"/>
              <w:rPr>
                <w:rFonts w:eastAsia="Calibri" w:cs="Arial"/>
                <w:b/>
                <w:bCs/>
                <w:szCs w:val="20"/>
                <w:lang w:eastAsia="sl-SI"/>
              </w:rPr>
            </w:pPr>
            <w:proofErr w:type="spellStart"/>
            <w:r w:rsidRPr="005E4BEA">
              <w:rPr>
                <w:rFonts w:eastAsia="Calibri" w:cs="Arial"/>
                <w:b/>
                <w:bCs/>
                <w:color w:val="000000"/>
                <w:szCs w:val="20"/>
                <w:lang w:eastAsia="sl-SI"/>
              </w:rPr>
              <w:t>Dod</w:t>
            </w:r>
            <w:proofErr w:type="spellEnd"/>
            <w:r w:rsidRPr="005E4BEA">
              <w:rPr>
                <w:rFonts w:eastAsia="Calibri" w:cs="Arial"/>
                <w:b/>
                <w:bCs/>
                <w:color w:val="000000"/>
                <w:szCs w:val="20"/>
                <w:lang w:eastAsia="sl-SI"/>
              </w:rPr>
              <w:t>. sred.</w:t>
            </w:r>
            <w:r w:rsidRPr="005E4BEA">
              <w:rPr>
                <w:rFonts w:eastAsia="Calibri" w:cs="Arial"/>
                <w:b/>
                <w:bCs/>
                <w:color w:val="000000"/>
                <w:szCs w:val="20"/>
                <w:lang w:eastAsia="sl-SI"/>
              </w:rPr>
              <w:br/>
              <w:t>1.4.- 31.12.2022</w:t>
            </w:r>
          </w:p>
        </w:tc>
      </w:tr>
      <w:tr w:rsidR="004533A6" w:rsidRPr="005E4BEA" w14:paraId="41685094" w14:textId="77777777" w:rsidTr="00F40403">
        <w:trPr>
          <w:trHeight w:val="734"/>
        </w:trPr>
        <w:tc>
          <w:tcPr>
            <w:tcW w:w="3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2903E448" w14:textId="77777777" w:rsidR="004533A6" w:rsidRPr="005E4BEA" w:rsidRDefault="004533A6" w:rsidP="00F40403">
            <w:pPr>
              <w:spacing w:line="240" w:lineRule="auto"/>
              <w:jc w:val="center"/>
              <w:rPr>
                <w:rFonts w:eastAsia="Calibri" w:cs="Arial"/>
                <w:szCs w:val="20"/>
                <w:lang w:eastAsia="sl-SI"/>
              </w:rPr>
            </w:pPr>
            <w:r w:rsidRPr="005E4BEA">
              <w:rPr>
                <w:rFonts w:eastAsia="Calibri" w:cs="Arial"/>
                <w:color w:val="000000"/>
                <w:szCs w:val="20"/>
                <w:lang w:eastAsia="sl-SI"/>
              </w:rPr>
              <w:t>1</w:t>
            </w:r>
          </w:p>
        </w:tc>
        <w:tc>
          <w:tcPr>
            <w:tcW w:w="260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5596292" w14:textId="77777777" w:rsidR="004533A6" w:rsidRPr="005E4BEA" w:rsidRDefault="004533A6" w:rsidP="00F40403">
            <w:pPr>
              <w:spacing w:line="240" w:lineRule="auto"/>
              <w:rPr>
                <w:rFonts w:eastAsia="Calibri" w:cs="Arial"/>
                <w:szCs w:val="20"/>
                <w:lang w:eastAsia="sl-SI"/>
              </w:rPr>
            </w:pPr>
            <w:r w:rsidRPr="005E4BEA">
              <w:rPr>
                <w:rFonts w:eastAsia="Calibri" w:cs="Arial"/>
                <w:color w:val="000000"/>
                <w:szCs w:val="20"/>
                <w:lang w:eastAsia="sl-SI"/>
              </w:rPr>
              <w:t>Mobilna enota nujnega reševalnega vozila</w:t>
            </w:r>
            <w:r w:rsidRPr="005E4BEA">
              <w:rPr>
                <w:rFonts w:eastAsia="Calibri" w:cs="Arial"/>
                <w:color w:val="000000"/>
                <w:szCs w:val="20"/>
                <w:lang w:eastAsia="sl-SI"/>
              </w:rPr>
              <w:br/>
              <w:t>Od 1. 4. 2022</w:t>
            </w:r>
          </w:p>
        </w:tc>
        <w:tc>
          <w:tcPr>
            <w:tcW w:w="179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127284C" w14:textId="77777777" w:rsidR="004533A6" w:rsidRPr="005E4BEA" w:rsidRDefault="004533A6" w:rsidP="00F40403">
            <w:pPr>
              <w:spacing w:line="240" w:lineRule="auto"/>
              <w:rPr>
                <w:rFonts w:eastAsia="Calibri" w:cs="Arial"/>
                <w:szCs w:val="20"/>
                <w:lang w:eastAsia="sl-SI"/>
              </w:rPr>
            </w:pPr>
            <w:r w:rsidRPr="005E4BEA">
              <w:rPr>
                <w:rFonts w:eastAsia="Calibri" w:cs="Arial"/>
                <w:color w:val="000000"/>
                <w:szCs w:val="20"/>
                <w:lang w:eastAsia="sl-SI"/>
              </w:rPr>
              <w:t>UKC Ljubljana </w:t>
            </w:r>
          </w:p>
        </w:tc>
        <w:tc>
          <w:tcPr>
            <w:tcW w:w="1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641BA5B" w14:textId="77777777" w:rsidR="004533A6" w:rsidRPr="005E4BEA" w:rsidRDefault="004533A6" w:rsidP="00F40403">
            <w:pPr>
              <w:spacing w:line="240" w:lineRule="auto"/>
              <w:rPr>
                <w:rFonts w:eastAsia="Calibri" w:cs="Arial"/>
                <w:szCs w:val="20"/>
                <w:lang w:eastAsia="sl-SI"/>
              </w:rPr>
            </w:pPr>
            <w:r w:rsidRPr="005E4BEA">
              <w:rPr>
                <w:rFonts w:eastAsia="Calibri" w:cs="Arial"/>
                <w:color w:val="000000"/>
                <w:szCs w:val="20"/>
                <w:lang w:eastAsia="sl-SI"/>
              </w:rPr>
              <w:t>1,</w:t>
            </w:r>
            <w:r>
              <w:rPr>
                <w:rFonts w:eastAsia="Calibri" w:cs="Arial"/>
                <w:color w:val="000000"/>
                <w:szCs w:val="20"/>
                <w:lang w:eastAsia="sl-SI"/>
              </w:rPr>
              <w:t xml:space="preserve">391 </w:t>
            </w:r>
            <w:r w:rsidRPr="005E4BEA">
              <w:rPr>
                <w:rFonts w:eastAsia="Calibri" w:cs="Arial"/>
                <w:color w:val="000000"/>
                <w:szCs w:val="20"/>
                <w:lang w:eastAsia="sl-SI"/>
              </w:rPr>
              <w:t>tim</w:t>
            </w:r>
            <w:r>
              <w:rPr>
                <w:rFonts w:eastAsia="Calibri" w:cs="Arial"/>
                <w:color w:val="000000"/>
                <w:szCs w:val="20"/>
                <w:lang w:eastAsia="sl-SI"/>
              </w:rPr>
              <w:t>a</w:t>
            </w:r>
          </w:p>
        </w:tc>
        <w:tc>
          <w:tcPr>
            <w:tcW w:w="152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2973197" w14:textId="77777777" w:rsidR="004533A6" w:rsidRPr="005E4BEA" w:rsidRDefault="004533A6" w:rsidP="00F40403">
            <w:pPr>
              <w:spacing w:line="240" w:lineRule="auto"/>
              <w:jc w:val="right"/>
              <w:rPr>
                <w:rFonts w:eastAsia="Calibri" w:cs="Arial"/>
                <w:szCs w:val="20"/>
                <w:lang w:eastAsia="sl-SI"/>
              </w:rPr>
            </w:pPr>
            <w:r>
              <w:rPr>
                <w:rFonts w:eastAsia="Calibri" w:cs="Arial"/>
                <w:color w:val="000000"/>
                <w:szCs w:val="20"/>
              </w:rPr>
              <w:t>694.309</w:t>
            </w:r>
          </w:p>
        </w:tc>
        <w:tc>
          <w:tcPr>
            <w:tcW w:w="11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D564380" w14:textId="77777777" w:rsidR="004533A6" w:rsidRPr="005E4BEA" w:rsidRDefault="004533A6" w:rsidP="00F40403">
            <w:pPr>
              <w:spacing w:line="240" w:lineRule="auto"/>
              <w:jc w:val="right"/>
              <w:rPr>
                <w:rFonts w:eastAsia="Calibri" w:cs="Arial"/>
                <w:szCs w:val="20"/>
                <w:lang w:eastAsia="sl-SI"/>
              </w:rPr>
            </w:pPr>
            <w:r>
              <w:rPr>
                <w:rFonts w:eastAsia="Calibri" w:cs="Arial"/>
                <w:color w:val="000000"/>
                <w:szCs w:val="20"/>
              </w:rPr>
              <w:t>520.731</w:t>
            </w:r>
          </w:p>
        </w:tc>
      </w:tr>
      <w:tr w:rsidR="004533A6" w:rsidRPr="005E4BEA" w14:paraId="445BC6B1" w14:textId="77777777" w:rsidTr="00F40403">
        <w:trPr>
          <w:trHeight w:val="734"/>
        </w:trPr>
        <w:tc>
          <w:tcPr>
            <w:tcW w:w="35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59E817C1" w14:textId="77777777" w:rsidR="004533A6" w:rsidRPr="005E4BEA" w:rsidRDefault="004533A6" w:rsidP="00F40403">
            <w:pPr>
              <w:spacing w:line="240" w:lineRule="auto"/>
              <w:jc w:val="center"/>
              <w:rPr>
                <w:rFonts w:eastAsia="Calibri" w:cs="Arial"/>
                <w:szCs w:val="20"/>
                <w:lang w:eastAsia="sl-SI"/>
              </w:rPr>
            </w:pPr>
            <w:r w:rsidRPr="005E4BEA">
              <w:rPr>
                <w:rFonts w:eastAsia="Calibri" w:cs="Arial"/>
                <w:color w:val="000000"/>
                <w:szCs w:val="20"/>
                <w:lang w:eastAsia="sl-SI"/>
              </w:rPr>
              <w:t>2</w:t>
            </w:r>
          </w:p>
        </w:tc>
        <w:tc>
          <w:tcPr>
            <w:tcW w:w="2601"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7E426B9" w14:textId="77777777" w:rsidR="004533A6" w:rsidRPr="005E4BEA" w:rsidRDefault="004533A6" w:rsidP="00F40403">
            <w:pPr>
              <w:spacing w:line="240" w:lineRule="auto"/>
              <w:rPr>
                <w:rFonts w:eastAsia="Calibri" w:cs="Arial"/>
                <w:szCs w:val="20"/>
                <w:lang w:eastAsia="sl-SI"/>
              </w:rPr>
            </w:pPr>
            <w:r w:rsidRPr="005E4BEA">
              <w:rPr>
                <w:rFonts w:eastAsia="Calibri" w:cs="Arial"/>
                <w:color w:val="000000"/>
                <w:szCs w:val="20"/>
                <w:lang w:eastAsia="sl-SI"/>
              </w:rPr>
              <w:t>238 271 Triaža in sprejem</w:t>
            </w:r>
          </w:p>
        </w:tc>
        <w:tc>
          <w:tcPr>
            <w:tcW w:w="179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6AE585B" w14:textId="77777777" w:rsidR="004533A6" w:rsidRPr="005E4BEA" w:rsidRDefault="004533A6" w:rsidP="00F40403">
            <w:pPr>
              <w:spacing w:line="240" w:lineRule="auto"/>
              <w:rPr>
                <w:rFonts w:eastAsia="Calibri" w:cs="Arial"/>
                <w:szCs w:val="20"/>
                <w:lang w:eastAsia="sl-SI"/>
              </w:rPr>
            </w:pPr>
            <w:r w:rsidRPr="005E4BEA">
              <w:rPr>
                <w:rFonts w:eastAsia="Calibri" w:cs="Arial"/>
                <w:color w:val="000000"/>
                <w:szCs w:val="20"/>
                <w:lang w:eastAsia="sl-SI"/>
              </w:rPr>
              <w:t>ZD Ljubljana</w:t>
            </w:r>
          </w:p>
        </w:tc>
        <w:tc>
          <w:tcPr>
            <w:tcW w:w="122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9806A09" w14:textId="77777777" w:rsidR="004533A6" w:rsidRPr="005E4BEA" w:rsidRDefault="004533A6" w:rsidP="00F40403">
            <w:pPr>
              <w:spacing w:line="240" w:lineRule="auto"/>
              <w:rPr>
                <w:rFonts w:eastAsia="Calibri" w:cs="Arial"/>
                <w:szCs w:val="20"/>
                <w:lang w:eastAsia="sl-SI"/>
              </w:rPr>
            </w:pPr>
            <w:r w:rsidRPr="005E4BEA">
              <w:rPr>
                <w:rFonts w:eastAsia="Calibri" w:cs="Arial"/>
                <w:color w:val="000000"/>
                <w:szCs w:val="20"/>
                <w:lang w:eastAsia="sl-SI"/>
              </w:rPr>
              <w:t>1,0 tim</w:t>
            </w:r>
          </w:p>
        </w:tc>
        <w:tc>
          <w:tcPr>
            <w:tcW w:w="152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E709FFB" w14:textId="77777777" w:rsidR="004533A6" w:rsidRPr="005E4BEA" w:rsidRDefault="004533A6" w:rsidP="00F40403">
            <w:pPr>
              <w:spacing w:line="240" w:lineRule="auto"/>
              <w:jc w:val="right"/>
              <w:rPr>
                <w:rFonts w:eastAsia="Calibri" w:cs="Arial"/>
                <w:szCs w:val="20"/>
              </w:rPr>
            </w:pPr>
            <w:r w:rsidRPr="005E4BEA">
              <w:rPr>
                <w:rFonts w:eastAsia="Calibri" w:cs="Arial"/>
                <w:color w:val="000000"/>
                <w:szCs w:val="20"/>
              </w:rPr>
              <w:t>244.132</w:t>
            </w:r>
          </w:p>
        </w:tc>
        <w:tc>
          <w:tcPr>
            <w:tcW w:w="1110"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1B62951" w14:textId="77777777" w:rsidR="004533A6" w:rsidRPr="005E4BEA" w:rsidRDefault="004533A6" w:rsidP="00F40403">
            <w:pPr>
              <w:spacing w:line="240" w:lineRule="auto"/>
              <w:jc w:val="right"/>
              <w:rPr>
                <w:rFonts w:eastAsia="Calibri" w:cs="Arial"/>
                <w:szCs w:val="20"/>
              </w:rPr>
            </w:pPr>
            <w:r w:rsidRPr="005E4BEA">
              <w:rPr>
                <w:rFonts w:eastAsia="Calibri" w:cs="Arial"/>
                <w:color w:val="000000"/>
                <w:szCs w:val="20"/>
              </w:rPr>
              <w:t>183.099</w:t>
            </w:r>
          </w:p>
        </w:tc>
      </w:tr>
    </w:tbl>
    <w:p w14:paraId="195B7648" w14:textId="0FE24BF9" w:rsidR="009B618A" w:rsidRPr="005E4BEA" w:rsidRDefault="009B618A" w:rsidP="004533A6">
      <w:pPr>
        <w:jc w:val="both"/>
        <w:rPr>
          <w:rFonts w:eastAsiaTheme="minorHAnsi" w:cs="Arial"/>
          <w:bCs/>
          <w:szCs w:val="20"/>
        </w:rPr>
      </w:pPr>
    </w:p>
    <w:p w14:paraId="2DE6322A" w14:textId="77777777" w:rsidR="001F2B79" w:rsidRPr="005E4BEA" w:rsidRDefault="00D63CD8"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w:t>
      </w:r>
      <w:r w:rsidR="001F2B79" w:rsidRPr="005E4BEA">
        <w:rPr>
          <w:rFonts w:ascii="Arial" w:eastAsia="Arial Narrow" w:hAnsi="Arial" w:cs="Arial"/>
          <w:sz w:val="20"/>
        </w:rPr>
        <w:t>46</w:t>
      </w:r>
      <w:r w:rsidRPr="005E4BEA">
        <w:rPr>
          <w:rFonts w:ascii="Arial" w:eastAsia="Arial Narrow" w:hAnsi="Arial" w:cs="Arial"/>
          <w:sz w:val="20"/>
        </w:rPr>
        <w:t>)</w:t>
      </w:r>
    </w:p>
    <w:p w14:paraId="5FAA0AAF" w14:textId="77777777" w:rsidR="001F2B79" w:rsidRPr="005E4BEA" w:rsidRDefault="001F2B79" w:rsidP="001F2B79">
      <w:pPr>
        <w:spacing w:line="0" w:lineRule="atLeast"/>
        <w:contextualSpacing/>
        <w:jc w:val="both"/>
        <w:rPr>
          <w:rFonts w:eastAsia="Arial Narrow" w:cs="Arial"/>
          <w:b/>
          <w:szCs w:val="20"/>
        </w:rPr>
      </w:pPr>
    </w:p>
    <w:p w14:paraId="35F5A9C1" w14:textId="4B355573" w:rsidR="00FE461F" w:rsidRPr="005E4BEA" w:rsidRDefault="00D63CD8" w:rsidP="001F2B79">
      <w:pPr>
        <w:spacing w:line="0" w:lineRule="atLeast"/>
        <w:contextualSpacing/>
        <w:jc w:val="both"/>
        <w:rPr>
          <w:rFonts w:eastAsia="Arial Narrow" w:cs="Arial"/>
          <w:bCs/>
          <w:szCs w:val="20"/>
        </w:rPr>
      </w:pPr>
      <w:r w:rsidRPr="005E4BEA">
        <w:rPr>
          <w:rFonts w:eastAsia="Arial Narrow" w:cs="Arial"/>
          <w:b/>
          <w:szCs w:val="20"/>
        </w:rPr>
        <w:t>Zavod za zdravstveno zavarovanje Slovenije</w:t>
      </w:r>
      <w:r w:rsidRPr="005E4BEA">
        <w:rPr>
          <w:rFonts w:eastAsia="Arial Narrow" w:cs="Arial"/>
          <w:bCs/>
          <w:szCs w:val="20"/>
        </w:rPr>
        <w:t xml:space="preserve"> </w:t>
      </w:r>
      <w:r w:rsidRPr="005E4BEA">
        <w:rPr>
          <w:rFonts w:eastAsiaTheme="minorHAnsi" w:cs="Arial"/>
          <w:bCs/>
          <w:szCs w:val="20"/>
        </w:rPr>
        <w:t xml:space="preserve">predlaga, </w:t>
      </w:r>
      <w:r w:rsidR="001F2B79" w:rsidRPr="005E4BEA">
        <w:rPr>
          <w:rFonts w:eastAsia="Arial Narrow" w:cs="Arial"/>
          <w:bCs/>
          <w:szCs w:val="20"/>
        </w:rPr>
        <w:t xml:space="preserve">da se v </w:t>
      </w:r>
      <w:r w:rsidR="00FE461F" w:rsidRPr="005E4BEA">
        <w:rPr>
          <w:rFonts w:eastAsia="Arial Narrow" w:cs="Arial"/>
          <w:bCs/>
          <w:szCs w:val="20"/>
        </w:rPr>
        <w:t xml:space="preserve">Prilogi BOL v </w:t>
      </w:r>
      <w:r w:rsidR="00FE461F" w:rsidRPr="005E4BEA">
        <w:rPr>
          <w:rFonts w:cs="Arial"/>
          <w:bCs/>
          <w:szCs w:val="20"/>
        </w:rPr>
        <w:t>16</w:t>
      </w:r>
      <w:r w:rsidR="00FE461F" w:rsidRPr="005E4BEA">
        <w:rPr>
          <w:rFonts w:eastAsia="Arial Narrow" w:cs="Arial"/>
          <w:bCs/>
          <w:szCs w:val="20"/>
        </w:rPr>
        <w:t xml:space="preserve">. členu (2) odstavek spremeni tako, da se glasi: </w:t>
      </w:r>
    </w:p>
    <w:p w14:paraId="2C7E12D4" w14:textId="77777777" w:rsidR="00FE461F" w:rsidRPr="005E4BEA" w:rsidRDefault="00FE461F" w:rsidP="00FE461F">
      <w:pPr>
        <w:spacing w:after="60" w:line="240" w:lineRule="auto"/>
        <w:jc w:val="both"/>
        <w:rPr>
          <w:rFonts w:eastAsia="Calibri" w:cs="Arial"/>
          <w:szCs w:val="20"/>
        </w:rPr>
      </w:pPr>
      <w:r w:rsidRPr="005E4BEA">
        <w:rPr>
          <w:rFonts w:eastAsia="Calibri" w:cs="Arial"/>
          <w:szCs w:val="20"/>
        </w:rPr>
        <w:t xml:space="preserve">»(3) Izvajalec lahko med potekom bolnišnične obravnave zavarovani osebi predlaga začasen odpust iz bolnišnice, če sta hkrati izpolnjena naslednja pogoja: </w:t>
      </w:r>
    </w:p>
    <w:p w14:paraId="7BA50DF4" w14:textId="77777777" w:rsidR="00FE461F" w:rsidRPr="005E4BEA" w:rsidRDefault="00FE461F" w:rsidP="00F356C9">
      <w:pPr>
        <w:numPr>
          <w:ilvl w:val="0"/>
          <w:numId w:val="51"/>
        </w:numPr>
        <w:spacing w:after="60" w:line="240" w:lineRule="auto"/>
        <w:jc w:val="both"/>
        <w:rPr>
          <w:rFonts w:eastAsia="Calibri" w:cs="Arial"/>
          <w:szCs w:val="20"/>
        </w:rPr>
      </w:pPr>
      <w:r w:rsidRPr="005E4BEA">
        <w:rPr>
          <w:rFonts w:eastAsia="Calibri" w:cs="Arial"/>
          <w:szCs w:val="20"/>
        </w:rPr>
        <w:lastRenderedPageBreak/>
        <w:t>začasni odpust ne bo vplival na poslabšanje zdravstvenega stanja zavarovane osebe;</w:t>
      </w:r>
    </w:p>
    <w:p w14:paraId="061539AA" w14:textId="77777777" w:rsidR="00FE461F" w:rsidRPr="005E4BEA" w:rsidRDefault="00FE461F" w:rsidP="00F356C9">
      <w:pPr>
        <w:numPr>
          <w:ilvl w:val="0"/>
          <w:numId w:val="51"/>
        </w:numPr>
        <w:spacing w:after="120" w:line="240" w:lineRule="auto"/>
        <w:jc w:val="both"/>
        <w:rPr>
          <w:rFonts w:eastAsia="Calibri" w:cs="Arial"/>
          <w:b/>
          <w:szCs w:val="20"/>
        </w:rPr>
      </w:pPr>
      <w:r w:rsidRPr="005E4BEA">
        <w:rPr>
          <w:rFonts w:eastAsia="Calibri" w:cs="Arial"/>
          <w:szCs w:val="20"/>
        </w:rPr>
        <w:t>izvajalec bo zavarovani osebi (in po potrebi spremljevalcu) poravnal potne stroške</w:t>
      </w:r>
      <w:r w:rsidRPr="005E4BEA">
        <w:rPr>
          <w:rFonts w:eastAsia="Calibri" w:cs="Arial"/>
          <w:b/>
          <w:szCs w:val="20"/>
        </w:rPr>
        <w:t xml:space="preserve"> in morebitne stroške </w:t>
      </w:r>
      <w:proofErr w:type="spellStart"/>
      <w:r w:rsidRPr="005E4BEA">
        <w:rPr>
          <w:rFonts w:eastAsia="Calibri" w:cs="Arial"/>
          <w:b/>
          <w:szCs w:val="20"/>
        </w:rPr>
        <w:t>nenujnega</w:t>
      </w:r>
      <w:proofErr w:type="spellEnd"/>
      <w:r w:rsidRPr="005E4BEA">
        <w:rPr>
          <w:rFonts w:eastAsia="Calibri" w:cs="Arial"/>
          <w:b/>
          <w:szCs w:val="20"/>
        </w:rPr>
        <w:t xml:space="preserve"> reševalnega prevoza</w:t>
      </w:r>
      <w:r w:rsidRPr="005E4BEA">
        <w:rPr>
          <w:rFonts w:eastAsia="Calibri" w:cs="Arial"/>
          <w:szCs w:val="20"/>
        </w:rPr>
        <w:t xml:space="preserve"> zaradi tega odpusta.</w:t>
      </w:r>
    </w:p>
    <w:p w14:paraId="7751D126" w14:textId="77777777" w:rsidR="00FE461F" w:rsidRPr="005E4BEA" w:rsidRDefault="00FE461F" w:rsidP="00FE461F">
      <w:pPr>
        <w:spacing w:line="240" w:lineRule="auto"/>
        <w:jc w:val="both"/>
        <w:rPr>
          <w:rFonts w:eastAsia="Calibri" w:cs="Arial"/>
          <w:szCs w:val="20"/>
        </w:rPr>
      </w:pPr>
      <w:r w:rsidRPr="005E4BEA">
        <w:rPr>
          <w:rFonts w:eastAsia="Calibri" w:cs="Arial"/>
          <w:szCs w:val="20"/>
        </w:rPr>
        <w:t>Če začasni odpust predlaga pacient, si potne stroške</w:t>
      </w:r>
      <w:r w:rsidRPr="005E4BEA">
        <w:rPr>
          <w:rFonts w:eastAsia="Calibri" w:cs="Arial"/>
          <w:b/>
          <w:szCs w:val="20"/>
        </w:rPr>
        <w:t xml:space="preserve"> in morebitne stroške reševalnega prevoza</w:t>
      </w:r>
      <w:r w:rsidRPr="005E4BEA">
        <w:rPr>
          <w:rFonts w:eastAsia="Calibri" w:cs="Arial"/>
          <w:szCs w:val="20"/>
        </w:rPr>
        <w:t xml:space="preserve"> krije sam.«</w:t>
      </w:r>
    </w:p>
    <w:p w14:paraId="18D186F5" w14:textId="77777777" w:rsidR="00FE461F" w:rsidRPr="005E4BEA" w:rsidRDefault="00FE461F" w:rsidP="00FE461F">
      <w:pPr>
        <w:spacing w:line="240" w:lineRule="auto"/>
        <w:jc w:val="both"/>
        <w:rPr>
          <w:rFonts w:eastAsia="Calibri" w:cs="Arial"/>
          <w:szCs w:val="20"/>
        </w:rPr>
      </w:pPr>
    </w:p>
    <w:p w14:paraId="39332B10" w14:textId="77777777" w:rsidR="00FE461F" w:rsidRPr="005E4BEA" w:rsidRDefault="00FE461F" w:rsidP="00FE461F">
      <w:pPr>
        <w:spacing w:line="240" w:lineRule="auto"/>
        <w:jc w:val="both"/>
        <w:rPr>
          <w:rFonts w:cs="Arial"/>
          <w:szCs w:val="20"/>
        </w:rPr>
      </w:pPr>
      <w:r w:rsidRPr="005E4BEA">
        <w:rPr>
          <w:rFonts w:cs="Arial"/>
          <w:szCs w:val="20"/>
        </w:rPr>
        <w:t>Sprememba velja od 1. 7. 2022 naprej.</w:t>
      </w:r>
    </w:p>
    <w:p w14:paraId="7B07D848" w14:textId="77777777" w:rsidR="00FE461F" w:rsidRPr="005E4BEA" w:rsidRDefault="00FE461F" w:rsidP="00FE461F">
      <w:pPr>
        <w:spacing w:line="240" w:lineRule="auto"/>
        <w:jc w:val="both"/>
        <w:rPr>
          <w:rFonts w:cs="Arial"/>
          <w:szCs w:val="20"/>
        </w:rPr>
      </w:pPr>
    </w:p>
    <w:p w14:paraId="77012954"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029B805E"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Trenutno veljavna določba narekuje, da si potne stroške prevoza, ki nastanejo zaradi začasnega odpusta med potekom bolnišnične obravnave, krije predlagatelj sam (izvajalec ali pacient). Zavod predlaga, da predlagatelj odpusta krije tudi druge stroške prevoza, in sicer stroške </w:t>
      </w:r>
      <w:proofErr w:type="spellStart"/>
      <w:r w:rsidRPr="005E4BEA">
        <w:rPr>
          <w:rFonts w:eastAsiaTheme="minorHAnsi" w:cs="Arial"/>
          <w:i/>
          <w:color w:val="808080" w:themeColor="background1" w:themeShade="80"/>
          <w:szCs w:val="20"/>
        </w:rPr>
        <w:t>nenujnega</w:t>
      </w:r>
      <w:proofErr w:type="spellEnd"/>
      <w:r w:rsidRPr="005E4BEA">
        <w:rPr>
          <w:rFonts w:eastAsiaTheme="minorHAnsi" w:cs="Arial"/>
          <w:i/>
          <w:color w:val="808080" w:themeColor="background1" w:themeShade="80"/>
          <w:szCs w:val="20"/>
        </w:rPr>
        <w:t xml:space="preserve"> reševalnega prevoza. </w:t>
      </w:r>
    </w:p>
    <w:p w14:paraId="22984B93" w14:textId="77777777" w:rsidR="00FE461F" w:rsidRPr="005E4BEA" w:rsidRDefault="00FE461F" w:rsidP="00FE461F">
      <w:pPr>
        <w:spacing w:line="120" w:lineRule="auto"/>
        <w:rPr>
          <w:rFonts w:eastAsiaTheme="minorHAnsi" w:cs="Arial"/>
          <w:i/>
          <w:color w:val="808080" w:themeColor="background1" w:themeShade="80"/>
          <w:szCs w:val="20"/>
        </w:rPr>
      </w:pPr>
    </w:p>
    <w:p w14:paraId="47980D70"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w:t>
      </w:r>
    </w:p>
    <w:p w14:paraId="2F4853A9" w14:textId="581BEBD3" w:rsidR="00FE461F" w:rsidRPr="005E4BEA" w:rsidRDefault="00FE461F" w:rsidP="00FE461F">
      <w:pPr>
        <w:spacing w:line="240" w:lineRule="auto"/>
        <w:jc w:val="both"/>
        <w:rPr>
          <w:rFonts w:cs="Arial"/>
          <w:i/>
          <w:iCs/>
          <w:color w:val="767171"/>
          <w:szCs w:val="20"/>
        </w:rPr>
      </w:pPr>
    </w:p>
    <w:p w14:paraId="1A65CAC7"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E20F541" w14:textId="77777777" w:rsidR="001F2B79" w:rsidRPr="005E4BEA" w:rsidRDefault="001F2B79" w:rsidP="001F2B79">
      <w:pPr>
        <w:spacing w:line="0" w:lineRule="atLeast"/>
        <w:jc w:val="both"/>
        <w:rPr>
          <w:rFonts w:eastAsia="Arial Narrow" w:cs="Arial"/>
          <w:szCs w:val="20"/>
          <w:lang w:eastAsia="sl-SI"/>
        </w:rPr>
      </w:pPr>
    </w:p>
    <w:p w14:paraId="616DAAF5" w14:textId="20AE91BA"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4232EFB2" w14:textId="1DB7CEEF" w:rsidR="001F2B79" w:rsidRPr="005E4BEA" w:rsidRDefault="001F2B79" w:rsidP="00FE461F">
      <w:pPr>
        <w:spacing w:line="240" w:lineRule="auto"/>
        <w:jc w:val="both"/>
        <w:rPr>
          <w:rFonts w:cs="Arial"/>
          <w:i/>
          <w:iCs/>
          <w:color w:val="767171"/>
          <w:szCs w:val="20"/>
        </w:rPr>
      </w:pPr>
    </w:p>
    <w:p w14:paraId="2F8A6D7C" w14:textId="6C96EC89" w:rsidR="001F2B79" w:rsidRPr="005E4BEA" w:rsidRDefault="001F2B79" w:rsidP="00FE461F">
      <w:pPr>
        <w:spacing w:line="240" w:lineRule="auto"/>
        <w:jc w:val="both"/>
        <w:rPr>
          <w:rFonts w:cs="Arial"/>
          <w:i/>
          <w:iCs/>
          <w:color w:val="767171"/>
          <w:szCs w:val="20"/>
        </w:rPr>
      </w:pPr>
    </w:p>
    <w:p w14:paraId="30345B17" w14:textId="11163CD0"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(147)</w:t>
      </w:r>
    </w:p>
    <w:p w14:paraId="639740F8" w14:textId="77777777" w:rsidR="001F2B79" w:rsidRPr="005E4BEA" w:rsidRDefault="001F2B79" w:rsidP="001F2B79">
      <w:pPr>
        <w:spacing w:line="0" w:lineRule="atLeast"/>
        <w:contextualSpacing/>
        <w:jc w:val="both"/>
        <w:rPr>
          <w:rFonts w:eastAsia="Arial Narrow" w:cs="Arial"/>
          <w:b/>
          <w:szCs w:val="20"/>
        </w:rPr>
      </w:pPr>
    </w:p>
    <w:p w14:paraId="7BA2032A" w14:textId="7D282A49" w:rsidR="00FE461F" w:rsidRPr="005E4BEA" w:rsidRDefault="001F2B79" w:rsidP="00FE461F">
      <w:pPr>
        <w:spacing w:line="240" w:lineRule="auto"/>
        <w:jc w:val="both"/>
        <w:rPr>
          <w:rFonts w:cs="Arial"/>
          <w:i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szCs w:val="20"/>
        </w:rPr>
        <w:t>v 8. členu v (2) odstavku med navedene izvajalce podaljšanega bolnišničnega zdravljenja doda:</w:t>
      </w:r>
    </w:p>
    <w:p w14:paraId="116063D0" w14:textId="77777777" w:rsidR="00FE461F" w:rsidRPr="005E4BEA" w:rsidRDefault="00FE461F" w:rsidP="00FE461F">
      <w:pPr>
        <w:spacing w:line="240" w:lineRule="auto"/>
        <w:jc w:val="both"/>
        <w:rPr>
          <w:rFonts w:cs="Arial"/>
          <w:iCs/>
          <w:szCs w:val="20"/>
        </w:rPr>
      </w:pPr>
      <w:r w:rsidRPr="005E4BEA">
        <w:rPr>
          <w:rFonts w:cs="Arial"/>
          <w:iCs/>
          <w:szCs w:val="20"/>
        </w:rPr>
        <w:t>UKC Maribor</w:t>
      </w:r>
    </w:p>
    <w:p w14:paraId="39E1D849" w14:textId="77777777" w:rsidR="00FE461F" w:rsidRPr="005E4BEA" w:rsidRDefault="00FE461F" w:rsidP="00FE461F">
      <w:pPr>
        <w:spacing w:line="240" w:lineRule="auto"/>
        <w:jc w:val="both"/>
        <w:rPr>
          <w:rFonts w:cs="Arial"/>
          <w:iCs/>
          <w:szCs w:val="20"/>
        </w:rPr>
      </w:pPr>
    </w:p>
    <w:p w14:paraId="28334B6D"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52E16572" w14:textId="08EB1BA6"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Enoto za </w:t>
      </w:r>
      <w:proofErr w:type="spellStart"/>
      <w:r w:rsidRPr="005E4BEA">
        <w:rPr>
          <w:rFonts w:cs="Arial"/>
          <w:i/>
          <w:iCs/>
          <w:color w:val="808080" w:themeColor="background1" w:themeShade="80"/>
          <w:szCs w:val="20"/>
        </w:rPr>
        <w:t>neakutno</w:t>
      </w:r>
      <w:proofErr w:type="spellEnd"/>
      <w:r w:rsidRPr="005E4BEA">
        <w:rPr>
          <w:rFonts w:cs="Arial"/>
          <w:i/>
          <w:iCs/>
          <w:color w:val="808080" w:themeColor="background1" w:themeShade="80"/>
          <w:szCs w:val="20"/>
        </w:rPr>
        <w:t xml:space="preserve"> bolnišnično obravnavo v UKC Maribor se premeščajo tudi pacienti, katerih obravnava po vsebini sodi v podaljšano bolnišnično zdravljenje.</w:t>
      </w:r>
    </w:p>
    <w:p w14:paraId="3E905CC9" w14:textId="43446EAD" w:rsidR="001F2B79" w:rsidRPr="005E4BEA" w:rsidRDefault="001F2B79" w:rsidP="00FE461F">
      <w:pPr>
        <w:spacing w:line="240" w:lineRule="auto"/>
        <w:jc w:val="both"/>
        <w:rPr>
          <w:rFonts w:cs="Arial"/>
          <w:i/>
          <w:iCs/>
          <w:color w:val="808080" w:themeColor="background1" w:themeShade="80"/>
          <w:szCs w:val="20"/>
        </w:rPr>
      </w:pPr>
    </w:p>
    <w:p w14:paraId="3570A796"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DD9E615" w14:textId="77777777" w:rsidR="001F2B79" w:rsidRPr="005E4BEA" w:rsidRDefault="001F2B79" w:rsidP="001F2B79">
      <w:pPr>
        <w:spacing w:line="0" w:lineRule="atLeast"/>
        <w:jc w:val="both"/>
        <w:rPr>
          <w:rFonts w:eastAsia="Arial Narrow" w:cs="Arial"/>
          <w:szCs w:val="20"/>
          <w:lang w:eastAsia="sl-SI"/>
        </w:rPr>
      </w:pPr>
    </w:p>
    <w:p w14:paraId="6B5C7D22"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56396275" w14:textId="77777777" w:rsidR="001F2B79" w:rsidRPr="005E4BEA" w:rsidRDefault="001F2B79" w:rsidP="001F2B79">
      <w:pPr>
        <w:spacing w:line="240" w:lineRule="auto"/>
        <w:jc w:val="both"/>
        <w:rPr>
          <w:rFonts w:cs="Arial"/>
          <w:i/>
          <w:iCs/>
          <w:color w:val="767171"/>
          <w:szCs w:val="20"/>
        </w:rPr>
      </w:pPr>
    </w:p>
    <w:p w14:paraId="72830BED" w14:textId="77777777" w:rsidR="001F2B79" w:rsidRPr="005E4BEA" w:rsidRDefault="001F2B79" w:rsidP="001F2B79">
      <w:pPr>
        <w:spacing w:line="240" w:lineRule="auto"/>
        <w:jc w:val="both"/>
        <w:rPr>
          <w:rFonts w:cs="Arial"/>
          <w:i/>
          <w:iCs/>
          <w:color w:val="767171"/>
          <w:szCs w:val="20"/>
        </w:rPr>
      </w:pPr>
    </w:p>
    <w:p w14:paraId="286D72BE" w14:textId="3CD22623"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(148)</w:t>
      </w:r>
    </w:p>
    <w:p w14:paraId="09D7AF61" w14:textId="77777777" w:rsidR="001F2B79" w:rsidRPr="005E4BEA" w:rsidRDefault="001F2B79" w:rsidP="001F2B79">
      <w:pPr>
        <w:spacing w:line="0" w:lineRule="atLeast"/>
        <w:contextualSpacing/>
        <w:jc w:val="both"/>
        <w:rPr>
          <w:rFonts w:eastAsia="Arial Narrow" w:cs="Arial"/>
          <w:b/>
          <w:szCs w:val="20"/>
        </w:rPr>
      </w:pPr>
    </w:p>
    <w:p w14:paraId="355A15EC" w14:textId="79F22E80"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bCs/>
          <w:szCs w:val="20"/>
        </w:rPr>
        <w:t>v 11. členu v (2) odstavku pod 1. točko vključi nova prva alinea, ki glasi:</w:t>
      </w:r>
    </w:p>
    <w:p w14:paraId="5C07BEA6" w14:textId="77777777" w:rsidR="00FE461F" w:rsidRPr="005E4BEA" w:rsidRDefault="00FE461F" w:rsidP="00FE461F">
      <w:pPr>
        <w:spacing w:line="240" w:lineRule="auto"/>
        <w:jc w:val="both"/>
        <w:rPr>
          <w:rFonts w:cs="Arial"/>
          <w:iCs/>
          <w:szCs w:val="20"/>
        </w:rPr>
      </w:pPr>
      <w:r w:rsidRPr="005E4BEA">
        <w:rPr>
          <w:rFonts w:cs="Arial"/>
          <w:iCs/>
          <w:szCs w:val="20"/>
        </w:rPr>
        <w:t>»- dodiplomsko izobraževanje – klinični del (fakultete, visoke in višje šole za zdravstvene sodelavce) in javno zdravje«</w:t>
      </w:r>
    </w:p>
    <w:p w14:paraId="3029BDD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C64011F" w14:textId="75542E5C"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Dodiplomsko izobraževanje - izvajanje kliničnih vaj za študente medicinske fakultete in drugih visokih zdravstvenih šol je bistven sestaven del terciarne dejavnosti na področju učenja in usposabljanja (bodočih) zdravstvenih delavcev.</w:t>
      </w:r>
    </w:p>
    <w:p w14:paraId="39837FED" w14:textId="04CF6E5C" w:rsidR="001F2B79" w:rsidRPr="005E4BEA" w:rsidRDefault="001F2B79" w:rsidP="00FE461F">
      <w:pPr>
        <w:spacing w:line="240" w:lineRule="auto"/>
        <w:jc w:val="both"/>
        <w:rPr>
          <w:rFonts w:cs="Arial"/>
          <w:i/>
          <w:iCs/>
          <w:color w:val="808080" w:themeColor="background1" w:themeShade="80"/>
          <w:szCs w:val="20"/>
        </w:rPr>
      </w:pPr>
    </w:p>
    <w:p w14:paraId="24C968EF" w14:textId="5DCB646D" w:rsidR="001F2B79" w:rsidRPr="005E4BEA" w:rsidRDefault="001F2B79" w:rsidP="00FE461F">
      <w:pPr>
        <w:spacing w:line="240" w:lineRule="auto"/>
        <w:jc w:val="both"/>
        <w:rPr>
          <w:rFonts w:cs="Arial"/>
          <w:i/>
          <w:iCs/>
          <w:color w:val="808080" w:themeColor="background1" w:themeShade="80"/>
          <w:szCs w:val="20"/>
        </w:rPr>
      </w:pPr>
    </w:p>
    <w:p w14:paraId="34CC7F20"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2435C266" w14:textId="77777777" w:rsidR="001F2B79" w:rsidRPr="005E4BEA" w:rsidRDefault="001F2B79" w:rsidP="001F2B79">
      <w:pPr>
        <w:spacing w:line="0" w:lineRule="atLeast"/>
        <w:jc w:val="both"/>
        <w:rPr>
          <w:rFonts w:eastAsia="Arial Narrow" w:cs="Arial"/>
          <w:szCs w:val="20"/>
          <w:lang w:eastAsia="sl-SI"/>
        </w:rPr>
      </w:pPr>
    </w:p>
    <w:p w14:paraId="3D6F7961"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78904C29" w14:textId="77777777" w:rsidR="001F2B79" w:rsidRPr="005E4BEA" w:rsidRDefault="001F2B79" w:rsidP="001F2B79">
      <w:pPr>
        <w:spacing w:line="240" w:lineRule="auto"/>
        <w:jc w:val="both"/>
        <w:rPr>
          <w:rFonts w:cs="Arial"/>
          <w:i/>
          <w:iCs/>
          <w:color w:val="767171"/>
          <w:szCs w:val="20"/>
        </w:rPr>
      </w:pPr>
    </w:p>
    <w:p w14:paraId="52C6BD80" w14:textId="77777777" w:rsidR="001F2B79" w:rsidRPr="005E4BEA" w:rsidRDefault="001F2B79" w:rsidP="001F2B79">
      <w:pPr>
        <w:spacing w:line="240" w:lineRule="auto"/>
        <w:jc w:val="both"/>
        <w:rPr>
          <w:rFonts w:cs="Arial"/>
          <w:i/>
          <w:iCs/>
          <w:color w:val="767171"/>
          <w:szCs w:val="20"/>
        </w:rPr>
      </w:pPr>
    </w:p>
    <w:p w14:paraId="2D60B40A" w14:textId="7EF14C5C"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(149)</w:t>
      </w:r>
    </w:p>
    <w:p w14:paraId="71E7A39E" w14:textId="77777777" w:rsidR="001F2B79" w:rsidRPr="005E4BEA" w:rsidRDefault="001F2B79" w:rsidP="001F2B79">
      <w:pPr>
        <w:spacing w:line="0" w:lineRule="atLeast"/>
        <w:contextualSpacing/>
        <w:jc w:val="both"/>
        <w:rPr>
          <w:rFonts w:eastAsia="Arial Narrow" w:cs="Arial"/>
          <w:b/>
          <w:szCs w:val="20"/>
        </w:rPr>
      </w:pPr>
    </w:p>
    <w:p w14:paraId="33BA9713" w14:textId="225825EF"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bCs/>
          <w:szCs w:val="20"/>
        </w:rPr>
        <w:t>1. odstavek 15. člena Priloge BOL spremeni tako, da se glasi:</w:t>
      </w:r>
    </w:p>
    <w:p w14:paraId="18427937" w14:textId="77777777" w:rsidR="00FE461F" w:rsidRPr="005E4BEA" w:rsidRDefault="00FE461F" w:rsidP="00FE461F">
      <w:pPr>
        <w:spacing w:line="240" w:lineRule="auto"/>
        <w:jc w:val="both"/>
        <w:rPr>
          <w:rFonts w:cs="Arial"/>
          <w:iCs/>
          <w:szCs w:val="20"/>
        </w:rPr>
      </w:pPr>
      <w:r w:rsidRPr="005E4BEA">
        <w:rPr>
          <w:rFonts w:cs="Arial"/>
          <w:iCs/>
          <w:szCs w:val="20"/>
        </w:rPr>
        <w:t>(1) Stomatološka klinika UKC Ljubljana vključi sredstva za program terciarne zdravstvene dejavnosti v ceno točke za storitve, in sicer v višini 20 % celotnega prihodka (brez sredstev za LZM in terciar). Kalkulacijo dogovori Zavod z izvajalcem.</w:t>
      </w:r>
    </w:p>
    <w:p w14:paraId="4930E721"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41FC70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terciarni ravni zdravstvenega varstva je vrednost Terciar II neposredno povezana, ne le z najzahtevnejšim bolnišničnim zdravljenjem, temveč tudi z najtežjimi pacienti, kjer pa stroški zdravljenja oz. obravnave presegajo zaračunano vrednost. Izvajalci hospitalne oskrbe so upravičeni do dodatka k ceni uteži (30 %) za opravljanje terciarne dejavnosti, </w:t>
      </w:r>
      <w:r w:rsidRPr="005E4BEA">
        <w:rPr>
          <w:rFonts w:cs="Arial"/>
          <w:b/>
          <w:bCs/>
          <w:i/>
          <w:iCs/>
          <w:color w:val="808080" w:themeColor="background1" w:themeShade="80"/>
          <w:szCs w:val="20"/>
        </w:rPr>
        <w:t>na Stomatološki kliniki pa temu ni tako. Stomatološka klinika je, kot edini izvajalec zobozdravstvene oskrbe na terciarni</w:t>
      </w:r>
      <w:r w:rsidRPr="005E4BEA">
        <w:rPr>
          <w:rFonts w:cs="Arial"/>
          <w:i/>
          <w:iCs/>
          <w:color w:val="808080" w:themeColor="background1" w:themeShade="80"/>
          <w:szCs w:val="20"/>
        </w:rPr>
        <w:t xml:space="preserve"> ravni zdravstvenega varstva zaradi izvajanja le ambulantne dejavnosti ločeno v 15. členu Priloge BOL 21 upravičena do sredstev za program terciarne zdravstvene dejavnosti; in sicer le tako, da je cena točke za storitve višja le za cca. 10 %, kar pa je občutno prenizko ovrednoteno. Zaradi neizvajanja hospitalnih obravnav Stomatološka klinika ne prejema dodatnih sredstev iz Terciarja II.</w:t>
      </w:r>
    </w:p>
    <w:p w14:paraId="022298C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Prav zaradi obravnavanja najtežjih pacientov in posledično izvajanja najzahtevnejših in najkompleksnejših posegov je pri tem potrebno sodelovanje različnih strokovnih profilov. In prav ta interdisciplinarnost, ki je pri našem delu vseskozi prisotna terja dodatno načrtovanje, dodatno usklajevanj, dodatno komuniciranje, čemur je potrebno nameniti občutno več časa.</w:t>
      </w:r>
    </w:p>
    <w:p w14:paraId="044AF5D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Zaradi specifičnega oz. edinstvenega položaja Stomatološke klinike kot edinega izvajalca zobozdravstvenih storitev na terciarni ravni zdravstvenega varstva ugotavljamo, da je določena vrednost terciarja prenizka glede na sredstva, ki jih prejemajo ostali izvajalci hospitalnih obravnav. </w:t>
      </w:r>
    </w:p>
    <w:p w14:paraId="4AC6D948"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Kot dodatni argument navajamo, da Stomatološka klinika izvaja, tako dodiplomski, kakor tudi podiplomski pouk. Prav tako je Stomatološka klinika vodilna institucija na področju specializacije ter drugih izobraževalnih programov, prav tako pa tudi vodilna raziskovalna institucija.</w:t>
      </w:r>
    </w:p>
    <w:p w14:paraId="498A804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Stomatološki kliniki izvajamo najzahtevnejša zobozdravstvena zdravljena z napotitvami iz cele Slovenije. Po razpoložljivih podatkih smo v letošnjem letu obravnavali več kot 66 % pacientov, ki imajo stalno prebivališče izven Mestne občine Ljubljana. Zdravljenja so tako dolgotrajnejša, zahtevnejša in dražja. Sredstva, ki so tako zagotovljena v 15. členu Priloge BOL 21 ne odražajo dejanske porabe virov in težavnosti obravnav na Stomatološki kliniki.  </w:t>
      </w:r>
    </w:p>
    <w:p w14:paraId="616717C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podlagi navedenih dejstev predlagamo spremembo 15. člena Priloge Bol v letu 2022, kar bi po našem mnenju pravično uredilo finančni položaj tega dela stomatološke dejavnosti v Republiki Sloveniji. </w:t>
      </w:r>
    </w:p>
    <w:p w14:paraId="4B070E4B" w14:textId="77777777" w:rsidR="00FE461F" w:rsidRPr="005E4BEA" w:rsidRDefault="00FE461F" w:rsidP="00FE461F">
      <w:pPr>
        <w:spacing w:line="240" w:lineRule="auto"/>
        <w:jc w:val="both"/>
        <w:rPr>
          <w:rFonts w:cs="Arial"/>
          <w:i/>
          <w:iCs/>
          <w:color w:val="808080" w:themeColor="background1" w:themeShade="80"/>
          <w:szCs w:val="20"/>
        </w:rPr>
      </w:pPr>
    </w:p>
    <w:p w14:paraId="68BC428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756.544,20 EUR.</w:t>
      </w:r>
    </w:p>
    <w:p w14:paraId="195091AE" w14:textId="2AB412C0" w:rsidR="00FE461F" w:rsidRPr="005E4BEA" w:rsidRDefault="00FE461F" w:rsidP="00FE461F">
      <w:pPr>
        <w:spacing w:line="240" w:lineRule="auto"/>
        <w:jc w:val="both"/>
        <w:rPr>
          <w:rFonts w:cs="Arial"/>
          <w:i/>
          <w:iCs/>
          <w:color w:val="808080" w:themeColor="background1" w:themeShade="80"/>
          <w:szCs w:val="20"/>
        </w:rPr>
      </w:pPr>
    </w:p>
    <w:p w14:paraId="19FC2D94"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7A6D4F85" w14:textId="77777777" w:rsidR="001F2B79" w:rsidRPr="005E4BEA" w:rsidRDefault="001F2B79" w:rsidP="001F2B79">
      <w:pPr>
        <w:spacing w:line="0" w:lineRule="atLeast"/>
        <w:jc w:val="both"/>
        <w:rPr>
          <w:rFonts w:eastAsia="Arial Narrow" w:cs="Arial"/>
          <w:szCs w:val="20"/>
          <w:lang w:eastAsia="sl-SI"/>
        </w:rPr>
      </w:pPr>
    </w:p>
    <w:p w14:paraId="4E908977"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19F686A8" w14:textId="77777777" w:rsidR="001F2B79" w:rsidRPr="005E4BEA" w:rsidRDefault="001F2B79" w:rsidP="001F2B79">
      <w:pPr>
        <w:spacing w:line="240" w:lineRule="auto"/>
        <w:jc w:val="both"/>
        <w:rPr>
          <w:rFonts w:cs="Arial"/>
          <w:i/>
          <w:iCs/>
          <w:color w:val="767171"/>
          <w:szCs w:val="20"/>
        </w:rPr>
      </w:pPr>
    </w:p>
    <w:p w14:paraId="21988824" w14:textId="77777777" w:rsidR="001F2B79" w:rsidRPr="005E4BEA" w:rsidRDefault="001F2B79" w:rsidP="001F2B79">
      <w:pPr>
        <w:spacing w:line="240" w:lineRule="auto"/>
        <w:jc w:val="both"/>
        <w:rPr>
          <w:rFonts w:cs="Arial"/>
          <w:i/>
          <w:iCs/>
          <w:color w:val="767171"/>
          <w:szCs w:val="20"/>
        </w:rPr>
      </w:pPr>
    </w:p>
    <w:p w14:paraId="73AB8DE3" w14:textId="1DDD08A3"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(150)</w:t>
      </w:r>
    </w:p>
    <w:p w14:paraId="176F423E" w14:textId="77777777" w:rsidR="001F2B79" w:rsidRPr="005E4BEA" w:rsidRDefault="001F2B79" w:rsidP="001F2B79">
      <w:pPr>
        <w:spacing w:line="0" w:lineRule="atLeast"/>
        <w:contextualSpacing/>
        <w:jc w:val="both"/>
        <w:rPr>
          <w:rFonts w:eastAsia="Arial Narrow" w:cs="Arial"/>
          <w:b/>
          <w:szCs w:val="20"/>
        </w:rPr>
      </w:pPr>
    </w:p>
    <w:p w14:paraId="4071FB92" w14:textId="12FC905A"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bCs/>
          <w:szCs w:val="20"/>
        </w:rPr>
        <w:t>v 15. členu poglavje 3. Terciarna sredstva doda nov (3) odstavek, ki se glasi:</w:t>
      </w:r>
    </w:p>
    <w:p w14:paraId="6FCCDA37" w14:textId="77777777" w:rsidR="00FE461F" w:rsidRPr="005E4BEA" w:rsidRDefault="00FE461F" w:rsidP="00FE461F">
      <w:pPr>
        <w:spacing w:line="240" w:lineRule="auto"/>
        <w:jc w:val="both"/>
        <w:rPr>
          <w:rFonts w:cs="Arial"/>
          <w:iCs/>
          <w:szCs w:val="20"/>
        </w:rPr>
      </w:pPr>
      <w:r w:rsidRPr="005E4BEA">
        <w:rPr>
          <w:rFonts w:cs="Arial"/>
          <w:iCs/>
          <w:szCs w:val="20"/>
        </w:rPr>
        <w:t>(3) Inštitut za medicinsko rehabilitacijo UKC Ljubljana vključi sredstva za program terciarne zdravstvene dejavnosti v ceno točke za storitve, in sicer v višini 20% svojega celotnega prihodka (brez sredstev za LZM in terciar). Kalkulacijo dogovori Zavod z izvajalcem.</w:t>
      </w:r>
    </w:p>
    <w:p w14:paraId="20DC6971"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2C5D87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klinikah UKCL pogosto ostajajo bolniki tudi po tem, ko je akutno zdravljenje zaključeno. Razlogi so različni, običajno je povezano z nezmožnostjo premestitve bolnika drugam. V primerih, ko gre za bolnike – poškodovance z hujšo prizadetostjo, ki še ne ustrezajo indikacijam za premestitev v terciarno inštitucijo za rehabilitacijo (URI-Soča) se rehabilitacija odvija v akutni bolnišnici. Primeri takih bolnikov so bolniki po hudi poškodbi glave v fazi minimalnega zavedanja, </w:t>
      </w:r>
      <w:proofErr w:type="spellStart"/>
      <w:r w:rsidRPr="005E4BEA">
        <w:rPr>
          <w:rFonts w:cs="Arial"/>
          <w:i/>
          <w:iCs/>
          <w:color w:val="808080" w:themeColor="background1" w:themeShade="80"/>
          <w:szCs w:val="20"/>
        </w:rPr>
        <w:lastRenderedPageBreak/>
        <w:t>politravmatizirani</w:t>
      </w:r>
      <w:proofErr w:type="spellEnd"/>
      <w:r w:rsidRPr="005E4BEA">
        <w:rPr>
          <w:rFonts w:cs="Arial"/>
          <w:i/>
          <w:iCs/>
          <w:color w:val="808080" w:themeColor="background1" w:themeShade="80"/>
          <w:szCs w:val="20"/>
        </w:rPr>
        <w:t xml:space="preserve"> bolniki, bolniki po zapletenih operativnih posegih na možganih, bolniki z hudim potekom klopnega </w:t>
      </w:r>
      <w:proofErr w:type="spellStart"/>
      <w:r w:rsidRPr="005E4BEA">
        <w:rPr>
          <w:rFonts w:cs="Arial"/>
          <w:i/>
          <w:iCs/>
          <w:color w:val="808080" w:themeColor="background1" w:themeShade="80"/>
          <w:szCs w:val="20"/>
        </w:rPr>
        <w:t>meningoencefalitisa</w:t>
      </w:r>
      <w:proofErr w:type="spellEnd"/>
      <w:r w:rsidRPr="005E4BEA">
        <w:rPr>
          <w:rFonts w:cs="Arial"/>
          <w:i/>
          <w:iCs/>
          <w:color w:val="808080" w:themeColor="background1" w:themeShade="80"/>
          <w:szCs w:val="20"/>
        </w:rPr>
        <w:t xml:space="preserve"> in podobnih </w:t>
      </w:r>
      <w:proofErr w:type="spellStart"/>
      <w:r w:rsidRPr="005E4BEA">
        <w:rPr>
          <w:rFonts w:cs="Arial"/>
          <w:i/>
          <w:iCs/>
          <w:color w:val="808080" w:themeColor="background1" w:themeShade="80"/>
          <w:szCs w:val="20"/>
        </w:rPr>
        <w:t>infektov</w:t>
      </w:r>
      <w:proofErr w:type="spellEnd"/>
      <w:r w:rsidRPr="005E4BEA">
        <w:rPr>
          <w:rFonts w:cs="Arial"/>
          <w:i/>
          <w:iCs/>
          <w:color w:val="808080" w:themeColor="background1" w:themeShade="80"/>
          <w:szCs w:val="20"/>
        </w:rPr>
        <w:t xml:space="preserve">, bolniki s </w:t>
      </w:r>
      <w:proofErr w:type="spellStart"/>
      <w:r w:rsidRPr="005E4BEA">
        <w:rPr>
          <w:rFonts w:cs="Arial"/>
          <w:i/>
          <w:iCs/>
          <w:color w:val="808080" w:themeColor="background1" w:themeShade="80"/>
          <w:szCs w:val="20"/>
        </w:rPr>
        <w:t>miopatijo</w:t>
      </w:r>
      <w:proofErr w:type="spellEnd"/>
      <w:r w:rsidRPr="005E4BEA">
        <w:rPr>
          <w:rFonts w:cs="Arial"/>
          <w:i/>
          <w:iCs/>
          <w:color w:val="808080" w:themeColor="background1" w:themeShade="80"/>
          <w:szCs w:val="20"/>
        </w:rPr>
        <w:t xml:space="preserve"> kritično bolnega itd. Poseben primer so poškodovanci z visokimi cervikalnimi lezijami, ki so vezani na respirator, saj premestitev takih poškodovancev v URI-Soča ni možna (jih ne sprejemajo).</w:t>
      </w:r>
    </w:p>
    <w:p w14:paraId="3B0DFA7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času hospitalizacije v UKCL se pri teh bolnikih izvajajo rehabilitacijski postopki, ki sodijo v terciarno dejavnost. Za tovrstne obravnave ima URI-Soča priznana terciarna sredstva v višini 4.015.000 eur/leto. Predlagamo, da se tudi UKCL priznajo terciarna sredstva na tem področju. Ob kirurškem, internističnem in intenzivnem zdravljenju ter pulmološkem spremljanju, respiratorni terapiji ter zdravstveni negi ti pacienti tudi v akutni hospitalni obravnavi potrebujejo rehabilitacijsko obravnavo pod nadzorom fiziatra. Zaradi različnih težav, ki se razvijejo se v obravnavo vključijo številnih zdravstveni profili (fiziater, fizioterapevt, delovni terapevt, socialni delavec, psiholog, logoped, dietetik) kar kaže na kompleksnost potrebne in izvajane rehabilitacijske obravnave.</w:t>
      </w:r>
    </w:p>
    <w:p w14:paraId="224F5C2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u w:val="single"/>
        </w:rPr>
        <w:t xml:space="preserve">Predlagamo zvišanje cene za medicinsko rehabilitacijo v specialistični </w:t>
      </w:r>
      <w:proofErr w:type="spellStart"/>
      <w:r w:rsidRPr="005E4BEA">
        <w:rPr>
          <w:rFonts w:cs="Arial"/>
          <w:i/>
          <w:iCs/>
          <w:color w:val="808080" w:themeColor="background1" w:themeShade="80"/>
          <w:szCs w:val="20"/>
          <w:u w:val="single"/>
        </w:rPr>
        <w:t>zunajbolnišnični</w:t>
      </w:r>
      <w:proofErr w:type="spellEnd"/>
      <w:r w:rsidRPr="005E4BEA">
        <w:rPr>
          <w:rFonts w:cs="Arial"/>
          <w:i/>
          <w:iCs/>
          <w:color w:val="808080" w:themeColor="background1" w:themeShade="80"/>
          <w:szCs w:val="20"/>
          <w:u w:val="single"/>
        </w:rPr>
        <w:t xml:space="preserve"> dejavnosti in sicer v višini 20% vrednosti kalkulacije celotnega prihodka iz SD</w:t>
      </w:r>
      <w:r w:rsidRPr="005E4BEA">
        <w:rPr>
          <w:rFonts w:cs="Arial"/>
          <w:i/>
          <w:iCs/>
          <w:color w:val="808080" w:themeColor="background1" w:themeShade="80"/>
          <w:szCs w:val="20"/>
        </w:rPr>
        <w:t>. UKC Ljubljana ima za dejavnost medicinske rehabilitacije priznano 2,035 ambulantnega tima, kar po izhodiščni ceni SD 2021 znaša 831.706,61 eur. Terciarna sredstva bomo uporabili za učenje, usposabljanje za posebna znanja, razvoj in raziskovanje, ter najvišjo stopnjo usposobljenosti zdravstvenih timov na posameznem strokovnem področju, vključno s pod področji, ozko specializiranimi terapevtskimi enotami, povezanostjo več strok, tudi pri različnih izvajalcih za najboljše reševanje problemov zdravstvene oskrbe…</w:t>
      </w:r>
    </w:p>
    <w:p w14:paraId="598F671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204 205 SPEC - MEDICINSKA REHABILITACIJA UKC LJUBLJANA (izhodiščne cene SD 2021)</w:t>
      </w:r>
    </w:p>
    <w:p w14:paraId="6D71A64E" w14:textId="77777777" w:rsidR="00FE461F" w:rsidRPr="005E4BEA" w:rsidRDefault="00FE461F" w:rsidP="00FE461F">
      <w:pPr>
        <w:spacing w:line="240" w:lineRule="auto"/>
        <w:jc w:val="both"/>
        <w:rPr>
          <w:rFonts w:cs="Arial"/>
          <w:szCs w:val="20"/>
        </w:rPr>
      </w:pPr>
      <w:r w:rsidRPr="005E4BEA">
        <w:rPr>
          <w:rFonts w:cs="Arial"/>
          <w:noProof/>
          <w:szCs w:val="20"/>
        </w:rPr>
        <w:drawing>
          <wp:inline distT="0" distB="0" distL="0" distR="0" wp14:anchorId="43CFFA50" wp14:editId="1CC29F63">
            <wp:extent cx="5022376" cy="3101714"/>
            <wp:effectExtent l="0" t="0" r="6985"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620" cy="3110511"/>
                    </a:xfrm>
                    <a:prstGeom prst="rect">
                      <a:avLst/>
                    </a:prstGeom>
                    <a:noFill/>
                    <a:ln>
                      <a:noFill/>
                    </a:ln>
                  </pic:spPr>
                </pic:pic>
              </a:graphicData>
            </a:graphic>
          </wp:inline>
        </w:drawing>
      </w:r>
    </w:p>
    <w:p w14:paraId="3C05E1D7" w14:textId="77777777" w:rsidR="00FE461F" w:rsidRPr="005E4BEA" w:rsidRDefault="00FE461F" w:rsidP="00FE461F">
      <w:pPr>
        <w:spacing w:line="240" w:lineRule="auto"/>
        <w:jc w:val="both"/>
        <w:rPr>
          <w:rFonts w:cs="Arial"/>
          <w:i/>
          <w:iCs/>
          <w:color w:val="808080" w:themeColor="background1" w:themeShade="80"/>
          <w:szCs w:val="20"/>
        </w:rPr>
      </w:pPr>
    </w:p>
    <w:p w14:paraId="48B5D75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Predvidena ocena potrebnih dodatnih sredstev je 166.341,32 eur letno.</w:t>
      </w:r>
    </w:p>
    <w:p w14:paraId="0312DD1B" w14:textId="7E3A832A" w:rsidR="00FE461F" w:rsidRPr="005E4BEA" w:rsidRDefault="00FE461F" w:rsidP="00FE461F">
      <w:pPr>
        <w:spacing w:line="240" w:lineRule="auto"/>
        <w:jc w:val="both"/>
        <w:rPr>
          <w:rFonts w:cs="Arial"/>
          <w:i/>
          <w:iCs/>
          <w:color w:val="808080" w:themeColor="background1" w:themeShade="80"/>
          <w:szCs w:val="20"/>
        </w:rPr>
      </w:pPr>
    </w:p>
    <w:p w14:paraId="58D72129"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0200267" w14:textId="77777777" w:rsidR="001F2B79" w:rsidRPr="005E4BEA" w:rsidRDefault="001F2B79" w:rsidP="001F2B79">
      <w:pPr>
        <w:spacing w:line="0" w:lineRule="atLeast"/>
        <w:jc w:val="both"/>
        <w:rPr>
          <w:rFonts w:eastAsia="Arial Narrow" w:cs="Arial"/>
          <w:szCs w:val="20"/>
          <w:lang w:eastAsia="sl-SI"/>
        </w:rPr>
      </w:pPr>
    </w:p>
    <w:p w14:paraId="77090175"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2F89CFC1" w14:textId="77777777" w:rsidR="001F2B79" w:rsidRPr="005E4BEA" w:rsidRDefault="001F2B79" w:rsidP="001F2B79">
      <w:pPr>
        <w:spacing w:line="240" w:lineRule="auto"/>
        <w:jc w:val="both"/>
        <w:rPr>
          <w:rFonts w:cs="Arial"/>
          <w:i/>
          <w:iCs/>
          <w:color w:val="767171"/>
          <w:szCs w:val="20"/>
        </w:rPr>
      </w:pPr>
    </w:p>
    <w:p w14:paraId="54F3E878" w14:textId="77777777" w:rsidR="001F2B79" w:rsidRPr="005E4BEA" w:rsidRDefault="001F2B79" w:rsidP="001F2B79">
      <w:pPr>
        <w:spacing w:line="240" w:lineRule="auto"/>
        <w:jc w:val="both"/>
        <w:rPr>
          <w:rFonts w:cs="Arial"/>
          <w:i/>
          <w:iCs/>
          <w:color w:val="767171"/>
          <w:szCs w:val="20"/>
        </w:rPr>
      </w:pPr>
    </w:p>
    <w:p w14:paraId="2C2A16C4" w14:textId="734F8E8D"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(151)</w:t>
      </w:r>
    </w:p>
    <w:p w14:paraId="65B82881" w14:textId="77777777" w:rsidR="001F2B79" w:rsidRPr="005E4BEA" w:rsidRDefault="001F2B79" w:rsidP="001F2B79">
      <w:pPr>
        <w:spacing w:line="0" w:lineRule="atLeast"/>
        <w:contextualSpacing/>
        <w:jc w:val="both"/>
        <w:rPr>
          <w:rFonts w:eastAsia="Arial Narrow" w:cs="Arial"/>
          <w:b/>
          <w:szCs w:val="20"/>
        </w:rPr>
      </w:pPr>
    </w:p>
    <w:p w14:paraId="632F7A5B" w14:textId="77FA8C87" w:rsidR="00FE461F" w:rsidRPr="005E4BEA" w:rsidRDefault="001F2B79" w:rsidP="00FE461F">
      <w:pPr>
        <w:spacing w:line="240" w:lineRule="auto"/>
        <w:jc w:val="both"/>
        <w:rPr>
          <w:rFonts w:cs="Arial"/>
          <w:b/>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bCs/>
          <w:szCs w:val="20"/>
        </w:rPr>
        <w:t>v 16. členu v (6) odstavku v 1. točki doda podčrtano besedilo in v 3. točki črtata besedi »predvidljiv ali</w:t>
      </w:r>
      <w:r w:rsidR="00FE461F" w:rsidRPr="005E4BEA">
        <w:rPr>
          <w:rFonts w:cs="Arial"/>
          <w:b/>
          <w:bCs/>
          <w:szCs w:val="20"/>
        </w:rPr>
        <w:t>«:</w:t>
      </w:r>
    </w:p>
    <w:p w14:paraId="2F75EE38" w14:textId="77777777" w:rsidR="00FE461F" w:rsidRPr="005E4BEA" w:rsidRDefault="00FE461F" w:rsidP="00FE461F">
      <w:pPr>
        <w:spacing w:line="240" w:lineRule="auto"/>
        <w:jc w:val="both"/>
        <w:rPr>
          <w:rFonts w:cs="Arial"/>
          <w:szCs w:val="20"/>
        </w:rPr>
      </w:pPr>
      <w:r w:rsidRPr="005E4BEA">
        <w:rPr>
          <w:rFonts w:cs="Arial"/>
          <w:szCs w:val="20"/>
        </w:rPr>
        <w:t>(6) Napotitev zavarovane osebe iz urgentnega centra, urgentne specialistične ambulantne obravnave na specialistično bolnišnično obravnavo</w:t>
      </w:r>
    </w:p>
    <w:p w14:paraId="5A40A92B" w14:textId="77777777" w:rsidR="00FE461F" w:rsidRPr="005E4BEA" w:rsidRDefault="00FE461F" w:rsidP="00FE461F">
      <w:pPr>
        <w:spacing w:line="240" w:lineRule="auto"/>
        <w:jc w:val="both"/>
        <w:rPr>
          <w:rFonts w:cs="Arial"/>
          <w:szCs w:val="20"/>
        </w:rPr>
      </w:pPr>
      <w:r w:rsidRPr="005E4BEA">
        <w:rPr>
          <w:rFonts w:cs="Arial"/>
          <w:szCs w:val="20"/>
        </w:rPr>
        <w:lastRenderedPageBreak/>
        <w:t xml:space="preserve">1. Kadar izvajalec v okviru obravnave v urgentnem centru, urgentne specialistične ambulantne obravnave oziroma intervencije ugotovi, da je skladno z merili iz Dogovora za sprejem v bolnišnično obravnavo nadalje potrebna tudi takojšnja bolnišnična obravnava, ki jo lahko sam zagotovi, da zaključi aktualni zdravstveni problem, lahko ta izvajalec poleg obravnave v urgentnem centru oziroma storitev za urgentno ambulantno obravnavo </w:t>
      </w:r>
      <w:r w:rsidRPr="005E4BEA">
        <w:rPr>
          <w:rFonts w:cs="Arial"/>
          <w:szCs w:val="20"/>
          <w:u w:val="single"/>
        </w:rPr>
        <w:t>ter urgentnih diagnostičnih preiskav (</w:t>
      </w:r>
      <w:proofErr w:type="spellStart"/>
      <w:r w:rsidRPr="005E4BEA">
        <w:rPr>
          <w:rFonts w:cs="Arial"/>
          <w:szCs w:val="20"/>
          <w:u w:val="single"/>
        </w:rPr>
        <w:t>gastroenteroloških</w:t>
      </w:r>
      <w:proofErr w:type="spellEnd"/>
      <w:r w:rsidRPr="005E4BEA">
        <w:rPr>
          <w:rFonts w:cs="Arial"/>
          <w:szCs w:val="20"/>
          <w:u w:val="single"/>
        </w:rPr>
        <w:t>, kardioloških, radioloških – UZ, RTG, CT, MR ter ostalih diagnostičnih preiskav, ki so potrebne za odločitev o nadaljnjem zdravljenju)</w:t>
      </w:r>
      <w:r w:rsidRPr="005E4BEA">
        <w:rPr>
          <w:rFonts w:cs="Arial"/>
          <w:szCs w:val="20"/>
        </w:rPr>
        <w:t xml:space="preserve"> obračuna primer bolnišničnega zdravljenja (npr. SPP, primer, BOD). Izvajalec ne more zaračunati SPP za primer, ki je bil obravnavan v opazovalni enoti urgentnega centra, trajanje pa je bilo krajše od 25 ur.</w:t>
      </w:r>
    </w:p>
    <w:p w14:paraId="7F4AEAD8" w14:textId="77777777" w:rsidR="00FE461F" w:rsidRPr="005E4BEA" w:rsidRDefault="00FE461F" w:rsidP="00FE461F">
      <w:pPr>
        <w:spacing w:line="240" w:lineRule="auto"/>
        <w:jc w:val="both"/>
        <w:rPr>
          <w:rFonts w:cs="Arial"/>
          <w:szCs w:val="20"/>
        </w:rPr>
      </w:pPr>
    </w:p>
    <w:p w14:paraId="78206ADC" w14:textId="77777777" w:rsidR="00FE461F" w:rsidRPr="005E4BEA" w:rsidRDefault="00FE461F" w:rsidP="00FE461F">
      <w:pPr>
        <w:spacing w:line="240" w:lineRule="auto"/>
        <w:jc w:val="both"/>
        <w:rPr>
          <w:rFonts w:eastAsia="Calibri" w:cs="Arial"/>
          <w:b/>
          <w:bCs/>
          <w:i/>
          <w:iCs/>
          <w:color w:val="808080" w:themeColor="background1" w:themeShade="80"/>
          <w:szCs w:val="20"/>
          <w:u w:val="single"/>
        </w:rPr>
      </w:pPr>
      <w:r w:rsidRPr="005E4BEA">
        <w:rPr>
          <w:rFonts w:eastAsia="Calibri" w:cs="Arial"/>
          <w:b/>
          <w:bCs/>
          <w:i/>
          <w:iCs/>
          <w:color w:val="808080" w:themeColor="background1" w:themeShade="80"/>
          <w:szCs w:val="20"/>
          <w:u w:val="single"/>
        </w:rPr>
        <w:t>Obrazložitev:</w:t>
      </w:r>
    </w:p>
    <w:p w14:paraId="0EB066A5" w14:textId="77777777" w:rsidR="00FE461F" w:rsidRPr="005E4BEA" w:rsidRDefault="00FE461F" w:rsidP="00FE461F">
      <w:pPr>
        <w:spacing w:line="240" w:lineRule="auto"/>
        <w:jc w:val="both"/>
        <w:rPr>
          <w:rFonts w:cs="Arial"/>
          <w:i/>
          <w:iCs/>
          <w:color w:val="808080" w:themeColor="background1" w:themeShade="80"/>
          <w:szCs w:val="20"/>
          <w:u w:val="single"/>
        </w:rPr>
      </w:pPr>
      <w:r w:rsidRPr="005E4BEA">
        <w:rPr>
          <w:rFonts w:cs="Arial"/>
          <w:i/>
          <w:iCs/>
          <w:color w:val="808080" w:themeColor="background1" w:themeShade="80"/>
          <w:szCs w:val="20"/>
        </w:rPr>
        <w:t>Izvajalci na isti dan za istega pacienta ne smemo obračunati obravnav v UC in specialistični ambulanti bolnišnice, razen če gre za dve povsem različni stanji – npr. naročeni pregled v specialistični ambulanti in sveža poškodba</w:t>
      </w:r>
      <w:r w:rsidRPr="005E4BEA">
        <w:rPr>
          <w:rFonts w:cs="Arial"/>
          <w:i/>
          <w:iCs/>
          <w:color w:val="808080" w:themeColor="background1" w:themeShade="80"/>
          <w:szCs w:val="20"/>
          <w:u w:val="single"/>
        </w:rPr>
        <w:t xml:space="preserve">. Če ponazorimo na primeru: vrednost razširjenega pregleda (03004) in začetne ambulantne oskrbe (11004) v </w:t>
      </w:r>
      <w:proofErr w:type="spellStart"/>
      <w:r w:rsidRPr="005E4BEA">
        <w:rPr>
          <w:rFonts w:cs="Arial"/>
          <w:i/>
          <w:iCs/>
          <w:color w:val="808080" w:themeColor="background1" w:themeShade="80"/>
          <w:szCs w:val="20"/>
          <w:u w:val="single"/>
        </w:rPr>
        <w:t>EzB</w:t>
      </w:r>
      <w:proofErr w:type="spellEnd"/>
      <w:r w:rsidRPr="005E4BEA">
        <w:rPr>
          <w:rFonts w:cs="Arial"/>
          <w:i/>
          <w:iCs/>
          <w:color w:val="808080" w:themeColor="background1" w:themeShade="80"/>
          <w:szCs w:val="20"/>
          <w:u w:val="single"/>
        </w:rPr>
        <w:t xml:space="preserve"> znaša skupaj 113,60 EUR. Če moramo v sklopu urgentne obravnave opraviti tudi urgentno gastroskopijo (16331), je že ta sama »vredna« 116,40 EUR, obračunamo pa, kot veleva pravilo, le 113,60 EUR (cene iz SD 2020). Cena ambulantnega pregleda in oskrbe zato ne more pokrivati vseh nujnih diagnostičnih preiskav, ki jih moramo izvesti pacientom, da lahko podamo odločitev o njihovem nadaljnjem zdravljenju. </w:t>
      </w:r>
    </w:p>
    <w:p w14:paraId="205E910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Poenostavljeno in zmotno je razmišljanje, da delo v urgentnih centrih v osnovi temelji na iskanju odgovora na preprosto vprašanje: »Ali urgentni bolnik potrebuje hospitalizacijo ali ne?« Veliko zmede in še posebej nepoznavanje dela v urgentnih centrih je prinesla Priloga BOL Splošnega dogovora, 16. člen, (6) odstavek, 3. točka. Povsem jasno je, da dogovorjen sprejem pomeni dogovor dveh zdravnikov iz različnih ustanov o sprejemu bolnika v neko ustanovo. Težava se pojavi pri interpretaciji besede »predvidljiv« sprejem. Poenostavljeno bi to besedno zvezo lahko interpretirali, da pomeni, da je klinično stanje bolnika takšno, da bo za nadaljevanje zdravljenja potrebna hospitalizacija. Ocena bolnikovega stanja pa temelji na oceni zdravnika. Takšna interpretacija je zmotna in ne predstavlja realnega stanja v urgentnih centrih v splošnih bolnišnicah.</w:t>
      </w:r>
    </w:p>
    <w:p w14:paraId="66ED644C"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Klinični pregled ne predstavlja edinega mehanizma, na osnovi katerega se zdravnik odloči za sprejem. Je osnova za oceno bolnikovega stanja in osnova za pravilen izbor nadaljnjih potrebnih (laboratorijskih ali slikovnih) preiskav. Šele pravilna interpretacija kliničnega pregleda in preiskav omogoča strokovno odločitev glede nadaljnjega zdravljenja, ali bolnik potrebuje hospitalizacijo, na katerem oddelku oz. specialnosti bo bolnik ustrezno zdravljen in s tega vidika kateri izvajalec mu to lahko zagotovi. Velikokrat je sicer jasna strokovna indikacija za nadaljevanje urgentnega zdravljenja pacienta v bolnišnici, vendar splošne bolnišnice nimamo na voljo vseh potrebnih specialistov oz. oddelkov. </w:t>
      </w:r>
    </w:p>
    <w:p w14:paraId="3C2D9366" w14:textId="66AE37BD"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Manjše, regionalne bolnišnice nimajo na voljo zdravnikov vseh specialnosti 24h na dan. Klinični status pacienta nikoli ne predstavlja avtomatične indikacije za bolnišnično obravnavo v (regionalni) ustanovi. Šele dodatna laboratorijska ali ambulantno izvedena radiološka diagnostika tekom obravnave bolnika v urgentnem centru lahko pomaga pri odločanju ali bo bolnik sploh hospitaliziran in če bo, ali bo hospitaliziran v domači ustanovi ali pa je potreben takojšnji transport v ustreznejšo ustanovo (terciarno ali drugo bližnjo ustanovo, ki ima ustrezno specialnost, npr. nevrokirurga, nevrologa, ...). S tega vidika zavračamo možnost, da pri takšnih bolnikih gre za predvidljiv sprejem na hospitalno zdravljenje v splošni bolnišnici.</w:t>
      </w:r>
    </w:p>
    <w:p w14:paraId="449D3D61" w14:textId="77777777" w:rsidR="00C57F55" w:rsidRPr="005E4BEA" w:rsidRDefault="00C57F55" w:rsidP="00FE461F">
      <w:pPr>
        <w:spacing w:line="240" w:lineRule="auto"/>
        <w:jc w:val="both"/>
        <w:rPr>
          <w:rFonts w:cs="Arial"/>
          <w:i/>
          <w:iCs/>
          <w:color w:val="808080" w:themeColor="background1" w:themeShade="80"/>
          <w:szCs w:val="20"/>
        </w:rPr>
      </w:pPr>
    </w:p>
    <w:p w14:paraId="7343322D" w14:textId="77777777" w:rsidR="00FE461F" w:rsidRPr="005E4BEA" w:rsidRDefault="00FE461F" w:rsidP="00FE461F">
      <w:pPr>
        <w:spacing w:line="240" w:lineRule="auto"/>
        <w:jc w:val="both"/>
        <w:rPr>
          <w:rFonts w:cs="Arial"/>
          <w:i/>
          <w:iCs/>
          <w:color w:val="808080" w:themeColor="background1" w:themeShade="80"/>
          <w:szCs w:val="20"/>
        </w:rPr>
      </w:pPr>
    </w:p>
    <w:p w14:paraId="73E8DC09" w14:textId="77777777" w:rsidR="00FE461F" w:rsidRPr="005E4BEA" w:rsidRDefault="00FE461F" w:rsidP="00FE461F">
      <w:pPr>
        <w:spacing w:line="240" w:lineRule="auto"/>
        <w:jc w:val="both"/>
        <w:rPr>
          <w:rFonts w:cs="Arial"/>
          <w:b/>
          <w:bCs/>
          <w:i/>
          <w:iCs/>
          <w:color w:val="808080" w:themeColor="background1" w:themeShade="80"/>
          <w:szCs w:val="20"/>
          <w:u w:val="single"/>
        </w:rPr>
      </w:pPr>
      <w:r w:rsidRPr="005E4BEA">
        <w:rPr>
          <w:rFonts w:cs="Arial"/>
          <w:b/>
          <w:bCs/>
          <w:i/>
          <w:iCs/>
          <w:color w:val="808080" w:themeColor="background1" w:themeShade="80"/>
          <w:szCs w:val="20"/>
          <w:u w:val="single"/>
        </w:rPr>
        <w:t>Finančni učinek:</w:t>
      </w:r>
    </w:p>
    <w:p w14:paraId="474E307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Pri finančni oceni pravila »predvidljivega sprejema« gre za vprašanje </w:t>
      </w:r>
      <w:r w:rsidRPr="005E4BEA">
        <w:rPr>
          <w:rFonts w:cs="Arial"/>
          <w:i/>
          <w:iCs/>
          <w:color w:val="808080" w:themeColor="background1" w:themeShade="80"/>
          <w:szCs w:val="20"/>
          <w:u w:val="single"/>
        </w:rPr>
        <w:t>ocene neplačanih storitev izvajalcem oz. prihranka sredstev na strani zdravstvenih zavarovalnic.</w:t>
      </w:r>
      <w:r w:rsidRPr="005E4BEA">
        <w:rPr>
          <w:rFonts w:cs="Arial"/>
          <w:i/>
          <w:iCs/>
          <w:color w:val="808080" w:themeColor="background1" w:themeShade="80"/>
          <w:szCs w:val="20"/>
        </w:rPr>
        <w:t xml:space="preserve"> Uvedba pravila »predvidljivega sprejema« predstavlja prihranek z vidika zavarovalnic za opravljene zdravstvene storitve izvajalcev, ki so nam bile pred tem pravilom priznane za plačilo in v tem smislu ne predstavlja potrebe po »dodatnih finančnih sredstvih«. Da to pravilo pomeni velik problem za izvajalce lahko predstavimo na primeru finančno-medicinskega nadzora, ki ga je ZZZS v SB Slovenj Gradec in SB Celje opravil na CT dejavnosti. Osnova za nadzor je bil izpis fakturiranih storitev izbranega vzorca zavarovanih oseb za trimesečno obdobje leta 2019. Od skupaj 101 pregledanih obračunanih storitev ZZZS zaradi pravila predvidljivega sprejema zavrača plačilo za </w:t>
      </w:r>
      <w:r w:rsidRPr="005E4BEA">
        <w:rPr>
          <w:rFonts w:cs="Arial"/>
          <w:i/>
          <w:iCs/>
          <w:color w:val="808080" w:themeColor="background1" w:themeShade="80"/>
          <w:szCs w:val="20"/>
        </w:rPr>
        <w:lastRenderedPageBreak/>
        <w:t>46,5% storitev, kar vrednostno predstavlja skoraj 9.000 EUR. Če bi k temu dodali še posledično zavrnitev plačil za nujne obravnave v urgentnem centru, ki tokrat niso bile predmet nadzora, pa tudi ostalo nujno radiološko diagnostikov, ki jo izvajamo za namen nujnih obravnav pacientov v urgentnem centru, je vrednost seveda še višja….</w:t>
      </w:r>
    </w:p>
    <w:p w14:paraId="1DA728E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(informativno: V SB Celje od skupaj 153 pregledanih obračunanih storitev ZZZS zaradi pravila predvidljivega sprejema zavrača plačilo za 60% storitev, kar vrednostno predstavlja približno 20.000 EUR. Če bi k temu dodali še posledično zavrnitev plačil za nujne obravnave v urgentnem centru, ki tokrat niso bile predmet nadzora, pa tudi ostalo nujno radiološko in drugo diagnostiko, ki jo izvajamo za namen nujnih obravnav pacientov v urgentnem centru, je vrednost seveda še višja. </w:t>
      </w:r>
    </w:p>
    <w:p w14:paraId="30D97C5D" w14:textId="4B957FE4"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Drug primer je finančni nadzor sočasnega obračuna obravnav v urgentnem centru in v drugih specialističnih dejavnostih, kjer smo zaradi nadzora obračuna urgentnih </w:t>
      </w:r>
      <w:proofErr w:type="spellStart"/>
      <w:r w:rsidRPr="005E4BEA">
        <w:rPr>
          <w:rFonts w:cs="Arial"/>
          <w:i/>
          <w:iCs/>
          <w:color w:val="808080" w:themeColor="background1" w:themeShade="80"/>
          <w:szCs w:val="20"/>
        </w:rPr>
        <w:t>gastroenteroloških</w:t>
      </w:r>
      <w:proofErr w:type="spellEnd"/>
      <w:r w:rsidRPr="005E4BEA">
        <w:rPr>
          <w:rFonts w:cs="Arial"/>
          <w:i/>
          <w:iCs/>
          <w:color w:val="808080" w:themeColor="background1" w:themeShade="80"/>
          <w:szCs w:val="20"/>
        </w:rPr>
        <w:t xml:space="preserve"> preiskav (</w:t>
      </w:r>
      <w:proofErr w:type="spellStart"/>
      <w:r w:rsidRPr="005E4BEA">
        <w:rPr>
          <w:rFonts w:cs="Arial"/>
          <w:i/>
          <w:iCs/>
          <w:color w:val="808080" w:themeColor="background1" w:themeShade="80"/>
          <w:szCs w:val="20"/>
        </w:rPr>
        <w:t>urg.gastroskopije</w:t>
      </w:r>
      <w:proofErr w:type="spellEnd"/>
      <w:r w:rsidRPr="005E4BEA">
        <w:rPr>
          <w:rFonts w:cs="Arial"/>
          <w:i/>
          <w:iCs/>
          <w:color w:val="808080" w:themeColor="background1" w:themeShade="80"/>
          <w:szCs w:val="20"/>
        </w:rPr>
        <w:t xml:space="preserve">, </w:t>
      </w:r>
      <w:proofErr w:type="spellStart"/>
      <w:r w:rsidRPr="005E4BEA">
        <w:rPr>
          <w:rFonts w:cs="Arial"/>
          <w:i/>
          <w:iCs/>
          <w:color w:val="808080" w:themeColor="background1" w:themeShade="80"/>
          <w:szCs w:val="20"/>
        </w:rPr>
        <w:t>proktoskopije</w:t>
      </w:r>
      <w:proofErr w:type="spellEnd"/>
      <w:r w:rsidRPr="005E4BEA">
        <w:rPr>
          <w:rFonts w:cs="Arial"/>
          <w:i/>
          <w:iCs/>
          <w:color w:val="808080" w:themeColor="background1" w:themeShade="80"/>
          <w:szCs w:val="20"/>
        </w:rPr>
        <w:t>,..) v obdobju 1-5/2019 izgubili dobrih 12.000 EUR, za preostanek leta pa skoraj 19.000 EUR.)</w:t>
      </w:r>
    </w:p>
    <w:p w14:paraId="41582BA3" w14:textId="77777777" w:rsidR="001F2B79" w:rsidRPr="005E4BEA" w:rsidRDefault="001F2B79" w:rsidP="00FE461F">
      <w:pPr>
        <w:spacing w:line="240" w:lineRule="auto"/>
        <w:jc w:val="both"/>
        <w:rPr>
          <w:rFonts w:cs="Arial"/>
          <w:i/>
          <w:iCs/>
          <w:color w:val="808080" w:themeColor="background1" w:themeShade="80"/>
          <w:szCs w:val="20"/>
        </w:rPr>
      </w:pPr>
    </w:p>
    <w:p w14:paraId="2284D015" w14:textId="61EE003E"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0,5 mio €</w:t>
      </w:r>
    </w:p>
    <w:p w14:paraId="028C2544" w14:textId="557E53E7" w:rsidR="001F2B79" w:rsidRPr="005E4BEA" w:rsidRDefault="001F2B79" w:rsidP="00FE461F">
      <w:pPr>
        <w:spacing w:line="240" w:lineRule="auto"/>
        <w:jc w:val="both"/>
        <w:rPr>
          <w:rFonts w:cs="Arial"/>
          <w:i/>
          <w:iCs/>
          <w:color w:val="808080" w:themeColor="background1" w:themeShade="80"/>
          <w:szCs w:val="20"/>
        </w:rPr>
      </w:pPr>
    </w:p>
    <w:p w14:paraId="5B8D72DA"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C7BFA59" w14:textId="77777777" w:rsidR="001F2B79" w:rsidRPr="005E4BEA" w:rsidRDefault="001F2B79" w:rsidP="001F2B79">
      <w:pPr>
        <w:spacing w:line="0" w:lineRule="atLeast"/>
        <w:jc w:val="both"/>
        <w:rPr>
          <w:rFonts w:eastAsia="Arial Narrow" w:cs="Arial"/>
          <w:szCs w:val="20"/>
          <w:lang w:eastAsia="sl-SI"/>
        </w:rPr>
      </w:pPr>
    </w:p>
    <w:p w14:paraId="1B400A6A"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02DC556F" w14:textId="77777777" w:rsidR="001F2B79" w:rsidRPr="005E4BEA" w:rsidRDefault="001F2B79" w:rsidP="001F2B79">
      <w:pPr>
        <w:spacing w:line="240" w:lineRule="auto"/>
        <w:jc w:val="both"/>
        <w:rPr>
          <w:rFonts w:cs="Arial"/>
          <w:i/>
          <w:iCs/>
          <w:color w:val="767171"/>
          <w:szCs w:val="20"/>
        </w:rPr>
      </w:pPr>
    </w:p>
    <w:p w14:paraId="59C63D64" w14:textId="77777777" w:rsidR="001F2B79" w:rsidRPr="005E4BEA" w:rsidRDefault="001F2B79" w:rsidP="001F2B79">
      <w:pPr>
        <w:spacing w:line="240" w:lineRule="auto"/>
        <w:jc w:val="both"/>
        <w:rPr>
          <w:rFonts w:cs="Arial"/>
          <w:i/>
          <w:iCs/>
          <w:color w:val="767171"/>
          <w:szCs w:val="20"/>
        </w:rPr>
      </w:pPr>
    </w:p>
    <w:p w14:paraId="252E1CC5" w14:textId="2374D4AE"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(152)</w:t>
      </w:r>
    </w:p>
    <w:p w14:paraId="75126A36" w14:textId="77777777" w:rsidR="001F2B79" w:rsidRPr="005E4BEA" w:rsidRDefault="001F2B79" w:rsidP="001F2B79">
      <w:pPr>
        <w:spacing w:line="0" w:lineRule="atLeast"/>
        <w:contextualSpacing/>
        <w:jc w:val="both"/>
        <w:rPr>
          <w:rFonts w:eastAsia="Arial Narrow" w:cs="Arial"/>
          <w:b/>
          <w:szCs w:val="20"/>
        </w:rPr>
      </w:pPr>
    </w:p>
    <w:p w14:paraId="6A3A1738" w14:textId="75B28284" w:rsidR="00FE461F" w:rsidRPr="005E4BEA" w:rsidRDefault="001F2B79" w:rsidP="00FE461F">
      <w:pPr>
        <w:spacing w:line="240" w:lineRule="auto"/>
        <w:jc w:val="both"/>
        <w:rPr>
          <w:rFonts w:cs="Arial"/>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00FE461F" w:rsidRPr="005E4BEA">
        <w:rPr>
          <w:rFonts w:cs="Arial"/>
          <w:szCs w:val="20"/>
        </w:rPr>
        <w:t>spremembe (7) odstavka 16. člena Priloge BOL:</w:t>
      </w:r>
    </w:p>
    <w:p w14:paraId="5199B102" w14:textId="77777777" w:rsidR="00FE461F" w:rsidRPr="005E4BEA" w:rsidRDefault="00FE461F" w:rsidP="00FE461F">
      <w:pPr>
        <w:spacing w:line="240" w:lineRule="auto"/>
        <w:jc w:val="both"/>
        <w:rPr>
          <w:rFonts w:cs="Arial"/>
          <w:szCs w:val="20"/>
        </w:rPr>
      </w:pPr>
      <w:r w:rsidRPr="005E4BEA">
        <w:rPr>
          <w:rFonts w:cs="Arial"/>
          <w:szCs w:val="20"/>
        </w:rPr>
        <w:t xml:space="preserve">(7) Premestitev zavarovane osebe med potekom specialistične bolnišnične obravnave </w:t>
      </w:r>
    </w:p>
    <w:p w14:paraId="102888A0" w14:textId="77777777" w:rsidR="00FE461F" w:rsidRPr="005E4BEA" w:rsidRDefault="00FE461F" w:rsidP="00FE461F">
      <w:pPr>
        <w:spacing w:line="240" w:lineRule="auto"/>
        <w:jc w:val="both"/>
        <w:rPr>
          <w:rFonts w:cs="Arial"/>
          <w:szCs w:val="20"/>
        </w:rPr>
      </w:pPr>
      <w:r w:rsidRPr="005E4BEA">
        <w:rPr>
          <w:rFonts w:cs="Arial"/>
          <w:szCs w:val="20"/>
        </w:rPr>
        <w:t xml:space="preserve">a) iz prvega na drugi oddelek pri istem izvajalcu: v kolikor gre za drugačno, nepovezano zdravstveno problematiko zaradi katere je bil pacient zdravljen na prvem oddelku in je nato zaradi novo nastale zdravstvene problematike premeščen na drugi oddelek, lahko SPP primer izvajalec zaračuna za vsako obravnavo posebej. </w:t>
      </w:r>
    </w:p>
    <w:p w14:paraId="7E0E0F01" w14:textId="77777777" w:rsidR="00FE461F" w:rsidRPr="005E4BEA" w:rsidRDefault="00FE461F" w:rsidP="00FE461F">
      <w:pPr>
        <w:spacing w:line="240" w:lineRule="auto"/>
        <w:jc w:val="both"/>
        <w:rPr>
          <w:rFonts w:cs="Arial"/>
          <w:szCs w:val="20"/>
        </w:rPr>
      </w:pPr>
      <w:r w:rsidRPr="005E4BEA">
        <w:rPr>
          <w:rFonts w:cs="Arial"/>
          <w:szCs w:val="20"/>
        </w:rPr>
        <w:t xml:space="preserve">b) od prvega k drugemu izvajalcu bolnišnične ali specialistične </w:t>
      </w:r>
      <w:proofErr w:type="spellStart"/>
      <w:r w:rsidRPr="005E4BEA">
        <w:rPr>
          <w:rFonts w:cs="Arial"/>
          <w:szCs w:val="20"/>
        </w:rPr>
        <w:t>zunajbolnišnične</w:t>
      </w:r>
      <w:proofErr w:type="spellEnd"/>
      <w:r w:rsidRPr="005E4BEA">
        <w:rPr>
          <w:rFonts w:cs="Arial"/>
          <w:szCs w:val="20"/>
        </w:rPr>
        <w:t xml:space="preserve"> dejavnosti.</w:t>
      </w:r>
    </w:p>
    <w:p w14:paraId="7C6291FF" w14:textId="77777777" w:rsidR="00FE461F" w:rsidRPr="005E4BEA" w:rsidRDefault="00FE461F" w:rsidP="00FE461F">
      <w:pPr>
        <w:spacing w:line="240" w:lineRule="auto"/>
        <w:jc w:val="both"/>
        <w:rPr>
          <w:rFonts w:cs="Arial"/>
          <w:szCs w:val="20"/>
        </w:rPr>
      </w:pPr>
      <w:r w:rsidRPr="005E4BEA">
        <w:rPr>
          <w:rFonts w:cs="Arial"/>
          <w:szCs w:val="20"/>
        </w:rPr>
        <w:t>1. Kadar izvajalec med bolnišnično obravnavo ugotovi, da so za odpravo zdravstvenega problema zavarovane osebe potrebni posegi, ki jih sam ne more izvesti, se z drugim izvajalcem, ki te posege izvaja, dogovori o premestitvi, in sicer med drugim tudi o tem kdo bo plačnik storitev glede na kriterije, opredeljene v tem odstavku, kdaj bo osebo premestil k drugemu izvajalcu, ali bo drugi izvajalec opravil le določene dogovorjene posege in osebo premestil nazaj k prvemu izvajalcu (začasna premestitev) ali pa bo drugi izvajalec v celoti izvedel še druge potrebne posege, tako da bo zaključil zdravljenje, ki se je začelo že pri prvem izvajalcu (dokončna premestitev).</w:t>
      </w:r>
    </w:p>
    <w:p w14:paraId="6C87CE8F" w14:textId="77777777" w:rsidR="00FE461F" w:rsidRPr="005E4BEA" w:rsidRDefault="00FE461F" w:rsidP="00FE461F">
      <w:pPr>
        <w:spacing w:line="240" w:lineRule="auto"/>
        <w:jc w:val="both"/>
        <w:rPr>
          <w:rFonts w:cs="Arial"/>
          <w:szCs w:val="20"/>
        </w:rPr>
      </w:pPr>
      <w:r w:rsidRPr="005E4BEA">
        <w:rPr>
          <w:rFonts w:cs="Arial"/>
          <w:szCs w:val="20"/>
        </w:rPr>
        <w:t>2. V primeru dokončne premestitve zavarovane osebe k drugemu izvajalcu, lahko prvi izvajalec primer bolnišnične obravnave obračuna že ob premestitvi v skladu s pravili kodiranja, saj bo drugi izvajalec zdravljenje zavarovane osebe zaključil v celoti. V primeru začasne premestitve prvi izvajalec po vrnitvi zavarovane osebe od drugega izvajalca nadaljuje zdravljenje zavarovane osebe v okviru iste obravnave (pred premestitvijo) in ob zaključku zdravljenja (hospitalizacije) obračuna en primer bolnišnične obravnave.</w:t>
      </w:r>
    </w:p>
    <w:p w14:paraId="310C2595" w14:textId="77777777" w:rsidR="00FE461F" w:rsidRPr="005E4BEA" w:rsidRDefault="00FE461F" w:rsidP="00FE461F">
      <w:pPr>
        <w:spacing w:line="240" w:lineRule="auto"/>
        <w:jc w:val="both"/>
        <w:rPr>
          <w:rFonts w:cs="Arial"/>
          <w:szCs w:val="20"/>
        </w:rPr>
      </w:pPr>
      <w:r w:rsidRPr="005E4BEA">
        <w:rPr>
          <w:rFonts w:cs="Arial"/>
          <w:szCs w:val="20"/>
        </w:rPr>
        <w:t>3. V primeru, da se zavarovana oseba vrne nazaj k prvemu izvajalcu:</w:t>
      </w:r>
    </w:p>
    <w:p w14:paraId="3A0A92AE" w14:textId="77777777" w:rsidR="00FE461F" w:rsidRPr="005E4BEA" w:rsidRDefault="00FE461F" w:rsidP="00FE461F">
      <w:pPr>
        <w:spacing w:line="240" w:lineRule="auto"/>
        <w:jc w:val="both"/>
        <w:rPr>
          <w:rFonts w:cs="Arial"/>
          <w:szCs w:val="20"/>
        </w:rPr>
      </w:pPr>
      <w:r w:rsidRPr="005E4BEA">
        <w:rPr>
          <w:rFonts w:cs="Arial"/>
          <w:szCs w:val="20"/>
        </w:rPr>
        <w:t>3.a) z isto zdravstveno problematiko vendar s pridruženim zapletom, ki pomembno vpliva na zdravljenje, ali z drugačno zdravstveno problematiko, si lahko prvi izvajalec obračuna tudi ta drugi SPP.</w:t>
      </w:r>
    </w:p>
    <w:p w14:paraId="42A9F6FA" w14:textId="77777777" w:rsidR="00FE461F" w:rsidRPr="005E4BEA" w:rsidRDefault="00FE461F" w:rsidP="00FE461F">
      <w:pPr>
        <w:spacing w:line="240" w:lineRule="auto"/>
        <w:jc w:val="both"/>
        <w:rPr>
          <w:rFonts w:cs="Arial"/>
          <w:szCs w:val="20"/>
        </w:rPr>
      </w:pPr>
      <w:r w:rsidRPr="005E4BEA">
        <w:rPr>
          <w:rFonts w:cs="Arial"/>
          <w:szCs w:val="20"/>
        </w:rPr>
        <w:t xml:space="preserve">3.b) zaradi iste zdravstvene problematike, si lahko prvi izvajalec obračuna realizirano število bolnišnično oskrbnih dni (BOD). V tem primeru lahko gre še vedno za nadaljevanje akutne bolnišnične obravnave pacienta, obračun teh BOD pa ni podvržen pravilom za obračun </w:t>
      </w:r>
      <w:proofErr w:type="spellStart"/>
      <w:r w:rsidRPr="005E4BEA">
        <w:rPr>
          <w:rFonts w:cs="Arial"/>
          <w:szCs w:val="20"/>
        </w:rPr>
        <w:t>neakutnih</w:t>
      </w:r>
      <w:proofErr w:type="spellEnd"/>
      <w:r w:rsidRPr="005E4BEA">
        <w:rPr>
          <w:rFonts w:cs="Arial"/>
          <w:szCs w:val="20"/>
        </w:rPr>
        <w:t xml:space="preserve"> bolnišničnih obravnav. Število BOD se v tem primeru lahko obračuna za epizode s trajanjem 1 dan ali več.</w:t>
      </w:r>
    </w:p>
    <w:p w14:paraId="0D749F87" w14:textId="77777777" w:rsidR="00FE461F" w:rsidRPr="005E4BEA" w:rsidRDefault="00FE461F" w:rsidP="00FE461F">
      <w:pPr>
        <w:spacing w:line="240" w:lineRule="auto"/>
        <w:jc w:val="both"/>
        <w:rPr>
          <w:rFonts w:cs="Arial"/>
          <w:szCs w:val="20"/>
        </w:rPr>
      </w:pPr>
      <w:r w:rsidRPr="005E4BEA">
        <w:rPr>
          <w:rFonts w:cs="Arial"/>
          <w:szCs w:val="20"/>
        </w:rPr>
        <w:t xml:space="preserve">4. Drugi izvajalec lahko zaračuna storitve v bolnišnični dejavnosti (če medicinska indikacija zahteva sprejem v bolnišnično obravnavo), storitve v specialistični </w:t>
      </w:r>
      <w:proofErr w:type="spellStart"/>
      <w:r w:rsidRPr="005E4BEA">
        <w:rPr>
          <w:rFonts w:cs="Arial"/>
          <w:szCs w:val="20"/>
        </w:rPr>
        <w:t>zunajbolnišnični</w:t>
      </w:r>
      <w:proofErr w:type="spellEnd"/>
      <w:r w:rsidRPr="005E4BEA">
        <w:rPr>
          <w:rFonts w:cs="Arial"/>
          <w:szCs w:val="20"/>
        </w:rPr>
        <w:t xml:space="preserve"> dejavnosti pa samo v naslednjih primerih:</w:t>
      </w:r>
    </w:p>
    <w:p w14:paraId="4E18B531" w14:textId="77777777" w:rsidR="00FE461F" w:rsidRPr="005E4BEA" w:rsidRDefault="00FE461F" w:rsidP="00FE461F">
      <w:pPr>
        <w:spacing w:line="240" w:lineRule="auto"/>
        <w:jc w:val="both"/>
        <w:rPr>
          <w:rFonts w:cs="Arial"/>
          <w:szCs w:val="20"/>
        </w:rPr>
      </w:pPr>
      <w:r w:rsidRPr="005E4BEA">
        <w:rPr>
          <w:rFonts w:cs="Arial"/>
          <w:szCs w:val="20"/>
        </w:rPr>
        <w:lastRenderedPageBreak/>
        <w:t></w:t>
      </w:r>
      <w:r w:rsidRPr="005E4BEA">
        <w:rPr>
          <w:rFonts w:cs="Arial"/>
          <w:szCs w:val="20"/>
        </w:rPr>
        <w:tab/>
        <w:t>če gre za storitve, ki niso v neposredni povezavi s sedanjo bolnišnično obravnavo (zavarovana oseba je bila nanje naročena že pred sprejemom v bolnišnično obravnavo prvega izvajalca);</w:t>
      </w:r>
    </w:p>
    <w:p w14:paraId="24EBE6A7" w14:textId="77777777" w:rsidR="00FE461F" w:rsidRPr="005E4BEA" w:rsidRDefault="00FE461F" w:rsidP="00FE461F">
      <w:pPr>
        <w:spacing w:line="240" w:lineRule="auto"/>
        <w:jc w:val="both"/>
        <w:rPr>
          <w:rFonts w:cs="Arial"/>
          <w:szCs w:val="20"/>
        </w:rPr>
      </w:pPr>
      <w:r w:rsidRPr="005E4BEA">
        <w:rPr>
          <w:rFonts w:cs="Arial"/>
          <w:szCs w:val="20"/>
        </w:rPr>
        <w:t></w:t>
      </w:r>
      <w:r w:rsidRPr="005E4BEA">
        <w:rPr>
          <w:rFonts w:cs="Arial"/>
          <w:szCs w:val="20"/>
        </w:rPr>
        <w:tab/>
        <w:t>če gre za storitve, ki so sicer v neposredni povezavi s sedanjo bolnišnično obravnavo, vendar jih prvi izvajalec ne izvaja (storitev izvajajo le redki izvajalci ali pa je storitev iz vrste zdravstvene dejavnosti, ki je prvi izvajalec nima registrirane).</w:t>
      </w:r>
    </w:p>
    <w:p w14:paraId="08FC63F2" w14:textId="77777777" w:rsidR="00FE461F" w:rsidRPr="005E4BEA" w:rsidRDefault="00FE461F" w:rsidP="00FE461F">
      <w:pPr>
        <w:spacing w:line="240" w:lineRule="auto"/>
        <w:jc w:val="both"/>
        <w:rPr>
          <w:rFonts w:cs="Arial"/>
          <w:szCs w:val="20"/>
        </w:rPr>
      </w:pPr>
      <w:r w:rsidRPr="005E4BEA">
        <w:rPr>
          <w:rFonts w:cs="Arial"/>
          <w:szCs w:val="20"/>
        </w:rPr>
        <w:t>V vseh drugih primerih rutinskih terapevtskih ali diagnostičnih storitev (na primer CT, MR, RTG, UZ …) drugi izvajalec storitve zaračuna prvemu izvajalcu po načelu naročnik je plačnik, saj so te že zajete v ceni bolnišnične obravnave.</w:t>
      </w:r>
    </w:p>
    <w:p w14:paraId="5592F522" w14:textId="77777777" w:rsidR="00FE461F" w:rsidRPr="005E4BEA" w:rsidRDefault="00FE461F" w:rsidP="00FE461F">
      <w:pPr>
        <w:spacing w:line="240" w:lineRule="auto"/>
        <w:jc w:val="both"/>
        <w:rPr>
          <w:rFonts w:cs="Arial"/>
          <w:color w:val="FF0000"/>
          <w:szCs w:val="20"/>
        </w:rPr>
      </w:pPr>
    </w:p>
    <w:p w14:paraId="01D2F85D" w14:textId="77777777" w:rsidR="00FE461F" w:rsidRPr="005E4BEA" w:rsidRDefault="00FE461F" w:rsidP="00FE461F">
      <w:pPr>
        <w:spacing w:line="240" w:lineRule="auto"/>
        <w:jc w:val="both"/>
        <w:rPr>
          <w:rFonts w:eastAsia="Calibri" w:cs="Arial"/>
          <w:b/>
          <w:bCs/>
          <w:i/>
          <w:iCs/>
          <w:color w:val="808080" w:themeColor="background1" w:themeShade="80"/>
          <w:szCs w:val="20"/>
          <w:u w:val="single"/>
        </w:rPr>
      </w:pPr>
      <w:r w:rsidRPr="005E4BEA">
        <w:rPr>
          <w:rFonts w:eastAsia="Calibri" w:cs="Arial"/>
          <w:b/>
          <w:bCs/>
          <w:i/>
          <w:iCs/>
          <w:color w:val="808080" w:themeColor="background1" w:themeShade="80"/>
          <w:szCs w:val="20"/>
          <w:u w:val="single"/>
        </w:rPr>
        <w:t>Obrazložitev:</w:t>
      </w:r>
    </w:p>
    <w:p w14:paraId="158EC78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(7) odstavek 16. člena priloge BOL k Splošnem dogovoru 2021 in poglavje 3.5.5 Navodila o beleženju in obračunavanju zdravstvenih storitev in izdanih materialov. Navodila zahtevajo, da se moramo, ko tekom bolnišnične obravnave ugotovimo, da so za odpravo zdravstvenega problema pacienta potrebni posegi, ki jih sami ne moremo izvesti, z drugim izvajalcem, ki te posege izvaja, dogovoriti o premestitvi in sicer med drugim tudi o tem kdo bo plačnik storitev glede na kriterije, opredeljene v tem odstavku, kdaj bo osebo premestil k drugemu izvajalcu, ali bo drugi izvajalec opravil le določene dogovorjene posege in osebo premestil nazaj k prvemu izvajalcu (začasna premestitev) ali pa bo drugi izvajalec v celoti izvedel še druge potrebne posege, tako da bo zaključil zdravljenje, ki se je začelo že pri prvem izvajalcu (dokončna premestitev). </w:t>
      </w:r>
    </w:p>
    <w:p w14:paraId="218A35C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slednjem primeru, ko gre za dokončno premestitev, zaključimo zdravljenje in obračunamo SPP. Večinoma je v primerih dokončne premestitve k drugemu izvajalcu predviden odpust v domov po opravljeni oskrbi. Prvi izvajalec je pacienta odpustil in obračunal ustrezni SPP. Dogaja pa se, da se zdravstveno stanje osebe poslabša zaradi nenačrtovanih komplikacij, infekcij. Druga ustanova se običajno dogovori z osebo in prvo ustanovo za premestitev na nadaljnje zdravljenje, pri tem pa mora prva ustanova popraviti že obračunane storitve, čeprav ponoven sprejem ni več v povezavi s prvotno obravnavo. Zaradi časovnega razkoraka med odpustom in sprejemom, ki včasih predstavlja tudi mesec dni ali celo več, lahko pride tudi do povsem nenamernega dvojnega obračuna primerov. </w:t>
      </w:r>
    </w:p>
    <w:p w14:paraId="4E3EF88D" w14:textId="77777777" w:rsidR="00FE461F" w:rsidRPr="005E4BEA" w:rsidRDefault="00FE461F" w:rsidP="00FE461F">
      <w:pPr>
        <w:spacing w:line="240" w:lineRule="auto"/>
        <w:jc w:val="both"/>
        <w:rPr>
          <w:rFonts w:cs="Arial"/>
          <w:i/>
          <w:iCs/>
          <w:color w:val="808080" w:themeColor="background1" w:themeShade="80"/>
          <w:szCs w:val="20"/>
          <w:u w:val="single"/>
        </w:rPr>
      </w:pPr>
      <w:r w:rsidRPr="005E4BEA">
        <w:rPr>
          <w:rFonts w:cs="Arial"/>
          <w:i/>
          <w:iCs/>
          <w:color w:val="808080" w:themeColor="background1" w:themeShade="80"/>
          <w:szCs w:val="20"/>
        </w:rPr>
        <w:t xml:space="preserve">Opozoriti želimo, da zgoraj predstavljeno določilo ni le v praksi težko izvedljivo, ampak je tudi izrazito krivično. </w:t>
      </w:r>
      <w:r w:rsidRPr="005E4BEA">
        <w:rPr>
          <w:rFonts w:cs="Arial"/>
          <w:i/>
          <w:iCs/>
          <w:color w:val="808080" w:themeColor="background1" w:themeShade="80"/>
          <w:szCs w:val="20"/>
          <w:u w:val="single"/>
        </w:rPr>
        <w:t>V kolikor ima izvajalec različne oddelke, plačnik ne priznava obračuna dveh SPP primerov, tudi če je šlo za dve popolnoma različni diagnozi, zaradi katerih je bil pacient zdravljen. V kolikor bi imel določen izvajalec zgolj en oddelek in bi bil takšen pacient premeščen zato k drugemu izvajalcu, ki izvaja bolnišnično oskrbo za drugo vrsto specialnosti, pa je z vidika pravil in plačnika to povsem pravilno in korektno…</w:t>
      </w:r>
    </w:p>
    <w:p w14:paraId="60D2157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Zato predlagamo, da se problematika obračunavanja storitev pri premestitvah doreče bolje, predvsem bolj pošteno, saj je praviloma predmet spora med nadzorniki in izvajalci pri izvedbi finančno medicinskim nadzorov.</w:t>
      </w:r>
    </w:p>
    <w:p w14:paraId="768E1A58" w14:textId="77777777" w:rsidR="00FE461F" w:rsidRPr="005E4BEA" w:rsidRDefault="00FE461F" w:rsidP="00FE461F">
      <w:pPr>
        <w:spacing w:line="240" w:lineRule="auto"/>
        <w:jc w:val="both"/>
        <w:rPr>
          <w:rFonts w:cs="Arial"/>
          <w:i/>
          <w:iCs/>
          <w:color w:val="808080" w:themeColor="background1" w:themeShade="80"/>
          <w:szCs w:val="20"/>
        </w:rPr>
      </w:pPr>
    </w:p>
    <w:p w14:paraId="449590F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PREDLAGANE SPREMEMBE:</w:t>
      </w:r>
    </w:p>
    <w:p w14:paraId="38E6217A" w14:textId="77777777" w:rsidR="00FE461F" w:rsidRPr="005E4BEA" w:rsidRDefault="00FE461F" w:rsidP="00FE461F">
      <w:pPr>
        <w:spacing w:line="240" w:lineRule="auto"/>
        <w:jc w:val="both"/>
        <w:rPr>
          <w:rFonts w:cs="Arial"/>
          <w:i/>
          <w:iCs/>
          <w:color w:val="808080" w:themeColor="background1" w:themeShade="80"/>
          <w:szCs w:val="20"/>
        </w:rPr>
      </w:pPr>
    </w:p>
    <w:p w14:paraId="6F9F1A7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učinki: S potrebnimi podatki za izračun finančnih posledic za zdravstveni sistem ne razpolagamo</w:t>
      </w:r>
    </w:p>
    <w:p w14:paraId="45C621B7" w14:textId="5C45EC33" w:rsidR="00FE461F" w:rsidRPr="005E4BEA" w:rsidRDefault="00FE461F" w:rsidP="00FE461F">
      <w:pPr>
        <w:spacing w:line="240" w:lineRule="auto"/>
        <w:jc w:val="both"/>
        <w:rPr>
          <w:rFonts w:cs="Arial"/>
          <w:i/>
          <w:iCs/>
          <w:color w:val="808080" w:themeColor="background1" w:themeShade="80"/>
          <w:szCs w:val="20"/>
        </w:rPr>
      </w:pPr>
    </w:p>
    <w:p w14:paraId="01835040" w14:textId="25AA540F" w:rsidR="001F2B79" w:rsidRPr="005E4BEA" w:rsidRDefault="001F2B79" w:rsidP="00FE461F">
      <w:pPr>
        <w:spacing w:line="240" w:lineRule="auto"/>
        <w:jc w:val="both"/>
        <w:rPr>
          <w:rFonts w:cs="Arial"/>
          <w:i/>
          <w:iCs/>
          <w:color w:val="808080" w:themeColor="background1" w:themeShade="80"/>
          <w:szCs w:val="20"/>
        </w:rPr>
      </w:pPr>
    </w:p>
    <w:p w14:paraId="29DC5626"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04E1AB57" w14:textId="77777777" w:rsidR="001F2B79" w:rsidRPr="005E4BEA" w:rsidRDefault="001F2B79" w:rsidP="001F2B79">
      <w:pPr>
        <w:spacing w:line="0" w:lineRule="atLeast"/>
        <w:jc w:val="both"/>
        <w:rPr>
          <w:rFonts w:eastAsia="Arial Narrow" w:cs="Arial"/>
          <w:szCs w:val="20"/>
          <w:lang w:eastAsia="sl-SI"/>
        </w:rPr>
      </w:pPr>
    </w:p>
    <w:p w14:paraId="6076D4ED"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49D35FA7" w14:textId="77777777" w:rsidR="001F2B79" w:rsidRPr="005E4BEA" w:rsidRDefault="001F2B79" w:rsidP="001F2B79">
      <w:pPr>
        <w:spacing w:line="240" w:lineRule="auto"/>
        <w:jc w:val="both"/>
        <w:rPr>
          <w:rFonts w:cs="Arial"/>
          <w:i/>
          <w:iCs/>
          <w:color w:val="767171"/>
          <w:szCs w:val="20"/>
        </w:rPr>
      </w:pPr>
    </w:p>
    <w:p w14:paraId="4D0959D7" w14:textId="77777777" w:rsidR="001F2B79" w:rsidRPr="005E4BEA" w:rsidRDefault="001F2B79" w:rsidP="001F2B79">
      <w:pPr>
        <w:spacing w:line="240" w:lineRule="auto"/>
        <w:jc w:val="both"/>
        <w:rPr>
          <w:rFonts w:cs="Arial"/>
          <w:i/>
          <w:iCs/>
          <w:color w:val="767171"/>
          <w:szCs w:val="20"/>
        </w:rPr>
      </w:pPr>
    </w:p>
    <w:p w14:paraId="7AC87494" w14:textId="19A621EF"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(153)</w:t>
      </w:r>
    </w:p>
    <w:p w14:paraId="772D4C0C" w14:textId="77777777" w:rsidR="001F2B79" w:rsidRPr="005E4BEA" w:rsidRDefault="001F2B79" w:rsidP="001F2B79">
      <w:pPr>
        <w:spacing w:line="0" w:lineRule="atLeast"/>
        <w:contextualSpacing/>
        <w:jc w:val="both"/>
        <w:rPr>
          <w:rFonts w:eastAsia="Arial Narrow" w:cs="Arial"/>
          <w:b/>
          <w:szCs w:val="20"/>
        </w:rPr>
      </w:pPr>
    </w:p>
    <w:p w14:paraId="7480F0E3" w14:textId="604996C8"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bCs/>
          <w:szCs w:val="20"/>
        </w:rPr>
        <w:t>poglavje III. Posebnosti pri obračunavanju zdravstvenih storitev  v 16. členu v (9) odstavku dodata novi alineji c.) in č.), ki se glasita:</w:t>
      </w:r>
    </w:p>
    <w:p w14:paraId="11A61786" w14:textId="77777777" w:rsidR="00FE461F" w:rsidRPr="005E4BEA" w:rsidRDefault="00FE461F" w:rsidP="00FE461F">
      <w:pPr>
        <w:spacing w:line="240" w:lineRule="auto"/>
        <w:jc w:val="both"/>
        <w:rPr>
          <w:rFonts w:cs="Arial"/>
          <w:iCs/>
          <w:szCs w:val="20"/>
        </w:rPr>
      </w:pPr>
      <w:r w:rsidRPr="005E4BEA">
        <w:rPr>
          <w:rFonts w:cs="Arial"/>
          <w:iCs/>
          <w:szCs w:val="20"/>
        </w:rPr>
        <w:lastRenderedPageBreak/>
        <w:t>c.) Ob obračunu endoskopske preiskave z biopsijo v dnevni obravnavi (SPP G41B, G42B, G44C in G45B*), ki je uvedena izključno zaradi endoskopske preiskave se lahko poleg bolnišničnega primera v pediatrični dejavnosti obračuna tudi patološke, citološke preiskave v zvezi z izvedeno storitvijo (E0259).</w:t>
      </w:r>
    </w:p>
    <w:p w14:paraId="2BE12841" w14:textId="77777777" w:rsidR="00FE461F" w:rsidRPr="005E4BEA" w:rsidRDefault="00FE461F" w:rsidP="00FE461F">
      <w:pPr>
        <w:spacing w:line="240" w:lineRule="auto"/>
        <w:jc w:val="both"/>
        <w:rPr>
          <w:rFonts w:cs="Arial"/>
          <w:iCs/>
          <w:szCs w:val="20"/>
        </w:rPr>
      </w:pPr>
      <w:r w:rsidRPr="005E4BEA">
        <w:rPr>
          <w:rFonts w:cs="Arial"/>
          <w:iCs/>
          <w:szCs w:val="20"/>
        </w:rPr>
        <w:t>č.)  Ob obračunu  ledvične biopsije v hospitalni obravnavi, se lahko poleg bolnišničnega primera obračuna tudi strošek ledvične biopsije.</w:t>
      </w:r>
    </w:p>
    <w:p w14:paraId="77D1FE68" w14:textId="77777777" w:rsidR="00FE461F" w:rsidRPr="005E4BEA" w:rsidRDefault="00FE461F" w:rsidP="00FE461F">
      <w:pPr>
        <w:spacing w:line="240" w:lineRule="auto"/>
        <w:jc w:val="both"/>
        <w:rPr>
          <w:rFonts w:cs="Arial"/>
          <w:iCs/>
          <w:szCs w:val="20"/>
        </w:rPr>
      </w:pPr>
    </w:p>
    <w:p w14:paraId="4E19CFD8"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F47793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ad c.) Utež navedenih SPP-</w:t>
      </w:r>
      <w:proofErr w:type="spellStart"/>
      <w:r w:rsidRPr="005E4BEA">
        <w:rPr>
          <w:rFonts w:cs="Arial"/>
          <w:i/>
          <w:iCs/>
          <w:color w:val="808080" w:themeColor="background1" w:themeShade="80"/>
          <w:szCs w:val="20"/>
        </w:rPr>
        <w:t>ev</w:t>
      </w:r>
      <w:proofErr w:type="spellEnd"/>
      <w:r w:rsidRPr="005E4BEA">
        <w:rPr>
          <w:rFonts w:cs="Arial"/>
          <w:i/>
          <w:iCs/>
          <w:color w:val="808080" w:themeColor="background1" w:themeShade="80"/>
          <w:szCs w:val="20"/>
        </w:rPr>
        <w:t xml:space="preserve"> je prenizka za kritje stroškov </w:t>
      </w:r>
      <w:proofErr w:type="spellStart"/>
      <w:r w:rsidRPr="005E4BEA">
        <w:rPr>
          <w:rFonts w:cs="Arial"/>
          <w:i/>
          <w:iCs/>
          <w:color w:val="808080" w:themeColor="background1" w:themeShade="80"/>
          <w:szCs w:val="20"/>
        </w:rPr>
        <w:t>patohistoloških</w:t>
      </w:r>
      <w:proofErr w:type="spellEnd"/>
      <w:r w:rsidRPr="005E4BEA">
        <w:rPr>
          <w:rFonts w:cs="Arial"/>
          <w:i/>
          <w:iCs/>
          <w:color w:val="808080" w:themeColor="background1" w:themeShade="80"/>
          <w:szCs w:val="20"/>
        </w:rPr>
        <w:t xml:space="preserve"> in citoloških preiskav. Uteži se gibljejo med 0,26 do 0,34 uteži. Za razliko od bolnišničnih se pri endoskopskih preiskavah, ki se izvajajo v ambulantni dejavnosti </w:t>
      </w:r>
      <w:proofErr w:type="spellStart"/>
      <w:r w:rsidRPr="005E4BEA">
        <w:rPr>
          <w:rFonts w:cs="Arial"/>
          <w:i/>
          <w:iCs/>
          <w:color w:val="808080" w:themeColor="background1" w:themeShade="80"/>
          <w:szCs w:val="20"/>
        </w:rPr>
        <w:t>patohistološke</w:t>
      </w:r>
      <w:proofErr w:type="spellEnd"/>
      <w:r w:rsidRPr="005E4BEA">
        <w:rPr>
          <w:rFonts w:cs="Arial"/>
          <w:i/>
          <w:iCs/>
          <w:color w:val="808080" w:themeColor="background1" w:themeShade="80"/>
          <w:szCs w:val="20"/>
        </w:rPr>
        <w:t xml:space="preserve"> in citološke preiskave obračunajo posebej, kot E0259. V bolnišnični – dnevni obravnavi v pediatriji pa tega ni mogoče obračunati, čeprav je obravnava bolnišničnega tipa pri teh pacientih uvedena zaradi opazovanja po sedaciji/anesteziji, ker storitev pri otroku ni mogoče drugače izvesti. Menimo, da je nesprejemljivo, da bi bil izvajalec endoskopske preiskave pri otrocih v dnevni obravnavi prikrajšan za povračilo stroškov storitev E0259. </w:t>
      </w:r>
    </w:p>
    <w:p w14:paraId="04032F5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Ad č) Utež navedenih SPP-</w:t>
      </w:r>
      <w:proofErr w:type="spellStart"/>
      <w:r w:rsidRPr="005E4BEA">
        <w:rPr>
          <w:rFonts w:cs="Arial"/>
          <w:i/>
          <w:iCs/>
          <w:color w:val="808080" w:themeColor="background1" w:themeShade="80"/>
          <w:szCs w:val="20"/>
        </w:rPr>
        <w:t>ev</w:t>
      </w:r>
      <w:proofErr w:type="spellEnd"/>
      <w:r w:rsidRPr="005E4BEA">
        <w:rPr>
          <w:rFonts w:cs="Arial"/>
          <w:i/>
          <w:iCs/>
          <w:color w:val="808080" w:themeColor="background1" w:themeShade="80"/>
          <w:szCs w:val="20"/>
        </w:rPr>
        <w:t xml:space="preserve"> je prenizka za kritje stroškov hospitalne izvedbe ledvične biopsije </w:t>
      </w:r>
      <w:proofErr w:type="spellStart"/>
      <w:r w:rsidRPr="005E4BEA">
        <w:rPr>
          <w:rFonts w:cs="Arial"/>
          <w:i/>
          <w:iCs/>
          <w:color w:val="808080" w:themeColor="background1" w:themeShade="80"/>
          <w:szCs w:val="20"/>
        </w:rPr>
        <w:t>nativnih</w:t>
      </w:r>
      <w:proofErr w:type="spellEnd"/>
      <w:r w:rsidRPr="005E4BEA">
        <w:rPr>
          <w:rFonts w:cs="Arial"/>
          <w:i/>
          <w:iCs/>
          <w:color w:val="808080" w:themeColor="background1" w:themeShade="80"/>
          <w:szCs w:val="20"/>
        </w:rPr>
        <w:t xml:space="preserve"> ledvic ali presajene ledvice. Ledvična biopsija je med najdražjimi histološkimi preiskavami zaradi invazivnosti posega, motenj v </w:t>
      </w:r>
      <w:proofErr w:type="spellStart"/>
      <w:r w:rsidRPr="005E4BEA">
        <w:rPr>
          <w:rFonts w:cs="Arial"/>
          <w:i/>
          <w:iCs/>
          <w:color w:val="808080" w:themeColor="background1" w:themeShade="80"/>
          <w:szCs w:val="20"/>
        </w:rPr>
        <w:t>hemostazi</w:t>
      </w:r>
      <w:proofErr w:type="spellEnd"/>
      <w:r w:rsidRPr="005E4BEA">
        <w:rPr>
          <w:rFonts w:cs="Arial"/>
          <w:i/>
          <w:iCs/>
          <w:color w:val="808080" w:themeColor="background1" w:themeShade="80"/>
          <w:szCs w:val="20"/>
        </w:rPr>
        <w:t xml:space="preserve"> pri bolnikih z akutno ali kronično ledvično boleznijo in predvsem kompleksnosti potrebnih številnih dragih </w:t>
      </w:r>
      <w:proofErr w:type="spellStart"/>
      <w:r w:rsidRPr="005E4BEA">
        <w:rPr>
          <w:rFonts w:cs="Arial"/>
          <w:i/>
          <w:iCs/>
          <w:color w:val="808080" w:themeColor="background1" w:themeShade="80"/>
          <w:szCs w:val="20"/>
        </w:rPr>
        <w:t>patohistoloških</w:t>
      </w:r>
      <w:proofErr w:type="spellEnd"/>
      <w:r w:rsidRPr="005E4BEA">
        <w:rPr>
          <w:rFonts w:cs="Arial"/>
          <w:i/>
          <w:iCs/>
          <w:color w:val="808080" w:themeColor="background1" w:themeShade="80"/>
          <w:szCs w:val="20"/>
        </w:rPr>
        <w:t xml:space="preserve"> analiz v okviru biopsije. Ker gre za invaziven poseg z možnimi zapleti, se praviloma opravlja hospitalno, vendar višina uteži (praviloma 0,71 do 1,51) ne omogoča niti plačila opravljene storitve in ne stroškov obravnave bolnikov z opazovanjem in nadzorom, s katerim zagotavljamo varno izvedbo posega, da bi čim prej uvedli usmerjeno zdravljenje za preprečevanje nastanka končne odpovedi ledvic s potrebo po nadomestnem dializnem zdravljenju, ki je med najdražjimi oblikami zdravljenja. Ambulantnega opravljanja ledvičnih biopsij </w:t>
      </w:r>
      <w:proofErr w:type="spellStart"/>
      <w:r w:rsidRPr="005E4BEA">
        <w:rPr>
          <w:rFonts w:cs="Arial"/>
          <w:i/>
          <w:iCs/>
          <w:color w:val="808080" w:themeColor="background1" w:themeShade="80"/>
          <w:szCs w:val="20"/>
        </w:rPr>
        <w:t>nativnih</w:t>
      </w:r>
      <w:proofErr w:type="spellEnd"/>
      <w:r w:rsidRPr="005E4BEA">
        <w:rPr>
          <w:rFonts w:cs="Arial"/>
          <w:i/>
          <w:iCs/>
          <w:color w:val="808080" w:themeColor="background1" w:themeShade="80"/>
          <w:szCs w:val="20"/>
        </w:rPr>
        <w:t xml:space="preserve"> ledvic in zapletenih biopsij presajene ledvice ni mogoče izvesti zaradi zagotavljanja varnosti bolnikov, čeprav so ambulantno izvedene  </w:t>
      </w:r>
      <w:proofErr w:type="spellStart"/>
      <w:r w:rsidRPr="005E4BEA">
        <w:rPr>
          <w:rFonts w:cs="Arial"/>
          <w:i/>
          <w:iCs/>
          <w:color w:val="808080" w:themeColor="background1" w:themeShade="80"/>
          <w:szCs w:val="20"/>
        </w:rPr>
        <w:t>biopsijske</w:t>
      </w:r>
      <w:proofErr w:type="spellEnd"/>
      <w:r w:rsidRPr="005E4BEA">
        <w:rPr>
          <w:rFonts w:cs="Arial"/>
          <w:i/>
          <w:iCs/>
          <w:color w:val="808080" w:themeColor="background1" w:themeShade="80"/>
          <w:szCs w:val="20"/>
        </w:rPr>
        <w:t xml:space="preserve"> storitve plačane, kar nas kot izvajalca teh posegov postavlja v neenakopraven položaj v primerjavi z drugimi ambulantnimi biopsijami in prinaša neizogibno finančno izgubo.</w:t>
      </w:r>
    </w:p>
    <w:p w14:paraId="093B109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148.000 eur letno za patološke, citološke preiskave v pediatriji (E0259) in 360.000 eur letno za 150 ledvičnih biopsij v hospitalni dejavnosti.</w:t>
      </w:r>
    </w:p>
    <w:p w14:paraId="39F751DC" w14:textId="022A543F" w:rsidR="00FE461F" w:rsidRPr="005E4BEA" w:rsidRDefault="00FE461F" w:rsidP="00FE461F">
      <w:pPr>
        <w:spacing w:line="240" w:lineRule="auto"/>
        <w:jc w:val="both"/>
        <w:rPr>
          <w:rFonts w:cs="Arial"/>
          <w:i/>
          <w:iCs/>
          <w:color w:val="808080" w:themeColor="background1" w:themeShade="80"/>
          <w:szCs w:val="20"/>
        </w:rPr>
      </w:pPr>
    </w:p>
    <w:p w14:paraId="2CEEA358" w14:textId="59FD321F" w:rsidR="001F2B79" w:rsidRPr="005E4BEA" w:rsidRDefault="001F2B79" w:rsidP="00FE461F">
      <w:pPr>
        <w:spacing w:line="240" w:lineRule="auto"/>
        <w:jc w:val="both"/>
        <w:rPr>
          <w:rFonts w:cs="Arial"/>
          <w:i/>
          <w:iCs/>
          <w:color w:val="808080" w:themeColor="background1" w:themeShade="80"/>
          <w:szCs w:val="20"/>
        </w:rPr>
      </w:pPr>
    </w:p>
    <w:p w14:paraId="717FA820"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961CC56" w14:textId="77777777" w:rsidR="001F2B79" w:rsidRPr="005E4BEA" w:rsidRDefault="001F2B79" w:rsidP="001F2B79">
      <w:pPr>
        <w:spacing w:line="0" w:lineRule="atLeast"/>
        <w:jc w:val="both"/>
        <w:rPr>
          <w:rFonts w:eastAsia="Arial Narrow" w:cs="Arial"/>
          <w:szCs w:val="20"/>
          <w:lang w:eastAsia="sl-SI"/>
        </w:rPr>
      </w:pPr>
    </w:p>
    <w:p w14:paraId="47E8CAB2" w14:textId="7777777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48B4E522" w14:textId="77777777" w:rsidR="001F2B79" w:rsidRPr="005E4BEA" w:rsidRDefault="001F2B79" w:rsidP="001F2B79">
      <w:pPr>
        <w:spacing w:line="240" w:lineRule="auto"/>
        <w:jc w:val="both"/>
        <w:rPr>
          <w:rFonts w:cs="Arial"/>
          <w:i/>
          <w:iCs/>
          <w:color w:val="767171"/>
          <w:szCs w:val="20"/>
        </w:rPr>
      </w:pPr>
    </w:p>
    <w:p w14:paraId="5EC7145A" w14:textId="77777777" w:rsidR="001F2B79" w:rsidRPr="005E4BEA" w:rsidRDefault="001F2B79" w:rsidP="001F2B79">
      <w:pPr>
        <w:spacing w:line="240" w:lineRule="auto"/>
        <w:jc w:val="both"/>
        <w:rPr>
          <w:rFonts w:cs="Arial"/>
          <w:i/>
          <w:iCs/>
          <w:color w:val="767171"/>
          <w:szCs w:val="20"/>
        </w:rPr>
      </w:pPr>
    </w:p>
    <w:p w14:paraId="1664BA15" w14:textId="7F2E0901" w:rsidR="001F2B79" w:rsidRPr="005E4BEA" w:rsidRDefault="001F2B79" w:rsidP="00F356C9">
      <w:pPr>
        <w:pStyle w:val="Naslov2"/>
        <w:numPr>
          <w:ilvl w:val="0"/>
          <w:numId w:val="79"/>
        </w:numPr>
        <w:ind w:left="0" w:firstLine="0"/>
        <w:rPr>
          <w:rFonts w:ascii="Arial" w:eastAsia="Arial Narrow" w:hAnsi="Arial" w:cs="Arial"/>
          <w:sz w:val="20"/>
        </w:rPr>
      </w:pPr>
      <w:bookmarkStart w:id="169" w:name="_Hlk102031363"/>
      <w:r w:rsidRPr="005E4BEA">
        <w:rPr>
          <w:rFonts w:ascii="Arial" w:eastAsia="Arial Narrow" w:hAnsi="Arial" w:cs="Arial"/>
          <w:sz w:val="20"/>
        </w:rPr>
        <w:t>SPORNO VPRAŠANJE (154)</w:t>
      </w:r>
    </w:p>
    <w:p w14:paraId="314374FF" w14:textId="77777777" w:rsidR="001F2B79" w:rsidRPr="005E4BEA" w:rsidRDefault="001F2B79" w:rsidP="001F2B79">
      <w:pPr>
        <w:spacing w:line="0" w:lineRule="atLeast"/>
        <w:contextualSpacing/>
        <w:jc w:val="both"/>
        <w:rPr>
          <w:rFonts w:eastAsia="Arial Narrow" w:cs="Arial"/>
          <w:b/>
          <w:szCs w:val="20"/>
        </w:rPr>
      </w:pPr>
    </w:p>
    <w:p w14:paraId="1F75DF82" w14:textId="4D12BCBD"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BOL </w:t>
      </w:r>
      <w:r w:rsidR="00FE461F" w:rsidRPr="005E4BEA">
        <w:rPr>
          <w:rFonts w:cs="Arial"/>
          <w:bCs/>
          <w:szCs w:val="20"/>
        </w:rPr>
        <w:t xml:space="preserve">v poglavju 2.2 </w:t>
      </w:r>
      <w:proofErr w:type="spellStart"/>
      <w:r w:rsidR="00FE461F" w:rsidRPr="005E4BEA">
        <w:rPr>
          <w:rFonts w:cs="Arial"/>
          <w:bCs/>
          <w:szCs w:val="20"/>
        </w:rPr>
        <w:t>Neakutna</w:t>
      </w:r>
      <w:proofErr w:type="spellEnd"/>
      <w:r w:rsidR="00FE461F" w:rsidRPr="005E4BEA">
        <w:rPr>
          <w:rFonts w:cs="Arial"/>
          <w:bCs/>
          <w:szCs w:val="20"/>
        </w:rPr>
        <w:t xml:space="preserve"> bolnišnična obravnava se doda nov odstavek:</w:t>
      </w:r>
    </w:p>
    <w:p w14:paraId="080C32AE" w14:textId="77777777" w:rsidR="00FE461F" w:rsidRPr="005E4BEA" w:rsidRDefault="00FE461F" w:rsidP="00FE461F">
      <w:pPr>
        <w:spacing w:line="240" w:lineRule="auto"/>
        <w:jc w:val="both"/>
        <w:rPr>
          <w:rFonts w:cs="Arial"/>
          <w:iCs/>
          <w:szCs w:val="20"/>
        </w:rPr>
      </w:pPr>
      <w:r w:rsidRPr="005E4BEA">
        <w:rPr>
          <w:rFonts w:cs="Arial"/>
          <w:iCs/>
          <w:szCs w:val="20"/>
        </w:rPr>
        <w:t xml:space="preserve">Uvedba internistične ali kirurške terapije v času </w:t>
      </w:r>
      <w:proofErr w:type="spellStart"/>
      <w:r w:rsidRPr="005E4BEA">
        <w:rPr>
          <w:rFonts w:cs="Arial"/>
          <w:iCs/>
          <w:szCs w:val="20"/>
        </w:rPr>
        <w:t>neakutne</w:t>
      </w:r>
      <w:proofErr w:type="spellEnd"/>
      <w:r w:rsidRPr="005E4BEA">
        <w:rPr>
          <w:rFonts w:cs="Arial"/>
          <w:iCs/>
          <w:szCs w:val="20"/>
        </w:rPr>
        <w:t xml:space="preserve"> psihiatrične obravnave ni razlog za izključitev iz </w:t>
      </w:r>
      <w:proofErr w:type="spellStart"/>
      <w:r w:rsidRPr="005E4BEA">
        <w:rPr>
          <w:rFonts w:cs="Arial"/>
          <w:iCs/>
          <w:szCs w:val="20"/>
        </w:rPr>
        <w:t>neakutne</w:t>
      </w:r>
      <w:proofErr w:type="spellEnd"/>
      <w:r w:rsidRPr="005E4BEA">
        <w:rPr>
          <w:rFonts w:cs="Arial"/>
          <w:iCs/>
          <w:szCs w:val="20"/>
        </w:rPr>
        <w:t xml:space="preserve"> psihiatrične obravnave.</w:t>
      </w:r>
    </w:p>
    <w:p w14:paraId="5700F661" w14:textId="77777777" w:rsidR="00FE461F" w:rsidRPr="005E4BEA" w:rsidRDefault="00FE461F" w:rsidP="00FE461F">
      <w:pPr>
        <w:spacing w:line="240" w:lineRule="auto"/>
        <w:jc w:val="both"/>
        <w:rPr>
          <w:rFonts w:cs="Arial"/>
          <w:iCs/>
          <w:szCs w:val="20"/>
        </w:rPr>
      </w:pPr>
    </w:p>
    <w:p w14:paraId="5AF8D7C7"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177AE6C1"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Pacient je v psihiatrično bolnišnico sprejet v akutni fazi psihiatrične bolezni. Ko se tekom hospitalizacije akutno psihiatrično stanje uredi, se lahko pacienta iz različnih razlogov premesti v </w:t>
      </w:r>
      <w:proofErr w:type="spellStart"/>
      <w:r w:rsidRPr="005E4BEA">
        <w:rPr>
          <w:rFonts w:cs="Arial"/>
          <w:i/>
          <w:iCs/>
          <w:color w:val="808080" w:themeColor="background1" w:themeShade="80"/>
          <w:szCs w:val="20"/>
        </w:rPr>
        <w:t>neakutno</w:t>
      </w:r>
      <w:proofErr w:type="spellEnd"/>
      <w:r w:rsidRPr="005E4BEA">
        <w:rPr>
          <w:rFonts w:cs="Arial"/>
          <w:i/>
          <w:iCs/>
          <w:color w:val="808080" w:themeColor="background1" w:themeShade="80"/>
          <w:szCs w:val="20"/>
        </w:rPr>
        <w:t xml:space="preserve"> psihiatrično obravnavo. V </w:t>
      </w:r>
      <w:proofErr w:type="spellStart"/>
      <w:r w:rsidRPr="005E4BEA">
        <w:rPr>
          <w:rFonts w:cs="Arial"/>
          <w:i/>
          <w:iCs/>
          <w:color w:val="808080" w:themeColor="background1" w:themeShade="80"/>
          <w:szCs w:val="20"/>
        </w:rPr>
        <w:t>neakutni</w:t>
      </w:r>
      <w:proofErr w:type="spellEnd"/>
      <w:r w:rsidRPr="005E4BEA">
        <w:rPr>
          <w:rFonts w:cs="Arial"/>
          <w:i/>
          <w:iCs/>
          <w:color w:val="808080" w:themeColor="background1" w:themeShade="80"/>
          <w:szCs w:val="20"/>
        </w:rPr>
        <w:t xml:space="preserve"> psihiatrični obravnavi se lahko preverja laboratorij zaradi ugotavljanja vsebnosti določene učinkovine, pride do </w:t>
      </w:r>
      <w:proofErr w:type="spellStart"/>
      <w:r w:rsidRPr="005E4BEA">
        <w:rPr>
          <w:rFonts w:cs="Arial"/>
          <w:i/>
          <w:iCs/>
          <w:color w:val="808080" w:themeColor="background1" w:themeShade="80"/>
          <w:szCs w:val="20"/>
        </w:rPr>
        <w:t>uroinfekta</w:t>
      </w:r>
      <w:proofErr w:type="spellEnd"/>
      <w:r w:rsidRPr="005E4BEA">
        <w:rPr>
          <w:rFonts w:cs="Arial"/>
          <w:i/>
          <w:iCs/>
          <w:color w:val="808080" w:themeColor="background1" w:themeShade="80"/>
          <w:szCs w:val="20"/>
        </w:rPr>
        <w:t xml:space="preserve"> in se uvaja antibiotik, pride do bolečin (zobobol, padec itd.) in se uvaja analgetik… vse to so po mnenju ZZZS razlogi za izključitev pacienta iz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psihiatrične obravnave in vključitev nazaj v akutno obravnavo. Vendar v teh primerih ne gre za akutno psihiatrično obravnavo, temveč internistično, kirurško, ki ju uredimo tekom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psihiatrične obravnave brez premeščanja pacienta v somatsko bolnišnico.</w:t>
      </w:r>
    </w:p>
    <w:p w14:paraId="60F33E7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FINANČNI UČINEK PREDLAGANE SPREMEMBE: Ni finančnega učinka, oz. povečanih stroškov ZZZS-ja, le doseganje programa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bolnišnične obravnave na ravni zavoda </w:t>
      </w:r>
      <w:r w:rsidRPr="005E4BEA">
        <w:rPr>
          <w:rFonts w:cs="Arial"/>
          <w:i/>
          <w:iCs/>
          <w:color w:val="808080" w:themeColor="background1" w:themeShade="80"/>
          <w:szCs w:val="20"/>
        </w:rPr>
        <w:lastRenderedPageBreak/>
        <w:t>dogovorjenega s pogodbo in nepotrebnih ter nerazumnih kazni s strani ZZZS ob morebitnem nadzoru ZZZS.</w:t>
      </w:r>
    </w:p>
    <w:p w14:paraId="6EAF8E6D" w14:textId="77777777" w:rsidR="00FE461F" w:rsidRPr="005E4BEA" w:rsidRDefault="00FE461F" w:rsidP="00FE461F">
      <w:pPr>
        <w:spacing w:line="240" w:lineRule="auto"/>
        <w:jc w:val="both"/>
        <w:rPr>
          <w:rFonts w:cs="Arial"/>
          <w:i/>
          <w:iCs/>
          <w:color w:val="808080" w:themeColor="background1" w:themeShade="80"/>
          <w:szCs w:val="20"/>
        </w:rPr>
      </w:pPr>
    </w:p>
    <w:p w14:paraId="5FF7E4D4" w14:textId="77777777" w:rsidR="00FE461F" w:rsidRPr="005E4BEA" w:rsidRDefault="00FE461F" w:rsidP="00FE461F">
      <w:pPr>
        <w:spacing w:line="240" w:lineRule="auto"/>
        <w:jc w:val="both"/>
        <w:rPr>
          <w:rFonts w:cs="Arial"/>
          <w:szCs w:val="20"/>
        </w:rPr>
      </w:pPr>
    </w:p>
    <w:p w14:paraId="44129552"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BOL v poglavju 2.2 </w:t>
      </w:r>
      <w:proofErr w:type="spellStart"/>
      <w:r w:rsidRPr="005E4BEA">
        <w:rPr>
          <w:rFonts w:cs="Arial"/>
          <w:b/>
          <w:bCs/>
          <w:szCs w:val="20"/>
        </w:rPr>
        <w:t>Neakutna</w:t>
      </w:r>
      <w:proofErr w:type="spellEnd"/>
      <w:r w:rsidRPr="005E4BEA">
        <w:rPr>
          <w:rFonts w:cs="Arial"/>
          <w:b/>
          <w:bCs/>
          <w:szCs w:val="20"/>
        </w:rPr>
        <w:t xml:space="preserve"> bolnišnična obravnava se doda nova alineja:</w:t>
      </w:r>
    </w:p>
    <w:p w14:paraId="17F751BE" w14:textId="77777777" w:rsidR="00FE461F" w:rsidRPr="005E4BEA" w:rsidRDefault="00FE461F" w:rsidP="00F356C9">
      <w:pPr>
        <w:numPr>
          <w:ilvl w:val="0"/>
          <w:numId w:val="28"/>
        </w:numPr>
        <w:spacing w:line="240" w:lineRule="auto"/>
        <w:contextualSpacing/>
        <w:jc w:val="both"/>
        <w:rPr>
          <w:rFonts w:cs="Arial"/>
          <w:iCs/>
          <w:szCs w:val="20"/>
        </w:rPr>
      </w:pPr>
      <w:r w:rsidRPr="005E4BEA">
        <w:rPr>
          <w:rFonts w:cs="Arial"/>
          <w:iCs/>
          <w:szCs w:val="20"/>
        </w:rPr>
        <w:t xml:space="preserve">Titriranje kognitivnih modulatorjev po shemi je lahko del </w:t>
      </w:r>
      <w:proofErr w:type="spellStart"/>
      <w:r w:rsidRPr="005E4BEA">
        <w:rPr>
          <w:rFonts w:cs="Arial"/>
          <w:iCs/>
          <w:szCs w:val="20"/>
        </w:rPr>
        <w:t>neakutne</w:t>
      </w:r>
      <w:proofErr w:type="spellEnd"/>
      <w:r w:rsidRPr="005E4BEA">
        <w:rPr>
          <w:rFonts w:cs="Arial"/>
          <w:iCs/>
          <w:szCs w:val="20"/>
        </w:rPr>
        <w:t xml:space="preserve"> bolnišnične obravnave.</w:t>
      </w:r>
    </w:p>
    <w:p w14:paraId="0607AF88" w14:textId="77777777" w:rsidR="00FE461F" w:rsidRPr="005E4BEA" w:rsidRDefault="00FE461F" w:rsidP="00FE461F">
      <w:pPr>
        <w:spacing w:line="240" w:lineRule="auto"/>
        <w:jc w:val="both"/>
        <w:rPr>
          <w:rFonts w:cs="Arial"/>
          <w:szCs w:val="20"/>
        </w:rPr>
      </w:pPr>
    </w:p>
    <w:p w14:paraId="6FE5AF26"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597D2E3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Pacient je v psihiatrično bolnišnico sprejet zaradi vedenjske problematike v sklopu dementnega procesa. V fazi akutne psihiatrične obravnave psihično stanje, ki je bilo vzrok prihoda, stabiliziramo in uvedemo kognitivni modulator, ki ga je potrebno postopno titrirati glede na sprejete strokovne smernice. Pacient je ves čas v stabilnem psihičnem stanju, </w:t>
      </w:r>
      <w:proofErr w:type="spellStart"/>
      <w:r w:rsidRPr="005E4BEA">
        <w:rPr>
          <w:rFonts w:cs="Arial"/>
          <w:i/>
          <w:iCs/>
          <w:color w:val="808080" w:themeColor="background1" w:themeShade="80"/>
          <w:szCs w:val="20"/>
        </w:rPr>
        <w:t>psihofarmakoterapija</w:t>
      </w:r>
      <w:proofErr w:type="spellEnd"/>
      <w:r w:rsidRPr="005E4BEA">
        <w:rPr>
          <w:rFonts w:cs="Arial"/>
          <w:i/>
          <w:iCs/>
          <w:color w:val="808080" w:themeColor="background1" w:themeShade="80"/>
          <w:szCs w:val="20"/>
        </w:rPr>
        <w:t xml:space="preserve"> se spreminja v skladu z načrtom ob sprejemu v </w:t>
      </w:r>
      <w:proofErr w:type="spellStart"/>
      <w:r w:rsidRPr="005E4BEA">
        <w:rPr>
          <w:rFonts w:cs="Arial"/>
          <w:i/>
          <w:iCs/>
          <w:color w:val="808080" w:themeColor="background1" w:themeShade="80"/>
          <w:szCs w:val="20"/>
        </w:rPr>
        <w:t>neakutno</w:t>
      </w:r>
      <w:proofErr w:type="spellEnd"/>
      <w:r w:rsidRPr="005E4BEA">
        <w:rPr>
          <w:rFonts w:cs="Arial"/>
          <w:i/>
          <w:iCs/>
          <w:color w:val="808080" w:themeColor="background1" w:themeShade="80"/>
          <w:szCs w:val="20"/>
        </w:rPr>
        <w:t xml:space="preserve"> bolnišnično obravnavo.</w:t>
      </w:r>
    </w:p>
    <w:p w14:paraId="326356CA"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FINANČNI UČINEK PREDLAGANE SPREMEMBE: Ni finančnega učinka, oz. povečanih stroškov ZZZS-ja, le doseganje programa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bolnišnične obravnave na ravni zavoda dogovorjenega s pogodbo in nepotrebnih ter nerazumnih kazni s strani ZZZS ob morebitnem nadzoru ZZZS.</w:t>
      </w:r>
    </w:p>
    <w:p w14:paraId="2805568E" w14:textId="77777777" w:rsidR="00FE461F" w:rsidRPr="005E4BEA" w:rsidRDefault="00FE461F" w:rsidP="00FE461F">
      <w:pPr>
        <w:spacing w:line="240" w:lineRule="auto"/>
        <w:jc w:val="both"/>
        <w:rPr>
          <w:rFonts w:cs="Arial"/>
          <w:szCs w:val="20"/>
        </w:rPr>
      </w:pPr>
    </w:p>
    <w:p w14:paraId="6FD650E3"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BOL v poglavju 2.2 </w:t>
      </w:r>
      <w:proofErr w:type="spellStart"/>
      <w:r w:rsidRPr="005E4BEA">
        <w:rPr>
          <w:rFonts w:cs="Arial"/>
          <w:b/>
          <w:bCs/>
          <w:szCs w:val="20"/>
        </w:rPr>
        <w:t>Neakutna</w:t>
      </w:r>
      <w:proofErr w:type="spellEnd"/>
      <w:r w:rsidRPr="005E4BEA">
        <w:rPr>
          <w:rFonts w:cs="Arial"/>
          <w:b/>
          <w:bCs/>
          <w:szCs w:val="20"/>
        </w:rPr>
        <w:t xml:space="preserve"> bolnišnična obravnava se doda nova alineja:</w:t>
      </w:r>
    </w:p>
    <w:p w14:paraId="0BEA035D" w14:textId="77777777" w:rsidR="00FE461F" w:rsidRPr="005E4BEA" w:rsidRDefault="00FE461F" w:rsidP="00F356C9">
      <w:pPr>
        <w:numPr>
          <w:ilvl w:val="0"/>
          <w:numId w:val="28"/>
        </w:numPr>
        <w:spacing w:line="240" w:lineRule="auto"/>
        <w:contextualSpacing/>
        <w:jc w:val="both"/>
        <w:rPr>
          <w:rFonts w:cs="Arial"/>
          <w:iCs/>
          <w:szCs w:val="20"/>
        </w:rPr>
      </w:pPr>
      <w:r w:rsidRPr="005E4BEA">
        <w:rPr>
          <w:rFonts w:cs="Arial"/>
          <w:iCs/>
          <w:szCs w:val="20"/>
        </w:rPr>
        <w:t xml:space="preserve">Del psihiatrične hospitalne obravnave pacientov z odvisnostjo lahko poteka v </w:t>
      </w:r>
      <w:proofErr w:type="spellStart"/>
      <w:r w:rsidRPr="005E4BEA">
        <w:rPr>
          <w:rFonts w:cs="Arial"/>
          <w:iCs/>
          <w:szCs w:val="20"/>
        </w:rPr>
        <w:t>neakutni</w:t>
      </w:r>
      <w:proofErr w:type="spellEnd"/>
      <w:r w:rsidRPr="005E4BEA">
        <w:rPr>
          <w:rFonts w:cs="Arial"/>
          <w:iCs/>
          <w:szCs w:val="20"/>
        </w:rPr>
        <w:t xml:space="preserve"> bolnišnični obravnavi, če je bolnik v psihično stabilnem stanju.</w:t>
      </w:r>
    </w:p>
    <w:p w14:paraId="2B8FB3AB" w14:textId="77777777" w:rsidR="00FE461F" w:rsidRPr="005E4BEA" w:rsidRDefault="00FE461F" w:rsidP="00FE461F">
      <w:pPr>
        <w:spacing w:line="240" w:lineRule="auto"/>
        <w:jc w:val="both"/>
        <w:rPr>
          <w:rFonts w:cs="Arial"/>
          <w:szCs w:val="20"/>
        </w:rPr>
      </w:pPr>
    </w:p>
    <w:p w14:paraId="42EC7964"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4F9DC1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Hospitalni programi zdravljenja odvisnosti v Sloveniji trajajo okrog 3 mesece, čeprav je finančna vzdržnost trajanja hospitalizacije psihiatričnega primera 43 dni. Finančna vzdržnost je tako možna le ob možnosti vključitve pacientov v </w:t>
      </w:r>
      <w:proofErr w:type="spellStart"/>
      <w:r w:rsidRPr="005E4BEA">
        <w:rPr>
          <w:rFonts w:cs="Arial"/>
          <w:i/>
          <w:iCs/>
          <w:color w:val="808080" w:themeColor="background1" w:themeShade="80"/>
          <w:szCs w:val="20"/>
        </w:rPr>
        <w:t>neakutno</w:t>
      </w:r>
      <w:proofErr w:type="spellEnd"/>
      <w:r w:rsidRPr="005E4BEA">
        <w:rPr>
          <w:rFonts w:cs="Arial"/>
          <w:i/>
          <w:iCs/>
          <w:color w:val="808080" w:themeColor="background1" w:themeShade="80"/>
          <w:szCs w:val="20"/>
        </w:rPr>
        <w:t xml:space="preserve"> bolnišnično obravnavo. V primeru hospitalnega zdravljenja odvisnosti gre za ljudi, ki ambulantno ne zmorejo vzpostaviti abstinence in ki imajo pogoste pridružene psihične motnje (npr. depresija, </w:t>
      </w:r>
      <w:proofErr w:type="spellStart"/>
      <w:r w:rsidRPr="005E4BEA">
        <w:rPr>
          <w:rFonts w:cs="Arial"/>
          <w:i/>
          <w:iCs/>
          <w:color w:val="808080" w:themeColor="background1" w:themeShade="80"/>
          <w:szCs w:val="20"/>
        </w:rPr>
        <w:t>anksioznost</w:t>
      </w:r>
      <w:proofErr w:type="spellEnd"/>
      <w:r w:rsidRPr="005E4BEA">
        <w:rPr>
          <w:rFonts w:cs="Arial"/>
          <w:i/>
          <w:iCs/>
          <w:color w:val="808080" w:themeColor="background1" w:themeShade="80"/>
          <w:szCs w:val="20"/>
        </w:rPr>
        <w:t xml:space="preserve">, osebnostne motnje). V fazi akutne obravnave odvisnosti od alkohola stremimo k stabilizaciji psihičnega stanja in vzpostavitvi abstinence (umiritev abstinenčne simptomatike, postopno ukinjanje pomirjeval, </w:t>
      </w:r>
      <w:proofErr w:type="spellStart"/>
      <w:r w:rsidRPr="005E4BEA">
        <w:rPr>
          <w:rFonts w:cs="Arial"/>
          <w:i/>
          <w:iCs/>
          <w:color w:val="808080" w:themeColor="background1" w:themeShade="80"/>
          <w:szCs w:val="20"/>
        </w:rPr>
        <w:t>ev</w:t>
      </w:r>
      <w:proofErr w:type="spellEnd"/>
      <w:r w:rsidRPr="005E4BEA">
        <w:rPr>
          <w:rFonts w:cs="Arial"/>
          <w:i/>
          <w:iCs/>
          <w:color w:val="808080" w:themeColor="background1" w:themeShade="80"/>
          <w:szCs w:val="20"/>
        </w:rPr>
        <w:t xml:space="preserve">. uvedba antidepresivov in </w:t>
      </w:r>
      <w:proofErr w:type="spellStart"/>
      <w:r w:rsidRPr="005E4BEA">
        <w:rPr>
          <w:rFonts w:cs="Arial"/>
          <w:i/>
          <w:iCs/>
          <w:color w:val="808080" w:themeColor="background1" w:themeShade="80"/>
          <w:szCs w:val="20"/>
        </w:rPr>
        <w:t>naltreksona</w:t>
      </w:r>
      <w:proofErr w:type="spellEnd"/>
      <w:r w:rsidRPr="005E4BEA">
        <w:rPr>
          <w:rFonts w:cs="Arial"/>
          <w:i/>
          <w:iCs/>
          <w:color w:val="808080" w:themeColor="background1" w:themeShade="80"/>
          <w:szCs w:val="20"/>
        </w:rPr>
        <w:t xml:space="preserve">, spremljanje telesnih in psihičnih posledic odvisnosti). </w:t>
      </w:r>
      <w:proofErr w:type="spellStart"/>
      <w:r w:rsidRPr="005E4BEA">
        <w:rPr>
          <w:rFonts w:cs="Arial"/>
          <w:i/>
          <w:iCs/>
          <w:color w:val="808080" w:themeColor="background1" w:themeShade="80"/>
          <w:szCs w:val="20"/>
        </w:rPr>
        <w:t>Neakutna</w:t>
      </w:r>
      <w:proofErr w:type="spellEnd"/>
      <w:r w:rsidRPr="005E4BEA">
        <w:rPr>
          <w:rFonts w:cs="Arial"/>
          <w:i/>
          <w:iCs/>
          <w:color w:val="808080" w:themeColor="background1" w:themeShade="80"/>
          <w:szCs w:val="20"/>
        </w:rPr>
        <w:t xml:space="preserve"> bolnišnična obravnava je potrebna, da se vzpostavljena abstinenca preveri na vikend izhodih – odvisnost se je začela izven bolnišničnih zidov in tako je potrebno sposobnost abstiniranja preveriti v domačem okolju in slediti individualnim čustvenim odzivom v njihovem življenjskem okolju ter to predelovati v varnem bolnišničnem okolju. Se pravi: bolnikov še ni možno odpustiti v okolje, od koder prihajajo kljub psihično in fizično stabilnem stanju. Tovrstni bolniki potrebujejo daljšo psihično rehabilitacijo v NAO. </w:t>
      </w:r>
    </w:p>
    <w:p w14:paraId="007DA51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FINANČNI UČINEK PREDLAGANE SPREMEMBE: Ni finančnega učinka, oz. povečanih stroškov ZZZS-ja, le doseganje programa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bolnišnične obravnave na ravni zavoda dogovorjenega s pogodbo in nepotrebnih ter nerazumnih kazni s strani ZZZS ob morebitnem nadzoru ZZZS.</w:t>
      </w:r>
    </w:p>
    <w:p w14:paraId="6F324BEC" w14:textId="77777777" w:rsidR="00FE461F" w:rsidRPr="005E4BEA" w:rsidRDefault="00FE461F" w:rsidP="00FE461F">
      <w:pPr>
        <w:spacing w:line="240" w:lineRule="auto"/>
        <w:jc w:val="both"/>
        <w:rPr>
          <w:rFonts w:cs="Arial"/>
          <w:szCs w:val="20"/>
        </w:rPr>
      </w:pPr>
    </w:p>
    <w:p w14:paraId="77979943" w14:textId="77777777" w:rsidR="00FE461F" w:rsidRPr="005E4BEA" w:rsidRDefault="00FE461F" w:rsidP="00FE461F">
      <w:pPr>
        <w:spacing w:line="240" w:lineRule="auto"/>
        <w:jc w:val="both"/>
        <w:rPr>
          <w:rFonts w:cs="Arial"/>
          <w:b/>
          <w:bCs/>
          <w:szCs w:val="20"/>
        </w:rPr>
      </w:pPr>
      <w:r w:rsidRPr="005E4BEA">
        <w:rPr>
          <w:rFonts w:cs="Arial"/>
          <w:b/>
          <w:bCs/>
          <w:szCs w:val="20"/>
        </w:rPr>
        <w:t xml:space="preserve">V Prilogi BOL v poglavju 2.2 </w:t>
      </w:r>
      <w:proofErr w:type="spellStart"/>
      <w:r w:rsidRPr="005E4BEA">
        <w:rPr>
          <w:rFonts w:cs="Arial"/>
          <w:b/>
          <w:bCs/>
          <w:szCs w:val="20"/>
        </w:rPr>
        <w:t>Neakutna</w:t>
      </w:r>
      <w:proofErr w:type="spellEnd"/>
      <w:r w:rsidRPr="005E4BEA">
        <w:rPr>
          <w:rFonts w:cs="Arial"/>
          <w:b/>
          <w:bCs/>
          <w:szCs w:val="20"/>
        </w:rPr>
        <w:t xml:space="preserve"> bolnišnična obravnava se doda nova alineja:</w:t>
      </w:r>
    </w:p>
    <w:p w14:paraId="0DDFA6BD" w14:textId="77777777" w:rsidR="00FE461F" w:rsidRPr="005E4BEA" w:rsidRDefault="00FE461F" w:rsidP="00F356C9">
      <w:pPr>
        <w:numPr>
          <w:ilvl w:val="0"/>
          <w:numId w:val="28"/>
        </w:numPr>
        <w:spacing w:line="240" w:lineRule="auto"/>
        <w:contextualSpacing/>
        <w:jc w:val="both"/>
        <w:rPr>
          <w:rFonts w:cs="Arial"/>
          <w:iCs/>
          <w:szCs w:val="20"/>
        </w:rPr>
      </w:pPr>
      <w:r w:rsidRPr="005E4BEA">
        <w:rPr>
          <w:rFonts w:cs="Arial"/>
          <w:iCs/>
          <w:szCs w:val="20"/>
        </w:rPr>
        <w:t xml:space="preserve">Opravljanje preiskav, ki ne služijo diagnostiki akutnega bolezenskega procesa in ne vplivajo na predpisano </w:t>
      </w:r>
      <w:proofErr w:type="spellStart"/>
      <w:r w:rsidRPr="005E4BEA">
        <w:rPr>
          <w:rFonts w:cs="Arial"/>
          <w:iCs/>
          <w:szCs w:val="20"/>
        </w:rPr>
        <w:t>psihofarmakoterapijo</w:t>
      </w:r>
      <w:proofErr w:type="spellEnd"/>
      <w:r w:rsidRPr="005E4BEA">
        <w:rPr>
          <w:rFonts w:cs="Arial"/>
          <w:iCs/>
          <w:szCs w:val="20"/>
        </w:rPr>
        <w:t xml:space="preserve"> so lahko del </w:t>
      </w:r>
      <w:proofErr w:type="spellStart"/>
      <w:r w:rsidRPr="005E4BEA">
        <w:rPr>
          <w:rFonts w:cs="Arial"/>
          <w:iCs/>
          <w:szCs w:val="20"/>
        </w:rPr>
        <w:t>neakutne</w:t>
      </w:r>
      <w:proofErr w:type="spellEnd"/>
      <w:r w:rsidRPr="005E4BEA">
        <w:rPr>
          <w:rFonts w:cs="Arial"/>
          <w:iCs/>
          <w:szCs w:val="20"/>
        </w:rPr>
        <w:t xml:space="preserve"> bolnišnične obravnave.</w:t>
      </w:r>
    </w:p>
    <w:p w14:paraId="580C5CD4" w14:textId="77777777" w:rsidR="00FE461F" w:rsidRPr="005E4BEA" w:rsidRDefault="00FE461F" w:rsidP="00FE461F">
      <w:pPr>
        <w:spacing w:line="240" w:lineRule="auto"/>
        <w:jc w:val="both"/>
        <w:rPr>
          <w:rFonts w:cs="Arial"/>
          <w:szCs w:val="20"/>
        </w:rPr>
      </w:pPr>
    </w:p>
    <w:p w14:paraId="6D520562"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7EA56EA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Laboratorijske preiskave v smislu preventivnih pregledov pred sprejemom v DSO (npr. odvzem kužnin na ESBL in MRSA) in preiskave, vezane na spremljanje morebitnih stranskih učinkov uvedene </w:t>
      </w:r>
      <w:proofErr w:type="spellStart"/>
      <w:r w:rsidRPr="005E4BEA">
        <w:rPr>
          <w:rFonts w:cs="Arial"/>
          <w:i/>
          <w:iCs/>
          <w:color w:val="808080" w:themeColor="background1" w:themeShade="80"/>
          <w:szCs w:val="20"/>
        </w:rPr>
        <w:t>psihofarmakoterapije</w:t>
      </w:r>
      <w:proofErr w:type="spellEnd"/>
      <w:r w:rsidRPr="005E4BEA">
        <w:rPr>
          <w:rFonts w:cs="Arial"/>
          <w:i/>
          <w:iCs/>
          <w:color w:val="808080" w:themeColor="background1" w:themeShade="80"/>
          <w:szCs w:val="20"/>
        </w:rPr>
        <w:t xml:space="preserve"> (npr. spremljanje bele krvne slike v primeru uvedbe </w:t>
      </w:r>
      <w:proofErr w:type="spellStart"/>
      <w:r w:rsidRPr="005E4BEA">
        <w:rPr>
          <w:rFonts w:cs="Arial"/>
          <w:i/>
          <w:iCs/>
          <w:color w:val="808080" w:themeColor="background1" w:themeShade="80"/>
          <w:szCs w:val="20"/>
        </w:rPr>
        <w:t>klozapina</w:t>
      </w:r>
      <w:proofErr w:type="spellEnd"/>
      <w:r w:rsidRPr="005E4BEA">
        <w:rPr>
          <w:rFonts w:cs="Arial"/>
          <w:i/>
          <w:iCs/>
          <w:color w:val="808080" w:themeColor="background1" w:themeShade="80"/>
          <w:szCs w:val="20"/>
        </w:rPr>
        <w:t xml:space="preserve"> ali jetrnih testov v primeru uvedbe </w:t>
      </w:r>
      <w:proofErr w:type="spellStart"/>
      <w:r w:rsidRPr="005E4BEA">
        <w:rPr>
          <w:rFonts w:cs="Arial"/>
          <w:i/>
          <w:iCs/>
          <w:color w:val="808080" w:themeColor="background1" w:themeShade="80"/>
          <w:szCs w:val="20"/>
        </w:rPr>
        <w:t>agomelatina</w:t>
      </w:r>
      <w:proofErr w:type="spellEnd"/>
      <w:r w:rsidRPr="005E4BEA">
        <w:rPr>
          <w:rFonts w:cs="Arial"/>
          <w:i/>
          <w:iCs/>
          <w:color w:val="808080" w:themeColor="background1" w:themeShade="80"/>
          <w:szCs w:val="20"/>
        </w:rPr>
        <w:t xml:space="preserve">) ne morejo biti razlog, da pacienta v psihično stabilnem stanju za dan laboratorijske preiskave premeščamo iz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bolnišnične obravnave nazaj v akutno obravnavo ter ponovno takoj naslednji dan v </w:t>
      </w:r>
      <w:proofErr w:type="spellStart"/>
      <w:r w:rsidRPr="005E4BEA">
        <w:rPr>
          <w:rFonts w:cs="Arial"/>
          <w:i/>
          <w:iCs/>
          <w:color w:val="808080" w:themeColor="background1" w:themeShade="80"/>
          <w:szCs w:val="20"/>
        </w:rPr>
        <w:t>neakutno</w:t>
      </w:r>
      <w:proofErr w:type="spellEnd"/>
      <w:r w:rsidRPr="005E4BEA">
        <w:rPr>
          <w:rFonts w:cs="Arial"/>
          <w:i/>
          <w:iCs/>
          <w:color w:val="808080" w:themeColor="background1" w:themeShade="80"/>
          <w:szCs w:val="20"/>
        </w:rPr>
        <w:t xml:space="preserve"> bolnišnično obravnavo. Podobno gre za slikovne preiskave, ki so namenjene spremljanju kroničnega bolezenskega procesa (CT, MRI, EEG) in so vezane na čakalne dobe opravljanja rednih (</w:t>
      </w:r>
      <w:proofErr w:type="spellStart"/>
      <w:r w:rsidRPr="005E4BEA">
        <w:rPr>
          <w:rFonts w:cs="Arial"/>
          <w:i/>
          <w:iCs/>
          <w:color w:val="808080" w:themeColor="background1" w:themeShade="80"/>
          <w:szCs w:val="20"/>
        </w:rPr>
        <w:t>nenujnih</w:t>
      </w:r>
      <w:proofErr w:type="spellEnd"/>
      <w:r w:rsidRPr="005E4BEA">
        <w:rPr>
          <w:rFonts w:cs="Arial"/>
          <w:i/>
          <w:iCs/>
          <w:color w:val="808080" w:themeColor="background1" w:themeShade="80"/>
          <w:szCs w:val="20"/>
        </w:rPr>
        <w:t>) preiskav in ne diagnostiki akutnih bolezenskih poslabšanj.</w:t>
      </w:r>
    </w:p>
    <w:p w14:paraId="2B938FE2"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FINANČNI UČINEK PREDLAGANE SPREMEMBE: Ni finančnega učinka, oz. povečanih stroškov ZZZS-ja, le doseganje programa </w:t>
      </w:r>
      <w:proofErr w:type="spellStart"/>
      <w:r w:rsidRPr="005E4BEA">
        <w:rPr>
          <w:rFonts w:cs="Arial"/>
          <w:i/>
          <w:iCs/>
          <w:color w:val="808080" w:themeColor="background1" w:themeShade="80"/>
          <w:szCs w:val="20"/>
        </w:rPr>
        <w:t>neakutne</w:t>
      </w:r>
      <w:proofErr w:type="spellEnd"/>
      <w:r w:rsidRPr="005E4BEA">
        <w:rPr>
          <w:rFonts w:cs="Arial"/>
          <w:i/>
          <w:iCs/>
          <w:color w:val="808080" w:themeColor="background1" w:themeShade="80"/>
          <w:szCs w:val="20"/>
        </w:rPr>
        <w:t xml:space="preserve"> bolnišnične obravnave na ravni zavoda </w:t>
      </w:r>
      <w:r w:rsidRPr="005E4BEA">
        <w:rPr>
          <w:rFonts w:cs="Arial"/>
          <w:i/>
          <w:iCs/>
          <w:color w:val="808080" w:themeColor="background1" w:themeShade="80"/>
          <w:szCs w:val="20"/>
        </w:rPr>
        <w:lastRenderedPageBreak/>
        <w:t>dogovorjenega s pogodbo in nepotrebnih ter nerazumnih kazni s strani ZZZS ob morebitnem nadzoru ZZZS.</w:t>
      </w:r>
    </w:p>
    <w:p w14:paraId="57038B05" w14:textId="77777777" w:rsidR="00FE461F" w:rsidRPr="005E4BEA" w:rsidRDefault="00FE461F" w:rsidP="00FE461F">
      <w:pPr>
        <w:spacing w:line="240" w:lineRule="auto"/>
        <w:jc w:val="both"/>
        <w:rPr>
          <w:rFonts w:cs="Arial"/>
          <w:b/>
          <w:bCs/>
          <w:szCs w:val="20"/>
        </w:rPr>
      </w:pPr>
    </w:p>
    <w:p w14:paraId="3DF92851" w14:textId="77777777" w:rsidR="00FE461F" w:rsidRPr="005E4BEA" w:rsidRDefault="00FE461F" w:rsidP="00FE461F">
      <w:pPr>
        <w:spacing w:line="240" w:lineRule="auto"/>
        <w:jc w:val="both"/>
        <w:rPr>
          <w:rFonts w:cs="Arial"/>
          <w:b/>
          <w:bCs/>
          <w:szCs w:val="20"/>
        </w:rPr>
      </w:pPr>
      <w:proofErr w:type="spellStart"/>
      <w:r w:rsidRPr="005E4BEA">
        <w:rPr>
          <w:rFonts w:cs="Arial"/>
          <w:b/>
          <w:bCs/>
          <w:szCs w:val="20"/>
        </w:rPr>
        <w:t>Neakutna</w:t>
      </w:r>
      <w:proofErr w:type="spellEnd"/>
      <w:r w:rsidRPr="005E4BEA">
        <w:rPr>
          <w:rFonts w:cs="Arial"/>
          <w:b/>
          <w:bCs/>
          <w:szCs w:val="20"/>
        </w:rPr>
        <w:t xml:space="preserve"> bolnišnična obravnava 7.člen-priloga BOL</w:t>
      </w:r>
    </w:p>
    <w:p w14:paraId="1A8C7BAD" w14:textId="77777777" w:rsidR="00FE461F" w:rsidRPr="005E4BEA" w:rsidRDefault="00FE461F" w:rsidP="00FE461F">
      <w:pPr>
        <w:spacing w:line="240" w:lineRule="auto"/>
        <w:jc w:val="both"/>
        <w:rPr>
          <w:rFonts w:cs="Arial"/>
          <w:iCs/>
          <w:szCs w:val="20"/>
        </w:rPr>
      </w:pPr>
      <w:r w:rsidRPr="005E4BEA">
        <w:rPr>
          <w:rFonts w:cs="Arial"/>
          <w:iCs/>
          <w:szCs w:val="20"/>
        </w:rPr>
        <w:t xml:space="preserve">(4) Pravila iz 1. in 2. točke tretjega odstavka tega člena veljajo tudi v primeru izmenjavanja epizod primerov drugih tipov akutne obravnave (npr. primer v bolnišnični dejavnosti psihiatrije) z </w:t>
      </w:r>
      <w:proofErr w:type="spellStart"/>
      <w:r w:rsidRPr="005E4BEA">
        <w:rPr>
          <w:rFonts w:cs="Arial"/>
          <w:iCs/>
          <w:szCs w:val="20"/>
        </w:rPr>
        <w:t>neakutno</w:t>
      </w:r>
      <w:proofErr w:type="spellEnd"/>
      <w:r w:rsidRPr="005E4BEA">
        <w:rPr>
          <w:rFonts w:cs="Arial"/>
          <w:iCs/>
          <w:szCs w:val="20"/>
        </w:rPr>
        <w:t xml:space="preserve"> bolnišnično obravnavo. Tako se ob odpustu ne glede na število epizod obračuna en primer obravnave (npr. primer v bolnišnični dejavnosti psihiatrije) ter število BOD za </w:t>
      </w:r>
      <w:proofErr w:type="spellStart"/>
      <w:r w:rsidRPr="005E4BEA">
        <w:rPr>
          <w:rFonts w:cs="Arial"/>
          <w:iCs/>
          <w:szCs w:val="20"/>
        </w:rPr>
        <w:t>neakutno</w:t>
      </w:r>
      <w:proofErr w:type="spellEnd"/>
      <w:r w:rsidRPr="005E4BEA">
        <w:rPr>
          <w:rFonts w:cs="Arial"/>
          <w:iCs/>
          <w:szCs w:val="20"/>
        </w:rPr>
        <w:t xml:space="preserve"> obravnavo, če so izpolnjeni pogoji iz 2. točke tretjega odstavka tega člena.</w:t>
      </w:r>
    </w:p>
    <w:p w14:paraId="1A7163EE" w14:textId="77777777" w:rsidR="00FE461F" w:rsidRPr="005E4BEA" w:rsidRDefault="00FE461F" w:rsidP="00FE461F">
      <w:pPr>
        <w:spacing w:line="240" w:lineRule="auto"/>
        <w:jc w:val="both"/>
        <w:rPr>
          <w:rFonts w:cs="Arial"/>
          <w:iCs/>
          <w:szCs w:val="20"/>
        </w:rPr>
      </w:pPr>
      <w:r w:rsidRPr="005E4BEA">
        <w:rPr>
          <w:rFonts w:cs="Arial"/>
          <w:iCs/>
          <w:szCs w:val="20"/>
        </w:rPr>
        <w:t xml:space="preserve">(5) Za premestitev iz akutne obravnave v </w:t>
      </w:r>
      <w:proofErr w:type="spellStart"/>
      <w:r w:rsidRPr="005E4BEA">
        <w:rPr>
          <w:rFonts w:cs="Arial"/>
          <w:iCs/>
          <w:szCs w:val="20"/>
        </w:rPr>
        <w:t>neakutno</w:t>
      </w:r>
      <w:proofErr w:type="spellEnd"/>
      <w:r w:rsidRPr="005E4BEA">
        <w:rPr>
          <w:rFonts w:cs="Arial"/>
          <w:iCs/>
          <w:szCs w:val="20"/>
        </w:rPr>
        <w:t xml:space="preserve"> obravnavo in obratno, ter za dolžino trajanja </w:t>
      </w:r>
      <w:proofErr w:type="spellStart"/>
      <w:r w:rsidRPr="005E4BEA">
        <w:rPr>
          <w:rFonts w:cs="Arial"/>
          <w:iCs/>
          <w:szCs w:val="20"/>
        </w:rPr>
        <w:t>neakutne</w:t>
      </w:r>
      <w:proofErr w:type="spellEnd"/>
      <w:r w:rsidRPr="005E4BEA">
        <w:rPr>
          <w:rFonts w:cs="Arial"/>
          <w:iCs/>
          <w:szCs w:val="20"/>
        </w:rPr>
        <w:t xml:space="preserve"> bolnišnične obravnave, mora obstajati medicinska indikacija, ki se lahko preveri  z nadzorom Zavoda. </w:t>
      </w:r>
    </w:p>
    <w:p w14:paraId="0B137143" w14:textId="77777777" w:rsidR="00FE461F" w:rsidRPr="005E4BEA" w:rsidRDefault="00FE461F" w:rsidP="00FE461F">
      <w:pPr>
        <w:spacing w:line="240" w:lineRule="auto"/>
        <w:jc w:val="both"/>
        <w:rPr>
          <w:rFonts w:cs="Arial"/>
          <w:iCs/>
          <w:szCs w:val="20"/>
        </w:rPr>
      </w:pPr>
      <w:r w:rsidRPr="005E4BEA">
        <w:rPr>
          <w:rFonts w:cs="Arial"/>
          <w:iCs/>
          <w:szCs w:val="20"/>
        </w:rPr>
        <w:t>Pri nadzorih Zavoda se upošteva izjeme pri obravnavi (psihiatrične bolnišnice).</w:t>
      </w:r>
    </w:p>
    <w:p w14:paraId="03ECDBFA" w14:textId="77777777" w:rsidR="00FE461F" w:rsidRPr="005E4BEA" w:rsidRDefault="00FE461F" w:rsidP="00FE461F">
      <w:pPr>
        <w:spacing w:line="240" w:lineRule="auto"/>
        <w:jc w:val="both"/>
        <w:rPr>
          <w:rFonts w:cs="Arial"/>
          <w:szCs w:val="20"/>
        </w:rPr>
      </w:pPr>
    </w:p>
    <w:p w14:paraId="30BFC7FC"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4867D0E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obrazložitvi naših pogledov na </w:t>
      </w:r>
      <w:proofErr w:type="spellStart"/>
      <w:r w:rsidRPr="005E4BEA">
        <w:rPr>
          <w:rFonts w:cs="Arial"/>
          <w:i/>
          <w:iCs/>
          <w:color w:val="808080" w:themeColor="background1" w:themeShade="80"/>
          <w:szCs w:val="20"/>
        </w:rPr>
        <w:t>neakutno</w:t>
      </w:r>
      <w:proofErr w:type="spellEnd"/>
      <w:r w:rsidRPr="005E4BEA">
        <w:rPr>
          <w:rFonts w:cs="Arial"/>
          <w:i/>
          <w:iCs/>
          <w:color w:val="808080" w:themeColor="background1" w:themeShade="80"/>
          <w:szCs w:val="20"/>
        </w:rPr>
        <w:t xml:space="preserve"> obravnavo  želimo izpostaviti pomembne razlike v </w:t>
      </w:r>
      <w:proofErr w:type="spellStart"/>
      <w:r w:rsidRPr="005E4BEA">
        <w:rPr>
          <w:rFonts w:cs="Arial"/>
          <w:i/>
          <w:iCs/>
          <w:color w:val="808080" w:themeColor="background1" w:themeShade="80"/>
          <w:szCs w:val="20"/>
        </w:rPr>
        <w:t>neakutni</w:t>
      </w:r>
      <w:proofErr w:type="spellEnd"/>
      <w:r w:rsidRPr="005E4BEA">
        <w:rPr>
          <w:rFonts w:cs="Arial"/>
          <w:i/>
          <w:iCs/>
          <w:color w:val="808080" w:themeColor="background1" w:themeShade="80"/>
          <w:szCs w:val="20"/>
        </w:rPr>
        <w:t xml:space="preserve"> obravnavi somatskega bolnika, ter bolnika z duševno motnjo (večinoma bolniki s težko demenco ter bolnike z malignim in kroničnim potekom  duševnih motenj) menimo, da so merila, ki veljajo za NBO somatskih bolnikov neprimerna, oz. neustrezna za paciente z duševno motnjo. Pri pacientih z duševno motnjo namreč pri akutnem poslabšanju ne zasledujemo nekih somatskih parametrov ampak prvenstveno spremembe v psihičnih funkcijah, ki so temeljnega pomena za obravnavo in praviloma razlog za neobvladovanje pacienta v domačem okolju, drugih bolnišnicah in socialnih ustanovah. </w:t>
      </w:r>
      <w:proofErr w:type="spellStart"/>
      <w:r w:rsidRPr="005E4BEA">
        <w:rPr>
          <w:rFonts w:cs="Arial"/>
          <w:i/>
          <w:iCs/>
          <w:color w:val="808080" w:themeColor="background1" w:themeShade="80"/>
          <w:szCs w:val="20"/>
        </w:rPr>
        <w:t>Neakutna</w:t>
      </w:r>
      <w:proofErr w:type="spellEnd"/>
      <w:r w:rsidRPr="005E4BEA">
        <w:rPr>
          <w:rFonts w:cs="Arial"/>
          <w:i/>
          <w:iCs/>
          <w:color w:val="808080" w:themeColor="background1" w:themeShade="80"/>
          <w:szCs w:val="20"/>
        </w:rPr>
        <w:t xml:space="preserve"> bolnišnična obravnava pacientov z duševno motnjo je namreč možna samo po utišanju akutne faze duševne motnje, spremljanje in obravnava manjših somatskih zdravstvenih problemov pa je pri starostnikih in duševnih bolnikih običajno spremljajoči del življenja, in nikakor ne znak akutnega poslabšanja bolezni. Kot izvajalec programov zdravljenja na področju psihiatrije menimo, da bi merila za NBO za psihiatrične paciente morala biti ustrezno prilagojena značilnostim patologije in kliničnim lastnostim duševnih motenj ter postopkom obravnave. Ker se soočamo z večanjem števila pacientov z demenco zaradi staranja prebivalstva, predlagamo ustrezno obravnavo meril in razrešitev problematike..</w:t>
      </w:r>
    </w:p>
    <w:p w14:paraId="51C7381D" w14:textId="77777777" w:rsidR="00FE461F" w:rsidRPr="005E4BEA" w:rsidRDefault="00FE461F" w:rsidP="00FE461F">
      <w:pPr>
        <w:spacing w:line="240" w:lineRule="auto"/>
        <w:jc w:val="both"/>
        <w:rPr>
          <w:rFonts w:cs="Arial"/>
          <w:i/>
          <w:iCs/>
          <w:color w:val="808080" w:themeColor="background1" w:themeShade="80"/>
          <w:szCs w:val="20"/>
        </w:rPr>
      </w:pPr>
    </w:p>
    <w:p w14:paraId="62C0A1D3"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w:t>
      </w:r>
    </w:p>
    <w:bookmarkEnd w:id="169"/>
    <w:p w14:paraId="130D0E12" w14:textId="62DF6A09" w:rsidR="00FE461F" w:rsidRPr="005E4BEA" w:rsidRDefault="00FE461F" w:rsidP="00FE461F">
      <w:pPr>
        <w:spacing w:line="240" w:lineRule="auto"/>
        <w:jc w:val="both"/>
        <w:rPr>
          <w:rFonts w:cs="Arial"/>
          <w:i/>
          <w:iCs/>
          <w:color w:val="808080" w:themeColor="background1" w:themeShade="80"/>
          <w:szCs w:val="20"/>
        </w:rPr>
      </w:pPr>
    </w:p>
    <w:p w14:paraId="12FED0FC" w14:textId="3B911855"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6D0A29" w:rsidRPr="005E4BEA">
        <w:rPr>
          <w:rFonts w:eastAsia="Arial Narrow" w:cs="Arial"/>
          <w:szCs w:val="20"/>
        </w:rPr>
        <w:t xml:space="preserve">ne </w:t>
      </w:r>
      <w:r w:rsidRPr="005E4BEA">
        <w:rPr>
          <w:rFonts w:eastAsia="Arial Narrow" w:cs="Arial"/>
          <w:szCs w:val="20"/>
        </w:rPr>
        <w:t>strinja s predlogom.</w:t>
      </w:r>
    </w:p>
    <w:p w14:paraId="54A41290" w14:textId="5CD6681D" w:rsidR="001F2B79" w:rsidRPr="005E4BEA" w:rsidRDefault="001F2B79" w:rsidP="001F2B79">
      <w:pPr>
        <w:spacing w:line="0" w:lineRule="atLeast"/>
        <w:jc w:val="both"/>
        <w:rPr>
          <w:rFonts w:eastAsia="Arial Narrow" w:cs="Arial"/>
          <w:szCs w:val="20"/>
          <w:lang w:eastAsia="sl-SI"/>
        </w:rPr>
      </w:pPr>
    </w:p>
    <w:p w14:paraId="5FF9738D" w14:textId="214F63F6" w:rsidR="006D0A29" w:rsidRPr="005E4BEA" w:rsidRDefault="001F2B79" w:rsidP="00C32B24">
      <w:pPr>
        <w:spacing w:line="0" w:lineRule="atLeast"/>
        <w:contextualSpacing/>
        <w:jc w:val="both"/>
        <w:rPr>
          <w:rFonts w:eastAsia="Arial Narrow"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70" w:name="_Hlk102560248"/>
      <w:r w:rsidRPr="005E4BEA">
        <w:rPr>
          <w:rFonts w:eastAsia="Arial Narrow" w:cs="Arial"/>
          <w:bCs/>
          <w:szCs w:val="20"/>
        </w:rPr>
        <w:t xml:space="preserve">da </w:t>
      </w:r>
      <w:r w:rsidR="00C32B24" w:rsidRPr="005E4BEA">
        <w:rPr>
          <w:rFonts w:eastAsia="Arial Narrow" w:cs="Arial"/>
          <w:bCs/>
          <w:szCs w:val="20"/>
        </w:rPr>
        <w:t>se Prilog</w:t>
      </w:r>
      <w:r w:rsidR="006D0A29" w:rsidRPr="005E4BEA">
        <w:rPr>
          <w:rFonts w:eastAsia="Arial Narrow" w:cs="Arial"/>
          <w:bCs/>
          <w:szCs w:val="20"/>
        </w:rPr>
        <w:t>a</w:t>
      </w:r>
      <w:r w:rsidR="00C32B24" w:rsidRPr="005E4BEA">
        <w:rPr>
          <w:rFonts w:eastAsia="Arial Narrow" w:cs="Arial"/>
          <w:bCs/>
          <w:szCs w:val="20"/>
        </w:rPr>
        <w:t xml:space="preserve"> BOL </w:t>
      </w:r>
      <w:r w:rsidR="006D0A29" w:rsidRPr="005E4BEA">
        <w:rPr>
          <w:rFonts w:eastAsia="Arial Narrow" w:cs="Arial"/>
          <w:bCs/>
          <w:szCs w:val="20"/>
        </w:rPr>
        <w:t>Splošnega dogovora ne spremeni.</w:t>
      </w:r>
    </w:p>
    <w:p w14:paraId="56DB49E9" w14:textId="77777777" w:rsidR="006D0A29" w:rsidRPr="005E4BEA" w:rsidRDefault="006D0A29" w:rsidP="00C32B24">
      <w:pPr>
        <w:spacing w:line="0" w:lineRule="atLeast"/>
        <w:contextualSpacing/>
        <w:jc w:val="both"/>
        <w:rPr>
          <w:rFonts w:eastAsia="Arial Narrow" w:cs="Arial"/>
          <w:bCs/>
          <w:szCs w:val="20"/>
        </w:rPr>
      </w:pPr>
    </w:p>
    <w:bookmarkEnd w:id="170"/>
    <w:p w14:paraId="2993036C" w14:textId="12CAE47B"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(155)</w:t>
      </w:r>
    </w:p>
    <w:p w14:paraId="07F71D28" w14:textId="77777777" w:rsidR="001F2B79" w:rsidRPr="005E4BEA" w:rsidRDefault="001F2B79" w:rsidP="001F2B79">
      <w:pPr>
        <w:spacing w:line="0" w:lineRule="atLeast"/>
        <w:contextualSpacing/>
        <w:jc w:val="both"/>
        <w:rPr>
          <w:rFonts w:eastAsia="Arial Narrow" w:cs="Arial"/>
          <w:b/>
          <w:szCs w:val="20"/>
        </w:rPr>
      </w:pPr>
    </w:p>
    <w:p w14:paraId="0F93E5DC" w14:textId="2E247664" w:rsidR="00FE461F" w:rsidRPr="005E4BEA" w:rsidRDefault="001F2B79" w:rsidP="00FE461F">
      <w:pPr>
        <w:spacing w:line="240" w:lineRule="auto"/>
        <w:jc w:val="both"/>
        <w:rPr>
          <w:rFonts w:cs="Arial"/>
          <w:bCs/>
          <w:i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w:t>
      </w:r>
      <w:r w:rsidR="00FE461F" w:rsidRPr="005E4BEA">
        <w:rPr>
          <w:rFonts w:cs="Arial"/>
          <w:bCs/>
          <w:iCs/>
          <w:szCs w:val="20"/>
        </w:rPr>
        <w:t>BOL-1 pod (9) odstavkom »Model plačevanja klinične genetike« doda:</w:t>
      </w:r>
    </w:p>
    <w:p w14:paraId="47DEB5E4" w14:textId="77777777" w:rsidR="001F2B79" w:rsidRPr="005E4BEA" w:rsidRDefault="001F2B79" w:rsidP="00FE461F">
      <w:pPr>
        <w:spacing w:line="240" w:lineRule="auto"/>
        <w:jc w:val="both"/>
        <w:rPr>
          <w:rFonts w:cs="Arial"/>
          <w:bCs/>
          <w:iCs/>
          <w:szCs w:val="20"/>
        </w:rPr>
      </w:pPr>
    </w:p>
    <w:tbl>
      <w:tblPr>
        <w:tblW w:w="6091" w:type="dxa"/>
        <w:tblBorders>
          <w:top w:val="single" w:sz="4" w:space="0" w:color="548DD4"/>
          <w:left w:val="single" w:sz="4" w:space="0" w:color="548DD4"/>
          <w:bottom w:val="single" w:sz="4" w:space="0" w:color="548DD4"/>
          <w:right w:val="single" w:sz="4" w:space="0" w:color="548DD4"/>
          <w:insideH w:val="single" w:sz="6" w:space="0" w:color="548DD4"/>
          <w:insideV w:val="single" w:sz="6" w:space="0" w:color="548DD4"/>
        </w:tblBorders>
        <w:tblCellMar>
          <w:left w:w="70" w:type="dxa"/>
          <w:right w:w="70" w:type="dxa"/>
        </w:tblCellMar>
        <w:tblLook w:val="04A0" w:firstRow="1" w:lastRow="0" w:firstColumn="1" w:lastColumn="0" w:noHBand="0" w:noVBand="1"/>
      </w:tblPr>
      <w:tblGrid>
        <w:gridCol w:w="2263"/>
        <w:gridCol w:w="1418"/>
        <w:gridCol w:w="1417"/>
        <w:gridCol w:w="993"/>
      </w:tblGrid>
      <w:tr w:rsidR="00FE461F" w:rsidRPr="005E4BEA" w14:paraId="53A44C87" w14:textId="77777777" w:rsidTr="0016774B">
        <w:trPr>
          <w:trHeight w:val="227"/>
        </w:trPr>
        <w:tc>
          <w:tcPr>
            <w:tcW w:w="2263" w:type="dxa"/>
            <w:shd w:val="clear" w:color="auto" w:fill="auto"/>
            <w:hideMark/>
          </w:tcPr>
          <w:p w14:paraId="37E5E46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Izvajalec</w:t>
            </w:r>
          </w:p>
        </w:tc>
        <w:tc>
          <w:tcPr>
            <w:tcW w:w="1418" w:type="dxa"/>
            <w:shd w:val="clear" w:color="auto" w:fill="auto"/>
            <w:hideMark/>
          </w:tcPr>
          <w:p w14:paraId="097898E4"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Načrtovano število storitev</w:t>
            </w:r>
          </w:p>
        </w:tc>
        <w:tc>
          <w:tcPr>
            <w:tcW w:w="1417" w:type="dxa"/>
            <w:shd w:val="clear" w:color="auto" w:fill="auto"/>
            <w:hideMark/>
          </w:tcPr>
          <w:p w14:paraId="728E2942"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Načrtovana sredstva</w:t>
            </w:r>
          </w:p>
        </w:tc>
        <w:tc>
          <w:tcPr>
            <w:tcW w:w="993" w:type="dxa"/>
            <w:shd w:val="clear" w:color="auto" w:fill="auto"/>
            <w:hideMark/>
          </w:tcPr>
          <w:p w14:paraId="52D1BF4A" w14:textId="77777777" w:rsidR="00FE461F" w:rsidRPr="005E4BEA" w:rsidRDefault="00FE461F" w:rsidP="00FE461F">
            <w:pPr>
              <w:spacing w:line="240" w:lineRule="auto"/>
              <w:jc w:val="both"/>
              <w:rPr>
                <w:rFonts w:cs="Arial"/>
                <w:b/>
                <w:bCs/>
                <w:color w:val="000000"/>
                <w:szCs w:val="20"/>
              </w:rPr>
            </w:pPr>
            <w:r w:rsidRPr="005E4BEA">
              <w:rPr>
                <w:rFonts w:cs="Arial"/>
                <w:b/>
                <w:bCs/>
                <w:color w:val="000000"/>
                <w:szCs w:val="20"/>
              </w:rPr>
              <w:t>Število timov</w:t>
            </w:r>
          </w:p>
        </w:tc>
      </w:tr>
      <w:tr w:rsidR="00FE461F" w:rsidRPr="005E4BEA" w14:paraId="345E3C42" w14:textId="77777777" w:rsidTr="0016774B">
        <w:trPr>
          <w:trHeight w:val="227"/>
        </w:trPr>
        <w:tc>
          <w:tcPr>
            <w:tcW w:w="2263" w:type="dxa"/>
            <w:shd w:val="clear" w:color="auto" w:fill="auto"/>
            <w:noWrap/>
            <w:vAlign w:val="bottom"/>
            <w:hideMark/>
          </w:tcPr>
          <w:p w14:paraId="6118BE4B"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Onkološki inštitut Ljubljana</w:t>
            </w:r>
          </w:p>
        </w:tc>
        <w:tc>
          <w:tcPr>
            <w:tcW w:w="1418" w:type="dxa"/>
            <w:shd w:val="clear" w:color="auto" w:fill="auto"/>
            <w:noWrap/>
            <w:vAlign w:val="bottom"/>
            <w:hideMark/>
          </w:tcPr>
          <w:p w14:paraId="0D4928A1"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1.760</w:t>
            </w:r>
          </w:p>
        </w:tc>
        <w:tc>
          <w:tcPr>
            <w:tcW w:w="1417" w:type="dxa"/>
            <w:shd w:val="clear" w:color="auto" w:fill="auto"/>
            <w:noWrap/>
            <w:vAlign w:val="bottom"/>
            <w:hideMark/>
          </w:tcPr>
          <w:p w14:paraId="4AA852BF" w14:textId="77777777" w:rsidR="00FE461F" w:rsidRPr="005E4BEA" w:rsidRDefault="00FE461F" w:rsidP="00FE461F">
            <w:pPr>
              <w:spacing w:line="240" w:lineRule="auto"/>
              <w:jc w:val="both"/>
              <w:rPr>
                <w:rFonts w:cs="Arial"/>
                <w:color w:val="000000"/>
                <w:szCs w:val="20"/>
              </w:rPr>
            </w:pPr>
            <w:r w:rsidRPr="005E4BEA">
              <w:rPr>
                <w:rFonts w:cs="Arial"/>
                <w:color w:val="000000"/>
                <w:szCs w:val="20"/>
              </w:rPr>
              <w:t>637.408,1</w:t>
            </w:r>
          </w:p>
        </w:tc>
        <w:tc>
          <w:tcPr>
            <w:tcW w:w="993" w:type="dxa"/>
            <w:shd w:val="clear" w:color="auto" w:fill="auto"/>
            <w:noWrap/>
            <w:vAlign w:val="bottom"/>
            <w:hideMark/>
          </w:tcPr>
          <w:p w14:paraId="367B544F" w14:textId="77777777" w:rsidR="00FE461F" w:rsidRPr="005E4BEA" w:rsidRDefault="00FE461F" w:rsidP="00FE461F">
            <w:pPr>
              <w:spacing w:line="240" w:lineRule="auto"/>
              <w:jc w:val="both"/>
              <w:rPr>
                <w:rFonts w:cs="Arial"/>
                <w:color w:val="000000"/>
                <w:szCs w:val="20"/>
              </w:rPr>
            </w:pPr>
          </w:p>
        </w:tc>
      </w:tr>
    </w:tbl>
    <w:p w14:paraId="1E3A767D" w14:textId="77777777" w:rsidR="00FE461F" w:rsidRPr="005E4BEA" w:rsidRDefault="00FE461F" w:rsidP="00FE461F">
      <w:pPr>
        <w:spacing w:line="240" w:lineRule="auto"/>
        <w:jc w:val="both"/>
        <w:rPr>
          <w:rFonts w:cs="Arial"/>
          <w:szCs w:val="20"/>
        </w:rPr>
      </w:pPr>
    </w:p>
    <w:p w14:paraId="43E049F7"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E82572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Onkološki inštitut že vrsto let s sklopu </w:t>
      </w:r>
      <w:proofErr w:type="spellStart"/>
      <w:r w:rsidRPr="005E4BEA">
        <w:rPr>
          <w:rFonts w:cs="Arial"/>
          <w:i/>
          <w:iCs/>
          <w:color w:val="808080" w:themeColor="background1" w:themeShade="80"/>
          <w:szCs w:val="20"/>
        </w:rPr>
        <w:t>patohistoloških</w:t>
      </w:r>
      <w:proofErr w:type="spellEnd"/>
      <w:r w:rsidRPr="005E4BEA">
        <w:rPr>
          <w:rFonts w:cs="Arial"/>
          <w:i/>
          <w:iCs/>
          <w:color w:val="808080" w:themeColor="background1" w:themeShade="80"/>
          <w:szCs w:val="20"/>
        </w:rPr>
        <w:t xml:space="preserve"> preiskav opravlja diagnostične preiskave FISH (fluorescentna in situ hibridizacija) za potrebe natančnejše diagnostike (opredelitve tumorjev) in določanja tarč, ki so osnova za kemoterapevtsko zdravljenje. </w:t>
      </w:r>
    </w:p>
    <w:p w14:paraId="3957605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Ker omenjena preiskava nima ustrezne obračunske šifre v </w:t>
      </w:r>
      <w:proofErr w:type="spellStart"/>
      <w:r w:rsidRPr="005E4BEA">
        <w:rPr>
          <w:rFonts w:cs="Arial"/>
          <w:i/>
          <w:iCs/>
          <w:color w:val="808080" w:themeColor="background1" w:themeShade="80"/>
          <w:szCs w:val="20"/>
        </w:rPr>
        <w:t>t.i</w:t>
      </w:r>
      <w:proofErr w:type="spellEnd"/>
      <w:r w:rsidRPr="005E4BEA">
        <w:rPr>
          <w:rFonts w:cs="Arial"/>
          <w:i/>
          <w:iCs/>
          <w:color w:val="808080" w:themeColor="background1" w:themeShade="80"/>
          <w:szCs w:val="20"/>
        </w:rPr>
        <w:t>. zeleni knjigi Onkološki inštitut opravlja te preiskave na svoje lastne stroške. Glede na nov obračunski model plačevanja storitev klinične genetike, ki vključuje tudi FISH preiskavo, predlagamo in prosimo, da se med izvajalce uvrsti tudi Onkološki inštitut.</w:t>
      </w:r>
    </w:p>
    <w:p w14:paraId="6818DC20"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lastRenderedPageBreak/>
        <w:t>Finančna ocena: 637.408,1 € (1725 preiskav FISH diagnostika I (1 - 2 sondi), 35 preiskav FISH diagnostika II (več kot 2 sondi))</w:t>
      </w:r>
    </w:p>
    <w:p w14:paraId="1CC199A2" w14:textId="77777777" w:rsidR="00FE461F" w:rsidRPr="005E4BEA" w:rsidRDefault="00FE461F" w:rsidP="00FE461F">
      <w:pPr>
        <w:spacing w:line="240" w:lineRule="auto"/>
        <w:jc w:val="both"/>
        <w:rPr>
          <w:rFonts w:cs="Arial"/>
          <w:i/>
          <w:iCs/>
          <w:color w:val="808080" w:themeColor="background1" w:themeShade="80"/>
          <w:szCs w:val="20"/>
        </w:rPr>
      </w:pPr>
    </w:p>
    <w:p w14:paraId="4A2FA5C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 0,637 mio €</w:t>
      </w:r>
    </w:p>
    <w:p w14:paraId="20F8B464" w14:textId="45F4C452" w:rsidR="00FE461F" w:rsidRPr="005E4BEA" w:rsidRDefault="00FE461F" w:rsidP="00FE461F">
      <w:pPr>
        <w:spacing w:line="240" w:lineRule="auto"/>
        <w:jc w:val="both"/>
        <w:rPr>
          <w:rFonts w:cs="Arial"/>
          <w:i/>
          <w:iCs/>
          <w:color w:val="808080" w:themeColor="background1" w:themeShade="80"/>
          <w:szCs w:val="20"/>
        </w:rPr>
      </w:pPr>
    </w:p>
    <w:p w14:paraId="09948D1B" w14:textId="0144AC32"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B1288C" w:rsidRPr="005E4BEA">
        <w:rPr>
          <w:rFonts w:eastAsia="Arial Narrow" w:cs="Arial"/>
          <w:szCs w:val="20"/>
        </w:rPr>
        <w:t xml:space="preserve">s predlogom ne </w:t>
      </w:r>
      <w:r w:rsidRPr="005E4BEA">
        <w:rPr>
          <w:rFonts w:eastAsia="Arial Narrow" w:cs="Arial"/>
          <w:szCs w:val="20"/>
        </w:rPr>
        <w:t>strinja.</w:t>
      </w:r>
    </w:p>
    <w:p w14:paraId="22F60C4B" w14:textId="77777777" w:rsidR="001F2B79" w:rsidRPr="005E4BEA" w:rsidRDefault="001F2B79" w:rsidP="001F2B79">
      <w:pPr>
        <w:spacing w:line="0" w:lineRule="atLeast"/>
        <w:jc w:val="both"/>
        <w:rPr>
          <w:rFonts w:eastAsia="Arial Narrow" w:cs="Arial"/>
          <w:szCs w:val="20"/>
          <w:lang w:eastAsia="sl-SI"/>
        </w:rPr>
      </w:pPr>
    </w:p>
    <w:p w14:paraId="2FB6C32A" w14:textId="0CDDF4FF" w:rsidR="001F2B79" w:rsidRPr="005E4BEA" w:rsidRDefault="001F2B79" w:rsidP="00B1288C">
      <w:pPr>
        <w:spacing w:line="240" w:lineRule="auto"/>
        <w:jc w:val="both"/>
        <w:rPr>
          <w:rFonts w:cs="Arial"/>
          <w:i/>
          <w:iCs/>
          <w:color w:val="767171"/>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71" w:name="_Hlk102550182"/>
      <w:bookmarkStart w:id="172" w:name="_Hlk102575179"/>
      <w:r w:rsidR="00437C8A" w:rsidRPr="005E4BEA">
        <w:rPr>
          <w:rFonts w:eastAsia="Arial Narrow" w:cs="Arial"/>
          <w:bCs/>
          <w:szCs w:val="20"/>
        </w:rPr>
        <w:t xml:space="preserve">da </w:t>
      </w:r>
      <w:r w:rsidR="00B1288C" w:rsidRPr="005E4BEA">
        <w:rPr>
          <w:rFonts w:eastAsia="Arial Narrow" w:cs="Arial"/>
          <w:bCs/>
          <w:szCs w:val="20"/>
        </w:rPr>
        <w:t xml:space="preserve">se </w:t>
      </w:r>
      <w:r w:rsidR="00437C8A" w:rsidRPr="005E4BEA">
        <w:rPr>
          <w:rFonts w:eastAsia="Arial Narrow" w:cs="Arial"/>
          <w:bCs/>
          <w:szCs w:val="20"/>
        </w:rPr>
        <w:t>Prilog</w:t>
      </w:r>
      <w:r w:rsidR="00B1288C" w:rsidRPr="005E4BEA">
        <w:rPr>
          <w:rFonts w:eastAsia="Arial Narrow" w:cs="Arial"/>
          <w:bCs/>
          <w:szCs w:val="20"/>
        </w:rPr>
        <w:t>a</w:t>
      </w:r>
      <w:r w:rsidR="00437C8A" w:rsidRPr="005E4BEA">
        <w:rPr>
          <w:rFonts w:eastAsia="Arial Narrow" w:cs="Arial"/>
          <w:bCs/>
          <w:szCs w:val="20"/>
        </w:rPr>
        <w:t xml:space="preserve"> </w:t>
      </w:r>
      <w:r w:rsidR="00437C8A" w:rsidRPr="005E4BEA">
        <w:rPr>
          <w:rFonts w:cs="Arial"/>
          <w:bCs/>
          <w:iCs/>
          <w:szCs w:val="20"/>
        </w:rPr>
        <w:t xml:space="preserve">BOL-1 </w:t>
      </w:r>
      <w:bookmarkEnd w:id="171"/>
      <w:r w:rsidR="00B1288C" w:rsidRPr="005E4BEA">
        <w:rPr>
          <w:rFonts w:cs="Arial"/>
          <w:bCs/>
          <w:iCs/>
          <w:szCs w:val="20"/>
        </w:rPr>
        <w:t>Splošnega dogovora ne spremeni.</w:t>
      </w:r>
    </w:p>
    <w:bookmarkEnd w:id="172"/>
    <w:p w14:paraId="58CEA904" w14:textId="2145DFFD"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(157)</w:t>
      </w:r>
    </w:p>
    <w:p w14:paraId="0B36E34F" w14:textId="77777777" w:rsidR="001F2B79" w:rsidRPr="005E4BEA" w:rsidRDefault="001F2B79" w:rsidP="001F2B79">
      <w:pPr>
        <w:spacing w:line="0" w:lineRule="atLeast"/>
        <w:contextualSpacing/>
        <w:jc w:val="both"/>
        <w:rPr>
          <w:rFonts w:eastAsia="Arial Narrow" w:cs="Arial"/>
          <w:b/>
          <w:szCs w:val="20"/>
        </w:rPr>
      </w:pPr>
    </w:p>
    <w:p w14:paraId="5AD3BF83" w14:textId="04E43D1A"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w:t>
      </w:r>
      <w:r w:rsidR="00FE461F" w:rsidRPr="005E4BEA">
        <w:rPr>
          <w:rFonts w:cs="Arial"/>
          <w:bCs/>
          <w:szCs w:val="20"/>
        </w:rPr>
        <w:t>BOL-2 (1) odstavek spremeni tako, da se spodaj navedeni programi iz točke c) prenesejo v točko a) Program, plačilo po realizaciji:</w:t>
      </w:r>
    </w:p>
    <w:p w14:paraId="0866F450" w14:textId="77777777" w:rsidR="00FE461F" w:rsidRPr="005E4BEA" w:rsidRDefault="00FE461F" w:rsidP="00FE461F">
      <w:pPr>
        <w:spacing w:line="240" w:lineRule="auto"/>
        <w:jc w:val="both"/>
        <w:rPr>
          <w:rFonts w:cs="Arial"/>
          <w:iCs/>
          <w:szCs w:val="20"/>
        </w:rPr>
      </w:pPr>
      <w:r w:rsidRPr="005E4BEA">
        <w:rPr>
          <w:rFonts w:cs="Arial"/>
          <w:iCs/>
          <w:szCs w:val="20"/>
        </w:rPr>
        <w:t xml:space="preserve">5 Operacija na ožilju – arterije in vene </w:t>
      </w:r>
    </w:p>
    <w:p w14:paraId="70B74DDE" w14:textId="77777777" w:rsidR="00FE461F" w:rsidRPr="005E4BEA" w:rsidRDefault="00FE461F" w:rsidP="00FE461F">
      <w:pPr>
        <w:spacing w:line="240" w:lineRule="auto"/>
        <w:jc w:val="both"/>
        <w:rPr>
          <w:rFonts w:cs="Arial"/>
          <w:iCs/>
          <w:szCs w:val="20"/>
        </w:rPr>
      </w:pPr>
      <w:r w:rsidRPr="005E4BEA">
        <w:rPr>
          <w:rFonts w:cs="Arial"/>
          <w:iCs/>
          <w:szCs w:val="20"/>
        </w:rPr>
        <w:t xml:space="preserve">8 </w:t>
      </w:r>
      <w:proofErr w:type="spellStart"/>
      <w:r w:rsidRPr="005E4BEA">
        <w:rPr>
          <w:rFonts w:cs="Arial"/>
          <w:iCs/>
          <w:szCs w:val="20"/>
        </w:rPr>
        <w:t>Angiografija</w:t>
      </w:r>
      <w:proofErr w:type="spellEnd"/>
    </w:p>
    <w:p w14:paraId="43332F51" w14:textId="77777777" w:rsidR="00FE461F" w:rsidRPr="005E4BEA" w:rsidRDefault="00FE461F" w:rsidP="00FE461F">
      <w:pPr>
        <w:spacing w:line="240" w:lineRule="auto"/>
        <w:jc w:val="both"/>
        <w:rPr>
          <w:rFonts w:cs="Arial"/>
          <w:iCs/>
          <w:szCs w:val="20"/>
        </w:rPr>
      </w:pPr>
      <w:r w:rsidRPr="005E4BEA">
        <w:rPr>
          <w:rFonts w:cs="Arial"/>
          <w:iCs/>
          <w:szCs w:val="20"/>
        </w:rPr>
        <w:t xml:space="preserve">11 </w:t>
      </w:r>
      <w:proofErr w:type="spellStart"/>
      <w:r w:rsidRPr="005E4BEA">
        <w:rPr>
          <w:rFonts w:cs="Arial"/>
          <w:iCs/>
          <w:szCs w:val="20"/>
        </w:rPr>
        <w:t>Endoproteza</w:t>
      </w:r>
      <w:proofErr w:type="spellEnd"/>
      <w:r w:rsidRPr="005E4BEA">
        <w:rPr>
          <w:rFonts w:cs="Arial"/>
          <w:iCs/>
          <w:szCs w:val="20"/>
        </w:rPr>
        <w:t xml:space="preserve"> kolka </w:t>
      </w:r>
    </w:p>
    <w:p w14:paraId="1DAAFF09" w14:textId="77777777" w:rsidR="00FE461F" w:rsidRPr="005E4BEA" w:rsidRDefault="00FE461F" w:rsidP="00FE461F">
      <w:pPr>
        <w:spacing w:line="240" w:lineRule="auto"/>
        <w:jc w:val="both"/>
        <w:rPr>
          <w:rFonts w:cs="Arial"/>
          <w:iCs/>
          <w:szCs w:val="20"/>
        </w:rPr>
      </w:pPr>
      <w:r w:rsidRPr="005E4BEA">
        <w:rPr>
          <w:rFonts w:cs="Arial"/>
          <w:iCs/>
          <w:szCs w:val="20"/>
        </w:rPr>
        <w:t xml:space="preserve">12 </w:t>
      </w:r>
      <w:proofErr w:type="spellStart"/>
      <w:r w:rsidRPr="005E4BEA">
        <w:rPr>
          <w:rFonts w:cs="Arial"/>
          <w:iCs/>
          <w:szCs w:val="20"/>
        </w:rPr>
        <w:t>Endoproteza</w:t>
      </w:r>
      <w:proofErr w:type="spellEnd"/>
      <w:r w:rsidRPr="005E4BEA">
        <w:rPr>
          <w:rFonts w:cs="Arial"/>
          <w:iCs/>
          <w:szCs w:val="20"/>
        </w:rPr>
        <w:t xml:space="preserve"> kolena </w:t>
      </w:r>
    </w:p>
    <w:p w14:paraId="4406B01F" w14:textId="77777777" w:rsidR="00FE461F" w:rsidRPr="005E4BEA" w:rsidRDefault="00FE461F" w:rsidP="00FE461F">
      <w:pPr>
        <w:spacing w:line="240" w:lineRule="auto"/>
        <w:jc w:val="both"/>
        <w:rPr>
          <w:rFonts w:cs="Arial"/>
          <w:iCs/>
          <w:szCs w:val="20"/>
        </w:rPr>
      </w:pPr>
      <w:r w:rsidRPr="005E4BEA">
        <w:rPr>
          <w:rFonts w:cs="Arial"/>
          <w:iCs/>
          <w:szCs w:val="20"/>
        </w:rPr>
        <w:t xml:space="preserve">16 </w:t>
      </w:r>
      <w:proofErr w:type="spellStart"/>
      <w:r w:rsidRPr="005E4BEA">
        <w:rPr>
          <w:rFonts w:cs="Arial"/>
          <w:iCs/>
          <w:szCs w:val="20"/>
        </w:rPr>
        <w:t>Endoproteza</w:t>
      </w:r>
      <w:proofErr w:type="spellEnd"/>
      <w:r w:rsidRPr="005E4BEA">
        <w:rPr>
          <w:rFonts w:cs="Arial"/>
          <w:iCs/>
          <w:szCs w:val="20"/>
        </w:rPr>
        <w:t xml:space="preserve"> gležnja </w:t>
      </w:r>
    </w:p>
    <w:p w14:paraId="4F9F6369" w14:textId="77777777" w:rsidR="00FE461F" w:rsidRPr="005E4BEA" w:rsidRDefault="00FE461F" w:rsidP="00FE461F">
      <w:pPr>
        <w:spacing w:line="240" w:lineRule="auto"/>
        <w:jc w:val="both"/>
        <w:rPr>
          <w:rFonts w:cs="Arial"/>
          <w:iCs/>
          <w:szCs w:val="20"/>
        </w:rPr>
      </w:pPr>
      <w:r w:rsidRPr="005E4BEA">
        <w:rPr>
          <w:rFonts w:cs="Arial"/>
          <w:iCs/>
          <w:szCs w:val="20"/>
        </w:rPr>
        <w:t>27 Operacija ženske stresne inkontinence</w:t>
      </w:r>
    </w:p>
    <w:p w14:paraId="30B59E4B" w14:textId="77777777" w:rsidR="00FE461F" w:rsidRPr="005E4BEA" w:rsidRDefault="00FE461F" w:rsidP="00FE461F">
      <w:pPr>
        <w:spacing w:line="240" w:lineRule="auto"/>
        <w:jc w:val="both"/>
        <w:rPr>
          <w:rFonts w:cs="Arial"/>
          <w:szCs w:val="20"/>
        </w:rPr>
      </w:pPr>
    </w:p>
    <w:p w14:paraId="42867358"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3B03D77A" w14:textId="5E4DDF5E"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Pri vseh navedenih programih čakalna doba presega dopustno čakalno dobo. Pacientov je iz leta v leto več, ob hkratnem povečevanju realizacije programov. Večina pacientov iz teh čakalnih seznamov predstavlja delovno aktivno prebivalstvo, ki s podaljševanjem bolniškega staleža le še povečuje stroške zdravstvene blagajne. </w:t>
      </w:r>
    </w:p>
    <w:p w14:paraId="6C7F1048" w14:textId="77777777" w:rsidR="001F2B79" w:rsidRPr="005E4BEA" w:rsidRDefault="001F2B79" w:rsidP="00FE461F">
      <w:pPr>
        <w:spacing w:line="240" w:lineRule="auto"/>
        <w:jc w:val="both"/>
        <w:rPr>
          <w:rFonts w:cs="Arial"/>
          <w:i/>
          <w:iCs/>
          <w:color w:val="808080" w:themeColor="background1" w:themeShade="80"/>
          <w:szCs w:val="20"/>
        </w:rPr>
      </w:pPr>
    </w:p>
    <w:p w14:paraId="1D6E3B5D"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Finančni učinek: 623.285,54 eur na leto.</w:t>
      </w:r>
    </w:p>
    <w:p w14:paraId="28E822AC" w14:textId="4308C511" w:rsidR="00FE461F" w:rsidRPr="005E4BEA" w:rsidRDefault="00FE461F" w:rsidP="00FE461F">
      <w:pPr>
        <w:spacing w:line="240" w:lineRule="auto"/>
        <w:jc w:val="both"/>
        <w:rPr>
          <w:rFonts w:cs="Arial"/>
          <w:i/>
          <w:iCs/>
          <w:color w:val="808080" w:themeColor="background1" w:themeShade="80"/>
          <w:szCs w:val="20"/>
        </w:rPr>
      </w:pPr>
    </w:p>
    <w:p w14:paraId="4A63E9DE" w14:textId="77777777" w:rsidR="001F2B79" w:rsidRPr="005E4BEA" w:rsidRDefault="001F2B79" w:rsidP="001F2B79">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760FC6A2" w14:textId="77777777" w:rsidR="001F2B79" w:rsidRPr="005E4BEA" w:rsidRDefault="001F2B79" w:rsidP="001F2B79">
      <w:pPr>
        <w:spacing w:line="0" w:lineRule="atLeast"/>
        <w:jc w:val="both"/>
        <w:rPr>
          <w:rFonts w:eastAsia="Arial Narrow" w:cs="Arial"/>
          <w:szCs w:val="20"/>
          <w:lang w:eastAsia="sl-SI"/>
        </w:rPr>
      </w:pPr>
    </w:p>
    <w:p w14:paraId="56441EA6" w14:textId="6834D9D7" w:rsidR="001F2B79" w:rsidRPr="005E4BEA" w:rsidRDefault="001F2B79" w:rsidP="001F2B79">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BOL-2 </w:t>
      </w:r>
      <w:r w:rsidRPr="005E4BEA">
        <w:rPr>
          <w:rFonts w:eastAsiaTheme="minorHAnsi" w:cs="Arial"/>
          <w:bCs/>
          <w:szCs w:val="20"/>
        </w:rPr>
        <w:t>Splošnega dogovora ne spremeni.</w:t>
      </w:r>
    </w:p>
    <w:p w14:paraId="40C13335" w14:textId="77777777" w:rsidR="001F2B79" w:rsidRPr="005E4BEA" w:rsidRDefault="001F2B79" w:rsidP="001F2B79">
      <w:pPr>
        <w:spacing w:line="240" w:lineRule="auto"/>
        <w:jc w:val="both"/>
        <w:rPr>
          <w:rFonts w:cs="Arial"/>
          <w:i/>
          <w:iCs/>
          <w:color w:val="767171"/>
          <w:szCs w:val="20"/>
        </w:rPr>
      </w:pPr>
    </w:p>
    <w:p w14:paraId="1A3249BD" w14:textId="77777777" w:rsidR="001F2B79" w:rsidRPr="005E4BEA" w:rsidRDefault="001F2B79" w:rsidP="001F2B79">
      <w:pPr>
        <w:spacing w:line="240" w:lineRule="auto"/>
        <w:jc w:val="both"/>
        <w:rPr>
          <w:rFonts w:cs="Arial"/>
          <w:i/>
          <w:iCs/>
          <w:color w:val="767171"/>
          <w:szCs w:val="20"/>
        </w:rPr>
      </w:pPr>
    </w:p>
    <w:p w14:paraId="59B82F21" w14:textId="6F9929C7" w:rsidR="001F2B79" w:rsidRPr="005E4BEA" w:rsidRDefault="001F2B79"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w:t>
      </w:r>
      <w:r w:rsidR="00241A6D" w:rsidRPr="005E4BEA">
        <w:rPr>
          <w:rFonts w:ascii="Arial" w:eastAsia="Arial Narrow" w:hAnsi="Arial" w:cs="Arial"/>
          <w:sz w:val="20"/>
        </w:rPr>
        <w:t>61</w:t>
      </w:r>
      <w:r w:rsidRPr="005E4BEA">
        <w:rPr>
          <w:rFonts w:ascii="Arial" w:eastAsia="Arial Narrow" w:hAnsi="Arial" w:cs="Arial"/>
          <w:sz w:val="20"/>
        </w:rPr>
        <w:t>)</w:t>
      </w:r>
    </w:p>
    <w:p w14:paraId="09F4F037" w14:textId="77777777" w:rsidR="001F2B79" w:rsidRPr="005E4BEA" w:rsidRDefault="001F2B79" w:rsidP="001F2B79">
      <w:pPr>
        <w:spacing w:line="0" w:lineRule="atLeast"/>
        <w:contextualSpacing/>
        <w:jc w:val="both"/>
        <w:rPr>
          <w:rFonts w:eastAsia="Arial Narrow" w:cs="Arial"/>
          <w:b/>
          <w:szCs w:val="20"/>
        </w:rPr>
      </w:pPr>
    </w:p>
    <w:p w14:paraId="6ECC2590" w14:textId="5129CBDD" w:rsidR="00FE461F" w:rsidRPr="005E4BEA" w:rsidRDefault="001F2B79" w:rsidP="00FE461F">
      <w:pPr>
        <w:spacing w:line="240" w:lineRule="auto"/>
        <w:jc w:val="both"/>
        <w:rPr>
          <w:rFonts w:cs="Arial"/>
          <w:bCs/>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da se v Prilogi BOL</w:t>
      </w:r>
      <w:r w:rsidR="00FE461F" w:rsidRPr="005E4BEA">
        <w:rPr>
          <w:rFonts w:cs="Arial"/>
          <w:bCs/>
          <w:szCs w:val="20"/>
        </w:rPr>
        <w:t>-3 se pri Sredstvih za terciar v točki (1) spremeni Tabela 2</w:t>
      </w:r>
    </w:p>
    <w:p w14:paraId="4B7EC450" w14:textId="77777777" w:rsidR="00241A6D" w:rsidRPr="005E4BEA" w:rsidRDefault="00241A6D" w:rsidP="00FE461F">
      <w:pPr>
        <w:spacing w:line="240" w:lineRule="auto"/>
        <w:jc w:val="both"/>
        <w:rPr>
          <w:rFonts w:cs="Arial"/>
          <w:bCs/>
          <w:szCs w:val="20"/>
        </w:rPr>
      </w:pPr>
    </w:p>
    <w:p w14:paraId="28CA0837" w14:textId="77777777" w:rsidR="00FE461F" w:rsidRPr="005E4BEA" w:rsidRDefault="00FE461F" w:rsidP="00FE461F">
      <w:pPr>
        <w:spacing w:line="240" w:lineRule="auto"/>
        <w:jc w:val="both"/>
        <w:rPr>
          <w:rFonts w:cs="Arial"/>
          <w:iCs/>
          <w:szCs w:val="20"/>
        </w:rPr>
      </w:pPr>
      <w:r w:rsidRPr="005E4BEA">
        <w:rPr>
          <w:rFonts w:cs="Arial"/>
          <w:iCs/>
          <w:szCs w:val="20"/>
        </w:rPr>
        <w:t xml:space="preserve"> </w:t>
      </w:r>
      <w:r w:rsidRPr="005E4BEA">
        <w:rPr>
          <w:rFonts w:cs="Arial"/>
          <w:iCs/>
          <w:szCs w:val="20"/>
        </w:rPr>
        <w:tab/>
      </w:r>
      <w:r w:rsidRPr="005E4BEA">
        <w:rPr>
          <w:rFonts w:cs="Arial"/>
          <w:iCs/>
          <w:szCs w:val="20"/>
        </w:rPr>
        <w:tab/>
        <w:t xml:space="preserve"> Tabela 2</w:t>
      </w:r>
    </w:p>
    <w:tbl>
      <w:tblPr>
        <w:tblW w:w="0" w:type="auto"/>
        <w:tblInd w:w="65" w:type="dxa"/>
        <w:tblLayout w:type="fixed"/>
        <w:tblCellMar>
          <w:left w:w="70" w:type="dxa"/>
          <w:right w:w="70" w:type="dxa"/>
        </w:tblCellMar>
        <w:tblLook w:val="0000" w:firstRow="0" w:lastRow="0" w:firstColumn="0" w:lastColumn="0" w:noHBand="0" w:noVBand="0"/>
      </w:tblPr>
      <w:tblGrid>
        <w:gridCol w:w="4685"/>
        <w:gridCol w:w="1320"/>
        <w:gridCol w:w="1560"/>
        <w:gridCol w:w="1440"/>
      </w:tblGrid>
      <w:tr w:rsidR="00FE461F" w:rsidRPr="005E4BEA" w14:paraId="35EB1973" w14:textId="77777777" w:rsidTr="0016774B">
        <w:trPr>
          <w:trHeight w:val="80"/>
        </w:trPr>
        <w:tc>
          <w:tcPr>
            <w:tcW w:w="9005" w:type="dxa"/>
            <w:gridSpan w:val="4"/>
            <w:tcBorders>
              <w:bottom w:val="single" w:sz="12" w:space="0" w:color="auto"/>
            </w:tcBorders>
            <w:shd w:val="clear" w:color="auto" w:fill="auto"/>
          </w:tcPr>
          <w:p w14:paraId="69A9E60B" w14:textId="77777777" w:rsidR="00FE461F" w:rsidRPr="005E4BEA" w:rsidRDefault="00FE461F" w:rsidP="00FE461F">
            <w:pPr>
              <w:spacing w:line="240" w:lineRule="auto"/>
              <w:jc w:val="both"/>
              <w:rPr>
                <w:rFonts w:cs="Arial"/>
                <w:b/>
                <w:bCs/>
                <w:szCs w:val="20"/>
              </w:rPr>
            </w:pPr>
            <w:r w:rsidRPr="005E4BEA">
              <w:rPr>
                <w:rFonts w:cs="Arial"/>
                <w:bCs/>
                <w:szCs w:val="20"/>
              </w:rPr>
              <w:t>Planirana sredstva v tisoč EUR v izhodiščnih cenah 2021</w:t>
            </w:r>
            <w:r w:rsidRPr="005E4BEA">
              <w:rPr>
                <w:rFonts w:cs="Arial"/>
                <w:b/>
                <w:bCs/>
                <w:szCs w:val="20"/>
              </w:rPr>
              <w:t xml:space="preserve"> </w:t>
            </w:r>
          </w:p>
        </w:tc>
      </w:tr>
      <w:tr w:rsidR="00FE461F" w:rsidRPr="005E4BEA" w14:paraId="79824E90" w14:textId="77777777" w:rsidTr="0016774B">
        <w:trPr>
          <w:trHeight w:val="50"/>
        </w:trPr>
        <w:tc>
          <w:tcPr>
            <w:tcW w:w="4685" w:type="dxa"/>
            <w:tcBorders>
              <w:top w:val="single" w:sz="12" w:space="0" w:color="auto"/>
              <w:bottom w:val="single" w:sz="12" w:space="0" w:color="auto"/>
            </w:tcBorders>
            <w:shd w:val="clear" w:color="auto" w:fill="FFFF99"/>
          </w:tcPr>
          <w:p w14:paraId="173C285F" w14:textId="77777777" w:rsidR="00FE461F" w:rsidRPr="005E4BEA" w:rsidRDefault="00FE461F" w:rsidP="00FE461F">
            <w:pPr>
              <w:spacing w:line="240" w:lineRule="auto"/>
              <w:jc w:val="both"/>
              <w:rPr>
                <w:rFonts w:cs="Arial"/>
                <w:b/>
                <w:bCs/>
                <w:szCs w:val="20"/>
              </w:rPr>
            </w:pPr>
            <w:r w:rsidRPr="005E4BEA">
              <w:rPr>
                <w:rFonts w:cs="Arial"/>
                <w:b/>
                <w:bCs/>
                <w:szCs w:val="20"/>
              </w:rPr>
              <w:t>IZVAJALEC</w:t>
            </w:r>
          </w:p>
        </w:tc>
        <w:tc>
          <w:tcPr>
            <w:tcW w:w="1320" w:type="dxa"/>
            <w:tcBorders>
              <w:top w:val="single" w:sz="12" w:space="0" w:color="auto"/>
              <w:bottom w:val="single" w:sz="12" w:space="0" w:color="auto"/>
            </w:tcBorders>
            <w:shd w:val="clear" w:color="auto" w:fill="FFFF99"/>
          </w:tcPr>
          <w:p w14:paraId="79E584F2" w14:textId="77777777" w:rsidR="00FE461F" w:rsidRPr="005E4BEA" w:rsidRDefault="00FE461F" w:rsidP="00FE461F">
            <w:pPr>
              <w:spacing w:line="240" w:lineRule="auto"/>
              <w:jc w:val="both"/>
              <w:rPr>
                <w:rFonts w:cs="Arial"/>
                <w:b/>
                <w:bCs/>
                <w:szCs w:val="20"/>
              </w:rPr>
            </w:pPr>
            <w:r w:rsidRPr="005E4BEA">
              <w:rPr>
                <w:rFonts w:cs="Arial"/>
                <w:b/>
                <w:bCs/>
                <w:szCs w:val="20"/>
              </w:rPr>
              <w:t>Terciar I</w:t>
            </w:r>
          </w:p>
        </w:tc>
        <w:tc>
          <w:tcPr>
            <w:tcW w:w="1560" w:type="dxa"/>
            <w:tcBorders>
              <w:top w:val="single" w:sz="12" w:space="0" w:color="auto"/>
              <w:bottom w:val="single" w:sz="12" w:space="0" w:color="auto"/>
            </w:tcBorders>
            <w:shd w:val="clear" w:color="auto" w:fill="FFFF99"/>
          </w:tcPr>
          <w:p w14:paraId="752A4035" w14:textId="77777777" w:rsidR="00FE461F" w:rsidRPr="005E4BEA" w:rsidRDefault="00FE461F" w:rsidP="00FE461F">
            <w:pPr>
              <w:spacing w:line="240" w:lineRule="auto"/>
              <w:jc w:val="both"/>
              <w:rPr>
                <w:rFonts w:cs="Arial"/>
                <w:b/>
                <w:bCs/>
                <w:szCs w:val="20"/>
              </w:rPr>
            </w:pPr>
            <w:r w:rsidRPr="005E4BEA">
              <w:rPr>
                <w:rFonts w:cs="Arial"/>
                <w:b/>
                <w:bCs/>
                <w:szCs w:val="20"/>
              </w:rPr>
              <w:t>Terciar II</w:t>
            </w:r>
          </w:p>
        </w:tc>
        <w:tc>
          <w:tcPr>
            <w:tcW w:w="1440" w:type="dxa"/>
            <w:tcBorders>
              <w:top w:val="single" w:sz="12" w:space="0" w:color="auto"/>
              <w:bottom w:val="single" w:sz="12" w:space="0" w:color="auto"/>
            </w:tcBorders>
            <w:shd w:val="clear" w:color="auto" w:fill="FFFF99"/>
          </w:tcPr>
          <w:p w14:paraId="70EE1AAD" w14:textId="77777777" w:rsidR="00FE461F" w:rsidRPr="005E4BEA" w:rsidRDefault="00FE461F" w:rsidP="00FE461F">
            <w:pPr>
              <w:spacing w:line="240" w:lineRule="auto"/>
              <w:jc w:val="both"/>
              <w:rPr>
                <w:rFonts w:cs="Arial"/>
                <w:b/>
                <w:bCs/>
                <w:szCs w:val="20"/>
              </w:rPr>
            </w:pPr>
            <w:r w:rsidRPr="005E4BEA">
              <w:rPr>
                <w:rFonts w:cs="Arial"/>
                <w:b/>
                <w:bCs/>
                <w:szCs w:val="20"/>
              </w:rPr>
              <w:t>SKUPAJ</w:t>
            </w:r>
          </w:p>
        </w:tc>
      </w:tr>
      <w:tr w:rsidR="00FE461F" w:rsidRPr="005E4BEA" w14:paraId="52BD2832" w14:textId="77777777" w:rsidTr="0016774B">
        <w:trPr>
          <w:trHeight w:val="263"/>
        </w:trPr>
        <w:tc>
          <w:tcPr>
            <w:tcW w:w="4685" w:type="dxa"/>
            <w:tcBorders>
              <w:top w:val="single" w:sz="12" w:space="0" w:color="auto"/>
              <w:bottom w:val="single" w:sz="4" w:space="0" w:color="auto"/>
            </w:tcBorders>
            <w:vAlign w:val="center"/>
          </w:tcPr>
          <w:p w14:paraId="170CE3ED" w14:textId="77777777" w:rsidR="00FE461F" w:rsidRPr="005E4BEA" w:rsidRDefault="00FE461F" w:rsidP="00FE461F">
            <w:pPr>
              <w:spacing w:line="240" w:lineRule="auto"/>
              <w:jc w:val="both"/>
              <w:rPr>
                <w:rFonts w:cs="Arial"/>
                <w:szCs w:val="20"/>
              </w:rPr>
            </w:pPr>
          </w:p>
        </w:tc>
        <w:tc>
          <w:tcPr>
            <w:tcW w:w="1320" w:type="dxa"/>
            <w:tcBorders>
              <w:top w:val="single" w:sz="12" w:space="0" w:color="auto"/>
              <w:bottom w:val="single" w:sz="4" w:space="0" w:color="auto"/>
            </w:tcBorders>
            <w:vAlign w:val="center"/>
          </w:tcPr>
          <w:p w14:paraId="6490A714" w14:textId="77777777" w:rsidR="00FE461F" w:rsidRPr="005E4BEA" w:rsidRDefault="00FE461F" w:rsidP="00FE461F">
            <w:pPr>
              <w:spacing w:line="240" w:lineRule="auto"/>
              <w:jc w:val="both"/>
              <w:rPr>
                <w:rFonts w:cs="Arial"/>
                <w:szCs w:val="20"/>
              </w:rPr>
            </w:pPr>
          </w:p>
        </w:tc>
        <w:tc>
          <w:tcPr>
            <w:tcW w:w="1560" w:type="dxa"/>
            <w:tcBorders>
              <w:top w:val="single" w:sz="12" w:space="0" w:color="auto"/>
              <w:bottom w:val="single" w:sz="4" w:space="0" w:color="auto"/>
            </w:tcBorders>
            <w:vAlign w:val="center"/>
          </w:tcPr>
          <w:p w14:paraId="1C669C02" w14:textId="77777777" w:rsidR="00FE461F" w:rsidRPr="005E4BEA" w:rsidRDefault="00FE461F" w:rsidP="00FE461F">
            <w:pPr>
              <w:spacing w:line="240" w:lineRule="auto"/>
              <w:jc w:val="both"/>
              <w:rPr>
                <w:rFonts w:cs="Arial"/>
                <w:szCs w:val="20"/>
              </w:rPr>
            </w:pPr>
          </w:p>
        </w:tc>
        <w:tc>
          <w:tcPr>
            <w:tcW w:w="1440" w:type="dxa"/>
            <w:tcBorders>
              <w:top w:val="single" w:sz="12" w:space="0" w:color="auto"/>
              <w:bottom w:val="single" w:sz="4" w:space="0" w:color="auto"/>
            </w:tcBorders>
            <w:vAlign w:val="center"/>
          </w:tcPr>
          <w:p w14:paraId="277BC83A" w14:textId="77777777" w:rsidR="00FE461F" w:rsidRPr="005E4BEA" w:rsidRDefault="00FE461F" w:rsidP="00FE461F">
            <w:pPr>
              <w:spacing w:line="240" w:lineRule="auto"/>
              <w:jc w:val="both"/>
              <w:rPr>
                <w:rFonts w:cs="Arial"/>
                <w:szCs w:val="20"/>
              </w:rPr>
            </w:pPr>
          </w:p>
        </w:tc>
      </w:tr>
      <w:tr w:rsidR="00FE461F" w:rsidRPr="005E4BEA" w14:paraId="3A25D317" w14:textId="77777777" w:rsidTr="0016774B">
        <w:trPr>
          <w:trHeight w:val="284"/>
        </w:trPr>
        <w:tc>
          <w:tcPr>
            <w:tcW w:w="4685" w:type="dxa"/>
            <w:tcBorders>
              <w:top w:val="nil"/>
              <w:bottom w:val="single" w:sz="4" w:space="0" w:color="auto"/>
            </w:tcBorders>
            <w:vAlign w:val="center"/>
          </w:tcPr>
          <w:p w14:paraId="3DBBD8CF" w14:textId="77777777" w:rsidR="00FE461F" w:rsidRPr="005E4BEA" w:rsidRDefault="00FE461F" w:rsidP="00FE461F">
            <w:pPr>
              <w:spacing w:line="240" w:lineRule="auto"/>
              <w:jc w:val="both"/>
              <w:rPr>
                <w:rFonts w:cs="Arial"/>
                <w:szCs w:val="20"/>
              </w:rPr>
            </w:pPr>
            <w:r w:rsidRPr="005E4BEA">
              <w:rPr>
                <w:rFonts w:cs="Arial"/>
                <w:szCs w:val="20"/>
              </w:rPr>
              <w:t>Univerzitetni klinični center Maribor</w:t>
            </w:r>
          </w:p>
        </w:tc>
        <w:tc>
          <w:tcPr>
            <w:tcW w:w="1320" w:type="dxa"/>
            <w:tcBorders>
              <w:top w:val="nil"/>
              <w:bottom w:val="single" w:sz="4" w:space="0" w:color="auto"/>
            </w:tcBorders>
            <w:shd w:val="clear" w:color="auto" w:fill="FFFFFF"/>
            <w:vAlign w:val="bottom"/>
          </w:tcPr>
          <w:p w14:paraId="6A796473" w14:textId="77777777" w:rsidR="00FE461F" w:rsidRPr="005E4BEA" w:rsidRDefault="00FE461F" w:rsidP="00FE461F">
            <w:pPr>
              <w:spacing w:line="240" w:lineRule="auto"/>
              <w:jc w:val="both"/>
              <w:rPr>
                <w:rFonts w:cs="Arial"/>
                <w:szCs w:val="20"/>
              </w:rPr>
            </w:pPr>
            <w:r w:rsidRPr="005E4BEA">
              <w:rPr>
                <w:rFonts w:cs="Arial"/>
                <w:szCs w:val="20"/>
              </w:rPr>
              <w:t>6.385.950</w:t>
            </w:r>
          </w:p>
        </w:tc>
        <w:tc>
          <w:tcPr>
            <w:tcW w:w="1560" w:type="dxa"/>
            <w:tcBorders>
              <w:top w:val="nil"/>
              <w:bottom w:val="single" w:sz="4" w:space="0" w:color="auto"/>
            </w:tcBorders>
            <w:shd w:val="clear" w:color="auto" w:fill="FFFFFF"/>
            <w:vAlign w:val="bottom"/>
          </w:tcPr>
          <w:p w14:paraId="4E0F7528" w14:textId="77777777" w:rsidR="00FE461F" w:rsidRPr="005E4BEA" w:rsidRDefault="00FE461F" w:rsidP="00FE461F">
            <w:pPr>
              <w:spacing w:line="240" w:lineRule="auto"/>
              <w:jc w:val="both"/>
              <w:rPr>
                <w:rFonts w:cs="Arial"/>
                <w:szCs w:val="20"/>
              </w:rPr>
            </w:pPr>
            <w:r w:rsidRPr="005E4BEA">
              <w:rPr>
                <w:rFonts w:cs="Arial"/>
                <w:szCs w:val="20"/>
              </w:rPr>
              <w:t>25.481.195</w:t>
            </w:r>
          </w:p>
        </w:tc>
        <w:tc>
          <w:tcPr>
            <w:tcW w:w="1440" w:type="dxa"/>
            <w:tcBorders>
              <w:top w:val="nil"/>
              <w:bottom w:val="single" w:sz="4" w:space="0" w:color="auto"/>
            </w:tcBorders>
            <w:shd w:val="clear" w:color="auto" w:fill="FFFFFF"/>
            <w:vAlign w:val="bottom"/>
          </w:tcPr>
          <w:p w14:paraId="420E5027" w14:textId="77777777" w:rsidR="00FE461F" w:rsidRPr="005E4BEA" w:rsidRDefault="00FE461F" w:rsidP="00FE461F">
            <w:pPr>
              <w:spacing w:line="240" w:lineRule="auto"/>
              <w:jc w:val="both"/>
              <w:rPr>
                <w:rFonts w:cs="Arial"/>
                <w:szCs w:val="20"/>
              </w:rPr>
            </w:pPr>
            <w:r w:rsidRPr="005E4BEA">
              <w:rPr>
                <w:rFonts w:cs="Arial"/>
                <w:szCs w:val="20"/>
              </w:rPr>
              <w:t>31.867.145</w:t>
            </w:r>
          </w:p>
        </w:tc>
      </w:tr>
    </w:tbl>
    <w:p w14:paraId="581FFAE9" w14:textId="77777777" w:rsidR="00FE461F" w:rsidRPr="005E4BEA" w:rsidRDefault="00FE461F" w:rsidP="00FE461F">
      <w:pPr>
        <w:spacing w:line="240" w:lineRule="auto"/>
        <w:jc w:val="both"/>
        <w:rPr>
          <w:rFonts w:cs="Arial"/>
          <w:szCs w:val="20"/>
        </w:rPr>
      </w:pPr>
    </w:p>
    <w:p w14:paraId="5DE9A984"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681903D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 UKC Maribor že vrsto let ugotavljamo, da je eden od razlogov za slabše poslovanje tako v preteklih letih kot tudi v letu 2021 neustrezno financiranje terciarne dejavnosti v UKC Maribor.</w:t>
      </w:r>
    </w:p>
    <w:p w14:paraId="22B65077"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Terciarna dejavnost je bila podrobneje definirana ob uvedbi financiranja na osnovi sistema skupin primerljivih primerov – SPP v letu 2004. Terciarna dejavnost se je v Področnem dogovoru za bolnišnice razdelila na Terciar I in Terciar II, pri čemer je Terciar I obsegal program učenja in usposabljanja ter program razvoja in raziskovanja, Terciar II pa je bil sestavljen iz težavnosti (kompleksnosti) in izvedenosti (ekspertnosti), ki je potrebna pri zdravljenju najtežjih bolnikov. Zaradi pomanjkanja ustreznih podatkov je bilo ovrednotenje izvedeno deloma na osnovi preteklih podatkov o financiranju terciarne dejavnosti, deloma pa kot arbitrarna ocena vodje skupine za </w:t>
      </w:r>
      <w:r w:rsidRPr="005E4BEA">
        <w:rPr>
          <w:rFonts w:cs="Arial"/>
          <w:i/>
          <w:iCs/>
          <w:color w:val="808080" w:themeColor="background1" w:themeShade="80"/>
          <w:szCs w:val="20"/>
        </w:rPr>
        <w:lastRenderedPageBreak/>
        <w:t xml:space="preserve">definiranje terciarne dejavnosti. Od takrat dalje so se sredstva za terciarno dejavnost le indeksirala. Medtem pa je terciarna dejavnost v UKC Maribor doživela bistvene spremembe. Jeseni leta 2004 je začela delovati Medicinska fakulteta v Mariboru, kjer trenutno študira okrog 600 študentov medicine, za katere je glavna učna baza UKC Maribor in za katere podiplomsko izobraževanje (specializacije) prav tako v veliki meri poteka v UKC Maribor. Nekdanja Splošna bolnišnica Maribor je v letu 2007 pridobila naziv Univerzitetni klinični center Maribor. Naziv klinike so do danes pridobile vse osnovne dejavnosti bolnišnice: kirurgija, </w:t>
      </w:r>
      <w:proofErr w:type="spellStart"/>
      <w:r w:rsidRPr="005E4BEA">
        <w:rPr>
          <w:rFonts w:cs="Arial"/>
          <w:i/>
          <w:iCs/>
          <w:color w:val="808080" w:themeColor="background1" w:themeShade="80"/>
          <w:szCs w:val="20"/>
        </w:rPr>
        <w:t>internistika</w:t>
      </w:r>
      <w:proofErr w:type="spellEnd"/>
      <w:r w:rsidRPr="005E4BEA">
        <w:rPr>
          <w:rFonts w:cs="Arial"/>
          <w:i/>
          <w:iCs/>
          <w:color w:val="808080" w:themeColor="background1" w:themeShade="80"/>
          <w:szCs w:val="20"/>
        </w:rPr>
        <w:t xml:space="preserve">, ginekologija, pediatrija in tudi ORL. Pridobitev naziva UKC je bila končna formalna potrditev dejanskega izvajanja terciarne dejavnosti v UKC Maribor. </w:t>
      </w:r>
    </w:p>
    <w:p w14:paraId="47399F8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Izvajanje terciarne dejavnosti v UKC Maribor se je v zadnjem desetletju še razširilo, tako na področju izobraževanja in raziskovanja, kot tudi pri uvajanju novih metod zdravljenja, predvsem pri obravnavi najtežjih bolnikov. V UKC Maribor se je pri obravnavi hospitalnih bolnikov povprečna utež SPP primera iz realizirane 1,62 iz leta 2014 dvignila na koncu leta 2020 v realizirano 1,99. V letu 2021 pa je povprečna utež SPP primera za hospitalne bolnike že 2,12 in je od pogodbeno dogovorjene uteži za leto 2021, ki znaša 1,73 višja za 0,39 uteži. Tako visoka realizirana utež v letu 2021 (1-6 2021=2,12) samo potrjuje, da je v UKC Maribor iz področja SV Slovenije napotenih vse več bolnikov z najtežjimi obolenji, ki so zaradi tega danes precej dražji, kot je to bilo še 5 let nazaj . V priponki dopisa je Excelov dokument (tabela 1), v kateri je prikazano gibanje povprečne realizirane uteži SPP primera po letih.</w:t>
      </w:r>
    </w:p>
    <w:p w14:paraId="08A9BDA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Pri podrobni analizi realiziranih »težjih« hospitalnih bolnikov, smo ugotovili, da ima UKC Maribor na vseh oddelkih vsako leto več bolnikov, ki potrebujejo vse zahtevnejšo in vse dražjo zdravstveno oskrbo. Najbolj je to izstopajoče na področju radioloških invazivnih posegov, kjer smo ugotovili, da v veliko primerih z realizirano SPP utežjo ne uspemo pokriti niti materialnih stroškov (</w:t>
      </w:r>
      <w:proofErr w:type="spellStart"/>
      <w:r w:rsidRPr="005E4BEA">
        <w:rPr>
          <w:rFonts w:cs="Arial"/>
          <w:i/>
          <w:iCs/>
          <w:color w:val="808080" w:themeColor="background1" w:themeShade="80"/>
          <w:szCs w:val="20"/>
        </w:rPr>
        <w:t>embolizacije</w:t>
      </w:r>
      <w:proofErr w:type="spellEnd"/>
      <w:r w:rsidRPr="005E4BEA">
        <w:rPr>
          <w:rFonts w:cs="Arial"/>
          <w:i/>
          <w:iCs/>
          <w:color w:val="808080" w:themeColor="background1" w:themeShade="80"/>
          <w:szCs w:val="20"/>
        </w:rPr>
        <w:t xml:space="preserve"> arterij ali ven, možganske anevrizme, </w:t>
      </w:r>
      <w:proofErr w:type="spellStart"/>
      <w:r w:rsidRPr="005E4BEA">
        <w:rPr>
          <w:rFonts w:cs="Arial"/>
          <w:i/>
          <w:iCs/>
          <w:color w:val="808080" w:themeColor="background1" w:themeShade="80"/>
          <w:szCs w:val="20"/>
        </w:rPr>
        <w:t>embolizacija</w:t>
      </w:r>
      <w:proofErr w:type="spellEnd"/>
      <w:r w:rsidRPr="005E4BEA">
        <w:rPr>
          <w:rFonts w:cs="Arial"/>
          <w:i/>
          <w:iCs/>
          <w:color w:val="808080" w:themeColor="background1" w:themeShade="80"/>
          <w:szCs w:val="20"/>
        </w:rPr>
        <w:t xml:space="preserve"> žil trebuha...). V prilogi prikazujemo realizacijo za radiološki invazivni program - Priloga tabela 1. </w:t>
      </w:r>
    </w:p>
    <w:p w14:paraId="72DDB809"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UKC Maribor je za leto 2020 pripravil Poročilo o programu terciarne dejavnosti v obdobju 1-12 2020. Poročilo prikazuje, da je bila realizacija Terciarja II v letu 2020 25.481.195 EUR, medtem, ko pa so planirana sredstva za UKC Maribor za leto 2021 po Splošnem dogovoru za leto 2021 le v višini 19.645.450 EUR. Po tej primerjavi je UKC Maribor prikrajšan za 5.835.745 EUR. V prilogi tega dopisa je Excelova dokument (tabela 2) - poročilo o programu in realizaciji terciarne dejavnosti.</w:t>
      </w:r>
    </w:p>
    <w:p w14:paraId="3EEA219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Vse to potrjuje, da UKC Maribor danes zdravi vse težje bolnike, bolnike, ki potrebujejo vse bolj zahtevno in drago bolnišnično zdravljenje. Tudi v specialistično ambulantni obravnavi je slika podobna, vse več je bolnikov, ki potrebujejo daljšo in dražjo ambulantno obravnavo. Financiranje terciarne dejavnosti smo preverili še s primerjavo osnovnih podatkov o poslovanju UKC Ljubljana in UKC Maribor. V priloženi tabeli so zbrani podatki o zaposlenosti, izvajanju delovnega programa in financiranju obeh UKC za leto 2018, 2019 in 2020.</w:t>
      </w:r>
    </w:p>
    <w:p w14:paraId="37175C1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Iz zbranih podatkov izhaja (gledano leto 2020, podobno je tudi v letih 2019 in 2018), da je UKC Ljubljana po zaposlenosti 2,4 krat večji od UKC Maribor, po hospitalnem delovnem programu je prav tako 2,6 krat večji od UKC Maribor, po celotnem prihodku pa za 2,3 krat večji od UKC Maribor. Bistveno pa odstopajo podatki o financiranju terciarne dejavnosti, pri kateri prejema UKC Ljubljana kar 3,7 krat več sredstev od UKC Maribor. V okviru terciarne dejavnosti je problematično predvsem financiranje Terciarja II, kjer je razmerje med UKC Ljubljana in UKC Maribor 4,0 proti 1. Razmerje sredstev za oba UKC je pri Terciarju I bolj uravnoteženo, in sicer 2,8 proti 1. Če bi to razmerje upoštevali tudi pri Terciarju II, bi se sredstva za Terciar II za UKC Maribor povečala za 8.022.456 EUR (podrobno v prilogi -Excelov dokument, tabela 3).</w:t>
      </w:r>
    </w:p>
    <w:p w14:paraId="1635E8E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Zaradi vsega navedenega je potrebno na novo ovrednotiti terciarno dejavnost UKC Maribor, kar velja predvsem za Terciar II. V Pogodbi o izvajanju programa zdravstvenih storitev za pogodbeno leto 2021, sklenjeni z Zavodom za zdravstveno zavarovanje (ZZZS), je terciarna dejavnost ovrednotena na 26.031.400 EUR od tega je Terciar II ovrednoten na 19.645.450 EUR.</w:t>
      </w:r>
    </w:p>
    <w:p w14:paraId="2D35B9DE"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povečanje sredstev za terciarno dejavnost - Terciar II za UKC Maribor za 5.835.745 EUR. Prosimo, da se predlog povišanja sredstev za Terciar II vključi v Aneks 1 k Splošnemu dogovoru za bolnišnice za pogodbeno leto 2021.</w:t>
      </w:r>
    </w:p>
    <w:p w14:paraId="01285776"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Finančna ocena:5,8 mio €</w:t>
      </w:r>
    </w:p>
    <w:p w14:paraId="03B00D3B"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Tabela: Primerjava UKC Ljubljana in UKC Maribor 2020</w:t>
      </w:r>
    </w:p>
    <w:tbl>
      <w:tblPr>
        <w:tblW w:w="7001" w:type="dxa"/>
        <w:tblCellMar>
          <w:left w:w="70" w:type="dxa"/>
          <w:right w:w="70" w:type="dxa"/>
        </w:tblCellMar>
        <w:tblLook w:val="04A0" w:firstRow="1" w:lastRow="0" w:firstColumn="1" w:lastColumn="0" w:noHBand="0" w:noVBand="1"/>
      </w:tblPr>
      <w:tblGrid>
        <w:gridCol w:w="4622"/>
        <w:gridCol w:w="1253"/>
        <w:gridCol w:w="1253"/>
      </w:tblGrid>
      <w:tr w:rsidR="00FE461F" w:rsidRPr="005E4BEA" w14:paraId="1E772B61" w14:textId="77777777" w:rsidTr="0016774B">
        <w:trPr>
          <w:trHeight w:val="1"/>
        </w:trPr>
        <w:tc>
          <w:tcPr>
            <w:tcW w:w="4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84F3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38042B4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UKC Ljubljana</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12FD677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UKC Maribor</w:t>
            </w:r>
          </w:p>
        </w:tc>
      </w:tr>
      <w:tr w:rsidR="00FE461F" w:rsidRPr="005E4BEA" w14:paraId="61702BB4" w14:textId="77777777" w:rsidTr="0016774B">
        <w:trPr>
          <w:trHeight w:val="104"/>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5CC7F856"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zaposleni:</w:t>
            </w:r>
          </w:p>
        </w:tc>
        <w:tc>
          <w:tcPr>
            <w:tcW w:w="1152" w:type="dxa"/>
            <w:tcBorders>
              <w:top w:val="nil"/>
              <w:left w:val="nil"/>
              <w:bottom w:val="single" w:sz="4" w:space="0" w:color="auto"/>
              <w:right w:val="single" w:sz="4" w:space="0" w:color="auto"/>
            </w:tcBorders>
            <w:shd w:val="clear" w:color="auto" w:fill="auto"/>
            <w:noWrap/>
            <w:vAlign w:val="bottom"/>
            <w:hideMark/>
          </w:tcPr>
          <w:p w14:paraId="7E8EDBB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227" w:type="dxa"/>
            <w:tcBorders>
              <w:top w:val="nil"/>
              <w:left w:val="nil"/>
              <w:bottom w:val="single" w:sz="4" w:space="0" w:color="auto"/>
              <w:right w:val="single" w:sz="8" w:space="0" w:color="auto"/>
            </w:tcBorders>
            <w:shd w:val="clear" w:color="auto" w:fill="auto"/>
            <w:noWrap/>
            <w:vAlign w:val="bottom"/>
            <w:hideMark/>
          </w:tcPr>
          <w:p w14:paraId="49912CC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r>
      <w:tr w:rsidR="00FE461F" w:rsidRPr="005E4BEA" w14:paraId="55A78C69"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27498EEE"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število zaposlenih 31.12. 2019 (Obrazec 3)</w:t>
            </w:r>
          </w:p>
        </w:tc>
        <w:tc>
          <w:tcPr>
            <w:tcW w:w="1152" w:type="dxa"/>
            <w:tcBorders>
              <w:top w:val="nil"/>
              <w:left w:val="nil"/>
              <w:bottom w:val="single" w:sz="4" w:space="0" w:color="auto"/>
              <w:right w:val="single" w:sz="4" w:space="0" w:color="auto"/>
            </w:tcBorders>
            <w:shd w:val="clear" w:color="000000" w:fill="FFFFFF"/>
            <w:noWrap/>
            <w:vAlign w:val="bottom"/>
            <w:hideMark/>
          </w:tcPr>
          <w:p w14:paraId="4BFD0193"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8.620</w:t>
            </w:r>
          </w:p>
        </w:tc>
        <w:tc>
          <w:tcPr>
            <w:tcW w:w="1227" w:type="dxa"/>
            <w:tcBorders>
              <w:top w:val="nil"/>
              <w:left w:val="nil"/>
              <w:bottom w:val="single" w:sz="4" w:space="0" w:color="auto"/>
              <w:right w:val="single" w:sz="8" w:space="0" w:color="auto"/>
            </w:tcBorders>
            <w:shd w:val="clear" w:color="000000" w:fill="FFFFFF"/>
            <w:noWrap/>
            <w:vAlign w:val="bottom"/>
            <w:hideMark/>
          </w:tcPr>
          <w:p w14:paraId="44323852"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3.666</w:t>
            </w:r>
          </w:p>
        </w:tc>
      </w:tr>
      <w:tr w:rsidR="00FE461F" w:rsidRPr="005E4BEA" w14:paraId="1A2A76CC"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17C2843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lastRenderedPageBreak/>
              <w:t>razmerje zaposlenih</w:t>
            </w:r>
          </w:p>
        </w:tc>
        <w:tc>
          <w:tcPr>
            <w:tcW w:w="1152" w:type="dxa"/>
            <w:tcBorders>
              <w:top w:val="nil"/>
              <w:left w:val="nil"/>
              <w:bottom w:val="single" w:sz="4" w:space="0" w:color="auto"/>
              <w:right w:val="single" w:sz="4" w:space="0" w:color="auto"/>
            </w:tcBorders>
            <w:shd w:val="clear" w:color="000000" w:fill="FFFFFF"/>
            <w:noWrap/>
            <w:vAlign w:val="bottom"/>
            <w:hideMark/>
          </w:tcPr>
          <w:p w14:paraId="1C5622CC"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2,4</w:t>
            </w:r>
          </w:p>
        </w:tc>
        <w:tc>
          <w:tcPr>
            <w:tcW w:w="1227" w:type="dxa"/>
            <w:tcBorders>
              <w:top w:val="nil"/>
              <w:left w:val="nil"/>
              <w:bottom w:val="single" w:sz="4" w:space="0" w:color="auto"/>
              <w:right w:val="single" w:sz="8" w:space="0" w:color="auto"/>
            </w:tcBorders>
            <w:shd w:val="clear" w:color="000000" w:fill="FFFFFF"/>
            <w:noWrap/>
            <w:vAlign w:val="bottom"/>
            <w:hideMark/>
          </w:tcPr>
          <w:p w14:paraId="2F819B2A"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67F16F64"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6A1C301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število zdravnikov 31.12. 2019 (Obrazec 3, brez sekundarijev) </w:t>
            </w:r>
          </w:p>
        </w:tc>
        <w:tc>
          <w:tcPr>
            <w:tcW w:w="1152" w:type="dxa"/>
            <w:tcBorders>
              <w:top w:val="nil"/>
              <w:left w:val="nil"/>
              <w:bottom w:val="single" w:sz="4" w:space="0" w:color="auto"/>
              <w:right w:val="single" w:sz="4" w:space="0" w:color="auto"/>
            </w:tcBorders>
            <w:shd w:val="clear" w:color="000000" w:fill="FFFFFF"/>
            <w:noWrap/>
            <w:vAlign w:val="bottom"/>
            <w:hideMark/>
          </w:tcPr>
          <w:p w14:paraId="566E0D91"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1.255</w:t>
            </w:r>
          </w:p>
        </w:tc>
        <w:tc>
          <w:tcPr>
            <w:tcW w:w="1227" w:type="dxa"/>
            <w:tcBorders>
              <w:top w:val="nil"/>
              <w:left w:val="nil"/>
              <w:bottom w:val="single" w:sz="4" w:space="0" w:color="auto"/>
              <w:right w:val="single" w:sz="8" w:space="0" w:color="auto"/>
            </w:tcBorders>
            <w:shd w:val="clear" w:color="000000" w:fill="FFFFFF"/>
            <w:noWrap/>
            <w:vAlign w:val="bottom"/>
            <w:hideMark/>
          </w:tcPr>
          <w:p w14:paraId="570B4F63"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574</w:t>
            </w:r>
          </w:p>
        </w:tc>
      </w:tr>
      <w:tr w:rsidR="00FE461F" w:rsidRPr="005E4BEA" w14:paraId="057430DF"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344B34C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zdravnikov</w:t>
            </w:r>
          </w:p>
        </w:tc>
        <w:tc>
          <w:tcPr>
            <w:tcW w:w="1152" w:type="dxa"/>
            <w:tcBorders>
              <w:top w:val="nil"/>
              <w:left w:val="nil"/>
              <w:bottom w:val="single" w:sz="4" w:space="0" w:color="auto"/>
              <w:right w:val="single" w:sz="4" w:space="0" w:color="auto"/>
            </w:tcBorders>
            <w:shd w:val="clear" w:color="auto" w:fill="auto"/>
            <w:noWrap/>
            <w:vAlign w:val="bottom"/>
            <w:hideMark/>
          </w:tcPr>
          <w:p w14:paraId="4434B43F"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2,2</w:t>
            </w:r>
          </w:p>
        </w:tc>
        <w:tc>
          <w:tcPr>
            <w:tcW w:w="1227" w:type="dxa"/>
            <w:tcBorders>
              <w:top w:val="nil"/>
              <w:left w:val="nil"/>
              <w:bottom w:val="single" w:sz="4" w:space="0" w:color="auto"/>
              <w:right w:val="single" w:sz="8" w:space="0" w:color="auto"/>
            </w:tcBorders>
            <w:shd w:val="clear" w:color="000000" w:fill="FFFFFF"/>
            <w:noWrap/>
            <w:vAlign w:val="bottom"/>
            <w:hideMark/>
          </w:tcPr>
          <w:p w14:paraId="34F3BBB0"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40CC8604"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55839DFF"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delovni program:</w:t>
            </w:r>
          </w:p>
        </w:tc>
        <w:tc>
          <w:tcPr>
            <w:tcW w:w="1152" w:type="dxa"/>
            <w:tcBorders>
              <w:top w:val="nil"/>
              <w:left w:val="nil"/>
              <w:bottom w:val="single" w:sz="4" w:space="0" w:color="auto"/>
              <w:right w:val="single" w:sz="4" w:space="0" w:color="auto"/>
            </w:tcBorders>
            <w:shd w:val="clear" w:color="000000" w:fill="FFFFFF"/>
            <w:noWrap/>
            <w:vAlign w:val="bottom"/>
            <w:hideMark/>
          </w:tcPr>
          <w:p w14:paraId="35512850" w14:textId="77777777" w:rsidR="00FE461F" w:rsidRPr="005E4BEA" w:rsidRDefault="00FE461F" w:rsidP="00FE461F">
            <w:pPr>
              <w:spacing w:line="240" w:lineRule="auto"/>
              <w:jc w:val="right"/>
              <w:rPr>
                <w:rFonts w:cs="Arial"/>
                <w:color w:val="808080" w:themeColor="background1" w:themeShade="80"/>
                <w:szCs w:val="20"/>
              </w:rPr>
            </w:pPr>
          </w:p>
        </w:tc>
        <w:tc>
          <w:tcPr>
            <w:tcW w:w="1227" w:type="dxa"/>
            <w:tcBorders>
              <w:top w:val="nil"/>
              <w:left w:val="nil"/>
              <w:bottom w:val="single" w:sz="4" w:space="0" w:color="auto"/>
              <w:right w:val="single" w:sz="8" w:space="0" w:color="auto"/>
            </w:tcBorders>
            <w:shd w:val="clear" w:color="000000" w:fill="FFFFFF"/>
            <w:noWrap/>
            <w:vAlign w:val="bottom"/>
            <w:hideMark/>
          </w:tcPr>
          <w:p w14:paraId="05845564" w14:textId="77777777" w:rsidR="00FE461F" w:rsidRPr="005E4BEA" w:rsidRDefault="00FE461F" w:rsidP="00FE461F">
            <w:pPr>
              <w:spacing w:line="240" w:lineRule="auto"/>
              <w:jc w:val="right"/>
              <w:rPr>
                <w:rFonts w:cs="Arial"/>
                <w:color w:val="808080" w:themeColor="background1" w:themeShade="80"/>
                <w:szCs w:val="20"/>
              </w:rPr>
            </w:pPr>
          </w:p>
        </w:tc>
      </w:tr>
      <w:tr w:rsidR="00FE461F" w:rsidRPr="005E4BEA" w14:paraId="6BE04F34"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013E132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število postelj </w:t>
            </w:r>
          </w:p>
        </w:tc>
        <w:tc>
          <w:tcPr>
            <w:tcW w:w="1152" w:type="dxa"/>
            <w:tcBorders>
              <w:top w:val="nil"/>
              <w:left w:val="nil"/>
              <w:bottom w:val="single" w:sz="4" w:space="0" w:color="auto"/>
              <w:right w:val="single" w:sz="4" w:space="0" w:color="auto"/>
            </w:tcBorders>
            <w:shd w:val="clear" w:color="000000" w:fill="FFFFFF"/>
            <w:noWrap/>
            <w:vAlign w:val="bottom"/>
            <w:hideMark/>
          </w:tcPr>
          <w:p w14:paraId="4570C45C"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2.133</w:t>
            </w:r>
          </w:p>
        </w:tc>
        <w:tc>
          <w:tcPr>
            <w:tcW w:w="1227" w:type="dxa"/>
            <w:tcBorders>
              <w:top w:val="nil"/>
              <w:left w:val="nil"/>
              <w:bottom w:val="single" w:sz="4" w:space="0" w:color="auto"/>
              <w:right w:val="single" w:sz="8" w:space="0" w:color="auto"/>
            </w:tcBorders>
            <w:shd w:val="clear" w:color="000000" w:fill="FFFFFF"/>
            <w:noWrap/>
            <w:vAlign w:val="bottom"/>
            <w:hideMark/>
          </w:tcPr>
          <w:p w14:paraId="1229E26E"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1.093</w:t>
            </w:r>
          </w:p>
        </w:tc>
      </w:tr>
      <w:tr w:rsidR="00FE461F" w:rsidRPr="005E4BEA" w14:paraId="42A38470"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174B756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postelj</w:t>
            </w:r>
          </w:p>
        </w:tc>
        <w:tc>
          <w:tcPr>
            <w:tcW w:w="1152" w:type="dxa"/>
            <w:tcBorders>
              <w:top w:val="nil"/>
              <w:left w:val="nil"/>
              <w:bottom w:val="single" w:sz="4" w:space="0" w:color="auto"/>
              <w:right w:val="single" w:sz="4" w:space="0" w:color="auto"/>
            </w:tcBorders>
            <w:shd w:val="clear" w:color="000000" w:fill="FFFFFF"/>
            <w:noWrap/>
            <w:vAlign w:val="bottom"/>
            <w:hideMark/>
          </w:tcPr>
          <w:p w14:paraId="44E3BF7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1,9</w:t>
            </w:r>
          </w:p>
        </w:tc>
        <w:tc>
          <w:tcPr>
            <w:tcW w:w="1227" w:type="dxa"/>
            <w:tcBorders>
              <w:top w:val="nil"/>
              <w:left w:val="nil"/>
              <w:bottom w:val="single" w:sz="4" w:space="0" w:color="auto"/>
              <w:right w:val="single" w:sz="8" w:space="0" w:color="auto"/>
            </w:tcBorders>
            <w:shd w:val="clear" w:color="000000" w:fill="FFFFFF"/>
            <w:noWrap/>
            <w:vAlign w:val="bottom"/>
            <w:hideMark/>
          </w:tcPr>
          <w:p w14:paraId="70352A4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6E51A2A6"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161CA1C5"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število hospitalnih pacientov 2019 (Obrazec 1)</w:t>
            </w:r>
          </w:p>
        </w:tc>
        <w:tc>
          <w:tcPr>
            <w:tcW w:w="1152" w:type="dxa"/>
            <w:tcBorders>
              <w:top w:val="nil"/>
              <w:left w:val="nil"/>
              <w:bottom w:val="single" w:sz="4" w:space="0" w:color="auto"/>
              <w:right w:val="single" w:sz="4" w:space="0" w:color="auto"/>
            </w:tcBorders>
            <w:shd w:val="clear" w:color="000000" w:fill="FFFFFF"/>
            <w:noWrap/>
            <w:vAlign w:val="bottom"/>
            <w:hideMark/>
          </w:tcPr>
          <w:p w14:paraId="6376B750"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95.855</w:t>
            </w:r>
          </w:p>
        </w:tc>
        <w:tc>
          <w:tcPr>
            <w:tcW w:w="1227" w:type="dxa"/>
            <w:tcBorders>
              <w:top w:val="nil"/>
              <w:left w:val="nil"/>
              <w:bottom w:val="single" w:sz="4" w:space="0" w:color="auto"/>
              <w:right w:val="single" w:sz="8" w:space="0" w:color="auto"/>
            </w:tcBorders>
            <w:shd w:val="clear" w:color="000000" w:fill="FFFFFF"/>
            <w:noWrap/>
            <w:vAlign w:val="bottom"/>
            <w:hideMark/>
          </w:tcPr>
          <w:p w14:paraId="5C63737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36.947</w:t>
            </w:r>
          </w:p>
        </w:tc>
      </w:tr>
      <w:tr w:rsidR="00FE461F" w:rsidRPr="005E4BEA" w14:paraId="48B1EBD6"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4CD9B54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hospitalnih pacientov</w:t>
            </w:r>
          </w:p>
        </w:tc>
        <w:tc>
          <w:tcPr>
            <w:tcW w:w="1152" w:type="dxa"/>
            <w:tcBorders>
              <w:top w:val="nil"/>
              <w:left w:val="nil"/>
              <w:bottom w:val="single" w:sz="4" w:space="0" w:color="auto"/>
              <w:right w:val="single" w:sz="4" w:space="0" w:color="auto"/>
            </w:tcBorders>
            <w:shd w:val="clear" w:color="auto" w:fill="auto"/>
            <w:noWrap/>
            <w:vAlign w:val="bottom"/>
            <w:hideMark/>
          </w:tcPr>
          <w:p w14:paraId="570BA806"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2,6</w:t>
            </w:r>
          </w:p>
        </w:tc>
        <w:tc>
          <w:tcPr>
            <w:tcW w:w="1227" w:type="dxa"/>
            <w:tcBorders>
              <w:top w:val="nil"/>
              <w:left w:val="nil"/>
              <w:bottom w:val="single" w:sz="4" w:space="0" w:color="auto"/>
              <w:right w:val="single" w:sz="8" w:space="0" w:color="auto"/>
            </w:tcBorders>
            <w:shd w:val="clear" w:color="000000" w:fill="FFFFFF"/>
            <w:noWrap/>
            <w:vAlign w:val="bottom"/>
            <w:hideMark/>
          </w:tcPr>
          <w:p w14:paraId="7539E277"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63781F8D"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6CB14D47"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število SPP uteži 2019 (Obrazec 1)</w:t>
            </w:r>
          </w:p>
        </w:tc>
        <w:tc>
          <w:tcPr>
            <w:tcW w:w="1152" w:type="dxa"/>
            <w:tcBorders>
              <w:top w:val="nil"/>
              <w:left w:val="nil"/>
              <w:bottom w:val="single" w:sz="4" w:space="0" w:color="auto"/>
              <w:right w:val="single" w:sz="4" w:space="0" w:color="auto"/>
            </w:tcBorders>
            <w:shd w:val="clear" w:color="000000" w:fill="FFFFFF"/>
            <w:noWrap/>
            <w:vAlign w:val="bottom"/>
            <w:hideMark/>
          </w:tcPr>
          <w:p w14:paraId="68EE832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176.832</w:t>
            </w:r>
          </w:p>
        </w:tc>
        <w:tc>
          <w:tcPr>
            <w:tcW w:w="1227" w:type="dxa"/>
            <w:tcBorders>
              <w:top w:val="nil"/>
              <w:left w:val="nil"/>
              <w:bottom w:val="single" w:sz="4" w:space="0" w:color="auto"/>
              <w:right w:val="single" w:sz="8" w:space="0" w:color="auto"/>
            </w:tcBorders>
            <w:shd w:val="clear" w:color="000000" w:fill="FFFFFF"/>
            <w:noWrap/>
            <w:vAlign w:val="bottom"/>
            <w:hideMark/>
          </w:tcPr>
          <w:p w14:paraId="212A0114"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73.441</w:t>
            </w:r>
          </w:p>
        </w:tc>
      </w:tr>
      <w:tr w:rsidR="00FE461F" w:rsidRPr="005E4BEA" w14:paraId="41001DC0"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125F426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SPP uteži</w:t>
            </w:r>
          </w:p>
        </w:tc>
        <w:tc>
          <w:tcPr>
            <w:tcW w:w="1152" w:type="dxa"/>
            <w:tcBorders>
              <w:top w:val="nil"/>
              <w:left w:val="nil"/>
              <w:bottom w:val="single" w:sz="4" w:space="0" w:color="auto"/>
              <w:right w:val="single" w:sz="4" w:space="0" w:color="auto"/>
            </w:tcBorders>
            <w:shd w:val="clear" w:color="auto" w:fill="auto"/>
            <w:noWrap/>
            <w:vAlign w:val="bottom"/>
            <w:hideMark/>
          </w:tcPr>
          <w:p w14:paraId="6B8375FB"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2,4</w:t>
            </w:r>
          </w:p>
        </w:tc>
        <w:tc>
          <w:tcPr>
            <w:tcW w:w="1227" w:type="dxa"/>
            <w:tcBorders>
              <w:top w:val="nil"/>
              <w:left w:val="nil"/>
              <w:bottom w:val="single" w:sz="4" w:space="0" w:color="auto"/>
              <w:right w:val="single" w:sz="8" w:space="0" w:color="auto"/>
            </w:tcBorders>
            <w:shd w:val="clear" w:color="auto" w:fill="auto"/>
            <w:noWrap/>
            <w:vAlign w:val="bottom"/>
            <w:hideMark/>
          </w:tcPr>
          <w:p w14:paraId="2D521519"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601539A0"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3C82150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število ambulantnih pregledov 2019 (Obrazec 1)</w:t>
            </w:r>
          </w:p>
        </w:tc>
        <w:tc>
          <w:tcPr>
            <w:tcW w:w="1152" w:type="dxa"/>
            <w:tcBorders>
              <w:top w:val="nil"/>
              <w:left w:val="nil"/>
              <w:bottom w:val="single" w:sz="4" w:space="0" w:color="auto"/>
              <w:right w:val="single" w:sz="4" w:space="0" w:color="auto"/>
            </w:tcBorders>
            <w:shd w:val="clear" w:color="auto" w:fill="auto"/>
            <w:noWrap/>
            <w:vAlign w:val="bottom"/>
            <w:hideMark/>
          </w:tcPr>
          <w:p w14:paraId="656DBC4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673.168</w:t>
            </w:r>
          </w:p>
        </w:tc>
        <w:tc>
          <w:tcPr>
            <w:tcW w:w="1227" w:type="dxa"/>
            <w:tcBorders>
              <w:top w:val="nil"/>
              <w:left w:val="nil"/>
              <w:bottom w:val="single" w:sz="4" w:space="0" w:color="auto"/>
              <w:right w:val="single" w:sz="8" w:space="0" w:color="auto"/>
            </w:tcBorders>
            <w:shd w:val="clear" w:color="auto" w:fill="auto"/>
            <w:noWrap/>
            <w:vAlign w:val="bottom"/>
            <w:hideMark/>
          </w:tcPr>
          <w:p w14:paraId="3DDCF0F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346.470</w:t>
            </w:r>
          </w:p>
        </w:tc>
      </w:tr>
      <w:tr w:rsidR="00FE461F" w:rsidRPr="005E4BEA" w14:paraId="6EA8CDDC"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29509FA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ambulantnih pregledov</w:t>
            </w:r>
          </w:p>
        </w:tc>
        <w:tc>
          <w:tcPr>
            <w:tcW w:w="1152" w:type="dxa"/>
            <w:tcBorders>
              <w:top w:val="nil"/>
              <w:left w:val="nil"/>
              <w:bottom w:val="single" w:sz="4" w:space="0" w:color="auto"/>
              <w:right w:val="single" w:sz="4" w:space="0" w:color="auto"/>
            </w:tcBorders>
            <w:shd w:val="clear" w:color="000000" w:fill="FFFFFF"/>
            <w:noWrap/>
            <w:vAlign w:val="bottom"/>
            <w:hideMark/>
          </w:tcPr>
          <w:p w14:paraId="150A363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1,7</w:t>
            </w:r>
          </w:p>
        </w:tc>
        <w:tc>
          <w:tcPr>
            <w:tcW w:w="1227" w:type="dxa"/>
            <w:tcBorders>
              <w:top w:val="nil"/>
              <w:left w:val="nil"/>
              <w:bottom w:val="single" w:sz="4" w:space="0" w:color="auto"/>
              <w:right w:val="single" w:sz="8" w:space="0" w:color="auto"/>
            </w:tcBorders>
            <w:shd w:val="clear" w:color="auto" w:fill="auto"/>
            <w:noWrap/>
            <w:vAlign w:val="bottom"/>
            <w:hideMark/>
          </w:tcPr>
          <w:p w14:paraId="43CEC6AE"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566A2226" w14:textId="77777777" w:rsidTr="0016774B">
        <w:trPr>
          <w:trHeight w:val="1"/>
        </w:trPr>
        <w:tc>
          <w:tcPr>
            <w:tcW w:w="4622" w:type="dxa"/>
            <w:tcBorders>
              <w:top w:val="nil"/>
              <w:left w:val="single" w:sz="8" w:space="0" w:color="auto"/>
              <w:bottom w:val="single" w:sz="8" w:space="0" w:color="auto"/>
              <w:right w:val="single" w:sz="4" w:space="0" w:color="auto"/>
            </w:tcBorders>
            <w:shd w:val="clear" w:color="auto" w:fill="auto"/>
            <w:noWrap/>
            <w:vAlign w:val="bottom"/>
            <w:hideMark/>
          </w:tcPr>
          <w:p w14:paraId="5CEE6A2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w:t>
            </w:r>
          </w:p>
        </w:tc>
        <w:tc>
          <w:tcPr>
            <w:tcW w:w="1152" w:type="dxa"/>
            <w:tcBorders>
              <w:top w:val="nil"/>
              <w:left w:val="nil"/>
              <w:bottom w:val="single" w:sz="8" w:space="0" w:color="auto"/>
              <w:right w:val="single" w:sz="4" w:space="0" w:color="auto"/>
            </w:tcBorders>
            <w:shd w:val="clear" w:color="auto" w:fill="auto"/>
            <w:noWrap/>
            <w:vAlign w:val="bottom"/>
            <w:hideMark/>
          </w:tcPr>
          <w:p w14:paraId="416B5679"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UKC Ljubljana</w:t>
            </w:r>
          </w:p>
        </w:tc>
        <w:tc>
          <w:tcPr>
            <w:tcW w:w="1227" w:type="dxa"/>
            <w:tcBorders>
              <w:top w:val="nil"/>
              <w:left w:val="nil"/>
              <w:bottom w:val="single" w:sz="8" w:space="0" w:color="auto"/>
              <w:right w:val="single" w:sz="8" w:space="0" w:color="auto"/>
            </w:tcBorders>
            <w:shd w:val="clear" w:color="auto" w:fill="auto"/>
            <w:noWrap/>
            <w:vAlign w:val="bottom"/>
            <w:hideMark/>
          </w:tcPr>
          <w:p w14:paraId="4DE146E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UKC Maribor</w:t>
            </w:r>
          </w:p>
        </w:tc>
      </w:tr>
      <w:tr w:rsidR="00FE461F" w:rsidRPr="005E4BEA" w14:paraId="6FE0037D"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40ACECE9"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število ambulantnih točk 2019 (Obrazec 1)</w:t>
            </w:r>
          </w:p>
        </w:tc>
        <w:tc>
          <w:tcPr>
            <w:tcW w:w="1152" w:type="dxa"/>
            <w:tcBorders>
              <w:top w:val="nil"/>
              <w:left w:val="nil"/>
              <w:bottom w:val="single" w:sz="4" w:space="0" w:color="auto"/>
              <w:right w:val="single" w:sz="4" w:space="0" w:color="auto"/>
            </w:tcBorders>
            <w:shd w:val="clear" w:color="000000" w:fill="FFFFFF"/>
            <w:noWrap/>
            <w:vAlign w:val="bottom"/>
            <w:hideMark/>
          </w:tcPr>
          <w:p w14:paraId="45099012"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8.764.672</w:t>
            </w:r>
          </w:p>
        </w:tc>
        <w:tc>
          <w:tcPr>
            <w:tcW w:w="1227" w:type="dxa"/>
            <w:tcBorders>
              <w:top w:val="nil"/>
              <w:left w:val="nil"/>
              <w:bottom w:val="single" w:sz="4" w:space="0" w:color="auto"/>
              <w:right w:val="single" w:sz="8" w:space="0" w:color="auto"/>
            </w:tcBorders>
            <w:shd w:val="clear" w:color="auto" w:fill="auto"/>
            <w:noWrap/>
            <w:vAlign w:val="bottom"/>
            <w:hideMark/>
          </w:tcPr>
          <w:p w14:paraId="1AE8CBD2"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3.793.672</w:t>
            </w:r>
          </w:p>
        </w:tc>
      </w:tr>
      <w:tr w:rsidR="00FE461F" w:rsidRPr="005E4BEA" w14:paraId="3370545B"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7FF2C83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ambulantnih točk</w:t>
            </w:r>
          </w:p>
        </w:tc>
        <w:tc>
          <w:tcPr>
            <w:tcW w:w="1152" w:type="dxa"/>
            <w:tcBorders>
              <w:top w:val="nil"/>
              <w:left w:val="nil"/>
              <w:bottom w:val="single" w:sz="4" w:space="0" w:color="auto"/>
              <w:right w:val="single" w:sz="4" w:space="0" w:color="auto"/>
            </w:tcBorders>
            <w:shd w:val="clear" w:color="000000" w:fill="FFFFFF"/>
            <w:noWrap/>
            <w:vAlign w:val="bottom"/>
            <w:hideMark/>
          </w:tcPr>
          <w:p w14:paraId="1FF714B0"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2,3</w:t>
            </w:r>
          </w:p>
        </w:tc>
        <w:tc>
          <w:tcPr>
            <w:tcW w:w="1227" w:type="dxa"/>
            <w:tcBorders>
              <w:top w:val="nil"/>
              <w:left w:val="nil"/>
              <w:bottom w:val="single" w:sz="4" w:space="0" w:color="auto"/>
              <w:right w:val="single" w:sz="8" w:space="0" w:color="auto"/>
            </w:tcBorders>
            <w:shd w:val="clear" w:color="auto" w:fill="auto"/>
            <w:noWrap/>
            <w:vAlign w:val="bottom"/>
            <w:hideMark/>
          </w:tcPr>
          <w:p w14:paraId="64E1546A"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423D45E1"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7760E579"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financiranje:</w:t>
            </w:r>
          </w:p>
        </w:tc>
        <w:tc>
          <w:tcPr>
            <w:tcW w:w="1152" w:type="dxa"/>
            <w:tcBorders>
              <w:top w:val="nil"/>
              <w:left w:val="nil"/>
              <w:bottom w:val="single" w:sz="4" w:space="0" w:color="auto"/>
              <w:right w:val="single" w:sz="4" w:space="0" w:color="auto"/>
            </w:tcBorders>
            <w:shd w:val="clear" w:color="auto" w:fill="auto"/>
            <w:noWrap/>
            <w:vAlign w:val="bottom"/>
            <w:hideMark/>
          </w:tcPr>
          <w:p w14:paraId="5B50388F" w14:textId="77777777" w:rsidR="00FE461F" w:rsidRPr="005E4BEA" w:rsidRDefault="00FE461F" w:rsidP="00FE461F">
            <w:pPr>
              <w:spacing w:line="240" w:lineRule="auto"/>
              <w:jc w:val="right"/>
              <w:rPr>
                <w:rFonts w:cs="Arial"/>
                <w:color w:val="808080" w:themeColor="background1" w:themeShade="80"/>
                <w:szCs w:val="20"/>
              </w:rPr>
            </w:pPr>
          </w:p>
        </w:tc>
        <w:tc>
          <w:tcPr>
            <w:tcW w:w="1227" w:type="dxa"/>
            <w:tcBorders>
              <w:top w:val="nil"/>
              <w:left w:val="nil"/>
              <w:bottom w:val="single" w:sz="4" w:space="0" w:color="auto"/>
              <w:right w:val="single" w:sz="8" w:space="0" w:color="auto"/>
            </w:tcBorders>
            <w:shd w:val="clear" w:color="auto" w:fill="auto"/>
            <w:noWrap/>
            <w:vAlign w:val="bottom"/>
            <w:hideMark/>
          </w:tcPr>
          <w:p w14:paraId="2F96AB7A" w14:textId="77777777" w:rsidR="00FE461F" w:rsidRPr="005E4BEA" w:rsidRDefault="00FE461F" w:rsidP="00FE461F">
            <w:pPr>
              <w:spacing w:line="240" w:lineRule="auto"/>
              <w:jc w:val="right"/>
              <w:rPr>
                <w:rFonts w:cs="Arial"/>
                <w:color w:val="808080" w:themeColor="background1" w:themeShade="80"/>
                <w:szCs w:val="20"/>
              </w:rPr>
            </w:pPr>
          </w:p>
        </w:tc>
      </w:tr>
      <w:tr w:rsidR="00FE461F" w:rsidRPr="005E4BEA" w14:paraId="0CC3006C"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43AEAB6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celotni prihodek 2019 (IPO)</w:t>
            </w:r>
          </w:p>
        </w:tc>
        <w:tc>
          <w:tcPr>
            <w:tcW w:w="1152" w:type="dxa"/>
            <w:tcBorders>
              <w:top w:val="nil"/>
              <w:left w:val="nil"/>
              <w:bottom w:val="single" w:sz="4" w:space="0" w:color="auto"/>
              <w:right w:val="single" w:sz="4" w:space="0" w:color="auto"/>
            </w:tcBorders>
            <w:shd w:val="clear" w:color="auto" w:fill="auto"/>
            <w:noWrap/>
            <w:vAlign w:val="bottom"/>
            <w:hideMark/>
          </w:tcPr>
          <w:p w14:paraId="1EF30A2E"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658.750.002</w:t>
            </w:r>
          </w:p>
        </w:tc>
        <w:tc>
          <w:tcPr>
            <w:tcW w:w="1227" w:type="dxa"/>
            <w:tcBorders>
              <w:top w:val="nil"/>
              <w:left w:val="nil"/>
              <w:bottom w:val="single" w:sz="4" w:space="0" w:color="auto"/>
              <w:right w:val="single" w:sz="8" w:space="0" w:color="auto"/>
            </w:tcBorders>
            <w:shd w:val="clear" w:color="auto" w:fill="auto"/>
            <w:noWrap/>
            <w:vAlign w:val="bottom"/>
            <w:hideMark/>
          </w:tcPr>
          <w:p w14:paraId="6CDA462C"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282.030.355</w:t>
            </w:r>
          </w:p>
        </w:tc>
      </w:tr>
      <w:tr w:rsidR="00FE461F" w:rsidRPr="005E4BEA" w14:paraId="694184E0"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2FF3DB3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celotnega prihodka</w:t>
            </w:r>
          </w:p>
        </w:tc>
        <w:tc>
          <w:tcPr>
            <w:tcW w:w="1152" w:type="dxa"/>
            <w:tcBorders>
              <w:top w:val="nil"/>
              <w:left w:val="nil"/>
              <w:bottom w:val="single" w:sz="4" w:space="0" w:color="auto"/>
              <w:right w:val="single" w:sz="4" w:space="0" w:color="auto"/>
            </w:tcBorders>
            <w:shd w:val="clear" w:color="auto" w:fill="auto"/>
            <w:noWrap/>
            <w:vAlign w:val="bottom"/>
            <w:hideMark/>
          </w:tcPr>
          <w:p w14:paraId="392DBEB9"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2,3</w:t>
            </w:r>
          </w:p>
        </w:tc>
        <w:tc>
          <w:tcPr>
            <w:tcW w:w="1227" w:type="dxa"/>
            <w:tcBorders>
              <w:top w:val="nil"/>
              <w:left w:val="nil"/>
              <w:bottom w:val="single" w:sz="4" w:space="0" w:color="auto"/>
              <w:right w:val="single" w:sz="8" w:space="0" w:color="auto"/>
            </w:tcBorders>
            <w:shd w:val="clear" w:color="auto" w:fill="auto"/>
            <w:noWrap/>
            <w:vAlign w:val="bottom"/>
            <w:hideMark/>
          </w:tcPr>
          <w:p w14:paraId="2AFA8EB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3AC86407"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11937E63"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sredstva za terciarno dejavnost Splošni dogovor 2020</w:t>
            </w:r>
          </w:p>
        </w:tc>
        <w:tc>
          <w:tcPr>
            <w:tcW w:w="1152" w:type="dxa"/>
            <w:tcBorders>
              <w:top w:val="nil"/>
              <w:left w:val="nil"/>
              <w:bottom w:val="single" w:sz="4" w:space="0" w:color="auto"/>
              <w:right w:val="single" w:sz="4" w:space="0" w:color="auto"/>
            </w:tcBorders>
            <w:shd w:val="clear" w:color="auto" w:fill="auto"/>
            <w:noWrap/>
            <w:vAlign w:val="bottom"/>
            <w:hideMark/>
          </w:tcPr>
          <w:p w14:paraId="62645CDA"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92.520.000</w:t>
            </w:r>
          </w:p>
        </w:tc>
        <w:tc>
          <w:tcPr>
            <w:tcW w:w="1227" w:type="dxa"/>
            <w:tcBorders>
              <w:top w:val="nil"/>
              <w:left w:val="nil"/>
              <w:bottom w:val="single" w:sz="4" w:space="0" w:color="auto"/>
              <w:right w:val="single" w:sz="8" w:space="0" w:color="auto"/>
            </w:tcBorders>
            <w:shd w:val="clear" w:color="auto" w:fill="auto"/>
            <w:noWrap/>
            <w:vAlign w:val="bottom"/>
            <w:hideMark/>
          </w:tcPr>
          <w:p w14:paraId="3F4AFC93"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25.091.000</w:t>
            </w:r>
          </w:p>
        </w:tc>
      </w:tr>
      <w:tr w:rsidR="00FE461F" w:rsidRPr="005E4BEA" w14:paraId="2961F5EE"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34B2251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sredstev za terciarno dejavnost</w:t>
            </w:r>
          </w:p>
        </w:tc>
        <w:tc>
          <w:tcPr>
            <w:tcW w:w="1152" w:type="dxa"/>
            <w:tcBorders>
              <w:top w:val="nil"/>
              <w:left w:val="nil"/>
              <w:bottom w:val="single" w:sz="4" w:space="0" w:color="auto"/>
              <w:right w:val="single" w:sz="4" w:space="0" w:color="auto"/>
            </w:tcBorders>
            <w:shd w:val="clear" w:color="auto" w:fill="auto"/>
            <w:noWrap/>
            <w:vAlign w:val="bottom"/>
            <w:hideMark/>
          </w:tcPr>
          <w:p w14:paraId="31463801"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3,7</w:t>
            </w:r>
          </w:p>
        </w:tc>
        <w:tc>
          <w:tcPr>
            <w:tcW w:w="1227" w:type="dxa"/>
            <w:tcBorders>
              <w:top w:val="nil"/>
              <w:left w:val="nil"/>
              <w:bottom w:val="single" w:sz="4" w:space="0" w:color="auto"/>
              <w:right w:val="single" w:sz="8" w:space="0" w:color="auto"/>
            </w:tcBorders>
            <w:shd w:val="clear" w:color="auto" w:fill="auto"/>
            <w:noWrap/>
            <w:vAlign w:val="bottom"/>
            <w:hideMark/>
          </w:tcPr>
          <w:p w14:paraId="6DDF44DE"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4A2F5F49"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2E2479EA"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terciar I</w:t>
            </w:r>
          </w:p>
        </w:tc>
        <w:tc>
          <w:tcPr>
            <w:tcW w:w="1152" w:type="dxa"/>
            <w:tcBorders>
              <w:top w:val="nil"/>
              <w:left w:val="nil"/>
              <w:bottom w:val="single" w:sz="4" w:space="0" w:color="auto"/>
              <w:right w:val="single" w:sz="4" w:space="0" w:color="auto"/>
            </w:tcBorders>
            <w:shd w:val="clear" w:color="auto" w:fill="auto"/>
            <w:noWrap/>
            <w:vAlign w:val="bottom"/>
            <w:hideMark/>
          </w:tcPr>
          <w:p w14:paraId="4865C04D"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17.195.000</w:t>
            </w:r>
          </w:p>
        </w:tc>
        <w:tc>
          <w:tcPr>
            <w:tcW w:w="1227" w:type="dxa"/>
            <w:tcBorders>
              <w:top w:val="nil"/>
              <w:left w:val="nil"/>
              <w:bottom w:val="single" w:sz="4" w:space="0" w:color="auto"/>
              <w:right w:val="single" w:sz="8" w:space="0" w:color="auto"/>
            </w:tcBorders>
            <w:shd w:val="clear" w:color="auto" w:fill="auto"/>
            <w:noWrap/>
            <w:vAlign w:val="bottom"/>
            <w:hideMark/>
          </w:tcPr>
          <w:p w14:paraId="028F2FF4"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6.155.090</w:t>
            </w:r>
          </w:p>
        </w:tc>
      </w:tr>
      <w:tr w:rsidR="00FE461F" w:rsidRPr="005E4BEA" w14:paraId="10B42FD9"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16673D7B"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terciar I</w:t>
            </w:r>
          </w:p>
        </w:tc>
        <w:tc>
          <w:tcPr>
            <w:tcW w:w="1152" w:type="dxa"/>
            <w:tcBorders>
              <w:top w:val="nil"/>
              <w:left w:val="nil"/>
              <w:bottom w:val="single" w:sz="4" w:space="0" w:color="auto"/>
              <w:right w:val="single" w:sz="4" w:space="0" w:color="auto"/>
            </w:tcBorders>
            <w:shd w:val="clear" w:color="auto" w:fill="auto"/>
            <w:noWrap/>
            <w:vAlign w:val="bottom"/>
            <w:hideMark/>
          </w:tcPr>
          <w:p w14:paraId="11AE4684"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2,8</w:t>
            </w:r>
          </w:p>
        </w:tc>
        <w:tc>
          <w:tcPr>
            <w:tcW w:w="1227" w:type="dxa"/>
            <w:tcBorders>
              <w:top w:val="nil"/>
              <w:left w:val="nil"/>
              <w:bottom w:val="single" w:sz="4" w:space="0" w:color="auto"/>
              <w:right w:val="single" w:sz="8" w:space="0" w:color="auto"/>
            </w:tcBorders>
            <w:shd w:val="clear" w:color="auto" w:fill="auto"/>
            <w:noWrap/>
            <w:vAlign w:val="bottom"/>
            <w:hideMark/>
          </w:tcPr>
          <w:p w14:paraId="65D3FD9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6C33058B"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6B9C4ED4"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terciar II</w:t>
            </w:r>
          </w:p>
        </w:tc>
        <w:tc>
          <w:tcPr>
            <w:tcW w:w="1152" w:type="dxa"/>
            <w:tcBorders>
              <w:top w:val="nil"/>
              <w:left w:val="nil"/>
              <w:bottom w:val="single" w:sz="4" w:space="0" w:color="auto"/>
              <w:right w:val="single" w:sz="4" w:space="0" w:color="auto"/>
            </w:tcBorders>
            <w:shd w:val="clear" w:color="auto" w:fill="auto"/>
            <w:noWrap/>
            <w:vAlign w:val="bottom"/>
            <w:hideMark/>
          </w:tcPr>
          <w:p w14:paraId="6689014A"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75.326.000</w:t>
            </w:r>
          </w:p>
        </w:tc>
        <w:tc>
          <w:tcPr>
            <w:tcW w:w="1227" w:type="dxa"/>
            <w:tcBorders>
              <w:top w:val="nil"/>
              <w:left w:val="nil"/>
              <w:bottom w:val="single" w:sz="4" w:space="0" w:color="auto"/>
              <w:right w:val="single" w:sz="8" w:space="0" w:color="auto"/>
            </w:tcBorders>
            <w:shd w:val="clear" w:color="auto" w:fill="auto"/>
            <w:noWrap/>
            <w:vAlign w:val="bottom"/>
            <w:hideMark/>
          </w:tcPr>
          <w:p w14:paraId="310371D7"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18.936.201</w:t>
            </w:r>
          </w:p>
        </w:tc>
      </w:tr>
      <w:tr w:rsidR="00FE461F" w:rsidRPr="005E4BEA" w14:paraId="361007F1"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7C68876D"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terciar II</w:t>
            </w:r>
          </w:p>
        </w:tc>
        <w:tc>
          <w:tcPr>
            <w:tcW w:w="1152" w:type="dxa"/>
            <w:tcBorders>
              <w:top w:val="nil"/>
              <w:left w:val="nil"/>
              <w:bottom w:val="single" w:sz="4" w:space="0" w:color="auto"/>
              <w:right w:val="single" w:sz="4" w:space="0" w:color="auto"/>
            </w:tcBorders>
            <w:shd w:val="clear" w:color="auto" w:fill="auto"/>
            <w:noWrap/>
            <w:vAlign w:val="bottom"/>
            <w:hideMark/>
          </w:tcPr>
          <w:p w14:paraId="51204A05"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4,0</w:t>
            </w:r>
          </w:p>
        </w:tc>
        <w:tc>
          <w:tcPr>
            <w:tcW w:w="1227" w:type="dxa"/>
            <w:tcBorders>
              <w:top w:val="nil"/>
              <w:left w:val="nil"/>
              <w:bottom w:val="single" w:sz="4" w:space="0" w:color="auto"/>
              <w:right w:val="single" w:sz="8" w:space="0" w:color="auto"/>
            </w:tcBorders>
            <w:shd w:val="clear" w:color="auto" w:fill="auto"/>
            <w:noWrap/>
            <w:vAlign w:val="bottom"/>
            <w:hideMark/>
          </w:tcPr>
          <w:p w14:paraId="5EC49188"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2CE62038" w14:textId="77777777" w:rsidTr="0016774B">
        <w:trPr>
          <w:trHeight w:val="1"/>
        </w:trPr>
        <w:tc>
          <w:tcPr>
            <w:tcW w:w="4622" w:type="dxa"/>
            <w:tcBorders>
              <w:top w:val="single" w:sz="4" w:space="0" w:color="auto"/>
              <w:left w:val="single" w:sz="8" w:space="0" w:color="auto"/>
              <w:bottom w:val="nil"/>
              <w:right w:val="single" w:sz="4" w:space="0" w:color="auto"/>
            </w:tcBorders>
            <w:shd w:val="clear" w:color="auto" w:fill="auto"/>
            <w:noWrap/>
            <w:vAlign w:val="bottom"/>
            <w:hideMark/>
          </w:tcPr>
          <w:p w14:paraId="200D73DB"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predlog UKC MB financiranje terciarja II 2022:</w:t>
            </w:r>
          </w:p>
        </w:tc>
        <w:tc>
          <w:tcPr>
            <w:tcW w:w="1152" w:type="dxa"/>
            <w:tcBorders>
              <w:top w:val="single" w:sz="4" w:space="0" w:color="auto"/>
              <w:left w:val="nil"/>
              <w:bottom w:val="nil"/>
              <w:right w:val="single" w:sz="4" w:space="0" w:color="auto"/>
            </w:tcBorders>
            <w:shd w:val="clear" w:color="auto" w:fill="auto"/>
            <w:noWrap/>
            <w:vAlign w:val="bottom"/>
            <w:hideMark/>
          </w:tcPr>
          <w:p w14:paraId="3F226117" w14:textId="77777777" w:rsidR="00FE461F" w:rsidRPr="005E4BEA" w:rsidRDefault="00FE461F" w:rsidP="00FE461F">
            <w:pPr>
              <w:spacing w:line="240" w:lineRule="auto"/>
              <w:jc w:val="right"/>
              <w:rPr>
                <w:rFonts w:cs="Arial"/>
                <w:color w:val="808080" w:themeColor="background1" w:themeShade="80"/>
                <w:szCs w:val="20"/>
              </w:rPr>
            </w:pPr>
          </w:p>
        </w:tc>
        <w:tc>
          <w:tcPr>
            <w:tcW w:w="1227" w:type="dxa"/>
            <w:tcBorders>
              <w:top w:val="single" w:sz="4" w:space="0" w:color="auto"/>
              <w:left w:val="nil"/>
              <w:bottom w:val="nil"/>
              <w:right w:val="single" w:sz="8" w:space="0" w:color="auto"/>
            </w:tcBorders>
            <w:shd w:val="clear" w:color="auto" w:fill="auto"/>
            <w:noWrap/>
            <w:vAlign w:val="bottom"/>
            <w:hideMark/>
          </w:tcPr>
          <w:p w14:paraId="24F3829A" w14:textId="77777777" w:rsidR="00FE461F" w:rsidRPr="005E4BEA" w:rsidRDefault="00FE461F" w:rsidP="00FE461F">
            <w:pPr>
              <w:spacing w:line="240" w:lineRule="auto"/>
              <w:jc w:val="right"/>
              <w:rPr>
                <w:rFonts w:cs="Arial"/>
                <w:color w:val="808080" w:themeColor="background1" w:themeShade="80"/>
                <w:szCs w:val="20"/>
              </w:rPr>
            </w:pPr>
          </w:p>
        </w:tc>
      </w:tr>
      <w:tr w:rsidR="00FE461F" w:rsidRPr="005E4BEA" w14:paraId="7A67B086" w14:textId="77777777" w:rsidTr="0016774B">
        <w:trPr>
          <w:trHeight w:val="1"/>
        </w:trPr>
        <w:tc>
          <w:tcPr>
            <w:tcW w:w="462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6EC8C2"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terciar II</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C1867BC"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78.092.260</w:t>
            </w:r>
          </w:p>
        </w:tc>
        <w:tc>
          <w:tcPr>
            <w:tcW w:w="1227" w:type="dxa"/>
            <w:tcBorders>
              <w:top w:val="single" w:sz="4" w:space="0" w:color="auto"/>
              <w:left w:val="nil"/>
              <w:bottom w:val="single" w:sz="4" w:space="0" w:color="auto"/>
              <w:right w:val="single" w:sz="8" w:space="0" w:color="auto"/>
            </w:tcBorders>
            <w:shd w:val="clear" w:color="auto" w:fill="auto"/>
            <w:noWrap/>
            <w:vAlign w:val="bottom"/>
            <w:hideMark/>
          </w:tcPr>
          <w:p w14:paraId="6F50660B"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25.481.195</w:t>
            </w:r>
          </w:p>
        </w:tc>
      </w:tr>
      <w:tr w:rsidR="00FE461F" w:rsidRPr="005E4BEA" w14:paraId="6077A26B" w14:textId="77777777" w:rsidTr="0016774B">
        <w:trPr>
          <w:trHeight w:val="1"/>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14:paraId="76EC00AF"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razmerje terciar II (razmerje kot terciar I)</w:t>
            </w:r>
          </w:p>
        </w:tc>
        <w:tc>
          <w:tcPr>
            <w:tcW w:w="1152" w:type="dxa"/>
            <w:tcBorders>
              <w:top w:val="nil"/>
              <w:left w:val="nil"/>
              <w:bottom w:val="single" w:sz="4" w:space="0" w:color="auto"/>
              <w:right w:val="single" w:sz="4" w:space="0" w:color="auto"/>
            </w:tcBorders>
            <w:shd w:val="clear" w:color="auto" w:fill="auto"/>
            <w:noWrap/>
            <w:vAlign w:val="bottom"/>
            <w:hideMark/>
          </w:tcPr>
          <w:p w14:paraId="56E32B17"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3,06</w:t>
            </w:r>
          </w:p>
        </w:tc>
        <w:tc>
          <w:tcPr>
            <w:tcW w:w="1227" w:type="dxa"/>
            <w:tcBorders>
              <w:top w:val="nil"/>
              <w:left w:val="nil"/>
              <w:bottom w:val="single" w:sz="4" w:space="0" w:color="auto"/>
              <w:right w:val="single" w:sz="8" w:space="0" w:color="auto"/>
            </w:tcBorders>
            <w:shd w:val="clear" w:color="auto" w:fill="auto"/>
            <w:noWrap/>
            <w:vAlign w:val="bottom"/>
            <w:hideMark/>
          </w:tcPr>
          <w:p w14:paraId="63F8F263" w14:textId="77777777" w:rsidR="00FE461F" w:rsidRPr="005E4BEA" w:rsidRDefault="00FE461F" w:rsidP="00FE461F">
            <w:pPr>
              <w:spacing w:line="240" w:lineRule="auto"/>
              <w:jc w:val="right"/>
              <w:rPr>
                <w:rFonts w:cs="Arial"/>
                <w:color w:val="808080" w:themeColor="background1" w:themeShade="80"/>
                <w:szCs w:val="20"/>
              </w:rPr>
            </w:pPr>
            <w:r w:rsidRPr="005E4BEA">
              <w:rPr>
                <w:rFonts w:cs="Arial"/>
                <w:color w:val="808080" w:themeColor="background1" w:themeShade="80"/>
                <w:szCs w:val="20"/>
              </w:rPr>
              <w:t>1,0</w:t>
            </w:r>
          </w:p>
        </w:tc>
      </w:tr>
      <w:tr w:rsidR="00FE461F" w:rsidRPr="005E4BEA" w14:paraId="6BDB814F" w14:textId="77777777" w:rsidTr="0016774B">
        <w:trPr>
          <w:trHeight w:val="1"/>
        </w:trPr>
        <w:tc>
          <w:tcPr>
            <w:tcW w:w="4622" w:type="dxa"/>
            <w:tcBorders>
              <w:top w:val="nil"/>
              <w:left w:val="single" w:sz="8" w:space="0" w:color="auto"/>
              <w:bottom w:val="single" w:sz="8" w:space="0" w:color="auto"/>
              <w:right w:val="single" w:sz="4" w:space="0" w:color="auto"/>
            </w:tcBorders>
            <w:shd w:val="clear" w:color="auto" w:fill="auto"/>
            <w:noWrap/>
            <w:vAlign w:val="bottom"/>
            <w:hideMark/>
          </w:tcPr>
          <w:p w14:paraId="689ED6A2" w14:textId="77777777" w:rsidR="00FE461F" w:rsidRPr="005E4BEA" w:rsidRDefault="00FE461F" w:rsidP="00FE461F">
            <w:pPr>
              <w:spacing w:line="240" w:lineRule="auto"/>
              <w:jc w:val="both"/>
              <w:rPr>
                <w:rFonts w:cs="Arial"/>
                <w:b/>
                <w:bCs/>
                <w:color w:val="808080" w:themeColor="background1" w:themeShade="80"/>
                <w:szCs w:val="20"/>
              </w:rPr>
            </w:pPr>
            <w:r w:rsidRPr="005E4BEA">
              <w:rPr>
                <w:rFonts w:cs="Arial"/>
                <w:b/>
                <w:bCs/>
                <w:color w:val="808080" w:themeColor="background1" w:themeShade="80"/>
                <w:szCs w:val="20"/>
              </w:rPr>
              <w:t xml:space="preserve">RAZLIKA TERCIAR II </w:t>
            </w:r>
          </w:p>
        </w:tc>
        <w:tc>
          <w:tcPr>
            <w:tcW w:w="1152" w:type="dxa"/>
            <w:tcBorders>
              <w:top w:val="nil"/>
              <w:left w:val="nil"/>
              <w:bottom w:val="single" w:sz="8" w:space="0" w:color="auto"/>
              <w:right w:val="single" w:sz="4" w:space="0" w:color="auto"/>
            </w:tcBorders>
            <w:shd w:val="clear" w:color="auto" w:fill="auto"/>
            <w:noWrap/>
            <w:vAlign w:val="bottom"/>
            <w:hideMark/>
          </w:tcPr>
          <w:p w14:paraId="309CF70B" w14:textId="77777777" w:rsidR="00FE461F" w:rsidRPr="005E4BEA" w:rsidRDefault="00FE461F" w:rsidP="00FE461F">
            <w:pPr>
              <w:spacing w:line="240" w:lineRule="auto"/>
              <w:jc w:val="right"/>
              <w:rPr>
                <w:rFonts w:cs="Arial"/>
                <w:color w:val="808080" w:themeColor="background1" w:themeShade="80"/>
                <w:szCs w:val="20"/>
              </w:rPr>
            </w:pPr>
          </w:p>
        </w:tc>
        <w:tc>
          <w:tcPr>
            <w:tcW w:w="1227" w:type="dxa"/>
            <w:tcBorders>
              <w:top w:val="nil"/>
              <w:left w:val="nil"/>
              <w:bottom w:val="single" w:sz="8" w:space="0" w:color="auto"/>
              <w:right w:val="single" w:sz="8" w:space="0" w:color="auto"/>
            </w:tcBorders>
            <w:shd w:val="clear" w:color="auto" w:fill="auto"/>
            <w:noWrap/>
            <w:vAlign w:val="bottom"/>
            <w:hideMark/>
          </w:tcPr>
          <w:p w14:paraId="10BE33F2" w14:textId="77777777" w:rsidR="00FE461F" w:rsidRPr="005E4BEA" w:rsidRDefault="00FE461F" w:rsidP="00FE461F">
            <w:pPr>
              <w:spacing w:line="240" w:lineRule="auto"/>
              <w:jc w:val="right"/>
              <w:rPr>
                <w:rFonts w:cs="Arial"/>
                <w:b/>
                <w:bCs/>
                <w:color w:val="808080" w:themeColor="background1" w:themeShade="80"/>
                <w:szCs w:val="20"/>
              </w:rPr>
            </w:pPr>
            <w:r w:rsidRPr="005E4BEA">
              <w:rPr>
                <w:rFonts w:cs="Arial"/>
                <w:b/>
                <w:bCs/>
                <w:color w:val="808080" w:themeColor="background1" w:themeShade="80"/>
                <w:szCs w:val="20"/>
              </w:rPr>
              <w:t>5.835.745</w:t>
            </w:r>
          </w:p>
        </w:tc>
      </w:tr>
    </w:tbl>
    <w:p w14:paraId="5EFCAEF4" w14:textId="593E0189" w:rsidR="00FE461F" w:rsidRPr="005E4BEA" w:rsidRDefault="00FE461F" w:rsidP="00FE461F">
      <w:pPr>
        <w:spacing w:line="240" w:lineRule="auto"/>
        <w:jc w:val="both"/>
        <w:rPr>
          <w:rFonts w:cs="Arial"/>
          <w:szCs w:val="20"/>
        </w:rPr>
      </w:pPr>
    </w:p>
    <w:p w14:paraId="3ACDC1C2" w14:textId="028EF2EB" w:rsidR="00241A6D" w:rsidRPr="005E4BEA" w:rsidRDefault="00241A6D" w:rsidP="00FE461F">
      <w:pPr>
        <w:spacing w:line="240" w:lineRule="auto"/>
        <w:jc w:val="both"/>
        <w:rPr>
          <w:rFonts w:cs="Arial"/>
          <w:szCs w:val="20"/>
        </w:rPr>
      </w:pPr>
    </w:p>
    <w:p w14:paraId="2E34FD2B"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1E11C8F" w14:textId="77777777" w:rsidR="00241A6D" w:rsidRPr="005E4BEA" w:rsidRDefault="00241A6D" w:rsidP="00241A6D">
      <w:pPr>
        <w:spacing w:line="0" w:lineRule="atLeast"/>
        <w:jc w:val="both"/>
        <w:rPr>
          <w:rFonts w:eastAsia="Arial Narrow" w:cs="Arial"/>
          <w:szCs w:val="20"/>
          <w:lang w:eastAsia="sl-SI"/>
        </w:rPr>
      </w:pPr>
    </w:p>
    <w:p w14:paraId="74116DCB" w14:textId="78779CED"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BOL-3 </w:t>
      </w:r>
      <w:r w:rsidRPr="005E4BEA">
        <w:rPr>
          <w:rFonts w:eastAsiaTheme="minorHAnsi" w:cs="Arial"/>
          <w:bCs/>
          <w:szCs w:val="20"/>
        </w:rPr>
        <w:t>Splošnega dogovora ne spremeni.</w:t>
      </w:r>
    </w:p>
    <w:p w14:paraId="5BADE866" w14:textId="77777777" w:rsidR="00241A6D" w:rsidRPr="005E4BEA" w:rsidRDefault="00241A6D" w:rsidP="00241A6D">
      <w:pPr>
        <w:spacing w:line="240" w:lineRule="auto"/>
        <w:jc w:val="both"/>
        <w:rPr>
          <w:rFonts w:cs="Arial"/>
          <w:i/>
          <w:iCs/>
          <w:color w:val="767171"/>
          <w:szCs w:val="20"/>
        </w:rPr>
      </w:pPr>
    </w:p>
    <w:p w14:paraId="39B9815F" w14:textId="77777777" w:rsidR="00241A6D" w:rsidRPr="005E4BEA" w:rsidRDefault="00241A6D" w:rsidP="00241A6D">
      <w:pPr>
        <w:spacing w:line="240" w:lineRule="auto"/>
        <w:jc w:val="both"/>
        <w:rPr>
          <w:rFonts w:cs="Arial"/>
          <w:i/>
          <w:iCs/>
          <w:color w:val="767171"/>
          <w:szCs w:val="20"/>
        </w:rPr>
      </w:pPr>
    </w:p>
    <w:p w14:paraId="1CA4FE11" w14:textId="2BCF8CBF"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(162)</w:t>
      </w:r>
    </w:p>
    <w:p w14:paraId="00B3A2E1" w14:textId="77777777" w:rsidR="00241A6D" w:rsidRPr="005E4BEA" w:rsidRDefault="00241A6D" w:rsidP="00241A6D">
      <w:pPr>
        <w:spacing w:line="0" w:lineRule="atLeast"/>
        <w:contextualSpacing/>
        <w:jc w:val="both"/>
        <w:rPr>
          <w:rFonts w:eastAsia="Arial Narrow" w:cs="Arial"/>
          <w:b/>
          <w:szCs w:val="20"/>
        </w:rPr>
      </w:pPr>
    </w:p>
    <w:p w14:paraId="2BB1BD68" w14:textId="34E08A15" w:rsidR="00FE461F" w:rsidRPr="005E4BEA" w:rsidRDefault="00241A6D" w:rsidP="00FE461F">
      <w:pPr>
        <w:spacing w:line="240" w:lineRule="auto"/>
        <w:jc w:val="both"/>
        <w:rPr>
          <w:rFonts w:cs="Arial"/>
          <w:szCs w:val="20"/>
        </w:rPr>
      </w:pPr>
      <w:r w:rsidRPr="005E4BEA">
        <w:rPr>
          <w:rFonts w:eastAsia="Arial Narrow" w:cs="Arial"/>
          <w:b/>
          <w:szCs w:val="20"/>
        </w:rPr>
        <w:t>Združenje zdravstvenih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w:t>
      </w:r>
      <w:r w:rsidR="00FE461F" w:rsidRPr="005E4BEA">
        <w:rPr>
          <w:rFonts w:cs="Arial"/>
          <w:szCs w:val="20"/>
        </w:rPr>
        <w:t>Priloga BOL III/c, (4) odstavek točka c.)</w:t>
      </w:r>
    </w:p>
    <w:p w14:paraId="5CBC0284" w14:textId="77777777" w:rsidR="00FE461F" w:rsidRPr="005E4BEA" w:rsidRDefault="00FE461F" w:rsidP="00FE461F">
      <w:pPr>
        <w:spacing w:line="240" w:lineRule="auto"/>
        <w:jc w:val="both"/>
        <w:rPr>
          <w:rFonts w:cs="Arial"/>
          <w:iCs/>
          <w:szCs w:val="20"/>
        </w:rPr>
      </w:pPr>
      <w:r w:rsidRPr="005E4BEA">
        <w:rPr>
          <w:rFonts w:cs="Arial"/>
          <w:iCs/>
          <w:szCs w:val="20"/>
        </w:rPr>
        <w:t>»V obračun za program ostala ABO se vključijo realizirane uteži (črta se največ do višine planiranih uteži programov ostala ABO skupaj in pripadajoči primeri).</w:t>
      </w:r>
    </w:p>
    <w:p w14:paraId="33B96396" w14:textId="77777777" w:rsidR="00FE461F" w:rsidRPr="005E4BEA" w:rsidRDefault="00FE461F" w:rsidP="00FE461F">
      <w:pPr>
        <w:spacing w:line="240" w:lineRule="auto"/>
        <w:jc w:val="both"/>
        <w:rPr>
          <w:rFonts w:cs="Arial"/>
          <w:szCs w:val="20"/>
        </w:rPr>
      </w:pPr>
    </w:p>
    <w:p w14:paraId="6A2E3EF7" w14:textId="77777777" w:rsidR="00FE461F" w:rsidRPr="005E4BEA" w:rsidRDefault="00FE461F" w:rsidP="00FE461F">
      <w:pPr>
        <w:spacing w:line="240" w:lineRule="auto"/>
        <w:jc w:val="both"/>
        <w:rPr>
          <w:rFonts w:eastAsia="Calibri" w:cs="Arial"/>
          <w:b/>
          <w:bCs/>
          <w:i/>
          <w:iCs/>
          <w:color w:val="7F7F7F"/>
          <w:szCs w:val="20"/>
          <w:u w:val="single"/>
        </w:rPr>
      </w:pPr>
      <w:r w:rsidRPr="005E4BEA">
        <w:rPr>
          <w:rFonts w:eastAsia="Calibri" w:cs="Arial"/>
          <w:b/>
          <w:bCs/>
          <w:i/>
          <w:iCs/>
          <w:color w:val="7F7F7F"/>
          <w:szCs w:val="20"/>
          <w:u w:val="single"/>
        </w:rPr>
        <w:t>Obrazložitev:</w:t>
      </w:r>
    </w:p>
    <w:p w14:paraId="0B3282E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V Splošni bolnišnici Murska Sobota vsako leto ugotavljajo, da ne dobijo plačanih vseh realiziranih uteži. Iz leta v leto obravnavajo vse težje bolnike predvsem na področju kardiologije, invazivne diagnostike ter </w:t>
      </w:r>
      <w:proofErr w:type="spellStart"/>
      <w:r w:rsidRPr="005E4BEA">
        <w:rPr>
          <w:rFonts w:cs="Arial"/>
          <w:i/>
          <w:iCs/>
          <w:color w:val="808080" w:themeColor="background1" w:themeShade="80"/>
          <w:szCs w:val="20"/>
        </w:rPr>
        <w:t>ortopedije.V</w:t>
      </w:r>
      <w:proofErr w:type="spellEnd"/>
      <w:r w:rsidRPr="005E4BEA">
        <w:rPr>
          <w:rFonts w:cs="Arial"/>
          <w:i/>
          <w:iCs/>
          <w:color w:val="808080" w:themeColor="background1" w:themeShade="80"/>
          <w:szCs w:val="20"/>
        </w:rPr>
        <w:t xml:space="preserve"> tabeli na podlagi primerov in obteženih primerov ter povprečnih uteži za obdobje 2011 so 2021 prikazujejo razliko med planirano utežjo in realizirano utežjo.</w:t>
      </w:r>
    </w:p>
    <w:p w14:paraId="2BD433A7" w14:textId="77777777" w:rsidR="00FE461F" w:rsidRPr="005E4BEA" w:rsidRDefault="00FE461F" w:rsidP="00FE461F">
      <w:pPr>
        <w:spacing w:line="240" w:lineRule="auto"/>
        <w:jc w:val="both"/>
        <w:rPr>
          <w:rFonts w:cs="Arial"/>
          <w:szCs w:val="20"/>
        </w:rPr>
      </w:pPr>
      <w:r w:rsidRPr="005E4BEA">
        <w:rPr>
          <w:rFonts w:cs="Arial"/>
          <w:noProof/>
          <w:szCs w:val="20"/>
        </w:rPr>
        <w:lastRenderedPageBreak/>
        <w:drawing>
          <wp:inline distT="0" distB="0" distL="0" distR="0" wp14:anchorId="71696803" wp14:editId="73C82D21">
            <wp:extent cx="6007735" cy="252285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735" cy="2522855"/>
                    </a:xfrm>
                    <a:prstGeom prst="rect">
                      <a:avLst/>
                    </a:prstGeom>
                    <a:noFill/>
                    <a:ln>
                      <a:noFill/>
                    </a:ln>
                  </pic:spPr>
                </pic:pic>
              </a:graphicData>
            </a:graphic>
          </wp:inline>
        </w:drawing>
      </w:r>
    </w:p>
    <w:p w14:paraId="06CE6ACF"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 xml:space="preserve">Na osnovi tega ugotavljamo, da so v preteklih letih za obdobje 2011 do 2021 presegali planirano utež za 10.230,20 obteženih primerov in izgubili na delu prihodka v višini 13.299.260 evrov.  </w:t>
      </w:r>
    </w:p>
    <w:p w14:paraId="37E43235" w14:textId="77777777" w:rsidR="00FE461F" w:rsidRPr="005E4BEA" w:rsidRDefault="00FE461F" w:rsidP="00FE461F">
      <w:pPr>
        <w:spacing w:line="240" w:lineRule="auto"/>
        <w:jc w:val="both"/>
        <w:rPr>
          <w:rFonts w:cs="Arial"/>
          <w:i/>
          <w:iCs/>
          <w:color w:val="808080" w:themeColor="background1" w:themeShade="80"/>
          <w:szCs w:val="20"/>
        </w:rPr>
      </w:pPr>
      <w:r w:rsidRPr="005E4BEA">
        <w:rPr>
          <w:rFonts w:cs="Arial"/>
          <w:i/>
          <w:iCs/>
          <w:color w:val="808080" w:themeColor="background1" w:themeShade="80"/>
          <w:szCs w:val="20"/>
        </w:rPr>
        <w:t>Predlagamo  da se ostala akutna bolnišnična obravnava obračunava po realizirani uteži.</w:t>
      </w:r>
    </w:p>
    <w:p w14:paraId="4866FF22" w14:textId="77777777" w:rsidR="00FE461F" w:rsidRPr="005E4BEA" w:rsidRDefault="00FE461F" w:rsidP="00FE461F">
      <w:pPr>
        <w:spacing w:line="240" w:lineRule="auto"/>
        <w:jc w:val="both"/>
        <w:rPr>
          <w:rFonts w:cs="Arial"/>
          <w:i/>
          <w:iCs/>
          <w:color w:val="808080" w:themeColor="background1" w:themeShade="80"/>
          <w:szCs w:val="20"/>
        </w:rPr>
      </w:pPr>
    </w:p>
    <w:p w14:paraId="251E04C6"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0BA9DBCD" w14:textId="77777777" w:rsidR="00241A6D" w:rsidRPr="005E4BEA" w:rsidRDefault="00241A6D" w:rsidP="00241A6D">
      <w:pPr>
        <w:spacing w:line="0" w:lineRule="atLeast"/>
        <w:jc w:val="both"/>
        <w:rPr>
          <w:rFonts w:eastAsia="Arial Narrow" w:cs="Arial"/>
          <w:szCs w:val="20"/>
          <w:lang w:eastAsia="sl-SI"/>
        </w:rPr>
      </w:pPr>
    </w:p>
    <w:p w14:paraId="0E61FFF9" w14:textId="77777777"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60A5A548" w14:textId="77777777" w:rsidR="00241A6D" w:rsidRPr="005E4BEA" w:rsidRDefault="00241A6D" w:rsidP="00241A6D">
      <w:pPr>
        <w:spacing w:line="240" w:lineRule="auto"/>
        <w:jc w:val="both"/>
        <w:rPr>
          <w:rFonts w:cs="Arial"/>
          <w:i/>
          <w:iCs/>
          <w:color w:val="767171"/>
          <w:szCs w:val="20"/>
        </w:rPr>
      </w:pPr>
    </w:p>
    <w:p w14:paraId="4DC2B357" w14:textId="77777777" w:rsidR="00241A6D" w:rsidRPr="005E4BEA" w:rsidRDefault="00241A6D" w:rsidP="00241A6D">
      <w:pPr>
        <w:spacing w:line="240" w:lineRule="auto"/>
        <w:jc w:val="both"/>
        <w:rPr>
          <w:rFonts w:cs="Arial"/>
          <w:i/>
          <w:iCs/>
          <w:color w:val="767171"/>
          <w:szCs w:val="20"/>
        </w:rPr>
      </w:pPr>
    </w:p>
    <w:p w14:paraId="4166F7EF" w14:textId="1E4E4DC7" w:rsidR="00241A6D"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(163)</w:t>
      </w:r>
    </w:p>
    <w:p w14:paraId="3D0A9553" w14:textId="77777777" w:rsidR="00EC7E01" w:rsidRPr="00EC7E01" w:rsidRDefault="00EC7E01" w:rsidP="00EC7E01">
      <w:pPr>
        <w:rPr>
          <w:rFonts w:eastAsia="Arial Narrow"/>
        </w:rPr>
      </w:pPr>
    </w:p>
    <w:p w14:paraId="148181B0" w14:textId="76DD0A30" w:rsidR="00FE461F" w:rsidRPr="00EC7E01" w:rsidRDefault="00241A6D" w:rsidP="00EC7E01">
      <w:pPr>
        <w:pStyle w:val="Obrazloitev0"/>
        <w:rPr>
          <w:rFonts w:ascii="Arial" w:eastAsia="Arial Narrow" w:hAnsi="Arial" w:cs="Arial"/>
          <w:b/>
          <w:i w:val="0"/>
          <w:color w:val="auto"/>
          <w:sz w:val="20"/>
          <w:szCs w:val="20"/>
        </w:rPr>
      </w:pPr>
      <w:r w:rsidRPr="00EC7E01">
        <w:rPr>
          <w:rFonts w:ascii="Arial" w:eastAsia="Arial Narrow" w:hAnsi="Arial" w:cs="Arial"/>
          <w:b/>
          <w:i w:val="0"/>
          <w:color w:val="auto"/>
          <w:sz w:val="20"/>
          <w:szCs w:val="20"/>
        </w:rPr>
        <w:t xml:space="preserve">Skupnost socialnih zavodov Slovenije predlaga, </w:t>
      </w:r>
      <w:r w:rsidRPr="00EC7E01">
        <w:rPr>
          <w:rFonts w:ascii="Arial" w:eastAsia="Arial Narrow" w:hAnsi="Arial" w:cs="Arial"/>
          <w:bCs/>
          <w:i w:val="0"/>
          <w:color w:val="auto"/>
          <w:sz w:val="20"/>
          <w:szCs w:val="20"/>
        </w:rPr>
        <w:t xml:space="preserve">da se v Prilogi </w:t>
      </w:r>
      <w:r w:rsidR="00FE461F" w:rsidRPr="00EC7E01">
        <w:rPr>
          <w:rFonts w:ascii="Arial" w:eastAsia="Arial Narrow" w:hAnsi="Arial" w:cs="Arial"/>
          <w:bCs/>
          <w:i w:val="0"/>
          <w:color w:val="auto"/>
          <w:sz w:val="20"/>
          <w:szCs w:val="20"/>
        </w:rPr>
        <w:t>SVZ  v 12. členu na koncu 1. odstavka doda naslednje besedilo: »Šteje se, da je bil stanovalec napoten na bolnišnično zdravljenje, ko je v bolnišnici ostal najmanj dve noči.«</w:t>
      </w:r>
      <w:r w:rsidR="00FE461F" w:rsidRPr="00EC7E01">
        <w:rPr>
          <w:rFonts w:ascii="Arial" w:eastAsia="Arial Narrow" w:hAnsi="Arial" w:cs="Arial"/>
          <w:b/>
          <w:i w:val="0"/>
          <w:color w:val="auto"/>
          <w:sz w:val="20"/>
          <w:szCs w:val="20"/>
        </w:rPr>
        <w:t xml:space="preserve"> </w:t>
      </w:r>
    </w:p>
    <w:p w14:paraId="47590C49" w14:textId="77777777" w:rsidR="00FE461F" w:rsidRPr="005E4BEA" w:rsidRDefault="00FE461F" w:rsidP="00FE461F">
      <w:pPr>
        <w:spacing w:before="240" w:after="60"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 xml:space="preserve">Obrazložitev: </w:t>
      </w:r>
    </w:p>
    <w:p w14:paraId="3E393412" w14:textId="1CE13EB3" w:rsidR="00FE461F" w:rsidRPr="005E4BEA" w:rsidRDefault="00FE461F" w:rsidP="00FE461F">
      <w:pPr>
        <w:spacing w:line="240" w:lineRule="auto"/>
        <w:jc w:val="both"/>
        <w:rPr>
          <w:rFonts w:cs="Arial"/>
          <w:b/>
          <w:bCs/>
          <w:i/>
          <w:color w:val="808080" w:themeColor="background1" w:themeShade="80"/>
          <w:szCs w:val="20"/>
          <w:lang w:eastAsia="en-GB"/>
        </w:rPr>
      </w:pPr>
      <w:r w:rsidRPr="005E4BEA">
        <w:rPr>
          <w:rFonts w:cs="Arial"/>
          <w:i/>
          <w:color w:val="808080" w:themeColor="background1" w:themeShade="80"/>
          <w:szCs w:val="20"/>
          <w:lang w:eastAsia="en-GB"/>
        </w:rPr>
        <w:t xml:space="preserve">V praksi se pogosto dogaja, da je potrebno stanovalca socialno varstvenega zavoda v popoldanskem/večernem času ali preko vikenda, ko v SVZ ni izvajalca splošne ambulante, odpeljati v urgentni center bolnišnice. Pogosto se stanovalec vrne še isto noč. Ker bolnišnica obračuna enega izmed </w:t>
      </w:r>
      <w:proofErr w:type="spellStart"/>
      <w:r w:rsidRPr="005E4BEA">
        <w:rPr>
          <w:rFonts w:cs="Arial"/>
          <w:i/>
          <w:color w:val="808080" w:themeColor="background1" w:themeShade="80"/>
          <w:szCs w:val="20"/>
          <w:lang w:eastAsia="en-GB"/>
        </w:rPr>
        <w:t>SPPjev</w:t>
      </w:r>
      <w:proofErr w:type="spellEnd"/>
      <w:r w:rsidRPr="005E4BEA">
        <w:rPr>
          <w:rFonts w:cs="Arial"/>
          <w:i/>
          <w:color w:val="808080" w:themeColor="background1" w:themeShade="80"/>
          <w:szCs w:val="20"/>
          <w:lang w:eastAsia="en-GB"/>
        </w:rPr>
        <w:t xml:space="preserve">, SVZ skladno s prvim odstavkom 12. člena Priloge SVZ izgubi en dan zdravstvene nege, kljub temu, da neguje stanovalca oba dni. Pogosto hospitalizacija sploh ne bi bila potrebna, če bi bila v SVZ zagotovljena ustrezna zdravniška oskrba. Zato je za razjasnitev potrebno določiti, da se šteje, da je stanovalec v bolnišnici takrat, ko tam ostane vsaj dve noči. </w:t>
      </w:r>
      <w:r w:rsidRPr="005E4BEA">
        <w:rPr>
          <w:rFonts w:cs="Arial"/>
          <w:b/>
          <w:bCs/>
          <w:i/>
          <w:color w:val="808080" w:themeColor="background1" w:themeShade="80"/>
          <w:szCs w:val="20"/>
          <w:lang w:eastAsia="en-GB"/>
        </w:rPr>
        <w:t xml:space="preserve"> </w:t>
      </w:r>
    </w:p>
    <w:p w14:paraId="082F1280" w14:textId="77777777" w:rsidR="00241A6D" w:rsidRPr="005E4BEA" w:rsidRDefault="00241A6D" w:rsidP="00FE461F">
      <w:pPr>
        <w:spacing w:line="240" w:lineRule="auto"/>
        <w:jc w:val="both"/>
        <w:rPr>
          <w:rFonts w:cs="Arial"/>
          <w:b/>
          <w:bCs/>
          <w:i/>
          <w:color w:val="808080" w:themeColor="background1" w:themeShade="80"/>
          <w:szCs w:val="20"/>
          <w:lang w:eastAsia="en-GB"/>
        </w:rPr>
      </w:pPr>
    </w:p>
    <w:p w14:paraId="338F716E" w14:textId="77777777" w:rsidR="00FE461F" w:rsidRPr="005E4BEA" w:rsidRDefault="00FE461F" w:rsidP="00FE461F">
      <w:pPr>
        <w:spacing w:line="240" w:lineRule="auto"/>
        <w:jc w:val="both"/>
        <w:textAlignment w:val="baseline"/>
        <w:rPr>
          <w:rFonts w:cs="Arial"/>
          <w:b/>
          <w:bCs/>
          <w:szCs w:val="20"/>
          <w:lang w:eastAsia="en-GB"/>
        </w:rPr>
      </w:pPr>
      <w:r w:rsidRPr="005E4BEA">
        <w:rPr>
          <w:rFonts w:cs="Arial"/>
          <w:b/>
          <w:bCs/>
          <w:i/>
          <w:iCs/>
          <w:color w:val="808080"/>
          <w:szCs w:val="20"/>
          <w:lang w:eastAsia="en-GB"/>
        </w:rPr>
        <w:t>Finančnih posledic ni.</w:t>
      </w:r>
      <w:r w:rsidRPr="005E4BEA">
        <w:rPr>
          <w:rFonts w:cs="Arial"/>
          <w:b/>
          <w:bCs/>
          <w:szCs w:val="20"/>
          <w:lang w:eastAsia="en-GB"/>
        </w:rPr>
        <w:t xml:space="preserve"> </w:t>
      </w:r>
    </w:p>
    <w:p w14:paraId="20FF491A" w14:textId="69D05460" w:rsidR="00FE461F" w:rsidRPr="005E4BEA" w:rsidRDefault="00FE461F" w:rsidP="00FE461F">
      <w:pPr>
        <w:overflowPunct w:val="0"/>
        <w:autoSpaceDE w:val="0"/>
        <w:autoSpaceDN w:val="0"/>
        <w:adjustRightInd w:val="0"/>
        <w:spacing w:line="240" w:lineRule="auto"/>
        <w:jc w:val="both"/>
        <w:rPr>
          <w:rFonts w:cs="Arial"/>
          <w:b/>
          <w:bCs/>
          <w:iCs/>
          <w:szCs w:val="20"/>
          <w:u w:val="single"/>
          <w:lang w:eastAsia="x-none"/>
        </w:rPr>
      </w:pPr>
    </w:p>
    <w:p w14:paraId="7841D10C" w14:textId="0FFDA1F6" w:rsidR="00241A6D" w:rsidRPr="005E4BEA" w:rsidRDefault="00241A6D" w:rsidP="00FE461F">
      <w:pPr>
        <w:overflowPunct w:val="0"/>
        <w:autoSpaceDE w:val="0"/>
        <w:autoSpaceDN w:val="0"/>
        <w:adjustRightInd w:val="0"/>
        <w:spacing w:line="240" w:lineRule="auto"/>
        <w:jc w:val="both"/>
        <w:rPr>
          <w:rFonts w:cs="Arial"/>
          <w:b/>
          <w:bCs/>
          <w:iCs/>
          <w:szCs w:val="20"/>
          <w:u w:val="single"/>
          <w:lang w:eastAsia="x-none"/>
        </w:rPr>
      </w:pPr>
    </w:p>
    <w:p w14:paraId="47D64361"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01E3AB8C" w14:textId="77777777" w:rsidR="00241A6D" w:rsidRPr="005E4BEA" w:rsidRDefault="00241A6D" w:rsidP="00241A6D">
      <w:pPr>
        <w:spacing w:line="0" w:lineRule="atLeast"/>
        <w:jc w:val="both"/>
        <w:rPr>
          <w:rFonts w:eastAsia="Arial Narrow" w:cs="Arial"/>
          <w:szCs w:val="20"/>
          <w:lang w:eastAsia="sl-SI"/>
        </w:rPr>
      </w:pPr>
    </w:p>
    <w:p w14:paraId="1638BC08" w14:textId="74151D32"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SVZ </w:t>
      </w:r>
      <w:r w:rsidRPr="005E4BEA">
        <w:rPr>
          <w:rFonts w:eastAsiaTheme="minorHAnsi" w:cs="Arial"/>
          <w:bCs/>
          <w:szCs w:val="20"/>
        </w:rPr>
        <w:t>Splošnega dogovora ne spremeni.</w:t>
      </w:r>
    </w:p>
    <w:p w14:paraId="19922BCB" w14:textId="77777777" w:rsidR="00241A6D" w:rsidRPr="005E4BEA" w:rsidRDefault="00241A6D" w:rsidP="00241A6D">
      <w:pPr>
        <w:spacing w:line="240" w:lineRule="auto"/>
        <w:jc w:val="both"/>
        <w:rPr>
          <w:rFonts w:cs="Arial"/>
          <w:i/>
          <w:iCs/>
          <w:color w:val="767171"/>
          <w:szCs w:val="20"/>
        </w:rPr>
      </w:pPr>
    </w:p>
    <w:p w14:paraId="17A6CDA9" w14:textId="77777777" w:rsidR="00241A6D" w:rsidRPr="005E4BEA" w:rsidRDefault="00241A6D" w:rsidP="00241A6D">
      <w:pPr>
        <w:spacing w:line="240" w:lineRule="auto"/>
        <w:jc w:val="both"/>
        <w:rPr>
          <w:rFonts w:cs="Arial"/>
          <w:i/>
          <w:iCs/>
          <w:color w:val="767171"/>
          <w:szCs w:val="20"/>
        </w:rPr>
      </w:pPr>
    </w:p>
    <w:p w14:paraId="752C87BC" w14:textId="747EEDB2"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(164)</w:t>
      </w:r>
    </w:p>
    <w:p w14:paraId="4471AF3D" w14:textId="77777777" w:rsidR="00241A6D" w:rsidRPr="005E4BEA" w:rsidRDefault="00241A6D" w:rsidP="00241A6D">
      <w:pPr>
        <w:spacing w:line="0" w:lineRule="atLeast"/>
        <w:ind w:left="360"/>
        <w:contextualSpacing/>
        <w:jc w:val="both"/>
        <w:rPr>
          <w:rFonts w:eastAsia="Arial Narrow" w:cs="Arial"/>
          <w:b/>
          <w:szCs w:val="20"/>
        </w:rPr>
      </w:pPr>
    </w:p>
    <w:p w14:paraId="6839A33C" w14:textId="2418DE1B" w:rsidR="00FE461F" w:rsidRPr="005E4BEA" w:rsidRDefault="00241A6D" w:rsidP="00241A6D">
      <w:pPr>
        <w:overflowPunct w:val="0"/>
        <w:autoSpaceDE w:val="0"/>
        <w:autoSpaceDN w:val="0"/>
        <w:adjustRightInd w:val="0"/>
        <w:spacing w:line="240" w:lineRule="auto"/>
        <w:jc w:val="both"/>
        <w:rPr>
          <w:rFonts w:cs="Arial"/>
          <w:bCs/>
          <w:szCs w:val="20"/>
          <w:lang w:eastAsia="en-GB"/>
        </w:rPr>
      </w:pPr>
      <w:r w:rsidRPr="005E4BEA">
        <w:rPr>
          <w:rFonts w:eastAsia="Arial Narrow" w:cs="Arial"/>
          <w:b/>
          <w:szCs w:val="20"/>
        </w:rPr>
        <w:t>Skupnost socialnih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da se v Prilogi SVZ-</w:t>
      </w:r>
      <w:r w:rsidR="00FE461F" w:rsidRPr="005E4BEA">
        <w:rPr>
          <w:rFonts w:cs="Arial"/>
          <w:bCs/>
          <w:szCs w:val="20"/>
          <w:lang w:eastAsia="en-GB"/>
        </w:rPr>
        <w:t xml:space="preserve">2 spremeni tabela normativa in sicer: </w:t>
      </w:r>
    </w:p>
    <w:p w14:paraId="690D7C0F" w14:textId="77777777" w:rsidR="00241A6D" w:rsidRPr="005E4BEA" w:rsidRDefault="00241A6D" w:rsidP="00241A6D">
      <w:pPr>
        <w:overflowPunct w:val="0"/>
        <w:autoSpaceDE w:val="0"/>
        <w:autoSpaceDN w:val="0"/>
        <w:adjustRightInd w:val="0"/>
        <w:spacing w:line="240" w:lineRule="auto"/>
        <w:jc w:val="both"/>
        <w:rPr>
          <w:rFonts w:cs="Arial"/>
          <w:bCs/>
          <w:szCs w:val="20"/>
          <w:lang w:eastAsia="en-GB"/>
        </w:rPr>
      </w:pPr>
    </w:p>
    <w:p w14:paraId="063827AA"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u w:val="single"/>
          <w:lang w:eastAsia="en-GB"/>
        </w:rPr>
        <w:t>pri Negi I spremeni normativ tako da se odslej glasi:</w:t>
      </w:r>
      <w:r w:rsidRPr="005E4BEA">
        <w:rPr>
          <w:rFonts w:cs="Arial"/>
          <w:bCs/>
          <w:szCs w:val="20"/>
          <w:lang w:eastAsia="en-GB"/>
        </w:rPr>
        <w:t xml:space="preserve"> </w:t>
      </w:r>
    </w:p>
    <w:p w14:paraId="335669B1"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tehnik zdravstvene nege na 15 postelj, </w:t>
      </w:r>
    </w:p>
    <w:p w14:paraId="15218957"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diplomirani fizioterapevt na 100 postelj, </w:t>
      </w:r>
    </w:p>
    <w:p w14:paraId="429E8082"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diplomirana med. sestra/višja sestra na 100 postelj, </w:t>
      </w:r>
    </w:p>
    <w:p w14:paraId="55B4D404"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diplomirani delovni terapevt na 150 postelj, </w:t>
      </w:r>
    </w:p>
    <w:p w14:paraId="153680A9"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bolničar na 10 postelj, </w:t>
      </w:r>
    </w:p>
    <w:p w14:paraId="66F299C0"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strežnica na 23 postelj </w:t>
      </w:r>
    </w:p>
    <w:p w14:paraId="04014A19"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1 klinični dietetik na 2000 postelj,</w:t>
      </w:r>
    </w:p>
    <w:p w14:paraId="40845169"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zdravnik specialist na 1000 postelj,  </w:t>
      </w:r>
    </w:p>
    <w:p w14:paraId="2F34090E"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Ostali podatki v tabelah, ter druge tabele v SD se temu ustrezno preračunajo. </w:t>
      </w:r>
    </w:p>
    <w:p w14:paraId="7A4C24BD"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 </w:t>
      </w:r>
    </w:p>
    <w:p w14:paraId="562A71E0"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u w:val="single"/>
          <w:lang w:eastAsia="en-GB"/>
        </w:rPr>
        <w:t>pri Negi II spremeni normativ tako da se odslej glasi:</w:t>
      </w:r>
      <w:r w:rsidRPr="005E4BEA">
        <w:rPr>
          <w:rFonts w:cs="Arial"/>
          <w:bCs/>
          <w:szCs w:val="20"/>
          <w:lang w:eastAsia="en-GB"/>
        </w:rPr>
        <w:t xml:space="preserve"> </w:t>
      </w:r>
    </w:p>
    <w:p w14:paraId="355F8B19"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tehnik zdravstvene nege na 8 postelj, </w:t>
      </w:r>
    </w:p>
    <w:p w14:paraId="2D680710"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diplomirani fizioterapevt na 50 postelj, </w:t>
      </w:r>
    </w:p>
    <w:p w14:paraId="0AE3C782"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diplomirana med. sestra/višja sestra na 70 postelj, </w:t>
      </w:r>
    </w:p>
    <w:p w14:paraId="5F697FC5"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diplomirani delovni terapevt na 130 postelj, </w:t>
      </w:r>
    </w:p>
    <w:p w14:paraId="6D579596"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bolničar na 7 postelj, </w:t>
      </w:r>
    </w:p>
    <w:p w14:paraId="54128058"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strežnica na 30 postelj, </w:t>
      </w:r>
    </w:p>
    <w:p w14:paraId="64D29CB0"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1 klinični dietetik na 1000 postelj</w:t>
      </w:r>
    </w:p>
    <w:p w14:paraId="7ED1FB47"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zdravnik specialist na 1000 postelj.  </w:t>
      </w:r>
    </w:p>
    <w:p w14:paraId="58A1CFD9"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Ostali podatki v tabelah, ter druge tabele v SD se temu ustrezno preračunajo. </w:t>
      </w:r>
    </w:p>
    <w:p w14:paraId="52AF97D0"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 </w:t>
      </w:r>
    </w:p>
    <w:p w14:paraId="355FFA8D"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u w:val="single"/>
          <w:lang w:eastAsia="en-GB"/>
        </w:rPr>
        <w:t>pri Negi III spremeni normativ tako da se odslej glasi:</w:t>
      </w:r>
      <w:r w:rsidRPr="005E4BEA">
        <w:rPr>
          <w:rFonts w:cs="Arial"/>
          <w:bCs/>
          <w:szCs w:val="20"/>
          <w:lang w:eastAsia="en-GB"/>
        </w:rPr>
        <w:t xml:space="preserve"> </w:t>
      </w:r>
    </w:p>
    <w:p w14:paraId="3E1BD3F5"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tehnik zdravstvene nege na 5 postelj, </w:t>
      </w:r>
    </w:p>
    <w:p w14:paraId="4C9F2496"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diplomirani fizioterapevt na 130 postelj, </w:t>
      </w:r>
    </w:p>
    <w:p w14:paraId="104B6C61"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diplomirana med. sestra/višja sestra na 20 postelj, </w:t>
      </w:r>
    </w:p>
    <w:p w14:paraId="38898F91"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diplomirani delovni terapevt na 90 postelj, </w:t>
      </w:r>
    </w:p>
    <w:p w14:paraId="10558EB6"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bolničar na 5 postelj, </w:t>
      </w:r>
    </w:p>
    <w:p w14:paraId="3D509836"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1 klinični dietetik na 800 postelj</w:t>
      </w:r>
    </w:p>
    <w:p w14:paraId="57EC1D04"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1 zdravnik specialist na 800 postelj.  </w:t>
      </w:r>
    </w:p>
    <w:p w14:paraId="182214A6" w14:textId="77777777" w:rsidR="00FE461F" w:rsidRPr="005E4BEA" w:rsidRDefault="00FE461F" w:rsidP="00FE461F">
      <w:pPr>
        <w:spacing w:before="120" w:after="60" w:line="240" w:lineRule="auto"/>
        <w:jc w:val="both"/>
        <w:rPr>
          <w:rFonts w:cs="Arial"/>
          <w:bCs/>
          <w:szCs w:val="20"/>
          <w:lang w:eastAsia="en-GB"/>
        </w:rPr>
      </w:pPr>
      <w:r w:rsidRPr="005E4BEA">
        <w:rPr>
          <w:rFonts w:cs="Arial"/>
          <w:bCs/>
          <w:szCs w:val="20"/>
          <w:lang w:eastAsia="en-GB"/>
        </w:rPr>
        <w:t xml:space="preserve">Ustrezno se spremenijo tabele za nego I, II in III na naslednji način ter 1. odstavek 10. točke 10. člena Splošnega dogovora. </w:t>
      </w:r>
    </w:p>
    <w:p w14:paraId="6E7ED0E2" w14:textId="77777777" w:rsidR="00FE461F" w:rsidRPr="005E4BEA" w:rsidRDefault="00FE461F" w:rsidP="00FE461F">
      <w:pPr>
        <w:spacing w:before="240" w:after="60" w:line="240" w:lineRule="auto"/>
        <w:jc w:val="both"/>
        <w:rPr>
          <w:rFonts w:cs="Arial"/>
          <w:b/>
          <w:i/>
          <w:color w:val="808080" w:themeColor="background1" w:themeShade="80"/>
          <w:szCs w:val="20"/>
          <w:u w:val="single"/>
          <w:lang w:eastAsia="sl-SI"/>
        </w:rPr>
      </w:pPr>
      <w:r w:rsidRPr="005E4BEA">
        <w:rPr>
          <w:rFonts w:cs="Arial"/>
          <w:b/>
          <w:i/>
          <w:color w:val="808080" w:themeColor="background1" w:themeShade="80"/>
          <w:szCs w:val="20"/>
          <w:u w:val="single"/>
          <w:lang w:eastAsia="sl-SI"/>
        </w:rPr>
        <w:t xml:space="preserve">Obrazložitev: </w:t>
      </w:r>
    </w:p>
    <w:p w14:paraId="1220713B"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 xml:space="preserve">Če želimo, da bodo domovi za starejše in posebni zavodi za odrasle zagotavljali kakovostno in varno strokovno zdravstveno nego, tudi starejšim z večjimi negovalnimi potrebami (hranjenje po </w:t>
      </w:r>
      <w:proofErr w:type="spellStart"/>
      <w:r w:rsidRPr="005E4BEA">
        <w:rPr>
          <w:rFonts w:cs="Arial"/>
          <w:i/>
          <w:color w:val="808080" w:themeColor="background1" w:themeShade="80"/>
          <w:szCs w:val="20"/>
          <w:lang w:eastAsia="en-GB"/>
        </w:rPr>
        <w:t>nazogastrični</w:t>
      </w:r>
      <w:proofErr w:type="spellEnd"/>
      <w:r w:rsidRPr="005E4BEA">
        <w:rPr>
          <w:rFonts w:cs="Arial"/>
          <w:i/>
          <w:color w:val="808080" w:themeColor="background1" w:themeShade="80"/>
          <w:szCs w:val="20"/>
          <w:lang w:eastAsia="en-GB"/>
        </w:rPr>
        <w:t xml:space="preserve"> sondi, urinski kateter, trahealna kanila, neodzivnost, demenca …), je po oceni stroke nujno potrebno s takojšnjimi ukrepi in v aktualnem Aneksu k Splošnemu dogovoru za pogodbeno leto 2022 določiti tudi nove kadrovske normative na področju zdravstva. Posledično to pomeni višje cene zdravstvene nege v splošnih socialnovarstvenih zavodih (domovi za starejše) in sorazmerno temu tudi v socialnovarstvenih zavodih tipa B (kombinirani zavodi) in C (posebni zavodi). </w:t>
      </w:r>
    </w:p>
    <w:p w14:paraId="01A4931E" w14:textId="77777777" w:rsidR="00FE461F" w:rsidRPr="005E4BEA" w:rsidRDefault="00FE461F" w:rsidP="00FE461F">
      <w:pPr>
        <w:spacing w:line="240" w:lineRule="auto"/>
        <w:jc w:val="both"/>
        <w:rPr>
          <w:rFonts w:cs="Arial"/>
          <w:i/>
          <w:color w:val="808080" w:themeColor="background1" w:themeShade="80"/>
          <w:szCs w:val="20"/>
          <w:lang w:eastAsia="en-GB"/>
        </w:rPr>
      </w:pPr>
    </w:p>
    <w:p w14:paraId="21AC9F98"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Zbornica – Zveza je v letu 2021 izdala dokument Kadrovski standardi in normativi v zdravstveni in babiški negi. Dokument je zasnovan na podlagi potreb uporabnika, ki vstopa v zdravstveno obravnavo. Pri pripravi so sodelovale različne skupine strokovnjakov s 30 področij, ki jih opredeljujejo strokovne sekcije Zbornice-Zveze. Njihovo strokovno delo je temeljilo na preučevanju domače in mednarodne literature ter vrednotenju zbranih domačih in mednarodnih podatkov in praks, izhajajočih iz potreb uporabnika.</w:t>
      </w:r>
    </w:p>
    <w:p w14:paraId="76735ED0" w14:textId="77777777" w:rsidR="00FE461F" w:rsidRPr="005E4BEA" w:rsidRDefault="00FE461F" w:rsidP="00FE461F">
      <w:pPr>
        <w:spacing w:line="240" w:lineRule="auto"/>
        <w:jc w:val="both"/>
        <w:rPr>
          <w:rFonts w:cs="Arial"/>
          <w:i/>
          <w:color w:val="808080" w:themeColor="background1" w:themeShade="80"/>
          <w:szCs w:val="20"/>
          <w:lang w:eastAsia="en-GB"/>
        </w:rPr>
      </w:pPr>
    </w:p>
    <w:p w14:paraId="430939AD"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Dokument opredeljuje tisto minimalno kadrovsko zasedbo, ki zagotavlja varno in kakovostno izvajanje zdravstvene nege tako za izvajalce kot uporabnike. To pa pomeni tudi delovne pogoje, v katerih izvajalci ne izgorevajo in ne zapuščajo poklica.</w:t>
      </w:r>
    </w:p>
    <w:p w14:paraId="53F6777D" w14:textId="77777777" w:rsidR="00FE461F" w:rsidRPr="005E4BEA" w:rsidRDefault="00FE461F" w:rsidP="00FE461F">
      <w:pPr>
        <w:spacing w:line="240" w:lineRule="auto"/>
        <w:jc w:val="both"/>
        <w:rPr>
          <w:rFonts w:cs="Arial"/>
          <w:i/>
          <w:color w:val="808080" w:themeColor="background1" w:themeShade="80"/>
          <w:szCs w:val="20"/>
          <w:lang w:eastAsia="en-GB"/>
        </w:rPr>
      </w:pPr>
    </w:p>
    <w:p w14:paraId="3152E7DA"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Kadrovski normativi so bili narejeni na podlagi dejanskega stanja v posameznih tipih zavodov ter prilagojeni glede na porabljeni čas za izvedbo posameznih aktivnosti zdravstvene nege in posebnih potreb uporabnikov, ki se pojavljajo v SVZ. Poraba časa za izvedbo posamezne aktivnosti zdravstvene nege je bila testirana v večini socialnovarstvenih zavodov, na podlagi dokumenta, ki je bil dogovorjen med izvajalci in ZZZS.</w:t>
      </w:r>
    </w:p>
    <w:p w14:paraId="5495702F" w14:textId="77777777" w:rsidR="00FE461F" w:rsidRPr="005E4BEA" w:rsidRDefault="00FE461F" w:rsidP="00FE461F">
      <w:pPr>
        <w:spacing w:line="240" w:lineRule="auto"/>
        <w:jc w:val="both"/>
        <w:rPr>
          <w:rFonts w:cs="Arial"/>
          <w:i/>
          <w:color w:val="808080" w:themeColor="background1" w:themeShade="80"/>
          <w:szCs w:val="20"/>
          <w:lang w:eastAsia="en-GB"/>
        </w:rPr>
      </w:pPr>
    </w:p>
    <w:p w14:paraId="03FD9AB0" w14:textId="77777777" w:rsidR="00FE461F" w:rsidRPr="005E4BEA" w:rsidRDefault="00FE461F" w:rsidP="00FE461F">
      <w:pPr>
        <w:spacing w:line="240" w:lineRule="auto"/>
        <w:jc w:val="both"/>
        <w:rPr>
          <w:rFonts w:cs="Arial"/>
          <w:i/>
          <w:color w:val="808080" w:themeColor="background1" w:themeShade="80"/>
          <w:szCs w:val="20"/>
          <w:lang w:eastAsia="en-GB"/>
        </w:rPr>
      </w:pPr>
      <w:r w:rsidRPr="005E4BEA">
        <w:rPr>
          <w:rFonts w:cs="Arial"/>
          <w:i/>
          <w:color w:val="808080" w:themeColor="background1" w:themeShade="80"/>
          <w:szCs w:val="20"/>
          <w:lang w:eastAsia="en-GB"/>
        </w:rPr>
        <w:t>Prav tako je za varno in strokovno delo ustrezne kadrovske normative predlagalo Združenje fizioterapevtov in Zbornica delovnih terapevtov. Glede na predlog stroke samo v domovih za starejše in posebnih zavodih za odrasle v tem trenutku primanjkuje 3.677 zaposlenih. V nadaljevanju podajamo prikaz kadrovskega normativa glede na realizacijo preteklega leta po obstoječem Splošnem dogovoru ter glede na predlog stroke.</w:t>
      </w:r>
    </w:p>
    <w:p w14:paraId="3323FCB9" w14:textId="77777777" w:rsidR="00FE461F" w:rsidRPr="005E4BEA" w:rsidRDefault="00FE461F" w:rsidP="00FE461F">
      <w:pPr>
        <w:spacing w:line="240" w:lineRule="auto"/>
        <w:jc w:val="both"/>
        <w:rPr>
          <w:rFonts w:cs="Arial"/>
          <w:i/>
          <w:color w:val="808080" w:themeColor="background1" w:themeShade="80"/>
          <w:szCs w:val="20"/>
          <w:lang w:eastAsia="en-GB"/>
        </w:rPr>
      </w:pPr>
    </w:p>
    <w:tbl>
      <w:tblPr>
        <w:tblW w:w="8840" w:type="dxa"/>
        <w:tblLook w:val="04A0" w:firstRow="1" w:lastRow="0" w:firstColumn="1" w:lastColumn="0" w:noHBand="0" w:noVBand="1"/>
      </w:tblPr>
      <w:tblGrid>
        <w:gridCol w:w="4220"/>
        <w:gridCol w:w="1540"/>
        <w:gridCol w:w="1540"/>
        <w:gridCol w:w="1540"/>
      </w:tblGrid>
      <w:tr w:rsidR="00FE461F" w:rsidRPr="005E4BEA" w14:paraId="69E5CF26" w14:textId="77777777" w:rsidTr="0016774B">
        <w:trPr>
          <w:trHeight w:val="276"/>
        </w:trPr>
        <w:tc>
          <w:tcPr>
            <w:tcW w:w="7300" w:type="dxa"/>
            <w:gridSpan w:val="3"/>
            <w:tcBorders>
              <w:top w:val="nil"/>
              <w:left w:val="nil"/>
              <w:bottom w:val="nil"/>
              <w:right w:val="nil"/>
            </w:tcBorders>
            <w:shd w:val="clear" w:color="auto" w:fill="auto"/>
            <w:noWrap/>
            <w:vAlign w:val="bottom"/>
            <w:hideMark/>
          </w:tcPr>
          <w:p w14:paraId="06A3142F" w14:textId="77777777" w:rsidR="00FE461F" w:rsidRPr="005E4BEA" w:rsidRDefault="00FE461F" w:rsidP="00FE461F">
            <w:pPr>
              <w:spacing w:line="240" w:lineRule="auto"/>
              <w:rPr>
                <w:rFonts w:cs="Arial"/>
                <w:b/>
                <w:bCs/>
                <w:szCs w:val="20"/>
              </w:rPr>
            </w:pPr>
            <w:r w:rsidRPr="005E4BEA">
              <w:rPr>
                <w:rFonts w:cs="Arial"/>
                <w:b/>
                <w:bCs/>
                <w:szCs w:val="20"/>
              </w:rPr>
              <w:t>KADROVSKI NORMATIV PO OBSTOJEČEM SPLOŠNEM DOVORU</w:t>
            </w:r>
          </w:p>
        </w:tc>
        <w:tc>
          <w:tcPr>
            <w:tcW w:w="1540" w:type="dxa"/>
            <w:tcBorders>
              <w:top w:val="nil"/>
              <w:left w:val="nil"/>
              <w:bottom w:val="nil"/>
              <w:right w:val="nil"/>
            </w:tcBorders>
            <w:shd w:val="clear" w:color="auto" w:fill="auto"/>
            <w:noWrap/>
            <w:vAlign w:val="bottom"/>
            <w:hideMark/>
          </w:tcPr>
          <w:p w14:paraId="394A13C9" w14:textId="77777777" w:rsidR="00FE461F" w:rsidRPr="005E4BEA" w:rsidRDefault="00FE461F" w:rsidP="00FE461F">
            <w:pPr>
              <w:spacing w:line="240" w:lineRule="auto"/>
              <w:rPr>
                <w:rFonts w:cs="Arial"/>
                <w:b/>
                <w:bCs/>
                <w:szCs w:val="20"/>
              </w:rPr>
            </w:pPr>
          </w:p>
        </w:tc>
      </w:tr>
      <w:tr w:rsidR="00FE461F" w:rsidRPr="005E4BEA" w14:paraId="2A085B7D" w14:textId="77777777" w:rsidTr="0016774B">
        <w:trPr>
          <w:trHeight w:val="276"/>
        </w:trPr>
        <w:tc>
          <w:tcPr>
            <w:tcW w:w="4220" w:type="dxa"/>
            <w:tcBorders>
              <w:top w:val="nil"/>
              <w:left w:val="nil"/>
              <w:bottom w:val="nil"/>
              <w:right w:val="nil"/>
            </w:tcBorders>
            <w:shd w:val="clear" w:color="auto" w:fill="auto"/>
            <w:noWrap/>
            <w:vAlign w:val="bottom"/>
            <w:hideMark/>
          </w:tcPr>
          <w:p w14:paraId="3048C96F"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73647EFD"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71689DAD"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5575FA18" w14:textId="77777777" w:rsidR="00FE461F" w:rsidRPr="005E4BEA" w:rsidRDefault="00FE461F" w:rsidP="00FE461F">
            <w:pPr>
              <w:spacing w:line="240" w:lineRule="auto"/>
              <w:rPr>
                <w:rFonts w:cs="Arial"/>
                <w:szCs w:val="20"/>
              </w:rPr>
            </w:pPr>
          </w:p>
        </w:tc>
      </w:tr>
      <w:tr w:rsidR="00FE461F" w:rsidRPr="005E4BEA" w14:paraId="724B3F5B" w14:textId="77777777" w:rsidTr="0016774B">
        <w:trPr>
          <w:trHeight w:val="276"/>
        </w:trPr>
        <w:tc>
          <w:tcPr>
            <w:tcW w:w="4220" w:type="dxa"/>
            <w:tcBorders>
              <w:top w:val="nil"/>
              <w:left w:val="nil"/>
              <w:bottom w:val="nil"/>
              <w:right w:val="nil"/>
            </w:tcBorders>
            <w:shd w:val="clear" w:color="auto" w:fill="auto"/>
            <w:noWrap/>
            <w:vAlign w:val="bottom"/>
            <w:hideMark/>
          </w:tcPr>
          <w:p w14:paraId="1DAA8C0D" w14:textId="77777777" w:rsidR="00FE461F" w:rsidRPr="005E4BEA" w:rsidRDefault="00FE461F" w:rsidP="00FE461F">
            <w:pPr>
              <w:spacing w:line="240" w:lineRule="auto"/>
              <w:rPr>
                <w:rFonts w:cs="Arial"/>
                <w:szCs w:val="20"/>
              </w:rPr>
            </w:pPr>
            <w:r w:rsidRPr="005E4BEA">
              <w:rPr>
                <w:rFonts w:cs="Arial"/>
                <w:szCs w:val="20"/>
              </w:rPr>
              <w:t>NEGA I</w:t>
            </w:r>
          </w:p>
        </w:tc>
        <w:tc>
          <w:tcPr>
            <w:tcW w:w="1540" w:type="dxa"/>
            <w:tcBorders>
              <w:top w:val="nil"/>
              <w:left w:val="nil"/>
              <w:bottom w:val="nil"/>
              <w:right w:val="nil"/>
            </w:tcBorders>
            <w:shd w:val="clear" w:color="auto" w:fill="auto"/>
            <w:noWrap/>
            <w:vAlign w:val="bottom"/>
            <w:hideMark/>
          </w:tcPr>
          <w:p w14:paraId="32CB86B2" w14:textId="77777777" w:rsidR="00FE461F" w:rsidRPr="005E4BEA" w:rsidRDefault="00FE461F" w:rsidP="00FE461F">
            <w:pPr>
              <w:spacing w:line="240" w:lineRule="auto"/>
              <w:jc w:val="right"/>
              <w:rPr>
                <w:rFonts w:cs="Arial"/>
                <w:szCs w:val="20"/>
              </w:rPr>
            </w:pPr>
          </w:p>
        </w:tc>
        <w:tc>
          <w:tcPr>
            <w:tcW w:w="3080" w:type="dxa"/>
            <w:gridSpan w:val="2"/>
            <w:tcBorders>
              <w:top w:val="nil"/>
              <w:left w:val="nil"/>
              <w:bottom w:val="nil"/>
              <w:right w:val="nil"/>
            </w:tcBorders>
            <w:shd w:val="clear" w:color="auto" w:fill="auto"/>
            <w:noWrap/>
            <w:vAlign w:val="bottom"/>
            <w:hideMark/>
          </w:tcPr>
          <w:p w14:paraId="44FB2871" w14:textId="77777777" w:rsidR="00FE461F" w:rsidRPr="005E4BEA" w:rsidRDefault="00FE461F" w:rsidP="00FE461F">
            <w:pPr>
              <w:spacing w:line="240" w:lineRule="auto"/>
              <w:rPr>
                <w:rFonts w:cs="Arial"/>
                <w:szCs w:val="20"/>
              </w:rPr>
            </w:pPr>
            <w:r w:rsidRPr="005E4BEA">
              <w:rPr>
                <w:rFonts w:cs="Arial"/>
                <w:szCs w:val="20"/>
              </w:rPr>
              <w:t>realizacija 2021</w:t>
            </w:r>
          </w:p>
        </w:tc>
      </w:tr>
      <w:tr w:rsidR="00FE461F" w:rsidRPr="005E4BEA" w14:paraId="2DFC1FFA" w14:textId="77777777" w:rsidTr="0016774B">
        <w:trPr>
          <w:trHeight w:val="1332"/>
        </w:trPr>
        <w:tc>
          <w:tcPr>
            <w:tcW w:w="4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CA6AC3" w14:textId="77777777" w:rsidR="00FE461F" w:rsidRPr="005E4BEA" w:rsidRDefault="00FE461F" w:rsidP="00FE461F">
            <w:pPr>
              <w:spacing w:line="240" w:lineRule="auto"/>
              <w:jc w:val="center"/>
              <w:rPr>
                <w:rFonts w:cs="Arial"/>
                <w:szCs w:val="20"/>
              </w:rPr>
            </w:pPr>
            <w:r w:rsidRPr="005E4BEA">
              <w:rPr>
                <w:rFonts w:cs="Arial"/>
                <w:szCs w:val="20"/>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F6E997A"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4102A09B" w14:textId="77777777" w:rsidR="00FE461F" w:rsidRPr="005E4BEA" w:rsidRDefault="00FE461F" w:rsidP="00FE461F">
            <w:pPr>
              <w:spacing w:line="240" w:lineRule="auto"/>
              <w:jc w:val="center"/>
              <w:rPr>
                <w:rFonts w:cs="Arial"/>
                <w:szCs w:val="20"/>
              </w:rPr>
            </w:pPr>
            <w:r w:rsidRPr="005E4BEA">
              <w:rPr>
                <w:rFonts w:cs="Arial"/>
                <w:szCs w:val="20"/>
              </w:rPr>
              <w:t xml:space="preserve">1.069.504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CD8387F"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69C088EA"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C638A5E" w14:textId="77777777" w:rsidR="00FE461F" w:rsidRPr="005E4BEA" w:rsidRDefault="00FE461F" w:rsidP="00FE461F">
            <w:pPr>
              <w:spacing w:line="240" w:lineRule="auto"/>
              <w:rPr>
                <w:rFonts w:cs="Arial"/>
                <w:szCs w:val="20"/>
              </w:rPr>
            </w:pPr>
            <w:r w:rsidRPr="005E4BEA">
              <w:rPr>
                <w:rFonts w:cs="Arial"/>
                <w:szCs w:val="20"/>
              </w:rPr>
              <w:t>1 tehnik zdravstvene nege na 30 postelj</w:t>
            </w:r>
          </w:p>
        </w:tc>
        <w:tc>
          <w:tcPr>
            <w:tcW w:w="1540" w:type="dxa"/>
            <w:tcBorders>
              <w:top w:val="nil"/>
              <w:left w:val="nil"/>
              <w:bottom w:val="single" w:sz="4" w:space="0" w:color="auto"/>
              <w:right w:val="single" w:sz="4" w:space="0" w:color="auto"/>
            </w:tcBorders>
            <w:shd w:val="clear" w:color="auto" w:fill="auto"/>
            <w:noWrap/>
            <w:vAlign w:val="bottom"/>
            <w:hideMark/>
          </w:tcPr>
          <w:p w14:paraId="51C01C1A" w14:textId="77777777" w:rsidR="00FE461F" w:rsidRPr="005E4BEA" w:rsidRDefault="00FE461F" w:rsidP="00FE461F">
            <w:pPr>
              <w:spacing w:line="240" w:lineRule="auto"/>
              <w:jc w:val="right"/>
              <w:rPr>
                <w:rFonts w:cs="Arial"/>
                <w:szCs w:val="20"/>
              </w:rPr>
            </w:pPr>
            <w:r w:rsidRPr="005E4BEA">
              <w:rPr>
                <w:rFonts w:cs="Arial"/>
                <w:szCs w:val="20"/>
              </w:rPr>
              <w:t>0,0329</w:t>
            </w:r>
          </w:p>
        </w:tc>
        <w:tc>
          <w:tcPr>
            <w:tcW w:w="1540" w:type="dxa"/>
            <w:tcBorders>
              <w:top w:val="nil"/>
              <w:left w:val="nil"/>
              <w:bottom w:val="single" w:sz="4" w:space="0" w:color="auto"/>
              <w:right w:val="single" w:sz="4" w:space="0" w:color="auto"/>
            </w:tcBorders>
            <w:shd w:val="clear" w:color="auto" w:fill="auto"/>
            <w:noWrap/>
            <w:vAlign w:val="bottom"/>
            <w:hideMark/>
          </w:tcPr>
          <w:p w14:paraId="5202F71F" w14:textId="77777777" w:rsidR="00FE461F" w:rsidRPr="005E4BEA" w:rsidRDefault="00FE461F" w:rsidP="00FE461F">
            <w:pPr>
              <w:spacing w:line="240" w:lineRule="auto"/>
              <w:jc w:val="right"/>
              <w:rPr>
                <w:rFonts w:cs="Arial"/>
                <w:szCs w:val="20"/>
              </w:rPr>
            </w:pPr>
            <w:r w:rsidRPr="005E4BEA">
              <w:rPr>
                <w:rFonts w:cs="Arial"/>
                <w:szCs w:val="20"/>
              </w:rPr>
              <w:t>3,29</w:t>
            </w:r>
          </w:p>
        </w:tc>
        <w:tc>
          <w:tcPr>
            <w:tcW w:w="1540" w:type="dxa"/>
            <w:tcBorders>
              <w:top w:val="nil"/>
              <w:left w:val="nil"/>
              <w:bottom w:val="single" w:sz="4" w:space="0" w:color="auto"/>
              <w:right w:val="single" w:sz="4" w:space="0" w:color="auto"/>
            </w:tcBorders>
            <w:shd w:val="clear" w:color="auto" w:fill="auto"/>
            <w:noWrap/>
            <w:vAlign w:val="bottom"/>
            <w:hideMark/>
          </w:tcPr>
          <w:p w14:paraId="56CF4CC2" w14:textId="77777777" w:rsidR="00FE461F" w:rsidRPr="005E4BEA" w:rsidRDefault="00FE461F" w:rsidP="00FE461F">
            <w:pPr>
              <w:spacing w:line="240" w:lineRule="auto"/>
              <w:jc w:val="right"/>
              <w:rPr>
                <w:rFonts w:cs="Arial"/>
                <w:szCs w:val="20"/>
              </w:rPr>
            </w:pPr>
            <w:r w:rsidRPr="005E4BEA">
              <w:rPr>
                <w:rFonts w:cs="Arial"/>
                <w:szCs w:val="20"/>
              </w:rPr>
              <w:t>96,40</w:t>
            </w:r>
          </w:p>
        </w:tc>
      </w:tr>
      <w:tr w:rsidR="00FE461F" w:rsidRPr="005E4BEA" w14:paraId="23F5BB3F"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1A515C11" w14:textId="77777777" w:rsidR="00FE461F" w:rsidRPr="005E4BEA" w:rsidRDefault="00FE461F" w:rsidP="00FE461F">
            <w:pPr>
              <w:spacing w:line="240" w:lineRule="auto"/>
              <w:rPr>
                <w:rFonts w:cs="Arial"/>
                <w:szCs w:val="20"/>
              </w:rPr>
            </w:pPr>
            <w:r w:rsidRPr="005E4BEA">
              <w:rPr>
                <w:rFonts w:cs="Arial"/>
                <w:szCs w:val="20"/>
              </w:rPr>
              <w:t>1 dipl. fizioterapevt/višji fizioterapevt na 250 postelj</w:t>
            </w:r>
          </w:p>
        </w:tc>
        <w:tc>
          <w:tcPr>
            <w:tcW w:w="1540" w:type="dxa"/>
            <w:tcBorders>
              <w:top w:val="nil"/>
              <w:left w:val="nil"/>
              <w:bottom w:val="single" w:sz="4" w:space="0" w:color="auto"/>
              <w:right w:val="single" w:sz="4" w:space="0" w:color="auto"/>
            </w:tcBorders>
            <w:shd w:val="clear" w:color="auto" w:fill="auto"/>
            <w:noWrap/>
            <w:vAlign w:val="bottom"/>
            <w:hideMark/>
          </w:tcPr>
          <w:p w14:paraId="3E45B099" w14:textId="77777777" w:rsidR="00FE461F" w:rsidRPr="005E4BEA" w:rsidRDefault="00FE461F" w:rsidP="00FE461F">
            <w:pPr>
              <w:spacing w:line="240" w:lineRule="auto"/>
              <w:jc w:val="right"/>
              <w:rPr>
                <w:rFonts w:cs="Arial"/>
                <w:szCs w:val="20"/>
              </w:rPr>
            </w:pPr>
            <w:r w:rsidRPr="005E4BEA">
              <w:rPr>
                <w:rFonts w:cs="Arial"/>
                <w:szCs w:val="20"/>
              </w:rPr>
              <w:t>0,0039</w:t>
            </w:r>
          </w:p>
        </w:tc>
        <w:tc>
          <w:tcPr>
            <w:tcW w:w="1540" w:type="dxa"/>
            <w:tcBorders>
              <w:top w:val="nil"/>
              <w:left w:val="nil"/>
              <w:bottom w:val="single" w:sz="4" w:space="0" w:color="auto"/>
              <w:right w:val="single" w:sz="4" w:space="0" w:color="auto"/>
            </w:tcBorders>
            <w:shd w:val="clear" w:color="auto" w:fill="auto"/>
            <w:noWrap/>
            <w:vAlign w:val="bottom"/>
            <w:hideMark/>
          </w:tcPr>
          <w:p w14:paraId="1294AECF" w14:textId="77777777" w:rsidR="00FE461F" w:rsidRPr="005E4BEA" w:rsidRDefault="00FE461F" w:rsidP="00FE461F">
            <w:pPr>
              <w:spacing w:line="240" w:lineRule="auto"/>
              <w:jc w:val="right"/>
              <w:rPr>
                <w:rFonts w:cs="Arial"/>
                <w:szCs w:val="20"/>
              </w:rPr>
            </w:pPr>
            <w:r w:rsidRPr="005E4BEA">
              <w:rPr>
                <w:rFonts w:cs="Arial"/>
                <w:szCs w:val="20"/>
              </w:rPr>
              <w:t>0,39</w:t>
            </w:r>
          </w:p>
        </w:tc>
        <w:tc>
          <w:tcPr>
            <w:tcW w:w="1540" w:type="dxa"/>
            <w:tcBorders>
              <w:top w:val="nil"/>
              <w:left w:val="nil"/>
              <w:bottom w:val="single" w:sz="4" w:space="0" w:color="auto"/>
              <w:right w:val="single" w:sz="4" w:space="0" w:color="auto"/>
            </w:tcBorders>
            <w:shd w:val="clear" w:color="auto" w:fill="auto"/>
            <w:noWrap/>
            <w:vAlign w:val="bottom"/>
            <w:hideMark/>
          </w:tcPr>
          <w:p w14:paraId="6D02EAC7" w14:textId="77777777" w:rsidR="00FE461F" w:rsidRPr="005E4BEA" w:rsidRDefault="00FE461F" w:rsidP="00FE461F">
            <w:pPr>
              <w:spacing w:line="240" w:lineRule="auto"/>
              <w:jc w:val="right"/>
              <w:rPr>
                <w:rFonts w:cs="Arial"/>
                <w:szCs w:val="20"/>
              </w:rPr>
            </w:pPr>
            <w:r w:rsidRPr="005E4BEA">
              <w:rPr>
                <w:rFonts w:cs="Arial"/>
                <w:szCs w:val="20"/>
              </w:rPr>
              <w:t>11,43</w:t>
            </w:r>
          </w:p>
        </w:tc>
      </w:tr>
      <w:tr w:rsidR="00FE461F" w:rsidRPr="005E4BEA" w14:paraId="1BF76DB8"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51D298B" w14:textId="77777777" w:rsidR="00FE461F" w:rsidRPr="005E4BEA" w:rsidRDefault="00FE461F" w:rsidP="00FE461F">
            <w:pPr>
              <w:spacing w:line="240" w:lineRule="auto"/>
              <w:rPr>
                <w:rFonts w:cs="Arial"/>
                <w:szCs w:val="20"/>
              </w:rPr>
            </w:pPr>
            <w:r w:rsidRPr="005E4BEA">
              <w:rPr>
                <w:rFonts w:cs="Arial"/>
                <w:szCs w:val="20"/>
              </w:rPr>
              <w:t>1 diplomirana med. sestra/višja med. sestra na 245 postelj</w:t>
            </w:r>
          </w:p>
        </w:tc>
        <w:tc>
          <w:tcPr>
            <w:tcW w:w="1540" w:type="dxa"/>
            <w:tcBorders>
              <w:top w:val="nil"/>
              <w:left w:val="nil"/>
              <w:bottom w:val="single" w:sz="4" w:space="0" w:color="auto"/>
              <w:right w:val="single" w:sz="4" w:space="0" w:color="auto"/>
            </w:tcBorders>
            <w:shd w:val="clear" w:color="auto" w:fill="auto"/>
            <w:noWrap/>
            <w:vAlign w:val="bottom"/>
            <w:hideMark/>
          </w:tcPr>
          <w:p w14:paraId="6ACF822D" w14:textId="77777777" w:rsidR="00FE461F" w:rsidRPr="005E4BEA" w:rsidRDefault="00FE461F" w:rsidP="00FE461F">
            <w:pPr>
              <w:spacing w:line="240" w:lineRule="auto"/>
              <w:jc w:val="right"/>
              <w:rPr>
                <w:rFonts w:cs="Arial"/>
                <w:szCs w:val="20"/>
              </w:rPr>
            </w:pPr>
            <w:r w:rsidRPr="005E4BEA">
              <w:rPr>
                <w:rFonts w:cs="Arial"/>
                <w:szCs w:val="20"/>
              </w:rPr>
              <w:t>0,0040</w:t>
            </w:r>
          </w:p>
        </w:tc>
        <w:tc>
          <w:tcPr>
            <w:tcW w:w="1540" w:type="dxa"/>
            <w:tcBorders>
              <w:top w:val="nil"/>
              <w:left w:val="nil"/>
              <w:bottom w:val="single" w:sz="4" w:space="0" w:color="auto"/>
              <w:right w:val="single" w:sz="4" w:space="0" w:color="auto"/>
            </w:tcBorders>
            <w:shd w:val="clear" w:color="auto" w:fill="auto"/>
            <w:noWrap/>
            <w:vAlign w:val="bottom"/>
            <w:hideMark/>
          </w:tcPr>
          <w:p w14:paraId="35C1D988" w14:textId="77777777" w:rsidR="00FE461F" w:rsidRPr="005E4BEA" w:rsidRDefault="00FE461F" w:rsidP="00FE461F">
            <w:pPr>
              <w:spacing w:line="240" w:lineRule="auto"/>
              <w:jc w:val="right"/>
              <w:rPr>
                <w:rFonts w:cs="Arial"/>
                <w:szCs w:val="20"/>
              </w:rPr>
            </w:pPr>
            <w:r w:rsidRPr="005E4BEA">
              <w:rPr>
                <w:rFonts w:cs="Arial"/>
                <w:szCs w:val="20"/>
              </w:rPr>
              <w:t>0,4</w:t>
            </w:r>
          </w:p>
        </w:tc>
        <w:tc>
          <w:tcPr>
            <w:tcW w:w="1540" w:type="dxa"/>
            <w:tcBorders>
              <w:top w:val="nil"/>
              <w:left w:val="nil"/>
              <w:bottom w:val="single" w:sz="4" w:space="0" w:color="auto"/>
              <w:right w:val="single" w:sz="4" w:space="0" w:color="auto"/>
            </w:tcBorders>
            <w:shd w:val="clear" w:color="auto" w:fill="auto"/>
            <w:noWrap/>
            <w:vAlign w:val="bottom"/>
            <w:hideMark/>
          </w:tcPr>
          <w:p w14:paraId="68C30082" w14:textId="77777777" w:rsidR="00FE461F" w:rsidRPr="005E4BEA" w:rsidRDefault="00FE461F" w:rsidP="00FE461F">
            <w:pPr>
              <w:spacing w:line="240" w:lineRule="auto"/>
              <w:jc w:val="right"/>
              <w:rPr>
                <w:rFonts w:cs="Arial"/>
                <w:szCs w:val="20"/>
              </w:rPr>
            </w:pPr>
            <w:r w:rsidRPr="005E4BEA">
              <w:rPr>
                <w:rFonts w:cs="Arial"/>
                <w:szCs w:val="20"/>
              </w:rPr>
              <w:t>11,72</w:t>
            </w:r>
          </w:p>
        </w:tc>
      </w:tr>
      <w:tr w:rsidR="00FE461F" w:rsidRPr="005E4BEA" w14:paraId="6E5501BE"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7E38F44C" w14:textId="77777777" w:rsidR="00FE461F" w:rsidRPr="005E4BEA" w:rsidRDefault="00FE461F" w:rsidP="00FE461F">
            <w:pPr>
              <w:spacing w:line="240" w:lineRule="auto"/>
              <w:rPr>
                <w:rFonts w:cs="Arial"/>
                <w:szCs w:val="20"/>
              </w:rPr>
            </w:pPr>
            <w:r w:rsidRPr="005E4BEA">
              <w:rPr>
                <w:rFonts w:cs="Arial"/>
                <w:szCs w:val="20"/>
              </w:rPr>
              <w:t>1 dipl. del. terapevt/ višji del. terapevt na 300 postelj</w:t>
            </w:r>
          </w:p>
        </w:tc>
        <w:tc>
          <w:tcPr>
            <w:tcW w:w="1540" w:type="dxa"/>
            <w:tcBorders>
              <w:top w:val="nil"/>
              <w:left w:val="nil"/>
              <w:bottom w:val="single" w:sz="4" w:space="0" w:color="auto"/>
              <w:right w:val="single" w:sz="4" w:space="0" w:color="auto"/>
            </w:tcBorders>
            <w:shd w:val="clear" w:color="auto" w:fill="auto"/>
            <w:noWrap/>
            <w:vAlign w:val="bottom"/>
            <w:hideMark/>
          </w:tcPr>
          <w:p w14:paraId="6A00FA3F" w14:textId="77777777" w:rsidR="00FE461F" w:rsidRPr="005E4BEA" w:rsidRDefault="00FE461F" w:rsidP="00FE461F">
            <w:pPr>
              <w:spacing w:line="240" w:lineRule="auto"/>
              <w:jc w:val="right"/>
              <w:rPr>
                <w:rFonts w:cs="Arial"/>
                <w:szCs w:val="20"/>
              </w:rPr>
            </w:pPr>
            <w:r w:rsidRPr="005E4BEA">
              <w:rPr>
                <w:rFonts w:cs="Arial"/>
                <w:szCs w:val="20"/>
              </w:rPr>
              <w:t>0,0033</w:t>
            </w:r>
          </w:p>
        </w:tc>
        <w:tc>
          <w:tcPr>
            <w:tcW w:w="1540" w:type="dxa"/>
            <w:tcBorders>
              <w:top w:val="nil"/>
              <w:left w:val="nil"/>
              <w:bottom w:val="single" w:sz="4" w:space="0" w:color="auto"/>
              <w:right w:val="single" w:sz="4" w:space="0" w:color="auto"/>
            </w:tcBorders>
            <w:shd w:val="clear" w:color="auto" w:fill="auto"/>
            <w:noWrap/>
            <w:vAlign w:val="bottom"/>
            <w:hideMark/>
          </w:tcPr>
          <w:p w14:paraId="428D3FCB" w14:textId="77777777" w:rsidR="00FE461F" w:rsidRPr="005E4BEA" w:rsidRDefault="00FE461F" w:rsidP="00FE461F">
            <w:pPr>
              <w:spacing w:line="240" w:lineRule="auto"/>
              <w:jc w:val="right"/>
              <w:rPr>
                <w:rFonts w:cs="Arial"/>
                <w:szCs w:val="20"/>
              </w:rPr>
            </w:pPr>
            <w:r w:rsidRPr="005E4BEA">
              <w:rPr>
                <w:rFonts w:cs="Arial"/>
                <w:szCs w:val="20"/>
              </w:rPr>
              <w:t>0,33</w:t>
            </w:r>
          </w:p>
        </w:tc>
        <w:tc>
          <w:tcPr>
            <w:tcW w:w="1540" w:type="dxa"/>
            <w:tcBorders>
              <w:top w:val="nil"/>
              <w:left w:val="nil"/>
              <w:bottom w:val="single" w:sz="4" w:space="0" w:color="auto"/>
              <w:right w:val="single" w:sz="4" w:space="0" w:color="auto"/>
            </w:tcBorders>
            <w:shd w:val="clear" w:color="auto" w:fill="auto"/>
            <w:noWrap/>
            <w:vAlign w:val="bottom"/>
            <w:hideMark/>
          </w:tcPr>
          <w:p w14:paraId="3FD520B8" w14:textId="77777777" w:rsidR="00FE461F" w:rsidRPr="005E4BEA" w:rsidRDefault="00FE461F" w:rsidP="00FE461F">
            <w:pPr>
              <w:spacing w:line="240" w:lineRule="auto"/>
              <w:jc w:val="right"/>
              <w:rPr>
                <w:rFonts w:cs="Arial"/>
                <w:szCs w:val="20"/>
              </w:rPr>
            </w:pPr>
            <w:r w:rsidRPr="005E4BEA">
              <w:rPr>
                <w:rFonts w:cs="Arial"/>
                <w:szCs w:val="20"/>
              </w:rPr>
              <w:t>9,67</w:t>
            </w:r>
          </w:p>
        </w:tc>
      </w:tr>
      <w:tr w:rsidR="00FE461F" w:rsidRPr="005E4BEA" w14:paraId="3B090EAD"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E30BA21" w14:textId="77777777" w:rsidR="00FE461F" w:rsidRPr="005E4BEA" w:rsidRDefault="00FE461F" w:rsidP="00FE461F">
            <w:pPr>
              <w:spacing w:line="240" w:lineRule="auto"/>
              <w:rPr>
                <w:rFonts w:cs="Arial"/>
                <w:szCs w:val="20"/>
              </w:rPr>
            </w:pPr>
            <w:r w:rsidRPr="005E4BEA">
              <w:rPr>
                <w:rFonts w:cs="Arial"/>
                <w:szCs w:val="20"/>
              </w:rPr>
              <w:t>1 bolničar-negovalec na 16,18 postelj</w:t>
            </w:r>
          </w:p>
        </w:tc>
        <w:tc>
          <w:tcPr>
            <w:tcW w:w="1540" w:type="dxa"/>
            <w:tcBorders>
              <w:top w:val="nil"/>
              <w:left w:val="nil"/>
              <w:bottom w:val="single" w:sz="4" w:space="0" w:color="auto"/>
              <w:right w:val="single" w:sz="4" w:space="0" w:color="auto"/>
            </w:tcBorders>
            <w:shd w:val="clear" w:color="auto" w:fill="auto"/>
            <w:noWrap/>
            <w:vAlign w:val="bottom"/>
            <w:hideMark/>
          </w:tcPr>
          <w:p w14:paraId="3E61513D" w14:textId="77777777" w:rsidR="00FE461F" w:rsidRPr="005E4BEA" w:rsidRDefault="00FE461F" w:rsidP="00FE461F">
            <w:pPr>
              <w:spacing w:line="240" w:lineRule="auto"/>
              <w:jc w:val="right"/>
              <w:rPr>
                <w:rFonts w:cs="Arial"/>
                <w:szCs w:val="20"/>
              </w:rPr>
            </w:pPr>
            <w:r w:rsidRPr="005E4BEA">
              <w:rPr>
                <w:rFonts w:cs="Arial"/>
                <w:szCs w:val="20"/>
              </w:rPr>
              <w:t>0,061</w:t>
            </w:r>
          </w:p>
        </w:tc>
        <w:tc>
          <w:tcPr>
            <w:tcW w:w="1540" w:type="dxa"/>
            <w:tcBorders>
              <w:top w:val="nil"/>
              <w:left w:val="nil"/>
              <w:bottom w:val="single" w:sz="4" w:space="0" w:color="auto"/>
              <w:right w:val="single" w:sz="4" w:space="0" w:color="auto"/>
            </w:tcBorders>
            <w:shd w:val="clear" w:color="auto" w:fill="auto"/>
            <w:noWrap/>
            <w:vAlign w:val="bottom"/>
            <w:hideMark/>
          </w:tcPr>
          <w:p w14:paraId="3676756A" w14:textId="77777777" w:rsidR="00FE461F" w:rsidRPr="005E4BEA" w:rsidRDefault="00FE461F" w:rsidP="00FE461F">
            <w:pPr>
              <w:spacing w:line="240" w:lineRule="auto"/>
              <w:jc w:val="right"/>
              <w:rPr>
                <w:rFonts w:cs="Arial"/>
                <w:szCs w:val="20"/>
              </w:rPr>
            </w:pPr>
            <w:r w:rsidRPr="005E4BEA">
              <w:rPr>
                <w:rFonts w:cs="Arial"/>
                <w:szCs w:val="20"/>
              </w:rPr>
              <w:t>6,1</w:t>
            </w:r>
          </w:p>
        </w:tc>
        <w:tc>
          <w:tcPr>
            <w:tcW w:w="1540" w:type="dxa"/>
            <w:tcBorders>
              <w:top w:val="nil"/>
              <w:left w:val="nil"/>
              <w:bottom w:val="single" w:sz="4" w:space="0" w:color="auto"/>
              <w:right w:val="single" w:sz="4" w:space="0" w:color="auto"/>
            </w:tcBorders>
            <w:shd w:val="clear" w:color="auto" w:fill="auto"/>
            <w:noWrap/>
            <w:vAlign w:val="bottom"/>
            <w:hideMark/>
          </w:tcPr>
          <w:p w14:paraId="79833EB1" w14:textId="77777777" w:rsidR="00FE461F" w:rsidRPr="005E4BEA" w:rsidRDefault="00FE461F" w:rsidP="00FE461F">
            <w:pPr>
              <w:spacing w:line="240" w:lineRule="auto"/>
              <w:jc w:val="right"/>
              <w:rPr>
                <w:rFonts w:cs="Arial"/>
                <w:szCs w:val="20"/>
              </w:rPr>
            </w:pPr>
            <w:r w:rsidRPr="005E4BEA">
              <w:rPr>
                <w:rFonts w:cs="Arial"/>
                <w:szCs w:val="20"/>
              </w:rPr>
              <w:t>178,74</w:t>
            </w:r>
          </w:p>
        </w:tc>
      </w:tr>
      <w:tr w:rsidR="00FE461F" w:rsidRPr="005E4BEA" w14:paraId="1E2ED8B8"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584DEC8"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540" w:type="dxa"/>
            <w:tcBorders>
              <w:top w:val="nil"/>
              <w:left w:val="nil"/>
              <w:bottom w:val="single" w:sz="4" w:space="0" w:color="auto"/>
              <w:right w:val="single" w:sz="4" w:space="0" w:color="auto"/>
            </w:tcBorders>
            <w:shd w:val="clear" w:color="auto" w:fill="auto"/>
            <w:noWrap/>
            <w:vAlign w:val="bottom"/>
            <w:hideMark/>
          </w:tcPr>
          <w:p w14:paraId="356399FD" w14:textId="77777777" w:rsidR="00FE461F" w:rsidRPr="005E4BEA" w:rsidRDefault="00FE461F" w:rsidP="00FE461F">
            <w:pPr>
              <w:spacing w:line="240" w:lineRule="auto"/>
              <w:jc w:val="right"/>
              <w:rPr>
                <w:rFonts w:cs="Arial"/>
                <w:b/>
                <w:bCs/>
                <w:szCs w:val="20"/>
              </w:rPr>
            </w:pPr>
            <w:r w:rsidRPr="005E4BEA">
              <w:rPr>
                <w:rFonts w:cs="Arial"/>
                <w:b/>
                <w:bCs/>
                <w:szCs w:val="20"/>
              </w:rPr>
              <w:t>0,1443</w:t>
            </w:r>
          </w:p>
        </w:tc>
        <w:tc>
          <w:tcPr>
            <w:tcW w:w="1540" w:type="dxa"/>
            <w:tcBorders>
              <w:top w:val="nil"/>
              <w:left w:val="nil"/>
              <w:bottom w:val="single" w:sz="4" w:space="0" w:color="auto"/>
              <w:right w:val="single" w:sz="4" w:space="0" w:color="auto"/>
            </w:tcBorders>
            <w:shd w:val="clear" w:color="auto" w:fill="auto"/>
            <w:noWrap/>
            <w:vAlign w:val="bottom"/>
            <w:hideMark/>
          </w:tcPr>
          <w:p w14:paraId="49175800" w14:textId="77777777" w:rsidR="00FE461F" w:rsidRPr="005E4BEA" w:rsidRDefault="00FE461F" w:rsidP="00FE461F">
            <w:pPr>
              <w:spacing w:line="240" w:lineRule="auto"/>
              <w:jc w:val="right"/>
              <w:rPr>
                <w:rFonts w:cs="Arial"/>
                <w:b/>
                <w:bCs/>
                <w:szCs w:val="20"/>
              </w:rPr>
            </w:pPr>
            <w:r w:rsidRPr="005E4BEA">
              <w:rPr>
                <w:rFonts w:cs="Arial"/>
                <w:b/>
                <w:bCs/>
                <w:szCs w:val="20"/>
              </w:rPr>
              <w:t>14,43</w:t>
            </w:r>
          </w:p>
        </w:tc>
        <w:tc>
          <w:tcPr>
            <w:tcW w:w="1540" w:type="dxa"/>
            <w:tcBorders>
              <w:top w:val="nil"/>
              <w:left w:val="nil"/>
              <w:bottom w:val="single" w:sz="4" w:space="0" w:color="auto"/>
              <w:right w:val="single" w:sz="4" w:space="0" w:color="auto"/>
            </w:tcBorders>
            <w:shd w:val="clear" w:color="auto" w:fill="auto"/>
            <w:noWrap/>
            <w:vAlign w:val="bottom"/>
            <w:hideMark/>
          </w:tcPr>
          <w:p w14:paraId="1F97D0B8" w14:textId="77777777" w:rsidR="00FE461F" w:rsidRPr="005E4BEA" w:rsidRDefault="00FE461F" w:rsidP="00FE461F">
            <w:pPr>
              <w:spacing w:line="240" w:lineRule="auto"/>
              <w:jc w:val="right"/>
              <w:rPr>
                <w:rFonts w:cs="Arial"/>
                <w:b/>
                <w:bCs/>
                <w:szCs w:val="20"/>
              </w:rPr>
            </w:pPr>
            <w:r w:rsidRPr="005E4BEA">
              <w:rPr>
                <w:rFonts w:cs="Arial"/>
                <w:b/>
                <w:bCs/>
                <w:szCs w:val="20"/>
              </w:rPr>
              <w:t>307,96</w:t>
            </w:r>
          </w:p>
        </w:tc>
      </w:tr>
      <w:tr w:rsidR="00FE461F" w:rsidRPr="005E4BEA" w14:paraId="3EA0F400" w14:textId="77777777" w:rsidTr="0016774B">
        <w:trPr>
          <w:trHeight w:val="276"/>
        </w:trPr>
        <w:tc>
          <w:tcPr>
            <w:tcW w:w="4220" w:type="dxa"/>
            <w:tcBorders>
              <w:top w:val="nil"/>
              <w:left w:val="nil"/>
              <w:bottom w:val="nil"/>
              <w:right w:val="nil"/>
            </w:tcBorders>
            <w:shd w:val="clear" w:color="auto" w:fill="auto"/>
            <w:noWrap/>
            <w:vAlign w:val="bottom"/>
            <w:hideMark/>
          </w:tcPr>
          <w:p w14:paraId="063CD554" w14:textId="77777777" w:rsidR="00FE461F" w:rsidRPr="005E4BEA" w:rsidRDefault="00FE461F" w:rsidP="00FE461F">
            <w:pPr>
              <w:spacing w:line="240" w:lineRule="auto"/>
              <w:jc w:val="right"/>
              <w:rPr>
                <w:rFonts w:cs="Arial"/>
                <w:b/>
                <w:bCs/>
                <w:szCs w:val="20"/>
              </w:rPr>
            </w:pPr>
          </w:p>
        </w:tc>
        <w:tc>
          <w:tcPr>
            <w:tcW w:w="1540" w:type="dxa"/>
            <w:tcBorders>
              <w:top w:val="nil"/>
              <w:left w:val="nil"/>
              <w:bottom w:val="nil"/>
              <w:right w:val="nil"/>
            </w:tcBorders>
            <w:shd w:val="clear" w:color="auto" w:fill="auto"/>
            <w:noWrap/>
            <w:vAlign w:val="bottom"/>
            <w:hideMark/>
          </w:tcPr>
          <w:p w14:paraId="66D099C1"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6BA781B0"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14273174" w14:textId="77777777" w:rsidR="00FE461F" w:rsidRPr="005E4BEA" w:rsidRDefault="00FE461F" w:rsidP="00FE461F">
            <w:pPr>
              <w:spacing w:line="240" w:lineRule="auto"/>
              <w:rPr>
                <w:rFonts w:cs="Arial"/>
                <w:szCs w:val="20"/>
              </w:rPr>
            </w:pPr>
          </w:p>
        </w:tc>
      </w:tr>
      <w:tr w:rsidR="00FE461F" w:rsidRPr="005E4BEA" w14:paraId="40CA6BA6" w14:textId="77777777" w:rsidTr="0016774B">
        <w:trPr>
          <w:trHeight w:val="276"/>
        </w:trPr>
        <w:tc>
          <w:tcPr>
            <w:tcW w:w="4220" w:type="dxa"/>
            <w:tcBorders>
              <w:top w:val="nil"/>
              <w:left w:val="nil"/>
              <w:bottom w:val="nil"/>
              <w:right w:val="nil"/>
            </w:tcBorders>
            <w:shd w:val="clear" w:color="auto" w:fill="auto"/>
            <w:noWrap/>
            <w:vAlign w:val="bottom"/>
            <w:hideMark/>
          </w:tcPr>
          <w:p w14:paraId="3FBD7B11" w14:textId="77777777" w:rsidR="00FE461F" w:rsidRPr="005E4BEA" w:rsidRDefault="00FE461F" w:rsidP="00FE461F">
            <w:pPr>
              <w:spacing w:line="240" w:lineRule="auto"/>
              <w:rPr>
                <w:rFonts w:cs="Arial"/>
                <w:szCs w:val="20"/>
              </w:rPr>
            </w:pPr>
            <w:r w:rsidRPr="005E4BEA">
              <w:rPr>
                <w:rFonts w:cs="Arial"/>
                <w:szCs w:val="20"/>
              </w:rPr>
              <w:t>NEGA II</w:t>
            </w:r>
          </w:p>
        </w:tc>
        <w:tc>
          <w:tcPr>
            <w:tcW w:w="1540" w:type="dxa"/>
            <w:tcBorders>
              <w:top w:val="nil"/>
              <w:left w:val="nil"/>
              <w:bottom w:val="nil"/>
              <w:right w:val="nil"/>
            </w:tcBorders>
            <w:shd w:val="clear" w:color="auto" w:fill="auto"/>
            <w:noWrap/>
            <w:vAlign w:val="bottom"/>
            <w:hideMark/>
          </w:tcPr>
          <w:p w14:paraId="6327178F"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6DBFC7BA"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715E114B" w14:textId="77777777" w:rsidR="00FE461F" w:rsidRPr="005E4BEA" w:rsidRDefault="00FE461F" w:rsidP="00FE461F">
            <w:pPr>
              <w:spacing w:line="240" w:lineRule="auto"/>
              <w:rPr>
                <w:rFonts w:cs="Arial"/>
                <w:szCs w:val="20"/>
              </w:rPr>
            </w:pPr>
          </w:p>
        </w:tc>
      </w:tr>
      <w:tr w:rsidR="00FE461F" w:rsidRPr="005E4BEA" w14:paraId="191BFB58" w14:textId="77777777" w:rsidTr="0016774B">
        <w:trPr>
          <w:trHeight w:val="792"/>
        </w:trPr>
        <w:tc>
          <w:tcPr>
            <w:tcW w:w="4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08D75" w14:textId="77777777" w:rsidR="00FE461F" w:rsidRPr="005E4BEA" w:rsidRDefault="00FE461F" w:rsidP="00FE461F">
            <w:pPr>
              <w:spacing w:line="240" w:lineRule="auto"/>
              <w:jc w:val="center"/>
              <w:rPr>
                <w:rFonts w:cs="Arial"/>
                <w:szCs w:val="20"/>
              </w:rPr>
            </w:pPr>
            <w:r w:rsidRPr="005E4BEA">
              <w:rPr>
                <w:rFonts w:cs="Arial"/>
                <w:szCs w:val="20"/>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348F864A"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011F94FC" w14:textId="77777777" w:rsidR="00FE461F" w:rsidRPr="005E4BEA" w:rsidRDefault="00FE461F" w:rsidP="00FE461F">
            <w:pPr>
              <w:spacing w:line="240" w:lineRule="auto"/>
              <w:jc w:val="center"/>
              <w:rPr>
                <w:rFonts w:cs="Arial"/>
                <w:szCs w:val="20"/>
              </w:rPr>
            </w:pPr>
            <w:r w:rsidRPr="005E4BEA">
              <w:rPr>
                <w:rFonts w:cs="Arial"/>
                <w:szCs w:val="20"/>
              </w:rPr>
              <w:t xml:space="preserve">395.590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33A341B1"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43A79168"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1862E5B" w14:textId="77777777" w:rsidR="00FE461F" w:rsidRPr="005E4BEA" w:rsidRDefault="00FE461F" w:rsidP="00FE461F">
            <w:pPr>
              <w:spacing w:line="240" w:lineRule="auto"/>
              <w:rPr>
                <w:rFonts w:cs="Arial"/>
                <w:szCs w:val="20"/>
              </w:rPr>
            </w:pPr>
            <w:r w:rsidRPr="005E4BEA">
              <w:rPr>
                <w:rFonts w:cs="Arial"/>
                <w:szCs w:val="20"/>
              </w:rPr>
              <w:t>1 tehnik zdravstvene nege na 20 postelj</w:t>
            </w:r>
          </w:p>
        </w:tc>
        <w:tc>
          <w:tcPr>
            <w:tcW w:w="1540" w:type="dxa"/>
            <w:tcBorders>
              <w:top w:val="nil"/>
              <w:left w:val="nil"/>
              <w:bottom w:val="single" w:sz="4" w:space="0" w:color="auto"/>
              <w:right w:val="single" w:sz="4" w:space="0" w:color="auto"/>
            </w:tcBorders>
            <w:shd w:val="clear" w:color="auto" w:fill="auto"/>
            <w:noWrap/>
            <w:vAlign w:val="bottom"/>
            <w:hideMark/>
          </w:tcPr>
          <w:p w14:paraId="73AD30E9" w14:textId="77777777" w:rsidR="00FE461F" w:rsidRPr="005E4BEA" w:rsidRDefault="00FE461F" w:rsidP="00FE461F">
            <w:pPr>
              <w:spacing w:line="240" w:lineRule="auto"/>
              <w:jc w:val="right"/>
              <w:rPr>
                <w:rFonts w:cs="Arial"/>
                <w:szCs w:val="20"/>
              </w:rPr>
            </w:pPr>
            <w:r w:rsidRPr="005E4BEA">
              <w:rPr>
                <w:rFonts w:cs="Arial"/>
                <w:szCs w:val="20"/>
              </w:rPr>
              <w:t>0,0494</w:t>
            </w:r>
          </w:p>
        </w:tc>
        <w:tc>
          <w:tcPr>
            <w:tcW w:w="1540" w:type="dxa"/>
            <w:tcBorders>
              <w:top w:val="nil"/>
              <w:left w:val="nil"/>
              <w:bottom w:val="single" w:sz="4" w:space="0" w:color="auto"/>
              <w:right w:val="single" w:sz="4" w:space="0" w:color="auto"/>
            </w:tcBorders>
            <w:shd w:val="clear" w:color="auto" w:fill="auto"/>
            <w:noWrap/>
            <w:vAlign w:val="bottom"/>
            <w:hideMark/>
          </w:tcPr>
          <w:p w14:paraId="563A46B1" w14:textId="77777777" w:rsidR="00FE461F" w:rsidRPr="005E4BEA" w:rsidRDefault="00FE461F" w:rsidP="00FE461F">
            <w:pPr>
              <w:spacing w:line="240" w:lineRule="auto"/>
              <w:jc w:val="right"/>
              <w:rPr>
                <w:rFonts w:cs="Arial"/>
                <w:szCs w:val="20"/>
              </w:rPr>
            </w:pPr>
            <w:r w:rsidRPr="005E4BEA">
              <w:rPr>
                <w:rFonts w:cs="Arial"/>
                <w:szCs w:val="20"/>
              </w:rPr>
              <w:t>4,94</w:t>
            </w:r>
          </w:p>
        </w:tc>
        <w:tc>
          <w:tcPr>
            <w:tcW w:w="1540" w:type="dxa"/>
            <w:tcBorders>
              <w:top w:val="nil"/>
              <w:left w:val="nil"/>
              <w:bottom w:val="single" w:sz="4" w:space="0" w:color="auto"/>
              <w:right w:val="single" w:sz="4" w:space="0" w:color="auto"/>
            </w:tcBorders>
            <w:shd w:val="clear" w:color="auto" w:fill="auto"/>
            <w:noWrap/>
            <w:vAlign w:val="bottom"/>
            <w:hideMark/>
          </w:tcPr>
          <w:p w14:paraId="14B6CB72" w14:textId="77777777" w:rsidR="00FE461F" w:rsidRPr="005E4BEA" w:rsidRDefault="00FE461F" w:rsidP="00FE461F">
            <w:pPr>
              <w:spacing w:line="240" w:lineRule="auto"/>
              <w:jc w:val="right"/>
              <w:rPr>
                <w:rFonts w:cs="Arial"/>
                <w:szCs w:val="20"/>
              </w:rPr>
            </w:pPr>
            <w:r w:rsidRPr="005E4BEA">
              <w:rPr>
                <w:rFonts w:cs="Arial"/>
                <w:szCs w:val="20"/>
              </w:rPr>
              <w:t>53,54</w:t>
            </w:r>
          </w:p>
        </w:tc>
      </w:tr>
      <w:tr w:rsidR="00FE461F" w:rsidRPr="005E4BEA" w14:paraId="32F36434"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E821714" w14:textId="77777777" w:rsidR="00FE461F" w:rsidRPr="005E4BEA" w:rsidRDefault="00FE461F" w:rsidP="00FE461F">
            <w:pPr>
              <w:spacing w:line="240" w:lineRule="auto"/>
              <w:rPr>
                <w:rFonts w:cs="Arial"/>
                <w:szCs w:val="20"/>
              </w:rPr>
            </w:pPr>
            <w:r w:rsidRPr="005E4BEA">
              <w:rPr>
                <w:rFonts w:cs="Arial"/>
                <w:szCs w:val="20"/>
              </w:rPr>
              <w:t>1 dipl. fizioterapevt/višji fizioterapevt na 95 postelj</w:t>
            </w:r>
          </w:p>
        </w:tc>
        <w:tc>
          <w:tcPr>
            <w:tcW w:w="1540" w:type="dxa"/>
            <w:tcBorders>
              <w:top w:val="nil"/>
              <w:left w:val="nil"/>
              <w:bottom w:val="single" w:sz="4" w:space="0" w:color="auto"/>
              <w:right w:val="single" w:sz="4" w:space="0" w:color="auto"/>
            </w:tcBorders>
            <w:shd w:val="clear" w:color="auto" w:fill="auto"/>
            <w:noWrap/>
            <w:vAlign w:val="bottom"/>
            <w:hideMark/>
          </w:tcPr>
          <w:p w14:paraId="2FBC1B01" w14:textId="77777777" w:rsidR="00FE461F" w:rsidRPr="005E4BEA" w:rsidRDefault="00FE461F" w:rsidP="00FE461F">
            <w:pPr>
              <w:spacing w:line="240" w:lineRule="auto"/>
              <w:jc w:val="right"/>
              <w:rPr>
                <w:rFonts w:cs="Arial"/>
                <w:szCs w:val="20"/>
              </w:rPr>
            </w:pPr>
            <w:r w:rsidRPr="005E4BEA">
              <w:rPr>
                <w:rFonts w:cs="Arial"/>
                <w:szCs w:val="20"/>
              </w:rPr>
              <w:t>0,0104</w:t>
            </w:r>
          </w:p>
        </w:tc>
        <w:tc>
          <w:tcPr>
            <w:tcW w:w="1540" w:type="dxa"/>
            <w:tcBorders>
              <w:top w:val="nil"/>
              <w:left w:val="nil"/>
              <w:bottom w:val="single" w:sz="4" w:space="0" w:color="auto"/>
              <w:right w:val="single" w:sz="4" w:space="0" w:color="auto"/>
            </w:tcBorders>
            <w:shd w:val="clear" w:color="auto" w:fill="auto"/>
            <w:noWrap/>
            <w:vAlign w:val="bottom"/>
            <w:hideMark/>
          </w:tcPr>
          <w:p w14:paraId="5E64CCCE" w14:textId="77777777" w:rsidR="00FE461F" w:rsidRPr="005E4BEA" w:rsidRDefault="00FE461F" w:rsidP="00FE461F">
            <w:pPr>
              <w:spacing w:line="240" w:lineRule="auto"/>
              <w:jc w:val="right"/>
              <w:rPr>
                <w:rFonts w:cs="Arial"/>
                <w:szCs w:val="20"/>
              </w:rPr>
            </w:pPr>
            <w:r w:rsidRPr="005E4BEA">
              <w:rPr>
                <w:rFonts w:cs="Arial"/>
                <w:szCs w:val="20"/>
              </w:rPr>
              <w:t>1,04</w:t>
            </w:r>
          </w:p>
        </w:tc>
        <w:tc>
          <w:tcPr>
            <w:tcW w:w="1540" w:type="dxa"/>
            <w:tcBorders>
              <w:top w:val="nil"/>
              <w:left w:val="nil"/>
              <w:bottom w:val="single" w:sz="4" w:space="0" w:color="auto"/>
              <w:right w:val="single" w:sz="4" w:space="0" w:color="auto"/>
            </w:tcBorders>
            <w:shd w:val="clear" w:color="auto" w:fill="auto"/>
            <w:noWrap/>
            <w:vAlign w:val="bottom"/>
            <w:hideMark/>
          </w:tcPr>
          <w:p w14:paraId="5C11D3B3" w14:textId="77777777" w:rsidR="00FE461F" w:rsidRPr="005E4BEA" w:rsidRDefault="00FE461F" w:rsidP="00FE461F">
            <w:pPr>
              <w:spacing w:line="240" w:lineRule="auto"/>
              <w:jc w:val="right"/>
              <w:rPr>
                <w:rFonts w:cs="Arial"/>
                <w:szCs w:val="20"/>
              </w:rPr>
            </w:pPr>
            <w:r w:rsidRPr="005E4BEA">
              <w:rPr>
                <w:rFonts w:cs="Arial"/>
                <w:szCs w:val="20"/>
              </w:rPr>
              <w:t>11,27</w:t>
            </w:r>
          </w:p>
        </w:tc>
      </w:tr>
      <w:tr w:rsidR="00FE461F" w:rsidRPr="005E4BEA" w14:paraId="40309B22"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E57E121" w14:textId="77777777" w:rsidR="00FE461F" w:rsidRPr="005E4BEA" w:rsidRDefault="00FE461F" w:rsidP="00FE461F">
            <w:pPr>
              <w:spacing w:line="240" w:lineRule="auto"/>
              <w:rPr>
                <w:rFonts w:cs="Arial"/>
                <w:szCs w:val="20"/>
              </w:rPr>
            </w:pPr>
            <w:r w:rsidRPr="005E4BEA">
              <w:rPr>
                <w:rFonts w:cs="Arial"/>
                <w:szCs w:val="20"/>
              </w:rPr>
              <w:t>1 diplomirana med. sestra/višja med. sestra na 150 postelj</w:t>
            </w:r>
          </w:p>
        </w:tc>
        <w:tc>
          <w:tcPr>
            <w:tcW w:w="1540" w:type="dxa"/>
            <w:tcBorders>
              <w:top w:val="nil"/>
              <w:left w:val="nil"/>
              <w:bottom w:val="single" w:sz="4" w:space="0" w:color="auto"/>
              <w:right w:val="single" w:sz="4" w:space="0" w:color="auto"/>
            </w:tcBorders>
            <w:shd w:val="clear" w:color="auto" w:fill="auto"/>
            <w:noWrap/>
            <w:vAlign w:val="bottom"/>
            <w:hideMark/>
          </w:tcPr>
          <w:p w14:paraId="4C647858" w14:textId="77777777" w:rsidR="00FE461F" w:rsidRPr="005E4BEA" w:rsidRDefault="00FE461F" w:rsidP="00FE461F">
            <w:pPr>
              <w:spacing w:line="240" w:lineRule="auto"/>
              <w:jc w:val="right"/>
              <w:rPr>
                <w:rFonts w:cs="Arial"/>
                <w:szCs w:val="20"/>
              </w:rPr>
            </w:pPr>
            <w:r w:rsidRPr="005E4BEA">
              <w:rPr>
                <w:rFonts w:cs="Arial"/>
                <w:szCs w:val="20"/>
              </w:rPr>
              <w:t>0,0066</w:t>
            </w:r>
          </w:p>
        </w:tc>
        <w:tc>
          <w:tcPr>
            <w:tcW w:w="1540" w:type="dxa"/>
            <w:tcBorders>
              <w:top w:val="nil"/>
              <w:left w:val="nil"/>
              <w:bottom w:val="single" w:sz="4" w:space="0" w:color="auto"/>
              <w:right w:val="single" w:sz="4" w:space="0" w:color="auto"/>
            </w:tcBorders>
            <w:shd w:val="clear" w:color="auto" w:fill="auto"/>
            <w:noWrap/>
            <w:vAlign w:val="bottom"/>
            <w:hideMark/>
          </w:tcPr>
          <w:p w14:paraId="45699B24" w14:textId="77777777" w:rsidR="00FE461F" w:rsidRPr="005E4BEA" w:rsidRDefault="00FE461F" w:rsidP="00FE461F">
            <w:pPr>
              <w:spacing w:line="240" w:lineRule="auto"/>
              <w:jc w:val="right"/>
              <w:rPr>
                <w:rFonts w:cs="Arial"/>
                <w:szCs w:val="20"/>
              </w:rPr>
            </w:pPr>
            <w:r w:rsidRPr="005E4BEA">
              <w:rPr>
                <w:rFonts w:cs="Arial"/>
                <w:szCs w:val="20"/>
              </w:rPr>
              <w:t>0,66</w:t>
            </w:r>
          </w:p>
        </w:tc>
        <w:tc>
          <w:tcPr>
            <w:tcW w:w="1540" w:type="dxa"/>
            <w:tcBorders>
              <w:top w:val="nil"/>
              <w:left w:val="nil"/>
              <w:bottom w:val="single" w:sz="4" w:space="0" w:color="auto"/>
              <w:right w:val="single" w:sz="4" w:space="0" w:color="auto"/>
            </w:tcBorders>
            <w:shd w:val="clear" w:color="auto" w:fill="auto"/>
            <w:noWrap/>
            <w:vAlign w:val="bottom"/>
            <w:hideMark/>
          </w:tcPr>
          <w:p w14:paraId="7F717F61" w14:textId="77777777" w:rsidR="00FE461F" w:rsidRPr="005E4BEA" w:rsidRDefault="00FE461F" w:rsidP="00FE461F">
            <w:pPr>
              <w:spacing w:line="240" w:lineRule="auto"/>
              <w:jc w:val="right"/>
              <w:rPr>
                <w:rFonts w:cs="Arial"/>
                <w:szCs w:val="20"/>
              </w:rPr>
            </w:pPr>
            <w:r w:rsidRPr="005E4BEA">
              <w:rPr>
                <w:rFonts w:cs="Arial"/>
                <w:szCs w:val="20"/>
              </w:rPr>
              <w:t>7,15</w:t>
            </w:r>
          </w:p>
        </w:tc>
      </w:tr>
      <w:tr w:rsidR="00FE461F" w:rsidRPr="005E4BEA" w14:paraId="1A96363C"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3BC3A99" w14:textId="77777777" w:rsidR="00FE461F" w:rsidRPr="005E4BEA" w:rsidRDefault="00FE461F" w:rsidP="00FE461F">
            <w:pPr>
              <w:spacing w:line="240" w:lineRule="auto"/>
              <w:rPr>
                <w:rFonts w:cs="Arial"/>
                <w:szCs w:val="20"/>
              </w:rPr>
            </w:pPr>
            <w:r w:rsidRPr="005E4BEA">
              <w:rPr>
                <w:rFonts w:cs="Arial"/>
                <w:szCs w:val="20"/>
              </w:rPr>
              <w:t>1 dipl. del. terapevt/ višji del. terapevt na 270 postelj</w:t>
            </w:r>
          </w:p>
        </w:tc>
        <w:tc>
          <w:tcPr>
            <w:tcW w:w="1540" w:type="dxa"/>
            <w:tcBorders>
              <w:top w:val="nil"/>
              <w:left w:val="nil"/>
              <w:bottom w:val="single" w:sz="4" w:space="0" w:color="auto"/>
              <w:right w:val="single" w:sz="4" w:space="0" w:color="auto"/>
            </w:tcBorders>
            <w:shd w:val="clear" w:color="auto" w:fill="auto"/>
            <w:noWrap/>
            <w:vAlign w:val="bottom"/>
            <w:hideMark/>
          </w:tcPr>
          <w:p w14:paraId="0720D1DB" w14:textId="77777777" w:rsidR="00FE461F" w:rsidRPr="005E4BEA" w:rsidRDefault="00FE461F" w:rsidP="00FE461F">
            <w:pPr>
              <w:spacing w:line="240" w:lineRule="auto"/>
              <w:jc w:val="right"/>
              <w:rPr>
                <w:rFonts w:cs="Arial"/>
                <w:szCs w:val="20"/>
              </w:rPr>
            </w:pPr>
            <w:r w:rsidRPr="005E4BEA">
              <w:rPr>
                <w:rFonts w:cs="Arial"/>
                <w:szCs w:val="20"/>
              </w:rPr>
              <w:t>0,0037</w:t>
            </w:r>
          </w:p>
        </w:tc>
        <w:tc>
          <w:tcPr>
            <w:tcW w:w="1540" w:type="dxa"/>
            <w:tcBorders>
              <w:top w:val="nil"/>
              <w:left w:val="nil"/>
              <w:bottom w:val="single" w:sz="4" w:space="0" w:color="auto"/>
              <w:right w:val="single" w:sz="4" w:space="0" w:color="auto"/>
            </w:tcBorders>
            <w:shd w:val="clear" w:color="auto" w:fill="auto"/>
            <w:noWrap/>
            <w:vAlign w:val="bottom"/>
            <w:hideMark/>
          </w:tcPr>
          <w:p w14:paraId="111F82F9" w14:textId="77777777" w:rsidR="00FE461F" w:rsidRPr="005E4BEA" w:rsidRDefault="00FE461F" w:rsidP="00FE461F">
            <w:pPr>
              <w:spacing w:line="240" w:lineRule="auto"/>
              <w:jc w:val="right"/>
              <w:rPr>
                <w:rFonts w:cs="Arial"/>
                <w:szCs w:val="20"/>
              </w:rPr>
            </w:pPr>
            <w:r w:rsidRPr="005E4BEA">
              <w:rPr>
                <w:rFonts w:cs="Arial"/>
                <w:szCs w:val="20"/>
              </w:rPr>
              <w:t>0,37</w:t>
            </w:r>
          </w:p>
        </w:tc>
        <w:tc>
          <w:tcPr>
            <w:tcW w:w="1540" w:type="dxa"/>
            <w:tcBorders>
              <w:top w:val="nil"/>
              <w:left w:val="nil"/>
              <w:bottom w:val="single" w:sz="4" w:space="0" w:color="auto"/>
              <w:right w:val="single" w:sz="4" w:space="0" w:color="auto"/>
            </w:tcBorders>
            <w:shd w:val="clear" w:color="auto" w:fill="auto"/>
            <w:noWrap/>
            <w:vAlign w:val="bottom"/>
            <w:hideMark/>
          </w:tcPr>
          <w:p w14:paraId="00F037B8" w14:textId="77777777" w:rsidR="00FE461F" w:rsidRPr="005E4BEA" w:rsidRDefault="00FE461F" w:rsidP="00FE461F">
            <w:pPr>
              <w:spacing w:line="240" w:lineRule="auto"/>
              <w:jc w:val="right"/>
              <w:rPr>
                <w:rFonts w:cs="Arial"/>
                <w:szCs w:val="20"/>
              </w:rPr>
            </w:pPr>
            <w:r w:rsidRPr="005E4BEA">
              <w:rPr>
                <w:rFonts w:cs="Arial"/>
                <w:szCs w:val="20"/>
              </w:rPr>
              <w:t>4,01</w:t>
            </w:r>
          </w:p>
        </w:tc>
      </w:tr>
      <w:tr w:rsidR="00FE461F" w:rsidRPr="005E4BEA" w14:paraId="694C9EF4"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FAB4B9B" w14:textId="77777777" w:rsidR="00FE461F" w:rsidRPr="005E4BEA" w:rsidRDefault="00FE461F" w:rsidP="00FE461F">
            <w:pPr>
              <w:spacing w:line="240" w:lineRule="auto"/>
              <w:rPr>
                <w:rFonts w:cs="Arial"/>
                <w:szCs w:val="20"/>
              </w:rPr>
            </w:pPr>
            <w:r w:rsidRPr="005E4BEA">
              <w:rPr>
                <w:rFonts w:cs="Arial"/>
                <w:szCs w:val="20"/>
              </w:rPr>
              <w:t>1 bolničar-negovalec na 9,08 postelj</w:t>
            </w:r>
          </w:p>
        </w:tc>
        <w:tc>
          <w:tcPr>
            <w:tcW w:w="1540" w:type="dxa"/>
            <w:tcBorders>
              <w:top w:val="nil"/>
              <w:left w:val="nil"/>
              <w:bottom w:val="single" w:sz="4" w:space="0" w:color="auto"/>
              <w:right w:val="single" w:sz="4" w:space="0" w:color="auto"/>
            </w:tcBorders>
            <w:shd w:val="clear" w:color="auto" w:fill="auto"/>
            <w:noWrap/>
            <w:vAlign w:val="bottom"/>
            <w:hideMark/>
          </w:tcPr>
          <w:p w14:paraId="398033F1" w14:textId="77777777" w:rsidR="00FE461F" w:rsidRPr="005E4BEA" w:rsidRDefault="00FE461F" w:rsidP="00FE461F">
            <w:pPr>
              <w:spacing w:line="240" w:lineRule="auto"/>
              <w:jc w:val="right"/>
              <w:rPr>
                <w:rFonts w:cs="Arial"/>
                <w:szCs w:val="20"/>
              </w:rPr>
            </w:pPr>
            <w:r w:rsidRPr="005E4BEA">
              <w:rPr>
                <w:rFonts w:cs="Arial"/>
                <w:szCs w:val="20"/>
              </w:rPr>
              <w:t>0,1087</w:t>
            </w:r>
          </w:p>
        </w:tc>
        <w:tc>
          <w:tcPr>
            <w:tcW w:w="1540" w:type="dxa"/>
            <w:tcBorders>
              <w:top w:val="nil"/>
              <w:left w:val="nil"/>
              <w:bottom w:val="single" w:sz="4" w:space="0" w:color="auto"/>
              <w:right w:val="single" w:sz="4" w:space="0" w:color="auto"/>
            </w:tcBorders>
            <w:shd w:val="clear" w:color="auto" w:fill="auto"/>
            <w:noWrap/>
            <w:vAlign w:val="bottom"/>
            <w:hideMark/>
          </w:tcPr>
          <w:p w14:paraId="06557058" w14:textId="77777777" w:rsidR="00FE461F" w:rsidRPr="005E4BEA" w:rsidRDefault="00FE461F" w:rsidP="00FE461F">
            <w:pPr>
              <w:spacing w:line="240" w:lineRule="auto"/>
              <w:jc w:val="right"/>
              <w:rPr>
                <w:rFonts w:cs="Arial"/>
                <w:szCs w:val="20"/>
              </w:rPr>
            </w:pPr>
            <w:r w:rsidRPr="005E4BEA">
              <w:rPr>
                <w:rFonts w:cs="Arial"/>
                <w:szCs w:val="20"/>
              </w:rPr>
              <w:t>10,87</w:t>
            </w:r>
          </w:p>
        </w:tc>
        <w:tc>
          <w:tcPr>
            <w:tcW w:w="1540" w:type="dxa"/>
            <w:tcBorders>
              <w:top w:val="nil"/>
              <w:left w:val="nil"/>
              <w:bottom w:val="single" w:sz="4" w:space="0" w:color="auto"/>
              <w:right w:val="single" w:sz="4" w:space="0" w:color="auto"/>
            </w:tcBorders>
            <w:shd w:val="clear" w:color="auto" w:fill="auto"/>
            <w:noWrap/>
            <w:vAlign w:val="bottom"/>
            <w:hideMark/>
          </w:tcPr>
          <w:p w14:paraId="16C39C37" w14:textId="77777777" w:rsidR="00FE461F" w:rsidRPr="005E4BEA" w:rsidRDefault="00FE461F" w:rsidP="00FE461F">
            <w:pPr>
              <w:spacing w:line="240" w:lineRule="auto"/>
              <w:jc w:val="right"/>
              <w:rPr>
                <w:rFonts w:cs="Arial"/>
                <w:szCs w:val="20"/>
              </w:rPr>
            </w:pPr>
            <w:r w:rsidRPr="005E4BEA">
              <w:rPr>
                <w:rFonts w:cs="Arial"/>
                <w:szCs w:val="20"/>
              </w:rPr>
              <w:t>117,81</w:t>
            </w:r>
          </w:p>
        </w:tc>
      </w:tr>
      <w:tr w:rsidR="00FE461F" w:rsidRPr="005E4BEA" w14:paraId="7F6EE072"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B7AE097"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540" w:type="dxa"/>
            <w:tcBorders>
              <w:top w:val="nil"/>
              <w:left w:val="nil"/>
              <w:bottom w:val="single" w:sz="4" w:space="0" w:color="auto"/>
              <w:right w:val="single" w:sz="4" w:space="0" w:color="auto"/>
            </w:tcBorders>
            <w:shd w:val="clear" w:color="auto" w:fill="auto"/>
            <w:noWrap/>
            <w:vAlign w:val="bottom"/>
            <w:hideMark/>
          </w:tcPr>
          <w:p w14:paraId="7406D48C" w14:textId="77777777" w:rsidR="00FE461F" w:rsidRPr="005E4BEA" w:rsidRDefault="00FE461F" w:rsidP="00FE461F">
            <w:pPr>
              <w:spacing w:line="240" w:lineRule="auto"/>
              <w:jc w:val="right"/>
              <w:rPr>
                <w:rFonts w:cs="Arial"/>
                <w:b/>
                <w:bCs/>
                <w:szCs w:val="20"/>
              </w:rPr>
            </w:pPr>
            <w:r w:rsidRPr="005E4BEA">
              <w:rPr>
                <w:rFonts w:cs="Arial"/>
                <w:b/>
                <w:bCs/>
                <w:szCs w:val="20"/>
              </w:rPr>
              <w:t>0,2063</w:t>
            </w:r>
          </w:p>
        </w:tc>
        <w:tc>
          <w:tcPr>
            <w:tcW w:w="1540" w:type="dxa"/>
            <w:tcBorders>
              <w:top w:val="nil"/>
              <w:left w:val="nil"/>
              <w:bottom w:val="single" w:sz="4" w:space="0" w:color="auto"/>
              <w:right w:val="single" w:sz="4" w:space="0" w:color="auto"/>
            </w:tcBorders>
            <w:shd w:val="clear" w:color="auto" w:fill="auto"/>
            <w:noWrap/>
            <w:vAlign w:val="bottom"/>
            <w:hideMark/>
          </w:tcPr>
          <w:p w14:paraId="4514FAF1" w14:textId="77777777" w:rsidR="00FE461F" w:rsidRPr="005E4BEA" w:rsidRDefault="00FE461F" w:rsidP="00FE461F">
            <w:pPr>
              <w:spacing w:line="240" w:lineRule="auto"/>
              <w:jc w:val="right"/>
              <w:rPr>
                <w:rFonts w:cs="Arial"/>
                <w:b/>
                <w:bCs/>
                <w:szCs w:val="20"/>
              </w:rPr>
            </w:pPr>
            <w:r w:rsidRPr="005E4BEA">
              <w:rPr>
                <w:rFonts w:cs="Arial"/>
                <w:b/>
                <w:bCs/>
                <w:szCs w:val="20"/>
              </w:rPr>
              <w:t>20,63</w:t>
            </w:r>
          </w:p>
        </w:tc>
        <w:tc>
          <w:tcPr>
            <w:tcW w:w="1540" w:type="dxa"/>
            <w:tcBorders>
              <w:top w:val="nil"/>
              <w:left w:val="nil"/>
              <w:bottom w:val="single" w:sz="4" w:space="0" w:color="auto"/>
              <w:right w:val="single" w:sz="4" w:space="0" w:color="auto"/>
            </w:tcBorders>
            <w:shd w:val="clear" w:color="auto" w:fill="auto"/>
            <w:noWrap/>
            <w:vAlign w:val="bottom"/>
            <w:hideMark/>
          </w:tcPr>
          <w:p w14:paraId="50EBC199" w14:textId="77777777" w:rsidR="00FE461F" w:rsidRPr="005E4BEA" w:rsidRDefault="00FE461F" w:rsidP="00FE461F">
            <w:pPr>
              <w:spacing w:line="240" w:lineRule="auto"/>
              <w:jc w:val="right"/>
              <w:rPr>
                <w:rFonts w:cs="Arial"/>
                <w:b/>
                <w:bCs/>
                <w:szCs w:val="20"/>
              </w:rPr>
            </w:pPr>
            <w:r w:rsidRPr="005E4BEA">
              <w:rPr>
                <w:rFonts w:cs="Arial"/>
                <w:b/>
                <w:bCs/>
                <w:szCs w:val="20"/>
              </w:rPr>
              <w:t>193,78</w:t>
            </w:r>
          </w:p>
        </w:tc>
      </w:tr>
      <w:tr w:rsidR="00FE461F" w:rsidRPr="005E4BEA" w14:paraId="7A4D3326" w14:textId="77777777" w:rsidTr="0016774B">
        <w:trPr>
          <w:trHeight w:val="276"/>
        </w:trPr>
        <w:tc>
          <w:tcPr>
            <w:tcW w:w="4220" w:type="dxa"/>
            <w:tcBorders>
              <w:top w:val="nil"/>
              <w:left w:val="nil"/>
              <w:bottom w:val="nil"/>
              <w:right w:val="nil"/>
            </w:tcBorders>
            <w:shd w:val="clear" w:color="auto" w:fill="auto"/>
            <w:noWrap/>
            <w:vAlign w:val="bottom"/>
            <w:hideMark/>
          </w:tcPr>
          <w:p w14:paraId="5BA57BC2" w14:textId="77777777" w:rsidR="00FE461F" w:rsidRPr="005E4BEA" w:rsidRDefault="00FE461F" w:rsidP="00FE461F">
            <w:pPr>
              <w:spacing w:line="240" w:lineRule="auto"/>
              <w:jc w:val="right"/>
              <w:rPr>
                <w:rFonts w:cs="Arial"/>
                <w:b/>
                <w:bCs/>
                <w:szCs w:val="20"/>
              </w:rPr>
            </w:pPr>
          </w:p>
        </w:tc>
        <w:tc>
          <w:tcPr>
            <w:tcW w:w="1540" w:type="dxa"/>
            <w:tcBorders>
              <w:top w:val="nil"/>
              <w:left w:val="nil"/>
              <w:bottom w:val="nil"/>
              <w:right w:val="nil"/>
            </w:tcBorders>
            <w:shd w:val="clear" w:color="auto" w:fill="auto"/>
            <w:noWrap/>
            <w:vAlign w:val="bottom"/>
            <w:hideMark/>
          </w:tcPr>
          <w:p w14:paraId="7689B58A"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1C0656D6"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3A3E1234" w14:textId="77777777" w:rsidR="00FE461F" w:rsidRPr="005E4BEA" w:rsidRDefault="00FE461F" w:rsidP="00FE461F">
            <w:pPr>
              <w:spacing w:line="240" w:lineRule="auto"/>
              <w:rPr>
                <w:rFonts w:cs="Arial"/>
                <w:szCs w:val="20"/>
              </w:rPr>
            </w:pPr>
          </w:p>
        </w:tc>
      </w:tr>
      <w:tr w:rsidR="00FE461F" w:rsidRPr="005E4BEA" w14:paraId="245FB1B4" w14:textId="77777777" w:rsidTr="0016774B">
        <w:trPr>
          <w:trHeight w:val="276"/>
        </w:trPr>
        <w:tc>
          <w:tcPr>
            <w:tcW w:w="4220" w:type="dxa"/>
            <w:tcBorders>
              <w:top w:val="nil"/>
              <w:left w:val="nil"/>
              <w:bottom w:val="nil"/>
              <w:right w:val="nil"/>
            </w:tcBorders>
            <w:shd w:val="clear" w:color="auto" w:fill="auto"/>
            <w:noWrap/>
            <w:vAlign w:val="bottom"/>
            <w:hideMark/>
          </w:tcPr>
          <w:p w14:paraId="7EB025F9" w14:textId="77777777" w:rsidR="00FE461F" w:rsidRPr="005E4BEA" w:rsidRDefault="00FE461F" w:rsidP="00FE461F">
            <w:pPr>
              <w:spacing w:line="240" w:lineRule="auto"/>
              <w:rPr>
                <w:rFonts w:cs="Arial"/>
                <w:szCs w:val="20"/>
              </w:rPr>
            </w:pPr>
            <w:r w:rsidRPr="005E4BEA">
              <w:rPr>
                <w:rFonts w:cs="Arial"/>
                <w:szCs w:val="20"/>
              </w:rPr>
              <w:t>NEGA III</w:t>
            </w:r>
          </w:p>
        </w:tc>
        <w:tc>
          <w:tcPr>
            <w:tcW w:w="1540" w:type="dxa"/>
            <w:tcBorders>
              <w:top w:val="nil"/>
              <w:left w:val="nil"/>
              <w:bottom w:val="nil"/>
              <w:right w:val="nil"/>
            </w:tcBorders>
            <w:shd w:val="clear" w:color="auto" w:fill="auto"/>
            <w:noWrap/>
            <w:vAlign w:val="bottom"/>
            <w:hideMark/>
          </w:tcPr>
          <w:p w14:paraId="46ADB452"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10EB992A" w14:textId="77777777" w:rsidR="00FE461F" w:rsidRPr="005E4BEA" w:rsidRDefault="00FE461F" w:rsidP="00FE461F">
            <w:pPr>
              <w:spacing w:line="240" w:lineRule="auto"/>
              <w:rPr>
                <w:rFonts w:cs="Arial"/>
                <w:szCs w:val="20"/>
              </w:rPr>
            </w:pPr>
          </w:p>
        </w:tc>
        <w:tc>
          <w:tcPr>
            <w:tcW w:w="1540" w:type="dxa"/>
            <w:tcBorders>
              <w:top w:val="nil"/>
              <w:left w:val="nil"/>
              <w:bottom w:val="nil"/>
              <w:right w:val="nil"/>
            </w:tcBorders>
            <w:shd w:val="clear" w:color="auto" w:fill="auto"/>
            <w:noWrap/>
            <w:vAlign w:val="bottom"/>
            <w:hideMark/>
          </w:tcPr>
          <w:p w14:paraId="395F9EE6" w14:textId="77777777" w:rsidR="00FE461F" w:rsidRPr="005E4BEA" w:rsidRDefault="00FE461F" w:rsidP="00FE461F">
            <w:pPr>
              <w:spacing w:line="240" w:lineRule="auto"/>
              <w:rPr>
                <w:rFonts w:cs="Arial"/>
                <w:szCs w:val="20"/>
              </w:rPr>
            </w:pPr>
          </w:p>
        </w:tc>
      </w:tr>
      <w:tr w:rsidR="00FE461F" w:rsidRPr="005E4BEA" w14:paraId="21F10C9F" w14:textId="77777777" w:rsidTr="0016774B">
        <w:trPr>
          <w:trHeight w:val="792"/>
        </w:trPr>
        <w:tc>
          <w:tcPr>
            <w:tcW w:w="4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30F932" w14:textId="77777777" w:rsidR="00FE461F" w:rsidRPr="005E4BEA" w:rsidRDefault="00FE461F" w:rsidP="00FE461F">
            <w:pPr>
              <w:spacing w:line="240" w:lineRule="auto"/>
              <w:jc w:val="center"/>
              <w:rPr>
                <w:rFonts w:cs="Arial"/>
                <w:szCs w:val="20"/>
              </w:rPr>
            </w:pPr>
            <w:r w:rsidRPr="005E4BEA">
              <w:rPr>
                <w:rFonts w:cs="Arial"/>
                <w:szCs w:val="20"/>
              </w:rPr>
              <w:t>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FD4AC7D"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3CE9E92A" w14:textId="77777777" w:rsidR="00FE461F" w:rsidRPr="005E4BEA" w:rsidRDefault="00FE461F" w:rsidP="00FE461F">
            <w:pPr>
              <w:spacing w:line="240" w:lineRule="auto"/>
              <w:jc w:val="center"/>
              <w:rPr>
                <w:rFonts w:cs="Arial"/>
                <w:szCs w:val="20"/>
              </w:rPr>
            </w:pPr>
            <w:r w:rsidRPr="005E4BEA">
              <w:rPr>
                <w:rFonts w:cs="Arial"/>
                <w:szCs w:val="20"/>
              </w:rPr>
              <w:t xml:space="preserve">5.364.140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74A2BB1C"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23F88468"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77DF585" w14:textId="77777777" w:rsidR="00FE461F" w:rsidRPr="005E4BEA" w:rsidRDefault="00FE461F" w:rsidP="00FE461F">
            <w:pPr>
              <w:spacing w:line="240" w:lineRule="auto"/>
              <w:rPr>
                <w:rFonts w:cs="Arial"/>
                <w:szCs w:val="20"/>
              </w:rPr>
            </w:pPr>
            <w:r w:rsidRPr="005E4BEA">
              <w:rPr>
                <w:rFonts w:cs="Arial"/>
                <w:szCs w:val="20"/>
              </w:rPr>
              <w:t>1 tehnik zdravstvene nege na 9 postelj</w:t>
            </w:r>
          </w:p>
        </w:tc>
        <w:tc>
          <w:tcPr>
            <w:tcW w:w="1540" w:type="dxa"/>
            <w:tcBorders>
              <w:top w:val="nil"/>
              <w:left w:val="nil"/>
              <w:bottom w:val="single" w:sz="4" w:space="0" w:color="auto"/>
              <w:right w:val="single" w:sz="4" w:space="0" w:color="auto"/>
            </w:tcBorders>
            <w:shd w:val="clear" w:color="auto" w:fill="auto"/>
            <w:noWrap/>
            <w:vAlign w:val="bottom"/>
            <w:hideMark/>
          </w:tcPr>
          <w:p w14:paraId="7640CD46" w14:textId="77777777" w:rsidR="00FE461F" w:rsidRPr="005E4BEA" w:rsidRDefault="00FE461F" w:rsidP="00FE461F">
            <w:pPr>
              <w:spacing w:line="240" w:lineRule="auto"/>
              <w:jc w:val="right"/>
              <w:rPr>
                <w:rFonts w:cs="Arial"/>
                <w:szCs w:val="20"/>
              </w:rPr>
            </w:pPr>
            <w:r w:rsidRPr="005E4BEA">
              <w:rPr>
                <w:rFonts w:cs="Arial"/>
                <w:szCs w:val="20"/>
              </w:rPr>
              <w:t>0,11111</w:t>
            </w:r>
          </w:p>
        </w:tc>
        <w:tc>
          <w:tcPr>
            <w:tcW w:w="1540" w:type="dxa"/>
            <w:tcBorders>
              <w:top w:val="nil"/>
              <w:left w:val="nil"/>
              <w:bottom w:val="single" w:sz="4" w:space="0" w:color="auto"/>
              <w:right w:val="single" w:sz="4" w:space="0" w:color="auto"/>
            </w:tcBorders>
            <w:shd w:val="clear" w:color="auto" w:fill="auto"/>
            <w:noWrap/>
            <w:vAlign w:val="bottom"/>
            <w:hideMark/>
          </w:tcPr>
          <w:p w14:paraId="2F0FEE17" w14:textId="77777777" w:rsidR="00FE461F" w:rsidRPr="005E4BEA" w:rsidRDefault="00FE461F" w:rsidP="00FE461F">
            <w:pPr>
              <w:spacing w:line="240" w:lineRule="auto"/>
              <w:jc w:val="right"/>
              <w:rPr>
                <w:rFonts w:cs="Arial"/>
                <w:szCs w:val="20"/>
              </w:rPr>
            </w:pPr>
            <w:r w:rsidRPr="005E4BEA">
              <w:rPr>
                <w:rFonts w:cs="Arial"/>
                <w:szCs w:val="20"/>
              </w:rPr>
              <w:t>11,111</w:t>
            </w:r>
          </w:p>
        </w:tc>
        <w:tc>
          <w:tcPr>
            <w:tcW w:w="1540" w:type="dxa"/>
            <w:tcBorders>
              <w:top w:val="nil"/>
              <w:left w:val="nil"/>
              <w:bottom w:val="single" w:sz="4" w:space="0" w:color="auto"/>
              <w:right w:val="single" w:sz="4" w:space="0" w:color="auto"/>
            </w:tcBorders>
            <w:shd w:val="clear" w:color="auto" w:fill="auto"/>
            <w:noWrap/>
            <w:vAlign w:val="bottom"/>
            <w:hideMark/>
          </w:tcPr>
          <w:p w14:paraId="112DC558" w14:textId="77777777" w:rsidR="00FE461F" w:rsidRPr="005E4BEA" w:rsidRDefault="00FE461F" w:rsidP="00FE461F">
            <w:pPr>
              <w:spacing w:line="240" w:lineRule="auto"/>
              <w:jc w:val="right"/>
              <w:rPr>
                <w:rFonts w:cs="Arial"/>
                <w:szCs w:val="20"/>
              </w:rPr>
            </w:pPr>
            <w:r w:rsidRPr="005E4BEA">
              <w:rPr>
                <w:rFonts w:cs="Arial"/>
                <w:szCs w:val="20"/>
              </w:rPr>
              <w:t>1632,90</w:t>
            </w:r>
          </w:p>
        </w:tc>
      </w:tr>
      <w:tr w:rsidR="00FE461F" w:rsidRPr="005E4BEA" w14:paraId="7475259D"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FFC4F8B" w14:textId="77777777" w:rsidR="00FE461F" w:rsidRPr="005E4BEA" w:rsidRDefault="00FE461F" w:rsidP="00FE461F">
            <w:pPr>
              <w:spacing w:line="240" w:lineRule="auto"/>
              <w:rPr>
                <w:rFonts w:cs="Arial"/>
                <w:szCs w:val="20"/>
              </w:rPr>
            </w:pPr>
            <w:r w:rsidRPr="005E4BEA">
              <w:rPr>
                <w:rFonts w:cs="Arial"/>
                <w:szCs w:val="20"/>
              </w:rPr>
              <w:t>1 dipl. fizioterapevt/višji fizioterapevt na 150 postelj</w:t>
            </w:r>
          </w:p>
        </w:tc>
        <w:tc>
          <w:tcPr>
            <w:tcW w:w="1540" w:type="dxa"/>
            <w:tcBorders>
              <w:top w:val="nil"/>
              <w:left w:val="nil"/>
              <w:bottom w:val="single" w:sz="4" w:space="0" w:color="auto"/>
              <w:right w:val="single" w:sz="4" w:space="0" w:color="auto"/>
            </w:tcBorders>
            <w:shd w:val="clear" w:color="auto" w:fill="auto"/>
            <w:noWrap/>
            <w:vAlign w:val="bottom"/>
            <w:hideMark/>
          </w:tcPr>
          <w:p w14:paraId="5D843F17" w14:textId="77777777" w:rsidR="00FE461F" w:rsidRPr="005E4BEA" w:rsidRDefault="00FE461F" w:rsidP="00FE461F">
            <w:pPr>
              <w:spacing w:line="240" w:lineRule="auto"/>
              <w:jc w:val="right"/>
              <w:rPr>
                <w:rFonts w:cs="Arial"/>
                <w:szCs w:val="20"/>
              </w:rPr>
            </w:pPr>
            <w:r w:rsidRPr="005E4BEA">
              <w:rPr>
                <w:rFonts w:cs="Arial"/>
                <w:szCs w:val="20"/>
              </w:rPr>
              <w:t>0,0066</w:t>
            </w:r>
          </w:p>
        </w:tc>
        <w:tc>
          <w:tcPr>
            <w:tcW w:w="1540" w:type="dxa"/>
            <w:tcBorders>
              <w:top w:val="nil"/>
              <w:left w:val="nil"/>
              <w:bottom w:val="single" w:sz="4" w:space="0" w:color="auto"/>
              <w:right w:val="single" w:sz="4" w:space="0" w:color="auto"/>
            </w:tcBorders>
            <w:shd w:val="clear" w:color="auto" w:fill="auto"/>
            <w:noWrap/>
            <w:vAlign w:val="bottom"/>
            <w:hideMark/>
          </w:tcPr>
          <w:p w14:paraId="35754D04" w14:textId="77777777" w:rsidR="00FE461F" w:rsidRPr="005E4BEA" w:rsidRDefault="00FE461F" w:rsidP="00FE461F">
            <w:pPr>
              <w:spacing w:line="240" w:lineRule="auto"/>
              <w:jc w:val="right"/>
              <w:rPr>
                <w:rFonts w:cs="Arial"/>
                <w:szCs w:val="20"/>
              </w:rPr>
            </w:pPr>
            <w:r w:rsidRPr="005E4BEA">
              <w:rPr>
                <w:rFonts w:cs="Arial"/>
                <w:szCs w:val="20"/>
              </w:rPr>
              <w:t>0,66</w:t>
            </w:r>
          </w:p>
        </w:tc>
        <w:tc>
          <w:tcPr>
            <w:tcW w:w="1540" w:type="dxa"/>
            <w:tcBorders>
              <w:top w:val="nil"/>
              <w:left w:val="nil"/>
              <w:bottom w:val="single" w:sz="4" w:space="0" w:color="auto"/>
              <w:right w:val="single" w:sz="4" w:space="0" w:color="auto"/>
            </w:tcBorders>
            <w:shd w:val="clear" w:color="auto" w:fill="auto"/>
            <w:noWrap/>
            <w:vAlign w:val="bottom"/>
            <w:hideMark/>
          </w:tcPr>
          <w:p w14:paraId="70186F5D" w14:textId="77777777" w:rsidR="00FE461F" w:rsidRPr="005E4BEA" w:rsidRDefault="00FE461F" w:rsidP="00FE461F">
            <w:pPr>
              <w:spacing w:line="240" w:lineRule="auto"/>
              <w:jc w:val="right"/>
              <w:rPr>
                <w:rFonts w:cs="Arial"/>
                <w:szCs w:val="20"/>
              </w:rPr>
            </w:pPr>
            <w:r w:rsidRPr="005E4BEA">
              <w:rPr>
                <w:rFonts w:cs="Arial"/>
                <w:szCs w:val="20"/>
              </w:rPr>
              <w:t>97,00</w:t>
            </w:r>
          </w:p>
        </w:tc>
      </w:tr>
      <w:tr w:rsidR="00FE461F" w:rsidRPr="005E4BEA" w14:paraId="3D69797A"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D30E85A" w14:textId="77777777" w:rsidR="00FE461F" w:rsidRPr="005E4BEA" w:rsidRDefault="00FE461F" w:rsidP="00FE461F">
            <w:pPr>
              <w:spacing w:line="240" w:lineRule="auto"/>
              <w:rPr>
                <w:rFonts w:cs="Arial"/>
                <w:szCs w:val="20"/>
              </w:rPr>
            </w:pPr>
            <w:r w:rsidRPr="005E4BEA">
              <w:rPr>
                <w:rFonts w:cs="Arial"/>
                <w:szCs w:val="20"/>
              </w:rPr>
              <w:t>1 diplomirana med. sestra/višja med. sestra na 30 postelj</w:t>
            </w:r>
          </w:p>
        </w:tc>
        <w:tc>
          <w:tcPr>
            <w:tcW w:w="1540" w:type="dxa"/>
            <w:tcBorders>
              <w:top w:val="nil"/>
              <w:left w:val="nil"/>
              <w:bottom w:val="single" w:sz="4" w:space="0" w:color="auto"/>
              <w:right w:val="single" w:sz="4" w:space="0" w:color="auto"/>
            </w:tcBorders>
            <w:shd w:val="clear" w:color="auto" w:fill="auto"/>
            <w:noWrap/>
            <w:vAlign w:val="bottom"/>
            <w:hideMark/>
          </w:tcPr>
          <w:p w14:paraId="684EA952" w14:textId="77777777" w:rsidR="00FE461F" w:rsidRPr="005E4BEA" w:rsidRDefault="00FE461F" w:rsidP="00FE461F">
            <w:pPr>
              <w:spacing w:line="240" w:lineRule="auto"/>
              <w:jc w:val="right"/>
              <w:rPr>
                <w:rFonts w:cs="Arial"/>
                <w:szCs w:val="20"/>
              </w:rPr>
            </w:pPr>
            <w:r w:rsidRPr="005E4BEA">
              <w:rPr>
                <w:rFonts w:cs="Arial"/>
                <w:szCs w:val="20"/>
              </w:rPr>
              <w:t>0,0329</w:t>
            </w:r>
          </w:p>
        </w:tc>
        <w:tc>
          <w:tcPr>
            <w:tcW w:w="1540" w:type="dxa"/>
            <w:tcBorders>
              <w:top w:val="nil"/>
              <w:left w:val="nil"/>
              <w:bottom w:val="single" w:sz="4" w:space="0" w:color="auto"/>
              <w:right w:val="single" w:sz="4" w:space="0" w:color="auto"/>
            </w:tcBorders>
            <w:shd w:val="clear" w:color="auto" w:fill="auto"/>
            <w:noWrap/>
            <w:vAlign w:val="bottom"/>
            <w:hideMark/>
          </w:tcPr>
          <w:p w14:paraId="2CC2ACD2" w14:textId="77777777" w:rsidR="00FE461F" w:rsidRPr="005E4BEA" w:rsidRDefault="00FE461F" w:rsidP="00FE461F">
            <w:pPr>
              <w:spacing w:line="240" w:lineRule="auto"/>
              <w:jc w:val="right"/>
              <w:rPr>
                <w:rFonts w:cs="Arial"/>
                <w:szCs w:val="20"/>
              </w:rPr>
            </w:pPr>
            <w:r w:rsidRPr="005E4BEA">
              <w:rPr>
                <w:rFonts w:cs="Arial"/>
                <w:szCs w:val="20"/>
              </w:rPr>
              <w:t>3,29</w:t>
            </w:r>
          </w:p>
        </w:tc>
        <w:tc>
          <w:tcPr>
            <w:tcW w:w="1540" w:type="dxa"/>
            <w:tcBorders>
              <w:top w:val="nil"/>
              <w:left w:val="nil"/>
              <w:bottom w:val="single" w:sz="4" w:space="0" w:color="auto"/>
              <w:right w:val="single" w:sz="4" w:space="0" w:color="auto"/>
            </w:tcBorders>
            <w:shd w:val="clear" w:color="auto" w:fill="auto"/>
            <w:noWrap/>
            <w:vAlign w:val="bottom"/>
            <w:hideMark/>
          </w:tcPr>
          <w:p w14:paraId="436CBBB2" w14:textId="77777777" w:rsidR="00FE461F" w:rsidRPr="005E4BEA" w:rsidRDefault="00FE461F" w:rsidP="00FE461F">
            <w:pPr>
              <w:spacing w:line="240" w:lineRule="auto"/>
              <w:jc w:val="right"/>
              <w:rPr>
                <w:rFonts w:cs="Arial"/>
                <w:szCs w:val="20"/>
              </w:rPr>
            </w:pPr>
            <w:r w:rsidRPr="005E4BEA">
              <w:rPr>
                <w:rFonts w:cs="Arial"/>
                <w:szCs w:val="20"/>
              </w:rPr>
              <w:t>483,51</w:t>
            </w:r>
          </w:p>
        </w:tc>
      </w:tr>
      <w:tr w:rsidR="00FE461F" w:rsidRPr="005E4BEA" w14:paraId="46253358"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126600AF" w14:textId="77777777" w:rsidR="00FE461F" w:rsidRPr="005E4BEA" w:rsidRDefault="00FE461F" w:rsidP="00FE461F">
            <w:pPr>
              <w:spacing w:line="240" w:lineRule="auto"/>
              <w:rPr>
                <w:rFonts w:cs="Arial"/>
                <w:szCs w:val="20"/>
              </w:rPr>
            </w:pPr>
            <w:r w:rsidRPr="005E4BEA">
              <w:rPr>
                <w:rFonts w:cs="Arial"/>
                <w:szCs w:val="20"/>
              </w:rPr>
              <w:t>1 dipl. del. terapevt/ višji del. terapevt na 100 postelj</w:t>
            </w:r>
          </w:p>
        </w:tc>
        <w:tc>
          <w:tcPr>
            <w:tcW w:w="1540" w:type="dxa"/>
            <w:tcBorders>
              <w:top w:val="nil"/>
              <w:left w:val="nil"/>
              <w:bottom w:val="single" w:sz="4" w:space="0" w:color="auto"/>
              <w:right w:val="single" w:sz="4" w:space="0" w:color="auto"/>
            </w:tcBorders>
            <w:shd w:val="clear" w:color="auto" w:fill="auto"/>
            <w:noWrap/>
            <w:vAlign w:val="bottom"/>
            <w:hideMark/>
          </w:tcPr>
          <w:p w14:paraId="6E34F85D" w14:textId="77777777" w:rsidR="00FE461F" w:rsidRPr="005E4BEA" w:rsidRDefault="00FE461F" w:rsidP="00FE461F">
            <w:pPr>
              <w:spacing w:line="240" w:lineRule="auto"/>
              <w:jc w:val="right"/>
              <w:rPr>
                <w:rFonts w:cs="Arial"/>
                <w:szCs w:val="20"/>
              </w:rPr>
            </w:pPr>
            <w:r w:rsidRPr="005E4BEA">
              <w:rPr>
                <w:rFonts w:cs="Arial"/>
                <w:szCs w:val="20"/>
              </w:rPr>
              <w:t>0,0099</w:t>
            </w:r>
          </w:p>
        </w:tc>
        <w:tc>
          <w:tcPr>
            <w:tcW w:w="1540" w:type="dxa"/>
            <w:tcBorders>
              <w:top w:val="nil"/>
              <w:left w:val="nil"/>
              <w:bottom w:val="single" w:sz="4" w:space="0" w:color="auto"/>
              <w:right w:val="single" w:sz="4" w:space="0" w:color="auto"/>
            </w:tcBorders>
            <w:shd w:val="clear" w:color="auto" w:fill="auto"/>
            <w:noWrap/>
            <w:vAlign w:val="bottom"/>
            <w:hideMark/>
          </w:tcPr>
          <w:p w14:paraId="0128E9DF" w14:textId="77777777" w:rsidR="00FE461F" w:rsidRPr="005E4BEA" w:rsidRDefault="00FE461F" w:rsidP="00FE461F">
            <w:pPr>
              <w:spacing w:line="240" w:lineRule="auto"/>
              <w:jc w:val="right"/>
              <w:rPr>
                <w:rFonts w:cs="Arial"/>
                <w:szCs w:val="20"/>
              </w:rPr>
            </w:pPr>
            <w:r w:rsidRPr="005E4BEA">
              <w:rPr>
                <w:rFonts w:cs="Arial"/>
                <w:szCs w:val="20"/>
              </w:rPr>
              <w:t>0,99</w:t>
            </w:r>
          </w:p>
        </w:tc>
        <w:tc>
          <w:tcPr>
            <w:tcW w:w="1540" w:type="dxa"/>
            <w:tcBorders>
              <w:top w:val="nil"/>
              <w:left w:val="nil"/>
              <w:bottom w:val="single" w:sz="4" w:space="0" w:color="auto"/>
              <w:right w:val="single" w:sz="4" w:space="0" w:color="auto"/>
            </w:tcBorders>
            <w:shd w:val="clear" w:color="auto" w:fill="auto"/>
            <w:noWrap/>
            <w:vAlign w:val="bottom"/>
            <w:hideMark/>
          </w:tcPr>
          <w:p w14:paraId="19A0BAA6" w14:textId="77777777" w:rsidR="00FE461F" w:rsidRPr="005E4BEA" w:rsidRDefault="00FE461F" w:rsidP="00FE461F">
            <w:pPr>
              <w:spacing w:line="240" w:lineRule="auto"/>
              <w:jc w:val="right"/>
              <w:rPr>
                <w:rFonts w:cs="Arial"/>
                <w:szCs w:val="20"/>
              </w:rPr>
            </w:pPr>
            <w:r w:rsidRPr="005E4BEA">
              <w:rPr>
                <w:rFonts w:cs="Arial"/>
                <w:szCs w:val="20"/>
              </w:rPr>
              <w:t>145,49</w:t>
            </w:r>
          </w:p>
        </w:tc>
      </w:tr>
      <w:tr w:rsidR="00FE461F" w:rsidRPr="005E4BEA" w14:paraId="76D36877"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1C2F8F6D" w14:textId="77777777" w:rsidR="00FE461F" w:rsidRPr="005E4BEA" w:rsidRDefault="00FE461F" w:rsidP="00FE461F">
            <w:pPr>
              <w:spacing w:line="240" w:lineRule="auto"/>
              <w:rPr>
                <w:rFonts w:cs="Arial"/>
                <w:szCs w:val="20"/>
              </w:rPr>
            </w:pPr>
            <w:r w:rsidRPr="005E4BEA">
              <w:rPr>
                <w:rFonts w:cs="Arial"/>
                <w:szCs w:val="20"/>
              </w:rPr>
              <w:t>1 bolničar-negovalec na 7,12 postelj</w:t>
            </w:r>
          </w:p>
        </w:tc>
        <w:tc>
          <w:tcPr>
            <w:tcW w:w="1540" w:type="dxa"/>
            <w:tcBorders>
              <w:top w:val="nil"/>
              <w:left w:val="nil"/>
              <w:bottom w:val="single" w:sz="4" w:space="0" w:color="auto"/>
              <w:right w:val="single" w:sz="4" w:space="0" w:color="auto"/>
            </w:tcBorders>
            <w:shd w:val="clear" w:color="auto" w:fill="auto"/>
            <w:noWrap/>
            <w:vAlign w:val="bottom"/>
            <w:hideMark/>
          </w:tcPr>
          <w:p w14:paraId="679DF94D" w14:textId="77777777" w:rsidR="00FE461F" w:rsidRPr="005E4BEA" w:rsidRDefault="00FE461F" w:rsidP="00FE461F">
            <w:pPr>
              <w:spacing w:line="240" w:lineRule="auto"/>
              <w:jc w:val="right"/>
              <w:rPr>
                <w:rFonts w:cs="Arial"/>
                <w:szCs w:val="20"/>
              </w:rPr>
            </w:pPr>
            <w:r w:rsidRPr="005E4BEA">
              <w:rPr>
                <w:rFonts w:cs="Arial"/>
                <w:szCs w:val="20"/>
              </w:rPr>
              <w:t>0,1386</w:t>
            </w:r>
          </w:p>
        </w:tc>
        <w:tc>
          <w:tcPr>
            <w:tcW w:w="1540" w:type="dxa"/>
            <w:tcBorders>
              <w:top w:val="nil"/>
              <w:left w:val="nil"/>
              <w:bottom w:val="single" w:sz="4" w:space="0" w:color="auto"/>
              <w:right w:val="single" w:sz="4" w:space="0" w:color="auto"/>
            </w:tcBorders>
            <w:shd w:val="clear" w:color="auto" w:fill="auto"/>
            <w:noWrap/>
            <w:vAlign w:val="bottom"/>
            <w:hideMark/>
          </w:tcPr>
          <w:p w14:paraId="3271DB5C" w14:textId="77777777" w:rsidR="00FE461F" w:rsidRPr="005E4BEA" w:rsidRDefault="00FE461F" w:rsidP="00FE461F">
            <w:pPr>
              <w:spacing w:line="240" w:lineRule="auto"/>
              <w:jc w:val="right"/>
              <w:rPr>
                <w:rFonts w:cs="Arial"/>
                <w:szCs w:val="20"/>
              </w:rPr>
            </w:pPr>
            <w:r w:rsidRPr="005E4BEA">
              <w:rPr>
                <w:rFonts w:cs="Arial"/>
                <w:szCs w:val="20"/>
              </w:rPr>
              <w:t>13,86</w:t>
            </w:r>
          </w:p>
        </w:tc>
        <w:tc>
          <w:tcPr>
            <w:tcW w:w="1540" w:type="dxa"/>
            <w:tcBorders>
              <w:top w:val="nil"/>
              <w:left w:val="nil"/>
              <w:bottom w:val="single" w:sz="4" w:space="0" w:color="auto"/>
              <w:right w:val="single" w:sz="4" w:space="0" w:color="auto"/>
            </w:tcBorders>
            <w:shd w:val="clear" w:color="auto" w:fill="auto"/>
            <w:noWrap/>
            <w:vAlign w:val="bottom"/>
            <w:hideMark/>
          </w:tcPr>
          <w:p w14:paraId="54F930D6" w14:textId="77777777" w:rsidR="00FE461F" w:rsidRPr="005E4BEA" w:rsidRDefault="00FE461F" w:rsidP="00FE461F">
            <w:pPr>
              <w:spacing w:line="240" w:lineRule="auto"/>
              <w:jc w:val="right"/>
              <w:rPr>
                <w:rFonts w:cs="Arial"/>
                <w:szCs w:val="20"/>
              </w:rPr>
            </w:pPr>
            <w:r w:rsidRPr="005E4BEA">
              <w:rPr>
                <w:rFonts w:cs="Arial"/>
                <w:szCs w:val="20"/>
              </w:rPr>
              <w:t>2036,90</w:t>
            </w:r>
          </w:p>
        </w:tc>
      </w:tr>
      <w:tr w:rsidR="00FE461F" w:rsidRPr="005E4BEA" w14:paraId="55DCC9DF" w14:textId="77777777" w:rsidTr="0016774B">
        <w:trPr>
          <w:trHeight w:val="276"/>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75B9E8F"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540" w:type="dxa"/>
            <w:tcBorders>
              <w:top w:val="nil"/>
              <w:left w:val="nil"/>
              <w:bottom w:val="single" w:sz="4" w:space="0" w:color="auto"/>
              <w:right w:val="single" w:sz="4" w:space="0" w:color="auto"/>
            </w:tcBorders>
            <w:shd w:val="clear" w:color="auto" w:fill="auto"/>
            <w:noWrap/>
            <w:vAlign w:val="bottom"/>
            <w:hideMark/>
          </w:tcPr>
          <w:p w14:paraId="00DE9B36" w14:textId="77777777" w:rsidR="00FE461F" w:rsidRPr="005E4BEA" w:rsidRDefault="00FE461F" w:rsidP="00FE461F">
            <w:pPr>
              <w:spacing w:line="240" w:lineRule="auto"/>
              <w:jc w:val="right"/>
              <w:rPr>
                <w:rFonts w:cs="Arial"/>
                <w:b/>
                <w:bCs/>
                <w:szCs w:val="20"/>
              </w:rPr>
            </w:pPr>
            <w:r w:rsidRPr="005E4BEA">
              <w:rPr>
                <w:rFonts w:cs="Arial"/>
                <w:b/>
                <w:bCs/>
                <w:szCs w:val="20"/>
              </w:rPr>
              <w:t>0,2871</w:t>
            </w:r>
          </w:p>
        </w:tc>
        <w:tc>
          <w:tcPr>
            <w:tcW w:w="1540" w:type="dxa"/>
            <w:tcBorders>
              <w:top w:val="nil"/>
              <w:left w:val="nil"/>
              <w:bottom w:val="single" w:sz="4" w:space="0" w:color="auto"/>
              <w:right w:val="single" w:sz="4" w:space="0" w:color="auto"/>
            </w:tcBorders>
            <w:shd w:val="clear" w:color="auto" w:fill="auto"/>
            <w:noWrap/>
            <w:vAlign w:val="bottom"/>
            <w:hideMark/>
          </w:tcPr>
          <w:p w14:paraId="76F51020" w14:textId="77777777" w:rsidR="00FE461F" w:rsidRPr="005E4BEA" w:rsidRDefault="00FE461F" w:rsidP="00FE461F">
            <w:pPr>
              <w:spacing w:line="240" w:lineRule="auto"/>
              <w:jc w:val="right"/>
              <w:rPr>
                <w:rFonts w:cs="Arial"/>
                <w:b/>
                <w:bCs/>
                <w:szCs w:val="20"/>
              </w:rPr>
            </w:pPr>
            <w:r w:rsidRPr="005E4BEA">
              <w:rPr>
                <w:rFonts w:cs="Arial"/>
                <w:b/>
                <w:bCs/>
                <w:szCs w:val="20"/>
              </w:rPr>
              <w:t>28,71</w:t>
            </w:r>
          </w:p>
        </w:tc>
        <w:tc>
          <w:tcPr>
            <w:tcW w:w="1540" w:type="dxa"/>
            <w:tcBorders>
              <w:top w:val="nil"/>
              <w:left w:val="nil"/>
              <w:bottom w:val="single" w:sz="4" w:space="0" w:color="auto"/>
              <w:right w:val="single" w:sz="4" w:space="0" w:color="auto"/>
            </w:tcBorders>
            <w:shd w:val="clear" w:color="auto" w:fill="auto"/>
            <w:noWrap/>
            <w:vAlign w:val="bottom"/>
            <w:hideMark/>
          </w:tcPr>
          <w:p w14:paraId="32788D98" w14:textId="77777777" w:rsidR="00FE461F" w:rsidRPr="005E4BEA" w:rsidRDefault="00FE461F" w:rsidP="00FE461F">
            <w:pPr>
              <w:spacing w:line="240" w:lineRule="auto"/>
              <w:jc w:val="right"/>
              <w:rPr>
                <w:rFonts w:cs="Arial"/>
                <w:b/>
                <w:bCs/>
                <w:szCs w:val="20"/>
              </w:rPr>
            </w:pPr>
            <w:r w:rsidRPr="005E4BEA">
              <w:rPr>
                <w:rFonts w:cs="Arial"/>
                <w:b/>
                <w:bCs/>
                <w:szCs w:val="20"/>
              </w:rPr>
              <w:t>4395,80</w:t>
            </w:r>
          </w:p>
        </w:tc>
      </w:tr>
    </w:tbl>
    <w:p w14:paraId="12395F0F" w14:textId="77777777" w:rsidR="00FE461F" w:rsidRPr="005E4BEA" w:rsidRDefault="00FE461F" w:rsidP="00FE461F">
      <w:pPr>
        <w:spacing w:line="240" w:lineRule="auto"/>
        <w:rPr>
          <w:rFonts w:cs="Arial"/>
          <w:szCs w:val="20"/>
        </w:rPr>
      </w:pPr>
    </w:p>
    <w:tbl>
      <w:tblPr>
        <w:tblW w:w="8789" w:type="dxa"/>
        <w:tblLook w:val="04A0" w:firstRow="1" w:lastRow="0" w:firstColumn="1" w:lastColumn="0" w:noHBand="0" w:noVBand="1"/>
      </w:tblPr>
      <w:tblGrid>
        <w:gridCol w:w="4253"/>
        <w:gridCol w:w="1427"/>
        <w:gridCol w:w="1550"/>
        <w:gridCol w:w="1559"/>
      </w:tblGrid>
      <w:tr w:rsidR="00FE461F" w:rsidRPr="005E4BEA" w14:paraId="79DE6519" w14:textId="77777777" w:rsidTr="0016774B">
        <w:trPr>
          <w:trHeight w:val="264"/>
        </w:trPr>
        <w:tc>
          <w:tcPr>
            <w:tcW w:w="5680" w:type="dxa"/>
            <w:gridSpan w:val="2"/>
            <w:tcBorders>
              <w:top w:val="nil"/>
              <w:left w:val="nil"/>
              <w:bottom w:val="nil"/>
              <w:right w:val="nil"/>
            </w:tcBorders>
            <w:shd w:val="clear" w:color="auto" w:fill="auto"/>
            <w:noWrap/>
            <w:vAlign w:val="bottom"/>
            <w:hideMark/>
          </w:tcPr>
          <w:p w14:paraId="3E007D45" w14:textId="77777777" w:rsidR="00FE461F" w:rsidRPr="005E4BEA" w:rsidRDefault="00FE461F" w:rsidP="00FE461F">
            <w:pPr>
              <w:spacing w:line="240" w:lineRule="auto"/>
              <w:rPr>
                <w:rFonts w:cs="Arial"/>
                <w:b/>
                <w:bCs/>
                <w:szCs w:val="20"/>
              </w:rPr>
            </w:pPr>
            <w:r w:rsidRPr="005E4BEA">
              <w:rPr>
                <w:rFonts w:cs="Arial"/>
                <w:b/>
                <w:bCs/>
                <w:szCs w:val="20"/>
              </w:rPr>
              <w:t>PREDLOG STROKE - KADROVSKI NORMATIV V DSO-jih</w:t>
            </w:r>
          </w:p>
        </w:tc>
        <w:tc>
          <w:tcPr>
            <w:tcW w:w="1550" w:type="dxa"/>
            <w:tcBorders>
              <w:top w:val="nil"/>
              <w:left w:val="nil"/>
              <w:bottom w:val="nil"/>
              <w:right w:val="nil"/>
            </w:tcBorders>
            <w:shd w:val="clear" w:color="auto" w:fill="auto"/>
            <w:noWrap/>
            <w:vAlign w:val="bottom"/>
            <w:hideMark/>
          </w:tcPr>
          <w:p w14:paraId="33D28A19" w14:textId="77777777" w:rsidR="00FE461F" w:rsidRPr="005E4BEA" w:rsidRDefault="00FE461F" w:rsidP="00FE461F">
            <w:pPr>
              <w:spacing w:line="240" w:lineRule="auto"/>
              <w:rPr>
                <w:rFonts w:cs="Arial"/>
                <w:b/>
                <w:bCs/>
                <w:szCs w:val="20"/>
              </w:rPr>
            </w:pPr>
          </w:p>
        </w:tc>
        <w:tc>
          <w:tcPr>
            <w:tcW w:w="1559" w:type="dxa"/>
            <w:tcBorders>
              <w:top w:val="nil"/>
              <w:left w:val="nil"/>
              <w:bottom w:val="nil"/>
              <w:right w:val="nil"/>
            </w:tcBorders>
            <w:shd w:val="clear" w:color="auto" w:fill="auto"/>
            <w:noWrap/>
            <w:vAlign w:val="bottom"/>
            <w:hideMark/>
          </w:tcPr>
          <w:p w14:paraId="2F08A63E" w14:textId="77777777" w:rsidR="00FE461F" w:rsidRPr="005E4BEA" w:rsidRDefault="00FE461F" w:rsidP="00FE461F">
            <w:pPr>
              <w:spacing w:line="240" w:lineRule="auto"/>
              <w:rPr>
                <w:rFonts w:cs="Arial"/>
                <w:szCs w:val="20"/>
              </w:rPr>
            </w:pPr>
          </w:p>
        </w:tc>
      </w:tr>
      <w:tr w:rsidR="00FE461F" w:rsidRPr="005E4BEA" w14:paraId="59162EDD" w14:textId="77777777" w:rsidTr="0016774B">
        <w:trPr>
          <w:trHeight w:val="264"/>
        </w:trPr>
        <w:tc>
          <w:tcPr>
            <w:tcW w:w="4253" w:type="dxa"/>
            <w:tcBorders>
              <w:top w:val="nil"/>
              <w:left w:val="nil"/>
              <w:bottom w:val="nil"/>
              <w:right w:val="nil"/>
            </w:tcBorders>
            <w:shd w:val="clear" w:color="auto" w:fill="auto"/>
            <w:noWrap/>
            <w:vAlign w:val="bottom"/>
            <w:hideMark/>
          </w:tcPr>
          <w:p w14:paraId="63D96259" w14:textId="77777777" w:rsidR="00FE461F" w:rsidRPr="005E4BEA" w:rsidRDefault="00FE461F" w:rsidP="00FE461F">
            <w:pPr>
              <w:spacing w:line="240" w:lineRule="auto"/>
              <w:rPr>
                <w:rFonts w:cs="Arial"/>
                <w:szCs w:val="20"/>
              </w:rPr>
            </w:pPr>
          </w:p>
        </w:tc>
        <w:tc>
          <w:tcPr>
            <w:tcW w:w="1427" w:type="dxa"/>
            <w:tcBorders>
              <w:top w:val="nil"/>
              <w:left w:val="nil"/>
              <w:bottom w:val="nil"/>
              <w:right w:val="nil"/>
            </w:tcBorders>
            <w:shd w:val="clear" w:color="auto" w:fill="auto"/>
            <w:noWrap/>
            <w:vAlign w:val="bottom"/>
            <w:hideMark/>
          </w:tcPr>
          <w:p w14:paraId="259ECA53" w14:textId="77777777" w:rsidR="00FE461F" w:rsidRPr="005E4BEA" w:rsidRDefault="00FE461F" w:rsidP="00FE461F">
            <w:pPr>
              <w:spacing w:line="240" w:lineRule="auto"/>
              <w:rPr>
                <w:rFonts w:cs="Arial"/>
                <w:szCs w:val="20"/>
              </w:rPr>
            </w:pPr>
          </w:p>
        </w:tc>
        <w:tc>
          <w:tcPr>
            <w:tcW w:w="1550" w:type="dxa"/>
            <w:tcBorders>
              <w:top w:val="nil"/>
              <w:left w:val="nil"/>
              <w:bottom w:val="nil"/>
              <w:right w:val="nil"/>
            </w:tcBorders>
            <w:shd w:val="clear" w:color="auto" w:fill="auto"/>
            <w:noWrap/>
            <w:vAlign w:val="bottom"/>
            <w:hideMark/>
          </w:tcPr>
          <w:p w14:paraId="57C48B65"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2A249934" w14:textId="77777777" w:rsidR="00FE461F" w:rsidRPr="005E4BEA" w:rsidRDefault="00FE461F" w:rsidP="00FE461F">
            <w:pPr>
              <w:spacing w:line="240" w:lineRule="auto"/>
              <w:rPr>
                <w:rFonts w:cs="Arial"/>
                <w:szCs w:val="20"/>
              </w:rPr>
            </w:pPr>
          </w:p>
        </w:tc>
      </w:tr>
      <w:tr w:rsidR="00FE461F" w:rsidRPr="005E4BEA" w14:paraId="2879B0F0" w14:textId="77777777" w:rsidTr="0016774B">
        <w:trPr>
          <w:trHeight w:val="264"/>
        </w:trPr>
        <w:tc>
          <w:tcPr>
            <w:tcW w:w="4253" w:type="dxa"/>
            <w:tcBorders>
              <w:top w:val="nil"/>
              <w:left w:val="nil"/>
              <w:bottom w:val="nil"/>
              <w:right w:val="nil"/>
            </w:tcBorders>
            <w:shd w:val="clear" w:color="auto" w:fill="auto"/>
            <w:noWrap/>
            <w:vAlign w:val="bottom"/>
            <w:hideMark/>
          </w:tcPr>
          <w:p w14:paraId="4310BF5C" w14:textId="77777777" w:rsidR="00FE461F" w:rsidRPr="005E4BEA" w:rsidRDefault="00FE461F" w:rsidP="00FE461F">
            <w:pPr>
              <w:spacing w:line="240" w:lineRule="auto"/>
              <w:rPr>
                <w:rFonts w:cs="Arial"/>
                <w:szCs w:val="20"/>
              </w:rPr>
            </w:pPr>
            <w:r w:rsidRPr="005E4BEA">
              <w:rPr>
                <w:rFonts w:cs="Arial"/>
                <w:szCs w:val="20"/>
              </w:rPr>
              <w:t>NEGA I</w:t>
            </w:r>
          </w:p>
        </w:tc>
        <w:tc>
          <w:tcPr>
            <w:tcW w:w="1427" w:type="dxa"/>
            <w:tcBorders>
              <w:top w:val="nil"/>
              <w:left w:val="nil"/>
              <w:bottom w:val="nil"/>
              <w:right w:val="nil"/>
            </w:tcBorders>
            <w:shd w:val="clear" w:color="auto" w:fill="auto"/>
            <w:noWrap/>
            <w:vAlign w:val="bottom"/>
            <w:hideMark/>
          </w:tcPr>
          <w:p w14:paraId="7489F58D" w14:textId="77777777" w:rsidR="00FE461F" w:rsidRPr="005E4BEA" w:rsidRDefault="00FE461F" w:rsidP="00FE461F">
            <w:pPr>
              <w:spacing w:line="240" w:lineRule="auto"/>
              <w:rPr>
                <w:rFonts w:cs="Arial"/>
                <w:szCs w:val="20"/>
              </w:rPr>
            </w:pPr>
            <w:r w:rsidRPr="005E4BEA">
              <w:rPr>
                <w:rFonts w:cs="Arial"/>
                <w:szCs w:val="20"/>
              </w:rPr>
              <w:t xml:space="preserve">            </w:t>
            </w:r>
          </w:p>
        </w:tc>
        <w:tc>
          <w:tcPr>
            <w:tcW w:w="3109" w:type="dxa"/>
            <w:gridSpan w:val="2"/>
            <w:tcBorders>
              <w:top w:val="nil"/>
              <w:left w:val="nil"/>
              <w:bottom w:val="nil"/>
              <w:right w:val="nil"/>
            </w:tcBorders>
            <w:shd w:val="clear" w:color="auto" w:fill="auto"/>
            <w:noWrap/>
            <w:vAlign w:val="bottom"/>
            <w:hideMark/>
          </w:tcPr>
          <w:p w14:paraId="6B9E06D9" w14:textId="77777777" w:rsidR="00FE461F" w:rsidRPr="005E4BEA" w:rsidRDefault="00FE461F" w:rsidP="00FE461F">
            <w:pPr>
              <w:spacing w:line="240" w:lineRule="auto"/>
              <w:rPr>
                <w:rFonts w:cs="Arial"/>
                <w:szCs w:val="20"/>
              </w:rPr>
            </w:pPr>
            <w:r w:rsidRPr="005E4BEA">
              <w:rPr>
                <w:rFonts w:cs="Arial"/>
                <w:szCs w:val="20"/>
              </w:rPr>
              <w:t>realizacija 2021</w:t>
            </w:r>
          </w:p>
        </w:tc>
      </w:tr>
      <w:tr w:rsidR="00FE461F" w:rsidRPr="005E4BEA" w14:paraId="4A10D653" w14:textId="77777777" w:rsidTr="0016774B">
        <w:trPr>
          <w:trHeight w:val="1056"/>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5B5A3"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27" w:type="dxa"/>
            <w:tcBorders>
              <w:top w:val="single" w:sz="4" w:space="0" w:color="auto"/>
              <w:left w:val="nil"/>
              <w:bottom w:val="single" w:sz="4" w:space="0" w:color="auto"/>
              <w:right w:val="single" w:sz="4" w:space="0" w:color="auto"/>
            </w:tcBorders>
            <w:shd w:val="clear" w:color="auto" w:fill="auto"/>
            <w:vAlign w:val="bottom"/>
            <w:hideMark/>
          </w:tcPr>
          <w:p w14:paraId="27960EE0"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50" w:type="dxa"/>
            <w:tcBorders>
              <w:top w:val="single" w:sz="4" w:space="0" w:color="auto"/>
              <w:left w:val="nil"/>
              <w:bottom w:val="single" w:sz="4" w:space="0" w:color="auto"/>
              <w:right w:val="single" w:sz="4" w:space="0" w:color="auto"/>
            </w:tcBorders>
            <w:shd w:val="clear" w:color="auto" w:fill="auto"/>
            <w:vAlign w:val="bottom"/>
            <w:hideMark/>
          </w:tcPr>
          <w:p w14:paraId="42C566FD" w14:textId="77777777" w:rsidR="00FE461F" w:rsidRPr="005E4BEA" w:rsidRDefault="00FE461F" w:rsidP="00FE461F">
            <w:pPr>
              <w:spacing w:line="240" w:lineRule="auto"/>
              <w:jc w:val="center"/>
              <w:rPr>
                <w:rFonts w:cs="Arial"/>
                <w:szCs w:val="20"/>
              </w:rPr>
            </w:pPr>
            <w:r w:rsidRPr="005E4BEA">
              <w:rPr>
                <w:rFonts w:cs="Arial"/>
                <w:szCs w:val="20"/>
              </w:rPr>
              <w:t xml:space="preserve">1.062.641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A0CD9EB"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158AAD00"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2FB12B6" w14:textId="77777777" w:rsidR="00FE461F" w:rsidRPr="005E4BEA" w:rsidRDefault="00FE461F" w:rsidP="00FE461F">
            <w:pPr>
              <w:spacing w:line="240" w:lineRule="auto"/>
              <w:rPr>
                <w:rFonts w:cs="Arial"/>
                <w:szCs w:val="20"/>
              </w:rPr>
            </w:pPr>
            <w:r w:rsidRPr="005E4BEA">
              <w:rPr>
                <w:rFonts w:cs="Arial"/>
                <w:szCs w:val="20"/>
              </w:rPr>
              <w:t>1 tehnik zdravstvene nege na 15 postelj</w:t>
            </w:r>
          </w:p>
        </w:tc>
        <w:tc>
          <w:tcPr>
            <w:tcW w:w="1427" w:type="dxa"/>
            <w:tcBorders>
              <w:top w:val="nil"/>
              <w:left w:val="nil"/>
              <w:bottom w:val="single" w:sz="4" w:space="0" w:color="auto"/>
              <w:right w:val="single" w:sz="4" w:space="0" w:color="auto"/>
            </w:tcBorders>
            <w:shd w:val="clear" w:color="auto" w:fill="auto"/>
            <w:noWrap/>
            <w:vAlign w:val="bottom"/>
            <w:hideMark/>
          </w:tcPr>
          <w:p w14:paraId="75097A73" w14:textId="77777777" w:rsidR="00FE461F" w:rsidRPr="005E4BEA" w:rsidRDefault="00FE461F" w:rsidP="00FE461F">
            <w:pPr>
              <w:spacing w:line="240" w:lineRule="auto"/>
              <w:rPr>
                <w:rFonts w:cs="Arial"/>
                <w:szCs w:val="20"/>
              </w:rPr>
            </w:pPr>
            <w:r w:rsidRPr="005E4BEA">
              <w:rPr>
                <w:rFonts w:cs="Arial"/>
                <w:szCs w:val="20"/>
              </w:rPr>
              <w:t xml:space="preserve">       0,0667     </w:t>
            </w:r>
          </w:p>
        </w:tc>
        <w:tc>
          <w:tcPr>
            <w:tcW w:w="1550" w:type="dxa"/>
            <w:tcBorders>
              <w:top w:val="nil"/>
              <w:left w:val="nil"/>
              <w:bottom w:val="single" w:sz="4" w:space="0" w:color="auto"/>
              <w:right w:val="single" w:sz="4" w:space="0" w:color="auto"/>
            </w:tcBorders>
            <w:shd w:val="clear" w:color="auto" w:fill="auto"/>
            <w:noWrap/>
            <w:vAlign w:val="bottom"/>
            <w:hideMark/>
          </w:tcPr>
          <w:p w14:paraId="07AB7FAD" w14:textId="77777777" w:rsidR="00FE461F" w:rsidRPr="005E4BEA" w:rsidRDefault="00FE461F" w:rsidP="00FE461F">
            <w:pPr>
              <w:spacing w:line="240" w:lineRule="auto"/>
              <w:rPr>
                <w:rFonts w:cs="Arial"/>
                <w:szCs w:val="20"/>
              </w:rPr>
            </w:pPr>
            <w:r w:rsidRPr="005E4BEA">
              <w:rPr>
                <w:rFonts w:cs="Arial"/>
                <w:szCs w:val="20"/>
              </w:rPr>
              <w:t xml:space="preserve">                  6,67   </w:t>
            </w:r>
          </w:p>
        </w:tc>
        <w:tc>
          <w:tcPr>
            <w:tcW w:w="1559" w:type="dxa"/>
            <w:tcBorders>
              <w:top w:val="nil"/>
              <w:left w:val="nil"/>
              <w:bottom w:val="single" w:sz="4" w:space="0" w:color="auto"/>
              <w:right w:val="single" w:sz="4" w:space="0" w:color="auto"/>
            </w:tcBorders>
            <w:shd w:val="clear" w:color="auto" w:fill="auto"/>
            <w:noWrap/>
            <w:vAlign w:val="bottom"/>
            <w:hideMark/>
          </w:tcPr>
          <w:p w14:paraId="594DB7A2" w14:textId="77777777" w:rsidR="00FE461F" w:rsidRPr="005E4BEA" w:rsidRDefault="00FE461F" w:rsidP="00FE461F">
            <w:pPr>
              <w:spacing w:line="240" w:lineRule="auto"/>
              <w:jc w:val="right"/>
              <w:rPr>
                <w:rFonts w:cs="Arial"/>
                <w:szCs w:val="20"/>
              </w:rPr>
            </w:pPr>
            <w:r w:rsidRPr="005E4BEA">
              <w:rPr>
                <w:rFonts w:cs="Arial"/>
                <w:szCs w:val="20"/>
              </w:rPr>
              <w:t>194,09</w:t>
            </w:r>
          </w:p>
        </w:tc>
      </w:tr>
      <w:tr w:rsidR="00FE461F" w:rsidRPr="005E4BEA" w14:paraId="30987342"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41BA91A" w14:textId="77777777" w:rsidR="00FE461F" w:rsidRPr="005E4BEA" w:rsidRDefault="00FE461F" w:rsidP="00FE461F">
            <w:pPr>
              <w:spacing w:line="240" w:lineRule="auto"/>
              <w:rPr>
                <w:rFonts w:cs="Arial"/>
                <w:szCs w:val="20"/>
              </w:rPr>
            </w:pPr>
            <w:r w:rsidRPr="005E4BEA">
              <w:rPr>
                <w:rFonts w:cs="Arial"/>
                <w:szCs w:val="20"/>
              </w:rPr>
              <w:t>1 dipl. fizioterapevt/višji fizioterapevt na 100 postelj</w:t>
            </w:r>
          </w:p>
        </w:tc>
        <w:tc>
          <w:tcPr>
            <w:tcW w:w="1427" w:type="dxa"/>
            <w:tcBorders>
              <w:top w:val="nil"/>
              <w:left w:val="nil"/>
              <w:bottom w:val="single" w:sz="4" w:space="0" w:color="auto"/>
              <w:right w:val="single" w:sz="4" w:space="0" w:color="auto"/>
            </w:tcBorders>
            <w:shd w:val="clear" w:color="auto" w:fill="auto"/>
            <w:noWrap/>
            <w:vAlign w:val="bottom"/>
            <w:hideMark/>
          </w:tcPr>
          <w:p w14:paraId="34330497" w14:textId="77777777" w:rsidR="00FE461F" w:rsidRPr="005E4BEA" w:rsidRDefault="00FE461F" w:rsidP="00FE461F">
            <w:pPr>
              <w:spacing w:line="240" w:lineRule="auto"/>
              <w:rPr>
                <w:rFonts w:cs="Arial"/>
                <w:szCs w:val="20"/>
              </w:rPr>
            </w:pPr>
            <w:r w:rsidRPr="005E4BEA">
              <w:rPr>
                <w:rFonts w:cs="Arial"/>
                <w:szCs w:val="20"/>
              </w:rPr>
              <w:t xml:space="preserve">       0,0100     </w:t>
            </w:r>
          </w:p>
        </w:tc>
        <w:tc>
          <w:tcPr>
            <w:tcW w:w="1550" w:type="dxa"/>
            <w:tcBorders>
              <w:top w:val="nil"/>
              <w:left w:val="nil"/>
              <w:bottom w:val="single" w:sz="4" w:space="0" w:color="auto"/>
              <w:right w:val="single" w:sz="4" w:space="0" w:color="auto"/>
            </w:tcBorders>
            <w:shd w:val="clear" w:color="auto" w:fill="auto"/>
            <w:noWrap/>
            <w:vAlign w:val="bottom"/>
            <w:hideMark/>
          </w:tcPr>
          <w:p w14:paraId="2443ECE6" w14:textId="77777777" w:rsidR="00FE461F" w:rsidRPr="005E4BEA" w:rsidRDefault="00FE461F" w:rsidP="00FE461F">
            <w:pPr>
              <w:spacing w:line="240" w:lineRule="auto"/>
              <w:rPr>
                <w:rFonts w:cs="Arial"/>
                <w:szCs w:val="20"/>
              </w:rPr>
            </w:pPr>
            <w:r w:rsidRPr="005E4BEA">
              <w:rPr>
                <w:rFonts w:cs="Arial"/>
                <w:szCs w:val="20"/>
              </w:rPr>
              <w:t xml:space="preserve">                  1,00   </w:t>
            </w:r>
          </w:p>
        </w:tc>
        <w:tc>
          <w:tcPr>
            <w:tcW w:w="1559" w:type="dxa"/>
            <w:tcBorders>
              <w:top w:val="nil"/>
              <w:left w:val="nil"/>
              <w:bottom w:val="single" w:sz="4" w:space="0" w:color="auto"/>
              <w:right w:val="single" w:sz="4" w:space="0" w:color="auto"/>
            </w:tcBorders>
            <w:shd w:val="clear" w:color="auto" w:fill="auto"/>
            <w:noWrap/>
            <w:vAlign w:val="bottom"/>
            <w:hideMark/>
          </w:tcPr>
          <w:p w14:paraId="5CE3F770" w14:textId="77777777" w:rsidR="00FE461F" w:rsidRPr="005E4BEA" w:rsidRDefault="00FE461F" w:rsidP="00FE461F">
            <w:pPr>
              <w:spacing w:line="240" w:lineRule="auto"/>
              <w:jc w:val="right"/>
              <w:rPr>
                <w:rFonts w:cs="Arial"/>
                <w:szCs w:val="20"/>
              </w:rPr>
            </w:pPr>
            <w:r w:rsidRPr="005E4BEA">
              <w:rPr>
                <w:rFonts w:cs="Arial"/>
                <w:szCs w:val="20"/>
              </w:rPr>
              <w:t>29,11</w:t>
            </w:r>
          </w:p>
        </w:tc>
      </w:tr>
      <w:tr w:rsidR="00FE461F" w:rsidRPr="005E4BEA" w14:paraId="1BB379EE"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38A7035" w14:textId="77777777" w:rsidR="00FE461F" w:rsidRPr="005E4BEA" w:rsidRDefault="00FE461F" w:rsidP="00FE461F">
            <w:pPr>
              <w:spacing w:line="240" w:lineRule="auto"/>
              <w:rPr>
                <w:rFonts w:cs="Arial"/>
                <w:szCs w:val="20"/>
              </w:rPr>
            </w:pPr>
            <w:r w:rsidRPr="005E4BEA">
              <w:rPr>
                <w:rFonts w:cs="Arial"/>
                <w:szCs w:val="20"/>
              </w:rPr>
              <w:t>1 diplomirana med. sestra/višja med. sestra na 100 postelj</w:t>
            </w:r>
          </w:p>
        </w:tc>
        <w:tc>
          <w:tcPr>
            <w:tcW w:w="1427" w:type="dxa"/>
            <w:tcBorders>
              <w:top w:val="nil"/>
              <w:left w:val="nil"/>
              <w:bottom w:val="single" w:sz="4" w:space="0" w:color="auto"/>
              <w:right w:val="single" w:sz="4" w:space="0" w:color="auto"/>
            </w:tcBorders>
            <w:shd w:val="clear" w:color="auto" w:fill="auto"/>
            <w:noWrap/>
            <w:vAlign w:val="bottom"/>
            <w:hideMark/>
          </w:tcPr>
          <w:p w14:paraId="50FF9B29" w14:textId="77777777" w:rsidR="00FE461F" w:rsidRPr="005E4BEA" w:rsidRDefault="00FE461F" w:rsidP="00FE461F">
            <w:pPr>
              <w:spacing w:line="240" w:lineRule="auto"/>
              <w:rPr>
                <w:rFonts w:cs="Arial"/>
                <w:szCs w:val="20"/>
              </w:rPr>
            </w:pPr>
            <w:r w:rsidRPr="005E4BEA">
              <w:rPr>
                <w:rFonts w:cs="Arial"/>
                <w:szCs w:val="20"/>
              </w:rPr>
              <w:t xml:space="preserve">       0,0100     </w:t>
            </w:r>
          </w:p>
        </w:tc>
        <w:tc>
          <w:tcPr>
            <w:tcW w:w="1550" w:type="dxa"/>
            <w:tcBorders>
              <w:top w:val="nil"/>
              <w:left w:val="nil"/>
              <w:bottom w:val="single" w:sz="4" w:space="0" w:color="auto"/>
              <w:right w:val="single" w:sz="4" w:space="0" w:color="auto"/>
            </w:tcBorders>
            <w:shd w:val="clear" w:color="auto" w:fill="auto"/>
            <w:noWrap/>
            <w:vAlign w:val="bottom"/>
            <w:hideMark/>
          </w:tcPr>
          <w:p w14:paraId="78F06209" w14:textId="77777777" w:rsidR="00FE461F" w:rsidRPr="005E4BEA" w:rsidRDefault="00FE461F" w:rsidP="00FE461F">
            <w:pPr>
              <w:spacing w:line="240" w:lineRule="auto"/>
              <w:rPr>
                <w:rFonts w:cs="Arial"/>
                <w:szCs w:val="20"/>
              </w:rPr>
            </w:pPr>
            <w:r w:rsidRPr="005E4BEA">
              <w:rPr>
                <w:rFonts w:cs="Arial"/>
                <w:szCs w:val="20"/>
              </w:rPr>
              <w:t xml:space="preserve">                  1,00   </w:t>
            </w:r>
          </w:p>
        </w:tc>
        <w:tc>
          <w:tcPr>
            <w:tcW w:w="1559" w:type="dxa"/>
            <w:tcBorders>
              <w:top w:val="nil"/>
              <w:left w:val="nil"/>
              <w:bottom w:val="single" w:sz="4" w:space="0" w:color="auto"/>
              <w:right w:val="single" w:sz="4" w:space="0" w:color="auto"/>
            </w:tcBorders>
            <w:shd w:val="clear" w:color="auto" w:fill="auto"/>
            <w:noWrap/>
            <w:vAlign w:val="bottom"/>
            <w:hideMark/>
          </w:tcPr>
          <w:p w14:paraId="38EDF3EC" w14:textId="77777777" w:rsidR="00FE461F" w:rsidRPr="005E4BEA" w:rsidRDefault="00FE461F" w:rsidP="00FE461F">
            <w:pPr>
              <w:spacing w:line="240" w:lineRule="auto"/>
              <w:jc w:val="right"/>
              <w:rPr>
                <w:rFonts w:cs="Arial"/>
                <w:szCs w:val="20"/>
              </w:rPr>
            </w:pPr>
            <w:r w:rsidRPr="005E4BEA">
              <w:rPr>
                <w:rFonts w:cs="Arial"/>
                <w:szCs w:val="20"/>
              </w:rPr>
              <w:t>29,11</w:t>
            </w:r>
          </w:p>
        </w:tc>
      </w:tr>
      <w:tr w:rsidR="00FE461F" w:rsidRPr="005E4BEA" w14:paraId="25A1E2E6"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F596717" w14:textId="77777777" w:rsidR="00FE461F" w:rsidRPr="005E4BEA" w:rsidRDefault="00FE461F" w:rsidP="00FE461F">
            <w:pPr>
              <w:spacing w:line="240" w:lineRule="auto"/>
              <w:rPr>
                <w:rFonts w:cs="Arial"/>
                <w:szCs w:val="20"/>
              </w:rPr>
            </w:pPr>
            <w:r w:rsidRPr="005E4BEA">
              <w:rPr>
                <w:rFonts w:cs="Arial"/>
                <w:szCs w:val="20"/>
              </w:rPr>
              <w:t>1 dipl. del. terapevt/ višji del. terapevt na 100 postelj</w:t>
            </w:r>
          </w:p>
        </w:tc>
        <w:tc>
          <w:tcPr>
            <w:tcW w:w="1427" w:type="dxa"/>
            <w:tcBorders>
              <w:top w:val="nil"/>
              <w:left w:val="nil"/>
              <w:bottom w:val="single" w:sz="4" w:space="0" w:color="auto"/>
              <w:right w:val="single" w:sz="4" w:space="0" w:color="auto"/>
            </w:tcBorders>
            <w:shd w:val="clear" w:color="auto" w:fill="auto"/>
            <w:noWrap/>
            <w:vAlign w:val="bottom"/>
            <w:hideMark/>
          </w:tcPr>
          <w:p w14:paraId="33D4D012" w14:textId="77777777" w:rsidR="00FE461F" w:rsidRPr="005E4BEA" w:rsidRDefault="00FE461F" w:rsidP="00FE461F">
            <w:pPr>
              <w:spacing w:line="240" w:lineRule="auto"/>
              <w:rPr>
                <w:rFonts w:cs="Arial"/>
                <w:szCs w:val="20"/>
              </w:rPr>
            </w:pPr>
            <w:r w:rsidRPr="005E4BEA">
              <w:rPr>
                <w:rFonts w:cs="Arial"/>
                <w:szCs w:val="20"/>
              </w:rPr>
              <w:t xml:space="preserve">       0,0100     </w:t>
            </w:r>
          </w:p>
        </w:tc>
        <w:tc>
          <w:tcPr>
            <w:tcW w:w="1550" w:type="dxa"/>
            <w:tcBorders>
              <w:top w:val="nil"/>
              <w:left w:val="nil"/>
              <w:bottom w:val="single" w:sz="4" w:space="0" w:color="auto"/>
              <w:right w:val="single" w:sz="4" w:space="0" w:color="auto"/>
            </w:tcBorders>
            <w:shd w:val="clear" w:color="auto" w:fill="auto"/>
            <w:noWrap/>
            <w:vAlign w:val="bottom"/>
            <w:hideMark/>
          </w:tcPr>
          <w:p w14:paraId="063F1FE7" w14:textId="77777777" w:rsidR="00FE461F" w:rsidRPr="005E4BEA" w:rsidRDefault="00FE461F" w:rsidP="00FE461F">
            <w:pPr>
              <w:spacing w:line="240" w:lineRule="auto"/>
              <w:rPr>
                <w:rFonts w:cs="Arial"/>
                <w:szCs w:val="20"/>
              </w:rPr>
            </w:pPr>
            <w:r w:rsidRPr="005E4BEA">
              <w:rPr>
                <w:rFonts w:cs="Arial"/>
                <w:szCs w:val="20"/>
              </w:rPr>
              <w:t xml:space="preserve">                  1,00   </w:t>
            </w:r>
          </w:p>
        </w:tc>
        <w:tc>
          <w:tcPr>
            <w:tcW w:w="1559" w:type="dxa"/>
            <w:tcBorders>
              <w:top w:val="nil"/>
              <w:left w:val="nil"/>
              <w:bottom w:val="single" w:sz="4" w:space="0" w:color="auto"/>
              <w:right w:val="single" w:sz="4" w:space="0" w:color="auto"/>
            </w:tcBorders>
            <w:shd w:val="clear" w:color="auto" w:fill="auto"/>
            <w:noWrap/>
            <w:vAlign w:val="bottom"/>
            <w:hideMark/>
          </w:tcPr>
          <w:p w14:paraId="3EB7A0D5" w14:textId="77777777" w:rsidR="00FE461F" w:rsidRPr="005E4BEA" w:rsidRDefault="00FE461F" w:rsidP="00FE461F">
            <w:pPr>
              <w:spacing w:line="240" w:lineRule="auto"/>
              <w:jc w:val="right"/>
              <w:rPr>
                <w:rFonts w:cs="Arial"/>
                <w:szCs w:val="20"/>
              </w:rPr>
            </w:pPr>
            <w:r w:rsidRPr="005E4BEA">
              <w:rPr>
                <w:rFonts w:cs="Arial"/>
                <w:szCs w:val="20"/>
              </w:rPr>
              <w:t>29,11</w:t>
            </w:r>
          </w:p>
        </w:tc>
      </w:tr>
      <w:tr w:rsidR="00FE461F" w:rsidRPr="005E4BEA" w14:paraId="58402FBF"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E8A4B06" w14:textId="77777777" w:rsidR="00FE461F" w:rsidRPr="005E4BEA" w:rsidRDefault="00FE461F" w:rsidP="00FE461F">
            <w:pPr>
              <w:spacing w:line="240" w:lineRule="auto"/>
              <w:rPr>
                <w:rFonts w:cs="Arial"/>
                <w:szCs w:val="20"/>
              </w:rPr>
            </w:pPr>
            <w:r w:rsidRPr="005E4BEA">
              <w:rPr>
                <w:rFonts w:cs="Arial"/>
                <w:szCs w:val="20"/>
              </w:rPr>
              <w:t>1 bolničar-negovalec na 10 postelj</w:t>
            </w:r>
          </w:p>
        </w:tc>
        <w:tc>
          <w:tcPr>
            <w:tcW w:w="1427" w:type="dxa"/>
            <w:tcBorders>
              <w:top w:val="nil"/>
              <w:left w:val="nil"/>
              <w:bottom w:val="single" w:sz="4" w:space="0" w:color="auto"/>
              <w:right w:val="single" w:sz="4" w:space="0" w:color="auto"/>
            </w:tcBorders>
            <w:shd w:val="clear" w:color="auto" w:fill="auto"/>
            <w:noWrap/>
            <w:vAlign w:val="bottom"/>
            <w:hideMark/>
          </w:tcPr>
          <w:p w14:paraId="2A6D0B3C" w14:textId="77777777" w:rsidR="00FE461F" w:rsidRPr="005E4BEA" w:rsidRDefault="00FE461F" w:rsidP="00FE461F">
            <w:pPr>
              <w:spacing w:line="240" w:lineRule="auto"/>
              <w:rPr>
                <w:rFonts w:cs="Arial"/>
                <w:szCs w:val="20"/>
              </w:rPr>
            </w:pPr>
            <w:r w:rsidRPr="005E4BEA">
              <w:rPr>
                <w:rFonts w:cs="Arial"/>
                <w:szCs w:val="20"/>
              </w:rPr>
              <w:t xml:space="preserve">       0,1000     </w:t>
            </w:r>
          </w:p>
        </w:tc>
        <w:tc>
          <w:tcPr>
            <w:tcW w:w="1550" w:type="dxa"/>
            <w:tcBorders>
              <w:top w:val="nil"/>
              <w:left w:val="nil"/>
              <w:bottom w:val="single" w:sz="4" w:space="0" w:color="auto"/>
              <w:right w:val="single" w:sz="4" w:space="0" w:color="auto"/>
            </w:tcBorders>
            <w:shd w:val="clear" w:color="auto" w:fill="auto"/>
            <w:noWrap/>
            <w:vAlign w:val="bottom"/>
            <w:hideMark/>
          </w:tcPr>
          <w:p w14:paraId="3454BF69" w14:textId="77777777" w:rsidR="00FE461F" w:rsidRPr="005E4BEA" w:rsidRDefault="00FE461F" w:rsidP="00FE461F">
            <w:pPr>
              <w:spacing w:line="240" w:lineRule="auto"/>
              <w:rPr>
                <w:rFonts w:cs="Arial"/>
                <w:szCs w:val="20"/>
              </w:rPr>
            </w:pPr>
            <w:r w:rsidRPr="005E4BEA">
              <w:rPr>
                <w:rFonts w:cs="Arial"/>
                <w:szCs w:val="20"/>
              </w:rPr>
              <w:t xml:space="preserve">                10,00   </w:t>
            </w:r>
          </w:p>
        </w:tc>
        <w:tc>
          <w:tcPr>
            <w:tcW w:w="1559" w:type="dxa"/>
            <w:tcBorders>
              <w:top w:val="nil"/>
              <w:left w:val="nil"/>
              <w:bottom w:val="single" w:sz="4" w:space="0" w:color="auto"/>
              <w:right w:val="single" w:sz="4" w:space="0" w:color="auto"/>
            </w:tcBorders>
            <w:shd w:val="clear" w:color="auto" w:fill="auto"/>
            <w:noWrap/>
            <w:vAlign w:val="bottom"/>
            <w:hideMark/>
          </w:tcPr>
          <w:p w14:paraId="323FE4FB" w14:textId="77777777" w:rsidR="00FE461F" w:rsidRPr="005E4BEA" w:rsidRDefault="00FE461F" w:rsidP="00FE461F">
            <w:pPr>
              <w:spacing w:line="240" w:lineRule="auto"/>
              <w:jc w:val="right"/>
              <w:rPr>
                <w:rFonts w:cs="Arial"/>
                <w:szCs w:val="20"/>
              </w:rPr>
            </w:pPr>
            <w:r w:rsidRPr="005E4BEA">
              <w:rPr>
                <w:rFonts w:cs="Arial"/>
                <w:szCs w:val="20"/>
              </w:rPr>
              <w:t>291,13</w:t>
            </w:r>
          </w:p>
        </w:tc>
      </w:tr>
      <w:tr w:rsidR="00FE461F" w:rsidRPr="005E4BEA" w14:paraId="5AA6AF9D"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174A5ED"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427" w:type="dxa"/>
            <w:tcBorders>
              <w:top w:val="nil"/>
              <w:left w:val="nil"/>
              <w:bottom w:val="single" w:sz="4" w:space="0" w:color="auto"/>
              <w:right w:val="single" w:sz="4" w:space="0" w:color="auto"/>
            </w:tcBorders>
            <w:shd w:val="clear" w:color="auto" w:fill="auto"/>
            <w:noWrap/>
            <w:vAlign w:val="bottom"/>
            <w:hideMark/>
          </w:tcPr>
          <w:p w14:paraId="630E5262" w14:textId="77777777" w:rsidR="00FE461F" w:rsidRPr="005E4BEA" w:rsidRDefault="00FE461F" w:rsidP="00FE461F">
            <w:pPr>
              <w:spacing w:line="240" w:lineRule="auto"/>
              <w:rPr>
                <w:rFonts w:cs="Arial"/>
                <w:b/>
                <w:bCs/>
                <w:szCs w:val="20"/>
              </w:rPr>
            </w:pPr>
            <w:r w:rsidRPr="005E4BEA">
              <w:rPr>
                <w:rFonts w:cs="Arial"/>
                <w:b/>
                <w:bCs/>
                <w:szCs w:val="20"/>
              </w:rPr>
              <w:t xml:space="preserve">       0,2383     </w:t>
            </w:r>
          </w:p>
        </w:tc>
        <w:tc>
          <w:tcPr>
            <w:tcW w:w="1550" w:type="dxa"/>
            <w:tcBorders>
              <w:top w:val="nil"/>
              <w:left w:val="nil"/>
              <w:bottom w:val="single" w:sz="4" w:space="0" w:color="auto"/>
              <w:right w:val="single" w:sz="4" w:space="0" w:color="auto"/>
            </w:tcBorders>
            <w:shd w:val="clear" w:color="auto" w:fill="auto"/>
            <w:noWrap/>
            <w:vAlign w:val="bottom"/>
            <w:hideMark/>
          </w:tcPr>
          <w:p w14:paraId="377B58E9" w14:textId="77777777" w:rsidR="00FE461F" w:rsidRPr="005E4BEA" w:rsidRDefault="00FE461F" w:rsidP="00FE461F">
            <w:pPr>
              <w:spacing w:line="240" w:lineRule="auto"/>
              <w:rPr>
                <w:rFonts w:cs="Arial"/>
                <w:b/>
                <w:bCs/>
                <w:szCs w:val="20"/>
              </w:rPr>
            </w:pPr>
            <w:r w:rsidRPr="005E4BEA">
              <w:rPr>
                <w:rFonts w:cs="Arial"/>
                <w:b/>
                <w:bCs/>
                <w:szCs w:val="20"/>
              </w:rPr>
              <w:t xml:space="preserve">                23,83   </w:t>
            </w:r>
          </w:p>
        </w:tc>
        <w:tc>
          <w:tcPr>
            <w:tcW w:w="1559" w:type="dxa"/>
            <w:tcBorders>
              <w:top w:val="nil"/>
              <w:left w:val="nil"/>
              <w:bottom w:val="single" w:sz="4" w:space="0" w:color="auto"/>
              <w:right w:val="single" w:sz="4" w:space="0" w:color="auto"/>
            </w:tcBorders>
            <w:shd w:val="clear" w:color="auto" w:fill="auto"/>
            <w:noWrap/>
            <w:vAlign w:val="bottom"/>
            <w:hideMark/>
          </w:tcPr>
          <w:p w14:paraId="120EBE49" w14:textId="77777777" w:rsidR="00FE461F" w:rsidRPr="005E4BEA" w:rsidRDefault="00FE461F" w:rsidP="00FE461F">
            <w:pPr>
              <w:spacing w:line="240" w:lineRule="auto"/>
              <w:jc w:val="right"/>
              <w:rPr>
                <w:rFonts w:cs="Arial"/>
                <w:b/>
                <w:bCs/>
                <w:szCs w:val="20"/>
              </w:rPr>
            </w:pPr>
            <w:r w:rsidRPr="005E4BEA">
              <w:rPr>
                <w:rFonts w:cs="Arial"/>
                <w:b/>
                <w:bCs/>
                <w:szCs w:val="20"/>
              </w:rPr>
              <w:t>572,56</w:t>
            </w:r>
          </w:p>
        </w:tc>
      </w:tr>
      <w:tr w:rsidR="00FE461F" w:rsidRPr="005E4BEA" w14:paraId="2EC63410" w14:textId="77777777" w:rsidTr="0016774B">
        <w:trPr>
          <w:trHeight w:val="264"/>
        </w:trPr>
        <w:tc>
          <w:tcPr>
            <w:tcW w:w="4253" w:type="dxa"/>
            <w:tcBorders>
              <w:top w:val="nil"/>
              <w:left w:val="nil"/>
              <w:bottom w:val="nil"/>
              <w:right w:val="nil"/>
            </w:tcBorders>
            <w:shd w:val="clear" w:color="auto" w:fill="auto"/>
            <w:noWrap/>
            <w:vAlign w:val="bottom"/>
            <w:hideMark/>
          </w:tcPr>
          <w:p w14:paraId="47AC039C" w14:textId="77777777" w:rsidR="00FE461F" w:rsidRPr="005E4BEA" w:rsidRDefault="00FE461F" w:rsidP="00FE461F">
            <w:pPr>
              <w:spacing w:line="240" w:lineRule="auto"/>
              <w:jc w:val="right"/>
              <w:rPr>
                <w:rFonts w:cs="Arial"/>
                <w:b/>
                <w:bCs/>
                <w:szCs w:val="20"/>
              </w:rPr>
            </w:pPr>
          </w:p>
        </w:tc>
        <w:tc>
          <w:tcPr>
            <w:tcW w:w="1427" w:type="dxa"/>
            <w:tcBorders>
              <w:top w:val="nil"/>
              <w:left w:val="nil"/>
              <w:bottom w:val="nil"/>
              <w:right w:val="nil"/>
            </w:tcBorders>
            <w:shd w:val="clear" w:color="auto" w:fill="auto"/>
            <w:noWrap/>
            <w:vAlign w:val="bottom"/>
            <w:hideMark/>
          </w:tcPr>
          <w:p w14:paraId="2D134EE4" w14:textId="77777777" w:rsidR="00FE461F" w:rsidRPr="005E4BEA" w:rsidRDefault="00FE461F" w:rsidP="00FE461F">
            <w:pPr>
              <w:spacing w:line="240" w:lineRule="auto"/>
              <w:rPr>
                <w:rFonts w:cs="Arial"/>
                <w:szCs w:val="20"/>
              </w:rPr>
            </w:pPr>
          </w:p>
        </w:tc>
        <w:tc>
          <w:tcPr>
            <w:tcW w:w="1550" w:type="dxa"/>
            <w:tcBorders>
              <w:top w:val="nil"/>
              <w:left w:val="nil"/>
              <w:bottom w:val="nil"/>
              <w:right w:val="nil"/>
            </w:tcBorders>
            <w:shd w:val="clear" w:color="auto" w:fill="auto"/>
            <w:noWrap/>
            <w:vAlign w:val="bottom"/>
            <w:hideMark/>
          </w:tcPr>
          <w:p w14:paraId="58C644C9"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4949C98E" w14:textId="77777777" w:rsidR="00FE461F" w:rsidRPr="005E4BEA" w:rsidRDefault="00FE461F" w:rsidP="00FE461F">
            <w:pPr>
              <w:spacing w:line="240" w:lineRule="auto"/>
              <w:rPr>
                <w:rFonts w:cs="Arial"/>
                <w:szCs w:val="20"/>
              </w:rPr>
            </w:pPr>
          </w:p>
        </w:tc>
      </w:tr>
      <w:tr w:rsidR="00FE461F" w:rsidRPr="005E4BEA" w14:paraId="72CF24E2" w14:textId="77777777" w:rsidTr="0016774B">
        <w:trPr>
          <w:trHeight w:val="264"/>
        </w:trPr>
        <w:tc>
          <w:tcPr>
            <w:tcW w:w="4253" w:type="dxa"/>
            <w:tcBorders>
              <w:top w:val="nil"/>
              <w:left w:val="nil"/>
              <w:bottom w:val="nil"/>
              <w:right w:val="nil"/>
            </w:tcBorders>
            <w:shd w:val="clear" w:color="auto" w:fill="auto"/>
            <w:noWrap/>
            <w:vAlign w:val="bottom"/>
            <w:hideMark/>
          </w:tcPr>
          <w:p w14:paraId="04C81DBC" w14:textId="77777777" w:rsidR="00FE461F" w:rsidRPr="005E4BEA" w:rsidRDefault="00FE461F" w:rsidP="00FE461F">
            <w:pPr>
              <w:spacing w:line="240" w:lineRule="auto"/>
              <w:rPr>
                <w:rFonts w:cs="Arial"/>
                <w:szCs w:val="20"/>
              </w:rPr>
            </w:pPr>
            <w:r w:rsidRPr="005E4BEA">
              <w:rPr>
                <w:rFonts w:cs="Arial"/>
                <w:szCs w:val="20"/>
              </w:rPr>
              <w:t>NEGA II</w:t>
            </w:r>
          </w:p>
        </w:tc>
        <w:tc>
          <w:tcPr>
            <w:tcW w:w="1427" w:type="dxa"/>
            <w:tcBorders>
              <w:top w:val="nil"/>
              <w:left w:val="nil"/>
              <w:bottom w:val="nil"/>
              <w:right w:val="nil"/>
            </w:tcBorders>
            <w:shd w:val="clear" w:color="auto" w:fill="auto"/>
            <w:noWrap/>
            <w:vAlign w:val="bottom"/>
            <w:hideMark/>
          </w:tcPr>
          <w:p w14:paraId="0C29798F" w14:textId="77777777" w:rsidR="00FE461F" w:rsidRPr="005E4BEA" w:rsidRDefault="00FE461F" w:rsidP="00FE461F">
            <w:pPr>
              <w:spacing w:line="240" w:lineRule="auto"/>
              <w:rPr>
                <w:rFonts w:cs="Arial"/>
                <w:szCs w:val="20"/>
              </w:rPr>
            </w:pPr>
          </w:p>
        </w:tc>
        <w:tc>
          <w:tcPr>
            <w:tcW w:w="1550" w:type="dxa"/>
            <w:tcBorders>
              <w:top w:val="nil"/>
              <w:left w:val="nil"/>
              <w:bottom w:val="nil"/>
              <w:right w:val="nil"/>
            </w:tcBorders>
            <w:shd w:val="clear" w:color="auto" w:fill="auto"/>
            <w:noWrap/>
            <w:vAlign w:val="bottom"/>
            <w:hideMark/>
          </w:tcPr>
          <w:p w14:paraId="2E2928A2"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7C08A5D7" w14:textId="77777777" w:rsidR="00FE461F" w:rsidRPr="005E4BEA" w:rsidRDefault="00FE461F" w:rsidP="00FE461F">
            <w:pPr>
              <w:spacing w:line="240" w:lineRule="auto"/>
              <w:rPr>
                <w:rFonts w:cs="Arial"/>
                <w:szCs w:val="20"/>
              </w:rPr>
            </w:pPr>
          </w:p>
        </w:tc>
      </w:tr>
      <w:tr w:rsidR="00FE461F" w:rsidRPr="005E4BEA" w14:paraId="3FE81BDD" w14:textId="77777777" w:rsidTr="0016774B">
        <w:trPr>
          <w:trHeight w:val="792"/>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6F501"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27" w:type="dxa"/>
            <w:tcBorders>
              <w:top w:val="single" w:sz="4" w:space="0" w:color="auto"/>
              <w:left w:val="nil"/>
              <w:bottom w:val="single" w:sz="4" w:space="0" w:color="auto"/>
              <w:right w:val="single" w:sz="4" w:space="0" w:color="auto"/>
            </w:tcBorders>
            <w:shd w:val="clear" w:color="auto" w:fill="auto"/>
            <w:vAlign w:val="bottom"/>
            <w:hideMark/>
          </w:tcPr>
          <w:p w14:paraId="5EB1E76D"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50" w:type="dxa"/>
            <w:tcBorders>
              <w:top w:val="single" w:sz="4" w:space="0" w:color="auto"/>
              <w:left w:val="nil"/>
              <w:bottom w:val="single" w:sz="4" w:space="0" w:color="auto"/>
              <w:right w:val="single" w:sz="4" w:space="0" w:color="auto"/>
            </w:tcBorders>
            <w:shd w:val="clear" w:color="auto" w:fill="auto"/>
            <w:vAlign w:val="bottom"/>
            <w:hideMark/>
          </w:tcPr>
          <w:p w14:paraId="6A08260C" w14:textId="77777777" w:rsidR="00FE461F" w:rsidRPr="005E4BEA" w:rsidRDefault="00FE461F" w:rsidP="00FE461F">
            <w:pPr>
              <w:spacing w:line="240" w:lineRule="auto"/>
              <w:jc w:val="center"/>
              <w:rPr>
                <w:rFonts w:cs="Arial"/>
                <w:szCs w:val="20"/>
              </w:rPr>
            </w:pPr>
            <w:r w:rsidRPr="005E4BEA">
              <w:rPr>
                <w:rFonts w:cs="Arial"/>
                <w:szCs w:val="20"/>
              </w:rPr>
              <w:t xml:space="preserve">372.815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5A89850"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27437B8C"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681CF37" w14:textId="77777777" w:rsidR="00FE461F" w:rsidRPr="005E4BEA" w:rsidRDefault="00FE461F" w:rsidP="00FE461F">
            <w:pPr>
              <w:spacing w:line="240" w:lineRule="auto"/>
              <w:rPr>
                <w:rFonts w:cs="Arial"/>
                <w:szCs w:val="20"/>
              </w:rPr>
            </w:pPr>
            <w:r w:rsidRPr="005E4BEA">
              <w:rPr>
                <w:rFonts w:cs="Arial"/>
                <w:szCs w:val="20"/>
              </w:rPr>
              <w:t>1 tehnik zdravstvene nege na 8 postelj</w:t>
            </w:r>
          </w:p>
        </w:tc>
        <w:tc>
          <w:tcPr>
            <w:tcW w:w="1427" w:type="dxa"/>
            <w:tcBorders>
              <w:top w:val="nil"/>
              <w:left w:val="nil"/>
              <w:bottom w:val="single" w:sz="4" w:space="0" w:color="auto"/>
              <w:right w:val="single" w:sz="4" w:space="0" w:color="auto"/>
            </w:tcBorders>
            <w:shd w:val="clear" w:color="auto" w:fill="auto"/>
            <w:noWrap/>
            <w:vAlign w:val="bottom"/>
            <w:hideMark/>
          </w:tcPr>
          <w:p w14:paraId="7CF75A54" w14:textId="77777777" w:rsidR="00FE461F" w:rsidRPr="005E4BEA" w:rsidRDefault="00FE461F" w:rsidP="00FE461F">
            <w:pPr>
              <w:spacing w:line="240" w:lineRule="auto"/>
              <w:rPr>
                <w:rFonts w:cs="Arial"/>
                <w:szCs w:val="20"/>
              </w:rPr>
            </w:pPr>
            <w:r w:rsidRPr="005E4BEA">
              <w:rPr>
                <w:rFonts w:cs="Arial"/>
                <w:szCs w:val="20"/>
              </w:rPr>
              <w:t xml:space="preserve">       0,1250     </w:t>
            </w:r>
          </w:p>
        </w:tc>
        <w:tc>
          <w:tcPr>
            <w:tcW w:w="1550" w:type="dxa"/>
            <w:tcBorders>
              <w:top w:val="nil"/>
              <w:left w:val="nil"/>
              <w:bottom w:val="single" w:sz="4" w:space="0" w:color="auto"/>
              <w:right w:val="single" w:sz="4" w:space="0" w:color="auto"/>
            </w:tcBorders>
            <w:shd w:val="clear" w:color="auto" w:fill="auto"/>
            <w:noWrap/>
            <w:vAlign w:val="bottom"/>
            <w:hideMark/>
          </w:tcPr>
          <w:p w14:paraId="38513131" w14:textId="77777777" w:rsidR="00FE461F" w:rsidRPr="005E4BEA" w:rsidRDefault="00FE461F" w:rsidP="00FE461F">
            <w:pPr>
              <w:spacing w:line="240" w:lineRule="auto"/>
              <w:rPr>
                <w:rFonts w:cs="Arial"/>
                <w:szCs w:val="20"/>
              </w:rPr>
            </w:pPr>
            <w:r w:rsidRPr="005E4BEA">
              <w:rPr>
                <w:rFonts w:cs="Arial"/>
                <w:szCs w:val="20"/>
              </w:rPr>
              <w:t xml:space="preserve">                12,50   </w:t>
            </w:r>
          </w:p>
        </w:tc>
        <w:tc>
          <w:tcPr>
            <w:tcW w:w="1559" w:type="dxa"/>
            <w:tcBorders>
              <w:top w:val="nil"/>
              <w:left w:val="nil"/>
              <w:bottom w:val="single" w:sz="4" w:space="0" w:color="auto"/>
              <w:right w:val="single" w:sz="4" w:space="0" w:color="auto"/>
            </w:tcBorders>
            <w:shd w:val="clear" w:color="auto" w:fill="auto"/>
            <w:noWrap/>
            <w:vAlign w:val="bottom"/>
            <w:hideMark/>
          </w:tcPr>
          <w:p w14:paraId="1DD8F534" w14:textId="77777777" w:rsidR="00FE461F" w:rsidRPr="005E4BEA" w:rsidRDefault="00FE461F" w:rsidP="00FE461F">
            <w:pPr>
              <w:spacing w:line="240" w:lineRule="auto"/>
              <w:jc w:val="right"/>
              <w:rPr>
                <w:rFonts w:cs="Arial"/>
                <w:szCs w:val="20"/>
              </w:rPr>
            </w:pPr>
            <w:r w:rsidRPr="005E4BEA">
              <w:rPr>
                <w:rFonts w:cs="Arial"/>
                <w:szCs w:val="20"/>
              </w:rPr>
              <w:t>127,68</w:t>
            </w:r>
          </w:p>
        </w:tc>
      </w:tr>
      <w:tr w:rsidR="00FE461F" w:rsidRPr="005E4BEA" w14:paraId="4BE692CD"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2E7716A" w14:textId="77777777" w:rsidR="00FE461F" w:rsidRPr="005E4BEA" w:rsidRDefault="00FE461F" w:rsidP="00FE461F">
            <w:pPr>
              <w:spacing w:line="240" w:lineRule="auto"/>
              <w:rPr>
                <w:rFonts w:cs="Arial"/>
                <w:szCs w:val="20"/>
              </w:rPr>
            </w:pPr>
            <w:r w:rsidRPr="005E4BEA">
              <w:rPr>
                <w:rFonts w:cs="Arial"/>
                <w:szCs w:val="20"/>
              </w:rPr>
              <w:t>1 dipl. fizioterapevt/višji fizioterapevt na 50 postelj</w:t>
            </w:r>
          </w:p>
        </w:tc>
        <w:tc>
          <w:tcPr>
            <w:tcW w:w="1427" w:type="dxa"/>
            <w:tcBorders>
              <w:top w:val="nil"/>
              <w:left w:val="nil"/>
              <w:bottom w:val="single" w:sz="4" w:space="0" w:color="auto"/>
              <w:right w:val="single" w:sz="4" w:space="0" w:color="auto"/>
            </w:tcBorders>
            <w:shd w:val="clear" w:color="auto" w:fill="auto"/>
            <w:noWrap/>
            <w:vAlign w:val="bottom"/>
            <w:hideMark/>
          </w:tcPr>
          <w:p w14:paraId="63F6DB41" w14:textId="77777777" w:rsidR="00FE461F" w:rsidRPr="005E4BEA" w:rsidRDefault="00FE461F" w:rsidP="00FE461F">
            <w:pPr>
              <w:spacing w:line="240" w:lineRule="auto"/>
              <w:rPr>
                <w:rFonts w:cs="Arial"/>
                <w:szCs w:val="20"/>
              </w:rPr>
            </w:pPr>
            <w:r w:rsidRPr="005E4BEA">
              <w:rPr>
                <w:rFonts w:cs="Arial"/>
                <w:szCs w:val="20"/>
              </w:rPr>
              <w:t xml:space="preserve">       0,0200     </w:t>
            </w:r>
          </w:p>
        </w:tc>
        <w:tc>
          <w:tcPr>
            <w:tcW w:w="1550" w:type="dxa"/>
            <w:tcBorders>
              <w:top w:val="nil"/>
              <w:left w:val="nil"/>
              <w:bottom w:val="single" w:sz="4" w:space="0" w:color="auto"/>
              <w:right w:val="single" w:sz="4" w:space="0" w:color="auto"/>
            </w:tcBorders>
            <w:shd w:val="clear" w:color="auto" w:fill="auto"/>
            <w:noWrap/>
            <w:vAlign w:val="bottom"/>
            <w:hideMark/>
          </w:tcPr>
          <w:p w14:paraId="10462E19" w14:textId="77777777" w:rsidR="00FE461F" w:rsidRPr="005E4BEA" w:rsidRDefault="00FE461F" w:rsidP="00FE461F">
            <w:pPr>
              <w:spacing w:line="240" w:lineRule="auto"/>
              <w:rPr>
                <w:rFonts w:cs="Arial"/>
                <w:szCs w:val="20"/>
              </w:rPr>
            </w:pPr>
            <w:r w:rsidRPr="005E4BEA">
              <w:rPr>
                <w:rFonts w:cs="Arial"/>
                <w:szCs w:val="20"/>
              </w:rPr>
              <w:t xml:space="preserve">                  2,00   </w:t>
            </w:r>
          </w:p>
        </w:tc>
        <w:tc>
          <w:tcPr>
            <w:tcW w:w="1559" w:type="dxa"/>
            <w:tcBorders>
              <w:top w:val="nil"/>
              <w:left w:val="nil"/>
              <w:bottom w:val="single" w:sz="4" w:space="0" w:color="auto"/>
              <w:right w:val="single" w:sz="4" w:space="0" w:color="auto"/>
            </w:tcBorders>
            <w:shd w:val="clear" w:color="auto" w:fill="auto"/>
            <w:noWrap/>
            <w:vAlign w:val="bottom"/>
            <w:hideMark/>
          </w:tcPr>
          <w:p w14:paraId="6F63349E" w14:textId="77777777" w:rsidR="00FE461F" w:rsidRPr="005E4BEA" w:rsidRDefault="00FE461F" w:rsidP="00FE461F">
            <w:pPr>
              <w:spacing w:line="240" w:lineRule="auto"/>
              <w:jc w:val="right"/>
              <w:rPr>
                <w:rFonts w:cs="Arial"/>
                <w:szCs w:val="20"/>
              </w:rPr>
            </w:pPr>
            <w:r w:rsidRPr="005E4BEA">
              <w:rPr>
                <w:rFonts w:cs="Arial"/>
                <w:szCs w:val="20"/>
              </w:rPr>
              <w:t>20,43</w:t>
            </w:r>
          </w:p>
        </w:tc>
      </w:tr>
      <w:tr w:rsidR="00FE461F" w:rsidRPr="005E4BEA" w14:paraId="126EDE73"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79A909F" w14:textId="77777777" w:rsidR="00FE461F" w:rsidRPr="005E4BEA" w:rsidRDefault="00FE461F" w:rsidP="00FE461F">
            <w:pPr>
              <w:spacing w:line="240" w:lineRule="auto"/>
              <w:rPr>
                <w:rFonts w:cs="Arial"/>
                <w:szCs w:val="20"/>
              </w:rPr>
            </w:pPr>
            <w:r w:rsidRPr="005E4BEA">
              <w:rPr>
                <w:rFonts w:cs="Arial"/>
                <w:szCs w:val="20"/>
              </w:rPr>
              <w:t>1 diplomirana med. sestra/višja med. sestra na 70 postelj</w:t>
            </w:r>
          </w:p>
        </w:tc>
        <w:tc>
          <w:tcPr>
            <w:tcW w:w="1427" w:type="dxa"/>
            <w:tcBorders>
              <w:top w:val="nil"/>
              <w:left w:val="nil"/>
              <w:bottom w:val="single" w:sz="4" w:space="0" w:color="auto"/>
              <w:right w:val="single" w:sz="4" w:space="0" w:color="auto"/>
            </w:tcBorders>
            <w:shd w:val="clear" w:color="auto" w:fill="auto"/>
            <w:noWrap/>
            <w:vAlign w:val="bottom"/>
            <w:hideMark/>
          </w:tcPr>
          <w:p w14:paraId="2FAB0EE9" w14:textId="77777777" w:rsidR="00FE461F" w:rsidRPr="005E4BEA" w:rsidRDefault="00FE461F" w:rsidP="00FE461F">
            <w:pPr>
              <w:spacing w:line="240" w:lineRule="auto"/>
              <w:rPr>
                <w:rFonts w:cs="Arial"/>
                <w:szCs w:val="20"/>
              </w:rPr>
            </w:pPr>
            <w:r w:rsidRPr="005E4BEA">
              <w:rPr>
                <w:rFonts w:cs="Arial"/>
                <w:szCs w:val="20"/>
              </w:rPr>
              <w:t xml:space="preserve">       0,0143     </w:t>
            </w:r>
          </w:p>
        </w:tc>
        <w:tc>
          <w:tcPr>
            <w:tcW w:w="1550" w:type="dxa"/>
            <w:tcBorders>
              <w:top w:val="nil"/>
              <w:left w:val="nil"/>
              <w:bottom w:val="single" w:sz="4" w:space="0" w:color="auto"/>
              <w:right w:val="single" w:sz="4" w:space="0" w:color="auto"/>
            </w:tcBorders>
            <w:shd w:val="clear" w:color="auto" w:fill="auto"/>
            <w:noWrap/>
            <w:vAlign w:val="bottom"/>
            <w:hideMark/>
          </w:tcPr>
          <w:p w14:paraId="5067D0BE" w14:textId="77777777" w:rsidR="00FE461F" w:rsidRPr="005E4BEA" w:rsidRDefault="00FE461F" w:rsidP="00FE461F">
            <w:pPr>
              <w:spacing w:line="240" w:lineRule="auto"/>
              <w:rPr>
                <w:rFonts w:cs="Arial"/>
                <w:szCs w:val="20"/>
              </w:rPr>
            </w:pPr>
            <w:r w:rsidRPr="005E4BEA">
              <w:rPr>
                <w:rFonts w:cs="Arial"/>
                <w:szCs w:val="20"/>
              </w:rPr>
              <w:t xml:space="preserve">                  1,43   </w:t>
            </w:r>
          </w:p>
        </w:tc>
        <w:tc>
          <w:tcPr>
            <w:tcW w:w="1559" w:type="dxa"/>
            <w:tcBorders>
              <w:top w:val="nil"/>
              <w:left w:val="nil"/>
              <w:bottom w:val="single" w:sz="4" w:space="0" w:color="auto"/>
              <w:right w:val="single" w:sz="4" w:space="0" w:color="auto"/>
            </w:tcBorders>
            <w:shd w:val="clear" w:color="auto" w:fill="auto"/>
            <w:noWrap/>
            <w:vAlign w:val="bottom"/>
            <w:hideMark/>
          </w:tcPr>
          <w:p w14:paraId="39BFE988" w14:textId="77777777" w:rsidR="00FE461F" w:rsidRPr="005E4BEA" w:rsidRDefault="00FE461F" w:rsidP="00FE461F">
            <w:pPr>
              <w:spacing w:line="240" w:lineRule="auto"/>
              <w:jc w:val="right"/>
              <w:rPr>
                <w:rFonts w:cs="Arial"/>
                <w:szCs w:val="20"/>
              </w:rPr>
            </w:pPr>
            <w:r w:rsidRPr="005E4BEA">
              <w:rPr>
                <w:rFonts w:cs="Arial"/>
                <w:szCs w:val="20"/>
              </w:rPr>
              <w:t>14,59</w:t>
            </w:r>
          </w:p>
        </w:tc>
      </w:tr>
      <w:tr w:rsidR="00FE461F" w:rsidRPr="005E4BEA" w14:paraId="7AEB8D92"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258A5AA" w14:textId="77777777" w:rsidR="00FE461F" w:rsidRPr="005E4BEA" w:rsidRDefault="00FE461F" w:rsidP="00FE461F">
            <w:pPr>
              <w:spacing w:line="240" w:lineRule="auto"/>
              <w:rPr>
                <w:rFonts w:cs="Arial"/>
                <w:szCs w:val="20"/>
              </w:rPr>
            </w:pPr>
            <w:r w:rsidRPr="005E4BEA">
              <w:rPr>
                <w:rFonts w:cs="Arial"/>
                <w:szCs w:val="20"/>
              </w:rPr>
              <w:t>1 dipl. del. terapevt/ višji del. terapevt na 50 postelj</w:t>
            </w:r>
          </w:p>
        </w:tc>
        <w:tc>
          <w:tcPr>
            <w:tcW w:w="1427" w:type="dxa"/>
            <w:tcBorders>
              <w:top w:val="nil"/>
              <w:left w:val="nil"/>
              <w:bottom w:val="single" w:sz="4" w:space="0" w:color="auto"/>
              <w:right w:val="single" w:sz="4" w:space="0" w:color="auto"/>
            </w:tcBorders>
            <w:shd w:val="clear" w:color="auto" w:fill="auto"/>
            <w:noWrap/>
            <w:vAlign w:val="bottom"/>
            <w:hideMark/>
          </w:tcPr>
          <w:p w14:paraId="5DD833F6" w14:textId="77777777" w:rsidR="00FE461F" w:rsidRPr="005E4BEA" w:rsidRDefault="00FE461F" w:rsidP="00FE461F">
            <w:pPr>
              <w:spacing w:line="240" w:lineRule="auto"/>
              <w:rPr>
                <w:rFonts w:cs="Arial"/>
                <w:szCs w:val="20"/>
              </w:rPr>
            </w:pPr>
            <w:r w:rsidRPr="005E4BEA">
              <w:rPr>
                <w:rFonts w:cs="Arial"/>
                <w:szCs w:val="20"/>
              </w:rPr>
              <w:t xml:space="preserve">       0,0200     </w:t>
            </w:r>
          </w:p>
        </w:tc>
        <w:tc>
          <w:tcPr>
            <w:tcW w:w="1550" w:type="dxa"/>
            <w:tcBorders>
              <w:top w:val="nil"/>
              <w:left w:val="nil"/>
              <w:bottom w:val="single" w:sz="4" w:space="0" w:color="auto"/>
              <w:right w:val="single" w:sz="4" w:space="0" w:color="auto"/>
            </w:tcBorders>
            <w:shd w:val="clear" w:color="auto" w:fill="auto"/>
            <w:noWrap/>
            <w:vAlign w:val="bottom"/>
            <w:hideMark/>
          </w:tcPr>
          <w:p w14:paraId="4A4E4FF7" w14:textId="77777777" w:rsidR="00FE461F" w:rsidRPr="005E4BEA" w:rsidRDefault="00FE461F" w:rsidP="00FE461F">
            <w:pPr>
              <w:spacing w:line="240" w:lineRule="auto"/>
              <w:rPr>
                <w:rFonts w:cs="Arial"/>
                <w:szCs w:val="20"/>
              </w:rPr>
            </w:pPr>
            <w:r w:rsidRPr="005E4BEA">
              <w:rPr>
                <w:rFonts w:cs="Arial"/>
                <w:szCs w:val="20"/>
              </w:rPr>
              <w:t xml:space="preserve">                  2,00   </w:t>
            </w:r>
          </w:p>
        </w:tc>
        <w:tc>
          <w:tcPr>
            <w:tcW w:w="1559" w:type="dxa"/>
            <w:tcBorders>
              <w:top w:val="nil"/>
              <w:left w:val="nil"/>
              <w:bottom w:val="single" w:sz="4" w:space="0" w:color="auto"/>
              <w:right w:val="single" w:sz="4" w:space="0" w:color="auto"/>
            </w:tcBorders>
            <w:shd w:val="clear" w:color="auto" w:fill="auto"/>
            <w:noWrap/>
            <w:vAlign w:val="bottom"/>
            <w:hideMark/>
          </w:tcPr>
          <w:p w14:paraId="395E8A47" w14:textId="77777777" w:rsidR="00FE461F" w:rsidRPr="005E4BEA" w:rsidRDefault="00FE461F" w:rsidP="00FE461F">
            <w:pPr>
              <w:spacing w:line="240" w:lineRule="auto"/>
              <w:jc w:val="right"/>
              <w:rPr>
                <w:rFonts w:cs="Arial"/>
                <w:szCs w:val="20"/>
              </w:rPr>
            </w:pPr>
            <w:r w:rsidRPr="005E4BEA">
              <w:rPr>
                <w:rFonts w:cs="Arial"/>
                <w:szCs w:val="20"/>
              </w:rPr>
              <w:t>20,43</w:t>
            </w:r>
          </w:p>
        </w:tc>
      </w:tr>
      <w:tr w:rsidR="00FE461F" w:rsidRPr="005E4BEA" w14:paraId="2FDD09BC"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9A31AB1" w14:textId="77777777" w:rsidR="00FE461F" w:rsidRPr="005E4BEA" w:rsidRDefault="00FE461F" w:rsidP="00FE461F">
            <w:pPr>
              <w:spacing w:line="240" w:lineRule="auto"/>
              <w:rPr>
                <w:rFonts w:cs="Arial"/>
                <w:szCs w:val="20"/>
              </w:rPr>
            </w:pPr>
            <w:r w:rsidRPr="005E4BEA">
              <w:rPr>
                <w:rFonts w:cs="Arial"/>
                <w:szCs w:val="20"/>
              </w:rPr>
              <w:t>1 bolničar-negovalec na 7 postelj</w:t>
            </w:r>
          </w:p>
        </w:tc>
        <w:tc>
          <w:tcPr>
            <w:tcW w:w="1427" w:type="dxa"/>
            <w:tcBorders>
              <w:top w:val="nil"/>
              <w:left w:val="nil"/>
              <w:bottom w:val="single" w:sz="4" w:space="0" w:color="auto"/>
              <w:right w:val="single" w:sz="4" w:space="0" w:color="auto"/>
            </w:tcBorders>
            <w:shd w:val="clear" w:color="auto" w:fill="auto"/>
            <w:noWrap/>
            <w:vAlign w:val="bottom"/>
            <w:hideMark/>
          </w:tcPr>
          <w:p w14:paraId="4143CD7F" w14:textId="77777777" w:rsidR="00FE461F" w:rsidRPr="005E4BEA" w:rsidRDefault="00FE461F" w:rsidP="00FE461F">
            <w:pPr>
              <w:spacing w:line="240" w:lineRule="auto"/>
              <w:rPr>
                <w:rFonts w:cs="Arial"/>
                <w:szCs w:val="20"/>
              </w:rPr>
            </w:pPr>
            <w:r w:rsidRPr="005E4BEA">
              <w:rPr>
                <w:rFonts w:cs="Arial"/>
                <w:szCs w:val="20"/>
              </w:rPr>
              <w:t xml:space="preserve">       0,1429     </w:t>
            </w:r>
          </w:p>
        </w:tc>
        <w:tc>
          <w:tcPr>
            <w:tcW w:w="1550" w:type="dxa"/>
            <w:tcBorders>
              <w:top w:val="nil"/>
              <w:left w:val="nil"/>
              <w:bottom w:val="single" w:sz="4" w:space="0" w:color="auto"/>
              <w:right w:val="single" w:sz="4" w:space="0" w:color="auto"/>
            </w:tcBorders>
            <w:shd w:val="clear" w:color="auto" w:fill="auto"/>
            <w:noWrap/>
            <w:vAlign w:val="bottom"/>
            <w:hideMark/>
          </w:tcPr>
          <w:p w14:paraId="612F48C4" w14:textId="77777777" w:rsidR="00FE461F" w:rsidRPr="005E4BEA" w:rsidRDefault="00FE461F" w:rsidP="00FE461F">
            <w:pPr>
              <w:spacing w:line="240" w:lineRule="auto"/>
              <w:rPr>
                <w:rFonts w:cs="Arial"/>
                <w:szCs w:val="20"/>
              </w:rPr>
            </w:pPr>
            <w:r w:rsidRPr="005E4BEA">
              <w:rPr>
                <w:rFonts w:cs="Arial"/>
                <w:szCs w:val="20"/>
              </w:rPr>
              <w:t xml:space="preserve">                14,29   </w:t>
            </w:r>
          </w:p>
        </w:tc>
        <w:tc>
          <w:tcPr>
            <w:tcW w:w="1559" w:type="dxa"/>
            <w:tcBorders>
              <w:top w:val="nil"/>
              <w:left w:val="nil"/>
              <w:bottom w:val="single" w:sz="4" w:space="0" w:color="auto"/>
              <w:right w:val="single" w:sz="4" w:space="0" w:color="auto"/>
            </w:tcBorders>
            <w:shd w:val="clear" w:color="auto" w:fill="auto"/>
            <w:noWrap/>
            <w:vAlign w:val="bottom"/>
            <w:hideMark/>
          </w:tcPr>
          <w:p w14:paraId="6E0779EA" w14:textId="77777777" w:rsidR="00FE461F" w:rsidRPr="005E4BEA" w:rsidRDefault="00FE461F" w:rsidP="00FE461F">
            <w:pPr>
              <w:spacing w:line="240" w:lineRule="auto"/>
              <w:jc w:val="right"/>
              <w:rPr>
                <w:rFonts w:cs="Arial"/>
                <w:szCs w:val="20"/>
              </w:rPr>
            </w:pPr>
            <w:r w:rsidRPr="005E4BEA">
              <w:rPr>
                <w:rFonts w:cs="Arial"/>
                <w:szCs w:val="20"/>
              </w:rPr>
              <w:t>145,92</w:t>
            </w:r>
          </w:p>
        </w:tc>
      </w:tr>
      <w:tr w:rsidR="00FE461F" w:rsidRPr="005E4BEA" w14:paraId="44465456"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DCB315C"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427" w:type="dxa"/>
            <w:tcBorders>
              <w:top w:val="nil"/>
              <w:left w:val="nil"/>
              <w:bottom w:val="single" w:sz="4" w:space="0" w:color="auto"/>
              <w:right w:val="single" w:sz="4" w:space="0" w:color="auto"/>
            </w:tcBorders>
            <w:shd w:val="clear" w:color="auto" w:fill="auto"/>
            <w:noWrap/>
            <w:vAlign w:val="bottom"/>
            <w:hideMark/>
          </w:tcPr>
          <w:p w14:paraId="07317BE1" w14:textId="77777777" w:rsidR="00FE461F" w:rsidRPr="005E4BEA" w:rsidRDefault="00FE461F" w:rsidP="00FE461F">
            <w:pPr>
              <w:spacing w:line="240" w:lineRule="auto"/>
              <w:rPr>
                <w:rFonts w:cs="Arial"/>
                <w:b/>
                <w:bCs/>
                <w:szCs w:val="20"/>
              </w:rPr>
            </w:pPr>
            <w:r w:rsidRPr="005E4BEA">
              <w:rPr>
                <w:rFonts w:cs="Arial"/>
                <w:b/>
                <w:bCs/>
                <w:szCs w:val="20"/>
              </w:rPr>
              <w:t xml:space="preserve">       0,3452     </w:t>
            </w:r>
          </w:p>
        </w:tc>
        <w:tc>
          <w:tcPr>
            <w:tcW w:w="1550" w:type="dxa"/>
            <w:tcBorders>
              <w:top w:val="nil"/>
              <w:left w:val="nil"/>
              <w:bottom w:val="single" w:sz="4" w:space="0" w:color="auto"/>
              <w:right w:val="single" w:sz="4" w:space="0" w:color="auto"/>
            </w:tcBorders>
            <w:shd w:val="clear" w:color="auto" w:fill="auto"/>
            <w:noWrap/>
            <w:vAlign w:val="bottom"/>
            <w:hideMark/>
          </w:tcPr>
          <w:p w14:paraId="106A17F8" w14:textId="77777777" w:rsidR="00FE461F" w:rsidRPr="005E4BEA" w:rsidRDefault="00FE461F" w:rsidP="00FE461F">
            <w:pPr>
              <w:spacing w:line="240" w:lineRule="auto"/>
              <w:rPr>
                <w:rFonts w:cs="Arial"/>
                <w:b/>
                <w:bCs/>
                <w:szCs w:val="20"/>
              </w:rPr>
            </w:pPr>
            <w:r w:rsidRPr="005E4BEA">
              <w:rPr>
                <w:rFonts w:cs="Arial"/>
                <w:b/>
                <w:bCs/>
                <w:szCs w:val="20"/>
              </w:rPr>
              <w:t xml:space="preserve">                34,52   </w:t>
            </w:r>
          </w:p>
        </w:tc>
        <w:tc>
          <w:tcPr>
            <w:tcW w:w="1559" w:type="dxa"/>
            <w:tcBorders>
              <w:top w:val="nil"/>
              <w:left w:val="nil"/>
              <w:bottom w:val="single" w:sz="4" w:space="0" w:color="auto"/>
              <w:right w:val="single" w:sz="4" w:space="0" w:color="auto"/>
            </w:tcBorders>
            <w:shd w:val="clear" w:color="auto" w:fill="auto"/>
            <w:noWrap/>
            <w:vAlign w:val="bottom"/>
            <w:hideMark/>
          </w:tcPr>
          <w:p w14:paraId="51264588" w14:textId="77777777" w:rsidR="00FE461F" w:rsidRPr="005E4BEA" w:rsidRDefault="00FE461F" w:rsidP="00FE461F">
            <w:pPr>
              <w:spacing w:line="240" w:lineRule="auto"/>
              <w:jc w:val="right"/>
              <w:rPr>
                <w:rFonts w:cs="Arial"/>
                <w:b/>
                <w:bCs/>
                <w:szCs w:val="20"/>
              </w:rPr>
            </w:pPr>
            <w:r w:rsidRPr="005E4BEA">
              <w:rPr>
                <w:rFonts w:cs="Arial"/>
                <w:b/>
                <w:bCs/>
                <w:szCs w:val="20"/>
              </w:rPr>
              <w:t>329,04</w:t>
            </w:r>
          </w:p>
        </w:tc>
      </w:tr>
      <w:tr w:rsidR="00FE461F" w:rsidRPr="005E4BEA" w14:paraId="0F65093A" w14:textId="77777777" w:rsidTr="0016774B">
        <w:trPr>
          <w:trHeight w:val="264"/>
        </w:trPr>
        <w:tc>
          <w:tcPr>
            <w:tcW w:w="4253" w:type="dxa"/>
            <w:tcBorders>
              <w:top w:val="nil"/>
              <w:left w:val="nil"/>
              <w:bottom w:val="nil"/>
              <w:right w:val="nil"/>
            </w:tcBorders>
            <w:shd w:val="clear" w:color="auto" w:fill="auto"/>
            <w:noWrap/>
            <w:vAlign w:val="bottom"/>
            <w:hideMark/>
          </w:tcPr>
          <w:p w14:paraId="591E5097" w14:textId="77777777" w:rsidR="00FE461F" w:rsidRPr="005E4BEA" w:rsidRDefault="00FE461F" w:rsidP="00FE461F">
            <w:pPr>
              <w:spacing w:line="240" w:lineRule="auto"/>
              <w:jc w:val="right"/>
              <w:rPr>
                <w:rFonts w:cs="Arial"/>
                <w:b/>
                <w:bCs/>
                <w:szCs w:val="20"/>
              </w:rPr>
            </w:pPr>
          </w:p>
        </w:tc>
        <w:tc>
          <w:tcPr>
            <w:tcW w:w="1427" w:type="dxa"/>
            <w:tcBorders>
              <w:top w:val="nil"/>
              <w:left w:val="nil"/>
              <w:bottom w:val="nil"/>
              <w:right w:val="nil"/>
            </w:tcBorders>
            <w:shd w:val="clear" w:color="auto" w:fill="auto"/>
            <w:noWrap/>
            <w:vAlign w:val="bottom"/>
            <w:hideMark/>
          </w:tcPr>
          <w:p w14:paraId="7B069987" w14:textId="77777777" w:rsidR="00FE461F" w:rsidRPr="005E4BEA" w:rsidRDefault="00FE461F" w:rsidP="00FE461F">
            <w:pPr>
              <w:spacing w:line="240" w:lineRule="auto"/>
              <w:rPr>
                <w:rFonts w:cs="Arial"/>
                <w:szCs w:val="20"/>
              </w:rPr>
            </w:pPr>
          </w:p>
        </w:tc>
        <w:tc>
          <w:tcPr>
            <w:tcW w:w="1550" w:type="dxa"/>
            <w:tcBorders>
              <w:top w:val="nil"/>
              <w:left w:val="nil"/>
              <w:bottom w:val="nil"/>
              <w:right w:val="nil"/>
            </w:tcBorders>
            <w:shd w:val="clear" w:color="auto" w:fill="auto"/>
            <w:noWrap/>
            <w:vAlign w:val="bottom"/>
            <w:hideMark/>
          </w:tcPr>
          <w:p w14:paraId="473CC6BB"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01A0C2FD" w14:textId="77777777" w:rsidR="00FE461F" w:rsidRPr="005E4BEA" w:rsidRDefault="00FE461F" w:rsidP="00FE461F">
            <w:pPr>
              <w:spacing w:line="240" w:lineRule="auto"/>
              <w:rPr>
                <w:rFonts w:cs="Arial"/>
                <w:szCs w:val="20"/>
              </w:rPr>
            </w:pPr>
          </w:p>
        </w:tc>
      </w:tr>
      <w:tr w:rsidR="00FE461F" w:rsidRPr="005E4BEA" w14:paraId="2A2C0177" w14:textId="77777777" w:rsidTr="0016774B">
        <w:trPr>
          <w:trHeight w:val="264"/>
        </w:trPr>
        <w:tc>
          <w:tcPr>
            <w:tcW w:w="4253" w:type="dxa"/>
            <w:tcBorders>
              <w:top w:val="nil"/>
              <w:left w:val="nil"/>
              <w:bottom w:val="nil"/>
              <w:right w:val="nil"/>
            </w:tcBorders>
            <w:shd w:val="clear" w:color="auto" w:fill="auto"/>
            <w:noWrap/>
            <w:vAlign w:val="bottom"/>
            <w:hideMark/>
          </w:tcPr>
          <w:p w14:paraId="321FBB15" w14:textId="77777777" w:rsidR="00FE461F" w:rsidRPr="005E4BEA" w:rsidRDefault="00FE461F" w:rsidP="00FE461F">
            <w:pPr>
              <w:spacing w:line="240" w:lineRule="auto"/>
              <w:rPr>
                <w:rFonts w:cs="Arial"/>
                <w:szCs w:val="20"/>
              </w:rPr>
            </w:pPr>
            <w:r w:rsidRPr="005E4BEA">
              <w:rPr>
                <w:rFonts w:cs="Arial"/>
                <w:szCs w:val="20"/>
              </w:rPr>
              <w:t>NEGA III</w:t>
            </w:r>
          </w:p>
        </w:tc>
        <w:tc>
          <w:tcPr>
            <w:tcW w:w="1427" w:type="dxa"/>
            <w:tcBorders>
              <w:top w:val="nil"/>
              <w:left w:val="nil"/>
              <w:bottom w:val="nil"/>
              <w:right w:val="nil"/>
            </w:tcBorders>
            <w:shd w:val="clear" w:color="auto" w:fill="auto"/>
            <w:noWrap/>
            <w:vAlign w:val="bottom"/>
            <w:hideMark/>
          </w:tcPr>
          <w:p w14:paraId="0658DEC6" w14:textId="77777777" w:rsidR="00FE461F" w:rsidRPr="005E4BEA" w:rsidRDefault="00FE461F" w:rsidP="00FE461F">
            <w:pPr>
              <w:spacing w:line="240" w:lineRule="auto"/>
              <w:rPr>
                <w:rFonts w:cs="Arial"/>
                <w:szCs w:val="20"/>
              </w:rPr>
            </w:pPr>
          </w:p>
        </w:tc>
        <w:tc>
          <w:tcPr>
            <w:tcW w:w="1550" w:type="dxa"/>
            <w:tcBorders>
              <w:top w:val="nil"/>
              <w:left w:val="nil"/>
              <w:bottom w:val="nil"/>
              <w:right w:val="nil"/>
            </w:tcBorders>
            <w:shd w:val="clear" w:color="auto" w:fill="auto"/>
            <w:noWrap/>
            <w:vAlign w:val="bottom"/>
            <w:hideMark/>
          </w:tcPr>
          <w:p w14:paraId="1A670E5D"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7E9EB8FF" w14:textId="77777777" w:rsidR="00FE461F" w:rsidRPr="005E4BEA" w:rsidRDefault="00FE461F" w:rsidP="00FE461F">
            <w:pPr>
              <w:spacing w:line="240" w:lineRule="auto"/>
              <w:rPr>
                <w:rFonts w:cs="Arial"/>
                <w:szCs w:val="20"/>
              </w:rPr>
            </w:pPr>
          </w:p>
        </w:tc>
      </w:tr>
      <w:tr w:rsidR="00FE461F" w:rsidRPr="005E4BEA" w14:paraId="5B5E063B" w14:textId="77777777" w:rsidTr="0016774B">
        <w:trPr>
          <w:trHeight w:val="792"/>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106F9" w14:textId="77777777" w:rsidR="00FE461F" w:rsidRPr="005E4BEA" w:rsidRDefault="00FE461F" w:rsidP="00FE461F">
            <w:pPr>
              <w:spacing w:line="240" w:lineRule="auto"/>
              <w:jc w:val="center"/>
              <w:rPr>
                <w:rFonts w:cs="Arial"/>
                <w:szCs w:val="20"/>
              </w:rPr>
            </w:pPr>
            <w:r w:rsidRPr="005E4BEA">
              <w:rPr>
                <w:rFonts w:cs="Arial"/>
                <w:szCs w:val="20"/>
              </w:rPr>
              <w:lastRenderedPageBreak/>
              <w:t> </w:t>
            </w:r>
          </w:p>
        </w:tc>
        <w:tc>
          <w:tcPr>
            <w:tcW w:w="1427" w:type="dxa"/>
            <w:tcBorders>
              <w:top w:val="single" w:sz="4" w:space="0" w:color="auto"/>
              <w:left w:val="nil"/>
              <w:bottom w:val="single" w:sz="4" w:space="0" w:color="auto"/>
              <w:right w:val="single" w:sz="4" w:space="0" w:color="auto"/>
            </w:tcBorders>
            <w:shd w:val="clear" w:color="auto" w:fill="auto"/>
            <w:vAlign w:val="bottom"/>
            <w:hideMark/>
          </w:tcPr>
          <w:p w14:paraId="5AB56901"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50" w:type="dxa"/>
            <w:tcBorders>
              <w:top w:val="single" w:sz="4" w:space="0" w:color="auto"/>
              <w:left w:val="nil"/>
              <w:bottom w:val="single" w:sz="4" w:space="0" w:color="auto"/>
              <w:right w:val="single" w:sz="4" w:space="0" w:color="auto"/>
            </w:tcBorders>
            <w:shd w:val="clear" w:color="auto" w:fill="auto"/>
            <w:vAlign w:val="bottom"/>
            <w:hideMark/>
          </w:tcPr>
          <w:p w14:paraId="7C8A3097" w14:textId="77777777" w:rsidR="00FE461F" w:rsidRPr="005E4BEA" w:rsidRDefault="00FE461F" w:rsidP="00FE461F">
            <w:pPr>
              <w:spacing w:line="240" w:lineRule="auto"/>
              <w:jc w:val="center"/>
              <w:rPr>
                <w:rFonts w:cs="Arial"/>
                <w:szCs w:val="20"/>
              </w:rPr>
            </w:pPr>
            <w:r w:rsidRPr="005E4BEA">
              <w:rPr>
                <w:rFonts w:cs="Arial"/>
                <w:szCs w:val="20"/>
              </w:rPr>
              <w:t xml:space="preserve">4.875.260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C76F9E7"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42DB78CC"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121F42E" w14:textId="77777777" w:rsidR="00FE461F" w:rsidRPr="005E4BEA" w:rsidRDefault="00FE461F" w:rsidP="00FE461F">
            <w:pPr>
              <w:spacing w:line="240" w:lineRule="auto"/>
              <w:rPr>
                <w:rFonts w:cs="Arial"/>
                <w:szCs w:val="20"/>
              </w:rPr>
            </w:pPr>
            <w:r w:rsidRPr="005E4BEA">
              <w:rPr>
                <w:rFonts w:cs="Arial"/>
                <w:szCs w:val="20"/>
              </w:rPr>
              <w:t>1 tehnik zdravstvene nege na 5 postelj</w:t>
            </w:r>
          </w:p>
        </w:tc>
        <w:tc>
          <w:tcPr>
            <w:tcW w:w="1427" w:type="dxa"/>
            <w:tcBorders>
              <w:top w:val="nil"/>
              <w:left w:val="nil"/>
              <w:bottom w:val="single" w:sz="4" w:space="0" w:color="auto"/>
              <w:right w:val="single" w:sz="4" w:space="0" w:color="auto"/>
            </w:tcBorders>
            <w:shd w:val="clear" w:color="auto" w:fill="auto"/>
            <w:noWrap/>
            <w:vAlign w:val="bottom"/>
            <w:hideMark/>
          </w:tcPr>
          <w:p w14:paraId="4EA14E05" w14:textId="77777777" w:rsidR="00FE461F" w:rsidRPr="005E4BEA" w:rsidRDefault="00FE461F" w:rsidP="00FE461F">
            <w:pPr>
              <w:spacing w:line="240" w:lineRule="auto"/>
              <w:rPr>
                <w:rFonts w:cs="Arial"/>
                <w:szCs w:val="20"/>
              </w:rPr>
            </w:pPr>
            <w:r w:rsidRPr="005E4BEA">
              <w:rPr>
                <w:rFonts w:cs="Arial"/>
                <w:szCs w:val="20"/>
              </w:rPr>
              <w:t xml:space="preserve">       0,2000     </w:t>
            </w:r>
          </w:p>
        </w:tc>
        <w:tc>
          <w:tcPr>
            <w:tcW w:w="1550" w:type="dxa"/>
            <w:tcBorders>
              <w:top w:val="nil"/>
              <w:left w:val="nil"/>
              <w:bottom w:val="single" w:sz="4" w:space="0" w:color="auto"/>
              <w:right w:val="single" w:sz="4" w:space="0" w:color="auto"/>
            </w:tcBorders>
            <w:shd w:val="clear" w:color="auto" w:fill="auto"/>
            <w:noWrap/>
            <w:vAlign w:val="bottom"/>
            <w:hideMark/>
          </w:tcPr>
          <w:p w14:paraId="1D3AF055" w14:textId="77777777" w:rsidR="00FE461F" w:rsidRPr="005E4BEA" w:rsidRDefault="00FE461F" w:rsidP="00FE461F">
            <w:pPr>
              <w:spacing w:line="240" w:lineRule="auto"/>
              <w:rPr>
                <w:rFonts w:cs="Arial"/>
                <w:szCs w:val="20"/>
              </w:rPr>
            </w:pPr>
            <w:r w:rsidRPr="005E4BEA">
              <w:rPr>
                <w:rFonts w:cs="Arial"/>
                <w:szCs w:val="20"/>
              </w:rPr>
              <w:t xml:space="preserve">                20,00   </w:t>
            </w:r>
          </w:p>
        </w:tc>
        <w:tc>
          <w:tcPr>
            <w:tcW w:w="1559" w:type="dxa"/>
            <w:tcBorders>
              <w:top w:val="nil"/>
              <w:left w:val="nil"/>
              <w:bottom w:val="single" w:sz="4" w:space="0" w:color="auto"/>
              <w:right w:val="single" w:sz="4" w:space="0" w:color="auto"/>
            </w:tcBorders>
            <w:shd w:val="clear" w:color="auto" w:fill="auto"/>
            <w:noWrap/>
            <w:vAlign w:val="bottom"/>
            <w:hideMark/>
          </w:tcPr>
          <w:p w14:paraId="7922B089" w14:textId="77777777" w:rsidR="00FE461F" w:rsidRPr="005E4BEA" w:rsidRDefault="00FE461F" w:rsidP="00FE461F">
            <w:pPr>
              <w:spacing w:line="240" w:lineRule="auto"/>
              <w:jc w:val="right"/>
              <w:rPr>
                <w:rFonts w:cs="Arial"/>
                <w:szCs w:val="20"/>
              </w:rPr>
            </w:pPr>
            <w:r w:rsidRPr="005E4BEA">
              <w:rPr>
                <w:rFonts w:cs="Arial"/>
                <w:szCs w:val="20"/>
              </w:rPr>
              <w:t>2671,38</w:t>
            </w:r>
          </w:p>
        </w:tc>
      </w:tr>
      <w:tr w:rsidR="00FE461F" w:rsidRPr="005E4BEA" w14:paraId="391924E3"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8B5FBDA" w14:textId="77777777" w:rsidR="00FE461F" w:rsidRPr="005E4BEA" w:rsidRDefault="00FE461F" w:rsidP="00FE461F">
            <w:pPr>
              <w:spacing w:line="240" w:lineRule="auto"/>
              <w:rPr>
                <w:rFonts w:cs="Arial"/>
                <w:szCs w:val="20"/>
              </w:rPr>
            </w:pPr>
            <w:r w:rsidRPr="005E4BEA">
              <w:rPr>
                <w:rFonts w:cs="Arial"/>
                <w:szCs w:val="20"/>
              </w:rPr>
              <w:t>1 dipl. fizioterapevt/višji fizioterapevt na 30 postelj</w:t>
            </w:r>
          </w:p>
        </w:tc>
        <w:tc>
          <w:tcPr>
            <w:tcW w:w="1427" w:type="dxa"/>
            <w:tcBorders>
              <w:top w:val="nil"/>
              <w:left w:val="nil"/>
              <w:bottom w:val="single" w:sz="4" w:space="0" w:color="auto"/>
              <w:right w:val="single" w:sz="4" w:space="0" w:color="auto"/>
            </w:tcBorders>
            <w:shd w:val="clear" w:color="auto" w:fill="auto"/>
            <w:noWrap/>
            <w:vAlign w:val="bottom"/>
            <w:hideMark/>
          </w:tcPr>
          <w:p w14:paraId="788BE0EA" w14:textId="77777777" w:rsidR="00FE461F" w:rsidRPr="005E4BEA" w:rsidRDefault="00FE461F" w:rsidP="00FE461F">
            <w:pPr>
              <w:spacing w:line="240" w:lineRule="auto"/>
              <w:rPr>
                <w:rFonts w:cs="Arial"/>
                <w:szCs w:val="20"/>
              </w:rPr>
            </w:pPr>
            <w:r w:rsidRPr="005E4BEA">
              <w:rPr>
                <w:rFonts w:cs="Arial"/>
                <w:szCs w:val="20"/>
              </w:rPr>
              <w:t xml:space="preserve">       0,0333     </w:t>
            </w:r>
          </w:p>
        </w:tc>
        <w:tc>
          <w:tcPr>
            <w:tcW w:w="1550" w:type="dxa"/>
            <w:tcBorders>
              <w:top w:val="nil"/>
              <w:left w:val="nil"/>
              <w:bottom w:val="single" w:sz="4" w:space="0" w:color="auto"/>
              <w:right w:val="single" w:sz="4" w:space="0" w:color="auto"/>
            </w:tcBorders>
            <w:shd w:val="clear" w:color="auto" w:fill="auto"/>
            <w:noWrap/>
            <w:vAlign w:val="bottom"/>
            <w:hideMark/>
          </w:tcPr>
          <w:p w14:paraId="294061A0" w14:textId="77777777" w:rsidR="00FE461F" w:rsidRPr="005E4BEA" w:rsidRDefault="00FE461F" w:rsidP="00FE461F">
            <w:pPr>
              <w:spacing w:line="240" w:lineRule="auto"/>
              <w:rPr>
                <w:rFonts w:cs="Arial"/>
                <w:szCs w:val="20"/>
              </w:rPr>
            </w:pPr>
            <w:r w:rsidRPr="005E4BEA">
              <w:rPr>
                <w:rFonts w:cs="Arial"/>
                <w:szCs w:val="20"/>
              </w:rPr>
              <w:t xml:space="preserve">                  3,33   </w:t>
            </w:r>
          </w:p>
        </w:tc>
        <w:tc>
          <w:tcPr>
            <w:tcW w:w="1559" w:type="dxa"/>
            <w:tcBorders>
              <w:top w:val="nil"/>
              <w:left w:val="nil"/>
              <w:bottom w:val="single" w:sz="4" w:space="0" w:color="auto"/>
              <w:right w:val="single" w:sz="4" w:space="0" w:color="auto"/>
            </w:tcBorders>
            <w:shd w:val="clear" w:color="auto" w:fill="auto"/>
            <w:noWrap/>
            <w:vAlign w:val="bottom"/>
            <w:hideMark/>
          </w:tcPr>
          <w:p w14:paraId="25EE1144" w14:textId="77777777" w:rsidR="00FE461F" w:rsidRPr="005E4BEA" w:rsidRDefault="00FE461F" w:rsidP="00FE461F">
            <w:pPr>
              <w:spacing w:line="240" w:lineRule="auto"/>
              <w:jc w:val="right"/>
              <w:rPr>
                <w:rFonts w:cs="Arial"/>
                <w:szCs w:val="20"/>
              </w:rPr>
            </w:pPr>
            <w:r w:rsidRPr="005E4BEA">
              <w:rPr>
                <w:rFonts w:cs="Arial"/>
                <w:szCs w:val="20"/>
              </w:rPr>
              <w:t>445,23</w:t>
            </w:r>
          </w:p>
        </w:tc>
      </w:tr>
      <w:tr w:rsidR="00FE461F" w:rsidRPr="005E4BEA" w14:paraId="5E8160FC"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4A8E15F" w14:textId="77777777" w:rsidR="00FE461F" w:rsidRPr="005E4BEA" w:rsidRDefault="00FE461F" w:rsidP="00FE461F">
            <w:pPr>
              <w:spacing w:line="240" w:lineRule="auto"/>
              <w:rPr>
                <w:rFonts w:cs="Arial"/>
                <w:szCs w:val="20"/>
              </w:rPr>
            </w:pPr>
            <w:r w:rsidRPr="005E4BEA">
              <w:rPr>
                <w:rFonts w:cs="Arial"/>
                <w:szCs w:val="20"/>
              </w:rPr>
              <w:t>1 diplomirana med. sestra/višja med. sestra na 20 postelj</w:t>
            </w:r>
          </w:p>
        </w:tc>
        <w:tc>
          <w:tcPr>
            <w:tcW w:w="1427" w:type="dxa"/>
            <w:tcBorders>
              <w:top w:val="nil"/>
              <w:left w:val="nil"/>
              <w:bottom w:val="single" w:sz="4" w:space="0" w:color="auto"/>
              <w:right w:val="single" w:sz="4" w:space="0" w:color="auto"/>
            </w:tcBorders>
            <w:shd w:val="clear" w:color="auto" w:fill="auto"/>
            <w:noWrap/>
            <w:vAlign w:val="bottom"/>
            <w:hideMark/>
          </w:tcPr>
          <w:p w14:paraId="2DDAC93D" w14:textId="77777777" w:rsidR="00FE461F" w:rsidRPr="005E4BEA" w:rsidRDefault="00FE461F" w:rsidP="00FE461F">
            <w:pPr>
              <w:spacing w:line="240" w:lineRule="auto"/>
              <w:rPr>
                <w:rFonts w:cs="Arial"/>
                <w:szCs w:val="20"/>
              </w:rPr>
            </w:pPr>
            <w:r w:rsidRPr="005E4BEA">
              <w:rPr>
                <w:rFonts w:cs="Arial"/>
                <w:szCs w:val="20"/>
              </w:rPr>
              <w:t xml:space="preserve">       0,0500     </w:t>
            </w:r>
          </w:p>
        </w:tc>
        <w:tc>
          <w:tcPr>
            <w:tcW w:w="1550" w:type="dxa"/>
            <w:tcBorders>
              <w:top w:val="nil"/>
              <w:left w:val="nil"/>
              <w:bottom w:val="single" w:sz="4" w:space="0" w:color="auto"/>
              <w:right w:val="single" w:sz="4" w:space="0" w:color="auto"/>
            </w:tcBorders>
            <w:shd w:val="clear" w:color="auto" w:fill="auto"/>
            <w:noWrap/>
            <w:vAlign w:val="bottom"/>
            <w:hideMark/>
          </w:tcPr>
          <w:p w14:paraId="3D66E6D4" w14:textId="77777777" w:rsidR="00FE461F" w:rsidRPr="005E4BEA" w:rsidRDefault="00FE461F" w:rsidP="00FE461F">
            <w:pPr>
              <w:spacing w:line="240" w:lineRule="auto"/>
              <w:rPr>
                <w:rFonts w:cs="Arial"/>
                <w:szCs w:val="20"/>
              </w:rPr>
            </w:pPr>
            <w:r w:rsidRPr="005E4BEA">
              <w:rPr>
                <w:rFonts w:cs="Arial"/>
                <w:szCs w:val="20"/>
              </w:rPr>
              <w:t xml:space="preserve">                  5,00   </w:t>
            </w:r>
          </w:p>
        </w:tc>
        <w:tc>
          <w:tcPr>
            <w:tcW w:w="1559" w:type="dxa"/>
            <w:tcBorders>
              <w:top w:val="nil"/>
              <w:left w:val="nil"/>
              <w:bottom w:val="single" w:sz="4" w:space="0" w:color="auto"/>
              <w:right w:val="single" w:sz="4" w:space="0" w:color="auto"/>
            </w:tcBorders>
            <w:shd w:val="clear" w:color="auto" w:fill="auto"/>
            <w:noWrap/>
            <w:vAlign w:val="bottom"/>
            <w:hideMark/>
          </w:tcPr>
          <w:p w14:paraId="2FB2194D" w14:textId="77777777" w:rsidR="00FE461F" w:rsidRPr="005E4BEA" w:rsidRDefault="00FE461F" w:rsidP="00FE461F">
            <w:pPr>
              <w:spacing w:line="240" w:lineRule="auto"/>
              <w:jc w:val="right"/>
              <w:rPr>
                <w:rFonts w:cs="Arial"/>
                <w:szCs w:val="20"/>
              </w:rPr>
            </w:pPr>
            <w:r w:rsidRPr="005E4BEA">
              <w:rPr>
                <w:rFonts w:cs="Arial"/>
                <w:szCs w:val="20"/>
              </w:rPr>
              <w:t>667,84</w:t>
            </w:r>
          </w:p>
        </w:tc>
      </w:tr>
      <w:tr w:rsidR="00FE461F" w:rsidRPr="005E4BEA" w14:paraId="6E4A7151"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4727E5D" w14:textId="77777777" w:rsidR="00FE461F" w:rsidRPr="005E4BEA" w:rsidRDefault="00FE461F" w:rsidP="00FE461F">
            <w:pPr>
              <w:spacing w:line="240" w:lineRule="auto"/>
              <w:rPr>
                <w:rFonts w:cs="Arial"/>
                <w:szCs w:val="20"/>
              </w:rPr>
            </w:pPr>
            <w:r w:rsidRPr="005E4BEA">
              <w:rPr>
                <w:rFonts w:cs="Arial"/>
                <w:szCs w:val="20"/>
              </w:rPr>
              <w:t>1 dipl. del. terapevt/ višji del. terapevt na 30 postelj</w:t>
            </w:r>
          </w:p>
        </w:tc>
        <w:tc>
          <w:tcPr>
            <w:tcW w:w="1427" w:type="dxa"/>
            <w:tcBorders>
              <w:top w:val="nil"/>
              <w:left w:val="nil"/>
              <w:bottom w:val="single" w:sz="4" w:space="0" w:color="auto"/>
              <w:right w:val="single" w:sz="4" w:space="0" w:color="auto"/>
            </w:tcBorders>
            <w:shd w:val="clear" w:color="auto" w:fill="auto"/>
            <w:noWrap/>
            <w:vAlign w:val="bottom"/>
            <w:hideMark/>
          </w:tcPr>
          <w:p w14:paraId="57666EF4" w14:textId="77777777" w:rsidR="00FE461F" w:rsidRPr="005E4BEA" w:rsidRDefault="00FE461F" w:rsidP="00FE461F">
            <w:pPr>
              <w:spacing w:line="240" w:lineRule="auto"/>
              <w:rPr>
                <w:rFonts w:cs="Arial"/>
                <w:szCs w:val="20"/>
              </w:rPr>
            </w:pPr>
            <w:r w:rsidRPr="005E4BEA">
              <w:rPr>
                <w:rFonts w:cs="Arial"/>
                <w:szCs w:val="20"/>
              </w:rPr>
              <w:t xml:space="preserve">       0,0333     </w:t>
            </w:r>
          </w:p>
        </w:tc>
        <w:tc>
          <w:tcPr>
            <w:tcW w:w="1550" w:type="dxa"/>
            <w:tcBorders>
              <w:top w:val="nil"/>
              <w:left w:val="nil"/>
              <w:bottom w:val="single" w:sz="4" w:space="0" w:color="auto"/>
              <w:right w:val="single" w:sz="4" w:space="0" w:color="auto"/>
            </w:tcBorders>
            <w:shd w:val="clear" w:color="auto" w:fill="auto"/>
            <w:noWrap/>
            <w:vAlign w:val="bottom"/>
            <w:hideMark/>
          </w:tcPr>
          <w:p w14:paraId="0FBB7730" w14:textId="77777777" w:rsidR="00FE461F" w:rsidRPr="005E4BEA" w:rsidRDefault="00FE461F" w:rsidP="00FE461F">
            <w:pPr>
              <w:spacing w:line="240" w:lineRule="auto"/>
              <w:rPr>
                <w:rFonts w:cs="Arial"/>
                <w:szCs w:val="20"/>
              </w:rPr>
            </w:pPr>
            <w:r w:rsidRPr="005E4BEA">
              <w:rPr>
                <w:rFonts w:cs="Arial"/>
                <w:szCs w:val="20"/>
              </w:rPr>
              <w:t xml:space="preserve">                  3,33   </w:t>
            </w:r>
          </w:p>
        </w:tc>
        <w:tc>
          <w:tcPr>
            <w:tcW w:w="1559" w:type="dxa"/>
            <w:tcBorders>
              <w:top w:val="nil"/>
              <w:left w:val="nil"/>
              <w:bottom w:val="single" w:sz="4" w:space="0" w:color="auto"/>
              <w:right w:val="single" w:sz="4" w:space="0" w:color="auto"/>
            </w:tcBorders>
            <w:shd w:val="clear" w:color="auto" w:fill="auto"/>
            <w:noWrap/>
            <w:vAlign w:val="bottom"/>
            <w:hideMark/>
          </w:tcPr>
          <w:p w14:paraId="25D8192C" w14:textId="77777777" w:rsidR="00FE461F" w:rsidRPr="005E4BEA" w:rsidRDefault="00FE461F" w:rsidP="00FE461F">
            <w:pPr>
              <w:spacing w:line="240" w:lineRule="auto"/>
              <w:jc w:val="right"/>
              <w:rPr>
                <w:rFonts w:cs="Arial"/>
                <w:szCs w:val="20"/>
              </w:rPr>
            </w:pPr>
            <w:r w:rsidRPr="005E4BEA">
              <w:rPr>
                <w:rFonts w:cs="Arial"/>
                <w:szCs w:val="20"/>
              </w:rPr>
              <w:t>445,23</w:t>
            </w:r>
          </w:p>
        </w:tc>
      </w:tr>
      <w:tr w:rsidR="00FE461F" w:rsidRPr="005E4BEA" w14:paraId="426F0866"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8EA2371" w14:textId="77777777" w:rsidR="00FE461F" w:rsidRPr="005E4BEA" w:rsidRDefault="00FE461F" w:rsidP="00FE461F">
            <w:pPr>
              <w:spacing w:line="240" w:lineRule="auto"/>
              <w:rPr>
                <w:rFonts w:cs="Arial"/>
                <w:szCs w:val="20"/>
              </w:rPr>
            </w:pPr>
            <w:r w:rsidRPr="005E4BEA">
              <w:rPr>
                <w:rFonts w:cs="Arial"/>
                <w:szCs w:val="20"/>
              </w:rPr>
              <w:t>1 bolničar-negovalec na 5 postelj</w:t>
            </w:r>
          </w:p>
        </w:tc>
        <w:tc>
          <w:tcPr>
            <w:tcW w:w="1427" w:type="dxa"/>
            <w:tcBorders>
              <w:top w:val="nil"/>
              <w:left w:val="nil"/>
              <w:bottom w:val="single" w:sz="4" w:space="0" w:color="auto"/>
              <w:right w:val="single" w:sz="4" w:space="0" w:color="auto"/>
            </w:tcBorders>
            <w:shd w:val="clear" w:color="auto" w:fill="auto"/>
            <w:noWrap/>
            <w:vAlign w:val="bottom"/>
            <w:hideMark/>
          </w:tcPr>
          <w:p w14:paraId="095E7900" w14:textId="77777777" w:rsidR="00FE461F" w:rsidRPr="005E4BEA" w:rsidRDefault="00FE461F" w:rsidP="00FE461F">
            <w:pPr>
              <w:spacing w:line="240" w:lineRule="auto"/>
              <w:rPr>
                <w:rFonts w:cs="Arial"/>
                <w:szCs w:val="20"/>
              </w:rPr>
            </w:pPr>
            <w:r w:rsidRPr="005E4BEA">
              <w:rPr>
                <w:rFonts w:cs="Arial"/>
                <w:szCs w:val="20"/>
              </w:rPr>
              <w:t xml:space="preserve">       0,2000     </w:t>
            </w:r>
          </w:p>
        </w:tc>
        <w:tc>
          <w:tcPr>
            <w:tcW w:w="1550" w:type="dxa"/>
            <w:tcBorders>
              <w:top w:val="nil"/>
              <w:left w:val="nil"/>
              <w:bottom w:val="single" w:sz="4" w:space="0" w:color="auto"/>
              <w:right w:val="single" w:sz="4" w:space="0" w:color="auto"/>
            </w:tcBorders>
            <w:shd w:val="clear" w:color="auto" w:fill="auto"/>
            <w:noWrap/>
            <w:vAlign w:val="bottom"/>
            <w:hideMark/>
          </w:tcPr>
          <w:p w14:paraId="0854AB67" w14:textId="77777777" w:rsidR="00FE461F" w:rsidRPr="005E4BEA" w:rsidRDefault="00FE461F" w:rsidP="00FE461F">
            <w:pPr>
              <w:spacing w:line="240" w:lineRule="auto"/>
              <w:rPr>
                <w:rFonts w:cs="Arial"/>
                <w:szCs w:val="20"/>
              </w:rPr>
            </w:pPr>
            <w:r w:rsidRPr="005E4BEA">
              <w:rPr>
                <w:rFonts w:cs="Arial"/>
                <w:szCs w:val="20"/>
              </w:rPr>
              <w:t xml:space="preserve">                20,00   </w:t>
            </w:r>
          </w:p>
        </w:tc>
        <w:tc>
          <w:tcPr>
            <w:tcW w:w="1559" w:type="dxa"/>
            <w:tcBorders>
              <w:top w:val="nil"/>
              <w:left w:val="nil"/>
              <w:bottom w:val="single" w:sz="4" w:space="0" w:color="auto"/>
              <w:right w:val="single" w:sz="4" w:space="0" w:color="auto"/>
            </w:tcBorders>
            <w:shd w:val="clear" w:color="auto" w:fill="auto"/>
            <w:noWrap/>
            <w:vAlign w:val="bottom"/>
            <w:hideMark/>
          </w:tcPr>
          <w:p w14:paraId="33403CF3" w14:textId="77777777" w:rsidR="00FE461F" w:rsidRPr="005E4BEA" w:rsidRDefault="00FE461F" w:rsidP="00FE461F">
            <w:pPr>
              <w:spacing w:line="240" w:lineRule="auto"/>
              <w:jc w:val="right"/>
              <w:rPr>
                <w:rFonts w:cs="Arial"/>
                <w:szCs w:val="20"/>
              </w:rPr>
            </w:pPr>
            <w:r w:rsidRPr="005E4BEA">
              <w:rPr>
                <w:rFonts w:cs="Arial"/>
                <w:szCs w:val="20"/>
              </w:rPr>
              <w:t>2671,38</w:t>
            </w:r>
          </w:p>
        </w:tc>
      </w:tr>
      <w:tr w:rsidR="00FE461F" w:rsidRPr="005E4BEA" w14:paraId="5F42FD6A" w14:textId="77777777" w:rsidTr="0016774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8A20DE4"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427" w:type="dxa"/>
            <w:tcBorders>
              <w:top w:val="nil"/>
              <w:left w:val="nil"/>
              <w:bottom w:val="single" w:sz="4" w:space="0" w:color="auto"/>
              <w:right w:val="single" w:sz="4" w:space="0" w:color="auto"/>
            </w:tcBorders>
            <w:shd w:val="clear" w:color="auto" w:fill="auto"/>
            <w:noWrap/>
            <w:vAlign w:val="bottom"/>
            <w:hideMark/>
          </w:tcPr>
          <w:p w14:paraId="3BFBBFB1" w14:textId="77777777" w:rsidR="00FE461F" w:rsidRPr="005E4BEA" w:rsidRDefault="00FE461F" w:rsidP="00FE461F">
            <w:pPr>
              <w:spacing w:line="240" w:lineRule="auto"/>
              <w:rPr>
                <w:rFonts w:cs="Arial"/>
                <w:b/>
                <w:bCs/>
                <w:szCs w:val="20"/>
              </w:rPr>
            </w:pPr>
            <w:r w:rsidRPr="005E4BEA">
              <w:rPr>
                <w:rFonts w:cs="Arial"/>
                <w:b/>
                <w:bCs/>
                <w:szCs w:val="20"/>
              </w:rPr>
              <w:t xml:space="preserve">       0,4713     </w:t>
            </w:r>
          </w:p>
        </w:tc>
        <w:tc>
          <w:tcPr>
            <w:tcW w:w="1550" w:type="dxa"/>
            <w:tcBorders>
              <w:top w:val="nil"/>
              <w:left w:val="nil"/>
              <w:bottom w:val="single" w:sz="4" w:space="0" w:color="auto"/>
              <w:right w:val="single" w:sz="4" w:space="0" w:color="auto"/>
            </w:tcBorders>
            <w:shd w:val="clear" w:color="auto" w:fill="auto"/>
            <w:noWrap/>
            <w:vAlign w:val="bottom"/>
            <w:hideMark/>
          </w:tcPr>
          <w:p w14:paraId="43F5B74D" w14:textId="77777777" w:rsidR="00FE461F" w:rsidRPr="005E4BEA" w:rsidRDefault="00FE461F" w:rsidP="00FE461F">
            <w:pPr>
              <w:spacing w:line="240" w:lineRule="auto"/>
              <w:rPr>
                <w:rFonts w:cs="Arial"/>
                <w:b/>
                <w:bCs/>
                <w:szCs w:val="20"/>
              </w:rPr>
            </w:pPr>
            <w:r w:rsidRPr="005E4BEA">
              <w:rPr>
                <w:rFonts w:cs="Arial"/>
                <w:b/>
                <w:bCs/>
                <w:szCs w:val="20"/>
              </w:rPr>
              <w:t xml:space="preserve">                47,13   </w:t>
            </w:r>
          </w:p>
        </w:tc>
        <w:tc>
          <w:tcPr>
            <w:tcW w:w="1559" w:type="dxa"/>
            <w:tcBorders>
              <w:top w:val="nil"/>
              <w:left w:val="nil"/>
              <w:bottom w:val="single" w:sz="4" w:space="0" w:color="auto"/>
              <w:right w:val="single" w:sz="4" w:space="0" w:color="auto"/>
            </w:tcBorders>
            <w:shd w:val="clear" w:color="auto" w:fill="auto"/>
            <w:noWrap/>
            <w:vAlign w:val="bottom"/>
            <w:hideMark/>
          </w:tcPr>
          <w:p w14:paraId="4485E22F" w14:textId="77777777" w:rsidR="00FE461F" w:rsidRPr="005E4BEA" w:rsidRDefault="00FE461F" w:rsidP="00FE461F">
            <w:pPr>
              <w:spacing w:line="240" w:lineRule="auto"/>
              <w:jc w:val="right"/>
              <w:rPr>
                <w:rFonts w:cs="Arial"/>
                <w:b/>
                <w:bCs/>
                <w:szCs w:val="20"/>
              </w:rPr>
            </w:pPr>
            <w:r w:rsidRPr="005E4BEA">
              <w:rPr>
                <w:rFonts w:cs="Arial"/>
                <w:b/>
                <w:bCs/>
                <w:szCs w:val="20"/>
              </w:rPr>
              <w:t>6901,05</w:t>
            </w:r>
          </w:p>
        </w:tc>
      </w:tr>
    </w:tbl>
    <w:p w14:paraId="2800AB45" w14:textId="77777777" w:rsidR="00FE461F" w:rsidRPr="005E4BEA" w:rsidRDefault="00FE461F" w:rsidP="00FE461F">
      <w:pPr>
        <w:spacing w:line="240" w:lineRule="auto"/>
        <w:rPr>
          <w:rFonts w:cs="Arial"/>
          <w:szCs w:val="20"/>
        </w:rPr>
      </w:pPr>
    </w:p>
    <w:tbl>
      <w:tblPr>
        <w:tblW w:w="8789" w:type="dxa"/>
        <w:tblLook w:val="04A0" w:firstRow="1" w:lastRow="0" w:firstColumn="1" w:lastColumn="0" w:noHBand="0" w:noVBand="1"/>
      </w:tblPr>
      <w:tblGrid>
        <w:gridCol w:w="4540"/>
        <w:gridCol w:w="1100"/>
        <w:gridCol w:w="1590"/>
        <w:gridCol w:w="1559"/>
      </w:tblGrid>
      <w:tr w:rsidR="00FE461F" w:rsidRPr="005E4BEA" w14:paraId="1845BE5C" w14:textId="77777777" w:rsidTr="0016774B">
        <w:trPr>
          <w:trHeight w:val="264"/>
        </w:trPr>
        <w:tc>
          <w:tcPr>
            <w:tcW w:w="8789" w:type="dxa"/>
            <w:gridSpan w:val="4"/>
            <w:tcBorders>
              <w:top w:val="nil"/>
              <w:left w:val="nil"/>
              <w:bottom w:val="nil"/>
              <w:right w:val="nil"/>
            </w:tcBorders>
            <w:shd w:val="clear" w:color="auto" w:fill="auto"/>
            <w:noWrap/>
            <w:vAlign w:val="bottom"/>
            <w:hideMark/>
          </w:tcPr>
          <w:p w14:paraId="3CB72ECA" w14:textId="77777777" w:rsidR="00FE461F" w:rsidRPr="005E4BEA" w:rsidRDefault="00FE461F" w:rsidP="00FE461F">
            <w:pPr>
              <w:spacing w:line="240" w:lineRule="auto"/>
              <w:rPr>
                <w:rFonts w:cs="Arial"/>
                <w:b/>
                <w:bCs/>
                <w:szCs w:val="20"/>
              </w:rPr>
            </w:pPr>
          </w:p>
          <w:p w14:paraId="5A8AC21D" w14:textId="77777777" w:rsidR="00FE461F" w:rsidRPr="005E4BEA" w:rsidRDefault="00FE461F" w:rsidP="00FE461F">
            <w:pPr>
              <w:spacing w:line="240" w:lineRule="auto"/>
              <w:rPr>
                <w:rFonts w:cs="Arial"/>
                <w:b/>
                <w:bCs/>
                <w:szCs w:val="20"/>
              </w:rPr>
            </w:pPr>
            <w:r w:rsidRPr="005E4BEA">
              <w:rPr>
                <w:rFonts w:cs="Arial"/>
                <w:b/>
                <w:bCs/>
                <w:szCs w:val="20"/>
              </w:rPr>
              <w:t>PREDLOG STROKE - KADROVSKI NORMATIV V POSEBNIH ZAVODIH</w:t>
            </w:r>
          </w:p>
        </w:tc>
      </w:tr>
      <w:tr w:rsidR="00FE461F" w:rsidRPr="005E4BEA" w14:paraId="6991C36C" w14:textId="77777777" w:rsidTr="0016774B">
        <w:trPr>
          <w:trHeight w:val="264"/>
        </w:trPr>
        <w:tc>
          <w:tcPr>
            <w:tcW w:w="4540" w:type="dxa"/>
            <w:tcBorders>
              <w:top w:val="nil"/>
              <w:left w:val="nil"/>
              <w:bottom w:val="nil"/>
              <w:right w:val="nil"/>
            </w:tcBorders>
            <w:shd w:val="clear" w:color="auto" w:fill="auto"/>
            <w:noWrap/>
            <w:vAlign w:val="bottom"/>
            <w:hideMark/>
          </w:tcPr>
          <w:p w14:paraId="46A49182" w14:textId="77777777" w:rsidR="00FE461F" w:rsidRPr="005E4BEA" w:rsidRDefault="00FE461F" w:rsidP="00FE461F">
            <w:pPr>
              <w:spacing w:line="240" w:lineRule="auto"/>
              <w:rPr>
                <w:rFonts w:cs="Arial"/>
                <w:b/>
                <w:bCs/>
                <w:szCs w:val="20"/>
              </w:rPr>
            </w:pPr>
          </w:p>
        </w:tc>
        <w:tc>
          <w:tcPr>
            <w:tcW w:w="1100" w:type="dxa"/>
            <w:tcBorders>
              <w:top w:val="nil"/>
              <w:left w:val="nil"/>
              <w:bottom w:val="nil"/>
              <w:right w:val="nil"/>
            </w:tcBorders>
            <w:shd w:val="clear" w:color="auto" w:fill="auto"/>
            <w:noWrap/>
            <w:vAlign w:val="bottom"/>
            <w:hideMark/>
          </w:tcPr>
          <w:p w14:paraId="326F0A02" w14:textId="77777777" w:rsidR="00FE461F" w:rsidRPr="005E4BEA" w:rsidRDefault="00FE461F" w:rsidP="00FE461F">
            <w:pPr>
              <w:spacing w:line="240" w:lineRule="auto"/>
              <w:rPr>
                <w:rFonts w:cs="Arial"/>
                <w:szCs w:val="20"/>
              </w:rPr>
            </w:pPr>
          </w:p>
        </w:tc>
        <w:tc>
          <w:tcPr>
            <w:tcW w:w="1590" w:type="dxa"/>
            <w:tcBorders>
              <w:top w:val="nil"/>
              <w:left w:val="nil"/>
              <w:bottom w:val="nil"/>
              <w:right w:val="nil"/>
            </w:tcBorders>
            <w:shd w:val="clear" w:color="auto" w:fill="auto"/>
            <w:noWrap/>
            <w:vAlign w:val="bottom"/>
            <w:hideMark/>
          </w:tcPr>
          <w:p w14:paraId="68DFCA23"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6C5A91A1" w14:textId="77777777" w:rsidR="00FE461F" w:rsidRPr="005E4BEA" w:rsidRDefault="00FE461F" w:rsidP="00FE461F">
            <w:pPr>
              <w:spacing w:line="240" w:lineRule="auto"/>
              <w:rPr>
                <w:rFonts w:cs="Arial"/>
                <w:szCs w:val="20"/>
              </w:rPr>
            </w:pPr>
          </w:p>
        </w:tc>
      </w:tr>
      <w:tr w:rsidR="00FE461F" w:rsidRPr="005E4BEA" w14:paraId="1B44D20F" w14:textId="77777777" w:rsidTr="0016774B">
        <w:trPr>
          <w:trHeight w:val="264"/>
        </w:trPr>
        <w:tc>
          <w:tcPr>
            <w:tcW w:w="4540" w:type="dxa"/>
            <w:tcBorders>
              <w:top w:val="nil"/>
              <w:left w:val="nil"/>
              <w:bottom w:val="nil"/>
              <w:right w:val="nil"/>
            </w:tcBorders>
            <w:shd w:val="clear" w:color="auto" w:fill="auto"/>
            <w:noWrap/>
            <w:vAlign w:val="bottom"/>
            <w:hideMark/>
          </w:tcPr>
          <w:p w14:paraId="180302D8" w14:textId="77777777" w:rsidR="00FE461F" w:rsidRPr="005E4BEA" w:rsidRDefault="00FE461F" w:rsidP="00FE461F">
            <w:pPr>
              <w:spacing w:line="240" w:lineRule="auto"/>
              <w:rPr>
                <w:rFonts w:cs="Arial"/>
                <w:szCs w:val="20"/>
              </w:rPr>
            </w:pPr>
            <w:r w:rsidRPr="005E4BEA">
              <w:rPr>
                <w:rFonts w:cs="Arial"/>
                <w:szCs w:val="20"/>
              </w:rPr>
              <w:t>NEGA I</w:t>
            </w:r>
          </w:p>
        </w:tc>
        <w:tc>
          <w:tcPr>
            <w:tcW w:w="1100" w:type="dxa"/>
            <w:tcBorders>
              <w:top w:val="nil"/>
              <w:left w:val="nil"/>
              <w:bottom w:val="nil"/>
              <w:right w:val="nil"/>
            </w:tcBorders>
            <w:shd w:val="clear" w:color="auto" w:fill="auto"/>
            <w:noWrap/>
            <w:vAlign w:val="bottom"/>
            <w:hideMark/>
          </w:tcPr>
          <w:p w14:paraId="4690CE91" w14:textId="77777777" w:rsidR="00FE461F" w:rsidRPr="005E4BEA" w:rsidRDefault="00FE461F" w:rsidP="00FE461F">
            <w:pPr>
              <w:spacing w:line="240" w:lineRule="auto"/>
              <w:rPr>
                <w:rFonts w:cs="Arial"/>
                <w:szCs w:val="20"/>
              </w:rPr>
            </w:pPr>
            <w:r w:rsidRPr="005E4BEA">
              <w:rPr>
                <w:rFonts w:cs="Arial"/>
                <w:szCs w:val="20"/>
              </w:rPr>
              <w:t xml:space="preserve">               </w:t>
            </w:r>
          </w:p>
        </w:tc>
        <w:tc>
          <w:tcPr>
            <w:tcW w:w="3149" w:type="dxa"/>
            <w:gridSpan w:val="2"/>
            <w:tcBorders>
              <w:top w:val="nil"/>
              <w:left w:val="nil"/>
              <w:bottom w:val="nil"/>
              <w:right w:val="nil"/>
            </w:tcBorders>
            <w:shd w:val="clear" w:color="auto" w:fill="auto"/>
            <w:noWrap/>
            <w:vAlign w:val="bottom"/>
            <w:hideMark/>
          </w:tcPr>
          <w:p w14:paraId="3C51700F" w14:textId="77777777" w:rsidR="00FE461F" w:rsidRPr="005E4BEA" w:rsidRDefault="00FE461F" w:rsidP="00FE461F">
            <w:pPr>
              <w:spacing w:line="240" w:lineRule="auto"/>
              <w:rPr>
                <w:rFonts w:cs="Arial"/>
                <w:szCs w:val="20"/>
              </w:rPr>
            </w:pPr>
            <w:r w:rsidRPr="005E4BEA">
              <w:rPr>
                <w:rFonts w:cs="Arial"/>
                <w:szCs w:val="20"/>
              </w:rPr>
              <w:t>realizacija 2021</w:t>
            </w:r>
          </w:p>
        </w:tc>
      </w:tr>
      <w:tr w:rsidR="00FE461F" w:rsidRPr="005E4BEA" w14:paraId="50E53A91" w14:textId="77777777" w:rsidTr="0016774B">
        <w:trPr>
          <w:trHeight w:val="1056"/>
        </w:trPr>
        <w:tc>
          <w:tcPr>
            <w:tcW w:w="4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B3E6D" w14:textId="77777777" w:rsidR="00FE461F" w:rsidRPr="005E4BEA" w:rsidRDefault="00FE461F" w:rsidP="00FE461F">
            <w:pPr>
              <w:spacing w:line="240" w:lineRule="auto"/>
              <w:jc w:val="center"/>
              <w:rPr>
                <w:rFonts w:cs="Arial"/>
                <w:szCs w:val="20"/>
              </w:rPr>
            </w:pPr>
            <w:r w:rsidRPr="005E4BEA">
              <w:rPr>
                <w:rFonts w:cs="Arial"/>
                <w:szCs w:val="20"/>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0DD69F30"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7DA5A1C4" w14:textId="77777777" w:rsidR="00FE461F" w:rsidRPr="005E4BEA" w:rsidRDefault="00FE461F" w:rsidP="00FE461F">
            <w:pPr>
              <w:spacing w:line="240" w:lineRule="auto"/>
              <w:jc w:val="center"/>
              <w:rPr>
                <w:rFonts w:cs="Arial"/>
                <w:szCs w:val="20"/>
              </w:rPr>
            </w:pPr>
            <w:r w:rsidRPr="005E4BEA">
              <w:rPr>
                <w:rFonts w:cs="Arial"/>
                <w:szCs w:val="20"/>
              </w:rPr>
              <w:t xml:space="preserve">6.863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63BD849"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2B52C5E9"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504A28C" w14:textId="77777777" w:rsidR="00FE461F" w:rsidRPr="005E4BEA" w:rsidRDefault="00FE461F" w:rsidP="00FE461F">
            <w:pPr>
              <w:spacing w:line="240" w:lineRule="auto"/>
              <w:rPr>
                <w:rFonts w:cs="Arial"/>
                <w:szCs w:val="20"/>
              </w:rPr>
            </w:pPr>
            <w:r w:rsidRPr="005E4BEA">
              <w:rPr>
                <w:rFonts w:cs="Arial"/>
                <w:szCs w:val="20"/>
              </w:rPr>
              <w:t>1 tehnik zdravstvene nege na 10 postelj</w:t>
            </w:r>
          </w:p>
        </w:tc>
        <w:tc>
          <w:tcPr>
            <w:tcW w:w="1100" w:type="dxa"/>
            <w:tcBorders>
              <w:top w:val="nil"/>
              <w:left w:val="nil"/>
              <w:bottom w:val="single" w:sz="4" w:space="0" w:color="auto"/>
              <w:right w:val="single" w:sz="4" w:space="0" w:color="auto"/>
            </w:tcBorders>
            <w:shd w:val="clear" w:color="auto" w:fill="auto"/>
            <w:noWrap/>
            <w:vAlign w:val="bottom"/>
            <w:hideMark/>
          </w:tcPr>
          <w:p w14:paraId="1DDC8E7B" w14:textId="77777777" w:rsidR="00FE461F" w:rsidRPr="005E4BEA" w:rsidRDefault="00FE461F" w:rsidP="00FE461F">
            <w:pPr>
              <w:spacing w:line="240" w:lineRule="auto"/>
              <w:rPr>
                <w:rFonts w:cs="Arial"/>
                <w:szCs w:val="20"/>
              </w:rPr>
            </w:pPr>
            <w:r w:rsidRPr="005E4BEA">
              <w:rPr>
                <w:rFonts w:cs="Arial"/>
                <w:szCs w:val="20"/>
              </w:rPr>
              <w:t xml:space="preserve">           0,1000     </w:t>
            </w:r>
          </w:p>
        </w:tc>
        <w:tc>
          <w:tcPr>
            <w:tcW w:w="1590" w:type="dxa"/>
            <w:tcBorders>
              <w:top w:val="nil"/>
              <w:left w:val="nil"/>
              <w:bottom w:val="single" w:sz="4" w:space="0" w:color="auto"/>
              <w:right w:val="single" w:sz="4" w:space="0" w:color="auto"/>
            </w:tcBorders>
            <w:shd w:val="clear" w:color="auto" w:fill="auto"/>
            <w:noWrap/>
            <w:vAlign w:val="bottom"/>
            <w:hideMark/>
          </w:tcPr>
          <w:p w14:paraId="3152D24F" w14:textId="77777777" w:rsidR="00FE461F" w:rsidRPr="005E4BEA" w:rsidRDefault="00FE461F" w:rsidP="00FE461F">
            <w:pPr>
              <w:spacing w:line="240" w:lineRule="auto"/>
              <w:rPr>
                <w:rFonts w:cs="Arial"/>
                <w:szCs w:val="20"/>
              </w:rPr>
            </w:pPr>
            <w:r w:rsidRPr="005E4BEA">
              <w:rPr>
                <w:rFonts w:cs="Arial"/>
                <w:szCs w:val="20"/>
              </w:rPr>
              <w:t xml:space="preserve">           10,00   </w:t>
            </w:r>
          </w:p>
        </w:tc>
        <w:tc>
          <w:tcPr>
            <w:tcW w:w="1559" w:type="dxa"/>
            <w:tcBorders>
              <w:top w:val="nil"/>
              <w:left w:val="nil"/>
              <w:bottom w:val="single" w:sz="4" w:space="0" w:color="auto"/>
              <w:right w:val="single" w:sz="4" w:space="0" w:color="auto"/>
            </w:tcBorders>
            <w:shd w:val="clear" w:color="auto" w:fill="auto"/>
            <w:noWrap/>
            <w:vAlign w:val="bottom"/>
            <w:hideMark/>
          </w:tcPr>
          <w:p w14:paraId="515B016E" w14:textId="77777777" w:rsidR="00FE461F" w:rsidRPr="005E4BEA" w:rsidRDefault="00FE461F" w:rsidP="00FE461F">
            <w:pPr>
              <w:spacing w:line="240" w:lineRule="auto"/>
              <w:jc w:val="right"/>
              <w:rPr>
                <w:rFonts w:cs="Arial"/>
                <w:szCs w:val="20"/>
              </w:rPr>
            </w:pPr>
            <w:r w:rsidRPr="005E4BEA">
              <w:rPr>
                <w:rFonts w:cs="Arial"/>
                <w:szCs w:val="20"/>
              </w:rPr>
              <w:t>1,88</w:t>
            </w:r>
          </w:p>
        </w:tc>
      </w:tr>
      <w:tr w:rsidR="00FE461F" w:rsidRPr="005E4BEA" w14:paraId="666CADEE"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17F332B" w14:textId="77777777" w:rsidR="00FE461F" w:rsidRPr="005E4BEA" w:rsidRDefault="00FE461F" w:rsidP="00FE461F">
            <w:pPr>
              <w:spacing w:line="240" w:lineRule="auto"/>
              <w:rPr>
                <w:rFonts w:cs="Arial"/>
                <w:szCs w:val="20"/>
              </w:rPr>
            </w:pPr>
            <w:r w:rsidRPr="005E4BEA">
              <w:rPr>
                <w:rFonts w:cs="Arial"/>
                <w:szCs w:val="20"/>
              </w:rPr>
              <w:t>1 dipl. fizioterapevt/višji fizioterapevt na 100 postelj</w:t>
            </w:r>
          </w:p>
        </w:tc>
        <w:tc>
          <w:tcPr>
            <w:tcW w:w="1100" w:type="dxa"/>
            <w:tcBorders>
              <w:top w:val="nil"/>
              <w:left w:val="nil"/>
              <w:bottom w:val="single" w:sz="4" w:space="0" w:color="auto"/>
              <w:right w:val="single" w:sz="4" w:space="0" w:color="auto"/>
            </w:tcBorders>
            <w:shd w:val="clear" w:color="auto" w:fill="auto"/>
            <w:noWrap/>
            <w:vAlign w:val="bottom"/>
            <w:hideMark/>
          </w:tcPr>
          <w:p w14:paraId="27DAC2F4" w14:textId="77777777" w:rsidR="00FE461F" w:rsidRPr="005E4BEA" w:rsidRDefault="00FE461F" w:rsidP="00FE461F">
            <w:pPr>
              <w:spacing w:line="240" w:lineRule="auto"/>
              <w:rPr>
                <w:rFonts w:cs="Arial"/>
                <w:szCs w:val="20"/>
              </w:rPr>
            </w:pPr>
            <w:r w:rsidRPr="005E4BEA">
              <w:rPr>
                <w:rFonts w:cs="Arial"/>
                <w:szCs w:val="20"/>
              </w:rPr>
              <w:t xml:space="preserve">           0,0100     </w:t>
            </w:r>
          </w:p>
        </w:tc>
        <w:tc>
          <w:tcPr>
            <w:tcW w:w="1590" w:type="dxa"/>
            <w:tcBorders>
              <w:top w:val="nil"/>
              <w:left w:val="nil"/>
              <w:bottom w:val="single" w:sz="4" w:space="0" w:color="auto"/>
              <w:right w:val="single" w:sz="4" w:space="0" w:color="auto"/>
            </w:tcBorders>
            <w:shd w:val="clear" w:color="auto" w:fill="auto"/>
            <w:noWrap/>
            <w:vAlign w:val="bottom"/>
            <w:hideMark/>
          </w:tcPr>
          <w:p w14:paraId="0E75C550" w14:textId="77777777" w:rsidR="00FE461F" w:rsidRPr="005E4BEA" w:rsidRDefault="00FE461F" w:rsidP="00FE461F">
            <w:pPr>
              <w:spacing w:line="240" w:lineRule="auto"/>
              <w:rPr>
                <w:rFonts w:cs="Arial"/>
                <w:szCs w:val="20"/>
              </w:rPr>
            </w:pPr>
            <w:r w:rsidRPr="005E4BEA">
              <w:rPr>
                <w:rFonts w:cs="Arial"/>
                <w:szCs w:val="20"/>
              </w:rPr>
              <w:t xml:space="preserve">              1,00   </w:t>
            </w:r>
          </w:p>
        </w:tc>
        <w:tc>
          <w:tcPr>
            <w:tcW w:w="1559" w:type="dxa"/>
            <w:tcBorders>
              <w:top w:val="nil"/>
              <w:left w:val="nil"/>
              <w:bottom w:val="single" w:sz="4" w:space="0" w:color="auto"/>
              <w:right w:val="single" w:sz="4" w:space="0" w:color="auto"/>
            </w:tcBorders>
            <w:shd w:val="clear" w:color="auto" w:fill="auto"/>
            <w:noWrap/>
            <w:vAlign w:val="bottom"/>
            <w:hideMark/>
          </w:tcPr>
          <w:p w14:paraId="571F4A27" w14:textId="77777777" w:rsidR="00FE461F" w:rsidRPr="005E4BEA" w:rsidRDefault="00FE461F" w:rsidP="00FE461F">
            <w:pPr>
              <w:spacing w:line="240" w:lineRule="auto"/>
              <w:jc w:val="right"/>
              <w:rPr>
                <w:rFonts w:cs="Arial"/>
                <w:szCs w:val="20"/>
              </w:rPr>
            </w:pPr>
            <w:r w:rsidRPr="005E4BEA">
              <w:rPr>
                <w:rFonts w:cs="Arial"/>
                <w:szCs w:val="20"/>
              </w:rPr>
              <w:t>0,19</w:t>
            </w:r>
          </w:p>
        </w:tc>
      </w:tr>
      <w:tr w:rsidR="00FE461F" w:rsidRPr="005E4BEA" w14:paraId="506E2A3F"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25975A6" w14:textId="77777777" w:rsidR="00FE461F" w:rsidRPr="005E4BEA" w:rsidRDefault="00FE461F" w:rsidP="00FE461F">
            <w:pPr>
              <w:spacing w:line="240" w:lineRule="auto"/>
              <w:rPr>
                <w:rFonts w:cs="Arial"/>
                <w:szCs w:val="20"/>
              </w:rPr>
            </w:pPr>
            <w:r w:rsidRPr="005E4BEA">
              <w:rPr>
                <w:rFonts w:cs="Arial"/>
                <w:szCs w:val="20"/>
              </w:rPr>
              <w:t>1 diplomirana med. sestra/višja med. sestra na 80 postelj</w:t>
            </w:r>
          </w:p>
        </w:tc>
        <w:tc>
          <w:tcPr>
            <w:tcW w:w="1100" w:type="dxa"/>
            <w:tcBorders>
              <w:top w:val="nil"/>
              <w:left w:val="nil"/>
              <w:bottom w:val="single" w:sz="4" w:space="0" w:color="auto"/>
              <w:right w:val="single" w:sz="4" w:space="0" w:color="auto"/>
            </w:tcBorders>
            <w:shd w:val="clear" w:color="auto" w:fill="auto"/>
            <w:noWrap/>
            <w:vAlign w:val="bottom"/>
            <w:hideMark/>
          </w:tcPr>
          <w:p w14:paraId="6D035A9C" w14:textId="77777777" w:rsidR="00FE461F" w:rsidRPr="005E4BEA" w:rsidRDefault="00FE461F" w:rsidP="00FE461F">
            <w:pPr>
              <w:spacing w:line="240" w:lineRule="auto"/>
              <w:rPr>
                <w:rFonts w:cs="Arial"/>
                <w:szCs w:val="20"/>
              </w:rPr>
            </w:pPr>
            <w:r w:rsidRPr="005E4BEA">
              <w:rPr>
                <w:rFonts w:cs="Arial"/>
                <w:szCs w:val="20"/>
              </w:rPr>
              <w:t xml:space="preserve">           0,0125     </w:t>
            </w:r>
          </w:p>
        </w:tc>
        <w:tc>
          <w:tcPr>
            <w:tcW w:w="1590" w:type="dxa"/>
            <w:tcBorders>
              <w:top w:val="nil"/>
              <w:left w:val="nil"/>
              <w:bottom w:val="single" w:sz="4" w:space="0" w:color="auto"/>
              <w:right w:val="single" w:sz="4" w:space="0" w:color="auto"/>
            </w:tcBorders>
            <w:shd w:val="clear" w:color="auto" w:fill="auto"/>
            <w:noWrap/>
            <w:vAlign w:val="bottom"/>
            <w:hideMark/>
          </w:tcPr>
          <w:p w14:paraId="34B815DF" w14:textId="77777777" w:rsidR="00FE461F" w:rsidRPr="005E4BEA" w:rsidRDefault="00FE461F" w:rsidP="00FE461F">
            <w:pPr>
              <w:spacing w:line="240" w:lineRule="auto"/>
              <w:rPr>
                <w:rFonts w:cs="Arial"/>
                <w:szCs w:val="20"/>
              </w:rPr>
            </w:pPr>
            <w:r w:rsidRPr="005E4BEA">
              <w:rPr>
                <w:rFonts w:cs="Arial"/>
                <w:szCs w:val="20"/>
              </w:rPr>
              <w:t xml:space="preserve">              1,25   </w:t>
            </w:r>
          </w:p>
        </w:tc>
        <w:tc>
          <w:tcPr>
            <w:tcW w:w="1559" w:type="dxa"/>
            <w:tcBorders>
              <w:top w:val="nil"/>
              <w:left w:val="nil"/>
              <w:bottom w:val="single" w:sz="4" w:space="0" w:color="auto"/>
              <w:right w:val="single" w:sz="4" w:space="0" w:color="auto"/>
            </w:tcBorders>
            <w:shd w:val="clear" w:color="auto" w:fill="auto"/>
            <w:noWrap/>
            <w:vAlign w:val="bottom"/>
            <w:hideMark/>
          </w:tcPr>
          <w:p w14:paraId="152BE7F4" w14:textId="77777777" w:rsidR="00FE461F" w:rsidRPr="005E4BEA" w:rsidRDefault="00FE461F" w:rsidP="00FE461F">
            <w:pPr>
              <w:spacing w:line="240" w:lineRule="auto"/>
              <w:jc w:val="right"/>
              <w:rPr>
                <w:rFonts w:cs="Arial"/>
                <w:szCs w:val="20"/>
              </w:rPr>
            </w:pPr>
            <w:r w:rsidRPr="005E4BEA">
              <w:rPr>
                <w:rFonts w:cs="Arial"/>
                <w:szCs w:val="20"/>
              </w:rPr>
              <w:t>0,24</w:t>
            </w:r>
          </w:p>
        </w:tc>
      </w:tr>
      <w:tr w:rsidR="00FE461F" w:rsidRPr="005E4BEA" w14:paraId="00649EDD"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D578BFA" w14:textId="77777777" w:rsidR="00FE461F" w:rsidRPr="005E4BEA" w:rsidRDefault="00FE461F" w:rsidP="00FE461F">
            <w:pPr>
              <w:spacing w:line="240" w:lineRule="auto"/>
              <w:rPr>
                <w:rFonts w:cs="Arial"/>
                <w:szCs w:val="20"/>
              </w:rPr>
            </w:pPr>
            <w:r w:rsidRPr="005E4BEA">
              <w:rPr>
                <w:rFonts w:cs="Arial"/>
                <w:szCs w:val="20"/>
              </w:rPr>
              <w:t>1 dipl. del. terapevt/ višji del. terapevt na 60 postelj</w:t>
            </w:r>
          </w:p>
        </w:tc>
        <w:tc>
          <w:tcPr>
            <w:tcW w:w="1100" w:type="dxa"/>
            <w:tcBorders>
              <w:top w:val="nil"/>
              <w:left w:val="nil"/>
              <w:bottom w:val="single" w:sz="4" w:space="0" w:color="auto"/>
              <w:right w:val="single" w:sz="4" w:space="0" w:color="auto"/>
            </w:tcBorders>
            <w:shd w:val="clear" w:color="auto" w:fill="auto"/>
            <w:noWrap/>
            <w:vAlign w:val="bottom"/>
            <w:hideMark/>
          </w:tcPr>
          <w:p w14:paraId="12A1CE8A" w14:textId="77777777" w:rsidR="00FE461F" w:rsidRPr="005E4BEA" w:rsidRDefault="00FE461F" w:rsidP="00FE461F">
            <w:pPr>
              <w:spacing w:line="240" w:lineRule="auto"/>
              <w:rPr>
                <w:rFonts w:cs="Arial"/>
                <w:szCs w:val="20"/>
              </w:rPr>
            </w:pPr>
            <w:r w:rsidRPr="005E4BEA">
              <w:rPr>
                <w:rFonts w:cs="Arial"/>
                <w:szCs w:val="20"/>
              </w:rPr>
              <w:t xml:space="preserve">           0,0167     </w:t>
            </w:r>
          </w:p>
        </w:tc>
        <w:tc>
          <w:tcPr>
            <w:tcW w:w="1590" w:type="dxa"/>
            <w:tcBorders>
              <w:top w:val="nil"/>
              <w:left w:val="nil"/>
              <w:bottom w:val="single" w:sz="4" w:space="0" w:color="auto"/>
              <w:right w:val="single" w:sz="4" w:space="0" w:color="auto"/>
            </w:tcBorders>
            <w:shd w:val="clear" w:color="auto" w:fill="auto"/>
            <w:noWrap/>
            <w:vAlign w:val="bottom"/>
            <w:hideMark/>
          </w:tcPr>
          <w:p w14:paraId="647D3A01" w14:textId="77777777" w:rsidR="00FE461F" w:rsidRPr="005E4BEA" w:rsidRDefault="00FE461F" w:rsidP="00FE461F">
            <w:pPr>
              <w:spacing w:line="240" w:lineRule="auto"/>
              <w:rPr>
                <w:rFonts w:cs="Arial"/>
                <w:szCs w:val="20"/>
              </w:rPr>
            </w:pPr>
            <w:r w:rsidRPr="005E4BEA">
              <w:rPr>
                <w:rFonts w:cs="Arial"/>
                <w:szCs w:val="20"/>
              </w:rPr>
              <w:t xml:space="preserve">              1,67   </w:t>
            </w:r>
          </w:p>
        </w:tc>
        <w:tc>
          <w:tcPr>
            <w:tcW w:w="1559" w:type="dxa"/>
            <w:tcBorders>
              <w:top w:val="nil"/>
              <w:left w:val="nil"/>
              <w:bottom w:val="single" w:sz="4" w:space="0" w:color="auto"/>
              <w:right w:val="single" w:sz="4" w:space="0" w:color="auto"/>
            </w:tcBorders>
            <w:shd w:val="clear" w:color="auto" w:fill="auto"/>
            <w:noWrap/>
            <w:vAlign w:val="bottom"/>
            <w:hideMark/>
          </w:tcPr>
          <w:p w14:paraId="33272935" w14:textId="77777777" w:rsidR="00FE461F" w:rsidRPr="005E4BEA" w:rsidRDefault="00FE461F" w:rsidP="00FE461F">
            <w:pPr>
              <w:spacing w:line="240" w:lineRule="auto"/>
              <w:jc w:val="right"/>
              <w:rPr>
                <w:rFonts w:cs="Arial"/>
                <w:szCs w:val="20"/>
              </w:rPr>
            </w:pPr>
            <w:r w:rsidRPr="005E4BEA">
              <w:rPr>
                <w:rFonts w:cs="Arial"/>
                <w:szCs w:val="20"/>
              </w:rPr>
              <w:t>0,31</w:t>
            </w:r>
          </w:p>
        </w:tc>
      </w:tr>
      <w:tr w:rsidR="00FE461F" w:rsidRPr="005E4BEA" w14:paraId="1D23E9C0"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F2F3823" w14:textId="77777777" w:rsidR="00FE461F" w:rsidRPr="005E4BEA" w:rsidRDefault="00FE461F" w:rsidP="00FE461F">
            <w:pPr>
              <w:spacing w:line="240" w:lineRule="auto"/>
              <w:rPr>
                <w:rFonts w:cs="Arial"/>
                <w:szCs w:val="20"/>
              </w:rPr>
            </w:pPr>
            <w:r w:rsidRPr="005E4BEA">
              <w:rPr>
                <w:rFonts w:cs="Arial"/>
                <w:szCs w:val="20"/>
              </w:rPr>
              <w:t>1 bolničar-negovalec na 16 postelj</w:t>
            </w:r>
          </w:p>
        </w:tc>
        <w:tc>
          <w:tcPr>
            <w:tcW w:w="1100" w:type="dxa"/>
            <w:tcBorders>
              <w:top w:val="nil"/>
              <w:left w:val="nil"/>
              <w:bottom w:val="single" w:sz="4" w:space="0" w:color="auto"/>
              <w:right w:val="single" w:sz="4" w:space="0" w:color="auto"/>
            </w:tcBorders>
            <w:shd w:val="clear" w:color="auto" w:fill="auto"/>
            <w:noWrap/>
            <w:vAlign w:val="bottom"/>
            <w:hideMark/>
          </w:tcPr>
          <w:p w14:paraId="418964DE" w14:textId="77777777" w:rsidR="00FE461F" w:rsidRPr="005E4BEA" w:rsidRDefault="00FE461F" w:rsidP="00FE461F">
            <w:pPr>
              <w:spacing w:line="240" w:lineRule="auto"/>
              <w:rPr>
                <w:rFonts w:cs="Arial"/>
                <w:szCs w:val="20"/>
              </w:rPr>
            </w:pPr>
            <w:r w:rsidRPr="005E4BEA">
              <w:rPr>
                <w:rFonts w:cs="Arial"/>
                <w:szCs w:val="20"/>
              </w:rPr>
              <w:t xml:space="preserve">           0,0625     </w:t>
            </w:r>
          </w:p>
        </w:tc>
        <w:tc>
          <w:tcPr>
            <w:tcW w:w="1590" w:type="dxa"/>
            <w:tcBorders>
              <w:top w:val="nil"/>
              <w:left w:val="nil"/>
              <w:bottom w:val="single" w:sz="4" w:space="0" w:color="auto"/>
              <w:right w:val="single" w:sz="4" w:space="0" w:color="auto"/>
            </w:tcBorders>
            <w:shd w:val="clear" w:color="auto" w:fill="auto"/>
            <w:noWrap/>
            <w:vAlign w:val="bottom"/>
            <w:hideMark/>
          </w:tcPr>
          <w:p w14:paraId="4EEF6BD1" w14:textId="77777777" w:rsidR="00FE461F" w:rsidRPr="005E4BEA" w:rsidRDefault="00FE461F" w:rsidP="00FE461F">
            <w:pPr>
              <w:spacing w:line="240" w:lineRule="auto"/>
              <w:rPr>
                <w:rFonts w:cs="Arial"/>
                <w:szCs w:val="20"/>
              </w:rPr>
            </w:pPr>
            <w:r w:rsidRPr="005E4BEA">
              <w:rPr>
                <w:rFonts w:cs="Arial"/>
                <w:szCs w:val="20"/>
              </w:rPr>
              <w:t xml:space="preserve">              6,25   </w:t>
            </w:r>
          </w:p>
        </w:tc>
        <w:tc>
          <w:tcPr>
            <w:tcW w:w="1559" w:type="dxa"/>
            <w:tcBorders>
              <w:top w:val="nil"/>
              <w:left w:val="nil"/>
              <w:bottom w:val="single" w:sz="4" w:space="0" w:color="auto"/>
              <w:right w:val="single" w:sz="4" w:space="0" w:color="auto"/>
            </w:tcBorders>
            <w:shd w:val="clear" w:color="auto" w:fill="auto"/>
            <w:noWrap/>
            <w:vAlign w:val="bottom"/>
            <w:hideMark/>
          </w:tcPr>
          <w:p w14:paraId="52082297" w14:textId="77777777" w:rsidR="00FE461F" w:rsidRPr="005E4BEA" w:rsidRDefault="00FE461F" w:rsidP="00FE461F">
            <w:pPr>
              <w:spacing w:line="240" w:lineRule="auto"/>
              <w:jc w:val="right"/>
              <w:rPr>
                <w:rFonts w:cs="Arial"/>
                <w:szCs w:val="20"/>
              </w:rPr>
            </w:pPr>
            <w:r w:rsidRPr="005E4BEA">
              <w:rPr>
                <w:rFonts w:cs="Arial"/>
                <w:szCs w:val="20"/>
              </w:rPr>
              <w:t>1,18</w:t>
            </w:r>
          </w:p>
        </w:tc>
      </w:tr>
      <w:tr w:rsidR="00FE461F" w:rsidRPr="005E4BEA" w14:paraId="62F60680"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5CB3E00"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100" w:type="dxa"/>
            <w:tcBorders>
              <w:top w:val="nil"/>
              <w:left w:val="nil"/>
              <w:bottom w:val="single" w:sz="4" w:space="0" w:color="auto"/>
              <w:right w:val="single" w:sz="4" w:space="0" w:color="auto"/>
            </w:tcBorders>
            <w:shd w:val="clear" w:color="auto" w:fill="auto"/>
            <w:noWrap/>
            <w:vAlign w:val="bottom"/>
            <w:hideMark/>
          </w:tcPr>
          <w:p w14:paraId="611631E8" w14:textId="77777777" w:rsidR="00FE461F" w:rsidRPr="005E4BEA" w:rsidRDefault="00FE461F" w:rsidP="00FE461F">
            <w:pPr>
              <w:spacing w:line="240" w:lineRule="auto"/>
              <w:rPr>
                <w:rFonts w:cs="Arial"/>
                <w:b/>
                <w:bCs/>
                <w:szCs w:val="20"/>
              </w:rPr>
            </w:pPr>
            <w:r w:rsidRPr="005E4BEA">
              <w:rPr>
                <w:rFonts w:cs="Arial"/>
                <w:b/>
                <w:bCs/>
                <w:szCs w:val="20"/>
              </w:rPr>
              <w:t xml:space="preserve">           0,2383     </w:t>
            </w:r>
          </w:p>
        </w:tc>
        <w:tc>
          <w:tcPr>
            <w:tcW w:w="1590" w:type="dxa"/>
            <w:tcBorders>
              <w:top w:val="nil"/>
              <w:left w:val="nil"/>
              <w:bottom w:val="single" w:sz="4" w:space="0" w:color="auto"/>
              <w:right w:val="single" w:sz="4" w:space="0" w:color="auto"/>
            </w:tcBorders>
            <w:shd w:val="clear" w:color="auto" w:fill="auto"/>
            <w:noWrap/>
            <w:vAlign w:val="bottom"/>
            <w:hideMark/>
          </w:tcPr>
          <w:p w14:paraId="2B857C0E" w14:textId="77777777" w:rsidR="00FE461F" w:rsidRPr="005E4BEA" w:rsidRDefault="00FE461F" w:rsidP="00FE461F">
            <w:pPr>
              <w:spacing w:line="240" w:lineRule="auto"/>
              <w:rPr>
                <w:rFonts w:cs="Arial"/>
                <w:b/>
                <w:bCs/>
                <w:szCs w:val="20"/>
              </w:rPr>
            </w:pPr>
            <w:r w:rsidRPr="005E4BEA">
              <w:rPr>
                <w:rFonts w:cs="Arial"/>
                <w:b/>
                <w:bCs/>
                <w:szCs w:val="20"/>
              </w:rPr>
              <w:t xml:space="preserve">           23,83   </w:t>
            </w:r>
          </w:p>
        </w:tc>
        <w:tc>
          <w:tcPr>
            <w:tcW w:w="1559" w:type="dxa"/>
            <w:tcBorders>
              <w:top w:val="nil"/>
              <w:left w:val="nil"/>
              <w:bottom w:val="single" w:sz="4" w:space="0" w:color="auto"/>
              <w:right w:val="single" w:sz="4" w:space="0" w:color="auto"/>
            </w:tcBorders>
            <w:shd w:val="clear" w:color="auto" w:fill="auto"/>
            <w:noWrap/>
            <w:vAlign w:val="bottom"/>
            <w:hideMark/>
          </w:tcPr>
          <w:p w14:paraId="3AF4F8B5" w14:textId="77777777" w:rsidR="00FE461F" w:rsidRPr="005E4BEA" w:rsidRDefault="00FE461F" w:rsidP="00FE461F">
            <w:pPr>
              <w:spacing w:line="240" w:lineRule="auto"/>
              <w:jc w:val="right"/>
              <w:rPr>
                <w:rFonts w:cs="Arial"/>
                <w:b/>
                <w:bCs/>
                <w:szCs w:val="20"/>
              </w:rPr>
            </w:pPr>
            <w:r w:rsidRPr="005E4BEA">
              <w:rPr>
                <w:rFonts w:cs="Arial"/>
                <w:b/>
                <w:bCs/>
                <w:szCs w:val="20"/>
              </w:rPr>
              <w:t>3,79</w:t>
            </w:r>
          </w:p>
        </w:tc>
      </w:tr>
      <w:tr w:rsidR="00FE461F" w:rsidRPr="005E4BEA" w14:paraId="62473092" w14:textId="77777777" w:rsidTr="0016774B">
        <w:trPr>
          <w:trHeight w:val="264"/>
        </w:trPr>
        <w:tc>
          <w:tcPr>
            <w:tcW w:w="4540" w:type="dxa"/>
            <w:tcBorders>
              <w:top w:val="nil"/>
              <w:left w:val="nil"/>
              <w:bottom w:val="nil"/>
              <w:right w:val="nil"/>
            </w:tcBorders>
            <w:shd w:val="clear" w:color="auto" w:fill="auto"/>
            <w:noWrap/>
            <w:vAlign w:val="bottom"/>
            <w:hideMark/>
          </w:tcPr>
          <w:p w14:paraId="13645909" w14:textId="77777777" w:rsidR="00FE461F" w:rsidRPr="005E4BEA" w:rsidRDefault="00FE461F" w:rsidP="00FE461F">
            <w:pPr>
              <w:spacing w:line="240" w:lineRule="auto"/>
              <w:jc w:val="right"/>
              <w:rPr>
                <w:rFonts w:cs="Arial"/>
                <w:b/>
                <w:bCs/>
                <w:szCs w:val="20"/>
              </w:rPr>
            </w:pPr>
          </w:p>
        </w:tc>
        <w:tc>
          <w:tcPr>
            <w:tcW w:w="1100" w:type="dxa"/>
            <w:tcBorders>
              <w:top w:val="nil"/>
              <w:left w:val="nil"/>
              <w:bottom w:val="nil"/>
              <w:right w:val="nil"/>
            </w:tcBorders>
            <w:shd w:val="clear" w:color="auto" w:fill="auto"/>
            <w:noWrap/>
            <w:vAlign w:val="bottom"/>
            <w:hideMark/>
          </w:tcPr>
          <w:p w14:paraId="0BB85D67" w14:textId="77777777" w:rsidR="00FE461F" w:rsidRPr="005E4BEA" w:rsidRDefault="00FE461F" w:rsidP="00FE461F">
            <w:pPr>
              <w:spacing w:line="240" w:lineRule="auto"/>
              <w:rPr>
                <w:rFonts w:cs="Arial"/>
                <w:szCs w:val="20"/>
              </w:rPr>
            </w:pPr>
          </w:p>
        </w:tc>
        <w:tc>
          <w:tcPr>
            <w:tcW w:w="1590" w:type="dxa"/>
            <w:tcBorders>
              <w:top w:val="nil"/>
              <w:left w:val="nil"/>
              <w:bottom w:val="nil"/>
              <w:right w:val="nil"/>
            </w:tcBorders>
            <w:shd w:val="clear" w:color="auto" w:fill="auto"/>
            <w:noWrap/>
            <w:vAlign w:val="bottom"/>
            <w:hideMark/>
          </w:tcPr>
          <w:p w14:paraId="3AE3F58F"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5650512E" w14:textId="77777777" w:rsidR="00FE461F" w:rsidRPr="005E4BEA" w:rsidRDefault="00FE461F" w:rsidP="00FE461F">
            <w:pPr>
              <w:spacing w:line="240" w:lineRule="auto"/>
              <w:rPr>
                <w:rFonts w:cs="Arial"/>
                <w:szCs w:val="20"/>
              </w:rPr>
            </w:pPr>
          </w:p>
        </w:tc>
      </w:tr>
      <w:tr w:rsidR="00FE461F" w:rsidRPr="005E4BEA" w14:paraId="76D45545" w14:textId="77777777" w:rsidTr="0016774B">
        <w:trPr>
          <w:trHeight w:val="264"/>
        </w:trPr>
        <w:tc>
          <w:tcPr>
            <w:tcW w:w="4540" w:type="dxa"/>
            <w:tcBorders>
              <w:top w:val="nil"/>
              <w:left w:val="nil"/>
              <w:bottom w:val="nil"/>
              <w:right w:val="nil"/>
            </w:tcBorders>
            <w:shd w:val="clear" w:color="auto" w:fill="auto"/>
            <w:noWrap/>
            <w:vAlign w:val="bottom"/>
            <w:hideMark/>
          </w:tcPr>
          <w:p w14:paraId="601F293A" w14:textId="77777777" w:rsidR="00FE461F" w:rsidRPr="005E4BEA" w:rsidRDefault="00FE461F" w:rsidP="00FE461F">
            <w:pPr>
              <w:spacing w:line="240" w:lineRule="auto"/>
              <w:rPr>
                <w:rFonts w:cs="Arial"/>
                <w:szCs w:val="20"/>
              </w:rPr>
            </w:pPr>
            <w:r w:rsidRPr="005E4BEA">
              <w:rPr>
                <w:rFonts w:cs="Arial"/>
                <w:szCs w:val="20"/>
              </w:rPr>
              <w:t>NEGA II</w:t>
            </w:r>
          </w:p>
        </w:tc>
        <w:tc>
          <w:tcPr>
            <w:tcW w:w="1100" w:type="dxa"/>
            <w:tcBorders>
              <w:top w:val="nil"/>
              <w:left w:val="nil"/>
              <w:bottom w:val="nil"/>
              <w:right w:val="nil"/>
            </w:tcBorders>
            <w:shd w:val="clear" w:color="auto" w:fill="auto"/>
            <w:noWrap/>
            <w:vAlign w:val="bottom"/>
            <w:hideMark/>
          </w:tcPr>
          <w:p w14:paraId="267D8E42" w14:textId="77777777" w:rsidR="00FE461F" w:rsidRPr="005E4BEA" w:rsidRDefault="00FE461F" w:rsidP="00FE461F">
            <w:pPr>
              <w:spacing w:line="240" w:lineRule="auto"/>
              <w:rPr>
                <w:rFonts w:cs="Arial"/>
                <w:szCs w:val="20"/>
              </w:rPr>
            </w:pPr>
          </w:p>
        </w:tc>
        <w:tc>
          <w:tcPr>
            <w:tcW w:w="1590" w:type="dxa"/>
            <w:tcBorders>
              <w:top w:val="nil"/>
              <w:left w:val="nil"/>
              <w:bottom w:val="nil"/>
              <w:right w:val="nil"/>
            </w:tcBorders>
            <w:shd w:val="clear" w:color="auto" w:fill="auto"/>
            <w:noWrap/>
            <w:vAlign w:val="bottom"/>
            <w:hideMark/>
          </w:tcPr>
          <w:p w14:paraId="39C73AF1"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2B2CF589" w14:textId="77777777" w:rsidR="00FE461F" w:rsidRPr="005E4BEA" w:rsidRDefault="00FE461F" w:rsidP="00FE461F">
            <w:pPr>
              <w:spacing w:line="240" w:lineRule="auto"/>
              <w:rPr>
                <w:rFonts w:cs="Arial"/>
                <w:szCs w:val="20"/>
              </w:rPr>
            </w:pPr>
          </w:p>
        </w:tc>
      </w:tr>
      <w:tr w:rsidR="00FE461F" w:rsidRPr="005E4BEA" w14:paraId="23534A15" w14:textId="77777777" w:rsidTr="0016774B">
        <w:trPr>
          <w:trHeight w:val="792"/>
        </w:trPr>
        <w:tc>
          <w:tcPr>
            <w:tcW w:w="4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8235D" w14:textId="77777777" w:rsidR="00FE461F" w:rsidRPr="005E4BEA" w:rsidRDefault="00FE461F" w:rsidP="00FE461F">
            <w:pPr>
              <w:spacing w:line="240" w:lineRule="auto"/>
              <w:jc w:val="center"/>
              <w:rPr>
                <w:rFonts w:cs="Arial"/>
                <w:szCs w:val="20"/>
              </w:rPr>
            </w:pPr>
            <w:r w:rsidRPr="005E4BEA">
              <w:rPr>
                <w:rFonts w:cs="Arial"/>
                <w:szCs w:val="20"/>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60D184D2"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60E1448E" w14:textId="77777777" w:rsidR="00FE461F" w:rsidRPr="005E4BEA" w:rsidRDefault="00FE461F" w:rsidP="00FE461F">
            <w:pPr>
              <w:spacing w:line="240" w:lineRule="auto"/>
              <w:jc w:val="center"/>
              <w:rPr>
                <w:rFonts w:cs="Arial"/>
                <w:szCs w:val="20"/>
              </w:rPr>
            </w:pPr>
            <w:r w:rsidRPr="005E4BEA">
              <w:rPr>
                <w:rFonts w:cs="Arial"/>
                <w:szCs w:val="20"/>
              </w:rPr>
              <w:t xml:space="preserve">22.775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D0FD460"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0245EDBB"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D4DCDFC" w14:textId="77777777" w:rsidR="00FE461F" w:rsidRPr="005E4BEA" w:rsidRDefault="00FE461F" w:rsidP="00FE461F">
            <w:pPr>
              <w:spacing w:line="240" w:lineRule="auto"/>
              <w:rPr>
                <w:rFonts w:cs="Arial"/>
                <w:szCs w:val="20"/>
              </w:rPr>
            </w:pPr>
            <w:r w:rsidRPr="005E4BEA">
              <w:rPr>
                <w:rFonts w:cs="Arial"/>
                <w:szCs w:val="20"/>
              </w:rPr>
              <w:t>1 tehnik zdravstvene nege na 8 postelj</w:t>
            </w:r>
          </w:p>
        </w:tc>
        <w:tc>
          <w:tcPr>
            <w:tcW w:w="1100" w:type="dxa"/>
            <w:tcBorders>
              <w:top w:val="nil"/>
              <w:left w:val="nil"/>
              <w:bottom w:val="single" w:sz="4" w:space="0" w:color="auto"/>
              <w:right w:val="single" w:sz="4" w:space="0" w:color="auto"/>
            </w:tcBorders>
            <w:shd w:val="clear" w:color="auto" w:fill="auto"/>
            <w:noWrap/>
            <w:vAlign w:val="bottom"/>
            <w:hideMark/>
          </w:tcPr>
          <w:p w14:paraId="3CE42BE4" w14:textId="77777777" w:rsidR="00FE461F" w:rsidRPr="005E4BEA" w:rsidRDefault="00FE461F" w:rsidP="00FE461F">
            <w:pPr>
              <w:spacing w:line="240" w:lineRule="auto"/>
              <w:rPr>
                <w:rFonts w:cs="Arial"/>
                <w:szCs w:val="20"/>
              </w:rPr>
            </w:pPr>
            <w:r w:rsidRPr="005E4BEA">
              <w:rPr>
                <w:rFonts w:cs="Arial"/>
                <w:szCs w:val="20"/>
              </w:rPr>
              <w:t xml:space="preserve">           0,1250     </w:t>
            </w:r>
          </w:p>
        </w:tc>
        <w:tc>
          <w:tcPr>
            <w:tcW w:w="1590" w:type="dxa"/>
            <w:tcBorders>
              <w:top w:val="nil"/>
              <w:left w:val="nil"/>
              <w:bottom w:val="single" w:sz="4" w:space="0" w:color="auto"/>
              <w:right w:val="single" w:sz="4" w:space="0" w:color="auto"/>
            </w:tcBorders>
            <w:shd w:val="clear" w:color="auto" w:fill="auto"/>
            <w:noWrap/>
            <w:vAlign w:val="bottom"/>
            <w:hideMark/>
          </w:tcPr>
          <w:p w14:paraId="1874A086" w14:textId="77777777" w:rsidR="00FE461F" w:rsidRPr="005E4BEA" w:rsidRDefault="00FE461F" w:rsidP="00FE461F">
            <w:pPr>
              <w:spacing w:line="240" w:lineRule="auto"/>
              <w:rPr>
                <w:rFonts w:cs="Arial"/>
                <w:szCs w:val="20"/>
              </w:rPr>
            </w:pPr>
            <w:r w:rsidRPr="005E4BEA">
              <w:rPr>
                <w:rFonts w:cs="Arial"/>
                <w:szCs w:val="20"/>
              </w:rPr>
              <w:t xml:space="preserve">           12,50   </w:t>
            </w:r>
          </w:p>
        </w:tc>
        <w:tc>
          <w:tcPr>
            <w:tcW w:w="1559" w:type="dxa"/>
            <w:tcBorders>
              <w:top w:val="nil"/>
              <w:left w:val="nil"/>
              <w:bottom w:val="single" w:sz="4" w:space="0" w:color="auto"/>
              <w:right w:val="single" w:sz="4" w:space="0" w:color="auto"/>
            </w:tcBorders>
            <w:shd w:val="clear" w:color="auto" w:fill="auto"/>
            <w:noWrap/>
            <w:vAlign w:val="bottom"/>
            <w:hideMark/>
          </w:tcPr>
          <w:p w14:paraId="4D3EEE39" w14:textId="77777777" w:rsidR="00FE461F" w:rsidRPr="005E4BEA" w:rsidRDefault="00FE461F" w:rsidP="00FE461F">
            <w:pPr>
              <w:spacing w:line="240" w:lineRule="auto"/>
              <w:jc w:val="right"/>
              <w:rPr>
                <w:rFonts w:cs="Arial"/>
                <w:szCs w:val="20"/>
              </w:rPr>
            </w:pPr>
            <w:r w:rsidRPr="005E4BEA">
              <w:rPr>
                <w:rFonts w:cs="Arial"/>
                <w:szCs w:val="20"/>
              </w:rPr>
              <w:t>7,80</w:t>
            </w:r>
          </w:p>
        </w:tc>
      </w:tr>
      <w:tr w:rsidR="00FE461F" w:rsidRPr="005E4BEA" w14:paraId="0061FD40"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FBDDD6C" w14:textId="77777777" w:rsidR="00FE461F" w:rsidRPr="005E4BEA" w:rsidRDefault="00FE461F" w:rsidP="00FE461F">
            <w:pPr>
              <w:spacing w:line="240" w:lineRule="auto"/>
              <w:rPr>
                <w:rFonts w:cs="Arial"/>
                <w:szCs w:val="20"/>
              </w:rPr>
            </w:pPr>
            <w:r w:rsidRPr="005E4BEA">
              <w:rPr>
                <w:rFonts w:cs="Arial"/>
                <w:szCs w:val="20"/>
              </w:rPr>
              <w:t>1 dipl. fizioterapevt/višji fizioterapevt na 50 postelj</w:t>
            </w:r>
          </w:p>
        </w:tc>
        <w:tc>
          <w:tcPr>
            <w:tcW w:w="1100" w:type="dxa"/>
            <w:tcBorders>
              <w:top w:val="nil"/>
              <w:left w:val="nil"/>
              <w:bottom w:val="single" w:sz="4" w:space="0" w:color="auto"/>
              <w:right w:val="single" w:sz="4" w:space="0" w:color="auto"/>
            </w:tcBorders>
            <w:shd w:val="clear" w:color="auto" w:fill="auto"/>
            <w:noWrap/>
            <w:vAlign w:val="bottom"/>
            <w:hideMark/>
          </w:tcPr>
          <w:p w14:paraId="41E464CF" w14:textId="77777777" w:rsidR="00FE461F" w:rsidRPr="005E4BEA" w:rsidRDefault="00FE461F" w:rsidP="00FE461F">
            <w:pPr>
              <w:spacing w:line="240" w:lineRule="auto"/>
              <w:rPr>
                <w:rFonts w:cs="Arial"/>
                <w:szCs w:val="20"/>
              </w:rPr>
            </w:pPr>
            <w:r w:rsidRPr="005E4BEA">
              <w:rPr>
                <w:rFonts w:cs="Arial"/>
                <w:szCs w:val="20"/>
              </w:rPr>
              <w:t xml:space="preserve">           0,0200     </w:t>
            </w:r>
          </w:p>
        </w:tc>
        <w:tc>
          <w:tcPr>
            <w:tcW w:w="1590" w:type="dxa"/>
            <w:tcBorders>
              <w:top w:val="nil"/>
              <w:left w:val="nil"/>
              <w:bottom w:val="single" w:sz="4" w:space="0" w:color="auto"/>
              <w:right w:val="single" w:sz="4" w:space="0" w:color="auto"/>
            </w:tcBorders>
            <w:shd w:val="clear" w:color="auto" w:fill="auto"/>
            <w:noWrap/>
            <w:vAlign w:val="bottom"/>
            <w:hideMark/>
          </w:tcPr>
          <w:p w14:paraId="71FC2B3E" w14:textId="77777777" w:rsidR="00FE461F" w:rsidRPr="005E4BEA" w:rsidRDefault="00FE461F" w:rsidP="00FE461F">
            <w:pPr>
              <w:spacing w:line="240" w:lineRule="auto"/>
              <w:rPr>
                <w:rFonts w:cs="Arial"/>
                <w:szCs w:val="20"/>
              </w:rPr>
            </w:pPr>
            <w:r w:rsidRPr="005E4BEA">
              <w:rPr>
                <w:rFonts w:cs="Arial"/>
                <w:szCs w:val="20"/>
              </w:rPr>
              <w:t xml:space="preserve">              2,00   </w:t>
            </w:r>
          </w:p>
        </w:tc>
        <w:tc>
          <w:tcPr>
            <w:tcW w:w="1559" w:type="dxa"/>
            <w:tcBorders>
              <w:top w:val="nil"/>
              <w:left w:val="nil"/>
              <w:bottom w:val="single" w:sz="4" w:space="0" w:color="auto"/>
              <w:right w:val="single" w:sz="4" w:space="0" w:color="auto"/>
            </w:tcBorders>
            <w:shd w:val="clear" w:color="auto" w:fill="auto"/>
            <w:noWrap/>
            <w:vAlign w:val="bottom"/>
            <w:hideMark/>
          </w:tcPr>
          <w:p w14:paraId="7213E5C0" w14:textId="77777777" w:rsidR="00FE461F" w:rsidRPr="005E4BEA" w:rsidRDefault="00FE461F" w:rsidP="00FE461F">
            <w:pPr>
              <w:spacing w:line="240" w:lineRule="auto"/>
              <w:jc w:val="right"/>
              <w:rPr>
                <w:rFonts w:cs="Arial"/>
                <w:szCs w:val="20"/>
              </w:rPr>
            </w:pPr>
            <w:r w:rsidRPr="005E4BEA">
              <w:rPr>
                <w:rFonts w:cs="Arial"/>
                <w:szCs w:val="20"/>
              </w:rPr>
              <w:t>1,25</w:t>
            </w:r>
          </w:p>
        </w:tc>
      </w:tr>
      <w:tr w:rsidR="00FE461F" w:rsidRPr="005E4BEA" w14:paraId="743EFB69"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A3D3586" w14:textId="77777777" w:rsidR="00FE461F" w:rsidRPr="005E4BEA" w:rsidRDefault="00FE461F" w:rsidP="00FE461F">
            <w:pPr>
              <w:spacing w:line="240" w:lineRule="auto"/>
              <w:rPr>
                <w:rFonts w:cs="Arial"/>
                <w:szCs w:val="20"/>
              </w:rPr>
            </w:pPr>
            <w:r w:rsidRPr="005E4BEA">
              <w:rPr>
                <w:rFonts w:cs="Arial"/>
                <w:szCs w:val="20"/>
              </w:rPr>
              <w:t>1 diplomirana med. sestra/višja med. sestra na 60 postelj</w:t>
            </w:r>
          </w:p>
        </w:tc>
        <w:tc>
          <w:tcPr>
            <w:tcW w:w="1100" w:type="dxa"/>
            <w:tcBorders>
              <w:top w:val="nil"/>
              <w:left w:val="nil"/>
              <w:bottom w:val="single" w:sz="4" w:space="0" w:color="auto"/>
              <w:right w:val="single" w:sz="4" w:space="0" w:color="auto"/>
            </w:tcBorders>
            <w:shd w:val="clear" w:color="auto" w:fill="auto"/>
            <w:noWrap/>
            <w:vAlign w:val="bottom"/>
            <w:hideMark/>
          </w:tcPr>
          <w:p w14:paraId="293B3524" w14:textId="77777777" w:rsidR="00FE461F" w:rsidRPr="005E4BEA" w:rsidRDefault="00FE461F" w:rsidP="00FE461F">
            <w:pPr>
              <w:spacing w:line="240" w:lineRule="auto"/>
              <w:rPr>
                <w:rFonts w:cs="Arial"/>
                <w:szCs w:val="20"/>
              </w:rPr>
            </w:pPr>
            <w:r w:rsidRPr="005E4BEA">
              <w:rPr>
                <w:rFonts w:cs="Arial"/>
                <w:szCs w:val="20"/>
              </w:rPr>
              <w:t xml:space="preserve">           0,0167     </w:t>
            </w:r>
          </w:p>
        </w:tc>
        <w:tc>
          <w:tcPr>
            <w:tcW w:w="1590" w:type="dxa"/>
            <w:tcBorders>
              <w:top w:val="nil"/>
              <w:left w:val="nil"/>
              <w:bottom w:val="single" w:sz="4" w:space="0" w:color="auto"/>
              <w:right w:val="single" w:sz="4" w:space="0" w:color="auto"/>
            </w:tcBorders>
            <w:shd w:val="clear" w:color="auto" w:fill="auto"/>
            <w:noWrap/>
            <w:vAlign w:val="bottom"/>
            <w:hideMark/>
          </w:tcPr>
          <w:p w14:paraId="5F7277AC" w14:textId="77777777" w:rsidR="00FE461F" w:rsidRPr="005E4BEA" w:rsidRDefault="00FE461F" w:rsidP="00FE461F">
            <w:pPr>
              <w:spacing w:line="240" w:lineRule="auto"/>
              <w:rPr>
                <w:rFonts w:cs="Arial"/>
                <w:szCs w:val="20"/>
              </w:rPr>
            </w:pPr>
            <w:r w:rsidRPr="005E4BEA">
              <w:rPr>
                <w:rFonts w:cs="Arial"/>
                <w:szCs w:val="20"/>
              </w:rPr>
              <w:t xml:space="preserve">              1,67   </w:t>
            </w:r>
          </w:p>
        </w:tc>
        <w:tc>
          <w:tcPr>
            <w:tcW w:w="1559" w:type="dxa"/>
            <w:tcBorders>
              <w:top w:val="nil"/>
              <w:left w:val="nil"/>
              <w:bottom w:val="single" w:sz="4" w:space="0" w:color="auto"/>
              <w:right w:val="single" w:sz="4" w:space="0" w:color="auto"/>
            </w:tcBorders>
            <w:shd w:val="clear" w:color="auto" w:fill="auto"/>
            <w:noWrap/>
            <w:vAlign w:val="bottom"/>
            <w:hideMark/>
          </w:tcPr>
          <w:p w14:paraId="4565FA45" w14:textId="77777777" w:rsidR="00FE461F" w:rsidRPr="005E4BEA" w:rsidRDefault="00FE461F" w:rsidP="00FE461F">
            <w:pPr>
              <w:spacing w:line="240" w:lineRule="auto"/>
              <w:jc w:val="right"/>
              <w:rPr>
                <w:rFonts w:cs="Arial"/>
                <w:szCs w:val="20"/>
              </w:rPr>
            </w:pPr>
            <w:r w:rsidRPr="005E4BEA">
              <w:rPr>
                <w:rFonts w:cs="Arial"/>
                <w:szCs w:val="20"/>
              </w:rPr>
              <w:t>1,04</w:t>
            </w:r>
          </w:p>
        </w:tc>
      </w:tr>
      <w:tr w:rsidR="00FE461F" w:rsidRPr="005E4BEA" w14:paraId="622A838C"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F3FDCE3" w14:textId="77777777" w:rsidR="00FE461F" w:rsidRPr="005E4BEA" w:rsidRDefault="00FE461F" w:rsidP="00FE461F">
            <w:pPr>
              <w:spacing w:line="240" w:lineRule="auto"/>
              <w:rPr>
                <w:rFonts w:cs="Arial"/>
                <w:szCs w:val="20"/>
              </w:rPr>
            </w:pPr>
            <w:r w:rsidRPr="005E4BEA">
              <w:rPr>
                <w:rFonts w:cs="Arial"/>
                <w:szCs w:val="20"/>
              </w:rPr>
              <w:t>1 dipl. del. terapevt/ višji del. terapevt na 40 postelj</w:t>
            </w:r>
          </w:p>
        </w:tc>
        <w:tc>
          <w:tcPr>
            <w:tcW w:w="1100" w:type="dxa"/>
            <w:tcBorders>
              <w:top w:val="nil"/>
              <w:left w:val="nil"/>
              <w:bottom w:val="single" w:sz="4" w:space="0" w:color="auto"/>
              <w:right w:val="single" w:sz="4" w:space="0" w:color="auto"/>
            </w:tcBorders>
            <w:shd w:val="clear" w:color="auto" w:fill="auto"/>
            <w:noWrap/>
            <w:vAlign w:val="bottom"/>
            <w:hideMark/>
          </w:tcPr>
          <w:p w14:paraId="4009C01D" w14:textId="77777777" w:rsidR="00FE461F" w:rsidRPr="005E4BEA" w:rsidRDefault="00FE461F" w:rsidP="00FE461F">
            <w:pPr>
              <w:spacing w:line="240" w:lineRule="auto"/>
              <w:rPr>
                <w:rFonts w:cs="Arial"/>
                <w:szCs w:val="20"/>
              </w:rPr>
            </w:pPr>
            <w:r w:rsidRPr="005E4BEA">
              <w:rPr>
                <w:rFonts w:cs="Arial"/>
                <w:szCs w:val="20"/>
              </w:rPr>
              <w:t xml:space="preserve">           0,0250     </w:t>
            </w:r>
          </w:p>
        </w:tc>
        <w:tc>
          <w:tcPr>
            <w:tcW w:w="1590" w:type="dxa"/>
            <w:tcBorders>
              <w:top w:val="nil"/>
              <w:left w:val="nil"/>
              <w:bottom w:val="single" w:sz="4" w:space="0" w:color="auto"/>
              <w:right w:val="single" w:sz="4" w:space="0" w:color="auto"/>
            </w:tcBorders>
            <w:shd w:val="clear" w:color="auto" w:fill="auto"/>
            <w:noWrap/>
            <w:vAlign w:val="bottom"/>
            <w:hideMark/>
          </w:tcPr>
          <w:p w14:paraId="511BF598" w14:textId="77777777" w:rsidR="00FE461F" w:rsidRPr="005E4BEA" w:rsidRDefault="00FE461F" w:rsidP="00FE461F">
            <w:pPr>
              <w:spacing w:line="240" w:lineRule="auto"/>
              <w:rPr>
                <w:rFonts w:cs="Arial"/>
                <w:szCs w:val="20"/>
              </w:rPr>
            </w:pPr>
            <w:r w:rsidRPr="005E4BEA">
              <w:rPr>
                <w:rFonts w:cs="Arial"/>
                <w:szCs w:val="20"/>
              </w:rPr>
              <w:t xml:space="preserve">              2,50   </w:t>
            </w:r>
          </w:p>
        </w:tc>
        <w:tc>
          <w:tcPr>
            <w:tcW w:w="1559" w:type="dxa"/>
            <w:tcBorders>
              <w:top w:val="nil"/>
              <w:left w:val="nil"/>
              <w:bottom w:val="single" w:sz="4" w:space="0" w:color="auto"/>
              <w:right w:val="single" w:sz="4" w:space="0" w:color="auto"/>
            </w:tcBorders>
            <w:shd w:val="clear" w:color="auto" w:fill="auto"/>
            <w:noWrap/>
            <w:vAlign w:val="bottom"/>
            <w:hideMark/>
          </w:tcPr>
          <w:p w14:paraId="38A9B8FD" w14:textId="77777777" w:rsidR="00FE461F" w:rsidRPr="005E4BEA" w:rsidRDefault="00FE461F" w:rsidP="00FE461F">
            <w:pPr>
              <w:spacing w:line="240" w:lineRule="auto"/>
              <w:jc w:val="right"/>
              <w:rPr>
                <w:rFonts w:cs="Arial"/>
                <w:szCs w:val="20"/>
              </w:rPr>
            </w:pPr>
            <w:r w:rsidRPr="005E4BEA">
              <w:rPr>
                <w:rFonts w:cs="Arial"/>
                <w:szCs w:val="20"/>
              </w:rPr>
              <w:t>1,56</w:t>
            </w:r>
          </w:p>
        </w:tc>
      </w:tr>
      <w:tr w:rsidR="00FE461F" w:rsidRPr="005E4BEA" w14:paraId="4CA8BAF9"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4057032" w14:textId="77777777" w:rsidR="00FE461F" w:rsidRPr="005E4BEA" w:rsidRDefault="00FE461F" w:rsidP="00FE461F">
            <w:pPr>
              <w:spacing w:line="240" w:lineRule="auto"/>
              <w:rPr>
                <w:rFonts w:cs="Arial"/>
                <w:szCs w:val="20"/>
              </w:rPr>
            </w:pPr>
            <w:r w:rsidRPr="005E4BEA">
              <w:rPr>
                <w:rFonts w:cs="Arial"/>
                <w:szCs w:val="20"/>
              </w:rPr>
              <w:t>1 bolničar-negovalec na 8 postelj</w:t>
            </w:r>
          </w:p>
        </w:tc>
        <w:tc>
          <w:tcPr>
            <w:tcW w:w="1100" w:type="dxa"/>
            <w:tcBorders>
              <w:top w:val="nil"/>
              <w:left w:val="nil"/>
              <w:bottom w:val="single" w:sz="4" w:space="0" w:color="auto"/>
              <w:right w:val="single" w:sz="4" w:space="0" w:color="auto"/>
            </w:tcBorders>
            <w:shd w:val="clear" w:color="auto" w:fill="auto"/>
            <w:noWrap/>
            <w:vAlign w:val="bottom"/>
            <w:hideMark/>
          </w:tcPr>
          <w:p w14:paraId="2FADFBF1" w14:textId="77777777" w:rsidR="00FE461F" w:rsidRPr="005E4BEA" w:rsidRDefault="00FE461F" w:rsidP="00FE461F">
            <w:pPr>
              <w:spacing w:line="240" w:lineRule="auto"/>
              <w:rPr>
                <w:rFonts w:cs="Arial"/>
                <w:szCs w:val="20"/>
              </w:rPr>
            </w:pPr>
            <w:r w:rsidRPr="005E4BEA">
              <w:rPr>
                <w:rFonts w:cs="Arial"/>
                <w:szCs w:val="20"/>
              </w:rPr>
              <w:t xml:space="preserve">           0,1250     </w:t>
            </w:r>
          </w:p>
        </w:tc>
        <w:tc>
          <w:tcPr>
            <w:tcW w:w="1590" w:type="dxa"/>
            <w:tcBorders>
              <w:top w:val="nil"/>
              <w:left w:val="nil"/>
              <w:bottom w:val="single" w:sz="4" w:space="0" w:color="auto"/>
              <w:right w:val="single" w:sz="4" w:space="0" w:color="auto"/>
            </w:tcBorders>
            <w:shd w:val="clear" w:color="auto" w:fill="auto"/>
            <w:noWrap/>
            <w:vAlign w:val="bottom"/>
            <w:hideMark/>
          </w:tcPr>
          <w:p w14:paraId="40A714DB" w14:textId="77777777" w:rsidR="00FE461F" w:rsidRPr="005E4BEA" w:rsidRDefault="00FE461F" w:rsidP="00FE461F">
            <w:pPr>
              <w:spacing w:line="240" w:lineRule="auto"/>
              <w:rPr>
                <w:rFonts w:cs="Arial"/>
                <w:szCs w:val="20"/>
              </w:rPr>
            </w:pPr>
            <w:r w:rsidRPr="005E4BEA">
              <w:rPr>
                <w:rFonts w:cs="Arial"/>
                <w:szCs w:val="20"/>
              </w:rPr>
              <w:t xml:space="preserve">           12,50   </w:t>
            </w:r>
          </w:p>
        </w:tc>
        <w:tc>
          <w:tcPr>
            <w:tcW w:w="1559" w:type="dxa"/>
            <w:tcBorders>
              <w:top w:val="nil"/>
              <w:left w:val="nil"/>
              <w:bottom w:val="single" w:sz="4" w:space="0" w:color="auto"/>
              <w:right w:val="single" w:sz="4" w:space="0" w:color="auto"/>
            </w:tcBorders>
            <w:shd w:val="clear" w:color="auto" w:fill="auto"/>
            <w:noWrap/>
            <w:vAlign w:val="bottom"/>
            <w:hideMark/>
          </w:tcPr>
          <w:p w14:paraId="64D7FA43" w14:textId="77777777" w:rsidR="00FE461F" w:rsidRPr="005E4BEA" w:rsidRDefault="00FE461F" w:rsidP="00FE461F">
            <w:pPr>
              <w:spacing w:line="240" w:lineRule="auto"/>
              <w:jc w:val="right"/>
              <w:rPr>
                <w:rFonts w:cs="Arial"/>
                <w:szCs w:val="20"/>
              </w:rPr>
            </w:pPr>
            <w:r w:rsidRPr="005E4BEA">
              <w:rPr>
                <w:rFonts w:cs="Arial"/>
                <w:szCs w:val="20"/>
              </w:rPr>
              <w:t>7,80</w:t>
            </w:r>
          </w:p>
        </w:tc>
      </w:tr>
      <w:tr w:rsidR="00FE461F" w:rsidRPr="005E4BEA" w14:paraId="583C07CE"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019CC1C"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100" w:type="dxa"/>
            <w:tcBorders>
              <w:top w:val="nil"/>
              <w:left w:val="nil"/>
              <w:bottom w:val="single" w:sz="4" w:space="0" w:color="auto"/>
              <w:right w:val="single" w:sz="4" w:space="0" w:color="auto"/>
            </w:tcBorders>
            <w:shd w:val="clear" w:color="auto" w:fill="auto"/>
            <w:noWrap/>
            <w:vAlign w:val="bottom"/>
            <w:hideMark/>
          </w:tcPr>
          <w:p w14:paraId="78B805FE" w14:textId="77777777" w:rsidR="00FE461F" w:rsidRPr="005E4BEA" w:rsidRDefault="00FE461F" w:rsidP="00FE461F">
            <w:pPr>
              <w:spacing w:line="240" w:lineRule="auto"/>
              <w:rPr>
                <w:rFonts w:cs="Arial"/>
                <w:b/>
                <w:bCs/>
                <w:szCs w:val="20"/>
              </w:rPr>
            </w:pPr>
            <w:r w:rsidRPr="005E4BEA">
              <w:rPr>
                <w:rFonts w:cs="Arial"/>
                <w:b/>
                <w:bCs/>
                <w:szCs w:val="20"/>
              </w:rPr>
              <w:t xml:space="preserve">           0,3452     </w:t>
            </w:r>
          </w:p>
        </w:tc>
        <w:tc>
          <w:tcPr>
            <w:tcW w:w="1590" w:type="dxa"/>
            <w:tcBorders>
              <w:top w:val="nil"/>
              <w:left w:val="nil"/>
              <w:bottom w:val="single" w:sz="4" w:space="0" w:color="auto"/>
              <w:right w:val="single" w:sz="4" w:space="0" w:color="auto"/>
            </w:tcBorders>
            <w:shd w:val="clear" w:color="auto" w:fill="auto"/>
            <w:noWrap/>
            <w:vAlign w:val="bottom"/>
            <w:hideMark/>
          </w:tcPr>
          <w:p w14:paraId="46CAC77A" w14:textId="77777777" w:rsidR="00FE461F" w:rsidRPr="005E4BEA" w:rsidRDefault="00FE461F" w:rsidP="00FE461F">
            <w:pPr>
              <w:spacing w:line="240" w:lineRule="auto"/>
              <w:rPr>
                <w:rFonts w:cs="Arial"/>
                <w:b/>
                <w:bCs/>
                <w:szCs w:val="20"/>
              </w:rPr>
            </w:pPr>
            <w:r w:rsidRPr="005E4BEA">
              <w:rPr>
                <w:rFonts w:cs="Arial"/>
                <w:b/>
                <w:bCs/>
                <w:szCs w:val="20"/>
              </w:rPr>
              <w:t xml:space="preserve">           34,52   </w:t>
            </w:r>
          </w:p>
        </w:tc>
        <w:tc>
          <w:tcPr>
            <w:tcW w:w="1559" w:type="dxa"/>
            <w:tcBorders>
              <w:top w:val="nil"/>
              <w:left w:val="nil"/>
              <w:bottom w:val="single" w:sz="4" w:space="0" w:color="auto"/>
              <w:right w:val="single" w:sz="4" w:space="0" w:color="auto"/>
            </w:tcBorders>
            <w:shd w:val="clear" w:color="auto" w:fill="auto"/>
            <w:noWrap/>
            <w:vAlign w:val="bottom"/>
            <w:hideMark/>
          </w:tcPr>
          <w:p w14:paraId="6C5371A7" w14:textId="77777777" w:rsidR="00FE461F" w:rsidRPr="005E4BEA" w:rsidRDefault="00FE461F" w:rsidP="00FE461F">
            <w:pPr>
              <w:spacing w:line="240" w:lineRule="auto"/>
              <w:jc w:val="right"/>
              <w:rPr>
                <w:rFonts w:cs="Arial"/>
                <w:b/>
                <w:bCs/>
                <w:szCs w:val="20"/>
              </w:rPr>
            </w:pPr>
            <w:r w:rsidRPr="005E4BEA">
              <w:rPr>
                <w:rFonts w:cs="Arial"/>
                <w:b/>
                <w:bCs/>
                <w:szCs w:val="20"/>
              </w:rPr>
              <w:t>19,45</w:t>
            </w:r>
          </w:p>
        </w:tc>
      </w:tr>
      <w:tr w:rsidR="00FE461F" w:rsidRPr="005E4BEA" w14:paraId="5115B941" w14:textId="77777777" w:rsidTr="0016774B">
        <w:trPr>
          <w:trHeight w:val="264"/>
        </w:trPr>
        <w:tc>
          <w:tcPr>
            <w:tcW w:w="4540" w:type="dxa"/>
            <w:tcBorders>
              <w:top w:val="nil"/>
              <w:left w:val="nil"/>
              <w:bottom w:val="nil"/>
              <w:right w:val="nil"/>
            </w:tcBorders>
            <w:shd w:val="clear" w:color="auto" w:fill="auto"/>
            <w:noWrap/>
            <w:vAlign w:val="bottom"/>
            <w:hideMark/>
          </w:tcPr>
          <w:p w14:paraId="120458A8" w14:textId="77777777" w:rsidR="00FE461F" w:rsidRPr="005E4BEA" w:rsidRDefault="00FE461F" w:rsidP="00FE461F">
            <w:pPr>
              <w:spacing w:line="240" w:lineRule="auto"/>
              <w:jc w:val="right"/>
              <w:rPr>
                <w:rFonts w:cs="Arial"/>
                <w:b/>
                <w:bCs/>
                <w:szCs w:val="20"/>
              </w:rPr>
            </w:pPr>
          </w:p>
        </w:tc>
        <w:tc>
          <w:tcPr>
            <w:tcW w:w="1100" w:type="dxa"/>
            <w:tcBorders>
              <w:top w:val="nil"/>
              <w:left w:val="nil"/>
              <w:bottom w:val="nil"/>
              <w:right w:val="nil"/>
            </w:tcBorders>
            <w:shd w:val="clear" w:color="auto" w:fill="auto"/>
            <w:noWrap/>
            <w:vAlign w:val="bottom"/>
            <w:hideMark/>
          </w:tcPr>
          <w:p w14:paraId="4BC9F14F" w14:textId="77777777" w:rsidR="00FE461F" w:rsidRPr="005E4BEA" w:rsidRDefault="00FE461F" w:rsidP="00FE461F">
            <w:pPr>
              <w:spacing w:line="240" w:lineRule="auto"/>
              <w:rPr>
                <w:rFonts w:cs="Arial"/>
                <w:szCs w:val="20"/>
              </w:rPr>
            </w:pPr>
          </w:p>
        </w:tc>
        <w:tc>
          <w:tcPr>
            <w:tcW w:w="1590" w:type="dxa"/>
            <w:tcBorders>
              <w:top w:val="nil"/>
              <w:left w:val="nil"/>
              <w:bottom w:val="nil"/>
              <w:right w:val="nil"/>
            </w:tcBorders>
            <w:shd w:val="clear" w:color="auto" w:fill="auto"/>
            <w:noWrap/>
            <w:vAlign w:val="bottom"/>
            <w:hideMark/>
          </w:tcPr>
          <w:p w14:paraId="1D3B3A18"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04306EC2" w14:textId="77777777" w:rsidR="00FE461F" w:rsidRPr="005E4BEA" w:rsidRDefault="00FE461F" w:rsidP="00FE461F">
            <w:pPr>
              <w:spacing w:line="240" w:lineRule="auto"/>
              <w:rPr>
                <w:rFonts w:cs="Arial"/>
                <w:szCs w:val="20"/>
              </w:rPr>
            </w:pPr>
          </w:p>
        </w:tc>
      </w:tr>
      <w:tr w:rsidR="00FE461F" w:rsidRPr="005E4BEA" w14:paraId="69F8BD43" w14:textId="77777777" w:rsidTr="0016774B">
        <w:trPr>
          <w:trHeight w:val="264"/>
        </w:trPr>
        <w:tc>
          <w:tcPr>
            <w:tcW w:w="4540" w:type="dxa"/>
            <w:tcBorders>
              <w:top w:val="nil"/>
              <w:left w:val="nil"/>
              <w:bottom w:val="nil"/>
              <w:right w:val="nil"/>
            </w:tcBorders>
            <w:shd w:val="clear" w:color="auto" w:fill="auto"/>
            <w:noWrap/>
            <w:vAlign w:val="bottom"/>
            <w:hideMark/>
          </w:tcPr>
          <w:p w14:paraId="4970D5F8" w14:textId="77777777" w:rsidR="00FE461F" w:rsidRPr="005E4BEA" w:rsidRDefault="00FE461F" w:rsidP="00FE461F">
            <w:pPr>
              <w:spacing w:line="240" w:lineRule="auto"/>
              <w:rPr>
                <w:rFonts w:cs="Arial"/>
                <w:szCs w:val="20"/>
              </w:rPr>
            </w:pPr>
            <w:r w:rsidRPr="005E4BEA">
              <w:rPr>
                <w:rFonts w:cs="Arial"/>
                <w:szCs w:val="20"/>
              </w:rPr>
              <w:lastRenderedPageBreak/>
              <w:t>NEGA III</w:t>
            </w:r>
          </w:p>
        </w:tc>
        <w:tc>
          <w:tcPr>
            <w:tcW w:w="1100" w:type="dxa"/>
            <w:tcBorders>
              <w:top w:val="nil"/>
              <w:left w:val="nil"/>
              <w:bottom w:val="nil"/>
              <w:right w:val="nil"/>
            </w:tcBorders>
            <w:shd w:val="clear" w:color="auto" w:fill="auto"/>
            <w:noWrap/>
            <w:vAlign w:val="bottom"/>
            <w:hideMark/>
          </w:tcPr>
          <w:p w14:paraId="08CD5F64" w14:textId="77777777" w:rsidR="00FE461F" w:rsidRPr="005E4BEA" w:rsidRDefault="00FE461F" w:rsidP="00FE461F">
            <w:pPr>
              <w:spacing w:line="240" w:lineRule="auto"/>
              <w:rPr>
                <w:rFonts w:cs="Arial"/>
                <w:szCs w:val="20"/>
              </w:rPr>
            </w:pPr>
          </w:p>
        </w:tc>
        <w:tc>
          <w:tcPr>
            <w:tcW w:w="1590" w:type="dxa"/>
            <w:tcBorders>
              <w:top w:val="nil"/>
              <w:left w:val="nil"/>
              <w:bottom w:val="nil"/>
              <w:right w:val="nil"/>
            </w:tcBorders>
            <w:shd w:val="clear" w:color="auto" w:fill="auto"/>
            <w:noWrap/>
            <w:vAlign w:val="bottom"/>
            <w:hideMark/>
          </w:tcPr>
          <w:p w14:paraId="49D14011" w14:textId="77777777" w:rsidR="00FE461F" w:rsidRPr="005E4BEA" w:rsidRDefault="00FE461F" w:rsidP="00FE461F">
            <w:pPr>
              <w:spacing w:line="240" w:lineRule="auto"/>
              <w:rPr>
                <w:rFonts w:cs="Arial"/>
                <w:szCs w:val="20"/>
              </w:rPr>
            </w:pPr>
          </w:p>
        </w:tc>
        <w:tc>
          <w:tcPr>
            <w:tcW w:w="1559" w:type="dxa"/>
            <w:tcBorders>
              <w:top w:val="nil"/>
              <w:left w:val="nil"/>
              <w:bottom w:val="nil"/>
              <w:right w:val="nil"/>
            </w:tcBorders>
            <w:shd w:val="clear" w:color="auto" w:fill="auto"/>
            <w:noWrap/>
            <w:vAlign w:val="bottom"/>
            <w:hideMark/>
          </w:tcPr>
          <w:p w14:paraId="7B93A39D" w14:textId="77777777" w:rsidR="00FE461F" w:rsidRPr="005E4BEA" w:rsidRDefault="00FE461F" w:rsidP="00FE461F">
            <w:pPr>
              <w:spacing w:line="240" w:lineRule="auto"/>
              <w:rPr>
                <w:rFonts w:cs="Arial"/>
                <w:szCs w:val="20"/>
              </w:rPr>
            </w:pPr>
          </w:p>
        </w:tc>
      </w:tr>
      <w:tr w:rsidR="00FE461F" w:rsidRPr="005E4BEA" w14:paraId="4EDF286E" w14:textId="77777777" w:rsidTr="0016774B">
        <w:trPr>
          <w:trHeight w:val="792"/>
        </w:trPr>
        <w:tc>
          <w:tcPr>
            <w:tcW w:w="4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19DAB" w14:textId="77777777" w:rsidR="00FE461F" w:rsidRPr="005E4BEA" w:rsidRDefault="00FE461F" w:rsidP="00FE461F">
            <w:pPr>
              <w:spacing w:line="240" w:lineRule="auto"/>
              <w:jc w:val="center"/>
              <w:rPr>
                <w:rFonts w:cs="Arial"/>
                <w:szCs w:val="20"/>
              </w:rPr>
            </w:pPr>
            <w:r w:rsidRPr="005E4BEA">
              <w:rPr>
                <w:rFonts w:cs="Arial"/>
                <w:szCs w:val="20"/>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358A52EF" w14:textId="77777777" w:rsidR="00FE461F" w:rsidRPr="005E4BEA" w:rsidRDefault="00FE461F" w:rsidP="00FE461F">
            <w:pPr>
              <w:spacing w:line="240" w:lineRule="auto"/>
              <w:jc w:val="center"/>
              <w:rPr>
                <w:rFonts w:cs="Arial"/>
                <w:szCs w:val="20"/>
              </w:rPr>
            </w:pPr>
            <w:r w:rsidRPr="005E4BEA">
              <w:rPr>
                <w:rFonts w:cs="Arial"/>
                <w:szCs w:val="20"/>
              </w:rPr>
              <w:t xml:space="preserve"> št. delavcev na posteljo in na dan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169C5BF1" w14:textId="77777777" w:rsidR="00FE461F" w:rsidRPr="005E4BEA" w:rsidRDefault="00FE461F" w:rsidP="00FE461F">
            <w:pPr>
              <w:spacing w:line="240" w:lineRule="auto"/>
              <w:jc w:val="center"/>
              <w:rPr>
                <w:rFonts w:cs="Arial"/>
                <w:szCs w:val="20"/>
              </w:rPr>
            </w:pPr>
            <w:r w:rsidRPr="005E4BEA">
              <w:rPr>
                <w:rFonts w:cs="Arial"/>
                <w:szCs w:val="20"/>
              </w:rPr>
              <w:t xml:space="preserve">488.880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77FDA1C" w14:textId="77777777" w:rsidR="00FE461F" w:rsidRPr="005E4BEA" w:rsidRDefault="00FE461F" w:rsidP="00FE461F">
            <w:pPr>
              <w:spacing w:line="240" w:lineRule="auto"/>
              <w:jc w:val="center"/>
              <w:rPr>
                <w:rFonts w:cs="Arial"/>
                <w:szCs w:val="20"/>
              </w:rPr>
            </w:pPr>
            <w:r w:rsidRPr="005E4BEA">
              <w:rPr>
                <w:rFonts w:cs="Arial"/>
                <w:szCs w:val="20"/>
              </w:rPr>
              <w:t>POTREBEN KADER</w:t>
            </w:r>
          </w:p>
        </w:tc>
      </w:tr>
      <w:tr w:rsidR="00FE461F" w:rsidRPr="005E4BEA" w14:paraId="49914CBA"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21EF001" w14:textId="77777777" w:rsidR="00FE461F" w:rsidRPr="005E4BEA" w:rsidRDefault="00FE461F" w:rsidP="00FE461F">
            <w:pPr>
              <w:spacing w:line="240" w:lineRule="auto"/>
              <w:rPr>
                <w:rFonts w:cs="Arial"/>
                <w:szCs w:val="20"/>
              </w:rPr>
            </w:pPr>
            <w:r w:rsidRPr="005E4BEA">
              <w:rPr>
                <w:rFonts w:cs="Arial"/>
                <w:szCs w:val="20"/>
              </w:rPr>
              <w:t>1 tehnik zdravstvene nege na 4 postelj</w:t>
            </w:r>
          </w:p>
        </w:tc>
        <w:tc>
          <w:tcPr>
            <w:tcW w:w="1100" w:type="dxa"/>
            <w:tcBorders>
              <w:top w:val="nil"/>
              <w:left w:val="nil"/>
              <w:bottom w:val="single" w:sz="4" w:space="0" w:color="auto"/>
              <w:right w:val="single" w:sz="4" w:space="0" w:color="auto"/>
            </w:tcBorders>
            <w:shd w:val="clear" w:color="auto" w:fill="auto"/>
            <w:noWrap/>
            <w:vAlign w:val="bottom"/>
            <w:hideMark/>
          </w:tcPr>
          <w:p w14:paraId="57EA53B8" w14:textId="77777777" w:rsidR="00FE461F" w:rsidRPr="005E4BEA" w:rsidRDefault="00FE461F" w:rsidP="00FE461F">
            <w:pPr>
              <w:spacing w:line="240" w:lineRule="auto"/>
              <w:rPr>
                <w:rFonts w:cs="Arial"/>
                <w:szCs w:val="20"/>
              </w:rPr>
            </w:pPr>
            <w:r w:rsidRPr="005E4BEA">
              <w:rPr>
                <w:rFonts w:cs="Arial"/>
                <w:szCs w:val="20"/>
              </w:rPr>
              <w:t xml:space="preserve">           0,2500     </w:t>
            </w:r>
          </w:p>
        </w:tc>
        <w:tc>
          <w:tcPr>
            <w:tcW w:w="1590" w:type="dxa"/>
            <w:tcBorders>
              <w:top w:val="nil"/>
              <w:left w:val="nil"/>
              <w:bottom w:val="single" w:sz="4" w:space="0" w:color="auto"/>
              <w:right w:val="single" w:sz="4" w:space="0" w:color="auto"/>
            </w:tcBorders>
            <w:shd w:val="clear" w:color="auto" w:fill="auto"/>
            <w:noWrap/>
            <w:vAlign w:val="bottom"/>
            <w:hideMark/>
          </w:tcPr>
          <w:p w14:paraId="539A8F43" w14:textId="77777777" w:rsidR="00FE461F" w:rsidRPr="005E4BEA" w:rsidRDefault="00FE461F" w:rsidP="00FE461F">
            <w:pPr>
              <w:spacing w:line="240" w:lineRule="auto"/>
              <w:rPr>
                <w:rFonts w:cs="Arial"/>
                <w:szCs w:val="20"/>
              </w:rPr>
            </w:pPr>
            <w:r w:rsidRPr="005E4BEA">
              <w:rPr>
                <w:rFonts w:cs="Arial"/>
                <w:szCs w:val="20"/>
              </w:rPr>
              <w:t xml:space="preserve">           25,00   </w:t>
            </w:r>
          </w:p>
        </w:tc>
        <w:tc>
          <w:tcPr>
            <w:tcW w:w="1559" w:type="dxa"/>
            <w:tcBorders>
              <w:top w:val="nil"/>
              <w:left w:val="nil"/>
              <w:bottom w:val="single" w:sz="4" w:space="0" w:color="auto"/>
              <w:right w:val="single" w:sz="4" w:space="0" w:color="auto"/>
            </w:tcBorders>
            <w:shd w:val="clear" w:color="auto" w:fill="auto"/>
            <w:noWrap/>
            <w:vAlign w:val="bottom"/>
            <w:hideMark/>
          </w:tcPr>
          <w:p w14:paraId="6B76D9E0" w14:textId="77777777" w:rsidR="00FE461F" w:rsidRPr="005E4BEA" w:rsidRDefault="00FE461F" w:rsidP="00FE461F">
            <w:pPr>
              <w:spacing w:line="240" w:lineRule="auto"/>
              <w:jc w:val="right"/>
              <w:rPr>
                <w:rFonts w:cs="Arial"/>
                <w:szCs w:val="20"/>
              </w:rPr>
            </w:pPr>
            <w:r w:rsidRPr="005E4BEA">
              <w:rPr>
                <w:rFonts w:cs="Arial"/>
                <w:szCs w:val="20"/>
              </w:rPr>
              <w:t>334,85</w:t>
            </w:r>
          </w:p>
        </w:tc>
      </w:tr>
      <w:tr w:rsidR="00FE461F" w:rsidRPr="005E4BEA" w14:paraId="0856200A"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6395A34" w14:textId="77777777" w:rsidR="00FE461F" w:rsidRPr="005E4BEA" w:rsidRDefault="00FE461F" w:rsidP="00FE461F">
            <w:pPr>
              <w:spacing w:line="240" w:lineRule="auto"/>
              <w:rPr>
                <w:rFonts w:cs="Arial"/>
                <w:szCs w:val="20"/>
              </w:rPr>
            </w:pPr>
            <w:r w:rsidRPr="005E4BEA">
              <w:rPr>
                <w:rFonts w:cs="Arial"/>
                <w:szCs w:val="20"/>
              </w:rPr>
              <w:t>1 dipl. fizioterapevt/višji fizioterapevt na 30 postelj</w:t>
            </w:r>
          </w:p>
        </w:tc>
        <w:tc>
          <w:tcPr>
            <w:tcW w:w="1100" w:type="dxa"/>
            <w:tcBorders>
              <w:top w:val="nil"/>
              <w:left w:val="nil"/>
              <w:bottom w:val="single" w:sz="4" w:space="0" w:color="auto"/>
              <w:right w:val="single" w:sz="4" w:space="0" w:color="auto"/>
            </w:tcBorders>
            <w:shd w:val="clear" w:color="auto" w:fill="auto"/>
            <w:noWrap/>
            <w:vAlign w:val="bottom"/>
            <w:hideMark/>
          </w:tcPr>
          <w:p w14:paraId="4146668A" w14:textId="77777777" w:rsidR="00FE461F" w:rsidRPr="005E4BEA" w:rsidRDefault="00FE461F" w:rsidP="00FE461F">
            <w:pPr>
              <w:spacing w:line="240" w:lineRule="auto"/>
              <w:rPr>
                <w:rFonts w:cs="Arial"/>
                <w:szCs w:val="20"/>
              </w:rPr>
            </w:pPr>
            <w:r w:rsidRPr="005E4BEA">
              <w:rPr>
                <w:rFonts w:cs="Arial"/>
                <w:szCs w:val="20"/>
              </w:rPr>
              <w:t xml:space="preserve">           0,0333     </w:t>
            </w:r>
          </w:p>
        </w:tc>
        <w:tc>
          <w:tcPr>
            <w:tcW w:w="1590" w:type="dxa"/>
            <w:tcBorders>
              <w:top w:val="nil"/>
              <w:left w:val="nil"/>
              <w:bottom w:val="single" w:sz="4" w:space="0" w:color="auto"/>
              <w:right w:val="single" w:sz="4" w:space="0" w:color="auto"/>
            </w:tcBorders>
            <w:shd w:val="clear" w:color="auto" w:fill="auto"/>
            <w:noWrap/>
            <w:vAlign w:val="bottom"/>
            <w:hideMark/>
          </w:tcPr>
          <w:p w14:paraId="44D89A51" w14:textId="77777777" w:rsidR="00FE461F" w:rsidRPr="005E4BEA" w:rsidRDefault="00FE461F" w:rsidP="00FE461F">
            <w:pPr>
              <w:spacing w:line="240" w:lineRule="auto"/>
              <w:rPr>
                <w:rFonts w:cs="Arial"/>
                <w:szCs w:val="20"/>
              </w:rPr>
            </w:pPr>
            <w:r w:rsidRPr="005E4BEA">
              <w:rPr>
                <w:rFonts w:cs="Arial"/>
                <w:szCs w:val="20"/>
              </w:rPr>
              <w:t xml:space="preserve">              3,33   </w:t>
            </w:r>
          </w:p>
        </w:tc>
        <w:tc>
          <w:tcPr>
            <w:tcW w:w="1559" w:type="dxa"/>
            <w:tcBorders>
              <w:top w:val="nil"/>
              <w:left w:val="nil"/>
              <w:bottom w:val="single" w:sz="4" w:space="0" w:color="auto"/>
              <w:right w:val="single" w:sz="4" w:space="0" w:color="auto"/>
            </w:tcBorders>
            <w:shd w:val="clear" w:color="auto" w:fill="auto"/>
            <w:noWrap/>
            <w:vAlign w:val="bottom"/>
            <w:hideMark/>
          </w:tcPr>
          <w:p w14:paraId="44A4FBA1" w14:textId="77777777" w:rsidR="00FE461F" w:rsidRPr="005E4BEA" w:rsidRDefault="00FE461F" w:rsidP="00FE461F">
            <w:pPr>
              <w:spacing w:line="240" w:lineRule="auto"/>
              <w:jc w:val="right"/>
              <w:rPr>
                <w:rFonts w:cs="Arial"/>
                <w:szCs w:val="20"/>
              </w:rPr>
            </w:pPr>
            <w:r w:rsidRPr="005E4BEA">
              <w:rPr>
                <w:rFonts w:cs="Arial"/>
                <w:szCs w:val="20"/>
              </w:rPr>
              <w:t>44,65</w:t>
            </w:r>
          </w:p>
        </w:tc>
      </w:tr>
      <w:tr w:rsidR="00FE461F" w:rsidRPr="005E4BEA" w14:paraId="234FE944"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B17DD39" w14:textId="77777777" w:rsidR="00FE461F" w:rsidRPr="005E4BEA" w:rsidRDefault="00FE461F" w:rsidP="00FE461F">
            <w:pPr>
              <w:spacing w:line="240" w:lineRule="auto"/>
              <w:rPr>
                <w:rFonts w:cs="Arial"/>
                <w:szCs w:val="20"/>
              </w:rPr>
            </w:pPr>
            <w:r w:rsidRPr="005E4BEA">
              <w:rPr>
                <w:rFonts w:cs="Arial"/>
                <w:szCs w:val="20"/>
              </w:rPr>
              <w:t>1 diplomirana med. sestra/višja med. sestra na 15 postelj</w:t>
            </w:r>
          </w:p>
        </w:tc>
        <w:tc>
          <w:tcPr>
            <w:tcW w:w="1100" w:type="dxa"/>
            <w:tcBorders>
              <w:top w:val="nil"/>
              <w:left w:val="nil"/>
              <w:bottom w:val="single" w:sz="4" w:space="0" w:color="auto"/>
              <w:right w:val="single" w:sz="4" w:space="0" w:color="auto"/>
            </w:tcBorders>
            <w:shd w:val="clear" w:color="auto" w:fill="auto"/>
            <w:noWrap/>
            <w:vAlign w:val="bottom"/>
            <w:hideMark/>
          </w:tcPr>
          <w:p w14:paraId="0D8EB963" w14:textId="77777777" w:rsidR="00FE461F" w:rsidRPr="005E4BEA" w:rsidRDefault="00FE461F" w:rsidP="00FE461F">
            <w:pPr>
              <w:spacing w:line="240" w:lineRule="auto"/>
              <w:rPr>
                <w:rFonts w:cs="Arial"/>
                <w:szCs w:val="20"/>
              </w:rPr>
            </w:pPr>
            <w:r w:rsidRPr="005E4BEA">
              <w:rPr>
                <w:rFonts w:cs="Arial"/>
                <w:szCs w:val="20"/>
              </w:rPr>
              <w:t xml:space="preserve">           0,0667     </w:t>
            </w:r>
          </w:p>
        </w:tc>
        <w:tc>
          <w:tcPr>
            <w:tcW w:w="1590" w:type="dxa"/>
            <w:tcBorders>
              <w:top w:val="nil"/>
              <w:left w:val="nil"/>
              <w:bottom w:val="single" w:sz="4" w:space="0" w:color="auto"/>
              <w:right w:val="single" w:sz="4" w:space="0" w:color="auto"/>
            </w:tcBorders>
            <w:shd w:val="clear" w:color="auto" w:fill="auto"/>
            <w:noWrap/>
            <w:vAlign w:val="bottom"/>
            <w:hideMark/>
          </w:tcPr>
          <w:p w14:paraId="376AD12C" w14:textId="77777777" w:rsidR="00FE461F" w:rsidRPr="005E4BEA" w:rsidRDefault="00FE461F" w:rsidP="00FE461F">
            <w:pPr>
              <w:spacing w:line="240" w:lineRule="auto"/>
              <w:rPr>
                <w:rFonts w:cs="Arial"/>
                <w:szCs w:val="20"/>
              </w:rPr>
            </w:pPr>
            <w:r w:rsidRPr="005E4BEA">
              <w:rPr>
                <w:rFonts w:cs="Arial"/>
                <w:szCs w:val="20"/>
              </w:rPr>
              <w:t xml:space="preserve">              6,67   </w:t>
            </w:r>
          </w:p>
        </w:tc>
        <w:tc>
          <w:tcPr>
            <w:tcW w:w="1559" w:type="dxa"/>
            <w:tcBorders>
              <w:top w:val="nil"/>
              <w:left w:val="nil"/>
              <w:bottom w:val="single" w:sz="4" w:space="0" w:color="auto"/>
              <w:right w:val="single" w:sz="4" w:space="0" w:color="auto"/>
            </w:tcBorders>
            <w:shd w:val="clear" w:color="auto" w:fill="auto"/>
            <w:noWrap/>
            <w:vAlign w:val="bottom"/>
            <w:hideMark/>
          </w:tcPr>
          <w:p w14:paraId="17E76665" w14:textId="77777777" w:rsidR="00FE461F" w:rsidRPr="005E4BEA" w:rsidRDefault="00FE461F" w:rsidP="00FE461F">
            <w:pPr>
              <w:spacing w:line="240" w:lineRule="auto"/>
              <w:jc w:val="right"/>
              <w:rPr>
                <w:rFonts w:cs="Arial"/>
                <w:szCs w:val="20"/>
              </w:rPr>
            </w:pPr>
            <w:r w:rsidRPr="005E4BEA">
              <w:rPr>
                <w:rFonts w:cs="Arial"/>
                <w:szCs w:val="20"/>
              </w:rPr>
              <w:t>89,29</w:t>
            </w:r>
          </w:p>
        </w:tc>
      </w:tr>
      <w:tr w:rsidR="00FE461F" w:rsidRPr="005E4BEA" w14:paraId="75458A73"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BB48E80" w14:textId="77777777" w:rsidR="00FE461F" w:rsidRPr="005E4BEA" w:rsidRDefault="00FE461F" w:rsidP="00FE461F">
            <w:pPr>
              <w:spacing w:line="240" w:lineRule="auto"/>
              <w:rPr>
                <w:rFonts w:cs="Arial"/>
                <w:szCs w:val="20"/>
              </w:rPr>
            </w:pPr>
            <w:r w:rsidRPr="005E4BEA">
              <w:rPr>
                <w:rFonts w:cs="Arial"/>
                <w:szCs w:val="20"/>
              </w:rPr>
              <w:t>1 dipl. del. terapevt/ višji del. terapevt na 15 postelj</w:t>
            </w:r>
          </w:p>
        </w:tc>
        <w:tc>
          <w:tcPr>
            <w:tcW w:w="1100" w:type="dxa"/>
            <w:tcBorders>
              <w:top w:val="nil"/>
              <w:left w:val="nil"/>
              <w:bottom w:val="single" w:sz="4" w:space="0" w:color="auto"/>
              <w:right w:val="single" w:sz="4" w:space="0" w:color="auto"/>
            </w:tcBorders>
            <w:shd w:val="clear" w:color="auto" w:fill="auto"/>
            <w:noWrap/>
            <w:vAlign w:val="bottom"/>
            <w:hideMark/>
          </w:tcPr>
          <w:p w14:paraId="68CB9233" w14:textId="77777777" w:rsidR="00FE461F" w:rsidRPr="005E4BEA" w:rsidRDefault="00FE461F" w:rsidP="00FE461F">
            <w:pPr>
              <w:spacing w:line="240" w:lineRule="auto"/>
              <w:rPr>
                <w:rFonts w:cs="Arial"/>
                <w:szCs w:val="20"/>
              </w:rPr>
            </w:pPr>
            <w:r w:rsidRPr="005E4BEA">
              <w:rPr>
                <w:rFonts w:cs="Arial"/>
                <w:szCs w:val="20"/>
              </w:rPr>
              <w:t xml:space="preserve">           0,0667     </w:t>
            </w:r>
          </w:p>
        </w:tc>
        <w:tc>
          <w:tcPr>
            <w:tcW w:w="1590" w:type="dxa"/>
            <w:tcBorders>
              <w:top w:val="nil"/>
              <w:left w:val="nil"/>
              <w:bottom w:val="single" w:sz="4" w:space="0" w:color="auto"/>
              <w:right w:val="single" w:sz="4" w:space="0" w:color="auto"/>
            </w:tcBorders>
            <w:shd w:val="clear" w:color="auto" w:fill="auto"/>
            <w:noWrap/>
            <w:vAlign w:val="bottom"/>
            <w:hideMark/>
          </w:tcPr>
          <w:p w14:paraId="64B4963A" w14:textId="77777777" w:rsidR="00FE461F" w:rsidRPr="005E4BEA" w:rsidRDefault="00FE461F" w:rsidP="00FE461F">
            <w:pPr>
              <w:spacing w:line="240" w:lineRule="auto"/>
              <w:rPr>
                <w:rFonts w:cs="Arial"/>
                <w:szCs w:val="20"/>
              </w:rPr>
            </w:pPr>
            <w:r w:rsidRPr="005E4BEA">
              <w:rPr>
                <w:rFonts w:cs="Arial"/>
                <w:szCs w:val="20"/>
              </w:rPr>
              <w:t xml:space="preserve">              6,67   </w:t>
            </w:r>
          </w:p>
        </w:tc>
        <w:tc>
          <w:tcPr>
            <w:tcW w:w="1559" w:type="dxa"/>
            <w:tcBorders>
              <w:top w:val="nil"/>
              <w:left w:val="nil"/>
              <w:bottom w:val="single" w:sz="4" w:space="0" w:color="auto"/>
              <w:right w:val="single" w:sz="4" w:space="0" w:color="auto"/>
            </w:tcBorders>
            <w:shd w:val="clear" w:color="auto" w:fill="auto"/>
            <w:noWrap/>
            <w:vAlign w:val="bottom"/>
            <w:hideMark/>
          </w:tcPr>
          <w:p w14:paraId="7EF417E4" w14:textId="77777777" w:rsidR="00FE461F" w:rsidRPr="005E4BEA" w:rsidRDefault="00FE461F" w:rsidP="00FE461F">
            <w:pPr>
              <w:spacing w:line="240" w:lineRule="auto"/>
              <w:jc w:val="right"/>
              <w:rPr>
                <w:rFonts w:cs="Arial"/>
                <w:szCs w:val="20"/>
              </w:rPr>
            </w:pPr>
            <w:r w:rsidRPr="005E4BEA">
              <w:rPr>
                <w:rFonts w:cs="Arial"/>
                <w:szCs w:val="20"/>
              </w:rPr>
              <w:t>89,29</w:t>
            </w:r>
          </w:p>
        </w:tc>
      </w:tr>
      <w:tr w:rsidR="00FE461F" w:rsidRPr="005E4BEA" w14:paraId="5EB654D5"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7DD4B1A" w14:textId="77777777" w:rsidR="00FE461F" w:rsidRPr="005E4BEA" w:rsidRDefault="00FE461F" w:rsidP="00FE461F">
            <w:pPr>
              <w:spacing w:line="240" w:lineRule="auto"/>
              <w:rPr>
                <w:rFonts w:cs="Arial"/>
                <w:szCs w:val="20"/>
              </w:rPr>
            </w:pPr>
            <w:r w:rsidRPr="005E4BEA">
              <w:rPr>
                <w:rFonts w:cs="Arial"/>
                <w:szCs w:val="20"/>
              </w:rPr>
              <w:t>1 bolničar-negovalec na 7 postelj</w:t>
            </w:r>
          </w:p>
        </w:tc>
        <w:tc>
          <w:tcPr>
            <w:tcW w:w="1100" w:type="dxa"/>
            <w:tcBorders>
              <w:top w:val="nil"/>
              <w:left w:val="nil"/>
              <w:bottom w:val="single" w:sz="4" w:space="0" w:color="auto"/>
              <w:right w:val="single" w:sz="4" w:space="0" w:color="auto"/>
            </w:tcBorders>
            <w:shd w:val="clear" w:color="auto" w:fill="auto"/>
            <w:noWrap/>
            <w:vAlign w:val="bottom"/>
            <w:hideMark/>
          </w:tcPr>
          <w:p w14:paraId="4F96D885" w14:textId="77777777" w:rsidR="00FE461F" w:rsidRPr="005E4BEA" w:rsidRDefault="00FE461F" w:rsidP="00FE461F">
            <w:pPr>
              <w:spacing w:line="240" w:lineRule="auto"/>
              <w:rPr>
                <w:rFonts w:cs="Arial"/>
                <w:szCs w:val="20"/>
              </w:rPr>
            </w:pPr>
            <w:r w:rsidRPr="005E4BEA">
              <w:rPr>
                <w:rFonts w:cs="Arial"/>
                <w:szCs w:val="20"/>
              </w:rPr>
              <w:t xml:space="preserve">           0,1429     </w:t>
            </w:r>
          </w:p>
        </w:tc>
        <w:tc>
          <w:tcPr>
            <w:tcW w:w="1590" w:type="dxa"/>
            <w:tcBorders>
              <w:top w:val="nil"/>
              <w:left w:val="nil"/>
              <w:bottom w:val="single" w:sz="4" w:space="0" w:color="auto"/>
              <w:right w:val="single" w:sz="4" w:space="0" w:color="auto"/>
            </w:tcBorders>
            <w:shd w:val="clear" w:color="auto" w:fill="auto"/>
            <w:noWrap/>
            <w:vAlign w:val="bottom"/>
            <w:hideMark/>
          </w:tcPr>
          <w:p w14:paraId="68FD495F" w14:textId="77777777" w:rsidR="00FE461F" w:rsidRPr="005E4BEA" w:rsidRDefault="00FE461F" w:rsidP="00FE461F">
            <w:pPr>
              <w:spacing w:line="240" w:lineRule="auto"/>
              <w:rPr>
                <w:rFonts w:cs="Arial"/>
                <w:szCs w:val="20"/>
              </w:rPr>
            </w:pPr>
            <w:r w:rsidRPr="005E4BEA">
              <w:rPr>
                <w:rFonts w:cs="Arial"/>
                <w:szCs w:val="20"/>
              </w:rPr>
              <w:t xml:space="preserve">           14,29   </w:t>
            </w:r>
          </w:p>
        </w:tc>
        <w:tc>
          <w:tcPr>
            <w:tcW w:w="1559" w:type="dxa"/>
            <w:tcBorders>
              <w:top w:val="nil"/>
              <w:left w:val="nil"/>
              <w:bottom w:val="single" w:sz="4" w:space="0" w:color="auto"/>
              <w:right w:val="single" w:sz="4" w:space="0" w:color="auto"/>
            </w:tcBorders>
            <w:shd w:val="clear" w:color="auto" w:fill="auto"/>
            <w:noWrap/>
            <w:vAlign w:val="bottom"/>
            <w:hideMark/>
          </w:tcPr>
          <w:p w14:paraId="57F4A04B" w14:textId="77777777" w:rsidR="00FE461F" w:rsidRPr="005E4BEA" w:rsidRDefault="00FE461F" w:rsidP="00FE461F">
            <w:pPr>
              <w:spacing w:line="240" w:lineRule="auto"/>
              <w:jc w:val="right"/>
              <w:rPr>
                <w:rFonts w:cs="Arial"/>
                <w:szCs w:val="20"/>
              </w:rPr>
            </w:pPr>
            <w:r w:rsidRPr="005E4BEA">
              <w:rPr>
                <w:rFonts w:cs="Arial"/>
                <w:szCs w:val="20"/>
              </w:rPr>
              <w:t>191,34</w:t>
            </w:r>
          </w:p>
        </w:tc>
      </w:tr>
      <w:tr w:rsidR="00FE461F" w:rsidRPr="005E4BEA" w14:paraId="2A0ADE3B" w14:textId="77777777" w:rsidTr="0016774B">
        <w:trPr>
          <w:trHeight w:val="264"/>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3E14553" w14:textId="77777777" w:rsidR="00FE461F" w:rsidRPr="005E4BEA" w:rsidRDefault="00FE461F" w:rsidP="00FE461F">
            <w:pPr>
              <w:spacing w:line="240" w:lineRule="auto"/>
              <w:rPr>
                <w:rFonts w:cs="Arial"/>
                <w:b/>
                <w:bCs/>
                <w:szCs w:val="20"/>
              </w:rPr>
            </w:pPr>
            <w:r w:rsidRPr="005E4BEA">
              <w:rPr>
                <w:rFonts w:cs="Arial"/>
                <w:b/>
                <w:bCs/>
                <w:szCs w:val="20"/>
              </w:rPr>
              <w:t xml:space="preserve">SKUPAJ </w:t>
            </w:r>
          </w:p>
        </w:tc>
        <w:tc>
          <w:tcPr>
            <w:tcW w:w="1100" w:type="dxa"/>
            <w:tcBorders>
              <w:top w:val="nil"/>
              <w:left w:val="nil"/>
              <w:bottom w:val="single" w:sz="4" w:space="0" w:color="auto"/>
              <w:right w:val="single" w:sz="4" w:space="0" w:color="auto"/>
            </w:tcBorders>
            <w:shd w:val="clear" w:color="auto" w:fill="auto"/>
            <w:noWrap/>
            <w:vAlign w:val="bottom"/>
            <w:hideMark/>
          </w:tcPr>
          <w:p w14:paraId="442D41BE" w14:textId="77777777" w:rsidR="00FE461F" w:rsidRPr="005E4BEA" w:rsidRDefault="00FE461F" w:rsidP="00FE461F">
            <w:pPr>
              <w:spacing w:line="240" w:lineRule="auto"/>
              <w:rPr>
                <w:rFonts w:cs="Arial"/>
                <w:b/>
                <w:bCs/>
                <w:szCs w:val="20"/>
              </w:rPr>
            </w:pPr>
            <w:r w:rsidRPr="005E4BEA">
              <w:rPr>
                <w:rFonts w:cs="Arial"/>
                <w:b/>
                <w:bCs/>
                <w:szCs w:val="20"/>
              </w:rPr>
              <w:t xml:space="preserve">           0,4713     </w:t>
            </w:r>
          </w:p>
        </w:tc>
        <w:tc>
          <w:tcPr>
            <w:tcW w:w="1590" w:type="dxa"/>
            <w:tcBorders>
              <w:top w:val="nil"/>
              <w:left w:val="nil"/>
              <w:bottom w:val="single" w:sz="4" w:space="0" w:color="auto"/>
              <w:right w:val="single" w:sz="4" w:space="0" w:color="auto"/>
            </w:tcBorders>
            <w:shd w:val="clear" w:color="auto" w:fill="auto"/>
            <w:noWrap/>
            <w:vAlign w:val="bottom"/>
            <w:hideMark/>
          </w:tcPr>
          <w:p w14:paraId="173FDF88" w14:textId="77777777" w:rsidR="00FE461F" w:rsidRPr="005E4BEA" w:rsidRDefault="00FE461F" w:rsidP="00FE461F">
            <w:pPr>
              <w:spacing w:line="240" w:lineRule="auto"/>
              <w:rPr>
                <w:rFonts w:cs="Arial"/>
                <w:b/>
                <w:bCs/>
                <w:szCs w:val="20"/>
              </w:rPr>
            </w:pPr>
            <w:r w:rsidRPr="005E4BEA">
              <w:rPr>
                <w:rFonts w:cs="Arial"/>
                <w:b/>
                <w:bCs/>
                <w:szCs w:val="20"/>
              </w:rPr>
              <w:t xml:space="preserve">           47,13   </w:t>
            </w:r>
          </w:p>
        </w:tc>
        <w:tc>
          <w:tcPr>
            <w:tcW w:w="1559" w:type="dxa"/>
            <w:tcBorders>
              <w:top w:val="nil"/>
              <w:left w:val="nil"/>
              <w:bottom w:val="single" w:sz="4" w:space="0" w:color="auto"/>
              <w:right w:val="single" w:sz="4" w:space="0" w:color="auto"/>
            </w:tcBorders>
            <w:shd w:val="clear" w:color="auto" w:fill="auto"/>
            <w:noWrap/>
            <w:vAlign w:val="bottom"/>
            <w:hideMark/>
          </w:tcPr>
          <w:p w14:paraId="086F1F27" w14:textId="77777777" w:rsidR="00FE461F" w:rsidRPr="005E4BEA" w:rsidRDefault="00FE461F" w:rsidP="00FE461F">
            <w:pPr>
              <w:spacing w:line="240" w:lineRule="auto"/>
              <w:jc w:val="right"/>
              <w:rPr>
                <w:rFonts w:cs="Arial"/>
                <w:b/>
                <w:bCs/>
                <w:szCs w:val="20"/>
              </w:rPr>
            </w:pPr>
            <w:r w:rsidRPr="005E4BEA">
              <w:rPr>
                <w:rFonts w:cs="Arial"/>
                <w:b/>
                <w:bCs/>
                <w:szCs w:val="20"/>
              </w:rPr>
              <w:t>749,43</w:t>
            </w:r>
          </w:p>
        </w:tc>
      </w:tr>
    </w:tbl>
    <w:p w14:paraId="7DFC46B6" w14:textId="77777777" w:rsidR="00FE461F" w:rsidRPr="005E4BEA" w:rsidRDefault="00FE461F" w:rsidP="00FE461F">
      <w:pPr>
        <w:spacing w:line="240" w:lineRule="auto"/>
        <w:jc w:val="both"/>
        <w:rPr>
          <w:rFonts w:cs="Arial"/>
          <w:i/>
          <w:color w:val="808080" w:themeColor="background1" w:themeShade="80"/>
          <w:szCs w:val="20"/>
          <w:lang w:eastAsia="en-GB"/>
        </w:rPr>
      </w:pPr>
    </w:p>
    <w:p w14:paraId="5231A6AF" w14:textId="77777777" w:rsidR="00FE461F" w:rsidRPr="005E4BEA" w:rsidRDefault="00FE461F" w:rsidP="00FE461F">
      <w:pPr>
        <w:spacing w:line="240" w:lineRule="auto"/>
        <w:jc w:val="both"/>
        <w:rPr>
          <w:rFonts w:cs="Arial"/>
          <w:i/>
          <w:color w:val="FF0000"/>
          <w:szCs w:val="20"/>
          <w:lang w:eastAsia="en-GB"/>
        </w:rPr>
      </w:pPr>
    </w:p>
    <w:p w14:paraId="55D45712" w14:textId="455D4BE0" w:rsidR="00FE461F" w:rsidRPr="005E4BEA" w:rsidRDefault="00FE461F" w:rsidP="00FE461F">
      <w:pPr>
        <w:spacing w:line="240" w:lineRule="auto"/>
        <w:jc w:val="both"/>
        <w:rPr>
          <w:rFonts w:cs="Arial"/>
          <w:i/>
          <w:color w:val="595959"/>
          <w:szCs w:val="20"/>
          <w:lang w:eastAsia="en-GB"/>
        </w:rPr>
      </w:pPr>
      <w:r w:rsidRPr="005E4BEA">
        <w:rPr>
          <w:rFonts w:cs="Arial"/>
          <w:i/>
          <w:color w:val="808080" w:themeColor="background1" w:themeShade="80"/>
          <w:szCs w:val="20"/>
          <w:lang w:eastAsia="en-GB"/>
        </w:rPr>
        <w:t>Finančne posledice: 71.000.000,00 EUR</w:t>
      </w:r>
      <w:r w:rsidRPr="005E4BEA">
        <w:rPr>
          <w:rFonts w:cs="Arial"/>
          <w:i/>
          <w:color w:val="595959"/>
          <w:szCs w:val="20"/>
          <w:lang w:eastAsia="en-GB"/>
        </w:rPr>
        <w:t xml:space="preserve">  </w:t>
      </w:r>
    </w:p>
    <w:p w14:paraId="2734B6F4" w14:textId="2C5B7BAB" w:rsidR="00241A6D" w:rsidRPr="005E4BEA" w:rsidRDefault="00241A6D" w:rsidP="00FE461F">
      <w:pPr>
        <w:spacing w:line="240" w:lineRule="auto"/>
        <w:jc w:val="both"/>
        <w:rPr>
          <w:rFonts w:cs="Arial"/>
          <w:i/>
          <w:color w:val="595959"/>
          <w:szCs w:val="20"/>
          <w:lang w:eastAsia="en-GB"/>
        </w:rPr>
      </w:pPr>
    </w:p>
    <w:p w14:paraId="4F31C925"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43FE6B54" w14:textId="77777777" w:rsidR="00241A6D" w:rsidRPr="005E4BEA" w:rsidRDefault="00241A6D" w:rsidP="00241A6D">
      <w:pPr>
        <w:spacing w:line="0" w:lineRule="atLeast"/>
        <w:jc w:val="both"/>
        <w:rPr>
          <w:rFonts w:eastAsia="Arial Narrow" w:cs="Arial"/>
          <w:szCs w:val="20"/>
          <w:lang w:eastAsia="sl-SI"/>
        </w:rPr>
      </w:pPr>
    </w:p>
    <w:p w14:paraId="12685C05" w14:textId="13F32F5B"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SVZ-2 </w:t>
      </w:r>
      <w:r w:rsidRPr="005E4BEA">
        <w:rPr>
          <w:rFonts w:eastAsiaTheme="minorHAnsi" w:cs="Arial"/>
          <w:bCs/>
          <w:szCs w:val="20"/>
        </w:rPr>
        <w:t>Splošnega dogovora ne spremeni.</w:t>
      </w:r>
    </w:p>
    <w:p w14:paraId="489EF1E0" w14:textId="77777777" w:rsidR="00241A6D" w:rsidRPr="005E4BEA" w:rsidRDefault="00241A6D" w:rsidP="00241A6D">
      <w:pPr>
        <w:spacing w:line="240" w:lineRule="auto"/>
        <w:jc w:val="both"/>
        <w:rPr>
          <w:rFonts w:cs="Arial"/>
          <w:i/>
          <w:iCs/>
          <w:color w:val="767171"/>
          <w:szCs w:val="20"/>
        </w:rPr>
      </w:pPr>
    </w:p>
    <w:p w14:paraId="14B1F1D9" w14:textId="77777777" w:rsidR="00241A6D" w:rsidRPr="005E4BEA" w:rsidRDefault="00241A6D" w:rsidP="00241A6D">
      <w:pPr>
        <w:spacing w:line="240" w:lineRule="auto"/>
        <w:jc w:val="both"/>
        <w:rPr>
          <w:rFonts w:cs="Arial"/>
          <w:i/>
          <w:iCs/>
          <w:color w:val="767171"/>
          <w:szCs w:val="20"/>
        </w:rPr>
      </w:pPr>
    </w:p>
    <w:p w14:paraId="0997D2A6" w14:textId="63A5339B"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(165)</w:t>
      </w:r>
    </w:p>
    <w:p w14:paraId="53B9AC75" w14:textId="77777777" w:rsidR="00241A6D" w:rsidRPr="005E4BEA" w:rsidRDefault="00241A6D" w:rsidP="00241A6D">
      <w:pPr>
        <w:spacing w:line="0" w:lineRule="atLeast"/>
        <w:ind w:left="360"/>
        <w:contextualSpacing/>
        <w:jc w:val="both"/>
        <w:rPr>
          <w:rFonts w:eastAsia="Arial Narrow" w:cs="Arial"/>
          <w:b/>
          <w:szCs w:val="20"/>
        </w:rPr>
      </w:pPr>
    </w:p>
    <w:p w14:paraId="65756350" w14:textId="632FAAC2" w:rsidR="00FE461F" w:rsidRPr="005E4BEA" w:rsidRDefault="00241A6D" w:rsidP="00241A6D">
      <w:pPr>
        <w:spacing w:line="240" w:lineRule="auto"/>
        <w:jc w:val="both"/>
        <w:rPr>
          <w:rFonts w:eastAsia="Calibri" w:cs="Arial"/>
          <w:bCs/>
          <w:szCs w:val="20"/>
        </w:rPr>
      </w:pPr>
      <w:r w:rsidRPr="005E4BEA">
        <w:rPr>
          <w:rFonts w:eastAsia="Arial Narrow" w:cs="Arial"/>
          <w:b/>
          <w:szCs w:val="20"/>
        </w:rPr>
        <w:t>Skupnost socialnih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w:t>
      </w:r>
      <w:r w:rsidR="00FE461F" w:rsidRPr="005E4BEA">
        <w:rPr>
          <w:rFonts w:eastAsia="Calibri" w:cs="Arial"/>
          <w:bCs/>
          <w:szCs w:val="20"/>
        </w:rPr>
        <w:t xml:space="preserve"> 6. členu Priloge SVZ na koncu prvega odstavka zbriše pika in doda besedilo: »oziroma Socialni oskrbovalec/</w:t>
      </w:r>
      <w:proofErr w:type="spellStart"/>
      <w:r w:rsidR="00FE461F" w:rsidRPr="005E4BEA">
        <w:rPr>
          <w:rFonts w:eastAsia="Calibri" w:cs="Arial"/>
          <w:bCs/>
          <w:szCs w:val="20"/>
        </w:rPr>
        <w:t>ka</w:t>
      </w:r>
      <w:proofErr w:type="spellEnd"/>
      <w:r w:rsidR="00FE461F" w:rsidRPr="005E4BEA">
        <w:rPr>
          <w:rFonts w:eastAsia="Calibri" w:cs="Arial"/>
          <w:bCs/>
          <w:szCs w:val="20"/>
        </w:rPr>
        <w:t xml:space="preserve"> NPK ali gospodinja oskrbovalka.« </w:t>
      </w:r>
    </w:p>
    <w:p w14:paraId="636FEB0C" w14:textId="77777777" w:rsidR="00FE461F" w:rsidRPr="005E4BEA" w:rsidRDefault="00FE461F" w:rsidP="00FE461F">
      <w:pPr>
        <w:spacing w:before="240" w:after="60" w:line="240" w:lineRule="auto"/>
        <w:jc w:val="both"/>
        <w:rPr>
          <w:rFonts w:cs="Arial"/>
          <w:b/>
          <w:i/>
          <w:color w:val="808080"/>
          <w:szCs w:val="20"/>
          <w:u w:val="single"/>
          <w:lang w:eastAsia="sl-SI"/>
        </w:rPr>
      </w:pPr>
      <w:r w:rsidRPr="005E4BEA">
        <w:rPr>
          <w:rFonts w:cs="Arial"/>
          <w:b/>
          <w:i/>
          <w:color w:val="808080"/>
          <w:szCs w:val="20"/>
          <w:u w:val="single"/>
          <w:lang w:eastAsia="sl-SI"/>
        </w:rPr>
        <w:t xml:space="preserve">Obrazložitev: </w:t>
      </w:r>
    </w:p>
    <w:p w14:paraId="57991648" w14:textId="36B6C29F" w:rsidR="00FE461F" w:rsidRPr="005E4BEA" w:rsidRDefault="00FE461F" w:rsidP="00FE461F">
      <w:pPr>
        <w:spacing w:line="240" w:lineRule="auto"/>
        <w:jc w:val="both"/>
        <w:rPr>
          <w:rFonts w:eastAsia="Calibri" w:cs="Arial"/>
          <w:i/>
          <w:color w:val="808080"/>
          <w:szCs w:val="20"/>
        </w:rPr>
      </w:pPr>
      <w:r w:rsidRPr="005E4BEA">
        <w:rPr>
          <w:rFonts w:eastAsia="Calibri" w:cs="Arial"/>
          <w:i/>
          <w:color w:val="808080"/>
          <w:szCs w:val="20"/>
        </w:rPr>
        <w:t xml:space="preserve">Zaradi razmer na trgu dela izvajalci težko dobijo bolničarje, pri izvajalcih pa so že zaposlene socialne oskrbovalke, ki lahko dobro izvajajo to delo.  </w:t>
      </w:r>
    </w:p>
    <w:p w14:paraId="1C55280E" w14:textId="77777777" w:rsidR="00241A6D" w:rsidRPr="005E4BEA" w:rsidRDefault="00241A6D" w:rsidP="00FE461F">
      <w:pPr>
        <w:spacing w:line="240" w:lineRule="auto"/>
        <w:jc w:val="both"/>
        <w:rPr>
          <w:rFonts w:eastAsia="Calibri" w:cs="Arial"/>
          <w:i/>
          <w:color w:val="808080"/>
          <w:szCs w:val="20"/>
        </w:rPr>
      </w:pPr>
    </w:p>
    <w:p w14:paraId="26F8A9B7" w14:textId="09EE4FD8" w:rsidR="00FE461F" w:rsidRPr="005E4BEA" w:rsidRDefault="00FE461F" w:rsidP="00FE461F">
      <w:pPr>
        <w:spacing w:line="240" w:lineRule="auto"/>
        <w:jc w:val="both"/>
        <w:rPr>
          <w:rFonts w:eastAsia="Calibri" w:cs="Arial"/>
          <w:b/>
          <w:bCs/>
          <w:i/>
          <w:color w:val="595959"/>
          <w:szCs w:val="20"/>
          <w:u w:val="single"/>
          <w:lang w:eastAsia="en-GB"/>
        </w:rPr>
      </w:pPr>
      <w:r w:rsidRPr="005E4BEA">
        <w:rPr>
          <w:rFonts w:eastAsia="Calibri" w:cs="Arial"/>
          <w:b/>
          <w:bCs/>
          <w:i/>
          <w:color w:val="808080"/>
          <w:szCs w:val="20"/>
          <w:lang w:eastAsia="en-GB"/>
        </w:rPr>
        <w:t>Brez finančnih posledic.</w:t>
      </w:r>
      <w:r w:rsidRPr="005E4BEA">
        <w:rPr>
          <w:rFonts w:eastAsia="Calibri" w:cs="Arial"/>
          <w:b/>
          <w:bCs/>
          <w:i/>
          <w:color w:val="595959"/>
          <w:szCs w:val="20"/>
          <w:u w:val="single"/>
          <w:lang w:eastAsia="en-GB"/>
        </w:rPr>
        <w:t xml:space="preserve"> </w:t>
      </w:r>
    </w:p>
    <w:p w14:paraId="1679D222" w14:textId="5A7F32D3" w:rsidR="00241A6D" w:rsidRPr="005E4BEA" w:rsidRDefault="00241A6D" w:rsidP="00FE461F">
      <w:pPr>
        <w:spacing w:line="240" w:lineRule="auto"/>
        <w:jc w:val="both"/>
        <w:rPr>
          <w:rFonts w:eastAsia="Calibri" w:cs="Arial"/>
          <w:b/>
          <w:bCs/>
          <w:i/>
          <w:color w:val="595959"/>
          <w:szCs w:val="20"/>
          <w:u w:val="single"/>
          <w:lang w:eastAsia="en-GB"/>
        </w:rPr>
      </w:pPr>
    </w:p>
    <w:p w14:paraId="5CCDA5A3" w14:textId="58584803" w:rsidR="00241A6D" w:rsidRPr="005E4BEA" w:rsidRDefault="00241A6D" w:rsidP="00FE461F">
      <w:pPr>
        <w:spacing w:line="240" w:lineRule="auto"/>
        <w:jc w:val="both"/>
        <w:rPr>
          <w:rFonts w:eastAsia="Calibri" w:cs="Arial"/>
          <w:b/>
          <w:bCs/>
          <w:i/>
          <w:color w:val="595959"/>
          <w:szCs w:val="20"/>
          <w:u w:val="single"/>
          <w:lang w:eastAsia="en-GB"/>
        </w:rPr>
      </w:pPr>
    </w:p>
    <w:p w14:paraId="2D830094"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15B9FF11" w14:textId="77777777" w:rsidR="00241A6D" w:rsidRPr="005E4BEA" w:rsidRDefault="00241A6D" w:rsidP="00241A6D">
      <w:pPr>
        <w:spacing w:line="0" w:lineRule="atLeast"/>
        <w:jc w:val="both"/>
        <w:rPr>
          <w:rFonts w:eastAsia="Arial Narrow" w:cs="Arial"/>
          <w:szCs w:val="20"/>
          <w:lang w:eastAsia="sl-SI"/>
        </w:rPr>
      </w:pPr>
    </w:p>
    <w:p w14:paraId="1B7AE5BA" w14:textId="44C6B3D1"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SVZ </w:t>
      </w:r>
      <w:r w:rsidRPr="005E4BEA">
        <w:rPr>
          <w:rFonts w:eastAsiaTheme="minorHAnsi" w:cs="Arial"/>
          <w:bCs/>
          <w:szCs w:val="20"/>
        </w:rPr>
        <w:t>Splošnega dogovora ne spremeni.</w:t>
      </w:r>
    </w:p>
    <w:p w14:paraId="54CBCD09" w14:textId="77777777" w:rsidR="00241A6D" w:rsidRPr="005E4BEA" w:rsidRDefault="00241A6D" w:rsidP="00241A6D">
      <w:pPr>
        <w:spacing w:line="240" w:lineRule="auto"/>
        <w:jc w:val="both"/>
        <w:rPr>
          <w:rFonts w:cs="Arial"/>
          <w:i/>
          <w:iCs/>
          <w:color w:val="767171"/>
          <w:szCs w:val="20"/>
        </w:rPr>
      </w:pPr>
    </w:p>
    <w:p w14:paraId="2985C284" w14:textId="77777777" w:rsidR="00241A6D" w:rsidRPr="005E4BEA" w:rsidRDefault="00241A6D" w:rsidP="00241A6D">
      <w:pPr>
        <w:spacing w:line="240" w:lineRule="auto"/>
        <w:jc w:val="both"/>
        <w:rPr>
          <w:rFonts w:cs="Arial"/>
          <w:i/>
          <w:iCs/>
          <w:color w:val="767171"/>
          <w:szCs w:val="20"/>
        </w:rPr>
      </w:pPr>
    </w:p>
    <w:p w14:paraId="0B83F92E" w14:textId="444DD81F"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(166)</w:t>
      </w:r>
    </w:p>
    <w:p w14:paraId="7968FF7D" w14:textId="77777777" w:rsidR="00241A6D" w:rsidRPr="005E4BEA" w:rsidRDefault="00241A6D" w:rsidP="00241A6D">
      <w:pPr>
        <w:spacing w:line="0" w:lineRule="atLeast"/>
        <w:ind w:left="360"/>
        <w:contextualSpacing/>
        <w:jc w:val="both"/>
        <w:rPr>
          <w:rFonts w:eastAsia="Arial Narrow" w:cs="Arial"/>
          <w:b/>
          <w:szCs w:val="20"/>
        </w:rPr>
      </w:pPr>
    </w:p>
    <w:p w14:paraId="03F81D72" w14:textId="1D9C8E09" w:rsidR="00FE461F" w:rsidRPr="005E4BEA" w:rsidRDefault="00241A6D" w:rsidP="00241A6D">
      <w:pPr>
        <w:spacing w:line="240" w:lineRule="auto"/>
        <w:jc w:val="both"/>
        <w:rPr>
          <w:rFonts w:eastAsia="Calibri" w:cs="Arial"/>
          <w:bCs/>
          <w:szCs w:val="20"/>
          <w:lang w:eastAsia="en-GB"/>
        </w:rPr>
      </w:pPr>
      <w:r w:rsidRPr="005E4BEA">
        <w:rPr>
          <w:rFonts w:eastAsia="Arial Narrow" w:cs="Arial"/>
          <w:b/>
          <w:szCs w:val="20"/>
        </w:rPr>
        <w:t>Skupnost socialnih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w:t>
      </w:r>
      <w:r w:rsidRPr="005E4BEA">
        <w:rPr>
          <w:rFonts w:cs="Arial"/>
          <w:bCs/>
          <w:szCs w:val="20"/>
          <w:lang w:eastAsia="en-GB"/>
        </w:rPr>
        <w:t xml:space="preserve">SVZ  </w:t>
      </w:r>
      <w:r w:rsidR="00FE461F" w:rsidRPr="005E4BEA">
        <w:rPr>
          <w:rFonts w:eastAsia="Calibri" w:cs="Arial"/>
          <w:bCs/>
          <w:szCs w:val="20"/>
          <w:lang w:eastAsia="en-GB"/>
        </w:rPr>
        <w:t xml:space="preserve">II/e - 2 »Normativ dela za storitev "dan zdravstvene nege" v domovih za starejše in posebnih socialnovarstvenih zavodih (tip A, B in C)« se pri negi I in II normativ zdravnika specialista poveča na 0,01 specialista na posteljo, pri negi III pa na 0,013. </w:t>
      </w:r>
    </w:p>
    <w:p w14:paraId="608E5A0E" w14:textId="77777777" w:rsidR="00FE461F" w:rsidRPr="005E4BEA" w:rsidRDefault="00FE461F" w:rsidP="00FE461F">
      <w:pPr>
        <w:spacing w:before="120" w:after="60" w:line="240" w:lineRule="auto"/>
        <w:jc w:val="both"/>
        <w:rPr>
          <w:rFonts w:eastAsia="Calibri" w:cs="Arial"/>
          <w:bCs/>
          <w:szCs w:val="20"/>
          <w:lang w:eastAsia="en-GB"/>
        </w:rPr>
      </w:pPr>
      <w:r w:rsidRPr="005E4BEA">
        <w:rPr>
          <w:rFonts w:eastAsia="Calibri" w:cs="Arial"/>
          <w:bCs/>
          <w:szCs w:val="20"/>
          <w:lang w:eastAsia="en-GB"/>
        </w:rPr>
        <w:t xml:space="preserve">Ustrezno se spremenijo tabele za nego I, II in III na naslednji način ter 1. odstavek 10. točke 10. člena Splošnega dogovora.  </w:t>
      </w:r>
    </w:p>
    <w:p w14:paraId="5021BB67" w14:textId="77777777" w:rsidR="00FE461F" w:rsidRPr="005E4BEA" w:rsidRDefault="00FE461F" w:rsidP="00FE461F">
      <w:pPr>
        <w:spacing w:before="240" w:after="60" w:line="240" w:lineRule="auto"/>
        <w:jc w:val="both"/>
        <w:rPr>
          <w:rFonts w:cs="Arial"/>
          <w:b/>
          <w:i/>
          <w:color w:val="595959"/>
          <w:szCs w:val="20"/>
          <w:u w:val="single"/>
          <w:lang w:eastAsia="sl-SI"/>
        </w:rPr>
      </w:pPr>
      <w:r w:rsidRPr="005E4BEA">
        <w:rPr>
          <w:rFonts w:cs="Arial"/>
          <w:b/>
          <w:i/>
          <w:color w:val="808080"/>
          <w:szCs w:val="20"/>
          <w:u w:val="single"/>
          <w:lang w:eastAsia="sl-SI"/>
        </w:rPr>
        <w:lastRenderedPageBreak/>
        <w:t>Obrazložitev:</w:t>
      </w:r>
      <w:r w:rsidRPr="005E4BEA">
        <w:rPr>
          <w:rFonts w:cs="Arial"/>
          <w:b/>
          <w:i/>
          <w:color w:val="595959"/>
          <w:szCs w:val="20"/>
          <w:u w:val="single"/>
          <w:lang w:eastAsia="sl-SI"/>
        </w:rPr>
        <w:t xml:space="preserve"> </w:t>
      </w:r>
    </w:p>
    <w:p w14:paraId="391F42F9" w14:textId="77777777" w:rsidR="00FE461F" w:rsidRPr="005E4BEA" w:rsidRDefault="00FE461F" w:rsidP="00FE461F">
      <w:pPr>
        <w:spacing w:line="240" w:lineRule="auto"/>
        <w:jc w:val="both"/>
        <w:rPr>
          <w:rFonts w:eastAsia="Calibri" w:cs="Arial"/>
          <w:i/>
          <w:color w:val="595959"/>
          <w:szCs w:val="20"/>
          <w:lang w:eastAsia="en-GB"/>
        </w:rPr>
      </w:pPr>
      <w:r w:rsidRPr="005E4BEA">
        <w:rPr>
          <w:rFonts w:eastAsia="Calibri" w:cs="Arial"/>
          <w:i/>
          <w:color w:val="808080"/>
          <w:szCs w:val="20"/>
          <w:lang w:eastAsia="en-GB"/>
        </w:rPr>
        <w:t xml:space="preserve">Domovi za starejše in posebni socialnovarstvenih zavodi imajo v normativu dela za storitev "dan zdravstvene nege" priznanega 1 zdravnika specialista na 2.000 postelj oziroma 0,0005 delavca na posteljo, kar znaša cca. 127.640 EUR na letnem nivoju v okviru zdravstvene nege. Po podatkih, ki jih je od izvajalcev zbrala Skupnost socialnih zavodov Slovenije, znašajo sredstva, ki jih izvajalci namenijo za sklepanje pogodb z zdravniki specialisti, na letni ravni cca 1.050.000 EUR. </w:t>
      </w:r>
      <w:r w:rsidRPr="005E4BEA">
        <w:rPr>
          <w:rFonts w:eastAsia="Calibri" w:cs="Arial"/>
          <w:i/>
          <w:color w:val="595959"/>
          <w:szCs w:val="20"/>
          <w:lang w:eastAsia="en-GB"/>
        </w:rPr>
        <w:t xml:space="preserve"> </w:t>
      </w:r>
    </w:p>
    <w:p w14:paraId="7F591B27" w14:textId="77777777" w:rsidR="00FE461F" w:rsidRPr="005E4BEA" w:rsidRDefault="00FE461F" w:rsidP="00FE461F">
      <w:pPr>
        <w:spacing w:line="240" w:lineRule="auto"/>
        <w:jc w:val="both"/>
        <w:rPr>
          <w:rFonts w:eastAsia="Calibri" w:cs="Arial"/>
          <w:i/>
          <w:color w:val="595959"/>
          <w:szCs w:val="20"/>
          <w:lang w:eastAsia="en-GB"/>
        </w:rPr>
      </w:pPr>
      <w:r w:rsidRPr="005E4BEA">
        <w:rPr>
          <w:rFonts w:eastAsia="Calibri" w:cs="Arial"/>
          <w:i/>
          <w:color w:val="808080"/>
          <w:szCs w:val="20"/>
          <w:lang w:eastAsia="en-GB"/>
        </w:rPr>
        <w:t xml:space="preserve">Domovi ogromno sredstev porabijo za plačilo specialistov psihiatrov, ki so nujno potrebni pri starejši populacijo z vedno večjimi </w:t>
      </w:r>
      <w:proofErr w:type="spellStart"/>
      <w:r w:rsidRPr="005E4BEA">
        <w:rPr>
          <w:rFonts w:eastAsia="Calibri" w:cs="Arial"/>
          <w:i/>
          <w:color w:val="808080"/>
          <w:szCs w:val="20"/>
          <w:lang w:eastAsia="en-GB"/>
        </w:rPr>
        <w:t>geropsihiatričnimi</w:t>
      </w:r>
      <w:proofErr w:type="spellEnd"/>
      <w:r w:rsidRPr="005E4BEA">
        <w:rPr>
          <w:rFonts w:eastAsia="Calibri" w:cs="Arial"/>
          <w:i/>
          <w:color w:val="808080"/>
          <w:szCs w:val="20"/>
          <w:lang w:eastAsia="en-GB"/>
        </w:rPr>
        <w:t xml:space="preserve"> problemi. Ti so potrebni tudi zaradi zahtev plačnika, da se določena zdravstvena stanja preverja mesečno ali na 3 mesece (Zdravstvena nega III/2, Stanja pod A zdravnik presoja najmanj na 3 mesece (na primer demenca, Stanja pod B zdravnik presoja najmanj enkrat mesečno.- Priloga SVZ Iie-3)</w:t>
      </w:r>
      <w:r w:rsidRPr="005E4BEA">
        <w:rPr>
          <w:rFonts w:eastAsia="Calibri" w:cs="Arial"/>
          <w:i/>
          <w:color w:val="595959"/>
          <w:szCs w:val="20"/>
          <w:lang w:eastAsia="en-GB"/>
        </w:rPr>
        <w:t xml:space="preserve"> </w:t>
      </w:r>
    </w:p>
    <w:p w14:paraId="18739910" w14:textId="77777777" w:rsidR="00FE461F" w:rsidRPr="005E4BEA" w:rsidRDefault="00FE461F" w:rsidP="00FE461F">
      <w:pPr>
        <w:spacing w:line="240" w:lineRule="auto"/>
        <w:jc w:val="both"/>
        <w:rPr>
          <w:rFonts w:eastAsia="Calibri" w:cs="Arial"/>
          <w:i/>
          <w:color w:val="595959"/>
          <w:szCs w:val="20"/>
          <w:lang w:eastAsia="en-GB"/>
        </w:rPr>
      </w:pPr>
      <w:r w:rsidRPr="005E4BEA">
        <w:rPr>
          <w:rFonts w:eastAsia="Calibri" w:cs="Arial"/>
          <w:i/>
          <w:color w:val="808080"/>
          <w:szCs w:val="20"/>
          <w:lang w:eastAsia="en-GB"/>
        </w:rPr>
        <w:t>Sredstva, ki so izvajalcem zagotovljena v okviru normativa za delo, so torej veliko premajhna, zato predlagamo povečanje normativa, kot izhaja iz zgornjega predloga.</w:t>
      </w:r>
      <w:r w:rsidRPr="005E4BEA">
        <w:rPr>
          <w:rFonts w:eastAsia="Calibri" w:cs="Arial"/>
          <w:i/>
          <w:color w:val="595959"/>
          <w:szCs w:val="20"/>
          <w:lang w:eastAsia="en-GB"/>
        </w:rPr>
        <w:t xml:space="preserve"> </w:t>
      </w:r>
    </w:p>
    <w:p w14:paraId="25C3B1E3" w14:textId="1D63C261" w:rsidR="00FE461F" w:rsidRPr="005E4BEA" w:rsidRDefault="00FE461F" w:rsidP="00FE461F">
      <w:pPr>
        <w:spacing w:before="240" w:after="60" w:line="240" w:lineRule="auto"/>
        <w:jc w:val="both"/>
        <w:rPr>
          <w:rFonts w:cs="Arial"/>
          <w:b/>
          <w:i/>
          <w:color w:val="595959"/>
          <w:szCs w:val="20"/>
          <w:lang w:eastAsia="sl-SI"/>
        </w:rPr>
      </w:pPr>
      <w:r w:rsidRPr="005E4BEA">
        <w:rPr>
          <w:rFonts w:cs="Arial"/>
          <w:b/>
          <w:i/>
          <w:color w:val="808080"/>
          <w:szCs w:val="20"/>
          <w:lang w:eastAsia="sl-SI"/>
        </w:rPr>
        <w:t>Ocena potrebnih dodatnih sredstev: 2.050.000 EUR</w:t>
      </w:r>
      <w:r w:rsidRPr="005E4BEA">
        <w:rPr>
          <w:rFonts w:cs="Arial"/>
          <w:b/>
          <w:i/>
          <w:color w:val="595959"/>
          <w:szCs w:val="20"/>
          <w:lang w:eastAsia="sl-SI"/>
        </w:rPr>
        <w:t xml:space="preserve"> </w:t>
      </w:r>
    </w:p>
    <w:p w14:paraId="1724B61E" w14:textId="77777777" w:rsidR="00241A6D" w:rsidRPr="005E4BEA" w:rsidRDefault="00241A6D" w:rsidP="00FE461F">
      <w:pPr>
        <w:spacing w:before="240" w:after="60" w:line="240" w:lineRule="auto"/>
        <w:jc w:val="both"/>
        <w:rPr>
          <w:rFonts w:cs="Arial"/>
          <w:b/>
          <w:i/>
          <w:color w:val="595959"/>
          <w:szCs w:val="20"/>
          <w:lang w:eastAsia="sl-SI"/>
        </w:rPr>
      </w:pPr>
    </w:p>
    <w:p w14:paraId="4AFD3B77"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6FDF0EC8" w14:textId="77777777" w:rsidR="00241A6D" w:rsidRPr="005E4BEA" w:rsidRDefault="00241A6D" w:rsidP="00241A6D">
      <w:pPr>
        <w:spacing w:line="0" w:lineRule="atLeast"/>
        <w:jc w:val="both"/>
        <w:rPr>
          <w:rFonts w:eastAsia="Arial Narrow" w:cs="Arial"/>
          <w:szCs w:val="20"/>
          <w:lang w:eastAsia="sl-SI"/>
        </w:rPr>
      </w:pPr>
    </w:p>
    <w:p w14:paraId="5B470498" w14:textId="19E28D03"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SVZ </w:t>
      </w:r>
      <w:r w:rsidRPr="005E4BEA">
        <w:rPr>
          <w:rFonts w:eastAsiaTheme="minorHAnsi" w:cs="Arial"/>
          <w:bCs/>
          <w:szCs w:val="20"/>
        </w:rPr>
        <w:t>Splošnega dogovora ne spremeni.</w:t>
      </w:r>
    </w:p>
    <w:p w14:paraId="4E881176" w14:textId="77777777" w:rsidR="00241A6D" w:rsidRPr="005E4BEA" w:rsidRDefault="00241A6D" w:rsidP="00241A6D">
      <w:pPr>
        <w:spacing w:line="240" w:lineRule="auto"/>
        <w:jc w:val="both"/>
        <w:rPr>
          <w:rFonts w:cs="Arial"/>
          <w:i/>
          <w:iCs/>
          <w:color w:val="767171"/>
          <w:szCs w:val="20"/>
        </w:rPr>
      </w:pPr>
    </w:p>
    <w:p w14:paraId="5512B854" w14:textId="77777777" w:rsidR="00241A6D" w:rsidRPr="005E4BEA" w:rsidRDefault="00241A6D" w:rsidP="00241A6D">
      <w:pPr>
        <w:spacing w:line="240" w:lineRule="auto"/>
        <w:jc w:val="both"/>
        <w:rPr>
          <w:rFonts w:cs="Arial"/>
          <w:i/>
          <w:iCs/>
          <w:color w:val="767171"/>
          <w:szCs w:val="20"/>
        </w:rPr>
      </w:pPr>
    </w:p>
    <w:p w14:paraId="4A364DE6" w14:textId="2BEB7F50"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(167)</w:t>
      </w:r>
    </w:p>
    <w:p w14:paraId="4C9DC0D3" w14:textId="2B43C0ED" w:rsidR="00FE461F" w:rsidRPr="005E4BEA" w:rsidRDefault="00241A6D" w:rsidP="00241A6D">
      <w:pPr>
        <w:spacing w:before="240" w:after="60" w:line="240" w:lineRule="auto"/>
        <w:jc w:val="both"/>
        <w:rPr>
          <w:rFonts w:cs="Arial"/>
          <w:szCs w:val="20"/>
        </w:rPr>
      </w:pPr>
      <w:r w:rsidRPr="005E4BEA">
        <w:rPr>
          <w:rFonts w:eastAsia="Arial Narrow" w:cs="Arial"/>
          <w:b/>
          <w:szCs w:val="20"/>
        </w:rPr>
        <w:t>Skupnost socialnih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Prilogi </w:t>
      </w:r>
      <w:r w:rsidRPr="005E4BEA">
        <w:rPr>
          <w:rFonts w:cs="Arial"/>
          <w:bCs/>
          <w:szCs w:val="20"/>
          <w:lang w:eastAsia="en-GB"/>
        </w:rPr>
        <w:t>SVZ-3</w:t>
      </w:r>
      <w:bookmarkStart w:id="173" w:name="_Hlk45029091"/>
      <w:r w:rsidRPr="005E4BEA">
        <w:rPr>
          <w:rFonts w:cs="Arial"/>
          <w:bCs/>
          <w:szCs w:val="20"/>
          <w:lang w:eastAsia="en-GB"/>
        </w:rPr>
        <w:t xml:space="preserve"> </w:t>
      </w:r>
      <w:r w:rsidR="00FE461F" w:rsidRPr="005E4BEA">
        <w:rPr>
          <w:rFonts w:cs="Arial"/>
          <w:szCs w:val="20"/>
        </w:rPr>
        <w:t xml:space="preserve">pri najzahtevnejši zdravstveni </w:t>
      </w:r>
      <w:bookmarkEnd w:id="173"/>
      <w:r w:rsidR="00FE461F" w:rsidRPr="005E4BEA">
        <w:rPr>
          <w:rFonts w:cs="Arial"/>
          <w:szCs w:val="20"/>
        </w:rPr>
        <w:t xml:space="preserve">negi v domovih za starejše občane in posebnih socialnovarstvenih zavodih v razdelku 3. Razvrščanje, spremeni prva alineja prvega odstavka, ki se odslej glasi: »zdravstveno stanje zaradi katerega zdravnik naroči izvajanje najmanj štirih spodaj naštetih storitev zdravstvene nege vsako najmanj trikrat dnevno.« </w:t>
      </w:r>
    </w:p>
    <w:p w14:paraId="5AFB3305" w14:textId="77777777" w:rsidR="00FE461F" w:rsidRPr="005E4BEA" w:rsidRDefault="00FE461F" w:rsidP="00FE461F">
      <w:pPr>
        <w:shd w:val="clear" w:color="auto" w:fill="FFFFFF"/>
        <w:spacing w:line="240" w:lineRule="auto"/>
        <w:jc w:val="both"/>
        <w:textAlignment w:val="baseline"/>
        <w:rPr>
          <w:rFonts w:cs="Arial"/>
          <w:szCs w:val="20"/>
          <w:lang w:eastAsia="sl-SI"/>
        </w:rPr>
      </w:pPr>
      <w:r w:rsidRPr="005E4BEA">
        <w:rPr>
          <w:rFonts w:cs="Arial"/>
          <w:szCs w:val="20"/>
          <w:lang w:eastAsia="sl-SI"/>
        </w:rPr>
        <w:t xml:space="preserve"> </w:t>
      </w:r>
    </w:p>
    <w:p w14:paraId="71E134E2" w14:textId="77777777" w:rsidR="00FE461F" w:rsidRPr="005E4BEA" w:rsidRDefault="00FE461F" w:rsidP="00FE461F">
      <w:pPr>
        <w:spacing w:before="120" w:after="60" w:line="240" w:lineRule="auto"/>
        <w:jc w:val="both"/>
        <w:rPr>
          <w:rFonts w:cs="Arial"/>
          <w:b/>
          <w:szCs w:val="20"/>
        </w:rPr>
      </w:pPr>
      <w:r w:rsidRPr="005E4BEA">
        <w:rPr>
          <w:rFonts w:cs="Arial"/>
          <w:b/>
          <w:bCs/>
          <w:i/>
          <w:iCs/>
          <w:color w:val="808080"/>
          <w:szCs w:val="20"/>
          <w:u w:val="single"/>
        </w:rPr>
        <w:t>Obrazložitev:</w:t>
      </w:r>
      <w:r w:rsidRPr="005E4BEA">
        <w:rPr>
          <w:rFonts w:cs="Arial"/>
          <w:b/>
          <w:szCs w:val="20"/>
        </w:rPr>
        <w:t xml:space="preserve"> </w:t>
      </w:r>
    </w:p>
    <w:p w14:paraId="67B6BBC8" w14:textId="77777777" w:rsidR="00FE461F" w:rsidRPr="005E4BEA" w:rsidRDefault="00FE461F" w:rsidP="00FE461F">
      <w:pPr>
        <w:spacing w:line="240" w:lineRule="auto"/>
        <w:jc w:val="both"/>
        <w:rPr>
          <w:rFonts w:cs="Arial"/>
          <w:i/>
          <w:color w:val="767171" w:themeColor="background2" w:themeShade="80"/>
          <w:szCs w:val="20"/>
        </w:rPr>
      </w:pPr>
      <w:r w:rsidRPr="005E4BEA">
        <w:rPr>
          <w:rFonts w:cs="Arial"/>
          <w:i/>
          <w:iCs/>
          <w:color w:val="808080"/>
          <w:szCs w:val="20"/>
        </w:rPr>
        <w:t xml:space="preserve">Zaradi pomanjkanja prostora v bolnišnicah in negovalnih bolnišnicah socialno varstveni zavodi sprejemajo večino stanovalcev, ki v dom pridejo na nosilih. Velikokrat gre za zdravstveno zelo zahtevne stanovalce, ki potrebujejo najzahtevnejšo zdravstveno nego. V okviru ene izmed neg I, II in III se jim bodisi zaradi premalo kadra, bodisi zaradi premajhnih priznanih materialnih stroškov, ne zagotovi v zadostnem obsegu potrebna storitev. </w:t>
      </w:r>
      <w:r w:rsidRPr="005E4BEA">
        <w:rPr>
          <w:rFonts w:cs="Arial"/>
          <w:i/>
          <w:iCs/>
          <w:color w:val="767171" w:themeColor="background2" w:themeShade="80"/>
          <w:szCs w:val="20"/>
        </w:rPr>
        <w:t xml:space="preserve">Obenem ugotavljamo, da takih stanovalcev ne moremo razporediti v nego IV, ki bi olajšala zagotovitev primernega materiala ter kadra. </w:t>
      </w:r>
    </w:p>
    <w:p w14:paraId="684EE742" w14:textId="77777777" w:rsidR="00FE461F" w:rsidRPr="005E4BEA" w:rsidRDefault="00FE461F" w:rsidP="00FE461F">
      <w:pPr>
        <w:spacing w:line="240" w:lineRule="auto"/>
        <w:jc w:val="both"/>
        <w:rPr>
          <w:rFonts w:cs="Arial"/>
          <w:i/>
          <w:color w:val="767171" w:themeColor="background2" w:themeShade="80"/>
          <w:szCs w:val="20"/>
        </w:rPr>
      </w:pPr>
      <w:r w:rsidRPr="005E4BEA">
        <w:rPr>
          <w:rFonts w:cs="Arial"/>
          <w:i/>
          <w:iCs/>
          <w:color w:val="767171" w:themeColor="background2" w:themeShade="80"/>
          <w:szCs w:val="20"/>
        </w:rPr>
        <w:t xml:space="preserve">Zato je potrebno popraviti te kriterije, saj v nasprotnem primeru te zavarovane osebe ne bodo mogle uveljaviti pravice do institucionalnega varstva. Domovi žal morajo zavračati stanovalce, ki jim zaradi zdravstvene zahtevnosti ne morejo zagotoviti ustrezne oskrbe in zdravstvene nege. Takšni stanovalci so tako breme drugih, za ZZZS mnogo dražjih izvajalcev zdravstvene dejavnosti, kot so na primer negovalne bolnišnice.  </w:t>
      </w:r>
    </w:p>
    <w:p w14:paraId="360AB5A1" w14:textId="77777777" w:rsidR="00FE461F" w:rsidRPr="005E4BEA" w:rsidRDefault="00FE461F" w:rsidP="00FE461F">
      <w:pPr>
        <w:spacing w:line="240" w:lineRule="auto"/>
        <w:jc w:val="both"/>
        <w:rPr>
          <w:rFonts w:cs="Arial"/>
          <w:b/>
          <w:bCs/>
          <w:i/>
          <w:iCs/>
          <w:color w:val="767171" w:themeColor="background2" w:themeShade="80"/>
          <w:szCs w:val="20"/>
        </w:rPr>
      </w:pPr>
    </w:p>
    <w:p w14:paraId="53E6B57B" w14:textId="77777777" w:rsidR="00FE461F" w:rsidRPr="005E4BEA" w:rsidRDefault="00FE461F" w:rsidP="00FE461F">
      <w:pPr>
        <w:spacing w:line="240" w:lineRule="auto"/>
        <w:jc w:val="both"/>
        <w:rPr>
          <w:rFonts w:cs="Arial"/>
          <w:b/>
          <w:bCs/>
          <w:i/>
          <w:iCs/>
          <w:color w:val="767171" w:themeColor="background2" w:themeShade="80"/>
          <w:szCs w:val="20"/>
        </w:rPr>
      </w:pPr>
      <w:r w:rsidRPr="005E4BEA">
        <w:rPr>
          <w:rFonts w:cs="Arial"/>
          <w:b/>
          <w:bCs/>
          <w:i/>
          <w:iCs/>
          <w:color w:val="767171" w:themeColor="background2" w:themeShade="80"/>
          <w:szCs w:val="20"/>
        </w:rPr>
        <w:t>Finančna ocena: 200.000 EUR</w:t>
      </w:r>
    </w:p>
    <w:p w14:paraId="54CD2146" w14:textId="77777777" w:rsidR="00FE461F" w:rsidRPr="005E4BEA" w:rsidRDefault="00FE461F" w:rsidP="00FE461F">
      <w:pPr>
        <w:spacing w:line="240" w:lineRule="auto"/>
        <w:jc w:val="both"/>
        <w:rPr>
          <w:rFonts w:cs="Arial"/>
          <w:b/>
          <w:bCs/>
          <w:i/>
          <w:iCs/>
          <w:color w:val="767171" w:themeColor="background2" w:themeShade="80"/>
          <w:szCs w:val="20"/>
        </w:rPr>
      </w:pPr>
    </w:p>
    <w:p w14:paraId="5C82625B" w14:textId="614D1D09" w:rsidR="00FE461F" w:rsidRPr="005E4BEA" w:rsidRDefault="00FE461F" w:rsidP="00FE461F">
      <w:pPr>
        <w:spacing w:line="240" w:lineRule="auto"/>
        <w:jc w:val="both"/>
        <w:rPr>
          <w:rFonts w:cs="Arial"/>
          <w:b/>
          <w:bCs/>
          <w:i/>
          <w:iCs/>
          <w:color w:val="767171" w:themeColor="background2" w:themeShade="80"/>
          <w:szCs w:val="20"/>
        </w:rPr>
      </w:pPr>
    </w:p>
    <w:p w14:paraId="7DCB3734"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7811C950" w14:textId="77777777" w:rsidR="00241A6D" w:rsidRPr="005E4BEA" w:rsidRDefault="00241A6D" w:rsidP="00241A6D">
      <w:pPr>
        <w:spacing w:line="0" w:lineRule="atLeast"/>
        <w:jc w:val="both"/>
        <w:rPr>
          <w:rFonts w:eastAsia="Arial Narrow" w:cs="Arial"/>
          <w:szCs w:val="20"/>
          <w:lang w:eastAsia="sl-SI"/>
        </w:rPr>
      </w:pPr>
    </w:p>
    <w:p w14:paraId="5D64F2FA" w14:textId="32E4FAD0"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SVZ-2 </w:t>
      </w:r>
      <w:r w:rsidRPr="005E4BEA">
        <w:rPr>
          <w:rFonts w:eastAsiaTheme="minorHAnsi" w:cs="Arial"/>
          <w:bCs/>
          <w:szCs w:val="20"/>
        </w:rPr>
        <w:t>Splošnega dogovora ne spremeni.</w:t>
      </w:r>
    </w:p>
    <w:p w14:paraId="04CA56D6" w14:textId="77777777" w:rsidR="00241A6D" w:rsidRPr="005E4BEA" w:rsidRDefault="00241A6D" w:rsidP="00241A6D">
      <w:pPr>
        <w:spacing w:line="240" w:lineRule="auto"/>
        <w:jc w:val="both"/>
        <w:rPr>
          <w:rFonts w:cs="Arial"/>
          <w:i/>
          <w:iCs/>
          <w:color w:val="767171"/>
          <w:szCs w:val="20"/>
        </w:rPr>
      </w:pPr>
    </w:p>
    <w:p w14:paraId="61720670" w14:textId="77777777" w:rsidR="00241A6D" w:rsidRPr="005E4BEA" w:rsidRDefault="00241A6D" w:rsidP="00241A6D">
      <w:pPr>
        <w:spacing w:line="240" w:lineRule="auto"/>
        <w:jc w:val="both"/>
        <w:rPr>
          <w:rFonts w:cs="Arial"/>
          <w:i/>
          <w:iCs/>
          <w:color w:val="767171"/>
          <w:szCs w:val="20"/>
        </w:rPr>
      </w:pPr>
    </w:p>
    <w:p w14:paraId="6E6DE774" w14:textId="7B33357B"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lastRenderedPageBreak/>
        <w:t>SPORNO VPRAŠANJE (168)</w:t>
      </w:r>
    </w:p>
    <w:p w14:paraId="7697B175" w14:textId="77777777" w:rsidR="00241A6D" w:rsidRPr="005E4BEA" w:rsidRDefault="00241A6D" w:rsidP="00241A6D">
      <w:pPr>
        <w:spacing w:line="0" w:lineRule="atLeast"/>
        <w:ind w:left="360"/>
        <w:contextualSpacing/>
        <w:jc w:val="both"/>
        <w:rPr>
          <w:rFonts w:eastAsia="Arial Narrow" w:cs="Arial"/>
          <w:b/>
          <w:szCs w:val="20"/>
        </w:rPr>
      </w:pPr>
    </w:p>
    <w:p w14:paraId="401B7006" w14:textId="66B6716C" w:rsidR="00FE461F" w:rsidRPr="005E4BEA" w:rsidRDefault="00241A6D" w:rsidP="00241A6D">
      <w:pPr>
        <w:spacing w:line="240" w:lineRule="auto"/>
        <w:jc w:val="both"/>
        <w:rPr>
          <w:rFonts w:eastAsia="Calibri" w:cs="Arial"/>
          <w:bCs/>
          <w:szCs w:val="20"/>
        </w:rPr>
      </w:pPr>
      <w:r w:rsidRPr="005E4BEA">
        <w:rPr>
          <w:rFonts w:eastAsia="Arial Narrow" w:cs="Arial"/>
          <w:b/>
          <w:szCs w:val="20"/>
        </w:rPr>
        <w:t>Skupnost socialnih zavodov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w:t>
      </w:r>
      <w:r w:rsidR="00FE461F" w:rsidRPr="005E4BEA">
        <w:rPr>
          <w:rFonts w:eastAsia="Calibri" w:cs="Arial"/>
          <w:bCs/>
          <w:szCs w:val="20"/>
        </w:rPr>
        <w:t>Prilogi</w:t>
      </w:r>
      <w:r w:rsidRPr="005E4BEA">
        <w:rPr>
          <w:rFonts w:eastAsia="Calibri" w:cs="Arial"/>
          <w:bCs/>
          <w:szCs w:val="20"/>
        </w:rPr>
        <w:t xml:space="preserve"> </w:t>
      </w:r>
      <w:r w:rsidR="00FE461F" w:rsidRPr="005E4BEA">
        <w:rPr>
          <w:rFonts w:eastAsia="Calibri" w:cs="Arial"/>
          <w:bCs/>
          <w:szCs w:val="20"/>
        </w:rPr>
        <w:t xml:space="preserve">SVZ 2 1. NORMATIV DELA ZA STORITEV "DAN ZDRAVSTVENE NEGE" V DOMOVIH ZA STAREJŠE IN POSEBNIH SOCIALNOVARSTVENIH ZAVODIH (tip A, B in C) doda nov tip nege: </w:t>
      </w:r>
    </w:p>
    <w:p w14:paraId="77A55F9B" w14:textId="77777777" w:rsidR="00FE461F" w:rsidRPr="005E4BEA" w:rsidRDefault="00FE461F" w:rsidP="00FE461F">
      <w:pPr>
        <w:spacing w:after="160" w:line="240" w:lineRule="auto"/>
        <w:contextualSpacing/>
        <w:jc w:val="both"/>
        <w:rPr>
          <w:rFonts w:eastAsia="Calibri" w:cs="Arial"/>
          <w:bCs/>
          <w:szCs w:val="20"/>
        </w:rPr>
      </w:pPr>
    </w:p>
    <w:p w14:paraId="1E51BDD0" w14:textId="77777777" w:rsidR="00FE461F" w:rsidRPr="005E4BEA" w:rsidRDefault="00FE461F" w:rsidP="00FE461F">
      <w:pPr>
        <w:spacing w:after="160" w:line="360" w:lineRule="auto"/>
        <w:jc w:val="both"/>
        <w:rPr>
          <w:rFonts w:eastAsia="Calibri" w:cs="Arial"/>
          <w:i/>
          <w:strike/>
          <w:szCs w:val="20"/>
          <w:u w:val="single"/>
        </w:rPr>
      </w:pPr>
      <w:r w:rsidRPr="005E4BEA">
        <w:rPr>
          <w:rFonts w:eastAsia="Calibri" w:cs="Arial"/>
          <w:i/>
          <w:szCs w:val="20"/>
          <w:u w:val="single"/>
        </w:rPr>
        <w:t xml:space="preserve"> »ZDRAVSTVENA NEGA III a</w:t>
      </w:r>
    </w:p>
    <w:p w14:paraId="40EB9BD2" w14:textId="77777777" w:rsidR="00FE461F" w:rsidRPr="005E4BEA" w:rsidRDefault="00FE461F" w:rsidP="00FE461F">
      <w:pPr>
        <w:spacing w:after="160" w:line="259" w:lineRule="auto"/>
        <w:jc w:val="both"/>
        <w:rPr>
          <w:rFonts w:eastAsia="Calibri" w:cs="Arial"/>
          <w:szCs w:val="20"/>
        </w:rPr>
      </w:pPr>
      <w:r w:rsidRPr="005E4BEA">
        <w:rPr>
          <w:rFonts w:eastAsia="Calibri" w:cs="Arial"/>
          <w:szCs w:val="20"/>
        </w:rPr>
        <w:t>Gre za zahtevnejše postopke in posege v zdravstveni negi, pri stanovalcih, ki so pri temeljni življenjski aktivnosti dihanje in krvni obtok, večinoma odvisni od pomoči diplomirane medicinske sestre in pri katerih je porabljen efektivni čas za delo s stanovalcem več kot eno uro na dan:</w:t>
      </w:r>
    </w:p>
    <w:p w14:paraId="29C5972A" w14:textId="77777777" w:rsidR="00FE461F" w:rsidRPr="005E4BEA" w:rsidRDefault="00FE461F" w:rsidP="007F360F">
      <w:pPr>
        <w:numPr>
          <w:ilvl w:val="0"/>
          <w:numId w:val="23"/>
        </w:numPr>
        <w:overflowPunct w:val="0"/>
        <w:autoSpaceDE w:val="0"/>
        <w:autoSpaceDN w:val="0"/>
        <w:adjustRightInd w:val="0"/>
        <w:spacing w:after="160" w:line="259" w:lineRule="auto"/>
        <w:contextualSpacing/>
        <w:textAlignment w:val="baseline"/>
        <w:rPr>
          <w:rFonts w:cs="Arial"/>
          <w:szCs w:val="20"/>
        </w:rPr>
      </w:pPr>
      <w:r w:rsidRPr="005E4BEA">
        <w:rPr>
          <w:rFonts w:cs="Arial"/>
          <w:szCs w:val="20"/>
        </w:rPr>
        <w:t xml:space="preserve">zdravstvena nega stanovalca z </w:t>
      </w:r>
      <w:proofErr w:type="spellStart"/>
      <w:r w:rsidRPr="005E4BEA">
        <w:rPr>
          <w:rFonts w:cs="Arial"/>
          <w:szCs w:val="20"/>
        </w:rPr>
        <w:t>endotrahealno</w:t>
      </w:r>
      <w:proofErr w:type="spellEnd"/>
      <w:r w:rsidRPr="005E4BEA">
        <w:rPr>
          <w:rFonts w:cs="Arial"/>
          <w:szCs w:val="20"/>
        </w:rPr>
        <w:t xml:space="preserve"> kanilo, ki potrebuje nego trahealne kanile in aspiracijo preko trahealne kanile (zaprt sistem aspiracije)«</w:t>
      </w:r>
    </w:p>
    <w:p w14:paraId="1C44F1DD" w14:textId="77777777" w:rsidR="00FE461F" w:rsidRPr="005E4BEA" w:rsidRDefault="00FE461F" w:rsidP="00FE461F">
      <w:pPr>
        <w:overflowPunct w:val="0"/>
        <w:autoSpaceDE w:val="0"/>
        <w:autoSpaceDN w:val="0"/>
        <w:adjustRightInd w:val="0"/>
        <w:spacing w:after="160" w:line="259" w:lineRule="auto"/>
        <w:ind w:left="283"/>
        <w:contextualSpacing/>
        <w:textAlignment w:val="baseline"/>
        <w:rPr>
          <w:rFonts w:cs="Arial"/>
          <w:szCs w:val="20"/>
        </w:rPr>
      </w:pPr>
    </w:p>
    <w:tbl>
      <w:tblPr>
        <w:tblW w:w="6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2"/>
        <w:gridCol w:w="1287"/>
      </w:tblGrid>
      <w:tr w:rsidR="00FE461F" w:rsidRPr="005E4BEA" w14:paraId="19913D91" w14:textId="77777777" w:rsidTr="0016774B">
        <w:trPr>
          <w:trHeight w:val="543"/>
        </w:trPr>
        <w:tc>
          <w:tcPr>
            <w:tcW w:w="5422" w:type="dxa"/>
            <w:shd w:val="clear" w:color="auto" w:fill="auto"/>
            <w:vAlign w:val="bottom"/>
            <w:hideMark/>
          </w:tcPr>
          <w:p w14:paraId="1BFF6954"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 </w:t>
            </w:r>
          </w:p>
        </w:tc>
        <w:tc>
          <w:tcPr>
            <w:tcW w:w="1287" w:type="dxa"/>
            <w:shd w:val="clear" w:color="auto" w:fill="auto"/>
            <w:vAlign w:val="bottom"/>
            <w:hideMark/>
          </w:tcPr>
          <w:p w14:paraId="30787E47" w14:textId="77777777" w:rsidR="00FE461F" w:rsidRPr="005E4BEA" w:rsidRDefault="00FE461F" w:rsidP="00FE461F">
            <w:pPr>
              <w:spacing w:after="160" w:line="259" w:lineRule="auto"/>
              <w:jc w:val="center"/>
              <w:rPr>
                <w:rFonts w:eastAsia="Calibri" w:cs="Arial"/>
                <w:szCs w:val="20"/>
                <w:lang w:eastAsia="sl-SI"/>
              </w:rPr>
            </w:pPr>
            <w:r w:rsidRPr="005E4BEA">
              <w:rPr>
                <w:rFonts w:eastAsia="Calibri" w:cs="Arial"/>
                <w:szCs w:val="20"/>
                <w:lang w:eastAsia="sl-SI"/>
              </w:rPr>
              <w:t xml:space="preserve"> št. delavcev na posteljo </w:t>
            </w:r>
          </w:p>
        </w:tc>
      </w:tr>
      <w:tr w:rsidR="00FE461F" w:rsidRPr="005E4BEA" w14:paraId="1E3ABD58" w14:textId="77777777" w:rsidTr="0016774B">
        <w:trPr>
          <w:trHeight w:val="271"/>
        </w:trPr>
        <w:tc>
          <w:tcPr>
            <w:tcW w:w="5422" w:type="dxa"/>
            <w:shd w:val="clear" w:color="auto" w:fill="auto"/>
            <w:noWrap/>
            <w:vAlign w:val="bottom"/>
            <w:hideMark/>
          </w:tcPr>
          <w:p w14:paraId="73F399FF"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 xml:space="preserve">1 diplomirana </w:t>
            </w:r>
            <w:proofErr w:type="spellStart"/>
            <w:r w:rsidRPr="005E4BEA">
              <w:rPr>
                <w:rFonts w:eastAsia="Calibri" w:cs="Arial"/>
                <w:szCs w:val="20"/>
                <w:lang w:eastAsia="sl-SI"/>
              </w:rPr>
              <w:t>med.sestra</w:t>
            </w:r>
            <w:proofErr w:type="spellEnd"/>
            <w:r w:rsidRPr="005E4BEA">
              <w:rPr>
                <w:rFonts w:eastAsia="Calibri" w:cs="Arial"/>
                <w:szCs w:val="20"/>
                <w:lang w:eastAsia="sl-SI"/>
              </w:rPr>
              <w:t xml:space="preserve"> / višja </w:t>
            </w:r>
            <w:proofErr w:type="spellStart"/>
            <w:r w:rsidRPr="005E4BEA">
              <w:rPr>
                <w:rFonts w:eastAsia="Calibri" w:cs="Arial"/>
                <w:szCs w:val="20"/>
                <w:lang w:eastAsia="sl-SI"/>
              </w:rPr>
              <w:t>med.sestra</w:t>
            </w:r>
            <w:proofErr w:type="spellEnd"/>
            <w:r w:rsidRPr="005E4BEA">
              <w:rPr>
                <w:rFonts w:eastAsia="Calibri" w:cs="Arial"/>
                <w:szCs w:val="20"/>
                <w:lang w:eastAsia="sl-SI"/>
              </w:rPr>
              <w:t xml:space="preserve"> na 5 postelj</w:t>
            </w:r>
          </w:p>
        </w:tc>
        <w:tc>
          <w:tcPr>
            <w:tcW w:w="1287" w:type="dxa"/>
            <w:shd w:val="clear" w:color="auto" w:fill="auto"/>
            <w:noWrap/>
            <w:vAlign w:val="bottom"/>
            <w:hideMark/>
          </w:tcPr>
          <w:p w14:paraId="6367BFEC"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 xml:space="preserve">0,2000 </w:t>
            </w:r>
          </w:p>
        </w:tc>
      </w:tr>
      <w:tr w:rsidR="00FE461F" w:rsidRPr="005E4BEA" w14:paraId="7B8F768D" w14:textId="77777777" w:rsidTr="0016774B">
        <w:trPr>
          <w:trHeight w:val="271"/>
        </w:trPr>
        <w:tc>
          <w:tcPr>
            <w:tcW w:w="5422" w:type="dxa"/>
            <w:shd w:val="clear" w:color="auto" w:fill="auto"/>
            <w:noWrap/>
            <w:vAlign w:val="bottom"/>
          </w:tcPr>
          <w:p w14:paraId="4E7E8F11"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1 tehnik zdravstvene nege na 7 postelj</w:t>
            </w:r>
          </w:p>
        </w:tc>
        <w:tc>
          <w:tcPr>
            <w:tcW w:w="1287" w:type="dxa"/>
            <w:shd w:val="clear" w:color="auto" w:fill="auto"/>
            <w:noWrap/>
            <w:vAlign w:val="bottom"/>
          </w:tcPr>
          <w:p w14:paraId="68435E8F"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 xml:space="preserve">0,1428 </w:t>
            </w:r>
          </w:p>
        </w:tc>
      </w:tr>
      <w:tr w:rsidR="00FE461F" w:rsidRPr="005E4BEA" w14:paraId="4521B824" w14:textId="77777777" w:rsidTr="0016774B">
        <w:trPr>
          <w:trHeight w:val="271"/>
        </w:trPr>
        <w:tc>
          <w:tcPr>
            <w:tcW w:w="5422" w:type="dxa"/>
            <w:shd w:val="clear" w:color="auto" w:fill="auto"/>
            <w:noWrap/>
            <w:vAlign w:val="bottom"/>
          </w:tcPr>
          <w:p w14:paraId="49C400EC"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1 bolničar-negovalec na 7,12 postelj</w:t>
            </w:r>
          </w:p>
        </w:tc>
        <w:tc>
          <w:tcPr>
            <w:tcW w:w="1287" w:type="dxa"/>
            <w:shd w:val="clear" w:color="auto" w:fill="auto"/>
            <w:noWrap/>
            <w:vAlign w:val="bottom"/>
          </w:tcPr>
          <w:p w14:paraId="7F6447C1"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 xml:space="preserve">0,1386  </w:t>
            </w:r>
          </w:p>
        </w:tc>
      </w:tr>
      <w:tr w:rsidR="00FE461F" w:rsidRPr="005E4BEA" w14:paraId="6BA45E31" w14:textId="77777777" w:rsidTr="0016774B">
        <w:trPr>
          <w:trHeight w:val="271"/>
        </w:trPr>
        <w:tc>
          <w:tcPr>
            <w:tcW w:w="5422" w:type="dxa"/>
            <w:shd w:val="clear" w:color="auto" w:fill="auto"/>
            <w:noWrap/>
            <w:vAlign w:val="bottom"/>
            <w:hideMark/>
          </w:tcPr>
          <w:p w14:paraId="39A20ED3"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1 dipl. fizioterapevt/višji fizioterapevt na 50 postelj</w:t>
            </w:r>
          </w:p>
        </w:tc>
        <w:tc>
          <w:tcPr>
            <w:tcW w:w="1287" w:type="dxa"/>
            <w:shd w:val="clear" w:color="auto" w:fill="auto"/>
            <w:noWrap/>
            <w:vAlign w:val="bottom"/>
            <w:hideMark/>
          </w:tcPr>
          <w:p w14:paraId="191F9503"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0,0200</w:t>
            </w:r>
          </w:p>
        </w:tc>
      </w:tr>
      <w:tr w:rsidR="00FE461F" w:rsidRPr="005E4BEA" w14:paraId="74D586AA" w14:textId="77777777" w:rsidTr="0016774B">
        <w:trPr>
          <w:trHeight w:val="271"/>
        </w:trPr>
        <w:tc>
          <w:tcPr>
            <w:tcW w:w="5422" w:type="dxa"/>
            <w:shd w:val="clear" w:color="auto" w:fill="auto"/>
            <w:noWrap/>
            <w:vAlign w:val="bottom"/>
            <w:hideMark/>
          </w:tcPr>
          <w:p w14:paraId="1BBE704B"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1 dipl. del. terapevt/ višji del. terapevt na 100 postelj</w:t>
            </w:r>
          </w:p>
        </w:tc>
        <w:tc>
          <w:tcPr>
            <w:tcW w:w="1287" w:type="dxa"/>
            <w:shd w:val="clear" w:color="auto" w:fill="auto"/>
            <w:noWrap/>
            <w:vAlign w:val="bottom"/>
            <w:hideMark/>
          </w:tcPr>
          <w:p w14:paraId="73E6B5B3"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0,0100</w:t>
            </w:r>
          </w:p>
        </w:tc>
      </w:tr>
      <w:tr w:rsidR="00FE461F" w:rsidRPr="005E4BEA" w14:paraId="726337B3" w14:textId="77777777" w:rsidTr="0016774B">
        <w:trPr>
          <w:trHeight w:val="271"/>
        </w:trPr>
        <w:tc>
          <w:tcPr>
            <w:tcW w:w="5422" w:type="dxa"/>
            <w:shd w:val="clear" w:color="auto" w:fill="auto"/>
            <w:noWrap/>
            <w:vAlign w:val="bottom"/>
            <w:hideMark/>
          </w:tcPr>
          <w:p w14:paraId="3E9C24AA"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1 zdravnik specialist na 2.000 postelj</w:t>
            </w:r>
          </w:p>
        </w:tc>
        <w:tc>
          <w:tcPr>
            <w:tcW w:w="1287" w:type="dxa"/>
            <w:shd w:val="clear" w:color="auto" w:fill="auto"/>
            <w:noWrap/>
            <w:vAlign w:val="bottom"/>
            <w:hideMark/>
          </w:tcPr>
          <w:p w14:paraId="07375FCF"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 xml:space="preserve">0,0005  </w:t>
            </w:r>
          </w:p>
        </w:tc>
      </w:tr>
      <w:tr w:rsidR="00FE461F" w:rsidRPr="005E4BEA" w14:paraId="3589D31B" w14:textId="77777777" w:rsidTr="0016774B">
        <w:trPr>
          <w:trHeight w:val="271"/>
        </w:trPr>
        <w:tc>
          <w:tcPr>
            <w:tcW w:w="5422" w:type="dxa"/>
            <w:shd w:val="clear" w:color="auto" w:fill="auto"/>
            <w:noWrap/>
            <w:vAlign w:val="bottom"/>
            <w:hideMark/>
          </w:tcPr>
          <w:p w14:paraId="635CD45F"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SKUPAJ</w:t>
            </w:r>
          </w:p>
        </w:tc>
        <w:tc>
          <w:tcPr>
            <w:tcW w:w="1287" w:type="dxa"/>
            <w:shd w:val="clear" w:color="auto" w:fill="auto"/>
            <w:noWrap/>
            <w:vAlign w:val="bottom"/>
            <w:hideMark/>
          </w:tcPr>
          <w:p w14:paraId="7B4C3493" w14:textId="77777777" w:rsidR="00FE461F" w:rsidRPr="005E4BEA" w:rsidRDefault="00FE461F" w:rsidP="00FE461F">
            <w:pPr>
              <w:spacing w:after="160" w:line="259" w:lineRule="auto"/>
              <w:rPr>
                <w:rFonts w:eastAsia="Calibri" w:cs="Arial"/>
                <w:szCs w:val="20"/>
                <w:lang w:eastAsia="sl-SI"/>
              </w:rPr>
            </w:pPr>
            <w:r w:rsidRPr="005E4BEA">
              <w:rPr>
                <w:rFonts w:eastAsia="Calibri" w:cs="Arial"/>
                <w:szCs w:val="20"/>
                <w:lang w:eastAsia="sl-SI"/>
              </w:rPr>
              <w:t>0,5122</w:t>
            </w:r>
          </w:p>
        </w:tc>
      </w:tr>
    </w:tbl>
    <w:p w14:paraId="03747546" w14:textId="77777777" w:rsidR="00FE461F" w:rsidRPr="005E4BEA" w:rsidRDefault="00FE461F" w:rsidP="00FE461F">
      <w:pPr>
        <w:overflowPunct w:val="0"/>
        <w:autoSpaceDE w:val="0"/>
        <w:autoSpaceDN w:val="0"/>
        <w:adjustRightInd w:val="0"/>
        <w:spacing w:after="160" w:line="259" w:lineRule="auto"/>
        <w:contextualSpacing/>
        <w:textAlignment w:val="baseline"/>
        <w:rPr>
          <w:rFonts w:cs="Arial"/>
          <w:szCs w:val="20"/>
        </w:rPr>
      </w:pPr>
    </w:p>
    <w:p w14:paraId="25C3B654" w14:textId="77777777" w:rsidR="00FE461F" w:rsidRPr="005E4BEA" w:rsidRDefault="00FE461F" w:rsidP="00FE461F">
      <w:pPr>
        <w:overflowPunct w:val="0"/>
        <w:autoSpaceDE w:val="0"/>
        <w:autoSpaceDN w:val="0"/>
        <w:adjustRightInd w:val="0"/>
        <w:spacing w:after="160" w:line="259" w:lineRule="auto"/>
        <w:ind w:left="283"/>
        <w:contextualSpacing/>
        <w:textAlignment w:val="baseline"/>
        <w:rPr>
          <w:rFonts w:cs="Arial"/>
          <w:i/>
          <w:szCs w:val="20"/>
        </w:rPr>
      </w:pPr>
    </w:p>
    <w:p w14:paraId="60367B52" w14:textId="77777777" w:rsidR="00FE461F" w:rsidRPr="005E4BEA" w:rsidRDefault="00FE461F" w:rsidP="00FE461F">
      <w:pPr>
        <w:spacing w:line="240" w:lineRule="auto"/>
        <w:jc w:val="both"/>
        <w:rPr>
          <w:rFonts w:eastAsia="Calibri" w:cs="Arial"/>
          <w:i/>
          <w:szCs w:val="20"/>
        </w:rPr>
      </w:pPr>
      <w:r w:rsidRPr="005E4BEA">
        <w:rPr>
          <w:rFonts w:eastAsia="Calibri" w:cs="Arial"/>
          <w:bCs/>
          <w:i/>
          <w:szCs w:val="20"/>
        </w:rPr>
        <w:t xml:space="preserve">Obrazložitev (povzeto po predlogu MZ): </w:t>
      </w:r>
      <w:r w:rsidRPr="005E4BEA">
        <w:rPr>
          <w:rFonts w:eastAsia="Calibri" w:cs="Arial"/>
          <w:i/>
          <w:szCs w:val="20"/>
        </w:rPr>
        <w:t>Pravna podlaga za urejanje (pogodbenih) odnosov med ZZZS-jem in izvajalci zdravstvenih storitev je opredeljena v III. poglavju Zakona o zdravstvenem varstvu in zdravstvenem zavarovanju in določa, da se vsa izhodišča za opredeljevanje pogodbenih razmerij med ZZZS-jem in izvajalci, določajo v Splošnem dogovoru. S tem v zvezi zakon v prvem odstavku 63. člena določa:</w:t>
      </w:r>
    </w:p>
    <w:p w14:paraId="2525EB95" w14:textId="77777777" w:rsidR="00FE461F" w:rsidRPr="005E4BEA" w:rsidRDefault="00FE461F" w:rsidP="00FE461F">
      <w:pPr>
        <w:spacing w:line="240" w:lineRule="auto"/>
        <w:jc w:val="both"/>
        <w:rPr>
          <w:rFonts w:eastAsia="Calibri" w:cs="Arial"/>
          <w:i/>
          <w:szCs w:val="20"/>
        </w:rPr>
      </w:pPr>
      <w:r w:rsidRPr="005E4BEA">
        <w:rPr>
          <w:rFonts w:eastAsia="Calibri" w:cs="Arial"/>
          <w:i/>
          <w:szCs w:val="20"/>
        </w:rPr>
        <w:t>Zavod, pristojne zbornice, združenja zdravstvenih zavodov in drugih zavodov ter organizacij, ki opravljajo zdravstveno dejavnost, ter ministrstvo, pristojno za zdravstvo, se za vsako leto dogovorijo o programu storitev obveznega zdravstvenega zavarovanja, opredelijo zmogljivosti, potrebne za njegovo izvajanje in določijo obseg sredstev. Na tej osnovi določijo izhodišča za izvajanje programov in za oblikovanje cen programov oziroma storitev ter druge podlage za sklepanje pogodb z zdravstvenimi zavodi, drugimi zavodi in organizacijami, ki opravljajo zdravstveno dejavnost ter zasebnimi zdravstvenimi delavci</w:t>
      </w:r>
    </w:p>
    <w:p w14:paraId="3ACB7118" w14:textId="77777777" w:rsidR="00FE461F" w:rsidRPr="005E4BEA" w:rsidRDefault="00FE461F" w:rsidP="00FE461F">
      <w:pPr>
        <w:spacing w:line="240" w:lineRule="auto"/>
        <w:jc w:val="both"/>
        <w:rPr>
          <w:rFonts w:eastAsia="Calibri" w:cs="Arial"/>
          <w:i/>
          <w:szCs w:val="20"/>
        </w:rPr>
      </w:pPr>
      <w:r w:rsidRPr="005E4BEA">
        <w:rPr>
          <w:rFonts w:eastAsia="Calibri" w:cs="Arial"/>
          <w:i/>
          <w:szCs w:val="20"/>
        </w:rPr>
        <w:t>Navedeno predstavlja tudi izhodišče za oblikovanje cen programov.</w:t>
      </w:r>
    </w:p>
    <w:p w14:paraId="29BE87E0" w14:textId="77777777" w:rsidR="00FE461F" w:rsidRPr="005E4BEA" w:rsidRDefault="00FE461F" w:rsidP="00FE461F">
      <w:pPr>
        <w:spacing w:line="240" w:lineRule="auto"/>
        <w:jc w:val="both"/>
        <w:rPr>
          <w:rFonts w:eastAsia="Calibri" w:cs="Arial"/>
          <w:i/>
          <w:szCs w:val="20"/>
        </w:rPr>
      </w:pPr>
    </w:p>
    <w:p w14:paraId="0D6F7445" w14:textId="77777777" w:rsidR="00FE461F" w:rsidRPr="005E4BEA" w:rsidRDefault="00FE461F" w:rsidP="00FE461F">
      <w:pPr>
        <w:jc w:val="both"/>
        <w:rPr>
          <w:rFonts w:cs="Arial"/>
          <w:i/>
          <w:iCs/>
          <w:szCs w:val="20"/>
        </w:rPr>
      </w:pPr>
      <w:r w:rsidRPr="005E4BEA">
        <w:rPr>
          <w:rFonts w:cs="Arial"/>
          <w:i/>
          <w:iCs/>
          <w:szCs w:val="20"/>
        </w:rPr>
        <w:t xml:space="preserve">Predlagana sprememba velja za izvajalce zdravstvene dejavnosti skladno z 8. členom Zakon o zdravstveni dejavnosti (Uradni list RS, št. 23/05 – uradno prečiščeno besedilo, 15/08 – </w:t>
      </w:r>
      <w:proofErr w:type="spellStart"/>
      <w:r w:rsidRPr="005E4BEA">
        <w:rPr>
          <w:rFonts w:cs="Arial"/>
          <w:i/>
          <w:iCs/>
          <w:szCs w:val="20"/>
        </w:rPr>
        <w:t>ZPacP</w:t>
      </w:r>
      <w:proofErr w:type="spellEnd"/>
      <w:r w:rsidRPr="005E4BEA">
        <w:rPr>
          <w:rFonts w:cs="Arial"/>
          <w:i/>
          <w:iCs/>
          <w:szCs w:val="20"/>
        </w:rPr>
        <w:t xml:space="preserve">, 23/08, 58/08 – ZZdrS-E, 77/08 – </w:t>
      </w:r>
      <w:proofErr w:type="spellStart"/>
      <w:r w:rsidRPr="005E4BEA">
        <w:rPr>
          <w:rFonts w:cs="Arial"/>
          <w:i/>
          <w:iCs/>
          <w:szCs w:val="20"/>
        </w:rPr>
        <w:t>ZDZdr</w:t>
      </w:r>
      <w:proofErr w:type="spellEnd"/>
      <w:r w:rsidRPr="005E4BEA">
        <w:rPr>
          <w:rFonts w:cs="Arial"/>
          <w:i/>
          <w:iCs/>
          <w:szCs w:val="20"/>
        </w:rPr>
        <w:t xml:space="preserve">, 40/12 – ZUJF, 14/13, 88/16 – </w:t>
      </w:r>
      <w:proofErr w:type="spellStart"/>
      <w:r w:rsidRPr="005E4BEA">
        <w:rPr>
          <w:rFonts w:cs="Arial"/>
          <w:i/>
          <w:iCs/>
          <w:szCs w:val="20"/>
        </w:rPr>
        <w:t>ZdZPZD</w:t>
      </w:r>
      <w:proofErr w:type="spellEnd"/>
      <w:r w:rsidRPr="005E4BEA">
        <w:rPr>
          <w:rFonts w:cs="Arial"/>
          <w:i/>
          <w:iCs/>
          <w:szCs w:val="20"/>
        </w:rPr>
        <w:t xml:space="preserve">, 64/17, 1/19 – </w:t>
      </w:r>
      <w:proofErr w:type="spellStart"/>
      <w:r w:rsidRPr="005E4BEA">
        <w:rPr>
          <w:rFonts w:cs="Arial"/>
          <w:i/>
          <w:iCs/>
          <w:szCs w:val="20"/>
        </w:rPr>
        <w:t>odl</w:t>
      </w:r>
      <w:proofErr w:type="spellEnd"/>
      <w:r w:rsidRPr="005E4BEA">
        <w:rPr>
          <w:rFonts w:cs="Arial"/>
          <w:i/>
          <w:iCs/>
          <w:szCs w:val="20"/>
        </w:rPr>
        <w:t xml:space="preserve">. US in 73/19; v nadaljnjem besedilu: ZZDej) in sicer za domove za starejše iz 50. člena Zakona o socialnem varstvu (Uradni list RS, št. 3/07 – uradno prečiščeno besedilo, 23/07 – </w:t>
      </w:r>
      <w:proofErr w:type="spellStart"/>
      <w:r w:rsidRPr="005E4BEA">
        <w:rPr>
          <w:rFonts w:cs="Arial"/>
          <w:i/>
          <w:iCs/>
          <w:szCs w:val="20"/>
        </w:rPr>
        <w:t>popr</w:t>
      </w:r>
      <w:proofErr w:type="spellEnd"/>
      <w:r w:rsidRPr="005E4BEA">
        <w:rPr>
          <w:rFonts w:cs="Arial"/>
          <w:i/>
          <w:iCs/>
          <w:szCs w:val="20"/>
        </w:rPr>
        <w:t xml:space="preserve">., 41/07 – </w:t>
      </w:r>
      <w:proofErr w:type="spellStart"/>
      <w:r w:rsidRPr="005E4BEA">
        <w:rPr>
          <w:rFonts w:cs="Arial"/>
          <w:i/>
          <w:iCs/>
          <w:szCs w:val="20"/>
        </w:rPr>
        <w:t>popr</w:t>
      </w:r>
      <w:proofErr w:type="spellEnd"/>
      <w:r w:rsidRPr="005E4BEA">
        <w:rPr>
          <w:rFonts w:cs="Arial"/>
          <w:i/>
          <w:iCs/>
          <w:szCs w:val="20"/>
        </w:rPr>
        <w:t xml:space="preserve">., 61/10 – </w:t>
      </w:r>
      <w:proofErr w:type="spellStart"/>
      <w:r w:rsidRPr="005E4BEA">
        <w:rPr>
          <w:rFonts w:cs="Arial"/>
          <w:i/>
          <w:iCs/>
          <w:szCs w:val="20"/>
        </w:rPr>
        <w:t>ZSVarPre</w:t>
      </w:r>
      <w:proofErr w:type="spellEnd"/>
      <w:r w:rsidRPr="005E4BEA">
        <w:rPr>
          <w:rFonts w:cs="Arial"/>
          <w:i/>
          <w:iCs/>
          <w:szCs w:val="20"/>
        </w:rPr>
        <w:t xml:space="preserve">, 62/10 – ZUPJS, 57/12, 39/16, 52/16 – ZPPreb-1, 15/17 – DZ in 29/17, v nadaljnjem besedilu: ZSV), posebne socialnovarstvene zavode za odrasle iz 51. člena ZSV, </w:t>
      </w:r>
      <w:r w:rsidRPr="005E4BEA">
        <w:rPr>
          <w:rFonts w:cs="Arial"/>
          <w:bCs/>
          <w:i/>
          <w:iCs/>
          <w:szCs w:val="20"/>
        </w:rPr>
        <w:t xml:space="preserve">ki so v javni mreži. </w:t>
      </w:r>
    </w:p>
    <w:p w14:paraId="07CC3105" w14:textId="77777777" w:rsidR="00FE461F" w:rsidRPr="005E4BEA" w:rsidRDefault="00FE461F" w:rsidP="00FE461F">
      <w:pPr>
        <w:spacing w:line="240" w:lineRule="auto"/>
        <w:jc w:val="both"/>
        <w:rPr>
          <w:rFonts w:eastAsia="Calibri" w:cs="Arial"/>
          <w:i/>
          <w:szCs w:val="20"/>
        </w:rPr>
      </w:pPr>
      <w:r w:rsidRPr="005E4BEA">
        <w:rPr>
          <w:rFonts w:eastAsia="Calibri" w:cs="Arial"/>
          <w:i/>
          <w:szCs w:val="20"/>
        </w:rPr>
        <w:t xml:space="preserve">Po navedbah MZ in ZZZS je v Republiki Sloveniji v letu 2019 472 oseb prejelo eno od </w:t>
      </w:r>
      <w:proofErr w:type="spellStart"/>
      <w:r w:rsidRPr="005E4BEA">
        <w:rPr>
          <w:rFonts w:eastAsia="Calibri" w:cs="Arial"/>
          <w:i/>
          <w:szCs w:val="20"/>
        </w:rPr>
        <w:t>endotrahealnih</w:t>
      </w:r>
      <w:proofErr w:type="spellEnd"/>
      <w:r w:rsidRPr="005E4BEA">
        <w:rPr>
          <w:rFonts w:eastAsia="Calibri" w:cs="Arial"/>
          <w:i/>
          <w:szCs w:val="20"/>
        </w:rPr>
        <w:t xml:space="preserve"> kanil. Strokovni delavci Torakalne klinike UKC Ljubljana ocenjujejo, da je pri cca. 50 % </w:t>
      </w:r>
      <w:proofErr w:type="spellStart"/>
      <w:r w:rsidRPr="005E4BEA">
        <w:rPr>
          <w:rFonts w:eastAsia="Calibri" w:cs="Arial"/>
          <w:i/>
          <w:szCs w:val="20"/>
        </w:rPr>
        <w:t>traheotomiranih</w:t>
      </w:r>
      <w:proofErr w:type="spellEnd"/>
      <w:r w:rsidRPr="005E4BEA">
        <w:rPr>
          <w:rFonts w:eastAsia="Calibri" w:cs="Arial"/>
          <w:i/>
          <w:szCs w:val="20"/>
        </w:rPr>
        <w:t xml:space="preserve"> pacientov prisotnost </w:t>
      </w:r>
      <w:proofErr w:type="spellStart"/>
      <w:r w:rsidRPr="005E4BEA">
        <w:rPr>
          <w:rFonts w:eastAsia="Calibri" w:cs="Arial"/>
          <w:i/>
          <w:szCs w:val="20"/>
        </w:rPr>
        <w:t>endotrahealne</w:t>
      </w:r>
      <w:proofErr w:type="spellEnd"/>
      <w:r w:rsidRPr="005E4BEA">
        <w:rPr>
          <w:rFonts w:eastAsia="Calibri" w:cs="Arial"/>
          <w:i/>
          <w:szCs w:val="20"/>
        </w:rPr>
        <w:t xml:space="preserve"> kanile doživljenjska. Razširjen </w:t>
      </w:r>
      <w:r w:rsidRPr="005E4BEA">
        <w:rPr>
          <w:rFonts w:eastAsia="Calibri" w:cs="Arial"/>
          <w:i/>
          <w:szCs w:val="20"/>
        </w:rPr>
        <w:lastRenderedPageBreak/>
        <w:t xml:space="preserve">strokovni kolegij za zdravstveno in babiško nego (RSKZBN), je izvajalce zdravstvene dejavnosti (tudi socialne zavode) v mesecu januarju 2020 pozval k poročanju števila pacientov z </w:t>
      </w:r>
      <w:proofErr w:type="spellStart"/>
      <w:r w:rsidRPr="005E4BEA">
        <w:rPr>
          <w:rFonts w:eastAsia="Calibri" w:cs="Arial"/>
          <w:i/>
          <w:szCs w:val="20"/>
        </w:rPr>
        <w:t>endotrahealno</w:t>
      </w:r>
      <w:proofErr w:type="spellEnd"/>
      <w:r w:rsidRPr="005E4BEA">
        <w:rPr>
          <w:rFonts w:eastAsia="Calibri" w:cs="Arial"/>
          <w:i/>
          <w:szCs w:val="20"/>
        </w:rPr>
        <w:t xml:space="preserve"> kanilo. Za podatke je bilo zaprošenih 122 izvajalcev, ki skupno skrbijo za 23.197 uporabnikov. Podatke je posredovalo 89 izvajalcev zdravstvene dejavnosti v socialnih zavodih, ki obravnavajo skupno 17.038 uporabnikov, od katerih ima 63 uporabnikov s trahealno kanilo (52 odraslih, 11 otrok). Za 47 stanovalcev s trahealno kanilo se storitve zdravstvene nege zagotavlja v domovih za starejše iz 50. člena Zakona o socialnem varstvu (Uradni list RS, št. 3/07 – uradno prečiščeno besedilo, 23/07 – </w:t>
      </w:r>
      <w:proofErr w:type="spellStart"/>
      <w:r w:rsidRPr="005E4BEA">
        <w:rPr>
          <w:rFonts w:eastAsia="Calibri" w:cs="Arial"/>
          <w:i/>
          <w:szCs w:val="20"/>
        </w:rPr>
        <w:t>popr</w:t>
      </w:r>
      <w:proofErr w:type="spellEnd"/>
      <w:r w:rsidRPr="005E4BEA">
        <w:rPr>
          <w:rFonts w:eastAsia="Calibri" w:cs="Arial"/>
          <w:i/>
          <w:szCs w:val="20"/>
        </w:rPr>
        <w:t xml:space="preserve">., 41/07 – </w:t>
      </w:r>
      <w:proofErr w:type="spellStart"/>
      <w:r w:rsidRPr="005E4BEA">
        <w:rPr>
          <w:rFonts w:eastAsia="Calibri" w:cs="Arial"/>
          <w:i/>
          <w:szCs w:val="20"/>
        </w:rPr>
        <w:t>popr</w:t>
      </w:r>
      <w:proofErr w:type="spellEnd"/>
      <w:r w:rsidRPr="005E4BEA">
        <w:rPr>
          <w:rFonts w:eastAsia="Calibri" w:cs="Arial"/>
          <w:i/>
          <w:szCs w:val="20"/>
        </w:rPr>
        <w:t xml:space="preserve">., 61/10 – </w:t>
      </w:r>
      <w:proofErr w:type="spellStart"/>
      <w:r w:rsidRPr="005E4BEA">
        <w:rPr>
          <w:rFonts w:eastAsia="Calibri" w:cs="Arial"/>
          <w:i/>
          <w:szCs w:val="20"/>
        </w:rPr>
        <w:t>ZSVarPre</w:t>
      </w:r>
      <w:proofErr w:type="spellEnd"/>
      <w:r w:rsidRPr="005E4BEA">
        <w:rPr>
          <w:rFonts w:eastAsia="Calibri" w:cs="Arial"/>
          <w:i/>
          <w:szCs w:val="20"/>
        </w:rPr>
        <w:t>, 62/10 – ZUPJS, 57/12, 39/16, 52/16 – ZPPreb-1, 15/17 – DZ in 29/17, v nadaljnjem besedilu: ZSV), posebnih socialnovarstvenih zavodih za odrasle iz 51. člena ZSV in domskem varstvu varstveno delovnih centrih iz 52. člena ZSV, ki za svoje uporabnike zagotavljajo zdravstveno nego in rehabilitacijo skladno z 8. členom ZZDej, za svoje uporabnike opravljajo zdravstveno nego in rehabilitacijo.</w:t>
      </w:r>
    </w:p>
    <w:p w14:paraId="3F8137E7" w14:textId="77777777" w:rsidR="00FE461F" w:rsidRPr="005E4BEA" w:rsidRDefault="00FE461F" w:rsidP="00FE461F">
      <w:pPr>
        <w:spacing w:line="240" w:lineRule="auto"/>
        <w:jc w:val="both"/>
        <w:rPr>
          <w:rFonts w:eastAsia="Calibri" w:cs="Arial"/>
          <w:i/>
          <w:szCs w:val="20"/>
        </w:rPr>
      </w:pPr>
    </w:p>
    <w:p w14:paraId="5B4A5D67" w14:textId="77777777" w:rsidR="00FE461F" w:rsidRPr="005E4BEA" w:rsidRDefault="00FE461F" w:rsidP="00FE461F">
      <w:pPr>
        <w:spacing w:line="240" w:lineRule="auto"/>
        <w:jc w:val="both"/>
        <w:rPr>
          <w:rFonts w:eastAsia="Calibri" w:cs="Arial"/>
          <w:i/>
          <w:szCs w:val="20"/>
          <w:u w:val="single"/>
        </w:rPr>
      </w:pPr>
      <w:r w:rsidRPr="005E4BEA">
        <w:rPr>
          <w:rFonts w:eastAsia="Calibri" w:cs="Arial"/>
          <w:i/>
          <w:szCs w:val="20"/>
        </w:rPr>
        <w:t xml:space="preserve">Aspiracija preko </w:t>
      </w:r>
      <w:proofErr w:type="spellStart"/>
      <w:r w:rsidRPr="005E4BEA">
        <w:rPr>
          <w:rFonts w:eastAsia="Calibri" w:cs="Arial"/>
          <w:i/>
          <w:szCs w:val="20"/>
        </w:rPr>
        <w:t>endotrahealne</w:t>
      </w:r>
      <w:proofErr w:type="spellEnd"/>
      <w:r w:rsidRPr="005E4BEA">
        <w:rPr>
          <w:rFonts w:eastAsia="Calibri" w:cs="Arial"/>
          <w:i/>
          <w:szCs w:val="20"/>
        </w:rPr>
        <w:t xml:space="preserve"> kanile prestavlja zahteven medicinsko tehnični postopek z visokim tveganjem za zdravje in preživetje stanovalca, zato je za aspiracijo preko </w:t>
      </w:r>
      <w:proofErr w:type="spellStart"/>
      <w:r w:rsidRPr="005E4BEA">
        <w:rPr>
          <w:rFonts w:eastAsia="Calibri" w:cs="Arial"/>
          <w:i/>
          <w:szCs w:val="20"/>
        </w:rPr>
        <w:t>endotrahealne</w:t>
      </w:r>
      <w:proofErr w:type="spellEnd"/>
      <w:r w:rsidRPr="005E4BEA">
        <w:rPr>
          <w:rFonts w:eastAsia="Calibri" w:cs="Arial"/>
          <w:i/>
          <w:szCs w:val="20"/>
        </w:rPr>
        <w:t xml:space="preserve"> kanile, na področju zdravstvene nege, pristojna zgolj diplomirana medicinska sestra. Pristojnost za izvedbo aktivnosti je razvidna v dokumentu Poklicne kompetence in aktivnosti izvajalcev v dejavnosti zdravstvene nege, dostopnem na spletni strani: </w:t>
      </w:r>
      <w:hyperlink r:id="rId39" w:anchor="book_pdf/1" w:history="1">
        <w:r w:rsidRPr="005E4BEA">
          <w:rPr>
            <w:rFonts w:eastAsia="Calibri" w:cs="Arial"/>
            <w:i/>
            <w:szCs w:val="20"/>
            <w:u w:val="single"/>
          </w:rPr>
          <w:t>http://flipbooks.prelom.si/Z-Z_PoklicneKompetence_FlipBook.html#book_pdf/1</w:t>
        </w:r>
      </w:hyperlink>
      <w:r w:rsidRPr="005E4BEA">
        <w:rPr>
          <w:rFonts w:eastAsia="Calibri" w:cs="Arial"/>
          <w:i/>
          <w:szCs w:val="20"/>
          <w:u w:val="single"/>
        </w:rPr>
        <w:t xml:space="preserve">. </w:t>
      </w:r>
    </w:p>
    <w:p w14:paraId="4EEE1301" w14:textId="77777777" w:rsidR="00FE461F" w:rsidRPr="005E4BEA" w:rsidRDefault="00FE461F" w:rsidP="00FE461F">
      <w:pPr>
        <w:spacing w:line="240" w:lineRule="auto"/>
        <w:jc w:val="both"/>
        <w:rPr>
          <w:rFonts w:eastAsia="Calibri" w:cs="Arial"/>
          <w:i/>
          <w:szCs w:val="20"/>
        </w:rPr>
      </w:pPr>
    </w:p>
    <w:p w14:paraId="1E5BFE5C" w14:textId="77777777" w:rsidR="00FE461F" w:rsidRPr="005E4BEA" w:rsidRDefault="00FE461F" w:rsidP="00FE461F">
      <w:pPr>
        <w:spacing w:after="160" w:line="259" w:lineRule="auto"/>
        <w:jc w:val="both"/>
        <w:rPr>
          <w:rFonts w:eastAsia="Calibri" w:cs="Arial"/>
          <w:b/>
          <w:bCs/>
          <w:szCs w:val="20"/>
        </w:rPr>
      </w:pPr>
      <w:r w:rsidRPr="005E4BEA">
        <w:rPr>
          <w:rFonts w:eastAsia="Calibri" w:cs="Arial"/>
          <w:szCs w:val="20"/>
        </w:rPr>
        <w:t xml:space="preserve">Pod kalkulacijo nege III a se doda, </w:t>
      </w:r>
      <w:r w:rsidRPr="005E4BEA">
        <w:rPr>
          <w:rFonts w:eastAsia="Calibri" w:cs="Arial"/>
          <w:b/>
          <w:bCs/>
          <w:szCs w:val="20"/>
        </w:rPr>
        <w:t>da se</w:t>
      </w:r>
      <w:r w:rsidRPr="005E4BEA">
        <w:rPr>
          <w:rFonts w:eastAsia="Calibri" w:cs="Arial"/>
          <w:szCs w:val="20"/>
        </w:rPr>
        <w:t xml:space="preserve"> </w:t>
      </w:r>
      <w:r w:rsidRPr="005E4BEA">
        <w:rPr>
          <w:rFonts w:eastAsia="Calibri" w:cs="Arial"/>
          <w:b/>
          <w:bCs/>
          <w:szCs w:val="20"/>
        </w:rPr>
        <w:t>nega III a obvezno vključi v izračun povprečne cene nege za obračun neg.</w:t>
      </w:r>
    </w:p>
    <w:p w14:paraId="4A39BF9A" w14:textId="77777777" w:rsidR="00FE461F" w:rsidRPr="005E4BEA" w:rsidRDefault="00FE461F" w:rsidP="00FE461F">
      <w:pPr>
        <w:rPr>
          <w:rFonts w:cs="Arial"/>
          <w:i/>
          <w:szCs w:val="20"/>
        </w:rPr>
      </w:pPr>
    </w:p>
    <w:p w14:paraId="247848EB" w14:textId="77777777" w:rsidR="00FE461F" w:rsidRPr="005E4BEA" w:rsidRDefault="00FE461F" w:rsidP="00FE461F">
      <w:pPr>
        <w:spacing w:line="240" w:lineRule="auto"/>
        <w:jc w:val="both"/>
        <w:rPr>
          <w:rFonts w:eastAsia="Calibri" w:cs="Arial"/>
          <w:i/>
          <w:szCs w:val="20"/>
        </w:rPr>
      </w:pPr>
      <w:r w:rsidRPr="005E4BEA">
        <w:rPr>
          <w:rFonts w:eastAsia="Calibri" w:cs="Arial"/>
          <w:i/>
          <w:szCs w:val="20"/>
        </w:rPr>
        <w:t>Finančni učinki:</w:t>
      </w:r>
    </w:p>
    <w:p w14:paraId="35922E46" w14:textId="77777777" w:rsidR="00FE461F" w:rsidRPr="005E4BEA" w:rsidRDefault="00FE461F" w:rsidP="00FE461F">
      <w:pPr>
        <w:spacing w:line="240" w:lineRule="auto"/>
        <w:jc w:val="both"/>
        <w:rPr>
          <w:rFonts w:eastAsia="Calibri" w:cs="Arial"/>
          <w:i/>
          <w:szCs w:val="20"/>
        </w:rPr>
      </w:pPr>
      <w:r w:rsidRPr="005E4BEA">
        <w:rPr>
          <w:rFonts w:eastAsia="Calibri" w:cs="Arial"/>
          <w:i/>
          <w:szCs w:val="20"/>
        </w:rPr>
        <w:t>Predlaga se uvedbo nove kategorije zdravstvene nege; in sicer ZN III a, pri čemer se pri izračunu dne zdravstvene nege upošteva, da se v normativu »dan zdravstvene nege« upošteva sprememba kadra glede na predpisan strokoven standard izvajanja storitve.</w:t>
      </w:r>
    </w:p>
    <w:p w14:paraId="4405F12C" w14:textId="77777777" w:rsidR="00FE461F" w:rsidRPr="005E4BEA" w:rsidRDefault="00FE461F" w:rsidP="00FE461F">
      <w:pPr>
        <w:spacing w:line="240" w:lineRule="auto"/>
        <w:jc w:val="both"/>
        <w:rPr>
          <w:rFonts w:eastAsia="Calibri" w:cs="Arial"/>
          <w:i/>
          <w:szCs w:val="20"/>
        </w:rPr>
      </w:pPr>
    </w:p>
    <w:p w14:paraId="3301F23D" w14:textId="77777777" w:rsidR="00FE461F" w:rsidRPr="005E4BEA" w:rsidRDefault="00FE461F" w:rsidP="00FE461F">
      <w:pPr>
        <w:spacing w:line="240" w:lineRule="auto"/>
        <w:jc w:val="both"/>
        <w:rPr>
          <w:rFonts w:eastAsia="Calibri" w:cs="Arial"/>
          <w:i/>
          <w:szCs w:val="20"/>
        </w:rPr>
      </w:pPr>
      <w:r w:rsidRPr="005E4BEA">
        <w:rPr>
          <w:rFonts w:eastAsia="Calibri" w:cs="Arial"/>
          <w:i/>
          <w:szCs w:val="20"/>
        </w:rPr>
        <w:t>Tabela 1: Prikaz cene »dne zdravstvene nege« na primeru domov za starejše</w:t>
      </w:r>
    </w:p>
    <w:p w14:paraId="6CB6CC0C" w14:textId="77777777" w:rsidR="00FE461F" w:rsidRPr="005E4BEA" w:rsidRDefault="00FE461F" w:rsidP="00FE461F">
      <w:pPr>
        <w:spacing w:line="240" w:lineRule="auto"/>
        <w:jc w:val="both"/>
        <w:rPr>
          <w:rFonts w:eastAsia="Calibri" w:cs="Arial"/>
          <w:i/>
          <w:szCs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10"/>
        <w:gridCol w:w="1510"/>
        <w:gridCol w:w="1511"/>
      </w:tblGrid>
      <w:tr w:rsidR="00FE461F" w:rsidRPr="005E4BEA" w14:paraId="1F948E01" w14:textId="77777777" w:rsidTr="0016774B">
        <w:tc>
          <w:tcPr>
            <w:tcW w:w="1510" w:type="dxa"/>
            <w:shd w:val="clear" w:color="auto" w:fill="auto"/>
          </w:tcPr>
          <w:p w14:paraId="3BBEE9E9" w14:textId="77777777" w:rsidR="00FE461F" w:rsidRPr="005E4BEA" w:rsidRDefault="00FE461F" w:rsidP="00FE461F">
            <w:pPr>
              <w:jc w:val="right"/>
              <w:rPr>
                <w:rFonts w:cs="Arial"/>
                <w:szCs w:val="20"/>
              </w:rPr>
            </w:pPr>
            <w:r w:rsidRPr="005E4BEA">
              <w:rPr>
                <w:rFonts w:cs="Arial"/>
                <w:szCs w:val="20"/>
              </w:rPr>
              <w:t>Cena za 2020</w:t>
            </w:r>
          </w:p>
          <w:p w14:paraId="26206BBC" w14:textId="77777777" w:rsidR="00FE461F" w:rsidRPr="005E4BEA" w:rsidRDefault="00FE461F" w:rsidP="00FE461F">
            <w:pPr>
              <w:jc w:val="right"/>
              <w:rPr>
                <w:rFonts w:cs="Arial"/>
                <w:szCs w:val="20"/>
              </w:rPr>
            </w:pPr>
          </w:p>
          <w:p w14:paraId="44D1C7D7" w14:textId="77777777" w:rsidR="00FE461F" w:rsidRPr="005E4BEA" w:rsidRDefault="00FE461F" w:rsidP="00FE461F">
            <w:pPr>
              <w:jc w:val="both"/>
              <w:rPr>
                <w:rFonts w:cs="Arial"/>
                <w:szCs w:val="20"/>
              </w:rPr>
            </w:pPr>
            <w:r w:rsidRPr="005E4BEA">
              <w:rPr>
                <w:rFonts w:cs="Arial"/>
                <w:szCs w:val="20"/>
              </w:rPr>
              <w:t>Tip</w:t>
            </w:r>
          </w:p>
        </w:tc>
        <w:tc>
          <w:tcPr>
            <w:tcW w:w="1510" w:type="dxa"/>
            <w:shd w:val="clear" w:color="auto" w:fill="auto"/>
            <w:vAlign w:val="center"/>
          </w:tcPr>
          <w:p w14:paraId="3EEC53F4" w14:textId="77777777" w:rsidR="00FE461F" w:rsidRPr="005E4BEA" w:rsidRDefault="00FE461F" w:rsidP="00FE461F">
            <w:pPr>
              <w:jc w:val="center"/>
              <w:rPr>
                <w:rFonts w:cs="Arial"/>
                <w:szCs w:val="20"/>
              </w:rPr>
            </w:pPr>
            <w:r w:rsidRPr="005E4BEA">
              <w:rPr>
                <w:rFonts w:cs="Arial"/>
                <w:szCs w:val="20"/>
              </w:rPr>
              <w:t>Cena ZN III</w:t>
            </w:r>
          </w:p>
        </w:tc>
        <w:tc>
          <w:tcPr>
            <w:tcW w:w="1511" w:type="dxa"/>
            <w:shd w:val="clear" w:color="auto" w:fill="auto"/>
            <w:vAlign w:val="center"/>
          </w:tcPr>
          <w:p w14:paraId="0B5D911C" w14:textId="77777777" w:rsidR="00FE461F" w:rsidRPr="005E4BEA" w:rsidRDefault="00FE461F" w:rsidP="00FE461F">
            <w:pPr>
              <w:jc w:val="center"/>
              <w:rPr>
                <w:rFonts w:cs="Arial"/>
                <w:szCs w:val="20"/>
              </w:rPr>
            </w:pPr>
            <w:r w:rsidRPr="005E4BEA">
              <w:rPr>
                <w:rFonts w:cs="Arial"/>
                <w:szCs w:val="20"/>
              </w:rPr>
              <w:t xml:space="preserve">Cena ZN </w:t>
            </w:r>
            <w:proofErr w:type="spellStart"/>
            <w:r w:rsidRPr="005E4BEA">
              <w:rPr>
                <w:rFonts w:cs="Arial"/>
                <w:szCs w:val="20"/>
              </w:rPr>
              <w:t>IIIa</w:t>
            </w:r>
            <w:proofErr w:type="spellEnd"/>
          </w:p>
        </w:tc>
      </w:tr>
      <w:tr w:rsidR="00FE461F" w:rsidRPr="005E4BEA" w14:paraId="4C6CA958" w14:textId="77777777" w:rsidTr="0016774B">
        <w:tc>
          <w:tcPr>
            <w:tcW w:w="1510" w:type="dxa"/>
            <w:shd w:val="clear" w:color="auto" w:fill="auto"/>
          </w:tcPr>
          <w:p w14:paraId="211883FF" w14:textId="77777777" w:rsidR="00FE461F" w:rsidRPr="005E4BEA" w:rsidRDefault="00FE461F" w:rsidP="00FE461F">
            <w:pPr>
              <w:rPr>
                <w:rFonts w:cs="Arial"/>
                <w:szCs w:val="20"/>
              </w:rPr>
            </w:pPr>
            <w:r w:rsidRPr="005E4BEA">
              <w:rPr>
                <w:rFonts w:cs="Arial"/>
                <w:szCs w:val="20"/>
              </w:rPr>
              <w:t>Domovi za starejše</w:t>
            </w:r>
          </w:p>
        </w:tc>
        <w:tc>
          <w:tcPr>
            <w:tcW w:w="1510" w:type="dxa"/>
            <w:shd w:val="clear" w:color="auto" w:fill="auto"/>
          </w:tcPr>
          <w:p w14:paraId="448C99FD" w14:textId="77777777" w:rsidR="00FE461F" w:rsidRPr="005E4BEA" w:rsidRDefault="00FE461F" w:rsidP="00FE461F">
            <w:pPr>
              <w:jc w:val="right"/>
              <w:rPr>
                <w:rFonts w:cs="Arial"/>
                <w:szCs w:val="20"/>
              </w:rPr>
            </w:pPr>
            <w:r w:rsidRPr="005E4BEA">
              <w:rPr>
                <w:rFonts w:cs="Arial"/>
                <w:szCs w:val="20"/>
              </w:rPr>
              <w:t xml:space="preserve">20,41 </w:t>
            </w:r>
          </w:p>
        </w:tc>
        <w:tc>
          <w:tcPr>
            <w:tcW w:w="1511" w:type="dxa"/>
            <w:shd w:val="clear" w:color="auto" w:fill="auto"/>
          </w:tcPr>
          <w:p w14:paraId="60FC5C45" w14:textId="77777777" w:rsidR="00FE461F" w:rsidRPr="005E4BEA" w:rsidRDefault="00FE461F" w:rsidP="00FE461F">
            <w:pPr>
              <w:jc w:val="right"/>
              <w:rPr>
                <w:rFonts w:cs="Arial"/>
                <w:szCs w:val="20"/>
              </w:rPr>
            </w:pPr>
            <w:r w:rsidRPr="005E4BEA">
              <w:rPr>
                <w:rFonts w:cs="Arial"/>
                <w:szCs w:val="20"/>
              </w:rPr>
              <w:t>83,65</w:t>
            </w:r>
          </w:p>
        </w:tc>
      </w:tr>
      <w:tr w:rsidR="00FE461F" w:rsidRPr="005E4BEA" w14:paraId="5570473A" w14:textId="77777777" w:rsidTr="0016774B">
        <w:tc>
          <w:tcPr>
            <w:tcW w:w="1510" w:type="dxa"/>
            <w:shd w:val="clear" w:color="auto" w:fill="auto"/>
          </w:tcPr>
          <w:p w14:paraId="7FA96C7B" w14:textId="77777777" w:rsidR="00FE461F" w:rsidRPr="005E4BEA" w:rsidRDefault="00FE461F" w:rsidP="00FE461F">
            <w:pPr>
              <w:rPr>
                <w:rFonts w:cs="Arial"/>
                <w:szCs w:val="20"/>
              </w:rPr>
            </w:pPr>
            <w:r w:rsidRPr="005E4BEA">
              <w:rPr>
                <w:rFonts w:cs="Arial"/>
                <w:szCs w:val="20"/>
              </w:rPr>
              <w:t>Posebni zavodi za odrasle</w:t>
            </w:r>
          </w:p>
        </w:tc>
        <w:tc>
          <w:tcPr>
            <w:tcW w:w="1510" w:type="dxa"/>
            <w:shd w:val="clear" w:color="auto" w:fill="auto"/>
          </w:tcPr>
          <w:p w14:paraId="21B3B0E2" w14:textId="77777777" w:rsidR="00FE461F" w:rsidRPr="005E4BEA" w:rsidRDefault="00FE461F" w:rsidP="00FE461F">
            <w:pPr>
              <w:jc w:val="right"/>
              <w:rPr>
                <w:rFonts w:cs="Arial"/>
                <w:szCs w:val="20"/>
              </w:rPr>
            </w:pPr>
            <w:r w:rsidRPr="005E4BEA">
              <w:rPr>
                <w:rFonts w:cs="Arial"/>
                <w:szCs w:val="20"/>
              </w:rPr>
              <w:t>22,21</w:t>
            </w:r>
          </w:p>
        </w:tc>
        <w:tc>
          <w:tcPr>
            <w:tcW w:w="1511" w:type="dxa"/>
            <w:shd w:val="clear" w:color="auto" w:fill="auto"/>
          </w:tcPr>
          <w:p w14:paraId="05958DDF" w14:textId="77777777" w:rsidR="00FE461F" w:rsidRPr="005E4BEA" w:rsidRDefault="00FE461F" w:rsidP="00FE461F">
            <w:pPr>
              <w:jc w:val="right"/>
              <w:rPr>
                <w:rFonts w:cs="Arial"/>
                <w:szCs w:val="20"/>
              </w:rPr>
            </w:pPr>
            <w:r w:rsidRPr="005E4BEA">
              <w:rPr>
                <w:rFonts w:cs="Arial"/>
                <w:szCs w:val="20"/>
              </w:rPr>
              <w:t>87,53</w:t>
            </w:r>
          </w:p>
        </w:tc>
      </w:tr>
    </w:tbl>
    <w:p w14:paraId="4F696425" w14:textId="77777777" w:rsidR="00FE461F" w:rsidRPr="005E4BEA" w:rsidRDefault="00FE461F" w:rsidP="00FE461F">
      <w:pPr>
        <w:spacing w:line="240" w:lineRule="auto"/>
        <w:jc w:val="both"/>
        <w:rPr>
          <w:rFonts w:eastAsia="Calibri" w:cs="Arial"/>
          <w:i/>
          <w:szCs w:val="20"/>
        </w:rPr>
      </w:pPr>
    </w:p>
    <w:p w14:paraId="1933C4BF" w14:textId="77777777" w:rsidR="00FE461F" w:rsidRPr="005E4BEA" w:rsidRDefault="00FE461F" w:rsidP="00FE461F">
      <w:pPr>
        <w:spacing w:line="240" w:lineRule="auto"/>
        <w:jc w:val="both"/>
        <w:rPr>
          <w:rFonts w:eastAsia="Calibri" w:cs="Arial"/>
          <w:i/>
          <w:szCs w:val="20"/>
        </w:rPr>
      </w:pPr>
    </w:p>
    <w:p w14:paraId="720F9D0A" w14:textId="77777777" w:rsidR="00FE461F" w:rsidRPr="005E4BEA" w:rsidRDefault="00FE461F" w:rsidP="00FE461F">
      <w:pPr>
        <w:spacing w:line="240" w:lineRule="auto"/>
        <w:jc w:val="both"/>
        <w:rPr>
          <w:rFonts w:eastAsia="Calibri" w:cs="Arial"/>
          <w:i/>
          <w:color w:val="C00000"/>
          <w:szCs w:val="20"/>
        </w:rPr>
      </w:pPr>
      <w:r w:rsidRPr="005E4BEA">
        <w:rPr>
          <w:rFonts w:eastAsia="Calibri" w:cs="Arial"/>
          <w:i/>
          <w:szCs w:val="20"/>
        </w:rPr>
        <w:t>Ob predpostavki, da bi bilo 100 pacientov, ki izpolnjujejo pogoje tega vprašanja, na novo sprejetih v socialno varstvene zavode oziroma so že v socialno varstvenih zavodih, pa na podlagi trenutne ureditve ne bi bili uvrščeni v eno od kategorij ZN, bi bila potrebna dodatna finančna sredstva letno 4.2 mio eur.</w:t>
      </w:r>
    </w:p>
    <w:p w14:paraId="5C0877AD" w14:textId="77777777" w:rsidR="00FE461F" w:rsidRPr="005E4BEA" w:rsidRDefault="00FE461F" w:rsidP="00FE461F">
      <w:pPr>
        <w:spacing w:line="259" w:lineRule="auto"/>
        <w:jc w:val="both"/>
        <w:rPr>
          <w:rFonts w:eastAsia="Calibri" w:cs="Arial"/>
          <w:b/>
          <w:color w:val="00B0F0"/>
          <w:szCs w:val="20"/>
        </w:rPr>
      </w:pPr>
    </w:p>
    <w:p w14:paraId="4BE4092E" w14:textId="77777777" w:rsidR="00FE461F" w:rsidRPr="005E4BEA" w:rsidRDefault="00FE461F" w:rsidP="00FE461F">
      <w:pPr>
        <w:overflowPunct w:val="0"/>
        <w:autoSpaceDE w:val="0"/>
        <w:autoSpaceDN w:val="0"/>
        <w:adjustRightInd w:val="0"/>
        <w:spacing w:line="259" w:lineRule="auto"/>
        <w:jc w:val="both"/>
        <w:textAlignment w:val="baseline"/>
        <w:rPr>
          <w:rFonts w:eastAsia="Calibri" w:cs="Arial"/>
          <w:szCs w:val="20"/>
        </w:rPr>
      </w:pPr>
      <w:r w:rsidRPr="005E4BEA">
        <w:rPr>
          <w:rFonts w:eastAsia="Calibri" w:cs="Arial"/>
          <w:szCs w:val="20"/>
        </w:rPr>
        <w:t xml:space="preserve">Navedeno kategorijo zdravstvene nege lahko uveljavljajo: </w:t>
      </w:r>
    </w:p>
    <w:p w14:paraId="064101AE" w14:textId="77777777" w:rsidR="00FE461F" w:rsidRPr="005E4BEA" w:rsidRDefault="00FE461F" w:rsidP="00F356C9">
      <w:pPr>
        <w:numPr>
          <w:ilvl w:val="0"/>
          <w:numId w:val="75"/>
        </w:numPr>
        <w:overflowPunct w:val="0"/>
        <w:autoSpaceDE w:val="0"/>
        <w:autoSpaceDN w:val="0"/>
        <w:adjustRightInd w:val="0"/>
        <w:spacing w:after="160" w:line="276" w:lineRule="auto"/>
        <w:contextualSpacing/>
        <w:jc w:val="both"/>
        <w:textAlignment w:val="baseline"/>
        <w:rPr>
          <w:rFonts w:cs="Arial"/>
          <w:szCs w:val="20"/>
        </w:rPr>
      </w:pPr>
      <w:r w:rsidRPr="005E4BEA">
        <w:rPr>
          <w:rFonts w:cs="Arial"/>
          <w:szCs w:val="20"/>
        </w:rPr>
        <w:t xml:space="preserve">domovi za starejše iz 50. člena Zakona o socialnem varstvu (Uradni list RS, št. 3/07 – uradno prečiščeno besedilo, 23/07 – </w:t>
      </w:r>
      <w:proofErr w:type="spellStart"/>
      <w:r w:rsidRPr="005E4BEA">
        <w:rPr>
          <w:rFonts w:cs="Arial"/>
          <w:szCs w:val="20"/>
        </w:rPr>
        <w:t>popr</w:t>
      </w:r>
      <w:proofErr w:type="spellEnd"/>
      <w:r w:rsidRPr="005E4BEA">
        <w:rPr>
          <w:rFonts w:cs="Arial"/>
          <w:szCs w:val="20"/>
        </w:rPr>
        <w:t xml:space="preserve">., 41/07 – </w:t>
      </w:r>
      <w:proofErr w:type="spellStart"/>
      <w:r w:rsidRPr="005E4BEA">
        <w:rPr>
          <w:rFonts w:cs="Arial"/>
          <w:szCs w:val="20"/>
        </w:rPr>
        <w:t>popr</w:t>
      </w:r>
      <w:proofErr w:type="spellEnd"/>
      <w:r w:rsidRPr="005E4BEA">
        <w:rPr>
          <w:rFonts w:cs="Arial"/>
          <w:szCs w:val="20"/>
        </w:rPr>
        <w:t xml:space="preserve">., 61/10 – </w:t>
      </w:r>
      <w:proofErr w:type="spellStart"/>
      <w:r w:rsidRPr="005E4BEA">
        <w:rPr>
          <w:rFonts w:cs="Arial"/>
          <w:szCs w:val="20"/>
        </w:rPr>
        <w:t>ZSVarPre</w:t>
      </w:r>
      <w:proofErr w:type="spellEnd"/>
      <w:r w:rsidRPr="005E4BEA">
        <w:rPr>
          <w:rFonts w:cs="Arial"/>
          <w:szCs w:val="20"/>
        </w:rPr>
        <w:t>, 62/10 – ZUPJS, 57/12, 39/16, 52/16 – ZPPreb-1, 15/17 – DZ in 29/17, v nadaljnjem besedilu: ZSV),</w:t>
      </w:r>
    </w:p>
    <w:p w14:paraId="06EA2D22" w14:textId="77777777" w:rsidR="00FE461F" w:rsidRPr="005E4BEA" w:rsidRDefault="00FE461F" w:rsidP="00F356C9">
      <w:pPr>
        <w:numPr>
          <w:ilvl w:val="0"/>
          <w:numId w:val="75"/>
        </w:numPr>
        <w:overflowPunct w:val="0"/>
        <w:autoSpaceDE w:val="0"/>
        <w:autoSpaceDN w:val="0"/>
        <w:adjustRightInd w:val="0"/>
        <w:spacing w:after="160" w:line="276" w:lineRule="auto"/>
        <w:contextualSpacing/>
        <w:jc w:val="both"/>
        <w:textAlignment w:val="baseline"/>
        <w:rPr>
          <w:rFonts w:cs="Arial"/>
          <w:szCs w:val="20"/>
        </w:rPr>
      </w:pPr>
      <w:r w:rsidRPr="005E4BEA">
        <w:rPr>
          <w:rFonts w:cs="Arial"/>
          <w:szCs w:val="20"/>
        </w:rPr>
        <w:t>posebni socialno varstveni zavodi za odrasle iz 51. člena ZSV.</w:t>
      </w:r>
    </w:p>
    <w:p w14:paraId="60D21850" w14:textId="77777777" w:rsidR="00FE461F" w:rsidRPr="005E4BEA" w:rsidRDefault="00FE461F" w:rsidP="00FE461F">
      <w:pPr>
        <w:overflowPunct w:val="0"/>
        <w:autoSpaceDE w:val="0"/>
        <w:autoSpaceDN w:val="0"/>
        <w:adjustRightInd w:val="0"/>
        <w:spacing w:after="160" w:line="276" w:lineRule="auto"/>
        <w:contextualSpacing/>
        <w:jc w:val="both"/>
        <w:textAlignment w:val="baseline"/>
        <w:rPr>
          <w:rFonts w:cs="Arial"/>
          <w:szCs w:val="20"/>
        </w:rPr>
      </w:pPr>
    </w:p>
    <w:p w14:paraId="002A1ADF"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6A55A04C" w14:textId="77777777" w:rsidR="00241A6D" w:rsidRPr="005E4BEA" w:rsidRDefault="00241A6D" w:rsidP="00241A6D">
      <w:pPr>
        <w:spacing w:line="0" w:lineRule="atLeast"/>
        <w:jc w:val="both"/>
        <w:rPr>
          <w:rFonts w:eastAsia="Arial Narrow" w:cs="Arial"/>
          <w:szCs w:val="20"/>
          <w:lang w:eastAsia="sl-SI"/>
        </w:rPr>
      </w:pPr>
    </w:p>
    <w:p w14:paraId="71F361CB" w14:textId="77777777"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20FB9D56" w14:textId="77777777" w:rsidR="00241A6D" w:rsidRPr="005E4BEA" w:rsidRDefault="00241A6D" w:rsidP="00241A6D">
      <w:pPr>
        <w:spacing w:line="240" w:lineRule="auto"/>
        <w:jc w:val="both"/>
        <w:rPr>
          <w:rFonts w:cs="Arial"/>
          <w:i/>
          <w:iCs/>
          <w:color w:val="767171"/>
          <w:szCs w:val="20"/>
        </w:rPr>
      </w:pPr>
    </w:p>
    <w:p w14:paraId="6FCFB7FE" w14:textId="77777777" w:rsidR="00241A6D" w:rsidRPr="005E4BEA" w:rsidRDefault="00241A6D" w:rsidP="00241A6D">
      <w:pPr>
        <w:spacing w:line="240" w:lineRule="auto"/>
        <w:jc w:val="both"/>
        <w:rPr>
          <w:rFonts w:cs="Arial"/>
          <w:i/>
          <w:iCs/>
          <w:color w:val="767171"/>
          <w:szCs w:val="20"/>
        </w:rPr>
      </w:pPr>
    </w:p>
    <w:p w14:paraId="0ED27D9E" w14:textId="7688FA6B"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(169)</w:t>
      </w:r>
    </w:p>
    <w:p w14:paraId="72B361FE" w14:textId="66C33665" w:rsidR="00241A6D" w:rsidRPr="005E4BEA" w:rsidRDefault="00241A6D" w:rsidP="00241A6D">
      <w:pPr>
        <w:spacing w:line="0" w:lineRule="atLeast"/>
        <w:contextualSpacing/>
        <w:jc w:val="both"/>
        <w:rPr>
          <w:rFonts w:eastAsia="Arial Narrow" w:cs="Arial"/>
          <w:b/>
          <w:szCs w:val="20"/>
        </w:rPr>
      </w:pPr>
    </w:p>
    <w:p w14:paraId="50E2EBAD" w14:textId="471D060C" w:rsidR="00FE461F" w:rsidRPr="005E4BEA" w:rsidRDefault="00241A6D" w:rsidP="00241A6D">
      <w:pPr>
        <w:overflowPunct w:val="0"/>
        <w:autoSpaceDE w:val="0"/>
        <w:autoSpaceDN w:val="0"/>
        <w:adjustRightInd w:val="0"/>
        <w:spacing w:after="160" w:line="276" w:lineRule="auto"/>
        <w:contextualSpacing/>
        <w:jc w:val="both"/>
        <w:textAlignment w:val="baseline"/>
        <w:rPr>
          <w:rFonts w:eastAsia="Calibri" w:cs="Arial"/>
          <w:bCs/>
          <w:szCs w:val="20"/>
        </w:rPr>
      </w:pPr>
      <w:r w:rsidRPr="005E4BEA">
        <w:rPr>
          <w:rFonts w:eastAsia="Arial Narrow" w:cs="Arial"/>
          <w:b/>
          <w:szCs w:val="20"/>
        </w:rPr>
        <w:t>Skupnost organizacij za usposabljanje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w:t>
      </w:r>
      <w:r w:rsidR="00FE461F" w:rsidRPr="005E4BEA">
        <w:rPr>
          <w:rFonts w:eastAsia="Calibri" w:cs="Arial"/>
          <w:bCs/>
          <w:szCs w:val="20"/>
        </w:rPr>
        <w:t>Prilogi SVZ – 1 k Prilogi SVZ,  se zaradi povečanja števila delavcev spremeni plan storitev za leto 2022 in sicer</w:t>
      </w:r>
    </w:p>
    <w:p w14:paraId="2C782790" w14:textId="77777777" w:rsidR="00FE461F" w:rsidRPr="005E4BEA" w:rsidRDefault="00FE461F" w:rsidP="00FE461F">
      <w:pPr>
        <w:spacing w:line="276" w:lineRule="auto"/>
        <w:jc w:val="both"/>
        <w:rPr>
          <w:rFonts w:cs="Arial"/>
          <w:bCs/>
          <w:szCs w:val="20"/>
        </w:rPr>
      </w:pPr>
    </w:p>
    <w:p w14:paraId="18927F61" w14:textId="77777777" w:rsidR="00FE461F" w:rsidRPr="005E4BEA" w:rsidRDefault="00FE461F" w:rsidP="00FE461F">
      <w:pPr>
        <w:autoSpaceDE w:val="0"/>
        <w:autoSpaceDN w:val="0"/>
        <w:adjustRightInd w:val="0"/>
        <w:spacing w:line="240" w:lineRule="auto"/>
        <w:rPr>
          <w:rFonts w:cs="Arial"/>
          <w:i/>
          <w:szCs w:val="20"/>
          <w:lang w:eastAsia="sl-SI"/>
        </w:rPr>
      </w:pPr>
      <w:r w:rsidRPr="005E4BEA">
        <w:rPr>
          <w:rFonts w:cs="Arial"/>
          <w:i/>
          <w:szCs w:val="20"/>
          <w:lang w:eastAsia="sl-SI"/>
        </w:rPr>
        <w:t>Predlog priloge SVZ-1</w:t>
      </w:r>
    </w:p>
    <w:p w14:paraId="472D6B54" w14:textId="77777777" w:rsidR="00FE461F" w:rsidRPr="005E4BEA" w:rsidRDefault="00FE461F" w:rsidP="00FE461F">
      <w:pPr>
        <w:autoSpaceDE w:val="0"/>
        <w:autoSpaceDN w:val="0"/>
        <w:adjustRightInd w:val="0"/>
        <w:spacing w:line="240" w:lineRule="auto"/>
        <w:rPr>
          <w:rFonts w:cs="Arial"/>
          <w:szCs w:val="20"/>
          <w:lang w:eastAsia="sl-SI"/>
        </w:rPr>
      </w:pPr>
    </w:p>
    <w:tbl>
      <w:tblPr>
        <w:tblW w:w="9493" w:type="dxa"/>
        <w:tblInd w:w="75" w:type="dxa"/>
        <w:tblCellMar>
          <w:left w:w="70" w:type="dxa"/>
          <w:right w:w="70" w:type="dxa"/>
        </w:tblCellMar>
        <w:tblLook w:val="04A0" w:firstRow="1" w:lastRow="0" w:firstColumn="1" w:lastColumn="0" w:noHBand="0" w:noVBand="1"/>
      </w:tblPr>
      <w:tblGrid>
        <w:gridCol w:w="1980"/>
        <w:gridCol w:w="2835"/>
        <w:gridCol w:w="283"/>
        <w:gridCol w:w="1418"/>
        <w:gridCol w:w="567"/>
        <w:gridCol w:w="567"/>
        <w:gridCol w:w="567"/>
        <w:gridCol w:w="1276"/>
      </w:tblGrid>
      <w:tr w:rsidR="00FE461F" w:rsidRPr="005E4BEA" w14:paraId="7894B3CA" w14:textId="77777777" w:rsidTr="0016774B">
        <w:trPr>
          <w:trHeight w:val="264"/>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B4D1C" w14:textId="77777777" w:rsidR="00FE461F" w:rsidRPr="005E4BEA" w:rsidRDefault="00FE461F" w:rsidP="00FE461F">
            <w:pPr>
              <w:spacing w:line="240" w:lineRule="auto"/>
              <w:rPr>
                <w:rFonts w:cs="Arial"/>
                <w:b/>
                <w:bCs/>
                <w:szCs w:val="20"/>
              </w:rPr>
            </w:pPr>
            <w:r w:rsidRPr="005E4BEA">
              <w:rPr>
                <w:rFonts w:cs="Arial"/>
                <w:b/>
                <w:bCs/>
                <w:szCs w:val="20"/>
              </w:rPr>
              <w:t>IV. CENTRI ZA SLUH IN GOVOR</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949EB9B" w14:textId="77777777" w:rsidR="00FE461F" w:rsidRPr="005E4BEA" w:rsidRDefault="00FE461F" w:rsidP="00FE461F">
            <w:pPr>
              <w:spacing w:line="240" w:lineRule="auto"/>
              <w:rPr>
                <w:rFonts w:cs="Arial"/>
                <w:i/>
                <w:iCs/>
                <w:szCs w:val="20"/>
              </w:rPr>
            </w:pPr>
            <w:r w:rsidRPr="005E4BEA">
              <w:rPr>
                <w:rFonts w:cs="Arial"/>
                <w:i/>
                <w:iCs/>
                <w:szCs w:val="20"/>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23E0A19B" w14:textId="77777777" w:rsidR="00FE461F" w:rsidRPr="005E4BEA" w:rsidRDefault="00FE461F" w:rsidP="00FE461F">
            <w:pPr>
              <w:spacing w:line="240" w:lineRule="auto"/>
              <w:rPr>
                <w:rFonts w:cs="Arial"/>
                <w:i/>
                <w:iCs/>
                <w:szCs w:val="20"/>
              </w:rPr>
            </w:pPr>
            <w:r w:rsidRPr="005E4BEA">
              <w:rPr>
                <w:rFonts w:cs="Arial"/>
                <w:i/>
                <w:iCs/>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BA47A5E" w14:textId="77777777" w:rsidR="00FE461F" w:rsidRPr="005E4BEA" w:rsidRDefault="00FE461F" w:rsidP="00FE461F">
            <w:pPr>
              <w:spacing w:line="240" w:lineRule="auto"/>
              <w:rPr>
                <w:rFonts w:cs="Arial"/>
                <w:i/>
                <w:iCs/>
                <w:szCs w:val="20"/>
              </w:rPr>
            </w:pPr>
            <w:r w:rsidRPr="005E4BEA">
              <w:rPr>
                <w:rFonts w:cs="Arial"/>
                <w:i/>
                <w:iCs/>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F757CA" w14:textId="77777777" w:rsidR="00FE461F" w:rsidRPr="005E4BEA" w:rsidRDefault="00FE461F" w:rsidP="00FE461F">
            <w:pPr>
              <w:spacing w:line="240" w:lineRule="auto"/>
              <w:rPr>
                <w:rFonts w:cs="Arial"/>
                <w:szCs w:val="20"/>
              </w:rPr>
            </w:pPr>
            <w:r w:rsidRPr="005E4BEA">
              <w:rPr>
                <w:rFonts w:cs="Arial"/>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EEFD318" w14:textId="77777777" w:rsidR="00FE461F" w:rsidRPr="005E4BEA" w:rsidRDefault="00FE461F" w:rsidP="00FE461F">
            <w:pPr>
              <w:spacing w:line="240" w:lineRule="auto"/>
              <w:jc w:val="right"/>
              <w:rPr>
                <w:rFonts w:cs="Arial"/>
                <w:szCs w:val="20"/>
              </w:rPr>
            </w:pPr>
            <w:r w:rsidRPr="005E4BEA">
              <w:rPr>
                <w:rFonts w:cs="Arial"/>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824384" w14:textId="77777777" w:rsidR="00FE461F" w:rsidRPr="005E4BEA" w:rsidRDefault="00FE461F" w:rsidP="00FE461F">
            <w:pPr>
              <w:spacing w:line="240" w:lineRule="auto"/>
              <w:jc w:val="right"/>
              <w:rPr>
                <w:rFonts w:cs="Arial"/>
                <w:szCs w:val="20"/>
              </w:rPr>
            </w:pPr>
            <w:r w:rsidRPr="005E4BEA">
              <w:rPr>
                <w:rFonts w:cs="Arial"/>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650C47" w14:textId="77777777" w:rsidR="00FE461F" w:rsidRPr="005E4BEA" w:rsidRDefault="00FE461F" w:rsidP="00FE461F">
            <w:pPr>
              <w:spacing w:line="240" w:lineRule="auto"/>
              <w:jc w:val="center"/>
              <w:rPr>
                <w:rFonts w:cs="Arial"/>
                <w:szCs w:val="20"/>
              </w:rPr>
            </w:pPr>
            <w:r w:rsidRPr="005E4BEA">
              <w:rPr>
                <w:rFonts w:cs="Arial"/>
                <w:szCs w:val="20"/>
              </w:rPr>
              <w:t>točke</w:t>
            </w:r>
          </w:p>
        </w:tc>
      </w:tr>
      <w:tr w:rsidR="00FE461F" w:rsidRPr="005E4BEA" w14:paraId="7B95AD8D" w14:textId="77777777" w:rsidTr="001677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BC24ED4" w14:textId="77777777" w:rsidR="00FE461F" w:rsidRPr="005E4BEA" w:rsidRDefault="00FE461F" w:rsidP="00FE461F">
            <w:pPr>
              <w:spacing w:line="240" w:lineRule="auto"/>
              <w:jc w:val="center"/>
              <w:rPr>
                <w:rFonts w:cs="Arial"/>
                <w:szCs w:val="20"/>
              </w:rPr>
            </w:pPr>
            <w:r w:rsidRPr="005E4BEA">
              <w:rPr>
                <w:rFonts w:cs="Arial"/>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6857245B" w14:textId="77777777" w:rsidR="00FE461F" w:rsidRPr="005E4BEA" w:rsidRDefault="00FE461F" w:rsidP="00FE461F">
            <w:pPr>
              <w:spacing w:line="240" w:lineRule="auto"/>
              <w:rPr>
                <w:rFonts w:cs="Arial"/>
                <w:b/>
                <w:bCs/>
                <w:szCs w:val="20"/>
              </w:rPr>
            </w:pPr>
            <w:r w:rsidRPr="005E4BEA">
              <w:rPr>
                <w:rFonts w:cs="Arial"/>
                <w:b/>
                <w:bCs/>
                <w:szCs w:val="20"/>
              </w:rPr>
              <w:t>KOPER</w:t>
            </w:r>
          </w:p>
        </w:tc>
        <w:tc>
          <w:tcPr>
            <w:tcW w:w="283" w:type="dxa"/>
            <w:tcBorders>
              <w:top w:val="nil"/>
              <w:left w:val="nil"/>
              <w:bottom w:val="single" w:sz="4" w:space="0" w:color="auto"/>
              <w:right w:val="single" w:sz="4" w:space="0" w:color="auto"/>
            </w:tcBorders>
            <w:shd w:val="clear" w:color="auto" w:fill="auto"/>
            <w:noWrap/>
            <w:vAlign w:val="bottom"/>
            <w:hideMark/>
          </w:tcPr>
          <w:p w14:paraId="721AB54F"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5AA9A61"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CF12652"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A5802A3"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2D6A01F4" w14:textId="77777777" w:rsidR="00FE461F" w:rsidRPr="005E4BEA" w:rsidRDefault="00FE461F" w:rsidP="00FE461F">
            <w:pPr>
              <w:spacing w:line="240" w:lineRule="auto"/>
              <w:jc w:val="right"/>
              <w:rPr>
                <w:rFonts w:cs="Arial"/>
                <w:color w:val="FF000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14:paraId="56D9C634" w14:textId="77777777" w:rsidR="00FE461F" w:rsidRPr="005E4BEA" w:rsidRDefault="00FE461F" w:rsidP="00FE461F">
            <w:pPr>
              <w:spacing w:line="240" w:lineRule="auto"/>
              <w:jc w:val="center"/>
              <w:rPr>
                <w:rFonts w:cs="Arial"/>
                <w:szCs w:val="20"/>
              </w:rPr>
            </w:pPr>
            <w:r w:rsidRPr="005E4BEA">
              <w:rPr>
                <w:rFonts w:cs="Arial"/>
                <w:szCs w:val="20"/>
              </w:rPr>
              <w:t> </w:t>
            </w:r>
          </w:p>
        </w:tc>
      </w:tr>
      <w:tr w:rsidR="00FE461F" w:rsidRPr="005E4BEA" w14:paraId="7E8FCB8C" w14:textId="77777777" w:rsidTr="001677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82FF34F" w14:textId="77777777" w:rsidR="00FE461F" w:rsidRPr="005E4BEA" w:rsidRDefault="00FE461F" w:rsidP="00FE461F">
            <w:pPr>
              <w:spacing w:line="240" w:lineRule="auto"/>
              <w:jc w:val="center"/>
              <w:rPr>
                <w:rFonts w:cs="Arial"/>
                <w:szCs w:val="20"/>
              </w:rPr>
            </w:pPr>
            <w:r w:rsidRPr="005E4BEA">
              <w:rPr>
                <w:rFonts w:cs="Arial"/>
                <w:szCs w:val="20"/>
              </w:rPr>
              <w:t>25146</w:t>
            </w:r>
          </w:p>
        </w:tc>
        <w:tc>
          <w:tcPr>
            <w:tcW w:w="2835" w:type="dxa"/>
            <w:tcBorders>
              <w:top w:val="nil"/>
              <w:left w:val="nil"/>
              <w:bottom w:val="single" w:sz="4" w:space="0" w:color="auto"/>
              <w:right w:val="single" w:sz="4" w:space="0" w:color="auto"/>
            </w:tcBorders>
            <w:shd w:val="clear" w:color="auto" w:fill="auto"/>
            <w:noWrap/>
            <w:vAlign w:val="bottom"/>
            <w:hideMark/>
          </w:tcPr>
          <w:p w14:paraId="2295E58F" w14:textId="77777777" w:rsidR="00FE461F" w:rsidRPr="005E4BEA" w:rsidRDefault="00FE461F" w:rsidP="00FE461F">
            <w:pPr>
              <w:spacing w:line="240" w:lineRule="auto"/>
              <w:rPr>
                <w:rFonts w:cs="Arial"/>
                <w:szCs w:val="20"/>
              </w:rPr>
            </w:pPr>
            <w:r w:rsidRPr="005E4BEA">
              <w:rPr>
                <w:rFonts w:cs="Arial"/>
                <w:szCs w:val="20"/>
              </w:rPr>
              <w:t>Center za komunikacijo, sluh in govor Portorož</w:t>
            </w:r>
          </w:p>
        </w:tc>
        <w:tc>
          <w:tcPr>
            <w:tcW w:w="283" w:type="dxa"/>
            <w:tcBorders>
              <w:top w:val="nil"/>
              <w:left w:val="nil"/>
              <w:bottom w:val="single" w:sz="4" w:space="0" w:color="auto"/>
              <w:right w:val="single" w:sz="4" w:space="0" w:color="auto"/>
            </w:tcBorders>
            <w:shd w:val="clear" w:color="auto" w:fill="auto"/>
            <w:noWrap/>
            <w:vAlign w:val="bottom"/>
            <w:hideMark/>
          </w:tcPr>
          <w:p w14:paraId="6B9459D7"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5478478" w14:textId="77777777" w:rsidR="00FE461F" w:rsidRPr="005E4BEA" w:rsidRDefault="00FE461F" w:rsidP="00FE461F">
            <w:pPr>
              <w:spacing w:line="240" w:lineRule="auto"/>
              <w:jc w:val="center"/>
              <w:rPr>
                <w:rFonts w:cs="Arial"/>
                <w:szCs w:val="20"/>
              </w:rPr>
            </w:pPr>
            <w:r w:rsidRPr="005E4BEA">
              <w:rPr>
                <w:rFonts w:cs="Arial"/>
                <w:szCs w:val="20"/>
              </w:rPr>
              <w:t>CSG</w:t>
            </w:r>
          </w:p>
        </w:tc>
        <w:tc>
          <w:tcPr>
            <w:tcW w:w="567" w:type="dxa"/>
            <w:tcBorders>
              <w:top w:val="nil"/>
              <w:left w:val="nil"/>
              <w:bottom w:val="single" w:sz="4" w:space="0" w:color="auto"/>
              <w:right w:val="single" w:sz="4" w:space="0" w:color="auto"/>
            </w:tcBorders>
            <w:shd w:val="clear" w:color="auto" w:fill="auto"/>
            <w:noWrap/>
            <w:vAlign w:val="bottom"/>
            <w:hideMark/>
          </w:tcPr>
          <w:p w14:paraId="13B1B0B6"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2D4E3AD"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5C2F281B" w14:textId="77777777" w:rsidR="00FE461F" w:rsidRPr="005E4BEA" w:rsidRDefault="00FE461F" w:rsidP="00FE461F">
            <w:pPr>
              <w:spacing w:line="240" w:lineRule="auto"/>
              <w:jc w:val="right"/>
              <w:rPr>
                <w:rFonts w:cs="Arial"/>
                <w:color w:val="FF0000"/>
                <w:szCs w:val="20"/>
              </w:rPr>
            </w:pPr>
          </w:p>
        </w:tc>
        <w:tc>
          <w:tcPr>
            <w:tcW w:w="1276" w:type="dxa"/>
            <w:tcBorders>
              <w:top w:val="nil"/>
              <w:left w:val="nil"/>
              <w:bottom w:val="single" w:sz="4" w:space="0" w:color="auto"/>
              <w:right w:val="single" w:sz="4" w:space="0" w:color="auto"/>
            </w:tcBorders>
            <w:shd w:val="clear" w:color="auto" w:fill="FFFF00"/>
            <w:noWrap/>
            <w:vAlign w:val="bottom"/>
            <w:hideMark/>
          </w:tcPr>
          <w:p w14:paraId="18227FDC" w14:textId="77777777" w:rsidR="00FE461F" w:rsidRPr="005E4BEA" w:rsidRDefault="00FE461F" w:rsidP="00FE461F">
            <w:pPr>
              <w:spacing w:line="240" w:lineRule="auto"/>
              <w:jc w:val="center"/>
              <w:rPr>
                <w:rFonts w:cs="Arial"/>
                <w:szCs w:val="20"/>
              </w:rPr>
            </w:pPr>
            <w:r w:rsidRPr="005E4BEA">
              <w:rPr>
                <w:rFonts w:cs="Arial"/>
                <w:szCs w:val="20"/>
              </w:rPr>
              <w:t>3563.588</w:t>
            </w:r>
          </w:p>
        </w:tc>
      </w:tr>
      <w:tr w:rsidR="00FE461F" w:rsidRPr="005E4BEA" w14:paraId="3211CDC6" w14:textId="77777777" w:rsidTr="001677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80B5A3" w14:textId="77777777" w:rsidR="00FE461F" w:rsidRPr="005E4BEA" w:rsidRDefault="00FE461F" w:rsidP="00FE461F">
            <w:pPr>
              <w:spacing w:line="240" w:lineRule="auto"/>
              <w:jc w:val="center"/>
              <w:rPr>
                <w:rFonts w:cs="Arial"/>
                <w:szCs w:val="20"/>
              </w:rPr>
            </w:pPr>
            <w:r w:rsidRPr="005E4BEA">
              <w:rPr>
                <w:rFonts w:cs="Arial"/>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7DC5311C" w14:textId="77777777" w:rsidR="00FE461F" w:rsidRPr="005E4BEA" w:rsidRDefault="00FE461F" w:rsidP="00FE461F">
            <w:pPr>
              <w:spacing w:line="240" w:lineRule="auto"/>
              <w:rPr>
                <w:rFonts w:cs="Arial"/>
                <w:b/>
                <w:bCs/>
                <w:szCs w:val="20"/>
              </w:rPr>
            </w:pPr>
            <w:r w:rsidRPr="005E4BEA">
              <w:rPr>
                <w:rFonts w:cs="Arial"/>
                <w:b/>
                <w:bCs/>
                <w:szCs w:val="20"/>
              </w:rPr>
              <w:t>LJUBLJANA</w:t>
            </w:r>
          </w:p>
        </w:tc>
        <w:tc>
          <w:tcPr>
            <w:tcW w:w="283" w:type="dxa"/>
            <w:tcBorders>
              <w:top w:val="nil"/>
              <w:left w:val="nil"/>
              <w:bottom w:val="single" w:sz="4" w:space="0" w:color="auto"/>
              <w:right w:val="single" w:sz="4" w:space="0" w:color="auto"/>
            </w:tcBorders>
            <w:shd w:val="clear" w:color="auto" w:fill="auto"/>
            <w:noWrap/>
            <w:vAlign w:val="bottom"/>
            <w:hideMark/>
          </w:tcPr>
          <w:p w14:paraId="10FA0BF7"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A9C1E5"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2804CC1"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F0D446F"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B071246" w14:textId="77777777" w:rsidR="00FE461F" w:rsidRPr="005E4BEA" w:rsidRDefault="00FE461F" w:rsidP="00FE461F">
            <w:pPr>
              <w:spacing w:line="240" w:lineRule="auto"/>
              <w:jc w:val="right"/>
              <w:rPr>
                <w:rFonts w:cs="Arial"/>
                <w:color w:val="FF0000"/>
                <w:szCs w:val="20"/>
              </w:rPr>
            </w:pPr>
            <w:r w:rsidRPr="005E4BEA">
              <w:rPr>
                <w:rFonts w:cs="Arial"/>
                <w:color w:val="FF000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54B789" w14:textId="77777777" w:rsidR="00FE461F" w:rsidRPr="005E4BEA" w:rsidRDefault="00FE461F" w:rsidP="00FE461F">
            <w:pPr>
              <w:spacing w:line="240" w:lineRule="auto"/>
              <w:jc w:val="center"/>
              <w:rPr>
                <w:rFonts w:cs="Arial"/>
                <w:szCs w:val="20"/>
              </w:rPr>
            </w:pPr>
          </w:p>
        </w:tc>
      </w:tr>
      <w:tr w:rsidR="00FE461F" w:rsidRPr="005E4BEA" w14:paraId="269C46DF" w14:textId="77777777" w:rsidTr="001677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00FF7F3" w14:textId="77777777" w:rsidR="00FE461F" w:rsidRPr="005E4BEA" w:rsidRDefault="00FE461F" w:rsidP="00FE461F">
            <w:pPr>
              <w:spacing w:line="240" w:lineRule="auto"/>
              <w:jc w:val="center"/>
              <w:rPr>
                <w:rFonts w:cs="Arial"/>
                <w:szCs w:val="20"/>
              </w:rPr>
            </w:pPr>
            <w:r w:rsidRPr="005E4BEA">
              <w:rPr>
                <w:rFonts w:cs="Arial"/>
                <w:szCs w:val="20"/>
              </w:rPr>
              <w:t>12635</w:t>
            </w:r>
          </w:p>
        </w:tc>
        <w:tc>
          <w:tcPr>
            <w:tcW w:w="2835" w:type="dxa"/>
            <w:tcBorders>
              <w:top w:val="nil"/>
              <w:left w:val="nil"/>
              <w:bottom w:val="single" w:sz="4" w:space="0" w:color="auto"/>
              <w:right w:val="single" w:sz="4" w:space="0" w:color="auto"/>
            </w:tcBorders>
            <w:shd w:val="clear" w:color="auto" w:fill="auto"/>
            <w:noWrap/>
            <w:vAlign w:val="bottom"/>
            <w:hideMark/>
          </w:tcPr>
          <w:p w14:paraId="2FA80902" w14:textId="77777777" w:rsidR="00FE461F" w:rsidRPr="005E4BEA" w:rsidRDefault="00FE461F" w:rsidP="00FE461F">
            <w:pPr>
              <w:spacing w:line="240" w:lineRule="auto"/>
              <w:rPr>
                <w:rFonts w:cs="Arial"/>
                <w:szCs w:val="20"/>
              </w:rPr>
            </w:pPr>
            <w:r w:rsidRPr="005E4BEA">
              <w:rPr>
                <w:rFonts w:cs="Arial"/>
                <w:szCs w:val="20"/>
              </w:rPr>
              <w:t>Zavod za gluhe in naglušne Ljubljana</w:t>
            </w:r>
          </w:p>
        </w:tc>
        <w:tc>
          <w:tcPr>
            <w:tcW w:w="283" w:type="dxa"/>
            <w:tcBorders>
              <w:top w:val="nil"/>
              <w:left w:val="nil"/>
              <w:bottom w:val="single" w:sz="4" w:space="0" w:color="auto"/>
              <w:right w:val="single" w:sz="4" w:space="0" w:color="auto"/>
            </w:tcBorders>
            <w:shd w:val="clear" w:color="auto" w:fill="auto"/>
            <w:noWrap/>
            <w:vAlign w:val="bottom"/>
            <w:hideMark/>
          </w:tcPr>
          <w:p w14:paraId="5C6E6293"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11C87ADF" w14:textId="77777777" w:rsidR="00FE461F" w:rsidRPr="005E4BEA" w:rsidRDefault="00FE461F" w:rsidP="00FE461F">
            <w:pPr>
              <w:spacing w:line="240" w:lineRule="auto"/>
              <w:jc w:val="center"/>
              <w:rPr>
                <w:rFonts w:cs="Arial"/>
                <w:szCs w:val="20"/>
              </w:rPr>
            </w:pPr>
            <w:r w:rsidRPr="005E4BEA">
              <w:rPr>
                <w:rFonts w:cs="Arial"/>
                <w:szCs w:val="20"/>
              </w:rPr>
              <w:t>CSG</w:t>
            </w:r>
          </w:p>
        </w:tc>
        <w:tc>
          <w:tcPr>
            <w:tcW w:w="567" w:type="dxa"/>
            <w:tcBorders>
              <w:top w:val="nil"/>
              <w:left w:val="nil"/>
              <w:bottom w:val="single" w:sz="4" w:space="0" w:color="auto"/>
              <w:right w:val="single" w:sz="4" w:space="0" w:color="auto"/>
            </w:tcBorders>
            <w:shd w:val="clear" w:color="auto" w:fill="auto"/>
            <w:noWrap/>
            <w:vAlign w:val="bottom"/>
            <w:hideMark/>
          </w:tcPr>
          <w:p w14:paraId="531E6BD7"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511C0519"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3AFC82CC" w14:textId="77777777" w:rsidR="00FE461F" w:rsidRPr="005E4BEA" w:rsidRDefault="00FE461F" w:rsidP="00FE461F">
            <w:pPr>
              <w:spacing w:line="240" w:lineRule="auto"/>
              <w:jc w:val="right"/>
              <w:rPr>
                <w:rFonts w:cs="Arial"/>
                <w:color w:val="FF0000"/>
                <w:szCs w:val="20"/>
              </w:rPr>
            </w:pPr>
          </w:p>
        </w:tc>
        <w:tc>
          <w:tcPr>
            <w:tcW w:w="1276" w:type="dxa"/>
            <w:tcBorders>
              <w:top w:val="nil"/>
              <w:left w:val="nil"/>
              <w:bottom w:val="single" w:sz="4" w:space="0" w:color="auto"/>
              <w:right w:val="single" w:sz="4" w:space="0" w:color="auto"/>
            </w:tcBorders>
            <w:shd w:val="clear" w:color="auto" w:fill="FFFF00"/>
            <w:noWrap/>
            <w:vAlign w:val="bottom"/>
            <w:hideMark/>
          </w:tcPr>
          <w:p w14:paraId="0432A979" w14:textId="77777777" w:rsidR="00FE461F" w:rsidRPr="005E4BEA" w:rsidRDefault="00FE461F" w:rsidP="00FE461F">
            <w:pPr>
              <w:spacing w:line="240" w:lineRule="auto"/>
              <w:jc w:val="center"/>
              <w:rPr>
                <w:rFonts w:cs="Arial"/>
                <w:szCs w:val="20"/>
              </w:rPr>
            </w:pPr>
            <w:r w:rsidRPr="005E4BEA">
              <w:rPr>
                <w:rFonts w:cs="Arial"/>
                <w:szCs w:val="20"/>
              </w:rPr>
              <w:t>627.376</w:t>
            </w:r>
          </w:p>
        </w:tc>
      </w:tr>
      <w:tr w:rsidR="00FE461F" w:rsidRPr="005E4BEA" w14:paraId="18AA1B8A" w14:textId="77777777" w:rsidTr="001677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57B087" w14:textId="77777777" w:rsidR="00FE461F" w:rsidRPr="005E4BEA" w:rsidRDefault="00FE461F" w:rsidP="00FE461F">
            <w:pPr>
              <w:spacing w:line="240" w:lineRule="auto"/>
              <w:jc w:val="center"/>
              <w:rPr>
                <w:rFonts w:cs="Arial"/>
                <w:szCs w:val="20"/>
              </w:rPr>
            </w:pPr>
            <w:r w:rsidRPr="005E4BEA">
              <w:rPr>
                <w:rFonts w:cs="Arial"/>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431C0AE0" w14:textId="77777777" w:rsidR="00FE461F" w:rsidRPr="005E4BEA" w:rsidRDefault="00FE461F" w:rsidP="00FE461F">
            <w:pPr>
              <w:spacing w:line="240" w:lineRule="auto"/>
              <w:rPr>
                <w:rFonts w:cs="Arial"/>
                <w:b/>
                <w:bCs/>
                <w:szCs w:val="20"/>
              </w:rPr>
            </w:pPr>
            <w:r w:rsidRPr="005E4BEA">
              <w:rPr>
                <w:rFonts w:cs="Arial"/>
                <w:b/>
                <w:bCs/>
                <w:szCs w:val="20"/>
              </w:rPr>
              <w:t>MARIBOR</w:t>
            </w:r>
          </w:p>
        </w:tc>
        <w:tc>
          <w:tcPr>
            <w:tcW w:w="283" w:type="dxa"/>
            <w:tcBorders>
              <w:top w:val="nil"/>
              <w:left w:val="nil"/>
              <w:bottom w:val="single" w:sz="4" w:space="0" w:color="auto"/>
              <w:right w:val="single" w:sz="4" w:space="0" w:color="auto"/>
            </w:tcBorders>
            <w:shd w:val="clear" w:color="auto" w:fill="auto"/>
            <w:noWrap/>
            <w:vAlign w:val="bottom"/>
            <w:hideMark/>
          </w:tcPr>
          <w:p w14:paraId="25DA196E"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3B0E5393"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FA8F43D"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FAE86B9"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65735ABF" w14:textId="77777777" w:rsidR="00FE461F" w:rsidRPr="005E4BEA" w:rsidRDefault="00FE461F" w:rsidP="00FE461F">
            <w:pPr>
              <w:spacing w:line="240" w:lineRule="auto"/>
              <w:jc w:val="right"/>
              <w:rPr>
                <w:rFonts w:cs="Arial"/>
                <w:color w:val="FF000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14:paraId="156D2ED3" w14:textId="77777777" w:rsidR="00FE461F" w:rsidRPr="005E4BEA" w:rsidRDefault="00FE461F" w:rsidP="00FE461F">
            <w:pPr>
              <w:spacing w:line="240" w:lineRule="auto"/>
              <w:jc w:val="center"/>
              <w:rPr>
                <w:rFonts w:cs="Arial"/>
                <w:szCs w:val="20"/>
              </w:rPr>
            </w:pPr>
            <w:r w:rsidRPr="005E4BEA">
              <w:rPr>
                <w:rFonts w:cs="Arial"/>
                <w:szCs w:val="20"/>
              </w:rPr>
              <w:t> </w:t>
            </w:r>
          </w:p>
        </w:tc>
      </w:tr>
      <w:tr w:rsidR="00FE461F" w:rsidRPr="005E4BEA" w14:paraId="33650A34" w14:textId="77777777" w:rsidTr="0016774B">
        <w:trPr>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EF2A2A" w14:textId="77777777" w:rsidR="00FE461F" w:rsidRPr="005E4BEA" w:rsidRDefault="00FE461F" w:rsidP="00FE461F">
            <w:pPr>
              <w:spacing w:line="240" w:lineRule="auto"/>
              <w:jc w:val="center"/>
              <w:rPr>
                <w:rFonts w:cs="Arial"/>
                <w:szCs w:val="20"/>
              </w:rPr>
            </w:pPr>
            <w:r w:rsidRPr="005E4BEA">
              <w:rPr>
                <w:rFonts w:cs="Arial"/>
                <w:szCs w:val="20"/>
              </w:rPr>
              <w:t>20215</w:t>
            </w:r>
          </w:p>
        </w:tc>
        <w:tc>
          <w:tcPr>
            <w:tcW w:w="2835" w:type="dxa"/>
            <w:tcBorders>
              <w:top w:val="nil"/>
              <w:left w:val="nil"/>
              <w:bottom w:val="single" w:sz="4" w:space="0" w:color="auto"/>
              <w:right w:val="single" w:sz="4" w:space="0" w:color="auto"/>
            </w:tcBorders>
            <w:shd w:val="clear" w:color="auto" w:fill="auto"/>
            <w:noWrap/>
            <w:vAlign w:val="bottom"/>
            <w:hideMark/>
          </w:tcPr>
          <w:p w14:paraId="02316D78" w14:textId="77777777" w:rsidR="00FE461F" w:rsidRPr="005E4BEA" w:rsidRDefault="00FE461F" w:rsidP="00FE461F">
            <w:pPr>
              <w:spacing w:line="240" w:lineRule="auto"/>
              <w:rPr>
                <w:rFonts w:cs="Arial"/>
                <w:szCs w:val="20"/>
              </w:rPr>
            </w:pPr>
            <w:r w:rsidRPr="005E4BEA">
              <w:rPr>
                <w:rFonts w:cs="Arial"/>
                <w:szCs w:val="20"/>
              </w:rPr>
              <w:t>Center za sluh in govor Maribor</w:t>
            </w:r>
          </w:p>
        </w:tc>
        <w:tc>
          <w:tcPr>
            <w:tcW w:w="283" w:type="dxa"/>
            <w:tcBorders>
              <w:top w:val="nil"/>
              <w:left w:val="nil"/>
              <w:bottom w:val="single" w:sz="4" w:space="0" w:color="auto"/>
              <w:right w:val="single" w:sz="4" w:space="0" w:color="auto"/>
            </w:tcBorders>
            <w:shd w:val="clear" w:color="auto" w:fill="auto"/>
            <w:noWrap/>
            <w:vAlign w:val="bottom"/>
            <w:hideMark/>
          </w:tcPr>
          <w:p w14:paraId="3D4150C3"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0DC41D37" w14:textId="77777777" w:rsidR="00FE461F" w:rsidRPr="005E4BEA" w:rsidRDefault="00FE461F" w:rsidP="00FE461F">
            <w:pPr>
              <w:spacing w:line="240" w:lineRule="auto"/>
              <w:jc w:val="center"/>
              <w:rPr>
                <w:rFonts w:cs="Arial"/>
                <w:szCs w:val="20"/>
              </w:rPr>
            </w:pPr>
            <w:r w:rsidRPr="005E4BEA">
              <w:rPr>
                <w:rFonts w:cs="Arial"/>
                <w:szCs w:val="20"/>
              </w:rPr>
              <w:t>CSG</w:t>
            </w:r>
          </w:p>
        </w:tc>
        <w:tc>
          <w:tcPr>
            <w:tcW w:w="567" w:type="dxa"/>
            <w:tcBorders>
              <w:top w:val="nil"/>
              <w:left w:val="nil"/>
              <w:bottom w:val="single" w:sz="4" w:space="0" w:color="auto"/>
              <w:right w:val="single" w:sz="4" w:space="0" w:color="auto"/>
            </w:tcBorders>
            <w:shd w:val="clear" w:color="auto" w:fill="auto"/>
            <w:noWrap/>
            <w:vAlign w:val="bottom"/>
            <w:hideMark/>
          </w:tcPr>
          <w:p w14:paraId="37A17F54"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99E83C5"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tcPr>
          <w:p w14:paraId="6131F6A1" w14:textId="77777777" w:rsidR="00FE461F" w:rsidRPr="005E4BEA" w:rsidRDefault="00FE461F" w:rsidP="00FE461F">
            <w:pPr>
              <w:spacing w:line="240" w:lineRule="auto"/>
              <w:jc w:val="right"/>
              <w:rPr>
                <w:rFonts w:cs="Arial"/>
                <w:color w:val="FF0000"/>
                <w:szCs w:val="20"/>
              </w:rPr>
            </w:pPr>
          </w:p>
        </w:tc>
        <w:tc>
          <w:tcPr>
            <w:tcW w:w="1276" w:type="dxa"/>
            <w:tcBorders>
              <w:top w:val="nil"/>
              <w:left w:val="nil"/>
              <w:bottom w:val="single" w:sz="4" w:space="0" w:color="auto"/>
              <w:right w:val="single" w:sz="4" w:space="0" w:color="auto"/>
            </w:tcBorders>
            <w:shd w:val="clear" w:color="auto" w:fill="FFFF00"/>
            <w:noWrap/>
            <w:vAlign w:val="bottom"/>
            <w:hideMark/>
          </w:tcPr>
          <w:p w14:paraId="54CF6510" w14:textId="77777777" w:rsidR="00FE461F" w:rsidRPr="005E4BEA" w:rsidRDefault="00FE461F" w:rsidP="00FE461F">
            <w:pPr>
              <w:spacing w:line="240" w:lineRule="auto"/>
              <w:jc w:val="center"/>
              <w:rPr>
                <w:rFonts w:cs="Arial"/>
                <w:szCs w:val="20"/>
              </w:rPr>
            </w:pPr>
            <w:r w:rsidRPr="005E4BEA">
              <w:rPr>
                <w:rFonts w:cs="Arial"/>
                <w:szCs w:val="20"/>
              </w:rPr>
              <w:t>550.355</w:t>
            </w:r>
          </w:p>
        </w:tc>
      </w:tr>
      <w:tr w:rsidR="00FE461F" w:rsidRPr="005E4BEA" w14:paraId="590C301D" w14:textId="77777777" w:rsidTr="0016774B">
        <w:trPr>
          <w:trHeight w:val="40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453C3D" w14:textId="77777777" w:rsidR="00FE461F" w:rsidRPr="005E4BEA" w:rsidRDefault="00FE461F" w:rsidP="00FE461F">
            <w:pPr>
              <w:spacing w:line="240" w:lineRule="auto"/>
              <w:jc w:val="center"/>
              <w:rPr>
                <w:rFonts w:cs="Arial"/>
                <w:szCs w:val="20"/>
              </w:rPr>
            </w:pPr>
            <w:r w:rsidRPr="005E4BEA">
              <w:rPr>
                <w:rFonts w:cs="Arial"/>
                <w:szCs w:val="20"/>
              </w:rPr>
              <w:t> </w:t>
            </w:r>
          </w:p>
        </w:tc>
        <w:tc>
          <w:tcPr>
            <w:tcW w:w="2835" w:type="dxa"/>
            <w:tcBorders>
              <w:top w:val="nil"/>
              <w:left w:val="nil"/>
              <w:bottom w:val="single" w:sz="4" w:space="0" w:color="auto"/>
              <w:right w:val="single" w:sz="4" w:space="0" w:color="auto"/>
            </w:tcBorders>
            <w:shd w:val="clear" w:color="auto" w:fill="auto"/>
            <w:noWrap/>
            <w:vAlign w:val="bottom"/>
            <w:hideMark/>
          </w:tcPr>
          <w:p w14:paraId="6924D7B5" w14:textId="77777777" w:rsidR="00FE461F" w:rsidRPr="005E4BEA" w:rsidRDefault="00FE461F" w:rsidP="00FE461F">
            <w:pPr>
              <w:spacing w:line="240" w:lineRule="auto"/>
              <w:rPr>
                <w:rFonts w:cs="Arial"/>
                <w:b/>
                <w:bCs/>
                <w:szCs w:val="20"/>
              </w:rPr>
            </w:pPr>
            <w:r w:rsidRPr="005E4BEA">
              <w:rPr>
                <w:rFonts w:cs="Arial"/>
                <w:b/>
                <w:bCs/>
                <w:szCs w:val="20"/>
              </w:rPr>
              <w:t>Skupaj IV</w:t>
            </w:r>
          </w:p>
        </w:tc>
        <w:tc>
          <w:tcPr>
            <w:tcW w:w="283" w:type="dxa"/>
            <w:tcBorders>
              <w:top w:val="nil"/>
              <w:left w:val="nil"/>
              <w:bottom w:val="single" w:sz="4" w:space="0" w:color="auto"/>
              <w:right w:val="single" w:sz="4" w:space="0" w:color="auto"/>
            </w:tcBorders>
            <w:shd w:val="clear" w:color="auto" w:fill="auto"/>
            <w:noWrap/>
            <w:vAlign w:val="bottom"/>
            <w:hideMark/>
          </w:tcPr>
          <w:p w14:paraId="45743C01" w14:textId="77777777" w:rsidR="00FE461F" w:rsidRPr="005E4BEA" w:rsidRDefault="00FE461F" w:rsidP="00FE461F">
            <w:pPr>
              <w:spacing w:line="240" w:lineRule="auto"/>
              <w:jc w:val="center"/>
              <w:rPr>
                <w:rFonts w:cs="Arial"/>
                <w:szCs w:val="20"/>
              </w:rPr>
            </w:pPr>
            <w:r w:rsidRPr="005E4BEA">
              <w:rPr>
                <w:rFonts w:cs="Arial"/>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14:paraId="172ED8DE"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B4282B4"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19D2D39" w14:textId="77777777" w:rsidR="00FE461F" w:rsidRPr="005E4BEA" w:rsidRDefault="00FE461F" w:rsidP="00FE461F">
            <w:pPr>
              <w:spacing w:line="240" w:lineRule="auto"/>
              <w:jc w:val="center"/>
              <w:rPr>
                <w:rFonts w:cs="Arial"/>
                <w:szCs w:val="20"/>
              </w:rPr>
            </w:pPr>
            <w:r w:rsidRPr="005E4BEA">
              <w:rPr>
                <w:rFonts w:cs="Arial"/>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5DCCB08" w14:textId="77777777" w:rsidR="00FE461F" w:rsidRPr="005E4BEA" w:rsidRDefault="00FE461F" w:rsidP="00FE461F">
            <w:pPr>
              <w:spacing w:line="240" w:lineRule="auto"/>
              <w:jc w:val="right"/>
              <w:rPr>
                <w:rFonts w:cs="Arial"/>
                <w:szCs w:val="20"/>
              </w:rPr>
            </w:pPr>
            <w:r w:rsidRPr="005E4BEA">
              <w:rPr>
                <w:rFonts w:cs="Arial"/>
                <w:szCs w:val="20"/>
              </w:rPr>
              <w:t> </w:t>
            </w:r>
          </w:p>
        </w:tc>
        <w:tc>
          <w:tcPr>
            <w:tcW w:w="1276" w:type="dxa"/>
            <w:tcBorders>
              <w:top w:val="nil"/>
              <w:left w:val="nil"/>
              <w:bottom w:val="single" w:sz="4" w:space="0" w:color="auto"/>
              <w:right w:val="single" w:sz="4" w:space="0" w:color="auto"/>
            </w:tcBorders>
            <w:shd w:val="clear" w:color="auto" w:fill="FFFF00"/>
            <w:noWrap/>
            <w:vAlign w:val="bottom"/>
            <w:hideMark/>
          </w:tcPr>
          <w:p w14:paraId="4265DE41" w14:textId="77777777" w:rsidR="00FE461F" w:rsidRPr="005E4BEA" w:rsidRDefault="00FE461F" w:rsidP="00FE461F">
            <w:pPr>
              <w:spacing w:line="240" w:lineRule="auto"/>
              <w:jc w:val="center"/>
              <w:rPr>
                <w:rFonts w:cs="Arial"/>
                <w:szCs w:val="20"/>
              </w:rPr>
            </w:pPr>
            <w:r w:rsidRPr="005E4BEA">
              <w:rPr>
                <w:rFonts w:cs="Arial"/>
                <w:szCs w:val="20"/>
              </w:rPr>
              <w:t xml:space="preserve">1.541.299 </w:t>
            </w:r>
          </w:p>
        </w:tc>
      </w:tr>
    </w:tbl>
    <w:p w14:paraId="439EB3D5" w14:textId="77777777" w:rsidR="00FE461F" w:rsidRPr="005E4BEA" w:rsidRDefault="00FE461F" w:rsidP="00FE461F">
      <w:pPr>
        <w:spacing w:line="240" w:lineRule="auto"/>
        <w:jc w:val="both"/>
        <w:rPr>
          <w:rFonts w:cs="Arial"/>
          <w:b/>
          <w:szCs w:val="20"/>
          <w:u w:val="single"/>
        </w:rPr>
      </w:pPr>
    </w:p>
    <w:p w14:paraId="3A65D06A" w14:textId="77777777" w:rsidR="00FE461F" w:rsidRPr="005E4BEA" w:rsidRDefault="00FE461F" w:rsidP="00FE461F">
      <w:pPr>
        <w:spacing w:line="240" w:lineRule="auto"/>
        <w:jc w:val="both"/>
        <w:outlineLvl w:val="0"/>
        <w:rPr>
          <w:rFonts w:cs="Arial"/>
          <w:b/>
          <w:szCs w:val="20"/>
        </w:rPr>
      </w:pPr>
    </w:p>
    <w:p w14:paraId="6EF94AC5" w14:textId="77777777" w:rsidR="00FE461F" w:rsidRPr="00EC7E01" w:rsidRDefault="00FE461F" w:rsidP="00EC7E01">
      <w:pPr>
        <w:pStyle w:val="Obrazloitev0"/>
        <w:rPr>
          <w:rFonts w:ascii="Arial" w:hAnsi="Arial" w:cs="Arial"/>
          <w:b/>
          <w:bCs/>
          <w:sz w:val="20"/>
          <w:szCs w:val="20"/>
        </w:rPr>
      </w:pPr>
      <w:r w:rsidRPr="00EC7E01">
        <w:rPr>
          <w:rFonts w:ascii="Arial" w:hAnsi="Arial" w:cs="Arial"/>
          <w:b/>
          <w:bCs/>
          <w:sz w:val="20"/>
          <w:szCs w:val="20"/>
        </w:rPr>
        <w:t>Obrazložitev:</w:t>
      </w:r>
    </w:p>
    <w:p w14:paraId="6CB666B8" w14:textId="77777777"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Zaradi predloga za povečanje kadra pri centrih za sluh in govor za leto 2022 se spremeni plan storitev za leto 2022.</w:t>
      </w:r>
    </w:p>
    <w:p w14:paraId="2C8F8420" w14:textId="3F7DCAFC" w:rsidR="00FE461F" w:rsidRPr="005E4BEA" w:rsidRDefault="00FE461F" w:rsidP="00FE461F">
      <w:pPr>
        <w:spacing w:line="240" w:lineRule="auto"/>
        <w:jc w:val="both"/>
        <w:rPr>
          <w:rFonts w:cs="Arial"/>
          <w:color w:val="808080" w:themeColor="background1" w:themeShade="80"/>
          <w:szCs w:val="20"/>
        </w:rPr>
      </w:pPr>
    </w:p>
    <w:p w14:paraId="4F0796F3" w14:textId="77777777" w:rsidR="00241A6D" w:rsidRPr="005E4BEA" w:rsidRDefault="00241A6D" w:rsidP="00241A6D">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7136B6B9" w14:textId="77777777" w:rsidR="00241A6D" w:rsidRPr="005E4BEA" w:rsidRDefault="00241A6D" w:rsidP="00241A6D">
      <w:pPr>
        <w:spacing w:line="0" w:lineRule="atLeast"/>
        <w:jc w:val="both"/>
        <w:rPr>
          <w:rFonts w:eastAsia="Arial Narrow" w:cs="Arial"/>
          <w:szCs w:val="20"/>
          <w:lang w:eastAsia="sl-SI"/>
        </w:rPr>
      </w:pPr>
    </w:p>
    <w:p w14:paraId="5B0CDE3A" w14:textId="72730615" w:rsidR="00241A6D" w:rsidRPr="005E4BEA" w:rsidRDefault="00241A6D" w:rsidP="00241A6D">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SVZ-1 </w:t>
      </w:r>
      <w:r w:rsidRPr="005E4BEA">
        <w:rPr>
          <w:rFonts w:eastAsiaTheme="minorHAnsi" w:cs="Arial"/>
          <w:bCs/>
          <w:szCs w:val="20"/>
        </w:rPr>
        <w:t>Splošnega dogovora ne spremeni.</w:t>
      </w:r>
    </w:p>
    <w:p w14:paraId="0B6EB96A" w14:textId="77777777" w:rsidR="00241A6D" w:rsidRPr="005E4BEA" w:rsidRDefault="00241A6D" w:rsidP="00241A6D">
      <w:pPr>
        <w:spacing w:line="240" w:lineRule="auto"/>
        <w:jc w:val="both"/>
        <w:rPr>
          <w:rFonts w:cs="Arial"/>
          <w:i/>
          <w:iCs/>
          <w:color w:val="767171"/>
          <w:szCs w:val="20"/>
        </w:rPr>
      </w:pPr>
    </w:p>
    <w:p w14:paraId="31CBD83F" w14:textId="51578847" w:rsidR="00241A6D" w:rsidRPr="005E4BEA" w:rsidRDefault="00241A6D"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(170)</w:t>
      </w:r>
    </w:p>
    <w:p w14:paraId="7433C053" w14:textId="77777777" w:rsidR="00241A6D" w:rsidRPr="005E4BEA" w:rsidRDefault="00241A6D" w:rsidP="00241A6D">
      <w:pPr>
        <w:spacing w:line="0" w:lineRule="atLeast"/>
        <w:contextualSpacing/>
        <w:jc w:val="both"/>
        <w:rPr>
          <w:rFonts w:eastAsia="Arial Narrow" w:cs="Arial"/>
          <w:b/>
          <w:szCs w:val="20"/>
        </w:rPr>
      </w:pPr>
    </w:p>
    <w:p w14:paraId="7733B277" w14:textId="26EE4D5B" w:rsidR="00FE461F" w:rsidRPr="005E4BEA" w:rsidRDefault="00241A6D" w:rsidP="00FE461F">
      <w:pPr>
        <w:spacing w:line="240" w:lineRule="auto"/>
        <w:jc w:val="both"/>
        <w:rPr>
          <w:rFonts w:cs="Arial"/>
          <w:bCs/>
          <w:szCs w:val="20"/>
        </w:rPr>
      </w:pPr>
      <w:r w:rsidRPr="005E4BEA">
        <w:rPr>
          <w:rFonts w:eastAsia="Arial Narrow" w:cs="Arial"/>
          <w:b/>
          <w:szCs w:val="20"/>
        </w:rPr>
        <w:t>Skupnost organizacij za usposabljanje Slovenije</w:t>
      </w:r>
      <w:r w:rsidRPr="005E4BEA">
        <w:rPr>
          <w:rFonts w:eastAsia="Arial Narrow" w:cs="Arial"/>
          <w:bCs/>
          <w:szCs w:val="20"/>
        </w:rPr>
        <w:t xml:space="preserve"> </w:t>
      </w:r>
      <w:r w:rsidRPr="005E4BEA">
        <w:rPr>
          <w:rFonts w:eastAsiaTheme="minorHAnsi" w:cs="Arial"/>
          <w:bCs/>
          <w:szCs w:val="20"/>
        </w:rPr>
        <w:t xml:space="preserve">predlaga, </w:t>
      </w:r>
      <w:r w:rsidRPr="005E4BEA">
        <w:rPr>
          <w:rFonts w:eastAsia="Arial Narrow" w:cs="Arial"/>
          <w:bCs/>
          <w:szCs w:val="20"/>
        </w:rPr>
        <w:t xml:space="preserve">da se v </w:t>
      </w:r>
      <w:r w:rsidRPr="005E4BEA">
        <w:rPr>
          <w:rFonts w:eastAsia="Calibri" w:cs="Arial"/>
          <w:bCs/>
          <w:szCs w:val="20"/>
        </w:rPr>
        <w:t xml:space="preserve">Prilogi SVZ – 1b </w:t>
      </w:r>
      <w:r w:rsidR="00FE461F" w:rsidRPr="005E4BEA">
        <w:rPr>
          <w:rFonts w:cs="Arial"/>
          <w:bCs/>
          <w:szCs w:val="20"/>
        </w:rPr>
        <w:t xml:space="preserve">k Prilogi SVZ, zaradi povečanja števila delavcev spremeni tabela </w:t>
      </w:r>
      <w:proofErr w:type="spellStart"/>
      <w:r w:rsidR="00FE461F" w:rsidRPr="005E4BEA">
        <w:rPr>
          <w:rFonts w:cs="Arial"/>
          <w:bCs/>
          <w:szCs w:val="20"/>
        </w:rPr>
        <w:t>kalkulativne</w:t>
      </w:r>
      <w:proofErr w:type="spellEnd"/>
      <w:r w:rsidR="00FE461F" w:rsidRPr="005E4BEA">
        <w:rPr>
          <w:rFonts w:cs="Arial"/>
          <w:bCs/>
          <w:szCs w:val="20"/>
        </w:rPr>
        <w:t xml:space="preserve"> podlage za izračun cene v centrih za sluh in govor in sicer:</w:t>
      </w:r>
    </w:p>
    <w:p w14:paraId="15527399" w14:textId="77777777" w:rsidR="00FE461F" w:rsidRPr="005E4BEA" w:rsidRDefault="00FE461F" w:rsidP="00FE461F">
      <w:pPr>
        <w:spacing w:line="240" w:lineRule="auto"/>
        <w:ind w:left="360"/>
        <w:jc w:val="both"/>
        <w:rPr>
          <w:rFonts w:cs="Arial"/>
          <w:i/>
          <w:szCs w:val="20"/>
        </w:rPr>
      </w:pPr>
    </w:p>
    <w:p w14:paraId="17296B82" w14:textId="77777777" w:rsidR="00FE461F" w:rsidRPr="005E4BEA" w:rsidRDefault="00FE461F" w:rsidP="00FE461F">
      <w:pPr>
        <w:spacing w:line="240" w:lineRule="auto"/>
        <w:jc w:val="both"/>
        <w:rPr>
          <w:rFonts w:cs="Arial"/>
          <w:i/>
          <w:szCs w:val="20"/>
        </w:rPr>
      </w:pPr>
      <w:r w:rsidRPr="005E4BEA">
        <w:rPr>
          <w:rFonts w:cs="Arial"/>
          <w:i/>
          <w:szCs w:val="20"/>
        </w:rPr>
        <w:t>Predlog Priloge I/c</w:t>
      </w:r>
    </w:p>
    <w:p w14:paraId="2B0E132C" w14:textId="77777777" w:rsidR="00FE461F" w:rsidRPr="005E4BEA" w:rsidRDefault="00FE461F" w:rsidP="00FE461F">
      <w:pPr>
        <w:spacing w:line="240" w:lineRule="auto"/>
        <w:jc w:val="both"/>
        <w:rPr>
          <w:rFonts w:cs="Arial"/>
          <w:szCs w:val="20"/>
        </w:rPr>
      </w:pPr>
    </w:p>
    <w:tbl>
      <w:tblPr>
        <w:tblW w:w="9457" w:type="dxa"/>
        <w:tblInd w:w="70" w:type="dxa"/>
        <w:tblCellMar>
          <w:left w:w="70" w:type="dxa"/>
          <w:right w:w="70" w:type="dxa"/>
        </w:tblCellMar>
        <w:tblLook w:val="04A0" w:firstRow="1" w:lastRow="0" w:firstColumn="1" w:lastColumn="0" w:noHBand="0" w:noVBand="1"/>
      </w:tblPr>
      <w:tblGrid>
        <w:gridCol w:w="1985"/>
        <w:gridCol w:w="1276"/>
        <w:gridCol w:w="1275"/>
        <w:gridCol w:w="1134"/>
        <w:gridCol w:w="993"/>
        <w:gridCol w:w="963"/>
        <w:gridCol w:w="1029"/>
        <w:gridCol w:w="1330"/>
      </w:tblGrid>
      <w:tr w:rsidR="00FE461F" w:rsidRPr="005E4BEA" w14:paraId="72C36A19" w14:textId="77777777" w:rsidTr="0016774B">
        <w:trPr>
          <w:trHeight w:val="420"/>
        </w:trPr>
        <w:tc>
          <w:tcPr>
            <w:tcW w:w="1985" w:type="dxa"/>
            <w:tcBorders>
              <w:top w:val="nil"/>
              <w:left w:val="nil"/>
              <w:bottom w:val="nil"/>
              <w:right w:val="nil"/>
            </w:tcBorders>
            <w:shd w:val="clear" w:color="auto" w:fill="auto"/>
            <w:noWrap/>
            <w:vAlign w:val="bottom"/>
            <w:hideMark/>
          </w:tcPr>
          <w:p w14:paraId="56025A9F" w14:textId="77777777" w:rsidR="00FE461F" w:rsidRPr="005E4BEA" w:rsidRDefault="00FE461F" w:rsidP="00FE461F">
            <w:pPr>
              <w:spacing w:line="240" w:lineRule="auto"/>
              <w:rPr>
                <w:rFonts w:cs="Arial"/>
                <w:szCs w:val="20"/>
              </w:rPr>
            </w:pP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B6539" w14:textId="77777777" w:rsidR="00FE461F" w:rsidRPr="005E4BEA" w:rsidRDefault="00FE461F" w:rsidP="00FE461F">
            <w:pPr>
              <w:spacing w:line="240" w:lineRule="auto"/>
              <w:jc w:val="center"/>
              <w:rPr>
                <w:rFonts w:cs="Arial"/>
                <w:szCs w:val="20"/>
              </w:rPr>
            </w:pPr>
            <w:r w:rsidRPr="005E4BEA">
              <w:rPr>
                <w:rFonts w:cs="Arial"/>
                <w:szCs w:val="20"/>
              </w:rPr>
              <w:t>ŠTEVILO DELAVCEV</w:t>
            </w:r>
          </w:p>
        </w:tc>
        <w:tc>
          <w:tcPr>
            <w:tcW w:w="850" w:type="dxa"/>
            <w:vMerge w:val="restart"/>
            <w:tcBorders>
              <w:top w:val="single" w:sz="4" w:space="0" w:color="auto"/>
              <w:left w:val="nil"/>
              <w:right w:val="single" w:sz="4" w:space="0" w:color="auto"/>
            </w:tcBorders>
            <w:shd w:val="clear" w:color="auto" w:fill="auto"/>
            <w:noWrap/>
            <w:vAlign w:val="center"/>
            <w:hideMark/>
          </w:tcPr>
          <w:p w14:paraId="5446FEEB" w14:textId="77777777" w:rsidR="00FE461F" w:rsidRPr="005E4BEA" w:rsidRDefault="00FE461F" w:rsidP="00FE461F">
            <w:pPr>
              <w:spacing w:line="240" w:lineRule="auto"/>
              <w:jc w:val="center"/>
              <w:rPr>
                <w:rFonts w:cs="Arial"/>
                <w:szCs w:val="20"/>
              </w:rPr>
            </w:pPr>
            <w:r w:rsidRPr="005E4BEA">
              <w:rPr>
                <w:rFonts w:cs="Arial"/>
                <w:szCs w:val="20"/>
              </w:rPr>
              <w:t>PLAČNI RAZRED</w:t>
            </w:r>
          </w:p>
        </w:tc>
        <w:tc>
          <w:tcPr>
            <w:tcW w:w="852" w:type="dxa"/>
            <w:vMerge w:val="restart"/>
            <w:tcBorders>
              <w:top w:val="single" w:sz="4" w:space="0" w:color="auto"/>
              <w:left w:val="nil"/>
              <w:right w:val="single" w:sz="4" w:space="0" w:color="auto"/>
            </w:tcBorders>
            <w:shd w:val="clear" w:color="auto" w:fill="auto"/>
            <w:noWrap/>
            <w:vAlign w:val="center"/>
            <w:hideMark/>
          </w:tcPr>
          <w:p w14:paraId="42AE5496" w14:textId="77777777" w:rsidR="00FE461F" w:rsidRPr="005E4BEA" w:rsidRDefault="00FE461F" w:rsidP="00FE461F">
            <w:pPr>
              <w:spacing w:line="240" w:lineRule="auto"/>
              <w:jc w:val="center"/>
              <w:rPr>
                <w:rFonts w:cs="Arial"/>
                <w:szCs w:val="20"/>
              </w:rPr>
            </w:pPr>
            <w:r w:rsidRPr="005E4BEA">
              <w:rPr>
                <w:rFonts w:cs="Arial"/>
                <w:szCs w:val="20"/>
              </w:rPr>
              <w:t>DODATKI</w:t>
            </w:r>
          </w:p>
        </w:tc>
        <w:tc>
          <w:tcPr>
            <w:tcW w:w="1092" w:type="dxa"/>
            <w:vMerge w:val="restart"/>
            <w:tcBorders>
              <w:top w:val="single" w:sz="4" w:space="0" w:color="auto"/>
              <w:left w:val="nil"/>
              <w:right w:val="single" w:sz="4" w:space="0" w:color="auto"/>
            </w:tcBorders>
            <w:shd w:val="clear" w:color="auto" w:fill="auto"/>
            <w:vAlign w:val="center"/>
            <w:hideMark/>
          </w:tcPr>
          <w:p w14:paraId="34EFE8D1" w14:textId="77777777" w:rsidR="00FE461F" w:rsidRPr="005E4BEA" w:rsidRDefault="00FE461F" w:rsidP="00FE461F">
            <w:pPr>
              <w:spacing w:line="240" w:lineRule="auto"/>
              <w:jc w:val="center"/>
              <w:rPr>
                <w:rFonts w:cs="Arial"/>
                <w:szCs w:val="20"/>
              </w:rPr>
            </w:pPr>
            <w:r w:rsidRPr="005E4BEA">
              <w:rPr>
                <w:rFonts w:cs="Arial"/>
                <w:szCs w:val="20"/>
              </w:rPr>
              <w:t>ŠTEVILO STORITEV NA TERAPEVTA</w:t>
            </w:r>
          </w:p>
        </w:tc>
      </w:tr>
      <w:tr w:rsidR="00FE461F" w:rsidRPr="005E4BEA" w14:paraId="6E03DEF9" w14:textId="77777777" w:rsidTr="0016774B">
        <w:trPr>
          <w:trHeight w:val="40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A288F" w14:textId="77777777" w:rsidR="00FE461F" w:rsidRPr="005E4BEA" w:rsidRDefault="00FE461F" w:rsidP="00FE461F">
            <w:pPr>
              <w:spacing w:line="240" w:lineRule="auto"/>
              <w:rPr>
                <w:rFonts w:cs="Arial"/>
                <w:szCs w:val="20"/>
              </w:rPr>
            </w:pPr>
            <w:r w:rsidRPr="005E4BEA">
              <w:rPr>
                <w:rFonts w:cs="Arial"/>
                <w:szCs w:val="20"/>
              </w:rPr>
              <w:t xml:space="preserve">  STROKOVNI PROFIL  </w:t>
            </w:r>
          </w:p>
        </w:tc>
        <w:tc>
          <w:tcPr>
            <w:tcW w:w="1276" w:type="dxa"/>
            <w:tcBorders>
              <w:top w:val="nil"/>
              <w:left w:val="nil"/>
              <w:bottom w:val="single" w:sz="4" w:space="0" w:color="auto"/>
              <w:right w:val="single" w:sz="4" w:space="0" w:color="auto"/>
            </w:tcBorders>
            <w:shd w:val="clear" w:color="auto" w:fill="auto"/>
            <w:vAlign w:val="center"/>
            <w:hideMark/>
          </w:tcPr>
          <w:p w14:paraId="5F82C9F1" w14:textId="77777777" w:rsidR="00FE461F" w:rsidRPr="005E4BEA" w:rsidRDefault="00FE461F" w:rsidP="00FE461F">
            <w:pPr>
              <w:spacing w:line="240" w:lineRule="auto"/>
              <w:jc w:val="center"/>
              <w:rPr>
                <w:rFonts w:cs="Arial"/>
                <w:szCs w:val="20"/>
              </w:rPr>
            </w:pPr>
            <w:r w:rsidRPr="005E4BEA">
              <w:rPr>
                <w:rFonts w:cs="Arial"/>
                <w:szCs w:val="20"/>
              </w:rPr>
              <w:t>CKSG Portorož</w:t>
            </w:r>
          </w:p>
        </w:tc>
        <w:tc>
          <w:tcPr>
            <w:tcW w:w="1275" w:type="dxa"/>
            <w:tcBorders>
              <w:top w:val="nil"/>
              <w:left w:val="nil"/>
              <w:bottom w:val="single" w:sz="4" w:space="0" w:color="auto"/>
              <w:right w:val="single" w:sz="4" w:space="0" w:color="auto"/>
            </w:tcBorders>
            <w:shd w:val="clear" w:color="auto" w:fill="auto"/>
            <w:vAlign w:val="center"/>
            <w:hideMark/>
          </w:tcPr>
          <w:p w14:paraId="378A1425" w14:textId="77777777" w:rsidR="00FE461F" w:rsidRPr="005E4BEA" w:rsidRDefault="00FE461F" w:rsidP="00FE461F">
            <w:pPr>
              <w:spacing w:line="240" w:lineRule="auto"/>
              <w:jc w:val="center"/>
              <w:rPr>
                <w:rFonts w:cs="Arial"/>
                <w:szCs w:val="20"/>
              </w:rPr>
            </w:pPr>
            <w:r w:rsidRPr="005E4BEA">
              <w:rPr>
                <w:rFonts w:cs="Arial"/>
                <w:szCs w:val="20"/>
              </w:rPr>
              <w:t>ZGN Ljubljana</w:t>
            </w:r>
          </w:p>
        </w:tc>
        <w:tc>
          <w:tcPr>
            <w:tcW w:w="1134" w:type="dxa"/>
            <w:tcBorders>
              <w:top w:val="nil"/>
              <w:left w:val="nil"/>
              <w:bottom w:val="single" w:sz="4" w:space="0" w:color="auto"/>
              <w:right w:val="single" w:sz="4" w:space="0" w:color="auto"/>
            </w:tcBorders>
            <w:shd w:val="clear" w:color="auto" w:fill="auto"/>
            <w:vAlign w:val="center"/>
            <w:hideMark/>
          </w:tcPr>
          <w:p w14:paraId="47339101" w14:textId="77777777" w:rsidR="00FE461F" w:rsidRPr="005E4BEA" w:rsidRDefault="00FE461F" w:rsidP="00FE461F">
            <w:pPr>
              <w:spacing w:line="240" w:lineRule="auto"/>
              <w:jc w:val="center"/>
              <w:rPr>
                <w:rFonts w:cs="Arial"/>
                <w:szCs w:val="20"/>
              </w:rPr>
            </w:pPr>
            <w:r w:rsidRPr="005E4BEA">
              <w:rPr>
                <w:rFonts w:cs="Arial"/>
                <w:szCs w:val="20"/>
              </w:rPr>
              <w:t>CSG Maribor</w:t>
            </w:r>
          </w:p>
        </w:tc>
        <w:tc>
          <w:tcPr>
            <w:tcW w:w="993" w:type="dxa"/>
            <w:tcBorders>
              <w:top w:val="nil"/>
              <w:left w:val="nil"/>
              <w:bottom w:val="single" w:sz="4" w:space="0" w:color="auto"/>
              <w:right w:val="single" w:sz="4" w:space="0" w:color="auto"/>
            </w:tcBorders>
            <w:shd w:val="clear" w:color="auto" w:fill="auto"/>
            <w:noWrap/>
            <w:vAlign w:val="center"/>
            <w:hideMark/>
          </w:tcPr>
          <w:p w14:paraId="204EAABB" w14:textId="77777777" w:rsidR="00FE461F" w:rsidRPr="005E4BEA" w:rsidRDefault="00FE461F" w:rsidP="00FE461F">
            <w:pPr>
              <w:spacing w:line="240" w:lineRule="auto"/>
              <w:jc w:val="center"/>
              <w:rPr>
                <w:rFonts w:cs="Arial"/>
                <w:szCs w:val="20"/>
              </w:rPr>
            </w:pPr>
            <w:r w:rsidRPr="005E4BEA">
              <w:rPr>
                <w:rFonts w:cs="Arial"/>
                <w:szCs w:val="20"/>
              </w:rPr>
              <w:t xml:space="preserve">  Skupaj  </w:t>
            </w:r>
          </w:p>
        </w:tc>
        <w:tc>
          <w:tcPr>
            <w:tcW w:w="850" w:type="dxa"/>
            <w:vMerge/>
            <w:tcBorders>
              <w:left w:val="nil"/>
              <w:bottom w:val="single" w:sz="4" w:space="0" w:color="auto"/>
              <w:right w:val="single" w:sz="4" w:space="0" w:color="auto"/>
            </w:tcBorders>
            <w:shd w:val="clear" w:color="auto" w:fill="auto"/>
            <w:vAlign w:val="center"/>
            <w:hideMark/>
          </w:tcPr>
          <w:p w14:paraId="04F899D6" w14:textId="77777777" w:rsidR="00FE461F" w:rsidRPr="005E4BEA" w:rsidRDefault="00FE461F" w:rsidP="00FE461F">
            <w:pPr>
              <w:spacing w:line="240" w:lineRule="auto"/>
              <w:jc w:val="center"/>
              <w:rPr>
                <w:rFonts w:cs="Arial"/>
                <w:szCs w:val="20"/>
              </w:rPr>
            </w:pPr>
          </w:p>
        </w:tc>
        <w:tc>
          <w:tcPr>
            <w:tcW w:w="852" w:type="dxa"/>
            <w:vMerge/>
            <w:tcBorders>
              <w:left w:val="nil"/>
              <w:bottom w:val="single" w:sz="4" w:space="0" w:color="auto"/>
              <w:right w:val="single" w:sz="4" w:space="0" w:color="auto"/>
            </w:tcBorders>
            <w:shd w:val="clear" w:color="auto" w:fill="auto"/>
            <w:vAlign w:val="center"/>
            <w:hideMark/>
          </w:tcPr>
          <w:p w14:paraId="5032484F" w14:textId="77777777" w:rsidR="00FE461F" w:rsidRPr="005E4BEA" w:rsidRDefault="00FE461F" w:rsidP="00FE461F">
            <w:pPr>
              <w:spacing w:line="240" w:lineRule="auto"/>
              <w:jc w:val="center"/>
              <w:rPr>
                <w:rFonts w:cs="Arial"/>
                <w:szCs w:val="20"/>
              </w:rPr>
            </w:pPr>
          </w:p>
        </w:tc>
        <w:tc>
          <w:tcPr>
            <w:tcW w:w="1092" w:type="dxa"/>
            <w:vMerge/>
            <w:tcBorders>
              <w:left w:val="nil"/>
              <w:bottom w:val="single" w:sz="4" w:space="0" w:color="auto"/>
              <w:right w:val="single" w:sz="4" w:space="0" w:color="auto"/>
            </w:tcBorders>
            <w:shd w:val="clear" w:color="auto" w:fill="auto"/>
            <w:vAlign w:val="center"/>
            <w:hideMark/>
          </w:tcPr>
          <w:p w14:paraId="340CE6ED" w14:textId="77777777" w:rsidR="00FE461F" w:rsidRPr="005E4BEA" w:rsidRDefault="00FE461F" w:rsidP="00FE461F">
            <w:pPr>
              <w:spacing w:line="240" w:lineRule="auto"/>
              <w:jc w:val="center"/>
              <w:rPr>
                <w:rFonts w:cs="Arial"/>
                <w:szCs w:val="20"/>
              </w:rPr>
            </w:pPr>
          </w:p>
        </w:tc>
      </w:tr>
      <w:tr w:rsidR="00FE461F" w:rsidRPr="005E4BEA" w14:paraId="45D491D6" w14:textId="77777777" w:rsidTr="0016774B">
        <w:trPr>
          <w:trHeight w:hRule="exact" w:val="468"/>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DDE3C" w14:textId="77777777" w:rsidR="00FE461F" w:rsidRPr="005E4BEA" w:rsidRDefault="00FE461F" w:rsidP="00FE461F">
            <w:pPr>
              <w:spacing w:line="240" w:lineRule="auto"/>
              <w:rPr>
                <w:rFonts w:cs="Arial"/>
                <w:b/>
                <w:bCs/>
                <w:szCs w:val="20"/>
              </w:rPr>
            </w:pPr>
            <w:r w:rsidRPr="005E4BEA">
              <w:rPr>
                <w:rFonts w:cs="Arial"/>
                <w:b/>
                <w:bCs/>
                <w:szCs w:val="20"/>
              </w:rPr>
              <w:t>PROGRAM ZA OTROKE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6D4D" w14:textId="77777777" w:rsidR="00FE461F" w:rsidRPr="005E4BEA" w:rsidRDefault="00FE461F" w:rsidP="00FE461F">
            <w:pPr>
              <w:spacing w:line="240" w:lineRule="auto"/>
              <w:rPr>
                <w:rFonts w:cs="Arial"/>
                <w:b/>
                <w:bCs/>
                <w:szCs w:val="20"/>
              </w:rPr>
            </w:pPr>
            <w:r w:rsidRPr="005E4BEA">
              <w:rPr>
                <w:rFonts w:cs="Arial"/>
                <w:b/>
                <w:bCs/>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50415" w14:textId="77777777" w:rsidR="00FE461F" w:rsidRPr="005E4BEA" w:rsidRDefault="00FE461F" w:rsidP="00FE461F">
            <w:pPr>
              <w:spacing w:line="240" w:lineRule="auto"/>
              <w:rPr>
                <w:rFonts w:cs="Arial"/>
                <w:b/>
                <w:bCs/>
                <w:szCs w:val="20"/>
              </w:rPr>
            </w:pPr>
            <w:r w:rsidRPr="005E4BEA">
              <w:rPr>
                <w:rFonts w:cs="Arial"/>
                <w:b/>
                <w:bCs/>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A5CB0" w14:textId="77777777" w:rsidR="00FE461F" w:rsidRPr="005E4BEA" w:rsidRDefault="00FE461F" w:rsidP="00FE461F">
            <w:pPr>
              <w:spacing w:line="240" w:lineRule="auto"/>
              <w:rPr>
                <w:rFonts w:cs="Arial"/>
                <w:b/>
                <w:bCs/>
                <w:szCs w:val="20"/>
              </w:rPr>
            </w:pPr>
            <w:r w:rsidRPr="005E4BEA">
              <w:rPr>
                <w:rFonts w:cs="Arial"/>
                <w:b/>
                <w:bCs/>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BB94" w14:textId="77777777" w:rsidR="00FE461F" w:rsidRPr="005E4BEA" w:rsidRDefault="00FE461F" w:rsidP="00FE461F">
            <w:pPr>
              <w:spacing w:line="240" w:lineRule="auto"/>
              <w:rPr>
                <w:rFonts w:cs="Arial"/>
                <w:b/>
                <w:bCs/>
                <w:szCs w:val="20"/>
              </w:rPr>
            </w:pPr>
            <w:r w:rsidRPr="005E4BEA">
              <w:rPr>
                <w:rFonts w:cs="Arial"/>
                <w:b/>
                <w:bCs/>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0F7B" w14:textId="77777777" w:rsidR="00FE461F" w:rsidRPr="005E4BEA" w:rsidRDefault="00FE461F" w:rsidP="00FE461F">
            <w:pPr>
              <w:spacing w:line="240" w:lineRule="auto"/>
              <w:rPr>
                <w:rFonts w:cs="Arial"/>
                <w:b/>
                <w:bCs/>
                <w:szCs w:val="20"/>
              </w:rPr>
            </w:pPr>
            <w:r w:rsidRPr="005E4BEA">
              <w:rPr>
                <w:rFonts w:cs="Arial"/>
                <w:b/>
                <w:bCs/>
                <w:szCs w:val="20"/>
              </w:rPr>
              <w:t>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BF1F" w14:textId="77777777" w:rsidR="00FE461F" w:rsidRPr="005E4BEA" w:rsidRDefault="00FE461F" w:rsidP="00FE461F">
            <w:pPr>
              <w:spacing w:line="240" w:lineRule="auto"/>
              <w:rPr>
                <w:rFonts w:cs="Arial"/>
                <w:b/>
                <w:bCs/>
                <w:szCs w:val="20"/>
              </w:rPr>
            </w:pPr>
            <w:r w:rsidRPr="005E4BEA">
              <w:rPr>
                <w:rFonts w:cs="Arial"/>
                <w:b/>
                <w:bCs/>
                <w:szCs w:val="20"/>
              </w:rPr>
              <w:t> </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1CF24" w14:textId="77777777" w:rsidR="00FE461F" w:rsidRPr="005E4BEA" w:rsidRDefault="00FE461F" w:rsidP="00FE461F">
            <w:pPr>
              <w:spacing w:line="240" w:lineRule="auto"/>
              <w:rPr>
                <w:rFonts w:cs="Arial"/>
                <w:b/>
                <w:bCs/>
                <w:szCs w:val="20"/>
              </w:rPr>
            </w:pPr>
            <w:r w:rsidRPr="005E4BEA">
              <w:rPr>
                <w:rFonts w:cs="Arial"/>
                <w:b/>
                <w:bCs/>
                <w:szCs w:val="20"/>
              </w:rPr>
              <w:t> </w:t>
            </w:r>
          </w:p>
        </w:tc>
      </w:tr>
      <w:tr w:rsidR="00FE461F" w:rsidRPr="005E4BEA" w14:paraId="3E98BEF2" w14:textId="77777777" w:rsidTr="005C5B4B">
        <w:trPr>
          <w:trHeight w:hRule="exact" w:val="70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9EF4" w14:textId="77777777" w:rsidR="00FE461F" w:rsidRPr="005E4BEA" w:rsidRDefault="00FE461F" w:rsidP="00FE461F">
            <w:pPr>
              <w:spacing w:line="240" w:lineRule="auto"/>
              <w:rPr>
                <w:rFonts w:cs="Arial"/>
                <w:szCs w:val="20"/>
              </w:rPr>
            </w:pPr>
            <w:r w:rsidRPr="005E4BEA">
              <w:rPr>
                <w:rFonts w:cs="Arial"/>
                <w:szCs w:val="20"/>
              </w:rPr>
              <w:t xml:space="preserve">zdravnik spec. ORL, </w:t>
            </w:r>
            <w:proofErr w:type="spellStart"/>
            <w:r w:rsidRPr="005E4BEA">
              <w:rPr>
                <w:rFonts w:cs="Arial"/>
                <w:szCs w:val="20"/>
              </w:rPr>
              <w:t>foniater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DB2D0" w14:textId="77777777" w:rsidR="00FE461F" w:rsidRPr="005E4BEA" w:rsidRDefault="00FE461F" w:rsidP="00FE461F">
            <w:pPr>
              <w:spacing w:line="240" w:lineRule="auto"/>
              <w:jc w:val="center"/>
              <w:rPr>
                <w:rFonts w:cs="Arial"/>
                <w:szCs w:val="20"/>
              </w:rPr>
            </w:pPr>
            <w:r w:rsidRPr="005E4BEA">
              <w:rPr>
                <w:rFonts w:cs="Arial"/>
                <w:szCs w:val="20"/>
              </w:rPr>
              <w:t>0,66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8392" w14:textId="77777777" w:rsidR="00FE461F" w:rsidRPr="005E4BEA" w:rsidRDefault="00FE461F" w:rsidP="00FE461F">
            <w:pPr>
              <w:spacing w:line="240" w:lineRule="auto"/>
              <w:jc w:val="center"/>
              <w:rPr>
                <w:rFonts w:cs="Arial"/>
                <w:szCs w:val="20"/>
              </w:rPr>
            </w:pPr>
            <w:r w:rsidRPr="005E4BEA">
              <w:rPr>
                <w:rFonts w:cs="Arial"/>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13FBE" w14:textId="77777777" w:rsidR="00FE461F" w:rsidRPr="005E4BEA" w:rsidRDefault="00FE461F" w:rsidP="00FE461F">
            <w:pPr>
              <w:spacing w:line="240" w:lineRule="auto"/>
              <w:jc w:val="center"/>
              <w:rPr>
                <w:rFonts w:cs="Arial"/>
                <w:szCs w:val="20"/>
              </w:rPr>
            </w:pPr>
            <w:r w:rsidRPr="005E4BEA">
              <w:rPr>
                <w:rFonts w:cs="Arial"/>
                <w:szCs w:val="20"/>
              </w:rPr>
              <w:t>0,66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55B6" w14:textId="77777777" w:rsidR="00FE461F" w:rsidRPr="005E4BEA" w:rsidRDefault="00FE461F" w:rsidP="00FE461F">
            <w:pPr>
              <w:spacing w:line="240" w:lineRule="auto"/>
              <w:jc w:val="center"/>
              <w:rPr>
                <w:rFonts w:cs="Arial"/>
                <w:bCs/>
                <w:szCs w:val="20"/>
              </w:rPr>
            </w:pPr>
            <w:r w:rsidRPr="005E4BEA">
              <w:rPr>
                <w:rFonts w:cs="Arial"/>
                <w:bCs/>
                <w:szCs w:val="20"/>
              </w:rPr>
              <w:t>2,32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FD9FE" w14:textId="77777777" w:rsidR="00FE461F" w:rsidRPr="005E4BEA" w:rsidRDefault="00FE461F" w:rsidP="00FE461F">
            <w:pPr>
              <w:spacing w:line="240" w:lineRule="auto"/>
              <w:jc w:val="center"/>
              <w:rPr>
                <w:rFonts w:cs="Arial"/>
                <w:szCs w:val="20"/>
              </w:rPr>
            </w:pPr>
            <w:r w:rsidRPr="005E4BEA">
              <w:rPr>
                <w:rFonts w:cs="Arial"/>
                <w:szCs w:val="20"/>
              </w:rPr>
              <w:t>54</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CBED"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1718" w14:textId="77777777" w:rsidR="00FE461F" w:rsidRPr="005E4BEA" w:rsidRDefault="00FE461F" w:rsidP="00FE461F">
            <w:pPr>
              <w:spacing w:line="240" w:lineRule="auto"/>
              <w:jc w:val="center"/>
              <w:rPr>
                <w:rFonts w:cs="Arial"/>
                <w:szCs w:val="20"/>
              </w:rPr>
            </w:pPr>
            <w:r w:rsidRPr="005E4BEA">
              <w:rPr>
                <w:rFonts w:cs="Arial"/>
                <w:szCs w:val="20"/>
              </w:rPr>
              <w:t>25.233</w:t>
            </w:r>
          </w:p>
        </w:tc>
      </w:tr>
      <w:tr w:rsidR="00FE461F" w:rsidRPr="005E4BEA" w14:paraId="48261DB4" w14:textId="77777777" w:rsidTr="0016774B">
        <w:trPr>
          <w:trHeight w:hRule="exac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31D8" w14:textId="77777777" w:rsidR="00FE461F" w:rsidRPr="005E4BEA" w:rsidRDefault="00FE461F" w:rsidP="00FE461F">
            <w:pPr>
              <w:spacing w:line="240" w:lineRule="auto"/>
              <w:rPr>
                <w:rFonts w:cs="Arial"/>
                <w:szCs w:val="20"/>
              </w:rPr>
            </w:pPr>
            <w:r w:rsidRPr="005E4BEA">
              <w:rPr>
                <w:rFonts w:cs="Arial"/>
                <w:szCs w:val="20"/>
              </w:rPr>
              <w:t>zdravnik spec. ped.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9EDC78" w14:textId="77777777" w:rsidR="00FE461F" w:rsidRPr="005E4BEA" w:rsidRDefault="00FE461F" w:rsidP="00FE461F">
            <w:pPr>
              <w:spacing w:line="240" w:lineRule="auto"/>
              <w:jc w:val="center"/>
              <w:rPr>
                <w:rFonts w:cs="Arial"/>
                <w:szCs w:val="20"/>
              </w:rPr>
            </w:pPr>
            <w:r w:rsidRPr="005E4BEA">
              <w:rPr>
                <w:rFonts w:cs="Arial"/>
                <w:szCs w:val="20"/>
              </w:rPr>
              <w:t>1,00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D7CDFDB" w14:textId="77777777" w:rsidR="00FE461F" w:rsidRPr="005E4BEA" w:rsidRDefault="00FE461F" w:rsidP="00FE461F">
            <w:pPr>
              <w:spacing w:line="240" w:lineRule="auto"/>
              <w:jc w:val="center"/>
              <w:rPr>
                <w:rFonts w:cs="Arial"/>
                <w:szCs w:val="20"/>
              </w:rPr>
            </w:pPr>
            <w:r w:rsidRPr="005E4BEA">
              <w:rPr>
                <w:rFonts w:cs="Arial"/>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A49C91" w14:textId="77777777" w:rsidR="00FE461F" w:rsidRPr="005E4BEA" w:rsidRDefault="00FE461F" w:rsidP="00FE461F">
            <w:pPr>
              <w:spacing w:line="240" w:lineRule="auto"/>
              <w:jc w:val="center"/>
              <w:rPr>
                <w:rFonts w:cs="Arial"/>
                <w:szCs w:val="20"/>
              </w:rPr>
            </w:pPr>
            <w:r w:rsidRPr="005E4BEA">
              <w:rPr>
                <w:rFonts w:cs="Arial"/>
                <w:szCs w:val="20"/>
              </w:rPr>
              <w:t>0,33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8172F81" w14:textId="77777777" w:rsidR="00FE461F" w:rsidRPr="005E4BEA" w:rsidRDefault="00FE461F" w:rsidP="00FE461F">
            <w:pPr>
              <w:spacing w:line="240" w:lineRule="auto"/>
              <w:jc w:val="center"/>
              <w:rPr>
                <w:rFonts w:cs="Arial"/>
                <w:bCs/>
                <w:szCs w:val="20"/>
              </w:rPr>
            </w:pPr>
            <w:r w:rsidRPr="005E4BEA">
              <w:rPr>
                <w:rFonts w:cs="Arial"/>
                <w:bCs/>
                <w:szCs w:val="20"/>
              </w:rPr>
              <w:t>2,33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8656FB" w14:textId="77777777" w:rsidR="00FE461F" w:rsidRPr="005E4BEA" w:rsidRDefault="00FE461F" w:rsidP="00FE461F">
            <w:pPr>
              <w:spacing w:line="240" w:lineRule="auto"/>
              <w:jc w:val="center"/>
              <w:rPr>
                <w:rFonts w:cs="Arial"/>
                <w:szCs w:val="20"/>
              </w:rPr>
            </w:pPr>
            <w:r w:rsidRPr="005E4BEA">
              <w:rPr>
                <w:rFonts w:cs="Arial"/>
                <w:szCs w:val="20"/>
              </w:rPr>
              <w:t>54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8C3C356"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79298026" w14:textId="77777777" w:rsidR="00FE461F" w:rsidRPr="005E4BEA" w:rsidRDefault="00FE461F" w:rsidP="00FE461F">
            <w:pPr>
              <w:spacing w:line="240" w:lineRule="auto"/>
              <w:jc w:val="center"/>
              <w:rPr>
                <w:rFonts w:cs="Arial"/>
                <w:szCs w:val="20"/>
              </w:rPr>
            </w:pPr>
            <w:r w:rsidRPr="005E4BEA">
              <w:rPr>
                <w:rFonts w:cs="Arial"/>
                <w:szCs w:val="20"/>
              </w:rPr>
              <w:t>25.233</w:t>
            </w:r>
          </w:p>
        </w:tc>
      </w:tr>
      <w:tr w:rsidR="00FE461F" w:rsidRPr="005E4BEA" w14:paraId="3087FB47" w14:textId="77777777" w:rsidTr="0016774B">
        <w:trPr>
          <w:trHeight w:hRule="exac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E4B71" w14:textId="77777777" w:rsidR="00FE461F" w:rsidRPr="005E4BEA" w:rsidRDefault="00FE461F" w:rsidP="00FE461F">
            <w:pPr>
              <w:spacing w:line="240" w:lineRule="auto"/>
              <w:rPr>
                <w:rFonts w:cs="Arial"/>
                <w:szCs w:val="20"/>
              </w:rPr>
            </w:pPr>
            <w:r w:rsidRPr="005E4BEA">
              <w:rPr>
                <w:rFonts w:cs="Arial"/>
                <w:szCs w:val="20"/>
              </w:rPr>
              <w:t>zdravnik spec. pediater</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B13213" w14:textId="77777777" w:rsidR="00FE461F" w:rsidRPr="005E4BEA" w:rsidRDefault="00FE461F" w:rsidP="00FE461F">
            <w:pPr>
              <w:spacing w:line="240" w:lineRule="auto"/>
              <w:jc w:val="center"/>
              <w:rPr>
                <w:rFonts w:cs="Arial"/>
                <w:szCs w:val="20"/>
              </w:rPr>
            </w:pPr>
            <w:r w:rsidRPr="005E4BEA">
              <w:rPr>
                <w:rFonts w:cs="Arial"/>
                <w:szCs w:val="20"/>
              </w:rPr>
              <w:t>0,33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7DADED6" w14:textId="77777777" w:rsidR="00FE461F" w:rsidRPr="005E4BEA" w:rsidRDefault="00FE461F" w:rsidP="00FE461F">
            <w:pPr>
              <w:spacing w:line="240" w:lineRule="auto"/>
              <w:jc w:val="center"/>
              <w:rPr>
                <w:rFonts w:cs="Arial"/>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A3B313" w14:textId="77777777" w:rsidR="00FE461F" w:rsidRPr="005E4BEA" w:rsidRDefault="00FE461F" w:rsidP="00FE461F">
            <w:pPr>
              <w:spacing w:line="240" w:lineRule="auto"/>
              <w:jc w:val="center"/>
              <w:rPr>
                <w:rFonts w:cs="Arial"/>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D19B8FD" w14:textId="77777777" w:rsidR="00FE461F" w:rsidRPr="005E4BEA" w:rsidRDefault="00FE461F" w:rsidP="00FE461F">
            <w:pPr>
              <w:spacing w:line="240" w:lineRule="auto"/>
              <w:jc w:val="center"/>
              <w:rPr>
                <w:rFonts w:cs="Arial"/>
                <w:bCs/>
                <w:szCs w:val="20"/>
              </w:rPr>
            </w:pPr>
            <w:r w:rsidRPr="005E4BEA">
              <w:rPr>
                <w:rFonts w:cs="Arial"/>
                <w:bCs/>
                <w:szCs w:val="20"/>
              </w:rPr>
              <w:t>0,33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DAC0FE" w14:textId="77777777" w:rsidR="00FE461F" w:rsidRPr="005E4BEA" w:rsidRDefault="00FE461F" w:rsidP="00FE461F">
            <w:pPr>
              <w:spacing w:line="240" w:lineRule="auto"/>
              <w:jc w:val="center"/>
              <w:rPr>
                <w:rFonts w:cs="Arial"/>
                <w:szCs w:val="20"/>
              </w:rPr>
            </w:pPr>
            <w:r w:rsidRPr="005E4BEA">
              <w:rPr>
                <w:rFonts w:cs="Arial"/>
                <w:szCs w:val="20"/>
              </w:rPr>
              <w:t>54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2A8625"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F692A48" w14:textId="77777777" w:rsidR="00FE461F" w:rsidRPr="005E4BEA" w:rsidRDefault="00FE461F" w:rsidP="00FE461F">
            <w:pPr>
              <w:spacing w:line="240" w:lineRule="auto"/>
              <w:jc w:val="center"/>
              <w:rPr>
                <w:rFonts w:cs="Arial"/>
                <w:szCs w:val="20"/>
              </w:rPr>
            </w:pPr>
            <w:r w:rsidRPr="005E4BEA">
              <w:rPr>
                <w:rFonts w:cs="Arial"/>
                <w:szCs w:val="20"/>
              </w:rPr>
              <w:t>25.233</w:t>
            </w:r>
          </w:p>
        </w:tc>
      </w:tr>
      <w:tr w:rsidR="00FE461F" w:rsidRPr="005E4BEA" w14:paraId="12E79784"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BBF94A7" w14:textId="77777777" w:rsidR="00FE461F" w:rsidRPr="005E4BEA" w:rsidRDefault="00FE461F" w:rsidP="00FE461F">
            <w:pPr>
              <w:spacing w:line="240" w:lineRule="auto"/>
              <w:rPr>
                <w:rFonts w:cs="Arial"/>
                <w:szCs w:val="20"/>
              </w:rPr>
            </w:pPr>
            <w:r w:rsidRPr="005E4BEA">
              <w:rPr>
                <w:rFonts w:cs="Arial"/>
                <w:szCs w:val="20"/>
              </w:rPr>
              <w:t>klinični psiholog*</w:t>
            </w:r>
          </w:p>
        </w:tc>
        <w:tc>
          <w:tcPr>
            <w:tcW w:w="1276" w:type="dxa"/>
            <w:tcBorders>
              <w:top w:val="nil"/>
              <w:left w:val="nil"/>
              <w:bottom w:val="single" w:sz="4" w:space="0" w:color="auto"/>
              <w:right w:val="single" w:sz="4" w:space="0" w:color="auto"/>
            </w:tcBorders>
            <w:shd w:val="clear" w:color="auto" w:fill="auto"/>
            <w:noWrap/>
            <w:vAlign w:val="center"/>
            <w:hideMark/>
          </w:tcPr>
          <w:p w14:paraId="2FB6BDE9" w14:textId="77777777" w:rsidR="00FE461F" w:rsidRPr="005E4BEA" w:rsidRDefault="00FE461F" w:rsidP="00FE461F">
            <w:pPr>
              <w:spacing w:line="240" w:lineRule="auto"/>
              <w:jc w:val="center"/>
              <w:rPr>
                <w:rFonts w:cs="Arial"/>
                <w:szCs w:val="20"/>
              </w:rPr>
            </w:pPr>
            <w:r w:rsidRPr="005E4BEA">
              <w:rPr>
                <w:rFonts w:cs="Arial"/>
                <w:szCs w:val="20"/>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10A05536" w14:textId="77777777" w:rsidR="00FE461F" w:rsidRPr="005E4BEA" w:rsidRDefault="00FE461F" w:rsidP="00FE461F">
            <w:pPr>
              <w:spacing w:line="240" w:lineRule="auto"/>
              <w:jc w:val="center"/>
              <w:rPr>
                <w:rFonts w:cs="Arial"/>
                <w:szCs w:val="20"/>
              </w:rPr>
            </w:pPr>
            <w:r w:rsidRPr="005E4BEA">
              <w:rPr>
                <w:rFonts w:cs="Arial"/>
                <w:szCs w:val="20"/>
              </w:rPr>
              <w:t>2,00</w:t>
            </w:r>
          </w:p>
        </w:tc>
        <w:tc>
          <w:tcPr>
            <w:tcW w:w="1134" w:type="dxa"/>
            <w:tcBorders>
              <w:top w:val="nil"/>
              <w:left w:val="nil"/>
              <w:bottom w:val="single" w:sz="4" w:space="0" w:color="auto"/>
              <w:right w:val="single" w:sz="4" w:space="0" w:color="auto"/>
            </w:tcBorders>
            <w:shd w:val="clear" w:color="auto" w:fill="FFFF00"/>
            <w:noWrap/>
            <w:vAlign w:val="center"/>
            <w:hideMark/>
          </w:tcPr>
          <w:p w14:paraId="71F1A99E" w14:textId="77777777" w:rsidR="00FE461F" w:rsidRPr="005E4BEA" w:rsidRDefault="00FE461F" w:rsidP="00FE461F">
            <w:pPr>
              <w:spacing w:line="240" w:lineRule="auto"/>
              <w:jc w:val="center"/>
              <w:rPr>
                <w:rFonts w:cs="Arial"/>
                <w:b/>
                <w:szCs w:val="20"/>
              </w:rPr>
            </w:pPr>
            <w:r w:rsidRPr="005E4BEA">
              <w:rPr>
                <w:rFonts w:cs="Arial"/>
                <w:b/>
                <w:szCs w:val="20"/>
              </w:rPr>
              <w:t>2,00</w:t>
            </w:r>
          </w:p>
        </w:tc>
        <w:tc>
          <w:tcPr>
            <w:tcW w:w="993" w:type="dxa"/>
            <w:tcBorders>
              <w:top w:val="nil"/>
              <w:left w:val="nil"/>
              <w:bottom w:val="single" w:sz="4" w:space="0" w:color="auto"/>
              <w:right w:val="single" w:sz="4" w:space="0" w:color="auto"/>
            </w:tcBorders>
            <w:shd w:val="clear" w:color="auto" w:fill="FFFF00"/>
            <w:noWrap/>
            <w:vAlign w:val="center"/>
            <w:hideMark/>
          </w:tcPr>
          <w:p w14:paraId="5F050AA8" w14:textId="77777777" w:rsidR="00FE461F" w:rsidRPr="005E4BEA" w:rsidRDefault="00FE461F" w:rsidP="00FE461F">
            <w:pPr>
              <w:spacing w:line="240" w:lineRule="auto"/>
              <w:jc w:val="center"/>
              <w:rPr>
                <w:rFonts w:cs="Arial"/>
                <w:b/>
                <w:szCs w:val="20"/>
              </w:rPr>
            </w:pPr>
            <w:r w:rsidRPr="005E4BEA">
              <w:rPr>
                <w:rFonts w:cs="Arial"/>
                <w:b/>
                <w:szCs w:val="20"/>
              </w:rPr>
              <w:t>5,00</w:t>
            </w:r>
          </w:p>
        </w:tc>
        <w:tc>
          <w:tcPr>
            <w:tcW w:w="850" w:type="dxa"/>
            <w:tcBorders>
              <w:top w:val="nil"/>
              <w:left w:val="nil"/>
              <w:bottom w:val="single" w:sz="4" w:space="0" w:color="auto"/>
              <w:right w:val="single" w:sz="4" w:space="0" w:color="auto"/>
            </w:tcBorders>
            <w:shd w:val="clear" w:color="auto" w:fill="auto"/>
            <w:noWrap/>
            <w:vAlign w:val="center"/>
            <w:hideMark/>
          </w:tcPr>
          <w:p w14:paraId="5F76BD66" w14:textId="77777777" w:rsidR="00FE461F" w:rsidRPr="005E4BEA" w:rsidRDefault="00FE461F" w:rsidP="00FE461F">
            <w:pPr>
              <w:spacing w:line="240" w:lineRule="auto"/>
              <w:jc w:val="center"/>
              <w:rPr>
                <w:rFonts w:cs="Arial"/>
                <w:szCs w:val="20"/>
              </w:rPr>
            </w:pPr>
            <w:r w:rsidRPr="005E4BEA">
              <w:rPr>
                <w:rFonts w:cs="Arial"/>
                <w:szCs w:val="20"/>
              </w:rPr>
              <w:t>49</w:t>
            </w:r>
          </w:p>
        </w:tc>
        <w:tc>
          <w:tcPr>
            <w:tcW w:w="852" w:type="dxa"/>
            <w:tcBorders>
              <w:top w:val="nil"/>
              <w:left w:val="nil"/>
              <w:bottom w:val="single" w:sz="4" w:space="0" w:color="auto"/>
              <w:right w:val="single" w:sz="4" w:space="0" w:color="auto"/>
            </w:tcBorders>
            <w:shd w:val="clear" w:color="auto" w:fill="auto"/>
            <w:noWrap/>
            <w:vAlign w:val="center"/>
            <w:hideMark/>
          </w:tcPr>
          <w:p w14:paraId="694CE13F"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456A1D01" w14:textId="77777777" w:rsidR="00FE461F" w:rsidRPr="005E4BEA" w:rsidRDefault="00FE461F" w:rsidP="00FE461F">
            <w:pPr>
              <w:spacing w:line="240" w:lineRule="auto"/>
              <w:jc w:val="center"/>
              <w:rPr>
                <w:rFonts w:cs="Arial"/>
                <w:szCs w:val="20"/>
              </w:rPr>
            </w:pPr>
            <w:r w:rsidRPr="005E4BEA">
              <w:rPr>
                <w:rFonts w:cs="Arial"/>
                <w:szCs w:val="20"/>
              </w:rPr>
              <w:t>21.942</w:t>
            </w:r>
          </w:p>
        </w:tc>
      </w:tr>
      <w:tr w:rsidR="00FE461F" w:rsidRPr="005E4BEA" w14:paraId="03DCC1E0"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vAlign w:val="center"/>
          </w:tcPr>
          <w:p w14:paraId="59AC68DC" w14:textId="77777777" w:rsidR="00FE461F" w:rsidRPr="005E4BEA" w:rsidRDefault="00FE461F" w:rsidP="00FE461F">
            <w:pPr>
              <w:spacing w:line="240" w:lineRule="auto"/>
              <w:rPr>
                <w:rFonts w:cs="Arial"/>
                <w:szCs w:val="20"/>
              </w:rPr>
            </w:pPr>
            <w:r w:rsidRPr="005E4BEA">
              <w:rPr>
                <w:rFonts w:cs="Arial"/>
                <w:szCs w:val="20"/>
              </w:rPr>
              <w:t>klinični logoped**</w:t>
            </w:r>
          </w:p>
        </w:tc>
        <w:tc>
          <w:tcPr>
            <w:tcW w:w="1276" w:type="dxa"/>
            <w:tcBorders>
              <w:top w:val="nil"/>
              <w:left w:val="nil"/>
              <w:bottom w:val="single" w:sz="4" w:space="0" w:color="auto"/>
              <w:right w:val="single" w:sz="4" w:space="0" w:color="auto"/>
            </w:tcBorders>
            <w:shd w:val="clear" w:color="auto" w:fill="FFFF00"/>
            <w:noWrap/>
            <w:vAlign w:val="center"/>
          </w:tcPr>
          <w:p w14:paraId="463FABD2" w14:textId="77777777" w:rsidR="00FE461F" w:rsidRPr="005E4BEA" w:rsidRDefault="00FE461F" w:rsidP="00FE461F">
            <w:pPr>
              <w:spacing w:line="240" w:lineRule="auto"/>
              <w:jc w:val="center"/>
              <w:rPr>
                <w:rFonts w:cs="Arial"/>
                <w:szCs w:val="20"/>
              </w:rPr>
            </w:pPr>
            <w:r w:rsidRPr="005E4BEA">
              <w:rPr>
                <w:rFonts w:cs="Arial"/>
                <w:b/>
                <w:szCs w:val="20"/>
              </w:rPr>
              <w:t>1,00</w:t>
            </w:r>
          </w:p>
        </w:tc>
        <w:tc>
          <w:tcPr>
            <w:tcW w:w="1275" w:type="dxa"/>
            <w:tcBorders>
              <w:top w:val="nil"/>
              <w:left w:val="nil"/>
              <w:bottom w:val="single" w:sz="4" w:space="0" w:color="auto"/>
              <w:right w:val="single" w:sz="4" w:space="0" w:color="auto"/>
            </w:tcBorders>
            <w:shd w:val="clear" w:color="auto" w:fill="auto"/>
            <w:noWrap/>
            <w:vAlign w:val="center"/>
          </w:tcPr>
          <w:p w14:paraId="13AF6059" w14:textId="77777777" w:rsidR="00FE461F" w:rsidRPr="005E4BEA" w:rsidRDefault="00FE461F" w:rsidP="00FE461F">
            <w:pPr>
              <w:spacing w:line="240" w:lineRule="auto"/>
              <w:jc w:val="center"/>
              <w:rPr>
                <w:rFonts w:cs="Arial"/>
                <w:szCs w:val="20"/>
              </w:rPr>
            </w:pPr>
            <w:r w:rsidRPr="005E4BEA">
              <w:rPr>
                <w:rFonts w:cs="Arial"/>
                <w:szCs w:val="20"/>
              </w:rPr>
              <w:t>6,00</w:t>
            </w:r>
          </w:p>
        </w:tc>
        <w:tc>
          <w:tcPr>
            <w:tcW w:w="1134" w:type="dxa"/>
            <w:tcBorders>
              <w:top w:val="nil"/>
              <w:left w:val="nil"/>
              <w:bottom w:val="single" w:sz="4" w:space="0" w:color="auto"/>
              <w:right w:val="single" w:sz="4" w:space="0" w:color="auto"/>
            </w:tcBorders>
            <w:shd w:val="clear" w:color="auto" w:fill="auto"/>
            <w:noWrap/>
            <w:vAlign w:val="center"/>
          </w:tcPr>
          <w:p w14:paraId="4A0FEDA1" w14:textId="77777777" w:rsidR="00FE461F" w:rsidRPr="005E4BEA" w:rsidRDefault="00FE461F" w:rsidP="00FE461F">
            <w:pPr>
              <w:spacing w:line="240" w:lineRule="auto"/>
              <w:jc w:val="center"/>
              <w:rPr>
                <w:rFonts w:cs="Arial"/>
                <w:bCs/>
                <w:szCs w:val="20"/>
              </w:rPr>
            </w:pPr>
            <w:r w:rsidRPr="005E4BEA">
              <w:rPr>
                <w:rFonts w:cs="Arial"/>
                <w:bCs/>
                <w:szCs w:val="20"/>
              </w:rPr>
              <w:t>5,00</w:t>
            </w:r>
          </w:p>
        </w:tc>
        <w:tc>
          <w:tcPr>
            <w:tcW w:w="993" w:type="dxa"/>
            <w:tcBorders>
              <w:top w:val="nil"/>
              <w:left w:val="nil"/>
              <w:bottom w:val="single" w:sz="4" w:space="0" w:color="auto"/>
              <w:right w:val="single" w:sz="4" w:space="0" w:color="auto"/>
            </w:tcBorders>
            <w:shd w:val="clear" w:color="auto" w:fill="auto"/>
            <w:noWrap/>
            <w:vAlign w:val="center"/>
          </w:tcPr>
          <w:p w14:paraId="601C1546" w14:textId="77777777" w:rsidR="00FE461F" w:rsidRPr="005E4BEA" w:rsidRDefault="00FE461F" w:rsidP="00FE461F">
            <w:pPr>
              <w:spacing w:line="240" w:lineRule="auto"/>
              <w:jc w:val="center"/>
              <w:rPr>
                <w:rFonts w:cs="Arial"/>
                <w:szCs w:val="20"/>
              </w:rPr>
            </w:pPr>
            <w:r w:rsidRPr="005E4BEA">
              <w:rPr>
                <w:rFonts w:cs="Arial"/>
                <w:szCs w:val="20"/>
              </w:rPr>
              <w:t>12,00</w:t>
            </w:r>
          </w:p>
        </w:tc>
        <w:tc>
          <w:tcPr>
            <w:tcW w:w="850" w:type="dxa"/>
            <w:tcBorders>
              <w:top w:val="nil"/>
              <w:left w:val="nil"/>
              <w:bottom w:val="single" w:sz="4" w:space="0" w:color="auto"/>
              <w:right w:val="single" w:sz="4" w:space="0" w:color="auto"/>
            </w:tcBorders>
            <w:shd w:val="clear" w:color="auto" w:fill="auto"/>
            <w:noWrap/>
            <w:vAlign w:val="center"/>
          </w:tcPr>
          <w:p w14:paraId="30690BD4" w14:textId="77777777" w:rsidR="00FE461F" w:rsidRPr="005E4BEA" w:rsidRDefault="00FE461F" w:rsidP="00FE461F">
            <w:pPr>
              <w:spacing w:line="240" w:lineRule="auto"/>
              <w:jc w:val="center"/>
              <w:rPr>
                <w:rFonts w:cs="Arial"/>
                <w:szCs w:val="20"/>
              </w:rPr>
            </w:pPr>
            <w:r w:rsidRPr="005E4BEA">
              <w:rPr>
                <w:rFonts w:cs="Arial"/>
                <w:szCs w:val="20"/>
              </w:rPr>
              <w:t>46</w:t>
            </w:r>
          </w:p>
        </w:tc>
        <w:tc>
          <w:tcPr>
            <w:tcW w:w="852" w:type="dxa"/>
            <w:tcBorders>
              <w:top w:val="nil"/>
              <w:left w:val="nil"/>
              <w:bottom w:val="single" w:sz="4" w:space="0" w:color="auto"/>
              <w:right w:val="single" w:sz="4" w:space="0" w:color="auto"/>
            </w:tcBorders>
            <w:shd w:val="clear" w:color="auto" w:fill="auto"/>
            <w:noWrap/>
            <w:vAlign w:val="center"/>
          </w:tcPr>
          <w:p w14:paraId="48F77EFC"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tcPr>
          <w:p w14:paraId="59CF6183" w14:textId="77777777" w:rsidR="00FE461F" w:rsidRPr="005E4BEA" w:rsidRDefault="00FE461F" w:rsidP="00FE461F">
            <w:pPr>
              <w:spacing w:line="240" w:lineRule="auto"/>
              <w:jc w:val="center"/>
              <w:rPr>
                <w:rFonts w:cs="Arial"/>
                <w:szCs w:val="20"/>
              </w:rPr>
            </w:pPr>
            <w:r w:rsidRPr="005E4BEA">
              <w:rPr>
                <w:rFonts w:cs="Arial"/>
                <w:szCs w:val="20"/>
              </w:rPr>
              <w:t>21.942</w:t>
            </w:r>
          </w:p>
        </w:tc>
      </w:tr>
      <w:tr w:rsidR="00FE461F" w:rsidRPr="005E4BEA" w14:paraId="7017A00C"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7065556" w14:textId="77777777" w:rsidR="00FE461F" w:rsidRPr="005E4BEA" w:rsidRDefault="00FE461F" w:rsidP="00FE461F">
            <w:pPr>
              <w:spacing w:line="240" w:lineRule="auto"/>
              <w:rPr>
                <w:rFonts w:cs="Arial"/>
                <w:szCs w:val="20"/>
              </w:rPr>
            </w:pPr>
            <w:r w:rsidRPr="005E4BEA">
              <w:rPr>
                <w:rFonts w:cs="Arial"/>
                <w:szCs w:val="20"/>
              </w:rPr>
              <w:t>logoped</w:t>
            </w:r>
          </w:p>
        </w:tc>
        <w:tc>
          <w:tcPr>
            <w:tcW w:w="1276" w:type="dxa"/>
            <w:tcBorders>
              <w:top w:val="nil"/>
              <w:left w:val="nil"/>
              <w:bottom w:val="single" w:sz="4" w:space="0" w:color="auto"/>
              <w:right w:val="single" w:sz="4" w:space="0" w:color="auto"/>
            </w:tcBorders>
            <w:shd w:val="clear" w:color="auto" w:fill="auto"/>
            <w:noWrap/>
            <w:vAlign w:val="center"/>
            <w:hideMark/>
          </w:tcPr>
          <w:p w14:paraId="5904AF77" w14:textId="77777777" w:rsidR="00FE461F" w:rsidRPr="005E4BEA" w:rsidRDefault="00FE461F" w:rsidP="00FE461F">
            <w:pPr>
              <w:spacing w:line="240" w:lineRule="auto"/>
              <w:jc w:val="center"/>
              <w:rPr>
                <w:rFonts w:cs="Arial"/>
                <w:szCs w:val="20"/>
              </w:rPr>
            </w:pPr>
            <w:r w:rsidRPr="005E4BEA">
              <w:rPr>
                <w:rFonts w:cs="Arial"/>
                <w:szCs w:val="20"/>
              </w:rPr>
              <w:t>8,01</w:t>
            </w:r>
          </w:p>
        </w:tc>
        <w:tc>
          <w:tcPr>
            <w:tcW w:w="1275" w:type="dxa"/>
            <w:tcBorders>
              <w:top w:val="nil"/>
              <w:left w:val="nil"/>
              <w:bottom w:val="single" w:sz="4" w:space="0" w:color="auto"/>
              <w:right w:val="single" w:sz="4" w:space="0" w:color="auto"/>
            </w:tcBorders>
            <w:shd w:val="clear" w:color="auto" w:fill="auto"/>
            <w:noWrap/>
            <w:vAlign w:val="center"/>
            <w:hideMark/>
          </w:tcPr>
          <w:p w14:paraId="23CC3F4D" w14:textId="77777777" w:rsidR="00FE461F" w:rsidRPr="005E4BEA" w:rsidRDefault="00FE461F" w:rsidP="00FE461F">
            <w:pPr>
              <w:spacing w:line="240" w:lineRule="auto"/>
              <w:jc w:val="center"/>
              <w:rPr>
                <w:rFonts w:cs="Arial"/>
                <w:szCs w:val="20"/>
              </w:rPr>
            </w:pPr>
            <w:r w:rsidRPr="005E4BEA">
              <w:rPr>
                <w:rFonts w:cs="Arial"/>
                <w:szCs w:val="20"/>
              </w:rPr>
              <w:t>5,30</w:t>
            </w:r>
          </w:p>
        </w:tc>
        <w:tc>
          <w:tcPr>
            <w:tcW w:w="1134" w:type="dxa"/>
            <w:tcBorders>
              <w:top w:val="nil"/>
              <w:left w:val="nil"/>
              <w:bottom w:val="single" w:sz="4" w:space="0" w:color="auto"/>
              <w:right w:val="single" w:sz="4" w:space="0" w:color="auto"/>
            </w:tcBorders>
            <w:shd w:val="clear" w:color="auto" w:fill="auto"/>
            <w:noWrap/>
            <w:vAlign w:val="center"/>
            <w:hideMark/>
          </w:tcPr>
          <w:p w14:paraId="6DA522FE" w14:textId="77777777" w:rsidR="00FE461F" w:rsidRPr="005E4BEA" w:rsidRDefault="00FE461F" w:rsidP="00FE461F">
            <w:pPr>
              <w:spacing w:line="240" w:lineRule="auto"/>
              <w:jc w:val="center"/>
              <w:rPr>
                <w:rFonts w:cs="Arial"/>
                <w:szCs w:val="20"/>
              </w:rPr>
            </w:pPr>
            <w:r w:rsidRPr="005E4BEA">
              <w:rPr>
                <w:rFonts w:cs="Arial"/>
                <w:szCs w:val="20"/>
              </w:rPr>
              <w:t>6,00</w:t>
            </w:r>
          </w:p>
        </w:tc>
        <w:tc>
          <w:tcPr>
            <w:tcW w:w="993" w:type="dxa"/>
            <w:tcBorders>
              <w:top w:val="nil"/>
              <w:left w:val="nil"/>
              <w:bottom w:val="single" w:sz="4" w:space="0" w:color="auto"/>
              <w:right w:val="single" w:sz="4" w:space="0" w:color="auto"/>
            </w:tcBorders>
            <w:shd w:val="clear" w:color="auto" w:fill="auto"/>
            <w:noWrap/>
            <w:vAlign w:val="center"/>
            <w:hideMark/>
          </w:tcPr>
          <w:p w14:paraId="733C690D" w14:textId="77777777" w:rsidR="00FE461F" w:rsidRPr="005E4BEA" w:rsidRDefault="00FE461F" w:rsidP="00FE461F">
            <w:pPr>
              <w:spacing w:line="240" w:lineRule="auto"/>
              <w:jc w:val="center"/>
              <w:rPr>
                <w:rFonts w:cs="Arial"/>
                <w:bCs/>
                <w:szCs w:val="20"/>
              </w:rPr>
            </w:pPr>
            <w:r w:rsidRPr="005E4BEA">
              <w:rPr>
                <w:rFonts w:cs="Arial"/>
                <w:bCs/>
                <w:szCs w:val="20"/>
              </w:rPr>
              <w:t>19,31</w:t>
            </w:r>
          </w:p>
        </w:tc>
        <w:tc>
          <w:tcPr>
            <w:tcW w:w="850" w:type="dxa"/>
            <w:tcBorders>
              <w:top w:val="nil"/>
              <w:left w:val="nil"/>
              <w:bottom w:val="single" w:sz="4" w:space="0" w:color="auto"/>
              <w:right w:val="single" w:sz="4" w:space="0" w:color="auto"/>
            </w:tcBorders>
            <w:shd w:val="clear" w:color="auto" w:fill="auto"/>
            <w:noWrap/>
            <w:vAlign w:val="center"/>
            <w:hideMark/>
          </w:tcPr>
          <w:p w14:paraId="6F96FE72" w14:textId="77777777" w:rsidR="00FE461F" w:rsidRPr="005E4BEA" w:rsidRDefault="00FE461F" w:rsidP="00FE461F">
            <w:pPr>
              <w:spacing w:line="240" w:lineRule="auto"/>
              <w:jc w:val="center"/>
              <w:rPr>
                <w:rFonts w:cs="Arial"/>
                <w:szCs w:val="20"/>
              </w:rPr>
            </w:pPr>
            <w:r w:rsidRPr="005E4BEA">
              <w:rPr>
                <w:rFonts w:cs="Arial"/>
                <w:szCs w:val="20"/>
              </w:rPr>
              <w:t>37</w:t>
            </w:r>
          </w:p>
        </w:tc>
        <w:tc>
          <w:tcPr>
            <w:tcW w:w="852" w:type="dxa"/>
            <w:tcBorders>
              <w:top w:val="nil"/>
              <w:left w:val="nil"/>
              <w:bottom w:val="single" w:sz="4" w:space="0" w:color="auto"/>
              <w:right w:val="single" w:sz="4" w:space="0" w:color="auto"/>
            </w:tcBorders>
            <w:shd w:val="clear" w:color="auto" w:fill="auto"/>
            <w:noWrap/>
            <w:vAlign w:val="center"/>
            <w:hideMark/>
          </w:tcPr>
          <w:p w14:paraId="0EAC5CD2"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05718C14" w14:textId="77777777" w:rsidR="00FE461F" w:rsidRPr="005E4BEA" w:rsidRDefault="00FE461F" w:rsidP="00FE461F">
            <w:pPr>
              <w:spacing w:line="240" w:lineRule="auto"/>
              <w:jc w:val="center"/>
              <w:rPr>
                <w:rFonts w:cs="Arial"/>
                <w:szCs w:val="20"/>
              </w:rPr>
            </w:pPr>
            <w:r w:rsidRPr="005E4BEA">
              <w:rPr>
                <w:rFonts w:cs="Arial"/>
                <w:szCs w:val="20"/>
              </w:rPr>
              <w:t>19.080</w:t>
            </w:r>
          </w:p>
        </w:tc>
      </w:tr>
      <w:tr w:rsidR="00FE461F" w:rsidRPr="005E4BEA" w14:paraId="120FDD90"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563E2D2" w14:textId="77777777" w:rsidR="00FE461F" w:rsidRPr="005E4BEA" w:rsidRDefault="00FE461F" w:rsidP="00FE461F">
            <w:pPr>
              <w:spacing w:line="240" w:lineRule="auto"/>
              <w:rPr>
                <w:rFonts w:cs="Arial"/>
                <w:szCs w:val="20"/>
              </w:rPr>
            </w:pPr>
            <w:r w:rsidRPr="005E4BEA">
              <w:rPr>
                <w:rFonts w:cs="Arial"/>
                <w:szCs w:val="20"/>
              </w:rPr>
              <w:lastRenderedPageBreak/>
              <w:t>defektolog (</w:t>
            </w:r>
            <w:proofErr w:type="spellStart"/>
            <w:r w:rsidRPr="005E4BEA">
              <w:rPr>
                <w:rFonts w:cs="Arial"/>
                <w:szCs w:val="20"/>
              </w:rPr>
              <w:t>avdiolog</w:t>
            </w:r>
            <w:proofErr w:type="spellEnd"/>
            <w:r w:rsidRPr="005E4BEA">
              <w:rPr>
                <w:rFonts w:cs="Arial"/>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740172DE" w14:textId="77777777" w:rsidR="00FE461F" w:rsidRPr="005E4BEA" w:rsidRDefault="00FE461F" w:rsidP="00FE461F">
            <w:pPr>
              <w:spacing w:line="240" w:lineRule="auto"/>
              <w:jc w:val="center"/>
              <w:rPr>
                <w:rFonts w:cs="Arial"/>
                <w:szCs w:val="20"/>
              </w:rPr>
            </w:pPr>
            <w:r w:rsidRPr="005E4BEA">
              <w:rPr>
                <w:rFonts w:cs="Arial"/>
                <w:szCs w:val="20"/>
              </w:rPr>
              <w:t>3,46</w:t>
            </w:r>
          </w:p>
        </w:tc>
        <w:tc>
          <w:tcPr>
            <w:tcW w:w="1275" w:type="dxa"/>
            <w:tcBorders>
              <w:top w:val="nil"/>
              <w:left w:val="nil"/>
              <w:bottom w:val="single" w:sz="4" w:space="0" w:color="auto"/>
              <w:right w:val="single" w:sz="4" w:space="0" w:color="auto"/>
            </w:tcBorders>
            <w:shd w:val="clear" w:color="auto" w:fill="auto"/>
            <w:noWrap/>
            <w:vAlign w:val="center"/>
            <w:hideMark/>
          </w:tcPr>
          <w:p w14:paraId="76A0B405" w14:textId="77777777" w:rsidR="00FE461F" w:rsidRPr="005E4BEA" w:rsidRDefault="00FE461F" w:rsidP="00FE461F">
            <w:pPr>
              <w:spacing w:line="240" w:lineRule="auto"/>
              <w:jc w:val="center"/>
              <w:rPr>
                <w:rFonts w:cs="Arial"/>
                <w:szCs w:val="20"/>
              </w:rPr>
            </w:pPr>
            <w:r w:rsidRPr="005E4BEA">
              <w:rPr>
                <w:rFonts w:cs="Arial"/>
                <w:szCs w:val="20"/>
              </w:rPr>
              <w:t>9,12</w:t>
            </w:r>
          </w:p>
        </w:tc>
        <w:tc>
          <w:tcPr>
            <w:tcW w:w="1134" w:type="dxa"/>
            <w:tcBorders>
              <w:top w:val="nil"/>
              <w:left w:val="nil"/>
              <w:bottom w:val="single" w:sz="4" w:space="0" w:color="auto"/>
              <w:right w:val="single" w:sz="4" w:space="0" w:color="auto"/>
            </w:tcBorders>
            <w:shd w:val="clear" w:color="auto" w:fill="FFFF00"/>
            <w:noWrap/>
            <w:vAlign w:val="center"/>
            <w:hideMark/>
          </w:tcPr>
          <w:p w14:paraId="0E2709F2" w14:textId="77777777" w:rsidR="00FE461F" w:rsidRPr="005E4BEA" w:rsidRDefault="00FE461F" w:rsidP="00FE461F">
            <w:pPr>
              <w:spacing w:line="240" w:lineRule="auto"/>
              <w:jc w:val="center"/>
              <w:rPr>
                <w:rFonts w:cs="Arial"/>
                <w:b/>
                <w:bCs/>
                <w:szCs w:val="20"/>
              </w:rPr>
            </w:pPr>
            <w:r w:rsidRPr="005E4BEA">
              <w:rPr>
                <w:rFonts w:cs="Arial"/>
                <w:b/>
                <w:bCs/>
                <w:szCs w:val="20"/>
              </w:rPr>
              <w:t>7,00</w:t>
            </w:r>
          </w:p>
        </w:tc>
        <w:tc>
          <w:tcPr>
            <w:tcW w:w="993" w:type="dxa"/>
            <w:tcBorders>
              <w:top w:val="nil"/>
              <w:left w:val="nil"/>
              <w:bottom w:val="single" w:sz="4" w:space="0" w:color="auto"/>
              <w:right w:val="single" w:sz="4" w:space="0" w:color="auto"/>
            </w:tcBorders>
            <w:shd w:val="clear" w:color="auto" w:fill="FFFF00"/>
            <w:noWrap/>
            <w:vAlign w:val="center"/>
            <w:hideMark/>
          </w:tcPr>
          <w:p w14:paraId="0AB55292" w14:textId="77777777" w:rsidR="00FE461F" w:rsidRPr="005E4BEA" w:rsidRDefault="00FE461F" w:rsidP="00FE461F">
            <w:pPr>
              <w:spacing w:line="240" w:lineRule="auto"/>
              <w:jc w:val="center"/>
              <w:rPr>
                <w:rFonts w:cs="Arial"/>
                <w:b/>
                <w:szCs w:val="20"/>
              </w:rPr>
            </w:pPr>
            <w:r w:rsidRPr="005E4BEA">
              <w:rPr>
                <w:rFonts w:cs="Arial"/>
                <w:b/>
                <w:szCs w:val="20"/>
              </w:rPr>
              <w:t>19,58</w:t>
            </w:r>
          </w:p>
        </w:tc>
        <w:tc>
          <w:tcPr>
            <w:tcW w:w="850" w:type="dxa"/>
            <w:tcBorders>
              <w:top w:val="nil"/>
              <w:left w:val="nil"/>
              <w:bottom w:val="single" w:sz="4" w:space="0" w:color="auto"/>
              <w:right w:val="single" w:sz="4" w:space="0" w:color="auto"/>
            </w:tcBorders>
            <w:shd w:val="clear" w:color="auto" w:fill="auto"/>
            <w:noWrap/>
            <w:vAlign w:val="center"/>
            <w:hideMark/>
          </w:tcPr>
          <w:p w14:paraId="692D73B8" w14:textId="77777777" w:rsidR="00FE461F" w:rsidRPr="005E4BEA" w:rsidRDefault="00FE461F" w:rsidP="00FE461F">
            <w:pPr>
              <w:spacing w:line="240" w:lineRule="auto"/>
              <w:jc w:val="center"/>
              <w:rPr>
                <w:rFonts w:cs="Arial"/>
                <w:szCs w:val="20"/>
              </w:rPr>
            </w:pPr>
            <w:r w:rsidRPr="005E4BEA">
              <w:rPr>
                <w:rFonts w:cs="Arial"/>
                <w:szCs w:val="20"/>
              </w:rPr>
              <w:t>38</w:t>
            </w:r>
          </w:p>
        </w:tc>
        <w:tc>
          <w:tcPr>
            <w:tcW w:w="852" w:type="dxa"/>
            <w:tcBorders>
              <w:top w:val="nil"/>
              <w:left w:val="nil"/>
              <w:bottom w:val="single" w:sz="4" w:space="0" w:color="auto"/>
              <w:right w:val="single" w:sz="4" w:space="0" w:color="auto"/>
            </w:tcBorders>
            <w:shd w:val="clear" w:color="auto" w:fill="auto"/>
            <w:noWrap/>
            <w:vAlign w:val="center"/>
            <w:hideMark/>
          </w:tcPr>
          <w:p w14:paraId="0FBD3B07"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698E4592" w14:textId="77777777" w:rsidR="00FE461F" w:rsidRPr="005E4BEA" w:rsidRDefault="00FE461F" w:rsidP="00FE461F">
            <w:pPr>
              <w:spacing w:line="240" w:lineRule="auto"/>
              <w:jc w:val="center"/>
              <w:rPr>
                <w:rFonts w:cs="Arial"/>
                <w:szCs w:val="20"/>
              </w:rPr>
            </w:pPr>
            <w:r w:rsidRPr="005E4BEA">
              <w:rPr>
                <w:rFonts w:cs="Arial"/>
                <w:szCs w:val="20"/>
              </w:rPr>
              <w:t>19.080</w:t>
            </w:r>
          </w:p>
        </w:tc>
      </w:tr>
      <w:tr w:rsidR="00FE461F" w:rsidRPr="005E4BEA" w14:paraId="33EDF9BD"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5B3A9E5" w14:textId="77777777" w:rsidR="00FE461F" w:rsidRPr="005E4BEA" w:rsidRDefault="00FE461F" w:rsidP="00FE461F">
            <w:pPr>
              <w:spacing w:line="240" w:lineRule="auto"/>
              <w:rPr>
                <w:rFonts w:cs="Arial"/>
                <w:szCs w:val="20"/>
              </w:rPr>
            </w:pPr>
            <w:r w:rsidRPr="005E4BEA">
              <w:rPr>
                <w:rFonts w:cs="Arial"/>
                <w:szCs w:val="20"/>
              </w:rPr>
              <w:t>psiholog</w:t>
            </w:r>
          </w:p>
        </w:tc>
        <w:tc>
          <w:tcPr>
            <w:tcW w:w="1276" w:type="dxa"/>
            <w:tcBorders>
              <w:top w:val="nil"/>
              <w:left w:val="nil"/>
              <w:bottom w:val="single" w:sz="4" w:space="0" w:color="auto"/>
              <w:right w:val="single" w:sz="4" w:space="0" w:color="auto"/>
            </w:tcBorders>
            <w:shd w:val="clear" w:color="auto" w:fill="auto"/>
            <w:noWrap/>
            <w:vAlign w:val="center"/>
            <w:hideMark/>
          </w:tcPr>
          <w:p w14:paraId="58895BBB" w14:textId="77777777" w:rsidR="00FE461F" w:rsidRPr="005E4BEA" w:rsidRDefault="00FE461F" w:rsidP="00FE461F">
            <w:pPr>
              <w:spacing w:line="240" w:lineRule="auto"/>
              <w:jc w:val="center"/>
              <w:rPr>
                <w:rFonts w:cs="Arial"/>
                <w:bCs/>
                <w:szCs w:val="20"/>
              </w:rPr>
            </w:pPr>
            <w:r w:rsidRPr="005E4BEA">
              <w:rPr>
                <w:rFonts w:cs="Arial"/>
                <w:bCs/>
                <w:szCs w:val="20"/>
              </w:rPr>
              <w:t>0,50</w:t>
            </w:r>
          </w:p>
        </w:tc>
        <w:tc>
          <w:tcPr>
            <w:tcW w:w="1275" w:type="dxa"/>
            <w:tcBorders>
              <w:top w:val="nil"/>
              <w:left w:val="nil"/>
              <w:bottom w:val="single" w:sz="4" w:space="0" w:color="auto"/>
              <w:right w:val="single" w:sz="4" w:space="0" w:color="auto"/>
            </w:tcBorders>
            <w:shd w:val="clear" w:color="auto" w:fill="FFFF00"/>
            <w:noWrap/>
            <w:vAlign w:val="center"/>
            <w:hideMark/>
          </w:tcPr>
          <w:p w14:paraId="2890EED9" w14:textId="77777777" w:rsidR="00FE461F" w:rsidRPr="005E4BEA" w:rsidRDefault="00FE461F" w:rsidP="00FE461F">
            <w:pPr>
              <w:spacing w:line="240" w:lineRule="auto"/>
              <w:jc w:val="center"/>
              <w:rPr>
                <w:rFonts w:cs="Arial"/>
                <w:b/>
                <w:szCs w:val="20"/>
              </w:rPr>
            </w:pPr>
            <w:r w:rsidRPr="005E4BEA">
              <w:rPr>
                <w:rFonts w:cs="Arial"/>
                <w:b/>
                <w:szCs w:val="20"/>
              </w:rPr>
              <w:t>1,08</w:t>
            </w:r>
          </w:p>
        </w:tc>
        <w:tc>
          <w:tcPr>
            <w:tcW w:w="1134" w:type="dxa"/>
            <w:tcBorders>
              <w:top w:val="nil"/>
              <w:left w:val="nil"/>
              <w:bottom w:val="single" w:sz="4" w:space="0" w:color="auto"/>
              <w:right w:val="single" w:sz="4" w:space="0" w:color="auto"/>
            </w:tcBorders>
            <w:shd w:val="clear" w:color="auto" w:fill="FFFF00"/>
            <w:noWrap/>
            <w:vAlign w:val="center"/>
            <w:hideMark/>
          </w:tcPr>
          <w:p w14:paraId="5B27D379" w14:textId="77777777" w:rsidR="00FE461F" w:rsidRPr="005E4BEA" w:rsidRDefault="00FE461F" w:rsidP="00FE461F">
            <w:pPr>
              <w:spacing w:line="240" w:lineRule="auto"/>
              <w:jc w:val="center"/>
              <w:rPr>
                <w:rFonts w:cs="Arial"/>
                <w:b/>
                <w:szCs w:val="20"/>
              </w:rPr>
            </w:pPr>
            <w:r w:rsidRPr="005E4BEA">
              <w:rPr>
                <w:rFonts w:cs="Arial"/>
                <w:b/>
                <w:szCs w:val="20"/>
              </w:rPr>
              <w:t>1,00</w:t>
            </w:r>
          </w:p>
        </w:tc>
        <w:tc>
          <w:tcPr>
            <w:tcW w:w="993" w:type="dxa"/>
            <w:tcBorders>
              <w:top w:val="nil"/>
              <w:left w:val="nil"/>
              <w:bottom w:val="single" w:sz="4" w:space="0" w:color="auto"/>
              <w:right w:val="single" w:sz="4" w:space="0" w:color="auto"/>
            </w:tcBorders>
            <w:shd w:val="clear" w:color="auto" w:fill="FFFF00"/>
            <w:noWrap/>
            <w:vAlign w:val="center"/>
            <w:hideMark/>
          </w:tcPr>
          <w:p w14:paraId="21E89E3A" w14:textId="77777777" w:rsidR="00FE461F" w:rsidRPr="005E4BEA" w:rsidRDefault="00FE461F" w:rsidP="00FE461F">
            <w:pPr>
              <w:spacing w:line="240" w:lineRule="auto"/>
              <w:jc w:val="center"/>
              <w:rPr>
                <w:rFonts w:cs="Arial"/>
                <w:b/>
                <w:szCs w:val="20"/>
              </w:rPr>
            </w:pPr>
            <w:r w:rsidRPr="005E4BEA">
              <w:rPr>
                <w:rFonts w:cs="Arial"/>
                <w:b/>
                <w:szCs w:val="20"/>
              </w:rPr>
              <w:t>2,58</w:t>
            </w:r>
          </w:p>
        </w:tc>
        <w:tc>
          <w:tcPr>
            <w:tcW w:w="850" w:type="dxa"/>
            <w:tcBorders>
              <w:top w:val="nil"/>
              <w:left w:val="nil"/>
              <w:bottom w:val="single" w:sz="4" w:space="0" w:color="auto"/>
              <w:right w:val="single" w:sz="4" w:space="0" w:color="auto"/>
            </w:tcBorders>
            <w:shd w:val="clear" w:color="auto" w:fill="auto"/>
            <w:noWrap/>
            <w:vAlign w:val="center"/>
            <w:hideMark/>
          </w:tcPr>
          <w:p w14:paraId="740AE5AB" w14:textId="77777777" w:rsidR="00FE461F" w:rsidRPr="005E4BEA" w:rsidRDefault="00FE461F" w:rsidP="00FE461F">
            <w:pPr>
              <w:spacing w:line="240" w:lineRule="auto"/>
              <w:jc w:val="center"/>
              <w:rPr>
                <w:rFonts w:cs="Arial"/>
                <w:szCs w:val="20"/>
              </w:rPr>
            </w:pPr>
            <w:r w:rsidRPr="005E4BEA">
              <w:rPr>
                <w:rFonts w:cs="Arial"/>
                <w:szCs w:val="20"/>
              </w:rPr>
              <w:t>37</w:t>
            </w:r>
          </w:p>
        </w:tc>
        <w:tc>
          <w:tcPr>
            <w:tcW w:w="852" w:type="dxa"/>
            <w:tcBorders>
              <w:top w:val="nil"/>
              <w:left w:val="nil"/>
              <w:bottom w:val="single" w:sz="4" w:space="0" w:color="auto"/>
              <w:right w:val="single" w:sz="4" w:space="0" w:color="auto"/>
            </w:tcBorders>
            <w:shd w:val="clear" w:color="auto" w:fill="auto"/>
            <w:noWrap/>
            <w:vAlign w:val="center"/>
            <w:hideMark/>
          </w:tcPr>
          <w:p w14:paraId="6119BFB7"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33DCAD38" w14:textId="77777777" w:rsidR="00FE461F" w:rsidRPr="005E4BEA" w:rsidRDefault="00FE461F" w:rsidP="00FE461F">
            <w:pPr>
              <w:spacing w:line="240" w:lineRule="auto"/>
              <w:jc w:val="center"/>
              <w:rPr>
                <w:rFonts w:cs="Arial"/>
                <w:szCs w:val="20"/>
              </w:rPr>
            </w:pPr>
            <w:r w:rsidRPr="005E4BEA">
              <w:rPr>
                <w:rFonts w:cs="Arial"/>
                <w:szCs w:val="20"/>
              </w:rPr>
              <w:t>19.080</w:t>
            </w:r>
          </w:p>
        </w:tc>
      </w:tr>
      <w:tr w:rsidR="00FE461F" w:rsidRPr="005E4BEA" w14:paraId="33FBA7F1" w14:textId="77777777" w:rsidTr="005C5B4B">
        <w:trPr>
          <w:trHeight w:hRule="exact" w:val="62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B928A92" w14:textId="77777777" w:rsidR="00FE461F" w:rsidRPr="005E4BEA" w:rsidRDefault="00FE461F" w:rsidP="00FE461F">
            <w:pPr>
              <w:spacing w:line="240" w:lineRule="auto"/>
              <w:rPr>
                <w:rFonts w:cs="Arial"/>
                <w:szCs w:val="20"/>
              </w:rPr>
            </w:pPr>
            <w:r w:rsidRPr="005E4BEA">
              <w:rPr>
                <w:rFonts w:cs="Arial"/>
                <w:szCs w:val="20"/>
              </w:rPr>
              <w:t>diplomirana medicinska sestra</w:t>
            </w:r>
          </w:p>
        </w:tc>
        <w:tc>
          <w:tcPr>
            <w:tcW w:w="1276" w:type="dxa"/>
            <w:tcBorders>
              <w:top w:val="nil"/>
              <w:left w:val="nil"/>
              <w:bottom w:val="single" w:sz="4" w:space="0" w:color="auto"/>
              <w:right w:val="single" w:sz="4" w:space="0" w:color="auto"/>
            </w:tcBorders>
            <w:shd w:val="clear" w:color="auto" w:fill="auto"/>
            <w:noWrap/>
            <w:vAlign w:val="center"/>
            <w:hideMark/>
          </w:tcPr>
          <w:p w14:paraId="4FDAE4BF" w14:textId="77777777" w:rsidR="00FE461F" w:rsidRPr="005E4BEA" w:rsidRDefault="00FE461F" w:rsidP="00FE461F">
            <w:pPr>
              <w:spacing w:line="240" w:lineRule="auto"/>
              <w:jc w:val="center"/>
              <w:rPr>
                <w:rFonts w:cs="Arial"/>
                <w:bCs/>
                <w:szCs w:val="20"/>
              </w:rPr>
            </w:pPr>
            <w:r w:rsidRPr="005E4BEA">
              <w:rPr>
                <w:rFonts w:cs="Arial"/>
                <w:bCs/>
                <w:szCs w:val="20"/>
              </w:rPr>
              <w:t>1,00</w:t>
            </w:r>
          </w:p>
        </w:tc>
        <w:tc>
          <w:tcPr>
            <w:tcW w:w="1275" w:type="dxa"/>
            <w:tcBorders>
              <w:top w:val="nil"/>
              <w:left w:val="nil"/>
              <w:bottom w:val="single" w:sz="4" w:space="0" w:color="auto"/>
              <w:right w:val="single" w:sz="4" w:space="0" w:color="auto"/>
            </w:tcBorders>
            <w:shd w:val="clear" w:color="auto" w:fill="FFFF00"/>
            <w:noWrap/>
            <w:vAlign w:val="center"/>
            <w:hideMark/>
          </w:tcPr>
          <w:p w14:paraId="1B8647D5" w14:textId="77777777" w:rsidR="00FE461F" w:rsidRPr="005E4BEA" w:rsidRDefault="00FE461F" w:rsidP="00FE461F">
            <w:pPr>
              <w:spacing w:line="240" w:lineRule="auto"/>
              <w:jc w:val="center"/>
              <w:rPr>
                <w:rFonts w:cs="Arial"/>
                <w:szCs w:val="20"/>
              </w:rPr>
            </w:pPr>
            <w:r w:rsidRPr="005E4BEA">
              <w:rPr>
                <w:rFonts w:cs="Arial"/>
                <w:b/>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97E850F" w14:textId="77777777" w:rsidR="00FE461F" w:rsidRPr="005E4BEA" w:rsidRDefault="00FE461F" w:rsidP="00FE461F">
            <w:pPr>
              <w:spacing w:line="240" w:lineRule="auto"/>
              <w:jc w:val="center"/>
              <w:rPr>
                <w:rFonts w:cs="Arial"/>
                <w:szCs w:val="20"/>
              </w:rPr>
            </w:pPr>
            <w:r w:rsidRPr="005E4BEA">
              <w:rPr>
                <w:rFonts w:cs="Arial"/>
                <w:szCs w:val="20"/>
              </w:rPr>
              <w:t>2,04</w:t>
            </w:r>
          </w:p>
        </w:tc>
        <w:tc>
          <w:tcPr>
            <w:tcW w:w="993" w:type="dxa"/>
            <w:tcBorders>
              <w:top w:val="nil"/>
              <w:left w:val="nil"/>
              <w:bottom w:val="single" w:sz="4" w:space="0" w:color="auto"/>
              <w:right w:val="single" w:sz="4" w:space="0" w:color="auto"/>
            </w:tcBorders>
            <w:shd w:val="clear" w:color="auto" w:fill="FFFF00"/>
            <w:noWrap/>
            <w:vAlign w:val="center"/>
            <w:hideMark/>
          </w:tcPr>
          <w:p w14:paraId="55C33949" w14:textId="77777777" w:rsidR="00FE461F" w:rsidRPr="005E4BEA" w:rsidRDefault="00FE461F" w:rsidP="00FE461F">
            <w:pPr>
              <w:spacing w:line="240" w:lineRule="auto"/>
              <w:jc w:val="center"/>
              <w:rPr>
                <w:rFonts w:cs="Arial"/>
                <w:b/>
                <w:bCs/>
                <w:szCs w:val="20"/>
              </w:rPr>
            </w:pPr>
            <w:r w:rsidRPr="005E4BEA">
              <w:rPr>
                <w:rFonts w:cs="Arial"/>
                <w:b/>
                <w:bCs/>
                <w:szCs w:val="20"/>
              </w:rPr>
              <w:t>4,04</w:t>
            </w:r>
          </w:p>
        </w:tc>
        <w:tc>
          <w:tcPr>
            <w:tcW w:w="850" w:type="dxa"/>
            <w:tcBorders>
              <w:top w:val="nil"/>
              <w:left w:val="nil"/>
              <w:bottom w:val="single" w:sz="4" w:space="0" w:color="auto"/>
              <w:right w:val="single" w:sz="4" w:space="0" w:color="auto"/>
            </w:tcBorders>
            <w:shd w:val="clear" w:color="auto" w:fill="auto"/>
            <w:noWrap/>
            <w:vAlign w:val="center"/>
            <w:hideMark/>
          </w:tcPr>
          <w:p w14:paraId="3D797F22" w14:textId="77777777" w:rsidR="00FE461F" w:rsidRPr="005E4BEA" w:rsidRDefault="00FE461F" w:rsidP="00FE461F">
            <w:pPr>
              <w:spacing w:line="240" w:lineRule="auto"/>
              <w:jc w:val="center"/>
              <w:rPr>
                <w:rFonts w:cs="Arial"/>
                <w:szCs w:val="20"/>
              </w:rPr>
            </w:pPr>
            <w:r w:rsidRPr="005E4BEA">
              <w:rPr>
                <w:rFonts w:cs="Arial"/>
                <w:szCs w:val="20"/>
              </w:rPr>
              <w:t>37</w:t>
            </w:r>
          </w:p>
        </w:tc>
        <w:tc>
          <w:tcPr>
            <w:tcW w:w="852" w:type="dxa"/>
            <w:tcBorders>
              <w:top w:val="nil"/>
              <w:left w:val="nil"/>
              <w:bottom w:val="single" w:sz="4" w:space="0" w:color="auto"/>
              <w:right w:val="single" w:sz="4" w:space="0" w:color="auto"/>
            </w:tcBorders>
            <w:shd w:val="clear" w:color="auto" w:fill="auto"/>
            <w:noWrap/>
            <w:vAlign w:val="center"/>
            <w:hideMark/>
          </w:tcPr>
          <w:p w14:paraId="790F1E7B"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54113A6F" w14:textId="77777777" w:rsidR="00FE461F" w:rsidRPr="005E4BEA" w:rsidRDefault="00FE461F" w:rsidP="00FE461F">
            <w:pPr>
              <w:spacing w:line="240" w:lineRule="auto"/>
              <w:jc w:val="center"/>
              <w:rPr>
                <w:rFonts w:cs="Arial"/>
                <w:szCs w:val="20"/>
              </w:rPr>
            </w:pPr>
          </w:p>
        </w:tc>
      </w:tr>
      <w:tr w:rsidR="00FE461F" w:rsidRPr="005E4BEA" w14:paraId="61B92C73"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8668671" w14:textId="77777777" w:rsidR="00FE461F" w:rsidRPr="005E4BEA" w:rsidRDefault="00FE461F" w:rsidP="00FE461F">
            <w:pPr>
              <w:spacing w:line="240" w:lineRule="auto"/>
              <w:rPr>
                <w:rFonts w:cs="Arial"/>
                <w:szCs w:val="20"/>
              </w:rPr>
            </w:pPr>
            <w:r w:rsidRPr="005E4BEA">
              <w:rPr>
                <w:rFonts w:cs="Arial"/>
                <w:szCs w:val="20"/>
              </w:rPr>
              <w:t>elektronik - akustik</w:t>
            </w:r>
          </w:p>
        </w:tc>
        <w:tc>
          <w:tcPr>
            <w:tcW w:w="1276" w:type="dxa"/>
            <w:tcBorders>
              <w:top w:val="nil"/>
              <w:left w:val="nil"/>
              <w:bottom w:val="single" w:sz="4" w:space="0" w:color="auto"/>
              <w:right w:val="single" w:sz="4" w:space="0" w:color="auto"/>
            </w:tcBorders>
            <w:shd w:val="clear" w:color="auto" w:fill="auto"/>
            <w:noWrap/>
            <w:vAlign w:val="center"/>
            <w:hideMark/>
          </w:tcPr>
          <w:p w14:paraId="7040783C" w14:textId="77777777" w:rsidR="00FE461F" w:rsidRPr="005E4BEA" w:rsidRDefault="00FE461F" w:rsidP="00FE461F">
            <w:pPr>
              <w:spacing w:line="240" w:lineRule="auto"/>
              <w:jc w:val="center"/>
              <w:rPr>
                <w:rFonts w:cs="Arial"/>
                <w:szCs w:val="20"/>
              </w:rPr>
            </w:pPr>
            <w:r w:rsidRPr="005E4BEA">
              <w:rPr>
                <w:rFonts w:cs="Arial"/>
                <w:szCs w:val="20"/>
              </w:rPr>
              <w:t>-</w:t>
            </w:r>
          </w:p>
          <w:p w14:paraId="7451982B" w14:textId="77777777" w:rsidR="00FE461F" w:rsidRPr="005E4BEA" w:rsidRDefault="00FE461F" w:rsidP="00FE461F">
            <w:pPr>
              <w:spacing w:line="240" w:lineRule="auto"/>
              <w:jc w:val="center"/>
              <w:rPr>
                <w:rFonts w:cs="Arial"/>
                <w:szCs w:val="20"/>
              </w:rPr>
            </w:pPr>
          </w:p>
        </w:tc>
        <w:tc>
          <w:tcPr>
            <w:tcW w:w="1275" w:type="dxa"/>
            <w:tcBorders>
              <w:top w:val="nil"/>
              <w:left w:val="nil"/>
              <w:bottom w:val="single" w:sz="4" w:space="0" w:color="auto"/>
              <w:right w:val="single" w:sz="4" w:space="0" w:color="auto"/>
            </w:tcBorders>
            <w:shd w:val="clear" w:color="auto" w:fill="FFFF00"/>
            <w:noWrap/>
            <w:vAlign w:val="center"/>
            <w:hideMark/>
          </w:tcPr>
          <w:p w14:paraId="7947ABEB" w14:textId="77777777" w:rsidR="00FE461F" w:rsidRPr="005E4BEA" w:rsidRDefault="00FE461F" w:rsidP="00FE461F">
            <w:pPr>
              <w:spacing w:line="240" w:lineRule="auto"/>
              <w:jc w:val="center"/>
              <w:rPr>
                <w:rFonts w:cs="Arial"/>
                <w:b/>
                <w:bCs/>
                <w:szCs w:val="20"/>
              </w:rPr>
            </w:pPr>
            <w:r w:rsidRPr="005E4BEA">
              <w:rPr>
                <w:rFonts w:cs="Arial"/>
                <w:b/>
                <w:bCs/>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D9B51C7" w14:textId="77777777" w:rsidR="00FE461F" w:rsidRPr="005E4BEA" w:rsidRDefault="00FE461F" w:rsidP="00FE461F">
            <w:pPr>
              <w:spacing w:line="240" w:lineRule="auto"/>
              <w:jc w:val="center"/>
              <w:rPr>
                <w:rFonts w:cs="Arial"/>
                <w:szCs w:val="20"/>
              </w:rPr>
            </w:pPr>
            <w:r w:rsidRPr="005E4BEA">
              <w:rPr>
                <w:rFonts w:cs="Arial"/>
                <w:szCs w:val="20"/>
              </w:rPr>
              <w:t>0,20</w:t>
            </w:r>
          </w:p>
        </w:tc>
        <w:tc>
          <w:tcPr>
            <w:tcW w:w="993" w:type="dxa"/>
            <w:tcBorders>
              <w:top w:val="nil"/>
              <w:left w:val="nil"/>
              <w:bottom w:val="single" w:sz="4" w:space="0" w:color="auto"/>
              <w:right w:val="single" w:sz="4" w:space="0" w:color="auto"/>
            </w:tcBorders>
            <w:shd w:val="clear" w:color="auto" w:fill="FFFF00"/>
            <w:noWrap/>
            <w:vAlign w:val="center"/>
            <w:hideMark/>
          </w:tcPr>
          <w:p w14:paraId="5A9D1F6D" w14:textId="77777777" w:rsidR="00FE461F" w:rsidRPr="005E4BEA" w:rsidRDefault="00FE461F" w:rsidP="00FE461F">
            <w:pPr>
              <w:spacing w:line="240" w:lineRule="auto"/>
              <w:jc w:val="center"/>
              <w:rPr>
                <w:rFonts w:cs="Arial"/>
                <w:b/>
                <w:bCs/>
                <w:szCs w:val="20"/>
              </w:rPr>
            </w:pPr>
            <w:r w:rsidRPr="005E4BEA">
              <w:rPr>
                <w:rFonts w:cs="Arial"/>
                <w:b/>
                <w:bCs/>
                <w:szCs w:val="20"/>
              </w:rPr>
              <w:t>1,20</w:t>
            </w:r>
          </w:p>
        </w:tc>
        <w:tc>
          <w:tcPr>
            <w:tcW w:w="850" w:type="dxa"/>
            <w:tcBorders>
              <w:top w:val="nil"/>
              <w:left w:val="nil"/>
              <w:bottom w:val="single" w:sz="4" w:space="0" w:color="auto"/>
              <w:right w:val="single" w:sz="4" w:space="0" w:color="auto"/>
            </w:tcBorders>
            <w:shd w:val="clear" w:color="auto" w:fill="auto"/>
            <w:noWrap/>
            <w:vAlign w:val="center"/>
            <w:hideMark/>
          </w:tcPr>
          <w:p w14:paraId="58CB7429" w14:textId="77777777" w:rsidR="00FE461F" w:rsidRPr="005E4BEA" w:rsidRDefault="00FE461F" w:rsidP="00FE461F">
            <w:pPr>
              <w:spacing w:line="240" w:lineRule="auto"/>
              <w:jc w:val="center"/>
              <w:rPr>
                <w:rFonts w:cs="Arial"/>
                <w:szCs w:val="20"/>
              </w:rPr>
            </w:pPr>
            <w:r w:rsidRPr="005E4BEA">
              <w:rPr>
                <w:rFonts w:cs="Arial"/>
                <w:szCs w:val="20"/>
              </w:rPr>
              <w:t>38</w:t>
            </w:r>
          </w:p>
        </w:tc>
        <w:tc>
          <w:tcPr>
            <w:tcW w:w="852" w:type="dxa"/>
            <w:tcBorders>
              <w:top w:val="nil"/>
              <w:left w:val="nil"/>
              <w:bottom w:val="single" w:sz="4" w:space="0" w:color="auto"/>
              <w:right w:val="single" w:sz="4" w:space="0" w:color="auto"/>
            </w:tcBorders>
            <w:shd w:val="clear" w:color="auto" w:fill="auto"/>
            <w:noWrap/>
            <w:vAlign w:val="center"/>
            <w:hideMark/>
          </w:tcPr>
          <w:p w14:paraId="10342163"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3AF19A4C" w14:textId="77777777" w:rsidR="00FE461F" w:rsidRPr="005E4BEA" w:rsidRDefault="00FE461F" w:rsidP="00FE461F">
            <w:pPr>
              <w:spacing w:line="240" w:lineRule="auto"/>
              <w:jc w:val="center"/>
              <w:rPr>
                <w:rFonts w:cs="Arial"/>
                <w:szCs w:val="20"/>
              </w:rPr>
            </w:pPr>
            <w:r w:rsidRPr="005E4BEA">
              <w:rPr>
                <w:rFonts w:cs="Arial"/>
                <w:szCs w:val="20"/>
              </w:rPr>
              <w:t>19.080</w:t>
            </w:r>
          </w:p>
        </w:tc>
      </w:tr>
      <w:tr w:rsidR="00FE461F" w:rsidRPr="005E4BEA" w14:paraId="68D63EB3"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7EB25A0" w14:textId="77777777" w:rsidR="00FE461F" w:rsidRPr="005E4BEA" w:rsidRDefault="00FE461F" w:rsidP="00FE461F">
            <w:pPr>
              <w:spacing w:line="240" w:lineRule="auto"/>
              <w:rPr>
                <w:rFonts w:cs="Arial"/>
                <w:szCs w:val="20"/>
              </w:rPr>
            </w:pPr>
            <w:r w:rsidRPr="005E4BEA">
              <w:rPr>
                <w:rFonts w:cs="Arial"/>
                <w:szCs w:val="20"/>
              </w:rPr>
              <w:t>fizioterapevt</w:t>
            </w:r>
          </w:p>
        </w:tc>
        <w:tc>
          <w:tcPr>
            <w:tcW w:w="1276" w:type="dxa"/>
            <w:tcBorders>
              <w:top w:val="nil"/>
              <w:left w:val="nil"/>
              <w:bottom w:val="single" w:sz="4" w:space="0" w:color="auto"/>
              <w:right w:val="single" w:sz="4" w:space="0" w:color="auto"/>
            </w:tcBorders>
            <w:shd w:val="clear" w:color="auto" w:fill="FFFF00"/>
            <w:noWrap/>
            <w:vAlign w:val="center"/>
            <w:hideMark/>
          </w:tcPr>
          <w:p w14:paraId="330F298B" w14:textId="77777777" w:rsidR="00FE461F" w:rsidRPr="005E4BEA" w:rsidRDefault="00FE461F" w:rsidP="00FE461F">
            <w:pPr>
              <w:spacing w:line="240" w:lineRule="auto"/>
              <w:jc w:val="center"/>
              <w:rPr>
                <w:rFonts w:cs="Arial"/>
                <w:b/>
                <w:szCs w:val="20"/>
              </w:rPr>
            </w:pPr>
            <w:r w:rsidRPr="005E4BEA">
              <w:rPr>
                <w:rFonts w:cs="Arial"/>
                <w:b/>
                <w:szCs w:val="20"/>
              </w:rPr>
              <w:t>1,00</w:t>
            </w:r>
          </w:p>
        </w:tc>
        <w:tc>
          <w:tcPr>
            <w:tcW w:w="1275" w:type="dxa"/>
            <w:tcBorders>
              <w:top w:val="nil"/>
              <w:left w:val="nil"/>
              <w:bottom w:val="single" w:sz="4" w:space="0" w:color="auto"/>
              <w:right w:val="single" w:sz="4" w:space="0" w:color="auto"/>
            </w:tcBorders>
            <w:shd w:val="clear" w:color="auto" w:fill="FFFF00"/>
            <w:noWrap/>
            <w:vAlign w:val="center"/>
            <w:hideMark/>
          </w:tcPr>
          <w:p w14:paraId="67B978BC" w14:textId="77777777" w:rsidR="00FE461F" w:rsidRPr="005E4BEA" w:rsidRDefault="00FE461F" w:rsidP="00FE461F">
            <w:pPr>
              <w:spacing w:line="240" w:lineRule="auto"/>
              <w:jc w:val="center"/>
              <w:rPr>
                <w:rFonts w:cs="Arial"/>
                <w:b/>
                <w:szCs w:val="20"/>
              </w:rPr>
            </w:pPr>
            <w:r w:rsidRPr="005E4BEA">
              <w:rPr>
                <w:rFonts w:cs="Arial"/>
                <w:b/>
                <w:szCs w:val="20"/>
              </w:rPr>
              <w:t>0,50</w:t>
            </w:r>
          </w:p>
        </w:tc>
        <w:tc>
          <w:tcPr>
            <w:tcW w:w="1134" w:type="dxa"/>
            <w:tcBorders>
              <w:top w:val="nil"/>
              <w:left w:val="nil"/>
              <w:bottom w:val="single" w:sz="4" w:space="0" w:color="auto"/>
              <w:right w:val="single" w:sz="4" w:space="0" w:color="auto"/>
            </w:tcBorders>
            <w:shd w:val="clear" w:color="auto" w:fill="auto"/>
            <w:noWrap/>
            <w:vAlign w:val="center"/>
            <w:hideMark/>
          </w:tcPr>
          <w:p w14:paraId="5159A9D3" w14:textId="77777777" w:rsidR="00FE461F" w:rsidRPr="005E4BEA" w:rsidRDefault="00FE461F" w:rsidP="00FE461F">
            <w:pPr>
              <w:spacing w:line="240" w:lineRule="auto"/>
              <w:jc w:val="center"/>
              <w:rPr>
                <w:rFonts w:cs="Arial"/>
                <w:bCs/>
                <w:szCs w:val="20"/>
              </w:rPr>
            </w:pPr>
            <w:r w:rsidRPr="005E4BEA">
              <w:rPr>
                <w:rFonts w:cs="Arial"/>
                <w:bCs/>
                <w:szCs w:val="20"/>
              </w:rPr>
              <w:t>1,00</w:t>
            </w:r>
          </w:p>
        </w:tc>
        <w:tc>
          <w:tcPr>
            <w:tcW w:w="993" w:type="dxa"/>
            <w:tcBorders>
              <w:top w:val="nil"/>
              <w:left w:val="nil"/>
              <w:bottom w:val="single" w:sz="4" w:space="0" w:color="auto"/>
              <w:right w:val="single" w:sz="4" w:space="0" w:color="auto"/>
            </w:tcBorders>
            <w:shd w:val="clear" w:color="auto" w:fill="FFFF00"/>
            <w:noWrap/>
            <w:vAlign w:val="center"/>
            <w:hideMark/>
          </w:tcPr>
          <w:p w14:paraId="77D4E235" w14:textId="77777777" w:rsidR="00FE461F" w:rsidRPr="005E4BEA" w:rsidRDefault="00FE461F" w:rsidP="00FE461F">
            <w:pPr>
              <w:spacing w:line="240" w:lineRule="auto"/>
              <w:jc w:val="center"/>
              <w:rPr>
                <w:rFonts w:cs="Arial"/>
                <w:b/>
                <w:szCs w:val="20"/>
              </w:rPr>
            </w:pPr>
            <w:r w:rsidRPr="005E4BEA">
              <w:rPr>
                <w:rFonts w:cs="Arial"/>
                <w:b/>
                <w:szCs w:val="20"/>
              </w:rPr>
              <w:t>2,50</w:t>
            </w:r>
          </w:p>
        </w:tc>
        <w:tc>
          <w:tcPr>
            <w:tcW w:w="850" w:type="dxa"/>
            <w:tcBorders>
              <w:top w:val="nil"/>
              <w:left w:val="nil"/>
              <w:bottom w:val="single" w:sz="4" w:space="0" w:color="auto"/>
              <w:right w:val="single" w:sz="4" w:space="0" w:color="auto"/>
            </w:tcBorders>
            <w:shd w:val="clear" w:color="auto" w:fill="auto"/>
            <w:noWrap/>
            <w:vAlign w:val="center"/>
            <w:hideMark/>
          </w:tcPr>
          <w:p w14:paraId="3CF7144C" w14:textId="77777777" w:rsidR="00FE461F" w:rsidRPr="005E4BEA" w:rsidRDefault="00FE461F" w:rsidP="00FE461F">
            <w:pPr>
              <w:spacing w:line="240" w:lineRule="auto"/>
              <w:jc w:val="center"/>
              <w:rPr>
                <w:rFonts w:cs="Arial"/>
                <w:szCs w:val="20"/>
              </w:rPr>
            </w:pPr>
            <w:r w:rsidRPr="005E4BEA">
              <w:rPr>
                <w:rFonts w:cs="Arial"/>
                <w:szCs w:val="20"/>
              </w:rPr>
              <w:t>36</w:t>
            </w:r>
          </w:p>
        </w:tc>
        <w:tc>
          <w:tcPr>
            <w:tcW w:w="852" w:type="dxa"/>
            <w:tcBorders>
              <w:top w:val="nil"/>
              <w:left w:val="nil"/>
              <w:bottom w:val="single" w:sz="4" w:space="0" w:color="auto"/>
              <w:right w:val="single" w:sz="4" w:space="0" w:color="auto"/>
            </w:tcBorders>
            <w:shd w:val="clear" w:color="auto" w:fill="auto"/>
            <w:noWrap/>
            <w:vAlign w:val="center"/>
            <w:hideMark/>
          </w:tcPr>
          <w:p w14:paraId="6DD289FD"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41049BB5" w14:textId="77777777" w:rsidR="00FE461F" w:rsidRPr="005E4BEA" w:rsidRDefault="00FE461F" w:rsidP="00FE461F">
            <w:pPr>
              <w:spacing w:line="240" w:lineRule="auto"/>
              <w:jc w:val="center"/>
              <w:rPr>
                <w:rFonts w:cs="Arial"/>
                <w:szCs w:val="20"/>
              </w:rPr>
            </w:pPr>
            <w:r w:rsidRPr="005E4BEA">
              <w:rPr>
                <w:rFonts w:cs="Arial"/>
                <w:szCs w:val="20"/>
              </w:rPr>
              <w:t>18.603</w:t>
            </w:r>
          </w:p>
        </w:tc>
      </w:tr>
      <w:tr w:rsidR="00FE461F" w:rsidRPr="005E4BEA" w14:paraId="0021584D"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E3051F5" w14:textId="77777777" w:rsidR="00FE461F" w:rsidRPr="005E4BEA" w:rsidRDefault="00FE461F" w:rsidP="00FE461F">
            <w:pPr>
              <w:spacing w:line="240" w:lineRule="auto"/>
              <w:rPr>
                <w:rFonts w:cs="Arial"/>
                <w:szCs w:val="20"/>
              </w:rPr>
            </w:pPr>
            <w:r w:rsidRPr="005E4BEA">
              <w:rPr>
                <w:rFonts w:cs="Arial"/>
                <w:szCs w:val="20"/>
              </w:rPr>
              <w:t>delovni terapevt</w:t>
            </w:r>
          </w:p>
        </w:tc>
        <w:tc>
          <w:tcPr>
            <w:tcW w:w="1276" w:type="dxa"/>
            <w:tcBorders>
              <w:top w:val="nil"/>
              <w:left w:val="nil"/>
              <w:bottom w:val="single" w:sz="4" w:space="0" w:color="auto"/>
              <w:right w:val="single" w:sz="4" w:space="0" w:color="auto"/>
            </w:tcBorders>
            <w:shd w:val="clear" w:color="auto" w:fill="FFFF00"/>
            <w:noWrap/>
            <w:vAlign w:val="center"/>
            <w:hideMark/>
          </w:tcPr>
          <w:p w14:paraId="1EC52AA7" w14:textId="77777777" w:rsidR="00FE461F" w:rsidRPr="005E4BEA" w:rsidRDefault="00FE461F" w:rsidP="00FE461F">
            <w:pPr>
              <w:spacing w:line="240" w:lineRule="auto"/>
              <w:jc w:val="center"/>
              <w:rPr>
                <w:rFonts w:cs="Arial"/>
                <w:b/>
                <w:szCs w:val="20"/>
              </w:rPr>
            </w:pPr>
            <w:r w:rsidRPr="005E4BEA">
              <w:rPr>
                <w:rFonts w:cs="Arial"/>
                <w:b/>
                <w:szCs w:val="20"/>
              </w:rPr>
              <w:t>1,00</w:t>
            </w:r>
          </w:p>
        </w:tc>
        <w:tc>
          <w:tcPr>
            <w:tcW w:w="1275" w:type="dxa"/>
            <w:tcBorders>
              <w:top w:val="nil"/>
              <w:left w:val="nil"/>
              <w:bottom w:val="single" w:sz="4" w:space="0" w:color="auto"/>
              <w:right w:val="single" w:sz="4" w:space="0" w:color="auto"/>
            </w:tcBorders>
            <w:shd w:val="clear" w:color="auto" w:fill="FFFF00"/>
            <w:noWrap/>
            <w:vAlign w:val="center"/>
            <w:hideMark/>
          </w:tcPr>
          <w:p w14:paraId="0D020BE2" w14:textId="77777777" w:rsidR="00FE461F" w:rsidRPr="005E4BEA" w:rsidRDefault="00FE461F" w:rsidP="00FE461F">
            <w:pPr>
              <w:spacing w:line="240" w:lineRule="auto"/>
              <w:jc w:val="center"/>
              <w:rPr>
                <w:rFonts w:cs="Arial"/>
                <w:b/>
                <w:szCs w:val="20"/>
              </w:rPr>
            </w:pPr>
            <w:r w:rsidRPr="005E4BEA">
              <w:rPr>
                <w:rFonts w:cs="Arial"/>
                <w:b/>
                <w:szCs w:val="20"/>
              </w:rPr>
              <w:t>1,50</w:t>
            </w:r>
          </w:p>
        </w:tc>
        <w:tc>
          <w:tcPr>
            <w:tcW w:w="1134" w:type="dxa"/>
            <w:tcBorders>
              <w:top w:val="nil"/>
              <w:left w:val="nil"/>
              <w:bottom w:val="single" w:sz="4" w:space="0" w:color="auto"/>
              <w:right w:val="single" w:sz="4" w:space="0" w:color="auto"/>
            </w:tcBorders>
            <w:shd w:val="clear" w:color="auto" w:fill="auto"/>
            <w:noWrap/>
            <w:vAlign w:val="center"/>
            <w:hideMark/>
          </w:tcPr>
          <w:p w14:paraId="228E8DF5" w14:textId="77777777" w:rsidR="00FE461F" w:rsidRPr="005E4BEA" w:rsidRDefault="00FE461F" w:rsidP="00FE461F">
            <w:pPr>
              <w:spacing w:line="240" w:lineRule="auto"/>
              <w:jc w:val="center"/>
              <w:rPr>
                <w:rFonts w:cs="Arial"/>
                <w:bCs/>
                <w:szCs w:val="20"/>
              </w:rPr>
            </w:pPr>
            <w:r w:rsidRPr="005E4BEA">
              <w:rPr>
                <w:rFonts w:cs="Arial"/>
                <w:bCs/>
                <w:szCs w:val="20"/>
              </w:rPr>
              <w:t>1,00</w:t>
            </w:r>
          </w:p>
        </w:tc>
        <w:tc>
          <w:tcPr>
            <w:tcW w:w="993" w:type="dxa"/>
            <w:tcBorders>
              <w:top w:val="nil"/>
              <w:left w:val="nil"/>
              <w:bottom w:val="single" w:sz="4" w:space="0" w:color="auto"/>
              <w:right w:val="single" w:sz="4" w:space="0" w:color="auto"/>
            </w:tcBorders>
            <w:shd w:val="clear" w:color="auto" w:fill="FFFF00"/>
            <w:noWrap/>
            <w:vAlign w:val="center"/>
            <w:hideMark/>
          </w:tcPr>
          <w:p w14:paraId="51E8B3F7" w14:textId="77777777" w:rsidR="00FE461F" w:rsidRPr="005E4BEA" w:rsidRDefault="00FE461F" w:rsidP="00FE461F">
            <w:pPr>
              <w:spacing w:line="240" w:lineRule="auto"/>
              <w:jc w:val="center"/>
              <w:rPr>
                <w:rFonts w:cs="Arial"/>
                <w:b/>
                <w:szCs w:val="20"/>
              </w:rPr>
            </w:pPr>
            <w:r w:rsidRPr="005E4BEA">
              <w:rPr>
                <w:rFonts w:cs="Arial"/>
                <w:b/>
                <w:szCs w:val="20"/>
              </w:rPr>
              <w:t>3,50</w:t>
            </w:r>
          </w:p>
        </w:tc>
        <w:tc>
          <w:tcPr>
            <w:tcW w:w="850" w:type="dxa"/>
            <w:tcBorders>
              <w:top w:val="nil"/>
              <w:left w:val="nil"/>
              <w:bottom w:val="single" w:sz="4" w:space="0" w:color="auto"/>
              <w:right w:val="single" w:sz="4" w:space="0" w:color="auto"/>
            </w:tcBorders>
            <w:shd w:val="clear" w:color="auto" w:fill="auto"/>
            <w:noWrap/>
            <w:vAlign w:val="center"/>
            <w:hideMark/>
          </w:tcPr>
          <w:p w14:paraId="674CDAE7" w14:textId="77777777" w:rsidR="00FE461F" w:rsidRPr="005E4BEA" w:rsidRDefault="00FE461F" w:rsidP="00FE461F">
            <w:pPr>
              <w:spacing w:line="240" w:lineRule="auto"/>
              <w:jc w:val="center"/>
              <w:rPr>
                <w:rFonts w:cs="Arial"/>
                <w:szCs w:val="20"/>
              </w:rPr>
            </w:pPr>
            <w:r w:rsidRPr="005E4BEA">
              <w:rPr>
                <w:rFonts w:cs="Arial"/>
                <w:szCs w:val="20"/>
              </w:rPr>
              <w:t>36</w:t>
            </w:r>
          </w:p>
        </w:tc>
        <w:tc>
          <w:tcPr>
            <w:tcW w:w="852" w:type="dxa"/>
            <w:tcBorders>
              <w:top w:val="nil"/>
              <w:left w:val="nil"/>
              <w:bottom w:val="single" w:sz="4" w:space="0" w:color="auto"/>
              <w:right w:val="single" w:sz="4" w:space="0" w:color="auto"/>
            </w:tcBorders>
            <w:shd w:val="clear" w:color="auto" w:fill="auto"/>
            <w:noWrap/>
            <w:vAlign w:val="center"/>
            <w:hideMark/>
          </w:tcPr>
          <w:p w14:paraId="0A76B766"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0766719D" w14:textId="77777777" w:rsidR="00FE461F" w:rsidRPr="005E4BEA" w:rsidRDefault="00FE461F" w:rsidP="00FE461F">
            <w:pPr>
              <w:spacing w:line="240" w:lineRule="auto"/>
              <w:jc w:val="center"/>
              <w:rPr>
                <w:rFonts w:cs="Arial"/>
                <w:szCs w:val="20"/>
              </w:rPr>
            </w:pPr>
            <w:r w:rsidRPr="005E4BEA">
              <w:rPr>
                <w:rFonts w:cs="Arial"/>
                <w:szCs w:val="20"/>
              </w:rPr>
              <w:t>22.500</w:t>
            </w:r>
          </w:p>
        </w:tc>
      </w:tr>
      <w:tr w:rsidR="00FE461F" w:rsidRPr="005E4BEA" w14:paraId="43EC707A"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A45214C" w14:textId="77777777" w:rsidR="00FE461F" w:rsidRPr="005E4BEA" w:rsidRDefault="00FE461F" w:rsidP="00FE461F">
            <w:pPr>
              <w:spacing w:line="240" w:lineRule="auto"/>
              <w:rPr>
                <w:rFonts w:cs="Arial"/>
                <w:szCs w:val="20"/>
              </w:rPr>
            </w:pPr>
            <w:r w:rsidRPr="005E4BEA">
              <w:rPr>
                <w:rFonts w:cs="Arial"/>
                <w:szCs w:val="20"/>
              </w:rPr>
              <w:t>tehnik zdravstvene nege</w:t>
            </w:r>
          </w:p>
        </w:tc>
        <w:tc>
          <w:tcPr>
            <w:tcW w:w="1276" w:type="dxa"/>
            <w:tcBorders>
              <w:top w:val="nil"/>
              <w:left w:val="nil"/>
              <w:bottom w:val="single" w:sz="4" w:space="0" w:color="auto"/>
              <w:right w:val="single" w:sz="4" w:space="0" w:color="auto"/>
            </w:tcBorders>
            <w:shd w:val="clear" w:color="auto" w:fill="auto"/>
            <w:noWrap/>
            <w:vAlign w:val="center"/>
            <w:hideMark/>
          </w:tcPr>
          <w:p w14:paraId="691B113D" w14:textId="77777777" w:rsidR="00FE461F" w:rsidRPr="005E4BEA" w:rsidRDefault="00FE461F" w:rsidP="00FE461F">
            <w:pPr>
              <w:spacing w:line="240" w:lineRule="auto"/>
              <w:jc w:val="center"/>
              <w:rPr>
                <w:rFonts w:cs="Arial"/>
                <w:bCs/>
                <w:szCs w:val="20"/>
              </w:rPr>
            </w:pPr>
            <w:r w:rsidRPr="005E4BEA">
              <w:rPr>
                <w:rFonts w:cs="Arial"/>
                <w:bCs/>
                <w:szCs w:val="20"/>
              </w:rPr>
              <w:t>1,53</w:t>
            </w:r>
          </w:p>
        </w:tc>
        <w:tc>
          <w:tcPr>
            <w:tcW w:w="1275" w:type="dxa"/>
            <w:tcBorders>
              <w:top w:val="nil"/>
              <w:left w:val="nil"/>
              <w:bottom w:val="single" w:sz="4" w:space="0" w:color="auto"/>
              <w:right w:val="single" w:sz="4" w:space="0" w:color="auto"/>
            </w:tcBorders>
            <w:shd w:val="clear" w:color="auto" w:fill="FFFF00"/>
            <w:noWrap/>
            <w:vAlign w:val="center"/>
            <w:hideMark/>
          </w:tcPr>
          <w:p w14:paraId="4E7134F2" w14:textId="77777777" w:rsidR="00FE461F" w:rsidRPr="005E4BEA" w:rsidRDefault="00FE461F" w:rsidP="00FE461F">
            <w:pPr>
              <w:spacing w:line="240" w:lineRule="auto"/>
              <w:jc w:val="center"/>
              <w:rPr>
                <w:rFonts w:cs="Arial"/>
                <w:b/>
                <w:szCs w:val="20"/>
              </w:rPr>
            </w:pPr>
            <w:r w:rsidRPr="005E4BEA">
              <w:rPr>
                <w:rFonts w:cs="Arial"/>
                <w:b/>
                <w:szCs w:val="20"/>
              </w:rPr>
              <w:t>4,00</w:t>
            </w:r>
          </w:p>
        </w:tc>
        <w:tc>
          <w:tcPr>
            <w:tcW w:w="1134" w:type="dxa"/>
            <w:tcBorders>
              <w:top w:val="nil"/>
              <w:left w:val="nil"/>
              <w:bottom w:val="single" w:sz="4" w:space="0" w:color="auto"/>
              <w:right w:val="single" w:sz="4" w:space="0" w:color="auto"/>
            </w:tcBorders>
            <w:shd w:val="clear" w:color="auto" w:fill="FFFF00"/>
            <w:noWrap/>
            <w:vAlign w:val="center"/>
            <w:hideMark/>
          </w:tcPr>
          <w:p w14:paraId="68090785" w14:textId="77777777" w:rsidR="00FE461F" w:rsidRPr="005E4BEA" w:rsidRDefault="00FE461F" w:rsidP="00FE461F">
            <w:pPr>
              <w:spacing w:line="240" w:lineRule="auto"/>
              <w:jc w:val="center"/>
              <w:rPr>
                <w:rFonts w:cs="Arial"/>
                <w:b/>
                <w:bCs/>
                <w:szCs w:val="20"/>
              </w:rPr>
            </w:pPr>
            <w:r w:rsidRPr="005E4BEA">
              <w:rPr>
                <w:rFonts w:cs="Arial"/>
                <w:b/>
                <w:bCs/>
                <w:szCs w:val="20"/>
              </w:rPr>
              <w:t>1,00</w:t>
            </w:r>
          </w:p>
        </w:tc>
        <w:tc>
          <w:tcPr>
            <w:tcW w:w="993" w:type="dxa"/>
            <w:tcBorders>
              <w:top w:val="nil"/>
              <w:left w:val="nil"/>
              <w:bottom w:val="single" w:sz="4" w:space="0" w:color="auto"/>
              <w:right w:val="single" w:sz="4" w:space="0" w:color="auto"/>
            </w:tcBorders>
            <w:shd w:val="clear" w:color="auto" w:fill="FFFF00"/>
            <w:noWrap/>
            <w:vAlign w:val="center"/>
            <w:hideMark/>
          </w:tcPr>
          <w:p w14:paraId="3D7270D4" w14:textId="77777777" w:rsidR="00FE461F" w:rsidRPr="005E4BEA" w:rsidRDefault="00FE461F" w:rsidP="00FE461F">
            <w:pPr>
              <w:spacing w:line="240" w:lineRule="auto"/>
              <w:jc w:val="center"/>
              <w:rPr>
                <w:rFonts w:cs="Arial"/>
                <w:b/>
                <w:bCs/>
                <w:szCs w:val="20"/>
              </w:rPr>
            </w:pPr>
            <w:r w:rsidRPr="005E4BEA">
              <w:rPr>
                <w:rFonts w:cs="Arial"/>
                <w:b/>
                <w:bCs/>
                <w:szCs w:val="20"/>
              </w:rPr>
              <w:t>6,53</w:t>
            </w:r>
          </w:p>
        </w:tc>
        <w:tc>
          <w:tcPr>
            <w:tcW w:w="850" w:type="dxa"/>
            <w:tcBorders>
              <w:top w:val="nil"/>
              <w:left w:val="nil"/>
              <w:bottom w:val="single" w:sz="4" w:space="0" w:color="auto"/>
              <w:right w:val="single" w:sz="4" w:space="0" w:color="auto"/>
            </w:tcBorders>
            <w:shd w:val="clear" w:color="auto" w:fill="auto"/>
            <w:noWrap/>
            <w:vAlign w:val="center"/>
            <w:hideMark/>
          </w:tcPr>
          <w:p w14:paraId="6A5F43FD" w14:textId="77777777" w:rsidR="00FE461F" w:rsidRPr="005E4BEA" w:rsidRDefault="00FE461F" w:rsidP="00FE461F">
            <w:pPr>
              <w:spacing w:line="240" w:lineRule="auto"/>
              <w:jc w:val="center"/>
              <w:rPr>
                <w:rFonts w:cs="Arial"/>
                <w:szCs w:val="20"/>
              </w:rPr>
            </w:pPr>
            <w:r w:rsidRPr="005E4BEA">
              <w:rPr>
                <w:rFonts w:cs="Arial"/>
                <w:szCs w:val="20"/>
              </w:rPr>
              <w:t>28</w:t>
            </w:r>
          </w:p>
        </w:tc>
        <w:tc>
          <w:tcPr>
            <w:tcW w:w="852" w:type="dxa"/>
            <w:tcBorders>
              <w:top w:val="nil"/>
              <w:left w:val="nil"/>
              <w:bottom w:val="single" w:sz="4" w:space="0" w:color="auto"/>
              <w:right w:val="single" w:sz="4" w:space="0" w:color="auto"/>
            </w:tcBorders>
            <w:shd w:val="clear" w:color="auto" w:fill="auto"/>
            <w:noWrap/>
            <w:vAlign w:val="center"/>
            <w:hideMark/>
          </w:tcPr>
          <w:p w14:paraId="63C02BFB"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5E642BAD" w14:textId="77777777" w:rsidR="00FE461F" w:rsidRPr="005E4BEA" w:rsidRDefault="00FE461F" w:rsidP="00FE461F">
            <w:pPr>
              <w:spacing w:line="240" w:lineRule="auto"/>
              <w:jc w:val="center"/>
              <w:rPr>
                <w:rFonts w:cs="Arial"/>
                <w:szCs w:val="20"/>
              </w:rPr>
            </w:pPr>
          </w:p>
        </w:tc>
      </w:tr>
      <w:tr w:rsidR="00FE461F" w:rsidRPr="005E4BEA" w14:paraId="39B8207B"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0A3CFFC" w14:textId="77777777" w:rsidR="00FE461F" w:rsidRPr="005E4BEA" w:rsidRDefault="00FE461F" w:rsidP="00FE461F">
            <w:pPr>
              <w:spacing w:line="240" w:lineRule="auto"/>
              <w:rPr>
                <w:rFonts w:cs="Arial"/>
                <w:szCs w:val="20"/>
              </w:rPr>
            </w:pPr>
            <w:r w:rsidRPr="005E4BEA">
              <w:rPr>
                <w:rFonts w:cs="Arial"/>
                <w:szCs w:val="20"/>
              </w:rPr>
              <w:t>upravno tehnični delavci</w:t>
            </w:r>
          </w:p>
        </w:tc>
        <w:tc>
          <w:tcPr>
            <w:tcW w:w="1276" w:type="dxa"/>
            <w:tcBorders>
              <w:top w:val="nil"/>
              <w:left w:val="nil"/>
              <w:bottom w:val="single" w:sz="4" w:space="0" w:color="auto"/>
              <w:right w:val="single" w:sz="4" w:space="0" w:color="auto"/>
            </w:tcBorders>
            <w:shd w:val="clear" w:color="auto" w:fill="auto"/>
            <w:noWrap/>
            <w:vAlign w:val="center"/>
            <w:hideMark/>
          </w:tcPr>
          <w:p w14:paraId="076EE452" w14:textId="77777777" w:rsidR="00FE461F" w:rsidRPr="005E4BEA" w:rsidRDefault="00FE461F" w:rsidP="00FE461F">
            <w:pPr>
              <w:spacing w:line="240" w:lineRule="auto"/>
              <w:jc w:val="center"/>
              <w:rPr>
                <w:rFonts w:cs="Arial"/>
                <w:szCs w:val="20"/>
              </w:rPr>
            </w:pPr>
            <w:r w:rsidRPr="005E4BEA">
              <w:rPr>
                <w:rFonts w:cs="Arial"/>
                <w:szCs w:val="20"/>
              </w:rPr>
              <w:t>2,25</w:t>
            </w:r>
          </w:p>
        </w:tc>
        <w:tc>
          <w:tcPr>
            <w:tcW w:w="1275" w:type="dxa"/>
            <w:tcBorders>
              <w:top w:val="nil"/>
              <w:left w:val="nil"/>
              <w:bottom w:val="single" w:sz="4" w:space="0" w:color="auto"/>
              <w:right w:val="single" w:sz="4" w:space="0" w:color="auto"/>
            </w:tcBorders>
            <w:shd w:val="clear" w:color="auto" w:fill="auto"/>
            <w:noWrap/>
            <w:vAlign w:val="center"/>
            <w:hideMark/>
          </w:tcPr>
          <w:p w14:paraId="4439D53C" w14:textId="77777777" w:rsidR="00FE461F" w:rsidRPr="005E4BEA" w:rsidRDefault="00FE461F" w:rsidP="00FE461F">
            <w:pPr>
              <w:spacing w:line="240" w:lineRule="auto"/>
              <w:jc w:val="center"/>
              <w:rPr>
                <w:rFonts w:cs="Arial"/>
                <w:szCs w:val="20"/>
              </w:rPr>
            </w:pPr>
            <w:r w:rsidRPr="005E4BEA">
              <w:rPr>
                <w:rFonts w:cs="Arial"/>
                <w:szCs w:val="20"/>
              </w:rPr>
              <w:t>4,34</w:t>
            </w:r>
          </w:p>
        </w:tc>
        <w:tc>
          <w:tcPr>
            <w:tcW w:w="1134" w:type="dxa"/>
            <w:tcBorders>
              <w:top w:val="nil"/>
              <w:left w:val="nil"/>
              <w:bottom w:val="single" w:sz="4" w:space="0" w:color="auto"/>
              <w:right w:val="single" w:sz="4" w:space="0" w:color="auto"/>
            </w:tcBorders>
            <w:shd w:val="clear" w:color="auto" w:fill="auto"/>
            <w:noWrap/>
            <w:vAlign w:val="center"/>
            <w:hideMark/>
          </w:tcPr>
          <w:p w14:paraId="79B64884" w14:textId="77777777" w:rsidR="00FE461F" w:rsidRPr="005E4BEA" w:rsidRDefault="00FE461F" w:rsidP="00FE461F">
            <w:pPr>
              <w:spacing w:line="240" w:lineRule="auto"/>
              <w:jc w:val="center"/>
              <w:rPr>
                <w:rFonts w:cs="Arial"/>
                <w:szCs w:val="20"/>
              </w:rPr>
            </w:pPr>
            <w:r w:rsidRPr="005E4BEA">
              <w:rPr>
                <w:rFonts w:cs="Arial"/>
                <w:szCs w:val="20"/>
              </w:rPr>
              <w:t>6,26</w:t>
            </w:r>
          </w:p>
        </w:tc>
        <w:tc>
          <w:tcPr>
            <w:tcW w:w="993" w:type="dxa"/>
            <w:tcBorders>
              <w:top w:val="nil"/>
              <w:left w:val="nil"/>
              <w:bottom w:val="single" w:sz="4" w:space="0" w:color="auto"/>
              <w:right w:val="single" w:sz="4" w:space="0" w:color="auto"/>
            </w:tcBorders>
            <w:shd w:val="clear" w:color="auto" w:fill="auto"/>
            <w:noWrap/>
            <w:vAlign w:val="center"/>
            <w:hideMark/>
          </w:tcPr>
          <w:p w14:paraId="6108FB78" w14:textId="77777777" w:rsidR="00FE461F" w:rsidRPr="005E4BEA" w:rsidRDefault="00FE461F" w:rsidP="00FE461F">
            <w:pPr>
              <w:spacing w:line="240" w:lineRule="auto"/>
              <w:jc w:val="center"/>
              <w:rPr>
                <w:rFonts w:cs="Arial"/>
                <w:szCs w:val="20"/>
              </w:rPr>
            </w:pPr>
            <w:r w:rsidRPr="005E4BEA">
              <w:rPr>
                <w:rFonts w:cs="Arial"/>
                <w:szCs w:val="20"/>
              </w:rPr>
              <w:t>12,85</w:t>
            </w:r>
          </w:p>
        </w:tc>
        <w:tc>
          <w:tcPr>
            <w:tcW w:w="850" w:type="dxa"/>
            <w:tcBorders>
              <w:top w:val="nil"/>
              <w:left w:val="nil"/>
              <w:bottom w:val="single" w:sz="4" w:space="0" w:color="auto"/>
              <w:right w:val="single" w:sz="4" w:space="0" w:color="auto"/>
            </w:tcBorders>
            <w:shd w:val="clear" w:color="auto" w:fill="auto"/>
            <w:noWrap/>
            <w:vAlign w:val="center"/>
            <w:hideMark/>
          </w:tcPr>
          <w:p w14:paraId="30A40CD3" w14:textId="77777777" w:rsidR="00FE461F" w:rsidRPr="005E4BEA" w:rsidRDefault="00FE461F" w:rsidP="00FE461F">
            <w:pPr>
              <w:spacing w:line="240" w:lineRule="auto"/>
              <w:jc w:val="center"/>
              <w:rPr>
                <w:rFonts w:cs="Arial"/>
                <w:szCs w:val="20"/>
              </w:rPr>
            </w:pPr>
            <w:r w:rsidRPr="005E4BEA">
              <w:rPr>
                <w:rFonts w:cs="Arial"/>
                <w:szCs w:val="20"/>
              </w:rPr>
              <w:t>27</w:t>
            </w:r>
          </w:p>
        </w:tc>
        <w:tc>
          <w:tcPr>
            <w:tcW w:w="852" w:type="dxa"/>
            <w:tcBorders>
              <w:top w:val="nil"/>
              <w:left w:val="nil"/>
              <w:bottom w:val="single" w:sz="4" w:space="0" w:color="auto"/>
              <w:right w:val="single" w:sz="4" w:space="0" w:color="auto"/>
            </w:tcBorders>
            <w:shd w:val="clear" w:color="auto" w:fill="auto"/>
            <w:noWrap/>
            <w:vAlign w:val="center"/>
            <w:hideMark/>
          </w:tcPr>
          <w:p w14:paraId="208CD984"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hideMark/>
          </w:tcPr>
          <w:p w14:paraId="56814EC8" w14:textId="77777777" w:rsidR="00FE461F" w:rsidRPr="005E4BEA" w:rsidRDefault="00FE461F" w:rsidP="00FE461F">
            <w:pPr>
              <w:spacing w:line="240" w:lineRule="auto"/>
              <w:jc w:val="center"/>
              <w:rPr>
                <w:rFonts w:cs="Arial"/>
                <w:szCs w:val="20"/>
              </w:rPr>
            </w:pPr>
          </w:p>
        </w:tc>
      </w:tr>
      <w:tr w:rsidR="00FE461F" w:rsidRPr="005E4BEA" w14:paraId="1BEC0BD2"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7C2CFA5" w14:textId="77777777" w:rsidR="00FE461F" w:rsidRPr="005E4BEA" w:rsidRDefault="00FE461F" w:rsidP="00FE461F">
            <w:pPr>
              <w:spacing w:line="240" w:lineRule="auto"/>
              <w:rPr>
                <w:rFonts w:cs="Arial"/>
                <w:b/>
                <w:bCs/>
                <w:szCs w:val="20"/>
              </w:rPr>
            </w:pPr>
            <w:r w:rsidRPr="005E4BEA">
              <w:rPr>
                <w:rFonts w:cs="Arial"/>
                <w:b/>
                <w:bCs/>
                <w:szCs w:val="20"/>
              </w:rPr>
              <w:t>SKUPAJ</w:t>
            </w:r>
          </w:p>
        </w:tc>
        <w:tc>
          <w:tcPr>
            <w:tcW w:w="1276" w:type="dxa"/>
            <w:tcBorders>
              <w:top w:val="nil"/>
              <w:left w:val="nil"/>
              <w:bottom w:val="single" w:sz="4" w:space="0" w:color="auto"/>
              <w:right w:val="single" w:sz="4" w:space="0" w:color="auto"/>
            </w:tcBorders>
            <w:shd w:val="clear" w:color="auto" w:fill="FFFF00"/>
            <w:noWrap/>
            <w:vAlign w:val="center"/>
            <w:hideMark/>
          </w:tcPr>
          <w:p w14:paraId="37A4D94A" w14:textId="77777777" w:rsidR="00FE461F" w:rsidRPr="005E4BEA" w:rsidRDefault="00FE461F" w:rsidP="00FE461F">
            <w:pPr>
              <w:spacing w:line="240" w:lineRule="auto"/>
              <w:jc w:val="center"/>
              <w:rPr>
                <w:rFonts w:cs="Arial"/>
                <w:b/>
                <w:bCs/>
                <w:szCs w:val="20"/>
              </w:rPr>
            </w:pPr>
            <w:r w:rsidRPr="005E4BEA">
              <w:rPr>
                <w:rFonts w:cs="Arial"/>
                <w:b/>
                <w:bCs/>
                <w:szCs w:val="20"/>
              </w:rPr>
              <w:t>22,74</w:t>
            </w:r>
          </w:p>
        </w:tc>
        <w:tc>
          <w:tcPr>
            <w:tcW w:w="1275" w:type="dxa"/>
            <w:tcBorders>
              <w:top w:val="nil"/>
              <w:left w:val="nil"/>
              <w:bottom w:val="single" w:sz="4" w:space="0" w:color="auto"/>
              <w:right w:val="single" w:sz="4" w:space="0" w:color="auto"/>
            </w:tcBorders>
            <w:shd w:val="clear" w:color="auto" w:fill="FFFF00"/>
            <w:noWrap/>
            <w:vAlign w:val="center"/>
            <w:hideMark/>
          </w:tcPr>
          <w:p w14:paraId="4A30B862" w14:textId="77777777" w:rsidR="00FE461F" w:rsidRPr="005E4BEA" w:rsidRDefault="00FE461F" w:rsidP="00FE461F">
            <w:pPr>
              <w:spacing w:line="240" w:lineRule="auto"/>
              <w:jc w:val="center"/>
              <w:rPr>
                <w:rFonts w:cs="Arial"/>
                <w:b/>
                <w:bCs/>
                <w:szCs w:val="20"/>
              </w:rPr>
            </w:pPr>
            <w:r w:rsidRPr="005E4BEA">
              <w:rPr>
                <w:rFonts w:cs="Arial"/>
                <w:b/>
                <w:bCs/>
                <w:szCs w:val="20"/>
              </w:rPr>
              <w:t>37,84</w:t>
            </w:r>
          </w:p>
        </w:tc>
        <w:tc>
          <w:tcPr>
            <w:tcW w:w="1134" w:type="dxa"/>
            <w:tcBorders>
              <w:top w:val="nil"/>
              <w:left w:val="nil"/>
              <w:bottom w:val="single" w:sz="4" w:space="0" w:color="auto"/>
              <w:right w:val="single" w:sz="4" w:space="0" w:color="auto"/>
            </w:tcBorders>
            <w:shd w:val="clear" w:color="auto" w:fill="FFFF00"/>
            <w:noWrap/>
            <w:vAlign w:val="center"/>
            <w:hideMark/>
          </w:tcPr>
          <w:p w14:paraId="4A1E72E6" w14:textId="77777777" w:rsidR="00FE461F" w:rsidRPr="005E4BEA" w:rsidRDefault="00FE461F" w:rsidP="00FE461F">
            <w:pPr>
              <w:spacing w:line="240" w:lineRule="auto"/>
              <w:jc w:val="center"/>
              <w:rPr>
                <w:rFonts w:cs="Arial"/>
                <w:b/>
                <w:bCs/>
                <w:szCs w:val="20"/>
              </w:rPr>
            </w:pPr>
            <w:r w:rsidRPr="005E4BEA">
              <w:rPr>
                <w:rFonts w:cs="Arial"/>
                <w:b/>
                <w:bCs/>
                <w:szCs w:val="20"/>
              </w:rPr>
              <w:t>33,49</w:t>
            </w:r>
          </w:p>
        </w:tc>
        <w:tc>
          <w:tcPr>
            <w:tcW w:w="993" w:type="dxa"/>
            <w:tcBorders>
              <w:top w:val="nil"/>
              <w:left w:val="nil"/>
              <w:bottom w:val="single" w:sz="4" w:space="0" w:color="auto"/>
              <w:right w:val="single" w:sz="4" w:space="0" w:color="auto"/>
            </w:tcBorders>
            <w:shd w:val="clear" w:color="auto" w:fill="FFFF00"/>
            <w:noWrap/>
            <w:vAlign w:val="center"/>
            <w:hideMark/>
          </w:tcPr>
          <w:p w14:paraId="0D2ABF98" w14:textId="77777777" w:rsidR="00FE461F" w:rsidRPr="005E4BEA" w:rsidRDefault="00FE461F" w:rsidP="00FE461F">
            <w:pPr>
              <w:spacing w:line="240" w:lineRule="auto"/>
              <w:jc w:val="center"/>
              <w:rPr>
                <w:rFonts w:cs="Arial"/>
                <w:b/>
                <w:bCs/>
                <w:szCs w:val="20"/>
              </w:rPr>
            </w:pPr>
            <w:r w:rsidRPr="005E4BEA">
              <w:rPr>
                <w:rFonts w:cs="Arial"/>
                <w:b/>
                <w:bCs/>
                <w:szCs w:val="20"/>
              </w:rPr>
              <w:t>94,07</w:t>
            </w:r>
          </w:p>
        </w:tc>
        <w:tc>
          <w:tcPr>
            <w:tcW w:w="850" w:type="dxa"/>
            <w:tcBorders>
              <w:top w:val="nil"/>
              <w:left w:val="nil"/>
              <w:bottom w:val="single" w:sz="4" w:space="0" w:color="auto"/>
              <w:right w:val="single" w:sz="4" w:space="0" w:color="auto"/>
            </w:tcBorders>
            <w:shd w:val="clear" w:color="auto" w:fill="auto"/>
            <w:noWrap/>
            <w:vAlign w:val="center"/>
            <w:hideMark/>
          </w:tcPr>
          <w:p w14:paraId="3C04DC1F" w14:textId="77777777" w:rsidR="00FE461F" w:rsidRPr="005E4BEA" w:rsidRDefault="00FE461F" w:rsidP="00FE461F">
            <w:pPr>
              <w:spacing w:line="240" w:lineRule="auto"/>
              <w:jc w:val="center"/>
              <w:rPr>
                <w:rFonts w:cs="Arial"/>
                <w:b/>
                <w:bCs/>
                <w:szCs w:val="20"/>
              </w:rPr>
            </w:pPr>
          </w:p>
        </w:tc>
        <w:tc>
          <w:tcPr>
            <w:tcW w:w="852" w:type="dxa"/>
            <w:tcBorders>
              <w:top w:val="nil"/>
              <w:left w:val="nil"/>
              <w:bottom w:val="single" w:sz="4" w:space="0" w:color="auto"/>
              <w:right w:val="single" w:sz="4" w:space="0" w:color="auto"/>
            </w:tcBorders>
            <w:shd w:val="clear" w:color="auto" w:fill="auto"/>
            <w:noWrap/>
            <w:vAlign w:val="center"/>
            <w:hideMark/>
          </w:tcPr>
          <w:p w14:paraId="217D6A0E" w14:textId="77777777" w:rsidR="00FE461F" w:rsidRPr="005E4BEA" w:rsidRDefault="00FE461F" w:rsidP="00FE461F">
            <w:pPr>
              <w:spacing w:line="240" w:lineRule="auto"/>
              <w:jc w:val="center"/>
              <w:rPr>
                <w:rFonts w:cs="Arial"/>
                <w:b/>
                <w:bCs/>
                <w:szCs w:val="20"/>
              </w:rPr>
            </w:pPr>
          </w:p>
        </w:tc>
        <w:tc>
          <w:tcPr>
            <w:tcW w:w="1092" w:type="dxa"/>
            <w:tcBorders>
              <w:top w:val="nil"/>
              <w:left w:val="nil"/>
              <w:bottom w:val="single" w:sz="4" w:space="0" w:color="auto"/>
              <w:right w:val="single" w:sz="4" w:space="0" w:color="auto"/>
            </w:tcBorders>
            <w:shd w:val="clear" w:color="auto" w:fill="auto"/>
            <w:noWrap/>
            <w:vAlign w:val="center"/>
            <w:hideMark/>
          </w:tcPr>
          <w:p w14:paraId="635A57ED" w14:textId="77777777" w:rsidR="00FE461F" w:rsidRPr="005E4BEA" w:rsidRDefault="00FE461F" w:rsidP="00FE461F">
            <w:pPr>
              <w:spacing w:line="240" w:lineRule="auto"/>
              <w:jc w:val="center"/>
              <w:rPr>
                <w:rFonts w:cs="Arial"/>
                <w:b/>
                <w:bCs/>
                <w:szCs w:val="20"/>
              </w:rPr>
            </w:pPr>
          </w:p>
        </w:tc>
      </w:tr>
      <w:tr w:rsidR="00FE461F" w:rsidRPr="005E4BEA" w14:paraId="71446DC1" w14:textId="77777777" w:rsidTr="0016774B">
        <w:trPr>
          <w:trHeight w:hRule="exact" w:val="284"/>
        </w:trPr>
        <w:tc>
          <w:tcPr>
            <w:tcW w:w="9457" w:type="dxa"/>
            <w:gridSpan w:val="8"/>
            <w:tcBorders>
              <w:top w:val="nil"/>
              <w:left w:val="single" w:sz="4" w:space="0" w:color="auto"/>
              <w:bottom w:val="single" w:sz="4" w:space="0" w:color="auto"/>
              <w:right w:val="single" w:sz="4" w:space="0" w:color="auto"/>
            </w:tcBorders>
            <w:shd w:val="clear" w:color="auto" w:fill="auto"/>
            <w:noWrap/>
            <w:vAlign w:val="center"/>
          </w:tcPr>
          <w:p w14:paraId="498E4045" w14:textId="77777777" w:rsidR="00FE461F" w:rsidRPr="005E4BEA" w:rsidRDefault="00FE461F" w:rsidP="00FE461F">
            <w:pPr>
              <w:spacing w:line="240" w:lineRule="auto"/>
              <w:jc w:val="center"/>
              <w:rPr>
                <w:rFonts w:cs="Arial"/>
                <w:b/>
                <w:bCs/>
                <w:szCs w:val="20"/>
              </w:rPr>
            </w:pPr>
          </w:p>
        </w:tc>
      </w:tr>
      <w:tr w:rsidR="00FE461F" w:rsidRPr="005E4BEA" w14:paraId="79771B9E" w14:textId="77777777" w:rsidTr="0016774B">
        <w:trPr>
          <w:trHeight w:hRule="exact" w:val="284"/>
        </w:trPr>
        <w:tc>
          <w:tcPr>
            <w:tcW w:w="9457" w:type="dxa"/>
            <w:gridSpan w:val="8"/>
            <w:tcBorders>
              <w:top w:val="nil"/>
              <w:left w:val="single" w:sz="4" w:space="0" w:color="auto"/>
              <w:bottom w:val="single" w:sz="4" w:space="0" w:color="auto"/>
              <w:right w:val="single" w:sz="4" w:space="0" w:color="auto"/>
            </w:tcBorders>
            <w:shd w:val="clear" w:color="auto" w:fill="auto"/>
            <w:noWrap/>
            <w:vAlign w:val="center"/>
          </w:tcPr>
          <w:p w14:paraId="69338B62" w14:textId="77777777" w:rsidR="00FE461F" w:rsidRPr="005E4BEA" w:rsidRDefault="00FE461F" w:rsidP="00FE461F">
            <w:pPr>
              <w:spacing w:line="240" w:lineRule="auto"/>
              <w:rPr>
                <w:rFonts w:cs="Arial"/>
                <w:b/>
                <w:bCs/>
                <w:szCs w:val="20"/>
              </w:rPr>
            </w:pPr>
            <w:r w:rsidRPr="005E4BEA">
              <w:rPr>
                <w:rFonts w:cs="Arial"/>
                <w:b/>
                <w:bCs/>
                <w:szCs w:val="20"/>
              </w:rPr>
              <w:t>PROGRAM ZA ODRASLE</w:t>
            </w:r>
          </w:p>
        </w:tc>
      </w:tr>
      <w:tr w:rsidR="00FE461F" w:rsidRPr="005E4BEA" w14:paraId="76C75F7A"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696B879D" w14:textId="77777777" w:rsidR="00FE461F" w:rsidRPr="005E4BEA" w:rsidRDefault="00FE461F" w:rsidP="00FE461F">
            <w:pPr>
              <w:spacing w:line="240" w:lineRule="auto"/>
              <w:rPr>
                <w:rFonts w:cs="Arial"/>
                <w:szCs w:val="20"/>
              </w:rPr>
            </w:pPr>
            <w:r w:rsidRPr="005E4BEA">
              <w:rPr>
                <w:rFonts w:cs="Arial"/>
                <w:szCs w:val="20"/>
              </w:rPr>
              <w:t>klinični logoped**</w:t>
            </w:r>
          </w:p>
        </w:tc>
        <w:tc>
          <w:tcPr>
            <w:tcW w:w="1276" w:type="dxa"/>
            <w:tcBorders>
              <w:top w:val="nil"/>
              <w:left w:val="nil"/>
              <w:bottom w:val="single" w:sz="4" w:space="0" w:color="auto"/>
              <w:right w:val="single" w:sz="4" w:space="0" w:color="auto"/>
            </w:tcBorders>
            <w:shd w:val="clear" w:color="auto" w:fill="auto"/>
            <w:noWrap/>
            <w:vAlign w:val="center"/>
          </w:tcPr>
          <w:p w14:paraId="5D3E7EC1" w14:textId="77777777" w:rsidR="00FE461F" w:rsidRPr="005E4BEA" w:rsidRDefault="00FE461F" w:rsidP="00FE461F">
            <w:pPr>
              <w:spacing w:line="240" w:lineRule="auto"/>
              <w:jc w:val="center"/>
              <w:rPr>
                <w:rFonts w:cs="Arial"/>
                <w:szCs w:val="20"/>
              </w:rPr>
            </w:pPr>
            <w:r w:rsidRPr="005E4BEA">
              <w:rPr>
                <w:rFonts w:cs="Arial"/>
                <w:szCs w:val="20"/>
              </w:rPr>
              <w:t>-</w:t>
            </w:r>
          </w:p>
        </w:tc>
        <w:tc>
          <w:tcPr>
            <w:tcW w:w="1275" w:type="dxa"/>
            <w:tcBorders>
              <w:top w:val="nil"/>
              <w:left w:val="nil"/>
              <w:bottom w:val="single" w:sz="4" w:space="0" w:color="auto"/>
              <w:right w:val="single" w:sz="4" w:space="0" w:color="auto"/>
            </w:tcBorders>
            <w:shd w:val="clear" w:color="auto" w:fill="auto"/>
            <w:noWrap/>
            <w:vAlign w:val="center"/>
          </w:tcPr>
          <w:p w14:paraId="4191A175" w14:textId="77777777" w:rsidR="00FE461F" w:rsidRPr="005E4BEA" w:rsidRDefault="00FE461F" w:rsidP="00FE461F">
            <w:pPr>
              <w:spacing w:line="240" w:lineRule="auto"/>
              <w:jc w:val="center"/>
              <w:rPr>
                <w:rFonts w:cs="Arial"/>
                <w:szCs w:val="20"/>
              </w:rPr>
            </w:pPr>
            <w:r w:rsidRPr="005E4BEA">
              <w:rPr>
                <w:rFonts w:cs="Arial"/>
                <w:szCs w:val="20"/>
              </w:rPr>
              <w:t>-</w:t>
            </w:r>
          </w:p>
        </w:tc>
        <w:tc>
          <w:tcPr>
            <w:tcW w:w="1134" w:type="dxa"/>
            <w:tcBorders>
              <w:top w:val="nil"/>
              <w:left w:val="nil"/>
              <w:bottom w:val="single" w:sz="4" w:space="0" w:color="auto"/>
              <w:right w:val="single" w:sz="4" w:space="0" w:color="auto"/>
            </w:tcBorders>
            <w:shd w:val="clear" w:color="auto" w:fill="auto"/>
            <w:noWrap/>
            <w:vAlign w:val="center"/>
          </w:tcPr>
          <w:p w14:paraId="0AEBDC33" w14:textId="77777777" w:rsidR="00FE461F" w:rsidRPr="005E4BEA" w:rsidRDefault="00FE461F" w:rsidP="00FE461F">
            <w:pPr>
              <w:spacing w:line="240" w:lineRule="auto"/>
              <w:jc w:val="center"/>
              <w:rPr>
                <w:rFonts w:cs="Arial"/>
                <w:szCs w:val="20"/>
              </w:rPr>
            </w:pPr>
            <w:r w:rsidRPr="005E4BEA">
              <w:rPr>
                <w:rFonts w:cs="Arial"/>
                <w:szCs w:val="20"/>
              </w:rPr>
              <w:t>2,00</w:t>
            </w:r>
          </w:p>
        </w:tc>
        <w:tc>
          <w:tcPr>
            <w:tcW w:w="993" w:type="dxa"/>
            <w:tcBorders>
              <w:top w:val="nil"/>
              <w:left w:val="nil"/>
              <w:bottom w:val="single" w:sz="4" w:space="0" w:color="auto"/>
              <w:right w:val="single" w:sz="4" w:space="0" w:color="auto"/>
            </w:tcBorders>
            <w:shd w:val="clear" w:color="auto" w:fill="auto"/>
            <w:noWrap/>
            <w:vAlign w:val="center"/>
          </w:tcPr>
          <w:p w14:paraId="156B4A13" w14:textId="77777777" w:rsidR="00FE461F" w:rsidRPr="005E4BEA" w:rsidRDefault="00FE461F" w:rsidP="00FE461F">
            <w:pPr>
              <w:spacing w:line="240" w:lineRule="auto"/>
              <w:jc w:val="center"/>
              <w:rPr>
                <w:rFonts w:cs="Arial"/>
                <w:szCs w:val="20"/>
              </w:rPr>
            </w:pPr>
            <w:r w:rsidRPr="005E4BEA">
              <w:rPr>
                <w:rFonts w:cs="Arial"/>
                <w:szCs w:val="20"/>
              </w:rPr>
              <w:t>2,00</w:t>
            </w:r>
          </w:p>
        </w:tc>
        <w:tc>
          <w:tcPr>
            <w:tcW w:w="850" w:type="dxa"/>
            <w:tcBorders>
              <w:top w:val="nil"/>
              <w:left w:val="nil"/>
              <w:bottom w:val="single" w:sz="4" w:space="0" w:color="auto"/>
              <w:right w:val="single" w:sz="4" w:space="0" w:color="auto"/>
            </w:tcBorders>
            <w:shd w:val="clear" w:color="auto" w:fill="auto"/>
            <w:noWrap/>
            <w:vAlign w:val="center"/>
          </w:tcPr>
          <w:p w14:paraId="5005818F" w14:textId="77777777" w:rsidR="00FE461F" w:rsidRPr="005E4BEA" w:rsidRDefault="00FE461F" w:rsidP="00FE461F">
            <w:pPr>
              <w:spacing w:line="240" w:lineRule="auto"/>
              <w:jc w:val="center"/>
              <w:rPr>
                <w:rFonts w:cs="Arial"/>
                <w:szCs w:val="20"/>
              </w:rPr>
            </w:pPr>
            <w:r w:rsidRPr="005E4BEA">
              <w:rPr>
                <w:rFonts w:cs="Arial"/>
                <w:szCs w:val="20"/>
              </w:rPr>
              <w:t>46</w:t>
            </w:r>
          </w:p>
        </w:tc>
        <w:tc>
          <w:tcPr>
            <w:tcW w:w="852" w:type="dxa"/>
            <w:tcBorders>
              <w:top w:val="nil"/>
              <w:left w:val="nil"/>
              <w:bottom w:val="single" w:sz="4" w:space="0" w:color="auto"/>
              <w:right w:val="single" w:sz="4" w:space="0" w:color="auto"/>
            </w:tcBorders>
            <w:shd w:val="clear" w:color="auto" w:fill="auto"/>
            <w:noWrap/>
            <w:vAlign w:val="center"/>
          </w:tcPr>
          <w:p w14:paraId="7E482FCD"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tcPr>
          <w:p w14:paraId="325EB80B" w14:textId="77777777" w:rsidR="00FE461F" w:rsidRPr="005E4BEA" w:rsidRDefault="00FE461F" w:rsidP="00FE461F">
            <w:pPr>
              <w:spacing w:line="240" w:lineRule="auto"/>
              <w:jc w:val="center"/>
              <w:rPr>
                <w:rFonts w:cs="Arial"/>
                <w:szCs w:val="20"/>
              </w:rPr>
            </w:pPr>
            <w:r w:rsidRPr="005E4BEA">
              <w:rPr>
                <w:rFonts w:cs="Arial"/>
                <w:szCs w:val="20"/>
              </w:rPr>
              <w:t>21.942</w:t>
            </w:r>
          </w:p>
        </w:tc>
      </w:tr>
      <w:tr w:rsidR="00FE461F" w:rsidRPr="005E4BEA" w14:paraId="30AD4679"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9A6B139" w14:textId="77777777" w:rsidR="00FE461F" w:rsidRPr="005E4BEA" w:rsidRDefault="00FE461F" w:rsidP="00FE461F">
            <w:pPr>
              <w:spacing w:line="240" w:lineRule="auto"/>
              <w:rPr>
                <w:rFonts w:cs="Arial"/>
                <w:szCs w:val="20"/>
              </w:rPr>
            </w:pPr>
            <w:r w:rsidRPr="005E4BEA">
              <w:rPr>
                <w:rFonts w:cs="Arial"/>
                <w:szCs w:val="20"/>
              </w:rPr>
              <w:t>defektolog</w:t>
            </w:r>
          </w:p>
        </w:tc>
        <w:tc>
          <w:tcPr>
            <w:tcW w:w="1276" w:type="dxa"/>
            <w:tcBorders>
              <w:top w:val="nil"/>
              <w:left w:val="nil"/>
              <w:bottom w:val="single" w:sz="4" w:space="0" w:color="auto"/>
              <w:right w:val="single" w:sz="4" w:space="0" w:color="auto"/>
            </w:tcBorders>
            <w:shd w:val="clear" w:color="auto" w:fill="auto"/>
            <w:noWrap/>
            <w:vAlign w:val="center"/>
          </w:tcPr>
          <w:p w14:paraId="6AE9B2BE" w14:textId="77777777" w:rsidR="00FE461F" w:rsidRPr="005E4BEA" w:rsidRDefault="00FE461F" w:rsidP="00FE461F">
            <w:pPr>
              <w:spacing w:line="240" w:lineRule="auto"/>
              <w:jc w:val="center"/>
              <w:rPr>
                <w:rFonts w:cs="Arial"/>
                <w:szCs w:val="20"/>
              </w:rPr>
            </w:pPr>
            <w:r w:rsidRPr="005E4BEA">
              <w:rPr>
                <w:rFonts w:cs="Arial"/>
                <w:szCs w:val="20"/>
              </w:rPr>
              <w:t>-</w:t>
            </w:r>
          </w:p>
        </w:tc>
        <w:tc>
          <w:tcPr>
            <w:tcW w:w="1275" w:type="dxa"/>
            <w:tcBorders>
              <w:top w:val="nil"/>
              <w:left w:val="nil"/>
              <w:bottom w:val="single" w:sz="4" w:space="0" w:color="auto"/>
              <w:right w:val="single" w:sz="4" w:space="0" w:color="auto"/>
            </w:tcBorders>
            <w:shd w:val="clear" w:color="auto" w:fill="auto"/>
            <w:noWrap/>
            <w:vAlign w:val="center"/>
          </w:tcPr>
          <w:p w14:paraId="227B1777" w14:textId="77777777" w:rsidR="00FE461F" w:rsidRPr="005E4BEA" w:rsidRDefault="00FE461F" w:rsidP="00FE461F">
            <w:pPr>
              <w:spacing w:line="240" w:lineRule="auto"/>
              <w:jc w:val="center"/>
              <w:rPr>
                <w:rFonts w:cs="Arial"/>
                <w:szCs w:val="20"/>
              </w:rPr>
            </w:pPr>
            <w:r w:rsidRPr="005E4BEA">
              <w:rPr>
                <w:rFonts w:cs="Arial"/>
                <w:szCs w:val="20"/>
              </w:rPr>
              <w:t>2,28</w:t>
            </w:r>
          </w:p>
        </w:tc>
        <w:tc>
          <w:tcPr>
            <w:tcW w:w="1134" w:type="dxa"/>
            <w:tcBorders>
              <w:top w:val="nil"/>
              <w:left w:val="nil"/>
              <w:bottom w:val="single" w:sz="4" w:space="0" w:color="auto"/>
              <w:right w:val="single" w:sz="4" w:space="0" w:color="auto"/>
            </w:tcBorders>
            <w:shd w:val="clear" w:color="auto" w:fill="auto"/>
            <w:noWrap/>
            <w:vAlign w:val="center"/>
          </w:tcPr>
          <w:p w14:paraId="673FEE32" w14:textId="77777777" w:rsidR="00FE461F" w:rsidRPr="005E4BEA" w:rsidRDefault="00FE461F" w:rsidP="00FE461F">
            <w:pPr>
              <w:spacing w:line="240" w:lineRule="auto"/>
              <w:jc w:val="center"/>
              <w:rPr>
                <w:rFonts w:cs="Arial"/>
                <w:szCs w:val="20"/>
              </w:rPr>
            </w:pPr>
            <w:r w:rsidRPr="005E4BEA">
              <w:rPr>
                <w:rFonts w:cs="Arial"/>
                <w:szCs w:val="20"/>
              </w:rPr>
              <w:t>0,83</w:t>
            </w:r>
          </w:p>
        </w:tc>
        <w:tc>
          <w:tcPr>
            <w:tcW w:w="993" w:type="dxa"/>
            <w:tcBorders>
              <w:top w:val="nil"/>
              <w:left w:val="nil"/>
              <w:bottom w:val="single" w:sz="4" w:space="0" w:color="auto"/>
              <w:right w:val="single" w:sz="4" w:space="0" w:color="auto"/>
            </w:tcBorders>
            <w:shd w:val="clear" w:color="auto" w:fill="auto"/>
            <w:noWrap/>
            <w:vAlign w:val="center"/>
          </w:tcPr>
          <w:p w14:paraId="1AA1D653" w14:textId="77777777" w:rsidR="00FE461F" w:rsidRPr="005E4BEA" w:rsidRDefault="00FE461F" w:rsidP="00FE461F">
            <w:pPr>
              <w:spacing w:line="240" w:lineRule="auto"/>
              <w:jc w:val="center"/>
              <w:rPr>
                <w:rFonts w:cs="Arial"/>
                <w:szCs w:val="20"/>
              </w:rPr>
            </w:pPr>
            <w:r w:rsidRPr="005E4BEA">
              <w:rPr>
                <w:rFonts w:cs="Arial"/>
                <w:szCs w:val="20"/>
              </w:rPr>
              <w:t>3,11</w:t>
            </w:r>
          </w:p>
        </w:tc>
        <w:tc>
          <w:tcPr>
            <w:tcW w:w="850" w:type="dxa"/>
            <w:tcBorders>
              <w:top w:val="nil"/>
              <w:left w:val="nil"/>
              <w:bottom w:val="single" w:sz="4" w:space="0" w:color="auto"/>
              <w:right w:val="single" w:sz="4" w:space="0" w:color="auto"/>
            </w:tcBorders>
            <w:shd w:val="clear" w:color="auto" w:fill="auto"/>
            <w:noWrap/>
            <w:vAlign w:val="center"/>
          </w:tcPr>
          <w:p w14:paraId="4DA7DFAE" w14:textId="77777777" w:rsidR="00FE461F" w:rsidRPr="005E4BEA" w:rsidRDefault="00FE461F" w:rsidP="00FE461F">
            <w:pPr>
              <w:spacing w:line="240" w:lineRule="auto"/>
              <w:jc w:val="center"/>
              <w:rPr>
                <w:rFonts w:cs="Arial"/>
                <w:szCs w:val="20"/>
              </w:rPr>
            </w:pPr>
            <w:r w:rsidRPr="005E4BEA">
              <w:rPr>
                <w:rFonts w:cs="Arial"/>
                <w:szCs w:val="20"/>
              </w:rPr>
              <w:t>38</w:t>
            </w:r>
          </w:p>
        </w:tc>
        <w:tc>
          <w:tcPr>
            <w:tcW w:w="852" w:type="dxa"/>
            <w:tcBorders>
              <w:top w:val="nil"/>
              <w:left w:val="nil"/>
              <w:bottom w:val="single" w:sz="4" w:space="0" w:color="auto"/>
              <w:right w:val="single" w:sz="4" w:space="0" w:color="auto"/>
            </w:tcBorders>
            <w:shd w:val="clear" w:color="auto" w:fill="auto"/>
            <w:noWrap/>
            <w:vAlign w:val="center"/>
          </w:tcPr>
          <w:p w14:paraId="3C3CF286" w14:textId="77777777" w:rsidR="00FE461F" w:rsidRPr="005E4BEA" w:rsidRDefault="00FE461F" w:rsidP="00FE461F">
            <w:pPr>
              <w:spacing w:line="240" w:lineRule="auto"/>
              <w:jc w:val="center"/>
              <w:rPr>
                <w:rFonts w:cs="Arial"/>
                <w:szCs w:val="20"/>
              </w:rPr>
            </w:pPr>
            <w:r w:rsidRPr="005E4BEA">
              <w:rPr>
                <w:rFonts w:cs="Arial"/>
                <w:szCs w:val="20"/>
              </w:rPr>
              <w:t>9,20 %</w:t>
            </w:r>
          </w:p>
        </w:tc>
        <w:tc>
          <w:tcPr>
            <w:tcW w:w="1092" w:type="dxa"/>
            <w:tcBorders>
              <w:top w:val="nil"/>
              <w:left w:val="nil"/>
              <w:bottom w:val="single" w:sz="4" w:space="0" w:color="auto"/>
              <w:right w:val="single" w:sz="4" w:space="0" w:color="auto"/>
            </w:tcBorders>
            <w:shd w:val="clear" w:color="auto" w:fill="auto"/>
            <w:noWrap/>
            <w:vAlign w:val="center"/>
          </w:tcPr>
          <w:p w14:paraId="0930D021" w14:textId="77777777" w:rsidR="00FE461F" w:rsidRPr="005E4BEA" w:rsidRDefault="00FE461F" w:rsidP="00FE461F">
            <w:pPr>
              <w:spacing w:line="240" w:lineRule="auto"/>
              <w:jc w:val="center"/>
              <w:rPr>
                <w:rFonts w:cs="Arial"/>
                <w:szCs w:val="20"/>
              </w:rPr>
            </w:pPr>
            <w:r w:rsidRPr="005E4BEA">
              <w:rPr>
                <w:rFonts w:cs="Arial"/>
                <w:szCs w:val="20"/>
              </w:rPr>
              <w:t>19.080</w:t>
            </w:r>
          </w:p>
        </w:tc>
      </w:tr>
      <w:tr w:rsidR="00FE461F" w:rsidRPr="005E4BEA" w14:paraId="356AED40" w14:textId="77777777" w:rsidTr="0016774B">
        <w:trPr>
          <w:trHeight w:hRule="exact" w:val="284"/>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2756A8D" w14:textId="77777777" w:rsidR="00FE461F" w:rsidRPr="005E4BEA" w:rsidRDefault="00FE461F" w:rsidP="00FE461F">
            <w:pPr>
              <w:spacing w:line="240" w:lineRule="auto"/>
              <w:rPr>
                <w:rFonts w:cs="Arial"/>
                <w:b/>
                <w:bCs/>
                <w:szCs w:val="20"/>
              </w:rPr>
            </w:pPr>
            <w:r w:rsidRPr="005E4BEA">
              <w:rPr>
                <w:rFonts w:cs="Arial"/>
                <w:b/>
                <w:bCs/>
                <w:szCs w:val="20"/>
              </w:rPr>
              <w:t>SKUPAJ</w:t>
            </w:r>
          </w:p>
        </w:tc>
        <w:tc>
          <w:tcPr>
            <w:tcW w:w="1276" w:type="dxa"/>
            <w:tcBorders>
              <w:top w:val="nil"/>
              <w:left w:val="nil"/>
              <w:bottom w:val="single" w:sz="4" w:space="0" w:color="auto"/>
              <w:right w:val="single" w:sz="4" w:space="0" w:color="auto"/>
            </w:tcBorders>
            <w:shd w:val="clear" w:color="auto" w:fill="auto"/>
            <w:noWrap/>
            <w:vAlign w:val="center"/>
          </w:tcPr>
          <w:p w14:paraId="6D85477C" w14:textId="77777777" w:rsidR="00FE461F" w:rsidRPr="005E4BEA" w:rsidRDefault="00FE461F" w:rsidP="00FE461F">
            <w:pPr>
              <w:spacing w:line="240" w:lineRule="auto"/>
              <w:jc w:val="center"/>
              <w:rPr>
                <w:rFonts w:cs="Arial"/>
                <w:b/>
                <w:bCs/>
                <w:szCs w:val="20"/>
              </w:rPr>
            </w:pPr>
            <w:r w:rsidRPr="005E4BEA">
              <w:rPr>
                <w:rFonts w:cs="Arial"/>
                <w:b/>
                <w:bCs/>
                <w:szCs w:val="20"/>
              </w:rPr>
              <w:t>-</w:t>
            </w:r>
          </w:p>
        </w:tc>
        <w:tc>
          <w:tcPr>
            <w:tcW w:w="1275" w:type="dxa"/>
            <w:tcBorders>
              <w:top w:val="nil"/>
              <w:left w:val="nil"/>
              <w:bottom w:val="single" w:sz="4" w:space="0" w:color="auto"/>
              <w:right w:val="single" w:sz="4" w:space="0" w:color="auto"/>
            </w:tcBorders>
            <w:shd w:val="clear" w:color="auto" w:fill="auto"/>
            <w:noWrap/>
            <w:vAlign w:val="center"/>
          </w:tcPr>
          <w:p w14:paraId="2D145CF5" w14:textId="77777777" w:rsidR="00FE461F" w:rsidRPr="005E4BEA" w:rsidRDefault="00FE461F" w:rsidP="00FE461F">
            <w:pPr>
              <w:spacing w:line="240" w:lineRule="auto"/>
              <w:jc w:val="center"/>
              <w:rPr>
                <w:rFonts w:cs="Arial"/>
                <w:b/>
                <w:bCs/>
                <w:szCs w:val="20"/>
              </w:rPr>
            </w:pPr>
            <w:r w:rsidRPr="005E4BEA">
              <w:rPr>
                <w:rFonts w:cs="Arial"/>
                <w:b/>
                <w:bCs/>
                <w:szCs w:val="20"/>
              </w:rPr>
              <w:t>2,28</w:t>
            </w:r>
          </w:p>
        </w:tc>
        <w:tc>
          <w:tcPr>
            <w:tcW w:w="1134" w:type="dxa"/>
            <w:tcBorders>
              <w:top w:val="nil"/>
              <w:left w:val="nil"/>
              <w:bottom w:val="single" w:sz="4" w:space="0" w:color="auto"/>
              <w:right w:val="single" w:sz="4" w:space="0" w:color="auto"/>
            </w:tcBorders>
            <w:shd w:val="clear" w:color="auto" w:fill="auto"/>
            <w:noWrap/>
            <w:vAlign w:val="center"/>
          </w:tcPr>
          <w:p w14:paraId="013EE59F" w14:textId="77777777" w:rsidR="00FE461F" w:rsidRPr="005E4BEA" w:rsidRDefault="00FE461F" w:rsidP="00FE461F">
            <w:pPr>
              <w:spacing w:line="240" w:lineRule="auto"/>
              <w:jc w:val="center"/>
              <w:rPr>
                <w:rFonts w:cs="Arial"/>
                <w:b/>
                <w:bCs/>
                <w:szCs w:val="20"/>
              </w:rPr>
            </w:pPr>
            <w:r w:rsidRPr="005E4BEA">
              <w:rPr>
                <w:rFonts w:cs="Arial"/>
                <w:b/>
                <w:bCs/>
                <w:szCs w:val="20"/>
              </w:rPr>
              <w:t>2,83</w:t>
            </w:r>
          </w:p>
        </w:tc>
        <w:tc>
          <w:tcPr>
            <w:tcW w:w="993" w:type="dxa"/>
            <w:tcBorders>
              <w:top w:val="nil"/>
              <w:left w:val="nil"/>
              <w:bottom w:val="single" w:sz="4" w:space="0" w:color="auto"/>
              <w:right w:val="single" w:sz="4" w:space="0" w:color="auto"/>
            </w:tcBorders>
            <w:shd w:val="clear" w:color="auto" w:fill="auto"/>
            <w:noWrap/>
            <w:vAlign w:val="center"/>
          </w:tcPr>
          <w:p w14:paraId="64FBA43B" w14:textId="77777777" w:rsidR="00FE461F" w:rsidRPr="005E4BEA" w:rsidRDefault="00FE461F" w:rsidP="00FE461F">
            <w:pPr>
              <w:spacing w:line="240" w:lineRule="auto"/>
              <w:jc w:val="center"/>
              <w:rPr>
                <w:rFonts w:cs="Arial"/>
                <w:b/>
                <w:bCs/>
                <w:szCs w:val="20"/>
              </w:rPr>
            </w:pPr>
            <w:r w:rsidRPr="005E4BEA">
              <w:rPr>
                <w:rFonts w:cs="Arial"/>
                <w:b/>
                <w:bCs/>
                <w:szCs w:val="20"/>
              </w:rPr>
              <w:t>5,11</w:t>
            </w:r>
          </w:p>
        </w:tc>
        <w:tc>
          <w:tcPr>
            <w:tcW w:w="850" w:type="dxa"/>
            <w:tcBorders>
              <w:top w:val="nil"/>
              <w:left w:val="nil"/>
              <w:bottom w:val="single" w:sz="4" w:space="0" w:color="auto"/>
              <w:right w:val="single" w:sz="4" w:space="0" w:color="auto"/>
            </w:tcBorders>
            <w:shd w:val="clear" w:color="auto" w:fill="auto"/>
            <w:noWrap/>
            <w:vAlign w:val="center"/>
          </w:tcPr>
          <w:p w14:paraId="24D8505D" w14:textId="77777777" w:rsidR="00FE461F" w:rsidRPr="005E4BEA" w:rsidRDefault="00FE461F" w:rsidP="00FE461F">
            <w:pPr>
              <w:spacing w:line="240" w:lineRule="auto"/>
              <w:jc w:val="center"/>
              <w:rPr>
                <w:rFonts w:cs="Arial"/>
                <w:b/>
                <w:bCs/>
                <w:szCs w:val="20"/>
              </w:rPr>
            </w:pPr>
          </w:p>
        </w:tc>
        <w:tc>
          <w:tcPr>
            <w:tcW w:w="852" w:type="dxa"/>
            <w:tcBorders>
              <w:top w:val="nil"/>
              <w:left w:val="nil"/>
              <w:bottom w:val="single" w:sz="4" w:space="0" w:color="auto"/>
              <w:right w:val="single" w:sz="4" w:space="0" w:color="auto"/>
            </w:tcBorders>
            <w:shd w:val="clear" w:color="auto" w:fill="auto"/>
            <w:noWrap/>
            <w:vAlign w:val="center"/>
          </w:tcPr>
          <w:p w14:paraId="198FD86E" w14:textId="77777777" w:rsidR="00FE461F" w:rsidRPr="005E4BEA" w:rsidRDefault="00FE461F" w:rsidP="00FE461F">
            <w:pPr>
              <w:spacing w:line="240" w:lineRule="auto"/>
              <w:jc w:val="center"/>
              <w:rPr>
                <w:rFonts w:cs="Arial"/>
                <w:b/>
                <w:bCs/>
                <w:szCs w:val="20"/>
              </w:rPr>
            </w:pPr>
          </w:p>
        </w:tc>
        <w:tc>
          <w:tcPr>
            <w:tcW w:w="1092" w:type="dxa"/>
            <w:tcBorders>
              <w:top w:val="nil"/>
              <w:left w:val="nil"/>
              <w:bottom w:val="single" w:sz="4" w:space="0" w:color="auto"/>
              <w:right w:val="single" w:sz="4" w:space="0" w:color="auto"/>
            </w:tcBorders>
            <w:shd w:val="clear" w:color="auto" w:fill="auto"/>
            <w:noWrap/>
            <w:vAlign w:val="center"/>
          </w:tcPr>
          <w:p w14:paraId="3E6EA2DE" w14:textId="77777777" w:rsidR="00FE461F" w:rsidRPr="005E4BEA" w:rsidRDefault="00FE461F" w:rsidP="00FE461F">
            <w:pPr>
              <w:spacing w:line="240" w:lineRule="auto"/>
              <w:jc w:val="center"/>
              <w:rPr>
                <w:rFonts w:cs="Arial"/>
                <w:b/>
                <w:bCs/>
                <w:szCs w:val="20"/>
              </w:rPr>
            </w:pPr>
          </w:p>
        </w:tc>
      </w:tr>
      <w:tr w:rsidR="00FE461F" w:rsidRPr="005E4BEA" w14:paraId="7946E46A" w14:textId="77777777" w:rsidTr="0016774B">
        <w:trPr>
          <w:trHeight w:hRule="exact" w:val="284"/>
        </w:trPr>
        <w:tc>
          <w:tcPr>
            <w:tcW w:w="9457" w:type="dxa"/>
            <w:gridSpan w:val="8"/>
            <w:tcBorders>
              <w:top w:val="nil"/>
              <w:left w:val="single" w:sz="4" w:space="0" w:color="auto"/>
              <w:bottom w:val="single" w:sz="4" w:space="0" w:color="auto"/>
              <w:right w:val="single" w:sz="4" w:space="0" w:color="auto"/>
            </w:tcBorders>
            <w:shd w:val="clear" w:color="auto" w:fill="auto"/>
            <w:noWrap/>
            <w:vAlign w:val="bottom"/>
          </w:tcPr>
          <w:p w14:paraId="621C787B" w14:textId="77777777" w:rsidR="00FE461F" w:rsidRPr="005E4BEA" w:rsidRDefault="00FE461F" w:rsidP="00FE461F">
            <w:pPr>
              <w:spacing w:line="240" w:lineRule="auto"/>
              <w:jc w:val="center"/>
              <w:rPr>
                <w:rFonts w:cs="Arial"/>
                <w:b/>
                <w:bCs/>
                <w:szCs w:val="20"/>
              </w:rPr>
            </w:pPr>
          </w:p>
        </w:tc>
      </w:tr>
      <w:tr w:rsidR="00FE461F" w:rsidRPr="005E4BEA" w14:paraId="3A1068AC" w14:textId="77777777" w:rsidTr="00423167">
        <w:trPr>
          <w:trHeight w:hRule="exact" w:val="1172"/>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FB5BFA1" w14:textId="77777777" w:rsidR="00FE461F" w:rsidRPr="005E4BEA" w:rsidRDefault="00FE461F" w:rsidP="00FE461F">
            <w:pPr>
              <w:spacing w:line="240" w:lineRule="auto"/>
              <w:rPr>
                <w:rFonts w:cs="Arial"/>
                <w:b/>
                <w:bCs/>
                <w:szCs w:val="20"/>
              </w:rPr>
            </w:pPr>
            <w:r w:rsidRPr="005E4BEA">
              <w:rPr>
                <w:rFonts w:cs="Arial"/>
                <w:b/>
                <w:bCs/>
                <w:szCs w:val="20"/>
              </w:rPr>
              <w:t>PROGRAM ZA OTROKE IN ODRASLE SKUPAJ</w:t>
            </w:r>
          </w:p>
        </w:tc>
        <w:tc>
          <w:tcPr>
            <w:tcW w:w="1276" w:type="dxa"/>
            <w:tcBorders>
              <w:top w:val="nil"/>
              <w:left w:val="nil"/>
              <w:bottom w:val="single" w:sz="4" w:space="0" w:color="auto"/>
              <w:right w:val="single" w:sz="4" w:space="0" w:color="auto"/>
            </w:tcBorders>
            <w:shd w:val="clear" w:color="auto" w:fill="FFFF00"/>
            <w:noWrap/>
            <w:vAlign w:val="center"/>
          </w:tcPr>
          <w:p w14:paraId="6A85468C" w14:textId="77777777" w:rsidR="00FE461F" w:rsidRPr="005E4BEA" w:rsidRDefault="00FE461F" w:rsidP="00FE461F">
            <w:pPr>
              <w:spacing w:line="240" w:lineRule="auto"/>
              <w:jc w:val="center"/>
              <w:rPr>
                <w:rFonts w:cs="Arial"/>
                <w:b/>
                <w:bCs/>
                <w:szCs w:val="20"/>
              </w:rPr>
            </w:pPr>
            <w:r w:rsidRPr="005E4BEA">
              <w:rPr>
                <w:rFonts w:cs="Arial"/>
                <w:b/>
                <w:bCs/>
                <w:szCs w:val="20"/>
              </w:rPr>
              <w:t>22,74</w:t>
            </w:r>
          </w:p>
        </w:tc>
        <w:tc>
          <w:tcPr>
            <w:tcW w:w="1275" w:type="dxa"/>
            <w:tcBorders>
              <w:top w:val="nil"/>
              <w:left w:val="nil"/>
              <w:bottom w:val="single" w:sz="4" w:space="0" w:color="auto"/>
              <w:right w:val="single" w:sz="4" w:space="0" w:color="auto"/>
            </w:tcBorders>
            <w:shd w:val="clear" w:color="auto" w:fill="FFFF00"/>
            <w:noWrap/>
            <w:vAlign w:val="center"/>
          </w:tcPr>
          <w:p w14:paraId="15F05881" w14:textId="77777777" w:rsidR="00FE461F" w:rsidRPr="005E4BEA" w:rsidRDefault="00FE461F" w:rsidP="00FE461F">
            <w:pPr>
              <w:spacing w:line="240" w:lineRule="auto"/>
              <w:jc w:val="center"/>
              <w:rPr>
                <w:rFonts w:cs="Arial"/>
                <w:b/>
                <w:bCs/>
                <w:szCs w:val="20"/>
              </w:rPr>
            </w:pPr>
            <w:r w:rsidRPr="005E4BEA">
              <w:rPr>
                <w:rFonts w:cs="Arial"/>
                <w:b/>
                <w:bCs/>
                <w:szCs w:val="20"/>
              </w:rPr>
              <w:t>40,12</w:t>
            </w:r>
          </w:p>
        </w:tc>
        <w:tc>
          <w:tcPr>
            <w:tcW w:w="1134" w:type="dxa"/>
            <w:tcBorders>
              <w:top w:val="nil"/>
              <w:left w:val="nil"/>
              <w:bottom w:val="single" w:sz="4" w:space="0" w:color="auto"/>
              <w:right w:val="single" w:sz="4" w:space="0" w:color="auto"/>
            </w:tcBorders>
            <w:shd w:val="clear" w:color="auto" w:fill="FFFF00"/>
            <w:noWrap/>
            <w:vAlign w:val="center"/>
          </w:tcPr>
          <w:p w14:paraId="40801911" w14:textId="77777777" w:rsidR="00FE461F" w:rsidRPr="005E4BEA" w:rsidRDefault="00FE461F" w:rsidP="00FE461F">
            <w:pPr>
              <w:spacing w:line="240" w:lineRule="auto"/>
              <w:jc w:val="center"/>
              <w:rPr>
                <w:rFonts w:cs="Arial"/>
                <w:b/>
                <w:bCs/>
                <w:szCs w:val="20"/>
              </w:rPr>
            </w:pPr>
            <w:r w:rsidRPr="005E4BEA">
              <w:rPr>
                <w:rFonts w:cs="Arial"/>
                <w:b/>
                <w:bCs/>
                <w:szCs w:val="20"/>
              </w:rPr>
              <w:t>36,32</w:t>
            </w:r>
          </w:p>
        </w:tc>
        <w:tc>
          <w:tcPr>
            <w:tcW w:w="993" w:type="dxa"/>
            <w:tcBorders>
              <w:top w:val="nil"/>
              <w:left w:val="nil"/>
              <w:bottom w:val="single" w:sz="4" w:space="0" w:color="auto"/>
              <w:right w:val="single" w:sz="4" w:space="0" w:color="auto"/>
            </w:tcBorders>
            <w:shd w:val="clear" w:color="auto" w:fill="FFFF00"/>
            <w:noWrap/>
            <w:vAlign w:val="center"/>
          </w:tcPr>
          <w:p w14:paraId="0D4E709A" w14:textId="77777777" w:rsidR="00FE461F" w:rsidRPr="005E4BEA" w:rsidRDefault="00FE461F" w:rsidP="00FE461F">
            <w:pPr>
              <w:spacing w:line="240" w:lineRule="auto"/>
              <w:jc w:val="center"/>
              <w:rPr>
                <w:rFonts w:cs="Arial"/>
                <w:b/>
                <w:bCs/>
                <w:szCs w:val="20"/>
              </w:rPr>
            </w:pPr>
            <w:r w:rsidRPr="005E4BEA">
              <w:rPr>
                <w:rFonts w:cs="Arial"/>
                <w:b/>
                <w:bCs/>
                <w:szCs w:val="20"/>
              </w:rPr>
              <w:t>99,18</w:t>
            </w:r>
          </w:p>
        </w:tc>
        <w:tc>
          <w:tcPr>
            <w:tcW w:w="850" w:type="dxa"/>
            <w:tcBorders>
              <w:top w:val="nil"/>
              <w:left w:val="nil"/>
              <w:bottom w:val="single" w:sz="4" w:space="0" w:color="auto"/>
              <w:right w:val="single" w:sz="4" w:space="0" w:color="auto"/>
            </w:tcBorders>
            <w:shd w:val="clear" w:color="auto" w:fill="auto"/>
            <w:noWrap/>
            <w:vAlign w:val="center"/>
          </w:tcPr>
          <w:p w14:paraId="15428C1B" w14:textId="77777777" w:rsidR="00FE461F" w:rsidRPr="005E4BEA" w:rsidRDefault="00FE461F" w:rsidP="00FE461F">
            <w:pPr>
              <w:spacing w:line="240" w:lineRule="auto"/>
              <w:jc w:val="center"/>
              <w:rPr>
                <w:rFonts w:cs="Arial"/>
                <w:b/>
                <w:bCs/>
                <w:szCs w:val="20"/>
              </w:rPr>
            </w:pPr>
          </w:p>
        </w:tc>
        <w:tc>
          <w:tcPr>
            <w:tcW w:w="852" w:type="dxa"/>
            <w:tcBorders>
              <w:top w:val="nil"/>
              <w:left w:val="nil"/>
              <w:bottom w:val="single" w:sz="4" w:space="0" w:color="auto"/>
              <w:right w:val="single" w:sz="4" w:space="0" w:color="auto"/>
            </w:tcBorders>
            <w:shd w:val="clear" w:color="auto" w:fill="auto"/>
            <w:noWrap/>
            <w:vAlign w:val="center"/>
          </w:tcPr>
          <w:p w14:paraId="35059837" w14:textId="77777777" w:rsidR="00FE461F" w:rsidRPr="005E4BEA" w:rsidRDefault="00FE461F" w:rsidP="00FE461F">
            <w:pPr>
              <w:spacing w:line="240" w:lineRule="auto"/>
              <w:jc w:val="center"/>
              <w:rPr>
                <w:rFonts w:cs="Arial"/>
                <w:b/>
                <w:bCs/>
                <w:szCs w:val="20"/>
              </w:rPr>
            </w:pPr>
          </w:p>
        </w:tc>
        <w:tc>
          <w:tcPr>
            <w:tcW w:w="1092" w:type="dxa"/>
            <w:tcBorders>
              <w:top w:val="nil"/>
              <w:left w:val="nil"/>
              <w:bottom w:val="single" w:sz="4" w:space="0" w:color="auto"/>
              <w:right w:val="single" w:sz="4" w:space="0" w:color="auto"/>
            </w:tcBorders>
            <w:shd w:val="clear" w:color="auto" w:fill="auto"/>
            <w:noWrap/>
            <w:vAlign w:val="center"/>
          </w:tcPr>
          <w:p w14:paraId="32AD367F" w14:textId="77777777" w:rsidR="00FE461F" w:rsidRPr="005E4BEA" w:rsidRDefault="00FE461F" w:rsidP="00FE461F">
            <w:pPr>
              <w:spacing w:line="240" w:lineRule="auto"/>
              <w:jc w:val="center"/>
              <w:rPr>
                <w:rFonts w:cs="Arial"/>
                <w:b/>
                <w:bCs/>
                <w:szCs w:val="20"/>
              </w:rPr>
            </w:pPr>
          </w:p>
        </w:tc>
      </w:tr>
    </w:tbl>
    <w:p w14:paraId="228C73B7" w14:textId="77777777" w:rsidR="00FE461F" w:rsidRPr="005E4BEA" w:rsidRDefault="00FE461F" w:rsidP="00FE461F">
      <w:pPr>
        <w:spacing w:line="240" w:lineRule="auto"/>
        <w:rPr>
          <w:rFonts w:cs="Arial"/>
          <w:szCs w:val="20"/>
        </w:rPr>
      </w:pPr>
    </w:p>
    <w:p w14:paraId="013FF62C" w14:textId="77777777" w:rsidR="00FE461F" w:rsidRPr="005E4BEA" w:rsidRDefault="00FE461F" w:rsidP="00FE461F">
      <w:pPr>
        <w:spacing w:line="240" w:lineRule="auto"/>
        <w:rPr>
          <w:rFonts w:cs="Arial"/>
          <w:szCs w:val="20"/>
        </w:rPr>
      </w:pPr>
    </w:p>
    <w:p w14:paraId="0DD39C6D" w14:textId="77777777" w:rsidR="00FE461F" w:rsidRPr="005E4BEA" w:rsidRDefault="00FE461F" w:rsidP="00FE461F">
      <w:pPr>
        <w:overflowPunct w:val="0"/>
        <w:autoSpaceDE w:val="0"/>
        <w:autoSpaceDN w:val="0"/>
        <w:spacing w:line="240" w:lineRule="auto"/>
        <w:contextualSpacing/>
        <w:jc w:val="both"/>
        <w:textAlignment w:val="baseline"/>
        <w:rPr>
          <w:rFonts w:cs="Arial"/>
          <w:b/>
          <w:bCs/>
          <w:color w:val="000000"/>
          <w:szCs w:val="20"/>
        </w:rPr>
      </w:pPr>
      <w:r w:rsidRPr="005E4BEA">
        <w:rPr>
          <w:rFonts w:cs="Arial"/>
          <w:b/>
          <w:bCs/>
          <w:color w:val="000000"/>
          <w:szCs w:val="20"/>
        </w:rPr>
        <w:t>* Če je namesto specialista klinične psihologije zaposlen psiholog, se upošteva plačni razred psihologa. Zaposleni psihologi v specializacijo vstopajo postopno.</w:t>
      </w:r>
    </w:p>
    <w:p w14:paraId="0A24BC0C" w14:textId="77777777" w:rsidR="00FE461F" w:rsidRPr="005E4BEA" w:rsidRDefault="00FE461F" w:rsidP="00FE461F">
      <w:pPr>
        <w:overflowPunct w:val="0"/>
        <w:autoSpaceDE w:val="0"/>
        <w:autoSpaceDN w:val="0"/>
        <w:spacing w:line="240" w:lineRule="auto"/>
        <w:contextualSpacing/>
        <w:jc w:val="both"/>
        <w:textAlignment w:val="baseline"/>
        <w:rPr>
          <w:rFonts w:cs="Arial"/>
          <w:b/>
          <w:bCs/>
          <w:color w:val="000000"/>
          <w:szCs w:val="20"/>
        </w:rPr>
      </w:pPr>
      <w:r w:rsidRPr="005E4BEA">
        <w:rPr>
          <w:rFonts w:cs="Arial"/>
          <w:b/>
          <w:bCs/>
          <w:color w:val="000000"/>
          <w:szCs w:val="20"/>
        </w:rPr>
        <w:t>** Če je namesto specialista klinične logopedije zaposlen logoped, se upošteva plačni razred logopeda. Zaposleni logopedi v specializacijo vstopajo postopno.</w:t>
      </w:r>
    </w:p>
    <w:p w14:paraId="3E4ECB0C" w14:textId="77777777" w:rsidR="00FE461F" w:rsidRPr="005E4BEA" w:rsidRDefault="00FE461F" w:rsidP="00FE461F">
      <w:pPr>
        <w:overflowPunct w:val="0"/>
        <w:autoSpaceDE w:val="0"/>
        <w:autoSpaceDN w:val="0"/>
        <w:spacing w:line="240" w:lineRule="auto"/>
        <w:contextualSpacing/>
        <w:jc w:val="both"/>
        <w:textAlignment w:val="baseline"/>
        <w:rPr>
          <w:rFonts w:cs="Arial"/>
          <w:b/>
          <w:bCs/>
          <w:color w:val="000000"/>
          <w:szCs w:val="20"/>
        </w:rPr>
      </w:pPr>
      <w:r w:rsidRPr="005E4BEA">
        <w:rPr>
          <w:rFonts w:cs="Arial"/>
          <w:b/>
          <w:bCs/>
          <w:color w:val="000000"/>
          <w:szCs w:val="20"/>
        </w:rPr>
        <w:br/>
        <w:t>Sprememba velja od 01.01.2022.</w:t>
      </w:r>
    </w:p>
    <w:p w14:paraId="6FD073C5" w14:textId="77777777" w:rsidR="00FE461F" w:rsidRPr="005E4BEA" w:rsidRDefault="00FE461F" w:rsidP="00FE461F">
      <w:pPr>
        <w:tabs>
          <w:tab w:val="num" w:pos="0"/>
        </w:tabs>
        <w:spacing w:line="240" w:lineRule="auto"/>
        <w:rPr>
          <w:rFonts w:cs="Arial"/>
          <w:b/>
          <w:szCs w:val="20"/>
        </w:rPr>
      </w:pPr>
    </w:p>
    <w:p w14:paraId="2AF63E02" w14:textId="77777777" w:rsidR="00FE461F" w:rsidRPr="005E4BEA" w:rsidRDefault="00FE461F" w:rsidP="00FE461F">
      <w:pPr>
        <w:spacing w:line="276" w:lineRule="auto"/>
        <w:rPr>
          <w:rFonts w:cs="Arial"/>
          <w:color w:val="808080" w:themeColor="background1" w:themeShade="80"/>
          <w:szCs w:val="20"/>
        </w:rPr>
      </w:pPr>
    </w:p>
    <w:p w14:paraId="43B5ACDE" w14:textId="77777777" w:rsidR="00FE461F" w:rsidRPr="005E4BEA" w:rsidRDefault="00FE461F" w:rsidP="00FE461F">
      <w:pPr>
        <w:spacing w:line="240" w:lineRule="auto"/>
        <w:jc w:val="both"/>
        <w:rPr>
          <w:rFonts w:cs="Arial"/>
          <w:b/>
          <w:color w:val="808080" w:themeColor="background1" w:themeShade="80"/>
          <w:szCs w:val="20"/>
          <w:u w:val="single"/>
        </w:rPr>
      </w:pPr>
      <w:r w:rsidRPr="005E4BEA">
        <w:rPr>
          <w:rFonts w:cs="Arial"/>
          <w:b/>
          <w:color w:val="808080" w:themeColor="background1" w:themeShade="80"/>
          <w:szCs w:val="20"/>
          <w:u w:val="single"/>
        </w:rPr>
        <w:t xml:space="preserve">Obrazložitev: </w:t>
      </w:r>
    </w:p>
    <w:p w14:paraId="2BB587D5" w14:textId="1F1A59CD" w:rsidR="00FE461F" w:rsidRPr="005E4BEA" w:rsidRDefault="00FE461F" w:rsidP="00FE461F">
      <w:pPr>
        <w:spacing w:line="240" w:lineRule="auto"/>
        <w:jc w:val="both"/>
        <w:rPr>
          <w:rFonts w:cs="Arial"/>
          <w:color w:val="808080" w:themeColor="background1" w:themeShade="80"/>
          <w:szCs w:val="20"/>
        </w:rPr>
      </w:pPr>
      <w:r w:rsidRPr="005E4BEA">
        <w:rPr>
          <w:rFonts w:cs="Arial"/>
          <w:color w:val="808080" w:themeColor="background1" w:themeShade="80"/>
          <w:szCs w:val="20"/>
        </w:rPr>
        <w:t xml:space="preserve">Zaradi predloga za povečanje kadra pri centrih za sluh in govor za leto 2022 se spremeni tabelo s </w:t>
      </w:r>
      <w:proofErr w:type="spellStart"/>
      <w:r w:rsidRPr="005E4BEA">
        <w:rPr>
          <w:rFonts w:cs="Arial"/>
          <w:color w:val="808080" w:themeColor="background1" w:themeShade="80"/>
          <w:szCs w:val="20"/>
        </w:rPr>
        <w:t>kalkulativnimi</w:t>
      </w:r>
      <w:proofErr w:type="spellEnd"/>
      <w:r w:rsidRPr="005E4BEA">
        <w:rPr>
          <w:rFonts w:cs="Arial"/>
          <w:color w:val="808080" w:themeColor="background1" w:themeShade="80"/>
          <w:szCs w:val="20"/>
        </w:rPr>
        <w:t xml:space="preserve"> podlagami za izračun cene točke za programe logopedske, defektološke in </w:t>
      </w:r>
      <w:proofErr w:type="spellStart"/>
      <w:r w:rsidRPr="005E4BEA">
        <w:rPr>
          <w:rFonts w:cs="Arial"/>
          <w:color w:val="808080" w:themeColor="background1" w:themeShade="80"/>
          <w:szCs w:val="20"/>
        </w:rPr>
        <w:t>avdiološke</w:t>
      </w:r>
      <w:proofErr w:type="spellEnd"/>
      <w:r w:rsidRPr="005E4BEA">
        <w:rPr>
          <w:rFonts w:cs="Arial"/>
          <w:color w:val="808080" w:themeColor="background1" w:themeShade="80"/>
          <w:szCs w:val="20"/>
        </w:rPr>
        <w:t xml:space="preserve"> dejavnosti za leto 2022.</w:t>
      </w:r>
    </w:p>
    <w:p w14:paraId="50F3DAB9" w14:textId="33BDE8B7" w:rsidR="00241A6D" w:rsidRPr="005E4BEA" w:rsidRDefault="00241A6D" w:rsidP="00FE461F">
      <w:pPr>
        <w:spacing w:line="240" w:lineRule="auto"/>
        <w:jc w:val="both"/>
        <w:rPr>
          <w:rFonts w:cs="Arial"/>
          <w:color w:val="808080" w:themeColor="background1" w:themeShade="80"/>
          <w:szCs w:val="20"/>
        </w:rPr>
      </w:pPr>
    </w:p>
    <w:p w14:paraId="17957393" w14:textId="77777777" w:rsidR="00241A6D" w:rsidRPr="005E4BEA" w:rsidRDefault="00241A6D" w:rsidP="00FE461F">
      <w:pPr>
        <w:spacing w:line="240" w:lineRule="auto"/>
        <w:jc w:val="both"/>
        <w:rPr>
          <w:rFonts w:cs="Arial"/>
          <w:color w:val="808080" w:themeColor="background1" w:themeShade="80"/>
          <w:szCs w:val="20"/>
        </w:rPr>
      </w:pPr>
    </w:p>
    <w:p w14:paraId="6E940963" w14:textId="2F60478E" w:rsidR="00FE2C49" w:rsidRDefault="00241A6D" w:rsidP="00FE2C49">
      <w:pPr>
        <w:autoSpaceDE w:val="0"/>
        <w:autoSpaceDN w:val="0"/>
        <w:adjustRightInd w:val="0"/>
        <w:spacing w:line="0" w:lineRule="atLeast"/>
        <w:jc w:val="both"/>
        <w:rPr>
          <w:rFonts w:eastAsia="Arial Narrow" w:cs="Arial"/>
          <w:szCs w:val="20"/>
        </w:rPr>
      </w:pPr>
      <w:r w:rsidRPr="005E4BEA">
        <w:rPr>
          <w:rFonts w:eastAsia="Arial Narrow" w:cs="Arial"/>
          <w:b/>
          <w:szCs w:val="20"/>
        </w:rPr>
        <w:t>Stališče Ministrstva za zdravje:</w:t>
      </w:r>
      <w:r w:rsidRPr="005E4BEA">
        <w:rPr>
          <w:rFonts w:eastAsia="Arial Narrow" w:cs="Arial"/>
          <w:szCs w:val="20"/>
        </w:rPr>
        <w:t xml:space="preserve"> Ministrstvo za zdravje se </w:t>
      </w:r>
      <w:r w:rsidR="00FE2C49" w:rsidRPr="005E4BEA">
        <w:rPr>
          <w:rFonts w:eastAsia="Arial Narrow" w:cs="Arial"/>
          <w:szCs w:val="20"/>
        </w:rPr>
        <w:t>strinja s predlogom</w:t>
      </w:r>
      <w:r w:rsidR="00FE2C49">
        <w:rPr>
          <w:rFonts w:eastAsia="Arial Narrow" w:cs="Arial"/>
          <w:szCs w:val="20"/>
        </w:rPr>
        <w:t xml:space="preserve"> v modificirani obliki, in sicer se v Prilogi SVZ-1b pod tabelo doda naslednje besedilo:</w:t>
      </w:r>
    </w:p>
    <w:p w14:paraId="40390823" w14:textId="77777777" w:rsidR="00FE2C49" w:rsidRPr="00387A6A" w:rsidRDefault="00FE2C49" w:rsidP="00FE2C49">
      <w:pPr>
        <w:autoSpaceDE w:val="0"/>
        <w:autoSpaceDN w:val="0"/>
        <w:adjustRightInd w:val="0"/>
        <w:spacing w:line="0" w:lineRule="atLeast"/>
        <w:jc w:val="both"/>
        <w:rPr>
          <w:rFonts w:eastAsia="Arial Narrow" w:cs="Arial"/>
          <w:szCs w:val="20"/>
        </w:rPr>
      </w:pPr>
      <w:r w:rsidRPr="00387A6A">
        <w:rPr>
          <w:rFonts w:eastAsia="Arial Narrow" w:cs="Arial"/>
          <w:szCs w:val="20"/>
        </w:rPr>
        <w:t>»</w:t>
      </w:r>
    </w:p>
    <w:p w14:paraId="66F9F337" w14:textId="77777777" w:rsidR="00FE2C49" w:rsidRPr="00387A6A" w:rsidRDefault="00FE2C49" w:rsidP="00FE2C49">
      <w:pPr>
        <w:overflowPunct w:val="0"/>
        <w:autoSpaceDE w:val="0"/>
        <w:autoSpaceDN w:val="0"/>
        <w:spacing w:line="240" w:lineRule="auto"/>
        <w:contextualSpacing/>
        <w:jc w:val="both"/>
        <w:textAlignment w:val="baseline"/>
        <w:rPr>
          <w:rFonts w:cs="Arial"/>
          <w:color w:val="000000"/>
          <w:szCs w:val="20"/>
        </w:rPr>
      </w:pPr>
      <w:r>
        <w:rPr>
          <w:rFonts w:cs="Arial"/>
          <w:color w:val="000000"/>
          <w:szCs w:val="20"/>
        </w:rPr>
        <w:t>1.</w:t>
      </w:r>
      <w:r w:rsidRPr="00387A6A">
        <w:rPr>
          <w:rFonts w:cs="Arial"/>
          <w:color w:val="000000"/>
          <w:szCs w:val="20"/>
        </w:rPr>
        <w:t xml:space="preserve"> Če je namesto specialista klinične psihologije zaposlen psiholog, se upošteva plačni razred psihologa. Zaposleni psihologi v specializacijo vstopajo postopno.</w:t>
      </w:r>
    </w:p>
    <w:p w14:paraId="1DF47048" w14:textId="77777777" w:rsidR="00FE2C49" w:rsidRPr="00387A6A" w:rsidRDefault="00FE2C49" w:rsidP="00FE2C49">
      <w:pPr>
        <w:overflowPunct w:val="0"/>
        <w:autoSpaceDE w:val="0"/>
        <w:autoSpaceDN w:val="0"/>
        <w:spacing w:line="240" w:lineRule="auto"/>
        <w:contextualSpacing/>
        <w:jc w:val="both"/>
        <w:textAlignment w:val="baseline"/>
        <w:rPr>
          <w:rFonts w:cs="Arial"/>
          <w:color w:val="000000"/>
          <w:szCs w:val="20"/>
        </w:rPr>
      </w:pPr>
      <w:r>
        <w:rPr>
          <w:rFonts w:cs="Arial"/>
          <w:color w:val="000000"/>
          <w:szCs w:val="20"/>
        </w:rPr>
        <w:t>2.</w:t>
      </w:r>
      <w:r w:rsidRPr="00387A6A">
        <w:rPr>
          <w:rFonts w:cs="Arial"/>
          <w:color w:val="000000"/>
          <w:szCs w:val="20"/>
        </w:rPr>
        <w:t xml:space="preserve"> Če je namesto specialista klinične logopedije zaposlen logoped, se upošteva plačni razred logopeda. Zaposleni logopedi v specializacijo vstopajo postopno.</w:t>
      </w:r>
    </w:p>
    <w:p w14:paraId="301F091D" w14:textId="77777777" w:rsidR="009E4EC7" w:rsidRPr="00387A6A" w:rsidRDefault="00FE2C49" w:rsidP="009E4EC7">
      <w:pPr>
        <w:overflowPunct w:val="0"/>
        <w:autoSpaceDE w:val="0"/>
        <w:autoSpaceDN w:val="0"/>
        <w:spacing w:line="240" w:lineRule="auto"/>
        <w:contextualSpacing/>
        <w:jc w:val="both"/>
        <w:textAlignment w:val="baseline"/>
        <w:rPr>
          <w:rFonts w:cs="Arial"/>
          <w:color w:val="000000"/>
          <w:szCs w:val="20"/>
        </w:rPr>
      </w:pPr>
      <w:r w:rsidRPr="00387A6A">
        <w:rPr>
          <w:rFonts w:cs="Arial"/>
          <w:color w:val="000000"/>
          <w:szCs w:val="20"/>
        </w:rPr>
        <w:br/>
      </w:r>
      <w:r w:rsidR="009E4EC7" w:rsidRPr="00387A6A">
        <w:rPr>
          <w:rFonts w:cs="Arial"/>
          <w:color w:val="000000"/>
          <w:szCs w:val="20"/>
        </w:rPr>
        <w:t>Sprememba velja od 1.</w:t>
      </w:r>
      <w:r w:rsidR="009E4EC7">
        <w:rPr>
          <w:rFonts w:cs="Arial"/>
          <w:color w:val="000000"/>
          <w:szCs w:val="20"/>
        </w:rPr>
        <w:t>7</w:t>
      </w:r>
      <w:r w:rsidR="009E4EC7" w:rsidRPr="00387A6A">
        <w:rPr>
          <w:rFonts w:cs="Arial"/>
          <w:color w:val="000000"/>
          <w:szCs w:val="20"/>
        </w:rPr>
        <w:t>.2022.«</w:t>
      </w:r>
    </w:p>
    <w:p w14:paraId="11F80106" w14:textId="77777777" w:rsidR="00241A6D" w:rsidRPr="005E4BEA" w:rsidRDefault="00241A6D" w:rsidP="00241A6D">
      <w:pPr>
        <w:spacing w:line="0" w:lineRule="atLeast"/>
        <w:jc w:val="both"/>
        <w:rPr>
          <w:rFonts w:eastAsia="Arial Narrow" w:cs="Arial"/>
          <w:szCs w:val="20"/>
          <w:lang w:eastAsia="sl-SI"/>
        </w:rPr>
      </w:pPr>
    </w:p>
    <w:p w14:paraId="2F4FE2E2" w14:textId="071ADBD2" w:rsidR="00FE2C49" w:rsidRDefault="00241A6D" w:rsidP="00FE2C49">
      <w:pPr>
        <w:autoSpaceDE w:val="0"/>
        <w:autoSpaceDN w:val="0"/>
        <w:adjustRightInd w:val="0"/>
        <w:spacing w:line="0" w:lineRule="atLeast"/>
        <w:jc w:val="both"/>
        <w:rPr>
          <w:rFonts w:eastAsia="Arial Narrow" w:cs="Arial"/>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r w:rsidR="00FE2C49">
        <w:rPr>
          <w:rFonts w:eastAsia="Arial Narrow" w:cs="Arial"/>
          <w:szCs w:val="20"/>
        </w:rPr>
        <w:t>v Prilogi SVZ-1b pod tabelo doda naslednje besedilo:</w:t>
      </w:r>
    </w:p>
    <w:p w14:paraId="26BFC31B" w14:textId="77777777" w:rsidR="00FE2C49" w:rsidRPr="00387A6A" w:rsidRDefault="00FE2C49" w:rsidP="00FE2C49">
      <w:pPr>
        <w:autoSpaceDE w:val="0"/>
        <w:autoSpaceDN w:val="0"/>
        <w:adjustRightInd w:val="0"/>
        <w:spacing w:line="0" w:lineRule="atLeast"/>
        <w:jc w:val="both"/>
        <w:rPr>
          <w:rFonts w:eastAsia="Arial Narrow" w:cs="Arial"/>
          <w:szCs w:val="20"/>
        </w:rPr>
      </w:pPr>
      <w:r w:rsidRPr="00387A6A">
        <w:rPr>
          <w:rFonts w:eastAsia="Arial Narrow" w:cs="Arial"/>
          <w:szCs w:val="20"/>
        </w:rPr>
        <w:t>»</w:t>
      </w:r>
    </w:p>
    <w:p w14:paraId="25ACB5D5" w14:textId="77777777" w:rsidR="00FE2C49" w:rsidRPr="00387A6A" w:rsidRDefault="00FE2C49" w:rsidP="00FE2C49">
      <w:pPr>
        <w:overflowPunct w:val="0"/>
        <w:autoSpaceDE w:val="0"/>
        <w:autoSpaceDN w:val="0"/>
        <w:spacing w:line="240" w:lineRule="auto"/>
        <w:contextualSpacing/>
        <w:jc w:val="both"/>
        <w:textAlignment w:val="baseline"/>
        <w:rPr>
          <w:rFonts w:cs="Arial"/>
          <w:color w:val="000000"/>
          <w:szCs w:val="20"/>
        </w:rPr>
      </w:pPr>
      <w:r>
        <w:rPr>
          <w:rFonts w:cs="Arial"/>
          <w:color w:val="000000"/>
          <w:szCs w:val="20"/>
        </w:rPr>
        <w:t>1.</w:t>
      </w:r>
      <w:r w:rsidRPr="00387A6A">
        <w:rPr>
          <w:rFonts w:cs="Arial"/>
          <w:color w:val="000000"/>
          <w:szCs w:val="20"/>
        </w:rPr>
        <w:t xml:space="preserve"> Če je namesto specialista klinične psihologije zaposlen psiholog, se upošteva plačni razred psihologa. Zaposleni psihologi v specializacijo vstopajo postopno.</w:t>
      </w:r>
    </w:p>
    <w:p w14:paraId="6DC869BE" w14:textId="77777777" w:rsidR="00FE2C49" w:rsidRPr="00387A6A" w:rsidRDefault="00FE2C49" w:rsidP="00FE2C49">
      <w:pPr>
        <w:overflowPunct w:val="0"/>
        <w:autoSpaceDE w:val="0"/>
        <w:autoSpaceDN w:val="0"/>
        <w:spacing w:line="240" w:lineRule="auto"/>
        <w:contextualSpacing/>
        <w:jc w:val="both"/>
        <w:textAlignment w:val="baseline"/>
        <w:rPr>
          <w:rFonts w:cs="Arial"/>
          <w:color w:val="000000"/>
          <w:szCs w:val="20"/>
        </w:rPr>
      </w:pPr>
      <w:r>
        <w:rPr>
          <w:rFonts w:cs="Arial"/>
          <w:color w:val="000000"/>
          <w:szCs w:val="20"/>
        </w:rPr>
        <w:t>2.</w:t>
      </w:r>
      <w:r w:rsidRPr="00387A6A">
        <w:rPr>
          <w:rFonts w:cs="Arial"/>
          <w:color w:val="000000"/>
          <w:szCs w:val="20"/>
        </w:rPr>
        <w:t xml:space="preserve"> Če je namesto specialista klinične logopedije zaposlen logoped, se upošteva plačni razred logopeda. Zaposleni logopedi v specializacijo vstopajo postopno.</w:t>
      </w:r>
    </w:p>
    <w:p w14:paraId="3C8D9529" w14:textId="1EBD623C" w:rsidR="00FE2C49" w:rsidRPr="00387A6A" w:rsidRDefault="00FE2C49" w:rsidP="00FE2C49">
      <w:pPr>
        <w:overflowPunct w:val="0"/>
        <w:autoSpaceDE w:val="0"/>
        <w:autoSpaceDN w:val="0"/>
        <w:spacing w:line="240" w:lineRule="auto"/>
        <w:contextualSpacing/>
        <w:jc w:val="both"/>
        <w:textAlignment w:val="baseline"/>
        <w:rPr>
          <w:rFonts w:cs="Arial"/>
          <w:color w:val="000000"/>
          <w:szCs w:val="20"/>
        </w:rPr>
      </w:pPr>
      <w:r w:rsidRPr="00387A6A">
        <w:rPr>
          <w:rFonts w:cs="Arial"/>
          <w:color w:val="000000"/>
          <w:szCs w:val="20"/>
        </w:rPr>
        <w:lastRenderedPageBreak/>
        <w:br/>
        <w:t>Sprememba velja od 1.</w:t>
      </w:r>
      <w:r w:rsidR="009E4EC7">
        <w:rPr>
          <w:rFonts w:cs="Arial"/>
          <w:color w:val="000000"/>
          <w:szCs w:val="20"/>
        </w:rPr>
        <w:t>7</w:t>
      </w:r>
      <w:r w:rsidRPr="00387A6A">
        <w:rPr>
          <w:rFonts w:cs="Arial"/>
          <w:color w:val="000000"/>
          <w:szCs w:val="20"/>
        </w:rPr>
        <w:t>.2022.«</w:t>
      </w:r>
    </w:p>
    <w:p w14:paraId="6687851B" w14:textId="1EA0188B" w:rsidR="00241A6D" w:rsidRPr="005E4BEA" w:rsidRDefault="00241A6D" w:rsidP="00FE2C49">
      <w:pPr>
        <w:spacing w:line="0" w:lineRule="atLeast"/>
        <w:contextualSpacing/>
        <w:jc w:val="both"/>
        <w:rPr>
          <w:rFonts w:cs="Arial"/>
          <w:i/>
          <w:iCs/>
          <w:color w:val="767171"/>
          <w:szCs w:val="20"/>
        </w:rPr>
      </w:pPr>
    </w:p>
    <w:p w14:paraId="37214364" w14:textId="02FC1482" w:rsidR="00A31E75" w:rsidRPr="005E4BEA" w:rsidRDefault="00A31E7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(172)</w:t>
      </w:r>
    </w:p>
    <w:p w14:paraId="547B686C" w14:textId="77777777" w:rsidR="00A31E75" w:rsidRPr="005E4BEA" w:rsidRDefault="00A31E75" w:rsidP="00A31E75">
      <w:pPr>
        <w:spacing w:line="0" w:lineRule="atLeast"/>
        <w:contextualSpacing/>
        <w:jc w:val="both"/>
        <w:rPr>
          <w:rFonts w:eastAsia="Arial Narrow" w:cs="Arial"/>
          <w:b/>
          <w:szCs w:val="20"/>
        </w:rPr>
      </w:pPr>
    </w:p>
    <w:p w14:paraId="7A7ED1F0" w14:textId="1EFD8286" w:rsidR="00FE461F" w:rsidRPr="005E4BEA" w:rsidRDefault="00A31E75" w:rsidP="00A31E75">
      <w:pPr>
        <w:spacing w:line="0" w:lineRule="atLeast"/>
        <w:contextualSpacing/>
        <w:jc w:val="both"/>
        <w:rPr>
          <w:rFonts w:eastAsia="Arial Narrow" w:cs="Arial"/>
          <w:bCs/>
          <w:szCs w:val="20"/>
        </w:rPr>
      </w:pPr>
      <w:r w:rsidRPr="005E4BEA">
        <w:rPr>
          <w:rFonts w:eastAsia="Arial Narrow" w:cs="Arial"/>
          <w:b/>
          <w:szCs w:val="20"/>
        </w:rPr>
        <w:t xml:space="preserve">Zavod za zdravstveno zavarovanje Slovenije </w:t>
      </w:r>
      <w:r w:rsidRPr="005E4BEA">
        <w:rPr>
          <w:rFonts w:eastAsia="Arial Narrow" w:cs="Arial"/>
          <w:bCs/>
          <w:szCs w:val="20"/>
        </w:rPr>
        <w:t>p</w:t>
      </w:r>
      <w:r w:rsidRPr="005E4BEA">
        <w:rPr>
          <w:rFonts w:eastAsiaTheme="minorHAnsi" w:cs="Arial"/>
          <w:bCs/>
          <w:szCs w:val="20"/>
        </w:rPr>
        <w:t xml:space="preserve">redlaga, </w:t>
      </w:r>
      <w:r w:rsidRPr="005E4BEA">
        <w:rPr>
          <w:rFonts w:eastAsia="Arial Narrow" w:cs="Arial"/>
          <w:bCs/>
          <w:szCs w:val="20"/>
        </w:rPr>
        <w:t xml:space="preserve">da se v </w:t>
      </w:r>
      <w:r w:rsidR="00FE461F" w:rsidRPr="005E4BEA">
        <w:rPr>
          <w:rFonts w:eastAsia="Arial Narrow" w:cs="Arial"/>
          <w:bCs/>
          <w:szCs w:val="20"/>
        </w:rPr>
        <w:t>Prilogi VII (Vstopne triažne točke COVID-19) se pod tabelo doda opomba, ki se glasi:</w:t>
      </w:r>
    </w:p>
    <w:p w14:paraId="6E48E7C2" w14:textId="77777777" w:rsidR="00FE461F" w:rsidRPr="005E4BEA" w:rsidRDefault="00FE461F" w:rsidP="00FE461F">
      <w:pPr>
        <w:spacing w:line="40" w:lineRule="exact"/>
        <w:jc w:val="both"/>
        <w:rPr>
          <w:rFonts w:cs="Arial"/>
          <w:szCs w:val="20"/>
        </w:rPr>
      </w:pPr>
    </w:p>
    <w:p w14:paraId="7DEFFC2D" w14:textId="77777777" w:rsidR="00FE461F" w:rsidRPr="005E4BEA" w:rsidRDefault="00FE461F" w:rsidP="00FE461F">
      <w:pPr>
        <w:spacing w:line="240" w:lineRule="auto"/>
        <w:jc w:val="both"/>
        <w:rPr>
          <w:rFonts w:cs="Arial"/>
          <w:szCs w:val="20"/>
        </w:rPr>
      </w:pPr>
      <w:r w:rsidRPr="005E4BEA">
        <w:rPr>
          <w:rFonts w:cs="Arial"/>
          <w:szCs w:val="20"/>
        </w:rPr>
        <w:t>»Program se izvaja do 31. 12. 2022.«</w:t>
      </w:r>
    </w:p>
    <w:p w14:paraId="7AAA508A" w14:textId="77777777" w:rsidR="00FE461F" w:rsidRPr="005E4BEA" w:rsidRDefault="00FE461F" w:rsidP="00FE461F">
      <w:pPr>
        <w:spacing w:line="120" w:lineRule="exact"/>
        <w:jc w:val="both"/>
        <w:rPr>
          <w:rFonts w:cs="Arial"/>
          <w:szCs w:val="20"/>
        </w:rPr>
      </w:pPr>
    </w:p>
    <w:p w14:paraId="72E0CA9F"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34CA25C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Zavod predlaga, da se program vstopnih triažnih točk COVID-19 izvaja do 31. 12. 2022. Glede na </w:t>
      </w:r>
      <w:proofErr w:type="spellStart"/>
      <w:r w:rsidRPr="005E4BEA">
        <w:rPr>
          <w:rFonts w:eastAsiaTheme="minorHAnsi" w:cs="Arial"/>
          <w:i/>
          <w:color w:val="808080" w:themeColor="background1" w:themeShade="80"/>
          <w:szCs w:val="20"/>
        </w:rPr>
        <w:t>precepljenost</w:t>
      </w:r>
      <w:proofErr w:type="spellEnd"/>
      <w:r w:rsidRPr="005E4BEA">
        <w:rPr>
          <w:rFonts w:eastAsiaTheme="minorHAnsi" w:cs="Arial"/>
          <w:i/>
          <w:color w:val="808080" w:themeColor="background1" w:themeShade="80"/>
          <w:szCs w:val="20"/>
        </w:rPr>
        <w:t xml:space="preserve"> prebivalstva in upadanje epidemije Zavod ocenjuje, da izvajanje tega programa v letu 2023 ne bo več potrebno.</w:t>
      </w:r>
    </w:p>
    <w:p w14:paraId="4A183269" w14:textId="77777777" w:rsidR="00FE461F" w:rsidRPr="005E4BEA" w:rsidRDefault="00FE461F" w:rsidP="00FE461F">
      <w:pPr>
        <w:spacing w:line="240" w:lineRule="auto"/>
        <w:jc w:val="both"/>
        <w:rPr>
          <w:rFonts w:eastAsiaTheme="minorHAnsi" w:cs="Arial"/>
          <w:i/>
          <w:color w:val="808080" w:themeColor="background1" w:themeShade="80"/>
          <w:szCs w:val="20"/>
        </w:rPr>
      </w:pPr>
    </w:p>
    <w:p w14:paraId="1D52CE4C"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Finančne posledice: -</w:t>
      </w:r>
    </w:p>
    <w:p w14:paraId="0CC0FF85" w14:textId="5610B061" w:rsidR="00FE461F" w:rsidRPr="005E4BEA" w:rsidRDefault="00FE461F" w:rsidP="00FE461F">
      <w:pPr>
        <w:spacing w:line="240" w:lineRule="auto"/>
        <w:jc w:val="both"/>
        <w:rPr>
          <w:rFonts w:eastAsiaTheme="minorHAnsi" w:cs="Arial"/>
          <w:i/>
          <w:color w:val="808080" w:themeColor="background1" w:themeShade="80"/>
          <w:szCs w:val="20"/>
        </w:rPr>
      </w:pPr>
    </w:p>
    <w:p w14:paraId="594B6AC1" w14:textId="3D4B4F12" w:rsidR="00A31E75" w:rsidRPr="005E4BEA" w:rsidRDefault="00A31E75" w:rsidP="00FE461F">
      <w:pPr>
        <w:spacing w:line="240" w:lineRule="auto"/>
        <w:jc w:val="both"/>
        <w:rPr>
          <w:rFonts w:eastAsiaTheme="minorHAnsi" w:cs="Arial"/>
          <w:i/>
          <w:color w:val="808080" w:themeColor="background1" w:themeShade="80"/>
          <w:szCs w:val="20"/>
        </w:rPr>
      </w:pPr>
    </w:p>
    <w:p w14:paraId="693C7B10" w14:textId="77777777" w:rsidR="00A31E75" w:rsidRPr="005E4BEA" w:rsidRDefault="00A31E75" w:rsidP="00A31E75">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504A06A1" w14:textId="77777777" w:rsidR="00A31E75" w:rsidRPr="005E4BEA" w:rsidRDefault="00A31E75" w:rsidP="00A31E75">
      <w:pPr>
        <w:spacing w:line="0" w:lineRule="atLeast"/>
        <w:jc w:val="both"/>
        <w:rPr>
          <w:rFonts w:eastAsia="Arial Narrow" w:cs="Arial"/>
          <w:szCs w:val="20"/>
          <w:lang w:eastAsia="sl-SI"/>
        </w:rPr>
      </w:pPr>
    </w:p>
    <w:p w14:paraId="42ED24F5" w14:textId="77777777" w:rsidR="00A31E75" w:rsidRPr="005E4BEA" w:rsidRDefault="00A31E75" w:rsidP="00A31E75">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Priloga BOL </w:t>
      </w:r>
      <w:r w:rsidRPr="005E4BEA">
        <w:rPr>
          <w:rFonts w:eastAsiaTheme="minorHAnsi" w:cs="Arial"/>
          <w:bCs/>
          <w:szCs w:val="20"/>
        </w:rPr>
        <w:t>Splošnega dogovora ne spremeni.</w:t>
      </w:r>
    </w:p>
    <w:p w14:paraId="1EAF9602" w14:textId="77777777" w:rsidR="00A31E75" w:rsidRPr="005E4BEA" w:rsidRDefault="00A31E75" w:rsidP="00A31E75">
      <w:pPr>
        <w:spacing w:line="240" w:lineRule="auto"/>
        <w:jc w:val="both"/>
        <w:rPr>
          <w:rFonts w:cs="Arial"/>
          <w:i/>
          <w:iCs/>
          <w:color w:val="767171"/>
          <w:szCs w:val="20"/>
        </w:rPr>
      </w:pPr>
    </w:p>
    <w:p w14:paraId="511A9DBF" w14:textId="77777777" w:rsidR="00A31E75" w:rsidRPr="005E4BEA" w:rsidRDefault="00A31E75" w:rsidP="00A31E75">
      <w:pPr>
        <w:spacing w:line="240" w:lineRule="auto"/>
        <w:jc w:val="both"/>
        <w:rPr>
          <w:rFonts w:cs="Arial"/>
          <w:i/>
          <w:iCs/>
          <w:color w:val="767171"/>
          <w:szCs w:val="20"/>
        </w:rPr>
      </w:pPr>
    </w:p>
    <w:p w14:paraId="05228C1F" w14:textId="43082776" w:rsidR="00A31E75" w:rsidRPr="005E4BEA" w:rsidRDefault="00A31E7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(173)</w:t>
      </w:r>
    </w:p>
    <w:p w14:paraId="19662BAC" w14:textId="77777777" w:rsidR="00A31E75" w:rsidRPr="005E4BEA" w:rsidRDefault="00A31E75" w:rsidP="00A31E75">
      <w:pPr>
        <w:spacing w:line="0" w:lineRule="atLeast"/>
        <w:contextualSpacing/>
        <w:jc w:val="both"/>
        <w:rPr>
          <w:rFonts w:eastAsia="Arial Narrow" w:cs="Arial"/>
          <w:b/>
          <w:szCs w:val="20"/>
        </w:rPr>
      </w:pPr>
    </w:p>
    <w:p w14:paraId="4588AC6F" w14:textId="40D9A360" w:rsidR="00FE461F" w:rsidRPr="005E4BEA" w:rsidRDefault="00A31E75" w:rsidP="00FE461F">
      <w:pPr>
        <w:spacing w:line="240" w:lineRule="auto"/>
        <w:jc w:val="both"/>
        <w:rPr>
          <w:rFonts w:cs="Arial"/>
          <w:bCs/>
          <w:szCs w:val="20"/>
        </w:rPr>
      </w:pPr>
      <w:r w:rsidRPr="005E4BEA">
        <w:rPr>
          <w:rFonts w:eastAsia="Arial Narrow" w:cs="Arial"/>
          <w:b/>
          <w:szCs w:val="20"/>
        </w:rPr>
        <w:t xml:space="preserve">Zavod za zdravstveno zavarovanje Slovenije </w:t>
      </w:r>
      <w:r w:rsidRPr="005E4BEA">
        <w:rPr>
          <w:rFonts w:eastAsia="Arial Narrow" w:cs="Arial"/>
          <w:bCs/>
          <w:szCs w:val="20"/>
        </w:rPr>
        <w:t>p</w:t>
      </w:r>
      <w:r w:rsidRPr="005E4BEA">
        <w:rPr>
          <w:rFonts w:eastAsiaTheme="minorHAnsi" w:cs="Arial"/>
          <w:bCs/>
          <w:szCs w:val="20"/>
        </w:rPr>
        <w:t xml:space="preserve">redlaga, </w:t>
      </w:r>
      <w:r w:rsidRPr="005E4BEA">
        <w:rPr>
          <w:rFonts w:eastAsia="Arial Narrow" w:cs="Arial"/>
          <w:bCs/>
          <w:szCs w:val="20"/>
        </w:rPr>
        <w:t>da se z</w:t>
      </w:r>
      <w:r w:rsidR="00FE461F" w:rsidRPr="005E4BEA">
        <w:rPr>
          <w:rFonts w:cs="Arial"/>
          <w:bCs/>
          <w:szCs w:val="20"/>
        </w:rPr>
        <w:t>a financiranje delovanja registrov se sredstva zagotovijo iz proračuna RS. Skladno z navedenim se smiselno dopolnijo členi Dogovora.</w:t>
      </w:r>
    </w:p>
    <w:p w14:paraId="274BE56F" w14:textId="77777777" w:rsidR="00FE461F" w:rsidRPr="005E4BEA" w:rsidRDefault="00FE461F" w:rsidP="00FE461F">
      <w:pPr>
        <w:spacing w:line="240" w:lineRule="auto"/>
        <w:jc w:val="both"/>
        <w:rPr>
          <w:rFonts w:cs="Arial"/>
          <w:b/>
          <w:bCs/>
          <w:szCs w:val="20"/>
        </w:rPr>
      </w:pPr>
    </w:p>
    <w:p w14:paraId="25AD9543" w14:textId="77777777" w:rsidR="00FE461F" w:rsidRPr="005E4BEA" w:rsidRDefault="00FE461F" w:rsidP="00FE461F">
      <w:pPr>
        <w:spacing w:line="240" w:lineRule="auto"/>
        <w:jc w:val="both"/>
        <w:rPr>
          <w:rFonts w:cs="Arial"/>
          <w:b/>
          <w:bCs/>
          <w:szCs w:val="20"/>
        </w:rPr>
      </w:pPr>
      <w:r w:rsidRPr="005E4BEA">
        <w:rPr>
          <w:rFonts w:cs="Arial"/>
          <w:b/>
          <w:bCs/>
          <w:szCs w:val="20"/>
        </w:rPr>
        <w:t>Sredstva za Terciar I se zagotovijo iz proračuna RS. Skladno z navedenim se smiselno dopolnijo členi Dogovora.</w:t>
      </w:r>
    </w:p>
    <w:p w14:paraId="0F43FF30" w14:textId="77777777" w:rsidR="00FE461F" w:rsidRPr="005E4BEA" w:rsidRDefault="00FE461F" w:rsidP="00FE461F">
      <w:pPr>
        <w:spacing w:line="240" w:lineRule="auto"/>
        <w:jc w:val="both"/>
        <w:rPr>
          <w:rFonts w:cs="Arial"/>
          <w:szCs w:val="20"/>
        </w:rPr>
      </w:pPr>
    </w:p>
    <w:p w14:paraId="3EA191BB" w14:textId="77777777" w:rsidR="00FE461F" w:rsidRPr="005E4BEA" w:rsidRDefault="00FE461F" w:rsidP="00FE461F">
      <w:pPr>
        <w:spacing w:line="240" w:lineRule="auto"/>
        <w:jc w:val="both"/>
        <w:rPr>
          <w:rFonts w:cs="Arial"/>
          <w:szCs w:val="20"/>
        </w:rPr>
      </w:pPr>
      <w:r w:rsidRPr="005E4BEA">
        <w:rPr>
          <w:rFonts w:cs="Arial"/>
          <w:szCs w:val="20"/>
        </w:rPr>
        <w:t>Spremembe veljajo od 1. 1. 2023 naprej.</w:t>
      </w:r>
    </w:p>
    <w:p w14:paraId="57607CBD" w14:textId="77777777" w:rsidR="00FE461F" w:rsidRPr="005E4BEA" w:rsidRDefault="00FE461F" w:rsidP="00FE461F">
      <w:pPr>
        <w:spacing w:line="120" w:lineRule="auto"/>
        <w:jc w:val="both"/>
        <w:rPr>
          <w:rFonts w:cs="Arial"/>
          <w:color w:val="808080" w:themeColor="background1" w:themeShade="80"/>
          <w:szCs w:val="20"/>
          <w:u w:val="single"/>
        </w:rPr>
      </w:pPr>
    </w:p>
    <w:p w14:paraId="2B9E3547"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6F6EBDBB"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skladu s 7. členom ZZVZZ je Republika Slovenija iz proračuna dolžna zagotoviti sofinanciranje znanstveno raziskovalne dejavnosti na področju zdravstvenega varstva, zato se financiranje Terciarja I in registrov bolezni, iz obveznega </w:t>
      </w:r>
      <w:proofErr w:type="spellStart"/>
      <w:r w:rsidRPr="005E4BEA">
        <w:rPr>
          <w:rFonts w:eastAsiaTheme="minorHAnsi" w:cs="Arial"/>
          <w:i/>
          <w:color w:val="808080" w:themeColor="background1" w:themeShade="80"/>
          <w:szCs w:val="20"/>
        </w:rPr>
        <w:t>zaverovanja</w:t>
      </w:r>
      <w:proofErr w:type="spellEnd"/>
      <w:r w:rsidRPr="005E4BEA">
        <w:rPr>
          <w:rFonts w:eastAsiaTheme="minorHAnsi" w:cs="Arial"/>
          <w:i/>
          <w:color w:val="808080" w:themeColor="background1" w:themeShade="80"/>
          <w:szCs w:val="20"/>
        </w:rPr>
        <w:t xml:space="preserve"> prenese na državni proračun. Sredstva, ki jih Zavod zbere preko prispevkov, se lahko namenjajo izključno za uveljavljanje pravic zavarovanih oseb. Zavod predlaga, da se sredstva v višini </w:t>
      </w:r>
      <w:r w:rsidRPr="005E4BEA">
        <w:rPr>
          <w:rFonts w:eastAsiaTheme="minorHAnsi" w:cs="Arial"/>
          <w:b/>
          <w:bCs/>
          <w:i/>
          <w:color w:val="808080" w:themeColor="background1" w:themeShade="80"/>
          <w:szCs w:val="20"/>
        </w:rPr>
        <w:t>30,7 mio evrov</w:t>
      </w:r>
      <w:r w:rsidRPr="005E4BEA">
        <w:rPr>
          <w:rFonts w:eastAsiaTheme="minorHAnsi" w:cs="Arial"/>
          <w:i/>
          <w:color w:val="808080" w:themeColor="background1" w:themeShade="80"/>
          <w:szCs w:val="20"/>
        </w:rPr>
        <w:t>, ki so bila do sedaj namenjena financiranju Terciarja I in registrom bolezni, namenijo za financiranje zdravstvenih storitev.</w:t>
      </w:r>
    </w:p>
    <w:p w14:paraId="0671A014" w14:textId="785D79EE" w:rsidR="00FE461F" w:rsidRPr="005E4BEA" w:rsidRDefault="00FE461F" w:rsidP="00FE461F">
      <w:pPr>
        <w:spacing w:line="240" w:lineRule="auto"/>
        <w:jc w:val="both"/>
        <w:rPr>
          <w:rFonts w:eastAsiaTheme="minorHAnsi" w:cs="Arial"/>
          <w:i/>
          <w:color w:val="808080" w:themeColor="background1" w:themeShade="80"/>
          <w:szCs w:val="20"/>
        </w:rPr>
      </w:pPr>
    </w:p>
    <w:p w14:paraId="351B9A6B" w14:textId="7EFFD78E" w:rsidR="00A31E75" w:rsidRPr="005E4BEA" w:rsidRDefault="00A31E75" w:rsidP="00FE461F">
      <w:pPr>
        <w:spacing w:line="240" w:lineRule="auto"/>
        <w:jc w:val="both"/>
        <w:rPr>
          <w:rFonts w:eastAsiaTheme="minorHAnsi" w:cs="Arial"/>
          <w:i/>
          <w:color w:val="808080" w:themeColor="background1" w:themeShade="80"/>
          <w:szCs w:val="20"/>
        </w:rPr>
      </w:pPr>
    </w:p>
    <w:p w14:paraId="0CFAA59F" w14:textId="77777777" w:rsidR="00A31E75" w:rsidRPr="005E4BEA" w:rsidRDefault="00A31E75" w:rsidP="00A31E75">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06B07ADD" w14:textId="77777777" w:rsidR="00A31E75" w:rsidRPr="005E4BEA" w:rsidRDefault="00A31E75" w:rsidP="00A31E75">
      <w:pPr>
        <w:spacing w:line="0" w:lineRule="atLeast"/>
        <w:jc w:val="both"/>
        <w:rPr>
          <w:rFonts w:eastAsia="Arial Narrow" w:cs="Arial"/>
          <w:szCs w:val="20"/>
          <w:lang w:eastAsia="sl-SI"/>
        </w:rPr>
      </w:pPr>
    </w:p>
    <w:p w14:paraId="3B66294E" w14:textId="1EC873DB" w:rsidR="00A31E75" w:rsidRPr="005E4BEA" w:rsidRDefault="00A31E75" w:rsidP="00A31E75">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proofErr w:type="spellStart"/>
      <w:r w:rsidRPr="005E4BEA">
        <w:rPr>
          <w:rFonts w:eastAsia="Arial Narrow" w:cs="Arial"/>
          <w:bCs/>
          <w:szCs w:val="20"/>
        </w:rPr>
        <w:t>se</w:t>
      </w:r>
      <w:proofErr w:type="spellEnd"/>
      <w:r w:rsidRPr="005E4BEA">
        <w:rPr>
          <w:rFonts w:eastAsia="Arial Narrow" w:cs="Arial"/>
          <w:bCs/>
          <w:szCs w:val="20"/>
        </w:rPr>
        <w:t xml:space="preserve"> </w:t>
      </w:r>
      <w:r w:rsidRPr="005E4BEA">
        <w:rPr>
          <w:rFonts w:eastAsiaTheme="minorHAnsi" w:cs="Arial"/>
          <w:bCs/>
          <w:szCs w:val="20"/>
        </w:rPr>
        <w:t>Splošni dogovor ne spremeni.</w:t>
      </w:r>
    </w:p>
    <w:p w14:paraId="594B77F1" w14:textId="77777777" w:rsidR="00A31E75" w:rsidRPr="005E4BEA" w:rsidRDefault="00A31E75" w:rsidP="00A31E75">
      <w:pPr>
        <w:spacing w:line="240" w:lineRule="auto"/>
        <w:jc w:val="both"/>
        <w:rPr>
          <w:rFonts w:cs="Arial"/>
          <w:i/>
          <w:iCs/>
          <w:color w:val="767171"/>
          <w:szCs w:val="20"/>
        </w:rPr>
      </w:pPr>
    </w:p>
    <w:p w14:paraId="3F4533E4" w14:textId="77777777" w:rsidR="00A31E75" w:rsidRPr="005E4BEA" w:rsidRDefault="00A31E75" w:rsidP="00A31E75">
      <w:pPr>
        <w:spacing w:line="240" w:lineRule="auto"/>
        <w:jc w:val="both"/>
        <w:rPr>
          <w:rFonts w:cs="Arial"/>
          <w:i/>
          <w:iCs/>
          <w:color w:val="767171"/>
          <w:szCs w:val="20"/>
        </w:rPr>
      </w:pPr>
    </w:p>
    <w:p w14:paraId="5CE47569" w14:textId="4460E984" w:rsidR="00A31E75" w:rsidRPr="005E4BEA" w:rsidRDefault="00A31E75"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(174)</w:t>
      </w:r>
    </w:p>
    <w:p w14:paraId="43793734" w14:textId="77777777" w:rsidR="00A31E75" w:rsidRPr="005E4BEA" w:rsidRDefault="00A31E75" w:rsidP="00A31E75">
      <w:pPr>
        <w:spacing w:line="0" w:lineRule="atLeast"/>
        <w:contextualSpacing/>
        <w:jc w:val="both"/>
        <w:rPr>
          <w:rFonts w:eastAsia="Arial Narrow" w:cs="Arial"/>
          <w:b/>
          <w:szCs w:val="20"/>
        </w:rPr>
      </w:pPr>
    </w:p>
    <w:p w14:paraId="30CAE683" w14:textId="3819D59E" w:rsidR="00FE461F" w:rsidRPr="005E4BEA" w:rsidRDefault="00A31E75" w:rsidP="00FE461F">
      <w:pPr>
        <w:spacing w:line="240" w:lineRule="auto"/>
        <w:jc w:val="both"/>
        <w:rPr>
          <w:rFonts w:cs="Arial"/>
          <w:bCs/>
          <w:szCs w:val="20"/>
        </w:rPr>
      </w:pPr>
      <w:r w:rsidRPr="005E4BEA">
        <w:rPr>
          <w:rFonts w:eastAsia="Arial Narrow" w:cs="Arial"/>
          <w:b/>
          <w:szCs w:val="20"/>
        </w:rPr>
        <w:t xml:space="preserve">Skupnost socialnih zavodov Slovenije </w:t>
      </w:r>
      <w:r w:rsidRPr="005E4BEA">
        <w:rPr>
          <w:rFonts w:eastAsia="Arial Narrow" w:cs="Arial"/>
          <w:bCs/>
          <w:szCs w:val="20"/>
        </w:rPr>
        <w:t>p</w:t>
      </w:r>
      <w:r w:rsidRPr="005E4BEA">
        <w:rPr>
          <w:rFonts w:eastAsiaTheme="minorHAnsi" w:cs="Arial"/>
          <w:bCs/>
          <w:szCs w:val="20"/>
        </w:rPr>
        <w:t xml:space="preserve">redlaga, </w:t>
      </w:r>
      <w:r w:rsidRPr="005E4BEA">
        <w:rPr>
          <w:rFonts w:eastAsia="Arial Narrow" w:cs="Arial"/>
          <w:bCs/>
          <w:szCs w:val="20"/>
        </w:rPr>
        <w:t xml:space="preserve">da se </w:t>
      </w:r>
      <w:r w:rsidR="00FE461F" w:rsidRPr="005E4BEA">
        <w:rPr>
          <w:rFonts w:cs="Arial"/>
          <w:bCs/>
          <w:szCs w:val="20"/>
        </w:rPr>
        <w:t xml:space="preserve">določijo zdravstveni zavodi, ki bodo skupaj pokrivali več socialnovarstvenih zavodov, ki imajo stanovalce s </w:t>
      </w:r>
      <w:proofErr w:type="spellStart"/>
      <w:r w:rsidR="00FE461F" w:rsidRPr="005E4BEA">
        <w:rPr>
          <w:rFonts w:cs="Arial"/>
          <w:bCs/>
          <w:szCs w:val="20"/>
        </w:rPr>
        <w:t>Huntingtonovo</w:t>
      </w:r>
      <w:proofErr w:type="spellEnd"/>
      <w:r w:rsidR="00FE461F" w:rsidRPr="005E4BEA">
        <w:rPr>
          <w:rFonts w:cs="Arial"/>
          <w:bCs/>
          <w:szCs w:val="20"/>
        </w:rPr>
        <w:t xml:space="preserve"> boleznijo, in se jim ustrezno poveča kadrovski normativ z:</w:t>
      </w:r>
    </w:p>
    <w:p w14:paraId="72F9F2F3" w14:textId="77777777" w:rsidR="00FE461F" w:rsidRPr="005E4BEA" w:rsidRDefault="00FE461F" w:rsidP="00FE461F">
      <w:pPr>
        <w:spacing w:line="240" w:lineRule="auto"/>
        <w:jc w:val="both"/>
        <w:rPr>
          <w:rFonts w:cs="Arial"/>
          <w:b/>
          <w:bCs/>
          <w:szCs w:val="20"/>
        </w:rPr>
      </w:pPr>
    </w:p>
    <w:p w14:paraId="79EA396D" w14:textId="77777777" w:rsidR="00FE461F" w:rsidRPr="005E4BEA" w:rsidRDefault="00FE461F" w:rsidP="00F356C9">
      <w:pPr>
        <w:numPr>
          <w:ilvl w:val="0"/>
          <w:numId w:val="71"/>
        </w:numPr>
        <w:spacing w:line="240" w:lineRule="auto"/>
        <w:contextualSpacing/>
        <w:jc w:val="both"/>
        <w:rPr>
          <w:rFonts w:cs="Arial"/>
          <w:b/>
          <w:bCs/>
          <w:szCs w:val="20"/>
        </w:rPr>
      </w:pPr>
      <w:r w:rsidRPr="005E4BEA">
        <w:rPr>
          <w:rFonts w:cs="Arial"/>
          <w:b/>
          <w:bCs/>
          <w:szCs w:val="20"/>
        </w:rPr>
        <w:lastRenderedPageBreak/>
        <w:t>0,25% delež nevrologa</w:t>
      </w:r>
    </w:p>
    <w:p w14:paraId="29AA1332" w14:textId="77777777" w:rsidR="00FE461F" w:rsidRPr="005E4BEA" w:rsidRDefault="00FE461F" w:rsidP="00FE461F">
      <w:pPr>
        <w:spacing w:line="240" w:lineRule="auto"/>
        <w:jc w:val="both"/>
        <w:rPr>
          <w:rFonts w:cs="Arial"/>
          <w:szCs w:val="20"/>
          <w:u w:val="single"/>
        </w:rPr>
      </w:pPr>
    </w:p>
    <w:p w14:paraId="7CAF1DBB" w14:textId="77777777" w:rsidR="00FE461F" w:rsidRPr="005E4BEA" w:rsidRDefault="00FE461F" w:rsidP="00FE461F">
      <w:pPr>
        <w:spacing w:line="240" w:lineRule="auto"/>
        <w:jc w:val="both"/>
        <w:rPr>
          <w:rFonts w:cs="Arial"/>
          <w:szCs w:val="20"/>
        </w:rPr>
      </w:pPr>
      <w:r w:rsidRPr="005E4BEA">
        <w:rPr>
          <w:rFonts w:cs="Arial"/>
          <w:szCs w:val="20"/>
        </w:rPr>
        <w:t xml:space="preserve">V posameznih socialnovarstvenih zavodih bivajo stanovalci s </w:t>
      </w:r>
      <w:proofErr w:type="spellStart"/>
      <w:r w:rsidRPr="005E4BEA">
        <w:rPr>
          <w:rFonts w:cs="Arial"/>
          <w:szCs w:val="20"/>
        </w:rPr>
        <w:t>Huntingtonovo</w:t>
      </w:r>
      <w:proofErr w:type="spellEnd"/>
      <w:r w:rsidRPr="005E4BEA">
        <w:rPr>
          <w:rFonts w:cs="Arial"/>
          <w:szCs w:val="20"/>
        </w:rPr>
        <w:t xml:space="preserve"> boleznijo, ki imajo pridružene tudi druge nevrološke in psihiatrične diagnoze. </w:t>
      </w:r>
    </w:p>
    <w:p w14:paraId="65149474" w14:textId="77777777" w:rsidR="00FE461F" w:rsidRPr="005E4BEA" w:rsidRDefault="00FE461F" w:rsidP="00FE461F">
      <w:pPr>
        <w:spacing w:line="240" w:lineRule="auto"/>
        <w:jc w:val="both"/>
        <w:rPr>
          <w:rFonts w:cs="Arial"/>
          <w:szCs w:val="20"/>
        </w:rPr>
      </w:pPr>
    </w:p>
    <w:p w14:paraId="61901A5A" w14:textId="77777777" w:rsidR="00FE461F" w:rsidRPr="005E4BEA" w:rsidRDefault="00FE461F" w:rsidP="00FE461F">
      <w:pPr>
        <w:spacing w:line="240" w:lineRule="auto"/>
        <w:jc w:val="both"/>
        <w:rPr>
          <w:rFonts w:cs="Arial"/>
          <w:szCs w:val="20"/>
        </w:rPr>
      </w:pPr>
      <w:r w:rsidRPr="005E4BEA">
        <w:rPr>
          <w:rFonts w:cs="Arial"/>
          <w:szCs w:val="20"/>
        </w:rPr>
        <w:t xml:space="preserve">Njihova obravnava je zaradi osnovne motnje veliko težja kot sicer. Ti stanovalci so zaradi spremljanja stanja in ravni </w:t>
      </w:r>
      <w:proofErr w:type="spellStart"/>
      <w:r w:rsidRPr="005E4BEA">
        <w:rPr>
          <w:rFonts w:cs="Arial"/>
          <w:szCs w:val="20"/>
        </w:rPr>
        <w:t>antiepileptičnih</w:t>
      </w:r>
      <w:proofErr w:type="spellEnd"/>
      <w:r w:rsidRPr="005E4BEA">
        <w:rPr>
          <w:rFonts w:cs="Arial"/>
          <w:szCs w:val="20"/>
        </w:rPr>
        <w:t xml:space="preserve"> zdravil v krvi redno obravnavani pri specialistu nevrologu. Slabo pokretne stanovalce je zato potrebno voziti z reševalnim prevozom s spremljevalcem. To povečuje strošek zdravljenja (prevoz, strošek dela), prevoz sam pa je za te osebe zelo neudoben. Vse to povečuje obremenitev javnega zdravstva in podaljšuje čakalne vrste. </w:t>
      </w:r>
    </w:p>
    <w:p w14:paraId="704FE455" w14:textId="77777777" w:rsidR="00FE461F" w:rsidRPr="005E4BEA" w:rsidRDefault="00FE461F" w:rsidP="00FE461F">
      <w:pPr>
        <w:spacing w:line="240" w:lineRule="auto"/>
        <w:jc w:val="both"/>
        <w:rPr>
          <w:rFonts w:cs="Arial"/>
          <w:szCs w:val="20"/>
        </w:rPr>
      </w:pPr>
    </w:p>
    <w:p w14:paraId="43F77176" w14:textId="77777777" w:rsidR="00FE461F" w:rsidRPr="005E4BEA" w:rsidRDefault="00FE461F" w:rsidP="00FE461F">
      <w:pPr>
        <w:spacing w:line="240" w:lineRule="auto"/>
        <w:jc w:val="both"/>
        <w:rPr>
          <w:rFonts w:cs="Arial"/>
          <w:szCs w:val="20"/>
        </w:rPr>
      </w:pPr>
      <w:r w:rsidRPr="005E4BEA">
        <w:rPr>
          <w:rFonts w:cs="Arial"/>
          <w:szCs w:val="20"/>
        </w:rPr>
        <w:t xml:space="preserve">V primeru, da bi specialisti nevrologi prihajali v socialnovarstvene zavode, bi le-to izboljšalo kvaliteto zdravstvenega varstva oseb s </w:t>
      </w:r>
      <w:proofErr w:type="spellStart"/>
      <w:r w:rsidRPr="005E4BEA">
        <w:rPr>
          <w:rFonts w:cs="Arial"/>
          <w:szCs w:val="20"/>
        </w:rPr>
        <w:t>Huntingtonovo</w:t>
      </w:r>
      <w:proofErr w:type="spellEnd"/>
      <w:r w:rsidRPr="005E4BEA">
        <w:rPr>
          <w:rFonts w:cs="Arial"/>
          <w:szCs w:val="20"/>
        </w:rPr>
        <w:t xml:space="preserve"> boleznijo, obenem pa bi vodilo v zmanjšanje stroškov za izvajanje prevozov uporabnikov, ki gredo delno v breme obveznega zdravstvenega zavarovanja (kadar osebni zdravnik oceni, da gre za specifična stanja pri stanovalcu), delno pa morajo socialnovarstveni zavodi le-to pokriti iz lastnih sredstev, iz rednih prihodkov v ZN. </w:t>
      </w:r>
    </w:p>
    <w:p w14:paraId="06C89AF4" w14:textId="77777777" w:rsidR="00FE461F" w:rsidRPr="005E4BEA" w:rsidRDefault="00FE461F" w:rsidP="00FE461F">
      <w:pPr>
        <w:spacing w:line="240" w:lineRule="auto"/>
        <w:jc w:val="both"/>
        <w:rPr>
          <w:rFonts w:cs="Arial"/>
          <w:szCs w:val="20"/>
        </w:rPr>
      </w:pPr>
    </w:p>
    <w:p w14:paraId="58ED495F" w14:textId="77777777" w:rsidR="00FE461F" w:rsidRPr="005E4BEA" w:rsidRDefault="00FE461F" w:rsidP="00FE461F">
      <w:pPr>
        <w:spacing w:line="240" w:lineRule="auto"/>
        <w:jc w:val="both"/>
        <w:rPr>
          <w:rFonts w:cs="Arial"/>
          <w:szCs w:val="20"/>
        </w:rPr>
      </w:pPr>
    </w:p>
    <w:p w14:paraId="2224AD56" w14:textId="77777777" w:rsidR="00FE461F" w:rsidRPr="005E4BEA" w:rsidRDefault="00FE461F" w:rsidP="00FE461F">
      <w:pPr>
        <w:spacing w:line="240" w:lineRule="auto"/>
        <w:jc w:val="both"/>
        <w:rPr>
          <w:rFonts w:cs="Arial"/>
          <w:szCs w:val="20"/>
        </w:rPr>
      </w:pPr>
      <w:r w:rsidRPr="005E4BEA">
        <w:rPr>
          <w:rFonts w:cs="Arial"/>
          <w:szCs w:val="20"/>
        </w:rPr>
        <w:t>V kolikor bi v vsaki območni enoti ZZZS-ja (10 območnih enot) priznali določen odstotek specialista nevrologa, bi to pomenilo finančni učinek v višini 125.000 eur.</w:t>
      </w:r>
    </w:p>
    <w:p w14:paraId="741A7E53" w14:textId="77777777" w:rsidR="00FE461F" w:rsidRPr="005E4BEA" w:rsidRDefault="00FE461F" w:rsidP="00FE461F">
      <w:pPr>
        <w:spacing w:line="240" w:lineRule="auto"/>
        <w:jc w:val="both"/>
        <w:rPr>
          <w:rFonts w:cs="Arial"/>
          <w:szCs w:val="20"/>
        </w:rPr>
      </w:pPr>
    </w:p>
    <w:p w14:paraId="376D3E4C" w14:textId="77777777" w:rsidR="00FE461F" w:rsidRPr="005E4BEA" w:rsidRDefault="00FE461F" w:rsidP="00FE461F">
      <w:pPr>
        <w:spacing w:line="240" w:lineRule="auto"/>
        <w:jc w:val="both"/>
        <w:rPr>
          <w:rFonts w:cs="Arial"/>
          <w:szCs w:val="20"/>
        </w:rPr>
      </w:pPr>
      <w:r w:rsidRPr="005E4BEA">
        <w:rPr>
          <w:rFonts w:cs="Arial"/>
          <w:szCs w:val="20"/>
        </w:rPr>
        <w:t xml:space="preserve">Po zbranih podatkih so stanovalci s </w:t>
      </w:r>
      <w:proofErr w:type="spellStart"/>
      <w:r w:rsidRPr="005E4BEA">
        <w:rPr>
          <w:rFonts w:cs="Arial"/>
          <w:szCs w:val="20"/>
        </w:rPr>
        <w:t>Huntingtonovo</w:t>
      </w:r>
      <w:proofErr w:type="spellEnd"/>
      <w:r w:rsidRPr="005E4BEA">
        <w:rPr>
          <w:rFonts w:cs="Arial"/>
          <w:szCs w:val="20"/>
        </w:rPr>
        <w:t xml:space="preserve"> boleznijo v naslednjih socialnovarstvenih zavodih:</w:t>
      </w:r>
    </w:p>
    <w:tbl>
      <w:tblPr>
        <w:tblW w:w="7280" w:type="dxa"/>
        <w:tblCellMar>
          <w:top w:w="15" w:type="dxa"/>
          <w:bottom w:w="15" w:type="dxa"/>
        </w:tblCellMar>
        <w:tblLook w:val="04A0" w:firstRow="1" w:lastRow="0" w:firstColumn="1" w:lastColumn="0" w:noHBand="0" w:noVBand="1"/>
      </w:tblPr>
      <w:tblGrid>
        <w:gridCol w:w="5380"/>
        <w:gridCol w:w="1900"/>
      </w:tblGrid>
      <w:tr w:rsidR="00FE461F" w:rsidRPr="005E4BEA" w14:paraId="1AA702C4"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4FBC518"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Zavod</w:t>
            </w:r>
          </w:p>
        </w:tc>
        <w:tc>
          <w:tcPr>
            <w:tcW w:w="1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9C5219A" w14:textId="77777777" w:rsidR="00FE461F" w:rsidRPr="005E4BEA" w:rsidRDefault="00FE461F" w:rsidP="00FE461F">
            <w:pPr>
              <w:spacing w:line="240" w:lineRule="auto"/>
              <w:jc w:val="center"/>
              <w:rPr>
                <w:rFonts w:cs="Arial"/>
                <w:b/>
                <w:bCs/>
                <w:color w:val="000000"/>
                <w:szCs w:val="20"/>
              </w:rPr>
            </w:pPr>
            <w:r w:rsidRPr="005E4BEA">
              <w:rPr>
                <w:rFonts w:cs="Arial"/>
                <w:b/>
                <w:bCs/>
                <w:color w:val="000000"/>
                <w:szCs w:val="20"/>
              </w:rPr>
              <w:t>Št. stanovalcev s HB</w:t>
            </w:r>
          </w:p>
        </w:tc>
      </w:tr>
      <w:tr w:rsidR="00FE461F" w:rsidRPr="005E4BEA" w14:paraId="4032844D"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1421C963" w14:textId="77777777" w:rsidR="00FE461F" w:rsidRPr="005E4BEA" w:rsidRDefault="00FE461F" w:rsidP="00FE461F">
            <w:pPr>
              <w:spacing w:line="240" w:lineRule="auto"/>
              <w:rPr>
                <w:rFonts w:cs="Arial"/>
                <w:color w:val="000000"/>
                <w:szCs w:val="20"/>
              </w:rPr>
            </w:pPr>
            <w:r w:rsidRPr="005E4BEA">
              <w:rPr>
                <w:rFonts w:cs="Arial"/>
                <w:color w:val="000000"/>
                <w:szCs w:val="20"/>
              </w:rPr>
              <w:t>Dom starejših občanov Ljubljana - Šiška</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6F378692"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w:t>
            </w:r>
          </w:p>
        </w:tc>
      </w:tr>
      <w:tr w:rsidR="00FE461F" w:rsidRPr="005E4BEA" w14:paraId="1BED241A"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6D0A6226" w14:textId="77777777" w:rsidR="00FE461F" w:rsidRPr="005E4BEA" w:rsidRDefault="00FE461F" w:rsidP="00FE461F">
            <w:pPr>
              <w:spacing w:line="240" w:lineRule="auto"/>
              <w:rPr>
                <w:rFonts w:cs="Arial"/>
                <w:color w:val="000000"/>
                <w:szCs w:val="20"/>
              </w:rPr>
            </w:pPr>
            <w:r w:rsidRPr="005E4BEA">
              <w:rPr>
                <w:rFonts w:cs="Arial"/>
                <w:color w:val="000000"/>
                <w:szCs w:val="20"/>
              </w:rPr>
              <w:t>Dom upokojencev Polzela</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42644663"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w:t>
            </w:r>
          </w:p>
        </w:tc>
      </w:tr>
      <w:tr w:rsidR="00FE461F" w:rsidRPr="005E4BEA" w14:paraId="6EEC11BA"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738EAEA4" w14:textId="77777777" w:rsidR="00FE461F" w:rsidRPr="005E4BEA" w:rsidRDefault="00FE461F" w:rsidP="00FE461F">
            <w:pPr>
              <w:spacing w:line="240" w:lineRule="auto"/>
              <w:rPr>
                <w:rFonts w:cs="Arial"/>
                <w:color w:val="000000"/>
                <w:szCs w:val="20"/>
              </w:rPr>
            </w:pPr>
            <w:r w:rsidRPr="005E4BEA">
              <w:rPr>
                <w:rFonts w:cs="Arial"/>
                <w:color w:val="000000"/>
                <w:szCs w:val="20"/>
              </w:rPr>
              <w:t>Dom dr. Jožeta Potrča Poljčane</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43CEC86F"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w:t>
            </w:r>
          </w:p>
        </w:tc>
      </w:tr>
      <w:tr w:rsidR="00FE461F" w:rsidRPr="005E4BEA" w14:paraId="1853AE9E"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717110BE" w14:textId="77777777" w:rsidR="00FE461F" w:rsidRPr="005E4BEA" w:rsidRDefault="00FE461F" w:rsidP="00FE461F">
            <w:pPr>
              <w:spacing w:line="240" w:lineRule="auto"/>
              <w:rPr>
                <w:rFonts w:cs="Arial"/>
                <w:color w:val="000000"/>
                <w:szCs w:val="20"/>
              </w:rPr>
            </w:pPr>
            <w:r w:rsidRPr="005E4BEA">
              <w:rPr>
                <w:rFonts w:cs="Arial"/>
                <w:color w:val="000000"/>
                <w:szCs w:val="20"/>
              </w:rPr>
              <w:t>Dom upokojencev Podbrdo</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199C32C0"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w:t>
            </w:r>
          </w:p>
        </w:tc>
      </w:tr>
      <w:tr w:rsidR="00FE461F" w:rsidRPr="005E4BEA" w14:paraId="5D725A8D"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5D5EA615" w14:textId="77777777" w:rsidR="00FE461F" w:rsidRPr="005E4BEA" w:rsidRDefault="00FE461F" w:rsidP="00FE461F">
            <w:pPr>
              <w:spacing w:line="240" w:lineRule="auto"/>
              <w:rPr>
                <w:rFonts w:cs="Arial"/>
                <w:color w:val="000000"/>
                <w:szCs w:val="20"/>
              </w:rPr>
            </w:pPr>
            <w:r w:rsidRPr="005E4BEA">
              <w:rPr>
                <w:rFonts w:cs="Arial"/>
                <w:color w:val="000000"/>
                <w:szCs w:val="20"/>
              </w:rPr>
              <w:t>Dom upokojencev Vrhnika</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131666C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1</w:t>
            </w:r>
          </w:p>
        </w:tc>
      </w:tr>
      <w:tr w:rsidR="00FE461F" w:rsidRPr="005E4BEA" w14:paraId="1A113064"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0708C724" w14:textId="77777777" w:rsidR="00FE461F" w:rsidRPr="005E4BEA" w:rsidRDefault="00FE461F" w:rsidP="00FE461F">
            <w:pPr>
              <w:spacing w:line="240" w:lineRule="auto"/>
              <w:rPr>
                <w:rFonts w:cs="Arial"/>
                <w:color w:val="000000"/>
                <w:szCs w:val="20"/>
              </w:rPr>
            </w:pPr>
            <w:r w:rsidRPr="005E4BEA">
              <w:rPr>
                <w:rFonts w:cs="Arial"/>
                <w:color w:val="000000"/>
                <w:szCs w:val="20"/>
              </w:rPr>
              <w:t>Dom upokojencev Idrija</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76CC637A"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5</w:t>
            </w:r>
          </w:p>
        </w:tc>
      </w:tr>
      <w:tr w:rsidR="00FE461F" w:rsidRPr="005E4BEA" w14:paraId="49A54A26" w14:textId="77777777" w:rsidTr="0016774B">
        <w:trPr>
          <w:trHeight w:val="300"/>
        </w:trPr>
        <w:tc>
          <w:tcPr>
            <w:tcW w:w="5380" w:type="dxa"/>
            <w:tcBorders>
              <w:top w:val="single" w:sz="4" w:space="0" w:color="auto"/>
              <w:left w:val="single" w:sz="4" w:space="0" w:color="auto"/>
              <w:bottom w:val="single" w:sz="4" w:space="0" w:color="auto"/>
              <w:right w:val="single" w:sz="4" w:space="0" w:color="auto"/>
            </w:tcBorders>
            <w:noWrap/>
            <w:vAlign w:val="bottom"/>
            <w:hideMark/>
          </w:tcPr>
          <w:p w14:paraId="207A238D" w14:textId="77777777" w:rsidR="00FE461F" w:rsidRPr="005E4BEA" w:rsidRDefault="00FE461F" w:rsidP="00FE461F">
            <w:pPr>
              <w:spacing w:line="240" w:lineRule="auto"/>
              <w:rPr>
                <w:rFonts w:cs="Arial"/>
                <w:color w:val="000000"/>
                <w:szCs w:val="20"/>
              </w:rPr>
            </w:pPr>
            <w:r w:rsidRPr="005E4BEA">
              <w:rPr>
                <w:rFonts w:cs="Arial"/>
                <w:color w:val="000000"/>
                <w:szCs w:val="20"/>
              </w:rPr>
              <w:t>Dom starejših Idila, d.o.o.</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08B2AD0C" w14:textId="77777777" w:rsidR="00FE461F" w:rsidRPr="005E4BEA" w:rsidRDefault="00FE461F" w:rsidP="00FE461F">
            <w:pPr>
              <w:spacing w:line="240" w:lineRule="auto"/>
              <w:jc w:val="center"/>
              <w:rPr>
                <w:rFonts w:cs="Arial"/>
                <w:color w:val="000000"/>
                <w:szCs w:val="20"/>
              </w:rPr>
            </w:pPr>
            <w:r w:rsidRPr="005E4BEA">
              <w:rPr>
                <w:rFonts w:cs="Arial"/>
                <w:color w:val="000000"/>
                <w:szCs w:val="20"/>
              </w:rPr>
              <w:t>2</w:t>
            </w:r>
          </w:p>
        </w:tc>
      </w:tr>
    </w:tbl>
    <w:p w14:paraId="651A74C3" w14:textId="77777777" w:rsidR="00FE461F" w:rsidRPr="005E4BEA" w:rsidRDefault="00FE461F" w:rsidP="00FE461F">
      <w:pPr>
        <w:spacing w:line="240" w:lineRule="auto"/>
        <w:jc w:val="both"/>
        <w:rPr>
          <w:rFonts w:cs="Arial"/>
          <w:szCs w:val="20"/>
        </w:rPr>
      </w:pPr>
    </w:p>
    <w:p w14:paraId="42FE3854" w14:textId="77777777" w:rsidR="00FE461F" w:rsidRPr="005E4BEA" w:rsidRDefault="00FE461F" w:rsidP="00FE461F">
      <w:pPr>
        <w:spacing w:line="240" w:lineRule="auto"/>
        <w:jc w:val="both"/>
        <w:rPr>
          <w:rFonts w:cs="Arial"/>
          <w:szCs w:val="20"/>
        </w:rPr>
      </w:pPr>
    </w:p>
    <w:p w14:paraId="2DC3C00A" w14:textId="5224E76A" w:rsidR="00FE461F" w:rsidRPr="005E4BEA" w:rsidRDefault="00FE461F" w:rsidP="00FE461F">
      <w:pPr>
        <w:spacing w:line="240" w:lineRule="auto"/>
        <w:jc w:val="both"/>
        <w:rPr>
          <w:rFonts w:cs="Arial"/>
          <w:b/>
          <w:bCs/>
          <w:szCs w:val="20"/>
        </w:rPr>
      </w:pPr>
      <w:r w:rsidRPr="005E4BEA">
        <w:rPr>
          <w:rFonts w:cs="Arial"/>
          <w:b/>
          <w:bCs/>
          <w:szCs w:val="20"/>
        </w:rPr>
        <w:t>Finančni učinek na letni ravni: 125.000 eur</w:t>
      </w:r>
    </w:p>
    <w:p w14:paraId="6CCE9F41" w14:textId="4DC060F8" w:rsidR="00A31E75" w:rsidRPr="005E4BEA" w:rsidRDefault="00A31E75" w:rsidP="00FE461F">
      <w:pPr>
        <w:spacing w:line="240" w:lineRule="auto"/>
        <w:jc w:val="both"/>
        <w:rPr>
          <w:rFonts w:cs="Arial"/>
          <w:b/>
          <w:bCs/>
          <w:szCs w:val="20"/>
        </w:rPr>
      </w:pPr>
    </w:p>
    <w:p w14:paraId="6854FAB5" w14:textId="1F22F22F" w:rsidR="00A31E75" w:rsidRPr="005E4BEA" w:rsidRDefault="00A31E75" w:rsidP="00FE461F">
      <w:pPr>
        <w:spacing w:line="240" w:lineRule="auto"/>
        <w:jc w:val="both"/>
        <w:rPr>
          <w:rFonts w:cs="Arial"/>
          <w:b/>
          <w:bCs/>
          <w:szCs w:val="20"/>
        </w:rPr>
      </w:pPr>
    </w:p>
    <w:p w14:paraId="2E84A4E9" w14:textId="77777777" w:rsidR="00A31E75" w:rsidRPr="005E4BEA" w:rsidRDefault="00A31E75" w:rsidP="00A31E75">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1B74DFF" w14:textId="77777777" w:rsidR="00A31E75" w:rsidRPr="005E4BEA" w:rsidRDefault="00A31E75" w:rsidP="00A31E75">
      <w:pPr>
        <w:spacing w:line="0" w:lineRule="atLeast"/>
        <w:jc w:val="both"/>
        <w:rPr>
          <w:rFonts w:eastAsia="Arial Narrow" w:cs="Arial"/>
          <w:szCs w:val="20"/>
          <w:lang w:eastAsia="sl-SI"/>
        </w:rPr>
      </w:pPr>
    </w:p>
    <w:p w14:paraId="6037F0D3" w14:textId="6A44A5E9" w:rsidR="00A31E75" w:rsidRPr="005E4BEA" w:rsidRDefault="00A31E75" w:rsidP="00A31E75">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 xml:space="preserve">da se </w:t>
      </w:r>
      <w:r w:rsidRPr="005E4BEA">
        <w:rPr>
          <w:rFonts w:eastAsiaTheme="minorHAnsi" w:cs="Arial"/>
          <w:bCs/>
          <w:szCs w:val="20"/>
        </w:rPr>
        <w:t>Splošni dogovor ne spremeni.</w:t>
      </w:r>
    </w:p>
    <w:p w14:paraId="5D1EA98A" w14:textId="77777777" w:rsidR="00A31E75" w:rsidRPr="005E4BEA" w:rsidRDefault="00A31E75" w:rsidP="00A31E75">
      <w:pPr>
        <w:spacing w:line="240" w:lineRule="auto"/>
        <w:jc w:val="both"/>
        <w:rPr>
          <w:rFonts w:cs="Arial"/>
          <w:i/>
          <w:iCs/>
          <w:color w:val="767171"/>
          <w:szCs w:val="20"/>
        </w:rPr>
      </w:pPr>
    </w:p>
    <w:p w14:paraId="7C5AF9A2" w14:textId="77777777" w:rsidR="00A31E75" w:rsidRPr="005E4BEA" w:rsidRDefault="00A31E75" w:rsidP="00A31E75">
      <w:pPr>
        <w:spacing w:line="240" w:lineRule="auto"/>
        <w:jc w:val="both"/>
        <w:rPr>
          <w:rFonts w:cs="Arial"/>
          <w:i/>
          <w:iCs/>
          <w:color w:val="767171"/>
          <w:szCs w:val="20"/>
        </w:rPr>
      </w:pPr>
    </w:p>
    <w:p w14:paraId="4927A846" w14:textId="06524ED3" w:rsidR="00A31E75" w:rsidRPr="005E4BEA" w:rsidRDefault="00A31E75" w:rsidP="00F356C9">
      <w:pPr>
        <w:pStyle w:val="Naslov2"/>
        <w:numPr>
          <w:ilvl w:val="0"/>
          <w:numId w:val="79"/>
        </w:numPr>
        <w:ind w:left="0" w:firstLine="0"/>
        <w:rPr>
          <w:rFonts w:ascii="Arial" w:eastAsia="Arial Narrow" w:hAnsi="Arial" w:cs="Arial"/>
          <w:sz w:val="20"/>
        </w:rPr>
      </w:pPr>
      <w:bookmarkStart w:id="174" w:name="_Hlk102569986"/>
      <w:r w:rsidRPr="005E4BEA">
        <w:rPr>
          <w:rFonts w:ascii="Arial" w:eastAsia="Arial Narrow" w:hAnsi="Arial" w:cs="Arial"/>
          <w:sz w:val="20"/>
        </w:rPr>
        <w:t>SPORNO VPRAŠANJE (175)</w:t>
      </w:r>
    </w:p>
    <w:p w14:paraId="1EA6A3B6" w14:textId="79E3334A" w:rsidR="00A31E75" w:rsidRPr="005E4BEA" w:rsidRDefault="00A31E75" w:rsidP="00A31E75">
      <w:pPr>
        <w:spacing w:line="0" w:lineRule="atLeast"/>
        <w:contextualSpacing/>
        <w:jc w:val="both"/>
        <w:rPr>
          <w:rFonts w:eastAsia="Arial Narrow" w:cs="Arial"/>
          <w:b/>
          <w:szCs w:val="20"/>
        </w:rPr>
      </w:pPr>
    </w:p>
    <w:p w14:paraId="674242A2" w14:textId="600D269B" w:rsidR="00FE461F" w:rsidRPr="005E4BEA" w:rsidRDefault="00A31E75" w:rsidP="00A31E75">
      <w:pPr>
        <w:spacing w:line="0" w:lineRule="atLeast"/>
        <w:contextualSpacing/>
        <w:jc w:val="both"/>
        <w:rPr>
          <w:rFonts w:eastAsiaTheme="minorHAnsi" w:cs="Arial"/>
          <w:bCs/>
          <w:szCs w:val="20"/>
        </w:rPr>
      </w:pPr>
      <w:r w:rsidRPr="005E4BEA">
        <w:rPr>
          <w:rFonts w:eastAsia="Arial Narrow" w:cs="Arial"/>
          <w:b/>
          <w:szCs w:val="20"/>
        </w:rPr>
        <w:t xml:space="preserve">Skupnost slovenskih naravnih zdravilišč </w:t>
      </w:r>
      <w:r w:rsidRPr="005E4BEA">
        <w:rPr>
          <w:rFonts w:eastAsia="Arial Narrow" w:cs="Arial"/>
          <w:bCs/>
          <w:szCs w:val="20"/>
        </w:rPr>
        <w:t>p</w:t>
      </w:r>
      <w:r w:rsidRPr="005E4BEA">
        <w:rPr>
          <w:rFonts w:eastAsiaTheme="minorHAnsi" w:cs="Arial"/>
          <w:bCs/>
          <w:szCs w:val="20"/>
        </w:rPr>
        <w:t xml:space="preserve">redlaga, </w:t>
      </w:r>
      <w:r w:rsidRPr="005E4BEA">
        <w:rPr>
          <w:rFonts w:eastAsia="Arial Narrow" w:cs="Arial"/>
          <w:bCs/>
          <w:szCs w:val="20"/>
        </w:rPr>
        <w:t xml:space="preserve">da se </w:t>
      </w:r>
      <w:r w:rsidR="00FE461F" w:rsidRPr="005E4BEA">
        <w:rPr>
          <w:rFonts w:eastAsiaTheme="minorHAnsi" w:cs="Arial"/>
          <w:bCs/>
          <w:szCs w:val="20"/>
        </w:rPr>
        <w:t>Seznam storitev 15.38: Storitve zdraviliškega zdravljenja (104 501, 104 502, 104 504, 104 505, 204 503) naj se dopolni z novo šifro, kot je razvidno iz tabele:</w:t>
      </w:r>
    </w:p>
    <w:p w14:paraId="740337FC" w14:textId="77777777" w:rsidR="00FE461F" w:rsidRPr="005E4BEA" w:rsidRDefault="00FE461F" w:rsidP="00FE461F">
      <w:pPr>
        <w:spacing w:before="120" w:after="60" w:line="240" w:lineRule="auto"/>
        <w:jc w:val="both"/>
        <w:rPr>
          <w:rFonts w:eastAsiaTheme="minorHAnsi" w:cs="Arial"/>
          <w:b/>
          <w:szCs w:val="20"/>
        </w:rPr>
      </w:pPr>
    </w:p>
    <w:p w14:paraId="3A87B768" w14:textId="77777777" w:rsidR="00FE461F" w:rsidRPr="005E4BEA" w:rsidRDefault="00FE461F" w:rsidP="00FE461F">
      <w:pPr>
        <w:spacing w:before="120" w:after="60" w:line="240" w:lineRule="auto"/>
        <w:jc w:val="both"/>
        <w:rPr>
          <w:rFonts w:cs="Arial"/>
          <w:szCs w:val="20"/>
        </w:rPr>
      </w:pPr>
      <w:r w:rsidRPr="005E4BEA">
        <w:rPr>
          <w:rFonts w:cs="Arial"/>
          <w:b/>
          <w:szCs w:val="20"/>
        </w:rPr>
        <w:t>Standard tip 4</w:t>
      </w:r>
      <w:r w:rsidRPr="005E4BEA">
        <w:rPr>
          <w:rFonts w:cs="Arial"/>
          <w:szCs w:val="20"/>
        </w:rPr>
        <w:t xml:space="preserve"> - nevrološke bolezni, poškodbe in bolezni centralnega in perifernega živčnega sistema, vključno s </w:t>
      </w:r>
      <w:proofErr w:type="spellStart"/>
      <w:r w:rsidRPr="005E4BEA">
        <w:rPr>
          <w:rFonts w:cs="Arial"/>
          <w:szCs w:val="20"/>
        </w:rPr>
        <w:t>cerebrovaskularnimi</w:t>
      </w:r>
      <w:proofErr w:type="spellEnd"/>
      <w:r w:rsidRPr="005E4BEA">
        <w:rPr>
          <w:rFonts w:cs="Arial"/>
          <w:szCs w:val="20"/>
        </w:rPr>
        <w:t xml:space="preserve"> </w:t>
      </w:r>
      <w:proofErr w:type="spellStart"/>
      <w:r w:rsidRPr="005E4BEA">
        <w:rPr>
          <w:rFonts w:cs="Arial"/>
          <w:szCs w:val="20"/>
        </w:rPr>
        <w:t>inzulti</w:t>
      </w:r>
      <w:proofErr w:type="spellEnd"/>
      <w:r w:rsidRPr="005E4BEA">
        <w:rPr>
          <w:rFonts w:cs="Arial"/>
          <w:szCs w:val="20"/>
        </w:rPr>
        <w:t xml:space="preserve"> ter živčno-mišičnimi boleznimi</w:t>
      </w:r>
    </w:p>
    <w:p w14:paraId="0393EA2D" w14:textId="77777777" w:rsidR="00FE461F" w:rsidRPr="005E4BEA" w:rsidRDefault="00FE461F" w:rsidP="00FE461F">
      <w:pPr>
        <w:spacing w:before="120" w:after="60" w:line="240" w:lineRule="auto"/>
        <w:jc w:val="both"/>
        <w:rPr>
          <w:rFonts w:cs="Arial"/>
          <w:szCs w:val="20"/>
        </w:rPr>
      </w:pPr>
    </w:p>
    <w:tbl>
      <w:tblPr>
        <w:tblW w:w="10759" w:type="dxa"/>
        <w:tblInd w:w="-714" w:type="dxa"/>
        <w:tblLayout w:type="fixed"/>
        <w:tblCellMar>
          <w:left w:w="70" w:type="dxa"/>
          <w:right w:w="70" w:type="dxa"/>
        </w:tblCellMar>
        <w:tblLook w:val="04A0" w:firstRow="1" w:lastRow="0" w:firstColumn="1" w:lastColumn="0" w:noHBand="0" w:noVBand="1"/>
      </w:tblPr>
      <w:tblGrid>
        <w:gridCol w:w="709"/>
        <w:gridCol w:w="993"/>
        <w:gridCol w:w="2551"/>
        <w:gridCol w:w="714"/>
        <w:gridCol w:w="594"/>
        <w:gridCol w:w="256"/>
        <w:gridCol w:w="453"/>
        <w:gridCol w:w="256"/>
        <w:gridCol w:w="453"/>
        <w:gridCol w:w="425"/>
        <w:gridCol w:w="965"/>
        <w:gridCol w:w="425"/>
        <w:gridCol w:w="646"/>
        <w:gridCol w:w="668"/>
        <w:gridCol w:w="651"/>
      </w:tblGrid>
      <w:tr w:rsidR="00FE461F" w:rsidRPr="005E4BEA" w14:paraId="3BE32547" w14:textId="77777777" w:rsidTr="0016774B">
        <w:trPr>
          <w:trHeight w:val="76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C8B6835" w14:textId="77777777" w:rsidR="00FE461F" w:rsidRPr="005E4BEA" w:rsidRDefault="00FE461F" w:rsidP="00FE461F">
            <w:pPr>
              <w:spacing w:line="240" w:lineRule="auto"/>
              <w:jc w:val="right"/>
              <w:rPr>
                <w:rFonts w:cs="Arial"/>
                <w:szCs w:val="20"/>
              </w:rPr>
            </w:pPr>
            <w:r w:rsidRPr="005E4BEA">
              <w:rPr>
                <w:rFonts w:cs="Arial"/>
                <w:szCs w:val="20"/>
              </w:rPr>
              <w:t>96090</w:t>
            </w:r>
          </w:p>
        </w:tc>
        <w:tc>
          <w:tcPr>
            <w:tcW w:w="993" w:type="dxa"/>
            <w:tcBorders>
              <w:top w:val="single" w:sz="4" w:space="0" w:color="auto"/>
              <w:left w:val="nil"/>
              <w:bottom w:val="single" w:sz="4" w:space="0" w:color="auto"/>
              <w:right w:val="single" w:sz="4" w:space="0" w:color="auto"/>
            </w:tcBorders>
            <w:shd w:val="clear" w:color="auto" w:fill="auto"/>
            <w:hideMark/>
          </w:tcPr>
          <w:p w14:paraId="6B29AB5E" w14:textId="77777777" w:rsidR="00FE461F" w:rsidRPr="005E4BEA" w:rsidRDefault="00FE461F" w:rsidP="00FE461F">
            <w:pPr>
              <w:spacing w:line="240" w:lineRule="auto"/>
              <w:rPr>
                <w:rFonts w:cs="Arial"/>
                <w:szCs w:val="20"/>
              </w:rPr>
            </w:pPr>
            <w:r w:rsidRPr="005E4BEA">
              <w:rPr>
                <w:rFonts w:cs="Arial"/>
                <w:szCs w:val="20"/>
              </w:rPr>
              <w:t>Psihoterapevtski ukrep - površinski**</w:t>
            </w:r>
          </w:p>
        </w:tc>
        <w:tc>
          <w:tcPr>
            <w:tcW w:w="2551" w:type="dxa"/>
            <w:tcBorders>
              <w:top w:val="single" w:sz="4" w:space="0" w:color="auto"/>
              <w:left w:val="nil"/>
              <w:bottom w:val="single" w:sz="4" w:space="0" w:color="auto"/>
              <w:right w:val="single" w:sz="4" w:space="0" w:color="auto"/>
            </w:tcBorders>
            <w:shd w:val="clear" w:color="auto" w:fill="auto"/>
            <w:hideMark/>
          </w:tcPr>
          <w:p w14:paraId="38A0277D" w14:textId="77777777" w:rsidR="00FE461F" w:rsidRPr="005E4BEA" w:rsidRDefault="00FE461F" w:rsidP="00FE461F">
            <w:pPr>
              <w:spacing w:line="240" w:lineRule="auto"/>
              <w:rPr>
                <w:rFonts w:cs="Arial"/>
                <w:szCs w:val="20"/>
              </w:rPr>
            </w:pPr>
            <w:r w:rsidRPr="005E4BEA">
              <w:rPr>
                <w:rFonts w:cs="Arial"/>
                <w:szCs w:val="20"/>
              </w:rPr>
              <w:t>Psihoterapevtski ukrep - površinski.** Storitev lahko obračunavajo zdravilišča, ki imajo v kadrovski zasedbi specialista klinične psihologije ali psihiatrije. Storitev je moč obračunati pri individualni obravnavi, največ enkrat na teden.</w:t>
            </w:r>
          </w:p>
        </w:tc>
        <w:tc>
          <w:tcPr>
            <w:tcW w:w="714" w:type="dxa"/>
            <w:tcBorders>
              <w:top w:val="single" w:sz="4" w:space="0" w:color="auto"/>
              <w:left w:val="nil"/>
              <w:bottom w:val="single" w:sz="4" w:space="0" w:color="auto"/>
              <w:right w:val="single" w:sz="4" w:space="0" w:color="auto"/>
            </w:tcBorders>
            <w:shd w:val="clear" w:color="auto" w:fill="auto"/>
            <w:noWrap/>
            <w:hideMark/>
          </w:tcPr>
          <w:p w14:paraId="7317C771" w14:textId="77777777" w:rsidR="00FE461F" w:rsidRPr="005E4BEA" w:rsidRDefault="00FE461F" w:rsidP="00FE461F">
            <w:pPr>
              <w:spacing w:line="240" w:lineRule="auto"/>
              <w:rPr>
                <w:rFonts w:cs="Arial"/>
                <w:szCs w:val="20"/>
              </w:rPr>
            </w:pPr>
            <w:r w:rsidRPr="005E4BEA">
              <w:rPr>
                <w:rFonts w:cs="Arial"/>
                <w:szCs w:val="20"/>
              </w:rPr>
              <w:t>Točka</w:t>
            </w:r>
          </w:p>
        </w:tc>
        <w:tc>
          <w:tcPr>
            <w:tcW w:w="594" w:type="dxa"/>
            <w:tcBorders>
              <w:top w:val="single" w:sz="4" w:space="0" w:color="auto"/>
              <w:left w:val="nil"/>
              <w:bottom w:val="single" w:sz="4" w:space="0" w:color="auto"/>
              <w:right w:val="single" w:sz="4" w:space="0" w:color="auto"/>
            </w:tcBorders>
            <w:shd w:val="clear" w:color="auto" w:fill="auto"/>
            <w:hideMark/>
          </w:tcPr>
          <w:p w14:paraId="724B1C81" w14:textId="77777777" w:rsidR="00FE461F" w:rsidRPr="005E4BEA" w:rsidRDefault="00FE461F" w:rsidP="00FE461F">
            <w:pPr>
              <w:spacing w:line="240" w:lineRule="auto"/>
              <w:jc w:val="right"/>
              <w:rPr>
                <w:rFonts w:cs="Arial"/>
                <w:szCs w:val="20"/>
              </w:rPr>
            </w:pPr>
            <w:r w:rsidRPr="005E4BEA">
              <w:rPr>
                <w:rFonts w:cs="Arial"/>
                <w:szCs w:val="20"/>
              </w:rPr>
              <w:t>6,90</w:t>
            </w:r>
          </w:p>
        </w:tc>
        <w:tc>
          <w:tcPr>
            <w:tcW w:w="256" w:type="dxa"/>
            <w:tcBorders>
              <w:top w:val="single" w:sz="4" w:space="0" w:color="auto"/>
              <w:left w:val="nil"/>
              <w:bottom w:val="single" w:sz="4" w:space="0" w:color="auto"/>
              <w:right w:val="single" w:sz="4" w:space="0" w:color="auto"/>
            </w:tcBorders>
            <w:shd w:val="clear" w:color="auto" w:fill="auto"/>
            <w:hideMark/>
          </w:tcPr>
          <w:p w14:paraId="469174C7" w14:textId="77777777" w:rsidR="00FE461F" w:rsidRPr="005E4BEA" w:rsidRDefault="00FE461F" w:rsidP="00FE461F">
            <w:pPr>
              <w:spacing w:line="240" w:lineRule="auto"/>
              <w:jc w:val="right"/>
              <w:rPr>
                <w:rFonts w:cs="Arial"/>
                <w:szCs w:val="20"/>
              </w:rPr>
            </w:pPr>
            <w:r w:rsidRPr="005E4BEA">
              <w:rPr>
                <w:rFonts w:cs="Arial"/>
                <w:szCs w:val="20"/>
              </w:rPr>
              <w:t>2</w:t>
            </w:r>
          </w:p>
        </w:tc>
        <w:tc>
          <w:tcPr>
            <w:tcW w:w="453" w:type="dxa"/>
            <w:tcBorders>
              <w:top w:val="single" w:sz="4" w:space="0" w:color="auto"/>
              <w:left w:val="nil"/>
              <w:bottom w:val="single" w:sz="4" w:space="0" w:color="auto"/>
              <w:right w:val="single" w:sz="4" w:space="0" w:color="auto"/>
            </w:tcBorders>
            <w:shd w:val="clear" w:color="000000" w:fill="D9D9D9"/>
            <w:noWrap/>
            <w:vAlign w:val="bottom"/>
            <w:hideMark/>
          </w:tcPr>
          <w:p w14:paraId="5539D022" w14:textId="77777777" w:rsidR="00FE461F" w:rsidRPr="005E4BEA" w:rsidRDefault="00FE461F" w:rsidP="00FE461F">
            <w:pPr>
              <w:spacing w:line="240" w:lineRule="auto"/>
              <w:rPr>
                <w:rFonts w:cs="Arial"/>
                <w:szCs w:val="20"/>
              </w:rPr>
            </w:pPr>
            <w:r w:rsidRPr="005E4BEA">
              <w:rPr>
                <w:rFonts w:cs="Arial"/>
                <w:szCs w:val="20"/>
              </w:rPr>
              <w:t> </w:t>
            </w:r>
          </w:p>
        </w:tc>
        <w:tc>
          <w:tcPr>
            <w:tcW w:w="256" w:type="dxa"/>
            <w:tcBorders>
              <w:top w:val="single" w:sz="4" w:space="0" w:color="auto"/>
              <w:left w:val="nil"/>
              <w:bottom w:val="single" w:sz="4" w:space="0" w:color="auto"/>
              <w:right w:val="single" w:sz="4" w:space="0" w:color="auto"/>
            </w:tcBorders>
            <w:shd w:val="clear" w:color="auto" w:fill="auto"/>
            <w:hideMark/>
          </w:tcPr>
          <w:p w14:paraId="25F27A06" w14:textId="77777777" w:rsidR="00FE461F" w:rsidRPr="005E4BEA" w:rsidRDefault="00FE461F" w:rsidP="00FE461F">
            <w:pPr>
              <w:spacing w:line="240" w:lineRule="auto"/>
              <w:jc w:val="right"/>
              <w:rPr>
                <w:rFonts w:cs="Arial"/>
                <w:szCs w:val="20"/>
              </w:rPr>
            </w:pPr>
            <w:r w:rsidRPr="005E4BEA">
              <w:rPr>
                <w:rFonts w:cs="Arial"/>
                <w:szCs w:val="20"/>
              </w:rPr>
              <w:t>N</w:t>
            </w:r>
          </w:p>
        </w:tc>
        <w:tc>
          <w:tcPr>
            <w:tcW w:w="453" w:type="dxa"/>
            <w:tcBorders>
              <w:top w:val="single" w:sz="4" w:space="0" w:color="auto"/>
              <w:left w:val="nil"/>
              <w:bottom w:val="single" w:sz="4" w:space="0" w:color="auto"/>
              <w:right w:val="single" w:sz="4" w:space="0" w:color="auto"/>
            </w:tcBorders>
            <w:shd w:val="clear" w:color="auto" w:fill="auto"/>
            <w:hideMark/>
          </w:tcPr>
          <w:p w14:paraId="62401191" w14:textId="77777777" w:rsidR="00FE461F" w:rsidRPr="005E4BEA" w:rsidRDefault="00FE461F" w:rsidP="00FE461F">
            <w:pPr>
              <w:spacing w:line="240" w:lineRule="auto"/>
              <w:jc w:val="right"/>
              <w:rPr>
                <w:rFonts w:cs="Arial"/>
                <w:szCs w:val="20"/>
              </w:rPr>
            </w:pPr>
            <w:r w:rsidRPr="005E4BEA">
              <w:rPr>
                <w:rFonts w:cs="Arial"/>
                <w:szCs w:val="20"/>
              </w:rPr>
              <w:t>2</w:t>
            </w:r>
          </w:p>
        </w:tc>
        <w:tc>
          <w:tcPr>
            <w:tcW w:w="425" w:type="dxa"/>
            <w:tcBorders>
              <w:top w:val="single" w:sz="4" w:space="0" w:color="auto"/>
              <w:left w:val="nil"/>
              <w:bottom w:val="single" w:sz="4" w:space="0" w:color="auto"/>
              <w:right w:val="single" w:sz="4" w:space="0" w:color="auto"/>
            </w:tcBorders>
            <w:shd w:val="clear" w:color="auto" w:fill="auto"/>
            <w:hideMark/>
          </w:tcPr>
          <w:p w14:paraId="4EEEDC43" w14:textId="77777777" w:rsidR="00FE461F" w:rsidRPr="005E4BEA" w:rsidRDefault="00FE461F" w:rsidP="00FE461F">
            <w:pPr>
              <w:spacing w:line="240" w:lineRule="auto"/>
              <w:rPr>
                <w:rFonts w:cs="Arial"/>
                <w:szCs w:val="20"/>
              </w:rPr>
            </w:pPr>
            <w:r w:rsidRPr="005E4BEA">
              <w:rPr>
                <w:rFonts w:cs="Arial"/>
                <w:szCs w:val="20"/>
              </w:rPr>
              <w:t>Ne</w:t>
            </w:r>
          </w:p>
        </w:tc>
        <w:tc>
          <w:tcPr>
            <w:tcW w:w="965" w:type="dxa"/>
            <w:tcBorders>
              <w:top w:val="single" w:sz="4" w:space="0" w:color="000000"/>
              <w:left w:val="nil"/>
              <w:bottom w:val="single" w:sz="4" w:space="0" w:color="000000"/>
              <w:right w:val="single" w:sz="4" w:space="0" w:color="000000"/>
            </w:tcBorders>
            <w:shd w:val="clear" w:color="auto" w:fill="auto"/>
            <w:hideMark/>
          </w:tcPr>
          <w:p w14:paraId="3C84E875" w14:textId="77777777" w:rsidR="00FE461F" w:rsidRPr="005E4BEA" w:rsidRDefault="00FE461F" w:rsidP="00FE461F">
            <w:pPr>
              <w:spacing w:line="240" w:lineRule="auto"/>
              <w:rPr>
                <w:rFonts w:cs="Arial"/>
                <w:szCs w:val="20"/>
              </w:rPr>
            </w:pPr>
            <w:r w:rsidRPr="005E4BEA">
              <w:rPr>
                <w:rFonts w:cs="Arial"/>
                <w:szCs w:val="20"/>
              </w:rPr>
              <w:t>1 zdravnik specialist oz. psiholog specialist</w:t>
            </w:r>
          </w:p>
        </w:tc>
        <w:tc>
          <w:tcPr>
            <w:tcW w:w="425" w:type="dxa"/>
            <w:tcBorders>
              <w:top w:val="single" w:sz="4" w:space="0" w:color="000000"/>
              <w:left w:val="nil"/>
              <w:bottom w:val="single" w:sz="4" w:space="0" w:color="000000"/>
              <w:right w:val="single" w:sz="4" w:space="0" w:color="000000"/>
            </w:tcBorders>
            <w:shd w:val="clear" w:color="auto" w:fill="auto"/>
            <w:noWrap/>
            <w:hideMark/>
          </w:tcPr>
          <w:p w14:paraId="51D69C7B" w14:textId="77777777" w:rsidR="00FE461F" w:rsidRPr="005E4BEA" w:rsidRDefault="00FE461F" w:rsidP="00FE461F">
            <w:pPr>
              <w:spacing w:line="240" w:lineRule="auto"/>
              <w:rPr>
                <w:rFonts w:cs="Arial"/>
                <w:szCs w:val="20"/>
              </w:rPr>
            </w:pPr>
            <w:r w:rsidRPr="005E4BEA">
              <w:rPr>
                <w:rFonts w:cs="Arial"/>
                <w:szCs w:val="20"/>
              </w:rPr>
              <w:t>30</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14:paraId="313DFB91" w14:textId="77777777" w:rsidR="00FE461F" w:rsidRPr="005E4BEA" w:rsidRDefault="00FE461F" w:rsidP="00FE461F">
            <w:pPr>
              <w:spacing w:line="240" w:lineRule="auto"/>
              <w:rPr>
                <w:rFonts w:cs="Arial"/>
                <w:szCs w:val="20"/>
              </w:rPr>
            </w:pPr>
            <w:r w:rsidRPr="005E4BEA">
              <w:rPr>
                <w:rFonts w:cs="Arial"/>
                <w:szCs w:val="20"/>
              </w:rPr>
              <w:t>0003</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31E8BE32" w14:textId="77777777" w:rsidR="00FE461F" w:rsidRPr="005E4BEA" w:rsidRDefault="00FE461F" w:rsidP="00FE461F">
            <w:pPr>
              <w:spacing w:line="240" w:lineRule="auto"/>
              <w:rPr>
                <w:rFonts w:cs="Arial"/>
                <w:szCs w:val="20"/>
              </w:rPr>
            </w:pPr>
            <w:r w:rsidRPr="005E4BEA">
              <w:rPr>
                <w:rFonts w:cs="Arial"/>
                <w:szCs w:val="20"/>
              </w:rPr>
              <w:t>Z0030</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14:paraId="48D559CF" w14:textId="77777777" w:rsidR="00FE461F" w:rsidRPr="005E4BEA" w:rsidRDefault="00FE461F" w:rsidP="00FE461F">
            <w:pPr>
              <w:spacing w:line="240" w:lineRule="auto"/>
              <w:rPr>
                <w:rFonts w:cs="Arial"/>
                <w:szCs w:val="20"/>
              </w:rPr>
            </w:pPr>
            <w:r w:rsidRPr="005E4BEA">
              <w:rPr>
                <w:rFonts w:cs="Arial"/>
                <w:szCs w:val="20"/>
              </w:rPr>
              <w:t>Z0030</w:t>
            </w:r>
          </w:p>
        </w:tc>
      </w:tr>
      <w:tr w:rsidR="00FE461F" w:rsidRPr="005E4BEA" w14:paraId="19B3C8C0" w14:textId="77777777" w:rsidTr="0016774B">
        <w:trPr>
          <w:trHeight w:val="3466"/>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19EEC9" w14:textId="77777777" w:rsidR="00FE461F" w:rsidRPr="005E4BEA" w:rsidRDefault="00FE461F" w:rsidP="00FE461F">
            <w:pPr>
              <w:spacing w:line="240" w:lineRule="auto"/>
              <w:jc w:val="right"/>
              <w:rPr>
                <w:rFonts w:cs="Arial"/>
                <w:szCs w:val="20"/>
              </w:rPr>
            </w:pPr>
            <w:r w:rsidRPr="005E4BEA">
              <w:rPr>
                <w:rFonts w:cs="Arial"/>
                <w:szCs w:val="20"/>
              </w:rPr>
              <w:t>91501</w:t>
            </w:r>
          </w:p>
        </w:tc>
        <w:tc>
          <w:tcPr>
            <w:tcW w:w="993" w:type="dxa"/>
            <w:tcBorders>
              <w:top w:val="single" w:sz="4" w:space="0" w:color="auto"/>
              <w:left w:val="nil"/>
              <w:bottom w:val="single" w:sz="4" w:space="0" w:color="auto"/>
              <w:right w:val="single" w:sz="4" w:space="0" w:color="auto"/>
            </w:tcBorders>
            <w:shd w:val="clear" w:color="auto" w:fill="auto"/>
            <w:hideMark/>
          </w:tcPr>
          <w:p w14:paraId="41EA4E44" w14:textId="77777777" w:rsidR="00FE461F" w:rsidRPr="005E4BEA" w:rsidRDefault="00FE461F" w:rsidP="00FE461F">
            <w:pPr>
              <w:spacing w:line="240" w:lineRule="auto"/>
              <w:rPr>
                <w:rFonts w:cs="Arial"/>
                <w:szCs w:val="20"/>
              </w:rPr>
            </w:pPr>
            <w:r w:rsidRPr="005E4BEA">
              <w:rPr>
                <w:rFonts w:cs="Arial"/>
                <w:szCs w:val="20"/>
              </w:rPr>
              <w:t>Klinična prehrana - začetna obravnava</w:t>
            </w:r>
          </w:p>
        </w:tc>
        <w:tc>
          <w:tcPr>
            <w:tcW w:w="2551" w:type="dxa"/>
            <w:tcBorders>
              <w:top w:val="single" w:sz="4" w:space="0" w:color="auto"/>
              <w:left w:val="nil"/>
              <w:bottom w:val="single" w:sz="4" w:space="0" w:color="auto"/>
              <w:right w:val="single" w:sz="4" w:space="0" w:color="auto"/>
            </w:tcBorders>
            <w:shd w:val="clear" w:color="auto" w:fill="auto"/>
            <w:hideMark/>
          </w:tcPr>
          <w:p w14:paraId="54C957D9" w14:textId="77777777" w:rsidR="00FE461F" w:rsidRPr="005E4BEA" w:rsidRDefault="00FE461F" w:rsidP="00FE461F">
            <w:pPr>
              <w:spacing w:line="240" w:lineRule="auto"/>
              <w:rPr>
                <w:rFonts w:cs="Arial"/>
                <w:szCs w:val="20"/>
              </w:rPr>
            </w:pPr>
            <w:r w:rsidRPr="005E4BEA">
              <w:rPr>
                <w:rFonts w:cs="Arial"/>
                <w:szCs w:val="20"/>
              </w:rPr>
              <w:t xml:space="preserve">Klinična prehrana - specialistična ambulantna storitev, ki sestoji iz prehranske obravnave in terapije ter obsega (1) ugotavljanje prehranskega statusa in prehranskih navad bolnika, določanje prehranskih potreb in pripravo načrta prehranske obravnave potrebne za vzdrževanje, okrevanje in izboljšanje zdravja (prehransko podporo in terapijo), (2) prehransko (dietno) svetovanje in vzgojo kot sestavni del preventivnega in kurativnega zdravljenja, (3) pripravo in evaluacijo prehranskih navodil za posameznega bolnika in vzgojnih pripomočkov, (4) sodelovanje z </w:t>
            </w:r>
            <w:proofErr w:type="spellStart"/>
            <w:r w:rsidRPr="005E4BEA">
              <w:rPr>
                <w:rFonts w:cs="Arial"/>
                <w:szCs w:val="20"/>
              </w:rPr>
              <w:t>lečečim</w:t>
            </w:r>
            <w:proofErr w:type="spellEnd"/>
            <w:r w:rsidRPr="005E4BEA">
              <w:rPr>
                <w:rFonts w:cs="Arial"/>
                <w:szCs w:val="20"/>
              </w:rPr>
              <w:t xml:space="preserve"> zdravnikom in drugimi člani zdravstvenega tima in (5) spremljanje, preverjanje in morebitno spreminjanje prehranskih navodil oziroma prilagajanje prehranske terapije med postopki zdravljenja. Prehranska podpora bolnika je integralni del zdravljenja, ki izboljša učinek zdravljenja bolezni, izboljša kvaliteto zdravljenja ter zmanjša stroške zdravljenja - začetna obravnava</w:t>
            </w:r>
          </w:p>
        </w:tc>
        <w:tc>
          <w:tcPr>
            <w:tcW w:w="714" w:type="dxa"/>
            <w:tcBorders>
              <w:top w:val="single" w:sz="4" w:space="0" w:color="auto"/>
              <w:left w:val="nil"/>
              <w:bottom w:val="single" w:sz="4" w:space="0" w:color="auto"/>
              <w:right w:val="single" w:sz="4" w:space="0" w:color="auto"/>
            </w:tcBorders>
            <w:shd w:val="clear" w:color="auto" w:fill="auto"/>
            <w:hideMark/>
          </w:tcPr>
          <w:p w14:paraId="4B3C152B" w14:textId="77777777" w:rsidR="00FE461F" w:rsidRPr="005E4BEA" w:rsidRDefault="00FE461F" w:rsidP="00FE461F">
            <w:pPr>
              <w:spacing w:line="240" w:lineRule="auto"/>
              <w:rPr>
                <w:rFonts w:cs="Arial"/>
                <w:szCs w:val="20"/>
              </w:rPr>
            </w:pPr>
            <w:r w:rsidRPr="005E4BEA">
              <w:rPr>
                <w:rFonts w:cs="Arial"/>
                <w:szCs w:val="20"/>
              </w:rPr>
              <w:t>Točka</w:t>
            </w:r>
          </w:p>
        </w:tc>
        <w:tc>
          <w:tcPr>
            <w:tcW w:w="594" w:type="dxa"/>
            <w:tcBorders>
              <w:top w:val="single" w:sz="4" w:space="0" w:color="auto"/>
              <w:left w:val="nil"/>
              <w:bottom w:val="single" w:sz="4" w:space="0" w:color="auto"/>
              <w:right w:val="single" w:sz="4" w:space="0" w:color="auto"/>
            </w:tcBorders>
            <w:shd w:val="clear" w:color="auto" w:fill="auto"/>
            <w:hideMark/>
          </w:tcPr>
          <w:p w14:paraId="5B04FDB1" w14:textId="77777777" w:rsidR="00FE461F" w:rsidRPr="005E4BEA" w:rsidRDefault="00FE461F" w:rsidP="00FE461F">
            <w:pPr>
              <w:spacing w:line="240" w:lineRule="auto"/>
              <w:jc w:val="right"/>
              <w:rPr>
                <w:rFonts w:cs="Arial"/>
                <w:szCs w:val="20"/>
              </w:rPr>
            </w:pPr>
            <w:r w:rsidRPr="005E4BEA">
              <w:rPr>
                <w:rFonts w:cs="Arial"/>
                <w:szCs w:val="20"/>
              </w:rPr>
              <w:t>17,4</w:t>
            </w:r>
          </w:p>
        </w:tc>
        <w:tc>
          <w:tcPr>
            <w:tcW w:w="256" w:type="dxa"/>
            <w:tcBorders>
              <w:top w:val="single" w:sz="4" w:space="0" w:color="auto"/>
              <w:left w:val="nil"/>
              <w:bottom w:val="single" w:sz="4" w:space="0" w:color="auto"/>
              <w:right w:val="single" w:sz="4" w:space="0" w:color="auto"/>
            </w:tcBorders>
            <w:shd w:val="clear" w:color="auto" w:fill="auto"/>
            <w:noWrap/>
            <w:hideMark/>
          </w:tcPr>
          <w:p w14:paraId="69855ECB" w14:textId="77777777" w:rsidR="00FE461F" w:rsidRPr="005E4BEA" w:rsidRDefault="00FE461F" w:rsidP="00FE461F">
            <w:pPr>
              <w:spacing w:line="240" w:lineRule="auto"/>
              <w:jc w:val="right"/>
              <w:rPr>
                <w:rFonts w:cs="Arial"/>
                <w:szCs w:val="20"/>
              </w:rPr>
            </w:pPr>
            <w:r w:rsidRPr="005E4BEA">
              <w:rPr>
                <w:rFonts w:cs="Arial"/>
                <w:szCs w:val="20"/>
              </w:rPr>
              <w:t>2</w:t>
            </w:r>
          </w:p>
        </w:tc>
        <w:tc>
          <w:tcPr>
            <w:tcW w:w="453" w:type="dxa"/>
            <w:tcBorders>
              <w:top w:val="single" w:sz="4" w:space="0" w:color="auto"/>
              <w:left w:val="nil"/>
              <w:bottom w:val="single" w:sz="4" w:space="0" w:color="auto"/>
              <w:right w:val="single" w:sz="4" w:space="0" w:color="auto"/>
            </w:tcBorders>
            <w:shd w:val="clear" w:color="000000" w:fill="D9D9D9"/>
            <w:noWrap/>
            <w:vAlign w:val="bottom"/>
            <w:hideMark/>
          </w:tcPr>
          <w:p w14:paraId="3C927660" w14:textId="77777777" w:rsidR="00FE461F" w:rsidRPr="005E4BEA" w:rsidRDefault="00FE461F" w:rsidP="00FE461F">
            <w:pPr>
              <w:spacing w:line="240" w:lineRule="auto"/>
              <w:rPr>
                <w:rFonts w:cs="Arial"/>
                <w:szCs w:val="20"/>
              </w:rPr>
            </w:pPr>
            <w:r w:rsidRPr="005E4BEA">
              <w:rPr>
                <w:rFonts w:cs="Arial"/>
                <w:szCs w:val="20"/>
              </w:rPr>
              <w:t> </w:t>
            </w:r>
          </w:p>
        </w:tc>
        <w:tc>
          <w:tcPr>
            <w:tcW w:w="256" w:type="dxa"/>
            <w:tcBorders>
              <w:top w:val="single" w:sz="4" w:space="0" w:color="auto"/>
              <w:left w:val="nil"/>
              <w:bottom w:val="single" w:sz="4" w:space="0" w:color="auto"/>
              <w:right w:val="single" w:sz="4" w:space="0" w:color="auto"/>
            </w:tcBorders>
            <w:shd w:val="clear" w:color="auto" w:fill="auto"/>
            <w:noWrap/>
            <w:hideMark/>
          </w:tcPr>
          <w:p w14:paraId="59D4188A" w14:textId="77777777" w:rsidR="00FE461F" w:rsidRPr="005E4BEA" w:rsidRDefault="00FE461F" w:rsidP="00FE461F">
            <w:pPr>
              <w:spacing w:line="240" w:lineRule="auto"/>
              <w:jc w:val="right"/>
              <w:rPr>
                <w:rFonts w:cs="Arial"/>
                <w:szCs w:val="20"/>
              </w:rPr>
            </w:pPr>
            <w:r w:rsidRPr="005E4BEA">
              <w:rPr>
                <w:rFonts w:cs="Arial"/>
                <w:szCs w:val="20"/>
              </w:rPr>
              <w:t>N</w:t>
            </w:r>
          </w:p>
        </w:tc>
        <w:tc>
          <w:tcPr>
            <w:tcW w:w="453" w:type="dxa"/>
            <w:tcBorders>
              <w:top w:val="single" w:sz="4" w:space="0" w:color="auto"/>
              <w:left w:val="nil"/>
              <w:bottom w:val="single" w:sz="4" w:space="0" w:color="auto"/>
              <w:right w:val="single" w:sz="4" w:space="0" w:color="auto"/>
            </w:tcBorders>
            <w:shd w:val="clear" w:color="auto" w:fill="auto"/>
            <w:hideMark/>
          </w:tcPr>
          <w:p w14:paraId="38BE53E7" w14:textId="77777777" w:rsidR="00FE461F" w:rsidRPr="005E4BEA" w:rsidRDefault="00FE461F" w:rsidP="00FE461F">
            <w:pPr>
              <w:spacing w:line="240" w:lineRule="auto"/>
              <w:rPr>
                <w:rFonts w:cs="Arial"/>
                <w:szCs w:val="20"/>
              </w:rPr>
            </w:pPr>
            <w:r w:rsidRPr="005E4BEA">
              <w:rPr>
                <w:rFonts w:cs="Arial"/>
                <w:szCs w:val="20"/>
              </w:rPr>
              <w:t> </w:t>
            </w:r>
          </w:p>
        </w:tc>
        <w:tc>
          <w:tcPr>
            <w:tcW w:w="425" w:type="dxa"/>
            <w:tcBorders>
              <w:top w:val="single" w:sz="4" w:space="0" w:color="auto"/>
              <w:left w:val="nil"/>
              <w:bottom w:val="single" w:sz="4" w:space="0" w:color="auto"/>
              <w:right w:val="single" w:sz="4" w:space="0" w:color="auto"/>
            </w:tcBorders>
            <w:shd w:val="clear" w:color="auto" w:fill="auto"/>
            <w:hideMark/>
          </w:tcPr>
          <w:p w14:paraId="78A5A2BA" w14:textId="77777777" w:rsidR="00FE461F" w:rsidRPr="005E4BEA" w:rsidRDefault="00FE461F" w:rsidP="00FE461F">
            <w:pPr>
              <w:spacing w:line="240" w:lineRule="auto"/>
              <w:rPr>
                <w:rFonts w:cs="Arial"/>
                <w:szCs w:val="20"/>
              </w:rPr>
            </w:pPr>
            <w:r w:rsidRPr="005E4BEA">
              <w:rPr>
                <w:rFonts w:cs="Arial"/>
                <w:szCs w:val="20"/>
              </w:rPr>
              <w:t>Ne</w:t>
            </w:r>
          </w:p>
        </w:tc>
        <w:tc>
          <w:tcPr>
            <w:tcW w:w="965" w:type="dxa"/>
            <w:tcBorders>
              <w:top w:val="single" w:sz="4" w:space="0" w:color="auto"/>
              <w:left w:val="nil"/>
              <w:bottom w:val="single" w:sz="4" w:space="0" w:color="auto"/>
              <w:right w:val="single" w:sz="4" w:space="0" w:color="auto"/>
            </w:tcBorders>
            <w:shd w:val="clear" w:color="auto" w:fill="auto"/>
            <w:hideMark/>
          </w:tcPr>
          <w:p w14:paraId="0560A34C" w14:textId="77777777" w:rsidR="00FE461F" w:rsidRPr="005E4BEA" w:rsidRDefault="00FE461F" w:rsidP="00FE461F">
            <w:pPr>
              <w:spacing w:line="240" w:lineRule="auto"/>
              <w:rPr>
                <w:rFonts w:cs="Arial"/>
                <w:szCs w:val="20"/>
              </w:rPr>
            </w:pPr>
            <w:r w:rsidRPr="005E4BEA">
              <w:rPr>
                <w:rFonts w:cs="Arial"/>
                <w:szCs w:val="20"/>
              </w:rPr>
              <w:t>1 zdravnik specialist; 1 klinični dietetik; 1 diplomirana medicinska sestra</w:t>
            </w:r>
          </w:p>
        </w:tc>
        <w:tc>
          <w:tcPr>
            <w:tcW w:w="425" w:type="dxa"/>
            <w:tcBorders>
              <w:top w:val="single" w:sz="4" w:space="0" w:color="auto"/>
              <w:left w:val="nil"/>
              <w:bottom w:val="single" w:sz="4" w:space="0" w:color="auto"/>
              <w:right w:val="single" w:sz="4" w:space="0" w:color="auto"/>
            </w:tcBorders>
            <w:shd w:val="clear" w:color="auto" w:fill="auto"/>
            <w:hideMark/>
          </w:tcPr>
          <w:p w14:paraId="67655979" w14:textId="77777777" w:rsidR="00FE461F" w:rsidRPr="005E4BEA" w:rsidRDefault="00FE461F" w:rsidP="00FE461F">
            <w:pPr>
              <w:spacing w:line="240" w:lineRule="auto"/>
              <w:rPr>
                <w:rFonts w:cs="Arial"/>
                <w:szCs w:val="20"/>
              </w:rPr>
            </w:pPr>
            <w:r w:rsidRPr="005E4BEA">
              <w:rPr>
                <w:rFonts w:cs="Arial"/>
                <w:szCs w:val="20"/>
              </w:rPr>
              <w:t>30; 30; 30</w:t>
            </w:r>
          </w:p>
        </w:tc>
        <w:tc>
          <w:tcPr>
            <w:tcW w:w="646" w:type="dxa"/>
            <w:tcBorders>
              <w:top w:val="single" w:sz="4" w:space="0" w:color="auto"/>
              <w:left w:val="nil"/>
              <w:bottom w:val="single" w:sz="4" w:space="0" w:color="auto"/>
              <w:right w:val="single" w:sz="4" w:space="0" w:color="auto"/>
            </w:tcBorders>
            <w:shd w:val="clear" w:color="auto" w:fill="auto"/>
            <w:noWrap/>
            <w:hideMark/>
          </w:tcPr>
          <w:p w14:paraId="36266002" w14:textId="77777777" w:rsidR="00FE461F" w:rsidRPr="005E4BEA" w:rsidRDefault="00FE461F" w:rsidP="00FE461F">
            <w:pPr>
              <w:spacing w:line="240" w:lineRule="auto"/>
              <w:rPr>
                <w:rFonts w:cs="Arial"/>
                <w:szCs w:val="20"/>
              </w:rPr>
            </w:pPr>
            <w:r w:rsidRPr="005E4BEA">
              <w:rPr>
                <w:rFonts w:cs="Arial"/>
                <w:szCs w:val="20"/>
              </w:rPr>
              <w:t>0003</w:t>
            </w:r>
          </w:p>
        </w:tc>
        <w:tc>
          <w:tcPr>
            <w:tcW w:w="668" w:type="dxa"/>
            <w:tcBorders>
              <w:top w:val="single" w:sz="4" w:space="0" w:color="auto"/>
              <w:left w:val="nil"/>
              <w:bottom w:val="single" w:sz="4" w:space="0" w:color="auto"/>
              <w:right w:val="single" w:sz="4" w:space="0" w:color="auto"/>
            </w:tcBorders>
            <w:shd w:val="clear" w:color="auto" w:fill="auto"/>
            <w:noWrap/>
            <w:hideMark/>
          </w:tcPr>
          <w:p w14:paraId="793DF986" w14:textId="77777777" w:rsidR="00FE461F" w:rsidRPr="005E4BEA" w:rsidRDefault="00FE461F" w:rsidP="00FE461F">
            <w:pPr>
              <w:spacing w:line="240" w:lineRule="auto"/>
              <w:rPr>
                <w:rFonts w:cs="Arial"/>
                <w:szCs w:val="20"/>
              </w:rPr>
            </w:pPr>
            <w:r w:rsidRPr="005E4BEA">
              <w:rPr>
                <w:rFonts w:cs="Arial"/>
                <w:szCs w:val="20"/>
              </w:rPr>
              <w:t>Z0030</w:t>
            </w:r>
          </w:p>
        </w:tc>
        <w:tc>
          <w:tcPr>
            <w:tcW w:w="651" w:type="dxa"/>
            <w:tcBorders>
              <w:top w:val="single" w:sz="4" w:space="0" w:color="auto"/>
              <w:left w:val="nil"/>
              <w:bottom w:val="single" w:sz="4" w:space="0" w:color="auto"/>
              <w:right w:val="single" w:sz="4" w:space="0" w:color="auto"/>
            </w:tcBorders>
            <w:shd w:val="clear" w:color="auto" w:fill="auto"/>
            <w:noWrap/>
            <w:hideMark/>
          </w:tcPr>
          <w:p w14:paraId="599A90D9" w14:textId="77777777" w:rsidR="00FE461F" w:rsidRPr="005E4BEA" w:rsidRDefault="00FE461F" w:rsidP="00FE461F">
            <w:pPr>
              <w:spacing w:line="240" w:lineRule="auto"/>
              <w:rPr>
                <w:rFonts w:cs="Arial"/>
                <w:szCs w:val="20"/>
              </w:rPr>
            </w:pPr>
            <w:r w:rsidRPr="005E4BEA">
              <w:rPr>
                <w:rFonts w:cs="Arial"/>
                <w:szCs w:val="20"/>
              </w:rPr>
              <w:t>Z0030</w:t>
            </w:r>
          </w:p>
        </w:tc>
      </w:tr>
      <w:tr w:rsidR="00FE461F" w:rsidRPr="005E4BEA" w14:paraId="4B88BC99" w14:textId="77777777" w:rsidTr="0016774B">
        <w:trPr>
          <w:trHeight w:val="3466"/>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292127" w14:textId="77777777" w:rsidR="00FE461F" w:rsidRPr="005E4BEA" w:rsidRDefault="00FE461F" w:rsidP="00FE461F">
            <w:pPr>
              <w:spacing w:line="240" w:lineRule="auto"/>
              <w:jc w:val="right"/>
              <w:rPr>
                <w:rFonts w:cs="Arial"/>
                <w:szCs w:val="20"/>
              </w:rPr>
            </w:pPr>
            <w:r w:rsidRPr="005E4BEA">
              <w:rPr>
                <w:rFonts w:cs="Arial"/>
                <w:szCs w:val="20"/>
              </w:rPr>
              <w:lastRenderedPageBreak/>
              <w:t>91502</w:t>
            </w:r>
          </w:p>
        </w:tc>
        <w:tc>
          <w:tcPr>
            <w:tcW w:w="993" w:type="dxa"/>
            <w:tcBorders>
              <w:top w:val="single" w:sz="4" w:space="0" w:color="auto"/>
              <w:left w:val="nil"/>
              <w:bottom w:val="single" w:sz="4" w:space="0" w:color="auto"/>
              <w:right w:val="single" w:sz="4" w:space="0" w:color="auto"/>
            </w:tcBorders>
            <w:shd w:val="clear" w:color="auto" w:fill="auto"/>
          </w:tcPr>
          <w:p w14:paraId="41E99FDF" w14:textId="77777777" w:rsidR="00FE461F" w:rsidRPr="005E4BEA" w:rsidRDefault="00FE461F" w:rsidP="00FE461F">
            <w:pPr>
              <w:spacing w:line="240" w:lineRule="auto"/>
              <w:rPr>
                <w:rFonts w:cs="Arial"/>
                <w:szCs w:val="20"/>
              </w:rPr>
            </w:pPr>
            <w:r w:rsidRPr="005E4BEA">
              <w:rPr>
                <w:rFonts w:cs="Arial"/>
                <w:szCs w:val="20"/>
              </w:rPr>
              <w:t>Klinična prehrana – nadaljnja obravnava</w:t>
            </w:r>
          </w:p>
        </w:tc>
        <w:tc>
          <w:tcPr>
            <w:tcW w:w="2551" w:type="dxa"/>
            <w:tcBorders>
              <w:top w:val="single" w:sz="4" w:space="0" w:color="auto"/>
              <w:left w:val="nil"/>
              <w:bottom w:val="single" w:sz="4" w:space="0" w:color="auto"/>
              <w:right w:val="single" w:sz="4" w:space="0" w:color="auto"/>
            </w:tcBorders>
            <w:shd w:val="clear" w:color="auto" w:fill="auto"/>
          </w:tcPr>
          <w:p w14:paraId="3AA70B86" w14:textId="77777777" w:rsidR="00FE461F" w:rsidRPr="005E4BEA" w:rsidRDefault="00FE461F" w:rsidP="00FE461F">
            <w:pPr>
              <w:spacing w:line="240" w:lineRule="auto"/>
              <w:rPr>
                <w:rFonts w:cs="Arial"/>
                <w:szCs w:val="20"/>
              </w:rPr>
            </w:pPr>
            <w:r w:rsidRPr="005E4BEA">
              <w:rPr>
                <w:rFonts w:cs="Arial"/>
                <w:szCs w:val="20"/>
              </w:rPr>
              <w:t xml:space="preserve">Klinična prehrana – specialistična ambulantna storitev, ki sestoji iz prehranske obravnave in terapije ter obsega (1) ugotavljanje prehranskega statusa in prehranskih navad bolnika, določanje prehranskih potreb in pripravo načrta prehranske obravnave potrebne za vzdrževanje, okrevanje in izboljšanje zdravja (prehransko podporo in terapijo), (2) prehransko (dietno) svetovanje in vzgojo kot sestavni del preventivnega in kurativnega zdravljenja, (3) pripravo in evaluacijo prehranskih navodil za posameznega bolnika in vzgojnih pripomočkov, (4) sodelovanje z </w:t>
            </w:r>
            <w:proofErr w:type="spellStart"/>
            <w:r w:rsidRPr="005E4BEA">
              <w:rPr>
                <w:rFonts w:cs="Arial"/>
                <w:szCs w:val="20"/>
              </w:rPr>
              <w:t>lečečim</w:t>
            </w:r>
            <w:proofErr w:type="spellEnd"/>
            <w:r w:rsidRPr="005E4BEA">
              <w:rPr>
                <w:rFonts w:cs="Arial"/>
                <w:szCs w:val="20"/>
              </w:rPr>
              <w:t xml:space="preserve"> zdravnikom in drugimi člani zdravstvenega tima in (5) spremljanje, preverjanje in morebitno spreminjanje prehranskih navodil oziroma prilagajanje prehranske terapije med postopki zdravljenja. Prehranska podpora bolnika je integralni del zdravljenja, ki izboljša učinek zdravljenja bolezni, izboljša kvaliteto zdravljenja ter zmanjša stroške zdravljenja – nadaljnja obravnava</w:t>
            </w:r>
          </w:p>
        </w:tc>
        <w:tc>
          <w:tcPr>
            <w:tcW w:w="714" w:type="dxa"/>
            <w:tcBorders>
              <w:top w:val="single" w:sz="4" w:space="0" w:color="auto"/>
              <w:left w:val="nil"/>
              <w:bottom w:val="single" w:sz="4" w:space="0" w:color="auto"/>
              <w:right w:val="single" w:sz="4" w:space="0" w:color="auto"/>
            </w:tcBorders>
            <w:shd w:val="clear" w:color="auto" w:fill="auto"/>
          </w:tcPr>
          <w:p w14:paraId="3571E188" w14:textId="77777777" w:rsidR="00FE461F" w:rsidRPr="005E4BEA" w:rsidRDefault="00FE461F" w:rsidP="00FE461F">
            <w:pPr>
              <w:spacing w:line="240" w:lineRule="auto"/>
              <w:rPr>
                <w:rFonts w:cs="Arial"/>
                <w:szCs w:val="20"/>
              </w:rPr>
            </w:pPr>
            <w:r w:rsidRPr="005E4BEA">
              <w:rPr>
                <w:rFonts w:cs="Arial"/>
                <w:szCs w:val="20"/>
              </w:rPr>
              <w:t>Točka</w:t>
            </w:r>
          </w:p>
        </w:tc>
        <w:tc>
          <w:tcPr>
            <w:tcW w:w="594" w:type="dxa"/>
            <w:tcBorders>
              <w:top w:val="single" w:sz="4" w:space="0" w:color="auto"/>
              <w:left w:val="nil"/>
              <w:bottom w:val="single" w:sz="4" w:space="0" w:color="auto"/>
              <w:right w:val="single" w:sz="4" w:space="0" w:color="auto"/>
            </w:tcBorders>
            <w:shd w:val="clear" w:color="auto" w:fill="auto"/>
          </w:tcPr>
          <w:p w14:paraId="6CE5EDAE" w14:textId="77777777" w:rsidR="00FE461F" w:rsidRPr="005E4BEA" w:rsidRDefault="00FE461F" w:rsidP="00FE461F">
            <w:pPr>
              <w:spacing w:line="240" w:lineRule="auto"/>
              <w:jc w:val="right"/>
              <w:rPr>
                <w:rFonts w:cs="Arial"/>
                <w:szCs w:val="20"/>
              </w:rPr>
            </w:pPr>
            <w:r w:rsidRPr="005E4BEA">
              <w:rPr>
                <w:rFonts w:cs="Arial"/>
                <w:szCs w:val="20"/>
              </w:rPr>
              <w:t>8,7</w:t>
            </w:r>
          </w:p>
        </w:tc>
        <w:tc>
          <w:tcPr>
            <w:tcW w:w="256" w:type="dxa"/>
            <w:tcBorders>
              <w:top w:val="single" w:sz="4" w:space="0" w:color="auto"/>
              <w:left w:val="nil"/>
              <w:bottom w:val="single" w:sz="4" w:space="0" w:color="auto"/>
              <w:right w:val="single" w:sz="4" w:space="0" w:color="auto"/>
            </w:tcBorders>
            <w:shd w:val="clear" w:color="auto" w:fill="auto"/>
            <w:noWrap/>
          </w:tcPr>
          <w:p w14:paraId="4BDC0CCB" w14:textId="77777777" w:rsidR="00FE461F" w:rsidRPr="005E4BEA" w:rsidRDefault="00FE461F" w:rsidP="00FE461F">
            <w:pPr>
              <w:spacing w:line="240" w:lineRule="auto"/>
              <w:jc w:val="right"/>
              <w:rPr>
                <w:rFonts w:cs="Arial"/>
                <w:szCs w:val="20"/>
              </w:rPr>
            </w:pPr>
            <w:r w:rsidRPr="005E4BEA">
              <w:rPr>
                <w:rFonts w:cs="Arial"/>
                <w:szCs w:val="20"/>
              </w:rPr>
              <w:t>2</w:t>
            </w:r>
          </w:p>
        </w:tc>
        <w:tc>
          <w:tcPr>
            <w:tcW w:w="453" w:type="dxa"/>
            <w:tcBorders>
              <w:top w:val="single" w:sz="4" w:space="0" w:color="auto"/>
              <w:left w:val="nil"/>
              <w:bottom w:val="single" w:sz="4" w:space="0" w:color="auto"/>
              <w:right w:val="single" w:sz="4" w:space="0" w:color="auto"/>
            </w:tcBorders>
            <w:shd w:val="clear" w:color="000000" w:fill="D9D9D9"/>
            <w:noWrap/>
            <w:vAlign w:val="bottom"/>
          </w:tcPr>
          <w:p w14:paraId="53E3A6D4" w14:textId="77777777" w:rsidR="00FE461F" w:rsidRPr="005E4BEA" w:rsidRDefault="00FE461F" w:rsidP="00FE461F">
            <w:pPr>
              <w:spacing w:line="240" w:lineRule="auto"/>
              <w:rPr>
                <w:rFonts w:cs="Arial"/>
                <w:szCs w:val="20"/>
              </w:rPr>
            </w:pPr>
          </w:p>
        </w:tc>
        <w:tc>
          <w:tcPr>
            <w:tcW w:w="256" w:type="dxa"/>
            <w:tcBorders>
              <w:top w:val="single" w:sz="4" w:space="0" w:color="auto"/>
              <w:left w:val="nil"/>
              <w:bottom w:val="single" w:sz="4" w:space="0" w:color="auto"/>
              <w:right w:val="single" w:sz="4" w:space="0" w:color="auto"/>
            </w:tcBorders>
            <w:shd w:val="clear" w:color="auto" w:fill="auto"/>
            <w:noWrap/>
          </w:tcPr>
          <w:p w14:paraId="5F84001C" w14:textId="77777777" w:rsidR="00FE461F" w:rsidRPr="005E4BEA" w:rsidRDefault="00FE461F" w:rsidP="00FE461F">
            <w:pPr>
              <w:spacing w:line="240" w:lineRule="auto"/>
              <w:jc w:val="right"/>
              <w:rPr>
                <w:rFonts w:cs="Arial"/>
                <w:szCs w:val="20"/>
              </w:rPr>
            </w:pPr>
            <w:r w:rsidRPr="005E4BEA">
              <w:rPr>
                <w:rFonts w:cs="Arial"/>
                <w:szCs w:val="20"/>
              </w:rPr>
              <w:t>N</w:t>
            </w:r>
          </w:p>
        </w:tc>
        <w:tc>
          <w:tcPr>
            <w:tcW w:w="453" w:type="dxa"/>
            <w:tcBorders>
              <w:top w:val="single" w:sz="4" w:space="0" w:color="auto"/>
              <w:left w:val="nil"/>
              <w:bottom w:val="single" w:sz="4" w:space="0" w:color="auto"/>
              <w:right w:val="single" w:sz="4" w:space="0" w:color="auto"/>
            </w:tcBorders>
            <w:shd w:val="clear" w:color="auto" w:fill="auto"/>
          </w:tcPr>
          <w:p w14:paraId="66051DFE" w14:textId="77777777" w:rsidR="00FE461F" w:rsidRPr="005E4BEA" w:rsidRDefault="00FE461F" w:rsidP="00FE461F">
            <w:pPr>
              <w:spacing w:line="240" w:lineRule="auto"/>
              <w:rPr>
                <w:rFonts w:cs="Arial"/>
                <w:szCs w:val="20"/>
              </w:rPr>
            </w:pPr>
          </w:p>
        </w:tc>
        <w:tc>
          <w:tcPr>
            <w:tcW w:w="425" w:type="dxa"/>
            <w:tcBorders>
              <w:top w:val="single" w:sz="4" w:space="0" w:color="auto"/>
              <w:left w:val="nil"/>
              <w:bottom w:val="single" w:sz="4" w:space="0" w:color="auto"/>
              <w:right w:val="single" w:sz="4" w:space="0" w:color="auto"/>
            </w:tcBorders>
            <w:shd w:val="clear" w:color="auto" w:fill="auto"/>
          </w:tcPr>
          <w:p w14:paraId="6D5C81B9" w14:textId="77777777" w:rsidR="00FE461F" w:rsidRPr="005E4BEA" w:rsidRDefault="00FE461F" w:rsidP="00FE461F">
            <w:pPr>
              <w:spacing w:line="240" w:lineRule="auto"/>
              <w:rPr>
                <w:rFonts w:cs="Arial"/>
                <w:szCs w:val="20"/>
              </w:rPr>
            </w:pPr>
            <w:r w:rsidRPr="005E4BEA">
              <w:rPr>
                <w:rFonts w:cs="Arial"/>
                <w:szCs w:val="20"/>
              </w:rPr>
              <w:t>Ne</w:t>
            </w:r>
          </w:p>
        </w:tc>
        <w:tc>
          <w:tcPr>
            <w:tcW w:w="965" w:type="dxa"/>
            <w:tcBorders>
              <w:top w:val="single" w:sz="4" w:space="0" w:color="auto"/>
              <w:left w:val="nil"/>
              <w:bottom w:val="single" w:sz="4" w:space="0" w:color="auto"/>
              <w:right w:val="single" w:sz="4" w:space="0" w:color="auto"/>
            </w:tcBorders>
            <w:shd w:val="clear" w:color="auto" w:fill="auto"/>
          </w:tcPr>
          <w:p w14:paraId="10E977FE" w14:textId="77777777" w:rsidR="00FE461F" w:rsidRPr="005E4BEA" w:rsidRDefault="00FE461F" w:rsidP="00FE461F">
            <w:pPr>
              <w:spacing w:line="240" w:lineRule="auto"/>
              <w:rPr>
                <w:rFonts w:cs="Arial"/>
                <w:szCs w:val="20"/>
              </w:rPr>
            </w:pPr>
            <w:r w:rsidRPr="005E4BEA">
              <w:rPr>
                <w:rFonts w:cs="Arial"/>
                <w:szCs w:val="20"/>
              </w:rPr>
              <w:t>1 zdravnik specialist;</w:t>
            </w:r>
          </w:p>
          <w:p w14:paraId="67AD0065" w14:textId="77777777" w:rsidR="00FE461F" w:rsidRPr="005E4BEA" w:rsidRDefault="00FE461F" w:rsidP="00FE461F">
            <w:pPr>
              <w:spacing w:line="240" w:lineRule="auto"/>
              <w:rPr>
                <w:rFonts w:cs="Arial"/>
                <w:szCs w:val="20"/>
              </w:rPr>
            </w:pPr>
            <w:r w:rsidRPr="005E4BEA">
              <w:rPr>
                <w:rFonts w:cs="Arial"/>
                <w:szCs w:val="20"/>
              </w:rPr>
              <w:t>1 klinični dietetik;</w:t>
            </w:r>
          </w:p>
          <w:p w14:paraId="72F51A93" w14:textId="77777777" w:rsidR="00FE461F" w:rsidRPr="005E4BEA" w:rsidRDefault="00FE461F" w:rsidP="00FE461F">
            <w:pPr>
              <w:spacing w:line="240" w:lineRule="auto"/>
              <w:rPr>
                <w:rFonts w:cs="Arial"/>
                <w:szCs w:val="20"/>
              </w:rPr>
            </w:pPr>
            <w:r w:rsidRPr="005E4BEA">
              <w:rPr>
                <w:rFonts w:cs="Arial"/>
                <w:szCs w:val="20"/>
              </w:rPr>
              <w:t>1 diplomirana medicinska sestra</w:t>
            </w:r>
          </w:p>
        </w:tc>
        <w:tc>
          <w:tcPr>
            <w:tcW w:w="425" w:type="dxa"/>
            <w:tcBorders>
              <w:top w:val="single" w:sz="4" w:space="0" w:color="auto"/>
              <w:left w:val="nil"/>
              <w:bottom w:val="single" w:sz="4" w:space="0" w:color="auto"/>
              <w:right w:val="single" w:sz="4" w:space="0" w:color="auto"/>
            </w:tcBorders>
            <w:shd w:val="clear" w:color="auto" w:fill="auto"/>
          </w:tcPr>
          <w:p w14:paraId="40096B38" w14:textId="77777777" w:rsidR="00FE461F" w:rsidRPr="005E4BEA" w:rsidRDefault="00FE461F" w:rsidP="00FE461F">
            <w:pPr>
              <w:spacing w:line="240" w:lineRule="auto"/>
              <w:rPr>
                <w:rFonts w:cs="Arial"/>
                <w:szCs w:val="20"/>
              </w:rPr>
            </w:pPr>
            <w:r w:rsidRPr="005E4BEA">
              <w:rPr>
                <w:rFonts w:cs="Arial"/>
                <w:szCs w:val="20"/>
              </w:rPr>
              <w:t>15; 15; 15</w:t>
            </w:r>
          </w:p>
        </w:tc>
        <w:tc>
          <w:tcPr>
            <w:tcW w:w="646" w:type="dxa"/>
            <w:tcBorders>
              <w:top w:val="single" w:sz="4" w:space="0" w:color="auto"/>
              <w:left w:val="nil"/>
              <w:bottom w:val="single" w:sz="4" w:space="0" w:color="auto"/>
              <w:right w:val="single" w:sz="4" w:space="0" w:color="auto"/>
            </w:tcBorders>
            <w:shd w:val="clear" w:color="auto" w:fill="auto"/>
            <w:noWrap/>
          </w:tcPr>
          <w:p w14:paraId="446319E3" w14:textId="77777777" w:rsidR="00FE461F" w:rsidRPr="005E4BEA" w:rsidRDefault="00FE461F" w:rsidP="00FE461F">
            <w:pPr>
              <w:spacing w:line="240" w:lineRule="auto"/>
              <w:rPr>
                <w:rFonts w:cs="Arial"/>
                <w:szCs w:val="20"/>
              </w:rPr>
            </w:pPr>
          </w:p>
        </w:tc>
        <w:tc>
          <w:tcPr>
            <w:tcW w:w="668" w:type="dxa"/>
            <w:tcBorders>
              <w:top w:val="single" w:sz="4" w:space="0" w:color="auto"/>
              <w:left w:val="nil"/>
              <w:bottom w:val="single" w:sz="4" w:space="0" w:color="auto"/>
              <w:right w:val="single" w:sz="4" w:space="0" w:color="auto"/>
            </w:tcBorders>
            <w:shd w:val="clear" w:color="auto" w:fill="auto"/>
            <w:noWrap/>
          </w:tcPr>
          <w:p w14:paraId="28E4EB70" w14:textId="77777777" w:rsidR="00FE461F" w:rsidRPr="005E4BEA" w:rsidRDefault="00FE461F" w:rsidP="00FE461F">
            <w:pPr>
              <w:spacing w:line="240" w:lineRule="auto"/>
              <w:rPr>
                <w:rFonts w:cs="Arial"/>
                <w:szCs w:val="20"/>
              </w:rPr>
            </w:pPr>
            <w:r w:rsidRPr="005E4BEA">
              <w:rPr>
                <w:rFonts w:cs="Arial"/>
                <w:szCs w:val="20"/>
              </w:rPr>
              <w:t>Z0030</w:t>
            </w:r>
          </w:p>
        </w:tc>
        <w:tc>
          <w:tcPr>
            <w:tcW w:w="651" w:type="dxa"/>
            <w:tcBorders>
              <w:top w:val="single" w:sz="4" w:space="0" w:color="auto"/>
              <w:left w:val="nil"/>
              <w:bottom w:val="single" w:sz="4" w:space="0" w:color="auto"/>
              <w:right w:val="single" w:sz="4" w:space="0" w:color="auto"/>
            </w:tcBorders>
            <w:shd w:val="clear" w:color="auto" w:fill="auto"/>
            <w:noWrap/>
          </w:tcPr>
          <w:p w14:paraId="7128F696" w14:textId="77777777" w:rsidR="00FE461F" w:rsidRPr="005E4BEA" w:rsidRDefault="00FE461F" w:rsidP="00FE461F">
            <w:pPr>
              <w:spacing w:line="240" w:lineRule="auto"/>
              <w:rPr>
                <w:rFonts w:cs="Arial"/>
                <w:szCs w:val="20"/>
              </w:rPr>
            </w:pPr>
            <w:r w:rsidRPr="005E4BEA">
              <w:rPr>
                <w:rFonts w:cs="Arial"/>
                <w:szCs w:val="20"/>
              </w:rPr>
              <w:t>Z0030</w:t>
            </w:r>
          </w:p>
        </w:tc>
      </w:tr>
    </w:tbl>
    <w:p w14:paraId="57B806D5" w14:textId="77777777" w:rsidR="00FE461F" w:rsidRPr="005E4BEA" w:rsidRDefault="00FE461F" w:rsidP="00FE461F">
      <w:pPr>
        <w:spacing w:before="120" w:after="60" w:line="240" w:lineRule="auto"/>
        <w:jc w:val="both"/>
        <w:rPr>
          <w:rFonts w:eastAsiaTheme="minorHAnsi" w:cs="Arial"/>
          <w:b/>
          <w:szCs w:val="20"/>
        </w:rPr>
      </w:pPr>
    </w:p>
    <w:p w14:paraId="49EAFDA2"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p>
    <w:p w14:paraId="57110B0A"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p>
    <w:p w14:paraId="43E15AA5" w14:textId="77777777" w:rsidR="00FE461F" w:rsidRPr="005E4BEA" w:rsidRDefault="00FE461F" w:rsidP="00FE461F">
      <w:pPr>
        <w:spacing w:line="240" w:lineRule="auto"/>
        <w:jc w:val="both"/>
        <w:rPr>
          <w:rFonts w:eastAsiaTheme="minorHAnsi" w:cs="Arial"/>
          <w:b/>
          <w:bCs/>
          <w:i/>
          <w:color w:val="808080" w:themeColor="background1" w:themeShade="80"/>
          <w:szCs w:val="20"/>
          <w:u w:val="single"/>
        </w:rPr>
      </w:pPr>
      <w:r w:rsidRPr="005E4BEA">
        <w:rPr>
          <w:rFonts w:eastAsiaTheme="minorHAnsi" w:cs="Arial"/>
          <w:b/>
          <w:bCs/>
          <w:i/>
          <w:color w:val="808080" w:themeColor="background1" w:themeShade="80"/>
          <w:szCs w:val="20"/>
          <w:u w:val="single"/>
        </w:rPr>
        <w:t>Obrazložitev:</w:t>
      </w:r>
    </w:p>
    <w:p w14:paraId="375F47E1"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Klinični dietetik in psiholog sta pomembna člana rehabilitacijskega tima zaradi obravnave težav, ki so posledica možganske kapi, tako na področju  čustvovanja, razpoloženjskih motenj, kognicije, senzoričnih okvar, sporazumevanja, požiranja, kot tudi prehranskih problemov bolnika. </w:t>
      </w:r>
    </w:p>
    <w:p w14:paraId="5D5557B5"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Za rehabilitacijo pacientov standard tip 4 bilo zelo pomembno, da bi bila v obravnavi zdraviliškega zdravljenja izven vrednosti zdravstvenih točk priznana tudi psiholog in dietetik. Na ta način bi bila  obravnava pacienta celostna ter še bolj kakovostna, končni izid rehabilitacije pa boljši.</w:t>
      </w:r>
    </w:p>
    <w:p w14:paraId="2E1293D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Zaradi kognitivnih motenj in prehranskih  težav,  katere v zadnjih letih ugotavljamo pri nevroloških pacientih, predvsem po možganski kapi ali krvavitvi, je v strokovni literaturi zaznati pomen vključitve v multidisciplinarni tim specialista klinične psihologije in kliničnega dietetika. Klinične smernice se nenehno spreminjajo, prilagajajo, posodabljajo se tudi protokoli  rehabilitacijske obravnave z namenom, da bi se lahko dosegli celostni rehabilitacijski cilji in tako pacienta vrnili v delovno in socialno okolje.  Na ta način bi se  zmanjšali tudi stroški zdravljenja in nadaljnje obravnave. </w:t>
      </w:r>
    </w:p>
    <w:p w14:paraId="19BE9E30"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lastRenderedPageBreak/>
        <w:t xml:space="preserve">V slovenskih  naravnih zdraviliščih izvajamo subakutno rehabilitacijo pacientov po možganski kapi (MK) (standard  tip 4) z namestitvijo na oddelkih rehabilitacijske zdravstvene nege. Zadnjih nekaj let ugotavljamo, da se zvišuje  število pacientov po MK napotenih na zdraviliško zdravljenje kot  nadaljevanje bolnišničnega zdravljenja. </w:t>
      </w:r>
    </w:p>
    <w:p w14:paraId="40C74D50"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Tudi ugotavljamo, da je  direktno iz bolnišnic napotenih na rehabilitacijo vse več pacientov, ki zavračajo hrano, pijačo in posledično  niso zmožni  sodelovanja v naših rehabilitacijskih programih. Zato po smernicah naredimo prekinitev obravnave, ali jih napotimo  nazaj v bolnišnico. Iz bolnišnice dobimo  velikokrat  povratno informacijo, da je pacient  dehidriran in  podhranjen.</w:t>
      </w:r>
    </w:p>
    <w:p w14:paraId="38EDC08B"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Nevrološke posledice možganske kapi lahko zelo poslabšajo pacientovo gibalno zmogljivost zaradi motenj motoričnih in psiholoških funkcij ter tudi pridružene </w:t>
      </w:r>
      <w:proofErr w:type="spellStart"/>
      <w:r w:rsidRPr="005E4BEA">
        <w:rPr>
          <w:rFonts w:eastAsiaTheme="minorHAnsi" w:cs="Arial"/>
          <w:i/>
          <w:color w:val="808080" w:themeColor="background1" w:themeShade="80"/>
          <w:szCs w:val="20"/>
        </w:rPr>
        <w:t>orofaringealne</w:t>
      </w:r>
      <w:proofErr w:type="spellEnd"/>
      <w:r w:rsidRPr="005E4BEA">
        <w:rPr>
          <w:rFonts w:eastAsiaTheme="minorHAnsi" w:cs="Arial"/>
          <w:i/>
          <w:color w:val="808080" w:themeColor="background1" w:themeShade="80"/>
          <w:szCs w:val="20"/>
        </w:rPr>
        <w:t xml:space="preserve"> </w:t>
      </w:r>
      <w:proofErr w:type="spellStart"/>
      <w:r w:rsidRPr="005E4BEA">
        <w:rPr>
          <w:rFonts w:eastAsiaTheme="minorHAnsi" w:cs="Arial"/>
          <w:i/>
          <w:color w:val="808080" w:themeColor="background1" w:themeShade="80"/>
          <w:szCs w:val="20"/>
        </w:rPr>
        <w:t>disfagije</w:t>
      </w:r>
      <w:proofErr w:type="spellEnd"/>
      <w:r w:rsidRPr="005E4BEA">
        <w:rPr>
          <w:rFonts w:eastAsiaTheme="minorHAnsi" w:cs="Arial"/>
          <w:i/>
          <w:color w:val="808080" w:themeColor="background1" w:themeShade="80"/>
          <w:szCs w:val="20"/>
        </w:rPr>
        <w:t>. Te bolezenske posledice močno vplivajo na posameznikov vnos hrane ter njegovo prehransko in presnovno stanje. Zato so pacienti pogosto podhranjeni in dehidrirani. Ker so številni med njimi tudi stari in imajo pridružene kronične bolezni ter z njimi povezane motnje prehranskega stanja, spadajo ukrepi klinične prehrane med ključne dejavnike njihovega preživetja in rehabilitacije po možganski kapi. Prehranska podpora in terapija motenj prehranjenosti sta tudi pomembna dejavnika v sekundarni preventivi možganske kapi.</w:t>
      </w:r>
    </w:p>
    <w:p w14:paraId="14005D1B"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Raziskave kažejo, da stopnja prehranske ogroženosti pri pacientih s kapjo narašča, zato strokovne smernice zanje priporočajo sistematsko </w:t>
      </w:r>
      <w:proofErr w:type="spellStart"/>
      <w:r w:rsidRPr="005E4BEA">
        <w:rPr>
          <w:rFonts w:eastAsiaTheme="minorHAnsi" w:cs="Arial"/>
          <w:i/>
          <w:color w:val="808080" w:themeColor="background1" w:themeShade="80"/>
          <w:szCs w:val="20"/>
        </w:rPr>
        <w:t>presejanje</w:t>
      </w:r>
      <w:proofErr w:type="spellEnd"/>
      <w:r w:rsidRPr="005E4BEA">
        <w:rPr>
          <w:rFonts w:eastAsiaTheme="minorHAnsi" w:cs="Arial"/>
          <w:i/>
          <w:color w:val="808080" w:themeColor="background1" w:themeShade="80"/>
          <w:szCs w:val="20"/>
        </w:rPr>
        <w:t xml:space="preserve"> na prehransko ogroženost.</w:t>
      </w:r>
    </w:p>
    <w:p w14:paraId="6D0088A8" w14:textId="77777777"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Prepoznava prehransko ogroženih pacientov omogoča hitro prehransko obravnavo in usmerjeno prehransko podporo in terapijo.</w:t>
      </w:r>
    </w:p>
    <w:p w14:paraId="4887898B" w14:textId="4FF9F455" w:rsidR="00FE461F" w:rsidRPr="005E4BEA" w:rsidRDefault="00FE461F" w:rsidP="00FE461F">
      <w:pPr>
        <w:spacing w:line="240" w:lineRule="auto"/>
        <w:jc w:val="both"/>
        <w:rPr>
          <w:rFonts w:eastAsiaTheme="minorHAnsi" w:cs="Arial"/>
          <w:i/>
          <w:color w:val="808080" w:themeColor="background1" w:themeShade="80"/>
          <w:szCs w:val="20"/>
        </w:rPr>
      </w:pPr>
      <w:r w:rsidRPr="005E4BEA">
        <w:rPr>
          <w:rFonts w:eastAsiaTheme="minorHAnsi" w:cs="Arial"/>
          <w:i/>
          <w:color w:val="808080" w:themeColor="background1" w:themeShade="80"/>
          <w:szCs w:val="20"/>
        </w:rPr>
        <w:t xml:space="preserve">V sodobnih rehabilitacijskih ustanovah je ključno sodelovanje vseh članov interdisciplinarnega tima  s kliničnim dietetikom (zdravnik, logoped, psiholog, zdravstveni tehnik, </w:t>
      </w:r>
      <w:proofErr w:type="spellStart"/>
      <w:r w:rsidRPr="005E4BEA">
        <w:rPr>
          <w:rFonts w:eastAsiaTheme="minorHAnsi" w:cs="Arial"/>
          <w:i/>
          <w:color w:val="808080" w:themeColor="background1" w:themeShade="80"/>
          <w:szCs w:val="20"/>
        </w:rPr>
        <w:t>dipl.m.s</w:t>
      </w:r>
      <w:proofErr w:type="spellEnd"/>
      <w:r w:rsidRPr="005E4BEA">
        <w:rPr>
          <w:rFonts w:eastAsiaTheme="minorHAnsi" w:cs="Arial"/>
          <w:i/>
          <w:color w:val="808080" w:themeColor="background1" w:themeShade="80"/>
          <w:szCs w:val="20"/>
        </w:rPr>
        <w:t>., delovni terapevt, fizioterapevt).</w:t>
      </w:r>
    </w:p>
    <w:p w14:paraId="431F41FC" w14:textId="77777777" w:rsidR="00A31E75" w:rsidRPr="005E4BEA" w:rsidRDefault="00A31E75" w:rsidP="00FE461F">
      <w:pPr>
        <w:spacing w:line="240" w:lineRule="auto"/>
        <w:jc w:val="both"/>
        <w:rPr>
          <w:rFonts w:eastAsiaTheme="minorHAnsi" w:cs="Arial"/>
          <w:i/>
          <w:color w:val="808080" w:themeColor="background1" w:themeShade="80"/>
          <w:szCs w:val="20"/>
        </w:rPr>
      </w:pPr>
    </w:p>
    <w:p w14:paraId="0D65484F" w14:textId="15117D31" w:rsidR="00437C8A" w:rsidRPr="005E4BEA" w:rsidRDefault="00A31E75" w:rsidP="00437C8A">
      <w:pPr>
        <w:jc w:val="both"/>
        <w:rPr>
          <w:rFonts w:ascii="Calibri" w:eastAsia="Calibri" w:hAnsi="Calibri" w:cs="Arial"/>
          <w:bCs/>
          <w:color w:val="0000FF"/>
          <w:sz w:val="22"/>
          <w:szCs w:val="22"/>
          <w:lang w:eastAsia="sl-SI"/>
        </w:rPr>
      </w:pPr>
      <w:r w:rsidRPr="005E4BEA">
        <w:rPr>
          <w:rFonts w:eastAsia="Arial Narrow" w:cs="Arial"/>
          <w:b/>
          <w:szCs w:val="20"/>
        </w:rPr>
        <w:t>Stališče Ministrstva za zdravje:</w:t>
      </w:r>
      <w:r w:rsidRPr="005E4BEA">
        <w:rPr>
          <w:rFonts w:eastAsia="Arial Narrow" w:cs="Arial"/>
          <w:szCs w:val="20"/>
        </w:rPr>
        <w:t xml:space="preserve"> Ministrstvo za zdravje se strinja s predlogom</w:t>
      </w:r>
      <w:r w:rsidR="00437C8A" w:rsidRPr="005E4BEA">
        <w:rPr>
          <w:rFonts w:eastAsia="Arial Narrow" w:cs="Arial"/>
          <w:szCs w:val="20"/>
        </w:rPr>
        <w:t xml:space="preserve"> v modificirani obliki, in sicer se v Prilogi ZDRAV-1 pri standardu tip 4 dodata šifri 91501 in 9</w:t>
      </w:r>
      <w:r w:rsidR="005C6DEF" w:rsidRPr="005E4BEA">
        <w:rPr>
          <w:rFonts w:eastAsia="Arial Narrow" w:cs="Arial"/>
          <w:szCs w:val="20"/>
        </w:rPr>
        <w:t>1502</w:t>
      </w:r>
      <w:r w:rsidR="00437C8A" w:rsidRPr="005E4BEA">
        <w:rPr>
          <w:rFonts w:eastAsia="Arial Narrow" w:cs="Arial"/>
          <w:szCs w:val="20"/>
        </w:rPr>
        <w:t xml:space="preserve"> ki se lahko obračunata največ 1x v času zdraviliškega zdravljenja.</w:t>
      </w:r>
    </w:p>
    <w:p w14:paraId="738EE691" w14:textId="0193ADE8" w:rsidR="00A31E75" w:rsidRPr="005E4BEA" w:rsidRDefault="00A31E75" w:rsidP="00A31E75">
      <w:pPr>
        <w:autoSpaceDE w:val="0"/>
        <w:autoSpaceDN w:val="0"/>
        <w:adjustRightInd w:val="0"/>
        <w:spacing w:line="0" w:lineRule="atLeast"/>
        <w:jc w:val="both"/>
        <w:rPr>
          <w:rFonts w:eastAsia="Arial Narrow" w:cs="Arial"/>
          <w:b/>
          <w:szCs w:val="20"/>
        </w:rPr>
      </w:pPr>
    </w:p>
    <w:p w14:paraId="4C3035D9" w14:textId="77777777" w:rsidR="00A31E75" w:rsidRPr="005E4BEA" w:rsidRDefault="00A31E75" w:rsidP="00A31E75">
      <w:pPr>
        <w:spacing w:line="0" w:lineRule="atLeast"/>
        <w:jc w:val="both"/>
        <w:rPr>
          <w:rFonts w:eastAsia="Arial Narrow" w:cs="Arial"/>
          <w:szCs w:val="20"/>
          <w:lang w:eastAsia="sl-SI"/>
        </w:rPr>
      </w:pPr>
    </w:p>
    <w:p w14:paraId="4211506B" w14:textId="49D59A2E" w:rsidR="00604ACA" w:rsidRPr="005E4BEA" w:rsidRDefault="00A31E75" w:rsidP="00A31E75">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bookmarkStart w:id="175" w:name="_Hlk102631946"/>
      <w:r w:rsidRPr="005E4BEA">
        <w:rPr>
          <w:rFonts w:eastAsia="Arial Narrow" w:cs="Arial"/>
          <w:bCs/>
          <w:szCs w:val="20"/>
        </w:rPr>
        <w:t xml:space="preserve">da </w:t>
      </w:r>
      <w:r w:rsidR="00437C8A" w:rsidRPr="005E4BEA">
        <w:rPr>
          <w:rFonts w:eastAsia="Arial Narrow" w:cs="Arial"/>
          <w:szCs w:val="20"/>
        </w:rPr>
        <w:t>se v prilogi ZDRAV-1 pri standardu tip 4 dodata šifri 91501 in 9</w:t>
      </w:r>
      <w:r w:rsidR="005C6DEF" w:rsidRPr="005E4BEA">
        <w:rPr>
          <w:rFonts w:eastAsia="Arial Narrow" w:cs="Arial"/>
          <w:szCs w:val="20"/>
        </w:rPr>
        <w:t>1502</w:t>
      </w:r>
      <w:r w:rsidR="00437C8A" w:rsidRPr="005E4BEA">
        <w:rPr>
          <w:rFonts w:eastAsia="Arial Narrow" w:cs="Arial"/>
          <w:szCs w:val="20"/>
        </w:rPr>
        <w:t>, ki se lahko obračunata največ 1x v času zdraviliškega zdravljenja.</w:t>
      </w:r>
    </w:p>
    <w:bookmarkEnd w:id="174"/>
    <w:bookmarkEnd w:id="175"/>
    <w:p w14:paraId="2890B22E" w14:textId="76AD961D" w:rsidR="00A31E75" w:rsidRPr="005E4BEA" w:rsidRDefault="00604ACA" w:rsidP="00F356C9">
      <w:pPr>
        <w:pStyle w:val="Naslov2"/>
        <w:numPr>
          <w:ilvl w:val="0"/>
          <w:numId w:val="79"/>
        </w:numPr>
        <w:ind w:left="0" w:firstLine="0"/>
        <w:rPr>
          <w:rFonts w:ascii="Arial" w:eastAsia="Arial Narrow" w:hAnsi="Arial" w:cs="Arial"/>
          <w:sz w:val="20"/>
        </w:rPr>
      </w:pPr>
      <w:r w:rsidRPr="005E4BEA">
        <w:rPr>
          <w:rFonts w:ascii="Arial" w:eastAsia="Arial Narrow" w:hAnsi="Arial" w:cs="Arial"/>
          <w:sz w:val="20"/>
        </w:rPr>
        <w:t>SPORNO VPRAŠANJE (176)</w:t>
      </w:r>
    </w:p>
    <w:p w14:paraId="7C64D875" w14:textId="43D0FF82" w:rsidR="00604ACA" w:rsidRPr="005E4BEA" w:rsidRDefault="00604ACA" w:rsidP="00604ACA"/>
    <w:p w14:paraId="0E1AFD9C" w14:textId="57365F32" w:rsidR="00604ACA" w:rsidRPr="005E4BEA" w:rsidRDefault="00604ACA" w:rsidP="00604ACA">
      <w:pPr>
        <w:spacing w:line="0" w:lineRule="atLeast"/>
        <w:jc w:val="both"/>
        <w:rPr>
          <w:rFonts w:eastAsia="Arial Narrow" w:cs="Arial"/>
          <w:szCs w:val="20"/>
        </w:rPr>
      </w:pPr>
      <w:r w:rsidRPr="005E4BEA">
        <w:rPr>
          <w:rFonts w:eastAsia="Arial Narrow" w:cs="Arial"/>
          <w:b/>
          <w:szCs w:val="20"/>
        </w:rPr>
        <w:t>Zdravniška zbornica Slovenije</w:t>
      </w:r>
      <w:r w:rsidRPr="005E4BEA">
        <w:rPr>
          <w:rFonts w:eastAsia="Arial Narrow" w:cs="Arial"/>
          <w:szCs w:val="20"/>
        </w:rPr>
        <w:t xml:space="preserve"> predlaga, da se v 20. točki v prvem odstavku 35. člena Splošnega dogovora za pogodbeno leto 2022 drugi stavek nadomesti z naslednjim stavkom: </w:t>
      </w:r>
    </w:p>
    <w:p w14:paraId="3C800DC8" w14:textId="77777777" w:rsidR="00604ACA" w:rsidRPr="005E4BEA" w:rsidRDefault="00604ACA" w:rsidP="00604ACA">
      <w:pPr>
        <w:spacing w:before="80" w:line="240" w:lineRule="auto"/>
        <w:jc w:val="both"/>
        <w:rPr>
          <w:rFonts w:eastAsia="Arial Narrow" w:cs="Arial"/>
          <w:szCs w:val="20"/>
        </w:rPr>
      </w:pPr>
      <w:r w:rsidRPr="005E4BEA">
        <w:rPr>
          <w:rFonts w:eastAsia="Arial Narrow" w:cs="Arial"/>
          <w:szCs w:val="20"/>
        </w:rPr>
        <w:t>        »Za telefonsko naročanje na preglede pri izbranem osebnem zdravniku mora biti ambulanta dosegljiva najmanj dve uri na dan.«</w:t>
      </w:r>
    </w:p>
    <w:p w14:paraId="179D8FC5" w14:textId="77777777" w:rsidR="00604ACA" w:rsidRPr="005E4BEA" w:rsidRDefault="00604ACA" w:rsidP="00604ACA">
      <w:pPr>
        <w:spacing w:line="240" w:lineRule="auto"/>
        <w:rPr>
          <w:rFonts w:eastAsia="Arial Narrow" w:cs="Arial"/>
          <w:szCs w:val="20"/>
        </w:rPr>
      </w:pPr>
    </w:p>
    <w:p w14:paraId="12A13171" w14:textId="77777777" w:rsidR="00604ACA" w:rsidRPr="005E4BEA" w:rsidRDefault="00604ACA" w:rsidP="00604ACA">
      <w:pPr>
        <w:spacing w:line="240" w:lineRule="auto"/>
        <w:rPr>
          <w:rFonts w:eastAsia="Arial Narrow" w:cs="Arial"/>
          <w:szCs w:val="20"/>
        </w:rPr>
      </w:pPr>
      <w:r w:rsidRPr="005E4BEA">
        <w:rPr>
          <w:rFonts w:eastAsia="Arial Narrow" w:cs="Arial"/>
          <w:szCs w:val="20"/>
        </w:rPr>
        <w:t>Stavek, ki se briše, se glasi:</w:t>
      </w:r>
    </w:p>
    <w:p w14:paraId="4CF26A5B" w14:textId="77777777" w:rsidR="00604ACA" w:rsidRPr="005E4BEA" w:rsidRDefault="00604ACA" w:rsidP="00604ACA">
      <w:pPr>
        <w:spacing w:before="80" w:line="240" w:lineRule="auto"/>
        <w:jc w:val="both"/>
        <w:rPr>
          <w:rFonts w:eastAsia="Arial Narrow" w:cs="Arial"/>
          <w:szCs w:val="20"/>
        </w:rPr>
      </w:pPr>
      <w:r w:rsidRPr="005E4BEA">
        <w:rPr>
          <w:rFonts w:eastAsia="Arial Narrow" w:cs="Arial"/>
          <w:szCs w:val="20"/>
        </w:rPr>
        <w:t xml:space="preserve">       »Za telefonsko naročanje na preglede pri izbranem osebnem zdravniku mora biti ambulanta dosegljiva ves </w:t>
      </w:r>
      <w:proofErr w:type="spellStart"/>
      <w:r w:rsidRPr="005E4BEA">
        <w:rPr>
          <w:rFonts w:eastAsia="Arial Narrow" w:cs="Arial"/>
          <w:szCs w:val="20"/>
        </w:rPr>
        <w:t>ordinacijski</w:t>
      </w:r>
      <w:proofErr w:type="spellEnd"/>
      <w:r w:rsidRPr="005E4BEA">
        <w:rPr>
          <w:rFonts w:eastAsia="Arial Narrow" w:cs="Arial"/>
          <w:szCs w:val="20"/>
        </w:rPr>
        <w:t xml:space="preserve"> čas.«</w:t>
      </w:r>
    </w:p>
    <w:p w14:paraId="43E6F392" w14:textId="5BEEE15F" w:rsidR="00604ACA" w:rsidRPr="005E4BEA" w:rsidRDefault="00604ACA" w:rsidP="00604ACA"/>
    <w:p w14:paraId="64807BC2" w14:textId="77777777" w:rsidR="00604ACA" w:rsidRPr="005E4BEA" w:rsidRDefault="00604ACA" w:rsidP="00604ACA">
      <w:pPr>
        <w:autoSpaceDE w:val="0"/>
        <w:autoSpaceDN w:val="0"/>
        <w:adjustRightInd w:val="0"/>
        <w:spacing w:line="0" w:lineRule="atLeast"/>
        <w:jc w:val="both"/>
        <w:rPr>
          <w:rFonts w:eastAsia="Arial Narrow" w:cs="Arial"/>
          <w:b/>
          <w:szCs w:val="20"/>
        </w:rPr>
      </w:pPr>
      <w:r w:rsidRPr="005E4BEA">
        <w:rPr>
          <w:rFonts w:eastAsia="Arial Narrow" w:cs="Arial"/>
          <w:b/>
          <w:szCs w:val="20"/>
        </w:rPr>
        <w:t>Stališče Ministrstva za zdravje:</w:t>
      </w:r>
      <w:r w:rsidRPr="005E4BEA">
        <w:rPr>
          <w:rFonts w:eastAsia="Arial Narrow" w:cs="Arial"/>
          <w:szCs w:val="20"/>
        </w:rPr>
        <w:t xml:space="preserve"> Ministrstvo za zdravje se ne strinja s predlogom.</w:t>
      </w:r>
    </w:p>
    <w:p w14:paraId="3018A8F4" w14:textId="77777777" w:rsidR="00604ACA" w:rsidRPr="005E4BEA" w:rsidRDefault="00604ACA" w:rsidP="00604ACA">
      <w:pPr>
        <w:spacing w:line="0" w:lineRule="atLeast"/>
        <w:jc w:val="both"/>
        <w:rPr>
          <w:rFonts w:eastAsia="Arial Narrow" w:cs="Arial"/>
          <w:szCs w:val="20"/>
          <w:lang w:eastAsia="sl-SI"/>
        </w:rPr>
      </w:pPr>
    </w:p>
    <w:p w14:paraId="3D166C90" w14:textId="60CCF679" w:rsidR="00604ACA" w:rsidRDefault="00604ACA" w:rsidP="00604ACA">
      <w:pPr>
        <w:spacing w:line="0" w:lineRule="atLeast"/>
        <w:contextualSpacing/>
        <w:jc w:val="both"/>
        <w:rPr>
          <w:rFonts w:eastAsiaTheme="minorHAnsi" w:cs="Arial"/>
          <w:bCs/>
          <w:szCs w:val="20"/>
        </w:rPr>
      </w:pPr>
      <w:r w:rsidRPr="005E4BEA">
        <w:rPr>
          <w:rFonts w:eastAsia="Arial Narrow" w:cs="Arial"/>
          <w:b/>
          <w:szCs w:val="20"/>
        </w:rPr>
        <w:t>Ministrstvo za zdravje predlaga Vladi Republike Slovenije</w:t>
      </w:r>
      <w:r w:rsidRPr="005E4BEA">
        <w:rPr>
          <w:rFonts w:eastAsia="Arial Narrow" w:cs="Arial"/>
          <w:szCs w:val="20"/>
        </w:rPr>
        <w:t xml:space="preserve">, </w:t>
      </w:r>
      <w:r w:rsidRPr="005E4BEA">
        <w:rPr>
          <w:rFonts w:eastAsia="Arial Narrow" w:cs="Arial"/>
          <w:bCs/>
          <w:szCs w:val="20"/>
        </w:rPr>
        <w:t>da se 35. člen S</w:t>
      </w:r>
      <w:r w:rsidRPr="005E4BEA">
        <w:rPr>
          <w:rFonts w:eastAsiaTheme="minorHAnsi" w:cs="Arial"/>
          <w:bCs/>
          <w:szCs w:val="20"/>
        </w:rPr>
        <w:t>plošnega dogovora ne spremeni.</w:t>
      </w:r>
    </w:p>
    <w:p w14:paraId="7648DC0A" w14:textId="77777777" w:rsidR="00604ACA" w:rsidRPr="00604ACA" w:rsidRDefault="00604ACA" w:rsidP="00604ACA"/>
    <w:sectPr w:rsidR="00604ACA" w:rsidRPr="00604ACA" w:rsidSect="007B233B">
      <w:headerReference w:type="default" r:id="rId40"/>
      <w:footerReference w:type="default" r:id="rId41"/>
      <w:headerReference w:type="first" r:id="rId42"/>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A7C38" w14:textId="77777777" w:rsidR="00896107" w:rsidRDefault="00896107">
      <w:r>
        <w:separator/>
      </w:r>
    </w:p>
  </w:endnote>
  <w:endnote w:type="continuationSeparator" w:id="0">
    <w:p w14:paraId="16246BD0" w14:textId="77777777" w:rsidR="00896107" w:rsidRDefault="0089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Times New Roman CE SLO">
    <w:altName w:val="Times New Roman"/>
    <w:panose1 w:val="00000000000000000000"/>
    <w:charset w:val="EE"/>
    <w:family w:val="roman"/>
    <w:notTrueType/>
    <w:pitch w:val="variable"/>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SSHelvetica-Light">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Calibri,Bold">
    <w:altName w:val="Calibri"/>
    <w:panose1 w:val="00000000000000000000"/>
    <w:charset w:val="EE"/>
    <w:family w:val="auto"/>
    <w:notTrueType/>
    <w:pitch w:val="default"/>
    <w:sig w:usb0="00000007" w:usb1="00000000" w:usb2="00000000" w:usb3="00000000" w:csb0="00000003" w:csb1="00000000"/>
  </w:font>
  <w:font w:name="Humnst777 Lt BT">
    <w:charset w:val="00"/>
    <w:family w:val="swiss"/>
    <w:pitch w:val="variable"/>
  </w:font>
  <w:font w:name="Humnst777 BT">
    <w:charset w:val="00"/>
    <w:family w:val="swiss"/>
    <w:pitch w:val="variable"/>
  </w:font>
  <w:font w:name="Lucida Grande">
    <w:altName w:val="Arial"/>
    <w:charset w:val="00"/>
    <w:family w:val="auto"/>
    <w:pitch w:val="variable"/>
    <w:sig w:usb0="00000000" w:usb1="5000A1FF" w:usb2="00000000" w:usb3="00000000" w:csb0="000001B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CE">
    <w:altName w:val="Times New Roman"/>
    <w:charset w:val="EE"/>
    <w:family w:val="roman"/>
    <w:pitch w:val="variable"/>
  </w:font>
  <w:font w:name="Microsoft Sans Serif">
    <w:panose1 w:val="020B0604020202020204"/>
    <w:charset w:val="EE"/>
    <w:family w:val="swiss"/>
    <w:pitch w:val="variable"/>
    <w:sig w:usb0="E5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Georgia">
    <w:panose1 w:val="02040502050405020303"/>
    <w:charset w:val="EE"/>
    <w:family w:val="roman"/>
    <w:pitch w:val="variable"/>
    <w:sig w:usb0="00000287" w:usb1="00000000" w:usb2="00000000" w:usb3="00000000" w:csb0="0000009F" w:csb1="00000000"/>
  </w:font>
  <w:font w:name="Bahnschrift SemiBold Condensed">
    <w:panose1 w:val="020B0502040204020203"/>
    <w:charset w:val="EE"/>
    <w:family w:val="swiss"/>
    <w:pitch w:val="variable"/>
    <w:sig w:usb0="A00002C7" w:usb1="00000002" w:usb2="00000000" w:usb3="00000000" w:csb0="0000019F" w:csb1="00000000"/>
  </w:font>
  <w:font w:name="Arial CE">
    <w:altName w:val="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63864"/>
      <w:docPartObj>
        <w:docPartGallery w:val="Page Numbers (Bottom of Page)"/>
        <w:docPartUnique/>
      </w:docPartObj>
    </w:sdtPr>
    <w:sdtEndPr/>
    <w:sdtContent>
      <w:p w14:paraId="5DA7ED7C" w14:textId="77777777" w:rsidR="00FE461F" w:rsidRDefault="00FE461F">
        <w:pPr>
          <w:pStyle w:val="Noga"/>
          <w:jc w:val="center"/>
        </w:pPr>
        <w:r>
          <w:fldChar w:fldCharType="begin"/>
        </w:r>
        <w:r>
          <w:instrText>PAGE   \* MERGEFORMAT</w:instrText>
        </w:r>
        <w:r>
          <w:fldChar w:fldCharType="separate"/>
        </w:r>
        <w:r>
          <w:t>2</w:t>
        </w:r>
        <w:r>
          <w:fldChar w:fldCharType="end"/>
        </w:r>
      </w:p>
    </w:sdtContent>
  </w:sdt>
  <w:p w14:paraId="0E4E8711" w14:textId="77777777" w:rsidR="00FE461F" w:rsidRDefault="00FE461F" w:rsidP="0016774B">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A0E8" w14:textId="77777777" w:rsidR="00FE461F" w:rsidRDefault="00FE461F">
    <w:pPr>
      <w:pStyle w:val="Noga"/>
      <w:jc w:val="center"/>
    </w:pPr>
  </w:p>
  <w:p w14:paraId="63F4E3F5" w14:textId="77777777" w:rsidR="00FE461F" w:rsidRDefault="00FE461F" w:rsidP="0016774B">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070616"/>
      <w:docPartObj>
        <w:docPartGallery w:val="Page Numbers (Bottom of Page)"/>
        <w:docPartUnique/>
      </w:docPartObj>
    </w:sdtPr>
    <w:sdtEndPr/>
    <w:sdtContent>
      <w:p w14:paraId="60ACE4FB" w14:textId="24C65855" w:rsidR="00896107" w:rsidRDefault="00896107">
        <w:pPr>
          <w:pStyle w:val="Noga"/>
          <w:jc w:val="center"/>
        </w:pPr>
        <w:r>
          <w:fldChar w:fldCharType="begin"/>
        </w:r>
        <w:r>
          <w:instrText>PAGE   \* MERGEFORMAT</w:instrText>
        </w:r>
        <w:r>
          <w:fldChar w:fldCharType="separate"/>
        </w:r>
        <w:r>
          <w:t>2</w:t>
        </w:r>
        <w:r>
          <w:fldChar w:fldCharType="end"/>
        </w:r>
      </w:p>
    </w:sdtContent>
  </w:sdt>
  <w:p w14:paraId="2821F15F" w14:textId="77777777" w:rsidR="00896107" w:rsidRDefault="0089610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E4B8E" w14:textId="77777777" w:rsidR="00896107" w:rsidRDefault="00896107">
      <w:r>
        <w:separator/>
      </w:r>
    </w:p>
  </w:footnote>
  <w:footnote w:type="continuationSeparator" w:id="0">
    <w:p w14:paraId="01138BDF" w14:textId="77777777" w:rsidR="00896107" w:rsidRDefault="00896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3682" w14:textId="77777777" w:rsidR="00FE461F" w:rsidRDefault="00FE461F" w:rsidP="0016774B">
    <w:pPr>
      <w:pStyle w:val="Glava"/>
    </w:pPr>
  </w:p>
  <w:p w14:paraId="5BD00C3D" w14:textId="77777777" w:rsidR="00FE461F" w:rsidRDefault="00FE461F" w:rsidP="0016774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88" w:type="dxa"/>
      <w:tblLook w:val="04A0" w:firstRow="1" w:lastRow="0" w:firstColumn="1" w:lastColumn="0" w:noHBand="0" w:noVBand="1"/>
    </w:tblPr>
    <w:tblGrid>
      <w:gridCol w:w="2840"/>
      <w:gridCol w:w="3865"/>
      <w:gridCol w:w="1983"/>
    </w:tblGrid>
    <w:tr w:rsidR="00FE461F" w:rsidRPr="00936401" w14:paraId="074C6A1F" w14:textId="77777777" w:rsidTr="0016774B">
      <w:trPr>
        <w:trHeight w:hRule="exact" w:val="1276"/>
      </w:trPr>
      <w:tc>
        <w:tcPr>
          <w:tcW w:w="2840" w:type="dxa"/>
          <w:shd w:val="clear" w:color="auto" w:fill="auto"/>
        </w:tcPr>
        <w:p w14:paraId="2026484F" w14:textId="77777777" w:rsidR="00FE461F" w:rsidRPr="00936401" w:rsidRDefault="00FE461F" w:rsidP="0016774B">
          <w:pPr>
            <w:pStyle w:val="Glava"/>
            <w:rPr>
              <w:b/>
              <w:lang w:val="it-IT"/>
            </w:rPr>
          </w:pPr>
        </w:p>
      </w:tc>
      <w:tc>
        <w:tcPr>
          <w:tcW w:w="3865" w:type="dxa"/>
          <w:shd w:val="clear" w:color="auto" w:fill="auto"/>
        </w:tcPr>
        <w:p w14:paraId="77B0C8F3" w14:textId="77777777" w:rsidR="00FE461F" w:rsidRPr="00936401" w:rsidRDefault="00FE461F" w:rsidP="0016774B">
          <w:pPr>
            <w:pStyle w:val="Glava"/>
            <w:rPr>
              <w:lang w:val="it-IT"/>
            </w:rPr>
          </w:pPr>
        </w:p>
      </w:tc>
      <w:tc>
        <w:tcPr>
          <w:tcW w:w="1983" w:type="dxa"/>
          <w:shd w:val="clear" w:color="auto" w:fill="auto"/>
          <w:tcMar>
            <w:left w:w="0" w:type="dxa"/>
          </w:tcMar>
        </w:tcPr>
        <w:p w14:paraId="541A12B4" w14:textId="77777777" w:rsidR="00FE461F" w:rsidRPr="00936401" w:rsidRDefault="00FE461F" w:rsidP="0016774B">
          <w:pPr>
            <w:pStyle w:val="Glava"/>
            <w:rPr>
              <w:lang w:val="it-IT"/>
            </w:rPr>
          </w:pPr>
        </w:p>
      </w:tc>
    </w:tr>
    <w:tr w:rsidR="00FE461F" w:rsidRPr="00936401" w14:paraId="101FDC56" w14:textId="77777777" w:rsidTr="0016774B">
      <w:trPr>
        <w:trHeight w:hRule="exact" w:val="113"/>
      </w:trPr>
      <w:tc>
        <w:tcPr>
          <w:tcW w:w="2840" w:type="dxa"/>
          <w:shd w:val="clear" w:color="auto" w:fill="auto"/>
        </w:tcPr>
        <w:p w14:paraId="198FDBDD" w14:textId="77777777" w:rsidR="00FE461F" w:rsidRPr="00936401" w:rsidRDefault="00FE461F" w:rsidP="0016774B">
          <w:pPr>
            <w:pStyle w:val="Glava"/>
            <w:rPr>
              <w:b/>
              <w:lang w:val="it-IT"/>
            </w:rPr>
          </w:pPr>
        </w:p>
      </w:tc>
      <w:tc>
        <w:tcPr>
          <w:tcW w:w="3865" w:type="dxa"/>
          <w:shd w:val="clear" w:color="auto" w:fill="auto"/>
        </w:tcPr>
        <w:p w14:paraId="3EF27464" w14:textId="77777777" w:rsidR="00FE461F" w:rsidRPr="00936401" w:rsidRDefault="00FE461F" w:rsidP="0016774B">
          <w:pPr>
            <w:pStyle w:val="Glava"/>
            <w:rPr>
              <w:lang w:val="it-IT"/>
            </w:rPr>
          </w:pPr>
        </w:p>
      </w:tc>
      <w:tc>
        <w:tcPr>
          <w:tcW w:w="1983" w:type="dxa"/>
          <w:shd w:val="clear" w:color="auto" w:fill="auto"/>
          <w:tcMar>
            <w:left w:w="0" w:type="dxa"/>
          </w:tcMar>
        </w:tcPr>
        <w:p w14:paraId="766808A0" w14:textId="77777777" w:rsidR="00FE461F" w:rsidRPr="00936401" w:rsidRDefault="00FE461F" w:rsidP="0016774B">
          <w:pPr>
            <w:pStyle w:val="Glava"/>
            <w:rPr>
              <w:lang w:val="it-IT"/>
            </w:rPr>
          </w:pPr>
        </w:p>
      </w:tc>
    </w:tr>
  </w:tbl>
  <w:p w14:paraId="31548C9C" w14:textId="77777777" w:rsidR="00FE461F" w:rsidRDefault="00FE461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CE4D" w14:textId="77777777" w:rsidR="00896107" w:rsidRPr="00110CBD" w:rsidRDefault="00896107" w:rsidP="007D75CF">
    <w:pPr>
      <w:pStyle w:val="Glava"/>
      <w:spacing w:line="240" w:lineRule="exact"/>
      <w:rPr>
        <w:rFonts w:ascii="Republika" w:hAnsi="Republik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C115" w14:textId="4B9B5E62" w:rsidR="00896107" w:rsidRPr="008F3500" w:rsidRDefault="00896107" w:rsidP="00442757">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53D"/>
    <w:multiLevelType w:val="hybridMultilevel"/>
    <w:tmpl w:val="BD3C383E"/>
    <w:lvl w:ilvl="0" w:tplc="1D4425BA">
      <w:start w:val="19"/>
      <w:numFmt w:val="bullet"/>
      <w:lvlText w:val="-"/>
      <w:lvlJc w:val="left"/>
      <w:pPr>
        <w:ind w:left="720" w:hanging="360"/>
      </w:pPr>
      <w:rPr>
        <w:rFonts w:ascii="Cambria" w:eastAsia="Times New Roman" w:hAnsi="Cambri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0A375F"/>
    <w:multiLevelType w:val="hybridMultilevel"/>
    <w:tmpl w:val="62722164"/>
    <w:lvl w:ilvl="0" w:tplc="F0F0AA0E">
      <w:numFmt w:val="bullet"/>
      <w:lvlText w:val="-"/>
      <w:lvlJc w:val="left"/>
      <w:pPr>
        <w:ind w:left="643" w:hanging="360"/>
      </w:pPr>
      <w:rPr>
        <w:rFonts w:ascii="Calibri" w:eastAsiaTheme="minorHAnsi" w:hAnsi="Calibri" w:cs="Calibri" w:hint="default"/>
      </w:rPr>
    </w:lvl>
    <w:lvl w:ilvl="1" w:tplc="04240003" w:tentative="1">
      <w:start w:val="1"/>
      <w:numFmt w:val="bullet"/>
      <w:lvlText w:val="o"/>
      <w:lvlJc w:val="left"/>
      <w:pPr>
        <w:ind w:left="1363" w:hanging="360"/>
      </w:pPr>
      <w:rPr>
        <w:rFonts w:ascii="Courier New" w:hAnsi="Courier New" w:cs="Courier New"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2" w15:restartNumberingAfterBreak="0">
    <w:nsid w:val="04F67955"/>
    <w:multiLevelType w:val="hybridMultilevel"/>
    <w:tmpl w:val="F39653F2"/>
    <w:lvl w:ilvl="0" w:tplc="22BCFF38">
      <w:numFmt w:val="bullet"/>
      <w:lvlText w:val="-"/>
      <w:lvlJc w:val="left"/>
      <w:pPr>
        <w:ind w:left="720" w:hanging="360"/>
      </w:pPr>
      <w:rPr>
        <w:rFonts w:ascii="Arial Narrow" w:eastAsia="Calibri" w:hAnsi="Arial Narrow"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58740A9"/>
    <w:multiLevelType w:val="hybridMultilevel"/>
    <w:tmpl w:val="EFE00CF6"/>
    <w:lvl w:ilvl="0" w:tplc="78A26736">
      <w:start w:val="1"/>
      <w:numFmt w:val="bullet"/>
      <w:lvlText w:val="-"/>
      <w:lvlJc w:val="left"/>
      <w:pPr>
        <w:ind w:left="405" w:hanging="360"/>
      </w:pPr>
      <w:rPr>
        <w:rFonts w:ascii="Arial Narrow" w:eastAsia="Times New Roman" w:hAnsi="Arial Narrow" w:cs="Times New Roman"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0424000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4" w15:restartNumberingAfterBreak="0">
    <w:nsid w:val="06D7230B"/>
    <w:multiLevelType w:val="hybridMultilevel"/>
    <w:tmpl w:val="16DEAEBA"/>
    <w:lvl w:ilvl="0" w:tplc="2326A9F8">
      <w:start w:val="671"/>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0A0C20FE"/>
    <w:multiLevelType w:val="hybridMultilevel"/>
    <w:tmpl w:val="67EEA272"/>
    <w:styleLink w:val="List02"/>
    <w:lvl w:ilvl="0" w:tplc="9E1AFCC4">
      <w:start w:val="1"/>
      <w:numFmt w:val="decimal"/>
      <w:pStyle w:val="Predlog"/>
      <w:lvlText w:val="%1."/>
      <w:lvlJc w:val="left"/>
      <w:pPr>
        <w:ind w:left="705" w:hanging="70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A9A5582"/>
    <w:multiLevelType w:val="hybridMultilevel"/>
    <w:tmpl w:val="5C023B9E"/>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913D47"/>
    <w:multiLevelType w:val="multilevel"/>
    <w:tmpl w:val="0424001F"/>
    <w:styleLink w:val="LFO5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EC95D80"/>
    <w:multiLevelType w:val="hybridMultilevel"/>
    <w:tmpl w:val="D1FA0234"/>
    <w:lvl w:ilvl="0" w:tplc="02D043F0">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03F7EDF"/>
    <w:multiLevelType w:val="hybridMultilevel"/>
    <w:tmpl w:val="A8BE31EE"/>
    <w:lvl w:ilvl="0" w:tplc="EB76B148">
      <w:start w:val="5"/>
      <w:numFmt w:val="bullet"/>
      <w:pStyle w:val="Alineja"/>
      <w:lvlText w:val="–"/>
      <w:lvlJc w:val="left"/>
      <w:pPr>
        <w:ind w:left="360" w:hanging="360"/>
      </w:pPr>
      <w:rPr>
        <w:rFonts w:ascii="Calibri" w:eastAsia="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318246F"/>
    <w:multiLevelType w:val="hybridMultilevel"/>
    <w:tmpl w:val="5D7614A6"/>
    <w:lvl w:ilvl="0" w:tplc="83A60782">
      <w:start w:val="6"/>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38A4532"/>
    <w:multiLevelType w:val="hybridMultilevel"/>
    <w:tmpl w:val="0424000F"/>
    <w:styleLink w:val="11111111"/>
    <w:lvl w:ilvl="0" w:tplc="0424000F">
      <w:start w:val="1"/>
      <w:numFmt w:val="decimal"/>
      <w:lvlText w:val="%1."/>
      <w:lvlJc w:val="left"/>
      <w:pPr>
        <w:ind w:left="1434" w:hanging="360"/>
      </w:pPr>
    </w:lvl>
    <w:lvl w:ilvl="1" w:tplc="04240019" w:tentative="1">
      <w:start w:val="1"/>
      <w:numFmt w:val="lowerLetter"/>
      <w:lvlText w:val="%2."/>
      <w:lvlJc w:val="left"/>
      <w:pPr>
        <w:ind w:left="2154" w:hanging="360"/>
      </w:pPr>
    </w:lvl>
    <w:lvl w:ilvl="2" w:tplc="0424001B" w:tentative="1">
      <w:start w:val="1"/>
      <w:numFmt w:val="lowerRoman"/>
      <w:lvlText w:val="%3."/>
      <w:lvlJc w:val="right"/>
      <w:pPr>
        <w:ind w:left="2874" w:hanging="180"/>
      </w:pPr>
    </w:lvl>
    <w:lvl w:ilvl="3" w:tplc="0424000F" w:tentative="1">
      <w:start w:val="1"/>
      <w:numFmt w:val="decimal"/>
      <w:lvlText w:val="%4."/>
      <w:lvlJc w:val="left"/>
      <w:pPr>
        <w:ind w:left="3594" w:hanging="360"/>
      </w:pPr>
    </w:lvl>
    <w:lvl w:ilvl="4" w:tplc="04240019" w:tentative="1">
      <w:start w:val="1"/>
      <w:numFmt w:val="lowerLetter"/>
      <w:lvlText w:val="%5."/>
      <w:lvlJc w:val="left"/>
      <w:pPr>
        <w:ind w:left="4314" w:hanging="360"/>
      </w:pPr>
    </w:lvl>
    <w:lvl w:ilvl="5" w:tplc="0424001B" w:tentative="1">
      <w:start w:val="1"/>
      <w:numFmt w:val="lowerRoman"/>
      <w:lvlText w:val="%6."/>
      <w:lvlJc w:val="right"/>
      <w:pPr>
        <w:ind w:left="5034" w:hanging="180"/>
      </w:pPr>
    </w:lvl>
    <w:lvl w:ilvl="6" w:tplc="0424000F" w:tentative="1">
      <w:start w:val="1"/>
      <w:numFmt w:val="decimal"/>
      <w:lvlText w:val="%7."/>
      <w:lvlJc w:val="left"/>
      <w:pPr>
        <w:ind w:left="5754" w:hanging="360"/>
      </w:pPr>
    </w:lvl>
    <w:lvl w:ilvl="7" w:tplc="04240019" w:tentative="1">
      <w:start w:val="1"/>
      <w:numFmt w:val="lowerLetter"/>
      <w:lvlText w:val="%8."/>
      <w:lvlJc w:val="left"/>
      <w:pPr>
        <w:ind w:left="6474" w:hanging="360"/>
      </w:pPr>
    </w:lvl>
    <w:lvl w:ilvl="8" w:tplc="0424001B" w:tentative="1">
      <w:start w:val="1"/>
      <w:numFmt w:val="lowerRoman"/>
      <w:lvlText w:val="%9."/>
      <w:lvlJc w:val="right"/>
      <w:pPr>
        <w:ind w:left="7194" w:hanging="180"/>
      </w:pPr>
    </w:lvl>
  </w:abstractNum>
  <w:abstractNum w:abstractNumId="14" w15:restartNumberingAfterBreak="0">
    <w:nsid w:val="14651374"/>
    <w:multiLevelType w:val="hybridMultilevel"/>
    <w:tmpl w:val="14F4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C36B3"/>
    <w:multiLevelType w:val="hybridMultilevel"/>
    <w:tmpl w:val="566E3A54"/>
    <w:lvl w:ilvl="0" w:tplc="A4003956">
      <w:start w:val="2"/>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7DF7554"/>
    <w:multiLevelType w:val="hybridMultilevel"/>
    <w:tmpl w:val="C178A0EE"/>
    <w:lvl w:ilvl="0" w:tplc="463839AE">
      <w:start w:val="4"/>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A5F5851"/>
    <w:multiLevelType w:val="multilevel"/>
    <w:tmpl w:val="E46493B6"/>
    <w:styleLink w:val="LFO5"/>
    <w:lvl w:ilvl="0">
      <w:numFmt w:val="bullet"/>
      <w:lvlText w:val="-"/>
      <w:lvlJc w:val="left"/>
      <w:pPr>
        <w:ind w:left="720" w:hanging="360"/>
      </w:pPr>
      <w:rPr>
        <w:rFonts w:ascii="Arial Narrow" w:eastAsia="Times New Roman" w:hAnsi="Arial Narrow"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C802066"/>
    <w:multiLevelType w:val="hybridMultilevel"/>
    <w:tmpl w:val="682CE3AE"/>
    <w:styleLink w:val="11111112"/>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9" w15:restartNumberingAfterBreak="0">
    <w:nsid w:val="1CC32D0D"/>
    <w:multiLevelType w:val="hybridMultilevel"/>
    <w:tmpl w:val="E9B20DD8"/>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D3A68C6"/>
    <w:multiLevelType w:val="hybridMultilevel"/>
    <w:tmpl w:val="B3045686"/>
    <w:lvl w:ilvl="0" w:tplc="5C9AE32E">
      <w:start w:val="1"/>
      <w:numFmt w:val="bullet"/>
      <w:lvlText w:val=""/>
      <w:lvlJc w:val="left"/>
      <w:pPr>
        <w:tabs>
          <w:tab w:val="num" w:pos="720"/>
        </w:tabs>
        <w:ind w:left="720" w:hanging="360"/>
      </w:pPr>
      <w:rPr>
        <w:rFonts w:ascii="Symbol" w:hAnsi="Symbol" w:hint="default"/>
        <w:sz w:val="20"/>
      </w:rPr>
    </w:lvl>
    <w:lvl w:ilvl="1" w:tplc="93EA1A96">
      <w:start w:val="1"/>
      <w:numFmt w:val="bullet"/>
      <w:lvlText w:val="-"/>
      <w:lvlJc w:val="left"/>
      <w:pPr>
        <w:tabs>
          <w:tab w:val="num" w:pos="1440"/>
        </w:tabs>
        <w:ind w:left="1440" w:hanging="360"/>
      </w:pPr>
      <w:rPr>
        <w:rFonts w:ascii="Calibri" w:eastAsia="Calibri" w:hAnsi="Calibri" w:cs="Arial" w:hint="default"/>
        <w:sz w:val="20"/>
      </w:rPr>
    </w:lvl>
    <w:lvl w:ilvl="2" w:tplc="6B22568E" w:tentative="1">
      <w:start w:val="1"/>
      <w:numFmt w:val="bullet"/>
      <w:lvlText w:val=""/>
      <w:lvlJc w:val="left"/>
      <w:pPr>
        <w:tabs>
          <w:tab w:val="num" w:pos="2160"/>
        </w:tabs>
        <w:ind w:left="2160" w:hanging="360"/>
      </w:pPr>
      <w:rPr>
        <w:rFonts w:ascii="Wingdings" w:hAnsi="Wingdings" w:hint="default"/>
        <w:sz w:val="20"/>
      </w:rPr>
    </w:lvl>
    <w:lvl w:ilvl="3" w:tplc="D6E6E1BE" w:tentative="1">
      <w:start w:val="1"/>
      <w:numFmt w:val="bullet"/>
      <w:lvlText w:val=""/>
      <w:lvlJc w:val="left"/>
      <w:pPr>
        <w:tabs>
          <w:tab w:val="num" w:pos="2880"/>
        </w:tabs>
        <w:ind w:left="2880" w:hanging="360"/>
      </w:pPr>
      <w:rPr>
        <w:rFonts w:ascii="Wingdings" w:hAnsi="Wingdings" w:hint="default"/>
        <w:sz w:val="20"/>
      </w:rPr>
    </w:lvl>
    <w:lvl w:ilvl="4" w:tplc="B4361728" w:tentative="1">
      <w:start w:val="1"/>
      <w:numFmt w:val="bullet"/>
      <w:lvlText w:val=""/>
      <w:lvlJc w:val="left"/>
      <w:pPr>
        <w:tabs>
          <w:tab w:val="num" w:pos="3600"/>
        </w:tabs>
        <w:ind w:left="3600" w:hanging="360"/>
      </w:pPr>
      <w:rPr>
        <w:rFonts w:ascii="Wingdings" w:hAnsi="Wingdings" w:hint="default"/>
        <w:sz w:val="20"/>
      </w:rPr>
    </w:lvl>
    <w:lvl w:ilvl="5" w:tplc="CEB81B42" w:tentative="1">
      <w:start w:val="1"/>
      <w:numFmt w:val="bullet"/>
      <w:lvlText w:val=""/>
      <w:lvlJc w:val="left"/>
      <w:pPr>
        <w:tabs>
          <w:tab w:val="num" w:pos="4320"/>
        </w:tabs>
        <w:ind w:left="4320" w:hanging="360"/>
      </w:pPr>
      <w:rPr>
        <w:rFonts w:ascii="Wingdings" w:hAnsi="Wingdings" w:hint="default"/>
        <w:sz w:val="20"/>
      </w:rPr>
    </w:lvl>
    <w:lvl w:ilvl="6" w:tplc="24DA2D5A" w:tentative="1">
      <w:start w:val="1"/>
      <w:numFmt w:val="bullet"/>
      <w:lvlText w:val=""/>
      <w:lvlJc w:val="left"/>
      <w:pPr>
        <w:tabs>
          <w:tab w:val="num" w:pos="5040"/>
        </w:tabs>
        <w:ind w:left="5040" w:hanging="360"/>
      </w:pPr>
      <w:rPr>
        <w:rFonts w:ascii="Wingdings" w:hAnsi="Wingdings" w:hint="default"/>
        <w:sz w:val="20"/>
      </w:rPr>
    </w:lvl>
    <w:lvl w:ilvl="7" w:tplc="4FD279A6" w:tentative="1">
      <w:start w:val="1"/>
      <w:numFmt w:val="bullet"/>
      <w:lvlText w:val=""/>
      <w:lvlJc w:val="left"/>
      <w:pPr>
        <w:tabs>
          <w:tab w:val="num" w:pos="5760"/>
        </w:tabs>
        <w:ind w:left="5760" w:hanging="360"/>
      </w:pPr>
      <w:rPr>
        <w:rFonts w:ascii="Wingdings" w:hAnsi="Wingdings" w:hint="default"/>
        <w:sz w:val="20"/>
      </w:rPr>
    </w:lvl>
    <w:lvl w:ilvl="8" w:tplc="412CC63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C405CF"/>
    <w:multiLevelType w:val="hybridMultilevel"/>
    <w:tmpl w:val="E7289F4A"/>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EDF0091"/>
    <w:multiLevelType w:val="hybridMultilevel"/>
    <w:tmpl w:val="DDFA83FC"/>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F1D48A6"/>
    <w:multiLevelType w:val="hybridMultilevel"/>
    <w:tmpl w:val="D2082B74"/>
    <w:lvl w:ilvl="0" w:tplc="6FD00C9A">
      <w:start w:val="10"/>
      <w:numFmt w:val="bullet"/>
      <w:lvlText w:val="-"/>
      <w:lvlJc w:val="left"/>
      <w:pPr>
        <w:ind w:left="785" w:hanging="360"/>
      </w:pPr>
      <w:rPr>
        <w:rFonts w:ascii="Arial Narrow" w:eastAsia="Times New Roman" w:hAnsi="Arial Narrow" w:cs="Arial" w:hint="default"/>
        <w:i/>
        <w:sz w:val="2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0230BC0"/>
    <w:multiLevelType w:val="hybridMultilevel"/>
    <w:tmpl w:val="D302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3D0F06"/>
    <w:multiLevelType w:val="hybridMultilevel"/>
    <w:tmpl w:val="87AAF9A4"/>
    <w:lvl w:ilvl="0" w:tplc="462EA9BE">
      <w:start w:val="14"/>
      <w:numFmt w:val="bullet"/>
      <w:lvlText w:val="-"/>
      <w:lvlJc w:val="left"/>
      <w:pPr>
        <w:ind w:left="720" w:hanging="360"/>
      </w:pPr>
      <w:rPr>
        <w:rFonts w:ascii="Arial Narrow" w:eastAsiaTheme="minorHAns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0BF0922"/>
    <w:multiLevelType w:val="hybridMultilevel"/>
    <w:tmpl w:val="0DACDEE6"/>
    <w:lvl w:ilvl="0" w:tplc="271E1E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39E14A7"/>
    <w:multiLevelType w:val="hybridMultilevel"/>
    <w:tmpl w:val="E0AEF014"/>
    <w:lvl w:ilvl="0" w:tplc="DB747EC8">
      <w:start w:val="1"/>
      <w:numFmt w:val="decimal"/>
      <w:pStyle w:val="tevilenjepredlogov"/>
      <w:lvlText w:val="%1."/>
      <w:lvlJc w:val="left"/>
      <w:pPr>
        <w:ind w:left="360" w:hanging="360"/>
      </w:pPr>
      <w:rPr>
        <w:rFonts w:ascii="Arial Narrow" w:hAnsi="Arial Narrow" w:hint="default"/>
        <w:b/>
        <w:i w:val="0"/>
        <w:sz w:val="22"/>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25D5201F"/>
    <w:multiLevelType w:val="multilevel"/>
    <w:tmpl w:val="E548AB9C"/>
    <w:styleLink w:val="List0"/>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9" w15:restartNumberingAfterBreak="0">
    <w:nsid w:val="26333D79"/>
    <w:multiLevelType w:val="hybridMultilevel"/>
    <w:tmpl w:val="20FE0080"/>
    <w:lvl w:ilvl="0" w:tplc="04240001">
      <w:start w:val="1"/>
      <w:numFmt w:val="bullet"/>
      <w:lvlText w:val=""/>
      <w:lvlJc w:val="left"/>
      <w:pPr>
        <w:ind w:left="768" w:hanging="360"/>
      </w:pPr>
      <w:rPr>
        <w:rFonts w:ascii="Symbol" w:hAnsi="Symbol" w:hint="default"/>
      </w:rPr>
    </w:lvl>
    <w:lvl w:ilvl="1" w:tplc="04240003">
      <w:start w:val="1"/>
      <w:numFmt w:val="bullet"/>
      <w:lvlText w:val="o"/>
      <w:lvlJc w:val="left"/>
      <w:pPr>
        <w:ind w:left="1488" w:hanging="360"/>
      </w:pPr>
      <w:rPr>
        <w:rFonts w:ascii="Courier New" w:hAnsi="Courier New" w:cs="Courier New" w:hint="default"/>
      </w:rPr>
    </w:lvl>
    <w:lvl w:ilvl="2" w:tplc="04240005">
      <w:start w:val="1"/>
      <w:numFmt w:val="bullet"/>
      <w:lvlText w:val=""/>
      <w:lvlJc w:val="left"/>
      <w:pPr>
        <w:ind w:left="2208" w:hanging="360"/>
      </w:pPr>
      <w:rPr>
        <w:rFonts w:ascii="Wingdings" w:hAnsi="Wingdings" w:hint="default"/>
      </w:rPr>
    </w:lvl>
    <w:lvl w:ilvl="3" w:tplc="04240001">
      <w:start w:val="1"/>
      <w:numFmt w:val="bullet"/>
      <w:lvlText w:val=""/>
      <w:lvlJc w:val="left"/>
      <w:pPr>
        <w:ind w:left="2928" w:hanging="360"/>
      </w:pPr>
      <w:rPr>
        <w:rFonts w:ascii="Symbol" w:hAnsi="Symbol" w:hint="default"/>
      </w:rPr>
    </w:lvl>
    <w:lvl w:ilvl="4" w:tplc="04240003">
      <w:start w:val="1"/>
      <w:numFmt w:val="bullet"/>
      <w:lvlText w:val="o"/>
      <w:lvlJc w:val="left"/>
      <w:pPr>
        <w:ind w:left="3648" w:hanging="360"/>
      </w:pPr>
      <w:rPr>
        <w:rFonts w:ascii="Courier New" w:hAnsi="Courier New" w:cs="Courier New" w:hint="default"/>
      </w:rPr>
    </w:lvl>
    <w:lvl w:ilvl="5" w:tplc="04240005">
      <w:start w:val="1"/>
      <w:numFmt w:val="bullet"/>
      <w:lvlText w:val=""/>
      <w:lvlJc w:val="left"/>
      <w:pPr>
        <w:ind w:left="4368" w:hanging="360"/>
      </w:pPr>
      <w:rPr>
        <w:rFonts w:ascii="Wingdings" w:hAnsi="Wingdings" w:hint="default"/>
      </w:rPr>
    </w:lvl>
    <w:lvl w:ilvl="6" w:tplc="04240001">
      <w:start w:val="1"/>
      <w:numFmt w:val="bullet"/>
      <w:lvlText w:val=""/>
      <w:lvlJc w:val="left"/>
      <w:pPr>
        <w:ind w:left="5088" w:hanging="360"/>
      </w:pPr>
      <w:rPr>
        <w:rFonts w:ascii="Symbol" w:hAnsi="Symbol" w:hint="default"/>
      </w:rPr>
    </w:lvl>
    <w:lvl w:ilvl="7" w:tplc="04240003">
      <w:start w:val="1"/>
      <w:numFmt w:val="bullet"/>
      <w:lvlText w:val="o"/>
      <w:lvlJc w:val="left"/>
      <w:pPr>
        <w:ind w:left="5808" w:hanging="360"/>
      </w:pPr>
      <w:rPr>
        <w:rFonts w:ascii="Courier New" w:hAnsi="Courier New" w:cs="Courier New" w:hint="default"/>
      </w:rPr>
    </w:lvl>
    <w:lvl w:ilvl="8" w:tplc="04240005">
      <w:start w:val="1"/>
      <w:numFmt w:val="bullet"/>
      <w:lvlText w:val=""/>
      <w:lvlJc w:val="left"/>
      <w:pPr>
        <w:ind w:left="6528" w:hanging="360"/>
      </w:pPr>
      <w:rPr>
        <w:rFonts w:ascii="Wingdings" w:hAnsi="Wingdings" w:hint="default"/>
      </w:rPr>
    </w:lvl>
  </w:abstractNum>
  <w:abstractNum w:abstractNumId="30" w15:restartNumberingAfterBreak="0">
    <w:nsid w:val="270940F0"/>
    <w:multiLevelType w:val="hybridMultilevel"/>
    <w:tmpl w:val="5B6CB3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76624CD"/>
    <w:multiLevelType w:val="hybridMultilevel"/>
    <w:tmpl w:val="5B6C98E2"/>
    <w:lvl w:ilvl="0" w:tplc="C1406F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296E0D51"/>
    <w:multiLevelType w:val="hybridMultilevel"/>
    <w:tmpl w:val="F3F239E8"/>
    <w:lvl w:ilvl="0" w:tplc="8B8E5C28">
      <w:start w:val="1"/>
      <w:numFmt w:val="bullet"/>
      <w:lvlText w:val="-"/>
      <w:lvlJc w:val="left"/>
      <w:pPr>
        <w:ind w:left="720" w:hanging="360"/>
      </w:pPr>
      <w:rPr>
        <w:rFonts w:ascii="Calibri Light" w:eastAsiaTheme="minorHAnsi" w:hAnsi="Calibri Light" w:cs="Calibri Light"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15:restartNumberingAfterBreak="0">
    <w:nsid w:val="2AC20D50"/>
    <w:multiLevelType w:val="hybridMultilevel"/>
    <w:tmpl w:val="DE10B902"/>
    <w:styleLink w:val="Slog21"/>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DE67B05"/>
    <w:multiLevelType w:val="hybridMultilevel"/>
    <w:tmpl w:val="01EACD64"/>
    <w:lvl w:ilvl="0" w:tplc="F2F8B1AC">
      <w:start w:val="1"/>
      <w:numFmt w:val="decimal"/>
      <w:lvlText w:val="%1."/>
      <w:lvlJc w:val="left"/>
      <w:pPr>
        <w:ind w:left="360" w:hanging="360"/>
      </w:pPr>
      <w:rPr>
        <w:rFonts w:hint="default"/>
        <w:color w:val="auto"/>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35" w15:restartNumberingAfterBreak="0">
    <w:nsid w:val="2E244694"/>
    <w:multiLevelType w:val="hybridMultilevel"/>
    <w:tmpl w:val="9D6231A0"/>
    <w:lvl w:ilvl="0" w:tplc="04240017">
      <w:start w:val="1"/>
      <w:numFmt w:val="lowerLetter"/>
      <w:lvlText w:val="%1)"/>
      <w:lvlJc w:val="left"/>
      <w:pPr>
        <w:tabs>
          <w:tab w:val="num" w:pos="720"/>
        </w:tabs>
        <w:ind w:left="720" w:hanging="360"/>
      </w:pPr>
      <w:rPr>
        <w:rFonts w:hint="default"/>
        <w:sz w:val="20"/>
      </w:rPr>
    </w:lvl>
    <w:lvl w:ilvl="1" w:tplc="D51AFAA8">
      <w:start w:val="1"/>
      <w:numFmt w:val="lowerLetter"/>
      <w:lvlText w:val="%2."/>
      <w:lvlJc w:val="left"/>
      <w:pPr>
        <w:tabs>
          <w:tab w:val="num" w:pos="1440"/>
        </w:tabs>
        <w:ind w:left="1440" w:hanging="360"/>
      </w:pPr>
    </w:lvl>
    <w:lvl w:ilvl="2" w:tplc="85FEC96C">
      <w:start w:val="1"/>
      <w:numFmt w:val="bullet"/>
      <w:lvlText w:val=""/>
      <w:lvlJc w:val="left"/>
      <w:pPr>
        <w:tabs>
          <w:tab w:val="num" w:pos="2160"/>
        </w:tabs>
        <w:ind w:left="2160" w:hanging="360"/>
      </w:pPr>
      <w:rPr>
        <w:rFonts w:ascii="Wingdings" w:hAnsi="Wingdings" w:hint="default"/>
        <w:sz w:val="20"/>
      </w:rPr>
    </w:lvl>
    <w:lvl w:ilvl="3" w:tplc="D87A3C2A" w:tentative="1">
      <w:start w:val="1"/>
      <w:numFmt w:val="bullet"/>
      <w:lvlText w:val=""/>
      <w:lvlJc w:val="left"/>
      <w:pPr>
        <w:tabs>
          <w:tab w:val="num" w:pos="2880"/>
        </w:tabs>
        <w:ind w:left="2880" w:hanging="360"/>
      </w:pPr>
      <w:rPr>
        <w:rFonts w:ascii="Wingdings" w:hAnsi="Wingdings" w:hint="default"/>
        <w:sz w:val="20"/>
      </w:rPr>
    </w:lvl>
    <w:lvl w:ilvl="4" w:tplc="A0BE1DEC" w:tentative="1">
      <w:start w:val="1"/>
      <w:numFmt w:val="bullet"/>
      <w:lvlText w:val=""/>
      <w:lvlJc w:val="left"/>
      <w:pPr>
        <w:tabs>
          <w:tab w:val="num" w:pos="3600"/>
        </w:tabs>
        <w:ind w:left="3600" w:hanging="360"/>
      </w:pPr>
      <w:rPr>
        <w:rFonts w:ascii="Wingdings" w:hAnsi="Wingdings" w:hint="default"/>
        <w:sz w:val="20"/>
      </w:rPr>
    </w:lvl>
    <w:lvl w:ilvl="5" w:tplc="6CCAF4E2" w:tentative="1">
      <w:start w:val="1"/>
      <w:numFmt w:val="bullet"/>
      <w:lvlText w:val=""/>
      <w:lvlJc w:val="left"/>
      <w:pPr>
        <w:tabs>
          <w:tab w:val="num" w:pos="4320"/>
        </w:tabs>
        <w:ind w:left="4320" w:hanging="360"/>
      </w:pPr>
      <w:rPr>
        <w:rFonts w:ascii="Wingdings" w:hAnsi="Wingdings" w:hint="default"/>
        <w:sz w:val="20"/>
      </w:rPr>
    </w:lvl>
    <w:lvl w:ilvl="6" w:tplc="499EAB32" w:tentative="1">
      <w:start w:val="1"/>
      <w:numFmt w:val="bullet"/>
      <w:lvlText w:val=""/>
      <w:lvlJc w:val="left"/>
      <w:pPr>
        <w:tabs>
          <w:tab w:val="num" w:pos="5040"/>
        </w:tabs>
        <w:ind w:left="5040" w:hanging="360"/>
      </w:pPr>
      <w:rPr>
        <w:rFonts w:ascii="Wingdings" w:hAnsi="Wingdings" w:hint="default"/>
        <w:sz w:val="20"/>
      </w:rPr>
    </w:lvl>
    <w:lvl w:ilvl="7" w:tplc="3F949B94" w:tentative="1">
      <w:start w:val="1"/>
      <w:numFmt w:val="bullet"/>
      <w:lvlText w:val=""/>
      <w:lvlJc w:val="left"/>
      <w:pPr>
        <w:tabs>
          <w:tab w:val="num" w:pos="5760"/>
        </w:tabs>
        <w:ind w:left="5760" w:hanging="360"/>
      </w:pPr>
      <w:rPr>
        <w:rFonts w:ascii="Wingdings" w:hAnsi="Wingdings" w:hint="default"/>
        <w:sz w:val="20"/>
      </w:rPr>
    </w:lvl>
    <w:lvl w:ilvl="8" w:tplc="F69C712E"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567ADF"/>
    <w:multiLevelType w:val="hybridMultilevel"/>
    <w:tmpl w:val="8F0091F0"/>
    <w:styleLink w:val="List01"/>
    <w:lvl w:ilvl="0" w:tplc="0D389D9A">
      <w:start w:val="1"/>
      <w:numFmt w:val="decimal"/>
      <w:pStyle w:val="n9TPREDLOGA"/>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33092FF4"/>
    <w:multiLevelType w:val="multilevel"/>
    <w:tmpl w:val="A2F04720"/>
    <w:lvl w:ilvl="0">
      <w:start w:val="667"/>
      <w:numFmt w:val="decimal"/>
      <w:lvlText w:val="%1"/>
      <w:lvlJc w:val="left"/>
      <w:pPr>
        <w:ind w:left="552" w:hanging="552"/>
      </w:pPr>
      <w:rPr>
        <w:rFonts w:hint="default"/>
      </w:rPr>
    </w:lvl>
    <w:lvl w:ilvl="1">
      <w:start w:val="278"/>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4F31DBA"/>
    <w:multiLevelType w:val="hybridMultilevel"/>
    <w:tmpl w:val="6FBE5A80"/>
    <w:lvl w:ilvl="0" w:tplc="D1CC0306">
      <w:start w:val="240"/>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5BA6338"/>
    <w:multiLevelType w:val="hybridMultilevel"/>
    <w:tmpl w:val="3906098A"/>
    <w:lvl w:ilvl="0" w:tplc="A77CB62C">
      <w:start w:val="11"/>
      <w:numFmt w:val="bullet"/>
      <w:lvlText w:val="-"/>
      <w:lvlJc w:val="left"/>
      <w:pPr>
        <w:ind w:left="720" w:hanging="360"/>
      </w:pPr>
      <w:rPr>
        <w:rFonts w:ascii="Cambria" w:eastAsiaTheme="minorHAnsi" w:hAnsi="Cambri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77F2ED4"/>
    <w:multiLevelType w:val="hybridMultilevel"/>
    <w:tmpl w:val="4DFAEA0E"/>
    <w:lvl w:ilvl="0" w:tplc="FFFFFFFF">
      <w:start w:val="1"/>
      <w:numFmt w:val="decimal"/>
      <w:pStyle w:val="PREDLOG0"/>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380E398A"/>
    <w:multiLevelType w:val="hybridMultilevel"/>
    <w:tmpl w:val="21D2B706"/>
    <w:lvl w:ilvl="0" w:tplc="CBF4D7A2">
      <w:numFmt w:val="bullet"/>
      <w:lvlText w:val="-"/>
      <w:lvlJc w:val="left"/>
      <w:rPr>
        <w:rFonts w:ascii="Cambria" w:eastAsia="MS Mincho" w:hAnsi="Cambria" w:cs="Aria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38817D17"/>
    <w:multiLevelType w:val="hybridMultilevel"/>
    <w:tmpl w:val="69EAC81C"/>
    <w:lvl w:ilvl="0" w:tplc="3336E582">
      <w:start w:val="1"/>
      <w:numFmt w:val="decimal"/>
      <w:lvlText w:val="%1."/>
      <w:lvlJc w:val="left"/>
      <w:pPr>
        <w:ind w:left="108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9745F03"/>
    <w:multiLevelType w:val="hybridMultilevel"/>
    <w:tmpl w:val="4D1A77E2"/>
    <w:styleLink w:val="111111111"/>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5" w15:restartNumberingAfterBreak="0">
    <w:nsid w:val="398E3C66"/>
    <w:multiLevelType w:val="hybridMultilevel"/>
    <w:tmpl w:val="AE3A5D22"/>
    <w:lvl w:ilvl="0" w:tplc="9FFC110E">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9E95D4A"/>
    <w:multiLevelType w:val="hybridMultilevel"/>
    <w:tmpl w:val="7862A500"/>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A6F0534"/>
    <w:multiLevelType w:val="hybridMultilevel"/>
    <w:tmpl w:val="8FFC3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C4B52C4"/>
    <w:multiLevelType w:val="hybridMultilevel"/>
    <w:tmpl w:val="3AB81878"/>
    <w:lvl w:ilvl="0" w:tplc="20EECFBE">
      <w:start w:val="1"/>
      <w:numFmt w:val="decimal"/>
      <w:pStyle w:val="Naslov11"/>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49" w15:restartNumberingAfterBreak="0">
    <w:nsid w:val="3CF8448C"/>
    <w:multiLevelType w:val="multilevel"/>
    <w:tmpl w:val="FAAE7592"/>
    <w:lvl w:ilvl="0">
      <w:start w:val="9"/>
      <w:numFmt w:val="decimal"/>
      <w:lvlText w:val="%1.0"/>
      <w:lvlJc w:val="left"/>
      <w:pPr>
        <w:ind w:left="492" w:hanging="492"/>
      </w:pPr>
      <w:rPr>
        <w:rFonts w:hint="default"/>
      </w:rPr>
    </w:lvl>
    <w:lvl w:ilvl="1">
      <w:start w:val="1"/>
      <w:numFmt w:val="decimalZero"/>
      <w:lvlText w:val="%1.%2"/>
      <w:lvlJc w:val="left"/>
      <w:pPr>
        <w:ind w:left="1200" w:hanging="49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0" w15:restartNumberingAfterBreak="0">
    <w:nsid w:val="3F502CC5"/>
    <w:multiLevelType w:val="hybridMultilevel"/>
    <w:tmpl w:val="9A18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6B2690"/>
    <w:multiLevelType w:val="hybridMultilevel"/>
    <w:tmpl w:val="D1A66506"/>
    <w:lvl w:ilvl="0" w:tplc="163EAF7E">
      <w:start w:val="1"/>
      <w:numFmt w:val="decimal"/>
      <w:pStyle w:val="SV"/>
      <w:lvlText w:val="%1."/>
      <w:lvlJc w:val="left"/>
      <w:pPr>
        <w:ind w:left="360" w:hanging="360"/>
      </w:pPr>
      <w:rPr>
        <w:rFonts w:hint="default"/>
        <w:u w:val="none"/>
      </w:r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52" w15:restartNumberingAfterBreak="0">
    <w:nsid w:val="40385FCE"/>
    <w:multiLevelType w:val="hybridMultilevel"/>
    <w:tmpl w:val="004015E8"/>
    <w:lvl w:ilvl="0" w:tplc="6B669812">
      <w:start w:val="1"/>
      <w:numFmt w:val="bullet"/>
      <w:lvlText w:val=""/>
      <w:lvlJc w:val="left"/>
      <w:pPr>
        <w:ind w:left="720" w:hanging="360"/>
      </w:pPr>
      <w:rPr>
        <w:rFonts w:ascii="Symbol" w:hAnsi="Symbol" w:hint="default"/>
      </w:rPr>
    </w:lvl>
    <w:lvl w:ilvl="1" w:tplc="D7B85230">
      <w:numFmt w:val="bullet"/>
      <w:lvlText w:val=""/>
      <w:lvlJc w:val="left"/>
      <w:pPr>
        <w:ind w:left="1440" w:hanging="360"/>
      </w:pPr>
      <w:rPr>
        <w:rFonts w:ascii="Arial Narrow" w:eastAsia="Calibri" w:hAnsi="Arial Narrow"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186703D"/>
    <w:multiLevelType w:val="multilevel"/>
    <w:tmpl w:val="52D2C108"/>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54" w15:restartNumberingAfterBreak="0">
    <w:nsid w:val="41F461C9"/>
    <w:multiLevelType w:val="hybridMultilevel"/>
    <w:tmpl w:val="633A4454"/>
    <w:lvl w:ilvl="0" w:tplc="B3B0F15C">
      <w:start w:val="1"/>
      <w:numFmt w:val="decimal"/>
      <w:pStyle w:val="tpobude"/>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422004EF"/>
    <w:multiLevelType w:val="hybridMultilevel"/>
    <w:tmpl w:val="02D4F1BE"/>
    <w:styleLink w:val="Slog2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431B1D06"/>
    <w:multiLevelType w:val="hybridMultilevel"/>
    <w:tmpl w:val="60087A20"/>
    <w:styleLink w:val="1111113"/>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7" w15:restartNumberingAfterBreak="0">
    <w:nsid w:val="437A647E"/>
    <w:multiLevelType w:val="hybridMultilevel"/>
    <w:tmpl w:val="F4367F7C"/>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3A97D4A"/>
    <w:multiLevelType w:val="hybridMultilevel"/>
    <w:tmpl w:val="9ACE5E40"/>
    <w:lvl w:ilvl="0" w:tplc="8D660AB0">
      <w:numFmt w:val="bullet"/>
      <w:lvlText w:val="-"/>
      <w:lvlJc w:val="left"/>
      <w:pPr>
        <w:ind w:left="360" w:hanging="360"/>
      </w:pPr>
      <w:rPr>
        <w:rFonts w:ascii="Arial Narrow" w:eastAsia="Times New Roman" w:hAnsi="Arial Narrow"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45701EE5"/>
    <w:multiLevelType w:val="hybridMultilevel"/>
    <w:tmpl w:val="AD2ACE5C"/>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15:restartNumberingAfterBreak="0">
    <w:nsid w:val="4C791481"/>
    <w:multiLevelType w:val="hybridMultilevel"/>
    <w:tmpl w:val="BC6890BE"/>
    <w:lvl w:ilvl="0" w:tplc="D4AC5658">
      <w:start w:val="2"/>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4C8A0691"/>
    <w:multiLevelType w:val="hybridMultilevel"/>
    <w:tmpl w:val="118EE67E"/>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4C965733"/>
    <w:multiLevelType w:val="hybridMultilevel"/>
    <w:tmpl w:val="239A3390"/>
    <w:lvl w:ilvl="0" w:tplc="B516B33C">
      <w:numFmt w:val="bullet"/>
      <w:pStyle w:val="Natevanje1"/>
      <w:lvlText w:val=""/>
      <w:lvlJc w:val="left"/>
      <w:pPr>
        <w:tabs>
          <w:tab w:val="num" w:pos="410"/>
        </w:tabs>
        <w:ind w:left="410" w:hanging="360"/>
      </w:pPr>
      <w:rPr>
        <w:rFonts w:ascii="Symbol" w:eastAsia="Times New Roman" w:hAnsi="Symbol" w:cs="Arial Narrow" w:hint="default"/>
        <w:i w:val="0"/>
      </w:rPr>
    </w:lvl>
    <w:lvl w:ilvl="1" w:tplc="04240019" w:tentative="1">
      <w:start w:val="1"/>
      <w:numFmt w:val="bullet"/>
      <w:lvlText w:val="o"/>
      <w:lvlJc w:val="left"/>
      <w:pPr>
        <w:tabs>
          <w:tab w:val="num" w:pos="1490"/>
        </w:tabs>
        <w:ind w:left="1490" w:hanging="360"/>
      </w:pPr>
      <w:rPr>
        <w:rFonts w:ascii="Courier New" w:hAnsi="Courier New" w:cs="Courier New" w:hint="default"/>
      </w:rPr>
    </w:lvl>
    <w:lvl w:ilvl="2" w:tplc="0424001B" w:tentative="1">
      <w:start w:val="1"/>
      <w:numFmt w:val="bullet"/>
      <w:lvlText w:val=""/>
      <w:lvlJc w:val="left"/>
      <w:pPr>
        <w:tabs>
          <w:tab w:val="num" w:pos="2210"/>
        </w:tabs>
        <w:ind w:left="2210" w:hanging="360"/>
      </w:pPr>
      <w:rPr>
        <w:rFonts w:ascii="Wingdings" w:hAnsi="Wingdings" w:hint="default"/>
      </w:rPr>
    </w:lvl>
    <w:lvl w:ilvl="3" w:tplc="0424000F" w:tentative="1">
      <w:start w:val="1"/>
      <w:numFmt w:val="bullet"/>
      <w:lvlText w:val=""/>
      <w:lvlJc w:val="left"/>
      <w:pPr>
        <w:tabs>
          <w:tab w:val="num" w:pos="2930"/>
        </w:tabs>
        <w:ind w:left="2930" w:hanging="360"/>
      </w:pPr>
      <w:rPr>
        <w:rFonts w:ascii="Symbol" w:hAnsi="Symbol" w:hint="default"/>
      </w:rPr>
    </w:lvl>
    <w:lvl w:ilvl="4" w:tplc="04240019" w:tentative="1">
      <w:start w:val="1"/>
      <w:numFmt w:val="bullet"/>
      <w:lvlText w:val="o"/>
      <w:lvlJc w:val="left"/>
      <w:pPr>
        <w:tabs>
          <w:tab w:val="num" w:pos="3650"/>
        </w:tabs>
        <w:ind w:left="3650" w:hanging="360"/>
      </w:pPr>
      <w:rPr>
        <w:rFonts w:ascii="Courier New" w:hAnsi="Courier New" w:cs="Courier New" w:hint="default"/>
      </w:rPr>
    </w:lvl>
    <w:lvl w:ilvl="5" w:tplc="0424001B" w:tentative="1">
      <w:start w:val="1"/>
      <w:numFmt w:val="bullet"/>
      <w:lvlText w:val=""/>
      <w:lvlJc w:val="left"/>
      <w:pPr>
        <w:tabs>
          <w:tab w:val="num" w:pos="4370"/>
        </w:tabs>
        <w:ind w:left="4370" w:hanging="360"/>
      </w:pPr>
      <w:rPr>
        <w:rFonts w:ascii="Wingdings" w:hAnsi="Wingdings" w:hint="default"/>
      </w:rPr>
    </w:lvl>
    <w:lvl w:ilvl="6" w:tplc="0424000F" w:tentative="1">
      <w:start w:val="1"/>
      <w:numFmt w:val="bullet"/>
      <w:lvlText w:val=""/>
      <w:lvlJc w:val="left"/>
      <w:pPr>
        <w:tabs>
          <w:tab w:val="num" w:pos="5090"/>
        </w:tabs>
        <w:ind w:left="5090" w:hanging="360"/>
      </w:pPr>
      <w:rPr>
        <w:rFonts w:ascii="Symbol" w:hAnsi="Symbol" w:hint="default"/>
      </w:rPr>
    </w:lvl>
    <w:lvl w:ilvl="7" w:tplc="04240019" w:tentative="1">
      <w:start w:val="1"/>
      <w:numFmt w:val="bullet"/>
      <w:lvlText w:val="o"/>
      <w:lvlJc w:val="left"/>
      <w:pPr>
        <w:tabs>
          <w:tab w:val="num" w:pos="5810"/>
        </w:tabs>
        <w:ind w:left="5810" w:hanging="360"/>
      </w:pPr>
      <w:rPr>
        <w:rFonts w:ascii="Courier New" w:hAnsi="Courier New" w:cs="Courier New" w:hint="default"/>
      </w:rPr>
    </w:lvl>
    <w:lvl w:ilvl="8" w:tplc="0424001B" w:tentative="1">
      <w:start w:val="1"/>
      <w:numFmt w:val="bullet"/>
      <w:lvlText w:val=""/>
      <w:lvlJc w:val="left"/>
      <w:pPr>
        <w:tabs>
          <w:tab w:val="num" w:pos="6530"/>
        </w:tabs>
        <w:ind w:left="6530" w:hanging="360"/>
      </w:pPr>
      <w:rPr>
        <w:rFonts w:ascii="Wingdings" w:hAnsi="Wingdings" w:hint="default"/>
      </w:rPr>
    </w:lvl>
  </w:abstractNum>
  <w:abstractNum w:abstractNumId="63" w15:restartNumberingAfterBreak="0">
    <w:nsid w:val="50AB7439"/>
    <w:multiLevelType w:val="hybridMultilevel"/>
    <w:tmpl w:val="3FBEDE90"/>
    <w:lvl w:ilvl="0" w:tplc="9EA46306">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4C42060"/>
    <w:multiLevelType w:val="hybridMultilevel"/>
    <w:tmpl w:val="D5B8921A"/>
    <w:lvl w:ilvl="0" w:tplc="C92E793E">
      <w:start w:val="101"/>
      <w:numFmt w:val="bullet"/>
      <w:lvlText w:val="-"/>
      <w:lvlJc w:val="left"/>
      <w:pPr>
        <w:ind w:left="360" w:hanging="360"/>
      </w:pPr>
      <w:rPr>
        <w:rFonts w:ascii="Cambria" w:eastAsia="Times New Roman" w:hAnsi="Cambria"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54E50DBD"/>
    <w:multiLevelType w:val="hybridMultilevel"/>
    <w:tmpl w:val="6DA6076A"/>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B17505A"/>
    <w:multiLevelType w:val="hybridMultilevel"/>
    <w:tmpl w:val="A43E64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386480E"/>
    <w:multiLevelType w:val="hybridMultilevel"/>
    <w:tmpl w:val="ECA88FC6"/>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3CB24F2"/>
    <w:multiLevelType w:val="multilevel"/>
    <w:tmpl w:val="116CB79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Arial Narrow" w:eastAsia="Times New Roman" w:hAnsi="Arial Narrow" w:cs="Times New Roman"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15:restartNumberingAfterBreak="0">
    <w:nsid w:val="64B23BF0"/>
    <w:multiLevelType w:val="hybridMultilevel"/>
    <w:tmpl w:val="37C846CA"/>
    <w:lvl w:ilvl="0" w:tplc="A77CB62C">
      <w:start w:val="11"/>
      <w:numFmt w:val="bullet"/>
      <w:lvlText w:val="-"/>
      <w:lvlJc w:val="left"/>
      <w:pPr>
        <w:ind w:left="720" w:hanging="360"/>
      </w:pPr>
      <w:rPr>
        <w:rFonts w:ascii="Cambria" w:eastAsiaTheme="minorHAnsi" w:hAnsi="Cambri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5B22DDE"/>
    <w:multiLevelType w:val="hybridMultilevel"/>
    <w:tmpl w:val="AEF0C20A"/>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65BB7C15"/>
    <w:multiLevelType w:val="multilevel"/>
    <w:tmpl w:val="729AFC42"/>
    <w:styleLink w:val="Slog2"/>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62E3104"/>
    <w:multiLevelType w:val="hybridMultilevel"/>
    <w:tmpl w:val="12F212CA"/>
    <w:lvl w:ilvl="0" w:tplc="65ACCCD8">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68222D2A"/>
    <w:multiLevelType w:val="hybridMultilevel"/>
    <w:tmpl w:val="A78084D2"/>
    <w:lvl w:ilvl="0" w:tplc="FFFFFFFF">
      <w:start w:val="1"/>
      <w:numFmt w:val="bullet"/>
      <w:lvlText w:val="-"/>
      <w:lvlJc w:val="left"/>
      <w:pPr>
        <w:tabs>
          <w:tab w:val="num" w:pos="410"/>
        </w:tabs>
        <w:ind w:left="410" w:hanging="360"/>
      </w:pPr>
      <w:rPr>
        <w:rFonts w:ascii="Arial Narrow" w:eastAsia="Times New Roman" w:hAnsi="Arial Narrow" w:cs="Times New Roman" w:hint="default"/>
        <w:i w:val="0"/>
      </w:rPr>
    </w:lvl>
    <w:lvl w:ilvl="1" w:tplc="0424000F">
      <w:start w:val="1"/>
      <w:numFmt w:val="decimal"/>
      <w:lvlText w:val="%2."/>
      <w:lvlJc w:val="left"/>
      <w:pPr>
        <w:tabs>
          <w:tab w:val="num" w:pos="1490"/>
        </w:tabs>
        <w:ind w:left="1490" w:hanging="360"/>
      </w:pPr>
      <w:rPr>
        <w:rFonts w:hint="default"/>
        <w:i w:val="0"/>
      </w:rPr>
    </w:lvl>
    <w:lvl w:ilvl="2" w:tplc="FFFFFFFF" w:tentative="1">
      <w:start w:val="1"/>
      <w:numFmt w:val="bullet"/>
      <w:lvlText w:val=""/>
      <w:lvlJc w:val="left"/>
      <w:pPr>
        <w:tabs>
          <w:tab w:val="num" w:pos="2210"/>
        </w:tabs>
        <w:ind w:left="2210" w:hanging="360"/>
      </w:pPr>
      <w:rPr>
        <w:rFonts w:ascii="Wingdings" w:hAnsi="Wingdings" w:hint="default"/>
      </w:rPr>
    </w:lvl>
    <w:lvl w:ilvl="3" w:tplc="FFFFFFFF" w:tentative="1">
      <w:start w:val="1"/>
      <w:numFmt w:val="bullet"/>
      <w:lvlText w:val=""/>
      <w:lvlJc w:val="left"/>
      <w:pPr>
        <w:tabs>
          <w:tab w:val="num" w:pos="2930"/>
        </w:tabs>
        <w:ind w:left="2930" w:hanging="360"/>
      </w:pPr>
      <w:rPr>
        <w:rFonts w:ascii="Symbol" w:hAnsi="Symbol" w:hint="default"/>
      </w:rPr>
    </w:lvl>
    <w:lvl w:ilvl="4" w:tplc="FFFFFFFF" w:tentative="1">
      <w:start w:val="1"/>
      <w:numFmt w:val="bullet"/>
      <w:lvlText w:val="o"/>
      <w:lvlJc w:val="left"/>
      <w:pPr>
        <w:tabs>
          <w:tab w:val="num" w:pos="3650"/>
        </w:tabs>
        <w:ind w:left="3650" w:hanging="360"/>
      </w:pPr>
      <w:rPr>
        <w:rFonts w:ascii="Courier New" w:hAnsi="Courier New" w:cs="Courier New" w:hint="default"/>
      </w:rPr>
    </w:lvl>
    <w:lvl w:ilvl="5" w:tplc="FFFFFFFF" w:tentative="1">
      <w:start w:val="1"/>
      <w:numFmt w:val="bullet"/>
      <w:lvlText w:val=""/>
      <w:lvlJc w:val="left"/>
      <w:pPr>
        <w:tabs>
          <w:tab w:val="num" w:pos="4370"/>
        </w:tabs>
        <w:ind w:left="4370" w:hanging="360"/>
      </w:pPr>
      <w:rPr>
        <w:rFonts w:ascii="Wingdings" w:hAnsi="Wingdings" w:hint="default"/>
      </w:rPr>
    </w:lvl>
    <w:lvl w:ilvl="6" w:tplc="FFFFFFFF" w:tentative="1">
      <w:start w:val="1"/>
      <w:numFmt w:val="bullet"/>
      <w:lvlText w:val=""/>
      <w:lvlJc w:val="left"/>
      <w:pPr>
        <w:tabs>
          <w:tab w:val="num" w:pos="5090"/>
        </w:tabs>
        <w:ind w:left="5090" w:hanging="360"/>
      </w:pPr>
      <w:rPr>
        <w:rFonts w:ascii="Symbol" w:hAnsi="Symbol" w:hint="default"/>
      </w:rPr>
    </w:lvl>
    <w:lvl w:ilvl="7" w:tplc="FFFFFFFF" w:tentative="1">
      <w:start w:val="1"/>
      <w:numFmt w:val="bullet"/>
      <w:lvlText w:val="o"/>
      <w:lvlJc w:val="left"/>
      <w:pPr>
        <w:tabs>
          <w:tab w:val="num" w:pos="5810"/>
        </w:tabs>
        <w:ind w:left="5810" w:hanging="360"/>
      </w:pPr>
      <w:rPr>
        <w:rFonts w:ascii="Courier New" w:hAnsi="Courier New" w:cs="Courier New" w:hint="default"/>
      </w:rPr>
    </w:lvl>
    <w:lvl w:ilvl="8" w:tplc="FFFFFFFF" w:tentative="1">
      <w:start w:val="1"/>
      <w:numFmt w:val="bullet"/>
      <w:lvlText w:val=""/>
      <w:lvlJc w:val="left"/>
      <w:pPr>
        <w:tabs>
          <w:tab w:val="num" w:pos="6530"/>
        </w:tabs>
        <w:ind w:left="6530" w:hanging="360"/>
      </w:pPr>
      <w:rPr>
        <w:rFonts w:ascii="Wingdings" w:hAnsi="Wingdings" w:hint="default"/>
      </w:rPr>
    </w:lvl>
  </w:abstractNum>
  <w:abstractNum w:abstractNumId="74" w15:restartNumberingAfterBreak="0">
    <w:nsid w:val="688635C1"/>
    <w:multiLevelType w:val="hybridMultilevel"/>
    <w:tmpl w:val="EAA67690"/>
    <w:lvl w:ilvl="0" w:tplc="22BCFF38">
      <w:numFmt w:val="bullet"/>
      <w:lvlText w:val="-"/>
      <w:lvlJc w:val="left"/>
      <w:pPr>
        <w:tabs>
          <w:tab w:val="num" w:pos="720"/>
        </w:tabs>
        <w:ind w:left="720" w:hanging="360"/>
      </w:pPr>
      <w:rPr>
        <w:rFonts w:ascii="Arial Narrow" w:eastAsia="Calibri" w:hAnsi="Arial Narrow" w:cs="Calibri" w:hint="default"/>
        <w:sz w:val="20"/>
      </w:rPr>
    </w:lvl>
    <w:lvl w:ilvl="1" w:tplc="22BCFF38">
      <w:numFmt w:val="bullet"/>
      <w:lvlText w:val="-"/>
      <w:lvlJc w:val="left"/>
      <w:pPr>
        <w:tabs>
          <w:tab w:val="num" w:pos="1440"/>
        </w:tabs>
        <w:ind w:left="1440" w:hanging="360"/>
      </w:pPr>
      <w:rPr>
        <w:rFonts w:ascii="Arial Narrow" w:eastAsia="Calibri" w:hAnsi="Arial Narrow" w:cs="Calibri" w:hint="default"/>
      </w:rPr>
    </w:lvl>
    <w:lvl w:ilvl="2" w:tplc="85FEC96C" w:tentative="1">
      <w:start w:val="1"/>
      <w:numFmt w:val="bullet"/>
      <w:lvlText w:val=""/>
      <w:lvlJc w:val="left"/>
      <w:pPr>
        <w:tabs>
          <w:tab w:val="num" w:pos="2160"/>
        </w:tabs>
        <w:ind w:left="2160" w:hanging="360"/>
      </w:pPr>
      <w:rPr>
        <w:rFonts w:ascii="Wingdings" w:hAnsi="Wingdings" w:hint="default"/>
        <w:sz w:val="20"/>
      </w:rPr>
    </w:lvl>
    <w:lvl w:ilvl="3" w:tplc="D87A3C2A" w:tentative="1">
      <w:start w:val="1"/>
      <w:numFmt w:val="bullet"/>
      <w:lvlText w:val=""/>
      <w:lvlJc w:val="left"/>
      <w:pPr>
        <w:tabs>
          <w:tab w:val="num" w:pos="2880"/>
        </w:tabs>
        <w:ind w:left="2880" w:hanging="360"/>
      </w:pPr>
      <w:rPr>
        <w:rFonts w:ascii="Wingdings" w:hAnsi="Wingdings" w:hint="default"/>
        <w:sz w:val="20"/>
      </w:rPr>
    </w:lvl>
    <w:lvl w:ilvl="4" w:tplc="A0BE1DEC" w:tentative="1">
      <w:start w:val="1"/>
      <w:numFmt w:val="bullet"/>
      <w:lvlText w:val=""/>
      <w:lvlJc w:val="left"/>
      <w:pPr>
        <w:tabs>
          <w:tab w:val="num" w:pos="3600"/>
        </w:tabs>
        <w:ind w:left="3600" w:hanging="360"/>
      </w:pPr>
      <w:rPr>
        <w:rFonts w:ascii="Wingdings" w:hAnsi="Wingdings" w:hint="default"/>
        <w:sz w:val="20"/>
      </w:rPr>
    </w:lvl>
    <w:lvl w:ilvl="5" w:tplc="6CCAF4E2" w:tentative="1">
      <w:start w:val="1"/>
      <w:numFmt w:val="bullet"/>
      <w:lvlText w:val=""/>
      <w:lvlJc w:val="left"/>
      <w:pPr>
        <w:tabs>
          <w:tab w:val="num" w:pos="4320"/>
        </w:tabs>
        <w:ind w:left="4320" w:hanging="360"/>
      </w:pPr>
      <w:rPr>
        <w:rFonts w:ascii="Wingdings" w:hAnsi="Wingdings" w:hint="default"/>
        <w:sz w:val="20"/>
      </w:rPr>
    </w:lvl>
    <w:lvl w:ilvl="6" w:tplc="499EAB32" w:tentative="1">
      <w:start w:val="1"/>
      <w:numFmt w:val="bullet"/>
      <w:lvlText w:val=""/>
      <w:lvlJc w:val="left"/>
      <w:pPr>
        <w:tabs>
          <w:tab w:val="num" w:pos="5040"/>
        </w:tabs>
        <w:ind w:left="5040" w:hanging="360"/>
      </w:pPr>
      <w:rPr>
        <w:rFonts w:ascii="Wingdings" w:hAnsi="Wingdings" w:hint="default"/>
        <w:sz w:val="20"/>
      </w:rPr>
    </w:lvl>
    <w:lvl w:ilvl="7" w:tplc="3F949B94" w:tentative="1">
      <w:start w:val="1"/>
      <w:numFmt w:val="bullet"/>
      <w:lvlText w:val=""/>
      <w:lvlJc w:val="left"/>
      <w:pPr>
        <w:tabs>
          <w:tab w:val="num" w:pos="5760"/>
        </w:tabs>
        <w:ind w:left="5760" w:hanging="360"/>
      </w:pPr>
      <w:rPr>
        <w:rFonts w:ascii="Wingdings" w:hAnsi="Wingdings" w:hint="default"/>
        <w:sz w:val="20"/>
      </w:rPr>
    </w:lvl>
    <w:lvl w:ilvl="8" w:tplc="F69C712E"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9813E8B"/>
    <w:multiLevelType w:val="hybridMultilevel"/>
    <w:tmpl w:val="2EB404EE"/>
    <w:lvl w:ilvl="0" w:tplc="6B6698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6B526FC7"/>
    <w:multiLevelType w:val="hybridMultilevel"/>
    <w:tmpl w:val="BC74217E"/>
    <w:lvl w:ilvl="0" w:tplc="B65EBC2E">
      <w:start w:val="3"/>
      <w:numFmt w:val="bullet"/>
      <w:lvlText w:val="-"/>
      <w:lvlJc w:val="left"/>
      <w:pPr>
        <w:ind w:left="360" w:hanging="360"/>
      </w:pPr>
      <w:rPr>
        <w:rFonts w:ascii="Arial Narrow" w:eastAsiaTheme="minorHAnsi" w:hAnsi="Arial Narrow"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6C4F5521"/>
    <w:multiLevelType w:val="hybridMultilevel"/>
    <w:tmpl w:val="523C1694"/>
    <w:lvl w:ilvl="0" w:tplc="D4AC5658">
      <w:start w:val="2"/>
      <w:numFmt w:val="bullet"/>
      <w:lvlText w:val="-"/>
      <w:lvlJc w:val="left"/>
      <w:pPr>
        <w:ind w:left="360" w:hanging="360"/>
      </w:pPr>
      <w:rPr>
        <w:rFonts w:ascii="Arial Narrow" w:eastAsia="Times New Roman" w:hAnsi="Arial Narrow"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6F30490D"/>
    <w:multiLevelType w:val="multilevel"/>
    <w:tmpl w:val="49D85E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7215569C"/>
    <w:multiLevelType w:val="hybridMultilevel"/>
    <w:tmpl w:val="F1E0C0EC"/>
    <w:lvl w:ilvl="0" w:tplc="9B801310">
      <w:start w:val="56"/>
      <w:numFmt w:val="decimal"/>
      <w:lvlText w:val="%1."/>
      <w:lvlJc w:val="left"/>
      <w:pPr>
        <w:ind w:left="720" w:hanging="360"/>
      </w:pPr>
      <w:rPr>
        <w:rFonts w:eastAsia="Calibri" w:hint="default"/>
        <w:b w:val="0"/>
        <w:i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746C1E20"/>
    <w:multiLevelType w:val="hybridMultilevel"/>
    <w:tmpl w:val="F1A60720"/>
    <w:lvl w:ilvl="0" w:tplc="6B669812">
      <w:start w:val="1"/>
      <w:numFmt w:val="bullet"/>
      <w:lvlText w:val=""/>
      <w:lvlJc w:val="left"/>
      <w:pPr>
        <w:ind w:left="720" w:hanging="360"/>
      </w:pPr>
      <w:rPr>
        <w:rFonts w:ascii="Symbol" w:hAnsi="Symbol" w:hint="default"/>
      </w:rPr>
    </w:lvl>
    <w:lvl w:ilvl="1" w:tplc="D72E9C26">
      <w:numFmt w:val="bullet"/>
      <w:lvlText w:val="-"/>
      <w:lvlJc w:val="left"/>
      <w:pPr>
        <w:ind w:left="1440" w:hanging="360"/>
      </w:pPr>
      <w:rPr>
        <w:rFonts w:ascii="Arial Narrow" w:eastAsia="Calibri" w:hAnsi="Arial Narrow"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75674696"/>
    <w:multiLevelType w:val="multilevel"/>
    <w:tmpl w:val="49D85E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78ED01AC"/>
    <w:multiLevelType w:val="hybridMultilevel"/>
    <w:tmpl w:val="976A3EDC"/>
    <w:lvl w:ilvl="0" w:tplc="C818D082">
      <w:start w:val="1"/>
      <w:numFmt w:val="decimal"/>
      <w:pStyle w:val="ZZZS"/>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3" w15:restartNumberingAfterBreak="0">
    <w:nsid w:val="795F0A49"/>
    <w:multiLevelType w:val="hybridMultilevel"/>
    <w:tmpl w:val="93D85700"/>
    <w:lvl w:ilvl="0" w:tplc="A77CB62C">
      <w:start w:val="11"/>
      <w:numFmt w:val="bullet"/>
      <w:lvlText w:val="-"/>
      <w:lvlJc w:val="left"/>
      <w:pPr>
        <w:ind w:left="1080" w:hanging="360"/>
      </w:pPr>
      <w:rPr>
        <w:rFonts w:ascii="Cambria" w:eastAsiaTheme="minorHAnsi" w:hAnsi="Cambria"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4" w15:restartNumberingAfterBreak="0">
    <w:nsid w:val="7BAC3A83"/>
    <w:multiLevelType w:val="multilevel"/>
    <w:tmpl w:val="737E42C4"/>
    <w:lvl w:ilvl="0">
      <w:start w:val="1"/>
      <w:numFmt w:val="decimal"/>
      <w:lvlText w:val="%1"/>
      <w:lvlJc w:val="left"/>
      <w:pPr>
        <w:tabs>
          <w:tab w:val="num" w:pos="360"/>
        </w:tabs>
        <w:ind w:left="360" w:hanging="360"/>
      </w:pPr>
      <w:rPr>
        <w:rFonts w:cs="Times New Roman" w:hint="default"/>
      </w:rPr>
    </w:lvl>
    <w:lvl w:ilvl="1">
      <w:start w:val="1"/>
      <w:numFmt w:val="decimal"/>
      <w:pStyle w:val="drugi"/>
      <w:lvlText w:val="%1.%2"/>
      <w:lvlJc w:val="left"/>
      <w:pPr>
        <w:tabs>
          <w:tab w:val="num" w:pos="612"/>
        </w:tabs>
        <w:ind w:left="612" w:hanging="432"/>
      </w:pPr>
      <w:rPr>
        <w:rFonts w:ascii="Tahoma" w:hAnsi="Tahoma" w:cs="Times New Roman" w:hint="default"/>
        <w:b/>
        <w:i w:val="0"/>
        <w:color w:val="auto"/>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5" w15:restartNumberingAfterBreak="0">
    <w:nsid w:val="7C3E186B"/>
    <w:multiLevelType w:val="hybridMultilevel"/>
    <w:tmpl w:val="0E8086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7D4D3BAB"/>
    <w:multiLevelType w:val="hybridMultilevel"/>
    <w:tmpl w:val="4CA84F86"/>
    <w:lvl w:ilvl="0" w:tplc="FFFFFFFF">
      <w:start w:val="1"/>
      <w:numFmt w:val="decimal"/>
      <w:pStyle w:val="vpraanjeSSZS"/>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5"/>
  </w:num>
  <w:num w:numId="2">
    <w:abstractNumId w:val="33"/>
  </w:num>
  <w:num w:numId="3">
    <w:abstractNumId w:val="56"/>
  </w:num>
  <w:num w:numId="4">
    <w:abstractNumId w:val="42"/>
  </w:num>
  <w:num w:numId="5">
    <w:abstractNumId w:val="5"/>
  </w:num>
  <w:num w:numId="6">
    <w:abstractNumId w:val="44"/>
    <w:lvlOverride w:ilvl="0">
      <w:startOverride w:val="1"/>
    </w:lvlOverride>
  </w:num>
  <w:num w:numId="7">
    <w:abstractNumId w:val="9"/>
  </w:num>
  <w:num w:numId="8">
    <w:abstractNumId w:val="18"/>
  </w:num>
  <w:num w:numId="9">
    <w:abstractNumId w:val="13"/>
  </w:num>
  <w:num w:numId="10">
    <w:abstractNumId w:val="40"/>
  </w:num>
  <w:num w:numId="11">
    <w:abstractNumId w:val="8"/>
  </w:num>
  <w:num w:numId="12">
    <w:abstractNumId w:val="82"/>
  </w:num>
  <w:num w:numId="13">
    <w:abstractNumId w:val="84"/>
  </w:num>
  <w:num w:numId="14">
    <w:abstractNumId w:val="17"/>
  </w:num>
  <w:num w:numId="15">
    <w:abstractNumId w:val="36"/>
  </w:num>
  <w:num w:numId="16">
    <w:abstractNumId w:val="6"/>
  </w:num>
  <w:num w:numId="17">
    <w:abstractNumId w:val="54"/>
  </w:num>
  <w:num w:numId="18">
    <w:abstractNumId w:val="28"/>
  </w:num>
  <w:num w:numId="19">
    <w:abstractNumId w:val="27"/>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51"/>
  </w:num>
  <w:num w:numId="23">
    <w:abstractNumId w:val="12"/>
  </w:num>
  <w:num w:numId="24">
    <w:abstractNumId w:val="71"/>
  </w:num>
  <w:num w:numId="25">
    <w:abstractNumId w:val="11"/>
  </w:num>
  <w:num w:numId="26">
    <w:abstractNumId w:val="62"/>
  </w:num>
  <w:num w:numId="27">
    <w:abstractNumId w:val="34"/>
  </w:num>
  <w:num w:numId="28">
    <w:abstractNumId w:val="64"/>
  </w:num>
  <w:num w:numId="29">
    <w:abstractNumId w:val="69"/>
  </w:num>
  <w:num w:numId="30">
    <w:abstractNumId w:val="25"/>
  </w:num>
  <w:num w:numId="31">
    <w:abstractNumId w:val="23"/>
  </w:num>
  <w:num w:numId="32">
    <w:abstractNumId w:val="32"/>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83"/>
  </w:num>
  <w:num w:numId="37">
    <w:abstractNumId w:val="39"/>
  </w:num>
  <w:num w:numId="38">
    <w:abstractNumId w:val="47"/>
  </w:num>
  <w:num w:numId="39">
    <w:abstractNumId w:val="41"/>
  </w:num>
  <w:num w:numId="40">
    <w:abstractNumId w:val="43"/>
  </w:num>
  <w:num w:numId="41">
    <w:abstractNumId w:val="29"/>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66"/>
  </w:num>
  <w:num w:numId="45">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38"/>
  </w:num>
  <w:num w:numId="48">
    <w:abstractNumId w:val="4"/>
  </w:num>
  <w:num w:numId="49">
    <w:abstractNumId w:val="3"/>
  </w:num>
  <w:num w:numId="50">
    <w:abstractNumId w:val="20"/>
  </w:num>
  <w:num w:numId="51">
    <w:abstractNumId w:val="73"/>
  </w:num>
  <w:num w:numId="52">
    <w:abstractNumId w:val="74"/>
  </w:num>
  <w:num w:numId="53">
    <w:abstractNumId w:val="35"/>
  </w:num>
  <w:num w:numId="54">
    <w:abstractNumId w:val="60"/>
  </w:num>
  <w:num w:numId="55">
    <w:abstractNumId w:val="77"/>
  </w:num>
  <w:num w:numId="56">
    <w:abstractNumId w:val="70"/>
  </w:num>
  <w:num w:numId="57">
    <w:abstractNumId w:val="7"/>
  </w:num>
  <w:num w:numId="58">
    <w:abstractNumId w:val="22"/>
  </w:num>
  <w:num w:numId="59">
    <w:abstractNumId w:val="67"/>
  </w:num>
  <w:num w:numId="60">
    <w:abstractNumId w:val="10"/>
  </w:num>
  <w:num w:numId="61">
    <w:abstractNumId w:val="52"/>
  </w:num>
  <w:num w:numId="62">
    <w:abstractNumId w:val="19"/>
  </w:num>
  <w:num w:numId="63">
    <w:abstractNumId w:val="80"/>
  </w:num>
  <w:num w:numId="64">
    <w:abstractNumId w:val="61"/>
  </w:num>
  <w:num w:numId="65">
    <w:abstractNumId w:val="65"/>
  </w:num>
  <w:num w:numId="66">
    <w:abstractNumId w:val="21"/>
  </w:num>
  <w:num w:numId="67">
    <w:abstractNumId w:val="75"/>
  </w:num>
  <w:num w:numId="68">
    <w:abstractNumId w:val="46"/>
  </w:num>
  <w:num w:numId="69">
    <w:abstractNumId w:val="57"/>
  </w:num>
  <w:num w:numId="70">
    <w:abstractNumId w:val="14"/>
  </w:num>
  <w:num w:numId="71">
    <w:abstractNumId w:val="63"/>
  </w:num>
  <w:num w:numId="72">
    <w:abstractNumId w:val="24"/>
  </w:num>
  <w:num w:numId="73">
    <w:abstractNumId w:val="50"/>
  </w:num>
  <w:num w:numId="74">
    <w:abstractNumId w:val="0"/>
  </w:num>
  <w:num w:numId="75">
    <w:abstractNumId w:val="58"/>
  </w:num>
  <w:num w:numId="76">
    <w:abstractNumId w:val="45"/>
  </w:num>
  <w:num w:numId="77">
    <w:abstractNumId w:val="15"/>
  </w:num>
  <w:num w:numId="78">
    <w:abstractNumId w:val="16"/>
  </w:num>
  <w:num w:numId="79">
    <w:abstractNumId w:val="31"/>
  </w:num>
  <w:num w:numId="80">
    <w:abstractNumId w:val="76"/>
  </w:num>
  <w:num w:numId="81">
    <w:abstractNumId w:val="53"/>
  </w:num>
  <w:num w:numId="82">
    <w:abstractNumId w:val="72"/>
  </w:num>
  <w:num w:numId="83">
    <w:abstractNumId w:val="26"/>
  </w:num>
  <w:num w:numId="84">
    <w:abstractNumId w:val="30"/>
  </w:num>
  <w:num w:numId="85">
    <w:abstractNumId w:val="85"/>
  </w:num>
  <w:num w:numId="86">
    <w:abstractNumId w:val="59"/>
  </w:num>
  <w:num w:numId="87">
    <w:abstractNumId w:val="49"/>
  </w:num>
  <w:num w:numId="88">
    <w:abstractNumId w:val="7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9932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92"/>
    <w:rsid w:val="000033B2"/>
    <w:rsid w:val="0000645E"/>
    <w:rsid w:val="00006B85"/>
    <w:rsid w:val="00010917"/>
    <w:rsid w:val="00012897"/>
    <w:rsid w:val="00014404"/>
    <w:rsid w:val="0001602C"/>
    <w:rsid w:val="00020040"/>
    <w:rsid w:val="00020416"/>
    <w:rsid w:val="00023A88"/>
    <w:rsid w:val="000248FF"/>
    <w:rsid w:val="00024B5E"/>
    <w:rsid w:val="00027BC4"/>
    <w:rsid w:val="0003056F"/>
    <w:rsid w:val="00030E7C"/>
    <w:rsid w:val="00031225"/>
    <w:rsid w:val="000353CD"/>
    <w:rsid w:val="0004194E"/>
    <w:rsid w:val="000429C8"/>
    <w:rsid w:val="00046762"/>
    <w:rsid w:val="000472E3"/>
    <w:rsid w:val="00047609"/>
    <w:rsid w:val="000502D6"/>
    <w:rsid w:val="00053525"/>
    <w:rsid w:val="0006119D"/>
    <w:rsid w:val="0006147D"/>
    <w:rsid w:val="000620F6"/>
    <w:rsid w:val="0006563D"/>
    <w:rsid w:val="000657F6"/>
    <w:rsid w:val="00066109"/>
    <w:rsid w:val="000711DF"/>
    <w:rsid w:val="000806E1"/>
    <w:rsid w:val="000819C3"/>
    <w:rsid w:val="00084F96"/>
    <w:rsid w:val="00085EBE"/>
    <w:rsid w:val="000953A1"/>
    <w:rsid w:val="000964E5"/>
    <w:rsid w:val="000A1522"/>
    <w:rsid w:val="000A1FC4"/>
    <w:rsid w:val="000A237B"/>
    <w:rsid w:val="000A316C"/>
    <w:rsid w:val="000A4782"/>
    <w:rsid w:val="000A71FF"/>
    <w:rsid w:val="000A7238"/>
    <w:rsid w:val="000B10C6"/>
    <w:rsid w:val="000B56E1"/>
    <w:rsid w:val="000C0CA0"/>
    <w:rsid w:val="000C3D6A"/>
    <w:rsid w:val="000D4412"/>
    <w:rsid w:val="000D790B"/>
    <w:rsid w:val="000E0638"/>
    <w:rsid w:val="000E13B9"/>
    <w:rsid w:val="000E2788"/>
    <w:rsid w:val="000E5636"/>
    <w:rsid w:val="000F19EF"/>
    <w:rsid w:val="000F255D"/>
    <w:rsid w:val="000F558F"/>
    <w:rsid w:val="000F77BB"/>
    <w:rsid w:val="00101B0B"/>
    <w:rsid w:val="00101E4B"/>
    <w:rsid w:val="00105A22"/>
    <w:rsid w:val="00105A3B"/>
    <w:rsid w:val="00107DC6"/>
    <w:rsid w:val="00113960"/>
    <w:rsid w:val="00114511"/>
    <w:rsid w:val="00114B48"/>
    <w:rsid w:val="00115268"/>
    <w:rsid w:val="00120697"/>
    <w:rsid w:val="00124917"/>
    <w:rsid w:val="001357B2"/>
    <w:rsid w:val="0013660B"/>
    <w:rsid w:val="00136BD1"/>
    <w:rsid w:val="00140D3A"/>
    <w:rsid w:val="00140E37"/>
    <w:rsid w:val="00143110"/>
    <w:rsid w:val="001459C0"/>
    <w:rsid w:val="001462B3"/>
    <w:rsid w:val="0015213C"/>
    <w:rsid w:val="0015276A"/>
    <w:rsid w:val="0015520F"/>
    <w:rsid w:val="001564EC"/>
    <w:rsid w:val="001641CA"/>
    <w:rsid w:val="00165FA7"/>
    <w:rsid w:val="0016774B"/>
    <w:rsid w:val="00171578"/>
    <w:rsid w:val="0017177A"/>
    <w:rsid w:val="00172420"/>
    <w:rsid w:val="00172AA6"/>
    <w:rsid w:val="00172C1D"/>
    <w:rsid w:val="0017478F"/>
    <w:rsid w:val="00192DE0"/>
    <w:rsid w:val="00197609"/>
    <w:rsid w:val="001A0990"/>
    <w:rsid w:val="001A4E13"/>
    <w:rsid w:val="001A6178"/>
    <w:rsid w:val="001A644F"/>
    <w:rsid w:val="001A7E36"/>
    <w:rsid w:val="001B429A"/>
    <w:rsid w:val="001B4C90"/>
    <w:rsid w:val="001C013E"/>
    <w:rsid w:val="001C2145"/>
    <w:rsid w:val="001C40CE"/>
    <w:rsid w:val="001C5D94"/>
    <w:rsid w:val="001C7AAD"/>
    <w:rsid w:val="001D0816"/>
    <w:rsid w:val="001D1927"/>
    <w:rsid w:val="001D24BA"/>
    <w:rsid w:val="001D3D0A"/>
    <w:rsid w:val="001D4226"/>
    <w:rsid w:val="001E0BEA"/>
    <w:rsid w:val="001E2E23"/>
    <w:rsid w:val="001E3D06"/>
    <w:rsid w:val="001E4115"/>
    <w:rsid w:val="001E45B0"/>
    <w:rsid w:val="001E6684"/>
    <w:rsid w:val="001F29B4"/>
    <w:rsid w:val="001F2B79"/>
    <w:rsid w:val="001F3E8E"/>
    <w:rsid w:val="001F6ACD"/>
    <w:rsid w:val="001F6BD3"/>
    <w:rsid w:val="001F7459"/>
    <w:rsid w:val="00200894"/>
    <w:rsid w:val="00201366"/>
    <w:rsid w:val="00201CAA"/>
    <w:rsid w:val="00202345"/>
    <w:rsid w:val="00202A77"/>
    <w:rsid w:val="002050A0"/>
    <w:rsid w:val="0020578C"/>
    <w:rsid w:val="00205E58"/>
    <w:rsid w:val="00211074"/>
    <w:rsid w:val="0021387F"/>
    <w:rsid w:val="00217B65"/>
    <w:rsid w:val="00217EBF"/>
    <w:rsid w:val="00220404"/>
    <w:rsid w:val="00221148"/>
    <w:rsid w:val="002269CE"/>
    <w:rsid w:val="00230750"/>
    <w:rsid w:val="00233ACE"/>
    <w:rsid w:val="00234949"/>
    <w:rsid w:val="00234C6D"/>
    <w:rsid w:val="00237D63"/>
    <w:rsid w:val="002413D7"/>
    <w:rsid w:val="00241A6D"/>
    <w:rsid w:val="00242B66"/>
    <w:rsid w:val="0024438D"/>
    <w:rsid w:val="00246EAC"/>
    <w:rsid w:val="00250482"/>
    <w:rsid w:val="00257E92"/>
    <w:rsid w:val="002672EE"/>
    <w:rsid w:val="002706B7"/>
    <w:rsid w:val="00271CE5"/>
    <w:rsid w:val="00274007"/>
    <w:rsid w:val="00274AC0"/>
    <w:rsid w:val="002773C3"/>
    <w:rsid w:val="00282020"/>
    <w:rsid w:val="0028277D"/>
    <w:rsid w:val="00285DCE"/>
    <w:rsid w:val="002903BE"/>
    <w:rsid w:val="002911CB"/>
    <w:rsid w:val="0029348B"/>
    <w:rsid w:val="00295A31"/>
    <w:rsid w:val="002960F9"/>
    <w:rsid w:val="002A2B69"/>
    <w:rsid w:val="002A3725"/>
    <w:rsid w:val="002B0E6F"/>
    <w:rsid w:val="002B0FA0"/>
    <w:rsid w:val="002B130A"/>
    <w:rsid w:val="002B1BB8"/>
    <w:rsid w:val="002C063B"/>
    <w:rsid w:val="002C350C"/>
    <w:rsid w:val="002C5659"/>
    <w:rsid w:val="002D2534"/>
    <w:rsid w:val="002D5139"/>
    <w:rsid w:val="002D5F50"/>
    <w:rsid w:val="002E2CF3"/>
    <w:rsid w:val="002E3266"/>
    <w:rsid w:val="002E6385"/>
    <w:rsid w:val="002E6852"/>
    <w:rsid w:val="002E7D76"/>
    <w:rsid w:val="002F0F9E"/>
    <w:rsid w:val="002F11B8"/>
    <w:rsid w:val="002F5439"/>
    <w:rsid w:val="002F5531"/>
    <w:rsid w:val="002F7370"/>
    <w:rsid w:val="003000D7"/>
    <w:rsid w:val="00301494"/>
    <w:rsid w:val="00302E9B"/>
    <w:rsid w:val="003131DA"/>
    <w:rsid w:val="003153CE"/>
    <w:rsid w:val="0031561C"/>
    <w:rsid w:val="00316BFB"/>
    <w:rsid w:val="00321DC4"/>
    <w:rsid w:val="00325D55"/>
    <w:rsid w:val="0034070A"/>
    <w:rsid w:val="0034131F"/>
    <w:rsid w:val="003429B4"/>
    <w:rsid w:val="00343368"/>
    <w:rsid w:val="00344ACB"/>
    <w:rsid w:val="00345219"/>
    <w:rsid w:val="00346825"/>
    <w:rsid w:val="00357F86"/>
    <w:rsid w:val="00360CF6"/>
    <w:rsid w:val="00361134"/>
    <w:rsid w:val="003636BF"/>
    <w:rsid w:val="00370AF4"/>
    <w:rsid w:val="00371442"/>
    <w:rsid w:val="003758BB"/>
    <w:rsid w:val="00377C5F"/>
    <w:rsid w:val="003845B4"/>
    <w:rsid w:val="00386021"/>
    <w:rsid w:val="00387B1A"/>
    <w:rsid w:val="00394899"/>
    <w:rsid w:val="00397828"/>
    <w:rsid w:val="00397929"/>
    <w:rsid w:val="003A28FC"/>
    <w:rsid w:val="003A3376"/>
    <w:rsid w:val="003A435B"/>
    <w:rsid w:val="003B2663"/>
    <w:rsid w:val="003B31BE"/>
    <w:rsid w:val="003B7201"/>
    <w:rsid w:val="003C1D78"/>
    <w:rsid w:val="003C422A"/>
    <w:rsid w:val="003C5EE5"/>
    <w:rsid w:val="003C62CC"/>
    <w:rsid w:val="003C75B0"/>
    <w:rsid w:val="003D377B"/>
    <w:rsid w:val="003D4F81"/>
    <w:rsid w:val="003D5E82"/>
    <w:rsid w:val="003D657B"/>
    <w:rsid w:val="003E0910"/>
    <w:rsid w:val="003E1C74"/>
    <w:rsid w:val="003E2A26"/>
    <w:rsid w:val="003E4247"/>
    <w:rsid w:val="003E6BA7"/>
    <w:rsid w:val="003F211C"/>
    <w:rsid w:val="003F53D7"/>
    <w:rsid w:val="003F58A3"/>
    <w:rsid w:val="003F6B72"/>
    <w:rsid w:val="00405826"/>
    <w:rsid w:val="00406310"/>
    <w:rsid w:val="004118AC"/>
    <w:rsid w:val="00411DB9"/>
    <w:rsid w:val="0041430A"/>
    <w:rsid w:val="00414F11"/>
    <w:rsid w:val="00415573"/>
    <w:rsid w:val="004211F3"/>
    <w:rsid w:val="00422091"/>
    <w:rsid w:val="00422194"/>
    <w:rsid w:val="00423167"/>
    <w:rsid w:val="00424B7E"/>
    <w:rsid w:val="004256A1"/>
    <w:rsid w:val="00425F71"/>
    <w:rsid w:val="00427C71"/>
    <w:rsid w:val="00437C8A"/>
    <w:rsid w:val="004404EF"/>
    <w:rsid w:val="004420CE"/>
    <w:rsid w:val="00442757"/>
    <w:rsid w:val="00442FA9"/>
    <w:rsid w:val="004441DD"/>
    <w:rsid w:val="004501AE"/>
    <w:rsid w:val="00450B26"/>
    <w:rsid w:val="004519B9"/>
    <w:rsid w:val="004533A6"/>
    <w:rsid w:val="0046113F"/>
    <w:rsid w:val="004641E2"/>
    <w:rsid w:val="004657EE"/>
    <w:rsid w:val="00465E97"/>
    <w:rsid w:val="0046784D"/>
    <w:rsid w:val="00470CBD"/>
    <w:rsid w:val="00473E6E"/>
    <w:rsid w:val="004757BF"/>
    <w:rsid w:val="00484DCD"/>
    <w:rsid w:val="00487C03"/>
    <w:rsid w:val="00490843"/>
    <w:rsid w:val="004936C2"/>
    <w:rsid w:val="00494B1F"/>
    <w:rsid w:val="00497554"/>
    <w:rsid w:val="004A035B"/>
    <w:rsid w:val="004A23BD"/>
    <w:rsid w:val="004A677C"/>
    <w:rsid w:val="004A6961"/>
    <w:rsid w:val="004B7021"/>
    <w:rsid w:val="004B7A41"/>
    <w:rsid w:val="004C4167"/>
    <w:rsid w:val="004C628B"/>
    <w:rsid w:val="004C6F8A"/>
    <w:rsid w:val="004C74CC"/>
    <w:rsid w:val="004C7C9C"/>
    <w:rsid w:val="004E33E9"/>
    <w:rsid w:val="004E4944"/>
    <w:rsid w:val="004F0517"/>
    <w:rsid w:val="00504987"/>
    <w:rsid w:val="00504EA6"/>
    <w:rsid w:val="005056B1"/>
    <w:rsid w:val="00512584"/>
    <w:rsid w:val="0051375F"/>
    <w:rsid w:val="00513B59"/>
    <w:rsid w:val="0051508B"/>
    <w:rsid w:val="005208D5"/>
    <w:rsid w:val="005258BD"/>
    <w:rsid w:val="00526246"/>
    <w:rsid w:val="00530CDD"/>
    <w:rsid w:val="005359AA"/>
    <w:rsid w:val="005367D1"/>
    <w:rsid w:val="005412DB"/>
    <w:rsid w:val="00545425"/>
    <w:rsid w:val="00545AAE"/>
    <w:rsid w:val="00547672"/>
    <w:rsid w:val="00547972"/>
    <w:rsid w:val="00554D0E"/>
    <w:rsid w:val="00563541"/>
    <w:rsid w:val="00564857"/>
    <w:rsid w:val="00565A27"/>
    <w:rsid w:val="00565F77"/>
    <w:rsid w:val="00566190"/>
    <w:rsid w:val="00566249"/>
    <w:rsid w:val="0056704E"/>
    <w:rsid w:val="00567106"/>
    <w:rsid w:val="00567E48"/>
    <w:rsid w:val="00570254"/>
    <w:rsid w:val="0057192F"/>
    <w:rsid w:val="00576CF1"/>
    <w:rsid w:val="00576EE7"/>
    <w:rsid w:val="0058282C"/>
    <w:rsid w:val="00585344"/>
    <w:rsid w:val="0058715E"/>
    <w:rsid w:val="0058762B"/>
    <w:rsid w:val="00590908"/>
    <w:rsid w:val="00591357"/>
    <w:rsid w:val="0059167B"/>
    <w:rsid w:val="005A0BA9"/>
    <w:rsid w:val="005A7DA2"/>
    <w:rsid w:val="005A7F90"/>
    <w:rsid w:val="005B0B4B"/>
    <w:rsid w:val="005B180B"/>
    <w:rsid w:val="005B1BDF"/>
    <w:rsid w:val="005B44C8"/>
    <w:rsid w:val="005B60F4"/>
    <w:rsid w:val="005C035C"/>
    <w:rsid w:val="005C39D7"/>
    <w:rsid w:val="005C5B4B"/>
    <w:rsid w:val="005C6B65"/>
    <w:rsid w:val="005C6DEF"/>
    <w:rsid w:val="005C7CDA"/>
    <w:rsid w:val="005D35B2"/>
    <w:rsid w:val="005D642F"/>
    <w:rsid w:val="005E1D3C"/>
    <w:rsid w:val="005E2C99"/>
    <w:rsid w:val="005E2E59"/>
    <w:rsid w:val="005E3FB2"/>
    <w:rsid w:val="005E4BEA"/>
    <w:rsid w:val="005F2BC1"/>
    <w:rsid w:val="005F4996"/>
    <w:rsid w:val="005F74E2"/>
    <w:rsid w:val="00601316"/>
    <w:rsid w:val="00601ECC"/>
    <w:rsid w:val="00604ACA"/>
    <w:rsid w:val="00605456"/>
    <w:rsid w:val="006057B4"/>
    <w:rsid w:val="00606198"/>
    <w:rsid w:val="006075A9"/>
    <w:rsid w:val="006075FB"/>
    <w:rsid w:val="0061311E"/>
    <w:rsid w:val="00614328"/>
    <w:rsid w:val="00616B0F"/>
    <w:rsid w:val="00623C22"/>
    <w:rsid w:val="00625306"/>
    <w:rsid w:val="00625AE6"/>
    <w:rsid w:val="00627C2D"/>
    <w:rsid w:val="006310D1"/>
    <w:rsid w:val="00632253"/>
    <w:rsid w:val="006329CD"/>
    <w:rsid w:val="00634243"/>
    <w:rsid w:val="00642714"/>
    <w:rsid w:val="006455CE"/>
    <w:rsid w:val="00646AA7"/>
    <w:rsid w:val="00647DA1"/>
    <w:rsid w:val="00650658"/>
    <w:rsid w:val="0065401A"/>
    <w:rsid w:val="0065417A"/>
    <w:rsid w:val="00655841"/>
    <w:rsid w:val="00656D48"/>
    <w:rsid w:val="00657867"/>
    <w:rsid w:val="00661B8B"/>
    <w:rsid w:val="0066705C"/>
    <w:rsid w:val="00667457"/>
    <w:rsid w:val="00675067"/>
    <w:rsid w:val="00675652"/>
    <w:rsid w:val="00676801"/>
    <w:rsid w:val="00677A29"/>
    <w:rsid w:val="00681074"/>
    <w:rsid w:val="00682EFF"/>
    <w:rsid w:val="00684DBE"/>
    <w:rsid w:val="0068548F"/>
    <w:rsid w:val="006856E7"/>
    <w:rsid w:val="00687F05"/>
    <w:rsid w:val="00690A6C"/>
    <w:rsid w:val="0069152F"/>
    <w:rsid w:val="00692030"/>
    <w:rsid w:val="00693056"/>
    <w:rsid w:val="00694F4A"/>
    <w:rsid w:val="0069619F"/>
    <w:rsid w:val="0069764E"/>
    <w:rsid w:val="006A2B6A"/>
    <w:rsid w:val="006A32D9"/>
    <w:rsid w:val="006A40CA"/>
    <w:rsid w:val="006B0BB8"/>
    <w:rsid w:val="006B28D4"/>
    <w:rsid w:val="006B44B9"/>
    <w:rsid w:val="006B4E4C"/>
    <w:rsid w:val="006B4FC9"/>
    <w:rsid w:val="006B6031"/>
    <w:rsid w:val="006B7A60"/>
    <w:rsid w:val="006C10DD"/>
    <w:rsid w:val="006C1F2E"/>
    <w:rsid w:val="006C2F24"/>
    <w:rsid w:val="006C3D21"/>
    <w:rsid w:val="006C5068"/>
    <w:rsid w:val="006C5EB4"/>
    <w:rsid w:val="006C7C9E"/>
    <w:rsid w:val="006D0A29"/>
    <w:rsid w:val="006D3C84"/>
    <w:rsid w:val="006D4358"/>
    <w:rsid w:val="006D7FDB"/>
    <w:rsid w:val="006E37CF"/>
    <w:rsid w:val="006E69D4"/>
    <w:rsid w:val="006F12D8"/>
    <w:rsid w:val="006F2C89"/>
    <w:rsid w:val="00700659"/>
    <w:rsid w:val="00702338"/>
    <w:rsid w:val="007025D2"/>
    <w:rsid w:val="00707D97"/>
    <w:rsid w:val="00715A45"/>
    <w:rsid w:val="00716C93"/>
    <w:rsid w:val="00716F64"/>
    <w:rsid w:val="00731EB1"/>
    <w:rsid w:val="00732AEC"/>
    <w:rsid w:val="00733017"/>
    <w:rsid w:val="00734682"/>
    <w:rsid w:val="007349A4"/>
    <w:rsid w:val="00734BF1"/>
    <w:rsid w:val="00734DCD"/>
    <w:rsid w:val="007359D4"/>
    <w:rsid w:val="00736A15"/>
    <w:rsid w:val="007374AF"/>
    <w:rsid w:val="00737B64"/>
    <w:rsid w:val="00737DB7"/>
    <w:rsid w:val="00740967"/>
    <w:rsid w:val="00744231"/>
    <w:rsid w:val="00746192"/>
    <w:rsid w:val="00750E1D"/>
    <w:rsid w:val="007535BC"/>
    <w:rsid w:val="00753C99"/>
    <w:rsid w:val="00754780"/>
    <w:rsid w:val="00756C37"/>
    <w:rsid w:val="00761346"/>
    <w:rsid w:val="00767012"/>
    <w:rsid w:val="007677D1"/>
    <w:rsid w:val="00770099"/>
    <w:rsid w:val="00770199"/>
    <w:rsid w:val="0077390F"/>
    <w:rsid w:val="00773A59"/>
    <w:rsid w:val="00780A31"/>
    <w:rsid w:val="00783310"/>
    <w:rsid w:val="0078572E"/>
    <w:rsid w:val="00797D1E"/>
    <w:rsid w:val="00797E9F"/>
    <w:rsid w:val="007A4A6D"/>
    <w:rsid w:val="007A6BD9"/>
    <w:rsid w:val="007A7482"/>
    <w:rsid w:val="007B233B"/>
    <w:rsid w:val="007B6756"/>
    <w:rsid w:val="007B6C9A"/>
    <w:rsid w:val="007B77E2"/>
    <w:rsid w:val="007C4C28"/>
    <w:rsid w:val="007C5ECD"/>
    <w:rsid w:val="007C7B37"/>
    <w:rsid w:val="007D1BCF"/>
    <w:rsid w:val="007D417D"/>
    <w:rsid w:val="007D75CF"/>
    <w:rsid w:val="007E0440"/>
    <w:rsid w:val="007E222C"/>
    <w:rsid w:val="007E308C"/>
    <w:rsid w:val="007E3AD4"/>
    <w:rsid w:val="007E6929"/>
    <w:rsid w:val="007E6993"/>
    <w:rsid w:val="007E6DC5"/>
    <w:rsid w:val="007E717C"/>
    <w:rsid w:val="007E7EFA"/>
    <w:rsid w:val="007F360F"/>
    <w:rsid w:val="007F431D"/>
    <w:rsid w:val="00801ED4"/>
    <w:rsid w:val="008048C8"/>
    <w:rsid w:val="008052DE"/>
    <w:rsid w:val="00805F86"/>
    <w:rsid w:val="00814CFC"/>
    <w:rsid w:val="00815EC3"/>
    <w:rsid w:val="00817CFF"/>
    <w:rsid w:val="008206A5"/>
    <w:rsid w:val="00821368"/>
    <w:rsid w:val="00821D7E"/>
    <w:rsid w:val="00822332"/>
    <w:rsid w:val="00823A3D"/>
    <w:rsid w:val="008248F0"/>
    <w:rsid w:val="00824964"/>
    <w:rsid w:val="0082604C"/>
    <w:rsid w:val="00830452"/>
    <w:rsid w:val="00830ECC"/>
    <w:rsid w:val="0084080C"/>
    <w:rsid w:val="00841D12"/>
    <w:rsid w:val="00842522"/>
    <w:rsid w:val="00846F7E"/>
    <w:rsid w:val="0085180C"/>
    <w:rsid w:val="00851D8E"/>
    <w:rsid w:val="00852A4E"/>
    <w:rsid w:val="008532CE"/>
    <w:rsid w:val="00854C3D"/>
    <w:rsid w:val="0086013D"/>
    <w:rsid w:val="00861DD6"/>
    <w:rsid w:val="008623D2"/>
    <w:rsid w:val="00866B9F"/>
    <w:rsid w:val="008671ED"/>
    <w:rsid w:val="00871B04"/>
    <w:rsid w:val="00871BB8"/>
    <w:rsid w:val="0087323F"/>
    <w:rsid w:val="00877E04"/>
    <w:rsid w:val="00877E4E"/>
    <w:rsid w:val="0088043C"/>
    <w:rsid w:val="00881D3A"/>
    <w:rsid w:val="00883F6D"/>
    <w:rsid w:val="00884889"/>
    <w:rsid w:val="00885F93"/>
    <w:rsid w:val="008906C9"/>
    <w:rsid w:val="008946FE"/>
    <w:rsid w:val="00896107"/>
    <w:rsid w:val="00896FF9"/>
    <w:rsid w:val="008A0417"/>
    <w:rsid w:val="008A192D"/>
    <w:rsid w:val="008A1B6F"/>
    <w:rsid w:val="008A7246"/>
    <w:rsid w:val="008B12BF"/>
    <w:rsid w:val="008B6B01"/>
    <w:rsid w:val="008B75A0"/>
    <w:rsid w:val="008C46F6"/>
    <w:rsid w:val="008C56D7"/>
    <w:rsid w:val="008C5738"/>
    <w:rsid w:val="008D04F0"/>
    <w:rsid w:val="008D1E97"/>
    <w:rsid w:val="008D4FA1"/>
    <w:rsid w:val="008D6B93"/>
    <w:rsid w:val="008D6C94"/>
    <w:rsid w:val="008E606C"/>
    <w:rsid w:val="008F0493"/>
    <w:rsid w:val="008F15E5"/>
    <w:rsid w:val="008F1BAE"/>
    <w:rsid w:val="008F3500"/>
    <w:rsid w:val="008F3A01"/>
    <w:rsid w:val="009006E1"/>
    <w:rsid w:val="0090315A"/>
    <w:rsid w:val="00903BC3"/>
    <w:rsid w:val="00905664"/>
    <w:rsid w:val="00910B7A"/>
    <w:rsid w:val="00915E00"/>
    <w:rsid w:val="009163C7"/>
    <w:rsid w:val="00924E3C"/>
    <w:rsid w:val="00931185"/>
    <w:rsid w:val="00931189"/>
    <w:rsid w:val="00933478"/>
    <w:rsid w:val="009403BA"/>
    <w:rsid w:val="00943492"/>
    <w:rsid w:val="00944C8E"/>
    <w:rsid w:val="0094571B"/>
    <w:rsid w:val="00951299"/>
    <w:rsid w:val="00953240"/>
    <w:rsid w:val="00954B7C"/>
    <w:rsid w:val="00955869"/>
    <w:rsid w:val="00956FF8"/>
    <w:rsid w:val="009612BB"/>
    <w:rsid w:val="00971056"/>
    <w:rsid w:val="009722A5"/>
    <w:rsid w:val="00974982"/>
    <w:rsid w:val="009761BC"/>
    <w:rsid w:val="00981936"/>
    <w:rsid w:val="00983107"/>
    <w:rsid w:val="00990218"/>
    <w:rsid w:val="00991616"/>
    <w:rsid w:val="009952E6"/>
    <w:rsid w:val="0099737B"/>
    <w:rsid w:val="009A04D6"/>
    <w:rsid w:val="009A0D1E"/>
    <w:rsid w:val="009A2BAD"/>
    <w:rsid w:val="009A3A40"/>
    <w:rsid w:val="009A4F54"/>
    <w:rsid w:val="009A5C56"/>
    <w:rsid w:val="009B0066"/>
    <w:rsid w:val="009B0D0E"/>
    <w:rsid w:val="009B239F"/>
    <w:rsid w:val="009B2D26"/>
    <w:rsid w:val="009B3561"/>
    <w:rsid w:val="009B4297"/>
    <w:rsid w:val="009B5155"/>
    <w:rsid w:val="009B5FB4"/>
    <w:rsid w:val="009B618A"/>
    <w:rsid w:val="009B723E"/>
    <w:rsid w:val="009C24D5"/>
    <w:rsid w:val="009C46E1"/>
    <w:rsid w:val="009C5FAE"/>
    <w:rsid w:val="009C6C9D"/>
    <w:rsid w:val="009C740A"/>
    <w:rsid w:val="009C7F73"/>
    <w:rsid w:val="009D2A5A"/>
    <w:rsid w:val="009E099E"/>
    <w:rsid w:val="009E256B"/>
    <w:rsid w:val="009E3091"/>
    <w:rsid w:val="009E4EC7"/>
    <w:rsid w:val="009E6DC4"/>
    <w:rsid w:val="009E74D3"/>
    <w:rsid w:val="009F2A30"/>
    <w:rsid w:val="009F3DAA"/>
    <w:rsid w:val="00A0374E"/>
    <w:rsid w:val="00A0482E"/>
    <w:rsid w:val="00A05523"/>
    <w:rsid w:val="00A06E6D"/>
    <w:rsid w:val="00A118D8"/>
    <w:rsid w:val="00A125C5"/>
    <w:rsid w:val="00A175A9"/>
    <w:rsid w:val="00A209B4"/>
    <w:rsid w:val="00A2451C"/>
    <w:rsid w:val="00A25123"/>
    <w:rsid w:val="00A304AE"/>
    <w:rsid w:val="00A31998"/>
    <w:rsid w:val="00A31D9C"/>
    <w:rsid w:val="00A31E75"/>
    <w:rsid w:val="00A36B61"/>
    <w:rsid w:val="00A37E66"/>
    <w:rsid w:val="00A43FFB"/>
    <w:rsid w:val="00A44A9A"/>
    <w:rsid w:val="00A450D2"/>
    <w:rsid w:val="00A47F24"/>
    <w:rsid w:val="00A500D6"/>
    <w:rsid w:val="00A50274"/>
    <w:rsid w:val="00A57EED"/>
    <w:rsid w:val="00A63B50"/>
    <w:rsid w:val="00A6412D"/>
    <w:rsid w:val="00A65EE7"/>
    <w:rsid w:val="00A70133"/>
    <w:rsid w:val="00A7164C"/>
    <w:rsid w:val="00A7213C"/>
    <w:rsid w:val="00A72E20"/>
    <w:rsid w:val="00A73A42"/>
    <w:rsid w:val="00A746EB"/>
    <w:rsid w:val="00A770A6"/>
    <w:rsid w:val="00A80E02"/>
    <w:rsid w:val="00A813B1"/>
    <w:rsid w:val="00A8424D"/>
    <w:rsid w:val="00A84D9E"/>
    <w:rsid w:val="00A85AB6"/>
    <w:rsid w:val="00A865B2"/>
    <w:rsid w:val="00A87435"/>
    <w:rsid w:val="00A87F6B"/>
    <w:rsid w:val="00A87FA5"/>
    <w:rsid w:val="00A962F3"/>
    <w:rsid w:val="00A96E31"/>
    <w:rsid w:val="00AB36C4"/>
    <w:rsid w:val="00AB3EC9"/>
    <w:rsid w:val="00AB46B7"/>
    <w:rsid w:val="00AB525F"/>
    <w:rsid w:val="00AB7B52"/>
    <w:rsid w:val="00AC09A8"/>
    <w:rsid w:val="00AC32B2"/>
    <w:rsid w:val="00AD0565"/>
    <w:rsid w:val="00AD386F"/>
    <w:rsid w:val="00AD3F36"/>
    <w:rsid w:val="00AD5C06"/>
    <w:rsid w:val="00AD66ED"/>
    <w:rsid w:val="00AD7DF3"/>
    <w:rsid w:val="00AE0766"/>
    <w:rsid w:val="00AE33D3"/>
    <w:rsid w:val="00AE38F4"/>
    <w:rsid w:val="00AE5D80"/>
    <w:rsid w:val="00AF0B74"/>
    <w:rsid w:val="00AF7BD7"/>
    <w:rsid w:val="00B05315"/>
    <w:rsid w:val="00B06D00"/>
    <w:rsid w:val="00B1114A"/>
    <w:rsid w:val="00B1288C"/>
    <w:rsid w:val="00B15FA4"/>
    <w:rsid w:val="00B17141"/>
    <w:rsid w:val="00B21DEA"/>
    <w:rsid w:val="00B24970"/>
    <w:rsid w:val="00B24E72"/>
    <w:rsid w:val="00B25A7A"/>
    <w:rsid w:val="00B2732E"/>
    <w:rsid w:val="00B31575"/>
    <w:rsid w:val="00B3323B"/>
    <w:rsid w:val="00B364C7"/>
    <w:rsid w:val="00B40DB5"/>
    <w:rsid w:val="00B455C7"/>
    <w:rsid w:val="00B47492"/>
    <w:rsid w:val="00B51052"/>
    <w:rsid w:val="00B5134D"/>
    <w:rsid w:val="00B5151E"/>
    <w:rsid w:val="00B555E8"/>
    <w:rsid w:val="00B5787B"/>
    <w:rsid w:val="00B635A7"/>
    <w:rsid w:val="00B642D2"/>
    <w:rsid w:val="00B71176"/>
    <w:rsid w:val="00B752CD"/>
    <w:rsid w:val="00B76976"/>
    <w:rsid w:val="00B803C8"/>
    <w:rsid w:val="00B8547D"/>
    <w:rsid w:val="00B8732D"/>
    <w:rsid w:val="00B91807"/>
    <w:rsid w:val="00B918A4"/>
    <w:rsid w:val="00B95236"/>
    <w:rsid w:val="00B962CF"/>
    <w:rsid w:val="00B96BB4"/>
    <w:rsid w:val="00B96BBA"/>
    <w:rsid w:val="00BA2EB3"/>
    <w:rsid w:val="00BA5F89"/>
    <w:rsid w:val="00BA601D"/>
    <w:rsid w:val="00BB30BE"/>
    <w:rsid w:val="00BB3A63"/>
    <w:rsid w:val="00BB4421"/>
    <w:rsid w:val="00BB45DF"/>
    <w:rsid w:val="00BC67CD"/>
    <w:rsid w:val="00BC716F"/>
    <w:rsid w:val="00BD45F6"/>
    <w:rsid w:val="00BE5D1E"/>
    <w:rsid w:val="00BE6EB9"/>
    <w:rsid w:val="00BF1B67"/>
    <w:rsid w:val="00BF6272"/>
    <w:rsid w:val="00C0162A"/>
    <w:rsid w:val="00C039B8"/>
    <w:rsid w:val="00C03EE0"/>
    <w:rsid w:val="00C043A0"/>
    <w:rsid w:val="00C06AFA"/>
    <w:rsid w:val="00C06C56"/>
    <w:rsid w:val="00C07023"/>
    <w:rsid w:val="00C11719"/>
    <w:rsid w:val="00C13E13"/>
    <w:rsid w:val="00C15D14"/>
    <w:rsid w:val="00C16B70"/>
    <w:rsid w:val="00C21885"/>
    <w:rsid w:val="00C250D5"/>
    <w:rsid w:val="00C25E28"/>
    <w:rsid w:val="00C306A1"/>
    <w:rsid w:val="00C32B24"/>
    <w:rsid w:val="00C35666"/>
    <w:rsid w:val="00C4101D"/>
    <w:rsid w:val="00C43CF0"/>
    <w:rsid w:val="00C4472F"/>
    <w:rsid w:val="00C45419"/>
    <w:rsid w:val="00C45A6F"/>
    <w:rsid w:val="00C46AD7"/>
    <w:rsid w:val="00C46DF5"/>
    <w:rsid w:val="00C533A9"/>
    <w:rsid w:val="00C56AF6"/>
    <w:rsid w:val="00C57F55"/>
    <w:rsid w:val="00C602CB"/>
    <w:rsid w:val="00C60A63"/>
    <w:rsid w:val="00C61C4A"/>
    <w:rsid w:val="00C64799"/>
    <w:rsid w:val="00C657CD"/>
    <w:rsid w:val="00C65A28"/>
    <w:rsid w:val="00C7272F"/>
    <w:rsid w:val="00C7326E"/>
    <w:rsid w:val="00C75605"/>
    <w:rsid w:val="00C80501"/>
    <w:rsid w:val="00C80CCE"/>
    <w:rsid w:val="00C815F8"/>
    <w:rsid w:val="00C83117"/>
    <w:rsid w:val="00C8620B"/>
    <w:rsid w:val="00C870CE"/>
    <w:rsid w:val="00C912FF"/>
    <w:rsid w:val="00C91409"/>
    <w:rsid w:val="00C91CFC"/>
    <w:rsid w:val="00C922B7"/>
    <w:rsid w:val="00C92348"/>
    <w:rsid w:val="00C92898"/>
    <w:rsid w:val="00CA1F7B"/>
    <w:rsid w:val="00CA2FE4"/>
    <w:rsid w:val="00CA4340"/>
    <w:rsid w:val="00CA53DE"/>
    <w:rsid w:val="00CA71FC"/>
    <w:rsid w:val="00CB09F3"/>
    <w:rsid w:val="00CB4AAF"/>
    <w:rsid w:val="00CB5955"/>
    <w:rsid w:val="00CC1BBF"/>
    <w:rsid w:val="00CC1D0D"/>
    <w:rsid w:val="00CC2D9A"/>
    <w:rsid w:val="00CC68A2"/>
    <w:rsid w:val="00CC7FFA"/>
    <w:rsid w:val="00CD7F49"/>
    <w:rsid w:val="00CE1617"/>
    <w:rsid w:val="00CE1AE5"/>
    <w:rsid w:val="00CE2098"/>
    <w:rsid w:val="00CE23BE"/>
    <w:rsid w:val="00CE2B29"/>
    <w:rsid w:val="00CE38B9"/>
    <w:rsid w:val="00CE4949"/>
    <w:rsid w:val="00CE5238"/>
    <w:rsid w:val="00CE6BD3"/>
    <w:rsid w:val="00CE7514"/>
    <w:rsid w:val="00CF21D5"/>
    <w:rsid w:val="00CF22EE"/>
    <w:rsid w:val="00D00F2F"/>
    <w:rsid w:val="00D01BE5"/>
    <w:rsid w:val="00D05CC1"/>
    <w:rsid w:val="00D104F7"/>
    <w:rsid w:val="00D12D18"/>
    <w:rsid w:val="00D177AC"/>
    <w:rsid w:val="00D2009F"/>
    <w:rsid w:val="00D248DE"/>
    <w:rsid w:val="00D25C05"/>
    <w:rsid w:val="00D35E34"/>
    <w:rsid w:val="00D41451"/>
    <w:rsid w:val="00D41862"/>
    <w:rsid w:val="00D42361"/>
    <w:rsid w:val="00D44187"/>
    <w:rsid w:val="00D464DA"/>
    <w:rsid w:val="00D50344"/>
    <w:rsid w:val="00D54548"/>
    <w:rsid w:val="00D557C2"/>
    <w:rsid w:val="00D60319"/>
    <w:rsid w:val="00D61667"/>
    <w:rsid w:val="00D6315D"/>
    <w:rsid w:val="00D63CD8"/>
    <w:rsid w:val="00D72694"/>
    <w:rsid w:val="00D775A2"/>
    <w:rsid w:val="00D77798"/>
    <w:rsid w:val="00D77B8C"/>
    <w:rsid w:val="00D83977"/>
    <w:rsid w:val="00D84A76"/>
    <w:rsid w:val="00D8542D"/>
    <w:rsid w:val="00D86B99"/>
    <w:rsid w:val="00D86DC5"/>
    <w:rsid w:val="00D90E70"/>
    <w:rsid w:val="00D92048"/>
    <w:rsid w:val="00D92134"/>
    <w:rsid w:val="00D94474"/>
    <w:rsid w:val="00DA29D6"/>
    <w:rsid w:val="00DB050E"/>
    <w:rsid w:val="00DB72D5"/>
    <w:rsid w:val="00DC2305"/>
    <w:rsid w:val="00DC37BC"/>
    <w:rsid w:val="00DC3E97"/>
    <w:rsid w:val="00DC4BA6"/>
    <w:rsid w:val="00DC6855"/>
    <w:rsid w:val="00DC6A71"/>
    <w:rsid w:val="00DD0B96"/>
    <w:rsid w:val="00DD5D7F"/>
    <w:rsid w:val="00DE2AED"/>
    <w:rsid w:val="00DF01A2"/>
    <w:rsid w:val="00DF0DEC"/>
    <w:rsid w:val="00E007CD"/>
    <w:rsid w:val="00E01A66"/>
    <w:rsid w:val="00E0357D"/>
    <w:rsid w:val="00E07FDB"/>
    <w:rsid w:val="00E15BD2"/>
    <w:rsid w:val="00E169B9"/>
    <w:rsid w:val="00E234AF"/>
    <w:rsid w:val="00E234E1"/>
    <w:rsid w:val="00E26E15"/>
    <w:rsid w:val="00E3691B"/>
    <w:rsid w:val="00E40242"/>
    <w:rsid w:val="00E42FF6"/>
    <w:rsid w:val="00E4324A"/>
    <w:rsid w:val="00E44F87"/>
    <w:rsid w:val="00E45331"/>
    <w:rsid w:val="00E460EF"/>
    <w:rsid w:val="00E50766"/>
    <w:rsid w:val="00E51171"/>
    <w:rsid w:val="00E53671"/>
    <w:rsid w:val="00E5419B"/>
    <w:rsid w:val="00E54319"/>
    <w:rsid w:val="00E548C3"/>
    <w:rsid w:val="00E6124B"/>
    <w:rsid w:val="00E634E7"/>
    <w:rsid w:val="00E6444F"/>
    <w:rsid w:val="00E708CF"/>
    <w:rsid w:val="00E71505"/>
    <w:rsid w:val="00E741B7"/>
    <w:rsid w:val="00E77EDE"/>
    <w:rsid w:val="00E82B4D"/>
    <w:rsid w:val="00E86BF0"/>
    <w:rsid w:val="00E90B8E"/>
    <w:rsid w:val="00E90D38"/>
    <w:rsid w:val="00E94890"/>
    <w:rsid w:val="00E94C9A"/>
    <w:rsid w:val="00E960C9"/>
    <w:rsid w:val="00EA170E"/>
    <w:rsid w:val="00EA1C1F"/>
    <w:rsid w:val="00EA2A45"/>
    <w:rsid w:val="00EA40C8"/>
    <w:rsid w:val="00EA6D26"/>
    <w:rsid w:val="00EA7C37"/>
    <w:rsid w:val="00EB2DBD"/>
    <w:rsid w:val="00EC2BED"/>
    <w:rsid w:val="00EC58C0"/>
    <w:rsid w:val="00EC7173"/>
    <w:rsid w:val="00EC7E01"/>
    <w:rsid w:val="00ED1C3E"/>
    <w:rsid w:val="00ED46E6"/>
    <w:rsid w:val="00ED4F97"/>
    <w:rsid w:val="00EE12EE"/>
    <w:rsid w:val="00EE25D0"/>
    <w:rsid w:val="00EE3995"/>
    <w:rsid w:val="00EF0035"/>
    <w:rsid w:val="00EF360D"/>
    <w:rsid w:val="00EF7365"/>
    <w:rsid w:val="00F0086A"/>
    <w:rsid w:val="00F1138E"/>
    <w:rsid w:val="00F127DE"/>
    <w:rsid w:val="00F160B0"/>
    <w:rsid w:val="00F205DE"/>
    <w:rsid w:val="00F20CE2"/>
    <w:rsid w:val="00F2171D"/>
    <w:rsid w:val="00F240BB"/>
    <w:rsid w:val="00F31182"/>
    <w:rsid w:val="00F356C9"/>
    <w:rsid w:val="00F40D7B"/>
    <w:rsid w:val="00F40F16"/>
    <w:rsid w:val="00F41D77"/>
    <w:rsid w:val="00F42E07"/>
    <w:rsid w:val="00F50C4C"/>
    <w:rsid w:val="00F535C9"/>
    <w:rsid w:val="00F57432"/>
    <w:rsid w:val="00F57FED"/>
    <w:rsid w:val="00F63412"/>
    <w:rsid w:val="00F65181"/>
    <w:rsid w:val="00F7294C"/>
    <w:rsid w:val="00F7454C"/>
    <w:rsid w:val="00F7473E"/>
    <w:rsid w:val="00F749A2"/>
    <w:rsid w:val="00F75D85"/>
    <w:rsid w:val="00F824DE"/>
    <w:rsid w:val="00F82A39"/>
    <w:rsid w:val="00F857BD"/>
    <w:rsid w:val="00F86648"/>
    <w:rsid w:val="00F8697D"/>
    <w:rsid w:val="00F90E3E"/>
    <w:rsid w:val="00F94A89"/>
    <w:rsid w:val="00FA08FF"/>
    <w:rsid w:val="00FA49DA"/>
    <w:rsid w:val="00FB0B00"/>
    <w:rsid w:val="00FB12E7"/>
    <w:rsid w:val="00FB17D1"/>
    <w:rsid w:val="00FB2421"/>
    <w:rsid w:val="00FB3540"/>
    <w:rsid w:val="00FB6E06"/>
    <w:rsid w:val="00FC03D4"/>
    <w:rsid w:val="00FC4223"/>
    <w:rsid w:val="00FC4DE0"/>
    <w:rsid w:val="00FC56AC"/>
    <w:rsid w:val="00FD0D86"/>
    <w:rsid w:val="00FD15F1"/>
    <w:rsid w:val="00FD38A1"/>
    <w:rsid w:val="00FE2C49"/>
    <w:rsid w:val="00FE455B"/>
    <w:rsid w:val="00FE461F"/>
    <w:rsid w:val="00FF679B"/>
    <w:rsid w:val="00FF67DC"/>
    <w:rsid w:val="00FF68BC"/>
    <w:rsid w:val="00FF6E2D"/>
    <w:rsid w:val="00FF782C"/>
    <w:rsid w:val="00FF79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colormru v:ext="edit" colors="#428299,#529dba"/>
    </o:shapedefaults>
    <o:shapelayout v:ext="edit">
      <o:idmap v:ext="edit" data="1"/>
    </o:shapelayout>
  </w:shapeDefaults>
  <w:doNotEmbedSmartTags/>
  <w:decimalSymbol w:val=","/>
  <w:listSeparator w:val=";"/>
  <w14:docId w14:val="2E56708B"/>
  <w15:chartTrackingRefBased/>
  <w15:docId w15:val="{7DA188E1-FFAF-442D-8A3B-D12DB6FA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72AA6"/>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7025D2"/>
    <w:pPr>
      <w:keepNext/>
      <w:spacing w:before="240" w:after="60" w:line="240" w:lineRule="auto"/>
      <w:outlineLvl w:val="1"/>
    </w:pPr>
    <w:rPr>
      <w:rFonts w:ascii="Times New Roman CE SLO" w:hAnsi="Times New Roman CE SLO"/>
      <w:b/>
      <w:smallCaps/>
      <w:sz w:val="28"/>
      <w:szCs w:val="20"/>
    </w:rPr>
  </w:style>
  <w:style w:type="paragraph" w:styleId="Naslov3">
    <w:name w:val="heading 3"/>
    <w:aliases w:val="Naslov x"/>
    <w:basedOn w:val="Navaden"/>
    <w:next w:val="Navaden"/>
    <w:link w:val="Naslov3Znak"/>
    <w:unhideWhenUsed/>
    <w:qFormat/>
    <w:rsid w:val="007025D2"/>
    <w:pPr>
      <w:keepNext/>
      <w:spacing w:before="240" w:after="60" w:line="276" w:lineRule="auto"/>
      <w:outlineLvl w:val="2"/>
    </w:pPr>
    <w:rPr>
      <w:rFonts w:ascii="Calibri Light" w:hAnsi="Calibri Light"/>
      <w:b/>
      <w:bCs/>
      <w:sz w:val="26"/>
      <w:szCs w:val="26"/>
    </w:rPr>
  </w:style>
  <w:style w:type="paragraph" w:styleId="Naslov4">
    <w:name w:val="heading 4"/>
    <w:basedOn w:val="Navaden"/>
    <w:next w:val="Navaden"/>
    <w:link w:val="Naslov4Znak"/>
    <w:qFormat/>
    <w:rsid w:val="007025D2"/>
    <w:pPr>
      <w:keepNext/>
      <w:spacing w:before="240" w:after="60" w:line="240" w:lineRule="auto"/>
      <w:outlineLvl w:val="3"/>
    </w:pPr>
    <w:rPr>
      <w:rFonts w:ascii="Times New Roman CE SLO" w:hAnsi="Times New Roman CE SLO"/>
      <w:smallCaps/>
      <w:sz w:val="24"/>
      <w:szCs w:val="20"/>
    </w:rPr>
  </w:style>
  <w:style w:type="paragraph" w:styleId="Naslov5">
    <w:name w:val="heading 5"/>
    <w:basedOn w:val="Navaden"/>
    <w:next w:val="Navaden"/>
    <w:link w:val="Naslov5Znak"/>
    <w:uiPriority w:val="9"/>
    <w:qFormat/>
    <w:rsid w:val="007025D2"/>
    <w:pPr>
      <w:spacing w:before="240" w:after="60"/>
      <w:outlineLvl w:val="4"/>
    </w:pPr>
    <w:rPr>
      <w:rFonts w:ascii="Calibri" w:hAnsi="Calibri"/>
      <w:b/>
      <w:bCs/>
      <w:i/>
      <w:iCs/>
      <w:sz w:val="26"/>
      <w:szCs w:val="26"/>
    </w:rPr>
  </w:style>
  <w:style w:type="paragraph" w:styleId="Naslov6">
    <w:name w:val="heading 6"/>
    <w:basedOn w:val="Navaden"/>
    <w:next w:val="Navaden"/>
    <w:link w:val="Naslov6Znak"/>
    <w:uiPriority w:val="9"/>
    <w:qFormat/>
    <w:rsid w:val="007025D2"/>
    <w:pPr>
      <w:spacing w:before="240" w:after="60" w:line="240" w:lineRule="auto"/>
      <w:outlineLvl w:val="5"/>
    </w:pPr>
    <w:rPr>
      <w:rFonts w:ascii="Arial Narrow" w:hAnsi="Arial Narrow"/>
      <w:b/>
      <w:bCs/>
      <w:sz w:val="22"/>
      <w:szCs w:val="22"/>
    </w:rPr>
  </w:style>
  <w:style w:type="paragraph" w:styleId="Naslov7">
    <w:name w:val="heading 7"/>
    <w:basedOn w:val="Navaden"/>
    <w:next w:val="Navaden"/>
    <w:link w:val="Naslov7Znak"/>
    <w:uiPriority w:val="99"/>
    <w:qFormat/>
    <w:rsid w:val="007025D2"/>
    <w:pPr>
      <w:spacing w:before="240" w:after="60" w:line="276" w:lineRule="auto"/>
      <w:outlineLvl w:val="6"/>
    </w:pPr>
    <w:rPr>
      <w:rFonts w:ascii="Arial Narrow" w:eastAsia="Calibri" w:hAnsi="Arial Narrow"/>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Znak1">
    <w:name w:val="Znak Znak1"/>
    <w:basedOn w:val="Navaden"/>
    <w:rsid w:val="00A0374E"/>
    <w:pPr>
      <w:spacing w:after="160" w:line="240" w:lineRule="exact"/>
    </w:pPr>
    <w:rPr>
      <w:rFonts w:ascii="Tahoma" w:hAnsi="Tahoma" w:cs="Tahoma"/>
      <w:color w:val="222222"/>
      <w:szCs w:val="20"/>
    </w:rPr>
  </w:style>
  <w:style w:type="paragraph" w:styleId="Besedilooblaka">
    <w:name w:val="Balloon Text"/>
    <w:basedOn w:val="Navaden"/>
    <w:link w:val="BesedilooblakaZnak"/>
    <w:unhideWhenUsed/>
    <w:rsid w:val="003D657B"/>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3D657B"/>
    <w:rPr>
      <w:rFonts w:ascii="Segoe UI" w:hAnsi="Segoe UI" w:cs="Segoe UI"/>
      <w:sz w:val="18"/>
      <w:szCs w:val="18"/>
      <w:lang w:val="en-US" w:eastAsia="en-US"/>
    </w:rPr>
  </w:style>
  <w:style w:type="character" w:customStyle="1" w:styleId="Naslov2Znak">
    <w:name w:val="Naslov 2 Znak"/>
    <w:basedOn w:val="Privzetapisavaodstavka"/>
    <w:link w:val="Naslov2"/>
    <w:rsid w:val="007025D2"/>
    <w:rPr>
      <w:rFonts w:ascii="Times New Roman CE SLO" w:hAnsi="Times New Roman CE SLO"/>
      <w:b/>
      <w:smallCaps/>
      <w:sz w:val="28"/>
      <w:lang w:eastAsia="en-US"/>
    </w:rPr>
  </w:style>
  <w:style w:type="character" w:customStyle="1" w:styleId="Naslov3Znak">
    <w:name w:val="Naslov 3 Znak"/>
    <w:aliases w:val="Naslov x Znak"/>
    <w:basedOn w:val="Privzetapisavaodstavka"/>
    <w:link w:val="Naslov3"/>
    <w:rsid w:val="007025D2"/>
    <w:rPr>
      <w:rFonts w:ascii="Calibri Light" w:hAnsi="Calibri Light"/>
      <w:b/>
      <w:bCs/>
      <w:sz w:val="26"/>
      <w:szCs w:val="26"/>
      <w:lang w:eastAsia="en-US"/>
    </w:rPr>
  </w:style>
  <w:style w:type="character" w:customStyle="1" w:styleId="Naslov4Znak">
    <w:name w:val="Naslov 4 Znak"/>
    <w:basedOn w:val="Privzetapisavaodstavka"/>
    <w:link w:val="Naslov4"/>
    <w:rsid w:val="007025D2"/>
    <w:rPr>
      <w:rFonts w:ascii="Times New Roman CE SLO" w:hAnsi="Times New Roman CE SLO"/>
      <w:smallCaps/>
      <w:sz w:val="24"/>
      <w:lang w:eastAsia="en-US"/>
    </w:rPr>
  </w:style>
  <w:style w:type="character" w:customStyle="1" w:styleId="Naslov5Znak">
    <w:name w:val="Naslov 5 Znak"/>
    <w:basedOn w:val="Privzetapisavaodstavka"/>
    <w:link w:val="Naslov5"/>
    <w:uiPriority w:val="9"/>
    <w:rsid w:val="007025D2"/>
    <w:rPr>
      <w:rFonts w:ascii="Calibri" w:hAnsi="Calibri"/>
      <w:b/>
      <w:bCs/>
      <w:i/>
      <w:iCs/>
      <w:sz w:val="26"/>
      <w:szCs w:val="26"/>
      <w:lang w:val="en-US" w:eastAsia="en-US"/>
    </w:rPr>
  </w:style>
  <w:style w:type="character" w:customStyle="1" w:styleId="Naslov6Znak">
    <w:name w:val="Naslov 6 Znak"/>
    <w:basedOn w:val="Privzetapisavaodstavka"/>
    <w:link w:val="Naslov6"/>
    <w:uiPriority w:val="9"/>
    <w:rsid w:val="007025D2"/>
    <w:rPr>
      <w:rFonts w:ascii="Arial Narrow" w:hAnsi="Arial Narrow"/>
      <w:b/>
      <w:bCs/>
      <w:sz w:val="22"/>
      <w:szCs w:val="22"/>
      <w:lang w:eastAsia="en-US"/>
    </w:rPr>
  </w:style>
  <w:style w:type="character" w:customStyle="1" w:styleId="Naslov7Znak">
    <w:name w:val="Naslov 7 Znak"/>
    <w:basedOn w:val="Privzetapisavaodstavka"/>
    <w:link w:val="Naslov7"/>
    <w:uiPriority w:val="99"/>
    <w:rsid w:val="007025D2"/>
    <w:rPr>
      <w:rFonts w:ascii="Arial Narrow" w:eastAsia="Calibri" w:hAnsi="Arial Narrow"/>
      <w:sz w:val="24"/>
      <w:szCs w:val="24"/>
      <w:lang w:eastAsia="en-US"/>
    </w:rPr>
  </w:style>
  <w:style w:type="numbering" w:customStyle="1" w:styleId="Brezseznama1">
    <w:name w:val="Brez seznama1"/>
    <w:next w:val="Brezseznama"/>
    <w:uiPriority w:val="99"/>
    <w:semiHidden/>
    <w:unhideWhenUsed/>
    <w:rsid w:val="007025D2"/>
  </w:style>
  <w:style w:type="character" w:customStyle="1" w:styleId="Naslov1Znak">
    <w:name w:val="Naslov 1 Znak"/>
    <w:aliases w:val="NASLOV Znak"/>
    <w:link w:val="Naslov1"/>
    <w:uiPriority w:val="9"/>
    <w:rsid w:val="007025D2"/>
    <w:rPr>
      <w:rFonts w:ascii="Arial" w:hAnsi="Arial"/>
      <w:b/>
      <w:kern w:val="32"/>
      <w:sz w:val="28"/>
      <w:szCs w:val="32"/>
    </w:rPr>
  </w:style>
  <w:style w:type="character" w:customStyle="1" w:styleId="GlavaZnak">
    <w:name w:val="Glava Znak"/>
    <w:link w:val="Glava"/>
    <w:uiPriority w:val="99"/>
    <w:rsid w:val="007025D2"/>
    <w:rPr>
      <w:rFonts w:ascii="Arial" w:hAnsi="Arial"/>
      <w:szCs w:val="24"/>
      <w:lang w:val="en-US" w:eastAsia="en-US"/>
    </w:rPr>
  </w:style>
  <w:style w:type="character" w:customStyle="1" w:styleId="NogaZnak">
    <w:name w:val="Noga Znak"/>
    <w:link w:val="Noga"/>
    <w:uiPriority w:val="99"/>
    <w:rsid w:val="007025D2"/>
    <w:rPr>
      <w:rFonts w:ascii="Arial" w:hAnsi="Arial"/>
      <w:szCs w:val="24"/>
      <w:lang w:val="en-US" w:eastAsia="en-US"/>
    </w:rPr>
  </w:style>
  <w:style w:type="table" w:customStyle="1" w:styleId="Tabelamrea1">
    <w:name w:val="Tabela – mreža1"/>
    <w:basedOn w:val="Navadnatabela"/>
    <w:next w:val="Tabelamrea"/>
    <w:uiPriority w:val="39"/>
    <w:rsid w:val="007025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rstapredpisa">
    <w:name w:val="Vrsta predpisa"/>
    <w:basedOn w:val="Navaden"/>
    <w:link w:val="VrstapredpisaZnak"/>
    <w:qFormat/>
    <w:rsid w:val="007025D2"/>
    <w:pPr>
      <w:suppressAutoHyphens/>
      <w:overflowPunct w:val="0"/>
      <w:autoSpaceDE w:val="0"/>
      <w:autoSpaceDN w:val="0"/>
      <w:adjustRightInd w:val="0"/>
      <w:spacing w:before="360" w:line="220" w:lineRule="exact"/>
      <w:jc w:val="center"/>
      <w:textAlignment w:val="baseline"/>
    </w:pPr>
    <w:rPr>
      <w:b/>
      <w:bCs/>
      <w:color w:val="000000"/>
      <w:spacing w:val="40"/>
      <w:sz w:val="22"/>
      <w:szCs w:val="22"/>
    </w:rPr>
  </w:style>
  <w:style w:type="character" w:customStyle="1" w:styleId="VrstapredpisaZnak">
    <w:name w:val="Vrsta predpisa Znak"/>
    <w:link w:val="Vrstapredpisa"/>
    <w:rsid w:val="007025D2"/>
    <w:rPr>
      <w:rFonts w:ascii="Arial" w:hAnsi="Arial"/>
      <w:b/>
      <w:bCs/>
      <w:color w:val="000000"/>
      <w:spacing w:val="40"/>
      <w:sz w:val="22"/>
      <w:szCs w:val="22"/>
      <w:lang w:eastAsia="en-US"/>
    </w:rPr>
  </w:style>
  <w:style w:type="paragraph" w:customStyle="1" w:styleId="Naslovpredpisa">
    <w:name w:val="Naslov_predpisa"/>
    <w:basedOn w:val="Navaden"/>
    <w:link w:val="NaslovpredpisaZnak"/>
    <w:qFormat/>
    <w:rsid w:val="007025D2"/>
    <w:pPr>
      <w:suppressAutoHyphens/>
      <w:overflowPunct w:val="0"/>
      <w:autoSpaceDE w:val="0"/>
      <w:autoSpaceDN w:val="0"/>
      <w:adjustRightInd w:val="0"/>
      <w:spacing w:before="120" w:after="160" w:line="200" w:lineRule="exact"/>
      <w:jc w:val="center"/>
      <w:textAlignment w:val="baseline"/>
    </w:pPr>
    <w:rPr>
      <w:b/>
      <w:sz w:val="22"/>
      <w:szCs w:val="22"/>
    </w:rPr>
  </w:style>
  <w:style w:type="character" w:customStyle="1" w:styleId="NaslovpredpisaZnak">
    <w:name w:val="Naslov_predpisa Znak"/>
    <w:link w:val="Naslovpredpisa"/>
    <w:rsid w:val="007025D2"/>
    <w:rPr>
      <w:rFonts w:ascii="Arial" w:hAnsi="Arial"/>
      <w:b/>
      <w:sz w:val="22"/>
      <w:szCs w:val="22"/>
      <w:lang w:eastAsia="en-US"/>
    </w:rPr>
  </w:style>
  <w:style w:type="paragraph" w:customStyle="1" w:styleId="Poglavje">
    <w:name w:val="Poglavje"/>
    <w:basedOn w:val="Navaden"/>
    <w:qFormat/>
    <w:rsid w:val="007025D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7025D2"/>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7025D2"/>
    <w:rPr>
      <w:rFonts w:ascii="Arial" w:hAnsi="Arial"/>
      <w:sz w:val="22"/>
      <w:szCs w:val="22"/>
      <w:lang w:eastAsia="en-US"/>
    </w:rPr>
  </w:style>
  <w:style w:type="paragraph" w:customStyle="1" w:styleId="Oddelek">
    <w:name w:val="Oddelek"/>
    <w:basedOn w:val="Navaden"/>
    <w:link w:val="OddelekZnak1"/>
    <w:qFormat/>
    <w:rsid w:val="007025D2"/>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rPr>
  </w:style>
  <w:style w:type="character" w:customStyle="1" w:styleId="OddelekZnak1">
    <w:name w:val="Oddelek Znak1"/>
    <w:link w:val="Oddelek"/>
    <w:rsid w:val="007025D2"/>
    <w:rPr>
      <w:rFonts w:ascii="Arial" w:hAnsi="Arial"/>
      <w:b/>
      <w:sz w:val="22"/>
      <w:szCs w:val="22"/>
      <w:lang w:eastAsia="en-US"/>
    </w:rPr>
  </w:style>
  <w:style w:type="paragraph" w:customStyle="1" w:styleId="Alineazaodstavkom">
    <w:name w:val="Alinea za odstavkom"/>
    <w:basedOn w:val="Navaden"/>
    <w:link w:val="AlineazaodstavkomZnak"/>
    <w:qFormat/>
    <w:rsid w:val="007025D2"/>
    <w:pPr>
      <w:numPr>
        <w:numId w:val="7"/>
      </w:numPr>
      <w:overflowPunct w:val="0"/>
      <w:autoSpaceDE w:val="0"/>
      <w:autoSpaceDN w:val="0"/>
      <w:adjustRightInd w:val="0"/>
      <w:spacing w:line="200" w:lineRule="exact"/>
      <w:ind w:left="709" w:hanging="284"/>
      <w:jc w:val="both"/>
      <w:textAlignment w:val="baseline"/>
    </w:pPr>
    <w:rPr>
      <w:sz w:val="22"/>
      <w:szCs w:val="22"/>
    </w:rPr>
  </w:style>
  <w:style w:type="character" w:customStyle="1" w:styleId="AlineazaodstavkomZnak">
    <w:name w:val="Alinea za odstavkom Znak"/>
    <w:link w:val="Alineazaodstavkom"/>
    <w:rsid w:val="007025D2"/>
    <w:rPr>
      <w:rFonts w:ascii="Arial" w:hAnsi="Arial"/>
      <w:sz w:val="22"/>
      <w:szCs w:val="22"/>
      <w:lang w:eastAsia="en-US"/>
    </w:rPr>
  </w:style>
  <w:style w:type="character" w:styleId="tevilkastrani">
    <w:name w:val="page number"/>
    <w:rsid w:val="007025D2"/>
  </w:style>
  <w:style w:type="paragraph" w:styleId="Sprotnaopomba-besedilo">
    <w:name w:val="footnote text"/>
    <w:basedOn w:val="Navaden"/>
    <w:link w:val="Sprotnaopomba-besediloZnak"/>
    <w:uiPriority w:val="99"/>
    <w:rsid w:val="007025D2"/>
    <w:pPr>
      <w:spacing w:line="260" w:lineRule="exact"/>
    </w:pPr>
    <w:rPr>
      <w:szCs w:val="20"/>
    </w:rPr>
  </w:style>
  <w:style w:type="character" w:customStyle="1" w:styleId="Sprotnaopomba-besediloZnak">
    <w:name w:val="Sprotna opomba - besedilo Znak"/>
    <w:basedOn w:val="Privzetapisavaodstavka"/>
    <w:link w:val="Sprotnaopomba-besedilo"/>
    <w:uiPriority w:val="99"/>
    <w:rsid w:val="007025D2"/>
    <w:rPr>
      <w:rFonts w:ascii="Arial" w:hAnsi="Arial"/>
      <w:lang w:eastAsia="en-US"/>
    </w:rPr>
  </w:style>
  <w:style w:type="character" w:styleId="Sprotnaopomba-sklic">
    <w:name w:val="footnote reference"/>
    <w:uiPriority w:val="99"/>
    <w:rsid w:val="007025D2"/>
    <w:rPr>
      <w:vertAlign w:val="superscript"/>
    </w:rPr>
  </w:style>
  <w:style w:type="character" w:styleId="Pripombasklic">
    <w:name w:val="annotation reference"/>
    <w:uiPriority w:val="99"/>
    <w:rsid w:val="007025D2"/>
    <w:rPr>
      <w:sz w:val="16"/>
      <w:szCs w:val="16"/>
    </w:rPr>
  </w:style>
  <w:style w:type="paragraph" w:styleId="Pripombabesedilo">
    <w:name w:val="annotation text"/>
    <w:basedOn w:val="Navaden"/>
    <w:link w:val="PripombabesediloZnak"/>
    <w:uiPriority w:val="99"/>
    <w:rsid w:val="007025D2"/>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7025D2"/>
    <w:rPr>
      <w:lang w:eastAsia="en-US"/>
    </w:rPr>
  </w:style>
  <w:style w:type="paragraph" w:customStyle="1" w:styleId="Par-number1">
    <w:name w:val="Par-number 1."/>
    <w:basedOn w:val="Navaden"/>
    <w:next w:val="Navaden"/>
    <w:rsid w:val="007025D2"/>
    <w:pPr>
      <w:widowControl w:val="0"/>
      <w:numPr>
        <w:numId w:val="3"/>
      </w:numPr>
      <w:spacing w:line="360" w:lineRule="auto"/>
    </w:pPr>
    <w:rPr>
      <w:rFonts w:ascii="Times New Roman" w:hAnsi="Times New Roman"/>
      <w:sz w:val="24"/>
      <w:szCs w:val="20"/>
      <w:lang w:eastAsia="fr-BE"/>
    </w:rPr>
  </w:style>
  <w:style w:type="paragraph" w:styleId="Odstavekseznama">
    <w:name w:val="List Paragraph"/>
    <w:basedOn w:val="Navaden"/>
    <w:link w:val="OdstavekseznamaZnak"/>
    <w:uiPriority w:val="34"/>
    <w:qFormat/>
    <w:rsid w:val="007025D2"/>
    <w:pPr>
      <w:spacing w:line="240" w:lineRule="auto"/>
      <w:ind w:left="708"/>
    </w:pPr>
    <w:rPr>
      <w:rFonts w:ascii="Times New Roman" w:hAnsi="Times New Roman"/>
      <w:sz w:val="24"/>
    </w:rPr>
  </w:style>
  <w:style w:type="paragraph" w:customStyle="1" w:styleId="Par-numberi">
    <w:name w:val="Par-number (i)"/>
    <w:basedOn w:val="Navaden"/>
    <w:next w:val="Navaden"/>
    <w:rsid w:val="007025D2"/>
    <w:pPr>
      <w:widowControl w:val="0"/>
      <w:numPr>
        <w:numId w:val="5"/>
      </w:numPr>
      <w:tabs>
        <w:tab w:val="left" w:pos="567"/>
      </w:tabs>
      <w:spacing w:line="360" w:lineRule="auto"/>
    </w:pPr>
    <w:rPr>
      <w:rFonts w:ascii="Times New Roman" w:hAnsi="Times New Roman"/>
      <w:sz w:val="24"/>
      <w:szCs w:val="20"/>
      <w:lang w:eastAsia="fr-BE"/>
    </w:rPr>
  </w:style>
  <w:style w:type="paragraph" w:styleId="Zadevapripombe">
    <w:name w:val="annotation subject"/>
    <w:basedOn w:val="Pripombabesedilo"/>
    <w:next w:val="Pripombabesedilo"/>
    <w:link w:val="ZadevapripombeZnak"/>
    <w:uiPriority w:val="99"/>
    <w:rsid w:val="007025D2"/>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basedOn w:val="PripombabesediloZnak"/>
    <w:link w:val="Zadevapripombe"/>
    <w:uiPriority w:val="99"/>
    <w:rsid w:val="007025D2"/>
    <w:rPr>
      <w:rFonts w:ascii="Arial" w:hAnsi="Arial"/>
      <w:b/>
      <w:bCs/>
      <w:lang w:eastAsia="en-US"/>
    </w:rPr>
  </w:style>
  <w:style w:type="paragraph" w:customStyle="1" w:styleId="Odstavek">
    <w:name w:val="Odstavek"/>
    <w:basedOn w:val="Navaden"/>
    <w:link w:val="OdstavekZnak"/>
    <w:qFormat/>
    <w:rsid w:val="007025D2"/>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025D2"/>
    <w:rPr>
      <w:rFonts w:ascii="Arial" w:hAnsi="Arial"/>
      <w:sz w:val="22"/>
      <w:szCs w:val="22"/>
      <w:lang w:eastAsia="en-US"/>
    </w:rPr>
  </w:style>
  <w:style w:type="paragraph" w:customStyle="1" w:styleId="Odstavekseznama1">
    <w:name w:val="Odstavek seznama1"/>
    <w:basedOn w:val="Navaden"/>
    <w:qFormat/>
    <w:rsid w:val="007025D2"/>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7025D2"/>
    <w:pPr>
      <w:overflowPunct w:val="0"/>
      <w:autoSpaceDE w:val="0"/>
      <w:autoSpaceDN w:val="0"/>
      <w:adjustRightInd w:val="0"/>
      <w:spacing w:line="200" w:lineRule="exact"/>
      <w:ind w:left="720" w:hanging="360"/>
      <w:jc w:val="both"/>
      <w:textAlignment w:val="baseline"/>
    </w:pPr>
    <w:rPr>
      <w:sz w:val="22"/>
      <w:szCs w:val="22"/>
    </w:rPr>
  </w:style>
  <w:style w:type="character" w:customStyle="1" w:styleId="AlineazatokoZnak">
    <w:name w:val="Alinea za točko Znak"/>
    <w:link w:val="Alineazatoko"/>
    <w:rsid w:val="007025D2"/>
    <w:rPr>
      <w:rFonts w:ascii="Arial" w:hAnsi="Arial"/>
      <w:sz w:val="22"/>
      <w:szCs w:val="22"/>
      <w:lang w:eastAsia="en-US"/>
    </w:rPr>
  </w:style>
  <w:style w:type="character" w:customStyle="1" w:styleId="rkovnatokazaodstavkomZnak">
    <w:name w:val="Črkovna točka_za odstavkom Znak"/>
    <w:link w:val="rkovnatokazaodstavkom"/>
    <w:rsid w:val="007025D2"/>
    <w:rPr>
      <w:rFonts w:ascii="Arial" w:hAnsi="Arial"/>
      <w:lang w:eastAsia="en-US"/>
    </w:rPr>
  </w:style>
  <w:style w:type="paragraph" w:customStyle="1" w:styleId="rkovnatokazaodstavkom">
    <w:name w:val="Črkovna točka_za odstavkom"/>
    <w:basedOn w:val="Navaden"/>
    <w:link w:val="rkovnatokazaodstavkomZnak"/>
    <w:qFormat/>
    <w:rsid w:val="007025D2"/>
    <w:pPr>
      <w:numPr>
        <w:numId w:val="6"/>
      </w:numPr>
      <w:overflowPunct w:val="0"/>
      <w:autoSpaceDE w:val="0"/>
      <w:autoSpaceDN w:val="0"/>
      <w:adjustRightInd w:val="0"/>
      <w:spacing w:line="200" w:lineRule="exact"/>
      <w:jc w:val="both"/>
      <w:textAlignment w:val="baseline"/>
    </w:pPr>
    <w:rPr>
      <w:szCs w:val="20"/>
    </w:rPr>
  </w:style>
  <w:style w:type="paragraph" w:customStyle="1" w:styleId="Odsek">
    <w:name w:val="Odsek"/>
    <w:basedOn w:val="Oddelek"/>
    <w:link w:val="OdsekZnak"/>
    <w:qFormat/>
    <w:rsid w:val="007025D2"/>
    <w:pPr>
      <w:numPr>
        <w:numId w:val="0"/>
      </w:numPr>
      <w:tabs>
        <w:tab w:val="num" w:pos="720"/>
      </w:tabs>
    </w:pPr>
  </w:style>
  <w:style w:type="character" w:customStyle="1" w:styleId="OdsekZnak">
    <w:name w:val="Odsek Znak"/>
    <w:link w:val="Odsek"/>
    <w:rsid w:val="007025D2"/>
    <w:rPr>
      <w:rFonts w:ascii="Arial" w:hAnsi="Arial"/>
      <w:b/>
      <w:sz w:val="22"/>
      <w:szCs w:val="22"/>
      <w:lang w:eastAsia="en-US"/>
    </w:rPr>
  </w:style>
  <w:style w:type="paragraph" w:customStyle="1" w:styleId="len">
    <w:name w:val="Člen"/>
    <w:basedOn w:val="Navaden"/>
    <w:link w:val="lenZnak"/>
    <w:qFormat/>
    <w:rsid w:val="007025D2"/>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7025D2"/>
    <w:rPr>
      <w:rFonts w:ascii="Arial" w:hAnsi="Arial"/>
      <w:b/>
      <w:sz w:val="22"/>
      <w:szCs w:val="22"/>
      <w:lang w:eastAsia="en-US"/>
    </w:rPr>
  </w:style>
  <w:style w:type="paragraph" w:customStyle="1" w:styleId="lennaslov">
    <w:name w:val="Člen_naslov"/>
    <w:basedOn w:val="len"/>
    <w:qFormat/>
    <w:rsid w:val="007025D2"/>
    <w:pPr>
      <w:spacing w:before="0"/>
    </w:pPr>
  </w:style>
  <w:style w:type="paragraph" w:styleId="Telobesedila-zamik">
    <w:name w:val="Body Text Indent"/>
    <w:basedOn w:val="Navaden"/>
    <w:link w:val="Telobesedila-zamikZnak"/>
    <w:rsid w:val="007025D2"/>
    <w:pPr>
      <w:spacing w:after="120"/>
      <w:ind w:left="283"/>
    </w:pPr>
  </w:style>
  <w:style w:type="character" w:customStyle="1" w:styleId="Telobesedila-zamikZnak">
    <w:name w:val="Telo besedila - zamik Znak"/>
    <w:basedOn w:val="Privzetapisavaodstavka"/>
    <w:link w:val="Telobesedila-zamik"/>
    <w:rsid w:val="007025D2"/>
    <w:rPr>
      <w:rFonts w:ascii="Arial" w:hAnsi="Arial"/>
      <w:szCs w:val="24"/>
      <w:lang w:val="en-US" w:eastAsia="en-US"/>
    </w:rPr>
  </w:style>
  <w:style w:type="character" w:customStyle="1" w:styleId="OdstavekseznamaZnak">
    <w:name w:val="Odstavek seznama Znak"/>
    <w:link w:val="Odstavekseznama"/>
    <w:uiPriority w:val="34"/>
    <w:rsid w:val="007025D2"/>
    <w:rPr>
      <w:sz w:val="24"/>
      <w:szCs w:val="24"/>
      <w:lang w:eastAsia="en-US"/>
    </w:rPr>
  </w:style>
  <w:style w:type="paragraph" w:customStyle="1" w:styleId="Priloga-naslov">
    <w:name w:val="Priloga - naslov"/>
    <w:basedOn w:val="Navaden"/>
    <w:rsid w:val="007025D2"/>
    <w:pPr>
      <w:suppressAutoHyphens/>
      <w:spacing w:before="360" w:after="240" w:line="240" w:lineRule="auto"/>
      <w:jc w:val="center"/>
    </w:pPr>
    <w:rPr>
      <w:rFonts w:ascii="Arial Narrow" w:hAnsi="Arial Narrow" w:cs="Arial"/>
      <w:b/>
      <w:spacing w:val="30"/>
      <w:sz w:val="25"/>
      <w:szCs w:val="25"/>
      <w:lang w:eastAsia="sl-SI"/>
    </w:rPr>
  </w:style>
  <w:style w:type="paragraph" w:customStyle="1" w:styleId="Predlog1">
    <w:name w:val="..Predlog 1"/>
    <w:basedOn w:val="Navaden"/>
    <w:link w:val="Predlog1Znak"/>
    <w:qFormat/>
    <w:rsid w:val="007025D2"/>
    <w:pPr>
      <w:spacing w:before="120" w:after="60" w:line="240" w:lineRule="auto"/>
      <w:jc w:val="both"/>
    </w:pPr>
    <w:rPr>
      <w:rFonts w:ascii="Arial Narrow" w:eastAsia="Arial Narrow" w:hAnsi="Arial Narrow"/>
      <w:b/>
      <w:sz w:val="22"/>
      <w:szCs w:val="22"/>
    </w:rPr>
  </w:style>
  <w:style w:type="character" w:customStyle="1" w:styleId="Predlog1Znak">
    <w:name w:val="..Predlog 1 Znak"/>
    <w:link w:val="Predlog1"/>
    <w:rsid w:val="007025D2"/>
    <w:rPr>
      <w:rFonts w:ascii="Arial Narrow" w:eastAsia="Arial Narrow" w:hAnsi="Arial Narrow"/>
      <w:b/>
      <w:sz w:val="22"/>
      <w:szCs w:val="22"/>
      <w:lang w:eastAsia="en-US"/>
    </w:rPr>
  </w:style>
  <w:style w:type="paragraph" w:customStyle="1" w:styleId="Znak12">
    <w:name w:val="Znak12"/>
    <w:basedOn w:val="Navaden"/>
    <w:rsid w:val="007025D2"/>
    <w:pPr>
      <w:spacing w:after="160" w:line="240" w:lineRule="exact"/>
    </w:pPr>
    <w:rPr>
      <w:rFonts w:ascii="Tahoma" w:hAnsi="Tahoma" w:cs="Tahoma"/>
      <w:color w:val="222222"/>
      <w:sz w:val="22"/>
      <w:szCs w:val="20"/>
      <w:lang w:eastAsia="sl-SI"/>
    </w:rPr>
  </w:style>
  <w:style w:type="paragraph" w:styleId="Telobesedila">
    <w:name w:val="Body Text"/>
    <w:basedOn w:val="Navaden"/>
    <w:link w:val="TelobesedilaZnak"/>
    <w:qFormat/>
    <w:rsid w:val="007025D2"/>
    <w:pPr>
      <w:spacing w:line="240" w:lineRule="auto"/>
    </w:pPr>
    <w:rPr>
      <w:rFonts w:ascii="Tahoma" w:hAnsi="Tahoma"/>
      <w:b/>
      <w:color w:val="000000"/>
      <w:sz w:val="24"/>
    </w:rPr>
  </w:style>
  <w:style w:type="character" w:customStyle="1" w:styleId="TelobesedilaZnak">
    <w:name w:val="Telo besedila Znak"/>
    <w:basedOn w:val="Privzetapisavaodstavka"/>
    <w:link w:val="Telobesedila"/>
    <w:rsid w:val="007025D2"/>
    <w:rPr>
      <w:rFonts w:ascii="Tahoma" w:hAnsi="Tahoma"/>
      <w:b/>
      <w:color w:val="000000"/>
      <w:sz w:val="24"/>
      <w:szCs w:val="24"/>
      <w:lang w:eastAsia="en-US"/>
    </w:rPr>
  </w:style>
  <w:style w:type="paragraph" w:customStyle="1" w:styleId="ListParagraph2">
    <w:name w:val="List Paragraph2"/>
    <w:basedOn w:val="Navaden"/>
    <w:rsid w:val="007025D2"/>
    <w:pPr>
      <w:spacing w:line="240" w:lineRule="auto"/>
      <w:ind w:left="720"/>
    </w:pPr>
    <w:rPr>
      <w:rFonts w:ascii="Times New Roman" w:eastAsia="Calibri" w:hAnsi="Times New Roman" w:cs="Arial"/>
      <w:sz w:val="24"/>
      <w:szCs w:val="22"/>
      <w:lang w:eastAsia="sl-SI"/>
    </w:rPr>
  </w:style>
  <w:style w:type="paragraph" w:customStyle="1" w:styleId="orisno">
    <w:name w:val="orisno"/>
    <w:basedOn w:val="Navaden"/>
    <w:rsid w:val="007025D2"/>
    <w:pPr>
      <w:tabs>
        <w:tab w:val="num" w:pos="2160"/>
      </w:tabs>
      <w:suppressAutoHyphens/>
      <w:spacing w:before="120" w:after="60" w:line="240" w:lineRule="auto"/>
      <w:ind w:left="2160" w:hanging="180"/>
      <w:jc w:val="both"/>
    </w:pPr>
    <w:rPr>
      <w:rFonts w:ascii="Arial Narrow" w:hAnsi="Arial Narrow" w:cs="Arial"/>
      <w:color w:val="000000"/>
      <w:sz w:val="22"/>
      <w:szCs w:val="22"/>
    </w:rPr>
  </w:style>
  <w:style w:type="paragraph" w:customStyle="1" w:styleId="Slog100">
    <w:name w:val="Slog100"/>
    <w:basedOn w:val="Naslov5"/>
    <w:next w:val="Navaden-zamik"/>
    <w:rsid w:val="007025D2"/>
    <w:pPr>
      <w:tabs>
        <w:tab w:val="num" w:pos="1440"/>
      </w:tabs>
      <w:spacing w:line="240" w:lineRule="auto"/>
    </w:pPr>
    <w:rPr>
      <w:rFonts w:ascii="Arial Narrow" w:hAnsi="Arial Narrow"/>
      <w:i w:val="0"/>
      <w:sz w:val="24"/>
      <w:szCs w:val="24"/>
      <w:lang w:eastAsia="sl-SI"/>
    </w:rPr>
  </w:style>
  <w:style w:type="paragraph" w:styleId="Navaden-zamik">
    <w:name w:val="Normal Indent"/>
    <w:basedOn w:val="Navaden"/>
    <w:rsid w:val="007025D2"/>
    <w:pPr>
      <w:spacing w:line="240" w:lineRule="auto"/>
      <w:ind w:left="708"/>
    </w:pPr>
    <w:rPr>
      <w:rFonts w:ascii="Times New Roman CE SLO" w:hAnsi="Times New Roman CE SLO" w:cs="Arial"/>
      <w:sz w:val="24"/>
      <w:szCs w:val="20"/>
      <w:lang w:eastAsia="sl-SI"/>
    </w:rPr>
  </w:style>
  <w:style w:type="character" w:styleId="Krepko">
    <w:name w:val="Strong"/>
    <w:uiPriority w:val="22"/>
    <w:qFormat/>
    <w:rsid w:val="007025D2"/>
    <w:rPr>
      <w:b/>
      <w:bCs/>
    </w:rPr>
  </w:style>
  <w:style w:type="paragraph" w:customStyle="1" w:styleId="ZnakZnak">
    <w:name w:val="Znak Znak"/>
    <w:basedOn w:val="Navaden"/>
    <w:rsid w:val="007025D2"/>
    <w:pPr>
      <w:spacing w:after="160" w:line="240" w:lineRule="exact"/>
    </w:pPr>
    <w:rPr>
      <w:rFonts w:ascii="Tahoma" w:hAnsi="Tahoma" w:cs="Arial"/>
      <w:bCs/>
      <w:color w:val="222222"/>
      <w:sz w:val="22"/>
      <w:szCs w:val="20"/>
      <w:lang w:eastAsia="sl-SI"/>
    </w:rPr>
  </w:style>
  <w:style w:type="paragraph" w:customStyle="1" w:styleId="orisnoZnakZnakZnakZnakZnakZnakZnak">
    <w:name w:val="o risno Znak Znak Znak Znak Znak Znak Znak"/>
    <w:basedOn w:val="Navaden"/>
    <w:link w:val="orisnoZnakZnakZnakZnakZnakZnakZnakZnak"/>
    <w:rsid w:val="007025D2"/>
    <w:pPr>
      <w:tabs>
        <w:tab w:val="num" w:pos="537"/>
        <w:tab w:val="num" w:pos="720"/>
      </w:tabs>
      <w:suppressAutoHyphens/>
      <w:spacing w:after="60" w:line="240" w:lineRule="auto"/>
      <w:ind w:left="577" w:hanging="397"/>
      <w:jc w:val="both"/>
    </w:pPr>
    <w:rPr>
      <w:rFonts w:ascii="Arial Narrow" w:hAnsi="Arial Narrow"/>
      <w:sz w:val="22"/>
      <w:szCs w:val="22"/>
    </w:rPr>
  </w:style>
  <w:style w:type="paragraph" w:customStyle="1" w:styleId="orisno0">
    <w:name w:val="or isno"/>
    <w:basedOn w:val="orisnoZnakZnakZnakZnakZnakZnakZnak"/>
    <w:uiPriority w:val="99"/>
    <w:rsid w:val="007025D2"/>
    <w:pPr>
      <w:numPr>
        <w:ilvl w:val="2"/>
      </w:numPr>
      <w:tabs>
        <w:tab w:val="num" w:pos="537"/>
        <w:tab w:val="num" w:pos="1800"/>
      </w:tabs>
      <w:ind w:left="577" w:hanging="397"/>
    </w:pPr>
  </w:style>
  <w:style w:type="paragraph" w:customStyle="1" w:styleId="orisnoZnakZnakZnakZnakZnak">
    <w:name w:val="o risno Znak Znak Znak Znak Znak"/>
    <w:basedOn w:val="Navaden"/>
    <w:link w:val="orisnoZnakZnakZnakZnakZnakZnak"/>
    <w:rsid w:val="007025D2"/>
    <w:pPr>
      <w:suppressAutoHyphens/>
      <w:spacing w:after="60" w:line="240" w:lineRule="auto"/>
      <w:ind w:left="616" w:hanging="616"/>
      <w:jc w:val="both"/>
    </w:pPr>
    <w:rPr>
      <w:rFonts w:ascii="Arial Narrow" w:hAnsi="Arial Narrow"/>
      <w:sz w:val="22"/>
      <w:szCs w:val="22"/>
    </w:rPr>
  </w:style>
  <w:style w:type="character" w:customStyle="1" w:styleId="orisnoZnakZnakZnakZnakZnakZnak">
    <w:name w:val="o risno Znak Znak Znak Znak Znak Znak"/>
    <w:link w:val="orisnoZnakZnakZnakZnakZnak"/>
    <w:rsid w:val="007025D2"/>
    <w:rPr>
      <w:rFonts w:ascii="Arial Narrow" w:hAnsi="Arial Narrow"/>
      <w:sz w:val="22"/>
      <w:szCs w:val="22"/>
      <w:lang w:eastAsia="en-US"/>
    </w:rPr>
  </w:style>
  <w:style w:type="paragraph" w:customStyle="1" w:styleId="Slog1">
    <w:name w:val="Slog1"/>
    <w:basedOn w:val="Navaden"/>
    <w:next w:val="Navaden"/>
    <w:link w:val="Slog1Znak"/>
    <w:qFormat/>
    <w:rsid w:val="007025D2"/>
    <w:pPr>
      <w:spacing w:line="240" w:lineRule="auto"/>
    </w:pPr>
    <w:rPr>
      <w:rFonts w:ascii="Arial Narrow" w:hAnsi="Arial Narrow" w:cs="Arial"/>
      <w:b/>
      <w:noProof/>
      <w:sz w:val="24"/>
      <w:szCs w:val="20"/>
      <w:lang w:eastAsia="sl-SI"/>
    </w:rPr>
  </w:style>
  <w:style w:type="paragraph" w:customStyle="1" w:styleId="ZZZS0">
    <w:name w:val=".ZZZS"/>
    <w:basedOn w:val="Navaden"/>
    <w:qFormat/>
    <w:rsid w:val="007025D2"/>
    <w:pPr>
      <w:keepNext/>
      <w:pBdr>
        <w:top w:val="single" w:sz="4" w:space="1" w:color="auto"/>
        <w:left w:val="single" w:sz="4" w:space="4" w:color="auto"/>
        <w:bottom w:val="single" w:sz="4" w:space="1" w:color="auto"/>
        <w:right w:val="single" w:sz="4" w:space="4" w:color="auto"/>
      </w:pBdr>
      <w:shd w:val="clear" w:color="auto" w:fill="66FF33"/>
      <w:spacing w:before="480" w:line="360" w:lineRule="auto"/>
      <w:outlineLvl w:val="3"/>
    </w:pPr>
    <w:rPr>
      <w:rFonts w:ascii="Arial Narrow" w:hAnsi="Arial Narrow" w:cs="Arial"/>
      <w:b/>
      <w:spacing w:val="40"/>
      <w:sz w:val="22"/>
      <w:szCs w:val="22"/>
      <w:lang w:eastAsia="sl-SI"/>
    </w:rPr>
  </w:style>
  <w:style w:type="paragraph" w:customStyle="1" w:styleId="PREDLOG0">
    <w:name w:val="PREDLOG"/>
    <w:basedOn w:val="Navaden"/>
    <w:rsid w:val="007025D2"/>
    <w:pPr>
      <w:numPr>
        <w:numId w:val="10"/>
      </w:numPr>
      <w:spacing w:line="240" w:lineRule="auto"/>
    </w:pPr>
    <w:rPr>
      <w:rFonts w:ascii="Arial Narrow" w:hAnsi="Arial Narrow" w:cs="Arial"/>
      <w:b/>
      <w:sz w:val="22"/>
      <w:szCs w:val="22"/>
      <w:u w:val="single"/>
      <w:lang w:eastAsia="sl-SI"/>
    </w:rPr>
  </w:style>
  <w:style w:type="paragraph" w:customStyle="1" w:styleId="ZDRZZS">
    <w:name w:val=".ZDRZZS"/>
    <w:basedOn w:val="Naslov4"/>
    <w:rsid w:val="007025D2"/>
    <w:pPr>
      <w:pBdr>
        <w:top w:val="single" w:sz="4" w:space="1" w:color="auto"/>
        <w:left w:val="single" w:sz="4" w:space="4" w:color="auto"/>
        <w:bottom w:val="single" w:sz="4" w:space="1" w:color="auto"/>
        <w:right w:val="single" w:sz="4" w:space="4" w:color="auto"/>
      </w:pBdr>
      <w:shd w:val="clear" w:color="auto" w:fill="99CCFF"/>
      <w:spacing w:before="480" w:after="0" w:line="360" w:lineRule="auto"/>
    </w:pPr>
    <w:rPr>
      <w:rFonts w:ascii="Arial Narrow" w:hAnsi="Arial Narrow"/>
      <w:b/>
      <w:smallCaps w:val="0"/>
      <w:spacing w:val="40"/>
      <w:sz w:val="22"/>
      <w:szCs w:val="22"/>
    </w:rPr>
  </w:style>
  <w:style w:type="paragraph" w:customStyle="1" w:styleId="SKLEP">
    <w:name w:val="SKLEP"/>
    <w:basedOn w:val="Navaden"/>
    <w:link w:val="SKLEPZnak"/>
    <w:rsid w:val="007025D2"/>
    <w:pPr>
      <w:spacing w:line="240" w:lineRule="auto"/>
    </w:pPr>
    <w:rPr>
      <w:rFonts w:ascii="Arial Narrow" w:hAnsi="Arial Narrow"/>
      <w:b/>
      <w:color w:val="0000FF"/>
      <w:sz w:val="22"/>
      <w:szCs w:val="22"/>
    </w:rPr>
  </w:style>
  <w:style w:type="character" w:customStyle="1" w:styleId="SKLEPZnak">
    <w:name w:val="SKLEP Znak"/>
    <w:link w:val="SKLEP"/>
    <w:rsid w:val="007025D2"/>
    <w:rPr>
      <w:rFonts w:ascii="Arial Narrow" w:hAnsi="Arial Narrow"/>
      <w:b/>
      <w:color w:val="0000FF"/>
      <w:sz w:val="22"/>
      <w:szCs w:val="22"/>
      <w:lang w:eastAsia="en-US"/>
    </w:rPr>
  </w:style>
  <w:style w:type="paragraph" w:customStyle="1" w:styleId="ZZS">
    <w:name w:val=".ZZS"/>
    <w:basedOn w:val="Navaden"/>
    <w:link w:val="ZZSZnak"/>
    <w:qFormat/>
    <w:rsid w:val="007025D2"/>
    <w:pPr>
      <w:keepNext/>
      <w:pBdr>
        <w:top w:val="single" w:sz="4" w:space="1" w:color="auto"/>
        <w:left w:val="single" w:sz="4" w:space="4" w:color="auto"/>
        <w:bottom w:val="single" w:sz="4" w:space="1" w:color="auto"/>
        <w:right w:val="single" w:sz="4" w:space="4" w:color="auto"/>
      </w:pBdr>
      <w:shd w:val="clear" w:color="auto" w:fill="FF99CC"/>
      <w:spacing w:before="480" w:line="360" w:lineRule="auto"/>
      <w:outlineLvl w:val="3"/>
    </w:pPr>
    <w:rPr>
      <w:rFonts w:ascii="Arial Narrow" w:hAnsi="Arial Narrow" w:cs="Arial"/>
      <w:b/>
      <w:spacing w:val="40"/>
      <w:sz w:val="22"/>
      <w:szCs w:val="22"/>
      <w:lang w:eastAsia="sl-SI"/>
    </w:rPr>
  </w:style>
  <w:style w:type="paragraph" w:customStyle="1" w:styleId="MZ">
    <w:name w:val=".MZ"/>
    <w:basedOn w:val="ZDRZZS"/>
    <w:qFormat/>
    <w:rsid w:val="007025D2"/>
    <w:pPr>
      <w:shd w:val="clear" w:color="auto" w:fill="FFFF00"/>
    </w:pPr>
  </w:style>
  <w:style w:type="paragraph" w:customStyle="1" w:styleId="SPV-uvod">
    <w:name w:val="SPV - uvod"/>
    <w:basedOn w:val="Navaden"/>
    <w:rsid w:val="007025D2"/>
    <w:pPr>
      <w:spacing w:line="240" w:lineRule="auto"/>
      <w:jc w:val="both"/>
    </w:pPr>
    <w:rPr>
      <w:rFonts w:ascii="Arial Narrow" w:hAnsi="Arial Narrow" w:cs="Arial"/>
      <w:b/>
      <w:noProof/>
      <w:sz w:val="22"/>
      <w:szCs w:val="22"/>
      <w:lang w:eastAsia="sl-SI"/>
    </w:rPr>
  </w:style>
  <w:style w:type="paragraph" w:styleId="Telobesedila2">
    <w:name w:val="Body Text 2"/>
    <w:basedOn w:val="Navaden"/>
    <w:link w:val="Telobesedila2Znak"/>
    <w:rsid w:val="007025D2"/>
    <w:pPr>
      <w:spacing w:line="240" w:lineRule="auto"/>
    </w:pPr>
    <w:rPr>
      <w:rFonts w:ascii="Tahoma" w:hAnsi="Tahoma"/>
      <w:b/>
      <w:sz w:val="22"/>
      <w:szCs w:val="22"/>
    </w:rPr>
  </w:style>
  <w:style w:type="character" w:customStyle="1" w:styleId="Telobesedila2Znak">
    <w:name w:val="Telo besedila 2 Znak"/>
    <w:basedOn w:val="Privzetapisavaodstavka"/>
    <w:link w:val="Telobesedila2"/>
    <w:rsid w:val="007025D2"/>
    <w:rPr>
      <w:rFonts w:ascii="Tahoma" w:hAnsi="Tahoma"/>
      <w:b/>
      <w:sz w:val="22"/>
      <w:szCs w:val="22"/>
      <w:lang w:eastAsia="en-US"/>
    </w:rPr>
  </w:style>
  <w:style w:type="paragraph" w:styleId="Telobesedila3">
    <w:name w:val="Body Text 3"/>
    <w:basedOn w:val="Navaden"/>
    <w:link w:val="Telobesedila3Znak"/>
    <w:uiPriority w:val="99"/>
    <w:rsid w:val="007025D2"/>
    <w:pPr>
      <w:spacing w:line="240" w:lineRule="auto"/>
      <w:jc w:val="both"/>
    </w:pPr>
    <w:rPr>
      <w:rFonts w:ascii="Tahoma" w:hAnsi="Tahoma"/>
      <w:b/>
      <w:color w:val="000000"/>
      <w:sz w:val="22"/>
    </w:rPr>
  </w:style>
  <w:style w:type="character" w:customStyle="1" w:styleId="Telobesedila3Znak">
    <w:name w:val="Telo besedila 3 Znak"/>
    <w:basedOn w:val="Privzetapisavaodstavka"/>
    <w:link w:val="Telobesedila3"/>
    <w:uiPriority w:val="99"/>
    <w:rsid w:val="007025D2"/>
    <w:rPr>
      <w:rFonts w:ascii="Tahoma" w:hAnsi="Tahoma"/>
      <w:b/>
      <w:color w:val="000000"/>
      <w:sz w:val="22"/>
      <w:szCs w:val="24"/>
      <w:lang w:eastAsia="en-US"/>
    </w:rPr>
  </w:style>
  <w:style w:type="paragraph" w:customStyle="1" w:styleId="LZ">
    <w:name w:val=".LZ"/>
    <w:basedOn w:val="ZDRZZS"/>
    <w:rsid w:val="007025D2"/>
    <w:pPr>
      <w:shd w:val="clear" w:color="auto" w:fill="FFC285"/>
    </w:pPr>
  </w:style>
  <w:style w:type="paragraph" w:customStyle="1" w:styleId="xmsonormal">
    <w:name w:val="x_msonormal"/>
    <w:basedOn w:val="Navaden"/>
    <w:rsid w:val="007025D2"/>
    <w:pPr>
      <w:spacing w:before="100" w:beforeAutospacing="1" w:after="100" w:afterAutospacing="1" w:line="240" w:lineRule="auto"/>
    </w:pPr>
    <w:rPr>
      <w:rFonts w:ascii="Times New Roman" w:hAnsi="Times New Roman" w:cs="Arial"/>
      <w:sz w:val="24"/>
      <w:szCs w:val="22"/>
      <w:lang w:eastAsia="sl-SI" w:bidi="lo-LA"/>
    </w:rPr>
  </w:style>
  <w:style w:type="paragraph" w:customStyle="1" w:styleId="SOUS">
    <w:name w:val=".SOUS"/>
    <w:basedOn w:val="Navaden"/>
    <w:qFormat/>
    <w:rsid w:val="007025D2"/>
    <w:pPr>
      <w:keepNext/>
      <w:pBdr>
        <w:top w:val="single" w:sz="4" w:space="1" w:color="auto"/>
        <w:left w:val="single" w:sz="4" w:space="4" w:color="auto"/>
        <w:bottom w:val="single" w:sz="4" w:space="1" w:color="auto"/>
        <w:right w:val="single" w:sz="4" w:space="4" w:color="auto"/>
      </w:pBdr>
      <w:shd w:val="clear" w:color="auto" w:fill="DCD198"/>
      <w:spacing w:before="480" w:line="360" w:lineRule="auto"/>
      <w:outlineLvl w:val="3"/>
    </w:pPr>
    <w:rPr>
      <w:rFonts w:ascii="Arial Narrow" w:hAnsi="Arial Narrow" w:cs="Arial"/>
      <w:b/>
      <w:spacing w:val="40"/>
      <w:sz w:val="22"/>
      <w:szCs w:val="22"/>
      <w:lang w:eastAsia="sl-SI"/>
    </w:rPr>
  </w:style>
  <w:style w:type="paragraph" w:customStyle="1" w:styleId="BodyText21">
    <w:name w:val="Body Text 21"/>
    <w:basedOn w:val="Navaden"/>
    <w:uiPriority w:val="99"/>
    <w:rsid w:val="007025D2"/>
    <w:pPr>
      <w:overflowPunct w:val="0"/>
      <w:autoSpaceDE w:val="0"/>
      <w:autoSpaceDN w:val="0"/>
      <w:adjustRightInd w:val="0"/>
      <w:spacing w:line="240" w:lineRule="auto"/>
      <w:jc w:val="center"/>
      <w:textAlignment w:val="baseline"/>
    </w:pPr>
    <w:rPr>
      <w:rFonts w:ascii="Arial Narrow" w:hAnsi="Arial Narrow" w:cs="Arial"/>
      <w:b/>
      <w:sz w:val="24"/>
      <w:szCs w:val="20"/>
      <w:lang w:eastAsia="sl-SI"/>
    </w:rPr>
  </w:style>
  <w:style w:type="character" w:customStyle="1" w:styleId="Strong1">
    <w:name w:val="Strong1"/>
    <w:uiPriority w:val="99"/>
    <w:rsid w:val="007025D2"/>
    <w:rPr>
      <w:b/>
      <w:sz w:val="20"/>
    </w:rPr>
  </w:style>
  <w:style w:type="paragraph" w:customStyle="1" w:styleId="BodyText23">
    <w:name w:val="Body Text 23"/>
    <w:basedOn w:val="Navaden"/>
    <w:uiPriority w:val="99"/>
    <w:rsid w:val="007025D2"/>
    <w:pPr>
      <w:overflowPunct w:val="0"/>
      <w:autoSpaceDE w:val="0"/>
      <w:autoSpaceDN w:val="0"/>
      <w:adjustRightInd w:val="0"/>
      <w:spacing w:line="240" w:lineRule="auto"/>
      <w:jc w:val="center"/>
    </w:pPr>
    <w:rPr>
      <w:rFonts w:ascii="Arial Narrow" w:hAnsi="Arial Narrow" w:cs="Arial"/>
      <w:b/>
      <w:sz w:val="24"/>
      <w:szCs w:val="20"/>
      <w:lang w:eastAsia="sl-SI"/>
    </w:rPr>
  </w:style>
  <w:style w:type="paragraph" w:customStyle="1" w:styleId="SSNZ">
    <w:name w:val=".SSNZ"/>
    <w:basedOn w:val="Navaden"/>
    <w:qFormat/>
    <w:rsid w:val="007025D2"/>
    <w:pPr>
      <w:keepNext/>
      <w:pBdr>
        <w:top w:val="single" w:sz="4" w:space="1" w:color="auto"/>
        <w:left w:val="single" w:sz="4" w:space="4" w:color="auto"/>
        <w:bottom w:val="single" w:sz="4" w:space="1" w:color="auto"/>
        <w:right w:val="single" w:sz="4" w:space="4" w:color="auto"/>
      </w:pBdr>
      <w:shd w:val="clear" w:color="auto" w:fill="CC99FF"/>
      <w:spacing w:before="480" w:line="360" w:lineRule="auto"/>
      <w:outlineLvl w:val="3"/>
    </w:pPr>
    <w:rPr>
      <w:rFonts w:ascii="Arial Narrow" w:hAnsi="Arial Narrow" w:cs="Arial"/>
      <w:b/>
      <w:spacing w:val="40"/>
      <w:sz w:val="22"/>
      <w:szCs w:val="22"/>
      <w:lang w:eastAsia="sl-SI"/>
    </w:rPr>
  </w:style>
  <w:style w:type="paragraph" w:styleId="Navadensplet">
    <w:name w:val="Normal (Web)"/>
    <w:basedOn w:val="Navaden"/>
    <w:rsid w:val="007025D2"/>
    <w:pPr>
      <w:spacing w:before="100" w:beforeAutospacing="1" w:after="100" w:afterAutospacing="1" w:line="240" w:lineRule="auto"/>
    </w:pPr>
    <w:rPr>
      <w:rFonts w:ascii="Times New Roman" w:hAnsi="Times New Roman" w:cs="Arial"/>
      <w:sz w:val="24"/>
      <w:szCs w:val="22"/>
      <w:lang w:eastAsia="sl-SI"/>
    </w:rPr>
  </w:style>
  <w:style w:type="character" w:customStyle="1" w:styleId="WW-Privzetapisavaodstavka">
    <w:name w:val="WW-Privzeta pisava odstavka"/>
    <w:rsid w:val="007025D2"/>
  </w:style>
  <w:style w:type="paragraph" w:styleId="Telobesedila-zamik3">
    <w:name w:val="Body Text Indent 3"/>
    <w:basedOn w:val="Navaden"/>
    <w:link w:val="Telobesedila-zamik3Znak"/>
    <w:rsid w:val="007025D2"/>
    <w:pPr>
      <w:suppressAutoHyphens/>
      <w:spacing w:after="120" w:line="240" w:lineRule="auto"/>
      <w:ind w:left="283"/>
    </w:pPr>
    <w:rPr>
      <w:rFonts w:ascii="Arial Narrow" w:hAnsi="Arial Narrow"/>
      <w:sz w:val="16"/>
      <w:szCs w:val="16"/>
    </w:rPr>
  </w:style>
  <w:style w:type="character" w:customStyle="1" w:styleId="Telobesedila-zamik3Znak">
    <w:name w:val="Telo besedila - zamik 3 Znak"/>
    <w:basedOn w:val="Privzetapisavaodstavka"/>
    <w:link w:val="Telobesedila-zamik3"/>
    <w:rsid w:val="007025D2"/>
    <w:rPr>
      <w:rFonts w:ascii="Arial Narrow" w:hAnsi="Arial Narrow"/>
      <w:sz w:val="16"/>
      <w:szCs w:val="16"/>
      <w:lang w:eastAsia="en-US"/>
    </w:rPr>
  </w:style>
  <w:style w:type="paragraph" w:styleId="Brezrazmikov">
    <w:name w:val="No Spacing"/>
    <w:link w:val="BrezrazmikovZnak"/>
    <w:uiPriority w:val="1"/>
    <w:qFormat/>
    <w:rsid w:val="007025D2"/>
    <w:rPr>
      <w:rFonts w:ascii="Calibri" w:eastAsia="Calibri" w:hAnsi="Calibri" w:cs="Arial"/>
      <w:sz w:val="22"/>
      <w:szCs w:val="22"/>
      <w:lang w:eastAsia="en-US"/>
    </w:rPr>
  </w:style>
  <w:style w:type="character" w:customStyle="1" w:styleId="BrezrazmikovZnak">
    <w:name w:val="Brez razmikov Znak"/>
    <w:link w:val="Brezrazmikov"/>
    <w:uiPriority w:val="1"/>
    <w:locked/>
    <w:rsid w:val="007025D2"/>
    <w:rPr>
      <w:rFonts w:ascii="Calibri" w:eastAsia="Calibri" w:hAnsi="Calibri" w:cs="Arial"/>
      <w:sz w:val="22"/>
      <w:szCs w:val="22"/>
      <w:lang w:eastAsia="en-US"/>
    </w:rPr>
  </w:style>
  <w:style w:type="paragraph" w:customStyle="1" w:styleId="predlog2">
    <w:name w:val="predlog"/>
    <w:basedOn w:val="Navaden"/>
    <w:rsid w:val="007025D2"/>
    <w:pPr>
      <w:spacing w:before="100" w:beforeAutospacing="1" w:after="100" w:afterAutospacing="1" w:line="240" w:lineRule="auto"/>
    </w:pPr>
    <w:rPr>
      <w:rFonts w:ascii="Times New Roman" w:hAnsi="Times New Roman" w:cs="Arial"/>
      <w:sz w:val="24"/>
      <w:szCs w:val="22"/>
      <w:lang w:eastAsia="sl-SI"/>
    </w:rPr>
  </w:style>
  <w:style w:type="paragraph" w:customStyle="1" w:styleId="ZnakCharChar">
    <w:name w:val="Znak Char Char"/>
    <w:basedOn w:val="Navaden"/>
    <w:rsid w:val="007025D2"/>
    <w:pPr>
      <w:spacing w:after="160" w:line="240" w:lineRule="exact"/>
    </w:pPr>
    <w:rPr>
      <w:rFonts w:ascii="Tahoma" w:hAnsi="Tahoma" w:cs="Arial"/>
      <w:bCs/>
      <w:color w:val="222222"/>
      <w:sz w:val="22"/>
      <w:szCs w:val="20"/>
      <w:lang w:eastAsia="sl-SI"/>
    </w:rPr>
  </w:style>
  <w:style w:type="paragraph" w:customStyle="1" w:styleId="ZnakCharCharZnak">
    <w:name w:val="Znak Char Char Znak"/>
    <w:basedOn w:val="Navaden"/>
    <w:rsid w:val="007025D2"/>
    <w:pPr>
      <w:spacing w:after="160" w:line="240" w:lineRule="exact"/>
    </w:pPr>
    <w:rPr>
      <w:rFonts w:ascii="Tahoma" w:hAnsi="Tahoma" w:cs="Arial"/>
      <w:bCs/>
      <w:color w:val="222222"/>
      <w:sz w:val="22"/>
      <w:szCs w:val="20"/>
      <w:lang w:eastAsia="sl-SI"/>
    </w:rPr>
  </w:style>
  <w:style w:type="paragraph" w:styleId="Golobesedilo">
    <w:name w:val="Plain Text"/>
    <w:basedOn w:val="Navaden"/>
    <w:link w:val="GolobesediloZnak"/>
    <w:uiPriority w:val="99"/>
    <w:unhideWhenUsed/>
    <w:rsid w:val="007025D2"/>
    <w:pPr>
      <w:spacing w:line="240" w:lineRule="auto"/>
    </w:pPr>
    <w:rPr>
      <w:rFonts w:ascii="Consolas" w:eastAsia="Calibri" w:hAnsi="Consolas"/>
      <w:sz w:val="21"/>
      <w:szCs w:val="21"/>
    </w:rPr>
  </w:style>
  <w:style w:type="character" w:customStyle="1" w:styleId="GolobesediloZnak">
    <w:name w:val="Golo besedilo Znak"/>
    <w:basedOn w:val="Privzetapisavaodstavka"/>
    <w:link w:val="Golobesedilo"/>
    <w:uiPriority w:val="99"/>
    <w:rsid w:val="007025D2"/>
    <w:rPr>
      <w:rFonts w:ascii="Consolas" w:eastAsia="Calibri" w:hAnsi="Consolas"/>
      <w:sz w:val="21"/>
      <w:szCs w:val="21"/>
      <w:lang w:eastAsia="en-US"/>
    </w:rPr>
  </w:style>
  <w:style w:type="character" w:customStyle="1" w:styleId="PripombabesediloZnak3">
    <w:name w:val="Pripomba – besedilo Znak3"/>
    <w:rsid w:val="007025D2"/>
  </w:style>
  <w:style w:type="character" w:customStyle="1" w:styleId="Komentar-besediloZnak1">
    <w:name w:val="Komentar - besedilo Znak1"/>
    <w:rsid w:val="007025D2"/>
  </w:style>
  <w:style w:type="paragraph" w:customStyle="1" w:styleId="font5">
    <w:name w:val="font5"/>
    <w:basedOn w:val="Navaden"/>
    <w:rsid w:val="007025D2"/>
    <w:pPr>
      <w:spacing w:before="100" w:beforeAutospacing="1" w:after="100" w:afterAutospacing="1" w:line="240" w:lineRule="auto"/>
    </w:pPr>
    <w:rPr>
      <w:rFonts w:ascii="Tahoma" w:hAnsi="Tahoma" w:cs="Tahoma"/>
      <w:b/>
      <w:bCs/>
      <w:color w:val="000000"/>
      <w:sz w:val="16"/>
      <w:szCs w:val="16"/>
      <w:lang w:eastAsia="sl-SI"/>
    </w:rPr>
  </w:style>
  <w:style w:type="paragraph" w:customStyle="1" w:styleId="font6">
    <w:name w:val="font6"/>
    <w:basedOn w:val="Navaden"/>
    <w:rsid w:val="007025D2"/>
    <w:pPr>
      <w:spacing w:before="100" w:beforeAutospacing="1" w:after="100" w:afterAutospacing="1" w:line="240" w:lineRule="auto"/>
    </w:pPr>
    <w:rPr>
      <w:rFonts w:ascii="Tahoma" w:hAnsi="Tahoma" w:cs="Tahoma"/>
      <w:color w:val="000000"/>
      <w:sz w:val="16"/>
      <w:szCs w:val="16"/>
      <w:lang w:eastAsia="sl-SI"/>
    </w:rPr>
  </w:style>
  <w:style w:type="paragraph" w:customStyle="1" w:styleId="font7">
    <w:name w:val="font7"/>
    <w:basedOn w:val="Navaden"/>
    <w:uiPriority w:val="99"/>
    <w:rsid w:val="007025D2"/>
    <w:pPr>
      <w:spacing w:before="100" w:beforeAutospacing="1" w:after="100" w:afterAutospacing="1" w:line="240" w:lineRule="auto"/>
    </w:pPr>
    <w:rPr>
      <w:rFonts w:ascii="Tahoma" w:hAnsi="Tahoma" w:cs="Tahoma"/>
      <w:color w:val="FF0000"/>
      <w:sz w:val="16"/>
      <w:szCs w:val="16"/>
      <w:lang w:eastAsia="sl-SI"/>
    </w:rPr>
  </w:style>
  <w:style w:type="paragraph" w:customStyle="1" w:styleId="xl65">
    <w:name w:val="xl65"/>
    <w:basedOn w:val="Navaden"/>
    <w:rsid w:val="007025D2"/>
    <w:pPr>
      <w:spacing w:before="100" w:beforeAutospacing="1" w:after="100" w:afterAutospacing="1" w:line="240" w:lineRule="auto"/>
    </w:pPr>
    <w:rPr>
      <w:rFonts w:ascii="Arial Narrow" w:hAnsi="Arial Narrow" w:cs="Arial"/>
      <w:b/>
      <w:bCs/>
      <w:color w:val="FF0000"/>
      <w:sz w:val="16"/>
      <w:szCs w:val="16"/>
      <w:lang w:eastAsia="sl-SI"/>
    </w:rPr>
  </w:style>
  <w:style w:type="paragraph" w:customStyle="1" w:styleId="xl66">
    <w:name w:val="xl66"/>
    <w:basedOn w:val="Navaden"/>
    <w:rsid w:val="007025D2"/>
    <w:pPr>
      <w:spacing w:before="100" w:beforeAutospacing="1" w:after="100" w:afterAutospacing="1" w:line="240" w:lineRule="auto"/>
    </w:pPr>
    <w:rPr>
      <w:rFonts w:ascii="Arial Narrow" w:hAnsi="Arial Narrow" w:cs="Arial"/>
      <w:sz w:val="16"/>
      <w:szCs w:val="16"/>
      <w:lang w:eastAsia="sl-SI"/>
    </w:rPr>
  </w:style>
  <w:style w:type="paragraph" w:customStyle="1" w:styleId="xl67">
    <w:name w:val="xl67"/>
    <w:basedOn w:val="Navaden"/>
    <w:rsid w:val="007025D2"/>
    <w:pPr>
      <w:pBdr>
        <w:top w:val="single" w:sz="8" w:space="0" w:color="auto"/>
        <w:left w:val="single" w:sz="8" w:space="0" w:color="auto"/>
        <w:bottom w:val="single" w:sz="4"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68">
    <w:name w:val="xl68"/>
    <w:basedOn w:val="Navaden"/>
    <w:rsid w:val="007025D2"/>
    <w:pPr>
      <w:pBdr>
        <w:top w:val="single" w:sz="4" w:space="0" w:color="auto"/>
        <w:lef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69">
    <w:name w:val="xl69"/>
    <w:basedOn w:val="Navaden"/>
    <w:rsid w:val="007025D2"/>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Arial Narrow" w:hAnsi="Arial Narrow" w:cs="Arial"/>
      <w:color w:val="000000"/>
      <w:sz w:val="16"/>
      <w:szCs w:val="16"/>
      <w:lang w:eastAsia="sl-SI"/>
    </w:rPr>
  </w:style>
  <w:style w:type="paragraph" w:customStyle="1" w:styleId="xl70">
    <w:name w:val="xl70"/>
    <w:basedOn w:val="Navaden"/>
    <w:rsid w:val="007025D2"/>
    <w:pPr>
      <w:pBdr>
        <w:left w:val="single" w:sz="8" w:space="0" w:color="auto"/>
        <w:bottom w:val="single" w:sz="4"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1">
    <w:name w:val="xl71"/>
    <w:basedOn w:val="Navaden"/>
    <w:rsid w:val="007025D2"/>
    <w:pP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2">
    <w:name w:val="xl72"/>
    <w:basedOn w:val="Navaden"/>
    <w:rsid w:val="007025D2"/>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3">
    <w:name w:val="xl73"/>
    <w:basedOn w:val="Navaden"/>
    <w:rsid w:val="007025D2"/>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4">
    <w:name w:val="xl74"/>
    <w:basedOn w:val="Navaden"/>
    <w:rsid w:val="007025D2"/>
    <w:pP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5">
    <w:name w:val="xl75"/>
    <w:basedOn w:val="Navaden"/>
    <w:rsid w:val="007025D2"/>
    <w:pPr>
      <w:pBdr>
        <w:left w:val="single" w:sz="8"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6">
    <w:name w:val="xl76"/>
    <w:basedOn w:val="Navaden"/>
    <w:rsid w:val="007025D2"/>
    <w:pPr>
      <w:pBdr>
        <w:top w:val="single" w:sz="4" w:space="0" w:color="auto"/>
        <w:left w:val="single" w:sz="8" w:space="0" w:color="auto"/>
        <w:bottom w:val="single" w:sz="4" w:space="0" w:color="auto"/>
      </w:pBdr>
      <w:spacing w:before="100" w:beforeAutospacing="1" w:after="100" w:afterAutospacing="1" w:line="240" w:lineRule="auto"/>
    </w:pPr>
    <w:rPr>
      <w:rFonts w:ascii="Arial Narrow" w:hAnsi="Arial Narrow" w:cs="Arial"/>
      <w:color w:val="000000"/>
      <w:sz w:val="16"/>
      <w:szCs w:val="16"/>
      <w:lang w:eastAsia="sl-SI"/>
    </w:rPr>
  </w:style>
  <w:style w:type="paragraph" w:customStyle="1" w:styleId="xl77">
    <w:name w:val="xl77"/>
    <w:basedOn w:val="Navaden"/>
    <w:rsid w:val="007025D2"/>
    <w:pPr>
      <w:spacing w:before="100" w:beforeAutospacing="1" w:after="100" w:afterAutospacing="1" w:line="240" w:lineRule="auto"/>
      <w:jc w:val="right"/>
    </w:pPr>
    <w:rPr>
      <w:rFonts w:ascii="Arial Narrow" w:hAnsi="Arial Narrow" w:cs="Arial"/>
      <w:color w:val="000000"/>
      <w:sz w:val="16"/>
      <w:szCs w:val="16"/>
      <w:lang w:eastAsia="sl-SI"/>
    </w:rPr>
  </w:style>
  <w:style w:type="paragraph" w:customStyle="1" w:styleId="xl78">
    <w:name w:val="xl78"/>
    <w:basedOn w:val="Navaden"/>
    <w:rsid w:val="007025D2"/>
    <w:pPr>
      <w:pBdr>
        <w:top w:val="single" w:sz="4" w:space="0" w:color="auto"/>
        <w:left w:val="single" w:sz="8" w:space="0" w:color="auto"/>
        <w:bottom w:val="single" w:sz="4"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79">
    <w:name w:val="xl79"/>
    <w:basedOn w:val="Navaden"/>
    <w:rsid w:val="007025D2"/>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80">
    <w:name w:val="xl80"/>
    <w:basedOn w:val="Navaden"/>
    <w:rsid w:val="007025D2"/>
    <w:pPr>
      <w:pBdr>
        <w:top w:val="single" w:sz="8" w:space="0" w:color="auto"/>
        <w:bottom w:val="single" w:sz="4" w:space="0" w:color="auto"/>
      </w:pBdr>
      <w:shd w:val="clear" w:color="000000" w:fill="FFFF99"/>
      <w:spacing w:before="100" w:beforeAutospacing="1" w:after="100" w:afterAutospacing="1" w:line="240" w:lineRule="auto"/>
    </w:pPr>
    <w:rPr>
      <w:rFonts w:ascii="Arial Narrow" w:hAnsi="Arial Narrow" w:cs="Arial"/>
      <w:b/>
      <w:bCs/>
      <w:color w:val="000000"/>
      <w:sz w:val="16"/>
      <w:szCs w:val="16"/>
      <w:lang w:eastAsia="sl-SI"/>
    </w:rPr>
  </w:style>
  <w:style w:type="paragraph" w:customStyle="1" w:styleId="xl81">
    <w:name w:val="xl81"/>
    <w:basedOn w:val="Navaden"/>
    <w:rsid w:val="007025D2"/>
    <w:pPr>
      <w:spacing w:before="100" w:beforeAutospacing="1" w:after="100" w:afterAutospacing="1" w:line="240" w:lineRule="auto"/>
    </w:pPr>
    <w:rPr>
      <w:rFonts w:ascii="Arial Narrow" w:hAnsi="Arial Narrow" w:cs="Arial"/>
      <w:color w:val="000000"/>
      <w:sz w:val="16"/>
      <w:szCs w:val="16"/>
      <w:lang w:eastAsia="sl-SI"/>
    </w:rPr>
  </w:style>
  <w:style w:type="paragraph" w:customStyle="1" w:styleId="xl82">
    <w:name w:val="xl82"/>
    <w:basedOn w:val="Navaden"/>
    <w:rsid w:val="007025D2"/>
    <w:pPr>
      <w:spacing w:before="100" w:beforeAutospacing="1" w:after="100" w:afterAutospacing="1" w:line="240" w:lineRule="auto"/>
      <w:jc w:val="right"/>
    </w:pPr>
    <w:rPr>
      <w:rFonts w:ascii="Arial Narrow" w:hAnsi="Arial Narrow" w:cs="Arial"/>
      <w:color w:val="000000"/>
      <w:sz w:val="16"/>
      <w:szCs w:val="16"/>
      <w:lang w:eastAsia="sl-SI"/>
    </w:rPr>
  </w:style>
  <w:style w:type="paragraph" w:customStyle="1" w:styleId="xl83">
    <w:name w:val="xl83"/>
    <w:basedOn w:val="Navaden"/>
    <w:rsid w:val="00702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s="Arial"/>
      <w:color w:val="000000"/>
      <w:sz w:val="16"/>
      <w:szCs w:val="16"/>
      <w:lang w:eastAsia="sl-SI"/>
    </w:rPr>
  </w:style>
  <w:style w:type="paragraph" w:customStyle="1" w:styleId="xl84">
    <w:name w:val="xl84"/>
    <w:basedOn w:val="Navaden"/>
    <w:rsid w:val="007025D2"/>
    <w:pPr>
      <w:pBdr>
        <w:bottom w:val="single" w:sz="8" w:space="0" w:color="auto"/>
      </w:pBdr>
      <w:spacing w:before="100" w:beforeAutospacing="1" w:after="100" w:afterAutospacing="1" w:line="240" w:lineRule="auto"/>
      <w:jc w:val="right"/>
    </w:pPr>
    <w:rPr>
      <w:rFonts w:ascii="Arial Narrow" w:hAnsi="Arial Narrow" w:cs="Arial"/>
      <w:color w:val="000000"/>
      <w:sz w:val="16"/>
      <w:szCs w:val="16"/>
      <w:lang w:eastAsia="sl-SI"/>
    </w:rPr>
  </w:style>
  <w:style w:type="paragraph" w:customStyle="1" w:styleId="xl85">
    <w:name w:val="xl85"/>
    <w:basedOn w:val="Navaden"/>
    <w:rsid w:val="00702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s="Arial"/>
      <w:color w:val="000000"/>
      <w:sz w:val="16"/>
      <w:szCs w:val="16"/>
      <w:lang w:eastAsia="sl-SI"/>
    </w:rPr>
  </w:style>
  <w:style w:type="paragraph" w:customStyle="1" w:styleId="xl86">
    <w:name w:val="xl86"/>
    <w:basedOn w:val="Navaden"/>
    <w:rsid w:val="007025D2"/>
    <w:pPr>
      <w:spacing w:before="100" w:beforeAutospacing="1" w:after="100" w:afterAutospacing="1" w:line="240" w:lineRule="auto"/>
    </w:pPr>
    <w:rPr>
      <w:rFonts w:ascii="Arial Narrow" w:hAnsi="Arial Narrow" w:cs="Arial"/>
      <w:b/>
      <w:bCs/>
      <w:sz w:val="16"/>
      <w:szCs w:val="16"/>
      <w:lang w:eastAsia="sl-SI"/>
    </w:rPr>
  </w:style>
  <w:style w:type="paragraph" w:customStyle="1" w:styleId="xl87">
    <w:name w:val="xl87"/>
    <w:basedOn w:val="Navaden"/>
    <w:rsid w:val="007025D2"/>
    <w:pPr>
      <w:spacing w:before="100" w:beforeAutospacing="1" w:after="100" w:afterAutospacing="1" w:line="240" w:lineRule="auto"/>
    </w:pPr>
    <w:rPr>
      <w:rFonts w:ascii="Arial Narrow" w:hAnsi="Arial Narrow" w:cs="Arial"/>
      <w:sz w:val="16"/>
      <w:szCs w:val="16"/>
      <w:lang w:eastAsia="sl-SI"/>
    </w:rPr>
  </w:style>
  <w:style w:type="paragraph" w:customStyle="1" w:styleId="xl88">
    <w:name w:val="xl88"/>
    <w:basedOn w:val="Navaden"/>
    <w:rsid w:val="007025D2"/>
    <w:pPr>
      <w:spacing w:before="100" w:beforeAutospacing="1" w:after="100" w:afterAutospacing="1" w:line="240" w:lineRule="auto"/>
    </w:pPr>
    <w:rPr>
      <w:rFonts w:ascii="Arial Narrow" w:hAnsi="Arial Narrow" w:cs="Arial"/>
      <w:sz w:val="16"/>
      <w:szCs w:val="16"/>
      <w:lang w:eastAsia="sl-SI"/>
    </w:rPr>
  </w:style>
  <w:style w:type="paragraph" w:customStyle="1" w:styleId="xl89">
    <w:name w:val="xl89"/>
    <w:basedOn w:val="Navaden"/>
    <w:rsid w:val="007025D2"/>
    <w:pPr>
      <w:spacing w:before="100" w:beforeAutospacing="1" w:after="100" w:afterAutospacing="1" w:line="240" w:lineRule="auto"/>
    </w:pPr>
    <w:rPr>
      <w:rFonts w:ascii="Arial Narrow" w:hAnsi="Arial Narrow" w:cs="Arial"/>
      <w:sz w:val="16"/>
      <w:szCs w:val="16"/>
      <w:lang w:eastAsia="sl-SI"/>
    </w:rPr>
  </w:style>
  <w:style w:type="paragraph" w:customStyle="1" w:styleId="xl90">
    <w:name w:val="xl90"/>
    <w:basedOn w:val="Navaden"/>
    <w:rsid w:val="007025D2"/>
    <w:pPr>
      <w:pBdr>
        <w:bottom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91">
    <w:name w:val="xl91"/>
    <w:basedOn w:val="Navaden"/>
    <w:rsid w:val="007025D2"/>
    <w:pPr>
      <w:pBdr>
        <w:top w:val="single" w:sz="8" w:space="0" w:color="auto"/>
        <w:left w:val="single" w:sz="8" w:space="0" w:color="auto"/>
        <w:right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92">
    <w:name w:val="xl92"/>
    <w:basedOn w:val="Navaden"/>
    <w:rsid w:val="007025D2"/>
    <w:pP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93">
    <w:name w:val="xl93"/>
    <w:basedOn w:val="Navaden"/>
    <w:rsid w:val="007025D2"/>
    <w:pPr>
      <w:pBdr>
        <w:top w:val="single" w:sz="8" w:space="0" w:color="auto"/>
        <w:left w:val="single" w:sz="8" w:space="0" w:color="auto"/>
        <w:right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94">
    <w:name w:val="xl94"/>
    <w:basedOn w:val="Navaden"/>
    <w:rsid w:val="007025D2"/>
    <w:pPr>
      <w:pBdr>
        <w:top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95">
    <w:name w:val="xl95"/>
    <w:basedOn w:val="Navaden"/>
    <w:rsid w:val="007025D2"/>
    <w:pPr>
      <w:pBdr>
        <w:top w:val="single" w:sz="8" w:space="0" w:color="auto"/>
        <w:left w:val="single" w:sz="8" w:space="0" w:color="auto"/>
        <w:right w:val="single" w:sz="8" w:space="0" w:color="auto"/>
      </w:pBdr>
      <w:shd w:val="clear" w:color="000000" w:fill="8DB4E3"/>
      <w:spacing w:before="100" w:beforeAutospacing="1" w:after="100" w:afterAutospacing="1" w:line="240" w:lineRule="auto"/>
    </w:pPr>
    <w:rPr>
      <w:rFonts w:ascii="Arial Narrow" w:hAnsi="Arial Narrow" w:cs="Arial"/>
      <w:b/>
      <w:bCs/>
      <w:sz w:val="16"/>
      <w:szCs w:val="16"/>
      <w:lang w:eastAsia="sl-SI"/>
    </w:rPr>
  </w:style>
  <w:style w:type="paragraph" w:customStyle="1" w:styleId="xl96">
    <w:name w:val="xl96"/>
    <w:basedOn w:val="Navaden"/>
    <w:rsid w:val="007025D2"/>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97">
    <w:name w:val="xl97"/>
    <w:basedOn w:val="Navaden"/>
    <w:rsid w:val="007025D2"/>
    <w:pPr>
      <w:pBdr>
        <w:top w:val="single" w:sz="8" w:space="0" w:color="auto"/>
        <w:left w:val="single" w:sz="8" w:space="0" w:color="auto"/>
        <w:right w:val="single" w:sz="4"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98">
    <w:name w:val="xl98"/>
    <w:basedOn w:val="Navaden"/>
    <w:rsid w:val="007025D2"/>
    <w:pPr>
      <w:pBdr>
        <w:top w:val="single" w:sz="8" w:space="0" w:color="auto"/>
        <w:left w:val="single" w:sz="4"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99">
    <w:name w:val="xl99"/>
    <w:basedOn w:val="Navaden"/>
    <w:rsid w:val="007025D2"/>
    <w:pPr>
      <w:pBdr>
        <w:top w:val="single" w:sz="8" w:space="0" w:color="auto"/>
        <w:left w:val="single" w:sz="4" w:space="0" w:color="auto"/>
      </w:pBdr>
      <w:shd w:val="clear" w:color="000000" w:fill="FF33CC"/>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00">
    <w:name w:val="xl100"/>
    <w:basedOn w:val="Navaden"/>
    <w:rsid w:val="007025D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01">
    <w:name w:val="xl101"/>
    <w:basedOn w:val="Navaden"/>
    <w:rsid w:val="007025D2"/>
    <w:pPr>
      <w:pBdr>
        <w:left w:val="single" w:sz="8" w:space="0" w:color="auto"/>
        <w:bottom w:val="single" w:sz="8" w:space="0" w:color="auto"/>
        <w:right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02">
    <w:name w:val="xl102"/>
    <w:basedOn w:val="Navaden"/>
    <w:rsid w:val="007025D2"/>
    <w:pPr>
      <w:pBdr>
        <w:bottom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03">
    <w:name w:val="xl103"/>
    <w:basedOn w:val="Navaden"/>
    <w:rsid w:val="007025D2"/>
    <w:pPr>
      <w:pBdr>
        <w:left w:val="single" w:sz="8" w:space="0" w:color="auto"/>
        <w:bottom w:val="single" w:sz="8" w:space="0" w:color="auto"/>
        <w:right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04">
    <w:name w:val="xl104"/>
    <w:basedOn w:val="Navaden"/>
    <w:rsid w:val="007025D2"/>
    <w:pP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05">
    <w:name w:val="xl105"/>
    <w:basedOn w:val="Navaden"/>
    <w:rsid w:val="007025D2"/>
    <w:pPr>
      <w:pBdr>
        <w:left w:val="single" w:sz="8" w:space="0" w:color="auto"/>
        <w:bottom w:val="single" w:sz="8" w:space="0" w:color="auto"/>
        <w:right w:val="single" w:sz="8" w:space="0" w:color="auto"/>
      </w:pBdr>
      <w:shd w:val="clear" w:color="000000" w:fill="8DB4E3"/>
      <w:spacing w:before="100" w:beforeAutospacing="1" w:after="100" w:afterAutospacing="1" w:line="240" w:lineRule="auto"/>
    </w:pPr>
    <w:rPr>
      <w:rFonts w:ascii="Arial Narrow" w:hAnsi="Arial Narrow" w:cs="Arial"/>
      <w:b/>
      <w:bCs/>
      <w:sz w:val="16"/>
      <w:szCs w:val="16"/>
      <w:lang w:eastAsia="sl-SI"/>
    </w:rPr>
  </w:style>
  <w:style w:type="paragraph" w:customStyle="1" w:styleId="xl106">
    <w:name w:val="xl106"/>
    <w:basedOn w:val="Navaden"/>
    <w:rsid w:val="007025D2"/>
    <w:pPr>
      <w:pBdr>
        <w:top w:val="single" w:sz="4" w:space="0" w:color="auto"/>
        <w:left w:val="single" w:sz="8" w:space="0" w:color="auto"/>
        <w:right w:val="single" w:sz="4" w:space="0" w:color="auto"/>
      </w:pBdr>
      <w:shd w:val="clear" w:color="000000" w:fill="8DB4E3"/>
      <w:spacing w:before="100" w:beforeAutospacing="1" w:after="100" w:afterAutospacing="1" w:line="240" w:lineRule="auto"/>
      <w:jc w:val="center"/>
    </w:pPr>
    <w:rPr>
      <w:rFonts w:ascii="Arial Narrow" w:hAnsi="Arial Narrow" w:cs="Arial"/>
      <w:sz w:val="16"/>
      <w:szCs w:val="16"/>
      <w:lang w:eastAsia="sl-SI"/>
    </w:rPr>
  </w:style>
  <w:style w:type="paragraph" w:customStyle="1" w:styleId="xl107">
    <w:name w:val="xl107"/>
    <w:basedOn w:val="Navaden"/>
    <w:rsid w:val="007025D2"/>
    <w:pPr>
      <w:pBdr>
        <w:left w:val="single" w:sz="8" w:space="0" w:color="auto"/>
        <w:bottom w:val="single" w:sz="8" w:space="0" w:color="auto"/>
        <w:right w:val="single" w:sz="4"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08">
    <w:name w:val="xl108"/>
    <w:basedOn w:val="Navaden"/>
    <w:rsid w:val="007025D2"/>
    <w:pPr>
      <w:pBdr>
        <w:left w:val="single" w:sz="4" w:space="0" w:color="auto"/>
        <w:bottom w:val="single" w:sz="8"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09">
    <w:name w:val="xl109"/>
    <w:basedOn w:val="Navaden"/>
    <w:rsid w:val="007025D2"/>
    <w:pPr>
      <w:pBdr>
        <w:left w:val="single" w:sz="4" w:space="0" w:color="auto"/>
      </w:pBdr>
      <w:shd w:val="clear" w:color="000000" w:fill="FF33CC"/>
      <w:spacing w:before="100" w:beforeAutospacing="1" w:after="100" w:afterAutospacing="1" w:line="240" w:lineRule="auto"/>
      <w:jc w:val="center"/>
    </w:pPr>
    <w:rPr>
      <w:rFonts w:ascii="Arial Narrow" w:hAnsi="Arial Narrow" w:cs="Arial"/>
      <w:sz w:val="16"/>
      <w:szCs w:val="16"/>
      <w:lang w:eastAsia="sl-SI"/>
    </w:rPr>
  </w:style>
  <w:style w:type="paragraph" w:customStyle="1" w:styleId="xl110">
    <w:name w:val="xl110"/>
    <w:basedOn w:val="Navaden"/>
    <w:rsid w:val="007025D2"/>
    <w:pPr>
      <w:pBdr>
        <w:top w:val="single" w:sz="4" w:space="0" w:color="auto"/>
        <w:left w:val="single" w:sz="8"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11">
    <w:name w:val="xl111"/>
    <w:basedOn w:val="Navaden"/>
    <w:rsid w:val="007025D2"/>
    <w:pPr>
      <w:pBdr>
        <w:top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12">
    <w:name w:val="xl112"/>
    <w:basedOn w:val="Navaden"/>
    <w:rsid w:val="007025D2"/>
    <w:pPr>
      <w:pBdr>
        <w:top w:val="single" w:sz="8" w:space="0" w:color="auto"/>
        <w:left w:val="single" w:sz="8"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13">
    <w:name w:val="xl113"/>
    <w:basedOn w:val="Navaden"/>
    <w:rsid w:val="007025D2"/>
    <w:pPr>
      <w:pBdr>
        <w:top w:val="single" w:sz="8"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14">
    <w:name w:val="xl114"/>
    <w:basedOn w:val="Navaden"/>
    <w:rsid w:val="007025D2"/>
    <w:pPr>
      <w:pBdr>
        <w:top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15">
    <w:name w:val="xl115"/>
    <w:basedOn w:val="Navaden"/>
    <w:rsid w:val="007025D2"/>
    <w:pPr>
      <w:pBdr>
        <w:top w:val="single" w:sz="8" w:space="0" w:color="auto"/>
        <w:left w:val="single" w:sz="8" w:space="0" w:color="auto"/>
      </w:pBdr>
      <w:shd w:val="clear" w:color="000000" w:fill="8DB4E3"/>
      <w:spacing w:before="100" w:beforeAutospacing="1" w:after="100" w:afterAutospacing="1" w:line="240" w:lineRule="auto"/>
    </w:pPr>
    <w:rPr>
      <w:rFonts w:ascii="Arial Narrow" w:hAnsi="Arial Narrow" w:cs="Arial"/>
      <w:b/>
      <w:bCs/>
      <w:sz w:val="16"/>
      <w:szCs w:val="16"/>
      <w:lang w:eastAsia="sl-SI"/>
    </w:rPr>
  </w:style>
  <w:style w:type="paragraph" w:customStyle="1" w:styleId="xl116">
    <w:name w:val="xl116"/>
    <w:basedOn w:val="Navaden"/>
    <w:rsid w:val="007025D2"/>
    <w:pPr>
      <w:pBdr>
        <w:top w:val="single" w:sz="8" w:space="0" w:color="auto"/>
        <w:right w:val="single" w:sz="8" w:space="0" w:color="auto"/>
      </w:pBdr>
      <w:shd w:val="clear" w:color="000000" w:fill="8DB4E3"/>
      <w:spacing w:before="100" w:beforeAutospacing="1" w:after="100" w:afterAutospacing="1" w:line="240" w:lineRule="auto"/>
    </w:pPr>
    <w:rPr>
      <w:rFonts w:ascii="Arial Narrow" w:hAnsi="Arial Narrow" w:cs="Arial"/>
      <w:b/>
      <w:bCs/>
      <w:sz w:val="16"/>
      <w:szCs w:val="16"/>
      <w:lang w:eastAsia="sl-SI"/>
    </w:rPr>
  </w:style>
  <w:style w:type="paragraph" w:customStyle="1" w:styleId="xl117">
    <w:name w:val="xl117"/>
    <w:basedOn w:val="Navaden"/>
    <w:rsid w:val="007025D2"/>
    <w:pPr>
      <w:pBdr>
        <w:top w:val="single" w:sz="8" w:space="0" w:color="auto"/>
        <w:left w:val="single" w:sz="8"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18">
    <w:name w:val="xl118"/>
    <w:basedOn w:val="Navaden"/>
    <w:rsid w:val="007025D2"/>
    <w:pPr>
      <w:pBdr>
        <w:top w:val="single" w:sz="8"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19">
    <w:name w:val="xl119"/>
    <w:basedOn w:val="Navaden"/>
    <w:rsid w:val="007025D2"/>
    <w:pPr>
      <w:pBdr>
        <w:top w:val="single" w:sz="8" w:space="0" w:color="auto"/>
        <w:left w:val="single" w:sz="8" w:space="0" w:color="auto"/>
      </w:pBdr>
      <w:shd w:val="clear" w:color="000000" w:fill="FFCCFF"/>
      <w:spacing w:before="100" w:beforeAutospacing="1" w:after="100" w:afterAutospacing="1" w:line="240" w:lineRule="auto"/>
    </w:pPr>
    <w:rPr>
      <w:rFonts w:ascii="Arial Narrow" w:hAnsi="Arial Narrow" w:cs="Arial"/>
      <w:b/>
      <w:bCs/>
      <w:sz w:val="16"/>
      <w:szCs w:val="16"/>
      <w:lang w:eastAsia="sl-SI"/>
    </w:rPr>
  </w:style>
  <w:style w:type="paragraph" w:customStyle="1" w:styleId="xl120">
    <w:name w:val="xl120"/>
    <w:basedOn w:val="Navaden"/>
    <w:rsid w:val="007025D2"/>
    <w:pPr>
      <w:pBdr>
        <w:top w:val="single" w:sz="8" w:space="0" w:color="auto"/>
        <w:left w:val="single" w:sz="8" w:space="0" w:color="auto"/>
        <w:righ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21">
    <w:name w:val="xl121"/>
    <w:basedOn w:val="Navaden"/>
    <w:rsid w:val="007025D2"/>
    <w:pPr>
      <w:pBdr>
        <w:top w:val="single" w:sz="8" w:space="0" w:color="auto"/>
        <w:bottom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22">
    <w:name w:val="xl122"/>
    <w:basedOn w:val="Navaden"/>
    <w:rsid w:val="007025D2"/>
    <w:pPr>
      <w:pBdr>
        <w:top w:val="single" w:sz="8" w:space="0" w:color="auto"/>
        <w:bottom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23">
    <w:name w:val="xl123"/>
    <w:basedOn w:val="Navaden"/>
    <w:rsid w:val="007025D2"/>
    <w:pPr>
      <w:pBdr>
        <w:top w:val="single" w:sz="8" w:space="0" w:color="auto"/>
        <w:bottom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24">
    <w:name w:val="xl124"/>
    <w:basedOn w:val="Navaden"/>
    <w:rsid w:val="007025D2"/>
    <w:pPr>
      <w:pBdr>
        <w:lef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25">
    <w:name w:val="xl125"/>
    <w:basedOn w:val="Navaden"/>
    <w:rsid w:val="007025D2"/>
    <w:pPr>
      <w:pBdr>
        <w:righ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26">
    <w:name w:val="xl126"/>
    <w:basedOn w:val="Navaden"/>
    <w:rsid w:val="007025D2"/>
    <w:pPr>
      <w:pBdr>
        <w:left w:val="single" w:sz="8" w:space="0" w:color="auto"/>
        <w:bottom w:val="single" w:sz="8"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27">
    <w:name w:val="xl127"/>
    <w:basedOn w:val="Navaden"/>
    <w:rsid w:val="007025D2"/>
    <w:pPr>
      <w:pBdr>
        <w:bottom w:val="single" w:sz="8"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28">
    <w:name w:val="xl128"/>
    <w:basedOn w:val="Navaden"/>
    <w:rsid w:val="007025D2"/>
    <w:pPr>
      <w:pBdr>
        <w:left w:val="single" w:sz="8" w:space="0" w:color="auto"/>
        <w:bottom w:val="single" w:sz="8" w:space="0" w:color="auto"/>
      </w:pBdr>
      <w:shd w:val="clear" w:color="000000" w:fill="FFCCFF"/>
      <w:spacing w:before="100" w:beforeAutospacing="1" w:after="100" w:afterAutospacing="1" w:line="240" w:lineRule="auto"/>
    </w:pPr>
    <w:rPr>
      <w:rFonts w:ascii="Arial Narrow" w:hAnsi="Arial Narrow" w:cs="Arial"/>
      <w:b/>
      <w:bCs/>
      <w:sz w:val="16"/>
      <w:szCs w:val="16"/>
      <w:lang w:eastAsia="sl-SI"/>
    </w:rPr>
  </w:style>
  <w:style w:type="paragraph" w:customStyle="1" w:styleId="xl129">
    <w:name w:val="xl129"/>
    <w:basedOn w:val="Navaden"/>
    <w:rsid w:val="00702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30">
    <w:name w:val="xl130"/>
    <w:basedOn w:val="Navaden"/>
    <w:rsid w:val="007025D2"/>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31">
    <w:name w:val="xl131"/>
    <w:basedOn w:val="Navaden"/>
    <w:rsid w:val="007025D2"/>
    <w:pPr>
      <w:pBdr>
        <w:right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32">
    <w:name w:val="xl132"/>
    <w:basedOn w:val="Navaden"/>
    <w:rsid w:val="007025D2"/>
    <w:pPr>
      <w:pBdr>
        <w:left w:val="single" w:sz="8"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33">
    <w:name w:val="xl133"/>
    <w:basedOn w:val="Navaden"/>
    <w:rsid w:val="007025D2"/>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34">
    <w:name w:val="xl134"/>
    <w:basedOn w:val="Navaden"/>
    <w:rsid w:val="00702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35">
    <w:name w:val="xl135"/>
    <w:basedOn w:val="Navaden"/>
    <w:rsid w:val="007025D2"/>
    <w:pPr>
      <w:pBdr>
        <w:righ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36">
    <w:name w:val="xl136"/>
    <w:basedOn w:val="Navaden"/>
    <w:rsid w:val="007025D2"/>
    <w:pPr>
      <w:pBdr>
        <w:lef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37">
    <w:name w:val="xl137"/>
    <w:basedOn w:val="Navaden"/>
    <w:rsid w:val="007025D2"/>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pPr>
    <w:rPr>
      <w:rFonts w:ascii="Arial Narrow" w:hAnsi="Arial Narrow" w:cs="Arial"/>
      <w:sz w:val="16"/>
      <w:szCs w:val="16"/>
      <w:lang w:eastAsia="sl-SI"/>
    </w:rPr>
  </w:style>
  <w:style w:type="paragraph" w:customStyle="1" w:styleId="xl138">
    <w:name w:val="xl138"/>
    <w:basedOn w:val="Navaden"/>
    <w:rsid w:val="007025D2"/>
    <w:pPr>
      <w:pBdr>
        <w:top w:val="single" w:sz="4" w:space="0" w:color="auto"/>
        <w:left w:val="single" w:sz="4" w:space="0" w:color="auto"/>
        <w:bottom w:val="single" w:sz="4" w:space="0" w:color="auto"/>
        <w:right w:val="single" w:sz="8" w:space="0" w:color="auto"/>
      </w:pBdr>
      <w:shd w:val="clear" w:color="000000" w:fill="8DB4E3"/>
      <w:spacing w:before="100" w:beforeAutospacing="1" w:after="100" w:afterAutospacing="1" w:line="240" w:lineRule="auto"/>
    </w:pPr>
    <w:rPr>
      <w:rFonts w:ascii="Arial Narrow" w:hAnsi="Arial Narrow" w:cs="Arial"/>
      <w:sz w:val="16"/>
      <w:szCs w:val="16"/>
      <w:lang w:eastAsia="sl-SI"/>
    </w:rPr>
  </w:style>
  <w:style w:type="paragraph" w:customStyle="1" w:styleId="xl139">
    <w:name w:val="xl139"/>
    <w:basedOn w:val="Navaden"/>
    <w:rsid w:val="007025D2"/>
    <w:pPr>
      <w:pBdr>
        <w:top w:val="single" w:sz="8"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Arial Narrow" w:hAnsi="Arial Narrow" w:cs="Arial"/>
      <w:sz w:val="16"/>
      <w:szCs w:val="16"/>
      <w:lang w:eastAsia="sl-SI"/>
    </w:rPr>
  </w:style>
  <w:style w:type="paragraph" w:customStyle="1" w:styleId="xl140">
    <w:name w:val="xl140"/>
    <w:basedOn w:val="Navaden"/>
    <w:rsid w:val="007025D2"/>
    <w:pPr>
      <w:pBdr>
        <w:top w:val="single" w:sz="8"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sz w:val="16"/>
      <w:szCs w:val="16"/>
      <w:lang w:eastAsia="sl-SI"/>
    </w:rPr>
  </w:style>
  <w:style w:type="paragraph" w:customStyle="1" w:styleId="xl141">
    <w:name w:val="xl141"/>
    <w:basedOn w:val="Navaden"/>
    <w:rsid w:val="007025D2"/>
    <w:pPr>
      <w:pBdr>
        <w:top w:val="single" w:sz="4" w:space="0" w:color="auto"/>
        <w:bottom w:val="single" w:sz="4" w:space="0" w:color="auto"/>
      </w:pBdr>
      <w:shd w:val="clear" w:color="000000" w:fill="FFCCFF"/>
      <w:spacing w:before="100" w:beforeAutospacing="1" w:after="100" w:afterAutospacing="1" w:line="240" w:lineRule="auto"/>
    </w:pPr>
    <w:rPr>
      <w:rFonts w:ascii="Arial Narrow" w:hAnsi="Arial Narrow" w:cs="Arial"/>
      <w:sz w:val="16"/>
      <w:szCs w:val="16"/>
      <w:lang w:eastAsia="sl-SI"/>
    </w:rPr>
  </w:style>
  <w:style w:type="paragraph" w:customStyle="1" w:styleId="xl142">
    <w:name w:val="xl142"/>
    <w:basedOn w:val="Navaden"/>
    <w:rsid w:val="007025D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43">
    <w:name w:val="xl143"/>
    <w:basedOn w:val="Navaden"/>
    <w:rsid w:val="007025D2"/>
    <w:pPr>
      <w:pBdr>
        <w:top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Arial Narrow" w:hAnsi="Arial Narrow" w:cs="Arial"/>
      <w:sz w:val="16"/>
      <w:szCs w:val="16"/>
      <w:lang w:eastAsia="sl-SI"/>
    </w:rPr>
  </w:style>
  <w:style w:type="paragraph" w:customStyle="1" w:styleId="xl144">
    <w:name w:val="xl144"/>
    <w:basedOn w:val="Navaden"/>
    <w:rsid w:val="007025D2"/>
    <w:pPr>
      <w:pBdr>
        <w:top w:val="single" w:sz="4"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sz w:val="16"/>
      <w:szCs w:val="16"/>
      <w:lang w:eastAsia="sl-SI"/>
    </w:rPr>
  </w:style>
  <w:style w:type="paragraph" w:customStyle="1" w:styleId="xl145">
    <w:name w:val="xl145"/>
    <w:basedOn w:val="Navaden"/>
    <w:rsid w:val="007025D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Narrow" w:hAnsi="Arial Narrow" w:cs="Arial"/>
      <w:b/>
      <w:bCs/>
      <w:sz w:val="16"/>
      <w:szCs w:val="16"/>
      <w:lang w:eastAsia="sl-SI"/>
    </w:rPr>
  </w:style>
  <w:style w:type="paragraph" w:customStyle="1" w:styleId="xl146">
    <w:name w:val="xl146"/>
    <w:basedOn w:val="Navaden"/>
    <w:rsid w:val="007025D2"/>
    <w:pPr>
      <w:pBdr>
        <w:top w:val="single" w:sz="4"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color w:val="C00000"/>
      <w:sz w:val="16"/>
      <w:szCs w:val="16"/>
      <w:lang w:eastAsia="sl-SI"/>
    </w:rPr>
  </w:style>
  <w:style w:type="paragraph" w:customStyle="1" w:styleId="xl147">
    <w:name w:val="xl147"/>
    <w:basedOn w:val="Navaden"/>
    <w:rsid w:val="007025D2"/>
    <w:pPr>
      <w:pBdr>
        <w:left w:val="single" w:sz="8" w:space="0" w:color="auto"/>
      </w:pBdr>
      <w:shd w:val="clear" w:color="000000" w:fill="FF0000"/>
      <w:spacing w:before="100" w:beforeAutospacing="1" w:after="100" w:afterAutospacing="1" w:line="240" w:lineRule="auto"/>
    </w:pPr>
    <w:rPr>
      <w:rFonts w:ascii="Arial Narrow" w:hAnsi="Arial Narrow" w:cs="Arial"/>
      <w:sz w:val="16"/>
      <w:szCs w:val="16"/>
      <w:lang w:eastAsia="sl-SI"/>
    </w:rPr>
  </w:style>
  <w:style w:type="paragraph" w:customStyle="1" w:styleId="xl148">
    <w:name w:val="xl148"/>
    <w:basedOn w:val="Navaden"/>
    <w:rsid w:val="007025D2"/>
    <w:pPr>
      <w:pBdr>
        <w:top w:val="single" w:sz="4"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color w:val="C00000"/>
      <w:sz w:val="16"/>
      <w:szCs w:val="16"/>
      <w:lang w:eastAsia="sl-SI"/>
    </w:rPr>
  </w:style>
  <w:style w:type="paragraph" w:customStyle="1" w:styleId="xl149">
    <w:name w:val="xl149"/>
    <w:basedOn w:val="Navaden"/>
    <w:rsid w:val="007025D2"/>
    <w:pPr>
      <w:pBdr>
        <w:left w:val="single" w:sz="8" w:space="0" w:color="auto"/>
      </w:pBdr>
      <w:shd w:val="clear" w:color="000000" w:fill="FFFFFF"/>
      <w:spacing w:before="100" w:beforeAutospacing="1" w:after="100" w:afterAutospacing="1" w:line="240" w:lineRule="auto"/>
    </w:pPr>
    <w:rPr>
      <w:rFonts w:ascii="Arial Narrow" w:hAnsi="Arial Narrow" w:cs="Arial"/>
      <w:sz w:val="16"/>
      <w:szCs w:val="16"/>
      <w:lang w:eastAsia="sl-SI"/>
    </w:rPr>
  </w:style>
  <w:style w:type="paragraph" w:customStyle="1" w:styleId="xl150">
    <w:name w:val="xl150"/>
    <w:basedOn w:val="Navaden"/>
    <w:rsid w:val="007025D2"/>
    <w:pPr>
      <w:pBdr>
        <w:left w:val="single" w:sz="8" w:space="0" w:color="auto"/>
      </w:pBdr>
      <w:shd w:val="clear" w:color="000000" w:fill="FFFFFF"/>
      <w:spacing w:before="100" w:beforeAutospacing="1" w:after="100" w:afterAutospacing="1" w:line="240" w:lineRule="auto"/>
    </w:pPr>
    <w:rPr>
      <w:rFonts w:ascii="Arial Narrow" w:hAnsi="Arial Narrow" w:cs="Arial"/>
      <w:sz w:val="16"/>
      <w:szCs w:val="16"/>
      <w:lang w:eastAsia="sl-SI"/>
    </w:rPr>
  </w:style>
  <w:style w:type="paragraph" w:customStyle="1" w:styleId="xl151">
    <w:name w:val="xl151"/>
    <w:basedOn w:val="Navaden"/>
    <w:rsid w:val="007025D2"/>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line="240" w:lineRule="auto"/>
    </w:pPr>
    <w:rPr>
      <w:rFonts w:ascii="Arial Narrow" w:hAnsi="Arial Narrow" w:cs="Arial"/>
      <w:sz w:val="16"/>
      <w:szCs w:val="16"/>
      <w:lang w:eastAsia="sl-SI"/>
    </w:rPr>
  </w:style>
  <w:style w:type="paragraph" w:customStyle="1" w:styleId="xl152">
    <w:name w:val="xl152"/>
    <w:basedOn w:val="Navaden"/>
    <w:rsid w:val="007025D2"/>
    <w:pPr>
      <w:pBdr>
        <w:top w:val="single" w:sz="4" w:space="0" w:color="auto"/>
        <w:bottom w:val="single" w:sz="4" w:space="0" w:color="auto"/>
      </w:pBdr>
      <w:shd w:val="clear" w:color="000000" w:fill="FFCCFF"/>
      <w:spacing w:before="100" w:beforeAutospacing="1" w:after="100" w:afterAutospacing="1" w:line="240" w:lineRule="auto"/>
    </w:pPr>
    <w:rPr>
      <w:rFonts w:ascii="Arial Narrow" w:hAnsi="Arial Narrow" w:cs="Arial"/>
      <w:color w:val="C00000"/>
      <w:sz w:val="16"/>
      <w:szCs w:val="16"/>
      <w:lang w:eastAsia="sl-SI"/>
    </w:rPr>
  </w:style>
  <w:style w:type="paragraph" w:customStyle="1" w:styleId="xl153">
    <w:name w:val="xl153"/>
    <w:basedOn w:val="Navaden"/>
    <w:rsid w:val="007025D2"/>
    <w:pPr>
      <w:pBdr>
        <w:bottom w:val="single" w:sz="8" w:space="0" w:color="auto"/>
        <w:right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54">
    <w:name w:val="xl154"/>
    <w:basedOn w:val="Navaden"/>
    <w:rsid w:val="007025D2"/>
    <w:pPr>
      <w:pBdr>
        <w:left w:val="single" w:sz="8" w:space="0" w:color="auto"/>
        <w:bottom w:val="single" w:sz="8"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55">
    <w:name w:val="xl155"/>
    <w:basedOn w:val="Navaden"/>
    <w:rsid w:val="007025D2"/>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line="240" w:lineRule="auto"/>
    </w:pPr>
    <w:rPr>
      <w:rFonts w:ascii="Arial Narrow" w:hAnsi="Arial Narrow" w:cs="Arial"/>
      <w:sz w:val="16"/>
      <w:szCs w:val="16"/>
      <w:lang w:eastAsia="sl-SI"/>
    </w:rPr>
  </w:style>
  <w:style w:type="paragraph" w:customStyle="1" w:styleId="xl156">
    <w:name w:val="xl156"/>
    <w:basedOn w:val="Navaden"/>
    <w:rsid w:val="007025D2"/>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line="240" w:lineRule="auto"/>
    </w:pPr>
    <w:rPr>
      <w:rFonts w:ascii="Arial Narrow" w:hAnsi="Arial Narrow" w:cs="Arial"/>
      <w:sz w:val="16"/>
      <w:szCs w:val="16"/>
      <w:lang w:eastAsia="sl-SI"/>
    </w:rPr>
  </w:style>
  <w:style w:type="paragraph" w:customStyle="1" w:styleId="xl157">
    <w:name w:val="xl157"/>
    <w:basedOn w:val="Navaden"/>
    <w:rsid w:val="007025D2"/>
    <w:pPr>
      <w:pBdr>
        <w:top w:val="single" w:sz="4" w:space="0" w:color="auto"/>
        <w:bottom w:val="single" w:sz="8" w:space="0" w:color="auto"/>
        <w:right w:val="single" w:sz="4" w:space="0" w:color="auto"/>
      </w:pBdr>
      <w:shd w:val="clear" w:color="000000" w:fill="C2D69A"/>
      <w:spacing w:before="100" w:beforeAutospacing="1" w:after="100" w:afterAutospacing="1" w:line="240" w:lineRule="auto"/>
      <w:jc w:val="center"/>
    </w:pPr>
    <w:rPr>
      <w:rFonts w:ascii="Arial Narrow" w:hAnsi="Arial Narrow" w:cs="Arial"/>
      <w:sz w:val="16"/>
      <w:szCs w:val="16"/>
      <w:lang w:eastAsia="sl-SI"/>
    </w:rPr>
  </w:style>
  <w:style w:type="paragraph" w:customStyle="1" w:styleId="xl158">
    <w:name w:val="xl158"/>
    <w:basedOn w:val="Navaden"/>
    <w:rsid w:val="007025D2"/>
    <w:pPr>
      <w:pBdr>
        <w:top w:val="single" w:sz="4" w:space="0" w:color="auto"/>
        <w:left w:val="single" w:sz="4" w:space="0" w:color="auto"/>
        <w:bottom w:val="single" w:sz="8" w:space="0" w:color="auto"/>
        <w:right w:val="single" w:sz="8" w:space="0" w:color="auto"/>
      </w:pBdr>
      <w:shd w:val="clear" w:color="000000" w:fill="C2D69A"/>
      <w:spacing w:before="100" w:beforeAutospacing="1" w:after="100" w:afterAutospacing="1" w:line="240" w:lineRule="auto"/>
      <w:jc w:val="center"/>
    </w:pPr>
    <w:rPr>
      <w:rFonts w:ascii="Arial Narrow" w:hAnsi="Arial Narrow" w:cs="Arial"/>
      <w:b/>
      <w:bCs/>
      <w:color w:val="C00000"/>
      <w:sz w:val="16"/>
      <w:szCs w:val="16"/>
      <w:lang w:eastAsia="sl-SI"/>
    </w:rPr>
  </w:style>
  <w:style w:type="paragraph" w:customStyle="1" w:styleId="xl159">
    <w:name w:val="xl159"/>
    <w:basedOn w:val="Navaden"/>
    <w:rsid w:val="007025D2"/>
    <w:pPr>
      <w:pBdr>
        <w:top w:val="single" w:sz="4" w:space="0" w:color="auto"/>
        <w:bottom w:val="single" w:sz="8" w:space="0" w:color="auto"/>
      </w:pBdr>
      <w:shd w:val="clear" w:color="000000" w:fill="FFCCFF"/>
      <w:spacing w:before="100" w:beforeAutospacing="1" w:after="100" w:afterAutospacing="1" w:line="240" w:lineRule="auto"/>
    </w:pPr>
    <w:rPr>
      <w:rFonts w:ascii="Arial Narrow" w:hAnsi="Arial Narrow" w:cs="Arial"/>
      <w:sz w:val="16"/>
      <w:szCs w:val="16"/>
      <w:lang w:eastAsia="sl-SI"/>
    </w:rPr>
  </w:style>
  <w:style w:type="paragraph" w:customStyle="1" w:styleId="xl160">
    <w:name w:val="xl160"/>
    <w:basedOn w:val="Navaden"/>
    <w:rsid w:val="00702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61">
    <w:name w:val="xl161"/>
    <w:basedOn w:val="Navaden"/>
    <w:rsid w:val="00702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62">
    <w:name w:val="xl162"/>
    <w:basedOn w:val="Navaden"/>
    <w:rsid w:val="00702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hAnsi="Arial Narrow" w:cs="Arial"/>
      <w:b/>
      <w:bCs/>
      <w:sz w:val="16"/>
      <w:szCs w:val="16"/>
      <w:lang w:eastAsia="sl-SI"/>
    </w:rPr>
  </w:style>
  <w:style w:type="paragraph" w:customStyle="1" w:styleId="xl163">
    <w:name w:val="xl163"/>
    <w:basedOn w:val="Navaden"/>
    <w:rsid w:val="007025D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hAnsi="Arial Narrow" w:cs="Arial"/>
      <w:b/>
      <w:bCs/>
      <w:sz w:val="16"/>
      <w:szCs w:val="16"/>
      <w:lang w:eastAsia="sl-SI"/>
    </w:rPr>
  </w:style>
  <w:style w:type="paragraph" w:customStyle="1" w:styleId="xl164">
    <w:name w:val="xl164"/>
    <w:basedOn w:val="Navaden"/>
    <w:rsid w:val="007025D2"/>
    <w:pPr>
      <w:pBdr>
        <w:top w:val="single" w:sz="8" w:space="0" w:color="auto"/>
        <w:left w:val="single" w:sz="8" w:space="0" w:color="auto"/>
        <w:bottom w:val="single" w:sz="4" w:space="0" w:color="auto"/>
        <w:right w:val="single" w:sz="4" w:space="0" w:color="auto"/>
      </w:pBdr>
      <w:shd w:val="clear" w:color="000000" w:fill="538ED5"/>
      <w:spacing w:before="100" w:beforeAutospacing="1" w:after="100" w:afterAutospacing="1" w:line="240" w:lineRule="auto"/>
    </w:pPr>
    <w:rPr>
      <w:rFonts w:ascii="Arial Narrow" w:hAnsi="Arial Narrow" w:cs="Arial"/>
      <w:b/>
      <w:bCs/>
      <w:sz w:val="16"/>
      <w:szCs w:val="16"/>
      <w:lang w:eastAsia="sl-SI"/>
    </w:rPr>
  </w:style>
  <w:style w:type="paragraph" w:customStyle="1" w:styleId="xl165">
    <w:name w:val="xl165"/>
    <w:basedOn w:val="Navaden"/>
    <w:rsid w:val="007025D2"/>
    <w:pPr>
      <w:pBdr>
        <w:top w:val="single" w:sz="8"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pPr>
    <w:rPr>
      <w:rFonts w:ascii="Arial Narrow" w:hAnsi="Arial Narrow" w:cs="Arial"/>
      <w:b/>
      <w:bCs/>
      <w:sz w:val="16"/>
      <w:szCs w:val="16"/>
      <w:lang w:eastAsia="sl-SI"/>
    </w:rPr>
  </w:style>
  <w:style w:type="paragraph" w:customStyle="1" w:styleId="xl166">
    <w:name w:val="xl166"/>
    <w:basedOn w:val="Navaden"/>
    <w:rsid w:val="007025D2"/>
    <w:pPr>
      <w:pBdr>
        <w:top w:val="single" w:sz="8" w:space="0" w:color="auto"/>
        <w:left w:val="single" w:sz="4" w:space="0" w:color="auto"/>
        <w:bottom w:val="single" w:sz="4" w:space="0" w:color="auto"/>
      </w:pBdr>
      <w:shd w:val="clear" w:color="000000" w:fill="538ED5"/>
      <w:spacing w:before="100" w:beforeAutospacing="1" w:after="100" w:afterAutospacing="1" w:line="240" w:lineRule="auto"/>
    </w:pPr>
    <w:rPr>
      <w:rFonts w:ascii="Arial Narrow" w:hAnsi="Arial Narrow" w:cs="Arial"/>
      <w:b/>
      <w:bCs/>
      <w:sz w:val="16"/>
      <w:szCs w:val="16"/>
      <w:lang w:eastAsia="sl-SI"/>
    </w:rPr>
  </w:style>
  <w:style w:type="paragraph" w:customStyle="1" w:styleId="xl167">
    <w:name w:val="xl167"/>
    <w:basedOn w:val="Navaden"/>
    <w:rsid w:val="007025D2"/>
    <w:pPr>
      <w:pBdr>
        <w:top w:val="single" w:sz="8" w:space="0" w:color="auto"/>
        <w:left w:val="single" w:sz="4" w:space="0" w:color="auto"/>
        <w:bottom w:val="single" w:sz="4" w:space="0" w:color="auto"/>
        <w:right w:val="single" w:sz="8" w:space="0" w:color="auto"/>
      </w:pBdr>
      <w:shd w:val="clear" w:color="000000" w:fill="538ED5"/>
      <w:spacing w:before="100" w:beforeAutospacing="1" w:after="100" w:afterAutospacing="1" w:line="240" w:lineRule="auto"/>
    </w:pPr>
    <w:rPr>
      <w:rFonts w:ascii="Arial Narrow" w:hAnsi="Arial Narrow" w:cs="Arial"/>
      <w:b/>
      <w:bCs/>
      <w:sz w:val="16"/>
      <w:szCs w:val="16"/>
      <w:lang w:eastAsia="sl-SI"/>
    </w:rPr>
  </w:style>
  <w:style w:type="paragraph" w:customStyle="1" w:styleId="xl168">
    <w:name w:val="xl168"/>
    <w:basedOn w:val="Navaden"/>
    <w:rsid w:val="007025D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Narrow" w:hAnsi="Arial Narrow" w:cs="Arial"/>
      <w:sz w:val="16"/>
      <w:szCs w:val="16"/>
      <w:lang w:eastAsia="sl-SI"/>
    </w:rPr>
  </w:style>
  <w:style w:type="paragraph" w:customStyle="1" w:styleId="xl169">
    <w:name w:val="xl169"/>
    <w:basedOn w:val="Navaden"/>
    <w:rsid w:val="007025D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hAnsi="Arial Narrow" w:cs="Arial"/>
      <w:b/>
      <w:bCs/>
      <w:sz w:val="14"/>
      <w:szCs w:val="14"/>
      <w:lang w:eastAsia="sl-SI"/>
    </w:rPr>
  </w:style>
  <w:style w:type="paragraph" w:customStyle="1" w:styleId="xl170">
    <w:name w:val="xl170"/>
    <w:basedOn w:val="Navaden"/>
    <w:rsid w:val="007025D2"/>
    <w:pPr>
      <w:pBdr>
        <w:top w:val="single" w:sz="4" w:space="0" w:color="auto"/>
        <w:left w:val="single" w:sz="4" w:space="0" w:color="auto"/>
        <w:bottom w:val="single" w:sz="8" w:space="0" w:color="auto"/>
      </w:pBdr>
      <w:spacing w:before="100" w:beforeAutospacing="1" w:after="100" w:afterAutospacing="1" w:line="240" w:lineRule="auto"/>
    </w:pPr>
    <w:rPr>
      <w:rFonts w:ascii="Arial Narrow" w:hAnsi="Arial Narrow" w:cs="Arial"/>
      <w:b/>
      <w:bCs/>
      <w:sz w:val="14"/>
      <w:szCs w:val="14"/>
      <w:lang w:eastAsia="sl-SI"/>
    </w:rPr>
  </w:style>
  <w:style w:type="paragraph" w:customStyle="1" w:styleId="xl171">
    <w:name w:val="xl171"/>
    <w:basedOn w:val="Navaden"/>
    <w:rsid w:val="007025D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Narrow" w:hAnsi="Arial Narrow" w:cs="Arial"/>
      <w:b/>
      <w:bCs/>
      <w:sz w:val="14"/>
      <w:szCs w:val="14"/>
      <w:lang w:eastAsia="sl-SI"/>
    </w:rPr>
  </w:style>
  <w:style w:type="paragraph" w:customStyle="1" w:styleId="xl172">
    <w:name w:val="xl172"/>
    <w:basedOn w:val="Navaden"/>
    <w:rsid w:val="007025D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hAnsi="Arial Narrow" w:cs="Arial"/>
      <w:b/>
      <w:bCs/>
      <w:sz w:val="22"/>
      <w:szCs w:val="20"/>
      <w:lang w:eastAsia="sl-SI"/>
    </w:rPr>
  </w:style>
  <w:style w:type="paragraph" w:customStyle="1" w:styleId="xl173">
    <w:name w:val="xl173"/>
    <w:basedOn w:val="Navaden"/>
    <w:rsid w:val="007025D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cs="Arial"/>
      <w:sz w:val="22"/>
      <w:szCs w:val="20"/>
      <w:lang w:eastAsia="sl-SI"/>
    </w:rPr>
  </w:style>
  <w:style w:type="paragraph" w:customStyle="1" w:styleId="xl63">
    <w:name w:val="xl63"/>
    <w:basedOn w:val="Navaden"/>
    <w:rsid w:val="007025D2"/>
    <w:pPr>
      <w:spacing w:before="100" w:beforeAutospacing="1" w:after="100" w:afterAutospacing="1" w:line="240" w:lineRule="auto"/>
    </w:pPr>
    <w:rPr>
      <w:rFonts w:ascii="Arial Narrow" w:hAnsi="Arial Narrow" w:cs="Arial"/>
      <w:b/>
      <w:bCs/>
      <w:color w:val="FF0000"/>
      <w:sz w:val="16"/>
      <w:szCs w:val="16"/>
      <w:lang w:eastAsia="sl-SI"/>
    </w:rPr>
  </w:style>
  <w:style w:type="paragraph" w:customStyle="1" w:styleId="xl64">
    <w:name w:val="xl64"/>
    <w:basedOn w:val="Navaden"/>
    <w:rsid w:val="007025D2"/>
    <w:pPr>
      <w:spacing w:before="100" w:beforeAutospacing="1" w:after="100" w:afterAutospacing="1" w:line="240" w:lineRule="auto"/>
    </w:pPr>
    <w:rPr>
      <w:rFonts w:ascii="Arial Narrow" w:hAnsi="Arial Narrow" w:cs="Arial"/>
      <w:sz w:val="24"/>
      <w:szCs w:val="22"/>
      <w:lang w:eastAsia="sl-SI"/>
    </w:rPr>
  </w:style>
  <w:style w:type="character" w:styleId="SledenaHiperpovezava">
    <w:name w:val="FollowedHyperlink"/>
    <w:unhideWhenUsed/>
    <w:rsid w:val="007025D2"/>
    <w:rPr>
      <w:color w:val="800080"/>
      <w:u w:val="single"/>
    </w:rPr>
  </w:style>
  <w:style w:type="paragraph" w:styleId="E-potnipodpis">
    <w:name w:val="E-mail Signature"/>
    <w:basedOn w:val="Navaden"/>
    <w:link w:val="E-potnipodpisZnak"/>
    <w:unhideWhenUsed/>
    <w:rsid w:val="007025D2"/>
    <w:pPr>
      <w:spacing w:line="240" w:lineRule="auto"/>
    </w:pPr>
    <w:rPr>
      <w:rFonts w:ascii="Arial Narrow" w:hAnsi="Arial Narrow"/>
      <w:sz w:val="24"/>
    </w:rPr>
  </w:style>
  <w:style w:type="character" w:customStyle="1" w:styleId="E-potnipodpisZnak">
    <w:name w:val="E-poštni podpis Znak"/>
    <w:basedOn w:val="Privzetapisavaodstavka"/>
    <w:link w:val="E-potnipodpis"/>
    <w:rsid w:val="007025D2"/>
    <w:rPr>
      <w:rFonts w:ascii="Arial Narrow" w:hAnsi="Arial Narrow"/>
      <w:sz w:val="24"/>
      <w:szCs w:val="24"/>
      <w:lang w:eastAsia="en-US"/>
    </w:rPr>
  </w:style>
  <w:style w:type="paragraph" w:customStyle="1" w:styleId="BodyText25">
    <w:name w:val="Body Text 25"/>
    <w:basedOn w:val="Navaden"/>
    <w:rsid w:val="007025D2"/>
    <w:pPr>
      <w:overflowPunct w:val="0"/>
      <w:autoSpaceDE w:val="0"/>
      <w:autoSpaceDN w:val="0"/>
      <w:adjustRightInd w:val="0"/>
      <w:spacing w:line="240" w:lineRule="auto"/>
      <w:jc w:val="both"/>
      <w:textAlignment w:val="baseline"/>
    </w:pPr>
    <w:rPr>
      <w:rFonts w:ascii="Times New Roman" w:hAnsi="Times New Roman" w:cs="Arial"/>
      <w:sz w:val="24"/>
      <w:szCs w:val="20"/>
      <w:lang w:eastAsia="sl-SI"/>
    </w:rPr>
  </w:style>
  <w:style w:type="character" w:customStyle="1" w:styleId="Heading1Char">
    <w:name w:val="Heading 1 Char"/>
    <w:rsid w:val="007025D2"/>
    <w:rPr>
      <w:rFonts w:ascii="Cambria" w:hAnsi="Cambria" w:cs="Times New Roman"/>
      <w:b/>
      <w:bCs/>
      <w:kern w:val="32"/>
      <w:sz w:val="32"/>
      <w:szCs w:val="32"/>
    </w:rPr>
  </w:style>
  <w:style w:type="character" w:customStyle="1" w:styleId="FooterChar">
    <w:name w:val="Footer Char"/>
    <w:rsid w:val="007025D2"/>
    <w:rPr>
      <w:rFonts w:cs="Times New Roman"/>
      <w:lang w:val="en-GB"/>
    </w:rPr>
  </w:style>
  <w:style w:type="character" w:customStyle="1" w:styleId="tevilkastrani0">
    <w:name w:val="?tevilka strani"/>
    <w:uiPriority w:val="99"/>
    <w:rsid w:val="007025D2"/>
    <w:rPr>
      <w:rFonts w:cs="Times New Roman"/>
      <w:sz w:val="20"/>
    </w:rPr>
  </w:style>
  <w:style w:type="paragraph" w:customStyle="1" w:styleId="font8">
    <w:name w:val="font8"/>
    <w:basedOn w:val="Navaden"/>
    <w:uiPriority w:val="99"/>
    <w:rsid w:val="007025D2"/>
    <w:pPr>
      <w:spacing w:before="100" w:beforeAutospacing="1" w:after="100" w:afterAutospacing="1" w:line="240" w:lineRule="auto"/>
    </w:pPr>
    <w:rPr>
      <w:rFonts w:ascii="Calibri" w:hAnsi="Calibri" w:cs="Arial"/>
      <w:color w:val="FF0000"/>
      <w:sz w:val="16"/>
      <w:szCs w:val="16"/>
      <w:lang w:eastAsia="sl-SI"/>
    </w:rPr>
  </w:style>
  <w:style w:type="character" w:customStyle="1" w:styleId="HeaderChar">
    <w:name w:val="Header Char"/>
    <w:uiPriority w:val="99"/>
    <w:rsid w:val="007025D2"/>
    <w:rPr>
      <w:rFonts w:ascii="Calibri" w:hAnsi="Calibri" w:cs="Times New Roman"/>
      <w:sz w:val="22"/>
      <w:szCs w:val="22"/>
      <w:lang w:eastAsia="en-US"/>
    </w:rPr>
  </w:style>
  <w:style w:type="paragraph" w:customStyle="1" w:styleId="NoSpacing2">
    <w:name w:val="No Spacing2"/>
    <w:link w:val="NoSpacingChar"/>
    <w:qFormat/>
    <w:rsid w:val="007025D2"/>
    <w:rPr>
      <w:rFonts w:ascii="Calibri" w:eastAsia="Calibri" w:hAnsi="Calibri" w:cs="Arial"/>
      <w:sz w:val="22"/>
      <w:szCs w:val="22"/>
      <w:lang w:eastAsia="en-US"/>
    </w:rPr>
  </w:style>
  <w:style w:type="character" w:customStyle="1" w:styleId="NoSpacingChar">
    <w:name w:val="No Spacing Char"/>
    <w:link w:val="NoSpacing2"/>
    <w:rsid w:val="007025D2"/>
    <w:rPr>
      <w:rFonts w:ascii="Calibri" w:eastAsia="Calibri" w:hAnsi="Calibri" w:cs="Arial"/>
      <w:sz w:val="22"/>
      <w:szCs w:val="22"/>
      <w:lang w:eastAsia="en-US"/>
    </w:rPr>
  </w:style>
  <w:style w:type="character" w:customStyle="1" w:styleId="BalloonTextChar">
    <w:name w:val="Balloon Text Char"/>
    <w:rsid w:val="007025D2"/>
    <w:rPr>
      <w:rFonts w:ascii="Tahoma" w:hAnsi="Tahoma" w:cs="Tahoma"/>
      <w:sz w:val="16"/>
      <w:szCs w:val="16"/>
      <w:lang w:eastAsia="en-US"/>
    </w:rPr>
  </w:style>
  <w:style w:type="paragraph" w:customStyle="1" w:styleId="Slog">
    <w:name w:val="Slog"/>
    <w:uiPriority w:val="99"/>
    <w:rsid w:val="007025D2"/>
    <w:pPr>
      <w:jc w:val="both"/>
    </w:pPr>
    <w:rPr>
      <w:rFonts w:ascii="Calibri" w:hAnsi="Calibri" w:cs="Arial"/>
      <w:sz w:val="22"/>
      <w:szCs w:val="22"/>
      <w:lang w:eastAsia="en-US"/>
    </w:rPr>
  </w:style>
  <w:style w:type="paragraph" w:styleId="Seznam">
    <w:name w:val="List"/>
    <w:basedOn w:val="Navaden"/>
    <w:rsid w:val="007025D2"/>
    <w:pPr>
      <w:spacing w:before="100" w:beforeAutospacing="1" w:after="100" w:afterAutospacing="1" w:line="240" w:lineRule="auto"/>
    </w:pPr>
    <w:rPr>
      <w:rFonts w:ascii="Times New Roman" w:hAnsi="Times New Roman" w:cs="Arial"/>
      <w:sz w:val="24"/>
      <w:szCs w:val="22"/>
      <w:lang w:eastAsia="sl-SI"/>
    </w:rPr>
  </w:style>
  <w:style w:type="character" w:customStyle="1" w:styleId="spelle">
    <w:name w:val="spelle"/>
    <w:uiPriority w:val="99"/>
    <w:rsid w:val="007025D2"/>
    <w:rPr>
      <w:rFonts w:cs="Times New Roman"/>
    </w:rPr>
  </w:style>
  <w:style w:type="paragraph" w:customStyle="1" w:styleId="ZnakZnakZnakZnakZnakZnakZnakZnak">
    <w:name w:val="Znak Znak Znak Znak Znak Znak Znak Znak"/>
    <w:basedOn w:val="Navaden"/>
    <w:rsid w:val="007025D2"/>
    <w:pPr>
      <w:spacing w:after="160" w:line="240" w:lineRule="exact"/>
    </w:pPr>
    <w:rPr>
      <w:rFonts w:ascii="Tahoma" w:hAnsi="Tahoma" w:cs="Arial"/>
      <w:bCs/>
      <w:color w:val="222222"/>
      <w:sz w:val="22"/>
      <w:szCs w:val="20"/>
      <w:lang w:eastAsia="sl-SI"/>
    </w:rPr>
  </w:style>
  <w:style w:type="character" w:customStyle="1" w:styleId="ZadevapripombeZnak2">
    <w:name w:val="Zadeva pripombe Znak2"/>
    <w:uiPriority w:val="99"/>
    <w:semiHidden/>
    <w:rsid w:val="007025D2"/>
    <w:rPr>
      <w:rFonts w:ascii="Arial" w:hAnsi="Arial"/>
      <w:b/>
      <w:bCs/>
      <w:lang w:val="en-US" w:eastAsia="en-US"/>
    </w:rPr>
  </w:style>
  <w:style w:type="paragraph" w:customStyle="1" w:styleId="tabele">
    <w:name w:val="tabele"/>
    <w:basedOn w:val="Navaden"/>
    <w:rsid w:val="007025D2"/>
    <w:pPr>
      <w:tabs>
        <w:tab w:val="right" w:pos="283"/>
        <w:tab w:val="right" w:pos="567"/>
        <w:tab w:val="right" w:pos="850"/>
        <w:tab w:val="right" w:pos="1134"/>
        <w:tab w:val="right" w:pos="1417"/>
        <w:tab w:val="right" w:pos="1701"/>
        <w:tab w:val="right" w:pos="1984"/>
        <w:tab w:val="right" w:pos="2268"/>
        <w:tab w:val="right" w:pos="2551"/>
        <w:tab w:val="right" w:pos="2835"/>
        <w:tab w:val="right" w:pos="3118"/>
        <w:tab w:val="right" w:pos="3402"/>
        <w:tab w:val="right" w:pos="3685"/>
        <w:tab w:val="right" w:pos="3969"/>
        <w:tab w:val="right" w:pos="4252"/>
        <w:tab w:val="right" w:pos="4535"/>
        <w:tab w:val="right" w:pos="4819"/>
      </w:tabs>
      <w:suppressAutoHyphens/>
      <w:autoSpaceDE w:val="0"/>
      <w:autoSpaceDN w:val="0"/>
      <w:adjustRightInd w:val="0"/>
      <w:spacing w:line="140" w:lineRule="atLeast"/>
      <w:textAlignment w:val="center"/>
    </w:pPr>
    <w:rPr>
      <w:rFonts w:ascii="MyriadPro-Regular" w:hAnsi="MyriadPro-Regular" w:cs="MyriadPro-Regular"/>
      <w:color w:val="000000"/>
      <w:sz w:val="14"/>
      <w:szCs w:val="14"/>
      <w:lang w:val="en-GB" w:eastAsia="sl-SI"/>
    </w:rPr>
  </w:style>
  <w:style w:type="character" w:customStyle="1" w:styleId="orisnoZnakZnakZnakZnakZnakZnakZnakZnak">
    <w:name w:val="o risno Znak Znak Znak Znak Znak Znak Znak Znak"/>
    <w:link w:val="orisnoZnakZnakZnakZnakZnakZnakZnak"/>
    <w:rsid w:val="007025D2"/>
    <w:rPr>
      <w:rFonts w:ascii="Arial Narrow" w:hAnsi="Arial Narrow"/>
      <w:sz w:val="22"/>
      <w:szCs w:val="22"/>
      <w:lang w:eastAsia="en-US"/>
    </w:rPr>
  </w:style>
  <w:style w:type="paragraph" w:customStyle="1" w:styleId="Priloga">
    <w:name w:val="Priloga"/>
    <w:basedOn w:val="Naslov1"/>
    <w:rsid w:val="007025D2"/>
    <w:pPr>
      <w:keepNext w:val="0"/>
      <w:suppressAutoHyphens/>
      <w:spacing w:after="360" w:line="360" w:lineRule="auto"/>
      <w:jc w:val="right"/>
    </w:pPr>
    <w:rPr>
      <w:rFonts w:ascii="Arial Narrow" w:hAnsi="Arial Narrow"/>
      <w:bCs/>
      <w:i/>
      <w:noProof/>
      <w:spacing w:val="30"/>
      <w:kern w:val="0"/>
      <w:szCs w:val="24"/>
      <w:lang w:eastAsia="en-US"/>
    </w:rPr>
  </w:style>
  <w:style w:type="paragraph" w:customStyle="1" w:styleId="xl24">
    <w:name w:val="xl24"/>
    <w:basedOn w:val="Navaden"/>
    <w:rsid w:val="007025D2"/>
    <w:pPr>
      <w:spacing w:before="100" w:beforeAutospacing="1" w:after="100" w:afterAutospacing="1" w:line="240" w:lineRule="auto"/>
    </w:pPr>
    <w:rPr>
      <w:rFonts w:ascii="Arial Narrow" w:hAnsi="Arial Narrow" w:cs="Arial"/>
      <w:b/>
      <w:bCs/>
      <w:color w:val="0000FF"/>
      <w:sz w:val="24"/>
      <w:szCs w:val="22"/>
      <w:lang w:eastAsia="sl-SI"/>
    </w:rPr>
  </w:style>
  <w:style w:type="paragraph" w:customStyle="1" w:styleId="orisnoZnak">
    <w:name w:val="o risno Znak"/>
    <w:basedOn w:val="Navaden"/>
    <w:link w:val="orisnoZnakZnak1"/>
    <w:rsid w:val="007025D2"/>
    <w:pPr>
      <w:tabs>
        <w:tab w:val="num" w:pos="357"/>
      </w:tabs>
      <w:suppressAutoHyphens/>
      <w:spacing w:after="60" w:line="240" w:lineRule="auto"/>
      <w:ind w:left="397" w:hanging="397"/>
      <w:jc w:val="both"/>
    </w:pPr>
    <w:rPr>
      <w:rFonts w:ascii="Arial Narrow" w:hAnsi="Arial Narrow"/>
      <w:color w:val="000000"/>
      <w:sz w:val="22"/>
      <w:szCs w:val="22"/>
    </w:rPr>
  </w:style>
  <w:style w:type="character" w:customStyle="1" w:styleId="orisnoZnakZnak1">
    <w:name w:val="o risno Znak Znak1"/>
    <w:link w:val="orisnoZnak"/>
    <w:rsid w:val="007025D2"/>
    <w:rPr>
      <w:rFonts w:ascii="Arial Narrow" w:hAnsi="Arial Narrow"/>
      <w:color w:val="000000"/>
      <w:sz w:val="22"/>
      <w:szCs w:val="22"/>
      <w:lang w:eastAsia="en-US"/>
    </w:rPr>
  </w:style>
  <w:style w:type="paragraph" w:customStyle="1" w:styleId="orisnoZnakZnak">
    <w:name w:val="o risno Znak Znak"/>
    <w:basedOn w:val="Navaden"/>
    <w:rsid w:val="007025D2"/>
    <w:pPr>
      <w:tabs>
        <w:tab w:val="num" w:pos="357"/>
      </w:tabs>
      <w:suppressAutoHyphens/>
      <w:spacing w:after="60" w:line="240" w:lineRule="auto"/>
      <w:ind w:left="397" w:hanging="397"/>
      <w:jc w:val="both"/>
    </w:pPr>
    <w:rPr>
      <w:rFonts w:ascii="Times New Roman" w:hAnsi="Times New Roman" w:cs="Arial"/>
      <w:color w:val="000000"/>
      <w:sz w:val="22"/>
      <w:szCs w:val="22"/>
    </w:rPr>
  </w:style>
  <w:style w:type="paragraph" w:customStyle="1" w:styleId="teks">
    <w:name w:val="teks"/>
    <w:basedOn w:val="Navaden"/>
    <w:rsid w:val="007025D2"/>
    <w:pPr>
      <w:autoSpaceDE w:val="0"/>
      <w:autoSpaceDN w:val="0"/>
      <w:adjustRightInd w:val="0"/>
      <w:spacing w:line="200" w:lineRule="atLeast"/>
      <w:jc w:val="both"/>
      <w:textAlignment w:val="center"/>
    </w:pPr>
    <w:rPr>
      <w:rFonts w:ascii="SSHelvetica-Light" w:hAnsi="SSHelvetica-Light" w:cs="Arial"/>
      <w:color w:val="000000"/>
      <w:sz w:val="16"/>
      <w:szCs w:val="16"/>
      <w:lang w:val="sk-SK" w:eastAsia="sl-SI"/>
    </w:rPr>
  </w:style>
  <w:style w:type="paragraph" w:customStyle="1" w:styleId="NormalParagraphStyle">
    <w:name w:val="NormalParagraphStyle"/>
    <w:basedOn w:val="Navaden"/>
    <w:rsid w:val="007025D2"/>
    <w:pPr>
      <w:autoSpaceDE w:val="0"/>
      <w:autoSpaceDN w:val="0"/>
      <w:adjustRightInd w:val="0"/>
      <w:spacing w:line="288" w:lineRule="auto"/>
      <w:textAlignment w:val="center"/>
    </w:pPr>
    <w:rPr>
      <w:rFonts w:ascii="Times New Roman" w:hAnsi="Times New Roman" w:cs="Arial"/>
      <w:color w:val="000000"/>
      <w:sz w:val="24"/>
      <w:szCs w:val="22"/>
      <w:lang w:val="en-GB" w:eastAsia="sl-SI"/>
    </w:rPr>
  </w:style>
  <w:style w:type="numbering" w:styleId="111111">
    <w:name w:val="Outline List 2"/>
    <w:basedOn w:val="Brezseznama"/>
    <w:rsid w:val="007025D2"/>
  </w:style>
  <w:style w:type="paragraph" w:customStyle="1" w:styleId="xl23">
    <w:name w:val="xl23"/>
    <w:basedOn w:val="Navaden"/>
    <w:rsid w:val="007025D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textAlignment w:val="top"/>
    </w:pPr>
    <w:rPr>
      <w:rFonts w:ascii="Times New Roman" w:hAnsi="Times New Roman" w:cs="Arial"/>
      <w:b/>
      <w:bCs/>
      <w:sz w:val="22"/>
      <w:szCs w:val="22"/>
      <w:lang w:eastAsia="sl-SI" w:bidi="mni-IN"/>
    </w:rPr>
  </w:style>
  <w:style w:type="paragraph" w:customStyle="1" w:styleId="xl25">
    <w:name w:val="xl25"/>
    <w:basedOn w:val="Navaden"/>
    <w:rsid w:val="007025D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26">
    <w:name w:val="xl26"/>
    <w:basedOn w:val="Navaden"/>
    <w:rsid w:val="007025D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cs="Arial"/>
      <w:b/>
      <w:bCs/>
      <w:sz w:val="22"/>
      <w:szCs w:val="22"/>
      <w:lang w:eastAsia="sl-SI" w:bidi="mni-IN"/>
    </w:rPr>
  </w:style>
  <w:style w:type="paragraph" w:customStyle="1" w:styleId="xl27">
    <w:name w:val="xl27"/>
    <w:basedOn w:val="Navaden"/>
    <w:rsid w:val="007025D2"/>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28">
    <w:name w:val="xl28"/>
    <w:basedOn w:val="Navaden"/>
    <w:rsid w:val="007025D2"/>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cs="Arial"/>
      <w:b/>
      <w:bCs/>
      <w:sz w:val="22"/>
      <w:szCs w:val="22"/>
      <w:lang w:eastAsia="sl-SI" w:bidi="mni-IN"/>
    </w:rPr>
  </w:style>
  <w:style w:type="paragraph" w:customStyle="1" w:styleId="xl29">
    <w:name w:val="xl29"/>
    <w:basedOn w:val="Navaden"/>
    <w:rsid w:val="007025D2"/>
    <w:pPr>
      <w:pBdr>
        <w:left w:val="single" w:sz="8" w:space="0" w:color="auto"/>
        <w:bottom w:val="single" w:sz="8" w:space="0" w:color="auto"/>
        <w:right w:val="single" w:sz="8" w:space="0" w:color="auto"/>
      </w:pBdr>
      <w:shd w:val="clear" w:color="auto" w:fill="FFFFFF"/>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30">
    <w:name w:val="xl30"/>
    <w:basedOn w:val="Navaden"/>
    <w:rsid w:val="007025D2"/>
    <w:pPr>
      <w:pBdr>
        <w:bottom w:val="single" w:sz="8" w:space="0" w:color="auto"/>
        <w:right w:val="single" w:sz="8" w:space="0" w:color="auto"/>
      </w:pBdr>
      <w:shd w:val="clear" w:color="auto" w:fill="FFFFFF"/>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31">
    <w:name w:val="xl31"/>
    <w:basedOn w:val="Navaden"/>
    <w:rsid w:val="007025D2"/>
    <w:pPr>
      <w:pBdr>
        <w:top w:val="single" w:sz="8" w:space="0" w:color="auto"/>
        <w:bottom w:val="single" w:sz="8" w:space="0" w:color="auto"/>
        <w:right w:val="single" w:sz="8" w:space="0" w:color="auto"/>
      </w:pBdr>
      <w:shd w:val="clear" w:color="auto" w:fill="FFFFFF"/>
      <w:spacing w:before="100" w:beforeAutospacing="1" w:after="100" w:afterAutospacing="1" w:line="240" w:lineRule="auto"/>
      <w:textAlignment w:val="top"/>
    </w:pPr>
    <w:rPr>
      <w:rFonts w:ascii="Times New Roman" w:hAnsi="Times New Roman" w:cs="Arial"/>
      <w:b/>
      <w:bCs/>
      <w:sz w:val="22"/>
      <w:szCs w:val="22"/>
      <w:lang w:eastAsia="sl-SI" w:bidi="mni-IN"/>
    </w:rPr>
  </w:style>
  <w:style w:type="paragraph" w:customStyle="1" w:styleId="xl32">
    <w:name w:val="xl32"/>
    <w:basedOn w:val="Navaden"/>
    <w:rsid w:val="007025D2"/>
    <w:pPr>
      <w:pBdr>
        <w:bottom w:val="single" w:sz="8" w:space="0" w:color="auto"/>
        <w:right w:val="single" w:sz="8" w:space="0" w:color="auto"/>
      </w:pBdr>
      <w:shd w:val="clear" w:color="auto" w:fill="FFFFFF"/>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33">
    <w:name w:val="xl33"/>
    <w:basedOn w:val="Navaden"/>
    <w:rsid w:val="007025D2"/>
    <w:pPr>
      <w:pBdr>
        <w:bottom w:val="single" w:sz="8" w:space="0" w:color="auto"/>
        <w:right w:val="single" w:sz="8" w:space="0" w:color="auto"/>
      </w:pBdr>
      <w:spacing w:before="100" w:beforeAutospacing="1" w:after="100" w:afterAutospacing="1" w:line="240" w:lineRule="auto"/>
      <w:jc w:val="right"/>
    </w:pPr>
    <w:rPr>
      <w:rFonts w:ascii="Times New Roman" w:hAnsi="Times New Roman" w:cs="Arial"/>
      <w:sz w:val="22"/>
      <w:szCs w:val="22"/>
      <w:lang w:eastAsia="sl-SI" w:bidi="mni-IN"/>
    </w:rPr>
  </w:style>
  <w:style w:type="paragraph" w:customStyle="1" w:styleId="xl34">
    <w:name w:val="xl34"/>
    <w:basedOn w:val="Navaden"/>
    <w:rsid w:val="007025D2"/>
    <w:pPr>
      <w:pBdr>
        <w:bottom w:val="single" w:sz="8" w:space="0" w:color="auto"/>
        <w:right w:val="single" w:sz="8" w:space="0" w:color="auto"/>
      </w:pBdr>
      <w:spacing w:before="100" w:beforeAutospacing="1" w:after="100" w:afterAutospacing="1" w:line="240" w:lineRule="auto"/>
      <w:jc w:val="right"/>
    </w:pPr>
    <w:rPr>
      <w:rFonts w:ascii="Times New Roman" w:hAnsi="Times New Roman" w:cs="Arial"/>
      <w:b/>
      <w:bCs/>
      <w:sz w:val="22"/>
      <w:szCs w:val="22"/>
      <w:lang w:eastAsia="sl-SI" w:bidi="mni-IN"/>
    </w:rPr>
  </w:style>
  <w:style w:type="paragraph" w:customStyle="1" w:styleId="xl35">
    <w:name w:val="xl35"/>
    <w:basedOn w:val="Navaden"/>
    <w:rsid w:val="007025D2"/>
    <w:pPr>
      <w:pBdr>
        <w:bottom w:val="single" w:sz="8" w:space="0" w:color="auto"/>
        <w:right w:val="single" w:sz="8" w:space="0" w:color="auto"/>
      </w:pBdr>
      <w:shd w:val="clear" w:color="auto" w:fill="FFFFFF"/>
      <w:spacing w:before="100" w:beforeAutospacing="1" w:after="100" w:afterAutospacing="1" w:line="240" w:lineRule="auto"/>
      <w:jc w:val="right"/>
      <w:textAlignment w:val="top"/>
    </w:pPr>
    <w:rPr>
      <w:rFonts w:ascii="Times New Roman" w:hAnsi="Times New Roman" w:cs="Arial"/>
      <w:sz w:val="22"/>
      <w:szCs w:val="22"/>
      <w:lang w:eastAsia="sl-SI" w:bidi="mni-IN"/>
    </w:rPr>
  </w:style>
  <w:style w:type="paragraph" w:customStyle="1" w:styleId="xl36">
    <w:name w:val="xl36"/>
    <w:basedOn w:val="Navaden"/>
    <w:rsid w:val="007025D2"/>
    <w:pPr>
      <w:pBdr>
        <w:bottom w:val="single" w:sz="8" w:space="0" w:color="auto"/>
        <w:right w:val="single" w:sz="12" w:space="0" w:color="auto"/>
      </w:pBdr>
      <w:spacing w:before="100" w:beforeAutospacing="1" w:after="100" w:afterAutospacing="1" w:line="240" w:lineRule="auto"/>
      <w:jc w:val="right"/>
      <w:textAlignment w:val="top"/>
    </w:pPr>
    <w:rPr>
      <w:rFonts w:ascii="Times New Roman" w:hAnsi="Times New Roman" w:cs="Arial"/>
      <w:sz w:val="22"/>
      <w:szCs w:val="22"/>
      <w:lang w:eastAsia="sl-SI" w:bidi="mni-IN"/>
    </w:rPr>
  </w:style>
  <w:style w:type="paragraph" w:customStyle="1" w:styleId="xl37">
    <w:name w:val="xl37"/>
    <w:basedOn w:val="Navaden"/>
    <w:rsid w:val="007025D2"/>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cs="Arial"/>
      <w:b/>
      <w:bCs/>
      <w:color w:val="0000FF"/>
      <w:sz w:val="22"/>
      <w:szCs w:val="22"/>
      <w:lang w:eastAsia="sl-SI" w:bidi="mni-IN"/>
    </w:rPr>
  </w:style>
  <w:style w:type="paragraph" w:customStyle="1" w:styleId="xl38">
    <w:name w:val="xl38"/>
    <w:basedOn w:val="Navaden"/>
    <w:rsid w:val="007025D2"/>
    <w:pPr>
      <w:pBdr>
        <w:left w:val="single" w:sz="8" w:space="0" w:color="auto"/>
        <w:right w:val="single" w:sz="8" w:space="0" w:color="auto"/>
      </w:pBdr>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39">
    <w:name w:val="xl39"/>
    <w:basedOn w:val="Navaden"/>
    <w:rsid w:val="007025D2"/>
    <w:pPr>
      <w:pBdr>
        <w:right w:val="single" w:sz="8" w:space="0" w:color="auto"/>
      </w:pBdr>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40">
    <w:name w:val="xl40"/>
    <w:basedOn w:val="Navaden"/>
    <w:rsid w:val="007025D2"/>
    <w:pPr>
      <w:pBdr>
        <w:right w:val="single" w:sz="8" w:space="0" w:color="auto"/>
      </w:pBdr>
      <w:spacing w:before="100" w:beforeAutospacing="1" w:after="100" w:afterAutospacing="1" w:line="240" w:lineRule="auto"/>
      <w:jc w:val="right"/>
    </w:pPr>
    <w:rPr>
      <w:rFonts w:ascii="Times New Roman" w:hAnsi="Times New Roman" w:cs="Arial"/>
      <w:sz w:val="22"/>
      <w:szCs w:val="22"/>
      <w:lang w:eastAsia="sl-SI" w:bidi="mni-IN"/>
    </w:rPr>
  </w:style>
  <w:style w:type="paragraph" w:customStyle="1" w:styleId="xl41">
    <w:name w:val="xl41"/>
    <w:basedOn w:val="Navaden"/>
    <w:rsid w:val="007025D2"/>
    <w:pPr>
      <w:pBdr>
        <w:right w:val="single" w:sz="8" w:space="0" w:color="auto"/>
      </w:pBdr>
      <w:shd w:val="clear" w:color="auto" w:fill="FFFFFF"/>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xl42">
    <w:name w:val="xl42"/>
    <w:basedOn w:val="Navaden"/>
    <w:rsid w:val="007025D2"/>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cs="Arial"/>
      <w:sz w:val="22"/>
      <w:szCs w:val="22"/>
      <w:lang w:eastAsia="sl-SI" w:bidi="mni-IN"/>
    </w:rPr>
  </w:style>
  <w:style w:type="paragraph" w:customStyle="1" w:styleId="Style">
    <w:name w:val="Style"/>
    <w:rsid w:val="007025D2"/>
    <w:pPr>
      <w:overflowPunct w:val="0"/>
      <w:autoSpaceDE w:val="0"/>
      <w:autoSpaceDN w:val="0"/>
      <w:adjustRightInd w:val="0"/>
      <w:textAlignment w:val="baseline"/>
    </w:pPr>
    <w:rPr>
      <w:rFonts w:ascii="Arial Narrow" w:hAnsi="Arial Narrow" w:cs="Arial"/>
      <w:sz w:val="22"/>
      <w:szCs w:val="22"/>
    </w:rPr>
  </w:style>
  <w:style w:type="paragraph" w:customStyle="1" w:styleId="ZZZS">
    <w:name w:val="ZZZS"/>
    <w:basedOn w:val="Naslov6"/>
    <w:next w:val="Navaden"/>
    <w:link w:val="ZZZSZnak"/>
    <w:rsid w:val="007025D2"/>
    <w:pPr>
      <w:numPr>
        <w:numId w:val="12"/>
      </w:numPr>
      <w:shd w:val="clear" w:color="auto" w:fill="6FFF6F"/>
      <w:spacing w:before="480" w:after="0"/>
    </w:pPr>
    <w:rPr>
      <w:bCs w:val="0"/>
      <w:color w:val="000000"/>
    </w:rPr>
  </w:style>
  <w:style w:type="paragraph" w:customStyle="1" w:styleId="ZDRZZS0">
    <w:name w:val="ZDRZZS"/>
    <w:basedOn w:val="ZZZS"/>
    <w:next w:val="Navaden"/>
    <w:rsid w:val="007025D2"/>
    <w:pPr>
      <w:shd w:val="clear" w:color="auto" w:fill="00FFFF"/>
    </w:pPr>
  </w:style>
  <w:style w:type="paragraph" w:customStyle="1" w:styleId="SOUS0">
    <w:name w:val="SOUS"/>
    <w:basedOn w:val="ZZZS"/>
    <w:link w:val="SOUSZnak"/>
    <w:qFormat/>
    <w:rsid w:val="007025D2"/>
    <w:pPr>
      <w:shd w:val="clear" w:color="auto" w:fill="CC99FF"/>
    </w:pPr>
  </w:style>
  <w:style w:type="paragraph" w:customStyle="1" w:styleId="SlogNaslov3ObojestranskoDesno-114mm">
    <w:name w:val="Slog Naslov 3 + Obojestransko Desno:  -114 mm"/>
    <w:basedOn w:val="Naslov3"/>
    <w:rsid w:val="007025D2"/>
    <w:pPr>
      <w:spacing w:line="240" w:lineRule="auto"/>
      <w:ind w:right="-648"/>
      <w:jc w:val="both"/>
    </w:pPr>
    <w:rPr>
      <w:rFonts w:ascii="Arial" w:hAnsi="Arial"/>
      <w:sz w:val="24"/>
      <w:szCs w:val="20"/>
      <w:lang w:eastAsia="sl-SI"/>
    </w:rPr>
  </w:style>
  <w:style w:type="paragraph" w:customStyle="1" w:styleId="BalloonText1">
    <w:name w:val="Balloon Text1"/>
    <w:basedOn w:val="Navaden"/>
    <w:semiHidden/>
    <w:rsid w:val="007025D2"/>
    <w:pPr>
      <w:spacing w:line="240" w:lineRule="auto"/>
    </w:pPr>
    <w:rPr>
      <w:rFonts w:ascii="Tahoma" w:hAnsi="Tahoma" w:cs="Tahoma"/>
      <w:sz w:val="16"/>
      <w:szCs w:val="16"/>
      <w:lang w:eastAsia="sl-SI"/>
    </w:rPr>
  </w:style>
  <w:style w:type="paragraph" w:customStyle="1" w:styleId="Zadevakomentarja1">
    <w:name w:val="Zadeva komentarja1"/>
    <w:basedOn w:val="Pripombabesedilo"/>
    <w:next w:val="Pripombabesedilo"/>
    <w:semiHidden/>
    <w:rsid w:val="007025D2"/>
    <w:pPr>
      <w:overflowPunct/>
      <w:autoSpaceDE/>
      <w:autoSpaceDN/>
      <w:adjustRightInd/>
      <w:textAlignment w:val="auto"/>
    </w:pPr>
    <w:rPr>
      <w:rFonts w:cs="Arial"/>
      <w:b/>
      <w:bCs/>
      <w:sz w:val="22"/>
    </w:rPr>
  </w:style>
  <w:style w:type="paragraph" w:styleId="HTML-oblikovano">
    <w:name w:val="HTML Preformatted"/>
    <w:aliases w:val="HTML predoblikovano Znak1,HTML predoblikovano Znak Znak,HTML predoblikovano Znak1 Znak Znak,HTML predoblikovano Znak Znak Znak Znak,HTML predoblikovano Znak1 Znak Znak Znak1 Znak,HTML predoblikovano Znak Znak5 Znak Znak Znak Znak"/>
    <w:basedOn w:val="Navaden"/>
    <w:link w:val="HTML-oblikovanoZnak"/>
    <w:rsid w:val="00702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Cs w:val="20"/>
    </w:rPr>
  </w:style>
  <w:style w:type="character" w:customStyle="1" w:styleId="HTML-oblikovanoZnak">
    <w:name w:val="HTML-oblikovano Znak"/>
    <w:aliases w:val="HTML predoblikovano Znak1 Znak,HTML predoblikovano Znak Znak Znak,HTML predoblikovano Znak1 Znak Znak Znak,HTML predoblikovano Znak Znak Znak Znak Znak,HTML predoblikovano Znak1 Znak Znak Znak1 Znak Znak"/>
    <w:basedOn w:val="Privzetapisavaodstavka"/>
    <w:link w:val="HTML-oblikovano"/>
    <w:rsid w:val="007025D2"/>
    <w:rPr>
      <w:rFonts w:ascii="Courier New" w:hAnsi="Courier New"/>
      <w:lang w:val="en-US" w:eastAsia="en-US"/>
    </w:rPr>
  </w:style>
  <w:style w:type="paragraph" w:styleId="Telobesedila-zamik2">
    <w:name w:val="Body Text Indent 2"/>
    <w:basedOn w:val="Navaden"/>
    <w:link w:val="Telobesedila-zamik2Znak"/>
    <w:rsid w:val="007025D2"/>
    <w:pPr>
      <w:suppressAutoHyphens/>
      <w:spacing w:after="120" w:line="480" w:lineRule="auto"/>
      <w:ind w:left="283"/>
    </w:pPr>
    <w:rPr>
      <w:rFonts w:ascii="Arial Narrow" w:hAnsi="Arial Narrow"/>
      <w:szCs w:val="20"/>
    </w:rPr>
  </w:style>
  <w:style w:type="character" w:customStyle="1" w:styleId="Telobesedila-zamik2Znak">
    <w:name w:val="Telo besedila - zamik 2 Znak"/>
    <w:basedOn w:val="Privzetapisavaodstavka"/>
    <w:link w:val="Telobesedila-zamik2"/>
    <w:rsid w:val="007025D2"/>
    <w:rPr>
      <w:rFonts w:ascii="Arial Narrow" w:hAnsi="Arial Narrow"/>
      <w:lang w:eastAsia="en-US"/>
    </w:rPr>
  </w:style>
  <w:style w:type="character" w:customStyle="1" w:styleId="tekstZnak">
    <w:name w:val="tekst Znak"/>
    <w:link w:val="tekst"/>
    <w:rsid w:val="007025D2"/>
    <w:rPr>
      <w:rFonts w:ascii="Verdana" w:hAnsi="Verdana" w:cs="Tunga"/>
      <w:sz w:val="18"/>
      <w:szCs w:val="24"/>
      <w:lang w:eastAsia="en-US"/>
    </w:rPr>
  </w:style>
  <w:style w:type="paragraph" w:customStyle="1" w:styleId="tekst">
    <w:name w:val="tekst"/>
    <w:basedOn w:val="Navaden"/>
    <w:link w:val="tekstZnak"/>
    <w:rsid w:val="007025D2"/>
    <w:pPr>
      <w:spacing w:line="240" w:lineRule="auto"/>
      <w:jc w:val="both"/>
    </w:pPr>
    <w:rPr>
      <w:rFonts w:ascii="Verdana" w:hAnsi="Verdana" w:cs="Tunga"/>
      <w:sz w:val="18"/>
    </w:rPr>
  </w:style>
  <w:style w:type="character" w:customStyle="1" w:styleId="ZZZSZnak">
    <w:name w:val="ZZZS Znak"/>
    <w:link w:val="ZZZS"/>
    <w:rsid w:val="007025D2"/>
    <w:rPr>
      <w:rFonts w:ascii="Arial Narrow" w:hAnsi="Arial Narrow"/>
      <w:b/>
      <w:color w:val="000000"/>
      <w:sz w:val="22"/>
      <w:szCs w:val="22"/>
      <w:shd w:val="clear" w:color="auto" w:fill="6FFF6F"/>
      <w:lang w:eastAsia="en-US"/>
    </w:rPr>
  </w:style>
  <w:style w:type="paragraph" w:customStyle="1" w:styleId="Default">
    <w:name w:val="Default"/>
    <w:rsid w:val="007025D2"/>
    <w:pPr>
      <w:widowControl w:val="0"/>
      <w:autoSpaceDE w:val="0"/>
      <w:autoSpaceDN w:val="0"/>
      <w:adjustRightInd w:val="0"/>
    </w:pPr>
    <w:rPr>
      <w:rFonts w:ascii="Cambria" w:hAnsi="Cambria" w:cs="Cambria"/>
      <w:color w:val="000000"/>
      <w:sz w:val="24"/>
      <w:szCs w:val="24"/>
    </w:rPr>
  </w:style>
  <w:style w:type="paragraph" w:customStyle="1" w:styleId="CM2">
    <w:name w:val="CM2"/>
    <w:basedOn w:val="Default"/>
    <w:next w:val="Default"/>
    <w:rsid w:val="007025D2"/>
    <w:rPr>
      <w:rFonts w:cs="Times New Roman"/>
      <w:color w:val="auto"/>
    </w:rPr>
  </w:style>
  <w:style w:type="paragraph" w:customStyle="1" w:styleId="CM1">
    <w:name w:val="CM1"/>
    <w:basedOn w:val="Default"/>
    <w:next w:val="Default"/>
    <w:uiPriority w:val="99"/>
    <w:rsid w:val="007025D2"/>
    <w:pPr>
      <w:spacing w:line="246" w:lineRule="atLeast"/>
    </w:pPr>
    <w:rPr>
      <w:rFonts w:cs="Times New Roman"/>
      <w:color w:val="auto"/>
    </w:rPr>
  </w:style>
  <w:style w:type="paragraph" w:customStyle="1" w:styleId="CM3">
    <w:name w:val="CM3"/>
    <w:basedOn w:val="Default"/>
    <w:next w:val="Default"/>
    <w:uiPriority w:val="99"/>
    <w:rsid w:val="007025D2"/>
    <w:rPr>
      <w:rFonts w:cs="Times New Roman"/>
      <w:color w:val="auto"/>
    </w:rPr>
  </w:style>
  <w:style w:type="paragraph" w:customStyle="1" w:styleId="CM4">
    <w:name w:val="CM4"/>
    <w:basedOn w:val="Default"/>
    <w:next w:val="Default"/>
    <w:uiPriority w:val="99"/>
    <w:rsid w:val="007025D2"/>
    <w:rPr>
      <w:rFonts w:ascii="Calibri,Bold" w:hAnsi="Calibri,Bold" w:cs="Calibri,Bold"/>
      <w:color w:val="auto"/>
    </w:rPr>
  </w:style>
  <w:style w:type="paragraph" w:customStyle="1" w:styleId="CM5">
    <w:name w:val="CM5"/>
    <w:basedOn w:val="Default"/>
    <w:next w:val="Default"/>
    <w:rsid w:val="007025D2"/>
    <w:rPr>
      <w:rFonts w:ascii="Calibri,Bold" w:hAnsi="Calibri,Bold" w:cs="Calibri,Bold"/>
      <w:color w:val="auto"/>
    </w:rPr>
  </w:style>
  <w:style w:type="paragraph" w:customStyle="1" w:styleId="SSZS">
    <w:name w:val=".SSZS"/>
    <w:basedOn w:val="ZZS"/>
    <w:qFormat/>
    <w:rsid w:val="007025D2"/>
    <w:pPr>
      <w:shd w:val="clear" w:color="auto" w:fill="CCCCCC"/>
    </w:pPr>
  </w:style>
  <w:style w:type="paragraph" w:customStyle="1" w:styleId="ZnakZnak2CharChar">
    <w:name w:val="Znak Znak2 Char Char"/>
    <w:basedOn w:val="Navaden"/>
    <w:rsid w:val="007025D2"/>
    <w:pPr>
      <w:spacing w:after="160" w:line="240" w:lineRule="exact"/>
    </w:pPr>
    <w:rPr>
      <w:rFonts w:ascii="Tahoma" w:hAnsi="Tahoma" w:cs="Arial"/>
      <w:bCs/>
      <w:color w:val="222222"/>
      <w:sz w:val="22"/>
      <w:szCs w:val="20"/>
      <w:lang w:eastAsia="sl-SI"/>
    </w:rPr>
  </w:style>
  <w:style w:type="character" w:customStyle="1" w:styleId="NikaS">
    <w:name w:val="NikaS"/>
    <w:semiHidden/>
    <w:rsid w:val="007025D2"/>
    <w:rPr>
      <w:rFonts w:ascii="Arial" w:hAnsi="Arial" w:cs="Arial"/>
      <w:color w:val="auto"/>
      <w:sz w:val="20"/>
      <w:szCs w:val="20"/>
    </w:rPr>
  </w:style>
  <w:style w:type="character" w:customStyle="1" w:styleId="MatejaSmolej">
    <w:name w:val="Mateja Smolej"/>
    <w:semiHidden/>
    <w:rsid w:val="007025D2"/>
    <w:rPr>
      <w:rFonts w:ascii="Arial" w:hAnsi="Arial" w:cs="Arial"/>
      <w:color w:val="auto"/>
      <w:sz w:val="20"/>
      <w:szCs w:val="20"/>
    </w:rPr>
  </w:style>
  <w:style w:type="character" w:customStyle="1" w:styleId="PripombabesediloZnak1">
    <w:name w:val="Pripomba – besedilo Znak1"/>
    <w:uiPriority w:val="99"/>
    <w:semiHidden/>
    <w:rsid w:val="007025D2"/>
    <w:rPr>
      <w:lang w:eastAsia="en-US"/>
    </w:rPr>
  </w:style>
  <w:style w:type="paragraph" w:customStyle="1" w:styleId="NoSpacing1">
    <w:name w:val="No Spacing1"/>
    <w:qFormat/>
    <w:rsid w:val="007025D2"/>
    <w:rPr>
      <w:rFonts w:ascii="Calibri" w:eastAsia="Calibri" w:hAnsi="Calibri"/>
      <w:sz w:val="22"/>
      <w:szCs w:val="22"/>
      <w:lang w:eastAsia="en-US"/>
    </w:rPr>
  </w:style>
  <w:style w:type="paragraph" w:customStyle="1" w:styleId="ListParagraph1">
    <w:name w:val="List Paragraph1"/>
    <w:basedOn w:val="Navaden"/>
    <w:rsid w:val="007025D2"/>
    <w:pPr>
      <w:spacing w:line="240" w:lineRule="auto"/>
      <w:ind w:left="720"/>
    </w:pPr>
    <w:rPr>
      <w:rFonts w:ascii="Times New Roman" w:eastAsia="Calibri" w:hAnsi="Times New Roman" w:cs="Arial"/>
      <w:sz w:val="24"/>
      <w:szCs w:val="22"/>
      <w:lang w:eastAsia="sl-SI"/>
    </w:rPr>
  </w:style>
  <w:style w:type="character" w:customStyle="1" w:styleId="PripombabesediloZnak2">
    <w:name w:val="Pripomba – besedilo Znak2"/>
    <w:semiHidden/>
    <w:rsid w:val="007025D2"/>
    <w:rPr>
      <w:lang w:eastAsia="en-US"/>
    </w:rPr>
  </w:style>
  <w:style w:type="character" w:customStyle="1" w:styleId="ZadevapripombeZnak1">
    <w:name w:val="Zadeva pripombe Znak1"/>
    <w:uiPriority w:val="99"/>
    <w:semiHidden/>
    <w:rsid w:val="007025D2"/>
    <w:rPr>
      <w:rFonts w:ascii="Arial" w:hAnsi="Arial"/>
      <w:b/>
      <w:bCs/>
      <w:lang w:val="en-US" w:eastAsia="en-US"/>
    </w:rPr>
  </w:style>
  <w:style w:type="character" w:customStyle="1" w:styleId="CommentTextChar1">
    <w:name w:val="Comment Text Char1"/>
    <w:uiPriority w:val="99"/>
    <w:semiHidden/>
    <w:rsid w:val="007025D2"/>
    <w:rPr>
      <w:lang w:eastAsia="en-US"/>
    </w:rPr>
  </w:style>
  <w:style w:type="character" w:customStyle="1" w:styleId="CommentSubjectChar1">
    <w:name w:val="Comment Subject Char1"/>
    <w:uiPriority w:val="99"/>
    <w:semiHidden/>
    <w:rsid w:val="007025D2"/>
    <w:rPr>
      <w:b/>
      <w:bCs/>
      <w:lang w:eastAsia="en-US"/>
    </w:rPr>
  </w:style>
  <w:style w:type="paragraph" w:customStyle="1" w:styleId="brezrazmikov0">
    <w:name w:val="brezrazmikov"/>
    <w:basedOn w:val="Navaden"/>
    <w:rsid w:val="007025D2"/>
    <w:pPr>
      <w:spacing w:before="100" w:beforeAutospacing="1" w:after="100" w:afterAutospacing="1" w:line="240" w:lineRule="auto"/>
    </w:pPr>
    <w:rPr>
      <w:rFonts w:ascii="Times New Roman" w:eastAsia="Calibri" w:hAnsi="Times New Roman"/>
      <w:sz w:val="24"/>
      <w:lang w:eastAsia="sl-SI"/>
    </w:rPr>
  </w:style>
  <w:style w:type="numbering" w:customStyle="1" w:styleId="Brezseznama11">
    <w:name w:val="Brez seznama11"/>
    <w:next w:val="Brezseznama"/>
    <w:uiPriority w:val="99"/>
    <w:semiHidden/>
    <w:unhideWhenUsed/>
    <w:rsid w:val="007025D2"/>
  </w:style>
  <w:style w:type="numbering" w:customStyle="1" w:styleId="1111111">
    <w:name w:val="1 / 1.1 / 1.1.11"/>
    <w:basedOn w:val="Brezseznama"/>
    <w:next w:val="111111"/>
    <w:rsid w:val="007025D2"/>
  </w:style>
  <w:style w:type="table" w:customStyle="1" w:styleId="Tabelamrea11">
    <w:name w:val="Tabela – mreža11"/>
    <w:basedOn w:val="Navadnatabela"/>
    <w:next w:val="Tabelamrea"/>
    <w:uiPriority w:val="59"/>
    <w:rsid w:val="007025D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7025D2"/>
  </w:style>
  <w:style w:type="paragraph" w:customStyle="1" w:styleId="tabele-glava">
    <w:name w:val="tabele - glava"/>
    <w:basedOn w:val="tabele"/>
    <w:rsid w:val="007025D2"/>
    <w:pPr>
      <w:textAlignment w:val="auto"/>
    </w:pPr>
    <w:rPr>
      <w:rFonts w:eastAsia="Calibri"/>
    </w:rPr>
  </w:style>
  <w:style w:type="character" w:customStyle="1" w:styleId="EmailStyle391">
    <w:name w:val="EmailStyle391"/>
    <w:semiHidden/>
    <w:rsid w:val="007025D2"/>
    <w:rPr>
      <w:rFonts w:ascii="Arial" w:hAnsi="Arial"/>
      <w:color w:val="auto"/>
      <w:sz w:val="20"/>
    </w:rPr>
  </w:style>
  <w:style w:type="paragraph" w:customStyle="1" w:styleId="drugi">
    <w:name w:val="drugi"/>
    <w:basedOn w:val="Navaden"/>
    <w:rsid w:val="007025D2"/>
    <w:pPr>
      <w:numPr>
        <w:ilvl w:val="1"/>
        <w:numId w:val="13"/>
      </w:numPr>
      <w:spacing w:line="240" w:lineRule="auto"/>
      <w:jc w:val="both"/>
    </w:pPr>
    <w:rPr>
      <w:rFonts w:ascii="Times New Roman" w:eastAsia="Calibri" w:hAnsi="Times New Roman"/>
      <w:sz w:val="24"/>
      <w:lang w:eastAsia="sl-SI"/>
    </w:rPr>
  </w:style>
  <w:style w:type="table" w:customStyle="1" w:styleId="LightList-Accent11">
    <w:name w:val="Light List - Accent 11"/>
    <w:uiPriority w:val="61"/>
    <w:rsid w:val="007025D2"/>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basedOn w:val="Navadnatabela"/>
    <w:uiPriority w:val="61"/>
    <w:rsid w:val="007025D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risno1">
    <w:name w:val="o risno"/>
    <w:basedOn w:val="Navaden"/>
    <w:rsid w:val="007025D2"/>
    <w:pPr>
      <w:tabs>
        <w:tab w:val="num" w:pos="357"/>
      </w:tabs>
      <w:suppressAutoHyphens/>
      <w:spacing w:after="60" w:line="240" w:lineRule="auto"/>
      <w:ind w:left="397" w:hanging="397"/>
      <w:jc w:val="both"/>
    </w:pPr>
    <w:rPr>
      <w:rFonts w:ascii="Times New Roman" w:hAnsi="Times New Roman"/>
      <w:color w:val="000000"/>
      <w:sz w:val="22"/>
      <w:szCs w:val="22"/>
    </w:rPr>
  </w:style>
  <w:style w:type="character" w:customStyle="1" w:styleId="EmailStyle105">
    <w:name w:val="EmailStyle105"/>
    <w:semiHidden/>
    <w:rsid w:val="007025D2"/>
    <w:rPr>
      <w:rFonts w:ascii="Arial" w:hAnsi="Arial" w:cs="Arial"/>
      <w:color w:val="auto"/>
      <w:sz w:val="20"/>
      <w:szCs w:val="20"/>
    </w:rPr>
  </w:style>
  <w:style w:type="paragraph" w:customStyle="1" w:styleId="esegmenth4">
    <w:name w:val="esegment_h4"/>
    <w:basedOn w:val="Navaden"/>
    <w:uiPriority w:val="99"/>
    <w:rsid w:val="007025D2"/>
    <w:pPr>
      <w:spacing w:before="100" w:beforeAutospacing="1" w:after="100" w:afterAutospacing="1" w:line="240" w:lineRule="auto"/>
    </w:pPr>
    <w:rPr>
      <w:rFonts w:ascii="Times New Roman" w:eastAsia="Calibri" w:hAnsi="Times New Roman"/>
      <w:sz w:val="24"/>
      <w:lang w:eastAsia="sl-SI"/>
    </w:rPr>
  </w:style>
  <w:style w:type="paragraph" w:customStyle="1" w:styleId="Odstavekseznama5">
    <w:name w:val="Odstavek seznama5"/>
    <w:basedOn w:val="Navaden"/>
    <w:rsid w:val="007025D2"/>
    <w:pPr>
      <w:spacing w:after="200" w:line="276" w:lineRule="auto"/>
      <w:ind w:left="708"/>
    </w:pPr>
    <w:rPr>
      <w:rFonts w:ascii="Calibri" w:eastAsia="Calibri" w:hAnsi="Calibri"/>
      <w:sz w:val="22"/>
      <w:szCs w:val="22"/>
      <w:lang w:eastAsia="sl-SI"/>
    </w:rPr>
  </w:style>
  <w:style w:type="table" w:styleId="Svetelseznampoudarek1">
    <w:name w:val="Light List Accent 1"/>
    <w:basedOn w:val="Navadnatabela"/>
    <w:uiPriority w:val="61"/>
    <w:rsid w:val="007025D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mailStyle39">
    <w:name w:val="EmailStyle39"/>
    <w:semiHidden/>
    <w:rsid w:val="007025D2"/>
    <w:rPr>
      <w:rFonts w:ascii="Arial" w:hAnsi="Arial" w:cs="Arial"/>
      <w:color w:val="auto"/>
      <w:sz w:val="20"/>
      <w:szCs w:val="20"/>
    </w:rPr>
  </w:style>
  <w:style w:type="paragraph" w:customStyle="1" w:styleId="BodyText32">
    <w:name w:val="Body Text 32"/>
    <w:basedOn w:val="Navaden"/>
    <w:rsid w:val="007025D2"/>
    <w:pPr>
      <w:overflowPunct w:val="0"/>
      <w:autoSpaceDE w:val="0"/>
      <w:autoSpaceDN w:val="0"/>
      <w:adjustRightInd w:val="0"/>
      <w:spacing w:line="240" w:lineRule="auto"/>
      <w:jc w:val="both"/>
      <w:textAlignment w:val="baseline"/>
    </w:pPr>
    <w:rPr>
      <w:szCs w:val="20"/>
      <w:lang w:eastAsia="sl-SI"/>
    </w:rPr>
  </w:style>
  <w:style w:type="paragraph" w:customStyle="1" w:styleId="bodytekst">
    <w:name w:val="body tekst"/>
    <w:basedOn w:val="Navaden"/>
    <w:uiPriority w:val="99"/>
    <w:rsid w:val="007025D2"/>
    <w:pPr>
      <w:autoSpaceDE w:val="0"/>
      <w:autoSpaceDN w:val="0"/>
      <w:adjustRightInd w:val="0"/>
      <w:spacing w:after="113" w:line="280" w:lineRule="atLeast"/>
      <w:jc w:val="both"/>
      <w:textAlignment w:val="center"/>
    </w:pPr>
    <w:rPr>
      <w:rFonts w:ascii="Humnst777 Lt BT" w:hAnsi="Humnst777 Lt BT" w:cs="Humnst777 Lt BT"/>
      <w:color w:val="000000"/>
      <w:w w:val="96"/>
      <w:szCs w:val="20"/>
    </w:rPr>
  </w:style>
  <w:style w:type="paragraph" w:customStyle="1" w:styleId="BOLDVTEKSTU">
    <w:name w:val="BOLD V TEKSTU"/>
    <w:basedOn w:val="bodytekst"/>
    <w:uiPriority w:val="99"/>
    <w:rsid w:val="007025D2"/>
    <w:pPr>
      <w:jc w:val="left"/>
    </w:pPr>
    <w:rPr>
      <w:rFonts w:ascii="Humnst777 BT" w:hAnsi="Humnst777 BT" w:cs="Humnst777 BT"/>
      <w:b/>
      <w:bCs/>
    </w:rPr>
  </w:style>
  <w:style w:type="paragraph" w:customStyle="1" w:styleId="Navaden1">
    <w:name w:val="Navaden1"/>
    <w:link w:val="Navaden1Znak"/>
    <w:qFormat/>
    <w:rsid w:val="007025D2"/>
    <w:pPr>
      <w:spacing w:after="200" w:line="276" w:lineRule="auto"/>
    </w:pPr>
    <w:rPr>
      <w:rFonts w:ascii="Lucida Grande" w:hAnsi="Lucida Grande"/>
      <w:color w:val="000000"/>
      <w:sz w:val="22"/>
    </w:rPr>
  </w:style>
  <w:style w:type="paragraph" w:customStyle="1" w:styleId="Odstavekseznama2">
    <w:name w:val="Odstavek seznama2"/>
    <w:basedOn w:val="Navaden"/>
    <w:rsid w:val="007025D2"/>
    <w:pPr>
      <w:spacing w:after="200" w:line="276" w:lineRule="auto"/>
      <w:ind w:left="708"/>
    </w:pPr>
    <w:rPr>
      <w:rFonts w:ascii="Calibri" w:eastAsia="Calibri" w:hAnsi="Calibri"/>
      <w:sz w:val="22"/>
      <w:szCs w:val="22"/>
      <w:lang w:eastAsia="sl-SI"/>
    </w:rPr>
  </w:style>
  <w:style w:type="table" w:customStyle="1" w:styleId="Svetelseznampoudarek11">
    <w:name w:val="Svetel seznam – poudarek 11"/>
    <w:basedOn w:val="Navadnatabela"/>
    <w:uiPriority w:val="61"/>
    <w:rsid w:val="007025D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odnaslov">
    <w:name w:val="podnaslov"/>
    <w:basedOn w:val="BOLDVTEKSTU"/>
    <w:uiPriority w:val="99"/>
    <w:rsid w:val="007025D2"/>
    <w:pPr>
      <w:suppressAutoHyphens/>
      <w:spacing w:line="300" w:lineRule="atLeast"/>
    </w:pPr>
    <w:rPr>
      <w:caps/>
      <w:sz w:val="26"/>
      <w:szCs w:val="26"/>
    </w:rPr>
  </w:style>
  <w:style w:type="character" w:customStyle="1" w:styleId="newstitle1">
    <w:name w:val="news_title1"/>
    <w:rsid w:val="007025D2"/>
    <w:rPr>
      <w:rFonts w:ascii="Arial" w:hAnsi="Arial" w:cs="Arial" w:hint="default"/>
      <w:b/>
      <w:bCs/>
      <w:color w:val="2959A3"/>
      <w:sz w:val="21"/>
      <w:szCs w:val="21"/>
    </w:rPr>
  </w:style>
  <w:style w:type="paragraph" w:customStyle="1" w:styleId="esegmenth41">
    <w:name w:val="esegmenth41"/>
    <w:basedOn w:val="Navaden"/>
    <w:rsid w:val="007025D2"/>
    <w:pPr>
      <w:spacing w:after="175" w:line="240" w:lineRule="auto"/>
      <w:jc w:val="center"/>
    </w:pPr>
    <w:rPr>
      <w:rFonts w:ascii="Times New Roman" w:eastAsia="Calibri" w:hAnsi="Times New Roman"/>
      <w:b/>
      <w:bCs/>
      <w:color w:val="333333"/>
      <w:sz w:val="15"/>
      <w:szCs w:val="15"/>
      <w:lang w:eastAsia="sl-SI"/>
    </w:rPr>
  </w:style>
  <w:style w:type="numbering" w:customStyle="1" w:styleId="1111112">
    <w:name w:val="1 / 1.1 / 1.1.12"/>
    <w:basedOn w:val="Brezseznama"/>
    <w:next w:val="111111"/>
    <w:rsid w:val="007025D2"/>
  </w:style>
  <w:style w:type="numbering" w:customStyle="1" w:styleId="11111111">
    <w:name w:val="1 / 1.1 / 1.1.111"/>
    <w:basedOn w:val="Brezseznama"/>
    <w:next w:val="111111"/>
    <w:rsid w:val="007025D2"/>
    <w:pPr>
      <w:numPr>
        <w:numId w:val="9"/>
      </w:numPr>
    </w:pPr>
  </w:style>
  <w:style w:type="character" w:customStyle="1" w:styleId="Komentar-besediloZnak">
    <w:name w:val="Komentar - besedilo Znak"/>
    <w:uiPriority w:val="99"/>
    <w:semiHidden/>
    <w:rsid w:val="007025D2"/>
    <w:rPr>
      <w:rFonts w:ascii="Calibri" w:eastAsia="Calibri" w:hAnsi="Calibri" w:cs="Times New Roman"/>
      <w:sz w:val="20"/>
      <w:szCs w:val="20"/>
    </w:rPr>
  </w:style>
  <w:style w:type="character" w:customStyle="1" w:styleId="ZadevakomentarjaZnak">
    <w:name w:val="Zadeva komentarja Znak"/>
    <w:uiPriority w:val="99"/>
    <w:semiHidden/>
    <w:rsid w:val="007025D2"/>
    <w:rPr>
      <w:rFonts w:ascii="Calibri" w:eastAsia="Calibri" w:hAnsi="Calibri" w:cs="Times New Roman"/>
      <w:b/>
      <w:bCs/>
      <w:sz w:val="20"/>
      <w:szCs w:val="20"/>
    </w:rPr>
  </w:style>
  <w:style w:type="numbering" w:customStyle="1" w:styleId="LFO5">
    <w:name w:val="LFO5"/>
    <w:basedOn w:val="Brezseznama"/>
    <w:rsid w:val="007025D2"/>
    <w:pPr>
      <w:numPr>
        <w:numId w:val="14"/>
      </w:numPr>
    </w:pPr>
  </w:style>
  <w:style w:type="character" w:styleId="Poudarek">
    <w:name w:val="Emphasis"/>
    <w:uiPriority w:val="20"/>
    <w:qFormat/>
    <w:rsid w:val="007025D2"/>
    <w:rPr>
      <w:i/>
      <w:iCs/>
    </w:rPr>
  </w:style>
  <w:style w:type="character" w:customStyle="1" w:styleId="Sprotnaopomba-besediloZnak1">
    <w:name w:val="Sprotna opomba - besedilo Znak1"/>
    <w:uiPriority w:val="99"/>
    <w:semiHidden/>
    <w:rsid w:val="007025D2"/>
    <w:rPr>
      <w:rFonts w:ascii="Century Gothic" w:hAnsi="Century Gothic"/>
      <w:sz w:val="20"/>
      <w:szCs w:val="20"/>
    </w:rPr>
  </w:style>
  <w:style w:type="paragraph" w:styleId="Revizija">
    <w:name w:val="Revision"/>
    <w:hidden/>
    <w:uiPriority w:val="99"/>
    <w:semiHidden/>
    <w:rsid w:val="007025D2"/>
    <w:rPr>
      <w:rFonts w:ascii="Century Gothic" w:eastAsia="Calibri" w:hAnsi="Century Gothic"/>
      <w:sz w:val="24"/>
      <w:szCs w:val="22"/>
      <w:lang w:eastAsia="en-US"/>
    </w:rPr>
  </w:style>
  <w:style w:type="paragraph" w:customStyle="1" w:styleId="Obrazloitev">
    <w:name w:val="Obrazložitev"/>
    <w:basedOn w:val="Brezrazmikov"/>
    <w:qFormat/>
    <w:rsid w:val="007025D2"/>
    <w:pPr>
      <w:jc w:val="both"/>
    </w:pPr>
    <w:rPr>
      <w:rFonts w:ascii="Arial Narrow" w:hAnsi="Arial Narrow" w:cs="Times New Roman"/>
      <w:i/>
      <w:color w:val="595959"/>
    </w:rPr>
  </w:style>
  <w:style w:type="paragraph" w:customStyle="1" w:styleId="Obrazloitev1">
    <w:name w:val="Obrazložitev1"/>
    <w:basedOn w:val="Navaden"/>
    <w:link w:val="Obrazloitev1Znak"/>
    <w:qFormat/>
    <w:rsid w:val="007025D2"/>
    <w:pPr>
      <w:spacing w:before="180" w:after="60" w:line="240" w:lineRule="auto"/>
    </w:pPr>
    <w:rPr>
      <w:rFonts w:ascii="Arial Narrow" w:hAnsi="Arial Narrow"/>
      <w:b/>
      <w:color w:val="595959"/>
      <w:sz w:val="22"/>
      <w:szCs w:val="22"/>
      <w:u w:val="single"/>
      <w:lang w:eastAsia="sl-SI"/>
    </w:rPr>
  </w:style>
  <w:style w:type="paragraph" w:customStyle="1" w:styleId="Predlog20">
    <w:name w:val="Predlog 2"/>
    <w:basedOn w:val="Navaden"/>
    <w:link w:val="Predlog2Znak"/>
    <w:qFormat/>
    <w:rsid w:val="007025D2"/>
    <w:pPr>
      <w:spacing w:before="120" w:after="60" w:line="240" w:lineRule="auto"/>
      <w:jc w:val="both"/>
    </w:pPr>
    <w:rPr>
      <w:rFonts w:ascii="Arial Narrow" w:eastAsia="Calibri" w:hAnsi="Arial Narrow"/>
      <w:b/>
      <w:sz w:val="22"/>
      <w:szCs w:val="22"/>
    </w:rPr>
  </w:style>
  <w:style w:type="character" w:customStyle="1" w:styleId="Obrazloitev1Znak">
    <w:name w:val="Obrazložitev1 Znak"/>
    <w:link w:val="Obrazloitev1"/>
    <w:rsid w:val="007025D2"/>
    <w:rPr>
      <w:rFonts w:ascii="Arial Narrow" w:hAnsi="Arial Narrow"/>
      <w:b/>
      <w:color w:val="595959"/>
      <w:sz w:val="22"/>
      <w:szCs w:val="22"/>
      <w:u w:val="single"/>
    </w:rPr>
  </w:style>
  <w:style w:type="character" w:customStyle="1" w:styleId="Predlog2Znak">
    <w:name w:val="Predlog 2 Znak"/>
    <w:link w:val="Predlog20"/>
    <w:rsid w:val="007025D2"/>
    <w:rPr>
      <w:rFonts w:ascii="Arial Narrow" w:eastAsia="Calibri" w:hAnsi="Arial Narrow"/>
      <w:b/>
      <w:sz w:val="22"/>
      <w:szCs w:val="22"/>
      <w:lang w:eastAsia="en-US"/>
    </w:rPr>
  </w:style>
  <w:style w:type="paragraph" w:styleId="Naslov">
    <w:name w:val="Title"/>
    <w:basedOn w:val="Navaden"/>
    <w:next w:val="Navaden"/>
    <w:link w:val="NaslovZnak"/>
    <w:uiPriority w:val="10"/>
    <w:qFormat/>
    <w:rsid w:val="007025D2"/>
    <w:pPr>
      <w:pBdr>
        <w:bottom w:val="single" w:sz="8" w:space="4" w:color="4F81BD"/>
      </w:pBdr>
      <w:spacing w:after="300" w:line="240" w:lineRule="auto"/>
      <w:contextualSpacing/>
      <w:jc w:val="both"/>
    </w:pPr>
    <w:rPr>
      <w:rFonts w:ascii="Arial Narrow" w:hAnsi="Arial Narrow"/>
      <w:color w:val="17365D"/>
      <w:spacing w:val="5"/>
      <w:kern w:val="28"/>
      <w:sz w:val="52"/>
      <w:szCs w:val="52"/>
    </w:rPr>
  </w:style>
  <w:style w:type="character" w:customStyle="1" w:styleId="NaslovZnak">
    <w:name w:val="Naslov Znak"/>
    <w:basedOn w:val="Privzetapisavaodstavka"/>
    <w:link w:val="Naslov"/>
    <w:uiPriority w:val="10"/>
    <w:rsid w:val="007025D2"/>
    <w:rPr>
      <w:rFonts w:ascii="Arial Narrow" w:hAnsi="Arial Narrow"/>
      <w:color w:val="17365D"/>
      <w:spacing w:val="5"/>
      <w:kern w:val="28"/>
      <w:sz w:val="52"/>
      <w:szCs w:val="52"/>
      <w:lang w:eastAsia="en-US"/>
    </w:rPr>
  </w:style>
  <w:style w:type="paragraph" w:styleId="Podnaslov0">
    <w:name w:val="Subtitle"/>
    <w:basedOn w:val="Navaden"/>
    <w:next w:val="Navaden"/>
    <w:link w:val="PodnaslovZnak"/>
    <w:uiPriority w:val="11"/>
    <w:qFormat/>
    <w:rsid w:val="007025D2"/>
    <w:pPr>
      <w:numPr>
        <w:ilvl w:val="1"/>
      </w:numPr>
      <w:spacing w:line="240" w:lineRule="auto"/>
      <w:jc w:val="both"/>
    </w:pPr>
    <w:rPr>
      <w:rFonts w:ascii="Arial Narrow" w:hAnsi="Arial Narrow"/>
      <w:i/>
      <w:iCs/>
      <w:color w:val="4F81BD"/>
      <w:spacing w:val="15"/>
      <w:sz w:val="24"/>
    </w:rPr>
  </w:style>
  <w:style w:type="character" w:customStyle="1" w:styleId="PodnaslovZnak">
    <w:name w:val="Podnaslov Znak"/>
    <w:basedOn w:val="Privzetapisavaodstavka"/>
    <w:link w:val="Podnaslov0"/>
    <w:uiPriority w:val="11"/>
    <w:rsid w:val="007025D2"/>
    <w:rPr>
      <w:rFonts w:ascii="Arial Narrow" w:hAnsi="Arial Narrow"/>
      <w:i/>
      <w:iCs/>
      <w:color w:val="4F81BD"/>
      <w:spacing w:val="15"/>
      <w:sz w:val="24"/>
      <w:szCs w:val="24"/>
      <w:lang w:eastAsia="en-US"/>
    </w:rPr>
  </w:style>
  <w:style w:type="character" w:styleId="Neenpoudarek">
    <w:name w:val="Subtle Emphasis"/>
    <w:uiPriority w:val="19"/>
    <w:qFormat/>
    <w:rsid w:val="007025D2"/>
    <w:rPr>
      <w:rFonts w:ascii="Arial Narrow" w:hAnsi="Arial Narrow"/>
      <w:i/>
      <w:iCs/>
      <w:color w:val="808080"/>
    </w:rPr>
  </w:style>
  <w:style w:type="character" w:styleId="Intenzivenpoudarek">
    <w:name w:val="Intense Emphasis"/>
    <w:uiPriority w:val="21"/>
    <w:qFormat/>
    <w:rsid w:val="007025D2"/>
    <w:rPr>
      <w:rFonts w:ascii="Arial Narrow" w:hAnsi="Arial Narrow"/>
      <w:b/>
      <w:bCs/>
      <w:i/>
      <w:iCs/>
      <w:color w:val="4F81BD"/>
    </w:rPr>
  </w:style>
  <w:style w:type="paragraph" w:customStyle="1" w:styleId="n5MZ">
    <w:name w:val="n5 MZ"/>
    <w:basedOn w:val="Brezrazmikov"/>
    <w:qFormat/>
    <w:rsid w:val="007025D2"/>
    <w:pPr>
      <w:widowControl w:val="0"/>
      <w:pBdr>
        <w:top w:val="single" w:sz="4" w:space="1" w:color="auto"/>
        <w:left w:val="single" w:sz="4" w:space="4" w:color="auto"/>
        <w:bottom w:val="single" w:sz="4" w:space="1" w:color="auto"/>
        <w:right w:val="single" w:sz="4" w:space="4" w:color="auto"/>
      </w:pBdr>
      <w:shd w:val="clear" w:color="auto" w:fill="FFFF00"/>
      <w:jc w:val="both"/>
    </w:pPr>
    <w:rPr>
      <w:rFonts w:ascii="Arial Narrow" w:eastAsia="Arial Narrow" w:hAnsi="Arial Narrow" w:cs="Times New Roman"/>
      <w:b/>
    </w:rPr>
  </w:style>
  <w:style w:type="paragraph" w:customStyle="1" w:styleId="n9aObrazloitev">
    <w:name w:val="n9a Obrazložitev"/>
    <w:basedOn w:val="Brezrazmikov"/>
    <w:qFormat/>
    <w:rsid w:val="007025D2"/>
    <w:pPr>
      <w:jc w:val="both"/>
    </w:pPr>
    <w:rPr>
      <w:rFonts w:ascii="Arial Narrow" w:eastAsia="Arial Narrow" w:hAnsi="Arial Narrow" w:cs="Times New Roman"/>
      <w:i/>
      <w:color w:val="808080"/>
    </w:rPr>
  </w:style>
  <w:style w:type="paragraph" w:customStyle="1" w:styleId="n9cNESPREJME">
    <w:name w:val="n9c NE SPREJME"/>
    <w:basedOn w:val="n9bSKLEP"/>
    <w:qFormat/>
    <w:rsid w:val="007025D2"/>
  </w:style>
  <w:style w:type="paragraph" w:customStyle="1" w:styleId="n9TPREDLOGA">
    <w:name w:val="n9 ŠT_PREDLOGA"/>
    <w:basedOn w:val="Naslov5"/>
    <w:next w:val="Brezrazmikov"/>
    <w:qFormat/>
    <w:rsid w:val="007025D2"/>
    <w:pPr>
      <w:keepNext/>
      <w:keepLines/>
      <w:numPr>
        <w:numId w:val="15"/>
      </w:numPr>
      <w:spacing w:before="0" w:after="0" w:line="240" w:lineRule="auto"/>
      <w:jc w:val="both"/>
    </w:pPr>
    <w:rPr>
      <w:rFonts w:ascii="Arial Narrow" w:hAnsi="Arial Narrow"/>
      <w:bCs w:val="0"/>
      <w:i w:val="0"/>
      <w:iCs w:val="0"/>
      <w:color w:val="31849B"/>
      <w:sz w:val="22"/>
      <w:szCs w:val="22"/>
    </w:rPr>
  </w:style>
  <w:style w:type="paragraph" w:customStyle="1" w:styleId="n9bSKLEP">
    <w:name w:val="n9b SKLEP"/>
    <w:basedOn w:val="sklep0"/>
    <w:link w:val="n9bSKLEPZnak"/>
    <w:qFormat/>
    <w:rsid w:val="007025D2"/>
    <w:rPr>
      <w:rFonts w:eastAsia="Calibri"/>
    </w:rPr>
  </w:style>
  <w:style w:type="paragraph" w:customStyle="1" w:styleId="n4LZS">
    <w:name w:val="n4 LZS"/>
    <w:basedOn w:val="Brezrazmikov"/>
    <w:qFormat/>
    <w:rsid w:val="007025D2"/>
    <w:pPr>
      <w:widowControl w:val="0"/>
      <w:pBdr>
        <w:top w:val="single" w:sz="4" w:space="1" w:color="auto"/>
        <w:left w:val="single" w:sz="4" w:space="4" w:color="auto"/>
        <w:bottom w:val="single" w:sz="4" w:space="1" w:color="auto"/>
        <w:right w:val="single" w:sz="4" w:space="4" w:color="auto"/>
      </w:pBdr>
      <w:shd w:val="clear" w:color="auto" w:fill="FFC285"/>
      <w:jc w:val="both"/>
    </w:pPr>
    <w:rPr>
      <w:rFonts w:ascii="Arial Narrow" w:eastAsia="Arial Narrow" w:hAnsi="Arial Narrow" w:cs="Times New Roman"/>
      <w:b/>
    </w:rPr>
  </w:style>
  <w:style w:type="paragraph" w:customStyle="1" w:styleId="n2ZZZS">
    <w:name w:val="n2 ZZZS"/>
    <w:basedOn w:val="Brezrazmikov"/>
    <w:qFormat/>
    <w:rsid w:val="007025D2"/>
    <w:pPr>
      <w:pBdr>
        <w:top w:val="single" w:sz="4" w:space="1" w:color="auto"/>
        <w:left w:val="single" w:sz="4" w:space="4" w:color="auto"/>
        <w:bottom w:val="single" w:sz="4" w:space="1" w:color="auto"/>
        <w:right w:val="single" w:sz="4" w:space="4" w:color="auto"/>
      </w:pBdr>
      <w:shd w:val="clear" w:color="auto" w:fill="66FF66"/>
      <w:jc w:val="both"/>
    </w:pPr>
    <w:rPr>
      <w:rFonts w:ascii="Arial Narrow" w:eastAsia="Arial Narrow" w:hAnsi="Arial Narrow" w:cs="Times New Roman"/>
      <w:b/>
    </w:rPr>
  </w:style>
  <w:style w:type="paragraph" w:customStyle="1" w:styleId="n1ZDRZZ">
    <w:name w:val="n1 ZDRZZ"/>
    <w:basedOn w:val="Brezrazmikov"/>
    <w:qFormat/>
    <w:rsid w:val="007025D2"/>
    <w:pPr>
      <w:pBdr>
        <w:top w:val="single" w:sz="4" w:space="1" w:color="auto"/>
        <w:left w:val="single" w:sz="4" w:space="4" w:color="auto"/>
        <w:bottom w:val="single" w:sz="4" w:space="1" w:color="auto"/>
        <w:right w:val="single" w:sz="4" w:space="4" w:color="auto"/>
      </w:pBdr>
      <w:shd w:val="clear" w:color="auto" w:fill="99CCFF"/>
      <w:jc w:val="both"/>
    </w:pPr>
    <w:rPr>
      <w:rFonts w:ascii="Arial Narrow" w:eastAsia="Arial Narrow" w:hAnsi="Arial Narrow" w:cs="Times New Roman"/>
      <w:b/>
    </w:rPr>
  </w:style>
  <w:style w:type="paragraph" w:customStyle="1" w:styleId="n6SSZS">
    <w:name w:val="n6 SSZS"/>
    <w:basedOn w:val="Brezrazmikov"/>
    <w:qFormat/>
    <w:rsid w:val="007025D2"/>
    <w:pPr>
      <w:widowControl w:val="0"/>
      <w:pBdr>
        <w:top w:val="single" w:sz="4" w:space="1" w:color="auto"/>
        <w:left w:val="single" w:sz="4" w:space="4" w:color="auto"/>
        <w:bottom w:val="single" w:sz="4" w:space="1" w:color="auto"/>
        <w:right w:val="single" w:sz="4" w:space="4" w:color="auto"/>
      </w:pBdr>
      <w:shd w:val="clear" w:color="auto" w:fill="DCD198"/>
      <w:jc w:val="both"/>
    </w:pPr>
    <w:rPr>
      <w:rFonts w:ascii="Arial Narrow" w:eastAsia="Arial Narrow" w:hAnsi="Arial Narrow" w:cs="Times New Roman"/>
      <w:b/>
    </w:rPr>
  </w:style>
  <w:style w:type="paragraph" w:customStyle="1" w:styleId="n7SOUS">
    <w:name w:val="n7 SOUS"/>
    <w:basedOn w:val="Brezrazmikov"/>
    <w:qFormat/>
    <w:rsid w:val="007025D2"/>
    <w:pPr>
      <w:pBdr>
        <w:top w:val="single" w:sz="4" w:space="1" w:color="auto"/>
        <w:left w:val="single" w:sz="4" w:space="4" w:color="auto"/>
        <w:bottom w:val="single" w:sz="4" w:space="1" w:color="auto"/>
        <w:right w:val="single" w:sz="4" w:space="4" w:color="auto"/>
      </w:pBdr>
      <w:shd w:val="clear" w:color="auto" w:fill="CC99FF"/>
      <w:jc w:val="both"/>
    </w:pPr>
    <w:rPr>
      <w:rFonts w:ascii="Arial Narrow" w:eastAsia="Arial Narrow" w:hAnsi="Arial Narrow" w:cs="Times New Roman"/>
      <w:b/>
    </w:rPr>
  </w:style>
  <w:style w:type="paragraph" w:customStyle="1" w:styleId="n8SSNZ">
    <w:name w:val="n8 SSNZ"/>
    <w:basedOn w:val="Brezrazmikov"/>
    <w:qFormat/>
    <w:rsid w:val="007025D2"/>
    <w:pPr>
      <w:pBdr>
        <w:top w:val="single" w:sz="4" w:space="1" w:color="auto"/>
        <w:left w:val="single" w:sz="4" w:space="4" w:color="auto"/>
        <w:bottom w:val="single" w:sz="4" w:space="1" w:color="auto"/>
        <w:right w:val="single" w:sz="4" w:space="4" w:color="auto"/>
      </w:pBdr>
      <w:shd w:val="clear" w:color="auto" w:fill="D9D9D9"/>
      <w:jc w:val="both"/>
    </w:pPr>
    <w:rPr>
      <w:rFonts w:ascii="Arial Narrow" w:eastAsia="Arial Narrow" w:hAnsi="Arial Narrow" w:cs="Times New Roman"/>
      <w:b/>
    </w:rPr>
  </w:style>
  <w:style w:type="paragraph" w:customStyle="1" w:styleId="n9tlena">
    <w:name w:val="n9 št_člena"/>
    <w:basedOn w:val="Naslov2"/>
    <w:qFormat/>
    <w:rsid w:val="007025D2"/>
    <w:pPr>
      <w:keepLines/>
      <w:spacing w:before="120" w:after="120"/>
      <w:jc w:val="center"/>
      <w:outlineLvl w:val="0"/>
    </w:pPr>
    <w:rPr>
      <w:rFonts w:ascii="Arial Narrow" w:hAnsi="Arial Narrow"/>
      <w:bCs/>
      <w:smallCaps w:val="0"/>
      <w:color w:val="7030A0"/>
      <w:sz w:val="26"/>
      <w:szCs w:val="26"/>
    </w:rPr>
  </w:style>
  <w:style w:type="paragraph" w:customStyle="1" w:styleId="n3ZZS">
    <w:name w:val="n3 ZZS"/>
    <w:basedOn w:val="Navaden"/>
    <w:qFormat/>
    <w:rsid w:val="007025D2"/>
    <w:pPr>
      <w:widowControl w:val="0"/>
      <w:pBdr>
        <w:top w:val="single" w:sz="4" w:space="1" w:color="auto"/>
        <w:left w:val="single" w:sz="4" w:space="4" w:color="auto"/>
        <w:bottom w:val="single" w:sz="4" w:space="1" w:color="auto"/>
        <w:right w:val="single" w:sz="4" w:space="4" w:color="auto"/>
      </w:pBdr>
      <w:shd w:val="clear" w:color="auto" w:fill="CD7371"/>
      <w:spacing w:line="240" w:lineRule="auto"/>
      <w:jc w:val="both"/>
    </w:pPr>
    <w:rPr>
      <w:rFonts w:ascii="Arial Narrow" w:eastAsia="Arial Narrow" w:hAnsi="Arial Narrow"/>
      <w:b/>
      <w:sz w:val="22"/>
      <w:szCs w:val="22"/>
    </w:rPr>
  </w:style>
  <w:style w:type="paragraph" w:customStyle="1" w:styleId="n9dSPREJME">
    <w:name w:val="n9d SPREJME"/>
    <w:basedOn w:val="n9bSKLEP"/>
    <w:link w:val="n9dSPREJMEZnak"/>
    <w:qFormat/>
    <w:rsid w:val="007025D2"/>
  </w:style>
  <w:style w:type="paragraph" w:customStyle="1" w:styleId="PD">
    <w:name w:val="PD"/>
    <w:basedOn w:val="Naslov1"/>
    <w:link w:val="PDZnak"/>
    <w:qFormat/>
    <w:rsid w:val="007025D2"/>
    <w:pPr>
      <w:keepLines/>
      <w:spacing w:before="0" w:after="0" w:line="240" w:lineRule="auto"/>
      <w:jc w:val="center"/>
    </w:pPr>
    <w:rPr>
      <w:rFonts w:ascii="Arial Narrow" w:hAnsi="Arial Narrow"/>
      <w:bCs/>
      <w:color w:val="FF0000"/>
      <w:kern w:val="0"/>
      <w:sz w:val="32"/>
      <w:szCs w:val="28"/>
      <w:lang w:eastAsia="en-US"/>
    </w:rPr>
  </w:style>
  <w:style w:type="paragraph" w:customStyle="1" w:styleId="n9eOdloeno">
    <w:name w:val="n9e Odloženo"/>
    <w:basedOn w:val="Brezrazmikov"/>
    <w:link w:val="n9eOdloenoZnak"/>
    <w:qFormat/>
    <w:rsid w:val="007025D2"/>
    <w:pPr>
      <w:jc w:val="both"/>
    </w:pPr>
    <w:rPr>
      <w:rFonts w:ascii="Arial Narrow" w:eastAsia="Arial Narrow" w:hAnsi="Arial Narrow" w:cs="Times New Roman"/>
      <w:b/>
      <w:color w:val="E36C0A"/>
      <w:shd w:val="clear" w:color="auto" w:fill="FFFFCC"/>
    </w:rPr>
  </w:style>
  <w:style w:type="character" w:customStyle="1" w:styleId="PDZnak">
    <w:name w:val="PD Znak"/>
    <w:link w:val="PD"/>
    <w:rsid w:val="007025D2"/>
    <w:rPr>
      <w:rFonts w:ascii="Arial Narrow" w:hAnsi="Arial Narrow"/>
      <w:b/>
      <w:bCs/>
      <w:color w:val="FF0000"/>
      <w:sz w:val="32"/>
      <w:szCs w:val="28"/>
      <w:lang w:eastAsia="en-US"/>
    </w:rPr>
  </w:style>
  <w:style w:type="paragraph" w:customStyle="1" w:styleId="n9fUmik">
    <w:name w:val="n9f Umik"/>
    <w:basedOn w:val="n9dSPREJME"/>
    <w:link w:val="n9fUmikZnak"/>
    <w:qFormat/>
    <w:rsid w:val="007025D2"/>
    <w:rPr>
      <w:color w:val="404040"/>
      <w:shd w:val="clear" w:color="auto" w:fill="D9D9D9"/>
    </w:rPr>
  </w:style>
  <w:style w:type="character" w:customStyle="1" w:styleId="n9eOdloenoZnak">
    <w:name w:val="n9e Odloženo Znak"/>
    <w:link w:val="n9eOdloeno"/>
    <w:rsid w:val="007025D2"/>
    <w:rPr>
      <w:rFonts w:ascii="Arial Narrow" w:eastAsia="Arial Narrow" w:hAnsi="Arial Narrow"/>
      <w:b/>
      <w:color w:val="E36C0A"/>
      <w:sz w:val="22"/>
      <w:szCs w:val="22"/>
      <w:lang w:eastAsia="en-US"/>
    </w:rPr>
  </w:style>
  <w:style w:type="character" w:customStyle="1" w:styleId="n9bSKLEPZnak">
    <w:name w:val="n9b SKLEP Znak"/>
    <w:link w:val="n9bSKLEP"/>
    <w:rsid w:val="007025D2"/>
    <w:rPr>
      <w:rFonts w:ascii="Arial Narrow" w:eastAsia="Calibri" w:hAnsi="Arial Narrow"/>
      <w:b/>
      <w:color w:val="0000FF"/>
      <w:sz w:val="22"/>
      <w:szCs w:val="22"/>
      <w:lang w:eastAsia="en-US"/>
    </w:rPr>
  </w:style>
  <w:style w:type="character" w:customStyle="1" w:styleId="n9dSPREJMEZnak">
    <w:name w:val="n9d SPREJME Znak"/>
    <w:link w:val="n9dSPREJME"/>
    <w:rsid w:val="007025D2"/>
    <w:rPr>
      <w:rFonts w:ascii="Arial Narrow" w:eastAsia="Calibri" w:hAnsi="Arial Narrow"/>
      <w:b/>
      <w:color w:val="0000FF"/>
      <w:sz w:val="22"/>
      <w:szCs w:val="22"/>
      <w:lang w:eastAsia="en-US"/>
    </w:rPr>
  </w:style>
  <w:style w:type="character" w:customStyle="1" w:styleId="n9fUmikZnak">
    <w:name w:val="n9f Umik Znak"/>
    <w:link w:val="n9fUmik"/>
    <w:rsid w:val="007025D2"/>
    <w:rPr>
      <w:rFonts w:ascii="Arial Narrow" w:eastAsia="Calibri" w:hAnsi="Arial Narrow"/>
      <w:b/>
      <w:color w:val="404040"/>
      <w:sz w:val="22"/>
      <w:szCs w:val="22"/>
      <w:lang w:eastAsia="en-US"/>
    </w:rPr>
  </w:style>
  <w:style w:type="paragraph" w:customStyle="1" w:styleId="sklep0">
    <w:name w:val="sklep"/>
    <w:basedOn w:val="Navaden"/>
    <w:link w:val="sklepZnak0"/>
    <w:qFormat/>
    <w:rsid w:val="007025D2"/>
    <w:pPr>
      <w:spacing w:line="240" w:lineRule="auto"/>
      <w:jc w:val="both"/>
    </w:pPr>
    <w:rPr>
      <w:rFonts w:ascii="Arial Narrow" w:eastAsia="Arial Narrow" w:hAnsi="Arial Narrow"/>
      <w:b/>
      <w:color w:val="0000FF"/>
      <w:sz w:val="22"/>
      <w:szCs w:val="22"/>
    </w:rPr>
  </w:style>
  <w:style w:type="character" w:customStyle="1" w:styleId="Bodytext">
    <w:name w:val="Body text_"/>
    <w:link w:val="Telobesedila1"/>
    <w:rsid w:val="007025D2"/>
    <w:rPr>
      <w:sz w:val="26"/>
      <w:szCs w:val="26"/>
      <w:shd w:val="clear" w:color="auto" w:fill="FFFFFF"/>
    </w:rPr>
  </w:style>
  <w:style w:type="paragraph" w:customStyle="1" w:styleId="Telobesedila1">
    <w:name w:val="Telo besedila1"/>
    <w:basedOn w:val="Navaden"/>
    <w:link w:val="Bodytext"/>
    <w:rsid w:val="007025D2"/>
    <w:pPr>
      <w:widowControl w:val="0"/>
      <w:shd w:val="clear" w:color="auto" w:fill="FFFFFF"/>
      <w:spacing w:before="240" w:after="240" w:line="0" w:lineRule="atLeast"/>
    </w:pPr>
    <w:rPr>
      <w:rFonts w:ascii="Times New Roman" w:hAnsi="Times New Roman"/>
      <w:sz w:val="26"/>
      <w:szCs w:val="26"/>
      <w:lang w:eastAsia="sl-SI"/>
    </w:rPr>
  </w:style>
  <w:style w:type="character" w:customStyle="1" w:styleId="sklepZnak0">
    <w:name w:val="sklep Znak"/>
    <w:link w:val="sklep0"/>
    <w:rsid w:val="007025D2"/>
    <w:rPr>
      <w:rFonts w:ascii="Arial Narrow" w:eastAsia="Arial Narrow" w:hAnsi="Arial Narrow"/>
      <w:b/>
      <w:color w:val="0000FF"/>
      <w:sz w:val="22"/>
      <w:szCs w:val="22"/>
      <w:lang w:eastAsia="en-US"/>
    </w:rPr>
  </w:style>
  <w:style w:type="character" w:customStyle="1" w:styleId="BodytextBold">
    <w:name w:val="Body text + Bold"/>
    <w:rsid w:val="007025D2"/>
    <w:rPr>
      <w:rFonts w:ascii="Arial" w:eastAsia="Arial" w:hAnsi="Arial" w:cs="Arial"/>
      <w:b/>
      <w:bCs/>
      <w:color w:val="000000"/>
      <w:spacing w:val="0"/>
      <w:w w:val="100"/>
      <w:position w:val="0"/>
      <w:sz w:val="23"/>
      <w:szCs w:val="23"/>
      <w:shd w:val="clear" w:color="auto" w:fill="FFFFFF"/>
      <w:lang w:val="sl-SI"/>
    </w:rPr>
  </w:style>
  <w:style w:type="paragraph" w:customStyle="1" w:styleId="Obrazloitev2">
    <w:name w:val="Obrazložitev 2"/>
    <w:basedOn w:val="Navaden"/>
    <w:link w:val="Obrazloitev2Znak"/>
    <w:rsid w:val="007025D2"/>
    <w:pPr>
      <w:spacing w:line="240" w:lineRule="auto"/>
      <w:jc w:val="both"/>
    </w:pPr>
    <w:rPr>
      <w:rFonts w:ascii="Arial Narrow" w:eastAsia="Arial Narrow" w:hAnsi="Arial Narrow"/>
      <w:i/>
      <w:sz w:val="22"/>
      <w:szCs w:val="22"/>
    </w:rPr>
  </w:style>
  <w:style w:type="character" w:customStyle="1" w:styleId="Obrazloitev2Znak">
    <w:name w:val="Obrazložitev 2 Znak"/>
    <w:link w:val="Obrazloitev2"/>
    <w:rsid w:val="007025D2"/>
    <w:rPr>
      <w:rFonts w:ascii="Arial Narrow" w:eastAsia="Arial Narrow" w:hAnsi="Arial Narrow"/>
      <w:i/>
      <w:sz w:val="22"/>
      <w:szCs w:val="22"/>
      <w:lang w:eastAsia="en-US"/>
    </w:rPr>
  </w:style>
  <w:style w:type="paragraph" w:customStyle="1" w:styleId="Predlog">
    <w:name w:val="Predlog"/>
    <w:basedOn w:val="Naslov1"/>
    <w:qFormat/>
    <w:rsid w:val="007025D2"/>
    <w:pPr>
      <w:keepLines/>
      <w:numPr>
        <w:numId w:val="16"/>
      </w:numPr>
      <w:spacing w:before="120" w:after="0" w:line="240" w:lineRule="auto"/>
      <w:ind w:left="426" w:hanging="426"/>
    </w:pPr>
    <w:rPr>
      <w:rFonts w:ascii="Arial Narrow" w:hAnsi="Arial Narrow"/>
      <w:bCs/>
      <w:kern w:val="0"/>
      <w:sz w:val="22"/>
      <w:szCs w:val="28"/>
    </w:rPr>
  </w:style>
  <w:style w:type="paragraph" w:customStyle="1" w:styleId="vsebinaleni">
    <w:name w:val="vsebina+členi"/>
    <w:basedOn w:val="Naslov3"/>
    <w:qFormat/>
    <w:rsid w:val="007025D2"/>
    <w:pPr>
      <w:keepLines/>
      <w:spacing w:before="200" w:after="0" w:line="360" w:lineRule="auto"/>
      <w:jc w:val="center"/>
    </w:pPr>
    <w:rPr>
      <w:rFonts w:ascii="Arial Narrow" w:hAnsi="Arial Narrow"/>
      <w:color w:val="4F81BD"/>
      <w:sz w:val="24"/>
      <w:szCs w:val="22"/>
      <w:u w:val="single"/>
    </w:rPr>
  </w:style>
  <w:style w:type="paragraph" w:customStyle="1" w:styleId="xx">
    <w:name w:val="xx"/>
    <w:basedOn w:val="Naslov4"/>
    <w:link w:val="xxZnak"/>
    <w:rsid w:val="007025D2"/>
    <w:pPr>
      <w:keepLines/>
      <w:spacing w:before="0" w:after="0" w:line="360" w:lineRule="auto"/>
      <w:jc w:val="center"/>
    </w:pPr>
    <w:rPr>
      <w:rFonts w:ascii="Arial Narrow" w:hAnsi="Arial Narrow"/>
      <w:b/>
      <w:bCs/>
      <w:iCs/>
      <w:smallCaps w:val="0"/>
      <w:color w:val="943634"/>
      <w:spacing w:val="22"/>
      <w:sz w:val="22"/>
      <w:szCs w:val="22"/>
    </w:rPr>
  </w:style>
  <w:style w:type="paragraph" w:customStyle="1" w:styleId="tpobude">
    <w:name w:val="št. pobude"/>
    <w:basedOn w:val="xx"/>
    <w:link w:val="tpobudeZnak"/>
    <w:qFormat/>
    <w:rsid w:val="007025D2"/>
    <w:pPr>
      <w:numPr>
        <w:numId w:val="17"/>
      </w:numPr>
      <w:ind w:left="284" w:hanging="284"/>
    </w:pPr>
  </w:style>
  <w:style w:type="character" w:customStyle="1" w:styleId="xxZnak">
    <w:name w:val="xx Znak"/>
    <w:link w:val="xx"/>
    <w:rsid w:val="007025D2"/>
    <w:rPr>
      <w:rFonts w:ascii="Arial Narrow" w:hAnsi="Arial Narrow"/>
      <w:b/>
      <w:bCs/>
      <w:iCs/>
      <w:color w:val="943634"/>
      <w:spacing w:val="22"/>
      <w:sz w:val="22"/>
      <w:szCs w:val="22"/>
      <w:lang w:eastAsia="en-US"/>
    </w:rPr>
  </w:style>
  <w:style w:type="character" w:customStyle="1" w:styleId="tpobudeZnak">
    <w:name w:val="št. pobude Znak"/>
    <w:link w:val="tpobude"/>
    <w:rsid w:val="007025D2"/>
    <w:rPr>
      <w:rFonts w:ascii="Arial Narrow" w:hAnsi="Arial Narrow"/>
      <w:b/>
      <w:bCs/>
      <w:iCs/>
      <w:color w:val="943634"/>
      <w:spacing w:val="22"/>
      <w:sz w:val="22"/>
      <w:szCs w:val="22"/>
      <w:lang w:eastAsia="en-US"/>
    </w:rPr>
  </w:style>
  <w:style w:type="paragraph" w:customStyle="1" w:styleId="navaden0">
    <w:name w:val="navaden"/>
    <w:basedOn w:val="Navaden"/>
    <w:rsid w:val="007025D2"/>
    <w:pPr>
      <w:spacing w:before="100" w:beforeAutospacing="1" w:after="100" w:afterAutospacing="1" w:line="240" w:lineRule="auto"/>
    </w:pPr>
    <w:rPr>
      <w:rFonts w:ascii="Times New Roman" w:hAnsi="Times New Roman"/>
      <w:sz w:val="24"/>
      <w:lang w:eastAsia="sl-SI"/>
    </w:rPr>
  </w:style>
  <w:style w:type="paragraph" w:styleId="Kazalovsebine1">
    <w:name w:val="toc 1"/>
    <w:basedOn w:val="Navaden"/>
    <w:next w:val="Navaden"/>
    <w:autoRedefine/>
    <w:uiPriority w:val="39"/>
    <w:unhideWhenUsed/>
    <w:rsid w:val="007025D2"/>
    <w:pPr>
      <w:spacing w:after="100" w:line="240" w:lineRule="auto"/>
      <w:jc w:val="both"/>
    </w:pPr>
    <w:rPr>
      <w:rFonts w:ascii="Arial Narrow" w:eastAsia="Arial Narrow" w:hAnsi="Arial Narrow"/>
      <w:sz w:val="22"/>
      <w:szCs w:val="22"/>
    </w:rPr>
  </w:style>
  <w:style w:type="paragraph" w:styleId="Kazalovsebine3">
    <w:name w:val="toc 3"/>
    <w:basedOn w:val="Navaden"/>
    <w:next w:val="Navaden"/>
    <w:autoRedefine/>
    <w:uiPriority w:val="39"/>
    <w:unhideWhenUsed/>
    <w:rsid w:val="007025D2"/>
    <w:pPr>
      <w:spacing w:after="100" w:line="240" w:lineRule="auto"/>
      <w:ind w:left="440"/>
      <w:jc w:val="both"/>
    </w:pPr>
    <w:rPr>
      <w:rFonts w:ascii="Arial Narrow" w:eastAsia="Arial Narrow" w:hAnsi="Arial Narrow"/>
      <w:sz w:val="22"/>
      <w:szCs w:val="22"/>
    </w:rPr>
  </w:style>
  <w:style w:type="paragraph" w:styleId="Kazalovsebine2">
    <w:name w:val="toc 2"/>
    <w:basedOn w:val="Navaden"/>
    <w:next w:val="Navaden"/>
    <w:autoRedefine/>
    <w:uiPriority w:val="39"/>
    <w:unhideWhenUsed/>
    <w:rsid w:val="007025D2"/>
    <w:pPr>
      <w:spacing w:after="100" w:line="240" w:lineRule="auto"/>
      <w:ind w:left="220"/>
      <w:jc w:val="both"/>
    </w:pPr>
    <w:rPr>
      <w:rFonts w:ascii="Arial Narrow" w:eastAsia="Arial Narrow" w:hAnsi="Arial Narrow"/>
      <w:sz w:val="22"/>
      <w:szCs w:val="22"/>
    </w:rPr>
  </w:style>
  <w:style w:type="paragraph" w:customStyle="1" w:styleId="LZS">
    <w:name w:val=".LZS"/>
    <w:basedOn w:val="ZDRZZ"/>
    <w:qFormat/>
    <w:rsid w:val="007025D2"/>
    <w:pPr>
      <w:shd w:val="clear" w:color="auto" w:fill="FABF8F"/>
    </w:pPr>
  </w:style>
  <w:style w:type="paragraph" w:customStyle="1" w:styleId="Standard">
    <w:name w:val="Standard"/>
    <w:rsid w:val="007025D2"/>
    <w:pPr>
      <w:widowControl w:val="0"/>
      <w:suppressAutoHyphens/>
      <w:autoSpaceDN w:val="0"/>
      <w:textAlignment w:val="baseline"/>
    </w:pPr>
    <w:rPr>
      <w:rFonts w:eastAsia="SimSun" w:cs="Mangal"/>
      <w:kern w:val="3"/>
      <w:sz w:val="24"/>
      <w:szCs w:val="24"/>
      <w:lang w:eastAsia="zh-CN" w:bidi="hi-IN"/>
    </w:rPr>
  </w:style>
  <w:style w:type="paragraph" w:customStyle="1" w:styleId="ZDRZZ">
    <w:name w:val=".ZDRZZ"/>
    <w:basedOn w:val="ZZZS0"/>
    <w:qFormat/>
    <w:rsid w:val="007025D2"/>
    <w:pPr>
      <w:keepNext w:val="0"/>
      <w:shd w:val="clear" w:color="auto" w:fill="C6D9F1"/>
      <w:spacing w:before="240" w:line="240" w:lineRule="auto"/>
      <w:ind w:left="426" w:hanging="426"/>
      <w:jc w:val="both"/>
      <w:outlineLvl w:val="1"/>
    </w:pPr>
    <w:rPr>
      <w:rFonts w:cs="Times New Roman"/>
      <w:lang w:eastAsia="en-US"/>
    </w:rPr>
  </w:style>
  <w:style w:type="character" w:customStyle="1" w:styleId="ZZSZnak">
    <w:name w:val=".ZZS Znak"/>
    <w:link w:val="ZZS"/>
    <w:rsid w:val="007025D2"/>
    <w:rPr>
      <w:rFonts w:ascii="Arial Narrow" w:hAnsi="Arial Narrow" w:cs="Arial"/>
      <w:b/>
      <w:spacing w:val="40"/>
      <w:sz w:val="22"/>
      <w:szCs w:val="22"/>
      <w:shd w:val="clear" w:color="auto" w:fill="FF99CC"/>
    </w:rPr>
  </w:style>
  <w:style w:type="numbering" w:customStyle="1" w:styleId="List0">
    <w:name w:val="List 0"/>
    <w:basedOn w:val="Brezseznama"/>
    <w:rsid w:val="007025D2"/>
    <w:pPr>
      <w:numPr>
        <w:numId w:val="18"/>
      </w:numPr>
    </w:pPr>
  </w:style>
  <w:style w:type="character" w:customStyle="1" w:styleId="apple-converted-space">
    <w:name w:val="apple-converted-space"/>
    <w:rsid w:val="007025D2"/>
  </w:style>
  <w:style w:type="paragraph" w:customStyle="1" w:styleId="Znak2">
    <w:name w:val="Znak2"/>
    <w:basedOn w:val="Navaden"/>
    <w:rsid w:val="007025D2"/>
    <w:pPr>
      <w:spacing w:after="160" w:line="240" w:lineRule="exact"/>
    </w:pPr>
    <w:rPr>
      <w:rFonts w:ascii="Tahoma" w:hAnsi="Tahoma" w:cs="Tahoma"/>
      <w:color w:val="222222"/>
      <w:szCs w:val="20"/>
    </w:rPr>
  </w:style>
  <w:style w:type="paragraph" w:customStyle="1" w:styleId="WW-Telobesedila">
    <w:name w:val="WW-Telo besedila"/>
    <w:basedOn w:val="Navaden"/>
    <w:rsid w:val="007025D2"/>
    <w:pPr>
      <w:suppressAutoHyphens/>
      <w:autoSpaceDE w:val="0"/>
      <w:spacing w:line="240" w:lineRule="auto"/>
    </w:pPr>
    <w:rPr>
      <w:rFonts w:ascii="Times New Roman!CE" w:eastAsia="Times New Roman!CE" w:hAnsi="Times New Roman!CE" w:cs="Times New Roman!CE"/>
      <w:color w:val="000000"/>
      <w:sz w:val="24"/>
      <w:lang w:eastAsia="ar-SA"/>
    </w:rPr>
  </w:style>
  <w:style w:type="character" w:customStyle="1" w:styleId="Bodytext3">
    <w:name w:val="Body text (3)_"/>
    <w:link w:val="Bodytext30"/>
    <w:rsid w:val="007025D2"/>
    <w:rPr>
      <w:rFonts w:ascii="Arial" w:eastAsia="Arial" w:hAnsi="Arial" w:cs="Arial"/>
      <w:b/>
      <w:bCs/>
      <w:sz w:val="21"/>
      <w:szCs w:val="21"/>
      <w:shd w:val="clear" w:color="auto" w:fill="FFFFFF"/>
    </w:rPr>
  </w:style>
  <w:style w:type="character" w:customStyle="1" w:styleId="Tablecaption">
    <w:name w:val="Table caption_"/>
    <w:link w:val="Tablecaption0"/>
    <w:uiPriority w:val="99"/>
    <w:rsid w:val="007025D2"/>
    <w:rPr>
      <w:rFonts w:ascii="Arial" w:eastAsia="Arial" w:hAnsi="Arial" w:cs="Arial"/>
      <w:b/>
      <w:bCs/>
      <w:sz w:val="21"/>
      <w:szCs w:val="21"/>
      <w:shd w:val="clear" w:color="auto" w:fill="FFFFFF"/>
    </w:rPr>
  </w:style>
  <w:style w:type="character" w:customStyle="1" w:styleId="BodytextCalibri95ptBold">
    <w:name w:val="Body text + Calibri;9;5 pt;Bold"/>
    <w:rsid w:val="007025D2"/>
    <w:rPr>
      <w:rFonts w:ascii="Calibri" w:eastAsia="Calibri" w:hAnsi="Calibri" w:cs="Calibri"/>
      <w:b/>
      <w:bCs/>
      <w:color w:val="000000"/>
      <w:spacing w:val="0"/>
      <w:w w:val="100"/>
      <w:position w:val="0"/>
      <w:sz w:val="19"/>
      <w:szCs w:val="19"/>
      <w:shd w:val="clear" w:color="auto" w:fill="FFFFFF"/>
      <w:lang w:val="sl-SI"/>
    </w:rPr>
  </w:style>
  <w:style w:type="character" w:customStyle="1" w:styleId="BodytextArial85pt">
    <w:name w:val="Body text + Arial;8;5 pt"/>
    <w:rsid w:val="007025D2"/>
    <w:rPr>
      <w:rFonts w:ascii="Arial" w:eastAsia="Arial" w:hAnsi="Arial" w:cs="Arial"/>
      <w:color w:val="000000"/>
      <w:spacing w:val="0"/>
      <w:w w:val="100"/>
      <w:position w:val="0"/>
      <w:sz w:val="17"/>
      <w:szCs w:val="17"/>
      <w:shd w:val="clear" w:color="auto" w:fill="FFFFFF"/>
      <w:lang w:val="sl-SI"/>
    </w:rPr>
  </w:style>
  <w:style w:type="paragraph" w:customStyle="1" w:styleId="Bodytext30">
    <w:name w:val="Body text (3)"/>
    <w:basedOn w:val="Navaden"/>
    <w:link w:val="Bodytext3"/>
    <w:rsid w:val="007025D2"/>
    <w:pPr>
      <w:widowControl w:val="0"/>
      <w:shd w:val="clear" w:color="auto" w:fill="FFFFFF"/>
      <w:spacing w:before="720" w:after="240" w:line="254" w:lineRule="exact"/>
    </w:pPr>
    <w:rPr>
      <w:rFonts w:eastAsia="Arial" w:cs="Arial"/>
      <w:b/>
      <w:bCs/>
      <w:sz w:val="21"/>
      <w:szCs w:val="21"/>
      <w:lang w:eastAsia="sl-SI"/>
    </w:rPr>
  </w:style>
  <w:style w:type="paragraph" w:customStyle="1" w:styleId="Tablecaption0">
    <w:name w:val="Table caption"/>
    <w:basedOn w:val="Navaden"/>
    <w:link w:val="Tablecaption"/>
    <w:uiPriority w:val="99"/>
    <w:rsid w:val="007025D2"/>
    <w:pPr>
      <w:widowControl w:val="0"/>
      <w:shd w:val="clear" w:color="auto" w:fill="FFFFFF"/>
      <w:spacing w:line="0" w:lineRule="atLeast"/>
    </w:pPr>
    <w:rPr>
      <w:rFonts w:eastAsia="Arial" w:cs="Arial"/>
      <w:b/>
      <w:bCs/>
      <w:sz w:val="21"/>
      <w:szCs w:val="21"/>
      <w:lang w:eastAsia="sl-SI"/>
    </w:rPr>
  </w:style>
  <w:style w:type="character" w:customStyle="1" w:styleId="Bodytext2">
    <w:name w:val="Body text (2)_"/>
    <w:link w:val="Bodytext20"/>
    <w:rsid w:val="007025D2"/>
    <w:rPr>
      <w:rFonts w:ascii="Arial" w:eastAsia="Arial" w:hAnsi="Arial" w:cs="Arial"/>
      <w:b/>
      <w:bCs/>
      <w:sz w:val="23"/>
      <w:szCs w:val="23"/>
      <w:shd w:val="clear" w:color="auto" w:fill="FFFFFF"/>
    </w:rPr>
  </w:style>
  <w:style w:type="character" w:customStyle="1" w:styleId="Headerorfooter">
    <w:name w:val="Header or footer"/>
    <w:rsid w:val="007025D2"/>
    <w:rPr>
      <w:rFonts w:ascii="Times New Roman" w:eastAsia="Times New Roman" w:hAnsi="Times New Roman" w:cs="Times New Roman"/>
      <w:b w:val="0"/>
      <w:bCs w:val="0"/>
      <w:i w:val="0"/>
      <w:iCs w:val="0"/>
      <w:smallCaps w:val="0"/>
      <w:strike w:val="0"/>
      <w:color w:val="000000"/>
      <w:spacing w:val="0"/>
      <w:w w:val="100"/>
      <w:position w:val="0"/>
      <w:sz w:val="25"/>
      <w:szCs w:val="25"/>
      <w:u w:val="none"/>
      <w:lang w:val="sl-SI"/>
    </w:rPr>
  </w:style>
  <w:style w:type="character" w:customStyle="1" w:styleId="BodytextSegoeUI95ptBold">
    <w:name w:val="Body text + Segoe UI;9;5 pt;Bold"/>
    <w:rsid w:val="007025D2"/>
    <w:rPr>
      <w:rFonts w:ascii="Segoe UI" w:eastAsia="Segoe UI" w:hAnsi="Segoe UI" w:cs="Segoe UI"/>
      <w:b/>
      <w:bCs/>
      <w:color w:val="000000"/>
      <w:spacing w:val="0"/>
      <w:w w:val="100"/>
      <w:position w:val="0"/>
      <w:sz w:val="19"/>
      <w:szCs w:val="19"/>
      <w:shd w:val="clear" w:color="auto" w:fill="FFFFFF"/>
      <w:lang w:val="sl-SI"/>
    </w:rPr>
  </w:style>
  <w:style w:type="character" w:customStyle="1" w:styleId="BodytextSegoeUI105pt">
    <w:name w:val="Body text + Segoe UI;10;5 pt"/>
    <w:rsid w:val="007025D2"/>
    <w:rPr>
      <w:rFonts w:ascii="Segoe UI" w:eastAsia="Segoe UI" w:hAnsi="Segoe UI" w:cs="Segoe UI"/>
      <w:color w:val="000000"/>
      <w:spacing w:val="0"/>
      <w:w w:val="100"/>
      <w:position w:val="0"/>
      <w:sz w:val="21"/>
      <w:szCs w:val="21"/>
      <w:shd w:val="clear" w:color="auto" w:fill="FFFFFF"/>
      <w:lang w:val="sl-SI"/>
    </w:rPr>
  </w:style>
  <w:style w:type="character" w:customStyle="1" w:styleId="Heading22">
    <w:name w:val="Heading #2 (2)_"/>
    <w:link w:val="Heading220"/>
    <w:rsid w:val="007025D2"/>
    <w:rPr>
      <w:rFonts w:ascii="Arial" w:eastAsia="Arial" w:hAnsi="Arial" w:cs="Arial"/>
      <w:b/>
      <w:bCs/>
      <w:sz w:val="23"/>
      <w:szCs w:val="23"/>
      <w:shd w:val="clear" w:color="auto" w:fill="FFFFFF"/>
    </w:rPr>
  </w:style>
  <w:style w:type="character" w:customStyle="1" w:styleId="Bodytext2NotBold">
    <w:name w:val="Body text (2) + Not Bold"/>
    <w:rsid w:val="007025D2"/>
  </w:style>
  <w:style w:type="character" w:customStyle="1" w:styleId="Heading2">
    <w:name w:val="Heading #2_"/>
    <w:link w:val="Heading20"/>
    <w:rsid w:val="007025D2"/>
    <w:rPr>
      <w:rFonts w:ascii="Arial" w:eastAsia="Arial" w:hAnsi="Arial" w:cs="Arial"/>
      <w:sz w:val="23"/>
      <w:szCs w:val="23"/>
      <w:shd w:val="clear" w:color="auto" w:fill="FFFFFF"/>
    </w:rPr>
  </w:style>
  <w:style w:type="paragraph" w:customStyle="1" w:styleId="Bodytext20">
    <w:name w:val="Body text (2)"/>
    <w:basedOn w:val="Navaden"/>
    <w:link w:val="Bodytext2"/>
    <w:rsid w:val="007025D2"/>
    <w:pPr>
      <w:widowControl w:val="0"/>
      <w:shd w:val="clear" w:color="auto" w:fill="FFFFFF"/>
      <w:spacing w:before="780" w:after="660" w:line="254" w:lineRule="exact"/>
      <w:ind w:hanging="1140"/>
    </w:pPr>
    <w:rPr>
      <w:rFonts w:eastAsia="Arial" w:cs="Arial"/>
      <w:b/>
      <w:bCs/>
      <w:sz w:val="23"/>
      <w:szCs w:val="23"/>
      <w:lang w:eastAsia="sl-SI"/>
    </w:rPr>
  </w:style>
  <w:style w:type="paragraph" w:customStyle="1" w:styleId="Heading220">
    <w:name w:val="Heading #2 (2)"/>
    <w:basedOn w:val="Navaden"/>
    <w:link w:val="Heading22"/>
    <w:rsid w:val="007025D2"/>
    <w:pPr>
      <w:widowControl w:val="0"/>
      <w:shd w:val="clear" w:color="auto" w:fill="FFFFFF"/>
      <w:spacing w:before="180" w:line="250" w:lineRule="exact"/>
      <w:outlineLvl w:val="1"/>
    </w:pPr>
    <w:rPr>
      <w:rFonts w:eastAsia="Arial" w:cs="Arial"/>
      <w:b/>
      <w:bCs/>
      <w:sz w:val="23"/>
      <w:szCs w:val="23"/>
      <w:lang w:eastAsia="sl-SI"/>
    </w:rPr>
  </w:style>
  <w:style w:type="paragraph" w:customStyle="1" w:styleId="Heading20">
    <w:name w:val="Heading #2"/>
    <w:basedOn w:val="Navaden"/>
    <w:link w:val="Heading2"/>
    <w:rsid w:val="007025D2"/>
    <w:pPr>
      <w:widowControl w:val="0"/>
      <w:shd w:val="clear" w:color="auto" w:fill="FFFFFF"/>
      <w:spacing w:before="120" w:after="300" w:line="0" w:lineRule="atLeast"/>
      <w:outlineLvl w:val="1"/>
    </w:pPr>
    <w:rPr>
      <w:rFonts w:eastAsia="Arial" w:cs="Arial"/>
      <w:sz w:val="23"/>
      <w:szCs w:val="23"/>
      <w:lang w:eastAsia="sl-SI"/>
    </w:rPr>
  </w:style>
  <w:style w:type="character" w:customStyle="1" w:styleId="Bodytext5">
    <w:name w:val="Body text (5)_"/>
    <w:link w:val="Bodytext50"/>
    <w:rsid w:val="007025D2"/>
    <w:rPr>
      <w:rFonts w:ascii="Arial" w:eastAsia="Arial" w:hAnsi="Arial" w:cs="Arial"/>
      <w:b/>
      <w:bCs/>
      <w:shd w:val="clear" w:color="auto" w:fill="FFFFFF"/>
    </w:rPr>
  </w:style>
  <w:style w:type="paragraph" w:customStyle="1" w:styleId="Bodytext50">
    <w:name w:val="Body text (5)"/>
    <w:basedOn w:val="Navaden"/>
    <w:link w:val="Bodytext5"/>
    <w:rsid w:val="007025D2"/>
    <w:pPr>
      <w:widowControl w:val="0"/>
      <w:shd w:val="clear" w:color="auto" w:fill="FFFFFF"/>
      <w:spacing w:before="480" w:after="240" w:line="250" w:lineRule="exact"/>
    </w:pPr>
    <w:rPr>
      <w:rFonts w:eastAsia="Arial" w:cs="Arial"/>
      <w:b/>
      <w:bCs/>
      <w:szCs w:val="20"/>
      <w:lang w:eastAsia="sl-SI"/>
    </w:rPr>
  </w:style>
  <w:style w:type="paragraph" w:customStyle="1" w:styleId="FreeForm">
    <w:name w:val="Free Form"/>
    <w:uiPriority w:val="99"/>
    <w:rsid w:val="007025D2"/>
    <w:rPr>
      <w:rFonts w:ascii="Lucida Grande" w:hAnsi="Lucida Grande"/>
      <w:color w:val="000000"/>
    </w:rPr>
  </w:style>
  <w:style w:type="character" w:customStyle="1" w:styleId="Bodytext6">
    <w:name w:val="Body text (6)_"/>
    <w:link w:val="Bodytext60"/>
    <w:rsid w:val="007025D2"/>
    <w:rPr>
      <w:rFonts w:ascii="Tahoma" w:eastAsia="Tahoma" w:hAnsi="Tahoma" w:cs="Tahoma"/>
      <w:b/>
      <w:bCs/>
      <w:sz w:val="18"/>
      <w:szCs w:val="18"/>
      <w:shd w:val="clear" w:color="auto" w:fill="FFFFFF"/>
    </w:rPr>
  </w:style>
  <w:style w:type="paragraph" w:customStyle="1" w:styleId="Bodytext60">
    <w:name w:val="Body text (6)"/>
    <w:basedOn w:val="Navaden"/>
    <w:link w:val="Bodytext6"/>
    <w:rsid w:val="007025D2"/>
    <w:pPr>
      <w:widowControl w:val="0"/>
      <w:shd w:val="clear" w:color="auto" w:fill="FFFFFF"/>
      <w:spacing w:line="216" w:lineRule="exact"/>
      <w:jc w:val="both"/>
    </w:pPr>
    <w:rPr>
      <w:rFonts w:ascii="Tahoma" w:eastAsia="Tahoma" w:hAnsi="Tahoma" w:cs="Tahoma"/>
      <w:b/>
      <w:bCs/>
      <w:sz w:val="18"/>
      <w:szCs w:val="18"/>
      <w:lang w:eastAsia="sl-SI"/>
    </w:rPr>
  </w:style>
  <w:style w:type="paragraph" w:customStyle="1" w:styleId="Stalie">
    <w:name w:val="Stališče"/>
    <w:basedOn w:val="sklep0"/>
    <w:link w:val="StalieZnak"/>
    <w:qFormat/>
    <w:rsid w:val="007025D2"/>
    <w:rPr>
      <w:b w:val="0"/>
    </w:rPr>
  </w:style>
  <w:style w:type="character" w:customStyle="1" w:styleId="StalieZnak">
    <w:name w:val="Stališče Znak"/>
    <w:link w:val="Stalie"/>
    <w:rsid w:val="007025D2"/>
    <w:rPr>
      <w:rFonts w:ascii="Arial Narrow" w:eastAsia="Arial Narrow" w:hAnsi="Arial Narrow"/>
      <w:color w:val="0000FF"/>
      <w:sz w:val="22"/>
      <w:szCs w:val="22"/>
      <w:lang w:eastAsia="en-US"/>
    </w:rPr>
  </w:style>
  <w:style w:type="paragraph" w:customStyle="1" w:styleId="xl174">
    <w:name w:val="xl174"/>
    <w:basedOn w:val="Navaden"/>
    <w:rsid w:val="007025D2"/>
    <w:pPr>
      <w:pBdr>
        <w:left w:val="double" w:sz="6" w:space="0" w:color="auto"/>
      </w:pBdr>
      <w:spacing w:before="100" w:beforeAutospacing="1" w:after="100" w:afterAutospacing="1" w:line="240" w:lineRule="auto"/>
    </w:pPr>
    <w:rPr>
      <w:rFonts w:ascii="Times New Roman" w:hAnsi="Times New Roman"/>
      <w:sz w:val="24"/>
      <w:lang w:eastAsia="sl-SI"/>
    </w:rPr>
  </w:style>
  <w:style w:type="paragraph" w:customStyle="1" w:styleId="xl175">
    <w:name w:val="xl175"/>
    <w:basedOn w:val="Navaden"/>
    <w:rsid w:val="007025D2"/>
    <w:pPr>
      <w:pBdr>
        <w:top w:val="double" w:sz="6" w:space="0" w:color="auto"/>
        <w:left w:val="single" w:sz="4" w:space="0" w:color="auto"/>
      </w:pBdr>
      <w:spacing w:before="100" w:beforeAutospacing="1" w:after="100" w:afterAutospacing="1" w:line="240" w:lineRule="auto"/>
      <w:jc w:val="right"/>
    </w:pPr>
    <w:rPr>
      <w:color w:val="000000"/>
      <w:szCs w:val="20"/>
      <w:lang w:eastAsia="sl-SI"/>
    </w:rPr>
  </w:style>
  <w:style w:type="paragraph" w:customStyle="1" w:styleId="xl176">
    <w:name w:val="xl176"/>
    <w:basedOn w:val="Navaden"/>
    <w:rsid w:val="007025D2"/>
    <w:pPr>
      <w:pBdr>
        <w:left w:val="single" w:sz="4" w:space="0" w:color="auto"/>
        <w:bottom w:val="single" w:sz="4" w:space="0" w:color="auto"/>
      </w:pBdr>
      <w:spacing w:before="100" w:beforeAutospacing="1" w:after="100" w:afterAutospacing="1" w:line="240" w:lineRule="auto"/>
      <w:jc w:val="right"/>
    </w:pPr>
    <w:rPr>
      <w:color w:val="000000"/>
      <w:szCs w:val="20"/>
      <w:lang w:eastAsia="sl-SI"/>
    </w:rPr>
  </w:style>
  <w:style w:type="paragraph" w:customStyle="1" w:styleId="xl177">
    <w:name w:val="xl177"/>
    <w:basedOn w:val="Navaden"/>
    <w:rsid w:val="007025D2"/>
    <w:pPr>
      <w:pBdr>
        <w:left w:val="double" w:sz="6" w:space="0" w:color="auto"/>
      </w:pBdr>
      <w:spacing w:before="100" w:beforeAutospacing="1" w:after="100" w:afterAutospacing="1" w:line="240" w:lineRule="auto"/>
    </w:pPr>
    <w:rPr>
      <w:b/>
      <w:bCs/>
      <w:szCs w:val="20"/>
      <w:lang w:eastAsia="sl-SI"/>
    </w:rPr>
  </w:style>
  <w:style w:type="paragraph" w:customStyle="1" w:styleId="xl178">
    <w:name w:val="xl178"/>
    <w:basedOn w:val="Navaden"/>
    <w:rsid w:val="007025D2"/>
    <w:pPr>
      <w:pBdr>
        <w:top w:val="double" w:sz="6" w:space="0" w:color="auto"/>
        <w:left w:val="single" w:sz="4" w:space="0" w:color="auto"/>
        <w:bottom w:val="double" w:sz="6" w:space="0" w:color="auto"/>
      </w:pBdr>
      <w:spacing w:before="100" w:beforeAutospacing="1" w:after="100" w:afterAutospacing="1" w:line="240" w:lineRule="auto"/>
      <w:jc w:val="right"/>
    </w:pPr>
    <w:rPr>
      <w:b/>
      <w:bCs/>
      <w:szCs w:val="20"/>
      <w:lang w:eastAsia="sl-SI"/>
    </w:rPr>
  </w:style>
  <w:style w:type="paragraph" w:customStyle="1" w:styleId="xl179">
    <w:name w:val="xl179"/>
    <w:basedOn w:val="Navaden"/>
    <w:rsid w:val="007025D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szCs w:val="20"/>
      <w:lang w:eastAsia="sl-SI"/>
    </w:rPr>
  </w:style>
  <w:style w:type="paragraph" w:customStyle="1" w:styleId="xl180">
    <w:name w:val="xl180"/>
    <w:basedOn w:val="Navaden"/>
    <w:rsid w:val="007025D2"/>
    <w:pPr>
      <w:pBdr>
        <w:left w:val="double" w:sz="6" w:space="0" w:color="auto"/>
        <w:bottom w:val="double" w:sz="6" w:space="0" w:color="auto"/>
        <w:right w:val="single" w:sz="4" w:space="0" w:color="auto"/>
      </w:pBdr>
      <w:spacing w:before="100" w:beforeAutospacing="1" w:after="100" w:afterAutospacing="1" w:line="240" w:lineRule="auto"/>
    </w:pPr>
    <w:rPr>
      <w:b/>
      <w:bCs/>
      <w:szCs w:val="20"/>
      <w:lang w:eastAsia="sl-SI"/>
    </w:rPr>
  </w:style>
  <w:style w:type="paragraph" w:customStyle="1" w:styleId="xl181">
    <w:name w:val="xl181"/>
    <w:basedOn w:val="Navaden"/>
    <w:rsid w:val="007025D2"/>
    <w:pPr>
      <w:pBdr>
        <w:left w:val="double" w:sz="6" w:space="0" w:color="auto"/>
        <w:bottom w:val="double" w:sz="6" w:space="0" w:color="auto"/>
        <w:right w:val="single" w:sz="4" w:space="0" w:color="auto"/>
      </w:pBdr>
      <w:spacing w:before="100" w:beforeAutospacing="1" w:after="100" w:afterAutospacing="1" w:line="240" w:lineRule="auto"/>
    </w:pPr>
    <w:rPr>
      <w:i/>
      <w:iCs/>
      <w:szCs w:val="20"/>
      <w:lang w:eastAsia="sl-SI"/>
    </w:rPr>
  </w:style>
  <w:style w:type="paragraph" w:customStyle="1" w:styleId="xl182">
    <w:name w:val="xl182"/>
    <w:basedOn w:val="Navaden"/>
    <w:rsid w:val="007025D2"/>
    <w:pPr>
      <w:pBdr>
        <w:left w:val="single" w:sz="4" w:space="0" w:color="auto"/>
      </w:pBdr>
      <w:spacing w:before="100" w:beforeAutospacing="1" w:after="100" w:afterAutospacing="1" w:line="240" w:lineRule="auto"/>
      <w:jc w:val="right"/>
    </w:pPr>
    <w:rPr>
      <w:i/>
      <w:iCs/>
      <w:szCs w:val="20"/>
      <w:lang w:eastAsia="sl-SI"/>
    </w:rPr>
  </w:style>
  <w:style w:type="paragraph" w:customStyle="1" w:styleId="xl183">
    <w:name w:val="xl183"/>
    <w:basedOn w:val="Navaden"/>
    <w:rsid w:val="007025D2"/>
    <w:pPr>
      <w:pBdr>
        <w:left w:val="single" w:sz="4" w:space="0" w:color="auto"/>
        <w:bottom w:val="double" w:sz="6" w:space="0" w:color="auto"/>
      </w:pBdr>
      <w:spacing w:before="100" w:beforeAutospacing="1" w:after="100" w:afterAutospacing="1" w:line="240" w:lineRule="auto"/>
      <w:jc w:val="right"/>
    </w:pPr>
    <w:rPr>
      <w:szCs w:val="20"/>
      <w:lang w:eastAsia="sl-SI"/>
    </w:rPr>
  </w:style>
  <w:style w:type="paragraph" w:customStyle="1" w:styleId="xl184">
    <w:name w:val="xl184"/>
    <w:basedOn w:val="Navaden"/>
    <w:rsid w:val="007025D2"/>
    <w:pPr>
      <w:spacing w:before="100" w:beforeAutospacing="1" w:after="100" w:afterAutospacing="1" w:line="240" w:lineRule="auto"/>
    </w:pPr>
    <w:rPr>
      <w:rFonts w:ascii="Times New Roman" w:hAnsi="Times New Roman"/>
      <w:sz w:val="24"/>
      <w:lang w:eastAsia="sl-SI"/>
    </w:rPr>
  </w:style>
  <w:style w:type="paragraph" w:customStyle="1" w:styleId="xl185">
    <w:name w:val="xl185"/>
    <w:basedOn w:val="Navaden"/>
    <w:rsid w:val="007025D2"/>
    <w:pPr>
      <w:pBdr>
        <w:left w:val="double" w:sz="6" w:space="0" w:color="auto"/>
      </w:pBdr>
      <w:spacing w:before="100" w:beforeAutospacing="1" w:after="100" w:afterAutospacing="1" w:line="240" w:lineRule="auto"/>
    </w:pPr>
    <w:rPr>
      <w:rFonts w:ascii="Times New Roman" w:hAnsi="Times New Roman"/>
      <w:sz w:val="24"/>
      <w:lang w:eastAsia="sl-SI"/>
    </w:rPr>
  </w:style>
  <w:style w:type="paragraph" w:customStyle="1" w:styleId="xl186">
    <w:name w:val="xl186"/>
    <w:basedOn w:val="Navaden"/>
    <w:rsid w:val="007025D2"/>
    <w:pPr>
      <w:pBdr>
        <w:top w:val="double" w:sz="6" w:space="0" w:color="auto"/>
        <w:left w:val="single" w:sz="4" w:space="0" w:color="auto"/>
      </w:pBdr>
      <w:spacing w:before="100" w:beforeAutospacing="1" w:after="100" w:afterAutospacing="1" w:line="240" w:lineRule="auto"/>
      <w:jc w:val="right"/>
    </w:pPr>
    <w:rPr>
      <w:color w:val="000000"/>
      <w:szCs w:val="20"/>
      <w:lang w:eastAsia="sl-SI"/>
    </w:rPr>
  </w:style>
  <w:style w:type="paragraph" w:customStyle="1" w:styleId="xl187">
    <w:name w:val="xl187"/>
    <w:basedOn w:val="Navaden"/>
    <w:rsid w:val="007025D2"/>
    <w:pPr>
      <w:pBdr>
        <w:left w:val="single" w:sz="4" w:space="0" w:color="auto"/>
        <w:bottom w:val="single" w:sz="4" w:space="0" w:color="auto"/>
      </w:pBdr>
      <w:spacing w:before="100" w:beforeAutospacing="1" w:after="100" w:afterAutospacing="1" w:line="240" w:lineRule="auto"/>
      <w:jc w:val="right"/>
    </w:pPr>
    <w:rPr>
      <w:color w:val="000000"/>
      <w:szCs w:val="20"/>
      <w:lang w:eastAsia="sl-SI"/>
    </w:rPr>
  </w:style>
  <w:style w:type="numbering" w:customStyle="1" w:styleId="Brezseznama3">
    <w:name w:val="Brez seznama3"/>
    <w:next w:val="Brezseznama"/>
    <w:uiPriority w:val="99"/>
    <w:semiHidden/>
    <w:unhideWhenUsed/>
    <w:rsid w:val="007025D2"/>
  </w:style>
  <w:style w:type="table" w:customStyle="1" w:styleId="Tabelamrea2">
    <w:name w:val="Tabela – mreža2"/>
    <w:basedOn w:val="Navadnatabela"/>
    <w:next w:val="Tabelamrea"/>
    <w:uiPriority w:val="39"/>
    <w:rsid w:val="007025D2"/>
    <w:rPr>
      <w:rFonts w:ascii="Arial Narrow" w:eastAsia="Arial Narrow"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Brezseznama"/>
    <w:rsid w:val="007025D2"/>
    <w:pPr>
      <w:numPr>
        <w:numId w:val="15"/>
      </w:numPr>
    </w:pPr>
  </w:style>
  <w:style w:type="paragraph" w:customStyle="1" w:styleId="Obrazloitev20">
    <w:name w:val="..Obrazložitev2"/>
    <w:basedOn w:val="Navaden"/>
    <w:qFormat/>
    <w:rsid w:val="007025D2"/>
    <w:pPr>
      <w:spacing w:line="240" w:lineRule="auto"/>
      <w:jc w:val="both"/>
    </w:pPr>
    <w:rPr>
      <w:rFonts w:ascii="Arial Narrow" w:eastAsia="Arial Narrow" w:hAnsi="Arial Narrow"/>
      <w:i/>
      <w:color w:val="808080"/>
      <w:sz w:val="21"/>
      <w:szCs w:val="21"/>
      <w:lang w:eastAsia="sl-SI"/>
    </w:rPr>
  </w:style>
  <w:style w:type="paragraph" w:customStyle="1" w:styleId="Obrazloitev10">
    <w:name w:val="..Obrazložitev1"/>
    <w:basedOn w:val="Navaden"/>
    <w:link w:val="Obrazloitev1Znak0"/>
    <w:qFormat/>
    <w:rsid w:val="007025D2"/>
    <w:pPr>
      <w:spacing w:before="240" w:after="60" w:line="240" w:lineRule="auto"/>
      <w:jc w:val="both"/>
    </w:pPr>
    <w:rPr>
      <w:rFonts w:ascii="Arial Narrow" w:hAnsi="Arial Narrow"/>
      <w:b/>
      <w:i/>
      <w:color w:val="808080"/>
      <w:sz w:val="22"/>
      <w:szCs w:val="22"/>
      <w:u w:val="single"/>
      <w:lang w:eastAsia="sl-SI"/>
    </w:rPr>
  </w:style>
  <w:style w:type="character" w:customStyle="1" w:styleId="Obrazloitev1Znak0">
    <w:name w:val="..Obrazložitev1 Znak"/>
    <w:link w:val="Obrazloitev10"/>
    <w:qFormat/>
    <w:rsid w:val="007025D2"/>
    <w:rPr>
      <w:rFonts w:ascii="Arial Narrow" w:hAnsi="Arial Narrow"/>
      <w:b/>
      <w:i/>
      <w:color w:val="808080"/>
      <w:sz w:val="22"/>
      <w:szCs w:val="22"/>
      <w:u w:val="single"/>
    </w:rPr>
  </w:style>
  <w:style w:type="paragraph" w:customStyle="1" w:styleId="xmsolistparagraph">
    <w:name w:val="x_msolistparagraph"/>
    <w:basedOn w:val="Navaden"/>
    <w:rsid w:val="007025D2"/>
    <w:pPr>
      <w:spacing w:line="240" w:lineRule="auto"/>
      <w:jc w:val="both"/>
    </w:pPr>
    <w:rPr>
      <w:rFonts w:ascii="Times New Roman" w:eastAsia="Arial Narrow" w:hAnsi="Times New Roman"/>
      <w:sz w:val="24"/>
      <w:lang w:eastAsia="sl-SI"/>
    </w:rPr>
  </w:style>
  <w:style w:type="table" w:customStyle="1" w:styleId="TableGrid">
    <w:name w:val="TableGrid"/>
    <w:rsid w:val="007025D2"/>
    <w:rPr>
      <w:rFonts w:ascii="Arial Narrow" w:hAnsi="Arial Narrow"/>
      <w:sz w:val="22"/>
      <w:szCs w:val="22"/>
    </w:rPr>
    <w:tblPr>
      <w:tblCellMar>
        <w:top w:w="0" w:type="dxa"/>
        <w:left w:w="0" w:type="dxa"/>
        <w:bottom w:w="0" w:type="dxa"/>
        <w:right w:w="0" w:type="dxa"/>
      </w:tblCellMar>
    </w:tblPr>
  </w:style>
  <w:style w:type="paragraph" w:customStyle="1" w:styleId="Bodytext210">
    <w:name w:val="Body text (2)1"/>
    <w:basedOn w:val="Navaden"/>
    <w:uiPriority w:val="99"/>
    <w:rsid w:val="007025D2"/>
    <w:pPr>
      <w:widowControl w:val="0"/>
      <w:shd w:val="clear" w:color="auto" w:fill="FFFFFF"/>
      <w:spacing w:after="1080" w:line="240" w:lineRule="exact"/>
    </w:pPr>
    <w:rPr>
      <w:rFonts w:eastAsia="Arial Narrow" w:cs="Arial"/>
      <w:sz w:val="22"/>
      <w:szCs w:val="22"/>
    </w:rPr>
  </w:style>
  <w:style w:type="character" w:customStyle="1" w:styleId="SklepZnak1">
    <w:name w:val="..Sklep Znak"/>
    <w:link w:val="Sklep1"/>
    <w:locked/>
    <w:rsid w:val="007025D2"/>
    <w:rPr>
      <w:rFonts w:cs="Calibri"/>
      <w:b/>
      <w:color w:val="0000FF"/>
    </w:rPr>
  </w:style>
  <w:style w:type="paragraph" w:customStyle="1" w:styleId="Sklep1">
    <w:name w:val="..Sklep"/>
    <w:basedOn w:val="Navaden"/>
    <w:link w:val="SklepZnak1"/>
    <w:qFormat/>
    <w:rsid w:val="007025D2"/>
    <w:pPr>
      <w:spacing w:line="240" w:lineRule="auto"/>
      <w:jc w:val="both"/>
    </w:pPr>
    <w:rPr>
      <w:rFonts w:ascii="Times New Roman" w:hAnsi="Times New Roman" w:cs="Calibri"/>
      <w:b/>
      <w:color w:val="0000FF"/>
      <w:szCs w:val="20"/>
      <w:lang w:eastAsia="sl-SI"/>
    </w:rPr>
  </w:style>
  <w:style w:type="character" w:customStyle="1" w:styleId="st1">
    <w:name w:val="st1"/>
    <w:rsid w:val="007025D2"/>
  </w:style>
  <w:style w:type="table" w:customStyle="1" w:styleId="Tabelasvetlamrea1poudarek11">
    <w:name w:val="Tabela – svetla mreža 1 (poudarek 1)1"/>
    <w:basedOn w:val="Navadnatabela"/>
    <w:uiPriority w:val="46"/>
    <w:rsid w:val="007025D2"/>
    <w:rPr>
      <w:rFonts w:ascii="Arial Narrow" w:eastAsia="Arial Narrow" w:hAnsi="Arial Narrow"/>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evilenjepredlogov">
    <w:name w:val=".Številčenje predlogov"/>
    <w:basedOn w:val="Odstavekseznama"/>
    <w:autoRedefine/>
    <w:rsid w:val="007025D2"/>
    <w:pPr>
      <w:numPr>
        <w:numId w:val="19"/>
      </w:numPr>
      <w:pBdr>
        <w:top w:val="single" w:sz="4" w:space="1" w:color="auto"/>
        <w:left w:val="single" w:sz="4" w:space="4" w:color="auto"/>
        <w:bottom w:val="single" w:sz="4" w:space="1" w:color="auto"/>
        <w:right w:val="single" w:sz="4" w:space="4" w:color="auto"/>
      </w:pBdr>
      <w:shd w:val="clear" w:color="auto" w:fill="FFFFFF"/>
      <w:tabs>
        <w:tab w:val="num" w:pos="720"/>
      </w:tabs>
      <w:spacing w:before="240"/>
      <w:ind w:left="720"/>
      <w:jc w:val="both"/>
    </w:pPr>
    <w:rPr>
      <w:rFonts w:ascii="Arial Narrow" w:hAnsi="Arial Narrow"/>
      <w:b/>
      <w:spacing w:val="40"/>
      <w:sz w:val="22"/>
      <w:lang w:eastAsia="sl-SI"/>
    </w:rPr>
  </w:style>
  <w:style w:type="paragraph" w:customStyle="1" w:styleId="priloga0">
    <w:name w:val="..priloga"/>
    <w:aliases w:val="člen"/>
    <w:basedOn w:val="Navaden"/>
    <w:next w:val="Navaden"/>
    <w:qFormat/>
    <w:rsid w:val="007025D2"/>
    <w:pPr>
      <w:spacing w:before="120" w:after="120" w:line="240" w:lineRule="auto"/>
      <w:jc w:val="center"/>
      <w:outlineLvl w:val="0"/>
    </w:pPr>
    <w:rPr>
      <w:rFonts w:ascii="Arial Narrow" w:eastAsia="Calibri" w:hAnsi="Arial Narrow"/>
      <w:b/>
      <w:color w:val="7030A0"/>
      <w:sz w:val="22"/>
      <w:szCs w:val="22"/>
      <w:lang w:eastAsia="sl-SI"/>
    </w:rPr>
  </w:style>
  <w:style w:type="character" w:customStyle="1" w:styleId="Navaden1Znak">
    <w:name w:val="Navaden1 Znak"/>
    <w:link w:val="Navaden1"/>
    <w:rsid w:val="007025D2"/>
    <w:rPr>
      <w:rFonts w:ascii="Lucida Grande" w:hAnsi="Lucida Grande"/>
      <w:color w:val="000000"/>
      <w:sz w:val="22"/>
    </w:rPr>
  </w:style>
  <w:style w:type="paragraph" w:customStyle="1" w:styleId="Obrazloitev0">
    <w:name w:val="..Obrazložitev"/>
    <w:basedOn w:val="Navaden"/>
    <w:qFormat/>
    <w:rsid w:val="007025D2"/>
    <w:pPr>
      <w:spacing w:line="240" w:lineRule="auto"/>
      <w:jc w:val="both"/>
    </w:pPr>
    <w:rPr>
      <w:rFonts w:ascii="Arial Narrow" w:eastAsia="Calibri" w:hAnsi="Arial Narrow"/>
      <w:i/>
      <w:color w:val="808080"/>
      <w:sz w:val="21"/>
      <w:szCs w:val="21"/>
    </w:rPr>
  </w:style>
  <w:style w:type="table" w:customStyle="1" w:styleId="Tabelasvetlamrea1poudarek12">
    <w:name w:val="Tabela – svetla mreža 1 (poudarek 1)2"/>
    <w:basedOn w:val="Navadnatabela"/>
    <w:uiPriority w:val="46"/>
    <w:rsid w:val="007025D2"/>
    <w:rPr>
      <w:rFonts w:ascii="Calibri" w:eastAsia="Calibri" w:hAnsi="Calibri"/>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CM10">
    <w:name w:val="CM10"/>
    <w:basedOn w:val="Navaden"/>
    <w:next w:val="Navaden"/>
    <w:uiPriority w:val="99"/>
    <w:rsid w:val="007025D2"/>
    <w:pPr>
      <w:widowControl w:val="0"/>
      <w:autoSpaceDE w:val="0"/>
      <w:autoSpaceDN w:val="0"/>
      <w:adjustRightInd w:val="0"/>
      <w:spacing w:line="240" w:lineRule="auto"/>
    </w:pPr>
    <w:rPr>
      <w:rFonts w:cs="Arial"/>
      <w:sz w:val="24"/>
      <w:lang w:eastAsia="sl-SI"/>
    </w:rPr>
  </w:style>
  <w:style w:type="paragraph" w:customStyle="1" w:styleId="CM8">
    <w:name w:val="CM8"/>
    <w:basedOn w:val="Navaden"/>
    <w:next w:val="Navaden"/>
    <w:uiPriority w:val="99"/>
    <w:rsid w:val="007025D2"/>
    <w:pPr>
      <w:widowControl w:val="0"/>
      <w:autoSpaceDE w:val="0"/>
      <w:autoSpaceDN w:val="0"/>
      <w:adjustRightInd w:val="0"/>
      <w:spacing w:line="240" w:lineRule="auto"/>
    </w:pPr>
    <w:rPr>
      <w:rFonts w:cs="Arial"/>
      <w:sz w:val="24"/>
      <w:lang w:eastAsia="sl-SI"/>
    </w:rPr>
  </w:style>
  <w:style w:type="character" w:customStyle="1" w:styleId="E-potniSlog97">
    <w:name w:val="E-poštniSlog97"/>
    <w:semiHidden/>
    <w:rsid w:val="007025D2"/>
    <w:rPr>
      <w:rFonts w:ascii="Arial" w:hAnsi="Arial" w:cs="Arial"/>
      <w:color w:val="auto"/>
      <w:sz w:val="20"/>
      <w:szCs w:val="20"/>
    </w:rPr>
  </w:style>
  <w:style w:type="paragraph" w:customStyle="1" w:styleId="alineazaodstavkom0">
    <w:name w:val="alineazaodstavkom"/>
    <w:basedOn w:val="Navaden"/>
    <w:rsid w:val="007025D2"/>
    <w:pPr>
      <w:spacing w:before="100" w:beforeAutospacing="1" w:after="100" w:afterAutospacing="1" w:line="240" w:lineRule="auto"/>
    </w:pPr>
    <w:rPr>
      <w:rFonts w:ascii="Times New Roman" w:hAnsi="Times New Roman"/>
      <w:sz w:val="24"/>
      <w:lang w:eastAsia="sl-SI"/>
    </w:rPr>
  </w:style>
  <w:style w:type="paragraph" w:customStyle="1" w:styleId="vpraanjeSSZS">
    <w:name w:val="vprašanje.SSZS"/>
    <w:basedOn w:val="Navaden"/>
    <w:next w:val="Navaden"/>
    <w:link w:val="vpraanjeSSZSZnak"/>
    <w:qFormat/>
    <w:rsid w:val="007025D2"/>
    <w:pPr>
      <w:numPr>
        <w:numId w:val="20"/>
      </w:numPr>
      <w:pBdr>
        <w:top w:val="single" w:sz="4" w:space="1" w:color="auto"/>
        <w:left w:val="single" w:sz="4" w:space="4" w:color="auto"/>
        <w:bottom w:val="single" w:sz="4" w:space="1" w:color="auto"/>
        <w:right w:val="single" w:sz="4" w:space="4" w:color="auto"/>
      </w:pBdr>
      <w:shd w:val="clear" w:color="auto" w:fill="EBE8AD"/>
      <w:tabs>
        <w:tab w:val="num" w:pos="360"/>
      </w:tabs>
      <w:spacing w:before="240" w:line="240" w:lineRule="auto"/>
      <w:ind w:left="360"/>
      <w:jc w:val="both"/>
      <w:outlineLvl w:val="1"/>
    </w:pPr>
    <w:rPr>
      <w:rFonts w:ascii="Arial Narrow" w:hAnsi="Arial Narrow"/>
      <w:b/>
      <w:spacing w:val="40"/>
      <w:sz w:val="22"/>
      <w:szCs w:val="22"/>
    </w:rPr>
  </w:style>
  <w:style w:type="table" w:customStyle="1" w:styleId="TableGrid1">
    <w:name w:val="Table Grid1"/>
    <w:basedOn w:val="Navadnatabela"/>
    <w:next w:val="Tabelamrea"/>
    <w:uiPriority w:val="39"/>
    <w:rsid w:val="007025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avaden"/>
    <w:uiPriority w:val="1"/>
    <w:qFormat/>
    <w:rsid w:val="007025D2"/>
    <w:pPr>
      <w:widowControl w:val="0"/>
      <w:autoSpaceDE w:val="0"/>
      <w:autoSpaceDN w:val="0"/>
      <w:spacing w:before="61" w:line="240" w:lineRule="auto"/>
    </w:pPr>
    <w:rPr>
      <w:rFonts w:eastAsia="Arial" w:cs="Arial"/>
      <w:sz w:val="22"/>
      <w:szCs w:val="22"/>
    </w:rPr>
  </w:style>
  <w:style w:type="table" w:customStyle="1" w:styleId="TableNormal1">
    <w:name w:val="Table Normal1"/>
    <w:uiPriority w:val="2"/>
    <w:semiHidden/>
    <w:qFormat/>
    <w:rsid w:val="007025D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Konnaopomba-besedilo">
    <w:name w:val="endnote text"/>
    <w:basedOn w:val="Navaden"/>
    <w:link w:val="Konnaopomba-besediloZnak"/>
    <w:rsid w:val="007025D2"/>
    <w:rPr>
      <w:szCs w:val="20"/>
    </w:rPr>
  </w:style>
  <w:style w:type="character" w:customStyle="1" w:styleId="Konnaopomba-besediloZnak">
    <w:name w:val="Končna opomba - besedilo Znak"/>
    <w:basedOn w:val="Privzetapisavaodstavka"/>
    <w:link w:val="Konnaopomba-besedilo"/>
    <w:rsid w:val="007025D2"/>
    <w:rPr>
      <w:rFonts w:ascii="Arial" w:hAnsi="Arial"/>
      <w:lang w:val="en-US" w:eastAsia="en-US"/>
    </w:rPr>
  </w:style>
  <w:style w:type="character" w:styleId="Konnaopomba-sklic">
    <w:name w:val="endnote reference"/>
    <w:rsid w:val="007025D2"/>
    <w:rPr>
      <w:vertAlign w:val="superscript"/>
    </w:rPr>
  </w:style>
  <w:style w:type="character" w:customStyle="1" w:styleId="Bodytext2Bold">
    <w:name w:val="Body text (2) + Bold"/>
    <w:uiPriority w:val="99"/>
    <w:rsid w:val="007025D2"/>
    <w:rPr>
      <w:rFonts w:ascii="Calibri" w:eastAsia="Arial" w:hAnsi="Calibri" w:cs="Calibri"/>
      <w:b/>
      <w:bCs/>
      <w:sz w:val="22"/>
      <w:szCs w:val="22"/>
      <w:u w:val="none"/>
      <w:shd w:val="clear" w:color="auto" w:fill="FFFFFF"/>
    </w:rPr>
  </w:style>
  <w:style w:type="character" w:customStyle="1" w:styleId="Bodytext2MicrosoftSansSerif">
    <w:name w:val="Body text (2) + Microsoft Sans Serif"/>
    <w:aliases w:val="9,5 pt,Bold"/>
    <w:uiPriority w:val="99"/>
    <w:rsid w:val="007025D2"/>
    <w:rPr>
      <w:rFonts w:ascii="Microsoft Sans Serif" w:eastAsia="Arial" w:hAnsi="Microsoft Sans Serif" w:cs="Microsoft Sans Serif"/>
      <w:b/>
      <w:bCs/>
      <w:sz w:val="19"/>
      <w:szCs w:val="19"/>
      <w:u w:val="none"/>
      <w:shd w:val="clear" w:color="auto" w:fill="FFFFFF"/>
    </w:rPr>
  </w:style>
  <w:style w:type="paragraph" w:customStyle="1" w:styleId="paragraph">
    <w:name w:val="paragraph"/>
    <w:basedOn w:val="Navaden"/>
    <w:rsid w:val="007025D2"/>
    <w:pPr>
      <w:spacing w:before="100" w:beforeAutospacing="1" w:after="100" w:afterAutospacing="1" w:line="240" w:lineRule="auto"/>
    </w:pPr>
    <w:rPr>
      <w:rFonts w:ascii="Times New Roman" w:hAnsi="Times New Roman"/>
      <w:sz w:val="24"/>
      <w:lang w:eastAsia="sl-SI"/>
    </w:rPr>
  </w:style>
  <w:style w:type="character" w:customStyle="1" w:styleId="normaltextrun">
    <w:name w:val="normaltextrun"/>
    <w:rsid w:val="007025D2"/>
  </w:style>
  <w:style w:type="paragraph" w:customStyle="1" w:styleId="Znak121">
    <w:name w:val="Znak121"/>
    <w:basedOn w:val="Navaden"/>
    <w:rsid w:val="0017177A"/>
    <w:pPr>
      <w:spacing w:after="160" w:line="240" w:lineRule="exact"/>
    </w:pPr>
    <w:rPr>
      <w:rFonts w:ascii="Tahoma" w:hAnsi="Tahoma" w:cs="Tahoma"/>
      <w:color w:val="222222"/>
      <w:sz w:val="22"/>
      <w:szCs w:val="20"/>
      <w:lang w:eastAsia="sl-SI"/>
    </w:rPr>
  </w:style>
  <w:style w:type="paragraph" w:customStyle="1" w:styleId="ZnakZnak2">
    <w:name w:val="Znak Znak2"/>
    <w:basedOn w:val="Navaden"/>
    <w:rsid w:val="0017177A"/>
    <w:pPr>
      <w:spacing w:after="160" w:line="240" w:lineRule="exact"/>
    </w:pPr>
    <w:rPr>
      <w:rFonts w:ascii="Tahoma" w:hAnsi="Tahoma" w:cs="Arial"/>
      <w:bCs/>
      <w:color w:val="222222"/>
      <w:sz w:val="22"/>
      <w:szCs w:val="20"/>
      <w:lang w:eastAsia="sl-SI"/>
    </w:rPr>
  </w:style>
  <w:style w:type="paragraph" w:customStyle="1" w:styleId="ZnakCharChar1">
    <w:name w:val="Znak Char Char1"/>
    <w:basedOn w:val="Navaden"/>
    <w:rsid w:val="0017177A"/>
    <w:pPr>
      <w:spacing w:after="160" w:line="240" w:lineRule="exact"/>
    </w:pPr>
    <w:rPr>
      <w:rFonts w:ascii="Tahoma" w:hAnsi="Tahoma" w:cs="Arial"/>
      <w:bCs/>
      <w:color w:val="222222"/>
      <w:sz w:val="22"/>
      <w:szCs w:val="20"/>
      <w:lang w:eastAsia="sl-SI"/>
    </w:rPr>
  </w:style>
  <w:style w:type="paragraph" w:customStyle="1" w:styleId="ZnakCharCharZnak1">
    <w:name w:val="Znak Char Char Znak1"/>
    <w:basedOn w:val="Navaden"/>
    <w:rsid w:val="0017177A"/>
    <w:pPr>
      <w:spacing w:after="160" w:line="240" w:lineRule="exact"/>
    </w:pPr>
    <w:rPr>
      <w:rFonts w:ascii="Tahoma" w:hAnsi="Tahoma" w:cs="Arial"/>
      <w:bCs/>
      <w:color w:val="222222"/>
      <w:sz w:val="22"/>
      <w:szCs w:val="20"/>
      <w:lang w:eastAsia="sl-SI"/>
    </w:rPr>
  </w:style>
  <w:style w:type="paragraph" w:customStyle="1" w:styleId="ZnakZnakZnakZnakZnakZnakZnakZnak1">
    <w:name w:val="Znak Znak Znak Znak Znak Znak Znak Znak1"/>
    <w:basedOn w:val="Navaden"/>
    <w:rsid w:val="0017177A"/>
    <w:pPr>
      <w:spacing w:after="160" w:line="240" w:lineRule="exact"/>
    </w:pPr>
    <w:rPr>
      <w:rFonts w:ascii="Tahoma" w:hAnsi="Tahoma" w:cs="Arial"/>
      <w:bCs/>
      <w:color w:val="222222"/>
      <w:sz w:val="22"/>
      <w:szCs w:val="20"/>
      <w:lang w:eastAsia="sl-SI"/>
    </w:rPr>
  </w:style>
  <w:style w:type="numbering" w:customStyle="1" w:styleId="1111113">
    <w:name w:val="1 / 1.1 / 1.1.13"/>
    <w:basedOn w:val="Brezseznama"/>
    <w:next w:val="111111"/>
    <w:rsid w:val="0017177A"/>
    <w:pPr>
      <w:numPr>
        <w:numId w:val="3"/>
      </w:numPr>
    </w:pPr>
  </w:style>
  <w:style w:type="paragraph" w:customStyle="1" w:styleId="ZnakZnak2CharChar1">
    <w:name w:val="Znak Znak2 Char Char1"/>
    <w:basedOn w:val="Navaden"/>
    <w:rsid w:val="0017177A"/>
    <w:pPr>
      <w:spacing w:after="160" w:line="240" w:lineRule="exact"/>
    </w:pPr>
    <w:rPr>
      <w:rFonts w:ascii="Tahoma" w:hAnsi="Tahoma" w:cs="Arial"/>
      <w:bCs/>
      <w:color w:val="222222"/>
      <w:sz w:val="22"/>
      <w:szCs w:val="20"/>
      <w:lang w:eastAsia="sl-SI"/>
    </w:rPr>
  </w:style>
  <w:style w:type="numbering" w:customStyle="1" w:styleId="11111112">
    <w:name w:val="1 / 1.1 / 1.1.112"/>
    <w:basedOn w:val="Brezseznama"/>
    <w:next w:val="111111"/>
    <w:rsid w:val="0017177A"/>
    <w:pPr>
      <w:numPr>
        <w:numId w:val="8"/>
      </w:numPr>
    </w:pPr>
  </w:style>
  <w:style w:type="table" w:customStyle="1" w:styleId="Tabelamrea12">
    <w:name w:val="Tabela – mreža12"/>
    <w:basedOn w:val="Navadnatabela"/>
    <w:next w:val="Tabelamrea"/>
    <w:uiPriority w:val="59"/>
    <w:rsid w:val="001717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elseznampoudarek12">
    <w:name w:val="Svetel seznam – poudarek 12"/>
    <w:basedOn w:val="Navadnatabela"/>
    <w:next w:val="Svetelseznampoudarek1"/>
    <w:uiPriority w:val="61"/>
    <w:rsid w:val="0017177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etelseznampoudarek111">
    <w:name w:val="Svetel seznam – poudarek 111"/>
    <w:basedOn w:val="Navadnatabela"/>
    <w:uiPriority w:val="61"/>
    <w:rsid w:val="0017177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11121">
    <w:name w:val="1 / 1.1 / 1.1.121"/>
    <w:basedOn w:val="Brezseznama"/>
    <w:next w:val="111111"/>
    <w:rsid w:val="0017177A"/>
  </w:style>
  <w:style w:type="numbering" w:customStyle="1" w:styleId="111111111">
    <w:name w:val="1 / 1.1 / 1.1.1111"/>
    <w:basedOn w:val="Brezseznama"/>
    <w:next w:val="111111"/>
    <w:rsid w:val="0017177A"/>
    <w:pPr>
      <w:numPr>
        <w:numId w:val="21"/>
      </w:numPr>
    </w:pPr>
  </w:style>
  <w:style w:type="numbering" w:customStyle="1" w:styleId="LFO51">
    <w:name w:val="LFO51"/>
    <w:basedOn w:val="Brezseznama"/>
    <w:rsid w:val="0017177A"/>
    <w:pPr>
      <w:numPr>
        <w:numId w:val="11"/>
      </w:numPr>
    </w:pPr>
  </w:style>
  <w:style w:type="numbering" w:customStyle="1" w:styleId="List02">
    <w:name w:val="List 02"/>
    <w:basedOn w:val="Brezseznama"/>
    <w:rsid w:val="0017177A"/>
    <w:pPr>
      <w:numPr>
        <w:numId w:val="16"/>
      </w:numPr>
    </w:pPr>
  </w:style>
  <w:style w:type="table" w:customStyle="1" w:styleId="Tabelasvetlamrea1poudarek13">
    <w:name w:val="Tabela – svetla mreža 1 (poudarek 1)3"/>
    <w:basedOn w:val="Navadnatabela"/>
    <w:uiPriority w:val="46"/>
    <w:rsid w:val="0017177A"/>
    <w:rPr>
      <w:rFonts w:ascii="Arial Narrow" w:eastAsia="Arial Narrow" w:hAnsi="Arial Narrow"/>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17177A"/>
    <w:rPr>
      <w:rFonts w:ascii="Calibri" w:eastAsia="Calibri" w:hAnsi="Calibri"/>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HTMLpisalnistroj">
    <w:name w:val="HTML Typewriter"/>
    <w:uiPriority w:val="99"/>
    <w:unhideWhenUsed/>
    <w:rsid w:val="0017177A"/>
    <w:rPr>
      <w:rFonts w:ascii="Courier New" w:eastAsia="Times New Roman" w:hAnsi="Courier New" w:cs="Courier New"/>
      <w:sz w:val="20"/>
      <w:szCs w:val="20"/>
    </w:rPr>
  </w:style>
  <w:style w:type="table" w:customStyle="1" w:styleId="Tabelamrea3">
    <w:name w:val="Tabela – mreža3"/>
    <w:basedOn w:val="Navadnatabela"/>
    <w:next w:val="Tabelamrea"/>
    <w:uiPriority w:val="39"/>
    <w:rsid w:val="001717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1">
    <w:name w:val="Table caption1"/>
    <w:basedOn w:val="Navaden"/>
    <w:uiPriority w:val="99"/>
    <w:rsid w:val="0017177A"/>
    <w:pPr>
      <w:widowControl w:val="0"/>
      <w:shd w:val="clear" w:color="auto" w:fill="FFFFFF"/>
      <w:spacing w:line="245" w:lineRule="exact"/>
    </w:pPr>
    <w:rPr>
      <w:rFonts w:ascii="Calibri" w:hAnsi="Calibri" w:cs="Calibri"/>
      <w:b/>
      <w:bCs/>
      <w:sz w:val="22"/>
      <w:szCs w:val="22"/>
      <w:lang w:eastAsia="sl-SI"/>
    </w:rPr>
  </w:style>
  <w:style w:type="paragraph" w:customStyle="1" w:styleId="Finannaocena">
    <w:name w:val="Finančna ocena"/>
    <w:basedOn w:val="Navaden"/>
    <w:qFormat/>
    <w:rsid w:val="0017177A"/>
    <w:pPr>
      <w:spacing w:line="240" w:lineRule="auto"/>
      <w:jc w:val="both"/>
    </w:pPr>
    <w:rPr>
      <w:rFonts w:ascii="Arial Narrow" w:eastAsia="Calibri" w:hAnsi="Arial Narrow"/>
      <w:b/>
      <w:bCs/>
      <w:i/>
      <w:color w:val="808080"/>
      <w:sz w:val="22"/>
      <w:szCs w:val="22"/>
    </w:rPr>
  </w:style>
  <w:style w:type="table" w:customStyle="1" w:styleId="TableGrid0">
    <w:name w:val="Table Grid0"/>
    <w:rsid w:val="0017177A"/>
    <w:rPr>
      <w:rFonts w:ascii="Calibri" w:hAnsi="Calibri"/>
      <w:sz w:val="22"/>
      <w:szCs w:val="22"/>
    </w:rPr>
    <w:tblPr>
      <w:tblCellMar>
        <w:top w:w="0" w:type="dxa"/>
        <w:left w:w="0" w:type="dxa"/>
        <w:bottom w:w="0" w:type="dxa"/>
        <w:right w:w="0" w:type="dxa"/>
      </w:tblCellMar>
    </w:tblPr>
  </w:style>
  <w:style w:type="character" w:customStyle="1" w:styleId="eop">
    <w:name w:val="eop"/>
    <w:rsid w:val="0017177A"/>
  </w:style>
  <w:style w:type="character" w:customStyle="1" w:styleId="textrun">
    <w:name w:val="textrun"/>
    <w:rsid w:val="0017177A"/>
  </w:style>
  <w:style w:type="table" w:customStyle="1" w:styleId="Tabelamrea4">
    <w:name w:val="Tabela – mreža4"/>
    <w:basedOn w:val="Navadnatabela"/>
    <w:next w:val="Tabelamrea"/>
    <w:uiPriority w:val="59"/>
    <w:rsid w:val="001A099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
    <w:name w:val="Brez seznama4"/>
    <w:next w:val="Brezseznama"/>
    <w:uiPriority w:val="99"/>
    <w:semiHidden/>
    <w:unhideWhenUsed/>
    <w:rsid w:val="00744231"/>
  </w:style>
  <w:style w:type="character" w:customStyle="1" w:styleId="UnresolvedMention1">
    <w:name w:val="Unresolved Mention1"/>
    <w:basedOn w:val="Privzetapisavaodstavka"/>
    <w:uiPriority w:val="99"/>
    <w:semiHidden/>
    <w:unhideWhenUsed/>
    <w:rsid w:val="00744231"/>
    <w:rPr>
      <w:color w:val="808080"/>
      <w:shd w:val="clear" w:color="auto" w:fill="E6E6E6"/>
    </w:rPr>
  </w:style>
  <w:style w:type="character" w:customStyle="1" w:styleId="IMSNormalChar">
    <w:name w:val="IMS Normal Char"/>
    <w:basedOn w:val="Privzetapisavaodstavka"/>
    <w:link w:val="IMSNormal"/>
    <w:locked/>
    <w:rsid w:val="00744231"/>
    <w:rPr>
      <w:rFonts w:ascii="Garamond" w:hAnsi="Garamond"/>
    </w:rPr>
  </w:style>
  <w:style w:type="paragraph" w:customStyle="1" w:styleId="IMSNormal">
    <w:name w:val="IMS Normal"/>
    <w:basedOn w:val="Navaden"/>
    <w:link w:val="IMSNormalChar"/>
    <w:rsid w:val="00744231"/>
    <w:pPr>
      <w:spacing w:line="240" w:lineRule="auto"/>
      <w:jc w:val="both"/>
    </w:pPr>
    <w:rPr>
      <w:rFonts w:ascii="Garamond" w:hAnsi="Garamond"/>
      <w:szCs w:val="20"/>
      <w:lang w:eastAsia="sl-SI"/>
    </w:rPr>
  </w:style>
  <w:style w:type="table" w:customStyle="1" w:styleId="LightList-Accent111">
    <w:name w:val="Light List - Accent 111"/>
    <w:basedOn w:val="Navadnatabela"/>
    <w:uiPriority w:val="61"/>
    <w:rsid w:val="00744231"/>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elamrea5">
    <w:name w:val="Tabela – mreža5"/>
    <w:basedOn w:val="Navadnatabela"/>
    <w:next w:val="Tabelamrea"/>
    <w:uiPriority w:val="59"/>
    <w:rsid w:val="0074423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0">
    <w:name w:val="odstavek"/>
    <w:basedOn w:val="Navaden"/>
    <w:rsid w:val="00744231"/>
    <w:pPr>
      <w:spacing w:before="100" w:beforeAutospacing="1" w:after="100" w:afterAutospacing="1" w:line="240" w:lineRule="auto"/>
    </w:pPr>
    <w:rPr>
      <w:rFonts w:ascii="Times New Roman" w:hAnsi="Times New Roman"/>
      <w:sz w:val="24"/>
      <w:lang w:val="en-GB" w:eastAsia="sl-SI"/>
    </w:rPr>
  </w:style>
  <w:style w:type="table" w:customStyle="1" w:styleId="Tabelamrea13">
    <w:name w:val="Tabela – mreža13"/>
    <w:basedOn w:val="Navadnatabela"/>
    <w:next w:val="Tabelamrea"/>
    <w:uiPriority w:val="59"/>
    <w:rsid w:val="00744231"/>
    <w:rPr>
      <w:rFonts w:ascii="Arial Narrow" w:eastAsia="Arial Narrow"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14">
    <w:name w:val="Tabela – svetla mreža 1 (poudarek 1)4"/>
    <w:basedOn w:val="Navadnatabela"/>
    <w:next w:val="Tabelasvetlamrea1poudarek1"/>
    <w:uiPriority w:val="46"/>
    <w:rsid w:val="00744231"/>
    <w:rPr>
      <w:rFonts w:asciiTheme="minorHAnsi" w:eastAsiaTheme="minorHAnsi" w:hAnsiTheme="minorHAnsi" w:cstheme="minorBidi"/>
      <w:sz w:val="22"/>
      <w:szCs w:val="22"/>
      <w:lang w:val="en-US"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Obrazloitevnaslov">
    <w:name w:val="Obrazložitev naslov"/>
    <w:basedOn w:val="Navaden"/>
    <w:link w:val="ObrazloitevnaslovChar"/>
    <w:qFormat/>
    <w:rsid w:val="00744231"/>
    <w:pPr>
      <w:spacing w:before="240" w:after="60" w:line="240" w:lineRule="auto"/>
      <w:jc w:val="both"/>
    </w:pPr>
    <w:rPr>
      <w:rFonts w:ascii="Arial Narrow" w:hAnsi="Arial Narrow"/>
      <w:b/>
      <w:i/>
      <w:color w:val="808080" w:themeColor="background1" w:themeShade="80"/>
      <w:sz w:val="21"/>
      <w:szCs w:val="21"/>
      <w:u w:val="single"/>
      <w:lang w:val="en-GB" w:eastAsia="sl-SI"/>
    </w:rPr>
  </w:style>
  <w:style w:type="character" w:customStyle="1" w:styleId="ObrazloitevnaslovChar">
    <w:name w:val="Obrazložitev naslov Char"/>
    <w:basedOn w:val="Privzetapisavaodstavka"/>
    <w:link w:val="Obrazloitevnaslov"/>
    <w:rsid w:val="00744231"/>
    <w:rPr>
      <w:rFonts w:ascii="Arial Narrow" w:hAnsi="Arial Narrow"/>
      <w:b/>
      <w:i/>
      <w:color w:val="808080" w:themeColor="background1" w:themeShade="80"/>
      <w:sz w:val="21"/>
      <w:szCs w:val="21"/>
      <w:u w:val="single"/>
      <w:lang w:val="en-GB"/>
    </w:rPr>
  </w:style>
  <w:style w:type="paragraph" w:customStyle="1" w:styleId="VpraanjeUVOD">
    <w:name w:val="Vprašanje UVOD"/>
    <w:basedOn w:val="Predlog20"/>
    <w:qFormat/>
    <w:rsid w:val="00744231"/>
    <w:rPr>
      <w:rFonts w:eastAsia="Times New Roman"/>
      <w:szCs w:val="24"/>
      <w:lang w:val="en-GB"/>
    </w:rPr>
  </w:style>
  <w:style w:type="character" w:customStyle="1" w:styleId="E-potniSlog102">
    <w:name w:val="E-poštniSlog102"/>
    <w:semiHidden/>
    <w:rsid w:val="00744231"/>
    <w:rPr>
      <w:rFonts w:ascii="Arial" w:hAnsi="Arial" w:cs="Arial"/>
      <w:color w:val="auto"/>
      <w:sz w:val="20"/>
      <w:szCs w:val="20"/>
    </w:rPr>
  </w:style>
  <w:style w:type="paragraph" w:customStyle="1" w:styleId="Brezrazmikov1">
    <w:name w:val="Brez razmikov1"/>
    <w:qFormat/>
    <w:rsid w:val="00744231"/>
    <w:pPr>
      <w:jc w:val="both"/>
    </w:pPr>
    <w:rPr>
      <w:sz w:val="24"/>
      <w:szCs w:val="24"/>
    </w:rPr>
  </w:style>
  <w:style w:type="table" w:customStyle="1" w:styleId="TableNormal11">
    <w:name w:val="Table Normal11"/>
    <w:uiPriority w:val="2"/>
    <w:semiHidden/>
    <w:unhideWhenUsed/>
    <w:qFormat/>
    <w:rsid w:val="007442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Intenzivencitat">
    <w:name w:val="Intense Quote"/>
    <w:basedOn w:val="Navaden"/>
    <w:next w:val="Navaden"/>
    <w:link w:val="IntenzivencitatZnak"/>
    <w:uiPriority w:val="30"/>
    <w:qFormat/>
    <w:rsid w:val="00744231"/>
    <w:pPr>
      <w:pBdr>
        <w:top w:val="single" w:sz="4" w:space="10" w:color="4472C4" w:themeColor="accent1"/>
        <w:bottom w:val="single" w:sz="4" w:space="10" w:color="4472C4" w:themeColor="accent1"/>
      </w:pBdr>
      <w:spacing w:before="360" w:after="360" w:line="276" w:lineRule="auto"/>
      <w:ind w:left="864" w:right="864"/>
      <w:jc w:val="center"/>
    </w:pPr>
    <w:rPr>
      <w:rFonts w:ascii="Calibri" w:hAnsi="Calibri"/>
      <w:i/>
      <w:iCs/>
      <w:color w:val="4472C4" w:themeColor="accent1"/>
      <w:sz w:val="22"/>
      <w:lang w:val="en-GB" w:eastAsia="sl-SI"/>
    </w:rPr>
  </w:style>
  <w:style w:type="character" w:customStyle="1" w:styleId="IntenzivencitatZnak">
    <w:name w:val="Intenziven citat Znak"/>
    <w:basedOn w:val="Privzetapisavaodstavka"/>
    <w:link w:val="Intenzivencitat"/>
    <w:uiPriority w:val="30"/>
    <w:rsid w:val="00744231"/>
    <w:rPr>
      <w:rFonts w:ascii="Calibri" w:hAnsi="Calibri"/>
      <w:i/>
      <w:iCs/>
      <w:color w:val="4472C4" w:themeColor="accent1"/>
      <w:sz w:val="22"/>
      <w:szCs w:val="24"/>
      <w:lang w:val="en-GB"/>
    </w:rPr>
  </w:style>
  <w:style w:type="table" w:styleId="Srednjesenenje1poudarek1">
    <w:name w:val="Medium Shading 1 Accent 1"/>
    <w:basedOn w:val="Navadnatabela"/>
    <w:uiPriority w:val="63"/>
    <w:rsid w:val="00744231"/>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EmailStyle119">
    <w:name w:val="EmailStyle119"/>
    <w:semiHidden/>
    <w:rsid w:val="00744231"/>
    <w:rPr>
      <w:rFonts w:ascii="Arial" w:hAnsi="Arial" w:cs="Arial"/>
      <w:color w:val="auto"/>
      <w:sz w:val="20"/>
      <w:szCs w:val="20"/>
    </w:rPr>
  </w:style>
  <w:style w:type="numbering" w:customStyle="1" w:styleId="Brezseznama12">
    <w:name w:val="Brez seznama12"/>
    <w:next w:val="Brezseznama"/>
    <w:uiPriority w:val="99"/>
    <w:semiHidden/>
    <w:unhideWhenUsed/>
    <w:rsid w:val="00744231"/>
  </w:style>
  <w:style w:type="table" w:customStyle="1" w:styleId="Tabelamrea21">
    <w:name w:val="Tabela – mreža21"/>
    <w:basedOn w:val="Navadnatabela"/>
    <w:next w:val="Tabelamrea"/>
    <w:uiPriority w:val="39"/>
    <w:rsid w:val="0074423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pombabesedilo1">
    <w:name w:val="Pripomba – besedilo1"/>
    <w:basedOn w:val="Navaden"/>
    <w:next w:val="Pripombabesedilo"/>
    <w:uiPriority w:val="99"/>
    <w:unhideWhenUsed/>
    <w:rsid w:val="00744231"/>
    <w:pPr>
      <w:spacing w:after="200" w:line="240" w:lineRule="auto"/>
    </w:pPr>
    <w:rPr>
      <w:rFonts w:ascii="Arial Narrow" w:hAnsi="Arial Narrow"/>
      <w:szCs w:val="20"/>
      <w:lang w:val="en-GB"/>
    </w:rPr>
  </w:style>
  <w:style w:type="paragraph" w:customStyle="1" w:styleId="Zadevapripombe1">
    <w:name w:val="Zadeva pripombe1"/>
    <w:basedOn w:val="Pripombabesedilo"/>
    <w:next w:val="Pripombabesedilo"/>
    <w:uiPriority w:val="99"/>
    <w:semiHidden/>
    <w:unhideWhenUsed/>
    <w:rsid w:val="00744231"/>
    <w:pPr>
      <w:overflowPunct/>
      <w:autoSpaceDE/>
      <w:autoSpaceDN/>
      <w:adjustRightInd/>
      <w:spacing w:after="200"/>
      <w:jc w:val="left"/>
      <w:textAlignment w:val="auto"/>
    </w:pPr>
    <w:rPr>
      <w:rFonts w:ascii="Arial Narrow" w:hAnsi="Arial Narrow"/>
      <w:b/>
      <w:bCs/>
      <w:lang w:val="en-GB" w:eastAsia="sl-SI"/>
    </w:rPr>
  </w:style>
  <w:style w:type="paragraph" w:customStyle="1" w:styleId="Revizija1">
    <w:name w:val="Revizija1"/>
    <w:next w:val="Revizija"/>
    <w:hidden/>
    <w:uiPriority w:val="99"/>
    <w:semiHidden/>
    <w:rsid w:val="00744231"/>
    <w:rPr>
      <w:rFonts w:asciiTheme="minorHAnsi" w:hAnsiTheme="minorHAnsi" w:cstheme="minorBidi"/>
      <w:sz w:val="22"/>
      <w:szCs w:val="22"/>
    </w:rPr>
  </w:style>
  <w:style w:type="character" w:styleId="Besedilooznabemesta">
    <w:name w:val="Placeholder Text"/>
    <w:basedOn w:val="Privzetapisavaodstavka"/>
    <w:uiPriority w:val="99"/>
    <w:semiHidden/>
    <w:rsid w:val="00744231"/>
    <w:rPr>
      <w:color w:val="808080"/>
    </w:rPr>
  </w:style>
  <w:style w:type="paragraph" w:customStyle="1" w:styleId="Ulica">
    <w:name w:val="Ulica"/>
    <w:basedOn w:val="Glava"/>
    <w:qFormat/>
    <w:rsid w:val="00744231"/>
    <w:pPr>
      <w:tabs>
        <w:tab w:val="clear" w:pos="4320"/>
        <w:tab w:val="clear" w:pos="8640"/>
        <w:tab w:val="center" w:pos="4536"/>
        <w:tab w:val="right" w:pos="9072"/>
      </w:tabs>
      <w:spacing w:line="240" w:lineRule="exact"/>
    </w:pPr>
    <w:rPr>
      <w:rFonts w:ascii="Times New Roman" w:hAnsi="Times New Roman"/>
      <w:noProof/>
      <w:szCs w:val="20"/>
      <w:lang w:val="en-GB" w:eastAsia="sl-SI"/>
    </w:rPr>
  </w:style>
  <w:style w:type="paragraph" w:customStyle="1" w:styleId="Naslov61">
    <w:name w:val="Naslov 61"/>
    <w:basedOn w:val="Navaden"/>
    <w:next w:val="Navaden"/>
    <w:uiPriority w:val="9"/>
    <w:semiHidden/>
    <w:unhideWhenUsed/>
    <w:qFormat/>
    <w:rsid w:val="00744231"/>
    <w:pPr>
      <w:keepNext/>
      <w:keepLines/>
      <w:spacing w:before="40" w:line="240" w:lineRule="auto"/>
      <w:outlineLvl w:val="5"/>
    </w:pPr>
    <w:rPr>
      <w:rFonts w:ascii="Cambria" w:hAnsi="Cambria"/>
      <w:color w:val="243F60"/>
      <w:sz w:val="22"/>
      <w:lang w:val="en-GB"/>
    </w:rPr>
  </w:style>
  <w:style w:type="numbering" w:customStyle="1" w:styleId="Brezseznama111">
    <w:name w:val="Brez seznama111"/>
    <w:next w:val="Brezseznama"/>
    <w:uiPriority w:val="99"/>
    <w:semiHidden/>
    <w:unhideWhenUsed/>
    <w:rsid w:val="00744231"/>
  </w:style>
  <w:style w:type="character" w:customStyle="1" w:styleId="EmailStyle26">
    <w:name w:val="EmailStyle26"/>
    <w:basedOn w:val="Privzetapisavaodstavka"/>
    <w:semiHidden/>
    <w:rsid w:val="00744231"/>
    <w:rPr>
      <w:rFonts w:ascii="Arial" w:hAnsi="Arial" w:cs="Arial"/>
      <w:color w:val="auto"/>
      <w:sz w:val="20"/>
      <w:szCs w:val="20"/>
    </w:rPr>
  </w:style>
  <w:style w:type="paragraph" w:customStyle="1" w:styleId="western">
    <w:name w:val="western"/>
    <w:basedOn w:val="Navaden"/>
    <w:rsid w:val="00744231"/>
    <w:pPr>
      <w:spacing w:before="100" w:beforeAutospacing="1" w:after="119" w:line="240" w:lineRule="auto"/>
    </w:pPr>
    <w:rPr>
      <w:rFonts w:ascii="Arial Narrow" w:hAnsi="Arial Narrow"/>
      <w:szCs w:val="20"/>
      <w:lang w:val="en-GB" w:eastAsia="sl-SI"/>
    </w:rPr>
  </w:style>
  <w:style w:type="character" w:customStyle="1" w:styleId="EmailStyle341">
    <w:name w:val="EmailStyle341"/>
    <w:basedOn w:val="Privzetapisavaodstavka"/>
    <w:semiHidden/>
    <w:rsid w:val="00744231"/>
    <w:rPr>
      <w:rFonts w:ascii="Arial" w:hAnsi="Arial" w:cs="Arial"/>
      <w:color w:val="auto"/>
      <w:sz w:val="20"/>
      <w:szCs w:val="20"/>
    </w:rPr>
  </w:style>
  <w:style w:type="character" w:customStyle="1" w:styleId="apple-style-span">
    <w:name w:val="apple-style-span"/>
    <w:basedOn w:val="Privzetapisavaodstavka"/>
    <w:rsid w:val="00744231"/>
  </w:style>
  <w:style w:type="character" w:customStyle="1" w:styleId="EmailStyle381">
    <w:name w:val="EmailStyle381"/>
    <w:basedOn w:val="Privzetapisavaodstavka"/>
    <w:semiHidden/>
    <w:rsid w:val="00744231"/>
    <w:rPr>
      <w:rFonts w:ascii="Arial" w:hAnsi="Arial" w:cs="Arial"/>
      <w:color w:val="auto"/>
      <w:sz w:val="20"/>
      <w:szCs w:val="20"/>
    </w:rPr>
  </w:style>
  <w:style w:type="character" w:customStyle="1" w:styleId="navadenchar">
    <w:name w:val="navaden__char"/>
    <w:basedOn w:val="Privzetapisavaodstavka"/>
    <w:rsid w:val="00744231"/>
  </w:style>
  <w:style w:type="table" w:customStyle="1" w:styleId="Tabelamrea111">
    <w:name w:val="Tabela – mreža111"/>
    <w:basedOn w:val="Navadnatabela"/>
    <w:next w:val="Tabelamrea"/>
    <w:uiPriority w:val="39"/>
    <w:rsid w:val="00744231"/>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Navaden"/>
    <w:next w:val="Navaden"/>
    <w:uiPriority w:val="99"/>
    <w:rsid w:val="00744231"/>
    <w:pPr>
      <w:widowControl w:val="0"/>
      <w:autoSpaceDE w:val="0"/>
      <w:autoSpaceDN w:val="0"/>
      <w:adjustRightInd w:val="0"/>
      <w:spacing w:line="240" w:lineRule="auto"/>
    </w:pPr>
    <w:rPr>
      <w:rFonts w:cs="Arial"/>
      <w:sz w:val="24"/>
      <w:lang w:val="en-GB" w:eastAsia="sl-SI"/>
    </w:rPr>
  </w:style>
  <w:style w:type="paragraph" w:customStyle="1" w:styleId="len0">
    <w:name w:val="len"/>
    <w:basedOn w:val="Navaden"/>
    <w:rsid w:val="00744231"/>
    <w:pPr>
      <w:spacing w:before="100" w:beforeAutospacing="1" w:after="100" w:afterAutospacing="1" w:line="240" w:lineRule="auto"/>
    </w:pPr>
    <w:rPr>
      <w:rFonts w:ascii="Times New Roman" w:hAnsi="Times New Roman"/>
      <w:sz w:val="24"/>
      <w:lang w:val="en-GB" w:eastAsia="sl-SI"/>
    </w:rPr>
  </w:style>
  <w:style w:type="paragraph" w:customStyle="1" w:styleId="article-lead">
    <w:name w:val="article-lead"/>
    <w:basedOn w:val="Navaden"/>
    <w:rsid w:val="00744231"/>
    <w:pPr>
      <w:suppressAutoHyphens/>
      <w:autoSpaceDN w:val="0"/>
      <w:spacing w:before="100" w:after="100" w:line="240" w:lineRule="auto"/>
    </w:pPr>
    <w:rPr>
      <w:rFonts w:ascii="Times New Roman" w:hAnsi="Times New Roman"/>
      <w:sz w:val="24"/>
      <w:lang w:val="en-GB" w:eastAsia="sl-SI"/>
    </w:rPr>
  </w:style>
  <w:style w:type="character" w:customStyle="1" w:styleId="Naslov6Znak1">
    <w:name w:val="Naslov 6 Znak1"/>
    <w:basedOn w:val="Privzetapisavaodstavka"/>
    <w:uiPriority w:val="9"/>
    <w:semiHidden/>
    <w:rsid w:val="00744231"/>
    <w:rPr>
      <w:rFonts w:ascii="Cambria" w:eastAsia="Times New Roman" w:hAnsi="Cambria" w:cs="Times New Roman"/>
      <w:color w:val="243F60"/>
    </w:rPr>
  </w:style>
  <w:style w:type="table" w:customStyle="1" w:styleId="Tabelamrea211">
    <w:name w:val="Tabela – mreža211"/>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
    <w:name w:val="Tabela – mreža41"/>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uiPriority w:val="5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1">
    <w:name w:val="Tabela – mreža121"/>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1">
    <w:name w:val="Tabela – mreža131"/>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
    <w:name w:val="Tabela – mreža23"/>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
    <w:name w:val="Tabela – mreža24"/>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5">
    <w:name w:val="Tabela – mreža25"/>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6">
    <w:name w:val="Tabela – mreža26"/>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7">
    <w:name w:val="Tabela – mreža27"/>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8">
    <w:name w:val="Tabela – mreža28"/>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9">
    <w:name w:val="Tabela – mreža29"/>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0">
    <w:name w:val="Tabela – mreža30"/>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3">
    <w:name w:val="Tabela – mreža33"/>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4">
    <w:name w:val="Tabela – mreža34"/>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5">
    <w:name w:val="Tabela – mreža35"/>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6">
    <w:name w:val="Tabela – mreža36"/>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7">
    <w:name w:val="Tabela – mreža37"/>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8">
    <w:name w:val="Tabela – mreža38"/>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9">
    <w:name w:val="Tabela – mreža39"/>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0">
    <w:name w:val="Tabela – mreža40"/>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2">
    <w:name w:val="Tabela – mreža42"/>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3">
    <w:name w:val="Tabela – mreža43"/>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4">
    <w:name w:val="Tabela – mreža44"/>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5">
    <w:name w:val="Tabela – mreža45"/>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6">
    <w:name w:val="Tabela – mreža46"/>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7">
    <w:name w:val="Tabela – mreža47"/>
    <w:basedOn w:val="Navadnatabela"/>
    <w:next w:val="Tabelamrea"/>
    <w:uiPriority w:val="59"/>
    <w:rsid w:val="00744231"/>
    <w:rPr>
      <w:rFonts w:asciiTheme="minorHAnsi" w:eastAsia="Calibr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8">
    <w:name w:val="Tabela – mreža48"/>
    <w:basedOn w:val="Navadnatabela"/>
    <w:next w:val="Tabelamrea"/>
    <w:uiPriority w:val="59"/>
    <w:rsid w:val="00744231"/>
    <w:rPr>
      <w:rFonts w:asciiTheme="minorHAnsi" w:eastAsia="Calibr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9">
    <w:name w:val="Tabela – mreža49"/>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0">
    <w:name w:val="Tabela – mreža50"/>
    <w:basedOn w:val="Navadnatabela"/>
    <w:next w:val="Tabelamrea"/>
    <w:uiPriority w:val="39"/>
    <w:rsid w:val="00744231"/>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1">
    <w:name w:val="Tabela – mreža511"/>
    <w:basedOn w:val="Navadnatabela"/>
    <w:next w:val="Tabelamrea"/>
    <w:uiPriority w:val="39"/>
    <w:rsid w:val="00744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otniSlog158">
    <w:name w:val="E-poštniSlog158"/>
    <w:semiHidden/>
    <w:rsid w:val="00744231"/>
    <w:rPr>
      <w:rFonts w:ascii="Arial" w:hAnsi="Arial" w:cs="Arial"/>
      <w:color w:val="auto"/>
      <w:sz w:val="20"/>
      <w:szCs w:val="20"/>
    </w:rPr>
  </w:style>
  <w:style w:type="numbering" w:customStyle="1" w:styleId="Slog2">
    <w:name w:val="Slog2"/>
    <w:uiPriority w:val="99"/>
    <w:rsid w:val="00744231"/>
    <w:pPr>
      <w:numPr>
        <w:numId w:val="24"/>
      </w:numPr>
    </w:pPr>
  </w:style>
  <w:style w:type="table" w:customStyle="1" w:styleId="Tabelamrea52">
    <w:name w:val="Tabela – mreža52"/>
    <w:basedOn w:val="Navadnatabela"/>
    <w:next w:val="Tabelamrea"/>
    <w:uiPriority w:val="59"/>
    <w:rsid w:val="0074423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3">
    <w:name w:val="Tabela – mreža53"/>
    <w:basedOn w:val="Navadnatabela"/>
    <w:next w:val="Tabelamrea"/>
    <w:uiPriority w:val="59"/>
    <w:rsid w:val="0074423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deva0">
    <w:name w:val="Zadeva"/>
    <w:basedOn w:val="Navaden"/>
    <w:qFormat/>
    <w:rsid w:val="00744231"/>
    <w:pPr>
      <w:spacing w:before="1440" w:line="240" w:lineRule="exact"/>
      <w:jc w:val="both"/>
    </w:pPr>
    <w:rPr>
      <w:rFonts w:ascii="Calibri" w:eastAsiaTheme="minorHAnsi" w:hAnsi="Calibri" w:cs="Calibri"/>
      <w:b/>
      <w:bCs/>
      <w:sz w:val="22"/>
      <w:szCs w:val="22"/>
    </w:rPr>
  </w:style>
  <w:style w:type="character" w:customStyle="1" w:styleId="spellingerror">
    <w:name w:val="spellingerror"/>
    <w:basedOn w:val="Privzetapisavaodstavka"/>
    <w:rsid w:val="00744231"/>
  </w:style>
  <w:style w:type="character" w:customStyle="1" w:styleId="E-potniSlog209">
    <w:name w:val="E-poštniSlog209"/>
    <w:semiHidden/>
    <w:rsid w:val="00744231"/>
    <w:rPr>
      <w:rFonts w:ascii="Arial" w:hAnsi="Arial" w:cs="Arial"/>
      <w:color w:val="auto"/>
      <w:sz w:val="20"/>
      <w:szCs w:val="20"/>
    </w:rPr>
  </w:style>
  <w:style w:type="paragraph" w:customStyle="1" w:styleId="msonormal0">
    <w:name w:val="msonormal"/>
    <w:basedOn w:val="Navaden"/>
    <w:rsid w:val="00744231"/>
    <w:pPr>
      <w:spacing w:before="100" w:beforeAutospacing="1" w:after="100" w:afterAutospacing="1" w:line="240" w:lineRule="auto"/>
    </w:pPr>
    <w:rPr>
      <w:rFonts w:ascii="Times New Roman" w:hAnsi="Times New Roman"/>
      <w:sz w:val="24"/>
      <w:lang w:eastAsia="en-GB"/>
    </w:rPr>
  </w:style>
  <w:style w:type="paragraph" w:customStyle="1" w:styleId="outlineelement">
    <w:name w:val="outlineelement"/>
    <w:basedOn w:val="Navaden"/>
    <w:rsid w:val="00744231"/>
    <w:pPr>
      <w:spacing w:before="100" w:beforeAutospacing="1" w:after="100" w:afterAutospacing="1" w:line="240" w:lineRule="auto"/>
    </w:pPr>
    <w:rPr>
      <w:rFonts w:ascii="Times New Roman" w:hAnsi="Times New Roman"/>
      <w:sz w:val="24"/>
      <w:lang w:eastAsia="en-GB"/>
    </w:rPr>
  </w:style>
  <w:style w:type="character" w:customStyle="1" w:styleId="contextualspellingandgrammarerror">
    <w:name w:val="contextualspellingandgrammarerror"/>
    <w:basedOn w:val="Privzetapisavaodstavka"/>
    <w:rsid w:val="00744231"/>
  </w:style>
  <w:style w:type="character" w:customStyle="1" w:styleId="scxw101313964">
    <w:name w:val="scxw101313964"/>
    <w:basedOn w:val="Privzetapisavaodstavka"/>
    <w:rsid w:val="00744231"/>
  </w:style>
  <w:style w:type="paragraph" w:customStyle="1" w:styleId="article-paragraph">
    <w:name w:val="article-paragraph"/>
    <w:basedOn w:val="Navaden"/>
    <w:rsid w:val="00744231"/>
    <w:pPr>
      <w:spacing w:before="100" w:beforeAutospacing="1" w:after="100" w:afterAutospacing="1" w:line="240" w:lineRule="auto"/>
    </w:pPr>
    <w:rPr>
      <w:rFonts w:ascii="Calibri" w:eastAsiaTheme="minorHAnsi" w:hAnsi="Calibri" w:cs="Calibri"/>
      <w:sz w:val="22"/>
      <w:szCs w:val="22"/>
      <w:lang w:eastAsia="sl-SI"/>
    </w:rPr>
  </w:style>
  <w:style w:type="table" w:customStyle="1" w:styleId="Tabelamrea521">
    <w:name w:val="Tabela – mreža521"/>
    <w:basedOn w:val="Navadnatabela"/>
    <w:next w:val="Tabelamrea"/>
    <w:uiPriority w:val="59"/>
    <w:rsid w:val="0074423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praanjeSSZSZnak">
    <w:name w:val="vprašanje.SSZS Znak"/>
    <w:basedOn w:val="Privzetapisavaodstavka"/>
    <w:link w:val="vpraanjeSSZS"/>
    <w:rsid w:val="00744231"/>
    <w:rPr>
      <w:rFonts w:ascii="Arial Narrow" w:hAnsi="Arial Narrow"/>
      <w:b/>
      <w:spacing w:val="40"/>
      <w:sz w:val="22"/>
      <w:szCs w:val="22"/>
      <w:shd w:val="clear" w:color="auto" w:fill="EBE8AD"/>
      <w:lang w:eastAsia="en-US"/>
    </w:rPr>
  </w:style>
  <w:style w:type="character" w:customStyle="1" w:styleId="SOUSZnak">
    <w:name w:val="SOUS Znak"/>
    <w:basedOn w:val="vpraanjeSSZSZnak"/>
    <w:link w:val="SOUS0"/>
    <w:rsid w:val="00744231"/>
    <w:rPr>
      <w:rFonts w:ascii="Arial Narrow" w:hAnsi="Arial Narrow"/>
      <w:b/>
      <w:color w:val="000000"/>
      <w:spacing w:val="40"/>
      <w:sz w:val="22"/>
      <w:szCs w:val="22"/>
      <w:shd w:val="clear" w:color="auto" w:fill="CC99FF"/>
      <w:lang w:eastAsia="en-US"/>
    </w:rPr>
  </w:style>
  <w:style w:type="paragraph" w:styleId="Oznaenseznam">
    <w:name w:val="List Bullet"/>
    <w:basedOn w:val="Navaden"/>
    <w:autoRedefine/>
    <w:uiPriority w:val="99"/>
    <w:rsid w:val="00744231"/>
    <w:pPr>
      <w:spacing w:line="240" w:lineRule="auto"/>
      <w:jc w:val="both"/>
    </w:pPr>
    <w:rPr>
      <w:rFonts w:cs="Arial"/>
      <w:szCs w:val="20"/>
      <w:lang w:eastAsia="sl-SI"/>
    </w:rPr>
  </w:style>
  <w:style w:type="paragraph" w:customStyle="1" w:styleId="Naslovnik">
    <w:name w:val="Naslovnik"/>
    <w:basedOn w:val="Navaden"/>
    <w:qFormat/>
    <w:rsid w:val="00744231"/>
    <w:pPr>
      <w:spacing w:line="240" w:lineRule="auto"/>
    </w:pPr>
    <w:rPr>
      <w:rFonts w:ascii="Times New Roman" w:hAnsi="Times New Roman"/>
      <w:b/>
      <w:szCs w:val="20"/>
      <w:lang w:eastAsia="sl-SI"/>
    </w:rPr>
  </w:style>
  <w:style w:type="paragraph" w:customStyle="1" w:styleId="Alineja">
    <w:name w:val="Alineja"/>
    <w:basedOn w:val="Navaden"/>
    <w:qFormat/>
    <w:rsid w:val="00744231"/>
    <w:pPr>
      <w:numPr>
        <w:numId w:val="25"/>
      </w:numPr>
      <w:tabs>
        <w:tab w:val="left" w:pos="284"/>
      </w:tabs>
      <w:spacing w:line="240" w:lineRule="auto"/>
      <w:ind w:left="284" w:hanging="284"/>
      <w:contextualSpacing/>
    </w:pPr>
    <w:rPr>
      <w:rFonts w:ascii="Times New Roman" w:hAnsi="Times New Roman"/>
      <w:szCs w:val="20"/>
      <w:lang w:eastAsia="sl-SI"/>
    </w:rPr>
  </w:style>
  <w:style w:type="paragraph" w:customStyle="1" w:styleId="BasicParagraph">
    <w:name w:val="[Basic Paragraph]"/>
    <w:basedOn w:val="Navaden"/>
    <w:uiPriority w:val="99"/>
    <w:rsid w:val="00744231"/>
    <w:pPr>
      <w:autoSpaceDE w:val="0"/>
      <w:autoSpaceDN w:val="0"/>
      <w:adjustRightInd w:val="0"/>
      <w:spacing w:line="288" w:lineRule="auto"/>
      <w:textAlignment w:val="center"/>
    </w:pPr>
    <w:rPr>
      <w:rFonts w:ascii="Minion Pro" w:hAnsi="Minion Pro" w:cs="Minion Pro"/>
      <w:color w:val="000000"/>
      <w:sz w:val="24"/>
      <w:lang w:val="en-GB" w:eastAsia="sl-SI"/>
    </w:rPr>
  </w:style>
  <w:style w:type="paragraph" w:customStyle="1" w:styleId="OE">
    <w:name w:val="OE"/>
    <w:basedOn w:val="Glava"/>
    <w:qFormat/>
    <w:rsid w:val="00744231"/>
    <w:pPr>
      <w:tabs>
        <w:tab w:val="clear" w:pos="4320"/>
        <w:tab w:val="clear" w:pos="8640"/>
        <w:tab w:val="center" w:pos="4536"/>
        <w:tab w:val="right" w:pos="9072"/>
      </w:tabs>
      <w:spacing w:line="240" w:lineRule="exact"/>
    </w:pPr>
    <w:rPr>
      <w:rFonts w:ascii="Times New Roman" w:hAnsi="Times New Roman"/>
      <w:b/>
      <w:noProof/>
      <w:szCs w:val="20"/>
      <w:lang w:eastAsia="sl-SI"/>
    </w:rPr>
  </w:style>
  <w:style w:type="paragraph" w:customStyle="1" w:styleId="t-datum">
    <w:name w:val="št-datum"/>
    <w:basedOn w:val="Navaden"/>
    <w:qFormat/>
    <w:rsid w:val="00744231"/>
    <w:pPr>
      <w:spacing w:line="240" w:lineRule="auto"/>
      <w:ind w:left="5670"/>
    </w:pPr>
    <w:rPr>
      <w:rFonts w:ascii="Times New Roman" w:hAnsi="Times New Roman"/>
      <w:szCs w:val="20"/>
      <w:lang w:val="it-IT" w:eastAsia="sl-SI"/>
    </w:rPr>
  </w:style>
  <w:style w:type="paragraph" w:customStyle="1" w:styleId="Podpisi0">
    <w:name w:val="Podpisi"/>
    <w:basedOn w:val="Navaden"/>
    <w:qFormat/>
    <w:rsid w:val="00744231"/>
    <w:pPr>
      <w:spacing w:line="240" w:lineRule="auto"/>
    </w:pPr>
    <w:rPr>
      <w:rFonts w:ascii="Times New Roman" w:hAnsi="Times New Roman"/>
      <w:szCs w:val="20"/>
      <w:lang w:eastAsia="sl-SI"/>
    </w:rPr>
  </w:style>
  <w:style w:type="paragraph" w:customStyle="1" w:styleId="Orgenota">
    <w:name w:val="Org enota"/>
    <w:basedOn w:val="Glava"/>
    <w:qFormat/>
    <w:rsid w:val="00744231"/>
    <w:pPr>
      <w:tabs>
        <w:tab w:val="clear" w:pos="4320"/>
        <w:tab w:val="clear" w:pos="8640"/>
        <w:tab w:val="center" w:pos="4536"/>
        <w:tab w:val="right" w:pos="9072"/>
      </w:tabs>
      <w:spacing w:line="240" w:lineRule="exact"/>
    </w:pPr>
    <w:rPr>
      <w:rFonts w:ascii="Times New Roman" w:hAnsi="Times New Roman"/>
      <w:i/>
      <w:noProof/>
      <w:szCs w:val="20"/>
      <w:lang w:eastAsia="sl-SI"/>
    </w:rPr>
  </w:style>
  <w:style w:type="character" w:customStyle="1" w:styleId="E-potniSlog323">
    <w:name w:val="E-poštniSlog323"/>
    <w:semiHidden/>
    <w:rsid w:val="00744231"/>
    <w:rPr>
      <w:rFonts w:ascii="Arial" w:hAnsi="Arial" w:cs="Arial"/>
      <w:color w:val="auto"/>
      <w:sz w:val="20"/>
      <w:szCs w:val="20"/>
    </w:rPr>
  </w:style>
  <w:style w:type="character" w:customStyle="1" w:styleId="Slog1Znak">
    <w:name w:val="Slog1 Znak"/>
    <w:basedOn w:val="Privzetapisavaodstavka"/>
    <w:link w:val="Slog1"/>
    <w:locked/>
    <w:rsid w:val="00744231"/>
    <w:rPr>
      <w:rFonts w:ascii="Arial Narrow" w:hAnsi="Arial Narrow" w:cs="Arial"/>
      <w:b/>
      <w:noProof/>
      <w:sz w:val="24"/>
    </w:rPr>
  </w:style>
  <w:style w:type="paragraph" w:customStyle="1" w:styleId="Natevanje1">
    <w:name w:val="Naštevanje 1"/>
    <w:basedOn w:val="Navaden"/>
    <w:rsid w:val="00744231"/>
    <w:pPr>
      <w:numPr>
        <w:numId w:val="26"/>
      </w:numPr>
      <w:spacing w:line="240" w:lineRule="auto"/>
      <w:jc w:val="both"/>
    </w:pPr>
    <w:rPr>
      <w:rFonts w:ascii="Arial Narrow" w:hAnsi="Arial Narrow"/>
      <w:sz w:val="22"/>
      <w:lang w:eastAsia="sl-SI"/>
    </w:rPr>
  </w:style>
  <w:style w:type="table" w:customStyle="1" w:styleId="TableGrid10">
    <w:name w:val="TableGrid1"/>
    <w:rsid w:val="0074423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razreenaomemba">
    <w:name w:val="Unresolved Mention"/>
    <w:basedOn w:val="Privzetapisavaodstavka"/>
    <w:uiPriority w:val="99"/>
    <w:semiHidden/>
    <w:unhideWhenUsed/>
    <w:rsid w:val="00744231"/>
    <w:rPr>
      <w:color w:val="605E5C"/>
      <w:shd w:val="clear" w:color="auto" w:fill="E1DFDD"/>
    </w:rPr>
  </w:style>
  <w:style w:type="character" w:customStyle="1" w:styleId="fontstyle01">
    <w:name w:val="fontstyle01"/>
    <w:basedOn w:val="Privzetapisavaodstavka"/>
    <w:rsid w:val="00744231"/>
    <w:rPr>
      <w:rFonts w:ascii="Arial" w:hAnsi="Arial" w:cs="Arial" w:hint="default"/>
      <w:b/>
      <w:bCs/>
      <w:i w:val="0"/>
      <w:iCs w:val="0"/>
      <w:color w:val="000000"/>
      <w:sz w:val="20"/>
      <w:szCs w:val="20"/>
    </w:rPr>
  </w:style>
  <w:style w:type="character" w:customStyle="1" w:styleId="fontstyle21">
    <w:name w:val="fontstyle21"/>
    <w:basedOn w:val="Privzetapisavaodstavka"/>
    <w:rsid w:val="00744231"/>
    <w:rPr>
      <w:rFonts w:ascii="Arial" w:hAnsi="Arial" w:cs="Arial" w:hint="default"/>
      <w:b w:val="0"/>
      <w:bCs w:val="0"/>
      <w:i w:val="0"/>
      <w:iCs w:val="0"/>
      <w:color w:val="000000"/>
      <w:sz w:val="20"/>
      <w:szCs w:val="20"/>
    </w:rPr>
  </w:style>
  <w:style w:type="numbering" w:customStyle="1" w:styleId="Brezseznama5">
    <w:name w:val="Brez seznama5"/>
    <w:next w:val="Brezseznama"/>
    <w:uiPriority w:val="99"/>
    <w:semiHidden/>
    <w:unhideWhenUsed/>
    <w:rsid w:val="00220404"/>
  </w:style>
  <w:style w:type="table" w:customStyle="1" w:styleId="LightList-Accent112">
    <w:name w:val="Light List - Accent 112"/>
    <w:basedOn w:val="Navadnatabela"/>
    <w:uiPriority w:val="61"/>
    <w:rsid w:val="00220404"/>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elamrea54">
    <w:name w:val="Tabela – mreža54"/>
    <w:basedOn w:val="Navadnatabela"/>
    <w:next w:val="Tabelamrea"/>
    <w:uiPriority w:val="59"/>
    <w:rsid w:val="0022040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0">
    <w:name w:val="Tabela – mreža110"/>
    <w:basedOn w:val="Navadnatabela"/>
    <w:next w:val="Tabelamrea"/>
    <w:uiPriority w:val="59"/>
    <w:rsid w:val="00220404"/>
    <w:rPr>
      <w:rFonts w:ascii="Arial Narrow" w:eastAsia="Arial Narrow"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15">
    <w:name w:val="Tabela – svetla mreža 1 (poudarek 1)5"/>
    <w:basedOn w:val="Navadnatabela"/>
    <w:next w:val="Tabelasvetlamrea1poudarek1"/>
    <w:uiPriority w:val="46"/>
    <w:rsid w:val="00220404"/>
    <w:rPr>
      <w:rFonts w:asciiTheme="minorHAnsi" w:eastAsiaTheme="minorHAnsi" w:hAnsiTheme="minorHAnsi" w:cstheme="minorBidi"/>
      <w:sz w:val="22"/>
      <w:szCs w:val="22"/>
      <w:lang w:val="en-US"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2">
    <w:name w:val="Table Normal12"/>
    <w:uiPriority w:val="2"/>
    <w:semiHidden/>
    <w:unhideWhenUsed/>
    <w:qFormat/>
    <w:rsid w:val="0022040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Srednjesenenje1poudarek11">
    <w:name w:val="Srednje senčenje 1 – poudarek 11"/>
    <w:basedOn w:val="Navadnatabela"/>
    <w:next w:val="Srednjesenenje1poudarek1"/>
    <w:uiPriority w:val="63"/>
    <w:rsid w:val="00220404"/>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13">
    <w:name w:val="Brez seznama13"/>
    <w:next w:val="Brezseznama"/>
    <w:uiPriority w:val="99"/>
    <w:semiHidden/>
    <w:unhideWhenUsed/>
    <w:rsid w:val="00220404"/>
  </w:style>
  <w:style w:type="table" w:customStyle="1" w:styleId="Tabelamrea210">
    <w:name w:val="Tabela – mreža210"/>
    <w:basedOn w:val="Navadnatabela"/>
    <w:next w:val="Tabelamrea"/>
    <w:uiPriority w:val="39"/>
    <w:rsid w:val="0022040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2">
    <w:name w:val="Brez seznama112"/>
    <w:next w:val="Brezseznama"/>
    <w:uiPriority w:val="99"/>
    <w:semiHidden/>
    <w:unhideWhenUsed/>
    <w:rsid w:val="00220404"/>
  </w:style>
  <w:style w:type="table" w:customStyle="1" w:styleId="Tabelamrea112">
    <w:name w:val="Tabela – mreža112"/>
    <w:basedOn w:val="Navadnatabela"/>
    <w:next w:val="Tabelamrea"/>
    <w:uiPriority w:val="39"/>
    <w:rsid w:val="0022040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2">
    <w:name w:val="Tabela – mreža212"/>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0">
    <w:name w:val="Tabela – mreža310"/>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0">
    <w:name w:val="Tabela – mreža410"/>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5">
    <w:name w:val="Tabela – mreža55"/>
    <w:basedOn w:val="Navadnatabela"/>
    <w:next w:val="Tabelamrea"/>
    <w:uiPriority w:val="5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1">
    <w:name w:val="Tabela – mreža7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1">
    <w:name w:val="Tabela – mreža8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1">
    <w:name w:val="Tabela – mreža9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2">
    <w:name w:val="Tabela – mreža122"/>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2">
    <w:name w:val="Tabela – mreža132"/>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1">
    <w:name w:val="Tabela – mreža14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1">
    <w:name w:val="Tabela – mreža15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1">
    <w:name w:val="Tabela – mreža16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1">
    <w:name w:val="Tabela – mreža17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1">
    <w:name w:val="Tabela – mreža18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1">
    <w:name w:val="Tabela – mreža19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1">
    <w:name w:val="Tabela – mreža20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1">
    <w:name w:val="Tabela – mreža22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1">
    <w:name w:val="Tabela – mreža23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1">
    <w:name w:val="Tabela – mreža24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51">
    <w:name w:val="Tabela – mreža25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61">
    <w:name w:val="Tabela – mreža26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71">
    <w:name w:val="Tabela – mreža27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81">
    <w:name w:val="Tabela – mreža28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91">
    <w:name w:val="Tabela – mreža29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01">
    <w:name w:val="Tabela – mreža30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1">
    <w:name w:val="Tabela – mreža31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1">
    <w:name w:val="Tabela – mreža32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31">
    <w:name w:val="Tabela – mreža33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41">
    <w:name w:val="Tabela – mreža34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51">
    <w:name w:val="Tabela – mreža35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61">
    <w:name w:val="Tabela – mreža36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71">
    <w:name w:val="Tabela – mreža37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81">
    <w:name w:val="Tabela – mreža38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91">
    <w:name w:val="Tabela – mreža39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01">
    <w:name w:val="Tabela – mreža40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1">
    <w:name w:val="Tabela – mreža41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21">
    <w:name w:val="Tabela – mreža42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31">
    <w:name w:val="Tabela – mreža43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41">
    <w:name w:val="Tabela – mreža44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51">
    <w:name w:val="Tabela – mreža45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61">
    <w:name w:val="Tabela – mreža46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71">
    <w:name w:val="Tabela – mreža471"/>
    <w:basedOn w:val="Navadnatabela"/>
    <w:next w:val="Tabelamrea"/>
    <w:uiPriority w:val="59"/>
    <w:rsid w:val="00220404"/>
    <w:rPr>
      <w:rFonts w:asciiTheme="minorHAnsi" w:eastAsia="Calibr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81">
    <w:name w:val="Tabela – mreža481"/>
    <w:basedOn w:val="Navadnatabela"/>
    <w:next w:val="Tabelamrea"/>
    <w:uiPriority w:val="59"/>
    <w:rsid w:val="00220404"/>
    <w:rPr>
      <w:rFonts w:asciiTheme="minorHAnsi" w:eastAsia="Calibr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91">
    <w:name w:val="Tabela – mreža49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01">
    <w:name w:val="Tabela – mreža501"/>
    <w:basedOn w:val="Navadnatabela"/>
    <w:next w:val="Tabelamrea"/>
    <w:uiPriority w:val="39"/>
    <w:rsid w:val="00220404"/>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2">
    <w:name w:val="Tabela – mreža512"/>
    <w:basedOn w:val="Navadnatabela"/>
    <w:next w:val="Tabelamrea"/>
    <w:uiPriority w:val="39"/>
    <w:rsid w:val="00220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21">
    <w:name w:val="Slog21"/>
    <w:uiPriority w:val="99"/>
    <w:rsid w:val="00220404"/>
    <w:pPr>
      <w:numPr>
        <w:numId w:val="2"/>
      </w:numPr>
    </w:pPr>
  </w:style>
  <w:style w:type="table" w:customStyle="1" w:styleId="Tabelamrea522">
    <w:name w:val="Tabela – mreža522"/>
    <w:basedOn w:val="Navadnatabela"/>
    <w:next w:val="Tabelamrea"/>
    <w:uiPriority w:val="59"/>
    <w:rsid w:val="0022040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31">
    <w:name w:val="Tabela – mreža531"/>
    <w:basedOn w:val="Navadnatabela"/>
    <w:next w:val="Tabelamrea"/>
    <w:uiPriority w:val="59"/>
    <w:rsid w:val="0022040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211">
    <w:name w:val="Tabela – mreža5211"/>
    <w:basedOn w:val="Navadnatabela"/>
    <w:next w:val="Tabelamrea"/>
    <w:uiPriority w:val="59"/>
    <w:rsid w:val="0022040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22040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mrea172">
    <w:name w:val="Tabela – mreža172"/>
    <w:basedOn w:val="Navadnatabela"/>
    <w:next w:val="Tabelamrea"/>
    <w:uiPriority w:val="39"/>
    <w:rsid w:val="00FA49DA"/>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3">
    <w:name w:val="Tabela – mreža213"/>
    <w:basedOn w:val="Navadnatabela"/>
    <w:next w:val="Tabelamrea"/>
    <w:uiPriority w:val="39"/>
    <w:rsid w:val="002F54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6">
    <w:name w:val="Tabela – mreža56"/>
    <w:basedOn w:val="Navadnatabela"/>
    <w:next w:val="Tabelamrea"/>
    <w:uiPriority w:val="39"/>
    <w:rsid w:val="00A055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141">
    <w:name w:val="Tabela – svetla mreža 1 (poudarek 1)41"/>
    <w:basedOn w:val="Navadnatabela"/>
    <w:uiPriority w:val="46"/>
    <w:rsid w:val="006A40CA"/>
    <w:rPr>
      <w:rFonts w:ascii="Calibri" w:eastAsia="Calibri" w:hAnsi="Calibri"/>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ghtList-Accent1111">
    <w:name w:val="Light List - Accent 1111"/>
    <w:basedOn w:val="Navadnatabela"/>
    <w:uiPriority w:val="61"/>
    <w:rsid w:val="006A40CA"/>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1"/>
      </w:tcPr>
    </w:tblStylePr>
    <w:tblStylePr w:type="lastRow">
      <w:pPr>
        <w:spacing w:beforeLines="0" w:beforeAutospacing="0" w:afterLines="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Nerazreenaomemba1">
    <w:name w:val="Nerazrešena omemba1"/>
    <w:basedOn w:val="Privzetapisavaodstavka"/>
    <w:uiPriority w:val="99"/>
    <w:semiHidden/>
    <w:unhideWhenUsed/>
    <w:rsid w:val="006A40CA"/>
    <w:rPr>
      <w:color w:val="605E5C"/>
      <w:shd w:val="clear" w:color="auto" w:fill="E1DFDD"/>
    </w:rPr>
  </w:style>
  <w:style w:type="table" w:customStyle="1" w:styleId="LightList-Accent1121">
    <w:name w:val="Light List - Accent 1121"/>
    <w:basedOn w:val="Navadnatabela"/>
    <w:uiPriority w:val="61"/>
    <w:rsid w:val="006A40CA"/>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1"/>
      </w:tcPr>
    </w:tblStylePr>
    <w:tblStylePr w:type="lastRow">
      <w:pPr>
        <w:spacing w:beforeLines="0" w:beforeAutospacing="0" w:afterLines="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Brezseznama6">
    <w:name w:val="Brez seznama6"/>
    <w:next w:val="Brezseznama"/>
    <w:uiPriority w:val="99"/>
    <w:semiHidden/>
    <w:unhideWhenUsed/>
    <w:rsid w:val="00FE461F"/>
  </w:style>
  <w:style w:type="table" w:customStyle="1" w:styleId="LightList-Accent113">
    <w:name w:val="Light List - Accent 113"/>
    <w:basedOn w:val="Navadnatabela"/>
    <w:uiPriority w:val="61"/>
    <w:rsid w:val="00FE461F"/>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elamrea57">
    <w:name w:val="Tabela – mreža57"/>
    <w:basedOn w:val="Navadnatabela"/>
    <w:next w:val="Tabelamrea"/>
    <w:uiPriority w:val="39"/>
    <w:rsid w:val="00FE461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3">
    <w:name w:val="Tabela – mreža113"/>
    <w:basedOn w:val="Navadnatabela"/>
    <w:next w:val="Tabelamrea"/>
    <w:uiPriority w:val="59"/>
    <w:rsid w:val="00FE461F"/>
    <w:rPr>
      <w:rFonts w:ascii="Arial Narrow" w:eastAsia="Arial Narrow"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16">
    <w:name w:val="Tabela – svetla mreža 1 (poudarek 1)6"/>
    <w:basedOn w:val="Navadnatabela"/>
    <w:next w:val="Tabelasvetlamrea1poudarek1"/>
    <w:uiPriority w:val="46"/>
    <w:rsid w:val="00FE461F"/>
    <w:rPr>
      <w:rFonts w:asciiTheme="minorHAnsi" w:eastAsiaTheme="minorHAnsi" w:hAnsiTheme="minorHAnsi" w:cstheme="minorBidi"/>
      <w:sz w:val="22"/>
      <w:szCs w:val="22"/>
      <w:lang w:val="en-US"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3">
    <w:name w:val="Table Normal13"/>
    <w:uiPriority w:val="2"/>
    <w:semiHidden/>
    <w:unhideWhenUsed/>
    <w:qFormat/>
    <w:rsid w:val="00FE46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Srednjesenenje1poudarek12">
    <w:name w:val="Srednje senčenje 1 – poudarek 12"/>
    <w:basedOn w:val="Navadnatabela"/>
    <w:next w:val="Srednjesenenje1poudarek1"/>
    <w:uiPriority w:val="63"/>
    <w:rsid w:val="00FE461F"/>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numbering" w:customStyle="1" w:styleId="Brezseznama14">
    <w:name w:val="Brez seznama14"/>
    <w:next w:val="Brezseznama"/>
    <w:uiPriority w:val="99"/>
    <w:semiHidden/>
    <w:unhideWhenUsed/>
    <w:rsid w:val="00FE461F"/>
  </w:style>
  <w:style w:type="table" w:customStyle="1" w:styleId="Tabelamrea214">
    <w:name w:val="Tabela – mreža214"/>
    <w:basedOn w:val="Navadnatabela"/>
    <w:next w:val="Tabelamrea"/>
    <w:uiPriority w:val="59"/>
    <w:rsid w:val="00FE46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3">
    <w:name w:val="Brez seznama113"/>
    <w:next w:val="Brezseznama"/>
    <w:semiHidden/>
    <w:unhideWhenUsed/>
    <w:rsid w:val="00FE461F"/>
  </w:style>
  <w:style w:type="table" w:customStyle="1" w:styleId="Tabelamrea114">
    <w:name w:val="Tabela – mreža114"/>
    <w:basedOn w:val="Navadnatabela"/>
    <w:next w:val="Tabelamrea"/>
    <w:uiPriority w:val="39"/>
    <w:rsid w:val="00FE461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5">
    <w:name w:val="Tabela – mreža215"/>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2">
    <w:name w:val="Tabela – mreža312"/>
    <w:basedOn w:val="Navadnatabela"/>
    <w:next w:val="Tabelamrea"/>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2">
    <w:name w:val="Tabela – mreža41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8">
    <w:name w:val="Tabela – mreža58"/>
    <w:basedOn w:val="Navadnatabela"/>
    <w:next w:val="Tabelamrea"/>
    <w:uiPriority w:val="5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2">
    <w:name w:val="Tabela – mreža6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2">
    <w:name w:val="Tabela – mreža7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2">
    <w:name w:val="Tabela – mreža8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2">
    <w:name w:val="Tabela – mreža9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3">
    <w:name w:val="Tabela – mreža123"/>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3">
    <w:name w:val="Tabela – mreža133"/>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2">
    <w:name w:val="Tabela – mreža14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2">
    <w:name w:val="Tabela – mreža15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2">
    <w:name w:val="Tabela – mreža16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3">
    <w:name w:val="Tabela – mreža173"/>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2">
    <w:name w:val="Tabela – mreža18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2">
    <w:name w:val="Tabela – mreža19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2">
    <w:name w:val="Tabela – mreža20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2">
    <w:name w:val="Tabela – mreža22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2">
    <w:name w:val="Tabela – mreža23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2">
    <w:name w:val="Tabela – mreža24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52">
    <w:name w:val="Tabela – mreža25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62">
    <w:name w:val="Tabela – mreža26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72">
    <w:name w:val="Tabela – mreža27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82">
    <w:name w:val="Tabela – mreža28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92">
    <w:name w:val="Tabela – mreža29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02">
    <w:name w:val="Tabela – mreža30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3">
    <w:name w:val="Tabela – mreža313"/>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2">
    <w:name w:val="Tabela – mreža32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32">
    <w:name w:val="Tabela – mreža33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42">
    <w:name w:val="Tabela – mreža34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52">
    <w:name w:val="Tabela – mreža35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62">
    <w:name w:val="Tabela – mreža36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72">
    <w:name w:val="Tabela – mreža37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82">
    <w:name w:val="Tabela – mreža38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92">
    <w:name w:val="Tabela – mreža39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02">
    <w:name w:val="Tabela – mreža40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3">
    <w:name w:val="Tabela – mreža413"/>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22">
    <w:name w:val="Tabela – mreža42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32">
    <w:name w:val="Tabela – mreža43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42">
    <w:name w:val="Tabela – mreža44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52">
    <w:name w:val="Tabela – mreža45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62">
    <w:name w:val="Tabela – mreža46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72">
    <w:name w:val="Tabela – mreža472"/>
    <w:basedOn w:val="Navadnatabela"/>
    <w:next w:val="Tabelamrea"/>
    <w:uiPriority w:val="59"/>
    <w:rsid w:val="00FE461F"/>
    <w:rPr>
      <w:rFonts w:asciiTheme="minorHAnsi" w:eastAsia="Calibr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82">
    <w:name w:val="Tabela – mreža482"/>
    <w:basedOn w:val="Navadnatabela"/>
    <w:next w:val="Tabelamrea"/>
    <w:uiPriority w:val="59"/>
    <w:rsid w:val="00FE461F"/>
    <w:rPr>
      <w:rFonts w:asciiTheme="minorHAnsi" w:eastAsia="Calibr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92">
    <w:name w:val="Tabela – mreža49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02">
    <w:name w:val="Tabela – mreža502"/>
    <w:basedOn w:val="Navadnatabela"/>
    <w:next w:val="Tabelamrea"/>
    <w:uiPriority w:val="39"/>
    <w:rsid w:val="00FE461F"/>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3">
    <w:name w:val="Tabela – mreža513"/>
    <w:basedOn w:val="Navadnatabela"/>
    <w:next w:val="Tabelamrea"/>
    <w:uiPriority w:val="39"/>
    <w:rsid w:val="00FE4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22">
    <w:name w:val="Slog22"/>
    <w:uiPriority w:val="99"/>
    <w:rsid w:val="00FE461F"/>
    <w:pPr>
      <w:numPr>
        <w:numId w:val="1"/>
      </w:numPr>
    </w:pPr>
  </w:style>
  <w:style w:type="table" w:customStyle="1" w:styleId="Tabelamrea523">
    <w:name w:val="Tabela – mreža523"/>
    <w:basedOn w:val="Navadnatabela"/>
    <w:next w:val="Tabelamrea"/>
    <w:uiPriority w:val="59"/>
    <w:rsid w:val="00FE461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32">
    <w:name w:val="Tabela – mreža532"/>
    <w:basedOn w:val="Navadnatabela"/>
    <w:next w:val="Tabelamrea"/>
    <w:uiPriority w:val="59"/>
    <w:rsid w:val="00FE461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212">
    <w:name w:val="Tabela – mreža5212"/>
    <w:basedOn w:val="Navadnatabela"/>
    <w:next w:val="Tabelamrea"/>
    <w:uiPriority w:val="59"/>
    <w:rsid w:val="00FE461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FE461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FE46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Brezseznama21">
    <w:name w:val="Brez seznama21"/>
    <w:next w:val="Brezseznama"/>
    <w:semiHidden/>
    <w:rsid w:val="00FE461F"/>
  </w:style>
  <w:style w:type="table" w:customStyle="1" w:styleId="Tabelamrea541">
    <w:name w:val="Tabela – mreža541"/>
    <w:basedOn w:val="Navadnatabela"/>
    <w:next w:val="Tabelamrea"/>
    <w:rsid w:val="00FE461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nena1">
    <w:name w:val="Table Subtle 1"/>
    <w:basedOn w:val="Navadnatabela"/>
    <w:rsid w:val="00FE461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FE461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ocplain">
    <w:name w:val="doc_plain"/>
    <w:basedOn w:val="Navaden"/>
    <w:rsid w:val="00FE461F"/>
    <w:pPr>
      <w:spacing w:after="75" w:line="300" w:lineRule="atLeast"/>
      <w:jc w:val="both"/>
    </w:pPr>
    <w:rPr>
      <w:rFonts w:cs="Arial"/>
      <w:szCs w:val="20"/>
      <w:lang w:eastAsia="sl-SI"/>
    </w:rPr>
  </w:style>
  <w:style w:type="table" w:customStyle="1" w:styleId="Svetelseznampoudarek13">
    <w:name w:val="Svetel seznam – poudarek 13"/>
    <w:basedOn w:val="Navadnatabela"/>
    <w:next w:val="Svetelseznampoudarek1"/>
    <w:uiPriority w:val="61"/>
    <w:rsid w:val="00FE46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atema">
    <w:name w:val="Table Theme"/>
    <w:basedOn w:val="Navadnatabela"/>
    <w:rsid w:val="00FE4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FE461F"/>
    <w:rPr>
      <w:rFonts w:ascii="Century Gothic" w:eastAsia="Calibri" w:hAnsi="Century Gothic"/>
      <w:color w:val="000000"/>
      <w:sz w:val="24"/>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paragraphstyle">
    <w:name w:val="[No paragraph style]"/>
    <w:rsid w:val="00FE461F"/>
    <w:pPr>
      <w:autoSpaceDE w:val="0"/>
      <w:autoSpaceDN w:val="0"/>
      <w:adjustRightInd w:val="0"/>
      <w:spacing w:line="288" w:lineRule="auto"/>
      <w:textAlignment w:val="center"/>
    </w:pPr>
    <w:rPr>
      <w:color w:val="000000"/>
      <w:sz w:val="24"/>
      <w:szCs w:val="24"/>
      <w:lang w:val="en-GB"/>
    </w:rPr>
  </w:style>
  <w:style w:type="table" w:styleId="Tabelaklasina1">
    <w:name w:val="Table Classic 1"/>
    <w:basedOn w:val="Navadnatabela"/>
    <w:rsid w:val="00FE461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rea4poudarek6">
    <w:name w:val="Grid Table 4 Accent 6"/>
    <w:basedOn w:val="Navadnatabela"/>
    <w:uiPriority w:val="49"/>
    <w:rsid w:val="00FE461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1101">
    <w:name w:val="Tabela – mreža1101"/>
    <w:basedOn w:val="Navadnatabela"/>
    <w:next w:val="Tabelamrea"/>
    <w:uiPriority w:val="59"/>
    <w:rsid w:val="00FE461F"/>
    <w:rPr>
      <w:rFonts w:ascii="Arial Narrow" w:eastAsia="Arial Narrow"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eprosta2">
    <w:name w:val="Table Simple 2"/>
    <w:basedOn w:val="Navadnatabela"/>
    <w:rsid w:val="00FE461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NoList1">
    <w:name w:val="No List1"/>
    <w:next w:val="Brezseznama"/>
    <w:uiPriority w:val="99"/>
    <w:semiHidden/>
    <w:unhideWhenUsed/>
    <w:rsid w:val="00FE461F"/>
  </w:style>
  <w:style w:type="paragraph" w:customStyle="1" w:styleId="Naslov11">
    <w:name w:val="Naslov 11"/>
    <w:basedOn w:val="Navaden"/>
    <w:rsid w:val="00FE461F"/>
    <w:pPr>
      <w:numPr>
        <w:numId w:val="42"/>
      </w:numPr>
      <w:spacing w:line="240" w:lineRule="auto"/>
      <w:ind w:left="0" w:firstLine="0"/>
    </w:pPr>
    <w:rPr>
      <w:rFonts w:ascii="Calibri" w:eastAsiaTheme="minorHAnsi" w:hAnsi="Calibri" w:cs="Calibri"/>
      <w:sz w:val="22"/>
      <w:szCs w:val="22"/>
    </w:rPr>
  </w:style>
  <w:style w:type="table" w:customStyle="1" w:styleId="Navadnatabela1">
    <w:name w:val="Navadna tabela1"/>
    <w:uiPriority w:val="99"/>
    <w:semiHidden/>
    <w:rsid w:val="00FE461F"/>
    <w:pPr>
      <w:spacing w:after="160" w:line="256" w:lineRule="auto"/>
    </w:pPr>
    <w:rPr>
      <w:rFonts w:asciiTheme="minorHAnsi" w:eastAsiaTheme="minorHAnsi" w:hAnsiTheme="minorHAnsi" w:cstheme="minorBidi"/>
      <w:sz w:val="22"/>
      <w:szCs w:val="22"/>
      <w:lang w:eastAsia="en-US"/>
    </w:rPr>
    <w:tblPr>
      <w:tblCellMar>
        <w:top w:w="0" w:type="dxa"/>
        <w:left w:w="108" w:type="dxa"/>
        <w:bottom w:w="0" w:type="dxa"/>
        <w:right w:w="108" w:type="dxa"/>
      </w:tblCellMar>
    </w:tblPr>
  </w:style>
  <w:style w:type="table" w:customStyle="1" w:styleId="TableGrid11">
    <w:name w:val="Table Grid11"/>
    <w:basedOn w:val="Navadnatabela"/>
    <w:next w:val="Tabelamrea"/>
    <w:uiPriority w:val="39"/>
    <w:rsid w:val="00FE461F"/>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1">
    <w:name w:val="Besedilo oblačka Znak1"/>
    <w:basedOn w:val="Privzetapisavaodstavka"/>
    <w:uiPriority w:val="99"/>
    <w:semiHidden/>
    <w:rsid w:val="00FE461F"/>
    <w:rPr>
      <w:rFonts w:ascii="Segoe UI" w:hAnsi="Segoe UI" w:cs="Segoe UI"/>
      <w:sz w:val="18"/>
      <w:szCs w:val="18"/>
    </w:rPr>
  </w:style>
  <w:style w:type="character" w:customStyle="1" w:styleId="NogaZnak1">
    <w:name w:val="Noga Znak1"/>
    <w:basedOn w:val="Privzetapisavaodstavka"/>
    <w:uiPriority w:val="99"/>
    <w:semiHidden/>
    <w:rsid w:val="00FE461F"/>
    <w:rPr>
      <w:rFonts w:ascii="Calibri" w:hAnsi="Calibri" w:cs="Calibri"/>
    </w:rPr>
  </w:style>
  <w:style w:type="table" w:customStyle="1" w:styleId="Tabelamrea1111">
    <w:name w:val="Tabela – mreža1111"/>
    <w:basedOn w:val="Navadnatabela"/>
    <w:next w:val="Tabelamrea"/>
    <w:uiPriority w:val="59"/>
    <w:rsid w:val="00FE461F"/>
    <w:rPr>
      <w:rFonts w:ascii="Arial Narrow" w:eastAsia="Arial Narrow"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ZZnak">
    <w:name w:val="SSZ Znak"/>
    <w:basedOn w:val="Privzetapisavaodstavka"/>
    <w:link w:val="SSZ"/>
    <w:locked/>
    <w:rsid w:val="00FE461F"/>
    <w:rPr>
      <w:rFonts w:ascii="Georgia" w:hAnsi="Georgia"/>
    </w:rPr>
  </w:style>
  <w:style w:type="paragraph" w:customStyle="1" w:styleId="SSZ">
    <w:name w:val="SSZ"/>
    <w:basedOn w:val="Navaden"/>
    <w:link w:val="SSZZnak"/>
    <w:qFormat/>
    <w:rsid w:val="00FE461F"/>
    <w:pPr>
      <w:spacing w:line="240" w:lineRule="auto"/>
    </w:pPr>
    <w:rPr>
      <w:rFonts w:ascii="Georgia" w:hAnsi="Georgia"/>
      <w:szCs w:val="20"/>
      <w:lang w:eastAsia="sl-SI"/>
    </w:rPr>
  </w:style>
  <w:style w:type="numbering" w:customStyle="1" w:styleId="Brezseznama31">
    <w:name w:val="Brez seznama31"/>
    <w:next w:val="Brezseznama"/>
    <w:semiHidden/>
    <w:rsid w:val="00FE461F"/>
  </w:style>
  <w:style w:type="table" w:customStyle="1" w:styleId="Tabelamrea551">
    <w:name w:val="Tabela – mreža551"/>
    <w:basedOn w:val="Navadnatabela"/>
    <w:next w:val="Tabelamrea"/>
    <w:rsid w:val="00FE461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elseznampoudarek112">
    <w:name w:val="Svetel seznam – poudarek 112"/>
    <w:basedOn w:val="Navadnatabela"/>
    <w:next w:val="Svetelseznampoudarek1"/>
    <w:uiPriority w:val="61"/>
    <w:rsid w:val="00FE46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klasina11">
    <w:name w:val="Tabela – klasična 11"/>
    <w:basedOn w:val="Navadnatabela"/>
    <w:next w:val="Tabelaklasina1"/>
    <w:rsid w:val="00FE461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rea4poudarek61">
    <w:name w:val="Tabela – mreža 4 (poudarek 6)1"/>
    <w:basedOn w:val="Navadnatabela"/>
    <w:next w:val="Tabelamrea4poudarek6"/>
    <w:uiPriority w:val="49"/>
    <w:rsid w:val="00FE461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preprosta21">
    <w:name w:val="Tabela – preprosta 21"/>
    <w:basedOn w:val="Navadnatabela"/>
    <w:next w:val="Tabelapreprosta2"/>
    <w:rsid w:val="00FE461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Navadnatabela5">
    <w:name w:val="Plain Table 5"/>
    <w:basedOn w:val="Navadnatabela"/>
    <w:uiPriority w:val="45"/>
    <w:rsid w:val="00FE461F"/>
    <w:rPr>
      <w:rFonts w:ascii="Calibri" w:eastAsia="Calibri" w:hAnsi="Calibri" w:cs="Arial"/>
      <w:sz w:val="22"/>
      <w:szCs w:val="22"/>
      <w:lang w:val="en-US" w:eastAsia="en-US"/>
    </w:rPr>
    <w:tblPr>
      <w:tblStyleRowBandSize w:val="1"/>
      <w:tblStyleColBandSize w:val="1"/>
    </w:tblPr>
    <w:tblStylePr w:type="firstRow">
      <w:rPr>
        <w:rFonts w:ascii="Calibri Light" w:eastAsia="Bahnschrift SemiBold Condensed" w:hAnsi="Calibri Light" w:cs="Times New Roman"/>
        <w:i/>
        <w:iCs/>
        <w:sz w:val="26"/>
      </w:rPr>
      <w:tblPr/>
      <w:tcPr>
        <w:tcBorders>
          <w:bottom w:val="single" w:sz="4" w:space="0" w:color="7F7F7F"/>
        </w:tcBorders>
        <w:shd w:val="clear" w:color="auto" w:fill="FFFFFF"/>
      </w:tcPr>
    </w:tblStylePr>
    <w:tblStylePr w:type="lastRow">
      <w:rPr>
        <w:rFonts w:ascii="Calibri Light" w:eastAsia="Bahnschrift SemiBold Condensed"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Bahnschrift SemiBold Condensed" w:hAnsi="Calibri Light" w:cs="Times New Roman"/>
        <w:i/>
        <w:iCs/>
        <w:sz w:val="26"/>
      </w:rPr>
      <w:tblPr/>
      <w:tcPr>
        <w:tcBorders>
          <w:right w:val="single" w:sz="4" w:space="0" w:color="7F7F7F"/>
        </w:tcBorders>
        <w:shd w:val="clear" w:color="auto" w:fill="FFFFFF"/>
      </w:tcPr>
    </w:tblStylePr>
    <w:tblStylePr w:type="lastCol">
      <w:rPr>
        <w:rFonts w:ascii="Calibri Light" w:eastAsia="Bahnschrift SemiBold Condensed"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Navadnatabela10">
    <w:name w:val="Plain Table 1"/>
    <w:basedOn w:val="Navadnatabela"/>
    <w:uiPriority w:val="41"/>
    <w:rsid w:val="00FE461F"/>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V">
    <w:name w:val="SV"/>
    <w:basedOn w:val="Navaden"/>
    <w:link w:val="SVZnak"/>
    <w:qFormat/>
    <w:rsid w:val="00915E00"/>
    <w:pPr>
      <w:numPr>
        <w:numId w:val="22"/>
      </w:numPr>
      <w:spacing w:line="0" w:lineRule="atLeast"/>
      <w:contextualSpacing/>
      <w:jc w:val="both"/>
    </w:pPr>
    <w:rPr>
      <w:rFonts w:eastAsia="Arial Narrow" w:cs="Arial"/>
      <w:b/>
      <w:szCs w:val="20"/>
    </w:rPr>
  </w:style>
  <w:style w:type="character" w:customStyle="1" w:styleId="SVZnak">
    <w:name w:val="SV Znak"/>
    <w:basedOn w:val="Privzetapisavaodstavka"/>
    <w:link w:val="SV"/>
    <w:rsid w:val="00915E00"/>
    <w:rPr>
      <w:rFonts w:ascii="Arial" w:eastAsia="Arial Narrow" w:hAnsi="Arial" w:cs="Arial"/>
      <w:b/>
      <w:lang w:eastAsia="en-US"/>
    </w:rPr>
  </w:style>
  <w:style w:type="numbering" w:customStyle="1" w:styleId="Brezseznama7">
    <w:name w:val="Brez seznama7"/>
    <w:next w:val="Brezseznama"/>
    <w:uiPriority w:val="99"/>
    <w:semiHidden/>
    <w:unhideWhenUsed/>
    <w:rsid w:val="00EC7E01"/>
  </w:style>
  <w:style w:type="table" w:customStyle="1" w:styleId="Tabelamrea1141">
    <w:name w:val="Tabela – mreža1141"/>
    <w:basedOn w:val="Navadnatabela"/>
    <w:next w:val="Tabelamrea"/>
    <w:uiPriority w:val="39"/>
    <w:rsid w:val="00EC7E01"/>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9">
    <w:name w:val="Tabela – mreža59"/>
    <w:basedOn w:val="Navadnatabela"/>
    <w:next w:val="Tabelamrea"/>
    <w:uiPriority w:val="39"/>
    <w:rsid w:val="00EC7E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5">
    <w:name w:val="Tabela – mreža115"/>
    <w:basedOn w:val="Navadnatabela"/>
    <w:next w:val="Tabelamrea"/>
    <w:uiPriority w:val="39"/>
    <w:rsid w:val="00EC7E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1">
    <w:name w:val="1 / 1.1 / 1.1.131"/>
    <w:basedOn w:val="Brezseznama"/>
    <w:next w:val="111111"/>
    <w:rsid w:val="00EC7E01"/>
  </w:style>
  <w:style w:type="numbering" w:customStyle="1" w:styleId="1111114">
    <w:name w:val="1 / 1.1 / 1.1.14"/>
    <w:basedOn w:val="Brezseznama"/>
    <w:next w:val="111111"/>
    <w:uiPriority w:val="99"/>
    <w:semiHidden/>
    <w:unhideWhenUsed/>
    <w:rsid w:val="00EC7E01"/>
  </w:style>
  <w:style w:type="table" w:customStyle="1" w:styleId="Tabelamrea216">
    <w:name w:val="Tabela – mreža216"/>
    <w:basedOn w:val="Navadnatabela"/>
    <w:next w:val="Tabelamrea"/>
    <w:uiPriority w:val="39"/>
    <w:rsid w:val="00EC7E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14">
    <w:name w:val="Tabela – mreža314"/>
    <w:basedOn w:val="Navadnatabela"/>
    <w:next w:val="Tabelamrea"/>
    <w:uiPriority w:val="39"/>
    <w:rsid w:val="00EC7E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14">
    <w:name w:val="Tabela – mreža414"/>
    <w:basedOn w:val="Navadnatabela"/>
    <w:next w:val="Tabelamrea"/>
    <w:uiPriority w:val="39"/>
    <w:rsid w:val="00EC7E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974">
      <w:bodyDiv w:val="1"/>
      <w:marLeft w:val="0"/>
      <w:marRight w:val="0"/>
      <w:marTop w:val="0"/>
      <w:marBottom w:val="0"/>
      <w:divBdr>
        <w:top w:val="none" w:sz="0" w:space="0" w:color="auto"/>
        <w:left w:val="none" w:sz="0" w:space="0" w:color="auto"/>
        <w:bottom w:val="none" w:sz="0" w:space="0" w:color="auto"/>
        <w:right w:val="none" w:sz="0" w:space="0" w:color="auto"/>
      </w:divBdr>
    </w:div>
    <w:div w:id="59865703">
      <w:bodyDiv w:val="1"/>
      <w:marLeft w:val="0"/>
      <w:marRight w:val="0"/>
      <w:marTop w:val="0"/>
      <w:marBottom w:val="0"/>
      <w:divBdr>
        <w:top w:val="none" w:sz="0" w:space="0" w:color="auto"/>
        <w:left w:val="none" w:sz="0" w:space="0" w:color="auto"/>
        <w:bottom w:val="none" w:sz="0" w:space="0" w:color="auto"/>
        <w:right w:val="none" w:sz="0" w:space="0" w:color="auto"/>
      </w:divBdr>
    </w:div>
    <w:div w:id="75831087">
      <w:bodyDiv w:val="1"/>
      <w:marLeft w:val="0"/>
      <w:marRight w:val="0"/>
      <w:marTop w:val="0"/>
      <w:marBottom w:val="0"/>
      <w:divBdr>
        <w:top w:val="none" w:sz="0" w:space="0" w:color="auto"/>
        <w:left w:val="none" w:sz="0" w:space="0" w:color="auto"/>
        <w:bottom w:val="none" w:sz="0" w:space="0" w:color="auto"/>
        <w:right w:val="none" w:sz="0" w:space="0" w:color="auto"/>
      </w:divBdr>
    </w:div>
    <w:div w:id="77752452">
      <w:bodyDiv w:val="1"/>
      <w:marLeft w:val="0"/>
      <w:marRight w:val="0"/>
      <w:marTop w:val="0"/>
      <w:marBottom w:val="0"/>
      <w:divBdr>
        <w:top w:val="none" w:sz="0" w:space="0" w:color="auto"/>
        <w:left w:val="none" w:sz="0" w:space="0" w:color="auto"/>
        <w:bottom w:val="none" w:sz="0" w:space="0" w:color="auto"/>
        <w:right w:val="none" w:sz="0" w:space="0" w:color="auto"/>
      </w:divBdr>
    </w:div>
    <w:div w:id="78714878">
      <w:bodyDiv w:val="1"/>
      <w:marLeft w:val="0"/>
      <w:marRight w:val="0"/>
      <w:marTop w:val="0"/>
      <w:marBottom w:val="0"/>
      <w:divBdr>
        <w:top w:val="none" w:sz="0" w:space="0" w:color="auto"/>
        <w:left w:val="none" w:sz="0" w:space="0" w:color="auto"/>
        <w:bottom w:val="none" w:sz="0" w:space="0" w:color="auto"/>
        <w:right w:val="none" w:sz="0" w:space="0" w:color="auto"/>
      </w:divBdr>
    </w:div>
    <w:div w:id="94323850">
      <w:bodyDiv w:val="1"/>
      <w:marLeft w:val="0"/>
      <w:marRight w:val="0"/>
      <w:marTop w:val="0"/>
      <w:marBottom w:val="0"/>
      <w:divBdr>
        <w:top w:val="none" w:sz="0" w:space="0" w:color="auto"/>
        <w:left w:val="none" w:sz="0" w:space="0" w:color="auto"/>
        <w:bottom w:val="none" w:sz="0" w:space="0" w:color="auto"/>
        <w:right w:val="none" w:sz="0" w:space="0" w:color="auto"/>
      </w:divBdr>
    </w:div>
    <w:div w:id="146437875">
      <w:bodyDiv w:val="1"/>
      <w:marLeft w:val="0"/>
      <w:marRight w:val="0"/>
      <w:marTop w:val="0"/>
      <w:marBottom w:val="0"/>
      <w:divBdr>
        <w:top w:val="none" w:sz="0" w:space="0" w:color="auto"/>
        <w:left w:val="none" w:sz="0" w:space="0" w:color="auto"/>
        <w:bottom w:val="none" w:sz="0" w:space="0" w:color="auto"/>
        <w:right w:val="none" w:sz="0" w:space="0" w:color="auto"/>
      </w:divBdr>
    </w:div>
    <w:div w:id="227228170">
      <w:bodyDiv w:val="1"/>
      <w:marLeft w:val="0"/>
      <w:marRight w:val="0"/>
      <w:marTop w:val="0"/>
      <w:marBottom w:val="0"/>
      <w:divBdr>
        <w:top w:val="none" w:sz="0" w:space="0" w:color="auto"/>
        <w:left w:val="none" w:sz="0" w:space="0" w:color="auto"/>
        <w:bottom w:val="none" w:sz="0" w:space="0" w:color="auto"/>
        <w:right w:val="none" w:sz="0" w:space="0" w:color="auto"/>
      </w:divBdr>
    </w:div>
    <w:div w:id="382369498">
      <w:bodyDiv w:val="1"/>
      <w:marLeft w:val="0"/>
      <w:marRight w:val="0"/>
      <w:marTop w:val="0"/>
      <w:marBottom w:val="0"/>
      <w:divBdr>
        <w:top w:val="none" w:sz="0" w:space="0" w:color="auto"/>
        <w:left w:val="none" w:sz="0" w:space="0" w:color="auto"/>
        <w:bottom w:val="none" w:sz="0" w:space="0" w:color="auto"/>
        <w:right w:val="none" w:sz="0" w:space="0" w:color="auto"/>
      </w:divBdr>
    </w:div>
    <w:div w:id="421533643">
      <w:bodyDiv w:val="1"/>
      <w:marLeft w:val="0"/>
      <w:marRight w:val="0"/>
      <w:marTop w:val="0"/>
      <w:marBottom w:val="0"/>
      <w:divBdr>
        <w:top w:val="none" w:sz="0" w:space="0" w:color="auto"/>
        <w:left w:val="none" w:sz="0" w:space="0" w:color="auto"/>
        <w:bottom w:val="none" w:sz="0" w:space="0" w:color="auto"/>
        <w:right w:val="none" w:sz="0" w:space="0" w:color="auto"/>
      </w:divBdr>
    </w:div>
    <w:div w:id="423765395">
      <w:bodyDiv w:val="1"/>
      <w:marLeft w:val="0"/>
      <w:marRight w:val="0"/>
      <w:marTop w:val="0"/>
      <w:marBottom w:val="0"/>
      <w:divBdr>
        <w:top w:val="none" w:sz="0" w:space="0" w:color="auto"/>
        <w:left w:val="none" w:sz="0" w:space="0" w:color="auto"/>
        <w:bottom w:val="none" w:sz="0" w:space="0" w:color="auto"/>
        <w:right w:val="none" w:sz="0" w:space="0" w:color="auto"/>
      </w:divBdr>
    </w:div>
    <w:div w:id="450513281">
      <w:bodyDiv w:val="1"/>
      <w:marLeft w:val="0"/>
      <w:marRight w:val="0"/>
      <w:marTop w:val="0"/>
      <w:marBottom w:val="0"/>
      <w:divBdr>
        <w:top w:val="none" w:sz="0" w:space="0" w:color="auto"/>
        <w:left w:val="none" w:sz="0" w:space="0" w:color="auto"/>
        <w:bottom w:val="none" w:sz="0" w:space="0" w:color="auto"/>
        <w:right w:val="none" w:sz="0" w:space="0" w:color="auto"/>
      </w:divBdr>
    </w:div>
    <w:div w:id="487720130">
      <w:bodyDiv w:val="1"/>
      <w:marLeft w:val="0"/>
      <w:marRight w:val="0"/>
      <w:marTop w:val="0"/>
      <w:marBottom w:val="0"/>
      <w:divBdr>
        <w:top w:val="none" w:sz="0" w:space="0" w:color="auto"/>
        <w:left w:val="none" w:sz="0" w:space="0" w:color="auto"/>
        <w:bottom w:val="none" w:sz="0" w:space="0" w:color="auto"/>
        <w:right w:val="none" w:sz="0" w:space="0" w:color="auto"/>
      </w:divBdr>
    </w:div>
    <w:div w:id="531501187">
      <w:bodyDiv w:val="1"/>
      <w:marLeft w:val="0"/>
      <w:marRight w:val="0"/>
      <w:marTop w:val="0"/>
      <w:marBottom w:val="0"/>
      <w:divBdr>
        <w:top w:val="none" w:sz="0" w:space="0" w:color="auto"/>
        <w:left w:val="none" w:sz="0" w:space="0" w:color="auto"/>
        <w:bottom w:val="none" w:sz="0" w:space="0" w:color="auto"/>
        <w:right w:val="none" w:sz="0" w:space="0" w:color="auto"/>
      </w:divBdr>
    </w:div>
    <w:div w:id="539174758">
      <w:bodyDiv w:val="1"/>
      <w:marLeft w:val="0"/>
      <w:marRight w:val="0"/>
      <w:marTop w:val="0"/>
      <w:marBottom w:val="0"/>
      <w:divBdr>
        <w:top w:val="none" w:sz="0" w:space="0" w:color="auto"/>
        <w:left w:val="none" w:sz="0" w:space="0" w:color="auto"/>
        <w:bottom w:val="none" w:sz="0" w:space="0" w:color="auto"/>
        <w:right w:val="none" w:sz="0" w:space="0" w:color="auto"/>
      </w:divBdr>
    </w:div>
    <w:div w:id="566112939">
      <w:bodyDiv w:val="1"/>
      <w:marLeft w:val="0"/>
      <w:marRight w:val="0"/>
      <w:marTop w:val="0"/>
      <w:marBottom w:val="0"/>
      <w:divBdr>
        <w:top w:val="none" w:sz="0" w:space="0" w:color="auto"/>
        <w:left w:val="none" w:sz="0" w:space="0" w:color="auto"/>
        <w:bottom w:val="none" w:sz="0" w:space="0" w:color="auto"/>
        <w:right w:val="none" w:sz="0" w:space="0" w:color="auto"/>
      </w:divBdr>
    </w:div>
    <w:div w:id="584732443">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38000037">
      <w:bodyDiv w:val="1"/>
      <w:marLeft w:val="0"/>
      <w:marRight w:val="0"/>
      <w:marTop w:val="0"/>
      <w:marBottom w:val="0"/>
      <w:divBdr>
        <w:top w:val="none" w:sz="0" w:space="0" w:color="auto"/>
        <w:left w:val="none" w:sz="0" w:space="0" w:color="auto"/>
        <w:bottom w:val="none" w:sz="0" w:space="0" w:color="auto"/>
        <w:right w:val="none" w:sz="0" w:space="0" w:color="auto"/>
      </w:divBdr>
    </w:div>
    <w:div w:id="672150215">
      <w:bodyDiv w:val="1"/>
      <w:marLeft w:val="0"/>
      <w:marRight w:val="0"/>
      <w:marTop w:val="0"/>
      <w:marBottom w:val="0"/>
      <w:divBdr>
        <w:top w:val="none" w:sz="0" w:space="0" w:color="auto"/>
        <w:left w:val="none" w:sz="0" w:space="0" w:color="auto"/>
        <w:bottom w:val="none" w:sz="0" w:space="0" w:color="auto"/>
        <w:right w:val="none" w:sz="0" w:space="0" w:color="auto"/>
      </w:divBdr>
    </w:div>
    <w:div w:id="688874334">
      <w:bodyDiv w:val="1"/>
      <w:marLeft w:val="0"/>
      <w:marRight w:val="0"/>
      <w:marTop w:val="0"/>
      <w:marBottom w:val="0"/>
      <w:divBdr>
        <w:top w:val="none" w:sz="0" w:space="0" w:color="auto"/>
        <w:left w:val="none" w:sz="0" w:space="0" w:color="auto"/>
        <w:bottom w:val="none" w:sz="0" w:space="0" w:color="auto"/>
        <w:right w:val="none" w:sz="0" w:space="0" w:color="auto"/>
      </w:divBdr>
    </w:div>
    <w:div w:id="701445416">
      <w:bodyDiv w:val="1"/>
      <w:marLeft w:val="0"/>
      <w:marRight w:val="0"/>
      <w:marTop w:val="0"/>
      <w:marBottom w:val="0"/>
      <w:divBdr>
        <w:top w:val="none" w:sz="0" w:space="0" w:color="auto"/>
        <w:left w:val="none" w:sz="0" w:space="0" w:color="auto"/>
        <w:bottom w:val="none" w:sz="0" w:space="0" w:color="auto"/>
        <w:right w:val="none" w:sz="0" w:space="0" w:color="auto"/>
      </w:divBdr>
    </w:div>
    <w:div w:id="718556820">
      <w:bodyDiv w:val="1"/>
      <w:marLeft w:val="0"/>
      <w:marRight w:val="0"/>
      <w:marTop w:val="0"/>
      <w:marBottom w:val="0"/>
      <w:divBdr>
        <w:top w:val="none" w:sz="0" w:space="0" w:color="auto"/>
        <w:left w:val="none" w:sz="0" w:space="0" w:color="auto"/>
        <w:bottom w:val="none" w:sz="0" w:space="0" w:color="auto"/>
        <w:right w:val="none" w:sz="0" w:space="0" w:color="auto"/>
      </w:divBdr>
    </w:div>
    <w:div w:id="728920544">
      <w:bodyDiv w:val="1"/>
      <w:marLeft w:val="0"/>
      <w:marRight w:val="0"/>
      <w:marTop w:val="0"/>
      <w:marBottom w:val="0"/>
      <w:divBdr>
        <w:top w:val="none" w:sz="0" w:space="0" w:color="auto"/>
        <w:left w:val="none" w:sz="0" w:space="0" w:color="auto"/>
        <w:bottom w:val="none" w:sz="0" w:space="0" w:color="auto"/>
        <w:right w:val="none" w:sz="0" w:space="0" w:color="auto"/>
      </w:divBdr>
    </w:div>
    <w:div w:id="755246326">
      <w:bodyDiv w:val="1"/>
      <w:marLeft w:val="0"/>
      <w:marRight w:val="0"/>
      <w:marTop w:val="0"/>
      <w:marBottom w:val="0"/>
      <w:divBdr>
        <w:top w:val="none" w:sz="0" w:space="0" w:color="auto"/>
        <w:left w:val="none" w:sz="0" w:space="0" w:color="auto"/>
        <w:bottom w:val="none" w:sz="0" w:space="0" w:color="auto"/>
        <w:right w:val="none" w:sz="0" w:space="0" w:color="auto"/>
      </w:divBdr>
    </w:div>
    <w:div w:id="821241188">
      <w:bodyDiv w:val="1"/>
      <w:marLeft w:val="0"/>
      <w:marRight w:val="0"/>
      <w:marTop w:val="0"/>
      <w:marBottom w:val="0"/>
      <w:divBdr>
        <w:top w:val="none" w:sz="0" w:space="0" w:color="auto"/>
        <w:left w:val="none" w:sz="0" w:space="0" w:color="auto"/>
        <w:bottom w:val="none" w:sz="0" w:space="0" w:color="auto"/>
        <w:right w:val="none" w:sz="0" w:space="0" w:color="auto"/>
      </w:divBdr>
    </w:div>
    <w:div w:id="895047316">
      <w:bodyDiv w:val="1"/>
      <w:marLeft w:val="0"/>
      <w:marRight w:val="0"/>
      <w:marTop w:val="0"/>
      <w:marBottom w:val="0"/>
      <w:divBdr>
        <w:top w:val="none" w:sz="0" w:space="0" w:color="auto"/>
        <w:left w:val="none" w:sz="0" w:space="0" w:color="auto"/>
        <w:bottom w:val="none" w:sz="0" w:space="0" w:color="auto"/>
        <w:right w:val="none" w:sz="0" w:space="0" w:color="auto"/>
      </w:divBdr>
    </w:div>
    <w:div w:id="903370492">
      <w:bodyDiv w:val="1"/>
      <w:marLeft w:val="0"/>
      <w:marRight w:val="0"/>
      <w:marTop w:val="0"/>
      <w:marBottom w:val="0"/>
      <w:divBdr>
        <w:top w:val="none" w:sz="0" w:space="0" w:color="auto"/>
        <w:left w:val="none" w:sz="0" w:space="0" w:color="auto"/>
        <w:bottom w:val="none" w:sz="0" w:space="0" w:color="auto"/>
        <w:right w:val="none" w:sz="0" w:space="0" w:color="auto"/>
      </w:divBdr>
    </w:div>
    <w:div w:id="914825766">
      <w:bodyDiv w:val="1"/>
      <w:marLeft w:val="0"/>
      <w:marRight w:val="0"/>
      <w:marTop w:val="0"/>
      <w:marBottom w:val="0"/>
      <w:divBdr>
        <w:top w:val="none" w:sz="0" w:space="0" w:color="auto"/>
        <w:left w:val="none" w:sz="0" w:space="0" w:color="auto"/>
        <w:bottom w:val="none" w:sz="0" w:space="0" w:color="auto"/>
        <w:right w:val="none" w:sz="0" w:space="0" w:color="auto"/>
      </w:divBdr>
    </w:div>
    <w:div w:id="921791796">
      <w:bodyDiv w:val="1"/>
      <w:marLeft w:val="0"/>
      <w:marRight w:val="0"/>
      <w:marTop w:val="0"/>
      <w:marBottom w:val="0"/>
      <w:divBdr>
        <w:top w:val="none" w:sz="0" w:space="0" w:color="auto"/>
        <w:left w:val="none" w:sz="0" w:space="0" w:color="auto"/>
        <w:bottom w:val="none" w:sz="0" w:space="0" w:color="auto"/>
        <w:right w:val="none" w:sz="0" w:space="0" w:color="auto"/>
      </w:divBdr>
    </w:div>
    <w:div w:id="932127471">
      <w:bodyDiv w:val="1"/>
      <w:marLeft w:val="0"/>
      <w:marRight w:val="0"/>
      <w:marTop w:val="0"/>
      <w:marBottom w:val="0"/>
      <w:divBdr>
        <w:top w:val="none" w:sz="0" w:space="0" w:color="auto"/>
        <w:left w:val="none" w:sz="0" w:space="0" w:color="auto"/>
        <w:bottom w:val="none" w:sz="0" w:space="0" w:color="auto"/>
        <w:right w:val="none" w:sz="0" w:space="0" w:color="auto"/>
      </w:divBdr>
    </w:div>
    <w:div w:id="959607138">
      <w:bodyDiv w:val="1"/>
      <w:marLeft w:val="0"/>
      <w:marRight w:val="0"/>
      <w:marTop w:val="0"/>
      <w:marBottom w:val="0"/>
      <w:divBdr>
        <w:top w:val="none" w:sz="0" w:space="0" w:color="auto"/>
        <w:left w:val="none" w:sz="0" w:space="0" w:color="auto"/>
        <w:bottom w:val="none" w:sz="0" w:space="0" w:color="auto"/>
        <w:right w:val="none" w:sz="0" w:space="0" w:color="auto"/>
      </w:divBdr>
    </w:div>
    <w:div w:id="1003898717">
      <w:bodyDiv w:val="1"/>
      <w:marLeft w:val="0"/>
      <w:marRight w:val="0"/>
      <w:marTop w:val="0"/>
      <w:marBottom w:val="0"/>
      <w:divBdr>
        <w:top w:val="none" w:sz="0" w:space="0" w:color="auto"/>
        <w:left w:val="none" w:sz="0" w:space="0" w:color="auto"/>
        <w:bottom w:val="none" w:sz="0" w:space="0" w:color="auto"/>
        <w:right w:val="none" w:sz="0" w:space="0" w:color="auto"/>
      </w:divBdr>
    </w:div>
    <w:div w:id="1058700296">
      <w:bodyDiv w:val="1"/>
      <w:marLeft w:val="0"/>
      <w:marRight w:val="0"/>
      <w:marTop w:val="0"/>
      <w:marBottom w:val="0"/>
      <w:divBdr>
        <w:top w:val="none" w:sz="0" w:space="0" w:color="auto"/>
        <w:left w:val="none" w:sz="0" w:space="0" w:color="auto"/>
        <w:bottom w:val="none" w:sz="0" w:space="0" w:color="auto"/>
        <w:right w:val="none" w:sz="0" w:space="0" w:color="auto"/>
      </w:divBdr>
    </w:div>
    <w:div w:id="1124617806">
      <w:bodyDiv w:val="1"/>
      <w:marLeft w:val="0"/>
      <w:marRight w:val="0"/>
      <w:marTop w:val="0"/>
      <w:marBottom w:val="0"/>
      <w:divBdr>
        <w:top w:val="none" w:sz="0" w:space="0" w:color="auto"/>
        <w:left w:val="none" w:sz="0" w:space="0" w:color="auto"/>
        <w:bottom w:val="none" w:sz="0" w:space="0" w:color="auto"/>
        <w:right w:val="none" w:sz="0" w:space="0" w:color="auto"/>
      </w:divBdr>
    </w:div>
    <w:div w:id="1129205249">
      <w:bodyDiv w:val="1"/>
      <w:marLeft w:val="0"/>
      <w:marRight w:val="0"/>
      <w:marTop w:val="0"/>
      <w:marBottom w:val="0"/>
      <w:divBdr>
        <w:top w:val="none" w:sz="0" w:space="0" w:color="auto"/>
        <w:left w:val="none" w:sz="0" w:space="0" w:color="auto"/>
        <w:bottom w:val="none" w:sz="0" w:space="0" w:color="auto"/>
        <w:right w:val="none" w:sz="0" w:space="0" w:color="auto"/>
      </w:divBdr>
    </w:div>
    <w:div w:id="1132139071">
      <w:bodyDiv w:val="1"/>
      <w:marLeft w:val="0"/>
      <w:marRight w:val="0"/>
      <w:marTop w:val="0"/>
      <w:marBottom w:val="0"/>
      <w:divBdr>
        <w:top w:val="none" w:sz="0" w:space="0" w:color="auto"/>
        <w:left w:val="none" w:sz="0" w:space="0" w:color="auto"/>
        <w:bottom w:val="none" w:sz="0" w:space="0" w:color="auto"/>
        <w:right w:val="none" w:sz="0" w:space="0" w:color="auto"/>
      </w:divBdr>
    </w:div>
    <w:div w:id="1136215069">
      <w:bodyDiv w:val="1"/>
      <w:marLeft w:val="0"/>
      <w:marRight w:val="0"/>
      <w:marTop w:val="0"/>
      <w:marBottom w:val="0"/>
      <w:divBdr>
        <w:top w:val="none" w:sz="0" w:space="0" w:color="auto"/>
        <w:left w:val="none" w:sz="0" w:space="0" w:color="auto"/>
        <w:bottom w:val="none" w:sz="0" w:space="0" w:color="auto"/>
        <w:right w:val="none" w:sz="0" w:space="0" w:color="auto"/>
      </w:divBdr>
    </w:div>
    <w:div w:id="1170951625">
      <w:bodyDiv w:val="1"/>
      <w:marLeft w:val="0"/>
      <w:marRight w:val="0"/>
      <w:marTop w:val="0"/>
      <w:marBottom w:val="0"/>
      <w:divBdr>
        <w:top w:val="none" w:sz="0" w:space="0" w:color="auto"/>
        <w:left w:val="none" w:sz="0" w:space="0" w:color="auto"/>
        <w:bottom w:val="none" w:sz="0" w:space="0" w:color="auto"/>
        <w:right w:val="none" w:sz="0" w:space="0" w:color="auto"/>
      </w:divBdr>
    </w:div>
    <w:div w:id="1185440876">
      <w:bodyDiv w:val="1"/>
      <w:marLeft w:val="0"/>
      <w:marRight w:val="0"/>
      <w:marTop w:val="0"/>
      <w:marBottom w:val="0"/>
      <w:divBdr>
        <w:top w:val="none" w:sz="0" w:space="0" w:color="auto"/>
        <w:left w:val="none" w:sz="0" w:space="0" w:color="auto"/>
        <w:bottom w:val="none" w:sz="0" w:space="0" w:color="auto"/>
        <w:right w:val="none" w:sz="0" w:space="0" w:color="auto"/>
      </w:divBdr>
    </w:div>
    <w:div w:id="1207908055">
      <w:bodyDiv w:val="1"/>
      <w:marLeft w:val="0"/>
      <w:marRight w:val="0"/>
      <w:marTop w:val="0"/>
      <w:marBottom w:val="0"/>
      <w:divBdr>
        <w:top w:val="none" w:sz="0" w:space="0" w:color="auto"/>
        <w:left w:val="none" w:sz="0" w:space="0" w:color="auto"/>
        <w:bottom w:val="none" w:sz="0" w:space="0" w:color="auto"/>
        <w:right w:val="none" w:sz="0" w:space="0" w:color="auto"/>
      </w:divBdr>
    </w:div>
    <w:div w:id="1215043963">
      <w:bodyDiv w:val="1"/>
      <w:marLeft w:val="0"/>
      <w:marRight w:val="0"/>
      <w:marTop w:val="0"/>
      <w:marBottom w:val="0"/>
      <w:divBdr>
        <w:top w:val="none" w:sz="0" w:space="0" w:color="auto"/>
        <w:left w:val="none" w:sz="0" w:space="0" w:color="auto"/>
        <w:bottom w:val="none" w:sz="0" w:space="0" w:color="auto"/>
        <w:right w:val="none" w:sz="0" w:space="0" w:color="auto"/>
      </w:divBdr>
    </w:div>
    <w:div w:id="1271930428">
      <w:bodyDiv w:val="1"/>
      <w:marLeft w:val="0"/>
      <w:marRight w:val="0"/>
      <w:marTop w:val="0"/>
      <w:marBottom w:val="0"/>
      <w:divBdr>
        <w:top w:val="none" w:sz="0" w:space="0" w:color="auto"/>
        <w:left w:val="none" w:sz="0" w:space="0" w:color="auto"/>
        <w:bottom w:val="none" w:sz="0" w:space="0" w:color="auto"/>
        <w:right w:val="none" w:sz="0" w:space="0" w:color="auto"/>
      </w:divBdr>
    </w:div>
    <w:div w:id="1275593619">
      <w:bodyDiv w:val="1"/>
      <w:marLeft w:val="0"/>
      <w:marRight w:val="0"/>
      <w:marTop w:val="0"/>
      <w:marBottom w:val="0"/>
      <w:divBdr>
        <w:top w:val="none" w:sz="0" w:space="0" w:color="auto"/>
        <w:left w:val="none" w:sz="0" w:space="0" w:color="auto"/>
        <w:bottom w:val="none" w:sz="0" w:space="0" w:color="auto"/>
        <w:right w:val="none" w:sz="0" w:space="0" w:color="auto"/>
      </w:divBdr>
    </w:div>
    <w:div w:id="1351569579">
      <w:bodyDiv w:val="1"/>
      <w:marLeft w:val="0"/>
      <w:marRight w:val="0"/>
      <w:marTop w:val="0"/>
      <w:marBottom w:val="0"/>
      <w:divBdr>
        <w:top w:val="none" w:sz="0" w:space="0" w:color="auto"/>
        <w:left w:val="none" w:sz="0" w:space="0" w:color="auto"/>
        <w:bottom w:val="none" w:sz="0" w:space="0" w:color="auto"/>
        <w:right w:val="none" w:sz="0" w:space="0" w:color="auto"/>
      </w:divBdr>
    </w:div>
    <w:div w:id="140680065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38256731">
      <w:bodyDiv w:val="1"/>
      <w:marLeft w:val="0"/>
      <w:marRight w:val="0"/>
      <w:marTop w:val="0"/>
      <w:marBottom w:val="0"/>
      <w:divBdr>
        <w:top w:val="none" w:sz="0" w:space="0" w:color="auto"/>
        <w:left w:val="none" w:sz="0" w:space="0" w:color="auto"/>
        <w:bottom w:val="none" w:sz="0" w:space="0" w:color="auto"/>
        <w:right w:val="none" w:sz="0" w:space="0" w:color="auto"/>
      </w:divBdr>
    </w:div>
    <w:div w:id="1540316257">
      <w:bodyDiv w:val="1"/>
      <w:marLeft w:val="0"/>
      <w:marRight w:val="0"/>
      <w:marTop w:val="0"/>
      <w:marBottom w:val="0"/>
      <w:divBdr>
        <w:top w:val="none" w:sz="0" w:space="0" w:color="auto"/>
        <w:left w:val="none" w:sz="0" w:space="0" w:color="auto"/>
        <w:bottom w:val="none" w:sz="0" w:space="0" w:color="auto"/>
        <w:right w:val="none" w:sz="0" w:space="0" w:color="auto"/>
      </w:divBdr>
    </w:div>
    <w:div w:id="1564412531">
      <w:bodyDiv w:val="1"/>
      <w:marLeft w:val="0"/>
      <w:marRight w:val="0"/>
      <w:marTop w:val="0"/>
      <w:marBottom w:val="0"/>
      <w:divBdr>
        <w:top w:val="none" w:sz="0" w:space="0" w:color="auto"/>
        <w:left w:val="none" w:sz="0" w:space="0" w:color="auto"/>
        <w:bottom w:val="none" w:sz="0" w:space="0" w:color="auto"/>
        <w:right w:val="none" w:sz="0" w:space="0" w:color="auto"/>
      </w:divBdr>
    </w:div>
    <w:div w:id="1578587175">
      <w:bodyDiv w:val="1"/>
      <w:marLeft w:val="0"/>
      <w:marRight w:val="0"/>
      <w:marTop w:val="0"/>
      <w:marBottom w:val="0"/>
      <w:divBdr>
        <w:top w:val="none" w:sz="0" w:space="0" w:color="auto"/>
        <w:left w:val="none" w:sz="0" w:space="0" w:color="auto"/>
        <w:bottom w:val="none" w:sz="0" w:space="0" w:color="auto"/>
        <w:right w:val="none" w:sz="0" w:space="0" w:color="auto"/>
      </w:divBdr>
    </w:div>
    <w:div w:id="1616709565">
      <w:bodyDiv w:val="1"/>
      <w:marLeft w:val="0"/>
      <w:marRight w:val="0"/>
      <w:marTop w:val="0"/>
      <w:marBottom w:val="0"/>
      <w:divBdr>
        <w:top w:val="none" w:sz="0" w:space="0" w:color="auto"/>
        <w:left w:val="none" w:sz="0" w:space="0" w:color="auto"/>
        <w:bottom w:val="none" w:sz="0" w:space="0" w:color="auto"/>
        <w:right w:val="none" w:sz="0" w:space="0" w:color="auto"/>
      </w:divBdr>
    </w:div>
    <w:div w:id="1641035201">
      <w:bodyDiv w:val="1"/>
      <w:marLeft w:val="0"/>
      <w:marRight w:val="0"/>
      <w:marTop w:val="0"/>
      <w:marBottom w:val="0"/>
      <w:divBdr>
        <w:top w:val="none" w:sz="0" w:space="0" w:color="auto"/>
        <w:left w:val="none" w:sz="0" w:space="0" w:color="auto"/>
        <w:bottom w:val="none" w:sz="0" w:space="0" w:color="auto"/>
        <w:right w:val="none" w:sz="0" w:space="0" w:color="auto"/>
      </w:divBdr>
    </w:div>
    <w:div w:id="1692340546">
      <w:bodyDiv w:val="1"/>
      <w:marLeft w:val="0"/>
      <w:marRight w:val="0"/>
      <w:marTop w:val="0"/>
      <w:marBottom w:val="0"/>
      <w:divBdr>
        <w:top w:val="none" w:sz="0" w:space="0" w:color="auto"/>
        <w:left w:val="none" w:sz="0" w:space="0" w:color="auto"/>
        <w:bottom w:val="none" w:sz="0" w:space="0" w:color="auto"/>
        <w:right w:val="none" w:sz="0" w:space="0" w:color="auto"/>
      </w:divBdr>
    </w:div>
    <w:div w:id="1714038323">
      <w:bodyDiv w:val="1"/>
      <w:marLeft w:val="0"/>
      <w:marRight w:val="0"/>
      <w:marTop w:val="0"/>
      <w:marBottom w:val="0"/>
      <w:divBdr>
        <w:top w:val="none" w:sz="0" w:space="0" w:color="auto"/>
        <w:left w:val="none" w:sz="0" w:space="0" w:color="auto"/>
        <w:bottom w:val="none" w:sz="0" w:space="0" w:color="auto"/>
        <w:right w:val="none" w:sz="0" w:space="0" w:color="auto"/>
      </w:divBdr>
    </w:div>
    <w:div w:id="1776559813">
      <w:bodyDiv w:val="1"/>
      <w:marLeft w:val="0"/>
      <w:marRight w:val="0"/>
      <w:marTop w:val="0"/>
      <w:marBottom w:val="0"/>
      <w:divBdr>
        <w:top w:val="none" w:sz="0" w:space="0" w:color="auto"/>
        <w:left w:val="none" w:sz="0" w:space="0" w:color="auto"/>
        <w:bottom w:val="none" w:sz="0" w:space="0" w:color="auto"/>
        <w:right w:val="none" w:sz="0" w:space="0" w:color="auto"/>
      </w:divBdr>
    </w:div>
    <w:div w:id="1793788300">
      <w:bodyDiv w:val="1"/>
      <w:marLeft w:val="0"/>
      <w:marRight w:val="0"/>
      <w:marTop w:val="0"/>
      <w:marBottom w:val="0"/>
      <w:divBdr>
        <w:top w:val="none" w:sz="0" w:space="0" w:color="auto"/>
        <w:left w:val="none" w:sz="0" w:space="0" w:color="auto"/>
        <w:bottom w:val="none" w:sz="0" w:space="0" w:color="auto"/>
        <w:right w:val="none" w:sz="0" w:space="0" w:color="auto"/>
      </w:divBdr>
    </w:div>
    <w:div w:id="1798181586">
      <w:bodyDiv w:val="1"/>
      <w:marLeft w:val="0"/>
      <w:marRight w:val="0"/>
      <w:marTop w:val="0"/>
      <w:marBottom w:val="0"/>
      <w:divBdr>
        <w:top w:val="none" w:sz="0" w:space="0" w:color="auto"/>
        <w:left w:val="none" w:sz="0" w:space="0" w:color="auto"/>
        <w:bottom w:val="none" w:sz="0" w:space="0" w:color="auto"/>
        <w:right w:val="none" w:sz="0" w:space="0" w:color="auto"/>
      </w:divBdr>
    </w:div>
    <w:div w:id="1890603576">
      <w:bodyDiv w:val="1"/>
      <w:marLeft w:val="0"/>
      <w:marRight w:val="0"/>
      <w:marTop w:val="0"/>
      <w:marBottom w:val="0"/>
      <w:divBdr>
        <w:top w:val="none" w:sz="0" w:space="0" w:color="auto"/>
        <w:left w:val="none" w:sz="0" w:space="0" w:color="auto"/>
        <w:bottom w:val="none" w:sz="0" w:space="0" w:color="auto"/>
        <w:right w:val="none" w:sz="0" w:space="0" w:color="auto"/>
      </w:divBdr>
    </w:div>
    <w:div w:id="1905335253">
      <w:bodyDiv w:val="1"/>
      <w:marLeft w:val="0"/>
      <w:marRight w:val="0"/>
      <w:marTop w:val="0"/>
      <w:marBottom w:val="0"/>
      <w:divBdr>
        <w:top w:val="none" w:sz="0" w:space="0" w:color="auto"/>
        <w:left w:val="none" w:sz="0" w:space="0" w:color="auto"/>
        <w:bottom w:val="none" w:sz="0" w:space="0" w:color="auto"/>
        <w:right w:val="none" w:sz="0" w:space="0" w:color="auto"/>
      </w:divBdr>
    </w:div>
    <w:div w:id="1937246588">
      <w:bodyDiv w:val="1"/>
      <w:marLeft w:val="0"/>
      <w:marRight w:val="0"/>
      <w:marTop w:val="0"/>
      <w:marBottom w:val="0"/>
      <w:divBdr>
        <w:top w:val="none" w:sz="0" w:space="0" w:color="auto"/>
        <w:left w:val="none" w:sz="0" w:space="0" w:color="auto"/>
        <w:bottom w:val="none" w:sz="0" w:space="0" w:color="auto"/>
        <w:right w:val="none" w:sz="0" w:space="0" w:color="auto"/>
      </w:divBdr>
    </w:div>
    <w:div w:id="1945258927">
      <w:bodyDiv w:val="1"/>
      <w:marLeft w:val="0"/>
      <w:marRight w:val="0"/>
      <w:marTop w:val="0"/>
      <w:marBottom w:val="0"/>
      <w:divBdr>
        <w:top w:val="none" w:sz="0" w:space="0" w:color="auto"/>
        <w:left w:val="none" w:sz="0" w:space="0" w:color="auto"/>
        <w:bottom w:val="none" w:sz="0" w:space="0" w:color="auto"/>
        <w:right w:val="none" w:sz="0" w:space="0" w:color="auto"/>
      </w:divBdr>
    </w:div>
    <w:div w:id="1970430752">
      <w:bodyDiv w:val="1"/>
      <w:marLeft w:val="0"/>
      <w:marRight w:val="0"/>
      <w:marTop w:val="0"/>
      <w:marBottom w:val="0"/>
      <w:divBdr>
        <w:top w:val="none" w:sz="0" w:space="0" w:color="auto"/>
        <w:left w:val="none" w:sz="0" w:space="0" w:color="auto"/>
        <w:bottom w:val="none" w:sz="0" w:space="0" w:color="auto"/>
        <w:right w:val="none" w:sz="0" w:space="0" w:color="auto"/>
      </w:divBdr>
    </w:div>
    <w:div w:id="1974870136">
      <w:bodyDiv w:val="1"/>
      <w:marLeft w:val="0"/>
      <w:marRight w:val="0"/>
      <w:marTop w:val="0"/>
      <w:marBottom w:val="0"/>
      <w:divBdr>
        <w:top w:val="none" w:sz="0" w:space="0" w:color="auto"/>
        <w:left w:val="none" w:sz="0" w:space="0" w:color="auto"/>
        <w:bottom w:val="none" w:sz="0" w:space="0" w:color="auto"/>
        <w:right w:val="none" w:sz="0" w:space="0" w:color="auto"/>
      </w:divBdr>
    </w:div>
    <w:div w:id="2029134424">
      <w:bodyDiv w:val="1"/>
      <w:marLeft w:val="0"/>
      <w:marRight w:val="0"/>
      <w:marTop w:val="0"/>
      <w:marBottom w:val="0"/>
      <w:divBdr>
        <w:top w:val="none" w:sz="0" w:space="0" w:color="auto"/>
        <w:left w:val="none" w:sz="0" w:space="0" w:color="auto"/>
        <w:bottom w:val="none" w:sz="0" w:space="0" w:color="auto"/>
        <w:right w:val="none" w:sz="0" w:space="0" w:color="auto"/>
      </w:divBdr>
    </w:div>
    <w:div w:id="2043434375">
      <w:bodyDiv w:val="1"/>
      <w:marLeft w:val="0"/>
      <w:marRight w:val="0"/>
      <w:marTop w:val="0"/>
      <w:marBottom w:val="0"/>
      <w:divBdr>
        <w:top w:val="none" w:sz="0" w:space="0" w:color="auto"/>
        <w:left w:val="none" w:sz="0" w:space="0" w:color="auto"/>
        <w:bottom w:val="none" w:sz="0" w:space="0" w:color="auto"/>
        <w:right w:val="none" w:sz="0" w:space="0" w:color="auto"/>
      </w:divBdr>
    </w:div>
    <w:div w:id="20686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cid:image002.png@01D768E1.B21E27D0" TargetMode="External"/><Relationship Id="rId26" Type="http://schemas.openxmlformats.org/officeDocument/2006/relationships/chart" Target="charts/chart1.xml"/><Relationship Id="rId39" Type="http://schemas.openxmlformats.org/officeDocument/2006/relationships/hyperlink" Target="http://flipbooks.prelom.si/Z-Z_PoklicneKompetence_FlipBook.htm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hyperlink" Target="http://api.zzzs.si/ZZZS/info/egradiva.nsf/0/a9080d4ff06e781ac1258470003f2fe0/$FILE/Kazalniki%20kakovosti%20v%20dru%C5%BEinski%20medicini_leto%202018.pdf" TargetMode="External"/><Relationship Id="rId33" Type="http://schemas.openxmlformats.org/officeDocument/2006/relationships/image" Target="media/image16.png"/><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image" Target="media/image13.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cid:image002.png@01D8270F.06A4B580" TargetMode="External"/><Relationship Id="rId36"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yperlink" Target="https://www.ip-rs.si/fileadmin/user_upload/Pdf/Mednarodno_delovanje/wp243rev01_sl.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www.ecfs.eu/projects/ecfs-patient-registry/annual-reports" TargetMode="External"/><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l-SI" sz="1400"/>
              <a:t>Dejanski strošek informatike glede na obseg pogodbeno dogovorjenih sredstev z ZZZS  za informatiko v letu 2021</a:t>
            </a:r>
            <a:endParaRPr lang="en-US"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pieChart>
        <c:varyColors val="1"/>
        <c:ser>
          <c:idx val="0"/>
          <c:order val="0"/>
          <c:tx>
            <c:strRef>
              <c:f>List2!$A$2</c:f>
              <c:strCache>
                <c:ptCount val="1"/>
                <c:pt idx="0">
                  <c:v>Bolnišnice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335-4DE9-88B6-C286112CDD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335-4DE9-88B6-C286112CDD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List2!$B$1:$C$1</c:f>
              <c:strCache>
                <c:ptCount val="2"/>
                <c:pt idx="0">
                  <c:v>ANALIZA ZDRZZ Skupaj stroški informatizacije v letu 2021 (v EUR)</c:v>
                </c:pt>
                <c:pt idx="1">
                  <c:v>Sredstva za informatizacijo (podatki ZZZS na stanje 10 2021)</c:v>
                </c:pt>
              </c:strCache>
            </c:strRef>
          </c:cat>
          <c:val>
            <c:numRef>
              <c:f>List2!$B$2:$C$2</c:f>
              <c:numCache>
                <c:formatCode>#,##0\ _€</c:formatCode>
                <c:ptCount val="2"/>
                <c:pt idx="0">
                  <c:v>26922042.456</c:v>
                </c:pt>
                <c:pt idx="1">
                  <c:v>3333380.9323199992</c:v>
                </c:pt>
              </c:numCache>
            </c:numRef>
          </c:val>
          <c:extLst>
            <c:ext xmlns:c16="http://schemas.microsoft.com/office/drawing/2014/chart" uri="{C3380CC4-5D6E-409C-BE32-E72D297353CC}">
              <c16:uniqueId val="{00000004-8335-4DE9-88B6-C286112CDD7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F3370D4-C680-4AFD-8DE5-277125432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255</Pages>
  <Words>96088</Words>
  <Characters>580639</Characters>
  <Application>Microsoft Office Word</Application>
  <DocSecurity>0</DocSecurity>
  <Lines>4838</Lines>
  <Paragraphs>1350</Paragraphs>
  <ScaleCrop>false</ScaleCrop>
  <HeadingPairs>
    <vt:vector size="2" baseType="variant">
      <vt:variant>
        <vt:lpstr>Naslov</vt:lpstr>
      </vt:variant>
      <vt:variant>
        <vt:i4>1</vt:i4>
      </vt:variant>
    </vt:vector>
  </HeadingPairs>
  <TitlesOfParts>
    <vt:vector size="1" baseType="lpstr">
      <vt:lpstr/>
    </vt:vector>
  </TitlesOfParts>
  <Company>Ministrstvo za zdravje RS</Company>
  <LinksUpToDate>false</LinksUpToDate>
  <CharactersWithSpaces>675377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Kumer</dc:creator>
  <cp:keywords/>
  <dc:description/>
  <cp:lastModifiedBy>Katja Lisec</cp:lastModifiedBy>
  <cp:revision>18</cp:revision>
  <cp:lastPrinted>2021-11-16T09:58:00Z</cp:lastPrinted>
  <dcterms:created xsi:type="dcterms:W3CDTF">2022-05-10T11:31:00Z</dcterms:created>
  <dcterms:modified xsi:type="dcterms:W3CDTF">2022-05-11T12:36:00Z</dcterms:modified>
</cp:coreProperties>
</file>